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DE" w:rsidRPr="00FB69DE" w:rsidRDefault="00FB69DE" w:rsidP="00FB69DE">
      <w:pPr>
        <w:tabs>
          <w:tab w:val="center" w:pos="4680"/>
          <w:tab w:val="right" w:pos="9360"/>
        </w:tabs>
        <w:jc w:val="center"/>
        <w:rPr>
          <w:rFonts w:cs="Times New Roman"/>
          <w:szCs w:val="24"/>
        </w:rPr>
      </w:pPr>
      <w:r w:rsidRPr="00FB69DE">
        <w:rPr>
          <w:rFonts w:cs="Times New Roman"/>
          <w:szCs w:val="24"/>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65.1pt" o:ole="">
            <v:imagedata r:id="rId8" o:title=""/>
          </v:shape>
          <o:OLEObject Type="Embed" ProgID="Presentations.Drawing.13" ShapeID="_x0000_i1025" DrawAspect="Content" ObjectID="_1388476246" r:id="rId9"/>
        </w:object>
      </w:r>
    </w:p>
    <w:p w:rsidR="00FB69DE" w:rsidRPr="00FB69DE" w:rsidRDefault="00FB69DE" w:rsidP="00FB69DE">
      <w:pPr>
        <w:jc w:val="center"/>
        <w:outlineLvl w:val="0"/>
        <w:rPr>
          <w:rFonts w:cs="Times New Roman"/>
          <w:b/>
          <w:szCs w:val="24"/>
        </w:rPr>
      </w:pPr>
      <w:r w:rsidRPr="00FB69DE">
        <w:rPr>
          <w:rFonts w:cs="Times New Roman"/>
          <w:b/>
          <w:szCs w:val="24"/>
        </w:rPr>
        <w:t>SUPREME COURT OF CANADA</w:t>
      </w:r>
    </w:p>
    <w:p w:rsidR="00FB69DE" w:rsidRPr="00FB69DE" w:rsidRDefault="00FB69DE" w:rsidP="00FB69DE">
      <w:pPr>
        <w:rPr>
          <w:rFonts w:cs="Times New Roman"/>
          <w:szCs w:val="24"/>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B69DE" w:rsidRPr="00FB69DE" w:rsidTr="003C1A7E">
        <w:trPr>
          <w:cantSplit/>
        </w:trPr>
        <w:tc>
          <w:tcPr>
            <w:tcW w:w="6768" w:type="dxa"/>
          </w:tcPr>
          <w:p w:rsidR="00FB69DE" w:rsidRPr="00FB69DE" w:rsidRDefault="00FB69DE" w:rsidP="003C1A7E">
            <w:pPr>
              <w:rPr>
                <w:rFonts w:cs="Times New Roman"/>
                <w:szCs w:val="24"/>
                <w:lang w:val="en-CA"/>
              </w:rPr>
            </w:pPr>
            <w:r w:rsidRPr="00FB69DE">
              <w:rPr>
                <w:rFonts w:cs="Times New Roman"/>
                <w:b/>
                <w:smallCaps/>
                <w:szCs w:val="24"/>
                <w:lang w:val="en-CA"/>
              </w:rPr>
              <w:t>Citation:</w:t>
            </w:r>
            <w:r w:rsidRPr="00FB69DE">
              <w:rPr>
                <w:rFonts w:cs="Times New Roman"/>
                <w:szCs w:val="24"/>
                <w:lang w:val="en-CA"/>
              </w:rPr>
              <w:t xml:space="preserve"> R. </w:t>
            </w:r>
            <w:r w:rsidRPr="00FB69DE">
              <w:rPr>
                <w:rFonts w:cs="Times New Roman"/>
                <w:i/>
                <w:szCs w:val="24"/>
                <w:lang w:val="en-CA"/>
              </w:rPr>
              <w:t>v.</w:t>
            </w:r>
            <w:r w:rsidRPr="00FB69DE">
              <w:rPr>
                <w:rFonts w:cs="Times New Roman"/>
                <w:szCs w:val="24"/>
                <w:lang w:val="en-CA"/>
              </w:rPr>
              <w:t xml:space="preserve"> Imperial Tobacco Canada Ltd., 2011 SCC 42</w:t>
            </w:r>
            <w:r w:rsidRPr="00D910D8">
              <w:rPr>
                <w:rStyle w:val="SCCRespondentForRunningHeadChar"/>
                <w:rFonts w:cs="Times New Roman"/>
                <w:szCs w:val="24"/>
                <w:lang w:val="en-CA"/>
              </w:rPr>
              <w:t>, [2011] 3 S.C.R. 45</w:t>
            </w:r>
          </w:p>
        </w:tc>
        <w:tc>
          <w:tcPr>
            <w:tcW w:w="2808" w:type="dxa"/>
          </w:tcPr>
          <w:p w:rsidR="00FB69DE" w:rsidRPr="00FB69DE" w:rsidRDefault="00FB69DE" w:rsidP="003C1A7E">
            <w:pPr>
              <w:rPr>
                <w:rFonts w:cs="Times New Roman"/>
                <w:szCs w:val="24"/>
              </w:rPr>
            </w:pPr>
            <w:r w:rsidRPr="00FB69DE">
              <w:rPr>
                <w:rFonts w:cs="Times New Roman"/>
                <w:b/>
                <w:smallCaps/>
                <w:szCs w:val="24"/>
              </w:rPr>
              <w:t>Date:</w:t>
            </w:r>
            <w:r w:rsidRPr="00FB69DE">
              <w:rPr>
                <w:rFonts w:cs="Times New Roman"/>
                <w:szCs w:val="24"/>
              </w:rPr>
              <w:t xml:space="preserve"> 20110729</w:t>
            </w:r>
          </w:p>
          <w:p w:rsidR="00FB69DE" w:rsidRPr="00FB69DE" w:rsidRDefault="00FB69DE" w:rsidP="003C1A7E">
            <w:pPr>
              <w:rPr>
                <w:rFonts w:cs="Times New Roman"/>
                <w:szCs w:val="24"/>
              </w:rPr>
            </w:pPr>
            <w:r w:rsidRPr="00FB69DE">
              <w:rPr>
                <w:rFonts w:cs="Times New Roman"/>
                <w:b/>
                <w:smallCaps/>
                <w:szCs w:val="24"/>
              </w:rPr>
              <w:t>Docket:</w:t>
            </w:r>
            <w:r w:rsidRPr="00FB69DE">
              <w:rPr>
                <w:rFonts w:cs="Times New Roman"/>
                <w:szCs w:val="24"/>
              </w:rPr>
              <w:t xml:space="preserve"> 33559, 33563</w:t>
            </w:r>
          </w:p>
        </w:tc>
      </w:tr>
    </w:tbl>
    <w:p w:rsidR="00FB69DE" w:rsidRPr="00FB69DE" w:rsidRDefault="00FB69DE" w:rsidP="00FB69DE">
      <w:pPr>
        <w:rPr>
          <w:rFonts w:cs="Times New Roman"/>
          <w:b/>
          <w:smallCaps/>
          <w:szCs w:val="24"/>
        </w:rPr>
      </w:pPr>
      <w:r w:rsidRPr="00FB69DE">
        <w:rPr>
          <w:rFonts w:cs="Times New Roman"/>
          <w:b/>
          <w:smallCaps/>
          <w:szCs w:val="24"/>
        </w:rPr>
        <w:t>Between:</w:t>
      </w:r>
    </w:p>
    <w:p w:rsidR="00FB69DE" w:rsidRPr="00FB69DE" w:rsidRDefault="00FB69DE" w:rsidP="00FB69DE">
      <w:pPr>
        <w:jc w:val="center"/>
        <w:outlineLvl w:val="0"/>
        <w:rPr>
          <w:rFonts w:cs="Times New Roman"/>
          <w:b/>
          <w:szCs w:val="24"/>
          <w:lang w:val="en-CA"/>
        </w:rPr>
      </w:pPr>
      <w:r w:rsidRPr="00FB69DE">
        <w:rPr>
          <w:rFonts w:cs="Times New Roman"/>
          <w:b/>
          <w:szCs w:val="24"/>
          <w:lang w:val="en-CA"/>
        </w:rPr>
        <w:t xml:space="preserve">Her Majesty </w:t>
      </w:r>
      <w:proofErr w:type="gramStart"/>
      <w:r w:rsidRPr="00FB69DE">
        <w:rPr>
          <w:rFonts w:cs="Times New Roman"/>
          <w:b/>
          <w:szCs w:val="24"/>
          <w:lang w:val="en-CA"/>
        </w:rPr>
        <w:t>The</w:t>
      </w:r>
      <w:proofErr w:type="gramEnd"/>
      <w:r w:rsidRPr="00FB69DE">
        <w:rPr>
          <w:rFonts w:cs="Times New Roman"/>
          <w:b/>
          <w:szCs w:val="24"/>
          <w:lang w:val="en-CA"/>
        </w:rPr>
        <w:t xml:space="preserve"> Queen in Right of Canada</w:t>
      </w:r>
    </w:p>
    <w:p w:rsidR="00FB69DE" w:rsidRPr="00FB69DE" w:rsidRDefault="00FB69DE" w:rsidP="00FB69DE">
      <w:pPr>
        <w:jc w:val="center"/>
        <w:rPr>
          <w:rFonts w:cs="Times New Roman"/>
          <w:szCs w:val="24"/>
          <w:lang w:val="en-CA"/>
        </w:rPr>
      </w:pPr>
      <w:r w:rsidRPr="00FB69DE">
        <w:rPr>
          <w:rFonts w:cs="Times New Roman"/>
          <w:szCs w:val="24"/>
          <w:lang w:val="en-CA"/>
        </w:rPr>
        <w:t>Appellant / Respondent on cross-appeal</w:t>
      </w:r>
    </w:p>
    <w:p w:rsidR="00FB69DE" w:rsidRPr="00FB69DE" w:rsidRDefault="00FB69DE" w:rsidP="00FB69DE">
      <w:pPr>
        <w:jc w:val="center"/>
        <w:rPr>
          <w:rFonts w:cs="Times New Roman"/>
          <w:szCs w:val="24"/>
          <w:lang w:val="en-CA"/>
        </w:rPr>
      </w:pPr>
      <w:proofErr w:type="gramStart"/>
      <w:r w:rsidRPr="00FB69DE">
        <w:rPr>
          <w:rFonts w:cs="Times New Roman"/>
          <w:szCs w:val="24"/>
          <w:lang w:val="en-CA"/>
        </w:rPr>
        <w:t>and</w:t>
      </w:r>
      <w:proofErr w:type="gramEnd"/>
    </w:p>
    <w:p w:rsidR="00FB69DE" w:rsidRPr="00FB69DE" w:rsidRDefault="00FB69DE" w:rsidP="00FB69DE">
      <w:pPr>
        <w:jc w:val="center"/>
        <w:rPr>
          <w:rFonts w:cs="Times New Roman"/>
          <w:b/>
          <w:szCs w:val="24"/>
          <w:lang w:val="en-CA"/>
        </w:rPr>
      </w:pPr>
      <w:r w:rsidRPr="00FB69DE">
        <w:rPr>
          <w:rFonts w:cs="Times New Roman"/>
          <w:b/>
          <w:szCs w:val="24"/>
          <w:lang w:val="en-CA"/>
        </w:rPr>
        <w:t>Imperial Tobacco Canada Limited</w:t>
      </w:r>
    </w:p>
    <w:p w:rsidR="00FB69DE" w:rsidRPr="00FB69DE" w:rsidRDefault="00FB69DE" w:rsidP="00FB69DE">
      <w:pPr>
        <w:jc w:val="center"/>
        <w:rPr>
          <w:rFonts w:cs="Times New Roman"/>
          <w:szCs w:val="24"/>
          <w:lang w:val="en-CA"/>
        </w:rPr>
      </w:pPr>
      <w:r w:rsidRPr="00FB69DE">
        <w:rPr>
          <w:rFonts w:cs="Times New Roman"/>
          <w:szCs w:val="24"/>
          <w:lang w:val="en-CA"/>
        </w:rPr>
        <w:t xml:space="preserve">Respondent / </w:t>
      </w:r>
      <w:proofErr w:type="gramStart"/>
      <w:r w:rsidRPr="00FB69DE">
        <w:rPr>
          <w:rFonts w:cs="Times New Roman"/>
          <w:szCs w:val="24"/>
          <w:lang w:val="en-CA"/>
        </w:rPr>
        <w:t>Appellant</w:t>
      </w:r>
      <w:proofErr w:type="gramEnd"/>
      <w:r w:rsidRPr="00FB69DE">
        <w:rPr>
          <w:rFonts w:cs="Times New Roman"/>
          <w:szCs w:val="24"/>
          <w:lang w:val="en-CA"/>
        </w:rPr>
        <w:t xml:space="preserve"> on cross-appeal</w:t>
      </w:r>
    </w:p>
    <w:p w:rsidR="00FB69DE" w:rsidRPr="00FB69DE" w:rsidRDefault="00FB69DE" w:rsidP="00FB69DE">
      <w:pPr>
        <w:jc w:val="center"/>
        <w:rPr>
          <w:rFonts w:cs="Times New Roman"/>
          <w:szCs w:val="24"/>
          <w:lang w:val="en-CA"/>
        </w:rPr>
      </w:pPr>
      <w:r w:rsidRPr="00FB69DE">
        <w:rPr>
          <w:rFonts w:cs="Times New Roman"/>
          <w:szCs w:val="24"/>
          <w:lang w:val="en-CA"/>
        </w:rPr>
        <w:t xml:space="preserve">- </w:t>
      </w:r>
      <w:proofErr w:type="gramStart"/>
      <w:r w:rsidRPr="00FB69DE">
        <w:rPr>
          <w:rFonts w:cs="Times New Roman"/>
          <w:szCs w:val="24"/>
          <w:lang w:val="en-CA"/>
        </w:rPr>
        <w:t>and</w:t>
      </w:r>
      <w:proofErr w:type="gramEnd"/>
      <w:r w:rsidRPr="00FB69DE">
        <w:rPr>
          <w:rFonts w:cs="Times New Roman"/>
          <w:szCs w:val="24"/>
          <w:lang w:val="en-CA"/>
        </w:rPr>
        <w:t xml:space="preserve"> -</w:t>
      </w:r>
    </w:p>
    <w:p w:rsidR="00FB69DE" w:rsidRPr="00FB69DE" w:rsidRDefault="00FB69DE" w:rsidP="00FB69DE">
      <w:pPr>
        <w:jc w:val="center"/>
        <w:rPr>
          <w:rFonts w:cs="Times New Roman"/>
          <w:b/>
          <w:szCs w:val="24"/>
          <w:lang w:val="en-CA"/>
        </w:rPr>
      </w:pPr>
      <w:r w:rsidRPr="00FB69DE">
        <w:rPr>
          <w:rFonts w:cs="Times New Roman"/>
          <w:b/>
          <w:szCs w:val="24"/>
          <w:lang w:val="en-CA"/>
        </w:rPr>
        <w:t>Attorney General of Ontario and Attorney General of British Columbia</w:t>
      </w:r>
    </w:p>
    <w:p w:rsidR="00FB69DE" w:rsidRPr="00FB69DE" w:rsidRDefault="00FB69DE" w:rsidP="00FB69DE">
      <w:pPr>
        <w:jc w:val="center"/>
        <w:rPr>
          <w:rFonts w:cs="Times New Roman"/>
          <w:szCs w:val="24"/>
          <w:lang w:val="en-CA"/>
        </w:rPr>
      </w:pPr>
      <w:r w:rsidRPr="00FB69DE">
        <w:rPr>
          <w:rFonts w:cs="Times New Roman"/>
          <w:szCs w:val="24"/>
          <w:lang w:val="en-CA"/>
        </w:rPr>
        <w:t>Interveners</w:t>
      </w:r>
      <w:r w:rsidRPr="00FB69DE">
        <w:rPr>
          <w:rFonts w:cs="Times New Roman"/>
          <w:szCs w:val="24"/>
          <w:lang w:val="en-CA"/>
        </w:rPr>
        <w:br/>
      </w:r>
    </w:p>
    <w:p w:rsidR="00FB69DE" w:rsidRPr="00FB69DE" w:rsidRDefault="00FB69DE" w:rsidP="00FB69DE">
      <w:pPr>
        <w:outlineLvl w:val="0"/>
        <w:rPr>
          <w:rFonts w:cs="Times New Roman"/>
          <w:b/>
          <w:smallCaps/>
          <w:szCs w:val="24"/>
          <w:lang w:val="en-CA"/>
        </w:rPr>
      </w:pPr>
      <w:r w:rsidRPr="00FB69DE">
        <w:rPr>
          <w:rFonts w:cs="Times New Roman"/>
          <w:b/>
          <w:smallCaps/>
          <w:szCs w:val="24"/>
          <w:lang w:val="en-CA"/>
        </w:rPr>
        <w:t>And Between:</w:t>
      </w:r>
    </w:p>
    <w:p w:rsidR="00FB69DE" w:rsidRPr="00FB69DE" w:rsidRDefault="00FB69DE" w:rsidP="00FB69DE">
      <w:pPr>
        <w:jc w:val="center"/>
        <w:outlineLvl w:val="0"/>
        <w:rPr>
          <w:rFonts w:cs="Times New Roman"/>
          <w:b/>
          <w:szCs w:val="24"/>
          <w:lang w:val="en-CA"/>
        </w:rPr>
      </w:pPr>
      <w:r w:rsidRPr="00FB69DE">
        <w:rPr>
          <w:rFonts w:cs="Times New Roman"/>
          <w:b/>
          <w:szCs w:val="24"/>
          <w:lang w:val="en-CA"/>
        </w:rPr>
        <w:t>Attorney General of Canada</w:t>
      </w:r>
    </w:p>
    <w:p w:rsidR="00FB69DE" w:rsidRPr="00FB69DE" w:rsidRDefault="00FB69DE" w:rsidP="00FB69DE">
      <w:pPr>
        <w:jc w:val="center"/>
        <w:rPr>
          <w:rFonts w:cs="Times New Roman"/>
          <w:szCs w:val="24"/>
          <w:lang w:val="en-CA"/>
        </w:rPr>
      </w:pPr>
      <w:r w:rsidRPr="00FB69DE">
        <w:rPr>
          <w:rFonts w:cs="Times New Roman"/>
          <w:szCs w:val="24"/>
          <w:lang w:val="en-CA"/>
        </w:rPr>
        <w:t>Appellant / Respondent on cross-appeal</w:t>
      </w:r>
    </w:p>
    <w:p w:rsidR="00FB69DE" w:rsidRPr="00FB69DE" w:rsidRDefault="00FB69DE" w:rsidP="00FB69DE">
      <w:pPr>
        <w:jc w:val="center"/>
        <w:rPr>
          <w:rFonts w:cs="Times New Roman"/>
          <w:szCs w:val="24"/>
          <w:lang w:val="en-CA"/>
        </w:rPr>
      </w:pPr>
      <w:proofErr w:type="gramStart"/>
      <w:r w:rsidRPr="00FB69DE">
        <w:rPr>
          <w:rFonts w:cs="Times New Roman"/>
          <w:szCs w:val="24"/>
          <w:lang w:val="en-CA"/>
        </w:rPr>
        <w:t>and</w:t>
      </w:r>
      <w:proofErr w:type="gramEnd"/>
    </w:p>
    <w:p w:rsidR="00FB69DE" w:rsidRPr="00FB69DE" w:rsidRDefault="00FB69DE" w:rsidP="00FB69DE">
      <w:pPr>
        <w:jc w:val="center"/>
        <w:rPr>
          <w:rFonts w:cs="Times New Roman"/>
          <w:b/>
          <w:szCs w:val="24"/>
          <w:lang w:val="en-CA"/>
        </w:rPr>
      </w:pPr>
      <w:r w:rsidRPr="00FB69DE">
        <w:rPr>
          <w:rFonts w:cs="Times New Roman"/>
          <w:b/>
          <w:szCs w:val="24"/>
          <w:lang w:val="en-CA"/>
        </w:rPr>
        <w:t xml:space="preserve">Her Majesty </w:t>
      </w:r>
      <w:proofErr w:type="gramStart"/>
      <w:r w:rsidRPr="00FB69DE">
        <w:rPr>
          <w:rFonts w:cs="Times New Roman"/>
          <w:b/>
          <w:szCs w:val="24"/>
          <w:lang w:val="en-CA"/>
        </w:rPr>
        <w:t>The</w:t>
      </w:r>
      <w:proofErr w:type="gramEnd"/>
      <w:r w:rsidRPr="00FB69DE">
        <w:rPr>
          <w:rFonts w:cs="Times New Roman"/>
          <w:b/>
          <w:szCs w:val="24"/>
          <w:lang w:val="en-CA"/>
        </w:rPr>
        <w:t xml:space="preserve"> Queen in Right of British Columbia</w:t>
      </w:r>
    </w:p>
    <w:p w:rsidR="00FB69DE" w:rsidRPr="00FB69DE" w:rsidRDefault="00FB69DE" w:rsidP="00FB69DE">
      <w:pPr>
        <w:jc w:val="center"/>
        <w:rPr>
          <w:rFonts w:cs="Times New Roman"/>
          <w:szCs w:val="24"/>
          <w:lang w:val="en-CA"/>
        </w:rPr>
      </w:pPr>
      <w:r w:rsidRPr="00FB69DE">
        <w:rPr>
          <w:rFonts w:cs="Times New Roman"/>
          <w:szCs w:val="24"/>
          <w:lang w:val="en-CA"/>
        </w:rPr>
        <w:t>Respondent</w:t>
      </w:r>
    </w:p>
    <w:p w:rsidR="00FB69DE" w:rsidRPr="00FB69DE" w:rsidRDefault="00FB69DE" w:rsidP="00FB69DE">
      <w:pPr>
        <w:jc w:val="center"/>
        <w:rPr>
          <w:rFonts w:cs="Times New Roman"/>
          <w:b/>
          <w:szCs w:val="24"/>
          <w:lang w:val="en-CA"/>
        </w:rPr>
      </w:pPr>
      <w:r w:rsidRPr="00FB69DE">
        <w:rPr>
          <w:rFonts w:cs="Times New Roman"/>
          <w:b/>
          <w:szCs w:val="24"/>
          <w:lang w:val="en-CA"/>
        </w:rPr>
        <w:t>Imperial Tobacco Canada Limited, Rothmans, Benson &amp; Hedges Inc.,</w:t>
      </w:r>
    </w:p>
    <w:p w:rsidR="00FB69DE" w:rsidRPr="00FB69DE" w:rsidRDefault="00FB69DE" w:rsidP="00FB69DE">
      <w:pPr>
        <w:jc w:val="center"/>
        <w:rPr>
          <w:rFonts w:cs="Times New Roman"/>
          <w:b/>
          <w:szCs w:val="24"/>
          <w:lang w:val="en-CA"/>
        </w:rPr>
      </w:pPr>
      <w:r w:rsidRPr="00FB69DE">
        <w:rPr>
          <w:rFonts w:cs="Times New Roman"/>
          <w:b/>
          <w:szCs w:val="24"/>
          <w:lang w:val="en-CA"/>
        </w:rPr>
        <w:t>Rothmans Inc., JTI-MacDonald Corp., R.J. Reynolds Tobacco Company,</w:t>
      </w:r>
    </w:p>
    <w:p w:rsidR="00FB69DE" w:rsidRPr="00FB69DE" w:rsidRDefault="00FB69DE" w:rsidP="00FB69DE">
      <w:pPr>
        <w:jc w:val="center"/>
        <w:rPr>
          <w:rFonts w:cs="Times New Roman"/>
          <w:b/>
          <w:szCs w:val="24"/>
          <w:lang w:val="en-CA"/>
        </w:rPr>
      </w:pPr>
      <w:r w:rsidRPr="00FB69DE">
        <w:rPr>
          <w:rFonts w:cs="Times New Roman"/>
          <w:b/>
          <w:szCs w:val="24"/>
          <w:lang w:val="en-CA"/>
        </w:rPr>
        <w:t xml:space="preserve">R.J. Reynolds Tobacco International Inc., B.A.T. Industries </w:t>
      </w:r>
      <w:proofErr w:type="spellStart"/>
      <w:r w:rsidRPr="00FB69DE">
        <w:rPr>
          <w:rFonts w:cs="Times New Roman"/>
          <w:b/>
          <w:szCs w:val="24"/>
          <w:lang w:val="en-CA"/>
        </w:rPr>
        <w:t>p.l.c</w:t>
      </w:r>
      <w:proofErr w:type="spellEnd"/>
      <w:proofErr w:type="gramStart"/>
      <w:r w:rsidRPr="00FB69DE">
        <w:rPr>
          <w:rFonts w:cs="Times New Roman"/>
          <w:b/>
          <w:szCs w:val="24"/>
          <w:lang w:val="en-CA"/>
        </w:rPr>
        <w:t>.,</w:t>
      </w:r>
      <w:proofErr w:type="gramEnd"/>
      <w:r w:rsidRPr="00FB69DE">
        <w:rPr>
          <w:rFonts w:cs="Times New Roman"/>
          <w:b/>
          <w:szCs w:val="24"/>
          <w:lang w:val="en-CA"/>
        </w:rPr>
        <w:t xml:space="preserve"> </w:t>
      </w:r>
    </w:p>
    <w:p w:rsidR="00FB69DE" w:rsidRPr="00FB69DE" w:rsidRDefault="00FB69DE" w:rsidP="00FB69DE">
      <w:pPr>
        <w:jc w:val="center"/>
        <w:rPr>
          <w:rFonts w:cs="Times New Roman"/>
          <w:b/>
          <w:szCs w:val="24"/>
          <w:lang w:val="en-CA"/>
        </w:rPr>
      </w:pPr>
      <w:r w:rsidRPr="00FB69DE">
        <w:rPr>
          <w:rFonts w:cs="Times New Roman"/>
          <w:b/>
          <w:szCs w:val="24"/>
          <w:lang w:val="en-CA"/>
        </w:rPr>
        <w:t>British American Tobacco (Investments) Limited, Carreras Rothmans Limited,</w:t>
      </w:r>
    </w:p>
    <w:p w:rsidR="00FB69DE" w:rsidRPr="00FB69DE" w:rsidRDefault="00FB69DE" w:rsidP="00FB69DE">
      <w:pPr>
        <w:jc w:val="center"/>
        <w:rPr>
          <w:rFonts w:cs="Times New Roman"/>
          <w:b/>
          <w:szCs w:val="24"/>
          <w:lang w:val="en-CA"/>
        </w:rPr>
      </w:pPr>
      <w:proofErr w:type="gramStart"/>
      <w:r w:rsidRPr="00FB69DE">
        <w:rPr>
          <w:rFonts w:cs="Times New Roman"/>
          <w:b/>
          <w:szCs w:val="24"/>
          <w:lang w:val="en-CA"/>
        </w:rPr>
        <w:t>Philip Morris USA Inc. and Philip Morris International Inc.</w:t>
      </w:r>
      <w:proofErr w:type="gramEnd"/>
    </w:p>
    <w:p w:rsidR="00FB69DE" w:rsidRPr="00FB69DE" w:rsidRDefault="00FB69DE" w:rsidP="00FB69DE">
      <w:pPr>
        <w:jc w:val="center"/>
        <w:rPr>
          <w:rFonts w:cs="Times New Roman"/>
          <w:szCs w:val="24"/>
          <w:lang w:val="en-CA"/>
        </w:rPr>
      </w:pPr>
      <w:r w:rsidRPr="00FB69DE">
        <w:rPr>
          <w:rFonts w:cs="Times New Roman"/>
          <w:szCs w:val="24"/>
          <w:lang w:val="en-CA"/>
        </w:rPr>
        <w:t>Respondents / Appellants on cross-appeal</w:t>
      </w:r>
    </w:p>
    <w:p w:rsidR="00FB69DE" w:rsidRPr="00FB69DE" w:rsidRDefault="00FB69DE" w:rsidP="00FB69DE">
      <w:pPr>
        <w:jc w:val="center"/>
        <w:rPr>
          <w:rFonts w:cs="Times New Roman"/>
          <w:szCs w:val="24"/>
          <w:lang w:val="en-CA"/>
        </w:rPr>
      </w:pPr>
      <w:r w:rsidRPr="00FB69DE">
        <w:rPr>
          <w:rFonts w:cs="Times New Roman"/>
          <w:szCs w:val="24"/>
          <w:lang w:val="en-CA"/>
        </w:rPr>
        <w:t xml:space="preserve">- </w:t>
      </w:r>
      <w:proofErr w:type="gramStart"/>
      <w:r w:rsidRPr="00FB69DE">
        <w:rPr>
          <w:rFonts w:cs="Times New Roman"/>
          <w:szCs w:val="24"/>
          <w:lang w:val="en-CA"/>
        </w:rPr>
        <w:t>and</w:t>
      </w:r>
      <w:proofErr w:type="gramEnd"/>
      <w:r w:rsidRPr="00FB69DE">
        <w:rPr>
          <w:rFonts w:cs="Times New Roman"/>
          <w:szCs w:val="24"/>
          <w:lang w:val="en-CA"/>
        </w:rPr>
        <w:t xml:space="preserve"> -</w:t>
      </w:r>
    </w:p>
    <w:p w:rsidR="00FB69DE" w:rsidRPr="00FB69DE" w:rsidRDefault="00FB69DE" w:rsidP="00FB69DE">
      <w:pPr>
        <w:jc w:val="center"/>
        <w:rPr>
          <w:rFonts w:cs="Times New Roman"/>
          <w:b/>
          <w:szCs w:val="24"/>
          <w:lang w:val="en-CA"/>
        </w:rPr>
      </w:pPr>
      <w:r w:rsidRPr="00FB69DE">
        <w:rPr>
          <w:rFonts w:cs="Times New Roman"/>
          <w:b/>
          <w:szCs w:val="24"/>
          <w:lang w:val="en-CA"/>
        </w:rPr>
        <w:t>Attorney General of Ontario, Attorney General of British Columbia</w:t>
      </w:r>
    </w:p>
    <w:p w:rsidR="00FB69DE" w:rsidRPr="00FB69DE" w:rsidRDefault="00FB69DE" w:rsidP="00FB69DE">
      <w:pPr>
        <w:jc w:val="center"/>
        <w:rPr>
          <w:rFonts w:cs="Times New Roman"/>
          <w:b/>
          <w:szCs w:val="24"/>
          <w:lang w:val="en-CA"/>
        </w:rPr>
      </w:pPr>
      <w:proofErr w:type="gramStart"/>
      <w:r w:rsidRPr="00FB69DE">
        <w:rPr>
          <w:rFonts w:cs="Times New Roman"/>
          <w:b/>
          <w:szCs w:val="24"/>
          <w:lang w:val="en-CA"/>
        </w:rPr>
        <w:t>and</w:t>
      </w:r>
      <w:proofErr w:type="gramEnd"/>
      <w:r w:rsidRPr="00FB69DE">
        <w:rPr>
          <w:rFonts w:cs="Times New Roman"/>
          <w:b/>
          <w:szCs w:val="24"/>
          <w:lang w:val="en-CA"/>
        </w:rPr>
        <w:t xml:space="preserve"> Her Majesty The Queen in Right of the Province of New Brunswick</w:t>
      </w:r>
    </w:p>
    <w:p w:rsidR="00FB69DE" w:rsidRPr="00FB69DE" w:rsidRDefault="00FB69DE" w:rsidP="00FB69DE">
      <w:pPr>
        <w:jc w:val="center"/>
        <w:rPr>
          <w:rFonts w:cs="Times New Roman"/>
          <w:szCs w:val="24"/>
          <w:lang w:val="en-CA"/>
        </w:rPr>
      </w:pPr>
      <w:r w:rsidRPr="00FB69DE">
        <w:rPr>
          <w:rFonts w:cs="Times New Roman"/>
          <w:szCs w:val="24"/>
          <w:lang w:val="en-CA"/>
        </w:rPr>
        <w:t>Interveners</w:t>
      </w:r>
    </w:p>
    <w:p w:rsidR="00FB69DE" w:rsidRPr="00FB69DE" w:rsidRDefault="00FB69DE" w:rsidP="00FB69DE">
      <w:pPr>
        <w:rPr>
          <w:rFonts w:cs="Times New Roman"/>
          <w:szCs w:val="24"/>
          <w:lang w:val="en-CA"/>
        </w:rPr>
      </w:pPr>
    </w:p>
    <w:p w:rsidR="00FB69DE" w:rsidRPr="00FB69DE" w:rsidRDefault="00FB69DE" w:rsidP="00FB69DE">
      <w:pPr>
        <w:rPr>
          <w:rFonts w:cs="Times New Roman"/>
          <w:szCs w:val="24"/>
          <w:lang w:val="en-CA"/>
        </w:rPr>
      </w:pPr>
      <w:r w:rsidRPr="00FB69DE">
        <w:rPr>
          <w:rFonts w:cs="Times New Roman"/>
          <w:b/>
          <w:smallCaps/>
          <w:szCs w:val="24"/>
          <w:lang w:val="en-CA"/>
        </w:rPr>
        <w:t>Coram:</w:t>
      </w:r>
      <w:r w:rsidRPr="00FB69DE">
        <w:rPr>
          <w:rFonts w:cs="Times New Roman"/>
          <w:szCs w:val="24"/>
          <w:lang w:val="en-CA"/>
        </w:rPr>
        <w:t xml:space="preserve"> </w:t>
      </w:r>
      <w:proofErr w:type="spellStart"/>
      <w:r w:rsidRPr="00FB69DE">
        <w:rPr>
          <w:rFonts w:cs="Times New Roman"/>
          <w:szCs w:val="24"/>
          <w:lang w:val="en-CA"/>
        </w:rPr>
        <w:t>McLachlin</w:t>
      </w:r>
      <w:proofErr w:type="spellEnd"/>
      <w:r w:rsidRPr="00FB69DE">
        <w:rPr>
          <w:rFonts w:cs="Times New Roman"/>
          <w:szCs w:val="24"/>
          <w:lang w:val="en-CA"/>
        </w:rPr>
        <w:t xml:space="preserve"> C.J. and </w:t>
      </w:r>
      <w:proofErr w:type="spellStart"/>
      <w:r w:rsidRPr="00FB69DE">
        <w:rPr>
          <w:rFonts w:cs="Times New Roman"/>
          <w:szCs w:val="24"/>
          <w:lang w:val="en-CA"/>
        </w:rPr>
        <w:t>Binnie</w:t>
      </w:r>
      <w:proofErr w:type="spellEnd"/>
      <w:r w:rsidRPr="00FB69DE">
        <w:rPr>
          <w:rFonts w:cs="Times New Roman"/>
          <w:szCs w:val="24"/>
          <w:lang w:val="en-CA"/>
        </w:rPr>
        <w:t xml:space="preserve">, </w:t>
      </w:r>
      <w:proofErr w:type="spellStart"/>
      <w:r w:rsidRPr="00FB69DE">
        <w:rPr>
          <w:rFonts w:cs="Times New Roman"/>
          <w:szCs w:val="24"/>
          <w:lang w:val="en-CA"/>
        </w:rPr>
        <w:t>LeBel</w:t>
      </w:r>
      <w:proofErr w:type="spellEnd"/>
      <w:r w:rsidRPr="00FB69DE">
        <w:rPr>
          <w:rFonts w:cs="Times New Roman"/>
          <w:szCs w:val="24"/>
          <w:lang w:val="en-CA"/>
        </w:rPr>
        <w:t xml:space="preserve">, </w:t>
      </w:r>
      <w:proofErr w:type="spellStart"/>
      <w:r w:rsidRPr="00FB69DE">
        <w:rPr>
          <w:rFonts w:cs="Times New Roman"/>
          <w:szCs w:val="24"/>
          <w:lang w:val="en-CA"/>
        </w:rPr>
        <w:t>Deschamps</w:t>
      </w:r>
      <w:proofErr w:type="spellEnd"/>
      <w:r w:rsidRPr="00FB69DE">
        <w:rPr>
          <w:rFonts w:cs="Times New Roman"/>
          <w:szCs w:val="24"/>
          <w:lang w:val="en-CA"/>
        </w:rPr>
        <w:t xml:space="preserve">, Fish, </w:t>
      </w:r>
      <w:proofErr w:type="spellStart"/>
      <w:r w:rsidRPr="00FB69DE">
        <w:rPr>
          <w:rFonts w:cs="Times New Roman"/>
          <w:szCs w:val="24"/>
          <w:lang w:val="en-CA"/>
        </w:rPr>
        <w:t>Abella</w:t>
      </w:r>
      <w:proofErr w:type="spellEnd"/>
      <w:r w:rsidRPr="00FB69DE">
        <w:rPr>
          <w:rFonts w:cs="Times New Roman"/>
          <w:szCs w:val="24"/>
          <w:lang w:val="en-CA"/>
        </w:rPr>
        <w:t xml:space="preserve">, </w:t>
      </w:r>
      <w:proofErr w:type="spellStart"/>
      <w:r w:rsidRPr="00FB69DE">
        <w:rPr>
          <w:rFonts w:cs="Times New Roman"/>
          <w:szCs w:val="24"/>
          <w:lang w:val="en-CA"/>
        </w:rPr>
        <w:t>Charron</w:t>
      </w:r>
      <w:proofErr w:type="spellEnd"/>
      <w:r w:rsidRPr="00FB69DE">
        <w:rPr>
          <w:rFonts w:cs="Times New Roman"/>
          <w:szCs w:val="24"/>
          <w:lang w:val="en-CA"/>
        </w:rPr>
        <w:t>, Rothstein and Cromwell JJ.</w:t>
      </w:r>
    </w:p>
    <w:p w:rsidR="00FB69DE" w:rsidRPr="00FB69DE" w:rsidRDefault="00FB69DE" w:rsidP="00FB69DE">
      <w:pPr>
        <w:rPr>
          <w:rFonts w:cs="Times New Roman"/>
          <w:szCs w:val="24"/>
          <w:lang w:val="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B69DE" w:rsidRPr="00FB69DE" w:rsidTr="003C1A7E">
        <w:trPr>
          <w:cantSplit/>
        </w:trPr>
        <w:tc>
          <w:tcPr>
            <w:tcW w:w="3618" w:type="dxa"/>
          </w:tcPr>
          <w:p w:rsidR="00FB69DE" w:rsidRPr="00FB69DE" w:rsidRDefault="00FB69DE" w:rsidP="003C1A7E">
            <w:pPr>
              <w:rPr>
                <w:rFonts w:cs="Times New Roman"/>
                <w:b/>
                <w:smallCaps/>
                <w:szCs w:val="24"/>
                <w:lang w:val="en-CA"/>
              </w:rPr>
            </w:pPr>
            <w:r w:rsidRPr="00FB69DE">
              <w:rPr>
                <w:rFonts w:cs="Times New Roman"/>
                <w:b/>
                <w:smallCaps/>
                <w:szCs w:val="24"/>
                <w:lang w:val="en-CA"/>
              </w:rPr>
              <w:t>Reasons for Judgment:</w:t>
            </w:r>
          </w:p>
          <w:p w:rsidR="00FB69DE" w:rsidRPr="00FB69DE" w:rsidRDefault="00FB69DE" w:rsidP="003C1A7E">
            <w:pPr>
              <w:rPr>
                <w:rFonts w:cs="Times New Roman"/>
                <w:szCs w:val="24"/>
                <w:lang w:val="en-CA"/>
              </w:rPr>
            </w:pPr>
            <w:r w:rsidRPr="00FB69DE">
              <w:rPr>
                <w:rFonts w:cs="Times New Roman"/>
                <w:szCs w:val="24"/>
                <w:lang w:val="en-CA"/>
              </w:rPr>
              <w:t>(</w:t>
            </w:r>
            <w:proofErr w:type="spellStart"/>
            <w:r w:rsidRPr="00FB69DE">
              <w:rPr>
                <w:rFonts w:cs="Times New Roman"/>
                <w:szCs w:val="24"/>
                <w:lang w:val="en-CA"/>
              </w:rPr>
              <w:t>paras</w:t>
            </w:r>
            <w:proofErr w:type="spellEnd"/>
            <w:r w:rsidRPr="00FB69DE">
              <w:rPr>
                <w:rFonts w:cs="Times New Roman"/>
                <w:szCs w:val="24"/>
                <w:lang w:val="en-CA"/>
              </w:rPr>
              <w:t>. 1 to 151)</w:t>
            </w:r>
          </w:p>
        </w:tc>
        <w:tc>
          <w:tcPr>
            <w:tcW w:w="5958" w:type="dxa"/>
          </w:tcPr>
          <w:p w:rsidR="00FB69DE" w:rsidRPr="00FB69DE" w:rsidRDefault="00FB69DE" w:rsidP="003C1A7E">
            <w:pPr>
              <w:rPr>
                <w:rFonts w:cs="Times New Roman"/>
                <w:szCs w:val="24"/>
              </w:rPr>
            </w:pPr>
            <w:proofErr w:type="spellStart"/>
            <w:r w:rsidRPr="00FB69DE">
              <w:rPr>
                <w:rFonts w:cs="Times New Roman"/>
                <w:szCs w:val="24"/>
              </w:rPr>
              <w:t>McLachlin</w:t>
            </w:r>
            <w:proofErr w:type="spellEnd"/>
            <w:r w:rsidRPr="00FB69DE">
              <w:rPr>
                <w:rFonts w:cs="Times New Roman"/>
                <w:szCs w:val="24"/>
              </w:rPr>
              <w:t xml:space="preserve"> C.J. (</w:t>
            </w:r>
            <w:proofErr w:type="spellStart"/>
            <w:r w:rsidRPr="00FB69DE">
              <w:rPr>
                <w:rFonts w:cs="Times New Roman"/>
                <w:szCs w:val="24"/>
              </w:rPr>
              <w:t>Binnie</w:t>
            </w:r>
            <w:proofErr w:type="spellEnd"/>
            <w:r w:rsidRPr="00FB69DE">
              <w:rPr>
                <w:rFonts w:cs="Times New Roman"/>
                <w:szCs w:val="24"/>
              </w:rPr>
              <w:t xml:space="preserve">, </w:t>
            </w:r>
            <w:proofErr w:type="spellStart"/>
            <w:r w:rsidRPr="00FB69DE">
              <w:rPr>
                <w:rFonts w:cs="Times New Roman"/>
                <w:szCs w:val="24"/>
              </w:rPr>
              <w:t>LeBel</w:t>
            </w:r>
            <w:proofErr w:type="spellEnd"/>
            <w:r w:rsidRPr="00FB69DE">
              <w:rPr>
                <w:rFonts w:cs="Times New Roman"/>
                <w:szCs w:val="24"/>
              </w:rPr>
              <w:t xml:space="preserve">, Deschamps, Fish, </w:t>
            </w:r>
            <w:proofErr w:type="spellStart"/>
            <w:r w:rsidRPr="00FB69DE">
              <w:rPr>
                <w:rFonts w:cs="Times New Roman"/>
                <w:szCs w:val="24"/>
              </w:rPr>
              <w:t>Abella</w:t>
            </w:r>
            <w:proofErr w:type="spellEnd"/>
            <w:r w:rsidRPr="00FB69DE">
              <w:rPr>
                <w:rFonts w:cs="Times New Roman"/>
                <w:szCs w:val="24"/>
              </w:rPr>
              <w:t xml:space="preserve">, </w:t>
            </w:r>
            <w:proofErr w:type="spellStart"/>
            <w:r w:rsidRPr="00FB69DE">
              <w:rPr>
                <w:rFonts w:cs="Times New Roman"/>
                <w:szCs w:val="24"/>
              </w:rPr>
              <w:t>Charron</w:t>
            </w:r>
            <w:proofErr w:type="spellEnd"/>
            <w:r w:rsidRPr="00FB69DE">
              <w:rPr>
                <w:rFonts w:cs="Times New Roman"/>
                <w:szCs w:val="24"/>
              </w:rPr>
              <w:t>, Rothstein and Cromwell JJ. concurring)</w:t>
            </w:r>
          </w:p>
        </w:tc>
      </w:tr>
    </w:tbl>
    <w:p w:rsidR="00FB69DE" w:rsidRPr="00FB69DE" w:rsidRDefault="00FB69DE" w:rsidP="00FB69DE">
      <w:pPr>
        <w:rPr>
          <w:rFonts w:cs="Times New Roman"/>
          <w:szCs w:val="24"/>
        </w:rPr>
      </w:pPr>
    </w:p>
    <w:p w:rsidR="00FB69DE" w:rsidRPr="00FB69DE" w:rsidRDefault="00C74886" w:rsidP="00FB69DE">
      <w:pPr>
        <w:rPr>
          <w:lang w:val="en-CA"/>
        </w:rPr>
      </w:pPr>
      <w:r w:rsidRPr="00C74886">
        <w:rPr>
          <w:noProof/>
          <w:lang w:val="en-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FB69DE" w:rsidRPr="00FB69DE" w:rsidRDefault="00FB69DE" w:rsidP="00FB69DE">
      <w:pPr>
        <w:rPr>
          <w:rStyle w:val="SCCAppellantForRunningHeadChar"/>
          <w:lang w:val="en-CA"/>
        </w:rPr>
      </w:pPr>
      <w:r w:rsidRPr="00FB69DE">
        <w:rPr>
          <w:rStyle w:val="SCCAppellantForRunningHeadChar"/>
          <w:lang w:val="en-CA"/>
        </w:rPr>
        <w:br w:type="page"/>
      </w:r>
    </w:p>
    <w:p w:rsidR="00634F6B" w:rsidRPr="00D910D8" w:rsidRDefault="001E1B00" w:rsidP="00634F6B">
      <w:pPr>
        <w:spacing w:after="720"/>
        <w:jc w:val="both"/>
        <w:rPr>
          <w:rFonts w:cs="Times New Roman"/>
          <w:smallCaps/>
          <w:szCs w:val="24"/>
          <w:lang w:val="en-CA"/>
        </w:rPr>
      </w:pPr>
      <w:r w:rsidRPr="00D910D8">
        <w:rPr>
          <w:rFonts w:cs="Times New Roman"/>
          <w:szCs w:val="24"/>
          <w:lang w:val="en-CA"/>
        </w:rPr>
        <w:lastRenderedPageBreak/>
        <w:t xml:space="preserve">R. </w:t>
      </w:r>
      <w:r w:rsidRPr="00D910D8">
        <w:rPr>
          <w:rFonts w:cs="Times New Roman"/>
          <w:i/>
          <w:szCs w:val="24"/>
          <w:lang w:val="en-CA"/>
        </w:rPr>
        <w:t>v.</w:t>
      </w:r>
      <w:r w:rsidRPr="00D910D8">
        <w:rPr>
          <w:rFonts w:cs="Times New Roman"/>
          <w:szCs w:val="24"/>
          <w:lang w:val="en-CA"/>
        </w:rPr>
        <w:t xml:space="preserve"> Imperial Tobacco Canada Ltd.</w:t>
      </w:r>
      <w:r w:rsidRPr="00D910D8">
        <w:rPr>
          <w:rFonts w:cs="Times New Roman"/>
          <w:smallCaps/>
          <w:szCs w:val="24"/>
          <w:lang w:val="en-CA"/>
        </w:rPr>
        <w:t xml:space="preserve">, </w:t>
      </w:r>
      <w:r w:rsidRPr="00D910D8">
        <w:rPr>
          <w:rStyle w:val="SCCRespondentForRunningHeadChar"/>
          <w:rFonts w:cs="Times New Roman"/>
          <w:szCs w:val="24"/>
          <w:lang w:val="en-CA"/>
        </w:rPr>
        <w:t>2011 SCC 42, [2011] 3 S.C.R. 45</w:t>
      </w:r>
    </w:p>
    <w:p w:rsidR="00634F6B" w:rsidRPr="00D910D8" w:rsidRDefault="00634F6B" w:rsidP="006C355D">
      <w:pPr>
        <w:jc w:val="both"/>
        <w:rPr>
          <w:rFonts w:cs="Times New Roman"/>
          <w:b/>
          <w:szCs w:val="24"/>
          <w:lang w:val="en-CA"/>
        </w:rPr>
      </w:pPr>
      <w:r w:rsidRPr="00D910D8">
        <w:rPr>
          <w:rFonts w:cs="Times New Roman"/>
          <w:b/>
          <w:szCs w:val="24"/>
          <w:lang w:val="en-CA"/>
        </w:rPr>
        <w:t xml:space="preserve">Her Majesty </w:t>
      </w:r>
      <w:proofErr w:type="gramStart"/>
      <w:r w:rsidRPr="00D910D8">
        <w:rPr>
          <w:rFonts w:cs="Times New Roman"/>
          <w:b/>
          <w:szCs w:val="24"/>
          <w:lang w:val="en-CA"/>
        </w:rPr>
        <w:t>The</w:t>
      </w:r>
      <w:proofErr w:type="gramEnd"/>
      <w:r w:rsidRPr="00D910D8">
        <w:rPr>
          <w:rFonts w:cs="Times New Roman"/>
          <w:b/>
          <w:szCs w:val="24"/>
          <w:lang w:val="en-CA"/>
        </w:rPr>
        <w:t xml:space="preserve"> Queen in Right </w:t>
      </w:r>
    </w:p>
    <w:p w:rsidR="00634F6B" w:rsidRPr="00D910D8" w:rsidRDefault="00634F6B" w:rsidP="00634F6B">
      <w:pPr>
        <w:tabs>
          <w:tab w:val="right" w:pos="8222"/>
        </w:tabs>
        <w:spacing w:after="720"/>
        <w:jc w:val="both"/>
        <w:rPr>
          <w:rFonts w:cs="Times New Roman"/>
          <w:i/>
          <w:szCs w:val="24"/>
          <w:lang w:val="en-CA"/>
        </w:rPr>
      </w:pPr>
      <w:proofErr w:type="gramStart"/>
      <w:r w:rsidRPr="00D910D8">
        <w:rPr>
          <w:rFonts w:cs="Times New Roman"/>
          <w:b/>
          <w:szCs w:val="24"/>
          <w:lang w:val="en-CA"/>
        </w:rPr>
        <w:t>of</w:t>
      </w:r>
      <w:proofErr w:type="gramEnd"/>
      <w:r w:rsidRPr="00D910D8">
        <w:rPr>
          <w:rFonts w:cs="Times New Roman"/>
          <w:b/>
          <w:szCs w:val="24"/>
          <w:lang w:val="en-CA"/>
        </w:rPr>
        <w:t xml:space="preserve"> Canada</w:t>
      </w:r>
      <w:r w:rsidRPr="00D910D8">
        <w:rPr>
          <w:rFonts w:cs="Times New Roman"/>
          <w:b/>
          <w:szCs w:val="24"/>
          <w:lang w:val="en-CA"/>
        </w:rPr>
        <w:tab/>
      </w:r>
      <w:r w:rsidRPr="00D910D8">
        <w:rPr>
          <w:rFonts w:cs="Times New Roman"/>
          <w:i/>
          <w:szCs w:val="24"/>
          <w:lang w:val="en-CA"/>
        </w:rPr>
        <w:t xml:space="preserve">Appellant/Respondent on </w:t>
      </w:r>
      <w:proofErr w:type="spellStart"/>
      <w:r w:rsidRPr="00D910D8">
        <w:rPr>
          <w:rFonts w:cs="Times New Roman"/>
          <w:i/>
          <w:szCs w:val="24"/>
          <w:lang w:val="en-CA"/>
        </w:rPr>
        <w:t>cross</w:t>
      </w:r>
      <w:r w:rsidRPr="00D910D8">
        <w:rPr>
          <w:rFonts w:cs="Times New Roman"/>
          <w:i/>
          <w:szCs w:val="24"/>
          <w:lang w:val="en-CA"/>
        </w:rPr>
        <w:noBreakHyphen/>
        <w:t>appeal</w:t>
      </w:r>
      <w:proofErr w:type="spellEnd"/>
    </w:p>
    <w:p w:rsidR="00634F6B" w:rsidRPr="00D910D8" w:rsidRDefault="00634F6B" w:rsidP="00634F6B">
      <w:pPr>
        <w:spacing w:after="720"/>
        <w:rPr>
          <w:rFonts w:cs="Times New Roman"/>
          <w:i/>
          <w:szCs w:val="24"/>
          <w:lang w:val="en-CA"/>
        </w:rPr>
      </w:pPr>
      <w:proofErr w:type="gramStart"/>
      <w:r w:rsidRPr="00D910D8">
        <w:rPr>
          <w:rFonts w:cs="Times New Roman"/>
          <w:i/>
          <w:szCs w:val="24"/>
          <w:lang w:val="en-CA"/>
        </w:rPr>
        <w:t>v</w:t>
      </w:r>
      <w:proofErr w:type="gramEnd"/>
      <w:r w:rsidRPr="00D910D8">
        <w:rPr>
          <w:rFonts w:cs="Times New Roman"/>
          <w:i/>
          <w:szCs w:val="24"/>
          <w:lang w:val="en-CA"/>
        </w:rPr>
        <w:t>.</w:t>
      </w:r>
    </w:p>
    <w:p w:rsidR="00634F6B" w:rsidRPr="00D910D8" w:rsidRDefault="00634F6B" w:rsidP="00634F6B">
      <w:pPr>
        <w:tabs>
          <w:tab w:val="right" w:pos="8133"/>
        </w:tabs>
        <w:spacing w:after="720"/>
        <w:jc w:val="both"/>
        <w:rPr>
          <w:rFonts w:cs="Times New Roman"/>
          <w:i/>
          <w:szCs w:val="24"/>
          <w:lang w:val="en-CA"/>
        </w:rPr>
      </w:pPr>
      <w:r w:rsidRPr="00D910D8">
        <w:rPr>
          <w:rFonts w:cs="Times New Roman"/>
          <w:b/>
          <w:szCs w:val="24"/>
          <w:lang w:val="en-CA"/>
        </w:rPr>
        <w:t>Imperial Tobacco Canada Limited</w:t>
      </w:r>
      <w:r w:rsidRPr="00D910D8">
        <w:rPr>
          <w:rFonts w:cs="Times New Roman"/>
          <w:b/>
          <w:szCs w:val="24"/>
          <w:lang w:val="en-CA"/>
        </w:rPr>
        <w:tab/>
      </w:r>
      <w:r w:rsidRPr="00D910D8">
        <w:rPr>
          <w:rFonts w:cs="Times New Roman"/>
          <w:i/>
          <w:szCs w:val="24"/>
          <w:lang w:val="en-CA"/>
        </w:rPr>
        <w:t xml:space="preserve">Respondent/Appellant on </w:t>
      </w:r>
      <w:proofErr w:type="spellStart"/>
      <w:r w:rsidRPr="00D910D8">
        <w:rPr>
          <w:rFonts w:cs="Times New Roman"/>
          <w:i/>
          <w:szCs w:val="24"/>
          <w:lang w:val="en-CA"/>
        </w:rPr>
        <w:t>cross</w:t>
      </w:r>
      <w:r w:rsidRPr="00D910D8">
        <w:rPr>
          <w:rFonts w:cs="Times New Roman"/>
          <w:i/>
          <w:szCs w:val="24"/>
          <w:lang w:val="en-CA"/>
        </w:rPr>
        <w:noBreakHyphen/>
        <w:t>appeal</w:t>
      </w:r>
      <w:proofErr w:type="spellEnd"/>
    </w:p>
    <w:p w:rsidR="00634F6B" w:rsidRPr="00D910D8" w:rsidRDefault="00634F6B" w:rsidP="00634F6B">
      <w:pPr>
        <w:spacing w:after="720"/>
        <w:rPr>
          <w:rFonts w:cs="Times New Roman"/>
          <w:szCs w:val="24"/>
          <w:lang w:val="en-CA"/>
        </w:rPr>
      </w:pPr>
      <w:proofErr w:type="gramStart"/>
      <w:r w:rsidRPr="00D910D8">
        <w:rPr>
          <w:rFonts w:cs="Times New Roman"/>
          <w:szCs w:val="24"/>
          <w:lang w:val="en-CA"/>
        </w:rPr>
        <w:t>and</w:t>
      </w:r>
      <w:proofErr w:type="gramEnd"/>
    </w:p>
    <w:p w:rsidR="00634F6B" w:rsidRPr="00D910D8" w:rsidRDefault="00634F6B" w:rsidP="006C355D">
      <w:pPr>
        <w:jc w:val="both"/>
        <w:rPr>
          <w:rFonts w:cs="Times New Roman"/>
          <w:b/>
          <w:szCs w:val="24"/>
          <w:lang w:val="en-CA"/>
        </w:rPr>
      </w:pPr>
      <w:r w:rsidRPr="00D910D8">
        <w:rPr>
          <w:rFonts w:cs="Times New Roman"/>
          <w:b/>
          <w:szCs w:val="24"/>
          <w:lang w:val="en-CA"/>
        </w:rPr>
        <w:t>Attorney General of Ontario and</w:t>
      </w:r>
      <w:r w:rsidR="00581B23" w:rsidRPr="00D910D8">
        <w:rPr>
          <w:rFonts w:cs="Times New Roman"/>
          <w:b/>
          <w:szCs w:val="24"/>
          <w:lang w:val="en-CA"/>
        </w:rPr>
        <w:t xml:space="preserve"> </w:t>
      </w:r>
    </w:p>
    <w:p w:rsidR="00634F6B" w:rsidRPr="00D910D8" w:rsidRDefault="00634F6B" w:rsidP="00634F6B">
      <w:pPr>
        <w:tabs>
          <w:tab w:val="right" w:pos="8222"/>
        </w:tabs>
        <w:spacing w:after="720"/>
        <w:jc w:val="both"/>
        <w:rPr>
          <w:rFonts w:cs="Times New Roman"/>
          <w:i/>
          <w:szCs w:val="24"/>
          <w:lang w:val="en-CA"/>
        </w:rPr>
      </w:pPr>
      <w:r w:rsidRPr="00D910D8">
        <w:rPr>
          <w:rFonts w:cs="Times New Roman"/>
          <w:b/>
          <w:szCs w:val="24"/>
          <w:lang w:val="en-CA"/>
        </w:rPr>
        <w:t>Attorney General of British Columbia</w:t>
      </w:r>
      <w:r w:rsidRPr="00D910D8">
        <w:rPr>
          <w:rFonts w:cs="Times New Roman"/>
          <w:b/>
          <w:szCs w:val="24"/>
          <w:lang w:val="en-CA"/>
        </w:rPr>
        <w:tab/>
      </w:r>
      <w:r w:rsidRPr="00D910D8">
        <w:rPr>
          <w:rFonts w:cs="Times New Roman"/>
          <w:i/>
          <w:szCs w:val="24"/>
          <w:lang w:val="en-CA"/>
        </w:rPr>
        <w:t>Interveners</w:t>
      </w:r>
    </w:p>
    <w:p w:rsidR="00634F6B" w:rsidRPr="00D910D8" w:rsidRDefault="00634F6B" w:rsidP="00634F6B">
      <w:pPr>
        <w:spacing w:after="720"/>
        <w:rPr>
          <w:rFonts w:cs="Times New Roman"/>
          <w:szCs w:val="24"/>
          <w:lang w:val="en-CA"/>
        </w:rPr>
      </w:pPr>
      <w:r w:rsidRPr="00D910D8">
        <w:rPr>
          <w:rFonts w:cs="Times New Roman"/>
          <w:szCs w:val="24"/>
          <w:lang w:val="en-CA"/>
        </w:rPr>
        <w:noBreakHyphen/>
        <w:t xml:space="preserve"> </w:t>
      </w:r>
      <w:proofErr w:type="gramStart"/>
      <w:r w:rsidRPr="00D910D8">
        <w:rPr>
          <w:rFonts w:cs="Times New Roman"/>
          <w:szCs w:val="24"/>
          <w:lang w:val="en-CA"/>
        </w:rPr>
        <w:t>and</w:t>
      </w:r>
      <w:proofErr w:type="gramEnd"/>
      <w:r w:rsidRPr="00D910D8">
        <w:rPr>
          <w:rFonts w:cs="Times New Roman"/>
          <w:szCs w:val="24"/>
          <w:lang w:val="en-CA"/>
        </w:rPr>
        <w:t xml:space="preserve"> </w:t>
      </w:r>
      <w:r w:rsidRPr="00D910D8">
        <w:rPr>
          <w:rFonts w:cs="Times New Roman"/>
          <w:szCs w:val="24"/>
          <w:lang w:val="en-CA"/>
        </w:rPr>
        <w:noBreakHyphen/>
      </w:r>
    </w:p>
    <w:p w:rsidR="00634F6B" w:rsidRPr="00D910D8" w:rsidRDefault="00634F6B" w:rsidP="00634F6B">
      <w:pPr>
        <w:tabs>
          <w:tab w:val="right" w:pos="8222"/>
        </w:tabs>
        <w:spacing w:after="720"/>
        <w:jc w:val="both"/>
        <w:rPr>
          <w:rFonts w:cs="Times New Roman"/>
          <w:i/>
          <w:szCs w:val="24"/>
          <w:lang w:val="en-CA"/>
        </w:rPr>
      </w:pPr>
      <w:r w:rsidRPr="00D910D8">
        <w:rPr>
          <w:rFonts w:cs="Times New Roman"/>
          <w:b/>
          <w:szCs w:val="24"/>
          <w:lang w:val="en-CA"/>
        </w:rPr>
        <w:t>Attorney General of Canada</w:t>
      </w:r>
      <w:r w:rsidRPr="00D910D8">
        <w:rPr>
          <w:rFonts w:cs="Times New Roman"/>
          <w:b/>
          <w:szCs w:val="24"/>
          <w:lang w:val="en-CA"/>
        </w:rPr>
        <w:tab/>
      </w:r>
      <w:r w:rsidRPr="00D910D8">
        <w:rPr>
          <w:rFonts w:cs="Times New Roman"/>
          <w:i/>
          <w:szCs w:val="24"/>
          <w:lang w:val="en-CA"/>
        </w:rPr>
        <w:t xml:space="preserve">Appellant/Respondent on </w:t>
      </w:r>
      <w:proofErr w:type="spellStart"/>
      <w:r w:rsidRPr="00D910D8">
        <w:rPr>
          <w:rFonts w:cs="Times New Roman"/>
          <w:i/>
          <w:szCs w:val="24"/>
          <w:lang w:val="en-CA"/>
        </w:rPr>
        <w:t>cross</w:t>
      </w:r>
      <w:r w:rsidRPr="00D910D8">
        <w:rPr>
          <w:rFonts w:cs="Times New Roman"/>
          <w:i/>
          <w:szCs w:val="24"/>
          <w:lang w:val="en-CA"/>
        </w:rPr>
        <w:noBreakHyphen/>
        <w:t>appeal</w:t>
      </w:r>
      <w:proofErr w:type="spellEnd"/>
    </w:p>
    <w:p w:rsidR="00634F6B" w:rsidRPr="00D910D8" w:rsidRDefault="00634F6B" w:rsidP="00634F6B">
      <w:pPr>
        <w:spacing w:after="480" w:line="480" w:lineRule="auto"/>
        <w:rPr>
          <w:rFonts w:cs="Times New Roman"/>
          <w:i/>
          <w:szCs w:val="24"/>
          <w:lang w:val="en-CA"/>
        </w:rPr>
      </w:pPr>
      <w:proofErr w:type="gramStart"/>
      <w:r w:rsidRPr="00D910D8">
        <w:rPr>
          <w:rFonts w:cs="Times New Roman"/>
          <w:i/>
          <w:szCs w:val="24"/>
          <w:lang w:val="en-CA"/>
        </w:rPr>
        <w:t>v</w:t>
      </w:r>
      <w:proofErr w:type="gramEnd"/>
      <w:r w:rsidRPr="00D910D8">
        <w:rPr>
          <w:rFonts w:cs="Times New Roman"/>
          <w:i/>
          <w:szCs w:val="24"/>
          <w:lang w:val="en-CA"/>
        </w:rPr>
        <w:t>.</w:t>
      </w:r>
    </w:p>
    <w:p w:rsidR="00634F6B" w:rsidRPr="00D910D8" w:rsidRDefault="00634F6B" w:rsidP="00634F6B">
      <w:pPr>
        <w:tabs>
          <w:tab w:val="right" w:pos="8222"/>
        </w:tabs>
        <w:spacing w:after="720"/>
        <w:jc w:val="both"/>
        <w:rPr>
          <w:rFonts w:cs="Times New Roman"/>
          <w:i/>
          <w:szCs w:val="24"/>
          <w:lang w:val="en-CA"/>
        </w:rPr>
      </w:pPr>
      <w:r w:rsidRPr="00D910D8">
        <w:rPr>
          <w:rFonts w:cs="Times New Roman"/>
          <w:b/>
          <w:szCs w:val="24"/>
          <w:lang w:val="en-CA"/>
        </w:rPr>
        <w:t xml:space="preserve">Her Majesty </w:t>
      </w:r>
      <w:proofErr w:type="gramStart"/>
      <w:r w:rsidRPr="00D910D8">
        <w:rPr>
          <w:rFonts w:cs="Times New Roman"/>
          <w:b/>
          <w:szCs w:val="24"/>
          <w:lang w:val="en-CA"/>
        </w:rPr>
        <w:t>The</w:t>
      </w:r>
      <w:proofErr w:type="gramEnd"/>
      <w:r w:rsidRPr="00D910D8">
        <w:rPr>
          <w:rFonts w:cs="Times New Roman"/>
          <w:b/>
          <w:szCs w:val="24"/>
          <w:lang w:val="en-CA"/>
        </w:rPr>
        <w:t xml:space="preserve"> Queen in Right of British Columbia</w:t>
      </w:r>
      <w:r w:rsidRPr="00D910D8">
        <w:rPr>
          <w:rFonts w:cs="Times New Roman"/>
          <w:b/>
          <w:szCs w:val="24"/>
          <w:lang w:val="en-CA"/>
        </w:rPr>
        <w:tab/>
      </w:r>
      <w:r w:rsidRPr="00D910D8">
        <w:rPr>
          <w:rFonts w:cs="Times New Roman"/>
          <w:i/>
          <w:szCs w:val="24"/>
          <w:lang w:val="en-CA"/>
        </w:rPr>
        <w:t>Respondent</w:t>
      </w:r>
    </w:p>
    <w:p w:rsidR="00634F6B" w:rsidRPr="00D910D8" w:rsidRDefault="00634F6B" w:rsidP="00634F6B">
      <w:pPr>
        <w:spacing w:after="720"/>
        <w:rPr>
          <w:rFonts w:cs="Times New Roman"/>
          <w:szCs w:val="24"/>
          <w:lang w:val="en-CA"/>
        </w:rPr>
      </w:pPr>
      <w:proofErr w:type="gramStart"/>
      <w:r w:rsidRPr="00D910D8">
        <w:rPr>
          <w:rFonts w:cs="Times New Roman"/>
          <w:szCs w:val="24"/>
          <w:lang w:val="en-CA"/>
        </w:rPr>
        <w:t>and</w:t>
      </w:r>
      <w:proofErr w:type="gramEnd"/>
    </w:p>
    <w:p w:rsidR="00634F6B" w:rsidRPr="00D910D8" w:rsidRDefault="00634F6B" w:rsidP="006C355D">
      <w:pPr>
        <w:jc w:val="both"/>
        <w:rPr>
          <w:rFonts w:cs="Times New Roman"/>
          <w:b/>
          <w:szCs w:val="24"/>
          <w:lang w:val="en-CA"/>
        </w:rPr>
      </w:pPr>
      <w:r w:rsidRPr="00D910D8">
        <w:rPr>
          <w:rFonts w:cs="Times New Roman"/>
          <w:b/>
          <w:szCs w:val="24"/>
          <w:lang w:val="en-CA"/>
        </w:rPr>
        <w:lastRenderedPageBreak/>
        <w:t xml:space="preserve">Imperial Tobacco Canada Limited, Rothmans, Benson </w:t>
      </w:r>
    </w:p>
    <w:p w:rsidR="00634F6B" w:rsidRPr="00D910D8" w:rsidRDefault="00634F6B" w:rsidP="006C355D">
      <w:pPr>
        <w:jc w:val="both"/>
        <w:rPr>
          <w:rFonts w:cs="Times New Roman"/>
          <w:b/>
          <w:szCs w:val="24"/>
          <w:lang w:val="en-CA"/>
        </w:rPr>
      </w:pPr>
      <w:r w:rsidRPr="00D910D8">
        <w:rPr>
          <w:rFonts w:cs="Times New Roman"/>
          <w:b/>
          <w:szCs w:val="24"/>
          <w:lang w:val="en-CA"/>
        </w:rPr>
        <w:t xml:space="preserve">&amp; Hedges Inc., Rothmans Inc., </w:t>
      </w:r>
      <w:proofErr w:type="spellStart"/>
      <w:r w:rsidRPr="00D910D8">
        <w:rPr>
          <w:rFonts w:cs="Times New Roman"/>
          <w:b/>
          <w:szCs w:val="24"/>
          <w:lang w:val="en-CA"/>
        </w:rPr>
        <w:t>JTI</w:t>
      </w:r>
      <w:r w:rsidRPr="00D910D8">
        <w:rPr>
          <w:rFonts w:cs="Times New Roman"/>
          <w:b/>
          <w:szCs w:val="24"/>
          <w:lang w:val="en-CA"/>
        </w:rPr>
        <w:noBreakHyphen/>
        <w:t>MacDonald</w:t>
      </w:r>
      <w:proofErr w:type="spellEnd"/>
      <w:r w:rsidRPr="00D910D8">
        <w:rPr>
          <w:rFonts w:cs="Times New Roman"/>
          <w:b/>
          <w:szCs w:val="24"/>
          <w:lang w:val="en-CA"/>
        </w:rPr>
        <w:t xml:space="preserve"> Corp., </w:t>
      </w:r>
    </w:p>
    <w:p w:rsidR="00634F6B" w:rsidRPr="00D910D8" w:rsidRDefault="00634F6B" w:rsidP="006C355D">
      <w:pPr>
        <w:jc w:val="both"/>
        <w:rPr>
          <w:rFonts w:cs="Times New Roman"/>
          <w:b/>
          <w:szCs w:val="24"/>
          <w:lang w:val="en-CA"/>
        </w:rPr>
      </w:pPr>
      <w:r w:rsidRPr="00D910D8">
        <w:rPr>
          <w:rFonts w:cs="Times New Roman"/>
          <w:b/>
          <w:szCs w:val="24"/>
          <w:lang w:val="en-CA"/>
        </w:rPr>
        <w:t xml:space="preserve">R.J. Reynolds Tobacco Company, R.J. Reynolds </w:t>
      </w:r>
    </w:p>
    <w:p w:rsidR="00634F6B" w:rsidRPr="00D910D8" w:rsidRDefault="00634F6B" w:rsidP="006C355D">
      <w:pPr>
        <w:jc w:val="both"/>
        <w:rPr>
          <w:rFonts w:cs="Times New Roman"/>
          <w:b/>
          <w:szCs w:val="24"/>
          <w:lang w:val="en-CA"/>
        </w:rPr>
      </w:pPr>
      <w:r w:rsidRPr="00D910D8">
        <w:rPr>
          <w:rFonts w:cs="Times New Roman"/>
          <w:b/>
          <w:szCs w:val="24"/>
          <w:lang w:val="en-CA"/>
        </w:rPr>
        <w:t xml:space="preserve">Tobacco International Inc., B.A.T. Industries </w:t>
      </w:r>
      <w:proofErr w:type="spellStart"/>
      <w:r w:rsidRPr="00D910D8">
        <w:rPr>
          <w:rFonts w:cs="Times New Roman"/>
          <w:b/>
          <w:szCs w:val="24"/>
          <w:lang w:val="en-CA"/>
        </w:rPr>
        <w:t>p.l.c</w:t>
      </w:r>
      <w:proofErr w:type="spellEnd"/>
      <w:proofErr w:type="gramStart"/>
      <w:r w:rsidRPr="00D910D8">
        <w:rPr>
          <w:rFonts w:cs="Times New Roman"/>
          <w:b/>
          <w:szCs w:val="24"/>
          <w:lang w:val="en-CA"/>
        </w:rPr>
        <w:t>.,</w:t>
      </w:r>
      <w:proofErr w:type="gramEnd"/>
      <w:r w:rsidRPr="00D910D8">
        <w:rPr>
          <w:rFonts w:cs="Times New Roman"/>
          <w:b/>
          <w:szCs w:val="24"/>
          <w:lang w:val="en-CA"/>
        </w:rPr>
        <w:t xml:space="preserve"> </w:t>
      </w:r>
    </w:p>
    <w:p w:rsidR="00634F6B" w:rsidRPr="00D910D8" w:rsidRDefault="00634F6B" w:rsidP="006C355D">
      <w:pPr>
        <w:jc w:val="both"/>
        <w:rPr>
          <w:rFonts w:cs="Times New Roman"/>
          <w:b/>
          <w:szCs w:val="24"/>
          <w:lang w:val="en-CA"/>
        </w:rPr>
      </w:pPr>
      <w:r w:rsidRPr="00D910D8">
        <w:rPr>
          <w:rFonts w:cs="Times New Roman"/>
          <w:b/>
          <w:szCs w:val="24"/>
          <w:lang w:val="en-CA"/>
        </w:rPr>
        <w:t xml:space="preserve">British American Tobacco (Investments) Limited, </w:t>
      </w:r>
    </w:p>
    <w:p w:rsidR="00634F6B" w:rsidRPr="00D910D8" w:rsidRDefault="00634F6B" w:rsidP="006C355D">
      <w:pPr>
        <w:jc w:val="both"/>
        <w:rPr>
          <w:rFonts w:cs="Times New Roman"/>
          <w:b/>
          <w:szCs w:val="24"/>
        </w:rPr>
      </w:pPr>
      <w:r w:rsidRPr="00D910D8">
        <w:rPr>
          <w:rFonts w:cs="Times New Roman"/>
          <w:b/>
          <w:szCs w:val="24"/>
        </w:rPr>
        <w:t xml:space="preserve">Carreras Rothmans Limited, Philip Morris USA Inc. </w:t>
      </w:r>
    </w:p>
    <w:p w:rsidR="00634F6B" w:rsidRPr="00D910D8" w:rsidRDefault="00634F6B" w:rsidP="00634F6B">
      <w:pPr>
        <w:spacing w:after="720"/>
        <w:jc w:val="both"/>
        <w:rPr>
          <w:rFonts w:cs="Times New Roman"/>
          <w:i/>
          <w:szCs w:val="24"/>
          <w:lang w:val="en-CA"/>
        </w:rPr>
      </w:pPr>
      <w:proofErr w:type="gramStart"/>
      <w:r w:rsidRPr="00D910D8">
        <w:rPr>
          <w:rFonts w:cs="Times New Roman"/>
          <w:b/>
          <w:szCs w:val="24"/>
          <w:lang w:val="en-CA"/>
        </w:rPr>
        <w:t>and</w:t>
      </w:r>
      <w:proofErr w:type="gramEnd"/>
      <w:r w:rsidRPr="00D910D8">
        <w:rPr>
          <w:rFonts w:cs="Times New Roman"/>
          <w:b/>
          <w:szCs w:val="24"/>
          <w:lang w:val="en-CA"/>
        </w:rPr>
        <w:t xml:space="preserve"> Philip Morris International Inc.</w:t>
      </w:r>
      <w:r w:rsidRPr="00D910D8">
        <w:rPr>
          <w:rFonts w:cs="Times New Roman"/>
          <w:b/>
          <w:szCs w:val="24"/>
          <w:lang w:val="en-CA"/>
        </w:rPr>
        <w:tab/>
      </w:r>
      <w:r w:rsidRPr="00D910D8">
        <w:rPr>
          <w:rFonts w:cs="Times New Roman"/>
          <w:i/>
          <w:szCs w:val="24"/>
          <w:lang w:val="en-CA"/>
        </w:rPr>
        <w:t xml:space="preserve">Respondents/Appellants on </w:t>
      </w:r>
      <w:proofErr w:type="spellStart"/>
      <w:r w:rsidRPr="00D910D8">
        <w:rPr>
          <w:rFonts w:cs="Times New Roman"/>
          <w:i/>
          <w:szCs w:val="24"/>
          <w:lang w:val="en-CA"/>
        </w:rPr>
        <w:t>cross</w:t>
      </w:r>
      <w:r w:rsidRPr="00D910D8">
        <w:rPr>
          <w:rFonts w:cs="Times New Roman"/>
          <w:i/>
          <w:szCs w:val="24"/>
          <w:lang w:val="en-CA"/>
        </w:rPr>
        <w:noBreakHyphen/>
        <w:t>appeal</w:t>
      </w:r>
      <w:proofErr w:type="spellEnd"/>
    </w:p>
    <w:p w:rsidR="00634F6B" w:rsidRPr="00D910D8" w:rsidRDefault="00634F6B" w:rsidP="00634F6B">
      <w:pPr>
        <w:spacing w:after="480" w:line="480" w:lineRule="auto"/>
        <w:rPr>
          <w:rFonts w:cs="Times New Roman"/>
          <w:szCs w:val="24"/>
          <w:lang w:val="en-CA"/>
        </w:rPr>
      </w:pPr>
      <w:proofErr w:type="gramStart"/>
      <w:r w:rsidRPr="00D910D8">
        <w:rPr>
          <w:rFonts w:cs="Times New Roman"/>
          <w:szCs w:val="24"/>
          <w:lang w:val="en-CA"/>
        </w:rPr>
        <w:t>and</w:t>
      </w:r>
      <w:proofErr w:type="gramEnd"/>
    </w:p>
    <w:p w:rsidR="00634F6B" w:rsidRPr="00D910D8" w:rsidRDefault="00634F6B" w:rsidP="006C355D">
      <w:pPr>
        <w:jc w:val="both"/>
        <w:rPr>
          <w:rFonts w:cs="Times New Roman"/>
          <w:b/>
          <w:szCs w:val="24"/>
          <w:lang w:val="en-CA"/>
        </w:rPr>
      </w:pPr>
      <w:r w:rsidRPr="00D910D8">
        <w:rPr>
          <w:rFonts w:cs="Times New Roman"/>
          <w:b/>
          <w:szCs w:val="24"/>
          <w:lang w:val="en-CA"/>
        </w:rPr>
        <w:t xml:space="preserve">Attorney General of Ontario, Attorney General of </w:t>
      </w:r>
    </w:p>
    <w:p w:rsidR="00634F6B" w:rsidRPr="00D910D8" w:rsidRDefault="00634F6B" w:rsidP="006C355D">
      <w:pPr>
        <w:jc w:val="both"/>
        <w:rPr>
          <w:rFonts w:cs="Times New Roman"/>
          <w:b/>
          <w:szCs w:val="24"/>
          <w:lang w:val="en-CA"/>
        </w:rPr>
      </w:pPr>
      <w:r w:rsidRPr="00D910D8">
        <w:rPr>
          <w:rFonts w:cs="Times New Roman"/>
          <w:b/>
          <w:szCs w:val="24"/>
          <w:lang w:val="en-CA"/>
        </w:rPr>
        <w:t xml:space="preserve">British Columbia and Her Majesty </w:t>
      </w:r>
      <w:proofErr w:type="gramStart"/>
      <w:r w:rsidRPr="00D910D8">
        <w:rPr>
          <w:rFonts w:cs="Times New Roman"/>
          <w:b/>
          <w:szCs w:val="24"/>
          <w:lang w:val="en-CA"/>
        </w:rPr>
        <w:t>The</w:t>
      </w:r>
      <w:proofErr w:type="gramEnd"/>
      <w:r w:rsidRPr="00D910D8">
        <w:rPr>
          <w:rFonts w:cs="Times New Roman"/>
          <w:b/>
          <w:szCs w:val="24"/>
          <w:lang w:val="en-CA"/>
        </w:rPr>
        <w:t xml:space="preserve"> Queen in </w:t>
      </w:r>
    </w:p>
    <w:p w:rsidR="00634F6B" w:rsidRPr="00D910D8" w:rsidRDefault="00634F6B" w:rsidP="00634F6B">
      <w:pPr>
        <w:tabs>
          <w:tab w:val="right" w:pos="8222"/>
        </w:tabs>
        <w:spacing w:after="720"/>
        <w:jc w:val="both"/>
        <w:rPr>
          <w:rFonts w:cs="Times New Roman"/>
          <w:b/>
          <w:szCs w:val="24"/>
          <w:lang w:val="en-CA"/>
        </w:rPr>
      </w:pPr>
      <w:r w:rsidRPr="00D910D8">
        <w:rPr>
          <w:rFonts w:cs="Times New Roman"/>
          <w:b/>
          <w:szCs w:val="24"/>
          <w:lang w:val="en-CA"/>
        </w:rPr>
        <w:t>Right of the Province of New Brunswick</w:t>
      </w:r>
      <w:r w:rsidRPr="00D910D8">
        <w:rPr>
          <w:rFonts w:cs="Times New Roman"/>
          <w:b/>
          <w:szCs w:val="24"/>
          <w:lang w:val="en-CA"/>
        </w:rPr>
        <w:tab/>
      </w:r>
      <w:r w:rsidRPr="00D910D8">
        <w:rPr>
          <w:rFonts w:cs="Times New Roman"/>
          <w:i/>
          <w:szCs w:val="24"/>
          <w:lang w:val="en-CA"/>
        </w:rPr>
        <w:t>Interveners</w:t>
      </w:r>
    </w:p>
    <w:p w:rsidR="00634F6B" w:rsidRPr="00D910D8" w:rsidRDefault="00634F6B" w:rsidP="00634F6B">
      <w:pPr>
        <w:spacing w:after="720"/>
        <w:jc w:val="both"/>
        <w:rPr>
          <w:rFonts w:cs="Times New Roman"/>
          <w:b/>
          <w:szCs w:val="24"/>
          <w:lang w:val="en-CA"/>
        </w:rPr>
      </w:pPr>
      <w:proofErr w:type="gramStart"/>
      <w:r w:rsidRPr="00D910D8">
        <w:rPr>
          <w:rFonts w:cs="Times New Roman"/>
          <w:b/>
          <w:szCs w:val="24"/>
          <w:lang w:val="en-CA"/>
        </w:rPr>
        <w:t xml:space="preserve">Indexed as:  R. </w:t>
      </w:r>
      <w:r w:rsidRPr="00D910D8">
        <w:rPr>
          <w:rFonts w:cs="Times New Roman"/>
          <w:b/>
          <w:i/>
          <w:szCs w:val="24"/>
          <w:lang w:val="en-CA"/>
        </w:rPr>
        <w:t>v.</w:t>
      </w:r>
      <w:r w:rsidRPr="00D910D8">
        <w:rPr>
          <w:rFonts w:cs="Times New Roman"/>
          <w:b/>
          <w:szCs w:val="24"/>
          <w:lang w:val="en-CA"/>
        </w:rPr>
        <w:t xml:space="preserve"> Imperial Tobacco Canada Ltd.</w:t>
      </w:r>
      <w:proofErr w:type="gramEnd"/>
    </w:p>
    <w:p w:rsidR="00634F6B" w:rsidRPr="00D910D8" w:rsidRDefault="00634F6B" w:rsidP="00634F6B">
      <w:pPr>
        <w:spacing w:after="720"/>
        <w:jc w:val="both"/>
        <w:rPr>
          <w:rFonts w:cs="Times New Roman"/>
          <w:b/>
          <w:szCs w:val="24"/>
          <w:lang w:val="en-CA"/>
        </w:rPr>
      </w:pPr>
      <w:r w:rsidRPr="00D910D8">
        <w:rPr>
          <w:rFonts w:cs="Times New Roman"/>
          <w:b/>
          <w:szCs w:val="24"/>
          <w:lang w:val="en-CA"/>
        </w:rPr>
        <w:t>2011 SCC 42</w:t>
      </w:r>
    </w:p>
    <w:p w:rsidR="000E7BE0" w:rsidRPr="00D910D8" w:rsidRDefault="000E7BE0" w:rsidP="000E7BE0">
      <w:pPr>
        <w:spacing w:after="720"/>
        <w:jc w:val="both"/>
        <w:rPr>
          <w:rFonts w:cs="Times New Roman"/>
          <w:szCs w:val="24"/>
          <w:lang w:val="en-CA"/>
        </w:rPr>
      </w:pPr>
      <w:r w:rsidRPr="00D910D8">
        <w:rPr>
          <w:rFonts w:cs="Times New Roman"/>
          <w:szCs w:val="24"/>
          <w:lang w:val="en-CA"/>
        </w:rPr>
        <w:t>File Nos.:  33559, 33563.</w:t>
      </w:r>
    </w:p>
    <w:p w:rsidR="000E7BE0" w:rsidRPr="00D910D8" w:rsidRDefault="000E7BE0" w:rsidP="000E7BE0">
      <w:pPr>
        <w:spacing w:after="720"/>
        <w:jc w:val="both"/>
        <w:rPr>
          <w:rFonts w:cs="Times New Roman"/>
          <w:szCs w:val="24"/>
          <w:lang w:val="en-CA"/>
        </w:rPr>
      </w:pPr>
      <w:r w:rsidRPr="00D910D8">
        <w:rPr>
          <w:rFonts w:cs="Times New Roman"/>
          <w:szCs w:val="24"/>
          <w:lang w:val="en-CA"/>
        </w:rPr>
        <w:t>2011:  February 24; 2011:  July 29.</w:t>
      </w:r>
    </w:p>
    <w:p w:rsidR="000E7BE0" w:rsidRPr="00D910D8" w:rsidRDefault="000E7BE0" w:rsidP="000E7BE0">
      <w:pPr>
        <w:spacing w:after="720"/>
        <w:jc w:val="both"/>
        <w:rPr>
          <w:rFonts w:cs="Times New Roman"/>
          <w:szCs w:val="24"/>
          <w:lang w:val="en-CA"/>
        </w:rPr>
      </w:pPr>
      <w:r w:rsidRPr="00D910D8">
        <w:rPr>
          <w:rFonts w:cs="Times New Roman"/>
          <w:szCs w:val="24"/>
          <w:lang w:val="en-CA"/>
        </w:rPr>
        <w:t xml:space="preserve">Present:  </w:t>
      </w:r>
      <w:proofErr w:type="spellStart"/>
      <w:r w:rsidRPr="00D910D8">
        <w:rPr>
          <w:rFonts w:cs="Times New Roman"/>
          <w:szCs w:val="24"/>
          <w:lang w:val="en-CA"/>
        </w:rPr>
        <w:t>McLachlin</w:t>
      </w:r>
      <w:proofErr w:type="spellEnd"/>
      <w:r w:rsidRPr="00D910D8">
        <w:rPr>
          <w:rFonts w:cs="Times New Roman"/>
          <w:szCs w:val="24"/>
          <w:lang w:val="en-CA"/>
        </w:rPr>
        <w:t xml:space="preserve"> C.J. and </w:t>
      </w:r>
      <w:proofErr w:type="spellStart"/>
      <w:r w:rsidRPr="00D910D8">
        <w:rPr>
          <w:rFonts w:cs="Times New Roman"/>
          <w:szCs w:val="24"/>
          <w:lang w:val="en-CA"/>
        </w:rPr>
        <w:t>Binnie</w:t>
      </w:r>
      <w:proofErr w:type="spellEnd"/>
      <w:r w:rsidRPr="00D910D8">
        <w:rPr>
          <w:rFonts w:cs="Times New Roman"/>
          <w:szCs w:val="24"/>
          <w:lang w:val="en-CA"/>
        </w:rPr>
        <w:t xml:space="preserve">, </w:t>
      </w:r>
      <w:proofErr w:type="spellStart"/>
      <w:r w:rsidRPr="00D910D8">
        <w:rPr>
          <w:rFonts w:cs="Times New Roman"/>
          <w:szCs w:val="24"/>
          <w:lang w:val="en-CA"/>
        </w:rPr>
        <w:t>LeBel</w:t>
      </w:r>
      <w:proofErr w:type="spellEnd"/>
      <w:r w:rsidRPr="00D910D8">
        <w:rPr>
          <w:rFonts w:cs="Times New Roman"/>
          <w:szCs w:val="24"/>
          <w:lang w:val="en-CA"/>
        </w:rPr>
        <w:t xml:space="preserve">, </w:t>
      </w:r>
      <w:proofErr w:type="spellStart"/>
      <w:r w:rsidRPr="00D910D8">
        <w:rPr>
          <w:rFonts w:cs="Times New Roman"/>
          <w:szCs w:val="24"/>
          <w:lang w:val="en-CA"/>
        </w:rPr>
        <w:t>Deschamps</w:t>
      </w:r>
      <w:proofErr w:type="spellEnd"/>
      <w:r w:rsidRPr="00D910D8">
        <w:rPr>
          <w:rFonts w:cs="Times New Roman"/>
          <w:szCs w:val="24"/>
          <w:lang w:val="en-CA"/>
        </w:rPr>
        <w:t xml:space="preserve">, Fish, </w:t>
      </w:r>
      <w:proofErr w:type="spellStart"/>
      <w:r w:rsidRPr="00D910D8">
        <w:rPr>
          <w:rFonts w:cs="Times New Roman"/>
          <w:szCs w:val="24"/>
          <w:lang w:val="en-CA"/>
        </w:rPr>
        <w:t>Abella</w:t>
      </w:r>
      <w:proofErr w:type="spellEnd"/>
      <w:r w:rsidRPr="00D910D8">
        <w:rPr>
          <w:rFonts w:cs="Times New Roman"/>
          <w:szCs w:val="24"/>
          <w:lang w:val="en-CA"/>
        </w:rPr>
        <w:t xml:space="preserve">, </w:t>
      </w:r>
      <w:proofErr w:type="spellStart"/>
      <w:r w:rsidRPr="00D910D8">
        <w:rPr>
          <w:rFonts w:cs="Times New Roman"/>
          <w:szCs w:val="24"/>
          <w:lang w:val="en-CA"/>
        </w:rPr>
        <w:t>Charron</w:t>
      </w:r>
      <w:proofErr w:type="spellEnd"/>
      <w:r w:rsidRPr="00D910D8">
        <w:rPr>
          <w:rFonts w:cs="Times New Roman"/>
          <w:szCs w:val="24"/>
          <w:lang w:val="en-CA"/>
        </w:rPr>
        <w:t>, Rothstein and Cromwell JJ.</w:t>
      </w:r>
    </w:p>
    <w:p w:rsidR="000E7BE0" w:rsidRPr="00D910D8" w:rsidRDefault="000E7BE0" w:rsidP="000E7BE0">
      <w:pPr>
        <w:pStyle w:val="SCCLowerCourtNameLowercase"/>
        <w:spacing w:after="480"/>
        <w:rPr>
          <w:rFonts w:cs="Times New Roman"/>
          <w:szCs w:val="24"/>
          <w:lang w:val="en-CA"/>
        </w:rPr>
      </w:pPr>
      <w:r w:rsidRPr="00D910D8">
        <w:rPr>
          <w:rFonts w:cs="Times New Roman"/>
          <w:szCs w:val="24"/>
          <w:lang w:val="en-CA"/>
        </w:rPr>
        <w:t xml:space="preserve">on appeal from the court of appeal for </w:t>
      </w:r>
      <w:proofErr w:type="spellStart"/>
      <w:proofErr w:type="gramStart"/>
      <w:r w:rsidRPr="00D910D8">
        <w:rPr>
          <w:rFonts w:cs="Times New Roman"/>
          <w:szCs w:val="24"/>
          <w:lang w:val="en-CA"/>
        </w:rPr>
        <w:t>british</w:t>
      </w:r>
      <w:proofErr w:type="spellEnd"/>
      <w:r w:rsidRPr="00D910D8">
        <w:rPr>
          <w:rFonts w:cs="Times New Roman"/>
          <w:szCs w:val="24"/>
          <w:lang w:val="en-CA"/>
        </w:rPr>
        <w:t xml:space="preserve"> </w:t>
      </w:r>
      <w:proofErr w:type="spellStart"/>
      <w:r w:rsidRPr="00D910D8">
        <w:rPr>
          <w:rFonts w:cs="Times New Roman"/>
          <w:szCs w:val="24"/>
          <w:lang w:val="en-CA"/>
        </w:rPr>
        <w:t>columbia</w:t>
      </w:r>
      <w:proofErr w:type="spellEnd"/>
      <w:proofErr w:type="gramEnd"/>
    </w:p>
    <w:p w:rsidR="000E7BE0" w:rsidRPr="00D910D8" w:rsidRDefault="000E7BE0" w:rsidP="003C1A7E">
      <w:pPr>
        <w:pStyle w:val="SCCNormalDoubleSpacing"/>
        <w:spacing w:afterLines="480"/>
        <w:rPr>
          <w:rFonts w:cs="Times New Roman"/>
          <w:i/>
          <w:szCs w:val="24"/>
          <w:lang w:val="en-CA"/>
        </w:rPr>
      </w:pPr>
      <w:r w:rsidRPr="00D910D8">
        <w:rPr>
          <w:rFonts w:cs="Times New Roman"/>
          <w:i/>
          <w:szCs w:val="24"/>
          <w:lang w:val="en-CA"/>
        </w:rPr>
        <w:lastRenderedPageBreak/>
        <w:tab/>
        <w:t xml:space="preserve">Civil procedure — </w:t>
      </w:r>
      <w:proofErr w:type="spellStart"/>
      <w:r w:rsidRPr="00D910D8">
        <w:rPr>
          <w:rFonts w:cs="Times New Roman"/>
          <w:i/>
          <w:szCs w:val="24"/>
          <w:lang w:val="en-CA"/>
        </w:rPr>
        <w:t>Third</w:t>
      </w:r>
      <w:r w:rsidRPr="00D910D8">
        <w:rPr>
          <w:rFonts w:cs="Times New Roman"/>
          <w:i/>
          <w:szCs w:val="24"/>
          <w:lang w:val="en-CA"/>
        </w:rPr>
        <w:noBreakHyphen/>
        <w:t>party</w:t>
      </w:r>
      <w:proofErr w:type="spellEnd"/>
      <w:r w:rsidRPr="00D910D8">
        <w:rPr>
          <w:rFonts w:cs="Times New Roman"/>
          <w:i/>
          <w:szCs w:val="24"/>
          <w:lang w:val="en-CA"/>
        </w:rPr>
        <w:t xml:space="preserve"> claims — Motion to strike — Tobacco manufacturers being sued by provincial government to recover health care costs of </w:t>
      </w:r>
      <w:proofErr w:type="spellStart"/>
      <w:r w:rsidRPr="00D910D8">
        <w:rPr>
          <w:rFonts w:cs="Times New Roman"/>
          <w:i/>
          <w:szCs w:val="24"/>
          <w:lang w:val="en-CA"/>
        </w:rPr>
        <w:t>tobacco</w:t>
      </w:r>
      <w:r w:rsidRPr="00D910D8">
        <w:rPr>
          <w:rFonts w:cs="Times New Roman"/>
          <w:i/>
          <w:szCs w:val="24"/>
          <w:lang w:val="en-CA"/>
        </w:rPr>
        <w:noBreakHyphen/>
        <w:t>related</w:t>
      </w:r>
      <w:proofErr w:type="spellEnd"/>
      <w:r w:rsidRPr="00D910D8">
        <w:rPr>
          <w:rFonts w:cs="Times New Roman"/>
          <w:i/>
          <w:szCs w:val="24"/>
          <w:lang w:val="en-CA"/>
        </w:rPr>
        <w:t xml:space="preserve"> illnesses, and by consumers of “light” or “mild” cigarettes for damages and punitive damages — Tobacco companies issuing </w:t>
      </w:r>
      <w:proofErr w:type="spellStart"/>
      <w:r w:rsidRPr="00D910D8">
        <w:rPr>
          <w:rFonts w:cs="Times New Roman"/>
          <w:i/>
          <w:szCs w:val="24"/>
          <w:lang w:val="en-CA"/>
        </w:rPr>
        <w:t>third</w:t>
      </w:r>
      <w:r w:rsidRPr="00D910D8">
        <w:rPr>
          <w:rFonts w:cs="Times New Roman"/>
          <w:i/>
          <w:szCs w:val="24"/>
          <w:lang w:val="en-CA"/>
        </w:rPr>
        <w:noBreakHyphen/>
        <w:t>party</w:t>
      </w:r>
      <w:proofErr w:type="spellEnd"/>
      <w:r w:rsidRPr="00D910D8">
        <w:rPr>
          <w:rFonts w:cs="Times New Roman"/>
          <w:i/>
          <w:szCs w:val="24"/>
          <w:lang w:val="en-CA"/>
        </w:rPr>
        <w:t xml:space="preserve"> notices to federal government claiming contribution and indemnity — Whether plain and obvious that </w:t>
      </w:r>
      <w:proofErr w:type="spellStart"/>
      <w:r w:rsidRPr="00D910D8">
        <w:rPr>
          <w:rFonts w:cs="Times New Roman"/>
          <w:i/>
          <w:szCs w:val="24"/>
          <w:lang w:val="en-CA"/>
        </w:rPr>
        <w:t>third</w:t>
      </w:r>
      <w:r w:rsidRPr="00D910D8">
        <w:rPr>
          <w:rFonts w:cs="Times New Roman"/>
          <w:i/>
          <w:szCs w:val="24"/>
          <w:lang w:val="en-CA"/>
        </w:rPr>
        <w:noBreakHyphen/>
        <w:t>party</w:t>
      </w:r>
      <w:proofErr w:type="spellEnd"/>
      <w:r w:rsidRPr="00D910D8">
        <w:rPr>
          <w:rFonts w:cs="Times New Roman"/>
          <w:i/>
          <w:szCs w:val="24"/>
          <w:lang w:val="en-CA"/>
        </w:rPr>
        <w:t xml:space="preserve"> claims disclose no reasonable cause of action.</w:t>
      </w:r>
    </w:p>
    <w:p w:rsidR="000E7BE0" w:rsidRPr="00D910D8" w:rsidRDefault="000E7BE0" w:rsidP="000E7BE0">
      <w:pPr>
        <w:pStyle w:val="SCCNormalDoubleSpacing"/>
        <w:spacing w:after="480"/>
        <w:rPr>
          <w:rFonts w:cs="Times New Roman"/>
          <w:i/>
          <w:szCs w:val="24"/>
          <w:lang w:val="en-CA"/>
        </w:rPr>
      </w:pPr>
      <w:r w:rsidRPr="00D910D8">
        <w:rPr>
          <w:rFonts w:cs="Times New Roman"/>
          <w:i/>
          <w:szCs w:val="24"/>
          <w:lang w:val="en-CA"/>
        </w:rPr>
        <w:tab/>
        <w:t xml:space="preserve">Torts — Negligent misrepresentation — Failure to warn — Negligent design — Duty of care — Proximity — Tobacco manufacturers being sued by provincial government and consumers and issuing </w:t>
      </w:r>
      <w:proofErr w:type="spellStart"/>
      <w:r w:rsidRPr="00D910D8">
        <w:rPr>
          <w:rFonts w:cs="Times New Roman"/>
          <w:i/>
          <w:szCs w:val="24"/>
          <w:lang w:val="en-CA"/>
        </w:rPr>
        <w:t>third</w:t>
      </w:r>
      <w:r w:rsidRPr="00D910D8">
        <w:rPr>
          <w:rFonts w:cs="Times New Roman"/>
          <w:i/>
          <w:szCs w:val="24"/>
          <w:lang w:val="en-CA"/>
        </w:rPr>
        <w:noBreakHyphen/>
        <w:t>party</w:t>
      </w:r>
      <w:proofErr w:type="spellEnd"/>
      <w:r w:rsidRPr="00D910D8">
        <w:rPr>
          <w:rFonts w:cs="Times New Roman"/>
          <w:i/>
          <w:szCs w:val="24"/>
          <w:lang w:val="en-CA"/>
        </w:rPr>
        <w:t xml:space="preserve"> notices to federal government claiming contribution and indemnity — Federal government claiming representations constituted government policy immune from judicial review — Whether facts as plead</w:t>
      </w:r>
      <w:r w:rsidR="00064666" w:rsidRPr="00D910D8">
        <w:rPr>
          <w:rFonts w:cs="Times New Roman"/>
          <w:i/>
          <w:szCs w:val="24"/>
          <w:lang w:val="en-CA"/>
        </w:rPr>
        <w:t>ed</w:t>
      </w:r>
      <w:r w:rsidRPr="00D910D8">
        <w:rPr>
          <w:rFonts w:cs="Times New Roman"/>
          <w:i/>
          <w:szCs w:val="24"/>
          <w:lang w:val="en-CA"/>
        </w:rPr>
        <w:t xml:space="preserve"> establish prima facie duty of care — If so, whether conflicting policy considerations negate such duty.</w:t>
      </w:r>
    </w:p>
    <w:p w:rsidR="000E7BE0" w:rsidRPr="00D910D8" w:rsidRDefault="000E7BE0" w:rsidP="000E7BE0">
      <w:pPr>
        <w:pStyle w:val="SCCNormalDoubleSpacing"/>
        <w:spacing w:after="480"/>
        <w:rPr>
          <w:rFonts w:cs="Times New Roman"/>
          <w:szCs w:val="24"/>
          <w:lang w:val="en-CA"/>
        </w:rPr>
      </w:pPr>
      <w:r w:rsidRPr="00D910D8">
        <w:rPr>
          <w:rFonts w:cs="Times New Roman"/>
          <w:i/>
          <w:szCs w:val="24"/>
          <w:lang w:val="en-CA"/>
        </w:rPr>
        <w:tab/>
        <w:t>Torts — Provincial statutory scheme establishing rights of action against tobacco manufacturers and suppliers — Whether federal government liable as a “manufacturer” under the Tobacco Damages and Health Care Costs Recovery Act, S.B.C. 2000, c. 30, or a “supplier” under the Business Practices and Consumer Protection Act, S.B.C. 2004, c. 2, and the Trade Practice Act, R.S.B.C. 1996, c. 457.</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lastRenderedPageBreak/>
        <w:tab/>
        <w:t xml:space="preserve">The appeal concerns two cases before the courts in British Columbia.  In the </w:t>
      </w:r>
      <w:r w:rsidRPr="00D910D8">
        <w:rPr>
          <w:rFonts w:cs="Times New Roman"/>
          <w:i/>
          <w:szCs w:val="24"/>
          <w:lang w:val="en-CA"/>
        </w:rPr>
        <w:t>Costs Recovery</w:t>
      </w:r>
      <w:r w:rsidRPr="00D910D8">
        <w:rPr>
          <w:rFonts w:cs="Times New Roman"/>
          <w:szCs w:val="24"/>
          <w:lang w:val="en-CA"/>
        </w:rPr>
        <w:t xml:space="preserve"> case, the Government of British Columbia is seeking to recover, pursuant to the </w:t>
      </w:r>
      <w:r w:rsidRPr="00D910D8">
        <w:rPr>
          <w:rFonts w:cs="Times New Roman"/>
          <w:i/>
          <w:szCs w:val="24"/>
          <w:lang w:val="en-CA"/>
        </w:rPr>
        <w:t>Tobacco Damages and Health Care Costs Recovery Act</w:t>
      </w:r>
      <w:r w:rsidRPr="00D910D8">
        <w:rPr>
          <w:rFonts w:cs="Times New Roman"/>
          <w:szCs w:val="24"/>
          <w:lang w:val="en-CA"/>
        </w:rPr>
        <w:t xml:space="preserve"> (“</w:t>
      </w:r>
      <w:r w:rsidRPr="00D910D8">
        <w:rPr>
          <w:rFonts w:cs="Times New Roman"/>
          <w:i/>
          <w:szCs w:val="24"/>
          <w:lang w:val="en-CA"/>
        </w:rPr>
        <w:t>CRA</w:t>
      </w:r>
      <w:r w:rsidRPr="00D910D8">
        <w:rPr>
          <w:rFonts w:cs="Times New Roman"/>
          <w:szCs w:val="24"/>
          <w:lang w:val="en-CA"/>
        </w:rPr>
        <w:t xml:space="preserve">”), the cost of paying for the medical treatment of individuals suffering from </w:t>
      </w:r>
      <w:proofErr w:type="spellStart"/>
      <w:r w:rsidRPr="00D910D8">
        <w:rPr>
          <w:rFonts w:cs="Times New Roman"/>
          <w:szCs w:val="24"/>
          <w:lang w:val="en-CA"/>
        </w:rPr>
        <w:t>tobacco</w:t>
      </w:r>
      <w:r w:rsidRPr="00D910D8">
        <w:rPr>
          <w:rFonts w:cs="Times New Roman"/>
          <w:szCs w:val="24"/>
          <w:lang w:val="en-CA"/>
        </w:rPr>
        <w:noBreakHyphen/>
        <w:t>related</w:t>
      </w:r>
      <w:proofErr w:type="spellEnd"/>
      <w:r w:rsidRPr="00D910D8">
        <w:rPr>
          <w:rFonts w:cs="Times New Roman"/>
          <w:szCs w:val="24"/>
          <w:lang w:val="en-CA"/>
        </w:rPr>
        <w:t xml:space="preserve"> illnesses from a group of tobacco companies, including Imperial.  British Columbia alleges that by 1950, the tobacco companies knew or ought to have known that cigarettes were harmful to one’s health, and that they failed to properly warn the public about the risks associated with smoking their product.  In the </w:t>
      </w:r>
      <w:r w:rsidRPr="00D910D8">
        <w:rPr>
          <w:rFonts w:cs="Times New Roman"/>
          <w:i/>
          <w:szCs w:val="24"/>
          <w:lang w:val="en-CA"/>
        </w:rPr>
        <w:t>Knight</w:t>
      </w:r>
      <w:r w:rsidRPr="00D910D8">
        <w:rPr>
          <w:rFonts w:cs="Times New Roman"/>
          <w:szCs w:val="24"/>
          <w:lang w:val="en-CA"/>
        </w:rPr>
        <w:t xml:space="preserve"> case, a class action was brought against Imperial alone on behalf of class members who purchased “light” or “mild” cigarettes, seeking a refund of the cost of the cigarettes and punitive damages.  The class alleges that the levels of tar and nicotine listed on Imperial’s packages for light and mild cigarettes did not reflect the actual deliveries of toxic emissions to smokers, and alleges that the smoke produced by light cigarettes was just as harmful as that </w:t>
      </w:r>
      <w:r w:rsidR="00296B65" w:rsidRPr="00D910D8">
        <w:rPr>
          <w:rFonts w:cs="Times New Roman"/>
          <w:szCs w:val="24"/>
          <w:lang w:val="en-CA"/>
        </w:rPr>
        <w:t>produced by regular cigarettes.</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tab/>
        <w:t xml:space="preserve">In both cases, the tobacco companies issued </w:t>
      </w:r>
      <w:proofErr w:type="spellStart"/>
      <w:r w:rsidRPr="00D910D8">
        <w:rPr>
          <w:rFonts w:cs="Times New Roman"/>
          <w:szCs w:val="24"/>
          <w:lang w:val="en-CA"/>
        </w:rPr>
        <w:t>third</w:t>
      </w:r>
      <w:r w:rsidRPr="00D910D8">
        <w:rPr>
          <w:rFonts w:cs="Times New Roman"/>
          <w:szCs w:val="24"/>
          <w:lang w:val="en-CA"/>
        </w:rPr>
        <w:noBreakHyphen/>
        <w:t>party</w:t>
      </w:r>
      <w:proofErr w:type="spellEnd"/>
      <w:r w:rsidRPr="00D910D8">
        <w:rPr>
          <w:rFonts w:cs="Times New Roman"/>
          <w:szCs w:val="24"/>
          <w:lang w:val="en-CA"/>
        </w:rPr>
        <w:t xml:space="preserve"> notices to the Government of Canada, alleging that if the tobacco companies are held liable to the plaintiffs, they are entitled to compensation from Canada for negligent misrepresentation, negligent design and failure to warn, as well as at equity.  They also allege that Canada would itself be liable as a “manufacturer” under the </w:t>
      </w:r>
      <w:r w:rsidRPr="00D910D8">
        <w:rPr>
          <w:rFonts w:cs="Times New Roman"/>
          <w:i/>
          <w:szCs w:val="24"/>
          <w:lang w:val="en-CA"/>
        </w:rPr>
        <w:t>CRA</w:t>
      </w:r>
      <w:r w:rsidRPr="00D910D8">
        <w:rPr>
          <w:rFonts w:cs="Times New Roman"/>
          <w:szCs w:val="24"/>
          <w:lang w:val="en-CA"/>
        </w:rPr>
        <w:t xml:space="preserve"> or a “supplier” under the </w:t>
      </w:r>
      <w:r w:rsidRPr="00D910D8">
        <w:rPr>
          <w:rFonts w:cs="Times New Roman"/>
          <w:i/>
          <w:szCs w:val="24"/>
          <w:lang w:val="en-CA"/>
        </w:rPr>
        <w:t>Business Practices and Consumer Protection Act</w:t>
      </w:r>
      <w:r w:rsidRPr="00D910D8">
        <w:rPr>
          <w:rFonts w:cs="Times New Roman"/>
          <w:szCs w:val="24"/>
          <w:lang w:val="en-CA"/>
        </w:rPr>
        <w:t xml:space="preserve"> and the </w:t>
      </w:r>
      <w:r w:rsidRPr="00D910D8">
        <w:rPr>
          <w:rFonts w:cs="Times New Roman"/>
          <w:i/>
          <w:szCs w:val="24"/>
          <w:lang w:val="en-CA"/>
        </w:rPr>
        <w:t xml:space="preserve">Trade </w:t>
      </w:r>
      <w:r w:rsidRPr="00D910D8">
        <w:rPr>
          <w:rFonts w:cs="Times New Roman"/>
          <w:i/>
          <w:szCs w:val="24"/>
          <w:lang w:val="en-CA"/>
        </w:rPr>
        <w:lastRenderedPageBreak/>
        <w:t>Practice Act</w:t>
      </w:r>
      <w:r w:rsidRPr="00D910D8">
        <w:rPr>
          <w:rFonts w:cs="Times New Roman"/>
          <w:szCs w:val="24"/>
          <w:lang w:val="en-CA"/>
        </w:rPr>
        <w:t xml:space="preserve">, and that they are entitled to contribution and indemnity from Canada pursuant to the </w:t>
      </w:r>
      <w:r w:rsidRPr="00D910D8">
        <w:rPr>
          <w:rFonts w:cs="Times New Roman"/>
          <w:i/>
          <w:szCs w:val="24"/>
          <w:lang w:val="en-CA"/>
        </w:rPr>
        <w:t>Negligence Act</w:t>
      </w:r>
      <w:r w:rsidRPr="00D910D8">
        <w:rPr>
          <w:rFonts w:cs="Times New Roman"/>
          <w:szCs w:val="24"/>
          <w:lang w:val="en-CA"/>
        </w:rPr>
        <w:t xml:space="preserve">.  Canada brought motions to strike the </w:t>
      </w:r>
      <w:proofErr w:type="spellStart"/>
      <w:r w:rsidRPr="00D910D8">
        <w:rPr>
          <w:rFonts w:cs="Times New Roman"/>
          <w:szCs w:val="24"/>
          <w:lang w:val="en-CA"/>
        </w:rPr>
        <w:t>third</w:t>
      </w:r>
      <w:r w:rsidRPr="00D910D8">
        <w:rPr>
          <w:rFonts w:cs="Times New Roman"/>
          <w:szCs w:val="24"/>
          <w:lang w:val="en-CA"/>
        </w:rPr>
        <w:noBreakHyphen/>
        <w:t>party</w:t>
      </w:r>
      <w:proofErr w:type="spellEnd"/>
      <w:r w:rsidRPr="00D910D8">
        <w:rPr>
          <w:rFonts w:cs="Times New Roman"/>
          <w:szCs w:val="24"/>
          <w:lang w:val="en-CA"/>
        </w:rPr>
        <w:t xml:space="preserve"> notices, arguing that it was plain and obvious that the </w:t>
      </w:r>
      <w:proofErr w:type="spellStart"/>
      <w:r w:rsidRPr="00D910D8">
        <w:rPr>
          <w:rFonts w:cs="Times New Roman"/>
          <w:szCs w:val="24"/>
          <w:lang w:val="en-CA"/>
        </w:rPr>
        <w:t>third</w:t>
      </w:r>
      <w:r w:rsidRPr="00D910D8">
        <w:rPr>
          <w:rFonts w:cs="Times New Roman"/>
          <w:szCs w:val="24"/>
          <w:lang w:val="en-CA"/>
        </w:rPr>
        <w:noBreakHyphen/>
        <w:t>party</w:t>
      </w:r>
      <w:proofErr w:type="spellEnd"/>
      <w:r w:rsidRPr="00D910D8">
        <w:rPr>
          <w:rFonts w:cs="Times New Roman"/>
          <w:szCs w:val="24"/>
          <w:lang w:val="en-CA"/>
        </w:rPr>
        <w:t xml:space="preserve"> claims failed to disclose a reasonable cause of action.  In both cases, the chambers judges struck all of the </w:t>
      </w:r>
      <w:proofErr w:type="spellStart"/>
      <w:r w:rsidRPr="00D910D8">
        <w:rPr>
          <w:rFonts w:cs="Times New Roman"/>
          <w:szCs w:val="24"/>
          <w:lang w:val="en-CA"/>
        </w:rPr>
        <w:t>third</w:t>
      </w:r>
      <w:r w:rsidRPr="00D910D8">
        <w:rPr>
          <w:rFonts w:cs="Times New Roman"/>
          <w:szCs w:val="24"/>
          <w:lang w:val="en-CA"/>
        </w:rPr>
        <w:noBreakHyphen/>
        <w:t>party</w:t>
      </w:r>
      <w:proofErr w:type="spellEnd"/>
      <w:r w:rsidRPr="00D910D8">
        <w:rPr>
          <w:rFonts w:cs="Times New Roman"/>
          <w:szCs w:val="24"/>
          <w:lang w:val="en-CA"/>
        </w:rPr>
        <w:t xml:space="preserve"> notices.  The British Columbia Court of Appeal allowed the tobacco companies’ appeals in part.  A majority held that the negligent misrepresentation claims arising from Canada’s alleged duty of care to the tobacco companies in both the </w:t>
      </w:r>
      <w:r w:rsidRPr="00D910D8">
        <w:rPr>
          <w:rFonts w:cs="Times New Roman"/>
          <w:i/>
          <w:szCs w:val="24"/>
          <w:lang w:val="en-CA"/>
        </w:rPr>
        <w:t xml:space="preserve">Costs Recovery </w:t>
      </w:r>
      <w:r w:rsidRPr="00D910D8">
        <w:rPr>
          <w:rFonts w:cs="Times New Roman"/>
          <w:szCs w:val="24"/>
          <w:lang w:val="en-CA"/>
        </w:rPr>
        <w:t xml:space="preserve">case and the </w:t>
      </w:r>
      <w:r w:rsidRPr="00D910D8">
        <w:rPr>
          <w:rFonts w:cs="Times New Roman"/>
          <w:i/>
          <w:szCs w:val="24"/>
          <w:lang w:val="en-CA"/>
        </w:rPr>
        <w:t xml:space="preserve">Knight </w:t>
      </w:r>
      <w:r w:rsidRPr="00D910D8">
        <w:rPr>
          <w:rFonts w:cs="Times New Roman"/>
          <w:szCs w:val="24"/>
          <w:lang w:val="en-CA"/>
        </w:rPr>
        <w:t xml:space="preserve">case should proceed to trial.  A majority in the </w:t>
      </w:r>
      <w:r w:rsidRPr="00D910D8">
        <w:rPr>
          <w:rFonts w:cs="Times New Roman"/>
          <w:i/>
          <w:szCs w:val="24"/>
          <w:lang w:val="en-CA"/>
        </w:rPr>
        <w:t xml:space="preserve">Knight </w:t>
      </w:r>
      <w:r w:rsidRPr="00D910D8">
        <w:rPr>
          <w:rFonts w:cs="Times New Roman"/>
          <w:szCs w:val="24"/>
          <w:lang w:val="en-CA"/>
        </w:rPr>
        <w:t>case further held that the negligent misrepresentation claim based on Canada’s alleged duty of care to consumers should proceed, as should the negligent design claim.  The court unanimously struck the remainder of the tobacco companies’ claims.</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tab/>
      </w:r>
      <w:r w:rsidRPr="00D910D8">
        <w:rPr>
          <w:rFonts w:cs="Times New Roman"/>
          <w:i/>
          <w:szCs w:val="24"/>
          <w:lang w:val="en-CA"/>
        </w:rPr>
        <w:t>H</w:t>
      </w:r>
      <w:proofErr w:type="spellStart"/>
      <w:r w:rsidRPr="00D910D8">
        <w:rPr>
          <w:rStyle w:val="QuoteChar"/>
          <w:rFonts w:cs="Times New Roman"/>
          <w:szCs w:val="24"/>
        </w:rPr>
        <w:t>eld</w:t>
      </w:r>
      <w:proofErr w:type="spellEnd"/>
      <w:r w:rsidRPr="00D910D8">
        <w:rPr>
          <w:rStyle w:val="QuoteChar"/>
          <w:rFonts w:cs="Times New Roman"/>
          <w:i w:val="0"/>
          <w:szCs w:val="24"/>
        </w:rPr>
        <w:t>:</w:t>
      </w:r>
      <w:r w:rsidRPr="00D910D8">
        <w:rPr>
          <w:rFonts w:cs="Times New Roman"/>
          <w:szCs w:val="24"/>
          <w:lang w:val="en-CA"/>
        </w:rPr>
        <w:t xml:space="preserve">  The appeals should be allowed and the claims should be struck out. The tobacco companies’ </w:t>
      </w:r>
      <w:proofErr w:type="spellStart"/>
      <w:r w:rsidRPr="00D910D8">
        <w:rPr>
          <w:rFonts w:cs="Times New Roman"/>
          <w:szCs w:val="24"/>
          <w:lang w:val="en-CA"/>
        </w:rPr>
        <w:t>cross</w:t>
      </w:r>
      <w:r w:rsidRPr="00D910D8">
        <w:rPr>
          <w:rFonts w:cs="Times New Roman"/>
          <w:szCs w:val="24"/>
          <w:lang w:val="en-CA"/>
        </w:rPr>
        <w:noBreakHyphen/>
        <w:t>appeals</w:t>
      </w:r>
      <w:proofErr w:type="spellEnd"/>
      <w:r w:rsidRPr="00D910D8">
        <w:rPr>
          <w:rFonts w:cs="Times New Roman"/>
          <w:szCs w:val="24"/>
          <w:lang w:val="en-CA"/>
        </w:rPr>
        <w:t xml:space="preserve"> should be dismissed.</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tab/>
        <w:t xml:space="preserve">On a motion to strike, a claim will only be struck if it is plain and obvious, assuming the facts pleaded to be true, that the pleading discloses no reasonable cause of action.  The approach must be generous, and err on the side of permitting a novel but arguable claim to proceed to trial.  However, the judge cannot consider what evidence adduced in the future might or might not show.  Here, it is </w:t>
      </w:r>
      <w:r w:rsidRPr="00D910D8">
        <w:rPr>
          <w:rFonts w:cs="Times New Roman"/>
          <w:szCs w:val="24"/>
          <w:lang w:val="en-CA"/>
        </w:rPr>
        <w:lastRenderedPageBreak/>
        <w:t>plain and obvious that none of the tobacco companies’ claims against Canada have a reasonable chance of success.</w:t>
      </w:r>
    </w:p>
    <w:p w:rsidR="000E7BE0" w:rsidRPr="00D910D8" w:rsidRDefault="000E7BE0" w:rsidP="000E7BE0">
      <w:pPr>
        <w:pStyle w:val="SCCNormalDoubleSpacing"/>
        <w:spacing w:after="480"/>
        <w:rPr>
          <w:rFonts w:cs="Times New Roman"/>
          <w:i/>
          <w:szCs w:val="24"/>
          <w:lang w:val="en-CA"/>
        </w:rPr>
      </w:pPr>
      <w:r w:rsidRPr="00D910D8">
        <w:rPr>
          <w:rFonts w:cs="Times New Roman"/>
          <w:i/>
          <w:szCs w:val="24"/>
          <w:lang w:val="en-CA"/>
        </w:rPr>
        <w:t>Canada’s Alleged Duties of Care to Smokers in the Costs Recovery Case</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tab/>
        <w:t xml:space="preserve">In the </w:t>
      </w:r>
      <w:r w:rsidRPr="00D910D8">
        <w:rPr>
          <w:rFonts w:cs="Times New Roman"/>
          <w:i/>
          <w:szCs w:val="24"/>
          <w:lang w:val="en-CA"/>
        </w:rPr>
        <w:t xml:space="preserve">Costs Recovery </w:t>
      </w:r>
      <w:r w:rsidRPr="00D910D8">
        <w:rPr>
          <w:rFonts w:cs="Times New Roman"/>
          <w:szCs w:val="24"/>
          <w:lang w:val="en-CA"/>
        </w:rPr>
        <w:t xml:space="preserve">case, the private law claims against Canada for contribution and indemnity based on alleged breaches of a duty of care to smokers must be struck.  A third party may only be liable for contribution under the </w:t>
      </w:r>
      <w:r w:rsidRPr="00D910D8">
        <w:rPr>
          <w:rFonts w:cs="Times New Roman"/>
          <w:i/>
          <w:szCs w:val="24"/>
          <w:lang w:val="en-CA"/>
        </w:rPr>
        <w:t>Negligence Act</w:t>
      </w:r>
      <w:r w:rsidRPr="00D910D8">
        <w:rPr>
          <w:rFonts w:cs="Times New Roman"/>
          <w:szCs w:val="24"/>
          <w:lang w:val="en-CA"/>
        </w:rPr>
        <w:t xml:space="preserve"> if it is directly liable to the plaintiff, in this case, British Columbia.  Here, even if Canada breached duties to smokers, this would have no effect on whether it </w:t>
      </w:r>
      <w:r w:rsidR="00296B65" w:rsidRPr="00D910D8">
        <w:rPr>
          <w:rFonts w:cs="Times New Roman"/>
          <w:szCs w:val="24"/>
          <w:lang w:val="en-CA"/>
        </w:rPr>
        <w:t>was liable to British Columbia.</w:t>
      </w:r>
    </w:p>
    <w:p w:rsidR="000E7BE0" w:rsidRPr="00D910D8" w:rsidRDefault="000E7BE0" w:rsidP="000E7BE0">
      <w:pPr>
        <w:pStyle w:val="SCCNormalDoubleSpacing"/>
        <w:spacing w:after="480"/>
        <w:rPr>
          <w:rFonts w:cs="Times New Roman"/>
          <w:i/>
          <w:szCs w:val="24"/>
          <w:lang w:val="en-CA"/>
        </w:rPr>
      </w:pPr>
      <w:r w:rsidRPr="00D910D8">
        <w:rPr>
          <w:rFonts w:cs="Times New Roman"/>
          <w:i/>
          <w:szCs w:val="24"/>
          <w:lang w:val="en-CA"/>
        </w:rPr>
        <w:t>The Claims for Negligent Misrepresentation</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tab/>
        <w:t xml:space="preserve">There are two relationships at issue in these claims: one between Canada and consumers and one between Canada and tobacco companies.  In the </w:t>
      </w:r>
      <w:r w:rsidRPr="00D910D8">
        <w:rPr>
          <w:rFonts w:cs="Times New Roman"/>
          <w:i/>
          <w:szCs w:val="24"/>
          <w:lang w:val="en-CA"/>
        </w:rPr>
        <w:t>Knight</w:t>
      </w:r>
      <w:r w:rsidRPr="00D910D8">
        <w:rPr>
          <w:rFonts w:cs="Times New Roman"/>
          <w:szCs w:val="24"/>
          <w:lang w:val="en-CA"/>
        </w:rPr>
        <w:t xml:space="preserve"> case, Imperial alleges that Canada negligently represented the health attributes of </w:t>
      </w:r>
      <w:proofErr w:type="spellStart"/>
      <w:r w:rsidRPr="00D910D8">
        <w:rPr>
          <w:rFonts w:cs="Times New Roman"/>
          <w:szCs w:val="24"/>
          <w:lang w:val="en-CA"/>
        </w:rPr>
        <w:t>low</w:t>
      </w:r>
      <w:r w:rsidRPr="00D910D8">
        <w:rPr>
          <w:rFonts w:cs="Times New Roman"/>
          <w:szCs w:val="24"/>
          <w:lang w:val="en-CA"/>
        </w:rPr>
        <w:noBreakHyphen/>
        <w:t>tar</w:t>
      </w:r>
      <w:proofErr w:type="spellEnd"/>
      <w:r w:rsidRPr="00D910D8">
        <w:rPr>
          <w:rFonts w:cs="Times New Roman"/>
          <w:szCs w:val="24"/>
          <w:lang w:val="en-CA"/>
        </w:rPr>
        <w:t xml:space="preserve"> cigarettes to consumers.  In both the </w:t>
      </w:r>
      <w:r w:rsidRPr="00D910D8">
        <w:rPr>
          <w:rFonts w:cs="Times New Roman"/>
          <w:i/>
          <w:szCs w:val="24"/>
          <w:lang w:val="en-CA"/>
        </w:rPr>
        <w:t>Knight</w:t>
      </w:r>
      <w:r w:rsidRPr="00D910D8">
        <w:rPr>
          <w:rFonts w:cs="Times New Roman"/>
          <w:szCs w:val="24"/>
          <w:lang w:val="en-CA"/>
        </w:rPr>
        <w:t xml:space="preserve"> case and the </w:t>
      </w:r>
      <w:r w:rsidRPr="00D910D8">
        <w:rPr>
          <w:rFonts w:cs="Times New Roman"/>
          <w:i/>
          <w:szCs w:val="24"/>
          <w:lang w:val="en-CA"/>
        </w:rPr>
        <w:t>Costs Recovery</w:t>
      </w:r>
      <w:r w:rsidRPr="00D910D8">
        <w:rPr>
          <w:rFonts w:cs="Times New Roman"/>
          <w:szCs w:val="24"/>
          <w:lang w:val="en-CA"/>
        </w:rPr>
        <w:t xml:space="preserve"> case, the tobacco companies allege that Canada made negligent misrepresenta</w:t>
      </w:r>
      <w:r w:rsidR="00296B65" w:rsidRPr="00D910D8">
        <w:rPr>
          <w:rFonts w:cs="Times New Roman"/>
          <w:szCs w:val="24"/>
          <w:lang w:val="en-CA"/>
        </w:rPr>
        <w:t>tions to the tobacco companies.</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lastRenderedPageBreak/>
        <w:tab/>
        <w:t xml:space="preserve">The facts as pleaded do not bring Canada’s relationship with consumers and the tobacco companies within a settled category of negligent misrepresentation.  Accordingly, to determine whether the alleged causes of action have a reasonable prospect of success, the general requirements for liability in tort must be met.  At the first stage, the question is whether the facts disclose a relationship of proximity in which failure to take reasonable care might </w:t>
      </w:r>
      <w:proofErr w:type="spellStart"/>
      <w:r w:rsidRPr="00D910D8">
        <w:rPr>
          <w:rFonts w:cs="Times New Roman"/>
          <w:szCs w:val="24"/>
          <w:lang w:val="en-CA"/>
        </w:rPr>
        <w:t>foreseeably</w:t>
      </w:r>
      <w:proofErr w:type="spellEnd"/>
      <w:r w:rsidRPr="00D910D8">
        <w:rPr>
          <w:rFonts w:cs="Times New Roman"/>
          <w:szCs w:val="24"/>
          <w:lang w:val="en-CA"/>
        </w:rPr>
        <w:t xml:space="preserve"> cause loss or harm to the plaintiff.  In a claim of negligent misrepresentation, both of these requirements for a </w:t>
      </w:r>
      <w:r w:rsidRPr="00D910D8">
        <w:rPr>
          <w:rFonts w:cs="Times New Roman"/>
          <w:i/>
          <w:szCs w:val="24"/>
          <w:lang w:val="en-CA"/>
        </w:rPr>
        <w:t xml:space="preserve">prima facie </w:t>
      </w:r>
      <w:r w:rsidRPr="00D910D8">
        <w:rPr>
          <w:rFonts w:cs="Times New Roman"/>
          <w:szCs w:val="24"/>
          <w:lang w:val="en-CA"/>
        </w:rPr>
        <w:t xml:space="preserve">duty of care are established if there was a “special relationship” between the parties.  A special relationship will be established where: (1) the defendant ought reasonably to foresee that the plaintiff will rely on his or her representation; and (2) reliance by the plaintiff would be reasonable in the circumstances of the case.  If proximity is established, a </w:t>
      </w:r>
      <w:r w:rsidRPr="00D910D8">
        <w:rPr>
          <w:rFonts w:cs="Times New Roman"/>
          <w:i/>
          <w:szCs w:val="24"/>
          <w:lang w:val="en-CA"/>
        </w:rPr>
        <w:t>prima facie</w:t>
      </w:r>
      <w:r w:rsidRPr="00D910D8">
        <w:rPr>
          <w:rFonts w:cs="Times New Roman"/>
          <w:szCs w:val="24"/>
          <w:lang w:val="en-CA"/>
        </w:rPr>
        <w:t xml:space="preserve"> duty of care arises and the analysis proceeds to the second stage, which asks whether there are policy reasons why this </w:t>
      </w:r>
      <w:r w:rsidRPr="00D910D8">
        <w:rPr>
          <w:rFonts w:cs="Times New Roman"/>
          <w:i/>
          <w:szCs w:val="24"/>
          <w:lang w:val="en-CA"/>
        </w:rPr>
        <w:t xml:space="preserve">prima facie </w:t>
      </w:r>
      <w:r w:rsidRPr="00D910D8">
        <w:rPr>
          <w:rFonts w:cs="Times New Roman"/>
          <w:szCs w:val="24"/>
          <w:lang w:val="en-CA"/>
        </w:rPr>
        <w:t>duty of care should not be recognized.</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tab/>
        <w:t xml:space="preserve">Here, on the facts as pleaded, Canada did not owe a </w:t>
      </w:r>
      <w:r w:rsidRPr="00D910D8">
        <w:rPr>
          <w:rFonts w:cs="Times New Roman"/>
          <w:i/>
          <w:szCs w:val="24"/>
          <w:lang w:val="en-CA"/>
        </w:rPr>
        <w:t xml:space="preserve">prima facie </w:t>
      </w:r>
      <w:r w:rsidRPr="00D910D8">
        <w:rPr>
          <w:rFonts w:cs="Times New Roman"/>
          <w:szCs w:val="24"/>
          <w:lang w:val="en-CA"/>
        </w:rPr>
        <w:t xml:space="preserve">duty of care to consumers.  The relationship between the two was limited to Canada’s statements to the general public that </w:t>
      </w:r>
      <w:proofErr w:type="spellStart"/>
      <w:r w:rsidRPr="00D910D8">
        <w:rPr>
          <w:rFonts w:cs="Times New Roman"/>
          <w:szCs w:val="24"/>
          <w:lang w:val="en-CA"/>
        </w:rPr>
        <w:t>low</w:t>
      </w:r>
      <w:r w:rsidRPr="00D910D8">
        <w:rPr>
          <w:rFonts w:cs="Times New Roman"/>
          <w:szCs w:val="24"/>
          <w:lang w:val="en-CA"/>
        </w:rPr>
        <w:noBreakHyphen/>
        <w:t>tar</w:t>
      </w:r>
      <w:proofErr w:type="spellEnd"/>
      <w:r w:rsidRPr="00D910D8">
        <w:rPr>
          <w:rFonts w:cs="Times New Roman"/>
          <w:szCs w:val="24"/>
          <w:lang w:val="en-CA"/>
        </w:rPr>
        <w:t xml:space="preserve"> cigarettes are less hazardous.  There were no specific interactions between Canada and the class members.  Consequently, a finding of proximity in this relationship must arise from the governing statutes.  However, the relevant statutes establish only general duties to the public, and no </w:t>
      </w:r>
      <w:r w:rsidRPr="00D910D8">
        <w:rPr>
          <w:rFonts w:cs="Times New Roman"/>
          <w:szCs w:val="24"/>
          <w:lang w:val="en-CA"/>
        </w:rPr>
        <w:lastRenderedPageBreak/>
        <w:t xml:space="preserve">private law duties to consumers.  In light of the lack of proximity, this claim in the </w:t>
      </w:r>
      <w:r w:rsidRPr="00D910D8">
        <w:rPr>
          <w:rFonts w:cs="Times New Roman"/>
          <w:i/>
          <w:szCs w:val="24"/>
          <w:lang w:val="en-CA"/>
        </w:rPr>
        <w:t>Knight</w:t>
      </w:r>
      <w:r w:rsidRPr="00D910D8">
        <w:rPr>
          <w:rFonts w:cs="Times New Roman"/>
          <w:szCs w:val="24"/>
          <w:lang w:val="en-CA"/>
        </w:rPr>
        <w:t xml:space="preserve"> case should be struck at the first stage of the analysis.</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tab/>
        <w:t xml:space="preserve">As for the tobacco companies, the facts pleaded allege a history of interactions between Canada and the tobacco companies capable of establishing a special relationship of proximity giving rise to a </w:t>
      </w:r>
      <w:r w:rsidRPr="00D910D8">
        <w:rPr>
          <w:rFonts w:cs="Times New Roman"/>
          <w:i/>
          <w:szCs w:val="24"/>
          <w:lang w:val="en-CA"/>
        </w:rPr>
        <w:t>prima facie</w:t>
      </w:r>
      <w:r w:rsidRPr="00D910D8">
        <w:rPr>
          <w:rFonts w:cs="Times New Roman"/>
          <w:szCs w:val="24"/>
          <w:lang w:val="en-CA"/>
        </w:rPr>
        <w:t xml:space="preserve"> duty of care.  The allegations are that Canada assumed the role of adviser to a finite number of manufacturers and that there were commercial relationships entered into between Canada and the companies based in part on the advice given to the companies by government officials, going far beyond the sort of statements made by Canada to the public at large.  Furthermore, Canada’s regulatory powers over the manufacturers coupled with its specific advice and its commercial involvement could be seen as supporting a conclusion that Canada ought reasonably to have foreseen that the tobacco companies would rely on the representations and that such reliance would be reasonab</w:t>
      </w:r>
      <w:r w:rsidR="00296B65" w:rsidRPr="00D910D8">
        <w:rPr>
          <w:rFonts w:cs="Times New Roman"/>
          <w:szCs w:val="24"/>
          <w:lang w:val="en-CA"/>
        </w:rPr>
        <w:t>le in the pleaded circumstance.</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tab/>
        <w:t xml:space="preserve">Canada’s alleged negligent misrepresentations do not give rise to tort liability, however, because of conflicting policy considerations.  The alleged representations constitute protected expressions of government policy.  Core government policy decisions protected from suit are decisions as to a course or principle of action that are based on public policy considerations, such as economic, social and political factors, provided they are neither irrational nor taken in bad faith.  </w:t>
      </w:r>
      <w:r w:rsidRPr="00D910D8">
        <w:rPr>
          <w:rFonts w:cs="Times New Roman"/>
          <w:szCs w:val="24"/>
          <w:lang w:val="en-CA"/>
        </w:rPr>
        <w:lastRenderedPageBreak/>
        <w:t xml:space="preserve">The representations in this case were part and parcel of a government policy, adopted at the highest level in the Canadian government and developed out of concern for the health of Canadians and the individual and institutional costs associated with </w:t>
      </w:r>
      <w:proofErr w:type="spellStart"/>
      <w:r w:rsidRPr="00D910D8">
        <w:rPr>
          <w:rFonts w:cs="Times New Roman"/>
          <w:szCs w:val="24"/>
          <w:lang w:val="en-CA"/>
        </w:rPr>
        <w:t>tobacco</w:t>
      </w:r>
      <w:r w:rsidRPr="00D910D8">
        <w:rPr>
          <w:rFonts w:cs="Times New Roman"/>
          <w:szCs w:val="24"/>
          <w:lang w:val="en-CA"/>
        </w:rPr>
        <w:noBreakHyphen/>
        <w:t>related</w:t>
      </w:r>
      <w:proofErr w:type="spellEnd"/>
      <w:r w:rsidRPr="00D910D8">
        <w:rPr>
          <w:rFonts w:cs="Times New Roman"/>
          <w:szCs w:val="24"/>
          <w:lang w:val="en-CA"/>
        </w:rPr>
        <w:t xml:space="preserve"> disease, to encourage people who continued to smoke t</w:t>
      </w:r>
      <w:r w:rsidR="00296B65" w:rsidRPr="00D910D8">
        <w:rPr>
          <w:rFonts w:cs="Times New Roman"/>
          <w:szCs w:val="24"/>
          <w:lang w:val="en-CA"/>
        </w:rPr>
        <w:t xml:space="preserve">o switch to </w:t>
      </w:r>
      <w:proofErr w:type="spellStart"/>
      <w:r w:rsidR="00296B65" w:rsidRPr="00D910D8">
        <w:rPr>
          <w:rFonts w:cs="Times New Roman"/>
          <w:szCs w:val="24"/>
          <w:lang w:val="en-CA"/>
        </w:rPr>
        <w:t>low</w:t>
      </w:r>
      <w:r w:rsidR="00296B65" w:rsidRPr="00D910D8">
        <w:rPr>
          <w:rFonts w:cs="Times New Roman"/>
          <w:szCs w:val="24"/>
          <w:lang w:val="en-CA"/>
        </w:rPr>
        <w:noBreakHyphen/>
        <w:t>tar</w:t>
      </w:r>
      <w:proofErr w:type="spellEnd"/>
      <w:r w:rsidR="00296B65" w:rsidRPr="00D910D8">
        <w:rPr>
          <w:rFonts w:cs="Times New Roman"/>
          <w:szCs w:val="24"/>
          <w:lang w:val="en-CA"/>
        </w:rPr>
        <w:t xml:space="preserve"> cigarettes.</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tab/>
        <w:t>The claims for negligent misrepresentation should also fail because they would expose Canada to indeterminate liability.  Recognizing a duty of care for representations to the tobacco companies would effectively amount to a duty to consumers.  While the quantum of damages owed by Canada to the companies in both cases would depend on the number of smokers and the number of cigarettes sold, Canada had no control over the number of people who smoked light cigarettes.</w:t>
      </w:r>
    </w:p>
    <w:p w:rsidR="000E7BE0" w:rsidRPr="00D910D8" w:rsidRDefault="000E7BE0" w:rsidP="000E7BE0">
      <w:pPr>
        <w:pStyle w:val="SCCNormalDoubleSpacing"/>
        <w:spacing w:after="480"/>
        <w:rPr>
          <w:rFonts w:cs="Times New Roman"/>
          <w:i/>
          <w:szCs w:val="24"/>
          <w:lang w:val="en-CA"/>
        </w:rPr>
      </w:pPr>
      <w:r w:rsidRPr="00D910D8">
        <w:rPr>
          <w:rFonts w:cs="Times New Roman"/>
          <w:i/>
          <w:szCs w:val="24"/>
          <w:lang w:val="en-CA"/>
        </w:rPr>
        <w:t>The Claims for Failure to Warn</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tab/>
        <w:t xml:space="preserve">The tobacco companies make two allegations for failure to warn:  (1) that Canada directed the tobacco companies not to provide warnings on cigarette packages about the health hazards of cigarettes and (2) that Canada failed to warn the tobacco companies about the dangers posed by the strains of tobacco it designed and licensed.  These two claims should be struck.  The crux of the first claim is essentially the same as the negligent misrepresentation claim, and should be rejected for the same policy reasons.  The Minister of Health’s recommendations on warning labels were integral </w:t>
      </w:r>
      <w:r w:rsidRPr="00D910D8">
        <w:rPr>
          <w:rFonts w:cs="Times New Roman"/>
          <w:szCs w:val="24"/>
          <w:lang w:val="en-CA"/>
        </w:rPr>
        <w:lastRenderedPageBreak/>
        <w:t xml:space="preserve">to the government’s policy of encouraging smokers to switch to </w:t>
      </w:r>
      <w:proofErr w:type="spellStart"/>
      <w:r w:rsidRPr="00D910D8">
        <w:rPr>
          <w:rFonts w:cs="Times New Roman"/>
          <w:szCs w:val="24"/>
          <w:lang w:val="en-CA"/>
        </w:rPr>
        <w:t>low</w:t>
      </w:r>
      <w:r w:rsidRPr="00D910D8">
        <w:rPr>
          <w:rFonts w:cs="Times New Roman"/>
          <w:szCs w:val="24"/>
          <w:lang w:val="en-CA"/>
        </w:rPr>
        <w:noBreakHyphen/>
        <w:t>tar</w:t>
      </w:r>
      <w:proofErr w:type="spellEnd"/>
      <w:r w:rsidRPr="00D910D8">
        <w:rPr>
          <w:rFonts w:cs="Times New Roman"/>
          <w:szCs w:val="24"/>
          <w:lang w:val="en-CA"/>
        </w:rPr>
        <w:t xml:space="preserve"> cigarettes.  As such, they cannot ground a claim in failure to warn.  The same is true of the second claim.  While the tort of failure to warn requires evidence of a positive duty towards the plaintiff, nothing in the </w:t>
      </w:r>
      <w:proofErr w:type="spellStart"/>
      <w:r w:rsidRPr="00D910D8">
        <w:rPr>
          <w:rFonts w:cs="Times New Roman"/>
          <w:szCs w:val="24"/>
          <w:lang w:val="en-CA"/>
        </w:rPr>
        <w:t>third</w:t>
      </w:r>
      <w:r w:rsidRPr="00D910D8">
        <w:rPr>
          <w:rFonts w:cs="Times New Roman"/>
          <w:szCs w:val="24"/>
          <w:lang w:val="en-CA"/>
        </w:rPr>
        <w:noBreakHyphen/>
        <w:t>party</w:t>
      </w:r>
      <w:proofErr w:type="spellEnd"/>
      <w:r w:rsidRPr="00D910D8">
        <w:rPr>
          <w:rFonts w:cs="Times New Roman"/>
          <w:szCs w:val="24"/>
          <w:lang w:val="en-CA"/>
        </w:rPr>
        <w:t xml:space="preserve"> notices suggests that Canada was under such a positive duty here.  A plea of negligence, without more, will not suffice to raise a duty to warn.  In any event, such a claim would fail for the policy reasons applicable to the negligent misreprese</w:t>
      </w:r>
      <w:r w:rsidR="00296B65" w:rsidRPr="00D910D8">
        <w:rPr>
          <w:rFonts w:cs="Times New Roman"/>
          <w:szCs w:val="24"/>
          <w:lang w:val="en-CA"/>
        </w:rPr>
        <w:t>ntation claim.</w:t>
      </w:r>
    </w:p>
    <w:p w:rsidR="000E7BE0" w:rsidRPr="00D910D8" w:rsidRDefault="000E7BE0" w:rsidP="000E7BE0">
      <w:pPr>
        <w:pStyle w:val="SCCNormalDoubleSpacing"/>
        <w:spacing w:after="480"/>
        <w:rPr>
          <w:rFonts w:cs="Times New Roman"/>
          <w:i/>
          <w:szCs w:val="24"/>
          <w:lang w:val="en-CA"/>
        </w:rPr>
      </w:pPr>
      <w:r w:rsidRPr="00D910D8">
        <w:rPr>
          <w:rFonts w:cs="Times New Roman"/>
          <w:i/>
          <w:szCs w:val="24"/>
          <w:lang w:val="en-CA"/>
        </w:rPr>
        <w:t>The Claims for Negligent Design</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tab/>
        <w:t xml:space="preserve">The tobacco companies have brought two types of negligent design claims against Canada.  They submit that Canada breached its duty of care to the tobacco companies when it negligently designed its strains of </w:t>
      </w:r>
      <w:proofErr w:type="spellStart"/>
      <w:r w:rsidRPr="00D910D8">
        <w:rPr>
          <w:rFonts w:cs="Times New Roman"/>
          <w:szCs w:val="24"/>
          <w:lang w:val="en-CA"/>
        </w:rPr>
        <w:t>low</w:t>
      </w:r>
      <w:r w:rsidRPr="00D910D8">
        <w:rPr>
          <w:rFonts w:cs="Times New Roman"/>
          <w:szCs w:val="24"/>
          <w:lang w:val="en-CA"/>
        </w:rPr>
        <w:noBreakHyphen/>
        <w:t>tar</w:t>
      </w:r>
      <w:proofErr w:type="spellEnd"/>
      <w:r w:rsidRPr="00D910D8">
        <w:rPr>
          <w:rFonts w:cs="Times New Roman"/>
          <w:szCs w:val="24"/>
          <w:lang w:val="en-CA"/>
        </w:rPr>
        <w:t xml:space="preserve"> tobacco.  In the </w:t>
      </w:r>
      <w:r w:rsidRPr="00D910D8">
        <w:rPr>
          <w:rFonts w:cs="Times New Roman"/>
          <w:i/>
          <w:szCs w:val="24"/>
          <w:lang w:val="en-CA"/>
        </w:rPr>
        <w:t>Knight</w:t>
      </w:r>
      <w:r w:rsidRPr="00D910D8">
        <w:rPr>
          <w:rFonts w:cs="Times New Roman"/>
          <w:szCs w:val="24"/>
          <w:lang w:val="en-CA"/>
        </w:rPr>
        <w:t xml:space="preserve"> case, Imperial submits that Canada breached its duty of care to consumers of light and mild cigarettes.  The two negligent design claims establish a </w:t>
      </w:r>
      <w:r w:rsidRPr="00D910D8">
        <w:rPr>
          <w:rFonts w:cs="Times New Roman"/>
          <w:i/>
          <w:szCs w:val="24"/>
          <w:lang w:val="en-CA"/>
        </w:rPr>
        <w:t>prima facie</w:t>
      </w:r>
      <w:r w:rsidRPr="00D910D8">
        <w:rPr>
          <w:rFonts w:cs="Times New Roman"/>
          <w:szCs w:val="24"/>
          <w:lang w:val="en-CA"/>
        </w:rPr>
        <w:t xml:space="preserve"> duty of care.  With respect to Canada’s design of </w:t>
      </w:r>
      <w:proofErr w:type="spellStart"/>
      <w:r w:rsidRPr="00D910D8">
        <w:rPr>
          <w:rFonts w:cs="Times New Roman"/>
          <w:szCs w:val="24"/>
          <w:lang w:val="en-CA"/>
        </w:rPr>
        <w:t>low</w:t>
      </w:r>
      <w:r w:rsidRPr="00D910D8">
        <w:rPr>
          <w:rFonts w:cs="Times New Roman"/>
          <w:szCs w:val="24"/>
          <w:lang w:val="en-CA"/>
        </w:rPr>
        <w:noBreakHyphen/>
        <w:t>tar</w:t>
      </w:r>
      <w:proofErr w:type="spellEnd"/>
      <w:r w:rsidRPr="00D910D8">
        <w:rPr>
          <w:rFonts w:cs="Times New Roman"/>
          <w:szCs w:val="24"/>
          <w:lang w:val="en-CA"/>
        </w:rPr>
        <w:t xml:space="preserve"> tobacco strains, the proximity alleged with the tobacco companies is not based on a statutory duty, but on commercial interactions between Canada and the tobacco companies.  In the </w:t>
      </w:r>
      <w:r w:rsidRPr="00D910D8">
        <w:rPr>
          <w:rFonts w:cs="Times New Roman"/>
          <w:i/>
          <w:szCs w:val="24"/>
          <w:lang w:val="en-CA"/>
        </w:rPr>
        <w:t>Knight</w:t>
      </w:r>
      <w:r w:rsidRPr="00D910D8">
        <w:rPr>
          <w:rFonts w:cs="Times New Roman"/>
          <w:szCs w:val="24"/>
          <w:lang w:val="en-CA"/>
        </w:rPr>
        <w:t xml:space="preserve"> case also, it is at least arguable that Canada was acting in a commercial capacity towards the consumers of light and mild cigarettes when it designed its strains of tobacco.  However, the decision to develop </w:t>
      </w:r>
      <w:proofErr w:type="spellStart"/>
      <w:r w:rsidRPr="00D910D8">
        <w:rPr>
          <w:rFonts w:cs="Times New Roman"/>
          <w:szCs w:val="24"/>
          <w:lang w:val="en-CA"/>
        </w:rPr>
        <w:t>low</w:t>
      </w:r>
      <w:r w:rsidRPr="00D910D8">
        <w:rPr>
          <w:rFonts w:cs="Times New Roman"/>
          <w:szCs w:val="24"/>
          <w:lang w:val="en-CA"/>
        </w:rPr>
        <w:noBreakHyphen/>
        <w:t>tar</w:t>
      </w:r>
      <w:proofErr w:type="spellEnd"/>
      <w:r w:rsidRPr="00D910D8">
        <w:rPr>
          <w:rFonts w:cs="Times New Roman"/>
          <w:szCs w:val="24"/>
          <w:lang w:val="en-CA"/>
        </w:rPr>
        <w:t xml:space="preserve"> strains of tobacco on the belief that the resulting cigarettes would be less harmful to health is a decision that </w:t>
      </w:r>
      <w:r w:rsidRPr="00D910D8">
        <w:rPr>
          <w:rFonts w:cs="Times New Roman"/>
          <w:szCs w:val="24"/>
          <w:lang w:val="en-CA"/>
        </w:rPr>
        <w:lastRenderedPageBreak/>
        <w:t>constitutes a course or principle of action based on Canada’s health policy and based on social and economic factors.  As a core government policy decision, it cannot ground a claim for negligent design.  These claims should accordingly be struck.</w:t>
      </w:r>
    </w:p>
    <w:p w:rsidR="000E7BE0" w:rsidRPr="00D910D8" w:rsidRDefault="000E7BE0" w:rsidP="000E7BE0">
      <w:pPr>
        <w:pStyle w:val="SCCNormalDoubleSpacing"/>
        <w:spacing w:after="480"/>
        <w:rPr>
          <w:rFonts w:cs="Times New Roman"/>
          <w:i/>
          <w:szCs w:val="24"/>
          <w:lang w:val="en-CA"/>
        </w:rPr>
      </w:pPr>
      <w:r w:rsidRPr="00D910D8">
        <w:rPr>
          <w:rFonts w:cs="Times New Roman"/>
          <w:i/>
          <w:szCs w:val="24"/>
          <w:lang w:val="en-CA"/>
        </w:rPr>
        <w:t>Liability as a “Manufacturer” and a “Supplier”</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tab/>
        <w:t xml:space="preserve">The tobacco companies’ contribution claim in the </w:t>
      </w:r>
      <w:r w:rsidRPr="00D910D8">
        <w:rPr>
          <w:rFonts w:cs="Times New Roman"/>
          <w:i/>
          <w:szCs w:val="24"/>
          <w:lang w:val="en-CA"/>
        </w:rPr>
        <w:t>Costs Recovery</w:t>
      </w:r>
      <w:r w:rsidRPr="00D910D8">
        <w:rPr>
          <w:rFonts w:cs="Times New Roman"/>
          <w:szCs w:val="24"/>
          <w:lang w:val="en-CA"/>
        </w:rPr>
        <w:t xml:space="preserve"> case that Canada could qualify as a “manufacturer” under the </w:t>
      </w:r>
      <w:r w:rsidRPr="00D910D8">
        <w:rPr>
          <w:rFonts w:cs="Times New Roman"/>
          <w:i/>
          <w:szCs w:val="24"/>
          <w:lang w:val="en-CA"/>
        </w:rPr>
        <w:t>CRA</w:t>
      </w:r>
      <w:r w:rsidRPr="00D910D8">
        <w:rPr>
          <w:rFonts w:cs="Times New Roman"/>
          <w:szCs w:val="24"/>
          <w:lang w:val="en-CA"/>
        </w:rPr>
        <w:t xml:space="preserve"> should be struck.  It is plain and obvious that the federal government does not qualify as a manufacturer of tobacco under that Act.  When the Act</w:t>
      </w:r>
      <w:r w:rsidRPr="00D910D8">
        <w:rPr>
          <w:rFonts w:cs="Times New Roman"/>
          <w:i/>
          <w:szCs w:val="24"/>
          <w:lang w:val="en-CA"/>
        </w:rPr>
        <w:t xml:space="preserve"> </w:t>
      </w:r>
      <w:r w:rsidRPr="00D910D8">
        <w:rPr>
          <w:rFonts w:cs="Times New Roman"/>
          <w:szCs w:val="24"/>
          <w:lang w:val="en-CA"/>
        </w:rPr>
        <w:t xml:space="preserve">is read in context and all of its provisions are taken into account, it is apparent that the British Columbia legislature did not intend Canada to be liable as a manufacturer.  This is confirmed by the text of the statute, the intent of the legislature in adopting the Act, and the broader context of the relationship between the province and the federal government.  Holding Canada accountable under the </w:t>
      </w:r>
      <w:r w:rsidRPr="00D910D8">
        <w:rPr>
          <w:rFonts w:cs="Times New Roman"/>
          <w:i/>
          <w:szCs w:val="24"/>
          <w:lang w:val="en-CA"/>
        </w:rPr>
        <w:t>CRA</w:t>
      </w:r>
      <w:r w:rsidRPr="00D910D8">
        <w:rPr>
          <w:rFonts w:cs="Times New Roman"/>
          <w:szCs w:val="24"/>
          <w:lang w:val="en-CA"/>
        </w:rPr>
        <w:t xml:space="preserve"> would defeat the legislature’s intention of transferring the health</w:t>
      </w:r>
      <w:r w:rsidRPr="00D910D8">
        <w:rPr>
          <w:rFonts w:cs="Times New Roman"/>
          <w:szCs w:val="24"/>
          <w:lang w:val="en-CA"/>
        </w:rPr>
        <w:noBreakHyphen/>
        <w:t xml:space="preserve">care costs resulting from </w:t>
      </w:r>
      <w:proofErr w:type="spellStart"/>
      <w:r w:rsidRPr="00D910D8">
        <w:rPr>
          <w:rFonts w:cs="Times New Roman"/>
          <w:szCs w:val="24"/>
          <w:lang w:val="en-CA"/>
        </w:rPr>
        <w:t>tobacco</w:t>
      </w:r>
      <w:r w:rsidRPr="00D910D8">
        <w:rPr>
          <w:rFonts w:cs="Times New Roman"/>
          <w:szCs w:val="24"/>
          <w:lang w:val="en-CA"/>
        </w:rPr>
        <w:noBreakHyphen/>
        <w:t>related</w:t>
      </w:r>
      <w:proofErr w:type="spellEnd"/>
      <w:r w:rsidRPr="00D910D8">
        <w:rPr>
          <w:rFonts w:cs="Times New Roman"/>
          <w:szCs w:val="24"/>
          <w:lang w:val="en-CA"/>
        </w:rPr>
        <w:t xml:space="preserve"> wrongs from taxpayers to the tobacco industry.  Similarly, the tobacco companies cannot rely on the recently adopted </w:t>
      </w:r>
      <w:r w:rsidRPr="00D910D8">
        <w:rPr>
          <w:rFonts w:cs="Times New Roman"/>
          <w:i/>
          <w:szCs w:val="24"/>
          <w:lang w:val="en-CA"/>
        </w:rPr>
        <w:t>Health Care Costs Recovery Act</w:t>
      </w:r>
      <w:r w:rsidRPr="00D910D8">
        <w:rPr>
          <w:rFonts w:cs="Times New Roman"/>
          <w:szCs w:val="24"/>
          <w:lang w:val="en-CA"/>
        </w:rPr>
        <w:t xml:space="preserve"> in an action for contribution under the </w:t>
      </w:r>
      <w:r w:rsidRPr="00D910D8">
        <w:rPr>
          <w:rFonts w:cs="Times New Roman"/>
          <w:i/>
          <w:szCs w:val="24"/>
          <w:lang w:val="en-CA"/>
        </w:rPr>
        <w:t>CRA</w:t>
      </w:r>
      <w:r w:rsidRPr="00D910D8">
        <w:rPr>
          <w:rFonts w:cs="Times New Roman"/>
          <w:szCs w:val="24"/>
          <w:lang w:val="en-CA"/>
        </w:rPr>
        <w:t xml:space="preserve">.  Finally, Canada could not be liable for contribution under the </w:t>
      </w:r>
      <w:r w:rsidRPr="00D910D8">
        <w:rPr>
          <w:rFonts w:cs="Times New Roman"/>
          <w:i/>
          <w:szCs w:val="24"/>
          <w:lang w:val="en-CA"/>
        </w:rPr>
        <w:t>Negligence Act</w:t>
      </w:r>
      <w:r w:rsidRPr="00D910D8">
        <w:rPr>
          <w:rFonts w:cs="Times New Roman"/>
          <w:szCs w:val="24"/>
          <w:lang w:val="en-CA"/>
        </w:rPr>
        <w:t xml:space="preserve"> or at common law since it is not direc</w:t>
      </w:r>
      <w:r w:rsidR="00296B65" w:rsidRPr="00D910D8">
        <w:rPr>
          <w:rFonts w:cs="Times New Roman"/>
          <w:szCs w:val="24"/>
          <w:lang w:val="en-CA"/>
        </w:rPr>
        <w:t>tly liable to British Columbia.</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lastRenderedPageBreak/>
        <w:tab/>
        <w:t xml:space="preserve">Imperial’s claim in the </w:t>
      </w:r>
      <w:r w:rsidRPr="00D910D8">
        <w:rPr>
          <w:rFonts w:cs="Times New Roman"/>
          <w:i/>
          <w:szCs w:val="24"/>
          <w:lang w:val="en-CA"/>
        </w:rPr>
        <w:t>Knight</w:t>
      </w:r>
      <w:r w:rsidRPr="00D910D8">
        <w:rPr>
          <w:rFonts w:cs="Times New Roman"/>
          <w:szCs w:val="24"/>
          <w:lang w:val="en-CA"/>
        </w:rPr>
        <w:t xml:space="preserve"> case that Canada could qualify as a “supplier” under the </w:t>
      </w:r>
      <w:r w:rsidRPr="00D910D8">
        <w:rPr>
          <w:rFonts w:cs="Times New Roman"/>
          <w:i/>
          <w:szCs w:val="24"/>
          <w:lang w:val="en-CA"/>
        </w:rPr>
        <w:t>Trade Practice Act</w:t>
      </w:r>
      <w:r w:rsidRPr="00D910D8">
        <w:rPr>
          <w:rFonts w:cs="Times New Roman"/>
          <w:szCs w:val="24"/>
          <w:lang w:val="en-CA"/>
        </w:rPr>
        <w:t xml:space="preserve"> and the </w:t>
      </w:r>
      <w:r w:rsidRPr="00D910D8">
        <w:rPr>
          <w:rFonts w:cs="Times New Roman"/>
          <w:i/>
          <w:szCs w:val="24"/>
          <w:lang w:val="en-CA"/>
        </w:rPr>
        <w:t>Business Practices and Consumer Protection Act</w:t>
      </w:r>
      <w:r w:rsidRPr="00D910D8">
        <w:rPr>
          <w:rFonts w:cs="Times New Roman"/>
          <w:szCs w:val="24"/>
          <w:lang w:val="en-CA"/>
        </w:rPr>
        <w:t xml:space="preserve"> which replaced it should also be struck.  Canada’s purpose for developing and promoting tobacco as described in the </w:t>
      </w:r>
      <w:proofErr w:type="spellStart"/>
      <w:r w:rsidRPr="00D910D8">
        <w:rPr>
          <w:rFonts w:cs="Times New Roman"/>
          <w:szCs w:val="24"/>
          <w:lang w:val="en-CA"/>
        </w:rPr>
        <w:t>third</w:t>
      </w:r>
      <w:r w:rsidRPr="00D910D8">
        <w:rPr>
          <w:rFonts w:cs="Times New Roman"/>
          <w:szCs w:val="24"/>
          <w:lang w:val="en-CA"/>
        </w:rPr>
        <w:noBreakHyphen/>
        <w:t>party</w:t>
      </w:r>
      <w:proofErr w:type="spellEnd"/>
      <w:r w:rsidRPr="00D910D8">
        <w:rPr>
          <w:rFonts w:cs="Times New Roman"/>
          <w:szCs w:val="24"/>
          <w:lang w:val="en-CA"/>
        </w:rPr>
        <w:t xml:space="preserve"> notice suggests that it was not acting “in the course of business” or “in the course of the person’s business” as those ph</w:t>
      </w:r>
      <w:r w:rsidR="00064666" w:rsidRPr="00D910D8">
        <w:rPr>
          <w:rFonts w:cs="Times New Roman"/>
          <w:szCs w:val="24"/>
          <w:lang w:val="en-CA"/>
        </w:rPr>
        <w:t>r</w:t>
      </w:r>
      <w:r w:rsidRPr="00D910D8">
        <w:rPr>
          <w:rFonts w:cs="Times New Roman"/>
          <w:szCs w:val="24"/>
          <w:lang w:val="en-CA"/>
        </w:rPr>
        <w:t xml:space="preserve">ases are used in those statutes.  Those phrases must be understood as limited to activities undertaken for a commercial purpose.  Here, it is plain and obvious from the facts pleaded that Canada did not promote the use of </w:t>
      </w:r>
      <w:proofErr w:type="spellStart"/>
      <w:r w:rsidRPr="00D910D8">
        <w:rPr>
          <w:rFonts w:cs="Times New Roman"/>
          <w:szCs w:val="24"/>
          <w:lang w:val="en-CA"/>
        </w:rPr>
        <w:t>low</w:t>
      </w:r>
      <w:r w:rsidRPr="00D910D8">
        <w:rPr>
          <w:rFonts w:cs="Times New Roman"/>
          <w:szCs w:val="24"/>
          <w:lang w:val="en-CA"/>
        </w:rPr>
        <w:noBreakHyphen/>
        <w:t>tar</w:t>
      </w:r>
      <w:proofErr w:type="spellEnd"/>
      <w:r w:rsidRPr="00D910D8">
        <w:rPr>
          <w:rFonts w:cs="Times New Roman"/>
          <w:szCs w:val="24"/>
          <w:lang w:val="en-CA"/>
        </w:rPr>
        <w:t xml:space="preserve"> cigarettes for a commercial purpose, but for a health purpose.  Canada is therefore not a supplier and is n</w:t>
      </w:r>
      <w:r w:rsidR="00296B65" w:rsidRPr="00D910D8">
        <w:rPr>
          <w:rFonts w:cs="Times New Roman"/>
          <w:szCs w:val="24"/>
          <w:lang w:val="en-CA"/>
        </w:rPr>
        <w:t>ot liable under those statutes.</w:t>
      </w:r>
    </w:p>
    <w:p w:rsidR="000E7BE0" w:rsidRPr="00D910D8" w:rsidRDefault="000E7BE0" w:rsidP="000E7BE0">
      <w:pPr>
        <w:pStyle w:val="SCCNormalDoubleSpacing"/>
        <w:spacing w:after="480"/>
        <w:rPr>
          <w:rFonts w:cs="Times New Roman"/>
          <w:i/>
          <w:szCs w:val="24"/>
          <w:lang w:val="en-CA"/>
        </w:rPr>
      </w:pPr>
      <w:r w:rsidRPr="00D910D8">
        <w:rPr>
          <w:rFonts w:cs="Times New Roman"/>
          <w:i/>
          <w:szCs w:val="24"/>
          <w:lang w:val="en-CA"/>
        </w:rPr>
        <w:t>Claims for Equitable Indemnity and Procedural Considerations</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tab/>
        <w:t>The tobacco companies’ claims of equitable indemnity should be struck.  Equitable indemnity is a narrow doctrine, confined to situations of an express or implied understanding that a principal will indemnify its agent for acting on the directions given.  When Canada directed the tobacco industry about how it should conduct itself, it was doing so in its capacity as a government regulator that was concerned about the health of Canadians.  Under such circumstances, it is unreasonable to infer that Canada was implicitly promising to indemnify the indu</w:t>
      </w:r>
      <w:r w:rsidR="00296B65" w:rsidRPr="00D910D8">
        <w:rPr>
          <w:rFonts w:cs="Times New Roman"/>
          <w:szCs w:val="24"/>
          <w:lang w:val="en-CA"/>
        </w:rPr>
        <w:t>stry for acting on its request.</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lastRenderedPageBreak/>
        <w:tab/>
        <w:t>Finally, the claims for declaratory relief should be struck.  The tobacco companies’ ability to mount defences would not be severely prejudiced if Canada was no longer a third party in the litigation.</w:t>
      </w:r>
    </w:p>
    <w:p w:rsidR="000E7BE0" w:rsidRPr="00D910D8" w:rsidRDefault="000E7BE0" w:rsidP="000E7BE0">
      <w:pPr>
        <w:pStyle w:val="SCCNormalDoubleSpacing"/>
        <w:keepNext/>
        <w:keepLines/>
        <w:spacing w:after="480"/>
        <w:rPr>
          <w:rFonts w:cs="Times New Roman"/>
          <w:b/>
          <w:szCs w:val="24"/>
          <w:lang w:val="en-CA"/>
        </w:rPr>
      </w:pPr>
      <w:r w:rsidRPr="00D910D8">
        <w:rPr>
          <w:rFonts w:cs="Times New Roman"/>
          <w:b/>
          <w:szCs w:val="24"/>
          <w:lang w:val="en-CA"/>
        </w:rPr>
        <w:t>Cases Cited</w:t>
      </w:r>
    </w:p>
    <w:p w:rsidR="00FE6C33" w:rsidRPr="00D910D8" w:rsidRDefault="000E7BE0" w:rsidP="00FE6C33">
      <w:pPr>
        <w:pStyle w:val="SCCNormalDoubleSpacing"/>
        <w:spacing w:after="480"/>
        <w:rPr>
          <w:rFonts w:cs="Times New Roman"/>
          <w:szCs w:val="24"/>
          <w:lang w:val="en-CA"/>
        </w:rPr>
      </w:pPr>
      <w:r w:rsidRPr="00D910D8">
        <w:rPr>
          <w:rFonts w:cs="Times New Roman"/>
          <w:szCs w:val="24"/>
          <w:lang w:val="en-CA"/>
        </w:rPr>
        <w:tab/>
      </w:r>
      <w:r w:rsidRPr="00D910D8">
        <w:rPr>
          <w:rFonts w:cs="Times New Roman"/>
          <w:b/>
          <w:szCs w:val="24"/>
          <w:lang w:val="en-CA"/>
        </w:rPr>
        <w:t>Applied:</w:t>
      </w:r>
      <w:r w:rsidRPr="00D910D8">
        <w:rPr>
          <w:rFonts w:cs="Times New Roman"/>
          <w:szCs w:val="24"/>
          <w:lang w:val="en-CA"/>
        </w:rPr>
        <w:t xml:space="preserve">  </w:t>
      </w:r>
      <w:proofErr w:type="spellStart"/>
      <w:r w:rsidRPr="00D910D8">
        <w:rPr>
          <w:rStyle w:val="documentbody"/>
          <w:rFonts w:eastAsiaTheme="majorEastAsia" w:cs="Times New Roman"/>
          <w:i/>
          <w:szCs w:val="24"/>
          <w:lang w:val="en-CA"/>
        </w:rPr>
        <w:t>Odhavji</w:t>
      </w:r>
      <w:proofErr w:type="spellEnd"/>
      <w:r w:rsidRPr="00D910D8">
        <w:rPr>
          <w:rStyle w:val="documentbody"/>
          <w:rFonts w:eastAsiaTheme="majorEastAsia" w:cs="Times New Roman"/>
          <w:i/>
          <w:szCs w:val="24"/>
          <w:lang w:val="en-CA"/>
        </w:rPr>
        <w:t xml:space="preserve"> Estate v. Woodhouse</w:t>
      </w:r>
      <w:r w:rsidRPr="00D910D8">
        <w:rPr>
          <w:rStyle w:val="documentbody"/>
          <w:rFonts w:eastAsiaTheme="majorEastAsia" w:cs="Times New Roman"/>
          <w:szCs w:val="24"/>
          <w:lang w:val="en-CA"/>
        </w:rPr>
        <w:t xml:space="preserve">, 2003 SCC 69, [2003] 3 S.C.R. 263; </w:t>
      </w:r>
      <w:r w:rsidRPr="00D910D8">
        <w:rPr>
          <w:rFonts w:cs="Times New Roman"/>
          <w:i/>
          <w:szCs w:val="24"/>
          <w:lang w:val="en-CA"/>
        </w:rPr>
        <w:t>Hunt v. Carey Canada Inc.</w:t>
      </w:r>
      <w:r w:rsidRPr="00D910D8">
        <w:rPr>
          <w:rFonts w:cs="Times New Roman"/>
          <w:szCs w:val="24"/>
          <w:lang w:val="en-CA"/>
        </w:rPr>
        <w:t xml:space="preserve">, [1990] 2 S.C.R. 959; </w:t>
      </w:r>
      <w:proofErr w:type="spellStart"/>
      <w:r w:rsidRPr="00D910D8">
        <w:rPr>
          <w:rFonts w:cs="Times New Roman"/>
          <w:i/>
          <w:iCs/>
          <w:szCs w:val="24"/>
          <w:lang w:val="en-CA"/>
        </w:rPr>
        <w:t>Anns</w:t>
      </w:r>
      <w:proofErr w:type="spellEnd"/>
      <w:r w:rsidRPr="00D910D8">
        <w:rPr>
          <w:rFonts w:cs="Times New Roman"/>
          <w:i/>
          <w:iCs/>
          <w:szCs w:val="24"/>
          <w:lang w:val="en-CA"/>
        </w:rPr>
        <w:t xml:space="preserve"> v. Merton London Borough Council</w:t>
      </w:r>
      <w:r w:rsidRPr="00D910D8">
        <w:rPr>
          <w:rFonts w:cs="Times New Roman"/>
          <w:szCs w:val="24"/>
          <w:lang w:val="en-CA"/>
        </w:rPr>
        <w:t xml:space="preserve">, [1978] A.C. 728; </w:t>
      </w:r>
      <w:r w:rsidRPr="00D910D8">
        <w:rPr>
          <w:rFonts w:cs="Times New Roman"/>
          <w:i/>
          <w:szCs w:val="24"/>
          <w:lang w:val="en-CA"/>
        </w:rPr>
        <w:t>Cooper v. Hobart</w:t>
      </w:r>
      <w:r w:rsidRPr="00D910D8">
        <w:rPr>
          <w:rFonts w:cs="Times New Roman"/>
          <w:szCs w:val="24"/>
          <w:lang w:val="en-CA"/>
        </w:rPr>
        <w:t>,</w:t>
      </w:r>
      <w:r w:rsidRPr="00D910D8">
        <w:rPr>
          <w:rFonts w:cs="Times New Roman"/>
          <w:i/>
          <w:szCs w:val="24"/>
          <w:lang w:val="en-CA"/>
        </w:rPr>
        <w:t xml:space="preserve"> </w:t>
      </w:r>
      <w:r w:rsidRPr="00D910D8">
        <w:rPr>
          <w:rFonts w:cs="Times New Roman"/>
          <w:szCs w:val="24"/>
          <w:lang w:val="en-CA"/>
        </w:rPr>
        <w:t xml:space="preserve">2001 SCC 79, [2001] 3 S.C.R. 537; </w:t>
      </w:r>
      <w:r w:rsidRPr="00D910D8">
        <w:rPr>
          <w:rFonts w:cs="Times New Roman"/>
          <w:i/>
          <w:szCs w:val="24"/>
          <w:lang w:val="en-CA"/>
        </w:rPr>
        <w:t>Hercules Managements</w:t>
      </w:r>
      <w:r w:rsidRPr="00D910D8">
        <w:rPr>
          <w:rFonts w:cs="Times New Roman"/>
          <w:szCs w:val="24"/>
          <w:lang w:val="en-CA"/>
        </w:rPr>
        <w:t xml:space="preserve"> </w:t>
      </w:r>
      <w:r w:rsidRPr="00D910D8">
        <w:rPr>
          <w:rFonts w:cs="Times New Roman"/>
          <w:i/>
          <w:iCs/>
          <w:szCs w:val="24"/>
          <w:lang w:val="en-CA"/>
        </w:rPr>
        <w:t>Ltd. v. Ernst &amp; Young</w:t>
      </w:r>
      <w:r w:rsidRPr="00D910D8">
        <w:rPr>
          <w:rFonts w:cs="Times New Roman"/>
          <w:szCs w:val="24"/>
          <w:lang w:val="en-CA"/>
        </w:rPr>
        <w:t xml:space="preserve">, [1997] 2 S.C.R. 165; </w:t>
      </w:r>
      <w:r w:rsidRPr="00D910D8">
        <w:rPr>
          <w:rFonts w:cs="Times New Roman"/>
          <w:b/>
          <w:szCs w:val="24"/>
          <w:lang w:val="en-CA"/>
        </w:rPr>
        <w:t>referred to:</w:t>
      </w:r>
      <w:r w:rsidRPr="00D910D8">
        <w:rPr>
          <w:rFonts w:cs="Times New Roman"/>
          <w:szCs w:val="24"/>
          <w:lang w:val="en-CA"/>
        </w:rPr>
        <w:t xml:space="preserve">  </w:t>
      </w:r>
      <w:proofErr w:type="spellStart"/>
      <w:r w:rsidRPr="00D910D8">
        <w:rPr>
          <w:rFonts w:cs="Times New Roman"/>
          <w:i/>
          <w:iCs/>
          <w:szCs w:val="24"/>
          <w:lang w:val="en-CA"/>
        </w:rPr>
        <w:t>Syl</w:t>
      </w:r>
      <w:proofErr w:type="spellEnd"/>
      <w:r w:rsidRPr="00D910D8">
        <w:rPr>
          <w:rFonts w:cs="Times New Roman"/>
          <w:i/>
          <w:iCs/>
          <w:szCs w:val="24"/>
          <w:lang w:val="en-CA"/>
        </w:rPr>
        <w:t xml:space="preserve"> Apps Secure Treatment Centre v. B.D.</w:t>
      </w:r>
      <w:r w:rsidRPr="00D910D8">
        <w:rPr>
          <w:rFonts w:cs="Times New Roman"/>
          <w:szCs w:val="24"/>
          <w:lang w:val="en-CA"/>
        </w:rPr>
        <w:t>, 2007 SCC 38, [2007] 3 S.C.R.</w:t>
      </w:r>
      <w:r w:rsidRPr="00D910D8">
        <w:rPr>
          <w:rFonts w:cs="Times New Roman"/>
          <w:i/>
          <w:iCs/>
          <w:szCs w:val="24"/>
          <w:lang w:val="en-CA"/>
        </w:rPr>
        <w:t xml:space="preserve"> </w:t>
      </w:r>
      <w:r w:rsidRPr="00D910D8">
        <w:rPr>
          <w:rFonts w:cs="Times New Roman"/>
          <w:szCs w:val="24"/>
          <w:lang w:val="en-CA"/>
        </w:rPr>
        <w:t xml:space="preserve">83; </w:t>
      </w:r>
      <w:r w:rsidRPr="00D910D8">
        <w:rPr>
          <w:rStyle w:val="documentbody"/>
          <w:rFonts w:eastAsiaTheme="majorEastAsia" w:cs="Times New Roman"/>
          <w:i/>
          <w:iCs/>
          <w:szCs w:val="24"/>
          <w:lang w:val="en-CA"/>
        </w:rPr>
        <w:t>Attorney General of Canada v. Inuit Tapirisat of Canada</w:t>
      </w:r>
      <w:r w:rsidRPr="00D910D8">
        <w:rPr>
          <w:rStyle w:val="documentbody"/>
          <w:rFonts w:eastAsiaTheme="majorEastAsia" w:cs="Times New Roman"/>
          <w:szCs w:val="24"/>
          <w:lang w:val="en-CA"/>
        </w:rPr>
        <w:t xml:space="preserve">, [1980] 2 S.C.R. 735; </w:t>
      </w:r>
      <w:proofErr w:type="spellStart"/>
      <w:r w:rsidRPr="00D910D8">
        <w:rPr>
          <w:rFonts w:cs="Times New Roman"/>
          <w:i/>
          <w:szCs w:val="24"/>
          <w:lang w:val="en-CA"/>
        </w:rPr>
        <w:t>Donoghue</w:t>
      </w:r>
      <w:proofErr w:type="spellEnd"/>
      <w:r w:rsidRPr="00D910D8">
        <w:rPr>
          <w:rFonts w:cs="Times New Roman"/>
          <w:i/>
          <w:szCs w:val="24"/>
          <w:lang w:val="en-CA"/>
        </w:rPr>
        <w:t xml:space="preserve"> v. Stevenson</w:t>
      </w:r>
      <w:r w:rsidRPr="00D910D8">
        <w:rPr>
          <w:rFonts w:cs="Times New Roman"/>
          <w:szCs w:val="24"/>
          <w:lang w:val="en-CA"/>
        </w:rPr>
        <w:t xml:space="preserve">, [1932] A.C. 562; </w:t>
      </w:r>
      <w:r w:rsidRPr="00D910D8">
        <w:rPr>
          <w:rFonts w:cs="Times New Roman"/>
          <w:i/>
          <w:iCs/>
          <w:spacing w:val="-3"/>
          <w:szCs w:val="24"/>
          <w:lang w:val="en-CA"/>
        </w:rPr>
        <w:t>Hedley Byrne &amp; Co. v. Heller &amp; Partners</w:t>
      </w:r>
      <w:r w:rsidR="001A6529" w:rsidRPr="00D910D8">
        <w:rPr>
          <w:rFonts w:cs="Times New Roman"/>
          <w:i/>
          <w:iCs/>
          <w:spacing w:val="-3"/>
          <w:szCs w:val="24"/>
          <w:lang w:val="en-CA"/>
        </w:rPr>
        <w:t>,</w:t>
      </w:r>
      <w:r w:rsidRPr="00D910D8">
        <w:rPr>
          <w:rFonts w:cs="Times New Roman"/>
          <w:i/>
          <w:iCs/>
          <w:spacing w:val="-3"/>
          <w:szCs w:val="24"/>
          <w:lang w:val="en-CA"/>
        </w:rPr>
        <w:t xml:space="preserve"> Ltd.</w:t>
      </w:r>
      <w:r w:rsidRPr="00D910D8">
        <w:rPr>
          <w:rFonts w:cs="Times New Roman"/>
          <w:spacing w:val="-3"/>
          <w:szCs w:val="24"/>
          <w:lang w:val="en-CA"/>
        </w:rPr>
        <w:t xml:space="preserve">, [1963] 2 All E.R. 575; </w:t>
      </w:r>
      <w:r w:rsidRPr="00D910D8">
        <w:rPr>
          <w:rFonts w:cs="Times New Roman"/>
          <w:i/>
          <w:spacing w:val="-3"/>
          <w:szCs w:val="24"/>
          <w:lang w:val="en-CA"/>
        </w:rPr>
        <w:t>Operation Dismantle Inc. v. The Queen</w:t>
      </w:r>
      <w:r w:rsidRPr="00D910D8">
        <w:rPr>
          <w:rFonts w:cs="Times New Roman"/>
          <w:spacing w:val="-3"/>
          <w:szCs w:val="24"/>
          <w:lang w:val="en-CA"/>
        </w:rPr>
        <w:t>, [1985] 1 S.C.R. 441</w:t>
      </w:r>
      <w:r w:rsidRPr="00D910D8">
        <w:rPr>
          <w:rFonts w:cs="Times New Roman"/>
          <w:szCs w:val="24"/>
          <w:lang w:val="en-CA"/>
        </w:rPr>
        <w:t xml:space="preserve">; </w:t>
      </w:r>
      <w:proofErr w:type="spellStart"/>
      <w:r w:rsidRPr="00D910D8">
        <w:rPr>
          <w:rFonts w:cs="Times New Roman"/>
          <w:i/>
          <w:szCs w:val="24"/>
          <w:lang w:val="en-CA"/>
        </w:rPr>
        <w:t>Giffels</w:t>
      </w:r>
      <w:proofErr w:type="spellEnd"/>
      <w:r w:rsidRPr="00D910D8">
        <w:rPr>
          <w:rFonts w:cs="Times New Roman"/>
          <w:i/>
          <w:szCs w:val="24"/>
          <w:lang w:val="en-CA"/>
        </w:rPr>
        <w:t xml:space="preserve"> Associates Ltd. v. Eastern Construction Co.</w:t>
      </w:r>
      <w:r w:rsidRPr="00D910D8">
        <w:rPr>
          <w:rFonts w:cs="Times New Roman"/>
          <w:szCs w:val="24"/>
          <w:lang w:val="en-CA"/>
        </w:rPr>
        <w:t>, [1978] 2 S.C.R. 1346</w:t>
      </w:r>
      <w:r w:rsidRPr="00D910D8">
        <w:rPr>
          <w:rFonts w:cs="Times New Roman"/>
          <w:spacing w:val="-3"/>
          <w:szCs w:val="24"/>
          <w:lang w:val="en-CA"/>
        </w:rPr>
        <w:t xml:space="preserve">; </w:t>
      </w:r>
      <w:r w:rsidRPr="00D910D8">
        <w:rPr>
          <w:rFonts w:cs="Times New Roman"/>
          <w:i/>
          <w:szCs w:val="24"/>
          <w:lang w:val="en-CA"/>
        </w:rPr>
        <w:t xml:space="preserve">Childs v. </w:t>
      </w:r>
      <w:proofErr w:type="spellStart"/>
      <w:r w:rsidRPr="00D910D8">
        <w:rPr>
          <w:rFonts w:cs="Times New Roman"/>
          <w:i/>
          <w:szCs w:val="24"/>
          <w:lang w:val="en-CA"/>
        </w:rPr>
        <w:t>Desormeaux</w:t>
      </w:r>
      <w:proofErr w:type="spellEnd"/>
      <w:r w:rsidRPr="00D910D8">
        <w:rPr>
          <w:rFonts w:cs="Times New Roman"/>
          <w:szCs w:val="24"/>
          <w:lang w:val="en-CA"/>
        </w:rPr>
        <w:t xml:space="preserve">, 2006 SCC 18, [2006] 1 S.C.R. 643; </w:t>
      </w:r>
      <w:r w:rsidRPr="00D910D8">
        <w:rPr>
          <w:rFonts w:cs="Times New Roman"/>
          <w:i/>
          <w:szCs w:val="24"/>
          <w:lang w:val="en-CA"/>
        </w:rPr>
        <w:t xml:space="preserve">Hill v. </w:t>
      </w:r>
      <w:proofErr w:type="spellStart"/>
      <w:r w:rsidRPr="00D910D8">
        <w:rPr>
          <w:rFonts w:cs="Times New Roman"/>
          <w:i/>
          <w:szCs w:val="24"/>
          <w:lang w:val="en-CA"/>
        </w:rPr>
        <w:t>Hamilton</w:t>
      </w:r>
      <w:r w:rsidRPr="00D910D8">
        <w:rPr>
          <w:rFonts w:cs="Times New Roman"/>
          <w:i/>
          <w:szCs w:val="24"/>
          <w:lang w:val="en-CA"/>
        </w:rPr>
        <w:noBreakHyphen/>
        <w:t>Wentworth</w:t>
      </w:r>
      <w:proofErr w:type="spellEnd"/>
      <w:r w:rsidRPr="00D910D8">
        <w:rPr>
          <w:rFonts w:cs="Times New Roman"/>
          <w:i/>
          <w:szCs w:val="24"/>
          <w:lang w:val="en-CA"/>
        </w:rPr>
        <w:t xml:space="preserve"> Regional Police Services Board</w:t>
      </w:r>
      <w:r w:rsidRPr="00D910D8">
        <w:rPr>
          <w:rFonts w:cs="Times New Roman"/>
          <w:szCs w:val="24"/>
          <w:lang w:val="en-CA"/>
        </w:rPr>
        <w:t xml:space="preserve">, 2007 SCC 41, [2007] 3 S.C.R. 129; </w:t>
      </w:r>
      <w:r w:rsidRPr="00D910D8">
        <w:rPr>
          <w:rFonts w:cs="Times New Roman"/>
          <w:i/>
          <w:iCs/>
          <w:szCs w:val="24"/>
          <w:lang w:val="en-CA"/>
        </w:rPr>
        <w:t xml:space="preserve">Canadian National Railway Co. v. </w:t>
      </w:r>
      <w:proofErr w:type="spellStart"/>
      <w:r w:rsidRPr="00D910D8">
        <w:rPr>
          <w:rFonts w:cs="Times New Roman"/>
          <w:i/>
          <w:iCs/>
          <w:szCs w:val="24"/>
          <w:lang w:val="en-CA"/>
        </w:rPr>
        <w:t>Norsk</w:t>
      </w:r>
      <w:proofErr w:type="spellEnd"/>
      <w:r w:rsidRPr="00D910D8">
        <w:rPr>
          <w:rFonts w:cs="Times New Roman"/>
          <w:i/>
          <w:iCs/>
          <w:szCs w:val="24"/>
          <w:lang w:val="en-CA"/>
        </w:rPr>
        <w:t xml:space="preserve"> Pacific Steamship Co.</w:t>
      </w:r>
      <w:r w:rsidRPr="00D910D8">
        <w:rPr>
          <w:rFonts w:cs="Times New Roman"/>
          <w:szCs w:val="24"/>
          <w:lang w:val="en-CA"/>
        </w:rPr>
        <w:t xml:space="preserve">, [1992] 1 S.C.R. 1021; </w:t>
      </w:r>
      <w:r w:rsidRPr="00D910D8">
        <w:rPr>
          <w:rFonts w:cs="Times New Roman"/>
          <w:i/>
          <w:iCs/>
          <w:szCs w:val="24"/>
          <w:lang w:val="en-CA"/>
        </w:rPr>
        <w:t>Bow Valley Husky (Bermuda) Ltd. v. Saint John Shipbuilding Ltd.</w:t>
      </w:r>
      <w:r w:rsidRPr="00D910D8">
        <w:rPr>
          <w:rFonts w:cs="Times New Roman"/>
          <w:szCs w:val="24"/>
          <w:lang w:val="en-CA"/>
        </w:rPr>
        <w:t xml:space="preserve">, [1997] 3 S.C.R. 1210; </w:t>
      </w:r>
      <w:proofErr w:type="spellStart"/>
      <w:r w:rsidRPr="00D910D8">
        <w:rPr>
          <w:rFonts w:cs="Times New Roman"/>
          <w:i/>
          <w:szCs w:val="24"/>
          <w:lang w:val="en-CA"/>
        </w:rPr>
        <w:t>Fullowka</w:t>
      </w:r>
      <w:proofErr w:type="spellEnd"/>
      <w:r w:rsidRPr="00D910D8">
        <w:rPr>
          <w:rFonts w:cs="Times New Roman"/>
          <w:i/>
          <w:szCs w:val="24"/>
          <w:lang w:val="en-CA"/>
        </w:rPr>
        <w:t xml:space="preserve"> </w:t>
      </w:r>
      <w:r w:rsidRPr="00D910D8">
        <w:rPr>
          <w:rFonts w:cs="Times New Roman"/>
          <w:i/>
          <w:iCs/>
          <w:szCs w:val="24"/>
          <w:lang w:val="en-CA"/>
        </w:rPr>
        <w:t>v</w:t>
      </w:r>
      <w:r w:rsidRPr="00D910D8">
        <w:rPr>
          <w:rFonts w:cs="Times New Roman"/>
          <w:i/>
          <w:szCs w:val="24"/>
          <w:lang w:val="en-CA"/>
        </w:rPr>
        <w:t>. Pinkerton’s of Canada Ltd.</w:t>
      </w:r>
      <w:r w:rsidRPr="00D910D8">
        <w:rPr>
          <w:rFonts w:cs="Times New Roman"/>
          <w:szCs w:val="24"/>
          <w:lang w:val="en-CA"/>
        </w:rPr>
        <w:t xml:space="preserve">, 2010 SCC 5, [2010] 1 S.C.R. 132; </w:t>
      </w:r>
      <w:proofErr w:type="spellStart"/>
      <w:r w:rsidRPr="00D910D8">
        <w:rPr>
          <w:rFonts w:cs="Times New Roman"/>
          <w:i/>
          <w:szCs w:val="24"/>
          <w:lang w:val="en-CA"/>
        </w:rPr>
        <w:t>Heaslip</w:t>
      </w:r>
      <w:proofErr w:type="spellEnd"/>
      <w:r w:rsidRPr="00D910D8">
        <w:rPr>
          <w:rFonts w:cs="Times New Roman"/>
          <w:i/>
          <w:szCs w:val="24"/>
          <w:lang w:val="en-CA"/>
        </w:rPr>
        <w:t xml:space="preserve"> Estate v. Mansfield Ski Club Inc.</w:t>
      </w:r>
      <w:r w:rsidRPr="00D910D8">
        <w:rPr>
          <w:rFonts w:cs="Times New Roman"/>
          <w:szCs w:val="24"/>
          <w:lang w:val="en-CA"/>
        </w:rPr>
        <w:t xml:space="preserve">, 2009 ONCA 594, 96 O.R. (3d) 401; </w:t>
      </w:r>
      <w:r w:rsidRPr="00D910D8">
        <w:rPr>
          <w:rFonts w:cs="Times New Roman"/>
          <w:bCs/>
          <w:i/>
          <w:szCs w:val="24"/>
          <w:lang w:val="en-CA"/>
        </w:rPr>
        <w:t xml:space="preserve">Eliopoulos Estate v. Ontario (Minister of Health and </w:t>
      </w:r>
      <w:proofErr w:type="spellStart"/>
      <w:r w:rsidRPr="00D910D8">
        <w:rPr>
          <w:rFonts w:cs="Times New Roman"/>
          <w:bCs/>
          <w:i/>
          <w:szCs w:val="24"/>
          <w:lang w:val="en-CA"/>
        </w:rPr>
        <w:t>Long</w:t>
      </w:r>
      <w:r w:rsidRPr="00D910D8">
        <w:rPr>
          <w:rFonts w:cs="Times New Roman"/>
          <w:bCs/>
          <w:i/>
          <w:szCs w:val="24"/>
          <w:lang w:val="en-CA"/>
        </w:rPr>
        <w:noBreakHyphen/>
        <w:t>Term</w:t>
      </w:r>
      <w:proofErr w:type="spellEnd"/>
      <w:r w:rsidRPr="00D910D8">
        <w:rPr>
          <w:rFonts w:cs="Times New Roman"/>
          <w:bCs/>
          <w:i/>
          <w:szCs w:val="24"/>
          <w:lang w:val="en-CA"/>
        </w:rPr>
        <w:t xml:space="preserve"> Care)</w:t>
      </w:r>
      <w:r w:rsidRPr="00D910D8">
        <w:rPr>
          <w:rFonts w:cs="Times New Roman"/>
          <w:bCs/>
          <w:szCs w:val="24"/>
          <w:lang w:val="en-CA"/>
        </w:rPr>
        <w:t xml:space="preserve"> (2006), </w:t>
      </w:r>
      <w:r w:rsidRPr="00D910D8">
        <w:rPr>
          <w:rStyle w:val="canliicitation"/>
          <w:rFonts w:eastAsiaTheme="majorEastAsia" w:cs="Times New Roman"/>
          <w:szCs w:val="24"/>
          <w:lang w:val="en-CA"/>
        </w:rPr>
        <w:t xml:space="preserve">276 </w:t>
      </w:r>
      <w:r w:rsidRPr="00D910D8">
        <w:rPr>
          <w:rStyle w:val="canliicitation"/>
          <w:rFonts w:eastAsiaTheme="majorEastAsia" w:cs="Times New Roman"/>
          <w:szCs w:val="24"/>
          <w:lang w:val="en-CA"/>
        </w:rPr>
        <w:lastRenderedPageBreak/>
        <w:t xml:space="preserve">D.L.R. (4th) 411; </w:t>
      </w:r>
      <w:r w:rsidRPr="00D910D8">
        <w:rPr>
          <w:rFonts w:cs="Times New Roman"/>
          <w:i/>
          <w:iCs/>
          <w:szCs w:val="24"/>
          <w:lang w:val="en-CA"/>
        </w:rPr>
        <w:t>Just v. British Columbia</w:t>
      </w:r>
      <w:r w:rsidRPr="00D910D8">
        <w:rPr>
          <w:rFonts w:cs="Times New Roman"/>
          <w:szCs w:val="24"/>
          <w:lang w:val="en-CA"/>
        </w:rPr>
        <w:t xml:space="preserve">, [1989] 2 S.C.R. 1228; </w:t>
      </w:r>
      <w:r w:rsidRPr="00D910D8">
        <w:rPr>
          <w:rFonts w:cs="Times New Roman"/>
          <w:i/>
          <w:szCs w:val="24"/>
          <w:lang w:val="en-CA"/>
        </w:rPr>
        <w:t>Home Office v. Dorset Yacht Co.</w:t>
      </w:r>
      <w:r w:rsidRPr="00D910D8">
        <w:rPr>
          <w:rFonts w:cs="Times New Roman"/>
          <w:szCs w:val="24"/>
          <w:lang w:val="en-CA"/>
        </w:rPr>
        <w:t xml:space="preserve">, [1970] 2 W.L.R. 1140; </w:t>
      </w:r>
      <w:r w:rsidRPr="00D910D8">
        <w:rPr>
          <w:rFonts w:cs="Times New Roman"/>
          <w:i/>
          <w:szCs w:val="24"/>
          <w:lang w:val="en-CA"/>
        </w:rPr>
        <w:t>Brown v. British Columbia (Minister of Transportation and Highways)</w:t>
      </w:r>
      <w:r w:rsidRPr="00D910D8">
        <w:rPr>
          <w:rFonts w:cs="Times New Roman"/>
          <w:szCs w:val="24"/>
          <w:lang w:val="en-CA"/>
        </w:rPr>
        <w:t xml:space="preserve">, [1994] 1 S.C.R. 420; </w:t>
      </w:r>
      <w:proofErr w:type="spellStart"/>
      <w:r w:rsidRPr="00D910D8">
        <w:rPr>
          <w:rStyle w:val="title0"/>
          <w:rFonts w:eastAsiaTheme="majorEastAsia" w:cs="Times New Roman"/>
          <w:i/>
          <w:szCs w:val="24"/>
          <w:lang w:val="en-CA"/>
        </w:rPr>
        <w:t>Swinamer</w:t>
      </w:r>
      <w:proofErr w:type="spellEnd"/>
      <w:r w:rsidRPr="00D910D8">
        <w:rPr>
          <w:rStyle w:val="title0"/>
          <w:rFonts w:eastAsiaTheme="majorEastAsia" w:cs="Times New Roman"/>
          <w:i/>
          <w:szCs w:val="24"/>
          <w:lang w:val="en-CA"/>
        </w:rPr>
        <w:t xml:space="preserve"> v. Nova Scotia (Attorney General)</w:t>
      </w:r>
      <w:r w:rsidRPr="00D910D8">
        <w:rPr>
          <w:rStyle w:val="item"/>
          <w:rFonts w:eastAsiaTheme="majorEastAsia" w:cs="Times New Roman"/>
          <w:szCs w:val="24"/>
          <w:lang w:val="en-CA"/>
        </w:rPr>
        <w:t xml:space="preserve">, </w:t>
      </w:r>
      <w:r w:rsidRPr="00D910D8">
        <w:rPr>
          <w:rStyle w:val="selected"/>
          <w:rFonts w:eastAsiaTheme="majorEastAsia" w:cs="Times New Roman"/>
          <w:szCs w:val="24"/>
          <w:lang w:val="en-CA"/>
        </w:rPr>
        <w:t xml:space="preserve">[1994] 1 S.C.R. 445; </w:t>
      </w:r>
      <w:r w:rsidRPr="00D910D8">
        <w:rPr>
          <w:rStyle w:val="selected"/>
          <w:rFonts w:eastAsiaTheme="majorEastAsia" w:cs="Times New Roman"/>
          <w:i/>
          <w:szCs w:val="24"/>
          <w:lang w:val="en-CA"/>
        </w:rPr>
        <w:t xml:space="preserve">Lewis (Guardian ad </w:t>
      </w:r>
      <w:proofErr w:type="spellStart"/>
      <w:r w:rsidRPr="00D910D8">
        <w:rPr>
          <w:rStyle w:val="selected"/>
          <w:rFonts w:eastAsiaTheme="majorEastAsia" w:cs="Times New Roman"/>
          <w:i/>
          <w:szCs w:val="24"/>
          <w:lang w:val="en-CA"/>
        </w:rPr>
        <w:t>litem</w:t>
      </w:r>
      <w:proofErr w:type="spellEnd"/>
      <w:r w:rsidRPr="00D910D8">
        <w:rPr>
          <w:rStyle w:val="selected"/>
          <w:rFonts w:eastAsiaTheme="majorEastAsia" w:cs="Times New Roman"/>
          <w:i/>
          <w:szCs w:val="24"/>
          <w:lang w:val="en-CA"/>
        </w:rPr>
        <w:t xml:space="preserve"> of) v. British Columbia</w:t>
      </w:r>
      <w:r w:rsidRPr="00D910D8">
        <w:rPr>
          <w:rStyle w:val="selected"/>
          <w:rFonts w:eastAsiaTheme="majorEastAsia" w:cs="Times New Roman"/>
          <w:szCs w:val="24"/>
          <w:lang w:val="en-CA"/>
        </w:rPr>
        <w:t>, [1997] 3 S.C.R. 1145</w:t>
      </w:r>
      <w:r w:rsidRPr="00D910D8">
        <w:rPr>
          <w:rFonts w:cs="Times New Roman"/>
          <w:szCs w:val="24"/>
          <w:lang w:val="en-CA"/>
        </w:rPr>
        <w:t xml:space="preserve">; </w:t>
      </w:r>
      <w:r w:rsidRPr="00D910D8">
        <w:rPr>
          <w:rFonts w:cs="Times New Roman"/>
          <w:i/>
          <w:szCs w:val="24"/>
          <w:lang w:val="en-CA"/>
        </w:rPr>
        <w:t>X v. Bedfor</w:t>
      </w:r>
      <w:r w:rsidR="00064666" w:rsidRPr="00D910D8">
        <w:rPr>
          <w:rFonts w:cs="Times New Roman"/>
          <w:i/>
          <w:szCs w:val="24"/>
          <w:lang w:val="en-CA"/>
        </w:rPr>
        <w:t>d</w:t>
      </w:r>
      <w:r w:rsidRPr="00D910D8">
        <w:rPr>
          <w:rFonts w:cs="Times New Roman"/>
          <w:i/>
          <w:szCs w:val="24"/>
          <w:lang w:val="en-CA"/>
        </w:rPr>
        <w:t>shire County Council</w:t>
      </w:r>
      <w:r w:rsidRPr="00D910D8">
        <w:rPr>
          <w:rFonts w:cs="Times New Roman"/>
          <w:szCs w:val="24"/>
          <w:lang w:val="en-CA"/>
        </w:rPr>
        <w:t>, [1995] 3 All E.R. 353;</w:t>
      </w:r>
      <w:r w:rsidR="00064666" w:rsidRPr="00D910D8">
        <w:rPr>
          <w:rFonts w:cs="Times New Roman"/>
          <w:i/>
          <w:szCs w:val="24"/>
          <w:lang w:val="en-CA"/>
        </w:rPr>
        <w:t xml:space="preserve"> </w:t>
      </w:r>
      <w:proofErr w:type="spellStart"/>
      <w:r w:rsidR="00064666" w:rsidRPr="00D910D8">
        <w:rPr>
          <w:rFonts w:cs="Times New Roman"/>
          <w:i/>
          <w:szCs w:val="24"/>
          <w:lang w:val="en-CA"/>
        </w:rPr>
        <w:t>Stovin</w:t>
      </w:r>
      <w:proofErr w:type="spellEnd"/>
      <w:r w:rsidR="00064666" w:rsidRPr="00D910D8">
        <w:rPr>
          <w:rFonts w:cs="Times New Roman"/>
          <w:i/>
          <w:szCs w:val="24"/>
          <w:lang w:val="en-CA"/>
        </w:rPr>
        <w:t xml:space="preserve"> v. Wise</w:t>
      </w:r>
      <w:r w:rsidR="000A43C7" w:rsidRPr="00D910D8">
        <w:rPr>
          <w:rFonts w:cs="Times New Roman"/>
          <w:szCs w:val="24"/>
          <w:lang w:val="en-CA"/>
        </w:rPr>
        <w:t>, [1996] A.C. 9</w:t>
      </w:r>
      <w:r w:rsidR="00064666" w:rsidRPr="00D910D8">
        <w:rPr>
          <w:rFonts w:cs="Times New Roman"/>
          <w:szCs w:val="24"/>
          <w:lang w:val="en-CA"/>
        </w:rPr>
        <w:t>2</w:t>
      </w:r>
      <w:r w:rsidR="000A43C7" w:rsidRPr="00D910D8">
        <w:rPr>
          <w:rFonts w:cs="Times New Roman"/>
          <w:szCs w:val="24"/>
          <w:lang w:val="en-CA"/>
        </w:rPr>
        <w:t>3</w:t>
      </w:r>
      <w:r w:rsidR="00064666" w:rsidRPr="00D910D8">
        <w:rPr>
          <w:rFonts w:cs="Times New Roman"/>
          <w:szCs w:val="24"/>
          <w:lang w:val="en-CA"/>
        </w:rPr>
        <w:t xml:space="preserve">; </w:t>
      </w:r>
      <w:r w:rsidRPr="00D910D8">
        <w:rPr>
          <w:rFonts w:cs="Times New Roman"/>
          <w:i/>
          <w:szCs w:val="24"/>
          <w:lang w:val="en-CA"/>
        </w:rPr>
        <w:t>Barrett v. Enfield London Borough Council</w:t>
      </w:r>
      <w:r w:rsidRPr="00D910D8">
        <w:rPr>
          <w:rFonts w:cs="Times New Roman"/>
          <w:szCs w:val="24"/>
          <w:lang w:val="en-CA"/>
        </w:rPr>
        <w:t xml:space="preserve">, [2001] 2 A.C. 550; </w:t>
      </w:r>
      <w:r w:rsidRPr="00D910D8">
        <w:rPr>
          <w:rFonts w:cs="Times New Roman"/>
          <w:i/>
          <w:szCs w:val="24"/>
          <w:lang w:val="en-CA"/>
        </w:rPr>
        <w:t xml:space="preserve">Sutherland Shire Council v. </w:t>
      </w:r>
      <w:proofErr w:type="spellStart"/>
      <w:r w:rsidRPr="00D910D8">
        <w:rPr>
          <w:rFonts w:cs="Times New Roman"/>
          <w:i/>
          <w:szCs w:val="24"/>
          <w:lang w:val="en-CA"/>
        </w:rPr>
        <w:t>Heyman</w:t>
      </w:r>
      <w:proofErr w:type="spellEnd"/>
      <w:r w:rsidRPr="00D910D8">
        <w:rPr>
          <w:rFonts w:cs="Times New Roman"/>
          <w:szCs w:val="24"/>
          <w:lang w:val="en-CA"/>
        </w:rPr>
        <w:t xml:space="preserve"> (1985), 157 C.L.R. 424; </w:t>
      </w:r>
      <w:r w:rsidRPr="00D910D8">
        <w:rPr>
          <w:rFonts w:cs="Times New Roman"/>
          <w:i/>
          <w:szCs w:val="24"/>
          <w:lang w:val="en-CA"/>
        </w:rPr>
        <w:t>Pyrenees Shire Council v. Day</w:t>
      </w:r>
      <w:r w:rsidRPr="00D910D8">
        <w:rPr>
          <w:rFonts w:cs="Times New Roman"/>
          <w:szCs w:val="24"/>
          <w:lang w:val="en-CA"/>
        </w:rPr>
        <w:t xml:space="preserve">, [1998] HCA 3, 192 C.L.R. 330; </w:t>
      </w:r>
      <w:r w:rsidRPr="00D910D8">
        <w:rPr>
          <w:rFonts w:cs="Times New Roman"/>
          <w:bCs/>
          <w:i/>
          <w:szCs w:val="24"/>
          <w:lang w:val="en-CA"/>
        </w:rPr>
        <w:t>Office of Personnel Management v. Richmond</w:t>
      </w:r>
      <w:r w:rsidRPr="00D910D8">
        <w:rPr>
          <w:rFonts w:cs="Times New Roman"/>
          <w:bCs/>
          <w:szCs w:val="24"/>
          <w:lang w:val="en-CA"/>
        </w:rPr>
        <w:t xml:space="preserve">, 496 U.S. 414 (1990); </w:t>
      </w:r>
      <w:r w:rsidRPr="00D910D8">
        <w:rPr>
          <w:rFonts w:cs="Times New Roman"/>
          <w:bCs/>
          <w:i/>
          <w:szCs w:val="24"/>
          <w:lang w:val="en-CA"/>
        </w:rPr>
        <w:t xml:space="preserve">United States v. </w:t>
      </w:r>
      <w:proofErr w:type="spellStart"/>
      <w:r w:rsidRPr="00D910D8">
        <w:rPr>
          <w:rFonts w:cs="Times New Roman"/>
          <w:bCs/>
          <w:i/>
          <w:szCs w:val="24"/>
          <w:lang w:val="en-CA"/>
        </w:rPr>
        <w:t>Neustadt</w:t>
      </w:r>
      <w:proofErr w:type="spellEnd"/>
      <w:r w:rsidRPr="00D910D8">
        <w:rPr>
          <w:rFonts w:cs="Times New Roman"/>
          <w:bCs/>
          <w:szCs w:val="24"/>
          <w:lang w:val="en-CA"/>
        </w:rPr>
        <w:t xml:space="preserve">, 366 U.S. 696 (1961); </w:t>
      </w:r>
      <w:proofErr w:type="spellStart"/>
      <w:r w:rsidRPr="00D910D8">
        <w:rPr>
          <w:rFonts w:cs="Times New Roman"/>
          <w:i/>
          <w:szCs w:val="24"/>
          <w:lang w:val="en-CA"/>
        </w:rPr>
        <w:t>Dalehite</w:t>
      </w:r>
      <w:proofErr w:type="spellEnd"/>
      <w:r w:rsidRPr="00D910D8">
        <w:rPr>
          <w:rFonts w:cs="Times New Roman"/>
          <w:i/>
          <w:szCs w:val="24"/>
          <w:lang w:val="en-CA"/>
        </w:rPr>
        <w:t xml:space="preserve"> v. United States</w:t>
      </w:r>
      <w:r w:rsidRPr="00D910D8">
        <w:rPr>
          <w:rFonts w:cs="Times New Roman"/>
          <w:szCs w:val="24"/>
          <w:lang w:val="en-CA"/>
        </w:rPr>
        <w:t xml:space="preserve">, 346 U.S. 15 (1953); </w:t>
      </w:r>
      <w:r w:rsidRPr="00D910D8">
        <w:rPr>
          <w:rFonts w:cs="Times New Roman"/>
          <w:i/>
          <w:szCs w:val="24"/>
          <w:lang w:val="en-CA"/>
        </w:rPr>
        <w:t xml:space="preserve">United States v. </w:t>
      </w:r>
      <w:proofErr w:type="spellStart"/>
      <w:r w:rsidRPr="00D910D8">
        <w:rPr>
          <w:rFonts w:cs="Times New Roman"/>
          <w:i/>
          <w:szCs w:val="24"/>
          <w:lang w:val="en-CA"/>
        </w:rPr>
        <w:t>Gaubert</w:t>
      </w:r>
      <w:proofErr w:type="spellEnd"/>
      <w:r w:rsidRPr="00D910D8">
        <w:rPr>
          <w:rFonts w:cs="Times New Roman"/>
          <w:szCs w:val="24"/>
          <w:lang w:val="en-CA"/>
        </w:rPr>
        <w:t>, 499 U.S. 315 (1991);</w:t>
      </w:r>
      <w:r w:rsidRPr="00D910D8">
        <w:rPr>
          <w:rFonts w:cs="Times New Roman"/>
          <w:i/>
          <w:iCs/>
          <w:szCs w:val="24"/>
          <w:lang w:val="en-CA"/>
        </w:rPr>
        <w:t xml:space="preserve"> </w:t>
      </w:r>
      <w:proofErr w:type="spellStart"/>
      <w:r w:rsidRPr="00D910D8">
        <w:rPr>
          <w:rFonts w:cs="Times New Roman"/>
          <w:i/>
          <w:iCs/>
          <w:szCs w:val="24"/>
          <w:lang w:val="en-CA"/>
        </w:rPr>
        <w:t>Berkovitz</w:t>
      </w:r>
      <w:proofErr w:type="spellEnd"/>
      <w:r w:rsidRPr="00D910D8">
        <w:rPr>
          <w:rFonts w:cs="Times New Roman"/>
          <w:i/>
          <w:iCs/>
          <w:szCs w:val="24"/>
          <w:lang w:val="en-CA"/>
        </w:rPr>
        <w:t xml:space="preserve"> v. United States</w:t>
      </w:r>
      <w:r w:rsidRPr="00D910D8">
        <w:rPr>
          <w:rFonts w:cs="Times New Roman"/>
          <w:szCs w:val="24"/>
          <w:lang w:val="en-CA"/>
        </w:rPr>
        <w:t xml:space="preserve">, 486 U.S. 531 (1988); </w:t>
      </w:r>
      <w:r w:rsidRPr="00D910D8">
        <w:rPr>
          <w:rStyle w:val="listitemlarge"/>
          <w:rFonts w:cs="Times New Roman"/>
          <w:i/>
          <w:szCs w:val="24"/>
          <w:lang w:val="en-CA"/>
        </w:rPr>
        <w:t xml:space="preserve">United States v. S.A. </w:t>
      </w:r>
      <w:proofErr w:type="spellStart"/>
      <w:r w:rsidRPr="00D910D8">
        <w:rPr>
          <w:rStyle w:val="listitemlarge"/>
          <w:rFonts w:cs="Times New Roman"/>
          <w:i/>
          <w:szCs w:val="24"/>
          <w:lang w:val="en-CA"/>
        </w:rPr>
        <w:t>Empresa</w:t>
      </w:r>
      <w:proofErr w:type="spellEnd"/>
      <w:r w:rsidRPr="00D910D8">
        <w:rPr>
          <w:rStyle w:val="listitemlarge"/>
          <w:rFonts w:cs="Times New Roman"/>
          <w:i/>
          <w:szCs w:val="24"/>
          <w:lang w:val="en-CA"/>
        </w:rPr>
        <w:t xml:space="preserve"> de </w:t>
      </w:r>
      <w:proofErr w:type="spellStart"/>
      <w:r w:rsidRPr="00D910D8">
        <w:rPr>
          <w:rStyle w:val="listitemlarge"/>
          <w:rFonts w:cs="Times New Roman"/>
          <w:i/>
          <w:szCs w:val="24"/>
          <w:lang w:val="en-CA"/>
        </w:rPr>
        <w:t>Viacao</w:t>
      </w:r>
      <w:proofErr w:type="spellEnd"/>
      <w:r w:rsidRPr="00D910D8">
        <w:rPr>
          <w:rStyle w:val="listitemlarge"/>
          <w:rFonts w:cs="Times New Roman"/>
          <w:i/>
          <w:szCs w:val="24"/>
          <w:lang w:val="en-CA"/>
        </w:rPr>
        <w:t xml:space="preserve"> </w:t>
      </w:r>
      <w:proofErr w:type="spellStart"/>
      <w:r w:rsidRPr="00D910D8">
        <w:rPr>
          <w:rStyle w:val="listitemlarge"/>
          <w:rFonts w:cs="Times New Roman"/>
          <w:i/>
          <w:szCs w:val="24"/>
          <w:lang w:val="en-CA"/>
        </w:rPr>
        <w:t>Aerea</w:t>
      </w:r>
      <w:proofErr w:type="spellEnd"/>
      <w:r w:rsidRPr="00D910D8">
        <w:rPr>
          <w:rStyle w:val="listitemlarge"/>
          <w:rFonts w:cs="Times New Roman"/>
          <w:i/>
          <w:szCs w:val="24"/>
          <w:lang w:val="en-CA"/>
        </w:rPr>
        <w:t xml:space="preserve"> Rio </w:t>
      </w:r>
      <w:proofErr w:type="spellStart"/>
      <w:r w:rsidRPr="00D910D8">
        <w:rPr>
          <w:rStyle w:val="listitemlarge"/>
          <w:rFonts w:cs="Times New Roman"/>
          <w:i/>
          <w:szCs w:val="24"/>
          <w:lang w:val="en-CA"/>
        </w:rPr>
        <w:t>Grandense</w:t>
      </w:r>
      <w:proofErr w:type="spellEnd"/>
      <w:r w:rsidRPr="00D910D8">
        <w:rPr>
          <w:rStyle w:val="listitemlarge"/>
          <w:rFonts w:cs="Times New Roman"/>
          <w:i/>
          <w:szCs w:val="24"/>
          <w:lang w:val="en-CA"/>
        </w:rPr>
        <w:t xml:space="preserve"> (</w:t>
      </w:r>
      <w:proofErr w:type="spellStart"/>
      <w:r w:rsidRPr="00D910D8">
        <w:rPr>
          <w:rStyle w:val="listitemlarge"/>
          <w:rFonts w:cs="Times New Roman"/>
          <w:i/>
          <w:szCs w:val="24"/>
          <w:lang w:val="en-CA"/>
        </w:rPr>
        <w:t>Varig</w:t>
      </w:r>
      <w:proofErr w:type="spellEnd"/>
      <w:r w:rsidRPr="00D910D8">
        <w:rPr>
          <w:rStyle w:val="listitemlarge"/>
          <w:rFonts w:cs="Times New Roman"/>
          <w:i/>
          <w:szCs w:val="24"/>
          <w:lang w:val="en-CA"/>
        </w:rPr>
        <w:t xml:space="preserve"> Airlines)</w:t>
      </w:r>
      <w:r w:rsidRPr="00D910D8">
        <w:rPr>
          <w:rStyle w:val="listitemlarge"/>
          <w:rFonts w:cs="Times New Roman"/>
          <w:szCs w:val="24"/>
          <w:lang w:val="en-CA"/>
        </w:rPr>
        <w:t xml:space="preserve">, 467 U.S. 797 (1984); </w:t>
      </w:r>
      <w:r w:rsidRPr="00D910D8">
        <w:rPr>
          <w:rFonts w:cs="Times New Roman"/>
          <w:i/>
          <w:szCs w:val="24"/>
          <w:lang w:val="en-CA"/>
        </w:rPr>
        <w:t>Design Services Ltd. v. Canada</w:t>
      </w:r>
      <w:r w:rsidRPr="00D910D8">
        <w:rPr>
          <w:rFonts w:cs="Times New Roman"/>
          <w:szCs w:val="24"/>
          <w:lang w:val="en-CA"/>
        </w:rPr>
        <w:t xml:space="preserve">, 2008 SCC 22, [2008] 1 S.C.R. 737; </w:t>
      </w:r>
      <w:r w:rsidRPr="00D910D8">
        <w:rPr>
          <w:rFonts w:cs="Times New Roman"/>
          <w:i/>
          <w:szCs w:val="24"/>
          <w:lang w:val="en-CA"/>
        </w:rPr>
        <w:t>Day v. Central Okanagan (Regional District)</w:t>
      </w:r>
      <w:r w:rsidRPr="00D910D8">
        <w:rPr>
          <w:rFonts w:cs="Times New Roman"/>
          <w:szCs w:val="24"/>
          <w:lang w:val="en-CA"/>
        </w:rPr>
        <w:t xml:space="preserve">, 2000 BCSC 1134, 79 B.C.L.R. (3d) 36; </w:t>
      </w:r>
      <w:r w:rsidRPr="00D910D8">
        <w:rPr>
          <w:rFonts w:cs="Times New Roman"/>
          <w:i/>
          <w:iCs/>
          <w:szCs w:val="24"/>
          <w:lang w:val="en-CA"/>
        </w:rPr>
        <w:t>Elias v. Headache and Pain Management Clinic</w:t>
      </w:r>
      <w:r w:rsidRPr="00D910D8">
        <w:rPr>
          <w:rFonts w:cs="Times New Roman"/>
          <w:iCs/>
          <w:szCs w:val="24"/>
          <w:lang w:val="en-CA"/>
        </w:rPr>
        <w:t xml:space="preserve">, </w:t>
      </w:r>
      <w:r w:rsidRPr="00D910D8">
        <w:rPr>
          <w:rFonts w:cs="Times New Roman"/>
          <w:szCs w:val="24"/>
          <w:lang w:val="en-CA"/>
        </w:rPr>
        <w:t xml:space="preserve">2008 </w:t>
      </w:r>
      <w:proofErr w:type="spellStart"/>
      <w:r w:rsidRPr="00D910D8">
        <w:rPr>
          <w:rFonts w:cs="Times New Roman"/>
          <w:szCs w:val="24"/>
          <w:lang w:val="en-CA"/>
        </w:rPr>
        <w:t>CanLII</w:t>
      </w:r>
      <w:proofErr w:type="spellEnd"/>
      <w:r w:rsidRPr="00D910D8">
        <w:rPr>
          <w:rFonts w:cs="Times New Roman"/>
          <w:szCs w:val="24"/>
          <w:lang w:val="en-CA"/>
        </w:rPr>
        <w:t xml:space="preserve"> 53133; </w:t>
      </w:r>
      <w:r w:rsidRPr="00D910D8">
        <w:rPr>
          <w:rFonts w:cs="Times New Roman"/>
          <w:bCs/>
          <w:i/>
          <w:iCs/>
          <w:szCs w:val="24"/>
          <w:lang w:val="en-CA"/>
        </w:rPr>
        <w:t>British Columbia v. Imperial Tobacco Canada Ltd</w:t>
      </w:r>
      <w:r w:rsidRPr="00D910D8">
        <w:rPr>
          <w:rFonts w:cs="Times New Roman"/>
          <w:szCs w:val="24"/>
          <w:lang w:val="en-CA"/>
        </w:rPr>
        <w:t xml:space="preserve">., 2005 SCC 49, [2005] 2 S.C.R. 473; </w:t>
      </w:r>
      <w:proofErr w:type="spellStart"/>
      <w:r w:rsidRPr="00D910D8">
        <w:rPr>
          <w:rFonts w:cs="Times New Roman"/>
          <w:i/>
          <w:szCs w:val="24"/>
          <w:lang w:val="en-CA"/>
        </w:rPr>
        <w:t>Blackwater</w:t>
      </w:r>
      <w:proofErr w:type="spellEnd"/>
      <w:r w:rsidRPr="00D910D8">
        <w:rPr>
          <w:rFonts w:cs="Times New Roman"/>
          <w:i/>
          <w:szCs w:val="24"/>
          <w:lang w:val="en-CA"/>
        </w:rPr>
        <w:t xml:space="preserve"> v. </w:t>
      </w:r>
      <w:proofErr w:type="spellStart"/>
      <w:r w:rsidRPr="00D910D8">
        <w:rPr>
          <w:rFonts w:cs="Times New Roman"/>
          <w:i/>
          <w:szCs w:val="24"/>
          <w:lang w:val="en-CA"/>
        </w:rPr>
        <w:t>Plint</w:t>
      </w:r>
      <w:proofErr w:type="spellEnd"/>
      <w:r w:rsidRPr="00D910D8">
        <w:rPr>
          <w:rFonts w:cs="Times New Roman"/>
          <w:szCs w:val="24"/>
          <w:lang w:val="en-CA"/>
        </w:rPr>
        <w:t xml:space="preserve">, 2005 SCC 58, [2005] 3 S.C.R. 3; </w:t>
      </w:r>
      <w:proofErr w:type="spellStart"/>
      <w:r w:rsidRPr="00D910D8">
        <w:rPr>
          <w:rFonts w:cs="Times New Roman"/>
          <w:i/>
          <w:szCs w:val="24"/>
          <w:lang w:val="en-CA"/>
        </w:rPr>
        <w:t>Parmley</w:t>
      </w:r>
      <w:proofErr w:type="spellEnd"/>
      <w:r w:rsidRPr="00D910D8">
        <w:rPr>
          <w:rFonts w:cs="Times New Roman"/>
          <w:i/>
          <w:szCs w:val="24"/>
          <w:lang w:val="en-CA"/>
        </w:rPr>
        <w:t xml:space="preserve"> v. </w:t>
      </w:r>
      <w:proofErr w:type="spellStart"/>
      <w:r w:rsidRPr="00D910D8">
        <w:rPr>
          <w:rFonts w:cs="Times New Roman"/>
          <w:i/>
          <w:szCs w:val="24"/>
          <w:lang w:val="en-CA"/>
        </w:rPr>
        <w:t>Parmley</w:t>
      </w:r>
      <w:proofErr w:type="spellEnd"/>
      <w:r w:rsidRPr="00D910D8">
        <w:rPr>
          <w:rFonts w:cs="Times New Roman"/>
          <w:szCs w:val="24"/>
          <w:lang w:val="en-CA"/>
        </w:rPr>
        <w:t>, [1945] S.C.R. 635.</w:t>
      </w:r>
    </w:p>
    <w:p w:rsidR="000E7BE0" w:rsidRPr="00D910D8" w:rsidRDefault="000E7BE0" w:rsidP="00FE6C33">
      <w:pPr>
        <w:pStyle w:val="SCCNormalDoubleSpacing"/>
        <w:spacing w:after="480"/>
        <w:rPr>
          <w:rFonts w:cs="Times New Roman"/>
          <w:szCs w:val="24"/>
          <w:lang w:val="en-CA"/>
        </w:rPr>
      </w:pPr>
      <w:r w:rsidRPr="00D910D8">
        <w:rPr>
          <w:rFonts w:cs="Times New Roman"/>
          <w:b/>
          <w:szCs w:val="24"/>
          <w:lang w:val="en-CA"/>
        </w:rPr>
        <w:t>Statutes and Regulations Cited</w:t>
      </w:r>
    </w:p>
    <w:p w:rsidR="000E7BE0" w:rsidRPr="00D910D8" w:rsidRDefault="000E7BE0" w:rsidP="00A77B75">
      <w:pPr>
        <w:pStyle w:val="SCCNormalDoubleSpacing"/>
        <w:spacing w:after="240" w:line="240" w:lineRule="auto"/>
        <w:ind w:left="533" w:hanging="533"/>
        <w:rPr>
          <w:rFonts w:cs="Times New Roman"/>
          <w:bCs/>
          <w:szCs w:val="24"/>
          <w:lang w:val="en-CA"/>
        </w:rPr>
      </w:pPr>
      <w:r w:rsidRPr="00D910D8">
        <w:rPr>
          <w:rFonts w:cs="Times New Roman"/>
          <w:bCs/>
          <w:i/>
          <w:szCs w:val="24"/>
          <w:lang w:val="en-CA"/>
        </w:rPr>
        <w:lastRenderedPageBreak/>
        <w:t>Business Practices and Consumer Protection Act</w:t>
      </w:r>
      <w:r w:rsidRPr="00D910D8">
        <w:rPr>
          <w:rFonts w:cs="Times New Roman"/>
          <w:bCs/>
          <w:szCs w:val="24"/>
          <w:lang w:val="en-CA"/>
        </w:rPr>
        <w:t>,</w:t>
      </w:r>
      <w:r w:rsidRPr="00D910D8">
        <w:rPr>
          <w:rFonts w:cs="Times New Roman"/>
          <w:b/>
          <w:bCs/>
          <w:i/>
          <w:szCs w:val="24"/>
          <w:lang w:val="en-CA"/>
        </w:rPr>
        <w:t xml:space="preserve"> </w:t>
      </w:r>
      <w:r w:rsidRPr="00D910D8">
        <w:rPr>
          <w:rFonts w:cs="Times New Roman"/>
          <w:bCs/>
          <w:szCs w:val="24"/>
          <w:lang w:val="en-CA"/>
        </w:rPr>
        <w:t>S.B.C. 2004, c. 2,</w:t>
      </w:r>
      <w:r w:rsidRPr="00D910D8">
        <w:rPr>
          <w:rFonts w:cs="Times New Roman"/>
          <w:szCs w:val="24"/>
          <w:lang w:val="en-CA"/>
        </w:rPr>
        <w:t xml:space="preserve"> s. 1</w:t>
      </w:r>
      <w:r w:rsidR="00064666" w:rsidRPr="00D910D8">
        <w:rPr>
          <w:rFonts w:cs="Times New Roman"/>
          <w:szCs w:val="24"/>
          <w:lang w:val="en-CA"/>
        </w:rPr>
        <w:t>(1)</w:t>
      </w:r>
      <w:r w:rsidRPr="00D910D8">
        <w:rPr>
          <w:rFonts w:cs="Times New Roman"/>
          <w:szCs w:val="24"/>
          <w:lang w:val="en-CA"/>
        </w:rPr>
        <w:t xml:space="preserve"> “supplier”.</w:t>
      </w:r>
    </w:p>
    <w:p w:rsidR="000E7BE0" w:rsidRPr="00D910D8" w:rsidRDefault="000E7BE0" w:rsidP="00A77B75">
      <w:pPr>
        <w:pStyle w:val="SCCNormalDoubleSpacing"/>
        <w:spacing w:after="240" w:line="240" w:lineRule="auto"/>
        <w:ind w:left="533" w:hanging="533"/>
        <w:rPr>
          <w:rFonts w:cs="Times New Roman"/>
          <w:bCs/>
          <w:szCs w:val="24"/>
          <w:lang w:val="en-CA"/>
        </w:rPr>
      </w:pPr>
      <w:r w:rsidRPr="00D910D8">
        <w:rPr>
          <w:rFonts w:cs="Times New Roman"/>
          <w:i/>
          <w:szCs w:val="24"/>
          <w:lang w:val="en-CA"/>
        </w:rPr>
        <w:t>Dep</w:t>
      </w:r>
      <w:r w:rsidR="00FE6C33" w:rsidRPr="00D910D8">
        <w:rPr>
          <w:rFonts w:cs="Times New Roman"/>
          <w:i/>
          <w:szCs w:val="24"/>
          <w:lang w:val="en-CA"/>
        </w:rPr>
        <w:t xml:space="preserve">artment of Agriculture and </w:t>
      </w:r>
      <w:proofErr w:type="spellStart"/>
      <w:r w:rsidR="00FE6C33" w:rsidRPr="00D910D8">
        <w:rPr>
          <w:rFonts w:cs="Times New Roman"/>
          <w:i/>
          <w:szCs w:val="24"/>
          <w:lang w:val="en-CA"/>
        </w:rPr>
        <w:t>Agri</w:t>
      </w:r>
      <w:proofErr w:type="spellEnd"/>
      <w:r w:rsidR="00FE6C33" w:rsidRPr="00D910D8">
        <w:rPr>
          <w:rFonts w:cs="Times New Roman"/>
          <w:i/>
          <w:szCs w:val="24"/>
          <w:lang w:val="en-CA"/>
        </w:rPr>
        <w:t>-</w:t>
      </w:r>
      <w:r w:rsidRPr="00D910D8">
        <w:rPr>
          <w:rFonts w:cs="Times New Roman"/>
          <w:i/>
          <w:szCs w:val="24"/>
          <w:lang w:val="en-CA"/>
        </w:rPr>
        <w:t>Food Act</w:t>
      </w:r>
      <w:r w:rsidRPr="00D910D8">
        <w:rPr>
          <w:rFonts w:cs="Times New Roman"/>
          <w:szCs w:val="24"/>
          <w:lang w:val="en-CA"/>
        </w:rPr>
        <w:t>, R.S.C. 1985, c. A</w:t>
      </w:r>
      <w:r w:rsidRPr="00D910D8">
        <w:rPr>
          <w:rFonts w:cs="Times New Roman"/>
          <w:szCs w:val="24"/>
          <w:lang w:val="en-CA"/>
        </w:rPr>
        <w:noBreakHyphen/>
        <w:t>9, s. 4.</w:t>
      </w:r>
    </w:p>
    <w:p w:rsidR="000E7BE0" w:rsidRPr="00D910D8" w:rsidRDefault="000E7BE0" w:rsidP="00A77B75">
      <w:pPr>
        <w:pStyle w:val="SCCNormalDoubleSpacing"/>
        <w:spacing w:after="240" w:line="240" w:lineRule="auto"/>
        <w:ind w:left="533" w:hanging="533"/>
        <w:rPr>
          <w:rFonts w:cs="Times New Roman"/>
          <w:szCs w:val="24"/>
          <w:lang w:val="en-CA"/>
        </w:rPr>
      </w:pPr>
      <w:r w:rsidRPr="00D910D8">
        <w:rPr>
          <w:rFonts w:cs="Times New Roman"/>
          <w:i/>
          <w:szCs w:val="24"/>
          <w:lang w:val="en-CA"/>
        </w:rPr>
        <w:t>Department of Health Act</w:t>
      </w:r>
      <w:r w:rsidR="00581B23" w:rsidRPr="00D910D8">
        <w:rPr>
          <w:rFonts w:cs="Times New Roman"/>
          <w:szCs w:val="24"/>
          <w:lang w:val="en-CA"/>
        </w:rPr>
        <w:t>, S.C. 1996, c. 8, s. 4(1).</w:t>
      </w:r>
    </w:p>
    <w:p w:rsidR="000E7BE0" w:rsidRPr="00D910D8" w:rsidRDefault="000E7BE0" w:rsidP="00A77B75">
      <w:pPr>
        <w:pStyle w:val="SCCNormalDoubleSpacing"/>
        <w:spacing w:after="240" w:line="240" w:lineRule="auto"/>
        <w:ind w:left="533" w:hanging="533"/>
        <w:rPr>
          <w:rFonts w:cs="Times New Roman"/>
          <w:color w:val="3A3A3A"/>
          <w:szCs w:val="24"/>
          <w:lang w:val="en-CA"/>
        </w:rPr>
      </w:pPr>
      <w:r w:rsidRPr="00D910D8">
        <w:rPr>
          <w:rFonts w:cs="Times New Roman"/>
          <w:i/>
          <w:szCs w:val="24"/>
          <w:lang w:val="en-CA"/>
        </w:rPr>
        <w:t>Federal Tort Claims Act</w:t>
      </w:r>
      <w:r w:rsidRPr="00D910D8">
        <w:rPr>
          <w:rFonts w:cs="Times New Roman"/>
          <w:szCs w:val="24"/>
          <w:lang w:val="en-CA"/>
        </w:rPr>
        <w:t xml:space="preserve">, 28 U.S.C. </w:t>
      </w:r>
      <w:r w:rsidRPr="00D910D8">
        <w:rPr>
          <w:rFonts w:cs="Times New Roman"/>
          <w:color w:val="3A3A3A"/>
          <w:szCs w:val="24"/>
          <w:lang w:val="en-CA"/>
        </w:rPr>
        <w:t>§§2680(a), (h).</w:t>
      </w:r>
    </w:p>
    <w:p w:rsidR="000E7BE0" w:rsidRPr="00D910D8" w:rsidRDefault="000E7BE0" w:rsidP="00A77B75">
      <w:pPr>
        <w:pStyle w:val="SCCNormalDoubleSpacing"/>
        <w:spacing w:after="240" w:line="240" w:lineRule="auto"/>
        <w:ind w:left="533" w:hanging="533"/>
        <w:rPr>
          <w:rFonts w:cs="Times New Roman"/>
          <w:szCs w:val="24"/>
          <w:lang w:val="en-CA"/>
        </w:rPr>
      </w:pPr>
      <w:r w:rsidRPr="00D910D8">
        <w:rPr>
          <w:rFonts w:cs="Times New Roman"/>
          <w:i/>
          <w:szCs w:val="24"/>
          <w:lang w:val="en-CA"/>
        </w:rPr>
        <w:t>Health Care Costs Recovery Act</w:t>
      </w:r>
      <w:r w:rsidRPr="00D910D8">
        <w:rPr>
          <w:rFonts w:cs="Times New Roman"/>
          <w:szCs w:val="24"/>
          <w:lang w:val="en-CA"/>
        </w:rPr>
        <w:t xml:space="preserve">, </w:t>
      </w:r>
      <w:r w:rsidRPr="00D910D8">
        <w:rPr>
          <w:rStyle w:val="reference"/>
          <w:rFonts w:eastAsiaTheme="majorEastAsia" w:cs="Times New Roman"/>
          <w:szCs w:val="24"/>
          <w:lang w:val="en-CA"/>
        </w:rPr>
        <w:t>S.B.C. 2008, c. 27, ss. 8(1), 24(3</w:t>
      </w:r>
      <w:proofErr w:type="gramStart"/>
      <w:r w:rsidRPr="00D910D8">
        <w:rPr>
          <w:rStyle w:val="reference"/>
          <w:rFonts w:eastAsiaTheme="majorEastAsia" w:cs="Times New Roman"/>
          <w:szCs w:val="24"/>
          <w:lang w:val="en-CA"/>
        </w:rPr>
        <w:t>)(</w:t>
      </w:r>
      <w:proofErr w:type="gramEnd"/>
      <w:r w:rsidRPr="00D910D8">
        <w:rPr>
          <w:rStyle w:val="reference"/>
          <w:rFonts w:eastAsiaTheme="majorEastAsia" w:cs="Times New Roman"/>
          <w:szCs w:val="24"/>
          <w:lang w:val="en-CA"/>
        </w:rPr>
        <w:t>b).</w:t>
      </w:r>
    </w:p>
    <w:p w:rsidR="000E7BE0" w:rsidRPr="00D910D8" w:rsidRDefault="000E7BE0" w:rsidP="00A77B75">
      <w:pPr>
        <w:pStyle w:val="SCCNormalDoubleSpacing"/>
        <w:spacing w:after="240" w:line="240" w:lineRule="auto"/>
        <w:ind w:left="533" w:hanging="533"/>
        <w:rPr>
          <w:rFonts w:cs="Times New Roman"/>
          <w:bCs/>
          <w:szCs w:val="24"/>
          <w:lang w:val="en-CA"/>
        </w:rPr>
      </w:pPr>
      <w:proofErr w:type="gramStart"/>
      <w:r w:rsidRPr="00D910D8">
        <w:rPr>
          <w:rFonts w:cs="Times New Roman"/>
          <w:bCs/>
          <w:i/>
          <w:szCs w:val="24"/>
          <w:lang w:val="en-CA"/>
        </w:rPr>
        <w:t>Negligence Act</w:t>
      </w:r>
      <w:r w:rsidRPr="00D910D8">
        <w:rPr>
          <w:rFonts w:cs="Times New Roman"/>
          <w:bCs/>
          <w:szCs w:val="24"/>
          <w:lang w:val="en-CA"/>
        </w:rPr>
        <w:t>, R.S.B.C. 1996, c. 333.</w:t>
      </w:r>
      <w:proofErr w:type="gramEnd"/>
    </w:p>
    <w:p w:rsidR="000E7BE0" w:rsidRPr="00D910D8" w:rsidRDefault="000E7BE0" w:rsidP="00A77B75">
      <w:pPr>
        <w:pStyle w:val="SCCNormalDoubleSpacing"/>
        <w:spacing w:after="240" w:line="240" w:lineRule="auto"/>
        <w:ind w:left="533" w:hanging="533"/>
        <w:rPr>
          <w:rFonts w:cs="Times New Roman"/>
          <w:szCs w:val="24"/>
          <w:lang w:val="en-CA"/>
        </w:rPr>
      </w:pPr>
      <w:r w:rsidRPr="00D910D8">
        <w:rPr>
          <w:rFonts w:cs="Times New Roman"/>
          <w:i/>
          <w:szCs w:val="24"/>
          <w:lang w:val="en-CA"/>
        </w:rPr>
        <w:t>Supreme Court Civil Rules</w:t>
      </w:r>
      <w:r w:rsidRPr="00D910D8">
        <w:rPr>
          <w:rFonts w:cs="Times New Roman"/>
          <w:szCs w:val="24"/>
          <w:lang w:val="en-CA"/>
        </w:rPr>
        <w:t>, B.C. Reg. 168/2009, r. 9</w:t>
      </w:r>
      <w:r w:rsidRPr="00D910D8">
        <w:rPr>
          <w:rFonts w:cs="Times New Roman"/>
          <w:szCs w:val="24"/>
          <w:lang w:val="en-CA"/>
        </w:rPr>
        <w:noBreakHyphen/>
        <w:t>5.</w:t>
      </w:r>
    </w:p>
    <w:p w:rsidR="000E7BE0" w:rsidRPr="00D910D8" w:rsidRDefault="000E7BE0" w:rsidP="00A77B75">
      <w:pPr>
        <w:pStyle w:val="SCCNormalDoubleSpacing"/>
        <w:spacing w:after="240" w:line="240" w:lineRule="auto"/>
        <w:ind w:left="533" w:hanging="533"/>
        <w:rPr>
          <w:rFonts w:cs="Times New Roman"/>
          <w:szCs w:val="24"/>
          <w:lang w:val="en-CA"/>
        </w:rPr>
      </w:pPr>
      <w:r w:rsidRPr="00D910D8">
        <w:rPr>
          <w:rFonts w:cs="Times New Roman"/>
          <w:i/>
          <w:szCs w:val="24"/>
          <w:lang w:val="en-CA"/>
        </w:rPr>
        <w:t>Supreme Court Rules</w:t>
      </w:r>
      <w:r w:rsidRPr="00D910D8">
        <w:rPr>
          <w:rFonts w:cs="Times New Roman"/>
          <w:szCs w:val="24"/>
          <w:lang w:val="en-CA"/>
        </w:rPr>
        <w:t xml:space="preserve">, B.C. Reg. 221/90, </w:t>
      </w:r>
      <w:proofErr w:type="spellStart"/>
      <w:proofErr w:type="gramStart"/>
      <w:r w:rsidRPr="00D910D8">
        <w:rPr>
          <w:rFonts w:cs="Times New Roman"/>
          <w:szCs w:val="24"/>
          <w:lang w:val="en-CA"/>
        </w:rPr>
        <w:t>rr</w:t>
      </w:r>
      <w:proofErr w:type="spellEnd"/>
      <w:proofErr w:type="gramEnd"/>
      <w:r w:rsidRPr="00D910D8">
        <w:rPr>
          <w:rFonts w:cs="Times New Roman"/>
          <w:szCs w:val="24"/>
          <w:lang w:val="en-CA"/>
        </w:rPr>
        <w:t>. </w:t>
      </w:r>
      <w:proofErr w:type="gramStart"/>
      <w:r w:rsidRPr="00D910D8">
        <w:rPr>
          <w:rFonts w:cs="Times New Roman"/>
          <w:szCs w:val="24"/>
          <w:lang w:val="en-CA"/>
        </w:rPr>
        <w:t>19(24), (27).</w:t>
      </w:r>
      <w:proofErr w:type="gramEnd"/>
    </w:p>
    <w:p w:rsidR="000E7BE0" w:rsidRPr="00D910D8" w:rsidRDefault="000E7BE0" w:rsidP="00A77B75">
      <w:pPr>
        <w:pStyle w:val="SCCNormalDoubleSpacing"/>
        <w:spacing w:after="240" w:line="240" w:lineRule="auto"/>
        <w:ind w:left="533" w:hanging="533"/>
        <w:rPr>
          <w:rFonts w:cs="Times New Roman"/>
          <w:szCs w:val="24"/>
          <w:lang w:val="en-CA"/>
        </w:rPr>
      </w:pPr>
      <w:r w:rsidRPr="00D910D8">
        <w:rPr>
          <w:rFonts w:cs="Times New Roman"/>
          <w:i/>
          <w:szCs w:val="24"/>
          <w:lang w:val="en-CA"/>
        </w:rPr>
        <w:t>Tobacco Act</w:t>
      </w:r>
      <w:r w:rsidRPr="00D910D8">
        <w:rPr>
          <w:rFonts w:cs="Times New Roman"/>
          <w:szCs w:val="24"/>
          <w:lang w:val="en-CA"/>
        </w:rPr>
        <w:t>, S.C. 1997, c. 13, s. 4.</w:t>
      </w:r>
    </w:p>
    <w:p w:rsidR="000E7BE0" w:rsidRPr="00D910D8" w:rsidRDefault="000E7BE0" w:rsidP="00A77B75">
      <w:pPr>
        <w:pStyle w:val="SCCNormalDoubleSpacing"/>
        <w:spacing w:after="240" w:line="240" w:lineRule="auto"/>
        <w:ind w:left="533" w:hanging="533"/>
        <w:rPr>
          <w:rFonts w:cs="Times New Roman"/>
          <w:szCs w:val="24"/>
          <w:lang w:val="en-CA"/>
        </w:rPr>
      </w:pPr>
      <w:r w:rsidRPr="00D910D8">
        <w:rPr>
          <w:rFonts w:cs="Times New Roman"/>
          <w:i/>
          <w:szCs w:val="24"/>
          <w:lang w:val="en-CA"/>
        </w:rPr>
        <w:t>Tobacco Damages and Health Care Costs Recovery Act</w:t>
      </w:r>
      <w:r w:rsidRPr="00D910D8">
        <w:rPr>
          <w:rFonts w:cs="Times New Roman"/>
          <w:szCs w:val="24"/>
          <w:lang w:val="en-CA"/>
        </w:rPr>
        <w:t>, S.B.C. 2000, c. 30, ss. 1</w:t>
      </w:r>
      <w:r w:rsidR="000A43C7" w:rsidRPr="00D910D8">
        <w:rPr>
          <w:rFonts w:cs="Times New Roman"/>
          <w:szCs w:val="24"/>
          <w:lang w:val="en-CA"/>
        </w:rPr>
        <w:t>(1)</w:t>
      </w:r>
      <w:r w:rsidRPr="00D910D8">
        <w:rPr>
          <w:rFonts w:cs="Times New Roman"/>
          <w:szCs w:val="24"/>
          <w:lang w:val="en-CA"/>
        </w:rPr>
        <w:t xml:space="preserve"> “manufacture”, “manufacturer”, 2, 3(3)(b).</w:t>
      </w:r>
    </w:p>
    <w:p w:rsidR="000E7BE0" w:rsidRPr="00D910D8" w:rsidRDefault="000E7BE0" w:rsidP="00A77B75">
      <w:pPr>
        <w:pStyle w:val="SCCNormalDoubleSpacing"/>
        <w:spacing w:after="240" w:line="240" w:lineRule="auto"/>
        <w:ind w:left="533" w:hanging="533"/>
        <w:rPr>
          <w:rFonts w:cs="Times New Roman"/>
          <w:bCs/>
          <w:szCs w:val="24"/>
          <w:lang w:val="en-CA"/>
        </w:rPr>
      </w:pPr>
      <w:r w:rsidRPr="00D910D8">
        <w:rPr>
          <w:rFonts w:cs="Times New Roman"/>
          <w:i/>
          <w:szCs w:val="24"/>
          <w:lang w:val="en-CA"/>
        </w:rPr>
        <w:t>Tobacco Products Control Act</w:t>
      </w:r>
      <w:r w:rsidRPr="00D910D8">
        <w:rPr>
          <w:rFonts w:cs="Times New Roman"/>
          <w:szCs w:val="24"/>
          <w:lang w:val="en-CA"/>
        </w:rPr>
        <w:t xml:space="preserve">, </w:t>
      </w:r>
      <w:r w:rsidR="001A6529" w:rsidRPr="00D910D8">
        <w:rPr>
          <w:rFonts w:cs="Times New Roman"/>
          <w:szCs w:val="24"/>
          <w:lang w:val="en-CA"/>
        </w:rPr>
        <w:t>R.</w:t>
      </w:r>
      <w:r w:rsidRPr="00D910D8">
        <w:rPr>
          <w:rFonts w:cs="Times New Roman"/>
          <w:szCs w:val="24"/>
          <w:lang w:val="en-CA"/>
        </w:rPr>
        <w:t>S.C. 198</w:t>
      </w:r>
      <w:r w:rsidR="001A6529" w:rsidRPr="00D910D8">
        <w:rPr>
          <w:rFonts w:cs="Times New Roman"/>
          <w:szCs w:val="24"/>
          <w:lang w:val="en-CA"/>
        </w:rPr>
        <w:t>5</w:t>
      </w:r>
      <w:r w:rsidRPr="00D910D8">
        <w:rPr>
          <w:rFonts w:cs="Times New Roman"/>
          <w:szCs w:val="24"/>
          <w:lang w:val="en-CA"/>
        </w:rPr>
        <w:t>, c. </w:t>
      </w:r>
      <w:r w:rsidR="001A6529" w:rsidRPr="00D910D8">
        <w:rPr>
          <w:rFonts w:cs="Times New Roman"/>
          <w:szCs w:val="24"/>
          <w:lang w:val="en-CA"/>
        </w:rPr>
        <w:t>14 (4th Supp.),</w:t>
      </w:r>
      <w:r w:rsidRPr="00D910D8">
        <w:rPr>
          <w:rFonts w:cs="Times New Roman"/>
          <w:szCs w:val="24"/>
          <w:lang w:val="en-CA"/>
        </w:rPr>
        <w:t xml:space="preserve"> s. 3</w:t>
      </w:r>
      <w:r w:rsidR="001A6529" w:rsidRPr="00D910D8">
        <w:rPr>
          <w:rFonts w:cs="Times New Roman"/>
          <w:szCs w:val="24"/>
          <w:lang w:val="en-CA"/>
        </w:rPr>
        <w:t xml:space="preserve"> [rep. 1997, c. 13, s. 64]</w:t>
      </w:r>
      <w:r w:rsidRPr="00D910D8">
        <w:rPr>
          <w:rFonts w:cs="Times New Roman"/>
          <w:szCs w:val="24"/>
          <w:lang w:val="en-CA"/>
        </w:rPr>
        <w:t>.</w:t>
      </w:r>
    </w:p>
    <w:p w:rsidR="000E7BE0" w:rsidRPr="00D910D8" w:rsidRDefault="000E7BE0" w:rsidP="00A77B75">
      <w:pPr>
        <w:pStyle w:val="SCCNormalDoubleSpacing"/>
        <w:spacing w:after="720" w:line="240" w:lineRule="auto"/>
        <w:ind w:left="533" w:hanging="533"/>
        <w:rPr>
          <w:rFonts w:cs="Times New Roman"/>
          <w:szCs w:val="24"/>
          <w:lang w:val="en-CA"/>
        </w:rPr>
      </w:pPr>
      <w:r w:rsidRPr="00D910D8">
        <w:rPr>
          <w:rFonts w:cs="Times New Roman"/>
          <w:i/>
          <w:szCs w:val="24"/>
          <w:lang w:val="en-CA"/>
        </w:rPr>
        <w:t>Trade Practice Act</w:t>
      </w:r>
      <w:r w:rsidRPr="00D910D8">
        <w:rPr>
          <w:rFonts w:cs="Times New Roman"/>
          <w:szCs w:val="24"/>
          <w:lang w:val="en-CA"/>
        </w:rPr>
        <w:t>,</w:t>
      </w:r>
      <w:r w:rsidRPr="00D910D8">
        <w:rPr>
          <w:rFonts w:cs="Times New Roman"/>
          <w:i/>
          <w:szCs w:val="24"/>
          <w:lang w:val="en-CA"/>
        </w:rPr>
        <w:t xml:space="preserve"> </w:t>
      </w:r>
      <w:r w:rsidRPr="00D910D8">
        <w:rPr>
          <w:rFonts w:cs="Times New Roman"/>
          <w:szCs w:val="24"/>
          <w:lang w:val="en-CA"/>
        </w:rPr>
        <w:t>R.S.B.C. 1996, c. 457, s. 1 “supplier”.</w:t>
      </w:r>
    </w:p>
    <w:p w:rsidR="000E7BE0" w:rsidRPr="00D910D8" w:rsidRDefault="000E7BE0" w:rsidP="000E7BE0">
      <w:pPr>
        <w:pStyle w:val="SCCNormalDoubleSpacing"/>
        <w:keepNext/>
        <w:spacing w:after="480"/>
        <w:rPr>
          <w:rFonts w:cs="Times New Roman"/>
          <w:b/>
          <w:szCs w:val="24"/>
          <w:lang w:val="en-CA"/>
        </w:rPr>
      </w:pPr>
      <w:r w:rsidRPr="00D910D8">
        <w:rPr>
          <w:rFonts w:cs="Times New Roman"/>
          <w:b/>
          <w:szCs w:val="24"/>
          <w:lang w:val="en-CA"/>
        </w:rPr>
        <w:t>Authors Cited</w:t>
      </w:r>
    </w:p>
    <w:p w:rsidR="000E7BE0" w:rsidRPr="00D910D8" w:rsidRDefault="000E7BE0" w:rsidP="000E7BE0">
      <w:pPr>
        <w:pStyle w:val="SCCNormalDoubleSpacing"/>
        <w:spacing w:after="240" w:line="240" w:lineRule="auto"/>
        <w:ind w:left="539" w:hanging="539"/>
        <w:rPr>
          <w:rFonts w:cs="Times New Roman"/>
          <w:szCs w:val="24"/>
          <w:lang w:val="en-CA"/>
        </w:rPr>
      </w:pPr>
      <w:r w:rsidRPr="00D910D8">
        <w:rPr>
          <w:rFonts w:cs="Times New Roman"/>
          <w:szCs w:val="24"/>
          <w:lang w:val="en-CA"/>
        </w:rPr>
        <w:t xml:space="preserve">British Columbia.  </w:t>
      </w:r>
      <w:r w:rsidR="000A43C7" w:rsidRPr="00D910D8">
        <w:rPr>
          <w:rFonts w:cs="Times New Roman"/>
          <w:i/>
          <w:szCs w:val="24"/>
          <w:lang w:val="en-CA"/>
        </w:rPr>
        <w:t>Official Report of D</w:t>
      </w:r>
      <w:r w:rsidRPr="00D910D8">
        <w:rPr>
          <w:rFonts w:cs="Times New Roman"/>
          <w:i/>
          <w:szCs w:val="24"/>
          <w:lang w:val="en-CA"/>
        </w:rPr>
        <w:t>ebates of the Legislative Assembly</w:t>
      </w:r>
      <w:r w:rsidR="000A43C7" w:rsidRPr="00D910D8">
        <w:rPr>
          <w:rFonts w:cs="Times New Roman"/>
          <w:i/>
          <w:szCs w:val="24"/>
          <w:lang w:val="en-CA"/>
        </w:rPr>
        <w:t xml:space="preserve"> (</w:t>
      </w:r>
      <w:proofErr w:type="spellStart"/>
      <w:r w:rsidR="000A43C7" w:rsidRPr="00D910D8">
        <w:rPr>
          <w:rFonts w:cs="Times New Roman"/>
          <w:i/>
          <w:szCs w:val="24"/>
          <w:lang w:val="en-CA"/>
        </w:rPr>
        <w:t>Hansard</w:t>
      </w:r>
      <w:proofErr w:type="spellEnd"/>
      <w:r w:rsidR="000A43C7" w:rsidRPr="00D910D8">
        <w:rPr>
          <w:rFonts w:cs="Times New Roman"/>
          <w:i/>
          <w:szCs w:val="24"/>
          <w:lang w:val="en-CA"/>
        </w:rPr>
        <w:t>)</w:t>
      </w:r>
      <w:r w:rsidRPr="00D910D8">
        <w:rPr>
          <w:rFonts w:cs="Times New Roman"/>
          <w:szCs w:val="24"/>
          <w:lang w:val="en-CA"/>
        </w:rPr>
        <w:t>, vol. 20, 4th Sess., 36th Parl., June 7, 2000, p. 16314.</w:t>
      </w:r>
    </w:p>
    <w:p w:rsidR="000E7BE0" w:rsidRPr="00D910D8" w:rsidRDefault="000E7BE0" w:rsidP="000A43C7">
      <w:pPr>
        <w:pStyle w:val="SCCNormalDoubleSpacing"/>
        <w:spacing w:after="720" w:line="240" w:lineRule="auto"/>
        <w:ind w:left="533" w:hanging="533"/>
        <w:rPr>
          <w:rFonts w:cs="Times New Roman"/>
          <w:szCs w:val="24"/>
          <w:lang w:val="en-CA"/>
        </w:rPr>
      </w:pPr>
      <w:proofErr w:type="gramStart"/>
      <w:r w:rsidRPr="00D910D8">
        <w:rPr>
          <w:rFonts w:cs="Times New Roman"/>
          <w:i/>
          <w:szCs w:val="24"/>
          <w:lang w:val="en-CA"/>
        </w:rPr>
        <w:t>New Oxford Dictionary of English</w:t>
      </w:r>
      <w:r w:rsidRPr="00D910D8">
        <w:rPr>
          <w:rFonts w:cs="Times New Roman"/>
          <w:szCs w:val="24"/>
          <w:lang w:val="en-CA"/>
        </w:rPr>
        <w:t>.</w:t>
      </w:r>
      <w:proofErr w:type="gramEnd"/>
      <w:r w:rsidRPr="00D910D8">
        <w:rPr>
          <w:rFonts w:cs="Times New Roman"/>
          <w:szCs w:val="24"/>
          <w:lang w:val="en-CA"/>
        </w:rPr>
        <w:t xml:space="preserve">  Oxford:  Clarendon Press, 1998, “policy”.</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tab/>
        <w:t>APPEAL and CROSS</w:t>
      </w:r>
      <w:r w:rsidRPr="00D910D8">
        <w:rPr>
          <w:rFonts w:cs="Times New Roman"/>
          <w:szCs w:val="24"/>
          <w:lang w:val="en-CA"/>
        </w:rPr>
        <w:noBreakHyphen/>
        <w:t xml:space="preserve">APPEAL from a judgment of the British Columbia Court of Appeal (Hall, Saunders, Lowry, </w:t>
      </w:r>
      <w:proofErr w:type="spellStart"/>
      <w:r w:rsidRPr="00D910D8">
        <w:rPr>
          <w:rFonts w:cs="Times New Roman"/>
          <w:szCs w:val="24"/>
          <w:lang w:val="en-CA"/>
        </w:rPr>
        <w:t>Tysoe</w:t>
      </w:r>
      <w:proofErr w:type="spellEnd"/>
      <w:r w:rsidRPr="00D910D8">
        <w:rPr>
          <w:rFonts w:cs="Times New Roman"/>
          <w:szCs w:val="24"/>
          <w:lang w:val="en-CA"/>
        </w:rPr>
        <w:t xml:space="preserve"> and Smith JJ.A.), 2009 BCCA 541, 99 B.C.L.R. (4th) 93, 313 D.L.R. (4th) 695, [2010] 2 W.W.R. 9, 280 </w:t>
      </w:r>
      <w:r w:rsidRPr="00D910D8">
        <w:rPr>
          <w:rFonts w:cs="Times New Roman"/>
          <w:szCs w:val="24"/>
          <w:lang w:val="en-CA"/>
        </w:rPr>
        <w:lastRenderedPageBreak/>
        <w:t xml:space="preserve">B.C.A.C. 160, 474 W.A.C. 160, </w:t>
      </w:r>
      <w:r w:rsidR="00C74886" w:rsidRPr="00D910D8">
        <w:rPr>
          <w:rFonts w:cs="Times New Roman"/>
          <w:szCs w:val="24"/>
        </w:rPr>
        <w:fldChar w:fldCharType="begin"/>
      </w:r>
      <w:r w:rsidRPr="00D910D8">
        <w:rPr>
          <w:rFonts w:cs="Times New Roman"/>
          <w:szCs w:val="24"/>
          <w:lang w:val="en-CA"/>
        </w:rPr>
        <w:instrText xml:space="preserve"> SEQ CHAPTER \h \r 1</w:instrText>
      </w:r>
      <w:r w:rsidR="00C74886" w:rsidRPr="00D910D8">
        <w:rPr>
          <w:rFonts w:cs="Times New Roman"/>
          <w:szCs w:val="24"/>
        </w:rPr>
        <w:fldChar w:fldCharType="end"/>
      </w:r>
      <w:r w:rsidRPr="00D910D8">
        <w:rPr>
          <w:rFonts w:cs="Times New Roman"/>
          <w:szCs w:val="24"/>
          <w:lang w:val="en-CA"/>
        </w:rPr>
        <w:t xml:space="preserve">[2009] B.C.J. No. 2445 (QL), 2009 </w:t>
      </w:r>
      <w:proofErr w:type="spellStart"/>
      <w:r w:rsidRPr="00D910D8">
        <w:rPr>
          <w:rFonts w:cs="Times New Roman"/>
          <w:szCs w:val="24"/>
          <w:lang w:val="en-CA"/>
        </w:rPr>
        <w:t>CarswellBC</w:t>
      </w:r>
      <w:proofErr w:type="spellEnd"/>
      <w:r w:rsidRPr="00D910D8">
        <w:rPr>
          <w:rFonts w:cs="Times New Roman"/>
          <w:szCs w:val="24"/>
          <w:lang w:val="en-CA"/>
        </w:rPr>
        <w:t xml:space="preserve"> 3300, reversing in part a decision of </w:t>
      </w:r>
      <w:proofErr w:type="spellStart"/>
      <w:r w:rsidRPr="00D910D8">
        <w:rPr>
          <w:rFonts w:cs="Times New Roman"/>
          <w:szCs w:val="24"/>
          <w:lang w:val="en-CA"/>
        </w:rPr>
        <w:t>Satanove</w:t>
      </w:r>
      <w:proofErr w:type="spellEnd"/>
      <w:r w:rsidRPr="00D910D8">
        <w:rPr>
          <w:rFonts w:cs="Times New Roman"/>
          <w:szCs w:val="24"/>
          <w:lang w:val="en-CA"/>
        </w:rPr>
        <w:t xml:space="preserve"> J. striking out </w:t>
      </w:r>
      <w:proofErr w:type="spellStart"/>
      <w:r w:rsidRPr="00D910D8">
        <w:rPr>
          <w:rFonts w:cs="Times New Roman"/>
          <w:szCs w:val="24"/>
          <w:lang w:val="en-CA"/>
        </w:rPr>
        <w:t>third</w:t>
      </w:r>
      <w:r w:rsidRPr="00D910D8">
        <w:rPr>
          <w:rFonts w:cs="Times New Roman"/>
          <w:szCs w:val="24"/>
          <w:lang w:val="en-CA"/>
        </w:rPr>
        <w:noBreakHyphen/>
        <w:t>party</w:t>
      </w:r>
      <w:proofErr w:type="spellEnd"/>
      <w:r w:rsidRPr="00D910D8">
        <w:rPr>
          <w:rFonts w:cs="Times New Roman"/>
          <w:szCs w:val="24"/>
          <w:lang w:val="en-CA"/>
        </w:rPr>
        <w:t xml:space="preserve"> notices, </w:t>
      </w:r>
      <w:r w:rsidR="00C74886" w:rsidRPr="00D910D8">
        <w:rPr>
          <w:rFonts w:cs="Times New Roman"/>
          <w:szCs w:val="24"/>
        </w:rPr>
        <w:fldChar w:fldCharType="begin"/>
      </w:r>
      <w:r w:rsidRPr="00D910D8">
        <w:rPr>
          <w:rFonts w:cs="Times New Roman"/>
          <w:szCs w:val="24"/>
          <w:lang w:val="en-CA"/>
        </w:rPr>
        <w:instrText xml:space="preserve"> SEQ CHAPTER \h \r 1</w:instrText>
      </w:r>
      <w:r w:rsidR="00C74886" w:rsidRPr="00D910D8">
        <w:rPr>
          <w:rFonts w:cs="Times New Roman"/>
          <w:szCs w:val="24"/>
        </w:rPr>
        <w:fldChar w:fldCharType="end"/>
      </w:r>
      <w:r w:rsidRPr="00D910D8">
        <w:rPr>
          <w:rFonts w:cs="Times New Roman"/>
          <w:szCs w:val="24"/>
          <w:lang w:val="en-CA"/>
        </w:rPr>
        <w:t xml:space="preserve">2007 BCSC 964, 76 B.C.L.R. (4th) 100, [2008] 4 W.W.R. 156, [2007] B.C.J. No. 1461 (QL), 2007 </w:t>
      </w:r>
      <w:proofErr w:type="spellStart"/>
      <w:r w:rsidRPr="00D910D8">
        <w:rPr>
          <w:rFonts w:cs="Times New Roman"/>
          <w:szCs w:val="24"/>
          <w:lang w:val="en-CA"/>
        </w:rPr>
        <w:t>CarswellBC</w:t>
      </w:r>
      <w:proofErr w:type="spellEnd"/>
      <w:r w:rsidRPr="00D910D8">
        <w:rPr>
          <w:rFonts w:cs="Times New Roman"/>
          <w:szCs w:val="24"/>
          <w:lang w:val="en-CA"/>
        </w:rPr>
        <w:t xml:space="preserve"> 1806</w:t>
      </w:r>
      <w:r w:rsidR="001A6529" w:rsidRPr="00D910D8">
        <w:rPr>
          <w:rFonts w:cs="Times New Roman"/>
          <w:szCs w:val="24"/>
          <w:lang w:val="en-CA"/>
        </w:rPr>
        <w:t xml:space="preserve"> (</w:t>
      </w:r>
      <w:r w:rsidR="001A6529" w:rsidRPr="00D910D8">
        <w:rPr>
          <w:rFonts w:cs="Times New Roman"/>
          <w:i/>
          <w:szCs w:val="24"/>
          <w:lang w:val="en-CA"/>
        </w:rPr>
        <w:t>sub nom.</w:t>
      </w:r>
      <w:r w:rsidR="001A6529" w:rsidRPr="00D910D8">
        <w:rPr>
          <w:rFonts w:cs="Times New Roman"/>
          <w:szCs w:val="24"/>
          <w:lang w:val="en-CA"/>
        </w:rPr>
        <w:t xml:space="preserve"> </w:t>
      </w:r>
      <w:r w:rsidR="001A6529" w:rsidRPr="00D910D8">
        <w:rPr>
          <w:rFonts w:cs="Times New Roman"/>
          <w:i/>
          <w:szCs w:val="24"/>
          <w:lang w:val="en-CA"/>
        </w:rPr>
        <w:t>Knight v. Imperial Tobacco Canada Ltd.</w:t>
      </w:r>
      <w:r w:rsidR="001A6529" w:rsidRPr="00D910D8">
        <w:rPr>
          <w:rFonts w:cs="Times New Roman"/>
          <w:szCs w:val="24"/>
          <w:lang w:val="en-CA"/>
        </w:rPr>
        <w:t>)</w:t>
      </w:r>
      <w:r w:rsidRPr="00D910D8">
        <w:rPr>
          <w:rFonts w:cs="Times New Roman"/>
          <w:szCs w:val="24"/>
          <w:lang w:val="en-CA"/>
        </w:rPr>
        <w:t>.  Appeal allo</w:t>
      </w:r>
      <w:r w:rsidR="00296B65" w:rsidRPr="00D910D8">
        <w:rPr>
          <w:rFonts w:cs="Times New Roman"/>
          <w:szCs w:val="24"/>
          <w:lang w:val="en-CA"/>
        </w:rPr>
        <w:t xml:space="preserve">wed and </w:t>
      </w:r>
      <w:proofErr w:type="spellStart"/>
      <w:r w:rsidR="00296B65" w:rsidRPr="00D910D8">
        <w:rPr>
          <w:rFonts w:cs="Times New Roman"/>
          <w:szCs w:val="24"/>
          <w:lang w:val="en-CA"/>
        </w:rPr>
        <w:t>cross</w:t>
      </w:r>
      <w:r w:rsidR="00296B65" w:rsidRPr="00D910D8">
        <w:rPr>
          <w:rFonts w:cs="Times New Roman"/>
          <w:szCs w:val="24"/>
          <w:lang w:val="en-CA"/>
        </w:rPr>
        <w:noBreakHyphen/>
        <w:t>appeal</w:t>
      </w:r>
      <w:proofErr w:type="spellEnd"/>
      <w:r w:rsidR="00296B65" w:rsidRPr="00D910D8">
        <w:rPr>
          <w:rFonts w:cs="Times New Roman"/>
          <w:szCs w:val="24"/>
          <w:lang w:val="en-CA"/>
        </w:rPr>
        <w:t xml:space="preserve"> dismissed.</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tab/>
        <w:t>APPEAL and CROSS</w:t>
      </w:r>
      <w:r w:rsidRPr="00D910D8">
        <w:rPr>
          <w:rFonts w:cs="Times New Roman"/>
          <w:szCs w:val="24"/>
          <w:lang w:val="en-CA"/>
        </w:rPr>
        <w:noBreakHyphen/>
        <w:t xml:space="preserve">APPEAL from a judgment of the British Columbia Court of Appeal (Hall, Saunders, Lowry, </w:t>
      </w:r>
      <w:proofErr w:type="spellStart"/>
      <w:r w:rsidRPr="00D910D8">
        <w:rPr>
          <w:rFonts w:cs="Times New Roman"/>
          <w:szCs w:val="24"/>
          <w:lang w:val="en-CA"/>
        </w:rPr>
        <w:t>Tysoe</w:t>
      </w:r>
      <w:proofErr w:type="spellEnd"/>
      <w:r w:rsidRPr="00D910D8">
        <w:rPr>
          <w:rFonts w:cs="Times New Roman"/>
          <w:szCs w:val="24"/>
          <w:lang w:val="en-CA"/>
        </w:rPr>
        <w:t xml:space="preserve"> and Smith JJ.A.), 2009 BCCA 540, 98 B.C.L.R. (4th) 201, 313 D.L.R. (4th) 651, [2010] 2 W.W.R. 385, 280 B.C.A.C. 100, 474 W.A.C. 100, [2009] B.C.J. No. 2444 (QL), 2009 </w:t>
      </w:r>
      <w:proofErr w:type="spellStart"/>
      <w:r w:rsidRPr="00D910D8">
        <w:rPr>
          <w:rFonts w:cs="Times New Roman"/>
          <w:szCs w:val="24"/>
          <w:lang w:val="en-CA"/>
        </w:rPr>
        <w:t>CarswellBC</w:t>
      </w:r>
      <w:proofErr w:type="spellEnd"/>
      <w:r w:rsidRPr="00D910D8">
        <w:rPr>
          <w:rFonts w:cs="Times New Roman"/>
          <w:szCs w:val="24"/>
          <w:lang w:val="en-CA"/>
        </w:rPr>
        <w:t xml:space="preserve"> 3307, reversing in part a decision of Wedge J. striking out </w:t>
      </w:r>
      <w:proofErr w:type="spellStart"/>
      <w:r w:rsidRPr="00D910D8">
        <w:rPr>
          <w:rFonts w:cs="Times New Roman"/>
          <w:szCs w:val="24"/>
          <w:lang w:val="en-CA"/>
        </w:rPr>
        <w:t>third</w:t>
      </w:r>
      <w:r w:rsidRPr="00D910D8">
        <w:rPr>
          <w:rFonts w:cs="Times New Roman"/>
          <w:szCs w:val="24"/>
          <w:lang w:val="en-CA"/>
        </w:rPr>
        <w:noBreakHyphen/>
        <w:t>party</w:t>
      </w:r>
      <w:proofErr w:type="spellEnd"/>
      <w:r w:rsidRPr="00D910D8">
        <w:rPr>
          <w:rFonts w:cs="Times New Roman"/>
          <w:szCs w:val="24"/>
          <w:lang w:val="en-CA"/>
        </w:rPr>
        <w:t xml:space="preserve"> notices, </w:t>
      </w:r>
      <w:r w:rsidR="00C74886" w:rsidRPr="00D910D8">
        <w:rPr>
          <w:rFonts w:cs="Times New Roman"/>
          <w:szCs w:val="24"/>
        </w:rPr>
        <w:fldChar w:fldCharType="begin"/>
      </w:r>
      <w:r w:rsidRPr="00D910D8">
        <w:rPr>
          <w:rFonts w:cs="Times New Roman"/>
          <w:szCs w:val="24"/>
          <w:lang w:val="en-CA"/>
        </w:rPr>
        <w:instrText xml:space="preserve"> SEQ CHAPTER \h \r 1</w:instrText>
      </w:r>
      <w:r w:rsidR="00C74886" w:rsidRPr="00D910D8">
        <w:rPr>
          <w:rFonts w:cs="Times New Roman"/>
          <w:szCs w:val="24"/>
        </w:rPr>
        <w:fldChar w:fldCharType="end"/>
      </w:r>
      <w:r w:rsidRPr="00D910D8">
        <w:rPr>
          <w:rFonts w:cs="Times New Roman"/>
          <w:szCs w:val="24"/>
          <w:lang w:val="en-CA"/>
        </w:rPr>
        <w:t xml:space="preserve">2008 BCSC 419, 82 B.C.L.R. (4th) 362, 292 D.L.R. (4th) 353, [2008] 12 W.W.R. 241, [2008] B.C.J. No. 609 (QL), 2008 </w:t>
      </w:r>
      <w:proofErr w:type="spellStart"/>
      <w:r w:rsidRPr="00D910D8">
        <w:rPr>
          <w:rFonts w:cs="Times New Roman"/>
          <w:szCs w:val="24"/>
          <w:lang w:val="en-CA"/>
        </w:rPr>
        <w:t>CarswellBC</w:t>
      </w:r>
      <w:proofErr w:type="spellEnd"/>
      <w:r w:rsidRPr="00D910D8">
        <w:rPr>
          <w:rFonts w:cs="Times New Roman"/>
          <w:szCs w:val="24"/>
          <w:lang w:val="en-CA"/>
        </w:rPr>
        <w:t xml:space="preserve"> 687</w:t>
      </w:r>
      <w:r w:rsidR="001A6529" w:rsidRPr="00D910D8">
        <w:rPr>
          <w:rFonts w:cs="Times New Roman"/>
          <w:szCs w:val="24"/>
          <w:lang w:val="en-CA"/>
        </w:rPr>
        <w:t xml:space="preserve"> (</w:t>
      </w:r>
      <w:r w:rsidR="001A6529" w:rsidRPr="00D910D8">
        <w:rPr>
          <w:rFonts w:cs="Times New Roman"/>
          <w:i/>
          <w:szCs w:val="24"/>
          <w:lang w:val="en-CA"/>
        </w:rPr>
        <w:t>sub nom.</w:t>
      </w:r>
      <w:r w:rsidR="001A6529" w:rsidRPr="00D910D8">
        <w:rPr>
          <w:rFonts w:cs="Times New Roman"/>
          <w:szCs w:val="24"/>
          <w:lang w:val="en-CA"/>
        </w:rPr>
        <w:t xml:space="preserve"> </w:t>
      </w:r>
      <w:r w:rsidR="001A6529" w:rsidRPr="00D910D8">
        <w:rPr>
          <w:rFonts w:cs="Times New Roman"/>
          <w:i/>
          <w:szCs w:val="24"/>
          <w:lang w:val="en-CA"/>
        </w:rPr>
        <w:t>British Columbia v. Imperial Tobacco Canada Ltd.</w:t>
      </w:r>
      <w:r w:rsidR="001A6529" w:rsidRPr="00D910D8">
        <w:rPr>
          <w:rFonts w:cs="Times New Roman"/>
          <w:szCs w:val="24"/>
          <w:lang w:val="en-CA"/>
        </w:rPr>
        <w:t>)</w:t>
      </w:r>
      <w:r w:rsidRPr="00D910D8">
        <w:rPr>
          <w:rFonts w:cs="Times New Roman"/>
          <w:szCs w:val="24"/>
          <w:lang w:val="en-CA"/>
        </w:rPr>
        <w:t>.  Appeal allo</w:t>
      </w:r>
      <w:r w:rsidR="00296B65" w:rsidRPr="00D910D8">
        <w:rPr>
          <w:rFonts w:cs="Times New Roman"/>
          <w:szCs w:val="24"/>
          <w:lang w:val="en-CA"/>
        </w:rPr>
        <w:t xml:space="preserve">wed and </w:t>
      </w:r>
      <w:proofErr w:type="spellStart"/>
      <w:r w:rsidR="00296B65" w:rsidRPr="00D910D8">
        <w:rPr>
          <w:rFonts w:cs="Times New Roman"/>
          <w:szCs w:val="24"/>
          <w:lang w:val="en-CA"/>
        </w:rPr>
        <w:t>cross</w:t>
      </w:r>
      <w:r w:rsidR="00296B65" w:rsidRPr="00D910D8">
        <w:rPr>
          <w:rFonts w:cs="Times New Roman"/>
          <w:szCs w:val="24"/>
          <w:lang w:val="en-CA"/>
        </w:rPr>
        <w:noBreakHyphen/>
        <w:t>appeal</w:t>
      </w:r>
      <w:proofErr w:type="spellEnd"/>
      <w:r w:rsidR="00296B65" w:rsidRPr="00D910D8">
        <w:rPr>
          <w:rFonts w:cs="Times New Roman"/>
          <w:szCs w:val="24"/>
          <w:lang w:val="en-CA"/>
        </w:rPr>
        <w:t xml:space="preserve"> dismissed.</w:t>
      </w:r>
    </w:p>
    <w:p w:rsidR="000E7BE0" w:rsidRPr="00D910D8" w:rsidRDefault="000E7BE0" w:rsidP="000E7BE0">
      <w:pPr>
        <w:pStyle w:val="SCCNormalDoubleSpacing"/>
        <w:spacing w:after="480"/>
        <w:rPr>
          <w:rFonts w:cs="Times New Roman"/>
          <w:szCs w:val="24"/>
          <w:lang w:val="en-CA"/>
        </w:rPr>
      </w:pPr>
      <w:r w:rsidRPr="00D910D8">
        <w:rPr>
          <w:rFonts w:cs="Times New Roman"/>
          <w:i/>
          <w:szCs w:val="24"/>
          <w:lang w:val="en-CA"/>
        </w:rPr>
        <w:tab/>
      </w:r>
      <w:proofErr w:type="gramStart"/>
      <w:r w:rsidRPr="00D910D8">
        <w:rPr>
          <w:rFonts w:cs="Times New Roman"/>
          <w:i/>
          <w:szCs w:val="24"/>
          <w:lang w:val="en-CA"/>
        </w:rPr>
        <w:t xml:space="preserve">John S. </w:t>
      </w:r>
      <w:proofErr w:type="spellStart"/>
      <w:r w:rsidRPr="00D910D8">
        <w:rPr>
          <w:rFonts w:cs="Times New Roman"/>
          <w:i/>
          <w:szCs w:val="24"/>
          <w:lang w:val="en-CA"/>
        </w:rPr>
        <w:t>Tyhurst</w:t>
      </w:r>
      <w:proofErr w:type="spellEnd"/>
      <w:r w:rsidRPr="00D910D8">
        <w:rPr>
          <w:rFonts w:cs="Times New Roman"/>
          <w:szCs w:val="24"/>
          <w:lang w:val="en-CA"/>
        </w:rPr>
        <w:t xml:space="preserve">, </w:t>
      </w:r>
      <w:r w:rsidRPr="00D910D8">
        <w:rPr>
          <w:rFonts w:cs="Times New Roman"/>
          <w:i/>
          <w:szCs w:val="24"/>
          <w:lang w:val="en-CA"/>
        </w:rPr>
        <w:t>Paul Vickery</w:t>
      </w:r>
      <w:r w:rsidRPr="00D910D8">
        <w:rPr>
          <w:rFonts w:cs="Times New Roman"/>
          <w:szCs w:val="24"/>
          <w:lang w:val="en-CA"/>
        </w:rPr>
        <w:t xml:space="preserve"> and </w:t>
      </w:r>
      <w:r w:rsidRPr="00D910D8">
        <w:rPr>
          <w:rFonts w:cs="Times New Roman"/>
          <w:i/>
          <w:szCs w:val="24"/>
          <w:lang w:val="en-CA"/>
        </w:rPr>
        <w:t>Travis Henderson</w:t>
      </w:r>
      <w:r w:rsidRPr="00D910D8">
        <w:rPr>
          <w:rFonts w:cs="Times New Roman"/>
          <w:szCs w:val="24"/>
          <w:lang w:val="en-CA"/>
        </w:rPr>
        <w:t xml:space="preserve">, for the appellant/respondent on </w:t>
      </w:r>
      <w:proofErr w:type="spellStart"/>
      <w:r w:rsidRPr="00D910D8">
        <w:rPr>
          <w:rFonts w:cs="Times New Roman"/>
          <w:szCs w:val="24"/>
          <w:lang w:val="en-CA"/>
        </w:rPr>
        <w:t>cross</w:t>
      </w:r>
      <w:r w:rsidRPr="00D910D8">
        <w:rPr>
          <w:rFonts w:cs="Times New Roman"/>
          <w:szCs w:val="24"/>
          <w:lang w:val="en-CA"/>
        </w:rPr>
        <w:noBreakHyphen/>
        <w:t>appeal</w:t>
      </w:r>
      <w:proofErr w:type="spellEnd"/>
      <w:r w:rsidRPr="00D910D8">
        <w:rPr>
          <w:rFonts w:cs="Times New Roman"/>
          <w:szCs w:val="24"/>
          <w:lang w:val="en-CA"/>
        </w:rPr>
        <w:t xml:space="preserve"> Her Majesty the Queen in Right of Canada (33559).</w:t>
      </w:r>
      <w:proofErr w:type="gramEnd"/>
    </w:p>
    <w:p w:rsidR="000E7BE0" w:rsidRPr="00D910D8" w:rsidRDefault="000E7BE0" w:rsidP="000E7BE0">
      <w:pPr>
        <w:pStyle w:val="SCCNormalDoubleSpacing"/>
        <w:spacing w:after="480"/>
        <w:rPr>
          <w:rFonts w:cs="Times New Roman"/>
          <w:szCs w:val="24"/>
          <w:lang w:val="en-CA"/>
        </w:rPr>
      </w:pPr>
      <w:r w:rsidRPr="00D910D8">
        <w:rPr>
          <w:rFonts w:cs="Times New Roman"/>
          <w:i/>
          <w:szCs w:val="24"/>
          <w:lang w:val="en-CA"/>
        </w:rPr>
        <w:tab/>
      </w:r>
      <w:proofErr w:type="gramStart"/>
      <w:r w:rsidRPr="00D910D8">
        <w:rPr>
          <w:rFonts w:cs="Times New Roman"/>
          <w:i/>
          <w:szCs w:val="24"/>
          <w:lang w:val="en-CA"/>
        </w:rPr>
        <w:t>Paul Vickery</w:t>
      </w:r>
      <w:r w:rsidRPr="00D910D8">
        <w:rPr>
          <w:rFonts w:cs="Times New Roman"/>
          <w:szCs w:val="24"/>
          <w:lang w:val="en-CA"/>
        </w:rPr>
        <w:t xml:space="preserve">, </w:t>
      </w:r>
      <w:r w:rsidRPr="00D910D8">
        <w:rPr>
          <w:rFonts w:cs="Times New Roman"/>
          <w:i/>
          <w:szCs w:val="24"/>
          <w:lang w:val="en-CA"/>
        </w:rPr>
        <w:t xml:space="preserve">John S. </w:t>
      </w:r>
      <w:proofErr w:type="spellStart"/>
      <w:r w:rsidRPr="00D910D8">
        <w:rPr>
          <w:rFonts w:cs="Times New Roman"/>
          <w:i/>
          <w:szCs w:val="24"/>
          <w:lang w:val="en-CA"/>
        </w:rPr>
        <w:t>Tyhurst</w:t>
      </w:r>
      <w:proofErr w:type="spellEnd"/>
      <w:r w:rsidRPr="00D910D8">
        <w:rPr>
          <w:rFonts w:cs="Times New Roman"/>
          <w:i/>
          <w:szCs w:val="24"/>
          <w:lang w:val="en-CA"/>
        </w:rPr>
        <w:t xml:space="preserve"> </w:t>
      </w:r>
      <w:r w:rsidRPr="00D910D8">
        <w:rPr>
          <w:rFonts w:cs="Times New Roman"/>
          <w:szCs w:val="24"/>
          <w:lang w:val="en-CA"/>
        </w:rPr>
        <w:t xml:space="preserve">and </w:t>
      </w:r>
      <w:r w:rsidRPr="00D910D8">
        <w:rPr>
          <w:rFonts w:cs="Times New Roman"/>
          <w:i/>
          <w:szCs w:val="24"/>
          <w:lang w:val="en-CA"/>
        </w:rPr>
        <w:t>Travis Henderson</w:t>
      </w:r>
      <w:r w:rsidRPr="00D910D8">
        <w:rPr>
          <w:rFonts w:cs="Times New Roman"/>
          <w:szCs w:val="24"/>
          <w:lang w:val="en-CA"/>
        </w:rPr>
        <w:t xml:space="preserve">, for the appellant/respondent on </w:t>
      </w:r>
      <w:proofErr w:type="spellStart"/>
      <w:r w:rsidRPr="00D910D8">
        <w:rPr>
          <w:rFonts w:cs="Times New Roman"/>
          <w:szCs w:val="24"/>
          <w:lang w:val="en-CA"/>
        </w:rPr>
        <w:t>cross</w:t>
      </w:r>
      <w:r w:rsidRPr="00D910D8">
        <w:rPr>
          <w:rFonts w:cs="Times New Roman"/>
          <w:szCs w:val="24"/>
          <w:lang w:val="en-CA"/>
        </w:rPr>
        <w:noBreakHyphen/>
        <w:t>appeal</w:t>
      </w:r>
      <w:proofErr w:type="spellEnd"/>
      <w:r w:rsidRPr="00D910D8">
        <w:rPr>
          <w:rFonts w:cs="Times New Roman"/>
          <w:szCs w:val="24"/>
          <w:lang w:val="en-CA"/>
        </w:rPr>
        <w:t xml:space="preserve"> the Attorney General of Canada (33563).</w:t>
      </w:r>
      <w:proofErr w:type="gramEnd"/>
    </w:p>
    <w:p w:rsidR="000E7BE0" w:rsidRPr="00D910D8" w:rsidRDefault="000E7BE0" w:rsidP="000E7BE0">
      <w:pPr>
        <w:pStyle w:val="SCCNormalDoubleSpacing"/>
        <w:spacing w:after="480"/>
        <w:rPr>
          <w:rFonts w:cs="Times New Roman"/>
          <w:szCs w:val="24"/>
          <w:lang w:val="en-CA"/>
        </w:rPr>
      </w:pPr>
      <w:r w:rsidRPr="00D910D8">
        <w:rPr>
          <w:rFonts w:cs="Times New Roman"/>
          <w:i/>
          <w:szCs w:val="24"/>
          <w:lang w:val="en-CA"/>
        </w:rPr>
        <w:lastRenderedPageBreak/>
        <w:tab/>
      </w:r>
      <w:proofErr w:type="gramStart"/>
      <w:r w:rsidRPr="00D910D8">
        <w:rPr>
          <w:rFonts w:cs="Times New Roman"/>
          <w:i/>
          <w:szCs w:val="24"/>
          <w:lang w:val="en-CA"/>
        </w:rPr>
        <w:t xml:space="preserve">Deborah </w:t>
      </w:r>
      <w:proofErr w:type="spellStart"/>
      <w:r w:rsidRPr="00D910D8">
        <w:rPr>
          <w:rFonts w:cs="Times New Roman"/>
          <w:i/>
          <w:szCs w:val="24"/>
          <w:lang w:val="en-CA"/>
        </w:rPr>
        <w:t>Glendining</w:t>
      </w:r>
      <w:proofErr w:type="spellEnd"/>
      <w:r w:rsidRPr="00D910D8">
        <w:rPr>
          <w:rFonts w:cs="Times New Roman"/>
          <w:szCs w:val="24"/>
          <w:lang w:val="en-CA"/>
        </w:rPr>
        <w:t xml:space="preserve"> and </w:t>
      </w:r>
      <w:r w:rsidRPr="00D910D8">
        <w:rPr>
          <w:rFonts w:cs="Times New Roman"/>
          <w:i/>
          <w:szCs w:val="24"/>
          <w:lang w:val="en-CA"/>
        </w:rPr>
        <w:t xml:space="preserve">Nada </w:t>
      </w:r>
      <w:proofErr w:type="spellStart"/>
      <w:r w:rsidRPr="00D910D8">
        <w:rPr>
          <w:rFonts w:cs="Times New Roman"/>
          <w:i/>
          <w:szCs w:val="24"/>
          <w:lang w:val="en-CA"/>
        </w:rPr>
        <w:t>Khirdaji</w:t>
      </w:r>
      <w:proofErr w:type="spellEnd"/>
      <w:r w:rsidRPr="00D910D8">
        <w:rPr>
          <w:rFonts w:cs="Times New Roman"/>
          <w:szCs w:val="24"/>
          <w:lang w:val="en-CA"/>
        </w:rPr>
        <w:t xml:space="preserve">, for the respondent/appellant on </w:t>
      </w:r>
      <w:proofErr w:type="spellStart"/>
      <w:r w:rsidRPr="00D910D8">
        <w:rPr>
          <w:rFonts w:cs="Times New Roman"/>
          <w:szCs w:val="24"/>
          <w:lang w:val="en-CA"/>
        </w:rPr>
        <w:t>cross</w:t>
      </w:r>
      <w:r w:rsidRPr="00D910D8">
        <w:rPr>
          <w:rFonts w:cs="Times New Roman"/>
          <w:szCs w:val="24"/>
          <w:lang w:val="en-CA"/>
        </w:rPr>
        <w:noBreakHyphen/>
        <w:t>appeal</w:t>
      </w:r>
      <w:proofErr w:type="spellEnd"/>
      <w:r w:rsidRPr="00D910D8">
        <w:rPr>
          <w:rFonts w:cs="Times New Roman"/>
          <w:szCs w:val="24"/>
          <w:lang w:val="en-CA"/>
        </w:rPr>
        <w:t xml:space="preserve"> Imperial Tobacco Canada Limited (33559).</w:t>
      </w:r>
      <w:proofErr w:type="gramEnd"/>
    </w:p>
    <w:p w:rsidR="000E7BE0" w:rsidRPr="00D910D8" w:rsidRDefault="000E7BE0" w:rsidP="000E7BE0">
      <w:pPr>
        <w:pStyle w:val="SCCNormalDoubleSpacing"/>
        <w:spacing w:after="480"/>
        <w:rPr>
          <w:rFonts w:cs="Times New Roman"/>
          <w:szCs w:val="24"/>
          <w:lang w:val="en-CA"/>
        </w:rPr>
      </w:pPr>
      <w:r w:rsidRPr="00D910D8">
        <w:rPr>
          <w:rFonts w:cs="Times New Roman"/>
          <w:i/>
          <w:szCs w:val="24"/>
          <w:lang w:val="en-CA"/>
        </w:rPr>
        <w:tab/>
      </w:r>
      <w:proofErr w:type="gramStart"/>
      <w:r w:rsidRPr="00D910D8">
        <w:rPr>
          <w:rFonts w:cs="Times New Roman"/>
          <w:i/>
          <w:szCs w:val="24"/>
          <w:lang w:val="en-CA"/>
        </w:rPr>
        <w:t xml:space="preserve">Ryan D. W. </w:t>
      </w:r>
      <w:proofErr w:type="spellStart"/>
      <w:r w:rsidRPr="00D910D8">
        <w:rPr>
          <w:rFonts w:cs="Times New Roman"/>
          <w:i/>
          <w:szCs w:val="24"/>
          <w:lang w:val="en-CA"/>
        </w:rPr>
        <w:t>Dalziel</w:t>
      </w:r>
      <w:proofErr w:type="spellEnd"/>
      <w:r w:rsidRPr="00D910D8">
        <w:rPr>
          <w:rFonts w:cs="Times New Roman"/>
          <w:i/>
          <w:szCs w:val="24"/>
          <w:lang w:val="en-CA"/>
        </w:rPr>
        <w:t xml:space="preserve"> </w:t>
      </w:r>
      <w:r w:rsidRPr="00D910D8">
        <w:rPr>
          <w:rFonts w:cs="Times New Roman"/>
          <w:szCs w:val="24"/>
          <w:lang w:val="en-CA"/>
        </w:rPr>
        <w:t xml:space="preserve">and </w:t>
      </w:r>
      <w:r w:rsidRPr="00D910D8">
        <w:rPr>
          <w:rFonts w:cs="Times New Roman"/>
          <w:i/>
          <w:szCs w:val="24"/>
          <w:lang w:val="en-CA"/>
        </w:rPr>
        <w:t>Daniel A. Webster</w:t>
      </w:r>
      <w:r w:rsidRPr="00D910D8">
        <w:rPr>
          <w:rFonts w:cs="Times New Roman"/>
          <w:szCs w:val="24"/>
          <w:lang w:val="en-CA"/>
        </w:rPr>
        <w:t xml:space="preserve">, </w:t>
      </w:r>
      <w:r w:rsidRPr="00D910D8">
        <w:rPr>
          <w:rFonts w:cs="Times New Roman"/>
          <w:i/>
          <w:szCs w:val="24"/>
          <w:lang w:val="en-CA"/>
        </w:rPr>
        <w:t>Q.C.</w:t>
      </w:r>
      <w:r w:rsidRPr="00D910D8">
        <w:rPr>
          <w:rFonts w:cs="Times New Roman"/>
          <w:szCs w:val="24"/>
          <w:lang w:val="en-CA"/>
        </w:rPr>
        <w:t>, for the respondent Her Majesty the Queen in Right of British Columbia (33563).</w:t>
      </w:r>
      <w:proofErr w:type="gramEnd"/>
    </w:p>
    <w:p w:rsidR="000E7BE0" w:rsidRPr="00D910D8" w:rsidRDefault="000E7BE0" w:rsidP="000E7BE0">
      <w:pPr>
        <w:pStyle w:val="SCCNormalDoubleSpacing"/>
        <w:spacing w:after="480"/>
        <w:rPr>
          <w:rFonts w:cs="Times New Roman"/>
          <w:szCs w:val="24"/>
          <w:lang w:val="en-CA"/>
        </w:rPr>
      </w:pPr>
      <w:r w:rsidRPr="00D910D8">
        <w:rPr>
          <w:rFonts w:cs="Times New Roman"/>
          <w:i/>
          <w:szCs w:val="24"/>
          <w:lang w:val="en-CA"/>
        </w:rPr>
        <w:tab/>
      </w:r>
      <w:proofErr w:type="gramStart"/>
      <w:r w:rsidRPr="00D910D8">
        <w:rPr>
          <w:rFonts w:cs="Times New Roman"/>
          <w:i/>
          <w:szCs w:val="24"/>
          <w:lang w:val="en-CA"/>
        </w:rPr>
        <w:t>John J. L. Hunter</w:t>
      </w:r>
      <w:r w:rsidRPr="00D910D8">
        <w:rPr>
          <w:rFonts w:cs="Times New Roman"/>
          <w:szCs w:val="24"/>
          <w:lang w:val="en-CA"/>
        </w:rPr>
        <w:t xml:space="preserve">, </w:t>
      </w:r>
      <w:r w:rsidRPr="00D910D8">
        <w:rPr>
          <w:rFonts w:cs="Times New Roman"/>
          <w:i/>
          <w:szCs w:val="24"/>
          <w:lang w:val="en-CA"/>
        </w:rPr>
        <w:t>Q.C.</w:t>
      </w:r>
      <w:r w:rsidRPr="00D910D8">
        <w:rPr>
          <w:rFonts w:cs="Times New Roman"/>
          <w:szCs w:val="24"/>
          <w:lang w:val="en-CA"/>
        </w:rPr>
        <w:t xml:space="preserve">, and </w:t>
      </w:r>
      <w:r w:rsidRPr="00D910D8">
        <w:rPr>
          <w:rFonts w:cs="Times New Roman"/>
          <w:i/>
          <w:szCs w:val="24"/>
          <w:lang w:val="en-CA"/>
        </w:rPr>
        <w:t xml:space="preserve">Brent B. </w:t>
      </w:r>
      <w:proofErr w:type="spellStart"/>
      <w:r w:rsidRPr="00D910D8">
        <w:rPr>
          <w:rFonts w:cs="Times New Roman"/>
          <w:i/>
          <w:szCs w:val="24"/>
          <w:lang w:val="en-CA"/>
        </w:rPr>
        <w:t>Olthuis</w:t>
      </w:r>
      <w:proofErr w:type="spellEnd"/>
      <w:r w:rsidRPr="00D910D8">
        <w:rPr>
          <w:rFonts w:cs="Times New Roman"/>
          <w:szCs w:val="24"/>
          <w:lang w:val="en-CA"/>
        </w:rPr>
        <w:t xml:space="preserve">, for the respondent/appellant on </w:t>
      </w:r>
      <w:proofErr w:type="spellStart"/>
      <w:r w:rsidRPr="00D910D8">
        <w:rPr>
          <w:rFonts w:cs="Times New Roman"/>
          <w:szCs w:val="24"/>
          <w:lang w:val="en-CA"/>
        </w:rPr>
        <w:t>cross</w:t>
      </w:r>
      <w:r w:rsidRPr="00D910D8">
        <w:rPr>
          <w:rFonts w:cs="Times New Roman"/>
          <w:szCs w:val="24"/>
          <w:lang w:val="en-CA"/>
        </w:rPr>
        <w:noBreakHyphen/>
        <w:t>appeal</w:t>
      </w:r>
      <w:proofErr w:type="spellEnd"/>
      <w:r w:rsidRPr="00D910D8">
        <w:rPr>
          <w:rFonts w:cs="Times New Roman"/>
          <w:szCs w:val="24"/>
          <w:lang w:val="en-CA"/>
        </w:rPr>
        <w:t xml:space="preserve"> Imperial Tobacco Canada Limited (33563).</w:t>
      </w:r>
      <w:proofErr w:type="gramEnd"/>
    </w:p>
    <w:p w:rsidR="000E7BE0" w:rsidRPr="00D910D8" w:rsidRDefault="000E7BE0" w:rsidP="000E7BE0">
      <w:pPr>
        <w:pStyle w:val="SCCNormalDoubleSpacing"/>
        <w:spacing w:after="480"/>
        <w:rPr>
          <w:rFonts w:cs="Times New Roman"/>
          <w:b/>
          <w:szCs w:val="24"/>
        </w:rPr>
      </w:pPr>
      <w:r w:rsidRPr="00D910D8">
        <w:rPr>
          <w:rFonts w:cs="Times New Roman"/>
          <w:szCs w:val="24"/>
          <w:lang w:val="en-CA"/>
        </w:rPr>
        <w:tab/>
      </w:r>
      <w:proofErr w:type="gramStart"/>
      <w:r w:rsidRPr="00D910D8">
        <w:rPr>
          <w:rFonts w:cs="Times New Roman"/>
          <w:szCs w:val="24"/>
          <w:lang w:val="en-CA"/>
        </w:rPr>
        <w:t xml:space="preserve">Written submissions only by </w:t>
      </w:r>
      <w:r w:rsidRPr="00D910D8">
        <w:rPr>
          <w:rFonts w:cs="Times New Roman"/>
          <w:i/>
          <w:szCs w:val="24"/>
          <w:lang w:val="en-CA"/>
        </w:rPr>
        <w:t>Kenneth N. Affleck</w:t>
      </w:r>
      <w:r w:rsidRPr="00D910D8">
        <w:rPr>
          <w:rFonts w:cs="Times New Roman"/>
          <w:szCs w:val="24"/>
          <w:lang w:val="en-CA"/>
        </w:rPr>
        <w:t xml:space="preserve">, </w:t>
      </w:r>
      <w:r w:rsidRPr="00D910D8">
        <w:rPr>
          <w:rFonts w:cs="Times New Roman"/>
          <w:i/>
          <w:szCs w:val="24"/>
          <w:lang w:val="en-CA"/>
        </w:rPr>
        <w:t>Q.C.</w:t>
      </w:r>
      <w:r w:rsidRPr="00D910D8">
        <w:rPr>
          <w:rFonts w:cs="Times New Roman"/>
          <w:szCs w:val="24"/>
          <w:lang w:val="en-CA"/>
        </w:rPr>
        <w:t xml:space="preserve">, for the respondents/appellants on </w:t>
      </w:r>
      <w:proofErr w:type="spellStart"/>
      <w:r w:rsidRPr="00D910D8">
        <w:rPr>
          <w:rFonts w:cs="Times New Roman"/>
          <w:szCs w:val="24"/>
          <w:lang w:val="en-CA"/>
        </w:rPr>
        <w:t>cross</w:t>
      </w:r>
      <w:r w:rsidRPr="00D910D8">
        <w:rPr>
          <w:rFonts w:cs="Times New Roman"/>
          <w:szCs w:val="24"/>
          <w:lang w:val="en-CA"/>
        </w:rPr>
        <w:noBreakHyphen/>
        <w:t>appeal</w:t>
      </w:r>
      <w:proofErr w:type="spellEnd"/>
      <w:r w:rsidRPr="00D910D8">
        <w:rPr>
          <w:rFonts w:cs="Times New Roman"/>
          <w:szCs w:val="24"/>
          <w:lang w:val="en-CA"/>
        </w:rPr>
        <w:t xml:space="preserve"> Rothmans, Benson &amp; Hedges Inc. and Rothmans Inc. </w:t>
      </w:r>
      <w:r w:rsidRPr="00D910D8">
        <w:rPr>
          <w:rFonts w:cs="Times New Roman"/>
          <w:szCs w:val="24"/>
        </w:rPr>
        <w:t>(33563).</w:t>
      </w:r>
      <w:proofErr w:type="gramEnd"/>
    </w:p>
    <w:p w:rsidR="000E7BE0" w:rsidRPr="00D910D8" w:rsidRDefault="000E7BE0" w:rsidP="000E7BE0">
      <w:pPr>
        <w:pStyle w:val="SCCNormalDoubleSpacing"/>
        <w:spacing w:after="480"/>
        <w:rPr>
          <w:rFonts w:cs="Times New Roman"/>
          <w:szCs w:val="24"/>
          <w:lang w:val="en-CA"/>
        </w:rPr>
      </w:pPr>
      <w:r w:rsidRPr="00D910D8">
        <w:rPr>
          <w:rFonts w:cs="Times New Roman"/>
          <w:i/>
          <w:szCs w:val="24"/>
        </w:rPr>
        <w:tab/>
      </w:r>
      <w:proofErr w:type="gramStart"/>
      <w:r w:rsidRPr="00D910D8">
        <w:rPr>
          <w:rFonts w:cs="Times New Roman"/>
          <w:szCs w:val="24"/>
          <w:lang w:val="en-CA"/>
        </w:rPr>
        <w:t>Written submissions only by</w:t>
      </w:r>
      <w:r w:rsidRPr="00D910D8">
        <w:rPr>
          <w:rFonts w:cs="Times New Roman"/>
          <w:b/>
          <w:szCs w:val="24"/>
          <w:lang w:val="en-CA"/>
        </w:rPr>
        <w:t xml:space="preserve"> </w:t>
      </w:r>
      <w:r w:rsidRPr="00D910D8">
        <w:rPr>
          <w:rFonts w:cs="Times New Roman"/>
          <w:i/>
          <w:szCs w:val="24"/>
          <w:lang w:val="en-CA"/>
        </w:rPr>
        <w:t>Jeffrey J. Kay</w:t>
      </w:r>
      <w:r w:rsidRPr="00D910D8">
        <w:rPr>
          <w:rFonts w:cs="Times New Roman"/>
          <w:szCs w:val="24"/>
          <w:lang w:val="en-CA"/>
        </w:rPr>
        <w:t xml:space="preserve">, </w:t>
      </w:r>
      <w:r w:rsidRPr="00D910D8">
        <w:rPr>
          <w:rFonts w:cs="Times New Roman"/>
          <w:i/>
          <w:szCs w:val="24"/>
          <w:lang w:val="en-CA"/>
        </w:rPr>
        <w:t>Q.C.</w:t>
      </w:r>
      <w:r w:rsidRPr="00D910D8">
        <w:rPr>
          <w:rFonts w:cs="Times New Roman"/>
          <w:szCs w:val="24"/>
          <w:lang w:val="en-CA"/>
        </w:rPr>
        <w:t xml:space="preserve">, for the respondents/appellants on </w:t>
      </w:r>
      <w:proofErr w:type="spellStart"/>
      <w:r w:rsidRPr="00D910D8">
        <w:rPr>
          <w:rFonts w:cs="Times New Roman"/>
          <w:szCs w:val="24"/>
          <w:lang w:val="en-CA"/>
        </w:rPr>
        <w:t>cross</w:t>
      </w:r>
      <w:r w:rsidRPr="00D910D8">
        <w:rPr>
          <w:rFonts w:cs="Times New Roman"/>
          <w:szCs w:val="24"/>
          <w:lang w:val="en-CA"/>
        </w:rPr>
        <w:noBreakHyphen/>
        <w:t>appeal</w:t>
      </w:r>
      <w:proofErr w:type="spellEnd"/>
      <w:r w:rsidRPr="00D910D8">
        <w:rPr>
          <w:rFonts w:cs="Times New Roman"/>
          <w:szCs w:val="24"/>
          <w:lang w:val="en-CA"/>
        </w:rPr>
        <w:t xml:space="preserve"> </w:t>
      </w:r>
      <w:proofErr w:type="spellStart"/>
      <w:r w:rsidRPr="00D910D8">
        <w:rPr>
          <w:rFonts w:cs="Times New Roman"/>
          <w:szCs w:val="24"/>
          <w:lang w:val="en-CA"/>
        </w:rPr>
        <w:t>JTI</w:t>
      </w:r>
      <w:r w:rsidRPr="00D910D8">
        <w:rPr>
          <w:rFonts w:cs="Times New Roman"/>
          <w:szCs w:val="24"/>
          <w:lang w:val="en-CA"/>
        </w:rPr>
        <w:noBreakHyphen/>
        <w:t>MacDonald</w:t>
      </w:r>
      <w:proofErr w:type="spellEnd"/>
      <w:r w:rsidRPr="00D910D8">
        <w:rPr>
          <w:rFonts w:cs="Times New Roman"/>
          <w:szCs w:val="24"/>
          <w:lang w:val="en-CA"/>
        </w:rPr>
        <w:t xml:space="preserve"> Corp., R.J. Reynolds Tobacco Company and R.J. Reynolds Tobacco International Inc. (33563).</w:t>
      </w:r>
      <w:proofErr w:type="gramEnd"/>
    </w:p>
    <w:p w:rsidR="000E7BE0" w:rsidRPr="00D910D8" w:rsidRDefault="000E7BE0" w:rsidP="000E7BE0">
      <w:pPr>
        <w:pStyle w:val="SCCNormalDoubleSpacing"/>
        <w:spacing w:after="480"/>
        <w:rPr>
          <w:rFonts w:cs="Times New Roman"/>
          <w:szCs w:val="24"/>
          <w:lang w:val="en-CA"/>
        </w:rPr>
      </w:pPr>
      <w:r w:rsidRPr="00D910D8">
        <w:rPr>
          <w:rFonts w:cs="Times New Roman"/>
          <w:i/>
          <w:szCs w:val="24"/>
          <w:lang w:val="en-CA"/>
        </w:rPr>
        <w:tab/>
      </w:r>
      <w:r w:rsidRPr="00D910D8">
        <w:rPr>
          <w:rFonts w:cs="Times New Roman"/>
          <w:szCs w:val="24"/>
          <w:lang w:val="en-CA"/>
        </w:rPr>
        <w:t xml:space="preserve">Written submissions only by </w:t>
      </w:r>
      <w:r w:rsidRPr="00D910D8">
        <w:rPr>
          <w:rFonts w:cs="Times New Roman"/>
          <w:i/>
          <w:szCs w:val="24"/>
          <w:lang w:val="en-CA"/>
        </w:rPr>
        <w:t xml:space="preserve">Craig P. Dennis </w:t>
      </w:r>
      <w:r w:rsidRPr="00D910D8">
        <w:rPr>
          <w:rFonts w:cs="Times New Roman"/>
          <w:szCs w:val="24"/>
          <w:lang w:val="en-CA"/>
        </w:rPr>
        <w:t xml:space="preserve">and </w:t>
      </w:r>
      <w:r w:rsidRPr="00D910D8">
        <w:rPr>
          <w:rFonts w:cs="Times New Roman"/>
          <w:i/>
          <w:szCs w:val="24"/>
          <w:lang w:val="en-CA"/>
        </w:rPr>
        <w:t xml:space="preserve">Michael D. </w:t>
      </w:r>
      <w:proofErr w:type="spellStart"/>
      <w:r w:rsidRPr="00D910D8">
        <w:rPr>
          <w:rFonts w:cs="Times New Roman"/>
          <w:i/>
          <w:szCs w:val="24"/>
          <w:lang w:val="en-CA"/>
        </w:rPr>
        <w:t>Shirreff</w:t>
      </w:r>
      <w:proofErr w:type="spellEnd"/>
      <w:r w:rsidRPr="00D910D8">
        <w:rPr>
          <w:rFonts w:cs="Times New Roman"/>
          <w:szCs w:val="24"/>
          <w:lang w:val="en-CA"/>
        </w:rPr>
        <w:t xml:space="preserve">, for the respondents/appellants on </w:t>
      </w:r>
      <w:proofErr w:type="spellStart"/>
      <w:r w:rsidRPr="00D910D8">
        <w:rPr>
          <w:rFonts w:cs="Times New Roman"/>
          <w:szCs w:val="24"/>
          <w:lang w:val="en-CA"/>
        </w:rPr>
        <w:t>cross</w:t>
      </w:r>
      <w:r w:rsidRPr="00D910D8">
        <w:rPr>
          <w:rFonts w:cs="Times New Roman"/>
          <w:szCs w:val="24"/>
          <w:lang w:val="en-CA"/>
        </w:rPr>
        <w:noBreakHyphen/>
        <w:t>appeal</w:t>
      </w:r>
      <w:proofErr w:type="spellEnd"/>
      <w:r w:rsidRPr="00D910D8">
        <w:rPr>
          <w:rFonts w:cs="Times New Roman"/>
          <w:szCs w:val="24"/>
          <w:lang w:val="en-CA"/>
        </w:rPr>
        <w:t xml:space="preserve"> B.A.T. Industries </w:t>
      </w:r>
      <w:proofErr w:type="spellStart"/>
      <w:r w:rsidRPr="00D910D8">
        <w:rPr>
          <w:rFonts w:cs="Times New Roman"/>
          <w:szCs w:val="24"/>
          <w:lang w:val="en-CA"/>
        </w:rPr>
        <w:t>p.l.c</w:t>
      </w:r>
      <w:proofErr w:type="spellEnd"/>
      <w:r w:rsidRPr="00D910D8">
        <w:rPr>
          <w:rFonts w:cs="Times New Roman"/>
          <w:szCs w:val="24"/>
          <w:lang w:val="en-CA"/>
        </w:rPr>
        <w:t>. and British American Tobacco (Investments) Limited (33563).</w:t>
      </w:r>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lastRenderedPageBreak/>
        <w:tab/>
      </w:r>
      <w:proofErr w:type="gramStart"/>
      <w:r w:rsidRPr="00D910D8">
        <w:rPr>
          <w:rFonts w:cs="Times New Roman"/>
          <w:szCs w:val="24"/>
          <w:lang w:val="en-CA"/>
        </w:rPr>
        <w:t>Written submissions only by</w:t>
      </w:r>
      <w:r w:rsidRPr="00D910D8">
        <w:rPr>
          <w:rFonts w:cs="Times New Roman"/>
          <w:b/>
          <w:szCs w:val="24"/>
          <w:lang w:val="en-CA"/>
        </w:rPr>
        <w:t xml:space="preserve"> </w:t>
      </w:r>
      <w:r w:rsidRPr="00D910D8">
        <w:rPr>
          <w:rFonts w:cs="Times New Roman"/>
          <w:i/>
          <w:szCs w:val="24"/>
          <w:lang w:val="en-CA"/>
        </w:rPr>
        <w:t xml:space="preserve">Christopher M. </w:t>
      </w:r>
      <w:proofErr w:type="spellStart"/>
      <w:r w:rsidRPr="00D910D8">
        <w:rPr>
          <w:rFonts w:cs="Times New Roman"/>
          <w:i/>
          <w:szCs w:val="24"/>
          <w:lang w:val="en-CA"/>
        </w:rPr>
        <w:t>Rusnak</w:t>
      </w:r>
      <w:proofErr w:type="spellEnd"/>
      <w:r w:rsidRPr="00D910D8">
        <w:rPr>
          <w:rFonts w:cs="Times New Roman"/>
          <w:szCs w:val="24"/>
          <w:lang w:val="en-CA"/>
        </w:rPr>
        <w:t xml:space="preserve">, for the respondent/appellant on </w:t>
      </w:r>
      <w:proofErr w:type="spellStart"/>
      <w:r w:rsidRPr="00D910D8">
        <w:rPr>
          <w:rFonts w:cs="Times New Roman"/>
          <w:szCs w:val="24"/>
          <w:lang w:val="en-CA"/>
        </w:rPr>
        <w:t>cross</w:t>
      </w:r>
      <w:r w:rsidRPr="00D910D8">
        <w:rPr>
          <w:rFonts w:cs="Times New Roman"/>
          <w:szCs w:val="24"/>
          <w:lang w:val="en-CA"/>
        </w:rPr>
        <w:noBreakHyphen/>
        <w:t>appeal</w:t>
      </w:r>
      <w:proofErr w:type="spellEnd"/>
      <w:r w:rsidRPr="00D910D8">
        <w:rPr>
          <w:rFonts w:cs="Times New Roman"/>
          <w:szCs w:val="24"/>
          <w:lang w:val="en-CA"/>
        </w:rPr>
        <w:t xml:space="preserve"> Carreras Rothmans Limited (33563).</w:t>
      </w:r>
      <w:proofErr w:type="gramEnd"/>
    </w:p>
    <w:p w:rsidR="000E7BE0" w:rsidRPr="00D910D8" w:rsidRDefault="000E7BE0" w:rsidP="000E7BE0">
      <w:pPr>
        <w:pStyle w:val="SCCNormalDoubleSpacing"/>
        <w:spacing w:after="480"/>
        <w:rPr>
          <w:rFonts w:cs="Times New Roman"/>
          <w:szCs w:val="24"/>
        </w:rPr>
      </w:pPr>
      <w:r w:rsidRPr="00D910D8">
        <w:rPr>
          <w:rFonts w:cs="Times New Roman"/>
          <w:szCs w:val="24"/>
          <w:lang w:val="en-CA"/>
        </w:rPr>
        <w:tab/>
      </w:r>
      <w:proofErr w:type="gramStart"/>
      <w:r w:rsidRPr="00D910D8">
        <w:rPr>
          <w:rFonts w:cs="Times New Roman"/>
          <w:szCs w:val="24"/>
          <w:lang w:val="en-CA"/>
        </w:rPr>
        <w:t>Written submissions only by</w:t>
      </w:r>
      <w:r w:rsidRPr="00D910D8">
        <w:rPr>
          <w:rFonts w:cs="Times New Roman"/>
          <w:b/>
          <w:szCs w:val="24"/>
          <w:lang w:val="en-CA"/>
        </w:rPr>
        <w:t xml:space="preserve"> </w:t>
      </w:r>
      <w:r w:rsidRPr="00D910D8">
        <w:rPr>
          <w:rFonts w:cs="Times New Roman"/>
          <w:i/>
          <w:szCs w:val="24"/>
          <w:lang w:val="en-CA"/>
        </w:rPr>
        <w:t>D. Ross Clark</w:t>
      </w:r>
      <w:r w:rsidRPr="00D910D8">
        <w:rPr>
          <w:rFonts w:cs="Times New Roman"/>
          <w:szCs w:val="24"/>
          <w:lang w:val="en-CA"/>
        </w:rPr>
        <w:t xml:space="preserve">, for the respondent/appellant on </w:t>
      </w:r>
      <w:proofErr w:type="spellStart"/>
      <w:r w:rsidRPr="00D910D8">
        <w:rPr>
          <w:rFonts w:cs="Times New Roman"/>
          <w:szCs w:val="24"/>
          <w:lang w:val="en-CA"/>
        </w:rPr>
        <w:t>cross</w:t>
      </w:r>
      <w:r w:rsidRPr="00D910D8">
        <w:rPr>
          <w:rFonts w:cs="Times New Roman"/>
          <w:szCs w:val="24"/>
          <w:lang w:val="en-CA"/>
        </w:rPr>
        <w:noBreakHyphen/>
        <w:t>appeal</w:t>
      </w:r>
      <w:proofErr w:type="spellEnd"/>
      <w:r w:rsidRPr="00D910D8">
        <w:rPr>
          <w:rFonts w:cs="Times New Roman"/>
          <w:szCs w:val="24"/>
          <w:lang w:val="en-CA"/>
        </w:rPr>
        <w:t xml:space="preserve"> Philip Morris U.S.A. Inc. </w:t>
      </w:r>
      <w:r w:rsidRPr="00D910D8">
        <w:rPr>
          <w:rFonts w:cs="Times New Roman"/>
          <w:szCs w:val="24"/>
        </w:rPr>
        <w:t>(33563).</w:t>
      </w:r>
      <w:proofErr w:type="gramEnd"/>
    </w:p>
    <w:p w:rsidR="000E7BE0" w:rsidRPr="00D910D8" w:rsidRDefault="000E7BE0" w:rsidP="000E7BE0">
      <w:pPr>
        <w:pStyle w:val="SCCNormalDoubleSpacing"/>
        <w:spacing w:after="480"/>
        <w:rPr>
          <w:rFonts w:cs="Times New Roman"/>
          <w:szCs w:val="24"/>
        </w:rPr>
      </w:pPr>
      <w:r w:rsidRPr="00D910D8">
        <w:rPr>
          <w:rFonts w:cs="Times New Roman"/>
          <w:szCs w:val="24"/>
        </w:rPr>
        <w:tab/>
      </w:r>
      <w:proofErr w:type="gramStart"/>
      <w:r w:rsidRPr="00D910D8">
        <w:rPr>
          <w:rFonts w:cs="Times New Roman"/>
          <w:i/>
          <w:szCs w:val="24"/>
          <w:lang w:val="en-CA"/>
        </w:rPr>
        <w:t>Simon V. Potter</w:t>
      </w:r>
      <w:r w:rsidRPr="00D910D8">
        <w:rPr>
          <w:rFonts w:cs="Times New Roman"/>
          <w:szCs w:val="24"/>
          <w:lang w:val="en-CA"/>
        </w:rPr>
        <w:t xml:space="preserve">, </w:t>
      </w:r>
      <w:r w:rsidRPr="00D910D8">
        <w:rPr>
          <w:rFonts w:cs="Times New Roman"/>
          <w:i/>
          <w:szCs w:val="24"/>
          <w:lang w:val="en-CA"/>
        </w:rPr>
        <w:t xml:space="preserve">Michael A. </w:t>
      </w:r>
      <w:proofErr w:type="spellStart"/>
      <w:r w:rsidRPr="00D910D8">
        <w:rPr>
          <w:rFonts w:cs="Times New Roman"/>
          <w:i/>
          <w:szCs w:val="24"/>
          <w:lang w:val="en-CA"/>
        </w:rPr>
        <w:t>Feder</w:t>
      </w:r>
      <w:proofErr w:type="spellEnd"/>
      <w:r w:rsidRPr="00D910D8">
        <w:rPr>
          <w:rFonts w:cs="Times New Roman"/>
          <w:i/>
          <w:szCs w:val="24"/>
          <w:lang w:val="en-CA"/>
        </w:rPr>
        <w:t xml:space="preserve"> </w:t>
      </w:r>
      <w:r w:rsidRPr="00D910D8">
        <w:rPr>
          <w:rFonts w:cs="Times New Roman"/>
          <w:szCs w:val="24"/>
          <w:lang w:val="en-CA"/>
        </w:rPr>
        <w:t xml:space="preserve">and </w:t>
      </w:r>
      <w:r w:rsidRPr="00D910D8">
        <w:rPr>
          <w:rFonts w:cs="Times New Roman"/>
          <w:i/>
          <w:szCs w:val="24"/>
          <w:lang w:val="en-CA"/>
        </w:rPr>
        <w:t>Angela M. Juba</w:t>
      </w:r>
      <w:r w:rsidRPr="00D910D8">
        <w:rPr>
          <w:rFonts w:cs="Times New Roman"/>
          <w:szCs w:val="24"/>
          <w:lang w:val="en-CA"/>
        </w:rPr>
        <w:t xml:space="preserve">, for the respondent/appellant on </w:t>
      </w:r>
      <w:proofErr w:type="spellStart"/>
      <w:r w:rsidRPr="00D910D8">
        <w:rPr>
          <w:rFonts w:cs="Times New Roman"/>
          <w:szCs w:val="24"/>
          <w:lang w:val="en-CA"/>
        </w:rPr>
        <w:t>cross</w:t>
      </w:r>
      <w:r w:rsidRPr="00D910D8">
        <w:rPr>
          <w:rFonts w:cs="Times New Roman"/>
          <w:szCs w:val="24"/>
          <w:lang w:val="en-CA"/>
        </w:rPr>
        <w:noBreakHyphen/>
        <w:t>appeal</w:t>
      </w:r>
      <w:proofErr w:type="spellEnd"/>
      <w:r w:rsidRPr="00D910D8">
        <w:rPr>
          <w:rFonts w:cs="Times New Roman"/>
          <w:szCs w:val="24"/>
          <w:lang w:val="en-CA"/>
        </w:rPr>
        <w:t xml:space="preserve"> Philip Morris International Inc. </w:t>
      </w:r>
      <w:r w:rsidRPr="00D910D8">
        <w:rPr>
          <w:rFonts w:cs="Times New Roman"/>
          <w:szCs w:val="24"/>
        </w:rPr>
        <w:t>(33563).</w:t>
      </w:r>
      <w:proofErr w:type="gramEnd"/>
    </w:p>
    <w:p w:rsidR="000E7BE0" w:rsidRPr="00D910D8" w:rsidRDefault="000E7BE0" w:rsidP="000E7BE0">
      <w:pPr>
        <w:pStyle w:val="SCCNormalDoubleSpacing"/>
        <w:spacing w:after="480"/>
        <w:rPr>
          <w:rFonts w:cs="Times New Roman"/>
          <w:szCs w:val="24"/>
          <w:lang w:val="en-CA"/>
        </w:rPr>
      </w:pPr>
      <w:r w:rsidRPr="00D910D8">
        <w:rPr>
          <w:rFonts w:cs="Times New Roman"/>
          <w:szCs w:val="24"/>
        </w:rPr>
        <w:tab/>
      </w:r>
      <w:proofErr w:type="spellStart"/>
      <w:proofErr w:type="gramStart"/>
      <w:r w:rsidRPr="00D910D8">
        <w:rPr>
          <w:rFonts w:cs="Times New Roman"/>
          <w:i/>
          <w:szCs w:val="24"/>
          <w:lang w:val="en-CA"/>
        </w:rPr>
        <w:t>Malliha</w:t>
      </w:r>
      <w:proofErr w:type="spellEnd"/>
      <w:r w:rsidRPr="00D910D8">
        <w:rPr>
          <w:rFonts w:cs="Times New Roman"/>
          <w:i/>
          <w:szCs w:val="24"/>
          <w:lang w:val="en-CA"/>
        </w:rPr>
        <w:t xml:space="preserve"> Wilson </w:t>
      </w:r>
      <w:r w:rsidRPr="00D910D8">
        <w:rPr>
          <w:rFonts w:cs="Times New Roman"/>
          <w:szCs w:val="24"/>
          <w:lang w:val="en-CA"/>
        </w:rPr>
        <w:t xml:space="preserve">and </w:t>
      </w:r>
      <w:r w:rsidRPr="00D910D8">
        <w:rPr>
          <w:rFonts w:cs="Times New Roman"/>
          <w:i/>
          <w:szCs w:val="24"/>
          <w:lang w:val="en-CA"/>
        </w:rPr>
        <w:t xml:space="preserve">Lynne </w:t>
      </w:r>
      <w:proofErr w:type="spellStart"/>
      <w:r w:rsidRPr="00D910D8">
        <w:rPr>
          <w:rFonts w:cs="Times New Roman"/>
          <w:i/>
          <w:szCs w:val="24"/>
          <w:lang w:val="en-CA"/>
        </w:rPr>
        <w:t>McArdle</w:t>
      </w:r>
      <w:proofErr w:type="spellEnd"/>
      <w:r w:rsidRPr="00D910D8">
        <w:rPr>
          <w:rFonts w:cs="Times New Roman"/>
          <w:szCs w:val="24"/>
          <w:lang w:val="en-CA"/>
        </w:rPr>
        <w:t>, for the intervener the Attorney General of Ontario (33559</w:t>
      </w:r>
      <w:r w:rsidRPr="00D910D8">
        <w:rPr>
          <w:rFonts w:cs="Times New Roman"/>
          <w:szCs w:val="24"/>
          <w:lang w:val="en-CA"/>
        </w:rPr>
        <w:noBreakHyphen/>
        <w:t>33563).</w:t>
      </w:r>
      <w:proofErr w:type="gramEnd"/>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tab/>
      </w:r>
      <w:proofErr w:type="gramStart"/>
      <w:r w:rsidRPr="00D910D8">
        <w:rPr>
          <w:rFonts w:cs="Times New Roman"/>
          <w:i/>
          <w:szCs w:val="24"/>
          <w:lang w:val="en-CA"/>
        </w:rPr>
        <w:t>Jeffrey S. Leon</w:t>
      </w:r>
      <w:r w:rsidRPr="00D910D8">
        <w:rPr>
          <w:rFonts w:cs="Times New Roman"/>
          <w:szCs w:val="24"/>
          <w:lang w:val="en-CA"/>
        </w:rPr>
        <w:t xml:space="preserve">, </w:t>
      </w:r>
      <w:r w:rsidRPr="00D910D8">
        <w:rPr>
          <w:rFonts w:cs="Times New Roman"/>
          <w:i/>
          <w:szCs w:val="24"/>
          <w:lang w:val="en-CA"/>
        </w:rPr>
        <w:t>Robyn M. Ryan Bell</w:t>
      </w:r>
      <w:r w:rsidRPr="00D910D8">
        <w:rPr>
          <w:rFonts w:cs="Times New Roman"/>
          <w:szCs w:val="24"/>
          <w:lang w:val="en-CA"/>
        </w:rPr>
        <w:t xml:space="preserve"> and </w:t>
      </w:r>
      <w:r w:rsidRPr="00D910D8">
        <w:rPr>
          <w:rFonts w:cs="Times New Roman"/>
          <w:i/>
          <w:szCs w:val="24"/>
          <w:lang w:val="en-CA"/>
        </w:rPr>
        <w:t xml:space="preserve">Michael A. </w:t>
      </w:r>
      <w:proofErr w:type="spellStart"/>
      <w:r w:rsidRPr="00D910D8">
        <w:rPr>
          <w:rFonts w:cs="Times New Roman"/>
          <w:i/>
          <w:szCs w:val="24"/>
          <w:lang w:val="en-CA"/>
        </w:rPr>
        <w:t>Eizenga</w:t>
      </w:r>
      <w:proofErr w:type="spellEnd"/>
      <w:r w:rsidRPr="00D910D8">
        <w:rPr>
          <w:rFonts w:cs="Times New Roman"/>
          <w:szCs w:val="24"/>
          <w:lang w:val="en-CA"/>
        </w:rPr>
        <w:t xml:space="preserve">, for the intervener Her Majesty the Queen in Right of </w:t>
      </w:r>
      <w:r w:rsidR="001A6529" w:rsidRPr="00D910D8">
        <w:rPr>
          <w:rFonts w:cs="Times New Roman"/>
          <w:szCs w:val="24"/>
          <w:lang w:val="en-CA"/>
        </w:rPr>
        <w:t xml:space="preserve">the Province of </w:t>
      </w:r>
      <w:r w:rsidRPr="00D910D8">
        <w:rPr>
          <w:rFonts w:cs="Times New Roman"/>
          <w:szCs w:val="24"/>
          <w:lang w:val="en-CA"/>
        </w:rPr>
        <w:t>New Brunswick (33563).</w:t>
      </w:r>
      <w:proofErr w:type="gramEnd"/>
    </w:p>
    <w:p w:rsidR="000E7BE0" w:rsidRPr="00D910D8" w:rsidRDefault="000E7BE0" w:rsidP="000E7BE0">
      <w:pPr>
        <w:pStyle w:val="SCCNormalDoubleSpacing"/>
        <w:spacing w:after="480"/>
        <w:rPr>
          <w:rFonts w:cs="Times New Roman"/>
          <w:szCs w:val="24"/>
          <w:lang w:val="en-CA"/>
        </w:rPr>
      </w:pPr>
      <w:r w:rsidRPr="00D910D8">
        <w:rPr>
          <w:rFonts w:cs="Times New Roman"/>
          <w:szCs w:val="24"/>
          <w:lang w:val="en-CA"/>
        </w:rPr>
        <w:tab/>
      </w:r>
      <w:proofErr w:type="gramStart"/>
      <w:r w:rsidRPr="00D910D8">
        <w:rPr>
          <w:rFonts w:cs="Times New Roman"/>
          <w:i/>
          <w:szCs w:val="24"/>
          <w:lang w:val="en-CA"/>
        </w:rPr>
        <w:t>Nancy Brown</w:t>
      </w:r>
      <w:r w:rsidRPr="00D910D8">
        <w:rPr>
          <w:rFonts w:cs="Times New Roman"/>
          <w:szCs w:val="24"/>
          <w:lang w:val="en-CA"/>
        </w:rPr>
        <w:t>, for the intervener the Attorney General of British Columbia (33559</w:t>
      </w:r>
      <w:r w:rsidRPr="00D910D8">
        <w:rPr>
          <w:rFonts w:cs="Times New Roman"/>
          <w:szCs w:val="24"/>
          <w:lang w:val="en-CA"/>
        </w:rPr>
        <w:noBreakHyphen/>
        <w:t>33563).</w:t>
      </w:r>
      <w:proofErr w:type="gramEnd"/>
    </w:p>
    <w:p w:rsidR="00023E0F" w:rsidRPr="00D910D8" w:rsidRDefault="00023E0F" w:rsidP="000E7BE0">
      <w:pPr>
        <w:pStyle w:val="SCCNormalDoubleSpacing"/>
        <w:spacing w:after="480"/>
        <w:rPr>
          <w:rFonts w:cs="Times New Roman"/>
          <w:szCs w:val="24"/>
          <w:lang w:val="en-CA"/>
        </w:rPr>
      </w:pPr>
      <w:r w:rsidRPr="00D910D8">
        <w:rPr>
          <w:rFonts w:cs="Times New Roman"/>
          <w:szCs w:val="24"/>
          <w:lang w:val="en-CA"/>
        </w:rPr>
        <w:tab/>
        <w:t>The judgment of the Court was delivered by</w:t>
      </w:r>
    </w:p>
    <w:p w:rsidR="009811B2" w:rsidRPr="00D910D8" w:rsidRDefault="007E0ED5" w:rsidP="00FC58DA">
      <w:pPr>
        <w:pStyle w:val="JudgeJuge"/>
        <w:rPr>
          <w:szCs w:val="24"/>
        </w:rPr>
      </w:pPr>
      <w:r w:rsidRPr="00D910D8">
        <w:rPr>
          <w:szCs w:val="24"/>
        </w:rPr>
        <w:tab/>
        <w:t>The Chief Justice</w:t>
      </w:r>
      <w:r w:rsidR="00007061" w:rsidRPr="00D910D8">
        <w:rPr>
          <w:szCs w:val="24"/>
        </w:rPr>
        <w:t xml:space="preserve"> — </w:t>
      </w:r>
    </w:p>
    <w:p w:rsidR="003C1A7E" w:rsidRDefault="003C1A7E" w:rsidP="0066330D">
      <w:pPr>
        <w:pStyle w:val="TitleTitre-AltT"/>
        <w:tabs>
          <w:tab w:val="clear" w:pos="360"/>
          <w:tab w:val="left" w:pos="540"/>
        </w:tabs>
        <w:ind w:left="540" w:hanging="540"/>
        <w:rPr>
          <w:rFonts w:cs="Times New Roman"/>
          <w:szCs w:val="24"/>
        </w:rPr>
      </w:pPr>
    </w:p>
    <w:tbl>
      <w:tblPr>
        <w:tblStyle w:val="TableGrid2"/>
        <w:tblW w:w="8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460"/>
      </w:tblGrid>
      <w:tr w:rsidR="003C1A7E" w:rsidRPr="003C1A7E" w:rsidTr="003C1A7E">
        <w:tc>
          <w:tcPr>
            <w:tcW w:w="8460" w:type="dxa"/>
          </w:tcPr>
          <w:p w:rsidR="003C1A7E" w:rsidRPr="003C1A7E" w:rsidRDefault="003C1A7E" w:rsidP="003C1A7E">
            <w:pPr>
              <w:tabs>
                <w:tab w:val="center" w:pos="4050"/>
              </w:tabs>
              <w:rPr>
                <w:rFonts w:eastAsia="Times New Roman" w:cs="Times New Roman"/>
                <w:szCs w:val="20"/>
                <w:lang w:val="en-CA" w:eastAsia="en-CA"/>
              </w:rPr>
            </w:pPr>
            <w:r w:rsidRPr="003C1A7E">
              <w:rPr>
                <w:rFonts w:eastAsia="Times New Roman" w:cs="Times New Roman"/>
                <w:szCs w:val="20"/>
                <w:lang w:val="en-CA" w:eastAsia="en-CA"/>
              </w:rPr>
              <w:tab/>
              <w:t>TABLE OF CONTENTS</w:t>
            </w:r>
          </w:p>
        </w:tc>
      </w:tr>
      <w:tr w:rsidR="003C1A7E" w:rsidRPr="003C1A7E" w:rsidTr="003C1A7E">
        <w:tc>
          <w:tcPr>
            <w:tcW w:w="8460" w:type="dxa"/>
          </w:tcPr>
          <w:p w:rsidR="003C1A7E" w:rsidRPr="003C1A7E" w:rsidRDefault="003C1A7E" w:rsidP="003C1A7E">
            <w:pPr>
              <w:tabs>
                <w:tab w:val="right" w:pos="8460"/>
              </w:tabs>
              <w:rPr>
                <w:rFonts w:eastAsia="Times New Roman" w:cs="Times New Roman"/>
                <w:szCs w:val="20"/>
                <w:lang w:val="en-CA" w:eastAsia="en-CA"/>
              </w:rPr>
            </w:pPr>
            <w:r w:rsidRPr="003C1A7E">
              <w:rPr>
                <w:rFonts w:eastAsia="Times New Roman" w:cs="Times New Roman"/>
                <w:szCs w:val="20"/>
                <w:lang w:val="en-CA" w:eastAsia="en-CA"/>
              </w:rPr>
              <w:tab/>
              <w:t>Paragraph</w:t>
            </w:r>
          </w:p>
        </w:tc>
      </w:tr>
      <w:tr w:rsidR="00263DED" w:rsidRPr="00CC5894" w:rsidTr="00767AEA">
        <w:tc>
          <w:tcPr>
            <w:tcW w:w="8460" w:type="dxa"/>
          </w:tcPr>
          <w:p w:rsidR="00263DED" w:rsidRDefault="00263DED" w:rsidP="00263DED">
            <w:pPr>
              <w:pStyle w:val="TOC1"/>
              <w:tabs>
                <w:tab w:val="clear" w:pos="7200"/>
                <w:tab w:val="right" w:leader="dot" w:pos="7920"/>
              </w:tabs>
              <w:rPr>
                <w:rFonts w:asciiTheme="minorHAnsi" w:eastAsiaTheme="minorEastAsia" w:hAnsiTheme="minorHAnsi"/>
                <w:sz w:val="22"/>
              </w:rPr>
            </w:pPr>
            <w:r w:rsidRPr="00CC5894">
              <w:rPr>
                <w:rFonts w:eastAsia="Times New Roman"/>
                <w:szCs w:val="20"/>
                <w:lang w:val="en-CA" w:eastAsia="en-CA"/>
              </w:rPr>
              <w:fldChar w:fldCharType="begin"/>
            </w:r>
            <w:r w:rsidRPr="00CC5894">
              <w:rPr>
                <w:rFonts w:eastAsia="Times New Roman"/>
                <w:szCs w:val="20"/>
                <w:lang w:val="en-CA" w:eastAsia="en-CA"/>
              </w:rPr>
              <w:instrText xml:space="preserve"> TOC \</w:instrText>
            </w:r>
            <w:r>
              <w:rPr>
                <w:rFonts w:eastAsia="Times New Roman"/>
                <w:szCs w:val="20"/>
                <w:lang w:val="en-CA" w:eastAsia="en-CA"/>
              </w:rPr>
              <w:instrText>h \</w:instrText>
            </w:r>
            <w:r w:rsidRPr="00CC5894">
              <w:rPr>
                <w:rFonts w:eastAsia="Times New Roman"/>
                <w:szCs w:val="20"/>
                <w:lang w:val="en-CA" w:eastAsia="en-CA"/>
              </w:rPr>
              <w:instrText xml:space="preserve">t "Title / Titre - Alt T,1" </w:instrText>
            </w:r>
            <w:r w:rsidRPr="00CC5894">
              <w:rPr>
                <w:rFonts w:eastAsia="Times New Roman"/>
                <w:szCs w:val="20"/>
                <w:lang w:val="en-CA" w:eastAsia="en-CA"/>
              </w:rPr>
              <w:fldChar w:fldCharType="separate"/>
            </w:r>
            <w:hyperlink w:anchor="_Toc314733735" w:history="1">
              <w:r w:rsidRPr="00E54F3B">
                <w:rPr>
                  <w:rStyle w:val="Hyperlink"/>
                  <w:rFonts w:cs="Times New Roman"/>
                </w:rPr>
                <w:t>I.</w:t>
              </w:r>
              <w:r>
                <w:rPr>
                  <w:rFonts w:asciiTheme="minorHAnsi" w:eastAsiaTheme="minorEastAsia" w:hAnsiTheme="minorHAnsi"/>
                  <w:sz w:val="22"/>
                </w:rPr>
                <w:tab/>
              </w:r>
              <w:r w:rsidRPr="001C3CFF">
                <w:rPr>
                  <w:rStyle w:val="Hyperlink"/>
                  <w:rFonts w:cs="Times New Roman"/>
                  <w:u w:val="none"/>
                </w:rPr>
                <w:t>Introduction</w:t>
              </w:r>
              <w:r>
                <w:tab/>
              </w:r>
            </w:hyperlink>
            <w:r>
              <w:rPr>
                <w:rStyle w:val="Hyperlink"/>
              </w:rPr>
              <w:t>1</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36" w:history="1">
              <w:r w:rsidRPr="00E54F3B">
                <w:rPr>
                  <w:rStyle w:val="Hyperlink"/>
                  <w:rFonts w:cs="Times New Roman"/>
                </w:rPr>
                <w:t>II.</w:t>
              </w:r>
              <w:r>
                <w:rPr>
                  <w:rFonts w:asciiTheme="minorHAnsi" w:eastAsiaTheme="minorEastAsia" w:hAnsiTheme="minorHAnsi"/>
                  <w:sz w:val="22"/>
                </w:rPr>
                <w:tab/>
              </w:r>
              <w:r w:rsidRPr="00E54F3B">
                <w:rPr>
                  <w:rStyle w:val="Hyperlink"/>
                  <w:rFonts w:cs="Times New Roman"/>
                </w:rPr>
                <w:t>Underlying Claims and Judicial History</w:t>
              </w:r>
              <w:r>
                <w:tab/>
              </w:r>
            </w:hyperlink>
            <w:r>
              <w:rPr>
                <w:rStyle w:val="Hyperlink"/>
              </w:rPr>
              <w:t>6</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37" w:history="1">
              <w:r w:rsidRPr="00E54F3B">
                <w:rPr>
                  <w:rStyle w:val="Hyperlink"/>
                  <w:rFonts w:cs="Times New Roman"/>
                </w:rPr>
                <w:t>A.</w:t>
              </w:r>
              <w:r>
                <w:rPr>
                  <w:rFonts w:asciiTheme="minorHAnsi" w:eastAsiaTheme="minorEastAsia" w:hAnsiTheme="minorHAnsi"/>
                  <w:sz w:val="22"/>
                </w:rPr>
                <w:tab/>
              </w:r>
              <w:r w:rsidRPr="00E54F3B">
                <w:rPr>
                  <w:rStyle w:val="Hyperlink"/>
                  <w:rFonts w:cs="Times New Roman"/>
                  <w:i/>
                </w:rPr>
                <w:t>The Knight Case</w:t>
              </w:r>
              <w:r>
                <w:tab/>
              </w:r>
            </w:hyperlink>
            <w:r>
              <w:rPr>
                <w:rStyle w:val="Hyperlink"/>
              </w:rPr>
              <w:t>6</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38" w:history="1">
              <w:r w:rsidRPr="00E54F3B">
                <w:rPr>
                  <w:rStyle w:val="Hyperlink"/>
                  <w:rFonts w:cs="Times New Roman"/>
                </w:rPr>
                <w:t>B.</w:t>
              </w:r>
              <w:r>
                <w:rPr>
                  <w:rFonts w:asciiTheme="minorHAnsi" w:eastAsiaTheme="minorEastAsia" w:hAnsiTheme="minorHAnsi"/>
                  <w:sz w:val="22"/>
                </w:rPr>
                <w:tab/>
              </w:r>
              <w:r w:rsidRPr="00E54F3B">
                <w:rPr>
                  <w:rStyle w:val="Hyperlink"/>
                  <w:rFonts w:cs="Times New Roman"/>
                  <w:i/>
                </w:rPr>
                <w:t>The</w:t>
              </w:r>
              <w:r w:rsidRPr="00E54F3B">
                <w:rPr>
                  <w:rStyle w:val="Hyperlink"/>
                  <w:rFonts w:cs="Times New Roman"/>
                </w:rPr>
                <w:t xml:space="preserve"> </w:t>
              </w:r>
              <w:r w:rsidRPr="00E54F3B">
                <w:rPr>
                  <w:rStyle w:val="Hyperlink"/>
                  <w:rFonts w:cs="Times New Roman"/>
                  <w:i/>
                </w:rPr>
                <w:t>Costs Recovery Case</w:t>
              </w:r>
              <w:r>
                <w:tab/>
              </w:r>
            </w:hyperlink>
            <w:r>
              <w:rPr>
                <w:rStyle w:val="Hyperlink"/>
              </w:rPr>
              <w:t>11</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39" w:history="1">
              <w:r w:rsidRPr="00E54F3B">
                <w:rPr>
                  <w:rStyle w:val="Hyperlink"/>
                  <w:rFonts w:cs="Times New Roman"/>
                </w:rPr>
                <w:t>III.</w:t>
              </w:r>
              <w:r>
                <w:rPr>
                  <w:rFonts w:asciiTheme="minorHAnsi" w:eastAsiaTheme="minorEastAsia" w:hAnsiTheme="minorHAnsi"/>
                  <w:sz w:val="22"/>
                </w:rPr>
                <w:tab/>
              </w:r>
              <w:r w:rsidRPr="00E54F3B">
                <w:rPr>
                  <w:rStyle w:val="Hyperlink"/>
                  <w:rFonts w:cs="Times New Roman"/>
                </w:rPr>
                <w:t>Issues Before the Court</w:t>
              </w:r>
              <w:r>
                <w:tab/>
              </w:r>
            </w:hyperlink>
            <w:r>
              <w:rPr>
                <w:rStyle w:val="Hyperlink"/>
              </w:rPr>
              <w:t>15</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40" w:history="1">
              <w:r w:rsidRPr="00E54F3B">
                <w:rPr>
                  <w:rStyle w:val="Hyperlink"/>
                  <w:rFonts w:cs="Times New Roman"/>
                </w:rPr>
                <w:t>IV.</w:t>
              </w:r>
              <w:r>
                <w:rPr>
                  <w:rFonts w:asciiTheme="minorHAnsi" w:eastAsiaTheme="minorEastAsia" w:hAnsiTheme="minorHAnsi"/>
                  <w:sz w:val="22"/>
                </w:rPr>
                <w:tab/>
              </w:r>
              <w:r w:rsidRPr="00E54F3B">
                <w:rPr>
                  <w:rStyle w:val="Hyperlink"/>
                  <w:rFonts w:cs="Times New Roman"/>
                </w:rPr>
                <w:t>Analysis</w:t>
              </w:r>
              <w:r>
                <w:tab/>
              </w:r>
            </w:hyperlink>
            <w:r>
              <w:rPr>
                <w:rStyle w:val="Hyperlink"/>
              </w:rPr>
              <w:t>17</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41" w:history="1">
              <w:r w:rsidRPr="00E54F3B">
                <w:rPr>
                  <w:rStyle w:val="Hyperlink"/>
                  <w:rFonts w:cs="Times New Roman"/>
                </w:rPr>
                <w:t>A.</w:t>
              </w:r>
              <w:r>
                <w:rPr>
                  <w:rFonts w:asciiTheme="minorHAnsi" w:eastAsiaTheme="minorEastAsia" w:hAnsiTheme="minorHAnsi"/>
                  <w:sz w:val="22"/>
                </w:rPr>
                <w:tab/>
              </w:r>
              <w:r w:rsidRPr="00E54F3B">
                <w:rPr>
                  <w:rStyle w:val="Hyperlink"/>
                  <w:rFonts w:cs="Times New Roman"/>
                  <w:i/>
                </w:rPr>
                <w:t>The Test for Striking Out Claims</w:t>
              </w:r>
              <w:r>
                <w:tab/>
              </w:r>
            </w:hyperlink>
            <w:r>
              <w:rPr>
                <w:rStyle w:val="Hyperlink"/>
              </w:rPr>
              <w:t>17</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42" w:history="1">
              <w:r w:rsidRPr="00E54F3B">
                <w:rPr>
                  <w:rStyle w:val="Hyperlink"/>
                  <w:rFonts w:cs="Times New Roman"/>
                </w:rPr>
                <w:t>B.</w:t>
              </w:r>
              <w:r>
                <w:rPr>
                  <w:rFonts w:asciiTheme="minorHAnsi" w:eastAsiaTheme="minorEastAsia" w:hAnsiTheme="minorHAnsi"/>
                  <w:sz w:val="22"/>
                </w:rPr>
                <w:tab/>
              </w:r>
              <w:r w:rsidRPr="00E54F3B">
                <w:rPr>
                  <w:rStyle w:val="Hyperlink"/>
                  <w:rFonts w:cs="Times New Roman"/>
                  <w:i/>
                </w:rPr>
                <w:t xml:space="preserve">Canada’s Alleged Duties of Care to Smokers in the Costs Recovery </w:t>
              </w:r>
              <w:r>
                <w:rPr>
                  <w:rStyle w:val="Hyperlink"/>
                  <w:rFonts w:cs="Times New Roman"/>
                  <w:i/>
                </w:rPr>
                <w:br/>
              </w:r>
              <w:r w:rsidRPr="00E54F3B">
                <w:rPr>
                  <w:rStyle w:val="Hyperlink"/>
                  <w:rFonts w:cs="Times New Roman"/>
                  <w:i/>
                </w:rPr>
                <w:t>Case</w:t>
              </w:r>
              <w:r>
                <w:tab/>
              </w:r>
            </w:hyperlink>
            <w:r>
              <w:rPr>
                <w:rStyle w:val="Hyperlink"/>
              </w:rPr>
              <w:t>27</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43" w:history="1">
              <w:r w:rsidRPr="00E54F3B">
                <w:rPr>
                  <w:rStyle w:val="Hyperlink"/>
                  <w:rFonts w:cs="Times New Roman"/>
                </w:rPr>
                <w:t>C.</w:t>
              </w:r>
              <w:r>
                <w:rPr>
                  <w:rFonts w:asciiTheme="minorHAnsi" w:eastAsiaTheme="minorEastAsia" w:hAnsiTheme="minorHAnsi"/>
                  <w:sz w:val="22"/>
                </w:rPr>
                <w:tab/>
              </w:r>
              <w:r w:rsidRPr="00E54F3B">
                <w:rPr>
                  <w:rStyle w:val="Hyperlink"/>
                  <w:rFonts w:cs="Times New Roman"/>
                  <w:i/>
                </w:rPr>
                <w:t>The Claims for Negligent Misrepresentation</w:t>
              </w:r>
              <w:r>
                <w:tab/>
              </w:r>
            </w:hyperlink>
            <w:r>
              <w:rPr>
                <w:rStyle w:val="Hyperlink"/>
              </w:rPr>
              <w:t>32</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44" w:history="1">
              <w:r w:rsidRPr="00E54F3B">
                <w:rPr>
                  <w:rStyle w:val="Hyperlink"/>
                  <w:rFonts w:cs="Times New Roman"/>
                </w:rPr>
                <w:t>(1)</w:t>
              </w:r>
              <w:r>
                <w:rPr>
                  <w:rFonts w:asciiTheme="minorHAnsi" w:eastAsiaTheme="minorEastAsia" w:hAnsiTheme="minorHAnsi"/>
                  <w:sz w:val="22"/>
                </w:rPr>
                <w:tab/>
              </w:r>
              <w:r w:rsidRPr="00E54F3B">
                <w:rPr>
                  <w:rStyle w:val="Hyperlink"/>
                  <w:rFonts w:cs="Times New Roman"/>
                </w:rPr>
                <w:t>Stage One:  Proximity and Foreseeability</w:t>
              </w:r>
              <w:r>
                <w:tab/>
              </w:r>
            </w:hyperlink>
            <w:r>
              <w:rPr>
                <w:rStyle w:val="Hyperlink"/>
              </w:rPr>
              <w:t>40</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45" w:history="1">
              <w:r w:rsidRPr="00E54F3B">
                <w:rPr>
                  <w:rStyle w:val="Hyperlink"/>
                  <w:rFonts w:cs="Times New Roman"/>
                </w:rPr>
                <w:t>(2)</w:t>
              </w:r>
              <w:r>
                <w:rPr>
                  <w:rFonts w:asciiTheme="minorHAnsi" w:eastAsiaTheme="minorEastAsia" w:hAnsiTheme="minorHAnsi"/>
                  <w:sz w:val="22"/>
                </w:rPr>
                <w:tab/>
              </w:r>
              <w:r w:rsidRPr="00E54F3B">
                <w:rPr>
                  <w:rStyle w:val="Hyperlink"/>
                  <w:rFonts w:cs="Times New Roman"/>
                </w:rPr>
                <w:t>Stage Two:  Conflicting Policy Considerations</w:t>
              </w:r>
              <w:r>
                <w:tab/>
              </w:r>
            </w:hyperlink>
            <w:r>
              <w:rPr>
                <w:rStyle w:val="Hyperlink"/>
              </w:rPr>
              <w:t>61</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46" w:history="1">
              <w:r w:rsidRPr="00E54F3B">
                <w:rPr>
                  <w:rStyle w:val="Hyperlink"/>
                  <w:rFonts w:cs="Times New Roman"/>
                </w:rPr>
                <w:t>(a)</w:t>
              </w:r>
              <w:r>
                <w:rPr>
                  <w:rFonts w:asciiTheme="minorHAnsi" w:eastAsiaTheme="minorEastAsia" w:hAnsiTheme="minorHAnsi"/>
                  <w:sz w:val="22"/>
                </w:rPr>
                <w:tab/>
              </w:r>
              <w:r w:rsidRPr="00E54F3B">
                <w:rPr>
                  <w:rStyle w:val="Hyperlink"/>
                  <w:rFonts w:cs="Times New Roman"/>
                  <w:i/>
                </w:rPr>
                <w:t>Government Policy Decisions</w:t>
              </w:r>
              <w:r>
                <w:tab/>
              </w:r>
            </w:hyperlink>
            <w:r>
              <w:rPr>
                <w:rStyle w:val="Hyperlink"/>
              </w:rPr>
              <w:t>63</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47" w:history="1">
              <w:r w:rsidRPr="00E54F3B">
                <w:rPr>
                  <w:rStyle w:val="Hyperlink"/>
                  <w:rFonts w:cs="Times New Roman"/>
                </w:rPr>
                <w:t>(i)</w:t>
              </w:r>
              <w:r>
                <w:rPr>
                  <w:rFonts w:asciiTheme="minorHAnsi" w:eastAsiaTheme="minorEastAsia" w:hAnsiTheme="minorHAnsi"/>
                  <w:sz w:val="22"/>
                </w:rPr>
                <w:tab/>
              </w:r>
              <w:r w:rsidRPr="00E54F3B">
                <w:rPr>
                  <w:rStyle w:val="Hyperlink"/>
                  <w:rFonts w:cs="Times New Roman"/>
                </w:rPr>
                <w:t>Conduct at Issue</w:t>
              </w:r>
              <w:r>
                <w:tab/>
              </w:r>
            </w:hyperlink>
            <w:r>
              <w:rPr>
                <w:rStyle w:val="Hyperlink"/>
              </w:rPr>
              <w:t>67</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48" w:history="1">
              <w:r w:rsidRPr="00E54F3B">
                <w:rPr>
                  <w:rStyle w:val="Hyperlink"/>
                  <w:rFonts w:cs="Times New Roman"/>
                </w:rPr>
                <w:t>(ii)</w:t>
              </w:r>
              <w:r>
                <w:rPr>
                  <w:rFonts w:asciiTheme="minorHAnsi" w:eastAsiaTheme="minorEastAsia" w:hAnsiTheme="minorHAnsi"/>
                  <w:sz w:val="22"/>
                </w:rPr>
                <w:tab/>
              </w:r>
              <w:r w:rsidRPr="00E54F3B">
                <w:rPr>
                  <w:rStyle w:val="Hyperlink"/>
                  <w:rFonts w:cs="Times New Roman"/>
                </w:rPr>
                <w:t>Relevance of Evidence</w:t>
              </w:r>
              <w:r>
                <w:tab/>
              </w:r>
            </w:hyperlink>
            <w:r>
              <w:rPr>
                <w:rStyle w:val="Hyperlink"/>
              </w:rPr>
              <w:t>68</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49" w:history="1">
              <w:r w:rsidRPr="00E54F3B">
                <w:rPr>
                  <w:rStyle w:val="Hyperlink"/>
                  <w:rFonts w:cs="Times New Roman"/>
                </w:rPr>
                <w:t>(iii)</w:t>
              </w:r>
              <w:r>
                <w:rPr>
                  <w:rFonts w:asciiTheme="minorHAnsi" w:eastAsiaTheme="minorEastAsia" w:hAnsiTheme="minorHAnsi"/>
                  <w:sz w:val="22"/>
                </w:rPr>
                <w:tab/>
              </w:r>
              <w:r w:rsidRPr="00E54F3B">
                <w:rPr>
                  <w:rStyle w:val="Hyperlink"/>
                  <w:rFonts w:cs="Times New Roman"/>
                </w:rPr>
                <w:t>What Constitutes a Policy Decision Immune From Judicial Review?</w:t>
              </w:r>
              <w:r>
                <w:tab/>
              </w:r>
            </w:hyperlink>
            <w:r>
              <w:rPr>
                <w:rStyle w:val="Hyperlink"/>
              </w:rPr>
              <w:t>72</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50" w:history="1">
              <w:r w:rsidRPr="00E54F3B">
                <w:rPr>
                  <w:rStyle w:val="Hyperlink"/>
                  <w:rFonts w:cs="Times New Roman"/>
                </w:rPr>
                <w:t>(iv)</w:t>
              </w:r>
              <w:r>
                <w:rPr>
                  <w:rFonts w:asciiTheme="minorHAnsi" w:eastAsiaTheme="minorEastAsia" w:hAnsiTheme="minorHAnsi"/>
                  <w:sz w:val="22"/>
                </w:rPr>
                <w:tab/>
              </w:r>
              <w:r w:rsidRPr="00E54F3B">
                <w:rPr>
                  <w:rStyle w:val="Hyperlink"/>
                  <w:rFonts w:cs="Times New Roman"/>
                </w:rPr>
                <w:t>Conclusion on the Policy Argument</w:t>
              </w:r>
              <w:r>
                <w:tab/>
              </w:r>
            </w:hyperlink>
            <w:r>
              <w:rPr>
                <w:rStyle w:val="Hyperlink"/>
              </w:rPr>
              <w:t>92</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51" w:history="1">
              <w:r w:rsidRPr="00E54F3B">
                <w:rPr>
                  <w:rStyle w:val="Hyperlink"/>
                  <w:rFonts w:cs="Times New Roman"/>
                </w:rPr>
                <w:t>(b)</w:t>
              </w:r>
              <w:r>
                <w:rPr>
                  <w:rFonts w:asciiTheme="minorHAnsi" w:eastAsiaTheme="minorEastAsia" w:hAnsiTheme="minorHAnsi"/>
                  <w:sz w:val="22"/>
                </w:rPr>
                <w:tab/>
              </w:r>
              <w:r w:rsidRPr="00E54F3B">
                <w:rPr>
                  <w:rStyle w:val="Hyperlink"/>
                  <w:rFonts w:cs="Times New Roman"/>
                  <w:i/>
                </w:rPr>
                <w:t>Indeterminate Liability</w:t>
              </w:r>
              <w:r>
                <w:tab/>
              </w:r>
            </w:hyperlink>
            <w:r>
              <w:rPr>
                <w:rStyle w:val="Hyperlink"/>
              </w:rPr>
              <w:t>97</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52" w:history="1">
              <w:r w:rsidRPr="00E54F3B">
                <w:rPr>
                  <w:rStyle w:val="Hyperlink"/>
                  <w:rFonts w:cs="Times New Roman"/>
                </w:rPr>
                <w:t>(c)</w:t>
              </w:r>
              <w:r>
                <w:rPr>
                  <w:rFonts w:asciiTheme="minorHAnsi" w:eastAsiaTheme="minorEastAsia" w:hAnsiTheme="minorHAnsi"/>
                  <w:sz w:val="22"/>
                </w:rPr>
                <w:tab/>
              </w:r>
              <w:r w:rsidRPr="00E54F3B">
                <w:rPr>
                  <w:rStyle w:val="Hyperlink"/>
                  <w:rFonts w:cs="Times New Roman"/>
                  <w:i/>
                </w:rPr>
                <w:t>Summary on Stage-Two Policy Arguments</w:t>
              </w:r>
              <w:r>
                <w:tab/>
              </w:r>
            </w:hyperlink>
            <w:r>
              <w:rPr>
                <w:rStyle w:val="Hyperlink"/>
              </w:rPr>
              <w:t>102</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53" w:history="1">
              <w:r w:rsidRPr="00E54F3B">
                <w:rPr>
                  <w:rStyle w:val="Hyperlink"/>
                  <w:rFonts w:cs="Times New Roman"/>
                </w:rPr>
                <w:t>D.</w:t>
              </w:r>
              <w:r>
                <w:rPr>
                  <w:rFonts w:asciiTheme="minorHAnsi" w:eastAsiaTheme="minorEastAsia" w:hAnsiTheme="minorHAnsi"/>
                  <w:sz w:val="22"/>
                </w:rPr>
                <w:tab/>
              </w:r>
              <w:r w:rsidRPr="00E54F3B">
                <w:rPr>
                  <w:rStyle w:val="Hyperlink"/>
                  <w:rFonts w:cs="Times New Roman"/>
                  <w:i/>
                </w:rPr>
                <w:t>Failure to Warn</w:t>
              </w:r>
              <w:r>
                <w:tab/>
              </w:r>
            </w:hyperlink>
            <w:r>
              <w:rPr>
                <w:rStyle w:val="Hyperlink"/>
              </w:rPr>
              <w:t>103</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54" w:history="1">
              <w:r w:rsidRPr="00E54F3B">
                <w:rPr>
                  <w:rStyle w:val="Hyperlink"/>
                  <w:rFonts w:cs="Times New Roman"/>
                </w:rPr>
                <w:t>(1)</w:t>
              </w:r>
              <w:r>
                <w:rPr>
                  <w:rFonts w:asciiTheme="minorHAnsi" w:eastAsiaTheme="minorEastAsia" w:hAnsiTheme="minorHAnsi"/>
                  <w:sz w:val="22"/>
                </w:rPr>
                <w:tab/>
              </w:r>
              <w:r w:rsidRPr="00E54F3B">
                <w:rPr>
                  <w:rStyle w:val="Hyperlink"/>
                  <w:rFonts w:cs="Times New Roman"/>
                </w:rPr>
                <w:t>Labelling Claim</w:t>
              </w:r>
              <w:r>
                <w:tab/>
              </w:r>
            </w:hyperlink>
            <w:r>
              <w:rPr>
                <w:rStyle w:val="Hyperlink"/>
              </w:rPr>
              <w:t>104</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55" w:history="1">
              <w:r w:rsidRPr="00E54F3B">
                <w:rPr>
                  <w:rStyle w:val="Hyperlink"/>
                  <w:rFonts w:cs="Times New Roman"/>
                </w:rPr>
                <w:t>(2)</w:t>
              </w:r>
              <w:r>
                <w:rPr>
                  <w:rFonts w:asciiTheme="minorHAnsi" w:eastAsiaTheme="minorEastAsia" w:hAnsiTheme="minorHAnsi"/>
                  <w:sz w:val="22"/>
                </w:rPr>
                <w:tab/>
              </w:r>
              <w:r w:rsidRPr="00E54F3B">
                <w:rPr>
                  <w:rStyle w:val="Hyperlink"/>
                  <w:rFonts w:cs="Times New Roman"/>
                </w:rPr>
                <w:t>Failure to Warn Imperial About Health Hazards</w:t>
              </w:r>
              <w:r>
                <w:tab/>
              </w:r>
            </w:hyperlink>
            <w:r>
              <w:rPr>
                <w:rStyle w:val="Hyperlink"/>
              </w:rPr>
              <w:t>106</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56" w:history="1">
              <w:r w:rsidRPr="00E54F3B">
                <w:rPr>
                  <w:rStyle w:val="Hyperlink"/>
                  <w:rFonts w:cs="Times New Roman"/>
                </w:rPr>
                <w:t>E.</w:t>
              </w:r>
              <w:r>
                <w:rPr>
                  <w:rFonts w:asciiTheme="minorHAnsi" w:eastAsiaTheme="minorEastAsia" w:hAnsiTheme="minorHAnsi"/>
                  <w:sz w:val="22"/>
                </w:rPr>
                <w:tab/>
              </w:r>
              <w:r w:rsidRPr="00E54F3B">
                <w:rPr>
                  <w:rStyle w:val="Hyperlink"/>
                  <w:rFonts w:cs="Times New Roman"/>
                  <w:i/>
                </w:rPr>
                <w:t>Negligent Design</w:t>
              </w:r>
              <w:r>
                <w:tab/>
              </w:r>
            </w:hyperlink>
            <w:r>
              <w:rPr>
                <w:rStyle w:val="Hyperlink"/>
              </w:rPr>
              <w:t>110</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57" w:history="1">
              <w:r w:rsidRPr="00E54F3B">
                <w:rPr>
                  <w:rStyle w:val="Hyperlink"/>
                  <w:rFonts w:cs="Times New Roman"/>
                </w:rPr>
                <w:t>(1)</w:t>
              </w:r>
              <w:r>
                <w:rPr>
                  <w:rFonts w:asciiTheme="minorHAnsi" w:eastAsiaTheme="minorEastAsia" w:hAnsiTheme="minorHAnsi"/>
                  <w:sz w:val="22"/>
                </w:rPr>
                <w:tab/>
              </w:r>
              <w:r w:rsidRPr="00E54F3B">
                <w:rPr>
                  <w:rStyle w:val="Hyperlink"/>
                  <w:rFonts w:cs="Times New Roman"/>
                  <w:i/>
                </w:rPr>
                <w:t>Prima Facie</w:t>
              </w:r>
              <w:r w:rsidRPr="00E54F3B">
                <w:rPr>
                  <w:rStyle w:val="Hyperlink"/>
                  <w:rFonts w:cs="Times New Roman"/>
                </w:rPr>
                <w:t xml:space="preserve"> Duty of Care</w:t>
              </w:r>
              <w:r>
                <w:tab/>
              </w:r>
            </w:hyperlink>
            <w:r>
              <w:rPr>
                <w:rStyle w:val="Hyperlink"/>
              </w:rPr>
              <w:t>112</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58" w:history="1">
              <w:r w:rsidRPr="00E54F3B">
                <w:rPr>
                  <w:rStyle w:val="Hyperlink"/>
                  <w:rFonts w:cs="Times New Roman"/>
                </w:rPr>
                <w:t>(2)</w:t>
              </w:r>
              <w:r>
                <w:rPr>
                  <w:rFonts w:asciiTheme="minorHAnsi" w:eastAsiaTheme="minorEastAsia" w:hAnsiTheme="minorHAnsi"/>
                  <w:sz w:val="22"/>
                </w:rPr>
                <w:tab/>
              </w:r>
              <w:r w:rsidRPr="00E54F3B">
                <w:rPr>
                  <w:rStyle w:val="Hyperlink"/>
                  <w:rFonts w:cs="Times New Roman"/>
                </w:rPr>
                <w:t>Stage-Two Policy Considerations</w:t>
              </w:r>
              <w:r>
                <w:tab/>
              </w:r>
            </w:hyperlink>
            <w:r>
              <w:rPr>
                <w:rStyle w:val="Hyperlink"/>
              </w:rPr>
              <w:t>116</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59" w:history="1">
              <w:r w:rsidRPr="00E54F3B">
                <w:rPr>
                  <w:rStyle w:val="Hyperlink"/>
                  <w:rFonts w:cs="Times New Roman"/>
                </w:rPr>
                <w:t>F.</w:t>
              </w:r>
              <w:r>
                <w:rPr>
                  <w:rFonts w:asciiTheme="minorHAnsi" w:eastAsiaTheme="minorEastAsia" w:hAnsiTheme="minorHAnsi"/>
                  <w:sz w:val="22"/>
                </w:rPr>
                <w:tab/>
              </w:r>
              <w:r w:rsidRPr="00E54F3B">
                <w:rPr>
                  <w:rStyle w:val="Hyperlink"/>
                  <w:rFonts w:cs="Times New Roman"/>
                  <w:i/>
                </w:rPr>
                <w:t>The Direct Claims Under the Costs Recovery Acts</w:t>
              </w:r>
              <w:r>
                <w:tab/>
              </w:r>
            </w:hyperlink>
            <w:r>
              <w:rPr>
                <w:rStyle w:val="Hyperlink"/>
              </w:rPr>
              <w:t>117</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60" w:history="1">
              <w:r w:rsidRPr="00E54F3B">
                <w:rPr>
                  <w:rStyle w:val="Hyperlink"/>
                  <w:rFonts w:cs="Times New Roman"/>
                </w:rPr>
                <w:t>(1)</w:t>
              </w:r>
              <w:r>
                <w:rPr>
                  <w:rFonts w:asciiTheme="minorHAnsi" w:eastAsiaTheme="minorEastAsia" w:hAnsiTheme="minorHAnsi"/>
                  <w:sz w:val="22"/>
                </w:rPr>
                <w:tab/>
              </w:r>
              <w:r w:rsidRPr="00E54F3B">
                <w:rPr>
                  <w:rStyle w:val="Hyperlink"/>
                  <w:rFonts w:cs="Times New Roman"/>
                </w:rPr>
                <w:t xml:space="preserve">Could Canada Qualify as a Manufacturer Under the </w:t>
              </w:r>
              <w:r w:rsidRPr="00E54F3B">
                <w:rPr>
                  <w:rStyle w:val="Hyperlink"/>
                  <w:rFonts w:cs="Times New Roman"/>
                  <w:i/>
                </w:rPr>
                <w:t xml:space="preserve">Tobacco </w:t>
              </w:r>
              <w:r w:rsidR="00787938">
                <w:rPr>
                  <w:rStyle w:val="Hyperlink"/>
                  <w:rFonts w:cs="Times New Roman"/>
                  <w:i/>
                </w:rPr>
                <w:br/>
              </w:r>
              <w:r w:rsidRPr="00E54F3B">
                <w:rPr>
                  <w:rStyle w:val="Hyperlink"/>
                  <w:rFonts w:cs="Times New Roman"/>
                  <w:i/>
                </w:rPr>
                <w:t>Damages</w:t>
              </w:r>
              <w:r w:rsidR="00787938">
                <w:rPr>
                  <w:rStyle w:val="Hyperlink"/>
                  <w:rFonts w:cs="Times New Roman"/>
                  <w:i/>
                </w:rPr>
                <w:t xml:space="preserve"> </w:t>
              </w:r>
              <w:r w:rsidRPr="00E54F3B">
                <w:rPr>
                  <w:rStyle w:val="Hyperlink"/>
                  <w:rFonts w:cs="Times New Roman"/>
                  <w:i/>
                </w:rPr>
                <w:t>and Health Care Costs Recovery Act</w:t>
              </w:r>
              <w:r w:rsidRPr="00E54F3B">
                <w:rPr>
                  <w:rStyle w:val="Hyperlink"/>
                  <w:rFonts w:cs="Times New Roman"/>
                </w:rPr>
                <w:t>?</w:t>
              </w:r>
              <w:r>
                <w:tab/>
              </w:r>
            </w:hyperlink>
            <w:r>
              <w:rPr>
                <w:rStyle w:val="Hyperlink"/>
              </w:rPr>
              <w:t>121</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61" w:history="1">
              <w:r w:rsidRPr="00E54F3B">
                <w:rPr>
                  <w:rStyle w:val="Hyperlink"/>
                  <w:rFonts w:cs="Times New Roman"/>
                </w:rPr>
                <w:t>(a)</w:t>
              </w:r>
              <w:r>
                <w:rPr>
                  <w:rFonts w:asciiTheme="minorHAnsi" w:eastAsiaTheme="minorEastAsia" w:hAnsiTheme="minorHAnsi"/>
                  <w:sz w:val="22"/>
                </w:rPr>
                <w:tab/>
              </w:r>
              <w:r w:rsidRPr="00E54F3B">
                <w:rPr>
                  <w:rStyle w:val="Hyperlink"/>
                  <w:rFonts w:cs="Times New Roman"/>
                  <w:i/>
                </w:rPr>
                <w:t>Text of the Statute</w:t>
              </w:r>
              <w:r>
                <w:tab/>
              </w:r>
            </w:hyperlink>
            <w:r>
              <w:rPr>
                <w:rStyle w:val="Hyperlink"/>
              </w:rPr>
              <w:t>122</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62" w:history="1">
              <w:r w:rsidRPr="00E54F3B">
                <w:rPr>
                  <w:rStyle w:val="Hyperlink"/>
                  <w:rFonts w:cs="Times New Roman"/>
                </w:rPr>
                <w:t>(b)</w:t>
              </w:r>
              <w:r>
                <w:rPr>
                  <w:rFonts w:asciiTheme="minorHAnsi" w:eastAsiaTheme="minorEastAsia" w:hAnsiTheme="minorHAnsi"/>
                  <w:sz w:val="22"/>
                </w:rPr>
                <w:tab/>
              </w:r>
              <w:r w:rsidRPr="00E54F3B">
                <w:rPr>
                  <w:rStyle w:val="Hyperlink"/>
                  <w:rFonts w:cs="Times New Roman"/>
                  <w:i/>
                </w:rPr>
                <w:t>Legislative Intention</w:t>
              </w:r>
              <w:r>
                <w:tab/>
              </w:r>
            </w:hyperlink>
            <w:r>
              <w:rPr>
                <w:rStyle w:val="Hyperlink"/>
              </w:rPr>
              <w:t>127</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63" w:history="1">
              <w:r w:rsidRPr="00E54F3B">
                <w:rPr>
                  <w:rStyle w:val="Hyperlink"/>
                  <w:rFonts w:cs="Times New Roman"/>
                </w:rPr>
                <w:t>(c)</w:t>
              </w:r>
              <w:r>
                <w:rPr>
                  <w:rFonts w:asciiTheme="minorHAnsi" w:eastAsiaTheme="minorEastAsia" w:hAnsiTheme="minorHAnsi"/>
                  <w:sz w:val="22"/>
                </w:rPr>
                <w:tab/>
              </w:r>
              <w:r w:rsidRPr="00E54F3B">
                <w:rPr>
                  <w:rStyle w:val="Hyperlink"/>
                  <w:rFonts w:cs="Times New Roman"/>
                  <w:i/>
                </w:rPr>
                <w:t>Broader Context</w:t>
              </w:r>
              <w:r>
                <w:tab/>
              </w:r>
            </w:hyperlink>
            <w:r>
              <w:rPr>
                <w:rStyle w:val="Hyperlink"/>
              </w:rPr>
              <w:t>129</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64" w:history="1">
              <w:r w:rsidRPr="00E54F3B">
                <w:rPr>
                  <w:rStyle w:val="Hyperlink"/>
                  <w:rFonts w:cs="Times New Roman"/>
                </w:rPr>
                <w:t>(d)</w:t>
              </w:r>
              <w:r>
                <w:rPr>
                  <w:rFonts w:asciiTheme="minorHAnsi" w:eastAsiaTheme="minorEastAsia" w:hAnsiTheme="minorHAnsi"/>
                  <w:sz w:val="22"/>
                </w:rPr>
                <w:tab/>
              </w:r>
              <w:r w:rsidRPr="00E54F3B">
                <w:rPr>
                  <w:rStyle w:val="Hyperlink"/>
                  <w:rFonts w:cs="Times New Roman"/>
                  <w:i/>
                </w:rPr>
                <w:t>Summary</w:t>
              </w:r>
              <w:r>
                <w:tab/>
              </w:r>
            </w:hyperlink>
            <w:r>
              <w:rPr>
                <w:rStyle w:val="Hyperlink"/>
              </w:rPr>
              <w:t>132</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65" w:history="1">
              <w:r w:rsidRPr="00E54F3B">
                <w:rPr>
                  <w:rStyle w:val="Hyperlink"/>
                  <w:rFonts w:cs="Times New Roman"/>
                </w:rPr>
                <w:t>(2)</w:t>
              </w:r>
              <w:r>
                <w:rPr>
                  <w:rFonts w:asciiTheme="minorHAnsi" w:eastAsiaTheme="minorEastAsia" w:hAnsiTheme="minorHAnsi"/>
                  <w:sz w:val="22"/>
                </w:rPr>
                <w:tab/>
              </w:r>
              <w:r w:rsidRPr="00E54F3B">
                <w:rPr>
                  <w:rStyle w:val="Hyperlink"/>
                  <w:rFonts w:cs="Times New Roman"/>
                </w:rPr>
                <w:t xml:space="preserve">Could Canada Be Found Liable Under the </w:t>
              </w:r>
              <w:r w:rsidRPr="00E54F3B">
                <w:rPr>
                  <w:rStyle w:val="Hyperlink"/>
                  <w:rFonts w:cs="Times New Roman"/>
                  <w:i/>
                </w:rPr>
                <w:t xml:space="preserve">Health Care Costs Recovery </w:t>
              </w:r>
              <w:r w:rsidR="00787938">
                <w:rPr>
                  <w:rStyle w:val="Hyperlink"/>
                  <w:rFonts w:cs="Times New Roman"/>
                  <w:i/>
                </w:rPr>
                <w:br/>
              </w:r>
              <w:r w:rsidRPr="00E54F3B">
                <w:rPr>
                  <w:rStyle w:val="Hyperlink"/>
                  <w:rFonts w:cs="Times New Roman"/>
                  <w:i/>
                </w:rPr>
                <w:t>Act</w:t>
              </w:r>
              <w:r w:rsidRPr="00E54F3B">
                <w:rPr>
                  <w:rStyle w:val="Hyperlink"/>
                  <w:rFonts w:cs="Times New Roman"/>
                </w:rPr>
                <w:t>?</w:t>
              </w:r>
              <w:r>
                <w:tab/>
              </w:r>
            </w:hyperlink>
            <w:r>
              <w:rPr>
                <w:rStyle w:val="Hyperlink"/>
              </w:rPr>
              <w:t>133</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66" w:history="1">
              <w:r w:rsidRPr="00E54F3B">
                <w:rPr>
                  <w:rStyle w:val="Hyperlink"/>
                  <w:rFonts w:cs="Times New Roman"/>
                </w:rPr>
                <w:t>(3)</w:t>
              </w:r>
              <w:r>
                <w:rPr>
                  <w:rFonts w:asciiTheme="minorHAnsi" w:eastAsiaTheme="minorEastAsia" w:hAnsiTheme="minorHAnsi"/>
                  <w:sz w:val="22"/>
                </w:rPr>
                <w:tab/>
              </w:r>
              <w:r w:rsidRPr="00E54F3B">
                <w:rPr>
                  <w:rStyle w:val="Hyperlink"/>
                  <w:rFonts w:cs="Times New Roman"/>
                </w:rPr>
                <w:t xml:space="preserve">Could Canada Be Liable for Contribution Under the </w:t>
              </w:r>
              <w:r w:rsidRPr="00E54F3B">
                <w:rPr>
                  <w:rStyle w:val="Hyperlink"/>
                  <w:rFonts w:cs="Times New Roman"/>
                  <w:i/>
                </w:rPr>
                <w:t>Negligence Act</w:t>
              </w:r>
              <w:r w:rsidRPr="00E54F3B">
                <w:rPr>
                  <w:rStyle w:val="Hyperlink"/>
                  <w:rFonts w:cs="Times New Roman"/>
                </w:rPr>
                <w:t xml:space="preserve"> </w:t>
              </w:r>
              <w:r>
                <w:rPr>
                  <w:rStyle w:val="Hyperlink"/>
                  <w:rFonts w:cs="Times New Roman"/>
                </w:rPr>
                <w:br/>
              </w:r>
              <w:r w:rsidRPr="00E54F3B">
                <w:rPr>
                  <w:rStyle w:val="Hyperlink"/>
                  <w:rFonts w:cs="Times New Roman"/>
                </w:rPr>
                <w:t>if It Is Not Directly Liable to British Columbia?</w:t>
              </w:r>
              <w:r>
                <w:tab/>
              </w:r>
            </w:hyperlink>
            <w:r>
              <w:rPr>
                <w:rStyle w:val="Hyperlink"/>
              </w:rPr>
              <w:t>135</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67" w:history="1">
              <w:r w:rsidRPr="00E54F3B">
                <w:rPr>
                  <w:rStyle w:val="Hyperlink"/>
                  <w:rFonts w:cs="Times New Roman"/>
                </w:rPr>
                <w:t>(4)</w:t>
              </w:r>
              <w:r>
                <w:rPr>
                  <w:rFonts w:asciiTheme="minorHAnsi" w:eastAsiaTheme="minorEastAsia" w:hAnsiTheme="minorHAnsi"/>
                  <w:sz w:val="22"/>
                </w:rPr>
                <w:tab/>
              </w:r>
              <w:r w:rsidRPr="00E54F3B">
                <w:rPr>
                  <w:rStyle w:val="Hyperlink"/>
                  <w:rFonts w:cs="Times New Roman"/>
                </w:rPr>
                <w:t>Could Canada Be Liable for Common Law Contribution?</w:t>
              </w:r>
              <w:r>
                <w:tab/>
              </w:r>
            </w:hyperlink>
            <w:r>
              <w:rPr>
                <w:rStyle w:val="Hyperlink"/>
              </w:rPr>
              <w:t>138</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68" w:history="1">
              <w:r w:rsidRPr="00E54F3B">
                <w:rPr>
                  <w:rStyle w:val="Hyperlink"/>
                  <w:rFonts w:cs="Times New Roman"/>
                </w:rPr>
                <w:t>G.</w:t>
              </w:r>
              <w:r>
                <w:rPr>
                  <w:rFonts w:asciiTheme="minorHAnsi" w:eastAsiaTheme="minorEastAsia" w:hAnsiTheme="minorHAnsi"/>
                  <w:sz w:val="22"/>
                </w:rPr>
                <w:tab/>
              </w:r>
              <w:r w:rsidRPr="00E54F3B">
                <w:rPr>
                  <w:rStyle w:val="Hyperlink"/>
                  <w:rFonts w:cs="Times New Roman"/>
                  <w:i/>
                </w:rPr>
                <w:t>Liability Under the</w:t>
              </w:r>
              <w:r w:rsidRPr="00E54F3B">
                <w:rPr>
                  <w:rStyle w:val="Hyperlink"/>
                  <w:rFonts w:cs="Times New Roman"/>
                </w:rPr>
                <w:t xml:space="preserve"> </w:t>
              </w:r>
              <w:r w:rsidRPr="00E54F3B">
                <w:rPr>
                  <w:rStyle w:val="Hyperlink"/>
                  <w:rFonts w:cs="Times New Roman"/>
                  <w:i/>
                </w:rPr>
                <w:t xml:space="preserve">Trade Practice Act and the Business Practices and </w:t>
              </w:r>
              <w:r w:rsidR="00787938">
                <w:rPr>
                  <w:rStyle w:val="Hyperlink"/>
                  <w:rFonts w:cs="Times New Roman"/>
                  <w:i/>
                </w:rPr>
                <w:br/>
              </w:r>
              <w:r w:rsidRPr="00E54F3B">
                <w:rPr>
                  <w:rStyle w:val="Hyperlink"/>
                  <w:rFonts w:cs="Times New Roman"/>
                  <w:i/>
                </w:rPr>
                <w:t>Consumer Protection Act</w:t>
              </w:r>
              <w:r>
                <w:tab/>
              </w:r>
            </w:hyperlink>
            <w:r>
              <w:rPr>
                <w:rStyle w:val="Hyperlink"/>
              </w:rPr>
              <w:t>140</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69" w:history="1">
              <w:r w:rsidRPr="00E54F3B">
                <w:rPr>
                  <w:rStyle w:val="Hyperlink"/>
                  <w:rFonts w:cs="Times New Roman"/>
                </w:rPr>
                <w:t>H.</w:t>
              </w:r>
              <w:r>
                <w:rPr>
                  <w:rFonts w:asciiTheme="minorHAnsi" w:eastAsiaTheme="minorEastAsia" w:hAnsiTheme="minorHAnsi"/>
                  <w:sz w:val="22"/>
                </w:rPr>
                <w:tab/>
              </w:r>
              <w:r w:rsidRPr="00E54F3B">
                <w:rPr>
                  <w:rStyle w:val="Hyperlink"/>
                  <w:rFonts w:cs="Times New Roman"/>
                  <w:i/>
                </w:rPr>
                <w:t>The Claim for Equitable Indemnity</w:t>
              </w:r>
              <w:r>
                <w:tab/>
              </w:r>
            </w:hyperlink>
            <w:r>
              <w:rPr>
                <w:rStyle w:val="Hyperlink"/>
              </w:rPr>
              <w:t>146</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70" w:history="1">
              <w:r w:rsidRPr="00E54F3B">
                <w:rPr>
                  <w:rStyle w:val="Hyperlink"/>
                  <w:rFonts w:cs="Times New Roman"/>
                </w:rPr>
                <w:t>I.</w:t>
              </w:r>
              <w:r>
                <w:rPr>
                  <w:rFonts w:asciiTheme="minorHAnsi" w:eastAsiaTheme="minorEastAsia" w:hAnsiTheme="minorHAnsi"/>
                  <w:sz w:val="22"/>
                </w:rPr>
                <w:tab/>
              </w:r>
              <w:r w:rsidRPr="00E54F3B">
                <w:rPr>
                  <w:rStyle w:val="Hyperlink"/>
                  <w:rFonts w:cs="Times New Roman"/>
                  <w:i/>
                </w:rPr>
                <w:t>Procedural Considerations</w:t>
              </w:r>
              <w:r>
                <w:tab/>
              </w:r>
            </w:hyperlink>
            <w:r>
              <w:rPr>
                <w:rStyle w:val="Hyperlink"/>
              </w:rPr>
              <w:t>149</w:t>
            </w:r>
          </w:p>
          <w:p w:rsidR="00263DED" w:rsidRDefault="00263DED" w:rsidP="00263DED">
            <w:pPr>
              <w:pStyle w:val="TOC1"/>
              <w:tabs>
                <w:tab w:val="clear" w:pos="7200"/>
                <w:tab w:val="right" w:leader="dot" w:pos="7920"/>
              </w:tabs>
              <w:rPr>
                <w:rFonts w:asciiTheme="minorHAnsi" w:eastAsiaTheme="minorEastAsia" w:hAnsiTheme="minorHAnsi"/>
                <w:sz w:val="22"/>
              </w:rPr>
            </w:pPr>
            <w:hyperlink w:anchor="_Toc314733771" w:history="1">
              <w:r w:rsidRPr="00E54F3B">
                <w:rPr>
                  <w:rStyle w:val="Hyperlink"/>
                  <w:rFonts w:cs="Times New Roman"/>
                </w:rPr>
                <w:t>V.</w:t>
              </w:r>
              <w:r>
                <w:rPr>
                  <w:rFonts w:asciiTheme="minorHAnsi" w:eastAsiaTheme="minorEastAsia" w:hAnsiTheme="minorHAnsi"/>
                  <w:sz w:val="22"/>
                </w:rPr>
                <w:tab/>
              </w:r>
              <w:r w:rsidRPr="00E54F3B">
                <w:rPr>
                  <w:rStyle w:val="Hyperlink"/>
                  <w:rFonts w:cs="Times New Roman"/>
                </w:rPr>
                <w:t>Conclusion</w:t>
              </w:r>
              <w:r>
                <w:tab/>
              </w:r>
            </w:hyperlink>
            <w:r>
              <w:rPr>
                <w:rStyle w:val="Hyperlink"/>
              </w:rPr>
              <w:t>151</w:t>
            </w:r>
          </w:p>
          <w:p w:rsidR="00263DED" w:rsidRPr="00CC5894" w:rsidRDefault="00263DED" w:rsidP="00787938">
            <w:pPr>
              <w:tabs>
                <w:tab w:val="left" w:pos="720"/>
                <w:tab w:val="right" w:leader="dot" w:pos="7920"/>
                <w:tab w:val="right" w:leader="dot" w:pos="8266"/>
              </w:tabs>
              <w:spacing w:before="120"/>
              <w:ind w:left="720" w:hanging="720"/>
              <w:rPr>
                <w:rFonts w:eastAsia="Times New Roman" w:cs="Times New Roman"/>
                <w:szCs w:val="20"/>
                <w:lang w:eastAsia="en-CA"/>
              </w:rPr>
            </w:pPr>
            <w:r w:rsidRPr="00CC5894">
              <w:rPr>
                <w:rFonts w:eastAsia="Times New Roman" w:cs="Times New Roman"/>
                <w:szCs w:val="20"/>
                <w:lang w:val="en-CA" w:eastAsia="en-CA"/>
              </w:rPr>
              <w:fldChar w:fldCharType="end"/>
            </w:r>
          </w:p>
        </w:tc>
      </w:tr>
    </w:tbl>
    <w:p w:rsidR="003C1A7E" w:rsidRDefault="003C1A7E" w:rsidP="0066330D">
      <w:pPr>
        <w:pStyle w:val="TitleTitre-AltT"/>
        <w:tabs>
          <w:tab w:val="clear" w:pos="360"/>
          <w:tab w:val="left" w:pos="540"/>
        </w:tabs>
        <w:ind w:left="540" w:hanging="540"/>
        <w:rPr>
          <w:rFonts w:cs="Times New Roman"/>
          <w:szCs w:val="24"/>
        </w:rPr>
      </w:pPr>
    </w:p>
    <w:p w:rsidR="007E0ED5" w:rsidRPr="00D910D8" w:rsidRDefault="00880E3F" w:rsidP="0066330D">
      <w:pPr>
        <w:pStyle w:val="TitleTitre-AltT"/>
        <w:tabs>
          <w:tab w:val="clear" w:pos="360"/>
          <w:tab w:val="left" w:pos="540"/>
        </w:tabs>
        <w:ind w:left="540" w:hanging="540"/>
        <w:rPr>
          <w:rFonts w:cs="Times New Roman"/>
          <w:szCs w:val="24"/>
        </w:rPr>
      </w:pPr>
      <w:bookmarkStart w:id="0" w:name="_Toc314733735"/>
      <w:r w:rsidRPr="00D910D8">
        <w:rPr>
          <w:rFonts w:cs="Times New Roman"/>
          <w:szCs w:val="24"/>
        </w:rPr>
        <w:t>I</w:t>
      </w:r>
      <w:r w:rsidR="00FC58DA" w:rsidRPr="00D910D8">
        <w:rPr>
          <w:rFonts w:cs="Times New Roman"/>
          <w:szCs w:val="24"/>
        </w:rPr>
        <w:t>.</w:t>
      </w:r>
      <w:r w:rsidR="00FC58DA" w:rsidRPr="00D910D8">
        <w:rPr>
          <w:rFonts w:cs="Times New Roman"/>
          <w:szCs w:val="24"/>
        </w:rPr>
        <w:tab/>
      </w:r>
      <w:r w:rsidR="007E0ED5" w:rsidRPr="00D910D8">
        <w:rPr>
          <w:rFonts w:cs="Times New Roman"/>
          <w:szCs w:val="24"/>
          <w:u w:val="single"/>
        </w:rPr>
        <w:t>Introduction</w:t>
      </w:r>
      <w:bookmarkEnd w:id="0"/>
    </w:p>
    <w:p w:rsidR="000B0B7C" w:rsidRPr="00D910D8" w:rsidRDefault="007E0ED5" w:rsidP="006D4C46">
      <w:pPr>
        <w:pStyle w:val="ParaNoNdepar-AltN"/>
        <w:numPr>
          <w:ilvl w:val="0"/>
          <w:numId w:val="37"/>
        </w:numPr>
        <w:rPr>
          <w:rFonts w:cs="Times New Roman"/>
          <w:szCs w:val="24"/>
        </w:rPr>
      </w:pPr>
      <w:bookmarkStart w:id="1" w:name="_Ref314733643"/>
      <w:r w:rsidRPr="00D910D8">
        <w:rPr>
          <w:rFonts w:cs="Times New Roman"/>
          <w:szCs w:val="24"/>
        </w:rPr>
        <w:t xml:space="preserve">Imperial Tobacco </w:t>
      </w:r>
      <w:r w:rsidR="00917B1F" w:rsidRPr="00D910D8">
        <w:rPr>
          <w:rFonts w:cs="Times New Roman"/>
          <w:szCs w:val="24"/>
        </w:rPr>
        <w:t xml:space="preserve">Canada Ltd. </w:t>
      </w:r>
      <w:r w:rsidR="00F16C1C" w:rsidRPr="00D910D8">
        <w:rPr>
          <w:rFonts w:cs="Times New Roman"/>
          <w:szCs w:val="24"/>
        </w:rPr>
        <w:t>(“Imperial”)</w:t>
      </w:r>
      <w:r w:rsidR="00F16C1C" w:rsidRPr="00D910D8">
        <w:rPr>
          <w:rFonts w:cs="Times New Roman"/>
          <w:i/>
          <w:szCs w:val="24"/>
        </w:rPr>
        <w:t xml:space="preserve"> </w:t>
      </w:r>
      <w:r w:rsidRPr="00D910D8">
        <w:rPr>
          <w:rFonts w:cs="Times New Roman"/>
          <w:szCs w:val="24"/>
        </w:rPr>
        <w:t xml:space="preserve">is </w:t>
      </w:r>
      <w:r w:rsidR="00503647" w:rsidRPr="00D910D8">
        <w:rPr>
          <w:rFonts w:cs="Times New Roman"/>
          <w:szCs w:val="24"/>
        </w:rPr>
        <w:t>a</w:t>
      </w:r>
      <w:r w:rsidR="002606F8" w:rsidRPr="00D910D8">
        <w:rPr>
          <w:rFonts w:cs="Times New Roman"/>
          <w:szCs w:val="24"/>
        </w:rPr>
        <w:t xml:space="preserve"> defendant in two cases before the courts in British Columbia,</w:t>
      </w:r>
      <w:r w:rsidR="002606F8" w:rsidRPr="00D910D8">
        <w:rPr>
          <w:rFonts w:cs="Times New Roman"/>
          <w:i/>
          <w:szCs w:val="24"/>
        </w:rPr>
        <w:t xml:space="preserve"> British Columbia</w:t>
      </w:r>
      <w:r w:rsidR="00E94CD5" w:rsidRPr="00D910D8">
        <w:rPr>
          <w:rFonts w:cs="Times New Roman"/>
          <w:i/>
          <w:szCs w:val="24"/>
        </w:rPr>
        <w:t xml:space="preserve"> </w:t>
      </w:r>
      <w:r w:rsidR="002606F8" w:rsidRPr="00D910D8">
        <w:rPr>
          <w:rFonts w:cs="Times New Roman"/>
          <w:i/>
          <w:szCs w:val="24"/>
        </w:rPr>
        <w:t>v. Imperial Tobacco Canada Ltd.</w:t>
      </w:r>
      <w:r w:rsidR="002606F8" w:rsidRPr="00D910D8">
        <w:rPr>
          <w:rFonts w:cs="Times New Roman"/>
          <w:szCs w:val="24"/>
        </w:rPr>
        <w:t xml:space="preserve">, </w:t>
      </w:r>
      <w:r w:rsidR="00E94CD5" w:rsidRPr="00D910D8">
        <w:rPr>
          <w:rFonts w:cs="Times New Roman"/>
          <w:szCs w:val="24"/>
        </w:rPr>
        <w:t>Docket: S010421</w:t>
      </w:r>
      <w:r w:rsidR="00880E3F" w:rsidRPr="00D910D8">
        <w:rPr>
          <w:rFonts w:cs="Times New Roman"/>
          <w:szCs w:val="24"/>
        </w:rPr>
        <w:t xml:space="preserve">, </w:t>
      </w:r>
      <w:r w:rsidR="002606F8" w:rsidRPr="00D910D8">
        <w:rPr>
          <w:rFonts w:cs="Times New Roman"/>
          <w:szCs w:val="24"/>
        </w:rPr>
        <w:t xml:space="preserve">and </w:t>
      </w:r>
      <w:r w:rsidR="002606F8" w:rsidRPr="00D910D8">
        <w:rPr>
          <w:rFonts w:cs="Times New Roman"/>
          <w:i/>
          <w:szCs w:val="24"/>
        </w:rPr>
        <w:t>Knight v. Imperial Tobacco Canada Ltd.</w:t>
      </w:r>
      <w:r w:rsidR="002606F8" w:rsidRPr="00D910D8">
        <w:rPr>
          <w:rFonts w:cs="Times New Roman"/>
          <w:szCs w:val="24"/>
        </w:rPr>
        <w:t xml:space="preserve">, </w:t>
      </w:r>
      <w:r w:rsidR="00E94CD5" w:rsidRPr="00D910D8">
        <w:rPr>
          <w:rFonts w:cs="Times New Roman"/>
          <w:szCs w:val="24"/>
        </w:rPr>
        <w:t>Docket:  L031300</w:t>
      </w:r>
      <w:r w:rsidR="002606F8" w:rsidRPr="00D910D8">
        <w:rPr>
          <w:rFonts w:cs="Times New Roman"/>
          <w:szCs w:val="24"/>
        </w:rPr>
        <w:t>.  In the first case, the Government of British Columbia is seeking to recover the cost of paying for the medical treatment of individuals suffering from tobacco</w:t>
      </w:r>
      <w:r w:rsidR="00880E3F" w:rsidRPr="00D910D8">
        <w:rPr>
          <w:rFonts w:cs="Times New Roman"/>
          <w:szCs w:val="24"/>
        </w:rPr>
        <w:t>-</w:t>
      </w:r>
      <w:r w:rsidR="002606F8" w:rsidRPr="00D910D8">
        <w:rPr>
          <w:rFonts w:cs="Times New Roman"/>
          <w:szCs w:val="24"/>
        </w:rPr>
        <w:t xml:space="preserve">related </w:t>
      </w:r>
      <w:r w:rsidR="009F2775" w:rsidRPr="00D910D8">
        <w:rPr>
          <w:rFonts w:cs="Times New Roman"/>
          <w:szCs w:val="24"/>
        </w:rPr>
        <w:t xml:space="preserve">illnesses from a group of </w:t>
      </w:r>
      <w:r w:rsidR="0000151D" w:rsidRPr="00D910D8">
        <w:rPr>
          <w:rFonts w:cs="Times New Roman"/>
          <w:szCs w:val="24"/>
        </w:rPr>
        <w:t>14</w:t>
      </w:r>
      <w:r w:rsidR="002606F8" w:rsidRPr="00D910D8">
        <w:rPr>
          <w:rFonts w:cs="Times New Roman"/>
          <w:szCs w:val="24"/>
        </w:rPr>
        <w:t xml:space="preserve"> tobacco compa</w:t>
      </w:r>
      <w:r w:rsidR="00E94CD5" w:rsidRPr="00D910D8">
        <w:rPr>
          <w:rFonts w:cs="Times New Roman"/>
          <w:szCs w:val="24"/>
        </w:rPr>
        <w:t>nies, including Imperial</w:t>
      </w:r>
      <w:r w:rsidR="002606F8" w:rsidRPr="00D910D8">
        <w:rPr>
          <w:rFonts w:cs="Times New Roman"/>
          <w:szCs w:val="24"/>
        </w:rPr>
        <w:t xml:space="preserve"> (</w:t>
      </w:r>
      <w:r w:rsidR="00880E3F" w:rsidRPr="00D910D8">
        <w:rPr>
          <w:rFonts w:cs="Times New Roman"/>
          <w:szCs w:val="24"/>
        </w:rPr>
        <w:t>“</w:t>
      </w:r>
      <w:r w:rsidR="002606F8" w:rsidRPr="00D910D8">
        <w:rPr>
          <w:rFonts w:cs="Times New Roman"/>
          <w:i/>
          <w:szCs w:val="24"/>
        </w:rPr>
        <w:t xml:space="preserve">Costs Recovery </w:t>
      </w:r>
      <w:r w:rsidR="002606F8" w:rsidRPr="00D910D8">
        <w:rPr>
          <w:rFonts w:cs="Times New Roman"/>
          <w:szCs w:val="24"/>
        </w:rPr>
        <w:t>case</w:t>
      </w:r>
      <w:r w:rsidR="00883474" w:rsidRPr="00D910D8">
        <w:rPr>
          <w:rFonts w:cs="Times New Roman"/>
          <w:szCs w:val="24"/>
        </w:rPr>
        <w:t>”</w:t>
      </w:r>
      <w:r w:rsidR="002606F8" w:rsidRPr="00D910D8">
        <w:rPr>
          <w:rFonts w:cs="Times New Roman"/>
          <w:szCs w:val="24"/>
        </w:rPr>
        <w:t>).  The second case is a class action b</w:t>
      </w:r>
      <w:r w:rsidR="00E94CD5" w:rsidRPr="00D910D8">
        <w:rPr>
          <w:rFonts w:cs="Times New Roman"/>
          <w:szCs w:val="24"/>
        </w:rPr>
        <w:t xml:space="preserve">rought against Imperial </w:t>
      </w:r>
      <w:r w:rsidR="002606F8" w:rsidRPr="00D910D8">
        <w:rPr>
          <w:rFonts w:cs="Times New Roman"/>
          <w:szCs w:val="24"/>
        </w:rPr>
        <w:t xml:space="preserve">alone by </w:t>
      </w:r>
      <w:r w:rsidR="002606F8" w:rsidRPr="00D910D8">
        <w:rPr>
          <w:rFonts w:cs="Times New Roman"/>
          <w:szCs w:val="24"/>
        </w:rPr>
        <w:lastRenderedPageBreak/>
        <w:t>Mr. Knight on behalf of class members who purchased “light” or “mild” cigarettes, seeking a refund of the cost of the cigarettes and punitive damages (</w:t>
      </w:r>
      <w:r w:rsidR="00880E3F" w:rsidRPr="00D910D8">
        <w:rPr>
          <w:rFonts w:cs="Times New Roman"/>
          <w:szCs w:val="24"/>
        </w:rPr>
        <w:t>“</w:t>
      </w:r>
      <w:r w:rsidR="002606F8" w:rsidRPr="00D910D8">
        <w:rPr>
          <w:rFonts w:cs="Times New Roman"/>
          <w:i/>
          <w:szCs w:val="24"/>
        </w:rPr>
        <w:t xml:space="preserve">Knight </w:t>
      </w:r>
      <w:r w:rsidR="002606F8" w:rsidRPr="00D910D8">
        <w:rPr>
          <w:rFonts w:cs="Times New Roman"/>
          <w:szCs w:val="24"/>
        </w:rPr>
        <w:t>case</w:t>
      </w:r>
      <w:r w:rsidR="00883474" w:rsidRPr="00D910D8">
        <w:rPr>
          <w:rFonts w:cs="Times New Roman"/>
          <w:szCs w:val="24"/>
        </w:rPr>
        <w:t>”</w:t>
      </w:r>
      <w:r w:rsidR="00581B23" w:rsidRPr="00D910D8">
        <w:rPr>
          <w:rFonts w:cs="Times New Roman"/>
          <w:szCs w:val="24"/>
        </w:rPr>
        <w:t>).</w:t>
      </w:r>
      <w:bookmarkEnd w:id="1"/>
    </w:p>
    <w:p w:rsidR="007E0ED5" w:rsidRPr="00D910D8" w:rsidRDefault="002606F8" w:rsidP="00FC58DA">
      <w:pPr>
        <w:pStyle w:val="ParaNoNdepar-AltN"/>
        <w:rPr>
          <w:rFonts w:cs="Times New Roman"/>
          <w:szCs w:val="24"/>
        </w:rPr>
      </w:pPr>
      <w:r w:rsidRPr="00D910D8">
        <w:rPr>
          <w:rFonts w:cs="Times New Roman"/>
          <w:szCs w:val="24"/>
        </w:rPr>
        <w:t>In both cases, the tobacco companies issued third</w:t>
      </w:r>
      <w:r w:rsidR="00880E3F" w:rsidRPr="00D910D8">
        <w:rPr>
          <w:rFonts w:cs="Times New Roman"/>
          <w:szCs w:val="24"/>
        </w:rPr>
        <w:t>-</w:t>
      </w:r>
      <w:r w:rsidRPr="00D910D8">
        <w:rPr>
          <w:rFonts w:cs="Times New Roman"/>
          <w:szCs w:val="24"/>
        </w:rPr>
        <w:t xml:space="preserve">party notices to the Government of Canada, alleging that if the tobacco companies are held liable to the plaintiffs, they are entitled to compensation from Canada for negligent misrepresentation, negligent design, and failure to warn, as well as at equity.  They also allege that Canada would itself be liable under the statutory schemes at issue in the two cases.  In the </w:t>
      </w:r>
      <w:r w:rsidRPr="00D910D8">
        <w:rPr>
          <w:rFonts w:cs="Times New Roman"/>
          <w:i/>
          <w:szCs w:val="24"/>
        </w:rPr>
        <w:t xml:space="preserve">Costs Recovery </w:t>
      </w:r>
      <w:r w:rsidRPr="00D910D8">
        <w:rPr>
          <w:rFonts w:cs="Times New Roman"/>
          <w:szCs w:val="24"/>
        </w:rPr>
        <w:t xml:space="preserve">case, it is alleged that Canada would be liable under the </w:t>
      </w:r>
      <w:r w:rsidRPr="00D910D8">
        <w:rPr>
          <w:rFonts w:cs="Times New Roman"/>
          <w:i/>
          <w:szCs w:val="24"/>
        </w:rPr>
        <w:t xml:space="preserve">Tobacco Damages and Health Care </w:t>
      </w:r>
      <w:r w:rsidR="00E94CD5" w:rsidRPr="00D910D8">
        <w:rPr>
          <w:rFonts w:cs="Times New Roman"/>
          <w:i/>
          <w:szCs w:val="24"/>
        </w:rPr>
        <w:t xml:space="preserve">Costs </w:t>
      </w:r>
      <w:r w:rsidRPr="00D910D8">
        <w:rPr>
          <w:rFonts w:cs="Times New Roman"/>
          <w:i/>
          <w:szCs w:val="24"/>
        </w:rPr>
        <w:t>Recovery Act</w:t>
      </w:r>
      <w:r w:rsidR="009F2775" w:rsidRPr="00D910D8">
        <w:rPr>
          <w:rFonts w:cs="Times New Roman"/>
          <w:szCs w:val="24"/>
        </w:rPr>
        <w:t>, S.B.C. 2000, c. 30 (“</w:t>
      </w:r>
      <w:r w:rsidRPr="00D910D8">
        <w:rPr>
          <w:rFonts w:cs="Times New Roman"/>
          <w:i/>
          <w:szCs w:val="24"/>
        </w:rPr>
        <w:t>CRA</w:t>
      </w:r>
      <w:r w:rsidR="009F2775" w:rsidRPr="00D910D8">
        <w:rPr>
          <w:rFonts w:cs="Times New Roman"/>
          <w:szCs w:val="24"/>
        </w:rPr>
        <w:t>”)</w:t>
      </w:r>
      <w:r w:rsidR="00E94CD5" w:rsidRPr="00D910D8">
        <w:rPr>
          <w:rFonts w:cs="Times New Roman"/>
          <w:szCs w:val="24"/>
        </w:rPr>
        <w:t>,</w:t>
      </w:r>
      <w:r w:rsidRPr="00D910D8">
        <w:rPr>
          <w:rFonts w:cs="Times New Roman"/>
          <w:szCs w:val="24"/>
        </w:rPr>
        <w:t xml:space="preserve"> as a “manufacturer”.  In the </w:t>
      </w:r>
      <w:r w:rsidRPr="00D910D8">
        <w:rPr>
          <w:rFonts w:cs="Times New Roman"/>
          <w:i/>
          <w:szCs w:val="24"/>
        </w:rPr>
        <w:t>Knight</w:t>
      </w:r>
      <w:r w:rsidRPr="00D910D8">
        <w:rPr>
          <w:rFonts w:cs="Times New Roman"/>
          <w:szCs w:val="24"/>
        </w:rPr>
        <w:t xml:space="preserve"> case, it is alleged that Canada would be liable as a “supplier” under the </w:t>
      </w:r>
      <w:r w:rsidR="00071C7A" w:rsidRPr="00D910D8">
        <w:rPr>
          <w:rFonts w:cs="Times New Roman"/>
          <w:bCs/>
          <w:i/>
          <w:szCs w:val="24"/>
        </w:rPr>
        <w:t>Business Practices and Consumer Protection Act</w:t>
      </w:r>
      <w:r w:rsidR="00071C7A" w:rsidRPr="00D910D8">
        <w:rPr>
          <w:rFonts w:cs="Times New Roman"/>
          <w:bCs/>
          <w:szCs w:val="24"/>
        </w:rPr>
        <w:t>,</w:t>
      </w:r>
      <w:r w:rsidR="00071C7A" w:rsidRPr="00D910D8">
        <w:rPr>
          <w:rFonts w:cs="Times New Roman"/>
          <w:b/>
          <w:bCs/>
          <w:i/>
          <w:szCs w:val="24"/>
        </w:rPr>
        <w:t xml:space="preserve"> </w:t>
      </w:r>
      <w:r w:rsidR="00071C7A" w:rsidRPr="00D910D8">
        <w:rPr>
          <w:rFonts w:cs="Times New Roman"/>
          <w:bCs/>
          <w:szCs w:val="24"/>
        </w:rPr>
        <w:t xml:space="preserve">S.B.C. 2004, c. 2 </w:t>
      </w:r>
      <w:r w:rsidR="009F2775" w:rsidRPr="00D910D8">
        <w:rPr>
          <w:rFonts w:cs="Times New Roman"/>
          <w:bCs/>
          <w:szCs w:val="24"/>
        </w:rPr>
        <w:t>(“</w:t>
      </w:r>
      <w:r w:rsidR="00152E9E" w:rsidRPr="00D910D8">
        <w:rPr>
          <w:rFonts w:cs="Times New Roman"/>
          <w:bCs/>
          <w:i/>
          <w:szCs w:val="24"/>
        </w:rPr>
        <w:t>BPCPA</w:t>
      </w:r>
      <w:r w:rsidR="009F2775" w:rsidRPr="00D910D8">
        <w:rPr>
          <w:rFonts w:cs="Times New Roman"/>
          <w:bCs/>
          <w:szCs w:val="24"/>
        </w:rPr>
        <w:t>”)</w:t>
      </w:r>
      <w:r w:rsidR="00880E3F" w:rsidRPr="00D910D8">
        <w:rPr>
          <w:rFonts w:cs="Times New Roman"/>
          <w:bCs/>
          <w:szCs w:val="24"/>
        </w:rPr>
        <w:t>,</w:t>
      </w:r>
      <w:r w:rsidR="00152E9E" w:rsidRPr="00D910D8">
        <w:rPr>
          <w:rFonts w:cs="Times New Roman"/>
          <w:bCs/>
          <w:szCs w:val="24"/>
        </w:rPr>
        <w:t xml:space="preserve"> </w:t>
      </w:r>
      <w:r w:rsidR="00071C7A" w:rsidRPr="00D910D8">
        <w:rPr>
          <w:rFonts w:cs="Times New Roman"/>
          <w:bCs/>
          <w:szCs w:val="24"/>
        </w:rPr>
        <w:t xml:space="preserve">and its predecessor, the </w:t>
      </w:r>
      <w:r w:rsidR="007E0ED5" w:rsidRPr="00D910D8">
        <w:rPr>
          <w:rFonts w:cs="Times New Roman"/>
          <w:i/>
          <w:szCs w:val="24"/>
        </w:rPr>
        <w:t>Trade Practice Act</w:t>
      </w:r>
      <w:r w:rsidR="00880E3F" w:rsidRPr="00D910D8">
        <w:rPr>
          <w:rFonts w:cs="Times New Roman"/>
          <w:szCs w:val="24"/>
        </w:rPr>
        <w:t>,</w:t>
      </w:r>
      <w:r w:rsidR="00071C7A" w:rsidRPr="00D910D8">
        <w:rPr>
          <w:rFonts w:cs="Times New Roman"/>
          <w:i/>
          <w:szCs w:val="24"/>
        </w:rPr>
        <w:t xml:space="preserve"> </w:t>
      </w:r>
      <w:r w:rsidR="00071C7A" w:rsidRPr="00D910D8">
        <w:rPr>
          <w:rFonts w:cs="Times New Roman"/>
          <w:szCs w:val="24"/>
        </w:rPr>
        <w:t>R.S.B.C. 1996, c. 457</w:t>
      </w:r>
      <w:r w:rsidR="00152E9E" w:rsidRPr="00D910D8">
        <w:rPr>
          <w:rFonts w:cs="Times New Roman"/>
          <w:szCs w:val="24"/>
        </w:rPr>
        <w:t xml:space="preserve"> </w:t>
      </w:r>
      <w:r w:rsidR="009F2775" w:rsidRPr="00D910D8">
        <w:rPr>
          <w:rFonts w:cs="Times New Roman"/>
          <w:szCs w:val="24"/>
        </w:rPr>
        <w:t>(“</w:t>
      </w:r>
      <w:r w:rsidRPr="00D910D8">
        <w:rPr>
          <w:rFonts w:cs="Times New Roman"/>
          <w:i/>
          <w:szCs w:val="24"/>
        </w:rPr>
        <w:t>TPA</w:t>
      </w:r>
      <w:r w:rsidR="009F2775" w:rsidRPr="00D910D8">
        <w:rPr>
          <w:rFonts w:cs="Times New Roman"/>
          <w:szCs w:val="24"/>
        </w:rPr>
        <w:t>”).</w:t>
      </w:r>
    </w:p>
    <w:p w:rsidR="007E0ED5" w:rsidRPr="00D910D8" w:rsidRDefault="002606F8" w:rsidP="00FC58DA">
      <w:pPr>
        <w:pStyle w:val="ParaNoNdepar-AltN"/>
        <w:rPr>
          <w:rFonts w:cs="Times New Roman"/>
          <w:szCs w:val="24"/>
        </w:rPr>
      </w:pPr>
      <w:r w:rsidRPr="00D910D8">
        <w:rPr>
          <w:rFonts w:cs="Times New Roman"/>
          <w:szCs w:val="24"/>
        </w:rPr>
        <w:t xml:space="preserve">In both cases, Canada brought motions to strike the third party notices under </w:t>
      </w:r>
      <w:r w:rsidR="00880E3F" w:rsidRPr="00D910D8">
        <w:rPr>
          <w:rFonts w:cs="Times New Roman"/>
          <w:szCs w:val="24"/>
        </w:rPr>
        <w:t>r</w:t>
      </w:r>
      <w:r w:rsidRPr="00D910D8">
        <w:rPr>
          <w:rFonts w:cs="Times New Roman"/>
          <w:szCs w:val="24"/>
        </w:rPr>
        <w:t xml:space="preserve">. 19(24) of the </w:t>
      </w:r>
      <w:r w:rsidR="00880E3F" w:rsidRPr="00D910D8">
        <w:rPr>
          <w:rFonts w:cs="Times New Roman"/>
          <w:i/>
          <w:szCs w:val="24"/>
        </w:rPr>
        <w:t>Supreme Court</w:t>
      </w:r>
      <w:r w:rsidR="00880E3F" w:rsidRPr="00D910D8">
        <w:rPr>
          <w:rFonts w:cs="Times New Roman"/>
          <w:szCs w:val="24"/>
        </w:rPr>
        <w:t xml:space="preserve"> </w:t>
      </w:r>
      <w:r w:rsidRPr="00D910D8">
        <w:rPr>
          <w:rFonts w:cs="Times New Roman"/>
          <w:i/>
          <w:szCs w:val="24"/>
        </w:rPr>
        <w:t>Rules</w:t>
      </w:r>
      <w:r w:rsidRPr="00D910D8">
        <w:rPr>
          <w:rFonts w:cs="Times New Roman"/>
          <w:szCs w:val="24"/>
        </w:rPr>
        <w:t xml:space="preserve">, </w:t>
      </w:r>
      <w:r w:rsidR="00880E3F" w:rsidRPr="00D910D8">
        <w:rPr>
          <w:rFonts w:cs="Times New Roman"/>
          <w:szCs w:val="24"/>
        </w:rPr>
        <w:t>B.C. Reg. 221/90</w:t>
      </w:r>
      <w:r w:rsidR="00E94CD5" w:rsidRPr="00D910D8">
        <w:rPr>
          <w:rFonts w:cs="Times New Roman"/>
          <w:szCs w:val="24"/>
        </w:rPr>
        <w:t xml:space="preserve"> (replaced by the </w:t>
      </w:r>
      <w:r w:rsidR="00E94CD5" w:rsidRPr="00D910D8">
        <w:rPr>
          <w:rFonts w:cs="Times New Roman"/>
          <w:i/>
          <w:szCs w:val="24"/>
        </w:rPr>
        <w:t>Supreme Court Civil Rules</w:t>
      </w:r>
      <w:r w:rsidR="006D4C46" w:rsidRPr="00D910D8">
        <w:rPr>
          <w:rFonts w:cs="Times New Roman"/>
          <w:szCs w:val="24"/>
        </w:rPr>
        <w:t>, B.C. Reg. 168/2009, r</w:t>
      </w:r>
      <w:r w:rsidR="00E94CD5" w:rsidRPr="00D910D8">
        <w:rPr>
          <w:rFonts w:cs="Times New Roman"/>
          <w:szCs w:val="24"/>
        </w:rPr>
        <w:t>. 9-5</w:t>
      </w:r>
      <w:r w:rsidR="00065D19" w:rsidRPr="00D910D8">
        <w:rPr>
          <w:rFonts w:cs="Times New Roman"/>
          <w:szCs w:val="24"/>
        </w:rPr>
        <w:t>)</w:t>
      </w:r>
      <w:r w:rsidR="00880E3F" w:rsidRPr="00D910D8">
        <w:rPr>
          <w:rFonts w:cs="Times New Roman"/>
          <w:szCs w:val="24"/>
        </w:rPr>
        <w:t xml:space="preserve">, </w:t>
      </w:r>
      <w:r w:rsidRPr="00D910D8">
        <w:rPr>
          <w:rFonts w:cs="Times New Roman"/>
          <w:szCs w:val="24"/>
        </w:rPr>
        <w:t>arguing that it was p</w:t>
      </w:r>
      <w:r w:rsidR="00880E3F" w:rsidRPr="00D910D8">
        <w:rPr>
          <w:rFonts w:cs="Times New Roman"/>
          <w:szCs w:val="24"/>
        </w:rPr>
        <w:t>lain and obvious that the third-</w:t>
      </w:r>
      <w:r w:rsidRPr="00D910D8">
        <w:rPr>
          <w:rFonts w:cs="Times New Roman"/>
          <w:szCs w:val="24"/>
        </w:rPr>
        <w:t xml:space="preserve">party claims </w:t>
      </w:r>
      <w:r w:rsidR="008D7FB6" w:rsidRPr="00D910D8">
        <w:rPr>
          <w:rFonts w:cs="Times New Roman"/>
          <w:szCs w:val="24"/>
        </w:rPr>
        <w:t>failed to disclose a reasonable cause of action</w:t>
      </w:r>
      <w:r w:rsidR="00883474" w:rsidRPr="00D910D8">
        <w:rPr>
          <w:rFonts w:cs="Times New Roman"/>
          <w:szCs w:val="24"/>
        </w:rPr>
        <w:t>.  In both cases, the c</w:t>
      </w:r>
      <w:r w:rsidRPr="00D910D8">
        <w:rPr>
          <w:rFonts w:cs="Times New Roman"/>
          <w:szCs w:val="24"/>
        </w:rPr>
        <w:t>hambers judges agreed with Cana</w:t>
      </w:r>
      <w:r w:rsidR="00880E3F" w:rsidRPr="00D910D8">
        <w:rPr>
          <w:rFonts w:cs="Times New Roman"/>
          <w:szCs w:val="24"/>
        </w:rPr>
        <w:t>da, and struck all of the third-</w:t>
      </w:r>
      <w:r w:rsidRPr="00D910D8">
        <w:rPr>
          <w:rFonts w:cs="Times New Roman"/>
          <w:szCs w:val="24"/>
        </w:rPr>
        <w:t xml:space="preserve">party notices.  The British Columbia Court of Appeal allowed the tobacco companies’ appeals in part.  A majority of 3-2 held that the negligent misrepresentation claims </w:t>
      </w:r>
      <w:r w:rsidR="00991C13" w:rsidRPr="00D910D8">
        <w:rPr>
          <w:rFonts w:cs="Times New Roman"/>
          <w:szCs w:val="24"/>
        </w:rPr>
        <w:lastRenderedPageBreak/>
        <w:t xml:space="preserve">arising from Canada’s alleged duty of care to the tobacco companies </w:t>
      </w:r>
      <w:r w:rsidRPr="00D910D8">
        <w:rPr>
          <w:rFonts w:cs="Times New Roman"/>
          <w:szCs w:val="24"/>
        </w:rPr>
        <w:t xml:space="preserve">in both the </w:t>
      </w:r>
      <w:r w:rsidRPr="00D910D8">
        <w:rPr>
          <w:rFonts w:cs="Times New Roman"/>
          <w:i/>
          <w:szCs w:val="24"/>
        </w:rPr>
        <w:t xml:space="preserve">Costs Recovery </w:t>
      </w:r>
      <w:r w:rsidRPr="00D910D8">
        <w:rPr>
          <w:rFonts w:cs="Times New Roman"/>
          <w:szCs w:val="24"/>
        </w:rPr>
        <w:t xml:space="preserve">case and the </w:t>
      </w:r>
      <w:r w:rsidRPr="00D910D8">
        <w:rPr>
          <w:rFonts w:cs="Times New Roman"/>
          <w:i/>
          <w:szCs w:val="24"/>
        </w:rPr>
        <w:t xml:space="preserve">Knight </w:t>
      </w:r>
      <w:r w:rsidRPr="00D910D8">
        <w:rPr>
          <w:rFonts w:cs="Times New Roman"/>
          <w:szCs w:val="24"/>
        </w:rPr>
        <w:t xml:space="preserve">case </w:t>
      </w:r>
      <w:r w:rsidR="009F2775" w:rsidRPr="00D910D8">
        <w:rPr>
          <w:rFonts w:cs="Times New Roman"/>
          <w:szCs w:val="24"/>
        </w:rPr>
        <w:t xml:space="preserve">should proceed to trial. </w:t>
      </w:r>
      <w:r w:rsidR="00991C13" w:rsidRPr="00D910D8">
        <w:rPr>
          <w:rFonts w:cs="Times New Roman"/>
          <w:szCs w:val="24"/>
        </w:rPr>
        <w:t xml:space="preserve">A majority in the </w:t>
      </w:r>
      <w:r w:rsidR="00991C13" w:rsidRPr="00D910D8">
        <w:rPr>
          <w:rFonts w:cs="Times New Roman"/>
          <w:i/>
          <w:szCs w:val="24"/>
        </w:rPr>
        <w:t xml:space="preserve">Knight </w:t>
      </w:r>
      <w:r w:rsidR="00991C13" w:rsidRPr="00D910D8">
        <w:rPr>
          <w:rFonts w:cs="Times New Roman"/>
          <w:szCs w:val="24"/>
        </w:rPr>
        <w:t>case further held that the negligent misrepresentation claim based on Canada’s alleged duty of care to consumers should proceed, as should the negligent design claims</w:t>
      </w:r>
      <w:r w:rsidR="00E94CD5" w:rsidRPr="00D910D8">
        <w:rPr>
          <w:rFonts w:cs="Times New Roman"/>
          <w:szCs w:val="24"/>
        </w:rPr>
        <w:t xml:space="preserve"> in the </w:t>
      </w:r>
      <w:r w:rsidR="00E94CD5" w:rsidRPr="00D910D8">
        <w:rPr>
          <w:rFonts w:cs="Times New Roman"/>
          <w:i/>
          <w:szCs w:val="24"/>
        </w:rPr>
        <w:t xml:space="preserve">Knight </w:t>
      </w:r>
      <w:r w:rsidR="00E94CD5" w:rsidRPr="00D910D8">
        <w:rPr>
          <w:rFonts w:cs="Times New Roman"/>
          <w:szCs w:val="24"/>
        </w:rPr>
        <w:t>case</w:t>
      </w:r>
      <w:r w:rsidR="00991C13" w:rsidRPr="00D910D8">
        <w:rPr>
          <w:rFonts w:cs="Times New Roman"/>
          <w:szCs w:val="24"/>
        </w:rPr>
        <w:t xml:space="preserve">. </w:t>
      </w:r>
      <w:r w:rsidR="00880E3F" w:rsidRPr="00D910D8">
        <w:rPr>
          <w:rFonts w:cs="Times New Roman"/>
          <w:szCs w:val="24"/>
        </w:rPr>
        <w:t>The c</w:t>
      </w:r>
      <w:r w:rsidRPr="00D910D8">
        <w:rPr>
          <w:rFonts w:cs="Times New Roman"/>
          <w:szCs w:val="24"/>
        </w:rPr>
        <w:t>ourt unanimously struck the remainder of the tobacco companies’ claims.</w:t>
      </w:r>
    </w:p>
    <w:p w:rsidR="007E0ED5" w:rsidRPr="00D910D8" w:rsidRDefault="002606F8" w:rsidP="00FC58DA">
      <w:pPr>
        <w:pStyle w:val="ParaNoNdepar-AltN"/>
        <w:rPr>
          <w:rFonts w:cs="Times New Roman"/>
          <w:szCs w:val="24"/>
        </w:rPr>
      </w:pPr>
      <w:r w:rsidRPr="00D910D8">
        <w:rPr>
          <w:rFonts w:cs="Times New Roman"/>
          <w:szCs w:val="24"/>
        </w:rPr>
        <w:t>The Government of Canada appeals the finding that the claims for negligent misrepresentation and the claim for negligent design should be allowed to go to trial.  The tobacco companies cross-appeal the striking of the other claims.</w:t>
      </w:r>
    </w:p>
    <w:p w:rsidR="00596DB2" w:rsidRPr="00D910D8" w:rsidRDefault="002606F8" w:rsidP="00FC58DA">
      <w:pPr>
        <w:pStyle w:val="ParaNoNdepar-AltN"/>
        <w:rPr>
          <w:rFonts w:cs="Times New Roman"/>
          <w:szCs w:val="24"/>
        </w:rPr>
      </w:pPr>
      <w:r w:rsidRPr="00D910D8">
        <w:rPr>
          <w:rFonts w:cs="Times New Roman"/>
          <w:szCs w:val="24"/>
        </w:rPr>
        <w:t>For the reasons that follow, I conclude that all</w:t>
      </w:r>
      <w:r w:rsidR="00E94CD5" w:rsidRPr="00D910D8">
        <w:rPr>
          <w:rFonts w:cs="Times New Roman"/>
          <w:szCs w:val="24"/>
        </w:rPr>
        <w:t xml:space="preserve"> the claims of Imperial </w:t>
      </w:r>
      <w:r w:rsidRPr="00D910D8">
        <w:rPr>
          <w:rFonts w:cs="Times New Roman"/>
          <w:szCs w:val="24"/>
        </w:rPr>
        <w:t>and the other tobacco companies brought against the Government of Canada are bound to fail, and should be struck.  I would allow the appeals of the Government of Canada in both cases</w:t>
      </w:r>
      <w:r w:rsidR="00581B23" w:rsidRPr="00D910D8">
        <w:rPr>
          <w:rFonts w:cs="Times New Roman"/>
          <w:szCs w:val="24"/>
        </w:rPr>
        <w:t xml:space="preserve"> and dismiss the cross-appeals.</w:t>
      </w:r>
    </w:p>
    <w:p w:rsidR="00A77B75" w:rsidRPr="00D910D8" w:rsidRDefault="00880E3F" w:rsidP="00581B23">
      <w:pPr>
        <w:pStyle w:val="TitleTitre-AltT"/>
        <w:tabs>
          <w:tab w:val="clear" w:pos="360"/>
          <w:tab w:val="left" w:pos="540"/>
        </w:tabs>
        <w:spacing w:after="720"/>
        <w:ind w:left="547" w:hanging="547"/>
        <w:rPr>
          <w:rFonts w:cs="Times New Roman"/>
          <w:szCs w:val="24"/>
          <w:u w:val="single"/>
        </w:rPr>
      </w:pPr>
      <w:bookmarkStart w:id="2" w:name="_Toc314733736"/>
      <w:r w:rsidRPr="00D910D8">
        <w:rPr>
          <w:rFonts w:cs="Times New Roman"/>
          <w:szCs w:val="24"/>
        </w:rPr>
        <w:t>II</w:t>
      </w:r>
      <w:r w:rsidR="00FC58DA" w:rsidRPr="00D910D8">
        <w:rPr>
          <w:rFonts w:cs="Times New Roman"/>
          <w:szCs w:val="24"/>
        </w:rPr>
        <w:t>.</w:t>
      </w:r>
      <w:r w:rsidR="00FC58DA" w:rsidRPr="00D910D8">
        <w:rPr>
          <w:rFonts w:cs="Times New Roman"/>
          <w:szCs w:val="24"/>
        </w:rPr>
        <w:tab/>
      </w:r>
      <w:r w:rsidR="002606F8" w:rsidRPr="00D910D8">
        <w:rPr>
          <w:rFonts w:cs="Times New Roman"/>
          <w:szCs w:val="24"/>
          <w:u w:val="single"/>
        </w:rPr>
        <w:t>Underlying Claims and Judicial Histor</w:t>
      </w:r>
      <w:r w:rsidR="00581B23" w:rsidRPr="00D910D8">
        <w:rPr>
          <w:rFonts w:cs="Times New Roman"/>
          <w:szCs w:val="24"/>
          <w:u w:val="single"/>
        </w:rPr>
        <w:t>y</w:t>
      </w:r>
      <w:bookmarkEnd w:id="2"/>
    </w:p>
    <w:p w:rsidR="00436702" w:rsidRPr="00D910D8" w:rsidRDefault="00A77B75" w:rsidP="00581B23">
      <w:pPr>
        <w:pStyle w:val="TitleTitre-AltT"/>
        <w:tabs>
          <w:tab w:val="clear" w:pos="360"/>
          <w:tab w:val="left" w:pos="540"/>
        </w:tabs>
        <w:spacing w:after="720"/>
        <w:ind w:left="547" w:hanging="547"/>
        <w:rPr>
          <w:rFonts w:cs="Times New Roman"/>
          <w:szCs w:val="24"/>
        </w:rPr>
      </w:pPr>
      <w:bookmarkStart w:id="3" w:name="_Toc314733737"/>
      <w:r w:rsidRPr="00D910D8">
        <w:rPr>
          <w:rFonts w:cs="Times New Roman"/>
          <w:szCs w:val="24"/>
        </w:rPr>
        <w:t>A.</w:t>
      </w:r>
      <w:r w:rsidRPr="00D910D8">
        <w:rPr>
          <w:rFonts w:cs="Times New Roman"/>
          <w:szCs w:val="24"/>
        </w:rPr>
        <w:tab/>
      </w:r>
      <w:r w:rsidRPr="00D910D8">
        <w:rPr>
          <w:rFonts w:cs="Times New Roman"/>
          <w:i/>
          <w:szCs w:val="24"/>
        </w:rPr>
        <w:t>The Knight</w:t>
      </w:r>
      <w:r w:rsidR="005A21EE" w:rsidRPr="00D910D8">
        <w:rPr>
          <w:rFonts w:cs="Times New Roman"/>
          <w:i/>
          <w:szCs w:val="24"/>
        </w:rPr>
        <w:t xml:space="preserve"> </w:t>
      </w:r>
      <w:r w:rsidR="009F2775" w:rsidRPr="00D910D8">
        <w:rPr>
          <w:rFonts w:cs="Times New Roman"/>
          <w:i/>
          <w:szCs w:val="24"/>
        </w:rPr>
        <w:t>C</w:t>
      </w:r>
      <w:r w:rsidR="000D7B99" w:rsidRPr="00D910D8">
        <w:rPr>
          <w:rFonts w:cs="Times New Roman"/>
          <w:i/>
          <w:szCs w:val="24"/>
        </w:rPr>
        <w:t>ase</w:t>
      </w:r>
      <w:bookmarkEnd w:id="3"/>
    </w:p>
    <w:p w:rsidR="00436702" w:rsidRPr="00D910D8" w:rsidRDefault="00436702" w:rsidP="00FC58DA">
      <w:pPr>
        <w:pStyle w:val="ParaNoNdepar-AltN"/>
        <w:rPr>
          <w:rFonts w:cs="Times New Roman"/>
          <w:szCs w:val="24"/>
        </w:rPr>
      </w:pPr>
      <w:r w:rsidRPr="00D910D8">
        <w:rPr>
          <w:rFonts w:cs="Times New Roman"/>
          <w:szCs w:val="24"/>
        </w:rPr>
        <w:t xml:space="preserve">In the </w:t>
      </w:r>
      <w:r w:rsidR="002606F8" w:rsidRPr="00D910D8">
        <w:rPr>
          <w:rFonts w:cs="Times New Roman"/>
          <w:i/>
          <w:szCs w:val="24"/>
        </w:rPr>
        <w:t xml:space="preserve">Knight </w:t>
      </w:r>
      <w:r w:rsidR="002606F8" w:rsidRPr="00D910D8">
        <w:rPr>
          <w:rFonts w:cs="Times New Roman"/>
          <w:szCs w:val="24"/>
        </w:rPr>
        <w:t>case, consumers in British Columbia have brought a class</w:t>
      </w:r>
      <w:r w:rsidR="00F16C1C" w:rsidRPr="00D910D8">
        <w:rPr>
          <w:rFonts w:cs="Times New Roman"/>
          <w:szCs w:val="24"/>
        </w:rPr>
        <w:t xml:space="preserve"> action against Imperial</w:t>
      </w:r>
      <w:r w:rsidR="002606F8" w:rsidRPr="00D910D8">
        <w:rPr>
          <w:rFonts w:cs="Times New Roman"/>
          <w:szCs w:val="24"/>
        </w:rPr>
        <w:t xml:space="preserve"> under the </w:t>
      </w:r>
      <w:r w:rsidR="009F2775" w:rsidRPr="00D910D8">
        <w:rPr>
          <w:rFonts w:cs="Times New Roman"/>
          <w:i/>
          <w:szCs w:val="24"/>
        </w:rPr>
        <w:t>BPCPA</w:t>
      </w:r>
      <w:r w:rsidR="002606F8" w:rsidRPr="00D910D8">
        <w:rPr>
          <w:rFonts w:cs="Times New Roman"/>
          <w:szCs w:val="24"/>
        </w:rPr>
        <w:t xml:space="preserve"> and its predecessor</w:t>
      </w:r>
      <w:r w:rsidR="009F2775" w:rsidRPr="00D910D8">
        <w:rPr>
          <w:rFonts w:cs="Times New Roman"/>
          <w:szCs w:val="24"/>
        </w:rPr>
        <w:t>,</w:t>
      </w:r>
      <w:r w:rsidR="002606F8" w:rsidRPr="00D910D8">
        <w:rPr>
          <w:rFonts w:cs="Times New Roman"/>
          <w:szCs w:val="24"/>
        </w:rPr>
        <w:t xml:space="preserve"> the </w:t>
      </w:r>
      <w:r w:rsidR="002606F8" w:rsidRPr="00D910D8">
        <w:rPr>
          <w:rFonts w:cs="Times New Roman"/>
          <w:i/>
          <w:szCs w:val="24"/>
        </w:rPr>
        <w:t>TPA</w:t>
      </w:r>
      <w:r w:rsidR="002606F8" w:rsidRPr="00D910D8">
        <w:rPr>
          <w:rFonts w:cs="Times New Roman"/>
          <w:szCs w:val="24"/>
        </w:rPr>
        <w:t xml:space="preserve">.  The class </w:t>
      </w:r>
      <w:r w:rsidR="002606F8" w:rsidRPr="00D910D8">
        <w:rPr>
          <w:rFonts w:cs="Times New Roman"/>
          <w:szCs w:val="24"/>
        </w:rPr>
        <w:lastRenderedPageBreak/>
        <w:t xml:space="preserve">consists of </w:t>
      </w:r>
      <w:r w:rsidR="0086130B" w:rsidRPr="00D910D8">
        <w:rPr>
          <w:rFonts w:cs="Times New Roman"/>
          <w:szCs w:val="24"/>
        </w:rPr>
        <w:t>consumers</w:t>
      </w:r>
      <w:r w:rsidR="002606F8" w:rsidRPr="00D910D8">
        <w:rPr>
          <w:rFonts w:cs="Times New Roman"/>
          <w:szCs w:val="24"/>
        </w:rPr>
        <w:t xml:space="preserve"> of light or mild cigarettes.  It alleges that Imperial engaged in deceptive practices when it promoted low-tar cigarettes as less hazardous to the health of consumers.  The class alleges that the levels of tar and nicotine listed on Imperial’s packages for light and mild cigarettes did not reflect the actual deliveries of toxic emissions</w:t>
      </w:r>
      <w:r w:rsidR="00E94CD5" w:rsidRPr="00D910D8">
        <w:rPr>
          <w:rFonts w:cs="Times New Roman"/>
          <w:szCs w:val="24"/>
        </w:rPr>
        <w:t xml:space="preserve"> to smokers</w:t>
      </w:r>
      <w:r w:rsidR="00DA5294" w:rsidRPr="00D910D8">
        <w:rPr>
          <w:rFonts w:cs="Times New Roman"/>
          <w:szCs w:val="24"/>
        </w:rPr>
        <w:t xml:space="preserve">, and </w:t>
      </w:r>
      <w:r w:rsidR="002606F8" w:rsidRPr="00D910D8">
        <w:rPr>
          <w:rFonts w:cs="Times New Roman"/>
          <w:szCs w:val="24"/>
        </w:rPr>
        <w:t xml:space="preserve">alleges that the smoke produced by light cigarettes was just as harmful as </w:t>
      </w:r>
      <w:r w:rsidR="00E94CD5" w:rsidRPr="00D910D8">
        <w:rPr>
          <w:rFonts w:cs="Times New Roman"/>
          <w:szCs w:val="24"/>
        </w:rPr>
        <w:t xml:space="preserve">that produced by </w:t>
      </w:r>
      <w:r w:rsidR="002606F8" w:rsidRPr="00D910D8">
        <w:rPr>
          <w:rFonts w:cs="Times New Roman"/>
          <w:szCs w:val="24"/>
        </w:rPr>
        <w:t>regular cigarettes. The class seeks reimbursement of the cost of the cigarettes purchased, and punitive damages.</w:t>
      </w:r>
    </w:p>
    <w:p w:rsidR="00BD4EF5" w:rsidRPr="00D910D8" w:rsidRDefault="002606F8" w:rsidP="00FC58DA">
      <w:pPr>
        <w:pStyle w:val="ParaNoNdepar-AltN"/>
        <w:rPr>
          <w:rFonts w:cs="Times New Roman"/>
          <w:szCs w:val="24"/>
        </w:rPr>
      </w:pPr>
      <w:r w:rsidRPr="00D910D8">
        <w:rPr>
          <w:rFonts w:cs="Times New Roman"/>
          <w:szCs w:val="24"/>
        </w:rPr>
        <w:t>Imperial issued a third</w:t>
      </w:r>
      <w:r w:rsidR="007C51D7" w:rsidRPr="00D910D8">
        <w:rPr>
          <w:rFonts w:cs="Times New Roman"/>
          <w:szCs w:val="24"/>
        </w:rPr>
        <w:t>-</w:t>
      </w:r>
      <w:r w:rsidRPr="00D910D8">
        <w:rPr>
          <w:rFonts w:cs="Times New Roman"/>
          <w:szCs w:val="24"/>
        </w:rPr>
        <w:t>party notice against Canada.  It alleges that Health Canada advised tobacco companies and the public that low-tar cigarettes were less hazardous</w:t>
      </w:r>
      <w:r w:rsidR="00DA5294" w:rsidRPr="00D910D8">
        <w:rPr>
          <w:rFonts w:cs="Times New Roman"/>
          <w:szCs w:val="24"/>
        </w:rPr>
        <w:t xml:space="preserve"> than regular cigarettes</w:t>
      </w:r>
      <w:r w:rsidRPr="00D910D8">
        <w:rPr>
          <w:rFonts w:cs="Times New Roman"/>
          <w:szCs w:val="24"/>
        </w:rPr>
        <w:t xml:space="preserve">.  </w:t>
      </w:r>
      <w:r w:rsidR="003473BE" w:rsidRPr="00D910D8">
        <w:rPr>
          <w:rFonts w:cs="Times New Roman"/>
          <w:szCs w:val="24"/>
        </w:rPr>
        <w:t xml:space="preserve">Imperial alleges that </w:t>
      </w:r>
      <w:r w:rsidR="00DA5294" w:rsidRPr="00D910D8">
        <w:rPr>
          <w:rFonts w:cs="Times New Roman"/>
          <w:szCs w:val="24"/>
        </w:rPr>
        <w:t xml:space="preserve">while </w:t>
      </w:r>
      <w:r w:rsidR="00CE6D9A" w:rsidRPr="00D910D8">
        <w:rPr>
          <w:rFonts w:cs="Times New Roman"/>
          <w:szCs w:val="24"/>
        </w:rPr>
        <w:t xml:space="preserve">Health </w:t>
      </w:r>
      <w:r w:rsidR="003473BE" w:rsidRPr="00D910D8">
        <w:rPr>
          <w:rFonts w:cs="Times New Roman"/>
          <w:szCs w:val="24"/>
        </w:rPr>
        <w:t xml:space="preserve">Canada was initially opposed to the use of health warnings on cigarette packaging, </w:t>
      </w:r>
      <w:r w:rsidR="00DA5294" w:rsidRPr="00D910D8">
        <w:rPr>
          <w:rFonts w:cs="Times New Roman"/>
          <w:szCs w:val="24"/>
        </w:rPr>
        <w:t xml:space="preserve">it changed its policy in </w:t>
      </w:r>
      <w:r w:rsidR="00A447DF" w:rsidRPr="00D910D8">
        <w:rPr>
          <w:rFonts w:cs="Times New Roman"/>
          <w:szCs w:val="24"/>
        </w:rPr>
        <w:t>1967.  It</w:t>
      </w:r>
      <w:r w:rsidR="00DA5294" w:rsidRPr="00D910D8">
        <w:rPr>
          <w:rFonts w:cs="Times New Roman"/>
          <w:szCs w:val="24"/>
        </w:rPr>
        <w:t xml:space="preserve"> instructed smokers to switch to low-tar cigarettes</w:t>
      </w:r>
      <w:r w:rsidR="00A447DF" w:rsidRPr="00D910D8">
        <w:rPr>
          <w:rFonts w:cs="Times New Roman"/>
          <w:szCs w:val="24"/>
        </w:rPr>
        <w:t xml:space="preserve"> if they were unwilling to quit smoking altogether</w:t>
      </w:r>
      <w:r w:rsidR="00DA5294" w:rsidRPr="00D910D8">
        <w:rPr>
          <w:rFonts w:cs="Times New Roman"/>
          <w:szCs w:val="24"/>
        </w:rPr>
        <w:t xml:space="preserve">, and </w:t>
      </w:r>
      <w:r w:rsidR="00A447DF" w:rsidRPr="00D910D8">
        <w:rPr>
          <w:rFonts w:cs="Times New Roman"/>
          <w:szCs w:val="24"/>
        </w:rPr>
        <w:t xml:space="preserve">it asked </w:t>
      </w:r>
      <w:r w:rsidR="00DA5294" w:rsidRPr="00D910D8">
        <w:rPr>
          <w:rFonts w:cs="Times New Roman"/>
          <w:szCs w:val="24"/>
        </w:rPr>
        <w:t>toba</w:t>
      </w:r>
      <w:r w:rsidR="003473BE" w:rsidRPr="00D910D8">
        <w:rPr>
          <w:rFonts w:cs="Times New Roman"/>
          <w:szCs w:val="24"/>
        </w:rPr>
        <w:t xml:space="preserve">cco companies to voluntarily list the tar and nicotine levels on their advertisements to encourage consumers to purchase low-tar brands.  </w:t>
      </w:r>
      <w:r w:rsidRPr="00D910D8">
        <w:rPr>
          <w:rFonts w:cs="Times New Roman"/>
          <w:szCs w:val="24"/>
        </w:rPr>
        <w:t>Contrary to expectations, it now appears that low-tar cigarettes are potent</w:t>
      </w:r>
      <w:r w:rsidR="00581B23" w:rsidRPr="00D910D8">
        <w:rPr>
          <w:rFonts w:cs="Times New Roman"/>
          <w:szCs w:val="24"/>
        </w:rPr>
        <w:t>ially more harmful to smokers.</w:t>
      </w:r>
    </w:p>
    <w:p w:rsidR="00560040" w:rsidRPr="00D910D8" w:rsidRDefault="002606F8" w:rsidP="00FC58DA">
      <w:pPr>
        <w:pStyle w:val="ParaNoNdepar-AltN"/>
        <w:rPr>
          <w:rFonts w:cs="Times New Roman"/>
          <w:szCs w:val="24"/>
        </w:rPr>
      </w:pPr>
      <w:r w:rsidRPr="00D910D8">
        <w:rPr>
          <w:rFonts w:cs="Times New Roman"/>
          <w:szCs w:val="24"/>
        </w:rPr>
        <w:t>Imperial</w:t>
      </w:r>
      <w:r w:rsidR="00DA5294" w:rsidRPr="00D910D8">
        <w:rPr>
          <w:rFonts w:cs="Times New Roman"/>
          <w:szCs w:val="24"/>
        </w:rPr>
        <w:t xml:space="preserve"> also alleges</w:t>
      </w:r>
      <w:r w:rsidRPr="00D910D8">
        <w:rPr>
          <w:rFonts w:cs="Times New Roman"/>
          <w:szCs w:val="24"/>
        </w:rPr>
        <w:t xml:space="preserve"> that Agriculture Canada researched, developed, manufactured</w:t>
      </w:r>
      <w:r w:rsidR="001640DE" w:rsidRPr="00D910D8">
        <w:rPr>
          <w:rFonts w:cs="Times New Roman"/>
          <w:szCs w:val="24"/>
        </w:rPr>
        <w:t>,</w:t>
      </w:r>
      <w:r w:rsidRPr="00D910D8">
        <w:rPr>
          <w:rFonts w:cs="Times New Roman"/>
          <w:szCs w:val="24"/>
        </w:rPr>
        <w:t xml:space="preserve"> and licen</w:t>
      </w:r>
      <w:r w:rsidR="001640DE" w:rsidRPr="00D910D8">
        <w:rPr>
          <w:rFonts w:cs="Times New Roman"/>
          <w:szCs w:val="24"/>
        </w:rPr>
        <w:t>s</w:t>
      </w:r>
      <w:r w:rsidRPr="00D910D8">
        <w:rPr>
          <w:rFonts w:cs="Times New Roman"/>
          <w:szCs w:val="24"/>
        </w:rPr>
        <w:t>ed several strains of low-tar tobacco, and collected royalties from the companies</w:t>
      </w:r>
      <w:r w:rsidR="00AC5B22" w:rsidRPr="00D910D8">
        <w:rPr>
          <w:rFonts w:cs="Times New Roman"/>
          <w:szCs w:val="24"/>
        </w:rPr>
        <w:t>, including Imperial,</w:t>
      </w:r>
      <w:r w:rsidRPr="00D910D8">
        <w:rPr>
          <w:rFonts w:cs="Times New Roman"/>
          <w:szCs w:val="24"/>
        </w:rPr>
        <w:t xml:space="preserve"> that used these strains.  </w:t>
      </w:r>
      <w:r w:rsidR="00DA5294" w:rsidRPr="00D910D8">
        <w:rPr>
          <w:rFonts w:cs="Times New Roman"/>
          <w:szCs w:val="24"/>
        </w:rPr>
        <w:t>B</w:t>
      </w:r>
      <w:r w:rsidRPr="00D910D8">
        <w:rPr>
          <w:rFonts w:cs="Times New Roman"/>
          <w:szCs w:val="24"/>
        </w:rPr>
        <w:t xml:space="preserve">y 1982, </w:t>
      </w:r>
      <w:r w:rsidR="00DA5294" w:rsidRPr="00D910D8">
        <w:rPr>
          <w:rFonts w:cs="Times New Roman"/>
          <w:szCs w:val="24"/>
        </w:rPr>
        <w:t xml:space="preserve">Imperial </w:t>
      </w:r>
      <w:r w:rsidR="00AC5B22" w:rsidRPr="00D910D8">
        <w:rPr>
          <w:rFonts w:cs="Times New Roman"/>
          <w:szCs w:val="24"/>
        </w:rPr>
        <w:t>pleads</w:t>
      </w:r>
      <w:r w:rsidR="00DA5294" w:rsidRPr="00D910D8">
        <w:rPr>
          <w:rFonts w:cs="Times New Roman"/>
          <w:szCs w:val="24"/>
        </w:rPr>
        <w:t xml:space="preserve">, </w:t>
      </w:r>
      <w:r w:rsidRPr="00D910D8">
        <w:rPr>
          <w:rFonts w:cs="Times New Roman"/>
          <w:szCs w:val="24"/>
        </w:rPr>
        <w:t xml:space="preserve">the tobacco strains developed by Agriculture Canada were “almost the only </w:t>
      </w:r>
      <w:r w:rsidRPr="00D910D8">
        <w:rPr>
          <w:rFonts w:cs="Times New Roman"/>
          <w:szCs w:val="24"/>
        </w:rPr>
        <w:lastRenderedPageBreak/>
        <w:t>tobacco varieties available to</w:t>
      </w:r>
      <w:r w:rsidR="00DA5294" w:rsidRPr="00D910D8">
        <w:rPr>
          <w:rFonts w:cs="Times New Roman"/>
          <w:szCs w:val="24"/>
        </w:rPr>
        <w:t xml:space="preserve"> Canadian tobacco manufacturers</w:t>
      </w:r>
      <w:r w:rsidRPr="00D910D8">
        <w:rPr>
          <w:rFonts w:cs="Times New Roman"/>
          <w:szCs w:val="24"/>
        </w:rPr>
        <w:t>” (</w:t>
      </w:r>
      <w:r w:rsidRPr="00D910D8">
        <w:rPr>
          <w:rFonts w:cs="Times New Roman"/>
          <w:i/>
          <w:szCs w:val="24"/>
        </w:rPr>
        <w:t xml:space="preserve">Knight </w:t>
      </w:r>
      <w:proofErr w:type="gramStart"/>
      <w:r w:rsidR="007C51D7" w:rsidRPr="00D910D8">
        <w:rPr>
          <w:rFonts w:cs="Times New Roman"/>
          <w:szCs w:val="24"/>
        </w:rPr>
        <w:t>case</w:t>
      </w:r>
      <w:proofErr w:type="gramEnd"/>
      <w:r w:rsidRPr="00D910D8">
        <w:rPr>
          <w:rFonts w:cs="Times New Roman"/>
          <w:szCs w:val="24"/>
        </w:rPr>
        <w:t>,</w:t>
      </w:r>
      <w:r w:rsidR="007C51D7" w:rsidRPr="00D910D8">
        <w:rPr>
          <w:rFonts w:cs="Times New Roman"/>
          <w:szCs w:val="24"/>
        </w:rPr>
        <w:t xml:space="preserve"> amended third-party notice</w:t>
      </w:r>
      <w:r w:rsidR="00F16C1C" w:rsidRPr="00D910D8">
        <w:rPr>
          <w:rFonts w:cs="Times New Roman"/>
          <w:szCs w:val="24"/>
        </w:rPr>
        <w:t xml:space="preserve"> of Imperial</w:t>
      </w:r>
      <w:r w:rsidR="007C51D7" w:rsidRPr="00D910D8">
        <w:rPr>
          <w:rFonts w:cs="Times New Roman"/>
          <w:szCs w:val="24"/>
        </w:rPr>
        <w:t>,</w:t>
      </w:r>
      <w:r w:rsidRPr="00D910D8">
        <w:rPr>
          <w:rFonts w:cs="Times New Roman"/>
          <w:szCs w:val="24"/>
        </w:rPr>
        <w:t xml:space="preserve"> </w:t>
      </w:r>
      <w:r w:rsidR="001640DE" w:rsidRPr="00D910D8">
        <w:rPr>
          <w:rFonts w:cs="Times New Roman"/>
          <w:szCs w:val="24"/>
        </w:rPr>
        <w:t xml:space="preserve">at </w:t>
      </w:r>
      <w:r w:rsidRPr="00D910D8">
        <w:rPr>
          <w:rFonts w:cs="Times New Roman"/>
          <w:szCs w:val="24"/>
        </w:rPr>
        <w:t>para. 97)</w:t>
      </w:r>
      <w:r w:rsidR="00DA5294" w:rsidRPr="00D910D8">
        <w:rPr>
          <w:rFonts w:cs="Times New Roman"/>
          <w:szCs w:val="24"/>
        </w:rPr>
        <w:t>.</w:t>
      </w:r>
    </w:p>
    <w:p w:rsidR="00436702" w:rsidRPr="00D910D8" w:rsidRDefault="002606F8" w:rsidP="00FC58DA">
      <w:pPr>
        <w:pStyle w:val="ParaNoNdepar-AltN"/>
        <w:rPr>
          <w:rFonts w:cs="Times New Roman"/>
          <w:szCs w:val="24"/>
        </w:rPr>
      </w:pPr>
      <w:r w:rsidRPr="00D910D8">
        <w:rPr>
          <w:rFonts w:cs="Times New Roman"/>
          <w:szCs w:val="24"/>
        </w:rPr>
        <w:t>Imperial makes five allegations against Canada:</w:t>
      </w:r>
    </w:p>
    <w:p w:rsidR="00436702" w:rsidRPr="00D910D8" w:rsidRDefault="00917B1F" w:rsidP="00A77B75">
      <w:pPr>
        <w:pStyle w:val="Citation-AltC"/>
        <w:spacing w:after="480" w:line="480" w:lineRule="auto"/>
        <w:ind w:hanging="1166"/>
        <w:contextualSpacing w:val="0"/>
        <w:rPr>
          <w:szCs w:val="24"/>
        </w:rPr>
      </w:pPr>
      <w:r w:rsidRPr="00D910D8">
        <w:rPr>
          <w:szCs w:val="24"/>
        </w:rPr>
        <w:t>(</w:t>
      </w:r>
      <w:r w:rsidR="002606F8" w:rsidRPr="00D910D8">
        <w:rPr>
          <w:szCs w:val="24"/>
        </w:rPr>
        <w:t>1)</w:t>
      </w:r>
      <w:r w:rsidR="002606F8" w:rsidRPr="00D910D8">
        <w:rPr>
          <w:szCs w:val="24"/>
        </w:rPr>
        <w:tab/>
        <w:t xml:space="preserve">Canada is itself liable under the </w:t>
      </w:r>
      <w:r w:rsidR="002606F8" w:rsidRPr="00D910D8">
        <w:rPr>
          <w:i/>
          <w:szCs w:val="24"/>
        </w:rPr>
        <w:t xml:space="preserve">BPCPA </w:t>
      </w:r>
      <w:r w:rsidR="002606F8" w:rsidRPr="00D910D8">
        <w:rPr>
          <w:szCs w:val="24"/>
        </w:rPr>
        <w:t xml:space="preserve">and the </w:t>
      </w:r>
      <w:r w:rsidR="002606F8" w:rsidRPr="00D910D8">
        <w:rPr>
          <w:i/>
          <w:szCs w:val="24"/>
        </w:rPr>
        <w:t xml:space="preserve">TPA </w:t>
      </w:r>
      <w:r w:rsidR="002606F8" w:rsidRPr="00D910D8">
        <w:rPr>
          <w:szCs w:val="24"/>
        </w:rPr>
        <w:t xml:space="preserve">as a “supplier” of tobacco products that engaged in deceptive practices, and Imperial is entitled to contribution and indemnity from Canada pursuant to the provisions of the </w:t>
      </w:r>
      <w:r w:rsidR="002606F8" w:rsidRPr="00D910D8">
        <w:rPr>
          <w:i/>
          <w:iCs/>
          <w:szCs w:val="24"/>
        </w:rPr>
        <w:t>Negligence Act</w:t>
      </w:r>
      <w:r w:rsidR="007C51D7" w:rsidRPr="00D910D8">
        <w:rPr>
          <w:iCs/>
          <w:szCs w:val="24"/>
        </w:rPr>
        <w:t xml:space="preserve">, R.S.B.C. 1996, </w:t>
      </w:r>
      <w:proofErr w:type="gramStart"/>
      <w:r w:rsidR="007C51D7" w:rsidRPr="00D910D8">
        <w:rPr>
          <w:iCs/>
          <w:szCs w:val="24"/>
        </w:rPr>
        <w:t>c</w:t>
      </w:r>
      <w:proofErr w:type="gramEnd"/>
      <w:r w:rsidR="007C51D7" w:rsidRPr="00D910D8">
        <w:rPr>
          <w:iCs/>
          <w:szCs w:val="24"/>
        </w:rPr>
        <w:t>. 333</w:t>
      </w:r>
      <w:r w:rsidR="002606F8" w:rsidRPr="00D910D8">
        <w:rPr>
          <w:i/>
          <w:iCs/>
          <w:szCs w:val="24"/>
        </w:rPr>
        <w:t>.</w:t>
      </w:r>
    </w:p>
    <w:p w:rsidR="00436702" w:rsidRPr="00D910D8" w:rsidRDefault="00917B1F" w:rsidP="00A77B75">
      <w:pPr>
        <w:pStyle w:val="Citation-AltC"/>
        <w:spacing w:after="480" w:line="480" w:lineRule="auto"/>
        <w:ind w:hanging="1166"/>
        <w:contextualSpacing w:val="0"/>
        <w:rPr>
          <w:szCs w:val="24"/>
        </w:rPr>
      </w:pPr>
      <w:r w:rsidRPr="00D910D8">
        <w:rPr>
          <w:szCs w:val="24"/>
        </w:rPr>
        <w:t>(</w:t>
      </w:r>
      <w:r w:rsidR="002606F8" w:rsidRPr="00D910D8">
        <w:rPr>
          <w:szCs w:val="24"/>
        </w:rPr>
        <w:t>2)</w:t>
      </w:r>
      <w:r w:rsidR="002606F8" w:rsidRPr="00D910D8">
        <w:rPr>
          <w:szCs w:val="24"/>
        </w:rPr>
        <w:tab/>
        <w:t>Canada breached private law duties to consumers by negligently misrepresenting the health attributes of low-tar cigarettes, by failing to warn them against the hazards of low-tar cigarettes, and by failing to design its tobacco strain with due care. Consequently, Imperial alleges that it is entitled to contribution and indemnity from Canada</w:t>
      </w:r>
      <w:r w:rsidR="00E94CD5" w:rsidRPr="00D910D8">
        <w:rPr>
          <w:szCs w:val="24"/>
        </w:rPr>
        <w:t xml:space="preserve"> under the </w:t>
      </w:r>
      <w:r w:rsidR="00E94CD5" w:rsidRPr="00D910D8">
        <w:rPr>
          <w:i/>
          <w:szCs w:val="24"/>
        </w:rPr>
        <w:t>Negligence Act</w:t>
      </w:r>
      <w:r w:rsidR="002606F8" w:rsidRPr="00D910D8">
        <w:rPr>
          <w:szCs w:val="24"/>
        </w:rPr>
        <w:t>.</w:t>
      </w:r>
    </w:p>
    <w:p w:rsidR="00436702" w:rsidRPr="00D910D8" w:rsidRDefault="00917B1F" w:rsidP="00A77B75">
      <w:pPr>
        <w:pStyle w:val="Citation-AltC"/>
        <w:spacing w:after="480" w:line="480" w:lineRule="auto"/>
        <w:ind w:hanging="1166"/>
        <w:contextualSpacing w:val="0"/>
        <w:rPr>
          <w:szCs w:val="24"/>
        </w:rPr>
      </w:pPr>
      <w:r w:rsidRPr="00D910D8">
        <w:rPr>
          <w:szCs w:val="24"/>
        </w:rPr>
        <w:t>(</w:t>
      </w:r>
      <w:r w:rsidR="002606F8" w:rsidRPr="00D910D8">
        <w:rPr>
          <w:szCs w:val="24"/>
        </w:rPr>
        <w:t>3)</w:t>
      </w:r>
      <w:r w:rsidR="002606F8" w:rsidRPr="00D910D8">
        <w:rPr>
          <w:szCs w:val="24"/>
        </w:rPr>
        <w:tab/>
        <w:t xml:space="preserve">Canada breached its private law duties to Imperial by negligently misrepresenting the health attributes of low-tar cigarettes, by failing to warn Imperial about the hazards of low-tar cigarettes, and by failing to design its tobacco strain with due care.  Imperial alleges </w:t>
      </w:r>
      <w:r w:rsidR="007C51D7" w:rsidRPr="00D910D8">
        <w:rPr>
          <w:szCs w:val="24"/>
        </w:rPr>
        <w:t xml:space="preserve">that </w:t>
      </w:r>
      <w:r w:rsidR="002606F8" w:rsidRPr="00D910D8">
        <w:rPr>
          <w:szCs w:val="24"/>
        </w:rPr>
        <w:t xml:space="preserve">it is entitled </w:t>
      </w:r>
      <w:r w:rsidR="002606F8" w:rsidRPr="00D910D8">
        <w:rPr>
          <w:szCs w:val="24"/>
        </w:rPr>
        <w:lastRenderedPageBreak/>
        <w:t>to damages against Canada to the extent of any liability Imperial may have to the class members.</w:t>
      </w:r>
    </w:p>
    <w:p w:rsidR="00217CFA" w:rsidRPr="00D910D8" w:rsidRDefault="00917B1F" w:rsidP="00A77B75">
      <w:pPr>
        <w:pStyle w:val="Citation-AltC"/>
        <w:spacing w:after="480" w:line="480" w:lineRule="auto"/>
        <w:ind w:hanging="1166"/>
        <w:contextualSpacing w:val="0"/>
        <w:rPr>
          <w:szCs w:val="24"/>
        </w:rPr>
      </w:pPr>
      <w:r w:rsidRPr="00D910D8">
        <w:rPr>
          <w:szCs w:val="24"/>
        </w:rPr>
        <w:t>(</w:t>
      </w:r>
      <w:r w:rsidR="002606F8" w:rsidRPr="00D910D8">
        <w:rPr>
          <w:szCs w:val="24"/>
        </w:rPr>
        <w:t>4)</w:t>
      </w:r>
      <w:r w:rsidR="002606F8" w:rsidRPr="00D910D8">
        <w:rPr>
          <w:szCs w:val="24"/>
        </w:rPr>
        <w:tab/>
        <w:t>In the alternative, Canada is obliged to indemnify Imperial under the doctrine of equitable indemnity.</w:t>
      </w:r>
    </w:p>
    <w:p w:rsidR="000B0B7C" w:rsidRPr="00D910D8" w:rsidRDefault="00917B1F" w:rsidP="00A77B75">
      <w:pPr>
        <w:pStyle w:val="Citation-AltC"/>
        <w:spacing w:after="480" w:line="480" w:lineRule="auto"/>
        <w:ind w:hanging="1166"/>
        <w:contextualSpacing w:val="0"/>
        <w:rPr>
          <w:szCs w:val="24"/>
        </w:rPr>
      </w:pPr>
      <w:r w:rsidRPr="00D910D8">
        <w:rPr>
          <w:szCs w:val="24"/>
        </w:rPr>
        <w:t>(</w:t>
      </w:r>
      <w:r w:rsidR="002606F8" w:rsidRPr="00D910D8">
        <w:rPr>
          <w:szCs w:val="24"/>
        </w:rPr>
        <w:t xml:space="preserve">5) </w:t>
      </w:r>
      <w:r w:rsidR="002606F8" w:rsidRPr="00D910D8">
        <w:rPr>
          <w:szCs w:val="24"/>
        </w:rPr>
        <w:tab/>
        <w:t xml:space="preserve">If Canada is not liable to Imperial under any of the above claims, Imperial is entitled to declaratory relief against Canada so that it will remain a party to the action and be subject to discovery procedures under the </w:t>
      </w:r>
      <w:r w:rsidR="007C51D7" w:rsidRPr="00D910D8">
        <w:rPr>
          <w:i/>
          <w:szCs w:val="24"/>
        </w:rPr>
        <w:t>Supreme Court</w:t>
      </w:r>
      <w:r w:rsidR="007C51D7" w:rsidRPr="00D910D8">
        <w:rPr>
          <w:szCs w:val="24"/>
        </w:rPr>
        <w:t xml:space="preserve"> </w:t>
      </w:r>
      <w:r w:rsidR="002606F8" w:rsidRPr="00D910D8">
        <w:rPr>
          <w:i/>
          <w:iCs/>
          <w:szCs w:val="24"/>
        </w:rPr>
        <w:t>Rules</w:t>
      </w:r>
      <w:r w:rsidR="002606F8" w:rsidRPr="00D910D8">
        <w:rPr>
          <w:szCs w:val="24"/>
        </w:rPr>
        <w:t>.</w:t>
      </w:r>
    </w:p>
    <w:p w:rsidR="00217CFA" w:rsidRPr="00D910D8" w:rsidRDefault="002606F8" w:rsidP="00FC58DA">
      <w:pPr>
        <w:pStyle w:val="ParaNoNdepar-AltN"/>
        <w:rPr>
          <w:rFonts w:cs="Times New Roman"/>
          <w:szCs w:val="24"/>
        </w:rPr>
      </w:pPr>
      <w:r w:rsidRPr="00D910D8">
        <w:rPr>
          <w:rFonts w:cs="Times New Roman"/>
          <w:szCs w:val="24"/>
        </w:rPr>
        <w:t>Canada brought an application to strike the third</w:t>
      </w:r>
      <w:r w:rsidR="007C51D7" w:rsidRPr="00D910D8">
        <w:rPr>
          <w:rFonts w:cs="Times New Roman"/>
          <w:szCs w:val="24"/>
        </w:rPr>
        <w:t>-</w:t>
      </w:r>
      <w:r w:rsidRPr="00D910D8">
        <w:rPr>
          <w:rFonts w:cs="Times New Roman"/>
          <w:szCs w:val="24"/>
        </w:rPr>
        <w:t>party claims.  It was successful before Satanove J. in the Supreme Court of British Columbia</w:t>
      </w:r>
      <w:r w:rsidR="00725C8E" w:rsidRPr="00D910D8">
        <w:rPr>
          <w:rFonts w:cs="Times New Roman"/>
          <w:szCs w:val="24"/>
        </w:rPr>
        <w:t xml:space="preserve"> (2007 BCSC 964, 76 B.C.L.R. (4th) 100).  The c</w:t>
      </w:r>
      <w:r w:rsidRPr="00D910D8">
        <w:rPr>
          <w:rFonts w:cs="Times New Roman"/>
          <w:szCs w:val="24"/>
        </w:rPr>
        <w:t xml:space="preserve">hambers </w:t>
      </w:r>
      <w:r w:rsidR="00725C8E" w:rsidRPr="00D910D8">
        <w:rPr>
          <w:rFonts w:cs="Times New Roman"/>
          <w:szCs w:val="24"/>
        </w:rPr>
        <w:t>j</w:t>
      </w:r>
      <w:r w:rsidRPr="00D910D8">
        <w:rPr>
          <w:rFonts w:cs="Times New Roman"/>
          <w:szCs w:val="24"/>
        </w:rPr>
        <w:t xml:space="preserve">udge struck all of the claims against Canada.  Imperial was partially successful </w:t>
      </w:r>
      <w:r w:rsidR="001640DE" w:rsidRPr="00D910D8">
        <w:rPr>
          <w:rFonts w:cs="Times New Roman"/>
          <w:szCs w:val="24"/>
        </w:rPr>
        <w:t>in</w:t>
      </w:r>
      <w:r w:rsidRPr="00D910D8">
        <w:rPr>
          <w:rFonts w:cs="Times New Roman"/>
          <w:szCs w:val="24"/>
        </w:rPr>
        <w:t xml:space="preserve"> the Court of Appeal</w:t>
      </w:r>
      <w:r w:rsidR="00E94CD5" w:rsidRPr="00D910D8">
        <w:rPr>
          <w:rFonts w:cs="Times New Roman"/>
          <w:szCs w:val="24"/>
        </w:rPr>
        <w:t xml:space="preserve"> (2009 BCCA 541, 99 B.C.L.R. (4th) 93)</w:t>
      </w:r>
      <w:r w:rsidRPr="00D910D8">
        <w:rPr>
          <w:rFonts w:cs="Times New Roman"/>
          <w:szCs w:val="24"/>
        </w:rPr>
        <w:t>.  The Court of Appeal unanimously struck the statutory claim, the claim of negligent design between Canada and Imperial, and the equitable indemnity claim.  However, the majority</w:t>
      </w:r>
      <w:r w:rsidR="00725C8E" w:rsidRPr="00D910D8">
        <w:rPr>
          <w:rFonts w:cs="Times New Roman"/>
          <w:szCs w:val="24"/>
        </w:rPr>
        <w:t>,</w:t>
      </w:r>
      <w:r w:rsidRPr="00D910D8">
        <w:rPr>
          <w:rFonts w:cs="Times New Roman"/>
          <w:szCs w:val="24"/>
        </w:rPr>
        <w:t xml:space="preserve"> </w:t>
      </w:r>
      <w:r w:rsidRPr="00D910D8">
        <w:rPr>
          <w:rFonts w:cs="Times New Roman"/>
          <w:i/>
          <w:szCs w:val="24"/>
        </w:rPr>
        <w:t>per</w:t>
      </w:r>
      <w:r w:rsidRPr="00D910D8">
        <w:rPr>
          <w:rFonts w:cs="Times New Roman"/>
          <w:szCs w:val="24"/>
        </w:rPr>
        <w:t xml:space="preserve"> Tysoe J.A., held that the two negligent misrepresentation claims and the negligent design claim between Canada and consumers should be allowed to proceed.  </w:t>
      </w:r>
      <w:r w:rsidR="00C64919" w:rsidRPr="00D910D8">
        <w:rPr>
          <w:rFonts w:cs="Times New Roman"/>
          <w:szCs w:val="24"/>
        </w:rPr>
        <w:t xml:space="preserve">The </w:t>
      </w:r>
      <w:r w:rsidR="00674D36" w:rsidRPr="00D910D8">
        <w:rPr>
          <w:rFonts w:cs="Times New Roman"/>
          <w:szCs w:val="24"/>
        </w:rPr>
        <w:t xml:space="preserve">majority </w:t>
      </w:r>
      <w:r w:rsidR="00C64919" w:rsidRPr="00D910D8">
        <w:rPr>
          <w:rFonts w:cs="Times New Roman"/>
          <w:szCs w:val="24"/>
        </w:rPr>
        <w:t xml:space="preserve">reasons did not address the failure to warn claim.  </w:t>
      </w:r>
      <w:r w:rsidRPr="00D910D8">
        <w:rPr>
          <w:rFonts w:cs="Times New Roman"/>
          <w:szCs w:val="24"/>
        </w:rPr>
        <w:t>Hall J.A., dissenting, would have struck all the third</w:t>
      </w:r>
      <w:r w:rsidR="00725C8E" w:rsidRPr="00D910D8">
        <w:rPr>
          <w:rFonts w:cs="Times New Roman"/>
          <w:szCs w:val="24"/>
        </w:rPr>
        <w:t>-</w:t>
      </w:r>
      <w:r w:rsidRPr="00D910D8">
        <w:rPr>
          <w:rFonts w:cs="Times New Roman"/>
          <w:szCs w:val="24"/>
        </w:rPr>
        <w:t>party claims.</w:t>
      </w:r>
    </w:p>
    <w:p w:rsidR="00D0356C" w:rsidRPr="00D910D8" w:rsidRDefault="00725C8E" w:rsidP="00581B23">
      <w:pPr>
        <w:pStyle w:val="TitleTitre-AltT"/>
        <w:tabs>
          <w:tab w:val="clear" w:pos="360"/>
          <w:tab w:val="left" w:pos="540"/>
        </w:tabs>
        <w:spacing w:after="720"/>
        <w:ind w:left="547" w:hanging="547"/>
        <w:rPr>
          <w:rFonts w:cs="Times New Roman"/>
          <w:szCs w:val="24"/>
        </w:rPr>
      </w:pPr>
      <w:bookmarkStart w:id="4" w:name="_Toc314733738"/>
      <w:r w:rsidRPr="00D910D8">
        <w:rPr>
          <w:rFonts w:cs="Times New Roman"/>
          <w:szCs w:val="24"/>
        </w:rPr>
        <w:lastRenderedPageBreak/>
        <w:t>B</w:t>
      </w:r>
      <w:r w:rsidR="00FC58DA" w:rsidRPr="00D910D8">
        <w:rPr>
          <w:rFonts w:cs="Times New Roman"/>
          <w:szCs w:val="24"/>
        </w:rPr>
        <w:t>.</w:t>
      </w:r>
      <w:r w:rsidR="0066330D" w:rsidRPr="00D910D8">
        <w:rPr>
          <w:rFonts w:cs="Times New Roman"/>
          <w:szCs w:val="24"/>
        </w:rPr>
        <w:tab/>
      </w:r>
      <w:r w:rsidRPr="00D910D8">
        <w:rPr>
          <w:rFonts w:cs="Times New Roman"/>
          <w:i/>
          <w:szCs w:val="24"/>
        </w:rPr>
        <w:t>The</w:t>
      </w:r>
      <w:r w:rsidRPr="00D910D8">
        <w:rPr>
          <w:rFonts w:cs="Times New Roman"/>
          <w:szCs w:val="24"/>
        </w:rPr>
        <w:t xml:space="preserve"> </w:t>
      </w:r>
      <w:r w:rsidR="002606F8" w:rsidRPr="00D910D8">
        <w:rPr>
          <w:rFonts w:cs="Times New Roman"/>
          <w:i/>
          <w:szCs w:val="24"/>
        </w:rPr>
        <w:t>Costs Recovery Case</w:t>
      </w:r>
      <w:bookmarkEnd w:id="4"/>
    </w:p>
    <w:p w:rsidR="00354528" w:rsidRPr="00D910D8" w:rsidRDefault="002606F8" w:rsidP="00FC58DA">
      <w:pPr>
        <w:pStyle w:val="ParaNoNdepar-AltN"/>
        <w:rPr>
          <w:rFonts w:cs="Times New Roman"/>
          <w:szCs w:val="24"/>
        </w:rPr>
      </w:pPr>
      <w:r w:rsidRPr="00D910D8">
        <w:rPr>
          <w:rFonts w:cs="Times New Roman"/>
          <w:szCs w:val="24"/>
        </w:rPr>
        <w:t xml:space="preserve">The Government of British Columbia has brought a claim under the </w:t>
      </w:r>
      <w:r w:rsidR="001640DE" w:rsidRPr="00D910D8">
        <w:rPr>
          <w:rFonts w:cs="Times New Roman"/>
          <w:i/>
          <w:szCs w:val="24"/>
        </w:rPr>
        <w:t>CR</w:t>
      </w:r>
      <w:r w:rsidRPr="00D910D8">
        <w:rPr>
          <w:rFonts w:cs="Times New Roman"/>
          <w:i/>
          <w:szCs w:val="24"/>
        </w:rPr>
        <w:t>A</w:t>
      </w:r>
      <w:r w:rsidRPr="00D910D8">
        <w:rPr>
          <w:rFonts w:cs="Times New Roman"/>
          <w:szCs w:val="24"/>
        </w:rPr>
        <w:t xml:space="preserve"> to recover the expense of treating tobacco</w:t>
      </w:r>
      <w:r w:rsidR="00725C8E" w:rsidRPr="00D910D8">
        <w:rPr>
          <w:rFonts w:cs="Times New Roman"/>
          <w:szCs w:val="24"/>
        </w:rPr>
        <w:t>-</w:t>
      </w:r>
      <w:r w:rsidRPr="00D910D8">
        <w:rPr>
          <w:rFonts w:cs="Times New Roman"/>
          <w:szCs w:val="24"/>
        </w:rPr>
        <w:t>related illnesses ca</w:t>
      </w:r>
      <w:r w:rsidR="00E94CD5" w:rsidRPr="00D910D8">
        <w:rPr>
          <w:rFonts w:cs="Times New Roman"/>
          <w:szCs w:val="24"/>
        </w:rPr>
        <w:t>used by “tobacco related wrong</w:t>
      </w:r>
      <w:r w:rsidR="0086130B" w:rsidRPr="00D910D8">
        <w:rPr>
          <w:rFonts w:cs="Times New Roman"/>
          <w:szCs w:val="24"/>
        </w:rPr>
        <w:t>[</w:t>
      </w:r>
      <w:r w:rsidR="00725C8E" w:rsidRPr="00D910D8">
        <w:rPr>
          <w:rFonts w:cs="Times New Roman"/>
          <w:szCs w:val="24"/>
        </w:rPr>
        <w:t>s</w:t>
      </w:r>
      <w:r w:rsidR="0086130B" w:rsidRPr="00D910D8">
        <w:rPr>
          <w:rFonts w:cs="Times New Roman"/>
          <w:szCs w:val="24"/>
        </w:rPr>
        <w:t>]</w:t>
      </w:r>
      <w:r w:rsidRPr="00D910D8">
        <w:rPr>
          <w:rFonts w:cs="Times New Roman"/>
          <w:szCs w:val="24"/>
        </w:rPr>
        <w:t>”</w:t>
      </w:r>
      <w:r w:rsidR="00725C8E" w:rsidRPr="00D910D8">
        <w:rPr>
          <w:rFonts w:cs="Times New Roman"/>
          <w:szCs w:val="24"/>
        </w:rPr>
        <w:t>.</w:t>
      </w:r>
      <w:r w:rsidRPr="00D910D8">
        <w:rPr>
          <w:rFonts w:cs="Times New Roman"/>
          <w:szCs w:val="24"/>
        </w:rPr>
        <w:t xml:space="preserve">  Under the </w:t>
      </w:r>
      <w:r w:rsidRPr="00D910D8">
        <w:rPr>
          <w:rFonts w:cs="Times New Roman"/>
          <w:i/>
          <w:szCs w:val="24"/>
        </w:rPr>
        <w:t>CRA</w:t>
      </w:r>
      <w:r w:rsidRPr="00D910D8">
        <w:rPr>
          <w:rFonts w:cs="Times New Roman"/>
          <w:szCs w:val="24"/>
        </w:rPr>
        <w:t xml:space="preserve">, manufacturers of tobacco products are liable to the province directly.  The </w:t>
      </w:r>
      <w:r w:rsidR="001640DE" w:rsidRPr="00D910D8">
        <w:rPr>
          <w:rFonts w:cs="Times New Roman"/>
          <w:szCs w:val="24"/>
        </w:rPr>
        <w:t xml:space="preserve">claim was brought against </w:t>
      </w:r>
      <w:r w:rsidR="0000151D" w:rsidRPr="00D910D8">
        <w:rPr>
          <w:rFonts w:cs="Times New Roman"/>
          <w:szCs w:val="24"/>
        </w:rPr>
        <w:t xml:space="preserve">14 </w:t>
      </w:r>
      <w:r w:rsidRPr="00D910D8">
        <w:rPr>
          <w:rFonts w:cs="Times New Roman"/>
          <w:szCs w:val="24"/>
        </w:rPr>
        <w:t>tobacco companies.  British Columbia alleges that by 1950, these tobacco companies knew or ought to have known that cigarettes were harmful to one’s health, and that they failed to properly warn the public about the risks associated with smoking their product.</w:t>
      </w:r>
    </w:p>
    <w:p w:rsidR="00BD55A5" w:rsidRPr="00D910D8" w:rsidRDefault="00E94CD5" w:rsidP="00FC58DA">
      <w:pPr>
        <w:pStyle w:val="ParaNoNdepar-AltN"/>
        <w:rPr>
          <w:rFonts w:cs="Times New Roman"/>
          <w:szCs w:val="24"/>
        </w:rPr>
      </w:pPr>
      <w:r w:rsidRPr="00D910D8">
        <w:rPr>
          <w:rFonts w:cs="Times New Roman"/>
          <w:szCs w:val="24"/>
        </w:rPr>
        <w:t>Various</w:t>
      </w:r>
      <w:r w:rsidR="002606F8" w:rsidRPr="00D910D8">
        <w:rPr>
          <w:rFonts w:cs="Times New Roman"/>
          <w:szCs w:val="24"/>
        </w:rPr>
        <w:t xml:space="preserve"> defendants in the </w:t>
      </w:r>
      <w:r w:rsidR="002606F8" w:rsidRPr="00D910D8">
        <w:rPr>
          <w:rFonts w:cs="Times New Roman"/>
          <w:i/>
          <w:szCs w:val="24"/>
        </w:rPr>
        <w:t xml:space="preserve">Costs Recovery </w:t>
      </w:r>
      <w:r w:rsidR="002606F8" w:rsidRPr="00D910D8">
        <w:rPr>
          <w:rFonts w:cs="Times New Roman"/>
          <w:szCs w:val="24"/>
        </w:rPr>
        <w:t>case</w:t>
      </w:r>
      <w:r w:rsidRPr="00D910D8">
        <w:rPr>
          <w:rFonts w:cs="Times New Roman"/>
          <w:szCs w:val="24"/>
        </w:rPr>
        <w:t>, including Imperial,</w:t>
      </w:r>
      <w:r w:rsidR="002606F8" w:rsidRPr="00D910D8">
        <w:rPr>
          <w:rFonts w:cs="Times New Roman"/>
          <w:szCs w:val="24"/>
        </w:rPr>
        <w:t xml:space="preserve"> brought third</w:t>
      </w:r>
      <w:r w:rsidR="00725C8E" w:rsidRPr="00D910D8">
        <w:rPr>
          <w:rFonts w:cs="Times New Roman"/>
          <w:szCs w:val="24"/>
        </w:rPr>
        <w:t>-</w:t>
      </w:r>
      <w:r w:rsidR="002606F8" w:rsidRPr="00D910D8">
        <w:rPr>
          <w:rFonts w:cs="Times New Roman"/>
          <w:szCs w:val="24"/>
        </w:rPr>
        <w:t>party notices against Canada for its alleged role in the tobacco industry</w:t>
      </w:r>
      <w:r w:rsidR="00086A89" w:rsidRPr="00D910D8">
        <w:rPr>
          <w:rFonts w:cs="Times New Roman"/>
          <w:szCs w:val="24"/>
        </w:rPr>
        <w:t xml:space="preserve">.  I refer to them </w:t>
      </w:r>
      <w:r w:rsidR="004E1DE0" w:rsidRPr="00D910D8">
        <w:rPr>
          <w:rFonts w:cs="Times New Roman"/>
          <w:szCs w:val="24"/>
        </w:rPr>
        <w:t>collectively</w:t>
      </w:r>
      <w:r w:rsidR="00086A89" w:rsidRPr="00D910D8">
        <w:rPr>
          <w:rFonts w:cs="Times New Roman"/>
          <w:szCs w:val="24"/>
        </w:rPr>
        <w:t xml:space="preserve"> as th</w:t>
      </w:r>
      <w:r w:rsidR="004E1DE0" w:rsidRPr="00D910D8">
        <w:rPr>
          <w:rFonts w:cs="Times New Roman"/>
          <w:szCs w:val="24"/>
        </w:rPr>
        <w:t>e “</w:t>
      </w:r>
      <w:r w:rsidR="00047E9C" w:rsidRPr="00D910D8">
        <w:rPr>
          <w:rFonts w:cs="Times New Roman"/>
          <w:szCs w:val="24"/>
        </w:rPr>
        <w:t>tobacco companies</w:t>
      </w:r>
      <w:r w:rsidR="00086A89" w:rsidRPr="00D910D8">
        <w:rPr>
          <w:rFonts w:cs="Times New Roman"/>
          <w:szCs w:val="24"/>
        </w:rPr>
        <w:t>”</w:t>
      </w:r>
      <w:r w:rsidR="00725C8E" w:rsidRPr="00D910D8">
        <w:rPr>
          <w:rFonts w:cs="Times New Roman"/>
          <w:szCs w:val="24"/>
        </w:rPr>
        <w:t xml:space="preserve">.  </w:t>
      </w:r>
      <w:r w:rsidR="00217CFA" w:rsidRPr="00D910D8">
        <w:rPr>
          <w:rFonts w:cs="Times New Roman"/>
          <w:szCs w:val="24"/>
        </w:rPr>
        <w:t xml:space="preserve">The allegations in this claim are strikingly similar to </w:t>
      </w:r>
      <w:r w:rsidR="00D0356C" w:rsidRPr="00D910D8">
        <w:rPr>
          <w:rFonts w:cs="Times New Roman"/>
          <w:szCs w:val="24"/>
        </w:rPr>
        <w:t xml:space="preserve">those in </w:t>
      </w:r>
      <w:r w:rsidR="002606F8" w:rsidRPr="00D910D8">
        <w:rPr>
          <w:rFonts w:cs="Times New Roman"/>
          <w:szCs w:val="24"/>
        </w:rPr>
        <w:t xml:space="preserve">the </w:t>
      </w:r>
      <w:r w:rsidR="002606F8" w:rsidRPr="00D910D8">
        <w:rPr>
          <w:rFonts w:cs="Times New Roman"/>
          <w:i/>
          <w:szCs w:val="24"/>
        </w:rPr>
        <w:t>Knight</w:t>
      </w:r>
      <w:r w:rsidR="002606F8" w:rsidRPr="00D910D8">
        <w:rPr>
          <w:rFonts w:cs="Times New Roman"/>
          <w:szCs w:val="24"/>
        </w:rPr>
        <w:t xml:space="preserve"> case.  The tobacco companies </w:t>
      </w:r>
      <w:r w:rsidR="00DA5294" w:rsidRPr="00D910D8">
        <w:rPr>
          <w:rFonts w:cs="Times New Roman"/>
          <w:szCs w:val="24"/>
        </w:rPr>
        <w:t>plead</w:t>
      </w:r>
      <w:r w:rsidR="002606F8" w:rsidRPr="00D910D8">
        <w:rPr>
          <w:rFonts w:cs="Times New Roman"/>
          <w:szCs w:val="24"/>
        </w:rPr>
        <w:t xml:space="preserve"> that Health Canada advised the</w:t>
      </w:r>
      <w:r w:rsidR="00DA5294" w:rsidRPr="00D910D8">
        <w:rPr>
          <w:rFonts w:cs="Times New Roman"/>
          <w:szCs w:val="24"/>
        </w:rPr>
        <w:t>m</w:t>
      </w:r>
      <w:r w:rsidR="002606F8" w:rsidRPr="00D910D8">
        <w:rPr>
          <w:rFonts w:cs="Times New Roman"/>
          <w:szCs w:val="24"/>
        </w:rPr>
        <w:t xml:space="preserve"> and the public that low-tar cigarettes were less hazardous</w:t>
      </w:r>
      <w:r w:rsidR="00086A89" w:rsidRPr="00D910D8">
        <w:rPr>
          <w:rFonts w:cs="Times New Roman"/>
          <w:szCs w:val="24"/>
        </w:rPr>
        <w:t xml:space="preserve"> and</w:t>
      </w:r>
      <w:r w:rsidR="00AC5B22" w:rsidRPr="00D910D8">
        <w:rPr>
          <w:rFonts w:cs="Times New Roman"/>
          <w:szCs w:val="24"/>
        </w:rPr>
        <w:t xml:space="preserve"> </w:t>
      </w:r>
      <w:r w:rsidR="00DA5294" w:rsidRPr="00D910D8">
        <w:rPr>
          <w:rFonts w:cs="Times New Roman"/>
          <w:szCs w:val="24"/>
        </w:rPr>
        <w:t>instructed s</w:t>
      </w:r>
      <w:r w:rsidR="002606F8" w:rsidRPr="00D910D8">
        <w:rPr>
          <w:rFonts w:cs="Times New Roman"/>
          <w:szCs w:val="24"/>
        </w:rPr>
        <w:t>mokers that they s</w:t>
      </w:r>
      <w:r w:rsidR="00086A89" w:rsidRPr="00D910D8">
        <w:rPr>
          <w:rFonts w:cs="Times New Roman"/>
          <w:szCs w:val="24"/>
        </w:rPr>
        <w:t>hould quit smoking</w:t>
      </w:r>
      <w:r w:rsidR="002606F8" w:rsidRPr="00D910D8">
        <w:rPr>
          <w:rFonts w:cs="Times New Roman"/>
          <w:szCs w:val="24"/>
        </w:rPr>
        <w:t xml:space="preserve"> </w:t>
      </w:r>
      <w:r w:rsidR="00AC5B22" w:rsidRPr="00D910D8">
        <w:rPr>
          <w:rFonts w:cs="Times New Roman"/>
          <w:szCs w:val="24"/>
        </w:rPr>
        <w:t>or</w:t>
      </w:r>
      <w:r w:rsidR="002606F8" w:rsidRPr="00D910D8">
        <w:rPr>
          <w:rFonts w:cs="Times New Roman"/>
          <w:szCs w:val="24"/>
        </w:rPr>
        <w:t xml:space="preserve"> purchase low-tar cigarettes.  The tobacco companies allege that Canada was initially opposed to the use of warning labels on cigarette packaging, but ultimately instructed the industry that warning labels should be used and what they should say.  </w:t>
      </w:r>
      <w:r w:rsidR="00A447DF" w:rsidRPr="00D910D8">
        <w:rPr>
          <w:rFonts w:cs="Times New Roman"/>
          <w:szCs w:val="24"/>
        </w:rPr>
        <w:t>The tobacco companies also plead</w:t>
      </w:r>
      <w:r w:rsidR="002606F8" w:rsidRPr="00D910D8">
        <w:rPr>
          <w:rFonts w:cs="Times New Roman"/>
          <w:szCs w:val="24"/>
        </w:rPr>
        <w:t xml:space="preserve"> that Agriculture Canada researched, developed, manufactured and licen</w:t>
      </w:r>
      <w:r w:rsidR="00725C8E" w:rsidRPr="00D910D8">
        <w:rPr>
          <w:rFonts w:cs="Times New Roman"/>
          <w:szCs w:val="24"/>
        </w:rPr>
        <w:t>s</w:t>
      </w:r>
      <w:r w:rsidR="002606F8" w:rsidRPr="00D910D8">
        <w:rPr>
          <w:rFonts w:cs="Times New Roman"/>
          <w:szCs w:val="24"/>
        </w:rPr>
        <w:t xml:space="preserve">ed </w:t>
      </w:r>
      <w:r w:rsidR="00086A89" w:rsidRPr="00D910D8">
        <w:rPr>
          <w:rFonts w:cs="Times New Roman"/>
          <w:szCs w:val="24"/>
        </w:rPr>
        <w:t xml:space="preserve">the </w:t>
      </w:r>
      <w:r w:rsidR="002606F8" w:rsidRPr="00D910D8">
        <w:rPr>
          <w:rFonts w:cs="Times New Roman"/>
          <w:szCs w:val="24"/>
        </w:rPr>
        <w:t>strains of low-tar tobacco which they used for their cigaret</w:t>
      </w:r>
      <w:r w:rsidR="00581B23" w:rsidRPr="00D910D8">
        <w:rPr>
          <w:rFonts w:cs="Times New Roman"/>
          <w:szCs w:val="24"/>
        </w:rPr>
        <w:t>tes in exchange for royalties.</w:t>
      </w:r>
    </w:p>
    <w:p w:rsidR="00217CFA" w:rsidRPr="00D910D8" w:rsidRDefault="002606F8" w:rsidP="00FC58DA">
      <w:pPr>
        <w:pStyle w:val="ParaNoNdepar-AltN"/>
        <w:rPr>
          <w:rFonts w:cs="Times New Roman"/>
          <w:szCs w:val="24"/>
        </w:rPr>
      </w:pPr>
      <w:r w:rsidRPr="00D910D8">
        <w:rPr>
          <w:rFonts w:cs="Times New Roman"/>
          <w:szCs w:val="24"/>
        </w:rPr>
        <w:lastRenderedPageBreak/>
        <w:t>The tobacco companies brought the following claims against Canada:</w:t>
      </w:r>
    </w:p>
    <w:p w:rsidR="00217CFA" w:rsidRPr="00D910D8" w:rsidRDefault="00917B1F" w:rsidP="00FE6C33">
      <w:pPr>
        <w:pStyle w:val="Citation-AltC"/>
        <w:spacing w:after="480" w:line="480" w:lineRule="auto"/>
        <w:ind w:hanging="1166"/>
        <w:contextualSpacing w:val="0"/>
        <w:rPr>
          <w:szCs w:val="24"/>
        </w:rPr>
      </w:pPr>
      <w:r w:rsidRPr="00D910D8">
        <w:rPr>
          <w:szCs w:val="24"/>
        </w:rPr>
        <w:t>(</w:t>
      </w:r>
      <w:r w:rsidR="002606F8" w:rsidRPr="00D910D8">
        <w:rPr>
          <w:szCs w:val="24"/>
        </w:rPr>
        <w:t>1)</w:t>
      </w:r>
      <w:r w:rsidR="002606F8" w:rsidRPr="00D910D8">
        <w:rPr>
          <w:szCs w:val="24"/>
        </w:rPr>
        <w:tab/>
        <w:t xml:space="preserve">Canada is itself liable under the </w:t>
      </w:r>
      <w:r w:rsidR="00725C8E" w:rsidRPr="00D910D8">
        <w:rPr>
          <w:i/>
          <w:szCs w:val="24"/>
        </w:rPr>
        <w:t>CRA</w:t>
      </w:r>
      <w:r w:rsidR="002606F8" w:rsidRPr="00D910D8">
        <w:rPr>
          <w:i/>
          <w:szCs w:val="24"/>
        </w:rPr>
        <w:t xml:space="preserve"> </w:t>
      </w:r>
      <w:r w:rsidR="002606F8" w:rsidRPr="00D910D8">
        <w:rPr>
          <w:szCs w:val="24"/>
        </w:rPr>
        <w:t xml:space="preserve">as a “manufacturer” of tobacco products, and the tobacco companies are entitled to contribution and indemnity from Canada pursuant to the </w:t>
      </w:r>
      <w:r w:rsidR="002606F8" w:rsidRPr="00D910D8">
        <w:rPr>
          <w:i/>
          <w:iCs/>
          <w:szCs w:val="24"/>
        </w:rPr>
        <w:t>Negligence Act</w:t>
      </w:r>
      <w:r w:rsidR="002606F8" w:rsidRPr="00D910D8">
        <w:rPr>
          <w:szCs w:val="24"/>
        </w:rPr>
        <w:t>.</w:t>
      </w:r>
    </w:p>
    <w:p w:rsidR="00D62649" w:rsidRPr="00D910D8" w:rsidRDefault="00917B1F" w:rsidP="00FE6C33">
      <w:pPr>
        <w:pStyle w:val="Citation-AltC"/>
        <w:spacing w:after="480" w:line="480" w:lineRule="auto"/>
        <w:ind w:hanging="1166"/>
        <w:contextualSpacing w:val="0"/>
        <w:rPr>
          <w:szCs w:val="24"/>
        </w:rPr>
      </w:pPr>
      <w:r w:rsidRPr="00D910D8">
        <w:rPr>
          <w:szCs w:val="24"/>
        </w:rPr>
        <w:t>(</w:t>
      </w:r>
      <w:r w:rsidR="00D62649" w:rsidRPr="00D910D8">
        <w:rPr>
          <w:szCs w:val="24"/>
        </w:rPr>
        <w:t>2)</w:t>
      </w:r>
      <w:r w:rsidR="00D62649" w:rsidRPr="00D910D8">
        <w:rPr>
          <w:szCs w:val="24"/>
        </w:rPr>
        <w:tab/>
        <w:t xml:space="preserve">Canada breached private law duties to consumers for failure to warn, negligent design, and negligent misrepresentation, and the tobacco companies are entitled to contribution and indemnity from Canada </w:t>
      </w:r>
      <w:r w:rsidR="00F16C1C" w:rsidRPr="00D910D8">
        <w:rPr>
          <w:szCs w:val="24"/>
        </w:rPr>
        <w:t>to the ex</w:t>
      </w:r>
      <w:r w:rsidR="00086A89" w:rsidRPr="00D910D8">
        <w:rPr>
          <w:szCs w:val="24"/>
        </w:rPr>
        <w:t xml:space="preserve">tent of any liability they may have to British Columbia under the </w:t>
      </w:r>
      <w:r w:rsidR="00086A89" w:rsidRPr="00D910D8">
        <w:rPr>
          <w:i/>
          <w:szCs w:val="24"/>
        </w:rPr>
        <w:t>CRA</w:t>
      </w:r>
      <w:r w:rsidR="00D62649" w:rsidRPr="00D910D8">
        <w:rPr>
          <w:szCs w:val="24"/>
        </w:rPr>
        <w:t>.</w:t>
      </w:r>
    </w:p>
    <w:p w:rsidR="00217CFA" w:rsidRPr="00D910D8" w:rsidRDefault="00917B1F" w:rsidP="00FE6C33">
      <w:pPr>
        <w:pStyle w:val="Citation-AltC"/>
        <w:spacing w:after="480" w:line="480" w:lineRule="auto"/>
        <w:ind w:hanging="1166"/>
        <w:contextualSpacing w:val="0"/>
        <w:rPr>
          <w:szCs w:val="24"/>
        </w:rPr>
      </w:pPr>
      <w:r w:rsidRPr="00D910D8">
        <w:rPr>
          <w:szCs w:val="24"/>
        </w:rPr>
        <w:t>(</w:t>
      </w:r>
      <w:r w:rsidR="00D62649" w:rsidRPr="00D910D8">
        <w:rPr>
          <w:szCs w:val="24"/>
        </w:rPr>
        <w:t>3</w:t>
      </w:r>
      <w:r w:rsidR="002606F8" w:rsidRPr="00D910D8">
        <w:rPr>
          <w:szCs w:val="24"/>
        </w:rPr>
        <w:t>)</w:t>
      </w:r>
      <w:r w:rsidR="002606F8" w:rsidRPr="00D910D8">
        <w:rPr>
          <w:szCs w:val="24"/>
        </w:rPr>
        <w:tab/>
        <w:t xml:space="preserve">Canada breached its private law duties owed to the tobacco companies for failure to warn and negligent design, and negligently misrepresented the attributes of low-tar cigarettes. The tobacco companies allege that they are entitled to damages against Canada to the extent of any liability they may have to British Columbia under the </w:t>
      </w:r>
      <w:r w:rsidR="00725C8E" w:rsidRPr="00D910D8">
        <w:rPr>
          <w:i/>
          <w:szCs w:val="24"/>
        </w:rPr>
        <w:t>CRA</w:t>
      </w:r>
      <w:r w:rsidR="002606F8" w:rsidRPr="00D910D8">
        <w:rPr>
          <w:szCs w:val="24"/>
        </w:rPr>
        <w:t>.</w:t>
      </w:r>
    </w:p>
    <w:p w:rsidR="00217CFA" w:rsidRPr="00D910D8" w:rsidRDefault="00917B1F" w:rsidP="00FE6C33">
      <w:pPr>
        <w:pStyle w:val="Citation-AltC"/>
        <w:spacing w:after="480" w:line="480" w:lineRule="auto"/>
        <w:ind w:hanging="1166"/>
        <w:contextualSpacing w:val="0"/>
        <w:rPr>
          <w:szCs w:val="24"/>
        </w:rPr>
      </w:pPr>
      <w:r w:rsidRPr="00D910D8">
        <w:rPr>
          <w:szCs w:val="24"/>
        </w:rPr>
        <w:t>(</w:t>
      </w:r>
      <w:r w:rsidR="00D62649" w:rsidRPr="00D910D8">
        <w:rPr>
          <w:szCs w:val="24"/>
        </w:rPr>
        <w:t>4</w:t>
      </w:r>
      <w:r w:rsidR="002606F8" w:rsidRPr="00D910D8">
        <w:rPr>
          <w:szCs w:val="24"/>
        </w:rPr>
        <w:t>)</w:t>
      </w:r>
      <w:r w:rsidR="002606F8" w:rsidRPr="00D910D8">
        <w:rPr>
          <w:szCs w:val="24"/>
        </w:rPr>
        <w:tab/>
        <w:t>In the alternative, Canada is obliged to indemnify the tobacco companies under the doctrine of equitable indemnity.</w:t>
      </w:r>
    </w:p>
    <w:p w:rsidR="00217CFA" w:rsidRPr="00D910D8" w:rsidRDefault="00917B1F" w:rsidP="00FE6C33">
      <w:pPr>
        <w:pStyle w:val="Citation-AltC"/>
        <w:spacing w:after="480" w:line="480" w:lineRule="auto"/>
        <w:ind w:hanging="1166"/>
        <w:contextualSpacing w:val="0"/>
        <w:rPr>
          <w:szCs w:val="24"/>
        </w:rPr>
      </w:pPr>
      <w:r w:rsidRPr="00D910D8">
        <w:rPr>
          <w:szCs w:val="24"/>
        </w:rPr>
        <w:t>(</w:t>
      </w:r>
      <w:r w:rsidR="00D62649" w:rsidRPr="00D910D8">
        <w:rPr>
          <w:szCs w:val="24"/>
        </w:rPr>
        <w:t>5</w:t>
      </w:r>
      <w:r w:rsidR="00FC58DA" w:rsidRPr="00D910D8">
        <w:rPr>
          <w:szCs w:val="24"/>
        </w:rPr>
        <w:t>)</w:t>
      </w:r>
      <w:r w:rsidR="002606F8" w:rsidRPr="00D910D8">
        <w:rPr>
          <w:szCs w:val="24"/>
        </w:rPr>
        <w:tab/>
        <w:t>If Canada is not liable to the tobacco companies under any of the above claims, they are entitl</w:t>
      </w:r>
      <w:r w:rsidR="001640DE" w:rsidRPr="00D910D8">
        <w:rPr>
          <w:szCs w:val="24"/>
        </w:rPr>
        <w:t>ed to declaratory relief</w:t>
      </w:r>
      <w:r w:rsidR="002606F8" w:rsidRPr="00D910D8">
        <w:rPr>
          <w:szCs w:val="24"/>
        </w:rPr>
        <w:t>.</w:t>
      </w:r>
    </w:p>
    <w:p w:rsidR="00217CFA" w:rsidRPr="00D910D8" w:rsidRDefault="002606F8" w:rsidP="00F947EC">
      <w:pPr>
        <w:pStyle w:val="ParaNoNdepar-AltN"/>
        <w:rPr>
          <w:rFonts w:cs="Times New Roman"/>
          <w:szCs w:val="24"/>
        </w:rPr>
      </w:pPr>
      <w:r w:rsidRPr="00D910D8">
        <w:rPr>
          <w:rFonts w:cs="Times New Roman"/>
          <w:szCs w:val="24"/>
        </w:rPr>
        <w:lastRenderedPageBreak/>
        <w:t>Ca</w:t>
      </w:r>
      <w:r w:rsidR="00725C8E" w:rsidRPr="00D910D8">
        <w:rPr>
          <w:rFonts w:cs="Times New Roman"/>
          <w:szCs w:val="24"/>
        </w:rPr>
        <w:t>nada was successful before the c</w:t>
      </w:r>
      <w:r w:rsidRPr="00D910D8">
        <w:rPr>
          <w:rFonts w:cs="Times New Roman"/>
          <w:szCs w:val="24"/>
        </w:rPr>
        <w:t xml:space="preserve">hambers </w:t>
      </w:r>
      <w:r w:rsidR="00725C8E" w:rsidRPr="00D910D8">
        <w:rPr>
          <w:rFonts w:cs="Times New Roman"/>
          <w:szCs w:val="24"/>
        </w:rPr>
        <w:t>j</w:t>
      </w:r>
      <w:r w:rsidRPr="00D910D8">
        <w:rPr>
          <w:rFonts w:cs="Times New Roman"/>
          <w:szCs w:val="24"/>
        </w:rPr>
        <w:t>udge, Wedge J., who struck all of the claims</w:t>
      </w:r>
      <w:r w:rsidR="00086A89" w:rsidRPr="00D910D8">
        <w:rPr>
          <w:rFonts w:cs="Times New Roman"/>
          <w:szCs w:val="24"/>
        </w:rPr>
        <w:t xml:space="preserve"> (2008 BCSC 419, 82 B.C.L.R. (4</w:t>
      </w:r>
      <w:r w:rsidR="00725C8E" w:rsidRPr="00D910D8">
        <w:rPr>
          <w:rFonts w:cs="Times New Roman"/>
          <w:szCs w:val="24"/>
        </w:rPr>
        <w:t>th) 362)</w:t>
      </w:r>
      <w:r w:rsidRPr="00D910D8">
        <w:rPr>
          <w:rFonts w:cs="Times New Roman"/>
          <w:szCs w:val="24"/>
        </w:rPr>
        <w:t xml:space="preserve">.  In the Court of Appeal, the majority, </w:t>
      </w:r>
      <w:r w:rsidRPr="00D910D8">
        <w:rPr>
          <w:rFonts w:cs="Times New Roman"/>
          <w:i/>
          <w:szCs w:val="24"/>
        </w:rPr>
        <w:t xml:space="preserve">per </w:t>
      </w:r>
      <w:r w:rsidRPr="00D910D8">
        <w:rPr>
          <w:rFonts w:cs="Times New Roman"/>
          <w:szCs w:val="24"/>
        </w:rPr>
        <w:t>Tysoe J.</w:t>
      </w:r>
      <w:r w:rsidR="001640DE" w:rsidRPr="00D910D8">
        <w:rPr>
          <w:rFonts w:cs="Times New Roman"/>
          <w:szCs w:val="24"/>
        </w:rPr>
        <w:t>A.,</w:t>
      </w:r>
      <w:r w:rsidRPr="00D910D8">
        <w:rPr>
          <w:rFonts w:cs="Times New Roman"/>
          <w:szCs w:val="24"/>
        </w:rPr>
        <w:t xml:space="preserve"> allowed the negligent misrepresentation claim </w:t>
      </w:r>
      <w:r w:rsidR="00AB396B" w:rsidRPr="00D910D8">
        <w:rPr>
          <w:rFonts w:cs="Times New Roman"/>
          <w:szCs w:val="24"/>
        </w:rPr>
        <w:t xml:space="preserve">between Canada and the tobacco companies </w:t>
      </w:r>
      <w:r w:rsidRPr="00D910D8">
        <w:rPr>
          <w:rFonts w:cs="Times New Roman"/>
          <w:szCs w:val="24"/>
        </w:rPr>
        <w:t>to proceed</w:t>
      </w:r>
      <w:r w:rsidR="00086A89" w:rsidRPr="00D910D8">
        <w:rPr>
          <w:rFonts w:cs="Times New Roman"/>
          <w:szCs w:val="24"/>
        </w:rPr>
        <w:t xml:space="preserve"> (2009 BCCA 540, 98 B.C.L.R. (4th) 201)</w:t>
      </w:r>
      <w:r w:rsidRPr="00D910D8">
        <w:rPr>
          <w:rFonts w:cs="Times New Roman"/>
          <w:szCs w:val="24"/>
        </w:rPr>
        <w:t xml:space="preserve">.  Hall J.A., dissenting, </w:t>
      </w:r>
      <w:r w:rsidR="00725C8E" w:rsidRPr="00D910D8">
        <w:rPr>
          <w:rFonts w:cs="Times New Roman"/>
          <w:szCs w:val="24"/>
        </w:rPr>
        <w:t>would have struck all the third-</w:t>
      </w:r>
      <w:r w:rsidRPr="00D910D8">
        <w:rPr>
          <w:rFonts w:cs="Times New Roman"/>
          <w:szCs w:val="24"/>
        </w:rPr>
        <w:t>party claims.</w:t>
      </w:r>
    </w:p>
    <w:p w:rsidR="00D0356C" w:rsidRPr="00D910D8" w:rsidRDefault="00725C8E" w:rsidP="00581B23">
      <w:pPr>
        <w:pStyle w:val="TitleTitre-AltT"/>
        <w:tabs>
          <w:tab w:val="clear" w:pos="360"/>
          <w:tab w:val="left" w:pos="540"/>
        </w:tabs>
        <w:spacing w:after="720"/>
        <w:ind w:left="547" w:hanging="547"/>
        <w:rPr>
          <w:rFonts w:cs="Times New Roman"/>
          <w:szCs w:val="24"/>
        </w:rPr>
      </w:pPr>
      <w:bookmarkStart w:id="5" w:name="_Toc314733739"/>
      <w:r w:rsidRPr="00D910D8">
        <w:rPr>
          <w:rFonts w:cs="Times New Roman"/>
          <w:szCs w:val="24"/>
        </w:rPr>
        <w:t>III</w:t>
      </w:r>
      <w:r w:rsidR="00F947EC" w:rsidRPr="00D910D8">
        <w:rPr>
          <w:rFonts w:cs="Times New Roman"/>
          <w:szCs w:val="24"/>
        </w:rPr>
        <w:t>.</w:t>
      </w:r>
      <w:r w:rsidR="0066330D" w:rsidRPr="00D910D8">
        <w:rPr>
          <w:rFonts w:cs="Times New Roman"/>
          <w:szCs w:val="24"/>
        </w:rPr>
        <w:tab/>
      </w:r>
      <w:r w:rsidRPr="00D910D8">
        <w:rPr>
          <w:rFonts w:cs="Times New Roman"/>
          <w:szCs w:val="24"/>
          <w:u w:val="single"/>
        </w:rPr>
        <w:t xml:space="preserve">Issues </w:t>
      </w:r>
      <w:proofErr w:type="gramStart"/>
      <w:r w:rsidRPr="00D910D8">
        <w:rPr>
          <w:rFonts w:cs="Times New Roman"/>
          <w:szCs w:val="24"/>
          <w:u w:val="single"/>
        </w:rPr>
        <w:t>B</w:t>
      </w:r>
      <w:r w:rsidR="002606F8" w:rsidRPr="00D910D8">
        <w:rPr>
          <w:rFonts w:cs="Times New Roman"/>
          <w:szCs w:val="24"/>
          <w:u w:val="single"/>
        </w:rPr>
        <w:t>efore</w:t>
      </w:r>
      <w:proofErr w:type="gramEnd"/>
      <w:r w:rsidR="002606F8" w:rsidRPr="00D910D8">
        <w:rPr>
          <w:rFonts w:cs="Times New Roman"/>
          <w:szCs w:val="24"/>
          <w:u w:val="single"/>
        </w:rPr>
        <w:t xml:space="preserve"> the Court</w:t>
      </w:r>
      <w:bookmarkEnd w:id="5"/>
    </w:p>
    <w:p w:rsidR="002079A3" w:rsidRPr="00D910D8" w:rsidRDefault="002606F8" w:rsidP="00F947EC">
      <w:pPr>
        <w:pStyle w:val="ParaNoNdepar-AltN"/>
        <w:rPr>
          <w:rFonts w:cs="Times New Roman"/>
          <w:szCs w:val="24"/>
        </w:rPr>
      </w:pPr>
      <w:r w:rsidRPr="00D910D8">
        <w:rPr>
          <w:rFonts w:cs="Times New Roman"/>
          <w:szCs w:val="24"/>
        </w:rPr>
        <w:t xml:space="preserve">There is significant overlap between the issues on appeal in the </w:t>
      </w:r>
      <w:r w:rsidRPr="00D910D8">
        <w:rPr>
          <w:rFonts w:cs="Times New Roman"/>
          <w:i/>
          <w:szCs w:val="24"/>
        </w:rPr>
        <w:t xml:space="preserve">Costs Recovery </w:t>
      </w:r>
      <w:r w:rsidRPr="00D910D8">
        <w:rPr>
          <w:rFonts w:cs="Times New Roman"/>
          <w:szCs w:val="24"/>
        </w:rPr>
        <w:t xml:space="preserve">case and the </w:t>
      </w:r>
      <w:r w:rsidRPr="00D910D8">
        <w:rPr>
          <w:rFonts w:cs="Times New Roman"/>
          <w:i/>
          <w:szCs w:val="24"/>
        </w:rPr>
        <w:t xml:space="preserve">Knight </w:t>
      </w:r>
      <w:r w:rsidRPr="00D910D8">
        <w:rPr>
          <w:rFonts w:cs="Times New Roman"/>
          <w:szCs w:val="24"/>
        </w:rPr>
        <w:t xml:space="preserve">case, particularly in relation to the common law claims.  Both cases discuss whether Canada could be liable at common law in negligent misrepresentation, negligent design and failure to warn, and in equitable indemnity.  </w:t>
      </w:r>
      <w:r w:rsidR="00FF4F9A" w:rsidRPr="00D910D8">
        <w:rPr>
          <w:rFonts w:cs="Times New Roman"/>
          <w:szCs w:val="24"/>
        </w:rPr>
        <w:t xml:space="preserve">To reduce duplication, I treat the issues </w:t>
      </w:r>
      <w:r w:rsidR="00581B23" w:rsidRPr="00D910D8">
        <w:rPr>
          <w:rFonts w:cs="Times New Roman"/>
          <w:szCs w:val="24"/>
        </w:rPr>
        <w:t>common to both cases together.</w:t>
      </w:r>
    </w:p>
    <w:p w:rsidR="00D0356C" w:rsidRPr="00D910D8" w:rsidRDefault="008851F5" w:rsidP="00F947EC">
      <w:pPr>
        <w:pStyle w:val="ParaNoNdepar-AltN"/>
        <w:rPr>
          <w:rFonts w:cs="Times New Roman"/>
          <w:szCs w:val="24"/>
          <w:u w:val="single"/>
        </w:rPr>
      </w:pPr>
      <w:r w:rsidRPr="00D910D8">
        <w:rPr>
          <w:rFonts w:cs="Times New Roman"/>
          <w:szCs w:val="24"/>
        </w:rPr>
        <w:t xml:space="preserve">There are also issues and arguments that are distinct in the two cases.  </w:t>
      </w:r>
      <w:r w:rsidR="002B52D2" w:rsidRPr="00D910D8">
        <w:rPr>
          <w:rFonts w:cs="Times New Roman"/>
          <w:szCs w:val="24"/>
        </w:rPr>
        <w:t>Uniquely i</w:t>
      </w:r>
      <w:r w:rsidR="00FF4F9A" w:rsidRPr="00D910D8">
        <w:rPr>
          <w:rFonts w:cs="Times New Roman"/>
          <w:szCs w:val="24"/>
        </w:rPr>
        <w:t xml:space="preserve">n the </w:t>
      </w:r>
      <w:r w:rsidR="00FF4F9A" w:rsidRPr="00D910D8">
        <w:rPr>
          <w:rFonts w:cs="Times New Roman"/>
          <w:i/>
          <w:szCs w:val="24"/>
        </w:rPr>
        <w:t xml:space="preserve">Costs Recovery </w:t>
      </w:r>
      <w:r w:rsidR="00991C13" w:rsidRPr="00D910D8">
        <w:rPr>
          <w:rFonts w:cs="Times New Roman"/>
          <w:szCs w:val="24"/>
        </w:rPr>
        <w:t>case</w:t>
      </w:r>
      <w:r w:rsidR="00B71E56" w:rsidRPr="00D910D8">
        <w:rPr>
          <w:rFonts w:cs="Times New Roman"/>
          <w:szCs w:val="24"/>
        </w:rPr>
        <w:t>,</w:t>
      </w:r>
      <w:r w:rsidR="00FF4F9A" w:rsidRPr="00D910D8">
        <w:rPr>
          <w:rFonts w:cs="Times New Roman"/>
          <w:szCs w:val="24"/>
        </w:rPr>
        <w:t xml:space="preserve"> Canada argues that all the </w:t>
      </w:r>
      <w:r w:rsidR="003659A8" w:rsidRPr="00D910D8">
        <w:rPr>
          <w:rFonts w:cs="Times New Roman"/>
          <w:szCs w:val="24"/>
        </w:rPr>
        <w:t>contribution</w:t>
      </w:r>
      <w:r w:rsidR="00FF4F9A" w:rsidRPr="00D910D8">
        <w:rPr>
          <w:rFonts w:cs="Times New Roman"/>
          <w:szCs w:val="24"/>
        </w:rPr>
        <w:t xml:space="preserve"> claims based on </w:t>
      </w:r>
      <w:r w:rsidR="00086A89" w:rsidRPr="00D910D8">
        <w:rPr>
          <w:rFonts w:cs="Times New Roman"/>
          <w:szCs w:val="24"/>
        </w:rPr>
        <w:t xml:space="preserve">the </w:t>
      </w:r>
      <w:r w:rsidR="00086A89" w:rsidRPr="00D910D8">
        <w:rPr>
          <w:rFonts w:cs="Times New Roman"/>
          <w:i/>
          <w:szCs w:val="24"/>
        </w:rPr>
        <w:t>Negligence Act</w:t>
      </w:r>
      <w:r w:rsidR="00086A89" w:rsidRPr="00D910D8">
        <w:rPr>
          <w:rFonts w:cs="Times New Roman"/>
          <w:szCs w:val="24"/>
        </w:rPr>
        <w:t xml:space="preserve"> and </w:t>
      </w:r>
      <w:r w:rsidR="00FF4F9A" w:rsidRPr="00D910D8">
        <w:rPr>
          <w:rFonts w:cs="Times New Roman"/>
          <w:szCs w:val="24"/>
        </w:rPr>
        <w:t>Canada</w:t>
      </w:r>
      <w:r w:rsidRPr="00D910D8">
        <w:rPr>
          <w:rFonts w:cs="Times New Roman"/>
          <w:szCs w:val="24"/>
        </w:rPr>
        <w:t>’s</w:t>
      </w:r>
      <w:r w:rsidR="00FF4F9A" w:rsidRPr="00D910D8">
        <w:rPr>
          <w:rFonts w:cs="Times New Roman"/>
          <w:szCs w:val="24"/>
        </w:rPr>
        <w:t xml:space="preserve"> alleged </w:t>
      </w:r>
      <w:r w:rsidRPr="00D910D8">
        <w:rPr>
          <w:rFonts w:cs="Times New Roman"/>
          <w:szCs w:val="24"/>
        </w:rPr>
        <w:t>duties</w:t>
      </w:r>
      <w:r w:rsidR="00FF4F9A" w:rsidRPr="00D910D8">
        <w:rPr>
          <w:rFonts w:cs="Times New Roman"/>
          <w:szCs w:val="24"/>
        </w:rPr>
        <w:t xml:space="preserve"> of care to smokers should be struck because </w:t>
      </w:r>
      <w:r w:rsidR="003659A8" w:rsidRPr="00D910D8">
        <w:rPr>
          <w:rFonts w:cs="Times New Roman"/>
          <w:szCs w:val="24"/>
        </w:rPr>
        <w:t>even if these alleged duties were breached, Canada would not be liable to the sole plaintiff British Columbia</w:t>
      </w:r>
      <w:r w:rsidR="00FF4F9A" w:rsidRPr="00D910D8">
        <w:rPr>
          <w:rFonts w:cs="Times New Roman"/>
          <w:szCs w:val="24"/>
        </w:rPr>
        <w:t xml:space="preserve">. </w:t>
      </w:r>
      <w:r w:rsidR="002079A3" w:rsidRPr="00D910D8">
        <w:rPr>
          <w:rFonts w:cs="Times New Roman"/>
          <w:szCs w:val="24"/>
        </w:rPr>
        <w:t xml:space="preserve"> </w:t>
      </w:r>
      <w:r w:rsidR="00FF4F9A" w:rsidRPr="00D910D8">
        <w:rPr>
          <w:rFonts w:cs="Times New Roman"/>
          <w:szCs w:val="24"/>
        </w:rPr>
        <w:t>The statutory claims are also distinct in the two cases</w:t>
      </w:r>
      <w:r w:rsidR="002606F8" w:rsidRPr="00D910D8">
        <w:rPr>
          <w:rFonts w:cs="Times New Roman"/>
          <w:szCs w:val="24"/>
        </w:rPr>
        <w:t xml:space="preserve">. </w:t>
      </w:r>
      <w:r w:rsidR="00001517" w:rsidRPr="00D910D8">
        <w:rPr>
          <w:rFonts w:cs="Times New Roman"/>
          <w:szCs w:val="24"/>
        </w:rPr>
        <w:t xml:space="preserve"> </w:t>
      </w:r>
      <w:r w:rsidR="002606F8" w:rsidRPr="00D910D8">
        <w:rPr>
          <w:rFonts w:cs="Times New Roman"/>
          <w:szCs w:val="24"/>
        </w:rPr>
        <w:t xml:space="preserve">The </w:t>
      </w:r>
      <w:r w:rsidR="00001517" w:rsidRPr="00D910D8">
        <w:rPr>
          <w:rFonts w:cs="Times New Roman"/>
          <w:szCs w:val="24"/>
        </w:rPr>
        <w:t>issues may therefore be stated</w:t>
      </w:r>
      <w:r w:rsidR="002606F8" w:rsidRPr="00D910D8">
        <w:rPr>
          <w:rFonts w:cs="Times New Roman"/>
          <w:szCs w:val="24"/>
        </w:rPr>
        <w:t xml:space="preserve"> as follows:</w:t>
      </w:r>
    </w:p>
    <w:p w:rsidR="00D0356C" w:rsidRPr="00D910D8" w:rsidRDefault="002606F8" w:rsidP="00FE6C33">
      <w:pPr>
        <w:pStyle w:val="Citation-AltC"/>
        <w:spacing w:after="480" w:line="480" w:lineRule="auto"/>
        <w:ind w:hanging="1166"/>
        <w:contextualSpacing w:val="0"/>
        <w:rPr>
          <w:szCs w:val="24"/>
        </w:rPr>
      </w:pPr>
      <w:r w:rsidRPr="00D910D8">
        <w:rPr>
          <w:szCs w:val="24"/>
        </w:rPr>
        <w:lastRenderedPageBreak/>
        <w:t>1.</w:t>
      </w:r>
      <w:r w:rsidRPr="00D910D8">
        <w:rPr>
          <w:szCs w:val="24"/>
        </w:rPr>
        <w:tab/>
      </w:r>
      <w:r w:rsidR="00001517" w:rsidRPr="00D910D8">
        <w:rPr>
          <w:szCs w:val="24"/>
        </w:rPr>
        <w:t>What is the test for striking out claims</w:t>
      </w:r>
      <w:r w:rsidR="008D7FB6" w:rsidRPr="00D910D8">
        <w:rPr>
          <w:szCs w:val="24"/>
        </w:rPr>
        <w:t xml:space="preserve"> for failure to disclose a reasonable cause of action</w:t>
      </w:r>
      <w:r w:rsidR="00001517" w:rsidRPr="00D910D8">
        <w:rPr>
          <w:szCs w:val="24"/>
        </w:rPr>
        <w:t>?</w:t>
      </w:r>
    </w:p>
    <w:p w:rsidR="002079A3" w:rsidRPr="00D910D8" w:rsidRDefault="002606F8" w:rsidP="00FE6C33">
      <w:pPr>
        <w:pStyle w:val="Citation-AltC"/>
        <w:spacing w:after="480" w:line="480" w:lineRule="auto"/>
        <w:ind w:hanging="1166"/>
        <w:contextualSpacing w:val="0"/>
        <w:rPr>
          <w:szCs w:val="24"/>
        </w:rPr>
      </w:pPr>
      <w:r w:rsidRPr="00D910D8">
        <w:rPr>
          <w:szCs w:val="24"/>
        </w:rPr>
        <w:t>2.</w:t>
      </w:r>
      <w:r w:rsidRPr="00D910D8">
        <w:rPr>
          <w:szCs w:val="24"/>
        </w:rPr>
        <w:tab/>
      </w:r>
      <w:r w:rsidR="002079A3" w:rsidRPr="00D910D8">
        <w:rPr>
          <w:szCs w:val="24"/>
        </w:rPr>
        <w:t xml:space="preserve">Should the claims for contribution and indemnity based on </w:t>
      </w:r>
      <w:r w:rsidR="00086A89" w:rsidRPr="00D910D8">
        <w:rPr>
          <w:szCs w:val="24"/>
        </w:rPr>
        <w:t xml:space="preserve">the </w:t>
      </w:r>
      <w:r w:rsidR="00086A89" w:rsidRPr="00D910D8">
        <w:rPr>
          <w:i/>
          <w:szCs w:val="24"/>
        </w:rPr>
        <w:t>Negligence Act</w:t>
      </w:r>
      <w:r w:rsidR="00086A89" w:rsidRPr="00D910D8">
        <w:rPr>
          <w:szCs w:val="24"/>
        </w:rPr>
        <w:t xml:space="preserve"> and </w:t>
      </w:r>
      <w:r w:rsidR="002079A3" w:rsidRPr="00D910D8">
        <w:rPr>
          <w:szCs w:val="24"/>
        </w:rPr>
        <w:t>alleged breach</w:t>
      </w:r>
      <w:r w:rsidR="008851F5" w:rsidRPr="00D910D8">
        <w:rPr>
          <w:szCs w:val="24"/>
        </w:rPr>
        <w:t>es</w:t>
      </w:r>
      <w:r w:rsidR="002079A3" w:rsidRPr="00D910D8">
        <w:rPr>
          <w:szCs w:val="24"/>
        </w:rPr>
        <w:t xml:space="preserve"> of duties of care to </w:t>
      </w:r>
      <w:r w:rsidR="00D525B1" w:rsidRPr="00D910D8">
        <w:rPr>
          <w:szCs w:val="24"/>
        </w:rPr>
        <w:t>smokers</w:t>
      </w:r>
      <w:r w:rsidR="002079A3" w:rsidRPr="00D910D8">
        <w:rPr>
          <w:szCs w:val="24"/>
        </w:rPr>
        <w:t xml:space="preserve"> be struck in the </w:t>
      </w:r>
      <w:r w:rsidR="002079A3" w:rsidRPr="00D910D8">
        <w:rPr>
          <w:i/>
          <w:szCs w:val="24"/>
        </w:rPr>
        <w:t xml:space="preserve">Costs Recovery </w:t>
      </w:r>
      <w:r w:rsidR="008851F5" w:rsidRPr="00D910D8">
        <w:rPr>
          <w:szCs w:val="24"/>
        </w:rPr>
        <w:t>case</w:t>
      </w:r>
      <w:r w:rsidR="002079A3" w:rsidRPr="00D910D8">
        <w:rPr>
          <w:szCs w:val="24"/>
        </w:rPr>
        <w:t>?</w:t>
      </w:r>
    </w:p>
    <w:p w:rsidR="00D0356C" w:rsidRPr="00D910D8" w:rsidRDefault="002079A3" w:rsidP="00FE6C33">
      <w:pPr>
        <w:pStyle w:val="Citation-AltC"/>
        <w:spacing w:after="480" w:line="480" w:lineRule="auto"/>
        <w:ind w:hanging="1166"/>
        <w:contextualSpacing w:val="0"/>
        <w:rPr>
          <w:szCs w:val="24"/>
        </w:rPr>
      </w:pPr>
      <w:r w:rsidRPr="00D910D8">
        <w:rPr>
          <w:szCs w:val="24"/>
        </w:rPr>
        <w:t>3.</w:t>
      </w:r>
      <w:r w:rsidRPr="00D910D8">
        <w:rPr>
          <w:szCs w:val="24"/>
        </w:rPr>
        <w:tab/>
      </w:r>
      <w:r w:rsidR="002606F8" w:rsidRPr="00D910D8">
        <w:rPr>
          <w:szCs w:val="24"/>
        </w:rPr>
        <w:t>Should the tobacco companies’ negligent misrepresentation claims be struck out?</w:t>
      </w:r>
    </w:p>
    <w:p w:rsidR="00D0356C" w:rsidRPr="00D910D8" w:rsidRDefault="002079A3" w:rsidP="00FE6C33">
      <w:pPr>
        <w:pStyle w:val="Citation-AltC"/>
        <w:spacing w:after="480" w:line="480" w:lineRule="auto"/>
        <w:ind w:hanging="1166"/>
        <w:contextualSpacing w:val="0"/>
        <w:rPr>
          <w:szCs w:val="24"/>
        </w:rPr>
      </w:pPr>
      <w:r w:rsidRPr="00D910D8">
        <w:rPr>
          <w:szCs w:val="24"/>
        </w:rPr>
        <w:t>4</w:t>
      </w:r>
      <w:r w:rsidR="002606F8" w:rsidRPr="00D910D8">
        <w:rPr>
          <w:szCs w:val="24"/>
        </w:rPr>
        <w:t>.</w:t>
      </w:r>
      <w:r w:rsidR="002606F8" w:rsidRPr="00D910D8">
        <w:rPr>
          <w:szCs w:val="24"/>
        </w:rPr>
        <w:tab/>
        <w:t>Should the tobacco companies’ claims of failure to warn be struck out?</w:t>
      </w:r>
    </w:p>
    <w:p w:rsidR="008425CF" w:rsidRPr="00D910D8" w:rsidRDefault="002079A3" w:rsidP="00FE6C33">
      <w:pPr>
        <w:pStyle w:val="Citation-AltC"/>
        <w:spacing w:after="480" w:line="480" w:lineRule="auto"/>
        <w:ind w:hanging="1166"/>
        <w:contextualSpacing w:val="0"/>
        <w:rPr>
          <w:szCs w:val="24"/>
        </w:rPr>
      </w:pPr>
      <w:r w:rsidRPr="00D910D8">
        <w:rPr>
          <w:szCs w:val="24"/>
        </w:rPr>
        <w:t>5</w:t>
      </w:r>
      <w:r w:rsidR="002606F8" w:rsidRPr="00D910D8">
        <w:rPr>
          <w:szCs w:val="24"/>
        </w:rPr>
        <w:t xml:space="preserve">. </w:t>
      </w:r>
      <w:r w:rsidR="002606F8" w:rsidRPr="00D910D8">
        <w:rPr>
          <w:szCs w:val="24"/>
        </w:rPr>
        <w:tab/>
        <w:t>Should the tobacco companies’ claims of negligent design be struck out?</w:t>
      </w:r>
    </w:p>
    <w:p w:rsidR="00D0356C" w:rsidRPr="00D910D8" w:rsidRDefault="0086130B" w:rsidP="00FE6C33">
      <w:pPr>
        <w:pStyle w:val="Citation-AltC"/>
        <w:spacing w:after="480" w:line="480" w:lineRule="auto"/>
        <w:ind w:hanging="1166"/>
        <w:contextualSpacing w:val="0"/>
        <w:rPr>
          <w:szCs w:val="24"/>
        </w:rPr>
      </w:pPr>
      <w:r w:rsidRPr="00D910D8">
        <w:rPr>
          <w:szCs w:val="24"/>
        </w:rPr>
        <w:t>6</w:t>
      </w:r>
      <w:r w:rsidR="002606F8" w:rsidRPr="00D910D8">
        <w:rPr>
          <w:szCs w:val="24"/>
        </w:rPr>
        <w:t>.</w:t>
      </w:r>
      <w:r w:rsidR="002606F8" w:rsidRPr="00D910D8">
        <w:rPr>
          <w:szCs w:val="24"/>
        </w:rPr>
        <w:tab/>
        <w:t xml:space="preserve">Should the tobacco companies’ claim in the </w:t>
      </w:r>
      <w:r w:rsidR="002606F8" w:rsidRPr="00D910D8">
        <w:rPr>
          <w:i/>
          <w:szCs w:val="24"/>
        </w:rPr>
        <w:t xml:space="preserve">Costs Recovery </w:t>
      </w:r>
      <w:r w:rsidR="002606F8" w:rsidRPr="00D910D8">
        <w:rPr>
          <w:szCs w:val="24"/>
        </w:rPr>
        <w:t xml:space="preserve">case that Canada could qualify as a “manufacturer” under the </w:t>
      </w:r>
      <w:r w:rsidR="001640DE" w:rsidRPr="00D910D8">
        <w:rPr>
          <w:i/>
          <w:szCs w:val="24"/>
        </w:rPr>
        <w:t>CRA</w:t>
      </w:r>
      <w:r w:rsidR="002606F8" w:rsidRPr="00D910D8">
        <w:rPr>
          <w:i/>
          <w:szCs w:val="24"/>
        </w:rPr>
        <w:t xml:space="preserve"> </w:t>
      </w:r>
      <w:r w:rsidR="002606F8" w:rsidRPr="00D910D8">
        <w:rPr>
          <w:szCs w:val="24"/>
        </w:rPr>
        <w:t>be struck out?</w:t>
      </w:r>
    </w:p>
    <w:p w:rsidR="00D0356C" w:rsidRPr="00D910D8" w:rsidRDefault="0086130B" w:rsidP="00FE6C33">
      <w:pPr>
        <w:pStyle w:val="Citation-AltC"/>
        <w:spacing w:after="480" w:line="480" w:lineRule="auto"/>
        <w:ind w:hanging="1166"/>
        <w:contextualSpacing w:val="0"/>
        <w:rPr>
          <w:szCs w:val="24"/>
        </w:rPr>
      </w:pPr>
      <w:r w:rsidRPr="00D910D8">
        <w:rPr>
          <w:szCs w:val="24"/>
        </w:rPr>
        <w:t>7</w:t>
      </w:r>
      <w:r w:rsidR="002606F8" w:rsidRPr="00D910D8">
        <w:rPr>
          <w:szCs w:val="24"/>
        </w:rPr>
        <w:t>.</w:t>
      </w:r>
      <w:r w:rsidR="002606F8" w:rsidRPr="00D910D8">
        <w:rPr>
          <w:szCs w:val="24"/>
        </w:rPr>
        <w:tab/>
        <w:t xml:space="preserve">Should Imperial’s claim in the </w:t>
      </w:r>
      <w:r w:rsidR="002606F8" w:rsidRPr="00D910D8">
        <w:rPr>
          <w:i/>
          <w:szCs w:val="24"/>
        </w:rPr>
        <w:t xml:space="preserve">Knight </w:t>
      </w:r>
      <w:r w:rsidR="002606F8" w:rsidRPr="00D910D8">
        <w:rPr>
          <w:szCs w:val="24"/>
        </w:rPr>
        <w:t xml:space="preserve">case that Canada could qualify as a “supplier” under the </w:t>
      </w:r>
      <w:r w:rsidR="001640DE" w:rsidRPr="00D910D8">
        <w:rPr>
          <w:i/>
          <w:szCs w:val="24"/>
        </w:rPr>
        <w:t>TPA</w:t>
      </w:r>
      <w:r w:rsidR="002606F8" w:rsidRPr="00D910D8">
        <w:rPr>
          <w:i/>
          <w:szCs w:val="24"/>
        </w:rPr>
        <w:t xml:space="preserve"> </w:t>
      </w:r>
      <w:r w:rsidR="002606F8" w:rsidRPr="00D910D8">
        <w:rPr>
          <w:szCs w:val="24"/>
        </w:rPr>
        <w:t xml:space="preserve">and the </w:t>
      </w:r>
      <w:r w:rsidR="002606F8" w:rsidRPr="00D910D8">
        <w:rPr>
          <w:i/>
          <w:szCs w:val="24"/>
        </w:rPr>
        <w:t>BPCPA</w:t>
      </w:r>
      <w:r w:rsidR="002606F8" w:rsidRPr="00D910D8">
        <w:rPr>
          <w:szCs w:val="24"/>
        </w:rPr>
        <w:t xml:space="preserve"> be struck out?</w:t>
      </w:r>
    </w:p>
    <w:p w:rsidR="0086130B" w:rsidRPr="00D910D8" w:rsidRDefault="0086130B" w:rsidP="00FE6C33">
      <w:pPr>
        <w:pStyle w:val="Citation-AltC"/>
        <w:spacing w:after="480" w:line="480" w:lineRule="auto"/>
        <w:ind w:hanging="1166"/>
        <w:contextualSpacing w:val="0"/>
        <w:rPr>
          <w:szCs w:val="24"/>
        </w:rPr>
      </w:pPr>
      <w:r w:rsidRPr="00D910D8">
        <w:rPr>
          <w:szCs w:val="24"/>
        </w:rPr>
        <w:t>8.</w:t>
      </w:r>
      <w:r w:rsidRPr="00D910D8">
        <w:rPr>
          <w:szCs w:val="24"/>
        </w:rPr>
        <w:tab/>
        <w:t>Should the tobacco companies’ claims of equitable indemnity be struck out?</w:t>
      </w:r>
    </w:p>
    <w:p w:rsidR="000E6699" w:rsidRPr="00D910D8" w:rsidRDefault="002079A3" w:rsidP="00FE6C33">
      <w:pPr>
        <w:pStyle w:val="Citation-AltC"/>
        <w:spacing w:after="480" w:line="480" w:lineRule="auto"/>
        <w:ind w:hanging="1166"/>
        <w:contextualSpacing w:val="0"/>
        <w:rPr>
          <w:szCs w:val="24"/>
        </w:rPr>
      </w:pPr>
      <w:r w:rsidRPr="00D910D8">
        <w:rPr>
          <w:szCs w:val="24"/>
        </w:rPr>
        <w:lastRenderedPageBreak/>
        <w:t>9</w:t>
      </w:r>
      <w:r w:rsidR="002606F8" w:rsidRPr="00D910D8">
        <w:rPr>
          <w:szCs w:val="24"/>
        </w:rPr>
        <w:t>.</w:t>
      </w:r>
      <w:r w:rsidR="002606F8" w:rsidRPr="00D910D8">
        <w:rPr>
          <w:szCs w:val="24"/>
        </w:rPr>
        <w:tab/>
        <w:t>If Canada is not liable to the tobacco companies under any of the t</w:t>
      </w:r>
      <w:r w:rsidR="00725C8E" w:rsidRPr="00D910D8">
        <w:rPr>
          <w:szCs w:val="24"/>
        </w:rPr>
        <w:t>hird-</w:t>
      </w:r>
      <w:r w:rsidR="002606F8" w:rsidRPr="00D910D8">
        <w:rPr>
          <w:szCs w:val="24"/>
        </w:rPr>
        <w:t xml:space="preserve">party claims, are the tobacco companies nonetheless entitled to declaratory relief against Canada so that it will remain a party to both actions and be subject to discovery procedures under the </w:t>
      </w:r>
      <w:r w:rsidR="00385497" w:rsidRPr="00D910D8">
        <w:rPr>
          <w:i/>
          <w:szCs w:val="24"/>
        </w:rPr>
        <w:t xml:space="preserve">Supreme Court </w:t>
      </w:r>
      <w:r w:rsidR="002606F8" w:rsidRPr="00D910D8">
        <w:rPr>
          <w:i/>
          <w:iCs/>
          <w:szCs w:val="24"/>
        </w:rPr>
        <w:t>Rules</w:t>
      </w:r>
      <w:r w:rsidR="002606F8" w:rsidRPr="00D910D8">
        <w:rPr>
          <w:szCs w:val="24"/>
        </w:rPr>
        <w:t>?</w:t>
      </w:r>
    </w:p>
    <w:p w:rsidR="000E6699" w:rsidRPr="00D910D8" w:rsidRDefault="00385497" w:rsidP="00FE6C33">
      <w:pPr>
        <w:pStyle w:val="TitleTitre-AltT"/>
        <w:tabs>
          <w:tab w:val="clear" w:pos="360"/>
          <w:tab w:val="left" w:pos="540"/>
        </w:tabs>
        <w:ind w:left="540" w:hanging="540"/>
        <w:rPr>
          <w:rFonts w:cs="Times New Roman"/>
          <w:szCs w:val="24"/>
        </w:rPr>
      </w:pPr>
      <w:bookmarkStart w:id="6" w:name="_Toc314733740"/>
      <w:r w:rsidRPr="00D910D8">
        <w:rPr>
          <w:rFonts w:cs="Times New Roman"/>
          <w:szCs w:val="24"/>
        </w:rPr>
        <w:t>IV</w:t>
      </w:r>
      <w:r w:rsidR="00F947EC" w:rsidRPr="00D910D8">
        <w:rPr>
          <w:rFonts w:cs="Times New Roman"/>
          <w:szCs w:val="24"/>
        </w:rPr>
        <w:t>.</w:t>
      </w:r>
      <w:r w:rsidR="00F947EC" w:rsidRPr="00D910D8">
        <w:rPr>
          <w:rFonts w:cs="Times New Roman"/>
          <w:szCs w:val="24"/>
        </w:rPr>
        <w:tab/>
      </w:r>
      <w:r w:rsidR="002606F8" w:rsidRPr="00D910D8">
        <w:rPr>
          <w:rFonts w:cs="Times New Roman"/>
          <w:szCs w:val="24"/>
          <w:u w:val="single"/>
        </w:rPr>
        <w:t>Analysis</w:t>
      </w:r>
      <w:bookmarkEnd w:id="6"/>
    </w:p>
    <w:p w:rsidR="00001517" w:rsidRPr="00D910D8" w:rsidRDefault="00FE6C33" w:rsidP="00FE6C33">
      <w:pPr>
        <w:pStyle w:val="TitleTitre-AltT"/>
        <w:tabs>
          <w:tab w:val="clear" w:pos="360"/>
          <w:tab w:val="left" w:pos="540"/>
        </w:tabs>
        <w:ind w:left="540" w:hanging="540"/>
        <w:rPr>
          <w:rFonts w:cs="Times New Roman"/>
          <w:szCs w:val="24"/>
        </w:rPr>
      </w:pPr>
      <w:bookmarkStart w:id="7" w:name="_Toc314733741"/>
      <w:r w:rsidRPr="00D910D8">
        <w:rPr>
          <w:rFonts w:cs="Times New Roman"/>
          <w:szCs w:val="24"/>
        </w:rPr>
        <w:t>A.</w:t>
      </w:r>
      <w:r w:rsidRPr="00D910D8">
        <w:rPr>
          <w:rFonts w:cs="Times New Roman"/>
          <w:i/>
          <w:szCs w:val="24"/>
        </w:rPr>
        <w:tab/>
      </w:r>
      <w:r w:rsidR="002606F8" w:rsidRPr="00D910D8">
        <w:rPr>
          <w:rFonts w:cs="Times New Roman"/>
          <w:i/>
          <w:szCs w:val="24"/>
        </w:rPr>
        <w:t>The Test for Striking Out Claims</w:t>
      </w:r>
      <w:bookmarkEnd w:id="7"/>
    </w:p>
    <w:p w:rsidR="000E6699" w:rsidRPr="00D910D8" w:rsidRDefault="000D7B99" w:rsidP="0075602C">
      <w:pPr>
        <w:pStyle w:val="ParaNoNdepar-AltN"/>
        <w:rPr>
          <w:rFonts w:cs="Times New Roman"/>
          <w:szCs w:val="24"/>
        </w:rPr>
      </w:pPr>
      <w:r w:rsidRPr="00D910D8">
        <w:rPr>
          <w:rFonts w:cs="Times New Roman"/>
          <w:szCs w:val="24"/>
        </w:rPr>
        <w:t>The parties agree</w:t>
      </w:r>
      <w:r w:rsidR="000E6699" w:rsidRPr="00D910D8">
        <w:rPr>
          <w:rFonts w:cs="Times New Roman"/>
          <w:szCs w:val="24"/>
        </w:rPr>
        <w:t xml:space="preserve"> on the test applicable on a motion to strike</w:t>
      </w:r>
      <w:r w:rsidR="00E70931" w:rsidRPr="00D910D8">
        <w:rPr>
          <w:rFonts w:cs="Times New Roman"/>
          <w:szCs w:val="24"/>
        </w:rPr>
        <w:t xml:space="preserve"> </w:t>
      </w:r>
      <w:r w:rsidR="00FE55B5" w:rsidRPr="00D910D8">
        <w:rPr>
          <w:rFonts w:cs="Times New Roman"/>
          <w:szCs w:val="24"/>
        </w:rPr>
        <w:t>for not disclosing a reasonable cause of action</w:t>
      </w:r>
      <w:r w:rsidR="0049762A" w:rsidRPr="00D910D8">
        <w:rPr>
          <w:rFonts w:cs="Times New Roman"/>
          <w:szCs w:val="24"/>
        </w:rPr>
        <w:t xml:space="preserve"> under </w:t>
      </w:r>
      <w:r w:rsidR="00385497" w:rsidRPr="00D910D8">
        <w:rPr>
          <w:rFonts w:cs="Times New Roman"/>
          <w:szCs w:val="24"/>
        </w:rPr>
        <w:t>r</w:t>
      </w:r>
      <w:r w:rsidR="0049762A" w:rsidRPr="00D910D8">
        <w:rPr>
          <w:rFonts w:cs="Times New Roman"/>
          <w:szCs w:val="24"/>
        </w:rPr>
        <w:t>. 19(24</w:t>
      </w:r>
      <w:proofErr w:type="gramStart"/>
      <w:r w:rsidR="0049762A" w:rsidRPr="00D910D8">
        <w:rPr>
          <w:rFonts w:cs="Times New Roman"/>
          <w:szCs w:val="24"/>
        </w:rPr>
        <w:t>)</w:t>
      </w:r>
      <w:r w:rsidR="00F66DCB" w:rsidRPr="00D910D8">
        <w:rPr>
          <w:rFonts w:cs="Times New Roman"/>
          <w:szCs w:val="24"/>
        </w:rPr>
        <w:t>(</w:t>
      </w:r>
      <w:proofErr w:type="gramEnd"/>
      <w:r w:rsidR="00F66DCB" w:rsidRPr="00D910D8">
        <w:rPr>
          <w:rFonts w:cs="Times New Roman"/>
          <w:szCs w:val="24"/>
        </w:rPr>
        <w:t>a)</w:t>
      </w:r>
      <w:r w:rsidR="0049762A" w:rsidRPr="00D910D8">
        <w:rPr>
          <w:rFonts w:cs="Times New Roman"/>
          <w:szCs w:val="24"/>
        </w:rPr>
        <w:t xml:space="preserve"> of the B.C.</w:t>
      </w:r>
      <w:r w:rsidR="0049762A" w:rsidRPr="00D910D8">
        <w:rPr>
          <w:rFonts w:cs="Times New Roman"/>
          <w:i/>
          <w:szCs w:val="24"/>
        </w:rPr>
        <w:t xml:space="preserve"> </w:t>
      </w:r>
      <w:r w:rsidR="00385497" w:rsidRPr="00D910D8">
        <w:rPr>
          <w:rFonts w:cs="Times New Roman"/>
          <w:i/>
          <w:szCs w:val="24"/>
        </w:rPr>
        <w:t xml:space="preserve">Supreme Court </w:t>
      </w:r>
      <w:r w:rsidR="0049762A" w:rsidRPr="00D910D8">
        <w:rPr>
          <w:rFonts w:cs="Times New Roman"/>
          <w:i/>
          <w:iCs/>
          <w:szCs w:val="24"/>
        </w:rPr>
        <w:t>Rules</w:t>
      </w:r>
      <w:r w:rsidR="000E6699" w:rsidRPr="00D910D8">
        <w:rPr>
          <w:rFonts w:cs="Times New Roman"/>
          <w:szCs w:val="24"/>
        </w:rPr>
        <w:t>.  This Court has reiterate</w:t>
      </w:r>
      <w:r w:rsidR="00385497" w:rsidRPr="00D910D8">
        <w:rPr>
          <w:rFonts w:cs="Times New Roman"/>
          <w:szCs w:val="24"/>
        </w:rPr>
        <w:t xml:space="preserve">d the test on many occasions.  </w:t>
      </w:r>
      <w:r w:rsidR="00475C9F" w:rsidRPr="00D910D8">
        <w:rPr>
          <w:rFonts w:cs="Times New Roman"/>
          <w:szCs w:val="24"/>
        </w:rPr>
        <w:t xml:space="preserve">A claim will only be struck if it is </w:t>
      </w:r>
      <w:r w:rsidR="000E6699" w:rsidRPr="00D910D8">
        <w:rPr>
          <w:rFonts w:cs="Times New Roman"/>
          <w:szCs w:val="24"/>
        </w:rPr>
        <w:t xml:space="preserve">plain and obvious, assuming the facts pleaded to be true, that the </w:t>
      </w:r>
      <w:r w:rsidR="006964F5" w:rsidRPr="00D910D8">
        <w:rPr>
          <w:rFonts w:cs="Times New Roman"/>
          <w:szCs w:val="24"/>
        </w:rPr>
        <w:t xml:space="preserve">pleading </w:t>
      </w:r>
      <w:r w:rsidR="00E70931" w:rsidRPr="00D910D8">
        <w:rPr>
          <w:rFonts w:cs="Times New Roman"/>
          <w:szCs w:val="24"/>
        </w:rPr>
        <w:t>discloses no reasonable cause of action</w:t>
      </w:r>
      <w:r w:rsidR="00FE3BD5" w:rsidRPr="00D910D8">
        <w:rPr>
          <w:rFonts w:cs="Times New Roman"/>
          <w:szCs w:val="24"/>
        </w:rPr>
        <w:t xml:space="preserve">: </w:t>
      </w:r>
      <w:r w:rsidR="00003D3D" w:rsidRPr="00D910D8">
        <w:rPr>
          <w:rFonts w:cs="Times New Roman"/>
          <w:i/>
          <w:szCs w:val="24"/>
        </w:rPr>
        <w:t>Odhavji Estate v. Woodhouse</w:t>
      </w:r>
      <w:r w:rsidR="00FE3BD5" w:rsidRPr="00D910D8">
        <w:rPr>
          <w:rFonts w:cs="Times New Roman"/>
          <w:szCs w:val="24"/>
        </w:rPr>
        <w:t xml:space="preserve">, </w:t>
      </w:r>
      <w:r w:rsidR="00385497" w:rsidRPr="00D910D8">
        <w:rPr>
          <w:rFonts w:cs="Times New Roman"/>
          <w:szCs w:val="24"/>
        </w:rPr>
        <w:t xml:space="preserve">2003 SCC 69, </w:t>
      </w:r>
      <w:r w:rsidR="00FE3BD5" w:rsidRPr="00D910D8">
        <w:rPr>
          <w:rFonts w:cs="Times New Roman"/>
          <w:szCs w:val="24"/>
        </w:rPr>
        <w:t>[2003] 3 S.C.R. 263</w:t>
      </w:r>
      <w:r w:rsidR="00385497" w:rsidRPr="00D910D8">
        <w:rPr>
          <w:rFonts w:cs="Times New Roman"/>
          <w:szCs w:val="24"/>
        </w:rPr>
        <w:t>,</w:t>
      </w:r>
      <w:r w:rsidR="00FE3BD5" w:rsidRPr="00D910D8">
        <w:rPr>
          <w:rFonts w:cs="Times New Roman"/>
          <w:szCs w:val="24"/>
        </w:rPr>
        <w:t xml:space="preserve"> at para. 15</w:t>
      </w:r>
      <w:r w:rsidR="00E70931" w:rsidRPr="00D910D8">
        <w:rPr>
          <w:rFonts w:cs="Times New Roman"/>
          <w:szCs w:val="24"/>
        </w:rPr>
        <w:t>;</w:t>
      </w:r>
      <w:r w:rsidR="00E70931" w:rsidRPr="00D910D8">
        <w:rPr>
          <w:rFonts w:cs="Times New Roman"/>
          <w:i/>
          <w:szCs w:val="24"/>
        </w:rPr>
        <w:t xml:space="preserve"> Hunt v. Carey Canada Inc.</w:t>
      </w:r>
      <w:r w:rsidR="00E70931" w:rsidRPr="00D910D8">
        <w:rPr>
          <w:rFonts w:cs="Times New Roman"/>
          <w:szCs w:val="24"/>
        </w:rPr>
        <w:t>, [1990] 2 S.C.R. 959, at p. 980</w:t>
      </w:r>
      <w:r w:rsidR="000E6699" w:rsidRPr="00D910D8">
        <w:rPr>
          <w:rFonts w:cs="Times New Roman"/>
          <w:szCs w:val="24"/>
        </w:rPr>
        <w:t xml:space="preserve">.  Another way of putting the test is that the </w:t>
      </w:r>
      <w:r w:rsidR="006964F5" w:rsidRPr="00D910D8">
        <w:rPr>
          <w:rFonts w:cs="Times New Roman"/>
          <w:szCs w:val="24"/>
        </w:rPr>
        <w:t>claim has no reasonable prospect of success</w:t>
      </w:r>
      <w:r w:rsidR="00E47673" w:rsidRPr="00D910D8">
        <w:rPr>
          <w:rFonts w:cs="Times New Roman"/>
          <w:szCs w:val="24"/>
        </w:rPr>
        <w:t>.</w:t>
      </w:r>
      <w:r w:rsidR="000E6699" w:rsidRPr="00D910D8">
        <w:rPr>
          <w:rFonts w:cs="Times New Roman"/>
          <w:szCs w:val="24"/>
        </w:rPr>
        <w:t xml:space="preserve">  Where </w:t>
      </w:r>
      <w:r w:rsidR="007B4A32" w:rsidRPr="00D910D8">
        <w:rPr>
          <w:rFonts w:cs="Times New Roman"/>
          <w:szCs w:val="24"/>
        </w:rPr>
        <w:t xml:space="preserve">a </w:t>
      </w:r>
      <w:r w:rsidR="000E6699" w:rsidRPr="00D910D8">
        <w:rPr>
          <w:rFonts w:cs="Times New Roman"/>
          <w:szCs w:val="24"/>
        </w:rPr>
        <w:t xml:space="preserve">reasonable prospect of success </w:t>
      </w:r>
      <w:r w:rsidR="007B4A32" w:rsidRPr="00D910D8">
        <w:rPr>
          <w:rFonts w:cs="Times New Roman"/>
          <w:szCs w:val="24"/>
        </w:rPr>
        <w:t>exists</w:t>
      </w:r>
      <w:r w:rsidR="000E6699" w:rsidRPr="00D910D8">
        <w:rPr>
          <w:rFonts w:cs="Times New Roman"/>
          <w:szCs w:val="24"/>
        </w:rPr>
        <w:t>, the matter should be allowed to proceed to trial</w:t>
      </w:r>
      <w:r w:rsidR="00152E9E" w:rsidRPr="00D910D8">
        <w:rPr>
          <w:rFonts w:cs="Times New Roman"/>
          <w:szCs w:val="24"/>
        </w:rPr>
        <w:t>: s</w:t>
      </w:r>
      <w:r w:rsidR="000E6699" w:rsidRPr="00D910D8">
        <w:rPr>
          <w:rFonts w:cs="Times New Roman"/>
          <w:szCs w:val="24"/>
        </w:rPr>
        <w:t>ee</w:t>
      </w:r>
      <w:r w:rsidR="0086130B" w:rsidRPr="00D910D8">
        <w:rPr>
          <w:rFonts w:cs="Times New Roman"/>
          <w:szCs w:val="24"/>
        </w:rPr>
        <w:t>,</w:t>
      </w:r>
      <w:r w:rsidR="000E6699" w:rsidRPr="00D910D8">
        <w:rPr>
          <w:rFonts w:cs="Times New Roman"/>
          <w:szCs w:val="24"/>
        </w:rPr>
        <w:t xml:space="preserve"> generally</w:t>
      </w:r>
      <w:r w:rsidR="0086130B" w:rsidRPr="00D910D8">
        <w:rPr>
          <w:rFonts w:cs="Times New Roman"/>
          <w:szCs w:val="24"/>
        </w:rPr>
        <w:t>,</w:t>
      </w:r>
      <w:r w:rsidR="000E6699" w:rsidRPr="00D910D8">
        <w:rPr>
          <w:rFonts w:cs="Times New Roman"/>
          <w:szCs w:val="24"/>
        </w:rPr>
        <w:t xml:space="preserve"> </w:t>
      </w:r>
      <w:r w:rsidR="006229ED" w:rsidRPr="00D910D8">
        <w:rPr>
          <w:rFonts w:cs="Times New Roman"/>
          <w:i/>
          <w:iCs/>
          <w:szCs w:val="24"/>
        </w:rPr>
        <w:t>Syl Apps Secure Treatment Centre v. B.D.</w:t>
      </w:r>
      <w:r w:rsidR="006229ED" w:rsidRPr="00D910D8">
        <w:rPr>
          <w:rFonts w:cs="Times New Roman"/>
          <w:szCs w:val="24"/>
        </w:rPr>
        <w:t xml:space="preserve">, </w:t>
      </w:r>
      <w:r w:rsidR="00385497" w:rsidRPr="00D910D8">
        <w:rPr>
          <w:rFonts w:cs="Times New Roman"/>
          <w:szCs w:val="24"/>
        </w:rPr>
        <w:t xml:space="preserve">2007 SCC 38, </w:t>
      </w:r>
      <w:r w:rsidR="006229ED" w:rsidRPr="00D910D8">
        <w:rPr>
          <w:rFonts w:cs="Times New Roman"/>
          <w:szCs w:val="24"/>
        </w:rPr>
        <w:t>[2007] 3 S.C.R.</w:t>
      </w:r>
      <w:r w:rsidR="006229ED" w:rsidRPr="00D910D8">
        <w:rPr>
          <w:rFonts w:cs="Times New Roman"/>
          <w:i/>
          <w:iCs/>
          <w:szCs w:val="24"/>
        </w:rPr>
        <w:t xml:space="preserve"> </w:t>
      </w:r>
      <w:r w:rsidR="006229ED" w:rsidRPr="00D910D8">
        <w:rPr>
          <w:rFonts w:cs="Times New Roman"/>
          <w:szCs w:val="24"/>
        </w:rPr>
        <w:t>83</w:t>
      </w:r>
      <w:r w:rsidR="001640DE" w:rsidRPr="00D910D8">
        <w:rPr>
          <w:rFonts w:cs="Times New Roman"/>
          <w:szCs w:val="24"/>
        </w:rPr>
        <w:t>;</w:t>
      </w:r>
      <w:r w:rsidR="001640DE" w:rsidRPr="00D910D8">
        <w:rPr>
          <w:rFonts w:cs="Times New Roman"/>
          <w:i/>
          <w:szCs w:val="24"/>
        </w:rPr>
        <w:t xml:space="preserve"> Odhavji Estate</w:t>
      </w:r>
      <w:r w:rsidR="0092047C" w:rsidRPr="00D910D8">
        <w:rPr>
          <w:rFonts w:cs="Times New Roman"/>
          <w:szCs w:val="24"/>
        </w:rPr>
        <w:t>;</w:t>
      </w:r>
      <w:r w:rsidR="0092047C" w:rsidRPr="00D910D8">
        <w:rPr>
          <w:rFonts w:cs="Times New Roman"/>
          <w:i/>
          <w:szCs w:val="24"/>
        </w:rPr>
        <w:t xml:space="preserve"> Hunt</w:t>
      </w:r>
      <w:r w:rsidR="0092047C" w:rsidRPr="00D910D8">
        <w:rPr>
          <w:rFonts w:cs="Times New Roman"/>
          <w:szCs w:val="24"/>
        </w:rPr>
        <w:t xml:space="preserve">; </w:t>
      </w:r>
      <w:r w:rsidR="00385497" w:rsidRPr="00D910D8">
        <w:rPr>
          <w:rFonts w:cs="Times New Roman"/>
          <w:i/>
          <w:iCs/>
          <w:szCs w:val="24"/>
        </w:rPr>
        <w:t>Attorney General of Canada</w:t>
      </w:r>
      <w:r w:rsidR="0092047C" w:rsidRPr="00D910D8">
        <w:rPr>
          <w:rFonts w:cs="Times New Roman"/>
          <w:i/>
          <w:iCs/>
          <w:szCs w:val="24"/>
        </w:rPr>
        <w:t xml:space="preserve"> v. Inuit Tapirisat of Can</w:t>
      </w:r>
      <w:r w:rsidR="00385497" w:rsidRPr="00D910D8">
        <w:rPr>
          <w:rFonts w:cs="Times New Roman"/>
          <w:i/>
          <w:iCs/>
          <w:szCs w:val="24"/>
        </w:rPr>
        <w:t>ada</w:t>
      </w:r>
      <w:r w:rsidR="0092047C" w:rsidRPr="00D910D8">
        <w:rPr>
          <w:rFonts w:cs="Times New Roman"/>
          <w:szCs w:val="24"/>
        </w:rPr>
        <w:t>, [1980] 2 S.C.R. 735</w:t>
      </w:r>
      <w:r w:rsidR="00572CCD" w:rsidRPr="00D910D8">
        <w:rPr>
          <w:rFonts w:cs="Times New Roman"/>
          <w:szCs w:val="24"/>
        </w:rPr>
        <w:t>.</w:t>
      </w:r>
    </w:p>
    <w:p w:rsidR="000E6699" w:rsidRPr="00D910D8" w:rsidRDefault="000E6699" w:rsidP="0075602C">
      <w:pPr>
        <w:pStyle w:val="ParaNoNdepar-AltN"/>
        <w:rPr>
          <w:rFonts w:cs="Times New Roman"/>
          <w:szCs w:val="24"/>
        </w:rPr>
      </w:pPr>
      <w:r w:rsidRPr="00D910D8">
        <w:rPr>
          <w:rFonts w:cs="Times New Roman"/>
          <w:szCs w:val="24"/>
        </w:rPr>
        <w:lastRenderedPageBreak/>
        <w:t>Although all agree on the test, the arguments before us revealed different conceptions about how it should be applied.  It may therefore be useful to review the purpose o</w:t>
      </w:r>
      <w:r w:rsidR="001640DE" w:rsidRPr="00D910D8">
        <w:rPr>
          <w:rFonts w:cs="Times New Roman"/>
          <w:szCs w:val="24"/>
        </w:rPr>
        <w:t>f the test and its application.</w:t>
      </w:r>
    </w:p>
    <w:p w:rsidR="000E6699" w:rsidRPr="00D910D8" w:rsidRDefault="002606F8" w:rsidP="0075602C">
      <w:pPr>
        <w:pStyle w:val="ParaNoNdepar-AltN"/>
        <w:rPr>
          <w:rFonts w:cs="Times New Roman"/>
          <w:szCs w:val="24"/>
        </w:rPr>
      </w:pPr>
      <w:r w:rsidRPr="00D910D8">
        <w:rPr>
          <w:rFonts w:cs="Times New Roman"/>
          <w:szCs w:val="24"/>
        </w:rPr>
        <w:t xml:space="preserve">The </w:t>
      </w:r>
      <w:r w:rsidR="00713AB9" w:rsidRPr="00D910D8">
        <w:rPr>
          <w:rFonts w:cs="Times New Roman"/>
          <w:szCs w:val="24"/>
        </w:rPr>
        <w:t>power to strike out claims that</w:t>
      </w:r>
      <w:r w:rsidRPr="00D910D8">
        <w:rPr>
          <w:rFonts w:cs="Times New Roman"/>
          <w:szCs w:val="24"/>
        </w:rPr>
        <w:t xml:space="preserve"> have no </w:t>
      </w:r>
      <w:r w:rsidR="0064741C" w:rsidRPr="00D910D8">
        <w:rPr>
          <w:rFonts w:cs="Times New Roman"/>
          <w:szCs w:val="24"/>
        </w:rPr>
        <w:t xml:space="preserve">reasonable prospect of success </w:t>
      </w:r>
      <w:r w:rsidR="000E6699" w:rsidRPr="00D910D8">
        <w:rPr>
          <w:rFonts w:cs="Times New Roman"/>
          <w:szCs w:val="24"/>
        </w:rPr>
        <w:t>i</w:t>
      </w:r>
      <w:r w:rsidR="00385497" w:rsidRPr="00D910D8">
        <w:rPr>
          <w:rFonts w:cs="Times New Roman"/>
          <w:szCs w:val="24"/>
        </w:rPr>
        <w:t>s a valuable house</w:t>
      </w:r>
      <w:r w:rsidR="000E6699" w:rsidRPr="00D910D8">
        <w:rPr>
          <w:rFonts w:cs="Times New Roman"/>
          <w:szCs w:val="24"/>
        </w:rPr>
        <w:t>keeping measure essential to ef</w:t>
      </w:r>
      <w:r w:rsidR="00713AB9" w:rsidRPr="00D910D8">
        <w:rPr>
          <w:rFonts w:cs="Times New Roman"/>
          <w:szCs w:val="24"/>
        </w:rPr>
        <w:t xml:space="preserve">fective and fair litigation.  </w:t>
      </w:r>
      <w:r w:rsidR="009A3DFE" w:rsidRPr="00D910D8">
        <w:rPr>
          <w:rFonts w:cs="Times New Roman"/>
          <w:szCs w:val="24"/>
        </w:rPr>
        <w:t>It un</w:t>
      </w:r>
      <w:r w:rsidRPr="00D910D8">
        <w:rPr>
          <w:rFonts w:cs="Times New Roman"/>
          <w:szCs w:val="24"/>
        </w:rPr>
        <w:t>clutters the proceedings, weeding out the hopeless claims and ensuring that those that have some cha</w:t>
      </w:r>
      <w:r w:rsidR="001640DE" w:rsidRPr="00D910D8">
        <w:rPr>
          <w:rFonts w:cs="Times New Roman"/>
          <w:szCs w:val="24"/>
        </w:rPr>
        <w:t>nce of success go on to trial.</w:t>
      </w:r>
    </w:p>
    <w:p w:rsidR="000E6699" w:rsidRPr="00D910D8" w:rsidRDefault="00001517" w:rsidP="0075602C">
      <w:pPr>
        <w:pStyle w:val="ParaNoNdepar-AltN"/>
        <w:rPr>
          <w:rFonts w:cs="Times New Roman"/>
          <w:szCs w:val="24"/>
        </w:rPr>
      </w:pPr>
      <w:r w:rsidRPr="00D910D8">
        <w:rPr>
          <w:rFonts w:cs="Times New Roman"/>
          <w:szCs w:val="24"/>
        </w:rPr>
        <w:t xml:space="preserve">This promotes two goods — </w:t>
      </w:r>
      <w:r w:rsidR="002606F8" w:rsidRPr="00D910D8">
        <w:rPr>
          <w:rFonts w:cs="Times New Roman"/>
          <w:szCs w:val="24"/>
        </w:rPr>
        <w:t>efficiency i</w:t>
      </w:r>
      <w:r w:rsidR="00713AB9" w:rsidRPr="00D910D8">
        <w:rPr>
          <w:rFonts w:cs="Times New Roman"/>
          <w:szCs w:val="24"/>
        </w:rPr>
        <w:t>n the conduct of the litigation</w:t>
      </w:r>
      <w:r w:rsidR="002606F8" w:rsidRPr="00D910D8">
        <w:rPr>
          <w:rFonts w:cs="Times New Roman"/>
          <w:szCs w:val="24"/>
        </w:rPr>
        <w:t xml:space="preserve"> and correct results.  Striking out claims that have no reasonable prospect of success promotes litigation efficiency, reducing time and cost.  The litigants can focus on serious claims, without devoting days and sometimes weeks of evidence and argument to claims that are in any event hopeless.  The same applies to judges and juries, whose attention is focused </w:t>
      </w:r>
      <w:r w:rsidRPr="00D910D8">
        <w:rPr>
          <w:rFonts w:cs="Times New Roman"/>
          <w:szCs w:val="24"/>
        </w:rPr>
        <w:t xml:space="preserve">where it should be — </w:t>
      </w:r>
      <w:r w:rsidR="002606F8" w:rsidRPr="00D910D8">
        <w:rPr>
          <w:rFonts w:cs="Times New Roman"/>
          <w:szCs w:val="24"/>
        </w:rPr>
        <w:t xml:space="preserve">on claims </w:t>
      </w:r>
      <w:proofErr w:type="gramStart"/>
      <w:r w:rsidR="002606F8" w:rsidRPr="00D910D8">
        <w:rPr>
          <w:rFonts w:cs="Times New Roman"/>
          <w:szCs w:val="24"/>
        </w:rPr>
        <w:t>t</w:t>
      </w:r>
      <w:r w:rsidRPr="00D910D8">
        <w:rPr>
          <w:rFonts w:cs="Times New Roman"/>
          <w:szCs w:val="24"/>
        </w:rPr>
        <w:t>hat</w:t>
      </w:r>
      <w:proofErr w:type="gramEnd"/>
      <w:r w:rsidRPr="00D910D8">
        <w:rPr>
          <w:rFonts w:cs="Times New Roman"/>
          <w:szCs w:val="24"/>
        </w:rPr>
        <w:t xml:space="preserve"> have a </w:t>
      </w:r>
      <w:r w:rsidR="006964F5" w:rsidRPr="00D910D8">
        <w:rPr>
          <w:rFonts w:cs="Times New Roman"/>
          <w:szCs w:val="24"/>
        </w:rPr>
        <w:t xml:space="preserve">reasonable </w:t>
      </w:r>
      <w:r w:rsidRPr="00D910D8">
        <w:rPr>
          <w:rFonts w:cs="Times New Roman"/>
          <w:szCs w:val="24"/>
        </w:rPr>
        <w:t xml:space="preserve">chance of success.  </w:t>
      </w:r>
      <w:r w:rsidR="002606F8" w:rsidRPr="00D910D8">
        <w:rPr>
          <w:rFonts w:cs="Times New Roman"/>
          <w:szCs w:val="24"/>
        </w:rPr>
        <w:t>The efficiency gained by weeding out unmeritorious claims in turn contributes to better justice.  The more the evidence and arguments are trained on the real issues, the more likely it is that the trial process will successfully come to grips with the parties’ respective position</w:t>
      </w:r>
      <w:r w:rsidR="00713AB9" w:rsidRPr="00D910D8">
        <w:rPr>
          <w:rFonts w:cs="Times New Roman"/>
          <w:szCs w:val="24"/>
        </w:rPr>
        <w:t>s on those issues</w:t>
      </w:r>
      <w:r w:rsidR="002606F8" w:rsidRPr="00D910D8">
        <w:rPr>
          <w:rFonts w:cs="Times New Roman"/>
          <w:szCs w:val="24"/>
        </w:rPr>
        <w:t xml:space="preserve"> and the merits of the case.</w:t>
      </w:r>
    </w:p>
    <w:p w:rsidR="000E6699" w:rsidRPr="00D910D8" w:rsidRDefault="002606F8" w:rsidP="0075602C">
      <w:pPr>
        <w:pStyle w:val="ParaNoNdepar-AltN"/>
        <w:rPr>
          <w:rFonts w:cs="Times New Roman"/>
          <w:szCs w:val="24"/>
        </w:rPr>
      </w:pPr>
      <w:r w:rsidRPr="00D910D8">
        <w:rPr>
          <w:rFonts w:cs="Times New Roman"/>
          <w:szCs w:val="24"/>
        </w:rPr>
        <w:lastRenderedPageBreak/>
        <w:t xml:space="preserve">Valuable as it is, the motion to strike is a tool that must be used with care.  The law is not static and unchanging.  Actions that yesterday were deemed hopeless may tomorrow succeed.  Before </w:t>
      </w:r>
      <w:bookmarkStart w:id="8" w:name="OLE_LINK1"/>
      <w:bookmarkStart w:id="9" w:name="OLE_LINK2"/>
      <w:r w:rsidRPr="00D910D8">
        <w:rPr>
          <w:rFonts w:cs="Times New Roman"/>
          <w:i/>
          <w:szCs w:val="24"/>
        </w:rPr>
        <w:t xml:space="preserve">Donoghue </w:t>
      </w:r>
      <w:bookmarkEnd w:id="8"/>
      <w:bookmarkEnd w:id="9"/>
      <w:r w:rsidRPr="00D910D8">
        <w:rPr>
          <w:rFonts w:cs="Times New Roman"/>
          <w:i/>
          <w:szCs w:val="24"/>
        </w:rPr>
        <w:t>v. Stevenson</w:t>
      </w:r>
      <w:r w:rsidRPr="00D910D8">
        <w:rPr>
          <w:rFonts w:cs="Times New Roman"/>
          <w:szCs w:val="24"/>
        </w:rPr>
        <w:t>, [1932] A.C. 562</w:t>
      </w:r>
      <w:r w:rsidR="007B4A32" w:rsidRPr="00D910D8">
        <w:rPr>
          <w:rFonts w:cs="Times New Roman"/>
          <w:szCs w:val="24"/>
        </w:rPr>
        <w:t xml:space="preserve"> (H.L.)</w:t>
      </w:r>
      <w:r w:rsidR="000E6699" w:rsidRPr="00D910D8">
        <w:rPr>
          <w:rFonts w:cs="Times New Roman"/>
          <w:szCs w:val="24"/>
        </w:rPr>
        <w:t xml:space="preserve"> introduced a general duty of care to one’s </w:t>
      </w:r>
      <w:r w:rsidR="00E46A41" w:rsidRPr="00D910D8">
        <w:rPr>
          <w:rFonts w:cs="Times New Roman"/>
          <w:szCs w:val="24"/>
        </w:rPr>
        <w:t>neighbour</w:t>
      </w:r>
      <w:r w:rsidR="000E6699" w:rsidRPr="00D910D8">
        <w:rPr>
          <w:rFonts w:cs="Times New Roman"/>
          <w:szCs w:val="24"/>
        </w:rPr>
        <w:t xml:space="preserve"> premised on foreseeability, few would have predicted that</w:t>
      </w:r>
      <w:r w:rsidR="00713AB9" w:rsidRPr="00D910D8">
        <w:rPr>
          <w:rFonts w:cs="Times New Roman"/>
          <w:szCs w:val="24"/>
        </w:rPr>
        <w:t xml:space="preserve">, absent a contractual relationship, </w:t>
      </w:r>
      <w:r w:rsidR="000E6699" w:rsidRPr="00D910D8">
        <w:rPr>
          <w:rFonts w:cs="Times New Roman"/>
          <w:szCs w:val="24"/>
        </w:rPr>
        <w:t xml:space="preserve">a bottling company could be held liable for </w:t>
      </w:r>
      <w:r w:rsidR="00713AB9" w:rsidRPr="00D910D8">
        <w:rPr>
          <w:rFonts w:cs="Times New Roman"/>
          <w:szCs w:val="24"/>
        </w:rPr>
        <w:t xml:space="preserve">physical injury and </w:t>
      </w:r>
      <w:r w:rsidR="000E6699" w:rsidRPr="00D910D8">
        <w:rPr>
          <w:rFonts w:cs="Times New Roman"/>
          <w:szCs w:val="24"/>
        </w:rPr>
        <w:t xml:space="preserve">emotional trauma resulting from a snail in a bottle of ginger beer.  Before </w:t>
      </w:r>
      <w:r w:rsidR="00E46A41" w:rsidRPr="00D910D8">
        <w:rPr>
          <w:rFonts w:cs="Times New Roman"/>
          <w:i/>
          <w:iCs/>
          <w:spacing w:val="-3"/>
          <w:szCs w:val="24"/>
        </w:rPr>
        <w:t>Hedley By</w:t>
      </w:r>
      <w:r w:rsidRPr="00D910D8">
        <w:rPr>
          <w:rFonts w:cs="Times New Roman"/>
          <w:i/>
          <w:iCs/>
          <w:spacing w:val="-3"/>
          <w:szCs w:val="24"/>
        </w:rPr>
        <w:t>rne &amp; Co. v. Heller &amp; Partners</w:t>
      </w:r>
      <w:r w:rsidR="001A6529" w:rsidRPr="00D910D8">
        <w:rPr>
          <w:rFonts w:cs="Times New Roman"/>
          <w:i/>
          <w:iCs/>
          <w:spacing w:val="-3"/>
          <w:szCs w:val="24"/>
        </w:rPr>
        <w:t>,</w:t>
      </w:r>
      <w:r w:rsidRPr="00D910D8">
        <w:rPr>
          <w:rFonts w:cs="Times New Roman"/>
          <w:i/>
          <w:iCs/>
          <w:spacing w:val="-3"/>
          <w:szCs w:val="24"/>
        </w:rPr>
        <w:t xml:space="preserve"> Ltd.</w:t>
      </w:r>
      <w:r w:rsidRPr="00D910D8">
        <w:rPr>
          <w:rFonts w:cs="Times New Roman"/>
          <w:spacing w:val="-3"/>
          <w:szCs w:val="24"/>
        </w:rPr>
        <w:t>, [1963] 2 All E.R. 575</w:t>
      </w:r>
      <w:r w:rsidR="00385497" w:rsidRPr="00D910D8">
        <w:rPr>
          <w:rFonts w:cs="Times New Roman"/>
          <w:spacing w:val="-3"/>
          <w:szCs w:val="24"/>
        </w:rPr>
        <w:t xml:space="preserve"> (H.L.)</w:t>
      </w:r>
      <w:r w:rsidRPr="00D910D8">
        <w:rPr>
          <w:rFonts w:cs="Times New Roman"/>
          <w:szCs w:val="24"/>
        </w:rPr>
        <w:t>,</w:t>
      </w:r>
      <w:r w:rsidRPr="00D910D8">
        <w:rPr>
          <w:rFonts w:cs="Times New Roman"/>
          <w:i/>
          <w:szCs w:val="24"/>
        </w:rPr>
        <w:t xml:space="preserve"> </w:t>
      </w:r>
      <w:r w:rsidRPr="00D910D8">
        <w:rPr>
          <w:rFonts w:cs="Times New Roman"/>
          <w:szCs w:val="24"/>
        </w:rPr>
        <w:t>a tort action for negligent misstatement would have been regarded as incapable of success.  The history of our law reveals that often new developments in the law first surface on motions to strike</w:t>
      </w:r>
      <w:r w:rsidR="00713AB9" w:rsidRPr="00D910D8">
        <w:rPr>
          <w:rFonts w:cs="Times New Roman"/>
          <w:szCs w:val="24"/>
        </w:rPr>
        <w:t xml:space="preserve"> or similar preliminary motions</w:t>
      </w:r>
      <w:r w:rsidRPr="00D910D8">
        <w:rPr>
          <w:rFonts w:cs="Times New Roman"/>
          <w:szCs w:val="24"/>
        </w:rPr>
        <w:t xml:space="preserve">, like the one at issue in </w:t>
      </w:r>
      <w:r w:rsidRPr="00D910D8">
        <w:rPr>
          <w:rFonts w:cs="Times New Roman"/>
          <w:i/>
          <w:szCs w:val="24"/>
        </w:rPr>
        <w:t>Donoghue v. Stevenson.</w:t>
      </w:r>
      <w:r w:rsidRPr="00D910D8">
        <w:rPr>
          <w:rFonts w:cs="Times New Roman"/>
          <w:b/>
          <w:i/>
          <w:szCs w:val="24"/>
        </w:rPr>
        <w:t xml:space="preserve">  </w:t>
      </w:r>
      <w:r w:rsidR="007D32B9" w:rsidRPr="00D910D8">
        <w:rPr>
          <w:rFonts w:cs="Times New Roman"/>
          <w:szCs w:val="24"/>
        </w:rPr>
        <w:t xml:space="preserve">Therefore, on a motion to strike, it is not determinative that the law has not yet recognized the particular claim. </w:t>
      </w:r>
      <w:r w:rsidR="00713AB9" w:rsidRPr="00D910D8">
        <w:rPr>
          <w:rFonts w:cs="Times New Roman"/>
          <w:szCs w:val="24"/>
        </w:rPr>
        <w:t xml:space="preserve">  The c</w:t>
      </w:r>
      <w:r w:rsidRPr="00D910D8">
        <w:rPr>
          <w:rFonts w:cs="Times New Roman"/>
          <w:szCs w:val="24"/>
        </w:rPr>
        <w:t xml:space="preserve">ourt must rather ask whether, assuming </w:t>
      </w:r>
      <w:r w:rsidR="00794546" w:rsidRPr="00D910D8">
        <w:rPr>
          <w:rFonts w:cs="Times New Roman"/>
          <w:szCs w:val="24"/>
        </w:rPr>
        <w:t>the facts pleaded are true</w:t>
      </w:r>
      <w:r w:rsidRPr="00D910D8">
        <w:rPr>
          <w:rFonts w:cs="Times New Roman"/>
          <w:szCs w:val="24"/>
        </w:rPr>
        <w:t>, the</w:t>
      </w:r>
      <w:r w:rsidR="006964F5" w:rsidRPr="00D910D8">
        <w:rPr>
          <w:rFonts w:cs="Times New Roman"/>
          <w:szCs w:val="24"/>
        </w:rPr>
        <w:t>re is a reasonable prospect that the claim will succeed</w:t>
      </w:r>
      <w:r w:rsidRPr="00D910D8">
        <w:rPr>
          <w:rFonts w:cs="Times New Roman"/>
          <w:szCs w:val="24"/>
        </w:rPr>
        <w:t>.  The approach must be generous and err on the side of permitting a novel but argua</w:t>
      </w:r>
      <w:r w:rsidR="00581B23" w:rsidRPr="00D910D8">
        <w:rPr>
          <w:rFonts w:cs="Times New Roman"/>
          <w:szCs w:val="24"/>
        </w:rPr>
        <w:t>ble claim to proceed to trial.</w:t>
      </w:r>
    </w:p>
    <w:p w:rsidR="000E6699" w:rsidRPr="00D910D8" w:rsidRDefault="000E6699" w:rsidP="0075602C">
      <w:pPr>
        <w:pStyle w:val="ParaNoNdepar-AltN"/>
        <w:rPr>
          <w:rFonts w:cs="Times New Roman"/>
          <w:szCs w:val="24"/>
        </w:rPr>
      </w:pPr>
      <w:r w:rsidRPr="00D910D8">
        <w:rPr>
          <w:rFonts w:cs="Times New Roman"/>
          <w:szCs w:val="24"/>
        </w:rPr>
        <w:t xml:space="preserve">A motion to strike </w:t>
      </w:r>
      <w:r w:rsidR="00F66DCB" w:rsidRPr="00D910D8">
        <w:rPr>
          <w:rFonts w:cs="Times New Roman"/>
          <w:szCs w:val="24"/>
        </w:rPr>
        <w:t xml:space="preserve">for failure to disclose a reasonable cause of action </w:t>
      </w:r>
      <w:r w:rsidRPr="00D910D8">
        <w:rPr>
          <w:rFonts w:cs="Times New Roman"/>
          <w:szCs w:val="24"/>
        </w:rPr>
        <w:t>proceeds on the basis that the facts pleaded are true</w:t>
      </w:r>
      <w:r w:rsidR="00261188" w:rsidRPr="00D910D8">
        <w:rPr>
          <w:rFonts w:cs="Times New Roman"/>
          <w:szCs w:val="24"/>
        </w:rPr>
        <w:t xml:space="preserve">, unless they are manifestly incapable of being proven: </w:t>
      </w:r>
      <w:r w:rsidR="00261188" w:rsidRPr="00D910D8">
        <w:rPr>
          <w:rFonts w:cs="Times New Roman"/>
          <w:i/>
          <w:szCs w:val="24"/>
        </w:rPr>
        <w:t xml:space="preserve">Operation Dismantle </w:t>
      </w:r>
      <w:r w:rsidR="000A6DE9" w:rsidRPr="00D910D8">
        <w:rPr>
          <w:rFonts w:cs="Times New Roman"/>
          <w:i/>
          <w:szCs w:val="24"/>
        </w:rPr>
        <w:t xml:space="preserve">Inc. </w:t>
      </w:r>
      <w:r w:rsidR="00261188" w:rsidRPr="00D910D8">
        <w:rPr>
          <w:rFonts w:cs="Times New Roman"/>
          <w:i/>
          <w:szCs w:val="24"/>
        </w:rPr>
        <w:t>v. The Queen</w:t>
      </w:r>
      <w:r w:rsidR="00261188" w:rsidRPr="00D910D8">
        <w:rPr>
          <w:rFonts w:cs="Times New Roman"/>
          <w:szCs w:val="24"/>
        </w:rPr>
        <w:t>, [1985] 1 S.C.R. 441</w:t>
      </w:r>
      <w:r w:rsidR="000A6DE9" w:rsidRPr="00D910D8">
        <w:rPr>
          <w:rFonts w:cs="Times New Roman"/>
          <w:szCs w:val="24"/>
        </w:rPr>
        <w:t>,</w:t>
      </w:r>
      <w:r w:rsidR="00261188" w:rsidRPr="00D910D8">
        <w:rPr>
          <w:rFonts w:cs="Times New Roman"/>
          <w:szCs w:val="24"/>
        </w:rPr>
        <w:t xml:space="preserve"> at </w:t>
      </w:r>
      <w:r w:rsidR="000A6DE9" w:rsidRPr="00D910D8">
        <w:rPr>
          <w:rFonts w:cs="Times New Roman"/>
          <w:szCs w:val="24"/>
        </w:rPr>
        <w:t xml:space="preserve">p. </w:t>
      </w:r>
      <w:r w:rsidR="00261188" w:rsidRPr="00D910D8">
        <w:rPr>
          <w:rFonts w:cs="Times New Roman"/>
          <w:szCs w:val="24"/>
        </w:rPr>
        <w:t>455</w:t>
      </w:r>
      <w:r w:rsidRPr="00D910D8">
        <w:rPr>
          <w:rFonts w:cs="Times New Roman"/>
          <w:szCs w:val="24"/>
        </w:rPr>
        <w:t xml:space="preserve">.  </w:t>
      </w:r>
      <w:r w:rsidR="00F66DCB" w:rsidRPr="00D910D8">
        <w:rPr>
          <w:rFonts w:cs="Times New Roman"/>
          <w:szCs w:val="24"/>
        </w:rPr>
        <w:t xml:space="preserve">No evidence is admissible on such a motion: </w:t>
      </w:r>
      <w:r w:rsidR="000A6DE9" w:rsidRPr="00D910D8">
        <w:rPr>
          <w:rFonts w:cs="Times New Roman"/>
          <w:szCs w:val="24"/>
        </w:rPr>
        <w:t>r</w:t>
      </w:r>
      <w:r w:rsidR="00F66DCB" w:rsidRPr="00D910D8">
        <w:rPr>
          <w:rFonts w:cs="Times New Roman"/>
          <w:szCs w:val="24"/>
        </w:rPr>
        <w:t xml:space="preserve">. 19(27) of the </w:t>
      </w:r>
      <w:r w:rsidR="000A6DE9" w:rsidRPr="00D910D8">
        <w:rPr>
          <w:rFonts w:cs="Times New Roman"/>
          <w:i/>
          <w:szCs w:val="24"/>
        </w:rPr>
        <w:t xml:space="preserve">Supreme Court </w:t>
      </w:r>
      <w:r w:rsidR="00F66DCB" w:rsidRPr="00D910D8">
        <w:rPr>
          <w:rFonts w:cs="Times New Roman"/>
          <w:i/>
          <w:iCs/>
          <w:szCs w:val="24"/>
        </w:rPr>
        <w:t>Rules</w:t>
      </w:r>
      <w:r w:rsidR="0086130B" w:rsidRPr="00D910D8">
        <w:rPr>
          <w:rFonts w:cs="Times New Roman"/>
          <w:iCs/>
          <w:szCs w:val="24"/>
        </w:rPr>
        <w:t xml:space="preserve"> (now r. 9-5(2) of the </w:t>
      </w:r>
      <w:r w:rsidR="0086130B" w:rsidRPr="00D910D8">
        <w:rPr>
          <w:rFonts w:cs="Times New Roman"/>
          <w:i/>
          <w:iCs/>
          <w:szCs w:val="24"/>
        </w:rPr>
        <w:t>Supreme Court Civil Rules</w:t>
      </w:r>
      <w:r w:rsidR="00065D19" w:rsidRPr="00D910D8">
        <w:rPr>
          <w:rFonts w:cs="Times New Roman"/>
          <w:iCs/>
          <w:szCs w:val="24"/>
        </w:rPr>
        <w:t>)</w:t>
      </w:r>
      <w:r w:rsidR="00261188" w:rsidRPr="00D910D8">
        <w:rPr>
          <w:rFonts w:cs="Times New Roman"/>
          <w:iCs/>
          <w:szCs w:val="24"/>
        </w:rPr>
        <w:t>.</w:t>
      </w:r>
      <w:r w:rsidR="00F66DCB" w:rsidRPr="00D910D8">
        <w:rPr>
          <w:rFonts w:cs="Times New Roman"/>
          <w:szCs w:val="24"/>
        </w:rPr>
        <w:t xml:space="preserve"> </w:t>
      </w:r>
      <w:r w:rsidR="000A6DE9" w:rsidRPr="00D910D8">
        <w:rPr>
          <w:rFonts w:cs="Times New Roman"/>
          <w:szCs w:val="24"/>
        </w:rPr>
        <w:t xml:space="preserve"> </w:t>
      </w:r>
      <w:r w:rsidRPr="00D910D8">
        <w:rPr>
          <w:rFonts w:cs="Times New Roman"/>
          <w:szCs w:val="24"/>
        </w:rPr>
        <w:t xml:space="preserve">It is incumbent on the </w:t>
      </w:r>
      <w:r w:rsidRPr="00D910D8">
        <w:rPr>
          <w:rFonts w:cs="Times New Roman"/>
          <w:szCs w:val="24"/>
        </w:rPr>
        <w:lastRenderedPageBreak/>
        <w:t>claimant to clearly plead the facts upon which it relies in making its claim.  A claim</w:t>
      </w:r>
      <w:r w:rsidR="002606F8" w:rsidRPr="00D910D8">
        <w:rPr>
          <w:rFonts w:cs="Times New Roman"/>
          <w:szCs w:val="24"/>
        </w:rPr>
        <w:t>ant is not entitled to rely on the possibility that new facts may turn up as the case progresses.  The claimant may not be in a position to prove the facts pleaded at the time of the motion.  It may only hope to be able to prove them.  But plead them it must.  The facts pleaded are the firm basis upon which the possibility of success of the claim must be evaluated.  If they are not pleaded, the exercise cannot be properly conducted.</w:t>
      </w:r>
    </w:p>
    <w:p w:rsidR="000E6699" w:rsidRPr="00D910D8" w:rsidRDefault="002606F8" w:rsidP="0075602C">
      <w:pPr>
        <w:pStyle w:val="ParaNoNdepar-AltN"/>
        <w:rPr>
          <w:rFonts w:cs="Times New Roman"/>
          <w:szCs w:val="24"/>
        </w:rPr>
      </w:pPr>
      <w:r w:rsidRPr="00D910D8">
        <w:rPr>
          <w:rFonts w:cs="Times New Roman"/>
          <w:szCs w:val="24"/>
        </w:rPr>
        <w:t xml:space="preserve">Before us, Imperial and </w:t>
      </w:r>
      <w:r w:rsidR="00713AB9" w:rsidRPr="00D910D8">
        <w:rPr>
          <w:rFonts w:cs="Times New Roman"/>
          <w:szCs w:val="24"/>
        </w:rPr>
        <w:t>the other tobacco companies ar</w:t>
      </w:r>
      <w:r w:rsidRPr="00D910D8">
        <w:rPr>
          <w:rFonts w:cs="Times New Roman"/>
          <w:szCs w:val="24"/>
        </w:rPr>
        <w:t>gued that the motion to strike should take into account, not only the facts pleaded, but the possibility that as the case progressed</w:t>
      </w:r>
      <w:r w:rsidR="000A6DE9" w:rsidRPr="00D910D8">
        <w:rPr>
          <w:rFonts w:cs="Times New Roman"/>
          <w:szCs w:val="24"/>
        </w:rPr>
        <w:t>,</w:t>
      </w:r>
      <w:r w:rsidRPr="00D910D8">
        <w:rPr>
          <w:rFonts w:cs="Times New Roman"/>
          <w:szCs w:val="24"/>
        </w:rPr>
        <w:t xml:space="preserve"> the evidence would reveal more about Canada’s conduct and role in promoting the use of low-tar cigarettes.  This fundamentally misunderstands what a motion to strike is about.  It is not about evidence, but the pleadings.  The facts pleaded are taken as true.  Whether the evidence substantiates the pleaded facts, now or at some future date, is irrelevant to the motion</w:t>
      </w:r>
      <w:r w:rsidR="00713AB9" w:rsidRPr="00D910D8">
        <w:rPr>
          <w:rFonts w:cs="Times New Roman"/>
          <w:szCs w:val="24"/>
        </w:rPr>
        <w:t xml:space="preserve"> to strike.  The judge on the </w:t>
      </w:r>
      <w:r w:rsidRPr="00D910D8">
        <w:rPr>
          <w:rFonts w:cs="Times New Roman"/>
          <w:szCs w:val="24"/>
        </w:rPr>
        <w:t>motion to strike cannot consider what evidence adduced in the future might or might not show.  To require the judge to do so would be to gut the motion to strike of its logic and ultimately render it useless.</w:t>
      </w:r>
    </w:p>
    <w:p w:rsidR="000E6699" w:rsidRPr="00D910D8" w:rsidRDefault="002606F8" w:rsidP="0075602C">
      <w:pPr>
        <w:pStyle w:val="ParaNoNdepar-AltN"/>
        <w:rPr>
          <w:rFonts w:cs="Times New Roman"/>
          <w:szCs w:val="24"/>
        </w:rPr>
      </w:pPr>
      <w:r w:rsidRPr="00D910D8">
        <w:rPr>
          <w:rFonts w:cs="Times New Roman"/>
          <w:szCs w:val="24"/>
        </w:rPr>
        <w:t>This is not unfair to the claimant.  The presumption that the facts pleaded are true operates in the claimant’s favour.  The claimant chooses what facts to plead, with a view to the cause of action it is asserting.  If new development</w:t>
      </w:r>
      <w:r w:rsidR="00713AB9" w:rsidRPr="00D910D8">
        <w:rPr>
          <w:rFonts w:cs="Times New Roman"/>
          <w:szCs w:val="24"/>
        </w:rPr>
        <w:t xml:space="preserve">s raise new </w:t>
      </w:r>
      <w:r w:rsidR="00713AB9" w:rsidRPr="00D910D8">
        <w:rPr>
          <w:rFonts w:cs="Times New Roman"/>
          <w:szCs w:val="24"/>
        </w:rPr>
        <w:lastRenderedPageBreak/>
        <w:t>possibilities —</w:t>
      </w:r>
      <w:r w:rsidR="000A6DE9" w:rsidRPr="00D910D8">
        <w:rPr>
          <w:rFonts w:cs="Times New Roman"/>
          <w:szCs w:val="24"/>
        </w:rPr>
        <w:t xml:space="preserve"> </w:t>
      </w:r>
      <w:r w:rsidR="00713AB9" w:rsidRPr="00D910D8">
        <w:rPr>
          <w:rFonts w:cs="Times New Roman"/>
          <w:szCs w:val="24"/>
        </w:rPr>
        <w:t>as they sometimes do —</w:t>
      </w:r>
      <w:r w:rsidRPr="00D910D8">
        <w:rPr>
          <w:rFonts w:cs="Times New Roman"/>
          <w:szCs w:val="24"/>
        </w:rPr>
        <w:t xml:space="preserve"> the remedy is to amend the pleadings to plead new facts at that time.</w:t>
      </w:r>
    </w:p>
    <w:p w:rsidR="00F16098" w:rsidRPr="00D910D8" w:rsidRDefault="002606F8" w:rsidP="00F16098">
      <w:pPr>
        <w:pStyle w:val="ParaNoNdepar-AltN"/>
        <w:rPr>
          <w:rFonts w:cs="Times New Roman"/>
          <w:szCs w:val="24"/>
        </w:rPr>
      </w:pPr>
      <w:r w:rsidRPr="00D910D8">
        <w:rPr>
          <w:rFonts w:cs="Times New Roman"/>
          <w:szCs w:val="24"/>
        </w:rPr>
        <w:t>Related to the issue of whether the motion should be refused because of the possibility of unknown evidence appearing at a future date is the issue of speculation.  The judge on a motion to strike asks if the claim has any reasonable prospect of success.  In the world of abstract speculation, there is a mathematical chance that any number of things might happen.  That is not what the test on a motion to strike seeks to determine.  Rather, it operates on the assumption that the claim will proceed through the</w:t>
      </w:r>
      <w:r w:rsidR="00713AB9" w:rsidRPr="00D910D8">
        <w:rPr>
          <w:rFonts w:cs="Times New Roman"/>
          <w:szCs w:val="24"/>
        </w:rPr>
        <w:t xml:space="preserve"> court system in the usual way —</w:t>
      </w:r>
      <w:r w:rsidRPr="00D910D8">
        <w:rPr>
          <w:rFonts w:cs="Times New Roman"/>
          <w:szCs w:val="24"/>
        </w:rPr>
        <w:t xml:space="preserve"> in an adversarial system where judges are under a duty to apply the law as set out in (and as it may develop from) statutes and precedent.  </w:t>
      </w:r>
      <w:r w:rsidR="008D7FB6" w:rsidRPr="00D910D8">
        <w:rPr>
          <w:rFonts w:cs="Times New Roman"/>
          <w:szCs w:val="24"/>
        </w:rPr>
        <w:t>The question is</w:t>
      </w:r>
      <w:r w:rsidRPr="00D910D8">
        <w:rPr>
          <w:rFonts w:cs="Times New Roman"/>
          <w:szCs w:val="24"/>
        </w:rPr>
        <w:t xml:space="preserve"> whether, considered in </w:t>
      </w:r>
      <w:r w:rsidRPr="00D910D8">
        <w:rPr>
          <w:rFonts w:cs="Times New Roman"/>
          <w:i/>
          <w:szCs w:val="24"/>
        </w:rPr>
        <w:t>the context of the law and the litigation process</w:t>
      </w:r>
      <w:r w:rsidRPr="00D910D8">
        <w:rPr>
          <w:rFonts w:cs="Times New Roman"/>
          <w:szCs w:val="24"/>
        </w:rPr>
        <w:t>, the claim has no re</w:t>
      </w:r>
      <w:r w:rsidR="00581B23" w:rsidRPr="00D910D8">
        <w:rPr>
          <w:rFonts w:cs="Times New Roman"/>
          <w:szCs w:val="24"/>
        </w:rPr>
        <w:t>asonable chance of succeeding.</w:t>
      </w:r>
    </w:p>
    <w:p w:rsidR="00B44A9B" w:rsidRPr="00D910D8" w:rsidRDefault="002606F8" w:rsidP="00F16098">
      <w:pPr>
        <w:pStyle w:val="ParaNoNdepar-AltN"/>
        <w:rPr>
          <w:rFonts w:cs="Times New Roman"/>
          <w:szCs w:val="24"/>
        </w:rPr>
      </w:pPr>
      <w:r w:rsidRPr="00D910D8">
        <w:rPr>
          <w:rFonts w:cs="Times New Roman"/>
          <w:szCs w:val="24"/>
        </w:rPr>
        <w:t>With this framework in mind, I proceed to consider the tobacco companies’ claims.</w:t>
      </w:r>
    </w:p>
    <w:p w:rsidR="001C7B60" w:rsidRPr="00D910D8" w:rsidRDefault="00B9509B" w:rsidP="0066330D">
      <w:pPr>
        <w:pStyle w:val="TitleTitre-AltT"/>
        <w:tabs>
          <w:tab w:val="clear" w:pos="360"/>
          <w:tab w:val="left" w:pos="540"/>
        </w:tabs>
        <w:ind w:left="540" w:hanging="540"/>
        <w:rPr>
          <w:rFonts w:cs="Times New Roman"/>
          <w:i/>
          <w:szCs w:val="24"/>
        </w:rPr>
      </w:pPr>
      <w:bookmarkStart w:id="10" w:name="_Toc314733742"/>
      <w:r w:rsidRPr="00D910D8">
        <w:rPr>
          <w:rFonts w:cs="Times New Roman"/>
          <w:szCs w:val="24"/>
        </w:rPr>
        <w:t>B.</w:t>
      </w:r>
      <w:r w:rsidRPr="00D910D8">
        <w:rPr>
          <w:rFonts w:cs="Times New Roman"/>
          <w:szCs w:val="24"/>
        </w:rPr>
        <w:tab/>
      </w:r>
      <w:r w:rsidR="001C7B60" w:rsidRPr="00D910D8">
        <w:rPr>
          <w:rFonts w:cs="Times New Roman"/>
          <w:i/>
          <w:szCs w:val="24"/>
        </w:rPr>
        <w:t xml:space="preserve">Canada’s </w:t>
      </w:r>
      <w:r w:rsidR="000A6DE9" w:rsidRPr="00D910D8">
        <w:rPr>
          <w:rFonts w:cs="Times New Roman"/>
          <w:i/>
          <w:szCs w:val="24"/>
        </w:rPr>
        <w:t>A</w:t>
      </w:r>
      <w:r w:rsidR="001C7B60" w:rsidRPr="00D910D8">
        <w:rPr>
          <w:rFonts w:cs="Times New Roman"/>
          <w:i/>
          <w:szCs w:val="24"/>
        </w:rPr>
        <w:t xml:space="preserve">lleged </w:t>
      </w:r>
      <w:r w:rsidR="000A6DE9" w:rsidRPr="00D910D8">
        <w:rPr>
          <w:rFonts w:cs="Times New Roman"/>
          <w:i/>
          <w:szCs w:val="24"/>
        </w:rPr>
        <w:t>D</w:t>
      </w:r>
      <w:r w:rsidR="001C7B60" w:rsidRPr="00D910D8">
        <w:rPr>
          <w:rFonts w:cs="Times New Roman"/>
          <w:i/>
          <w:szCs w:val="24"/>
        </w:rPr>
        <w:t>ut</w:t>
      </w:r>
      <w:r w:rsidR="00995F60" w:rsidRPr="00D910D8">
        <w:rPr>
          <w:rFonts w:cs="Times New Roman"/>
          <w:i/>
          <w:szCs w:val="24"/>
        </w:rPr>
        <w:t>ies</w:t>
      </w:r>
      <w:r w:rsidR="001C7B60" w:rsidRPr="00D910D8">
        <w:rPr>
          <w:rFonts w:cs="Times New Roman"/>
          <w:i/>
          <w:szCs w:val="24"/>
        </w:rPr>
        <w:t xml:space="preserve"> of </w:t>
      </w:r>
      <w:r w:rsidR="000A6DE9" w:rsidRPr="00D910D8">
        <w:rPr>
          <w:rFonts w:cs="Times New Roman"/>
          <w:i/>
          <w:szCs w:val="24"/>
        </w:rPr>
        <w:t>C</w:t>
      </w:r>
      <w:r w:rsidR="001C7B60" w:rsidRPr="00D910D8">
        <w:rPr>
          <w:rFonts w:cs="Times New Roman"/>
          <w:i/>
          <w:szCs w:val="24"/>
        </w:rPr>
        <w:t xml:space="preserve">are to </w:t>
      </w:r>
      <w:r w:rsidR="0086130B" w:rsidRPr="00D910D8">
        <w:rPr>
          <w:rFonts w:cs="Times New Roman"/>
          <w:i/>
          <w:szCs w:val="24"/>
        </w:rPr>
        <w:t>Smokers</w:t>
      </w:r>
      <w:r w:rsidR="001C7B60" w:rsidRPr="00D910D8">
        <w:rPr>
          <w:rFonts w:cs="Times New Roman"/>
          <w:i/>
          <w:szCs w:val="24"/>
        </w:rPr>
        <w:t xml:space="preserve"> in the Costs Recovery </w:t>
      </w:r>
      <w:r w:rsidR="000A6DE9" w:rsidRPr="00D910D8">
        <w:rPr>
          <w:rFonts w:cs="Times New Roman"/>
          <w:i/>
          <w:szCs w:val="24"/>
        </w:rPr>
        <w:t>C</w:t>
      </w:r>
      <w:r w:rsidR="00D53A12" w:rsidRPr="00D910D8">
        <w:rPr>
          <w:rFonts w:cs="Times New Roman"/>
          <w:i/>
          <w:szCs w:val="24"/>
        </w:rPr>
        <w:t>ase</w:t>
      </w:r>
      <w:bookmarkEnd w:id="10"/>
    </w:p>
    <w:p w:rsidR="001C7B60" w:rsidRPr="00D910D8" w:rsidRDefault="00023FE6" w:rsidP="00023FE6">
      <w:pPr>
        <w:pStyle w:val="ParaNoNdepar-AltN"/>
        <w:rPr>
          <w:rFonts w:cs="Times New Roman"/>
          <w:szCs w:val="24"/>
        </w:rPr>
      </w:pPr>
      <w:r w:rsidRPr="00D910D8">
        <w:rPr>
          <w:rFonts w:cs="Times New Roman"/>
          <w:szCs w:val="24"/>
        </w:rPr>
        <w:t xml:space="preserve">In the </w:t>
      </w:r>
      <w:r w:rsidRPr="00D910D8">
        <w:rPr>
          <w:rFonts w:cs="Times New Roman"/>
          <w:i/>
          <w:szCs w:val="24"/>
        </w:rPr>
        <w:t xml:space="preserve">Costs Recovery </w:t>
      </w:r>
      <w:r w:rsidR="00F16C1C" w:rsidRPr="00D910D8">
        <w:rPr>
          <w:rFonts w:cs="Times New Roman"/>
          <w:szCs w:val="24"/>
        </w:rPr>
        <w:t>c</w:t>
      </w:r>
      <w:r w:rsidRPr="00D910D8">
        <w:rPr>
          <w:rFonts w:cs="Times New Roman"/>
          <w:szCs w:val="24"/>
        </w:rPr>
        <w:t xml:space="preserve">ase, </w:t>
      </w:r>
      <w:r w:rsidR="001C7B60" w:rsidRPr="00D910D8">
        <w:rPr>
          <w:rFonts w:cs="Times New Roman"/>
          <w:szCs w:val="24"/>
        </w:rPr>
        <w:t xml:space="preserve">Canada </w:t>
      </w:r>
      <w:r w:rsidR="0086130B" w:rsidRPr="00D910D8">
        <w:rPr>
          <w:rFonts w:cs="Times New Roman"/>
          <w:szCs w:val="24"/>
        </w:rPr>
        <w:t>argues</w:t>
      </w:r>
      <w:r w:rsidRPr="00D910D8">
        <w:rPr>
          <w:rFonts w:cs="Times New Roman"/>
          <w:szCs w:val="24"/>
        </w:rPr>
        <w:t xml:space="preserve"> that </w:t>
      </w:r>
      <w:r w:rsidR="002F5927" w:rsidRPr="00D910D8">
        <w:rPr>
          <w:rFonts w:cs="Times New Roman"/>
          <w:szCs w:val="24"/>
        </w:rPr>
        <w:t xml:space="preserve">all </w:t>
      </w:r>
      <w:r w:rsidRPr="00D910D8">
        <w:rPr>
          <w:rFonts w:cs="Times New Roman"/>
          <w:szCs w:val="24"/>
        </w:rPr>
        <w:t xml:space="preserve">the claims for contribution based on </w:t>
      </w:r>
      <w:r w:rsidR="002F5927" w:rsidRPr="00D910D8">
        <w:rPr>
          <w:rFonts w:cs="Times New Roman"/>
          <w:szCs w:val="24"/>
        </w:rPr>
        <w:t xml:space="preserve">its </w:t>
      </w:r>
      <w:r w:rsidRPr="00D910D8">
        <w:rPr>
          <w:rFonts w:cs="Times New Roman"/>
          <w:szCs w:val="24"/>
        </w:rPr>
        <w:t>all</w:t>
      </w:r>
      <w:r w:rsidR="0086130B" w:rsidRPr="00D910D8">
        <w:rPr>
          <w:rFonts w:cs="Times New Roman"/>
          <w:szCs w:val="24"/>
        </w:rPr>
        <w:t>eged duties of care to smokers</w:t>
      </w:r>
      <w:r w:rsidRPr="00D910D8">
        <w:rPr>
          <w:rFonts w:cs="Times New Roman"/>
          <w:szCs w:val="24"/>
        </w:rPr>
        <w:t xml:space="preserve"> </w:t>
      </w:r>
      <w:r w:rsidR="00CE22DD" w:rsidRPr="00D910D8">
        <w:rPr>
          <w:rFonts w:cs="Times New Roman"/>
          <w:szCs w:val="24"/>
        </w:rPr>
        <w:t xml:space="preserve">must </w:t>
      </w:r>
      <w:r w:rsidRPr="00D910D8">
        <w:rPr>
          <w:rFonts w:cs="Times New Roman"/>
          <w:szCs w:val="24"/>
        </w:rPr>
        <w:t xml:space="preserve">be struck.  </w:t>
      </w:r>
      <w:r w:rsidR="008D6FCE" w:rsidRPr="00D910D8">
        <w:rPr>
          <w:rFonts w:cs="Times New Roman"/>
          <w:szCs w:val="24"/>
        </w:rPr>
        <w:t xml:space="preserve">Under the </w:t>
      </w:r>
      <w:r w:rsidR="008D6FCE" w:rsidRPr="00D910D8">
        <w:rPr>
          <w:rFonts w:cs="Times New Roman"/>
          <w:i/>
          <w:szCs w:val="24"/>
        </w:rPr>
        <w:t>Negligence Act</w:t>
      </w:r>
      <w:r w:rsidR="008D6FCE" w:rsidRPr="00D910D8">
        <w:rPr>
          <w:rFonts w:cs="Times New Roman"/>
          <w:szCs w:val="24"/>
        </w:rPr>
        <w:t xml:space="preserve">, Canada submits, contribution may only be awarded if the third party </w:t>
      </w:r>
      <w:r w:rsidR="008D6FCE" w:rsidRPr="00D910D8">
        <w:rPr>
          <w:rFonts w:cs="Times New Roman"/>
          <w:szCs w:val="24"/>
        </w:rPr>
        <w:lastRenderedPageBreak/>
        <w:t xml:space="preserve">would be liable to the plaintiff directly. </w:t>
      </w:r>
      <w:r w:rsidRPr="00D910D8">
        <w:rPr>
          <w:rFonts w:cs="Times New Roman"/>
          <w:szCs w:val="24"/>
        </w:rPr>
        <w:t>It argues that even if Can</w:t>
      </w:r>
      <w:r w:rsidR="0086130B" w:rsidRPr="00D910D8">
        <w:rPr>
          <w:rFonts w:cs="Times New Roman"/>
          <w:szCs w:val="24"/>
        </w:rPr>
        <w:t>ada breached duties to smokers</w:t>
      </w:r>
      <w:r w:rsidRPr="00D910D8">
        <w:rPr>
          <w:rFonts w:cs="Times New Roman"/>
          <w:szCs w:val="24"/>
        </w:rPr>
        <w:t>, such breach</w:t>
      </w:r>
      <w:r w:rsidR="003F0143" w:rsidRPr="00D910D8">
        <w:rPr>
          <w:rFonts w:cs="Times New Roman"/>
          <w:szCs w:val="24"/>
        </w:rPr>
        <w:t>es</w:t>
      </w:r>
      <w:r w:rsidRPr="00D910D8">
        <w:rPr>
          <w:rFonts w:cs="Times New Roman"/>
          <w:szCs w:val="24"/>
        </w:rPr>
        <w:t xml:space="preserve"> cannot ground the tobacco companies’ claims for contribution </w:t>
      </w:r>
      <w:r w:rsidR="00CE22DD" w:rsidRPr="00D910D8">
        <w:rPr>
          <w:rFonts w:cs="Times New Roman"/>
          <w:szCs w:val="24"/>
        </w:rPr>
        <w:t>if they are found liable to</w:t>
      </w:r>
      <w:r w:rsidRPr="00D910D8">
        <w:rPr>
          <w:rFonts w:cs="Times New Roman"/>
          <w:szCs w:val="24"/>
        </w:rPr>
        <w:t xml:space="preserve"> British Columbia</w:t>
      </w:r>
      <w:r w:rsidR="008D6FCE" w:rsidRPr="00D910D8">
        <w:rPr>
          <w:rFonts w:cs="Times New Roman"/>
          <w:szCs w:val="24"/>
        </w:rPr>
        <w:t xml:space="preserve">, the sole plaintiff in the </w:t>
      </w:r>
      <w:r w:rsidR="008D6FCE" w:rsidRPr="00D910D8">
        <w:rPr>
          <w:rFonts w:cs="Times New Roman"/>
          <w:i/>
          <w:szCs w:val="24"/>
        </w:rPr>
        <w:t xml:space="preserve">Costs Recovery </w:t>
      </w:r>
      <w:r w:rsidR="008D6FCE" w:rsidRPr="00D910D8">
        <w:rPr>
          <w:rFonts w:cs="Times New Roman"/>
          <w:szCs w:val="24"/>
        </w:rPr>
        <w:t>case</w:t>
      </w:r>
      <w:r w:rsidRPr="00D910D8">
        <w:rPr>
          <w:rFonts w:cs="Times New Roman"/>
          <w:szCs w:val="24"/>
        </w:rPr>
        <w:t xml:space="preserve">.  </w:t>
      </w:r>
      <w:r w:rsidR="008D6FCE" w:rsidRPr="00D910D8">
        <w:rPr>
          <w:rFonts w:cs="Times New Roman"/>
          <w:szCs w:val="24"/>
        </w:rPr>
        <w:t>This argument was succ</w:t>
      </w:r>
      <w:r w:rsidR="00581B23" w:rsidRPr="00D910D8">
        <w:rPr>
          <w:rFonts w:cs="Times New Roman"/>
          <w:szCs w:val="24"/>
        </w:rPr>
        <w:t>essful in the Court of Appeal.</w:t>
      </w:r>
    </w:p>
    <w:p w:rsidR="0001228E" w:rsidRPr="00D910D8" w:rsidRDefault="0001228E" w:rsidP="00023FE6">
      <w:pPr>
        <w:pStyle w:val="ParaNoNdepar-AltN"/>
        <w:rPr>
          <w:rFonts w:cs="Times New Roman"/>
          <w:szCs w:val="24"/>
        </w:rPr>
      </w:pPr>
      <w:r w:rsidRPr="00D910D8">
        <w:rPr>
          <w:rFonts w:cs="Times New Roman"/>
          <w:szCs w:val="24"/>
        </w:rPr>
        <w:t>The tobacco companies argue that direct liability to the plaintiff is not a requirement for being held liable in contribution.  They argue</w:t>
      </w:r>
      <w:r w:rsidR="00BE704A" w:rsidRPr="00D910D8">
        <w:rPr>
          <w:rFonts w:cs="Times New Roman"/>
          <w:i/>
          <w:szCs w:val="24"/>
        </w:rPr>
        <w:t xml:space="preserve"> </w:t>
      </w:r>
      <w:r w:rsidR="00BE704A" w:rsidRPr="00D910D8">
        <w:rPr>
          <w:rFonts w:cs="Times New Roman"/>
          <w:szCs w:val="24"/>
        </w:rPr>
        <w:t>that contribution in the</w:t>
      </w:r>
      <w:r w:rsidR="00BE704A" w:rsidRPr="00D910D8">
        <w:rPr>
          <w:rFonts w:cs="Times New Roman"/>
          <w:i/>
          <w:szCs w:val="24"/>
        </w:rPr>
        <w:t xml:space="preserve"> </w:t>
      </w:r>
      <w:r w:rsidRPr="00D910D8">
        <w:rPr>
          <w:rFonts w:cs="Times New Roman"/>
          <w:i/>
          <w:szCs w:val="24"/>
        </w:rPr>
        <w:t>Negligence</w:t>
      </w:r>
      <w:r w:rsidR="00BE704A" w:rsidRPr="00D910D8">
        <w:rPr>
          <w:rFonts w:cs="Times New Roman"/>
          <w:i/>
          <w:szCs w:val="24"/>
        </w:rPr>
        <w:t xml:space="preserve"> </w:t>
      </w:r>
      <w:r w:rsidRPr="00D910D8">
        <w:rPr>
          <w:rFonts w:cs="Times New Roman"/>
          <w:i/>
          <w:szCs w:val="24"/>
        </w:rPr>
        <w:t xml:space="preserve">Act </w:t>
      </w:r>
      <w:r w:rsidR="00BE704A" w:rsidRPr="00D910D8">
        <w:rPr>
          <w:rFonts w:cs="Times New Roman"/>
          <w:szCs w:val="24"/>
        </w:rPr>
        <w:t>turns on</w:t>
      </w:r>
      <w:r w:rsidRPr="00D910D8">
        <w:rPr>
          <w:rFonts w:cs="Times New Roman"/>
          <w:szCs w:val="24"/>
        </w:rPr>
        <w:t xml:space="preserve"> fault, not liability.  The object of the </w:t>
      </w:r>
      <w:r w:rsidRPr="00D910D8">
        <w:rPr>
          <w:rFonts w:cs="Times New Roman"/>
          <w:i/>
          <w:szCs w:val="24"/>
        </w:rPr>
        <w:t xml:space="preserve">Negligence Act </w:t>
      </w:r>
      <w:r w:rsidRPr="00D910D8">
        <w:rPr>
          <w:rFonts w:cs="Times New Roman"/>
          <w:szCs w:val="24"/>
        </w:rPr>
        <w:t>is to allow defendants to recover from other parties that were also at fault for the damage that resulted to the plaintiff, and barring a claim against Canada would de</w:t>
      </w:r>
      <w:r w:rsidR="00581B23" w:rsidRPr="00D910D8">
        <w:rPr>
          <w:rFonts w:cs="Times New Roman"/>
          <w:szCs w:val="24"/>
        </w:rPr>
        <w:t>feat this purpose, they argue.</w:t>
      </w:r>
    </w:p>
    <w:p w:rsidR="00023FE6" w:rsidRPr="00D910D8" w:rsidRDefault="00023FE6" w:rsidP="00023FE6">
      <w:pPr>
        <w:pStyle w:val="ParaNoNdepar-AltN"/>
        <w:rPr>
          <w:rFonts w:cs="Times New Roman"/>
          <w:szCs w:val="24"/>
        </w:rPr>
      </w:pPr>
      <w:r w:rsidRPr="00D910D8">
        <w:rPr>
          <w:rFonts w:cs="Times New Roman"/>
          <w:szCs w:val="24"/>
        </w:rPr>
        <w:t>I agree with Canada</w:t>
      </w:r>
      <w:r w:rsidR="00BA0F4A" w:rsidRPr="00D910D8">
        <w:rPr>
          <w:rFonts w:cs="Times New Roman"/>
          <w:szCs w:val="24"/>
        </w:rPr>
        <w:t xml:space="preserve"> and </w:t>
      </w:r>
      <w:r w:rsidR="00CE22DD" w:rsidRPr="00D910D8">
        <w:rPr>
          <w:rFonts w:cs="Times New Roman"/>
          <w:szCs w:val="24"/>
        </w:rPr>
        <w:t>the Court of Appeal</w:t>
      </w:r>
      <w:r w:rsidR="00BA0F4A" w:rsidRPr="00D910D8">
        <w:rPr>
          <w:rFonts w:cs="Times New Roman"/>
          <w:szCs w:val="24"/>
        </w:rPr>
        <w:t xml:space="preserve"> that a third party may only be liable for contribution under the </w:t>
      </w:r>
      <w:r w:rsidR="00BA0F4A" w:rsidRPr="00D910D8">
        <w:rPr>
          <w:rFonts w:cs="Times New Roman"/>
          <w:i/>
          <w:szCs w:val="24"/>
        </w:rPr>
        <w:t>Negligence Act</w:t>
      </w:r>
      <w:r w:rsidR="00BA0F4A" w:rsidRPr="00D910D8">
        <w:rPr>
          <w:rFonts w:cs="Times New Roman"/>
          <w:szCs w:val="24"/>
        </w:rPr>
        <w:t xml:space="preserve"> if it is directly liable to the plaintiff</w:t>
      </w:r>
      <w:r w:rsidRPr="00D910D8">
        <w:rPr>
          <w:rFonts w:cs="Times New Roman"/>
          <w:szCs w:val="24"/>
        </w:rPr>
        <w:t>.  In</w:t>
      </w:r>
      <w:r w:rsidRPr="00D910D8">
        <w:rPr>
          <w:rFonts w:cs="Times New Roman"/>
          <w:i/>
          <w:szCs w:val="24"/>
        </w:rPr>
        <w:t xml:space="preserve"> Giffels</w:t>
      </w:r>
      <w:r w:rsidR="000A6DE9" w:rsidRPr="00D910D8">
        <w:rPr>
          <w:rFonts w:cs="Times New Roman"/>
          <w:i/>
          <w:szCs w:val="24"/>
        </w:rPr>
        <w:t xml:space="preserve"> Associates Ltd.</w:t>
      </w:r>
      <w:r w:rsidRPr="00D910D8">
        <w:rPr>
          <w:rFonts w:cs="Times New Roman"/>
          <w:i/>
          <w:szCs w:val="24"/>
        </w:rPr>
        <w:t xml:space="preserve"> v. Eastern Construction</w:t>
      </w:r>
      <w:r w:rsidR="000A6DE9" w:rsidRPr="00D910D8">
        <w:rPr>
          <w:rFonts w:cs="Times New Roman"/>
          <w:i/>
          <w:szCs w:val="24"/>
        </w:rPr>
        <w:t xml:space="preserve"> Co.</w:t>
      </w:r>
      <w:r w:rsidRPr="00D910D8">
        <w:rPr>
          <w:rFonts w:cs="Times New Roman"/>
          <w:szCs w:val="24"/>
        </w:rPr>
        <w:t>, [1978] 2 S.C.R. 1346, dealing with a statutory provision similar to that in British Columbia, Laskin C.J. stated:</w:t>
      </w:r>
    </w:p>
    <w:p w:rsidR="00023FE6" w:rsidRPr="00D910D8" w:rsidRDefault="00917B1F" w:rsidP="00023FE6">
      <w:pPr>
        <w:pStyle w:val="Citation-AltC"/>
        <w:rPr>
          <w:szCs w:val="24"/>
        </w:rPr>
      </w:pPr>
      <w:r w:rsidRPr="00D910D8">
        <w:rPr>
          <w:szCs w:val="24"/>
        </w:rPr>
        <w:t xml:space="preserve">. . . </w:t>
      </w:r>
      <w:r w:rsidR="00023FE6" w:rsidRPr="00D910D8">
        <w:rPr>
          <w:szCs w:val="24"/>
          <w:u w:val="single"/>
        </w:rPr>
        <w:t xml:space="preserve">I am of the view that it is a precondition of the right to resort to contribution that there </w:t>
      </w:r>
      <w:proofErr w:type="gramStart"/>
      <w:r w:rsidR="00023FE6" w:rsidRPr="00D910D8">
        <w:rPr>
          <w:szCs w:val="24"/>
          <w:u w:val="single"/>
        </w:rPr>
        <w:t>be</w:t>
      </w:r>
      <w:proofErr w:type="gramEnd"/>
      <w:r w:rsidR="00023FE6" w:rsidRPr="00D910D8">
        <w:rPr>
          <w:szCs w:val="24"/>
          <w:u w:val="single"/>
        </w:rPr>
        <w:t xml:space="preserve"> liability to the plaintiff</w:t>
      </w:r>
      <w:r w:rsidR="00023FE6" w:rsidRPr="00D910D8">
        <w:rPr>
          <w:szCs w:val="24"/>
        </w:rPr>
        <w:t>. I am unable to appreciate how a claim for contribution can be made under s. 2(1) by one person against another in respect of loss resulting to a third person unless each of the former two came under a liability to the third person to answer</w:t>
      </w:r>
      <w:r w:rsidR="00A60367" w:rsidRPr="00D910D8">
        <w:rPr>
          <w:szCs w:val="24"/>
        </w:rPr>
        <w:t xml:space="preserve"> for his loss.  [Emphasis added; p. 1354.</w:t>
      </w:r>
      <w:r w:rsidR="00023FE6" w:rsidRPr="00D910D8">
        <w:rPr>
          <w:szCs w:val="24"/>
        </w:rPr>
        <w:t>]</w:t>
      </w:r>
    </w:p>
    <w:p w:rsidR="00E51D7F" w:rsidRPr="00D910D8" w:rsidRDefault="000C1367" w:rsidP="001C7B60">
      <w:pPr>
        <w:pStyle w:val="ParaNoNdepar-AltN"/>
        <w:rPr>
          <w:rFonts w:cs="Times New Roman"/>
          <w:szCs w:val="24"/>
        </w:rPr>
      </w:pPr>
      <w:r w:rsidRPr="00D910D8">
        <w:rPr>
          <w:rFonts w:cs="Times New Roman"/>
          <w:szCs w:val="24"/>
        </w:rPr>
        <w:lastRenderedPageBreak/>
        <w:t xml:space="preserve">Accordingly, </w:t>
      </w:r>
      <w:r w:rsidR="00E51D7F" w:rsidRPr="00D910D8">
        <w:rPr>
          <w:rFonts w:cs="Times New Roman"/>
          <w:szCs w:val="24"/>
        </w:rPr>
        <w:t xml:space="preserve">it is plain and obvious that </w:t>
      </w:r>
      <w:r w:rsidRPr="00D910D8">
        <w:rPr>
          <w:rFonts w:cs="Times New Roman"/>
          <w:szCs w:val="24"/>
        </w:rPr>
        <w:t xml:space="preserve">the private law claims against Canada in the </w:t>
      </w:r>
      <w:r w:rsidRPr="00D910D8">
        <w:rPr>
          <w:rFonts w:cs="Times New Roman"/>
          <w:i/>
          <w:szCs w:val="24"/>
        </w:rPr>
        <w:t xml:space="preserve">Costs Recovery </w:t>
      </w:r>
      <w:r w:rsidR="00E51D7F" w:rsidRPr="00D910D8">
        <w:rPr>
          <w:rFonts w:cs="Times New Roman"/>
          <w:szCs w:val="24"/>
        </w:rPr>
        <w:t xml:space="preserve">case </w:t>
      </w:r>
      <w:r w:rsidRPr="00D910D8">
        <w:rPr>
          <w:rFonts w:cs="Times New Roman"/>
          <w:szCs w:val="24"/>
        </w:rPr>
        <w:t>that arise from an alleged duty of care to consumers must be struck.</w:t>
      </w:r>
      <w:r w:rsidR="00D40C49" w:rsidRPr="00D910D8">
        <w:rPr>
          <w:rFonts w:cs="Times New Roman"/>
          <w:szCs w:val="24"/>
        </w:rPr>
        <w:t xml:space="preserve">  </w:t>
      </w:r>
      <w:r w:rsidR="00C22EC4" w:rsidRPr="00D910D8">
        <w:rPr>
          <w:rFonts w:cs="Times New Roman"/>
          <w:szCs w:val="24"/>
        </w:rPr>
        <w:t xml:space="preserve">Even if Canada breached duties to </w:t>
      </w:r>
      <w:r w:rsidR="0086130B" w:rsidRPr="00D910D8">
        <w:rPr>
          <w:rFonts w:cs="Times New Roman"/>
          <w:szCs w:val="24"/>
        </w:rPr>
        <w:t>smokers</w:t>
      </w:r>
      <w:r w:rsidR="00C22EC4" w:rsidRPr="00D910D8">
        <w:rPr>
          <w:rFonts w:cs="Times New Roman"/>
          <w:szCs w:val="24"/>
        </w:rPr>
        <w:t xml:space="preserve">, this would have no </w:t>
      </w:r>
      <w:r w:rsidR="00E51D7F" w:rsidRPr="00D910D8">
        <w:rPr>
          <w:rFonts w:cs="Times New Roman"/>
          <w:szCs w:val="24"/>
        </w:rPr>
        <w:t>effect</w:t>
      </w:r>
      <w:r w:rsidR="00C22EC4" w:rsidRPr="00D910D8">
        <w:rPr>
          <w:rFonts w:cs="Times New Roman"/>
          <w:szCs w:val="24"/>
        </w:rPr>
        <w:t xml:space="preserve"> on whether it was liable to British Columbia</w:t>
      </w:r>
      <w:r w:rsidR="006F2C7D" w:rsidRPr="00D910D8">
        <w:rPr>
          <w:rFonts w:cs="Times New Roman"/>
          <w:szCs w:val="24"/>
        </w:rPr>
        <w:t>, the plaintiff in that case</w:t>
      </w:r>
      <w:r w:rsidR="00C22EC4" w:rsidRPr="00D910D8">
        <w:rPr>
          <w:rFonts w:cs="Times New Roman"/>
          <w:szCs w:val="24"/>
        </w:rPr>
        <w:t xml:space="preserve">.  </w:t>
      </w:r>
      <w:r w:rsidR="00D40C49" w:rsidRPr="00D910D8">
        <w:rPr>
          <w:rFonts w:cs="Times New Roman"/>
          <w:szCs w:val="24"/>
        </w:rPr>
        <w:t xml:space="preserve">This holding has no bearing on the consumer claim in the </w:t>
      </w:r>
      <w:r w:rsidR="00D40C49" w:rsidRPr="00D910D8">
        <w:rPr>
          <w:rFonts w:cs="Times New Roman"/>
          <w:i/>
          <w:szCs w:val="24"/>
        </w:rPr>
        <w:t xml:space="preserve">Knight </w:t>
      </w:r>
      <w:r w:rsidR="008D7FB6" w:rsidRPr="00D910D8">
        <w:rPr>
          <w:rFonts w:cs="Times New Roman"/>
          <w:szCs w:val="24"/>
        </w:rPr>
        <w:t>c</w:t>
      </w:r>
      <w:r w:rsidR="00BE704A" w:rsidRPr="00D910D8">
        <w:rPr>
          <w:rFonts w:cs="Times New Roman"/>
          <w:szCs w:val="24"/>
        </w:rPr>
        <w:t>ase</w:t>
      </w:r>
      <w:r w:rsidR="00D40C49" w:rsidRPr="00D910D8">
        <w:rPr>
          <w:rFonts w:cs="Times New Roman"/>
          <w:szCs w:val="24"/>
        </w:rPr>
        <w:t xml:space="preserve"> since consumers of light or mild cigarettes are the plaintiffs in the underlying action.</w:t>
      </w:r>
    </w:p>
    <w:p w:rsidR="000C1367" w:rsidRPr="00D910D8" w:rsidRDefault="00E51D7F" w:rsidP="001C7B60">
      <w:pPr>
        <w:pStyle w:val="ParaNoNdepar-AltN"/>
        <w:rPr>
          <w:rFonts w:cs="Times New Roman"/>
          <w:szCs w:val="24"/>
        </w:rPr>
      </w:pPr>
      <w:r w:rsidRPr="00D910D8">
        <w:rPr>
          <w:rFonts w:cs="Times New Roman"/>
          <w:szCs w:val="24"/>
        </w:rPr>
        <w:t>The discussion of the private law claims in the</w:t>
      </w:r>
      <w:r w:rsidR="00C22EC4" w:rsidRPr="00D910D8">
        <w:rPr>
          <w:rFonts w:cs="Times New Roman"/>
          <w:szCs w:val="24"/>
        </w:rPr>
        <w:t xml:space="preserve"> remainder of these reasons will refer exclusively to the claims based on Canada’s alleged duties of care to the tobacco companies in both cases before the Court, and Canada</w:t>
      </w:r>
      <w:r w:rsidRPr="00D910D8">
        <w:rPr>
          <w:rFonts w:cs="Times New Roman"/>
          <w:szCs w:val="24"/>
        </w:rPr>
        <w:t>’s</w:t>
      </w:r>
      <w:r w:rsidR="00C22EC4" w:rsidRPr="00D910D8">
        <w:rPr>
          <w:rFonts w:cs="Times New Roman"/>
          <w:szCs w:val="24"/>
        </w:rPr>
        <w:t xml:space="preserve"> alleged duties to consumers in the </w:t>
      </w:r>
      <w:r w:rsidR="00C22EC4" w:rsidRPr="00D910D8">
        <w:rPr>
          <w:rFonts w:cs="Times New Roman"/>
          <w:i/>
          <w:szCs w:val="24"/>
        </w:rPr>
        <w:t xml:space="preserve">Knight </w:t>
      </w:r>
      <w:r w:rsidRPr="00D910D8">
        <w:rPr>
          <w:rFonts w:cs="Times New Roman"/>
          <w:szCs w:val="24"/>
        </w:rPr>
        <w:t>case</w:t>
      </w:r>
      <w:r w:rsidR="00C22EC4" w:rsidRPr="00D910D8">
        <w:rPr>
          <w:rFonts w:cs="Times New Roman"/>
          <w:szCs w:val="24"/>
        </w:rPr>
        <w:t>.</w:t>
      </w:r>
    </w:p>
    <w:p w:rsidR="000E6699" w:rsidRPr="00D910D8" w:rsidRDefault="00A60367" w:rsidP="00581B23">
      <w:pPr>
        <w:pStyle w:val="TitleTitre-AltT"/>
        <w:tabs>
          <w:tab w:val="clear" w:pos="360"/>
          <w:tab w:val="left" w:pos="540"/>
        </w:tabs>
        <w:spacing w:after="720"/>
        <w:ind w:left="547" w:hanging="547"/>
        <w:rPr>
          <w:rFonts w:cs="Times New Roman"/>
          <w:i/>
          <w:szCs w:val="24"/>
        </w:rPr>
      </w:pPr>
      <w:bookmarkStart w:id="11" w:name="_Toc314733743"/>
      <w:r w:rsidRPr="00D910D8">
        <w:rPr>
          <w:rFonts w:cs="Times New Roman"/>
          <w:szCs w:val="24"/>
        </w:rPr>
        <w:t>C</w:t>
      </w:r>
      <w:r w:rsidR="001C7B60" w:rsidRPr="00D910D8">
        <w:rPr>
          <w:rFonts w:cs="Times New Roman"/>
          <w:szCs w:val="24"/>
        </w:rPr>
        <w:t>.</w:t>
      </w:r>
      <w:r w:rsidR="00B9509B" w:rsidRPr="00D910D8">
        <w:rPr>
          <w:rFonts w:cs="Times New Roman"/>
          <w:szCs w:val="24"/>
        </w:rPr>
        <w:tab/>
      </w:r>
      <w:r w:rsidR="002606F8" w:rsidRPr="00D910D8">
        <w:rPr>
          <w:rFonts w:cs="Times New Roman"/>
          <w:i/>
          <w:szCs w:val="24"/>
        </w:rPr>
        <w:t>The Claims for Negligent Misrepresentation</w:t>
      </w:r>
      <w:bookmarkEnd w:id="11"/>
    </w:p>
    <w:p w:rsidR="009D2DE1" w:rsidRPr="00D910D8" w:rsidRDefault="002606F8" w:rsidP="0075602C">
      <w:pPr>
        <w:pStyle w:val="ParaNoNdepar-AltN"/>
        <w:rPr>
          <w:rFonts w:cs="Times New Roman"/>
          <w:szCs w:val="24"/>
        </w:rPr>
      </w:pPr>
      <w:r w:rsidRPr="00D910D8">
        <w:rPr>
          <w:rFonts w:cs="Times New Roman"/>
          <w:szCs w:val="24"/>
        </w:rPr>
        <w:t xml:space="preserve">There are two types of negligent misrepresentation claims </w:t>
      </w:r>
      <w:r w:rsidR="00DB352C" w:rsidRPr="00D910D8">
        <w:rPr>
          <w:rFonts w:cs="Times New Roman"/>
          <w:szCs w:val="24"/>
        </w:rPr>
        <w:t xml:space="preserve">that remain </w:t>
      </w:r>
      <w:r w:rsidRPr="00D910D8">
        <w:rPr>
          <w:rFonts w:cs="Times New Roman"/>
          <w:szCs w:val="24"/>
        </w:rPr>
        <w:t xml:space="preserve">at issue on this appeal.  First, in the </w:t>
      </w:r>
      <w:r w:rsidRPr="00D910D8">
        <w:rPr>
          <w:rFonts w:cs="Times New Roman"/>
          <w:i/>
          <w:szCs w:val="24"/>
        </w:rPr>
        <w:t xml:space="preserve">Knight </w:t>
      </w:r>
      <w:r w:rsidRPr="00D910D8">
        <w:rPr>
          <w:rFonts w:cs="Times New Roman"/>
          <w:szCs w:val="24"/>
        </w:rPr>
        <w:t xml:space="preserve">case, Imperial alleges that Canada negligently misrepresented the health attributes </w:t>
      </w:r>
      <w:r w:rsidR="006F2C7D" w:rsidRPr="00D910D8">
        <w:rPr>
          <w:rFonts w:cs="Times New Roman"/>
          <w:szCs w:val="24"/>
        </w:rPr>
        <w:t>of low-tar cigarettes to consumers</w:t>
      </w:r>
      <w:r w:rsidRPr="00D910D8">
        <w:rPr>
          <w:rFonts w:cs="Times New Roman"/>
          <w:szCs w:val="24"/>
        </w:rPr>
        <w:t>, and is therefore liable for contribution and indemnity</w:t>
      </w:r>
      <w:r w:rsidR="006F2C7D" w:rsidRPr="00D910D8">
        <w:rPr>
          <w:rFonts w:cs="Times New Roman"/>
          <w:szCs w:val="24"/>
        </w:rPr>
        <w:t xml:space="preserve"> on the basis of the </w:t>
      </w:r>
      <w:r w:rsidR="006F2C7D" w:rsidRPr="00D910D8">
        <w:rPr>
          <w:rFonts w:cs="Times New Roman"/>
          <w:i/>
          <w:szCs w:val="24"/>
        </w:rPr>
        <w:t>Negligence Act</w:t>
      </w:r>
      <w:r w:rsidRPr="00D910D8">
        <w:rPr>
          <w:rFonts w:cs="Times New Roman"/>
          <w:szCs w:val="24"/>
        </w:rPr>
        <w:t xml:space="preserve"> if the class members are successful in this suit.  Second, in both cases before the Court, Imperial </w:t>
      </w:r>
      <w:r w:rsidR="00A60367" w:rsidRPr="00D910D8">
        <w:rPr>
          <w:rFonts w:cs="Times New Roman"/>
          <w:szCs w:val="24"/>
        </w:rPr>
        <w:t>and the other tobacco companies</w:t>
      </w:r>
      <w:r w:rsidRPr="00D910D8">
        <w:rPr>
          <w:rFonts w:cs="Times New Roman"/>
          <w:szCs w:val="24"/>
        </w:rPr>
        <w:t xml:space="preserve"> allege that </w:t>
      </w:r>
      <w:r w:rsidR="000F6203" w:rsidRPr="00D910D8">
        <w:rPr>
          <w:rFonts w:cs="Times New Roman"/>
          <w:szCs w:val="24"/>
        </w:rPr>
        <w:t>Canada made negligent misrepresentations to the tobacco companies</w:t>
      </w:r>
      <w:r w:rsidR="009D2DE1" w:rsidRPr="00D910D8">
        <w:rPr>
          <w:rFonts w:cs="Times New Roman"/>
          <w:szCs w:val="24"/>
        </w:rPr>
        <w:t xml:space="preserve">, and that Canada is liable for any losses that </w:t>
      </w:r>
      <w:r w:rsidR="00B17DB7" w:rsidRPr="00D910D8">
        <w:rPr>
          <w:rFonts w:cs="Times New Roman"/>
          <w:szCs w:val="24"/>
        </w:rPr>
        <w:t xml:space="preserve">the </w:t>
      </w:r>
      <w:r w:rsidR="00047E9C" w:rsidRPr="00D910D8">
        <w:rPr>
          <w:rFonts w:cs="Times New Roman"/>
          <w:szCs w:val="24"/>
        </w:rPr>
        <w:t>tobacco companies</w:t>
      </w:r>
      <w:r w:rsidR="009D2DE1" w:rsidRPr="00D910D8">
        <w:rPr>
          <w:rFonts w:cs="Times New Roman"/>
          <w:szCs w:val="24"/>
        </w:rPr>
        <w:t xml:space="preserve"> incur </w:t>
      </w:r>
      <w:r w:rsidR="00B44A9B" w:rsidRPr="00D910D8">
        <w:rPr>
          <w:rFonts w:cs="Times New Roman"/>
          <w:szCs w:val="24"/>
        </w:rPr>
        <w:t xml:space="preserve">to the plaintiffs </w:t>
      </w:r>
      <w:r w:rsidR="009D2DE1" w:rsidRPr="00D910D8">
        <w:rPr>
          <w:rFonts w:cs="Times New Roman"/>
          <w:szCs w:val="24"/>
        </w:rPr>
        <w:t xml:space="preserve">in </w:t>
      </w:r>
      <w:r w:rsidR="006F2C7D" w:rsidRPr="00D910D8">
        <w:rPr>
          <w:rFonts w:cs="Times New Roman"/>
          <w:szCs w:val="24"/>
        </w:rPr>
        <w:t xml:space="preserve">either </w:t>
      </w:r>
      <w:r w:rsidR="00E23107" w:rsidRPr="00D910D8">
        <w:rPr>
          <w:rFonts w:cs="Times New Roman"/>
          <w:szCs w:val="24"/>
        </w:rPr>
        <w:t>c</w:t>
      </w:r>
      <w:r w:rsidR="000D7B99" w:rsidRPr="00D910D8">
        <w:rPr>
          <w:rFonts w:cs="Times New Roman"/>
          <w:szCs w:val="24"/>
        </w:rPr>
        <w:t>ase</w:t>
      </w:r>
      <w:r w:rsidR="009D2DE1" w:rsidRPr="00D910D8">
        <w:rPr>
          <w:rFonts w:cs="Times New Roman"/>
          <w:szCs w:val="24"/>
        </w:rPr>
        <w:t>.</w:t>
      </w:r>
    </w:p>
    <w:p w:rsidR="000E6699" w:rsidRPr="00D910D8" w:rsidRDefault="000E6699" w:rsidP="0075602C">
      <w:pPr>
        <w:pStyle w:val="ParaNoNdepar-AltN"/>
        <w:rPr>
          <w:rFonts w:cs="Times New Roman"/>
          <w:szCs w:val="24"/>
        </w:rPr>
      </w:pPr>
      <w:r w:rsidRPr="00D910D8">
        <w:rPr>
          <w:rFonts w:cs="Times New Roman"/>
          <w:szCs w:val="24"/>
        </w:rPr>
        <w:lastRenderedPageBreak/>
        <w:t>Canada applies to have the claims struck on the ground that they have no reasonable prospect of success.</w:t>
      </w:r>
    </w:p>
    <w:p w:rsidR="000E6699" w:rsidRPr="00D910D8" w:rsidRDefault="002606F8" w:rsidP="0075602C">
      <w:pPr>
        <w:pStyle w:val="ParaNoNdepar-AltN"/>
        <w:rPr>
          <w:rFonts w:cs="Times New Roman"/>
          <w:szCs w:val="24"/>
        </w:rPr>
      </w:pPr>
      <w:r w:rsidRPr="00D910D8">
        <w:rPr>
          <w:rFonts w:cs="Times New Roman"/>
          <w:szCs w:val="24"/>
        </w:rPr>
        <w:t>For the purposes of the motion</w:t>
      </w:r>
      <w:r w:rsidR="00713AB9" w:rsidRPr="00D910D8">
        <w:rPr>
          <w:rFonts w:cs="Times New Roman"/>
          <w:szCs w:val="24"/>
        </w:rPr>
        <w:t xml:space="preserve"> to strike</w:t>
      </w:r>
      <w:r w:rsidRPr="00D910D8">
        <w:rPr>
          <w:rFonts w:cs="Times New Roman"/>
          <w:szCs w:val="24"/>
        </w:rPr>
        <w:t>, we must accept as true the facts pleaded.  We must th</w:t>
      </w:r>
      <w:r w:rsidR="00713AB9" w:rsidRPr="00D910D8">
        <w:rPr>
          <w:rFonts w:cs="Times New Roman"/>
          <w:szCs w:val="24"/>
        </w:rPr>
        <w:t>erefore accept</w:t>
      </w:r>
      <w:r w:rsidRPr="00D910D8">
        <w:rPr>
          <w:rFonts w:cs="Times New Roman"/>
          <w:szCs w:val="24"/>
        </w:rPr>
        <w:t xml:space="preserve"> that Canada represented to </w:t>
      </w:r>
      <w:r w:rsidR="00775DDE" w:rsidRPr="00D910D8">
        <w:rPr>
          <w:rFonts w:cs="Times New Roman"/>
          <w:szCs w:val="24"/>
        </w:rPr>
        <w:t>consumers</w:t>
      </w:r>
      <w:r w:rsidRPr="00D910D8">
        <w:rPr>
          <w:rFonts w:cs="Times New Roman"/>
          <w:szCs w:val="24"/>
        </w:rPr>
        <w:t xml:space="preserve"> and to tobacco companies that light or mild cigarettes were less harmful</w:t>
      </w:r>
      <w:r w:rsidR="0069143C" w:rsidRPr="00D910D8">
        <w:rPr>
          <w:rFonts w:cs="Times New Roman"/>
          <w:szCs w:val="24"/>
        </w:rPr>
        <w:t>, and that these representations were not accurate</w:t>
      </w:r>
      <w:r w:rsidRPr="00D910D8">
        <w:rPr>
          <w:rFonts w:cs="Times New Roman"/>
          <w:szCs w:val="24"/>
        </w:rPr>
        <w:t>. We must also accept that consumers and the tobacco companies relied on Canada’s representations and acted on them</w:t>
      </w:r>
      <w:r w:rsidR="0069143C" w:rsidRPr="00D910D8">
        <w:rPr>
          <w:rFonts w:cs="Times New Roman"/>
          <w:szCs w:val="24"/>
        </w:rPr>
        <w:t xml:space="preserve"> to their detriment</w:t>
      </w:r>
      <w:r w:rsidR="00581B23" w:rsidRPr="00D910D8">
        <w:rPr>
          <w:rFonts w:cs="Times New Roman"/>
          <w:szCs w:val="24"/>
        </w:rPr>
        <w:t>.</w:t>
      </w:r>
    </w:p>
    <w:p w:rsidR="000E6699" w:rsidRPr="00D910D8" w:rsidRDefault="002606F8" w:rsidP="0075602C">
      <w:pPr>
        <w:pStyle w:val="ParaNoNdepar-AltN"/>
        <w:rPr>
          <w:rFonts w:cs="Times New Roman"/>
          <w:szCs w:val="24"/>
        </w:rPr>
      </w:pPr>
      <w:r w:rsidRPr="00D910D8">
        <w:rPr>
          <w:rFonts w:cs="Times New Roman"/>
          <w:szCs w:val="24"/>
        </w:rPr>
        <w:t xml:space="preserve">The law first recognized a tort action for negligent misrepresentation in </w:t>
      </w:r>
      <w:r w:rsidR="00713AB9" w:rsidRPr="00D910D8">
        <w:rPr>
          <w:rFonts w:cs="Times New Roman"/>
          <w:i/>
          <w:szCs w:val="24"/>
        </w:rPr>
        <w:t>Hedley Byrne</w:t>
      </w:r>
      <w:r w:rsidRPr="00D910D8">
        <w:rPr>
          <w:rFonts w:cs="Times New Roman"/>
          <w:i/>
          <w:szCs w:val="24"/>
        </w:rPr>
        <w:t>.</w:t>
      </w:r>
      <w:r w:rsidRPr="00D910D8">
        <w:rPr>
          <w:rFonts w:cs="Times New Roman"/>
          <w:szCs w:val="24"/>
        </w:rPr>
        <w:t xml:space="preserve">  Prior to this, parties were confined to contractual remedies for misrepresentations.  </w:t>
      </w:r>
      <w:r w:rsidRPr="00D910D8">
        <w:rPr>
          <w:rFonts w:cs="Times New Roman"/>
          <w:i/>
          <w:szCs w:val="24"/>
        </w:rPr>
        <w:t xml:space="preserve">Hedley Byrne </w:t>
      </w:r>
      <w:r w:rsidRPr="00D910D8">
        <w:rPr>
          <w:rFonts w:cs="Times New Roman"/>
          <w:szCs w:val="24"/>
        </w:rPr>
        <w:t>represented a break with this tradition, allowing a claim for economic loss in tort for misrepresentations made in the absence of a contract between the parties.  In the decades that have followed, liability for negligent misrepresentation has been imposed in a variety of situations where the relationship between the parties disclosed sufficient proximity and foreseeability, and policy considerations did not negate liability.</w:t>
      </w:r>
    </w:p>
    <w:p w:rsidR="000E6699" w:rsidRPr="00D910D8" w:rsidRDefault="002606F8" w:rsidP="0075602C">
      <w:pPr>
        <w:pStyle w:val="ParaNoNdepar-AltN"/>
        <w:rPr>
          <w:rFonts w:cs="Times New Roman"/>
          <w:szCs w:val="24"/>
        </w:rPr>
      </w:pPr>
      <w:r w:rsidRPr="00D910D8">
        <w:rPr>
          <w:rFonts w:cs="Times New Roman"/>
          <w:szCs w:val="24"/>
        </w:rPr>
        <w:t xml:space="preserve">Imperial and the other tobacco companies argue that the facts pleaded against Canada bring their </w:t>
      </w:r>
      <w:r w:rsidR="00821C7F" w:rsidRPr="00D910D8">
        <w:rPr>
          <w:rFonts w:cs="Times New Roman"/>
          <w:szCs w:val="24"/>
        </w:rPr>
        <w:t xml:space="preserve">claims </w:t>
      </w:r>
      <w:r w:rsidR="000E6699" w:rsidRPr="00D910D8">
        <w:rPr>
          <w:rFonts w:cs="Times New Roman"/>
          <w:szCs w:val="24"/>
        </w:rPr>
        <w:t>within the set</w:t>
      </w:r>
      <w:r w:rsidR="000F65EE" w:rsidRPr="00D910D8">
        <w:rPr>
          <w:rFonts w:cs="Times New Roman"/>
          <w:szCs w:val="24"/>
        </w:rPr>
        <w:t xml:space="preserve">tled parameters of the tort of </w:t>
      </w:r>
      <w:r w:rsidR="000E6699" w:rsidRPr="00D910D8">
        <w:rPr>
          <w:rFonts w:cs="Times New Roman"/>
          <w:szCs w:val="24"/>
        </w:rPr>
        <w:t xml:space="preserve">negligent misrepresentation, and </w:t>
      </w:r>
      <w:r w:rsidR="00150B7F" w:rsidRPr="00D910D8">
        <w:rPr>
          <w:rFonts w:cs="Times New Roman"/>
          <w:szCs w:val="24"/>
        </w:rPr>
        <w:t xml:space="preserve">therefore </w:t>
      </w:r>
      <w:r w:rsidR="00B00301" w:rsidRPr="00D910D8">
        <w:rPr>
          <w:rFonts w:cs="Times New Roman"/>
          <w:szCs w:val="24"/>
        </w:rPr>
        <w:t xml:space="preserve">a </w:t>
      </w:r>
      <w:r w:rsidR="00B00301" w:rsidRPr="00D910D8">
        <w:rPr>
          <w:rFonts w:cs="Times New Roman"/>
          <w:i/>
          <w:szCs w:val="24"/>
        </w:rPr>
        <w:t xml:space="preserve">prima facie </w:t>
      </w:r>
      <w:r w:rsidR="00B00301" w:rsidRPr="00D910D8">
        <w:rPr>
          <w:rFonts w:cs="Times New Roman"/>
          <w:szCs w:val="24"/>
        </w:rPr>
        <w:t>duty of care is established</w:t>
      </w:r>
      <w:r w:rsidR="000E6699" w:rsidRPr="00D910D8">
        <w:rPr>
          <w:rFonts w:cs="Times New Roman"/>
          <w:szCs w:val="24"/>
        </w:rPr>
        <w:t xml:space="preserve">.  The </w:t>
      </w:r>
      <w:r w:rsidR="000E6699" w:rsidRPr="00D910D8">
        <w:rPr>
          <w:rFonts w:cs="Times New Roman"/>
          <w:szCs w:val="24"/>
        </w:rPr>
        <w:lastRenderedPageBreak/>
        <w:t>majority in the Court of Appeal accepted this argument</w:t>
      </w:r>
      <w:r w:rsidR="00821C7F" w:rsidRPr="00D910D8">
        <w:rPr>
          <w:rFonts w:cs="Times New Roman"/>
          <w:szCs w:val="24"/>
        </w:rPr>
        <w:t xml:space="preserve"> in </w:t>
      </w:r>
      <w:r w:rsidR="00DC1BEF" w:rsidRPr="00D910D8">
        <w:rPr>
          <w:rFonts w:cs="Times New Roman"/>
          <w:szCs w:val="24"/>
        </w:rPr>
        <w:t>both decisions below</w:t>
      </w:r>
      <w:r w:rsidR="00B17DB7" w:rsidRPr="00D910D8">
        <w:rPr>
          <w:rFonts w:cs="Times New Roman"/>
          <w:szCs w:val="24"/>
        </w:rPr>
        <w:t xml:space="preserve"> (</w:t>
      </w:r>
      <w:r w:rsidR="005A21EE" w:rsidRPr="00D910D8">
        <w:rPr>
          <w:rFonts w:cs="Times New Roman"/>
          <w:i/>
          <w:szCs w:val="24"/>
        </w:rPr>
        <w:t xml:space="preserve">Knight </w:t>
      </w:r>
      <w:proofErr w:type="gramStart"/>
      <w:r w:rsidR="00E23107" w:rsidRPr="00D910D8">
        <w:rPr>
          <w:rFonts w:cs="Times New Roman"/>
          <w:szCs w:val="24"/>
        </w:rPr>
        <w:t>c</w:t>
      </w:r>
      <w:r w:rsidR="000D7B99" w:rsidRPr="00D910D8">
        <w:rPr>
          <w:rFonts w:cs="Times New Roman"/>
          <w:szCs w:val="24"/>
        </w:rPr>
        <w:t>ase</w:t>
      </w:r>
      <w:proofErr w:type="gramEnd"/>
      <w:r w:rsidR="00B17DB7" w:rsidRPr="00D910D8">
        <w:rPr>
          <w:rFonts w:cs="Times New Roman"/>
          <w:szCs w:val="24"/>
        </w:rPr>
        <w:t xml:space="preserve">, </w:t>
      </w:r>
      <w:r w:rsidR="00713AB9" w:rsidRPr="00D910D8">
        <w:rPr>
          <w:rFonts w:cs="Times New Roman"/>
          <w:szCs w:val="24"/>
        </w:rPr>
        <w:t xml:space="preserve">at </w:t>
      </w:r>
      <w:r w:rsidR="00A60367" w:rsidRPr="00D910D8">
        <w:rPr>
          <w:rFonts w:cs="Times New Roman"/>
          <w:szCs w:val="24"/>
        </w:rPr>
        <w:t>paras. 45 and</w:t>
      </w:r>
      <w:r w:rsidR="00B17DB7" w:rsidRPr="00D910D8">
        <w:rPr>
          <w:rFonts w:cs="Times New Roman"/>
          <w:szCs w:val="24"/>
        </w:rPr>
        <w:t xml:space="preserve"> 66; </w:t>
      </w:r>
      <w:r w:rsidR="005A21EE" w:rsidRPr="00D910D8">
        <w:rPr>
          <w:rFonts w:cs="Times New Roman"/>
          <w:i/>
          <w:szCs w:val="24"/>
        </w:rPr>
        <w:t xml:space="preserve">Costs Recovery </w:t>
      </w:r>
      <w:r w:rsidR="00E23107" w:rsidRPr="00D910D8">
        <w:rPr>
          <w:rFonts w:cs="Times New Roman"/>
          <w:szCs w:val="24"/>
        </w:rPr>
        <w:t>c</w:t>
      </w:r>
      <w:r w:rsidR="000D7B99" w:rsidRPr="00D910D8">
        <w:rPr>
          <w:rFonts w:cs="Times New Roman"/>
          <w:szCs w:val="24"/>
        </w:rPr>
        <w:t>ase</w:t>
      </w:r>
      <w:r w:rsidR="00B17DB7" w:rsidRPr="00D910D8">
        <w:rPr>
          <w:rFonts w:cs="Times New Roman"/>
          <w:szCs w:val="24"/>
        </w:rPr>
        <w:t xml:space="preserve">, </w:t>
      </w:r>
      <w:r w:rsidR="00713AB9" w:rsidRPr="00D910D8">
        <w:rPr>
          <w:rFonts w:cs="Times New Roman"/>
          <w:szCs w:val="24"/>
        </w:rPr>
        <w:t xml:space="preserve">at </w:t>
      </w:r>
      <w:r w:rsidR="00B17DB7" w:rsidRPr="00D910D8">
        <w:rPr>
          <w:rFonts w:cs="Times New Roman"/>
          <w:szCs w:val="24"/>
        </w:rPr>
        <w:t>para. 70)</w:t>
      </w:r>
      <w:r w:rsidR="00001517" w:rsidRPr="00D910D8">
        <w:rPr>
          <w:rFonts w:cs="Times New Roman"/>
          <w:szCs w:val="24"/>
        </w:rPr>
        <w:t>.</w:t>
      </w:r>
    </w:p>
    <w:p w:rsidR="00ED3995" w:rsidRPr="00D910D8" w:rsidRDefault="002606F8" w:rsidP="0075602C">
      <w:pPr>
        <w:pStyle w:val="ParaNoNdepar-AltN"/>
        <w:rPr>
          <w:rFonts w:cs="Times New Roman"/>
          <w:szCs w:val="24"/>
        </w:rPr>
      </w:pPr>
      <w:r w:rsidRPr="00D910D8">
        <w:rPr>
          <w:rFonts w:cs="Times New Roman"/>
          <w:szCs w:val="24"/>
        </w:rPr>
        <w:t xml:space="preserve">The first question is whether the facts as pleaded bring Canada’s relationships with consumers and the tobacco companies within a settled category </w:t>
      </w:r>
      <w:r w:rsidR="00F44650" w:rsidRPr="00D910D8">
        <w:rPr>
          <w:rFonts w:cs="Times New Roman"/>
          <w:szCs w:val="24"/>
        </w:rPr>
        <w:t>that gives rise to a duty of care</w:t>
      </w:r>
      <w:r w:rsidRPr="00D910D8">
        <w:rPr>
          <w:rFonts w:cs="Times New Roman"/>
          <w:szCs w:val="24"/>
        </w:rPr>
        <w:t xml:space="preserve">.  If they do, </w:t>
      </w:r>
      <w:r w:rsidR="002D665F" w:rsidRPr="00D910D8">
        <w:rPr>
          <w:rFonts w:cs="Times New Roman"/>
          <w:szCs w:val="24"/>
        </w:rPr>
        <w:t xml:space="preserve">a </w:t>
      </w:r>
      <w:r w:rsidR="002D665F" w:rsidRPr="00D910D8">
        <w:rPr>
          <w:rFonts w:cs="Times New Roman"/>
          <w:i/>
          <w:iCs/>
          <w:szCs w:val="24"/>
        </w:rPr>
        <w:t xml:space="preserve">prima facie </w:t>
      </w:r>
      <w:r w:rsidR="002D665F" w:rsidRPr="00D910D8">
        <w:rPr>
          <w:rFonts w:cs="Times New Roman"/>
          <w:szCs w:val="24"/>
        </w:rPr>
        <w:t xml:space="preserve">duty of care will </w:t>
      </w:r>
      <w:r w:rsidR="00F44650" w:rsidRPr="00D910D8">
        <w:rPr>
          <w:rFonts w:cs="Times New Roman"/>
          <w:szCs w:val="24"/>
        </w:rPr>
        <w:t>be established</w:t>
      </w:r>
      <w:r w:rsidRPr="00D910D8">
        <w:rPr>
          <w:rFonts w:cs="Times New Roman"/>
          <w:szCs w:val="24"/>
        </w:rPr>
        <w:t xml:space="preserve">: see </w:t>
      </w:r>
      <w:r w:rsidRPr="00D910D8">
        <w:rPr>
          <w:rFonts w:cs="Times New Roman"/>
          <w:i/>
          <w:szCs w:val="24"/>
        </w:rPr>
        <w:t>Childs v. Desormeaux</w:t>
      </w:r>
      <w:r w:rsidRPr="00D910D8">
        <w:rPr>
          <w:rFonts w:cs="Times New Roman"/>
          <w:szCs w:val="24"/>
        </w:rPr>
        <w:t xml:space="preserve">, </w:t>
      </w:r>
      <w:r w:rsidR="00A60367" w:rsidRPr="00D910D8">
        <w:rPr>
          <w:rFonts w:cs="Times New Roman"/>
          <w:szCs w:val="24"/>
        </w:rPr>
        <w:t xml:space="preserve">2006 SCC 18, </w:t>
      </w:r>
      <w:r w:rsidRPr="00D910D8">
        <w:rPr>
          <w:rFonts w:cs="Times New Roman"/>
          <w:szCs w:val="24"/>
        </w:rPr>
        <w:t>[2006] 1 S.C.R. 643</w:t>
      </w:r>
      <w:r w:rsidR="00A60367" w:rsidRPr="00D910D8">
        <w:rPr>
          <w:rFonts w:cs="Times New Roman"/>
          <w:szCs w:val="24"/>
        </w:rPr>
        <w:t>,</w:t>
      </w:r>
      <w:r w:rsidR="002D665F" w:rsidRPr="00D910D8">
        <w:rPr>
          <w:rFonts w:cs="Times New Roman"/>
          <w:szCs w:val="24"/>
        </w:rPr>
        <w:t xml:space="preserve"> at para. 15</w:t>
      </w:r>
      <w:r w:rsidRPr="00D910D8">
        <w:rPr>
          <w:rFonts w:cs="Times New Roman"/>
          <w:szCs w:val="24"/>
        </w:rPr>
        <w:t xml:space="preserve">.  However, it is important to note that liability for negligent misrepresentation depends on the nature of the relationship between the plaintiff and defendant, as discussed more fully below.  The question is not whether negligent misrepresentation is a recognized tort, but whether </w:t>
      </w:r>
      <w:r w:rsidR="006964F5" w:rsidRPr="00D910D8">
        <w:rPr>
          <w:rFonts w:cs="Times New Roman"/>
          <w:szCs w:val="24"/>
        </w:rPr>
        <w:t xml:space="preserve">there is a reasonable prospect that </w:t>
      </w:r>
      <w:r w:rsidRPr="00D910D8">
        <w:rPr>
          <w:rFonts w:cs="Times New Roman"/>
          <w:szCs w:val="24"/>
        </w:rPr>
        <w:t xml:space="preserve">the relationship alleged in the pleadings </w:t>
      </w:r>
      <w:r w:rsidR="006964F5" w:rsidRPr="00D910D8">
        <w:rPr>
          <w:rFonts w:cs="Times New Roman"/>
          <w:szCs w:val="24"/>
        </w:rPr>
        <w:t xml:space="preserve">will </w:t>
      </w:r>
      <w:r w:rsidRPr="00D910D8">
        <w:rPr>
          <w:rFonts w:cs="Times New Roman"/>
          <w:szCs w:val="24"/>
        </w:rPr>
        <w:t>give rise to liability fo</w:t>
      </w:r>
      <w:r w:rsidR="00581B23" w:rsidRPr="00D910D8">
        <w:rPr>
          <w:rFonts w:cs="Times New Roman"/>
          <w:szCs w:val="24"/>
        </w:rPr>
        <w:t>r negligent misrepresentation.</w:t>
      </w:r>
    </w:p>
    <w:p w:rsidR="000E6699" w:rsidRPr="00D910D8" w:rsidRDefault="002606F8" w:rsidP="0075602C">
      <w:pPr>
        <w:pStyle w:val="ParaNoNdepar-AltN"/>
        <w:rPr>
          <w:rFonts w:cs="Times New Roman"/>
          <w:szCs w:val="24"/>
        </w:rPr>
      </w:pPr>
      <w:r w:rsidRPr="00D910D8">
        <w:rPr>
          <w:rFonts w:cs="Times New Roman"/>
          <w:szCs w:val="24"/>
        </w:rPr>
        <w:t>In my view, the facts pleaded do not bring either claim within a settled category of negligent misrepresentation.  The law of negligent misrepresentation has thus far n</w:t>
      </w:r>
      <w:r w:rsidR="006F2C7D" w:rsidRPr="00D910D8">
        <w:rPr>
          <w:rFonts w:cs="Times New Roman"/>
          <w:szCs w:val="24"/>
        </w:rPr>
        <w:t>ot recognized liability in the</w:t>
      </w:r>
      <w:r w:rsidRPr="00D910D8">
        <w:rPr>
          <w:rFonts w:cs="Times New Roman"/>
          <w:szCs w:val="24"/>
        </w:rPr>
        <w:t xml:space="preserve"> kinds of relationships</w:t>
      </w:r>
      <w:r w:rsidR="006F2C7D" w:rsidRPr="00D910D8">
        <w:rPr>
          <w:rFonts w:cs="Times New Roman"/>
          <w:szCs w:val="24"/>
        </w:rPr>
        <w:t xml:space="preserve"> at issue in these cases</w:t>
      </w:r>
      <w:r w:rsidRPr="00D910D8">
        <w:rPr>
          <w:rFonts w:cs="Times New Roman"/>
          <w:szCs w:val="24"/>
        </w:rPr>
        <w:t>.  The error of the tobacco companies</w:t>
      </w:r>
      <w:r w:rsidR="003F0FEE" w:rsidRPr="00D910D8">
        <w:rPr>
          <w:rFonts w:cs="Times New Roman"/>
          <w:szCs w:val="24"/>
        </w:rPr>
        <w:t xml:space="preserve"> </w:t>
      </w:r>
      <w:r w:rsidRPr="00D910D8">
        <w:rPr>
          <w:rFonts w:cs="Times New Roman"/>
          <w:szCs w:val="24"/>
        </w:rPr>
        <w:t>lies in assuming that the relationship</w:t>
      </w:r>
      <w:r w:rsidR="006F2C7D" w:rsidRPr="00D910D8">
        <w:rPr>
          <w:rFonts w:cs="Times New Roman"/>
          <w:szCs w:val="24"/>
        </w:rPr>
        <w:t>s</w:t>
      </w:r>
      <w:r w:rsidRPr="00D910D8">
        <w:rPr>
          <w:rFonts w:cs="Times New Roman"/>
          <w:szCs w:val="24"/>
        </w:rPr>
        <w:t xml:space="preserve"> disclosed by the pleadings between Canada and the tobacco companies </w:t>
      </w:r>
      <w:r w:rsidR="006F2C7D" w:rsidRPr="00D910D8">
        <w:rPr>
          <w:rFonts w:cs="Times New Roman"/>
          <w:szCs w:val="24"/>
        </w:rPr>
        <w:t>on the one hand and between Canada and consumers on the other are</w:t>
      </w:r>
      <w:r w:rsidRPr="00D910D8">
        <w:rPr>
          <w:rFonts w:cs="Times New Roman"/>
          <w:szCs w:val="24"/>
        </w:rPr>
        <w:t xml:space="preserve"> like other </w:t>
      </w:r>
      <w:r w:rsidR="00713AB9" w:rsidRPr="00D910D8">
        <w:rPr>
          <w:rFonts w:cs="Times New Roman"/>
          <w:szCs w:val="24"/>
        </w:rPr>
        <w:t>relationships that</w:t>
      </w:r>
      <w:r w:rsidRPr="00D910D8">
        <w:rPr>
          <w:rFonts w:cs="Times New Roman"/>
          <w:szCs w:val="24"/>
        </w:rPr>
        <w:t xml:space="preserve"> have been held to give rise to liability for negligent misrepresentation. In fact, </w:t>
      </w:r>
      <w:r w:rsidR="006F2C7D" w:rsidRPr="00D910D8">
        <w:rPr>
          <w:rFonts w:cs="Times New Roman"/>
          <w:szCs w:val="24"/>
        </w:rPr>
        <w:t>they differ</w:t>
      </w:r>
      <w:r w:rsidRPr="00D910D8">
        <w:rPr>
          <w:rFonts w:cs="Times New Roman"/>
          <w:szCs w:val="24"/>
        </w:rPr>
        <w:t xml:space="preserve"> in important ways.  It is sufficient at this point to note that the tobacco companies have not been able to point to any case where a government has been held liable </w:t>
      </w:r>
      <w:r w:rsidR="00821C7F" w:rsidRPr="00D910D8">
        <w:rPr>
          <w:rFonts w:cs="Times New Roman"/>
          <w:szCs w:val="24"/>
        </w:rPr>
        <w:t xml:space="preserve">in </w:t>
      </w:r>
      <w:r w:rsidR="000E6699" w:rsidRPr="00D910D8">
        <w:rPr>
          <w:rFonts w:cs="Times New Roman"/>
          <w:szCs w:val="24"/>
        </w:rPr>
        <w:lastRenderedPageBreak/>
        <w:t xml:space="preserve">negligent </w:t>
      </w:r>
      <w:r w:rsidR="005815A2" w:rsidRPr="00D910D8">
        <w:rPr>
          <w:rFonts w:cs="Times New Roman"/>
          <w:szCs w:val="24"/>
        </w:rPr>
        <w:t xml:space="preserve">misrepresentation for statements made to an industry. </w:t>
      </w:r>
      <w:r w:rsidRPr="00D910D8">
        <w:rPr>
          <w:rFonts w:cs="Times New Roman"/>
          <w:szCs w:val="24"/>
        </w:rPr>
        <w:t>To determine whether such a cause of action</w:t>
      </w:r>
      <w:r w:rsidR="0064741C" w:rsidRPr="00D910D8">
        <w:rPr>
          <w:rFonts w:cs="Times New Roman"/>
          <w:szCs w:val="24"/>
        </w:rPr>
        <w:t xml:space="preserve"> has </w:t>
      </w:r>
      <w:r w:rsidR="006F2C7D" w:rsidRPr="00D910D8">
        <w:rPr>
          <w:rFonts w:cs="Times New Roman"/>
          <w:szCs w:val="24"/>
        </w:rPr>
        <w:t xml:space="preserve">a </w:t>
      </w:r>
      <w:r w:rsidR="0064741C" w:rsidRPr="00D910D8">
        <w:rPr>
          <w:rFonts w:cs="Times New Roman"/>
          <w:szCs w:val="24"/>
        </w:rPr>
        <w:t>reasonable prospect of success</w:t>
      </w:r>
      <w:r w:rsidRPr="00D910D8">
        <w:rPr>
          <w:rFonts w:cs="Times New Roman"/>
          <w:szCs w:val="24"/>
        </w:rPr>
        <w:t xml:space="preserve">, we must therefore consider whether the general requirements for liability in tort are met, on the test set out by the House of Lords in </w:t>
      </w:r>
      <w:r w:rsidRPr="00D910D8">
        <w:rPr>
          <w:rFonts w:cs="Times New Roman"/>
          <w:i/>
          <w:iCs/>
          <w:szCs w:val="24"/>
        </w:rPr>
        <w:t>Anns v. Merton London Borough Council</w:t>
      </w:r>
      <w:r w:rsidRPr="00D910D8">
        <w:rPr>
          <w:rFonts w:cs="Times New Roman"/>
          <w:szCs w:val="24"/>
        </w:rPr>
        <w:t xml:space="preserve">, </w:t>
      </w:r>
      <w:bookmarkStart w:id="12" w:name="reflex-caselaw-53733087"/>
      <w:bookmarkEnd w:id="12"/>
      <w:r w:rsidRPr="00D910D8">
        <w:rPr>
          <w:rFonts w:cs="Times New Roman"/>
          <w:szCs w:val="24"/>
        </w:rPr>
        <w:t>[1978] A.C. 728</w:t>
      </w:r>
      <w:r w:rsidR="00713AB9" w:rsidRPr="00D910D8">
        <w:rPr>
          <w:rFonts w:cs="Times New Roman"/>
          <w:szCs w:val="24"/>
        </w:rPr>
        <w:t>,</w:t>
      </w:r>
      <w:r w:rsidRPr="00D910D8">
        <w:rPr>
          <w:rFonts w:cs="Times New Roman"/>
          <w:szCs w:val="24"/>
        </w:rPr>
        <w:t xml:space="preserve"> and </w:t>
      </w:r>
      <w:r w:rsidR="00A87CEE" w:rsidRPr="00D910D8">
        <w:rPr>
          <w:rFonts w:cs="Times New Roman"/>
          <w:szCs w:val="24"/>
        </w:rPr>
        <w:t xml:space="preserve">somewhat reformulated but consistently applied </w:t>
      </w:r>
      <w:r w:rsidRPr="00D910D8">
        <w:rPr>
          <w:rFonts w:cs="Times New Roman"/>
          <w:szCs w:val="24"/>
        </w:rPr>
        <w:t xml:space="preserve">by this Court, most notably in </w:t>
      </w:r>
      <w:r w:rsidRPr="00D910D8">
        <w:rPr>
          <w:rFonts w:cs="Times New Roman"/>
          <w:i/>
          <w:szCs w:val="24"/>
        </w:rPr>
        <w:t>Cooper v. Hobart</w:t>
      </w:r>
      <w:r w:rsidRPr="00D910D8">
        <w:rPr>
          <w:rFonts w:cs="Times New Roman"/>
          <w:szCs w:val="24"/>
        </w:rPr>
        <w:t>,</w:t>
      </w:r>
      <w:r w:rsidRPr="00D910D8">
        <w:rPr>
          <w:rFonts w:cs="Times New Roman"/>
          <w:i/>
          <w:szCs w:val="24"/>
        </w:rPr>
        <w:t xml:space="preserve"> </w:t>
      </w:r>
      <w:r w:rsidR="00A60367" w:rsidRPr="00D910D8">
        <w:rPr>
          <w:rFonts w:cs="Times New Roman"/>
          <w:szCs w:val="24"/>
        </w:rPr>
        <w:t xml:space="preserve">2001 SCC 79, </w:t>
      </w:r>
      <w:r w:rsidRPr="00D910D8">
        <w:rPr>
          <w:rFonts w:cs="Times New Roman"/>
          <w:szCs w:val="24"/>
        </w:rPr>
        <w:t xml:space="preserve">[2001] </w:t>
      </w:r>
      <w:r w:rsidR="00A60367" w:rsidRPr="00D910D8">
        <w:rPr>
          <w:rFonts w:cs="Times New Roman"/>
          <w:szCs w:val="24"/>
        </w:rPr>
        <w:t>3</w:t>
      </w:r>
      <w:r w:rsidRPr="00D910D8">
        <w:rPr>
          <w:rFonts w:cs="Times New Roman"/>
          <w:szCs w:val="24"/>
        </w:rPr>
        <w:t xml:space="preserve"> S.C.R. 537.</w:t>
      </w:r>
    </w:p>
    <w:p w:rsidR="00633F86" w:rsidRPr="00D910D8" w:rsidRDefault="002606F8" w:rsidP="0075602C">
      <w:pPr>
        <w:pStyle w:val="ParaNoNdepar-AltN"/>
        <w:rPr>
          <w:rFonts w:cs="Times New Roman"/>
          <w:szCs w:val="24"/>
        </w:rPr>
      </w:pPr>
      <w:r w:rsidRPr="00D910D8">
        <w:rPr>
          <w:rFonts w:cs="Times New Roman"/>
          <w:szCs w:val="24"/>
        </w:rPr>
        <w:t xml:space="preserve">At the first stage of this test, the question is whether the facts disclose a relationship of proximity in which failure to take reasonable care might foreseeably cause loss or harm to the plaintiff.  If this is established, a </w:t>
      </w:r>
      <w:r w:rsidRPr="00D910D8">
        <w:rPr>
          <w:rFonts w:cs="Times New Roman"/>
          <w:i/>
          <w:szCs w:val="24"/>
        </w:rPr>
        <w:t>prima facie</w:t>
      </w:r>
      <w:r w:rsidRPr="00D910D8">
        <w:rPr>
          <w:rFonts w:cs="Times New Roman"/>
          <w:szCs w:val="24"/>
        </w:rPr>
        <w:t xml:space="preserve"> duty of care arises and the analysis proceeds to the second stage, which asks whether there are policy reasons why this </w:t>
      </w:r>
      <w:r w:rsidRPr="00D910D8">
        <w:rPr>
          <w:rFonts w:cs="Times New Roman"/>
          <w:i/>
          <w:szCs w:val="24"/>
        </w:rPr>
        <w:t xml:space="preserve">prima facie </w:t>
      </w:r>
      <w:r w:rsidRPr="00D910D8">
        <w:rPr>
          <w:rFonts w:cs="Times New Roman"/>
          <w:szCs w:val="24"/>
        </w:rPr>
        <w:t xml:space="preserve">duty of care should not be recognized: </w:t>
      </w:r>
      <w:r w:rsidRPr="00D910D8">
        <w:rPr>
          <w:rFonts w:cs="Times New Roman"/>
          <w:i/>
          <w:szCs w:val="24"/>
        </w:rPr>
        <w:t>Hill v. Hamilton-Wentworth Regional Police Services Board</w:t>
      </w:r>
      <w:r w:rsidRPr="00D910D8">
        <w:rPr>
          <w:rFonts w:cs="Times New Roman"/>
          <w:szCs w:val="24"/>
        </w:rPr>
        <w:t xml:space="preserve">, </w:t>
      </w:r>
      <w:r w:rsidR="00A60367" w:rsidRPr="00D910D8">
        <w:rPr>
          <w:rFonts w:cs="Times New Roman"/>
          <w:szCs w:val="24"/>
        </w:rPr>
        <w:t xml:space="preserve">2007 SCC 41, </w:t>
      </w:r>
      <w:r w:rsidR="00581B23" w:rsidRPr="00D910D8">
        <w:rPr>
          <w:rFonts w:cs="Times New Roman"/>
          <w:szCs w:val="24"/>
        </w:rPr>
        <w:t>[2007] 3 S.C.R. 129.</w:t>
      </w:r>
    </w:p>
    <w:p w:rsidR="00001517" w:rsidRPr="00D910D8" w:rsidRDefault="00A903D5" w:rsidP="00581B23">
      <w:pPr>
        <w:pStyle w:val="TitleTitre-AltT"/>
        <w:tabs>
          <w:tab w:val="clear" w:pos="360"/>
          <w:tab w:val="left" w:pos="1170"/>
        </w:tabs>
        <w:spacing w:after="720"/>
        <w:ind w:left="1800" w:hanging="1800"/>
        <w:rPr>
          <w:rFonts w:cs="Times New Roman"/>
          <w:szCs w:val="24"/>
        </w:rPr>
      </w:pPr>
      <w:r w:rsidRPr="00D910D8">
        <w:rPr>
          <w:rFonts w:cs="Times New Roman"/>
          <w:szCs w:val="24"/>
        </w:rPr>
        <w:tab/>
      </w:r>
      <w:bookmarkStart w:id="13" w:name="_Toc314733744"/>
      <w:r w:rsidR="0075602C" w:rsidRPr="00D910D8">
        <w:rPr>
          <w:rFonts w:cs="Times New Roman"/>
          <w:szCs w:val="24"/>
        </w:rPr>
        <w:t>(</w:t>
      </w:r>
      <w:r w:rsidR="00A60367" w:rsidRPr="00D910D8">
        <w:rPr>
          <w:rFonts w:cs="Times New Roman"/>
          <w:szCs w:val="24"/>
        </w:rPr>
        <w:t>1</w:t>
      </w:r>
      <w:r w:rsidR="0075602C" w:rsidRPr="00D910D8">
        <w:rPr>
          <w:rFonts w:cs="Times New Roman"/>
          <w:szCs w:val="24"/>
        </w:rPr>
        <w:t>)</w:t>
      </w:r>
      <w:r w:rsidR="00A60367" w:rsidRPr="00D910D8">
        <w:rPr>
          <w:rFonts w:cs="Times New Roman"/>
          <w:szCs w:val="24"/>
        </w:rPr>
        <w:tab/>
      </w:r>
      <w:r w:rsidR="002606F8" w:rsidRPr="00D910D8">
        <w:rPr>
          <w:rFonts w:cs="Times New Roman"/>
          <w:szCs w:val="24"/>
          <w:u w:val="single"/>
        </w:rPr>
        <w:t>Stage One:  Proximity and Foreseeability</w:t>
      </w:r>
      <w:bookmarkEnd w:id="13"/>
    </w:p>
    <w:p w:rsidR="000E6699" w:rsidRPr="00D910D8" w:rsidRDefault="002606F8" w:rsidP="00C640AC">
      <w:pPr>
        <w:pStyle w:val="ParaNoNdepar-AltN"/>
        <w:rPr>
          <w:rFonts w:cs="Times New Roman"/>
          <w:szCs w:val="24"/>
        </w:rPr>
      </w:pPr>
      <w:r w:rsidRPr="00D910D8">
        <w:rPr>
          <w:rFonts w:cs="Times New Roman"/>
          <w:szCs w:val="24"/>
        </w:rPr>
        <w:t>On the first branch of the test, the tobacco companies argue that the facts pleaded establish a sufficiently close and direct</w:t>
      </w:r>
      <w:r w:rsidR="00713AB9" w:rsidRPr="00D910D8">
        <w:rPr>
          <w:rFonts w:cs="Times New Roman"/>
          <w:szCs w:val="24"/>
        </w:rPr>
        <w:t>,</w:t>
      </w:r>
      <w:r w:rsidRPr="00D910D8">
        <w:rPr>
          <w:rFonts w:cs="Times New Roman"/>
          <w:szCs w:val="24"/>
        </w:rPr>
        <w:t xml:space="preserve"> or “proximate”</w:t>
      </w:r>
      <w:r w:rsidR="00713AB9" w:rsidRPr="00D910D8">
        <w:rPr>
          <w:rFonts w:cs="Times New Roman"/>
          <w:szCs w:val="24"/>
        </w:rPr>
        <w:t>,</w:t>
      </w:r>
      <w:r w:rsidRPr="00D910D8">
        <w:rPr>
          <w:rFonts w:cs="Times New Roman"/>
          <w:szCs w:val="24"/>
        </w:rPr>
        <w:t xml:space="preserve"> relationship between Canada and consumers (in the </w:t>
      </w:r>
      <w:r w:rsidR="00E23107" w:rsidRPr="00D910D8">
        <w:rPr>
          <w:rFonts w:cs="Times New Roman"/>
          <w:i/>
          <w:szCs w:val="24"/>
        </w:rPr>
        <w:t>Knight</w:t>
      </w:r>
      <w:r w:rsidR="00E23107" w:rsidRPr="00D910D8">
        <w:rPr>
          <w:rFonts w:cs="Times New Roman"/>
          <w:szCs w:val="24"/>
        </w:rPr>
        <w:t xml:space="preserve"> case) </w:t>
      </w:r>
      <w:r w:rsidR="00F20AE0" w:rsidRPr="00D910D8">
        <w:rPr>
          <w:rFonts w:cs="Times New Roman"/>
          <w:szCs w:val="24"/>
        </w:rPr>
        <w:t>and between Canada and tobacco companies</w:t>
      </w:r>
      <w:r w:rsidR="00E23107" w:rsidRPr="00D910D8">
        <w:rPr>
          <w:rFonts w:cs="Times New Roman"/>
          <w:szCs w:val="24"/>
        </w:rPr>
        <w:t xml:space="preserve"> (in </w:t>
      </w:r>
      <w:r w:rsidR="00821C7F" w:rsidRPr="00D910D8">
        <w:rPr>
          <w:rFonts w:cs="Times New Roman"/>
          <w:szCs w:val="24"/>
        </w:rPr>
        <w:t xml:space="preserve">both </w:t>
      </w:r>
      <w:r w:rsidR="00E23107" w:rsidRPr="00D910D8">
        <w:rPr>
          <w:rFonts w:cs="Times New Roman"/>
          <w:szCs w:val="24"/>
        </w:rPr>
        <w:t>case</w:t>
      </w:r>
      <w:r w:rsidR="00821C7F" w:rsidRPr="00D910D8">
        <w:rPr>
          <w:rFonts w:cs="Times New Roman"/>
          <w:szCs w:val="24"/>
        </w:rPr>
        <w:t>s</w:t>
      </w:r>
      <w:r w:rsidR="00A60367" w:rsidRPr="00D910D8">
        <w:rPr>
          <w:rFonts w:cs="Times New Roman"/>
          <w:szCs w:val="24"/>
        </w:rPr>
        <w:t>)</w:t>
      </w:r>
      <w:r w:rsidR="00F20AE0" w:rsidRPr="00D910D8">
        <w:rPr>
          <w:rFonts w:cs="Times New Roman"/>
          <w:szCs w:val="24"/>
        </w:rPr>
        <w:t xml:space="preserve"> </w:t>
      </w:r>
      <w:r w:rsidR="004B6843" w:rsidRPr="00D910D8">
        <w:rPr>
          <w:rFonts w:cs="Times New Roman"/>
          <w:szCs w:val="24"/>
        </w:rPr>
        <w:t>to support a duty of care with respect to government stateme</w:t>
      </w:r>
      <w:r w:rsidR="006F2C7D" w:rsidRPr="00D910D8">
        <w:rPr>
          <w:rFonts w:cs="Times New Roman"/>
          <w:szCs w:val="24"/>
        </w:rPr>
        <w:t>nts about light and mild cigarettes</w:t>
      </w:r>
      <w:r w:rsidR="004B6843" w:rsidRPr="00D910D8">
        <w:rPr>
          <w:rFonts w:cs="Times New Roman"/>
          <w:szCs w:val="24"/>
        </w:rPr>
        <w:t xml:space="preserve">.  They also argue that Canada could </w:t>
      </w:r>
      <w:r w:rsidR="004B6843" w:rsidRPr="00D910D8">
        <w:rPr>
          <w:rFonts w:cs="Times New Roman"/>
          <w:szCs w:val="24"/>
        </w:rPr>
        <w:lastRenderedPageBreak/>
        <w:t xml:space="preserve">reasonably have foreseen that </w:t>
      </w:r>
      <w:r w:rsidR="00F20AE0" w:rsidRPr="00D910D8">
        <w:rPr>
          <w:rFonts w:cs="Times New Roman"/>
          <w:szCs w:val="24"/>
        </w:rPr>
        <w:t xml:space="preserve">consumers and </w:t>
      </w:r>
      <w:r w:rsidR="004B6843" w:rsidRPr="00D910D8">
        <w:rPr>
          <w:rFonts w:cs="Times New Roman"/>
          <w:szCs w:val="24"/>
        </w:rPr>
        <w:t xml:space="preserve">the tobacco industry would rely on </w:t>
      </w:r>
      <w:r w:rsidRPr="00D910D8">
        <w:rPr>
          <w:rFonts w:cs="Times New Roman"/>
          <w:szCs w:val="24"/>
        </w:rPr>
        <w:t xml:space="preserve">Canada’s statements about the health advantages of light cigarettes, and that such reliance was reasonable.  Canada responds that it was acting exclusively in a regulatory capacity when it made statements to the public and to the industry, which does not give rise to sufficient proximity to ground the alleged duty of care.  In the </w:t>
      </w:r>
      <w:r w:rsidR="004B6843" w:rsidRPr="00D910D8">
        <w:rPr>
          <w:rFonts w:cs="Times New Roman"/>
          <w:i/>
          <w:szCs w:val="24"/>
        </w:rPr>
        <w:t>Costs Recovery</w:t>
      </w:r>
      <w:r w:rsidR="004B6843" w:rsidRPr="00D910D8">
        <w:rPr>
          <w:rFonts w:cs="Times New Roman"/>
          <w:szCs w:val="24"/>
        </w:rPr>
        <w:t xml:space="preserve"> </w:t>
      </w:r>
      <w:r w:rsidR="00E23107" w:rsidRPr="00D910D8">
        <w:rPr>
          <w:rFonts w:cs="Times New Roman"/>
          <w:szCs w:val="24"/>
        </w:rPr>
        <w:t>c</w:t>
      </w:r>
      <w:r w:rsidR="000D7B99" w:rsidRPr="00D910D8">
        <w:rPr>
          <w:rFonts w:cs="Times New Roman"/>
          <w:szCs w:val="24"/>
        </w:rPr>
        <w:t>ase</w:t>
      </w:r>
      <w:r w:rsidR="00713AB9" w:rsidRPr="00D910D8">
        <w:rPr>
          <w:rFonts w:cs="Times New Roman"/>
          <w:szCs w:val="24"/>
        </w:rPr>
        <w:t>,</w:t>
      </w:r>
      <w:r w:rsidR="004B6843" w:rsidRPr="00D910D8">
        <w:rPr>
          <w:rFonts w:cs="Times New Roman"/>
          <w:szCs w:val="24"/>
        </w:rPr>
        <w:t xml:space="preserve"> Canada also alleges that </w:t>
      </w:r>
      <w:r w:rsidR="00821C7F" w:rsidRPr="00D910D8">
        <w:rPr>
          <w:rFonts w:cs="Times New Roman"/>
          <w:szCs w:val="24"/>
        </w:rPr>
        <w:t>it could not have rea</w:t>
      </w:r>
      <w:r w:rsidR="00A60367" w:rsidRPr="00D910D8">
        <w:rPr>
          <w:rFonts w:cs="Times New Roman"/>
          <w:szCs w:val="24"/>
        </w:rPr>
        <w:t>sonably foreseen that the B.C. l</w:t>
      </w:r>
      <w:r w:rsidR="00821C7F" w:rsidRPr="00D910D8">
        <w:rPr>
          <w:rFonts w:cs="Times New Roman"/>
          <w:szCs w:val="24"/>
        </w:rPr>
        <w:t xml:space="preserve">egislature would enact the </w:t>
      </w:r>
      <w:r w:rsidR="00821C7F" w:rsidRPr="00D910D8">
        <w:rPr>
          <w:rFonts w:cs="Times New Roman"/>
          <w:i/>
          <w:szCs w:val="24"/>
        </w:rPr>
        <w:t>CRA</w:t>
      </w:r>
      <w:r w:rsidR="00821C7F" w:rsidRPr="00D910D8">
        <w:rPr>
          <w:rFonts w:cs="Times New Roman"/>
          <w:szCs w:val="24"/>
        </w:rPr>
        <w:t xml:space="preserve"> and therefore </w:t>
      </w:r>
      <w:r w:rsidR="00F105DE" w:rsidRPr="00D910D8">
        <w:rPr>
          <w:rFonts w:cs="Times New Roman"/>
          <w:szCs w:val="24"/>
        </w:rPr>
        <w:t xml:space="preserve">cannot be liable for </w:t>
      </w:r>
      <w:r w:rsidR="004B6843" w:rsidRPr="00D910D8">
        <w:rPr>
          <w:rFonts w:cs="Times New Roman"/>
          <w:szCs w:val="24"/>
        </w:rPr>
        <w:t xml:space="preserve">the </w:t>
      </w:r>
      <w:r w:rsidR="00F20AE0" w:rsidRPr="00D910D8">
        <w:rPr>
          <w:rFonts w:cs="Times New Roman"/>
          <w:szCs w:val="24"/>
        </w:rPr>
        <w:t xml:space="preserve">potential </w:t>
      </w:r>
      <w:r w:rsidR="004B6843" w:rsidRPr="00D910D8">
        <w:rPr>
          <w:rFonts w:cs="Times New Roman"/>
          <w:szCs w:val="24"/>
        </w:rPr>
        <w:t>loss</w:t>
      </w:r>
      <w:r w:rsidR="00F20AE0" w:rsidRPr="00D910D8">
        <w:rPr>
          <w:rFonts w:cs="Times New Roman"/>
          <w:szCs w:val="24"/>
        </w:rPr>
        <w:t>es of the tobacco companies</w:t>
      </w:r>
      <w:r w:rsidR="004B6843" w:rsidRPr="00D910D8">
        <w:rPr>
          <w:rFonts w:cs="Times New Roman"/>
          <w:szCs w:val="24"/>
        </w:rPr>
        <w:t xml:space="preserve"> </w:t>
      </w:r>
      <w:r w:rsidR="00F20AE0" w:rsidRPr="00D910D8">
        <w:rPr>
          <w:rFonts w:cs="Times New Roman"/>
          <w:szCs w:val="24"/>
        </w:rPr>
        <w:t xml:space="preserve">under </w:t>
      </w:r>
      <w:r w:rsidR="00821C7F" w:rsidRPr="00D910D8">
        <w:rPr>
          <w:rFonts w:cs="Times New Roman"/>
          <w:szCs w:val="24"/>
        </w:rPr>
        <w:t xml:space="preserve">that </w:t>
      </w:r>
      <w:r w:rsidR="00F20AE0" w:rsidRPr="00D910D8">
        <w:rPr>
          <w:rFonts w:cs="Times New Roman"/>
          <w:szCs w:val="24"/>
        </w:rPr>
        <w:t>Act</w:t>
      </w:r>
      <w:r w:rsidR="004B6843" w:rsidRPr="00D910D8">
        <w:rPr>
          <w:rFonts w:cs="Times New Roman"/>
          <w:szCs w:val="24"/>
        </w:rPr>
        <w:t>.</w:t>
      </w:r>
    </w:p>
    <w:p w:rsidR="00E23107" w:rsidRPr="00D910D8" w:rsidRDefault="002606F8" w:rsidP="00C640AC">
      <w:pPr>
        <w:pStyle w:val="ParaNoNdepar-AltN"/>
        <w:rPr>
          <w:rFonts w:cs="Times New Roman"/>
          <w:szCs w:val="24"/>
        </w:rPr>
      </w:pPr>
      <w:r w:rsidRPr="00D910D8">
        <w:rPr>
          <w:rFonts w:cs="Times New Roman"/>
          <w:szCs w:val="24"/>
        </w:rPr>
        <w:t xml:space="preserve">Proximity and foreseeability are two aspects of one inquiry </w:t>
      </w:r>
      <w:r w:rsidR="00713AB9" w:rsidRPr="00D910D8">
        <w:rPr>
          <w:rFonts w:cs="Times New Roman"/>
          <w:szCs w:val="24"/>
        </w:rPr>
        <w:t>—</w:t>
      </w:r>
      <w:r w:rsidRPr="00D910D8">
        <w:rPr>
          <w:rFonts w:cs="Times New Roman"/>
          <w:szCs w:val="24"/>
        </w:rPr>
        <w:t xml:space="preserve"> the inquiry into whether the facts disclose a relationship that gives rise to a </w:t>
      </w:r>
      <w:r w:rsidR="00127895" w:rsidRPr="00D910D8">
        <w:rPr>
          <w:rFonts w:cs="Times New Roman"/>
          <w:i/>
          <w:szCs w:val="24"/>
        </w:rPr>
        <w:t xml:space="preserve">prima facie </w:t>
      </w:r>
      <w:r w:rsidRPr="00D910D8">
        <w:rPr>
          <w:rFonts w:cs="Times New Roman"/>
          <w:szCs w:val="24"/>
        </w:rPr>
        <w:t>duty of care at common law.  Foreseeability is the touchstone of negligence law.  However, not every foreseeable outcome will attract a commensurate duty of care.  Foreseeability must be grounded in a relat</w:t>
      </w:r>
      <w:r w:rsidR="00DD56B0" w:rsidRPr="00D910D8">
        <w:rPr>
          <w:rFonts w:cs="Times New Roman"/>
          <w:szCs w:val="24"/>
        </w:rPr>
        <w:t>ionship of sufficient closeness</w:t>
      </w:r>
      <w:r w:rsidR="006F2C7D" w:rsidRPr="00D910D8">
        <w:rPr>
          <w:rFonts w:cs="Times New Roman"/>
          <w:szCs w:val="24"/>
        </w:rPr>
        <w:t>,</w:t>
      </w:r>
      <w:r w:rsidRPr="00D910D8">
        <w:rPr>
          <w:rFonts w:cs="Times New Roman"/>
          <w:szCs w:val="24"/>
        </w:rPr>
        <w:t xml:space="preserve"> or proximity</w:t>
      </w:r>
      <w:r w:rsidR="006F2C7D" w:rsidRPr="00D910D8">
        <w:rPr>
          <w:rFonts w:cs="Times New Roman"/>
          <w:szCs w:val="24"/>
        </w:rPr>
        <w:t>,</w:t>
      </w:r>
      <w:r w:rsidRPr="00D910D8">
        <w:rPr>
          <w:rFonts w:cs="Times New Roman"/>
          <w:szCs w:val="24"/>
        </w:rPr>
        <w:t xml:space="preserve"> to make it just and reasonable to impose an obligation on one party to take reasonable</w:t>
      </w:r>
      <w:r w:rsidR="00581B23" w:rsidRPr="00D910D8">
        <w:rPr>
          <w:rFonts w:cs="Times New Roman"/>
          <w:szCs w:val="24"/>
        </w:rPr>
        <w:t xml:space="preserve"> care not to injure the other.</w:t>
      </w:r>
    </w:p>
    <w:p w:rsidR="00A03DEB" w:rsidRPr="00D910D8" w:rsidRDefault="00A03DEB" w:rsidP="00C640AC">
      <w:pPr>
        <w:pStyle w:val="ParaNoNdepar-AltN"/>
        <w:rPr>
          <w:rFonts w:cs="Times New Roman"/>
          <w:szCs w:val="24"/>
        </w:rPr>
      </w:pPr>
      <w:r w:rsidRPr="00D910D8">
        <w:rPr>
          <w:rFonts w:cs="Times New Roman"/>
          <w:szCs w:val="24"/>
        </w:rPr>
        <w:t>Proximity and foreseeability are heightened concerns in claims for economic loss, such as negligent misrepresentation: see</w:t>
      </w:r>
      <w:r w:rsidR="006F2C7D" w:rsidRPr="00D910D8">
        <w:rPr>
          <w:rFonts w:cs="Times New Roman"/>
          <w:szCs w:val="24"/>
        </w:rPr>
        <w:t>,</w:t>
      </w:r>
      <w:r w:rsidRPr="00D910D8">
        <w:rPr>
          <w:rFonts w:cs="Times New Roman"/>
          <w:szCs w:val="24"/>
        </w:rPr>
        <w:t xml:space="preserve"> generally</w:t>
      </w:r>
      <w:r w:rsidR="006F2C7D" w:rsidRPr="00D910D8">
        <w:rPr>
          <w:rFonts w:cs="Times New Roman"/>
          <w:szCs w:val="24"/>
        </w:rPr>
        <w:t>,</w:t>
      </w:r>
      <w:r w:rsidRPr="00D910D8">
        <w:rPr>
          <w:rFonts w:cs="Times New Roman"/>
          <w:szCs w:val="24"/>
        </w:rPr>
        <w:t xml:space="preserve"> </w:t>
      </w:r>
      <w:r w:rsidRPr="00D910D8">
        <w:rPr>
          <w:rFonts w:cs="Times New Roman"/>
          <w:i/>
          <w:iCs/>
          <w:szCs w:val="24"/>
        </w:rPr>
        <w:t>Canadian National Railway Co. v. Norsk Pacific Steamship Co.</w:t>
      </w:r>
      <w:r w:rsidRPr="00D910D8">
        <w:rPr>
          <w:rFonts w:cs="Times New Roman"/>
          <w:szCs w:val="24"/>
        </w:rPr>
        <w:t>, [1992] 1 S.C.R. 1021;</w:t>
      </w:r>
      <w:r w:rsidRPr="00D910D8">
        <w:rPr>
          <w:rFonts w:cs="Times New Roman"/>
          <w:i/>
          <w:szCs w:val="24"/>
        </w:rPr>
        <w:t xml:space="preserve"> </w:t>
      </w:r>
      <w:r w:rsidRPr="00D910D8">
        <w:rPr>
          <w:rFonts w:cs="Times New Roman"/>
          <w:i/>
          <w:iCs/>
          <w:szCs w:val="24"/>
        </w:rPr>
        <w:t>Bow Valley Husky (Bermuda) Ltd. v. Saint John Shipbuilding Ltd.</w:t>
      </w:r>
      <w:r w:rsidRPr="00D910D8">
        <w:rPr>
          <w:rFonts w:cs="Times New Roman"/>
          <w:szCs w:val="24"/>
        </w:rPr>
        <w:t xml:space="preserve">, [1997] 3 S.C.R. 1210.  In a claim of negligent misrepresentation, both these requirements for a </w:t>
      </w:r>
      <w:r w:rsidRPr="00D910D8">
        <w:rPr>
          <w:rFonts w:cs="Times New Roman"/>
          <w:i/>
          <w:szCs w:val="24"/>
        </w:rPr>
        <w:t xml:space="preserve">prima facie </w:t>
      </w:r>
      <w:r w:rsidRPr="00D910D8">
        <w:rPr>
          <w:rFonts w:cs="Times New Roman"/>
          <w:szCs w:val="24"/>
        </w:rPr>
        <w:lastRenderedPageBreak/>
        <w:t>duty of care are established if there was a “special relationship” between the parties:</w:t>
      </w:r>
      <w:r w:rsidRPr="00D910D8">
        <w:rPr>
          <w:rFonts w:cs="Times New Roman"/>
          <w:i/>
          <w:szCs w:val="24"/>
        </w:rPr>
        <w:t xml:space="preserve"> Hercules Management</w:t>
      </w:r>
      <w:r w:rsidR="00DD56B0" w:rsidRPr="00D910D8">
        <w:rPr>
          <w:rFonts w:cs="Times New Roman"/>
          <w:i/>
          <w:szCs w:val="24"/>
        </w:rPr>
        <w:t>s</w:t>
      </w:r>
      <w:r w:rsidRPr="00D910D8">
        <w:rPr>
          <w:rFonts w:cs="Times New Roman"/>
          <w:szCs w:val="24"/>
        </w:rPr>
        <w:t xml:space="preserve"> </w:t>
      </w:r>
      <w:r w:rsidRPr="00D910D8">
        <w:rPr>
          <w:rFonts w:cs="Times New Roman"/>
          <w:i/>
          <w:iCs/>
          <w:szCs w:val="24"/>
        </w:rPr>
        <w:t>Ltd. v. Ernst &amp; Young</w:t>
      </w:r>
      <w:r w:rsidRPr="00D910D8">
        <w:rPr>
          <w:rFonts w:cs="Times New Roman"/>
          <w:szCs w:val="24"/>
        </w:rPr>
        <w:t>, [1997] 2 S.C.R. 165</w:t>
      </w:r>
      <w:r w:rsidR="008D4C9C" w:rsidRPr="00D910D8">
        <w:rPr>
          <w:rFonts w:cs="Times New Roman"/>
          <w:szCs w:val="24"/>
        </w:rPr>
        <w:t>, at para. 24</w:t>
      </w:r>
      <w:r w:rsidRPr="00D910D8">
        <w:rPr>
          <w:rFonts w:cs="Times New Roman"/>
          <w:szCs w:val="24"/>
        </w:rPr>
        <w:t xml:space="preserve">.  In </w:t>
      </w:r>
      <w:r w:rsidRPr="00D910D8">
        <w:rPr>
          <w:rFonts w:cs="Times New Roman"/>
          <w:i/>
          <w:szCs w:val="24"/>
        </w:rPr>
        <w:t>Hercules Management</w:t>
      </w:r>
      <w:r w:rsidR="00DD56B0" w:rsidRPr="00D910D8">
        <w:rPr>
          <w:rFonts w:cs="Times New Roman"/>
          <w:i/>
          <w:szCs w:val="24"/>
        </w:rPr>
        <w:t>s</w:t>
      </w:r>
      <w:r w:rsidRPr="00D910D8">
        <w:rPr>
          <w:rFonts w:cs="Times New Roman"/>
          <w:szCs w:val="24"/>
        </w:rPr>
        <w:t xml:space="preserve">, the Court, </w:t>
      </w:r>
      <w:r w:rsidRPr="00D910D8">
        <w:rPr>
          <w:rFonts w:cs="Times New Roman"/>
          <w:i/>
          <w:szCs w:val="24"/>
        </w:rPr>
        <w:t>per</w:t>
      </w:r>
      <w:r w:rsidRPr="00D910D8">
        <w:rPr>
          <w:rFonts w:cs="Times New Roman"/>
          <w:szCs w:val="24"/>
        </w:rPr>
        <w:t xml:space="preserve"> La</w:t>
      </w:r>
      <w:r w:rsidR="00DE3442" w:rsidRPr="00D910D8">
        <w:rPr>
          <w:rFonts w:cs="Times New Roman"/>
          <w:szCs w:val="24"/>
        </w:rPr>
        <w:t xml:space="preserve"> </w:t>
      </w:r>
      <w:r w:rsidRPr="00D910D8">
        <w:rPr>
          <w:rFonts w:cs="Times New Roman"/>
          <w:szCs w:val="24"/>
        </w:rPr>
        <w:t>Forest J., held that a special relationship will be established where: (1) the defendant ought reasonably to foresee that the plaintiff will rely on his or her representation; and (2) reliance by the plaintiff would be reasonable in the circumstances of the case</w:t>
      </w:r>
      <w:r w:rsidR="008D4C9C" w:rsidRPr="00D910D8">
        <w:rPr>
          <w:rFonts w:cs="Times New Roman"/>
          <w:szCs w:val="24"/>
        </w:rPr>
        <w:t xml:space="preserve"> (</w:t>
      </w:r>
      <w:r w:rsidR="008D4C9C" w:rsidRPr="00D910D8">
        <w:rPr>
          <w:rFonts w:cs="Times New Roman"/>
          <w:i/>
          <w:szCs w:val="24"/>
        </w:rPr>
        <w:t>ibid.</w:t>
      </w:r>
      <w:r w:rsidR="006F2C7D" w:rsidRPr="00D910D8">
        <w:rPr>
          <w:rFonts w:cs="Times New Roman"/>
          <w:szCs w:val="24"/>
        </w:rPr>
        <w:t>)</w:t>
      </w:r>
      <w:r w:rsidRPr="00D910D8">
        <w:rPr>
          <w:rFonts w:cs="Times New Roman"/>
          <w:szCs w:val="24"/>
        </w:rPr>
        <w:t>.  Where such a relationship is established, the defendant may be liable for loss</w:t>
      </w:r>
      <w:r w:rsidR="008D4C9C" w:rsidRPr="00D910D8">
        <w:rPr>
          <w:rFonts w:cs="Times New Roman"/>
          <w:szCs w:val="24"/>
        </w:rPr>
        <w:t>es</w:t>
      </w:r>
      <w:r w:rsidRPr="00D910D8">
        <w:rPr>
          <w:rFonts w:cs="Times New Roman"/>
          <w:szCs w:val="24"/>
        </w:rPr>
        <w:t xml:space="preserve"> suffered by the plaintiff as a resu</w:t>
      </w:r>
      <w:r w:rsidR="00581B23" w:rsidRPr="00D910D8">
        <w:rPr>
          <w:rFonts w:cs="Times New Roman"/>
          <w:szCs w:val="24"/>
        </w:rPr>
        <w:t>lt of a negligent misstatement.</w:t>
      </w:r>
    </w:p>
    <w:p w:rsidR="008A7FAD" w:rsidRPr="00D910D8" w:rsidRDefault="002606F8" w:rsidP="00C640AC">
      <w:pPr>
        <w:pStyle w:val="ParaNoNdepar-AltN"/>
        <w:rPr>
          <w:rFonts w:cs="Times New Roman"/>
          <w:szCs w:val="24"/>
        </w:rPr>
      </w:pPr>
      <w:r w:rsidRPr="00D910D8">
        <w:rPr>
          <w:rFonts w:cs="Times New Roman"/>
          <w:szCs w:val="24"/>
        </w:rPr>
        <w:t xml:space="preserve">A complicating factor is the role </w:t>
      </w:r>
      <w:r w:rsidR="00515F41" w:rsidRPr="00D910D8">
        <w:rPr>
          <w:rFonts w:cs="Times New Roman"/>
          <w:szCs w:val="24"/>
        </w:rPr>
        <w:t xml:space="preserve">that </w:t>
      </w:r>
      <w:r w:rsidRPr="00D910D8">
        <w:rPr>
          <w:rFonts w:cs="Times New Roman"/>
          <w:szCs w:val="24"/>
        </w:rPr>
        <w:t xml:space="preserve">legislation </w:t>
      </w:r>
      <w:r w:rsidR="00515F41" w:rsidRPr="00D910D8">
        <w:rPr>
          <w:rFonts w:cs="Times New Roman"/>
          <w:szCs w:val="24"/>
        </w:rPr>
        <w:t xml:space="preserve">should play when </w:t>
      </w:r>
      <w:r w:rsidRPr="00D910D8">
        <w:rPr>
          <w:rFonts w:cs="Times New Roman"/>
          <w:szCs w:val="24"/>
        </w:rPr>
        <w:t xml:space="preserve">determining </w:t>
      </w:r>
      <w:r w:rsidR="00515F41" w:rsidRPr="00D910D8">
        <w:rPr>
          <w:rFonts w:cs="Times New Roman"/>
          <w:szCs w:val="24"/>
        </w:rPr>
        <w:t xml:space="preserve">if a government actor owed </w:t>
      </w:r>
      <w:r w:rsidRPr="00D910D8">
        <w:rPr>
          <w:rFonts w:cs="Times New Roman"/>
          <w:szCs w:val="24"/>
        </w:rPr>
        <w:t xml:space="preserve">a </w:t>
      </w:r>
      <w:r w:rsidRPr="00D910D8">
        <w:rPr>
          <w:rFonts w:cs="Times New Roman"/>
          <w:i/>
          <w:szCs w:val="24"/>
        </w:rPr>
        <w:t xml:space="preserve">prima facie </w:t>
      </w:r>
      <w:r w:rsidRPr="00D910D8">
        <w:rPr>
          <w:rFonts w:cs="Times New Roman"/>
          <w:szCs w:val="24"/>
        </w:rPr>
        <w:t xml:space="preserve">duty of care.  Two situations may be distinguished.  The first is the situation where the alleged duty of care is said to arise </w:t>
      </w:r>
      <w:r w:rsidR="00515F41" w:rsidRPr="00D910D8">
        <w:rPr>
          <w:rFonts w:cs="Times New Roman"/>
          <w:szCs w:val="24"/>
        </w:rPr>
        <w:t xml:space="preserve">explicitly or </w:t>
      </w:r>
      <w:r w:rsidRPr="00D910D8">
        <w:rPr>
          <w:rFonts w:cs="Times New Roman"/>
          <w:szCs w:val="24"/>
        </w:rPr>
        <w:t>by implication from the statutory scheme.  The second is the situation where the duty of care is alleged to arise from interactions between the claimant and the government</w:t>
      </w:r>
      <w:r w:rsidR="00DC4DEC" w:rsidRPr="00D910D8">
        <w:rPr>
          <w:rFonts w:cs="Times New Roman"/>
          <w:szCs w:val="24"/>
        </w:rPr>
        <w:t>, and is not negated by the statute</w:t>
      </w:r>
      <w:r w:rsidRPr="00D910D8">
        <w:rPr>
          <w:rFonts w:cs="Times New Roman"/>
          <w:szCs w:val="24"/>
        </w:rPr>
        <w:t>.</w:t>
      </w:r>
    </w:p>
    <w:p w:rsidR="000E6699" w:rsidRPr="00D910D8" w:rsidRDefault="002606F8" w:rsidP="00C640AC">
      <w:pPr>
        <w:pStyle w:val="ParaNoNdepar-AltN"/>
        <w:rPr>
          <w:rFonts w:cs="Times New Roman"/>
          <w:szCs w:val="24"/>
        </w:rPr>
      </w:pPr>
      <w:r w:rsidRPr="00D910D8">
        <w:rPr>
          <w:rFonts w:cs="Times New Roman"/>
          <w:szCs w:val="24"/>
        </w:rPr>
        <w:t xml:space="preserve">The argument in the first kind of case is that the statute itself creates a private relationship of proximity giving rise to a </w:t>
      </w:r>
      <w:r w:rsidR="00F07E01" w:rsidRPr="00D910D8">
        <w:rPr>
          <w:rFonts w:cs="Times New Roman"/>
          <w:i/>
          <w:szCs w:val="24"/>
        </w:rPr>
        <w:t>prima facie</w:t>
      </w:r>
      <w:r w:rsidRPr="00D910D8">
        <w:rPr>
          <w:rFonts w:cs="Times New Roman"/>
          <w:szCs w:val="24"/>
        </w:rPr>
        <w:t xml:space="preserve"> duty of care.  It may be difficult to find that a statute creates sufficient proximity to give rise to a duty of care.  Some statutes may impose duties on state actors with respect to particular </w:t>
      </w:r>
      <w:r w:rsidR="001E5449" w:rsidRPr="00D910D8">
        <w:rPr>
          <w:rFonts w:cs="Times New Roman"/>
          <w:szCs w:val="24"/>
        </w:rPr>
        <w:t>claimants</w:t>
      </w:r>
      <w:r w:rsidRPr="00D910D8">
        <w:rPr>
          <w:rFonts w:cs="Times New Roman"/>
          <w:szCs w:val="24"/>
        </w:rPr>
        <w:t>.  However, more often, statutes are aimed at public goods, like regulating an industry (</w:t>
      </w:r>
      <w:r w:rsidRPr="00D910D8">
        <w:rPr>
          <w:rFonts w:cs="Times New Roman"/>
          <w:i/>
          <w:szCs w:val="24"/>
        </w:rPr>
        <w:t>Cooper</w:t>
      </w:r>
      <w:r w:rsidRPr="00D910D8">
        <w:rPr>
          <w:rFonts w:cs="Times New Roman"/>
          <w:szCs w:val="24"/>
        </w:rPr>
        <w:t>)</w:t>
      </w:r>
      <w:r w:rsidR="00DE3442" w:rsidRPr="00D910D8">
        <w:rPr>
          <w:rFonts w:cs="Times New Roman"/>
          <w:szCs w:val="24"/>
        </w:rPr>
        <w:t>,</w:t>
      </w:r>
      <w:r w:rsidRPr="00D910D8">
        <w:rPr>
          <w:rFonts w:cs="Times New Roman"/>
          <w:szCs w:val="24"/>
        </w:rPr>
        <w:t xml:space="preserve"> or removing children from harmful environments (</w:t>
      </w:r>
      <w:r w:rsidRPr="00D910D8">
        <w:rPr>
          <w:rFonts w:cs="Times New Roman"/>
          <w:i/>
          <w:szCs w:val="24"/>
        </w:rPr>
        <w:t>Syl Apps</w:t>
      </w:r>
      <w:r w:rsidRPr="00D910D8">
        <w:rPr>
          <w:rFonts w:cs="Times New Roman"/>
          <w:szCs w:val="24"/>
        </w:rPr>
        <w:t xml:space="preserve">).  In such </w:t>
      </w:r>
      <w:r w:rsidRPr="00D910D8">
        <w:rPr>
          <w:rFonts w:cs="Times New Roman"/>
          <w:szCs w:val="24"/>
        </w:rPr>
        <w:lastRenderedPageBreak/>
        <w:t xml:space="preserve">cases, it may be difficult to infer that the legislature intended to create private law tort duties to </w:t>
      </w:r>
      <w:r w:rsidR="001E5449" w:rsidRPr="00D910D8">
        <w:rPr>
          <w:rFonts w:cs="Times New Roman"/>
          <w:szCs w:val="24"/>
        </w:rPr>
        <w:t>claimants</w:t>
      </w:r>
      <w:r w:rsidRPr="00D910D8">
        <w:rPr>
          <w:rFonts w:cs="Times New Roman"/>
          <w:szCs w:val="24"/>
        </w:rPr>
        <w:t xml:space="preserve">.  This may be even more difficult if the recognition of a private law duty would conflict with the public authority’s duty to the public: see, e.g., </w:t>
      </w:r>
      <w:r w:rsidRPr="00D910D8">
        <w:rPr>
          <w:rFonts w:cs="Times New Roman"/>
          <w:i/>
          <w:szCs w:val="24"/>
        </w:rPr>
        <w:t>Cooper</w:t>
      </w:r>
      <w:r w:rsidR="00DE3442" w:rsidRPr="00D910D8">
        <w:rPr>
          <w:rFonts w:cs="Times New Roman"/>
          <w:szCs w:val="24"/>
        </w:rPr>
        <w:t xml:space="preserve"> and </w:t>
      </w:r>
      <w:r w:rsidRPr="00D910D8">
        <w:rPr>
          <w:rFonts w:cs="Times New Roman"/>
          <w:i/>
          <w:szCs w:val="24"/>
        </w:rPr>
        <w:t>Syl Apps</w:t>
      </w:r>
      <w:r w:rsidRPr="00D910D8">
        <w:rPr>
          <w:rFonts w:cs="Times New Roman"/>
          <w:szCs w:val="24"/>
        </w:rPr>
        <w:t xml:space="preserve">. As stated in </w:t>
      </w:r>
      <w:r w:rsidRPr="00D910D8">
        <w:rPr>
          <w:rFonts w:cs="Times New Roman"/>
          <w:i/>
          <w:szCs w:val="24"/>
        </w:rPr>
        <w:t>Syl Apps</w:t>
      </w:r>
      <w:r w:rsidRPr="00D910D8">
        <w:rPr>
          <w:rFonts w:cs="Times New Roman"/>
          <w:szCs w:val="24"/>
        </w:rPr>
        <w:t>,</w:t>
      </w:r>
      <w:r w:rsidRPr="00D910D8">
        <w:rPr>
          <w:rFonts w:cs="Times New Roman"/>
          <w:i/>
          <w:szCs w:val="24"/>
        </w:rPr>
        <w:t xml:space="preserve"> </w:t>
      </w:r>
      <w:r w:rsidRPr="00D910D8">
        <w:rPr>
          <w:rFonts w:cs="Times New Roman"/>
          <w:szCs w:val="24"/>
        </w:rPr>
        <w:t>“</w:t>
      </w:r>
      <w:r w:rsidR="00DE3442" w:rsidRPr="00D910D8">
        <w:rPr>
          <w:rFonts w:cs="Times New Roman"/>
          <w:szCs w:val="24"/>
        </w:rPr>
        <w:t>[w]</w:t>
      </w:r>
      <w:r w:rsidRPr="00D910D8">
        <w:rPr>
          <w:rFonts w:cs="Times New Roman"/>
          <w:szCs w:val="24"/>
        </w:rPr>
        <w:t>here an alleged duty of care is found to conflict with an overarching statutory or public duty, this may constitute a compelling policy reason</w:t>
      </w:r>
      <w:r w:rsidR="00DE3442" w:rsidRPr="00D910D8">
        <w:rPr>
          <w:rFonts w:cs="Times New Roman"/>
          <w:szCs w:val="24"/>
        </w:rPr>
        <w:t xml:space="preserve"> for refusing to find proximity</w:t>
      </w:r>
      <w:r w:rsidRPr="00D910D8">
        <w:rPr>
          <w:rFonts w:cs="Times New Roman"/>
          <w:szCs w:val="24"/>
        </w:rPr>
        <w:t xml:space="preserve">” (at para. 28; see also </w:t>
      </w:r>
      <w:r w:rsidRPr="00D910D8">
        <w:rPr>
          <w:rFonts w:cs="Times New Roman"/>
          <w:i/>
          <w:szCs w:val="24"/>
        </w:rPr>
        <w:t xml:space="preserve">Fullowka </w:t>
      </w:r>
      <w:r w:rsidRPr="00D910D8">
        <w:rPr>
          <w:rFonts w:cs="Times New Roman"/>
          <w:i/>
          <w:iCs/>
          <w:szCs w:val="24"/>
        </w:rPr>
        <w:t>v</w:t>
      </w:r>
      <w:r w:rsidRPr="00D910D8">
        <w:rPr>
          <w:rFonts w:cs="Times New Roman"/>
          <w:i/>
          <w:szCs w:val="24"/>
        </w:rPr>
        <w:t>. Pinkerton’s of Canada Ltd.</w:t>
      </w:r>
      <w:r w:rsidRPr="00D910D8">
        <w:rPr>
          <w:rFonts w:cs="Times New Roman"/>
          <w:szCs w:val="24"/>
        </w:rPr>
        <w:t>,</w:t>
      </w:r>
      <w:r w:rsidRPr="00D910D8">
        <w:rPr>
          <w:rFonts w:cs="Times New Roman"/>
          <w:i/>
          <w:szCs w:val="24"/>
        </w:rPr>
        <w:t xml:space="preserve"> </w:t>
      </w:r>
      <w:r w:rsidR="00DE3442" w:rsidRPr="00D910D8">
        <w:rPr>
          <w:rFonts w:cs="Times New Roman"/>
          <w:szCs w:val="24"/>
        </w:rPr>
        <w:t xml:space="preserve">2010 SCC 5, </w:t>
      </w:r>
      <w:r w:rsidRPr="00D910D8">
        <w:rPr>
          <w:rFonts w:cs="Times New Roman"/>
          <w:szCs w:val="24"/>
        </w:rPr>
        <w:t>[2010] 1 S.C.R. 132</w:t>
      </w:r>
      <w:r w:rsidR="00DE3442" w:rsidRPr="00D910D8">
        <w:rPr>
          <w:rFonts w:cs="Times New Roman"/>
          <w:szCs w:val="24"/>
        </w:rPr>
        <w:t>,</w:t>
      </w:r>
      <w:r w:rsidRPr="00D910D8">
        <w:rPr>
          <w:rFonts w:cs="Times New Roman"/>
          <w:szCs w:val="24"/>
        </w:rPr>
        <w:t xml:space="preserve"> at para. 39</w:t>
      </w:r>
      <w:r w:rsidR="006229ED" w:rsidRPr="00D910D8">
        <w:rPr>
          <w:rFonts w:cs="Times New Roman"/>
          <w:szCs w:val="24"/>
        </w:rPr>
        <w:t>)</w:t>
      </w:r>
      <w:r w:rsidR="00DE3442" w:rsidRPr="00D910D8">
        <w:rPr>
          <w:rFonts w:cs="Times New Roman"/>
          <w:szCs w:val="24"/>
        </w:rPr>
        <w:t>.</w:t>
      </w:r>
    </w:p>
    <w:p w:rsidR="000E6699" w:rsidRPr="00D910D8" w:rsidRDefault="004B6843" w:rsidP="00C640AC">
      <w:pPr>
        <w:pStyle w:val="ParaNoNdepar-AltN"/>
        <w:rPr>
          <w:rFonts w:cs="Times New Roman"/>
          <w:szCs w:val="24"/>
        </w:rPr>
      </w:pPr>
      <w:r w:rsidRPr="00D910D8">
        <w:rPr>
          <w:rFonts w:cs="Times New Roman"/>
          <w:szCs w:val="24"/>
        </w:rPr>
        <w:t xml:space="preserve">The second situation is where the proximity essential to the private duty of care is alleged to arise from a series of specific interactions between the government and the </w:t>
      </w:r>
      <w:r w:rsidR="001E5449" w:rsidRPr="00D910D8">
        <w:rPr>
          <w:rFonts w:cs="Times New Roman"/>
          <w:szCs w:val="24"/>
        </w:rPr>
        <w:t>claimant</w:t>
      </w:r>
      <w:r w:rsidRPr="00D910D8">
        <w:rPr>
          <w:rFonts w:cs="Times New Roman"/>
          <w:szCs w:val="24"/>
        </w:rPr>
        <w:t xml:space="preserve">.  The argument in these </w:t>
      </w:r>
      <w:r w:rsidR="000D7B99" w:rsidRPr="00D910D8">
        <w:rPr>
          <w:rFonts w:cs="Times New Roman"/>
          <w:szCs w:val="24"/>
        </w:rPr>
        <w:t>case</w:t>
      </w:r>
      <w:r w:rsidRPr="00D910D8">
        <w:rPr>
          <w:rFonts w:cs="Times New Roman"/>
          <w:szCs w:val="24"/>
        </w:rPr>
        <w:t>s is that the government has</w:t>
      </w:r>
      <w:r w:rsidR="00065D19" w:rsidRPr="00D910D8">
        <w:rPr>
          <w:rFonts w:cs="Times New Roman"/>
          <w:szCs w:val="24"/>
        </w:rPr>
        <w:t>,</w:t>
      </w:r>
      <w:r w:rsidRPr="00D910D8">
        <w:rPr>
          <w:rFonts w:cs="Times New Roman"/>
          <w:szCs w:val="24"/>
        </w:rPr>
        <w:t xml:space="preserve"> throu</w:t>
      </w:r>
      <w:r w:rsidR="00065D19" w:rsidRPr="00D910D8">
        <w:rPr>
          <w:rFonts w:cs="Times New Roman"/>
          <w:szCs w:val="24"/>
        </w:rPr>
        <w:t>gh its conduct</w:t>
      </w:r>
      <w:r w:rsidR="006F2C7D" w:rsidRPr="00D910D8">
        <w:rPr>
          <w:rFonts w:cs="Times New Roman"/>
          <w:szCs w:val="24"/>
        </w:rPr>
        <w:t>,</w:t>
      </w:r>
      <w:r w:rsidR="00065D19" w:rsidRPr="00D910D8">
        <w:rPr>
          <w:rFonts w:cs="Times New Roman"/>
          <w:szCs w:val="24"/>
        </w:rPr>
        <w:t xml:space="preserve"> </w:t>
      </w:r>
      <w:r w:rsidR="002606F8" w:rsidRPr="00D910D8">
        <w:rPr>
          <w:rFonts w:cs="Times New Roman"/>
          <w:szCs w:val="24"/>
        </w:rPr>
        <w:t xml:space="preserve">entered into a special relationship with the plaintiff sufficient to establish the necessary proximity for a duty of care.  </w:t>
      </w:r>
      <w:r w:rsidR="006964F5" w:rsidRPr="00D910D8">
        <w:rPr>
          <w:rFonts w:cs="Times New Roman"/>
          <w:szCs w:val="24"/>
        </w:rPr>
        <w:t>In these cases, the governing statutes are still relevant to the analysis</w:t>
      </w:r>
      <w:r w:rsidR="002D08AA" w:rsidRPr="00D910D8">
        <w:rPr>
          <w:rFonts w:cs="Times New Roman"/>
          <w:szCs w:val="24"/>
        </w:rPr>
        <w:t>.  For instance</w:t>
      </w:r>
      <w:r w:rsidR="002606F8" w:rsidRPr="00D910D8">
        <w:rPr>
          <w:rFonts w:cs="Times New Roman"/>
          <w:szCs w:val="24"/>
        </w:rPr>
        <w:t xml:space="preserve">, </w:t>
      </w:r>
      <w:r w:rsidR="00737EFA" w:rsidRPr="00D910D8">
        <w:rPr>
          <w:rFonts w:cs="Times New Roman"/>
          <w:szCs w:val="24"/>
        </w:rPr>
        <w:t xml:space="preserve">if a finding </w:t>
      </w:r>
      <w:r w:rsidR="00DE3442" w:rsidRPr="00D910D8">
        <w:rPr>
          <w:rFonts w:cs="Times New Roman"/>
          <w:szCs w:val="24"/>
        </w:rPr>
        <w:t xml:space="preserve">of </w:t>
      </w:r>
      <w:r w:rsidR="002D08AA" w:rsidRPr="00D910D8">
        <w:rPr>
          <w:rFonts w:cs="Times New Roman"/>
          <w:szCs w:val="24"/>
        </w:rPr>
        <w:t xml:space="preserve">proximity </w:t>
      </w:r>
      <w:r w:rsidR="00737EFA" w:rsidRPr="00D910D8">
        <w:rPr>
          <w:rFonts w:cs="Times New Roman"/>
          <w:szCs w:val="24"/>
        </w:rPr>
        <w:t xml:space="preserve">would </w:t>
      </w:r>
      <w:r w:rsidR="002D08AA" w:rsidRPr="00D910D8">
        <w:rPr>
          <w:rFonts w:cs="Times New Roman"/>
          <w:szCs w:val="24"/>
        </w:rPr>
        <w:t xml:space="preserve">conflict with the state’s </w:t>
      </w:r>
      <w:r w:rsidR="002606F8" w:rsidRPr="00D910D8">
        <w:rPr>
          <w:rFonts w:cs="Times New Roman"/>
          <w:szCs w:val="24"/>
        </w:rPr>
        <w:t xml:space="preserve">general public duty </w:t>
      </w:r>
      <w:r w:rsidR="002D08AA" w:rsidRPr="00D910D8">
        <w:rPr>
          <w:rFonts w:cs="Times New Roman"/>
          <w:szCs w:val="24"/>
        </w:rPr>
        <w:t xml:space="preserve">established by </w:t>
      </w:r>
      <w:r w:rsidR="002606F8" w:rsidRPr="00D910D8">
        <w:rPr>
          <w:rFonts w:cs="Times New Roman"/>
          <w:szCs w:val="24"/>
        </w:rPr>
        <w:t>the statute</w:t>
      </w:r>
      <w:r w:rsidR="00737EFA" w:rsidRPr="00D910D8">
        <w:rPr>
          <w:rFonts w:cs="Times New Roman"/>
          <w:szCs w:val="24"/>
        </w:rPr>
        <w:t xml:space="preserve">, the court may </w:t>
      </w:r>
      <w:r w:rsidR="007C42B1" w:rsidRPr="00D910D8">
        <w:rPr>
          <w:rFonts w:cs="Times New Roman"/>
          <w:szCs w:val="24"/>
        </w:rPr>
        <w:t>hold that no proximity arises</w:t>
      </w:r>
      <w:r w:rsidR="002606F8" w:rsidRPr="00D910D8">
        <w:rPr>
          <w:rFonts w:cs="Times New Roman"/>
          <w:szCs w:val="24"/>
        </w:rPr>
        <w:t xml:space="preserve">:  </w:t>
      </w:r>
      <w:r w:rsidR="00DC4DEC" w:rsidRPr="00D910D8">
        <w:rPr>
          <w:rFonts w:cs="Times New Roman"/>
          <w:i/>
          <w:szCs w:val="24"/>
        </w:rPr>
        <w:t>Syl Apps</w:t>
      </w:r>
      <w:r w:rsidR="00DC4DEC" w:rsidRPr="00D910D8">
        <w:rPr>
          <w:rFonts w:cs="Times New Roman"/>
          <w:szCs w:val="24"/>
        </w:rPr>
        <w:t>;</w:t>
      </w:r>
      <w:r w:rsidR="00DC4DEC" w:rsidRPr="00D910D8">
        <w:rPr>
          <w:rFonts w:cs="Times New Roman"/>
          <w:i/>
          <w:szCs w:val="24"/>
        </w:rPr>
        <w:t xml:space="preserve"> </w:t>
      </w:r>
      <w:r w:rsidR="002606F8" w:rsidRPr="00D910D8">
        <w:rPr>
          <w:rFonts w:cs="Times New Roman"/>
          <w:szCs w:val="24"/>
        </w:rPr>
        <w:t>see</w:t>
      </w:r>
      <w:r w:rsidR="00DC4DEC" w:rsidRPr="00D910D8">
        <w:rPr>
          <w:rFonts w:cs="Times New Roman"/>
          <w:szCs w:val="24"/>
        </w:rPr>
        <w:t xml:space="preserve"> also</w:t>
      </w:r>
      <w:r w:rsidR="002606F8" w:rsidRPr="00D910D8">
        <w:rPr>
          <w:rFonts w:cs="Times New Roman"/>
          <w:szCs w:val="24"/>
        </w:rPr>
        <w:t xml:space="preserve"> </w:t>
      </w:r>
      <w:r w:rsidR="002606F8" w:rsidRPr="00D910D8">
        <w:rPr>
          <w:rFonts w:cs="Times New Roman"/>
          <w:i/>
          <w:szCs w:val="24"/>
        </w:rPr>
        <w:t xml:space="preserve">Heaslip Estate v. Mansfield Ski Club </w:t>
      </w:r>
      <w:r w:rsidR="00DE3442" w:rsidRPr="00D910D8">
        <w:rPr>
          <w:rFonts w:cs="Times New Roman"/>
          <w:i/>
          <w:szCs w:val="24"/>
        </w:rPr>
        <w:t>I</w:t>
      </w:r>
      <w:r w:rsidR="002606F8" w:rsidRPr="00D910D8">
        <w:rPr>
          <w:rFonts w:cs="Times New Roman"/>
          <w:i/>
          <w:szCs w:val="24"/>
        </w:rPr>
        <w:t>nc.</w:t>
      </w:r>
      <w:r w:rsidR="00DE3442" w:rsidRPr="00D910D8">
        <w:rPr>
          <w:rFonts w:cs="Times New Roman"/>
          <w:szCs w:val="24"/>
        </w:rPr>
        <w:t xml:space="preserve">, </w:t>
      </w:r>
      <w:r w:rsidR="002606F8" w:rsidRPr="00D910D8">
        <w:rPr>
          <w:rFonts w:cs="Times New Roman"/>
          <w:szCs w:val="24"/>
        </w:rPr>
        <w:t>2009</w:t>
      </w:r>
      <w:r w:rsidR="00DE3442" w:rsidRPr="00D910D8">
        <w:rPr>
          <w:rFonts w:cs="Times New Roman"/>
          <w:szCs w:val="24"/>
        </w:rPr>
        <w:t xml:space="preserve"> ONCA 594</w:t>
      </w:r>
      <w:r w:rsidR="002606F8" w:rsidRPr="00D910D8">
        <w:rPr>
          <w:rFonts w:cs="Times New Roman"/>
          <w:szCs w:val="24"/>
        </w:rPr>
        <w:t>, 96 O.R. (3d) 401</w:t>
      </w:r>
      <w:r w:rsidR="00DE3442" w:rsidRPr="00D910D8">
        <w:rPr>
          <w:rFonts w:cs="Times New Roman"/>
          <w:szCs w:val="24"/>
        </w:rPr>
        <w:t>.</w:t>
      </w:r>
      <w:r w:rsidR="002606F8" w:rsidRPr="00D910D8">
        <w:rPr>
          <w:rFonts w:cs="Times New Roman"/>
          <w:szCs w:val="24"/>
        </w:rPr>
        <w:t xml:space="preserve">  </w:t>
      </w:r>
      <w:r w:rsidR="002D08AA" w:rsidRPr="00D910D8">
        <w:rPr>
          <w:rFonts w:cs="Times New Roman"/>
          <w:szCs w:val="24"/>
        </w:rPr>
        <w:t xml:space="preserve">However, the factor that gives rise to a duty of care </w:t>
      </w:r>
      <w:r w:rsidR="007C42B1" w:rsidRPr="00D910D8">
        <w:rPr>
          <w:rFonts w:cs="Times New Roman"/>
          <w:szCs w:val="24"/>
        </w:rPr>
        <w:t xml:space="preserve">in these types of cases </w:t>
      </w:r>
      <w:r w:rsidR="002D08AA" w:rsidRPr="00D910D8">
        <w:rPr>
          <w:rFonts w:cs="Times New Roman"/>
          <w:szCs w:val="24"/>
        </w:rPr>
        <w:t>is the specific interactio</w:t>
      </w:r>
      <w:r w:rsidR="006F2C7D" w:rsidRPr="00D910D8">
        <w:rPr>
          <w:rFonts w:cs="Times New Roman"/>
          <w:szCs w:val="24"/>
        </w:rPr>
        <w:t>ns between the government actor</w:t>
      </w:r>
      <w:r w:rsidR="002D08AA" w:rsidRPr="00D910D8">
        <w:rPr>
          <w:rFonts w:cs="Times New Roman"/>
          <w:szCs w:val="24"/>
        </w:rPr>
        <w:t xml:space="preserve"> and the claimant.</w:t>
      </w:r>
    </w:p>
    <w:p w:rsidR="000E6699" w:rsidRPr="00D910D8" w:rsidRDefault="002606F8" w:rsidP="00C640AC">
      <w:pPr>
        <w:pStyle w:val="ParaNoNdepar-AltN"/>
        <w:rPr>
          <w:rFonts w:cs="Times New Roman"/>
          <w:szCs w:val="24"/>
        </w:rPr>
      </w:pPr>
      <w:r w:rsidRPr="00D910D8">
        <w:rPr>
          <w:rFonts w:cs="Times New Roman"/>
          <w:szCs w:val="24"/>
        </w:rPr>
        <w:lastRenderedPageBreak/>
        <w:t>Finally, it is possible to envision a claim where proximity is based both on interactions between the parties and the government’s statutory duties.</w:t>
      </w:r>
    </w:p>
    <w:p w:rsidR="000E6699" w:rsidRPr="00D910D8" w:rsidRDefault="002606F8" w:rsidP="00C640AC">
      <w:pPr>
        <w:pStyle w:val="ParaNoNdepar-AltN"/>
        <w:rPr>
          <w:rFonts w:cs="Times New Roman"/>
          <w:szCs w:val="24"/>
        </w:rPr>
      </w:pPr>
      <w:r w:rsidRPr="00D910D8">
        <w:rPr>
          <w:rFonts w:cs="Times New Roman"/>
          <w:szCs w:val="24"/>
        </w:rPr>
        <w:t>Since this is a motion to strike, the question before us is simply whether, assuming the facts pleaded to be true, there is any</w:t>
      </w:r>
      <w:r w:rsidR="007C42B1" w:rsidRPr="00D910D8">
        <w:rPr>
          <w:rFonts w:cs="Times New Roman"/>
          <w:szCs w:val="24"/>
        </w:rPr>
        <w:t xml:space="preserve"> reasonable</w:t>
      </w:r>
      <w:r w:rsidR="0064741C" w:rsidRPr="00D910D8">
        <w:rPr>
          <w:rFonts w:cs="Times New Roman"/>
          <w:szCs w:val="24"/>
        </w:rPr>
        <w:t xml:space="preserve"> prospect of successfully establishing proximity, on the basis of a statute or otherwise</w:t>
      </w:r>
      <w:r w:rsidRPr="00D910D8">
        <w:rPr>
          <w:rFonts w:cs="Times New Roman"/>
          <w:szCs w:val="24"/>
        </w:rPr>
        <w:t xml:space="preserve">.  </w:t>
      </w:r>
      <w:r w:rsidR="006F2C7D" w:rsidRPr="00D910D8">
        <w:rPr>
          <w:rFonts w:cs="Times New Roman"/>
          <w:szCs w:val="24"/>
        </w:rPr>
        <w:t>On one hand, w</w:t>
      </w:r>
      <w:r w:rsidRPr="00D910D8">
        <w:rPr>
          <w:rFonts w:cs="Times New Roman"/>
          <w:szCs w:val="24"/>
        </w:rPr>
        <w:t xml:space="preserve">here the sole basis asserted for proximity is the statute, conflicting public duties may rule out any possibility of proximity being established as a matter of statutory interpretation: </w:t>
      </w:r>
      <w:r w:rsidRPr="00D910D8">
        <w:rPr>
          <w:rFonts w:cs="Times New Roman"/>
          <w:i/>
          <w:szCs w:val="24"/>
        </w:rPr>
        <w:t>Syl Apps.</w:t>
      </w:r>
      <w:r w:rsidR="006F2C7D" w:rsidRPr="00D910D8">
        <w:rPr>
          <w:rFonts w:cs="Times New Roman"/>
          <w:szCs w:val="24"/>
        </w:rPr>
        <w:t xml:space="preserve">  On the other</w:t>
      </w:r>
      <w:r w:rsidRPr="00D910D8">
        <w:rPr>
          <w:rFonts w:cs="Times New Roman"/>
          <w:szCs w:val="24"/>
        </w:rPr>
        <w:t>, where the asserted basis for proximity is grounded in specific conduct and interactions, ruling a claim out at the proximity stage may be difficult.  So long as the</w:t>
      </w:r>
      <w:r w:rsidR="007C42B1" w:rsidRPr="00D910D8">
        <w:rPr>
          <w:rFonts w:cs="Times New Roman"/>
          <w:szCs w:val="24"/>
        </w:rPr>
        <w:t>re is a reasonable prospect that the</w:t>
      </w:r>
      <w:r w:rsidRPr="00D910D8">
        <w:rPr>
          <w:rFonts w:cs="Times New Roman"/>
          <w:szCs w:val="24"/>
        </w:rPr>
        <w:t xml:space="preserve"> asserted interactions could, if true, </w:t>
      </w:r>
      <w:r w:rsidR="007C42B1" w:rsidRPr="00D910D8">
        <w:rPr>
          <w:rFonts w:cs="Times New Roman"/>
          <w:szCs w:val="24"/>
        </w:rPr>
        <w:t xml:space="preserve">result in a </w:t>
      </w:r>
      <w:r w:rsidRPr="00D910D8">
        <w:rPr>
          <w:rFonts w:cs="Times New Roman"/>
          <w:szCs w:val="24"/>
        </w:rPr>
        <w:t xml:space="preserve">finding of sufficient proximity, and the statute does not exclude that possibility, the matter must be allowed to </w:t>
      </w:r>
      <w:proofErr w:type="gramStart"/>
      <w:r w:rsidRPr="00D910D8">
        <w:rPr>
          <w:rFonts w:cs="Times New Roman"/>
          <w:szCs w:val="24"/>
        </w:rPr>
        <w:t>proceed</w:t>
      </w:r>
      <w:proofErr w:type="gramEnd"/>
      <w:r w:rsidRPr="00D910D8">
        <w:rPr>
          <w:rFonts w:cs="Times New Roman"/>
          <w:szCs w:val="24"/>
        </w:rPr>
        <w:t xml:space="preserve"> to trial</w:t>
      </w:r>
      <w:r w:rsidR="00FE254B" w:rsidRPr="00D910D8">
        <w:rPr>
          <w:rFonts w:cs="Times New Roman"/>
          <w:szCs w:val="24"/>
        </w:rPr>
        <w:t xml:space="preserve">, subject to any policy considerations that may negate the </w:t>
      </w:r>
      <w:r w:rsidR="00FE254B" w:rsidRPr="00D910D8">
        <w:rPr>
          <w:rFonts w:cs="Times New Roman"/>
          <w:i/>
          <w:szCs w:val="24"/>
        </w:rPr>
        <w:t>prima facie</w:t>
      </w:r>
      <w:r w:rsidR="00FE254B" w:rsidRPr="00D910D8">
        <w:rPr>
          <w:rFonts w:cs="Times New Roman"/>
          <w:szCs w:val="24"/>
        </w:rPr>
        <w:t xml:space="preserve"> duty of care</w:t>
      </w:r>
      <w:r w:rsidR="006F2C7D" w:rsidRPr="00D910D8">
        <w:rPr>
          <w:rFonts w:cs="Times New Roman"/>
          <w:szCs w:val="24"/>
        </w:rPr>
        <w:t xml:space="preserve"> at the second stage of the analysis</w:t>
      </w:r>
      <w:r w:rsidR="00581B23" w:rsidRPr="00D910D8">
        <w:rPr>
          <w:rFonts w:cs="Times New Roman"/>
          <w:szCs w:val="24"/>
        </w:rPr>
        <w:t>.</w:t>
      </w:r>
    </w:p>
    <w:p w:rsidR="00DA3BF5" w:rsidRPr="00D910D8" w:rsidRDefault="002606F8" w:rsidP="00C640AC">
      <w:pPr>
        <w:pStyle w:val="ParaNoNdepar-AltN"/>
        <w:rPr>
          <w:rFonts w:cs="Times New Roman"/>
          <w:szCs w:val="24"/>
        </w:rPr>
      </w:pPr>
      <w:r w:rsidRPr="00D910D8">
        <w:rPr>
          <w:rFonts w:cs="Times New Roman"/>
          <w:szCs w:val="24"/>
        </w:rPr>
        <w:t>As mentioned above, there are two relationships at issue in these</w:t>
      </w:r>
      <w:r w:rsidR="00DB352C" w:rsidRPr="00D910D8">
        <w:rPr>
          <w:rFonts w:cs="Times New Roman"/>
          <w:szCs w:val="24"/>
        </w:rPr>
        <w:t xml:space="preserve"> </w:t>
      </w:r>
      <w:r w:rsidRPr="00D910D8">
        <w:rPr>
          <w:rFonts w:cs="Times New Roman"/>
          <w:szCs w:val="24"/>
        </w:rPr>
        <w:t xml:space="preserve">claims: the relationship between Canada and consumers (the </w:t>
      </w:r>
      <w:r w:rsidR="00BE4BF8" w:rsidRPr="00D910D8">
        <w:rPr>
          <w:rFonts w:cs="Times New Roman"/>
          <w:i/>
          <w:szCs w:val="24"/>
        </w:rPr>
        <w:t>Knight</w:t>
      </w:r>
      <w:r w:rsidRPr="00D910D8">
        <w:rPr>
          <w:rFonts w:cs="Times New Roman"/>
          <w:szCs w:val="24"/>
        </w:rPr>
        <w:t xml:space="preserve"> case), and the relationship between Canada and tobacco companies (</w:t>
      </w:r>
      <w:r w:rsidR="00C04A71" w:rsidRPr="00D910D8">
        <w:rPr>
          <w:rFonts w:cs="Times New Roman"/>
          <w:szCs w:val="24"/>
        </w:rPr>
        <w:t xml:space="preserve">both cases).  </w:t>
      </w:r>
      <w:r w:rsidRPr="00D910D8">
        <w:rPr>
          <w:rFonts w:cs="Times New Roman"/>
          <w:szCs w:val="24"/>
        </w:rPr>
        <w:t xml:space="preserve">The question at this stage is whether there is a </w:t>
      </w:r>
      <w:r w:rsidRPr="00D910D8">
        <w:rPr>
          <w:rFonts w:cs="Times New Roman"/>
          <w:i/>
          <w:szCs w:val="24"/>
        </w:rPr>
        <w:t xml:space="preserve">prima facie </w:t>
      </w:r>
      <w:r w:rsidRPr="00D910D8">
        <w:rPr>
          <w:rFonts w:cs="Times New Roman"/>
          <w:szCs w:val="24"/>
        </w:rPr>
        <w:t xml:space="preserve">duty of care in either or both these relationships.  In my view, on the facts pleaded, Canada did not owe a </w:t>
      </w:r>
      <w:r w:rsidRPr="00D910D8">
        <w:rPr>
          <w:rFonts w:cs="Times New Roman"/>
          <w:i/>
          <w:szCs w:val="24"/>
        </w:rPr>
        <w:t xml:space="preserve">prima facie </w:t>
      </w:r>
      <w:r w:rsidRPr="00D910D8">
        <w:rPr>
          <w:rFonts w:cs="Times New Roman"/>
          <w:szCs w:val="24"/>
        </w:rPr>
        <w:t>duty</w:t>
      </w:r>
      <w:r w:rsidR="006F2C7D" w:rsidRPr="00D910D8">
        <w:rPr>
          <w:rFonts w:cs="Times New Roman"/>
          <w:szCs w:val="24"/>
        </w:rPr>
        <w:t xml:space="preserve"> of care</w:t>
      </w:r>
      <w:r w:rsidRPr="00D910D8">
        <w:rPr>
          <w:rFonts w:cs="Times New Roman"/>
          <w:szCs w:val="24"/>
        </w:rPr>
        <w:t xml:space="preserve"> to consumers, but did owe a </w:t>
      </w:r>
      <w:r w:rsidRPr="00D910D8">
        <w:rPr>
          <w:rFonts w:cs="Times New Roman"/>
          <w:i/>
          <w:szCs w:val="24"/>
        </w:rPr>
        <w:t>prima facie</w:t>
      </w:r>
      <w:r w:rsidRPr="00D910D8">
        <w:rPr>
          <w:rFonts w:cs="Times New Roman"/>
          <w:szCs w:val="24"/>
        </w:rPr>
        <w:t xml:space="preserve"> duty to the tobacco companies.</w:t>
      </w:r>
    </w:p>
    <w:p w:rsidR="00DA3BF5" w:rsidRPr="00D910D8" w:rsidRDefault="002606F8" w:rsidP="00C640AC">
      <w:pPr>
        <w:pStyle w:val="ParaNoNdepar-AltN"/>
        <w:rPr>
          <w:rFonts w:cs="Times New Roman"/>
          <w:szCs w:val="24"/>
        </w:rPr>
      </w:pPr>
      <w:r w:rsidRPr="00D910D8">
        <w:rPr>
          <w:rFonts w:cs="Times New Roman"/>
          <w:szCs w:val="24"/>
        </w:rPr>
        <w:lastRenderedPageBreak/>
        <w:t>The fa</w:t>
      </w:r>
      <w:r w:rsidR="00DE3442" w:rsidRPr="00D910D8">
        <w:rPr>
          <w:rFonts w:cs="Times New Roman"/>
          <w:szCs w:val="24"/>
        </w:rPr>
        <w:t>cts pleaded in Imperial’s third-</w:t>
      </w:r>
      <w:r w:rsidRPr="00D910D8">
        <w:rPr>
          <w:rFonts w:cs="Times New Roman"/>
          <w:szCs w:val="24"/>
        </w:rPr>
        <w:t xml:space="preserve">party notice in the </w:t>
      </w:r>
      <w:r w:rsidRPr="00D910D8">
        <w:rPr>
          <w:rFonts w:cs="Times New Roman"/>
          <w:i/>
          <w:szCs w:val="24"/>
        </w:rPr>
        <w:t>Knight</w:t>
      </w:r>
      <w:r w:rsidRPr="00D910D8">
        <w:rPr>
          <w:rFonts w:cs="Times New Roman"/>
          <w:szCs w:val="24"/>
        </w:rPr>
        <w:t xml:space="preserve"> case establish no direct relationship between Canada and the consumers of light cigarettes.  The relationship between the two was limited to Canada’s statements to the general public that low-tar cigarettes are less hazardous.  There were no specific interactions between Canada and the class members.  Consequently, a finding of proximity in this relationship must arise from the governing statutes: </w:t>
      </w:r>
      <w:r w:rsidRPr="00D910D8">
        <w:rPr>
          <w:rFonts w:cs="Times New Roman"/>
          <w:i/>
          <w:szCs w:val="24"/>
        </w:rPr>
        <w:t>Cooper</w:t>
      </w:r>
      <w:r w:rsidR="00581B23" w:rsidRPr="00D910D8">
        <w:rPr>
          <w:rFonts w:cs="Times New Roman"/>
          <w:szCs w:val="24"/>
        </w:rPr>
        <w:t>, at para. 43.</w:t>
      </w:r>
    </w:p>
    <w:p w:rsidR="0064741C" w:rsidRPr="00D910D8" w:rsidRDefault="002606F8" w:rsidP="0064741C">
      <w:pPr>
        <w:pStyle w:val="ParaNoNdepar-AltN"/>
        <w:rPr>
          <w:rFonts w:cs="Times New Roman"/>
          <w:szCs w:val="24"/>
        </w:rPr>
      </w:pPr>
      <w:r w:rsidRPr="00D910D8">
        <w:rPr>
          <w:rFonts w:cs="Times New Roman"/>
          <w:szCs w:val="24"/>
        </w:rPr>
        <w:t xml:space="preserve">The relevant statutes establish only general duties to the public, and no private law duties to consumers.  The </w:t>
      </w:r>
      <w:r w:rsidRPr="00D910D8">
        <w:rPr>
          <w:rFonts w:cs="Times New Roman"/>
          <w:i/>
          <w:szCs w:val="24"/>
        </w:rPr>
        <w:t>Department of Health Act</w:t>
      </w:r>
      <w:r w:rsidRPr="00D910D8">
        <w:rPr>
          <w:rFonts w:cs="Times New Roman"/>
          <w:szCs w:val="24"/>
        </w:rPr>
        <w:t>, S.C. 1996, c. 8</w:t>
      </w:r>
      <w:r w:rsidR="00713AB9" w:rsidRPr="00D910D8">
        <w:rPr>
          <w:rFonts w:cs="Times New Roman"/>
          <w:szCs w:val="24"/>
        </w:rPr>
        <w:t>,</w:t>
      </w:r>
      <w:r w:rsidRPr="00D910D8">
        <w:rPr>
          <w:rFonts w:cs="Times New Roman"/>
          <w:szCs w:val="24"/>
        </w:rPr>
        <w:t xml:space="preserve"> establishes that the duties of the Minister of Health relate to “the promotion and preservation of the health of the people of Canada”: s. 4(1).  Similarly, the </w:t>
      </w:r>
      <w:r w:rsidRPr="00D910D8">
        <w:rPr>
          <w:rFonts w:cs="Times New Roman"/>
          <w:i/>
          <w:szCs w:val="24"/>
        </w:rPr>
        <w:t>Department of Agriculture and Agri-Food Act</w:t>
      </w:r>
      <w:r w:rsidR="00DE3442" w:rsidRPr="00D910D8">
        <w:rPr>
          <w:rFonts w:cs="Times New Roman"/>
          <w:szCs w:val="24"/>
        </w:rPr>
        <w:t xml:space="preserve">, R.S.C. </w:t>
      </w:r>
      <w:r w:rsidRPr="00D910D8">
        <w:rPr>
          <w:rFonts w:cs="Times New Roman"/>
          <w:szCs w:val="24"/>
        </w:rPr>
        <w:t>1985, c. A-9, s. 4, the</w:t>
      </w:r>
      <w:r w:rsidRPr="00D910D8">
        <w:rPr>
          <w:rFonts w:cs="Times New Roman"/>
          <w:i/>
          <w:szCs w:val="24"/>
        </w:rPr>
        <w:t xml:space="preserve"> Tobacco Act</w:t>
      </w:r>
      <w:r w:rsidRPr="00D910D8">
        <w:rPr>
          <w:rFonts w:cs="Times New Roman"/>
          <w:szCs w:val="24"/>
        </w:rPr>
        <w:t>,</w:t>
      </w:r>
      <w:r w:rsidR="003A421C" w:rsidRPr="00D910D8">
        <w:rPr>
          <w:rFonts w:cs="Times New Roman"/>
          <w:szCs w:val="24"/>
        </w:rPr>
        <w:t xml:space="preserve"> S.C. 1997, c. 13, s. 4,</w:t>
      </w:r>
      <w:r w:rsidRPr="00D910D8">
        <w:rPr>
          <w:rFonts w:cs="Times New Roman"/>
          <w:szCs w:val="24"/>
        </w:rPr>
        <w:t xml:space="preserve"> and the </w:t>
      </w:r>
      <w:r w:rsidRPr="00D910D8">
        <w:rPr>
          <w:rFonts w:cs="Times New Roman"/>
          <w:i/>
          <w:szCs w:val="24"/>
        </w:rPr>
        <w:t>Tobacco Products Control Act</w:t>
      </w:r>
      <w:r w:rsidRPr="00D910D8">
        <w:rPr>
          <w:rFonts w:cs="Times New Roman"/>
          <w:szCs w:val="24"/>
        </w:rPr>
        <w:t xml:space="preserve">, </w:t>
      </w:r>
      <w:r w:rsidR="003A421C" w:rsidRPr="00D910D8">
        <w:rPr>
          <w:rFonts w:cs="Times New Roman"/>
          <w:szCs w:val="24"/>
        </w:rPr>
        <w:t>R.S.C. 1985, c. 14 (4th Supp.), s. 3 [rep. 1997, c. 13, s. 64],</w:t>
      </w:r>
      <w:r w:rsidRPr="00D910D8">
        <w:rPr>
          <w:rFonts w:cs="Times New Roman"/>
          <w:szCs w:val="24"/>
        </w:rPr>
        <w:t xml:space="preserve"> only establish duties to the general public.  These general duties to the public do not give rise to a private law duty of care to particular individuals.  </w:t>
      </w:r>
      <w:r w:rsidR="006F2C7D" w:rsidRPr="00D910D8">
        <w:rPr>
          <w:rFonts w:cs="Times New Roman"/>
          <w:szCs w:val="24"/>
        </w:rPr>
        <w:t xml:space="preserve">To borrow the words of </w:t>
      </w:r>
      <w:r w:rsidR="00F16C1C" w:rsidRPr="00D910D8">
        <w:rPr>
          <w:rFonts w:cs="Times New Roman"/>
          <w:szCs w:val="24"/>
        </w:rPr>
        <w:t xml:space="preserve">Sharpe J.A. of </w:t>
      </w:r>
      <w:r w:rsidRPr="00D910D8">
        <w:rPr>
          <w:rFonts w:cs="Times New Roman"/>
          <w:szCs w:val="24"/>
        </w:rPr>
        <w:t xml:space="preserve">the Ontario Court of Appeal in </w:t>
      </w:r>
      <w:r w:rsidRPr="00D910D8">
        <w:rPr>
          <w:rFonts w:cs="Times New Roman"/>
          <w:bCs/>
          <w:i/>
          <w:szCs w:val="24"/>
        </w:rPr>
        <w:t>Eliopoulos Estate v. Ontario (Minister of Health and Long-Term Care)</w:t>
      </w:r>
      <w:r w:rsidRPr="00D910D8">
        <w:rPr>
          <w:rFonts w:cs="Times New Roman"/>
          <w:bCs/>
          <w:szCs w:val="24"/>
        </w:rPr>
        <w:t xml:space="preserve"> (2006), </w:t>
      </w:r>
      <w:r w:rsidR="00DF450D" w:rsidRPr="00D910D8">
        <w:rPr>
          <w:rFonts w:cs="Times New Roman"/>
          <w:szCs w:val="24"/>
        </w:rPr>
        <w:t xml:space="preserve">276 D.L.R. (4th) 411, “I fail to see how it could be possible to convert any of the Minister’s public law discretionary powers, to be exercised in the general public interest, into private law duties owed to specific individuals”: para. 17. </w:t>
      </w:r>
      <w:r w:rsidR="0064741C" w:rsidRPr="00D910D8">
        <w:rPr>
          <w:rFonts w:cs="Times New Roman"/>
          <w:szCs w:val="24"/>
        </w:rPr>
        <w:t xml:space="preserve"> At the same time, the governing statutes do not foreclose the possib</w:t>
      </w:r>
      <w:r w:rsidR="006F2C7D" w:rsidRPr="00D910D8">
        <w:rPr>
          <w:rFonts w:cs="Times New Roman"/>
          <w:szCs w:val="24"/>
        </w:rPr>
        <w:t>ility</w:t>
      </w:r>
      <w:r w:rsidR="0064741C" w:rsidRPr="00D910D8">
        <w:rPr>
          <w:rFonts w:cs="Times New Roman"/>
          <w:szCs w:val="24"/>
        </w:rPr>
        <w:t xml:space="preserve"> of recognizing a duty of </w:t>
      </w:r>
      <w:r w:rsidR="0064741C" w:rsidRPr="00D910D8">
        <w:rPr>
          <w:rFonts w:cs="Times New Roman"/>
          <w:szCs w:val="24"/>
        </w:rPr>
        <w:lastRenderedPageBreak/>
        <w:t xml:space="preserve">care to the tobacco companies.  Recognizing a duty of care on the government when it makes representations </w:t>
      </w:r>
      <w:r w:rsidR="006F2C7D" w:rsidRPr="00D910D8">
        <w:rPr>
          <w:rFonts w:cs="Times New Roman"/>
          <w:szCs w:val="24"/>
        </w:rPr>
        <w:t xml:space="preserve">to the tobacco companies </w:t>
      </w:r>
      <w:r w:rsidR="0064741C" w:rsidRPr="00D910D8">
        <w:rPr>
          <w:rFonts w:cs="Times New Roman"/>
          <w:szCs w:val="24"/>
        </w:rPr>
        <w:t>about the health attributes of tobacco strains would not conflict with its general duty to pro</w:t>
      </w:r>
      <w:r w:rsidR="00581B23" w:rsidRPr="00D910D8">
        <w:rPr>
          <w:rFonts w:cs="Times New Roman"/>
          <w:szCs w:val="24"/>
        </w:rPr>
        <w:t>tect the health of the public.</w:t>
      </w:r>
    </w:p>
    <w:p w:rsidR="000E6699" w:rsidRPr="00D910D8" w:rsidRDefault="003E4BCA" w:rsidP="00C640AC">
      <w:pPr>
        <w:pStyle w:val="ParaNoNdepar-AltN"/>
        <w:rPr>
          <w:rFonts w:cs="Times New Roman"/>
          <w:szCs w:val="24"/>
        </w:rPr>
      </w:pPr>
      <w:r w:rsidRPr="00D910D8">
        <w:rPr>
          <w:rFonts w:cs="Times New Roman"/>
          <w:szCs w:val="24"/>
        </w:rPr>
        <w:t xml:space="preserve">Turning </w:t>
      </w:r>
      <w:r w:rsidR="00C04A71" w:rsidRPr="00D910D8">
        <w:rPr>
          <w:rFonts w:cs="Times New Roman"/>
          <w:szCs w:val="24"/>
        </w:rPr>
        <w:t xml:space="preserve">to </w:t>
      </w:r>
      <w:r w:rsidR="00FF5660" w:rsidRPr="00D910D8">
        <w:rPr>
          <w:rFonts w:cs="Times New Roman"/>
          <w:szCs w:val="24"/>
        </w:rPr>
        <w:t xml:space="preserve">the relationship </w:t>
      </w:r>
      <w:r w:rsidR="002606F8" w:rsidRPr="00D910D8">
        <w:rPr>
          <w:rFonts w:cs="Times New Roman"/>
          <w:szCs w:val="24"/>
        </w:rPr>
        <w:t>between Canada and the tobacco companies</w:t>
      </w:r>
      <w:r w:rsidR="00C04A71" w:rsidRPr="00D910D8">
        <w:rPr>
          <w:rFonts w:cs="Times New Roman"/>
          <w:szCs w:val="24"/>
        </w:rPr>
        <w:t>, at issue in both of the cases before the Court</w:t>
      </w:r>
      <w:r w:rsidR="002606F8" w:rsidRPr="00D910D8">
        <w:rPr>
          <w:rFonts w:cs="Times New Roman"/>
          <w:szCs w:val="24"/>
        </w:rPr>
        <w:t>, the tobacco companies contend that a duty of care on Canada arose from the transactions between them and Canada over the years.  They allege that Canada went beyond its role as regulator of industry players and entered into a relationship of advising and assisting the companies in reducing harm to their consumers.  They hope to show that Canada gave erroneous information and advice, knowing that the companies wo</w:t>
      </w:r>
      <w:r w:rsidR="00747DB3" w:rsidRPr="00D910D8">
        <w:rPr>
          <w:rFonts w:cs="Times New Roman"/>
          <w:szCs w:val="24"/>
        </w:rPr>
        <w:t>uld rely on it, which they did.</w:t>
      </w:r>
    </w:p>
    <w:p w:rsidR="00D27FC5" w:rsidRPr="00D910D8" w:rsidRDefault="00747DB3" w:rsidP="00D27FC5">
      <w:pPr>
        <w:pStyle w:val="ParaNoNdepar-AltN"/>
        <w:rPr>
          <w:rFonts w:cs="Times New Roman"/>
          <w:szCs w:val="24"/>
        </w:rPr>
      </w:pPr>
      <w:r w:rsidRPr="00D910D8">
        <w:rPr>
          <w:rFonts w:cs="Times New Roman"/>
          <w:szCs w:val="24"/>
        </w:rPr>
        <w:t xml:space="preserve">The question is whether these pleadings bring the tobacco companies within the requirements for a special relationship under the law of negligent misrepresentation as set out in </w:t>
      </w:r>
      <w:r w:rsidRPr="00D910D8">
        <w:rPr>
          <w:rFonts w:cs="Times New Roman"/>
          <w:i/>
          <w:szCs w:val="24"/>
        </w:rPr>
        <w:t>Hercules Management</w:t>
      </w:r>
      <w:r w:rsidR="00DE3442" w:rsidRPr="00D910D8">
        <w:rPr>
          <w:rFonts w:cs="Times New Roman"/>
          <w:i/>
          <w:szCs w:val="24"/>
        </w:rPr>
        <w:t>s</w:t>
      </w:r>
      <w:r w:rsidRPr="00D910D8">
        <w:rPr>
          <w:rFonts w:cs="Times New Roman"/>
          <w:szCs w:val="24"/>
        </w:rPr>
        <w:t>.  As noted above, a special relationship will be established where (1) the defendant ought reasonably to foresee that the plaintiff will rely on his or her representation, and (2) such reliance would, in the particular circumstances of the case, be reasonable.  In the cases at bar, the facts pleaded allege a history of interactions between Canada and the tobacco companies capable o</w:t>
      </w:r>
      <w:r w:rsidR="00581B23" w:rsidRPr="00D910D8">
        <w:rPr>
          <w:rFonts w:cs="Times New Roman"/>
          <w:szCs w:val="24"/>
        </w:rPr>
        <w:t>f fulfilling these conditions.</w:t>
      </w:r>
    </w:p>
    <w:p w:rsidR="00760A1F" w:rsidRPr="00D910D8" w:rsidRDefault="00D27FC5" w:rsidP="00D27FC5">
      <w:pPr>
        <w:pStyle w:val="ParaNoNdepar-AltN"/>
        <w:rPr>
          <w:rFonts w:cs="Times New Roman"/>
          <w:szCs w:val="24"/>
        </w:rPr>
      </w:pPr>
      <w:r w:rsidRPr="00D910D8">
        <w:rPr>
          <w:rFonts w:cs="Times New Roman"/>
          <w:szCs w:val="24"/>
        </w:rPr>
        <w:lastRenderedPageBreak/>
        <w:t xml:space="preserve">What is alleged against Canada is that Health Canada assumed duties separate and apart from its governing statute, including research into and design of tobacco and tobacco products and the promotion of tobacco and tobacco products (third-party statement of claim of Imperial </w:t>
      </w:r>
      <w:r w:rsidR="006F2C7D" w:rsidRPr="00D910D8">
        <w:rPr>
          <w:rFonts w:cs="Times New Roman"/>
          <w:szCs w:val="24"/>
        </w:rPr>
        <w:t xml:space="preserve">in the </w:t>
      </w:r>
      <w:r w:rsidR="006F2C7D" w:rsidRPr="00D910D8">
        <w:rPr>
          <w:rFonts w:cs="Times New Roman"/>
          <w:i/>
          <w:szCs w:val="24"/>
        </w:rPr>
        <w:t xml:space="preserve">Costs Recovery </w:t>
      </w:r>
      <w:r w:rsidR="006F2C7D" w:rsidRPr="00D910D8">
        <w:rPr>
          <w:rFonts w:cs="Times New Roman"/>
          <w:szCs w:val="24"/>
        </w:rPr>
        <w:t xml:space="preserve">case, </w:t>
      </w:r>
      <w:r w:rsidRPr="00D910D8">
        <w:rPr>
          <w:rFonts w:cs="Times New Roman"/>
          <w:szCs w:val="24"/>
        </w:rPr>
        <w:t>A.R.</w:t>
      </w:r>
      <w:r w:rsidR="008D4C9C" w:rsidRPr="00D910D8">
        <w:rPr>
          <w:rFonts w:cs="Times New Roman"/>
          <w:szCs w:val="24"/>
        </w:rPr>
        <w:t>, vol. II</w:t>
      </w:r>
      <w:r w:rsidR="006F2C7D" w:rsidRPr="00D910D8">
        <w:rPr>
          <w:rFonts w:cs="Times New Roman"/>
          <w:szCs w:val="24"/>
        </w:rPr>
        <w:t xml:space="preserve">, </w:t>
      </w:r>
      <w:r w:rsidRPr="00D910D8">
        <w:rPr>
          <w:rFonts w:cs="Times New Roman"/>
          <w:szCs w:val="24"/>
        </w:rPr>
        <w:t>at p. 66).  In addition, it is alleged that Agriculture Canada carried out a programme of cooperation with and support for tobacco growers and cigarette manufacturers including advising cigarette manufacturers of the desirable content of nicotine in tobacco to be used in the manufacture of tobacco products.  It is alleged that officials, drawing on their knowledge and expertise in smoking and health matters, provided both advice and directions to the manufacturers including advice that the tobacco strains designed and developed by officials of Agriculture Canada and sold or licensed to the manufacturers for use in their tobacco products would not increase health risks to consumers or otherwise be harmful to them (</w:t>
      </w:r>
      <w:r w:rsidR="008D4C9C" w:rsidRPr="00D910D8">
        <w:rPr>
          <w:rFonts w:cs="Times New Roman"/>
          <w:i/>
          <w:szCs w:val="24"/>
        </w:rPr>
        <w:t>ibid.</w:t>
      </w:r>
      <w:r w:rsidR="008D4C9C" w:rsidRPr="00D910D8">
        <w:rPr>
          <w:rFonts w:cs="Times New Roman"/>
          <w:szCs w:val="24"/>
        </w:rPr>
        <w:t xml:space="preserve">, at </w:t>
      </w:r>
      <w:r w:rsidRPr="00D910D8">
        <w:rPr>
          <w:rFonts w:cs="Times New Roman"/>
          <w:szCs w:val="24"/>
        </w:rPr>
        <w:t>pp. 109-10).  Thus, what is alleged is not simply that broad powers of regulation were brought to bear on the tobacco industry, but that Canada assumed the role of adviser to a finite number of manufacturers and that there were commercial relationships entered into between Canada and the companies based in part on the advice given to the companies by government officials.</w:t>
      </w:r>
    </w:p>
    <w:p w:rsidR="00760A1F" w:rsidRPr="00D910D8" w:rsidRDefault="00760A1F" w:rsidP="00760A1F">
      <w:pPr>
        <w:pStyle w:val="ParaNoNdepar-AltN"/>
        <w:rPr>
          <w:rFonts w:cs="Times New Roman"/>
          <w:szCs w:val="24"/>
        </w:rPr>
      </w:pPr>
      <w:r w:rsidRPr="00D910D8">
        <w:rPr>
          <w:rFonts w:cs="Times New Roman"/>
          <w:szCs w:val="24"/>
        </w:rPr>
        <w:t xml:space="preserve">What is alleged with respect to Canada’s interactions with the manufacturers goes far beyond the sort of statements made by Canada to the public at </w:t>
      </w:r>
      <w:r w:rsidRPr="00D910D8">
        <w:rPr>
          <w:rFonts w:cs="Times New Roman"/>
          <w:szCs w:val="24"/>
        </w:rPr>
        <w:lastRenderedPageBreak/>
        <w:t>large.  Canada is alleged to have had specific interactions with the manufacturers in contrast to the absence of such specific interactions between Canada and the class members.  Whereas the claims in relation to consumers must be founded on a statutory framework establishing very general duties to the public, the claims alleged in relation to the manufacturers are not alleged to arise primarily from such general regulatory duties and powers but from roles undertaken specifically in relation to the manufacturers by Canada apart from its statutory duties, namely its roles as des</w:t>
      </w:r>
      <w:r w:rsidR="006F2C7D" w:rsidRPr="00D910D8">
        <w:rPr>
          <w:rFonts w:cs="Times New Roman"/>
          <w:szCs w:val="24"/>
        </w:rPr>
        <w:t xml:space="preserve">igner, developer, </w:t>
      </w:r>
      <w:r w:rsidRPr="00D910D8">
        <w:rPr>
          <w:rFonts w:cs="Times New Roman"/>
          <w:szCs w:val="24"/>
        </w:rPr>
        <w:t>promoter and licensor of tobacco strains.  With respect to the issue of reasonable reliance, Canada’s regulatory powers over the manufacturers</w:t>
      </w:r>
      <w:r w:rsidR="00883474" w:rsidRPr="00D910D8">
        <w:rPr>
          <w:rFonts w:cs="Times New Roman"/>
          <w:szCs w:val="24"/>
        </w:rPr>
        <w:t>,</w:t>
      </w:r>
      <w:r w:rsidRPr="00D910D8">
        <w:rPr>
          <w:rFonts w:cs="Times New Roman"/>
          <w:szCs w:val="24"/>
        </w:rPr>
        <w:t xml:space="preserve"> coupled with its specific advice and its commercial involvement</w:t>
      </w:r>
      <w:r w:rsidR="00D27FC5" w:rsidRPr="00D910D8">
        <w:rPr>
          <w:rFonts w:cs="Times New Roman"/>
          <w:szCs w:val="24"/>
        </w:rPr>
        <w:t>,</w:t>
      </w:r>
      <w:r w:rsidRPr="00D910D8">
        <w:rPr>
          <w:rFonts w:cs="Times New Roman"/>
          <w:szCs w:val="24"/>
        </w:rPr>
        <w:t xml:space="preserve"> could be seen as supporting a conclusion that reliance was reasonable in the pleaded circumstance.</w:t>
      </w:r>
    </w:p>
    <w:p w:rsidR="00760A1F" w:rsidRPr="00D910D8" w:rsidRDefault="008D4C9C" w:rsidP="00D27FC5">
      <w:pPr>
        <w:pStyle w:val="ParaNoNdepar-AltN"/>
        <w:rPr>
          <w:rFonts w:cs="Times New Roman"/>
          <w:szCs w:val="24"/>
        </w:rPr>
      </w:pPr>
      <w:r w:rsidRPr="00D910D8">
        <w:rPr>
          <w:rFonts w:cs="Times New Roman"/>
          <w:szCs w:val="24"/>
        </w:rPr>
        <w:t>The indicia</w:t>
      </w:r>
      <w:r w:rsidR="00760A1F" w:rsidRPr="00D910D8">
        <w:rPr>
          <w:rFonts w:cs="Times New Roman"/>
          <w:szCs w:val="24"/>
        </w:rPr>
        <w:t xml:space="preserve"> of proximity offered in </w:t>
      </w:r>
      <w:r w:rsidR="0083693D" w:rsidRPr="00D910D8">
        <w:rPr>
          <w:rFonts w:cs="Times New Roman"/>
          <w:i/>
          <w:szCs w:val="24"/>
        </w:rPr>
        <w:t>Hercules Management</w:t>
      </w:r>
      <w:r w:rsidR="00D27FC5" w:rsidRPr="00D910D8">
        <w:rPr>
          <w:rFonts w:cs="Times New Roman"/>
          <w:i/>
          <w:szCs w:val="24"/>
        </w:rPr>
        <w:t>s</w:t>
      </w:r>
      <w:r w:rsidR="00760A1F" w:rsidRPr="00D910D8">
        <w:rPr>
          <w:rFonts w:cs="Times New Roman"/>
          <w:szCs w:val="24"/>
        </w:rPr>
        <w:t xml:space="preserve"> for a special relationship (direct financial interest; professional skill or knowledge; advice pro</w:t>
      </w:r>
      <w:r w:rsidR="006F2C7D" w:rsidRPr="00D910D8">
        <w:rPr>
          <w:rFonts w:cs="Times New Roman"/>
          <w:szCs w:val="24"/>
        </w:rPr>
        <w:t>vided in the course of business,</w:t>
      </w:r>
      <w:r w:rsidR="00760A1F" w:rsidRPr="00D910D8">
        <w:rPr>
          <w:rFonts w:cs="Times New Roman"/>
          <w:szCs w:val="24"/>
        </w:rPr>
        <w:t xml:space="preserve"> deliberately or in response to </w:t>
      </w:r>
      <w:r w:rsidR="006F2C7D" w:rsidRPr="00D910D8">
        <w:rPr>
          <w:rFonts w:cs="Times New Roman"/>
          <w:szCs w:val="24"/>
        </w:rPr>
        <w:t xml:space="preserve">a </w:t>
      </w:r>
      <w:r w:rsidR="00760A1F" w:rsidRPr="00D910D8">
        <w:rPr>
          <w:rFonts w:cs="Times New Roman"/>
          <w:szCs w:val="24"/>
        </w:rPr>
        <w:t xml:space="preserve">specific request) may not be particularly apt in the context </w:t>
      </w:r>
      <w:r w:rsidR="00D27FC5" w:rsidRPr="00D910D8">
        <w:rPr>
          <w:rFonts w:cs="Times New Roman"/>
          <w:szCs w:val="24"/>
        </w:rPr>
        <w:t xml:space="preserve">of </w:t>
      </w:r>
      <w:r w:rsidR="00BD2224" w:rsidRPr="00D910D8">
        <w:rPr>
          <w:rFonts w:cs="Times New Roman"/>
          <w:szCs w:val="24"/>
        </w:rPr>
        <w:t>alleged negligent misrepresentations</w:t>
      </w:r>
      <w:r w:rsidR="00760A1F" w:rsidRPr="00D910D8">
        <w:rPr>
          <w:rFonts w:cs="Times New Roman"/>
          <w:szCs w:val="24"/>
        </w:rPr>
        <w:t xml:space="preserve"> by government.  I note, however, that the representations are alleged to have been made in the course of Health Canada’s regulatory and other activities, not in the course of casual interaction.  They were made specifically to the manufacturers who were subject to Health Canada’s regulatory powers and by officials alleged to have special skill, judgment and knowledge.</w:t>
      </w:r>
    </w:p>
    <w:p w:rsidR="00A03DEB" w:rsidRPr="00D910D8" w:rsidRDefault="00A03DEB" w:rsidP="00A903D5">
      <w:pPr>
        <w:pStyle w:val="ParaNoNdepar-AltN"/>
        <w:rPr>
          <w:rFonts w:cs="Times New Roman"/>
          <w:szCs w:val="24"/>
        </w:rPr>
      </w:pPr>
      <w:r w:rsidRPr="00D910D8">
        <w:rPr>
          <w:rFonts w:cs="Times New Roman"/>
          <w:szCs w:val="24"/>
        </w:rPr>
        <w:lastRenderedPageBreak/>
        <w:t xml:space="preserve">Before leaving this issue, two final arguments must be considered.  First, in the </w:t>
      </w:r>
      <w:r w:rsidRPr="00D910D8">
        <w:rPr>
          <w:rFonts w:cs="Times New Roman"/>
          <w:i/>
          <w:szCs w:val="24"/>
        </w:rPr>
        <w:t xml:space="preserve">Costs Recovery </w:t>
      </w:r>
      <w:r w:rsidRPr="00D910D8">
        <w:rPr>
          <w:rFonts w:cs="Times New Roman"/>
          <w:szCs w:val="24"/>
        </w:rPr>
        <w:t xml:space="preserve">case, Canada submits that there is no </w:t>
      </w:r>
      <w:r w:rsidRPr="00D910D8">
        <w:rPr>
          <w:rFonts w:cs="Times New Roman"/>
          <w:i/>
          <w:szCs w:val="24"/>
        </w:rPr>
        <w:t xml:space="preserve">prima facie </w:t>
      </w:r>
      <w:r w:rsidRPr="00D910D8">
        <w:rPr>
          <w:rFonts w:cs="Times New Roman"/>
          <w:szCs w:val="24"/>
        </w:rPr>
        <w:t xml:space="preserve">duty of care between Canada and the tobacco companies because the potential damages that the tobacco companies may incur under the </w:t>
      </w:r>
      <w:r w:rsidRPr="00D910D8">
        <w:rPr>
          <w:rFonts w:cs="Times New Roman"/>
          <w:i/>
          <w:szCs w:val="24"/>
        </w:rPr>
        <w:t>CRA</w:t>
      </w:r>
      <w:r w:rsidRPr="00D910D8">
        <w:rPr>
          <w:rFonts w:cs="Times New Roman"/>
          <w:szCs w:val="24"/>
        </w:rPr>
        <w:t xml:space="preserve"> were not foreseeable.  It argues that “[i]t was not reasonably foreseeable by Canada that a provincial government might create a wholly new type of civil obligation to reimburse costs incurred by a provincial health care scheme in respect of </w:t>
      </w:r>
      <w:r w:rsidR="003001CD" w:rsidRPr="00D910D8">
        <w:rPr>
          <w:rFonts w:cs="Times New Roman"/>
          <w:szCs w:val="24"/>
        </w:rPr>
        <w:t xml:space="preserve">defined </w:t>
      </w:r>
      <w:r w:rsidRPr="00D910D8">
        <w:rPr>
          <w:rFonts w:cs="Times New Roman"/>
          <w:szCs w:val="24"/>
        </w:rPr>
        <w:t>tobacco related wrongs, with unlimited retroactive and prospective reach” (</w:t>
      </w:r>
      <w:r w:rsidR="003001CD" w:rsidRPr="00D910D8">
        <w:rPr>
          <w:rFonts w:cs="Times New Roman"/>
          <w:szCs w:val="24"/>
        </w:rPr>
        <w:t>A.F.</w:t>
      </w:r>
      <w:r w:rsidR="008D4C9C" w:rsidRPr="00D910D8">
        <w:rPr>
          <w:rFonts w:cs="Times New Roman"/>
          <w:szCs w:val="24"/>
        </w:rPr>
        <w:t>,</w:t>
      </w:r>
      <w:r w:rsidR="003001CD" w:rsidRPr="00D910D8">
        <w:rPr>
          <w:rFonts w:cs="Times New Roman"/>
          <w:szCs w:val="24"/>
        </w:rPr>
        <w:t xml:space="preserve"> at </w:t>
      </w:r>
      <w:r w:rsidR="00581B23" w:rsidRPr="00D910D8">
        <w:rPr>
          <w:rFonts w:cs="Times New Roman"/>
          <w:szCs w:val="24"/>
        </w:rPr>
        <w:t>para. 36).</w:t>
      </w:r>
    </w:p>
    <w:p w:rsidR="00901A15" w:rsidRPr="00D910D8" w:rsidRDefault="00901A15" w:rsidP="00901A15">
      <w:pPr>
        <w:pStyle w:val="ParaNoNdepar-AltN"/>
        <w:rPr>
          <w:rFonts w:cs="Times New Roman"/>
          <w:szCs w:val="24"/>
        </w:rPr>
      </w:pPr>
      <w:r w:rsidRPr="00D910D8">
        <w:rPr>
          <w:rFonts w:cs="Times New Roman"/>
          <w:szCs w:val="24"/>
        </w:rPr>
        <w:t xml:space="preserve">In my view, Canada’s argument was correctly rejected by the majority of the Court of Appeal.  It is not necessary that Canada </w:t>
      </w:r>
      <w:r w:rsidR="00BD2224" w:rsidRPr="00D910D8">
        <w:rPr>
          <w:rFonts w:cs="Times New Roman"/>
          <w:szCs w:val="24"/>
        </w:rPr>
        <w:t xml:space="preserve">should </w:t>
      </w:r>
      <w:r w:rsidRPr="00D910D8">
        <w:rPr>
          <w:rFonts w:cs="Times New Roman"/>
          <w:szCs w:val="24"/>
        </w:rPr>
        <w:t>have foreseen the precise statutory vehicle that</w:t>
      </w:r>
      <w:r w:rsidR="00BD2224" w:rsidRPr="00D910D8">
        <w:rPr>
          <w:rFonts w:cs="Times New Roman"/>
          <w:szCs w:val="24"/>
        </w:rPr>
        <w:t xml:space="preserve"> would result in the tobacco companies’</w:t>
      </w:r>
      <w:r w:rsidRPr="00D910D8">
        <w:rPr>
          <w:rFonts w:cs="Times New Roman"/>
          <w:szCs w:val="24"/>
        </w:rPr>
        <w:t xml:space="preserve"> liability. All that is required is that it could have foreseen that its negligent misrepresentations would result in a harm of some sort to the tobacco companies: </w:t>
      </w:r>
      <w:r w:rsidRPr="00D910D8">
        <w:rPr>
          <w:rFonts w:cs="Times New Roman"/>
          <w:i/>
          <w:szCs w:val="24"/>
        </w:rPr>
        <w:t>Hercules Management</w:t>
      </w:r>
      <w:r w:rsidR="003001CD" w:rsidRPr="00D910D8">
        <w:rPr>
          <w:rFonts w:cs="Times New Roman"/>
          <w:i/>
          <w:szCs w:val="24"/>
        </w:rPr>
        <w:t>s</w:t>
      </w:r>
      <w:r w:rsidR="00BD2224" w:rsidRPr="00D910D8">
        <w:rPr>
          <w:rFonts w:cs="Times New Roman"/>
          <w:szCs w:val="24"/>
        </w:rPr>
        <w:t>,</w:t>
      </w:r>
      <w:r w:rsidRPr="00D910D8">
        <w:rPr>
          <w:rFonts w:cs="Times New Roman"/>
          <w:i/>
          <w:szCs w:val="24"/>
        </w:rPr>
        <w:t xml:space="preserve"> </w:t>
      </w:r>
      <w:r w:rsidRPr="00D910D8">
        <w:rPr>
          <w:rFonts w:cs="Times New Roman"/>
          <w:szCs w:val="24"/>
        </w:rPr>
        <w:t>at paras. 25-26</w:t>
      </w:r>
      <w:r w:rsidR="003001CD" w:rsidRPr="00D910D8">
        <w:rPr>
          <w:rFonts w:cs="Times New Roman"/>
          <w:szCs w:val="24"/>
        </w:rPr>
        <w:t xml:space="preserve"> and</w:t>
      </w:r>
      <w:r w:rsidRPr="00D910D8">
        <w:rPr>
          <w:rFonts w:cs="Times New Roman"/>
          <w:szCs w:val="24"/>
        </w:rPr>
        <w:t xml:space="preserve"> 42.  On the facts pleaded, it cannot be ruled out that the tobacco companies may succeed in proving that Canada foresaw that the tobacco industry would incur this type of penalty for selling a more hazardous product.  As held by Tysoe J.A., it is not necessary that Canada foresee that the liability would extend to health care costs specifically, or that provinces would create statutory causes of action to recover these costs.  Rather, “[i]t is sufficient that Canada could have reasonably foreseen in a general way that the appellants would suffer harm if the light and mild </w:t>
      </w:r>
      <w:r w:rsidRPr="00D910D8">
        <w:rPr>
          <w:rFonts w:cs="Times New Roman"/>
          <w:szCs w:val="24"/>
        </w:rPr>
        <w:lastRenderedPageBreak/>
        <w:t xml:space="preserve">cigarettes were more hazardous to the health of </w:t>
      </w:r>
      <w:r w:rsidR="003001CD" w:rsidRPr="00D910D8">
        <w:rPr>
          <w:rFonts w:cs="Times New Roman"/>
          <w:szCs w:val="24"/>
        </w:rPr>
        <w:t>smokers than regular cigarettes</w:t>
      </w:r>
      <w:r w:rsidRPr="00D910D8">
        <w:rPr>
          <w:rFonts w:cs="Times New Roman"/>
          <w:szCs w:val="24"/>
        </w:rPr>
        <w:t>” (</w:t>
      </w:r>
      <w:r w:rsidR="008D4C9C" w:rsidRPr="00D910D8">
        <w:rPr>
          <w:rFonts w:cs="Times New Roman"/>
          <w:i/>
          <w:szCs w:val="24"/>
        </w:rPr>
        <w:t xml:space="preserve">Costs Recovery </w:t>
      </w:r>
      <w:r w:rsidR="008D4C9C" w:rsidRPr="00D910D8">
        <w:rPr>
          <w:rFonts w:cs="Times New Roman"/>
          <w:szCs w:val="24"/>
        </w:rPr>
        <w:t xml:space="preserve">case, </w:t>
      </w:r>
      <w:r w:rsidR="003001CD" w:rsidRPr="00D910D8">
        <w:rPr>
          <w:rFonts w:cs="Times New Roman"/>
          <w:szCs w:val="24"/>
        </w:rPr>
        <w:t xml:space="preserve">at </w:t>
      </w:r>
      <w:r w:rsidRPr="00D910D8">
        <w:rPr>
          <w:rFonts w:cs="Times New Roman"/>
          <w:szCs w:val="24"/>
        </w:rPr>
        <w:t>para. 78)</w:t>
      </w:r>
      <w:r w:rsidR="003001CD" w:rsidRPr="00D910D8">
        <w:rPr>
          <w:rFonts w:cs="Times New Roman"/>
          <w:szCs w:val="24"/>
        </w:rPr>
        <w:t>.</w:t>
      </w:r>
    </w:p>
    <w:p w:rsidR="00F31CF0" w:rsidRPr="00D910D8" w:rsidRDefault="00F31CF0" w:rsidP="00A903D5">
      <w:pPr>
        <w:pStyle w:val="ParaNoNdepar-AltN"/>
        <w:rPr>
          <w:rFonts w:cs="Times New Roman"/>
          <w:szCs w:val="24"/>
        </w:rPr>
      </w:pPr>
      <w:r w:rsidRPr="00D910D8">
        <w:rPr>
          <w:rFonts w:cs="Times New Roman"/>
          <w:szCs w:val="24"/>
        </w:rPr>
        <w:t xml:space="preserve">Second, Canada argues that the relationship in this case does not meet the requirement of reasonable reliance because Canada was not acting in a commercial capacity, but rather as a regulator of an industry.  </w:t>
      </w:r>
      <w:r w:rsidR="00167F99" w:rsidRPr="00D910D8">
        <w:rPr>
          <w:rFonts w:cs="Times New Roman"/>
          <w:szCs w:val="24"/>
        </w:rPr>
        <w:t>I</w:t>
      </w:r>
      <w:r w:rsidRPr="00D910D8">
        <w:rPr>
          <w:rFonts w:cs="Times New Roman"/>
          <w:szCs w:val="24"/>
        </w:rPr>
        <w:t xml:space="preserve">t was </w:t>
      </w:r>
      <w:r w:rsidR="00167F99" w:rsidRPr="00D910D8">
        <w:rPr>
          <w:rFonts w:cs="Times New Roman"/>
          <w:szCs w:val="24"/>
        </w:rPr>
        <w:t xml:space="preserve">therefore </w:t>
      </w:r>
      <w:r w:rsidRPr="00D910D8">
        <w:rPr>
          <w:rFonts w:cs="Times New Roman"/>
          <w:szCs w:val="24"/>
        </w:rPr>
        <w:t>not reasonable for the tobacco companies to have relied on Canada as an advisor, it submits.  This view was adopted by Hall J.A. in dissent, holding that “it could never have been the perception of the appellants that Canada was taking responsibility for their interests” (</w:t>
      </w:r>
      <w:r w:rsidR="003001CD" w:rsidRPr="00D910D8">
        <w:rPr>
          <w:rFonts w:cs="Times New Roman"/>
          <w:i/>
          <w:szCs w:val="24"/>
        </w:rPr>
        <w:t>Costs Recover</w:t>
      </w:r>
      <w:r w:rsidR="00883474" w:rsidRPr="00D910D8">
        <w:rPr>
          <w:rFonts w:cs="Times New Roman"/>
          <w:i/>
          <w:szCs w:val="24"/>
        </w:rPr>
        <w:t>y</w:t>
      </w:r>
      <w:r w:rsidR="00BD2224" w:rsidRPr="00D910D8">
        <w:rPr>
          <w:rFonts w:cs="Times New Roman"/>
          <w:i/>
          <w:szCs w:val="24"/>
        </w:rPr>
        <w:t xml:space="preserve"> </w:t>
      </w:r>
      <w:r w:rsidR="00BD2224" w:rsidRPr="00D910D8">
        <w:rPr>
          <w:rFonts w:cs="Times New Roman"/>
          <w:szCs w:val="24"/>
        </w:rPr>
        <w:t>case</w:t>
      </w:r>
      <w:r w:rsidR="003001CD" w:rsidRPr="00D910D8">
        <w:rPr>
          <w:rFonts w:cs="Times New Roman"/>
          <w:szCs w:val="24"/>
        </w:rPr>
        <w:t xml:space="preserve">, at </w:t>
      </w:r>
      <w:r w:rsidR="00581B23" w:rsidRPr="00D910D8">
        <w:rPr>
          <w:rFonts w:cs="Times New Roman"/>
          <w:szCs w:val="24"/>
        </w:rPr>
        <w:t>para. 51).</w:t>
      </w:r>
    </w:p>
    <w:p w:rsidR="00F31CF0" w:rsidRPr="00D910D8" w:rsidRDefault="00F31CF0" w:rsidP="00A903D5">
      <w:pPr>
        <w:pStyle w:val="ParaNoNdepar-AltN"/>
        <w:rPr>
          <w:rFonts w:cs="Times New Roman"/>
          <w:szCs w:val="24"/>
        </w:rPr>
      </w:pPr>
      <w:r w:rsidRPr="00D910D8">
        <w:rPr>
          <w:rFonts w:cs="Times New Roman"/>
          <w:szCs w:val="24"/>
        </w:rPr>
        <w:t xml:space="preserve">In my view, this argument misconceives the reliance necessary for negligent misrepresentation under the test in </w:t>
      </w:r>
      <w:r w:rsidRPr="00D910D8">
        <w:rPr>
          <w:rFonts w:cs="Times New Roman"/>
          <w:i/>
          <w:szCs w:val="24"/>
        </w:rPr>
        <w:t>Hercules Management</w:t>
      </w:r>
      <w:r w:rsidR="003001CD" w:rsidRPr="00D910D8">
        <w:rPr>
          <w:rFonts w:cs="Times New Roman"/>
          <w:i/>
          <w:szCs w:val="24"/>
        </w:rPr>
        <w:t>s</w:t>
      </w:r>
      <w:r w:rsidRPr="00D910D8">
        <w:rPr>
          <w:rFonts w:cs="Times New Roman"/>
          <w:i/>
          <w:szCs w:val="24"/>
        </w:rPr>
        <w:t>.</w:t>
      </w:r>
      <w:r w:rsidRPr="00D910D8">
        <w:rPr>
          <w:rFonts w:cs="Times New Roman"/>
          <w:szCs w:val="24"/>
        </w:rPr>
        <w:t xml:space="preserve">  When the jurisprudence refers to “reasonable reliance” in the context of negligent misrepresentation, it asks whether it was reasonable for the listener to rely on the speak</w:t>
      </w:r>
      <w:r w:rsidR="00167F99" w:rsidRPr="00D910D8">
        <w:rPr>
          <w:rFonts w:cs="Times New Roman"/>
          <w:szCs w:val="24"/>
        </w:rPr>
        <w:t xml:space="preserve">er’s statement as accurate, </w:t>
      </w:r>
      <w:r w:rsidRPr="00D910D8">
        <w:rPr>
          <w:rFonts w:cs="Times New Roman"/>
          <w:szCs w:val="24"/>
        </w:rPr>
        <w:t xml:space="preserve">not whether it was reasonable to believe that the </w:t>
      </w:r>
      <w:r w:rsidR="0003190D" w:rsidRPr="00D910D8">
        <w:rPr>
          <w:rFonts w:cs="Times New Roman"/>
          <w:szCs w:val="24"/>
        </w:rPr>
        <w:t xml:space="preserve">speaker </w:t>
      </w:r>
      <w:r w:rsidRPr="00D910D8">
        <w:rPr>
          <w:rFonts w:cs="Times New Roman"/>
          <w:szCs w:val="24"/>
        </w:rPr>
        <w:t xml:space="preserve">is guaranteeing the accuracy of its statement.  It is not plain and obvious that it was unreasonable for the tobacco companies to rely on Canada’s statements about the advantages of light or mild cigarettes.  In my view, Canada’s argument that it was acting as a regulator does not relate to reasonable reliance, </w:t>
      </w:r>
      <w:r w:rsidR="00167F99" w:rsidRPr="00D910D8">
        <w:rPr>
          <w:rFonts w:cs="Times New Roman"/>
          <w:szCs w:val="24"/>
        </w:rPr>
        <w:t>although it</w:t>
      </w:r>
      <w:r w:rsidRPr="00D910D8">
        <w:rPr>
          <w:rFonts w:cs="Times New Roman"/>
          <w:szCs w:val="24"/>
        </w:rPr>
        <w:t xml:space="preserve"> exposes policy concern</w:t>
      </w:r>
      <w:r w:rsidR="003001CD" w:rsidRPr="00D910D8">
        <w:rPr>
          <w:rFonts w:cs="Times New Roman"/>
          <w:szCs w:val="24"/>
        </w:rPr>
        <w:t>s that should be considered</w:t>
      </w:r>
      <w:r w:rsidR="002453A0" w:rsidRPr="00D910D8">
        <w:rPr>
          <w:rFonts w:cs="Times New Roman"/>
          <w:szCs w:val="24"/>
        </w:rPr>
        <w:t xml:space="preserve"> at stage </w:t>
      </w:r>
      <w:r w:rsidR="003001CD" w:rsidRPr="00D910D8">
        <w:rPr>
          <w:rFonts w:cs="Times New Roman"/>
          <w:szCs w:val="24"/>
        </w:rPr>
        <w:t>t</w:t>
      </w:r>
      <w:r w:rsidRPr="00D910D8">
        <w:rPr>
          <w:rFonts w:cs="Times New Roman"/>
          <w:szCs w:val="24"/>
        </w:rPr>
        <w:t xml:space="preserve">wo of the </w:t>
      </w:r>
      <w:r w:rsidRPr="00D910D8">
        <w:rPr>
          <w:rFonts w:cs="Times New Roman"/>
          <w:i/>
          <w:szCs w:val="24"/>
        </w:rPr>
        <w:t xml:space="preserve">Anns/Cooper </w:t>
      </w:r>
      <w:r w:rsidRPr="00D910D8">
        <w:rPr>
          <w:rFonts w:cs="Times New Roman"/>
          <w:szCs w:val="24"/>
        </w:rPr>
        <w:t xml:space="preserve">test: </w:t>
      </w:r>
      <w:r w:rsidRPr="00D910D8">
        <w:rPr>
          <w:rFonts w:cs="Times New Roman"/>
          <w:i/>
          <w:szCs w:val="24"/>
        </w:rPr>
        <w:t>Hercules Management</w:t>
      </w:r>
      <w:r w:rsidR="003001CD" w:rsidRPr="00D910D8">
        <w:rPr>
          <w:rFonts w:cs="Times New Roman"/>
          <w:i/>
          <w:szCs w:val="24"/>
        </w:rPr>
        <w:t>s</w:t>
      </w:r>
      <w:r w:rsidRPr="00D910D8">
        <w:rPr>
          <w:rFonts w:cs="Times New Roman"/>
          <w:szCs w:val="24"/>
        </w:rPr>
        <w:t>, at para. 41.</w:t>
      </w:r>
    </w:p>
    <w:p w:rsidR="003D7A2F" w:rsidRPr="00D910D8" w:rsidRDefault="00BD2224" w:rsidP="00A903D5">
      <w:pPr>
        <w:pStyle w:val="ParaNoNdepar-AltN"/>
        <w:rPr>
          <w:rFonts w:cs="Times New Roman"/>
          <w:szCs w:val="24"/>
        </w:rPr>
      </w:pPr>
      <w:r w:rsidRPr="00D910D8">
        <w:rPr>
          <w:rFonts w:cs="Times New Roman"/>
          <w:szCs w:val="24"/>
        </w:rPr>
        <w:lastRenderedPageBreak/>
        <w:t xml:space="preserve">In sum, </w:t>
      </w:r>
      <w:r w:rsidR="002606F8" w:rsidRPr="00D910D8">
        <w:rPr>
          <w:rFonts w:cs="Times New Roman"/>
          <w:szCs w:val="24"/>
        </w:rPr>
        <w:t>I conclude that the claims between the tobacco companies and Canada should not be struck out at the first stage of the</w:t>
      </w:r>
      <w:r w:rsidR="00F31CF0" w:rsidRPr="00D910D8">
        <w:rPr>
          <w:rFonts w:cs="Times New Roman"/>
          <w:szCs w:val="24"/>
        </w:rPr>
        <w:t xml:space="preserve"> analysis</w:t>
      </w:r>
      <w:r w:rsidR="002606F8" w:rsidRPr="00D910D8">
        <w:rPr>
          <w:rFonts w:cs="Times New Roman"/>
          <w:szCs w:val="24"/>
        </w:rPr>
        <w:t xml:space="preserve">.  The pleadings, assuming them to be true, disclose a </w:t>
      </w:r>
      <w:r w:rsidR="002606F8" w:rsidRPr="00D910D8">
        <w:rPr>
          <w:rFonts w:cs="Times New Roman"/>
          <w:i/>
          <w:szCs w:val="24"/>
        </w:rPr>
        <w:t>prima facie</w:t>
      </w:r>
      <w:r w:rsidR="002606F8" w:rsidRPr="00D910D8">
        <w:rPr>
          <w:rFonts w:cs="Times New Roman"/>
          <w:szCs w:val="24"/>
        </w:rPr>
        <w:t xml:space="preserve"> duty of care in negligent misrepresentation.</w:t>
      </w:r>
      <w:r w:rsidRPr="00D910D8">
        <w:rPr>
          <w:rFonts w:cs="Times New Roman"/>
          <w:szCs w:val="24"/>
        </w:rPr>
        <w:t xml:space="preserve">  </w:t>
      </w:r>
      <w:r w:rsidR="006B7C92" w:rsidRPr="00D910D8">
        <w:rPr>
          <w:rFonts w:cs="Times New Roman"/>
          <w:szCs w:val="24"/>
        </w:rPr>
        <w:t xml:space="preserve">However, the facts as pleaded in the </w:t>
      </w:r>
      <w:r w:rsidR="006B7C92" w:rsidRPr="00D910D8">
        <w:rPr>
          <w:rFonts w:cs="Times New Roman"/>
          <w:i/>
          <w:szCs w:val="24"/>
        </w:rPr>
        <w:t>Knight</w:t>
      </w:r>
      <w:r w:rsidR="006B7C92" w:rsidRPr="00D910D8">
        <w:rPr>
          <w:rFonts w:cs="Times New Roman"/>
          <w:szCs w:val="24"/>
        </w:rPr>
        <w:t xml:space="preserve"> case do not show a relationship between Canada and consumers that would give rise to a duty of care.  That claim should accordingly be struck at this stage of the analysis.</w:t>
      </w:r>
    </w:p>
    <w:p w:rsidR="00972241" w:rsidRPr="00D910D8" w:rsidRDefault="003001CD" w:rsidP="00581B23">
      <w:pPr>
        <w:pStyle w:val="TitleTitre-AltT"/>
        <w:tabs>
          <w:tab w:val="clear" w:pos="360"/>
          <w:tab w:val="left" w:pos="1170"/>
        </w:tabs>
        <w:spacing w:after="720"/>
        <w:ind w:left="1800" w:hanging="1800"/>
        <w:rPr>
          <w:rFonts w:cs="Times New Roman"/>
          <w:szCs w:val="24"/>
          <w:u w:val="single"/>
        </w:rPr>
      </w:pPr>
      <w:r w:rsidRPr="00D910D8">
        <w:rPr>
          <w:rFonts w:cs="Times New Roman"/>
          <w:szCs w:val="24"/>
        </w:rPr>
        <w:tab/>
      </w:r>
      <w:bookmarkStart w:id="14" w:name="_Toc314733745"/>
      <w:r w:rsidRPr="00D910D8">
        <w:rPr>
          <w:rFonts w:cs="Times New Roman"/>
          <w:szCs w:val="24"/>
        </w:rPr>
        <w:t>(2</w:t>
      </w:r>
      <w:r w:rsidR="00A903D5" w:rsidRPr="00D910D8">
        <w:rPr>
          <w:rFonts w:cs="Times New Roman"/>
          <w:szCs w:val="24"/>
        </w:rPr>
        <w:t>)</w:t>
      </w:r>
      <w:r w:rsidR="00A903D5" w:rsidRPr="00D910D8">
        <w:rPr>
          <w:rFonts w:cs="Times New Roman"/>
          <w:szCs w:val="24"/>
        </w:rPr>
        <w:tab/>
      </w:r>
      <w:r w:rsidR="002606F8" w:rsidRPr="00D910D8">
        <w:rPr>
          <w:rFonts w:cs="Times New Roman"/>
          <w:szCs w:val="24"/>
          <w:u w:val="single"/>
        </w:rPr>
        <w:t>Stage Two:  Conflicting Policy Considerations</w:t>
      </w:r>
      <w:bookmarkEnd w:id="14"/>
    </w:p>
    <w:p w:rsidR="00972241" w:rsidRPr="00D910D8" w:rsidRDefault="002606F8" w:rsidP="00A903D5">
      <w:pPr>
        <w:pStyle w:val="ParaNoNdepar-AltN"/>
        <w:rPr>
          <w:rFonts w:cs="Times New Roman"/>
          <w:szCs w:val="24"/>
        </w:rPr>
      </w:pPr>
      <w:r w:rsidRPr="00D910D8">
        <w:rPr>
          <w:rFonts w:cs="Times New Roman"/>
          <w:szCs w:val="24"/>
        </w:rPr>
        <w:t xml:space="preserve">Canada submits that there can be no duty of care </w:t>
      </w:r>
      <w:r w:rsidR="003001CD" w:rsidRPr="00D910D8">
        <w:rPr>
          <w:rFonts w:cs="Times New Roman"/>
          <w:szCs w:val="24"/>
        </w:rPr>
        <w:t xml:space="preserve">in the cases at bar because of </w:t>
      </w:r>
      <w:r w:rsidR="00AE1911" w:rsidRPr="00D910D8">
        <w:rPr>
          <w:rFonts w:cs="Times New Roman"/>
          <w:szCs w:val="24"/>
        </w:rPr>
        <w:t>s</w:t>
      </w:r>
      <w:r w:rsidRPr="00D910D8">
        <w:rPr>
          <w:rFonts w:cs="Times New Roman"/>
          <w:szCs w:val="24"/>
        </w:rPr>
        <w:t>tage</w:t>
      </w:r>
      <w:r w:rsidR="003001CD" w:rsidRPr="00D910D8">
        <w:rPr>
          <w:rFonts w:cs="Times New Roman"/>
          <w:szCs w:val="24"/>
        </w:rPr>
        <w:t>-t</w:t>
      </w:r>
      <w:r w:rsidRPr="00D910D8">
        <w:rPr>
          <w:rFonts w:cs="Times New Roman"/>
          <w:szCs w:val="24"/>
        </w:rPr>
        <w:t>wo policy considerations.  It relies on four policy concerns:  (1) that the alleged misrepresentations were policy decisions of the government; (2) that recognizing a duty of care would give rise to indeterminate liability to an indeterminate class; (3) that recognizing a duty of care would create an unintended insurance scheme; and (4) that allowing Imperial’s claim would transfer responsibility for tobacco products to the government from the manufacturer, and the manufacturer “is best positioned to address liability for economic loss</w:t>
      </w:r>
      <w:r w:rsidR="009021B8" w:rsidRPr="00D910D8">
        <w:rPr>
          <w:rFonts w:cs="Times New Roman"/>
          <w:szCs w:val="24"/>
        </w:rPr>
        <w:t>”</w:t>
      </w:r>
      <w:r w:rsidR="00AE1911" w:rsidRPr="00D910D8">
        <w:rPr>
          <w:rFonts w:cs="Times New Roman"/>
          <w:szCs w:val="24"/>
        </w:rPr>
        <w:t xml:space="preserve"> (A.F., at para. 72)</w:t>
      </w:r>
      <w:r w:rsidR="009021B8" w:rsidRPr="00D910D8">
        <w:rPr>
          <w:rFonts w:cs="Times New Roman"/>
          <w:szCs w:val="24"/>
        </w:rPr>
        <w:t>.</w:t>
      </w:r>
    </w:p>
    <w:p w:rsidR="00972241" w:rsidRPr="00D910D8" w:rsidRDefault="002606F8" w:rsidP="00A903D5">
      <w:pPr>
        <w:pStyle w:val="ParaNoNdepar-AltN"/>
        <w:rPr>
          <w:rFonts w:cs="Times New Roman"/>
          <w:szCs w:val="24"/>
        </w:rPr>
      </w:pPr>
      <w:r w:rsidRPr="00D910D8">
        <w:rPr>
          <w:rFonts w:cs="Times New Roman"/>
          <w:szCs w:val="24"/>
        </w:rPr>
        <w:t xml:space="preserve">For the reasons that follow, I accept Canada’s submission that its alleged negligent misrepresentations to the tobacco industry in both cases should </w:t>
      </w:r>
      <w:r w:rsidR="00E971B3" w:rsidRPr="00D910D8">
        <w:rPr>
          <w:rFonts w:cs="Times New Roman"/>
          <w:szCs w:val="24"/>
        </w:rPr>
        <w:t>not give rise to</w:t>
      </w:r>
      <w:r w:rsidRPr="00D910D8">
        <w:rPr>
          <w:rFonts w:cs="Times New Roman"/>
          <w:szCs w:val="24"/>
        </w:rPr>
        <w:t xml:space="preserve"> tort liability because of </w:t>
      </w:r>
      <w:r w:rsidR="00AE1911" w:rsidRPr="00D910D8">
        <w:rPr>
          <w:rFonts w:cs="Times New Roman"/>
          <w:szCs w:val="24"/>
        </w:rPr>
        <w:t>s</w:t>
      </w:r>
      <w:r w:rsidRPr="00D910D8">
        <w:rPr>
          <w:rFonts w:cs="Times New Roman"/>
          <w:szCs w:val="24"/>
        </w:rPr>
        <w:t>tage</w:t>
      </w:r>
      <w:r w:rsidR="00AE1911" w:rsidRPr="00D910D8">
        <w:rPr>
          <w:rFonts w:cs="Times New Roman"/>
          <w:szCs w:val="24"/>
        </w:rPr>
        <w:t>-t</w:t>
      </w:r>
      <w:r w:rsidRPr="00D910D8">
        <w:rPr>
          <w:rFonts w:cs="Times New Roman"/>
          <w:szCs w:val="24"/>
        </w:rPr>
        <w:t xml:space="preserve">wo policy considerations.  First, the alleged </w:t>
      </w:r>
      <w:r w:rsidR="00E971B3" w:rsidRPr="00D910D8">
        <w:rPr>
          <w:rFonts w:cs="Times New Roman"/>
          <w:szCs w:val="24"/>
        </w:rPr>
        <w:lastRenderedPageBreak/>
        <w:t xml:space="preserve">statements </w:t>
      </w:r>
      <w:r w:rsidRPr="00D910D8">
        <w:rPr>
          <w:rFonts w:cs="Times New Roman"/>
          <w:szCs w:val="24"/>
        </w:rPr>
        <w:t>are protected expressions of government policy.  Second, recognizing a duty of care would expose Canada to indeterminate liability</w:t>
      </w:r>
      <w:r w:rsidR="00CF59ED" w:rsidRPr="00D910D8">
        <w:rPr>
          <w:rFonts w:cs="Times New Roman"/>
          <w:szCs w:val="24"/>
        </w:rPr>
        <w:t>.</w:t>
      </w:r>
      <w:r w:rsidRPr="00D910D8">
        <w:rPr>
          <w:rFonts w:cs="Times New Roman"/>
          <w:szCs w:val="24"/>
        </w:rPr>
        <w:t xml:space="preserve"> </w:t>
      </w:r>
    </w:p>
    <w:p w:rsidR="00972241" w:rsidRPr="00D910D8" w:rsidRDefault="00A903D5" w:rsidP="00581B23">
      <w:pPr>
        <w:pStyle w:val="TitleTitre-AltT"/>
        <w:tabs>
          <w:tab w:val="clear" w:pos="360"/>
          <w:tab w:val="left" w:pos="1170"/>
        </w:tabs>
        <w:spacing w:after="720"/>
        <w:ind w:left="1800" w:hanging="1800"/>
        <w:rPr>
          <w:rFonts w:cs="Times New Roman"/>
          <w:i/>
          <w:szCs w:val="24"/>
        </w:rPr>
      </w:pPr>
      <w:r w:rsidRPr="00D910D8">
        <w:rPr>
          <w:rFonts w:cs="Times New Roman"/>
          <w:i/>
          <w:szCs w:val="24"/>
        </w:rPr>
        <w:tab/>
      </w:r>
      <w:bookmarkStart w:id="15" w:name="_Toc314733746"/>
      <w:r w:rsidR="001D7441" w:rsidRPr="00D910D8">
        <w:rPr>
          <w:rFonts w:cs="Times New Roman"/>
          <w:szCs w:val="24"/>
        </w:rPr>
        <w:t>(</w:t>
      </w:r>
      <w:r w:rsidR="00AE1911" w:rsidRPr="00D910D8">
        <w:rPr>
          <w:rFonts w:cs="Times New Roman"/>
          <w:szCs w:val="24"/>
        </w:rPr>
        <w:t>a)</w:t>
      </w:r>
      <w:r w:rsidR="00B9509B" w:rsidRPr="00D910D8">
        <w:rPr>
          <w:rFonts w:cs="Times New Roman"/>
          <w:szCs w:val="24"/>
        </w:rPr>
        <w:tab/>
      </w:r>
      <w:r w:rsidR="0035525A" w:rsidRPr="00D910D8">
        <w:rPr>
          <w:rFonts w:cs="Times New Roman"/>
          <w:i/>
          <w:szCs w:val="24"/>
        </w:rPr>
        <w:t>Government Policy Decisions</w:t>
      </w:r>
      <w:bookmarkEnd w:id="15"/>
    </w:p>
    <w:p w:rsidR="00972241" w:rsidRPr="00D910D8" w:rsidRDefault="00327B0D" w:rsidP="00E6418E">
      <w:pPr>
        <w:pStyle w:val="ParaNoNdepar-AltN"/>
        <w:rPr>
          <w:rFonts w:cs="Times New Roman"/>
          <w:szCs w:val="24"/>
        </w:rPr>
      </w:pPr>
      <w:r w:rsidRPr="00D910D8">
        <w:rPr>
          <w:rFonts w:cs="Times New Roman"/>
          <w:szCs w:val="24"/>
        </w:rPr>
        <w:t xml:space="preserve">Canada contends that it had a policy of encouraging </w:t>
      </w:r>
      <w:r w:rsidR="00E971B3" w:rsidRPr="00D910D8">
        <w:rPr>
          <w:rFonts w:cs="Times New Roman"/>
          <w:szCs w:val="24"/>
        </w:rPr>
        <w:t xml:space="preserve">smokers to consume </w:t>
      </w:r>
      <w:r w:rsidRPr="00D910D8">
        <w:rPr>
          <w:rFonts w:cs="Times New Roman"/>
          <w:szCs w:val="24"/>
        </w:rPr>
        <w:t xml:space="preserve">low-tar cigarettes, and pursuant to this policy, promoted this variety of cigarette and developed strains of </w:t>
      </w:r>
      <w:r w:rsidR="006B7C92" w:rsidRPr="00D910D8">
        <w:rPr>
          <w:rFonts w:cs="Times New Roman"/>
          <w:szCs w:val="24"/>
        </w:rPr>
        <w:t xml:space="preserve">low-tar </w:t>
      </w:r>
      <w:r w:rsidRPr="00D910D8">
        <w:rPr>
          <w:rFonts w:cs="Times New Roman"/>
          <w:szCs w:val="24"/>
        </w:rPr>
        <w:t xml:space="preserve">tobacco.  Canada argues that statements made pursuant to this policy cannot ground tort liability.  It relies on the statement of Cory J. in </w:t>
      </w:r>
      <w:r w:rsidRPr="00D910D8">
        <w:rPr>
          <w:rFonts w:cs="Times New Roman"/>
          <w:i/>
          <w:iCs/>
          <w:szCs w:val="24"/>
        </w:rPr>
        <w:t>Just v. British Columbia</w:t>
      </w:r>
      <w:r w:rsidRPr="00D910D8">
        <w:rPr>
          <w:rFonts w:cs="Times New Roman"/>
          <w:szCs w:val="24"/>
        </w:rPr>
        <w:t>, [1989] 2 S.C.R. 1228, that</w:t>
      </w:r>
      <w:r w:rsidR="00CD02AE" w:rsidRPr="00D910D8">
        <w:rPr>
          <w:rFonts w:cs="Times New Roman"/>
          <w:i/>
          <w:szCs w:val="24"/>
        </w:rPr>
        <w:t xml:space="preserve"> </w:t>
      </w:r>
      <w:r w:rsidR="00BE704A" w:rsidRPr="00D910D8">
        <w:rPr>
          <w:rFonts w:cs="Times New Roman"/>
          <w:szCs w:val="24"/>
        </w:rPr>
        <w:t>“[t]rue policy decisions sh</w:t>
      </w:r>
      <w:r w:rsidR="002606F8" w:rsidRPr="00D910D8">
        <w:rPr>
          <w:rFonts w:cs="Times New Roman"/>
          <w:szCs w:val="24"/>
        </w:rPr>
        <w:t>ould be exempt from tortious claims so that governments are not restricted in making decisions based upon social, political o</w:t>
      </w:r>
      <w:r w:rsidR="00AE1911" w:rsidRPr="00D910D8">
        <w:rPr>
          <w:rFonts w:cs="Times New Roman"/>
          <w:szCs w:val="24"/>
        </w:rPr>
        <w:t>r economic factors” (</w:t>
      </w:r>
      <w:r w:rsidR="00B97AA3" w:rsidRPr="00D910D8">
        <w:rPr>
          <w:rFonts w:cs="Times New Roman"/>
          <w:szCs w:val="24"/>
        </w:rPr>
        <w:t>p. 1240).</w:t>
      </w:r>
    </w:p>
    <w:p w:rsidR="00972241" w:rsidRPr="00D910D8" w:rsidRDefault="002606F8" w:rsidP="00E6418E">
      <w:pPr>
        <w:pStyle w:val="ParaNoNdepar-AltN"/>
        <w:rPr>
          <w:rFonts w:cs="Times New Roman"/>
          <w:szCs w:val="24"/>
        </w:rPr>
      </w:pPr>
      <w:r w:rsidRPr="00D910D8">
        <w:rPr>
          <w:rFonts w:cs="Times New Roman"/>
          <w:szCs w:val="24"/>
        </w:rPr>
        <w:t xml:space="preserve">The tobacco companies, for their part, contend that Canada’s actions were not matters of policy, but operational acts implementing policy, and therefore, are subject to tort liability.  They submit that Canada’s argument fails to account for the </w:t>
      </w:r>
      <w:r w:rsidR="00AE1911" w:rsidRPr="00D910D8">
        <w:rPr>
          <w:rFonts w:cs="Times New Roman"/>
          <w:szCs w:val="24"/>
        </w:rPr>
        <w:t>“facts” as pleaded in the third-</w:t>
      </w:r>
      <w:r w:rsidRPr="00D910D8">
        <w:rPr>
          <w:rFonts w:cs="Times New Roman"/>
          <w:szCs w:val="24"/>
        </w:rPr>
        <w:t>party notices, namely that Canada was acting in an operational capacity, and as a participant in the tobacco industry.  The tobacco companies also argue that more evidence is required to determine if the government’s actions were operational or pursuant to policy, and that the matter should therefore be permitted to go to trial.</w:t>
      </w:r>
    </w:p>
    <w:p w:rsidR="00E162E0" w:rsidRPr="00D910D8" w:rsidRDefault="002606F8" w:rsidP="00E6418E">
      <w:pPr>
        <w:pStyle w:val="ParaNoNdepar-AltN"/>
        <w:rPr>
          <w:rFonts w:cs="Times New Roman"/>
          <w:szCs w:val="24"/>
        </w:rPr>
      </w:pPr>
      <w:r w:rsidRPr="00D910D8">
        <w:rPr>
          <w:rFonts w:cs="Times New Roman"/>
          <w:szCs w:val="24"/>
        </w:rPr>
        <w:lastRenderedPageBreak/>
        <w:t xml:space="preserve">In the </w:t>
      </w:r>
      <w:r w:rsidRPr="00D910D8">
        <w:rPr>
          <w:rFonts w:cs="Times New Roman"/>
          <w:i/>
          <w:szCs w:val="24"/>
        </w:rPr>
        <w:t xml:space="preserve">Knight </w:t>
      </w:r>
      <w:r w:rsidRPr="00D910D8">
        <w:rPr>
          <w:rFonts w:cs="Times New Roman"/>
          <w:szCs w:val="24"/>
        </w:rPr>
        <w:t xml:space="preserve">case, the majority in the Court of Appeal, </w:t>
      </w:r>
      <w:r w:rsidRPr="00D910D8">
        <w:rPr>
          <w:rFonts w:cs="Times New Roman"/>
          <w:i/>
          <w:szCs w:val="24"/>
        </w:rPr>
        <w:t>per</w:t>
      </w:r>
      <w:r w:rsidRPr="00D910D8">
        <w:rPr>
          <w:rFonts w:cs="Times New Roman"/>
          <w:szCs w:val="24"/>
        </w:rPr>
        <w:t xml:space="preserve"> Tysoe J.A., agreed with Imperial’s submissions, holding that “evidence is required to determine which of the actions and statements of Canada in this case were policy decisions and which were operational decisions” (para. 52).  Hall J.A. dissented; in his view</w:t>
      </w:r>
      <w:r w:rsidR="00883474" w:rsidRPr="00D910D8">
        <w:rPr>
          <w:rFonts w:cs="Times New Roman"/>
          <w:szCs w:val="24"/>
        </w:rPr>
        <w:t>,</w:t>
      </w:r>
      <w:r w:rsidRPr="00D910D8">
        <w:rPr>
          <w:rFonts w:cs="Times New Roman"/>
          <w:szCs w:val="24"/>
        </w:rPr>
        <w:t xml:space="preserve"> it was clear that all of Canada’s initiatives were matters of government policy: </w:t>
      </w:r>
    </w:p>
    <w:p w:rsidR="00E162E0" w:rsidRPr="00D910D8" w:rsidRDefault="002606F8" w:rsidP="00E6418E">
      <w:pPr>
        <w:pStyle w:val="Citation-AltC"/>
        <w:rPr>
          <w:szCs w:val="24"/>
        </w:rPr>
      </w:pPr>
      <w:r w:rsidRPr="00D910D8">
        <w:rPr>
          <w:szCs w:val="24"/>
        </w:rPr>
        <w:t>[Canada] had a responsibility, as pleaded in the Third Party Notice, to protect the health of the Canadian public including smokers.  Any initiatives it took to develop less hazardous strains of tobacco, or to publish the tar and nicotine yields of different cigarette brands were directed to this end.  While the development of new strains of tobacco involved Agriculture Canada, in my view the government engaged in such activities as a regulator of the tobacco industry seeking to protect the health interests of the Canadian public.  Policy considerations underlaid all of these various activities undertaken by departme</w:t>
      </w:r>
      <w:r w:rsidR="00AE1911" w:rsidRPr="00D910D8">
        <w:rPr>
          <w:szCs w:val="24"/>
        </w:rPr>
        <w:t>nts of the federal government. [</w:t>
      </w:r>
      <w:r w:rsidRPr="00D910D8">
        <w:rPr>
          <w:szCs w:val="24"/>
        </w:rPr>
        <w:t>para. 100</w:t>
      </w:r>
      <w:r w:rsidR="00AE1911" w:rsidRPr="00D910D8">
        <w:rPr>
          <w:szCs w:val="24"/>
        </w:rPr>
        <w:t>]</w:t>
      </w:r>
    </w:p>
    <w:p w:rsidR="00972241" w:rsidRPr="00D910D8" w:rsidRDefault="002606F8" w:rsidP="00E6418E">
      <w:pPr>
        <w:pStyle w:val="ParaNoNdepar-AltN"/>
        <w:rPr>
          <w:rFonts w:cs="Times New Roman"/>
          <w:szCs w:val="24"/>
        </w:rPr>
      </w:pPr>
      <w:r w:rsidRPr="00D910D8">
        <w:rPr>
          <w:rFonts w:cs="Times New Roman"/>
          <w:szCs w:val="24"/>
        </w:rPr>
        <w:t xml:space="preserve">In order to resolve the issue of whether the alleged “policy” nature of Canada’s conduct negates the </w:t>
      </w:r>
      <w:r w:rsidRPr="00D910D8">
        <w:rPr>
          <w:rFonts w:cs="Times New Roman"/>
          <w:i/>
          <w:szCs w:val="24"/>
        </w:rPr>
        <w:t xml:space="preserve">prima facie </w:t>
      </w:r>
      <w:r w:rsidRPr="00D910D8">
        <w:rPr>
          <w:rFonts w:cs="Times New Roman"/>
          <w:szCs w:val="24"/>
        </w:rPr>
        <w:t xml:space="preserve">duty of care for negligent misrepresentation established at </w:t>
      </w:r>
      <w:r w:rsidR="00AE1911" w:rsidRPr="00D910D8">
        <w:rPr>
          <w:rFonts w:cs="Times New Roman"/>
          <w:szCs w:val="24"/>
        </w:rPr>
        <w:t>s</w:t>
      </w:r>
      <w:r w:rsidRPr="00D910D8">
        <w:rPr>
          <w:rFonts w:cs="Times New Roman"/>
          <w:szCs w:val="24"/>
        </w:rPr>
        <w:t xml:space="preserve">tage </w:t>
      </w:r>
      <w:r w:rsidR="00AE1911" w:rsidRPr="00D910D8">
        <w:rPr>
          <w:rFonts w:cs="Times New Roman"/>
          <w:szCs w:val="24"/>
        </w:rPr>
        <w:t>o</w:t>
      </w:r>
      <w:r w:rsidRPr="00D910D8">
        <w:rPr>
          <w:rFonts w:cs="Times New Roman"/>
          <w:szCs w:val="24"/>
        </w:rPr>
        <w:t>ne of the analysis, it is necessary to first consider several preliminary matters.</w:t>
      </w:r>
    </w:p>
    <w:p w:rsidR="00972241" w:rsidRPr="00D910D8" w:rsidRDefault="00E6418E" w:rsidP="00581B23">
      <w:pPr>
        <w:pStyle w:val="TitleTitre-AltT"/>
        <w:tabs>
          <w:tab w:val="clear" w:pos="360"/>
          <w:tab w:val="left" w:pos="1170"/>
        </w:tabs>
        <w:spacing w:after="720"/>
        <w:ind w:left="1800" w:hanging="1800"/>
        <w:rPr>
          <w:rFonts w:cs="Times New Roman"/>
          <w:szCs w:val="24"/>
        </w:rPr>
      </w:pPr>
      <w:r w:rsidRPr="00D910D8">
        <w:rPr>
          <w:rFonts w:cs="Times New Roman"/>
          <w:szCs w:val="24"/>
        </w:rPr>
        <w:tab/>
      </w:r>
      <w:bookmarkStart w:id="16" w:name="_Toc314733747"/>
      <w:r w:rsidR="00F04CE6" w:rsidRPr="00D910D8">
        <w:rPr>
          <w:rFonts w:cs="Times New Roman"/>
          <w:szCs w:val="24"/>
        </w:rPr>
        <w:t>(i</w:t>
      </w:r>
      <w:r w:rsidR="002606F8" w:rsidRPr="00D910D8">
        <w:rPr>
          <w:rFonts w:cs="Times New Roman"/>
          <w:szCs w:val="24"/>
        </w:rPr>
        <w:t>)</w:t>
      </w:r>
      <w:r w:rsidR="002606F8" w:rsidRPr="00D910D8">
        <w:rPr>
          <w:rFonts w:cs="Times New Roman"/>
          <w:szCs w:val="24"/>
        </w:rPr>
        <w:tab/>
      </w:r>
      <w:r w:rsidR="002606F8" w:rsidRPr="00D910D8">
        <w:rPr>
          <w:rFonts w:cs="Times New Roman"/>
          <w:szCs w:val="24"/>
          <w:u w:val="single"/>
        </w:rPr>
        <w:t>Conduct at Issue</w:t>
      </w:r>
      <w:bookmarkEnd w:id="16"/>
    </w:p>
    <w:p w:rsidR="00972241" w:rsidRPr="00D910D8" w:rsidRDefault="002606F8" w:rsidP="00E6418E">
      <w:pPr>
        <w:pStyle w:val="ParaNoNdepar-AltN"/>
        <w:rPr>
          <w:rFonts w:cs="Times New Roman"/>
          <w:szCs w:val="24"/>
        </w:rPr>
      </w:pPr>
      <w:r w:rsidRPr="00D910D8">
        <w:rPr>
          <w:rFonts w:cs="Times New Roman"/>
          <w:szCs w:val="24"/>
        </w:rPr>
        <w:t>The first preliminary matter is the conduct at issue for purposes of this discussion.  The third</w:t>
      </w:r>
      <w:r w:rsidR="00F04CE6" w:rsidRPr="00D910D8">
        <w:rPr>
          <w:rFonts w:cs="Times New Roman"/>
          <w:szCs w:val="24"/>
        </w:rPr>
        <w:t>-</w:t>
      </w:r>
      <w:r w:rsidRPr="00D910D8">
        <w:rPr>
          <w:rFonts w:cs="Times New Roman"/>
          <w:szCs w:val="24"/>
        </w:rPr>
        <w:t xml:space="preserve">party notices describe two distinct types of conduct </w:t>
      </w:r>
      <w:r w:rsidR="00F04CE6" w:rsidRPr="00D910D8">
        <w:rPr>
          <w:rFonts w:cs="Times New Roman"/>
          <w:szCs w:val="24"/>
        </w:rPr>
        <w:t>—</w:t>
      </w:r>
      <w:r w:rsidRPr="00D910D8">
        <w:rPr>
          <w:rFonts w:cs="Times New Roman"/>
          <w:szCs w:val="24"/>
        </w:rPr>
        <w:t xml:space="preserve"> one that </w:t>
      </w:r>
      <w:r w:rsidRPr="00D910D8">
        <w:rPr>
          <w:rFonts w:cs="Times New Roman"/>
          <w:szCs w:val="24"/>
        </w:rPr>
        <w:lastRenderedPageBreak/>
        <w:t xml:space="preserve">is related to the allegation of negligent misrepresentation and one that is not.  The first type of conduct relates to representations by Canada that low-tar and light cigarettes were less harmful to health than other cigarettes.  The second type of conduct relates to Agriculture Canada’s role in developing and growing a strain of low-tar </w:t>
      </w:r>
      <w:r w:rsidR="006B7C92" w:rsidRPr="00D910D8">
        <w:rPr>
          <w:rFonts w:cs="Times New Roman"/>
          <w:szCs w:val="24"/>
        </w:rPr>
        <w:t>tobacco</w:t>
      </w:r>
      <w:r w:rsidRPr="00D910D8">
        <w:rPr>
          <w:rFonts w:cs="Times New Roman"/>
          <w:szCs w:val="24"/>
        </w:rPr>
        <w:t xml:space="preserve"> and collecting royalties on the product.  In argument, the tobacco companies merged the two types of conduct, emphasizing aspects that cast Canada in the role of a business operator in the tobacco industry.  However, in considering negligent misrepresentation, only the first type of conduct — conduct relevant to statements and representations</w:t>
      </w:r>
      <w:r w:rsidR="00581B23" w:rsidRPr="00D910D8">
        <w:rPr>
          <w:rFonts w:cs="Times New Roman"/>
          <w:szCs w:val="24"/>
        </w:rPr>
        <w:t xml:space="preserve"> made by Canada — is at issue.</w:t>
      </w:r>
    </w:p>
    <w:p w:rsidR="00812C89" w:rsidRPr="00D910D8" w:rsidRDefault="00E6418E" w:rsidP="00581B23">
      <w:pPr>
        <w:pStyle w:val="TitleTitre-AltT"/>
        <w:tabs>
          <w:tab w:val="clear" w:pos="360"/>
          <w:tab w:val="left" w:pos="1170"/>
        </w:tabs>
        <w:spacing w:after="720"/>
        <w:ind w:left="1800" w:hanging="1800"/>
        <w:rPr>
          <w:rFonts w:cs="Times New Roman"/>
          <w:szCs w:val="24"/>
        </w:rPr>
      </w:pPr>
      <w:r w:rsidRPr="00D910D8">
        <w:rPr>
          <w:rFonts w:cs="Times New Roman"/>
          <w:szCs w:val="24"/>
        </w:rPr>
        <w:tab/>
      </w:r>
      <w:bookmarkStart w:id="17" w:name="_Toc314733748"/>
      <w:r w:rsidR="00F04CE6" w:rsidRPr="00D910D8">
        <w:rPr>
          <w:rFonts w:cs="Times New Roman"/>
          <w:szCs w:val="24"/>
        </w:rPr>
        <w:t>(ii</w:t>
      </w:r>
      <w:r w:rsidR="002606F8" w:rsidRPr="00D910D8">
        <w:rPr>
          <w:rFonts w:cs="Times New Roman"/>
          <w:szCs w:val="24"/>
        </w:rPr>
        <w:t>)</w:t>
      </w:r>
      <w:r w:rsidR="002606F8" w:rsidRPr="00D910D8">
        <w:rPr>
          <w:rFonts w:cs="Times New Roman"/>
          <w:szCs w:val="24"/>
        </w:rPr>
        <w:tab/>
      </w:r>
      <w:r w:rsidR="002606F8" w:rsidRPr="00D910D8">
        <w:rPr>
          <w:rFonts w:cs="Times New Roman"/>
          <w:szCs w:val="24"/>
          <w:u w:val="single"/>
        </w:rPr>
        <w:t>Relevance of Evidence</w:t>
      </w:r>
      <w:bookmarkEnd w:id="17"/>
    </w:p>
    <w:p w:rsidR="00972241" w:rsidRPr="00D910D8" w:rsidRDefault="002606F8" w:rsidP="000D5FD0">
      <w:pPr>
        <w:pStyle w:val="ParaNoNdepar-AltN"/>
        <w:rPr>
          <w:rFonts w:cs="Times New Roman"/>
          <w:szCs w:val="24"/>
        </w:rPr>
      </w:pPr>
      <w:r w:rsidRPr="00D910D8">
        <w:rPr>
          <w:rFonts w:cs="Times New Roman"/>
          <w:szCs w:val="24"/>
        </w:rPr>
        <w:t xml:space="preserve">This brings us to the second and related preliminary matter </w:t>
      </w:r>
      <w:r w:rsidR="00B97AA3" w:rsidRPr="00D910D8">
        <w:rPr>
          <w:rFonts w:cs="Times New Roman"/>
          <w:szCs w:val="24"/>
        </w:rPr>
        <w:t>—</w:t>
      </w:r>
      <w:r w:rsidRPr="00D910D8">
        <w:rPr>
          <w:rFonts w:cs="Times New Roman"/>
          <w:szCs w:val="24"/>
        </w:rPr>
        <w:t xml:space="preserve"> the helpfulness of evidence in resolving the question of whether the third</w:t>
      </w:r>
      <w:r w:rsidR="00F04CE6" w:rsidRPr="00D910D8">
        <w:rPr>
          <w:rFonts w:cs="Times New Roman"/>
          <w:szCs w:val="24"/>
        </w:rPr>
        <w:t>-</w:t>
      </w:r>
      <w:r w:rsidRPr="00D910D8">
        <w:rPr>
          <w:rFonts w:cs="Times New Roman"/>
          <w:szCs w:val="24"/>
        </w:rPr>
        <w:t>party claim</w:t>
      </w:r>
      <w:r w:rsidR="006B7C92" w:rsidRPr="00D910D8">
        <w:rPr>
          <w:rFonts w:cs="Times New Roman"/>
          <w:szCs w:val="24"/>
        </w:rPr>
        <w:t>s</w:t>
      </w:r>
      <w:r w:rsidRPr="00D910D8">
        <w:rPr>
          <w:rFonts w:cs="Times New Roman"/>
          <w:szCs w:val="24"/>
        </w:rPr>
        <w:t xml:space="preserve"> for negligent </w:t>
      </w:r>
      <w:r w:rsidR="000242D8" w:rsidRPr="00D910D8">
        <w:rPr>
          <w:rFonts w:cs="Times New Roman"/>
          <w:szCs w:val="24"/>
        </w:rPr>
        <w:t>mis</w:t>
      </w:r>
      <w:r w:rsidRPr="00D910D8">
        <w:rPr>
          <w:rFonts w:cs="Times New Roman"/>
          <w:szCs w:val="24"/>
        </w:rPr>
        <w:t xml:space="preserve">representation should be struck.  The majority of the Court </w:t>
      </w:r>
      <w:r w:rsidR="001A6529" w:rsidRPr="00D910D8">
        <w:rPr>
          <w:rFonts w:cs="Times New Roman"/>
          <w:szCs w:val="24"/>
        </w:rPr>
        <w:t xml:space="preserve">of </w:t>
      </w:r>
      <w:r w:rsidRPr="00D910D8">
        <w:rPr>
          <w:rFonts w:cs="Times New Roman"/>
          <w:szCs w:val="24"/>
        </w:rPr>
        <w:t xml:space="preserve">Appeal concluded that evidence was required to establish whether Canada’s alleged misrepresentations were made pursuant to a government </w:t>
      </w:r>
      <w:r w:rsidR="00F04CE6" w:rsidRPr="00D910D8">
        <w:rPr>
          <w:rFonts w:cs="Times New Roman"/>
          <w:szCs w:val="24"/>
        </w:rPr>
        <w:t xml:space="preserve">policy.  </w:t>
      </w:r>
      <w:r w:rsidRPr="00D910D8">
        <w:rPr>
          <w:rFonts w:cs="Times New Roman"/>
          <w:szCs w:val="24"/>
        </w:rPr>
        <w:t>Likewise, the tobacco companies in this Court argued strenuously that insofar as Canada was developing, growing, and profiting from low-tar tobacco, it should not be regarded as a</w:t>
      </w:r>
      <w:r w:rsidR="00F04CE6" w:rsidRPr="00D910D8">
        <w:rPr>
          <w:rFonts w:cs="Times New Roman"/>
          <w:szCs w:val="24"/>
        </w:rPr>
        <w:t xml:space="preserve"> government regulator or policy </w:t>
      </w:r>
      <w:r w:rsidRPr="00D910D8">
        <w:rPr>
          <w:rFonts w:cs="Times New Roman"/>
          <w:szCs w:val="24"/>
        </w:rPr>
        <w:t>maker, but rather a business operator. Evidence was required, they urged, to determine the</w:t>
      </w:r>
      <w:r w:rsidR="006B7C92" w:rsidRPr="00D910D8">
        <w:rPr>
          <w:rFonts w:cs="Times New Roman"/>
          <w:szCs w:val="24"/>
        </w:rPr>
        <w:t xml:space="preserve"> extent to which this was</w:t>
      </w:r>
      <w:r w:rsidRPr="00D910D8">
        <w:rPr>
          <w:rFonts w:cs="Times New Roman"/>
          <w:szCs w:val="24"/>
        </w:rPr>
        <w:t xml:space="preserve"> business activity.</w:t>
      </w:r>
    </w:p>
    <w:p w:rsidR="00972241" w:rsidRPr="00D910D8" w:rsidRDefault="002606F8" w:rsidP="00E6418E">
      <w:pPr>
        <w:pStyle w:val="ParaNoNdepar-AltN"/>
        <w:rPr>
          <w:rFonts w:cs="Times New Roman"/>
          <w:szCs w:val="24"/>
        </w:rPr>
      </w:pPr>
      <w:r w:rsidRPr="00D910D8">
        <w:rPr>
          <w:rFonts w:cs="Times New Roman"/>
          <w:szCs w:val="24"/>
        </w:rPr>
        <w:lastRenderedPageBreak/>
        <w:t xml:space="preserve">There are two problems with this argument.  The first is that, as mentioned, it relies mainly on conduct </w:t>
      </w:r>
      <w:r w:rsidR="00B97AA3" w:rsidRPr="00D910D8">
        <w:rPr>
          <w:rFonts w:cs="Times New Roman"/>
          <w:szCs w:val="24"/>
        </w:rPr>
        <w:t>—</w:t>
      </w:r>
      <w:r w:rsidRPr="00D910D8">
        <w:rPr>
          <w:rFonts w:cs="Times New Roman"/>
          <w:szCs w:val="24"/>
        </w:rPr>
        <w:t xml:space="preserve"> the developm</w:t>
      </w:r>
      <w:r w:rsidR="00B97AA3" w:rsidRPr="00D910D8">
        <w:rPr>
          <w:rFonts w:cs="Times New Roman"/>
          <w:szCs w:val="24"/>
        </w:rPr>
        <w:t>ent and marketing of a strain of</w:t>
      </w:r>
      <w:r w:rsidRPr="00D910D8">
        <w:rPr>
          <w:rFonts w:cs="Times New Roman"/>
          <w:szCs w:val="24"/>
        </w:rPr>
        <w:t xml:space="preserve"> low-tar tobacco </w:t>
      </w:r>
      <w:r w:rsidR="00B97AA3" w:rsidRPr="00D910D8">
        <w:rPr>
          <w:rFonts w:cs="Times New Roman"/>
          <w:szCs w:val="24"/>
        </w:rPr>
        <w:t>—</w:t>
      </w:r>
      <w:r w:rsidRPr="00D910D8">
        <w:rPr>
          <w:rFonts w:cs="Times New Roman"/>
          <w:szCs w:val="24"/>
        </w:rPr>
        <w:t xml:space="preserve"> that is </w:t>
      </w:r>
      <w:r w:rsidR="006453E5" w:rsidRPr="00D910D8">
        <w:rPr>
          <w:rFonts w:cs="Times New Roman"/>
          <w:szCs w:val="24"/>
        </w:rPr>
        <w:t>not directly related</w:t>
      </w:r>
      <w:r w:rsidRPr="00D910D8">
        <w:rPr>
          <w:rFonts w:cs="Times New Roman"/>
          <w:szCs w:val="24"/>
        </w:rPr>
        <w:t xml:space="preserve"> to the allegation of negligent misrepresentation.  The only question at this point of the analysis is whether policy considerations weigh against finding </w:t>
      </w:r>
      <w:r w:rsidR="00F04CE6" w:rsidRPr="00D910D8">
        <w:rPr>
          <w:rFonts w:cs="Times New Roman"/>
          <w:szCs w:val="24"/>
        </w:rPr>
        <w:t xml:space="preserve">that </w:t>
      </w:r>
      <w:r w:rsidRPr="00D910D8">
        <w:rPr>
          <w:rFonts w:cs="Times New Roman"/>
          <w:szCs w:val="24"/>
        </w:rPr>
        <w:t xml:space="preserve">Canada was under a duty of care to the tobacco companies to take reasonable care to accurately represent the qualities of low-tar tobacco.  Whether </w:t>
      </w:r>
      <w:r w:rsidR="00D02059" w:rsidRPr="00D910D8">
        <w:rPr>
          <w:rFonts w:cs="Times New Roman"/>
          <w:szCs w:val="24"/>
        </w:rPr>
        <w:t xml:space="preserve">Canada </w:t>
      </w:r>
      <w:r w:rsidRPr="00D910D8">
        <w:rPr>
          <w:rFonts w:cs="Times New Roman"/>
          <w:szCs w:val="24"/>
        </w:rPr>
        <w:t xml:space="preserve">produced </w:t>
      </w:r>
      <w:r w:rsidR="00D02059" w:rsidRPr="00D910D8">
        <w:rPr>
          <w:rFonts w:cs="Times New Roman"/>
          <w:szCs w:val="24"/>
        </w:rPr>
        <w:t>strains of low-tar tobacco is not directly relevant</w:t>
      </w:r>
      <w:r w:rsidR="008251E2" w:rsidRPr="00D910D8">
        <w:rPr>
          <w:rFonts w:cs="Times New Roman"/>
          <w:szCs w:val="24"/>
        </w:rPr>
        <w:t xml:space="preserve"> to that inquiry</w:t>
      </w:r>
      <w:r w:rsidRPr="00D910D8">
        <w:rPr>
          <w:rFonts w:cs="Times New Roman"/>
          <w:szCs w:val="24"/>
        </w:rPr>
        <w:t>.  The question is whether, insofar as it made statements on this matter, policy considerations militate against holding i</w:t>
      </w:r>
      <w:r w:rsidR="00581B23" w:rsidRPr="00D910D8">
        <w:rPr>
          <w:rFonts w:cs="Times New Roman"/>
          <w:szCs w:val="24"/>
        </w:rPr>
        <w:t>t liable for those statements.</w:t>
      </w:r>
    </w:p>
    <w:p w:rsidR="00812C89" w:rsidRPr="00D910D8" w:rsidRDefault="002606F8" w:rsidP="00E6418E">
      <w:pPr>
        <w:pStyle w:val="ParaNoNdepar-AltN"/>
        <w:rPr>
          <w:rFonts w:cs="Times New Roman"/>
          <w:szCs w:val="24"/>
        </w:rPr>
      </w:pPr>
      <w:r w:rsidRPr="00D910D8">
        <w:rPr>
          <w:rFonts w:cs="Times New Roman"/>
          <w:szCs w:val="24"/>
        </w:rPr>
        <w:t>The second problem with the argument is that, as discussed above, a motion to strike is, by its very nature, not dependent on evidence.  The facts pleaded must be assumed to be true.  Unless it is plain and obvious that on those facts the action has no reasonable chance of success, the motion to strike must be refused.  To put it another way, if there is a reasonable chance that the matter as pleaded may in fact turn out not to be a matter of policy, then the application to strike must be dismissed. Doubts as to what may be proved in the evidence should be resolved in favour of proceeding to trial.  The question for us is therefore whether</w:t>
      </w:r>
      <w:r w:rsidR="00F04CE6" w:rsidRPr="00D910D8">
        <w:rPr>
          <w:rFonts w:cs="Times New Roman"/>
          <w:szCs w:val="24"/>
        </w:rPr>
        <w:t>,</w:t>
      </w:r>
      <w:r w:rsidRPr="00D910D8">
        <w:rPr>
          <w:rFonts w:cs="Times New Roman"/>
          <w:szCs w:val="24"/>
        </w:rPr>
        <w:t xml:space="preserve"> assuming the facts pleaded to be true, it is plain and obvious that any duty of care in negligent misrepresentation would be defeated on the ground that the conduct grounding the </w:t>
      </w:r>
      <w:r w:rsidRPr="00D910D8">
        <w:rPr>
          <w:rFonts w:cs="Times New Roman"/>
          <w:szCs w:val="24"/>
        </w:rPr>
        <w:lastRenderedPageBreak/>
        <w:t>alleged misrepresentation is a matter of government policy and hence not capable of giving rise to liability in tort.</w:t>
      </w:r>
    </w:p>
    <w:p w:rsidR="00972241" w:rsidRPr="00D910D8" w:rsidRDefault="002606F8" w:rsidP="00E6418E">
      <w:pPr>
        <w:pStyle w:val="ParaNoNdepar-AltN"/>
        <w:rPr>
          <w:rFonts w:cs="Times New Roman"/>
          <w:szCs w:val="24"/>
        </w:rPr>
      </w:pPr>
      <w:r w:rsidRPr="00D910D8">
        <w:rPr>
          <w:rFonts w:cs="Times New Roman"/>
          <w:szCs w:val="24"/>
        </w:rPr>
        <w:t>Before we can answer this question, we must consider a third preliminary issue:  what constitutes a policy decision im</w:t>
      </w:r>
      <w:r w:rsidR="00581B23" w:rsidRPr="00D910D8">
        <w:rPr>
          <w:rFonts w:cs="Times New Roman"/>
          <w:szCs w:val="24"/>
        </w:rPr>
        <w:t>mune from review by the courts?</w:t>
      </w:r>
    </w:p>
    <w:p w:rsidR="00812C89" w:rsidRPr="00D910D8" w:rsidRDefault="00E6418E" w:rsidP="0066330D">
      <w:pPr>
        <w:pStyle w:val="TitleTitre-AltT"/>
        <w:tabs>
          <w:tab w:val="clear" w:pos="360"/>
          <w:tab w:val="left" w:pos="1170"/>
        </w:tabs>
        <w:ind w:left="1800" w:hanging="1800"/>
        <w:rPr>
          <w:rFonts w:cs="Times New Roman"/>
          <w:szCs w:val="24"/>
          <w:u w:val="single"/>
        </w:rPr>
      </w:pPr>
      <w:r w:rsidRPr="00D910D8">
        <w:rPr>
          <w:rFonts w:cs="Times New Roman"/>
          <w:szCs w:val="24"/>
        </w:rPr>
        <w:tab/>
      </w:r>
      <w:bookmarkStart w:id="18" w:name="_Toc314733749"/>
      <w:r w:rsidR="00F04CE6" w:rsidRPr="00D910D8">
        <w:rPr>
          <w:rFonts w:cs="Times New Roman"/>
          <w:szCs w:val="24"/>
        </w:rPr>
        <w:t>(iii</w:t>
      </w:r>
      <w:r w:rsidR="002606F8" w:rsidRPr="00D910D8">
        <w:rPr>
          <w:rFonts w:cs="Times New Roman"/>
          <w:szCs w:val="24"/>
        </w:rPr>
        <w:t>)</w:t>
      </w:r>
      <w:r w:rsidR="002606F8" w:rsidRPr="00D910D8">
        <w:rPr>
          <w:rFonts w:cs="Times New Roman"/>
          <w:szCs w:val="24"/>
        </w:rPr>
        <w:tab/>
      </w:r>
      <w:r w:rsidR="002606F8" w:rsidRPr="00D910D8">
        <w:rPr>
          <w:rFonts w:cs="Times New Roman"/>
          <w:szCs w:val="24"/>
          <w:u w:val="single"/>
        </w:rPr>
        <w:t>What Consti</w:t>
      </w:r>
      <w:r w:rsidR="008D4C9C" w:rsidRPr="00D910D8">
        <w:rPr>
          <w:rFonts w:cs="Times New Roman"/>
          <w:szCs w:val="24"/>
          <w:u w:val="single"/>
        </w:rPr>
        <w:t xml:space="preserve">tutes a Policy Decision Immune </w:t>
      </w:r>
      <w:proofErr w:type="gramStart"/>
      <w:r w:rsidR="008D4C9C" w:rsidRPr="00D910D8">
        <w:rPr>
          <w:rFonts w:cs="Times New Roman"/>
          <w:szCs w:val="24"/>
          <w:u w:val="single"/>
        </w:rPr>
        <w:t>F</w:t>
      </w:r>
      <w:r w:rsidR="002606F8" w:rsidRPr="00D910D8">
        <w:rPr>
          <w:rFonts w:cs="Times New Roman"/>
          <w:szCs w:val="24"/>
          <w:u w:val="single"/>
        </w:rPr>
        <w:t>rom</w:t>
      </w:r>
      <w:proofErr w:type="gramEnd"/>
      <w:r w:rsidR="002606F8" w:rsidRPr="00D910D8">
        <w:rPr>
          <w:rFonts w:cs="Times New Roman"/>
          <w:szCs w:val="24"/>
          <w:u w:val="single"/>
        </w:rPr>
        <w:t xml:space="preserve"> Judicial Review?</w:t>
      </w:r>
      <w:bookmarkEnd w:id="18"/>
    </w:p>
    <w:p w:rsidR="00972241" w:rsidRPr="00D910D8" w:rsidRDefault="002606F8" w:rsidP="00E6418E">
      <w:pPr>
        <w:pStyle w:val="ParaNoNdepar-AltN"/>
        <w:rPr>
          <w:rFonts w:cs="Times New Roman"/>
          <w:szCs w:val="24"/>
        </w:rPr>
      </w:pPr>
      <w:r w:rsidRPr="00D910D8">
        <w:rPr>
          <w:rFonts w:cs="Times New Roman"/>
          <w:szCs w:val="24"/>
        </w:rPr>
        <w:t xml:space="preserve">The question of what constitutes a policy decision that is </w:t>
      </w:r>
      <w:r w:rsidR="00A23597" w:rsidRPr="00D910D8">
        <w:rPr>
          <w:rFonts w:cs="Times New Roman"/>
          <w:szCs w:val="24"/>
        </w:rPr>
        <w:t xml:space="preserve">generally protected </w:t>
      </w:r>
      <w:r w:rsidRPr="00D910D8">
        <w:rPr>
          <w:rFonts w:cs="Times New Roman"/>
          <w:szCs w:val="24"/>
        </w:rPr>
        <w:t xml:space="preserve">from </w:t>
      </w:r>
      <w:r w:rsidR="00A23597" w:rsidRPr="00D910D8">
        <w:rPr>
          <w:rFonts w:cs="Times New Roman"/>
          <w:szCs w:val="24"/>
        </w:rPr>
        <w:t>negligence liability</w:t>
      </w:r>
      <w:r w:rsidRPr="00D910D8">
        <w:rPr>
          <w:rFonts w:cs="Times New Roman"/>
          <w:szCs w:val="24"/>
        </w:rPr>
        <w:t xml:space="preserve"> is a vexed one, upon which much judicial ink has been spilled.  There is general agreement in the common law world that government policy decisions are not </w:t>
      </w:r>
      <w:r w:rsidR="0003190D" w:rsidRPr="00D910D8">
        <w:rPr>
          <w:rFonts w:cs="Times New Roman"/>
          <w:szCs w:val="24"/>
        </w:rPr>
        <w:t>justiciable</w:t>
      </w:r>
      <w:r w:rsidR="00913D76" w:rsidRPr="00D910D8">
        <w:rPr>
          <w:rFonts w:cs="Times New Roman"/>
          <w:szCs w:val="24"/>
        </w:rPr>
        <w:t xml:space="preserve"> </w:t>
      </w:r>
      <w:r w:rsidRPr="00D910D8">
        <w:rPr>
          <w:rFonts w:cs="Times New Roman"/>
          <w:szCs w:val="24"/>
        </w:rPr>
        <w:t>and cannot give rise to tort liability.  There is also general agreement that governments may attract liability in tort where government agents are negligent in carrying out prescribed duties.  The problem is to devise a workable test to distinguish these situations.</w:t>
      </w:r>
    </w:p>
    <w:p w:rsidR="00972241" w:rsidRPr="00D910D8" w:rsidRDefault="002606F8" w:rsidP="00E6418E">
      <w:pPr>
        <w:pStyle w:val="ParaNoNdepar-AltN"/>
        <w:rPr>
          <w:rFonts w:cs="Times New Roman"/>
          <w:szCs w:val="24"/>
        </w:rPr>
      </w:pPr>
      <w:r w:rsidRPr="00D910D8">
        <w:rPr>
          <w:rFonts w:cs="Times New Roman"/>
          <w:szCs w:val="24"/>
        </w:rPr>
        <w:t xml:space="preserve">The jurisprudence reveals two approaches to the problem, </w:t>
      </w:r>
      <w:proofErr w:type="gramStart"/>
      <w:r w:rsidRPr="00D910D8">
        <w:rPr>
          <w:rFonts w:cs="Times New Roman"/>
          <w:szCs w:val="24"/>
        </w:rPr>
        <w:t>one emphasizing discretion</w:t>
      </w:r>
      <w:proofErr w:type="gramEnd"/>
      <w:r w:rsidRPr="00D910D8">
        <w:rPr>
          <w:rFonts w:cs="Times New Roman"/>
          <w:szCs w:val="24"/>
        </w:rPr>
        <w:t xml:space="preserve">, the other, policy, each with variations.  The first approach focuses on the discretionary nature of the impugned conduct.  The “discretionary decision” approach was first adopted in </w:t>
      </w:r>
      <w:r w:rsidRPr="00D910D8">
        <w:rPr>
          <w:rFonts w:cs="Times New Roman"/>
          <w:i/>
          <w:szCs w:val="24"/>
        </w:rPr>
        <w:t>Home Office v. Dorset Yacht Co.</w:t>
      </w:r>
      <w:r w:rsidRPr="00D910D8">
        <w:rPr>
          <w:rFonts w:cs="Times New Roman"/>
          <w:szCs w:val="24"/>
        </w:rPr>
        <w:t xml:space="preserve">, [1970] 2 W.L.R. 1140 (H.L.).  This approach holds that public authorities should be exempt </w:t>
      </w:r>
      <w:r w:rsidRPr="00D910D8">
        <w:rPr>
          <w:rFonts w:cs="Times New Roman"/>
          <w:szCs w:val="24"/>
        </w:rPr>
        <w:lastRenderedPageBreak/>
        <w:t>from liability if they are acting within their discretion, unless the chal</w:t>
      </w:r>
      <w:r w:rsidR="00581B23" w:rsidRPr="00D910D8">
        <w:rPr>
          <w:rFonts w:cs="Times New Roman"/>
          <w:szCs w:val="24"/>
        </w:rPr>
        <w:t>lenged decision is irrational.</w:t>
      </w:r>
    </w:p>
    <w:p w:rsidR="002F36EE" w:rsidRPr="00D910D8" w:rsidRDefault="002606F8" w:rsidP="00E6418E">
      <w:pPr>
        <w:pStyle w:val="ParaNoNdepar-AltN"/>
        <w:rPr>
          <w:rFonts w:cs="Times New Roman"/>
          <w:szCs w:val="24"/>
        </w:rPr>
      </w:pPr>
      <w:r w:rsidRPr="00D910D8">
        <w:rPr>
          <w:rFonts w:cs="Times New Roman"/>
          <w:szCs w:val="24"/>
        </w:rPr>
        <w:t xml:space="preserve">The second approach emphasizes the “policy” nature of </w:t>
      </w:r>
      <w:r w:rsidR="00A23597" w:rsidRPr="00D910D8">
        <w:rPr>
          <w:rFonts w:cs="Times New Roman"/>
          <w:szCs w:val="24"/>
        </w:rPr>
        <w:t xml:space="preserve">protected state </w:t>
      </w:r>
      <w:r w:rsidRPr="00D910D8">
        <w:rPr>
          <w:rFonts w:cs="Times New Roman"/>
          <w:szCs w:val="24"/>
        </w:rPr>
        <w:t>conduct.  Policy decisions are conceived of as a subset of discretionary decisions, typically characterized as raising social, economic and political considerations.  These are sometimes called “true”</w:t>
      </w:r>
      <w:r w:rsidR="006453E5" w:rsidRPr="00D910D8">
        <w:rPr>
          <w:rFonts w:cs="Times New Roman"/>
          <w:szCs w:val="24"/>
        </w:rPr>
        <w:t xml:space="preserve"> or “core” policy decisions</w:t>
      </w:r>
      <w:r w:rsidRPr="00D910D8">
        <w:rPr>
          <w:rFonts w:cs="Times New Roman"/>
          <w:szCs w:val="24"/>
        </w:rPr>
        <w:t>.  They are exempt from judicial consideration and cannot give rise to liability in tort</w:t>
      </w:r>
      <w:r w:rsidR="009F44C3" w:rsidRPr="00D910D8">
        <w:rPr>
          <w:rFonts w:cs="Times New Roman"/>
          <w:szCs w:val="24"/>
        </w:rPr>
        <w:t>, provided they are neither irrational nor taken in bad faith</w:t>
      </w:r>
      <w:r w:rsidRPr="00D910D8">
        <w:rPr>
          <w:rFonts w:cs="Times New Roman"/>
          <w:szCs w:val="24"/>
        </w:rPr>
        <w:t xml:space="preserve">.  A variant of this is the policy/operational test, in which </w:t>
      </w:r>
      <w:r w:rsidR="00E971B3" w:rsidRPr="00D910D8">
        <w:rPr>
          <w:rFonts w:cs="Times New Roman"/>
          <w:szCs w:val="24"/>
        </w:rPr>
        <w:t xml:space="preserve">“true” </w:t>
      </w:r>
      <w:r w:rsidRPr="00D910D8">
        <w:rPr>
          <w:rFonts w:cs="Times New Roman"/>
          <w:szCs w:val="24"/>
        </w:rPr>
        <w:t xml:space="preserve">policy decisions are distinguished from “operational” decisions, which seek to implement or carry out settled policy.  To date, the policy/operational approach is the dominant approach in Canada: </w:t>
      </w:r>
      <w:r w:rsidRPr="00D910D8">
        <w:rPr>
          <w:rFonts w:cs="Times New Roman"/>
          <w:i/>
          <w:szCs w:val="24"/>
        </w:rPr>
        <w:t>Just</w:t>
      </w:r>
      <w:r w:rsidRPr="00D910D8">
        <w:rPr>
          <w:rFonts w:cs="Times New Roman"/>
          <w:szCs w:val="24"/>
        </w:rPr>
        <w:t xml:space="preserve">; </w:t>
      </w:r>
      <w:r w:rsidRPr="00D910D8">
        <w:rPr>
          <w:rFonts w:cs="Times New Roman"/>
          <w:i/>
          <w:szCs w:val="24"/>
        </w:rPr>
        <w:t>Brown v. British Columbia (Minister of Transportation and Highways)</w:t>
      </w:r>
      <w:r w:rsidRPr="00D910D8">
        <w:rPr>
          <w:rFonts w:cs="Times New Roman"/>
          <w:szCs w:val="24"/>
        </w:rPr>
        <w:t xml:space="preserve">, [1994] 1 S.C.R. 420; </w:t>
      </w:r>
      <w:r w:rsidRPr="00D910D8">
        <w:rPr>
          <w:rFonts w:cs="Times New Roman"/>
          <w:i/>
          <w:szCs w:val="24"/>
        </w:rPr>
        <w:t>Swinamer v. Nova Scotia (Attorney General)</w:t>
      </w:r>
      <w:r w:rsidRPr="00D910D8">
        <w:rPr>
          <w:rFonts w:cs="Times New Roman"/>
          <w:szCs w:val="24"/>
        </w:rPr>
        <w:t xml:space="preserve">, [1994] 1 S.C.R. 445; </w:t>
      </w:r>
      <w:r w:rsidRPr="00D910D8">
        <w:rPr>
          <w:rFonts w:cs="Times New Roman"/>
          <w:i/>
          <w:szCs w:val="24"/>
        </w:rPr>
        <w:t>Lewis (Guardian ad litem</w:t>
      </w:r>
      <w:r w:rsidRPr="00D910D8">
        <w:rPr>
          <w:rFonts w:cs="Times New Roman"/>
          <w:szCs w:val="24"/>
        </w:rPr>
        <w:t xml:space="preserve"> </w:t>
      </w:r>
      <w:r w:rsidRPr="00D910D8">
        <w:rPr>
          <w:rFonts w:cs="Times New Roman"/>
          <w:i/>
          <w:szCs w:val="24"/>
        </w:rPr>
        <w:t>of) v. British Columbia</w:t>
      </w:r>
      <w:r w:rsidRPr="00D910D8">
        <w:rPr>
          <w:rFonts w:cs="Times New Roman"/>
          <w:szCs w:val="24"/>
        </w:rPr>
        <w:t>, [1997] 3 S.C.R. 1145.</w:t>
      </w:r>
    </w:p>
    <w:p w:rsidR="00812C89" w:rsidRPr="00D910D8" w:rsidRDefault="002606F8" w:rsidP="00E6418E">
      <w:pPr>
        <w:pStyle w:val="ParaNoNdepar-AltN"/>
        <w:rPr>
          <w:rFonts w:cs="Times New Roman"/>
          <w:szCs w:val="24"/>
        </w:rPr>
      </w:pPr>
      <w:r w:rsidRPr="00D910D8">
        <w:rPr>
          <w:rFonts w:cs="Times New Roman"/>
          <w:szCs w:val="24"/>
        </w:rPr>
        <w:t>To complicate matters, the concepts of discretion and policy overlap and</w:t>
      </w:r>
      <w:r w:rsidR="00AC5B22" w:rsidRPr="00D910D8">
        <w:rPr>
          <w:rFonts w:cs="Times New Roman"/>
          <w:szCs w:val="24"/>
        </w:rPr>
        <w:t xml:space="preserve"> are</w:t>
      </w:r>
      <w:r w:rsidRPr="00D910D8">
        <w:rPr>
          <w:rFonts w:cs="Times New Roman"/>
          <w:szCs w:val="24"/>
        </w:rPr>
        <w:t xml:space="preserve"> sometimes used interchangeably.  Thus Lord Wilberforce in </w:t>
      </w:r>
      <w:r w:rsidRPr="00D910D8">
        <w:rPr>
          <w:rFonts w:cs="Times New Roman"/>
          <w:i/>
          <w:szCs w:val="24"/>
        </w:rPr>
        <w:t>Anns</w:t>
      </w:r>
      <w:r w:rsidRPr="00D910D8">
        <w:rPr>
          <w:rFonts w:cs="Times New Roman"/>
          <w:szCs w:val="24"/>
        </w:rPr>
        <w:t xml:space="preserve"> defined policy </w:t>
      </w:r>
      <w:r w:rsidR="00B97AA3" w:rsidRPr="00D910D8">
        <w:rPr>
          <w:rFonts w:cs="Times New Roman"/>
          <w:szCs w:val="24"/>
        </w:rPr>
        <w:t>as a synonym for discretion (</w:t>
      </w:r>
      <w:r w:rsidR="00204356" w:rsidRPr="00D910D8">
        <w:rPr>
          <w:rFonts w:cs="Times New Roman"/>
          <w:szCs w:val="24"/>
        </w:rPr>
        <w:t xml:space="preserve">p. </w:t>
      </w:r>
      <w:r w:rsidR="001A6529" w:rsidRPr="00D910D8">
        <w:rPr>
          <w:rFonts w:cs="Times New Roman"/>
          <w:szCs w:val="24"/>
        </w:rPr>
        <w:t>7</w:t>
      </w:r>
      <w:r w:rsidRPr="00D910D8">
        <w:rPr>
          <w:rFonts w:cs="Times New Roman"/>
          <w:szCs w:val="24"/>
        </w:rPr>
        <w:t>5</w:t>
      </w:r>
      <w:r w:rsidR="001A6529" w:rsidRPr="00D910D8">
        <w:rPr>
          <w:rFonts w:cs="Times New Roman"/>
          <w:szCs w:val="24"/>
        </w:rPr>
        <w:t>4</w:t>
      </w:r>
      <w:r w:rsidRPr="00D910D8">
        <w:rPr>
          <w:rFonts w:cs="Times New Roman"/>
          <w:szCs w:val="24"/>
        </w:rPr>
        <w:t>).</w:t>
      </w:r>
    </w:p>
    <w:p w:rsidR="003B6288" w:rsidRPr="00D910D8" w:rsidRDefault="002606F8" w:rsidP="00E6418E">
      <w:pPr>
        <w:pStyle w:val="ParaNoNdepar-AltN"/>
        <w:rPr>
          <w:rFonts w:cs="Times New Roman"/>
          <w:szCs w:val="24"/>
        </w:rPr>
      </w:pPr>
      <w:r w:rsidRPr="00D910D8">
        <w:rPr>
          <w:rFonts w:cs="Times New Roman"/>
          <w:szCs w:val="24"/>
        </w:rPr>
        <w:t xml:space="preserve">There is wide consensus that the law of negligence must account for the unique role of government agencies: </w:t>
      </w:r>
      <w:r w:rsidRPr="00D910D8">
        <w:rPr>
          <w:rFonts w:cs="Times New Roman"/>
          <w:i/>
          <w:szCs w:val="24"/>
        </w:rPr>
        <w:t>Just</w:t>
      </w:r>
      <w:r w:rsidRPr="00D910D8">
        <w:rPr>
          <w:rFonts w:cs="Times New Roman"/>
          <w:szCs w:val="24"/>
        </w:rPr>
        <w:t xml:space="preserve">.  On the one hand, it is important for public </w:t>
      </w:r>
      <w:r w:rsidRPr="00D910D8">
        <w:rPr>
          <w:rFonts w:cs="Times New Roman"/>
          <w:szCs w:val="24"/>
        </w:rPr>
        <w:lastRenderedPageBreak/>
        <w:t>authorities to be liable in general for their negligent conduct in light of the pervasive role that they play in all aspects of society.  Exempting all government actions from liability would result in intolerable outcomes.  On the other hand, “</w:t>
      </w:r>
      <w:r w:rsidRPr="00D910D8">
        <w:rPr>
          <w:rFonts w:cs="Times New Roman"/>
          <w:spacing w:val="-3"/>
          <w:szCs w:val="24"/>
        </w:rPr>
        <w:t>the Crown is not a person and must be free to govern and make true policy decisions without becoming subject to tort liability</w:t>
      </w:r>
      <w:r w:rsidR="006453E5" w:rsidRPr="00D910D8">
        <w:rPr>
          <w:rFonts w:cs="Times New Roman"/>
          <w:spacing w:val="-3"/>
          <w:szCs w:val="24"/>
        </w:rPr>
        <w:t xml:space="preserve"> as a result of those decisions</w:t>
      </w:r>
      <w:r w:rsidRPr="00D910D8">
        <w:rPr>
          <w:rFonts w:cs="Times New Roman"/>
          <w:spacing w:val="-3"/>
          <w:szCs w:val="24"/>
        </w:rPr>
        <w:t>”</w:t>
      </w:r>
      <w:r w:rsidR="006453E5" w:rsidRPr="00D910D8">
        <w:rPr>
          <w:rFonts w:cs="Times New Roman"/>
          <w:spacing w:val="-3"/>
          <w:szCs w:val="24"/>
        </w:rPr>
        <w:t xml:space="preserve">: </w:t>
      </w:r>
      <w:r w:rsidRPr="00D910D8">
        <w:rPr>
          <w:rFonts w:cs="Times New Roman"/>
          <w:spacing w:val="-3"/>
          <w:szCs w:val="24"/>
        </w:rPr>
        <w:t xml:space="preserve"> </w:t>
      </w:r>
      <w:r w:rsidRPr="00D910D8">
        <w:rPr>
          <w:rFonts w:cs="Times New Roman"/>
          <w:i/>
          <w:spacing w:val="-3"/>
          <w:szCs w:val="24"/>
        </w:rPr>
        <w:t>Just</w:t>
      </w:r>
      <w:r w:rsidR="00F04CE6" w:rsidRPr="00D910D8">
        <w:rPr>
          <w:rFonts w:cs="Times New Roman"/>
          <w:spacing w:val="-3"/>
          <w:szCs w:val="24"/>
        </w:rPr>
        <w:t xml:space="preserve">, at p. 1239. </w:t>
      </w:r>
      <w:r w:rsidRPr="00D910D8">
        <w:rPr>
          <w:rFonts w:cs="Times New Roman"/>
          <w:spacing w:val="-3"/>
          <w:szCs w:val="24"/>
        </w:rPr>
        <w:t xml:space="preserve"> The challenge</w:t>
      </w:r>
      <w:r w:rsidR="00204356" w:rsidRPr="00D910D8">
        <w:rPr>
          <w:rFonts w:cs="Times New Roman"/>
          <w:spacing w:val="-3"/>
          <w:szCs w:val="24"/>
        </w:rPr>
        <w:t>, to repeat,</w:t>
      </w:r>
      <w:r w:rsidRPr="00D910D8">
        <w:rPr>
          <w:rFonts w:cs="Times New Roman"/>
          <w:spacing w:val="-3"/>
          <w:szCs w:val="24"/>
        </w:rPr>
        <w:t xml:space="preserve"> is to fashion a just and workable legal test.</w:t>
      </w:r>
    </w:p>
    <w:p w:rsidR="004C0F72" w:rsidRPr="00D910D8" w:rsidRDefault="002606F8" w:rsidP="00E6418E">
      <w:pPr>
        <w:pStyle w:val="ParaNoNdepar-AltN"/>
        <w:rPr>
          <w:rFonts w:cs="Times New Roman"/>
          <w:szCs w:val="24"/>
          <w:u w:val="single"/>
        </w:rPr>
      </w:pPr>
      <w:r w:rsidRPr="00D910D8">
        <w:rPr>
          <w:rFonts w:cs="Times New Roman"/>
          <w:szCs w:val="24"/>
        </w:rPr>
        <w:t xml:space="preserve">The main difficulty with the “discretion” approach is that it has the potential to create an </w:t>
      </w:r>
      <w:r w:rsidR="00F6171A" w:rsidRPr="00D910D8">
        <w:rPr>
          <w:rFonts w:cs="Times New Roman"/>
          <w:szCs w:val="24"/>
        </w:rPr>
        <w:t>over</w:t>
      </w:r>
      <w:r w:rsidRPr="00D910D8">
        <w:rPr>
          <w:rFonts w:cs="Times New Roman"/>
          <w:szCs w:val="24"/>
        </w:rPr>
        <w:t xml:space="preserve">broad exemption for the conduct of government actors.  Many decisions can be characterized as to some extent discretionary.  For this reason, </w:t>
      </w:r>
      <w:r w:rsidR="00204356" w:rsidRPr="00D910D8">
        <w:rPr>
          <w:rFonts w:cs="Times New Roman"/>
          <w:szCs w:val="24"/>
        </w:rPr>
        <w:t xml:space="preserve">this approach </w:t>
      </w:r>
      <w:r w:rsidRPr="00D910D8">
        <w:rPr>
          <w:rFonts w:cs="Times New Roman"/>
          <w:szCs w:val="24"/>
        </w:rPr>
        <w:t xml:space="preserve">has sometimes been refined or replaced by </w:t>
      </w:r>
      <w:r w:rsidR="00204356" w:rsidRPr="00D910D8">
        <w:rPr>
          <w:rFonts w:cs="Times New Roman"/>
          <w:szCs w:val="24"/>
        </w:rPr>
        <w:t xml:space="preserve">tests </w:t>
      </w:r>
      <w:r w:rsidRPr="00D910D8">
        <w:rPr>
          <w:rFonts w:cs="Times New Roman"/>
          <w:szCs w:val="24"/>
        </w:rPr>
        <w:t xml:space="preserve">that narrow the scope of </w:t>
      </w:r>
      <w:r w:rsidR="000242D8" w:rsidRPr="00D910D8">
        <w:rPr>
          <w:rFonts w:cs="Times New Roman"/>
          <w:szCs w:val="24"/>
        </w:rPr>
        <w:t xml:space="preserve">the discretion </w:t>
      </w:r>
      <w:r w:rsidR="002F5927" w:rsidRPr="00D910D8">
        <w:rPr>
          <w:rFonts w:cs="Times New Roman"/>
          <w:szCs w:val="24"/>
        </w:rPr>
        <w:t>that</w:t>
      </w:r>
      <w:r w:rsidR="000242D8" w:rsidRPr="00D910D8">
        <w:rPr>
          <w:rFonts w:cs="Times New Roman"/>
          <w:szCs w:val="24"/>
        </w:rPr>
        <w:t xml:space="preserve"> confer</w:t>
      </w:r>
      <w:r w:rsidR="002F5927" w:rsidRPr="00D910D8">
        <w:rPr>
          <w:rFonts w:cs="Times New Roman"/>
          <w:szCs w:val="24"/>
        </w:rPr>
        <w:t>s</w:t>
      </w:r>
      <w:r w:rsidR="000242D8" w:rsidRPr="00D910D8">
        <w:rPr>
          <w:rFonts w:cs="Times New Roman"/>
          <w:szCs w:val="24"/>
        </w:rPr>
        <w:t xml:space="preserve"> </w:t>
      </w:r>
      <w:r w:rsidR="006453E5" w:rsidRPr="00D910D8">
        <w:rPr>
          <w:rFonts w:cs="Times New Roman"/>
          <w:szCs w:val="24"/>
        </w:rPr>
        <w:t>immunity</w:t>
      </w:r>
      <w:r w:rsidR="00581B23" w:rsidRPr="00D910D8">
        <w:rPr>
          <w:rFonts w:cs="Times New Roman"/>
          <w:szCs w:val="24"/>
        </w:rPr>
        <w:t>.</w:t>
      </w:r>
    </w:p>
    <w:p w:rsidR="00EC503B" w:rsidRPr="00D910D8" w:rsidRDefault="002606F8" w:rsidP="00E6418E">
      <w:pPr>
        <w:pStyle w:val="ParaNoNdepar-AltN"/>
        <w:rPr>
          <w:rFonts w:cs="Times New Roman"/>
          <w:szCs w:val="24"/>
        </w:rPr>
      </w:pPr>
      <w:r w:rsidRPr="00D910D8">
        <w:rPr>
          <w:rFonts w:cs="Times New Roman"/>
          <w:szCs w:val="24"/>
        </w:rPr>
        <w:t>The main difficulty with the policy</w:t>
      </w:r>
      <w:r w:rsidR="00F6171A" w:rsidRPr="00D910D8">
        <w:rPr>
          <w:rFonts w:cs="Times New Roman"/>
          <w:szCs w:val="24"/>
        </w:rPr>
        <w:t>/</w:t>
      </w:r>
      <w:r w:rsidRPr="00D910D8">
        <w:rPr>
          <w:rFonts w:cs="Times New Roman"/>
          <w:szCs w:val="24"/>
        </w:rPr>
        <w:t xml:space="preserve">operational approach is that courts have found it notoriously difficult to decide whether a particular government decision falls on the policy or operational side of the line.  Even low-level state employees may enjoy some discretion related to how much money is in the budget or which of a range of tasks is most important at a particular time.  Is the decision of a social worker when to visit a troubled home, or the decision of a snow-plow operator when to sand an icy road, a policy decision or an operational decision?  Depending on the circumstances, it may be argued to be either or both.  The policy/operational </w:t>
      </w:r>
      <w:r w:rsidRPr="00D910D8">
        <w:rPr>
          <w:rFonts w:cs="Times New Roman"/>
          <w:szCs w:val="24"/>
        </w:rPr>
        <w:lastRenderedPageBreak/>
        <w:t xml:space="preserve">distinction, while capturing an important element of why some government conduct should </w:t>
      </w:r>
      <w:r w:rsidR="00A41594" w:rsidRPr="00D910D8">
        <w:rPr>
          <w:rFonts w:cs="Times New Roman"/>
          <w:szCs w:val="24"/>
        </w:rPr>
        <w:t xml:space="preserve">generally </w:t>
      </w:r>
      <w:r w:rsidRPr="00D910D8">
        <w:rPr>
          <w:rFonts w:cs="Times New Roman"/>
          <w:szCs w:val="24"/>
        </w:rPr>
        <w:t xml:space="preserve">be </w:t>
      </w:r>
      <w:r w:rsidR="00A41594" w:rsidRPr="00D910D8">
        <w:rPr>
          <w:rFonts w:cs="Times New Roman"/>
          <w:szCs w:val="24"/>
        </w:rPr>
        <w:t xml:space="preserve">shielded </w:t>
      </w:r>
      <w:r w:rsidRPr="00D910D8">
        <w:rPr>
          <w:rFonts w:cs="Times New Roman"/>
          <w:szCs w:val="24"/>
        </w:rPr>
        <w:t>from liability, does not work very well as a legal test.</w:t>
      </w:r>
    </w:p>
    <w:p w:rsidR="00972241" w:rsidRPr="00D910D8" w:rsidRDefault="002606F8" w:rsidP="00E6418E">
      <w:pPr>
        <w:pStyle w:val="ParaNoNdepar-AltN"/>
        <w:rPr>
          <w:rFonts w:cs="Times New Roman"/>
          <w:szCs w:val="24"/>
          <w:u w:val="single"/>
        </w:rPr>
      </w:pPr>
      <w:r w:rsidRPr="00D910D8">
        <w:rPr>
          <w:rFonts w:cs="Times New Roman"/>
          <w:szCs w:val="24"/>
        </w:rPr>
        <w:t xml:space="preserve">The elusiveness of a workable test to define policy decisions </w:t>
      </w:r>
      <w:r w:rsidR="00A41594" w:rsidRPr="00D910D8">
        <w:rPr>
          <w:rFonts w:cs="Times New Roman"/>
          <w:szCs w:val="24"/>
        </w:rPr>
        <w:t xml:space="preserve">protected </w:t>
      </w:r>
      <w:r w:rsidRPr="00D910D8">
        <w:rPr>
          <w:rFonts w:cs="Times New Roman"/>
          <w:szCs w:val="24"/>
        </w:rPr>
        <w:t xml:space="preserve">from judicial review is captured by the history of the issue in various courts.  I begin with the House of Lords.  The House initially adopted the view that all discretionary decisions of government are immune, unless they are irrational: </w:t>
      </w:r>
      <w:r w:rsidR="00F6171A" w:rsidRPr="00D910D8">
        <w:rPr>
          <w:rFonts w:cs="Times New Roman"/>
          <w:i/>
          <w:szCs w:val="24"/>
        </w:rPr>
        <w:t xml:space="preserve"> Dorset Yacht</w:t>
      </w:r>
      <w:r w:rsidR="008D4C9C" w:rsidRPr="00D910D8">
        <w:rPr>
          <w:rFonts w:cs="Times New Roman"/>
          <w:szCs w:val="24"/>
        </w:rPr>
        <w:t>.</w:t>
      </w:r>
      <w:r w:rsidRPr="00D910D8">
        <w:rPr>
          <w:rFonts w:cs="Times New Roman"/>
          <w:szCs w:val="24"/>
        </w:rPr>
        <w:t xml:space="preserve">  It </w:t>
      </w:r>
      <w:r w:rsidR="00204356" w:rsidRPr="00D910D8">
        <w:rPr>
          <w:rFonts w:cs="Times New Roman"/>
          <w:szCs w:val="24"/>
        </w:rPr>
        <w:t>then</w:t>
      </w:r>
      <w:r w:rsidRPr="00D910D8">
        <w:rPr>
          <w:rFonts w:cs="Times New Roman"/>
          <w:szCs w:val="24"/>
        </w:rPr>
        <w:t xml:space="preserve"> moved on to a two-stage test that asked first whether the decision was discretionary and</w:t>
      </w:r>
      <w:r w:rsidR="00F6171A" w:rsidRPr="00D910D8">
        <w:rPr>
          <w:rFonts w:cs="Times New Roman"/>
          <w:szCs w:val="24"/>
        </w:rPr>
        <w:t>,</w:t>
      </w:r>
      <w:r w:rsidRPr="00D910D8">
        <w:rPr>
          <w:rFonts w:cs="Times New Roman"/>
          <w:szCs w:val="24"/>
        </w:rPr>
        <w:t xml:space="preserve"> if so, rational; and asked second whether it was a core policy decision, in which case it was entirely exempt from judicial scrutiny: </w:t>
      </w:r>
      <w:r w:rsidR="008D4C9C" w:rsidRPr="00D910D8">
        <w:rPr>
          <w:rFonts w:cs="Times New Roman"/>
          <w:i/>
          <w:szCs w:val="24"/>
        </w:rPr>
        <w:t>X</w:t>
      </w:r>
      <w:r w:rsidRPr="00D910D8">
        <w:rPr>
          <w:rFonts w:cs="Times New Roman"/>
          <w:i/>
          <w:szCs w:val="24"/>
        </w:rPr>
        <w:t xml:space="preserve"> v. Bedfor</w:t>
      </w:r>
      <w:r w:rsidR="008D4C9C" w:rsidRPr="00D910D8">
        <w:rPr>
          <w:rFonts w:cs="Times New Roman"/>
          <w:i/>
          <w:szCs w:val="24"/>
        </w:rPr>
        <w:t>d</w:t>
      </w:r>
      <w:r w:rsidRPr="00D910D8">
        <w:rPr>
          <w:rFonts w:cs="Times New Roman"/>
          <w:i/>
          <w:szCs w:val="24"/>
        </w:rPr>
        <w:t>shire County Council</w:t>
      </w:r>
      <w:r w:rsidRPr="00D910D8">
        <w:rPr>
          <w:rFonts w:cs="Times New Roman"/>
          <w:szCs w:val="24"/>
        </w:rPr>
        <w:t>, [1995] 3 All E.R. 353.  Within a year of adopting this two-stage test, the House abandoned it with a ringing declamation of the policy/operati</w:t>
      </w:r>
      <w:r w:rsidR="00B97AA3" w:rsidRPr="00D910D8">
        <w:rPr>
          <w:rFonts w:cs="Times New Roman"/>
          <w:szCs w:val="24"/>
        </w:rPr>
        <w:t xml:space="preserve">onal distinction as unworkable </w:t>
      </w:r>
      <w:r w:rsidRPr="00D910D8">
        <w:rPr>
          <w:rFonts w:cs="Times New Roman"/>
          <w:szCs w:val="24"/>
        </w:rPr>
        <w:t>in difficult cases, a point said to be evidenced by the Canadian jurisprudence</w:t>
      </w:r>
      <w:r w:rsidR="006453E5" w:rsidRPr="00D910D8">
        <w:rPr>
          <w:rFonts w:cs="Times New Roman"/>
          <w:szCs w:val="24"/>
        </w:rPr>
        <w:t xml:space="preserve">: </w:t>
      </w:r>
      <w:r w:rsidR="006453E5" w:rsidRPr="00D910D8">
        <w:rPr>
          <w:rFonts w:cs="Times New Roman"/>
          <w:i/>
          <w:szCs w:val="24"/>
        </w:rPr>
        <w:t>Stovin v. Wise</w:t>
      </w:r>
      <w:r w:rsidR="006453E5" w:rsidRPr="00D910D8">
        <w:rPr>
          <w:rFonts w:cs="Times New Roman"/>
          <w:szCs w:val="24"/>
        </w:rPr>
        <w:t>, [1996] A.C. 92</w:t>
      </w:r>
      <w:r w:rsidR="008D4C9C" w:rsidRPr="00D910D8">
        <w:rPr>
          <w:rFonts w:cs="Times New Roman"/>
          <w:szCs w:val="24"/>
        </w:rPr>
        <w:t>3</w:t>
      </w:r>
      <w:r w:rsidR="006453E5" w:rsidRPr="00D910D8">
        <w:rPr>
          <w:rFonts w:cs="Times New Roman"/>
          <w:szCs w:val="24"/>
        </w:rPr>
        <w:t xml:space="preserve"> (H.L.), </w:t>
      </w:r>
      <w:r w:rsidRPr="00D910D8">
        <w:rPr>
          <w:rFonts w:cs="Times New Roman"/>
          <w:i/>
          <w:szCs w:val="24"/>
        </w:rPr>
        <w:t>per</w:t>
      </w:r>
      <w:r w:rsidR="006453E5" w:rsidRPr="00D910D8">
        <w:rPr>
          <w:rFonts w:cs="Times New Roman"/>
          <w:szCs w:val="24"/>
        </w:rPr>
        <w:t xml:space="preserve"> Lord Hoffman</w:t>
      </w:r>
      <w:r w:rsidR="001A6529" w:rsidRPr="00D910D8">
        <w:rPr>
          <w:rFonts w:cs="Times New Roman"/>
          <w:szCs w:val="24"/>
        </w:rPr>
        <w:t>n</w:t>
      </w:r>
      <w:r w:rsidRPr="00D910D8">
        <w:rPr>
          <w:rFonts w:cs="Times New Roman"/>
          <w:szCs w:val="24"/>
        </w:rPr>
        <w:t xml:space="preserve">.  </w:t>
      </w:r>
      <w:r w:rsidR="00204356" w:rsidRPr="00D910D8">
        <w:rPr>
          <w:rFonts w:cs="Times New Roman"/>
          <w:szCs w:val="24"/>
        </w:rPr>
        <w:t>I</w:t>
      </w:r>
      <w:r w:rsidRPr="00D910D8">
        <w:rPr>
          <w:rFonts w:cs="Times New Roman"/>
          <w:szCs w:val="24"/>
        </w:rPr>
        <w:t>n its most recent foray into the subject, the House of Lords affirmed that both the policy/operational distinction and the discretionary decision approach are valuable tools for discerning</w:t>
      </w:r>
      <w:r w:rsidR="00276C91" w:rsidRPr="00D910D8">
        <w:rPr>
          <w:rFonts w:cs="Times New Roman"/>
          <w:szCs w:val="24"/>
        </w:rPr>
        <w:t xml:space="preserve"> which government decisions </w:t>
      </w:r>
      <w:r w:rsidRPr="00D910D8">
        <w:rPr>
          <w:rFonts w:cs="Times New Roman"/>
          <w:szCs w:val="24"/>
        </w:rPr>
        <w:t>attract tort liability, but held that the final test is a “</w:t>
      </w:r>
      <w:r w:rsidR="0003190D" w:rsidRPr="00D910D8">
        <w:rPr>
          <w:rFonts w:cs="Times New Roman"/>
          <w:szCs w:val="24"/>
        </w:rPr>
        <w:t>justiciability</w:t>
      </w:r>
      <w:r w:rsidRPr="00D910D8">
        <w:rPr>
          <w:rFonts w:cs="Times New Roman"/>
          <w:szCs w:val="24"/>
        </w:rPr>
        <w:t>” test:</w:t>
      </w:r>
      <w:r w:rsidRPr="00D910D8">
        <w:rPr>
          <w:rFonts w:cs="Times New Roman"/>
          <w:i/>
          <w:szCs w:val="24"/>
        </w:rPr>
        <w:t xml:space="preserve"> Barrett v. Enfield</w:t>
      </w:r>
      <w:r w:rsidR="00276C91" w:rsidRPr="00D910D8">
        <w:rPr>
          <w:rFonts w:cs="Times New Roman"/>
          <w:i/>
          <w:szCs w:val="24"/>
        </w:rPr>
        <w:t xml:space="preserve"> London Borough Council</w:t>
      </w:r>
      <w:r w:rsidRPr="00D910D8">
        <w:rPr>
          <w:rFonts w:cs="Times New Roman"/>
          <w:szCs w:val="24"/>
        </w:rPr>
        <w:t xml:space="preserve">, [2001] 2 A.C. 550.  The ultimate question on this test is whether the court is institutionally capable of deciding on the question, or “whether the court should accept that it has no role to play” (p. 571).  </w:t>
      </w:r>
      <w:r w:rsidR="00204356" w:rsidRPr="00D910D8">
        <w:rPr>
          <w:rFonts w:cs="Times New Roman"/>
          <w:szCs w:val="24"/>
        </w:rPr>
        <w:t>Thus a</w:t>
      </w:r>
      <w:r w:rsidRPr="00D910D8">
        <w:rPr>
          <w:rFonts w:cs="Times New Roman"/>
          <w:szCs w:val="24"/>
        </w:rPr>
        <w:t xml:space="preserve">t the end of </w:t>
      </w:r>
      <w:r w:rsidR="00204356" w:rsidRPr="00D910D8">
        <w:rPr>
          <w:rFonts w:cs="Times New Roman"/>
          <w:szCs w:val="24"/>
        </w:rPr>
        <w:t xml:space="preserve">the </w:t>
      </w:r>
      <w:r w:rsidRPr="00D910D8">
        <w:rPr>
          <w:rFonts w:cs="Times New Roman"/>
          <w:szCs w:val="24"/>
        </w:rPr>
        <w:t xml:space="preserve">long judicial </w:t>
      </w:r>
      <w:r w:rsidRPr="00D910D8">
        <w:rPr>
          <w:rFonts w:cs="Times New Roman"/>
          <w:szCs w:val="24"/>
        </w:rPr>
        <w:lastRenderedPageBreak/>
        <w:t>voyage</w:t>
      </w:r>
      <w:r w:rsidR="00204356" w:rsidRPr="00D910D8">
        <w:rPr>
          <w:rFonts w:cs="Times New Roman"/>
          <w:szCs w:val="24"/>
        </w:rPr>
        <w:t xml:space="preserve"> the traveller </w:t>
      </w:r>
      <w:r w:rsidRPr="00D910D8">
        <w:rPr>
          <w:rFonts w:cs="Times New Roman"/>
          <w:szCs w:val="24"/>
        </w:rPr>
        <w:t>arrives at a test that essentially restates the question.  When should the court hold</w:t>
      </w:r>
      <w:r w:rsidR="00A41594" w:rsidRPr="00D910D8">
        <w:rPr>
          <w:rFonts w:cs="Times New Roman"/>
          <w:szCs w:val="24"/>
        </w:rPr>
        <w:t xml:space="preserve"> that</w:t>
      </w:r>
      <w:r w:rsidRPr="00D910D8">
        <w:rPr>
          <w:rFonts w:cs="Times New Roman"/>
          <w:szCs w:val="24"/>
        </w:rPr>
        <w:t xml:space="preserve"> a government decision </w:t>
      </w:r>
      <w:r w:rsidR="00A41594" w:rsidRPr="00D910D8">
        <w:rPr>
          <w:rFonts w:cs="Times New Roman"/>
          <w:szCs w:val="24"/>
        </w:rPr>
        <w:t xml:space="preserve">is protected </w:t>
      </w:r>
      <w:r w:rsidRPr="00D910D8">
        <w:rPr>
          <w:rFonts w:cs="Times New Roman"/>
          <w:szCs w:val="24"/>
        </w:rPr>
        <w:t xml:space="preserve">from </w:t>
      </w:r>
      <w:r w:rsidR="00A41594" w:rsidRPr="00D910D8">
        <w:rPr>
          <w:rFonts w:cs="Times New Roman"/>
          <w:szCs w:val="24"/>
        </w:rPr>
        <w:t>negligence liability</w:t>
      </w:r>
      <w:r w:rsidRPr="00D910D8">
        <w:rPr>
          <w:rFonts w:cs="Times New Roman"/>
          <w:szCs w:val="24"/>
        </w:rPr>
        <w:t xml:space="preserve">?  </w:t>
      </w:r>
      <w:r w:rsidR="00204356" w:rsidRPr="00D910D8">
        <w:rPr>
          <w:rFonts w:cs="Times New Roman"/>
          <w:szCs w:val="24"/>
        </w:rPr>
        <w:t>W</w:t>
      </w:r>
      <w:r w:rsidRPr="00D910D8">
        <w:rPr>
          <w:rFonts w:cs="Times New Roman"/>
          <w:szCs w:val="24"/>
        </w:rPr>
        <w:t xml:space="preserve">hen the </w:t>
      </w:r>
      <w:r w:rsidR="00276C91" w:rsidRPr="00D910D8">
        <w:rPr>
          <w:rFonts w:cs="Times New Roman"/>
          <w:szCs w:val="24"/>
        </w:rPr>
        <w:t>c</w:t>
      </w:r>
      <w:r w:rsidRPr="00D910D8">
        <w:rPr>
          <w:rFonts w:cs="Times New Roman"/>
          <w:szCs w:val="24"/>
        </w:rPr>
        <w:t>ourt concludes that the matter is one for the government and not the courts.</w:t>
      </w:r>
    </w:p>
    <w:p w:rsidR="005331A6" w:rsidRPr="00D910D8" w:rsidRDefault="002606F8" w:rsidP="00E6418E">
      <w:pPr>
        <w:pStyle w:val="ParaNoNdepar-AltN"/>
        <w:rPr>
          <w:rFonts w:cs="Times New Roman"/>
          <w:szCs w:val="24"/>
          <w:u w:val="single"/>
        </w:rPr>
      </w:pPr>
      <w:r w:rsidRPr="00D910D8">
        <w:rPr>
          <w:rFonts w:cs="Times New Roman"/>
          <w:szCs w:val="24"/>
        </w:rPr>
        <w:t xml:space="preserve">Australian judges in successive cases have divided between a discretionary/irrationality model and a “true policy” model.  In </w:t>
      </w:r>
      <w:r w:rsidRPr="00D910D8">
        <w:rPr>
          <w:rFonts w:cs="Times New Roman"/>
          <w:i/>
          <w:szCs w:val="24"/>
        </w:rPr>
        <w:t>Sutherland Shire Council v. Heyman</w:t>
      </w:r>
      <w:r w:rsidRPr="00D910D8">
        <w:rPr>
          <w:rFonts w:cs="Times New Roman"/>
          <w:szCs w:val="24"/>
        </w:rPr>
        <w:t xml:space="preserve"> (1985), 157 C</w:t>
      </w:r>
      <w:r w:rsidR="00276C91" w:rsidRPr="00D910D8">
        <w:rPr>
          <w:rFonts w:cs="Times New Roman"/>
          <w:szCs w:val="24"/>
        </w:rPr>
        <w:t>.</w:t>
      </w:r>
      <w:r w:rsidRPr="00D910D8">
        <w:rPr>
          <w:rFonts w:cs="Times New Roman"/>
          <w:szCs w:val="24"/>
        </w:rPr>
        <w:t>L</w:t>
      </w:r>
      <w:r w:rsidR="00276C91" w:rsidRPr="00D910D8">
        <w:rPr>
          <w:rFonts w:cs="Times New Roman"/>
          <w:szCs w:val="24"/>
        </w:rPr>
        <w:t>.</w:t>
      </w:r>
      <w:r w:rsidRPr="00D910D8">
        <w:rPr>
          <w:rFonts w:cs="Times New Roman"/>
          <w:szCs w:val="24"/>
        </w:rPr>
        <w:t>R</w:t>
      </w:r>
      <w:r w:rsidR="00276C91" w:rsidRPr="00D910D8">
        <w:rPr>
          <w:rFonts w:cs="Times New Roman"/>
          <w:szCs w:val="24"/>
        </w:rPr>
        <w:t>.</w:t>
      </w:r>
      <w:r w:rsidRPr="00D910D8">
        <w:rPr>
          <w:rFonts w:cs="Times New Roman"/>
          <w:szCs w:val="24"/>
        </w:rPr>
        <w:t xml:space="preserve"> 424</w:t>
      </w:r>
      <w:r w:rsidR="00276C91" w:rsidRPr="00D910D8">
        <w:rPr>
          <w:rFonts w:cs="Times New Roman"/>
          <w:szCs w:val="24"/>
        </w:rPr>
        <w:t xml:space="preserve"> (H.C.)</w:t>
      </w:r>
      <w:r w:rsidRPr="00D910D8">
        <w:rPr>
          <w:rFonts w:cs="Times New Roman"/>
          <w:szCs w:val="24"/>
        </w:rPr>
        <w:t xml:space="preserve">, two of the justices (Gibbs C.J. and Wilson J.) adopted the </w:t>
      </w:r>
      <w:r w:rsidRPr="00D910D8">
        <w:rPr>
          <w:rFonts w:cs="Times New Roman"/>
          <w:i/>
          <w:szCs w:val="24"/>
        </w:rPr>
        <w:t xml:space="preserve">Dorset Yacht </w:t>
      </w:r>
      <w:r w:rsidRPr="00D910D8">
        <w:rPr>
          <w:rFonts w:cs="Times New Roman"/>
          <w:szCs w:val="24"/>
        </w:rPr>
        <w:t>rule that all discretionary decisions are immune</w:t>
      </w:r>
      <w:r w:rsidR="00276C91" w:rsidRPr="00D910D8">
        <w:rPr>
          <w:rFonts w:cs="Times New Roman"/>
          <w:szCs w:val="24"/>
        </w:rPr>
        <w:t>,</w:t>
      </w:r>
      <w:r w:rsidRPr="00D910D8">
        <w:rPr>
          <w:rFonts w:cs="Times New Roman"/>
          <w:szCs w:val="24"/>
        </w:rPr>
        <w:t xml:space="preserve"> provided they are rational (</w:t>
      </w:r>
      <w:r w:rsidR="00213994" w:rsidRPr="00D910D8">
        <w:rPr>
          <w:rFonts w:cs="Times New Roman"/>
          <w:szCs w:val="24"/>
        </w:rPr>
        <w:t>p.</w:t>
      </w:r>
      <w:r w:rsidRPr="00D910D8">
        <w:rPr>
          <w:rFonts w:cs="Times New Roman"/>
          <w:szCs w:val="24"/>
        </w:rPr>
        <w:t xml:space="preserve"> 442).  They endorsed the policy/operational distinction as a logical test for discerning which decisions </w:t>
      </w:r>
      <w:r w:rsidR="00A41594" w:rsidRPr="00D910D8">
        <w:rPr>
          <w:rFonts w:cs="Times New Roman"/>
          <w:szCs w:val="24"/>
        </w:rPr>
        <w:t xml:space="preserve">should be </w:t>
      </w:r>
      <w:proofErr w:type="gramStart"/>
      <w:r w:rsidR="00A41594" w:rsidRPr="00D910D8">
        <w:rPr>
          <w:rFonts w:cs="Times New Roman"/>
          <w:szCs w:val="24"/>
        </w:rPr>
        <w:t>protected</w:t>
      </w:r>
      <w:r w:rsidRPr="00D910D8">
        <w:rPr>
          <w:rFonts w:cs="Times New Roman"/>
          <w:szCs w:val="24"/>
        </w:rPr>
        <w:t>,</w:t>
      </w:r>
      <w:proofErr w:type="gramEnd"/>
      <w:r w:rsidRPr="00D910D8">
        <w:rPr>
          <w:rFonts w:cs="Times New Roman"/>
          <w:szCs w:val="24"/>
        </w:rPr>
        <w:t xml:space="preserve"> and adopted Lord Wilberforce’s definition of policy as a synonym for discretion.  Mason J., by contrast, held that only core policy decisions, which he viewed as a narrower subset of discretionary decisions, were </w:t>
      </w:r>
      <w:r w:rsidR="00A41594" w:rsidRPr="00D910D8">
        <w:rPr>
          <w:rFonts w:cs="Times New Roman"/>
          <w:szCs w:val="24"/>
        </w:rPr>
        <w:t xml:space="preserve">protected </w:t>
      </w:r>
      <w:r w:rsidRPr="00D910D8">
        <w:rPr>
          <w:rFonts w:cs="Times New Roman"/>
          <w:szCs w:val="24"/>
        </w:rPr>
        <w:t>(</w:t>
      </w:r>
      <w:r w:rsidR="00213994" w:rsidRPr="00D910D8">
        <w:rPr>
          <w:rFonts w:cs="Times New Roman"/>
          <w:szCs w:val="24"/>
        </w:rPr>
        <w:t>p.</w:t>
      </w:r>
      <w:r w:rsidRPr="00D910D8">
        <w:rPr>
          <w:rFonts w:cs="Times New Roman"/>
          <w:szCs w:val="24"/>
        </w:rPr>
        <w:t xml:space="preserve"> 500).  Deane J. </w:t>
      </w:r>
      <w:r w:rsidR="00D23718" w:rsidRPr="00D910D8">
        <w:rPr>
          <w:rFonts w:cs="Times New Roman"/>
          <w:szCs w:val="24"/>
        </w:rPr>
        <w:t xml:space="preserve">agreed with Mason J. </w:t>
      </w:r>
      <w:r w:rsidRPr="00D910D8">
        <w:rPr>
          <w:rFonts w:cs="Times New Roman"/>
          <w:szCs w:val="24"/>
        </w:rPr>
        <w:t xml:space="preserve">for somewhat different reasons.  </w:t>
      </w:r>
      <w:r w:rsidR="005331A6" w:rsidRPr="00D910D8">
        <w:rPr>
          <w:rFonts w:cs="Times New Roman"/>
          <w:szCs w:val="24"/>
        </w:rPr>
        <w:t>Brennan J. did not comment</w:t>
      </w:r>
      <w:r w:rsidR="00825591" w:rsidRPr="00D910D8">
        <w:rPr>
          <w:rFonts w:cs="Times New Roman"/>
          <w:szCs w:val="24"/>
        </w:rPr>
        <w:t xml:space="preserve"> on which test should be adopted</w:t>
      </w:r>
      <w:r w:rsidR="00A7172A" w:rsidRPr="00D910D8">
        <w:rPr>
          <w:rFonts w:cs="Times New Roman"/>
          <w:szCs w:val="24"/>
        </w:rPr>
        <w:t>, leaving the test</w:t>
      </w:r>
      <w:r w:rsidR="005331A6" w:rsidRPr="00D910D8">
        <w:rPr>
          <w:rFonts w:cs="Times New Roman"/>
          <w:szCs w:val="24"/>
        </w:rPr>
        <w:t xml:space="preserve"> an open question.</w:t>
      </w:r>
      <w:r w:rsidR="00204356" w:rsidRPr="00D910D8">
        <w:rPr>
          <w:rFonts w:cs="Times New Roman"/>
          <w:szCs w:val="24"/>
        </w:rPr>
        <w:t xml:space="preserve">  </w:t>
      </w:r>
      <w:r w:rsidRPr="00D910D8">
        <w:rPr>
          <w:rFonts w:cs="Times New Roman"/>
          <w:szCs w:val="24"/>
        </w:rPr>
        <w:t xml:space="preserve">The Australian High Court again divided in </w:t>
      </w:r>
      <w:r w:rsidRPr="00D910D8">
        <w:rPr>
          <w:rFonts w:cs="Times New Roman"/>
          <w:i/>
          <w:szCs w:val="24"/>
        </w:rPr>
        <w:t>Pyrenees Shire Council v. Day</w:t>
      </w:r>
      <w:r w:rsidR="00276C91" w:rsidRPr="00D910D8">
        <w:rPr>
          <w:rFonts w:cs="Times New Roman"/>
          <w:szCs w:val="24"/>
        </w:rPr>
        <w:t>, [1998] HCA 3,</w:t>
      </w:r>
      <w:r w:rsidRPr="00D910D8">
        <w:rPr>
          <w:rFonts w:cs="Times New Roman"/>
          <w:szCs w:val="24"/>
        </w:rPr>
        <w:t xml:space="preserve"> 192 C</w:t>
      </w:r>
      <w:r w:rsidR="00276C91" w:rsidRPr="00D910D8">
        <w:rPr>
          <w:rFonts w:cs="Times New Roman"/>
          <w:szCs w:val="24"/>
        </w:rPr>
        <w:t>.</w:t>
      </w:r>
      <w:r w:rsidRPr="00D910D8">
        <w:rPr>
          <w:rFonts w:cs="Times New Roman"/>
          <w:szCs w:val="24"/>
        </w:rPr>
        <w:t>L</w:t>
      </w:r>
      <w:r w:rsidR="00276C91" w:rsidRPr="00D910D8">
        <w:rPr>
          <w:rFonts w:cs="Times New Roman"/>
          <w:szCs w:val="24"/>
        </w:rPr>
        <w:t>.</w:t>
      </w:r>
      <w:r w:rsidRPr="00D910D8">
        <w:rPr>
          <w:rFonts w:cs="Times New Roman"/>
          <w:szCs w:val="24"/>
        </w:rPr>
        <w:t>R</w:t>
      </w:r>
      <w:r w:rsidR="00276C91" w:rsidRPr="00D910D8">
        <w:rPr>
          <w:rFonts w:cs="Times New Roman"/>
          <w:szCs w:val="24"/>
        </w:rPr>
        <w:t>.</w:t>
      </w:r>
      <w:r w:rsidRPr="00D910D8">
        <w:rPr>
          <w:rFonts w:cs="Times New Roman"/>
          <w:szCs w:val="24"/>
        </w:rPr>
        <w:t xml:space="preserve"> 330, with three justices holding that </w:t>
      </w:r>
      <w:r w:rsidR="00FE3535" w:rsidRPr="00D910D8">
        <w:rPr>
          <w:rFonts w:cs="Times New Roman"/>
          <w:szCs w:val="24"/>
        </w:rPr>
        <w:t xml:space="preserve">a discretionary government action </w:t>
      </w:r>
      <w:r w:rsidRPr="00D910D8">
        <w:rPr>
          <w:rFonts w:cs="Times New Roman"/>
          <w:szCs w:val="24"/>
        </w:rPr>
        <w:t>will only attract liability if it is irrational and two justices endorsing diffe</w:t>
      </w:r>
      <w:r w:rsidR="00FE3535" w:rsidRPr="00D910D8">
        <w:rPr>
          <w:rFonts w:cs="Times New Roman"/>
          <w:szCs w:val="24"/>
        </w:rPr>
        <w:t>rent versions</w:t>
      </w:r>
      <w:r w:rsidRPr="00D910D8">
        <w:rPr>
          <w:rFonts w:cs="Times New Roman"/>
          <w:szCs w:val="24"/>
        </w:rPr>
        <w:t xml:space="preserve"> of the policy/operational distinction.</w:t>
      </w:r>
    </w:p>
    <w:p w:rsidR="00987809" w:rsidRPr="00D910D8" w:rsidRDefault="002606F8" w:rsidP="00E6418E">
      <w:pPr>
        <w:pStyle w:val="ParaNoNdepar-AltN"/>
        <w:rPr>
          <w:rFonts w:cs="Times New Roman"/>
          <w:szCs w:val="24"/>
        </w:rPr>
      </w:pPr>
      <w:r w:rsidRPr="00D910D8">
        <w:rPr>
          <w:rFonts w:cs="Times New Roman"/>
          <w:szCs w:val="24"/>
        </w:rPr>
        <w:lastRenderedPageBreak/>
        <w:t>In the United States, the liability of the federal government is g</w:t>
      </w:r>
      <w:r w:rsidR="00FE3535" w:rsidRPr="00D910D8">
        <w:rPr>
          <w:rFonts w:cs="Times New Roman"/>
          <w:szCs w:val="24"/>
        </w:rPr>
        <w:t xml:space="preserve">overned by the </w:t>
      </w:r>
      <w:r w:rsidR="00FE3535" w:rsidRPr="00D910D8">
        <w:rPr>
          <w:rFonts w:cs="Times New Roman"/>
          <w:i/>
          <w:szCs w:val="24"/>
        </w:rPr>
        <w:t>Federal Tort Claims Act</w:t>
      </w:r>
      <w:r w:rsidR="005B37B1" w:rsidRPr="00D910D8">
        <w:rPr>
          <w:rFonts w:cs="Times New Roman"/>
          <w:szCs w:val="24"/>
        </w:rPr>
        <w:t xml:space="preserve"> of 1946</w:t>
      </w:r>
      <w:r w:rsidR="00276C91" w:rsidRPr="00D910D8">
        <w:rPr>
          <w:rFonts w:cs="Times New Roman"/>
          <w:szCs w:val="24"/>
        </w:rPr>
        <w:t>, 28 U.S.C.</w:t>
      </w:r>
      <w:r w:rsidR="005B37B1" w:rsidRPr="00D910D8">
        <w:rPr>
          <w:rFonts w:cs="Times New Roman"/>
          <w:szCs w:val="24"/>
        </w:rPr>
        <w:t xml:space="preserve"> (“</w:t>
      </w:r>
      <w:r w:rsidR="00FE3535" w:rsidRPr="00D910D8">
        <w:rPr>
          <w:rFonts w:cs="Times New Roman"/>
          <w:i/>
          <w:szCs w:val="24"/>
        </w:rPr>
        <w:t>FTCA</w:t>
      </w:r>
      <w:r w:rsidR="005B37B1" w:rsidRPr="00D910D8">
        <w:rPr>
          <w:rFonts w:cs="Times New Roman"/>
          <w:szCs w:val="24"/>
        </w:rPr>
        <w:t>”)</w:t>
      </w:r>
      <w:r w:rsidR="00FE3535" w:rsidRPr="00D910D8">
        <w:rPr>
          <w:rFonts w:cs="Times New Roman"/>
          <w:szCs w:val="24"/>
        </w:rPr>
        <w:t>, which waived sovereign immunity for torts, but created an exemption for discretionary decisions.  Section 2680(a) excludes liability in tort for</w:t>
      </w:r>
    </w:p>
    <w:p w:rsidR="00987809" w:rsidRPr="00D910D8" w:rsidRDefault="00FE3535" w:rsidP="00E6418E">
      <w:pPr>
        <w:pStyle w:val="Citation-AltC"/>
        <w:rPr>
          <w:rFonts w:eastAsiaTheme="minorHAnsi"/>
          <w:szCs w:val="24"/>
        </w:rPr>
      </w:pPr>
      <w:r w:rsidRPr="00D910D8">
        <w:rPr>
          <w:rFonts w:eastAsiaTheme="minorHAnsi"/>
          <w:szCs w:val="24"/>
        </w:rPr>
        <w:t xml:space="preserve">[a]ny claim based upon an act or omission of an employee of the Government, exercising due care, in the execution of a statute or regulation, whether or not such statute or regulation be valid, </w:t>
      </w:r>
      <w:r w:rsidRPr="00D910D8">
        <w:rPr>
          <w:rFonts w:eastAsiaTheme="minorHAnsi"/>
          <w:szCs w:val="24"/>
          <w:u w:val="single"/>
        </w:rPr>
        <w:t>or based upon the exercise or performance or the failure to exercise or perform a discretionary function or duty on the part of</w:t>
      </w:r>
      <w:r w:rsidR="00F97D14" w:rsidRPr="00D910D8">
        <w:rPr>
          <w:rFonts w:eastAsiaTheme="minorHAnsi"/>
          <w:szCs w:val="24"/>
          <w:u w:val="single"/>
        </w:rPr>
        <w:t xml:space="preserve"> </w:t>
      </w:r>
      <w:r w:rsidRPr="00D910D8">
        <w:rPr>
          <w:rFonts w:eastAsiaTheme="minorHAnsi"/>
          <w:szCs w:val="24"/>
          <w:u w:val="single"/>
        </w:rPr>
        <w:t>a</w:t>
      </w:r>
      <w:r w:rsidR="00F97D14" w:rsidRPr="00D910D8">
        <w:rPr>
          <w:rFonts w:eastAsiaTheme="minorHAnsi"/>
          <w:szCs w:val="24"/>
          <w:u w:val="single"/>
        </w:rPr>
        <w:t xml:space="preserve"> federal agency or an employee</w:t>
      </w:r>
      <w:r w:rsidRPr="00D910D8">
        <w:rPr>
          <w:rFonts w:eastAsiaTheme="minorHAnsi"/>
          <w:i/>
          <w:szCs w:val="24"/>
          <w:u w:val="single"/>
        </w:rPr>
        <w:t xml:space="preserve"> </w:t>
      </w:r>
      <w:r w:rsidRPr="00D910D8">
        <w:rPr>
          <w:rFonts w:eastAsiaTheme="minorHAnsi"/>
          <w:szCs w:val="24"/>
          <w:u w:val="single"/>
        </w:rPr>
        <w:t>of the Government, whether or not the discretion involved be abused</w:t>
      </w:r>
      <w:r w:rsidRPr="00D910D8">
        <w:rPr>
          <w:rFonts w:eastAsiaTheme="minorHAnsi"/>
          <w:szCs w:val="24"/>
        </w:rPr>
        <w:t>.</w:t>
      </w:r>
    </w:p>
    <w:p w:rsidR="001C0A76" w:rsidRPr="00D910D8" w:rsidRDefault="00FE3535" w:rsidP="00E6418E">
      <w:pPr>
        <w:pStyle w:val="ContinueParaSuitedupar-AltP"/>
        <w:rPr>
          <w:rFonts w:cs="Times New Roman"/>
          <w:szCs w:val="24"/>
          <w:u w:val="single"/>
        </w:rPr>
      </w:pPr>
      <w:r w:rsidRPr="00D910D8">
        <w:rPr>
          <w:rFonts w:cs="Times New Roman"/>
          <w:szCs w:val="24"/>
        </w:rPr>
        <w:t xml:space="preserve">Significantly, s. 2680(h) of the </w:t>
      </w:r>
      <w:r w:rsidRPr="00D910D8">
        <w:rPr>
          <w:rFonts w:cs="Times New Roman"/>
          <w:i/>
          <w:szCs w:val="24"/>
        </w:rPr>
        <w:t>FTCA</w:t>
      </w:r>
      <w:r w:rsidRPr="00D910D8">
        <w:rPr>
          <w:rFonts w:cs="Times New Roman"/>
          <w:szCs w:val="24"/>
        </w:rPr>
        <w:t xml:space="preserve"> exempts the federal government from any claim of misrepresentation, either intentional or negligent:</w:t>
      </w:r>
      <w:r w:rsidR="002606F8" w:rsidRPr="00D910D8">
        <w:rPr>
          <w:rFonts w:cs="Times New Roman"/>
          <w:szCs w:val="24"/>
        </w:rPr>
        <w:t xml:space="preserve"> </w:t>
      </w:r>
      <w:r w:rsidRPr="00D910D8">
        <w:rPr>
          <w:rFonts w:cs="Times New Roman"/>
          <w:bCs/>
          <w:i/>
          <w:szCs w:val="24"/>
        </w:rPr>
        <w:t>Office of P</w:t>
      </w:r>
      <w:r w:rsidR="002606F8" w:rsidRPr="00D910D8">
        <w:rPr>
          <w:rFonts w:cs="Times New Roman"/>
          <w:bCs/>
          <w:i/>
          <w:szCs w:val="24"/>
        </w:rPr>
        <w:t>ersonnel Management v. Richmond</w:t>
      </w:r>
      <w:r w:rsidR="002606F8" w:rsidRPr="00D910D8">
        <w:rPr>
          <w:rFonts w:cs="Times New Roman"/>
          <w:bCs/>
          <w:szCs w:val="24"/>
        </w:rPr>
        <w:t>,</w:t>
      </w:r>
      <w:r w:rsidR="002606F8" w:rsidRPr="00D910D8">
        <w:rPr>
          <w:rFonts w:cs="Times New Roman"/>
          <w:bCs/>
          <w:i/>
          <w:szCs w:val="24"/>
        </w:rPr>
        <w:t xml:space="preserve"> </w:t>
      </w:r>
      <w:bookmarkStart w:id="19" w:name="citeas((Cite_as:_496_U.S._414,_110_S.Ct."/>
      <w:bookmarkEnd w:id="19"/>
      <w:r w:rsidR="006A6AF3" w:rsidRPr="00D910D8">
        <w:rPr>
          <w:rFonts w:cs="Times New Roman"/>
          <w:bCs/>
          <w:szCs w:val="24"/>
        </w:rPr>
        <w:t>496 U.S. 414</w:t>
      </w:r>
      <w:r w:rsidR="00F97D14" w:rsidRPr="00D910D8">
        <w:rPr>
          <w:rFonts w:cs="Times New Roman"/>
          <w:bCs/>
          <w:szCs w:val="24"/>
        </w:rPr>
        <w:t xml:space="preserve"> (1990), </w:t>
      </w:r>
      <w:r w:rsidR="001A679C" w:rsidRPr="00D910D8">
        <w:rPr>
          <w:rFonts w:cs="Times New Roman"/>
          <w:bCs/>
          <w:szCs w:val="24"/>
        </w:rPr>
        <w:t xml:space="preserve">at </w:t>
      </w:r>
      <w:r w:rsidR="00F97D14" w:rsidRPr="00D910D8">
        <w:rPr>
          <w:rFonts w:cs="Times New Roman"/>
          <w:bCs/>
          <w:szCs w:val="24"/>
        </w:rPr>
        <w:t>p.</w:t>
      </w:r>
      <w:r w:rsidR="00276C91" w:rsidRPr="00D910D8">
        <w:rPr>
          <w:rFonts w:cs="Times New Roman"/>
          <w:bCs/>
          <w:szCs w:val="24"/>
        </w:rPr>
        <w:t xml:space="preserve"> </w:t>
      </w:r>
      <w:r w:rsidR="001A679C" w:rsidRPr="00D910D8">
        <w:rPr>
          <w:rFonts w:cs="Times New Roman"/>
          <w:bCs/>
          <w:szCs w:val="24"/>
        </w:rPr>
        <w:t>430</w:t>
      </w:r>
      <w:r w:rsidR="003468EB" w:rsidRPr="00D910D8">
        <w:rPr>
          <w:rFonts w:cs="Times New Roman"/>
          <w:bCs/>
          <w:szCs w:val="24"/>
        </w:rPr>
        <w:t xml:space="preserve">; </w:t>
      </w:r>
      <w:r w:rsidR="003468EB" w:rsidRPr="00D910D8">
        <w:rPr>
          <w:rFonts w:cs="Times New Roman"/>
          <w:bCs/>
          <w:i/>
          <w:szCs w:val="24"/>
        </w:rPr>
        <w:t>United States v. Neustadt</w:t>
      </w:r>
      <w:r w:rsidR="003468EB" w:rsidRPr="00D910D8">
        <w:rPr>
          <w:rFonts w:cs="Times New Roman"/>
          <w:bCs/>
          <w:szCs w:val="24"/>
        </w:rPr>
        <w:t>, 366 U.S. 696 (1961)</w:t>
      </w:r>
      <w:r w:rsidR="002606F8" w:rsidRPr="00D910D8">
        <w:rPr>
          <w:rFonts w:cs="Times New Roman"/>
          <w:bCs/>
          <w:szCs w:val="24"/>
        </w:rPr>
        <w:t>.</w:t>
      </w:r>
    </w:p>
    <w:p w:rsidR="00F10641" w:rsidRPr="00D910D8" w:rsidRDefault="002606F8" w:rsidP="00E6418E">
      <w:pPr>
        <w:pStyle w:val="ParaNoNdepar-AltN"/>
        <w:rPr>
          <w:rFonts w:cs="Times New Roman"/>
          <w:szCs w:val="24"/>
        </w:rPr>
      </w:pPr>
      <w:r w:rsidRPr="00D910D8">
        <w:rPr>
          <w:rFonts w:cs="Times New Roman"/>
          <w:szCs w:val="24"/>
        </w:rPr>
        <w:t xml:space="preserve">Without detailing the complex history of the American jurisprudence on the issue, it suffices to say that the cases have narrowed the concept of discretion in the </w:t>
      </w:r>
      <w:r w:rsidRPr="00D910D8">
        <w:rPr>
          <w:rFonts w:cs="Times New Roman"/>
          <w:i/>
          <w:szCs w:val="24"/>
        </w:rPr>
        <w:t>FTCA</w:t>
      </w:r>
      <w:r w:rsidRPr="00D910D8">
        <w:rPr>
          <w:rFonts w:cs="Times New Roman"/>
          <w:szCs w:val="24"/>
        </w:rPr>
        <w:t xml:space="preserve"> by reference to the concept of policy.  Some cases develop this analysis by distinguishing between policy and operational decisions: e.g.</w:t>
      </w:r>
      <w:r w:rsidR="00CB3966" w:rsidRPr="00D910D8">
        <w:rPr>
          <w:rFonts w:cs="Times New Roman"/>
          <w:szCs w:val="24"/>
        </w:rPr>
        <w:t>,</w:t>
      </w:r>
      <w:r w:rsidRPr="00D910D8">
        <w:rPr>
          <w:rFonts w:cs="Times New Roman"/>
          <w:i/>
          <w:szCs w:val="24"/>
        </w:rPr>
        <w:t xml:space="preserve"> Dalehite v. United States</w:t>
      </w:r>
      <w:r w:rsidRPr="00D910D8">
        <w:rPr>
          <w:rFonts w:cs="Times New Roman"/>
          <w:szCs w:val="24"/>
        </w:rPr>
        <w:t xml:space="preserve">, 346 U.S. 15 (1953).  The Supreme Court of the United States has since distanced itself from the approach of defining a true policy decision negatively as “not operational”, in favour of an approach that asks whether the impugned state </w:t>
      </w:r>
      <w:r w:rsidRPr="00D910D8">
        <w:rPr>
          <w:rFonts w:cs="Times New Roman"/>
          <w:szCs w:val="24"/>
        </w:rPr>
        <w:lastRenderedPageBreak/>
        <w:t xml:space="preserve">conduct was based on public policy considerations.  In </w:t>
      </w:r>
      <w:r w:rsidRPr="00D910D8">
        <w:rPr>
          <w:rFonts w:cs="Times New Roman"/>
          <w:i/>
          <w:szCs w:val="24"/>
        </w:rPr>
        <w:t>United States v. Gaubert</w:t>
      </w:r>
      <w:r w:rsidRPr="00D910D8">
        <w:rPr>
          <w:rFonts w:cs="Times New Roman"/>
          <w:szCs w:val="24"/>
        </w:rPr>
        <w:t xml:space="preserve">, 499 U.S. 315 (1991), White J. faulted the Court of Appeals for relying on “a nonexistent dichotomy between discretionary functions </w:t>
      </w:r>
      <w:r w:rsidR="006932DD" w:rsidRPr="00D910D8">
        <w:rPr>
          <w:rFonts w:cs="Times New Roman"/>
          <w:szCs w:val="24"/>
        </w:rPr>
        <w:t>and operational activities” (</w:t>
      </w:r>
      <w:r w:rsidR="00F97D14" w:rsidRPr="00D910D8">
        <w:rPr>
          <w:rFonts w:cs="Times New Roman"/>
          <w:szCs w:val="24"/>
        </w:rPr>
        <w:t xml:space="preserve">p. </w:t>
      </w:r>
      <w:r w:rsidRPr="00D910D8">
        <w:rPr>
          <w:rFonts w:cs="Times New Roman"/>
          <w:szCs w:val="24"/>
        </w:rPr>
        <w:t xml:space="preserve">326). He held that the “discretionary function exception” of the </w:t>
      </w:r>
      <w:r w:rsidRPr="00D910D8">
        <w:rPr>
          <w:rFonts w:cs="Times New Roman"/>
          <w:i/>
          <w:szCs w:val="24"/>
        </w:rPr>
        <w:t>FTCA</w:t>
      </w:r>
      <w:r w:rsidRPr="00D910D8">
        <w:rPr>
          <w:rFonts w:cs="Times New Roman"/>
          <w:szCs w:val="24"/>
        </w:rPr>
        <w:t xml:space="preserve"> “</w:t>
      </w:r>
      <w:r w:rsidRPr="00D910D8">
        <w:rPr>
          <w:rFonts w:cs="Times New Roman"/>
          <w:szCs w:val="24"/>
          <w:u w:val="single"/>
        </w:rPr>
        <w:t>protects only governmental actions and decisions based on considerations of public policy</w:t>
      </w:r>
      <w:r w:rsidRPr="00D910D8">
        <w:rPr>
          <w:rFonts w:cs="Times New Roman"/>
          <w:szCs w:val="24"/>
        </w:rPr>
        <w:t xml:space="preserve">” (at </w:t>
      </w:r>
      <w:r w:rsidR="00F97D14" w:rsidRPr="00D910D8">
        <w:rPr>
          <w:rFonts w:cs="Times New Roman"/>
          <w:szCs w:val="24"/>
        </w:rPr>
        <w:t xml:space="preserve">p. </w:t>
      </w:r>
      <w:r w:rsidRPr="00D910D8">
        <w:rPr>
          <w:rFonts w:cs="Times New Roman"/>
          <w:szCs w:val="24"/>
        </w:rPr>
        <w:t>323</w:t>
      </w:r>
      <w:r w:rsidR="000203BB" w:rsidRPr="00D910D8">
        <w:rPr>
          <w:rFonts w:cs="Times New Roman"/>
          <w:szCs w:val="24"/>
        </w:rPr>
        <w:t xml:space="preserve">, citing </w:t>
      </w:r>
      <w:r w:rsidR="00F16C1C" w:rsidRPr="00D910D8">
        <w:rPr>
          <w:rFonts w:cs="Times New Roman"/>
          <w:i/>
          <w:szCs w:val="24"/>
        </w:rPr>
        <w:t>Berk</w:t>
      </w:r>
      <w:r w:rsidR="000203BB" w:rsidRPr="00D910D8">
        <w:rPr>
          <w:rFonts w:cs="Times New Roman"/>
          <w:i/>
          <w:szCs w:val="24"/>
        </w:rPr>
        <w:t>ovitz</w:t>
      </w:r>
      <w:r w:rsidR="00F16C1C" w:rsidRPr="00D910D8">
        <w:rPr>
          <w:rFonts w:cs="Times New Roman"/>
          <w:i/>
          <w:szCs w:val="24"/>
        </w:rPr>
        <w:t xml:space="preserve"> v. United States</w:t>
      </w:r>
      <w:r w:rsidR="00F16C1C" w:rsidRPr="00D910D8">
        <w:rPr>
          <w:rFonts w:cs="Times New Roman"/>
          <w:szCs w:val="24"/>
        </w:rPr>
        <w:t>, 486 U.S. 531 (1988)</w:t>
      </w:r>
      <w:r w:rsidR="000203BB" w:rsidRPr="00D910D8">
        <w:rPr>
          <w:rFonts w:cs="Times New Roman"/>
          <w:szCs w:val="24"/>
        </w:rPr>
        <w:t>, at p. 537</w:t>
      </w:r>
      <w:r w:rsidR="00204356" w:rsidRPr="00D910D8">
        <w:rPr>
          <w:rFonts w:cs="Times New Roman"/>
          <w:szCs w:val="24"/>
        </w:rPr>
        <w:t xml:space="preserve"> </w:t>
      </w:r>
      <w:r w:rsidR="006932DD" w:rsidRPr="00D910D8">
        <w:rPr>
          <w:rFonts w:cs="Times New Roman"/>
          <w:szCs w:val="24"/>
        </w:rPr>
        <w:t>(</w:t>
      </w:r>
      <w:r w:rsidR="00204356" w:rsidRPr="00D910D8">
        <w:rPr>
          <w:rFonts w:cs="Times New Roman"/>
          <w:szCs w:val="24"/>
        </w:rPr>
        <w:t>emphasis added</w:t>
      </w:r>
      <w:r w:rsidRPr="00D910D8">
        <w:rPr>
          <w:rFonts w:cs="Times New Roman"/>
          <w:szCs w:val="24"/>
        </w:rPr>
        <w:t>)</w:t>
      </w:r>
      <w:r w:rsidR="00065D19" w:rsidRPr="00D910D8">
        <w:rPr>
          <w:rFonts w:cs="Times New Roman"/>
          <w:szCs w:val="24"/>
        </w:rPr>
        <w:t>)</w:t>
      </w:r>
      <w:r w:rsidR="006932DD" w:rsidRPr="00D910D8">
        <w:rPr>
          <w:rFonts w:cs="Times New Roman"/>
          <w:szCs w:val="24"/>
        </w:rPr>
        <w:t>,</w:t>
      </w:r>
      <w:r w:rsidRPr="00D910D8">
        <w:rPr>
          <w:rFonts w:cs="Times New Roman"/>
          <w:szCs w:val="24"/>
        </w:rPr>
        <w:t xml:space="preserve"> such as those involving social, economi</w:t>
      </w:r>
      <w:r w:rsidR="00F97D14" w:rsidRPr="00D910D8">
        <w:rPr>
          <w:rFonts w:cs="Times New Roman"/>
          <w:szCs w:val="24"/>
        </w:rPr>
        <w:t>c and political considerations</w:t>
      </w:r>
      <w:r w:rsidRPr="00D910D8">
        <w:rPr>
          <w:rFonts w:cs="Times New Roman"/>
          <w:szCs w:val="24"/>
        </w:rPr>
        <w:t xml:space="preserve">: see also </w:t>
      </w:r>
      <w:r w:rsidRPr="00D910D8">
        <w:rPr>
          <w:rFonts w:eastAsiaTheme="minorHAnsi" w:cs="Times New Roman"/>
          <w:i/>
          <w:szCs w:val="24"/>
        </w:rPr>
        <w:t>U</w:t>
      </w:r>
      <w:r w:rsidR="006932DD" w:rsidRPr="00D910D8">
        <w:rPr>
          <w:rFonts w:eastAsiaTheme="minorHAnsi" w:cs="Times New Roman"/>
          <w:i/>
          <w:szCs w:val="24"/>
        </w:rPr>
        <w:t xml:space="preserve">nited </w:t>
      </w:r>
      <w:r w:rsidRPr="00D910D8">
        <w:rPr>
          <w:rFonts w:eastAsiaTheme="minorHAnsi" w:cs="Times New Roman"/>
          <w:i/>
          <w:szCs w:val="24"/>
        </w:rPr>
        <w:t>S</w:t>
      </w:r>
      <w:r w:rsidR="006932DD" w:rsidRPr="00D910D8">
        <w:rPr>
          <w:rFonts w:eastAsiaTheme="minorHAnsi" w:cs="Times New Roman"/>
          <w:i/>
          <w:szCs w:val="24"/>
        </w:rPr>
        <w:t>tates</w:t>
      </w:r>
      <w:r w:rsidRPr="00D910D8">
        <w:rPr>
          <w:rFonts w:eastAsiaTheme="minorHAnsi" w:cs="Times New Roman"/>
          <w:i/>
          <w:szCs w:val="24"/>
        </w:rPr>
        <w:t xml:space="preserve"> v. S.A. Empresa de Viacao Aerea Rio Grandense (Varig Airlines)</w:t>
      </w:r>
      <w:r w:rsidRPr="00D910D8">
        <w:rPr>
          <w:rFonts w:eastAsiaTheme="minorHAnsi" w:cs="Times New Roman"/>
          <w:szCs w:val="24"/>
        </w:rPr>
        <w:t>, 467 U.S. 797 (1984)</w:t>
      </w:r>
      <w:r w:rsidRPr="00D910D8">
        <w:rPr>
          <w:rFonts w:cs="Times New Roman"/>
          <w:szCs w:val="24"/>
        </w:rPr>
        <w:t>.</w:t>
      </w:r>
    </w:p>
    <w:p w:rsidR="00016AF4" w:rsidRPr="00D910D8" w:rsidRDefault="002606F8" w:rsidP="00E6418E">
      <w:pPr>
        <w:pStyle w:val="ParaNoNdepar-AltN"/>
        <w:rPr>
          <w:rFonts w:cs="Times New Roman"/>
          <w:szCs w:val="24"/>
        </w:rPr>
      </w:pPr>
      <w:r w:rsidRPr="00D910D8">
        <w:rPr>
          <w:rFonts w:cs="Times New Roman"/>
          <w:szCs w:val="24"/>
        </w:rPr>
        <w:t xml:space="preserve">In </w:t>
      </w:r>
      <w:r w:rsidRPr="00D910D8">
        <w:rPr>
          <w:rFonts w:cs="Times New Roman"/>
          <w:i/>
          <w:szCs w:val="24"/>
        </w:rPr>
        <w:t>Gaubert</w:t>
      </w:r>
      <w:r w:rsidRPr="00D910D8">
        <w:rPr>
          <w:rFonts w:cs="Times New Roman"/>
          <w:szCs w:val="24"/>
        </w:rPr>
        <w:t xml:space="preserve">, only Scalia J. found lingering appeal in defining policy decisions as “not operational”, but only in the narrow sense that people at the operational level will seldom make policy decisions.  He stated </w:t>
      </w:r>
      <w:r w:rsidR="00731861" w:rsidRPr="00D910D8">
        <w:rPr>
          <w:rFonts w:cs="Times New Roman"/>
          <w:szCs w:val="24"/>
        </w:rPr>
        <w:t xml:space="preserve">that </w:t>
      </w:r>
      <w:r w:rsidRPr="00D910D8">
        <w:rPr>
          <w:rFonts w:cs="Times New Roman"/>
          <w:szCs w:val="24"/>
        </w:rPr>
        <w:t>“there is something to the plann</w:t>
      </w:r>
      <w:r w:rsidR="00001517" w:rsidRPr="00D910D8">
        <w:rPr>
          <w:rFonts w:cs="Times New Roman"/>
          <w:szCs w:val="24"/>
        </w:rPr>
        <w:t xml:space="preserve">ing vs. operational dichotomy — </w:t>
      </w:r>
      <w:r w:rsidR="00F97D14" w:rsidRPr="00D910D8">
        <w:rPr>
          <w:rFonts w:cs="Times New Roman"/>
          <w:szCs w:val="24"/>
        </w:rPr>
        <w:t>though</w:t>
      </w:r>
      <w:r w:rsidR="00731861" w:rsidRPr="00D910D8">
        <w:rPr>
          <w:rFonts w:cs="Times New Roman"/>
          <w:szCs w:val="24"/>
        </w:rPr>
        <w:t xml:space="preserve"> </w:t>
      </w:r>
      <w:r w:rsidR="00F97D14" w:rsidRPr="00D910D8">
        <w:rPr>
          <w:rFonts w:cs="Times New Roman"/>
          <w:szCs w:val="24"/>
        </w:rPr>
        <w:t xml:space="preserve">. . . </w:t>
      </w:r>
      <w:r w:rsidRPr="00D910D8">
        <w:rPr>
          <w:rFonts w:cs="Times New Roman"/>
          <w:szCs w:val="24"/>
        </w:rPr>
        <w:t>not precisely wha</w:t>
      </w:r>
      <w:r w:rsidR="00F97D14" w:rsidRPr="00D910D8">
        <w:rPr>
          <w:rFonts w:cs="Times New Roman"/>
          <w:szCs w:val="24"/>
        </w:rPr>
        <w:t>t the Court of Appeals believed</w:t>
      </w:r>
      <w:r w:rsidRPr="00D910D8">
        <w:rPr>
          <w:rFonts w:cs="Times New Roman"/>
          <w:szCs w:val="24"/>
        </w:rPr>
        <w:t>”</w:t>
      </w:r>
      <w:r w:rsidR="00731861" w:rsidRPr="00D910D8">
        <w:rPr>
          <w:rFonts w:cs="Times New Roman"/>
          <w:szCs w:val="24"/>
        </w:rPr>
        <w:t xml:space="preserve"> (p. 335)</w:t>
      </w:r>
      <w:r w:rsidR="00F97D14" w:rsidRPr="00D910D8">
        <w:rPr>
          <w:rFonts w:cs="Times New Roman"/>
          <w:szCs w:val="24"/>
        </w:rPr>
        <w:t>.</w:t>
      </w:r>
      <w:r w:rsidRPr="00D910D8">
        <w:rPr>
          <w:rFonts w:cs="Times New Roman"/>
          <w:szCs w:val="24"/>
        </w:rPr>
        <w:t xml:space="preserve">  That “something” is that “[o]rdinarily, an employee working at the operational level is not responsible for policy decisions, even though policy considerations may be highly relevant to his actions”.  For Scalia J., a government decision </w:t>
      </w:r>
      <w:r w:rsidR="000203BB" w:rsidRPr="00D910D8">
        <w:rPr>
          <w:rFonts w:cs="Times New Roman"/>
          <w:szCs w:val="24"/>
        </w:rPr>
        <w:t>is</w:t>
      </w:r>
      <w:r w:rsidRPr="00D910D8">
        <w:rPr>
          <w:rFonts w:cs="Times New Roman"/>
          <w:szCs w:val="24"/>
        </w:rPr>
        <w:t xml:space="preserve"> a protected policy decision </w:t>
      </w:r>
      <w:r w:rsidR="000203BB" w:rsidRPr="00D910D8">
        <w:rPr>
          <w:rFonts w:cs="Times New Roman"/>
          <w:szCs w:val="24"/>
        </w:rPr>
        <w:t>if it</w:t>
      </w:r>
      <w:r w:rsidR="00065D19" w:rsidRPr="00D910D8">
        <w:rPr>
          <w:rFonts w:cs="Times New Roman"/>
          <w:szCs w:val="24"/>
        </w:rPr>
        <w:t xml:space="preserve"> </w:t>
      </w:r>
      <w:r w:rsidRPr="00D910D8">
        <w:rPr>
          <w:rFonts w:cs="Times New Roman"/>
          <w:szCs w:val="24"/>
        </w:rPr>
        <w:t>“ought to be informed by considerations of social, economic, or political policy and is made by an officer whose official responsibilities include assess</w:t>
      </w:r>
      <w:r w:rsidR="00F97D14" w:rsidRPr="00D910D8">
        <w:rPr>
          <w:rFonts w:cs="Times New Roman"/>
          <w:szCs w:val="24"/>
        </w:rPr>
        <w:t>ment of those considerations”.</w:t>
      </w:r>
    </w:p>
    <w:p w:rsidR="00987809" w:rsidRPr="00D910D8" w:rsidRDefault="00796E82" w:rsidP="00E6418E">
      <w:pPr>
        <w:pStyle w:val="ParaNoNdepar-AltN"/>
        <w:rPr>
          <w:rFonts w:cs="Times New Roman"/>
          <w:szCs w:val="24"/>
        </w:rPr>
      </w:pPr>
      <w:r w:rsidRPr="00D910D8">
        <w:rPr>
          <w:rFonts w:cs="Times New Roman"/>
          <w:szCs w:val="24"/>
        </w:rPr>
        <w:lastRenderedPageBreak/>
        <w:t xml:space="preserve">A review of the jurisprudence provokes the following observations. The first </w:t>
      </w:r>
      <w:r w:rsidR="002606F8" w:rsidRPr="00D910D8">
        <w:rPr>
          <w:rFonts w:cs="Times New Roman"/>
          <w:szCs w:val="24"/>
        </w:rPr>
        <w:t>is that a test based simply on the exercise of government discretion is generally now viewed as too broad.</w:t>
      </w:r>
      <w:r w:rsidR="00F16C1C" w:rsidRPr="00D910D8">
        <w:rPr>
          <w:rFonts w:cs="Times New Roman"/>
          <w:szCs w:val="24"/>
        </w:rPr>
        <w:t xml:space="preserve">  Discretion can imbue even routine</w:t>
      </w:r>
      <w:r w:rsidR="002606F8" w:rsidRPr="00D910D8">
        <w:rPr>
          <w:rFonts w:cs="Times New Roman"/>
          <w:szCs w:val="24"/>
        </w:rPr>
        <w:t xml:space="preserve"> tasks, like driving a government vehicle.  To protect all government acts that involve discretion unless they are irrational simply casts t</w:t>
      </w:r>
      <w:r w:rsidR="00581B23" w:rsidRPr="00D910D8">
        <w:rPr>
          <w:rFonts w:cs="Times New Roman"/>
          <w:szCs w:val="24"/>
        </w:rPr>
        <w:t>he net of immunity too broadly.</w:t>
      </w:r>
    </w:p>
    <w:p w:rsidR="00987809" w:rsidRPr="00D910D8" w:rsidRDefault="002606F8" w:rsidP="00E6418E">
      <w:pPr>
        <w:pStyle w:val="ParaNoNdepar-AltN"/>
        <w:rPr>
          <w:rFonts w:cs="Times New Roman"/>
          <w:szCs w:val="24"/>
        </w:rPr>
      </w:pPr>
      <w:r w:rsidRPr="00D910D8">
        <w:rPr>
          <w:rFonts w:cs="Times New Roman"/>
          <w:szCs w:val="24"/>
        </w:rPr>
        <w:t xml:space="preserve">The second observation is that there is considerable support in all jurisdictions reviewed for the view that “true” or “core” policy decisions should be protected from </w:t>
      </w:r>
      <w:r w:rsidR="00F23E3F" w:rsidRPr="00D910D8">
        <w:rPr>
          <w:rFonts w:cs="Times New Roman"/>
          <w:szCs w:val="24"/>
        </w:rPr>
        <w:t>negligence liability</w:t>
      </w:r>
      <w:r w:rsidRPr="00D910D8">
        <w:rPr>
          <w:rFonts w:cs="Times New Roman"/>
          <w:szCs w:val="24"/>
        </w:rPr>
        <w:t xml:space="preserve">.  </w:t>
      </w:r>
      <w:r w:rsidR="00F23E3F" w:rsidRPr="00D910D8">
        <w:rPr>
          <w:rFonts w:cs="Times New Roman"/>
          <w:szCs w:val="24"/>
        </w:rPr>
        <w:t>T</w:t>
      </w:r>
      <w:r w:rsidR="00796E82" w:rsidRPr="00D910D8">
        <w:rPr>
          <w:rFonts w:cs="Times New Roman"/>
          <w:szCs w:val="24"/>
        </w:rPr>
        <w:t>he current Canadian approach</w:t>
      </w:r>
      <w:r w:rsidR="00F23E3F" w:rsidRPr="00D910D8">
        <w:rPr>
          <w:rFonts w:cs="Times New Roman"/>
          <w:szCs w:val="24"/>
        </w:rPr>
        <w:t xml:space="preserve"> holds that only “true” policy decision</w:t>
      </w:r>
      <w:r w:rsidR="00731861" w:rsidRPr="00D910D8">
        <w:rPr>
          <w:rFonts w:cs="Times New Roman"/>
          <w:szCs w:val="24"/>
        </w:rPr>
        <w:t>s</w:t>
      </w:r>
      <w:r w:rsidR="00F23E3F" w:rsidRPr="00D910D8">
        <w:rPr>
          <w:rFonts w:cs="Times New Roman"/>
          <w:szCs w:val="24"/>
        </w:rPr>
        <w:t xml:space="preserve"> should be so protected, as opposed to operational decisions: </w:t>
      </w:r>
      <w:r w:rsidR="00F23E3F" w:rsidRPr="00D910D8">
        <w:rPr>
          <w:rFonts w:cs="Times New Roman"/>
          <w:i/>
          <w:szCs w:val="24"/>
        </w:rPr>
        <w:t>Just</w:t>
      </w:r>
      <w:r w:rsidR="00796E82" w:rsidRPr="00D910D8">
        <w:rPr>
          <w:rFonts w:cs="Times New Roman"/>
          <w:szCs w:val="24"/>
        </w:rPr>
        <w:t xml:space="preserve">.  </w:t>
      </w:r>
      <w:r w:rsidRPr="00D910D8">
        <w:rPr>
          <w:rFonts w:cs="Times New Roman"/>
          <w:szCs w:val="24"/>
        </w:rPr>
        <w:t>The difficulty in defining such decisions does not detract from the fact that the cases keep coming back to this central insight.  Even the most recent “</w:t>
      </w:r>
      <w:r w:rsidR="00711BAD" w:rsidRPr="00D910D8">
        <w:rPr>
          <w:rFonts w:cs="Times New Roman"/>
          <w:szCs w:val="24"/>
        </w:rPr>
        <w:t>justiciab</w:t>
      </w:r>
      <w:r w:rsidRPr="00D910D8">
        <w:rPr>
          <w:rFonts w:cs="Times New Roman"/>
          <w:szCs w:val="24"/>
        </w:rPr>
        <w:t xml:space="preserve">ility” test in the U.K. looks to this concept for support in defining what should be viewed as </w:t>
      </w:r>
      <w:r w:rsidR="00711BAD" w:rsidRPr="00D910D8">
        <w:rPr>
          <w:rFonts w:cs="Times New Roman"/>
          <w:szCs w:val="24"/>
        </w:rPr>
        <w:t>justiciab</w:t>
      </w:r>
      <w:r w:rsidR="00581B23" w:rsidRPr="00D910D8">
        <w:rPr>
          <w:rFonts w:cs="Times New Roman"/>
          <w:szCs w:val="24"/>
        </w:rPr>
        <w:t>le.</w:t>
      </w:r>
    </w:p>
    <w:p w:rsidR="00167F99" w:rsidRPr="00D910D8" w:rsidRDefault="002606F8" w:rsidP="00E6418E">
      <w:pPr>
        <w:pStyle w:val="ParaNoNdepar-AltN"/>
        <w:rPr>
          <w:rFonts w:cs="Times New Roman"/>
          <w:szCs w:val="24"/>
        </w:rPr>
      </w:pPr>
      <w:r w:rsidRPr="00D910D8">
        <w:rPr>
          <w:rFonts w:cs="Times New Roman"/>
          <w:szCs w:val="24"/>
        </w:rPr>
        <w:t xml:space="preserve">A third </w:t>
      </w:r>
      <w:r w:rsidR="00796E82" w:rsidRPr="00D910D8">
        <w:rPr>
          <w:rFonts w:cs="Times New Roman"/>
          <w:szCs w:val="24"/>
        </w:rPr>
        <w:t xml:space="preserve">observation is that defining a </w:t>
      </w:r>
      <w:r w:rsidRPr="00D910D8">
        <w:rPr>
          <w:rFonts w:cs="Times New Roman"/>
          <w:szCs w:val="24"/>
        </w:rPr>
        <w:t xml:space="preserve">core policy decision negatively </w:t>
      </w:r>
      <w:r w:rsidR="00484245" w:rsidRPr="00D910D8">
        <w:rPr>
          <w:rFonts w:cs="Times New Roman"/>
          <w:szCs w:val="24"/>
        </w:rPr>
        <w:t>as a decision</w:t>
      </w:r>
      <w:r w:rsidR="008D4C9C" w:rsidRPr="00D910D8">
        <w:rPr>
          <w:rFonts w:cs="Times New Roman"/>
          <w:szCs w:val="24"/>
        </w:rPr>
        <w:t xml:space="preserve"> that </w:t>
      </w:r>
      <w:r w:rsidRPr="00D910D8">
        <w:rPr>
          <w:rFonts w:cs="Times New Roman"/>
          <w:szCs w:val="24"/>
        </w:rPr>
        <w:t xml:space="preserve">is not an “operational” decision may not </w:t>
      </w:r>
      <w:r w:rsidR="001F2F0C" w:rsidRPr="00D910D8">
        <w:rPr>
          <w:rFonts w:cs="Times New Roman"/>
          <w:szCs w:val="24"/>
        </w:rPr>
        <w:t xml:space="preserve">always </w:t>
      </w:r>
      <w:r w:rsidRPr="00D910D8">
        <w:rPr>
          <w:rFonts w:cs="Times New Roman"/>
          <w:szCs w:val="24"/>
        </w:rPr>
        <w:t>be helpful</w:t>
      </w:r>
      <w:r w:rsidR="00484245" w:rsidRPr="00D910D8">
        <w:rPr>
          <w:rFonts w:cs="Times New Roman"/>
          <w:szCs w:val="24"/>
        </w:rPr>
        <w:t xml:space="preserve"> as a stand-alone test</w:t>
      </w:r>
      <w:r w:rsidRPr="00D910D8">
        <w:rPr>
          <w:rFonts w:cs="Times New Roman"/>
          <w:szCs w:val="24"/>
        </w:rPr>
        <w:t xml:space="preserve">.  It posits a stark dichotomy between two water-tight compartments </w:t>
      </w:r>
      <w:r w:rsidR="00F97D14" w:rsidRPr="00D910D8">
        <w:rPr>
          <w:rFonts w:cs="Times New Roman"/>
          <w:szCs w:val="24"/>
        </w:rPr>
        <w:t>—</w:t>
      </w:r>
      <w:r w:rsidRPr="00D910D8">
        <w:rPr>
          <w:rFonts w:cs="Times New Roman"/>
          <w:szCs w:val="24"/>
        </w:rPr>
        <w:t xml:space="preserve"> policy decisions and operational decisions.  In fact, decisions in real life may not fall neatly i</w:t>
      </w:r>
      <w:r w:rsidR="00581B23" w:rsidRPr="00D910D8">
        <w:rPr>
          <w:rFonts w:cs="Times New Roman"/>
          <w:szCs w:val="24"/>
        </w:rPr>
        <w:t>nto one category or the other.</w:t>
      </w:r>
    </w:p>
    <w:p w:rsidR="00987809" w:rsidRPr="00D910D8" w:rsidRDefault="002F689B" w:rsidP="00E6418E">
      <w:pPr>
        <w:pStyle w:val="ParaNoNdepar-AltN"/>
        <w:rPr>
          <w:rFonts w:cs="Times New Roman"/>
          <w:szCs w:val="24"/>
        </w:rPr>
      </w:pPr>
      <w:r w:rsidRPr="00D910D8">
        <w:rPr>
          <w:rFonts w:cs="Times New Roman"/>
          <w:szCs w:val="24"/>
        </w:rPr>
        <w:lastRenderedPageBreak/>
        <w:t xml:space="preserve">Instead of defining protected policy decisions negatively, as </w:t>
      </w:r>
      <w:r w:rsidR="00484245" w:rsidRPr="00D910D8">
        <w:rPr>
          <w:rFonts w:cs="Times New Roman"/>
          <w:szCs w:val="24"/>
        </w:rPr>
        <w:t>“</w:t>
      </w:r>
      <w:r w:rsidRPr="00D910D8">
        <w:rPr>
          <w:rFonts w:cs="Times New Roman"/>
          <w:szCs w:val="24"/>
        </w:rPr>
        <w:t>not operational</w:t>
      </w:r>
      <w:r w:rsidR="00484245" w:rsidRPr="00D910D8">
        <w:rPr>
          <w:rFonts w:cs="Times New Roman"/>
          <w:szCs w:val="24"/>
        </w:rPr>
        <w:t>”</w:t>
      </w:r>
      <w:r w:rsidRPr="00D910D8">
        <w:rPr>
          <w:rFonts w:cs="Times New Roman"/>
          <w:szCs w:val="24"/>
        </w:rPr>
        <w:t xml:space="preserve">, </w:t>
      </w:r>
      <w:r w:rsidR="003134CB" w:rsidRPr="00D910D8">
        <w:rPr>
          <w:rFonts w:cs="Times New Roman"/>
          <w:szCs w:val="24"/>
        </w:rPr>
        <w:t xml:space="preserve">the majority in </w:t>
      </w:r>
      <w:r w:rsidR="00FE3535" w:rsidRPr="00D910D8">
        <w:rPr>
          <w:rFonts w:cs="Times New Roman"/>
          <w:i/>
          <w:szCs w:val="24"/>
        </w:rPr>
        <w:t>Gaubert</w:t>
      </w:r>
      <w:r w:rsidRPr="00D910D8">
        <w:rPr>
          <w:rFonts w:cs="Times New Roman"/>
          <w:szCs w:val="24"/>
        </w:rPr>
        <w:t xml:space="preserve"> defines them positively as</w:t>
      </w:r>
      <w:r w:rsidR="002606F8" w:rsidRPr="00D910D8">
        <w:rPr>
          <w:rFonts w:cs="Times New Roman"/>
          <w:szCs w:val="24"/>
        </w:rPr>
        <w:t xml:space="preserve"> discretionary legislative or administrative decisions and conduct that are grounded in social, economic, and political considerations.  Generally</w:t>
      </w:r>
      <w:r w:rsidR="00167F99" w:rsidRPr="00D910D8">
        <w:rPr>
          <w:rFonts w:cs="Times New Roman"/>
          <w:szCs w:val="24"/>
        </w:rPr>
        <w:t>, policy</w:t>
      </w:r>
      <w:r w:rsidR="0036331D" w:rsidRPr="00D910D8">
        <w:rPr>
          <w:rFonts w:cs="Times New Roman"/>
          <w:szCs w:val="24"/>
        </w:rPr>
        <w:t xml:space="preserve"> </w:t>
      </w:r>
      <w:r w:rsidR="002606F8" w:rsidRPr="00D910D8">
        <w:rPr>
          <w:rFonts w:cs="Times New Roman"/>
          <w:szCs w:val="24"/>
        </w:rPr>
        <w:t xml:space="preserve">decisions are made by legislators or officers whose official responsibility requires them to assess and balance public policy considerations.  The decision is a considered decision that represents a “policy” in the sense of a general rule or approach, applied to a particular situation.  It represents “a course or principle of action adopted or proposed by a government”: </w:t>
      </w:r>
      <w:r w:rsidR="002606F8" w:rsidRPr="00D910D8">
        <w:rPr>
          <w:rFonts w:cs="Times New Roman"/>
          <w:i/>
          <w:szCs w:val="24"/>
        </w:rPr>
        <w:t>New Oxford Dictionary of English</w:t>
      </w:r>
      <w:r w:rsidR="00731861" w:rsidRPr="00D910D8">
        <w:rPr>
          <w:rFonts w:cs="Times New Roman"/>
          <w:szCs w:val="24"/>
        </w:rPr>
        <w:t xml:space="preserve"> (1998)</w:t>
      </w:r>
      <w:r w:rsidR="002606F8" w:rsidRPr="00D910D8">
        <w:rPr>
          <w:rFonts w:cs="Times New Roman"/>
          <w:szCs w:val="24"/>
        </w:rPr>
        <w:t xml:space="preserve">, </w:t>
      </w:r>
      <w:r w:rsidR="00F97D14" w:rsidRPr="00D910D8">
        <w:rPr>
          <w:rFonts w:cs="Times New Roman"/>
          <w:szCs w:val="24"/>
        </w:rPr>
        <w:t xml:space="preserve">at </w:t>
      </w:r>
      <w:r w:rsidR="002606F8" w:rsidRPr="00D910D8">
        <w:rPr>
          <w:rFonts w:cs="Times New Roman"/>
          <w:szCs w:val="24"/>
        </w:rPr>
        <w:t xml:space="preserve">p. 1434.  When judges are faced with such a course or principle of action adopted by a government, they generally will find the matter to be </w:t>
      </w:r>
      <w:r w:rsidR="00167F99" w:rsidRPr="00D910D8">
        <w:rPr>
          <w:rFonts w:cs="Times New Roman"/>
          <w:szCs w:val="24"/>
        </w:rPr>
        <w:t>a policy decision</w:t>
      </w:r>
      <w:r w:rsidR="002606F8" w:rsidRPr="00D910D8">
        <w:rPr>
          <w:rFonts w:cs="Times New Roman"/>
          <w:szCs w:val="24"/>
        </w:rPr>
        <w:t>.  The weighing of social, economic</w:t>
      </w:r>
      <w:r w:rsidR="000A2C08" w:rsidRPr="00D910D8">
        <w:rPr>
          <w:rFonts w:cs="Times New Roman"/>
          <w:szCs w:val="24"/>
        </w:rPr>
        <w:t>,</w:t>
      </w:r>
      <w:r w:rsidR="002606F8" w:rsidRPr="00D910D8">
        <w:rPr>
          <w:rFonts w:cs="Times New Roman"/>
          <w:szCs w:val="24"/>
        </w:rPr>
        <w:t xml:space="preserve"> and political considerations to arrive at a course or principle of action is the proper role of government, not the courts.  For this reason, decisions and conduct based on these considerations cannot ground an action in tort.</w:t>
      </w:r>
    </w:p>
    <w:p w:rsidR="00B21684" w:rsidRPr="00D910D8" w:rsidRDefault="002606F8" w:rsidP="00E6418E">
      <w:pPr>
        <w:pStyle w:val="ParaNoNdepar-AltN"/>
        <w:rPr>
          <w:rFonts w:cs="Times New Roman"/>
          <w:szCs w:val="24"/>
        </w:rPr>
      </w:pPr>
      <w:r w:rsidRPr="00D910D8">
        <w:rPr>
          <w:rFonts w:cs="Times New Roman"/>
          <w:szCs w:val="24"/>
        </w:rPr>
        <w:t xml:space="preserve">Policy, used in this sense, is not the same thing as discretion.  Discretion is concerned with whether a particular actor had a choice to act in one way or the other.  Policy is a narrow subset of discretionary decisions, covering only those decisions that are based on public policy considerations, like economic, social and political considerations.  Policy decisions are always discretionary, in the sense that a </w:t>
      </w:r>
      <w:r w:rsidRPr="00D910D8">
        <w:rPr>
          <w:rFonts w:cs="Times New Roman"/>
          <w:szCs w:val="24"/>
        </w:rPr>
        <w:lastRenderedPageBreak/>
        <w:t>different policy could have been chosen.  But not all discretionary decisions by go</w:t>
      </w:r>
      <w:r w:rsidR="00581B23" w:rsidRPr="00D910D8">
        <w:rPr>
          <w:rFonts w:cs="Times New Roman"/>
          <w:szCs w:val="24"/>
        </w:rPr>
        <w:t>vernment are policy decisions.</w:t>
      </w:r>
    </w:p>
    <w:p w:rsidR="00E8451D" w:rsidRPr="00D910D8" w:rsidRDefault="0036331D" w:rsidP="00E6418E">
      <w:pPr>
        <w:pStyle w:val="ParaNoNdepar-AltN"/>
        <w:rPr>
          <w:rFonts w:cs="Times New Roman"/>
          <w:szCs w:val="24"/>
        </w:rPr>
      </w:pPr>
      <w:r w:rsidRPr="00D910D8">
        <w:rPr>
          <w:rFonts w:cs="Times New Roman"/>
          <w:szCs w:val="24"/>
        </w:rPr>
        <w:t xml:space="preserve">While the main focus on the </w:t>
      </w:r>
      <w:r w:rsidR="00FE3535" w:rsidRPr="00D910D8">
        <w:rPr>
          <w:rFonts w:cs="Times New Roman"/>
          <w:i/>
          <w:szCs w:val="24"/>
        </w:rPr>
        <w:t>Gaubert</w:t>
      </w:r>
      <w:r w:rsidRPr="00D910D8">
        <w:rPr>
          <w:rFonts w:cs="Times New Roman"/>
          <w:szCs w:val="24"/>
        </w:rPr>
        <w:t xml:space="preserve"> approach is on the nature of the decision, </w:t>
      </w:r>
      <w:r w:rsidR="002606F8" w:rsidRPr="00D910D8">
        <w:rPr>
          <w:rFonts w:cs="Times New Roman"/>
          <w:szCs w:val="24"/>
        </w:rPr>
        <w:t>the role of the person who makes the decision may be of assi</w:t>
      </w:r>
      <w:r w:rsidR="000A2C08" w:rsidRPr="00D910D8">
        <w:rPr>
          <w:rFonts w:cs="Times New Roman"/>
          <w:szCs w:val="24"/>
        </w:rPr>
        <w:t>stance.  Did the decision</w:t>
      </w:r>
      <w:r w:rsidR="00731861" w:rsidRPr="00D910D8">
        <w:rPr>
          <w:rFonts w:cs="Times New Roman"/>
          <w:szCs w:val="24"/>
        </w:rPr>
        <w:t xml:space="preserve"> </w:t>
      </w:r>
      <w:r w:rsidR="000A2C08" w:rsidRPr="00D910D8">
        <w:rPr>
          <w:rFonts w:cs="Times New Roman"/>
          <w:szCs w:val="24"/>
        </w:rPr>
        <w:t>maker</w:t>
      </w:r>
      <w:r w:rsidR="002606F8" w:rsidRPr="00D910D8">
        <w:rPr>
          <w:rFonts w:cs="Times New Roman"/>
          <w:szCs w:val="24"/>
        </w:rPr>
        <w:t xml:space="preserve"> have the responsibility of looking at social, economic or political factors and formulating a “course” or “principle” of action with respect to a particular problem facing the government?  Without suggesting </w:t>
      </w:r>
      <w:r w:rsidR="00731861" w:rsidRPr="00D910D8">
        <w:rPr>
          <w:rFonts w:cs="Times New Roman"/>
          <w:szCs w:val="24"/>
        </w:rPr>
        <w:t xml:space="preserve">that </w:t>
      </w:r>
      <w:r w:rsidR="002606F8" w:rsidRPr="00D910D8">
        <w:rPr>
          <w:rFonts w:cs="Times New Roman"/>
          <w:szCs w:val="24"/>
        </w:rPr>
        <w:t xml:space="preserve">the question can be resolved simply by reference to the rank of the actor, there is something to Scalia J.’s observation in </w:t>
      </w:r>
      <w:r w:rsidR="002606F8" w:rsidRPr="00D910D8">
        <w:rPr>
          <w:rFonts w:cs="Times New Roman"/>
          <w:i/>
          <w:szCs w:val="24"/>
        </w:rPr>
        <w:t>Gaubert</w:t>
      </w:r>
      <w:r w:rsidR="002606F8" w:rsidRPr="00D910D8">
        <w:rPr>
          <w:rFonts w:cs="Times New Roman"/>
          <w:szCs w:val="24"/>
        </w:rPr>
        <w:t xml:space="preserve"> that employees working at the operational level are not usually involved in making policy choices.</w:t>
      </w:r>
    </w:p>
    <w:p w:rsidR="00E8451D" w:rsidRPr="00D910D8" w:rsidRDefault="002606F8" w:rsidP="00E6418E">
      <w:pPr>
        <w:pStyle w:val="ParaNoNdepar-AltN"/>
        <w:rPr>
          <w:rFonts w:cs="Times New Roman"/>
          <w:szCs w:val="24"/>
        </w:rPr>
      </w:pPr>
      <w:r w:rsidRPr="00D910D8">
        <w:rPr>
          <w:rFonts w:cs="Times New Roman"/>
          <w:szCs w:val="24"/>
        </w:rPr>
        <w:t xml:space="preserve">I conclude that </w:t>
      </w:r>
      <w:r w:rsidR="00484245" w:rsidRPr="00D910D8">
        <w:rPr>
          <w:rFonts w:cs="Times New Roman"/>
          <w:szCs w:val="24"/>
        </w:rPr>
        <w:t xml:space="preserve">“core policy” </w:t>
      </w:r>
      <w:r w:rsidRPr="00D910D8">
        <w:rPr>
          <w:rFonts w:cs="Times New Roman"/>
          <w:szCs w:val="24"/>
        </w:rPr>
        <w:t xml:space="preserve">government decisions </w:t>
      </w:r>
      <w:r w:rsidR="00022F37" w:rsidRPr="00D910D8">
        <w:rPr>
          <w:rFonts w:cs="Times New Roman"/>
          <w:szCs w:val="24"/>
        </w:rPr>
        <w:t xml:space="preserve">protected </w:t>
      </w:r>
      <w:r w:rsidR="00484245" w:rsidRPr="00D910D8">
        <w:rPr>
          <w:rFonts w:cs="Times New Roman"/>
          <w:szCs w:val="24"/>
        </w:rPr>
        <w:t xml:space="preserve">from suit are decisions </w:t>
      </w:r>
      <w:r w:rsidRPr="00D910D8">
        <w:rPr>
          <w:rFonts w:cs="Times New Roman"/>
          <w:szCs w:val="24"/>
        </w:rPr>
        <w:t xml:space="preserve">as to a course or principle of action that are based on public policy considerations, such as economic, social and political </w:t>
      </w:r>
      <w:r w:rsidR="00167F99" w:rsidRPr="00D910D8">
        <w:rPr>
          <w:rFonts w:cs="Times New Roman"/>
          <w:szCs w:val="24"/>
        </w:rPr>
        <w:t>factors</w:t>
      </w:r>
      <w:r w:rsidR="00022F37" w:rsidRPr="00D910D8">
        <w:rPr>
          <w:rFonts w:cs="Times New Roman"/>
          <w:szCs w:val="24"/>
        </w:rPr>
        <w:t>, provided they are neither irrational nor taken in bad faith</w:t>
      </w:r>
      <w:r w:rsidRPr="00D910D8">
        <w:rPr>
          <w:rFonts w:cs="Times New Roman"/>
          <w:szCs w:val="24"/>
        </w:rPr>
        <w:t xml:space="preserve">.  This </w:t>
      </w:r>
      <w:r w:rsidR="00167F99" w:rsidRPr="00D910D8">
        <w:rPr>
          <w:rFonts w:cs="Times New Roman"/>
          <w:szCs w:val="24"/>
        </w:rPr>
        <w:t>approach</w:t>
      </w:r>
      <w:r w:rsidRPr="00D910D8">
        <w:rPr>
          <w:rFonts w:cs="Times New Roman"/>
          <w:szCs w:val="24"/>
        </w:rPr>
        <w:t xml:space="preserve"> </w:t>
      </w:r>
      <w:r w:rsidR="00484245" w:rsidRPr="00D910D8">
        <w:rPr>
          <w:rFonts w:cs="Times New Roman"/>
          <w:szCs w:val="24"/>
        </w:rPr>
        <w:t xml:space="preserve">is consistent with the </w:t>
      </w:r>
      <w:r w:rsidR="00167F99" w:rsidRPr="00D910D8">
        <w:rPr>
          <w:rFonts w:cs="Times New Roman"/>
          <w:szCs w:val="24"/>
        </w:rPr>
        <w:t xml:space="preserve">basic </w:t>
      </w:r>
      <w:r w:rsidR="00484245" w:rsidRPr="00D910D8">
        <w:rPr>
          <w:rFonts w:cs="Times New Roman"/>
          <w:szCs w:val="24"/>
        </w:rPr>
        <w:t xml:space="preserve">thrust of Canadian cases on the issue, although it emphasizes positive features of policy decisions, instead of relying exclusively on the quality of being “non-operational”.  It </w:t>
      </w:r>
      <w:r w:rsidRPr="00D910D8">
        <w:rPr>
          <w:rFonts w:cs="Times New Roman"/>
          <w:szCs w:val="24"/>
        </w:rPr>
        <w:t>is</w:t>
      </w:r>
      <w:r w:rsidR="00484245" w:rsidRPr="00D910D8">
        <w:rPr>
          <w:rFonts w:cs="Times New Roman"/>
          <w:szCs w:val="24"/>
        </w:rPr>
        <w:t xml:space="preserve"> also supported by</w:t>
      </w:r>
      <w:r w:rsidRPr="00D910D8">
        <w:rPr>
          <w:rFonts w:cs="Times New Roman"/>
          <w:szCs w:val="24"/>
        </w:rPr>
        <w:t xml:space="preserve"> the insights of emerging jurisprudence here and elsewhere.  </w:t>
      </w:r>
      <w:r w:rsidR="00484245" w:rsidRPr="00D910D8">
        <w:rPr>
          <w:rFonts w:cs="Times New Roman"/>
          <w:szCs w:val="24"/>
        </w:rPr>
        <w:t>This said</w:t>
      </w:r>
      <w:proofErr w:type="gramStart"/>
      <w:r w:rsidRPr="00D910D8">
        <w:rPr>
          <w:rFonts w:cs="Times New Roman"/>
          <w:szCs w:val="24"/>
        </w:rPr>
        <w:t>,</w:t>
      </w:r>
      <w:proofErr w:type="gramEnd"/>
      <w:r w:rsidRPr="00D910D8">
        <w:rPr>
          <w:rFonts w:cs="Times New Roman"/>
          <w:szCs w:val="24"/>
        </w:rPr>
        <w:t xml:space="preserve"> it does not purport to be a litmus test.  Difficult cases may be expected to arise from time to time where it is not easy to decide whether the degree of “policy” </w:t>
      </w:r>
      <w:r w:rsidR="00484245" w:rsidRPr="00D910D8">
        <w:rPr>
          <w:rFonts w:cs="Times New Roman"/>
          <w:szCs w:val="24"/>
        </w:rPr>
        <w:t xml:space="preserve">involved </w:t>
      </w:r>
      <w:r w:rsidRPr="00D910D8">
        <w:rPr>
          <w:rFonts w:cs="Times New Roman"/>
          <w:szCs w:val="24"/>
        </w:rPr>
        <w:t xml:space="preserve">suffices </w:t>
      </w:r>
      <w:r w:rsidR="00022F37" w:rsidRPr="00D910D8">
        <w:rPr>
          <w:rFonts w:cs="Times New Roman"/>
          <w:szCs w:val="24"/>
        </w:rPr>
        <w:t>for protection from negligence liability</w:t>
      </w:r>
      <w:r w:rsidRPr="00D910D8">
        <w:rPr>
          <w:rFonts w:cs="Times New Roman"/>
          <w:szCs w:val="24"/>
        </w:rPr>
        <w:t xml:space="preserve">.  A black and </w:t>
      </w:r>
      <w:r w:rsidRPr="00D910D8">
        <w:rPr>
          <w:rFonts w:cs="Times New Roman"/>
          <w:szCs w:val="24"/>
        </w:rPr>
        <w:lastRenderedPageBreak/>
        <w:t xml:space="preserve">white test that will provide a ready and irrefutable answer for every decision in the infinite variety of decisions that government actors may produce is likely chimerical.  Nevertheless, most government decisions that represent a course or </w:t>
      </w:r>
      <w:r w:rsidR="000A2C08" w:rsidRPr="00D910D8">
        <w:rPr>
          <w:rFonts w:cs="Times New Roman"/>
          <w:szCs w:val="24"/>
        </w:rPr>
        <w:t xml:space="preserve">principle of </w:t>
      </w:r>
      <w:r w:rsidRPr="00D910D8">
        <w:rPr>
          <w:rFonts w:cs="Times New Roman"/>
          <w:szCs w:val="24"/>
        </w:rPr>
        <w:t>action based on a balancing of economic, social and political considerations will be readily identifiable.</w:t>
      </w:r>
    </w:p>
    <w:p w:rsidR="00987809" w:rsidRPr="00D910D8" w:rsidRDefault="000A2C08" w:rsidP="00E6418E">
      <w:pPr>
        <w:pStyle w:val="ParaNoNdepar-AltN"/>
        <w:rPr>
          <w:rFonts w:cs="Times New Roman"/>
          <w:szCs w:val="24"/>
        </w:rPr>
      </w:pPr>
      <w:r w:rsidRPr="00D910D8">
        <w:rPr>
          <w:rFonts w:cs="Times New Roman"/>
          <w:szCs w:val="24"/>
        </w:rPr>
        <w:t xml:space="preserve">Applying this </w:t>
      </w:r>
      <w:r w:rsidR="00796E82" w:rsidRPr="00D910D8">
        <w:rPr>
          <w:rFonts w:cs="Times New Roman"/>
          <w:szCs w:val="24"/>
        </w:rPr>
        <w:t xml:space="preserve">approach </w:t>
      </w:r>
      <w:r w:rsidRPr="00D910D8">
        <w:rPr>
          <w:rFonts w:cs="Times New Roman"/>
          <w:szCs w:val="24"/>
        </w:rPr>
        <w:t>to motions</w:t>
      </w:r>
      <w:r w:rsidR="002606F8" w:rsidRPr="00D910D8">
        <w:rPr>
          <w:rFonts w:cs="Times New Roman"/>
          <w:szCs w:val="24"/>
        </w:rPr>
        <w:t xml:space="preserve"> to strike, we may conclude that where it is “plain and obvious” that an impugned government decision </w:t>
      </w:r>
      <w:r w:rsidR="00484245" w:rsidRPr="00D910D8">
        <w:rPr>
          <w:rFonts w:cs="Times New Roman"/>
          <w:szCs w:val="24"/>
        </w:rPr>
        <w:t xml:space="preserve">is a policy </w:t>
      </w:r>
      <w:proofErr w:type="gramStart"/>
      <w:r w:rsidR="00484245" w:rsidRPr="00D910D8">
        <w:rPr>
          <w:rFonts w:cs="Times New Roman"/>
          <w:szCs w:val="24"/>
        </w:rPr>
        <w:t>deci</w:t>
      </w:r>
      <w:r w:rsidR="002606F8" w:rsidRPr="00D910D8">
        <w:rPr>
          <w:rFonts w:cs="Times New Roman"/>
          <w:szCs w:val="24"/>
        </w:rPr>
        <w:t>sion,</w:t>
      </w:r>
      <w:proofErr w:type="gramEnd"/>
      <w:r w:rsidR="002606F8" w:rsidRPr="00D910D8">
        <w:rPr>
          <w:rFonts w:cs="Times New Roman"/>
          <w:szCs w:val="24"/>
        </w:rPr>
        <w:t xml:space="preserve"> the claim may properly be struck on the ground that it cannot ground an action in tort.  If it is not plain and obvious, the matter must be allowed to go to trial.</w:t>
      </w:r>
    </w:p>
    <w:p w:rsidR="00987809" w:rsidRPr="00D910D8" w:rsidRDefault="00E6418E" w:rsidP="0066330D">
      <w:pPr>
        <w:pStyle w:val="TitleTitre-AltT"/>
        <w:tabs>
          <w:tab w:val="clear" w:pos="360"/>
          <w:tab w:val="left" w:pos="1170"/>
        </w:tabs>
        <w:ind w:left="1800" w:hanging="1800"/>
        <w:rPr>
          <w:rFonts w:cs="Times New Roman"/>
          <w:szCs w:val="24"/>
          <w:u w:val="single"/>
        </w:rPr>
      </w:pPr>
      <w:r w:rsidRPr="00D910D8">
        <w:rPr>
          <w:rFonts w:cs="Times New Roman"/>
          <w:szCs w:val="24"/>
        </w:rPr>
        <w:tab/>
      </w:r>
      <w:bookmarkStart w:id="20" w:name="_Toc314733750"/>
      <w:proofErr w:type="gramStart"/>
      <w:r w:rsidR="00731861" w:rsidRPr="00D910D8">
        <w:rPr>
          <w:rFonts w:cs="Times New Roman"/>
          <w:szCs w:val="24"/>
        </w:rPr>
        <w:t>(iv</w:t>
      </w:r>
      <w:r w:rsidR="002606F8" w:rsidRPr="00D910D8">
        <w:rPr>
          <w:rFonts w:cs="Times New Roman"/>
          <w:szCs w:val="24"/>
        </w:rPr>
        <w:t>)</w:t>
      </w:r>
      <w:r w:rsidR="002606F8" w:rsidRPr="00D910D8">
        <w:rPr>
          <w:rFonts w:cs="Times New Roman"/>
          <w:szCs w:val="24"/>
        </w:rPr>
        <w:tab/>
      </w:r>
      <w:r w:rsidR="002606F8" w:rsidRPr="00D910D8">
        <w:rPr>
          <w:rFonts w:cs="Times New Roman"/>
          <w:szCs w:val="24"/>
          <w:u w:val="single"/>
        </w:rPr>
        <w:t>Conclusion</w:t>
      </w:r>
      <w:proofErr w:type="gramEnd"/>
      <w:r w:rsidR="002606F8" w:rsidRPr="00D910D8">
        <w:rPr>
          <w:rFonts w:cs="Times New Roman"/>
          <w:szCs w:val="24"/>
          <w:u w:val="single"/>
        </w:rPr>
        <w:t xml:space="preserve"> on the Policy Argument</w:t>
      </w:r>
      <w:bookmarkEnd w:id="20"/>
    </w:p>
    <w:p w:rsidR="00D5188E" w:rsidRPr="00D910D8" w:rsidRDefault="00796E82" w:rsidP="00E6418E">
      <w:pPr>
        <w:pStyle w:val="ParaNoNdepar-AltN"/>
        <w:rPr>
          <w:rFonts w:cs="Times New Roman"/>
          <w:szCs w:val="24"/>
        </w:rPr>
      </w:pPr>
      <w:r w:rsidRPr="00D910D8">
        <w:rPr>
          <w:rFonts w:cs="Times New Roman"/>
          <w:szCs w:val="24"/>
        </w:rPr>
        <w:t>As discussed,</w:t>
      </w:r>
      <w:r w:rsidR="002606F8" w:rsidRPr="00D910D8">
        <w:rPr>
          <w:rFonts w:cs="Times New Roman"/>
          <w:szCs w:val="24"/>
        </w:rPr>
        <w:t xml:space="preserve"> the question is whether the alleged representations of Canada to the tobacco companies that low-tar cigarettes are less harmful to health are </w:t>
      </w:r>
      <w:r w:rsidR="001F2F0C" w:rsidRPr="00D910D8">
        <w:rPr>
          <w:rFonts w:cs="Times New Roman"/>
          <w:szCs w:val="24"/>
        </w:rPr>
        <w:t xml:space="preserve">matters of </w:t>
      </w:r>
      <w:r w:rsidR="002606F8" w:rsidRPr="00D910D8">
        <w:rPr>
          <w:rFonts w:cs="Times New Roman"/>
          <w:szCs w:val="24"/>
        </w:rPr>
        <w:t>policy</w:t>
      </w:r>
      <w:r w:rsidR="001F2F0C" w:rsidRPr="00D910D8">
        <w:rPr>
          <w:rFonts w:cs="Times New Roman"/>
          <w:szCs w:val="24"/>
        </w:rPr>
        <w:t xml:space="preserve">, in the sense </w:t>
      </w:r>
      <w:r w:rsidR="002606F8" w:rsidRPr="00D910D8">
        <w:rPr>
          <w:rFonts w:cs="Times New Roman"/>
          <w:szCs w:val="24"/>
        </w:rPr>
        <w:t xml:space="preserve">that </w:t>
      </w:r>
      <w:r w:rsidR="001F2F0C" w:rsidRPr="00D910D8">
        <w:rPr>
          <w:rFonts w:cs="Times New Roman"/>
          <w:szCs w:val="24"/>
        </w:rPr>
        <w:t xml:space="preserve">they </w:t>
      </w:r>
      <w:r w:rsidR="002606F8" w:rsidRPr="00D910D8">
        <w:rPr>
          <w:rFonts w:cs="Times New Roman"/>
          <w:szCs w:val="24"/>
        </w:rPr>
        <w:t>constitute a course or principle of action of the government.  If so, the representations c</w:t>
      </w:r>
      <w:r w:rsidR="00581B23" w:rsidRPr="00D910D8">
        <w:rPr>
          <w:rFonts w:cs="Times New Roman"/>
          <w:szCs w:val="24"/>
        </w:rPr>
        <w:t>annot ground an action in tort.</w:t>
      </w:r>
    </w:p>
    <w:p w:rsidR="002114ED" w:rsidRPr="00D910D8" w:rsidRDefault="002606F8" w:rsidP="00E6418E">
      <w:pPr>
        <w:pStyle w:val="ParaNoNdepar-AltN"/>
        <w:rPr>
          <w:rFonts w:cs="Times New Roman"/>
          <w:szCs w:val="24"/>
        </w:rPr>
      </w:pPr>
      <w:r w:rsidRPr="00D910D8">
        <w:rPr>
          <w:rFonts w:cs="Times New Roman"/>
          <w:szCs w:val="24"/>
        </w:rPr>
        <w:t>The third</w:t>
      </w:r>
      <w:r w:rsidR="00731861" w:rsidRPr="00D910D8">
        <w:rPr>
          <w:rFonts w:cs="Times New Roman"/>
          <w:szCs w:val="24"/>
        </w:rPr>
        <w:t>-</w:t>
      </w:r>
      <w:r w:rsidRPr="00D910D8">
        <w:rPr>
          <w:rFonts w:cs="Times New Roman"/>
          <w:szCs w:val="24"/>
        </w:rPr>
        <w:t xml:space="preserve">party notices plead that Canada made statements to the public (and to the tobacco companies) warning about the hazards of smoking, and asserting that low-tar cigarettes are less </w:t>
      </w:r>
      <w:r w:rsidR="00167F99" w:rsidRPr="00D910D8">
        <w:rPr>
          <w:rFonts w:cs="Times New Roman"/>
          <w:szCs w:val="24"/>
        </w:rPr>
        <w:t>harmful than regular cigarettes; that t</w:t>
      </w:r>
      <w:r w:rsidRPr="00D910D8">
        <w:rPr>
          <w:rFonts w:cs="Times New Roman"/>
          <w:szCs w:val="24"/>
        </w:rPr>
        <w:t xml:space="preserve">he representations that low-tar cigarettes are less harmful to health </w:t>
      </w:r>
      <w:r w:rsidR="00423796" w:rsidRPr="00D910D8">
        <w:rPr>
          <w:rFonts w:cs="Times New Roman"/>
          <w:szCs w:val="24"/>
        </w:rPr>
        <w:t>were false; and that i</w:t>
      </w:r>
      <w:r w:rsidRPr="00D910D8">
        <w:rPr>
          <w:rFonts w:cs="Times New Roman"/>
          <w:szCs w:val="24"/>
        </w:rPr>
        <w:t xml:space="preserve">nsofar as </w:t>
      </w:r>
      <w:r w:rsidRPr="00D910D8">
        <w:rPr>
          <w:rFonts w:cs="Times New Roman"/>
          <w:szCs w:val="24"/>
        </w:rPr>
        <w:lastRenderedPageBreak/>
        <w:t>consumption caused extra harm to consumers for which the tobacco companies are held liable, Canada is required to indemnify the tobacco companies and/or contribute to their losses.</w:t>
      </w:r>
    </w:p>
    <w:p w:rsidR="00D5188E" w:rsidRPr="00D910D8" w:rsidRDefault="000242D8" w:rsidP="00E6418E">
      <w:pPr>
        <w:pStyle w:val="ParaNoNdepar-AltN"/>
        <w:rPr>
          <w:rFonts w:cs="Times New Roman"/>
          <w:szCs w:val="24"/>
        </w:rPr>
      </w:pPr>
      <w:r w:rsidRPr="00D910D8">
        <w:rPr>
          <w:rFonts w:cs="Times New Roman"/>
          <w:szCs w:val="24"/>
        </w:rPr>
        <w:t>The t</w:t>
      </w:r>
      <w:r w:rsidR="002606F8" w:rsidRPr="00D910D8">
        <w:rPr>
          <w:rFonts w:cs="Times New Roman"/>
          <w:szCs w:val="24"/>
        </w:rPr>
        <w:t>hird</w:t>
      </w:r>
      <w:r w:rsidR="00731861" w:rsidRPr="00D910D8">
        <w:rPr>
          <w:rFonts w:cs="Times New Roman"/>
          <w:szCs w:val="24"/>
        </w:rPr>
        <w:t>-</w:t>
      </w:r>
      <w:r w:rsidR="002606F8" w:rsidRPr="00D910D8">
        <w:rPr>
          <w:rFonts w:cs="Times New Roman"/>
          <w:szCs w:val="24"/>
        </w:rPr>
        <w:t>party notices</w:t>
      </w:r>
      <w:r w:rsidR="00831A86" w:rsidRPr="00D910D8">
        <w:rPr>
          <w:rFonts w:cs="Times New Roman"/>
          <w:szCs w:val="24"/>
        </w:rPr>
        <w:t xml:space="preserve"> </w:t>
      </w:r>
      <w:r w:rsidR="001F2F0C" w:rsidRPr="00D910D8">
        <w:rPr>
          <w:rFonts w:cs="Times New Roman"/>
          <w:szCs w:val="24"/>
        </w:rPr>
        <w:t>implicitly</w:t>
      </w:r>
      <w:r w:rsidR="00831A86" w:rsidRPr="00D910D8">
        <w:rPr>
          <w:rFonts w:cs="Times New Roman"/>
          <w:szCs w:val="24"/>
        </w:rPr>
        <w:t xml:space="preserve"> accept </w:t>
      </w:r>
      <w:r w:rsidR="002606F8" w:rsidRPr="00D910D8">
        <w:rPr>
          <w:rFonts w:cs="Times New Roman"/>
          <w:szCs w:val="24"/>
        </w:rPr>
        <w:t xml:space="preserve">that in making the alleged representations, Health Canada was acting out of concern for the health of Canadians, pursuant to its policy of encouraging </w:t>
      </w:r>
      <w:r w:rsidR="00831A86" w:rsidRPr="00D910D8">
        <w:rPr>
          <w:rFonts w:cs="Times New Roman"/>
          <w:szCs w:val="24"/>
        </w:rPr>
        <w:t xml:space="preserve">smokers to switch to </w:t>
      </w:r>
      <w:r w:rsidR="002606F8" w:rsidRPr="00D910D8">
        <w:rPr>
          <w:rFonts w:cs="Times New Roman"/>
          <w:szCs w:val="24"/>
        </w:rPr>
        <w:t>low-tar cigarettes.  The</w:t>
      </w:r>
      <w:r w:rsidR="00831A86" w:rsidRPr="00D910D8">
        <w:rPr>
          <w:rFonts w:cs="Times New Roman"/>
          <w:szCs w:val="24"/>
        </w:rPr>
        <w:t>y</w:t>
      </w:r>
      <w:r w:rsidR="002606F8" w:rsidRPr="00D910D8">
        <w:rPr>
          <w:rFonts w:cs="Times New Roman"/>
          <w:szCs w:val="24"/>
        </w:rPr>
        <w:t xml:space="preserve"> assert</w:t>
      </w:r>
      <w:r w:rsidR="00831A86" w:rsidRPr="00D910D8">
        <w:rPr>
          <w:rFonts w:cs="Times New Roman"/>
          <w:szCs w:val="24"/>
        </w:rPr>
        <w:t xml:space="preserve">, in effect, </w:t>
      </w:r>
      <w:r w:rsidR="002606F8" w:rsidRPr="00D910D8">
        <w:rPr>
          <w:rFonts w:cs="Times New Roman"/>
          <w:szCs w:val="24"/>
        </w:rPr>
        <w:t xml:space="preserve">that Health Canada had a policy to warn the public about the hazardous effects of smoking, and </w:t>
      </w:r>
      <w:r w:rsidR="00831A86" w:rsidRPr="00D910D8">
        <w:rPr>
          <w:rFonts w:cs="Times New Roman"/>
          <w:szCs w:val="24"/>
        </w:rPr>
        <w:t>to</w:t>
      </w:r>
      <w:r w:rsidR="002606F8" w:rsidRPr="00D910D8">
        <w:rPr>
          <w:rFonts w:cs="Times New Roman"/>
          <w:szCs w:val="24"/>
        </w:rPr>
        <w:t xml:space="preserve"> encourage healthier smoking habits among Canadians.  </w:t>
      </w:r>
      <w:r w:rsidR="00731861" w:rsidRPr="00D910D8">
        <w:rPr>
          <w:rFonts w:cs="Times New Roman"/>
          <w:szCs w:val="24"/>
        </w:rPr>
        <w:t>The third-</w:t>
      </w:r>
      <w:r w:rsidR="00831A86" w:rsidRPr="00D910D8">
        <w:rPr>
          <w:rFonts w:cs="Times New Roman"/>
          <w:szCs w:val="24"/>
        </w:rPr>
        <w:t xml:space="preserve">party claims rest on the allegation that </w:t>
      </w:r>
      <w:r w:rsidR="002606F8" w:rsidRPr="00D910D8">
        <w:rPr>
          <w:rFonts w:cs="Times New Roman"/>
          <w:szCs w:val="24"/>
        </w:rPr>
        <w:t>Health Canada a</w:t>
      </w:r>
      <w:r w:rsidR="00831A86" w:rsidRPr="00D910D8">
        <w:rPr>
          <w:rFonts w:cs="Times New Roman"/>
          <w:szCs w:val="24"/>
        </w:rPr>
        <w:t xml:space="preserve">ccepted that some </w:t>
      </w:r>
      <w:r w:rsidR="002606F8" w:rsidRPr="00D910D8">
        <w:rPr>
          <w:rFonts w:cs="Times New Roman"/>
          <w:szCs w:val="24"/>
        </w:rPr>
        <w:t xml:space="preserve">smokers would continue to smoke despite the adverse health effects, and </w:t>
      </w:r>
      <w:r w:rsidR="00831A86" w:rsidRPr="00D910D8">
        <w:rPr>
          <w:rFonts w:cs="Times New Roman"/>
          <w:szCs w:val="24"/>
        </w:rPr>
        <w:t>decided</w:t>
      </w:r>
      <w:r w:rsidR="002606F8" w:rsidRPr="00D910D8">
        <w:rPr>
          <w:rFonts w:cs="Times New Roman"/>
          <w:szCs w:val="24"/>
        </w:rPr>
        <w:t xml:space="preserve"> that these smokers should be encouraged to smoke lower</w:t>
      </w:r>
      <w:r w:rsidR="00731861" w:rsidRPr="00D910D8">
        <w:rPr>
          <w:rFonts w:cs="Times New Roman"/>
          <w:szCs w:val="24"/>
        </w:rPr>
        <w:t>-</w:t>
      </w:r>
      <w:r w:rsidR="00581B23" w:rsidRPr="00D910D8">
        <w:rPr>
          <w:rFonts w:cs="Times New Roman"/>
          <w:szCs w:val="24"/>
        </w:rPr>
        <w:t>tar cigarettes.</w:t>
      </w:r>
    </w:p>
    <w:p w:rsidR="00D5188E" w:rsidRPr="00D910D8" w:rsidRDefault="00831A86" w:rsidP="00E6418E">
      <w:pPr>
        <w:pStyle w:val="ParaNoNdepar-AltN"/>
        <w:rPr>
          <w:rFonts w:cs="Times New Roman"/>
          <w:szCs w:val="24"/>
        </w:rPr>
      </w:pPr>
      <w:r w:rsidRPr="00D910D8">
        <w:rPr>
          <w:rFonts w:cs="Times New Roman"/>
          <w:szCs w:val="24"/>
        </w:rPr>
        <w:t>In short, the rep</w:t>
      </w:r>
      <w:r w:rsidR="000203BB" w:rsidRPr="00D910D8">
        <w:rPr>
          <w:rFonts w:cs="Times New Roman"/>
          <w:szCs w:val="24"/>
        </w:rPr>
        <w:t>resentations on which the third-party claims</w:t>
      </w:r>
      <w:r w:rsidRPr="00D910D8">
        <w:rPr>
          <w:rFonts w:cs="Times New Roman"/>
          <w:szCs w:val="24"/>
        </w:rPr>
        <w:t xml:space="preserve"> rely were part and parcel of a government policy to encourage people who continued to smoke to switch to low-tar cigarettes.  This was a “true” or “</w:t>
      </w:r>
      <w:r w:rsidR="0098075D" w:rsidRPr="00D910D8">
        <w:rPr>
          <w:rFonts w:cs="Times New Roman"/>
          <w:szCs w:val="24"/>
        </w:rPr>
        <w:t>core” policy</w:t>
      </w:r>
      <w:r w:rsidR="002606F8" w:rsidRPr="00D910D8">
        <w:rPr>
          <w:rFonts w:cs="Times New Roman"/>
          <w:szCs w:val="24"/>
        </w:rPr>
        <w:t>, in the sense of a course or principle of</w:t>
      </w:r>
      <w:r w:rsidR="0098075D" w:rsidRPr="00D910D8">
        <w:rPr>
          <w:rFonts w:cs="Times New Roman"/>
          <w:szCs w:val="24"/>
        </w:rPr>
        <w:t xml:space="preserve"> action that the government adopted.  The government’s alleged</w:t>
      </w:r>
      <w:r w:rsidR="002606F8" w:rsidRPr="00D910D8">
        <w:rPr>
          <w:rFonts w:cs="Times New Roman"/>
          <w:szCs w:val="24"/>
        </w:rPr>
        <w:t xml:space="preserve"> course of action was adopted at the highest level in the Canadian government</w:t>
      </w:r>
      <w:r w:rsidR="0098075D" w:rsidRPr="00D910D8">
        <w:rPr>
          <w:rFonts w:cs="Times New Roman"/>
          <w:szCs w:val="24"/>
        </w:rPr>
        <w:t xml:space="preserve">, and </w:t>
      </w:r>
      <w:r w:rsidR="002606F8" w:rsidRPr="00D910D8">
        <w:rPr>
          <w:rFonts w:cs="Times New Roman"/>
          <w:szCs w:val="24"/>
        </w:rPr>
        <w:t xml:space="preserve">involved social and economic considerations.  Canada, on the pleadings, developed this policy out of concern for the health of Canadians and the individual and institutional costs associated with tobacco-related disease.  In my view, it is plain and obvious that the alleged representations were matters of government policy, with the </w:t>
      </w:r>
      <w:r w:rsidR="002606F8" w:rsidRPr="00D910D8">
        <w:rPr>
          <w:rFonts w:cs="Times New Roman"/>
          <w:szCs w:val="24"/>
        </w:rPr>
        <w:lastRenderedPageBreak/>
        <w:t>result that the tobacco companies’ claims against Canada for negligent misrepresentation must be struck out.</w:t>
      </w:r>
    </w:p>
    <w:p w:rsidR="0098075D" w:rsidRPr="00D910D8" w:rsidRDefault="002606F8" w:rsidP="00E6418E">
      <w:pPr>
        <w:pStyle w:val="ParaNoNdepar-AltN"/>
        <w:rPr>
          <w:rFonts w:cs="Times New Roman"/>
          <w:szCs w:val="24"/>
        </w:rPr>
      </w:pPr>
      <w:r w:rsidRPr="00D910D8">
        <w:rPr>
          <w:rFonts w:cs="Times New Roman"/>
          <w:szCs w:val="24"/>
        </w:rPr>
        <w:t>Having concluded that the claims for negligent misrepresentation are not actionable because the alleged representations were matters of government policy, it is not</w:t>
      </w:r>
      <w:r w:rsidR="00731861" w:rsidRPr="00D910D8">
        <w:rPr>
          <w:rFonts w:cs="Times New Roman"/>
          <w:szCs w:val="24"/>
        </w:rPr>
        <w:t xml:space="preserve"> necessary to canvas the other s</w:t>
      </w:r>
      <w:r w:rsidRPr="00D910D8">
        <w:rPr>
          <w:rFonts w:cs="Times New Roman"/>
          <w:szCs w:val="24"/>
        </w:rPr>
        <w:t>tage</w:t>
      </w:r>
      <w:r w:rsidR="00731861" w:rsidRPr="00D910D8">
        <w:rPr>
          <w:rFonts w:cs="Times New Roman"/>
          <w:szCs w:val="24"/>
        </w:rPr>
        <w:t>-t</w:t>
      </w:r>
      <w:r w:rsidRPr="00D910D8">
        <w:rPr>
          <w:rFonts w:cs="Times New Roman"/>
          <w:szCs w:val="24"/>
        </w:rPr>
        <w:t>wo polic</w:t>
      </w:r>
      <w:r w:rsidR="0098075D" w:rsidRPr="00D910D8">
        <w:rPr>
          <w:rFonts w:cs="Times New Roman"/>
          <w:szCs w:val="24"/>
        </w:rPr>
        <w:t xml:space="preserve">y grounds that Canada raised against </w:t>
      </w:r>
      <w:r w:rsidRPr="00D910D8">
        <w:rPr>
          <w:rFonts w:cs="Times New Roman"/>
          <w:szCs w:val="24"/>
        </w:rPr>
        <w:t xml:space="preserve">the </w:t>
      </w:r>
      <w:r w:rsidR="00731861" w:rsidRPr="00D910D8">
        <w:rPr>
          <w:rFonts w:cs="Times New Roman"/>
          <w:szCs w:val="24"/>
        </w:rPr>
        <w:t>third-</w:t>
      </w:r>
      <w:r w:rsidR="0098075D" w:rsidRPr="00D910D8">
        <w:rPr>
          <w:rFonts w:cs="Times New Roman"/>
          <w:szCs w:val="24"/>
        </w:rPr>
        <w:t xml:space="preserve">party </w:t>
      </w:r>
      <w:r w:rsidRPr="00D910D8">
        <w:rPr>
          <w:rFonts w:cs="Times New Roman"/>
          <w:szCs w:val="24"/>
        </w:rPr>
        <w:t>claim</w:t>
      </w:r>
      <w:r w:rsidR="0098075D" w:rsidRPr="00D910D8">
        <w:rPr>
          <w:rFonts w:cs="Times New Roman"/>
          <w:szCs w:val="24"/>
        </w:rPr>
        <w:t>s relating to negligent misrepresentation.</w:t>
      </w:r>
      <w:r w:rsidRPr="00D910D8">
        <w:rPr>
          <w:rFonts w:cs="Times New Roman"/>
          <w:szCs w:val="24"/>
        </w:rPr>
        <w:t xml:space="preserve">  However, since </w:t>
      </w:r>
      <w:r w:rsidR="00827ECC" w:rsidRPr="00D910D8">
        <w:rPr>
          <w:rFonts w:cs="Times New Roman"/>
          <w:szCs w:val="24"/>
        </w:rPr>
        <w:t>the argument about indeterminate liability was fully argued</w:t>
      </w:r>
      <w:r w:rsidRPr="00D910D8">
        <w:rPr>
          <w:rFonts w:cs="Times New Roman"/>
          <w:szCs w:val="24"/>
        </w:rPr>
        <w:t xml:space="preserve">, I will briefly discuss </w:t>
      </w:r>
      <w:r w:rsidR="00827ECC" w:rsidRPr="00D910D8">
        <w:rPr>
          <w:rFonts w:cs="Times New Roman"/>
          <w:szCs w:val="24"/>
        </w:rPr>
        <w:t>it</w:t>
      </w:r>
      <w:r w:rsidRPr="00D910D8">
        <w:rPr>
          <w:rFonts w:cs="Times New Roman"/>
          <w:szCs w:val="24"/>
        </w:rPr>
        <w:t xml:space="preserve">.  In my view, </w:t>
      </w:r>
      <w:r w:rsidR="00827ECC" w:rsidRPr="00D910D8">
        <w:rPr>
          <w:rFonts w:cs="Times New Roman"/>
          <w:szCs w:val="24"/>
        </w:rPr>
        <w:t xml:space="preserve">it </w:t>
      </w:r>
      <w:r w:rsidRPr="00D910D8">
        <w:rPr>
          <w:rFonts w:cs="Times New Roman"/>
          <w:szCs w:val="24"/>
        </w:rPr>
        <w:t>confirm</w:t>
      </w:r>
      <w:r w:rsidR="00827ECC" w:rsidRPr="00D910D8">
        <w:rPr>
          <w:rFonts w:cs="Times New Roman"/>
          <w:szCs w:val="24"/>
        </w:rPr>
        <w:t>s</w:t>
      </w:r>
      <w:r w:rsidRPr="00D910D8">
        <w:rPr>
          <w:rFonts w:cs="Times New Roman"/>
          <w:szCs w:val="24"/>
        </w:rPr>
        <w:t xml:space="preserve"> that no liability in tort should be recognized for Canada’s alleged misrepr</w:t>
      </w:r>
      <w:r w:rsidR="00581B23" w:rsidRPr="00D910D8">
        <w:rPr>
          <w:rFonts w:cs="Times New Roman"/>
          <w:szCs w:val="24"/>
        </w:rPr>
        <w:t>esentations.</w:t>
      </w:r>
    </w:p>
    <w:p w:rsidR="0098075D" w:rsidRPr="00D910D8" w:rsidRDefault="00AF3DBA" w:rsidP="0066330D">
      <w:pPr>
        <w:pStyle w:val="TitleTitre-AltT"/>
        <w:tabs>
          <w:tab w:val="clear" w:pos="360"/>
          <w:tab w:val="left" w:pos="1170"/>
        </w:tabs>
        <w:ind w:left="1800" w:hanging="1800"/>
        <w:rPr>
          <w:rFonts w:cs="Times New Roman"/>
          <w:i/>
          <w:szCs w:val="24"/>
        </w:rPr>
      </w:pPr>
      <w:bookmarkStart w:id="21" w:name="_Toc285751395"/>
      <w:r w:rsidRPr="00D910D8">
        <w:rPr>
          <w:rFonts w:cs="Times New Roman"/>
          <w:i/>
          <w:szCs w:val="24"/>
        </w:rPr>
        <w:tab/>
      </w:r>
      <w:bookmarkStart w:id="22" w:name="_Toc314733751"/>
      <w:r w:rsidR="00731861" w:rsidRPr="00D910D8">
        <w:rPr>
          <w:rFonts w:cs="Times New Roman"/>
          <w:szCs w:val="24"/>
        </w:rPr>
        <w:t>(b)</w:t>
      </w:r>
      <w:r w:rsidRPr="00D910D8">
        <w:rPr>
          <w:rFonts w:cs="Times New Roman"/>
          <w:i/>
          <w:szCs w:val="24"/>
        </w:rPr>
        <w:tab/>
      </w:r>
      <w:r w:rsidR="0098075D" w:rsidRPr="00D910D8">
        <w:rPr>
          <w:rFonts w:cs="Times New Roman"/>
          <w:i/>
          <w:szCs w:val="24"/>
        </w:rPr>
        <w:t>Indeterminate Liability</w:t>
      </w:r>
      <w:bookmarkEnd w:id="21"/>
      <w:bookmarkEnd w:id="22"/>
    </w:p>
    <w:p w:rsidR="00102514" w:rsidRPr="00D910D8" w:rsidRDefault="002606F8" w:rsidP="00AF3DBA">
      <w:pPr>
        <w:pStyle w:val="ParaNoNdepar-AltN"/>
        <w:rPr>
          <w:rFonts w:cs="Times New Roman"/>
          <w:szCs w:val="24"/>
        </w:rPr>
      </w:pPr>
      <w:r w:rsidRPr="00D910D8">
        <w:rPr>
          <w:rFonts w:cs="Times New Roman"/>
          <w:szCs w:val="24"/>
        </w:rPr>
        <w:t>Canada submits that allowing the defendants’ claims in negligent misrepresentation would result in indeterminate liability, and must therefore be rejected.  It submits that Canada had no control over the number of cigarettes being sold.  It argues that in cases of economic loss, the courts must limit liabil</w:t>
      </w:r>
      <w:r w:rsidR="000203BB" w:rsidRPr="00D910D8">
        <w:rPr>
          <w:rFonts w:cs="Times New Roman"/>
          <w:szCs w:val="24"/>
        </w:rPr>
        <w:t>ity to cases where the third party</w:t>
      </w:r>
      <w:r w:rsidRPr="00D910D8">
        <w:rPr>
          <w:rFonts w:cs="Times New Roman"/>
          <w:szCs w:val="24"/>
        </w:rPr>
        <w:t xml:space="preserve"> had a means of contro</w:t>
      </w:r>
      <w:r w:rsidR="00581B23" w:rsidRPr="00D910D8">
        <w:rPr>
          <w:rFonts w:cs="Times New Roman"/>
          <w:szCs w:val="24"/>
        </w:rPr>
        <w:t>lling the extent of liability.</w:t>
      </w:r>
    </w:p>
    <w:p w:rsidR="005C48DD" w:rsidRPr="00D910D8" w:rsidRDefault="002606F8" w:rsidP="00AF3DBA">
      <w:pPr>
        <w:pStyle w:val="ParaNoNdepar-AltN"/>
        <w:rPr>
          <w:rFonts w:cs="Times New Roman"/>
          <w:szCs w:val="24"/>
        </w:rPr>
      </w:pPr>
      <w:r w:rsidRPr="00D910D8">
        <w:rPr>
          <w:rFonts w:cs="Times New Roman"/>
          <w:szCs w:val="24"/>
        </w:rPr>
        <w:t xml:space="preserve">The tobacco companies respond that Canada faces extensive, but not indeterminate liability.  They submit that the scope of Canada’s liability to tobacco </w:t>
      </w:r>
      <w:r w:rsidRPr="00D910D8">
        <w:rPr>
          <w:rFonts w:cs="Times New Roman"/>
          <w:szCs w:val="24"/>
        </w:rPr>
        <w:lastRenderedPageBreak/>
        <w:t>companies is circumscribed by the tort of negligent misrepresentation.  Canada would only be liable to the smokers of light cigarettes and to the tobacco companies.</w:t>
      </w:r>
    </w:p>
    <w:p w:rsidR="005C48DD" w:rsidRPr="00D910D8" w:rsidRDefault="002606F8" w:rsidP="00AF3DBA">
      <w:pPr>
        <w:pStyle w:val="ParaNoNdepar-AltN"/>
        <w:rPr>
          <w:rFonts w:cs="Times New Roman"/>
          <w:szCs w:val="24"/>
        </w:rPr>
      </w:pPr>
      <w:r w:rsidRPr="00D910D8">
        <w:rPr>
          <w:rFonts w:cs="Times New Roman"/>
          <w:szCs w:val="24"/>
        </w:rPr>
        <w:t xml:space="preserve">I agree with Canada that the prospect of indeterminate liability is fatal to the tobacco companies’ claims of negligent misrepresentation.  Insofar as the claims are based on representations to consumers, Canada had no control over the number of people who smoked light cigarettes.  This situation is analogous to </w:t>
      </w:r>
      <w:r w:rsidRPr="00D910D8">
        <w:rPr>
          <w:rFonts w:cs="Times New Roman"/>
          <w:i/>
          <w:szCs w:val="24"/>
        </w:rPr>
        <w:t>Cooper</w:t>
      </w:r>
      <w:r w:rsidRPr="00D910D8">
        <w:rPr>
          <w:rFonts w:cs="Times New Roman"/>
          <w:szCs w:val="24"/>
        </w:rPr>
        <w:t>, where this Court</w:t>
      </w:r>
      <w:r w:rsidR="00F96084" w:rsidRPr="00D910D8">
        <w:rPr>
          <w:rFonts w:cs="Times New Roman"/>
          <w:szCs w:val="24"/>
        </w:rPr>
        <w:t xml:space="preserve"> held that it would have</w:t>
      </w:r>
      <w:r w:rsidRPr="00D910D8">
        <w:rPr>
          <w:rFonts w:cs="Times New Roman"/>
          <w:szCs w:val="24"/>
        </w:rPr>
        <w:t xml:space="preserve"> declined to apply a duty of care to the Registrar of Mortgage Brokers in respect of economic losses suffered by investors because “[t]he Act itself imposes no limit and the Registrar has no means of controlling the number of investors or the amount of money invested in the mortgage brokerage system” (para. 54). </w:t>
      </w:r>
      <w:r w:rsidR="00F96084" w:rsidRPr="00D910D8">
        <w:rPr>
          <w:rFonts w:cs="Times New Roman"/>
          <w:szCs w:val="24"/>
        </w:rPr>
        <w:t xml:space="preserve"> While this statement was made in </w:t>
      </w:r>
      <w:r w:rsidR="00F96084" w:rsidRPr="00D910D8">
        <w:rPr>
          <w:rFonts w:cs="Times New Roman"/>
          <w:i/>
          <w:szCs w:val="24"/>
        </w:rPr>
        <w:t>obiter</w:t>
      </w:r>
      <w:r w:rsidR="00F96084" w:rsidRPr="00D910D8">
        <w:rPr>
          <w:rFonts w:cs="Times New Roman"/>
          <w:szCs w:val="24"/>
        </w:rPr>
        <w:t>, the argument is persuasive.</w:t>
      </w:r>
    </w:p>
    <w:p w:rsidR="005C48DD" w:rsidRPr="00D910D8" w:rsidRDefault="002606F8" w:rsidP="00AF3DBA">
      <w:pPr>
        <w:pStyle w:val="ParaNoNdepar-AltN"/>
        <w:rPr>
          <w:rFonts w:cs="Times New Roman"/>
          <w:szCs w:val="24"/>
        </w:rPr>
      </w:pPr>
      <w:r w:rsidRPr="00D910D8">
        <w:rPr>
          <w:rFonts w:cs="Times New Roman"/>
          <w:szCs w:val="24"/>
        </w:rPr>
        <w:t xml:space="preserve">The risk of indeterminate liability is enhanced by the fact that the claims are for pure economic loss.  In </w:t>
      </w:r>
      <w:r w:rsidRPr="00D910D8">
        <w:rPr>
          <w:rFonts w:cs="Times New Roman"/>
          <w:i/>
          <w:szCs w:val="24"/>
        </w:rPr>
        <w:t>Design Services</w:t>
      </w:r>
      <w:r w:rsidR="00731861" w:rsidRPr="00D910D8">
        <w:rPr>
          <w:rFonts w:cs="Times New Roman"/>
          <w:i/>
          <w:szCs w:val="24"/>
        </w:rPr>
        <w:t xml:space="preserve"> Ltd.</w:t>
      </w:r>
      <w:r w:rsidRPr="00D910D8">
        <w:rPr>
          <w:rFonts w:cs="Times New Roman"/>
          <w:i/>
          <w:szCs w:val="24"/>
        </w:rPr>
        <w:t xml:space="preserve"> v. Canada</w:t>
      </w:r>
      <w:r w:rsidRPr="00D910D8">
        <w:rPr>
          <w:rFonts w:cs="Times New Roman"/>
          <w:szCs w:val="24"/>
        </w:rPr>
        <w:t xml:space="preserve">, </w:t>
      </w:r>
      <w:r w:rsidR="00731861" w:rsidRPr="00D910D8">
        <w:rPr>
          <w:rFonts w:cs="Times New Roman"/>
          <w:szCs w:val="24"/>
        </w:rPr>
        <w:t xml:space="preserve">2008 SCC 22, </w:t>
      </w:r>
      <w:r w:rsidRPr="00D910D8">
        <w:rPr>
          <w:rFonts w:cs="Times New Roman"/>
          <w:szCs w:val="24"/>
        </w:rPr>
        <w:t xml:space="preserve">[2008] 1 S.C.R. 737, the Court, </w:t>
      </w:r>
      <w:r w:rsidRPr="00D910D8">
        <w:rPr>
          <w:rFonts w:cs="Times New Roman"/>
          <w:i/>
          <w:szCs w:val="24"/>
        </w:rPr>
        <w:t xml:space="preserve">per </w:t>
      </w:r>
      <w:r w:rsidRPr="00D910D8">
        <w:rPr>
          <w:rFonts w:cs="Times New Roman"/>
          <w:szCs w:val="24"/>
        </w:rPr>
        <w:t>Rothstein J., held that “in cases of pure economic loss, to paraphrase Cardozo C.J., care must be taken to find that a duty is recognized only in cases where the class of plaintiffs, the time and the amounts are determinate” (para. 62).  If Canada owed a duty of care to consumers of light cigarettes, the potential class of plaintiffs and the amount of liability would be indeterminate.</w:t>
      </w:r>
    </w:p>
    <w:p w:rsidR="005C48DD" w:rsidRPr="00D910D8" w:rsidRDefault="002606F8" w:rsidP="00AF3DBA">
      <w:pPr>
        <w:pStyle w:val="ParaNoNdepar-AltN"/>
        <w:rPr>
          <w:rFonts w:cs="Times New Roman"/>
          <w:szCs w:val="24"/>
        </w:rPr>
      </w:pPr>
      <w:r w:rsidRPr="00D910D8">
        <w:rPr>
          <w:rFonts w:cs="Times New Roman"/>
          <w:szCs w:val="24"/>
        </w:rPr>
        <w:lastRenderedPageBreak/>
        <w:t>Insofar as the claims are based on representations to the tobacco companies, they are at first blush more circumscribed.  However, this distinction breaks down on analysis.  Recognizing a duty of care for representations to the tobacco companies would effectively amount to a duty to consumers, since the quantum of damages owed to the companies in both cases would depend on the number of smokers and the number of cigarettes sold.  This is a flow-through claim of negligent misrepresentation, where the tobacco companies are passing along their potential liability to consumers and to the province of British Columbia.  In my view, in both cases, these claims should fail because Canada was not in control of the extent of its potential liability.</w:t>
      </w:r>
    </w:p>
    <w:p w:rsidR="00646AA6" w:rsidRPr="00D910D8" w:rsidRDefault="00AF3DBA" w:rsidP="0066330D">
      <w:pPr>
        <w:pStyle w:val="TitleTitre-AltT"/>
        <w:tabs>
          <w:tab w:val="clear" w:pos="360"/>
          <w:tab w:val="left" w:pos="1170"/>
        </w:tabs>
        <w:ind w:left="1800" w:hanging="1800"/>
        <w:rPr>
          <w:rFonts w:cs="Times New Roman"/>
          <w:i/>
          <w:szCs w:val="24"/>
        </w:rPr>
      </w:pPr>
      <w:r w:rsidRPr="00D910D8">
        <w:rPr>
          <w:rFonts w:cs="Times New Roman"/>
          <w:i/>
          <w:szCs w:val="24"/>
        </w:rPr>
        <w:tab/>
      </w:r>
      <w:bookmarkStart w:id="23" w:name="_Toc314733752"/>
      <w:r w:rsidR="00731861" w:rsidRPr="00D910D8">
        <w:rPr>
          <w:rFonts w:cs="Times New Roman"/>
          <w:szCs w:val="24"/>
        </w:rPr>
        <w:t>(c)</w:t>
      </w:r>
      <w:r w:rsidRPr="00D910D8">
        <w:rPr>
          <w:rFonts w:cs="Times New Roman"/>
          <w:i/>
          <w:szCs w:val="24"/>
        </w:rPr>
        <w:tab/>
      </w:r>
      <w:r w:rsidR="002606F8" w:rsidRPr="00D910D8">
        <w:rPr>
          <w:rFonts w:cs="Times New Roman"/>
          <w:i/>
          <w:szCs w:val="24"/>
        </w:rPr>
        <w:t>Summary on Stage</w:t>
      </w:r>
      <w:r w:rsidR="00731861" w:rsidRPr="00D910D8">
        <w:rPr>
          <w:rFonts w:cs="Times New Roman"/>
          <w:i/>
          <w:szCs w:val="24"/>
        </w:rPr>
        <w:t>-</w:t>
      </w:r>
      <w:r w:rsidR="002606F8" w:rsidRPr="00D910D8">
        <w:rPr>
          <w:rFonts w:cs="Times New Roman"/>
          <w:i/>
          <w:szCs w:val="24"/>
        </w:rPr>
        <w:t>Two Policy Arguments</w:t>
      </w:r>
      <w:bookmarkEnd w:id="23"/>
    </w:p>
    <w:p w:rsidR="005F1C79" w:rsidRPr="00D910D8" w:rsidRDefault="002606F8" w:rsidP="00AF3DBA">
      <w:pPr>
        <w:pStyle w:val="ParaNoNdepar-AltN"/>
        <w:rPr>
          <w:rFonts w:cs="Times New Roman"/>
          <w:szCs w:val="24"/>
        </w:rPr>
      </w:pPr>
      <w:r w:rsidRPr="00D910D8">
        <w:rPr>
          <w:rFonts w:cs="Times New Roman"/>
          <w:szCs w:val="24"/>
        </w:rPr>
        <w:t>In my view, this Court should strike the negligent misrepresentation claim</w:t>
      </w:r>
      <w:r w:rsidR="00731861" w:rsidRPr="00D910D8">
        <w:rPr>
          <w:rFonts w:cs="Times New Roman"/>
          <w:szCs w:val="24"/>
        </w:rPr>
        <w:t>s in both cases as a result of s</w:t>
      </w:r>
      <w:r w:rsidRPr="00D910D8">
        <w:rPr>
          <w:rFonts w:cs="Times New Roman"/>
          <w:szCs w:val="24"/>
        </w:rPr>
        <w:t>tage</w:t>
      </w:r>
      <w:r w:rsidR="00731861" w:rsidRPr="00D910D8">
        <w:rPr>
          <w:rFonts w:cs="Times New Roman"/>
          <w:szCs w:val="24"/>
        </w:rPr>
        <w:t>-t</w:t>
      </w:r>
      <w:r w:rsidRPr="00D910D8">
        <w:rPr>
          <w:rFonts w:cs="Times New Roman"/>
          <w:szCs w:val="24"/>
        </w:rPr>
        <w:t>wo policy concerns about interfering with government policy decisions</w:t>
      </w:r>
      <w:r w:rsidR="00AA5135" w:rsidRPr="00D910D8">
        <w:rPr>
          <w:rFonts w:cs="Times New Roman"/>
          <w:szCs w:val="24"/>
        </w:rPr>
        <w:t xml:space="preserve"> and</w:t>
      </w:r>
      <w:r w:rsidRPr="00D910D8">
        <w:rPr>
          <w:rFonts w:cs="Times New Roman"/>
          <w:szCs w:val="24"/>
        </w:rPr>
        <w:t xml:space="preserve"> the prospect of indeterminate</w:t>
      </w:r>
      <w:r w:rsidR="00AA5135" w:rsidRPr="00D910D8">
        <w:rPr>
          <w:rFonts w:cs="Times New Roman"/>
          <w:szCs w:val="24"/>
        </w:rPr>
        <w:t xml:space="preserve"> liability</w:t>
      </w:r>
      <w:bookmarkStart w:id="24" w:name="_Toc285751398"/>
      <w:bookmarkStart w:id="25" w:name="_Toc285751654"/>
      <w:r w:rsidR="00581B23" w:rsidRPr="00D910D8">
        <w:rPr>
          <w:rFonts w:cs="Times New Roman"/>
          <w:szCs w:val="24"/>
        </w:rPr>
        <w:t>.</w:t>
      </w:r>
    </w:p>
    <w:p w:rsidR="005F1C79" w:rsidRPr="00D910D8" w:rsidRDefault="00731861" w:rsidP="00581B23">
      <w:pPr>
        <w:pStyle w:val="TitleTitre-AltT"/>
        <w:tabs>
          <w:tab w:val="clear" w:pos="360"/>
          <w:tab w:val="left" w:pos="540"/>
        </w:tabs>
        <w:spacing w:after="720"/>
        <w:ind w:left="547" w:hanging="547"/>
        <w:rPr>
          <w:rFonts w:cs="Times New Roman"/>
          <w:szCs w:val="24"/>
        </w:rPr>
      </w:pPr>
      <w:bookmarkStart w:id="26" w:name="_Toc314733753"/>
      <w:r w:rsidRPr="00D910D8">
        <w:rPr>
          <w:rFonts w:cs="Times New Roman"/>
          <w:szCs w:val="24"/>
        </w:rPr>
        <w:t>D</w:t>
      </w:r>
      <w:r w:rsidR="00AF3DBA" w:rsidRPr="00D910D8">
        <w:rPr>
          <w:rFonts w:cs="Times New Roman"/>
          <w:szCs w:val="24"/>
        </w:rPr>
        <w:t>.</w:t>
      </w:r>
      <w:r w:rsidR="00AF3DBA" w:rsidRPr="00D910D8">
        <w:rPr>
          <w:rFonts w:cs="Times New Roman"/>
          <w:szCs w:val="24"/>
        </w:rPr>
        <w:tab/>
      </w:r>
      <w:r w:rsidR="002606F8" w:rsidRPr="00D910D8">
        <w:rPr>
          <w:rFonts w:cs="Times New Roman"/>
          <w:i/>
          <w:szCs w:val="24"/>
        </w:rPr>
        <w:t>Failure to Warn</w:t>
      </w:r>
      <w:bookmarkEnd w:id="24"/>
      <w:bookmarkEnd w:id="25"/>
      <w:bookmarkEnd w:id="26"/>
    </w:p>
    <w:p w:rsidR="005F1C79" w:rsidRPr="00D910D8" w:rsidRDefault="000A2C08" w:rsidP="00AF3DBA">
      <w:pPr>
        <w:pStyle w:val="ParaNoNdepar-AltN"/>
        <w:rPr>
          <w:rFonts w:cs="Times New Roman"/>
          <w:szCs w:val="24"/>
        </w:rPr>
      </w:pPr>
      <w:r w:rsidRPr="00D910D8">
        <w:rPr>
          <w:rFonts w:cs="Times New Roman"/>
          <w:szCs w:val="24"/>
        </w:rPr>
        <w:t xml:space="preserve">The </w:t>
      </w:r>
      <w:r w:rsidR="002606F8" w:rsidRPr="00D910D8">
        <w:rPr>
          <w:rFonts w:cs="Times New Roman"/>
          <w:szCs w:val="24"/>
        </w:rPr>
        <w:t xml:space="preserve">tobacco companies make two allegations of failure to warn: </w:t>
      </w:r>
      <w:r w:rsidR="00C1387C" w:rsidRPr="00D910D8">
        <w:rPr>
          <w:rFonts w:cs="Times New Roman"/>
          <w:szCs w:val="24"/>
        </w:rPr>
        <w:t xml:space="preserve">B.A.T. </w:t>
      </w:r>
      <w:r w:rsidR="002606F8" w:rsidRPr="00D910D8">
        <w:rPr>
          <w:rFonts w:cs="Times New Roman"/>
          <w:szCs w:val="24"/>
        </w:rPr>
        <w:t xml:space="preserve">alleges that Canada directed the </w:t>
      </w:r>
      <w:r w:rsidRPr="00D910D8">
        <w:rPr>
          <w:rFonts w:cs="Times New Roman"/>
          <w:szCs w:val="24"/>
        </w:rPr>
        <w:t>tobacco companies</w:t>
      </w:r>
      <w:r w:rsidR="002606F8" w:rsidRPr="00D910D8">
        <w:rPr>
          <w:rFonts w:cs="Times New Roman"/>
          <w:szCs w:val="24"/>
        </w:rPr>
        <w:t xml:space="preserve"> not to provide warnings </w:t>
      </w:r>
      <w:r w:rsidR="00F95990" w:rsidRPr="00D910D8">
        <w:rPr>
          <w:rFonts w:cs="Times New Roman"/>
          <w:szCs w:val="24"/>
        </w:rPr>
        <w:t xml:space="preserve">on cigarette packages </w:t>
      </w:r>
      <w:r w:rsidR="002606F8" w:rsidRPr="00D910D8">
        <w:rPr>
          <w:rFonts w:cs="Times New Roman"/>
          <w:szCs w:val="24"/>
        </w:rPr>
        <w:t xml:space="preserve">(the labelling claim) about the health hazards of cigarettes; and </w:t>
      </w:r>
      <w:r w:rsidR="002606F8" w:rsidRPr="00D910D8">
        <w:rPr>
          <w:rFonts w:cs="Times New Roman"/>
          <w:szCs w:val="24"/>
        </w:rPr>
        <w:lastRenderedPageBreak/>
        <w:t>Imperial alleges that Canada failed to warn the tobacco companies about the dangers posed by the strains of tobacco designed and licensed by Canada.</w:t>
      </w:r>
    </w:p>
    <w:p w:rsidR="005F1C79" w:rsidRPr="00D910D8" w:rsidRDefault="00731861" w:rsidP="00581B23">
      <w:pPr>
        <w:pStyle w:val="TitleTitre-AltT"/>
        <w:tabs>
          <w:tab w:val="clear" w:pos="360"/>
          <w:tab w:val="left" w:pos="1170"/>
        </w:tabs>
        <w:spacing w:after="720"/>
        <w:ind w:left="1800" w:hanging="1800"/>
        <w:rPr>
          <w:rFonts w:cs="Times New Roman"/>
          <w:szCs w:val="24"/>
        </w:rPr>
      </w:pPr>
      <w:r w:rsidRPr="00D910D8">
        <w:rPr>
          <w:rFonts w:cs="Times New Roman"/>
          <w:i/>
          <w:szCs w:val="24"/>
        </w:rPr>
        <w:tab/>
      </w:r>
      <w:bookmarkStart w:id="27" w:name="_Toc314733754"/>
      <w:r w:rsidRPr="00D910D8">
        <w:rPr>
          <w:rFonts w:cs="Times New Roman"/>
          <w:szCs w:val="24"/>
        </w:rPr>
        <w:t>(1</w:t>
      </w:r>
      <w:r w:rsidR="00AF3DBA" w:rsidRPr="00D910D8">
        <w:rPr>
          <w:rFonts w:cs="Times New Roman"/>
          <w:szCs w:val="24"/>
        </w:rPr>
        <w:t>)</w:t>
      </w:r>
      <w:r w:rsidR="00AF3DBA" w:rsidRPr="00D910D8">
        <w:rPr>
          <w:rFonts w:cs="Times New Roman"/>
          <w:szCs w:val="24"/>
        </w:rPr>
        <w:tab/>
      </w:r>
      <w:r w:rsidR="002606F8" w:rsidRPr="00D910D8">
        <w:rPr>
          <w:rFonts w:cs="Times New Roman"/>
          <w:szCs w:val="24"/>
          <w:u w:val="single"/>
        </w:rPr>
        <w:t>Labelling Claim</w:t>
      </w:r>
      <w:bookmarkEnd w:id="27"/>
    </w:p>
    <w:p w:rsidR="00A25164" w:rsidRPr="00D910D8" w:rsidRDefault="00A25164" w:rsidP="00A25164">
      <w:pPr>
        <w:pStyle w:val="ParaNoNdepar-AltN"/>
        <w:rPr>
          <w:rFonts w:cs="Times New Roman"/>
          <w:szCs w:val="24"/>
        </w:rPr>
      </w:pPr>
      <w:r w:rsidRPr="00D910D8">
        <w:rPr>
          <w:rFonts w:cs="Times New Roman"/>
          <w:szCs w:val="24"/>
        </w:rPr>
        <w:t xml:space="preserve">B.A.T. alleges that by instructing the industry to not put warning labels on their cigarettes, Canada is liable in tort for failure to warn.  In the </w:t>
      </w:r>
      <w:r w:rsidRPr="00D910D8">
        <w:rPr>
          <w:rFonts w:cs="Times New Roman"/>
          <w:i/>
          <w:szCs w:val="24"/>
        </w:rPr>
        <w:t xml:space="preserve">Knight </w:t>
      </w:r>
      <w:r w:rsidRPr="00D910D8">
        <w:rPr>
          <w:rFonts w:cs="Times New Roman"/>
          <w:szCs w:val="24"/>
        </w:rPr>
        <w:t>case, Tysoe J.A. did not address the failure to warn claims. Hall J.A., writing for the minority, wou</w:t>
      </w:r>
      <w:r w:rsidR="00ED68CE" w:rsidRPr="00D910D8">
        <w:rPr>
          <w:rFonts w:cs="Times New Roman"/>
          <w:szCs w:val="24"/>
        </w:rPr>
        <w:t>ld have struck those claims on s</w:t>
      </w:r>
      <w:r w:rsidRPr="00D910D8">
        <w:rPr>
          <w:rFonts w:cs="Times New Roman"/>
          <w:szCs w:val="24"/>
        </w:rPr>
        <w:t>tage</w:t>
      </w:r>
      <w:r w:rsidR="00ED68CE" w:rsidRPr="00D910D8">
        <w:rPr>
          <w:rFonts w:cs="Times New Roman"/>
          <w:szCs w:val="24"/>
        </w:rPr>
        <w:t>-t</w:t>
      </w:r>
      <w:r w:rsidRPr="00D910D8">
        <w:rPr>
          <w:rFonts w:cs="Times New Roman"/>
          <w:szCs w:val="24"/>
        </w:rPr>
        <w:t xml:space="preserve">wo grounds, finding that Canada’s decision was a policy decision and that liability would be indeterminate.  Hall J.A. also held that liability would conflict with the government’s public duties </w:t>
      </w:r>
      <w:r w:rsidR="00530E91" w:rsidRPr="00D910D8">
        <w:rPr>
          <w:rFonts w:cs="Times New Roman"/>
          <w:szCs w:val="24"/>
        </w:rPr>
        <w:t>(</w:t>
      </w:r>
      <w:r w:rsidRPr="00D910D8">
        <w:rPr>
          <w:rFonts w:cs="Times New Roman"/>
          <w:szCs w:val="24"/>
        </w:rPr>
        <w:t>para. 99</w:t>
      </w:r>
      <w:r w:rsidR="00530E91" w:rsidRPr="00D910D8">
        <w:rPr>
          <w:rFonts w:cs="Times New Roman"/>
          <w:szCs w:val="24"/>
        </w:rPr>
        <w:t>).</w:t>
      </w:r>
      <w:r w:rsidRPr="00D910D8">
        <w:rPr>
          <w:rFonts w:cs="Times New Roman"/>
          <w:szCs w:val="24"/>
        </w:rPr>
        <w:t xml:space="preserve">  In the </w:t>
      </w:r>
      <w:r w:rsidRPr="00D910D8">
        <w:rPr>
          <w:rFonts w:cs="Times New Roman"/>
          <w:i/>
          <w:szCs w:val="24"/>
        </w:rPr>
        <w:t xml:space="preserve">Costs Recovery </w:t>
      </w:r>
      <w:r w:rsidRPr="00D910D8">
        <w:rPr>
          <w:rFonts w:cs="Times New Roman"/>
          <w:szCs w:val="24"/>
        </w:rPr>
        <w:t xml:space="preserve">case, Tysoe J.A. adopted Hall J.A.’s </w:t>
      </w:r>
      <w:r w:rsidR="00530E91" w:rsidRPr="00D910D8">
        <w:rPr>
          <w:rFonts w:cs="Times New Roman"/>
          <w:szCs w:val="24"/>
        </w:rPr>
        <w:t>analysis</w:t>
      </w:r>
      <w:r w:rsidRPr="00D910D8">
        <w:rPr>
          <w:rFonts w:cs="Times New Roman"/>
          <w:szCs w:val="24"/>
        </w:rPr>
        <w:t xml:space="preserve"> from the </w:t>
      </w:r>
      <w:r w:rsidRPr="00D910D8">
        <w:rPr>
          <w:rFonts w:cs="Times New Roman"/>
          <w:i/>
          <w:szCs w:val="24"/>
        </w:rPr>
        <w:t xml:space="preserve">Knight </w:t>
      </w:r>
      <w:r w:rsidRPr="00D910D8">
        <w:rPr>
          <w:rFonts w:cs="Times New Roman"/>
          <w:szCs w:val="24"/>
        </w:rPr>
        <w:t xml:space="preserve">case in rejecting the failure to warn claim as between Canada and the tobacco </w:t>
      </w:r>
      <w:proofErr w:type="gramStart"/>
      <w:r w:rsidRPr="00D910D8">
        <w:rPr>
          <w:rFonts w:cs="Times New Roman"/>
          <w:szCs w:val="24"/>
        </w:rPr>
        <w:t xml:space="preserve">companies </w:t>
      </w:r>
      <w:r w:rsidR="00530E91" w:rsidRPr="00D910D8">
        <w:rPr>
          <w:rFonts w:cs="Times New Roman"/>
          <w:szCs w:val="24"/>
        </w:rPr>
        <w:t xml:space="preserve"> (</w:t>
      </w:r>
      <w:proofErr w:type="gramEnd"/>
      <w:r w:rsidRPr="00D910D8">
        <w:rPr>
          <w:rFonts w:cs="Times New Roman"/>
          <w:szCs w:val="24"/>
        </w:rPr>
        <w:t>para. 89</w:t>
      </w:r>
      <w:r w:rsidR="00530E91" w:rsidRPr="00D910D8">
        <w:rPr>
          <w:rFonts w:cs="Times New Roman"/>
          <w:szCs w:val="24"/>
        </w:rPr>
        <w:t>)</w:t>
      </w:r>
      <w:r w:rsidRPr="00D910D8">
        <w:rPr>
          <w:rFonts w:cs="Times New Roman"/>
          <w:szCs w:val="24"/>
        </w:rPr>
        <w:t>.  B.A.T. challenges these findings.</w:t>
      </w:r>
    </w:p>
    <w:p w:rsidR="005F1C79" w:rsidRPr="00D910D8" w:rsidRDefault="002606F8" w:rsidP="00AF3DBA">
      <w:pPr>
        <w:pStyle w:val="ParaNoNdepar-AltN"/>
        <w:rPr>
          <w:rFonts w:cs="Times New Roman"/>
          <w:szCs w:val="24"/>
        </w:rPr>
      </w:pPr>
      <w:r w:rsidRPr="00D910D8">
        <w:rPr>
          <w:rFonts w:cs="Times New Roman"/>
          <w:szCs w:val="24"/>
        </w:rPr>
        <w:t>The crux of this failure to warn claim is essentially the same as the negligent misrepresentation claim</w:t>
      </w:r>
      <w:r w:rsidR="0098075D" w:rsidRPr="00D910D8">
        <w:rPr>
          <w:rFonts w:cs="Times New Roman"/>
          <w:szCs w:val="24"/>
        </w:rPr>
        <w:t xml:space="preserve">, and </w:t>
      </w:r>
      <w:r w:rsidRPr="00D910D8">
        <w:rPr>
          <w:rFonts w:cs="Times New Roman"/>
          <w:szCs w:val="24"/>
        </w:rPr>
        <w:t xml:space="preserve">should be rejected for the same policy reasons.  </w:t>
      </w:r>
      <w:r w:rsidR="0098075D" w:rsidRPr="00D910D8">
        <w:rPr>
          <w:rFonts w:cs="Times New Roman"/>
          <w:szCs w:val="24"/>
        </w:rPr>
        <w:t xml:space="preserve">The </w:t>
      </w:r>
      <w:r w:rsidRPr="00D910D8">
        <w:rPr>
          <w:rFonts w:cs="Times New Roman"/>
          <w:szCs w:val="24"/>
        </w:rPr>
        <w:t xml:space="preserve">Minister of Health’s recommendations on warning labels </w:t>
      </w:r>
      <w:r w:rsidR="0098075D" w:rsidRPr="00D910D8">
        <w:rPr>
          <w:rFonts w:cs="Times New Roman"/>
          <w:szCs w:val="24"/>
        </w:rPr>
        <w:t xml:space="preserve">were integral to the government’s policy of encouraging smokers to switch to low-tar cigarettes.  As such, they cannot ground a claim in </w:t>
      </w:r>
      <w:r w:rsidR="00B52CBF" w:rsidRPr="00D910D8">
        <w:rPr>
          <w:rFonts w:cs="Times New Roman"/>
          <w:szCs w:val="24"/>
        </w:rPr>
        <w:t>failure to warn</w:t>
      </w:r>
      <w:r w:rsidR="0098075D" w:rsidRPr="00D910D8">
        <w:rPr>
          <w:rFonts w:cs="Times New Roman"/>
          <w:szCs w:val="24"/>
        </w:rPr>
        <w:t>.</w:t>
      </w:r>
    </w:p>
    <w:p w:rsidR="005F1C79" w:rsidRPr="00D910D8" w:rsidRDefault="00AF3DBA" w:rsidP="00581B23">
      <w:pPr>
        <w:pStyle w:val="TitleTitre-AltT"/>
        <w:tabs>
          <w:tab w:val="clear" w:pos="360"/>
          <w:tab w:val="left" w:pos="1170"/>
        </w:tabs>
        <w:spacing w:after="720"/>
        <w:ind w:left="1800" w:hanging="1800"/>
        <w:rPr>
          <w:rFonts w:cs="Times New Roman"/>
          <w:szCs w:val="24"/>
        </w:rPr>
      </w:pPr>
      <w:r w:rsidRPr="00D910D8">
        <w:rPr>
          <w:rFonts w:cs="Times New Roman"/>
          <w:i/>
          <w:szCs w:val="24"/>
        </w:rPr>
        <w:tab/>
      </w:r>
      <w:bookmarkStart w:id="28" w:name="_Toc314733755"/>
      <w:r w:rsidR="00ED68CE" w:rsidRPr="00D910D8">
        <w:rPr>
          <w:rFonts w:cs="Times New Roman"/>
          <w:szCs w:val="24"/>
        </w:rPr>
        <w:t>(2</w:t>
      </w:r>
      <w:r w:rsidRPr="00D910D8">
        <w:rPr>
          <w:rFonts w:cs="Times New Roman"/>
          <w:szCs w:val="24"/>
        </w:rPr>
        <w:t>)</w:t>
      </w:r>
      <w:r w:rsidRPr="00D910D8">
        <w:rPr>
          <w:rFonts w:cs="Times New Roman"/>
          <w:szCs w:val="24"/>
        </w:rPr>
        <w:tab/>
      </w:r>
      <w:r w:rsidR="002606F8" w:rsidRPr="00D910D8">
        <w:rPr>
          <w:rFonts w:cs="Times New Roman"/>
          <w:szCs w:val="24"/>
          <w:u w:val="single"/>
        </w:rPr>
        <w:t>Failure</w:t>
      </w:r>
      <w:r w:rsidR="00ED68CE" w:rsidRPr="00D910D8">
        <w:rPr>
          <w:rFonts w:cs="Times New Roman"/>
          <w:szCs w:val="24"/>
          <w:u w:val="single"/>
        </w:rPr>
        <w:t xml:space="preserve"> to Warn Imperial </w:t>
      </w:r>
      <w:proofErr w:type="gramStart"/>
      <w:r w:rsidR="00ED68CE" w:rsidRPr="00D910D8">
        <w:rPr>
          <w:rFonts w:cs="Times New Roman"/>
          <w:szCs w:val="24"/>
          <w:u w:val="single"/>
        </w:rPr>
        <w:t>A</w:t>
      </w:r>
      <w:r w:rsidR="000A2C08" w:rsidRPr="00D910D8">
        <w:rPr>
          <w:rFonts w:cs="Times New Roman"/>
          <w:szCs w:val="24"/>
          <w:u w:val="single"/>
        </w:rPr>
        <w:t>bout</w:t>
      </w:r>
      <w:proofErr w:type="gramEnd"/>
      <w:r w:rsidR="000A2C08" w:rsidRPr="00D910D8">
        <w:rPr>
          <w:rFonts w:cs="Times New Roman"/>
          <w:szCs w:val="24"/>
          <w:u w:val="single"/>
        </w:rPr>
        <w:t xml:space="preserve"> Health H</w:t>
      </w:r>
      <w:r w:rsidR="002606F8" w:rsidRPr="00D910D8">
        <w:rPr>
          <w:rFonts w:cs="Times New Roman"/>
          <w:szCs w:val="24"/>
          <w:u w:val="single"/>
        </w:rPr>
        <w:t>azards</w:t>
      </w:r>
      <w:bookmarkEnd w:id="28"/>
    </w:p>
    <w:p w:rsidR="005F1C79" w:rsidRPr="00D910D8" w:rsidRDefault="002606F8" w:rsidP="00AF3DBA">
      <w:pPr>
        <w:pStyle w:val="ParaNoNdepar-AltN"/>
        <w:rPr>
          <w:rFonts w:cs="Times New Roman"/>
          <w:szCs w:val="24"/>
        </w:rPr>
      </w:pPr>
      <w:r w:rsidRPr="00D910D8">
        <w:rPr>
          <w:rFonts w:cs="Times New Roman"/>
          <w:szCs w:val="24"/>
        </w:rPr>
        <w:lastRenderedPageBreak/>
        <w:t xml:space="preserve">The Court of Appeal, </w:t>
      </w:r>
      <w:r w:rsidRPr="00D910D8">
        <w:rPr>
          <w:rFonts w:cs="Times New Roman"/>
          <w:i/>
          <w:szCs w:val="24"/>
        </w:rPr>
        <w:t>per</w:t>
      </w:r>
      <w:r w:rsidRPr="00D910D8">
        <w:rPr>
          <w:rFonts w:cs="Times New Roman"/>
          <w:szCs w:val="24"/>
        </w:rPr>
        <w:t xml:space="preserve"> Tysoe J.A., held that the third</w:t>
      </w:r>
      <w:r w:rsidR="00ED68CE" w:rsidRPr="00D910D8">
        <w:rPr>
          <w:rFonts w:cs="Times New Roman"/>
          <w:szCs w:val="24"/>
        </w:rPr>
        <w:t>-</w:t>
      </w:r>
      <w:r w:rsidRPr="00D910D8">
        <w:rPr>
          <w:rFonts w:cs="Times New Roman"/>
          <w:szCs w:val="24"/>
        </w:rPr>
        <w:t>party notices did n</w:t>
      </w:r>
      <w:r w:rsidR="0098075D" w:rsidRPr="00D910D8">
        <w:rPr>
          <w:rFonts w:cs="Times New Roman"/>
          <w:szCs w:val="24"/>
        </w:rPr>
        <w:t xml:space="preserve">ot sufficiently plead </w:t>
      </w:r>
      <w:r w:rsidRPr="00D910D8">
        <w:rPr>
          <w:rFonts w:cs="Times New Roman"/>
          <w:szCs w:val="24"/>
        </w:rPr>
        <w:t>that Canada failed to warn the industry about the health hazards of its strain</w:t>
      </w:r>
      <w:r w:rsidR="000203BB" w:rsidRPr="00D910D8">
        <w:rPr>
          <w:rFonts w:cs="Times New Roman"/>
          <w:szCs w:val="24"/>
        </w:rPr>
        <w:t>s</w:t>
      </w:r>
      <w:r w:rsidRPr="00D910D8">
        <w:rPr>
          <w:rFonts w:cs="Times New Roman"/>
          <w:szCs w:val="24"/>
        </w:rPr>
        <w:t xml:space="preserve"> of tobacco.  Imperial argues that this was in error, because the elements of a failure to warn claim are identical to the elements of the negligence claim, w</w:t>
      </w:r>
      <w:r w:rsidR="00581B23" w:rsidRPr="00D910D8">
        <w:rPr>
          <w:rFonts w:cs="Times New Roman"/>
          <w:szCs w:val="24"/>
        </w:rPr>
        <w:t>hich was sufficiently pleaded.</w:t>
      </w:r>
    </w:p>
    <w:p w:rsidR="005F1C79" w:rsidRPr="00D910D8" w:rsidRDefault="002606F8" w:rsidP="00AF3DBA">
      <w:pPr>
        <w:pStyle w:val="ParaNoNdepar-AltN"/>
        <w:rPr>
          <w:rFonts w:cs="Times New Roman"/>
          <w:szCs w:val="24"/>
        </w:rPr>
      </w:pPr>
      <w:r w:rsidRPr="00D910D8">
        <w:rPr>
          <w:rFonts w:cs="Times New Roman"/>
          <w:szCs w:val="24"/>
        </w:rPr>
        <w:t xml:space="preserve">Canada points out that </w:t>
      </w:r>
      <w:r w:rsidR="00ED68CE" w:rsidRPr="00D910D8">
        <w:rPr>
          <w:rFonts w:cs="Times New Roman"/>
          <w:szCs w:val="24"/>
        </w:rPr>
        <w:t>the two paragraphs of the third-</w:t>
      </w:r>
      <w:r w:rsidRPr="00D910D8">
        <w:rPr>
          <w:rFonts w:cs="Times New Roman"/>
          <w:szCs w:val="24"/>
        </w:rPr>
        <w:t>party notices that discuss failure to warn only mention the claims that relate to labels, and not the claim that Canada failed to warn Imperial about potential health hazards</w:t>
      </w:r>
      <w:r w:rsidR="000203BB" w:rsidRPr="00D910D8">
        <w:rPr>
          <w:rFonts w:cs="Times New Roman"/>
          <w:szCs w:val="24"/>
        </w:rPr>
        <w:t xml:space="preserve"> of the tobacco strains</w:t>
      </w:r>
      <w:r w:rsidRPr="00D910D8">
        <w:rPr>
          <w:rFonts w:cs="Times New Roman"/>
          <w:szCs w:val="24"/>
        </w:rPr>
        <w:t>.  Canada also argues</w:t>
      </w:r>
      <w:r w:rsidR="000203BB" w:rsidRPr="00D910D8">
        <w:rPr>
          <w:rFonts w:cs="Times New Roman"/>
          <w:szCs w:val="24"/>
        </w:rPr>
        <w:t xml:space="preserve"> that to support a claim of failure</w:t>
      </w:r>
      <w:r w:rsidRPr="00D910D8">
        <w:rPr>
          <w:rFonts w:cs="Times New Roman"/>
          <w:szCs w:val="24"/>
        </w:rPr>
        <w:t xml:space="preserve"> to warn, the plaintiff must not only show that the defendant acted negligently, but that the defendant was also under a positive duty to act.  It submits that nothing in the third</w:t>
      </w:r>
      <w:r w:rsidR="00ED68CE" w:rsidRPr="00D910D8">
        <w:rPr>
          <w:rFonts w:cs="Times New Roman"/>
          <w:szCs w:val="24"/>
        </w:rPr>
        <w:t>-</w:t>
      </w:r>
      <w:r w:rsidRPr="00D910D8">
        <w:rPr>
          <w:rFonts w:cs="Times New Roman"/>
          <w:szCs w:val="24"/>
        </w:rPr>
        <w:t>party notices suggests that Canada was under such a positive duty here.</w:t>
      </w:r>
    </w:p>
    <w:p w:rsidR="005F1C79" w:rsidRPr="00D910D8" w:rsidRDefault="002606F8" w:rsidP="00AF3DBA">
      <w:pPr>
        <w:pStyle w:val="ParaNoNdepar-AltN"/>
        <w:rPr>
          <w:rFonts w:cs="Times New Roman"/>
          <w:szCs w:val="24"/>
        </w:rPr>
      </w:pPr>
      <w:r w:rsidRPr="00D910D8">
        <w:rPr>
          <w:rFonts w:cs="Times New Roman"/>
          <w:szCs w:val="24"/>
        </w:rPr>
        <w:t xml:space="preserve">I agree with Canada that the tort of failure to warn requires evidence of a positive duty towards the plaintiff.  Positive duties in tort law are the exception rather than the rule.  In </w:t>
      </w:r>
      <w:r w:rsidRPr="00D910D8">
        <w:rPr>
          <w:rFonts w:cs="Times New Roman"/>
          <w:i/>
          <w:szCs w:val="24"/>
        </w:rPr>
        <w:t>Childs v. Desormeaux</w:t>
      </w:r>
      <w:r w:rsidRPr="00D910D8">
        <w:rPr>
          <w:rFonts w:cs="Times New Roman"/>
          <w:szCs w:val="24"/>
        </w:rPr>
        <w:t>, the Court held:</w:t>
      </w:r>
    </w:p>
    <w:p w:rsidR="005F1C79" w:rsidRPr="00D910D8" w:rsidRDefault="002606F8" w:rsidP="00AF3DBA">
      <w:pPr>
        <w:pStyle w:val="Citation-AltC"/>
        <w:rPr>
          <w:szCs w:val="24"/>
        </w:rPr>
      </w:pPr>
      <w:r w:rsidRPr="00D910D8">
        <w:rPr>
          <w:szCs w:val="24"/>
        </w:rPr>
        <w:t xml:space="preserve">Although there is no doubt that an omission may be negligent, as a general principle, the common law is a jealous guardian of individual autonomy.  Duties to take positive action in the face of risk or danger are not free-standing.  Generally, the mere fact that a person faces danger, or has become a danger to others, does not itself impose any kind of duty on those in a position to become involved. </w:t>
      </w:r>
      <w:r w:rsidR="00ED68CE" w:rsidRPr="00D910D8">
        <w:rPr>
          <w:szCs w:val="24"/>
        </w:rPr>
        <w:t>[</w:t>
      </w:r>
      <w:r w:rsidRPr="00D910D8">
        <w:rPr>
          <w:szCs w:val="24"/>
        </w:rPr>
        <w:t>para. 31</w:t>
      </w:r>
      <w:r w:rsidR="00ED68CE" w:rsidRPr="00D910D8">
        <w:rPr>
          <w:szCs w:val="24"/>
        </w:rPr>
        <w:t>]</w:t>
      </w:r>
    </w:p>
    <w:p w:rsidR="00CE0814" w:rsidRPr="00D910D8" w:rsidRDefault="000203BB" w:rsidP="00AF3DBA">
      <w:pPr>
        <w:pStyle w:val="ContinueParaSuitedupar-AltP"/>
        <w:rPr>
          <w:rFonts w:cs="Times New Roman"/>
          <w:color w:val="000000"/>
          <w:szCs w:val="24"/>
        </w:rPr>
      </w:pPr>
      <w:r w:rsidRPr="00D910D8">
        <w:rPr>
          <w:rFonts w:cs="Times New Roman"/>
          <w:szCs w:val="24"/>
        </w:rPr>
        <w:lastRenderedPageBreak/>
        <w:t>Moreover, none</w:t>
      </w:r>
      <w:r w:rsidR="002606F8" w:rsidRPr="00D910D8">
        <w:rPr>
          <w:rFonts w:cs="Times New Roman"/>
          <w:szCs w:val="24"/>
        </w:rPr>
        <w:t xml:space="preserve"> of the authorities cited by Imperial support the proposition that </w:t>
      </w:r>
      <w:r w:rsidR="00ED68CE" w:rsidRPr="00D910D8">
        <w:rPr>
          <w:rFonts w:cs="Times New Roman"/>
          <w:szCs w:val="24"/>
        </w:rPr>
        <w:t>a plea</w:t>
      </w:r>
      <w:r w:rsidR="001F2F0C" w:rsidRPr="00D910D8">
        <w:rPr>
          <w:rFonts w:cs="Times New Roman"/>
          <w:szCs w:val="24"/>
        </w:rPr>
        <w:t xml:space="preserve"> of </w:t>
      </w:r>
      <w:r w:rsidR="00CE0814" w:rsidRPr="00D910D8">
        <w:rPr>
          <w:rFonts w:cs="Times New Roman"/>
          <w:szCs w:val="24"/>
        </w:rPr>
        <w:t>n</w:t>
      </w:r>
      <w:r w:rsidR="002606F8" w:rsidRPr="00D910D8">
        <w:rPr>
          <w:rFonts w:cs="Times New Roman"/>
          <w:szCs w:val="24"/>
        </w:rPr>
        <w:t>egligence</w:t>
      </w:r>
      <w:r w:rsidR="001F2F0C" w:rsidRPr="00D910D8">
        <w:rPr>
          <w:rFonts w:cs="Times New Roman"/>
          <w:szCs w:val="24"/>
        </w:rPr>
        <w:t>,</w:t>
      </w:r>
      <w:r w:rsidR="002606F8" w:rsidRPr="00D910D8">
        <w:rPr>
          <w:rFonts w:cs="Times New Roman"/>
          <w:szCs w:val="24"/>
        </w:rPr>
        <w:t xml:space="preserve"> </w:t>
      </w:r>
      <w:r w:rsidR="00CE0814" w:rsidRPr="00D910D8">
        <w:rPr>
          <w:rFonts w:cs="Times New Roman"/>
          <w:szCs w:val="24"/>
        </w:rPr>
        <w:t>without more</w:t>
      </w:r>
      <w:r w:rsidR="001F2F0C" w:rsidRPr="00D910D8">
        <w:rPr>
          <w:rFonts w:cs="Times New Roman"/>
          <w:szCs w:val="24"/>
        </w:rPr>
        <w:t>,</w:t>
      </w:r>
      <w:r w:rsidR="00CE0814" w:rsidRPr="00D910D8">
        <w:rPr>
          <w:rFonts w:cs="Times New Roman"/>
          <w:szCs w:val="24"/>
        </w:rPr>
        <w:t xml:space="preserve"> </w:t>
      </w:r>
      <w:r w:rsidR="002606F8" w:rsidRPr="00D910D8">
        <w:rPr>
          <w:rFonts w:cs="Times New Roman"/>
          <w:szCs w:val="24"/>
        </w:rPr>
        <w:t xml:space="preserve">will </w:t>
      </w:r>
      <w:r w:rsidR="00CE0814" w:rsidRPr="00D910D8">
        <w:rPr>
          <w:rFonts w:cs="Times New Roman"/>
          <w:szCs w:val="24"/>
        </w:rPr>
        <w:t xml:space="preserve">suffice to raise a duty to warn:  </w:t>
      </w:r>
      <w:r w:rsidR="002606F8" w:rsidRPr="00D910D8">
        <w:rPr>
          <w:rFonts w:cs="Times New Roman"/>
          <w:i/>
          <w:szCs w:val="24"/>
        </w:rPr>
        <w:t>Day v. Central Okanagan (Regional District)</w:t>
      </w:r>
      <w:r w:rsidR="002606F8" w:rsidRPr="00D910D8">
        <w:rPr>
          <w:rFonts w:cs="Times New Roman"/>
          <w:szCs w:val="24"/>
        </w:rPr>
        <w:t>, 2000 BCSC 1134,</w:t>
      </w:r>
      <w:r w:rsidR="00ED68CE" w:rsidRPr="00D910D8">
        <w:rPr>
          <w:rFonts w:cs="Times New Roman"/>
          <w:szCs w:val="24"/>
        </w:rPr>
        <w:t xml:space="preserve"> 79 B.C.L.R. (3d) 36, </w:t>
      </w:r>
      <w:r w:rsidR="00CE0814" w:rsidRPr="00D910D8">
        <w:rPr>
          <w:rFonts w:cs="Times New Roman"/>
          <w:i/>
          <w:szCs w:val="24"/>
        </w:rPr>
        <w:t xml:space="preserve">per </w:t>
      </w:r>
      <w:r w:rsidR="002606F8" w:rsidRPr="00D910D8">
        <w:rPr>
          <w:rFonts w:cs="Times New Roman"/>
          <w:szCs w:val="24"/>
        </w:rPr>
        <w:t>Drossos J.</w:t>
      </w:r>
      <w:r w:rsidR="001F2F0C" w:rsidRPr="00D910D8">
        <w:rPr>
          <w:rFonts w:cs="Times New Roman"/>
          <w:szCs w:val="24"/>
        </w:rPr>
        <w:t>; see also</w:t>
      </w:r>
      <w:r w:rsidR="002606F8" w:rsidRPr="00D910D8">
        <w:rPr>
          <w:rFonts w:cs="Times New Roman"/>
          <w:szCs w:val="24"/>
        </w:rPr>
        <w:t xml:space="preserve"> </w:t>
      </w:r>
      <w:r w:rsidR="00CE0814" w:rsidRPr="00D910D8">
        <w:rPr>
          <w:rFonts w:cs="Times New Roman"/>
          <w:i/>
          <w:iCs/>
          <w:szCs w:val="24"/>
        </w:rPr>
        <w:t>Elias v. Headache and Pain Management Clinic</w:t>
      </w:r>
      <w:r w:rsidR="00CE0814" w:rsidRPr="00D910D8">
        <w:rPr>
          <w:rFonts w:cs="Times New Roman"/>
          <w:iCs/>
          <w:szCs w:val="24"/>
        </w:rPr>
        <w:t>,</w:t>
      </w:r>
      <w:r w:rsidR="00CE0814" w:rsidRPr="00D910D8">
        <w:rPr>
          <w:rFonts w:cs="Times New Roman"/>
          <w:i/>
          <w:iCs/>
          <w:szCs w:val="24"/>
        </w:rPr>
        <w:t xml:space="preserve"> </w:t>
      </w:r>
      <w:r w:rsidR="00ED68CE" w:rsidRPr="00D910D8">
        <w:rPr>
          <w:rFonts w:cs="Times New Roman"/>
          <w:szCs w:val="24"/>
        </w:rPr>
        <w:t xml:space="preserve">2008 CanLII 53133 </w:t>
      </w:r>
      <w:r w:rsidR="00CE0814" w:rsidRPr="00D910D8">
        <w:rPr>
          <w:rFonts w:cs="Times New Roman"/>
          <w:szCs w:val="24"/>
        </w:rPr>
        <w:t>(</w:t>
      </w:r>
      <w:r w:rsidR="00ED68CE" w:rsidRPr="00D910D8">
        <w:rPr>
          <w:rFonts w:cs="Times New Roman"/>
          <w:szCs w:val="24"/>
        </w:rPr>
        <w:t xml:space="preserve">Ont. </w:t>
      </w:r>
      <w:r w:rsidR="00CE0814" w:rsidRPr="00D910D8">
        <w:rPr>
          <w:rFonts w:cs="Times New Roman"/>
          <w:szCs w:val="24"/>
        </w:rPr>
        <w:t xml:space="preserve">S.C.J.), </w:t>
      </w:r>
      <w:r w:rsidR="00ED68CE" w:rsidRPr="00D910D8">
        <w:rPr>
          <w:rFonts w:cs="Times New Roman"/>
          <w:i/>
          <w:szCs w:val="24"/>
        </w:rPr>
        <w:t>per</w:t>
      </w:r>
      <w:r w:rsidR="00ED68CE" w:rsidRPr="00D910D8">
        <w:rPr>
          <w:rFonts w:cs="Times New Roman"/>
          <w:szCs w:val="24"/>
        </w:rPr>
        <w:t xml:space="preserve"> </w:t>
      </w:r>
      <w:r w:rsidR="00CE0814" w:rsidRPr="00D910D8">
        <w:rPr>
          <w:rFonts w:cs="Times New Roman"/>
          <w:szCs w:val="24"/>
        </w:rPr>
        <w:t xml:space="preserve">Macdonald J. </w:t>
      </w:r>
      <w:r w:rsidR="00E967BE" w:rsidRPr="00D910D8">
        <w:rPr>
          <w:rFonts w:cs="Times New Roman"/>
          <w:color w:val="000000"/>
          <w:szCs w:val="24"/>
        </w:rPr>
        <w:t>(para</w:t>
      </w:r>
      <w:r w:rsidRPr="00D910D8">
        <w:rPr>
          <w:rFonts w:cs="Times New Roman"/>
          <w:color w:val="000000"/>
          <w:szCs w:val="24"/>
        </w:rPr>
        <w:t>s</w:t>
      </w:r>
      <w:r w:rsidR="00E967BE" w:rsidRPr="00D910D8">
        <w:rPr>
          <w:rFonts w:cs="Times New Roman"/>
          <w:color w:val="000000"/>
          <w:szCs w:val="24"/>
        </w:rPr>
        <w:t>. 6</w:t>
      </w:r>
      <w:r w:rsidRPr="00D910D8">
        <w:rPr>
          <w:rFonts w:cs="Times New Roman"/>
          <w:color w:val="000000"/>
          <w:szCs w:val="24"/>
        </w:rPr>
        <w:t xml:space="preserve"> to 9</w:t>
      </w:r>
      <w:r w:rsidR="00E967BE" w:rsidRPr="00D910D8">
        <w:rPr>
          <w:rFonts w:cs="Times New Roman"/>
          <w:color w:val="000000"/>
          <w:szCs w:val="24"/>
        </w:rPr>
        <w:t>)</w:t>
      </w:r>
      <w:r w:rsidR="000D35B1" w:rsidRPr="00D910D8">
        <w:rPr>
          <w:rFonts w:cs="Times New Roman"/>
          <w:color w:val="000000"/>
          <w:szCs w:val="24"/>
        </w:rPr>
        <w:t>.</w:t>
      </w:r>
    </w:p>
    <w:p w:rsidR="002879EB" w:rsidRPr="00D910D8" w:rsidRDefault="002606F8" w:rsidP="00AF3DBA">
      <w:pPr>
        <w:pStyle w:val="ParaNoNdepar-AltN"/>
        <w:rPr>
          <w:rFonts w:cs="Times New Roman"/>
          <w:szCs w:val="24"/>
        </w:rPr>
      </w:pPr>
      <w:r w:rsidRPr="00D910D8">
        <w:rPr>
          <w:rFonts w:cs="Times New Roman"/>
          <w:szCs w:val="24"/>
        </w:rPr>
        <w:t>Even if pleading negligence were viewed as sufficient to raise a claim of duty to warn, which I do not accept</w:t>
      </w:r>
      <w:r w:rsidR="00ED68CE" w:rsidRPr="00D910D8">
        <w:rPr>
          <w:rFonts w:cs="Times New Roman"/>
          <w:szCs w:val="24"/>
        </w:rPr>
        <w:t>, the claim would fail for the s</w:t>
      </w:r>
      <w:r w:rsidRPr="00D910D8">
        <w:rPr>
          <w:rFonts w:cs="Times New Roman"/>
          <w:szCs w:val="24"/>
        </w:rPr>
        <w:t>tage</w:t>
      </w:r>
      <w:r w:rsidR="00ED68CE" w:rsidRPr="00D910D8">
        <w:rPr>
          <w:rFonts w:cs="Times New Roman"/>
          <w:szCs w:val="24"/>
        </w:rPr>
        <w:t>-t</w:t>
      </w:r>
      <w:r w:rsidRPr="00D910D8">
        <w:rPr>
          <w:rFonts w:cs="Times New Roman"/>
          <w:szCs w:val="24"/>
        </w:rPr>
        <w:t>wo policy reasons applicable to the neg</w:t>
      </w:r>
      <w:r w:rsidR="00581B23" w:rsidRPr="00D910D8">
        <w:rPr>
          <w:rFonts w:cs="Times New Roman"/>
          <w:szCs w:val="24"/>
        </w:rPr>
        <w:t>ligent misrepresentation claim.</w:t>
      </w:r>
    </w:p>
    <w:p w:rsidR="005F1C79" w:rsidRPr="00D910D8" w:rsidRDefault="00ED68CE" w:rsidP="0066330D">
      <w:pPr>
        <w:pStyle w:val="TitleTitre-AltT"/>
        <w:tabs>
          <w:tab w:val="clear" w:pos="360"/>
          <w:tab w:val="left" w:pos="540"/>
        </w:tabs>
        <w:ind w:left="540" w:hanging="540"/>
        <w:rPr>
          <w:rFonts w:cs="Times New Roman"/>
          <w:szCs w:val="24"/>
        </w:rPr>
      </w:pPr>
      <w:bookmarkStart w:id="29" w:name="_Toc314733756"/>
      <w:r w:rsidRPr="00D910D8">
        <w:rPr>
          <w:rFonts w:cs="Times New Roman"/>
          <w:szCs w:val="24"/>
        </w:rPr>
        <w:t>E</w:t>
      </w:r>
      <w:r w:rsidR="002606F8" w:rsidRPr="00D910D8">
        <w:rPr>
          <w:rFonts w:cs="Times New Roman"/>
          <w:szCs w:val="24"/>
        </w:rPr>
        <w:t>.</w:t>
      </w:r>
      <w:r w:rsidR="002606F8" w:rsidRPr="00D910D8">
        <w:rPr>
          <w:rFonts w:cs="Times New Roman"/>
          <w:szCs w:val="24"/>
        </w:rPr>
        <w:tab/>
      </w:r>
      <w:r w:rsidR="002606F8" w:rsidRPr="00D910D8">
        <w:rPr>
          <w:rFonts w:cs="Times New Roman"/>
          <w:i/>
          <w:szCs w:val="24"/>
        </w:rPr>
        <w:t>Negligent Design</w:t>
      </w:r>
      <w:bookmarkEnd w:id="29"/>
    </w:p>
    <w:p w:rsidR="005F1C79" w:rsidRPr="00D910D8" w:rsidRDefault="00125EF5" w:rsidP="00332C57">
      <w:pPr>
        <w:pStyle w:val="ParaNoNdepar-AltN"/>
        <w:rPr>
          <w:rFonts w:cs="Times New Roman"/>
          <w:szCs w:val="24"/>
        </w:rPr>
      </w:pPr>
      <w:r w:rsidRPr="00D910D8">
        <w:rPr>
          <w:rFonts w:cs="Times New Roman"/>
          <w:szCs w:val="24"/>
        </w:rPr>
        <w:t xml:space="preserve">The tobacco companies have brought </w:t>
      </w:r>
      <w:r w:rsidR="00F95990" w:rsidRPr="00D910D8">
        <w:rPr>
          <w:rFonts w:cs="Times New Roman"/>
          <w:szCs w:val="24"/>
        </w:rPr>
        <w:t xml:space="preserve">two types of negligent design claims </w:t>
      </w:r>
      <w:r w:rsidRPr="00D910D8">
        <w:rPr>
          <w:rFonts w:cs="Times New Roman"/>
          <w:szCs w:val="24"/>
        </w:rPr>
        <w:t>against Canada</w:t>
      </w:r>
      <w:r w:rsidR="00DB352C" w:rsidRPr="00D910D8">
        <w:rPr>
          <w:rFonts w:cs="Times New Roman"/>
          <w:szCs w:val="24"/>
        </w:rPr>
        <w:t xml:space="preserve"> that </w:t>
      </w:r>
      <w:proofErr w:type="gramStart"/>
      <w:r w:rsidR="00DB352C" w:rsidRPr="00D910D8">
        <w:rPr>
          <w:rFonts w:cs="Times New Roman"/>
          <w:szCs w:val="24"/>
        </w:rPr>
        <w:t>remain</w:t>
      </w:r>
      <w:proofErr w:type="gramEnd"/>
      <w:r w:rsidR="00DB352C" w:rsidRPr="00D910D8">
        <w:rPr>
          <w:rFonts w:cs="Times New Roman"/>
          <w:szCs w:val="24"/>
        </w:rPr>
        <w:t xml:space="preserve"> to be considered</w:t>
      </w:r>
      <w:r w:rsidR="00F95990" w:rsidRPr="00D910D8">
        <w:rPr>
          <w:rFonts w:cs="Times New Roman"/>
          <w:szCs w:val="24"/>
        </w:rPr>
        <w:t xml:space="preserve">.  </w:t>
      </w:r>
      <w:r w:rsidRPr="00D910D8">
        <w:rPr>
          <w:rFonts w:cs="Times New Roman"/>
          <w:szCs w:val="24"/>
        </w:rPr>
        <w:t>First, they</w:t>
      </w:r>
      <w:r w:rsidR="00F95990" w:rsidRPr="00D910D8">
        <w:rPr>
          <w:rFonts w:cs="Times New Roman"/>
          <w:szCs w:val="24"/>
        </w:rPr>
        <w:t xml:space="preserve"> submit that Canada breached </w:t>
      </w:r>
      <w:r w:rsidRPr="00D910D8">
        <w:rPr>
          <w:rFonts w:cs="Times New Roman"/>
          <w:szCs w:val="24"/>
        </w:rPr>
        <w:t xml:space="preserve">its duty </w:t>
      </w:r>
      <w:r w:rsidR="00F95990" w:rsidRPr="00D910D8">
        <w:rPr>
          <w:rFonts w:cs="Times New Roman"/>
          <w:szCs w:val="24"/>
        </w:rPr>
        <w:t xml:space="preserve">of care to </w:t>
      </w:r>
      <w:r w:rsidRPr="00D910D8">
        <w:rPr>
          <w:rFonts w:cs="Times New Roman"/>
          <w:szCs w:val="24"/>
        </w:rPr>
        <w:t xml:space="preserve">the tobacco companies when it negligently designed its strains of </w:t>
      </w:r>
      <w:r w:rsidR="00F95990" w:rsidRPr="00D910D8">
        <w:rPr>
          <w:rFonts w:cs="Times New Roman"/>
          <w:szCs w:val="24"/>
        </w:rPr>
        <w:t xml:space="preserve">low-tar tobacco.  </w:t>
      </w:r>
      <w:r w:rsidR="002606F8" w:rsidRPr="00D910D8">
        <w:rPr>
          <w:rFonts w:cs="Times New Roman"/>
          <w:szCs w:val="24"/>
        </w:rPr>
        <w:t xml:space="preserve">The Court of Appeal held that the pleadings supported a </w:t>
      </w:r>
      <w:r w:rsidR="002606F8" w:rsidRPr="00D910D8">
        <w:rPr>
          <w:rFonts w:cs="Times New Roman"/>
          <w:i/>
          <w:szCs w:val="24"/>
        </w:rPr>
        <w:t xml:space="preserve">prima facie </w:t>
      </w:r>
      <w:r w:rsidR="002606F8" w:rsidRPr="00D910D8">
        <w:rPr>
          <w:rFonts w:cs="Times New Roman"/>
          <w:szCs w:val="24"/>
        </w:rPr>
        <w:t>duty of care in this respect, but held th</w:t>
      </w:r>
      <w:r w:rsidR="00ED68CE" w:rsidRPr="00D910D8">
        <w:rPr>
          <w:rFonts w:cs="Times New Roman"/>
          <w:szCs w:val="24"/>
        </w:rPr>
        <w:t>at the duty was negated by the s</w:t>
      </w:r>
      <w:r w:rsidR="002606F8" w:rsidRPr="00D910D8">
        <w:rPr>
          <w:rFonts w:cs="Times New Roman"/>
          <w:szCs w:val="24"/>
        </w:rPr>
        <w:t>tage</w:t>
      </w:r>
      <w:r w:rsidR="00ED68CE" w:rsidRPr="00D910D8">
        <w:rPr>
          <w:rFonts w:cs="Times New Roman"/>
          <w:szCs w:val="24"/>
        </w:rPr>
        <w:t>-t</w:t>
      </w:r>
      <w:r w:rsidR="002606F8" w:rsidRPr="00D910D8">
        <w:rPr>
          <w:rFonts w:cs="Times New Roman"/>
          <w:szCs w:val="24"/>
        </w:rPr>
        <w:t xml:space="preserve">wo policy concern of indeterminate liability. </w:t>
      </w:r>
      <w:r w:rsidRPr="00D910D8">
        <w:rPr>
          <w:rFonts w:cs="Times New Roman"/>
          <w:szCs w:val="24"/>
        </w:rPr>
        <w:t xml:space="preserve">Second, Imperial submits that Canada breached its duty of care to the consumers of light and mild cigarettes </w:t>
      </w:r>
      <w:r w:rsidR="0083431C" w:rsidRPr="00D910D8">
        <w:rPr>
          <w:rFonts w:cs="Times New Roman"/>
          <w:szCs w:val="24"/>
        </w:rPr>
        <w:t xml:space="preserve">in the </w:t>
      </w:r>
      <w:r w:rsidR="0083431C" w:rsidRPr="00D910D8">
        <w:rPr>
          <w:rFonts w:cs="Times New Roman"/>
          <w:i/>
          <w:szCs w:val="24"/>
        </w:rPr>
        <w:t xml:space="preserve">Knight </w:t>
      </w:r>
      <w:r w:rsidR="0083431C" w:rsidRPr="00D910D8">
        <w:rPr>
          <w:rFonts w:cs="Times New Roman"/>
          <w:szCs w:val="24"/>
        </w:rPr>
        <w:t xml:space="preserve">case. </w:t>
      </w:r>
      <w:r w:rsidRPr="00D910D8">
        <w:rPr>
          <w:rFonts w:cs="Times New Roman"/>
          <w:szCs w:val="24"/>
        </w:rPr>
        <w:t xml:space="preserve"> A majority of the Court of Appeal held that this </w:t>
      </w:r>
      <w:r w:rsidR="00581B23" w:rsidRPr="00D910D8">
        <w:rPr>
          <w:rFonts w:cs="Times New Roman"/>
          <w:szCs w:val="24"/>
        </w:rPr>
        <w:t>claim should proceed to trial.</w:t>
      </w:r>
    </w:p>
    <w:p w:rsidR="004913BF" w:rsidRPr="00D910D8" w:rsidRDefault="000F07A2" w:rsidP="00332C57">
      <w:pPr>
        <w:pStyle w:val="ParaNoNdepar-AltN"/>
        <w:rPr>
          <w:rFonts w:cs="Times New Roman"/>
          <w:szCs w:val="24"/>
        </w:rPr>
      </w:pPr>
      <w:r w:rsidRPr="00D910D8">
        <w:rPr>
          <w:rFonts w:cs="Times New Roman"/>
          <w:szCs w:val="24"/>
        </w:rPr>
        <w:lastRenderedPageBreak/>
        <w:t xml:space="preserve">In my view, both </w:t>
      </w:r>
      <w:r w:rsidR="00DB352C" w:rsidRPr="00D910D8">
        <w:rPr>
          <w:rFonts w:cs="Times New Roman"/>
          <w:szCs w:val="24"/>
        </w:rPr>
        <w:t xml:space="preserve">remaining </w:t>
      </w:r>
      <w:r w:rsidRPr="00D910D8">
        <w:rPr>
          <w:rFonts w:cs="Times New Roman"/>
          <w:szCs w:val="24"/>
        </w:rPr>
        <w:t xml:space="preserve">negligent design claims </w:t>
      </w:r>
      <w:r w:rsidR="00CF7455" w:rsidRPr="00D910D8">
        <w:rPr>
          <w:rFonts w:cs="Times New Roman"/>
          <w:szCs w:val="24"/>
        </w:rPr>
        <w:t xml:space="preserve">establish a </w:t>
      </w:r>
      <w:r w:rsidR="00CF7455" w:rsidRPr="00D910D8">
        <w:rPr>
          <w:rFonts w:cs="Times New Roman"/>
          <w:i/>
          <w:szCs w:val="24"/>
        </w:rPr>
        <w:t xml:space="preserve">prima facie </w:t>
      </w:r>
      <w:r w:rsidR="00CF7455" w:rsidRPr="00D910D8">
        <w:rPr>
          <w:rFonts w:cs="Times New Roman"/>
          <w:szCs w:val="24"/>
        </w:rPr>
        <w:t xml:space="preserve">duty of care, but </w:t>
      </w:r>
      <w:r w:rsidR="00CE0814" w:rsidRPr="00D910D8">
        <w:rPr>
          <w:rFonts w:cs="Times New Roman"/>
          <w:szCs w:val="24"/>
        </w:rPr>
        <w:t>f</w:t>
      </w:r>
      <w:r w:rsidRPr="00D910D8">
        <w:rPr>
          <w:rFonts w:cs="Times New Roman"/>
          <w:szCs w:val="24"/>
        </w:rPr>
        <w:t xml:space="preserve">ail at the second stage of the analysis </w:t>
      </w:r>
      <w:r w:rsidR="00CE0814" w:rsidRPr="00D910D8">
        <w:rPr>
          <w:rFonts w:cs="Times New Roman"/>
          <w:szCs w:val="24"/>
        </w:rPr>
        <w:t xml:space="preserve">because </w:t>
      </w:r>
      <w:r w:rsidR="000203BB" w:rsidRPr="00D910D8">
        <w:rPr>
          <w:rFonts w:cs="Times New Roman"/>
          <w:szCs w:val="24"/>
        </w:rPr>
        <w:t>they relate to core government</w:t>
      </w:r>
      <w:r w:rsidR="00B52CBF" w:rsidRPr="00D910D8">
        <w:rPr>
          <w:rFonts w:cs="Times New Roman"/>
          <w:szCs w:val="24"/>
        </w:rPr>
        <w:t xml:space="preserve"> policy decisions</w:t>
      </w:r>
      <w:r w:rsidR="00CE0814" w:rsidRPr="00D910D8">
        <w:rPr>
          <w:rFonts w:cs="Times New Roman"/>
          <w:szCs w:val="24"/>
        </w:rPr>
        <w:t>.</w:t>
      </w:r>
    </w:p>
    <w:p w:rsidR="005F1C79" w:rsidRPr="00D910D8" w:rsidRDefault="00332C57" w:rsidP="0066330D">
      <w:pPr>
        <w:pStyle w:val="TitleTitre-AltT"/>
        <w:tabs>
          <w:tab w:val="clear" w:pos="360"/>
          <w:tab w:val="left" w:pos="1170"/>
        </w:tabs>
        <w:ind w:left="1800" w:hanging="1800"/>
        <w:rPr>
          <w:rFonts w:cs="Times New Roman"/>
          <w:szCs w:val="24"/>
        </w:rPr>
      </w:pPr>
      <w:bookmarkStart w:id="30" w:name="_Toc285751401"/>
      <w:r w:rsidRPr="00D910D8">
        <w:rPr>
          <w:rFonts w:cs="Times New Roman"/>
          <w:i/>
          <w:szCs w:val="24"/>
        </w:rPr>
        <w:tab/>
      </w:r>
      <w:bookmarkStart w:id="31" w:name="_Toc314733757"/>
      <w:r w:rsidR="0036331D" w:rsidRPr="00D910D8">
        <w:rPr>
          <w:rFonts w:cs="Times New Roman"/>
          <w:szCs w:val="24"/>
        </w:rPr>
        <w:t>(</w:t>
      </w:r>
      <w:r w:rsidR="00ED68CE" w:rsidRPr="00D910D8">
        <w:rPr>
          <w:rFonts w:cs="Times New Roman"/>
          <w:szCs w:val="24"/>
        </w:rPr>
        <w:t>1</w:t>
      </w:r>
      <w:r w:rsidR="0036331D" w:rsidRPr="00D910D8">
        <w:rPr>
          <w:rFonts w:cs="Times New Roman"/>
          <w:szCs w:val="24"/>
        </w:rPr>
        <w:t>)</w:t>
      </w:r>
      <w:r w:rsidRPr="00D910D8">
        <w:rPr>
          <w:rFonts w:cs="Times New Roman"/>
          <w:szCs w:val="24"/>
        </w:rPr>
        <w:tab/>
      </w:r>
      <w:r w:rsidR="000A2C08" w:rsidRPr="00D910D8">
        <w:rPr>
          <w:rFonts w:cs="Times New Roman"/>
          <w:i/>
          <w:szCs w:val="24"/>
          <w:u w:val="single"/>
        </w:rPr>
        <w:t>Prima Facie</w:t>
      </w:r>
      <w:r w:rsidR="000A2C08" w:rsidRPr="00D910D8">
        <w:rPr>
          <w:rFonts w:cs="Times New Roman"/>
          <w:szCs w:val="24"/>
          <w:u w:val="single"/>
        </w:rPr>
        <w:t xml:space="preserve"> Duty of C</w:t>
      </w:r>
      <w:r w:rsidR="002606F8" w:rsidRPr="00D910D8">
        <w:rPr>
          <w:rFonts w:cs="Times New Roman"/>
          <w:szCs w:val="24"/>
          <w:u w:val="single"/>
        </w:rPr>
        <w:t>are</w:t>
      </w:r>
      <w:bookmarkEnd w:id="30"/>
      <w:bookmarkEnd w:id="31"/>
    </w:p>
    <w:p w:rsidR="00984272" w:rsidRPr="00D910D8" w:rsidRDefault="004913BF" w:rsidP="00332C57">
      <w:pPr>
        <w:pStyle w:val="ParaNoNdepar-AltN"/>
        <w:rPr>
          <w:rFonts w:cs="Times New Roman"/>
          <w:szCs w:val="24"/>
        </w:rPr>
      </w:pPr>
      <w:r w:rsidRPr="00D910D8">
        <w:rPr>
          <w:rFonts w:cs="Times New Roman"/>
          <w:szCs w:val="24"/>
        </w:rPr>
        <w:t xml:space="preserve">I begin with the claim that Canada owed a </w:t>
      </w:r>
      <w:r w:rsidRPr="00D910D8">
        <w:rPr>
          <w:rFonts w:cs="Times New Roman"/>
          <w:i/>
          <w:szCs w:val="24"/>
        </w:rPr>
        <w:t>prima facie</w:t>
      </w:r>
      <w:r w:rsidRPr="00D910D8">
        <w:rPr>
          <w:rFonts w:cs="Times New Roman"/>
          <w:szCs w:val="24"/>
        </w:rPr>
        <w:t xml:space="preserve"> duty of care to the tobacco companies.  </w:t>
      </w:r>
      <w:r w:rsidR="002606F8" w:rsidRPr="00D910D8">
        <w:rPr>
          <w:rFonts w:cs="Times New Roman"/>
          <w:szCs w:val="24"/>
        </w:rPr>
        <w:t xml:space="preserve">Canada submits that there was no </w:t>
      </w:r>
      <w:r w:rsidR="002606F8" w:rsidRPr="00D910D8">
        <w:rPr>
          <w:rFonts w:cs="Times New Roman"/>
          <w:i/>
          <w:szCs w:val="24"/>
        </w:rPr>
        <w:t xml:space="preserve">prima facie </w:t>
      </w:r>
      <w:r w:rsidR="002606F8" w:rsidRPr="00D910D8">
        <w:rPr>
          <w:rFonts w:cs="Times New Roman"/>
          <w:szCs w:val="24"/>
        </w:rPr>
        <w:t xml:space="preserve">duty of care since there is no proximity between Canada and the tobacco companies, relying </w:t>
      </w:r>
      <w:r w:rsidR="000A2C08" w:rsidRPr="00D910D8">
        <w:rPr>
          <w:rFonts w:cs="Times New Roman"/>
          <w:szCs w:val="24"/>
        </w:rPr>
        <w:t>on</w:t>
      </w:r>
      <w:r w:rsidR="002606F8" w:rsidRPr="00D910D8">
        <w:rPr>
          <w:rFonts w:cs="Times New Roman"/>
          <w:szCs w:val="24"/>
        </w:rPr>
        <w:t xml:space="preserve"> the same arguments that it raises in the negligent misrepresentations claims.</w:t>
      </w:r>
    </w:p>
    <w:p w:rsidR="005F1C79" w:rsidRPr="00D910D8" w:rsidRDefault="002606F8" w:rsidP="00332C57">
      <w:pPr>
        <w:pStyle w:val="ParaNoNdepar-AltN"/>
        <w:rPr>
          <w:rFonts w:cs="Times New Roman"/>
          <w:szCs w:val="24"/>
        </w:rPr>
      </w:pPr>
      <w:r w:rsidRPr="00D910D8">
        <w:rPr>
          <w:rFonts w:cs="Times New Roman"/>
          <w:szCs w:val="24"/>
        </w:rPr>
        <w:t xml:space="preserve">In my view, the Court of Appeal correctly concluded that Canada owed a </w:t>
      </w:r>
      <w:r w:rsidRPr="00D910D8">
        <w:rPr>
          <w:rFonts w:cs="Times New Roman"/>
          <w:i/>
          <w:szCs w:val="24"/>
        </w:rPr>
        <w:t xml:space="preserve">prima facie </w:t>
      </w:r>
      <w:r w:rsidRPr="00D910D8">
        <w:rPr>
          <w:rFonts w:cs="Times New Roman"/>
          <w:szCs w:val="24"/>
        </w:rPr>
        <w:t>duty of care towards the tobacco companies with respect to its design of low-tar tobacco strains.  I agree with Tysoe J.A. that the alleged relationship in this case meets the requirements for proximity:</w:t>
      </w:r>
    </w:p>
    <w:p w:rsidR="005F1C79" w:rsidRPr="00D910D8" w:rsidRDefault="002606F8" w:rsidP="00332C57">
      <w:pPr>
        <w:pStyle w:val="Citation-AltC"/>
        <w:rPr>
          <w:szCs w:val="24"/>
        </w:rPr>
      </w:pPr>
      <w:r w:rsidRPr="00D910D8">
        <w:rPr>
          <w:szCs w:val="24"/>
        </w:rPr>
        <w:t xml:space="preserve">If sufficient proximity exists in the relationship between a designer of a product and a purchaser of the product, it would seem to me to follow that there is sufficient proximity in the relationship between the designer of a product and a manufacturer who uses the product in goods sold to the public.  Also, the designer of the product ought reasonably to have the manufacturer in contemplation as a person who would be affected by its design in the context of the present case.  It would have been reasonably foreseeable to the designer of the product that a manufacturer of goods incorporating the product could be required to refund the purchase price paid by consumers if the design of the product did not accomplish that which it was intended to accomplish. </w:t>
      </w:r>
      <w:r w:rsidR="00ED68CE" w:rsidRPr="00D910D8">
        <w:rPr>
          <w:szCs w:val="24"/>
        </w:rPr>
        <w:t>[</w:t>
      </w:r>
      <w:r w:rsidR="000203BB" w:rsidRPr="00D910D8">
        <w:rPr>
          <w:i/>
          <w:szCs w:val="24"/>
        </w:rPr>
        <w:t>Knight</w:t>
      </w:r>
      <w:r w:rsidR="000203BB" w:rsidRPr="00D910D8">
        <w:rPr>
          <w:szCs w:val="24"/>
        </w:rPr>
        <w:t xml:space="preserve"> case, </w:t>
      </w:r>
      <w:r w:rsidR="00ED68CE" w:rsidRPr="00D910D8">
        <w:rPr>
          <w:szCs w:val="24"/>
        </w:rPr>
        <w:t>para. 67]</w:t>
      </w:r>
    </w:p>
    <w:p w:rsidR="005F1C79" w:rsidRPr="00D910D8" w:rsidRDefault="002606F8" w:rsidP="00332C57">
      <w:pPr>
        <w:pStyle w:val="ParaNoNdepar-AltN"/>
        <w:rPr>
          <w:rFonts w:cs="Times New Roman"/>
          <w:szCs w:val="24"/>
        </w:rPr>
      </w:pPr>
      <w:r w:rsidRPr="00D910D8">
        <w:rPr>
          <w:rFonts w:cs="Times New Roman"/>
          <w:szCs w:val="24"/>
        </w:rPr>
        <w:lastRenderedPageBreak/>
        <w:t xml:space="preserve">The allegation is that Canada was acting like a private company conducting business, and conducted itself toward the tobacco companies in a way that established proximity.  The proximity alleged is </w:t>
      </w:r>
      <w:r w:rsidR="00CE0814" w:rsidRPr="00D910D8">
        <w:rPr>
          <w:rFonts w:cs="Times New Roman"/>
          <w:szCs w:val="24"/>
        </w:rPr>
        <w:t xml:space="preserve">not </w:t>
      </w:r>
      <w:r w:rsidRPr="00D910D8">
        <w:rPr>
          <w:rFonts w:cs="Times New Roman"/>
          <w:szCs w:val="24"/>
        </w:rPr>
        <w:t xml:space="preserve">based on a statutory duty, but </w:t>
      </w:r>
      <w:r w:rsidR="00CE0814" w:rsidRPr="00D910D8">
        <w:rPr>
          <w:rFonts w:cs="Times New Roman"/>
          <w:szCs w:val="24"/>
        </w:rPr>
        <w:t>on</w:t>
      </w:r>
      <w:r w:rsidRPr="00D910D8">
        <w:rPr>
          <w:rFonts w:cs="Times New Roman"/>
          <w:szCs w:val="24"/>
        </w:rPr>
        <w:t xml:space="preserve"> interactions between Canada and the tobacco companies.  Canada’s argument that a duty of care would result in conflicting private and public duties does not negate proximity arising from conduct, although it may be a relevant </w:t>
      </w:r>
      <w:r w:rsidR="00ED68CE" w:rsidRPr="00D910D8">
        <w:rPr>
          <w:rFonts w:cs="Times New Roman"/>
          <w:szCs w:val="24"/>
        </w:rPr>
        <w:t>s</w:t>
      </w:r>
      <w:r w:rsidRPr="00D910D8">
        <w:rPr>
          <w:rFonts w:cs="Times New Roman"/>
          <w:szCs w:val="24"/>
        </w:rPr>
        <w:t>tage</w:t>
      </w:r>
      <w:r w:rsidR="00ED68CE" w:rsidRPr="00D910D8">
        <w:rPr>
          <w:rFonts w:cs="Times New Roman"/>
          <w:szCs w:val="24"/>
        </w:rPr>
        <w:t>-t</w:t>
      </w:r>
      <w:r w:rsidRPr="00D910D8">
        <w:rPr>
          <w:rFonts w:cs="Times New Roman"/>
          <w:szCs w:val="24"/>
        </w:rPr>
        <w:t xml:space="preserve">wo policy consideration.  </w:t>
      </w:r>
    </w:p>
    <w:p w:rsidR="008E05D6" w:rsidRPr="00D910D8" w:rsidRDefault="008E05D6" w:rsidP="00332C57">
      <w:pPr>
        <w:pStyle w:val="ParaNoNdepar-AltN"/>
        <w:rPr>
          <w:rFonts w:cs="Times New Roman"/>
          <w:szCs w:val="24"/>
        </w:rPr>
      </w:pPr>
      <w:r w:rsidRPr="00D910D8">
        <w:rPr>
          <w:rFonts w:cs="Times New Roman"/>
          <w:szCs w:val="24"/>
        </w:rPr>
        <w:t>For similar reasons, I conclude that</w:t>
      </w:r>
      <w:r w:rsidR="004913BF" w:rsidRPr="00D910D8">
        <w:rPr>
          <w:rFonts w:cs="Times New Roman"/>
          <w:szCs w:val="24"/>
        </w:rPr>
        <w:t xml:space="preserve"> on the facts pleaded</w:t>
      </w:r>
      <w:r w:rsidR="00ED68CE" w:rsidRPr="00D910D8">
        <w:rPr>
          <w:rFonts w:cs="Times New Roman"/>
          <w:szCs w:val="24"/>
        </w:rPr>
        <w:t>,</w:t>
      </w:r>
      <w:r w:rsidRPr="00D910D8">
        <w:rPr>
          <w:rFonts w:cs="Times New Roman"/>
          <w:szCs w:val="24"/>
        </w:rPr>
        <w:t xml:space="preserve"> Canada owed a </w:t>
      </w:r>
      <w:r w:rsidRPr="00D910D8">
        <w:rPr>
          <w:rFonts w:cs="Times New Roman"/>
          <w:i/>
          <w:szCs w:val="24"/>
        </w:rPr>
        <w:t xml:space="preserve">prima facie </w:t>
      </w:r>
      <w:r w:rsidRPr="00D910D8">
        <w:rPr>
          <w:rFonts w:cs="Times New Roman"/>
          <w:szCs w:val="24"/>
        </w:rPr>
        <w:t xml:space="preserve">duty of care to the consumers of light and mild cigarettes in the </w:t>
      </w:r>
      <w:r w:rsidRPr="00D910D8">
        <w:rPr>
          <w:rFonts w:cs="Times New Roman"/>
          <w:i/>
          <w:szCs w:val="24"/>
        </w:rPr>
        <w:t xml:space="preserve">Knight </w:t>
      </w:r>
      <w:r w:rsidRPr="00D910D8">
        <w:rPr>
          <w:rFonts w:cs="Times New Roman"/>
          <w:szCs w:val="24"/>
        </w:rPr>
        <w:t>case.</w:t>
      </w:r>
      <w:r w:rsidR="00DF5912" w:rsidRPr="00D910D8">
        <w:rPr>
          <w:rFonts w:cs="Times New Roman"/>
          <w:szCs w:val="24"/>
        </w:rPr>
        <w:t xml:space="preserve">  </w:t>
      </w:r>
      <w:r w:rsidR="00EE3D28" w:rsidRPr="00D910D8">
        <w:rPr>
          <w:rFonts w:cs="Times New Roman"/>
          <w:szCs w:val="24"/>
        </w:rPr>
        <w:t>On the facts pleaded, it is at least arguable that Canada</w:t>
      </w:r>
      <w:r w:rsidR="00E123B3" w:rsidRPr="00D910D8">
        <w:rPr>
          <w:rFonts w:cs="Times New Roman"/>
          <w:szCs w:val="24"/>
        </w:rPr>
        <w:t xml:space="preserve"> was acting in a commercial capacity when it</w:t>
      </w:r>
      <w:r w:rsidR="00EE3D28" w:rsidRPr="00D910D8">
        <w:rPr>
          <w:rFonts w:cs="Times New Roman"/>
          <w:szCs w:val="24"/>
        </w:rPr>
        <w:t xml:space="preserve"> designed its strains of tobacco</w:t>
      </w:r>
      <w:r w:rsidR="00E123B3" w:rsidRPr="00D910D8">
        <w:rPr>
          <w:rFonts w:cs="Times New Roman"/>
          <w:szCs w:val="24"/>
        </w:rPr>
        <w:t xml:space="preserve">.  </w:t>
      </w:r>
      <w:r w:rsidR="00DF5912" w:rsidRPr="00D910D8">
        <w:rPr>
          <w:rFonts w:cs="Times New Roman"/>
          <w:szCs w:val="24"/>
        </w:rPr>
        <w:t xml:space="preserve">As Tysoe J.A. held in the court below, “a person who designs a product intended for sale to the public owes a </w:t>
      </w:r>
      <w:r w:rsidR="00DF5912" w:rsidRPr="00D910D8">
        <w:rPr>
          <w:rFonts w:cs="Times New Roman"/>
          <w:i/>
          <w:iCs/>
          <w:szCs w:val="24"/>
        </w:rPr>
        <w:t xml:space="preserve">prima facie </w:t>
      </w:r>
      <w:r w:rsidR="00DF5912" w:rsidRPr="00D910D8">
        <w:rPr>
          <w:rFonts w:cs="Times New Roman"/>
          <w:szCs w:val="24"/>
        </w:rPr>
        <w:t>duty of care t</w:t>
      </w:r>
      <w:r w:rsidR="000A2C08" w:rsidRPr="00D910D8">
        <w:rPr>
          <w:rFonts w:cs="Times New Roman"/>
          <w:szCs w:val="24"/>
        </w:rPr>
        <w:t>o the purchasers of the product</w:t>
      </w:r>
      <w:r w:rsidR="00DF5912" w:rsidRPr="00D910D8">
        <w:rPr>
          <w:rFonts w:cs="Times New Roman"/>
          <w:szCs w:val="24"/>
        </w:rPr>
        <w:t>” (para. 48)</w:t>
      </w:r>
      <w:r w:rsidR="000A2C08" w:rsidRPr="00D910D8">
        <w:rPr>
          <w:rFonts w:cs="Times New Roman"/>
          <w:szCs w:val="24"/>
        </w:rPr>
        <w:t>.</w:t>
      </w:r>
      <w:r w:rsidR="00484245" w:rsidRPr="00D910D8">
        <w:rPr>
          <w:rFonts w:cs="Times New Roman"/>
          <w:szCs w:val="24"/>
        </w:rPr>
        <w:t xml:space="preserve">  </w:t>
      </w:r>
    </w:p>
    <w:p w:rsidR="00AA5135" w:rsidRPr="00D910D8" w:rsidRDefault="00332C57" w:rsidP="00F60B99">
      <w:pPr>
        <w:pStyle w:val="TitleTitre-AltT"/>
        <w:tabs>
          <w:tab w:val="clear" w:pos="360"/>
          <w:tab w:val="left" w:pos="1170"/>
          <w:tab w:val="left" w:pos="1710"/>
        </w:tabs>
        <w:ind w:left="1170" w:hanging="1170"/>
        <w:rPr>
          <w:rFonts w:cs="Times New Roman"/>
          <w:szCs w:val="24"/>
        </w:rPr>
      </w:pPr>
      <w:r w:rsidRPr="00D910D8">
        <w:rPr>
          <w:rFonts w:cs="Times New Roman"/>
          <w:i/>
          <w:szCs w:val="24"/>
        </w:rPr>
        <w:tab/>
      </w:r>
      <w:bookmarkStart w:id="32" w:name="_Toc314733758"/>
      <w:r w:rsidR="00ED68CE" w:rsidRPr="00D910D8">
        <w:rPr>
          <w:rFonts w:cs="Times New Roman"/>
          <w:szCs w:val="24"/>
        </w:rPr>
        <w:t>(2</w:t>
      </w:r>
      <w:r w:rsidRPr="00D910D8">
        <w:rPr>
          <w:rFonts w:cs="Times New Roman"/>
          <w:szCs w:val="24"/>
        </w:rPr>
        <w:t>)</w:t>
      </w:r>
      <w:r w:rsidRPr="00D910D8">
        <w:rPr>
          <w:rFonts w:cs="Times New Roman"/>
          <w:szCs w:val="24"/>
        </w:rPr>
        <w:tab/>
      </w:r>
      <w:r w:rsidR="00AA5135" w:rsidRPr="00D910D8">
        <w:rPr>
          <w:rFonts w:cs="Times New Roman"/>
          <w:szCs w:val="24"/>
          <w:u w:val="single"/>
        </w:rPr>
        <w:t>Stage</w:t>
      </w:r>
      <w:r w:rsidR="00ED68CE" w:rsidRPr="00D910D8">
        <w:rPr>
          <w:rFonts w:cs="Times New Roman"/>
          <w:szCs w:val="24"/>
          <w:u w:val="single"/>
        </w:rPr>
        <w:t>-</w:t>
      </w:r>
      <w:r w:rsidR="00AA5135" w:rsidRPr="00D910D8">
        <w:rPr>
          <w:rFonts w:cs="Times New Roman"/>
          <w:szCs w:val="24"/>
          <w:u w:val="single"/>
        </w:rPr>
        <w:t>Two Policy Consideration</w:t>
      </w:r>
      <w:r w:rsidR="00CE0814" w:rsidRPr="00D910D8">
        <w:rPr>
          <w:rFonts w:cs="Times New Roman"/>
          <w:szCs w:val="24"/>
          <w:u w:val="single"/>
        </w:rPr>
        <w:t>s</w:t>
      </w:r>
      <w:bookmarkEnd w:id="32"/>
    </w:p>
    <w:p w:rsidR="00AA5135" w:rsidRPr="00D910D8" w:rsidRDefault="00CE0814" w:rsidP="00332C57">
      <w:pPr>
        <w:pStyle w:val="ParaNoNdepar-AltN"/>
        <w:rPr>
          <w:rFonts w:cs="Times New Roman"/>
          <w:szCs w:val="24"/>
        </w:rPr>
      </w:pPr>
      <w:r w:rsidRPr="00D910D8">
        <w:rPr>
          <w:rFonts w:cs="Times New Roman"/>
          <w:szCs w:val="24"/>
        </w:rPr>
        <w:t>F</w:t>
      </w:r>
      <w:r w:rsidR="00AA5135" w:rsidRPr="00D910D8">
        <w:rPr>
          <w:rFonts w:cs="Times New Roman"/>
          <w:szCs w:val="24"/>
        </w:rPr>
        <w:t>or the reasons given in relation to the negligent</w:t>
      </w:r>
      <w:r w:rsidRPr="00D910D8">
        <w:rPr>
          <w:rFonts w:cs="Times New Roman"/>
          <w:szCs w:val="24"/>
        </w:rPr>
        <w:t xml:space="preserve"> misrepresentation claim, I am</w:t>
      </w:r>
      <w:r w:rsidR="00AA5135" w:rsidRPr="00D910D8">
        <w:rPr>
          <w:rFonts w:cs="Times New Roman"/>
          <w:szCs w:val="24"/>
        </w:rPr>
        <w:t xml:space="preserve"> of the view that</w:t>
      </w:r>
      <w:r w:rsidR="00ED68CE" w:rsidRPr="00D910D8">
        <w:rPr>
          <w:rFonts w:cs="Times New Roman"/>
          <w:szCs w:val="24"/>
        </w:rPr>
        <w:t xml:space="preserve"> s</w:t>
      </w:r>
      <w:r w:rsidR="00AA5135" w:rsidRPr="00D910D8">
        <w:rPr>
          <w:rFonts w:cs="Times New Roman"/>
          <w:szCs w:val="24"/>
        </w:rPr>
        <w:t>tage</w:t>
      </w:r>
      <w:r w:rsidR="00ED68CE" w:rsidRPr="00D910D8">
        <w:rPr>
          <w:rFonts w:cs="Times New Roman"/>
          <w:szCs w:val="24"/>
        </w:rPr>
        <w:t>-t</w:t>
      </w:r>
      <w:r w:rsidR="00AA5135" w:rsidRPr="00D910D8">
        <w:rPr>
          <w:rFonts w:cs="Times New Roman"/>
          <w:szCs w:val="24"/>
        </w:rPr>
        <w:t xml:space="preserve">wo policy considerations negate this </w:t>
      </w:r>
      <w:r w:rsidR="00AA5135" w:rsidRPr="00D910D8">
        <w:rPr>
          <w:rFonts w:cs="Times New Roman"/>
          <w:i/>
          <w:szCs w:val="24"/>
        </w:rPr>
        <w:t>prima facie</w:t>
      </w:r>
      <w:r w:rsidR="00AA5135" w:rsidRPr="00D910D8">
        <w:rPr>
          <w:rFonts w:cs="Times New Roman"/>
          <w:szCs w:val="24"/>
        </w:rPr>
        <w:t xml:space="preserve"> duty of care</w:t>
      </w:r>
      <w:r w:rsidRPr="00D910D8">
        <w:rPr>
          <w:rFonts w:cs="Times New Roman"/>
          <w:szCs w:val="24"/>
        </w:rPr>
        <w:t xml:space="preserve"> for </w:t>
      </w:r>
      <w:r w:rsidR="000203BB" w:rsidRPr="00D910D8">
        <w:rPr>
          <w:rFonts w:cs="Times New Roman"/>
          <w:szCs w:val="24"/>
        </w:rPr>
        <w:t xml:space="preserve">the claims of </w:t>
      </w:r>
      <w:r w:rsidRPr="00D910D8">
        <w:rPr>
          <w:rFonts w:cs="Times New Roman"/>
          <w:szCs w:val="24"/>
        </w:rPr>
        <w:t>negligent design</w:t>
      </w:r>
      <w:r w:rsidR="00AA5135" w:rsidRPr="00D910D8">
        <w:rPr>
          <w:rFonts w:cs="Times New Roman"/>
          <w:szCs w:val="24"/>
        </w:rPr>
        <w:t xml:space="preserve">.  </w:t>
      </w:r>
      <w:r w:rsidRPr="00D910D8">
        <w:rPr>
          <w:rFonts w:cs="Times New Roman"/>
          <w:szCs w:val="24"/>
        </w:rPr>
        <w:t>T</w:t>
      </w:r>
      <w:r w:rsidR="00AA5135" w:rsidRPr="00D910D8">
        <w:rPr>
          <w:rFonts w:cs="Times New Roman"/>
          <w:szCs w:val="24"/>
        </w:rPr>
        <w:t xml:space="preserve">he decision to develop low-tar </w:t>
      </w:r>
      <w:proofErr w:type="gramStart"/>
      <w:r w:rsidR="00AA5135" w:rsidRPr="00D910D8">
        <w:rPr>
          <w:rFonts w:cs="Times New Roman"/>
          <w:szCs w:val="24"/>
        </w:rPr>
        <w:t xml:space="preserve">strains of tobacco on the </w:t>
      </w:r>
      <w:r w:rsidRPr="00D910D8">
        <w:rPr>
          <w:rFonts w:cs="Times New Roman"/>
          <w:szCs w:val="24"/>
        </w:rPr>
        <w:t>belief</w:t>
      </w:r>
      <w:r w:rsidR="00AA5135" w:rsidRPr="00D910D8">
        <w:rPr>
          <w:rFonts w:cs="Times New Roman"/>
          <w:szCs w:val="24"/>
        </w:rPr>
        <w:t xml:space="preserve"> that the resulting cigarettes would be less harmful to health is</w:t>
      </w:r>
      <w:proofErr w:type="gramEnd"/>
      <w:r w:rsidR="00AA5135" w:rsidRPr="00D910D8">
        <w:rPr>
          <w:rFonts w:cs="Times New Roman"/>
          <w:szCs w:val="24"/>
        </w:rPr>
        <w:t xml:space="preserve"> a decision that constitutes a course o</w:t>
      </w:r>
      <w:r w:rsidRPr="00D910D8">
        <w:rPr>
          <w:rFonts w:cs="Times New Roman"/>
          <w:szCs w:val="24"/>
        </w:rPr>
        <w:t>r</w:t>
      </w:r>
      <w:r w:rsidR="00AA5135" w:rsidRPr="00D910D8">
        <w:rPr>
          <w:rFonts w:cs="Times New Roman"/>
          <w:szCs w:val="24"/>
        </w:rPr>
        <w:t xml:space="preserve"> principle of action </w:t>
      </w:r>
      <w:r w:rsidR="00ED0EBA" w:rsidRPr="00D910D8">
        <w:rPr>
          <w:rFonts w:cs="Times New Roman"/>
          <w:szCs w:val="24"/>
        </w:rPr>
        <w:t>based on</w:t>
      </w:r>
      <w:r w:rsidR="00435C77" w:rsidRPr="00D910D8">
        <w:rPr>
          <w:rFonts w:cs="Times New Roman"/>
          <w:szCs w:val="24"/>
        </w:rPr>
        <w:t xml:space="preserve"> Canada’s</w:t>
      </w:r>
      <w:r w:rsidR="00583330" w:rsidRPr="00D910D8">
        <w:rPr>
          <w:rFonts w:cs="Times New Roman"/>
          <w:szCs w:val="24"/>
        </w:rPr>
        <w:t xml:space="preserve"> health </w:t>
      </w:r>
      <w:r w:rsidR="00AA5135" w:rsidRPr="00D910D8">
        <w:rPr>
          <w:rFonts w:cs="Times New Roman"/>
          <w:szCs w:val="24"/>
        </w:rPr>
        <w:lastRenderedPageBreak/>
        <w:t>policy.</w:t>
      </w:r>
      <w:r w:rsidR="00583330" w:rsidRPr="00D910D8">
        <w:rPr>
          <w:rFonts w:cs="Times New Roman"/>
          <w:szCs w:val="24"/>
        </w:rPr>
        <w:t xml:space="preserve">  It was a decision based on social and economic factors.</w:t>
      </w:r>
      <w:r w:rsidR="00AA5135" w:rsidRPr="00D910D8">
        <w:rPr>
          <w:rFonts w:cs="Times New Roman"/>
          <w:szCs w:val="24"/>
        </w:rPr>
        <w:t xml:space="preserve">  </w:t>
      </w:r>
      <w:r w:rsidR="00583330" w:rsidRPr="00D910D8">
        <w:rPr>
          <w:rFonts w:cs="Times New Roman"/>
          <w:szCs w:val="24"/>
        </w:rPr>
        <w:t>As a core government policy decision,</w:t>
      </w:r>
      <w:r w:rsidR="001E7671" w:rsidRPr="00D910D8">
        <w:rPr>
          <w:rFonts w:cs="Times New Roman"/>
          <w:szCs w:val="24"/>
        </w:rPr>
        <w:t xml:space="preserve"> it cannot ground a</w:t>
      </w:r>
      <w:r w:rsidR="00583330" w:rsidRPr="00D910D8">
        <w:rPr>
          <w:rFonts w:cs="Times New Roman"/>
          <w:szCs w:val="24"/>
        </w:rPr>
        <w:t xml:space="preserve"> </w:t>
      </w:r>
      <w:r w:rsidR="00AA5135" w:rsidRPr="00D910D8">
        <w:rPr>
          <w:rFonts w:cs="Times New Roman"/>
          <w:szCs w:val="24"/>
        </w:rPr>
        <w:t xml:space="preserve">claim for negligent design.  This conclusion makes it unnecessary to consider the argument of indeterminate liability </w:t>
      </w:r>
      <w:r w:rsidR="00583330" w:rsidRPr="00D910D8">
        <w:rPr>
          <w:rFonts w:cs="Times New Roman"/>
          <w:szCs w:val="24"/>
        </w:rPr>
        <w:t xml:space="preserve">also </w:t>
      </w:r>
      <w:r w:rsidR="00AA5135" w:rsidRPr="00D910D8">
        <w:rPr>
          <w:rFonts w:cs="Times New Roman"/>
          <w:szCs w:val="24"/>
        </w:rPr>
        <w:t>raised as a stage</w:t>
      </w:r>
      <w:r w:rsidR="00ED68CE" w:rsidRPr="00D910D8">
        <w:rPr>
          <w:rFonts w:cs="Times New Roman"/>
          <w:szCs w:val="24"/>
        </w:rPr>
        <w:t>-</w:t>
      </w:r>
      <w:r w:rsidR="00AA5135" w:rsidRPr="00D910D8">
        <w:rPr>
          <w:rFonts w:cs="Times New Roman"/>
          <w:szCs w:val="24"/>
        </w:rPr>
        <w:t>two policy objection to the claim of negligent design.</w:t>
      </w:r>
    </w:p>
    <w:p w:rsidR="00437336" w:rsidRPr="00D910D8" w:rsidRDefault="00ED68CE" w:rsidP="0066330D">
      <w:pPr>
        <w:pStyle w:val="TitleTitre-AltT"/>
        <w:tabs>
          <w:tab w:val="clear" w:pos="360"/>
          <w:tab w:val="left" w:pos="540"/>
          <w:tab w:val="left" w:pos="900"/>
          <w:tab w:val="left" w:pos="1260"/>
        </w:tabs>
        <w:ind w:left="540" w:hanging="540"/>
        <w:rPr>
          <w:rFonts w:cs="Times New Roman"/>
          <w:szCs w:val="24"/>
        </w:rPr>
      </w:pPr>
      <w:bookmarkStart w:id="33" w:name="_Toc285751405"/>
      <w:bookmarkStart w:id="34" w:name="_Toc285751658"/>
      <w:bookmarkStart w:id="35" w:name="_Toc314733759"/>
      <w:r w:rsidRPr="00D910D8">
        <w:rPr>
          <w:rFonts w:cs="Times New Roman"/>
          <w:szCs w:val="24"/>
        </w:rPr>
        <w:t>F</w:t>
      </w:r>
      <w:r w:rsidR="00332C57" w:rsidRPr="00D910D8">
        <w:rPr>
          <w:rFonts w:cs="Times New Roman"/>
          <w:szCs w:val="24"/>
        </w:rPr>
        <w:t>.</w:t>
      </w:r>
      <w:r w:rsidR="00332C57" w:rsidRPr="00D910D8">
        <w:rPr>
          <w:rFonts w:cs="Times New Roman"/>
          <w:szCs w:val="24"/>
        </w:rPr>
        <w:tab/>
      </w:r>
      <w:r w:rsidR="002606F8" w:rsidRPr="00D910D8">
        <w:rPr>
          <w:rFonts w:cs="Times New Roman"/>
          <w:i/>
          <w:szCs w:val="24"/>
        </w:rPr>
        <w:t xml:space="preserve">The Direct </w:t>
      </w:r>
      <w:r w:rsidRPr="00D910D8">
        <w:rPr>
          <w:rFonts w:cs="Times New Roman"/>
          <w:i/>
          <w:szCs w:val="24"/>
        </w:rPr>
        <w:t xml:space="preserve">Claims </w:t>
      </w:r>
      <w:proofErr w:type="gramStart"/>
      <w:r w:rsidRPr="00D910D8">
        <w:rPr>
          <w:rFonts w:cs="Times New Roman"/>
          <w:i/>
          <w:szCs w:val="24"/>
        </w:rPr>
        <w:t>U</w:t>
      </w:r>
      <w:r w:rsidR="000A2C08" w:rsidRPr="00D910D8">
        <w:rPr>
          <w:rFonts w:cs="Times New Roman"/>
          <w:i/>
          <w:szCs w:val="24"/>
        </w:rPr>
        <w:t>nder</w:t>
      </w:r>
      <w:proofErr w:type="gramEnd"/>
      <w:r w:rsidR="000A2C08" w:rsidRPr="00D910D8">
        <w:rPr>
          <w:rFonts w:cs="Times New Roman"/>
          <w:i/>
          <w:szCs w:val="24"/>
        </w:rPr>
        <w:t xml:space="preserve"> the C</w:t>
      </w:r>
      <w:r w:rsidRPr="00D910D8">
        <w:rPr>
          <w:rFonts w:cs="Times New Roman"/>
          <w:i/>
          <w:szCs w:val="24"/>
        </w:rPr>
        <w:t xml:space="preserve">osts </w:t>
      </w:r>
      <w:r w:rsidR="000A2C08" w:rsidRPr="00D910D8">
        <w:rPr>
          <w:rFonts w:cs="Times New Roman"/>
          <w:i/>
          <w:szCs w:val="24"/>
        </w:rPr>
        <w:t>R</w:t>
      </w:r>
      <w:r w:rsidRPr="00D910D8">
        <w:rPr>
          <w:rFonts w:cs="Times New Roman"/>
          <w:i/>
          <w:szCs w:val="24"/>
        </w:rPr>
        <w:t xml:space="preserve">ecovery </w:t>
      </w:r>
      <w:r w:rsidR="002606F8" w:rsidRPr="00D910D8">
        <w:rPr>
          <w:rFonts w:cs="Times New Roman"/>
          <w:i/>
          <w:szCs w:val="24"/>
        </w:rPr>
        <w:t>A</w:t>
      </w:r>
      <w:bookmarkEnd w:id="33"/>
      <w:bookmarkEnd w:id="34"/>
      <w:r w:rsidRPr="00D910D8">
        <w:rPr>
          <w:rFonts w:cs="Times New Roman"/>
          <w:i/>
          <w:szCs w:val="24"/>
        </w:rPr>
        <w:t>ct</w:t>
      </w:r>
      <w:r w:rsidR="008D4C9C" w:rsidRPr="00D910D8">
        <w:rPr>
          <w:rFonts w:cs="Times New Roman"/>
          <w:i/>
          <w:szCs w:val="24"/>
        </w:rPr>
        <w:t>s</w:t>
      </w:r>
      <w:bookmarkEnd w:id="35"/>
    </w:p>
    <w:p w:rsidR="005F1C79" w:rsidRPr="00D910D8" w:rsidRDefault="002606F8" w:rsidP="00332C57">
      <w:pPr>
        <w:pStyle w:val="ParaNoNdepar-AltN"/>
        <w:rPr>
          <w:rFonts w:cs="Times New Roman"/>
          <w:szCs w:val="24"/>
        </w:rPr>
      </w:pPr>
      <w:r w:rsidRPr="00D910D8">
        <w:rPr>
          <w:rFonts w:cs="Times New Roman"/>
          <w:szCs w:val="24"/>
        </w:rPr>
        <w:t xml:space="preserve">The tobacco companies submit that the Court of Appeal erred when it held that it was plain and obvious that Canada could not qualify as a manufacturer under the </w:t>
      </w:r>
      <w:r w:rsidR="000A2C08" w:rsidRPr="00D910D8">
        <w:rPr>
          <w:rFonts w:cs="Times New Roman"/>
          <w:i/>
          <w:szCs w:val="24"/>
        </w:rPr>
        <w:t>CR</w:t>
      </w:r>
      <w:r w:rsidRPr="00D910D8">
        <w:rPr>
          <w:rFonts w:cs="Times New Roman"/>
          <w:i/>
          <w:szCs w:val="24"/>
        </w:rPr>
        <w:t>A</w:t>
      </w:r>
      <w:r w:rsidRPr="00D910D8">
        <w:rPr>
          <w:rFonts w:cs="Times New Roman"/>
          <w:szCs w:val="24"/>
        </w:rPr>
        <w:t>.  They also present three alternative arguments</w:t>
      </w:r>
      <w:r w:rsidR="000A2C08" w:rsidRPr="00D910D8">
        <w:rPr>
          <w:rFonts w:cs="Times New Roman"/>
          <w:szCs w:val="24"/>
        </w:rPr>
        <w:t xml:space="preserve">: </w:t>
      </w:r>
      <w:r w:rsidRPr="00D910D8">
        <w:rPr>
          <w:rFonts w:cs="Times New Roman"/>
          <w:szCs w:val="24"/>
        </w:rPr>
        <w:t xml:space="preserve"> (1) that if Canada is not liable under the Act, it is liable under the recently adopted </w:t>
      </w:r>
      <w:r w:rsidRPr="00D910D8">
        <w:rPr>
          <w:rFonts w:cs="Times New Roman"/>
          <w:i/>
          <w:szCs w:val="24"/>
        </w:rPr>
        <w:t>Health Care Costs Recovery Act</w:t>
      </w:r>
      <w:r w:rsidRPr="00D910D8">
        <w:rPr>
          <w:rFonts w:cs="Times New Roman"/>
          <w:szCs w:val="24"/>
        </w:rPr>
        <w:t xml:space="preserve">, S.B.C. 2008, c. 27 </w:t>
      </w:r>
      <w:r w:rsidR="000A2C08" w:rsidRPr="00D910D8">
        <w:rPr>
          <w:rFonts w:cs="Times New Roman"/>
          <w:szCs w:val="24"/>
        </w:rPr>
        <w:t>(“</w:t>
      </w:r>
      <w:r w:rsidRPr="00D910D8">
        <w:rPr>
          <w:rFonts w:cs="Times New Roman"/>
          <w:i/>
          <w:szCs w:val="24"/>
        </w:rPr>
        <w:t>HCCRA</w:t>
      </w:r>
      <w:r w:rsidR="000A2C08" w:rsidRPr="00D910D8">
        <w:rPr>
          <w:rFonts w:cs="Times New Roman"/>
          <w:szCs w:val="24"/>
        </w:rPr>
        <w:t>”)</w:t>
      </w:r>
      <w:r w:rsidRPr="00D910D8">
        <w:rPr>
          <w:rFonts w:cs="Times New Roman"/>
          <w:szCs w:val="24"/>
        </w:rPr>
        <w:t xml:space="preserve">; (2) that if Canada is not liable under either the </w:t>
      </w:r>
      <w:r w:rsidR="000A2C08" w:rsidRPr="00D910D8">
        <w:rPr>
          <w:rFonts w:cs="Times New Roman"/>
          <w:i/>
          <w:szCs w:val="24"/>
        </w:rPr>
        <w:t>CRA</w:t>
      </w:r>
      <w:r w:rsidRPr="00D910D8">
        <w:rPr>
          <w:rFonts w:cs="Times New Roman"/>
          <w:i/>
          <w:szCs w:val="24"/>
        </w:rPr>
        <w:t xml:space="preserve"> </w:t>
      </w:r>
      <w:r w:rsidRPr="00D910D8">
        <w:rPr>
          <w:rFonts w:cs="Times New Roman"/>
          <w:szCs w:val="24"/>
        </w:rPr>
        <w:t xml:space="preserve">or the </w:t>
      </w:r>
      <w:r w:rsidRPr="00D910D8">
        <w:rPr>
          <w:rFonts w:cs="Times New Roman"/>
          <w:i/>
          <w:szCs w:val="24"/>
        </w:rPr>
        <w:t>HCCRA</w:t>
      </w:r>
      <w:r w:rsidRPr="00D910D8">
        <w:rPr>
          <w:rFonts w:cs="Times New Roman"/>
          <w:szCs w:val="24"/>
        </w:rPr>
        <w:t xml:space="preserve">, it is nonetheless liable to the defendants for contribution under the </w:t>
      </w:r>
      <w:r w:rsidRPr="00D910D8">
        <w:rPr>
          <w:rFonts w:cs="Times New Roman"/>
          <w:i/>
          <w:szCs w:val="24"/>
        </w:rPr>
        <w:t>Negligence Act</w:t>
      </w:r>
      <w:r w:rsidRPr="00D910D8">
        <w:rPr>
          <w:rFonts w:cs="Times New Roman"/>
          <w:szCs w:val="24"/>
        </w:rPr>
        <w:t>; and (3) that in the further alternative</w:t>
      </w:r>
      <w:r w:rsidR="00ED68CE" w:rsidRPr="00D910D8">
        <w:rPr>
          <w:rFonts w:cs="Times New Roman"/>
          <w:szCs w:val="24"/>
        </w:rPr>
        <w:t>,</w:t>
      </w:r>
      <w:r w:rsidRPr="00D910D8">
        <w:rPr>
          <w:rFonts w:cs="Times New Roman"/>
          <w:szCs w:val="24"/>
        </w:rPr>
        <w:t xml:space="preserve"> Canada could be liable for contribution under the common law (</w:t>
      </w:r>
      <w:r w:rsidR="00ED68CE" w:rsidRPr="00D910D8">
        <w:rPr>
          <w:rFonts w:cs="Times New Roman"/>
          <w:szCs w:val="24"/>
        </w:rPr>
        <w:t>j</w:t>
      </w:r>
      <w:r w:rsidR="002F5927" w:rsidRPr="00D910D8">
        <w:rPr>
          <w:rFonts w:cs="Times New Roman"/>
          <w:szCs w:val="24"/>
        </w:rPr>
        <w:t xml:space="preserve">oint factum of </w:t>
      </w:r>
      <w:r w:rsidRPr="00D910D8">
        <w:rPr>
          <w:rFonts w:cs="Times New Roman"/>
          <w:szCs w:val="24"/>
        </w:rPr>
        <w:t>R</w:t>
      </w:r>
      <w:r w:rsidR="00162ECA" w:rsidRPr="00D910D8">
        <w:rPr>
          <w:rFonts w:cs="Times New Roman"/>
          <w:szCs w:val="24"/>
        </w:rPr>
        <w:t xml:space="preserve">othmans, </w:t>
      </w:r>
      <w:r w:rsidRPr="00D910D8">
        <w:rPr>
          <w:rFonts w:cs="Times New Roman"/>
          <w:szCs w:val="24"/>
        </w:rPr>
        <w:t>B</w:t>
      </w:r>
      <w:r w:rsidR="00162ECA" w:rsidRPr="00D910D8">
        <w:rPr>
          <w:rFonts w:cs="Times New Roman"/>
          <w:szCs w:val="24"/>
        </w:rPr>
        <w:t xml:space="preserve">enson &amp; </w:t>
      </w:r>
      <w:r w:rsidRPr="00D910D8">
        <w:rPr>
          <w:rFonts w:cs="Times New Roman"/>
          <w:szCs w:val="24"/>
        </w:rPr>
        <w:t>H</w:t>
      </w:r>
      <w:r w:rsidR="00162ECA" w:rsidRPr="00D910D8">
        <w:rPr>
          <w:rFonts w:cs="Times New Roman"/>
          <w:szCs w:val="24"/>
        </w:rPr>
        <w:t>edges (“RBH”)</w:t>
      </w:r>
      <w:r w:rsidRPr="00D910D8">
        <w:rPr>
          <w:rFonts w:cs="Times New Roman"/>
          <w:szCs w:val="24"/>
        </w:rPr>
        <w:t xml:space="preserve"> </w:t>
      </w:r>
      <w:r w:rsidR="006B1E0A" w:rsidRPr="00D910D8">
        <w:rPr>
          <w:rFonts w:cs="Times New Roman"/>
          <w:szCs w:val="24"/>
        </w:rPr>
        <w:t xml:space="preserve">and Philip Morris </w:t>
      </w:r>
      <w:r w:rsidRPr="00D910D8">
        <w:rPr>
          <w:rFonts w:cs="Times New Roman"/>
          <w:szCs w:val="24"/>
        </w:rPr>
        <w:t>only).</w:t>
      </w:r>
    </w:p>
    <w:p w:rsidR="005F1C79" w:rsidRPr="00D910D8" w:rsidRDefault="002606F8" w:rsidP="00332C57">
      <w:pPr>
        <w:pStyle w:val="ParaNoNdepar-AltN"/>
        <w:rPr>
          <w:rFonts w:cs="Times New Roman"/>
          <w:szCs w:val="24"/>
        </w:rPr>
      </w:pPr>
      <w:r w:rsidRPr="00D910D8">
        <w:rPr>
          <w:rFonts w:cs="Times New Roman"/>
          <w:szCs w:val="24"/>
        </w:rPr>
        <w:t xml:space="preserve">Section 2 of the </w:t>
      </w:r>
      <w:r w:rsidRPr="00D910D8">
        <w:rPr>
          <w:rFonts w:cs="Times New Roman"/>
          <w:i/>
          <w:szCs w:val="24"/>
        </w:rPr>
        <w:t>CRA</w:t>
      </w:r>
      <w:r w:rsidRPr="00D910D8">
        <w:rPr>
          <w:rFonts w:cs="Times New Roman"/>
          <w:szCs w:val="24"/>
        </w:rPr>
        <w:t xml:space="preserve"> establishes that “[t]he government has a direct and distinct action against a manufacturer to recover the cost of health care benefits caused or contributed to by a tobacco related wrong”</w:t>
      </w:r>
      <w:r w:rsidR="000A2C08" w:rsidRPr="00D910D8">
        <w:rPr>
          <w:rFonts w:cs="Times New Roman"/>
          <w:szCs w:val="24"/>
        </w:rPr>
        <w:t xml:space="preserve">.  </w:t>
      </w:r>
      <w:r w:rsidRPr="00D910D8">
        <w:rPr>
          <w:rFonts w:cs="Times New Roman"/>
          <w:szCs w:val="24"/>
        </w:rPr>
        <w:t>The words “manufacture” and “manufactur</w:t>
      </w:r>
      <w:r w:rsidR="000A2C08" w:rsidRPr="00D910D8">
        <w:rPr>
          <w:rFonts w:cs="Times New Roman"/>
          <w:szCs w:val="24"/>
        </w:rPr>
        <w:t>er” are defined in s. 1</w:t>
      </w:r>
      <w:r w:rsidR="008D4C9C" w:rsidRPr="00D910D8">
        <w:rPr>
          <w:rFonts w:cs="Times New Roman"/>
          <w:szCs w:val="24"/>
        </w:rPr>
        <w:t>(1)</w:t>
      </w:r>
      <w:r w:rsidR="000A2C08" w:rsidRPr="00D910D8">
        <w:rPr>
          <w:rFonts w:cs="Times New Roman"/>
          <w:szCs w:val="24"/>
        </w:rPr>
        <w:t xml:space="preserve"> of the A</w:t>
      </w:r>
      <w:r w:rsidRPr="00D910D8">
        <w:rPr>
          <w:rFonts w:cs="Times New Roman"/>
          <w:szCs w:val="24"/>
        </w:rPr>
        <w:t>ct as follows:</w:t>
      </w:r>
    </w:p>
    <w:p w:rsidR="006007C4" w:rsidRPr="00D910D8" w:rsidRDefault="006007C4" w:rsidP="006007C4">
      <w:pPr>
        <w:pStyle w:val="Citation-AltC"/>
        <w:spacing w:after="240"/>
        <w:contextualSpacing w:val="0"/>
        <w:rPr>
          <w:rFonts w:eastAsiaTheme="minorHAnsi"/>
          <w:szCs w:val="24"/>
        </w:rPr>
      </w:pPr>
      <w:r w:rsidRPr="00D910D8">
        <w:rPr>
          <w:rFonts w:eastAsiaTheme="minorHAnsi"/>
          <w:b/>
          <w:szCs w:val="24"/>
        </w:rPr>
        <w:lastRenderedPageBreak/>
        <w:t>1</w:t>
      </w:r>
      <w:r w:rsidRPr="00D910D8">
        <w:rPr>
          <w:rFonts w:eastAsiaTheme="minorHAnsi"/>
          <w:szCs w:val="24"/>
        </w:rPr>
        <w:t xml:space="preserve"> (1) . . .</w:t>
      </w:r>
    </w:p>
    <w:p w:rsidR="005F1C79" w:rsidRPr="00D910D8" w:rsidRDefault="00290DD2" w:rsidP="00290DD2">
      <w:pPr>
        <w:pStyle w:val="Citation-AltC"/>
        <w:tabs>
          <w:tab w:val="left" w:pos="1440"/>
        </w:tabs>
        <w:spacing w:after="240"/>
        <w:ind w:left="1886" w:hanging="1886"/>
        <w:contextualSpacing w:val="0"/>
        <w:rPr>
          <w:szCs w:val="24"/>
        </w:rPr>
      </w:pPr>
      <w:r w:rsidRPr="00D910D8">
        <w:rPr>
          <w:rFonts w:eastAsiaTheme="minorHAnsi"/>
          <w:b/>
          <w:szCs w:val="24"/>
        </w:rPr>
        <w:tab/>
      </w:r>
      <w:r w:rsidR="002606F8" w:rsidRPr="00D910D8">
        <w:rPr>
          <w:rFonts w:eastAsiaTheme="minorHAnsi"/>
          <w:b/>
          <w:szCs w:val="24"/>
        </w:rPr>
        <w:t>“</w:t>
      </w:r>
      <w:proofErr w:type="gramStart"/>
      <w:r w:rsidR="002606F8" w:rsidRPr="00D910D8">
        <w:rPr>
          <w:rFonts w:eastAsiaTheme="minorHAnsi"/>
          <w:b/>
          <w:szCs w:val="24"/>
        </w:rPr>
        <w:t>manufacture</w:t>
      </w:r>
      <w:proofErr w:type="gramEnd"/>
      <w:r w:rsidR="002606F8" w:rsidRPr="00D910D8">
        <w:rPr>
          <w:rFonts w:eastAsiaTheme="minorHAnsi"/>
          <w:b/>
          <w:szCs w:val="24"/>
        </w:rPr>
        <w:t>”</w:t>
      </w:r>
      <w:r w:rsidR="002606F8" w:rsidRPr="00D910D8">
        <w:rPr>
          <w:szCs w:val="24"/>
        </w:rPr>
        <w:t> includes, for a tobacco product, the production, assembly or packaging of the tobacco product;</w:t>
      </w:r>
    </w:p>
    <w:p w:rsidR="005F1C79" w:rsidRPr="00D910D8" w:rsidRDefault="00290DD2" w:rsidP="00290DD2">
      <w:pPr>
        <w:pStyle w:val="Citation-AltC"/>
        <w:tabs>
          <w:tab w:val="left" w:pos="1440"/>
        </w:tabs>
        <w:spacing w:after="240"/>
        <w:ind w:left="1886" w:hanging="1886"/>
        <w:contextualSpacing w:val="0"/>
        <w:rPr>
          <w:szCs w:val="24"/>
        </w:rPr>
      </w:pPr>
      <w:r w:rsidRPr="00D910D8">
        <w:rPr>
          <w:rFonts w:eastAsiaTheme="minorHAnsi"/>
          <w:b/>
          <w:szCs w:val="24"/>
        </w:rPr>
        <w:tab/>
      </w:r>
      <w:r w:rsidR="002606F8" w:rsidRPr="00D910D8">
        <w:rPr>
          <w:rFonts w:eastAsiaTheme="minorHAnsi"/>
          <w:b/>
          <w:szCs w:val="24"/>
        </w:rPr>
        <w:t>“</w:t>
      </w:r>
      <w:proofErr w:type="gramStart"/>
      <w:r w:rsidR="002606F8" w:rsidRPr="00D910D8">
        <w:rPr>
          <w:rFonts w:eastAsiaTheme="minorHAnsi"/>
          <w:b/>
          <w:szCs w:val="24"/>
        </w:rPr>
        <w:t>manufacturer</w:t>
      </w:r>
      <w:proofErr w:type="gramEnd"/>
      <w:r w:rsidR="002606F8" w:rsidRPr="00D910D8">
        <w:rPr>
          <w:rFonts w:eastAsiaTheme="minorHAnsi"/>
          <w:b/>
          <w:szCs w:val="24"/>
        </w:rPr>
        <w:t>”</w:t>
      </w:r>
      <w:r w:rsidR="002606F8" w:rsidRPr="00D910D8">
        <w:rPr>
          <w:szCs w:val="24"/>
        </w:rPr>
        <w:t> means a person who manufactures or has manufactured a tobacco product and includes a person who currently or in the past</w:t>
      </w:r>
    </w:p>
    <w:p w:rsidR="005F1C79" w:rsidRPr="00D910D8" w:rsidRDefault="00332C57" w:rsidP="001A6529">
      <w:pPr>
        <w:pStyle w:val="Citation-AltC"/>
        <w:tabs>
          <w:tab w:val="left" w:pos="1890"/>
          <w:tab w:val="left" w:pos="2340"/>
        </w:tabs>
        <w:spacing w:after="240"/>
        <w:ind w:left="2340" w:hanging="2340"/>
        <w:contextualSpacing w:val="0"/>
        <w:rPr>
          <w:szCs w:val="24"/>
        </w:rPr>
      </w:pPr>
      <w:r w:rsidRPr="00D910D8">
        <w:rPr>
          <w:szCs w:val="24"/>
        </w:rPr>
        <w:tab/>
        <w:t>(a)</w:t>
      </w:r>
      <w:r w:rsidR="00290DD2" w:rsidRPr="00D910D8">
        <w:rPr>
          <w:szCs w:val="24"/>
        </w:rPr>
        <w:tab/>
      </w:r>
      <w:proofErr w:type="gramStart"/>
      <w:r w:rsidR="002606F8" w:rsidRPr="00D910D8">
        <w:rPr>
          <w:szCs w:val="24"/>
        </w:rPr>
        <w:t>causes</w:t>
      </w:r>
      <w:proofErr w:type="gramEnd"/>
      <w:r w:rsidR="002606F8" w:rsidRPr="00D910D8">
        <w:rPr>
          <w:szCs w:val="24"/>
        </w:rPr>
        <w:t>, directly or indirectly, through arrangements with contractors, subcontractors, licensees, franchisees or others, the manufacture of a tobacco product,</w:t>
      </w:r>
    </w:p>
    <w:p w:rsidR="005F1C79" w:rsidRPr="00D910D8" w:rsidRDefault="00D60878" w:rsidP="001A6529">
      <w:pPr>
        <w:pStyle w:val="Citation-AltC"/>
        <w:tabs>
          <w:tab w:val="left" w:pos="1890"/>
          <w:tab w:val="left" w:pos="2340"/>
        </w:tabs>
        <w:spacing w:after="240"/>
        <w:ind w:left="2340" w:hanging="2340"/>
        <w:contextualSpacing w:val="0"/>
        <w:rPr>
          <w:szCs w:val="24"/>
        </w:rPr>
      </w:pPr>
      <w:r w:rsidRPr="00D910D8">
        <w:rPr>
          <w:szCs w:val="24"/>
        </w:rPr>
        <w:tab/>
        <w:t>(b)</w:t>
      </w:r>
      <w:r w:rsidRPr="00D910D8">
        <w:rPr>
          <w:szCs w:val="24"/>
        </w:rPr>
        <w:tab/>
      </w:r>
      <w:proofErr w:type="gramStart"/>
      <w:r w:rsidR="002606F8" w:rsidRPr="00D910D8">
        <w:rPr>
          <w:szCs w:val="24"/>
        </w:rPr>
        <w:t>for</w:t>
      </w:r>
      <w:proofErr w:type="gramEnd"/>
      <w:r w:rsidR="002606F8" w:rsidRPr="00D910D8">
        <w:rPr>
          <w:szCs w:val="24"/>
        </w:rPr>
        <w:t xml:space="preserve"> any fiscal year of the person, derives at least 10% of revenues, determined on a consolidated basis in accordance with generally accepted accounting principles in Canada, from the manufacture or promotion of tobacco products by that person or by other persons,</w:t>
      </w:r>
    </w:p>
    <w:p w:rsidR="005F1C79" w:rsidRPr="00D910D8" w:rsidRDefault="00D60878" w:rsidP="001A6529">
      <w:pPr>
        <w:pStyle w:val="Citation-AltC"/>
        <w:tabs>
          <w:tab w:val="left" w:pos="1890"/>
          <w:tab w:val="left" w:pos="2340"/>
        </w:tabs>
        <w:spacing w:after="240"/>
        <w:ind w:left="2340" w:hanging="2340"/>
        <w:contextualSpacing w:val="0"/>
        <w:rPr>
          <w:szCs w:val="24"/>
        </w:rPr>
      </w:pPr>
      <w:r w:rsidRPr="00D910D8">
        <w:rPr>
          <w:szCs w:val="24"/>
        </w:rPr>
        <w:tab/>
        <w:t>(c)</w:t>
      </w:r>
      <w:r w:rsidRPr="00D910D8">
        <w:rPr>
          <w:szCs w:val="24"/>
        </w:rPr>
        <w:tab/>
      </w:r>
      <w:proofErr w:type="gramStart"/>
      <w:r w:rsidR="002606F8" w:rsidRPr="00D910D8">
        <w:rPr>
          <w:szCs w:val="24"/>
        </w:rPr>
        <w:t>engages</w:t>
      </w:r>
      <w:proofErr w:type="gramEnd"/>
      <w:r w:rsidR="002606F8" w:rsidRPr="00D910D8">
        <w:rPr>
          <w:szCs w:val="24"/>
        </w:rPr>
        <w:t xml:space="preserve"> in, or causes, directly or indirectly, other persons to engage in the promotion of a tobacco product, or</w:t>
      </w:r>
    </w:p>
    <w:p w:rsidR="005F1C79" w:rsidRPr="00D910D8" w:rsidRDefault="00D60878" w:rsidP="001A6529">
      <w:pPr>
        <w:pStyle w:val="Citation-AltC"/>
        <w:tabs>
          <w:tab w:val="left" w:pos="1890"/>
          <w:tab w:val="left" w:pos="2340"/>
        </w:tabs>
        <w:spacing w:after="240"/>
        <w:ind w:left="2340" w:hanging="2340"/>
        <w:contextualSpacing w:val="0"/>
        <w:rPr>
          <w:szCs w:val="24"/>
        </w:rPr>
      </w:pPr>
      <w:r w:rsidRPr="00D910D8">
        <w:rPr>
          <w:szCs w:val="24"/>
        </w:rPr>
        <w:tab/>
        <w:t>(d)</w:t>
      </w:r>
      <w:r w:rsidRPr="00D910D8">
        <w:rPr>
          <w:szCs w:val="24"/>
        </w:rPr>
        <w:tab/>
      </w:r>
      <w:proofErr w:type="gramStart"/>
      <w:r w:rsidR="002606F8" w:rsidRPr="00D910D8">
        <w:rPr>
          <w:szCs w:val="24"/>
        </w:rPr>
        <w:t>is</w:t>
      </w:r>
      <w:proofErr w:type="gramEnd"/>
      <w:r w:rsidR="002606F8" w:rsidRPr="00D910D8">
        <w:rPr>
          <w:szCs w:val="24"/>
        </w:rPr>
        <w:t xml:space="preserve"> a trade association primarily engaged in</w:t>
      </w:r>
    </w:p>
    <w:p w:rsidR="005F1C79" w:rsidRPr="00D910D8" w:rsidRDefault="00332C57" w:rsidP="001A6529">
      <w:pPr>
        <w:pStyle w:val="Citation-AltC"/>
        <w:tabs>
          <w:tab w:val="left" w:pos="2340"/>
          <w:tab w:val="left" w:pos="2880"/>
        </w:tabs>
        <w:spacing w:after="240"/>
        <w:ind w:left="2880" w:hanging="2880"/>
        <w:contextualSpacing w:val="0"/>
        <w:rPr>
          <w:szCs w:val="24"/>
        </w:rPr>
      </w:pPr>
      <w:r w:rsidRPr="00D910D8">
        <w:rPr>
          <w:szCs w:val="24"/>
        </w:rPr>
        <w:tab/>
        <w:t>(i)</w:t>
      </w:r>
      <w:r w:rsidRPr="00D910D8">
        <w:rPr>
          <w:szCs w:val="24"/>
        </w:rPr>
        <w:tab/>
      </w:r>
      <w:proofErr w:type="gramStart"/>
      <w:r w:rsidR="002606F8" w:rsidRPr="00D910D8">
        <w:rPr>
          <w:szCs w:val="24"/>
        </w:rPr>
        <w:t>the</w:t>
      </w:r>
      <w:proofErr w:type="gramEnd"/>
      <w:r w:rsidR="002606F8" w:rsidRPr="00D910D8">
        <w:rPr>
          <w:szCs w:val="24"/>
        </w:rPr>
        <w:t xml:space="preserve"> advancement of the interests of manufacturers,</w:t>
      </w:r>
    </w:p>
    <w:p w:rsidR="005F1C79" w:rsidRPr="00D910D8" w:rsidRDefault="00332C57" w:rsidP="001A6529">
      <w:pPr>
        <w:pStyle w:val="Citation-AltC"/>
        <w:tabs>
          <w:tab w:val="left" w:pos="2340"/>
          <w:tab w:val="left" w:pos="2880"/>
        </w:tabs>
        <w:spacing w:after="240"/>
        <w:ind w:left="2880" w:hanging="2880"/>
        <w:contextualSpacing w:val="0"/>
        <w:rPr>
          <w:szCs w:val="24"/>
        </w:rPr>
      </w:pPr>
      <w:r w:rsidRPr="00D910D8">
        <w:rPr>
          <w:szCs w:val="24"/>
        </w:rPr>
        <w:tab/>
        <w:t>(ii)</w:t>
      </w:r>
      <w:r w:rsidRPr="00D910D8">
        <w:rPr>
          <w:szCs w:val="24"/>
        </w:rPr>
        <w:tab/>
      </w:r>
      <w:proofErr w:type="gramStart"/>
      <w:r w:rsidR="002606F8" w:rsidRPr="00D910D8">
        <w:rPr>
          <w:szCs w:val="24"/>
        </w:rPr>
        <w:t>the</w:t>
      </w:r>
      <w:proofErr w:type="gramEnd"/>
      <w:r w:rsidR="002606F8" w:rsidRPr="00D910D8">
        <w:rPr>
          <w:szCs w:val="24"/>
        </w:rPr>
        <w:t xml:space="preserve"> promotion of a tobacco product, or</w:t>
      </w:r>
    </w:p>
    <w:p w:rsidR="00334132" w:rsidRPr="00D910D8" w:rsidRDefault="00332C57" w:rsidP="001A6529">
      <w:pPr>
        <w:pStyle w:val="Citation-AltC"/>
        <w:tabs>
          <w:tab w:val="left" w:pos="2340"/>
          <w:tab w:val="left" w:pos="2880"/>
        </w:tabs>
        <w:spacing w:after="240"/>
        <w:ind w:left="2880" w:hanging="2880"/>
        <w:contextualSpacing w:val="0"/>
        <w:rPr>
          <w:szCs w:val="24"/>
        </w:rPr>
      </w:pPr>
      <w:r w:rsidRPr="00D910D8">
        <w:rPr>
          <w:szCs w:val="24"/>
        </w:rPr>
        <w:tab/>
        <w:t>(iii)</w:t>
      </w:r>
      <w:r w:rsidRPr="00D910D8">
        <w:rPr>
          <w:szCs w:val="24"/>
        </w:rPr>
        <w:tab/>
      </w:r>
      <w:proofErr w:type="gramStart"/>
      <w:r w:rsidR="002606F8" w:rsidRPr="00D910D8">
        <w:rPr>
          <w:szCs w:val="24"/>
        </w:rPr>
        <w:t>causing</w:t>
      </w:r>
      <w:proofErr w:type="gramEnd"/>
      <w:r w:rsidR="002606F8" w:rsidRPr="00D910D8">
        <w:rPr>
          <w:szCs w:val="24"/>
        </w:rPr>
        <w:t>, directly or indirectly, other persons to engage in the promotion of a tobacco product;</w:t>
      </w:r>
    </w:p>
    <w:p w:rsidR="00005991" w:rsidRPr="00D910D8" w:rsidRDefault="00162ECA" w:rsidP="00CD329E">
      <w:pPr>
        <w:pStyle w:val="ContinueParaSuitedupar-AltP"/>
        <w:rPr>
          <w:rFonts w:cs="Times New Roman"/>
          <w:szCs w:val="24"/>
        </w:rPr>
      </w:pPr>
      <w:r w:rsidRPr="00D910D8">
        <w:rPr>
          <w:rFonts w:cs="Times New Roman"/>
          <w:szCs w:val="24"/>
        </w:rPr>
        <w:t>The third-</w:t>
      </w:r>
      <w:r w:rsidR="002606F8" w:rsidRPr="00D910D8">
        <w:rPr>
          <w:rFonts w:cs="Times New Roman"/>
          <w:szCs w:val="24"/>
        </w:rPr>
        <w:t>party notices allege that Canada grew (manufactured) tobacco and licensed it to the tobacco industry for a profit, and that Canada “promoted” the use of mild or light cigarettes to the industry and the public</w:t>
      </w:r>
      <w:r w:rsidR="000E5112" w:rsidRPr="00D910D8">
        <w:rPr>
          <w:rFonts w:cs="Times New Roman"/>
          <w:szCs w:val="24"/>
        </w:rPr>
        <w:t>.  These facts, they say, bring</w:t>
      </w:r>
      <w:r w:rsidR="002606F8" w:rsidRPr="00D910D8">
        <w:rPr>
          <w:rFonts w:cs="Times New Roman"/>
          <w:szCs w:val="24"/>
        </w:rPr>
        <w:t xml:space="preserve"> Canada within the definition of “manufacturer” </w:t>
      </w:r>
      <w:r w:rsidR="000A2C08" w:rsidRPr="00D910D8">
        <w:rPr>
          <w:rFonts w:cs="Times New Roman"/>
          <w:szCs w:val="24"/>
        </w:rPr>
        <w:t>of</w:t>
      </w:r>
      <w:r w:rsidR="002606F8" w:rsidRPr="00D910D8">
        <w:rPr>
          <w:rFonts w:cs="Times New Roman"/>
          <w:szCs w:val="24"/>
        </w:rPr>
        <w:t xml:space="preserve"> the </w:t>
      </w:r>
      <w:r w:rsidR="002606F8" w:rsidRPr="00D910D8">
        <w:rPr>
          <w:rFonts w:cs="Times New Roman"/>
          <w:i/>
          <w:szCs w:val="24"/>
        </w:rPr>
        <w:t>CRA</w:t>
      </w:r>
      <w:r w:rsidR="002606F8" w:rsidRPr="00D910D8">
        <w:rPr>
          <w:rFonts w:cs="Times New Roman"/>
          <w:szCs w:val="24"/>
        </w:rPr>
        <w:t>.</w:t>
      </w:r>
    </w:p>
    <w:p w:rsidR="005F1C79" w:rsidRPr="00D910D8" w:rsidRDefault="002606F8" w:rsidP="00CD329E">
      <w:pPr>
        <w:pStyle w:val="ParaNoNdepar-AltN"/>
        <w:rPr>
          <w:rFonts w:cs="Times New Roman"/>
          <w:szCs w:val="24"/>
        </w:rPr>
      </w:pPr>
      <w:r w:rsidRPr="00D910D8">
        <w:rPr>
          <w:rFonts w:cs="Times New Roman"/>
          <w:szCs w:val="24"/>
        </w:rPr>
        <w:lastRenderedPageBreak/>
        <w:t>Canada submits that it is not a manufacturer under the Act.  In the alternative, it submits that it is immune from the operation of this provincial statute at common law and alternatively under the Constitution.</w:t>
      </w:r>
    </w:p>
    <w:p w:rsidR="00596DB2" w:rsidRPr="00D910D8" w:rsidRDefault="002606F8" w:rsidP="00596DB2">
      <w:pPr>
        <w:pStyle w:val="ParaNoNdepar-AltN"/>
        <w:rPr>
          <w:rFonts w:cs="Times New Roman"/>
          <w:szCs w:val="24"/>
        </w:rPr>
      </w:pPr>
      <w:r w:rsidRPr="00D910D8">
        <w:rPr>
          <w:rFonts w:cs="Times New Roman"/>
          <w:szCs w:val="24"/>
        </w:rPr>
        <w:t xml:space="preserve">For the reasons that follow, I conclude that Canada is not a manufacturer under the Act.  </w:t>
      </w:r>
      <w:r w:rsidR="00E40CE9" w:rsidRPr="00D910D8">
        <w:rPr>
          <w:rFonts w:cs="Times New Roman"/>
          <w:szCs w:val="24"/>
        </w:rPr>
        <w:t xml:space="preserve">Indeed, holding Canada accountable under the </w:t>
      </w:r>
      <w:r w:rsidR="00E40CE9" w:rsidRPr="00D910D8">
        <w:rPr>
          <w:rFonts w:cs="Times New Roman"/>
          <w:i/>
          <w:szCs w:val="24"/>
        </w:rPr>
        <w:t>CRA</w:t>
      </w:r>
      <w:r w:rsidR="00E40CE9" w:rsidRPr="00D910D8">
        <w:rPr>
          <w:rFonts w:cs="Times New Roman"/>
          <w:szCs w:val="24"/>
        </w:rPr>
        <w:t xml:space="preserve"> would defeat the legislature’s intention of transferring the </w:t>
      </w:r>
      <w:r w:rsidR="00F16C1C" w:rsidRPr="00D910D8">
        <w:rPr>
          <w:rFonts w:cs="Times New Roman"/>
          <w:szCs w:val="24"/>
        </w:rPr>
        <w:t xml:space="preserve">health-care </w:t>
      </w:r>
      <w:r w:rsidR="00E40CE9" w:rsidRPr="00D910D8">
        <w:rPr>
          <w:rFonts w:cs="Times New Roman"/>
          <w:szCs w:val="24"/>
        </w:rPr>
        <w:t>cost</w:t>
      </w:r>
      <w:r w:rsidR="00F16C1C" w:rsidRPr="00D910D8">
        <w:rPr>
          <w:rFonts w:cs="Times New Roman"/>
          <w:szCs w:val="24"/>
        </w:rPr>
        <w:t>s resulting from</w:t>
      </w:r>
      <w:r w:rsidR="00E40CE9" w:rsidRPr="00D910D8">
        <w:rPr>
          <w:rFonts w:cs="Times New Roman"/>
          <w:szCs w:val="24"/>
        </w:rPr>
        <w:t xml:space="preserve"> tobacco related wrongs from taxpayers to the tobacco industry.  </w:t>
      </w:r>
      <w:r w:rsidRPr="00D910D8">
        <w:rPr>
          <w:rFonts w:cs="Times New Roman"/>
          <w:szCs w:val="24"/>
        </w:rPr>
        <w:t xml:space="preserve">This conclusion makes it unnecessary to consider Canada’s arguments that it would in any event be immune from liability under the provincial Act.  I would also reject the tobacco companies’ argument for contribution under the </w:t>
      </w:r>
      <w:r w:rsidRPr="00D910D8">
        <w:rPr>
          <w:rFonts w:cs="Times New Roman"/>
          <w:i/>
          <w:szCs w:val="24"/>
        </w:rPr>
        <w:t xml:space="preserve">HCCRA </w:t>
      </w:r>
      <w:r w:rsidRPr="00D910D8">
        <w:rPr>
          <w:rFonts w:cs="Times New Roman"/>
          <w:szCs w:val="24"/>
        </w:rPr>
        <w:t xml:space="preserve">and the </w:t>
      </w:r>
      <w:r w:rsidRPr="00D910D8">
        <w:rPr>
          <w:rFonts w:cs="Times New Roman"/>
          <w:i/>
          <w:szCs w:val="24"/>
        </w:rPr>
        <w:t>Negligence Act</w:t>
      </w:r>
      <w:r w:rsidRPr="00D910D8">
        <w:rPr>
          <w:rFonts w:cs="Times New Roman"/>
          <w:szCs w:val="24"/>
        </w:rPr>
        <w:t xml:space="preserve">, and </w:t>
      </w:r>
      <w:r w:rsidR="006B1E0A" w:rsidRPr="00D910D8">
        <w:rPr>
          <w:rFonts w:cs="Times New Roman"/>
          <w:szCs w:val="24"/>
        </w:rPr>
        <w:t xml:space="preserve">the </w:t>
      </w:r>
      <w:r w:rsidRPr="00D910D8">
        <w:rPr>
          <w:rFonts w:cs="Times New Roman"/>
          <w:szCs w:val="24"/>
        </w:rPr>
        <w:t>common law contribution argument.</w:t>
      </w:r>
    </w:p>
    <w:p w:rsidR="00B552F4" w:rsidRPr="00D910D8" w:rsidRDefault="00CD329E" w:rsidP="0066330D">
      <w:pPr>
        <w:pStyle w:val="TitleTitre-AltT"/>
        <w:tabs>
          <w:tab w:val="clear" w:pos="360"/>
          <w:tab w:val="left" w:pos="1170"/>
        </w:tabs>
        <w:ind w:left="1800" w:hanging="1800"/>
        <w:rPr>
          <w:rFonts w:cs="Times New Roman"/>
          <w:szCs w:val="24"/>
        </w:rPr>
      </w:pPr>
      <w:bookmarkStart w:id="36" w:name="_Toc285751406"/>
      <w:bookmarkStart w:id="37" w:name="_Toc285751659"/>
      <w:r w:rsidRPr="00D910D8">
        <w:rPr>
          <w:rFonts w:cs="Times New Roman"/>
          <w:szCs w:val="24"/>
        </w:rPr>
        <w:tab/>
      </w:r>
      <w:bookmarkStart w:id="38" w:name="_Toc314733760"/>
      <w:r w:rsidR="00162ECA" w:rsidRPr="00D910D8">
        <w:rPr>
          <w:rFonts w:cs="Times New Roman"/>
          <w:szCs w:val="24"/>
        </w:rPr>
        <w:t>(1</w:t>
      </w:r>
      <w:r w:rsidR="0036331D" w:rsidRPr="00D910D8">
        <w:rPr>
          <w:rFonts w:cs="Times New Roman"/>
          <w:szCs w:val="24"/>
        </w:rPr>
        <w:t>)</w:t>
      </w:r>
      <w:r w:rsidRPr="00D910D8">
        <w:rPr>
          <w:rFonts w:cs="Times New Roman"/>
          <w:szCs w:val="24"/>
        </w:rPr>
        <w:tab/>
      </w:r>
      <w:r w:rsidR="000A2C08" w:rsidRPr="00D910D8">
        <w:rPr>
          <w:rFonts w:cs="Times New Roman"/>
          <w:szCs w:val="24"/>
          <w:u w:val="single"/>
        </w:rPr>
        <w:t>Could Canada Q</w:t>
      </w:r>
      <w:r w:rsidR="002606F8" w:rsidRPr="00D910D8">
        <w:rPr>
          <w:rFonts w:cs="Times New Roman"/>
          <w:szCs w:val="24"/>
          <w:u w:val="single"/>
        </w:rPr>
        <w:t xml:space="preserve">ualify as a </w:t>
      </w:r>
      <w:r w:rsidR="000A2C08" w:rsidRPr="00D910D8">
        <w:rPr>
          <w:rFonts w:cs="Times New Roman"/>
          <w:szCs w:val="24"/>
          <w:u w:val="single"/>
        </w:rPr>
        <w:t>M</w:t>
      </w:r>
      <w:r w:rsidR="00162ECA" w:rsidRPr="00D910D8">
        <w:rPr>
          <w:rFonts w:cs="Times New Roman"/>
          <w:szCs w:val="24"/>
          <w:u w:val="single"/>
        </w:rPr>
        <w:t>anufacturer U</w:t>
      </w:r>
      <w:r w:rsidR="002606F8" w:rsidRPr="00D910D8">
        <w:rPr>
          <w:rFonts w:cs="Times New Roman"/>
          <w:szCs w:val="24"/>
          <w:u w:val="single"/>
        </w:rPr>
        <w:t xml:space="preserve">nder the </w:t>
      </w:r>
      <w:r w:rsidR="00712238" w:rsidRPr="00D910D8">
        <w:rPr>
          <w:rFonts w:cs="Times New Roman"/>
          <w:i/>
          <w:szCs w:val="24"/>
          <w:u w:val="single"/>
        </w:rPr>
        <w:t xml:space="preserve">Tobacco Damages and Health Care </w:t>
      </w:r>
      <w:r w:rsidR="002606F8" w:rsidRPr="00D910D8">
        <w:rPr>
          <w:rFonts w:cs="Times New Roman"/>
          <w:i/>
          <w:szCs w:val="24"/>
          <w:u w:val="single"/>
        </w:rPr>
        <w:t>C</w:t>
      </w:r>
      <w:r w:rsidR="00162ECA" w:rsidRPr="00D910D8">
        <w:rPr>
          <w:rFonts w:cs="Times New Roman"/>
          <w:i/>
          <w:szCs w:val="24"/>
          <w:u w:val="single"/>
        </w:rPr>
        <w:t xml:space="preserve">osts </w:t>
      </w:r>
      <w:r w:rsidR="002606F8" w:rsidRPr="00D910D8">
        <w:rPr>
          <w:rFonts w:cs="Times New Roman"/>
          <w:i/>
          <w:szCs w:val="24"/>
          <w:u w:val="single"/>
        </w:rPr>
        <w:t>R</w:t>
      </w:r>
      <w:r w:rsidR="00162ECA" w:rsidRPr="00D910D8">
        <w:rPr>
          <w:rFonts w:cs="Times New Roman"/>
          <w:i/>
          <w:szCs w:val="24"/>
          <w:u w:val="single"/>
        </w:rPr>
        <w:t xml:space="preserve">ecovery </w:t>
      </w:r>
      <w:r w:rsidR="002606F8" w:rsidRPr="00D910D8">
        <w:rPr>
          <w:rFonts w:cs="Times New Roman"/>
          <w:i/>
          <w:szCs w:val="24"/>
          <w:u w:val="single"/>
        </w:rPr>
        <w:t>A</w:t>
      </w:r>
      <w:bookmarkEnd w:id="36"/>
      <w:r w:rsidR="00162ECA" w:rsidRPr="00D910D8">
        <w:rPr>
          <w:rFonts w:cs="Times New Roman"/>
          <w:i/>
          <w:szCs w:val="24"/>
          <w:u w:val="single"/>
        </w:rPr>
        <w:t>ct</w:t>
      </w:r>
      <w:r w:rsidR="002606F8" w:rsidRPr="00D910D8">
        <w:rPr>
          <w:rFonts w:cs="Times New Roman"/>
          <w:szCs w:val="24"/>
          <w:u w:val="single"/>
        </w:rPr>
        <w:t>?</w:t>
      </w:r>
      <w:bookmarkEnd w:id="37"/>
      <w:bookmarkEnd w:id="38"/>
    </w:p>
    <w:p w:rsidR="00B552F4" w:rsidRPr="00D910D8" w:rsidRDefault="002606F8" w:rsidP="00CD329E">
      <w:pPr>
        <w:pStyle w:val="ParaNoNdepar-AltN"/>
        <w:rPr>
          <w:rFonts w:cs="Times New Roman"/>
          <w:szCs w:val="24"/>
        </w:rPr>
      </w:pPr>
      <w:r w:rsidRPr="00D910D8">
        <w:rPr>
          <w:rFonts w:cs="Times New Roman"/>
          <w:szCs w:val="24"/>
        </w:rPr>
        <w:t xml:space="preserve">The Court of Appeal held that the definition of “manufacturer” could not apply to the Government of Canada. </w:t>
      </w:r>
      <w:r w:rsidR="00C30AFF" w:rsidRPr="00D910D8">
        <w:rPr>
          <w:rFonts w:cs="Times New Roman"/>
          <w:szCs w:val="24"/>
        </w:rPr>
        <w:t xml:space="preserve"> </w:t>
      </w:r>
      <w:r w:rsidRPr="00D910D8">
        <w:rPr>
          <w:rFonts w:cs="Times New Roman"/>
          <w:szCs w:val="24"/>
        </w:rPr>
        <w:t xml:space="preserve">I agree.  While the argument that Canada could qualify as a manufacturer under the </w:t>
      </w:r>
      <w:r w:rsidR="000A2C08" w:rsidRPr="00D910D8">
        <w:rPr>
          <w:rFonts w:cs="Times New Roman"/>
          <w:i/>
          <w:szCs w:val="24"/>
        </w:rPr>
        <w:t>CR</w:t>
      </w:r>
      <w:r w:rsidRPr="00D910D8">
        <w:rPr>
          <w:rFonts w:cs="Times New Roman"/>
          <w:i/>
          <w:szCs w:val="24"/>
        </w:rPr>
        <w:t>A</w:t>
      </w:r>
      <w:r w:rsidRPr="00D910D8">
        <w:rPr>
          <w:rFonts w:cs="Times New Roman"/>
          <w:szCs w:val="24"/>
        </w:rPr>
        <w:t xml:space="preserve"> has superficial appeal, when the Act</w:t>
      </w:r>
      <w:r w:rsidRPr="00D910D8">
        <w:rPr>
          <w:rFonts w:cs="Times New Roman"/>
          <w:i/>
          <w:szCs w:val="24"/>
        </w:rPr>
        <w:t xml:space="preserve"> </w:t>
      </w:r>
      <w:r w:rsidRPr="00D910D8">
        <w:rPr>
          <w:rFonts w:cs="Times New Roman"/>
          <w:szCs w:val="24"/>
        </w:rPr>
        <w:t>is read in context and all of its provisions are taken into account, it is appa</w:t>
      </w:r>
      <w:r w:rsidR="00162ECA" w:rsidRPr="00D910D8">
        <w:rPr>
          <w:rFonts w:cs="Times New Roman"/>
          <w:szCs w:val="24"/>
        </w:rPr>
        <w:t>rent that the British Columbia l</w:t>
      </w:r>
      <w:r w:rsidRPr="00D910D8">
        <w:rPr>
          <w:rFonts w:cs="Times New Roman"/>
          <w:szCs w:val="24"/>
        </w:rPr>
        <w:t xml:space="preserve">egislature did not intend for Canada to be liable as a manufacturer.  This is confirmed by the text of the statute, the intent of the legislature in adopting the </w:t>
      </w:r>
      <w:r w:rsidRPr="00D910D8">
        <w:rPr>
          <w:rFonts w:cs="Times New Roman"/>
          <w:szCs w:val="24"/>
        </w:rPr>
        <w:lastRenderedPageBreak/>
        <w:t>Act, and the broader context of the relationship between the province and the federal government.</w:t>
      </w:r>
    </w:p>
    <w:p w:rsidR="00437336" w:rsidRPr="00D910D8" w:rsidRDefault="00CD329E" w:rsidP="0066330D">
      <w:pPr>
        <w:pStyle w:val="TitleTitre-AltT"/>
        <w:tabs>
          <w:tab w:val="clear" w:pos="360"/>
          <w:tab w:val="left" w:pos="1170"/>
        </w:tabs>
        <w:ind w:left="1800" w:hanging="1800"/>
        <w:rPr>
          <w:rFonts w:cs="Times New Roman"/>
          <w:szCs w:val="24"/>
        </w:rPr>
      </w:pPr>
      <w:bookmarkStart w:id="39" w:name="_Toc285751407"/>
      <w:r w:rsidRPr="00D910D8">
        <w:rPr>
          <w:rFonts w:cs="Times New Roman"/>
          <w:szCs w:val="24"/>
        </w:rPr>
        <w:tab/>
      </w:r>
      <w:bookmarkStart w:id="40" w:name="_Toc314733761"/>
      <w:r w:rsidR="00162ECA" w:rsidRPr="00D910D8">
        <w:rPr>
          <w:rFonts w:cs="Times New Roman"/>
          <w:szCs w:val="24"/>
        </w:rPr>
        <w:t>(a)</w:t>
      </w:r>
      <w:r w:rsidRPr="00D910D8">
        <w:rPr>
          <w:rFonts w:cs="Times New Roman"/>
          <w:szCs w:val="24"/>
        </w:rPr>
        <w:tab/>
      </w:r>
      <w:r w:rsidR="000A2C08" w:rsidRPr="00D910D8">
        <w:rPr>
          <w:rFonts w:cs="Times New Roman"/>
          <w:i/>
          <w:szCs w:val="24"/>
        </w:rPr>
        <w:t>Text of the S</w:t>
      </w:r>
      <w:r w:rsidR="002606F8" w:rsidRPr="00D910D8">
        <w:rPr>
          <w:rFonts w:cs="Times New Roman"/>
          <w:i/>
          <w:szCs w:val="24"/>
        </w:rPr>
        <w:t>tatute</w:t>
      </w:r>
      <w:bookmarkEnd w:id="39"/>
      <w:bookmarkEnd w:id="40"/>
    </w:p>
    <w:p w:rsidR="00B552F4" w:rsidRPr="00D910D8" w:rsidRDefault="001E7671" w:rsidP="001339A1">
      <w:pPr>
        <w:pStyle w:val="ParaNoNdepar-AltN"/>
        <w:rPr>
          <w:rFonts w:cs="Times New Roman"/>
          <w:szCs w:val="24"/>
        </w:rPr>
      </w:pPr>
      <w:r w:rsidRPr="00D910D8">
        <w:rPr>
          <w:rFonts w:cs="Times New Roman"/>
          <w:szCs w:val="24"/>
        </w:rPr>
        <w:t>T</w:t>
      </w:r>
      <w:r w:rsidR="002606F8" w:rsidRPr="00D910D8">
        <w:rPr>
          <w:rFonts w:cs="Times New Roman"/>
          <w:szCs w:val="24"/>
        </w:rPr>
        <w:t>he definition of manufacturer in s. 1</w:t>
      </w:r>
      <w:r w:rsidR="00712238" w:rsidRPr="00D910D8">
        <w:rPr>
          <w:rFonts w:cs="Times New Roman"/>
          <w:szCs w:val="24"/>
        </w:rPr>
        <w:t>(1)</w:t>
      </w:r>
      <w:r w:rsidR="00CD7916" w:rsidRPr="00D910D8">
        <w:rPr>
          <w:rFonts w:cs="Times New Roman"/>
          <w:szCs w:val="24"/>
        </w:rPr>
        <w:t xml:space="preserve"> “manufacturer” </w:t>
      </w:r>
      <w:r w:rsidR="000A2C08" w:rsidRPr="00D910D8">
        <w:rPr>
          <w:rFonts w:cs="Times New Roman"/>
          <w:szCs w:val="24"/>
        </w:rPr>
        <w:t>(b)</w:t>
      </w:r>
      <w:r w:rsidR="002606F8" w:rsidRPr="00D910D8">
        <w:rPr>
          <w:rFonts w:cs="Times New Roman"/>
          <w:szCs w:val="24"/>
        </w:rPr>
        <w:t xml:space="preserve"> of the Act</w:t>
      </w:r>
      <w:r w:rsidR="002606F8" w:rsidRPr="00D910D8">
        <w:rPr>
          <w:rFonts w:cs="Times New Roman"/>
          <w:i/>
          <w:szCs w:val="24"/>
        </w:rPr>
        <w:t xml:space="preserve"> </w:t>
      </w:r>
      <w:r w:rsidR="002606F8" w:rsidRPr="00D910D8">
        <w:rPr>
          <w:rFonts w:cs="Times New Roman"/>
          <w:szCs w:val="24"/>
        </w:rPr>
        <w:t>includes a person who “for any fiscal year of the person, derives at least 10% of revenues, determined on a consolidated basis in accordance with generally accepted accounting principles in Canada, from the manufacture or promotion of tobacco products by that person or by other persons”</w:t>
      </w:r>
      <w:r w:rsidR="000A2C08" w:rsidRPr="00D910D8">
        <w:rPr>
          <w:rFonts w:cs="Times New Roman"/>
          <w:szCs w:val="24"/>
        </w:rPr>
        <w:t>.</w:t>
      </w:r>
      <w:r w:rsidR="002606F8" w:rsidRPr="00D910D8">
        <w:rPr>
          <w:rFonts w:cs="Times New Roman"/>
          <w:szCs w:val="24"/>
        </w:rPr>
        <w:t xml:space="preserve">  Hall J.A. held that this definition indicated that the legislature intended the Act to apply to companies involved in the tobacco industry, and not to governments.</w:t>
      </w:r>
    </w:p>
    <w:p w:rsidR="00B552F4" w:rsidRPr="00D910D8" w:rsidRDefault="002606F8" w:rsidP="001339A1">
      <w:pPr>
        <w:pStyle w:val="ParaNoNdepar-AltN"/>
        <w:rPr>
          <w:rFonts w:cs="Times New Roman"/>
          <w:szCs w:val="24"/>
        </w:rPr>
      </w:pPr>
      <w:r w:rsidRPr="00D910D8">
        <w:rPr>
          <w:rFonts w:cs="Times New Roman"/>
          <w:szCs w:val="24"/>
        </w:rPr>
        <w:t>The tobacco companies respond that the definition of “manufacturer” is disjunctive since it uses the word “or”, such that an individual will qualify as a manufacturer if it meets any</w:t>
      </w:r>
      <w:r w:rsidR="00162ECA" w:rsidRPr="00D910D8">
        <w:rPr>
          <w:rFonts w:cs="Times New Roman"/>
          <w:szCs w:val="24"/>
        </w:rPr>
        <w:t xml:space="preserve"> of the four definitions in (a) to </w:t>
      </w:r>
      <w:r w:rsidRPr="00D910D8">
        <w:rPr>
          <w:rFonts w:cs="Times New Roman"/>
          <w:szCs w:val="24"/>
        </w:rPr>
        <w:t>(d).  Even if Canada is incapable of meeting the definition in (b) of the Act</w:t>
      </w:r>
      <w:r w:rsidR="001E7671" w:rsidRPr="00D910D8">
        <w:rPr>
          <w:rFonts w:cs="Times New Roman"/>
          <w:i/>
          <w:szCs w:val="24"/>
        </w:rPr>
        <w:t xml:space="preserve"> </w:t>
      </w:r>
      <w:r w:rsidR="001E7671" w:rsidRPr="00D910D8">
        <w:rPr>
          <w:rFonts w:cs="Times New Roman"/>
          <w:szCs w:val="24"/>
        </w:rPr>
        <w:t>(deriving 10% of its revenues from the manufacture or promotion of tobacco</w:t>
      </w:r>
      <w:r w:rsidR="00CD7916" w:rsidRPr="00D910D8">
        <w:rPr>
          <w:rFonts w:cs="Times New Roman"/>
          <w:szCs w:val="24"/>
        </w:rPr>
        <w:t xml:space="preserve"> products</w:t>
      </w:r>
      <w:r w:rsidR="001E7671" w:rsidRPr="00D910D8">
        <w:rPr>
          <w:rFonts w:cs="Times New Roman"/>
          <w:szCs w:val="24"/>
        </w:rPr>
        <w:t xml:space="preserve">), </w:t>
      </w:r>
      <w:r w:rsidRPr="00D910D8">
        <w:rPr>
          <w:rFonts w:cs="Times New Roman"/>
          <w:szCs w:val="24"/>
        </w:rPr>
        <w:t xml:space="preserve">Canada qualifies under subparagraphs (a) </w:t>
      </w:r>
      <w:r w:rsidR="00CD7916" w:rsidRPr="00D910D8">
        <w:rPr>
          <w:rFonts w:cs="Times New Roman"/>
          <w:szCs w:val="24"/>
        </w:rPr>
        <w:t xml:space="preserve">(causing the manufacture of tobacco products) </w:t>
      </w:r>
      <w:r w:rsidRPr="00D910D8">
        <w:rPr>
          <w:rFonts w:cs="Times New Roman"/>
          <w:szCs w:val="24"/>
        </w:rPr>
        <w:t xml:space="preserve">and (c) </w:t>
      </w:r>
      <w:r w:rsidR="00CD7916" w:rsidRPr="00D910D8">
        <w:rPr>
          <w:rFonts w:cs="Times New Roman"/>
          <w:szCs w:val="24"/>
        </w:rPr>
        <w:t xml:space="preserve">(engaging in or causing others to engage in the promotion of tobacco products) </w:t>
      </w:r>
      <w:r w:rsidRPr="00D910D8">
        <w:rPr>
          <w:rFonts w:cs="Times New Roman"/>
          <w:szCs w:val="24"/>
        </w:rPr>
        <w:t xml:space="preserve">on the facts pled, they argue.  </w:t>
      </w:r>
    </w:p>
    <w:p w:rsidR="00B55862" w:rsidRPr="00D910D8" w:rsidRDefault="00B55862" w:rsidP="00B55862">
      <w:pPr>
        <w:pStyle w:val="ParaNoNdepar-AltN"/>
        <w:rPr>
          <w:rFonts w:cs="Times New Roman"/>
          <w:szCs w:val="24"/>
        </w:rPr>
      </w:pPr>
      <w:r w:rsidRPr="00D910D8">
        <w:rPr>
          <w:rFonts w:cs="Times New Roman"/>
          <w:szCs w:val="24"/>
        </w:rPr>
        <w:lastRenderedPageBreak/>
        <w:t>Like the Court of Appeal, I would reject this argument.  It is true that s. 1 must be read disjunctively, and that an individual will qualify as a manufacturer if it meets any</w:t>
      </w:r>
      <w:r w:rsidR="00162ECA" w:rsidRPr="00D910D8">
        <w:rPr>
          <w:rFonts w:cs="Times New Roman"/>
          <w:szCs w:val="24"/>
        </w:rPr>
        <w:t xml:space="preserve"> of the four definitions in (a) to </w:t>
      </w:r>
      <w:r w:rsidRPr="00D910D8">
        <w:rPr>
          <w:rFonts w:cs="Times New Roman"/>
          <w:szCs w:val="24"/>
        </w:rPr>
        <w:t xml:space="preserve">(d).  However, the Act must nevertheless be read purposively and as a whole.  A proper reading of the Act will therefore take each of the four definitions into account.  It will also consider the rest of the statutory scheme, and the legislative context.  When the Act is read in this </w:t>
      </w:r>
      <w:r w:rsidR="00162ECA" w:rsidRPr="00D910D8">
        <w:rPr>
          <w:rFonts w:cs="Times New Roman"/>
          <w:szCs w:val="24"/>
        </w:rPr>
        <w:t>way, it is clear that the B.C. l</w:t>
      </w:r>
      <w:r w:rsidRPr="00D910D8">
        <w:rPr>
          <w:rFonts w:cs="Times New Roman"/>
          <w:szCs w:val="24"/>
        </w:rPr>
        <w:t xml:space="preserve">egislature did not intend to include the federal government as a potential manufacturer under the </w:t>
      </w:r>
      <w:r w:rsidRPr="00D910D8">
        <w:rPr>
          <w:rFonts w:cs="Times New Roman"/>
          <w:i/>
          <w:szCs w:val="24"/>
        </w:rPr>
        <w:t>CRA</w:t>
      </w:r>
      <w:r w:rsidRPr="00D910D8">
        <w:rPr>
          <w:rFonts w:cs="Times New Roman"/>
          <w:szCs w:val="24"/>
        </w:rPr>
        <w:t>.</w:t>
      </w:r>
    </w:p>
    <w:p w:rsidR="00B55862" w:rsidRPr="00D910D8" w:rsidRDefault="00B55862" w:rsidP="00B55862">
      <w:pPr>
        <w:pStyle w:val="ParaNoNdepar-AltN"/>
        <w:rPr>
          <w:rFonts w:cs="Times New Roman"/>
          <w:szCs w:val="24"/>
        </w:rPr>
      </w:pPr>
      <w:r w:rsidRPr="00D910D8">
        <w:rPr>
          <w:rFonts w:cs="Times New Roman"/>
          <w:szCs w:val="24"/>
        </w:rPr>
        <w:t>The fact that one of the statutory definitions is based on revenue percentage suggests that the term “manufacturer” is meant to capture businesses or individuals who earn profit from tobacco-related activities.  This interpretation is reinforced by the provisions of the Act</w:t>
      </w:r>
      <w:r w:rsidRPr="00D910D8">
        <w:rPr>
          <w:rFonts w:cs="Times New Roman"/>
          <w:i/>
          <w:szCs w:val="24"/>
        </w:rPr>
        <w:t xml:space="preserve"> </w:t>
      </w:r>
      <w:r w:rsidRPr="00D910D8">
        <w:rPr>
          <w:rFonts w:cs="Times New Roman"/>
          <w:szCs w:val="24"/>
        </w:rPr>
        <w:t>that establish the liability of defendants.  Section 3(3)(b) provides that “each defendant to which the presumptions</w:t>
      </w:r>
      <w:r w:rsidR="00CD7916" w:rsidRPr="00D910D8">
        <w:rPr>
          <w:rFonts w:cs="Times New Roman"/>
          <w:szCs w:val="24"/>
        </w:rPr>
        <w:t xml:space="preserve"> [provided in s. 3(2) of the </w:t>
      </w:r>
      <w:r w:rsidR="00CD7916" w:rsidRPr="00D910D8">
        <w:rPr>
          <w:rFonts w:cs="Times New Roman"/>
          <w:i/>
          <w:szCs w:val="24"/>
        </w:rPr>
        <w:t>CRA</w:t>
      </w:r>
      <w:r w:rsidR="00CD7916" w:rsidRPr="00D910D8">
        <w:rPr>
          <w:rFonts w:cs="Times New Roman"/>
          <w:szCs w:val="24"/>
        </w:rPr>
        <w:t>]</w:t>
      </w:r>
      <w:r w:rsidRPr="00D910D8">
        <w:rPr>
          <w:rFonts w:cs="Times New Roman"/>
          <w:szCs w:val="24"/>
        </w:rPr>
        <w:t xml:space="preserve"> apply is liable for the proportion of the aggregate cost referred to in paragraph (a) equal to its market share in the type of tobacco product”</w:t>
      </w:r>
      <w:r w:rsidR="00162ECA" w:rsidRPr="00D910D8">
        <w:rPr>
          <w:rFonts w:cs="Times New Roman"/>
          <w:szCs w:val="24"/>
        </w:rPr>
        <w:t>.</w:t>
      </w:r>
      <w:r w:rsidRPr="00D910D8">
        <w:rPr>
          <w:rFonts w:cs="Times New Roman"/>
          <w:szCs w:val="24"/>
        </w:rPr>
        <w:t xml:space="preserve">  This language cann</w:t>
      </w:r>
      <w:r w:rsidR="00CD7916" w:rsidRPr="00D910D8">
        <w:rPr>
          <w:rFonts w:cs="Times New Roman"/>
          <w:szCs w:val="24"/>
        </w:rPr>
        <w:t>ot be stretched to include the G</w:t>
      </w:r>
      <w:r w:rsidRPr="00D910D8">
        <w:rPr>
          <w:rFonts w:cs="Times New Roman"/>
          <w:szCs w:val="24"/>
        </w:rPr>
        <w:t>overnment of Canada.</w:t>
      </w:r>
    </w:p>
    <w:p w:rsidR="00EE092B" w:rsidRPr="00D910D8" w:rsidRDefault="00121A9E" w:rsidP="001339A1">
      <w:pPr>
        <w:pStyle w:val="ParaNoNdepar-AltN"/>
        <w:rPr>
          <w:rFonts w:cs="Times New Roman"/>
          <w:szCs w:val="24"/>
        </w:rPr>
      </w:pPr>
      <w:r w:rsidRPr="00D910D8">
        <w:rPr>
          <w:rFonts w:cs="Times New Roman"/>
          <w:szCs w:val="24"/>
        </w:rPr>
        <w:t>I conclude that the text</w:t>
      </w:r>
      <w:r w:rsidR="002606F8" w:rsidRPr="00D910D8">
        <w:rPr>
          <w:rFonts w:cs="Times New Roman"/>
          <w:szCs w:val="24"/>
        </w:rPr>
        <w:t xml:space="preserve"> of the </w:t>
      </w:r>
      <w:r w:rsidR="002606F8" w:rsidRPr="00D910D8">
        <w:rPr>
          <w:rFonts w:cs="Times New Roman"/>
          <w:i/>
          <w:szCs w:val="24"/>
        </w:rPr>
        <w:t>CRA</w:t>
      </w:r>
      <w:r w:rsidRPr="00D910D8">
        <w:rPr>
          <w:rFonts w:cs="Times New Roman"/>
          <w:szCs w:val="24"/>
        </w:rPr>
        <w:t>, read as a whole,</w:t>
      </w:r>
      <w:r w:rsidR="002606F8" w:rsidRPr="00D910D8">
        <w:rPr>
          <w:rFonts w:cs="Times New Roman"/>
          <w:szCs w:val="24"/>
        </w:rPr>
        <w:t xml:space="preserve"> does not support the view that Canada is a “manufacturer” under the Act.</w:t>
      </w:r>
    </w:p>
    <w:p w:rsidR="00437336" w:rsidRPr="00D910D8" w:rsidRDefault="001339A1" w:rsidP="0066330D">
      <w:pPr>
        <w:pStyle w:val="TitleTitre-AltT"/>
        <w:tabs>
          <w:tab w:val="clear" w:pos="360"/>
          <w:tab w:val="left" w:pos="1170"/>
        </w:tabs>
        <w:spacing w:after="720"/>
        <w:ind w:left="1800" w:hanging="1800"/>
        <w:rPr>
          <w:rFonts w:cs="Times New Roman"/>
          <w:szCs w:val="24"/>
        </w:rPr>
      </w:pPr>
      <w:bookmarkStart w:id="41" w:name="_Toc285751408"/>
      <w:r w:rsidRPr="00D910D8">
        <w:rPr>
          <w:rFonts w:cs="Times New Roman"/>
          <w:szCs w:val="24"/>
        </w:rPr>
        <w:tab/>
      </w:r>
      <w:bookmarkStart w:id="42" w:name="_Toc314733762"/>
      <w:r w:rsidR="00162ECA" w:rsidRPr="00D910D8">
        <w:rPr>
          <w:rFonts w:cs="Times New Roman"/>
          <w:szCs w:val="24"/>
        </w:rPr>
        <w:t>(b)</w:t>
      </w:r>
      <w:r w:rsidRPr="00D910D8">
        <w:rPr>
          <w:rFonts w:cs="Times New Roman"/>
          <w:i/>
          <w:szCs w:val="24"/>
        </w:rPr>
        <w:tab/>
      </w:r>
      <w:r w:rsidR="002606F8" w:rsidRPr="00D910D8">
        <w:rPr>
          <w:rFonts w:cs="Times New Roman"/>
          <w:i/>
          <w:szCs w:val="24"/>
        </w:rPr>
        <w:t>Legislative Intention</w:t>
      </w:r>
      <w:bookmarkEnd w:id="41"/>
      <w:bookmarkEnd w:id="42"/>
    </w:p>
    <w:p w:rsidR="00B552F4" w:rsidRPr="00D910D8" w:rsidRDefault="001F2F0C" w:rsidP="001339A1">
      <w:pPr>
        <w:pStyle w:val="ParaNoNdepar-AltN"/>
        <w:rPr>
          <w:rFonts w:cs="Times New Roman"/>
          <w:szCs w:val="24"/>
        </w:rPr>
      </w:pPr>
      <w:r w:rsidRPr="00D910D8">
        <w:rPr>
          <w:rFonts w:cs="Times New Roman"/>
          <w:szCs w:val="24"/>
        </w:rPr>
        <w:lastRenderedPageBreak/>
        <w:t xml:space="preserve">I </w:t>
      </w:r>
      <w:r w:rsidR="002606F8" w:rsidRPr="00D910D8">
        <w:rPr>
          <w:rFonts w:cs="Times New Roman"/>
          <w:szCs w:val="24"/>
        </w:rPr>
        <w:t>agree with Ca</w:t>
      </w:r>
      <w:r w:rsidR="00121A9E" w:rsidRPr="00D910D8">
        <w:rPr>
          <w:rFonts w:cs="Times New Roman"/>
          <w:szCs w:val="24"/>
        </w:rPr>
        <w:t xml:space="preserve">nada that </w:t>
      </w:r>
      <w:r w:rsidRPr="00D910D8">
        <w:rPr>
          <w:rFonts w:cs="Times New Roman"/>
          <w:szCs w:val="24"/>
        </w:rPr>
        <w:t xml:space="preserve">considerations related to legislative intent </w:t>
      </w:r>
      <w:r w:rsidR="002606F8" w:rsidRPr="00D910D8">
        <w:rPr>
          <w:rFonts w:cs="Times New Roman"/>
          <w:szCs w:val="24"/>
        </w:rPr>
        <w:t xml:space="preserve">further </w:t>
      </w:r>
      <w:r w:rsidRPr="00D910D8">
        <w:rPr>
          <w:rFonts w:cs="Times New Roman"/>
          <w:szCs w:val="24"/>
        </w:rPr>
        <w:t>support the view</w:t>
      </w:r>
      <w:r w:rsidR="002606F8" w:rsidRPr="00D910D8">
        <w:rPr>
          <w:rFonts w:cs="Times New Roman"/>
          <w:szCs w:val="24"/>
        </w:rPr>
        <w:t xml:space="preserve"> that Canada does not fall within the definition of “manufacturer”</w:t>
      </w:r>
      <w:r w:rsidR="000A2C08" w:rsidRPr="00D910D8">
        <w:rPr>
          <w:rFonts w:cs="Times New Roman"/>
          <w:szCs w:val="24"/>
        </w:rPr>
        <w:t>.</w:t>
      </w:r>
      <w:r w:rsidR="002606F8" w:rsidRPr="00D910D8">
        <w:rPr>
          <w:rFonts w:cs="Times New Roman"/>
          <w:szCs w:val="24"/>
        </w:rPr>
        <w:t xml:space="preserve">  When the </w:t>
      </w:r>
      <w:r w:rsidR="000A2C08" w:rsidRPr="00D910D8">
        <w:rPr>
          <w:rFonts w:cs="Times New Roman"/>
          <w:i/>
          <w:szCs w:val="24"/>
        </w:rPr>
        <w:t>CRA</w:t>
      </w:r>
      <w:r w:rsidR="002606F8" w:rsidRPr="00D910D8">
        <w:rPr>
          <w:rFonts w:cs="Times New Roman"/>
          <w:i/>
          <w:szCs w:val="24"/>
        </w:rPr>
        <w:t xml:space="preserve"> </w:t>
      </w:r>
      <w:r w:rsidR="00121A9E" w:rsidRPr="00D910D8">
        <w:rPr>
          <w:rFonts w:cs="Times New Roman"/>
          <w:szCs w:val="24"/>
        </w:rPr>
        <w:t xml:space="preserve">was introduced in the </w:t>
      </w:r>
      <w:r w:rsidR="00162ECA" w:rsidRPr="00D910D8">
        <w:rPr>
          <w:rFonts w:cs="Times New Roman"/>
          <w:szCs w:val="24"/>
        </w:rPr>
        <w:t>l</w:t>
      </w:r>
      <w:r w:rsidR="002606F8" w:rsidRPr="00D910D8">
        <w:rPr>
          <w:rFonts w:cs="Times New Roman"/>
          <w:szCs w:val="24"/>
        </w:rPr>
        <w:t>egislature</w:t>
      </w:r>
      <w:r w:rsidR="00121A9E" w:rsidRPr="00D910D8">
        <w:rPr>
          <w:rFonts w:cs="Times New Roman"/>
          <w:szCs w:val="24"/>
        </w:rPr>
        <w:t>,</w:t>
      </w:r>
      <w:r w:rsidR="002606F8" w:rsidRPr="00D910D8">
        <w:rPr>
          <w:rFonts w:cs="Times New Roman"/>
          <w:szCs w:val="24"/>
        </w:rPr>
        <w:t xml:space="preserve"> the </w:t>
      </w:r>
      <w:r w:rsidR="00162ECA" w:rsidRPr="00D910D8">
        <w:rPr>
          <w:rFonts w:cs="Times New Roman"/>
          <w:szCs w:val="24"/>
        </w:rPr>
        <w:t>M</w:t>
      </w:r>
      <w:r w:rsidR="002606F8" w:rsidRPr="00D910D8">
        <w:rPr>
          <w:rFonts w:cs="Times New Roman"/>
          <w:szCs w:val="24"/>
        </w:rPr>
        <w:t xml:space="preserve">inister responsible stated that “the industry” manufactured a lethal product, and </w:t>
      </w:r>
      <w:r w:rsidR="00CD7916" w:rsidRPr="00D910D8">
        <w:rPr>
          <w:rFonts w:cs="Times New Roman"/>
          <w:szCs w:val="24"/>
        </w:rPr>
        <w:t xml:space="preserve">that </w:t>
      </w:r>
      <w:r w:rsidR="002606F8" w:rsidRPr="00D910D8">
        <w:rPr>
          <w:rFonts w:cs="Times New Roman"/>
          <w:szCs w:val="24"/>
        </w:rPr>
        <w:t>“the industry” composed of “tobacco companies” should accordingly be held accountable</w:t>
      </w:r>
      <w:r w:rsidR="00CD7916" w:rsidRPr="00D910D8">
        <w:rPr>
          <w:rFonts w:cs="Times New Roman"/>
          <w:szCs w:val="24"/>
        </w:rPr>
        <w:t xml:space="preserve"> (</w:t>
      </w:r>
      <w:r w:rsidR="00F16C1C" w:rsidRPr="00D910D8">
        <w:rPr>
          <w:rFonts w:cs="Times New Roman"/>
          <w:szCs w:val="24"/>
        </w:rPr>
        <w:t xml:space="preserve">B.C. </w:t>
      </w:r>
      <w:r w:rsidR="00712238" w:rsidRPr="00D910D8">
        <w:rPr>
          <w:rFonts w:cs="Times New Roman"/>
          <w:i/>
          <w:szCs w:val="24"/>
        </w:rPr>
        <w:t xml:space="preserve">Official Report of </w:t>
      </w:r>
      <w:r w:rsidR="00F16C1C" w:rsidRPr="00D910D8">
        <w:rPr>
          <w:rFonts w:cs="Times New Roman"/>
          <w:i/>
          <w:szCs w:val="24"/>
        </w:rPr>
        <w:t>Debates of the Legislative Assembly</w:t>
      </w:r>
      <w:r w:rsidR="00712238" w:rsidRPr="00D910D8">
        <w:rPr>
          <w:rFonts w:cs="Times New Roman"/>
          <w:i/>
          <w:szCs w:val="24"/>
        </w:rPr>
        <w:t xml:space="preserve"> (Hansard)</w:t>
      </w:r>
      <w:r w:rsidR="00F16C1C" w:rsidRPr="00D910D8">
        <w:rPr>
          <w:rFonts w:cs="Times New Roman"/>
          <w:szCs w:val="24"/>
        </w:rPr>
        <w:t xml:space="preserve">, vol. 20, 4th Sess., 36th Parl., </w:t>
      </w:r>
      <w:r w:rsidR="00CD7916" w:rsidRPr="00D910D8">
        <w:rPr>
          <w:rFonts w:cs="Times New Roman"/>
          <w:szCs w:val="24"/>
        </w:rPr>
        <w:t xml:space="preserve">June 7, 2000, </w:t>
      </w:r>
      <w:r w:rsidR="00F16C1C" w:rsidRPr="00D910D8">
        <w:rPr>
          <w:rFonts w:cs="Times New Roman"/>
          <w:szCs w:val="24"/>
        </w:rPr>
        <w:t xml:space="preserve">at </w:t>
      </w:r>
      <w:r w:rsidR="00CD7916" w:rsidRPr="00D910D8">
        <w:rPr>
          <w:rFonts w:cs="Times New Roman"/>
          <w:szCs w:val="24"/>
        </w:rPr>
        <w:t>p. 16314)</w:t>
      </w:r>
      <w:r w:rsidR="002606F8" w:rsidRPr="00D910D8">
        <w:rPr>
          <w:rFonts w:cs="Times New Roman"/>
          <w:szCs w:val="24"/>
        </w:rPr>
        <w:t xml:space="preserve">.  It is plain </w:t>
      </w:r>
      <w:r w:rsidR="00CD7916" w:rsidRPr="00D910D8">
        <w:rPr>
          <w:rFonts w:cs="Times New Roman"/>
          <w:szCs w:val="24"/>
        </w:rPr>
        <w:t xml:space="preserve">and obvious </w:t>
      </w:r>
      <w:r w:rsidR="002606F8" w:rsidRPr="00D910D8">
        <w:rPr>
          <w:rFonts w:cs="Times New Roman"/>
          <w:szCs w:val="24"/>
        </w:rPr>
        <w:t>that the Government of Canada would not fit into these categories.</w:t>
      </w:r>
    </w:p>
    <w:p w:rsidR="00B552F4" w:rsidRPr="00D910D8" w:rsidRDefault="002606F8" w:rsidP="001339A1">
      <w:pPr>
        <w:pStyle w:val="ParaNoNdepar-AltN"/>
        <w:rPr>
          <w:rFonts w:cs="Times New Roman"/>
          <w:szCs w:val="24"/>
        </w:rPr>
      </w:pPr>
      <w:r w:rsidRPr="00D910D8">
        <w:rPr>
          <w:rFonts w:cs="Times New Roman"/>
          <w:szCs w:val="24"/>
        </w:rPr>
        <w:t xml:space="preserve">Imperial submits that it is improper to rely on excerpts from </w:t>
      </w:r>
      <w:r w:rsidRPr="00D910D8">
        <w:rPr>
          <w:rFonts w:cs="Times New Roman"/>
          <w:i/>
          <w:szCs w:val="24"/>
        </w:rPr>
        <w:t>Hansard</w:t>
      </w:r>
      <w:r w:rsidRPr="00D910D8">
        <w:rPr>
          <w:rFonts w:cs="Times New Roman"/>
          <w:szCs w:val="24"/>
        </w:rPr>
        <w:t xml:space="preserve"> on an application to strike a pleading, since evidence is not admissible on </w:t>
      </w:r>
      <w:r w:rsidR="00486F47" w:rsidRPr="00D910D8">
        <w:rPr>
          <w:rFonts w:cs="Times New Roman"/>
          <w:szCs w:val="24"/>
        </w:rPr>
        <w:t xml:space="preserve">such an </w:t>
      </w:r>
      <w:r w:rsidRPr="00D910D8">
        <w:rPr>
          <w:rFonts w:cs="Times New Roman"/>
          <w:szCs w:val="24"/>
        </w:rPr>
        <w:t xml:space="preserve">application.  However, a distinction lies between evidence that is introduced to prove a point of fact and evidence of legislative intent </w:t>
      </w:r>
      <w:r w:rsidR="00162ECA" w:rsidRPr="00D910D8">
        <w:rPr>
          <w:rFonts w:cs="Times New Roman"/>
          <w:szCs w:val="24"/>
        </w:rPr>
        <w:t>that is provided to assist the c</w:t>
      </w:r>
      <w:r w:rsidRPr="00D910D8">
        <w:rPr>
          <w:rFonts w:cs="Times New Roman"/>
          <w:szCs w:val="24"/>
        </w:rPr>
        <w:t>ourt in discerning the proper interpretation of a statute.  The former is not relev</w:t>
      </w:r>
      <w:r w:rsidR="00162ECA" w:rsidRPr="00D910D8">
        <w:rPr>
          <w:rFonts w:cs="Times New Roman"/>
          <w:szCs w:val="24"/>
        </w:rPr>
        <w:t>ant on an application to strike;</w:t>
      </w:r>
      <w:r w:rsidRPr="00D910D8">
        <w:rPr>
          <w:rFonts w:cs="Times New Roman"/>
          <w:szCs w:val="24"/>
        </w:rPr>
        <w:t xml:space="preserve"> the latter may be.  Applications to</w:t>
      </w:r>
      <w:r w:rsidR="00162ECA" w:rsidRPr="00D910D8">
        <w:rPr>
          <w:rFonts w:cs="Times New Roman"/>
          <w:szCs w:val="24"/>
        </w:rPr>
        <w:t xml:space="preserve"> strike are intended to economiz</w:t>
      </w:r>
      <w:r w:rsidRPr="00D910D8">
        <w:rPr>
          <w:rFonts w:cs="Times New Roman"/>
          <w:szCs w:val="24"/>
        </w:rPr>
        <w:t xml:space="preserve">e judicial resources in cases where on the facts pled, the law does not support the plaintiff’s claim.  Courts </w:t>
      </w:r>
      <w:r w:rsidR="00121A9E" w:rsidRPr="00D910D8">
        <w:rPr>
          <w:rFonts w:cs="Times New Roman"/>
          <w:szCs w:val="24"/>
        </w:rPr>
        <w:t xml:space="preserve">may consider </w:t>
      </w:r>
      <w:r w:rsidRPr="00D910D8">
        <w:rPr>
          <w:rFonts w:cs="Times New Roman"/>
          <w:szCs w:val="24"/>
        </w:rPr>
        <w:t xml:space="preserve">all </w:t>
      </w:r>
      <w:r w:rsidR="00121A9E" w:rsidRPr="00D910D8">
        <w:rPr>
          <w:rFonts w:cs="Times New Roman"/>
          <w:szCs w:val="24"/>
        </w:rPr>
        <w:t>evidence</w:t>
      </w:r>
      <w:r w:rsidRPr="00D910D8">
        <w:rPr>
          <w:rFonts w:cs="Times New Roman"/>
          <w:szCs w:val="24"/>
        </w:rPr>
        <w:t xml:space="preserve"> relevant </w:t>
      </w:r>
      <w:r w:rsidR="00121A9E" w:rsidRPr="00D910D8">
        <w:rPr>
          <w:rFonts w:cs="Times New Roman"/>
          <w:szCs w:val="24"/>
        </w:rPr>
        <w:t>to</w:t>
      </w:r>
      <w:r w:rsidRPr="00D910D8">
        <w:rPr>
          <w:rFonts w:cs="Times New Roman"/>
          <w:szCs w:val="24"/>
        </w:rPr>
        <w:t xml:space="preserve"> statutory interpretation in order to achieve this purpose.</w:t>
      </w:r>
    </w:p>
    <w:p w:rsidR="00755F8C" w:rsidRPr="00D910D8" w:rsidRDefault="001339A1" w:rsidP="0066330D">
      <w:pPr>
        <w:pStyle w:val="TitleTitre-AltT"/>
        <w:tabs>
          <w:tab w:val="clear" w:pos="360"/>
          <w:tab w:val="left" w:pos="1170"/>
        </w:tabs>
        <w:spacing w:after="720"/>
        <w:ind w:left="1800" w:hanging="1800"/>
        <w:rPr>
          <w:rFonts w:cs="Times New Roman"/>
          <w:szCs w:val="24"/>
        </w:rPr>
      </w:pPr>
      <w:bookmarkStart w:id="43" w:name="_Toc285751409"/>
      <w:r w:rsidRPr="00D910D8">
        <w:rPr>
          <w:rFonts w:cs="Times New Roman"/>
          <w:i/>
          <w:szCs w:val="24"/>
        </w:rPr>
        <w:tab/>
      </w:r>
      <w:bookmarkStart w:id="44" w:name="_Toc314733763"/>
      <w:r w:rsidR="00162ECA" w:rsidRPr="00D910D8">
        <w:rPr>
          <w:rFonts w:cs="Times New Roman"/>
          <w:szCs w:val="24"/>
        </w:rPr>
        <w:t>(c)</w:t>
      </w:r>
      <w:r w:rsidRPr="00D910D8">
        <w:rPr>
          <w:rFonts w:cs="Times New Roman"/>
          <w:i/>
          <w:szCs w:val="24"/>
        </w:rPr>
        <w:tab/>
      </w:r>
      <w:r w:rsidR="002606F8" w:rsidRPr="00D910D8">
        <w:rPr>
          <w:rFonts w:cs="Times New Roman"/>
          <w:i/>
          <w:szCs w:val="24"/>
        </w:rPr>
        <w:t>Broader Context</w:t>
      </w:r>
      <w:bookmarkEnd w:id="43"/>
      <w:bookmarkEnd w:id="44"/>
    </w:p>
    <w:p w:rsidR="00B552F4" w:rsidRPr="00D910D8" w:rsidRDefault="002606F8" w:rsidP="001339A1">
      <w:pPr>
        <w:pStyle w:val="ParaNoNdepar-AltN"/>
        <w:rPr>
          <w:rFonts w:cs="Times New Roman"/>
          <w:szCs w:val="24"/>
        </w:rPr>
      </w:pPr>
      <w:r w:rsidRPr="00D910D8">
        <w:rPr>
          <w:rFonts w:cs="Times New Roman"/>
          <w:szCs w:val="24"/>
        </w:rPr>
        <w:lastRenderedPageBreak/>
        <w:t>The broader context of the statute strongly supports the conclusion that the British Columbia</w:t>
      </w:r>
      <w:r w:rsidR="00162ECA" w:rsidRPr="00D910D8">
        <w:rPr>
          <w:rFonts w:cs="Times New Roman"/>
          <w:szCs w:val="24"/>
        </w:rPr>
        <w:t xml:space="preserve"> l</w:t>
      </w:r>
      <w:r w:rsidRPr="00D910D8">
        <w:rPr>
          <w:rFonts w:cs="Times New Roman"/>
          <w:szCs w:val="24"/>
        </w:rPr>
        <w:t xml:space="preserve">egislature did not intend the federal government to be liable as a manufacturer of tobacco products.  The object of the Act is to recover the cost of providing health care to British Columbians from the companies that sold </w:t>
      </w:r>
      <w:r w:rsidR="00486F47" w:rsidRPr="00D910D8">
        <w:rPr>
          <w:rFonts w:cs="Times New Roman"/>
          <w:szCs w:val="24"/>
        </w:rPr>
        <w:t xml:space="preserve">them </w:t>
      </w:r>
      <w:r w:rsidRPr="00D910D8">
        <w:rPr>
          <w:rFonts w:cs="Times New Roman"/>
          <w:szCs w:val="24"/>
        </w:rPr>
        <w:t xml:space="preserve">tobacco products.  As held by this Court in </w:t>
      </w:r>
      <w:r w:rsidRPr="00D910D8">
        <w:rPr>
          <w:rFonts w:cs="Times New Roman"/>
          <w:bCs/>
          <w:i/>
          <w:iCs/>
          <w:szCs w:val="24"/>
        </w:rPr>
        <w:t>British Columbia v. Imperial Tobacco Canada Ltd</w:t>
      </w:r>
      <w:r w:rsidRPr="00D910D8">
        <w:rPr>
          <w:rFonts w:cs="Times New Roman"/>
          <w:szCs w:val="24"/>
        </w:rPr>
        <w:t xml:space="preserve">., </w:t>
      </w:r>
      <w:r w:rsidR="00162ECA" w:rsidRPr="00D910D8">
        <w:rPr>
          <w:rFonts w:cs="Times New Roman"/>
          <w:szCs w:val="24"/>
        </w:rPr>
        <w:t xml:space="preserve">2005 SCC 49, </w:t>
      </w:r>
      <w:r w:rsidRPr="00D910D8">
        <w:rPr>
          <w:rFonts w:cs="Times New Roman"/>
          <w:szCs w:val="24"/>
        </w:rPr>
        <w:t>[2005] 2 S.C.R. 473:</w:t>
      </w:r>
    </w:p>
    <w:p w:rsidR="00B552F4" w:rsidRPr="00D910D8" w:rsidRDefault="002606F8" w:rsidP="001339A1">
      <w:pPr>
        <w:pStyle w:val="Citation-AltC"/>
        <w:rPr>
          <w:szCs w:val="24"/>
        </w:rPr>
      </w:pPr>
      <w:r w:rsidRPr="00D910D8">
        <w:rPr>
          <w:szCs w:val="24"/>
        </w:rPr>
        <w:t>[T]he driving force of the Act</w:t>
      </w:r>
      <w:r w:rsidR="00486F47" w:rsidRPr="00D910D8">
        <w:rPr>
          <w:szCs w:val="24"/>
        </w:rPr>
        <w:t>’</w:t>
      </w:r>
      <w:r w:rsidRPr="00D910D8">
        <w:rPr>
          <w:szCs w:val="24"/>
        </w:rPr>
        <w:t>s cause of action is compensation for the government of British Columbia</w:t>
      </w:r>
      <w:r w:rsidR="00486F47" w:rsidRPr="00D910D8">
        <w:rPr>
          <w:szCs w:val="24"/>
        </w:rPr>
        <w:t>’</w:t>
      </w:r>
      <w:r w:rsidRPr="00D910D8">
        <w:rPr>
          <w:szCs w:val="24"/>
        </w:rPr>
        <w:t>s health care costs, not remediation of tobacco manufac</w:t>
      </w:r>
      <w:r w:rsidR="00486F47" w:rsidRPr="00D910D8">
        <w:rPr>
          <w:szCs w:val="24"/>
        </w:rPr>
        <w:t>turers’</w:t>
      </w:r>
      <w:r w:rsidRPr="00D910D8">
        <w:rPr>
          <w:szCs w:val="24"/>
        </w:rPr>
        <w:t xml:space="preserve"> breaches of duty.  While the Act makes the existence of a breach of duty one of several necessa</w:t>
      </w:r>
      <w:r w:rsidR="00486F47" w:rsidRPr="00D910D8">
        <w:rPr>
          <w:szCs w:val="24"/>
        </w:rPr>
        <w:t>ry conditions to a manufacturer’</w:t>
      </w:r>
      <w:r w:rsidRPr="00D910D8">
        <w:rPr>
          <w:szCs w:val="24"/>
        </w:rPr>
        <w:t>s liability to the government, it is not the mischief at which the cause of action created by the Act is aimed.</w:t>
      </w:r>
      <w:r w:rsidR="00162ECA" w:rsidRPr="00D910D8">
        <w:rPr>
          <w:szCs w:val="24"/>
        </w:rPr>
        <w:t xml:space="preserve"> [para. 40]</w:t>
      </w:r>
      <w:r w:rsidR="00581B23" w:rsidRPr="00D910D8">
        <w:rPr>
          <w:szCs w:val="24"/>
        </w:rPr>
        <w:t xml:space="preserve"> </w:t>
      </w:r>
    </w:p>
    <w:p w:rsidR="00B552F4" w:rsidRPr="00D910D8" w:rsidRDefault="00162ECA" w:rsidP="001339A1">
      <w:pPr>
        <w:pStyle w:val="ContinueParaSuitedupar-AltP"/>
        <w:rPr>
          <w:rFonts w:cs="Times New Roman"/>
          <w:szCs w:val="24"/>
        </w:rPr>
      </w:pPr>
      <w:r w:rsidRPr="00D910D8">
        <w:rPr>
          <w:rFonts w:cs="Times New Roman"/>
          <w:szCs w:val="24"/>
        </w:rPr>
        <w:t>The l</w:t>
      </w:r>
      <w:r w:rsidR="002606F8" w:rsidRPr="00D910D8">
        <w:rPr>
          <w:rFonts w:cs="Times New Roman"/>
          <w:szCs w:val="24"/>
        </w:rPr>
        <w:t xml:space="preserve">egislature sought to transfer the medical costs from provincial taxpayers to the private sector that sold a harmful product.  This object would be fundamentally undermined if the funds were simply recovered from the federal government, which draws its revenue from the same taxpayers.  </w:t>
      </w:r>
    </w:p>
    <w:p w:rsidR="00B552F4" w:rsidRPr="00D910D8" w:rsidRDefault="002606F8" w:rsidP="001339A1">
      <w:pPr>
        <w:pStyle w:val="ParaNoNdepar-AltN"/>
        <w:rPr>
          <w:rFonts w:cs="Times New Roman"/>
          <w:szCs w:val="24"/>
        </w:rPr>
      </w:pPr>
      <w:r w:rsidRPr="00D910D8">
        <w:rPr>
          <w:rFonts w:cs="Times New Roman"/>
          <w:szCs w:val="24"/>
        </w:rPr>
        <w:t>The tobacco companies’</w:t>
      </w:r>
      <w:r w:rsidR="00CD7916" w:rsidRPr="00D910D8">
        <w:rPr>
          <w:rFonts w:cs="Times New Roman"/>
          <w:szCs w:val="24"/>
        </w:rPr>
        <w:t xml:space="preserve"> proposed application of the </w:t>
      </w:r>
      <w:r w:rsidR="00CD7916" w:rsidRPr="00D910D8">
        <w:rPr>
          <w:rFonts w:cs="Times New Roman"/>
          <w:i/>
          <w:szCs w:val="24"/>
        </w:rPr>
        <w:t>CRA</w:t>
      </w:r>
      <w:r w:rsidRPr="00D910D8">
        <w:rPr>
          <w:rFonts w:cs="Times New Roman"/>
          <w:i/>
          <w:szCs w:val="24"/>
        </w:rPr>
        <w:t xml:space="preserve"> </w:t>
      </w:r>
      <w:r w:rsidRPr="00D910D8">
        <w:rPr>
          <w:rFonts w:cs="Times New Roman"/>
          <w:szCs w:val="24"/>
        </w:rPr>
        <w:t>to Canada is particularly problematic in light of the long</w:t>
      </w:r>
      <w:r w:rsidR="00162ECA" w:rsidRPr="00D910D8">
        <w:rPr>
          <w:rFonts w:cs="Times New Roman"/>
          <w:szCs w:val="24"/>
        </w:rPr>
        <w:t>-</w:t>
      </w:r>
      <w:r w:rsidRPr="00D910D8">
        <w:rPr>
          <w:rFonts w:cs="Times New Roman"/>
          <w:szCs w:val="24"/>
        </w:rPr>
        <w:t>standing funding relationship between the federal and provincial governments with regards to health care.  The fe</w:t>
      </w:r>
      <w:r w:rsidR="00CD7916" w:rsidRPr="00D910D8">
        <w:rPr>
          <w:rFonts w:cs="Times New Roman"/>
          <w:szCs w:val="24"/>
        </w:rPr>
        <w:t>deral government has been making health transfer payments</w:t>
      </w:r>
      <w:r w:rsidRPr="00D910D8">
        <w:rPr>
          <w:rFonts w:cs="Times New Roman"/>
          <w:szCs w:val="24"/>
        </w:rPr>
        <w:t xml:space="preserve"> to the provinces for decades.  As held by Hall J.A.:</w:t>
      </w:r>
    </w:p>
    <w:p w:rsidR="00B552F4" w:rsidRPr="00D910D8" w:rsidRDefault="002606F8" w:rsidP="001339A1">
      <w:pPr>
        <w:pStyle w:val="Citation-AltC"/>
        <w:rPr>
          <w:szCs w:val="24"/>
        </w:rPr>
      </w:pPr>
      <w:r w:rsidRPr="00D910D8">
        <w:rPr>
          <w:szCs w:val="24"/>
        </w:rPr>
        <w:lastRenderedPageBreak/>
        <w:t xml:space="preserve">If the </w:t>
      </w:r>
      <w:r w:rsidRPr="00D910D8">
        <w:rPr>
          <w:i/>
          <w:iCs/>
          <w:szCs w:val="24"/>
        </w:rPr>
        <w:t>Costs Recovery Act</w:t>
      </w:r>
      <w:r w:rsidRPr="00D910D8">
        <w:rPr>
          <w:szCs w:val="24"/>
        </w:rPr>
        <w:t xml:space="preserve"> were to be construed to permit the inclusion of Canada as a manufacturer targeted for the recovery of provincial health costs, this would permit a direct economic claim to be advanced against Canada by British Columbia to obtain further funding for health care costs.  In light of these longstanding fiscal arrangements between governments, I cannot conceive that the legislature of British Columbia could ever have envisaged that Canada might be a target under the </w:t>
      </w:r>
      <w:r w:rsidRPr="00D910D8">
        <w:rPr>
          <w:i/>
          <w:iCs/>
          <w:szCs w:val="24"/>
        </w:rPr>
        <w:t>Costs Recovery Act</w:t>
      </w:r>
      <w:r w:rsidRPr="00D910D8">
        <w:rPr>
          <w:szCs w:val="24"/>
        </w:rPr>
        <w:t>.</w:t>
      </w:r>
      <w:r w:rsidR="00162ECA" w:rsidRPr="00D910D8">
        <w:rPr>
          <w:szCs w:val="24"/>
        </w:rPr>
        <w:t xml:space="preserve"> [para. 33]</w:t>
      </w:r>
    </w:p>
    <w:p w:rsidR="00B552F4" w:rsidRPr="00D910D8" w:rsidRDefault="002606F8" w:rsidP="001339A1">
      <w:pPr>
        <w:pStyle w:val="ParaNoNdepar-AltN"/>
        <w:rPr>
          <w:rFonts w:cs="Times New Roman"/>
          <w:szCs w:val="24"/>
        </w:rPr>
      </w:pPr>
      <w:r w:rsidRPr="00D910D8">
        <w:rPr>
          <w:rFonts w:cs="Times New Roman"/>
          <w:szCs w:val="24"/>
        </w:rPr>
        <w:t xml:space="preserve">Imperial argues that the only way to achieve the object of the </w:t>
      </w:r>
      <w:r w:rsidRPr="00D910D8">
        <w:rPr>
          <w:rFonts w:cs="Times New Roman"/>
          <w:i/>
          <w:szCs w:val="24"/>
        </w:rPr>
        <w:t>CRA</w:t>
      </w:r>
      <w:r w:rsidRPr="00D910D8">
        <w:rPr>
          <w:rFonts w:cs="Times New Roman"/>
          <w:szCs w:val="24"/>
        </w:rPr>
        <w:t xml:space="preserve"> is to allow the province to recover from all those who participated in the tobacco industry, including the federal government.  </w:t>
      </w:r>
      <w:r w:rsidR="00CD7916" w:rsidRPr="00D910D8">
        <w:rPr>
          <w:rFonts w:cs="Times New Roman"/>
          <w:szCs w:val="24"/>
        </w:rPr>
        <w:t>I disagree.  H</w:t>
      </w:r>
      <w:r w:rsidRPr="00D910D8">
        <w:rPr>
          <w:rFonts w:cs="Times New Roman"/>
          <w:szCs w:val="24"/>
        </w:rPr>
        <w:t>olding the federal government accountable under the Act would defeat the legislature’s intention of transferring the cos</w:t>
      </w:r>
      <w:r w:rsidR="00CB3966" w:rsidRPr="00D910D8">
        <w:rPr>
          <w:rFonts w:cs="Times New Roman"/>
          <w:szCs w:val="24"/>
        </w:rPr>
        <w:t>t of medical treatment from tax</w:t>
      </w:r>
      <w:r w:rsidRPr="00D910D8">
        <w:rPr>
          <w:rFonts w:cs="Times New Roman"/>
          <w:szCs w:val="24"/>
        </w:rPr>
        <w:t>payers to the tobacco industry.</w:t>
      </w:r>
    </w:p>
    <w:p w:rsidR="00F8036E" w:rsidRPr="00D910D8" w:rsidRDefault="001339A1" w:rsidP="0066330D">
      <w:pPr>
        <w:pStyle w:val="TitleTitre-AltT"/>
        <w:tabs>
          <w:tab w:val="clear" w:pos="360"/>
          <w:tab w:val="left" w:pos="1170"/>
        </w:tabs>
        <w:spacing w:after="720"/>
        <w:ind w:left="1800" w:hanging="1800"/>
        <w:rPr>
          <w:rFonts w:cs="Times New Roman"/>
          <w:i/>
          <w:szCs w:val="24"/>
        </w:rPr>
      </w:pPr>
      <w:r w:rsidRPr="00D910D8">
        <w:rPr>
          <w:rFonts w:cs="Times New Roman"/>
          <w:szCs w:val="24"/>
        </w:rPr>
        <w:tab/>
      </w:r>
      <w:bookmarkStart w:id="45" w:name="_Toc314733764"/>
      <w:r w:rsidR="00162ECA" w:rsidRPr="00D910D8">
        <w:rPr>
          <w:rFonts w:cs="Times New Roman"/>
          <w:szCs w:val="24"/>
        </w:rPr>
        <w:t>(d)</w:t>
      </w:r>
      <w:r w:rsidRPr="00D910D8">
        <w:rPr>
          <w:rFonts w:cs="Times New Roman"/>
          <w:i/>
          <w:szCs w:val="24"/>
        </w:rPr>
        <w:tab/>
      </w:r>
      <w:r w:rsidR="002606F8" w:rsidRPr="00D910D8">
        <w:rPr>
          <w:rFonts w:cs="Times New Roman"/>
          <w:i/>
          <w:szCs w:val="24"/>
        </w:rPr>
        <w:t>Summary</w:t>
      </w:r>
      <w:bookmarkEnd w:id="45"/>
    </w:p>
    <w:p w:rsidR="000D7B99" w:rsidRPr="00D910D8" w:rsidRDefault="00121A9E" w:rsidP="001339A1">
      <w:pPr>
        <w:pStyle w:val="ParaNoNdepar-AltN"/>
        <w:rPr>
          <w:rFonts w:cs="Times New Roman"/>
          <w:szCs w:val="24"/>
        </w:rPr>
      </w:pPr>
      <w:r w:rsidRPr="00D910D8">
        <w:rPr>
          <w:rFonts w:cs="Times New Roman"/>
          <w:szCs w:val="24"/>
        </w:rPr>
        <w:t>For the foregoing reasons, I conclude that it is</w:t>
      </w:r>
      <w:r w:rsidR="002606F8" w:rsidRPr="00D910D8">
        <w:rPr>
          <w:rFonts w:cs="Times New Roman"/>
          <w:szCs w:val="24"/>
        </w:rPr>
        <w:t xml:space="preserve"> plain and obvious that the federal government </w:t>
      </w:r>
      <w:r w:rsidRPr="00D910D8">
        <w:rPr>
          <w:rFonts w:cs="Times New Roman"/>
          <w:szCs w:val="24"/>
        </w:rPr>
        <w:t>does</w:t>
      </w:r>
      <w:r w:rsidR="002606F8" w:rsidRPr="00D910D8">
        <w:rPr>
          <w:rFonts w:cs="Times New Roman"/>
          <w:szCs w:val="24"/>
        </w:rPr>
        <w:t xml:space="preserve"> not qualify as a manufacturer of tobacco</w:t>
      </w:r>
      <w:r w:rsidRPr="00D910D8">
        <w:rPr>
          <w:rFonts w:cs="Times New Roman"/>
          <w:szCs w:val="24"/>
        </w:rPr>
        <w:t xml:space="preserve"> </w:t>
      </w:r>
      <w:r w:rsidR="00CD7916" w:rsidRPr="00D910D8">
        <w:rPr>
          <w:rFonts w:cs="Times New Roman"/>
          <w:szCs w:val="24"/>
        </w:rPr>
        <w:t xml:space="preserve">products </w:t>
      </w:r>
      <w:r w:rsidRPr="00D910D8">
        <w:rPr>
          <w:rFonts w:cs="Times New Roman"/>
          <w:szCs w:val="24"/>
        </w:rPr>
        <w:t xml:space="preserve">under the </w:t>
      </w:r>
      <w:r w:rsidRPr="00D910D8">
        <w:rPr>
          <w:rFonts w:cs="Times New Roman"/>
          <w:i/>
          <w:szCs w:val="24"/>
        </w:rPr>
        <w:t>CRA</w:t>
      </w:r>
      <w:r w:rsidRPr="00D910D8">
        <w:rPr>
          <w:rFonts w:cs="Times New Roman"/>
          <w:szCs w:val="24"/>
        </w:rPr>
        <w:t>.  This pleading must therefore be struck</w:t>
      </w:r>
      <w:r w:rsidR="002606F8" w:rsidRPr="00D910D8">
        <w:rPr>
          <w:rFonts w:cs="Times New Roman"/>
          <w:szCs w:val="24"/>
        </w:rPr>
        <w:t>.</w:t>
      </w:r>
    </w:p>
    <w:p w:rsidR="00B552F4" w:rsidRPr="00D910D8" w:rsidRDefault="00162ECA" w:rsidP="0066330D">
      <w:pPr>
        <w:pStyle w:val="TitleTitre-AltT"/>
        <w:tabs>
          <w:tab w:val="clear" w:pos="360"/>
          <w:tab w:val="left" w:pos="1170"/>
        </w:tabs>
        <w:spacing w:after="720"/>
        <w:ind w:left="1800" w:hanging="1800"/>
        <w:rPr>
          <w:rFonts w:cs="Times New Roman"/>
          <w:szCs w:val="24"/>
        </w:rPr>
      </w:pPr>
      <w:r w:rsidRPr="00D910D8">
        <w:rPr>
          <w:rFonts w:cs="Times New Roman"/>
          <w:szCs w:val="24"/>
        </w:rPr>
        <w:tab/>
      </w:r>
      <w:bookmarkStart w:id="46" w:name="_Toc314733765"/>
      <w:r w:rsidRPr="00D910D8">
        <w:rPr>
          <w:rFonts w:cs="Times New Roman"/>
          <w:szCs w:val="24"/>
        </w:rPr>
        <w:t>(2</w:t>
      </w:r>
      <w:r w:rsidR="00CA1641" w:rsidRPr="00D910D8">
        <w:rPr>
          <w:rFonts w:cs="Times New Roman"/>
          <w:szCs w:val="24"/>
        </w:rPr>
        <w:t>)</w:t>
      </w:r>
      <w:r w:rsidR="001F2F0C" w:rsidRPr="00D910D8">
        <w:rPr>
          <w:rFonts w:cs="Times New Roman"/>
          <w:szCs w:val="24"/>
        </w:rPr>
        <w:tab/>
      </w:r>
      <w:r w:rsidR="00156E75" w:rsidRPr="00D910D8">
        <w:rPr>
          <w:rFonts w:cs="Times New Roman"/>
          <w:szCs w:val="24"/>
          <w:u w:val="single"/>
        </w:rPr>
        <w:t>Could Canada B</w:t>
      </w:r>
      <w:r w:rsidR="00486F47" w:rsidRPr="00D910D8">
        <w:rPr>
          <w:rFonts w:cs="Times New Roman"/>
          <w:szCs w:val="24"/>
          <w:u w:val="single"/>
        </w:rPr>
        <w:t>e Found L</w:t>
      </w:r>
      <w:r w:rsidR="002606F8" w:rsidRPr="00D910D8">
        <w:rPr>
          <w:rFonts w:cs="Times New Roman"/>
          <w:szCs w:val="24"/>
          <w:u w:val="single"/>
        </w:rPr>
        <w:t xml:space="preserve">iable </w:t>
      </w:r>
      <w:r w:rsidR="00156E75" w:rsidRPr="00D910D8">
        <w:rPr>
          <w:rFonts w:cs="Times New Roman"/>
          <w:szCs w:val="24"/>
          <w:u w:val="single"/>
        </w:rPr>
        <w:t>U</w:t>
      </w:r>
      <w:r w:rsidR="002606F8" w:rsidRPr="00D910D8">
        <w:rPr>
          <w:rFonts w:cs="Times New Roman"/>
          <w:szCs w:val="24"/>
          <w:u w:val="single"/>
        </w:rPr>
        <w:t xml:space="preserve">nder the </w:t>
      </w:r>
      <w:bookmarkStart w:id="47" w:name="_Toc285751410"/>
      <w:r w:rsidR="002606F8" w:rsidRPr="00D910D8">
        <w:rPr>
          <w:rFonts w:cs="Times New Roman"/>
          <w:i/>
          <w:szCs w:val="24"/>
          <w:u w:val="single"/>
        </w:rPr>
        <w:t>Health Care Costs Recovery Act</w:t>
      </w:r>
      <w:bookmarkEnd w:id="47"/>
      <w:r w:rsidR="00486F47" w:rsidRPr="00D910D8">
        <w:rPr>
          <w:rFonts w:cs="Times New Roman"/>
          <w:szCs w:val="24"/>
          <w:u w:val="single"/>
        </w:rPr>
        <w:t>?</w:t>
      </w:r>
      <w:bookmarkEnd w:id="46"/>
    </w:p>
    <w:p w:rsidR="00B552F4" w:rsidRPr="00D910D8" w:rsidRDefault="002606F8" w:rsidP="006C78C6">
      <w:pPr>
        <w:pStyle w:val="ParaNoNdepar-AltN"/>
        <w:rPr>
          <w:rFonts w:cs="Times New Roman"/>
          <w:szCs w:val="24"/>
        </w:rPr>
      </w:pPr>
      <w:r w:rsidRPr="00D910D8">
        <w:rPr>
          <w:rFonts w:cs="Times New Roman"/>
          <w:szCs w:val="24"/>
        </w:rPr>
        <w:t xml:space="preserve">The tobacco companies submit that if Canada is not liable under the </w:t>
      </w:r>
      <w:r w:rsidRPr="00D910D8">
        <w:rPr>
          <w:rFonts w:cs="Times New Roman"/>
          <w:i/>
          <w:szCs w:val="24"/>
        </w:rPr>
        <w:t>CRA</w:t>
      </w:r>
      <w:r w:rsidRPr="00D910D8">
        <w:rPr>
          <w:rFonts w:cs="Times New Roman"/>
          <w:szCs w:val="24"/>
        </w:rPr>
        <w:t xml:space="preserve">, it would be liable under the </w:t>
      </w:r>
      <w:r w:rsidRPr="00D910D8">
        <w:rPr>
          <w:rFonts w:cs="Times New Roman"/>
          <w:i/>
          <w:szCs w:val="24"/>
        </w:rPr>
        <w:t>HCCRA</w:t>
      </w:r>
      <w:r w:rsidRPr="00D910D8">
        <w:rPr>
          <w:rFonts w:cs="Times New Roman"/>
          <w:szCs w:val="24"/>
        </w:rPr>
        <w:t xml:space="preserve">, which creates a cause of action for the province </w:t>
      </w:r>
      <w:r w:rsidRPr="00D910D8">
        <w:rPr>
          <w:rFonts w:cs="Times New Roman"/>
          <w:szCs w:val="24"/>
        </w:rPr>
        <w:lastRenderedPageBreak/>
        <w:t>to recover health care costs general</w:t>
      </w:r>
      <w:r w:rsidR="00121A9E" w:rsidRPr="00D910D8">
        <w:rPr>
          <w:rFonts w:cs="Times New Roman"/>
          <w:szCs w:val="24"/>
        </w:rPr>
        <w:t>ly</w:t>
      </w:r>
      <w:r w:rsidR="00CD7916" w:rsidRPr="00D910D8">
        <w:rPr>
          <w:rFonts w:cs="Times New Roman"/>
          <w:szCs w:val="24"/>
        </w:rPr>
        <w:t xml:space="preserve"> from wrongdoers (s. 8(1))</w:t>
      </w:r>
      <w:r w:rsidRPr="00D910D8">
        <w:rPr>
          <w:rFonts w:cs="Times New Roman"/>
          <w:szCs w:val="24"/>
        </w:rPr>
        <w:t xml:space="preserve">.  Canada submits that the </w:t>
      </w:r>
      <w:r w:rsidRPr="00D910D8">
        <w:rPr>
          <w:rFonts w:cs="Times New Roman"/>
          <w:i/>
          <w:szCs w:val="24"/>
        </w:rPr>
        <w:t xml:space="preserve">HCCRA </w:t>
      </w:r>
      <w:r w:rsidRPr="00D910D8">
        <w:rPr>
          <w:rFonts w:cs="Times New Roman"/>
          <w:szCs w:val="24"/>
        </w:rPr>
        <w:t>is inapplicable because it provides that the cause of action does not apply to cases that qualify as “tobacco related wrong</w:t>
      </w:r>
      <w:r w:rsidR="005D1CCD" w:rsidRPr="00D910D8">
        <w:rPr>
          <w:rFonts w:cs="Times New Roman"/>
          <w:szCs w:val="24"/>
        </w:rPr>
        <w:t>[</w:t>
      </w:r>
      <w:r w:rsidRPr="00D910D8">
        <w:rPr>
          <w:rFonts w:cs="Times New Roman"/>
          <w:szCs w:val="24"/>
        </w:rPr>
        <w:t>s</w:t>
      </w:r>
      <w:r w:rsidR="005D1CCD" w:rsidRPr="00D910D8">
        <w:rPr>
          <w:rFonts w:cs="Times New Roman"/>
          <w:szCs w:val="24"/>
        </w:rPr>
        <w:t>]</w:t>
      </w:r>
      <w:r w:rsidRPr="00D910D8">
        <w:rPr>
          <w:rFonts w:cs="Times New Roman"/>
          <w:szCs w:val="24"/>
        </w:rPr>
        <w:t xml:space="preserve">” </w:t>
      </w:r>
      <w:r w:rsidR="00486F47" w:rsidRPr="00D910D8">
        <w:rPr>
          <w:rFonts w:cs="Times New Roman"/>
          <w:szCs w:val="24"/>
        </w:rPr>
        <w:t>under</w:t>
      </w:r>
      <w:r w:rsidRPr="00D910D8">
        <w:rPr>
          <w:rFonts w:cs="Times New Roman"/>
          <w:szCs w:val="24"/>
        </w:rPr>
        <w:t xml:space="preserve"> the </w:t>
      </w:r>
      <w:r w:rsidRPr="00D910D8">
        <w:rPr>
          <w:rFonts w:cs="Times New Roman"/>
          <w:i/>
          <w:szCs w:val="24"/>
        </w:rPr>
        <w:t>CRA</w:t>
      </w:r>
      <w:r w:rsidR="00CD7916" w:rsidRPr="00D910D8">
        <w:rPr>
          <w:rFonts w:cs="Times New Roman"/>
          <w:i/>
          <w:szCs w:val="24"/>
        </w:rPr>
        <w:t xml:space="preserve"> </w:t>
      </w:r>
      <w:r w:rsidR="00CD7916" w:rsidRPr="00D910D8">
        <w:rPr>
          <w:rFonts w:cs="Times New Roman"/>
          <w:szCs w:val="24"/>
        </w:rPr>
        <w:t>(s. 24(3</w:t>
      </w:r>
      <w:proofErr w:type="gramStart"/>
      <w:r w:rsidR="00CD7916" w:rsidRPr="00D910D8">
        <w:rPr>
          <w:rFonts w:cs="Times New Roman"/>
          <w:szCs w:val="24"/>
        </w:rPr>
        <w:t>)</w:t>
      </w:r>
      <w:r w:rsidR="006D4C46" w:rsidRPr="00D910D8">
        <w:rPr>
          <w:rFonts w:cs="Times New Roman"/>
          <w:szCs w:val="24"/>
        </w:rPr>
        <w:t>(</w:t>
      </w:r>
      <w:proofErr w:type="gramEnd"/>
      <w:r w:rsidR="00CD7916" w:rsidRPr="00D910D8">
        <w:rPr>
          <w:rFonts w:cs="Times New Roman"/>
          <w:szCs w:val="24"/>
        </w:rPr>
        <w:t>b)</w:t>
      </w:r>
      <w:r w:rsidR="00E14FB9" w:rsidRPr="00D910D8">
        <w:rPr>
          <w:rFonts w:cs="Times New Roman"/>
          <w:szCs w:val="24"/>
        </w:rPr>
        <w:t>)</w:t>
      </w:r>
      <w:r w:rsidRPr="00D910D8">
        <w:rPr>
          <w:rFonts w:cs="Times New Roman"/>
          <w:szCs w:val="24"/>
        </w:rPr>
        <w:t xml:space="preserve">.  </w:t>
      </w:r>
      <w:r w:rsidR="006B1E0A" w:rsidRPr="00D910D8">
        <w:rPr>
          <w:rFonts w:cs="Times New Roman"/>
          <w:szCs w:val="24"/>
        </w:rPr>
        <w:t xml:space="preserve">RBH and Philip Morris </w:t>
      </w:r>
      <w:r w:rsidRPr="00D910D8">
        <w:rPr>
          <w:rFonts w:cs="Times New Roman"/>
          <w:szCs w:val="24"/>
        </w:rPr>
        <w:t xml:space="preserve">respond that a “tobacco related wrong” under the </w:t>
      </w:r>
      <w:r w:rsidRPr="00D910D8">
        <w:rPr>
          <w:rFonts w:cs="Times New Roman"/>
          <w:i/>
          <w:szCs w:val="24"/>
        </w:rPr>
        <w:t xml:space="preserve">CRA </w:t>
      </w:r>
      <w:r w:rsidRPr="00D910D8">
        <w:rPr>
          <w:rFonts w:cs="Times New Roman"/>
          <w:szCs w:val="24"/>
        </w:rPr>
        <w:t>may only be committed</w:t>
      </w:r>
      <w:r w:rsidR="00486F47" w:rsidRPr="00D910D8">
        <w:rPr>
          <w:rFonts w:cs="Times New Roman"/>
          <w:szCs w:val="24"/>
        </w:rPr>
        <w:t xml:space="preserve"> by a “manufacturer</w:t>
      </w:r>
      <w:r w:rsidRPr="00D910D8">
        <w:rPr>
          <w:rFonts w:cs="Times New Roman"/>
          <w:szCs w:val="24"/>
        </w:rPr>
        <w:t>”</w:t>
      </w:r>
      <w:r w:rsidR="00486F47" w:rsidRPr="00D910D8">
        <w:rPr>
          <w:rFonts w:cs="Times New Roman"/>
          <w:szCs w:val="24"/>
        </w:rPr>
        <w:t>.</w:t>
      </w:r>
      <w:r w:rsidRPr="00D910D8">
        <w:rPr>
          <w:rFonts w:cs="Times New Roman"/>
          <w:szCs w:val="24"/>
        </w:rPr>
        <w:t xml:space="preserve">  Consequently, if the </w:t>
      </w:r>
      <w:r w:rsidRPr="00D910D8">
        <w:rPr>
          <w:rFonts w:cs="Times New Roman"/>
          <w:i/>
          <w:szCs w:val="24"/>
        </w:rPr>
        <w:t xml:space="preserve">CRA </w:t>
      </w:r>
      <w:r w:rsidRPr="00D910D8">
        <w:rPr>
          <w:rFonts w:cs="Times New Roman"/>
          <w:szCs w:val="24"/>
        </w:rPr>
        <w:t xml:space="preserve">does not apply to Canada because it cannot qualify as a manufacturer, it is not open to Canada to argue that the more general </w:t>
      </w:r>
      <w:r w:rsidRPr="00D910D8">
        <w:rPr>
          <w:rFonts w:cs="Times New Roman"/>
          <w:i/>
          <w:szCs w:val="24"/>
        </w:rPr>
        <w:t xml:space="preserve">HCCRA </w:t>
      </w:r>
      <w:r w:rsidRPr="00D910D8">
        <w:rPr>
          <w:rFonts w:cs="Times New Roman"/>
          <w:szCs w:val="24"/>
        </w:rPr>
        <w:t>does not apply either.</w:t>
      </w:r>
    </w:p>
    <w:p w:rsidR="00B552F4" w:rsidRPr="00D910D8" w:rsidRDefault="002606F8" w:rsidP="006C78C6">
      <w:pPr>
        <w:pStyle w:val="ParaNoNdepar-AltN"/>
        <w:rPr>
          <w:rFonts w:cs="Times New Roman"/>
          <w:szCs w:val="24"/>
        </w:rPr>
      </w:pPr>
      <w:r w:rsidRPr="00D910D8">
        <w:rPr>
          <w:rFonts w:cs="Times New Roman"/>
          <w:szCs w:val="24"/>
        </w:rPr>
        <w:t xml:space="preserve">In my view, the tobacco companies cannot rely on the </w:t>
      </w:r>
      <w:r w:rsidRPr="00D910D8">
        <w:rPr>
          <w:rFonts w:cs="Times New Roman"/>
          <w:i/>
          <w:szCs w:val="24"/>
        </w:rPr>
        <w:t>HCCRA</w:t>
      </w:r>
      <w:r w:rsidRPr="00D910D8">
        <w:rPr>
          <w:rFonts w:cs="Times New Roman"/>
          <w:szCs w:val="24"/>
        </w:rPr>
        <w:t xml:space="preserve"> in a </w:t>
      </w:r>
      <w:r w:rsidRPr="00D910D8">
        <w:rPr>
          <w:rFonts w:cs="Times New Roman"/>
          <w:i/>
          <w:szCs w:val="24"/>
        </w:rPr>
        <w:t xml:space="preserve">CRA </w:t>
      </w:r>
      <w:r w:rsidRPr="00D910D8">
        <w:rPr>
          <w:rFonts w:cs="Times New Roman"/>
          <w:szCs w:val="24"/>
        </w:rPr>
        <w:t>action for contribution.  While it is true that Canada is incapable of committing a tobacco</w:t>
      </w:r>
      <w:r w:rsidR="00156E75" w:rsidRPr="00D910D8">
        <w:rPr>
          <w:rFonts w:cs="Times New Roman"/>
          <w:szCs w:val="24"/>
        </w:rPr>
        <w:t>-</w:t>
      </w:r>
      <w:r w:rsidRPr="00D910D8">
        <w:rPr>
          <w:rFonts w:cs="Times New Roman"/>
          <w:szCs w:val="24"/>
        </w:rPr>
        <w:t xml:space="preserve">related wrong itself if it is not a manufacturer, the underlying cause of action in this case is that </w:t>
      </w:r>
      <w:r w:rsidR="00CD7916" w:rsidRPr="00D910D8">
        <w:rPr>
          <w:rFonts w:cs="Times New Roman"/>
          <w:szCs w:val="24"/>
        </w:rPr>
        <w:t xml:space="preserve">it is </w:t>
      </w:r>
      <w:r w:rsidRPr="00D910D8">
        <w:rPr>
          <w:rFonts w:cs="Times New Roman"/>
          <w:szCs w:val="24"/>
        </w:rPr>
        <w:t xml:space="preserve">the defendants </w:t>
      </w:r>
      <w:r w:rsidR="00CD7916" w:rsidRPr="00D910D8">
        <w:rPr>
          <w:rFonts w:cs="Times New Roman"/>
          <w:szCs w:val="24"/>
        </w:rPr>
        <w:t xml:space="preserve">who </w:t>
      </w:r>
      <w:r w:rsidRPr="00D910D8">
        <w:rPr>
          <w:rFonts w:cs="Times New Roman"/>
          <w:szCs w:val="24"/>
        </w:rPr>
        <w:t>are alleged to have committed a tobacco</w:t>
      </w:r>
      <w:r w:rsidR="00156E75" w:rsidRPr="00D910D8">
        <w:rPr>
          <w:rFonts w:cs="Times New Roman"/>
          <w:szCs w:val="24"/>
        </w:rPr>
        <w:t>-</w:t>
      </w:r>
      <w:r w:rsidRPr="00D910D8">
        <w:rPr>
          <w:rFonts w:cs="Times New Roman"/>
          <w:szCs w:val="24"/>
        </w:rPr>
        <w:t xml:space="preserve">related wrong.  The </w:t>
      </w:r>
      <w:r w:rsidRPr="00D910D8">
        <w:rPr>
          <w:rFonts w:cs="Times New Roman"/>
          <w:i/>
          <w:szCs w:val="24"/>
        </w:rPr>
        <w:t>HCCRA</w:t>
      </w:r>
      <w:r w:rsidRPr="00D910D8">
        <w:rPr>
          <w:rFonts w:cs="Times New Roman"/>
          <w:szCs w:val="24"/>
        </w:rPr>
        <w:t xml:space="preserve"> specifies that it does not apply in cases “arising out of a tobacco related wrong as defined in the </w:t>
      </w:r>
      <w:r w:rsidRPr="00D910D8">
        <w:rPr>
          <w:rFonts w:cs="Times New Roman"/>
          <w:i/>
          <w:szCs w:val="24"/>
        </w:rPr>
        <w:t>Tobacco Damages and Health Care Costs Recovery Act</w:t>
      </w:r>
      <w:r w:rsidR="00121A9E" w:rsidRPr="00D910D8">
        <w:rPr>
          <w:rFonts w:cs="Times New Roman"/>
          <w:szCs w:val="24"/>
        </w:rPr>
        <w:t>”</w:t>
      </w:r>
      <w:r w:rsidR="00156E75" w:rsidRPr="00D910D8">
        <w:rPr>
          <w:rFonts w:cs="Times New Roman"/>
          <w:szCs w:val="24"/>
        </w:rPr>
        <w:t xml:space="preserve"> (s. 24(3)(b)</w:t>
      </w:r>
      <w:r w:rsidR="00883474" w:rsidRPr="00D910D8">
        <w:rPr>
          <w:rFonts w:cs="Times New Roman"/>
          <w:szCs w:val="24"/>
        </w:rPr>
        <w:t>)</w:t>
      </w:r>
      <w:r w:rsidR="00156E75" w:rsidRPr="00D910D8">
        <w:rPr>
          <w:rFonts w:cs="Times New Roman"/>
          <w:szCs w:val="24"/>
        </w:rPr>
        <w:t>.</w:t>
      </w:r>
      <w:r w:rsidR="00121A9E" w:rsidRPr="00D910D8">
        <w:rPr>
          <w:rFonts w:cs="Times New Roman"/>
          <w:szCs w:val="24"/>
        </w:rPr>
        <w:t xml:space="preserve">  T</w:t>
      </w:r>
      <w:r w:rsidRPr="00D910D8">
        <w:rPr>
          <w:rFonts w:cs="Times New Roman"/>
          <w:szCs w:val="24"/>
        </w:rPr>
        <w:t xml:space="preserve">his precludes contribution claims arising out of that Act.  </w:t>
      </w:r>
    </w:p>
    <w:p w:rsidR="000D7B99" w:rsidRPr="00D910D8" w:rsidRDefault="00156E75" w:rsidP="0066330D">
      <w:pPr>
        <w:pStyle w:val="TitleTitre-AltT"/>
        <w:tabs>
          <w:tab w:val="clear" w:pos="360"/>
          <w:tab w:val="left" w:pos="1170"/>
        </w:tabs>
        <w:spacing w:after="720"/>
        <w:ind w:left="1800" w:hanging="1800"/>
        <w:rPr>
          <w:rFonts w:cs="Times New Roman"/>
          <w:szCs w:val="24"/>
          <w:u w:val="single"/>
        </w:rPr>
      </w:pPr>
      <w:bookmarkStart w:id="48" w:name="sec4subsec2"/>
      <w:bookmarkEnd w:id="48"/>
      <w:r w:rsidRPr="00D910D8">
        <w:rPr>
          <w:rFonts w:cs="Times New Roman"/>
          <w:szCs w:val="24"/>
        </w:rPr>
        <w:tab/>
      </w:r>
      <w:bookmarkStart w:id="49" w:name="_Toc314733766"/>
      <w:r w:rsidRPr="00D910D8">
        <w:rPr>
          <w:rFonts w:cs="Times New Roman"/>
          <w:szCs w:val="24"/>
        </w:rPr>
        <w:t>(3</w:t>
      </w:r>
      <w:r w:rsidR="009A502E" w:rsidRPr="00D910D8">
        <w:rPr>
          <w:rFonts w:cs="Times New Roman"/>
          <w:szCs w:val="24"/>
        </w:rPr>
        <w:t>)</w:t>
      </w:r>
      <w:r w:rsidR="00C30AFF" w:rsidRPr="00D910D8">
        <w:rPr>
          <w:rFonts w:cs="Times New Roman"/>
          <w:szCs w:val="24"/>
        </w:rPr>
        <w:tab/>
      </w:r>
      <w:r w:rsidRPr="00D910D8">
        <w:rPr>
          <w:rFonts w:cs="Times New Roman"/>
          <w:szCs w:val="24"/>
          <w:u w:val="single"/>
        </w:rPr>
        <w:t>Could Canada B</w:t>
      </w:r>
      <w:r w:rsidR="002606F8" w:rsidRPr="00D910D8">
        <w:rPr>
          <w:rFonts w:cs="Times New Roman"/>
          <w:szCs w:val="24"/>
          <w:u w:val="single"/>
        </w:rPr>
        <w:t xml:space="preserve">e </w:t>
      </w:r>
      <w:r w:rsidR="00486F47" w:rsidRPr="00D910D8">
        <w:rPr>
          <w:rFonts w:cs="Times New Roman"/>
          <w:szCs w:val="24"/>
          <w:u w:val="single"/>
        </w:rPr>
        <w:t>L</w:t>
      </w:r>
      <w:r w:rsidR="002606F8" w:rsidRPr="00D910D8">
        <w:rPr>
          <w:rFonts w:cs="Times New Roman"/>
          <w:szCs w:val="24"/>
          <w:u w:val="single"/>
        </w:rPr>
        <w:t xml:space="preserve">iable for </w:t>
      </w:r>
      <w:r w:rsidR="00486F47" w:rsidRPr="00D910D8">
        <w:rPr>
          <w:rFonts w:cs="Times New Roman"/>
          <w:szCs w:val="24"/>
          <w:u w:val="single"/>
        </w:rPr>
        <w:t>C</w:t>
      </w:r>
      <w:r w:rsidRPr="00D910D8">
        <w:rPr>
          <w:rFonts w:cs="Times New Roman"/>
          <w:szCs w:val="24"/>
          <w:u w:val="single"/>
        </w:rPr>
        <w:t>ontribution U</w:t>
      </w:r>
      <w:r w:rsidR="002606F8" w:rsidRPr="00D910D8">
        <w:rPr>
          <w:rFonts w:cs="Times New Roman"/>
          <w:szCs w:val="24"/>
          <w:u w:val="single"/>
        </w:rPr>
        <w:t xml:space="preserve">nder the </w:t>
      </w:r>
      <w:r w:rsidR="002606F8" w:rsidRPr="00D910D8">
        <w:rPr>
          <w:rFonts w:cs="Times New Roman"/>
          <w:i/>
          <w:szCs w:val="24"/>
          <w:u w:val="single"/>
        </w:rPr>
        <w:t>Negligence Act</w:t>
      </w:r>
      <w:r w:rsidR="00CD7916" w:rsidRPr="00D910D8">
        <w:rPr>
          <w:rFonts w:cs="Times New Roman"/>
          <w:szCs w:val="24"/>
          <w:u w:val="single"/>
        </w:rPr>
        <w:t xml:space="preserve"> if I</w:t>
      </w:r>
      <w:r w:rsidRPr="00D910D8">
        <w:rPr>
          <w:rFonts w:cs="Times New Roman"/>
          <w:szCs w:val="24"/>
          <w:u w:val="single"/>
        </w:rPr>
        <w:t>t I</w:t>
      </w:r>
      <w:r w:rsidR="00712238" w:rsidRPr="00D910D8">
        <w:rPr>
          <w:rFonts w:cs="Times New Roman"/>
          <w:szCs w:val="24"/>
          <w:u w:val="single"/>
        </w:rPr>
        <w:t>s N</w:t>
      </w:r>
      <w:r w:rsidR="00486F47" w:rsidRPr="00D910D8">
        <w:rPr>
          <w:rFonts w:cs="Times New Roman"/>
          <w:szCs w:val="24"/>
          <w:u w:val="single"/>
        </w:rPr>
        <w:t>ot D</w:t>
      </w:r>
      <w:r w:rsidR="002606F8" w:rsidRPr="00D910D8">
        <w:rPr>
          <w:rFonts w:cs="Times New Roman"/>
          <w:szCs w:val="24"/>
          <w:u w:val="single"/>
        </w:rPr>
        <w:t xml:space="preserve">irectly </w:t>
      </w:r>
      <w:r w:rsidR="00486F47" w:rsidRPr="00D910D8">
        <w:rPr>
          <w:rFonts w:cs="Times New Roman"/>
          <w:szCs w:val="24"/>
          <w:u w:val="single"/>
        </w:rPr>
        <w:t>L</w:t>
      </w:r>
      <w:r w:rsidR="002606F8" w:rsidRPr="00D910D8">
        <w:rPr>
          <w:rFonts w:cs="Times New Roman"/>
          <w:szCs w:val="24"/>
          <w:u w:val="single"/>
        </w:rPr>
        <w:t>iable to British Columbia?</w:t>
      </w:r>
      <w:bookmarkEnd w:id="49"/>
    </w:p>
    <w:p w:rsidR="000D7B99" w:rsidRPr="00D910D8" w:rsidRDefault="006B1E0A" w:rsidP="004D2A3E">
      <w:pPr>
        <w:pStyle w:val="ParaNoNdepar-AltN"/>
        <w:rPr>
          <w:rFonts w:cs="Times New Roman"/>
          <w:szCs w:val="24"/>
        </w:rPr>
      </w:pPr>
      <w:r w:rsidRPr="00D910D8">
        <w:rPr>
          <w:rFonts w:cs="Times New Roman"/>
          <w:szCs w:val="24"/>
        </w:rPr>
        <w:t xml:space="preserve">RBH and Philip Morris </w:t>
      </w:r>
      <w:r w:rsidR="002606F8" w:rsidRPr="00D910D8">
        <w:rPr>
          <w:rFonts w:cs="Times New Roman"/>
          <w:szCs w:val="24"/>
        </w:rPr>
        <w:t xml:space="preserve">submit that even if Canada is not liable to British Columbia, it can still be held liable for contribution under the </w:t>
      </w:r>
      <w:r w:rsidR="002606F8" w:rsidRPr="00D910D8">
        <w:rPr>
          <w:rFonts w:cs="Times New Roman"/>
          <w:i/>
          <w:szCs w:val="24"/>
        </w:rPr>
        <w:t>Negligence Act</w:t>
      </w:r>
      <w:r w:rsidR="002606F8" w:rsidRPr="00D910D8">
        <w:rPr>
          <w:rFonts w:cs="Times New Roman"/>
          <w:szCs w:val="24"/>
        </w:rPr>
        <w:t xml:space="preserve">.  </w:t>
      </w:r>
      <w:r w:rsidRPr="00D910D8">
        <w:rPr>
          <w:rFonts w:cs="Times New Roman"/>
          <w:szCs w:val="24"/>
        </w:rPr>
        <w:t xml:space="preserve">They </w:t>
      </w:r>
      <w:r w:rsidR="002606F8" w:rsidRPr="00D910D8">
        <w:rPr>
          <w:rFonts w:cs="Times New Roman"/>
          <w:szCs w:val="24"/>
        </w:rPr>
        <w:lastRenderedPageBreak/>
        <w:t xml:space="preserve">argue that direct liability to the plaintiff is not a requirement for being held liable in contribution.  </w:t>
      </w:r>
    </w:p>
    <w:p w:rsidR="0064741C" w:rsidRPr="00D910D8" w:rsidRDefault="004D2A3E">
      <w:pPr>
        <w:pStyle w:val="ParaNoNdepar-AltN"/>
        <w:rPr>
          <w:rFonts w:cs="Times New Roman"/>
          <w:szCs w:val="24"/>
        </w:rPr>
      </w:pPr>
      <w:r w:rsidRPr="00D910D8">
        <w:rPr>
          <w:rFonts w:cs="Times New Roman"/>
          <w:szCs w:val="24"/>
        </w:rPr>
        <w:t xml:space="preserve">As noted above, I agree with </w:t>
      </w:r>
      <w:r w:rsidR="002606F8" w:rsidRPr="00D910D8">
        <w:rPr>
          <w:rFonts w:cs="Times New Roman"/>
          <w:szCs w:val="24"/>
        </w:rPr>
        <w:t>Canada</w:t>
      </w:r>
      <w:r w:rsidRPr="00D910D8">
        <w:rPr>
          <w:rFonts w:cs="Times New Roman"/>
          <w:szCs w:val="24"/>
        </w:rPr>
        <w:t>’s</w:t>
      </w:r>
      <w:r w:rsidR="002606F8" w:rsidRPr="00D910D8">
        <w:rPr>
          <w:rFonts w:cs="Times New Roman"/>
          <w:szCs w:val="24"/>
        </w:rPr>
        <w:t xml:space="preserve"> </w:t>
      </w:r>
      <w:r w:rsidRPr="00D910D8">
        <w:rPr>
          <w:rFonts w:cs="Times New Roman"/>
          <w:szCs w:val="24"/>
        </w:rPr>
        <w:t xml:space="preserve">submission that, following </w:t>
      </w:r>
      <w:r w:rsidRPr="00D910D8">
        <w:rPr>
          <w:rFonts w:cs="Times New Roman"/>
          <w:i/>
          <w:szCs w:val="24"/>
        </w:rPr>
        <w:t>Giffels</w:t>
      </w:r>
      <w:r w:rsidRPr="00D910D8">
        <w:rPr>
          <w:rFonts w:cs="Times New Roman"/>
          <w:szCs w:val="24"/>
        </w:rPr>
        <w:t xml:space="preserve">, </w:t>
      </w:r>
      <w:r w:rsidR="002606F8" w:rsidRPr="00D910D8">
        <w:rPr>
          <w:rFonts w:cs="Times New Roman"/>
          <w:szCs w:val="24"/>
        </w:rPr>
        <w:t xml:space="preserve">a party can only be liable for contribution if it is also liable to the plaintiff directly. </w:t>
      </w:r>
      <w:r w:rsidR="00121A9E" w:rsidRPr="00D910D8">
        <w:rPr>
          <w:rFonts w:cs="Times New Roman"/>
          <w:szCs w:val="24"/>
        </w:rPr>
        <w:t xml:space="preserve"> </w:t>
      </w:r>
    </w:p>
    <w:p w:rsidR="00DA3BF5" w:rsidRPr="00D910D8" w:rsidRDefault="002606F8" w:rsidP="006C78C6">
      <w:pPr>
        <w:pStyle w:val="ParaNoNdepar-AltN"/>
        <w:rPr>
          <w:rFonts w:cs="Times New Roman"/>
          <w:szCs w:val="24"/>
        </w:rPr>
      </w:pPr>
      <w:r w:rsidRPr="00D910D8">
        <w:rPr>
          <w:rFonts w:cs="Times New Roman"/>
          <w:szCs w:val="24"/>
        </w:rPr>
        <w:t xml:space="preserve">Accordingly, I would reject </w:t>
      </w:r>
      <w:r w:rsidR="006B1E0A" w:rsidRPr="00D910D8">
        <w:rPr>
          <w:rFonts w:cs="Times New Roman"/>
          <w:szCs w:val="24"/>
        </w:rPr>
        <w:t xml:space="preserve">the </w:t>
      </w:r>
      <w:r w:rsidR="00CD7916" w:rsidRPr="00D910D8">
        <w:rPr>
          <w:rFonts w:cs="Times New Roman"/>
          <w:szCs w:val="24"/>
        </w:rPr>
        <w:t xml:space="preserve">argument that the </w:t>
      </w:r>
      <w:r w:rsidR="00CD7916" w:rsidRPr="00D910D8">
        <w:rPr>
          <w:rFonts w:cs="Times New Roman"/>
          <w:i/>
          <w:szCs w:val="24"/>
        </w:rPr>
        <w:t>Negligence Act</w:t>
      </w:r>
      <w:r w:rsidRPr="00D910D8">
        <w:rPr>
          <w:rFonts w:cs="Times New Roman"/>
          <w:szCs w:val="24"/>
        </w:rPr>
        <w:t xml:space="preserve"> in British Columbia allows recovery from a third party that could not be liable to the plaintiff.</w:t>
      </w:r>
    </w:p>
    <w:p w:rsidR="00DA3BF5" w:rsidRPr="00D910D8" w:rsidRDefault="00CF0009" w:rsidP="0066330D">
      <w:pPr>
        <w:pStyle w:val="TitleTitre-AltT"/>
        <w:tabs>
          <w:tab w:val="clear" w:pos="360"/>
          <w:tab w:val="left" w:pos="1170"/>
        </w:tabs>
        <w:spacing w:after="720"/>
        <w:ind w:left="1800" w:hanging="1800"/>
        <w:rPr>
          <w:rFonts w:cs="Times New Roman"/>
          <w:szCs w:val="24"/>
        </w:rPr>
      </w:pPr>
      <w:bookmarkStart w:id="50" w:name="_Toc285751417"/>
      <w:r w:rsidRPr="00D910D8">
        <w:rPr>
          <w:rFonts w:cs="Times New Roman"/>
          <w:szCs w:val="24"/>
        </w:rPr>
        <w:tab/>
      </w:r>
      <w:bookmarkStart w:id="51" w:name="_Toc314733767"/>
      <w:r w:rsidR="009A502E" w:rsidRPr="00D910D8">
        <w:rPr>
          <w:rFonts w:cs="Times New Roman"/>
          <w:szCs w:val="24"/>
        </w:rPr>
        <w:t>(</w:t>
      </w:r>
      <w:r w:rsidRPr="00D910D8">
        <w:rPr>
          <w:rFonts w:cs="Times New Roman"/>
          <w:szCs w:val="24"/>
        </w:rPr>
        <w:t>4</w:t>
      </w:r>
      <w:r w:rsidR="009A502E" w:rsidRPr="00D910D8">
        <w:rPr>
          <w:rFonts w:cs="Times New Roman"/>
          <w:szCs w:val="24"/>
        </w:rPr>
        <w:t>)</w:t>
      </w:r>
      <w:r w:rsidR="001F2F0C" w:rsidRPr="00D910D8">
        <w:rPr>
          <w:rFonts w:cs="Times New Roman"/>
          <w:szCs w:val="24"/>
        </w:rPr>
        <w:tab/>
      </w:r>
      <w:r w:rsidR="002606F8" w:rsidRPr="00D910D8">
        <w:rPr>
          <w:rFonts w:cs="Times New Roman"/>
          <w:szCs w:val="24"/>
          <w:u w:val="single"/>
        </w:rPr>
        <w:t>C</w:t>
      </w:r>
      <w:r w:rsidR="00121A9E" w:rsidRPr="00D910D8">
        <w:rPr>
          <w:rFonts w:cs="Times New Roman"/>
          <w:szCs w:val="24"/>
          <w:u w:val="single"/>
        </w:rPr>
        <w:t>ould</w:t>
      </w:r>
      <w:r w:rsidR="002606F8" w:rsidRPr="00D910D8">
        <w:rPr>
          <w:rFonts w:cs="Times New Roman"/>
          <w:szCs w:val="24"/>
          <w:u w:val="single"/>
        </w:rPr>
        <w:t xml:space="preserve"> Canada </w:t>
      </w:r>
      <w:r w:rsidRPr="00D910D8">
        <w:rPr>
          <w:rFonts w:cs="Times New Roman"/>
          <w:szCs w:val="24"/>
          <w:u w:val="single"/>
        </w:rPr>
        <w:t>B</w:t>
      </w:r>
      <w:r w:rsidR="002606F8" w:rsidRPr="00D910D8">
        <w:rPr>
          <w:rFonts w:cs="Times New Roman"/>
          <w:szCs w:val="24"/>
          <w:u w:val="single"/>
        </w:rPr>
        <w:t xml:space="preserve">e </w:t>
      </w:r>
      <w:r w:rsidR="00486F47" w:rsidRPr="00D910D8">
        <w:rPr>
          <w:rFonts w:cs="Times New Roman"/>
          <w:szCs w:val="24"/>
          <w:u w:val="single"/>
        </w:rPr>
        <w:t>L</w:t>
      </w:r>
      <w:r w:rsidR="002606F8" w:rsidRPr="00D910D8">
        <w:rPr>
          <w:rFonts w:cs="Times New Roman"/>
          <w:szCs w:val="24"/>
          <w:u w:val="single"/>
        </w:rPr>
        <w:t xml:space="preserve">iable for </w:t>
      </w:r>
      <w:r w:rsidR="00486F47" w:rsidRPr="00D910D8">
        <w:rPr>
          <w:rFonts w:cs="Times New Roman"/>
          <w:szCs w:val="24"/>
          <w:u w:val="single"/>
        </w:rPr>
        <w:t>Common L</w:t>
      </w:r>
      <w:r w:rsidR="002606F8" w:rsidRPr="00D910D8">
        <w:rPr>
          <w:rFonts w:cs="Times New Roman"/>
          <w:szCs w:val="24"/>
          <w:u w:val="single"/>
        </w:rPr>
        <w:t xml:space="preserve">aw </w:t>
      </w:r>
      <w:bookmarkEnd w:id="50"/>
      <w:r w:rsidR="00486F47" w:rsidRPr="00D910D8">
        <w:rPr>
          <w:rFonts w:cs="Times New Roman"/>
          <w:szCs w:val="24"/>
          <w:u w:val="single"/>
        </w:rPr>
        <w:t>C</w:t>
      </w:r>
      <w:r w:rsidR="002606F8" w:rsidRPr="00D910D8">
        <w:rPr>
          <w:rFonts w:cs="Times New Roman"/>
          <w:szCs w:val="24"/>
          <w:u w:val="single"/>
        </w:rPr>
        <w:t>ontribution?</w:t>
      </w:r>
      <w:bookmarkEnd w:id="51"/>
    </w:p>
    <w:p w:rsidR="0030264D" w:rsidRPr="00D910D8" w:rsidRDefault="006B1E0A" w:rsidP="006C78C6">
      <w:pPr>
        <w:pStyle w:val="ParaNoNdepar-AltN"/>
        <w:rPr>
          <w:rFonts w:cs="Times New Roman"/>
          <w:szCs w:val="24"/>
        </w:rPr>
      </w:pPr>
      <w:r w:rsidRPr="00D910D8">
        <w:rPr>
          <w:rFonts w:cs="Times New Roman"/>
          <w:szCs w:val="24"/>
        </w:rPr>
        <w:t xml:space="preserve">RBH and Philip Morris </w:t>
      </w:r>
      <w:r w:rsidR="002606F8" w:rsidRPr="00D910D8">
        <w:rPr>
          <w:rFonts w:cs="Times New Roman"/>
          <w:szCs w:val="24"/>
        </w:rPr>
        <w:t xml:space="preserve">submit that if this Court rejects the contribution claim under the </w:t>
      </w:r>
      <w:r w:rsidR="002606F8" w:rsidRPr="00D910D8">
        <w:rPr>
          <w:rFonts w:cs="Times New Roman"/>
          <w:i/>
          <w:szCs w:val="24"/>
        </w:rPr>
        <w:t>Negligence Act</w:t>
      </w:r>
      <w:r w:rsidR="00121A9E" w:rsidRPr="00D910D8">
        <w:rPr>
          <w:rFonts w:cs="Times New Roman"/>
          <w:szCs w:val="24"/>
        </w:rPr>
        <w:t>,</w:t>
      </w:r>
      <w:r w:rsidR="002606F8" w:rsidRPr="00D910D8">
        <w:rPr>
          <w:rFonts w:cs="Times New Roman"/>
          <w:szCs w:val="24"/>
        </w:rPr>
        <w:t xml:space="preserve"> it should allow a contribution claim under the common law.  </w:t>
      </w:r>
      <w:r w:rsidRPr="00D910D8">
        <w:rPr>
          <w:rFonts w:cs="Times New Roman"/>
          <w:szCs w:val="24"/>
        </w:rPr>
        <w:t xml:space="preserve">They rely </w:t>
      </w:r>
      <w:r w:rsidR="002606F8" w:rsidRPr="00D910D8">
        <w:rPr>
          <w:rFonts w:cs="Times New Roman"/>
          <w:szCs w:val="24"/>
        </w:rPr>
        <w:t xml:space="preserve">on this Court’s decisions in </w:t>
      </w:r>
      <w:r w:rsidR="002606F8" w:rsidRPr="00D910D8">
        <w:rPr>
          <w:rFonts w:cs="Times New Roman"/>
          <w:i/>
          <w:szCs w:val="24"/>
        </w:rPr>
        <w:t>Bow Valley</w:t>
      </w:r>
      <w:r w:rsidR="00486F47" w:rsidRPr="00D910D8">
        <w:rPr>
          <w:rFonts w:cs="Times New Roman"/>
          <w:szCs w:val="24"/>
        </w:rPr>
        <w:t xml:space="preserve"> </w:t>
      </w:r>
      <w:r w:rsidR="002606F8" w:rsidRPr="00D910D8">
        <w:rPr>
          <w:rFonts w:cs="Times New Roman"/>
          <w:szCs w:val="24"/>
        </w:rPr>
        <w:t xml:space="preserve">and </w:t>
      </w:r>
      <w:r w:rsidR="002606F8" w:rsidRPr="00D910D8">
        <w:rPr>
          <w:rFonts w:cs="Times New Roman"/>
          <w:i/>
          <w:szCs w:val="24"/>
        </w:rPr>
        <w:t>Blackwater v. Plint</w:t>
      </w:r>
      <w:r w:rsidR="002606F8" w:rsidRPr="00D910D8">
        <w:rPr>
          <w:rFonts w:cs="Times New Roman"/>
          <w:szCs w:val="24"/>
        </w:rPr>
        <w:t xml:space="preserve">, </w:t>
      </w:r>
      <w:r w:rsidR="00CF0009" w:rsidRPr="00D910D8">
        <w:rPr>
          <w:rFonts w:cs="Times New Roman"/>
          <w:szCs w:val="24"/>
        </w:rPr>
        <w:t xml:space="preserve">2005 SCC 58, </w:t>
      </w:r>
      <w:r w:rsidR="002606F8" w:rsidRPr="00D910D8">
        <w:rPr>
          <w:rFonts w:cs="Times New Roman"/>
          <w:szCs w:val="24"/>
        </w:rPr>
        <w:t>[2005] 3 S.C.R. 3</w:t>
      </w:r>
      <w:r w:rsidR="00CB3966" w:rsidRPr="00D910D8">
        <w:rPr>
          <w:rFonts w:cs="Times New Roman"/>
          <w:szCs w:val="24"/>
        </w:rPr>
        <w:t>,</w:t>
      </w:r>
      <w:r w:rsidR="002606F8" w:rsidRPr="00D910D8">
        <w:rPr>
          <w:rFonts w:cs="Times New Roman"/>
          <w:szCs w:val="24"/>
        </w:rPr>
        <w:t xml:space="preserve"> in which this Court recognized claims of contribution which were not permitted by statute. </w:t>
      </w:r>
    </w:p>
    <w:p w:rsidR="0030264D" w:rsidRPr="00D910D8" w:rsidRDefault="002606F8" w:rsidP="006C78C6">
      <w:pPr>
        <w:pStyle w:val="ParaNoNdepar-AltN"/>
        <w:rPr>
          <w:rFonts w:cs="Times New Roman"/>
          <w:szCs w:val="24"/>
        </w:rPr>
      </w:pPr>
      <w:r w:rsidRPr="00D910D8">
        <w:rPr>
          <w:rFonts w:cs="Times New Roman"/>
          <w:szCs w:val="24"/>
        </w:rPr>
        <w:t xml:space="preserve">I would reject this argument.  In my view, the cases cited by </w:t>
      </w:r>
      <w:r w:rsidR="006B1E0A" w:rsidRPr="00D910D8">
        <w:rPr>
          <w:rFonts w:cs="Times New Roman"/>
          <w:szCs w:val="24"/>
        </w:rPr>
        <w:t xml:space="preserve">RBH and Philip Morris </w:t>
      </w:r>
      <w:r w:rsidRPr="00D910D8">
        <w:rPr>
          <w:rFonts w:cs="Times New Roman"/>
          <w:szCs w:val="24"/>
        </w:rPr>
        <w:t xml:space="preserve">support common law contribution claims </w:t>
      </w:r>
      <w:r w:rsidR="00121A9E" w:rsidRPr="00D910D8">
        <w:rPr>
          <w:rFonts w:cs="Times New Roman"/>
          <w:szCs w:val="24"/>
        </w:rPr>
        <w:t xml:space="preserve">only </w:t>
      </w:r>
      <w:r w:rsidRPr="00D910D8">
        <w:rPr>
          <w:rFonts w:cs="Times New Roman"/>
          <w:szCs w:val="24"/>
        </w:rPr>
        <w:t xml:space="preserve">if the third party is directly liable to the plaintiff.  In </w:t>
      </w:r>
      <w:r w:rsidRPr="00D910D8">
        <w:rPr>
          <w:rFonts w:cs="Times New Roman"/>
          <w:i/>
          <w:szCs w:val="24"/>
        </w:rPr>
        <w:t>Bow Valley</w:t>
      </w:r>
      <w:r w:rsidRPr="00D910D8">
        <w:rPr>
          <w:rFonts w:cs="Times New Roman"/>
          <w:szCs w:val="24"/>
        </w:rPr>
        <w:t>, the Court recogni</w:t>
      </w:r>
      <w:r w:rsidR="00CF0009" w:rsidRPr="00D910D8">
        <w:rPr>
          <w:rFonts w:cs="Times New Roman"/>
          <w:szCs w:val="24"/>
        </w:rPr>
        <w:t>z</w:t>
      </w:r>
      <w:r w:rsidRPr="00D910D8">
        <w:rPr>
          <w:rFonts w:cs="Times New Roman"/>
          <w:szCs w:val="24"/>
        </w:rPr>
        <w:t>ed a limited right of co</w:t>
      </w:r>
      <w:r w:rsidR="00CF0009" w:rsidRPr="00D910D8">
        <w:rPr>
          <w:rFonts w:cs="Times New Roman"/>
          <w:szCs w:val="24"/>
        </w:rPr>
        <w:t>ntribution “between tortfeasors</w:t>
      </w:r>
      <w:r w:rsidRPr="00D910D8">
        <w:rPr>
          <w:rFonts w:cs="Times New Roman"/>
          <w:szCs w:val="24"/>
        </w:rPr>
        <w:t>”</w:t>
      </w:r>
      <w:r w:rsidR="00CF0009" w:rsidRPr="00D910D8">
        <w:rPr>
          <w:rFonts w:cs="Times New Roman"/>
          <w:szCs w:val="24"/>
        </w:rPr>
        <w:t>,</w:t>
      </w:r>
      <w:r w:rsidRPr="00D910D8">
        <w:rPr>
          <w:rFonts w:cs="Times New Roman"/>
          <w:szCs w:val="24"/>
        </w:rPr>
        <w:t xml:space="preserve"> and noted that the defendants were “jointly and </w:t>
      </w:r>
      <w:r w:rsidRPr="00D910D8">
        <w:rPr>
          <w:rFonts w:cs="Times New Roman"/>
          <w:szCs w:val="24"/>
        </w:rPr>
        <w:lastRenderedPageBreak/>
        <w:t>severally liable to the plaintiff” (paras. 101</w:t>
      </w:r>
      <w:r w:rsidR="00CF0009" w:rsidRPr="00D910D8">
        <w:rPr>
          <w:rFonts w:cs="Times New Roman"/>
          <w:szCs w:val="24"/>
        </w:rPr>
        <w:t xml:space="preserve"> and</w:t>
      </w:r>
      <w:r w:rsidRPr="00D910D8">
        <w:rPr>
          <w:rFonts w:cs="Times New Roman"/>
          <w:szCs w:val="24"/>
        </w:rPr>
        <w:t xml:space="preserve"> </w:t>
      </w:r>
      <w:r w:rsidR="00A719C6" w:rsidRPr="00D910D8">
        <w:rPr>
          <w:rFonts w:cs="Times New Roman"/>
          <w:szCs w:val="24"/>
        </w:rPr>
        <w:t>1</w:t>
      </w:r>
      <w:r w:rsidRPr="00D910D8">
        <w:rPr>
          <w:rFonts w:cs="Times New Roman"/>
          <w:szCs w:val="24"/>
        </w:rPr>
        <w:t>02)</w:t>
      </w:r>
      <w:r w:rsidR="00486F47" w:rsidRPr="00D910D8">
        <w:rPr>
          <w:rFonts w:cs="Times New Roman"/>
          <w:szCs w:val="24"/>
        </w:rPr>
        <w:t>.</w:t>
      </w:r>
      <w:r w:rsidRPr="00D910D8">
        <w:rPr>
          <w:rFonts w:cs="Times New Roman"/>
          <w:szCs w:val="24"/>
        </w:rPr>
        <w:t xml:space="preserve">  A similar point was </w:t>
      </w:r>
      <w:r w:rsidR="00486F47" w:rsidRPr="00D910D8">
        <w:rPr>
          <w:rFonts w:cs="Times New Roman"/>
          <w:szCs w:val="24"/>
        </w:rPr>
        <w:t xml:space="preserve">made </w:t>
      </w:r>
      <w:r w:rsidRPr="00D910D8">
        <w:rPr>
          <w:rFonts w:cs="Times New Roman"/>
          <w:szCs w:val="24"/>
        </w:rPr>
        <w:t xml:space="preserve">by this Court in </w:t>
      </w:r>
      <w:r w:rsidRPr="00D910D8">
        <w:rPr>
          <w:rFonts w:cs="Times New Roman"/>
          <w:i/>
          <w:szCs w:val="24"/>
        </w:rPr>
        <w:t xml:space="preserve">Blackwater </w:t>
      </w:r>
      <w:r w:rsidRPr="00D910D8">
        <w:rPr>
          <w:rFonts w:cs="Times New Roman"/>
          <w:szCs w:val="24"/>
        </w:rPr>
        <w:t>(</w:t>
      </w:r>
      <w:r w:rsidRPr="00D910D8">
        <w:rPr>
          <w:rFonts w:cs="Times New Roman"/>
          <w:i/>
          <w:szCs w:val="24"/>
        </w:rPr>
        <w:t>per</w:t>
      </w:r>
      <w:r w:rsidRPr="00D910D8">
        <w:rPr>
          <w:rFonts w:cs="Times New Roman"/>
          <w:szCs w:val="24"/>
        </w:rPr>
        <w:t xml:space="preserve"> McLachlin C.J.), which stated that </w:t>
      </w:r>
      <w:r w:rsidR="00486F47" w:rsidRPr="00D910D8">
        <w:rPr>
          <w:rFonts w:cs="Times New Roman"/>
          <w:szCs w:val="24"/>
        </w:rPr>
        <w:t xml:space="preserve">a </w:t>
      </w:r>
      <w:r w:rsidRPr="00D910D8">
        <w:rPr>
          <w:rFonts w:cs="Times New Roman"/>
          <w:szCs w:val="24"/>
        </w:rPr>
        <w:t xml:space="preserve">“common law right of contribution </w:t>
      </w:r>
      <w:r w:rsidRPr="00D910D8">
        <w:rPr>
          <w:rFonts w:cs="Times New Roman"/>
          <w:szCs w:val="24"/>
          <w:u w:val="single"/>
        </w:rPr>
        <w:t>between tortfeasors</w:t>
      </w:r>
      <w:r w:rsidR="00486F47" w:rsidRPr="00D910D8">
        <w:rPr>
          <w:rFonts w:cs="Times New Roman"/>
          <w:szCs w:val="24"/>
        </w:rPr>
        <w:t xml:space="preserve"> may exist</w:t>
      </w:r>
      <w:r w:rsidRPr="00D910D8">
        <w:rPr>
          <w:rFonts w:cs="Times New Roman"/>
          <w:szCs w:val="24"/>
        </w:rPr>
        <w:t>” (para. 68</w:t>
      </w:r>
      <w:r w:rsidR="00CF0009" w:rsidRPr="00D910D8">
        <w:rPr>
          <w:rFonts w:cs="Times New Roman"/>
          <w:szCs w:val="24"/>
        </w:rPr>
        <w:t xml:space="preserve"> (emphasis added)</w:t>
      </w:r>
      <w:r w:rsidRPr="00D910D8">
        <w:rPr>
          <w:rFonts w:cs="Times New Roman"/>
          <w:szCs w:val="24"/>
        </w:rPr>
        <w:t>)</w:t>
      </w:r>
      <w:r w:rsidR="00486F47" w:rsidRPr="00D910D8">
        <w:rPr>
          <w:rFonts w:cs="Times New Roman"/>
          <w:szCs w:val="24"/>
        </w:rPr>
        <w:t>.</w:t>
      </w:r>
      <w:r w:rsidRPr="00D910D8">
        <w:rPr>
          <w:rFonts w:cs="Times New Roman"/>
          <w:szCs w:val="24"/>
        </w:rPr>
        <w:t xml:space="preserve">  There is no support in our jurisprudence for allowing contribution claims in cases where the third party is not liable to the plaintiff.</w:t>
      </w:r>
    </w:p>
    <w:p w:rsidR="009771B3" w:rsidRPr="00D910D8" w:rsidRDefault="00CF0009" w:rsidP="0066330D">
      <w:pPr>
        <w:pStyle w:val="TitleTitre-AltT"/>
        <w:tabs>
          <w:tab w:val="clear" w:pos="360"/>
          <w:tab w:val="left" w:pos="540"/>
        </w:tabs>
        <w:spacing w:after="720"/>
        <w:ind w:left="540" w:hanging="540"/>
        <w:rPr>
          <w:rFonts w:cs="Times New Roman"/>
          <w:szCs w:val="24"/>
        </w:rPr>
      </w:pPr>
      <w:bookmarkStart w:id="52" w:name="_Toc285751419"/>
      <w:bookmarkStart w:id="53" w:name="_Toc285751663"/>
      <w:bookmarkStart w:id="54" w:name="_Toc314733768"/>
      <w:r w:rsidRPr="00D910D8">
        <w:rPr>
          <w:rFonts w:cs="Times New Roman"/>
          <w:szCs w:val="24"/>
        </w:rPr>
        <w:t>G</w:t>
      </w:r>
      <w:r w:rsidR="006C78C6" w:rsidRPr="00D910D8">
        <w:rPr>
          <w:rFonts w:cs="Times New Roman"/>
          <w:szCs w:val="24"/>
        </w:rPr>
        <w:t>.</w:t>
      </w:r>
      <w:r w:rsidR="006C78C6" w:rsidRPr="00D910D8">
        <w:rPr>
          <w:rFonts w:cs="Times New Roman"/>
          <w:szCs w:val="24"/>
        </w:rPr>
        <w:tab/>
      </w:r>
      <w:r w:rsidR="002606F8" w:rsidRPr="00D910D8">
        <w:rPr>
          <w:rFonts w:cs="Times New Roman"/>
          <w:i/>
          <w:szCs w:val="24"/>
        </w:rPr>
        <w:t xml:space="preserve">Liability </w:t>
      </w:r>
      <w:proofErr w:type="gramStart"/>
      <w:r w:rsidR="002606F8" w:rsidRPr="00D910D8">
        <w:rPr>
          <w:rFonts w:cs="Times New Roman"/>
          <w:i/>
          <w:szCs w:val="24"/>
        </w:rPr>
        <w:t>Under</w:t>
      </w:r>
      <w:proofErr w:type="gramEnd"/>
      <w:r w:rsidR="002606F8" w:rsidRPr="00D910D8">
        <w:rPr>
          <w:rFonts w:cs="Times New Roman"/>
          <w:i/>
          <w:szCs w:val="24"/>
        </w:rPr>
        <w:t xml:space="preserve"> the</w:t>
      </w:r>
      <w:r w:rsidR="002606F8" w:rsidRPr="00D910D8">
        <w:rPr>
          <w:rFonts w:cs="Times New Roman"/>
          <w:szCs w:val="24"/>
        </w:rPr>
        <w:t xml:space="preserve"> </w:t>
      </w:r>
      <w:r w:rsidR="002606F8" w:rsidRPr="00D910D8">
        <w:rPr>
          <w:rFonts w:cs="Times New Roman"/>
          <w:i/>
          <w:szCs w:val="24"/>
        </w:rPr>
        <w:t>T</w:t>
      </w:r>
      <w:r w:rsidRPr="00D910D8">
        <w:rPr>
          <w:rFonts w:cs="Times New Roman"/>
          <w:i/>
          <w:szCs w:val="24"/>
        </w:rPr>
        <w:t xml:space="preserve">rade </w:t>
      </w:r>
      <w:r w:rsidR="002606F8" w:rsidRPr="00D910D8">
        <w:rPr>
          <w:rFonts w:cs="Times New Roman"/>
          <w:i/>
          <w:szCs w:val="24"/>
        </w:rPr>
        <w:t>P</w:t>
      </w:r>
      <w:r w:rsidR="00712238" w:rsidRPr="00D910D8">
        <w:rPr>
          <w:rFonts w:cs="Times New Roman"/>
          <w:i/>
          <w:szCs w:val="24"/>
        </w:rPr>
        <w:t>ractice</w:t>
      </w:r>
      <w:r w:rsidRPr="00D910D8">
        <w:rPr>
          <w:rFonts w:cs="Times New Roman"/>
          <w:i/>
          <w:szCs w:val="24"/>
        </w:rPr>
        <w:t xml:space="preserve"> </w:t>
      </w:r>
      <w:r w:rsidR="002606F8" w:rsidRPr="00D910D8">
        <w:rPr>
          <w:rFonts w:cs="Times New Roman"/>
          <w:i/>
          <w:szCs w:val="24"/>
        </w:rPr>
        <w:t>A</w:t>
      </w:r>
      <w:r w:rsidRPr="00D910D8">
        <w:rPr>
          <w:rFonts w:cs="Times New Roman"/>
          <w:i/>
          <w:szCs w:val="24"/>
        </w:rPr>
        <w:t>ct</w:t>
      </w:r>
      <w:r w:rsidR="002606F8" w:rsidRPr="00D910D8">
        <w:rPr>
          <w:rFonts w:cs="Times New Roman"/>
          <w:i/>
          <w:szCs w:val="24"/>
        </w:rPr>
        <w:t xml:space="preserve"> and</w:t>
      </w:r>
      <w:r w:rsidR="00883474" w:rsidRPr="00D910D8">
        <w:rPr>
          <w:rFonts w:cs="Times New Roman"/>
          <w:i/>
          <w:szCs w:val="24"/>
        </w:rPr>
        <w:t xml:space="preserve"> the</w:t>
      </w:r>
      <w:r w:rsidR="002606F8" w:rsidRPr="00D910D8">
        <w:rPr>
          <w:rFonts w:cs="Times New Roman"/>
          <w:i/>
          <w:szCs w:val="24"/>
        </w:rPr>
        <w:t xml:space="preserve"> B</w:t>
      </w:r>
      <w:r w:rsidRPr="00D910D8">
        <w:rPr>
          <w:rFonts w:cs="Times New Roman"/>
          <w:i/>
          <w:szCs w:val="24"/>
        </w:rPr>
        <w:t xml:space="preserve">usiness </w:t>
      </w:r>
      <w:r w:rsidR="002606F8" w:rsidRPr="00D910D8">
        <w:rPr>
          <w:rFonts w:cs="Times New Roman"/>
          <w:i/>
          <w:szCs w:val="24"/>
        </w:rPr>
        <w:t>P</w:t>
      </w:r>
      <w:r w:rsidRPr="00D910D8">
        <w:rPr>
          <w:rFonts w:cs="Times New Roman"/>
          <w:i/>
          <w:szCs w:val="24"/>
        </w:rPr>
        <w:t xml:space="preserve">ractices and </w:t>
      </w:r>
      <w:r w:rsidR="002606F8" w:rsidRPr="00D910D8">
        <w:rPr>
          <w:rFonts w:cs="Times New Roman"/>
          <w:i/>
          <w:szCs w:val="24"/>
        </w:rPr>
        <w:t>C</w:t>
      </w:r>
      <w:r w:rsidRPr="00D910D8">
        <w:rPr>
          <w:rFonts w:cs="Times New Roman"/>
          <w:i/>
          <w:szCs w:val="24"/>
        </w:rPr>
        <w:t xml:space="preserve">onsumer </w:t>
      </w:r>
      <w:r w:rsidR="002606F8" w:rsidRPr="00D910D8">
        <w:rPr>
          <w:rFonts w:cs="Times New Roman"/>
          <w:i/>
          <w:szCs w:val="24"/>
        </w:rPr>
        <w:t>P</w:t>
      </w:r>
      <w:r w:rsidRPr="00D910D8">
        <w:rPr>
          <w:rFonts w:cs="Times New Roman"/>
          <w:i/>
          <w:szCs w:val="24"/>
        </w:rPr>
        <w:t xml:space="preserve">rotection </w:t>
      </w:r>
      <w:r w:rsidR="002606F8" w:rsidRPr="00D910D8">
        <w:rPr>
          <w:rFonts w:cs="Times New Roman"/>
          <w:i/>
          <w:szCs w:val="24"/>
        </w:rPr>
        <w:t>A</w:t>
      </w:r>
      <w:bookmarkEnd w:id="52"/>
      <w:bookmarkEnd w:id="53"/>
      <w:r w:rsidRPr="00D910D8">
        <w:rPr>
          <w:rFonts w:cs="Times New Roman"/>
          <w:i/>
          <w:szCs w:val="24"/>
        </w:rPr>
        <w:t>ct</w:t>
      </w:r>
      <w:bookmarkEnd w:id="54"/>
    </w:p>
    <w:p w:rsidR="009A1837" w:rsidRPr="00D910D8" w:rsidRDefault="00CD7916" w:rsidP="006C78C6">
      <w:pPr>
        <w:pStyle w:val="ParaNoNdepar-AltN"/>
        <w:rPr>
          <w:rFonts w:cs="Times New Roman"/>
          <w:szCs w:val="24"/>
        </w:rPr>
      </w:pPr>
      <w:r w:rsidRPr="00D910D8">
        <w:rPr>
          <w:rFonts w:cs="Times New Roman"/>
          <w:szCs w:val="24"/>
        </w:rPr>
        <w:t xml:space="preserve">In the </w:t>
      </w:r>
      <w:r w:rsidRPr="00D910D8">
        <w:rPr>
          <w:rFonts w:cs="Times New Roman"/>
          <w:i/>
          <w:szCs w:val="24"/>
        </w:rPr>
        <w:t>Knight</w:t>
      </w:r>
      <w:r w:rsidRPr="00D910D8">
        <w:rPr>
          <w:rFonts w:cs="Times New Roman"/>
          <w:szCs w:val="24"/>
        </w:rPr>
        <w:t xml:space="preserve"> case, </w:t>
      </w:r>
      <w:r w:rsidR="002606F8" w:rsidRPr="00D910D8">
        <w:rPr>
          <w:rFonts w:cs="Times New Roman"/>
          <w:szCs w:val="24"/>
        </w:rPr>
        <w:t xml:space="preserve">Imperial alleges that Canada satisfies the definition of a “supplier” under the </w:t>
      </w:r>
      <w:r w:rsidR="00121A9E" w:rsidRPr="00D910D8">
        <w:rPr>
          <w:rFonts w:cs="Times New Roman"/>
          <w:i/>
          <w:szCs w:val="24"/>
        </w:rPr>
        <w:t>Trade Practice Act</w:t>
      </w:r>
      <w:r w:rsidR="00121A9E" w:rsidRPr="00D910D8">
        <w:rPr>
          <w:rFonts w:cs="Times New Roman"/>
          <w:szCs w:val="24"/>
        </w:rPr>
        <w:t xml:space="preserve"> (</w:t>
      </w:r>
      <w:r w:rsidR="00712238" w:rsidRPr="00D910D8">
        <w:rPr>
          <w:rFonts w:cs="Times New Roman"/>
          <w:szCs w:val="24"/>
        </w:rPr>
        <w:t>“</w:t>
      </w:r>
      <w:r w:rsidR="00486F47" w:rsidRPr="00D910D8">
        <w:rPr>
          <w:rFonts w:cs="Times New Roman"/>
          <w:i/>
          <w:szCs w:val="24"/>
        </w:rPr>
        <w:t>TPA</w:t>
      </w:r>
      <w:r w:rsidR="00712238" w:rsidRPr="00D910D8">
        <w:rPr>
          <w:rFonts w:cs="Times New Roman"/>
          <w:szCs w:val="24"/>
        </w:rPr>
        <w:t>”</w:t>
      </w:r>
      <w:r w:rsidR="00121A9E" w:rsidRPr="00D910D8">
        <w:rPr>
          <w:rFonts w:cs="Times New Roman"/>
          <w:szCs w:val="24"/>
        </w:rPr>
        <w:t>)</w:t>
      </w:r>
      <w:r w:rsidR="002606F8" w:rsidRPr="00D910D8">
        <w:rPr>
          <w:rFonts w:cs="Times New Roman"/>
          <w:szCs w:val="24"/>
        </w:rPr>
        <w:t xml:space="preserve"> and the </w:t>
      </w:r>
      <w:r w:rsidR="00121A9E" w:rsidRPr="00D910D8">
        <w:rPr>
          <w:rFonts w:cs="Times New Roman"/>
          <w:i/>
          <w:szCs w:val="24"/>
        </w:rPr>
        <w:t>Business Practices and Consumer Protection Act</w:t>
      </w:r>
      <w:r w:rsidR="00121A9E" w:rsidRPr="00D910D8">
        <w:rPr>
          <w:rFonts w:cs="Times New Roman"/>
          <w:szCs w:val="24"/>
        </w:rPr>
        <w:t xml:space="preserve"> (</w:t>
      </w:r>
      <w:r w:rsidR="00712238" w:rsidRPr="00D910D8">
        <w:rPr>
          <w:rFonts w:cs="Times New Roman"/>
          <w:szCs w:val="24"/>
        </w:rPr>
        <w:t>“</w:t>
      </w:r>
      <w:r w:rsidR="002606F8" w:rsidRPr="00D910D8">
        <w:rPr>
          <w:rFonts w:cs="Times New Roman"/>
          <w:bCs/>
          <w:i/>
          <w:szCs w:val="24"/>
        </w:rPr>
        <w:t>BPCPA</w:t>
      </w:r>
      <w:r w:rsidR="00712238" w:rsidRPr="00D910D8">
        <w:rPr>
          <w:rFonts w:cs="Times New Roman"/>
          <w:bCs/>
          <w:szCs w:val="24"/>
        </w:rPr>
        <w:t>”</w:t>
      </w:r>
      <w:r w:rsidR="00121A9E" w:rsidRPr="00D910D8">
        <w:rPr>
          <w:rFonts w:cs="Times New Roman"/>
          <w:bCs/>
          <w:szCs w:val="24"/>
        </w:rPr>
        <w:t>)</w:t>
      </w:r>
      <w:r w:rsidR="002606F8" w:rsidRPr="00D910D8">
        <w:rPr>
          <w:rFonts w:cs="Times New Roman"/>
          <w:szCs w:val="24"/>
        </w:rPr>
        <w:t xml:space="preserve">.  The </w:t>
      </w:r>
      <w:r w:rsidR="002606F8" w:rsidRPr="00D910D8">
        <w:rPr>
          <w:rFonts w:cs="Times New Roman"/>
          <w:i/>
          <w:szCs w:val="24"/>
        </w:rPr>
        <w:t xml:space="preserve">TPA </w:t>
      </w:r>
      <w:r w:rsidR="002606F8" w:rsidRPr="00D910D8">
        <w:rPr>
          <w:rFonts w:cs="Times New Roman"/>
          <w:szCs w:val="24"/>
        </w:rPr>
        <w:t xml:space="preserve">was repealed and replaced by the </w:t>
      </w:r>
      <w:r w:rsidR="002606F8" w:rsidRPr="00D910D8">
        <w:rPr>
          <w:rFonts w:cs="Times New Roman"/>
          <w:i/>
          <w:szCs w:val="24"/>
        </w:rPr>
        <w:t xml:space="preserve">BPCPA </w:t>
      </w:r>
      <w:r w:rsidRPr="00D910D8">
        <w:rPr>
          <w:rFonts w:cs="Times New Roman"/>
          <w:szCs w:val="24"/>
        </w:rPr>
        <w:t>in 2004</w:t>
      </w:r>
      <w:r w:rsidR="002606F8" w:rsidRPr="00D910D8">
        <w:rPr>
          <w:rFonts w:cs="Times New Roman"/>
          <w:szCs w:val="24"/>
        </w:rPr>
        <w:t>.  Imperial argues that the Court of Appeal erred in striking its claim</w:t>
      </w:r>
      <w:r w:rsidR="00121A9E" w:rsidRPr="00D910D8">
        <w:rPr>
          <w:rFonts w:cs="Times New Roman"/>
          <w:szCs w:val="24"/>
        </w:rPr>
        <w:t xml:space="preserve"> against Canada under these statutes</w:t>
      </w:r>
      <w:r w:rsidR="002606F8" w:rsidRPr="00D910D8">
        <w:rPr>
          <w:rFonts w:cs="Times New Roman"/>
          <w:szCs w:val="24"/>
        </w:rPr>
        <w:t>.</w:t>
      </w:r>
    </w:p>
    <w:p w:rsidR="00CE6D9A" w:rsidRPr="00D910D8" w:rsidRDefault="002606F8" w:rsidP="006C78C6">
      <w:pPr>
        <w:pStyle w:val="ParaNoNdepar-AltN"/>
        <w:rPr>
          <w:rFonts w:cs="Times New Roman"/>
          <w:szCs w:val="24"/>
        </w:rPr>
      </w:pPr>
      <w:r w:rsidRPr="00D910D8">
        <w:rPr>
          <w:rFonts w:cs="Times New Roman"/>
          <w:szCs w:val="24"/>
        </w:rPr>
        <w:t xml:space="preserve">In my view, Canada could not qualify as a “supplier” </w:t>
      </w:r>
      <w:r w:rsidR="00121A9E" w:rsidRPr="00D910D8">
        <w:rPr>
          <w:rFonts w:cs="Times New Roman"/>
          <w:szCs w:val="24"/>
        </w:rPr>
        <w:t xml:space="preserve">under the Acts </w:t>
      </w:r>
      <w:r w:rsidRPr="00D910D8">
        <w:rPr>
          <w:rFonts w:cs="Times New Roman"/>
          <w:szCs w:val="24"/>
        </w:rPr>
        <w:t xml:space="preserve">on the facts pled. </w:t>
      </w:r>
      <w:r w:rsidR="00CF0009" w:rsidRPr="00D910D8">
        <w:rPr>
          <w:rFonts w:cs="Times New Roman"/>
          <w:szCs w:val="24"/>
        </w:rPr>
        <w:t xml:space="preserve"> </w:t>
      </w:r>
      <w:r w:rsidRPr="00D910D8">
        <w:rPr>
          <w:rFonts w:cs="Times New Roman"/>
          <w:szCs w:val="24"/>
        </w:rPr>
        <w:t xml:space="preserve">Section 1 of the </w:t>
      </w:r>
      <w:r w:rsidRPr="00D910D8">
        <w:rPr>
          <w:rFonts w:cs="Times New Roman"/>
          <w:i/>
          <w:szCs w:val="24"/>
        </w:rPr>
        <w:t xml:space="preserve">TPA </w:t>
      </w:r>
      <w:r w:rsidR="00486F47" w:rsidRPr="00D910D8">
        <w:rPr>
          <w:rFonts w:cs="Times New Roman"/>
          <w:szCs w:val="24"/>
        </w:rPr>
        <w:t>defined</w:t>
      </w:r>
      <w:r w:rsidRPr="00D910D8">
        <w:rPr>
          <w:rFonts w:cs="Times New Roman"/>
          <w:szCs w:val="24"/>
        </w:rPr>
        <w:t xml:space="preserve"> </w:t>
      </w:r>
      <w:r w:rsidR="00712238" w:rsidRPr="00D910D8">
        <w:rPr>
          <w:rFonts w:cs="Times New Roman"/>
          <w:szCs w:val="24"/>
        </w:rPr>
        <w:t>“</w:t>
      </w:r>
      <w:r w:rsidRPr="00D910D8">
        <w:rPr>
          <w:rFonts w:cs="Times New Roman"/>
          <w:szCs w:val="24"/>
        </w:rPr>
        <w:t>supplier</w:t>
      </w:r>
      <w:r w:rsidR="00712238" w:rsidRPr="00D910D8">
        <w:rPr>
          <w:rFonts w:cs="Times New Roman"/>
          <w:szCs w:val="24"/>
        </w:rPr>
        <w:t>”</w:t>
      </w:r>
      <w:r w:rsidRPr="00D910D8">
        <w:rPr>
          <w:rFonts w:cs="Times New Roman"/>
          <w:szCs w:val="24"/>
        </w:rPr>
        <w:t xml:space="preserve"> as follows:</w:t>
      </w:r>
    </w:p>
    <w:p w:rsidR="00712238" w:rsidRPr="00D910D8" w:rsidRDefault="00712238" w:rsidP="00712238">
      <w:pPr>
        <w:pStyle w:val="Citation-AltC"/>
        <w:spacing w:after="240"/>
        <w:contextualSpacing w:val="0"/>
        <w:rPr>
          <w:szCs w:val="24"/>
        </w:rPr>
      </w:pPr>
      <w:r w:rsidRPr="00D910D8">
        <w:rPr>
          <w:b/>
          <w:szCs w:val="24"/>
        </w:rPr>
        <w:t>1</w:t>
      </w:r>
      <w:r w:rsidRPr="00D910D8">
        <w:rPr>
          <w:szCs w:val="24"/>
        </w:rPr>
        <w:t xml:space="preserve">  . . .</w:t>
      </w:r>
    </w:p>
    <w:p w:rsidR="009771B3" w:rsidRPr="00D910D8" w:rsidRDefault="002606F8" w:rsidP="008B3FDD">
      <w:pPr>
        <w:pStyle w:val="Citation-AltC"/>
        <w:ind w:left="1800" w:hanging="360"/>
        <w:rPr>
          <w:szCs w:val="24"/>
        </w:rPr>
      </w:pPr>
      <w:r w:rsidRPr="00D910D8">
        <w:rPr>
          <w:szCs w:val="24"/>
        </w:rPr>
        <w:t>“</w:t>
      </w:r>
      <w:r w:rsidRPr="00D910D8">
        <w:rPr>
          <w:b/>
          <w:bCs/>
          <w:szCs w:val="24"/>
        </w:rPr>
        <w:t>supplier</w:t>
      </w:r>
      <w:r w:rsidRPr="00D910D8">
        <w:rPr>
          <w:szCs w:val="24"/>
        </w:rPr>
        <w:t xml:space="preserve">” means a person, other than a consumer, who in the course of the person’s business solicits, offers, advertises or promotes the disposition or supply of the subject of a consumer transaction or who engages in, enforces or otherwise participates in a consumer transaction, whether or not privity of contract exists between that </w:t>
      </w:r>
      <w:r w:rsidRPr="00D910D8">
        <w:rPr>
          <w:szCs w:val="24"/>
        </w:rPr>
        <w:lastRenderedPageBreak/>
        <w:t>person and the consumer, and includes the successor to, and assignee of, any rights or obligations of the supplier.</w:t>
      </w:r>
    </w:p>
    <w:p w:rsidR="009A1837" w:rsidRPr="00D910D8" w:rsidRDefault="002606F8" w:rsidP="00581B23">
      <w:pPr>
        <w:pStyle w:val="ContinueParaSuitedupar-AltP"/>
        <w:rPr>
          <w:rFonts w:cs="Times New Roman"/>
          <w:szCs w:val="24"/>
        </w:rPr>
      </w:pPr>
      <w:r w:rsidRPr="00D910D8">
        <w:rPr>
          <w:rFonts w:cs="Times New Roman"/>
          <w:szCs w:val="24"/>
        </w:rPr>
        <w:t>Section 1</w:t>
      </w:r>
      <w:r w:rsidR="00712238" w:rsidRPr="00D910D8">
        <w:rPr>
          <w:rFonts w:cs="Times New Roman"/>
          <w:szCs w:val="24"/>
        </w:rPr>
        <w:t>(1)</w:t>
      </w:r>
      <w:r w:rsidRPr="00D910D8">
        <w:rPr>
          <w:rFonts w:cs="Times New Roman"/>
          <w:szCs w:val="24"/>
        </w:rPr>
        <w:t xml:space="preserve"> of the </w:t>
      </w:r>
      <w:r w:rsidRPr="00D910D8">
        <w:rPr>
          <w:rFonts w:cs="Times New Roman"/>
          <w:i/>
          <w:szCs w:val="24"/>
        </w:rPr>
        <w:t xml:space="preserve">BPCPA </w:t>
      </w:r>
      <w:r w:rsidRPr="00D910D8">
        <w:rPr>
          <w:rFonts w:cs="Times New Roman"/>
          <w:szCs w:val="24"/>
        </w:rPr>
        <w:t xml:space="preserve">defines </w:t>
      </w:r>
      <w:r w:rsidR="00712238" w:rsidRPr="00D910D8">
        <w:rPr>
          <w:rFonts w:cs="Times New Roman"/>
          <w:szCs w:val="24"/>
        </w:rPr>
        <w:t>“</w:t>
      </w:r>
      <w:r w:rsidRPr="00D910D8">
        <w:rPr>
          <w:rFonts w:cs="Times New Roman"/>
          <w:szCs w:val="24"/>
        </w:rPr>
        <w:t>supplier</w:t>
      </w:r>
      <w:r w:rsidR="00712238" w:rsidRPr="00D910D8">
        <w:rPr>
          <w:rFonts w:cs="Times New Roman"/>
          <w:szCs w:val="24"/>
        </w:rPr>
        <w:t>”</w:t>
      </w:r>
      <w:r w:rsidRPr="00D910D8">
        <w:rPr>
          <w:rFonts w:cs="Times New Roman"/>
          <w:szCs w:val="24"/>
        </w:rPr>
        <w:t xml:space="preserve"> as follows:</w:t>
      </w:r>
    </w:p>
    <w:p w:rsidR="00712238" w:rsidRPr="00D910D8" w:rsidRDefault="00712238" w:rsidP="00712238">
      <w:pPr>
        <w:pStyle w:val="Citation-AltC"/>
        <w:spacing w:after="240"/>
        <w:contextualSpacing w:val="0"/>
        <w:rPr>
          <w:rFonts w:eastAsiaTheme="minorHAnsi"/>
          <w:szCs w:val="24"/>
        </w:rPr>
      </w:pPr>
      <w:r w:rsidRPr="00D910D8">
        <w:rPr>
          <w:rFonts w:eastAsiaTheme="minorHAnsi"/>
          <w:b/>
          <w:szCs w:val="24"/>
        </w:rPr>
        <w:t xml:space="preserve">1 </w:t>
      </w:r>
      <w:r w:rsidRPr="00D910D8">
        <w:rPr>
          <w:rFonts w:eastAsiaTheme="minorHAnsi"/>
          <w:szCs w:val="24"/>
        </w:rPr>
        <w:t>(1)  . . .</w:t>
      </w:r>
    </w:p>
    <w:p w:rsidR="009A1837" w:rsidRPr="00D910D8" w:rsidRDefault="002E60B8" w:rsidP="002E60B8">
      <w:pPr>
        <w:pStyle w:val="Citation-AltC"/>
        <w:tabs>
          <w:tab w:val="left" w:pos="1440"/>
        </w:tabs>
        <w:spacing w:after="240"/>
        <w:ind w:left="1800" w:hanging="1800"/>
        <w:contextualSpacing w:val="0"/>
        <w:rPr>
          <w:szCs w:val="24"/>
        </w:rPr>
      </w:pPr>
      <w:r w:rsidRPr="00D910D8">
        <w:rPr>
          <w:rFonts w:eastAsiaTheme="minorHAnsi"/>
          <w:b/>
          <w:szCs w:val="24"/>
        </w:rPr>
        <w:tab/>
      </w:r>
      <w:r w:rsidR="00486F47" w:rsidRPr="00D910D8">
        <w:rPr>
          <w:rFonts w:eastAsiaTheme="minorHAnsi"/>
          <w:b/>
          <w:szCs w:val="24"/>
        </w:rPr>
        <w:t>“</w:t>
      </w:r>
      <w:proofErr w:type="gramStart"/>
      <w:r w:rsidR="002606F8" w:rsidRPr="00D910D8">
        <w:rPr>
          <w:rFonts w:eastAsiaTheme="minorHAnsi"/>
          <w:b/>
          <w:szCs w:val="24"/>
        </w:rPr>
        <w:t>supplier</w:t>
      </w:r>
      <w:proofErr w:type="gramEnd"/>
      <w:r w:rsidR="00486F47" w:rsidRPr="00D910D8">
        <w:rPr>
          <w:rFonts w:eastAsiaTheme="minorHAnsi"/>
          <w:b/>
          <w:szCs w:val="24"/>
        </w:rPr>
        <w:t xml:space="preserve">” </w:t>
      </w:r>
      <w:r w:rsidR="002606F8" w:rsidRPr="00D910D8">
        <w:rPr>
          <w:szCs w:val="24"/>
        </w:rPr>
        <w:t>means a person, whether in British Columbia or not, who in the course of business participates in a consumer transaction by</w:t>
      </w:r>
    </w:p>
    <w:p w:rsidR="009A1837" w:rsidRPr="00D910D8" w:rsidRDefault="00712238" w:rsidP="00BC14CF">
      <w:pPr>
        <w:pStyle w:val="Citation-AltC"/>
        <w:tabs>
          <w:tab w:val="left" w:pos="1800"/>
        </w:tabs>
        <w:spacing w:after="240"/>
        <w:ind w:left="2250" w:hanging="2250"/>
        <w:contextualSpacing w:val="0"/>
        <w:rPr>
          <w:szCs w:val="24"/>
        </w:rPr>
      </w:pPr>
      <w:r w:rsidRPr="00D910D8">
        <w:rPr>
          <w:szCs w:val="24"/>
        </w:rPr>
        <w:tab/>
      </w:r>
      <w:r w:rsidR="006C78C6" w:rsidRPr="00D910D8">
        <w:rPr>
          <w:szCs w:val="24"/>
        </w:rPr>
        <w:t>(a)</w:t>
      </w:r>
      <w:r w:rsidR="006C78C6" w:rsidRPr="00D910D8">
        <w:rPr>
          <w:szCs w:val="24"/>
        </w:rPr>
        <w:tab/>
      </w:r>
      <w:proofErr w:type="gramStart"/>
      <w:r w:rsidR="002606F8" w:rsidRPr="00D910D8">
        <w:rPr>
          <w:szCs w:val="24"/>
        </w:rPr>
        <w:t>supplying</w:t>
      </w:r>
      <w:proofErr w:type="gramEnd"/>
      <w:r w:rsidR="002606F8" w:rsidRPr="00D910D8">
        <w:rPr>
          <w:szCs w:val="24"/>
        </w:rPr>
        <w:t xml:space="preserve"> goods or services or real property to a consumer, or</w:t>
      </w:r>
    </w:p>
    <w:p w:rsidR="009A1837" w:rsidRPr="00D910D8" w:rsidRDefault="00712238" w:rsidP="00712238">
      <w:pPr>
        <w:pStyle w:val="Citation-AltC"/>
        <w:tabs>
          <w:tab w:val="left" w:pos="1800"/>
          <w:tab w:val="left" w:pos="2250"/>
        </w:tabs>
        <w:spacing w:after="240"/>
        <w:ind w:left="2250" w:hanging="2250"/>
        <w:contextualSpacing w:val="0"/>
        <w:rPr>
          <w:szCs w:val="24"/>
        </w:rPr>
      </w:pPr>
      <w:r w:rsidRPr="00D910D8">
        <w:rPr>
          <w:szCs w:val="24"/>
        </w:rPr>
        <w:tab/>
      </w:r>
      <w:r w:rsidR="006C78C6" w:rsidRPr="00D910D8">
        <w:rPr>
          <w:szCs w:val="24"/>
        </w:rPr>
        <w:t>(b)</w:t>
      </w:r>
      <w:r w:rsidR="006C78C6" w:rsidRPr="00D910D8">
        <w:rPr>
          <w:szCs w:val="24"/>
        </w:rPr>
        <w:tab/>
      </w:r>
      <w:proofErr w:type="gramStart"/>
      <w:r w:rsidR="002606F8" w:rsidRPr="00D910D8">
        <w:rPr>
          <w:szCs w:val="24"/>
        </w:rPr>
        <w:t>soliciting</w:t>
      </w:r>
      <w:proofErr w:type="gramEnd"/>
      <w:r w:rsidR="002606F8" w:rsidRPr="00D910D8">
        <w:rPr>
          <w:szCs w:val="24"/>
        </w:rPr>
        <w:t xml:space="preserve">, offering, advertising or promoting with respect to a transaction referred to in paragraph (a) of the definition of </w:t>
      </w:r>
      <w:r w:rsidR="00486F47" w:rsidRPr="00D910D8">
        <w:rPr>
          <w:szCs w:val="24"/>
        </w:rPr>
        <w:t>“</w:t>
      </w:r>
      <w:r w:rsidR="002606F8" w:rsidRPr="00D910D8">
        <w:rPr>
          <w:szCs w:val="24"/>
        </w:rPr>
        <w:t>consumer transaction</w:t>
      </w:r>
      <w:r w:rsidR="00486F47" w:rsidRPr="00D910D8">
        <w:rPr>
          <w:szCs w:val="24"/>
        </w:rPr>
        <w:t>”</w:t>
      </w:r>
      <w:r w:rsidR="002606F8" w:rsidRPr="00D910D8">
        <w:rPr>
          <w:szCs w:val="24"/>
        </w:rPr>
        <w:t>,</w:t>
      </w:r>
    </w:p>
    <w:p w:rsidR="009771B3" w:rsidRPr="00D910D8" w:rsidRDefault="00BC14CF" w:rsidP="00BC14CF">
      <w:pPr>
        <w:pStyle w:val="Citation-AltC"/>
        <w:tabs>
          <w:tab w:val="left" w:pos="1800"/>
        </w:tabs>
        <w:ind w:left="1800" w:hanging="1800"/>
        <w:rPr>
          <w:szCs w:val="24"/>
        </w:rPr>
      </w:pPr>
      <w:r w:rsidRPr="00D910D8">
        <w:rPr>
          <w:szCs w:val="24"/>
        </w:rPr>
        <w:tab/>
      </w:r>
      <w:r w:rsidR="002606F8" w:rsidRPr="00D910D8">
        <w:rPr>
          <w:szCs w:val="24"/>
        </w:rPr>
        <w:t xml:space="preserve">whether or not privity of contract exists between that person and the consumer, and includes the successor to, and assignee of, any rights or obligations of that person and, except in Parts 3 to 5 </w:t>
      </w:r>
      <w:r w:rsidR="002606F8" w:rsidRPr="00D910D8">
        <w:rPr>
          <w:i/>
          <w:szCs w:val="24"/>
        </w:rPr>
        <w:t>[Rights of Assignees and Guarantors Respecting Consumer Credit; Consumer Contracts; Disclosure of the Cost of Consumer Credit]</w:t>
      </w:r>
      <w:r w:rsidR="002606F8" w:rsidRPr="00D910D8">
        <w:rPr>
          <w:szCs w:val="24"/>
        </w:rPr>
        <w:t>, includes a person who solicits a consumer for a contribution of money or other property by the consumer;</w:t>
      </w:r>
    </w:p>
    <w:p w:rsidR="009A1837" w:rsidRPr="00D910D8" w:rsidRDefault="002606F8" w:rsidP="006C78C6">
      <w:pPr>
        <w:pStyle w:val="ParaNoNdepar-AltN"/>
        <w:rPr>
          <w:rFonts w:cs="Times New Roman"/>
          <w:szCs w:val="24"/>
        </w:rPr>
      </w:pPr>
      <w:r w:rsidRPr="00D910D8">
        <w:rPr>
          <w:rFonts w:cs="Times New Roman"/>
          <w:szCs w:val="24"/>
        </w:rPr>
        <w:t xml:space="preserve">The Court of Appeal unanimously held that neither definition could </w:t>
      </w:r>
      <w:r w:rsidR="00486F47" w:rsidRPr="00D910D8">
        <w:rPr>
          <w:rFonts w:cs="Times New Roman"/>
          <w:szCs w:val="24"/>
        </w:rPr>
        <w:t>apply to Canada because its</w:t>
      </w:r>
      <w:r w:rsidRPr="00D910D8">
        <w:rPr>
          <w:rFonts w:cs="Times New Roman"/>
          <w:szCs w:val="24"/>
        </w:rPr>
        <w:t xml:space="preserve"> alleged actions were not undert</w:t>
      </w:r>
      <w:r w:rsidR="008B3FDD" w:rsidRPr="00D910D8">
        <w:rPr>
          <w:rFonts w:cs="Times New Roman"/>
          <w:szCs w:val="24"/>
        </w:rPr>
        <w:t>aken “in the course of business</w:t>
      </w:r>
      <w:r w:rsidRPr="00D910D8">
        <w:rPr>
          <w:rFonts w:cs="Times New Roman"/>
          <w:szCs w:val="24"/>
        </w:rPr>
        <w:t>”</w:t>
      </w:r>
      <w:r w:rsidR="008B3FDD" w:rsidRPr="00D910D8">
        <w:rPr>
          <w:rFonts w:cs="Times New Roman"/>
          <w:szCs w:val="24"/>
        </w:rPr>
        <w:t>.  The c</w:t>
      </w:r>
      <w:r w:rsidRPr="00D910D8">
        <w:rPr>
          <w:rFonts w:cs="Times New Roman"/>
          <w:szCs w:val="24"/>
        </w:rPr>
        <w:t xml:space="preserve">ourt </w:t>
      </w:r>
      <w:r w:rsidR="00121A9E" w:rsidRPr="00D910D8">
        <w:rPr>
          <w:rFonts w:cs="Times New Roman"/>
          <w:szCs w:val="24"/>
        </w:rPr>
        <w:t>held</w:t>
      </w:r>
      <w:r w:rsidRPr="00D910D8">
        <w:rPr>
          <w:rFonts w:cs="Times New Roman"/>
          <w:szCs w:val="24"/>
        </w:rPr>
        <w:t xml:space="preserve"> that the </w:t>
      </w:r>
      <w:r w:rsidR="00121A9E" w:rsidRPr="00D910D8">
        <w:rPr>
          <w:rFonts w:cs="Times New Roman"/>
          <w:szCs w:val="24"/>
        </w:rPr>
        <w:t>pleadings allege</w:t>
      </w:r>
      <w:r w:rsidRPr="00D910D8">
        <w:rPr>
          <w:rFonts w:cs="Times New Roman"/>
          <w:szCs w:val="24"/>
        </w:rPr>
        <w:t xml:space="preserve"> that Canada promoted the use of mild or light cigarettes, but </w:t>
      </w:r>
      <w:r w:rsidR="00200129" w:rsidRPr="00D910D8">
        <w:rPr>
          <w:rFonts w:cs="Times New Roman"/>
          <w:szCs w:val="24"/>
        </w:rPr>
        <w:t xml:space="preserve">only </w:t>
      </w:r>
      <w:r w:rsidRPr="00D910D8">
        <w:rPr>
          <w:rFonts w:cs="Times New Roman"/>
          <w:szCs w:val="24"/>
        </w:rPr>
        <w:t>in order to red</w:t>
      </w:r>
      <w:r w:rsidR="00200129" w:rsidRPr="00D910D8">
        <w:rPr>
          <w:rFonts w:cs="Times New Roman"/>
          <w:szCs w:val="24"/>
        </w:rPr>
        <w:t xml:space="preserve">uce the health risks of smoking, not </w:t>
      </w:r>
      <w:r w:rsidRPr="00D910D8">
        <w:rPr>
          <w:rFonts w:cs="Times New Roman"/>
          <w:szCs w:val="24"/>
        </w:rPr>
        <w:t xml:space="preserve">in the course of a business </w:t>
      </w:r>
      <w:r w:rsidR="00486F47" w:rsidRPr="00D910D8">
        <w:rPr>
          <w:rFonts w:cs="Times New Roman"/>
          <w:szCs w:val="24"/>
        </w:rPr>
        <w:t>ca</w:t>
      </w:r>
      <w:r w:rsidRPr="00D910D8">
        <w:rPr>
          <w:rFonts w:cs="Times New Roman"/>
          <w:szCs w:val="24"/>
        </w:rPr>
        <w:t>rried on for the purpose of earning a profit (</w:t>
      </w:r>
      <w:r w:rsidR="00BC14CF" w:rsidRPr="00D910D8">
        <w:rPr>
          <w:rFonts w:cs="Times New Roman"/>
          <w:i/>
          <w:szCs w:val="24"/>
        </w:rPr>
        <w:t>Knight</w:t>
      </w:r>
      <w:r w:rsidR="00BC14CF" w:rsidRPr="00D910D8">
        <w:rPr>
          <w:rFonts w:cs="Times New Roman"/>
          <w:szCs w:val="24"/>
        </w:rPr>
        <w:t xml:space="preserve"> </w:t>
      </w:r>
      <w:proofErr w:type="gramStart"/>
      <w:r w:rsidR="00BC14CF" w:rsidRPr="00D910D8">
        <w:rPr>
          <w:rFonts w:cs="Times New Roman"/>
          <w:szCs w:val="24"/>
        </w:rPr>
        <w:t>case</w:t>
      </w:r>
      <w:proofErr w:type="gramEnd"/>
      <w:r w:rsidR="00BC14CF" w:rsidRPr="00D910D8">
        <w:rPr>
          <w:rFonts w:cs="Times New Roman"/>
          <w:szCs w:val="24"/>
        </w:rPr>
        <w:t xml:space="preserve">, </w:t>
      </w:r>
      <w:r w:rsidRPr="00D910D8">
        <w:rPr>
          <w:rFonts w:cs="Times New Roman"/>
          <w:szCs w:val="24"/>
        </w:rPr>
        <w:t>para. 35).</w:t>
      </w:r>
    </w:p>
    <w:p w:rsidR="009A1837" w:rsidRPr="00D910D8" w:rsidRDefault="002606F8" w:rsidP="006C78C6">
      <w:pPr>
        <w:pStyle w:val="ParaNoNdepar-AltN"/>
        <w:rPr>
          <w:rFonts w:cs="Times New Roman"/>
          <w:szCs w:val="24"/>
        </w:rPr>
      </w:pPr>
      <w:r w:rsidRPr="00D910D8">
        <w:rPr>
          <w:rFonts w:cs="Times New Roman"/>
          <w:szCs w:val="24"/>
        </w:rPr>
        <w:lastRenderedPageBreak/>
        <w:t>Imperial submits that it is not necessary for Canada to have been motivated by profit to qua</w:t>
      </w:r>
      <w:r w:rsidR="008B3FDD" w:rsidRPr="00D910D8">
        <w:rPr>
          <w:rFonts w:cs="Times New Roman"/>
          <w:szCs w:val="24"/>
        </w:rPr>
        <w:t>lify as a “supplier” under the A</w:t>
      </w:r>
      <w:r w:rsidRPr="00D910D8">
        <w:rPr>
          <w:rFonts w:cs="Times New Roman"/>
          <w:szCs w:val="24"/>
        </w:rPr>
        <w:t>cts</w:t>
      </w:r>
      <w:r w:rsidR="00200129" w:rsidRPr="00D910D8">
        <w:rPr>
          <w:rFonts w:cs="Times New Roman"/>
          <w:szCs w:val="24"/>
        </w:rPr>
        <w:t xml:space="preserve">, provided it </w:t>
      </w:r>
      <w:r w:rsidRPr="00D910D8">
        <w:rPr>
          <w:rFonts w:cs="Times New Roman"/>
          <w:szCs w:val="24"/>
        </w:rPr>
        <w:t xml:space="preserve">researched, designed and manufactured a defective product.  Canada responds that </w:t>
      </w:r>
      <w:r w:rsidR="00200129" w:rsidRPr="00D910D8">
        <w:rPr>
          <w:rFonts w:cs="Times New Roman"/>
          <w:szCs w:val="24"/>
        </w:rPr>
        <w:t xml:space="preserve">its alleged purpose </w:t>
      </w:r>
      <w:r w:rsidRPr="00D910D8">
        <w:rPr>
          <w:rFonts w:cs="Times New Roman"/>
          <w:szCs w:val="24"/>
        </w:rPr>
        <w:t>of im</w:t>
      </w:r>
      <w:r w:rsidR="008B3FDD" w:rsidRPr="00D910D8">
        <w:rPr>
          <w:rFonts w:cs="Times New Roman"/>
          <w:szCs w:val="24"/>
        </w:rPr>
        <w:t>proving the health of Canadians</w:t>
      </w:r>
      <w:r w:rsidRPr="00D910D8">
        <w:rPr>
          <w:rFonts w:cs="Times New Roman"/>
          <w:szCs w:val="24"/>
        </w:rPr>
        <w:t xml:space="preserve"> </w:t>
      </w:r>
      <w:r w:rsidR="00200129" w:rsidRPr="00D910D8">
        <w:rPr>
          <w:rFonts w:cs="Times New Roman"/>
          <w:szCs w:val="24"/>
        </w:rPr>
        <w:t>shows</w:t>
      </w:r>
      <w:r w:rsidRPr="00D910D8">
        <w:rPr>
          <w:rFonts w:cs="Times New Roman"/>
          <w:szCs w:val="24"/>
        </w:rPr>
        <w:t xml:space="preserve"> that </w:t>
      </w:r>
      <w:r w:rsidR="00200129" w:rsidRPr="00D910D8">
        <w:rPr>
          <w:rFonts w:cs="Times New Roman"/>
          <w:szCs w:val="24"/>
        </w:rPr>
        <w:t>it</w:t>
      </w:r>
      <w:r w:rsidRPr="00D910D8">
        <w:rPr>
          <w:rFonts w:cs="Times New Roman"/>
          <w:szCs w:val="24"/>
        </w:rPr>
        <w:t xml:space="preserve"> was not acting in the course of business.  This was not a case where a public authority was itself operating </w:t>
      </w:r>
      <w:r w:rsidR="00486F47" w:rsidRPr="00D910D8">
        <w:rPr>
          <w:rFonts w:cs="Times New Roman"/>
          <w:szCs w:val="24"/>
        </w:rPr>
        <w:t xml:space="preserve">in </w:t>
      </w:r>
      <w:r w:rsidRPr="00D910D8">
        <w:rPr>
          <w:rFonts w:cs="Times New Roman"/>
          <w:szCs w:val="24"/>
        </w:rPr>
        <w:t>the private market as a business, but rather a case where a public authority sought to regulate the industry by promoting a type of cigarette.</w:t>
      </w:r>
    </w:p>
    <w:p w:rsidR="009A1837" w:rsidRPr="00D910D8" w:rsidRDefault="00200129" w:rsidP="006C78C6">
      <w:pPr>
        <w:pStyle w:val="ParaNoNdepar-AltN"/>
        <w:rPr>
          <w:rFonts w:cs="Times New Roman"/>
          <w:szCs w:val="24"/>
        </w:rPr>
      </w:pPr>
      <w:r w:rsidRPr="00D910D8">
        <w:rPr>
          <w:rFonts w:cs="Times New Roman"/>
          <w:szCs w:val="24"/>
        </w:rPr>
        <w:t>I accept that</w:t>
      </w:r>
      <w:r w:rsidR="002606F8" w:rsidRPr="00D910D8">
        <w:rPr>
          <w:rFonts w:cs="Times New Roman"/>
          <w:szCs w:val="24"/>
        </w:rPr>
        <w:t xml:space="preserve"> Canada’s purpose for developing and promoting tobacco as described in the third</w:t>
      </w:r>
      <w:r w:rsidR="008B3FDD" w:rsidRPr="00D910D8">
        <w:rPr>
          <w:rFonts w:cs="Times New Roman"/>
          <w:szCs w:val="24"/>
        </w:rPr>
        <w:t>-</w:t>
      </w:r>
      <w:r w:rsidR="002606F8" w:rsidRPr="00D910D8">
        <w:rPr>
          <w:rFonts w:cs="Times New Roman"/>
          <w:szCs w:val="24"/>
        </w:rPr>
        <w:t>party notice suggests that it was not acting “in the course of business” or “in the course of the person’s business”</w:t>
      </w:r>
      <w:r w:rsidR="00C16B3D" w:rsidRPr="00D910D8">
        <w:rPr>
          <w:rFonts w:cs="Times New Roman"/>
          <w:szCs w:val="24"/>
        </w:rPr>
        <w:t xml:space="preserve"> as those ph</w:t>
      </w:r>
      <w:r w:rsidR="008B3FDD" w:rsidRPr="00D910D8">
        <w:rPr>
          <w:rFonts w:cs="Times New Roman"/>
          <w:szCs w:val="24"/>
        </w:rPr>
        <w:t>r</w:t>
      </w:r>
      <w:r w:rsidR="00C16B3D" w:rsidRPr="00D910D8">
        <w:rPr>
          <w:rFonts w:cs="Times New Roman"/>
          <w:szCs w:val="24"/>
        </w:rPr>
        <w:t xml:space="preserve">ases are used in the </w:t>
      </w:r>
      <w:r w:rsidR="00C16B3D" w:rsidRPr="00D910D8">
        <w:rPr>
          <w:rFonts w:cs="Times New Roman"/>
          <w:i/>
          <w:szCs w:val="24"/>
        </w:rPr>
        <w:t xml:space="preserve">TPA </w:t>
      </w:r>
      <w:r w:rsidR="00C16B3D" w:rsidRPr="00D910D8">
        <w:rPr>
          <w:rFonts w:cs="Times New Roman"/>
          <w:szCs w:val="24"/>
        </w:rPr>
        <w:t xml:space="preserve">or the </w:t>
      </w:r>
      <w:r w:rsidR="00C16B3D" w:rsidRPr="00D910D8">
        <w:rPr>
          <w:rFonts w:cs="Times New Roman"/>
          <w:i/>
          <w:szCs w:val="24"/>
        </w:rPr>
        <w:t>BPCPA</w:t>
      </w:r>
      <w:r w:rsidR="00C16B3D" w:rsidRPr="00D910D8">
        <w:rPr>
          <w:rFonts w:cs="Times New Roman"/>
          <w:szCs w:val="24"/>
        </w:rPr>
        <w:t>,</w:t>
      </w:r>
      <w:r w:rsidR="002606F8" w:rsidRPr="00D910D8">
        <w:rPr>
          <w:rFonts w:cs="Times New Roman"/>
          <w:szCs w:val="24"/>
        </w:rPr>
        <w:t xml:space="preserve"> and therefore </w:t>
      </w:r>
      <w:r w:rsidR="00CD7916" w:rsidRPr="00D910D8">
        <w:rPr>
          <w:rFonts w:cs="Times New Roman"/>
          <w:szCs w:val="24"/>
        </w:rPr>
        <w:t xml:space="preserve">that Canada </w:t>
      </w:r>
      <w:r w:rsidR="002606F8" w:rsidRPr="00D910D8">
        <w:rPr>
          <w:rFonts w:cs="Times New Roman"/>
          <w:szCs w:val="24"/>
        </w:rPr>
        <w:t xml:space="preserve">could not be a “supplier” under either </w:t>
      </w:r>
      <w:r w:rsidR="00C16B3D" w:rsidRPr="00D910D8">
        <w:rPr>
          <w:rFonts w:cs="Times New Roman"/>
          <w:szCs w:val="24"/>
        </w:rPr>
        <w:t>of those statutes</w:t>
      </w:r>
      <w:r w:rsidR="002606F8" w:rsidRPr="00D910D8">
        <w:rPr>
          <w:rFonts w:cs="Times New Roman"/>
          <w:szCs w:val="24"/>
        </w:rPr>
        <w:t>.  The phrases “in the course of business” and “in the course of the person’s business” may have different meanings, depending of the context.  On the one hand, they can be read as including all activities that an individual undertakes in his or her professional life</w:t>
      </w:r>
      <w:r w:rsidR="00C16B3D" w:rsidRPr="00D910D8">
        <w:rPr>
          <w:rFonts w:cs="Times New Roman"/>
          <w:szCs w:val="24"/>
        </w:rPr>
        <w:t>: e.g., see discussion of the indicia of reasonable reliance above</w:t>
      </w:r>
      <w:r w:rsidR="002606F8" w:rsidRPr="00D910D8">
        <w:rPr>
          <w:rFonts w:cs="Times New Roman"/>
          <w:szCs w:val="24"/>
        </w:rPr>
        <w:t xml:space="preserve">.  On the other, they can be understood as limited to activities undertaken for a commercial purpose.  In my view, the contexts in which the phrases are used in the </w:t>
      </w:r>
      <w:r w:rsidR="002606F8" w:rsidRPr="00D910D8">
        <w:rPr>
          <w:rFonts w:cs="Times New Roman"/>
          <w:i/>
          <w:szCs w:val="24"/>
        </w:rPr>
        <w:t xml:space="preserve">TPA </w:t>
      </w:r>
      <w:r w:rsidR="002606F8" w:rsidRPr="00D910D8">
        <w:rPr>
          <w:rFonts w:cs="Times New Roman"/>
          <w:szCs w:val="24"/>
        </w:rPr>
        <w:t xml:space="preserve">and the </w:t>
      </w:r>
      <w:r w:rsidR="002606F8" w:rsidRPr="00D910D8">
        <w:rPr>
          <w:rFonts w:cs="Times New Roman"/>
          <w:i/>
          <w:szCs w:val="24"/>
        </w:rPr>
        <w:t>BPCPA</w:t>
      </w:r>
      <w:r w:rsidR="002606F8" w:rsidRPr="00D910D8">
        <w:rPr>
          <w:rFonts w:cs="Times New Roman"/>
          <w:szCs w:val="24"/>
        </w:rPr>
        <w:t xml:space="preserve"> support the </w:t>
      </w:r>
      <w:r w:rsidR="005373AC" w:rsidRPr="00D910D8">
        <w:rPr>
          <w:rFonts w:cs="Times New Roman"/>
          <w:szCs w:val="24"/>
        </w:rPr>
        <w:t xml:space="preserve">latter </w:t>
      </w:r>
      <w:r w:rsidR="002606F8" w:rsidRPr="00D910D8">
        <w:rPr>
          <w:rFonts w:cs="Times New Roman"/>
          <w:szCs w:val="24"/>
        </w:rPr>
        <w:t>interpretation.  The definitions of “supplier” in both Acts refer to “consumer transaction</w:t>
      </w:r>
      <w:r w:rsidR="008B3FDD" w:rsidRPr="00D910D8">
        <w:rPr>
          <w:rFonts w:cs="Times New Roman"/>
          <w:szCs w:val="24"/>
        </w:rPr>
        <w:t>[</w:t>
      </w:r>
      <w:r w:rsidR="002606F8" w:rsidRPr="00D910D8">
        <w:rPr>
          <w:rFonts w:cs="Times New Roman"/>
          <w:szCs w:val="24"/>
        </w:rPr>
        <w:t>s</w:t>
      </w:r>
      <w:r w:rsidR="008B3FDD" w:rsidRPr="00D910D8">
        <w:rPr>
          <w:rFonts w:cs="Times New Roman"/>
          <w:szCs w:val="24"/>
        </w:rPr>
        <w:t>]</w:t>
      </w:r>
      <w:r w:rsidR="002606F8" w:rsidRPr="00D910D8">
        <w:rPr>
          <w:rFonts w:cs="Times New Roman"/>
          <w:szCs w:val="24"/>
        </w:rPr>
        <w:t>”</w:t>
      </w:r>
      <w:r w:rsidR="00CB3966" w:rsidRPr="00D910D8">
        <w:rPr>
          <w:rFonts w:cs="Times New Roman"/>
          <w:szCs w:val="24"/>
        </w:rPr>
        <w:t>,</w:t>
      </w:r>
      <w:r w:rsidR="002606F8" w:rsidRPr="00D910D8">
        <w:rPr>
          <w:rFonts w:cs="Times New Roman"/>
          <w:szCs w:val="24"/>
        </w:rPr>
        <w:t xml:space="preserve"> and contrast suppliers</w:t>
      </w:r>
      <w:r w:rsidRPr="00D910D8">
        <w:rPr>
          <w:rFonts w:cs="Times New Roman"/>
          <w:szCs w:val="24"/>
        </w:rPr>
        <w:t>, who must have a commercial purpose,</w:t>
      </w:r>
      <w:r w:rsidR="002606F8" w:rsidRPr="00D910D8">
        <w:rPr>
          <w:rFonts w:cs="Times New Roman"/>
          <w:szCs w:val="24"/>
        </w:rPr>
        <w:t xml:space="preserve"> with consumers.  </w:t>
      </w:r>
      <w:r w:rsidRPr="00D910D8">
        <w:rPr>
          <w:rFonts w:cs="Times New Roman"/>
          <w:szCs w:val="24"/>
        </w:rPr>
        <w:t>It</w:t>
      </w:r>
      <w:r w:rsidR="002606F8" w:rsidRPr="00D910D8">
        <w:rPr>
          <w:rFonts w:cs="Times New Roman"/>
          <w:szCs w:val="24"/>
        </w:rPr>
        <w:t xml:space="preserve"> is plain and obvious from the facts pleaded </w:t>
      </w:r>
      <w:r w:rsidR="002606F8" w:rsidRPr="00D910D8">
        <w:rPr>
          <w:rFonts w:cs="Times New Roman"/>
          <w:szCs w:val="24"/>
        </w:rPr>
        <w:lastRenderedPageBreak/>
        <w:t>that Canada did not promote the use of low-tar cigarettes for a commercial purpose</w:t>
      </w:r>
      <w:r w:rsidRPr="00D910D8">
        <w:rPr>
          <w:rFonts w:cs="Times New Roman"/>
          <w:szCs w:val="24"/>
        </w:rPr>
        <w:t>, but</w:t>
      </w:r>
      <w:r w:rsidR="002606F8" w:rsidRPr="00D910D8">
        <w:rPr>
          <w:rFonts w:cs="Times New Roman"/>
          <w:szCs w:val="24"/>
        </w:rPr>
        <w:t xml:space="preserve"> </w:t>
      </w:r>
      <w:r w:rsidRPr="00D910D8">
        <w:rPr>
          <w:rFonts w:cs="Times New Roman"/>
          <w:szCs w:val="24"/>
        </w:rPr>
        <w:t xml:space="preserve">for a health purpose.  Canada is therefore not a supplier under the </w:t>
      </w:r>
      <w:r w:rsidRPr="00D910D8">
        <w:rPr>
          <w:rFonts w:cs="Times New Roman"/>
          <w:i/>
          <w:szCs w:val="24"/>
        </w:rPr>
        <w:t>TPA</w:t>
      </w:r>
      <w:r w:rsidRPr="00D910D8">
        <w:rPr>
          <w:rFonts w:cs="Times New Roman"/>
          <w:szCs w:val="24"/>
        </w:rPr>
        <w:t xml:space="preserve"> or</w:t>
      </w:r>
      <w:r w:rsidR="008B3FDD" w:rsidRPr="00D910D8">
        <w:rPr>
          <w:rFonts w:cs="Times New Roman"/>
          <w:szCs w:val="24"/>
        </w:rPr>
        <w:t xml:space="preserve"> the</w:t>
      </w:r>
      <w:r w:rsidRPr="00D910D8">
        <w:rPr>
          <w:rFonts w:cs="Times New Roman"/>
          <w:szCs w:val="24"/>
        </w:rPr>
        <w:t xml:space="preserve"> </w:t>
      </w:r>
      <w:r w:rsidRPr="00D910D8">
        <w:rPr>
          <w:rFonts w:cs="Times New Roman"/>
          <w:i/>
          <w:szCs w:val="24"/>
        </w:rPr>
        <w:t>BPCPA</w:t>
      </w:r>
      <w:r w:rsidR="00CD7916" w:rsidRPr="00D910D8">
        <w:rPr>
          <w:rFonts w:cs="Times New Roman"/>
          <w:szCs w:val="24"/>
        </w:rPr>
        <w:t xml:space="preserve">, and the contribution claim based on this ground and the </w:t>
      </w:r>
      <w:r w:rsidR="00CD7916" w:rsidRPr="00D910D8">
        <w:rPr>
          <w:rFonts w:cs="Times New Roman"/>
          <w:i/>
          <w:szCs w:val="24"/>
        </w:rPr>
        <w:t>Negligence Act</w:t>
      </w:r>
      <w:r w:rsidR="00CD7916" w:rsidRPr="00D910D8">
        <w:rPr>
          <w:rFonts w:cs="Times New Roman"/>
          <w:szCs w:val="24"/>
        </w:rPr>
        <w:t xml:space="preserve"> should be struck</w:t>
      </w:r>
      <w:r w:rsidRPr="00D910D8">
        <w:rPr>
          <w:rFonts w:cs="Times New Roman"/>
          <w:szCs w:val="24"/>
        </w:rPr>
        <w:t>.</w:t>
      </w:r>
    </w:p>
    <w:p w:rsidR="00596DB2" w:rsidRPr="00D910D8" w:rsidRDefault="002606F8" w:rsidP="006C78C6">
      <w:pPr>
        <w:pStyle w:val="ParaNoNdepar-AltN"/>
        <w:rPr>
          <w:rFonts w:cs="Times New Roman"/>
          <w:szCs w:val="24"/>
        </w:rPr>
      </w:pPr>
      <w:r w:rsidRPr="00D910D8">
        <w:rPr>
          <w:rFonts w:cs="Times New Roman"/>
          <w:szCs w:val="24"/>
        </w:rPr>
        <w:t xml:space="preserve">Having concluded that Canada is not liable under the </w:t>
      </w:r>
      <w:r w:rsidRPr="00D910D8">
        <w:rPr>
          <w:rFonts w:cs="Times New Roman"/>
          <w:i/>
          <w:szCs w:val="24"/>
        </w:rPr>
        <w:t>TPA</w:t>
      </w:r>
      <w:r w:rsidRPr="00D910D8">
        <w:rPr>
          <w:rFonts w:cs="Times New Roman"/>
          <w:szCs w:val="24"/>
        </w:rPr>
        <w:t xml:space="preserve"> and</w:t>
      </w:r>
      <w:r w:rsidR="008B3FDD" w:rsidRPr="00D910D8">
        <w:rPr>
          <w:rFonts w:cs="Times New Roman"/>
          <w:szCs w:val="24"/>
        </w:rPr>
        <w:t xml:space="preserve"> the </w:t>
      </w:r>
      <w:r w:rsidRPr="00D910D8">
        <w:rPr>
          <w:rFonts w:cs="Times New Roman"/>
          <w:i/>
          <w:szCs w:val="24"/>
        </w:rPr>
        <w:t>BPCPA</w:t>
      </w:r>
      <w:r w:rsidRPr="00D910D8">
        <w:rPr>
          <w:rFonts w:cs="Times New Roman"/>
          <w:szCs w:val="24"/>
        </w:rPr>
        <w:t xml:space="preserve">, it </w:t>
      </w:r>
      <w:r w:rsidR="008B3FDD" w:rsidRPr="00D910D8">
        <w:rPr>
          <w:rFonts w:cs="Times New Roman"/>
          <w:szCs w:val="24"/>
        </w:rPr>
        <w:t xml:space="preserve">is </w:t>
      </w:r>
      <w:r w:rsidRPr="00D910D8">
        <w:rPr>
          <w:rFonts w:cs="Times New Roman"/>
          <w:szCs w:val="24"/>
        </w:rPr>
        <w:t>unnecessary to consider whether, if it were, Canada would be protected by Crown immunity.</w:t>
      </w:r>
      <w:r w:rsidR="009975F5" w:rsidRPr="00D910D8">
        <w:rPr>
          <w:rFonts w:cs="Times New Roman"/>
          <w:szCs w:val="24"/>
        </w:rPr>
        <w:t xml:space="preserve"> </w:t>
      </w:r>
    </w:p>
    <w:p w:rsidR="009975F5" w:rsidRPr="00D910D8" w:rsidRDefault="008B3FDD" w:rsidP="00581B23">
      <w:pPr>
        <w:pStyle w:val="TitleTitre-AltT"/>
        <w:tabs>
          <w:tab w:val="clear" w:pos="360"/>
          <w:tab w:val="left" w:pos="540"/>
        </w:tabs>
        <w:spacing w:after="720"/>
        <w:ind w:left="547" w:hanging="547"/>
        <w:rPr>
          <w:rFonts w:cs="Times New Roman"/>
          <w:szCs w:val="24"/>
        </w:rPr>
      </w:pPr>
      <w:bookmarkStart w:id="55" w:name="_Toc314733769"/>
      <w:r w:rsidRPr="00D910D8">
        <w:rPr>
          <w:rFonts w:cs="Times New Roman"/>
          <w:szCs w:val="24"/>
        </w:rPr>
        <w:t>H</w:t>
      </w:r>
      <w:r w:rsidR="006C78C6" w:rsidRPr="00D910D8">
        <w:rPr>
          <w:rFonts w:cs="Times New Roman"/>
          <w:szCs w:val="24"/>
        </w:rPr>
        <w:t>.</w:t>
      </w:r>
      <w:r w:rsidR="006C78C6" w:rsidRPr="00D910D8">
        <w:rPr>
          <w:rFonts w:cs="Times New Roman"/>
          <w:szCs w:val="24"/>
        </w:rPr>
        <w:tab/>
      </w:r>
      <w:r w:rsidR="009975F5" w:rsidRPr="00D910D8">
        <w:rPr>
          <w:rFonts w:cs="Times New Roman"/>
          <w:i/>
          <w:szCs w:val="24"/>
        </w:rPr>
        <w:t>The Claim for Equitable Indemnity</w:t>
      </w:r>
      <w:bookmarkEnd w:id="55"/>
    </w:p>
    <w:p w:rsidR="009975F5" w:rsidRPr="00D910D8" w:rsidRDefault="006B1E0A" w:rsidP="005F4E48">
      <w:pPr>
        <w:pStyle w:val="ParaNoNdepar-AltN"/>
        <w:rPr>
          <w:rFonts w:cs="Times New Roman"/>
          <w:szCs w:val="24"/>
        </w:rPr>
      </w:pPr>
      <w:r w:rsidRPr="00D910D8">
        <w:rPr>
          <w:rFonts w:cs="Times New Roman"/>
          <w:szCs w:val="24"/>
        </w:rPr>
        <w:t xml:space="preserve">RBH and Philip Morris </w:t>
      </w:r>
      <w:r w:rsidR="009975F5" w:rsidRPr="00D910D8">
        <w:rPr>
          <w:rFonts w:cs="Times New Roman"/>
          <w:szCs w:val="24"/>
        </w:rPr>
        <w:t xml:space="preserve">submit that if the tobacco companies are found liable in the </w:t>
      </w:r>
      <w:r w:rsidR="009975F5" w:rsidRPr="00D910D8">
        <w:rPr>
          <w:rFonts w:cs="Times New Roman"/>
          <w:i/>
          <w:szCs w:val="24"/>
        </w:rPr>
        <w:t xml:space="preserve">Costs Recovery </w:t>
      </w:r>
      <w:r w:rsidR="00494AF1" w:rsidRPr="00D910D8">
        <w:rPr>
          <w:rFonts w:cs="Times New Roman"/>
          <w:szCs w:val="24"/>
        </w:rPr>
        <w:t xml:space="preserve">case, </w:t>
      </w:r>
      <w:r w:rsidR="009975F5" w:rsidRPr="00D910D8">
        <w:rPr>
          <w:rFonts w:cs="Times New Roman"/>
          <w:szCs w:val="24"/>
        </w:rPr>
        <w:t xml:space="preserve">Canada is liable for “equitable indemnity” on the facts pleaded.  </w:t>
      </w:r>
      <w:r w:rsidRPr="00D910D8">
        <w:rPr>
          <w:rFonts w:cs="Times New Roman"/>
          <w:szCs w:val="24"/>
        </w:rPr>
        <w:t xml:space="preserve">They </w:t>
      </w:r>
      <w:r w:rsidR="009975F5" w:rsidRPr="00D910D8">
        <w:rPr>
          <w:rFonts w:cs="Times New Roman"/>
          <w:szCs w:val="24"/>
        </w:rPr>
        <w:t xml:space="preserve">submit that whenever a person requests or directs another person to do something that causes the other to incur liability, the requesting or directing person is liable to indemnify the other for its liability.  Imperial adopts this argument in the </w:t>
      </w:r>
      <w:r w:rsidR="009975F5" w:rsidRPr="00D910D8">
        <w:rPr>
          <w:rFonts w:cs="Times New Roman"/>
          <w:i/>
          <w:szCs w:val="24"/>
        </w:rPr>
        <w:t xml:space="preserve">Knight </w:t>
      </w:r>
      <w:r w:rsidR="009975F5" w:rsidRPr="00D910D8">
        <w:rPr>
          <w:rFonts w:cs="Times New Roman"/>
          <w:szCs w:val="24"/>
        </w:rPr>
        <w:t>case.</w:t>
      </w:r>
    </w:p>
    <w:p w:rsidR="009975F5" w:rsidRPr="00D910D8" w:rsidRDefault="009975F5" w:rsidP="005F4E48">
      <w:pPr>
        <w:pStyle w:val="ParaNoNdepar-AltN"/>
        <w:rPr>
          <w:rFonts w:cs="Times New Roman"/>
          <w:szCs w:val="24"/>
        </w:rPr>
      </w:pPr>
      <w:r w:rsidRPr="00D910D8">
        <w:rPr>
          <w:rFonts w:cs="Times New Roman"/>
          <w:szCs w:val="24"/>
        </w:rPr>
        <w:t xml:space="preserve">Equitable indemnity is a narrow doctrine, confined to situations of an express or implied understanding that a principal will indemnify its agent for acting on the directions given.  As stated in </w:t>
      </w:r>
      <w:r w:rsidRPr="00D910D8">
        <w:rPr>
          <w:rFonts w:cs="Times New Roman"/>
          <w:i/>
          <w:szCs w:val="24"/>
        </w:rPr>
        <w:t>Parmley v. Parmley</w:t>
      </w:r>
      <w:r w:rsidRPr="00D910D8">
        <w:rPr>
          <w:rFonts w:cs="Times New Roman"/>
          <w:szCs w:val="24"/>
        </w:rPr>
        <w:t>, [1945] S.C.R. 635</w:t>
      </w:r>
      <w:r w:rsidR="00200129" w:rsidRPr="00D910D8">
        <w:rPr>
          <w:rFonts w:cs="Times New Roman"/>
          <w:szCs w:val="24"/>
        </w:rPr>
        <w:t>, claims of equitable indemnity</w:t>
      </w:r>
      <w:r w:rsidRPr="00D910D8">
        <w:rPr>
          <w:rFonts w:cs="Times New Roman"/>
          <w:szCs w:val="24"/>
        </w:rPr>
        <w:t xml:space="preserve"> “proceed upon the notion of a request which one person makes </w:t>
      </w:r>
      <w:r w:rsidRPr="00D910D8">
        <w:rPr>
          <w:rFonts w:cs="Times New Roman"/>
          <w:szCs w:val="24"/>
        </w:rPr>
        <w:lastRenderedPageBreak/>
        <w:t>under circumstances from which the law implies that both parties understand that the person who acts upon the request is to be indemn</w:t>
      </w:r>
      <w:r w:rsidR="008B3FDD" w:rsidRPr="00D910D8">
        <w:rPr>
          <w:rFonts w:cs="Times New Roman"/>
          <w:szCs w:val="24"/>
        </w:rPr>
        <w:t xml:space="preserve">ified if he does so” (p. </w:t>
      </w:r>
      <w:r w:rsidR="00486F47" w:rsidRPr="00D910D8">
        <w:rPr>
          <w:rFonts w:cs="Times New Roman"/>
          <w:szCs w:val="24"/>
        </w:rPr>
        <w:t>64</w:t>
      </w:r>
      <w:r w:rsidR="008B3FDD" w:rsidRPr="00D910D8">
        <w:rPr>
          <w:rFonts w:cs="Times New Roman"/>
          <w:szCs w:val="24"/>
        </w:rPr>
        <w:t>8</w:t>
      </w:r>
      <w:r w:rsidR="00494AF1" w:rsidRPr="00D910D8">
        <w:rPr>
          <w:rFonts w:cs="Times New Roman"/>
          <w:szCs w:val="24"/>
        </w:rPr>
        <w:t xml:space="preserve">, quoting </w:t>
      </w:r>
      <w:r w:rsidR="00BC14CF" w:rsidRPr="00D910D8">
        <w:rPr>
          <w:rFonts w:cs="Times New Roman"/>
          <w:szCs w:val="24"/>
        </w:rPr>
        <w:t xml:space="preserve">Bowen L.J. in </w:t>
      </w:r>
      <w:r w:rsidR="00BC14CF" w:rsidRPr="00D910D8">
        <w:rPr>
          <w:rFonts w:cs="Times New Roman"/>
          <w:i/>
          <w:szCs w:val="24"/>
        </w:rPr>
        <w:t>Birmingham and District Land Co. v. London and North Western Railway Co</w:t>
      </w:r>
      <w:r w:rsidR="00E14FB9" w:rsidRPr="00D910D8">
        <w:rPr>
          <w:rFonts w:cs="Times New Roman"/>
          <w:i/>
          <w:szCs w:val="24"/>
        </w:rPr>
        <w:t>.</w:t>
      </w:r>
      <w:r w:rsidR="00BC14CF" w:rsidRPr="00D910D8">
        <w:rPr>
          <w:rFonts w:cs="Times New Roman"/>
          <w:i/>
          <w:szCs w:val="24"/>
        </w:rPr>
        <w:t xml:space="preserve"> </w:t>
      </w:r>
      <w:r w:rsidR="00BC14CF" w:rsidRPr="00D910D8">
        <w:rPr>
          <w:rFonts w:cs="Times New Roman"/>
          <w:szCs w:val="24"/>
        </w:rPr>
        <w:t>(1886), 34 Ch. D. 261, at p. 275.</w:t>
      </w:r>
    </w:p>
    <w:p w:rsidR="009975F5" w:rsidRPr="00D910D8" w:rsidRDefault="009975F5" w:rsidP="005F4E48">
      <w:pPr>
        <w:pStyle w:val="ParaNoNdepar-AltN"/>
        <w:rPr>
          <w:rFonts w:cs="Times New Roman"/>
          <w:szCs w:val="24"/>
        </w:rPr>
      </w:pPr>
      <w:r w:rsidRPr="00D910D8">
        <w:rPr>
          <w:rFonts w:cs="Times New Roman"/>
          <w:szCs w:val="24"/>
        </w:rPr>
        <w:t xml:space="preserve">In my view, the Court of Appeal, </w:t>
      </w:r>
      <w:r w:rsidRPr="00D910D8">
        <w:rPr>
          <w:rFonts w:cs="Times New Roman"/>
          <w:i/>
          <w:szCs w:val="24"/>
        </w:rPr>
        <w:t>per</w:t>
      </w:r>
      <w:r w:rsidRPr="00D910D8">
        <w:rPr>
          <w:rFonts w:cs="Times New Roman"/>
          <w:szCs w:val="24"/>
        </w:rPr>
        <w:t xml:space="preserve"> Hall J.A., correctly held that the </w:t>
      </w:r>
      <w:r w:rsidR="00486F47" w:rsidRPr="00D910D8">
        <w:rPr>
          <w:rFonts w:cs="Times New Roman"/>
          <w:szCs w:val="24"/>
        </w:rPr>
        <w:t>tobacco companies</w:t>
      </w:r>
      <w:r w:rsidRPr="00D910D8">
        <w:rPr>
          <w:rFonts w:cs="Times New Roman"/>
          <w:szCs w:val="24"/>
        </w:rPr>
        <w:t xml:space="preserve"> could not establish </w:t>
      </w:r>
      <w:r w:rsidR="00486F47" w:rsidRPr="00D910D8">
        <w:rPr>
          <w:rFonts w:cs="Times New Roman"/>
          <w:szCs w:val="24"/>
        </w:rPr>
        <w:t>this requirement of the claim:</w:t>
      </w:r>
    </w:p>
    <w:p w:rsidR="009975F5" w:rsidRPr="00D910D8" w:rsidRDefault="009975F5" w:rsidP="005F4E48">
      <w:pPr>
        <w:pStyle w:val="Citation-AltC"/>
        <w:rPr>
          <w:szCs w:val="24"/>
        </w:rPr>
      </w:pPr>
      <w:r w:rsidRPr="00D910D8">
        <w:rPr>
          <w:szCs w:val="24"/>
        </w:rPr>
        <w:t>[I]f the notional reasonable observer were asked whether or not Canada, in the interaction it had over many decades with the appellants, was undertaking to indemnify them from some future liability that might be incurred relating to their business, the observer would reply that this could not be a rational expectation, having regard to the relationship between the parties. Likewise, if Canada through its agents had been specifically asked or a suggestion had been made to its agents by representatives of the appellants that Canada might in future be liable for any such responsibility or incur such a liability, the answer would have been fir</w:t>
      </w:r>
      <w:r w:rsidR="008B3FDD" w:rsidRPr="00D910D8">
        <w:rPr>
          <w:szCs w:val="24"/>
        </w:rPr>
        <w:t>mly in the negative. [</w:t>
      </w:r>
      <w:r w:rsidR="00494AF1" w:rsidRPr="00D910D8">
        <w:rPr>
          <w:i/>
          <w:szCs w:val="24"/>
        </w:rPr>
        <w:t xml:space="preserve">Costs Recovery </w:t>
      </w:r>
      <w:r w:rsidR="00494AF1" w:rsidRPr="00D910D8">
        <w:rPr>
          <w:szCs w:val="24"/>
        </w:rPr>
        <w:t xml:space="preserve">case, </w:t>
      </w:r>
      <w:r w:rsidR="008B3FDD" w:rsidRPr="00D910D8">
        <w:rPr>
          <w:szCs w:val="24"/>
        </w:rPr>
        <w:t>para. 57]</w:t>
      </w:r>
    </w:p>
    <w:p w:rsidR="003134CB" w:rsidRPr="00D910D8" w:rsidRDefault="009975F5" w:rsidP="005F4E48">
      <w:pPr>
        <w:pStyle w:val="ContinueParaSuitedupar-AltP"/>
        <w:rPr>
          <w:rFonts w:cs="Times New Roman"/>
          <w:szCs w:val="24"/>
        </w:rPr>
      </w:pPr>
      <w:r w:rsidRPr="00D910D8">
        <w:rPr>
          <w:rFonts w:cs="Times New Roman"/>
          <w:szCs w:val="24"/>
        </w:rPr>
        <w:t>When Canada directed the tobacco industry about how it should conduct itself, it was doing so in its capacity as a government regulator that was concerned about the health of Canadians.  Under such circumstances, it is unreasonable to infer that Canada was implicitly promising to indemnify the industry for acting on its request.</w:t>
      </w:r>
    </w:p>
    <w:p w:rsidR="005C633D" w:rsidRPr="00D910D8" w:rsidRDefault="008B3FDD" w:rsidP="0066330D">
      <w:pPr>
        <w:pStyle w:val="TitleTitre-AltT"/>
        <w:tabs>
          <w:tab w:val="clear" w:pos="360"/>
          <w:tab w:val="left" w:pos="540"/>
        </w:tabs>
        <w:ind w:left="540" w:hanging="540"/>
        <w:rPr>
          <w:rFonts w:cs="Times New Roman"/>
          <w:szCs w:val="24"/>
        </w:rPr>
      </w:pPr>
      <w:bookmarkStart w:id="56" w:name="_Toc314733770"/>
      <w:r w:rsidRPr="00D910D8">
        <w:rPr>
          <w:rFonts w:cs="Times New Roman"/>
          <w:szCs w:val="24"/>
        </w:rPr>
        <w:t>I</w:t>
      </w:r>
      <w:r w:rsidR="005F4E48" w:rsidRPr="00D910D8">
        <w:rPr>
          <w:rFonts w:cs="Times New Roman"/>
          <w:szCs w:val="24"/>
        </w:rPr>
        <w:t>.</w:t>
      </w:r>
      <w:r w:rsidR="005F4E48" w:rsidRPr="00D910D8">
        <w:rPr>
          <w:rFonts w:cs="Times New Roman"/>
          <w:szCs w:val="24"/>
        </w:rPr>
        <w:tab/>
      </w:r>
      <w:r w:rsidR="00200129" w:rsidRPr="00D910D8">
        <w:rPr>
          <w:rFonts w:cs="Times New Roman"/>
          <w:i/>
          <w:szCs w:val="24"/>
        </w:rPr>
        <w:t>Procedural Considerations</w:t>
      </w:r>
      <w:bookmarkEnd w:id="56"/>
    </w:p>
    <w:p w:rsidR="005C633D" w:rsidRPr="00D910D8" w:rsidRDefault="00FF68E9" w:rsidP="005F4E48">
      <w:pPr>
        <w:pStyle w:val="ParaNoNdepar-AltN"/>
        <w:rPr>
          <w:rFonts w:cs="Times New Roman"/>
          <w:szCs w:val="24"/>
        </w:rPr>
      </w:pPr>
      <w:r w:rsidRPr="00D910D8">
        <w:rPr>
          <w:rFonts w:cs="Times New Roman"/>
          <w:szCs w:val="24"/>
        </w:rPr>
        <w:lastRenderedPageBreak/>
        <w:t>In the courts below</w:t>
      </w:r>
      <w:r w:rsidR="00C94C39" w:rsidRPr="00D910D8">
        <w:rPr>
          <w:rFonts w:cs="Times New Roman"/>
          <w:szCs w:val="24"/>
        </w:rPr>
        <w:t xml:space="preserve">, the tobacco companies </w:t>
      </w:r>
      <w:r w:rsidR="00200129" w:rsidRPr="00D910D8">
        <w:rPr>
          <w:rFonts w:cs="Times New Roman"/>
          <w:szCs w:val="24"/>
        </w:rPr>
        <w:t xml:space="preserve">argued </w:t>
      </w:r>
      <w:r w:rsidR="00C94C39" w:rsidRPr="00D910D8">
        <w:rPr>
          <w:rFonts w:cs="Times New Roman"/>
          <w:szCs w:val="24"/>
        </w:rPr>
        <w:t xml:space="preserve">that </w:t>
      </w:r>
      <w:r w:rsidR="00200129" w:rsidRPr="00D910D8">
        <w:rPr>
          <w:rFonts w:cs="Times New Roman"/>
          <w:szCs w:val="24"/>
        </w:rPr>
        <w:t xml:space="preserve">even </w:t>
      </w:r>
      <w:r w:rsidR="00C94C39" w:rsidRPr="00D910D8">
        <w:rPr>
          <w:rFonts w:cs="Times New Roman"/>
          <w:szCs w:val="24"/>
        </w:rPr>
        <w:t xml:space="preserve">if </w:t>
      </w:r>
      <w:r w:rsidR="00763B7F" w:rsidRPr="00D910D8">
        <w:rPr>
          <w:rFonts w:cs="Times New Roman"/>
          <w:szCs w:val="24"/>
        </w:rPr>
        <w:t>the claims for compensation against Canada are struck</w:t>
      </w:r>
      <w:r w:rsidR="00C94C39" w:rsidRPr="00D910D8">
        <w:rPr>
          <w:rFonts w:cs="Times New Roman"/>
          <w:szCs w:val="24"/>
        </w:rPr>
        <w:t xml:space="preserve">, </w:t>
      </w:r>
      <w:r w:rsidR="00763B7F" w:rsidRPr="00D910D8">
        <w:rPr>
          <w:rFonts w:cs="Times New Roman"/>
          <w:szCs w:val="24"/>
        </w:rPr>
        <w:t xml:space="preserve">Canada </w:t>
      </w:r>
      <w:r w:rsidR="00200129" w:rsidRPr="00D910D8">
        <w:rPr>
          <w:rFonts w:cs="Times New Roman"/>
          <w:szCs w:val="24"/>
        </w:rPr>
        <w:t>should</w:t>
      </w:r>
      <w:r w:rsidR="00C94C39" w:rsidRPr="00D910D8">
        <w:rPr>
          <w:rFonts w:cs="Times New Roman"/>
          <w:szCs w:val="24"/>
        </w:rPr>
        <w:t xml:space="preserve"> remain a third party in the litigation for procedural reasons.</w:t>
      </w:r>
      <w:r w:rsidR="00596131" w:rsidRPr="00D910D8">
        <w:rPr>
          <w:rFonts w:cs="Times New Roman"/>
          <w:szCs w:val="24"/>
        </w:rPr>
        <w:t xml:space="preserve">  </w:t>
      </w:r>
      <w:r w:rsidR="009B1C3B" w:rsidRPr="00D910D8">
        <w:rPr>
          <w:rFonts w:cs="Times New Roman"/>
          <w:szCs w:val="24"/>
        </w:rPr>
        <w:t xml:space="preserve">The tobacco companies argued that </w:t>
      </w:r>
      <w:r w:rsidR="0089194A" w:rsidRPr="00D910D8">
        <w:rPr>
          <w:rFonts w:cs="Times New Roman"/>
          <w:szCs w:val="24"/>
        </w:rPr>
        <w:t>their ability to mount defence</w:t>
      </w:r>
      <w:r w:rsidR="005373AC" w:rsidRPr="00D910D8">
        <w:rPr>
          <w:rFonts w:cs="Times New Roman"/>
          <w:szCs w:val="24"/>
        </w:rPr>
        <w:t>s</w:t>
      </w:r>
      <w:r w:rsidR="0089194A" w:rsidRPr="00D910D8">
        <w:rPr>
          <w:rFonts w:cs="Times New Roman"/>
          <w:szCs w:val="24"/>
        </w:rPr>
        <w:t xml:space="preserve"> </w:t>
      </w:r>
      <w:r w:rsidR="005373AC" w:rsidRPr="00D910D8">
        <w:rPr>
          <w:rFonts w:cs="Times New Roman"/>
          <w:szCs w:val="24"/>
        </w:rPr>
        <w:t xml:space="preserve">against British Columbia in the </w:t>
      </w:r>
      <w:r w:rsidR="005373AC" w:rsidRPr="00D910D8">
        <w:rPr>
          <w:rFonts w:cs="Times New Roman"/>
          <w:i/>
          <w:szCs w:val="24"/>
        </w:rPr>
        <w:t xml:space="preserve">Costs Recovery </w:t>
      </w:r>
      <w:r w:rsidR="005373AC" w:rsidRPr="00D910D8">
        <w:rPr>
          <w:rFonts w:cs="Times New Roman"/>
          <w:szCs w:val="24"/>
        </w:rPr>
        <w:t xml:space="preserve">case and the class members in the </w:t>
      </w:r>
      <w:r w:rsidR="005373AC" w:rsidRPr="00D910D8">
        <w:rPr>
          <w:rFonts w:cs="Times New Roman"/>
          <w:i/>
          <w:szCs w:val="24"/>
        </w:rPr>
        <w:t xml:space="preserve">Knight </w:t>
      </w:r>
      <w:r w:rsidR="005373AC" w:rsidRPr="00D910D8">
        <w:rPr>
          <w:rFonts w:cs="Times New Roman"/>
          <w:szCs w:val="24"/>
        </w:rPr>
        <w:t>case</w:t>
      </w:r>
      <w:r w:rsidR="0089194A" w:rsidRPr="00D910D8">
        <w:rPr>
          <w:rFonts w:cs="Times New Roman"/>
          <w:szCs w:val="24"/>
        </w:rPr>
        <w:t xml:space="preserve"> </w:t>
      </w:r>
      <w:r w:rsidR="009B1C3B" w:rsidRPr="00D910D8">
        <w:rPr>
          <w:rFonts w:cs="Times New Roman"/>
          <w:szCs w:val="24"/>
        </w:rPr>
        <w:t>would be</w:t>
      </w:r>
      <w:r w:rsidR="0089194A" w:rsidRPr="00D910D8">
        <w:rPr>
          <w:rFonts w:cs="Times New Roman"/>
          <w:szCs w:val="24"/>
        </w:rPr>
        <w:t xml:space="preserve"> severely</w:t>
      </w:r>
      <w:r w:rsidR="009B1C3B" w:rsidRPr="00D910D8">
        <w:rPr>
          <w:rFonts w:cs="Times New Roman"/>
          <w:szCs w:val="24"/>
        </w:rPr>
        <w:t xml:space="preserve"> prejudiced if </w:t>
      </w:r>
      <w:r w:rsidR="0089194A" w:rsidRPr="00D910D8">
        <w:rPr>
          <w:rFonts w:cs="Times New Roman"/>
          <w:szCs w:val="24"/>
        </w:rPr>
        <w:t>Canada was no longer a third party</w:t>
      </w:r>
      <w:r w:rsidR="009B1C3B" w:rsidRPr="00D910D8">
        <w:rPr>
          <w:rFonts w:cs="Times New Roman"/>
          <w:szCs w:val="24"/>
        </w:rPr>
        <w:t xml:space="preserve">.  </w:t>
      </w:r>
      <w:r w:rsidR="00200129" w:rsidRPr="00D910D8">
        <w:rPr>
          <w:rFonts w:cs="Times New Roman"/>
          <w:szCs w:val="24"/>
        </w:rPr>
        <w:t>T</w:t>
      </w:r>
      <w:r w:rsidR="005574A8" w:rsidRPr="00D910D8">
        <w:rPr>
          <w:rFonts w:cs="Times New Roman"/>
          <w:szCs w:val="24"/>
        </w:rPr>
        <w:t xml:space="preserve">his </w:t>
      </w:r>
      <w:r w:rsidR="00596131" w:rsidRPr="00D910D8">
        <w:rPr>
          <w:rFonts w:cs="Times New Roman"/>
          <w:szCs w:val="24"/>
        </w:rPr>
        <w:t>argume</w:t>
      </w:r>
      <w:r w:rsidR="00486F47" w:rsidRPr="00D910D8">
        <w:rPr>
          <w:rFonts w:cs="Times New Roman"/>
          <w:szCs w:val="24"/>
        </w:rPr>
        <w:t xml:space="preserve">nt was rejected </w:t>
      </w:r>
      <w:r w:rsidR="00200129" w:rsidRPr="00D910D8">
        <w:rPr>
          <w:rFonts w:cs="Times New Roman"/>
          <w:szCs w:val="24"/>
        </w:rPr>
        <w:t xml:space="preserve">in </w:t>
      </w:r>
      <w:r w:rsidR="008B3FDD" w:rsidRPr="00D910D8">
        <w:rPr>
          <w:rFonts w:cs="Times New Roman"/>
          <w:szCs w:val="24"/>
        </w:rPr>
        <w:t>c</w:t>
      </w:r>
      <w:r w:rsidR="00200129" w:rsidRPr="00D910D8">
        <w:rPr>
          <w:rFonts w:cs="Times New Roman"/>
          <w:szCs w:val="24"/>
        </w:rPr>
        <w:t xml:space="preserve">hambers </w:t>
      </w:r>
      <w:proofErr w:type="gramStart"/>
      <w:r w:rsidR="00486F47" w:rsidRPr="00D910D8">
        <w:rPr>
          <w:rFonts w:cs="Times New Roman"/>
          <w:szCs w:val="24"/>
        </w:rPr>
        <w:t>by both Wedge</w:t>
      </w:r>
      <w:r w:rsidR="00200129" w:rsidRPr="00D910D8">
        <w:rPr>
          <w:rFonts w:cs="Times New Roman"/>
          <w:szCs w:val="24"/>
        </w:rPr>
        <w:t xml:space="preserve"> J.</w:t>
      </w:r>
      <w:proofErr w:type="gramEnd"/>
      <w:r w:rsidR="00200129" w:rsidRPr="00D910D8">
        <w:rPr>
          <w:rFonts w:cs="Times New Roman"/>
          <w:szCs w:val="24"/>
        </w:rPr>
        <w:t xml:space="preserve">  </w:t>
      </w:r>
      <w:proofErr w:type="gramStart"/>
      <w:r w:rsidR="00596131" w:rsidRPr="00D910D8">
        <w:rPr>
          <w:rFonts w:cs="Times New Roman"/>
          <w:szCs w:val="24"/>
        </w:rPr>
        <w:t>and</w:t>
      </w:r>
      <w:proofErr w:type="gramEnd"/>
      <w:r w:rsidR="00596131" w:rsidRPr="00D910D8">
        <w:rPr>
          <w:rFonts w:cs="Times New Roman"/>
          <w:szCs w:val="24"/>
        </w:rPr>
        <w:t xml:space="preserve"> Satanove J.</w:t>
      </w:r>
      <w:r w:rsidR="00200129" w:rsidRPr="00D910D8">
        <w:rPr>
          <w:rFonts w:cs="Times New Roman"/>
          <w:szCs w:val="24"/>
        </w:rPr>
        <w:t xml:space="preserve">  The majority of </w:t>
      </w:r>
      <w:r w:rsidR="00EF1F77" w:rsidRPr="00D910D8">
        <w:rPr>
          <w:rFonts w:cs="Times New Roman"/>
          <w:szCs w:val="24"/>
        </w:rPr>
        <w:t xml:space="preserve">the Court of Appeal found it unnecessary </w:t>
      </w:r>
      <w:r w:rsidR="004B231E" w:rsidRPr="00D910D8">
        <w:rPr>
          <w:rFonts w:cs="Times New Roman"/>
          <w:szCs w:val="24"/>
        </w:rPr>
        <w:t>to consider the question</w:t>
      </w:r>
      <w:r w:rsidR="00EF1F77" w:rsidRPr="00D910D8">
        <w:rPr>
          <w:rFonts w:cs="Times New Roman"/>
          <w:szCs w:val="24"/>
        </w:rPr>
        <w:t>,</w:t>
      </w:r>
      <w:r w:rsidR="004B231E" w:rsidRPr="00D910D8">
        <w:rPr>
          <w:rFonts w:cs="Times New Roman"/>
          <w:szCs w:val="24"/>
        </w:rPr>
        <w:t xml:space="preserve"> while Hall J.A. would have affirmed the holdings of the </w:t>
      </w:r>
      <w:r w:rsidR="008B3FDD" w:rsidRPr="00D910D8">
        <w:rPr>
          <w:rFonts w:cs="Times New Roman"/>
          <w:szCs w:val="24"/>
        </w:rPr>
        <w:t>c</w:t>
      </w:r>
      <w:r w:rsidR="004B231E" w:rsidRPr="00D910D8">
        <w:rPr>
          <w:rFonts w:cs="Times New Roman"/>
          <w:szCs w:val="24"/>
        </w:rPr>
        <w:t xml:space="preserve">hambers </w:t>
      </w:r>
      <w:r w:rsidR="008B3FDD" w:rsidRPr="00D910D8">
        <w:rPr>
          <w:rFonts w:cs="Times New Roman"/>
          <w:szCs w:val="24"/>
        </w:rPr>
        <w:t>j</w:t>
      </w:r>
      <w:r w:rsidR="004B231E" w:rsidRPr="00D910D8">
        <w:rPr>
          <w:rFonts w:cs="Times New Roman"/>
          <w:szCs w:val="24"/>
        </w:rPr>
        <w:t>udges.</w:t>
      </w:r>
    </w:p>
    <w:p w:rsidR="004B231E" w:rsidRPr="00D910D8" w:rsidRDefault="00EF1F77" w:rsidP="005F4E48">
      <w:pPr>
        <w:pStyle w:val="ParaNoNdepar-AltN"/>
        <w:rPr>
          <w:rFonts w:cs="Times New Roman"/>
          <w:szCs w:val="24"/>
        </w:rPr>
      </w:pPr>
      <w:r w:rsidRPr="00D910D8">
        <w:rPr>
          <w:rFonts w:cs="Times New Roman"/>
          <w:szCs w:val="24"/>
        </w:rPr>
        <w:t>The</w:t>
      </w:r>
      <w:r w:rsidR="00100698" w:rsidRPr="00D910D8">
        <w:rPr>
          <w:rFonts w:cs="Times New Roman"/>
          <w:szCs w:val="24"/>
        </w:rPr>
        <w:t xml:space="preserve"> tobacco companies </w:t>
      </w:r>
      <w:r w:rsidRPr="00D910D8">
        <w:rPr>
          <w:rFonts w:cs="Times New Roman"/>
          <w:szCs w:val="24"/>
        </w:rPr>
        <w:t>did not pursue this issue on appeal. I would affirm</w:t>
      </w:r>
      <w:r w:rsidR="00100698" w:rsidRPr="00D910D8">
        <w:rPr>
          <w:rFonts w:cs="Times New Roman"/>
          <w:szCs w:val="24"/>
        </w:rPr>
        <w:t xml:space="preserve"> the findings of Wedge</w:t>
      </w:r>
      <w:r w:rsidRPr="00D910D8">
        <w:rPr>
          <w:rFonts w:cs="Times New Roman"/>
          <w:szCs w:val="24"/>
        </w:rPr>
        <w:t xml:space="preserve"> J.,</w:t>
      </w:r>
      <w:r w:rsidR="00100698" w:rsidRPr="00D910D8">
        <w:rPr>
          <w:rFonts w:cs="Times New Roman"/>
          <w:szCs w:val="24"/>
        </w:rPr>
        <w:t xml:space="preserve"> Satanove J.</w:t>
      </w:r>
      <w:r w:rsidRPr="00D910D8">
        <w:rPr>
          <w:rFonts w:cs="Times New Roman"/>
          <w:szCs w:val="24"/>
        </w:rPr>
        <w:t xml:space="preserve"> and Hall J.</w:t>
      </w:r>
      <w:r w:rsidR="008B3FDD" w:rsidRPr="00D910D8">
        <w:rPr>
          <w:rFonts w:cs="Times New Roman"/>
          <w:szCs w:val="24"/>
        </w:rPr>
        <w:t>A.</w:t>
      </w:r>
      <w:r w:rsidR="00100698" w:rsidRPr="00D910D8">
        <w:rPr>
          <w:rFonts w:cs="Times New Roman"/>
          <w:szCs w:val="24"/>
        </w:rPr>
        <w:t xml:space="preserve"> and </w:t>
      </w:r>
      <w:r w:rsidR="005574A8" w:rsidRPr="00D910D8">
        <w:rPr>
          <w:rFonts w:cs="Times New Roman"/>
          <w:szCs w:val="24"/>
        </w:rPr>
        <w:t xml:space="preserve">strike </w:t>
      </w:r>
      <w:r w:rsidR="00100698" w:rsidRPr="00D910D8">
        <w:rPr>
          <w:rFonts w:cs="Times New Roman"/>
          <w:szCs w:val="24"/>
        </w:rPr>
        <w:t>the claim</w:t>
      </w:r>
      <w:r w:rsidR="005574A8" w:rsidRPr="00D910D8">
        <w:rPr>
          <w:rFonts w:cs="Times New Roman"/>
          <w:szCs w:val="24"/>
        </w:rPr>
        <w:t>s</w:t>
      </w:r>
      <w:r w:rsidR="00100698" w:rsidRPr="00D910D8">
        <w:rPr>
          <w:rFonts w:cs="Times New Roman"/>
          <w:szCs w:val="24"/>
        </w:rPr>
        <w:t xml:space="preserve"> for declaratory relief.</w:t>
      </w:r>
    </w:p>
    <w:p w:rsidR="00C30AFF" w:rsidRPr="00D910D8" w:rsidRDefault="008B3FDD" w:rsidP="00B43617">
      <w:pPr>
        <w:pStyle w:val="TitleTitre-AltT"/>
        <w:tabs>
          <w:tab w:val="clear" w:pos="360"/>
          <w:tab w:val="left" w:pos="540"/>
        </w:tabs>
        <w:spacing w:after="720"/>
        <w:ind w:left="540" w:hanging="540"/>
        <w:rPr>
          <w:rFonts w:cs="Times New Roman"/>
          <w:szCs w:val="24"/>
        </w:rPr>
      </w:pPr>
      <w:bookmarkStart w:id="57" w:name="_Toc314733771"/>
      <w:r w:rsidRPr="00D910D8">
        <w:rPr>
          <w:rFonts w:cs="Times New Roman"/>
          <w:szCs w:val="24"/>
        </w:rPr>
        <w:t>V</w:t>
      </w:r>
      <w:r w:rsidR="005F4E48" w:rsidRPr="00D910D8">
        <w:rPr>
          <w:rFonts w:cs="Times New Roman"/>
          <w:szCs w:val="24"/>
        </w:rPr>
        <w:t>.</w:t>
      </w:r>
      <w:r w:rsidR="005F4E48" w:rsidRPr="00D910D8">
        <w:rPr>
          <w:rFonts w:cs="Times New Roman"/>
          <w:szCs w:val="24"/>
        </w:rPr>
        <w:tab/>
      </w:r>
      <w:r w:rsidR="002606F8" w:rsidRPr="00D910D8">
        <w:rPr>
          <w:rFonts w:cs="Times New Roman"/>
          <w:szCs w:val="24"/>
          <w:u w:val="single"/>
        </w:rPr>
        <w:t>Conclusi</w:t>
      </w:r>
      <w:r w:rsidR="005257BD" w:rsidRPr="00D910D8">
        <w:rPr>
          <w:rFonts w:cs="Times New Roman"/>
          <w:szCs w:val="24"/>
          <w:u w:val="single"/>
        </w:rPr>
        <w:t>on</w:t>
      </w:r>
      <w:bookmarkEnd w:id="57"/>
    </w:p>
    <w:p w:rsidR="008E3CC2" w:rsidRPr="00D910D8" w:rsidRDefault="002606F8" w:rsidP="005F4E48">
      <w:pPr>
        <w:pStyle w:val="ParaNoNdepar-AltN"/>
        <w:rPr>
          <w:rFonts w:cs="Times New Roman"/>
          <w:szCs w:val="24"/>
        </w:rPr>
      </w:pPr>
      <w:r w:rsidRPr="00D910D8">
        <w:rPr>
          <w:rFonts w:cs="Times New Roman"/>
          <w:szCs w:val="24"/>
        </w:rPr>
        <w:t xml:space="preserve">I conclude that it is plain and obvious that the tobacco companies’ claims against Canada have no reasonable chance of success, and should be struck out. Canada’s appeals in the </w:t>
      </w:r>
      <w:r w:rsidRPr="00D910D8">
        <w:rPr>
          <w:rFonts w:cs="Times New Roman"/>
          <w:i/>
          <w:szCs w:val="24"/>
        </w:rPr>
        <w:t xml:space="preserve">Costs Recovery </w:t>
      </w:r>
      <w:r w:rsidRPr="00D910D8">
        <w:rPr>
          <w:rFonts w:cs="Times New Roman"/>
          <w:szCs w:val="24"/>
        </w:rPr>
        <w:t>case</w:t>
      </w:r>
      <w:r w:rsidRPr="00D910D8">
        <w:rPr>
          <w:rFonts w:cs="Times New Roman"/>
          <w:i/>
          <w:szCs w:val="24"/>
        </w:rPr>
        <w:t xml:space="preserve"> </w:t>
      </w:r>
      <w:r w:rsidRPr="00D910D8">
        <w:rPr>
          <w:rFonts w:cs="Times New Roman"/>
          <w:szCs w:val="24"/>
        </w:rPr>
        <w:t xml:space="preserve">and the </w:t>
      </w:r>
      <w:r w:rsidRPr="00D910D8">
        <w:rPr>
          <w:rFonts w:cs="Times New Roman"/>
          <w:i/>
          <w:szCs w:val="24"/>
        </w:rPr>
        <w:t xml:space="preserve">Knight </w:t>
      </w:r>
      <w:r w:rsidRPr="00D910D8">
        <w:rPr>
          <w:rFonts w:cs="Times New Roman"/>
          <w:szCs w:val="24"/>
        </w:rPr>
        <w:t xml:space="preserve">case are allowed, and the cross-appeals are dismissed.  Costs are awarded </w:t>
      </w:r>
      <w:r w:rsidR="00494AF1" w:rsidRPr="00D910D8">
        <w:rPr>
          <w:rFonts w:cs="Times New Roman"/>
          <w:szCs w:val="24"/>
        </w:rPr>
        <w:t xml:space="preserve">throughout </w:t>
      </w:r>
      <w:r w:rsidRPr="00D910D8">
        <w:rPr>
          <w:rFonts w:cs="Times New Roman"/>
          <w:szCs w:val="24"/>
        </w:rPr>
        <w:t xml:space="preserve">against Imperial in the </w:t>
      </w:r>
      <w:r w:rsidRPr="00D910D8">
        <w:rPr>
          <w:rFonts w:cs="Times New Roman"/>
          <w:i/>
          <w:szCs w:val="24"/>
        </w:rPr>
        <w:t xml:space="preserve">Knight </w:t>
      </w:r>
      <w:r w:rsidRPr="00D910D8">
        <w:rPr>
          <w:rFonts w:cs="Times New Roman"/>
          <w:szCs w:val="24"/>
        </w:rPr>
        <w:t xml:space="preserve">case, and against the tobacco companies in the </w:t>
      </w:r>
      <w:r w:rsidRPr="00D910D8">
        <w:rPr>
          <w:rFonts w:cs="Times New Roman"/>
          <w:i/>
          <w:szCs w:val="24"/>
        </w:rPr>
        <w:t xml:space="preserve">Costs Recovery </w:t>
      </w:r>
      <w:r w:rsidRPr="00D910D8">
        <w:rPr>
          <w:rFonts w:cs="Times New Roman"/>
          <w:szCs w:val="24"/>
        </w:rPr>
        <w:t xml:space="preserve">case.  No costs are awarded against or in favour of British Columbia in the </w:t>
      </w:r>
      <w:r w:rsidRPr="00D910D8">
        <w:rPr>
          <w:rFonts w:cs="Times New Roman"/>
          <w:i/>
          <w:szCs w:val="24"/>
        </w:rPr>
        <w:t>Costs Recovery</w:t>
      </w:r>
      <w:r w:rsidRPr="00D910D8">
        <w:rPr>
          <w:rFonts w:cs="Times New Roman"/>
          <w:szCs w:val="24"/>
        </w:rPr>
        <w:t xml:space="preserve"> case.</w:t>
      </w:r>
    </w:p>
    <w:p w:rsidR="000E7BE0" w:rsidRPr="00D910D8" w:rsidRDefault="000E7BE0" w:rsidP="000E7BE0">
      <w:pPr>
        <w:pStyle w:val="ParaNoNdepar-AltN"/>
        <w:numPr>
          <w:ilvl w:val="0"/>
          <w:numId w:val="0"/>
        </w:numPr>
        <w:rPr>
          <w:rFonts w:cs="Times New Roman"/>
          <w:i/>
          <w:szCs w:val="24"/>
        </w:rPr>
      </w:pPr>
      <w:r w:rsidRPr="00D910D8">
        <w:rPr>
          <w:rFonts w:cs="Times New Roman"/>
          <w:i/>
          <w:szCs w:val="24"/>
        </w:rPr>
        <w:lastRenderedPageBreak/>
        <w:tab/>
        <w:t>Appeals allowed and cross</w:t>
      </w:r>
      <w:r w:rsidRPr="00D910D8">
        <w:rPr>
          <w:rFonts w:cs="Times New Roman"/>
          <w:i/>
          <w:szCs w:val="24"/>
        </w:rPr>
        <w:noBreakHyphen/>
        <w:t>appeals dismissed with costs.</w:t>
      </w:r>
    </w:p>
    <w:p w:rsidR="000E7BE0" w:rsidRPr="00D910D8" w:rsidRDefault="000E7BE0" w:rsidP="000E7BE0">
      <w:pPr>
        <w:pStyle w:val="ParaNoNdepar-AltN"/>
        <w:numPr>
          <w:ilvl w:val="0"/>
          <w:numId w:val="0"/>
        </w:numPr>
        <w:rPr>
          <w:rFonts w:cs="Times New Roman"/>
          <w:i/>
          <w:szCs w:val="24"/>
        </w:rPr>
      </w:pPr>
      <w:r w:rsidRPr="00D910D8">
        <w:rPr>
          <w:rFonts w:cs="Times New Roman"/>
          <w:i/>
          <w:szCs w:val="24"/>
        </w:rPr>
        <w:tab/>
        <w:t>Solicitor for the appellants/respondents on cross</w:t>
      </w:r>
      <w:r w:rsidRPr="00D910D8">
        <w:rPr>
          <w:rFonts w:cs="Times New Roman"/>
          <w:i/>
          <w:szCs w:val="24"/>
        </w:rPr>
        <w:noBreakHyphen/>
        <w:t>appeal (33559</w:t>
      </w:r>
      <w:r w:rsidRPr="00D910D8">
        <w:rPr>
          <w:rFonts w:cs="Times New Roman"/>
          <w:i/>
          <w:szCs w:val="24"/>
        </w:rPr>
        <w:noBreakHyphen/>
        <w:t>33563):  Attorney General of Canada, Ottawa.</w:t>
      </w:r>
    </w:p>
    <w:p w:rsidR="000E7BE0" w:rsidRPr="00D910D8" w:rsidRDefault="000E7BE0" w:rsidP="000E7BE0">
      <w:pPr>
        <w:pStyle w:val="ParaNoNdepar-AltN"/>
        <w:numPr>
          <w:ilvl w:val="0"/>
          <w:numId w:val="0"/>
        </w:numPr>
        <w:rPr>
          <w:rFonts w:cs="Times New Roman"/>
          <w:i/>
          <w:szCs w:val="24"/>
        </w:rPr>
      </w:pPr>
      <w:r w:rsidRPr="00D910D8">
        <w:rPr>
          <w:rFonts w:cs="Times New Roman"/>
          <w:i/>
          <w:szCs w:val="24"/>
        </w:rPr>
        <w:tab/>
        <w:t>Solicitors for the respondent/appellant on cross</w:t>
      </w:r>
      <w:r w:rsidRPr="00D910D8">
        <w:rPr>
          <w:rFonts w:cs="Times New Roman"/>
          <w:i/>
          <w:szCs w:val="24"/>
        </w:rPr>
        <w:noBreakHyphen/>
        <w:t>appeal Imperial Tobacco Canada Limited (33559):  Hunter Litigation Chambers Law Corporation, Vancouver.</w:t>
      </w:r>
    </w:p>
    <w:p w:rsidR="000E7BE0" w:rsidRPr="00D910D8" w:rsidRDefault="000E7BE0" w:rsidP="000E7BE0">
      <w:pPr>
        <w:pStyle w:val="ParaNoNdepar-AltN"/>
        <w:numPr>
          <w:ilvl w:val="0"/>
          <w:numId w:val="0"/>
        </w:numPr>
        <w:rPr>
          <w:rFonts w:cs="Times New Roman"/>
          <w:i/>
          <w:szCs w:val="24"/>
        </w:rPr>
      </w:pPr>
      <w:r w:rsidRPr="00D910D8">
        <w:rPr>
          <w:rFonts w:cs="Times New Roman"/>
          <w:i/>
          <w:szCs w:val="24"/>
        </w:rPr>
        <w:tab/>
        <w:t xml:space="preserve">Solicitors for the respondent Her Majesty the Queen in Right of British Columbia (33563):  Bull, Housser &amp; Tupper, </w:t>
      </w:r>
      <w:proofErr w:type="gramStart"/>
      <w:r w:rsidRPr="00D910D8">
        <w:rPr>
          <w:rFonts w:cs="Times New Roman"/>
          <w:i/>
          <w:szCs w:val="24"/>
        </w:rPr>
        <w:t>Vancouver</w:t>
      </w:r>
      <w:proofErr w:type="gramEnd"/>
      <w:r w:rsidRPr="00D910D8">
        <w:rPr>
          <w:rFonts w:cs="Times New Roman"/>
          <w:i/>
          <w:szCs w:val="24"/>
        </w:rPr>
        <w:t>.</w:t>
      </w:r>
    </w:p>
    <w:p w:rsidR="000E7BE0" w:rsidRPr="00D910D8" w:rsidRDefault="000E7BE0" w:rsidP="000E7BE0">
      <w:pPr>
        <w:pStyle w:val="ParaNoNdepar-AltN"/>
        <w:numPr>
          <w:ilvl w:val="0"/>
          <w:numId w:val="0"/>
        </w:numPr>
        <w:rPr>
          <w:rFonts w:cs="Times New Roman"/>
          <w:i/>
          <w:szCs w:val="24"/>
        </w:rPr>
      </w:pPr>
      <w:r w:rsidRPr="00D910D8">
        <w:rPr>
          <w:rFonts w:cs="Times New Roman"/>
          <w:i/>
          <w:szCs w:val="24"/>
        </w:rPr>
        <w:tab/>
        <w:t>Solicitors for the respondent/appellant on cross</w:t>
      </w:r>
      <w:r w:rsidRPr="00D910D8">
        <w:rPr>
          <w:rFonts w:cs="Times New Roman"/>
          <w:i/>
          <w:szCs w:val="24"/>
        </w:rPr>
        <w:noBreakHyphen/>
        <w:t>appeal Imperial Tobacco Canada Limited (33563):  Osler, Hoskin &amp; Harcourt, Toronto.</w:t>
      </w:r>
    </w:p>
    <w:p w:rsidR="000E7BE0" w:rsidRPr="00D910D8" w:rsidRDefault="000E7BE0" w:rsidP="000E7BE0">
      <w:pPr>
        <w:pStyle w:val="ParaNoNdepar-AltN"/>
        <w:numPr>
          <w:ilvl w:val="0"/>
          <w:numId w:val="0"/>
        </w:numPr>
        <w:rPr>
          <w:rFonts w:cs="Times New Roman"/>
          <w:i/>
          <w:szCs w:val="24"/>
        </w:rPr>
      </w:pPr>
      <w:r w:rsidRPr="00D910D8">
        <w:rPr>
          <w:rFonts w:cs="Times New Roman"/>
          <w:i/>
          <w:szCs w:val="24"/>
        </w:rPr>
        <w:tab/>
        <w:t>Solicitors for the respondents/appellants on cross</w:t>
      </w:r>
      <w:r w:rsidRPr="00D910D8">
        <w:rPr>
          <w:rFonts w:cs="Times New Roman"/>
          <w:i/>
          <w:szCs w:val="24"/>
        </w:rPr>
        <w:noBreakHyphen/>
        <w:t>appeal Rothmans, Benson &amp; Hedges Inc. and Rothmans Inc. (33563):  Affleck Hira Burgoyne, Vancouver.</w:t>
      </w:r>
    </w:p>
    <w:p w:rsidR="000E7BE0" w:rsidRPr="00D910D8" w:rsidRDefault="000E7BE0" w:rsidP="000E7BE0">
      <w:pPr>
        <w:pStyle w:val="ParaNoNdepar-AltN"/>
        <w:numPr>
          <w:ilvl w:val="0"/>
          <w:numId w:val="0"/>
        </w:numPr>
        <w:rPr>
          <w:rFonts w:cs="Times New Roman"/>
          <w:i/>
          <w:szCs w:val="24"/>
        </w:rPr>
      </w:pPr>
      <w:r w:rsidRPr="00D910D8">
        <w:rPr>
          <w:rFonts w:cs="Times New Roman"/>
          <w:i/>
          <w:szCs w:val="24"/>
        </w:rPr>
        <w:tab/>
        <w:t>Solicitors for the respondents/appellants on cross</w:t>
      </w:r>
      <w:r w:rsidRPr="00D910D8">
        <w:rPr>
          <w:rFonts w:cs="Times New Roman"/>
          <w:i/>
          <w:szCs w:val="24"/>
        </w:rPr>
        <w:noBreakHyphen/>
        <w:t>appeal JTI</w:t>
      </w:r>
      <w:r w:rsidRPr="00D910D8">
        <w:rPr>
          <w:rFonts w:cs="Times New Roman"/>
          <w:i/>
          <w:szCs w:val="24"/>
        </w:rPr>
        <w:noBreakHyphen/>
        <w:t>MacDonald Corp., R.J. Reynolds Tobacco Company and R.J. Reynolds Tobacco International Inc. (33563):  Farris, Vaughan, Wills &amp; Murphy, Vancouver.</w:t>
      </w:r>
    </w:p>
    <w:p w:rsidR="000E7BE0" w:rsidRPr="00D910D8" w:rsidRDefault="000E7BE0" w:rsidP="000E7BE0">
      <w:pPr>
        <w:pStyle w:val="ParaNoNdepar-AltN"/>
        <w:numPr>
          <w:ilvl w:val="0"/>
          <w:numId w:val="0"/>
        </w:numPr>
        <w:rPr>
          <w:rFonts w:cs="Times New Roman"/>
          <w:i/>
          <w:szCs w:val="24"/>
        </w:rPr>
      </w:pPr>
      <w:r w:rsidRPr="00D910D8">
        <w:rPr>
          <w:rFonts w:cs="Times New Roman"/>
          <w:i/>
          <w:szCs w:val="24"/>
        </w:rPr>
        <w:lastRenderedPageBreak/>
        <w:tab/>
        <w:t>Solicitors for the respondents/appellants on cross</w:t>
      </w:r>
      <w:r w:rsidRPr="00D910D8">
        <w:rPr>
          <w:rFonts w:cs="Times New Roman"/>
          <w:i/>
          <w:szCs w:val="24"/>
        </w:rPr>
        <w:noBreakHyphen/>
        <w:t xml:space="preserve">appeal B.A.T. Industries p.l.c. and British American Tobacco (Investments) </w:t>
      </w:r>
      <w:proofErr w:type="gramStart"/>
      <w:r w:rsidRPr="00D910D8">
        <w:rPr>
          <w:rFonts w:cs="Times New Roman"/>
          <w:i/>
          <w:szCs w:val="24"/>
        </w:rPr>
        <w:t>Limited</w:t>
      </w:r>
      <w:proofErr w:type="gramEnd"/>
      <w:r w:rsidRPr="00D910D8">
        <w:rPr>
          <w:rFonts w:cs="Times New Roman"/>
          <w:i/>
          <w:szCs w:val="24"/>
        </w:rPr>
        <w:t xml:space="preserve"> (33563):  Sugden, McFee &amp; Roos, Vancouver.</w:t>
      </w:r>
    </w:p>
    <w:p w:rsidR="000E7BE0" w:rsidRPr="00D910D8" w:rsidRDefault="000E7BE0" w:rsidP="000E7BE0">
      <w:pPr>
        <w:pStyle w:val="ParaNoNdepar-AltN"/>
        <w:numPr>
          <w:ilvl w:val="0"/>
          <w:numId w:val="0"/>
        </w:numPr>
        <w:rPr>
          <w:rFonts w:cs="Times New Roman"/>
          <w:i/>
          <w:szCs w:val="24"/>
        </w:rPr>
      </w:pPr>
      <w:r w:rsidRPr="00D910D8">
        <w:rPr>
          <w:rFonts w:cs="Times New Roman"/>
          <w:i/>
          <w:szCs w:val="24"/>
        </w:rPr>
        <w:tab/>
        <w:t>Solicitors for the respondent/appellant on cross</w:t>
      </w:r>
      <w:r w:rsidRPr="00D910D8">
        <w:rPr>
          <w:rFonts w:cs="Times New Roman"/>
          <w:i/>
          <w:szCs w:val="24"/>
        </w:rPr>
        <w:noBreakHyphen/>
        <w:t>appeal Carreras Rothmans Limited (33563):  Harper Grey, Vancouver.</w:t>
      </w:r>
    </w:p>
    <w:p w:rsidR="000E7BE0" w:rsidRPr="00D910D8" w:rsidRDefault="000E7BE0" w:rsidP="000E7BE0">
      <w:pPr>
        <w:pStyle w:val="ParaNoNdepar-AltN"/>
        <w:numPr>
          <w:ilvl w:val="0"/>
          <w:numId w:val="0"/>
        </w:numPr>
        <w:rPr>
          <w:rFonts w:cs="Times New Roman"/>
          <w:i/>
          <w:szCs w:val="24"/>
        </w:rPr>
      </w:pPr>
      <w:r w:rsidRPr="00D910D8">
        <w:rPr>
          <w:rFonts w:cs="Times New Roman"/>
          <w:i/>
          <w:szCs w:val="24"/>
        </w:rPr>
        <w:tab/>
        <w:t>Solicitors for the respondent/appellant on cross</w:t>
      </w:r>
      <w:r w:rsidRPr="00D910D8">
        <w:rPr>
          <w:rFonts w:cs="Times New Roman"/>
          <w:i/>
          <w:szCs w:val="24"/>
        </w:rPr>
        <w:noBreakHyphen/>
        <w:t>appeal Philip Morris U.S.A. Inc. (33563):  Davis &amp; Company, Vancouver.</w:t>
      </w:r>
    </w:p>
    <w:p w:rsidR="000E7BE0" w:rsidRPr="00D910D8" w:rsidRDefault="000E7BE0" w:rsidP="000E7BE0">
      <w:pPr>
        <w:pStyle w:val="ParaNoNdepar-AltN"/>
        <w:numPr>
          <w:ilvl w:val="0"/>
          <w:numId w:val="0"/>
        </w:numPr>
        <w:rPr>
          <w:rFonts w:cs="Times New Roman"/>
          <w:i/>
          <w:szCs w:val="24"/>
        </w:rPr>
      </w:pPr>
      <w:r w:rsidRPr="00D910D8">
        <w:rPr>
          <w:rFonts w:cs="Times New Roman"/>
          <w:i/>
          <w:szCs w:val="24"/>
        </w:rPr>
        <w:tab/>
        <w:t>Solicitors for the respondent/appellant on cross</w:t>
      </w:r>
      <w:r w:rsidRPr="00D910D8">
        <w:rPr>
          <w:rFonts w:cs="Times New Roman"/>
          <w:i/>
          <w:szCs w:val="24"/>
        </w:rPr>
        <w:noBreakHyphen/>
        <w:t>appeal Philip Morris International Inc. (33563):  McCarthy Tétrault, Montréal.</w:t>
      </w:r>
    </w:p>
    <w:p w:rsidR="000E7BE0" w:rsidRPr="00D910D8" w:rsidRDefault="000E7BE0" w:rsidP="000E7BE0">
      <w:pPr>
        <w:pStyle w:val="ParaNoNdepar-AltN"/>
        <w:numPr>
          <w:ilvl w:val="0"/>
          <w:numId w:val="0"/>
        </w:numPr>
        <w:rPr>
          <w:rFonts w:cs="Times New Roman"/>
          <w:i/>
          <w:szCs w:val="24"/>
        </w:rPr>
      </w:pPr>
      <w:r w:rsidRPr="00D910D8">
        <w:rPr>
          <w:rFonts w:cs="Times New Roman"/>
          <w:i/>
          <w:szCs w:val="24"/>
        </w:rPr>
        <w:tab/>
        <w:t>Solicitor for the intervener the Attorney General of Ontario (33559</w:t>
      </w:r>
      <w:r w:rsidRPr="00D910D8">
        <w:rPr>
          <w:rFonts w:cs="Times New Roman"/>
          <w:i/>
          <w:szCs w:val="24"/>
        </w:rPr>
        <w:noBreakHyphen/>
        <w:t>33563):  Attorney General of Ontario, Toronto.</w:t>
      </w:r>
    </w:p>
    <w:p w:rsidR="000E7BE0" w:rsidRPr="00D910D8" w:rsidRDefault="000E7BE0" w:rsidP="000E7BE0">
      <w:pPr>
        <w:pStyle w:val="ParaNoNdepar-AltN"/>
        <w:numPr>
          <w:ilvl w:val="0"/>
          <w:numId w:val="0"/>
        </w:numPr>
        <w:rPr>
          <w:rFonts w:cs="Times New Roman"/>
          <w:i/>
          <w:szCs w:val="24"/>
        </w:rPr>
      </w:pPr>
      <w:r w:rsidRPr="00D910D8">
        <w:rPr>
          <w:rFonts w:cs="Times New Roman"/>
          <w:i/>
          <w:szCs w:val="24"/>
        </w:rPr>
        <w:tab/>
        <w:t>Solicitors for the intervener Her Majesty the Queen in Right of</w:t>
      </w:r>
      <w:r w:rsidR="00E14FB9" w:rsidRPr="00D910D8">
        <w:rPr>
          <w:rFonts w:cs="Times New Roman"/>
          <w:i/>
          <w:szCs w:val="24"/>
        </w:rPr>
        <w:t xml:space="preserve"> the Province of</w:t>
      </w:r>
      <w:r w:rsidRPr="00D910D8">
        <w:rPr>
          <w:rFonts w:cs="Times New Roman"/>
          <w:i/>
          <w:szCs w:val="24"/>
        </w:rPr>
        <w:t xml:space="preserve"> New Brunswick (33563):  Bennett Jones, Toronto.</w:t>
      </w:r>
    </w:p>
    <w:p w:rsidR="000E7BE0" w:rsidRPr="00D910D8" w:rsidRDefault="000E7BE0" w:rsidP="000E7BE0">
      <w:pPr>
        <w:pStyle w:val="ParaNoNdepar-AltN"/>
        <w:numPr>
          <w:ilvl w:val="0"/>
          <w:numId w:val="0"/>
        </w:numPr>
        <w:rPr>
          <w:rFonts w:cs="Times New Roman"/>
          <w:i/>
          <w:szCs w:val="24"/>
        </w:rPr>
      </w:pPr>
      <w:r w:rsidRPr="00D910D8">
        <w:rPr>
          <w:rFonts w:cs="Times New Roman"/>
          <w:i/>
          <w:szCs w:val="24"/>
        </w:rPr>
        <w:tab/>
        <w:t>Solicitor for the intervener the Attorney General of British Columbia (33559</w:t>
      </w:r>
      <w:r w:rsidRPr="00D910D8">
        <w:rPr>
          <w:rFonts w:cs="Times New Roman"/>
          <w:i/>
          <w:szCs w:val="24"/>
        </w:rPr>
        <w:noBreakHyphen/>
        <w:t>33563):  Attorney General of British Columbia, Victoria.</w:t>
      </w:r>
    </w:p>
    <w:sectPr w:rsidR="000E7BE0" w:rsidRPr="00D910D8" w:rsidSect="009A3DFE">
      <w:headerReference w:type="even" r:id="rId10"/>
      <w:headerReference w:type="default" r:id="rId11"/>
      <w:footerReference w:type="even" r:id="rId12"/>
      <w:footerReference w:type="default" r:id="rId13"/>
      <w:pgSz w:w="12240" w:h="15840"/>
      <w:pgMar w:top="1800" w:right="2160" w:bottom="1710" w:left="1800" w:header="180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DF4" w:rsidRDefault="00EC7DF4">
      <w:r>
        <w:separator/>
      </w:r>
    </w:p>
    <w:p w:rsidR="00EC7DF4" w:rsidRDefault="00EC7DF4"/>
  </w:endnote>
  <w:endnote w:type="continuationSeparator" w:id="0">
    <w:p w:rsidR="00EC7DF4" w:rsidRDefault="00EC7DF4">
      <w:r>
        <w:continuationSeparator/>
      </w:r>
    </w:p>
    <w:p w:rsidR="00EC7DF4" w:rsidRDefault="00EC7DF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6030"/>
      <w:gridCol w:w="3330"/>
    </w:tblGrid>
    <w:tr w:rsidR="003C1A7E">
      <w:trPr>
        <w:cantSplit/>
      </w:trPr>
      <w:tc>
        <w:tcPr>
          <w:tcW w:w="6030" w:type="dxa"/>
          <w:tcBorders>
            <w:top w:val="nil"/>
            <w:left w:val="nil"/>
            <w:bottom w:val="nil"/>
            <w:right w:val="nil"/>
          </w:tcBorders>
          <w:tcMar>
            <w:top w:w="120" w:type="dxa"/>
            <w:left w:w="120" w:type="dxa"/>
            <w:bottom w:w="58" w:type="dxa"/>
            <w:right w:w="120" w:type="dxa"/>
          </w:tcMar>
        </w:tcPr>
        <w:p w:rsidR="003C1A7E" w:rsidRPr="00D910D8" w:rsidRDefault="003C1A7E">
          <w:pPr>
            <w:tabs>
              <w:tab w:val="left" w:pos="-1440"/>
              <w:tab w:val="left" w:pos="-720"/>
              <w:tab w:val="left" w:pos="0"/>
              <w:tab w:val="left" w:pos="1152"/>
              <w:tab w:val="left" w:pos="1570"/>
              <w:tab w:val="left" w:pos="1843"/>
              <w:tab w:val="left" w:pos="2261"/>
              <w:tab w:val="left" w:pos="6480"/>
            </w:tabs>
            <w:rPr>
              <w:lang w:val="en-CA"/>
            </w:rPr>
          </w:pPr>
          <w:fldSimple w:instr=" FILENAME \p \* MERGEFORMAT ">
            <w:r w:rsidRPr="00992FFD">
              <w:rPr>
                <w:noProof/>
                <w:lang w:val="en-CA"/>
              </w:rPr>
              <w:t>H:\Private\crdp\Tobacco-en.docx</w:t>
            </w:r>
          </w:fldSimple>
        </w:p>
      </w:tc>
      <w:tc>
        <w:tcPr>
          <w:tcW w:w="3330" w:type="dxa"/>
          <w:tcBorders>
            <w:top w:val="nil"/>
            <w:left w:val="nil"/>
            <w:bottom w:val="nil"/>
            <w:right w:val="nil"/>
          </w:tcBorders>
          <w:tcMar>
            <w:top w:w="120" w:type="dxa"/>
            <w:left w:w="120" w:type="dxa"/>
            <w:bottom w:w="58" w:type="dxa"/>
            <w:right w:w="120" w:type="dxa"/>
          </w:tcMar>
        </w:tcPr>
        <w:p w:rsidR="003C1A7E" w:rsidRDefault="003C1A7E">
          <w:pPr>
            <w:tabs>
              <w:tab w:val="left" w:pos="-1440"/>
              <w:tab w:val="left" w:pos="-720"/>
              <w:tab w:val="left" w:pos="0"/>
              <w:tab w:val="left" w:pos="1152"/>
              <w:tab w:val="left" w:pos="1570"/>
              <w:tab w:val="left" w:pos="1843"/>
              <w:tab w:val="left" w:pos="2261"/>
              <w:tab w:val="left" w:pos="6480"/>
            </w:tabs>
            <w:jc w:val="right"/>
          </w:pPr>
          <w:r w:rsidRPr="00D910D8">
            <w:rPr>
              <w:lang w:val="en-CA"/>
            </w:rPr>
            <w:t xml:space="preserve"> </w:t>
          </w:r>
          <w:r>
            <w:t>()</w:t>
          </w:r>
        </w:p>
      </w:tc>
    </w:tr>
  </w:tbl>
  <w:p w:rsidR="003C1A7E" w:rsidRDefault="003C1A7E">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7E" w:rsidRDefault="003C1A7E">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DF4" w:rsidRDefault="00EC7DF4">
      <w:r>
        <w:separator/>
      </w:r>
    </w:p>
    <w:p w:rsidR="00EC7DF4" w:rsidRDefault="00EC7DF4"/>
  </w:footnote>
  <w:footnote w:type="continuationSeparator" w:id="0">
    <w:p w:rsidR="00EC7DF4" w:rsidRDefault="00EC7DF4">
      <w:r>
        <w:continuationSeparator/>
      </w:r>
    </w:p>
    <w:p w:rsidR="00EC7DF4" w:rsidRDefault="00EC7D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7E" w:rsidRDefault="003C1A7E">
    <w:pPr>
      <w:tabs>
        <w:tab w:val="left" w:pos="-1440"/>
        <w:tab w:val="left" w:pos="-720"/>
        <w:tab w:val="left" w:pos="0"/>
        <w:tab w:val="left" w:pos="1152"/>
        <w:tab w:val="left" w:pos="1570"/>
        <w:tab w:val="left" w:pos="1843"/>
        <w:tab w:val="left" w:pos="2261"/>
        <w:tab w:val="left" w:pos="6480"/>
      </w:tabs>
    </w:pPr>
  </w:p>
  <w:p w:rsidR="003C1A7E" w:rsidRDefault="003C1A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7E" w:rsidRPr="006C355D" w:rsidRDefault="003C1A7E" w:rsidP="009D587F">
    <w:pPr>
      <w:jc w:val="center"/>
    </w:pPr>
    <w:r w:rsidRPr="006C355D">
      <w:t xml:space="preserve">- </w:t>
    </w:r>
    <w:fldSimple w:instr=" PAGE   \* MERGEFORMAT ">
      <w:r w:rsidR="00787938">
        <w:rPr>
          <w:noProof/>
        </w:rPr>
        <w:t>69</w:t>
      </w:r>
    </w:fldSimple>
    <w:r w:rsidRPr="006C355D">
      <w:t xml:space="preserve"> -</w:t>
    </w:r>
  </w:p>
  <w:p w:rsidR="003C1A7E" w:rsidRDefault="003C1A7E" w:rsidP="009D587F">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09458A8"/>
    <w:multiLevelType w:val="hybridMultilevel"/>
    <w:tmpl w:val="FA2ADFEC"/>
    <w:lvl w:ilvl="0" w:tplc="E03AA2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EE0368"/>
    <w:multiLevelType w:val="hybridMultilevel"/>
    <w:tmpl w:val="2812AF04"/>
    <w:lvl w:ilvl="0" w:tplc="8E723F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D45B51"/>
    <w:multiLevelType w:val="hybridMultilevel"/>
    <w:tmpl w:val="67BAD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49D77E4"/>
    <w:multiLevelType w:val="hybridMultilevel"/>
    <w:tmpl w:val="3222CC2A"/>
    <w:lvl w:ilvl="0" w:tplc="A788B2BA">
      <w:start w:val="1"/>
      <w:numFmt w:val="upperLetter"/>
      <w:lvlText w:val="%1."/>
      <w:lvlJc w:val="left"/>
      <w:pPr>
        <w:ind w:left="900" w:hanging="360"/>
      </w:pPr>
      <w:rPr>
        <w:rFonts w:hint="default"/>
        <w:i w:val="0"/>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87B129E"/>
    <w:multiLevelType w:val="hybridMultilevel"/>
    <w:tmpl w:val="3BCC8760"/>
    <w:lvl w:ilvl="0" w:tplc="E30850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065341"/>
    <w:multiLevelType w:val="hybridMultilevel"/>
    <w:tmpl w:val="22404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EA42B5"/>
    <w:multiLevelType w:val="hybridMultilevel"/>
    <w:tmpl w:val="0E3A1DA4"/>
    <w:lvl w:ilvl="0" w:tplc="C5AE27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21E7A"/>
    <w:multiLevelType w:val="hybridMultilevel"/>
    <w:tmpl w:val="E8689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23BDB"/>
    <w:multiLevelType w:val="hybridMultilevel"/>
    <w:tmpl w:val="1D269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0408B"/>
    <w:multiLevelType w:val="hybridMultilevel"/>
    <w:tmpl w:val="B7885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62325"/>
    <w:multiLevelType w:val="hybridMultilevel"/>
    <w:tmpl w:val="131A5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6178F6"/>
    <w:multiLevelType w:val="hybridMultilevel"/>
    <w:tmpl w:val="B5D42E2E"/>
    <w:lvl w:ilvl="0" w:tplc="F6AA74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0225A6"/>
    <w:multiLevelType w:val="hybridMultilevel"/>
    <w:tmpl w:val="814E125E"/>
    <w:lvl w:ilvl="0" w:tplc="90FE07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C12058"/>
    <w:multiLevelType w:val="hybridMultilevel"/>
    <w:tmpl w:val="8702B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DEA46C3"/>
    <w:multiLevelType w:val="hybridMultilevel"/>
    <w:tmpl w:val="24CC309E"/>
    <w:lvl w:ilvl="0" w:tplc="20FCB5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6C124C"/>
    <w:multiLevelType w:val="hybridMultilevel"/>
    <w:tmpl w:val="DB084058"/>
    <w:lvl w:ilvl="0" w:tplc="545EFC18">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2546A49"/>
    <w:multiLevelType w:val="hybridMultilevel"/>
    <w:tmpl w:val="A4F2684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D5F31D5"/>
    <w:multiLevelType w:val="hybridMultilevel"/>
    <w:tmpl w:val="CCEC02FE"/>
    <w:lvl w:ilvl="0" w:tplc="5A584E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B256B2"/>
    <w:multiLevelType w:val="hybridMultilevel"/>
    <w:tmpl w:val="E19A766E"/>
    <w:lvl w:ilvl="0" w:tplc="F76A37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E24DA2"/>
    <w:multiLevelType w:val="hybridMultilevel"/>
    <w:tmpl w:val="C4F0A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CC1646"/>
    <w:multiLevelType w:val="hybridMultilevel"/>
    <w:tmpl w:val="98522700"/>
    <w:lvl w:ilvl="0" w:tplc="AFAE1E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5"/>
  </w:num>
  <w:num w:numId="3">
    <w:abstractNumId w:val="13"/>
  </w:num>
  <w:num w:numId="4">
    <w:abstractNumId w:val="27"/>
  </w:num>
  <w:num w:numId="5">
    <w:abstractNumId w:val="28"/>
  </w:num>
  <w:num w:numId="6">
    <w:abstractNumId w:val="16"/>
  </w:num>
  <w:num w:numId="7">
    <w:abstractNumId w:val="34"/>
  </w:num>
  <w:num w:numId="8">
    <w:abstractNumId w:val="10"/>
  </w:num>
  <w:num w:numId="9">
    <w:abstractNumId w:val="12"/>
  </w:num>
  <w:num w:numId="10">
    <w:abstractNumId w:val="29"/>
  </w:num>
  <w:num w:numId="11">
    <w:abstractNumId w:val="18"/>
  </w:num>
  <w:num w:numId="12">
    <w:abstractNumId w:val="36"/>
  </w:num>
  <w:num w:numId="13">
    <w:abstractNumId w:val="19"/>
  </w:num>
  <w:num w:numId="14">
    <w:abstractNumId w:val="30"/>
  </w:num>
  <w:num w:numId="15">
    <w:abstractNumId w:val="24"/>
  </w:num>
  <w:num w:numId="16">
    <w:abstractNumId w:val="37"/>
  </w:num>
  <w:num w:numId="17">
    <w:abstractNumId w:val="17"/>
  </w:num>
  <w:num w:numId="18">
    <w:abstractNumId w:val="35"/>
  </w:num>
  <w:num w:numId="19">
    <w:abstractNumId w:val="11"/>
  </w:num>
  <w:num w:numId="20">
    <w:abstractNumId w:val="23"/>
  </w:num>
  <w:num w:numId="21">
    <w:abstractNumId w:val="28"/>
    <w:lvlOverride w:ilvl="0">
      <w:startOverride w:val="46"/>
    </w:lvlOverride>
  </w:num>
  <w:num w:numId="22">
    <w:abstractNumId w:val="2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1"/>
  </w:num>
  <w:num w:numId="34">
    <w:abstractNumId w:val="31"/>
  </w:num>
  <w:num w:numId="35">
    <w:abstractNumId w:val="31"/>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1"/>
  </w:num>
  <w:num w:numId="40">
    <w:abstractNumId w:val="20"/>
  </w:num>
  <w:num w:numId="41">
    <w:abstractNumId w:val="25"/>
  </w:num>
  <w:num w:numId="42">
    <w:abstractNumId w:val="14"/>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removePersonalInformation/>
  <w:removeDateAndTime/>
  <w:bordersDoNotSurroundHeader/>
  <w:bordersDoNotSurroundFooter/>
  <w:proofState w:spelling="clean" w:grammar="clean"/>
  <w:linkStyles/>
  <w:stylePaneFormatFilter w:val="10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6258"/>
  </w:hdrShapeDefaults>
  <w:footnotePr>
    <w:footnote w:id="-1"/>
    <w:footnote w:id="0"/>
  </w:footnotePr>
  <w:endnotePr>
    <w:endnote w:id="-1"/>
    <w:endnote w:id="0"/>
  </w:endnotePr>
  <w:compat/>
  <w:rsids>
    <w:rsidRoot w:val="009811B2"/>
    <w:rsid w:val="00000172"/>
    <w:rsid w:val="00001517"/>
    <w:rsid w:val="0000151D"/>
    <w:rsid w:val="00002162"/>
    <w:rsid w:val="00003D3D"/>
    <w:rsid w:val="00005991"/>
    <w:rsid w:val="00007061"/>
    <w:rsid w:val="0001228E"/>
    <w:rsid w:val="0001410E"/>
    <w:rsid w:val="0001439C"/>
    <w:rsid w:val="00015642"/>
    <w:rsid w:val="00016AF4"/>
    <w:rsid w:val="000203BB"/>
    <w:rsid w:val="00022F37"/>
    <w:rsid w:val="00023E0F"/>
    <w:rsid w:val="00023FE6"/>
    <w:rsid w:val="000242D8"/>
    <w:rsid w:val="00026730"/>
    <w:rsid w:val="0003190D"/>
    <w:rsid w:val="0003236D"/>
    <w:rsid w:val="000335ED"/>
    <w:rsid w:val="00043DA2"/>
    <w:rsid w:val="00047E9C"/>
    <w:rsid w:val="00051471"/>
    <w:rsid w:val="00053EBA"/>
    <w:rsid w:val="00056C7B"/>
    <w:rsid w:val="00064666"/>
    <w:rsid w:val="00065D19"/>
    <w:rsid w:val="00071C7A"/>
    <w:rsid w:val="00075C16"/>
    <w:rsid w:val="000769C6"/>
    <w:rsid w:val="00086A89"/>
    <w:rsid w:val="00086F47"/>
    <w:rsid w:val="00091A0D"/>
    <w:rsid w:val="00091D69"/>
    <w:rsid w:val="000959AC"/>
    <w:rsid w:val="00096C32"/>
    <w:rsid w:val="00097258"/>
    <w:rsid w:val="00097955"/>
    <w:rsid w:val="000A07AA"/>
    <w:rsid w:val="000A2C08"/>
    <w:rsid w:val="000A43C7"/>
    <w:rsid w:val="000A5190"/>
    <w:rsid w:val="000A6DE9"/>
    <w:rsid w:val="000A71E0"/>
    <w:rsid w:val="000B0B7C"/>
    <w:rsid w:val="000B427E"/>
    <w:rsid w:val="000B606D"/>
    <w:rsid w:val="000C0C58"/>
    <w:rsid w:val="000C1367"/>
    <w:rsid w:val="000C3112"/>
    <w:rsid w:val="000C4743"/>
    <w:rsid w:val="000C5332"/>
    <w:rsid w:val="000C7F4B"/>
    <w:rsid w:val="000D35B1"/>
    <w:rsid w:val="000D4CC0"/>
    <w:rsid w:val="000D5FD0"/>
    <w:rsid w:val="000D7B99"/>
    <w:rsid w:val="000D7CE0"/>
    <w:rsid w:val="000E2C37"/>
    <w:rsid w:val="000E5112"/>
    <w:rsid w:val="000E644E"/>
    <w:rsid w:val="000E6699"/>
    <w:rsid w:val="000E7BE0"/>
    <w:rsid w:val="000F07A2"/>
    <w:rsid w:val="000F4C2F"/>
    <w:rsid w:val="000F6203"/>
    <w:rsid w:val="000F65EE"/>
    <w:rsid w:val="001002FA"/>
    <w:rsid w:val="00100698"/>
    <w:rsid w:val="00102514"/>
    <w:rsid w:val="00120F7F"/>
    <w:rsid w:val="0012154D"/>
    <w:rsid w:val="00121A9E"/>
    <w:rsid w:val="00123AE6"/>
    <w:rsid w:val="00124576"/>
    <w:rsid w:val="00125EF5"/>
    <w:rsid w:val="00127895"/>
    <w:rsid w:val="00131550"/>
    <w:rsid w:val="001339A1"/>
    <w:rsid w:val="00134507"/>
    <w:rsid w:val="00141C15"/>
    <w:rsid w:val="001426CC"/>
    <w:rsid w:val="00150B7F"/>
    <w:rsid w:val="00152E9E"/>
    <w:rsid w:val="00155097"/>
    <w:rsid w:val="00156061"/>
    <w:rsid w:val="00156E75"/>
    <w:rsid w:val="0016077E"/>
    <w:rsid w:val="00162ECA"/>
    <w:rsid w:val="001640DE"/>
    <w:rsid w:val="001641F6"/>
    <w:rsid w:val="00167F99"/>
    <w:rsid w:val="00176E0A"/>
    <w:rsid w:val="001A01F6"/>
    <w:rsid w:val="001A2C13"/>
    <w:rsid w:val="001A6529"/>
    <w:rsid w:val="001A679C"/>
    <w:rsid w:val="001B1D41"/>
    <w:rsid w:val="001B37A3"/>
    <w:rsid w:val="001B7874"/>
    <w:rsid w:val="001C0A76"/>
    <w:rsid w:val="001C3CFF"/>
    <w:rsid w:val="001C6451"/>
    <w:rsid w:val="001C7B60"/>
    <w:rsid w:val="001D295C"/>
    <w:rsid w:val="001D7441"/>
    <w:rsid w:val="001E0CE7"/>
    <w:rsid w:val="001E1B00"/>
    <w:rsid w:val="001E1E3C"/>
    <w:rsid w:val="001E5449"/>
    <w:rsid w:val="001E54F5"/>
    <w:rsid w:val="001E7671"/>
    <w:rsid w:val="001E7AB3"/>
    <w:rsid w:val="001F2F0C"/>
    <w:rsid w:val="001F2F97"/>
    <w:rsid w:val="001F5D12"/>
    <w:rsid w:val="001F79A3"/>
    <w:rsid w:val="00200129"/>
    <w:rsid w:val="002001CA"/>
    <w:rsid w:val="00200670"/>
    <w:rsid w:val="0020180B"/>
    <w:rsid w:val="002032B0"/>
    <w:rsid w:val="00203D46"/>
    <w:rsid w:val="00204356"/>
    <w:rsid w:val="002079A3"/>
    <w:rsid w:val="00210848"/>
    <w:rsid w:val="002114ED"/>
    <w:rsid w:val="0021219F"/>
    <w:rsid w:val="00213832"/>
    <w:rsid w:val="00213994"/>
    <w:rsid w:val="00217CFA"/>
    <w:rsid w:val="0022010A"/>
    <w:rsid w:val="0022099E"/>
    <w:rsid w:val="0022693B"/>
    <w:rsid w:val="00234872"/>
    <w:rsid w:val="002453A0"/>
    <w:rsid w:val="002531A8"/>
    <w:rsid w:val="002567FB"/>
    <w:rsid w:val="002569AE"/>
    <w:rsid w:val="002606F8"/>
    <w:rsid w:val="00261188"/>
    <w:rsid w:val="00261451"/>
    <w:rsid w:val="002630B6"/>
    <w:rsid w:val="00263CD1"/>
    <w:rsid w:val="00263DED"/>
    <w:rsid w:val="002659A7"/>
    <w:rsid w:val="00267CCB"/>
    <w:rsid w:val="002730D6"/>
    <w:rsid w:val="002731F6"/>
    <w:rsid w:val="00273D9F"/>
    <w:rsid w:val="00274A8E"/>
    <w:rsid w:val="00274C48"/>
    <w:rsid w:val="00276C91"/>
    <w:rsid w:val="00280C3D"/>
    <w:rsid w:val="0028443A"/>
    <w:rsid w:val="002879EB"/>
    <w:rsid w:val="00290DD2"/>
    <w:rsid w:val="002912F7"/>
    <w:rsid w:val="0029402C"/>
    <w:rsid w:val="00296B65"/>
    <w:rsid w:val="002A1EAA"/>
    <w:rsid w:val="002A5E0D"/>
    <w:rsid w:val="002A702D"/>
    <w:rsid w:val="002B52D2"/>
    <w:rsid w:val="002B5D19"/>
    <w:rsid w:val="002B762C"/>
    <w:rsid w:val="002C2F7A"/>
    <w:rsid w:val="002C339E"/>
    <w:rsid w:val="002C36F5"/>
    <w:rsid w:val="002C6900"/>
    <w:rsid w:val="002C6E2C"/>
    <w:rsid w:val="002D0696"/>
    <w:rsid w:val="002D08AA"/>
    <w:rsid w:val="002D08F5"/>
    <w:rsid w:val="002D6377"/>
    <w:rsid w:val="002D665F"/>
    <w:rsid w:val="002E2870"/>
    <w:rsid w:val="002E60B8"/>
    <w:rsid w:val="002E6673"/>
    <w:rsid w:val="002F36EE"/>
    <w:rsid w:val="002F3D82"/>
    <w:rsid w:val="002F5927"/>
    <w:rsid w:val="002F689B"/>
    <w:rsid w:val="002F6A55"/>
    <w:rsid w:val="003001CD"/>
    <w:rsid w:val="0030264D"/>
    <w:rsid w:val="0030344C"/>
    <w:rsid w:val="00311164"/>
    <w:rsid w:val="003134CB"/>
    <w:rsid w:val="00316F5F"/>
    <w:rsid w:val="0032020F"/>
    <w:rsid w:val="003236E1"/>
    <w:rsid w:val="00327B0D"/>
    <w:rsid w:val="00332C57"/>
    <w:rsid w:val="00334132"/>
    <w:rsid w:val="00342F3D"/>
    <w:rsid w:val="003433F9"/>
    <w:rsid w:val="0034363A"/>
    <w:rsid w:val="003436E1"/>
    <w:rsid w:val="003453CC"/>
    <w:rsid w:val="00345E51"/>
    <w:rsid w:val="003468EB"/>
    <w:rsid w:val="003473BE"/>
    <w:rsid w:val="003530A2"/>
    <w:rsid w:val="00353332"/>
    <w:rsid w:val="00354528"/>
    <w:rsid w:val="0035525A"/>
    <w:rsid w:val="003557D3"/>
    <w:rsid w:val="00356C66"/>
    <w:rsid w:val="0036331D"/>
    <w:rsid w:val="003659A8"/>
    <w:rsid w:val="00372763"/>
    <w:rsid w:val="00385497"/>
    <w:rsid w:val="00395FCF"/>
    <w:rsid w:val="003A2A56"/>
    <w:rsid w:val="003A421C"/>
    <w:rsid w:val="003B0F66"/>
    <w:rsid w:val="003B3FD9"/>
    <w:rsid w:val="003B5845"/>
    <w:rsid w:val="003B5BFD"/>
    <w:rsid w:val="003B5D6F"/>
    <w:rsid w:val="003B6288"/>
    <w:rsid w:val="003C1A7E"/>
    <w:rsid w:val="003C3FFD"/>
    <w:rsid w:val="003C4E61"/>
    <w:rsid w:val="003D5067"/>
    <w:rsid w:val="003D62EB"/>
    <w:rsid w:val="003D7A2F"/>
    <w:rsid w:val="003E4BCA"/>
    <w:rsid w:val="003F0143"/>
    <w:rsid w:val="003F0FEE"/>
    <w:rsid w:val="003F1001"/>
    <w:rsid w:val="003F33B5"/>
    <w:rsid w:val="003F382C"/>
    <w:rsid w:val="003F5B6F"/>
    <w:rsid w:val="003F7666"/>
    <w:rsid w:val="00404F38"/>
    <w:rsid w:val="00407B7D"/>
    <w:rsid w:val="00411A17"/>
    <w:rsid w:val="00412966"/>
    <w:rsid w:val="00412E03"/>
    <w:rsid w:val="00413A31"/>
    <w:rsid w:val="00413C84"/>
    <w:rsid w:val="00414053"/>
    <w:rsid w:val="004157A3"/>
    <w:rsid w:val="00420B2C"/>
    <w:rsid w:val="00423796"/>
    <w:rsid w:val="00435C77"/>
    <w:rsid w:val="00436702"/>
    <w:rsid w:val="00437336"/>
    <w:rsid w:val="004523AB"/>
    <w:rsid w:val="004558FC"/>
    <w:rsid w:val="00460257"/>
    <w:rsid w:val="00460FCE"/>
    <w:rsid w:val="00464440"/>
    <w:rsid w:val="00475C9F"/>
    <w:rsid w:val="004770B4"/>
    <w:rsid w:val="0047744A"/>
    <w:rsid w:val="004778F5"/>
    <w:rsid w:val="00480B89"/>
    <w:rsid w:val="00482D04"/>
    <w:rsid w:val="00484245"/>
    <w:rsid w:val="00486720"/>
    <w:rsid w:val="00486F47"/>
    <w:rsid w:val="004878AF"/>
    <w:rsid w:val="004913BF"/>
    <w:rsid w:val="00494AF1"/>
    <w:rsid w:val="004965A5"/>
    <w:rsid w:val="0049762A"/>
    <w:rsid w:val="004A23F6"/>
    <w:rsid w:val="004A4C04"/>
    <w:rsid w:val="004A6884"/>
    <w:rsid w:val="004A7115"/>
    <w:rsid w:val="004A7CEF"/>
    <w:rsid w:val="004B097F"/>
    <w:rsid w:val="004B14C5"/>
    <w:rsid w:val="004B231E"/>
    <w:rsid w:val="004B27FC"/>
    <w:rsid w:val="004B2B75"/>
    <w:rsid w:val="004B6843"/>
    <w:rsid w:val="004C0262"/>
    <w:rsid w:val="004C0498"/>
    <w:rsid w:val="004C0F72"/>
    <w:rsid w:val="004C3615"/>
    <w:rsid w:val="004C38A8"/>
    <w:rsid w:val="004C6705"/>
    <w:rsid w:val="004D02DA"/>
    <w:rsid w:val="004D2A3E"/>
    <w:rsid w:val="004D3521"/>
    <w:rsid w:val="004E1DE0"/>
    <w:rsid w:val="004E4F90"/>
    <w:rsid w:val="004E7DEB"/>
    <w:rsid w:val="004F3BAF"/>
    <w:rsid w:val="004F5DC2"/>
    <w:rsid w:val="004F644E"/>
    <w:rsid w:val="00501BD0"/>
    <w:rsid w:val="00503647"/>
    <w:rsid w:val="00514701"/>
    <w:rsid w:val="00514868"/>
    <w:rsid w:val="00515F41"/>
    <w:rsid w:val="00517289"/>
    <w:rsid w:val="00525126"/>
    <w:rsid w:val="005257BD"/>
    <w:rsid w:val="005260CE"/>
    <w:rsid w:val="00526536"/>
    <w:rsid w:val="00530E91"/>
    <w:rsid w:val="0053169D"/>
    <w:rsid w:val="005331A6"/>
    <w:rsid w:val="00534E35"/>
    <w:rsid w:val="005373AC"/>
    <w:rsid w:val="00540E4F"/>
    <w:rsid w:val="00543632"/>
    <w:rsid w:val="0055382B"/>
    <w:rsid w:val="005574A8"/>
    <w:rsid w:val="00560040"/>
    <w:rsid w:val="005610D3"/>
    <w:rsid w:val="005673AC"/>
    <w:rsid w:val="0057006A"/>
    <w:rsid w:val="00571691"/>
    <w:rsid w:val="005723F9"/>
    <w:rsid w:val="0057266C"/>
    <w:rsid w:val="00572CCD"/>
    <w:rsid w:val="00574C1D"/>
    <w:rsid w:val="00580011"/>
    <w:rsid w:val="00580B44"/>
    <w:rsid w:val="005815A2"/>
    <w:rsid w:val="00581B23"/>
    <w:rsid w:val="005823B7"/>
    <w:rsid w:val="00583330"/>
    <w:rsid w:val="00584AE5"/>
    <w:rsid w:val="00584B4C"/>
    <w:rsid w:val="005930C0"/>
    <w:rsid w:val="00596131"/>
    <w:rsid w:val="00596DB2"/>
    <w:rsid w:val="005A196D"/>
    <w:rsid w:val="005A21EE"/>
    <w:rsid w:val="005B058E"/>
    <w:rsid w:val="005B37B1"/>
    <w:rsid w:val="005B7D11"/>
    <w:rsid w:val="005C0A6E"/>
    <w:rsid w:val="005C0B42"/>
    <w:rsid w:val="005C3932"/>
    <w:rsid w:val="005C3C6A"/>
    <w:rsid w:val="005C48DD"/>
    <w:rsid w:val="005C4E6A"/>
    <w:rsid w:val="005C633D"/>
    <w:rsid w:val="005D13CA"/>
    <w:rsid w:val="005D1CCD"/>
    <w:rsid w:val="005D630A"/>
    <w:rsid w:val="005E2C67"/>
    <w:rsid w:val="005E34B3"/>
    <w:rsid w:val="005E47D9"/>
    <w:rsid w:val="005F1B87"/>
    <w:rsid w:val="005F1C79"/>
    <w:rsid w:val="005F3077"/>
    <w:rsid w:val="005F399D"/>
    <w:rsid w:val="005F3F55"/>
    <w:rsid w:val="005F4E48"/>
    <w:rsid w:val="006007C4"/>
    <w:rsid w:val="00613C56"/>
    <w:rsid w:val="00615CF7"/>
    <w:rsid w:val="006229ED"/>
    <w:rsid w:val="00627237"/>
    <w:rsid w:val="006306CA"/>
    <w:rsid w:val="00632D69"/>
    <w:rsid w:val="00633F86"/>
    <w:rsid w:val="00634F6B"/>
    <w:rsid w:val="00635637"/>
    <w:rsid w:val="00636A82"/>
    <w:rsid w:val="00641D54"/>
    <w:rsid w:val="00641E15"/>
    <w:rsid w:val="006437C6"/>
    <w:rsid w:val="006453E5"/>
    <w:rsid w:val="00645FD9"/>
    <w:rsid w:val="00646AA6"/>
    <w:rsid w:val="0064741C"/>
    <w:rsid w:val="0064789F"/>
    <w:rsid w:val="00652792"/>
    <w:rsid w:val="0065430E"/>
    <w:rsid w:val="00655863"/>
    <w:rsid w:val="0066330D"/>
    <w:rsid w:val="00667424"/>
    <w:rsid w:val="00673917"/>
    <w:rsid w:val="00674D36"/>
    <w:rsid w:val="006768F0"/>
    <w:rsid w:val="00676DC1"/>
    <w:rsid w:val="00681849"/>
    <w:rsid w:val="00685516"/>
    <w:rsid w:val="00687261"/>
    <w:rsid w:val="00690672"/>
    <w:rsid w:val="00690F86"/>
    <w:rsid w:val="0069143C"/>
    <w:rsid w:val="006932DD"/>
    <w:rsid w:val="006964F5"/>
    <w:rsid w:val="006A33DA"/>
    <w:rsid w:val="006A5C89"/>
    <w:rsid w:val="006A6AF3"/>
    <w:rsid w:val="006A6F76"/>
    <w:rsid w:val="006B1E0A"/>
    <w:rsid w:val="006B1E23"/>
    <w:rsid w:val="006B372B"/>
    <w:rsid w:val="006B50AF"/>
    <w:rsid w:val="006B7C92"/>
    <w:rsid w:val="006C2102"/>
    <w:rsid w:val="006C23CA"/>
    <w:rsid w:val="006C355D"/>
    <w:rsid w:val="006C6D0E"/>
    <w:rsid w:val="006C78C6"/>
    <w:rsid w:val="006D183B"/>
    <w:rsid w:val="006D2706"/>
    <w:rsid w:val="006D4C46"/>
    <w:rsid w:val="006E077F"/>
    <w:rsid w:val="006F2C75"/>
    <w:rsid w:val="006F2C7D"/>
    <w:rsid w:val="006F2FA3"/>
    <w:rsid w:val="006F3FB1"/>
    <w:rsid w:val="00702329"/>
    <w:rsid w:val="00703371"/>
    <w:rsid w:val="00706881"/>
    <w:rsid w:val="00707C32"/>
    <w:rsid w:val="00711BAD"/>
    <w:rsid w:val="00711D43"/>
    <w:rsid w:val="00712238"/>
    <w:rsid w:val="00713AB9"/>
    <w:rsid w:val="0071729C"/>
    <w:rsid w:val="00720384"/>
    <w:rsid w:val="00720B00"/>
    <w:rsid w:val="00725C8E"/>
    <w:rsid w:val="0072605C"/>
    <w:rsid w:val="00726128"/>
    <w:rsid w:val="00731861"/>
    <w:rsid w:val="0073321F"/>
    <w:rsid w:val="00734481"/>
    <w:rsid w:val="00734E2E"/>
    <w:rsid w:val="00735DC5"/>
    <w:rsid w:val="00737085"/>
    <w:rsid w:val="00737EFA"/>
    <w:rsid w:val="00740817"/>
    <w:rsid w:val="00741367"/>
    <w:rsid w:val="00745B3A"/>
    <w:rsid w:val="00746836"/>
    <w:rsid w:val="00747DB3"/>
    <w:rsid w:val="0075590D"/>
    <w:rsid w:val="00755F8C"/>
    <w:rsid w:val="0075602C"/>
    <w:rsid w:val="00760A1F"/>
    <w:rsid w:val="0076164F"/>
    <w:rsid w:val="00763B7F"/>
    <w:rsid w:val="00767924"/>
    <w:rsid w:val="00772A23"/>
    <w:rsid w:val="00773A87"/>
    <w:rsid w:val="007743C4"/>
    <w:rsid w:val="00775DDE"/>
    <w:rsid w:val="007867FB"/>
    <w:rsid w:val="00787938"/>
    <w:rsid w:val="007901B6"/>
    <w:rsid w:val="00790398"/>
    <w:rsid w:val="007935E3"/>
    <w:rsid w:val="00794546"/>
    <w:rsid w:val="00796E82"/>
    <w:rsid w:val="007A6ED7"/>
    <w:rsid w:val="007B2BD7"/>
    <w:rsid w:val="007B4A32"/>
    <w:rsid w:val="007C0A4E"/>
    <w:rsid w:val="007C1E0C"/>
    <w:rsid w:val="007C42B1"/>
    <w:rsid w:val="007C51D7"/>
    <w:rsid w:val="007D32B9"/>
    <w:rsid w:val="007D3C1D"/>
    <w:rsid w:val="007D52F6"/>
    <w:rsid w:val="007E0A5A"/>
    <w:rsid w:val="007E0ED5"/>
    <w:rsid w:val="007E7304"/>
    <w:rsid w:val="007E7E96"/>
    <w:rsid w:val="007F6B51"/>
    <w:rsid w:val="0080781D"/>
    <w:rsid w:val="00812C89"/>
    <w:rsid w:val="0082050F"/>
    <w:rsid w:val="0082178F"/>
    <w:rsid w:val="00821C7F"/>
    <w:rsid w:val="00823A21"/>
    <w:rsid w:val="00823AD3"/>
    <w:rsid w:val="008251E2"/>
    <w:rsid w:val="00825591"/>
    <w:rsid w:val="00825EA2"/>
    <w:rsid w:val="00827ECC"/>
    <w:rsid w:val="00831A86"/>
    <w:rsid w:val="00833532"/>
    <w:rsid w:val="0083431C"/>
    <w:rsid w:val="0083693D"/>
    <w:rsid w:val="008425CF"/>
    <w:rsid w:val="00846B55"/>
    <w:rsid w:val="008527C3"/>
    <w:rsid w:val="00856BF7"/>
    <w:rsid w:val="0086130B"/>
    <w:rsid w:val="00863466"/>
    <w:rsid w:val="00863A5F"/>
    <w:rsid w:val="00866EB0"/>
    <w:rsid w:val="0087280E"/>
    <w:rsid w:val="00874862"/>
    <w:rsid w:val="008753C1"/>
    <w:rsid w:val="00880E3F"/>
    <w:rsid w:val="00883474"/>
    <w:rsid w:val="00884380"/>
    <w:rsid w:val="00884CFA"/>
    <w:rsid w:val="008851F5"/>
    <w:rsid w:val="008906CA"/>
    <w:rsid w:val="0089194A"/>
    <w:rsid w:val="00892213"/>
    <w:rsid w:val="008A0C69"/>
    <w:rsid w:val="008A1C43"/>
    <w:rsid w:val="008A6839"/>
    <w:rsid w:val="008A7C3C"/>
    <w:rsid w:val="008A7FAD"/>
    <w:rsid w:val="008B030C"/>
    <w:rsid w:val="008B03ED"/>
    <w:rsid w:val="008B1D3A"/>
    <w:rsid w:val="008B3FDD"/>
    <w:rsid w:val="008C19E1"/>
    <w:rsid w:val="008C261B"/>
    <w:rsid w:val="008D1891"/>
    <w:rsid w:val="008D4C9C"/>
    <w:rsid w:val="008D67EC"/>
    <w:rsid w:val="008D6BAE"/>
    <w:rsid w:val="008D6FCE"/>
    <w:rsid w:val="008D7AC1"/>
    <w:rsid w:val="008D7FB6"/>
    <w:rsid w:val="008E05D6"/>
    <w:rsid w:val="008E3CC2"/>
    <w:rsid w:val="008E7EDB"/>
    <w:rsid w:val="008F4C00"/>
    <w:rsid w:val="008F61E1"/>
    <w:rsid w:val="008F7C6E"/>
    <w:rsid w:val="00901A15"/>
    <w:rsid w:val="00901F82"/>
    <w:rsid w:val="009021B8"/>
    <w:rsid w:val="00903870"/>
    <w:rsid w:val="00905173"/>
    <w:rsid w:val="00911A33"/>
    <w:rsid w:val="00913D76"/>
    <w:rsid w:val="00914452"/>
    <w:rsid w:val="00917B1F"/>
    <w:rsid w:val="0092047C"/>
    <w:rsid w:val="009209C9"/>
    <w:rsid w:val="009259A5"/>
    <w:rsid w:val="00936B13"/>
    <w:rsid w:val="00957839"/>
    <w:rsid w:val="00961BD8"/>
    <w:rsid w:val="009625CF"/>
    <w:rsid w:val="00962C8E"/>
    <w:rsid w:val="00963D59"/>
    <w:rsid w:val="009667DB"/>
    <w:rsid w:val="00971E71"/>
    <w:rsid w:val="00972241"/>
    <w:rsid w:val="00974C6A"/>
    <w:rsid w:val="009771B3"/>
    <w:rsid w:val="0098075D"/>
    <w:rsid w:val="009811B2"/>
    <w:rsid w:val="0098385C"/>
    <w:rsid w:val="00984272"/>
    <w:rsid w:val="009861CB"/>
    <w:rsid w:val="00987809"/>
    <w:rsid w:val="00991C13"/>
    <w:rsid w:val="00991F8D"/>
    <w:rsid w:val="00992FFD"/>
    <w:rsid w:val="00995F60"/>
    <w:rsid w:val="009975F5"/>
    <w:rsid w:val="009A1837"/>
    <w:rsid w:val="009A3DFE"/>
    <w:rsid w:val="009A502E"/>
    <w:rsid w:val="009A6B06"/>
    <w:rsid w:val="009B01D5"/>
    <w:rsid w:val="009B1C3B"/>
    <w:rsid w:val="009C08C6"/>
    <w:rsid w:val="009C1FF6"/>
    <w:rsid w:val="009C2FBD"/>
    <w:rsid w:val="009C3459"/>
    <w:rsid w:val="009D2DE1"/>
    <w:rsid w:val="009D587F"/>
    <w:rsid w:val="009D6755"/>
    <w:rsid w:val="009E0E7E"/>
    <w:rsid w:val="009E23F3"/>
    <w:rsid w:val="009E6B30"/>
    <w:rsid w:val="009F2775"/>
    <w:rsid w:val="009F44C3"/>
    <w:rsid w:val="009F781B"/>
    <w:rsid w:val="00A03DEB"/>
    <w:rsid w:val="00A10DBA"/>
    <w:rsid w:val="00A16D70"/>
    <w:rsid w:val="00A1706C"/>
    <w:rsid w:val="00A21EB6"/>
    <w:rsid w:val="00A23597"/>
    <w:rsid w:val="00A236A5"/>
    <w:rsid w:val="00A23C2D"/>
    <w:rsid w:val="00A2442D"/>
    <w:rsid w:val="00A25164"/>
    <w:rsid w:val="00A32034"/>
    <w:rsid w:val="00A41594"/>
    <w:rsid w:val="00A41B5F"/>
    <w:rsid w:val="00A447DF"/>
    <w:rsid w:val="00A5571B"/>
    <w:rsid w:val="00A60367"/>
    <w:rsid w:val="00A609D6"/>
    <w:rsid w:val="00A632DC"/>
    <w:rsid w:val="00A64881"/>
    <w:rsid w:val="00A65D5A"/>
    <w:rsid w:val="00A67202"/>
    <w:rsid w:val="00A67B2A"/>
    <w:rsid w:val="00A704CC"/>
    <w:rsid w:val="00A7172A"/>
    <w:rsid w:val="00A719C6"/>
    <w:rsid w:val="00A72351"/>
    <w:rsid w:val="00A77B75"/>
    <w:rsid w:val="00A82153"/>
    <w:rsid w:val="00A82584"/>
    <w:rsid w:val="00A82AA6"/>
    <w:rsid w:val="00A872F4"/>
    <w:rsid w:val="00A87CEE"/>
    <w:rsid w:val="00A903D5"/>
    <w:rsid w:val="00A91B15"/>
    <w:rsid w:val="00A96130"/>
    <w:rsid w:val="00A96501"/>
    <w:rsid w:val="00AA1914"/>
    <w:rsid w:val="00AA3CB3"/>
    <w:rsid w:val="00AA5135"/>
    <w:rsid w:val="00AA72C4"/>
    <w:rsid w:val="00AB0E49"/>
    <w:rsid w:val="00AB396B"/>
    <w:rsid w:val="00AC0BDF"/>
    <w:rsid w:val="00AC0ED8"/>
    <w:rsid w:val="00AC5B22"/>
    <w:rsid w:val="00AD39FF"/>
    <w:rsid w:val="00AD5D5A"/>
    <w:rsid w:val="00AE0898"/>
    <w:rsid w:val="00AE1911"/>
    <w:rsid w:val="00AE79AA"/>
    <w:rsid w:val="00AF065E"/>
    <w:rsid w:val="00AF150A"/>
    <w:rsid w:val="00AF3DBA"/>
    <w:rsid w:val="00B00301"/>
    <w:rsid w:val="00B007E7"/>
    <w:rsid w:val="00B01B86"/>
    <w:rsid w:val="00B06695"/>
    <w:rsid w:val="00B073FE"/>
    <w:rsid w:val="00B10D4E"/>
    <w:rsid w:val="00B11E1F"/>
    <w:rsid w:val="00B129E3"/>
    <w:rsid w:val="00B1668B"/>
    <w:rsid w:val="00B17DB7"/>
    <w:rsid w:val="00B21684"/>
    <w:rsid w:val="00B24F36"/>
    <w:rsid w:val="00B358F3"/>
    <w:rsid w:val="00B369D1"/>
    <w:rsid w:val="00B36D44"/>
    <w:rsid w:val="00B405D8"/>
    <w:rsid w:val="00B4239B"/>
    <w:rsid w:val="00B43617"/>
    <w:rsid w:val="00B44A9B"/>
    <w:rsid w:val="00B522ED"/>
    <w:rsid w:val="00B52CBF"/>
    <w:rsid w:val="00B552F4"/>
    <w:rsid w:val="00B55862"/>
    <w:rsid w:val="00B71E56"/>
    <w:rsid w:val="00B752CA"/>
    <w:rsid w:val="00B77085"/>
    <w:rsid w:val="00B804D6"/>
    <w:rsid w:val="00B820B5"/>
    <w:rsid w:val="00B84188"/>
    <w:rsid w:val="00B9509B"/>
    <w:rsid w:val="00B97AA3"/>
    <w:rsid w:val="00BA0F4A"/>
    <w:rsid w:val="00BA154C"/>
    <w:rsid w:val="00BA619E"/>
    <w:rsid w:val="00BB34B0"/>
    <w:rsid w:val="00BB7CE7"/>
    <w:rsid w:val="00BC14CF"/>
    <w:rsid w:val="00BC4241"/>
    <w:rsid w:val="00BC7946"/>
    <w:rsid w:val="00BD1C47"/>
    <w:rsid w:val="00BD2224"/>
    <w:rsid w:val="00BD30B5"/>
    <w:rsid w:val="00BD4E88"/>
    <w:rsid w:val="00BD4EF5"/>
    <w:rsid w:val="00BD55A5"/>
    <w:rsid w:val="00BD5BA0"/>
    <w:rsid w:val="00BE1A13"/>
    <w:rsid w:val="00BE4BF8"/>
    <w:rsid w:val="00BE704A"/>
    <w:rsid w:val="00BF1B5D"/>
    <w:rsid w:val="00BF259F"/>
    <w:rsid w:val="00BF6B4C"/>
    <w:rsid w:val="00C00E01"/>
    <w:rsid w:val="00C038CC"/>
    <w:rsid w:val="00C04A71"/>
    <w:rsid w:val="00C113DD"/>
    <w:rsid w:val="00C1387C"/>
    <w:rsid w:val="00C15F9D"/>
    <w:rsid w:val="00C16B3D"/>
    <w:rsid w:val="00C21268"/>
    <w:rsid w:val="00C213B0"/>
    <w:rsid w:val="00C22EC4"/>
    <w:rsid w:val="00C24116"/>
    <w:rsid w:val="00C246C3"/>
    <w:rsid w:val="00C25C88"/>
    <w:rsid w:val="00C30AFF"/>
    <w:rsid w:val="00C3133C"/>
    <w:rsid w:val="00C42271"/>
    <w:rsid w:val="00C42B3C"/>
    <w:rsid w:val="00C457C6"/>
    <w:rsid w:val="00C50469"/>
    <w:rsid w:val="00C50AD8"/>
    <w:rsid w:val="00C610EF"/>
    <w:rsid w:val="00C619E5"/>
    <w:rsid w:val="00C63A10"/>
    <w:rsid w:val="00C640AC"/>
    <w:rsid w:val="00C64919"/>
    <w:rsid w:val="00C6565B"/>
    <w:rsid w:val="00C74886"/>
    <w:rsid w:val="00C764A5"/>
    <w:rsid w:val="00C77EB3"/>
    <w:rsid w:val="00C82692"/>
    <w:rsid w:val="00C84E2D"/>
    <w:rsid w:val="00C877A5"/>
    <w:rsid w:val="00C91ACD"/>
    <w:rsid w:val="00C93776"/>
    <w:rsid w:val="00C94C39"/>
    <w:rsid w:val="00C97095"/>
    <w:rsid w:val="00CA0A37"/>
    <w:rsid w:val="00CA1641"/>
    <w:rsid w:val="00CA603F"/>
    <w:rsid w:val="00CB324F"/>
    <w:rsid w:val="00CB3966"/>
    <w:rsid w:val="00CB4854"/>
    <w:rsid w:val="00CC074A"/>
    <w:rsid w:val="00CC225A"/>
    <w:rsid w:val="00CC5894"/>
    <w:rsid w:val="00CD02AE"/>
    <w:rsid w:val="00CD329E"/>
    <w:rsid w:val="00CD7916"/>
    <w:rsid w:val="00CE0814"/>
    <w:rsid w:val="00CE22DD"/>
    <w:rsid w:val="00CE327C"/>
    <w:rsid w:val="00CE6D9A"/>
    <w:rsid w:val="00CE6FCB"/>
    <w:rsid w:val="00CF0009"/>
    <w:rsid w:val="00CF59ED"/>
    <w:rsid w:val="00CF7455"/>
    <w:rsid w:val="00D00B8C"/>
    <w:rsid w:val="00D02059"/>
    <w:rsid w:val="00D02C68"/>
    <w:rsid w:val="00D0356C"/>
    <w:rsid w:val="00D043D2"/>
    <w:rsid w:val="00D1215A"/>
    <w:rsid w:val="00D131A5"/>
    <w:rsid w:val="00D23718"/>
    <w:rsid w:val="00D23BDE"/>
    <w:rsid w:val="00D275BC"/>
    <w:rsid w:val="00D27F4F"/>
    <w:rsid w:val="00D27FC5"/>
    <w:rsid w:val="00D40C49"/>
    <w:rsid w:val="00D45E12"/>
    <w:rsid w:val="00D5188E"/>
    <w:rsid w:val="00D52290"/>
    <w:rsid w:val="00D525B1"/>
    <w:rsid w:val="00D53A12"/>
    <w:rsid w:val="00D550C8"/>
    <w:rsid w:val="00D60878"/>
    <w:rsid w:val="00D610D5"/>
    <w:rsid w:val="00D62649"/>
    <w:rsid w:val="00D716C9"/>
    <w:rsid w:val="00D75C6C"/>
    <w:rsid w:val="00D767EF"/>
    <w:rsid w:val="00D8183B"/>
    <w:rsid w:val="00D85CA5"/>
    <w:rsid w:val="00D8671E"/>
    <w:rsid w:val="00D86B77"/>
    <w:rsid w:val="00D910D8"/>
    <w:rsid w:val="00D91D51"/>
    <w:rsid w:val="00D92CB9"/>
    <w:rsid w:val="00D93CD0"/>
    <w:rsid w:val="00DA2F49"/>
    <w:rsid w:val="00DA353C"/>
    <w:rsid w:val="00DA3BF5"/>
    <w:rsid w:val="00DA5294"/>
    <w:rsid w:val="00DB1B84"/>
    <w:rsid w:val="00DB339B"/>
    <w:rsid w:val="00DB352C"/>
    <w:rsid w:val="00DB3A43"/>
    <w:rsid w:val="00DB78BF"/>
    <w:rsid w:val="00DC1BEF"/>
    <w:rsid w:val="00DC3C40"/>
    <w:rsid w:val="00DC4DEC"/>
    <w:rsid w:val="00DC5032"/>
    <w:rsid w:val="00DD44BA"/>
    <w:rsid w:val="00DD56B0"/>
    <w:rsid w:val="00DD781C"/>
    <w:rsid w:val="00DE0F40"/>
    <w:rsid w:val="00DE1006"/>
    <w:rsid w:val="00DE1DF2"/>
    <w:rsid w:val="00DE3442"/>
    <w:rsid w:val="00DF1A6C"/>
    <w:rsid w:val="00DF37C1"/>
    <w:rsid w:val="00DF3FA4"/>
    <w:rsid w:val="00DF450D"/>
    <w:rsid w:val="00DF4A03"/>
    <w:rsid w:val="00DF5912"/>
    <w:rsid w:val="00DF6414"/>
    <w:rsid w:val="00DF74B5"/>
    <w:rsid w:val="00E058EA"/>
    <w:rsid w:val="00E077E7"/>
    <w:rsid w:val="00E123B3"/>
    <w:rsid w:val="00E14FB9"/>
    <w:rsid w:val="00E1572B"/>
    <w:rsid w:val="00E162E0"/>
    <w:rsid w:val="00E23107"/>
    <w:rsid w:val="00E26BFC"/>
    <w:rsid w:val="00E30BD3"/>
    <w:rsid w:val="00E317B1"/>
    <w:rsid w:val="00E40CE9"/>
    <w:rsid w:val="00E41095"/>
    <w:rsid w:val="00E45169"/>
    <w:rsid w:val="00E46A41"/>
    <w:rsid w:val="00E47673"/>
    <w:rsid w:val="00E51D7F"/>
    <w:rsid w:val="00E54C42"/>
    <w:rsid w:val="00E6418E"/>
    <w:rsid w:val="00E66097"/>
    <w:rsid w:val="00E70931"/>
    <w:rsid w:val="00E70995"/>
    <w:rsid w:val="00E72471"/>
    <w:rsid w:val="00E81405"/>
    <w:rsid w:val="00E81E06"/>
    <w:rsid w:val="00E83BBD"/>
    <w:rsid w:val="00E8451D"/>
    <w:rsid w:val="00E94CD5"/>
    <w:rsid w:val="00E967BE"/>
    <w:rsid w:val="00E96FFA"/>
    <w:rsid w:val="00E971B3"/>
    <w:rsid w:val="00EA6C1E"/>
    <w:rsid w:val="00EB5BC3"/>
    <w:rsid w:val="00EB76F2"/>
    <w:rsid w:val="00EB7E7D"/>
    <w:rsid w:val="00EC24CD"/>
    <w:rsid w:val="00EC503B"/>
    <w:rsid w:val="00EC638A"/>
    <w:rsid w:val="00EC7DF4"/>
    <w:rsid w:val="00ED0206"/>
    <w:rsid w:val="00ED0EBA"/>
    <w:rsid w:val="00ED3995"/>
    <w:rsid w:val="00ED57DA"/>
    <w:rsid w:val="00ED68CE"/>
    <w:rsid w:val="00ED779D"/>
    <w:rsid w:val="00EE092B"/>
    <w:rsid w:val="00EE1295"/>
    <w:rsid w:val="00EE3D28"/>
    <w:rsid w:val="00EE46B7"/>
    <w:rsid w:val="00EE5AD9"/>
    <w:rsid w:val="00EF1F77"/>
    <w:rsid w:val="00EF2DE1"/>
    <w:rsid w:val="00EF527C"/>
    <w:rsid w:val="00F04CE6"/>
    <w:rsid w:val="00F06463"/>
    <w:rsid w:val="00F07E01"/>
    <w:rsid w:val="00F105DE"/>
    <w:rsid w:val="00F10641"/>
    <w:rsid w:val="00F13160"/>
    <w:rsid w:val="00F16098"/>
    <w:rsid w:val="00F16C1C"/>
    <w:rsid w:val="00F20AE0"/>
    <w:rsid w:val="00F214B5"/>
    <w:rsid w:val="00F23604"/>
    <w:rsid w:val="00F23E3F"/>
    <w:rsid w:val="00F2462D"/>
    <w:rsid w:val="00F265F8"/>
    <w:rsid w:val="00F31CF0"/>
    <w:rsid w:val="00F37D5D"/>
    <w:rsid w:val="00F41A15"/>
    <w:rsid w:val="00F42007"/>
    <w:rsid w:val="00F4246F"/>
    <w:rsid w:val="00F44650"/>
    <w:rsid w:val="00F52723"/>
    <w:rsid w:val="00F570F8"/>
    <w:rsid w:val="00F60B99"/>
    <w:rsid w:val="00F6171A"/>
    <w:rsid w:val="00F66DCB"/>
    <w:rsid w:val="00F708C7"/>
    <w:rsid w:val="00F73A34"/>
    <w:rsid w:val="00F76D5E"/>
    <w:rsid w:val="00F8036E"/>
    <w:rsid w:val="00F86162"/>
    <w:rsid w:val="00F87F97"/>
    <w:rsid w:val="00F90A07"/>
    <w:rsid w:val="00F91C4A"/>
    <w:rsid w:val="00F936DC"/>
    <w:rsid w:val="00F947EC"/>
    <w:rsid w:val="00F95990"/>
    <w:rsid w:val="00F96084"/>
    <w:rsid w:val="00F9636F"/>
    <w:rsid w:val="00F97D14"/>
    <w:rsid w:val="00FB5E78"/>
    <w:rsid w:val="00FB69DE"/>
    <w:rsid w:val="00FC15B5"/>
    <w:rsid w:val="00FC58DA"/>
    <w:rsid w:val="00FC6D1B"/>
    <w:rsid w:val="00FC795C"/>
    <w:rsid w:val="00FD1720"/>
    <w:rsid w:val="00FD1B89"/>
    <w:rsid w:val="00FE254B"/>
    <w:rsid w:val="00FE3535"/>
    <w:rsid w:val="00FE3BD5"/>
    <w:rsid w:val="00FE55B5"/>
    <w:rsid w:val="00FE6C33"/>
    <w:rsid w:val="00FF1AAB"/>
    <w:rsid w:val="00FF22A7"/>
    <w:rsid w:val="00FF4F9A"/>
    <w:rsid w:val="00FF5255"/>
    <w:rsid w:val="00FF5660"/>
    <w:rsid w:val="00FF6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7E"/>
    <w:rPr>
      <w:rFonts w:eastAsiaTheme="minorHAnsi" w:cstheme="minorBidi"/>
      <w:sz w:val="24"/>
      <w:szCs w:val="22"/>
      <w:lang w:val="en-US" w:eastAsia="en-US"/>
    </w:rPr>
  </w:style>
  <w:style w:type="paragraph" w:styleId="Heading1">
    <w:name w:val="heading 1"/>
    <w:basedOn w:val="Normal"/>
    <w:next w:val="Normal"/>
    <w:link w:val="Heading1Char"/>
    <w:uiPriority w:val="9"/>
    <w:qFormat/>
    <w:rsid w:val="00DC5032"/>
    <w:pPr>
      <w:keepNext/>
      <w:keepLines/>
      <w:spacing w:before="480"/>
      <w:outlineLvl w:val="0"/>
    </w:pPr>
    <w:rPr>
      <w:rFonts w:asciiTheme="majorHAnsi" w:eastAsiaTheme="majorEastAsia" w:hAnsiTheme="majorHAnsi" w:cstheme="majorBidi"/>
      <w:b/>
      <w:bCs/>
      <w:color w:val="365F91" w:themeColor="accent1" w:themeShade="BF"/>
      <w:sz w:val="28"/>
      <w:szCs w:val="28"/>
      <w:lang w:val="en-CA"/>
    </w:rPr>
  </w:style>
  <w:style w:type="paragraph" w:styleId="Heading2">
    <w:name w:val="heading 2"/>
    <w:basedOn w:val="Normal"/>
    <w:next w:val="Normal"/>
    <w:link w:val="Heading2Char"/>
    <w:uiPriority w:val="9"/>
    <w:semiHidden/>
    <w:unhideWhenUsed/>
    <w:qFormat/>
    <w:rsid w:val="00707C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7C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7C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7C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7C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7C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7C32"/>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707C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3C1A7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C1A7E"/>
  </w:style>
  <w:style w:type="character" w:customStyle="1" w:styleId="Heading1Char">
    <w:name w:val="Heading 1 Char"/>
    <w:basedOn w:val="DefaultParagraphFont"/>
    <w:link w:val="Heading1"/>
    <w:uiPriority w:val="9"/>
    <w:rsid w:val="00DC50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7C32"/>
    <w:rPr>
      <w:rFonts w:asciiTheme="majorHAnsi" w:eastAsiaTheme="majorEastAsia" w:hAnsiTheme="majorHAnsi" w:cstheme="majorBidi"/>
      <w:b/>
      <w:bCs/>
      <w:color w:val="4F81BD" w:themeColor="accent1"/>
      <w:sz w:val="26"/>
      <w:szCs w:val="26"/>
      <w:lang w:val="en-US" w:eastAsia="en-US" w:bidi="en-US"/>
    </w:rPr>
  </w:style>
  <w:style w:type="paragraph" w:styleId="Header">
    <w:name w:val="header"/>
    <w:basedOn w:val="Normal"/>
    <w:link w:val="HeaderChar"/>
    <w:uiPriority w:val="99"/>
    <w:semiHidden/>
    <w:unhideWhenUsed/>
    <w:rsid w:val="008A6839"/>
    <w:pPr>
      <w:tabs>
        <w:tab w:val="center" w:pos="4680"/>
        <w:tab w:val="right" w:pos="9360"/>
      </w:tabs>
    </w:pPr>
  </w:style>
  <w:style w:type="character" w:customStyle="1" w:styleId="HeaderChar">
    <w:name w:val="Header Char"/>
    <w:basedOn w:val="DefaultParagraphFont"/>
    <w:link w:val="Header"/>
    <w:uiPriority w:val="99"/>
    <w:semiHidden/>
    <w:rsid w:val="008A6839"/>
    <w:rPr>
      <w:sz w:val="24"/>
    </w:rPr>
  </w:style>
  <w:style w:type="paragraph" w:styleId="Footer">
    <w:name w:val="footer"/>
    <w:basedOn w:val="Normal"/>
    <w:link w:val="FooterChar"/>
    <w:uiPriority w:val="99"/>
    <w:semiHidden/>
    <w:unhideWhenUsed/>
    <w:rsid w:val="008A6839"/>
    <w:pPr>
      <w:tabs>
        <w:tab w:val="center" w:pos="4680"/>
        <w:tab w:val="right" w:pos="9360"/>
      </w:tabs>
    </w:pPr>
  </w:style>
  <w:style w:type="character" w:customStyle="1" w:styleId="FooterChar">
    <w:name w:val="Footer Char"/>
    <w:basedOn w:val="DefaultParagraphFont"/>
    <w:link w:val="Footer"/>
    <w:uiPriority w:val="99"/>
    <w:semiHidden/>
    <w:rsid w:val="008A6839"/>
    <w:rPr>
      <w:sz w:val="24"/>
    </w:rPr>
  </w:style>
  <w:style w:type="paragraph" w:customStyle="1" w:styleId="SCCLsocOtherPartyRoleSeparator">
    <w:name w:val="SCC.Lsoc.OtherPartyRoleSeparator"/>
    <w:basedOn w:val="Normal"/>
    <w:next w:val="Normal"/>
    <w:link w:val="SCCLsocOtherPartyRoleSeparatorChar"/>
    <w:rsid w:val="008A6839"/>
    <w:pPr>
      <w:spacing w:after="480"/>
    </w:pPr>
  </w:style>
  <w:style w:type="character" w:customStyle="1" w:styleId="SCCLsocOtherPartyRoleSeparatorChar">
    <w:name w:val="SCC.Lsoc.OtherPartyRoleSeparator Char"/>
    <w:basedOn w:val="DefaultParagraphFont"/>
    <w:link w:val="SCCLsocOtherPartyRoleSeparator"/>
    <w:rsid w:val="008A6839"/>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8A6839"/>
    <w:pPr>
      <w:spacing w:after="480"/>
    </w:pPr>
  </w:style>
  <w:style w:type="character" w:customStyle="1" w:styleId="SCCLsocOtherPartySeparatorChar">
    <w:name w:val="SCC.Lsoc.OtherPartySeparator Char"/>
    <w:basedOn w:val="DefaultParagraphFont"/>
    <w:link w:val="SCCLsocOtherPartySeparator"/>
    <w:rsid w:val="008A6839"/>
    <w:rPr>
      <w:rFonts w:eastAsiaTheme="minorHAnsi" w:cstheme="minorBidi"/>
      <w:sz w:val="24"/>
      <w:szCs w:val="22"/>
      <w:lang w:eastAsia="en-US"/>
    </w:rPr>
  </w:style>
  <w:style w:type="paragraph" w:customStyle="1" w:styleId="SCCCoram">
    <w:name w:val="SCC.Coram"/>
    <w:basedOn w:val="Normal"/>
    <w:next w:val="Normal"/>
    <w:link w:val="SCCCoramChar"/>
    <w:rsid w:val="008A6839"/>
    <w:pPr>
      <w:pBdr>
        <w:bottom w:val="single" w:sz="4" w:space="1" w:color="auto"/>
      </w:pBdr>
    </w:pPr>
  </w:style>
  <w:style w:type="character" w:customStyle="1" w:styleId="SCCCoramChar">
    <w:name w:val="SCC.Coram Char"/>
    <w:basedOn w:val="DefaultParagraphFont"/>
    <w:link w:val="SCCCoram"/>
    <w:rsid w:val="008A6839"/>
    <w:rPr>
      <w:rFonts w:eastAsiaTheme="minorHAnsi" w:cstheme="minorBidi"/>
      <w:sz w:val="24"/>
      <w:szCs w:val="22"/>
      <w:lang w:eastAsia="en-US"/>
    </w:rPr>
  </w:style>
  <w:style w:type="paragraph" w:customStyle="1" w:styleId="SCCLsocParty">
    <w:name w:val="SCC.Lsoc.Party"/>
    <w:basedOn w:val="Normal"/>
    <w:next w:val="Normal"/>
    <w:link w:val="SCCLsocPartyChar"/>
    <w:rsid w:val="008A6839"/>
    <w:pPr>
      <w:spacing w:after="480"/>
    </w:pPr>
  </w:style>
  <w:style w:type="character" w:customStyle="1" w:styleId="SCCLsocPartyChar">
    <w:name w:val="SCC.Lsoc.Party Char"/>
    <w:basedOn w:val="DefaultParagraphFont"/>
    <w:link w:val="SCCLsocParty"/>
    <w:rsid w:val="008A6839"/>
    <w:rPr>
      <w:rFonts w:eastAsiaTheme="minorHAnsi" w:cstheme="minorBidi"/>
      <w:sz w:val="24"/>
      <w:szCs w:val="22"/>
      <w:lang w:eastAsia="en-US"/>
    </w:rPr>
  </w:style>
  <w:style w:type="paragraph" w:customStyle="1" w:styleId="SCCLsocSubfileSeparator">
    <w:name w:val="SCC.Lsoc.SubfileSeparator"/>
    <w:basedOn w:val="Normal"/>
    <w:next w:val="Normal"/>
    <w:link w:val="SCCLsocSubfileSeparatorChar"/>
    <w:rsid w:val="008A6839"/>
    <w:pPr>
      <w:spacing w:after="480"/>
    </w:pPr>
  </w:style>
  <w:style w:type="character" w:customStyle="1" w:styleId="SCCLsocSubfileSeparatorChar">
    <w:name w:val="SCC.Lsoc.SubfileSeparator Char"/>
    <w:basedOn w:val="DefaultParagraphFont"/>
    <w:link w:val="SCCLsocSubfileSeparator"/>
    <w:rsid w:val="008A6839"/>
    <w:rPr>
      <w:rFonts w:eastAsiaTheme="minorHAnsi" w:cstheme="minorBidi"/>
      <w:sz w:val="24"/>
      <w:szCs w:val="22"/>
      <w:lang w:eastAsia="en-US"/>
    </w:rPr>
  </w:style>
  <w:style w:type="paragraph" w:customStyle="1" w:styleId="SCCLsocVersus">
    <w:name w:val="SCC.Lsoc.Versus"/>
    <w:basedOn w:val="Normal"/>
    <w:next w:val="Normal"/>
    <w:link w:val="SCCLsocVersusChar"/>
    <w:rsid w:val="008A6839"/>
    <w:pPr>
      <w:spacing w:after="480"/>
    </w:pPr>
  </w:style>
  <w:style w:type="character" w:customStyle="1" w:styleId="SCCLsocVersusChar">
    <w:name w:val="SCC.Lsoc.Versus Char"/>
    <w:basedOn w:val="DefaultParagraphFont"/>
    <w:link w:val="SCCLsocVersus"/>
    <w:rsid w:val="008A6839"/>
    <w:rPr>
      <w:rFonts w:eastAsiaTheme="minorHAnsi" w:cstheme="minorBidi"/>
      <w:sz w:val="24"/>
      <w:szCs w:val="22"/>
      <w:lang w:eastAsia="en-US"/>
    </w:rPr>
  </w:style>
  <w:style w:type="paragraph" w:customStyle="1" w:styleId="SCCBanSummary">
    <w:name w:val="SCC.BanSummary"/>
    <w:basedOn w:val="Normal"/>
    <w:next w:val="Normal"/>
    <w:link w:val="SCCBanSummaryChar"/>
    <w:rsid w:val="008A6839"/>
    <w:pPr>
      <w:jc w:val="right"/>
    </w:pPr>
    <w:rPr>
      <w:rFonts w:eastAsiaTheme="minorEastAsia"/>
      <w:b/>
    </w:rPr>
  </w:style>
  <w:style w:type="character" w:customStyle="1" w:styleId="SCCBanSummaryChar">
    <w:name w:val="SCC.BanSummary Char"/>
    <w:basedOn w:val="DefaultParagraphFont"/>
    <w:link w:val="SCCBanSummary"/>
    <w:rsid w:val="008A6839"/>
    <w:rPr>
      <w:rFonts w:eastAsiaTheme="minorEastAsia"/>
      <w:b/>
      <w:sz w:val="24"/>
      <w:szCs w:val="24"/>
    </w:rPr>
  </w:style>
  <w:style w:type="character" w:styleId="PlaceholderText">
    <w:name w:val="Placeholder Text"/>
    <w:basedOn w:val="DefaultParagraphFont"/>
    <w:uiPriority w:val="99"/>
    <w:semiHidden/>
    <w:rsid w:val="008A6839"/>
    <w:rPr>
      <w:color w:val="808080"/>
    </w:rPr>
  </w:style>
  <w:style w:type="paragraph" w:styleId="BalloonText">
    <w:name w:val="Balloon Text"/>
    <w:basedOn w:val="Normal"/>
    <w:link w:val="BalloonTextChar"/>
    <w:uiPriority w:val="99"/>
    <w:semiHidden/>
    <w:unhideWhenUsed/>
    <w:rsid w:val="008A6839"/>
    <w:rPr>
      <w:rFonts w:cs="Tahoma"/>
      <w:sz w:val="28"/>
      <w:szCs w:val="16"/>
    </w:rPr>
  </w:style>
  <w:style w:type="character" w:customStyle="1" w:styleId="BalloonTextChar">
    <w:name w:val="Balloon Text Char"/>
    <w:basedOn w:val="DefaultParagraphFont"/>
    <w:link w:val="BalloonText"/>
    <w:uiPriority w:val="99"/>
    <w:semiHidden/>
    <w:rsid w:val="008A6839"/>
    <w:rPr>
      <w:rFonts w:cs="Tahoma"/>
      <w:sz w:val="28"/>
      <w:szCs w:val="16"/>
    </w:rPr>
  </w:style>
  <w:style w:type="table" w:styleId="TableGrid">
    <w:name w:val="Table Grid"/>
    <w:basedOn w:val="TableNormal"/>
    <w:uiPriority w:val="59"/>
    <w:rsid w:val="008A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72241"/>
    <w:rPr>
      <w:noProof/>
      <w:sz w:val="20"/>
    </w:rPr>
  </w:style>
  <w:style w:type="character" w:customStyle="1" w:styleId="FootnoteTextChar">
    <w:name w:val="Footnote Text Char"/>
    <w:basedOn w:val="DefaultParagraphFont"/>
    <w:link w:val="FootnoteText"/>
    <w:uiPriority w:val="99"/>
    <w:semiHidden/>
    <w:rsid w:val="00972241"/>
    <w:rPr>
      <w:noProof/>
    </w:rPr>
  </w:style>
  <w:style w:type="character" w:styleId="FootnoteReference">
    <w:name w:val="footnote reference"/>
    <w:basedOn w:val="DefaultParagraphFont"/>
    <w:uiPriority w:val="99"/>
    <w:semiHidden/>
    <w:unhideWhenUsed/>
    <w:rsid w:val="00972241"/>
    <w:rPr>
      <w:vertAlign w:val="superscript"/>
    </w:rPr>
  </w:style>
  <w:style w:type="character" w:styleId="Strong">
    <w:name w:val="Strong"/>
    <w:basedOn w:val="DefaultParagraphFont"/>
    <w:uiPriority w:val="22"/>
    <w:qFormat/>
    <w:rsid w:val="00DC5032"/>
    <w:rPr>
      <w:b/>
      <w:bCs/>
    </w:rPr>
  </w:style>
  <w:style w:type="paragraph" w:customStyle="1" w:styleId="1heading">
    <w:name w:val="1 heading"/>
    <w:basedOn w:val="Heading1"/>
    <w:link w:val="1headingChar"/>
    <w:rsid w:val="005F1C79"/>
    <w:pPr>
      <w:spacing w:before="240" w:after="120"/>
      <w:jc w:val="center"/>
    </w:pPr>
    <w:rPr>
      <w:rFonts w:cs="Times New Roman"/>
      <w:szCs w:val="24"/>
    </w:rPr>
  </w:style>
  <w:style w:type="character" w:customStyle="1" w:styleId="1headingChar">
    <w:name w:val="1 heading Char"/>
    <w:basedOn w:val="Heading1Char"/>
    <w:link w:val="1heading"/>
    <w:rsid w:val="005F1C79"/>
    <w:rPr>
      <w:b/>
      <w:bCs/>
      <w:sz w:val="24"/>
      <w:szCs w:val="24"/>
    </w:rPr>
  </w:style>
  <w:style w:type="character" w:styleId="Hyperlink">
    <w:name w:val="Hyperlink"/>
    <w:basedOn w:val="DefaultParagraphFont"/>
    <w:uiPriority w:val="99"/>
    <w:unhideWhenUsed/>
    <w:rsid w:val="00071C7A"/>
    <w:rPr>
      <w:color w:val="0000FF"/>
      <w:u w:val="single"/>
    </w:rPr>
  </w:style>
  <w:style w:type="character" w:styleId="CommentReference">
    <w:name w:val="annotation reference"/>
    <w:basedOn w:val="DefaultParagraphFont"/>
    <w:uiPriority w:val="99"/>
    <w:semiHidden/>
    <w:unhideWhenUsed/>
    <w:rsid w:val="008A6839"/>
    <w:rPr>
      <w:sz w:val="16"/>
      <w:szCs w:val="16"/>
    </w:rPr>
  </w:style>
  <w:style w:type="paragraph" w:styleId="CommentText">
    <w:name w:val="annotation text"/>
    <w:basedOn w:val="Normal"/>
    <w:link w:val="CommentTextChar"/>
    <w:uiPriority w:val="99"/>
    <w:semiHidden/>
    <w:unhideWhenUsed/>
    <w:rsid w:val="008A6839"/>
    <w:rPr>
      <w:sz w:val="20"/>
    </w:rPr>
  </w:style>
  <w:style w:type="character" w:customStyle="1" w:styleId="CommentTextChar">
    <w:name w:val="Comment Text Char"/>
    <w:basedOn w:val="DefaultParagraphFont"/>
    <w:link w:val="CommentText"/>
    <w:uiPriority w:val="99"/>
    <w:semiHidden/>
    <w:rsid w:val="008A6839"/>
  </w:style>
  <w:style w:type="paragraph" w:styleId="CommentSubject">
    <w:name w:val="annotation subject"/>
    <w:basedOn w:val="CommentText"/>
    <w:next w:val="CommentText"/>
    <w:link w:val="CommentSubjectChar"/>
    <w:uiPriority w:val="99"/>
    <w:semiHidden/>
    <w:unhideWhenUsed/>
    <w:rsid w:val="008A6839"/>
    <w:rPr>
      <w:b/>
      <w:bCs/>
    </w:rPr>
  </w:style>
  <w:style w:type="character" w:customStyle="1" w:styleId="CommentSubjectChar">
    <w:name w:val="Comment Subject Char"/>
    <w:basedOn w:val="CommentTextChar"/>
    <w:link w:val="CommentSubject"/>
    <w:uiPriority w:val="99"/>
    <w:semiHidden/>
    <w:rsid w:val="008A6839"/>
    <w:rPr>
      <w:b/>
      <w:bCs/>
    </w:rPr>
  </w:style>
  <w:style w:type="paragraph" w:styleId="Revision">
    <w:name w:val="Revision"/>
    <w:hidden/>
    <w:uiPriority w:val="99"/>
    <w:semiHidden/>
    <w:rsid w:val="00ED3995"/>
    <w:rPr>
      <w:sz w:val="24"/>
    </w:rPr>
  </w:style>
  <w:style w:type="paragraph" w:styleId="TOC1">
    <w:name w:val="toc 1"/>
    <w:basedOn w:val="Normal"/>
    <w:next w:val="Normal"/>
    <w:autoRedefine/>
    <w:uiPriority w:val="39"/>
    <w:unhideWhenUsed/>
    <w:qFormat/>
    <w:rsid w:val="00404F38"/>
    <w:pPr>
      <w:tabs>
        <w:tab w:val="left" w:pos="480"/>
        <w:tab w:val="right" w:leader="dot" w:pos="7200"/>
      </w:tabs>
      <w:spacing w:before="120" w:after="120"/>
      <w:ind w:left="475" w:right="-990" w:hanging="475"/>
    </w:pPr>
    <w:rPr>
      <w:noProof/>
    </w:rPr>
  </w:style>
  <w:style w:type="paragraph" w:styleId="TOC2">
    <w:name w:val="toc 2"/>
    <w:basedOn w:val="Normal"/>
    <w:next w:val="Normal"/>
    <w:autoRedefine/>
    <w:uiPriority w:val="39"/>
    <w:semiHidden/>
    <w:unhideWhenUsed/>
    <w:qFormat/>
    <w:rsid w:val="00B522ED"/>
    <w:pPr>
      <w:spacing w:after="100"/>
      <w:ind w:left="240"/>
    </w:pPr>
  </w:style>
  <w:style w:type="paragraph" w:styleId="TOC3">
    <w:name w:val="toc 3"/>
    <w:basedOn w:val="Normal"/>
    <w:next w:val="Normal"/>
    <w:autoRedefine/>
    <w:uiPriority w:val="39"/>
    <w:semiHidden/>
    <w:unhideWhenUsed/>
    <w:qFormat/>
    <w:rsid w:val="00B522ED"/>
    <w:pPr>
      <w:spacing w:after="100"/>
      <w:ind w:left="480"/>
    </w:pPr>
  </w:style>
  <w:style w:type="paragraph" w:styleId="TOC4">
    <w:name w:val="toc 4"/>
    <w:basedOn w:val="Normal"/>
    <w:next w:val="Normal"/>
    <w:autoRedefine/>
    <w:uiPriority w:val="39"/>
    <w:semiHidden/>
    <w:unhideWhenUsed/>
    <w:rsid w:val="00B522ED"/>
    <w:pPr>
      <w:spacing w:after="100"/>
      <w:ind w:left="720"/>
    </w:pPr>
  </w:style>
  <w:style w:type="paragraph" w:styleId="TOC5">
    <w:name w:val="toc 5"/>
    <w:basedOn w:val="Normal"/>
    <w:next w:val="Normal"/>
    <w:autoRedefine/>
    <w:uiPriority w:val="39"/>
    <w:semiHidden/>
    <w:unhideWhenUsed/>
    <w:rsid w:val="00B522ED"/>
    <w:pPr>
      <w:spacing w:after="100"/>
      <w:ind w:left="960"/>
    </w:pPr>
  </w:style>
  <w:style w:type="paragraph" w:styleId="TOCHeading">
    <w:name w:val="TOC Heading"/>
    <w:basedOn w:val="Heading1"/>
    <w:next w:val="Normal"/>
    <w:uiPriority w:val="39"/>
    <w:semiHidden/>
    <w:unhideWhenUsed/>
    <w:qFormat/>
    <w:rsid w:val="00707C32"/>
    <w:pPr>
      <w:outlineLvl w:val="9"/>
    </w:pPr>
  </w:style>
  <w:style w:type="paragraph" w:customStyle="1" w:styleId="JudgeJuge">
    <w:name w:val="Judge / Juge"/>
    <w:link w:val="JudgeJugeChar"/>
    <w:uiPriority w:val="3"/>
    <w:rsid w:val="008A6839"/>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8A6839"/>
    <w:rPr>
      <w:smallCaps/>
      <w:sz w:val="24"/>
    </w:rPr>
  </w:style>
  <w:style w:type="paragraph" w:customStyle="1" w:styleId="Citation-AltC">
    <w:name w:val="Citation - Alt C"/>
    <w:uiPriority w:val="2"/>
    <w:qFormat/>
    <w:rsid w:val="008A683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A6839"/>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8A6839"/>
    <w:pPr>
      <w:numPr>
        <w:numId w:val="33"/>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8A6839"/>
    <w:pPr>
      <w:tabs>
        <w:tab w:val="left" w:pos="360"/>
      </w:tabs>
      <w:spacing w:before="480" w:after="480"/>
      <w:ind w:left="360" w:hanging="360"/>
      <w:jc w:val="both"/>
    </w:pPr>
    <w:rPr>
      <w:rFonts w:eastAsiaTheme="minorHAnsi" w:cstheme="minorBidi"/>
      <w:sz w:val="24"/>
      <w:szCs w:val="22"/>
      <w:lang w:eastAsia="en-US"/>
    </w:rPr>
  </w:style>
  <w:style w:type="paragraph" w:styleId="ListParagraph">
    <w:name w:val="List Paragraph"/>
    <w:basedOn w:val="Normal"/>
    <w:link w:val="ListParagraphChar"/>
    <w:uiPriority w:val="34"/>
    <w:qFormat/>
    <w:rsid w:val="00707C32"/>
    <w:pPr>
      <w:ind w:left="720"/>
      <w:contextualSpacing/>
    </w:pPr>
  </w:style>
  <w:style w:type="character" w:customStyle="1" w:styleId="ListParagraphChar">
    <w:name w:val="List Paragraph Char"/>
    <w:basedOn w:val="DefaultParagraphFont"/>
    <w:link w:val="ListParagraph"/>
    <w:uiPriority w:val="34"/>
    <w:rsid w:val="00A25164"/>
    <w:rPr>
      <w:rFonts w:eastAsiaTheme="minorHAnsi" w:cstheme="minorBidi"/>
      <w:sz w:val="24"/>
      <w:szCs w:val="22"/>
      <w:lang w:val="en-US" w:eastAsia="en-US" w:bidi="en-US"/>
    </w:rPr>
  </w:style>
  <w:style w:type="paragraph" w:customStyle="1" w:styleId="paranum">
    <w:name w:val="para num"/>
    <w:basedOn w:val="ListParagraph"/>
    <w:link w:val="paranumChar"/>
    <w:qFormat/>
    <w:rsid w:val="00B55862"/>
    <w:pPr>
      <w:tabs>
        <w:tab w:val="left" w:pos="1170"/>
      </w:tabs>
      <w:spacing w:after="480" w:line="480" w:lineRule="auto"/>
      <w:ind w:left="0"/>
      <w:contextualSpacing w:val="0"/>
    </w:pPr>
  </w:style>
  <w:style w:type="character" w:customStyle="1" w:styleId="paranumChar">
    <w:name w:val="para num Char"/>
    <w:basedOn w:val="ListParagraphChar"/>
    <w:link w:val="paranum"/>
    <w:rsid w:val="00B55862"/>
  </w:style>
  <w:style w:type="character" w:customStyle="1" w:styleId="Heading3Char">
    <w:name w:val="Heading 3 Char"/>
    <w:basedOn w:val="DefaultParagraphFont"/>
    <w:link w:val="Heading3"/>
    <w:uiPriority w:val="9"/>
    <w:semiHidden/>
    <w:rsid w:val="00707C32"/>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07C32"/>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07C32"/>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07C32"/>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07C32"/>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07C32"/>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07C32"/>
    <w:rPr>
      <w:rFonts w:asciiTheme="majorHAnsi" w:eastAsiaTheme="majorEastAsia" w:hAnsiTheme="majorHAnsi" w:cstheme="majorBidi"/>
      <w:i/>
      <w:iCs/>
      <w:color w:val="404040" w:themeColor="text1" w:themeTint="BF"/>
      <w:lang w:val="en-US" w:eastAsia="en-US" w:bidi="en-US"/>
    </w:rPr>
  </w:style>
  <w:style w:type="paragraph" w:styleId="Title">
    <w:name w:val="Title"/>
    <w:basedOn w:val="Normal"/>
    <w:next w:val="Normal"/>
    <w:link w:val="TitleChar"/>
    <w:uiPriority w:val="10"/>
    <w:qFormat/>
    <w:rsid w:val="00707C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7C32"/>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qFormat/>
    <w:rsid w:val="00707C3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07C32"/>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707C32"/>
    <w:rPr>
      <w:i/>
      <w:iCs/>
    </w:rPr>
  </w:style>
  <w:style w:type="paragraph" w:styleId="NoSpacing">
    <w:name w:val="No Spacing"/>
    <w:uiPriority w:val="1"/>
    <w:qFormat/>
    <w:rsid w:val="00707C32"/>
    <w:rPr>
      <w:rFonts w:eastAsiaTheme="minorHAnsi" w:cstheme="minorBidi"/>
      <w:sz w:val="24"/>
      <w:szCs w:val="22"/>
      <w:lang w:val="en-US" w:eastAsia="en-US" w:bidi="en-US"/>
    </w:rPr>
  </w:style>
  <w:style w:type="paragraph" w:styleId="Quote">
    <w:name w:val="Quote"/>
    <w:basedOn w:val="Normal"/>
    <w:next w:val="Normal"/>
    <w:link w:val="QuoteChar"/>
    <w:uiPriority w:val="29"/>
    <w:qFormat/>
    <w:rsid w:val="00DC5032"/>
    <w:rPr>
      <w:i/>
      <w:iCs/>
      <w:color w:val="000000" w:themeColor="text1"/>
    </w:rPr>
  </w:style>
  <w:style w:type="character" w:customStyle="1" w:styleId="QuoteChar">
    <w:name w:val="Quote Char"/>
    <w:basedOn w:val="DefaultParagraphFont"/>
    <w:link w:val="Quote"/>
    <w:uiPriority w:val="29"/>
    <w:rsid w:val="00DC5032"/>
    <w:rPr>
      <w:i/>
      <w:iCs/>
      <w:color w:val="000000" w:themeColor="text1"/>
      <w:sz w:val="24"/>
      <w:lang w:val="en-US"/>
    </w:rPr>
  </w:style>
  <w:style w:type="paragraph" w:styleId="IntenseQuote">
    <w:name w:val="Intense Quote"/>
    <w:basedOn w:val="Normal"/>
    <w:next w:val="Normal"/>
    <w:link w:val="IntenseQuoteChar"/>
    <w:uiPriority w:val="30"/>
    <w:qFormat/>
    <w:rsid w:val="00707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7C32"/>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qFormat/>
    <w:rsid w:val="00707C32"/>
    <w:rPr>
      <w:i/>
      <w:iCs/>
      <w:color w:val="808080" w:themeColor="text1" w:themeTint="7F"/>
    </w:rPr>
  </w:style>
  <w:style w:type="character" w:styleId="IntenseEmphasis">
    <w:name w:val="Intense Emphasis"/>
    <w:basedOn w:val="DefaultParagraphFont"/>
    <w:uiPriority w:val="21"/>
    <w:qFormat/>
    <w:rsid w:val="00707C32"/>
    <w:rPr>
      <w:b/>
      <w:bCs/>
      <w:i/>
      <w:iCs/>
      <w:color w:val="4F81BD" w:themeColor="accent1"/>
    </w:rPr>
  </w:style>
  <w:style w:type="character" w:styleId="SubtleReference">
    <w:name w:val="Subtle Reference"/>
    <w:basedOn w:val="DefaultParagraphFont"/>
    <w:uiPriority w:val="31"/>
    <w:qFormat/>
    <w:rsid w:val="00707C32"/>
    <w:rPr>
      <w:smallCaps/>
      <w:color w:val="C0504D" w:themeColor="accent2"/>
      <w:u w:val="single"/>
    </w:rPr>
  </w:style>
  <w:style w:type="character" w:styleId="IntenseReference">
    <w:name w:val="Intense Reference"/>
    <w:basedOn w:val="DefaultParagraphFont"/>
    <w:uiPriority w:val="32"/>
    <w:qFormat/>
    <w:rsid w:val="00707C32"/>
    <w:rPr>
      <w:b/>
      <w:bCs/>
      <w:smallCaps/>
      <w:color w:val="C0504D" w:themeColor="accent2"/>
      <w:spacing w:val="5"/>
      <w:u w:val="single"/>
    </w:rPr>
  </w:style>
  <w:style w:type="character" w:styleId="BookTitle">
    <w:name w:val="Book Title"/>
    <w:basedOn w:val="DefaultParagraphFont"/>
    <w:uiPriority w:val="33"/>
    <w:qFormat/>
    <w:rsid w:val="00707C32"/>
    <w:rPr>
      <w:b/>
      <w:bCs/>
      <w:smallCaps/>
      <w:spacing w:val="5"/>
    </w:rPr>
  </w:style>
  <w:style w:type="paragraph" w:styleId="Caption">
    <w:name w:val="caption"/>
    <w:basedOn w:val="Normal"/>
    <w:next w:val="Normal"/>
    <w:uiPriority w:val="35"/>
    <w:semiHidden/>
    <w:unhideWhenUsed/>
    <w:qFormat/>
    <w:rsid w:val="00707C32"/>
    <w:rPr>
      <w:b/>
      <w:bCs/>
      <w:color w:val="4F81BD" w:themeColor="accent1"/>
      <w:sz w:val="18"/>
      <w:szCs w:val="18"/>
    </w:rPr>
  </w:style>
  <w:style w:type="paragraph" w:customStyle="1" w:styleId="SCCNormalDoubleSpacing">
    <w:name w:val="SCC.Normal.DoubleSpacing"/>
    <w:basedOn w:val="Normal"/>
    <w:link w:val="SCCNormalDoubleSpacingChar"/>
    <w:rsid w:val="000E7BE0"/>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0E7BE0"/>
    <w:rPr>
      <w:sz w:val="24"/>
    </w:rPr>
  </w:style>
  <w:style w:type="paragraph" w:customStyle="1" w:styleId="SCCAppellantForRunningHead">
    <w:name w:val="SCC.AppellantForRunningHead"/>
    <w:basedOn w:val="Normal"/>
    <w:next w:val="Normal"/>
    <w:link w:val="SCCAppellantForRunningHeadChar"/>
    <w:rsid w:val="000E7BE0"/>
    <w:rPr>
      <w:smallCaps/>
    </w:rPr>
  </w:style>
  <w:style w:type="character" w:customStyle="1" w:styleId="SCCAppellantForRunningHeadChar">
    <w:name w:val="SCC.AppellantForRunningHead Char"/>
    <w:basedOn w:val="DefaultParagraphFont"/>
    <w:link w:val="SCCAppellantForRunningHead"/>
    <w:rsid w:val="000E7BE0"/>
    <w:rPr>
      <w:smallCaps/>
      <w:sz w:val="24"/>
    </w:rPr>
  </w:style>
  <w:style w:type="paragraph" w:customStyle="1" w:styleId="SCCRespondentForRunningHead">
    <w:name w:val="SCC.RespondentForRunningHead"/>
    <w:basedOn w:val="Normal"/>
    <w:next w:val="Normal"/>
    <w:link w:val="SCCRespondentForRunningHeadChar"/>
    <w:rsid w:val="000E7BE0"/>
    <w:rPr>
      <w:smallCaps/>
    </w:rPr>
  </w:style>
  <w:style w:type="character" w:customStyle="1" w:styleId="SCCRespondentForRunningHeadChar">
    <w:name w:val="SCC.RespondentForRunningHead Char"/>
    <w:basedOn w:val="DefaultParagraphFont"/>
    <w:link w:val="SCCRespondentForRunningHead"/>
    <w:rsid w:val="000E7BE0"/>
    <w:rPr>
      <w:smallCaps/>
      <w:sz w:val="24"/>
    </w:rPr>
  </w:style>
  <w:style w:type="paragraph" w:customStyle="1" w:styleId="SCCAppellantForIndex">
    <w:name w:val="SCC.AppellantForIndex"/>
    <w:basedOn w:val="Normal"/>
    <w:next w:val="Normal"/>
    <w:link w:val="SCCAppellantForIndexChar"/>
    <w:rsid w:val="000E7BE0"/>
    <w:rPr>
      <w:b/>
    </w:rPr>
  </w:style>
  <w:style w:type="character" w:customStyle="1" w:styleId="SCCAppellantForIndexChar">
    <w:name w:val="SCC.AppellantForIndex Char"/>
    <w:basedOn w:val="DefaultParagraphFont"/>
    <w:link w:val="SCCAppellantForIndex"/>
    <w:rsid w:val="000E7BE0"/>
    <w:rPr>
      <w:b/>
      <w:sz w:val="24"/>
    </w:rPr>
  </w:style>
  <w:style w:type="paragraph" w:customStyle="1" w:styleId="SCCRespondentForIndex">
    <w:name w:val="SCC.RespondentForIndex"/>
    <w:basedOn w:val="Normal"/>
    <w:next w:val="Normal"/>
    <w:link w:val="SCCRespondentForIndexChar"/>
    <w:rsid w:val="000E7BE0"/>
    <w:rPr>
      <w:b/>
    </w:rPr>
  </w:style>
  <w:style w:type="character" w:customStyle="1" w:styleId="SCCRespondentForIndexChar">
    <w:name w:val="SCC.RespondentForIndex Char"/>
    <w:basedOn w:val="DefaultParagraphFont"/>
    <w:link w:val="SCCRespondentForIndex"/>
    <w:rsid w:val="000E7BE0"/>
    <w:rPr>
      <w:b/>
      <w:sz w:val="24"/>
    </w:rPr>
  </w:style>
  <w:style w:type="paragraph" w:customStyle="1" w:styleId="SCCSystemYear">
    <w:name w:val="SCC.SystemYear"/>
    <w:basedOn w:val="Normal"/>
    <w:next w:val="Normal"/>
    <w:link w:val="SCCSystemYearChar"/>
    <w:rsid w:val="000E7BE0"/>
    <w:rPr>
      <w:b/>
    </w:rPr>
  </w:style>
  <w:style w:type="character" w:customStyle="1" w:styleId="SCCSystemYearChar">
    <w:name w:val="SCC.SystemYear Char"/>
    <w:basedOn w:val="DefaultParagraphFont"/>
    <w:link w:val="SCCSystemYear"/>
    <w:rsid w:val="000E7BE0"/>
    <w:rPr>
      <w:b/>
      <w:sz w:val="24"/>
    </w:rPr>
  </w:style>
  <w:style w:type="paragraph" w:customStyle="1" w:styleId="SCCLowerCourtNameLowercase">
    <w:name w:val="SCC.LowerCourtNameLowercase"/>
    <w:basedOn w:val="SCCNormalDoubleSpacing"/>
    <w:next w:val="SCCNormalDoubleSpacing"/>
    <w:rsid w:val="000E7BE0"/>
    <w:rPr>
      <w:smallCaps/>
    </w:rPr>
  </w:style>
  <w:style w:type="character" w:customStyle="1" w:styleId="documentbody">
    <w:name w:val="documentbody"/>
    <w:basedOn w:val="DefaultParagraphFont"/>
    <w:rsid w:val="000E7BE0"/>
  </w:style>
  <w:style w:type="character" w:customStyle="1" w:styleId="canliicitation">
    <w:name w:val="canliicitation"/>
    <w:basedOn w:val="DefaultParagraphFont"/>
    <w:rsid w:val="000E7BE0"/>
  </w:style>
  <w:style w:type="character" w:customStyle="1" w:styleId="item">
    <w:name w:val="item"/>
    <w:basedOn w:val="DefaultParagraphFont"/>
    <w:rsid w:val="000E7BE0"/>
  </w:style>
  <w:style w:type="character" w:customStyle="1" w:styleId="title0">
    <w:name w:val="title"/>
    <w:basedOn w:val="DefaultParagraphFont"/>
    <w:rsid w:val="000E7BE0"/>
  </w:style>
  <w:style w:type="character" w:customStyle="1" w:styleId="selected">
    <w:name w:val="selected"/>
    <w:basedOn w:val="DefaultParagraphFont"/>
    <w:rsid w:val="000E7BE0"/>
  </w:style>
  <w:style w:type="character" w:customStyle="1" w:styleId="listitemlarge">
    <w:name w:val="listitemlarge"/>
    <w:basedOn w:val="DefaultParagraphFont"/>
    <w:rsid w:val="000E7BE0"/>
  </w:style>
  <w:style w:type="character" w:customStyle="1" w:styleId="reference">
    <w:name w:val="reference"/>
    <w:basedOn w:val="DefaultParagraphFont"/>
    <w:rsid w:val="000E7BE0"/>
  </w:style>
  <w:style w:type="table" w:customStyle="1" w:styleId="TableGrid1">
    <w:name w:val="Table Grid1"/>
    <w:basedOn w:val="TableNormal"/>
    <w:next w:val="TableGrid"/>
    <w:uiPriority w:val="59"/>
    <w:rsid w:val="00FB69D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1A7E"/>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1326419">
      <w:bodyDiv w:val="1"/>
      <w:marLeft w:val="0"/>
      <w:marRight w:val="0"/>
      <w:marTop w:val="0"/>
      <w:marBottom w:val="0"/>
      <w:divBdr>
        <w:top w:val="none" w:sz="0" w:space="0" w:color="auto"/>
        <w:left w:val="none" w:sz="0" w:space="0" w:color="auto"/>
        <w:bottom w:val="none" w:sz="0" w:space="0" w:color="auto"/>
        <w:right w:val="none" w:sz="0" w:space="0" w:color="auto"/>
      </w:divBdr>
    </w:div>
    <w:div w:id="444692375">
      <w:bodyDiv w:val="1"/>
      <w:marLeft w:val="0"/>
      <w:marRight w:val="0"/>
      <w:marTop w:val="0"/>
      <w:marBottom w:val="0"/>
      <w:divBdr>
        <w:top w:val="none" w:sz="0" w:space="0" w:color="auto"/>
        <w:left w:val="none" w:sz="0" w:space="0" w:color="auto"/>
        <w:bottom w:val="none" w:sz="0" w:space="0" w:color="auto"/>
        <w:right w:val="none" w:sz="0" w:space="0" w:color="auto"/>
      </w:divBdr>
    </w:div>
    <w:div w:id="462889065">
      <w:bodyDiv w:val="1"/>
      <w:marLeft w:val="0"/>
      <w:marRight w:val="0"/>
      <w:marTop w:val="0"/>
      <w:marBottom w:val="0"/>
      <w:divBdr>
        <w:top w:val="none" w:sz="0" w:space="0" w:color="auto"/>
        <w:left w:val="none" w:sz="0" w:space="0" w:color="auto"/>
        <w:bottom w:val="none" w:sz="0" w:space="0" w:color="auto"/>
        <w:right w:val="none" w:sz="0" w:space="0" w:color="auto"/>
      </w:divBdr>
    </w:div>
    <w:div w:id="474220978">
      <w:bodyDiv w:val="1"/>
      <w:marLeft w:val="0"/>
      <w:marRight w:val="0"/>
      <w:marTop w:val="0"/>
      <w:marBottom w:val="0"/>
      <w:divBdr>
        <w:top w:val="none" w:sz="0" w:space="0" w:color="auto"/>
        <w:left w:val="none" w:sz="0" w:space="0" w:color="auto"/>
        <w:bottom w:val="none" w:sz="0" w:space="0" w:color="auto"/>
        <w:right w:val="none" w:sz="0" w:space="0" w:color="auto"/>
      </w:divBdr>
    </w:div>
    <w:div w:id="507252520">
      <w:bodyDiv w:val="1"/>
      <w:marLeft w:val="0"/>
      <w:marRight w:val="0"/>
      <w:marTop w:val="0"/>
      <w:marBottom w:val="0"/>
      <w:divBdr>
        <w:top w:val="none" w:sz="0" w:space="0" w:color="auto"/>
        <w:left w:val="none" w:sz="0" w:space="0" w:color="auto"/>
        <w:bottom w:val="none" w:sz="0" w:space="0" w:color="auto"/>
        <w:right w:val="none" w:sz="0" w:space="0" w:color="auto"/>
      </w:divBdr>
    </w:div>
    <w:div w:id="570425918">
      <w:bodyDiv w:val="1"/>
      <w:marLeft w:val="0"/>
      <w:marRight w:val="0"/>
      <w:marTop w:val="0"/>
      <w:marBottom w:val="0"/>
      <w:divBdr>
        <w:top w:val="none" w:sz="0" w:space="0" w:color="auto"/>
        <w:left w:val="none" w:sz="0" w:space="0" w:color="auto"/>
        <w:bottom w:val="none" w:sz="0" w:space="0" w:color="auto"/>
        <w:right w:val="none" w:sz="0" w:space="0" w:color="auto"/>
      </w:divBdr>
    </w:div>
    <w:div w:id="655568007">
      <w:bodyDiv w:val="1"/>
      <w:marLeft w:val="0"/>
      <w:marRight w:val="0"/>
      <w:marTop w:val="0"/>
      <w:marBottom w:val="0"/>
      <w:divBdr>
        <w:top w:val="none" w:sz="0" w:space="0" w:color="auto"/>
        <w:left w:val="none" w:sz="0" w:space="0" w:color="auto"/>
        <w:bottom w:val="none" w:sz="0" w:space="0" w:color="auto"/>
        <w:right w:val="none" w:sz="0" w:space="0" w:color="auto"/>
      </w:divBdr>
    </w:div>
    <w:div w:id="675302386">
      <w:bodyDiv w:val="1"/>
      <w:marLeft w:val="0"/>
      <w:marRight w:val="0"/>
      <w:marTop w:val="0"/>
      <w:marBottom w:val="0"/>
      <w:divBdr>
        <w:top w:val="none" w:sz="0" w:space="0" w:color="auto"/>
        <w:left w:val="none" w:sz="0" w:space="0" w:color="auto"/>
        <w:bottom w:val="none" w:sz="0" w:space="0" w:color="auto"/>
        <w:right w:val="none" w:sz="0" w:space="0" w:color="auto"/>
      </w:divBdr>
    </w:div>
    <w:div w:id="788622546">
      <w:bodyDiv w:val="1"/>
      <w:marLeft w:val="0"/>
      <w:marRight w:val="0"/>
      <w:marTop w:val="0"/>
      <w:marBottom w:val="0"/>
      <w:divBdr>
        <w:top w:val="none" w:sz="0" w:space="0" w:color="auto"/>
        <w:left w:val="none" w:sz="0" w:space="0" w:color="auto"/>
        <w:bottom w:val="none" w:sz="0" w:space="0" w:color="auto"/>
        <w:right w:val="none" w:sz="0" w:space="0" w:color="auto"/>
      </w:divBdr>
    </w:div>
    <w:div w:id="1240094507">
      <w:bodyDiv w:val="1"/>
      <w:marLeft w:val="0"/>
      <w:marRight w:val="0"/>
      <w:marTop w:val="0"/>
      <w:marBottom w:val="0"/>
      <w:divBdr>
        <w:top w:val="none" w:sz="0" w:space="0" w:color="auto"/>
        <w:left w:val="none" w:sz="0" w:space="0" w:color="auto"/>
        <w:bottom w:val="none" w:sz="0" w:space="0" w:color="auto"/>
        <w:right w:val="none" w:sz="0" w:space="0" w:color="auto"/>
      </w:divBdr>
    </w:div>
    <w:div w:id="1353217286">
      <w:bodyDiv w:val="1"/>
      <w:marLeft w:val="0"/>
      <w:marRight w:val="0"/>
      <w:marTop w:val="0"/>
      <w:marBottom w:val="0"/>
      <w:divBdr>
        <w:top w:val="none" w:sz="0" w:space="0" w:color="auto"/>
        <w:left w:val="none" w:sz="0" w:space="0" w:color="auto"/>
        <w:bottom w:val="none" w:sz="0" w:space="0" w:color="auto"/>
        <w:right w:val="none" w:sz="0" w:space="0" w:color="auto"/>
      </w:divBdr>
    </w:div>
    <w:div w:id="1429621304">
      <w:bodyDiv w:val="1"/>
      <w:marLeft w:val="0"/>
      <w:marRight w:val="0"/>
      <w:marTop w:val="0"/>
      <w:marBottom w:val="0"/>
      <w:divBdr>
        <w:top w:val="none" w:sz="0" w:space="0" w:color="auto"/>
        <w:left w:val="none" w:sz="0" w:space="0" w:color="auto"/>
        <w:bottom w:val="none" w:sz="0" w:space="0" w:color="auto"/>
        <w:right w:val="none" w:sz="0" w:space="0" w:color="auto"/>
      </w:divBdr>
    </w:div>
    <w:div w:id="1555002965">
      <w:bodyDiv w:val="1"/>
      <w:marLeft w:val="0"/>
      <w:marRight w:val="0"/>
      <w:marTop w:val="0"/>
      <w:marBottom w:val="0"/>
      <w:divBdr>
        <w:top w:val="none" w:sz="0" w:space="0" w:color="auto"/>
        <w:left w:val="none" w:sz="0" w:space="0" w:color="auto"/>
        <w:bottom w:val="none" w:sz="0" w:space="0" w:color="auto"/>
        <w:right w:val="none" w:sz="0" w:space="0" w:color="auto"/>
      </w:divBdr>
    </w:div>
    <w:div w:id="1752696769">
      <w:bodyDiv w:val="1"/>
      <w:marLeft w:val="0"/>
      <w:marRight w:val="0"/>
      <w:marTop w:val="0"/>
      <w:marBottom w:val="0"/>
      <w:divBdr>
        <w:top w:val="none" w:sz="0" w:space="0" w:color="auto"/>
        <w:left w:val="none" w:sz="0" w:space="0" w:color="auto"/>
        <w:bottom w:val="none" w:sz="0" w:space="0" w:color="auto"/>
        <w:right w:val="none" w:sz="0" w:space="0" w:color="auto"/>
      </w:divBdr>
    </w:div>
    <w:div w:id="19975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F41B-2597-4EC1-B16D-39F23450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19355</Words>
  <Characters>110327</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2012-01-19T16:04:00Z</dcterms:created>
  <dcterms:modified xsi:type="dcterms:W3CDTF">2012-01-19T16:04:00Z</dcterms:modified>
</cp:coreProperties>
</file>