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F2" w:rsidRPr="00AD1B24" w:rsidRDefault="00807CF2" w:rsidP="00807CF2">
      <w:pPr>
        <w:tabs>
          <w:tab w:val="center" w:pos="4680"/>
          <w:tab w:val="right" w:pos="9360"/>
        </w:tabs>
        <w:jc w:val="center"/>
        <w:rPr>
          <w:rFonts w:eastAsiaTheme="minorHAnsi" w:cstheme="minorBidi"/>
          <w:szCs w:val="24"/>
          <w:lang w:val="fr-CA" w:eastAsia="en-US"/>
        </w:rPr>
      </w:pPr>
      <w:r w:rsidRPr="00AD1B2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52435" r:id="rId8"/>
        </w:object>
      </w:r>
    </w:p>
    <w:p w:rsidR="00807CF2" w:rsidRPr="00AD1B24" w:rsidRDefault="00807CF2" w:rsidP="00807CF2">
      <w:pPr>
        <w:tabs>
          <w:tab w:val="center" w:pos="4680"/>
          <w:tab w:val="right" w:pos="9360"/>
        </w:tabs>
        <w:rPr>
          <w:rFonts w:eastAsiaTheme="minorHAnsi" w:cstheme="minorBidi"/>
          <w:szCs w:val="24"/>
          <w:lang w:val="fr-CA" w:eastAsia="en-US"/>
        </w:rPr>
      </w:pPr>
    </w:p>
    <w:p w:rsidR="00807CF2" w:rsidRPr="00AD1B24" w:rsidRDefault="00807CF2" w:rsidP="00807CF2">
      <w:pPr>
        <w:jc w:val="center"/>
        <w:rPr>
          <w:rFonts w:eastAsiaTheme="minorHAnsi" w:cstheme="minorBidi"/>
          <w:b/>
          <w:szCs w:val="24"/>
          <w:lang w:val="fr-CA" w:eastAsia="en-US"/>
        </w:rPr>
      </w:pPr>
      <w:r w:rsidRPr="00AD1B24">
        <w:rPr>
          <w:rFonts w:eastAsiaTheme="minorHAnsi" w:cstheme="minorBidi"/>
          <w:b/>
          <w:szCs w:val="24"/>
          <w:lang w:val="fr-CA" w:eastAsia="en-US"/>
        </w:rPr>
        <w:t>COUR SUPRÊME DU CANADA</w:t>
      </w:r>
    </w:p>
    <w:p w:rsidR="00807CF2" w:rsidRPr="00AD1B24" w:rsidRDefault="00807CF2" w:rsidP="00807CF2">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07CF2" w:rsidRPr="00AD1B24" w:rsidTr="004B1F24">
        <w:trPr>
          <w:cantSplit/>
        </w:trPr>
        <w:tc>
          <w:tcPr>
            <w:tcW w:w="6768" w:type="dxa"/>
          </w:tcPr>
          <w:p w:rsidR="00807CF2" w:rsidRPr="00AD1B24" w:rsidRDefault="00807CF2" w:rsidP="004B1F24">
            <w:pPr>
              <w:rPr>
                <w:lang w:val="fr-CA"/>
              </w:rPr>
            </w:pPr>
            <w:r w:rsidRPr="00AD1B24">
              <w:rPr>
                <w:b/>
                <w:smallCaps/>
                <w:lang w:val="fr-CA"/>
              </w:rPr>
              <w:t>Référence :</w:t>
            </w:r>
            <w:r w:rsidRPr="00AD1B24">
              <w:rPr>
                <w:lang w:val="fr-CA"/>
              </w:rPr>
              <w:t xml:space="preserve"> Construction Labour Relations </w:t>
            </w:r>
            <w:r w:rsidRPr="00AD1B24">
              <w:rPr>
                <w:i/>
                <w:lang w:val="fr-CA"/>
              </w:rPr>
              <w:t>c</w:t>
            </w:r>
            <w:r w:rsidRPr="00AD1B24">
              <w:rPr>
                <w:lang w:val="fr-CA"/>
              </w:rPr>
              <w:t xml:space="preserve">. Driver </w:t>
            </w:r>
            <w:proofErr w:type="spellStart"/>
            <w:r w:rsidRPr="00AD1B24">
              <w:rPr>
                <w:lang w:val="fr-CA"/>
              </w:rPr>
              <w:t>Iron</w:t>
            </w:r>
            <w:proofErr w:type="spellEnd"/>
            <w:r w:rsidRPr="00AD1B24">
              <w:rPr>
                <w:lang w:val="fr-CA"/>
              </w:rPr>
              <w:t xml:space="preserve"> Inc., </w:t>
            </w:r>
            <w:r w:rsidRPr="001877C8">
              <w:rPr>
                <w:lang w:val="fr-CA"/>
              </w:rPr>
              <w:t>2012</w:t>
            </w:r>
            <w:r>
              <w:rPr>
                <w:lang w:val="fr-CA"/>
              </w:rPr>
              <w:t xml:space="preserve"> CSC </w:t>
            </w:r>
            <w:r w:rsidRPr="001877C8">
              <w:rPr>
                <w:lang w:val="fr-CA"/>
              </w:rPr>
              <w:t>65, [2012] 3 R.C.S. 405</w:t>
            </w:r>
          </w:p>
        </w:tc>
        <w:tc>
          <w:tcPr>
            <w:tcW w:w="2808" w:type="dxa"/>
          </w:tcPr>
          <w:p w:rsidR="00807CF2" w:rsidRPr="00AD1B24" w:rsidRDefault="00807CF2" w:rsidP="004B1F24">
            <w:pPr>
              <w:rPr>
                <w:lang w:val="fr-CA"/>
              </w:rPr>
            </w:pPr>
            <w:r w:rsidRPr="00AD1B24">
              <w:rPr>
                <w:b/>
                <w:smallCaps/>
                <w:lang w:val="fr-CA"/>
              </w:rPr>
              <w:t>Date :</w:t>
            </w:r>
            <w:r w:rsidRPr="00AD1B24">
              <w:rPr>
                <w:lang w:val="fr-CA"/>
              </w:rPr>
              <w:t xml:space="preserve"> 20121129</w:t>
            </w:r>
          </w:p>
          <w:p w:rsidR="00807CF2" w:rsidRPr="00AD1B24" w:rsidRDefault="00807CF2" w:rsidP="004B1F24">
            <w:pPr>
              <w:rPr>
                <w:lang w:val="fr-CA"/>
              </w:rPr>
            </w:pPr>
            <w:r w:rsidRPr="00AD1B24">
              <w:rPr>
                <w:b/>
                <w:smallCaps/>
                <w:lang w:val="fr-CA"/>
              </w:rPr>
              <w:t>Dossier :</w:t>
            </w:r>
            <w:r w:rsidRPr="00AD1B24">
              <w:rPr>
                <w:lang w:val="fr-CA"/>
              </w:rPr>
              <w:t xml:space="preserve"> 34205</w:t>
            </w:r>
          </w:p>
        </w:tc>
      </w:tr>
    </w:tbl>
    <w:p w:rsidR="00807CF2" w:rsidRPr="00AD1B24" w:rsidRDefault="00807CF2" w:rsidP="00807CF2">
      <w:pPr>
        <w:rPr>
          <w:rFonts w:eastAsiaTheme="minorHAnsi" w:cstheme="minorBidi"/>
          <w:szCs w:val="24"/>
          <w:lang w:val="fr-CA" w:eastAsia="en-US"/>
        </w:rPr>
      </w:pPr>
    </w:p>
    <w:p w:rsidR="00807CF2" w:rsidRPr="00AD1B24" w:rsidRDefault="00807CF2" w:rsidP="00807CF2">
      <w:pPr>
        <w:rPr>
          <w:rFonts w:eastAsiaTheme="minorHAnsi" w:cstheme="minorBidi"/>
          <w:b/>
          <w:smallCaps/>
          <w:szCs w:val="24"/>
          <w:lang w:val="fr-CA" w:eastAsia="en-US"/>
        </w:rPr>
      </w:pPr>
      <w:r w:rsidRPr="00AD1B24">
        <w:rPr>
          <w:rFonts w:eastAsiaTheme="minorHAnsi" w:cstheme="minorBidi"/>
          <w:b/>
          <w:smallCaps/>
          <w:szCs w:val="24"/>
          <w:lang w:val="fr-CA" w:eastAsia="en-US"/>
        </w:rPr>
        <w:t>Entre :</w:t>
      </w:r>
    </w:p>
    <w:p w:rsidR="00807CF2" w:rsidRPr="00AD1B24" w:rsidRDefault="00807CF2" w:rsidP="00807CF2">
      <w:pPr>
        <w:jc w:val="center"/>
        <w:rPr>
          <w:rFonts w:eastAsiaTheme="minorHAnsi" w:cstheme="minorBidi"/>
          <w:b/>
          <w:szCs w:val="24"/>
          <w:lang w:val="fr-CA" w:eastAsia="en-US"/>
        </w:rPr>
      </w:pPr>
      <w:r w:rsidRPr="00AD1B24">
        <w:rPr>
          <w:rFonts w:eastAsiaTheme="minorHAnsi" w:cstheme="minorBidi"/>
          <w:b/>
          <w:szCs w:val="24"/>
          <w:lang w:val="fr-CA" w:eastAsia="en-US"/>
        </w:rPr>
        <w:t>Construction Labour Relations - An Alberta Association</w:t>
      </w:r>
    </w:p>
    <w:p w:rsidR="00807CF2" w:rsidRPr="00AD1B24" w:rsidRDefault="00807CF2" w:rsidP="00807CF2">
      <w:pPr>
        <w:jc w:val="center"/>
        <w:rPr>
          <w:rFonts w:eastAsiaTheme="minorHAnsi" w:cstheme="minorBidi"/>
          <w:szCs w:val="24"/>
          <w:lang w:val="fr-CA" w:eastAsia="en-US"/>
        </w:rPr>
      </w:pPr>
      <w:r w:rsidRPr="00AD1B24">
        <w:rPr>
          <w:rFonts w:eastAsiaTheme="minorHAnsi" w:cstheme="minorBidi"/>
          <w:szCs w:val="24"/>
          <w:lang w:val="fr-CA" w:eastAsia="en-US"/>
        </w:rPr>
        <w:t>Appelante</w:t>
      </w:r>
    </w:p>
    <w:p w:rsidR="00807CF2" w:rsidRPr="00AD1B24" w:rsidRDefault="00807CF2" w:rsidP="00807CF2">
      <w:pPr>
        <w:jc w:val="center"/>
        <w:rPr>
          <w:rFonts w:eastAsiaTheme="minorHAnsi" w:cstheme="minorBidi"/>
          <w:szCs w:val="24"/>
          <w:lang w:val="fr-CA" w:eastAsia="en-US"/>
        </w:rPr>
      </w:pPr>
      <w:proofErr w:type="gramStart"/>
      <w:r w:rsidRPr="00AD1B24">
        <w:rPr>
          <w:rFonts w:eastAsiaTheme="minorHAnsi" w:cstheme="minorBidi"/>
          <w:szCs w:val="24"/>
          <w:lang w:val="fr-CA" w:eastAsia="en-US"/>
        </w:rPr>
        <w:t>et</w:t>
      </w:r>
      <w:proofErr w:type="gramEnd"/>
    </w:p>
    <w:p w:rsidR="00807CF2" w:rsidRPr="00AD1B24" w:rsidRDefault="00807CF2" w:rsidP="00807CF2">
      <w:pPr>
        <w:jc w:val="center"/>
        <w:rPr>
          <w:rFonts w:eastAsiaTheme="minorHAnsi" w:cstheme="minorBidi"/>
          <w:b/>
          <w:szCs w:val="24"/>
          <w:lang w:val="fr-CA" w:eastAsia="en-US"/>
        </w:rPr>
      </w:pPr>
      <w:r w:rsidRPr="00AD1B24">
        <w:rPr>
          <w:rFonts w:eastAsiaTheme="minorHAnsi" w:cstheme="minorBidi"/>
          <w:b/>
          <w:szCs w:val="24"/>
          <w:lang w:val="fr-CA" w:eastAsia="en-US"/>
        </w:rPr>
        <w:t xml:space="preserve">Driver </w:t>
      </w:r>
      <w:proofErr w:type="spellStart"/>
      <w:r w:rsidRPr="00AD1B24">
        <w:rPr>
          <w:rFonts w:eastAsiaTheme="minorHAnsi" w:cstheme="minorBidi"/>
          <w:b/>
          <w:szCs w:val="24"/>
          <w:lang w:val="fr-CA" w:eastAsia="en-US"/>
        </w:rPr>
        <w:t>Iron</w:t>
      </w:r>
      <w:proofErr w:type="spellEnd"/>
      <w:r w:rsidRPr="00AD1B24">
        <w:rPr>
          <w:rFonts w:eastAsiaTheme="minorHAnsi" w:cstheme="minorBidi"/>
          <w:b/>
          <w:szCs w:val="24"/>
          <w:lang w:val="fr-CA" w:eastAsia="en-US"/>
        </w:rPr>
        <w:t xml:space="preserve"> Inc., Association internationale des travailleurs en ponts, en fer structural, ornemental et d’armature, section locale 720 et Alberta Labour Relations </w:t>
      </w:r>
      <w:proofErr w:type="spellStart"/>
      <w:r w:rsidRPr="00AD1B24">
        <w:rPr>
          <w:rFonts w:eastAsiaTheme="minorHAnsi" w:cstheme="minorBidi"/>
          <w:b/>
          <w:szCs w:val="24"/>
          <w:lang w:val="fr-CA" w:eastAsia="en-US"/>
        </w:rPr>
        <w:t>Board</w:t>
      </w:r>
      <w:proofErr w:type="spellEnd"/>
    </w:p>
    <w:p w:rsidR="00807CF2" w:rsidRPr="00AD1B24" w:rsidRDefault="00807CF2" w:rsidP="00807CF2">
      <w:pPr>
        <w:jc w:val="center"/>
        <w:rPr>
          <w:rFonts w:eastAsiaTheme="minorHAnsi" w:cstheme="minorBidi"/>
          <w:szCs w:val="24"/>
          <w:lang w:val="fr-CA" w:eastAsia="en-US"/>
        </w:rPr>
      </w:pPr>
      <w:r w:rsidRPr="00AD1B24">
        <w:rPr>
          <w:rFonts w:eastAsiaTheme="minorHAnsi" w:cstheme="minorBidi"/>
          <w:szCs w:val="24"/>
          <w:lang w:val="fr-CA" w:eastAsia="en-US"/>
        </w:rPr>
        <w:t>Intimées</w:t>
      </w:r>
    </w:p>
    <w:p w:rsidR="00807CF2" w:rsidRPr="00AD1B24" w:rsidRDefault="00807CF2" w:rsidP="00807CF2">
      <w:pPr>
        <w:rPr>
          <w:rFonts w:eastAsiaTheme="minorHAnsi" w:cstheme="minorBidi"/>
          <w:szCs w:val="24"/>
          <w:lang w:val="fr-CA" w:eastAsia="en-US"/>
        </w:rPr>
      </w:pPr>
    </w:p>
    <w:p w:rsidR="00807CF2" w:rsidRPr="00AD1B24" w:rsidRDefault="00807CF2" w:rsidP="00807CF2">
      <w:pPr>
        <w:rPr>
          <w:rFonts w:eastAsiaTheme="minorHAnsi" w:cstheme="minorBidi"/>
          <w:szCs w:val="24"/>
          <w:lang w:val="fr-CA" w:eastAsia="en-US"/>
        </w:rPr>
      </w:pPr>
    </w:p>
    <w:p w:rsidR="00807CF2" w:rsidRPr="00AD1B24" w:rsidRDefault="00807CF2" w:rsidP="00807CF2">
      <w:pPr>
        <w:jc w:val="center"/>
        <w:rPr>
          <w:rFonts w:eastAsiaTheme="minorHAnsi" w:cstheme="minorBidi"/>
          <w:b/>
          <w:smallCaps/>
          <w:szCs w:val="24"/>
          <w:lang w:val="fr-CA" w:eastAsia="en-US"/>
        </w:rPr>
      </w:pPr>
      <w:r w:rsidRPr="00AD1B24">
        <w:rPr>
          <w:rFonts w:eastAsiaTheme="minorHAnsi" w:cstheme="minorBidi"/>
          <w:b/>
          <w:smallCaps/>
          <w:szCs w:val="24"/>
          <w:lang w:val="fr-CA" w:eastAsia="en-US"/>
        </w:rPr>
        <w:t>Traduction française officielle</w:t>
      </w:r>
    </w:p>
    <w:p w:rsidR="00807CF2" w:rsidRPr="00AD1B24" w:rsidRDefault="00807CF2" w:rsidP="00807CF2">
      <w:pPr>
        <w:rPr>
          <w:rFonts w:eastAsiaTheme="minorHAnsi" w:cstheme="minorBidi"/>
          <w:szCs w:val="24"/>
          <w:lang w:val="fr-CA" w:eastAsia="en-US"/>
        </w:rPr>
      </w:pPr>
    </w:p>
    <w:p w:rsidR="00807CF2" w:rsidRPr="00AD1B24" w:rsidRDefault="00807CF2" w:rsidP="00807CF2">
      <w:pPr>
        <w:rPr>
          <w:rFonts w:eastAsiaTheme="minorHAnsi" w:cstheme="minorBidi"/>
          <w:szCs w:val="24"/>
          <w:lang w:val="fr-CA" w:eastAsia="en-US"/>
        </w:rPr>
      </w:pPr>
      <w:r w:rsidRPr="00AD1B24">
        <w:rPr>
          <w:rFonts w:eastAsiaTheme="minorHAnsi" w:cstheme="minorBidi"/>
          <w:b/>
          <w:smallCaps/>
          <w:szCs w:val="24"/>
          <w:lang w:val="fr-CA" w:eastAsia="en-US"/>
        </w:rPr>
        <w:t>Coram :</w:t>
      </w:r>
      <w:r w:rsidRPr="00AD1B24">
        <w:rPr>
          <w:rFonts w:eastAsiaTheme="minorHAnsi" w:cstheme="minorBidi"/>
          <w:szCs w:val="24"/>
          <w:lang w:val="fr-CA" w:eastAsia="en-US"/>
        </w:rPr>
        <w:t xml:space="preserve"> La juge en chef </w:t>
      </w:r>
      <w:proofErr w:type="spellStart"/>
      <w:r w:rsidRPr="00AD1B24">
        <w:rPr>
          <w:rFonts w:eastAsiaTheme="minorHAnsi" w:cstheme="minorBidi"/>
          <w:szCs w:val="24"/>
          <w:lang w:val="fr-CA" w:eastAsia="en-US"/>
        </w:rPr>
        <w:t>McLachlin</w:t>
      </w:r>
      <w:proofErr w:type="spellEnd"/>
      <w:r w:rsidRPr="00AD1B24">
        <w:rPr>
          <w:rFonts w:eastAsiaTheme="minorHAnsi" w:cstheme="minorBidi"/>
          <w:szCs w:val="24"/>
          <w:lang w:val="fr-CA" w:eastAsia="en-US"/>
        </w:rPr>
        <w:t xml:space="preserve"> et les juges </w:t>
      </w:r>
      <w:proofErr w:type="spellStart"/>
      <w:r w:rsidRPr="00AD1B24">
        <w:rPr>
          <w:rFonts w:eastAsiaTheme="minorHAnsi" w:cstheme="minorBidi"/>
          <w:szCs w:val="24"/>
          <w:lang w:val="fr-CA" w:eastAsia="en-US"/>
        </w:rPr>
        <w:t>LeBel</w:t>
      </w:r>
      <w:proofErr w:type="spellEnd"/>
      <w:r w:rsidRPr="00AD1B24">
        <w:rPr>
          <w:rFonts w:eastAsiaTheme="minorHAnsi" w:cstheme="minorBidi"/>
          <w:szCs w:val="24"/>
          <w:lang w:val="fr-CA" w:eastAsia="en-US"/>
        </w:rPr>
        <w:t xml:space="preserve">, Abella, </w:t>
      </w:r>
      <w:proofErr w:type="spellStart"/>
      <w:r w:rsidRPr="00AD1B24">
        <w:rPr>
          <w:rFonts w:eastAsiaTheme="minorHAnsi" w:cstheme="minorBidi"/>
          <w:szCs w:val="24"/>
          <w:lang w:val="fr-CA" w:eastAsia="en-US"/>
        </w:rPr>
        <w:t>Rothstein</w:t>
      </w:r>
      <w:proofErr w:type="spellEnd"/>
      <w:r w:rsidRPr="00AD1B24">
        <w:rPr>
          <w:rFonts w:eastAsiaTheme="minorHAnsi" w:cstheme="minorBidi"/>
          <w:szCs w:val="24"/>
          <w:lang w:val="fr-CA" w:eastAsia="en-US"/>
        </w:rPr>
        <w:t xml:space="preserve">, Cromwell, </w:t>
      </w:r>
      <w:proofErr w:type="spellStart"/>
      <w:r w:rsidRPr="00AD1B24">
        <w:rPr>
          <w:rFonts w:eastAsiaTheme="minorHAnsi" w:cstheme="minorBidi"/>
          <w:szCs w:val="24"/>
          <w:lang w:val="fr-CA" w:eastAsia="en-US"/>
        </w:rPr>
        <w:t>Moldaver</w:t>
      </w:r>
      <w:proofErr w:type="spellEnd"/>
      <w:r w:rsidRPr="00AD1B24">
        <w:rPr>
          <w:rFonts w:eastAsiaTheme="minorHAnsi" w:cstheme="minorBidi"/>
          <w:szCs w:val="24"/>
          <w:lang w:val="fr-CA" w:eastAsia="en-US"/>
        </w:rPr>
        <w:t xml:space="preserve"> et </w:t>
      </w:r>
      <w:proofErr w:type="spellStart"/>
      <w:r w:rsidRPr="00AD1B24">
        <w:rPr>
          <w:rFonts w:eastAsiaTheme="minorHAnsi" w:cstheme="minorBidi"/>
          <w:szCs w:val="24"/>
          <w:lang w:val="fr-CA" w:eastAsia="en-US"/>
        </w:rPr>
        <w:t>Karakatsanis</w:t>
      </w:r>
      <w:proofErr w:type="spellEnd"/>
    </w:p>
    <w:p w:rsidR="00807CF2" w:rsidRPr="00AD1B24" w:rsidRDefault="00807CF2" w:rsidP="00807CF2">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07CF2" w:rsidRPr="00AD1B24" w:rsidTr="004B1F24">
        <w:trPr>
          <w:cantSplit/>
        </w:trPr>
        <w:tc>
          <w:tcPr>
            <w:tcW w:w="3618" w:type="dxa"/>
          </w:tcPr>
          <w:p w:rsidR="00807CF2" w:rsidRPr="00AD1B24" w:rsidRDefault="00807CF2" w:rsidP="004B1F24">
            <w:pPr>
              <w:rPr>
                <w:b/>
                <w:smallCaps/>
                <w:lang w:val="fr-CA"/>
              </w:rPr>
            </w:pPr>
            <w:r w:rsidRPr="00AD1B24">
              <w:rPr>
                <w:b/>
                <w:smallCaps/>
                <w:lang w:val="fr-CA"/>
              </w:rPr>
              <w:t>Motifs de jugement :</w:t>
            </w:r>
          </w:p>
          <w:p w:rsidR="00807CF2" w:rsidRPr="00AD1B24" w:rsidRDefault="00807CF2" w:rsidP="004B1F24">
            <w:pPr>
              <w:rPr>
                <w:lang w:val="fr-CA"/>
              </w:rPr>
            </w:pPr>
            <w:r w:rsidRPr="00AD1B24">
              <w:rPr>
                <w:lang w:val="fr-CA"/>
              </w:rPr>
              <w:t>(par. 1 à 4)</w:t>
            </w:r>
          </w:p>
        </w:tc>
        <w:tc>
          <w:tcPr>
            <w:tcW w:w="5958" w:type="dxa"/>
          </w:tcPr>
          <w:p w:rsidR="00807CF2" w:rsidRPr="00AD1B24" w:rsidRDefault="00807CF2" w:rsidP="004B1F24">
            <w:pPr>
              <w:rPr>
                <w:lang w:val="fr-CA"/>
              </w:rPr>
            </w:pPr>
            <w:r w:rsidRPr="00AD1B24">
              <w:rPr>
                <w:lang w:val="fr-CA"/>
              </w:rPr>
              <w:t>La Cour</w:t>
            </w:r>
          </w:p>
        </w:tc>
      </w:tr>
    </w:tbl>
    <w:p w:rsidR="00807CF2" w:rsidRPr="00AD1B24" w:rsidRDefault="00807CF2" w:rsidP="00807CF2">
      <w:pPr>
        <w:rPr>
          <w:rFonts w:eastAsiaTheme="minorHAnsi" w:cstheme="minorBidi"/>
          <w:szCs w:val="24"/>
          <w:lang w:val="fr-CA" w:eastAsia="en-US"/>
        </w:rPr>
      </w:pPr>
    </w:p>
    <w:p w:rsidR="00807CF2" w:rsidRPr="00AD1B24" w:rsidRDefault="00807CF2" w:rsidP="00807CF2">
      <w:pPr>
        <w:rPr>
          <w:rFonts w:eastAsiaTheme="minorHAnsi" w:cstheme="minorBidi"/>
          <w:szCs w:val="24"/>
          <w:lang w:val="fr-CA" w:eastAsia="en-US"/>
        </w:rPr>
      </w:pPr>
    </w:p>
    <w:p w:rsidR="00807CF2" w:rsidRPr="00AD1B24" w:rsidRDefault="00807CF2" w:rsidP="00807CF2">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07CF2" w:rsidRPr="00AD1B24" w:rsidRDefault="00807CF2" w:rsidP="00807CF2">
      <w:pPr>
        <w:rPr>
          <w:smallCaps/>
          <w:lang w:val="fr-CA"/>
        </w:rPr>
      </w:pPr>
      <w:r w:rsidRPr="00AD1B24">
        <w:rPr>
          <w:smallCaps/>
          <w:lang w:val="fr-CA"/>
        </w:rPr>
        <w:br w:type="page"/>
      </w:r>
    </w:p>
    <w:p w:rsidR="001877C8" w:rsidRPr="001877C8" w:rsidRDefault="001877C8" w:rsidP="001877C8">
      <w:pPr>
        <w:spacing w:after="720"/>
        <w:jc w:val="both"/>
        <w:rPr>
          <w:lang w:val="fr-CA"/>
        </w:rPr>
      </w:pPr>
      <w:r w:rsidRPr="001877C8">
        <w:rPr>
          <w:lang w:val="fr-CA"/>
        </w:rPr>
        <w:lastRenderedPageBreak/>
        <w:t xml:space="preserve">Construction Labour Relations </w:t>
      </w:r>
      <w:r w:rsidRPr="001877C8">
        <w:rPr>
          <w:i/>
          <w:lang w:val="fr-CA"/>
        </w:rPr>
        <w:t>c.</w:t>
      </w:r>
      <w:r w:rsidRPr="001877C8">
        <w:rPr>
          <w:lang w:val="fr-CA"/>
        </w:rPr>
        <w:t xml:space="preserve"> Driver </w:t>
      </w:r>
      <w:proofErr w:type="spellStart"/>
      <w:r w:rsidRPr="001877C8">
        <w:rPr>
          <w:lang w:val="fr-CA"/>
        </w:rPr>
        <w:t>Iron</w:t>
      </w:r>
      <w:proofErr w:type="spellEnd"/>
      <w:r w:rsidRPr="001877C8">
        <w:rPr>
          <w:lang w:val="fr-CA"/>
        </w:rPr>
        <w:t xml:space="preserve"> Inc., 2012</w:t>
      </w:r>
      <w:r>
        <w:rPr>
          <w:lang w:val="fr-CA"/>
        </w:rPr>
        <w:t xml:space="preserve"> CSC </w:t>
      </w:r>
      <w:r w:rsidRPr="001877C8">
        <w:rPr>
          <w:lang w:val="fr-CA"/>
        </w:rPr>
        <w:t>65, [2012] 3 R.C.S. 405</w:t>
      </w:r>
    </w:p>
    <w:p w:rsidR="00363F24" w:rsidRPr="00B053FA" w:rsidRDefault="003F31CE" w:rsidP="00D434D8">
      <w:pPr>
        <w:pStyle w:val="SCCLsocLastPartyInRole"/>
        <w:rPr>
          <w:lang w:val="fr-CA"/>
        </w:rPr>
      </w:pPr>
      <w:r w:rsidRPr="00B053FA">
        <w:rPr>
          <w:lang w:val="fr-CA"/>
        </w:rPr>
        <w:t xml:space="preserve">Construction Labour Relations </w:t>
      </w:r>
      <w:r w:rsidR="00D31228">
        <w:rPr>
          <w:lang w:val="fr-CA"/>
        </w:rPr>
        <w:t>–</w:t>
      </w:r>
      <w:r w:rsidRPr="00B053FA">
        <w:rPr>
          <w:lang w:val="fr-CA"/>
        </w:rPr>
        <w:t xml:space="preserve"> An Alberta Association</w:t>
      </w:r>
      <w:r w:rsidR="00BB1F1E" w:rsidRPr="00B053FA">
        <w:rPr>
          <w:rStyle w:val="SCCLsocPartyRole"/>
          <w:lang w:val="fr-CA"/>
        </w:rPr>
        <w:tab/>
        <w:t>Appelant</w:t>
      </w:r>
      <w:r w:rsidRPr="00B053FA">
        <w:rPr>
          <w:rStyle w:val="SCCLsocPartyRole"/>
          <w:lang w:val="fr-CA"/>
        </w:rPr>
        <w:t>e</w:t>
      </w:r>
    </w:p>
    <w:p w:rsidR="00363F24" w:rsidRPr="00B053FA" w:rsidRDefault="003F31CE" w:rsidP="00D434D8">
      <w:pPr>
        <w:pStyle w:val="SCCLsocVersus"/>
        <w:rPr>
          <w:lang w:val="fr-CA"/>
        </w:rPr>
      </w:pPr>
      <w:proofErr w:type="gramStart"/>
      <w:r w:rsidRPr="00B053FA">
        <w:rPr>
          <w:lang w:val="fr-CA"/>
        </w:rPr>
        <w:t>c</w:t>
      </w:r>
      <w:proofErr w:type="gramEnd"/>
      <w:r w:rsidRPr="00B053FA">
        <w:rPr>
          <w:lang w:val="fr-CA"/>
        </w:rPr>
        <w:t>.</w:t>
      </w:r>
    </w:p>
    <w:p w:rsidR="00363F24" w:rsidRPr="00B053FA" w:rsidRDefault="003F31CE">
      <w:pPr>
        <w:pStyle w:val="SCCLsocParty"/>
        <w:rPr>
          <w:lang w:val="fr-CA"/>
        </w:rPr>
      </w:pPr>
      <w:r w:rsidRPr="00B053FA">
        <w:rPr>
          <w:lang w:val="fr-CA"/>
        </w:rPr>
        <w:t xml:space="preserve">Driver </w:t>
      </w:r>
      <w:proofErr w:type="spellStart"/>
      <w:r w:rsidRPr="00B053FA">
        <w:rPr>
          <w:lang w:val="fr-CA"/>
        </w:rPr>
        <w:t>Iron</w:t>
      </w:r>
      <w:proofErr w:type="spellEnd"/>
      <w:r w:rsidRPr="00B053FA">
        <w:rPr>
          <w:lang w:val="fr-CA"/>
        </w:rPr>
        <w:t xml:space="preserve"> Inc.,</w:t>
      </w:r>
    </w:p>
    <w:p w:rsidR="00AE2F09" w:rsidRPr="00B053FA" w:rsidRDefault="003F31CE">
      <w:pPr>
        <w:pStyle w:val="SCCLsocParty"/>
        <w:rPr>
          <w:lang w:val="fr-CA"/>
        </w:rPr>
      </w:pPr>
      <w:r w:rsidRPr="00B053FA">
        <w:rPr>
          <w:lang w:val="fr-CA"/>
        </w:rPr>
        <w:t xml:space="preserve">Association internationale des travailleurs en ponts, </w:t>
      </w:r>
    </w:p>
    <w:p w:rsidR="00363F24" w:rsidRPr="00B053FA" w:rsidRDefault="003F31CE">
      <w:pPr>
        <w:pStyle w:val="SCCLsocParty"/>
        <w:rPr>
          <w:lang w:val="fr-CA"/>
        </w:rPr>
      </w:pPr>
      <w:proofErr w:type="gramStart"/>
      <w:r w:rsidRPr="00B053FA">
        <w:rPr>
          <w:lang w:val="fr-CA"/>
        </w:rPr>
        <w:t>en</w:t>
      </w:r>
      <w:proofErr w:type="gramEnd"/>
      <w:r w:rsidRPr="00B053FA">
        <w:rPr>
          <w:lang w:val="fr-CA"/>
        </w:rPr>
        <w:t xml:space="preserve"> fer structural, ornemental et</w:t>
      </w:r>
      <w:r w:rsidR="00275555" w:rsidRPr="00B053FA">
        <w:rPr>
          <w:lang w:val="fr-CA"/>
        </w:rPr>
        <w:t xml:space="preserve"> d’armature, section locale 720 et</w:t>
      </w:r>
    </w:p>
    <w:p w:rsidR="00363F24" w:rsidRPr="00B053FA" w:rsidRDefault="003F31CE" w:rsidP="00D434D8">
      <w:pPr>
        <w:pStyle w:val="SCCLsocLastPartyInRole"/>
        <w:rPr>
          <w:lang w:val="fr-CA"/>
        </w:rPr>
      </w:pPr>
      <w:r w:rsidRPr="00B053FA">
        <w:rPr>
          <w:lang w:val="fr-CA"/>
        </w:rPr>
        <w:t xml:space="preserve">Alberta Labour Relations </w:t>
      </w:r>
      <w:proofErr w:type="spellStart"/>
      <w:r w:rsidRPr="00B053FA">
        <w:rPr>
          <w:lang w:val="fr-CA"/>
        </w:rPr>
        <w:t>Board</w:t>
      </w:r>
      <w:proofErr w:type="spellEnd"/>
      <w:r w:rsidR="00F3003D" w:rsidRPr="00B053FA">
        <w:rPr>
          <w:rStyle w:val="SCCLsocPartyRole"/>
          <w:lang w:val="fr-CA"/>
        </w:rPr>
        <w:tab/>
        <w:t>Intimé</w:t>
      </w:r>
      <w:r w:rsidR="00F16E1A" w:rsidRPr="00B053FA">
        <w:rPr>
          <w:rStyle w:val="SCCLsocPartyRole"/>
          <w:lang w:val="fr-CA"/>
        </w:rPr>
        <w:t>e</w:t>
      </w:r>
      <w:r w:rsidRPr="00B053FA">
        <w:rPr>
          <w:rStyle w:val="SCCLsocPartyRole"/>
          <w:lang w:val="fr-CA"/>
        </w:rPr>
        <w:t>s</w:t>
      </w:r>
    </w:p>
    <w:p w:rsidR="004D7D95" w:rsidRPr="00B053FA" w:rsidRDefault="004D7D95" w:rsidP="00D434D8">
      <w:pPr>
        <w:spacing w:after="720"/>
        <w:jc w:val="both"/>
        <w:rPr>
          <w:b/>
          <w:lang w:val="fr-CA"/>
        </w:rPr>
      </w:pPr>
      <w:r w:rsidRPr="00B053FA">
        <w:rPr>
          <w:b/>
          <w:lang w:val="fr-CA"/>
        </w:rPr>
        <w:t>Répertorié</w:t>
      </w:r>
      <w:r w:rsidR="00D434D8" w:rsidRPr="00B053FA">
        <w:rPr>
          <w:b/>
          <w:lang w:val="fr-CA"/>
        </w:rPr>
        <w:t> :</w:t>
      </w:r>
      <w:r w:rsidRPr="00B053FA">
        <w:rPr>
          <w:b/>
          <w:lang w:val="fr-CA"/>
        </w:rPr>
        <w:t xml:space="preserve"> Construction Labour Relations </w:t>
      </w:r>
      <w:r w:rsidRPr="00B053FA">
        <w:rPr>
          <w:b/>
          <w:i/>
          <w:lang w:val="fr-CA"/>
        </w:rPr>
        <w:t>c.</w:t>
      </w:r>
      <w:r w:rsidRPr="00B053FA">
        <w:rPr>
          <w:b/>
          <w:lang w:val="fr-CA"/>
        </w:rPr>
        <w:t xml:space="preserve"> Driver </w:t>
      </w:r>
      <w:proofErr w:type="spellStart"/>
      <w:r w:rsidRPr="00B053FA">
        <w:rPr>
          <w:b/>
          <w:lang w:val="fr-CA"/>
        </w:rPr>
        <w:t>Iron</w:t>
      </w:r>
      <w:proofErr w:type="spellEnd"/>
      <w:r w:rsidRPr="00B053FA">
        <w:rPr>
          <w:b/>
          <w:lang w:val="fr-CA"/>
        </w:rPr>
        <w:t xml:space="preserve"> Inc.</w:t>
      </w:r>
    </w:p>
    <w:p w:rsidR="004D7D95" w:rsidRPr="00B053FA" w:rsidRDefault="00F62639" w:rsidP="00D434D8">
      <w:pPr>
        <w:pStyle w:val="SCCSystemYear"/>
        <w:spacing w:after="720"/>
        <w:jc w:val="both"/>
        <w:rPr>
          <w:lang w:val="fr-CA"/>
        </w:rPr>
      </w:pPr>
      <w:r w:rsidRPr="00B053FA">
        <w:rPr>
          <w:lang w:val="fr-CA"/>
        </w:rPr>
        <w:t>2012</w:t>
      </w:r>
      <w:r w:rsidR="000F13B9" w:rsidRPr="00B053FA">
        <w:rPr>
          <w:lang w:val="fr-CA"/>
        </w:rPr>
        <w:t xml:space="preserve"> CSC 65</w:t>
      </w:r>
    </w:p>
    <w:p w:rsidR="004D7D95" w:rsidRPr="00B053FA" w:rsidRDefault="004D7D95" w:rsidP="00D434D8">
      <w:pPr>
        <w:spacing w:after="720"/>
        <w:jc w:val="both"/>
        <w:rPr>
          <w:lang w:val="fr-CA"/>
        </w:rPr>
      </w:pPr>
      <w:r w:rsidRPr="00B053FA">
        <w:rPr>
          <w:lang w:val="fr-CA"/>
        </w:rPr>
        <w:t>N</w:t>
      </w:r>
      <w:r w:rsidRPr="00B053FA">
        <w:rPr>
          <w:vertAlign w:val="superscript"/>
          <w:lang w:val="fr-CA"/>
        </w:rPr>
        <w:t>o</w:t>
      </w:r>
      <w:r w:rsidRPr="00B053FA">
        <w:rPr>
          <w:lang w:val="fr-CA"/>
        </w:rPr>
        <w:t xml:space="preserve"> du greffe</w:t>
      </w:r>
      <w:r w:rsidR="00D434D8" w:rsidRPr="00B053FA">
        <w:rPr>
          <w:lang w:val="fr-CA"/>
        </w:rPr>
        <w:t> :</w:t>
      </w:r>
      <w:r w:rsidRPr="00B053FA">
        <w:rPr>
          <w:lang w:val="fr-CA"/>
        </w:rPr>
        <w:t> 34205.</w:t>
      </w:r>
    </w:p>
    <w:p w:rsidR="004D7D95" w:rsidRPr="00B053FA" w:rsidRDefault="00F62639" w:rsidP="00D434D8">
      <w:pPr>
        <w:spacing w:after="720"/>
        <w:jc w:val="both"/>
        <w:rPr>
          <w:lang w:val="fr-CA"/>
        </w:rPr>
      </w:pPr>
      <w:r w:rsidRPr="00B053FA">
        <w:rPr>
          <w:lang w:val="fr-CA"/>
        </w:rPr>
        <w:t>2012</w:t>
      </w:r>
      <w:r w:rsidR="00D434D8" w:rsidRPr="00B053FA">
        <w:rPr>
          <w:lang w:val="fr-CA"/>
        </w:rPr>
        <w:t> :</w:t>
      </w:r>
      <w:r w:rsidR="0072018E" w:rsidRPr="00B053FA">
        <w:rPr>
          <w:lang w:val="fr-CA"/>
        </w:rPr>
        <w:t> </w:t>
      </w:r>
      <w:r w:rsidR="00D434D8" w:rsidRPr="00B053FA">
        <w:rPr>
          <w:lang w:val="fr-CA"/>
        </w:rPr>
        <w:t>15 </w:t>
      </w:r>
      <w:r w:rsidRPr="00B053FA">
        <w:rPr>
          <w:lang w:val="fr-CA"/>
        </w:rPr>
        <w:t>novembre</w:t>
      </w:r>
      <w:r w:rsidR="004D7D95" w:rsidRPr="00B053FA">
        <w:rPr>
          <w:lang w:val="fr-CA"/>
        </w:rPr>
        <w:t xml:space="preserve">; </w:t>
      </w:r>
      <w:r w:rsidR="0072018E" w:rsidRPr="00B053FA">
        <w:rPr>
          <w:lang w:val="fr-CA"/>
        </w:rPr>
        <w:t>2012</w:t>
      </w:r>
      <w:r w:rsidR="00D434D8" w:rsidRPr="00B053FA">
        <w:rPr>
          <w:lang w:val="fr-CA"/>
        </w:rPr>
        <w:t> :</w:t>
      </w:r>
      <w:r w:rsidR="0072018E" w:rsidRPr="00B053FA">
        <w:rPr>
          <w:lang w:val="fr-CA"/>
        </w:rPr>
        <w:t> </w:t>
      </w:r>
      <w:r w:rsidR="00D434D8" w:rsidRPr="00B053FA">
        <w:rPr>
          <w:lang w:val="fr-CA"/>
        </w:rPr>
        <w:t>29 </w:t>
      </w:r>
      <w:r w:rsidR="005B015F" w:rsidRPr="00B053FA">
        <w:rPr>
          <w:lang w:val="fr-CA"/>
        </w:rPr>
        <w:t>novembre.</w:t>
      </w:r>
    </w:p>
    <w:p w:rsidR="004D7D95" w:rsidRPr="00B053FA" w:rsidRDefault="004D7D95" w:rsidP="00D434D8">
      <w:pPr>
        <w:spacing w:after="720"/>
        <w:jc w:val="both"/>
        <w:rPr>
          <w:lang w:val="fr-CA"/>
        </w:rPr>
      </w:pPr>
      <w:r w:rsidRPr="00B053FA">
        <w:rPr>
          <w:lang w:val="fr-CA"/>
        </w:rPr>
        <w:t>Présents</w:t>
      </w:r>
      <w:r w:rsidR="00D434D8" w:rsidRPr="00B053FA">
        <w:rPr>
          <w:lang w:val="fr-CA"/>
        </w:rPr>
        <w:t> :</w:t>
      </w:r>
      <w:r w:rsidRPr="00B053FA">
        <w:rPr>
          <w:lang w:val="fr-CA"/>
        </w:rPr>
        <w:t xml:space="preserve"> La juge en chef </w:t>
      </w:r>
      <w:proofErr w:type="spellStart"/>
      <w:r w:rsidRPr="00B053FA">
        <w:rPr>
          <w:lang w:val="fr-CA"/>
        </w:rPr>
        <w:t>McLachlin</w:t>
      </w:r>
      <w:proofErr w:type="spellEnd"/>
      <w:r w:rsidRPr="00B053FA">
        <w:rPr>
          <w:lang w:val="fr-CA"/>
        </w:rPr>
        <w:t xml:space="preserve"> et les juges </w:t>
      </w:r>
      <w:proofErr w:type="spellStart"/>
      <w:r w:rsidRPr="00B053FA">
        <w:rPr>
          <w:lang w:val="fr-CA"/>
        </w:rPr>
        <w:t>LeBel</w:t>
      </w:r>
      <w:proofErr w:type="spellEnd"/>
      <w:r w:rsidRPr="00B053FA">
        <w:rPr>
          <w:lang w:val="fr-CA"/>
        </w:rPr>
        <w:t xml:space="preserve">, Abella, </w:t>
      </w:r>
      <w:proofErr w:type="spellStart"/>
      <w:r w:rsidRPr="00B053FA">
        <w:rPr>
          <w:lang w:val="fr-CA"/>
        </w:rPr>
        <w:t>Rothstein</w:t>
      </w:r>
      <w:proofErr w:type="spellEnd"/>
      <w:r w:rsidRPr="00B053FA">
        <w:rPr>
          <w:lang w:val="fr-CA"/>
        </w:rPr>
        <w:t xml:space="preserve">, Cromwell, </w:t>
      </w:r>
      <w:proofErr w:type="spellStart"/>
      <w:r w:rsidRPr="00B053FA">
        <w:rPr>
          <w:lang w:val="fr-CA"/>
        </w:rPr>
        <w:t>Moldaver</w:t>
      </w:r>
      <w:proofErr w:type="spellEnd"/>
      <w:r w:rsidRPr="00B053FA">
        <w:rPr>
          <w:lang w:val="fr-CA"/>
        </w:rPr>
        <w:t xml:space="preserve"> et </w:t>
      </w:r>
      <w:proofErr w:type="spellStart"/>
      <w:r w:rsidRPr="00B053FA">
        <w:rPr>
          <w:lang w:val="fr-CA"/>
        </w:rPr>
        <w:t>Karakatsanis</w:t>
      </w:r>
      <w:proofErr w:type="spellEnd"/>
      <w:r w:rsidRPr="00B053FA">
        <w:rPr>
          <w:lang w:val="fr-CA"/>
        </w:rPr>
        <w:t>.</w:t>
      </w:r>
    </w:p>
    <w:p w:rsidR="004D7D95" w:rsidRPr="00B053FA" w:rsidRDefault="002B0FF8" w:rsidP="00D434D8">
      <w:pPr>
        <w:spacing w:after="720"/>
        <w:jc w:val="both"/>
        <w:rPr>
          <w:smallCaps/>
          <w:lang w:val="fr-CA"/>
        </w:rPr>
      </w:pPr>
      <w:r w:rsidRPr="00B053FA">
        <w:rPr>
          <w:smallCaps/>
          <w:lang w:val="fr-CA"/>
        </w:rPr>
        <w:t>e</w:t>
      </w:r>
      <w:r w:rsidR="004D7D95" w:rsidRPr="00B053FA">
        <w:rPr>
          <w:smallCaps/>
          <w:lang w:val="fr-CA"/>
        </w:rPr>
        <w:t xml:space="preserve">n appel de la </w:t>
      </w:r>
      <w:r w:rsidR="006B7016" w:rsidRPr="00B053FA">
        <w:rPr>
          <w:smallCaps/>
          <w:lang w:val="fr-CA"/>
        </w:rPr>
        <w:t>cour d’</w:t>
      </w:r>
      <w:r w:rsidRPr="00B053FA">
        <w:rPr>
          <w:smallCaps/>
          <w:lang w:val="fr-CA"/>
        </w:rPr>
        <w:t>appel de l’</w:t>
      </w:r>
      <w:proofErr w:type="spellStart"/>
      <w:r w:rsidRPr="00B053FA">
        <w:rPr>
          <w:smallCaps/>
          <w:lang w:val="fr-CA"/>
        </w:rPr>
        <w:t>alberta</w:t>
      </w:r>
      <w:proofErr w:type="spellEnd"/>
    </w:p>
    <w:p w:rsidR="00427544" w:rsidRPr="00B053FA" w:rsidRDefault="00D434D8" w:rsidP="00D434D8">
      <w:pPr>
        <w:pStyle w:val="SCCNormalDoubleSpacing"/>
        <w:spacing w:after="480"/>
        <w:rPr>
          <w:i/>
          <w:lang w:val="fr-FR"/>
        </w:rPr>
      </w:pPr>
      <w:r w:rsidRPr="00B053FA">
        <w:rPr>
          <w:i/>
          <w:lang w:val="fr-FR"/>
        </w:rPr>
        <w:tab/>
      </w:r>
      <w:r w:rsidR="00427544" w:rsidRPr="00B053FA">
        <w:rPr>
          <w:i/>
          <w:lang w:val="fr-FR"/>
        </w:rPr>
        <w:t xml:space="preserve">Droit administratif — Contrôle judiciaire — Suffisance des motifs — Commission déclarant que Driver </w:t>
      </w:r>
      <w:proofErr w:type="spellStart"/>
      <w:r w:rsidR="00427544" w:rsidRPr="00B053FA">
        <w:rPr>
          <w:i/>
          <w:lang w:val="fr-FR"/>
        </w:rPr>
        <w:t>Iron</w:t>
      </w:r>
      <w:proofErr w:type="spellEnd"/>
      <w:r w:rsidR="00427544" w:rsidRPr="00B053FA">
        <w:rPr>
          <w:i/>
          <w:lang w:val="fr-FR"/>
        </w:rPr>
        <w:t xml:space="preserve"> était un employeur selon le Labour Relations Code et qu’elle était liée par les conventions collectives entre l’association d’employeurs et le syndicat — La Cour d’appel a commis une erreur en concluant </w:t>
      </w:r>
      <w:r w:rsidR="00427544" w:rsidRPr="00B053FA">
        <w:rPr>
          <w:i/>
          <w:lang w:val="fr-FR"/>
        </w:rPr>
        <w:lastRenderedPageBreak/>
        <w:t xml:space="preserve">que la Commission </w:t>
      </w:r>
      <w:r w:rsidR="00427544" w:rsidRPr="00B053FA">
        <w:rPr>
          <w:i/>
          <w:lang w:val="fr-CA"/>
        </w:rPr>
        <w:t>n’avait pas accordé suffisamment d’attention à l’interaction entre</w:t>
      </w:r>
      <w:r w:rsidR="00427544" w:rsidRPr="00B053FA">
        <w:rPr>
          <w:i/>
          <w:lang w:val="fr-FR"/>
        </w:rPr>
        <w:t xml:space="preserve"> les dispositions du Code — La Commission n’était pas tenue d’examiner et de commenter chaque argument soulevé par les parties — La décision de la Commission, </w:t>
      </w:r>
      <w:r w:rsidR="00427544" w:rsidRPr="00B053FA">
        <w:rPr>
          <w:i/>
          <w:lang w:val="fr-CA"/>
        </w:rPr>
        <w:t>considérée dans son ensemble, à la lumière du dossier, était raisonnable</w:t>
      </w:r>
      <w:r w:rsidR="00427544" w:rsidRPr="00B053FA">
        <w:rPr>
          <w:i/>
          <w:lang w:val="fr-FR"/>
        </w:rPr>
        <w:t>.</w:t>
      </w:r>
    </w:p>
    <w:p w:rsidR="004D7D95" w:rsidRPr="00B053FA" w:rsidRDefault="003958CE" w:rsidP="00D434D8">
      <w:pPr>
        <w:pStyle w:val="SCCNormalDoubleSpacing"/>
        <w:spacing w:after="480"/>
        <w:rPr>
          <w:lang w:val="fr-CA"/>
        </w:rPr>
      </w:pPr>
      <w:r w:rsidRPr="00B053FA">
        <w:rPr>
          <w:lang w:val="fr-CA"/>
        </w:rPr>
        <w:tab/>
      </w:r>
      <w:r w:rsidR="004D7D95" w:rsidRPr="00B053FA">
        <w:rPr>
          <w:i/>
          <w:lang w:val="fr-CA"/>
        </w:rPr>
        <w:t>Arrêt</w:t>
      </w:r>
      <w:r w:rsidR="00D434D8" w:rsidRPr="00B053FA">
        <w:rPr>
          <w:lang w:val="fr-CA"/>
        </w:rPr>
        <w:t> :</w:t>
      </w:r>
      <w:r w:rsidRPr="00B053FA">
        <w:rPr>
          <w:lang w:val="fr-CA"/>
        </w:rPr>
        <w:t xml:space="preserve"> Le pourvoi est accueilli.</w:t>
      </w:r>
    </w:p>
    <w:p w:rsidR="004D7D95" w:rsidRPr="00B053FA" w:rsidRDefault="004D7D95" w:rsidP="00D434D8">
      <w:pPr>
        <w:pStyle w:val="SCCNormalDoubleSpacing"/>
        <w:keepNext/>
        <w:keepLines/>
        <w:spacing w:after="720" w:line="240" w:lineRule="auto"/>
        <w:rPr>
          <w:b/>
          <w:lang w:val="fr-CA"/>
        </w:rPr>
      </w:pPr>
      <w:r w:rsidRPr="00B053FA">
        <w:rPr>
          <w:b/>
          <w:lang w:val="fr-CA"/>
        </w:rPr>
        <w:t>Jurisprudence</w:t>
      </w:r>
    </w:p>
    <w:p w:rsidR="004D7D95" w:rsidRPr="00B053FA" w:rsidRDefault="004D7D95" w:rsidP="00D434D8">
      <w:pPr>
        <w:pStyle w:val="SCCNormalDoubleSpacing"/>
        <w:spacing w:after="480"/>
        <w:rPr>
          <w:lang w:val="fr-CA"/>
        </w:rPr>
      </w:pPr>
      <w:r w:rsidRPr="00B053FA">
        <w:rPr>
          <w:lang w:val="fr-CA"/>
        </w:rPr>
        <w:tab/>
      </w:r>
      <w:r w:rsidRPr="00B053FA">
        <w:rPr>
          <w:b/>
          <w:lang w:val="fr-CA"/>
        </w:rPr>
        <w:t>Arrêt mentionné</w:t>
      </w:r>
      <w:r w:rsidR="00D434D8" w:rsidRPr="00B053FA">
        <w:rPr>
          <w:b/>
          <w:lang w:val="fr-CA"/>
        </w:rPr>
        <w:t> :</w:t>
      </w:r>
      <w:r w:rsidRPr="00B053FA">
        <w:rPr>
          <w:lang w:val="fr-CA"/>
        </w:rPr>
        <w:t xml:space="preserve"> </w:t>
      </w:r>
      <w:r w:rsidR="007C13E3" w:rsidRPr="00B053FA">
        <w:rPr>
          <w:i/>
          <w:lang w:val="fr-CA"/>
        </w:rPr>
        <w:t>N</w:t>
      </w:r>
      <w:r w:rsidR="00AA11B3" w:rsidRPr="00B053FA">
        <w:rPr>
          <w:i/>
          <w:lang w:val="fr-CA"/>
        </w:rPr>
        <w:t>ewfoundland and Labrador Nurses’</w:t>
      </w:r>
      <w:r w:rsidR="007C13E3" w:rsidRPr="00B053FA">
        <w:rPr>
          <w:i/>
          <w:lang w:val="fr-CA"/>
        </w:rPr>
        <w:t xml:space="preserve"> Union c. </w:t>
      </w:r>
      <w:proofErr w:type="spellStart"/>
      <w:r w:rsidR="007C13E3" w:rsidRPr="00B053FA">
        <w:rPr>
          <w:i/>
          <w:lang w:val="fr-CA"/>
        </w:rPr>
        <w:t>Terre</w:t>
      </w:r>
      <w:r w:rsidR="00D434D8" w:rsidRPr="00B053FA">
        <w:rPr>
          <w:i/>
          <w:lang w:val="fr-CA"/>
        </w:rPr>
        <w:noBreakHyphen/>
      </w:r>
      <w:r w:rsidR="007C13E3" w:rsidRPr="00B053FA">
        <w:rPr>
          <w:i/>
          <w:lang w:val="fr-CA"/>
        </w:rPr>
        <w:t>Neuve</w:t>
      </w:r>
      <w:r w:rsidR="00D434D8" w:rsidRPr="00B053FA">
        <w:rPr>
          <w:i/>
          <w:lang w:val="fr-CA"/>
        </w:rPr>
        <w:noBreakHyphen/>
      </w:r>
      <w:r w:rsidR="007C13E3" w:rsidRPr="00B053FA">
        <w:rPr>
          <w:i/>
          <w:lang w:val="fr-CA"/>
        </w:rPr>
        <w:t>et</w:t>
      </w:r>
      <w:r w:rsidR="00D434D8" w:rsidRPr="00B053FA">
        <w:rPr>
          <w:i/>
          <w:lang w:val="fr-CA"/>
        </w:rPr>
        <w:noBreakHyphen/>
      </w:r>
      <w:r w:rsidR="007C13E3" w:rsidRPr="00B053FA">
        <w:rPr>
          <w:i/>
          <w:lang w:val="fr-CA"/>
        </w:rPr>
        <w:t>Labrador</w:t>
      </w:r>
      <w:proofErr w:type="spellEnd"/>
      <w:r w:rsidR="007C13E3" w:rsidRPr="00B053FA">
        <w:rPr>
          <w:i/>
          <w:lang w:val="fr-CA"/>
        </w:rPr>
        <w:t xml:space="preserve"> (Conseil du Trésor)</w:t>
      </w:r>
      <w:r w:rsidR="007C13E3" w:rsidRPr="00B053FA">
        <w:rPr>
          <w:lang w:val="fr-CA"/>
        </w:rPr>
        <w:t>, 2011 CSC 62, [2011] 3 R.C.S. 708.</w:t>
      </w:r>
    </w:p>
    <w:p w:rsidR="004D7D95" w:rsidRPr="00B053FA" w:rsidRDefault="004D7D95" w:rsidP="00D434D8">
      <w:pPr>
        <w:pStyle w:val="SCCNormalDoubleSpacing"/>
        <w:keepNext/>
        <w:spacing w:after="720" w:line="240" w:lineRule="auto"/>
        <w:rPr>
          <w:b/>
          <w:lang w:val="fr-CA"/>
        </w:rPr>
      </w:pPr>
      <w:r w:rsidRPr="00B053FA">
        <w:rPr>
          <w:b/>
          <w:lang w:val="fr-CA"/>
        </w:rPr>
        <w:t>Lois et règlements cités</w:t>
      </w:r>
    </w:p>
    <w:p w:rsidR="004D7D95" w:rsidRPr="00B053FA" w:rsidRDefault="00212354" w:rsidP="00D434D8">
      <w:pPr>
        <w:pStyle w:val="SCCNormalDoubleSpacing"/>
        <w:spacing w:after="720" w:line="240" w:lineRule="auto"/>
        <w:ind w:left="547" w:hanging="547"/>
        <w:rPr>
          <w:lang w:val="fr-CA"/>
        </w:rPr>
      </w:pPr>
      <w:r w:rsidRPr="00B053FA">
        <w:rPr>
          <w:i/>
          <w:lang w:val="fr-CA"/>
        </w:rPr>
        <w:t>Labour Relations Code</w:t>
      </w:r>
      <w:r w:rsidRPr="00B053FA">
        <w:rPr>
          <w:lang w:val="fr-CA"/>
        </w:rPr>
        <w:t xml:space="preserve">, R.S.A. 2000, </w:t>
      </w:r>
      <w:r w:rsidR="00D434D8" w:rsidRPr="00B053FA">
        <w:rPr>
          <w:lang w:val="fr-CA"/>
        </w:rPr>
        <w:t>ch. </w:t>
      </w:r>
      <w:r w:rsidRPr="00B053FA">
        <w:rPr>
          <w:lang w:val="fr-CA"/>
        </w:rPr>
        <w:t>L</w:t>
      </w:r>
      <w:r w:rsidR="00D434D8" w:rsidRPr="00B053FA">
        <w:rPr>
          <w:lang w:val="fr-CA"/>
        </w:rPr>
        <w:noBreakHyphen/>
      </w:r>
      <w:r w:rsidRPr="00B053FA">
        <w:rPr>
          <w:lang w:val="fr-CA"/>
        </w:rPr>
        <w:t xml:space="preserve">1, </w:t>
      </w:r>
      <w:r w:rsidR="00D434D8" w:rsidRPr="00B053FA">
        <w:rPr>
          <w:lang w:val="fr-CA"/>
        </w:rPr>
        <w:t>art. </w:t>
      </w:r>
      <w:r w:rsidR="00D275F1" w:rsidRPr="00B053FA">
        <w:rPr>
          <w:lang w:val="fr-CA"/>
        </w:rPr>
        <w:t>176(1)</w:t>
      </w:r>
      <w:r w:rsidRPr="00B053FA">
        <w:rPr>
          <w:lang w:val="fr-CA"/>
        </w:rPr>
        <w:t>b),</w:t>
      </w:r>
      <w:r w:rsidR="008F6E00" w:rsidRPr="00B053FA">
        <w:rPr>
          <w:lang w:val="fr-CA"/>
        </w:rPr>
        <w:t xml:space="preserve"> (2),</w:t>
      </w:r>
      <w:r w:rsidRPr="00B053FA">
        <w:rPr>
          <w:lang w:val="fr-CA"/>
        </w:rPr>
        <w:t xml:space="preserve"> 178.</w:t>
      </w:r>
    </w:p>
    <w:p w:rsidR="004D7D95" w:rsidRPr="00B053FA" w:rsidRDefault="00440169" w:rsidP="00D434D8">
      <w:pPr>
        <w:pStyle w:val="SCCNormalDoubleSpacing"/>
        <w:spacing w:after="480"/>
        <w:rPr>
          <w:lang w:val="fr-CA"/>
        </w:rPr>
      </w:pPr>
      <w:r w:rsidRPr="00B053FA">
        <w:rPr>
          <w:lang w:val="fr-CA"/>
        </w:rPr>
        <w:tab/>
      </w:r>
      <w:r w:rsidR="004D7D95" w:rsidRPr="00B053FA">
        <w:rPr>
          <w:lang w:val="fr-CA"/>
        </w:rPr>
        <w:t xml:space="preserve">POURVOI contre un arrêt de la </w:t>
      </w:r>
      <w:r w:rsidR="001B0A0F" w:rsidRPr="00B053FA">
        <w:rPr>
          <w:lang w:val="fr-CA"/>
        </w:rPr>
        <w:t>Cour d’</w:t>
      </w:r>
      <w:r w:rsidRPr="00B053FA">
        <w:rPr>
          <w:lang w:val="fr-CA"/>
        </w:rPr>
        <w:t xml:space="preserve">appel de l’Alberta (les juges Hunt, Berger et </w:t>
      </w:r>
      <w:proofErr w:type="spellStart"/>
      <w:r w:rsidRPr="00B053FA">
        <w:rPr>
          <w:lang w:val="fr-CA"/>
        </w:rPr>
        <w:t>Costigan</w:t>
      </w:r>
      <w:proofErr w:type="spellEnd"/>
      <w:r w:rsidRPr="00B053FA">
        <w:rPr>
          <w:lang w:val="fr-CA"/>
        </w:rPr>
        <w:t xml:space="preserve">), 2011 ABCA 55, 502 A.R. 229, 517 W.A.C. 229, 21 </w:t>
      </w:r>
      <w:proofErr w:type="spellStart"/>
      <w:r w:rsidRPr="00B053FA">
        <w:rPr>
          <w:lang w:val="fr-CA"/>
        </w:rPr>
        <w:t>Admin</w:t>
      </w:r>
      <w:proofErr w:type="spellEnd"/>
      <w:r w:rsidRPr="00B053FA">
        <w:rPr>
          <w:lang w:val="fr-CA"/>
        </w:rPr>
        <w:t>. L.R. (5th) 1, 191 C.L.R.B.R. (2d) 1,</w:t>
      </w:r>
      <w:r w:rsidR="00617F3D" w:rsidRPr="00B053FA">
        <w:rPr>
          <w:lang w:val="fr-CA"/>
        </w:rPr>
        <w:t xml:space="preserve"> [2011] Alta. L.R.B.R. 183,</w:t>
      </w:r>
      <w:r w:rsidRPr="00B053FA">
        <w:rPr>
          <w:lang w:val="fr-CA"/>
        </w:rPr>
        <w:t xml:space="preserve"> 2012 CLLC ¶220</w:t>
      </w:r>
      <w:r w:rsidR="00D434D8" w:rsidRPr="00B053FA">
        <w:rPr>
          <w:lang w:val="fr-CA"/>
        </w:rPr>
        <w:noBreakHyphen/>
      </w:r>
      <w:r w:rsidRPr="00B053FA">
        <w:rPr>
          <w:lang w:val="fr-CA"/>
        </w:rPr>
        <w:t xml:space="preserve">011, [2011] A.J. </w:t>
      </w:r>
      <w:r w:rsidR="00D434D8" w:rsidRPr="00B053FA">
        <w:rPr>
          <w:lang w:val="fr-CA"/>
        </w:rPr>
        <w:t>No. </w:t>
      </w:r>
      <w:r w:rsidRPr="00B053FA">
        <w:rPr>
          <w:lang w:val="fr-CA"/>
        </w:rPr>
        <w:t xml:space="preserve">155 (QL), 2011 </w:t>
      </w:r>
      <w:proofErr w:type="spellStart"/>
      <w:r w:rsidRPr="00B053FA">
        <w:rPr>
          <w:lang w:val="fr-CA"/>
        </w:rPr>
        <w:t>CarswellAlta</w:t>
      </w:r>
      <w:proofErr w:type="spellEnd"/>
      <w:r w:rsidRPr="00B053FA">
        <w:rPr>
          <w:lang w:val="fr-CA"/>
        </w:rPr>
        <w:t xml:space="preserve"> 165, qui a </w:t>
      </w:r>
      <w:r w:rsidR="00EC59B4" w:rsidRPr="00B053FA">
        <w:rPr>
          <w:lang w:val="fr-CA"/>
        </w:rPr>
        <w:t>infirmé</w:t>
      </w:r>
      <w:r w:rsidR="004A7584" w:rsidRPr="00B053FA">
        <w:rPr>
          <w:lang w:val="fr-CA"/>
        </w:rPr>
        <w:t xml:space="preserve"> une</w:t>
      </w:r>
      <w:r w:rsidRPr="00B053FA">
        <w:rPr>
          <w:lang w:val="fr-CA"/>
        </w:rPr>
        <w:t xml:space="preserve"> décision du juge Gill, 2009 ABQB 604, 491 A.R. 14, 1 </w:t>
      </w:r>
      <w:proofErr w:type="spellStart"/>
      <w:r w:rsidRPr="00B053FA">
        <w:rPr>
          <w:lang w:val="fr-CA"/>
        </w:rPr>
        <w:t>Admin</w:t>
      </w:r>
      <w:proofErr w:type="spellEnd"/>
      <w:r w:rsidRPr="00B053FA">
        <w:rPr>
          <w:lang w:val="fr-CA"/>
        </w:rPr>
        <w:t xml:space="preserve">. L.R. (5th) 305, 174 C.L.R.B.R. (2d) 1, [2009] Alta. L.R.B.R. 349, [2009] A.J. </w:t>
      </w:r>
      <w:r w:rsidR="00D434D8" w:rsidRPr="00B053FA">
        <w:rPr>
          <w:lang w:val="fr-CA"/>
        </w:rPr>
        <w:t>No. </w:t>
      </w:r>
      <w:r w:rsidRPr="00B053FA">
        <w:rPr>
          <w:lang w:val="fr-CA"/>
        </w:rPr>
        <w:t>1182</w:t>
      </w:r>
      <w:r w:rsidR="003E4A00" w:rsidRPr="00B053FA">
        <w:rPr>
          <w:lang w:val="fr-CA"/>
        </w:rPr>
        <w:t xml:space="preserve"> (QL)</w:t>
      </w:r>
      <w:r w:rsidRPr="00B053FA">
        <w:rPr>
          <w:lang w:val="fr-CA"/>
        </w:rPr>
        <w:t xml:space="preserve">, 2009 </w:t>
      </w:r>
      <w:proofErr w:type="spellStart"/>
      <w:r w:rsidRPr="00B053FA">
        <w:rPr>
          <w:lang w:val="fr-CA"/>
        </w:rPr>
        <w:t>CarswellAlta</w:t>
      </w:r>
      <w:proofErr w:type="spellEnd"/>
      <w:r w:rsidRPr="00B053FA">
        <w:rPr>
          <w:lang w:val="fr-CA"/>
        </w:rPr>
        <w:t xml:space="preserve"> 1687</w:t>
      </w:r>
      <w:r w:rsidR="00B06D1A" w:rsidRPr="00B053FA">
        <w:rPr>
          <w:lang w:val="fr-CA"/>
        </w:rPr>
        <w:t xml:space="preserve">, ayant rejeté </w:t>
      </w:r>
      <w:r w:rsidR="00DD7E05" w:rsidRPr="00B053FA">
        <w:rPr>
          <w:lang w:val="fr-CA"/>
        </w:rPr>
        <w:t>une</w:t>
      </w:r>
      <w:r w:rsidR="00B06D1A" w:rsidRPr="00B053FA">
        <w:rPr>
          <w:lang w:val="fr-CA"/>
        </w:rPr>
        <w:t xml:space="preserve"> demande de contrôle judiciaire d’une décision de </w:t>
      </w:r>
      <w:r w:rsidR="00B06D1A" w:rsidRPr="00B053FA">
        <w:rPr>
          <w:lang w:val="fr-CA"/>
        </w:rPr>
        <w:lastRenderedPageBreak/>
        <w:t xml:space="preserve">l’Alberta Labour Relations </w:t>
      </w:r>
      <w:proofErr w:type="spellStart"/>
      <w:r w:rsidR="00B06D1A" w:rsidRPr="00B053FA">
        <w:rPr>
          <w:lang w:val="fr-CA"/>
        </w:rPr>
        <w:t>Board</w:t>
      </w:r>
      <w:proofErr w:type="spellEnd"/>
      <w:r w:rsidR="00B06D1A" w:rsidRPr="00B053FA">
        <w:rPr>
          <w:lang w:val="fr-CA"/>
        </w:rPr>
        <w:t xml:space="preserve">, </w:t>
      </w:r>
      <w:r w:rsidR="005574CD" w:rsidRPr="00B053FA">
        <w:rPr>
          <w:lang w:val="fr-CA"/>
        </w:rPr>
        <w:t xml:space="preserve">164 C.L.R.B.R. (2d) 213, [2009] Alta. L.R.B.R. 26, [2009] A.L.R.B.D. </w:t>
      </w:r>
      <w:r w:rsidR="00D434D8" w:rsidRPr="00B053FA">
        <w:rPr>
          <w:lang w:val="fr-CA"/>
        </w:rPr>
        <w:t>No. </w:t>
      </w:r>
      <w:r w:rsidR="005574CD" w:rsidRPr="00B053FA">
        <w:rPr>
          <w:lang w:val="fr-CA"/>
        </w:rPr>
        <w:t xml:space="preserve">3 (QL), 2009 </w:t>
      </w:r>
      <w:proofErr w:type="spellStart"/>
      <w:r w:rsidR="005574CD" w:rsidRPr="00B053FA">
        <w:rPr>
          <w:lang w:val="fr-CA"/>
        </w:rPr>
        <w:t>CarswellAlta</w:t>
      </w:r>
      <w:proofErr w:type="spellEnd"/>
      <w:r w:rsidR="005574CD" w:rsidRPr="00B053FA">
        <w:rPr>
          <w:lang w:val="fr-CA"/>
        </w:rPr>
        <w:t xml:space="preserve"> 46</w:t>
      </w:r>
      <w:r w:rsidR="00B06D1A" w:rsidRPr="00B053FA">
        <w:rPr>
          <w:lang w:val="fr-CA"/>
        </w:rPr>
        <w:t>.</w:t>
      </w:r>
      <w:r w:rsidR="00DE7352" w:rsidRPr="00B053FA">
        <w:rPr>
          <w:lang w:val="fr-CA"/>
        </w:rPr>
        <w:t xml:space="preserve"> </w:t>
      </w:r>
      <w:r w:rsidR="00D434D8" w:rsidRPr="00B053FA">
        <w:rPr>
          <w:lang w:val="fr-CA"/>
        </w:rPr>
        <w:t xml:space="preserve"> </w:t>
      </w:r>
      <w:r w:rsidR="00DE7352" w:rsidRPr="00B053FA">
        <w:rPr>
          <w:lang w:val="fr-CA"/>
        </w:rPr>
        <w:t>Pourvoi accueilli.</w:t>
      </w:r>
    </w:p>
    <w:p w:rsidR="00363F24" w:rsidRPr="00B053FA" w:rsidRDefault="003F31CE" w:rsidP="00D434D8">
      <w:pPr>
        <w:pStyle w:val="SCCNormalDoubleSpacing"/>
        <w:spacing w:after="480"/>
        <w:rPr>
          <w:lang w:val="fr-CA"/>
        </w:rPr>
      </w:pPr>
      <w:r w:rsidRPr="00B053FA">
        <w:rPr>
          <w:i/>
          <w:lang w:val="fr-CA"/>
        </w:rPr>
        <w:tab/>
      </w:r>
      <w:r w:rsidR="00470FC5" w:rsidRPr="00B053FA">
        <w:rPr>
          <w:i/>
          <w:lang w:val="fr-CA"/>
        </w:rPr>
        <w:t>Kent</w:t>
      </w:r>
      <w:r w:rsidR="00D434D8" w:rsidRPr="00B053FA">
        <w:rPr>
          <w:i/>
          <w:lang w:val="fr-CA"/>
        </w:rPr>
        <w:t> </w:t>
      </w:r>
      <w:r w:rsidR="00470FC5" w:rsidRPr="00B053FA">
        <w:rPr>
          <w:i/>
          <w:lang w:val="fr-CA"/>
        </w:rPr>
        <w:t>H. Davidson</w:t>
      </w:r>
      <w:r w:rsidR="00470FC5" w:rsidRPr="00B053FA">
        <w:rPr>
          <w:lang w:val="fr-CA"/>
        </w:rPr>
        <w:t xml:space="preserve">, </w:t>
      </w:r>
      <w:proofErr w:type="gramStart"/>
      <w:r w:rsidR="00470FC5" w:rsidRPr="00B053FA">
        <w:rPr>
          <w:i/>
          <w:lang w:val="fr-CA"/>
        </w:rPr>
        <w:t>c.r</w:t>
      </w:r>
      <w:r w:rsidRPr="00B053FA">
        <w:rPr>
          <w:i/>
          <w:lang w:val="fr-CA"/>
        </w:rPr>
        <w:t>.</w:t>
      </w:r>
      <w:r w:rsidR="00470FC5" w:rsidRPr="00B053FA">
        <w:rPr>
          <w:lang w:val="fr-CA"/>
        </w:rPr>
        <w:t>,</w:t>
      </w:r>
      <w:proofErr w:type="gramEnd"/>
      <w:r w:rsidR="00470FC5" w:rsidRPr="00B053FA">
        <w:rPr>
          <w:lang w:val="fr-CA"/>
        </w:rPr>
        <w:t xml:space="preserve"> </w:t>
      </w:r>
      <w:r w:rsidR="00470FC5" w:rsidRPr="00B053FA">
        <w:rPr>
          <w:i/>
          <w:lang w:val="fr-CA"/>
        </w:rPr>
        <w:t xml:space="preserve">Monique </w:t>
      </w:r>
      <w:proofErr w:type="spellStart"/>
      <w:r w:rsidR="00470FC5" w:rsidRPr="00B053FA">
        <w:rPr>
          <w:i/>
          <w:lang w:val="fr-CA"/>
        </w:rPr>
        <w:t>Petrin</w:t>
      </w:r>
      <w:proofErr w:type="spellEnd"/>
      <w:r w:rsidR="00470FC5" w:rsidRPr="00B053FA">
        <w:rPr>
          <w:i/>
          <w:lang w:val="fr-CA"/>
        </w:rPr>
        <w:t xml:space="preserve"> Nicholson</w:t>
      </w:r>
      <w:r w:rsidR="00470FC5" w:rsidRPr="00B053FA">
        <w:rPr>
          <w:lang w:val="fr-CA"/>
        </w:rPr>
        <w:t xml:space="preserve"> et </w:t>
      </w:r>
      <w:r w:rsidR="00470FC5" w:rsidRPr="00B053FA">
        <w:rPr>
          <w:i/>
          <w:lang w:val="fr-CA"/>
        </w:rPr>
        <w:t xml:space="preserve">Gordon </w:t>
      </w:r>
      <w:proofErr w:type="spellStart"/>
      <w:r w:rsidR="00470FC5" w:rsidRPr="00B053FA">
        <w:rPr>
          <w:i/>
          <w:lang w:val="fr-CA"/>
        </w:rPr>
        <w:t>Nekolaichuk</w:t>
      </w:r>
      <w:proofErr w:type="spellEnd"/>
      <w:r w:rsidR="00470FC5" w:rsidRPr="00B053FA">
        <w:rPr>
          <w:lang w:val="fr-CA"/>
        </w:rPr>
        <w:t>, pour l’appelante</w:t>
      </w:r>
      <w:r w:rsidRPr="00B053FA">
        <w:rPr>
          <w:lang w:val="fr-CA"/>
        </w:rPr>
        <w:t>.</w:t>
      </w:r>
    </w:p>
    <w:p w:rsidR="00363F24" w:rsidRPr="00B053FA" w:rsidRDefault="003F31CE" w:rsidP="00D434D8">
      <w:pPr>
        <w:pStyle w:val="SCCNormalDoubleSpacing"/>
        <w:spacing w:after="480"/>
        <w:rPr>
          <w:lang w:val="en-US"/>
        </w:rPr>
      </w:pPr>
      <w:r w:rsidRPr="00B053FA">
        <w:rPr>
          <w:i/>
          <w:lang w:val="fr-CA"/>
        </w:rPr>
        <w:tab/>
      </w:r>
      <w:r w:rsidRPr="00B053FA">
        <w:rPr>
          <w:i/>
          <w:lang w:val="en-US"/>
        </w:rPr>
        <w:t>Peter</w:t>
      </w:r>
      <w:r w:rsidR="00D434D8" w:rsidRPr="00B053FA">
        <w:rPr>
          <w:i/>
          <w:lang w:val="en-US"/>
        </w:rPr>
        <w:t> </w:t>
      </w:r>
      <w:r w:rsidRPr="00B053FA">
        <w:rPr>
          <w:i/>
          <w:lang w:val="en-US"/>
        </w:rPr>
        <w:t>A. Gall</w:t>
      </w:r>
      <w:r w:rsidRPr="00B053FA">
        <w:rPr>
          <w:lang w:val="en-US"/>
        </w:rPr>
        <w:t>,</w:t>
      </w:r>
      <w:r w:rsidR="008F3B17" w:rsidRPr="00B053FA">
        <w:rPr>
          <w:lang w:val="en-US"/>
        </w:rPr>
        <w:t xml:space="preserve"> </w:t>
      </w:r>
      <w:proofErr w:type="spellStart"/>
      <w:r w:rsidR="008F3B17" w:rsidRPr="00B053FA">
        <w:rPr>
          <w:i/>
          <w:lang w:val="en-US"/>
        </w:rPr>
        <w:t>c.r</w:t>
      </w:r>
      <w:proofErr w:type="spellEnd"/>
      <w:r w:rsidRPr="00B053FA">
        <w:rPr>
          <w:i/>
          <w:lang w:val="en-US"/>
        </w:rPr>
        <w:t>.</w:t>
      </w:r>
      <w:r w:rsidRPr="00B053FA">
        <w:rPr>
          <w:lang w:val="en-US"/>
        </w:rPr>
        <w:t xml:space="preserve">, </w:t>
      </w:r>
      <w:r w:rsidR="003155EB" w:rsidRPr="00B053FA">
        <w:rPr>
          <w:i/>
          <w:lang w:val="en-US"/>
        </w:rPr>
        <w:t>Joana Thackeray</w:t>
      </w:r>
      <w:r w:rsidR="003155EB" w:rsidRPr="00B053FA">
        <w:rPr>
          <w:lang w:val="en-US"/>
        </w:rPr>
        <w:t xml:space="preserve">, </w:t>
      </w:r>
      <w:r w:rsidR="008F3B17" w:rsidRPr="00B053FA">
        <w:rPr>
          <w:i/>
          <w:lang w:val="en-US"/>
        </w:rPr>
        <w:t xml:space="preserve">Jennifer </w:t>
      </w:r>
      <w:proofErr w:type="spellStart"/>
      <w:r w:rsidR="008F3B17" w:rsidRPr="00B053FA">
        <w:rPr>
          <w:i/>
          <w:lang w:val="en-US"/>
        </w:rPr>
        <w:t>Klinck</w:t>
      </w:r>
      <w:proofErr w:type="spellEnd"/>
      <w:r w:rsidR="003155EB" w:rsidRPr="00B053FA">
        <w:rPr>
          <w:lang w:val="en-US"/>
        </w:rPr>
        <w:t xml:space="preserve"> et</w:t>
      </w:r>
      <w:r w:rsidR="003155EB" w:rsidRPr="00B053FA">
        <w:rPr>
          <w:i/>
          <w:lang w:val="en-US"/>
        </w:rPr>
        <w:t xml:space="preserve"> Andrea </w:t>
      </w:r>
      <w:proofErr w:type="spellStart"/>
      <w:r w:rsidR="003155EB" w:rsidRPr="00B053FA">
        <w:rPr>
          <w:i/>
          <w:lang w:val="en-US"/>
        </w:rPr>
        <w:t>Zwack</w:t>
      </w:r>
      <w:proofErr w:type="spellEnd"/>
      <w:r w:rsidR="00082288" w:rsidRPr="00B053FA">
        <w:rPr>
          <w:lang w:val="en-US"/>
        </w:rPr>
        <w:t xml:space="preserve">, pour </w:t>
      </w:r>
      <w:proofErr w:type="spellStart"/>
      <w:r w:rsidR="00082288" w:rsidRPr="00B053FA">
        <w:rPr>
          <w:lang w:val="en-US"/>
        </w:rPr>
        <w:t>l’</w:t>
      </w:r>
      <w:r w:rsidR="00344CAA" w:rsidRPr="00B053FA">
        <w:rPr>
          <w:lang w:val="en-US"/>
        </w:rPr>
        <w:t>intimée</w:t>
      </w:r>
      <w:proofErr w:type="spellEnd"/>
      <w:r w:rsidR="00344CAA" w:rsidRPr="00B053FA">
        <w:rPr>
          <w:lang w:val="en-US"/>
        </w:rPr>
        <w:t xml:space="preserve"> Driver Iron Inc</w:t>
      </w:r>
      <w:r w:rsidRPr="00B053FA">
        <w:rPr>
          <w:lang w:val="en-US"/>
        </w:rPr>
        <w:t>.</w:t>
      </w:r>
    </w:p>
    <w:p w:rsidR="00363F24" w:rsidRPr="00B053FA" w:rsidRDefault="003F31CE" w:rsidP="00D434D8">
      <w:pPr>
        <w:pStyle w:val="SCCNormalDoubleSpacing"/>
        <w:spacing w:after="480"/>
        <w:rPr>
          <w:lang w:val="fr-CA"/>
        </w:rPr>
      </w:pPr>
      <w:r w:rsidRPr="00B053FA">
        <w:rPr>
          <w:i/>
          <w:lang w:val="en-US"/>
        </w:rPr>
        <w:tab/>
      </w:r>
      <w:r w:rsidR="00695E5C" w:rsidRPr="00B053FA">
        <w:rPr>
          <w:i/>
          <w:lang w:val="fr-CA"/>
        </w:rPr>
        <w:t xml:space="preserve">Joanna </w:t>
      </w:r>
      <w:proofErr w:type="spellStart"/>
      <w:r w:rsidR="00695E5C" w:rsidRPr="00B053FA">
        <w:rPr>
          <w:i/>
          <w:lang w:val="fr-CA"/>
        </w:rPr>
        <w:t>Gislason</w:t>
      </w:r>
      <w:proofErr w:type="spellEnd"/>
      <w:r w:rsidR="00695E5C" w:rsidRPr="00B053FA">
        <w:rPr>
          <w:lang w:val="fr-CA"/>
        </w:rPr>
        <w:t xml:space="preserve">, </w:t>
      </w:r>
      <w:r w:rsidRPr="00B053FA">
        <w:rPr>
          <w:i/>
          <w:lang w:val="fr-CA"/>
        </w:rPr>
        <w:t>Gary Caroline</w:t>
      </w:r>
      <w:r w:rsidRPr="00B053FA">
        <w:rPr>
          <w:lang w:val="fr-CA"/>
        </w:rPr>
        <w:t xml:space="preserve"> et </w:t>
      </w:r>
      <w:r w:rsidR="00695E5C" w:rsidRPr="00B053FA">
        <w:rPr>
          <w:i/>
          <w:lang w:val="fr-CA"/>
        </w:rPr>
        <w:t>Lyndsay Watson</w:t>
      </w:r>
      <w:r w:rsidR="009147D6" w:rsidRPr="00B053FA">
        <w:rPr>
          <w:lang w:val="fr-CA"/>
        </w:rPr>
        <w:t>, pour l’</w:t>
      </w:r>
      <w:r w:rsidR="00695E5C" w:rsidRPr="00B053FA">
        <w:rPr>
          <w:lang w:val="fr-CA"/>
        </w:rPr>
        <w:t>intimée l’Association internationale des travailleurs en ponts, en fer structural, ornemental et d’armature, section locale 720</w:t>
      </w:r>
      <w:r w:rsidRPr="00B053FA">
        <w:rPr>
          <w:lang w:val="fr-CA"/>
        </w:rPr>
        <w:t>.</w:t>
      </w:r>
    </w:p>
    <w:p w:rsidR="00363F24" w:rsidRPr="00B053FA" w:rsidRDefault="003F31CE" w:rsidP="00D434D8">
      <w:pPr>
        <w:pStyle w:val="SCCNormalDoubleSpacing"/>
        <w:spacing w:after="480"/>
        <w:rPr>
          <w:lang w:val="fr-CA"/>
        </w:rPr>
      </w:pPr>
      <w:r w:rsidRPr="00B053FA">
        <w:rPr>
          <w:i/>
          <w:lang w:val="fr-CA"/>
        </w:rPr>
        <w:tab/>
        <w:t>Shawn</w:t>
      </w:r>
      <w:r w:rsidR="00D434D8" w:rsidRPr="00B053FA">
        <w:rPr>
          <w:i/>
          <w:lang w:val="fr-CA"/>
        </w:rPr>
        <w:t> </w:t>
      </w:r>
      <w:r w:rsidRPr="00B053FA">
        <w:rPr>
          <w:i/>
          <w:lang w:val="fr-CA"/>
        </w:rPr>
        <w:t xml:space="preserve">W. </w:t>
      </w:r>
      <w:proofErr w:type="spellStart"/>
      <w:r w:rsidRPr="00B053FA">
        <w:rPr>
          <w:i/>
          <w:lang w:val="fr-CA"/>
        </w:rPr>
        <w:t>McLeod</w:t>
      </w:r>
      <w:proofErr w:type="spellEnd"/>
      <w:r w:rsidR="00CA789B" w:rsidRPr="00B053FA">
        <w:rPr>
          <w:lang w:val="fr-CA"/>
        </w:rPr>
        <w:t>, pour l’</w:t>
      </w:r>
      <w:r w:rsidR="00695E5C" w:rsidRPr="00B053FA">
        <w:rPr>
          <w:lang w:val="fr-CA"/>
        </w:rPr>
        <w:t>intimé</w:t>
      </w:r>
      <w:r w:rsidR="00541CE3" w:rsidRPr="00B053FA">
        <w:rPr>
          <w:lang w:val="fr-CA"/>
        </w:rPr>
        <w:t>e</w:t>
      </w:r>
      <w:r w:rsidR="00695E5C" w:rsidRPr="00B053FA">
        <w:rPr>
          <w:lang w:val="fr-CA"/>
        </w:rPr>
        <w:t xml:space="preserve"> Alberta Labour Relations </w:t>
      </w:r>
      <w:proofErr w:type="spellStart"/>
      <w:r w:rsidR="00695E5C" w:rsidRPr="00B053FA">
        <w:rPr>
          <w:lang w:val="fr-CA"/>
        </w:rPr>
        <w:t>Board</w:t>
      </w:r>
      <w:proofErr w:type="spellEnd"/>
      <w:r w:rsidRPr="00B053FA">
        <w:rPr>
          <w:lang w:val="fr-CA"/>
        </w:rPr>
        <w:t>.</w:t>
      </w:r>
    </w:p>
    <w:p w:rsidR="00DC2FF6" w:rsidRPr="00B053FA" w:rsidRDefault="00DC2FF6" w:rsidP="00D434D8">
      <w:pPr>
        <w:pStyle w:val="SCCNormalDoubleSpacing"/>
        <w:spacing w:after="480"/>
        <w:rPr>
          <w:lang w:val="fr-CA"/>
        </w:rPr>
      </w:pPr>
      <w:r w:rsidRPr="00B053FA">
        <w:rPr>
          <w:lang w:val="fr-CA"/>
        </w:rPr>
        <w:tab/>
        <w:t>Version française du jugement rendu par</w:t>
      </w:r>
    </w:p>
    <w:p w:rsidR="00F52CBD" w:rsidRPr="00B053FA" w:rsidRDefault="00DC2FF6" w:rsidP="00F52CBD">
      <w:pPr>
        <w:pStyle w:val="ParaNoNdepar-AltN"/>
        <w:rPr>
          <w:rFonts w:cs="Times New Roman"/>
          <w:szCs w:val="24"/>
          <w:lang w:val="fr-CA"/>
        </w:rPr>
      </w:pPr>
      <w:r w:rsidRPr="00B053FA">
        <w:rPr>
          <w:rFonts w:cs="Times New Roman"/>
          <w:smallCaps/>
          <w:szCs w:val="24"/>
          <w:lang w:val="fr-CA"/>
        </w:rPr>
        <w:t>La Cour</w:t>
      </w:r>
      <w:r w:rsidRPr="00B053FA">
        <w:rPr>
          <w:rFonts w:cs="Times New Roman"/>
          <w:szCs w:val="24"/>
          <w:lang w:val="fr-CA"/>
        </w:rPr>
        <w:t xml:space="preserve"> — </w:t>
      </w:r>
      <w:r w:rsidR="00F52CBD" w:rsidRPr="00B053FA">
        <w:rPr>
          <w:rFonts w:cs="Times New Roman"/>
          <w:szCs w:val="24"/>
          <w:lang w:val="fr-CA"/>
        </w:rPr>
        <w:t>La</w:t>
      </w:r>
      <w:r w:rsidR="00D31228">
        <w:rPr>
          <w:rFonts w:cs="Times New Roman"/>
          <w:szCs w:val="24"/>
          <w:lang w:val="fr-CA"/>
        </w:rPr>
        <w:t xml:space="preserve"> Construction Labour Relations –</w:t>
      </w:r>
      <w:r w:rsidR="00F52CBD" w:rsidRPr="00B053FA">
        <w:rPr>
          <w:rFonts w:cs="Times New Roman"/>
          <w:szCs w:val="24"/>
          <w:lang w:val="fr-CA"/>
        </w:rPr>
        <w:t xml:space="preserve"> An Alberta Association se pourvoit contre un arrêt de la Cour d’appel de l’Alberta qui a accueilli l’appel d’un jugement rejetant une demande de contrôle judiciaire.  Ce faisant, la Cour d’appel a annulé une décision de l’Alberta Labour Relations </w:t>
      </w:r>
      <w:proofErr w:type="spellStart"/>
      <w:r w:rsidR="00F52CBD" w:rsidRPr="00B053FA">
        <w:rPr>
          <w:rFonts w:cs="Times New Roman"/>
          <w:szCs w:val="24"/>
          <w:lang w:val="fr-CA"/>
        </w:rPr>
        <w:t>Board</w:t>
      </w:r>
      <w:proofErr w:type="spellEnd"/>
      <w:r w:rsidR="00F52CBD" w:rsidRPr="00B053FA">
        <w:rPr>
          <w:rFonts w:cs="Times New Roman"/>
          <w:szCs w:val="24"/>
          <w:lang w:val="fr-CA"/>
        </w:rPr>
        <w:t xml:space="preserve"> (« Commission ») et renvoyé pour réexamen à la Commission des plaintes pour manquements au </w:t>
      </w:r>
      <w:r w:rsidR="00F52CBD" w:rsidRPr="00B053FA">
        <w:rPr>
          <w:rFonts w:cs="Times New Roman"/>
          <w:i/>
          <w:szCs w:val="24"/>
          <w:lang w:val="fr-CA"/>
        </w:rPr>
        <w:t>Labour Relations Code</w:t>
      </w:r>
      <w:r w:rsidR="00F52CBD" w:rsidRPr="00B053FA">
        <w:rPr>
          <w:rFonts w:cs="Times New Roman"/>
          <w:szCs w:val="24"/>
          <w:lang w:val="fr-CA"/>
        </w:rPr>
        <w:t xml:space="preserve">, R.S.A. 2000, ch. L-1, que celle-ci avait </w:t>
      </w:r>
      <w:proofErr w:type="gramStart"/>
      <w:r w:rsidR="00F52CBD" w:rsidRPr="00B053FA">
        <w:rPr>
          <w:rFonts w:cs="Times New Roman"/>
          <w:szCs w:val="24"/>
          <w:lang w:val="fr-CA"/>
        </w:rPr>
        <w:t>accueillies</w:t>
      </w:r>
      <w:proofErr w:type="gramEnd"/>
      <w:r w:rsidR="00F52CBD" w:rsidRPr="00B053FA">
        <w:rPr>
          <w:rFonts w:cs="Times New Roman"/>
          <w:szCs w:val="24"/>
          <w:lang w:val="fr-CA"/>
        </w:rPr>
        <w:t xml:space="preserve"> en partie dans une décision rendue le 8 janvier 2009.  </w:t>
      </w:r>
    </w:p>
    <w:p w:rsidR="00F52CBD" w:rsidRPr="00B053FA" w:rsidRDefault="00F52CBD" w:rsidP="00F52CBD">
      <w:pPr>
        <w:pStyle w:val="ParaNoNdepar-AltN"/>
        <w:rPr>
          <w:rFonts w:cs="Times New Roman"/>
          <w:szCs w:val="24"/>
          <w:lang w:val="fr-CA"/>
        </w:rPr>
      </w:pPr>
      <w:r w:rsidRPr="00B053FA">
        <w:rPr>
          <w:rFonts w:cs="Times New Roman"/>
          <w:szCs w:val="24"/>
          <w:lang w:val="fr-CA"/>
        </w:rPr>
        <w:lastRenderedPageBreak/>
        <w:t xml:space="preserve">Le pourvoi est bien fondé.  La Commission a pris en compte les dispositions pertinentes du </w:t>
      </w:r>
      <w:r w:rsidRPr="00B053FA">
        <w:rPr>
          <w:rFonts w:cs="Times New Roman"/>
          <w:i/>
          <w:szCs w:val="24"/>
          <w:lang w:val="fr-CA"/>
        </w:rPr>
        <w:t>Code</w:t>
      </w:r>
      <w:r w:rsidRPr="00B053FA">
        <w:rPr>
          <w:rFonts w:cs="Times New Roman"/>
          <w:szCs w:val="24"/>
          <w:lang w:val="fr-CA"/>
        </w:rPr>
        <w:t xml:space="preserve"> et les faits que les parties lui ont présentés.  Son interprétation du </w:t>
      </w:r>
      <w:r w:rsidRPr="00B053FA">
        <w:rPr>
          <w:rFonts w:cs="Times New Roman"/>
          <w:i/>
          <w:szCs w:val="24"/>
          <w:lang w:val="fr-CA"/>
        </w:rPr>
        <w:t>Code</w:t>
      </w:r>
      <w:r w:rsidRPr="00B053FA">
        <w:rPr>
          <w:rFonts w:cs="Times New Roman"/>
          <w:szCs w:val="24"/>
          <w:lang w:val="fr-CA"/>
        </w:rPr>
        <w:t xml:space="preserve"> et ses conclusions étaient raisonnables.  Sa décision commandait la déférence.  La Cour d’appel ne disposait d’aucun motif valable pour exercer son pouvoir de contrôle et annuler la décision.  Elle a centré son examen sur la prétention que la Commission n’avait pas accordé suffisamment d’attention à l’interaction entre l’al. 176(1)b) et l’art. 178 du </w:t>
      </w:r>
      <w:r w:rsidRPr="00B053FA">
        <w:rPr>
          <w:rFonts w:cs="Times New Roman"/>
          <w:i/>
          <w:szCs w:val="24"/>
          <w:lang w:val="fr-CA"/>
        </w:rPr>
        <w:t>Code</w:t>
      </w:r>
      <w:r w:rsidRPr="00B053FA">
        <w:rPr>
          <w:rFonts w:cs="Times New Roman"/>
          <w:szCs w:val="24"/>
          <w:lang w:val="fr-CA"/>
        </w:rPr>
        <w:t xml:space="preserve"> et aux interprétations possibles de ces dispositions et du par. 176(2).</w:t>
      </w:r>
    </w:p>
    <w:p w:rsidR="00F52CBD" w:rsidRPr="00B053FA" w:rsidRDefault="00F52CBD" w:rsidP="00F52CBD">
      <w:pPr>
        <w:pStyle w:val="ParaNoNdepar-AltN"/>
        <w:rPr>
          <w:rFonts w:cs="Times New Roman"/>
          <w:szCs w:val="24"/>
          <w:lang w:val="fr-CA"/>
        </w:rPr>
      </w:pPr>
      <w:r w:rsidRPr="00B053FA">
        <w:rPr>
          <w:rFonts w:cs="Times New Roman"/>
          <w:szCs w:val="24"/>
          <w:lang w:val="fr-CA"/>
        </w:rPr>
        <w:t>La Commission n’était pas tenue de traiter expressément de toutes les interprétations possibles de ces dispositions.  Notre Cour a insisté sur le fait qu’un tribunal administratif n’a pas l’obligation d’examiner et de commenter dans ses motifs chaque argument soulevé par les parties.  La question que doit trancher le tribunal judiciaire siégeant en révision demeure celle de savoir si la décision attaquée, considérée dans son ensemble, à la lumière du dossier, est raisonnable (</w:t>
      </w:r>
      <w:r w:rsidRPr="00B053FA">
        <w:rPr>
          <w:rFonts w:cs="Times New Roman"/>
          <w:i/>
          <w:szCs w:val="24"/>
          <w:lang w:val="fr-CA"/>
        </w:rPr>
        <w:t>Newfoundland and Labrador Nurses’ Union c. Terre-Neuve-et-Labrador (Conseil du Trésor)</w:t>
      </w:r>
      <w:r w:rsidRPr="00B053FA">
        <w:rPr>
          <w:rFonts w:cs="Times New Roman"/>
          <w:szCs w:val="24"/>
          <w:lang w:val="fr-CA"/>
        </w:rPr>
        <w:t>,</w:t>
      </w:r>
      <w:r w:rsidRPr="00B053FA">
        <w:rPr>
          <w:rFonts w:cs="Times New Roman"/>
          <w:i/>
          <w:szCs w:val="24"/>
          <w:lang w:val="fr-CA"/>
        </w:rPr>
        <w:t xml:space="preserve"> </w:t>
      </w:r>
      <w:r w:rsidRPr="00B053FA">
        <w:rPr>
          <w:rFonts w:cs="Times New Roman"/>
          <w:szCs w:val="24"/>
          <w:lang w:val="fr-CA"/>
        </w:rPr>
        <w:t>2011 CSC 62, [2011] 3 R.C.S. 708).</w:t>
      </w:r>
    </w:p>
    <w:p w:rsidR="00F52CBD" w:rsidRPr="00B053FA" w:rsidRDefault="00F52CBD" w:rsidP="00F52CBD">
      <w:pPr>
        <w:pStyle w:val="ParaNoNdepar-AltN"/>
        <w:rPr>
          <w:rFonts w:cs="Times New Roman"/>
          <w:szCs w:val="24"/>
          <w:lang w:val="fr-CA"/>
        </w:rPr>
      </w:pPr>
      <w:r w:rsidRPr="00B053FA">
        <w:rPr>
          <w:rFonts w:cs="Times New Roman"/>
          <w:szCs w:val="24"/>
          <w:lang w:val="fr-CA"/>
        </w:rPr>
        <w:t>Pour ces motifs, l’appel est accueilli, l’arrêt de la Cour d’appel de l’Alberta est annulé et le jugement de la Cour du Banc de la Reine est rétabli, avec dépens en faveur de l’appelante.</w:t>
      </w:r>
    </w:p>
    <w:p w:rsidR="00F52CBD" w:rsidRPr="00B053FA" w:rsidRDefault="00F52CBD" w:rsidP="00D434D8">
      <w:pPr>
        <w:pStyle w:val="SCCNormalDoubleSpacing"/>
        <w:spacing w:after="480"/>
        <w:rPr>
          <w:lang w:val="fr-CA"/>
        </w:rPr>
      </w:pPr>
    </w:p>
    <w:p w:rsidR="004D7D95" w:rsidRPr="00B053FA" w:rsidRDefault="00661CFA" w:rsidP="00D434D8">
      <w:pPr>
        <w:pStyle w:val="SCCNormalDoubleSpacing"/>
        <w:spacing w:after="480"/>
        <w:rPr>
          <w:lang w:val="fr-CA"/>
        </w:rPr>
      </w:pPr>
      <w:r w:rsidRPr="00B053FA">
        <w:rPr>
          <w:lang w:val="fr-CA"/>
        </w:rPr>
        <w:lastRenderedPageBreak/>
        <w:tab/>
      </w:r>
      <w:r w:rsidR="008F0AFD" w:rsidRPr="00B053FA">
        <w:rPr>
          <w:i/>
          <w:lang w:val="fr-CA"/>
        </w:rPr>
        <w:t>Pourvoi</w:t>
      </w:r>
      <w:r w:rsidRPr="00B053FA">
        <w:rPr>
          <w:lang w:val="fr-CA"/>
        </w:rPr>
        <w:t xml:space="preserve"> </w:t>
      </w:r>
      <w:r w:rsidRPr="00B053FA">
        <w:rPr>
          <w:i/>
          <w:lang w:val="fr-CA"/>
        </w:rPr>
        <w:t>accueilli avec dépens.</w:t>
      </w:r>
    </w:p>
    <w:p w:rsidR="00A91681" w:rsidRPr="00B053FA" w:rsidRDefault="003F31CE" w:rsidP="00D434D8">
      <w:pPr>
        <w:pStyle w:val="SCCLawFirm"/>
        <w:spacing w:after="480"/>
        <w:rPr>
          <w:lang w:val="fr-CA"/>
        </w:rPr>
      </w:pPr>
      <w:r w:rsidRPr="00B053FA">
        <w:rPr>
          <w:lang w:val="fr-CA"/>
        </w:rPr>
        <w:tab/>
      </w:r>
      <w:r w:rsidR="00CA6750" w:rsidRPr="00B053FA">
        <w:rPr>
          <w:lang w:val="fr-CA"/>
        </w:rPr>
        <w:t>Procureurs de l’</w:t>
      </w:r>
      <w:r w:rsidR="00A91681" w:rsidRPr="00B053FA">
        <w:rPr>
          <w:lang w:val="fr-CA"/>
        </w:rPr>
        <w:t>appelante</w:t>
      </w:r>
      <w:r w:rsidR="00D434D8" w:rsidRPr="00B053FA">
        <w:rPr>
          <w:lang w:val="fr-CA"/>
        </w:rPr>
        <w:t> : </w:t>
      </w:r>
      <w:r w:rsidR="00A91681" w:rsidRPr="00B053FA">
        <w:rPr>
          <w:lang w:val="fr-CA"/>
        </w:rPr>
        <w:t>Miller Thomson, Edmonton.</w:t>
      </w:r>
    </w:p>
    <w:p w:rsidR="00A91681" w:rsidRPr="00B053FA" w:rsidRDefault="00A91681" w:rsidP="00D434D8">
      <w:pPr>
        <w:pStyle w:val="SCCLawFirm"/>
        <w:spacing w:after="480"/>
        <w:rPr>
          <w:lang w:val="fr-CA"/>
        </w:rPr>
      </w:pPr>
      <w:r w:rsidRPr="00B053FA">
        <w:rPr>
          <w:lang w:val="fr-CA"/>
        </w:rPr>
        <w:tab/>
        <w:t>Procureurs</w:t>
      </w:r>
      <w:r w:rsidR="00111EA7" w:rsidRPr="00B053FA">
        <w:rPr>
          <w:lang w:val="fr-CA"/>
        </w:rPr>
        <w:t xml:space="preserve"> de l’</w:t>
      </w:r>
      <w:r w:rsidRPr="00B053FA">
        <w:rPr>
          <w:lang w:val="fr-CA"/>
        </w:rPr>
        <w:t xml:space="preserve">intimée Driver </w:t>
      </w:r>
      <w:proofErr w:type="spellStart"/>
      <w:r w:rsidRPr="00B053FA">
        <w:rPr>
          <w:lang w:val="fr-CA"/>
        </w:rPr>
        <w:t>Iron</w:t>
      </w:r>
      <w:proofErr w:type="spellEnd"/>
      <w:r w:rsidRPr="00B053FA">
        <w:rPr>
          <w:lang w:val="fr-CA"/>
        </w:rPr>
        <w:t xml:space="preserve"> Inc.</w:t>
      </w:r>
      <w:r w:rsidR="00D434D8" w:rsidRPr="00B053FA">
        <w:rPr>
          <w:lang w:val="fr-CA"/>
        </w:rPr>
        <w:t> : </w:t>
      </w:r>
      <w:proofErr w:type="spellStart"/>
      <w:r w:rsidRPr="00B053FA">
        <w:rPr>
          <w:lang w:val="fr-CA"/>
        </w:rPr>
        <w:t>Heenan</w:t>
      </w:r>
      <w:proofErr w:type="spellEnd"/>
      <w:r w:rsidRPr="00B053FA">
        <w:rPr>
          <w:lang w:val="fr-CA"/>
        </w:rPr>
        <w:t xml:space="preserve"> Blaikie, Vancouver.</w:t>
      </w:r>
    </w:p>
    <w:p w:rsidR="00A91681" w:rsidRPr="00B053FA" w:rsidRDefault="008473C4" w:rsidP="00D434D8">
      <w:pPr>
        <w:pStyle w:val="SCCLawFirm"/>
        <w:spacing w:after="480"/>
        <w:rPr>
          <w:lang w:val="fr-CA"/>
        </w:rPr>
      </w:pPr>
      <w:r w:rsidRPr="00B053FA">
        <w:rPr>
          <w:lang w:val="fr-CA"/>
        </w:rPr>
        <w:tab/>
        <w:t>Procureurs de l’</w:t>
      </w:r>
      <w:r w:rsidR="00A91681" w:rsidRPr="00B053FA">
        <w:rPr>
          <w:lang w:val="fr-CA"/>
        </w:rPr>
        <w:t xml:space="preserve">intimée </w:t>
      </w:r>
      <w:r w:rsidR="00912631" w:rsidRPr="00B053FA">
        <w:rPr>
          <w:lang w:val="fr-CA"/>
        </w:rPr>
        <w:t>l’</w:t>
      </w:r>
      <w:r w:rsidR="00A91681" w:rsidRPr="00B053FA">
        <w:rPr>
          <w:lang w:val="fr-CA"/>
        </w:rPr>
        <w:t xml:space="preserve">Association internationale des travailleurs en ponts, en </w:t>
      </w:r>
      <w:r w:rsidR="00994719" w:rsidRPr="00B053FA">
        <w:rPr>
          <w:lang w:val="fr-CA"/>
        </w:rPr>
        <w:t>fer structural, ornemental et d’</w:t>
      </w:r>
      <w:r w:rsidR="00A91681" w:rsidRPr="00B053FA">
        <w:rPr>
          <w:lang w:val="fr-CA"/>
        </w:rPr>
        <w:t>armature, section locale 720</w:t>
      </w:r>
      <w:r w:rsidR="00D434D8" w:rsidRPr="00B053FA">
        <w:rPr>
          <w:lang w:val="fr-CA"/>
        </w:rPr>
        <w:t> : </w:t>
      </w:r>
      <w:r w:rsidR="00A91681" w:rsidRPr="00B053FA">
        <w:rPr>
          <w:lang w:val="fr-CA"/>
        </w:rPr>
        <w:t xml:space="preserve">Caroline &amp; </w:t>
      </w:r>
      <w:proofErr w:type="spellStart"/>
      <w:r w:rsidR="00A91681" w:rsidRPr="00B053FA">
        <w:rPr>
          <w:lang w:val="fr-CA"/>
        </w:rPr>
        <w:t>Gislason</w:t>
      </w:r>
      <w:proofErr w:type="spellEnd"/>
      <w:r w:rsidR="00A91681" w:rsidRPr="00B053FA">
        <w:rPr>
          <w:lang w:val="fr-CA"/>
        </w:rPr>
        <w:t>, Vancouver.</w:t>
      </w:r>
    </w:p>
    <w:p w:rsidR="009B57B3" w:rsidRPr="00B053FA" w:rsidRDefault="00A91681" w:rsidP="00F52CBD">
      <w:pPr>
        <w:pStyle w:val="SCCLawFirm"/>
        <w:rPr>
          <w:b/>
          <w:i w:val="0"/>
          <w:lang w:val="fr-CA"/>
        </w:rPr>
      </w:pPr>
      <w:r w:rsidRPr="00B053FA">
        <w:rPr>
          <w:lang w:val="fr-CA"/>
        </w:rPr>
        <w:tab/>
        <w:t>Procureur d</w:t>
      </w:r>
      <w:r w:rsidR="00462947" w:rsidRPr="00B053FA">
        <w:rPr>
          <w:lang w:val="fr-CA"/>
        </w:rPr>
        <w:t>e l’</w:t>
      </w:r>
      <w:r w:rsidRPr="00B053FA">
        <w:rPr>
          <w:lang w:val="fr-CA"/>
        </w:rPr>
        <w:t>intimé</w:t>
      </w:r>
      <w:r w:rsidR="00C06F95" w:rsidRPr="00B053FA">
        <w:rPr>
          <w:lang w:val="fr-CA"/>
        </w:rPr>
        <w:t>e</w:t>
      </w:r>
      <w:r w:rsidRPr="00B053FA">
        <w:rPr>
          <w:lang w:val="fr-CA"/>
        </w:rPr>
        <w:t xml:space="preserve"> Alberta Labour Relations </w:t>
      </w:r>
      <w:proofErr w:type="spellStart"/>
      <w:r w:rsidRPr="00B053FA">
        <w:rPr>
          <w:lang w:val="fr-CA"/>
        </w:rPr>
        <w:t>Board</w:t>
      </w:r>
      <w:proofErr w:type="spellEnd"/>
      <w:r w:rsidR="00D434D8" w:rsidRPr="00B053FA">
        <w:rPr>
          <w:lang w:val="fr-CA"/>
        </w:rPr>
        <w:t> : </w:t>
      </w:r>
      <w:r w:rsidRPr="00B053FA">
        <w:rPr>
          <w:lang w:val="fr-CA"/>
        </w:rPr>
        <w:t xml:space="preserve">Alberta Labour Relations </w:t>
      </w:r>
      <w:proofErr w:type="spellStart"/>
      <w:r w:rsidRPr="00B053FA">
        <w:rPr>
          <w:lang w:val="fr-CA"/>
        </w:rPr>
        <w:t>Board</w:t>
      </w:r>
      <w:proofErr w:type="spellEnd"/>
      <w:r w:rsidRPr="00B053FA">
        <w:rPr>
          <w:lang w:val="fr-CA"/>
        </w:rPr>
        <w:t>, Edmonton.</w:t>
      </w:r>
    </w:p>
    <w:p w:rsidR="00F52CBD" w:rsidRPr="00B053FA" w:rsidRDefault="00F52CBD" w:rsidP="00F52CBD">
      <w:pPr>
        <w:pStyle w:val="SCCNormalDoubleSpacing"/>
        <w:rPr>
          <w:lang w:val="fr-CA"/>
        </w:rPr>
      </w:pPr>
    </w:p>
    <w:sectPr w:rsidR="00F52CBD" w:rsidRPr="00B053F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EE" w:rsidRDefault="00845AEE">
      <w:r>
        <w:separator/>
      </w:r>
    </w:p>
  </w:endnote>
  <w:endnote w:type="continuationSeparator" w:id="0">
    <w:p w:rsidR="00845AEE" w:rsidRDefault="0084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EE" w:rsidRDefault="00845AEE">
      <w:r>
        <w:separator/>
      </w:r>
    </w:p>
  </w:footnote>
  <w:footnote w:type="continuationSeparator" w:id="0">
    <w:p w:rsidR="00845AEE" w:rsidRDefault="0084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EE" w:rsidRPr="00450352" w:rsidRDefault="00845AE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23FC7"/>
    <w:rsid w:val="00025198"/>
    <w:rsid w:val="000578A3"/>
    <w:rsid w:val="00060D9F"/>
    <w:rsid w:val="000648CC"/>
    <w:rsid w:val="00082288"/>
    <w:rsid w:val="000A281C"/>
    <w:rsid w:val="000B6FB3"/>
    <w:rsid w:val="000C59B8"/>
    <w:rsid w:val="000C6AF0"/>
    <w:rsid w:val="000D0A77"/>
    <w:rsid w:val="000F051A"/>
    <w:rsid w:val="000F13B9"/>
    <w:rsid w:val="000F7993"/>
    <w:rsid w:val="00104F33"/>
    <w:rsid w:val="00111DE2"/>
    <w:rsid w:val="00111EA7"/>
    <w:rsid w:val="00116B38"/>
    <w:rsid w:val="00135406"/>
    <w:rsid w:val="00135972"/>
    <w:rsid w:val="001426A9"/>
    <w:rsid w:val="00154D7C"/>
    <w:rsid w:val="001570B0"/>
    <w:rsid w:val="0015752C"/>
    <w:rsid w:val="00157737"/>
    <w:rsid w:val="00165277"/>
    <w:rsid w:val="00170592"/>
    <w:rsid w:val="001720F7"/>
    <w:rsid w:val="001877C8"/>
    <w:rsid w:val="00195D83"/>
    <w:rsid w:val="001A00C1"/>
    <w:rsid w:val="001B0A0F"/>
    <w:rsid w:val="001B33E0"/>
    <w:rsid w:val="001B4573"/>
    <w:rsid w:val="001C779F"/>
    <w:rsid w:val="001D2AC1"/>
    <w:rsid w:val="001D4E88"/>
    <w:rsid w:val="00212354"/>
    <w:rsid w:val="00220FC2"/>
    <w:rsid w:val="002222F4"/>
    <w:rsid w:val="00224FC0"/>
    <w:rsid w:val="00225EA4"/>
    <w:rsid w:val="00226EAF"/>
    <w:rsid w:val="00231F3A"/>
    <w:rsid w:val="00236888"/>
    <w:rsid w:val="002406EE"/>
    <w:rsid w:val="00243EC8"/>
    <w:rsid w:val="002521AD"/>
    <w:rsid w:val="00257C08"/>
    <w:rsid w:val="00270D93"/>
    <w:rsid w:val="002745CC"/>
    <w:rsid w:val="00275555"/>
    <w:rsid w:val="002823BB"/>
    <w:rsid w:val="002B0FF8"/>
    <w:rsid w:val="002B6FBE"/>
    <w:rsid w:val="002B7924"/>
    <w:rsid w:val="002C10A6"/>
    <w:rsid w:val="002D28C3"/>
    <w:rsid w:val="002D39A4"/>
    <w:rsid w:val="002E6705"/>
    <w:rsid w:val="0030329A"/>
    <w:rsid w:val="00306814"/>
    <w:rsid w:val="0031086F"/>
    <w:rsid w:val="0031414C"/>
    <w:rsid w:val="00314E01"/>
    <w:rsid w:val="003155EB"/>
    <w:rsid w:val="0032089D"/>
    <w:rsid w:val="003310DE"/>
    <w:rsid w:val="003323B0"/>
    <w:rsid w:val="00340A49"/>
    <w:rsid w:val="00344CAA"/>
    <w:rsid w:val="0035169A"/>
    <w:rsid w:val="0035259D"/>
    <w:rsid w:val="00363F24"/>
    <w:rsid w:val="00364B18"/>
    <w:rsid w:val="0037065B"/>
    <w:rsid w:val="0038483A"/>
    <w:rsid w:val="003958CE"/>
    <w:rsid w:val="003A125D"/>
    <w:rsid w:val="003A4C70"/>
    <w:rsid w:val="003B215F"/>
    <w:rsid w:val="003C0615"/>
    <w:rsid w:val="003C799C"/>
    <w:rsid w:val="003D0399"/>
    <w:rsid w:val="003E1C71"/>
    <w:rsid w:val="003E4A00"/>
    <w:rsid w:val="003F31CE"/>
    <w:rsid w:val="003F327B"/>
    <w:rsid w:val="00406166"/>
    <w:rsid w:val="0040704B"/>
    <w:rsid w:val="00410A55"/>
    <w:rsid w:val="00411300"/>
    <w:rsid w:val="00413F17"/>
    <w:rsid w:val="00415417"/>
    <w:rsid w:val="00426659"/>
    <w:rsid w:val="00427544"/>
    <w:rsid w:val="00440169"/>
    <w:rsid w:val="00450352"/>
    <w:rsid w:val="00454BDB"/>
    <w:rsid w:val="00457D66"/>
    <w:rsid w:val="00462947"/>
    <w:rsid w:val="00465132"/>
    <w:rsid w:val="00467267"/>
    <w:rsid w:val="00470FC5"/>
    <w:rsid w:val="00480C90"/>
    <w:rsid w:val="0048396F"/>
    <w:rsid w:val="00493C18"/>
    <w:rsid w:val="004A600C"/>
    <w:rsid w:val="004A6118"/>
    <w:rsid w:val="004A7584"/>
    <w:rsid w:val="004C478D"/>
    <w:rsid w:val="004C620C"/>
    <w:rsid w:val="004D6741"/>
    <w:rsid w:val="004D7D95"/>
    <w:rsid w:val="004E2C26"/>
    <w:rsid w:val="004F5482"/>
    <w:rsid w:val="005125A8"/>
    <w:rsid w:val="00517549"/>
    <w:rsid w:val="00520ABC"/>
    <w:rsid w:val="00521AE8"/>
    <w:rsid w:val="00527180"/>
    <w:rsid w:val="00541CE3"/>
    <w:rsid w:val="00552286"/>
    <w:rsid w:val="00555291"/>
    <w:rsid w:val="005574CD"/>
    <w:rsid w:val="00566AD1"/>
    <w:rsid w:val="00583EDE"/>
    <w:rsid w:val="005A6079"/>
    <w:rsid w:val="005B015F"/>
    <w:rsid w:val="005E4698"/>
    <w:rsid w:val="00603924"/>
    <w:rsid w:val="00606420"/>
    <w:rsid w:val="00610539"/>
    <w:rsid w:val="00613969"/>
    <w:rsid w:val="00617F3D"/>
    <w:rsid w:val="0062370D"/>
    <w:rsid w:val="00625C35"/>
    <w:rsid w:val="00647E49"/>
    <w:rsid w:val="00656313"/>
    <w:rsid w:val="006565F4"/>
    <w:rsid w:val="00661CFA"/>
    <w:rsid w:val="00664843"/>
    <w:rsid w:val="00684EEA"/>
    <w:rsid w:val="00695E5C"/>
    <w:rsid w:val="0069689B"/>
    <w:rsid w:val="006B5FF5"/>
    <w:rsid w:val="006B7016"/>
    <w:rsid w:val="006F30AF"/>
    <w:rsid w:val="006F48AB"/>
    <w:rsid w:val="00701759"/>
    <w:rsid w:val="00705C15"/>
    <w:rsid w:val="007110F6"/>
    <w:rsid w:val="0072018E"/>
    <w:rsid w:val="007208D1"/>
    <w:rsid w:val="00744518"/>
    <w:rsid w:val="00747288"/>
    <w:rsid w:val="00747DD3"/>
    <w:rsid w:val="0075497E"/>
    <w:rsid w:val="007549C8"/>
    <w:rsid w:val="00766D14"/>
    <w:rsid w:val="00767A0F"/>
    <w:rsid w:val="00791272"/>
    <w:rsid w:val="007A05F6"/>
    <w:rsid w:val="007B09B8"/>
    <w:rsid w:val="007B34E7"/>
    <w:rsid w:val="007B6F4A"/>
    <w:rsid w:val="007C13E3"/>
    <w:rsid w:val="007E1C47"/>
    <w:rsid w:val="007E337A"/>
    <w:rsid w:val="007E5C70"/>
    <w:rsid w:val="007F2FF5"/>
    <w:rsid w:val="007F3F08"/>
    <w:rsid w:val="00804CC6"/>
    <w:rsid w:val="00807ADF"/>
    <w:rsid w:val="00807CF2"/>
    <w:rsid w:val="0081391F"/>
    <w:rsid w:val="00817190"/>
    <w:rsid w:val="008260E2"/>
    <w:rsid w:val="008322BD"/>
    <w:rsid w:val="00834F73"/>
    <w:rsid w:val="00837736"/>
    <w:rsid w:val="00845AEE"/>
    <w:rsid w:val="008473C4"/>
    <w:rsid w:val="00852B58"/>
    <w:rsid w:val="00862CBC"/>
    <w:rsid w:val="00864C8A"/>
    <w:rsid w:val="00864CF8"/>
    <w:rsid w:val="00874914"/>
    <w:rsid w:val="00891422"/>
    <w:rsid w:val="00892E1A"/>
    <w:rsid w:val="008B660A"/>
    <w:rsid w:val="008C01DA"/>
    <w:rsid w:val="008C3C42"/>
    <w:rsid w:val="008F0AFD"/>
    <w:rsid w:val="008F2674"/>
    <w:rsid w:val="008F3136"/>
    <w:rsid w:val="008F3B17"/>
    <w:rsid w:val="008F6E00"/>
    <w:rsid w:val="008F78E9"/>
    <w:rsid w:val="00912631"/>
    <w:rsid w:val="009147D6"/>
    <w:rsid w:val="009179F9"/>
    <w:rsid w:val="00917C7A"/>
    <w:rsid w:val="00933E5E"/>
    <w:rsid w:val="00935218"/>
    <w:rsid w:val="00937C52"/>
    <w:rsid w:val="009403F3"/>
    <w:rsid w:val="009555B7"/>
    <w:rsid w:val="009567AA"/>
    <w:rsid w:val="009602C9"/>
    <w:rsid w:val="00967374"/>
    <w:rsid w:val="00985566"/>
    <w:rsid w:val="00994719"/>
    <w:rsid w:val="00995E58"/>
    <w:rsid w:val="009A343A"/>
    <w:rsid w:val="009B057B"/>
    <w:rsid w:val="009B2F23"/>
    <w:rsid w:val="009B57B3"/>
    <w:rsid w:val="009C352A"/>
    <w:rsid w:val="009D2920"/>
    <w:rsid w:val="009D5AEB"/>
    <w:rsid w:val="009F0E33"/>
    <w:rsid w:val="00A149DF"/>
    <w:rsid w:val="00A1755C"/>
    <w:rsid w:val="00A21B90"/>
    <w:rsid w:val="00A22AAC"/>
    <w:rsid w:val="00A31D9C"/>
    <w:rsid w:val="00A41805"/>
    <w:rsid w:val="00A51882"/>
    <w:rsid w:val="00A52AFB"/>
    <w:rsid w:val="00A52DD5"/>
    <w:rsid w:val="00A548CB"/>
    <w:rsid w:val="00A5521C"/>
    <w:rsid w:val="00A643E7"/>
    <w:rsid w:val="00A73C38"/>
    <w:rsid w:val="00A827D3"/>
    <w:rsid w:val="00A91681"/>
    <w:rsid w:val="00AA11B3"/>
    <w:rsid w:val="00AB670D"/>
    <w:rsid w:val="00AC6C26"/>
    <w:rsid w:val="00AE28DD"/>
    <w:rsid w:val="00AE2F09"/>
    <w:rsid w:val="00AF03C5"/>
    <w:rsid w:val="00B000D8"/>
    <w:rsid w:val="00B00F75"/>
    <w:rsid w:val="00B053FA"/>
    <w:rsid w:val="00B06D1A"/>
    <w:rsid w:val="00B145B6"/>
    <w:rsid w:val="00B17D1B"/>
    <w:rsid w:val="00B207FB"/>
    <w:rsid w:val="00B279EB"/>
    <w:rsid w:val="00B40BE1"/>
    <w:rsid w:val="00B50C81"/>
    <w:rsid w:val="00B557F8"/>
    <w:rsid w:val="00B558D8"/>
    <w:rsid w:val="00B815FC"/>
    <w:rsid w:val="00B93FBC"/>
    <w:rsid w:val="00B9531E"/>
    <w:rsid w:val="00BA1DA6"/>
    <w:rsid w:val="00BA7DA0"/>
    <w:rsid w:val="00BB1F1E"/>
    <w:rsid w:val="00BB2EE4"/>
    <w:rsid w:val="00BB4C92"/>
    <w:rsid w:val="00BC2108"/>
    <w:rsid w:val="00BD0E9E"/>
    <w:rsid w:val="00BD1BEC"/>
    <w:rsid w:val="00BD288D"/>
    <w:rsid w:val="00BD32FF"/>
    <w:rsid w:val="00BE3CBC"/>
    <w:rsid w:val="00BF5A92"/>
    <w:rsid w:val="00BF6FE9"/>
    <w:rsid w:val="00C02092"/>
    <w:rsid w:val="00C06F95"/>
    <w:rsid w:val="00C12E6C"/>
    <w:rsid w:val="00C24D91"/>
    <w:rsid w:val="00C26DB2"/>
    <w:rsid w:val="00C53F14"/>
    <w:rsid w:val="00C600CF"/>
    <w:rsid w:val="00C6084F"/>
    <w:rsid w:val="00C62A66"/>
    <w:rsid w:val="00C66359"/>
    <w:rsid w:val="00C66557"/>
    <w:rsid w:val="00C71458"/>
    <w:rsid w:val="00C77613"/>
    <w:rsid w:val="00C828E7"/>
    <w:rsid w:val="00C86719"/>
    <w:rsid w:val="00C86B55"/>
    <w:rsid w:val="00C91102"/>
    <w:rsid w:val="00C921DD"/>
    <w:rsid w:val="00CA6391"/>
    <w:rsid w:val="00CA6750"/>
    <w:rsid w:val="00CA789B"/>
    <w:rsid w:val="00CB0DB8"/>
    <w:rsid w:val="00CC0305"/>
    <w:rsid w:val="00CE036E"/>
    <w:rsid w:val="00CE3171"/>
    <w:rsid w:val="00CF1601"/>
    <w:rsid w:val="00CF1AFD"/>
    <w:rsid w:val="00D0172F"/>
    <w:rsid w:val="00D01E33"/>
    <w:rsid w:val="00D068A7"/>
    <w:rsid w:val="00D17476"/>
    <w:rsid w:val="00D275F1"/>
    <w:rsid w:val="00D31228"/>
    <w:rsid w:val="00D31653"/>
    <w:rsid w:val="00D32086"/>
    <w:rsid w:val="00D37A3F"/>
    <w:rsid w:val="00D434D8"/>
    <w:rsid w:val="00D4431D"/>
    <w:rsid w:val="00D4667A"/>
    <w:rsid w:val="00D63A1C"/>
    <w:rsid w:val="00D7516F"/>
    <w:rsid w:val="00D81172"/>
    <w:rsid w:val="00D95F8E"/>
    <w:rsid w:val="00DA0590"/>
    <w:rsid w:val="00DB4DE5"/>
    <w:rsid w:val="00DC1739"/>
    <w:rsid w:val="00DC1788"/>
    <w:rsid w:val="00DC2FF6"/>
    <w:rsid w:val="00DD7E05"/>
    <w:rsid w:val="00DE319C"/>
    <w:rsid w:val="00DE7352"/>
    <w:rsid w:val="00DE7547"/>
    <w:rsid w:val="00DF0CA8"/>
    <w:rsid w:val="00DF2B48"/>
    <w:rsid w:val="00DF49A7"/>
    <w:rsid w:val="00E07EE2"/>
    <w:rsid w:val="00E07FD1"/>
    <w:rsid w:val="00E24573"/>
    <w:rsid w:val="00E25E1E"/>
    <w:rsid w:val="00E27EE7"/>
    <w:rsid w:val="00E35404"/>
    <w:rsid w:val="00E45109"/>
    <w:rsid w:val="00E47B7A"/>
    <w:rsid w:val="00E56A44"/>
    <w:rsid w:val="00E60269"/>
    <w:rsid w:val="00E808AC"/>
    <w:rsid w:val="00E82BA6"/>
    <w:rsid w:val="00E97830"/>
    <w:rsid w:val="00EC59B4"/>
    <w:rsid w:val="00EE0830"/>
    <w:rsid w:val="00EE6CB8"/>
    <w:rsid w:val="00EF0683"/>
    <w:rsid w:val="00F0070C"/>
    <w:rsid w:val="00F00EB7"/>
    <w:rsid w:val="00F16E1A"/>
    <w:rsid w:val="00F3003D"/>
    <w:rsid w:val="00F36AB6"/>
    <w:rsid w:val="00F37A09"/>
    <w:rsid w:val="00F409CE"/>
    <w:rsid w:val="00F4379D"/>
    <w:rsid w:val="00F50D2D"/>
    <w:rsid w:val="00F52CBD"/>
    <w:rsid w:val="00F56C8B"/>
    <w:rsid w:val="00F62639"/>
    <w:rsid w:val="00F66810"/>
    <w:rsid w:val="00F80F6A"/>
    <w:rsid w:val="00F84DF4"/>
    <w:rsid w:val="00F85C97"/>
    <w:rsid w:val="00FA7FBF"/>
    <w:rsid w:val="00FB37D2"/>
    <w:rsid w:val="00FC2AEC"/>
    <w:rsid w:val="00FC4EFB"/>
    <w:rsid w:val="00FD068D"/>
    <w:rsid w:val="00FD190A"/>
    <w:rsid w:val="00FD4F28"/>
    <w:rsid w:val="00FE6784"/>
    <w:rsid w:val="00FE7A8B"/>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F52C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F52CBD"/>
    <w:pPr>
      <w:tabs>
        <w:tab w:val="left" w:pos="1166"/>
      </w:tabs>
      <w:spacing w:after="480" w:line="480" w:lineRule="auto"/>
    </w:pPr>
    <w:rPr>
      <w:smallCaps/>
      <w:sz w:val="24"/>
    </w:rPr>
  </w:style>
  <w:style w:type="paragraph" w:customStyle="1" w:styleId="ParaNoNdepar-AltN">
    <w:name w:val="Para. No. / Nº de par. - Alt N"/>
    <w:qFormat/>
    <w:rsid w:val="00F52CB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4852</Characters>
  <Application>Microsoft Office Word</Application>
  <DocSecurity>0</DocSecurity>
  <Lines>40</Lines>
  <Paragraphs>11</Paragraphs>
  <ScaleCrop>false</ScaleCrop>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2013-01-30T19:18:00Z</dcterms:created>
  <dcterms:modified xsi:type="dcterms:W3CDTF">2013-07-26T18:00:00Z</dcterms:modified>
</cp:coreProperties>
</file>