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06" w:rsidRPr="00901285" w:rsidRDefault="00A75D06" w:rsidP="00A75D06">
      <w:pPr>
        <w:tabs>
          <w:tab w:val="center" w:pos="4680"/>
          <w:tab w:val="right" w:pos="9360"/>
        </w:tabs>
        <w:rPr>
          <w:rFonts w:eastAsiaTheme="minorHAnsi" w:cstheme="minorBidi"/>
          <w:color w:val="000000" w:themeColor="text1"/>
          <w:szCs w:val="24"/>
          <w:lang w:eastAsia="en-US"/>
        </w:rPr>
      </w:pPr>
      <w:r w:rsidRPr="00901285">
        <w:rPr>
          <w:rFonts w:eastAsiaTheme="minorHAnsi" w:cstheme="minorBidi"/>
          <w:color w:val="000000" w:themeColor="text1"/>
          <w:szCs w:val="24"/>
          <w:lang w:eastAsia="en-US"/>
        </w:rPr>
        <w:ptab w:relativeTo="margin" w:alignment="center" w:leader="none"/>
      </w:r>
      <w:r w:rsidRPr="00901285">
        <w:rPr>
          <w:rFonts w:eastAsiaTheme="minorHAnsi" w:cstheme="minorBidi"/>
          <w:color w:val="000000" w:themeColor="text1"/>
          <w:szCs w:val="24"/>
          <w:lang w:eastAsia="en-US"/>
        </w:rPr>
        <w:t xml:space="preserve"> </w:t>
      </w:r>
      <w:r w:rsidRPr="00901285">
        <w:rPr>
          <w:rFonts w:eastAsiaTheme="minorHAnsi"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36351253" r:id="rId8"/>
        </w:object>
      </w:r>
      <w:r w:rsidRPr="00901285">
        <w:rPr>
          <w:rFonts w:eastAsiaTheme="minorHAnsi" w:cstheme="minorBidi"/>
          <w:color w:val="000000" w:themeColor="text1"/>
          <w:szCs w:val="24"/>
          <w:lang w:eastAsia="en-US"/>
        </w:rPr>
        <w:t xml:space="preserve"> </w:t>
      </w:r>
      <w:r w:rsidRPr="00901285">
        <w:rPr>
          <w:rFonts w:eastAsiaTheme="minorHAnsi" w:cstheme="minorBidi"/>
          <w:color w:val="000000" w:themeColor="text1"/>
          <w:szCs w:val="24"/>
          <w:lang w:eastAsia="en-US"/>
        </w:rPr>
        <w:ptab w:relativeTo="margin" w:alignment="right" w:leader="none"/>
      </w:r>
    </w:p>
    <w:p w:rsidR="00A75D06" w:rsidRPr="00901285" w:rsidRDefault="00A75D06" w:rsidP="00A75D06">
      <w:pPr>
        <w:tabs>
          <w:tab w:val="center" w:pos="4680"/>
          <w:tab w:val="right" w:pos="9360"/>
        </w:tabs>
        <w:rPr>
          <w:rFonts w:eastAsiaTheme="minorHAnsi" w:cstheme="minorBidi"/>
          <w:color w:val="000000" w:themeColor="text1"/>
          <w:szCs w:val="24"/>
          <w:lang w:eastAsia="en-US"/>
        </w:rPr>
      </w:pPr>
    </w:p>
    <w:p w:rsidR="00A75D06" w:rsidRPr="00901285" w:rsidRDefault="00A75D06" w:rsidP="00A75D06">
      <w:pPr>
        <w:jc w:val="center"/>
        <w:rPr>
          <w:rFonts w:eastAsiaTheme="minorHAnsi" w:cstheme="minorBidi"/>
          <w:b/>
          <w:color w:val="000000" w:themeColor="text1"/>
          <w:szCs w:val="24"/>
          <w:lang w:eastAsia="en-US"/>
        </w:rPr>
      </w:pPr>
      <w:r w:rsidRPr="00901285">
        <w:rPr>
          <w:rFonts w:eastAsiaTheme="minorHAnsi" w:cstheme="minorBidi"/>
          <w:b/>
          <w:color w:val="000000" w:themeColor="text1"/>
          <w:szCs w:val="24"/>
          <w:lang w:eastAsia="en-US"/>
        </w:rPr>
        <w:t>COUR SUPRÊME DU CANADA</w:t>
      </w:r>
    </w:p>
    <w:p w:rsidR="00A75D06" w:rsidRPr="00901285" w:rsidRDefault="00A75D06" w:rsidP="00A75D06">
      <w:pPr>
        <w:rPr>
          <w:rFonts w:eastAsiaTheme="minorHAnsi" w:cstheme="minorBidi"/>
          <w:color w:val="000000" w:themeColor="text1"/>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75D06" w:rsidRPr="00901285" w:rsidTr="004B1F24">
        <w:trPr>
          <w:cantSplit/>
        </w:trPr>
        <w:tc>
          <w:tcPr>
            <w:tcW w:w="6768" w:type="dxa"/>
          </w:tcPr>
          <w:p w:rsidR="00A75D06" w:rsidRPr="00901285" w:rsidRDefault="00A75D06" w:rsidP="004B1F24">
            <w:pPr>
              <w:rPr>
                <w:color w:val="000000" w:themeColor="text1"/>
              </w:rPr>
            </w:pPr>
            <w:r w:rsidRPr="00901285">
              <w:rPr>
                <w:b/>
                <w:smallCaps/>
                <w:color w:val="000000" w:themeColor="text1"/>
              </w:rPr>
              <w:t>Référence :</w:t>
            </w:r>
            <w:r w:rsidRPr="00901285">
              <w:rPr>
                <w:color w:val="000000" w:themeColor="text1"/>
              </w:rPr>
              <w:t xml:space="preserve"> Terre Neuve et Labrador </w:t>
            </w:r>
            <w:r w:rsidRPr="00901285">
              <w:rPr>
                <w:i/>
                <w:color w:val="000000" w:themeColor="text1"/>
              </w:rPr>
              <w:t>c.</w:t>
            </w:r>
            <w:r w:rsidRPr="00901285">
              <w:rPr>
                <w:color w:val="000000" w:themeColor="text1"/>
              </w:rPr>
              <w:t xml:space="preserve"> </w:t>
            </w:r>
            <w:proofErr w:type="spellStart"/>
            <w:r w:rsidRPr="00901285">
              <w:rPr>
                <w:color w:val="000000" w:themeColor="text1"/>
              </w:rPr>
              <w:t>AbitibiBowater</w:t>
            </w:r>
            <w:proofErr w:type="spellEnd"/>
            <w:r w:rsidRPr="00901285">
              <w:rPr>
                <w:color w:val="000000" w:themeColor="text1"/>
              </w:rPr>
              <w:t xml:space="preserve"> Inc., </w:t>
            </w:r>
          </w:p>
          <w:p w:rsidR="00A75D06" w:rsidRPr="00901285" w:rsidRDefault="00A75D06" w:rsidP="004B1F24">
            <w:pPr>
              <w:rPr>
                <w:color w:val="000000" w:themeColor="text1"/>
              </w:rPr>
            </w:pPr>
            <w:r w:rsidRPr="00DF3E53">
              <w:t>2012 CSC 67, [2012] 3 R.C.S. 443</w:t>
            </w:r>
          </w:p>
        </w:tc>
        <w:tc>
          <w:tcPr>
            <w:tcW w:w="2808" w:type="dxa"/>
          </w:tcPr>
          <w:p w:rsidR="00A75D06" w:rsidRPr="00901285" w:rsidRDefault="00A75D06" w:rsidP="004B1F24">
            <w:pPr>
              <w:rPr>
                <w:color w:val="000000" w:themeColor="text1"/>
              </w:rPr>
            </w:pPr>
            <w:r w:rsidRPr="00901285">
              <w:rPr>
                <w:b/>
                <w:smallCaps/>
                <w:color w:val="000000" w:themeColor="text1"/>
              </w:rPr>
              <w:t>Date :</w:t>
            </w:r>
            <w:r w:rsidRPr="00901285">
              <w:rPr>
                <w:color w:val="000000" w:themeColor="text1"/>
              </w:rPr>
              <w:t xml:space="preserve"> 20121207</w:t>
            </w:r>
          </w:p>
          <w:p w:rsidR="00A75D06" w:rsidRPr="00901285" w:rsidRDefault="00A75D06" w:rsidP="004B1F24">
            <w:pPr>
              <w:rPr>
                <w:color w:val="000000" w:themeColor="text1"/>
              </w:rPr>
            </w:pPr>
            <w:r w:rsidRPr="00901285">
              <w:rPr>
                <w:b/>
                <w:smallCaps/>
                <w:color w:val="000000" w:themeColor="text1"/>
              </w:rPr>
              <w:t>Dossier :</w:t>
            </w:r>
            <w:r w:rsidRPr="00901285">
              <w:rPr>
                <w:color w:val="000000" w:themeColor="text1"/>
              </w:rPr>
              <w:t xml:space="preserve"> 33797</w:t>
            </w:r>
          </w:p>
        </w:tc>
      </w:tr>
    </w:tbl>
    <w:p w:rsidR="00A75D06" w:rsidRPr="00901285" w:rsidRDefault="00A75D06" w:rsidP="00A75D06">
      <w:pPr>
        <w:rPr>
          <w:rFonts w:eastAsiaTheme="minorHAnsi" w:cstheme="minorBidi"/>
          <w:color w:val="000000" w:themeColor="text1"/>
          <w:szCs w:val="24"/>
          <w:lang w:eastAsia="en-US"/>
        </w:rPr>
      </w:pPr>
    </w:p>
    <w:p w:rsidR="00A75D06" w:rsidRPr="00901285" w:rsidRDefault="00A75D06" w:rsidP="00A75D06">
      <w:pPr>
        <w:rPr>
          <w:rFonts w:eastAsiaTheme="minorHAnsi" w:cstheme="minorBidi"/>
          <w:b/>
          <w:smallCaps/>
          <w:color w:val="000000" w:themeColor="text1"/>
          <w:szCs w:val="24"/>
          <w:lang w:eastAsia="en-US"/>
        </w:rPr>
      </w:pPr>
      <w:r w:rsidRPr="00901285">
        <w:rPr>
          <w:rFonts w:eastAsiaTheme="minorHAnsi" w:cstheme="minorBidi"/>
          <w:b/>
          <w:smallCaps/>
          <w:color w:val="000000" w:themeColor="text1"/>
          <w:szCs w:val="24"/>
          <w:lang w:eastAsia="en-US"/>
        </w:rPr>
        <w:t>Entre :</w:t>
      </w:r>
    </w:p>
    <w:p w:rsidR="00A75D06" w:rsidRPr="00901285" w:rsidRDefault="00A75D06" w:rsidP="00A75D06">
      <w:pPr>
        <w:jc w:val="center"/>
        <w:rPr>
          <w:rFonts w:eastAsiaTheme="minorHAnsi" w:cstheme="minorBidi"/>
          <w:b/>
          <w:color w:val="000000" w:themeColor="text1"/>
          <w:szCs w:val="24"/>
          <w:lang w:eastAsia="en-US"/>
        </w:rPr>
      </w:pPr>
      <w:r w:rsidRPr="00901285">
        <w:rPr>
          <w:rFonts w:eastAsiaTheme="minorHAnsi" w:cstheme="minorBidi"/>
          <w:b/>
          <w:color w:val="000000" w:themeColor="text1"/>
          <w:szCs w:val="24"/>
          <w:lang w:eastAsia="en-US"/>
        </w:rPr>
        <w:t>Sa Majesté la Reine du chef de la province de Terre-Neuve-et-Labrador</w:t>
      </w:r>
    </w:p>
    <w:p w:rsidR="00A75D06" w:rsidRPr="00901285" w:rsidRDefault="00A75D06" w:rsidP="00A75D06">
      <w:pPr>
        <w:jc w:val="center"/>
        <w:rPr>
          <w:rFonts w:eastAsiaTheme="minorHAnsi" w:cstheme="minorBidi"/>
          <w:color w:val="000000" w:themeColor="text1"/>
          <w:szCs w:val="24"/>
          <w:lang w:eastAsia="en-US"/>
        </w:rPr>
      </w:pPr>
      <w:r w:rsidRPr="00901285">
        <w:rPr>
          <w:rFonts w:eastAsiaTheme="minorHAnsi" w:cstheme="minorBidi"/>
          <w:color w:val="000000" w:themeColor="text1"/>
          <w:szCs w:val="24"/>
          <w:lang w:eastAsia="en-US"/>
        </w:rPr>
        <w:t>Appelante</w:t>
      </w:r>
    </w:p>
    <w:p w:rsidR="00A75D06" w:rsidRPr="00901285" w:rsidRDefault="00A75D06" w:rsidP="00A75D06">
      <w:pPr>
        <w:jc w:val="center"/>
        <w:rPr>
          <w:rFonts w:eastAsiaTheme="minorHAnsi" w:cstheme="minorBidi"/>
          <w:color w:val="000000" w:themeColor="text1"/>
          <w:szCs w:val="24"/>
          <w:lang w:eastAsia="en-US"/>
        </w:rPr>
      </w:pPr>
      <w:proofErr w:type="gramStart"/>
      <w:r w:rsidRPr="00901285">
        <w:rPr>
          <w:rFonts w:eastAsiaTheme="minorHAnsi" w:cstheme="minorBidi"/>
          <w:color w:val="000000" w:themeColor="text1"/>
          <w:szCs w:val="24"/>
          <w:lang w:eastAsia="en-US"/>
        </w:rPr>
        <w:t>et</w:t>
      </w:r>
      <w:proofErr w:type="gramEnd"/>
    </w:p>
    <w:p w:rsidR="00A75D06" w:rsidRPr="00901285" w:rsidRDefault="00A75D06" w:rsidP="00A75D06">
      <w:pPr>
        <w:jc w:val="center"/>
        <w:rPr>
          <w:rFonts w:eastAsiaTheme="minorHAnsi" w:cstheme="minorBidi"/>
          <w:b/>
          <w:color w:val="000000" w:themeColor="text1"/>
          <w:szCs w:val="24"/>
          <w:lang w:eastAsia="en-US"/>
        </w:rPr>
      </w:pPr>
      <w:proofErr w:type="spellStart"/>
      <w:r w:rsidRPr="00901285">
        <w:rPr>
          <w:rFonts w:eastAsiaTheme="minorHAnsi" w:cstheme="minorBidi"/>
          <w:b/>
          <w:color w:val="000000" w:themeColor="text1"/>
          <w:szCs w:val="24"/>
          <w:lang w:eastAsia="en-US"/>
        </w:rPr>
        <w:t>AbitibiBowater</w:t>
      </w:r>
      <w:proofErr w:type="spellEnd"/>
      <w:r w:rsidRPr="00901285">
        <w:rPr>
          <w:rFonts w:eastAsiaTheme="minorHAnsi" w:cstheme="minorBidi"/>
          <w:b/>
          <w:color w:val="000000" w:themeColor="text1"/>
          <w:szCs w:val="24"/>
          <w:lang w:eastAsia="en-US"/>
        </w:rPr>
        <w:t xml:space="preserve"> Inc., Abitibi-</w:t>
      </w:r>
      <w:proofErr w:type="spellStart"/>
      <w:r w:rsidRPr="00901285">
        <w:rPr>
          <w:rFonts w:eastAsiaTheme="minorHAnsi" w:cstheme="minorBidi"/>
          <w:b/>
          <w:color w:val="000000" w:themeColor="text1"/>
          <w:szCs w:val="24"/>
          <w:lang w:eastAsia="en-US"/>
        </w:rPr>
        <w:t>Consolidated</w:t>
      </w:r>
      <w:proofErr w:type="spellEnd"/>
      <w:r w:rsidRPr="00901285">
        <w:rPr>
          <w:rFonts w:eastAsiaTheme="minorHAnsi" w:cstheme="minorBidi"/>
          <w:b/>
          <w:color w:val="000000" w:themeColor="text1"/>
          <w:szCs w:val="24"/>
          <w:lang w:eastAsia="en-US"/>
        </w:rPr>
        <w:t xml:space="preserve"> Inc., </w:t>
      </w:r>
      <w:proofErr w:type="spellStart"/>
      <w:r w:rsidRPr="00901285">
        <w:rPr>
          <w:rFonts w:eastAsiaTheme="minorHAnsi" w:cstheme="minorBidi"/>
          <w:b/>
          <w:color w:val="000000" w:themeColor="text1"/>
          <w:szCs w:val="24"/>
          <w:lang w:eastAsia="en-US"/>
        </w:rPr>
        <w:t>Bowater</w:t>
      </w:r>
      <w:proofErr w:type="spellEnd"/>
      <w:r w:rsidRPr="00901285">
        <w:rPr>
          <w:rFonts w:eastAsiaTheme="minorHAnsi" w:cstheme="minorBidi"/>
          <w:b/>
          <w:color w:val="000000" w:themeColor="text1"/>
          <w:szCs w:val="24"/>
          <w:lang w:eastAsia="en-US"/>
        </w:rPr>
        <w:t xml:space="preserve"> Canadian Holdings Inc., comité ad hoc des créanciers obligataires, comité ad hoc des porteurs de billets garantis de premier rang et U.S. Bank National Association (fiduciaire désigné par l’acte constitutif pour les porteurs de billets garantis de premier rang)</w:t>
      </w:r>
    </w:p>
    <w:p w:rsidR="00A75D06" w:rsidRPr="00901285" w:rsidRDefault="00A75D06" w:rsidP="00A75D06">
      <w:pPr>
        <w:jc w:val="center"/>
        <w:rPr>
          <w:rFonts w:eastAsiaTheme="minorHAnsi" w:cstheme="minorBidi"/>
          <w:color w:val="000000" w:themeColor="text1"/>
          <w:szCs w:val="24"/>
          <w:lang w:eastAsia="en-US"/>
        </w:rPr>
      </w:pPr>
      <w:r w:rsidRPr="00901285">
        <w:rPr>
          <w:rFonts w:eastAsiaTheme="minorHAnsi" w:cstheme="minorBidi"/>
          <w:color w:val="000000" w:themeColor="text1"/>
          <w:szCs w:val="24"/>
          <w:lang w:eastAsia="en-US"/>
        </w:rPr>
        <w:t>Intimés</w:t>
      </w:r>
    </w:p>
    <w:p w:rsidR="00A75D06" w:rsidRPr="00901285" w:rsidRDefault="00A75D06" w:rsidP="00A75D06">
      <w:pPr>
        <w:jc w:val="center"/>
        <w:rPr>
          <w:rFonts w:eastAsiaTheme="minorHAnsi" w:cstheme="minorBidi"/>
          <w:color w:val="000000" w:themeColor="text1"/>
          <w:szCs w:val="24"/>
          <w:lang w:eastAsia="en-US"/>
        </w:rPr>
      </w:pPr>
      <w:r w:rsidRPr="00901285">
        <w:rPr>
          <w:rFonts w:eastAsiaTheme="minorHAnsi" w:cstheme="minorBidi"/>
          <w:color w:val="000000" w:themeColor="text1"/>
          <w:szCs w:val="24"/>
          <w:lang w:eastAsia="en-US"/>
        </w:rPr>
        <w:t>- et -</w:t>
      </w:r>
    </w:p>
    <w:p w:rsidR="00A75D06" w:rsidRPr="00901285" w:rsidRDefault="00A75D06" w:rsidP="00A75D06">
      <w:pPr>
        <w:jc w:val="center"/>
        <w:rPr>
          <w:rFonts w:eastAsiaTheme="minorHAnsi" w:cstheme="minorBidi"/>
          <w:b/>
          <w:color w:val="000000" w:themeColor="text1"/>
          <w:szCs w:val="24"/>
          <w:lang w:eastAsia="en-US"/>
        </w:rPr>
      </w:pPr>
      <w:r w:rsidRPr="00901285">
        <w:rPr>
          <w:rFonts w:eastAsiaTheme="minorHAnsi" w:cstheme="minorBidi"/>
          <w:b/>
          <w:color w:val="000000" w:themeColor="text1"/>
          <w:szCs w:val="24"/>
          <w:lang w:eastAsia="en-US"/>
        </w:rPr>
        <w:t>Procureur général du Canada, procureur général de l’Ontario, procureur général de la Colombie-Britannique, procureur général de l’Alberta, Sa Majesté la Reine du chef de la Colombie-Britannique, Ernst &amp; Young Inc., en sa qualité de contrôleur, et Ami(e)s de la Terre Canada</w:t>
      </w:r>
    </w:p>
    <w:p w:rsidR="00A75D06" w:rsidRPr="00901285" w:rsidRDefault="00A75D06" w:rsidP="00A75D06">
      <w:pPr>
        <w:jc w:val="center"/>
        <w:rPr>
          <w:rFonts w:eastAsiaTheme="minorHAnsi" w:cstheme="minorBidi"/>
          <w:color w:val="000000" w:themeColor="text1"/>
          <w:szCs w:val="24"/>
          <w:lang w:eastAsia="en-US"/>
        </w:rPr>
      </w:pPr>
      <w:r w:rsidRPr="00901285">
        <w:rPr>
          <w:rFonts w:eastAsiaTheme="minorHAnsi" w:cstheme="minorBidi"/>
          <w:color w:val="000000" w:themeColor="text1"/>
          <w:szCs w:val="24"/>
          <w:lang w:eastAsia="en-US"/>
        </w:rPr>
        <w:t>Intervenants</w:t>
      </w:r>
    </w:p>
    <w:p w:rsidR="00A75D06" w:rsidRPr="00901285" w:rsidRDefault="00A75D06" w:rsidP="00A75D06">
      <w:pPr>
        <w:rPr>
          <w:rFonts w:eastAsiaTheme="minorHAnsi" w:cstheme="minorBidi"/>
          <w:color w:val="000000" w:themeColor="text1"/>
          <w:szCs w:val="24"/>
          <w:lang w:eastAsia="en-US"/>
        </w:rPr>
      </w:pPr>
    </w:p>
    <w:p w:rsidR="00A75D06" w:rsidRPr="00901285" w:rsidRDefault="00A75D06" w:rsidP="00A75D06">
      <w:pPr>
        <w:jc w:val="center"/>
        <w:rPr>
          <w:rFonts w:eastAsiaTheme="minorHAnsi" w:cstheme="minorBidi"/>
          <w:b/>
          <w:smallCaps/>
          <w:color w:val="000000" w:themeColor="text1"/>
          <w:szCs w:val="24"/>
          <w:lang w:eastAsia="en-US"/>
        </w:rPr>
      </w:pPr>
      <w:r w:rsidRPr="00901285">
        <w:rPr>
          <w:rFonts w:eastAsiaTheme="minorHAnsi" w:cstheme="minorBidi"/>
          <w:b/>
          <w:smallCaps/>
          <w:color w:val="000000" w:themeColor="text1"/>
          <w:szCs w:val="24"/>
          <w:lang w:eastAsia="en-US"/>
        </w:rPr>
        <w:t>Traduction française officielle</w:t>
      </w:r>
    </w:p>
    <w:p w:rsidR="00A75D06" w:rsidRPr="00901285" w:rsidRDefault="00A75D06" w:rsidP="00A75D06">
      <w:pPr>
        <w:rPr>
          <w:rFonts w:eastAsiaTheme="minorHAnsi" w:cstheme="minorBidi"/>
          <w:color w:val="000000" w:themeColor="text1"/>
          <w:szCs w:val="24"/>
          <w:lang w:eastAsia="en-US"/>
        </w:rPr>
      </w:pPr>
    </w:p>
    <w:p w:rsidR="00A75D06" w:rsidRPr="00901285" w:rsidRDefault="00A75D06" w:rsidP="00A75D06">
      <w:pPr>
        <w:rPr>
          <w:rFonts w:eastAsiaTheme="minorHAnsi" w:cstheme="minorBidi"/>
          <w:color w:val="000000" w:themeColor="text1"/>
          <w:szCs w:val="24"/>
          <w:lang w:eastAsia="en-US"/>
        </w:rPr>
      </w:pPr>
      <w:r w:rsidRPr="00901285">
        <w:rPr>
          <w:rFonts w:eastAsiaTheme="minorHAnsi" w:cstheme="minorBidi"/>
          <w:b/>
          <w:smallCaps/>
          <w:color w:val="000000" w:themeColor="text1"/>
          <w:szCs w:val="24"/>
          <w:lang w:eastAsia="en-US"/>
        </w:rPr>
        <w:t>Coram :</w:t>
      </w:r>
      <w:r w:rsidRPr="00901285">
        <w:rPr>
          <w:rFonts w:eastAsiaTheme="minorHAnsi" w:cstheme="minorBidi"/>
          <w:color w:val="000000" w:themeColor="text1"/>
          <w:szCs w:val="24"/>
          <w:lang w:eastAsia="en-US"/>
        </w:rPr>
        <w:t xml:space="preserve"> La juge en chef </w:t>
      </w:r>
      <w:proofErr w:type="spellStart"/>
      <w:r w:rsidRPr="00901285">
        <w:rPr>
          <w:rFonts w:eastAsiaTheme="minorHAnsi" w:cstheme="minorBidi"/>
          <w:color w:val="000000" w:themeColor="text1"/>
          <w:szCs w:val="24"/>
          <w:lang w:eastAsia="en-US"/>
        </w:rPr>
        <w:t>McLachlin</w:t>
      </w:r>
      <w:proofErr w:type="spellEnd"/>
      <w:r w:rsidRPr="00901285">
        <w:rPr>
          <w:rFonts w:eastAsiaTheme="minorHAnsi" w:cstheme="minorBidi"/>
          <w:color w:val="000000" w:themeColor="text1"/>
          <w:szCs w:val="24"/>
          <w:lang w:eastAsia="en-US"/>
        </w:rPr>
        <w:t xml:space="preserve"> et les juges </w:t>
      </w:r>
      <w:proofErr w:type="spellStart"/>
      <w:r w:rsidRPr="00901285">
        <w:rPr>
          <w:rFonts w:eastAsiaTheme="minorHAnsi" w:cstheme="minorBidi"/>
          <w:color w:val="000000" w:themeColor="text1"/>
          <w:szCs w:val="24"/>
          <w:lang w:eastAsia="en-US"/>
        </w:rPr>
        <w:t>LeBel</w:t>
      </w:r>
      <w:proofErr w:type="spellEnd"/>
      <w:r w:rsidRPr="00901285">
        <w:rPr>
          <w:rFonts w:eastAsiaTheme="minorHAnsi" w:cstheme="minorBidi"/>
          <w:color w:val="000000" w:themeColor="text1"/>
          <w:szCs w:val="24"/>
          <w:lang w:eastAsia="en-US"/>
        </w:rPr>
        <w:t xml:space="preserve">, Deschamps, Fish, Abella, </w:t>
      </w:r>
      <w:proofErr w:type="spellStart"/>
      <w:r w:rsidRPr="00901285">
        <w:rPr>
          <w:rFonts w:eastAsiaTheme="minorHAnsi" w:cstheme="minorBidi"/>
          <w:color w:val="000000" w:themeColor="text1"/>
          <w:szCs w:val="24"/>
          <w:lang w:eastAsia="en-US"/>
        </w:rPr>
        <w:t>Rothstein</w:t>
      </w:r>
      <w:proofErr w:type="spellEnd"/>
      <w:r w:rsidRPr="00901285">
        <w:rPr>
          <w:rFonts w:eastAsiaTheme="minorHAnsi" w:cstheme="minorBidi"/>
          <w:color w:val="000000" w:themeColor="text1"/>
          <w:szCs w:val="24"/>
          <w:lang w:eastAsia="en-US"/>
        </w:rPr>
        <w:t xml:space="preserve">, Cromwell, </w:t>
      </w:r>
      <w:proofErr w:type="spellStart"/>
      <w:r w:rsidRPr="00901285">
        <w:rPr>
          <w:rFonts w:eastAsiaTheme="minorHAnsi" w:cstheme="minorBidi"/>
          <w:color w:val="000000" w:themeColor="text1"/>
          <w:szCs w:val="24"/>
          <w:lang w:eastAsia="en-US"/>
        </w:rPr>
        <w:t>Moldaver</w:t>
      </w:r>
      <w:proofErr w:type="spellEnd"/>
      <w:r w:rsidRPr="00901285">
        <w:rPr>
          <w:rFonts w:eastAsiaTheme="minorHAnsi" w:cstheme="minorBidi"/>
          <w:color w:val="000000" w:themeColor="text1"/>
          <w:szCs w:val="24"/>
          <w:lang w:eastAsia="en-US"/>
        </w:rPr>
        <w:t xml:space="preserve"> et </w:t>
      </w:r>
      <w:proofErr w:type="spellStart"/>
      <w:r w:rsidRPr="00901285">
        <w:rPr>
          <w:rFonts w:eastAsiaTheme="minorHAnsi" w:cstheme="minorBidi"/>
          <w:color w:val="000000" w:themeColor="text1"/>
          <w:szCs w:val="24"/>
          <w:lang w:eastAsia="en-US"/>
        </w:rPr>
        <w:t>Karakatsanis</w:t>
      </w:r>
      <w:proofErr w:type="spellEnd"/>
    </w:p>
    <w:p w:rsidR="00A75D06" w:rsidRPr="00901285" w:rsidRDefault="00A75D06" w:rsidP="00A75D06">
      <w:pPr>
        <w:rPr>
          <w:rFonts w:eastAsiaTheme="minorHAnsi" w:cstheme="minorBidi"/>
          <w:color w:val="000000" w:themeColor="text1"/>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75D06" w:rsidRPr="00901285" w:rsidTr="004B1F24">
        <w:trPr>
          <w:cantSplit/>
        </w:trPr>
        <w:tc>
          <w:tcPr>
            <w:tcW w:w="3618" w:type="dxa"/>
          </w:tcPr>
          <w:p w:rsidR="00A75D06" w:rsidRPr="00901285" w:rsidRDefault="00A75D06" w:rsidP="004B1F24">
            <w:pPr>
              <w:rPr>
                <w:b/>
                <w:smallCaps/>
                <w:color w:val="000000" w:themeColor="text1"/>
              </w:rPr>
            </w:pPr>
            <w:r w:rsidRPr="00901285">
              <w:rPr>
                <w:b/>
                <w:smallCaps/>
                <w:color w:val="000000" w:themeColor="text1"/>
              </w:rPr>
              <w:t>Motifs de jugement :</w:t>
            </w:r>
          </w:p>
          <w:p w:rsidR="00A75D06" w:rsidRPr="00901285" w:rsidRDefault="00A75D06" w:rsidP="004B1F24">
            <w:pPr>
              <w:rPr>
                <w:color w:val="000000" w:themeColor="text1"/>
              </w:rPr>
            </w:pPr>
            <w:r w:rsidRPr="00901285">
              <w:rPr>
                <w:color w:val="000000" w:themeColor="text1"/>
              </w:rPr>
              <w:t>(par. 1 à 63)</w:t>
            </w:r>
          </w:p>
          <w:p w:rsidR="00A75D06" w:rsidRPr="00901285" w:rsidRDefault="00A75D06" w:rsidP="004B1F24">
            <w:pPr>
              <w:rPr>
                <w:color w:val="000000" w:themeColor="text1"/>
              </w:rPr>
            </w:pPr>
          </w:p>
          <w:p w:rsidR="00A75D06" w:rsidRPr="00901285" w:rsidRDefault="00A75D06" w:rsidP="004B1F24">
            <w:pPr>
              <w:rPr>
                <w:b/>
                <w:smallCaps/>
                <w:color w:val="000000" w:themeColor="text1"/>
              </w:rPr>
            </w:pPr>
            <w:r w:rsidRPr="00901285">
              <w:rPr>
                <w:b/>
                <w:smallCaps/>
                <w:color w:val="000000" w:themeColor="text1"/>
              </w:rPr>
              <w:t>Motifs dissidents :</w:t>
            </w:r>
          </w:p>
          <w:p w:rsidR="00A75D06" w:rsidRPr="00901285" w:rsidRDefault="00A75D06" w:rsidP="004B1F24">
            <w:pPr>
              <w:rPr>
                <w:color w:val="000000" w:themeColor="text1"/>
              </w:rPr>
            </w:pPr>
            <w:r w:rsidRPr="00901285">
              <w:rPr>
                <w:color w:val="000000" w:themeColor="text1"/>
              </w:rPr>
              <w:t>(par. 64 à 97)</w:t>
            </w:r>
          </w:p>
          <w:p w:rsidR="00A75D06" w:rsidRPr="00901285" w:rsidRDefault="00A75D06" w:rsidP="004B1F24">
            <w:pPr>
              <w:rPr>
                <w:color w:val="000000" w:themeColor="text1"/>
              </w:rPr>
            </w:pPr>
          </w:p>
          <w:p w:rsidR="00A75D06" w:rsidRPr="00901285" w:rsidRDefault="00A75D06" w:rsidP="004B1F24">
            <w:pPr>
              <w:rPr>
                <w:b/>
                <w:smallCaps/>
                <w:color w:val="000000" w:themeColor="text1"/>
              </w:rPr>
            </w:pPr>
            <w:r w:rsidRPr="00901285">
              <w:rPr>
                <w:b/>
                <w:smallCaps/>
                <w:color w:val="000000" w:themeColor="text1"/>
              </w:rPr>
              <w:t>Motifs dissidents :</w:t>
            </w:r>
          </w:p>
          <w:p w:rsidR="00A75D06" w:rsidRPr="00901285" w:rsidRDefault="00A75D06" w:rsidP="004B1F24">
            <w:pPr>
              <w:rPr>
                <w:color w:val="000000" w:themeColor="text1"/>
              </w:rPr>
            </w:pPr>
            <w:r w:rsidRPr="00901285">
              <w:rPr>
                <w:color w:val="000000" w:themeColor="text1"/>
              </w:rPr>
              <w:t>(par. 98 à 102)</w:t>
            </w:r>
          </w:p>
        </w:tc>
        <w:tc>
          <w:tcPr>
            <w:tcW w:w="5958" w:type="dxa"/>
          </w:tcPr>
          <w:p w:rsidR="00A75D06" w:rsidRPr="00901285" w:rsidRDefault="00A75D06" w:rsidP="004B1F24">
            <w:pPr>
              <w:rPr>
                <w:color w:val="000000" w:themeColor="text1"/>
              </w:rPr>
            </w:pPr>
            <w:r w:rsidRPr="00901285">
              <w:rPr>
                <w:color w:val="000000" w:themeColor="text1"/>
              </w:rPr>
              <w:t xml:space="preserve">La juge Deschamps (avec l’accord des juges Fish, Abella, </w:t>
            </w:r>
            <w:proofErr w:type="spellStart"/>
            <w:r w:rsidRPr="00901285">
              <w:rPr>
                <w:color w:val="000000" w:themeColor="text1"/>
              </w:rPr>
              <w:t>Rothstein</w:t>
            </w:r>
            <w:proofErr w:type="spellEnd"/>
            <w:r w:rsidRPr="00901285">
              <w:rPr>
                <w:color w:val="000000" w:themeColor="text1"/>
              </w:rPr>
              <w:t xml:space="preserve">, Cromwell, </w:t>
            </w:r>
            <w:proofErr w:type="spellStart"/>
            <w:r w:rsidRPr="00901285">
              <w:rPr>
                <w:color w:val="000000" w:themeColor="text1"/>
              </w:rPr>
              <w:t>Moldaver</w:t>
            </w:r>
            <w:proofErr w:type="spellEnd"/>
            <w:r w:rsidRPr="00901285">
              <w:rPr>
                <w:color w:val="000000" w:themeColor="text1"/>
              </w:rPr>
              <w:t xml:space="preserve"> et </w:t>
            </w:r>
            <w:proofErr w:type="spellStart"/>
            <w:r w:rsidRPr="00901285">
              <w:rPr>
                <w:color w:val="000000" w:themeColor="text1"/>
              </w:rPr>
              <w:t>Karakatsanis</w:t>
            </w:r>
            <w:proofErr w:type="spellEnd"/>
            <w:r w:rsidRPr="00901285">
              <w:rPr>
                <w:color w:val="000000" w:themeColor="text1"/>
              </w:rPr>
              <w:t>)</w:t>
            </w:r>
          </w:p>
          <w:p w:rsidR="00A75D06" w:rsidRPr="00901285" w:rsidRDefault="00A75D06" w:rsidP="004B1F24">
            <w:pPr>
              <w:rPr>
                <w:color w:val="000000" w:themeColor="text1"/>
              </w:rPr>
            </w:pPr>
          </w:p>
          <w:p w:rsidR="00A75D06" w:rsidRPr="00901285" w:rsidRDefault="00A75D06" w:rsidP="004B1F24">
            <w:pPr>
              <w:rPr>
                <w:color w:val="000000" w:themeColor="text1"/>
              </w:rPr>
            </w:pPr>
            <w:r w:rsidRPr="00901285">
              <w:rPr>
                <w:color w:val="000000" w:themeColor="text1"/>
              </w:rPr>
              <w:t xml:space="preserve">La juge en chef </w:t>
            </w:r>
            <w:proofErr w:type="spellStart"/>
            <w:r w:rsidRPr="00901285">
              <w:rPr>
                <w:color w:val="000000" w:themeColor="text1"/>
              </w:rPr>
              <w:t>McLachlin</w:t>
            </w:r>
            <w:proofErr w:type="spellEnd"/>
          </w:p>
          <w:p w:rsidR="00A75D06" w:rsidRPr="00901285" w:rsidRDefault="00A75D06" w:rsidP="004B1F24">
            <w:pPr>
              <w:rPr>
                <w:color w:val="000000" w:themeColor="text1"/>
              </w:rPr>
            </w:pPr>
          </w:p>
          <w:p w:rsidR="00A75D06" w:rsidRPr="00901285" w:rsidRDefault="00A75D06" w:rsidP="004B1F24">
            <w:pPr>
              <w:rPr>
                <w:color w:val="000000" w:themeColor="text1"/>
              </w:rPr>
            </w:pPr>
          </w:p>
          <w:p w:rsidR="00A75D06" w:rsidRPr="00901285" w:rsidRDefault="00A75D06" w:rsidP="004B1F24">
            <w:pPr>
              <w:rPr>
                <w:color w:val="000000" w:themeColor="text1"/>
              </w:rPr>
            </w:pPr>
            <w:r w:rsidRPr="00901285">
              <w:rPr>
                <w:color w:val="000000" w:themeColor="text1"/>
              </w:rPr>
              <w:t xml:space="preserve">Le juge </w:t>
            </w:r>
            <w:proofErr w:type="spellStart"/>
            <w:r w:rsidRPr="00901285">
              <w:rPr>
                <w:color w:val="000000" w:themeColor="text1"/>
              </w:rPr>
              <w:t>LeBel</w:t>
            </w:r>
            <w:proofErr w:type="spellEnd"/>
          </w:p>
        </w:tc>
      </w:tr>
    </w:tbl>
    <w:p w:rsidR="00A75D06" w:rsidRPr="00901285" w:rsidRDefault="00A75D06" w:rsidP="00A75D06">
      <w:pPr>
        <w:rPr>
          <w:rFonts w:eastAsiaTheme="minorHAnsi" w:cstheme="minorBidi"/>
          <w:color w:val="000000" w:themeColor="text1"/>
          <w:szCs w:val="24"/>
          <w:lang w:eastAsia="en-US"/>
        </w:rPr>
      </w:pPr>
    </w:p>
    <w:p w:rsidR="00A75D06" w:rsidRPr="00901285" w:rsidRDefault="00A75D06" w:rsidP="00A75D06">
      <w:pPr>
        <w:rPr>
          <w:rFonts w:eastAsiaTheme="minorHAnsi" w:cstheme="minorBidi"/>
          <w:color w:val="000000" w:themeColor="text1"/>
          <w:szCs w:val="24"/>
          <w:lang w:eastAsia="en-US"/>
        </w:rPr>
      </w:pPr>
    </w:p>
    <w:p w:rsidR="00A75D06" w:rsidRPr="00901285" w:rsidRDefault="00A75D06" w:rsidP="00A75D06">
      <w:pPr>
        <w:rPr>
          <w:rFonts w:eastAsiaTheme="minorHAnsi" w:cstheme="minorBidi"/>
          <w:color w:val="000000" w:themeColor="text1"/>
          <w:szCs w:val="24"/>
          <w:lang w:eastAsia="en-US"/>
        </w:rPr>
      </w:pPr>
    </w:p>
    <w:p w:rsidR="00A75D06" w:rsidRPr="00901285" w:rsidRDefault="00A75D06" w:rsidP="00A75D06">
      <w:pPr>
        <w:rPr>
          <w:rFonts w:eastAsiaTheme="minorHAnsi" w:cstheme="minorBidi"/>
          <w:color w:val="000000" w:themeColor="text1"/>
          <w:szCs w:val="24"/>
          <w:lang w:eastAsia="en-US"/>
        </w:rPr>
      </w:pPr>
      <w:r>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75D06" w:rsidRPr="00901285" w:rsidRDefault="00A75D06" w:rsidP="00A75D06">
      <w:pPr>
        <w:rPr>
          <w:smallCaps/>
          <w:color w:val="000000" w:themeColor="text1"/>
        </w:rPr>
      </w:pPr>
      <w:r w:rsidRPr="00901285">
        <w:rPr>
          <w:smallCaps/>
          <w:color w:val="000000" w:themeColor="text1"/>
        </w:rPr>
        <w:br w:type="page"/>
      </w:r>
    </w:p>
    <w:p w:rsidR="00DF3E53" w:rsidRPr="00DF3E53" w:rsidRDefault="00DF3E53" w:rsidP="00DF3E53">
      <w:pPr>
        <w:widowControl w:val="0"/>
        <w:spacing w:after="720"/>
        <w:contextualSpacing/>
        <w:jc w:val="both"/>
      </w:pPr>
      <w:r w:rsidRPr="00DF3E53">
        <w:lastRenderedPageBreak/>
        <w:t xml:space="preserve">Terre-Neuve-et-Labrador </w:t>
      </w:r>
      <w:r w:rsidRPr="00DF3E53">
        <w:rPr>
          <w:i/>
        </w:rPr>
        <w:t>c.</w:t>
      </w:r>
      <w:r w:rsidRPr="00DF3E53">
        <w:t xml:space="preserve"> </w:t>
      </w:r>
      <w:proofErr w:type="spellStart"/>
      <w:r w:rsidRPr="00DF3E53">
        <w:t>AbitibiBowater</w:t>
      </w:r>
      <w:proofErr w:type="spellEnd"/>
      <w:r w:rsidRPr="00DF3E53">
        <w:t xml:space="preserve"> Inc., 2012 CSC 67, [2012] 3 R.C.S. 443</w:t>
      </w:r>
    </w:p>
    <w:p w:rsidR="009B0B0F" w:rsidRPr="007450AF" w:rsidRDefault="00FE00F7" w:rsidP="00DF3E53">
      <w:pPr>
        <w:pStyle w:val="SCCLsocParty"/>
      </w:pPr>
      <w:r w:rsidRPr="007450AF">
        <w:t xml:space="preserve">Sa Majesté la Reine du chef de la province de </w:t>
      </w:r>
    </w:p>
    <w:p w:rsidR="00D07343" w:rsidRPr="007450AF" w:rsidRDefault="00FE00F7" w:rsidP="00D07343">
      <w:pPr>
        <w:pStyle w:val="SCCLsocParty"/>
        <w:widowControl w:val="0"/>
        <w:tabs>
          <w:tab w:val="right" w:pos="8280"/>
        </w:tabs>
        <w:spacing w:after="720"/>
        <w:contextualSpacing/>
        <w:rPr>
          <w:b w:val="0"/>
          <w:i/>
        </w:rPr>
      </w:pPr>
      <w:proofErr w:type="spellStart"/>
      <w:r w:rsidRPr="007450AF">
        <w:t>Terre</w:t>
      </w:r>
      <w:r w:rsidR="00A76B3C" w:rsidRPr="007450AF">
        <w:noBreakHyphen/>
      </w:r>
      <w:r w:rsidRPr="007450AF">
        <w:t>Neuve</w:t>
      </w:r>
      <w:r w:rsidR="00A76B3C" w:rsidRPr="007450AF">
        <w:noBreakHyphen/>
      </w:r>
      <w:r w:rsidRPr="007450AF">
        <w:t>et</w:t>
      </w:r>
      <w:r w:rsidR="00A76B3C" w:rsidRPr="007450AF">
        <w:noBreakHyphen/>
      </w:r>
      <w:r w:rsidRPr="007450AF">
        <w:t>Labrador</w:t>
      </w:r>
      <w:proofErr w:type="spellEnd"/>
      <w:r w:rsidR="009B0B0F" w:rsidRPr="007450AF">
        <w:tab/>
      </w:r>
      <w:r w:rsidRPr="007450AF">
        <w:rPr>
          <w:b w:val="0"/>
          <w:i/>
        </w:rPr>
        <w:t>Appelante</w:t>
      </w:r>
    </w:p>
    <w:p w:rsidR="00D07343" w:rsidRPr="007450AF" w:rsidRDefault="00FE00F7" w:rsidP="00D07343">
      <w:pPr>
        <w:pStyle w:val="SCCLsocVersus"/>
        <w:widowControl w:val="0"/>
        <w:tabs>
          <w:tab w:val="right" w:pos="8280"/>
        </w:tabs>
        <w:spacing w:after="720"/>
        <w:contextualSpacing/>
      </w:pPr>
      <w:proofErr w:type="gramStart"/>
      <w:r w:rsidRPr="007450AF">
        <w:t>c</w:t>
      </w:r>
      <w:proofErr w:type="gramEnd"/>
      <w:r w:rsidRPr="007450AF">
        <w:t>.</w:t>
      </w:r>
    </w:p>
    <w:p w:rsidR="009B0B0F" w:rsidRPr="00A07D6F" w:rsidRDefault="00FE00F7">
      <w:pPr>
        <w:pStyle w:val="SCCLsocParty"/>
      </w:pPr>
      <w:proofErr w:type="spellStart"/>
      <w:r w:rsidRPr="00A07D6F">
        <w:t>Abitibi</w:t>
      </w:r>
      <w:r w:rsidR="00B9203A" w:rsidRPr="00A07D6F">
        <w:t>B</w:t>
      </w:r>
      <w:r w:rsidRPr="00A07D6F">
        <w:t>owater</w:t>
      </w:r>
      <w:proofErr w:type="spellEnd"/>
      <w:r w:rsidRPr="00A07D6F">
        <w:t xml:space="preserve"> Inc., </w:t>
      </w:r>
      <w:proofErr w:type="spellStart"/>
      <w:r w:rsidRPr="00A07D6F">
        <w:t>Abitibi</w:t>
      </w:r>
      <w:r w:rsidR="00A76B3C" w:rsidRPr="00A07D6F">
        <w:noBreakHyphen/>
      </w:r>
      <w:r w:rsidRPr="00A07D6F">
        <w:t>Consolidated</w:t>
      </w:r>
      <w:proofErr w:type="spellEnd"/>
      <w:r w:rsidRPr="00A07D6F">
        <w:t xml:space="preserve"> Inc., </w:t>
      </w:r>
    </w:p>
    <w:p w:rsidR="009B0B0F" w:rsidRPr="007450AF" w:rsidRDefault="00FE00F7">
      <w:pPr>
        <w:pStyle w:val="SCCLsocParty"/>
        <w:rPr>
          <w:lang w:val="en-US"/>
        </w:rPr>
      </w:pPr>
      <w:r w:rsidRPr="007450AF">
        <w:rPr>
          <w:lang w:val="en-US"/>
        </w:rPr>
        <w:t xml:space="preserve">Bowater Canadian Holdings Inc., </w:t>
      </w:r>
      <w:proofErr w:type="spellStart"/>
      <w:r w:rsidRPr="007450AF">
        <w:rPr>
          <w:lang w:val="en-US"/>
        </w:rPr>
        <w:t>comité</w:t>
      </w:r>
      <w:proofErr w:type="spellEnd"/>
      <w:r w:rsidRPr="007450AF">
        <w:rPr>
          <w:lang w:val="en-US"/>
        </w:rPr>
        <w:t xml:space="preserve"> ad hoc des </w:t>
      </w:r>
    </w:p>
    <w:p w:rsidR="009B0B0F" w:rsidRPr="007450AF" w:rsidRDefault="00FE00F7">
      <w:pPr>
        <w:pStyle w:val="SCCLsocParty"/>
      </w:pPr>
      <w:proofErr w:type="gramStart"/>
      <w:r w:rsidRPr="007450AF">
        <w:t>créanciers</w:t>
      </w:r>
      <w:proofErr w:type="gramEnd"/>
      <w:r w:rsidRPr="007450AF">
        <w:t xml:space="preserve"> obligataires, comité ad hoc des porteurs de </w:t>
      </w:r>
    </w:p>
    <w:p w:rsidR="009B0B0F" w:rsidRPr="007450AF" w:rsidRDefault="00FE00F7">
      <w:pPr>
        <w:pStyle w:val="SCCLsocParty"/>
      </w:pPr>
      <w:proofErr w:type="gramStart"/>
      <w:r w:rsidRPr="007450AF">
        <w:t>billets</w:t>
      </w:r>
      <w:proofErr w:type="gramEnd"/>
      <w:r w:rsidRPr="007450AF">
        <w:t xml:space="preserve"> garantis de premier rang et U.S. Bank National </w:t>
      </w:r>
    </w:p>
    <w:p w:rsidR="006B5E6F" w:rsidRPr="007450AF" w:rsidRDefault="00FE00F7">
      <w:pPr>
        <w:pStyle w:val="SCCLsocParty"/>
      </w:pPr>
      <w:r w:rsidRPr="007450AF">
        <w:t>Association (fiduciaire désigné par l</w:t>
      </w:r>
      <w:r w:rsidR="00C4595B" w:rsidRPr="007450AF">
        <w:t>’</w:t>
      </w:r>
      <w:r w:rsidRPr="007450AF">
        <w:t xml:space="preserve">acte constitutif </w:t>
      </w:r>
    </w:p>
    <w:p w:rsidR="00D07343" w:rsidRPr="007450AF" w:rsidRDefault="00FE00F7" w:rsidP="00D07343">
      <w:pPr>
        <w:pStyle w:val="SCCLsocParty"/>
        <w:widowControl w:val="0"/>
        <w:tabs>
          <w:tab w:val="right" w:pos="8280"/>
        </w:tabs>
        <w:spacing w:after="720"/>
        <w:contextualSpacing/>
        <w:rPr>
          <w:b w:val="0"/>
          <w:i/>
        </w:rPr>
      </w:pPr>
      <w:proofErr w:type="gramStart"/>
      <w:r w:rsidRPr="007450AF">
        <w:t>pour</w:t>
      </w:r>
      <w:proofErr w:type="gramEnd"/>
      <w:r w:rsidRPr="007450AF">
        <w:t xml:space="preserve"> les porteurs de billets garantis de premier rang)</w:t>
      </w:r>
      <w:r w:rsidR="009B0B0F" w:rsidRPr="007450AF">
        <w:tab/>
      </w:r>
      <w:r w:rsidRPr="007450AF">
        <w:rPr>
          <w:b w:val="0"/>
          <w:i/>
        </w:rPr>
        <w:t>Intimés</w:t>
      </w:r>
    </w:p>
    <w:p w:rsidR="00D07343" w:rsidRPr="007450AF" w:rsidRDefault="009B0B0F" w:rsidP="00D07343">
      <w:pPr>
        <w:pStyle w:val="SCCLsocOtherPartySeparator"/>
        <w:widowControl w:val="0"/>
        <w:spacing w:after="720"/>
        <w:contextualSpacing/>
      </w:pPr>
      <w:proofErr w:type="gramStart"/>
      <w:r w:rsidRPr="007450AF">
        <w:t>et</w:t>
      </w:r>
      <w:proofErr w:type="gramEnd"/>
    </w:p>
    <w:p w:rsidR="009B0B0F" w:rsidRPr="007450AF" w:rsidRDefault="00FE00F7">
      <w:pPr>
        <w:pStyle w:val="SCCLsocParty"/>
      </w:pPr>
      <w:r w:rsidRPr="007450AF">
        <w:t xml:space="preserve">Procureur général du Canada, </w:t>
      </w:r>
      <w:r w:rsidR="007E04C0" w:rsidRPr="007450AF">
        <w:t xml:space="preserve">procureur général de </w:t>
      </w:r>
    </w:p>
    <w:p w:rsidR="004C5859" w:rsidRPr="007450AF" w:rsidRDefault="007E04C0">
      <w:pPr>
        <w:pStyle w:val="SCCLsocParty"/>
      </w:pPr>
      <w:proofErr w:type="gramStart"/>
      <w:r w:rsidRPr="007450AF">
        <w:t>l</w:t>
      </w:r>
      <w:r w:rsidR="00C4595B" w:rsidRPr="007450AF">
        <w:t>’</w:t>
      </w:r>
      <w:r w:rsidR="00FE00F7" w:rsidRPr="007450AF">
        <w:t>Ontario</w:t>
      </w:r>
      <w:proofErr w:type="gramEnd"/>
      <w:r w:rsidR="00FE00F7" w:rsidRPr="007450AF">
        <w:t xml:space="preserve">, </w:t>
      </w:r>
      <w:r w:rsidRPr="007450AF">
        <w:t>p</w:t>
      </w:r>
      <w:r w:rsidR="00FE00F7" w:rsidRPr="007450AF">
        <w:t xml:space="preserve">rocureur général de la </w:t>
      </w:r>
      <w:proofErr w:type="spellStart"/>
      <w:r w:rsidR="00FE00F7" w:rsidRPr="007450AF">
        <w:t>Colombie</w:t>
      </w:r>
      <w:r w:rsidR="00A76B3C" w:rsidRPr="007450AF">
        <w:noBreakHyphen/>
      </w:r>
      <w:r w:rsidR="00FE00F7" w:rsidRPr="007450AF">
        <w:t>Britannique</w:t>
      </w:r>
      <w:proofErr w:type="spellEnd"/>
      <w:r w:rsidR="00FE00F7" w:rsidRPr="007450AF">
        <w:t xml:space="preserve">, </w:t>
      </w:r>
    </w:p>
    <w:p w:rsidR="009B0B0F" w:rsidRPr="007450AF" w:rsidRDefault="007E04C0">
      <w:pPr>
        <w:pStyle w:val="SCCLsocParty"/>
      </w:pPr>
      <w:proofErr w:type="gramStart"/>
      <w:r w:rsidRPr="007450AF">
        <w:t>procureur</w:t>
      </w:r>
      <w:proofErr w:type="gramEnd"/>
      <w:r w:rsidRPr="007450AF">
        <w:t xml:space="preserve"> général de l</w:t>
      </w:r>
      <w:r w:rsidR="00C4595B" w:rsidRPr="007450AF">
        <w:t>’</w:t>
      </w:r>
      <w:r w:rsidR="00FE00F7" w:rsidRPr="007450AF">
        <w:t xml:space="preserve">Alberta, </w:t>
      </w:r>
      <w:r w:rsidR="009B0B0F" w:rsidRPr="007450AF">
        <w:t xml:space="preserve">Sa Majesté la Reine du </w:t>
      </w:r>
    </w:p>
    <w:p w:rsidR="009B0B0F" w:rsidRPr="007450AF" w:rsidRDefault="009B0B0F">
      <w:pPr>
        <w:pStyle w:val="SCCLsocParty"/>
      </w:pPr>
      <w:proofErr w:type="gramStart"/>
      <w:r w:rsidRPr="007450AF">
        <w:t>chef</w:t>
      </w:r>
      <w:proofErr w:type="gramEnd"/>
      <w:r w:rsidRPr="007450AF">
        <w:t xml:space="preserve"> de la </w:t>
      </w:r>
      <w:proofErr w:type="spellStart"/>
      <w:r w:rsidRPr="007450AF">
        <w:t>Colombie</w:t>
      </w:r>
      <w:r w:rsidR="00A76B3C" w:rsidRPr="007450AF">
        <w:noBreakHyphen/>
      </w:r>
      <w:r w:rsidRPr="007450AF">
        <w:t>Britannique</w:t>
      </w:r>
      <w:proofErr w:type="spellEnd"/>
      <w:r w:rsidRPr="007450AF">
        <w:t xml:space="preserve">, </w:t>
      </w:r>
      <w:r w:rsidR="00FE00F7" w:rsidRPr="007450AF">
        <w:t xml:space="preserve">Ernst &amp; Young Inc., </w:t>
      </w:r>
    </w:p>
    <w:p w:rsidR="004C5859" w:rsidRPr="007450AF" w:rsidRDefault="00FE00F7" w:rsidP="00D07343">
      <w:pPr>
        <w:pStyle w:val="SCCLsocParty"/>
        <w:widowControl w:val="0"/>
        <w:tabs>
          <w:tab w:val="right" w:pos="8280"/>
        </w:tabs>
        <w:spacing w:after="720"/>
        <w:contextualSpacing/>
      </w:pPr>
      <w:proofErr w:type="gramStart"/>
      <w:r w:rsidRPr="007450AF">
        <w:t>en</w:t>
      </w:r>
      <w:proofErr w:type="gramEnd"/>
      <w:r w:rsidRPr="007450AF">
        <w:t xml:space="preserve"> sa qualité de contrôleur</w:t>
      </w:r>
      <w:r w:rsidR="00E05B0A" w:rsidRPr="007450AF">
        <w:t>,</w:t>
      </w:r>
      <w:r w:rsidR="009B0B0F" w:rsidRPr="007450AF">
        <w:t xml:space="preserve"> et </w:t>
      </w:r>
      <w:r w:rsidR="004335B4" w:rsidRPr="007450AF">
        <w:t xml:space="preserve">Les </w:t>
      </w:r>
      <w:r w:rsidRPr="007450AF">
        <w:t>Ami(e)s de la Terre Canada</w:t>
      </w:r>
      <w:r w:rsidR="008D124D" w:rsidRPr="007450AF">
        <w:tab/>
      </w:r>
      <w:r w:rsidRPr="007450AF">
        <w:rPr>
          <w:b w:val="0"/>
          <w:i/>
        </w:rPr>
        <w:t>Intervenants</w:t>
      </w:r>
    </w:p>
    <w:p w:rsidR="00426659" w:rsidRPr="007450AF" w:rsidRDefault="0043088E" w:rsidP="00D07343">
      <w:pPr>
        <w:widowControl w:val="0"/>
        <w:spacing w:after="720"/>
        <w:contextualSpacing/>
        <w:jc w:val="both"/>
        <w:rPr>
          <w:b/>
        </w:rPr>
      </w:pPr>
      <w:r w:rsidRPr="007450AF">
        <w:rPr>
          <w:b/>
        </w:rPr>
        <w:t>Répertorié</w:t>
      </w:r>
      <w:r w:rsidR="00A76B3C" w:rsidRPr="007450AF">
        <w:rPr>
          <w:b/>
        </w:rPr>
        <w:t> :</w:t>
      </w:r>
      <w:r w:rsidR="00C67CA5" w:rsidRPr="007450AF">
        <w:rPr>
          <w:b/>
        </w:rPr>
        <w:t> </w:t>
      </w:r>
      <w:proofErr w:type="spellStart"/>
      <w:r w:rsidR="00B9203A" w:rsidRPr="007450AF">
        <w:rPr>
          <w:b/>
        </w:rPr>
        <w:t>Terre</w:t>
      </w:r>
      <w:r w:rsidR="00A76B3C" w:rsidRPr="007450AF">
        <w:rPr>
          <w:b/>
        </w:rPr>
        <w:noBreakHyphen/>
      </w:r>
      <w:r w:rsidR="00B9203A" w:rsidRPr="007450AF">
        <w:rPr>
          <w:b/>
        </w:rPr>
        <w:t>Neuve</w:t>
      </w:r>
      <w:r w:rsidR="00A76B3C" w:rsidRPr="007450AF">
        <w:rPr>
          <w:b/>
        </w:rPr>
        <w:noBreakHyphen/>
      </w:r>
      <w:r w:rsidR="00B9203A" w:rsidRPr="007450AF">
        <w:rPr>
          <w:b/>
        </w:rPr>
        <w:t>et</w:t>
      </w:r>
      <w:r w:rsidR="00A76B3C" w:rsidRPr="007450AF">
        <w:rPr>
          <w:b/>
        </w:rPr>
        <w:noBreakHyphen/>
      </w:r>
      <w:r w:rsidR="00B9203A" w:rsidRPr="007450AF">
        <w:rPr>
          <w:b/>
        </w:rPr>
        <w:t>Labrador</w:t>
      </w:r>
      <w:proofErr w:type="spellEnd"/>
      <w:r w:rsidR="00B9203A" w:rsidRPr="007450AF">
        <w:rPr>
          <w:b/>
        </w:rPr>
        <w:t xml:space="preserve"> </w:t>
      </w:r>
      <w:r w:rsidR="00B9203A" w:rsidRPr="007450AF">
        <w:rPr>
          <w:b/>
          <w:i/>
        </w:rPr>
        <w:t>c.</w:t>
      </w:r>
      <w:r w:rsidR="00B9203A" w:rsidRPr="007450AF">
        <w:rPr>
          <w:b/>
        </w:rPr>
        <w:t xml:space="preserve"> </w:t>
      </w:r>
      <w:proofErr w:type="spellStart"/>
      <w:r w:rsidR="00B9203A" w:rsidRPr="007450AF">
        <w:rPr>
          <w:b/>
        </w:rPr>
        <w:t>AbitibiBowater</w:t>
      </w:r>
      <w:proofErr w:type="spellEnd"/>
      <w:r w:rsidR="00B9203A" w:rsidRPr="007450AF">
        <w:rPr>
          <w:b/>
        </w:rPr>
        <w:t xml:space="preserve"> Inc.</w:t>
      </w:r>
    </w:p>
    <w:p w:rsidR="00426659" w:rsidRPr="007450AF" w:rsidRDefault="00C0663B" w:rsidP="00D07343">
      <w:pPr>
        <w:pStyle w:val="SCCSystemYear"/>
        <w:widowControl w:val="0"/>
        <w:spacing w:after="720"/>
        <w:contextualSpacing/>
        <w:jc w:val="both"/>
      </w:pPr>
      <w:r w:rsidRPr="007450AF">
        <w:t>2012</w:t>
      </w:r>
      <w:r w:rsidR="00EE0FAF" w:rsidRPr="007450AF">
        <w:t xml:space="preserve"> </w:t>
      </w:r>
      <w:r w:rsidR="00C71F58" w:rsidRPr="007450AF">
        <w:t>C</w:t>
      </w:r>
      <w:r w:rsidR="00426659" w:rsidRPr="007450AF">
        <w:t>SC </w:t>
      </w:r>
      <w:r w:rsidR="00F5268A" w:rsidRPr="007450AF">
        <w:t>67</w:t>
      </w:r>
    </w:p>
    <w:p w:rsidR="008322BD" w:rsidRPr="007450AF" w:rsidRDefault="009B57B3" w:rsidP="00D07343">
      <w:pPr>
        <w:widowControl w:val="0"/>
        <w:spacing w:after="720"/>
        <w:jc w:val="both"/>
      </w:pPr>
      <w:r w:rsidRPr="007450AF">
        <w:t>N</w:t>
      </w:r>
      <w:r w:rsidRPr="007450AF">
        <w:rPr>
          <w:vertAlign w:val="superscript"/>
        </w:rPr>
        <w:t>o</w:t>
      </w:r>
      <w:r w:rsidR="0043088E" w:rsidRPr="007450AF">
        <w:t xml:space="preserve"> du greffe</w:t>
      </w:r>
      <w:r w:rsidR="00A76B3C" w:rsidRPr="007450AF">
        <w:t> :</w:t>
      </w:r>
      <w:r w:rsidR="00C67CA5" w:rsidRPr="007450AF">
        <w:t> </w:t>
      </w:r>
      <w:r w:rsidRPr="007450AF">
        <w:t>33797.</w:t>
      </w:r>
    </w:p>
    <w:p w:rsidR="008322BD" w:rsidRPr="007450AF" w:rsidRDefault="00C0663B" w:rsidP="00D07343">
      <w:pPr>
        <w:widowControl w:val="0"/>
        <w:spacing w:after="720"/>
        <w:jc w:val="both"/>
      </w:pPr>
      <w:r w:rsidRPr="007450AF">
        <w:t>2011</w:t>
      </w:r>
      <w:r w:rsidR="00A76B3C" w:rsidRPr="007450AF">
        <w:t> :</w:t>
      </w:r>
      <w:r w:rsidR="007E04C0" w:rsidRPr="007450AF">
        <w:t> </w:t>
      </w:r>
      <w:r w:rsidR="005D199B" w:rsidRPr="007450AF">
        <w:t>16 </w:t>
      </w:r>
      <w:r w:rsidRPr="007450AF">
        <w:t>novembre</w:t>
      </w:r>
      <w:r w:rsidR="009B57B3" w:rsidRPr="007450AF">
        <w:t xml:space="preserve">; </w:t>
      </w:r>
      <w:r w:rsidR="008D124D" w:rsidRPr="007450AF">
        <w:t>2012</w:t>
      </w:r>
      <w:r w:rsidR="00A76B3C" w:rsidRPr="007450AF">
        <w:t> :</w:t>
      </w:r>
      <w:r w:rsidR="00CF008A" w:rsidRPr="007450AF">
        <w:t> 7 </w:t>
      </w:r>
      <w:r w:rsidR="004D2B30" w:rsidRPr="007450AF">
        <w:t>décembre</w:t>
      </w:r>
      <w:r w:rsidR="009B57B3" w:rsidRPr="007450AF">
        <w:t>.</w:t>
      </w:r>
    </w:p>
    <w:p w:rsidR="008322BD" w:rsidRPr="007450AF" w:rsidRDefault="009B57B3" w:rsidP="00D07343">
      <w:pPr>
        <w:widowControl w:val="0"/>
        <w:spacing w:after="720"/>
        <w:jc w:val="both"/>
      </w:pPr>
      <w:r w:rsidRPr="007450AF">
        <w:lastRenderedPageBreak/>
        <w:t>Pr</w:t>
      </w:r>
      <w:r w:rsidR="0043088E" w:rsidRPr="007450AF">
        <w:t>é</w:t>
      </w:r>
      <w:r w:rsidRPr="007450AF">
        <w:t>sent</w:t>
      </w:r>
      <w:r w:rsidR="008A6558" w:rsidRPr="007450AF">
        <w:t>s</w:t>
      </w:r>
      <w:r w:rsidR="00A76B3C" w:rsidRPr="007450AF">
        <w:t> :</w:t>
      </w:r>
      <w:r w:rsidR="00C67CA5" w:rsidRPr="007450AF">
        <w:t> </w:t>
      </w:r>
      <w:r w:rsidRPr="007450AF">
        <w:t xml:space="preserve">La juge en chef </w:t>
      </w:r>
      <w:proofErr w:type="spellStart"/>
      <w:r w:rsidRPr="007450AF">
        <w:t>McLachlin</w:t>
      </w:r>
      <w:proofErr w:type="spellEnd"/>
      <w:r w:rsidRPr="007450AF">
        <w:t xml:space="preserve"> et les juges LeBel, Deschamps, Fish, Abella, </w:t>
      </w:r>
      <w:proofErr w:type="spellStart"/>
      <w:r w:rsidRPr="007450AF">
        <w:t>Rothstein</w:t>
      </w:r>
      <w:proofErr w:type="spellEnd"/>
      <w:r w:rsidRPr="007450AF">
        <w:t xml:space="preserve">, Cromwell, </w:t>
      </w:r>
      <w:proofErr w:type="spellStart"/>
      <w:r w:rsidRPr="007450AF">
        <w:t>Moldaver</w:t>
      </w:r>
      <w:proofErr w:type="spellEnd"/>
      <w:r w:rsidRPr="007450AF">
        <w:t xml:space="preserve"> et </w:t>
      </w:r>
      <w:proofErr w:type="spellStart"/>
      <w:r w:rsidRPr="007450AF">
        <w:t>Karakatsanis</w:t>
      </w:r>
      <w:proofErr w:type="spellEnd"/>
      <w:r w:rsidRPr="007450AF">
        <w:t>.</w:t>
      </w:r>
    </w:p>
    <w:p w:rsidR="008322BD" w:rsidRPr="007450AF" w:rsidRDefault="00AC7437" w:rsidP="00D07343">
      <w:pPr>
        <w:pStyle w:val="SCCLowerCourtNameLowercase"/>
        <w:widowControl w:val="0"/>
        <w:spacing w:after="720" w:line="240" w:lineRule="auto"/>
        <w:contextualSpacing/>
      </w:pPr>
      <w:r w:rsidRPr="007450AF">
        <w:t>e</w:t>
      </w:r>
      <w:r w:rsidR="00855307" w:rsidRPr="007450AF">
        <w:t>n</w:t>
      </w:r>
      <w:r w:rsidR="00224FC0" w:rsidRPr="007450AF">
        <w:t xml:space="preserve"> </w:t>
      </w:r>
      <w:r w:rsidR="00855307" w:rsidRPr="007450AF">
        <w:t>appel</w:t>
      </w:r>
      <w:r w:rsidR="00224FC0" w:rsidRPr="007450AF">
        <w:t xml:space="preserve"> </w:t>
      </w:r>
      <w:r w:rsidR="00855307" w:rsidRPr="007450AF">
        <w:t>de</w:t>
      </w:r>
      <w:r w:rsidR="0043088E" w:rsidRPr="007450AF">
        <w:t xml:space="preserve"> </w:t>
      </w:r>
      <w:r w:rsidR="00855307" w:rsidRPr="007450AF">
        <w:t>la</w:t>
      </w:r>
      <w:r w:rsidR="00224FC0" w:rsidRPr="007450AF">
        <w:t xml:space="preserve"> </w:t>
      </w:r>
      <w:r w:rsidR="009B57B3" w:rsidRPr="007450AF">
        <w:t>cour d</w:t>
      </w:r>
      <w:r w:rsidR="00C4595B" w:rsidRPr="007450AF">
        <w:t>’</w:t>
      </w:r>
      <w:r w:rsidR="009B57B3" w:rsidRPr="007450AF">
        <w:t xml:space="preserve">appel du </w:t>
      </w:r>
      <w:proofErr w:type="spellStart"/>
      <w:r w:rsidR="009B57B3" w:rsidRPr="007450AF">
        <w:t>québec</w:t>
      </w:r>
      <w:proofErr w:type="spellEnd"/>
    </w:p>
    <w:p w:rsidR="008322BD" w:rsidRPr="007450AF" w:rsidRDefault="009B57B3" w:rsidP="00D07343">
      <w:pPr>
        <w:pStyle w:val="SCCNormalDoubleSpacing"/>
        <w:spacing w:after="480"/>
        <w:rPr>
          <w:i/>
        </w:rPr>
      </w:pPr>
      <w:r w:rsidRPr="007450AF">
        <w:tab/>
      </w:r>
      <w:r w:rsidR="00F11AF6" w:rsidRPr="007450AF">
        <w:rPr>
          <w:i/>
        </w:rPr>
        <w:t xml:space="preserve">Faillite et insolvabilité </w:t>
      </w:r>
      <w:r w:rsidR="000A62A3" w:rsidRPr="007450AF">
        <w:rPr>
          <w:i/>
        </w:rPr>
        <w:t>—</w:t>
      </w:r>
      <w:r w:rsidR="00F11AF6" w:rsidRPr="007450AF">
        <w:rPr>
          <w:i/>
        </w:rPr>
        <w:t xml:space="preserve"> Réclamations prouvables </w:t>
      </w:r>
      <w:r w:rsidR="000A62A3" w:rsidRPr="007450AF">
        <w:rPr>
          <w:i/>
        </w:rPr>
        <w:t>—</w:t>
      </w:r>
      <w:r w:rsidR="00F11AF6" w:rsidRPr="007450AF">
        <w:rPr>
          <w:i/>
        </w:rPr>
        <w:t xml:space="preserve"> Réclamations éventuelles </w:t>
      </w:r>
      <w:r w:rsidR="000A62A3" w:rsidRPr="007450AF">
        <w:rPr>
          <w:i/>
        </w:rPr>
        <w:t>—</w:t>
      </w:r>
      <w:r w:rsidR="00F11AF6" w:rsidRPr="007450AF">
        <w:rPr>
          <w:i/>
        </w:rPr>
        <w:t xml:space="preserve"> Demande de protection contre l</w:t>
      </w:r>
      <w:r w:rsidR="00C4595B" w:rsidRPr="007450AF">
        <w:rPr>
          <w:i/>
        </w:rPr>
        <w:t>’</w:t>
      </w:r>
      <w:r w:rsidR="00F11AF6" w:rsidRPr="007450AF">
        <w:rPr>
          <w:i/>
        </w:rPr>
        <w:t xml:space="preserve">insolvabilité par une société </w:t>
      </w:r>
      <w:r w:rsidR="000A62A3" w:rsidRPr="007450AF">
        <w:rPr>
          <w:i/>
        </w:rPr>
        <w:t>—</w:t>
      </w:r>
      <w:r w:rsidR="00F11AF6" w:rsidRPr="007450AF">
        <w:rPr>
          <w:i/>
        </w:rPr>
        <w:t xml:space="preserve"> Ordonnances environnementales émises par la province contre</w:t>
      </w:r>
      <w:r w:rsidR="00BD3927" w:rsidRPr="007450AF">
        <w:rPr>
          <w:i/>
        </w:rPr>
        <w:t xml:space="preserve"> la société et demande, par la province, d</w:t>
      </w:r>
      <w:r w:rsidR="00C4595B" w:rsidRPr="007450AF">
        <w:rPr>
          <w:i/>
        </w:rPr>
        <w:t>’</w:t>
      </w:r>
      <w:r w:rsidR="00BD3927" w:rsidRPr="007450AF">
        <w:rPr>
          <w:i/>
        </w:rPr>
        <w:t>un jugement déclarant que les ordonnances ne constituent pas des « réclamations » aux termes de la Loi sur les arrangements avec les créanciers des compagnies, L.R.C. 1985, ch. C</w:t>
      </w:r>
      <w:r w:rsidR="00BD3927" w:rsidRPr="007450AF">
        <w:rPr>
          <w:i/>
        </w:rPr>
        <w:noBreakHyphen/>
        <w:t>36 (« LACC »)</w:t>
      </w:r>
      <w:r w:rsidR="004335B4" w:rsidRPr="007450AF">
        <w:rPr>
          <w:i/>
        </w:rPr>
        <w:t>,</w:t>
      </w:r>
      <w:r w:rsidR="00BD3927" w:rsidRPr="007450AF">
        <w:rPr>
          <w:i/>
        </w:rPr>
        <w:t xml:space="preserve"> et qu</w:t>
      </w:r>
      <w:r w:rsidR="00C4595B" w:rsidRPr="007450AF">
        <w:rPr>
          <w:i/>
        </w:rPr>
        <w:t>’</w:t>
      </w:r>
      <w:r w:rsidR="00BD3927" w:rsidRPr="007450AF">
        <w:rPr>
          <w:i/>
        </w:rPr>
        <w:t>elles ne sont pas assujetties à l</w:t>
      </w:r>
      <w:r w:rsidR="00C4595B" w:rsidRPr="007450AF">
        <w:rPr>
          <w:i/>
        </w:rPr>
        <w:t>’</w:t>
      </w:r>
      <w:r w:rsidR="00BD3927" w:rsidRPr="007450AF">
        <w:rPr>
          <w:i/>
        </w:rPr>
        <w:t xml:space="preserve">ordonnance relative à la procédure de réclamations </w:t>
      </w:r>
      <w:r w:rsidR="000A62A3" w:rsidRPr="007450AF">
        <w:rPr>
          <w:i/>
        </w:rPr>
        <w:t>—</w:t>
      </w:r>
      <w:r w:rsidR="00BD3927" w:rsidRPr="007450AF">
        <w:rPr>
          <w:i/>
        </w:rPr>
        <w:t xml:space="preserve"> Les ordonnances environnementales </w:t>
      </w:r>
      <w:proofErr w:type="spellStart"/>
      <w:r w:rsidR="0045728B" w:rsidRPr="007450AF">
        <w:rPr>
          <w:i/>
        </w:rPr>
        <w:t>constituent</w:t>
      </w:r>
      <w:r w:rsidR="0045728B" w:rsidRPr="007450AF">
        <w:rPr>
          <w:i/>
        </w:rPr>
        <w:noBreakHyphen/>
        <w:t>elles</w:t>
      </w:r>
      <w:proofErr w:type="spellEnd"/>
      <w:r w:rsidR="0045728B" w:rsidRPr="007450AF">
        <w:rPr>
          <w:i/>
        </w:rPr>
        <w:t xml:space="preserve"> des réclamations pécuniaires pouvant faire l</w:t>
      </w:r>
      <w:r w:rsidR="00C4595B" w:rsidRPr="007450AF">
        <w:rPr>
          <w:i/>
        </w:rPr>
        <w:t>’</w:t>
      </w:r>
      <w:r w:rsidR="0045728B" w:rsidRPr="007450AF">
        <w:rPr>
          <w:i/>
        </w:rPr>
        <w:t>objet d</w:t>
      </w:r>
      <w:r w:rsidR="00C4595B" w:rsidRPr="007450AF">
        <w:rPr>
          <w:i/>
        </w:rPr>
        <w:t>’</w:t>
      </w:r>
      <w:r w:rsidR="0045728B" w:rsidRPr="007450AF">
        <w:rPr>
          <w:i/>
        </w:rPr>
        <w:t>une transaction dans le cadre d</w:t>
      </w:r>
      <w:r w:rsidR="00C4595B" w:rsidRPr="007450AF">
        <w:rPr>
          <w:i/>
        </w:rPr>
        <w:t>’</w:t>
      </w:r>
      <w:r w:rsidR="0045728B" w:rsidRPr="007450AF">
        <w:rPr>
          <w:i/>
        </w:rPr>
        <w:t xml:space="preserve">une </w:t>
      </w:r>
      <w:r w:rsidR="00520D7D" w:rsidRPr="007450AF">
        <w:rPr>
          <w:i/>
        </w:rPr>
        <w:t xml:space="preserve">restructuration </w:t>
      </w:r>
      <w:r w:rsidR="0045728B" w:rsidRPr="007450AF">
        <w:rPr>
          <w:i/>
        </w:rPr>
        <w:t>sous le régime de la LACC</w:t>
      </w:r>
      <w:r w:rsidR="00520D7D" w:rsidRPr="007450AF">
        <w:rPr>
          <w:i/>
        </w:rPr>
        <w:t xml:space="preserve">? </w:t>
      </w:r>
      <w:r w:rsidR="000A62A3" w:rsidRPr="007450AF">
        <w:rPr>
          <w:i/>
        </w:rPr>
        <w:t>—</w:t>
      </w:r>
      <w:r w:rsidR="00520D7D" w:rsidRPr="007450AF">
        <w:rPr>
          <w:i/>
        </w:rPr>
        <w:t xml:space="preserve"> La LACC </w:t>
      </w:r>
      <w:proofErr w:type="spellStart"/>
      <w:r w:rsidR="00520D7D" w:rsidRPr="007450AF">
        <w:rPr>
          <w:i/>
        </w:rPr>
        <w:t>est</w:t>
      </w:r>
      <w:r w:rsidR="00520D7D" w:rsidRPr="007450AF">
        <w:rPr>
          <w:i/>
        </w:rPr>
        <w:noBreakHyphen/>
        <w:t>elle</w:t>
      </w:r>
      <w:proofErr w:type="spellEnd"/>
      <w:r w:rsidR="00520D7D" w:rsidRPr="007450AF">
        <w:rPr>
          <w:i/>
        </w:rPr>
        <w:t xml:space="preserve"> ultra vires ou constitutionnellement inapplicable en permettant au tribunal de déterminer si une ordonnance environnementale constitue une réclamation pécuniaire?</w:t>
      </w:r>
    </w:p>
    <w:p w:rsidR="008322BD" w:rsidRPr="007450AF" w:rsidRDefault="009B57B3" w:rsidP="00D07343">
      <w:pPr>
        <w:pStyle w:val="SCCNormalDoubleSpacing"/>
        <w:spacing w:after="480"/>
      </w:pPr>
      <w:r w:rsidRPr="007450AF">
        <w:tab/>
      </w:r>
      <w:r w:rsidR="00520D7D" w:rsidRPr="007450AF">
        <w:t xml:space="preserve">A </w:t>
      </w:r>
      <w:proofErr w:type="spellStart"/>
      <w:r w:rsidR="00520D7D" w:rsidRPr="007450AF">
        <w:t>a</w:t>
      </w:r>
      <w:proofErr w:type="spellEnd"/>
      <w:r w:rsidR="00520D7D" w:rsidRPr="007450AF">
        <w:t xml:space="preserve"> poursuivi des activités industrielles à </w:t>
      </w:r>
      <w:proofErr w:type="spellStart"/>
      <w:r w:rsidR="00520D7D" w:rsidRPr="007450AF">
        <w:t>Terre</w:t>
      </w:r>
      <w:r w:rsidR="00520D7D" w:rsidRPr="007450AF">
        <w:noBreakHyphen/>
        <w:t>Neuve</w:t>
      </w:r>
      <w:r w:rsidR="00520D7D" w:rsidRPr="007450AF">
        <w:noBreakHyphen/>
        <w:t>et</w:t>
      </w:r>
      <w:r w:rsidR="00520D7D" w:rsidRPr="007450AF">
        <w:noBreakHyphen/>
        <w:t>Labrador</w:t>
      </w:r>
      <w:proofErr w:type="spellEnd"/>
      <w:r w:rsidR="00520D7D" w:rsidRPr="007450AF">
        <w:t xml:space="preserve"> (</w:t>
      </w:r>
      <w:r w:rsidR="004335B4" w:rsidRPr="007450AF">
        <w:t xml:space="preserve">la </w:t>
      </w:r>
      <w:r w:rsidR="00520D7D" w:rsidRPr="007450AF">
        <w:t>« </w:t>
      </w:r>
      <w:r w:rsidR="005F3122" w:rsidRPr="007450AF">
        <w:t>province »).  Dans une période de grandes difficultés financières, elle a mis un terme à ses activités dans la province, elle a présenté une demande de protection contre l</w:t>
      </w:r>
      <w:r w:rsidR="00C4595B" w:rsidRPr="007450AF">
        <w:t>’</w:t>
      </w:r>
      <w:r w:rsidR="005F3122" w:rsidRPr="007450AF">
        <w:t xml:space="preserve">insolvabilité aux </w:t>
      </w:r>
      <w:r w:rsidR="00547A8B" w:rsidRPr="007450AF">
        <w:t>États-Unis</w:t>
      </w:r>
      <w:r w:rsidR="005F3122" w:rsidRPr="007450AF">
        <w:t xml:space="preserve"> et elle a obtenu une suspension des procédures en vertu de la </w:t>
      </w:r>
      <w:r w:rsidR="005F3122" w:rsidRPr="007450AF">
        <w:rPr>
          <w:i/>
        </w:rPr>
        <w:t>Loi sur les arrangements avec les créanciers des compagnies</w:t>
      </w:r>
      <w:r w:rsidR="005F3122" w:rsidRPr="007450AF">
        <w:t>, L.R.C. 1985, ch. C</w:t>
      </w:r>
      <w:r w:rsidR="005F3122" w:rsidRPr="007450AF">
        <w:noBreakHyphen/>
        <w:t>36 (« </w:t>
      </w:r>
      <w:r w:rsidR="005F3122" w:rsidRPr="007450AF">
        <w:rPr>
          <w:i/>
        </w:rPr>
        <w:t>LACC</w:t>
      </w:r>
      <w:r w:rsidR="005F3122" w:rsidRPr="007450AF">
        <w:t xml:space="preserve"> »).  La province a par la suite prononcé cinq ordonnances </w:t>
      </w:r>
      <w:r w:rsidR="005F3122" w:rsidRPr="007450AF">
        <w:lastRenderedPageBreak/>
        <w:t>environnementales en vertu de l</w:t>
      </w:r>
      <w:r w:rsidR="00C4595B" w:rsidRPr="007450AF">
        <w:t>’</w:t>
      </w:r>
      <w:proofErr w:type="spellStart"/>
      <w:r w:rsidR="005F3122" w:rsidRPr="007450AF">
        <w:rPr>
          <w:i/>
        </w:rPr>
        <w:t>Environmental</w:t>
      </w:r>
      <w:proofErr w:type="spellEnd"/>
      <w:r w:rsidR="005F3122" w:rsidRPr="007450AF">
        <w:rPr>
          <w:i/>
        </w:rPr>
        <w:t xml:space="preserve"> Protection </w:t>
      </w:r>
      <w:proofErr w:type="spellStart"/>
      <w:r w:rsidR="005F3122" w:rsidRPr="007450AF">
        <w:rPr>
          <w:i/>
        </w:rPr>
        <w:t>Act</w:t>
      </w:r>
      <w:proofErr w:type="spellEnd"/>
      <w:r w:rsidR="005F3122" w:rsidRPr="007450AF">
        <w:t>, S.N.L. 2002, ch. E</w:t>
      </w:r>
      <w:r w:rsidR="005F3122" w:rsidRPr="007450AF">
        <w:noBreakHyphen/>
        <w:t xml:space="preserve">14.2, </w:t>
      </w:r>
      <w:r w:rsidR="00C35B40" w:rsidRPr="007450AF">
        <w:t>contraignant A à présenter des plans de restauration pour cinq sites industriels qu</w:t>
      </w:r>
      <w:r w:rsidR="00C4595B" w:rsidRPr="007450AF">
        <w:t>’</w:t>
      </w:r>
      <w:r w:rsidR="00C35B40" w:rsidRPr="007450AF">
        <w:t>elle avait occupés, dont trois avaient été expropriés par la province, et à réaliser les plans de restauration approuvés.  La province a également demandé par requête un jugement déclarant qu</w:t>
      </w:r>
      <w:r w:rsidR="00C4595B" w:rsidRPr="007450AF">
        <w:t>’</w:t>
      </w:r>
      <w:r w:rsidR="00C35B40" w:rsidRPr="007450AF">
        <w:t xml:space="preserve">une ordonnance relative à la procédure de réclamations rendue aux termes de la </w:t>
      </w:r>
      <w:r w:rsidR="00C35B40" w:rsidRPr="007450AF">
        <w:rPr>
          <w:i/>
        </w:rPr>
        <w:t xml:space="preserve">LACC </w:t>
      </w:r>
      <w:r w:rsidR="00C35B40" w:rsidRPr="007450AF">
        <w:t>dans le cadre de la réorganisation proposée de A n</w:t>
      </w:r>
      <w:r w:rsidR="00C4595B" w:rsidRPr="007450AF">
        <w:t>’</w:t>
      </w:r>
      <w:r w:rsidR="00C35B40" w:rsidRPr="007450AF">
        <w:t>empêchait pas la province d</w:t>
      </w:r>
      <w:r w:rsidR="00C4595B" w:rsidRPr="007450AF">
        <w:t>’</w:t>
      </w:r>
      <w:r w:rsidR="00C35B40" w:rsidRPr="007450AF">
        <w:t xml:space="preserve">exécuter les ordonnances environnementales.  La province a plaidé que les ordonnances environnementales ne constituent pas des « réclamations » au sens de la </w:t>
      </w:r>
      <w:r w:rsidR="00C35B40" w:rsidRPr="007450AF">
        <w:rPr>
          <w:i/>
        </w:rPr>
        <w:t xml:space="preserve">LACC </w:t>
      </w:r>
      <w:r w:rsidR="00C35B40" w:rsidRPr="007450AF">
        <w:t>et que leur exécution ne peut donc être suspendue ni être assujettie à une ordonnance relative à la procédure de réclamations.  Elle a de plus fait valoir que le pouvoir du Parlement de légiférer en matière de faillite et d</w:t>
      </w:r>
      <w:r w:rsidR="00C4595B" w:rsidRPr="007450AF">
        <w:t>’</w:t>
      </w:r>
      <w:r w:rsidR="00C35B40" w:rsidRPr="007450AF">
        <w:t>insolvabilité ne lui confère pas la compétence constitutionnelle pour suspendre l</w:t>
      </w:r>
      <w:r w:rsidR="00C4595B" w:rsidRPr="007450AF">
        <w:t>’</w:t>
      </w:r>
      <w:r w:rsidR="00C35B40" w:rsidRPr="007450AF">
        <w:t>application des ordonnances prononcées dans l</w:t>
      </w:r>
      <w:r w:rsidR="00C4595B" w:rsidRPr="007450AF">
        <w:t>’</w:t>
      </w:r>
      <w:r w:rsidR="00C35B40" w:rsidRPr="007450AF">
        <w:t>exercice valide de pouvoirs provinciaux.</w:t>
      </w:r>
      <w:r w:rsidR="000E0B8F" w:rsidRPr="007450AF">
        <w:t xml:space="preserve">  A a contesté la requête et a soutenu que les ordonnances étaient de nature pécuniaire et qu</w:t>
      </w:r>
      <w:r w:rsidR="00C4595B" w:rsidRPr="007450AF">
        <w:t>’</w:t>
      </w:r>
      <w:r w:rsidR="000E0B8F" w:rsidRPr="007450AF">
        <w:t>elles étaient donc visées par la définition du terme « réclamation » utilisé dans l</w:t>
      </w:r>
      <w:r w:rsidR="00C4595B" w:rsidRPr="007450AF">
        <w:t>’</w:t>
      </w:r>
      <w:r w:rsidR="000E0B8F" w:rsidRPr="007450AF">
        <w:t>ordonnance relative à la procédure de réclamations.  Le juge chargé d</w:t>
      </w:r>
      <w:r w:rsidR="00C4595B" w:rsidRPr="007450AF">
        <w:t>’</w:t>
      </w:r>
      <w:r w:rsidR="000E0B8F" w:rsidRPr="007450AF">
        <w:t xml:space="preserve">appliquer la </w:t>
      </w:r>
      <w:r w:rsidR="000E0B8F" w:rsidRPr="007450AF">
        <w:rPr>
          <w:i/>
        </w:rPr>
        <w:t>LACC</w:t>
      </w:r>
      <w:r w:rsidR="000E0B8F" w:rsidRPr="007450AF">
        <w:t xml:space="preserve"> a rejeté l</w:t>
      </w:r>
      <w:r w:rsidR="00D77278" w:rsidRPr="007450AF">
        <w:t>a requête de la province et la C</w:t>
      </w:r>
      <w:r w:rsidR="000E0B8F" w:rsidRPr="007450AF">
        <w:t>our d</w:t>
      </w:r>
      <w:r w:rsidR="00C4595B" w:rsidRPr="007450AF">
        <w:t>’</w:t>
      </w:r>
      <w:r w:rsidR="000E0B8F" w:rsidRPr="007450AF">
        <w:t>appel a rejeté la demande d</w:t>
      </w:r>
      <w:r w:rsidR="00C4595B" w:rsidRPr="007450AF">
        <w:t>’</w:t>
      </w:r>
      <w:r w:rsidR="000E0B8F" w:rsidRPr="007450AF">
        <w:t>autorisation d</w:t>
      </w:r>
      <w:r w:rsidR="00C4595B" w:rsidRPr="007450AF">
        <w:t>’</w:t>
      </w:r>
      <w:r w:rsidR="000E0B8F" w:rsidRPr="007450AF">
        <w:t>appel de la province.</w:t>
      </w:r>
    </w:p>
    <w:p w:rsidR="008322BD" w:rsidRPr="007450AF" w:rsidRDefault="000E0B8F" w:rsidP="00D07343">
      <w:pPr>
        <w:pStyle w:val="SCCNormalDoubleSpacing"/>
        <w:spacing w:after="480"/>
      </w:pPr>
      <w:r w:rsidRPr="007450AF">
        <w:tab/>
      </w:r>
      <w:r w:rsidR="0043088E" w:rsidRPr="007450AF">
        <w:rPr>
          <w:i/>
        </w:rPr>
        <w:t>Arrêt</w:t>
      </w:r>
      <w:r w:rsidR="009B57B3" w:rsidRPr="007450AF">
        <w:t xml:space="preserve"> </w:t>
      </w:r>
      <w:r w:rsidR="007D224F" w:rsidRPr="007450AF">
        <w:t>(l</w:t>
      </w:r>
      <w:r w:rsidRPr="007450AF">
        <w:t xml:space="preserve">a juge en chef </w:t>
      </w:r>
      <w:proofErr w:type="spellStart"/>
      <w:r w:rsidRPr="007450AF">
        <w:t>McLachlin</w:t>
      </w:r>
      <w:proofErr w:type="spellEnd"/>
      <w:r w:rsidRPr="007450AF">
        <w:t xml:space="preserve"> et le juge LeBel sont dissidents)</w:t>
      </w:r>
      <w:r w:rsidR="00D94944" w:rsidRPr="007450AF">
        <w:t xml:space="preserve"> : </w:t>
      </w:r>
      <w:r w:rsidR="0043088E" w:rsidRPr="007450AF">
        <w:t>Le pourvoi est</w:t>
      </w:r>
      <w:r w:rsidRPr="007450AF">
        <w:t xml:space="preserve"> rejeté.</w:t>
      </w:r>
    </w:p>
    <w:p w:rsidR="0057299C" w:rsidRPr="007450AF" w:rsidRDefault="000E0B8F" w:rsidP="00011830">
      <w:pPr>
        <w:pStyle w:val="SCCNormalDoubleSpacing"/>
        <w:spacing w:after="480"/>
        <w:rPr>
          <w:u w:val="single"/>
        </w:rPr>
      </w:pPr>
      <w:r w:rsidRPr="007450AF">
        <w:lastRenderedPageBreak/>
        <w:tab/>
      </w:r>
      <w:r w:rsidRPr="007450AF">
        <w:rPr>
          <w:i/>
        </w:rPr>
        <w:t>L</w:t>
      </w:r>
      <w:r w:rsidR="0057299C" w:rsidRPr="007450AF">
        <w:rPr>
          <w:i/>
        </w:rPr>
        <w:t>es</w:t>
      </w:r>
      <w:r w:rsidRPr="007450AF">
        <w:t xml:space="preserve"> juge</w:t>
      </w:r>
      <w:r w:rsidR="0057299C" w:rsidRPr="007450AF">
        <w:t>s</w:t>
      </w:r>
      <w:r w:rsidRPr="007450AF">
        <w:t xml:space="preserve"> Deschamps</w:t>
      </w:r>
      <w:r w:rsidR="0057299C" w:rsidRPr="007450AF">
        <w:t>,</w:t>
      </w:r>
      <w:r w:rsidRPr="007450AF">
        <w:t xml:space="preserve"> Fish, </w:t>
      </w:r>
      <w:r w:rsidR="0057299C" w:rsidRPr="007450AF">
        <w:t xml:space="preserve">Abella, </w:t>
      </w:r>
      <w:proofErr w:type="spellStart"/>
      <w:r w:rsidR="0057299C" w:rsidRPr="007450AF">
        <w:t>Rothstein</w:t>
      </w:r>
      <w:proofErr w:type="spellEnd"/>
      <w:r w:rsidR="0057299C" w:rsidRPr="007450AF">
        <w:t xml:space="preserve">, Cromwell, </w:t>
      </w:r>
      <w:proofErr w:type="spellStart"/>
      <w:r w:rsidR="0057299C" w:rsidRPr="007450AF">
        <w:t>Moldaver</w:t>
      </w:r>
      <w:proofErr w:type="spellEnd"/>
      <w:r w:rsidR="0057299C" w:rsidRPr="007450AF">
        <w:t xml:space="preserve"> et </w:t>
      </w:r>
      <w:proofErr w:type="spellStart"/>
      <w:r w:rsidR="0057299C" w:rsidRPr="007450AF">
        <w:t>Karakatsanis</w:t>
      </w:r>
      <w:proofErr w:type="spellEnd"/>
      <w:r w:rsidR="0057299C" w:rsidRPr="007450AF">
        <w:t xml:space="preserve"> : Les ordonnances des organismes administratifs ne </w:t>
      </w:r>
      <w:r w:rsidR="00BE730B" w:rsidRPr="007450AF">
        <w:t>s</w:t>
      </w:r>
      <w:r w:rsidR="0057299C" w:rsidRPr="007450AF">
        <w:t xml:space="preserve">ont pas toutes de </w:t>
      </w:r>
      <w:r w:rsidR="00BE730B" w:rsidRPr="007450AF">
        <w:t>nature</w:t>
      </w:r>
      <w:r w:rsidR="0057299C" w:rsidRPr="007450AF">
        <w:t xml:space="preserve"> pécuniaire, et donc des réclamations prouvables dans le cadre de procédures d</w:t>
      </w:r>
      <w:r w:rsidR="00C4595B" w:rsidRPr="007450AF">
        <w:t>’</w:t>
      </w:r>
      <w:r w:rsidR="0057299C" w:rsidRPr="007450AF">
        <w:t>insolvabilité, mais certaines peuvent l</w:t>
      </w:r>
      <w:r w:rsidR="00C4595B" w:rsidRPr="007450AF">
        <w:t>’</w:t>
      </w:r>
      <w:r w:rsidR="0057299C" w:rsidRPr="007450AF">
        <w:t>être en dépit du fait qu</w:t>
      </w:r>
      <w:r w:rsidR="00C4595B" w:rsidRPr="007450AF">
        <w:t>’</w:t>
      </w:r>
      <w:r w:rsidR="0057299C" w:rsidRPr="007450AF">
        <w:t>elles ne sont pas quantifiées dès le début des procédures.  En matière environnementale, le tribunal chargé de l</w:t>
      </w:r>
      <w:r w:rsidR="00C4595B" w:rsidRPr="007450AF">
        <w:t>’</w:t>
      </w:r>
      <w:r w:rsidR="0057299C" w:rsidRPr="007450AF">
        <w:t xml:space="preserve">application de la </w:t>
      </w:r>
      <w:r w:rsidR="0057299C" w:rsidRPr="007450AF">
        <w:rPr>
          <w:i/>
        </w:rPr>
        <w:t>LACC</w:t>
      </w:r>
      <w:r w:rsidR="0057299C" w:rsidRPr="007450AF">
        <w:t xml:space="preserve"> doit déterminer s</w:t>
      </w:r>
      <w:r w:rsidR="00C4595B" w:rsidRPr="007450AF">
        <w:t>’</w:t>
      </w:r>
      <w:r w:rsidR="0057299C" w:rsidRPr="007450AF">
        <w:t>il y a suffisamment de faits indiquant qu</w:t>
      </w:r>
      <w:r w:rsidR="00C4595B" w:rsidRPr="007450AF">
        <w:t>’</w:t>
      </w:r>
      <w:r w:rsidR="0057299C" w:rsidRPr="007450AF">
        <w:t>il existe une obligation environnementale de laquelle résultera une dette envers l</w:t>
      </w:r>
      <w:r w:rsidR="00C4595B" w:rsidRPr="007450AF">
        <w:t>’</w:t>
      </w:r>
      <w:r w:rsidR="0057299C" w:rsidRPr="007450AF">
        <w:t>organisme administratif qui a prononcé l</w:t>
      </w:r>
      <w:r w:rsidR="00C4595B" w:rsidRPr="007450AF">
        <w:t>’</w:t>
      </w:r>
      <w:r w:rsidR="0057299C" w:rsidRPr="007450AF">
        <w:t>ordonnance.  En pareil cas, la question pertinente ne se résume pas à déterminer si l</w:t>
      </w:r>
      <w:r w:rsidR="00C4595B" w:rsidRPr="007450AF">
        <w:t>’</w:t>
      </w:r>
      <w:r w:rsidR="0057299C" w:rsidRPr="007450AF">
        <w:t xml:space="preserve">organisme a formellement exercé son pouvoir de réclamer une dette.  Le tribunal </w:t>
      </w:r>
      <w:r w:rsidR="00BE730B" w:rsidRPr="007450AF">
        <w:t xml:space="preserve">qui évalue une réclamation </w:t>
      </w:r>
      <w:r w:rsidR="0057299C" w:rsidRPr="007450AF">
        <w:t>ou une ordonnance ne se limite pas à un examen de sa forme.  Si l</w:t>
      </w:r>
      <w:r w:rsidR="00C4595B" w:rsidRPr="007450AF">
        <w:t>’</w:t>
      </w:r>
      <w:r w:rsidR="0057299C" w:rsidRPr="007450AF">
        <w:t>ordonnance n</w:t>
      </w:r>
      <w:r w:rsidR="00C4595B" w:rsidRPr="007450AF">
        <w:t>’</w:t>
      </w:r>
      <w:r w:rsidR="0057299C" w:rsidRPr="007450AF">
        <w:t>est pas formulée en termes pécuniaires, le tribunal doit déterminer, en fonction des faits en cause et du cadre législatif applicable, si elle constitue une réclamation qui sera assujettie au processus de réclamation</w:t>
      </w:r>
      <w:r w:rsidR="00D77278" w:rsidRPr="007450AF">
        <w:t>.</w:t>
      </w:r>
      <w:r w:rsidR="0057299C" w:rsidRPr="007450AF">
        <w:t xml:space="preserve"> </w:t>
      </w:r>
    </w:p>
    <w:p w:rsidR="000E0B8F" w:rsidRPr="007450AF" w:rsidRDefault="0057299C" w:rsidP="00D07343">
      <w:pPr>
        <w:pStyle w:val="SCCNormalDoubleSpacing"/>
        <w:spacing w:after="480"/>
      </w:pPr>
      <w:r w:rsidRPr="007450AF">
        <w:tab/>
      </w:r>
      <w:r w:rsidR="00D97EF7" w:rsidRPr="007450AF">
        <w:t>Pour qu</w:t>
      </w:r>
      <w:r w:rsidR="00C4595B" w:rsidRPr="007450AF">
        <w:t>’</w:t>
      </w:r>
      <w:r w:rsidR="00D97EF7" w:rsidRPr="007450AF">
        <w:t>elles constituent des réclamations pouvant être assujetties au processus applicable en matière d</w:t>
      </w:r>
      <w:r w:rsidR="00C4595B" w:rsidRPr="007450AF">
        <w:t>’</w:t>
      </w:r>
      <w:r w:rsidR="00D97EF7" w:rsidRPr="007450AF">
        <w:t>insolvabilité dans une affaire telle celle en l</w:t>
      </w:r>
      <w:r w:rsidR="00C4595B" w:rsidRPr="007450AF">
        <w:t>’</w:t>
      </w:r>
      <w:r w:rsidR="00D97EF7" w:rsidRPr="007450AF">
        <w:t>espèce, les ordonnances doivent satisfaire à trois conditions.  Premièrement, il doit s</w:t>
      </w:r>
      <w:r w:rsidR="00C4595B" w:rsidRPr="007450AF">
        <w:t>’</w:t>
      </w:r>
      <w:r w:rsidR="00D97EF7" w:rsidRPr="007450AF">
        <w:t>agir d</w:t>
      </w:r>
      <w:r w:rsidR="00C4595B" w:rsidRPr="007450AF">
        <w:t>’</w:t>
      </w:r>
      <w:r w:rsidR="00D97EF7" w:rsidRPr="007450AF">
        <w:t>une dette, d</w:t>
      </w:r>
      <w:r w:rsidR="00C4595B" w:rsidRPr="007450AF">
        <w:t>’</w:t>
      </w:r>
      <w:r w:rsidR="00D97EF7" w:rsidRPr="007450AF">
        <w:t>un engagement ou d</w:t>
      </w:r>
      <w:r w:rsidR="00C4595B" w:rsidRPr="007450AF">
        <w:t>’</w:t>
      </w:r>
      <w:r w:rsidR="00D97EF7" w:rsidRPr="007450AF">
        <w:t xml:space="preserve">une obligation envers un créancier.  </w:t>
      </w:r>
      <w:r w:rsidR="00690AAA" w:rsidRPr="007450AF">
        <w:t>En l</w:t>
      </w:r>
      <w:r w:rsidR="00C4595B" w:rsidRPr="007450AF">
        <w:t>’</w:t>
      </w:r>
      <w:r w:rsidR="00690AAA" w:rsidRPr="007450AF">
        <w:t>espèce, il a été satisfait à la première condition puisque la province s</w:t>
      </w:r>
      <w:r w:rsidR="00C4595B" w:rsidRPr="007450AF">
        <w:t>’</w:t>
      </w:r>
      <w:r w:rsidR="00690AAA" w:rsidRPr="007450AF">
        <w:t>est présentée comme créancière en ayant recours aux mécanismes d</w:t>
      </w:r>
      <w:r w:rsidR="00C4595B" w:rsidRPr="007450AF">
        <w:t>’</w:t>
      </w:r>
      <w:r w:rsidR="00690AAA" w:rsidRPr="007450AF">
        <w:t>application en matière de protection de l</w:t>
      </w:r>
      <w:r w:rsidR="00C4595B" w:rsidRPr="007450AF">
        <w:t>’</w:t>
      </w:r>
      <w:r w:rsidR="00690AAA" w:rsidRPr="007450AF">
        <w:t>environnement.  Deuxièmement, la dette, l</w:t>
      </w:r>
      <w:r w:rsidR="00C4595B" w:rsidRPr="007450AF">
        <w:t>’</w:t>
      </w:r>
      <w:r w:rsidR="00690AAA" w:rsidRPr="007450AF">
        <w:t>engagement ou l</w:t>
      </w:r>
      <w:r w:rsidR="00C4595B" w:rsidRPr="007450AF">
        <w:t>’</w:t>
      </w:r>
      <w:r w:rsidR="00690AAA" w:rsidRPr="007450AF">
        <w:t xml:space="preserve">obligation doit avoir pris naissance </w:t>
      </w:r>
      <w:r w:rsidR="001F473F" w:rsidRPr="007450AF">
        <w:t xml:space="preserve">à un moment précis.  Il a également été satisfait à cette condition </w:t>
      </w:r>
      <w:r w:rsidR="001F473F" w:rsidRPr="007450AF">
        <w:lastRenderedPageBreak/>
        <w:t>puisque les dommages environnementaux sont survenus avant que les procédures en vertu de la</w:t>
      </w:r>
      <w:r w:rsidR="001F473F" w:rsidRPr="007450AF">
        <w:rPr>
          <w:i/>
        </w:rPr>
        <w:t xml:space="preserve"> LACC </w:t>
      </w:r>
      <w:r w:rsidR="001F473F" w:rsidRPr="007450AF">
        <w:t>ne</w:t>
      </w:r>
      <w:r w:rsidR="001F473F" w:rsidRPr="007450AF">
        <w:rPr>
          <w:i/>
        </w:rPr>
        <w:t xml:space="preserve"> </w:t>
      </w:r>
      <w:r w:rsidR="001F473F" w:rsidRPr="007450AF">
        <w:t xml:space="preserve">soient entamées.  </w:t>
      </w:r>
      <w:r w:rsidR="00690AAA" w:rsidRPr="007450AF">
        <w:t>Troisièmement, il doit être possible d</w:t>
      </w:r>
      <w:r w:rsidR="00C4595B" w:rsidRPr="007450AF">
        <w:t>’</w:t>
      </w:r>
      <w:r w:rsidR="00690AAA" w:rsidRPr="007450AF">
        <w:t xml:space="preserve">attribuer une valeur pécuniaire à cette dette, cet engagement ou cette obligation.  </w:t>
      </w:r>
      <w:r w:rsidR="001F473F" w:rsidRPr="007450AF">
        <w:t xml:space="preserve">La présente affaire est centrée sur cette troisième condition, et </w:t>
      </w:r>
      <w:r w:rsidR="008C6A73" w:rsidRPr="007450AF">
        <w:t xml:space="preserve">la question est de savoir si des ordonnances qui ne sont pas formulées en termes pécuniaires peuvent être </w:t>
      </w:r>
      <w:r w:rsidR="00732D49" w:rsidRPr="007450AF">
        <w:t xml:space="preserve">formulées en de tels termes. </w:t>
      </w:r>
    </w:p>
    <w:p w:rsidR="008C6A73" w:rsidRPr="007450AF" w:rsidRDefault="0026146A" w:rsidP="0026146A">
      <w:pPr>
        <w:pStyle w:val="SCCNormalDoubleSpacing"/>
        <w:spacing w:after="480"/>
      </w:pPr>
      <w:r w:rsidRPr="007450AF">
        <w:tab/>
      </w:r>
      <w:r w:rsidR="008C6A73" w:rsidRPr="007450AF">
        <w:t>Il est possible de faire valoir une réclamation dans le cadre de procédures d</w:t>
      </w:r>
      <w:r w:rsidR="00C4595B" w:rsidRPr="007450AF">
        <w:t>’</w:t>
      </w:r>
      <w:r w:rsidR="008C6A73" w:rsidRPr="007450AF">
        <w:t>insolvabilité même si elle dépend d</w:t>
      </w:r>
      <w:r w:rsidR="00C4595B" w:rsidRPr="007450AF">
        <w:t>’</w:t>
      </w:r>
      <w:r w:rsidR="008C6A73" w:rsidRPr="007450AF">
        <w:t>un événement non encore survenu.  Le critère retenu par les tribunaux pour décider si une réclamation éventuelle sera incluse dans le processus d</w:t>
      </w:r>
      <w:r w:rsidR="00C4595B" w:rsidRPr="007450AF">
        <w:t>’</w:t>
      </w:r>
      <w:r w:rsidR="008C6A73" w:rsidRPr="007450AF">
        <w:t>insolvabilité est celui qui consiste à déterminer si l</w:t>
      </w:r>
      <w:r w:rsidR="00C4595B" w:rsidRPr="007450AF">
        <w:t>’</w:t>
      </w:r>
      <w:r w:rsidR="008C6A73" w:rsidRPr="007450AF">
        <w:t>événement non encore survenu est trop éloigné ou conjectural.  Dans le contexte d</w:t>
      </w:r>
      <w:r w:rsidR="00C4595B" w:rsidRPr="007450AF">
        <w:t>’</w:t>
      </w:r>
      <w:r w:rsidR="008C6A73" w:rsidRPr="007450AF">
        <w:t>une ordonnance environnementale, cela signifie qu</w:t>
      </w:r>
      <w:r w:rsidR="00C4595B" w:rsidRPr="007450AF">
        <w:t>’</w:t>
      </w:r>
      <w:r w:rsidR="008C6A73" w:rsidRPr="007450AF">
        <w:t>il doit y avoir des indications suffisantes permettant de conclure que l</w:t>
      </w:r>
      <w:r w:rsidR="00C4595B" w:rsidRPr="007450AF">
        <w:t>’</w:t>
      </w:r>
      <w:r w:rsidR="008C6A73" w:rsidRPr="007450AF">
        <w:t>organisme administratif qui a eu recours aux mécanismes d</w:t>
      </w:r>
      <w:r w:rsidR="00C4595B" w:rsidRPr="007450AF">
        <w:t>’</w:t>
      </w:r>
      <w:r w:rsidR="008C6A73" w:rsidRPr="007450AF">
        <w:t>application de la loi effectuera en fin de compte des travaux de décontamination et présentera une réclamation pécuniaire.  Si cela est suffisamment certain, le tribunal conclura que l</w:t>
      </w:r>
      <w:r w:rsidR="00C4595B" w:rsidRPr="007450AF">
        <w:t>’</w:t>
      </w:r>
      <w:r w:rsidR="008C6A73" w:rsidRPr="007450AF">
        <w:t>ordonnance peut être assujettie au processus d</w:t>
      </w:r>
      <w:r w:rsidR="00C4595B" w:rsidRPr="007450AF">
        <w:t>’</w:t>
      </w:r>
      <w:r w:rsidR="008C6A73" w:rsidRPr="007450AF">
        <w:t xml:space="preserve">insolvabilité. </w:t>
      </w:r>
    </w:p>
    <w:p w:rsidR="008C6A73" w:rsidRPr="007450AF" w:rsidRDefault="008C6A73" w:rsidP="0026146A">
      <w:pPr>
        <w:pStyle w:val="SCCNormalDoubleSpacing"/>
        <w:spacing w:after="480"/>
      </w:pPr>
      <w:r w:rsidRPr="007450AF">
        <w:tab/>
        <w:t xml:space="preserve">Certains indicateurs permettent de guider le tribunal </w:t>
      </w:r>
      <w:r w:rsidR="001D50E3" w:rsidRPr="007450AF">
        <w:t>dans</w:t>
      </w:r>
      <w:r w:rsidRPr="007450AF">
        <w:t xml:space="preserve"> cet</w:t>
      </w:r>
      <w:r w:rsidR="001D50E3" w:rsidRPr="007450AF">
        <w:t>te</w:t>
      </w:r>
      <w:r w:rsidRPr="007450AF">
        <w:t xml:space="preserve"> </w:t>
      </w:r>
      <w:r w:rsidR="001D50E3" w:rsidRPr="007450AF">
        <w:t>analyse</w:t>
      </w:r>
      <w:r w:rsidRPr="007450AF">
        <w:t xml:space="preserve">, </w:t>
      </w:r>
      <w:r w:rsidR="001D50E3" w:rsidRPr="007450AF">
        <w:t>notamment si les activités se poursuivent, si le débiteur exerce un contrôle sur le bien et s</w:t>
      </w:r>
      <w:r w:rsidR="00C4595B" w:rsidRPr="007450AF">
        <w:t>’</w:t>
      </w:r>
      <w:r w:rsidR="001D50E3" w:rsidRPr="007450AF">
        <w:t>il dispose des moyens de se conformer à l</w:t>
      </w:r>
      <w:r w:rsidR="00C4595B" w:rsidRPr="007450AF">
        <w:t>’</w:t>
      </w:r>
      <w:r w:rsidR="001D50E3" w:rsidRPr="007450AF">
        <w:t>ordonnance.  Il est également possible pour le tribunal de prendre en compte les conséquences qu</w:t>
      </w:r>
      <w:r w:rsidR="00C4595B" w:rsidRPr="007450AF">
        <w:t>’</w:t>
      </w:r>
      <w:r w:rsidR="001D50E3" w:rsidRPr="007450AF">
        <w:t xml:space="preserve">entraînerait sur le </w:t>
      </w:r>
      <w:r w:rsidR="001D50E3" w:rsidRPr="007450AF">
        <w:lastRenderedPageBreak/>
        <w:t>processus d</w:t>
      </w:r>
      <w:r w:rsidR="00C4595B" w:rsidRPr="007450AF">
        <w:t>’</w:t>
      </w:r>
      <w:r w:rsidR="001D50E3" w:rsidRPr="007450AF">
        <w:t>insolvabilité le fait d</w:t>
      </w:r>
      <w:r w:rsidR="00C4595B" w:rsidRPr="007450AF">
        <w:t>’</w:t>
      </w:r>
      <w:r w:rsidR="001D50E3" w:rsidRPr="007450AF">
        <w:t>exiger du débiteur qu</w:t>
      </w:r>
      <w:r w:rsidR="00C4595B" w:rsidRPr="007450AF">
        <w:t>’</w:t>
      </w:r>
      <w:r w:rsidR="001D50E3" w:rsidRPr="007450AF">
        <w:t>il se conforme à l</w:t>
      </w:r>
      <w:r w:rsidR="00C4595B" w:rsidRPr="007450AF">
        <w:t>’</w:t>
      </w:r>
      <w:r w:rsidR="001D50E3" w:rsidRPr="007450AF">
        <w:t>ordonnance.  L</w:t>
      </w:r>
      <w:r w:rsidR="00C4595B" w:rsidRPr="007450AF">
        <w:t>’</w:t>
      </w:r>
      <w:r w:rsidR="001D50E3" w:rsidRPr="007450AF">
        <w:t>analyse est fondée sur les faits propres à chaque cas</w:t>
      </w:r>
      <w:r w:rsidR="000C2762" w:rsidRPr="007450AF">
        <w:t xml:space="preserve">.  </w:t>
      </w:r>
      <w:r w:rsidR="00FA2F67" w:rsidRPr="007450AF">
        <w:t>En l</w:t>
      </w:r>
      <w:r w:rsidR="00C4595B" w:rsidRPr="007450AF">
        <w:t>’</w:t>
      </w:r>
      <w:r w:rsidR="00FA2F67" w:rsidRPr="007450AF">
        <w:t>espèce, l</w:t>
      </w:r>
      <w:r w:rsidR="00C4595B" w:rsidRPr="007450AF">
        <w:t>’</w:t>
      </w:r>
      <w:r w:rsidR="00FA2F67" w:rsidRPr="007450AF">
        <w:t>appréciation des faits par le tribunal, plus particulièrement sa constatation que les ordonnances constituaient la première étape en vue de la décontamination des sites par la province, ne permet de tirer aucune conclusion autre que celle suivant laquelle il était suffisamment certain que la province exécuterait des travaux de décontamination et qu</w:t>
      </w:r>
      <w:r w:rsidR="00C4595B" w:rsidRPr="007450AF">
        <w:t>’</w:t>
      </w:r>
      <w:r w:rsidR="00FA2F67" w:rsidRPr="007450AF">
        <w:t>elle était par conséquent visée par la définition d</w:t>
      </w:r>
      <w:r w:rsidR="00C4595B" w:rsidRPr="007450AF">
        <w:t>’</w:t>
      </w:r>
      <w:r w:rsidR="00FA2F67" w:rsidRPr="007450AF">
        <w:t>un créancier ayant une réclamation pécuniaire.</w:t>
      </w:r>
      <w:r w:rsidR="00FA2F67" w:rsidRPr="007450AF">
        <w:rPr>
          <w:szCs w:val="24"/>
        </w:rPr>
        <w:t xml:space="preserve"> </w:t>
      </w:r>
    </w:p>
    <w:p w:rsidR="008C6A73" w:rsidRPr="007450AF" w:rsidRDefault="00FA2F67" w:rsidP="00D07343">
      <w:pPr>
        <w:pStyle w:val="SCCNormalDoubleSpacing"/>
        <w:spacing w:after="480"/>
      </w:pPr>
      <w:r w:rsidRPr="007450AF">
        <w:tab/>
      </w:r>
      <w:r w:rsidR="002456F4" w:rsidRPr="007450AF">
        <w:t>Le fait d</w:t>
      </w:r>
      <w:r w:rsidR="00C4595B" w:rsidRPr="007450AF">
        <w:t>’</w:t>
      </w:r>
      <w:r w:rsidR="002456F4" w:rsidRPr="007450AF">
        <w:t>assujettir ces ordonnances au processus de réclamations n</w:t>
      </w:r>
      <w:r w:rsidR="00C4595B" w:rsidRPr="007450AF">
        <w:t>’</w:t>
      </w:r>
      <w:r w:rsidR="002456F4" w:rsidRPr="007450AF">
        <w:t>éteint pas les obligations environnementales qui incombent au débiteur, pas plus que le fait de soumettre à ce processus les réclamations des créanciers n</w:t>
      </w:r>
      <w:r w:rsidR="00C4595B" w:rsidRPr="007450AF">
        <w:t>’</w:t>
      </w:r>
      <w:r w:rsidR="002456F4" w:rsidRPr="007450AF">
        <w:t>éteint l</w:t>
      </w:r>
      <w:r w:rsidR="00C4595B" w:rsidRPr="007450AF">
        <w:t>’</w:t>
      </w:r>
      <w:r w:rsidR="002456F4" w:rsidRPr="007450AF">
        <w:t>obligation du débiteur de payer ses dettes.  Le fait d</w:t>
      </w:r>
      <w:r w:rsidR="00C4595B" w:rsidRPr="007450AF">
        <w:t>’</w:t>
      </w:r>
      <w:r w:rsidR="002456F4" w:rsidRPr="007450AF">
        <w:t>assujettir une ordonnance au processus de réclamation vise simplement à faire en sorte que le paiement au créancier sera fait conformément aux dispositions législatives applicables en matière d</w:t>
      </w:r>
      <w:r w:rsidR="00C4595B" w:rsidRPr="007450AF">
        <w:t>’</w:t>
      </w:r>
      <w:r w:rsidR="002456F4" w:rsidRPr="007450AF">
        <w:t xml:space="preserve">insolvabilité.  Le respect intégral des ordonnances dont la nature pécuniaire est reconnue transférerait le coût de la décontamination aux tiers créanciers et substituerait au principe du </w:t>
      </w:r>
      <w:proofErr w:type="spellStart"/>
      <w:r w:rsidR="002456F4" w:rsidRPr="007450AF">
        <w:t>pollueur</w:t>
      </w:r>
      <w:r w:rsidR="002456F4" w:rsidRPr="007450AF">
        <w:noBreakHyphen/>
        <w:t>payeur</w:t>
      </w:r>
      <w:proofErr w:type="spellEnd"/>
      <w:r w:rsidR="002456F4" w:rsidRPr="007450AF">
        <w:t xml:space="preserve"> celui du « </w:t>
      </w:r>
      <w:proofErr w:type="spellStart"/>
      <w:r w:rsidR="002456F4" w:rsidRPr="007450AF">
        <w:t>tiers</w:t>
      </w:r>
      <w:r w:rsidR="002456F4" w:rsidRPr="007450AF">
        <w:noBreakHyphen/>
        <w:t>payeur</w:t>
      </w:r>
      <w:proofErr w:type="spellEnd"/>
      <w:r w:rsidR="002456F4" w:rsidRPr="007450AF">
        <w:t xml:space="preserve"> ».  </w:t>
      </w:r>
      <w:r w:rsidR="00E4458E" w:rsidRPr="007450AF">
        <w:t>En outre, l</w:t>
      </w:r>
      <w:r w:rsidR="00C4595B" w:rsidRPr="007450AF">
        <w:t>’</w:t>
      </w:r>
      <w:r w:rsidR="00E4458E" w:rsidRPr="007450AF">
        <w:t>assujettissement des ordonnances environnementales à la procédure de réclamations n</w:t>
      </w:r>
      <w:r w:rsidR="00C4595B" w:rsidRPr="007450AF">
        <w:t>’</w:t>
      </w:r>
      <w:r w:rsidR="00E4458E" w:rsidRPr="007450AF">
        <w:t>équivaut pas à convier les sociétés à se réorganiser dans le but d</w:t>
      </w:r>
      <w:r w:rsidR="00C4595B" w:rsidRPr="007450AF">
        <w:t>’</w:t>
      </w:r>
      <w:r w:rsidR="00E4458E" w:rsidRPr="007450AF">
        <w:t>échapper à leurs obligations environnementales.</w:t>
      </w:r>
      <w:r w:rsidR="009F141B" w:rsidRPr="007450AF">
        <w:t xml:space="preserve">  Une réorganisation rendue nécessaire par l</w:t>
      </w:r>
      <w:r w:rsidR="00C4595B" w:rsidRPr="007450AF">
        <w:t>’</w:t>
      </w:r>
      <w:r w:rsidR="009F141B" w:rsidRPr="007450AF">
        <w:t xml:space="preserve">insolvabilité de la société peut difficilement être assimilée à un choix délibéré, et lorsque les risques </w:t>
      </w:r>
      <w:r w:rsidR="009F141B" w:rsidRPr="007450AF">
        <w:lastRenderedPageBreak/>
        <w:t>auxquels s</w:t>
      </w:r>
      <w:r w:rsidR="00C4595B" w:rsidRPr="007450AF">
        <w:t>’</w:t>
      </w:r>
      <w:r w:rsidR="009F141B" w:rsidRPr="007450AF">
        <w:t xml:space="preserve">exposent les sociétés se concrétisent, la </w:t>
      </w:r>
      <w:proofErr w:type="spellStart"/>
      <w:r w:rsidR="009F141B" w:rsidRPr="007450AF">
        <w:t>quasi</w:t>
      </w:r>
      <w:r w:rsidR="009F141B" w:rsidRPr="007450AF">
        <w:noBreakHyphen/>
        <w:t>totalité</w:t>
      </w:r>
      <w:proofErr w:type="spellEnd"/>
      <w:r w:rsidR="009F141B" w:rsidRPr="007450AF">
        <w:t xml:space="preserve"> des personnes ayant des intérêts dans la société en supportent les terribles coûts.  </w:t>
      </w:r>
    </w:p>
    <w:p w:rsidR="00FA2F67" w:rsidRPr="007450AF" w:rsidRDefault="009F141B" w:rsidP="00D07343">
      <w:pPr>
        <w:pStyle w:val="SCCNormalDoubleSpacing"/>
        <w:spacing w:after="480"/>
      </w:pPr>
      <w:r w:rsidRPr="007450AF">
        <w:tab/>
      </w:r>
      <w:r w:rsidR="00940BFC" w:rsidRPr="007450AF">
        <w:t>L</w:t>
      </w:r>
      <w:r w:rsidR="00C4595B" w:rsidRPr="007450AF">
        <w:t>’</w:t>
      </w:r>
      <w:r w:rsidR="00940BFC" w:rsidRPr="007450AF">
        <w:t>application de la doctrine des pouvoirs accessoires n</w:t>
      </w:r>
      <w:r w:rsidR="00C4595B" w:rsidRPr="007450AF">
        <w:t>’</w:t>
      </w:r>
      <w:r w:rsidR="00940BFC" w:rsidRPr="007450AF">
        <w:t>est pas pertinente en l</w:t>
      </w:r>
      <w:r w:rsidR="00C4595B" w:rsidRPr="007450AF">
        <w:t>’</w:t>
      </w:r>
      <w:r w:rsidR="00940BFC" w:rsidRPr="007450AF">
        <w:t>espèce car les dispositions régissant l</w:t>
      </w:r>
      <w:r w:rsidR="00C4595B" w:rsidRPr="007450AF">
        <w:t>’</w:t>
      </w:r>
      <w:r w:rsidR="00940BFC" w:rsidRPr="007450AF">
        <w:t>évaluation des réclamations en matière d</w:t>
      </w:r>
      <w:r w:rsidR="00C4595B" w:rsidRPr="007450AF">
        <w:t>’</w:t>
      </w:r>
      <w:r w:rsidR="00940BFC" w:rsidRPr="007450AF">
        <w:t>insolvabilité sont directement reliées à la compétence du législateur fédéral.  La doctrine de la protection des compétences exclusives ne s</w:t>
      </w:r>
      <w:r w:rsidR="00C4595B" w:rsidRPr="007450AF">
        <w:t>’</w:t>
      </w:r>
      <w:r w:rsidR="00940BFC" w:rsidRPr="007450AF">
        <w:t>applique pas n</w:t>
      </w:r>
      <w:r w:rsidR="004D2433" w:rsidRPr="007450AF">
        <w:t>on plus</w:t>
      </w:r>
      <w:r w:rsidR="00940BFC" w:rsidRPr="007450AF">
        <w:t xml:space="preserve"> parce qu</w:t>
      </w:r>
      <w:r w:rsidR="00C4595B" w:rsidRPr="007450AF">
        <w:t>’</w:t>
      </w:r>
      <w:r w:rsidR="00940BFC" w:rsidRPr="007450AF">
        <w:t>une conclusion selon laquelle un créancier œuvrant dans le domaine de l</w:t>
      </w:r>
      <w:r w:rsidR="00C4595B" w:rsidRPr="007450AF">
        <w:t>’</w:t>
      </w:r>
      <w:r w:rsidR="00940BFC" w:rsidRPr="007450AF">
        <w:t>environnement détient une réclamation pécuniaire ne modifie en rien les activités de ce créancier; sa réclamation est simplement assujettie au processus d</w:t>
      </w:r>
      <w:r w:rsidR="00C4595B" w:rsidRPr="007450AF">
        <w:t>’</w:t>
      </w:r>
      <w:r w:rsidR="00940BFC" w:rsidRPr="007450AF">
        <w:t xml:space="preserve">insolvabilité.   </w:t>
      </w:r>
    </w:p>
    <w:p w:rsidR="006C5661" w:rsidRPr="007450AF" w:rsidRDefault="009B57B3" w:rsidP="00D07343">
      <w:pPr>
        <w:pStyle w:val="SCCNormalDoubleSpacing"/>
        <w:spacing w:after="480"/>
      </w:pPr>
      <w:r w:rsidRPr="007450AF">
        <w:tab/>
      </w:r>
      <w:r w:rsidR="00C4482E" w:rsidRPr="007450AF">
        <w:rPr>
          <w:i/>
        </w:rPr>
        <w:t>La</w:t>
      </w:r>
      <w:r w:rsidR="00C4482E" w:rsidRPr="007450AF">
        <w:t xml:space="preserve"> juge en chef </w:t>
      </w:r>
      <w:proofErr w:type="spellStart"/>
      <w:r w:rsidR="00C4482E" w:rsidRPr="007450AF">
        <w:t>McLachlin</w:t>
      </w:r>
      <w:proofErr w:type="spellEnd"/>
      <w:r w:rsidR="00C4482E" w:rsidRPr="007450AF">
        <w:t xml:space="preserve"> (dissidente) : Les ordonnances exigeant la décontamination émises aux termes d</w:t>
      </w:r>
      <w:r w:rsidR="00C4595B" w:rsidRPr="007450AF">
        <w:t>’</w:t>
      </w:r>
      <w:r w:rsidR="00C4482E" w:rsidRPr="007450AF">
        <w:t>une loi provinciale sur la protection de l</w:t>
      </w:r>
      <w:r w:rsidR="00C4595B" w:rsidRPr="007450AF">
        <w:t>’</w:t>
      </w:r>
      <w:r w:rsidR="00C4482E" w:rsidRPr="007450AF">
        <w:t>environnement</w:t>
      </w:r>
      <w:r w:rsidR="00C4482E" w:rsidRPr="007450AF">
        <w:rPr>
          <w:i/>
        </w:rPr>
        <w:t xml:space="preserve"> </w:t>
      </w:r>
      <w:r w:rsidR="00C4482E" w:rsidRPr="007450AF">
        <w:t xml:space="preserve">imposent des exigences réglementaires continues à la personne morale requise de remédier à la pollution.  Ces ordonnances ne peuvent être converties en réclamations pécuniaires </w:t>
      </w:r>
      <w:r w:rsidR="00B941D1" w:rsidRPr="007450AF">
        <w:t>po</w:t>
      </w:r>
      <w:r w:rsidR="00C4482E" w:rsidRPr="007450AF">
        <w:t>uv</w:t>
      </w:r>
      <w:r w:rsidR="00B941D1" w:rsidRPr="007450AF">
        <w:t>a</w:t>
      </w:r>
      <w:r w:rsidR="00C4482E" w:rsidRPr="007450AF">
        <w:t>nt faire l</w:t>
      </w:r>
      <w:r w:rsidR="00C4595B" w:rsidRPr="007450AF">
        <w:t>’</w:t>
      </w:r>
      <w:r w:rsidR="00C4482E" w:rsidRPr="007450AF">
        <w:t xml:space="preserve">objet de transactions dans le cadre de procédures engagées aux termes de la </w:t>
      </w:r>
      <w:r w:rsidR="00C4482E" w:rsidRPr="007450AF">
        <w:rPr>
          <w:i/>
        </w:rPr>
        <w:t>LACC</w:t>
      </w:r>
      <w:r w:rsidR="00C4482E" w:rsidRPr="007450AF">
        <w:t xml:space="preserve"> que dans certaines circonstances</w:t>
      </w:r>
      <w:r w:rsidR="001D50E3" w:rsidRPr="007450AF">
        <w:t xml:space="preserve"> particulières</w:t>
      </w:r>
      <w:r w:rsidR="00C4482E" w:rsidRPr="007450AF">
        <w:t>, lorsqu</w:t>
      </w:r>
      <w:r w:rsidR="00C4595B" w:rsidRPr="007450AF">
        <w:t>’</w:t>
      </w:r>
      <w:r w:rsidR="00C4482E" w:rsidRPr="007450AF">
        <w:t>une province a exécuté les travaux ou lorsqu</w:t>
      </w:r>
      <w:r w:rsidR="00C4595B" w:rsidRPr="007450AF">
        <w:t>’</w:t>
      </w:r>
      <w:r w:rsidR="00C4482E" w:rsidRPr="007450AF">
        <w:t>il est « suffisamment certain » qu</w:t>
      </w:r>
      <w:r w:rsidR="00C4595B" w:rsidRPr="007450AF">
        <w:t>’</w:t>
      </w:r>
      <w:r w:rsidR="00C4482E" w:rsidRPr="007450AF">
        <w:t xml:space="preserve">elle exécutera les travaux.  </w:t>
      </w:r>
      <w:r w:rsidR="00DC23DF" w:rsidRPr="007450AF">
        <w:t xml:space="preserve">Cette </w:t>
      </w:r>
      <w:r w:rsidR="00AF19AF" w:rsidRPr="007450AF">
        <w:t>d</w:t>
      </w:r>
      <w:r w:rsidR="00A93A9C" w:rsidRPr="007450AF">
        <w:t xml:space="preserve">euxième </w:t>
      </w:r>
      <w:r w:rsidR="00DC23DF" w:rsidRPr="007450AF">
        <w:t xml:space="preserve">situation est prévue par les dispositions de la </w:t>
      </w:r>
      <w:r w:rsidR="00DC23DF" w:rsidRPr="007450AF">
        <w:rPr>
          <w:i/>
        </w:rPr>
        <w:t xml:space="preserve">LACC </w:t>
      </w:r>
      <w:r w:rsidR="00DC23DF" w:rsidRPr="007450AF">
        <w:t>relatives aux réclamations éventuelles ou futures.  Le critère consiste à déterminer s</w:t>
      </w:r>
      <w:r w:rsidR="00C4595B" w:rsidRPr="007450AF">
        <w:t>’</w:t>
      </w:r>
      <w:r w:rsidR="00DC23DF" w:rsidRPr="007450AF">
        <w:t xml:space="preserve">il existe une probabilité proche de la certitude que la province exécutera les travaux.  Une « probabilité proche de la certitude » reconnaît que la décision du gouvernement est discrétionnaire et peut être </w:t>
      </w:r>
      <w:r w:rsidR="00DC23DF" w:rsidRPr="007450AF">
        <w:lastRenderedPageBreak/>
        <w:t>influencée par des considérations politiques et sociales concurrentes qui sont normalement soustraites à l</w:t>
      </w:r>
      <w:r w:rsidR="00C4595B" w:rsidRPr="007450AF">
        <w:t>’</w:t>
      </w:r>
      <w:r w:rsidR="00DC23DF" w:rsidRPr="007450AF">
        <w:t>examen judiciaire</w:t>
      </w:r>
      <w:r w:rsidR="0049615E" w:rsidRPr="007450AF">
        <w:t>.  Dans la mesure où cette décision touche le partage des pouvoirs, je souscris pour l</w:t>
      </w:r>
      <w:r w:rsidR="00C4595B" w:rsidRPr="007450AF">
        <w:t>’</w:t>
      </w:r>
      <w:r w:rsidR="0049615E" w:rsidRPr="007450AF">
        <w:t>essentiel à l</w:t>
      </w:r>
      <w:r w:rsidR="00C4595B" w:rsidRPr="007450AF">
        <w:t>’</w:t>
      </w:r>
      <w:r w:rsidR="0049615E" w:rsidRPr="007450AF">
        <w:t>opinion exprimée par la juge Deschamps.</w:t>
      </w:r>
    </w:p>
    <w:p w:rsidR="0049615E" w:rsidRPr="007450AF" w:rsidRDefault="00FF5A0D" w:rsidP="00D07343">
      <w:pPr>
        <w:pStyle w:val="SCCNormalDoubleSpacing"/>
        <w:spacing w:after="480"/>
      </w:pPr>
      <w:r w:rsidRPr="007450AF">
        <w:tab/>
        <w:t>À</w:t>
      </w:r>
      <w:r w:rsidR="0049615E" w:rsidRPr="007450AF">
        <w:t xml:space="preserve"> l</w:t>
      </w:r>
      <w:r w:rsidR="00C4595B" w:rsidRPr="007450AF">
        <w:t>’</w:t>
      </w:r>
      <w:r w:rsidR="0049615E" w:rsidRPr="007450AF">
        <w:t xml:space="preserve">exception des ordonnances relatives aux travaux sur le site de </w:t>
      </w:r>
      <w:proofErr w:type="spellStart"/>
      <w:r w:rsidR="0049615E" w:rsidRPr="007450AF">
        <w:t>Buchans</w:t>
      </w:r>
      <w:proofErr w:type="spellEnd"/>
      <w:r w:rsidR="0049615E" w:rsidRPr="007450AF">
        <w:t xml:space="preserve"> déjà exécutés ou à l</w:t>
      </w:r>
      <w:r w:rsidR="00C4595B" w:rsidRPr="007450AF">
        <w:t>’</w:t>
      </w:r>
      <w:r w:rsidR="0049615E" w:rsidRPr="007450AF">
        <w:t>égard desquels des appels d</w:t>
      </w:r>
      <w:r w:rsidR="00C4595B" w:rsidRPr="007450AF">
        <w:t>’</w:t>
      </w:r>
      <w:r w:rsidR="0049615E" w:rsidRPr="007450AF">
        <w:t>offres ont été lancés</w:t>
      </w:r>
      <w:r w:rsidR="00A81BCA" w:rsidRPr="007450AF">
        <w:t xml:space="preserve">, les ordonnances exigeant la décontamination </w:t>
      </w:r>
      <w:r w:rsidR="00B941D1" w:rsidRPr="007450AF">
        <w:t>en l</w:t>
      </w:r>
      <w:r w:rsidR="00C4595B" w:rsidRPr="007450AF">
        <w:t>’</w:t>
      </w:r>
      <w:r w:rsidR="00B941D1" w:rsidRPr="007450AF">
        <w:t xml:space="preserve">espèce </w:t>
      </w:r>
      <w:r w:rsidR="0049615E" w:rsidRPr="007450AF">
        <w:t xml:space="preserve">ne constituent pas des réclamations </w:t>
      </w:r>
      <w:r w:rsidR="00A81BCA" w:rsidRPr="007450AF">
        <w:t>pouvant faire l</w:t>
      </w:r>
      <w:r w:rsidR="00C4595B" w:rsidRPr="007450AF">
        <w:t>’</w:t>
      </w:r>
      <w:r w:rsidR="00A81BCA" w:rsidRPr="007450AF">
        <w:t>objet de transactions dans le cadre d</w:t>
      </w:r>
      <w:r w:rsidR="00C4595B" w:rsidRPr="007450AF">
        <w:t>’</w:t>
      </w:r>
      <w:r w:rsidR="00A81BCA" w:rsidRPr="007450AF">
        <w:t xml:space="preserve">une restructuration.  La </w:t>
      </w:r>
      <w:r w:rsidR="00A81BCA" w:rsidRPr="007450AF">
        <w:rPr>
          <w:i/>
        </w:rPr>
        <w:t xml:space="preserve">LACC </w:t>
      </w:r>
      <w:r w:rsidR="00A81BCA" w:rsidRPr="007450AF">
        <w:t xml:space="preserve">établit une distinction fondamentale entre les exigences réglementaires </w:t>
      </w:r>
      <w:r w:rsidR="00454B21" w:rsidRPr="007450AF">
        <w:t>découlant d</w:t>
      </w:r>
      <w:r w:rsidR="00C4595B" w:rsidRPr="007450AF">
        <w:t>’</w:t>
      </w:r>
      <w:r w:rsidR="00454B21" w:rsidRPr="007450AF">
        <w:t>une loi d</w:t>
      </w:r>
      <w:r w:rsidR="00C4595B" w:rsidRPr="007450AF">
        <w:t>’</w:t>
      </w:r>
      <w:r w:rsidR="00454B21" w:rsidRPr="007450AF">
        <w:t>application générale visant la protection du public, d</w:t>
      </w:r>
      <w:r w:rsidR="00C4595B" w:rsidRPr="007450AF">
        <w:t>’</w:t>
      </w:r>
      <w:r w:rsidR="00454B21" w:rsidRPr="007450AF">
        <w:t>une part, et les réclamations pécuniaires pouvant faire l</w:t>
      </w:r>
      <w:r w:rsidR="00C4595B" w:rsidRPr="007450AF">
        <w:t>’</w:t>
      </w:r>
      <w:r w:rsidR="00454B21" w:rsidRPr="007450AF">
        <w:t>objet d</w:t>
      </w:r>
      <w:r w:rsidR="00C4595B" w:rsidRPr="007450AF">
        <w:t>’</w:t>
      </w:r>
      <w:r w:rsidR="00454B21" w:rsidRPr="007450AF">
        <w:t>une transaction dans le cadre d</w:t>
      </w:r>
      <w:r w:rsidR="00C4595B" w:rsidRPr="007450AF">
        <w:t>’</w:t>
      </w:r>
      <w:r w:rsidR="00454B21" w:rsidRPr="007450AF">
        <w:t xml:space="preserve">une restructuration engagée sous le régime de la </w:t>
      </w:r>
      <w:r w:rsidR="00454B21" w:rsidRPr="007450AF">
        <w:rPr>
          <w:i/>
        </w:rPr>
        <w:t xml:space="preserve">LACC </w:t>
      </w:r>
      <w:r w:rsidR="00454B21" w:rsidRPr="007450AF">
        <w:t>ou en matière de faillite, d</w:t>
      </w:r>
      <w:r w:rsidR="00C4595B" w:rsidRPr="007450AF">
        <w:t>’</w:t>
      </w:r>
      <w:r w:rsidR="00454B21" w:rsidRPr="007450AF">
        <w:t>autre part.  Le juge de première instance ne s</w:t>
      </w:r>
      <w:r w:rsidR="00C4595B" w:rsidRPr="007450AF">
        <w:t>’</w:t>
      </w:r>
      <w:r w:rsidR="00454B21" w:rsidRPr="007450AF">
        <w:t>est jamais posé la question cruciale de savoir s</w:t>
      </w:r>
      <w:r w:rsidR="00C4595B" w:rsidRPr="007450AF">
        <w:t>’</w:t>
      </w:r>
      <w:r w:rsidR="00454B21" w:rsidRPr="007450AF">
        <w:t xml:space="preserve">il était « suffisamment certain » que la province exécuterait </w:t>
      </w:r>
      <w:proofErr w:type="spellStart"/>
      <w:r w:rsidR="00454B21" w:rsidRPr="007450AF">
        <w:t>elle</w:t>
      </w:r>
      <w:r w:rsidR="00454B21" w:rsidRPr="007450AF">
        <w:noBreakHyphen/>
        <w:t>même</w:t>
      </w:r>
      <w:proofErr w:type="spellEnd"/>
      <w:r w:rsidR="00454B21" w:rsidRPr="007450AF">
        <w:t xml:space="preserve"> les travaux.  Le fait qu</w:t>
      </w:r>
      <w:r w:rsidR="00C4595B" w:rsidRPr="007450AF">
        <w:t>’</w:t>
      </w:r>
      <w:r w:rsidR="00454B21" w:rsidRPr="007450AF">
        <w:t>il n</w:t>
      </w:r>
      <w:r w:rsidR="00C4595B" w:rsidRPr="007450AF">
        <w:t>’</w:t>
      </w:r>
      <w:r w:rsidR="00454B21" w:rsidRPr="007450AF">
        <w:t xml:space="preserve">ait pas examiné cette question oblige notre Cour à y répondre à sa place.  </w:t>
      </w:r>
      <w:r w:rsidR="0098096A" w:rsidRPr="007450AF">
        <w:t>A</w:t>
      </w:r>
      <w:r w:rsidR="00454B21" w:rsidRPr="007450AF">
        <w:t xml:space="preserve">ucune preuve au dossier ne laisse </w:t>
      </w:r>
      <w:r w:rsidR="00B941D1" w:rsidRPr="007450AF">
        <w:t>c</w:t>
      </w:r>
      <w:r w:rsidR="00454B21" w:rsidRPr="007450AF">
        <w:t>roir</w:t>
      </w:r>
      <w:r w:rsidR="00B941D1" w:rsidRPr="007450AF">
        <w:t>e</w:t>
      </w:r>
      <w:r w:rsidR="0098096A" w:rsidRPr="007450AF">
        <w:t xml:space="preserve"> que la province entreprendra la décontamination des sites.  Il n</w:t>
      </w:r>
      <w:r w:rsidR="00C4595B" w:rsidRPr="007450AF">
        <w:t>’</w:t>
      </w:r>
      <w:r w:rsidR="0098096A" w:rsidRPr="007450AF">
        <w:t>a pas été démontré que la contamination pose pour la santé des risques immédiats exigeant la prise de mesures dans les plus brefs délais.  Il n</w:t>
      </w:r>
      <w:r w:rsidR="00C4595B" w:rsidRPr="007450AF">
        <w:t>’</w:t>
      </w:r>
      <w:r w:rsidR="0098096A" w:rsidRPr="007450AF">
        <w:t>a pas été démontré que la province a pris quelque mesure que ce soit pour réaliser des travaux.  Et il n</w:t>
      </w:r>
      <w:r w:rsidR="00C4595B" w:rsidRPr="007450AF">
        <w:t>’</w:t>
      </w:r>
      <w:r w:rsidR="0098096A" w:rsidRPr="007450AF">
        <w:t>a pas été démontré que la province a prévu des sommes d</w:t>
      </w:r>
      <w:r w:rsidR="00C4595B" w:rsidRPr="007450AF">
        <w:t>’</w:t>
      </w:r>
      <w:r w:rsidR="0098096A" w:rsidRPr="007450AF">
        <w:t>argent pour ces travaux ou qu</w:t>
      </w:r>
      <w:r w:rsidR="00C4595B" w:rsidRPr="007450AF">
        <w:t>’</w:t>
      </w:r>
      <w:r w:rsidR="0098096A" w:rsidRPr="007450AF">
        <w:t xml:space="preserve">elle a même songé à en prévoir.  La province </w:t>
      </w:r>
      <w:r w:rsidR="002456F4" w:rsidRPr="007450AF">
        <w:t xml:space="preserve">a </w:t>
      </w:r>
      <w:r w:rsidR="0098096A" w:rsidRPr="007450AF">
        <w:t>conserv</w:t>
      </w:r>
      <w:r w:rsidR="002456F4" w:rsidRPr="007450AF">
        <w:t>é</w:t>
      </w:r>
      <w:r w:rsidR="0098096A" w:rsidRPr="007450AF">
        <w:t xml:space="preserve"> un certain nombre de choix, notamment laisser les sites contaminés, </w:t>
      </w:r>
      <w:r w:rsidR="00AD6764" w:rsidRPr="007450AF">
        <w:t xml:space="preserve">ou demander à </w:t>
      </w:r>
      <w:r w:rsidR="00AD6764" w:rsidRPr="007450AF">
        <w:lastRenderedPageBreak/>
        <w:t xml:space="preserve">Abitibi d’exécuter les travaux lorsqu’elle aura complété sa </w:t>
      </w:r>
      <w:r w:rsidR="0098096A" w:rsidRPr="007450AF">
        <w:t>restructuration.  Rien au dossier n</w:t>
      </w:r>
      <w:r w:rsidR="00C4595B" w:rsidRPr="007450AF">
        <w:t>’</w:t>
      </w:r>
      <w:r w:rsidR="0098096A" w:rsidRPr="007450AF">
        <w:t>indique qu</w:t>
      </w:r>
      <w:r w:rsidR="00C4595B" w:rsidRPr="007450AF">
        <w:t>’</w:t>
      </w:r>
      <w:r w:rsidR="0056229A" w:rsidRPr="007450AF">
        <w:t>il</w:t>
      </w:r>
      <w:r w:rsidR="0098096A" w:rsidRPr="007450AF">
        <w:t xml:space="preserve"> </w:t>
      </w:r>
      <w:r w:rsidR="0056229A" w:rsidRPr="007450AF">
        <w:t>e</w:t>
      </w:r>
      <w:r w:rsidR="0098096A" w:rsidRPr="007450AF">
        <w:t xml:space="preserve">st plus </w:t>
      </w:r>
      <w:r w:rsidR="0056229A" w:rsidRPr="007450AF">
        <w:t xml:space="preserve">probable, </w:t>
      </w:r>
      <w:r w:rsidR="0098096A" w:rsidRPr="007450AF">
        <w:t>et encore moins qu</w:t>
      </w:r>
      <w:r w:rsidR="00C4595B" w:rsidRPr="007450AF">
        <w:t>’</w:t>
      </w:r>
      <w:r w:rsidR="0098096A" w:rsidRPr="007450AF">
        <w:t>il est « suffisamment certain »</w:t>
      </w:r>
      <w:r w:rsidR="0056229A" w:rsidRPr="007450AF">
        <w:t>,</w:t>
      </w:r>
      <w:r w:rsidR="0098096A" w:rsidRPr="007450AF">
        <w:t xml:space="preserve"> que la province </w:t>
      </w:r>
      <w:r w:rsidR="0056229A" w:rsidRPr="007450AF">
        <w:t>choisira d</w:t>
      </w:r>
      <w:r w:rsidR="00C4595B" w:rsidRPr="007450AF">
        <w:t>’</w:t>
      </w:r>
      <w:r w:rsidR="0098096A" w:rsidRPr="007450AF">
        <w:t xml:space="preserve">exécuter </w:t>
      </w:r>
      <w:proofErr w:type="spellStart"/>
      <w:r w:rsidR="0098096A" w:rsidRPr="007450AF">
        <w:t>elle</w:t>
      </w:r>
      <w:r w:rsidR="0098096A" w:rsidRPr="007450AF">
        <w:noBreakHyphen/>
        <w:t>même</w:t>
      </w:r>
      <w:proofErr w:type="spellEnd"/>
      <w:r w:rsidR="0098096A" w:rsidRPr="007450AF">
        <w:t xml:space="preserve"> la décontamination</w:t>
      </w:r>
      <w:r w:rsidR="0056229A" w:rsidRPr="007450AF">
        <w:t>.</w:t>
      </w:r>
    </w:p>
    <w:p w:rsidR="009C6057" w:rsidRPr="007450AF" w:rsidRDefault="009C6057" w:rsidP="00D07343">
      <w:pPr>
        <w:pStyle w:val="SCCNormalDoubleSpacing"/>
        <w:spacing w:after="480"/>
      </w:pPr>
      <w:r w:rsidRPr="007450AF">
        <w:tab/>
      </w:r>
      <w:r w:rsidRPr="007450AF">
        <w:rPr>
          <w:i/>
        </w:rPr>
        <w:t>Le</w:t>
      </w:r>
      <w:r w:rsidRPr="007450AF">
        <w:t xml:space="preserve"> juge LeBel (dissident) : </w:t>
      </w:r>
      <w:r w:rsidR="001A2267" w:rsidRPr="007450AF">
        <w:t>Le critère que propose la Juge en chef, selon lequel la preuve doit démontrer une « probabilité proche de la certitude » que la province se chargerait de la décontamination</w:t>
      </w:r>
      <w:r w:rsidR="00DE5ACA" w:rsidRPr="007450AF">
        <w:t>,</w:t>
      </w:r>
      <w:r w:rsidR="001A2267" w:rsidRPr="007450AF">
        <w:t xml:space="preserve"> ne constitue pas le critère établi pour déterminer si, et de quelle façon, une réclamation éventuelle peut être liquidée en droit de la faillite et de l</w:t>
      </w:r>
      <w:r w:rsidR="00C4595B" w:rsidRPr="007450AF">
        <w:t>’</w:t>
      </w:r>
      <w:r w:rsidR="001A2267" w:rsidRPr="007450AF">
        <w:t xml:space="preserve">insolvabilité.  Le critère </w:t>
      </w:r>
      <w:bookmarkStart w:id="0" w:name="OLE_LINK1"/>
      <w:bookmarkStart w:id="1" w:name="OLE_LINK2"/>
      <w:r w:rsidR="001A2267" w:rsidRPr="007450AF">
        <w:t>de ce qui est « suffisamment certain »</w:t>
      </w:r>
      <w:bookmarkEnd w:id="0"/>
      <w:bookmarkEnd w:id="1"/>
      <w:r w:rsidR="001A2267" w:rsidRPr="007450AF">
        <w:t xml:space="preserve"> qu</w:t>
      </w:r>
      <w:r w:rsidR="00C4595B" w:rsidRPr="007450AF">
        <w:t>’</w:t>
      </w:r>
      <w:r w:rsidR="001A2267" w:rsidRPr="007450AF">
        <w:t xml:space="preserve">énonce la juge Deschamps reflète mieux la façon dont la </w:t>
      </w:r>
      <w:proofErr w:type="spellStart"/>
      <w:r w:rsidR="001A2267" w:rsidRPr="007450AF">
        <w:t>common</w:t>
      </w:r>
      <w:proofErr w:type="spellEnd"/>
      <w:r w:rsidR="001A2267" w:rsidRPr="007450AF">
        <w:t xml:space="preserve"> </w:t>
      </w:r>
      <w:proofErr w:type="spellStart"/>
      <w:r w:rsidR="001A2267" w:rsidRPr="007450AF">
        <w:t>law</w:t>
      </w:r>
      <w:proofErr w:type="spellEnd"/>
      <w:r w:rsidR="001A2267" w:rsidRPr="007450AF">
        <w:t xml:space="preserve"> et le droit civil envisagent et traitent les réclamations éventuelles.  En appliquant ce critère, il y aurait lieu d</w:t>
      </w:r>
      <w:r w:rsidR="00C4595B" w:rsidRPr="007450AF">
        <w:t>’</w:t>
      </w:r>
      <w:r w:rsidR="001A2267" w:rsidRPr="007450AF">
        <w:t>accueillir le pourvoi puisqu</w:t>
      </w:r>
      <w:r w:rsidR="00C4595B" w:rsidRPr="007450AF">
        <w:t>’</w:t>
      </w:r>
      <w:r w:rsidR="001A2267" w:rsidRPr="007450AF">
        <w:t>aucune preuve ne confirme l</w:t>
      </w:r>
      <w:r w:rsidR="00C4595B" w:rsidRPr="007450AF">
        <w:t>’</w:t>
      </w:r>
      <w:r w:rsidR="001A2267" w:rsidRPr="007450AF">
        <w:t>intention de la province d</w:t>
      </w:r>
      <w:r w:rsidR="00C4595B" w:rsidRPr="007450AF">
        <w:t>’</w:t>
      </w:r>
      <w:r w:rsidR="001A2267" w:rsidRPr="007450AF">
        <w:t xml:space="preserve">exécuter </w:t>
      </w:r>
      <w:proofErr w:type="spellStart"/>
      <w:r w:rsidR="001A2267" w:rsidRPr="007450AF">
        <w:t>elle</w:t>
      </w:r>
      <w:r w:rsidR="001A2267" w:rsidRPr="007450AF">
        <w:noBreakHyphen/>
        <w:t>même</w:t>
      </w:r>
      <w:proofErr w:type="spellEnd"/>
      <w:r w:rsidR="001A2267" w:rsidRPr="007450AF">
        <w:t xml:space="preserve"> les travaux de décontamination.  </w:t>
      </w:r>
    </w:p>
    <w:p w:rsidR="007E1C47" w:rsidRPr="007450AF" w:rsidRDefault="0043088E" w:rsidP="00A76B3C">
      <w:pPr>
        <w:pStyle w:val="SCCNormalDoubleSpacing"/>
        <w:keepNext/>
        <w:spacing w:after="720" w:line="240" w:lineRule="auto"/>
        <w:rPr>
          <w:b/>
        </w:rPr>
      </w:pPr>
      <w:r w:rsidRPr="007450AF">
        <w:rPr>
          <w:b/>
        </w:rPr>
        <w:t>Jurisprudence</w:t>
      </w:r>
    </w:p>
    <w:p w:rsidR="00096FF8" w:rsidRPr="007450AF" w:rsidRDefault="00096FF8" w:rsidP="00D07343">
      <w:pPr>
        <w:pStyle w:val="SCCNormalDoubleSpacing"/>
        <w:widowControl w:val="0"/>
        <w:spacing w:after="480"/>
      </w:pPr>
      <w:r w:rsidRPr="007450AF">
        <w:t>Citée par la juge Deschamps</w:t>
      </w:r>
    </w:p>
    <w:p w:rsidR="00D3351A" w:rsidRPr="007450AF" w:rsidRDefault="002E6705" w:rsidP="00D07343">
      <w:pPr>
        <w:pStyle w:val="SCCNormalDoubleSpacing"/>
        <w:widowControl w:val="0"/>
        <w:spacing w:after="480"/>
        <w:rPr>
          <w:szCs w:val="24"/>
        </w:rPr>
      </w:pPr>
      <w:r w:rsidRPr="007450AF">
        <w:tab/>
      </w:r>
      <w:r w:rsidR="00280202" w:rsidRPr="007450AF">
        <w:rPr>
          <w:b/>
        </w:rPr>
        <w:t>D</w:t>
      </w:r>
      <w:r w:rsidR="00606A6D" w:rsidRPr="007450AF">
        <w:rPr>
          <w:b/>
        </w:rPr>
        <w:t>i</w:t>
      </w:r>
      <w:r w:rsidR="00280202" w:rsidRPr="007450AF">
        <w:rPr>
          <w:b/>
        </w:rPr>
        <w:t>stinction d</w:t>
      </w:r>
      <w:r w:rsidR="00C4595B" w:rsidRPr="007450AF">
        <w:rPr>
          <w:b/>
        </w:rPr>
        <w:t>’</w:t>
      </w:r>
      <w:r w:rsidR="00280202" w:rsidRPr="007450AF">
        <w:rPr>
          <w:b/>
        </w:rPr>
        <w:t>avec l</w:t>
      </w:r>
      <w:r w:rsidR="00C4595B" w:rsidRPr="007450AF">
        <w:rPr>
          <w:b/>
        </w:rPr>
        <w:t>’</w:t>
      </w:r>
      <w:r w:rsidR="00280202" w:rsidRPr="007450AF">
        <w:rPr>
          <w:b/>
        </w:rPr>
        <w:t xml:space="preserve">arrêt : </w:t>
      </w:r>
      <w:proofErr w:type="spellStart"/>
      <w:r w:rsidR="00280202" w:rsidRPr="007450AF">
        <w:rPr>
          <w:i/>
          <w:szCs w:val="24"/>
        </w:rPr>
        <w:t>Panamericana</w:t>
      </w:r>
      <w:proofErr w:type="spellEnd"/>
      <w:r w:rsidR="00280202" w:rsidRPr="007450AF">
        <w:rPr>
          <w:i/>
          <w:szCs w:val="24"/>
        </w:rPr>
        <w:t xml:space="preserve"> de </w:t>
      </w:r>
      <w:proofErr w:type="spellStart"/>
      <w:r w:rsidR="00280202" w:rsidRPr="007450AF">
        <w:rPr>
          <w:i/>
          <w:szCs w:val="24"/>
        </w:rPr>
        <w:t>Bienes</w:t>
      </w:r>
      <w:proofErr w:type="spellEnd"/>
      <w:r w:rsidR="00280202" w:rsidRPr="007450AF">
        <w:rPr>
          <w:i/>
          <w:szCs w:val="24"/>
        </w:rPr>
        <w:t xml:space="preserve"> y </w:t>
      </w:r>
      <w:proofErr w:type="spellStart"/>
      <w:r w:rsidR="00280202" w:rsidRPr="007450AF">
        <w:rPr>
          <w:i/>
          <w:szCs w:val="24"/>
        </w:rPr>
        <w:t>Servicios</w:t>
      </w:r>
      <w:proofErr w:type="spellEnd"/>
      <w:r w:rsidR="00280202" w:rsidRPr="007450AF">
        <w:rPr>
          <w:i/>
          <w:szCs w:val="24"/>
        </w:rPr>
        <w:t xml:space="preserve"> S.A. c. </w:t>
      </w:r>
      <w:proofErr w:type="spellStart"/>
      <w:r w:rsidR="00280202" w:rsidRPr="007450AF">
        <w:rPr>
          <w:i/>
          <w:szCs w:val="24"/>
        </w:rPr>
        <w:t>Northern</w:t>
      </w:r>
      <w:proofErr w:type="spellEnd"/>
      <w:r w:rsidR="00280202" w:rsidRPr="007450AF">
        <w:rPr>
          <w:i/>
          <w:szCs w:val="24"/>
        </w:rPr>
        <w:t xml:space="preserve"> </w:t>
      </w:r>
      <w:proofErr w:type="spellStart"/>
      <w:r w:rsidR="00280202" w:rsidRPr="007450AF">
        <w:rPr>
          <w:i/>
          <w:szCs w:val="24"/>
        </w:rPr>
        <w:t>Badger</w:t>
      </w:r>
      <w:proofErr w:type="spellEnd"/>
      <w:r w:rsidR="00280202" w:rsidRPr="007450AF">
        <w:rPr>
          <w:i/>
          <w:szCs w:val="24"/>
        </w:rPr>
        <w:t xml:space="preserve"> </w:t>
      </w:r>
      <w:proofErr w:type="spellStart"/>
      <w:r w:rsidR="00280202" w:rsidRPr="007450AF">
        <w:rPr>
          <w:i/>
          <w:szCs w:val="24"/>
        </w:rPr>
        <w:t>Oil</w:t>
      </w:r>
      <w:proofErr w:type="spellEnd"/>
      <w:r w:rsidR="00280202" w:rsidRPr="007450AF">
        <w:rPr>
          <w:i/>
          <w:szCs w:val="24"/>
        </w:rPr>
        <w:t xml:space="preserve"> &amp; </w:t>
      </w:r>
      <w:proofErr w:type="spellStart"/>
      <w:r w:rsidR="00280202" w:rsidRPr="007450AF">
        <w:rPr>
          <w:i/>
          <w:szCs w:val="24"/>
        </w:rPr>
        <w:t>Gas</w:t>
      </w:r>
      <w:proofErr w:type="spellEnd"/>
      <w:r w:rsidR="00280202" w:rsidRPr="007450AF">
        <w:rPr>
          <w:i/>
          <w:szCs w:val="24"/>
        </w:rPr>
        <w:t xml:space="preserve"> Ltd.</w:t>
      </w:r>
      <w:r w:rsidR="00280202" w:rsidRPr="007450AF">
        <w:rPr>
          <w:szCs w:val="24"/>
        </w:rPr>
        <w:t xml:space="preserve"> (1991), 81 Alta. L.R. (2d) 45; </w:t>
      </w:r>
      <w:r w:rsidR="00280202" w:rsidRPr="007450AF">
        <w:rPr>
          <w:b/>
        </w:rPr>
        <w:t>arrêts mentionnés :</w:t>
      </w:r>
      <w:r w:rsidR="00280202" w:rsidRPr="007450AF">
        <w:t xml:space="preserve"> </w:t>
      </w:r>
      <w:r w:rsidR="00C43FB3" w:rsidRPr="007450AF">
        <w:rPr>
          <w:i/>
        </w:rPr>
        <w:t xml:space="preserve">Husky </w:t>
      </w:r>
      <w:proofErr w:type="spellStart"/>
      <w:r w:rsidR="00C43FB3" w:rsidRPr="007450AF">
        <w:rPr>
          <w:i/>
        </w:rPr>
        <w:t>Oil</w:t>
      </w:r>
      <w:proofErr w:type="spellEnd"/>
      <w:r w:rsidR="00606A6D" w:rsidRPr="007450AF">
        <w:rPr>
          <w:i/>
        </w:rPr>
        <w:t xml:space="preserve"> Operations Ltd. c</w:t>
      </w:r>
      <w:r w:rsidR="00C43FB3" w:rsidRPr="007450AF">
        <w:rPr>
          <w:i/>
        </w:rPr>
        <w:t>. Ministre du Revenu national</w:t>
      </w:r>
      <w:r w:rsidR="00C43FB3" w:rsidRPr="007450AF">
        <w:t>, [1995] 3 R.C.S. 453</w:t>
      </w:r>
      <w:r w:rsidR="00C43FB3" w:rsidRPr="007450AF">
        <w:rPr>
          <w:szCs w:val="24"/>
        </w:rPr>
        <w:t xml:space="preserve">; </w:t>
      </w:r>
      <w:r w:rsidR="00C43FB3" w:rsidRPr="007450AF">
        <w:rPr>
          <w:i/>
          <w:szCs w:val="24"/>
        </w:rPr>
        <w:t xml:space="preserve">Canada c. </w:t>
      </w:r>
      <w:proofErr w:type="spellStart"/>
      <w:r w:rsidR="00C43FB3" w:rsidRPr="007450AF">
        <w:rPr>
          <w:i/>
          <w:szCs w:val="24"/>
        </w:rPr>
        <w:t>McLarty</w:t>
      </w:r>
      <w:proofErr w:type="spellEnd"/>
      <w:r w:rsidR="00C43FB3" w:rsidRPr="007450AF">
        <w:rPr>
          <w:szCs w:val="24"/>
        </w:rPr>
        <w:t xml:space="preserve">, 2008 CSC 26, [2008] 2 R.C.S. 79; </w:t>
      </w:r>
      <w:proofErr w:type="spellStart"/>
      <w:r w:rsidR="00C43FB3" w:rsidRPr="007450AF">
        <w:rPr>
          <w:i/>
        </w:rPr>
        <w:t>Confederation</w:t>
      </w:r>
      <w:proofErr w:type="spellEnd"/>
      <w:r w:rsidR="00C43FB3" w:rsidRPr="007450AF">
        <w:rPr>
          <w:i/>
        </w:rPr>
        <w:t xml:space="preserve"> </w:t>
      </w:r>
      <w:proofErr w:type="spellStart"/>
      <w:r w:rsidR="00C43FB3" w:rsidRPr="007450AF">
        <w:rPr>
          <w:i/>
        </w:rPr>
        <w:t>Treasury</w:t>
      </w:r>
      <w:proofErr w:type="spellEnd"/>
      <w:r w:rsidR="00C43FB3" w:rsidRPr="007450AF">
        <w:rPr>
          <w:i/>
        </w:rPr>
        <w:t xml:space="preserve"> Services Ltd. (</w:t>
      </w:r>
      <w:proofErr w:type="spellStart"/>
      <w:r w:rsidR="00C43FB3" w:rsidRPr="007450AF">
        <w:rPr>
          <w:i/>
        </w:rPr>
        <w:t>Bankrupt</w:t>
      </w:r>
      <w:proofErr w:type="spellEnd"/>
      <w:r w:rsidR="00C43FB3" w:rsidRPr="007450AF">
        <w:rPr>
          <w:i/>
        </w:rPr>
        <w:t xml:space="preserve">), </w:t>
      </w:r>
      <w:proofErr w:type="spellStart"/>
      <w:r w:rsidR="00C43FB3" w:rsidRPr="007450AF">
        <w:rPr>
          <w:i/>
        </w:rPr>
        <w:t>Re</w:t>
      </w:r>
      <w:proofErr w:type="spellEnd"/>
      <w:r w:rsidR="00C43FB3" w:rsidRPr="007450AF">
        <w:t xml:space="preserve"> (1997), 96 O.A.C. 75</w:t>
      </w:r>
      <w:r w:rsidR="00C43FB3" w:rsidRPr="007450AF">
        <w:rPr>
          <w:szCs w:val="24"/>
        </w:rPr>
        <w:t>;</w:t>
      </w:r>
      <w:r w:rsidR="0021278B" w:rsidRPr="007450AF">
        <w:rPr>
          <w:szCs w:val="24"/>
        </w:rPr>
        <w:t xml:space="preserve"> </w:t>
      </w:r>
      <w:r w:rsidR="0021278B" w:rsidRPr="007450AF">
        <w:rPr>
          <w:i/>
          <w:szCs w:val="24"/>
        </w:rPr>
        <w:t xml:space="preserve">Cie pétrolière Impériale </w:t>
      </w:r>
      <w:proofErr w:type="spellStart"/>
      <w:r w:rsidR="0021278B" w:rsidRPr="007450AF">
        <w:rPr>
          <w:i/>
          <w:szCs w:val="24"/>
        </w:rPr>
        <w:t>ltée</w:t>
      </w:r>
      <w:proofErr w:type="spellEnd"/>
      <w:r w:rsidR="0021278B" w:rsidRPr="007450AF">
        <w:rPr>
          <w:i/>
          <w:szCs w:val="24"/>
        </w:rPr>
        <w:t xml:space="preserve"> c. </w:t>
      </w:r>
      <w:r w:rsidR="0021278B" w:rsidRPr="007450AF">
        <w:rPr>
          <w:i/>
          <w:szCs w:val="24"/>
        </w:rPr>
        <w:lastRenderedPageBreak/>
        <w:t xml:space="preserve">Québec </w:t>
      </w:r>
      <w:r w:rsidR="00606A6D" w:rsidRPr="007450AF">
        <w:rPr>
          <w:i/>
          <w:szCs w:val="24"/>
        </w:rPr>
        <w:t>(</w:t>
      </w:r>
      <w:r w:rsidR="0021278B" w:rsidRPr="007450AF">
        <w:rPr>
          <w:i/>
          <w:szCs w:val="24"/>
        </w:rPr>
        <w:t>Ministre de l</w:t>
      </w:r>
      <w:r w:rsidR="00C4595B" w:rsidRPr="007450AF">
        <w:rPr>
          <w:i/>
          <w:szCs w:val="24"/>
        </w:rPr>
        <w:t>’</w:t>
      </w:r>
      <w:r w:rsidR="0021278B" w:rsidRPr="007450AF">
        <w:rPr>
          <w:i/>
          <w:szCs w:val="24"/>
        </w:rPr>
        <w:t>Environnement)</w:t>
      </w:r>
      <w:r w:rsidR="0021278B" w:rsidRPr="007450AF">
        <w:rPr>
          <w:szCs w:val="24"/>
        </w:rPr>
        <w:t>, 2003 CSC 58, [2003] 2 R.C.S. 624</w:t>
      </w:r>
      <w:r w:rsidR="00D3351A" w:rsidRPr="007450AF">
        <w:rPr>
          <w:szCs w:val="24"/>
        </w:rPr>
        <w:t>.</w:t>
      </w:r>
    </w:p>
    <w:p w:rsidR="00096FF8" w:rsidRPr="007450AF" w:rsidRDefault="00096FF8" w:rsidP="00D07343">
      <w:pPr>
        <w:pStyle w:val="SCCNormalDoubleSpacing"/>
        <w:widowControl w:val="0"/>
        <w:spacing w:after="480"/>
      </w:pPr>
      <w:r w:rsidRPr="007450AF">
        <w:t xml:space="preserve">Citée par la juge en chef </w:t>
      </w:r>
      <w:proofErr w:type="spellStart"/>
      <w:r w:rsidRPr="007450AF">
        <w:t>McLachlin</w:t>
      </w:r>
      <w:proofErr w:type="spellEnd"/>
      <w:r w:rsidRPr="007450AF">
        <w:t xml:space="preserve"> (dissidente)</w:t>
      </w:r>
    </w:p>
    <w:p w:rsidR="0068491A" w:rsidRPr="007450AF" w:rsidRDefault="0068491A" w:rsidP="00D07343">
      <w:pPr>
        <w:pStyle w:val="SCCNormalDoubleSpacing"/>
        <w:widowControl w:val="0"/>
        <w:spacing w:after="480"/>
        <w:rPr>
          <w:lang w:val="en-US"/>
        </w:rPr>
      </w:pPr>
      <w:r w:rsidRPr="007450AF">
        <w:tab/>
      </w:r>
      <w:proofErr w:type="spellStart"/>
      <w:r w:rsidRPr="007450AF">
        <w:rPr>
          <w:i/>
          <w:szCs w:val="24"/>
          <w:lang w:val="en-US"/>
        </w:rPr>
        <w:t>Panamericana</w:t>
      </w:r>
      <w:proofErr w:type="spellEnd"/>
      <w:r w:rsidRPr="007450AF">
        <w:rPr>
          <w:i/>
          <w:szCs w:val="24"/>
          <w:lang w:val="en-US"/>
        </w:rPr>
        <w:t xml:space="preserve"> de </w:t>
      </w:r>
      <w:proofErr w:type="spellStart"/>
      <w:r w:rsidRPr="007450AF">
        <w:rPr>
          <w:i/>
          <w:szCs w:val="24"/>
          <w:lang w:val="en-US"/>
        </w:rPr>
        <w:t>Bienes</w:t>
      </w:r>
      <w:proofErr w:type="spellEnd"/>
      <w:r w:rsidRPr="007450AF">
        <w:rPr>
          <w:i/>
          <w:szCs w:val="24"/>
          <w:lang w:val="en-US"/>
        </w:rPr>
        <w:t xml:space="preserve"> y </w:t>
      </w:r>
      <w:proofErr w:type="spellStart"/>
      <w:r w:rsidRPr="007450AF">
        <w:rPr>
          <w:i/>
          <w:szCs w:val="24"/>
          <w:lang w:val="en-US"/>
        </w:rPr>
        <w:t>Servicios</w:t>
      </w:r>
      <w:proofErr w:type="spellEnd"/>
      <w:r w:rsidRPr="007450AF">
        <w:rPr>
          <w:i/>
          <w:szCs w:val="24"/>
          <w:lang w:val="en-US"/>
        </w:rPr>
        <w:t xml:space="preserve"> S.A. c. Northern Badger Oil &amp; Gas Ltd.</w:t>
      </w:r>
      <w:r w:rsidRPr="007450AF">
        <w:rPr>
          <w:szCs w:val="24"/>
          <w:lang w:val="en-US"/>
        </w:rPr>
        <w:t xml:space="preserve"> (1991), 81 Alta. L.R. (2d) 45; </w:t>
      </w:r>
      <w:proofErr w:type="spellStart"/>
      <w:r w:rsidRPr="007450AF">
        <w:rPr>
          <w:i/>
          <w:szCs w:val="24"/>
          <w:lang w:val="en-US"/>
        </w:rPr>
        <w:t>Lamford</w:t>
      </w:r>
      <w:proofErr w:type="spellEnd"/>
      <w:r w:rsidRPr="007450AF">
        <w:rPr>
          <w:i/>
          <w:szCs w:val="24"/>
          <w:lang w:val="en-US"/>
        </w:rPr>
        <w:t xml:space="preserve"> Forest Products Ltd. (Re)</w:t>
      </w:r>
      <w:r w:rsidRPr="007450AF">
        <w:rPr>
          <w:szCs w:val="24"/>
          <w:lang w:val="en-US"/>
        </w:rPr>
        <w:t xml:space="preserve"> (1991)</w:t>
      </w:r>
      <w:r w:rsidR="00755CF6" w:rsidRPr="007450AF">
        <w:rPr>
          <w:szCs w:val="24"/>
          <w:lang w:val="en-US"/>
        </w:rPr>
        <w:t>,</w:t>
      </w:r>
      <w:r w:rsidRPr="007450AF">
        <w:rPr>
          <w:szCs w:val="24"/>
          <w:lang w:val="en-US"/>
        </w:rPr>
        <w:t xml:space="preserve"> 86 D.L.R. (4th) 534</w:t>
      </w:r>
      <w:r w:rsidR="002C6DDA" w:rsidRPr="007450AF">
        <w:rPr>
          <w:szCs w:val="24"/>
          <w:lang w:val="en-US"/>
        </w:rPr>
        <w:t>;</w:t>
      </w:r>
      <w:r w:rsidR="002C6DDA" w:rsidRPr="007450AF">
        <w:rPr>
          <w:i/>
          <w:lang w:val="en-US"/>
        </w:rPr>
        <w:t xml:space="preserve"> Shirley (Re) </w:t>
      </w:r>
      <w:r w:rsidR="002C6DDA" w:rsidRPr="007450AF">
        <w:rPr>
          <w:lang w:val="en-US"/>
        </w:rPr>
        <w:t>(1995), 129 D.L.R. (4th) 105</w:t>
      </w:r>
      <w:r w:rsidRPr="007450AF">
        <w:rPr>
          <w:szCs w:val="24"/>
          <w:lang w:val="en-US"/>
        </w:rPr>
        <w:t xml:space="preserve">; </w:t>
      </w:r>
      <w:r w:rsidRPr="007450AF">
        <w:rPr>
          <w:i/>
          <w:lang w:val="en-US"/>
        </w:rPr>
        <w:t xml:space="preserve">Husky Oil Operations Ltd. </w:t>
      </w:r>
      <w:r w:rsidR="00755CF6" w:rsidRPr="007450AF">
        <w:rPr>
          <w:i/>
          <w:lang w:val="en-US"/>
        </w:rPr>
        <w:t>c</w:t>
      </w:r>
      <w:r w:rsidRPr="007450AF">
        <w:rPr>
          <w:i/>
          <w:lang w:val="en-US"/>
        </w:rPr>
        <w:t xml:space="preserve">. </w:t>
      </w:r>
      <w:proofErr w:type="spellStart"/>
      <w:r w:rsidRPr="007450AF">
        <w:rPr>
          <w:i/>
          <w:lang w:val="en-US"/>
        </w:rPr>
        <w:t>Ministre</w:t>
      </w:r>
      <w:proofErr w:type="spellEnd"/>
      <w:r w:rsidRPr="007450AF">
        <w:rPr>
          <w:i/>
          <w:lang w:val="en-US"/>
        </w:rPr>
        <w:t xml:space="preserve"> du </w:t>
      </w:r>
      <w:proofErr w:type="spellStart"/>
      <w:r w:rsidRPr="007450AF">
        <w:rPr>
          <w:i/>
          <w:lang w:val="en-US"/>
        </w:rPr>
        <w:t>Revenu</w:t>
      </w:r>
      <w:proofErr w:type="spellEnd"/>
      <w:r w:rsidRPr="007450AF">
        <w:rPr>
          <w:i/>
          <w:lang w:val="en-US"/>
        </w:rPr>
        <w:t xml:space="preserve"> national</w:t>
      </w:r>
      <w:r w:rsidRPr="007450AF">
        <w:rPr>
          <w:lang w:val="en-US"/>
        </w:rPr>
        <w:t xml:space="preserve">, [1995] 3 R.C.S. 453; </w:t>
      </w:r>
      <w:r w:rsidR="002C6DDA" w:rsidRPr="007450AF">
        <w:rPr>
          <w:i/>
          <w:lang w:val="en-US"/>
        </w:rPr>
        <w:t>Air Canada, Re [Regulators</w:t>
      </w:r>
      <w:r w:rsidR="00C4595B" w:rsidRPr="007450AF">
        <w:rPr>
          <w:i/>
          <w:lang w:val="en-US"/>
        </w:rPr>
        <w:t>’</w:t>
      </w:r>
      <w:r w:rsidR="002C6DDA" w:rsidRPr="007450AF">
        <w:rPr>
          <w:i/>
          <w:lang w:val="en-US"/>
        </w:rPr>
        <w:t xml:space="preserve"> motions] </w:t>
      </w:r>
      <w:r w:rsidR="002C6DDA" w:rsidRPr="007450AF">
        <w:rPr>
          <w:lang w:val="en-US"/>
        </w:rPr>
        <w:t>(2003), 28 C.B.R. (5th) 52</w:t>
      </w:r>
      <w:r w:rsidR="006928AA" w:rsidRPr="007450AF">
        <w:rPr>
          <w:szCs w:val="24"/>
          <w:lang w:val="en-US"/>
        </w:rPr>
        <w:t xml:space="preserve">; </w:t>
      </w:r>
      <w:r w:rsidR="006928AA" w:rsidRPr="007450AF">
        <w:rPr>
          <w:i/>
          <w:szCs w:val="24"/>
          <w:lang w:val="en-US"/>
        </w:rPr>
        <w:t>General Chemical Canada Ltd., Re</w:t>
      </w:r>
      <w:r w:rsidR="006928AA" w:rsidRPr="007450AF">
        <w:rPr>
          <w:szCs w:val="24"/>
          <w:lang w:val="en-US"/>
        </w:rPr>
        <w:t>, 2007 ONCA 600, 228 O.A.C. 385</w:t>
      </w:r>
      <w:r w:rsidR="00A81FC4" w:rsidRPr="007450AF">
        <w:rPr>
          <w:szCs w:val="24"/>
          <w:lang w:val="en-US"/>
        </w:rPr>
        <w:t>;</w:t>
      </w:r>
      <w:r w:rsidR="00A81FC4" w:rsidRPr="007450AF">
        <w:rPr>
          <w:i/>
          <w:lang w:val="en-US"/>
        </w:rPr>
        <w:t xml:space="preserve"> Strathcona (County) c. PriceWaterhouseCoopers Inc.</w:t>
      </w:r>
      <w:r w:rsidR="00A81FC4" w:rsidRPr="007450AF">
        <w:rPr>
          <w:lang w:val="en-US"/>
        </w:rPr>
        <w:t>,</w:t>
      </w:r>
      <w:r w:rsidR="00A81FC4" w:rsidRPr="007450AF">
        <w:rPr>
          <w:i/>
          <w:lang w:val="en-US"/>
        </w:rPr>
        <w:t xml:space="preserve"> </w:t>
      </w:r>
      <w:r w:rsidR="00A81FC4" w:rsidRPr="007450AF">
        <w:rPr>
          <w:lang w:val="en-US"/>
        </w:rPr>
        <w:t>2005 ABQB 559, 47 Alta. L.R. (4th) 138</w:t>
      </w:r>
      <w:r w:rsidR="004B517F" w:rsidRPr="007450AF">
        <w:rPr>
          <w:szCs w:val="24"/>
          <w:lang w:val="en-US"/>
        </w:rPr>
        <w:t xml:space="preserve">; </w:t>
      </w:r>
      <w:r w:rsidR="004B517F" w:rsidRPr="007450AF">
        <w:rPr>
          <w:i/>
          <w:lang w:val="en-US"/>
        </w:rPr>
        <w:t>Confederation Treasury Services Ltd. (Bankrupt), Re</w:t>
      </w:r>
      <w:r w:rsidR="004B517F" w:rsidRPr="007450AF">
        <w:rPr>
          <w:lang w:val="en-US"/>
        </w:rPr>
        <w:t xml:space="preserve"> (1997), 96 O.A.C. 75</w:t>
      </w:r>
      <w:r w:rsidR="00066675" w:rsidRPr="007450AF">
        <w:rPr>
          <w:lang w:val="en-US"/>
        </w:rPr>
        <w:t xml:space="preserve">; </w:t>
      </w:r>
      <w:r w:rsidR="00066675" w:rsidRPr="007450AF">
        <w:rPr>
          <w:i/>
          <w:lang w:val="en-US"/>
        </w:rPr>
        <w:t xml:space="preserve">Anvil Range Mining Corp., Re </w:t>
      </w:r>
      <w:r w:rsidR="00066675" w:rsidRPr="007450AF">
        <w:rPr>
          <w:lang w:val="en-US"/>
        </w:rPr>
        <w:t>(2001), 25 C.B.R. (4th) 1</w:t>
      </w:r>
      <w:r w:rsidR="008B7CF5" w:rsidRPr="007450AF">
        <w:rPr>
          <w:lang w:val="en-US"/>
        </w:rPr>
        <w:t xml:space="preserve">; </w:t>
      </w:r>
      <w:r w:rsidR="008B7CF5" w:rsidRPr="007450AF">
        <w:rPr>
          <w:i/>
          <w:lang w:val="en-US"/>
        </w:rPr>
        <w:t xml:space="preserve">R. c. Imperial Tobacco Canada </w:t>
      </w:r>
      <w:proofErr w:type="spellStart"/>
      <w:r w:rsidR="008B7CF5" w:rsidRPr="007450AF">
        <w:rPr>
          <w:i/>
          <w:lang w:val="en-US"/>
        </w:rPr>
        <w:t>Ltée</w:t>
      </w:r>
      <w:proofErr w:type="spellEnd"/>
      <w:r w:rsidR="008B7CF5" w:rsidRPr="007450AF">
        <w:rPr>
          <w:lang w:val="en-US"/>
        </w:rPr>
        <w:t>,</w:t>
      </w:r>
      <w:r w:rsidR="008B7CF5" w:rsidRPr="007450AF">
        <w:rPr>
          <w:i/>
          <w:lang w:val="en-US"/>
        </w:rPr>
        <w:t xml:space="preserve"> </w:t>
      </w:r>
      <w:r w:rsidR="008B7CF5" w:rsidRPr="007450AF">
        <w:rPr>
          <w:lang w:val="en-US"/>
        </w:rPr>
        <w:t>2011 CSC 42, [2011] 3 R.C.S. 45</w:t>
      </w:r>
      <w:r w:rsidR="00D30B88" w:rsidRPr="007450AF">
        <w:rPr>
          <w:lang w:val="en-US"/>
        </w:rPr>
        <w:t xml:space="preserve">; </w:t>
      </w:r>
      <w:proofErr w:type="spellStart"/>
      <w:r w:rsidR="00D30B88" w:rsidRPr="007450AF">
        <w:rPr>
          <w:i/>
          <w:lang w:val="en-US"/>
        </w:rPr>
        <w:t>Housen</w:t>
      </w:r>
      <w:proofErr w:type="spellEnd"/>
      <w:r w:rsidR="00D30B88" w:rsidRPr="007450AF">
        <w:rPr>
          <w:i/>
          <w:lang w:val="en-US"/>
        </w:rPr>
        <w:t xml:space="preserve"> c. </w:t>
      </w:r>
      <w:proofErr w:type="spellStart"/>
      <w:r w:rsidR="00D30B88" w:rsidRPr="007450AF">
        <w:rPr>
          <w:i/>
          <w:lang w:val="en-US"/>
        </w:rPr>
        <w:t>Nikolaisen</w:t>
      </w:r>
      <w:proofErr w:type="spellEnd"/>
      <w:r w:rsidR="00D30B88" w:rsidRPr="007450AF">
        <w:rPr>
          <w:lang w:val="en-US"/>
        </w:rPr>
        <w:t>, 2002 CSC 33,</w:t>
      </w:r>
      <w:r w:rsidR="00D30B88" w:rsidRPr="007450AF">
        <w:rPr>
          <w:i/>
          <w:lang w:val="en-US"/>
        </w:rPr>
        <w:t xml:space="preserve"> </w:t>
      </w:r>
      <w:r w:rsidR="00D30B88" w:rsidRPr="007450AF">
        <w:rPr>
          <w:lang w:val="en-US"/>
        </w:rPr>
        <w:t>[2002] 2 R.C.S. 235</w:t>
      </w:r>
      <w:r w:rsidR="002C6DDA" w:rsidRPr="007450AF">
        <w:rPr>
          <w:lang w:val="en-US"/>
        </w:rPr>
        <w:t>.</w:t>
      </w:r>
    </w:p>
    <w:p w:rsidR="00231F3A" w:rsidRPr="007450AF" w:rsidRDefault="0043088E" w:rsidP="0009689C">
      <w:pPr>
        <w:pStyle w:val="SCCNormalDoubleSpacing"/>
        <w:keepNext/>
        <w:spacing w:after="720" w:line="240" w:lineRule="auto"/>
        <w:rPr>
          <w:b/>
          <w:lang w:val="en-US"/>
        </w:rPr>
      </w:pPr>
      <w:r w:rsidRPr="007450AF">
        <w:rPr>
          <w:b/>
          <w:lang w:val="en-US"/>
        </w:rPr>
        <w:t>Lois</w:t>
      </w:r>
      <w:r w:rsidR="002E6705" w:rsidRPr="007450AF">
        <w:rPr>
          <w:b/>
          <w:lang w:val="en-US"/>
        </w:rPr>
        <w:t xml:space="preserve"> </w:t>
      </w:r>
      <w:proofErr w:type="gramStart"/>
      <w:r w:rsidR="008A6558" w:rsidRPr="007450AF">
        <w:rPr>
          <w:b/>
          <w:lang w:val="en-US"/>
        </w:rPr>
        <w:t>et</w:t>
      </w:r>
      <w:proofErr w:type="gramEnd"/>
      <w:r w:rsidR="002E6705" w:rsidRPr="007450AF">
        <w:rPr>
          <w:b/>
          <w:lang w:val="en-US"/>
        </w:rPr>
        <w:t xml:space="preserve"> </w:t>
      </w:r>
      <w:proofErr w:type="spellStart"/>
      <w:r w:rsidRPr="007450AF">
        <w:rPr>
          <w:b/>
          <w:lang w:val="en-US"/>
        </w:rPr>
        <w:t>rè</w:t>
      </w:r>
      <w:r w:rsidR="002E6705" w:rsidRPr="007450AF">
        <w:rPr>
          <w:b/>
          <w:lang w:val="en-US"/>
        </w:rPr>
        <w:t>gl</w:t>
      </w:r>
      <w:r w:rsidRPr="007450AF">
        <w:rPr>
          <w:b/>
          <w:lang w:val="en-US"/>
        </w:rPr>
        <w:t>ements</w:t>
      </w:r>
      <w:proofErr w:type="spellEnd"/>
      <w:r w:rsidR="002E6705" w:rsidRPr="007450AF">
        <w:rPr>
          <w:b/>
          <w:lang w:val="en-US"/>
        </w:rPr>
        <w:t xml:space="preserve"> </w:t>
      </w:r>
      <w:proofErr w:type="spellStart"/>
      <w:r w:rsidRPr="007450AF">
        <w:rPr>
          <w:b/>
          <w:lang w:val="en-US"/>
        </w:rPr>
        <w:t>c</w:t>
      </w:r>
      <w:r w:rsidR="002E6705" w:rsidRPr="007450AF">
        <w:rPr>
          <w:b/>
          <w:lang w:val="en-US"/>
        </w:rPr>
        <w:t>it</w:t>
      </w:r>
      <w:r w:rsidRPr="007450AF">
        <w:rPr>
          <w:b/>
          <w:lang w:val="en-US"/>
        </w:rPr>
        <w:t>és</w:t>
      </w:r>
      <w:proofErr w:type="spellEnd"/>
    </w:p>
    <w:p w:rsidR="00FE68C6" w:rsidRPr="007450AF" w:rsidRDefault="00F649A5" w:rsidP="00D07343">
      <w:pPr>
        <w:pStyle w:val="SCCNormalDoubleSpacing"/>
        <w:spacing w:after="240" w:line="240" w:lineRule="auto"/>
        <w:ind w:left="539" w:hanging="539"/>
        <w:rPr>
          <w:lang w:val="en-US"/>
        </w:rPr>
      </w:pPr>
      <w:r w:rsidRPr="007450AF">
        <w:rPr>
          <w:i/>
          <w:lang w:val="en-US"/>
        </w:rPr>
        <w:t>Abitibi</w:t>
      </w:r>
      <w:r w:rsidR="00A76B3C" w:rsidRPr="007450AF">
        <w:rPr>
          <w:i/>
          <w:lang w:val="en-US"/>
        </w:rPr>
        <w:noBreakHyphen/>
      </w:r>
      <w:r w:rsidRPr="007450AF">
        <w:rPr>
          <w:i/>
          <w:lang w:val="en-US"/>
        </w:rPr>
        <w:t>Consolidated Rights and Assets Act</w:t>
      </w:r>
      <w:r w:rsidRPr="007450AF">
        <w:rPr>
          <w:lang w:val="en-US"/>
        </w:rPr>
        <w:t xml:space="preserve">, S.N.L. 2008, </w:t>
      </w:r>
      <w:proofErr w:type="spellStart"/>
      <w:r w:rsidR="00A76B3C" w:rsidRPr="007450AF">
        <w:rPr>
          <w:lang w:val="en-US"/>
        </w:rPr>
        <w:t>ch</w:t>
      </w:r>
      <w:proofErr w:type="spellEnd"/>
      <w:r w:rsidR="00A76B3C" w:rsidRPr="007450AF">
        <w:rPr>
          <w:lang w:val="en-US"/>
        </w:rPr>
        <w:t>. </w:t>
      </w:r>
      <w:r w:rsidR="00755CF6" w:rsidRPr="007450AF">
        <w:rPr>
          <w:lang w:val="en-US"/>
        </w:rPr>
        <w:t xml:space="preserve"> </w:t>
      </w:r>
      <w:r w:rsidRPr="007450AF">
        <w:rPr>
          <w:lang w:val="en-US"/>
        </w:rPr>
        <w:t>A</w:t>
      </w:r>
      <w:r w:rsidR="00A76B3C" w:rsidRPr="007450AF">
        <w:rPr>
          <w:lang w:val="en-US"/>
        </w:rPr>
        <w:noBreakHyphen/>
      </w:r>
      <w:r w:rsidRPr="007450AF">
        <w:rPr>
          <w:lang w:val="en-US"/>
        </w:rPr>
        <w:t>1.01.</w:t>
      </w:r>
    </w:p>
    <w:p w:rsidR="00A673D8" w:rsidRPr="00A75D06" w:rsidRDefault="00A673D8" w:rsidP="00D07343">
      <w:pPr>
        <w:pStyle w:val="SCCNormalDoubleSpacing"/>
        <w:spacing w:after="240" w:line="240" w:lineRule="auto"/>
        <w:ind w:left="539" w:hanging="539"/>
        <w:rPr>
          <w:lang w:val="en-US"/>
        </w:rPr>
      </w:pPr>
      <w:r w:rsidRPr="00A75D06">
        <w:rPr>
          <w:i/>
          <w:lang w:val="en-US"/>
        </w:rPr>
        <w:t>Code civil du Québec</w:t>
      </w:r>
      <w:r w:rsidRPr="00A75D06">
        <w:rPr>
          <w:lang w:val="en-US"/>
        </w:rPr>
        <w:t xml:space="preserve">, L.Q. 1991, </w:t>
      </w:r>
      <w:proofErr w:type="spellStart"/>
      <w:r w:rsidR="00A76B3C" w:rsidRPr="00A75D06">
        <w:rPr>
          <w:lang w:val="en-US"/>
        </w:rPr>
        <w:t>ch</w:t>
      </w:r>
      <w:proofErr w:type="spellEnd"/>
      <w:r w:rsidR="00A76B3C" w:rsidRPr="00A75D06">
        <w:rPr>
          <w:lang w:val="en-US"/>
        </w:rPr>
        <w:t>. </w:t>
      </w:r>
      <w:r w:rsidRPr="00A75D06">
        <w:rPr>
          <w:lang w:val="en-US"/>
        </w:rPr>
        <w:t xml:space="preserve">64, </w:t>
      </w:r>
      <w:r w:rsidR="00A76B3C" w:rsidRPr="00A75D06">
        <w:rPr>
          <w:lang w:val="en-US"/>
        </w:rPr>
        <w:t>art. </w:t>
      </w:r>
      <w:proofErr w:type="gramStart"/>
      <w:r w:rsidRPr="00A75D06">
        <w:rPr>
          <w:lang w:val="en-US"/>
        </w:rPr>
        <w:t>1497, 1508, 1513.</w:t>
      </w:r>
      <w:proofErr w:type="gramEnd"/>
    </w:p>
    <w:p w:rsidR="004B1292" w:rsidRPr="007450AF" w:rsidRDefault="004B1292" w:rsidP="00D07343">
      <w:pPr>
        <w:pStyle w:val="SCCNormalDoubleSpacing"/>
        <w:spacing w:after="240" w:line="240" w:lineRule="auto"/>
        <w:ind w:left="539" w:hanging="539"/>
        <w:rPr>
          <w:lang w:val="en-US"/>
        </w:rPr>
      </w:pPr>
      <w:proofErr w:type="gramStart"/>
      <w:r w:rsidRPr="007450AF">
        <w:rPr>
          <w:i/>
          <w:lang w:val="en-US"/>
        </w:rPr>
        <w:t>Environmental Protection Act</w:t>
      </w:r>
      <w:r w:rsidRPr="007450AF">
        <w:rPr>
          <w:lang w:val="en-US"/>
        </w:rPr>
        <w:t xml:space="preserve">, S.N.L. 2002, </w:t>
      </w:r>
      <w:proofErr w:type="spellStart"/>
      <w:r w:rsidR="00A76B3C" w:rsidRPr="007450AF">
        <w:rPr>
          <w:lang w:val="en-US"/>
        </w:rPr>
        <w:t>ch</w:t>
      </w:r>
      <w:proofErr w:type="spellEnd"/>
      <w:r w:rsidR="00A76B3C" w:rsidRPr="007450AF">
        <w:rPr>
          <w:lang w:val="en-US"/>
        </w:rPr>
        <w:t>. </w:t>
      </w:r>
      <w:r w:rsidRPr="007450AF">
        <w:rPr>
          <w:lang w:val="en-US"/>
        </w:rPr>
        <w:t>E</w:t>
      </w:r>
      <w:r w:rsidR="00A76B3C" w:rsidRPr="007450AF">
        <w:rPr>
          <w:lang w:val="en-US"/>
        </w:rPr>
        <w:noBreakHyphen/>
      </w:r>
      <w:r w:rsidRPr="007450AF">
        <w:rPr>
          <w:lang w:val="en-US"/>
        </w:rPr>
        <w:t xml:space="preserve">14.2, </w:t>
      </w:r>
      <w:r w:rsidR="001F3E73" w:rsidRPr="007450AF">
        <w:rPr>
          <w:lang w:val="en-US"/>
        </w:rPr>
        <w:t>art.</w:t>
      </w:r>
      <w:proofErr w:type="gramEnd"/>
      <w:r w:rsidR="0009689C" w:rsidRPr="007450AF">
        <w:rPr>
          <w:lang w:val="en-US"/>
        </w:rPr>
        <w:t> </w:t>
      </w:r>
      <w:proofErr w:type="gramStart"/>
      <w:r w:rsidRPr="007450AF">
        <w:rPr>
          <w:lang w:val="en-US"/>
        </w:rPr>
        <w:t>99</w:t>
      </w:r>
      <w:r w:rsidR="009D5663" w:rsidRPr="007450AF">
        <w:rPr>
          <w:lang w:val="en-US"/>
        </w:rPr>
        <w:t>, 102</w:t>
      </w:r>
      <w:r w:rsidR="001F3E73" w:rsidRPr="007450AF">
        <w:rPr>
          <w:lang w:val="en-US"/>
        </w:rPr>
        <w:t>(3)</w:t>
      </w:r>
      <w:r w:rsidRPr="007450AF">
        <w:rPr>
          <w:lang w:val="en-US"/>
        </w:rPr>
        <w:t>.</w:t>
      </w:r>
      <w:proofErr w:type="gramEnd"/>
    </w:p>
    <w:p w:rsidR="00727D59" w:rsidRPr="007450AF" w:rsidRDefault="00727D59" w:rsidP="00D07343">
      <w:pPr>
        <w:pStyle w:val="SCCNormalDoubleSpacing"/>
        <w:spacing w:after="240" w:line="240" w:lineRule="auto"/>
        <w:ind w:left="539" w:hanging="539"/>
      </w:pPr>
      <w:r w:rsidRPr="007450AF">
        <w:rPr>
          <w:i/>
        </w:rPr>
        <w:t>Loi modifiant la Loi sur la faillite et l</w:t>
      </w:r>
      <w:r w:rsidR="00C4595B" w:rsidRPr="007450AF">
        <w:rPr>
          <w:i/>
        </w:rPr>
        <w:t>’</w:t>
      </w:r>
      <w:r w:rsidRPr="007450AF">
        <w:rPr>
          <w:i/>
        </w:rPr>
        <w:t>insolvabilité, la Loi sur les arrangements avec les créanciers des compagnies et la Loi de l</w:t>
      </w:r>
      <w:r w:rsidR="00C4595B" w:rsidRPr="007450AF">
        <w:rPr>
          <w:i/>
        </w:rPr>
        <w:t>’</w:t>
      </w:r>
      <w:r w:rsidRPr="007450AF">
        <w:rPr>
          <w:i/>
        </w:rPr>
        <w:t>impôt sur le revenu</w:t>
      </w:r>
      <w:r w:rsidRPr="007450AF">
        <w:t xml:space="preserve">, L.C. 1997, </w:t>
      </w:r>
      <w:r w:rsidR="00A76B3C" w:rsidRPr="007450AF">
        <w:t>ch. </w:t>
      </w:r>
      <w:r w:rsidRPr="007450AF">
        <w:t>12.</w:t>
      </w:r>
    </w:p>
    <w:p w:rsidR="00C92139" w:rsidRPr="007450AF" w:rsidRDefault="00C92139" w:rsidP="00D07343">
      <w:pPr>
        <w:pStyle w:val="SCCNormalDoubleSpacing"/>
        <w:spacing w:after="240" w:line="240" w:lineRule="auto"/>
        <w:ind w:left="539" w:hanging="539"/>
      </w:pPr>
      <w:r w:rsidRPr="007450AF">
        <w:rPr>
          <w:i/>
        </w:rPr>
        <w:lastRenderedPageBreak/>
        <w:t>Loi modifiant la Loi sur la faillite et l</w:t>
      </w:r>
      <w:r w:rsidR="00C4595B" w:rsidRPr="007450AF">
        <w:rPr>
          <w:i/>
        </w:rPr>
        <w:t>’</w:t>
      </w:r>
      <w:r w:rsidRPr="007450AF">
        <w:rPr>
          <w:i/>
        </w:rPr>
        <w:t xml:space="preserve">insolvabilité, la Loi sur les arrangements avec les créanciers des compagnies, la Loi sur le </w:t>
      </w:r>
      <w:r w:rsidR="00755CF6" w:rsidRPr="007450AF">
        <w:rPr>
          <w:i/>
        </w:rPr>
        <w:t>Programme de p</w:t>
      </w:r>
      <w:r w:rsidRPr="007450AF">
        <w:rPr>
          <w:i/>
        </w:rPr>
        <w:t>rotection</w:t>
      </w:r>
      <w:r w:rsidR="00755CF6" w:rsidRPr="007450AF">
        <w:rPr>
          <w:i/>
        </w:rPr>
        <w:t xml:space="preserve"> des salarié</w:t>
      </w:r>
      <w:r w:rsidRPr="007450AF">
        <w:rPr>
          <w:i/>
        </w:rPr>
        <w:t xml:space="preserve">s et </w:t>
      </w:r>
      <w:r w:rsidR="00755CF6" w:rsidRPr="007450AF">
        <w:rPr>
          <w:i/>
        </w:rPr>
        <w:t xml:space="preserve">le </w:t>
      </w:r>
      <w:r w:rsidRPr="007450AF">
        <w:rPr>
          <w:i/>
        </w:rPr>
        <w:t xml:space="preserve">chapitre 47 des </w:t>
      </w:r>
      <w:r w:rsidR="00755CF6" w:rsidRPr="007450AF">
        <w:rPr>
          <w:i/>
        </w:rPr>
        <w:t>Lois</w:t>
      </w:r>
      <w:r w:rsidRPr="007450AF">
        <w:rPr>
          <w:i/>
        </w:rPr>
        <w:t xml:space="preserve"> du Canada </w:t>
      </w:r>
      <w:r w:rsidR="00755CF6" w:rsidRPr="007450AF">
        <w:rPr>
          <w:i/>
        </w:rPr>
        <w:t>(</w:t>
      </w:r>
      <w:r w:rsidRPr="007450AF">
        <w:rPr>
          <w:i/>
        </w:rPr>
        <w:t>2005</w:t>
      </w:r>
      <w:r w:rsidR="00755CF6" w:rsidRPr="007450AF">
        <w:rPr>
          <w:i/>
        </w:rPr>
        <w:t>)</w:t>
      </w:r>
      <w:r w:rsidRPr="007450AF">
        <w:t xml:space="preserve">, L.C. 2007, </w:t>
      </w:r>
      <w:r w:rsidR="00A76B3C" w:rsidRPr="007450AF">
        <w:t>ch. </w:t>
      </w:r>
      <w:r w:rsidRPr="007450AF">
        <w:t>36</w:t>
      </w:r>
      <w:r w:rsidR="00755CF6" w:rsidRPr="007450AF">
        <w:t>, art. 65</w:t>
      </w:r>
      <w:r w:rsidRPr="007450AF">
        <w:t>.</w:t>
      </w:r>
    </w:p>
    <w:p w:rsidR="00755CF6" w:rsidRPr="007450AF" w:rsidRDefault="00755CF6" w:rsidP="00755CF6">
      <w:pPr>
        <w:pStyle w:val="SCCNormalDoubleSpacing"/>
        <w:spacing w:after="240" w:line="240" w:lineRule="auto"/>
        <w:ind w:left="539" w:hanging="539"/>
      </w:pPr>
      <w:r w:rsidRPr="007450AF">
        <w:rPr>
          <w:i/>
        </w:rPr>
        <w:t>Loi modifiant la Loi sur la faillite et la Loi de l’impôt sur le revenu en conséquence</w:t>
      </w:r>
      <w:r w:rsidRPr="007450AF">
        <w:t>, L.C. 1992, ch. 27, art. 9.</w:t>
      </w:r>
    </w:p>
    <w:p w:rsidR="00351DCA" w:rsidRPr="007450AF" w:rsidRDefault="00351DCA" w:rsidP="00D07343">
      <w:pPr>
        <w:pStyle w:val="SCCNormalDoubleSpacing"/>
        <w:spacing w:after="240" w:line="240" w:lineRule="auto"/>
        <w:ind w:left="539" w:hanging="539"/>
      </w:pPr>
      <w:r w:rsidRPr="007450AF">
        <w:rPr>
          <w:i/>
        </w:rPr>
        <w:t>Loi sur la faillite et l</w:t>
      </w:r>
      <w:r w:rsidR="00C4595B" w:rsidRPr="007450AF">
        <w:rPr>
          <w:i/>
        </w:rPr>
        <w:t>’</w:t>
      </w:r>
      <w:r w:rsidRPr="007450AF">
        <w:rPr>
          <w:i/>
        </w:rPr>
        <w:t>insolvabilité</w:t>
      </w:r>
      <w:r w:rsidRPr="007450AF">
        <w:t xml:space="preserve">, L.R.C. 1985, </w:t>
      </w:r>
      <w:r w:rsidR="00A76B3C" w:rsidRPr="007450AF">
        <w:t>ch. </w:t>
      </w:r>
      <w:r w:rsidRPr="007450AF">
        <w:t>B</w:t>
      </w:r>
      <w:r w:rsidR="00AF74CD" w:rsidRPr="007450AF">
        <w:t>-</w:t>
      </w:r>
      <w:r w:rsidRPr="007450AF">
        <w:t xml:space="preserve">3, </w:t>
      </w:r>
      <w:r w:rsidR="00A76B3C" w:rsidRPr="007450AF">
        <w:t>art. </w:t>
      </w:r>
      <w:r w:rsidR="003843A8" w:rsidRPr="007450AF">
        <w:t xml:space="preserve">2 « créancier », </w:t>
      </w:r>
      <w:r w:rsidR="00551F6C" w:rsidRPr="007450AF">
        <w:t xml:space="preserve">« réclamation prouvable en matière de faillite », </w:t>
      </w:r>
      <w:r w:rsidR="006A0FDC" w:rsidRPr="007450AF">
        <w:t>14.06</w:t>
      </w:r>
      <w:r w:rsidR="00A66219" w:rsidRPr="007450AF">
        <w:t>(</w:t>
      </w:r>
      <w:r w:rsidR="00755CF6" w:rsidRPr="007450AF">
        <w:t>8</w:t>
      </w:r>
      <w:r w:rsidR="006A0FDC" w:rsidRPr="007450AF">
        <w:t>), 121(1), (2), 135(1.1)</w:t>
      </w:r>
      <w:r w:rsidRPr="007450AF">
        <w:t>.</w:t>
      </w:r>
    </w:p>
    <w:p w:rsidR="00FE68C6" w:rsidRPr="007450AF" w:rsidRDefault="00FE68C6" w:rsidP="0009689C">
      <w:pPr>
        <w:pStyle w:val="SCCNormalDoubleSpacing"/>
        <w:spacing w:after="720" w:line="240" w:lineRule="auto"/>
        <w:ind w:left="539" w:hanging="539"/>
      </w:pPr>
      <w:r w:rsidRPr="007450AF">
        <w:rPr>
          <w:i/>
        </w:rPr>
        <w:t>Loi sur les arrangements avec les créanciers des compagnies</w:t>
      </w:r>
      <w:r w:rsidRPr="007450AF">
        <w:t xml:space="preserve">, L.R.C. 1985, </w:t>
      </w:r>
      <w:r w:rsidR="00A76B3C" w:rsidRPr="007450AF">
        <w:t>ch. </w:t>
      </w:r>
      <w:r w:rsidRPr="007450AF">
        <w:t>C</w:t>
      </w:r>
      <w:r w:rsidR="00A76B3C" w:rsidRPr="007450AF">
        <w:noBreakHyphen/>
      </w:r>
      <w:r w:rsidRPr="007450AF">
        <w:t>36</w:t>
      </w:r>
      <w:r w:rsidR="000F1231" w:rsidRPr="007450AF">
        <w:t xml:space="preserve">, </w:t>
      </w:r>
      <w:r w:rsidR="00A76B3C" w:rsidRPr="007450AF">
        <w:t>art. </w:t>
      </w:r>
      <w:r w:rsidR="00CD1D60" w:rsidRPr="007450AF">
        <w:t xml:space="preserve">2(1) « réclamation », </w:t>
      </w:r>
      <w:r w:rsidR="000F1231" w:rsidRPr="007450AF">
        <w:t>11</w:t>
      </w:r>
      <w:r w:rsidR="006A0FDC" w:rsidRPr="007450AF">
        <w:t xml:space="preserve">, </w:t>
      </w:r>
      <w:r w:rsidR="00893732" w:rsidRPr="007450AF">
        <w:t>11.1,</w:t>
      </w:r>
      <w:r w:rsidR="0098566C" w:rsidRPr="007450AF">
        <w:t xml:space="preserve"> </w:t>
      </w:r>
      <w:r w:rsidR="00CD64A6" w:rsidRPr="007450AF">
        <w:t>11.8(5)</w:t>
      </w:r>
      <w:r w:rsidR="00755CF6" w:rsidRPr="007450AF">
        <w:t>, (7</w:t>
      </w:r>
      <w:r w:rsidR="003F6F0B" w:rsidRPr="007450AF">
        <w:t>)</w:t>
      </w:r>
      <w:r w:rsidR="00CD64A6" w:rsidRPr="007450AF">
        <w:t xml:space="preserve">, </w:t>
      </w:r>
      <w:r w:rsidR="003128A3" w:rsidRPr="007450AF">
        <w:t xml:space="preserve">(8), (9), </w:t>
      </w:r>
      <w:r w:rsidR="00CD64A6" w:rsidRPr="007450AF">
        <w:t>12(1)</w:t>
      </w:r>
      <w:r w:rsidR="00755CF6" w:rsidRPr="007450AF">
        <w:t>, (2)</w:t>
      </w:r>
      <w:r w:rsidRPr="007450AF">
        <w:t>.</w:t>
      </w:r>
    </w:p>
    <w:p w:rsidR="00FB3AD4" w:rsidRPr="007450AF" w:rsidRDefault="00FB3AD4" w:rsidP="0009689C">
      <w:pPr>
        <w:pStyle w:val="SCCNormalDoubleSpacing"/>
        <w:keepNext/>
        <w:spacing w:after="720" w:line="240" w:lineRule="auto"/>
        <w:rPr>
          <w:b/>
        </w:rPr>
      </w:pPr>
      <w:r w:rsidRPr="007450AF">
        <w:rPr>
          <w:b/>
        </w:rPr>
        <w:t>Traités et autres instruments internationaux</w:t>
      </w:r>
    </w:p>
    <w:p w:rsidR="00FB3AD4" w:rsidRPr="007450AF" w:rsidRDefault="00FB3AD4" w:rsidP="00EB58C6">
      <w:pPr>
        <w:pStyle w:val="SCCNormalDoubleSpacing"/>
        <w:spacing w:after="720" w:line="240" w:lineRule="auto"/>
        <w:ind w:left="539" w:hanging="539"/>
      </w:pPr>
      <w:r w:rsidRPr="007450AF">
        <w:rPr>
          <w:i/>
        </w:rPr>
        <w:t>Accord de libre</w:t>
      </w:r>
      <w:r w:rsidRPr="007450AF">
        <w:rPr>
          <w:rFonts w:eastAsia="MS Mincho" w:hint="eastAsia"/>
          <w:i/>
        </w:rPr>
        <w:t>‑</w:t>
      </w:r>
      <w:r w:rsidRPr="007450AF">
        <w:rPr>
          <w:i/>
        </w:rPr>
        <w:t>échange nord</w:t>
      </w:r>
      <w:r w:rsidRPr="007450AF">
        <w:rPr>
          <w:rFonts w:eastAsia="MS Mincho" w:hint="eastAsia"/>
          <w:i/>
        </w:rPr>
        <w:t>‑</w:t>
      </w:r>
      <w:r w:rsidRPr="007450AF">
        <w:rPr>
          <w:i/>
        </w:rPr>
        <w:t>américain entre le gouvernement du Canada, le gouvernement des États</w:t>
      </w:r>
      <w:r w:rsidRPr="007450AF">
        <w:rPr>
          <w:rFonts w:eastAsia="MS Mincho" w:hint="eastAsia"/>
          <w:i/>
        </w:rPr>
        <w:t>‑</w:t>
      </w:r>
      <w:r w:rsidRPr="007450AF">
        <w:rPr>
          <w:i/>
        </w:rPr>
        <w:t>Unis d</w:t>
      </w:r>
      <w:r w:rsidR="00C4595B" w:rsidRPr="007450AF">
        <w:rPr>
          <w:i/>
        </w:rPr>
        <w:t>’</w:t>
      </w:r>
      <w:r w:rsidRPr="007450AF">
        <w:rPr>
          <w:i/>
        </w:rPr>
        <w:t>Amérique et le gouvernement des États</w:t>
      </w:r>
      <w:r w:rsidR="004E32E0" w:rsidRPr="007450AF">
        <w:rPr>
          <w:i/>
        </w:rPr>
        <w:t>-</w:t>
      </w:r>
      <w:r w:rsidRPr="007450AF">
        <w:rPr>
          <w:i/>
        </w:rPr>
        <w:t>Unis du Mexique</w:t>
      </w:r>
      <w:r w:rsidRPr="007450AF">
        <w:t xml:space="preserve">, R.T. Can. 1994 </w:t>
      </w:r>
      <w:proofErr w:type="gramStart"/>
      <w:r w:rsidRPr="007450AF">
        <w:t>n</w:t>
      </w:r>
      <w:r w:rsidRPr="007450AF">
        <w:rPr>
          <w:vertAlign w:val="superscript"/>
        </w:rPr>
        <w:t>o</w:t>
      </w:r>
      <w:proofErr w:type="gramEnd"/>
      <w:r w:rsidRPr="007450AF">
        <w:t xml:space="preserve"> 2. </w:t>
      </w:r>
    </w:p>
    <w:p w:rsidR="002E6705" w:rsidRPr="007450AF" w:rsidRDefault="0043088E" w:rsidP="0009689C">
      <w:pPr>
        <w:pStyle w:val="SCCNormalDoubleSpacing"/>
        <w:keepNext/>
        <w:spacing w:after="720" w:line="240" w:lineRule="auto"/>
        <w:rPr>
          <w:b/>
        </w:rPr>
      </w:pPr>
      <w:r w:rsidRPr="007450AF">
        <w:rPr>
          <w:b/>
        </w:rPr>
        <w:t>Doctrine</w:t>
      </w:r>
      <w:r w:rsidR="002E6705" w:rsidRPr="007450AF">
        <w:rPr>
          <w:b/>
        </w:rPr>
        <w:t xml:space="preserve"> </w:t>
      </w:r>
      <w:r w:rsidR="00DE51A0" w:rsidRPr="007450AF">
        <w:rPr>
          <w:b/>
        </w:rPr>
        <w:t>et autres documents cités</w:t>
      </w:r>
    </w:p>
    <w:p w:rsidR="00097A02" w:rsidRPr="007450AF" w:rsidRDefault="00A76B3C" w:rsidP="00D07343">
      <w:pPr>
        <w:pStyle w:val="SCCNormalDoubleSpacing"/>
        <w:spacing w:after="240" w:line="240" w:lineRule="auto"/>
        <w:ind w:left="539" w:hanging="539"/>
        <w:rPr>
          <w:lang w:val="en-US"/>
        </w:rPr>
      </w:pPr>
      <w:proofErr w:type="gramStart"/>
      <w:r w:rsidRPr="00A07D6F">
        <w:rPr>
          <w:lang w:val="en-US"/>
        </w:rPr>
        <w:t>Baird, Douglas G., and Thomas </w:t>
      </w:r>
      <w:r w:rsidR="00097A02" w:rsidRPr="00A07D6F">
        <w:rPr>
          <w:lang w:val="en-US"/>
        </w:rPr>
        <w:t>H. Jackson</w:t>
      </w:r>
      <w:r w:rsidR="00AF74CD" w:rsidRPr="00A07D6F">
        <w:rPr>
          <w:lang w:val="en-US"/>
        </w:rPr>
        <w:t>.</w:t>
      </w:r>
      <w:proofErr w:type="gramEnd"/>
      <w:r w:rsidR="00097A02" w:rsidRPr="00A07D6F">
        <w:rPr>
          <w:lang w:val="en-US"/>
        </w:rPr>
        <w:t xml:space="preserve"> </w:t>
      </w:r>
      <w:r w:rsidR="00097A02" w:rsidRPr="007450AF">
        <w:rPr>
          <w:lang w:val="en-US"/>
        </w:rPr>
        <w:t>« </w:t>
      </w:r>
      <w:proofErr w:type="gramStart"/>
      <w:r w:rsidR="00097A02" w:rsidRPr="007450AF">
        <w:rPr>
          <w:lang w:val="en-US"/>
        </w:rPr>
        <w:t>Comment</w:t>
      </w:r>
      <w:r w:rsidRPr="007450AF">
        <w:rPr>
          <w:lang w:val="en-US"/>
        </w:rPr>
        <w:t> :</w:t>
      </w:r>
      <w:proofErr w:type="gramEnd"/>
      <w:r w:rsidR="00097A02" w:rsidRPr="007450AF">
        <w:rPr>
          <w:lang w:val="en-US"/>
        </w:rPr>
        <w:t xml:space="preserve"> </w:t>
      </w:r>
      <w:r w:rsidR="00097A02" w:rsidRPr="007450AF">
        <w:rPr>
          <w:i/>
          <w:lang w:val="en-US"/>
        </w:rPr>
        <w:t>Kovacs</w:t>
      </w:r>
      <w:r w:rsidR="00097A02" w:rsidRPr="007450AF">
        <w:rPr>
          <w:lang w:val="en-US"/>
        </w:rPr>
        <w:t xml:space="preserve"> and Toxic Wastes in Bankruptcy » (1984), 36 </w:t>
      </w:r>
      <w:r w:rsidR="00097A02" w:rsidRPr="007450AF">
        <w:rPr>
          <w:i/>
          <w:lang w:val="en-US"/>
        </w:rPr>
        <w:t>Stan. L. Rev.</w:t>
      </w:r>
      <w:r w:rsidR="00097A02" w:rsidRPr="007450AF">
        <w:rPr>
          <w:lang w:val="en-US"/>
        </w:rPr>
        <w:t xml:space="preserve"> 1199.</w:t>
      </w:r>
    </w:p>
    <w:p w:rsidR="00024CFA" w:rsidRPr="007450AF" w:rsidRDefault="00024CFA" w:rsidP="00D07343">
      <w:pPr>
        <w:pStyle w:val="SCCNormalDoubleSpacing"/>
        <w:spacing w:after="240" w:line="240" w:lineRule="auto"/>
        <w:ind w:left="539" w:hanging="539"/>
      </w:pPr>
      <w:r w:rsidRPr="007450AF">
        <w:t xml:space="preserve">Canada.  Chambre des communes.  </w:t>
      </w:r>
      <w:r w:rsidRPr="007450AF">
        <w:rPr>
          <w:i/>
        </w:rPr>
        <w:t>Témoignage</w:t>
      </w:r>
      <w:r w:rsidR="00526100" w:rsidRPr="007450AF">
        <w:rPr>
          <w:i/>
        </w:rPr>
        <w:t>s</w:t>
      </w:r>
      <w:r w:rsidRPr="007450AF">
        <w:rPr>
          <w:i/>
        </w:rPr>
        <w:t xml:space="preserve"> du Comité permanent de l</w:t>
      </w:r>
      <w:r w:rsidR="00C4595B" w:rsidRPr="007450AF">
        <w:rPr>
          <w:i/>
        </w:rPr>
        <w:t>’</w:t>
      </w:r>
      <w:r w:rsidRPr="007450AF">
        <w:rPr>
          <w:i/>
        </w:rPr>
        <w:t>industrie</w:t>
      </w:r>
      <w:r w:rsidRPr="007450AF">
        <w:t>, n</w:t>
      </w:r>
      <w:r w:rsidRPr="007450AF">
        <w:rPr>
          <w:vertAlign w:val="superscript"/>
        </w:rPr>
        <w:t>o</w:t>
      </w:r>
      <w:r w:rsidR="00A76B3C" w:rsidRPr="007450AF">
        <w:t> </w:t>
      </w:r>
      <w:r w:rsidRPr="007450AF">
        <w:t>16, 2</w:t>
      </w:r>
      <w:r w:rsidRPr="007450AF">
        <w:rPr>
          <w:vertAlign w:val="superscript"/>
        </w:rPr>
        <w:t>e</w:t>
      </w:r>
      <w:r w:rsidRPr="007450AF">
        <w:t xml:space="preserve"> </w:t>
      </w:r>
      <w:proofErr w:type="spellStart"/>
      <w:proofErr w:type="gramStart"/>
      <w:r w:rsidRPr="007450AF">
        <w:t>sess</w:t>
      </w:r>
      <w:proofErr w:type="spellEnd"/>
      <w:r w:rsidRPr="007450AF">
        <w:t>.,</w:t>
      </w:r>
      <w:proofErr w:type="gramEnd"/>
      <w:r w:rsidRPr="007450AF">
        <w:t xml:space="preserve"> 35</w:t>
      </w:r>
      <w:r w:rsidRPr="007450AF">
        <w:rPr>
          <w:vertAlign w:val="superscript"/>
        </w:rPr>
        <w:t>e</w:t>
      </w:r>
      <w:r w:rsidRPr="007450AF">
        <w:t xml:space="preserve"> </w:t>
      </w:r>
      <w:proofErr w:type="spellStart"/>
      <w:r w:rsidRPr="007450AF">
        <w:t>lég</w:t>
      </w:r>
      <w:proofErr w:type="spellEnd"/>
      <w:r w:rsidRPr="007450AF">
        <w:t xml:space="preserve">., </w:t>
      </w:r>
      <w:r w:rsidR="00A76B3C" w:rsidRPr="007450AF">
        <w:t>11 </w:t>
      </w:r>
      <w:r w:rsidRPr="007450AF">
        <w:t>juin 1996.</w:t>
      </w:r>
    </w:p>
    <w:p w:rsidR="004C0468" w:rsidRPr="007450AF" w:rsidRDefault="004C0468" w:rsidP="004C0468">
      <w:pPr>
        <w:pStyle w:val="SCCNormalDoubleSpacing"/>
        <w:spacing w:after="240" w:line="240" w:lineRule="auto"/>
        <w:ind w:left="539" w:hanging="539"/>
        <w:rPr>
          <w:lang w:val="en-US"/>
        </w:rPr>
      </w:pPr>
      <w:proofErr w:type="spellStart"/>
      <w:r w:rsidRPr="007450AF">
        <w:rPr>
          <w:lang w:val="en-US"/>
        </w:rPr>
        <w:t>Hohfeld</w:t>
      </w:r>
      <w:proofErr w:type="spellEnd"/>
      <w:r w:rsidRPr="007450AF">
        <w:rPr>
          <w:lang w:val="en-US"/>
        </w:rPr>
        <w:t xml:space="preserve">, Wesley Newcomb.  </w:t>
      </w:r>
      <w:r w:rsidRPr="007450AF">
        <w:rPr>
          <w:i/>
          <w:lang w:val="en-US"/>
        </w:rPr>
        <w:t>Fundamental Legal Conceptions as Applied in Judicial Reasoning</w:t>
      </w:r>
      <w:r w:rsidRPr="007450AF">
        <w:rPr>
          <w:lang w:val="en-US"/>
        </w:rPr>
        <w:t xml:space="preserve">, new ed. </w:t>
      </w:r>
      <w:r w:rsidR="00526100" w:rsidRPr="007450AF">
        <w:rPr>
          <w:lang w:val="en-US"/>
        </w:rPr>
        <w:t>by David Campbell and Philip Thomas, eds.</w:t>
      </w:r>
      <w:r w:rsidRPr="007450AF">
        <w:rPr>
          <w:lang w:val="en-US"/>
        </w:rPr>
        <w:t xml:space="preserve"> Burlington, Vt</w:t>
      </w:r>
      <w:proofErr w:type="gramStart"/>
      <w:r w:rsidRPr="007450AF">
        <w:rPr>
          <w:lang w:val="en-US"/>
        </w:rPr>
        <w:t>. :</w:t>
      </w:r>
      <w:proofErr w:type="gramEnd"/>
      <w:r w:rsidRPr="007450AF">
        <w:rPr>
          <w:lang w:val="en-US"/>
        </w:rPr>
        <w:t xml:space="preserve"> </w:t>
      </w:r>
      <w:proofErr w:type="spellStart"/>
      <w:r w:rsidRPr="007450AF">
        <w:rPr>
          <w:lang w:val="en-US"/>
        </w:rPr>
        <w:t>Ashgate</w:t>
      </w:r>
      <w:proofErr w:type="spellEnd"/>
      <w:r w:rsidRPr="007450AF">
        <w:rPr>
          <w:lang w:val="en-US"/>
        </w:rPr>
        <w:t>, 2001.</w:t>
      </w:r>
    </w:p>
    <w:p w:rsidR="004851DC" w:rsidRPr="007450AF" w:rsidRDefault="004851DC" w:rsidP="004851DC">
      <w:pPr>
        <w:pStyle w:val="SCCNormalDoubleSpacing"/>
        <w:spacing w:after="240" w:line="240" w:lineRule="auto"/>
        <w:ind w:left="539" w:hanging="539"/>
        <w:rPr>
          <w:lang w:val="en-US"/>
        </w:rPr>
      </w:pPr>
      <w:proofErr w:type="spellStart"/>
      <w:r w:rsidRPr="007450AF">
        <w:rPr>
          <w:lang w:val="en-US"/>
        </w:rPr>
        <w:t>MacCormick</w:t>
      </w:r>
      <w:proofErr w:type="spellEnd"/>
      <w:r w:rsidRPr="007450AF">
        <w:rPr>
          <w:lang w:val="en-US"/>
        </w:rPr>
        <w:t>, D. N.  « Rights in Legislation »,</w:t>
      </w:r>
      <w:r w:rsidRPr="007450AF">
        <w:rPr>
          <w:i/>
          <w:lang w:val="en-US"/>
        </w:rPr>
        <w:t xml:space="preserve"> </w:t>
      </w:r>
      <w:r w:rsidRPr="007450AF">
        <w:rPr>
          <w:lang w:val="en-US"/>
        </w:rPr>
        <w:t xml:space="preserve">in P. M. S. Hacker and J. </w:t>
      </w:r>
      <w:proofErr w:type="spellStart"/>
      <w:r w:rsidRPr="007450AF">
        <w:rPr>
          <w:lang w:val="en-US"/>
        </w:rPr>
        <w:t>Raz</w:t>
      </w:r>
      <w:proofErr w:type="spellEnd"/>
      <w:r w:rsidRPr="007450AF">
        <w:rPr>
          <w:lang w:val="en-US"/>
        </w:rPr>
        <w:t xml:space="preserve">, eds., </w:t>
      </w:r>
      <w:r w:rsidRPr="007450AF">
        <w:rPr>
          <w:i/>
          <w:lang w:val="en-US"/>
        </w:rPr>
        <w:t xml:space="preserve">Law, Morality, and </w:t>
      </w:r>
      <w:proofErr w:type="gramStart"/>
      <w:r w:rsidRPr="007450AF">
        <w:rPr>
          <w:i/>
          <w:lang w:val="en-US"/>
        </w:rPr>
        <w:t>Society :</w:t>
      </w:r>
      <w:proofErr w:type="gramEnd"/>
      <w:r w:rsidRPr="007450AF">
        <w:rPr>
          <w:i/>
          <w:lang w:val="en-US"/>
        </w:rPr>
        <w:t xml:space="preserve"> Essays in </w:t>
      </w:r>
      <w:proofErr w:type="spellStart"/>
      <w:r w:rsidRPr="007450AF">
        <w:rPr>
          <w:i/>
          <w:lang w:val="en-US"/>
        </w:rPr>
        <w:t>Honour</w:t>
      </w:r>
      <w:proofErr w:type="spellEnd"/>
      <w:r w:rsidRPr="007450AF">
        <w:rPr>
          <w:i/>
          <w:lang w:val="en-US"/>
        </w:rPr>
        <w:t xml:space="preserve"> of H. L. A. Hart</w:t>
      </w:r>
      <w:r w:rsidRPr="007450AF">
        <w:rPr>
          <w:lang w:val="en-US"/>
        </w:rPr>
        <w:t xml:space="preserve">.  </w:t>
      </w:r>
      <w:proofErr w:type="gramStart"/>
      <w:r w:rsidRPr="007450AF">
        <w:rPr>
          <w:lang w:val="en-US"/>
        </w:rPr>
        <w:t>Oxford :</w:t>
      </w:r>
      <w:proofErr w:type="gramEnd"/>
      <w:r w:rsidRPr="007450AF">
        <w:rPr>
          <w:lang w:val="en-US"/>
        </w:rPr>
        <w:t xml:space="preserve"> Clarendon Press,</w:t>
      </w:r>
      <w:r w:rsidRPr="007450AF">
        <w:rPr>
          <w:i/>
          <w:lang w:val="en-US"/>
        </w:rPr>
        <w:t xml:space="preserve"> </w:t>
      </w:r>
      <w:r w:rsidRPr="007450AF">
        <w:rPr>
          <w:lang w:val="en-US"/>
        </w:rPr>
        <w:t>1977, 189.</w:t>
      </w:r>
    </w:p>
    <w:p w:rsidR="007370CD" w:rsidRPr="007450AF" w:rsidRDefault="007370CD" w:rsidP="00EB58C6">
      <w:pPr>
        <w:pStyle w:val="SCCNormalDoubleSpacing"/>
        <w:spacing w:after="720" w:line="240" w:lineRule="auto"/>
        <w:ind w:left="539" w:hanging="539"/>
        <w:rPr>
          <w:lang w:val="en-US"/>
        </w:rPr>
      </w:pPr>
      <w:r w:rsidRPr="007450AF">
        <w:rPr>
          <w:lang w:val="en-US"/>
        </w:rPr>
        <w:t xml:space="preserve">Saxe, Dianne.  </w:t>
      </w:r>
      <w:proofErr w:type="gramStart"/>
      <w:r w:rsidRPr="007450AF">
        <w:rPr>
          <w:lang w:val="en-US"/>
        </w:rPr>
        <w:t>« Trustees</w:t>
      </w:r>
      <w:r w:rsidR="00C4595B" w:rsidRPr="007450AF">
        <w:rPr>
          <w:lang w:val="en-US"/>
        </w:rPr>
        <w:t>’</w:t>
      </w:r>
      <w:r w:rsidRPr="007450AF">
        <w:rPr>
          <w:lang w:val="en-US"/>
        </w:rPr>
        <w:t xml:space="preserve"> and Receivers</w:t>
      </w:r>
      <w:r w:rsidR="00C4595B" w:rsidRPr="007450AF">
        <w:rPr>
          <w:lang w:val="en-US"/>
        </w:rPr>
        <w:t>’</w:t>
      </w:r>
      <w:r w:rsidRPr="007450AF">
        <w:rPr>
          <w:lang w:val="en-US"/>
        </w:rPr>
        <w:t xml:space="preserve"> Enviro</w:t>
      </w:r>
      <w:r w:rsidR="00526100" w:rsidRPr="007450AF">
        <w:rPr>
          <w:lang w:val="en-US"/>
        </w:rPr>
        <w:t>nmental Liability Update » (1998</w:t>
      </w:r>
      <w:r w:rsidRPr="007450AF">
        <w:rPr>
          <w:lang w:val="en-US"/>
        </w:rPr>
        <w:t>), 49 C.B.R. (3d) 138.</w:t>
      </w:r>
      <w:proofErr w:type="gramEnd"/>
    </w:p>
    <w:p w:rsidR="006B5E6F" w:rsidRPr="007450AF" w:rsidRDefault="006B5E6F" w:rsidP="00D07343">
      <w:pPr>
        <w:pStyle w:val="SCCNormalDoubleSpacing"/>
        <w:spacing w:after="480"/>
      </w:pPr>
      <w:r w:rsidRPr="007450AF">
        <w:rPr>
          <w:lang w:val="en-US"/>
        </w:rPr>
        <w:lastRenderedPageBreak/>
        <w:tab/>
      </w:r>
      <w:r w:rsidR="009B57B3" w:rsidRPr="007450AF">
        <w:t>P</w:t>
      </w:r>
      <w:r w:rsidR="0043088E" w:rsidRPr="007450AF">
        <w:t xml:space="preserve">OURVOI contre </w:t>
      </w:r>
      <w:r w:rsidRPr="007450AF">
        <w:t>un</w:t>
      </w:r>
      <w:r w:rsidR="00E76F96" w:rsidRPr="007450AF">
        <w:t>e</w:t>
      </w:r>
      <w:r w:rsidRPr="007450AF">
        <w:t xml:space="preserve"> décision</w:t>
      </w:r>
      <w:r w:rsidR="0043088E" w:rsidRPr="007450AF">
        <w:t xml:space="preserve"> de la</w:t>
      </w:r>
      <w:r w:rsidR="009B57B3" w:rsidRPr="007450AF">
        <w:t xml:space="preserve"> Cour d</w:t>
      </w:r>
      <w:r w:rsidR="00C4595B" w:rsidRPr="007450AF">
        <w:t>’</w:t>
      </w:r>
      <w:r w:rsidR="009B57B3" w:rsidRPr="007450AF">
        <w:t>appel du Québec</w:t>
      </w:r>
      <w:r w:rsidR="00E927B7" w:rsidRPr="007450AF">
        <w:t xml:space="preserve"> (le juge Chamberland)</w:t>
      </w:r>
      <w:r w:rsidRPr="007450AF">
        <w:t xml:space="preserve">, 2010 QCCA 965, 68 C.B.R. (5th) 57, 52 C.E.L.R. (3d) 1, [2010] Q.J. </w:t>
      </w:r>
      <w:r w:rsidR="00A76B3C" w:rsidRPr="007450AF">
        <w:t>No. </w:t>
      </w:r>
      <w:r w:rsidRPr="007450AF">
        <w:t xml:space="preserve">4579 (QL), 2010 </w:t>
      </w:r>
      <w:proofErr w:type="spellStart"/>
      <w:r w:rsidRPr="007450AF">
        <w:t>CarswellQue</w:t>
      </w:r>
      <w:proofErr w:type="spellEnd"/>
      <w:r w:rsidRPr="007450AF">
        <w:t xml:space="preserve"> 4782, qui a rejeté la requête de l</w:t>
      </w:r>
      <w:r w:rsidR="00C4595B" w:rsidRPr="007450AF">
        <w:t>’</w:t>
      </w:r>
      <w:r w:rsidRPr="007450AF">
        <w:t>appelante pour permission d</w:t>
      </w:r>
      <w:r w:rsidR="00C4595B" w:rsidRPr="007450AF">
        <w:t>’</w:t>
      </w:r>
      <w:r w:rsidRPr="007450AF">
        <w:t>en appeler d</w:t>
      </w:r>
      <w:r w:rsidR="00C4595B" w:rsidRPr="007450AF">
        <w:t>’</w:t>
      </w:r>
      <w:r w:rsidRPr="007450AF">
        <w:t xml:space="preserve">un jugement du juge Gascon, 2010 QCCS 1261, 68 C.B.R. (5th) 1, 52 C.E.L.R. (3d) 17, [2010] Q.J. </w:t>
      </w:r>
      <w:r w:rsidR="00A76B3C" w:rsidRPr="007450AF">
        <w:t>No. </w:t>
      </w:r>
      <w:r w:rsidRPr="007450AF">
        <w:t xml:space="preserve">4006 (QL), 2010 </w:t>
      </w:r>
      <w:proofErr w:type="spellStart"/>
      <w:r w:rsidRPr="007450AF">
        <w:t>CarswellQue</w:t>
      </w:r>
      <w:proofErr w:type="spellEnd"/>
      <w:r w:rsidRPr="007450AF">
        <w:t xml:space="preserve"> 2812.  Pourvoi</w:t>
      </w:r>
      <w:r w:rsidR="008D124D" w:rsidRPr="007450AF">
        <w:t xml:space="preserve"> rejeté</w:t>
      </w:r>
      <w:r w:rsidR="00096FF8" w:rsidRPr="007450AF">
        <w:t xml:space="preserve">, la juge en chef </w:t>
      </w:r>
      <w:proofErr w:type="spellStart"/>
      <w:r w:rsidR="00096FF8" w:rsidRPr="007450AF">
        <w:t>McLachlin</w:t>
      </w:r>
      <w:proofErr w:type="spellEnd"/>
      <w:r w:rsidR="00C96DE6" w:rsidRPr="007450AF">
        <w:t xml:space="preserve"> et le juge LeBel</w:t>
      </w:r>
      <w:r w:rsidR="00096FF8" w:rsidRPr="007450AF">
        <w:t xml:space="preserve"> s</w:t>
      </w:r>
      <w:r w:rsidR="00C96DE6" w:rsidRPr="007450AF">
        <w:t>on</w:t>
      </w:r>
      <w:r w:rsidR="00096FF8" w:rsidRPr="007450AF">
        <w:t>t dissident</w:t>
      </w:r>
      <w:r w:rsidR="00C96DE6" w:rsidRPr="007450AF">
        <w:t>s</w:t>
      </w:r>
      <w:r w:rsidRPr="007450AF">
        <w:t>.</w:t>
      </w:r>
    </w:p>
    <w:p w:rsidR="004C5859" w:rsidRPr="007450AF" w:rsidRDefault="00260117" w:rsidP="00D07343">
      <w:pPr>
        <w:pStyle w:val="SCCNormalDoubleSpacing"/>
        <w:spacing w:after="480"/>
      </w:pPr>
      <w:r w:rsidRPr="007450AF">
        <w:rPr>
          <w:i/>
        </w:rPr>
        <w:tab/>
        <w:t>David </w:t>
      </w:r>
      <w:r w:rsidR="00FE00F7" w:rsidRPr="007450AF">
        <w:rPr>
          <w:i/>
        </w:rPr>
        <w:t xml:space="preserve">R. </w:t>
      </w:r>
      <w:proofErr w:type="spellStart"/>
      <w:r w:rsidR="00FE00F7" w:rsidRPr="007450AF">
        <w:rPr>
          <w:i/>
        </w:rPr>
        <w:t>Wingfield</w:t>
      </w:r>
      <w:proofErr w:type="spellEnd"/>
      <w:r w:rsidR="007E04C0" w:rsidRPr="007450AF">
        <w:t>,</w:t>
      </w:r>
      <w:r w:rsidR="00FE00F7" w:rsidRPr="007450AF">
        <w:t xml:space="preserve"> </w:t>
      </w:r>
      <w:r w:rsidR="00FE00F7" w:rsidRPr="007450AF">
        <w:rPr>
          <w:i/>
        </w:rPr>
        <w:t>Paul</w:t>
      </w:r>
      <w:r w:rsidR="00A76B3C" w:rsidRPr="007450AF">
        <w:rPr>
          <w:i/>
        </w:rPr>
        <w:t> </w:t>
      </w:r>
      <w:r w:rsidR="00FE00F7" w:rsidRPr="007450AF">
        <w:rPr>
          <w:i/>
        </w:rPr>
        <w:t>D. Guy</w:t>
      </w:r>
      <w:r w:rsidR="00FE00F7" w:rsidRPr="007450AF">
        <w:t xml:space="preserve"> </w:t>
      </w:r>
      <w:r w:rsidR="007E04C0" w:rsidRPr="007450AF">
        <w:t xml:space="preserve">et </w:t>
      </w:r>
      <w:r w:rsidR="007E04C0" w:rsidRPr="007450AF">
        <w:rPr>
          <w:i/>
        </w:rPr>
        <w:t>Philip Osborne</w:t>
      </w:r>
      <w:r w:rsidR="007E04C0" w:rsidRPr="007450AF">
        <w:t xml:space="preserve">, </w:t>
      </w:r>
      <w:r w:rsidR="00FE00F7" w:rsidRPr="007450AF">
        <w:t>pour l</w:t>
      </w:r>
      <w:r w:rsidR="00C4595B" w:rsidRPr="007450AF">
        <w:t>’</w:t>
      </w:r>
      <w:r w:rsidR="00FE00F7" w:rsidRPr="007450AF">
        <w:t>appelante.</w:t>
      </w:r>
    </w:p>
    <w:p w:rsidR="004C5859" w:rsidRPr="007450AF" w:rsidRDefault="00A76B3C" w:rsidP="00D07343">
      <w:pPr>
        <w:pStyle w:val="SCCNormalDoubleSpacing"/>
        <w:spacing w:after="480"/>
      </w:pPr>
      <w:r w:rsidRPr="007450AF">
        <w:rPr>
          <w:i/>
        </w:rPr>
        <w:tab/>
        <w:t>Sean </w:t>
      </w:r>
      <w:r w:rsidR="00FE00F7" w:rsidRPr="007450AF">
        <w:rPr>
          <w:i/>
        </w:rPr>
        <w:t>F. Dunphy</w:t>
      </w:r>
      <w:r w:rsidR="00FE00F7" w:rsidRPr="007450AF">
        <w:t xml:space="preserve">, </w:t>
      </w:r>
      <w:r w:rsidR="007E04C0" w:rsidRPr="007450AF">
        <w:rPr>
          <w:i/>
        </w:rPr>
        <w:t xml:space="preserve">Nicholas </w:t>
      </w:r>
      <w:proofErr w:type="spellStart"/>
      <w:r w:rsidR="007E04C0" w:rsidRPr="007450AF">
        <w:rPr>
          <w:i/>
        </w:rPr>
        <w:t>McHaffie</w:t>
      </w:r>
      <w:proofErr w:type="spellEnd"/>
      <w:r w:rsidR="007E04C0" w:rsidRPr="007450AF">
        <w:t xml:space="preserve">, </w:t>
      </w:r>
      <w:r w:rsidR="007E04C0" w:rsidRPr="007450AF">
        <w:rPr>
          <w:i/>
        </w:rPr>
        <w:t>Joseph Reynaud</w:t>
      </w:r>
      <w:r w:rsidR="007E04C0" w:rsidRPr="007450AF">
        <w:t xml:space="preserve"> et</w:t>
      </w:r>
      <w:r w:rsidR="007E04C0" w:rsidRPr="007450AF">
        <w:rPr>
          <w:i/>
        </w:rPr>
        <w:t xml:space="preserve"> </w:t>
      </w:r>
      <w:r w:rsidRPr="007450AF">
        <w:rPr>
          <w:i/>
        </w:rPr>
        <w:t>Marc </w:t>
      </w:r>
      <w:r w:rsidR="00FE00F7" w:rsidRPr="007450AF">
        <w:rPr>
          <w:i/>
        </w:rPr>
        <w:t>B. Barbeau</w:t>
      </w:r>
      <w:r w:rsidR="00FE00F7" w:rsidRPr="007450AF">
        <w:t>, pour l</w:t>
      </w:r>
      <w:r w:rsidR="007E04C0" w:rsidRPr="007450AF">
        <w:t xml:space="preserve">es </w:t>
      </w:r>
      <w:r w:rsidR="00FE00F7" w:rsidRPr="007450AF">
        <w:t>intimé</w:t>
      </w:r>
      <w:r w:rsidR="007E04C0" w:rsidRPr="007450AF">
        <w:t>s</w:t>
      </w:r>
      <w:r w:rsidR="00FE00F7" w:rsidRPr="007450AF">
        <w:t>.</w:t>
      </w:r>
    </w:p>
    <w:p w:rsidR="007E04C0" w:rsidRPr="007450AF" w:rsidRDefault="007E04C0" w:rsidP="00D07343">
      <w:pPr>
        <w:pStyle w:val="SCCNormalDoubleSpacing"/>
        <w:spacing w:after="480"/>
      </w:pPr>
      <w:r w:rsidRPr="007450AF">
        <w:rPr>
          <w:i/>
        </w:rPr>
        <w:tab/>
        <w:t xml:space="preserve">Christopher </w:t>
      </w:r>
      <w:proofErr w:type="spellStart"/>
      <w:r w:rsidRPr="007450AF">
        <w:rPr>
          <w:i/>
        </w:rPr>
        <w:t>Rupar</w:t>
      </w:r>
      <w:proofErr w:type="spellEnd"/>
      <w:r w:rsidRPr="007450AF">
        <w:t xml:space="preserve"> et</w:t>
      </w:r>
      <w:r w:rsidRPr="007450AF">
        <w:rPr>
          <w:i/>
        </w:rPr>
        <w:t xml:space="preserve"> Marianne </w:t>
      </w:r>
      <w:proofErr w:type="spellStart"/>
      <w:r w:rsidRPr="007450AF">
        <w:rPr>
          <w:i/>
        </w:rPr>
        <w:t>Zoric</w:t>
      </w:r>
      <w:proofErr w:type="spellEnd"/>
      <w:r w:rsidRPr="007450AF">
        <w:t>, pour l</w:t>
      </w:r>
      <w:r w:rsidR="00C4595B" w:rsidRPr="007450AF">
        <w:t>’</w:t>
      </w:r>
      <w:r w:rsidRPr="007450AF">
        <w:t>intervenant le procureur général du Canada.</w:t>
      </w:r>
    </w:p>
    <w:p w:rsidR="007E04C0" w:rsidRPr="007450AF" w:rsidRDefault="007E04C0" w:rsidP="00D07343">
      <w:pPr>
        <w:pStyle w:val="SCCNormalDoubleSpacing"/>
        <w:spacing w:after="480"/>
      </w:pPr>
      <w:r w:rsidRPr="007450AF">
        <w:rPr>
          <w:i/>
        </w:rPr>
        <w:tab/>
        <w:t>Josh Hunter</w:t>
      </w:r>
      <w:r w:rsidRPr="007450AF">
        <w:t xml:space="preserve">, </w:t>
      </w:r>
      <w:r w:rsidRPr="007450AF">
        <w:rPr>
          <w:i/>
        </w:rPr>
        <w:t>Robin</w:t>
      </w:r>
      <w:r w:rsidR="00A76B3C" w:rsidRPr="007450AF">
        <w:rPr>
          <w:i/>
        </w:rPr>
        <w:t> </w:t>
      </w:r>
      <w:r w:rsidRPr="007450AF">
        <w:rPr>
          <w:i/>
        </w:rPr>
        <w:t xml:space="preserve">K. </w:t>
      </w:r>
      <w:proofErr w:type="spellStart"/>
      <w:r w:rsidRPr="007450AF">
        <w:rPr>
          <w:i/>
        </w:rPr>
        <w:t>Basu</w:t>
      </w:r>
      <w:proofErr w:type="spellEnd"/>
      <w:r w:rsidRPr="007450AF">
        <w:t xml:space="preserve">, </w:t>
      </w:r>
      <w:r w:rsidRPr="007450AF">
        <w:rPr>
          <w:i/>
        </w:rPr>
        <w:t xml:space="preserve">Leonard </w:t>
      </w:r>
      <w:proofErr w:type="spellStart"/>
      <w:r w:rsidRPr="007450AF">
        <w:rPr>
          <w:i/>
        </w:rPr>
        <w:t>Marsello</w:t>
      </w:r>
      <w:proofErr w:type="spellEnd"/>
      <w:r w:rsidRPr="007450AF">
        <w:t xml:space="preserve"> et</w:t>
      </w:r>
      <w:r w:rsidRPr="007450AF">
        <w:rPr>
          <w:i/>
        </w:rPr>
        <w:t xml:space="preserve"> Mario </w:t>
      </w:r>
      <w:proofErr w:type="spellStart"/>
      <w:r w:rsidRPr="007450AF">
        <w:rPr>
          <w:i/>
        </w:rPr>
        <w:t>Faieta</w:t>
      </w:r>
      <w:proofErr w:type="spellEnd"/>
      <w:r w:rsidRPr="007450AF">
        <w:t>, pour l</w:t>
      </w:r>
      <w:r w:rsidR="00C4595B" w:rsidRPr="007450AF">
        <w:t>’</w:t>
      </w:r>
      <w:r w:rsidRPr="007450AF">
        <w:t>intervenant le procureur général de l</w:t>
      </w:r>
      <w:r w:rsidR="00C4595B" w:rsidRPr="007450AF">
        <w:t>’</w:t>
      </w:r>
      <w:r w:rsidRPr="007450AF">
        <w:t>Ontario.</w:t>
      </w:r>
    </w:p>
    <w:p w:rsidR="004C5859" w:rsidRPr="007450AF" w:rsidRDefault="00FE00F7" w:rsidP="00D07343">
      <w:pPr>
        <w:pStyle w:val="SCCNormalDoubleSpacing"/>
        <w:spacing w:after="480"/>
      </w:pPr>
      <w:r w:rsidRPr="007450AF">
        <w:rPr>
          <w:i/>
        </w:rPr>
        <w:tab/>
      </w:r>
      <w:r w:rsidR="00A76B3C" w:rsidRPr="007450AF">
        <w:rPr>
          <w:i/>
        </w:rPr>
        <w:t>R. Richard M. </w:t>
      </w:r>
      <w:r w:rsidRPr="007450AF">
        <w:rPr>
          <w:i/>
        </w:rPr>
        <w:t>Butler</w:t>
      </w:r>
      <w:r w:rsidRPr="007450AF">
        <w:t>, pour l</w:t>
      </w:r>
      <w:r w:rsidR="00C4595B" w:rsidRPr="007450AF">
        <w:t>’</w:t>
      </w:r>
      <w:r w:rsidR="007E04C0" w:rsidRPr="007450AF">
        <w:t>intervenant</w:t>
      </w:r>
      <w:r w:rsidRPr="007450AF">
        <w:t xml:space="preserve"> </w:t>
      </w:r>
      <w:r w:rsidR="007E04C0" w:rsidRPr="007450AF">
        <w:t>le p</w:t>
      </w:r>
      <w:r w:rsidRPr="007450AF">
        <w:t xml:space="preserve">rocureur général de la </w:t>
      </w:r>
      <w:proofErr w:type="spellStart"/>
      <w:r w:rsidRPr="007450AF">
        <w:t>Colombie</w:t>
      </w:r>
      <w:r w:rsidR="00A76B3C" w:rsidRPr="007450AF">
        <w:noBreakHyphen/>
      </w:r>
      <w:r w:rsidRPr="007450AF">
        <w:t>Britannique</w:t>
      </w:r>
      <w:proofErr w:type="spellEnd"/>
      <w:r w:rsidRPr="007450AF">
        <w:t>.</w:t>
      </w:r>
    </w:p>
    <w:p w:rsidR="004C5859" w:rsidRPr="007450AF" w:rsidRDefault="00FE00F7" w:rsidP="00D07343">
      <w:pPr>
        <w:pStyle w:val="SCCNormalDoubleSpacing"/>
        <w:spacing w:after="480"/>
      </w:pPr>
      <w:r w:rsidRPr="007450AF">
        <w:rPr>
          <w:i/>
        </w:rPr>
        <w:tab/>
      </w:r>
      <w:proofErr w:type="spellStart"/>
      <w:r w:rsidRPr="007450AF">
        <w:rPr>
          <w:i/>
        </w:rPr>
        <w:t>Roderick</w:t>
      </w:r>
      <w:proofErr w:type="spellEnd"/>
      <w:r w:rsidRPr="007450AF">
        <w:rPr>
          <w:i/>
        </w:rPr>
        <w:t xml:space="preserve"> Wiltshire</w:t>
      </w:r>
      <w:r w:rsidR="007E04C0" w:rsidRPr="007450AF">
        <w:t>, pour l</w:t>
      </w:r>
      <w:r w:rsidR="00C4595B" w:rsidRPr="007450AF">
        <w:t>’</w:t>
      </w:r>
      <w:r w:rsidRPr="007450AF">
        <w:t xml:space="preserve">intervenant </w:t>
      </w:r>
      <w:r w:rsidR="007E04C0" w:rsidRPr="007450AF">
        <w:t>le p</w:t>
      </w:r>
      <w:r w:rsidRPr="007450AF">
        <w:t>rocureur général de l</w:t>
      </w:r>
      <w:r w:rsidR="00C4595B" w:rsidRPr="007450AF">
        <w:t>’</w:t>
      </w:r>
      <w:r w:rsidRPr="007450AF">
        <w:t>Alberta.</w:t>
      </w:r>
    </w:p>
    <w:p w:rsidR="00804FCB" w:rsidRPr="007450AF" w:rsidRDefault="00A76B3C" w:rsidP="00D07343">
      <w:pPr>
        <w:pStyle w:val="SCCNormalDoubleSpacing"/>
        <w:spacing w:after="480"/>
      </w:pPr>
      <w:r w:rsidRPr="007450AF">
        <w:rPr>
          <w:i/>
        </w:rPr>
        <w:lastRenderedPageBreak/>
        <w:tab/>
        <w:t>Elizabeth </w:t>
      </w:r>
      <w:r w:rsidR="00804FCB" w:rsidRPr="007450AF">
        <w:rPr>
          <w:i/>
        </w:rPr>
        <w:t xml:space="preserve">J. </w:t>
      </w:r>
      <w:proofErr w:type="spellStart"/>
      <w:r w:rsidR="00804FCB" w:rsidRPr="007450AF">
        <w:rPr>
          <w:i/>
        </w:rPr>
        <w:t>Rowbotham</w:t>
      </w:r>
      <w:proofErr w:type="spellEnd"/>
      <w:r w:rsidR="00804FCB" w:rsidRPr="007450AF">
        <w:t>, pour l</w:t>
      </w:r>
      <w:r w:rsidR="00C4595B" w:rsidRPr="007450AF">
        <w:t>’</w:t>
      </w:r>
      <w:r w:rsidR="00804FCB" w:rsidRPr="007450AF">
        <w:t xml:space="preserve">intervenante Sa Majesté la Reine du chef de la </w:t>
      </w:r>
      <w:proofErr w:type="spellStart"/>
      <w:r w:rsidR="00804FCB" w:rsidRPr="007450AF">
        <w:t>Colombie</w:t>
      </w:r>
      <w:r w:rsidRPr="007450AF">
        <w:noBreakHyphen/>
      </w:r>
      <w:r w:rsidR="00804FCB" w:rsidRPr="007450AF">
        <w:t>Britannique</w:t>
      </w:r>
      <w:proofErr w:type="spellEnd"/>
      <w:r w:rsidR="00804FCB" w:rsidRPr="007450AF">
        <w:t>.</w:t>
      </w:r>
    </w:p>
    <w:p w:rsidR="007E04C0" w:rsidRPr="007450AF" w:rsidRDefault="00A76B3C" w:rsidP="00D07343">
      <w:pPr>
        <w:pStyle w:val="SCCNormalDoubleSpacing"/>
        <w:spacing w:after="480"/>
      </w:pPr>
      <w:r w:rsidRPr="007450AF">
        <w:rPr>
          <w:i/>
        </w:rPr>
        <w:tab/>
        <w:t>Robert </w:t>
      </w:r>
      <w:r w:rsidR="007E04C0" w:rsidRPr="007450AF">
        <w:rPr>
          <w:i/>
        </w:rPr>
        <w:t xml:space="preserve">I. </w:t>
      </w:r>
      <w:proofErr w:type="spellStart"/>
      <w:r w:rsidR="007E04C0" w:rsidRPr="007450AF">
        <w:rPr>
          <w:i/>
        </w:rPr>
        <w:t>Thornton</w:t>
      </w:r>
      <w:proofErr w:type="spellEnd"/>
      <w:r w:rsidR="007E04C0" w:rsidRPr="007450AF">
        <w:t xml:space="preserve">, </w:t>
      </w:r>
      <w:r w:rsidRPr="007450AF">
        <w:rPr>
          <w:i/>
        </w:rPr>
        <w:t>John </w:t>
      </w:r>
      <w:r w:rsidR="007E04C0" w:rsidRPr="007450AF">
        <w:rPr>
          <w:i/>
        </w:rPr>
        <w:t>T. Porter</w:t>
      </w:r>
      <w:r w:rsidR="007E04C0" w:rsidRPr="007450AF">
        <w:t xml:space="preserve"> et </w:t>
      </w:r>
      <w:r w:rsidRPr="007450AF">
        <w:rPr>
          <w:i/>
        </w:rPr>
        <w:t>Rachelle </w:t>
      </w:r>
      <w:r w:rsidR="007E04C0" w:rsidRPr="007450AF">
        <w:rPr>
          <w:i/>
        </w:rPr>
        <w:t xml:space="preserve">F. </w:t>
      </w:r>
      <w:proofErr w:type="spellStart"/>
      <w:r w:rsidR="007E04C0" w:rsidRPr="007450AF">
        <w:rPr>
          <w:i/>
        </w:rPr>
        <w:t>Moncur</w:t>
      </w:r>
      <w:proofErr w:type="spellEnd"/>
      <w:r w:rsidR="007E04C0" w:rsidRPr="007450AF">
        <w:t>, pour l</w:t>
      </w:r>
      <w:r w:rsidR="00C4595B" w:rsidRPr="007450AF">
        <w:t>’</w:t>
      </w:r>
      <w:r w:rsidR="007E04C0" w:rsidRPr="007450AF">
        <w:t>intervenante Ernst &amp; Young Inc., en sa qualité de contrôleur.</w:t>
      </w:r>
    </w:p>
    <w:p w:rsidR="004C5859" w:rsidRPr="007450AF" w:rsidRDefault="00FE00F7" w:rsidP="00D07343">
      <w:pPr>
        <w:pStyle w:val="SCCNormalDoubleSpacing"/>
        <w:spacing w:after="480"/>
      </w:pPr>
      <w:r w:rsidRPr="007450AF">
        <w:rPr>
          <w:i/>
        </w:rPr>
        <w:tab/>
      </w:r>
      <w:r w:rsidR="0091182B" w:rsidRPr="007450AF">
        <w:rPr>
          <w:i/>
        </w:rPr>
        <w:t>William</w:t>
      </w:r>
      <w:r w:rsidR="00291485" w:rsidRPr="007450AF">
        <w:rPr>
          <w:i/>
        </w:rPr>
        <w:t> </w:t>
      </w:r>
      <w:r w:rsidR="00702C3A" w:rsidRPr="007450AF">
        <w:rPr>
          <w:i/>
        </w:rPr>
        <w:t xml:space="preserve">A. </w:t>
      </w:r>
      <w:r w:rsidR="0091182B" w:rsidRPr="007450AF">
        <w:rPr>
          <w:i/>
        </w:rPr>
        <w:t>Amos</w:t>
      </w:r>
      <w:r w:rsidR="0091182B" w:rsidRPr="007450AF">
        <w:t xml:space="preserve">, </w:t>
      </w:r>
      <w:r w:rsidR="0091182B" w:rsidRPr="007450AF">
        <w:rPr>
          <w:i/>
        </w:rPr>
        <w:t xml:space="preserve">Anastasia M. </w:t>
      </w:r>
      <w:proofErr w:type="spellStart"/>
      <w:r w:rsidR="0091182B" w:rsidRPr="007450AF">
        <w:rPr>
          <w:i/>
        </w:rPr>
        <w:t>Lintner</w:t>
      </w:r>
      <w:proofErr w:type="spellEnd"/>
      <w:r w:rsidR="0091182B" w:rsidRPr="007450AF">
        <w:t xml:space="preserve">, </w:t>
      </w:r>
      <w:r w:rsidR="00291485" w:rsidRPr="007450AF">
        <w:rPr>
          <w:i/>
        </w:rPr>
        <w:t>Hugh </w:t>
      </w:r>
      <w:r w:rsidRPr="007450AF">
        <w:rPr>
          <w:i/>
        </w:rPr>
        <w:t>S. Wilkins</w:t>
      </w:r>
      <w:r w:rsidRPr="007450AF">
        <w:t xml:space="preserve"> et </w:t>
      </w:r>
      <w:r w:rsidR="00291485" w:rsidRPr="007450AF">
        <w:rPr>
          <w:i/>
        </w:rPr>
        <w:t>R. </w:t>
      </w:r>
      <w:r w:rsidR="0091182B" w:rsidRPr="007450AF">
        <w:rPr>
          <w:i/>
        </w:rPr>
        <w:t>Graham Phoenix</w:t>
      </w:r>
      <w:r w:rsidR="0091182B" w:rsidRPr="007450AF">
        <w:t xml:space="preserve">, </w:t>
      </w:r>
      <w:r w:rsidRPr="007450AF">
        <w:t>pour l</w:t>
      </w:r>
      <w:r w:rsidR="00C4595B" w:rsidRPr="007450AF">
        <w:t>’</w:t>
      </w:r>
      <w:r w:rsidR="003F31A3" w:rsidRPr="007450AF">
        <w:t xml:space="preserve">intervenant </w:t>
      </w:r>
      <w:r w:rsidR="001A49DF" w:rsidRPr="007450AF">
        <w:t xml:space="preserve">Les </w:t>
      </w:r>
      <w:r w:rsidRPr="007450AF">
        <w:t>Ami(e)s de la Terre Canada.</w:t>
      </w:r>
    </w:p>
    <w:p w:rsidR="004D251C" w:rsidRPr="007450AF" w:rsidRDefault="004D251C" w:rsidP="001A49DF">
      <w:pPr>
        <w:pStyle w:val="JudgeJuge"/>
        <w:spacing w:before="480"/>
        <w:jc w:val="both"/>
        <w:rPr>
          <w:smallCaps w:val="0"/>
          <w:szCs w:val="24"/>
          <w:lang w:val="fr-CA"/>
        </w:rPr>
      </w:pPr>
      <w:r w:rsidRPr="007450AF">
        <w:rPr>
          <w:szCs w:val="24"/>
          <w:lang w:val="fr-CA"/>
        </w:rPr>
        <w:tab/>
      </w:r>
      <w:r w:rsidR="001A49DF" w:rsidRPr="007450AF">
        <w:rPr>
          <w:smallCaps w:val="0"/>
          <w:szCs w:val="24"/>
          <w:lang w:val="fr-CA"/>
        </w:rPr>
        <w:t xml:space="preserve">Version française du jugement des juges Deschamps, Fish, Abella, </w:t>
      </w:r>
      <w:proofErr w:type="spellStart"/>
      <w:r w:rsidR="001A49DF" w:rsidRPr="007450AF">
        <w:rPr>
          <w:smallCaps w:val="0"/>
          <w:szCs w:val="24"/>
          <w:lang w:val="fr-CA"/>
        </w:rPr>
        <w:t>Rothstein</w:t>
      </w:r>
      <w:proofErr w:type="spellEnd"/>
      <w:r w:rsidR="001A49DF" w:rsidRPr="007450AF">
        <w:rPr>
          <w:smallCaps w:val="0"/>
          <w:szCs w:val="24"/>
          <w:lang w:val="fr-CA"/>
        </w:rPr>
        <w:t xml:space="preserve">, Cromwell, </w:t>
      </w:r>
      <w:proofErr w:type="spellStart"/>
      <w:r w:rsidR="001A49DF" w:rsidRPr="007450AF">
        <w:rPr>
          <w:smallCaps w:val="0"/>
          <w:szCs w:val="24"/>
          <w:lang w:val="fr-CA"/>
        </w:rPr>
        <w:t>Moldaver</w:t>
      </w:r>
      <w:proofErr w:type="spellEnd"/>
      <w:r w:rsidR="001A49DF" w:rsidRPr="007450AF">
        <w:rPr>
          <w:smallCaps w:val="0"/>
          <w:szCs w:val="24"/>
          <w:lang w:val="fr-CA"/>
        </w:rPr>
        <w:t xml:space="preserve"> et </w:t>
      </w:r>
      <w:proofErr w:type="spellStart"/>
      <w:r w:rsidR="001A49DF" w:rsidRPr="007450AF">
        <w:rPr>
          <w:smallCaps w:val="0"/>
          <w:szCs w:val="24"/>
          <w:lang w:val="fr-CA"/>
        </w:rPr>
        <w:t>Karakatsanis</w:t>
      </w:r>
      <w:proofErr w:type="spellEnd"/>
      <w:r w:rsidR="001A49DF" w:rsidRPr="007450AF">
        <w:rPr>
          <w:smallCaps w:val="0"/>
          <w:szCs w:val="24"/>
          <w:lang w:val="fr-CA"/>
        </w:rPr>
        <w:t xml:space="preserve"> rendu par</w:t>
      </w:r>
    </w:p>
    <w:p w:rsidR="004D251C" w:rsidRPr="007450AF" w:rsidRDefault="001A49DF" w:rsidP="004D251C">
      <w:pPr>
        <w:pStyle w:val="ParaNoNdepar-AltN"/>
        <w:tabs>
          <w:tab w:val="clear" w:pos="1152"/>
          <w:tab w:val="left" w:pos="1166"/>
        </w:tabs>
        <w:rPr>
          <w:rFonts w:cs="Times New Roman"/>
          <w:szCs w:val="24"/>
          <w:lang w:val="fr-CA"/>
        </w:rPr>
      </w:pPr>
      <w:r w:rsidRPr="007450AF">
        <w:rPr>
          <w:rFonts w:cs="Times New Roman"/>
          <w:smallCaps/>
          <w:szCs w:val="24"/>
          <w:lang w:val="fr-CA"/>
        </w:rPr>
        <w:t>La juge Deschamps</w:t>
      </w:r>
      <w:r w:rsidRPr="007450AF">
        <w:rPr>
          <w:rFonts w:cs="Times New Roman"/>
          <w:szCs w:val="24"/>
          <w:lang w:val="fr-CA"/>
        </w:rPr>
        <w:t xml:space="preserve"> — </w:t>
      </w:r>
      <w:r w:rsidR="004D251C" w:rsidRPr="007450AF">
        <w:rPr>
          <w:rFonts w:cs="Times New Roman"/>
          <w:szCs w:val="24"/>
          <w:lang w:val="fr-CA"/>
        </w:rPr>
        <w:t xml:space="preserve">La question soulevée dans le présent pourvoi est de savoir si des ordonnances d’un organisme administratif relatives à des travaux de décontamination peuvent être traitées comme des réclamations pécuniaires aux termes de la </w:t>
      </w:r>
      <w:r w:rsidR="004D251C" w:rsidRPr="007450AF">
        <w:rPr>
          <w:rFonts w:cs="Times New Roman"/>
          <w:i/>
          <w:szCs w:val="24"/>
          <w:lang w:val="fr-CA"/>
        </w:rPr>
        <w:t>Loi sur les arrangements avec les créanciers des compagnies</w:t>
      </w:r>
      <w:r w:rsidR="004D251C" w:rsidRPr="007450AF">
        <w:rPr>
          <w:rFonts w:cs="Times New Roman"/>
          <w:szCs w:val="24"/>
          <w:lang w:val="fr-CA"/>
        </w:rPr>
        <w:t>, L.R.C. 1985, ch. C</w:t>
      </w:r>
      <w:r w:rsidR="004D251C" w:rsidRPr="007450AF">
        <w:rPr>
          <w:rFonts w:cs="Times New Roman"/>
          <w:szCs w:val="24"/>
          <w:lang w:val="fr-CA"/>
        </w:rPr>
        <w:noBreakHyphen/>
        <w:t>36 (« </w:t>
      </w:r>
      <w:r w:rsidR="004D251C" w:rsidRPr="007450AF">
        <w:rPr>
          <w:rFonts w:cs="Times New Roman"/>
          <w:i/>
          <w:szCs w:val="24"/>
          <w:lang w:val="fr-CA"/>
        </w:rPr>
        <w:t>LACC</w:t>
      </w:r>
      <w:r w:rsidR="004D251C" w:rsidRPr="007450AF">
        <w:rPr>
          <w:rFonts w:cs="Times New Roman"/>
          <w:szCs w:val="24"/>
          <w:lang w:val="fr-CA"/>
        </w:rPr>
        <w:t xml:space="preserve"> »). </w:t>
      </w:r>
    </w:p>
    <w:p w:rsidR="004D251C" w:rsidRPr="007450AF" w:rsidRDefault="004D251C" w:rsidP="004D251C">
      <w:pPr>
        <w:pStyle w:val="ParaNoNdepar-AltN"/>
        <w:tabs>
          <w:tab w:val="clear" w:pos="1152"/>
          <w:tab w:val="left" w:pos="1166"/>
        </w:tabs>
        <w:rPr>
          <w:rFonts w:cs="Times New Roman"/>
          <w:szCs w:val="24"/>
          <w:u w:val="single"/>
          <w:lang w:val="fr-CA"/>
        </w:rPr>
      </w:pPr>
      <w:r w:rsidRPr="007450AF">
        <w:rPr>
          <w:rFonts w:cs="Times New Roman"/>
          <w:szCs w:val="24"/>
          <w:lang w:val="fr-CA"/>
        </w:rPr>
        <w:t xml:space="preserve">Un organisme administratif peut être appelé à intervenir dans le cadre de procédures de réorganisation lorsqu’il prononce une ordonnance intimant au débiteur de se conformer à une règle prescrite par la loi.  En principe, une réorganisation ne permet pas à une personne d’ignorer ses obligations légales.  Par ailleurs, en certaines circonstances, une ordonnance valable et exécutoire sera assujettie à un arrangement </w:t>
      </w:r>
      <w:r w:rsidRPr="007450AF">
        <w:rPr>
          <w:rFonts w:cs="Times New Roman"/>
          <w:szCs w:val="24"/>
          <w:lang w:val="fr-CA"/>
        </w:rPr>
        <w:lastRenderedPageBreak/>
        <w:t xml:space="preserve">conclu en vertu de la </w:t>
      </w:r>
      <w:r w:rsidRPr="007450AF">
        <w:rPr>
          <w:rFonts w:cs="Times New Roman"/>
          <w:i/>
          <w:szCs w:val="24"/>
          <w:lang w:val="fr-CA"/>
        </w:rPr>
        <w:t>LACC</w:t>
      </w:r>
      <w:r w:rsidRPr="007450AF">
        <w:rPr>
          <w:rFonts w:cs="Times New Roman"/>
          <w:szCs w:val="24"/>
          <w:lang w:val="fr-CA"/>
        </w:rPr>
        <w:t>.  C’est le cas notamment lorsqu’un organisme administratif prononce une ordonnance environnementale qui est explicitement formulée en termes pécuniaires.</w:t>
      </w:r>
    </w:p>
    <w:p w:rsidR="004D251C" w:rsidRPr="007450AF" w:rsidRDefault="004D251C" w:rsidP="004D251C">
      <w:pPr>
        <w:pStyle w:val="ParaNoNdepar-AltN"/>
        <w:tabs>
          <w:tab w:val="clear" w:pos="1152"/>
          <w:tab w:val="left" w:pos="1166"/>
        </w:tabs>
        <w:rPr>
          <w:rFonts w:cs="Times New Roman"/>
          <w:szCs w:val="24"/>
          <w:u w:val="single"/>
          <w:lang w:val="fr-CA"/>
        </w:rPr>
      </w:pPr>
      <w:r w:rsidRPr="007450AF">
        <w:rPr>
          <w:rFonts w:cs="Times New Roman"/>
          <w:szCs w:val="24"/>
          <w:lang w:val="fr-CA"/>
        </w:rPr>
        <w:t xml:space="preserve">En d’autres circonstances, il est plus difficile de savoir si une ordonnance peut être traitée comme une réclamation pécuniaire.  L’appelante et certains des intervenants affirment qu’une ordonnance émise par un organisme de protection de l’environnement ne constitue pas une réclamation au sens de la </w:t>
      </w:r>
      <w:r w:rsidRPr="007450AF">
        <w:rPr>
          <w:rFonts w:cs="Times New Roman"/>
          <w:i/>
          <w:szCs w:val="24"/>
          <w:lang w:val="fr-CA"/>
        </w:rPr>
        <w:t xml:space="preserve">LACC </w:t>
      </w:r>
      <w:r w:rsidRPr="007450AF">
        <w:rPr>
          <w:rFonts w:cs="Times New Roman"/>
          <w:szCs w:val="24"/>
          <w:lang w:val="fr-CA"/>
        </w:rPr>
        <w:t xml:space="preserve">si elle n’exige pas du débiteur qu’il lui paye un montant d’argent.  Je conviens que les ordonnances des organismes administratifs ne constituent pas toutes des réclamations pécuniaires, et donc des réclamations prouvables dans le cadre de procédures d’insolvabilité, mais certaines peuvent l’être en dépit du fait qu’elles ne sont pas quantifiées dès le début des procédures.  En matière environnementale, le tribunal chargé de l’application de la </w:t>
      </w:r>
      <w:r w:rsidRPr="007450AF">
        <w:rPr>
          <w:rFonts w:cs="Times New Roman"/>
          <w:i/>
          <w:szCs w:val="24"/>
          <w:lang w:val="fr-CA"/>
        </w:rPr>
        <w:t>LACC</w:t>
      </w:r>
      <w:r w:rsidRPr="007450AF">
        <w:rPr>
          <w:rFonts w:cs="Times New Roman"/>
          <w:szCs w:val="24"/>
          <w:lang w:val="fr-CA"/>
        </w:rPr>
        <w:t xml:space="preserve"> doit déterminer s’il y a suffisamment de faits indiquant qu’il existe une obligation environnementale de laquelle résultera une dette envers l’organisme administratif qui a prononcé l’ordonnance.  En pareil cas, la question pertinente ne se résume pas à déterminer si l’organisme a formellement exercé son pouvoir de réclamer une dette.  Lorsque le tribunal évalue une réclamation (ou une ordonnance) il ne se limite pas à un examen de sa forme.  Si l’ordonnance n’est pas formulée en termes pécuniaires, le tribunal doit déterminer, en fonction des faits en cause et du cadre législatif applicable, si elle constitue une réclamation qui sera assujettie au processus de réclamation</w:t>
      </w:r>
      <w:r w:rsidR="00274871" w:rsidRPr="007450AF">
        <w:rPr>
          <w:rFonts w:cs="Times New Roman"/>
          <w:szCs w:val="24"/>
          <w:lang w:val="fr-CA"/>
        </w:rPr>
        <w:t>.</w:t>
      </w:r>
      <w:r w:rsidRPr="007450AF">
        <w:rPr>
          <w:rFonts w:cs="Times New Roman"/>
          <w:szCs w:val="24"/>
          <w:lang w:val="fr-CA"/>
        </w:rPr>
        <w:t xml:space="preserve"> </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lastRenderedPageBreak/>
        <w:t xml:space="preserve">Le présent pourvoi a trait à des dommages environnementaux survenus avant que les procédures sous le régime de la </w:t>
      </w:r>
      <w:r w:rsidRPr="007450AF">
        <w:rPr>
          <w:rFonts w:cs="Times New Roman"/>
          <w:i/>
          <w:szCs w:val="24"/>
          <w:lang w:val="fr-CA"/>
        </w:rPr>
        <w:t xml:space="preserve">LACC </w:t>
      </w:r>
      <w:r w:rsidRPr="007450AF">
        <w:rPr>
          <w:rFonts w:cs="Times New Roman"/>
          <w:szCs w:val="24"/>
          <w:lang w:val="fr-CA"/>
        </w:rPr>
        <w:t>ne soient engagées, des dommages causés à des terrains qui, en majeure partie, ne sont plus en la possession du débiteur ni sous son contrôle.  Le tribunal de première instance a conclu, selon les faits en l’espèce, que les ordonnance</w:t>
      </w:r>
      <w:r w:rsidR="00274871" w:rsidRPr="007450AF">
        <w:rPr>
          <w:rFonts w:cs="Times New Roman"/>
          <w:szCs w:val="24"/>
          <w:lang w:val="fr-CA"/>
        </w:rPr>
        <w:t>s</w:t>
      </w:r>
      <w:r w:rsidRPr="007450AF">
        <w:rPr>
          <w:rFonts w:cs="Times New Roman"/>
          <w:szCs w:val="24"/>
          <w:lang w:val="fr-CA"/>
        </w:rPr>
        <w:t xml:space="preserve"> émises par Sa Majesté la Reine du chef de la province de </w:t>
      </w:r>
      <w:proofErr w:type="spellStart"/>
      <w:r w:rsidRPr="007450AF">
        <w:rPr>
          <w:rFonts w:cs="Times New Roman"/>
          <w:szCs w:val="24"/>
          <w:lang w:val="fr-CA"/>
        </w:rPr>
        <w:t>Terre</w:t>
      </w:r>
      <w:r w:rsidRPr="007450AF">
        <w:rPr>
          <w:rFonts w:cs="Times New Roman"/>
          <w:szCs w:val="24"/>
          <w:lang w:val="fr-CA"/>
        </w:rPr>
        <w:noBreakHyphen/>
        <w:t>Neuve</w:t>
      </w:r>
      <w:r w:rsidRPr="007450AF">
        <w:rPr>
          <w:rFonts w:cs="Times New Roman"/>
          <w:szCs w:val="24"/>
          <w:lang w:val="fr-CA"/>
        </w:rPr>
        <w:noBreakHyphen/>
        <w:t>et</w:t>
      </w:r>
      <w:r w:rsidRPr="007450AF">
        <w:rPr>
          <w:rFonts w:cs="Times New Roman"/>
          <w:szCs w:val="24"/>
          <w:lang w:val="fr-CA"/>
        </w:rPr>
        <w:noBreakHyphen/>
        <w:t>Labrador</w:t>
      </w:r>
      <w:proofErr w:type="spellEnd"/>
      <w:r w:rsidRPr="007450AF">
        <w:rPr>
          <w:rFonts w:cs="Times New Roman"/>
          <w:szCs w:val="24"/>
          <w:lang w:val="fr-CA"/>
        </w:rPr>
        <w:t xml:space="preserve"> (« province ») ne constituaient que la première étape en vue de restaurer les sites contaminés et de réclamer les coûts engagés.  Comme l’a exprimé le juge de première instance,</w:t>
      </w:r>
      <w:r w:rsidRPr="007450AF">
        <w:rPr>
          <w:rFonts w:cs="Times New Roman"/>
          <w:i/>
          <w:szCs w:val="24"/>
          <w:lang w:val="fr-CA"/>
        </w:rPr>
        <w:t xml:space="preserve"> </w:t>
      </w:r>
      <w:r w:rsidRPr="007450AF">
        <w:rPr>
          <w:rFonts w:cs="Times New Roman"/>
          <w:szCs w:val="24"/>
          <w:lang w:val="fr-CA"/>
        </w:rPr>
        <w:t>[</w:t>
      </w:r>
      <w:r w:rsidRPr="007450AF">
        <w:rPr>
          <w:rFonts w:cs="Times New Roman"/>
          <w:smallCaps/>
          <w:szCs w:val="24"/>
          <w:lang w:val="fr-CA"/>
        </w:rPr>
        <w:t xml:space="preserve">traduction] </w:t>
      </w:r>
      <w:r w:rsidRPr="007450AF">
        <w:rPr>
          <w:rFonts w:cs="Times New Roman"/>
          <w:szCs w:val="24"/>
          <w:lang w:val="fr-CA"/>
        </w:rPr>
        <w:t xml:space="preserve">« les ordonnances avaient pour effet attendu, pratique et réaliste d’établir le fondement d’une réclamation permettant à la province </w:t>
      </w:r>
      <w:r w:rsidR="00274871" w:rsidRPr="007450AF">
        <w:rPr>
          <w:rFonts w:cs="Times New Roman"/>
          <w:szCs w:val="24"/>
          <w:lang w:val="fr-CA"/>
        </w:rPr>
        <w:t xml:space="preserve">de récupérer des sommes d’argent qui seraient utilisées pour </w:t>
      </w:r>
      <w:r w:rsidRPr="007450AF">
        <w:rPr>
          <w:rFonts w:cs="Times New Roman"/>
          <w:szCs w:val="24"/>
          <w:lang w:val="fr-CA"/>
        </w:rPr>
        <w:t>procéder aux travaux de décontamination » (</w:t>
      </w:r>
      <w:r w:rsidR="00274871" w:rsidRPr="007450AF">
        <w:rPr>
          <w:rFonts w:cs="Times New Roman"/>
          <w:szCs w:val="24"/>
          <w:lang w:val="fr-CA"/>
        </w:rPr>
        <w:t xml:space="preserve">2010 QCCS 1261, 68 C.B.R. (5th) 1, </w:t>
      </w:r>
      <w:r w:rsidRPr="007450AF">
        <w:rPr>
          <w:rFonts w:cs="Times New Roman"/>
          <w:szCs w:val="24"/>
          <w:lang w:val="fr-CA"/>
        </w:rPr>
        <w:t xml:space="preserve">par. 211).  Par conséquent, pour le tribunal, les ordonnances étaient clairement de nature pécuniaire.  Je ne vois aucune erreur de droit ni aucune raison de modifier ces conclusions de fait.  Je suis d’avis de rejeter le pourvoi avec dépens.  </w:t>
      </w:r>
    </w:p>
    <w:p w:rsidR="004D251C" w:rsidRPr="007450AF" w:rsidRDefault="004D251C" w:rsidP="00DB3D05">
      <w:pPr>
        <w:pStyle w:val="TitleTitre-AltT"/>
        <w:tabs>
          <w:tab w:val="clear" w:pos="360"/>
          <w:tab w:val="left" w:pos="540"/>
        </w:tabs>
        <w:ind w:left="540" w:hanging="540"/>
        <w:rPr>
          <w:rFonts w:cs="Times New Roman"/>
          <w:b/>
          <w:szCs w:val="24"/>
          <w:lang w:val="fr-CA"/>
        </w:rPr>
      </w:pPr>
      <w:r w:rsidRPr="007450AF">
        <w:rPr>
          <w:rFonts w:cs="Times New Roman"/>
          <w:szCs w:val="24"/>
          <w:lang w:val="fr-CA"/>
        </w:rPr>
        <w:t>I.</w:t>
      </w:r>
      <w:r w:rsidRPr="007450AF">
        <w:rPr>
          <w:rFonts w:cs="Times New Roman"/>
          <w:szCs w:val="24"/>
          <w:lang w:val="fr-CA"/>
        </w:rPr>
        <w:tab/>
      </w:r>
      <w:r w:rsidRPr="007450AF">
        <w:rPr>
          <w:rFonts w:cs="Times New Roman"/>
          <w:szCs w:val="24"/>
          <w:u w:val="single"/>
          <w:lang w:val="fr-CA"/>
        </w:rPr>
        <w:t>Faits et historique judiciaire</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Pendant plus d’une centaine d’années, </w:t>
      </w:r>
      <w:proofErr w:type="spellStart"/>
      <w:r w:rsidRPr="007450AF">
        <w:rPr>
          <w:rFonts w:cs="Times New Roman"/>
          <w:szCs w:val="24"/>
          <w:lang w:val="fr-CA"/>
        </w:rPr>
        <w:t>AbitibiBowater</w:t>
      </w:r>
      <w:proofErr w:type="spellEnd"/>
      <w:r w:rsidRPr="007450AF">
        <w:rPr>
          <w:rFonts w:cs="Times New Roman"/>
          <w:szCs w:val="24"/>
          <w:lang w:val="fr-CA"/>
        </w:rPr>
        <w:t xml:space="preserve"> Inc., </w:t>
      </w:r>
      <w:r w:rsidR="009A6BF8" w:rsidRPr="007450AF">
        <w:rPr>
          <w:rFonts w:cs="Times New Roman"/>
          <w:szCs w:val="24"/>
          <w:lang w:val="fr-CA"/>
        </w:rPr>
        <w:t xml:space="preserve">et </w:t>
      </w:r>
      <w:r w:rsidRPr="007450AF">
        <w:rPr>
          <w:rFonts w:cs="Times New Roman"/>
          <w:szCs w:val="24"/>
          <w:lang w:val="fr-CA"/>
        </w:rPr>
        <w:t>ses auteurs ou sociétés filiales</w:t>
      </w:r>
      <w:r w:rsidR="009A6BF8" w:rsidRPr="007450AF">
        <w:rPr>
          <w:rFonts w:cs="Times New Roman"/>
          <w:szCs w:val="24"/>
          <w:lang w:val="fr-CA"/>
        </w:rPr>
        <w:t xml:space="preserve"> (ensemble, « Abitibi ») </w:t>
      </w:r>
      <w:r w:rsidRPr="007450AF">
        <w:rPr>
          <w:rFonts w:cs="Times New Roman"/>
          <w:szCs w:val="24"/>
          <w:lang w:val="fr-CA"/>
        </w:rPr>
        <w:t xml:space="preserve">ont poursuivi des activités industrielles à </w:t>
      </w:r>
      <w:proofErr w:type="spellStart"/>
      <w:r w:rsidRPr="007450AF">
        <w:rPr>
          <w:rFonts w:cs="Times New Roman"/>
          <w:szCs w:val="24"/>
          <w:lang w:val="fr-CA"/>
        </w:rPr>
        <w:t>Terre</w:t>
      </w:r>
      <w:r w:rsidRPr="007450AF">
        <w:rPr>
          <w:rFonts w:cs="Times New Roman"/>
          <w:szCs w:val="24"/>
          <w:lang w:val="fr-CA"/>
        </w:rPr>
        <w:noBreakHyphen/>
        <w:t>Neuve</w:t>
      </w:r>
      <w:r w:rsidRPr="007450AF">
        <w:rPr>
          <w:rFonts w:cs="Times New Roman"/>
          <w:szCs w:val="24"/>
          <w:lang w:val="fr-CA"/>
        </w:rPr>
        <w:noBreakHyphen/>
        <w:t>et</w:t>
      </w:r>
      <w:r w:rsidRPr="007450AF">
        <w:rPr>
          <w:rFonts w:cs="Times New Roman"/>
          <w:szCs w:val="24"/>
          <w:lang w:val="fr-CA"/>
        </w:rPr>
        <w:noBreakHyphen/>
        <w:t>Labrador</w:t>
      </w:r>
      <w:proofErr w:type="spellEnd"/>
      <w:r w:rsidRPr="007450AF">
        <w:rPr>
          <w:rFonts w:cs="Times New Roman"/>
          <w:szCs w:val="24"/>
          <w:lang w:val="fr-CA"/>
        </w:rPr>
        <w:t xml:space="preserve">.  En 2008, Abitibi a annoncé la fermeture de la dernière des scieries qu’elle exploitait dans cette province.  </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lastRenderedPageBreak/>
        <w:t>Dans les deux semaines qui ont suivi cette annonce, la province a adopté l’</w:t>
      </w:r>
      <w:r w:rsidRPr="007450AF">
        <w:rPr>
          <w:rFonts w:cs="Times New Roman"/>
          <w:i/>
          <w:szCs w:val="24"/>
          <w:lang w:val="fr-CA"/>
        </w:rPr>
        <w:t>Abitibi</w:t>
      </w:r>
      <w:r w:rsidRPr="007450AF">
        <w:rPr>
          <w:rFonts w:cs="Times New Roman"/>
          <w:i/>
          <w:szCs w:val="24"/>
          <w:lang w:val="fr-CA"/>
        </w:rPr>
        <w:noBreakHyphen/>
      </w:r>
      <w:proofErr w:type="spellStart"/>
      <w:r w:rsidRPr="007450AF">
        <w:rPr>
          <w:rFonts w:cs="Times New Roman"/>
          <w:i/>
          <w:szCs w:val="24"/>
          <w:lang w:val="fr-CA"/>
        </w:rPr>
        <w:t>Consolidated</w:t>
      </w:r>
      <w:proofErr w:type="spellEnd"/>
      <w:r w:rsidRPr="007450AF">
        <w:rPr>
          <w:rFonts w:cs="Times New Roman"/>
          <w:i/>
          <w:szCs w:val="24"/>
          <w:lang w:val="fr-CA"/>
        </w:rPr>
        <w:t xml:space="preserve"> </w:t>
      </w:r>
      <w:proofErr w:type="spellStart"/>
      <w:r w:rsidRPr="007450AF">
        <w:rPr>
          <w:rFonts w:cs="Times New Roman"/>
          <w:i/>
          <w:szCs w:val="24"/>
          <w:lang w:val="fr-CA"/>
        </w:rPr>
        <w:t>Rights</w:t>
      </w:r>
      <w:proofErr w:type="spellEnd"/>
      <w:r w:rsidRPr="007450AF">
        <w:rPr>
          <w:rFonts w:cs="Times New Roman"/>
          <w:i/>
          <w:szCs w:val="24"/>
          <w:lang w:val="fr-CA"/>
        </w:rPr>
        <w:t xml:space="preserve"> and </w:t>
      </w:r>
      <w:proofErr w:type="spellStart"/>
      <w:r w:rsidRPr="007450AF">
        <w:rPr>
          <w:rFonts w:cs="Times New Roman"/>
          <w:i/>
          <w:szCs w:val="24"/>
          <w:lang w:val="fr-CA"/>
        </w:rPr>
        <w:t>Assets</w:t>
      </w:r>
      <w:proofErr w:type="spellEnd"/>
      <w:r w:rsidRPr="007450AF">
        <w:rPr>
          <w:rFonts w:cs="Times New Roman"/>
          <w:i/>
          <w:szCs w:val="24"/>
          <w:lang w:val="fr-CA"/>
        </w:rPr>
        <w:t xml:space="preserve"> </w:t>
      </w:r>
      <w:proofErr w:type="spellStart"/>
      <w:r w:rsidRPr="007450AF">
        <w:rPr>
          <w:rFonts w:cs="Times New Roman"/>
          <w:i/>
          <w:szCs w:val="24"/>
          <w:lang w:val="fr-CA"/>
        </w:rPr>
        <w:t>Act</w:t>
      </w:r>
      <w:proofErr w:type="spellEnd"/>
      <w:r w:rsidRPr="007450AF">
        <w:rPr>
          <w:rFonts w:cs="Times New Roman"/>
          <w:szCs w:val="24"/>
          <w:lang w:val="fr-CA"/>
        </w:rPr>
        <w:t>, S.N.L. 2008, ch. A</w:t>
      </w:r>
      <w:r w:rsidRPr="007450AF">
        <w:rPr>
          <w:rFonts w:cs="Times New Roman"/>
          <w:szCs w:val="24"/>
          <w:lang w:val="fr-CA"/>
        </w:rPr>
        <w:noBreakHyphen/>
        <w:t>1.01 (« </w:t>
      </w:r>
      <w:r w:rsidRPr="007450AF">
        <w:rPr>
          <w:rFonts w:cs="Times New Roman"/>
          <w:i/>
          <w:szCs w:val="24"/>
          <w:lang w:val="fr-CA"/>
        </w:rPr>
        <w:t xml:space="preserve">Abitibi </w:t>
      </w:r>
      <w:proofErr w:type="spellStart"/>
      <w:r w:rsidRPr="007450AF">
        <w:rPr>
          <w:rFonts w:cs="Times New Roman"/>
          <w:i/>
          <w:szCs w:val="24"/>
          <w:lang w:val="fr-CA"/>
        </w:rPr>
        <w:t>Act</w:t>
      </w:r>
      <w:proofErr w:type="spellEnd"/>
      <w:r w:rsidRPr="007450AF">
        <w:rPr>
          <w:rFonts w:cs="Times New Roman"/>
          <w:i/>
          <w:szCs w:val="24"/>
          <w:lang w:val="fr-CA"/>
        </w:rPr>
        <w:t> </w:t>
      </w:r>
      <w:r w:rsidRPr="007450AF">
        <w:rPr>
          <w:rFonts w:cs="Times New Roman"/>
          <w:szCs w:val="24"/>
          <w:lang w:val="fr-CA"/>
        </w:rPr>
        <w:t xml:space="preserve">»), qui transférait immédiatement à la province la plus grande partie des biens d’Abitibi situés à </w:t>
      </w:r>
      <w:proofErr w:type="spellStart"/>
      <w:r w:rsidRPr="007450AF">
        <w:rPr>
          <w:rFonts w:cs="Times New Roman"/>
          <w:szCs w:val="24"/>
          <w:lang w:val="fr-CA"/>
        </w:rPr>
        <w:t>Terre</w:t>
      </w:r>
      <w:r w:rsidRPr="007450AF">
        <w:rPr>
          <w:rFonts w:cs="Times New Roman"/>
          <w:szCs w:val="24"/>
          <w:lang w:val="fr-CA"/>
        </w:rPr>
        <w:noBreakHyphen/>
        <w:t>Neuve</w:t>
      </w:r>
      <w:r w:rsidRPr="007450AF">
        <w:rPr>
          <w:rFonts w:cs="Times New Roman"/>
          <w:szCs w:val="24"/>
          <w:lang w:val="fr-CA"/>
        </w:rPr>
        <w:noBreakHyphen/>
        <w:t>et</w:t>
      </w:r>
      <w:r w:rsidRPr="007450AF">
        <w:rPr>
          <w:rFonts w:cs="Times New Roman"/>
          <w:szCs w:val="24"/>
          <w:lang w:val="fr-CA"/>
        </w:rPr>
        <w:noBreakHyphen/>
        <w:t>Labrador</w:t>
      </w:r>
      <w:proofErr w:type="spellEnd"/>
      <w:r w:rsidRPr="007450AF">
        <w:rPr>
          <w:rFonts w:cs="Times New Roman"/>
          <w:szCs w:val="24"/>
          <w:lang w:val="fr-CA"/>
        </w:rPr>
        <w:t xml:space="preserve"> et privait la société de tous recours judiciaires en relation avec cette expropriation.</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La fermeture de sa scierie à </w:t>
      </w:r>
      <w:proofErr w:type="spellStart"/>
      <w:r w:rsidRPr="007450AF">
        <w:rPr>
          <w:rFonts w:cs="Times New Roman"/>
          <w:szCs w:val="24"/>
          <w:lang w:val="fr-CA"/>
        </w:rPr>
        <w:t>Terre</w:t>
      </w:r>
      <w:r w:rsidRPr="007450AF">
        <w:rPr>
          <w:rFonts w:cs="Times New Roman"/>
          <w:szCs w:val="24"/>
          <w:lang w:val="fr-CA"/>
        </w:rPr>
        <w:noBreakHyphen/>
        <w:t>Neuve</w:t>
      </w:r>
      <w:r w:rsidRPr="007450AF">
        <w:rPr>
          <w:rFonts w:cs="Times New Roman"/>
          <w:szCs w:val="24"/>
          <w:lang w:val="fr-CA"/>
        </w:rPr>
        <w:noBreakHyphen/>
        <w:t>et</w:t>
      </w:r>
      <w:r w:rsidRPr="007450AF">
        <w:rPr>
          <w:rFonts w:cs="Times New Roman"/>
          <w:szCs w:val="24"/>
          <w:lang w:val="fr-CA"/>
        </w:rPr>
        <w:noBreakHyphen/>
        <w:t>Labrador</w:t>
      </w:r>
      <w:proofErr w:type="spellEnd"/>
      <w:r w:rsidRPr="007450AF">
        <w:rPr>
          <w:rFonts w:cs="Times New Roman"/>
          <w:szCs w:val="24"/>
          <w:lang w:val="fr-CA"/>
        </w:rPr>
        <w:t xml:space="preserve"> est l’une des nombreuses décisions prises par Abitibi dans une période où de grandes difficultés financières touchaient ses activités au Canada et aux </w:t>
      </w:r>
      <w:proofErr w:type="spellStart"/>
      <w:r w:rsidRPr="007450AF">
        <w:rPr>
          <w:rFonts w:cs="Times New Roman"/>
          <w:szCs w:val="24"/>
          <w:lang w:val="fr-CA"/>
        </w:rPr>
        <w:t>États</w:t>
      </w:r>
      <w:r w:rsidRPr="007450AF">
        <w:rPr>
          <w:rFonts w:cs="Times New Roman"/>
          <w:szCs w:val="24"/>
          <w:lang w:val="fr-CA"/>
        </w:rPr>
        <w:noBreakHyphen/>
        <w:t>Unis</w:t>
      </w:r>
      <w:proofErr w:type="spellEnd"/>
      <w:r w:rsidRPr="007450AF">
        <w:rPr>
          <w:rFonts w:cs="Times New Roman"/>
          <w:szCs w:val="24"/>
          <w:lang w:val="fr-CA"/>
        </w:rPr>
        <w:t>.</w:t>
      </w:r>
      <w:r w:rsidRPr="007450AF">
        <w:rPr>
          <w:rFonts w:cs="Times New Roman"/>
          <w:b/>
          <w:szCs w:val="24"/>
          <w:lang w:val="fr-CA"/>
        </w:rPr>
        <w:t xml:space="preserve">  </w:t>
      </w:r>
      <w:r w:rsidRPr="007450AF">
        <w:rPr>
          <w:rFonts w:cs="Times New Roman"/>
          <w:szCs w:val="24"/>
          <w:lang w:val="fr-CA"/>
        </w:rPr>
        <w:t xml:space="preserve">Le 16 avril 2009, elle a présenté une demande de protection contre l’insolvabilité aux </w:t>
      </w:r>
      <w:proofErr w:type="spellStart"/>
      <w:r w:rsidRPr="007450AF">
        <w:rPr>
          <w:rFonts w:cs="Times New Roman"/>
          <w:szCs w:val="24"/>
          <w:lang w:val="fr-CA"/>
        </w:rPr>
        <w:t>États</w:t>
      </w:r>
      <w:r w:rsidRPr="007450AF">
        <w:rPr>
          <w:rFonts w:cs="Times New Roman"/>
          <w:szCs w:val="24"/>
          <w:lang w:val="fr-CA"/>
        </w:rPr>
        <w:noBreakHyphen/>
        <w:t>Unis</w:t>
      </w:r>
      <w:proofErr w:type="spellEnd"/>
      <w:r w:rsidRPr="007450AF">
        <w:rPr>
          <w:rFonts w:cs="Times New Roman"/>
          <w:szCs w:val="24"/>
          <w:lang w:val="fr-CA"/>
        </w:rPr>
        <w:t xml:space="preserve">.  Elle a également demandé à la Cour supérieure du Québec, à Montréal, où elle a son siège social au Canada, une suspension des procédures en vertu de la </w:t>
      </w:r>
      <w:r w:rsidRPr="007450AF">
        <w:rPr>
          <w:rFonts w:cs="Times New Roman"/>
          <w:i/>
          <w:szCs w:val="24"/>
          <w:lang w:val="fr-CA"/>
        </w:rPr>
        <w:t>LACC</w:t>
      </w:r>
      <w:r w:rsidRPr="007450AF">
        <w:rPr>
          <w:rFonts w:cs="Times New Roman"/>
          <w:szCs w:val="24"/>
          <w:lang w:val="fr-CA"/>
        </w:rPr>
        <w:t>.  La suspension a été ordonnée le 17 avril 2009.</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Au cours du même mois, Abitibi a aussi déposé un avis d’intention de soumettre une plainte à l’arbitrage en vertu de l’ALENA </w:t>
      </w:r>
      <w:bookmarkStart w:id="2" w:name="OLE_LINK3"/>
      <w:bookmarkStart w:id="3" w:name="OLE_LINK4"/>
      <w:r w:rsidRPr="007450AF">
        <w:rPr>
          <w:rFonts w:cs="Times New Roman"/>
          <w:szCs w:val="24"/>
          <w:lang w:val="fr-CA"/>
        </w:rPr>
        <w:t>(</w:t>
      </w:r>
      <w:r w:rsidRPr="007450AF">
        <w:rPr>
          <w:rFonts w:cs="Times New Roman"/>
          <w:i/>
          <w:szCs w:val="24"/>
          <w:lang w:val="fr-CA"/>
        </w:rPr>
        <w:t xml:space="preserve">Accord de </w:t>
      </w:r>
      <w:proofErr w:type="spellStart"/>
      <w:r w:rsidRPr="007450AF">
        <w:rPr>
          <w:rFonts w:cs="Times New Roman"/>
          <w:i/>
          <w:szCs w:val="24"/>
          <w:lang w:val="fr-CA"/>
        </w:rPr>
        <w:t>libre</w:t>
      </w:r>
      <w:r w:rsidRPr="007450AF">
        <w:rPr>
          <w:rFonts w:cs="Times New Roman"/>
          <w:i/>
          <w:szCs w:val="24"/>
          <w:lang w:val="fr-CA"/>
        </w:rPr>
        <w:noBreakHyphen/>
        <w:t>échange</w:t>
      </w:r>
      <w:proofErr w:type="spellEnd"/>
      <w:r w:rsidRPr="007450AF">
        <w:rPr>
          <w:rFonts w:cs="Times New Roman"/>
          <w:i/>
          <w:szCs w:val="24"/>
          <w:lang w:val="fr-CA"/>
        </w:rPr>
        <w:t xml:space="preserve"> </w:t>
      </w:r>
      <w:proofErr w:type="spellStart"/>
      <w:r w:rsidRPr="007450AF">
        <w:rPr>
          <w:rFonts w:cs="Times New Roman"/>
          <w:i/>
          <w:szCs w:val="24"/>
          <w:lang w:val="fr-CA"/>
        </w:rPr>
        <w:t>nord</w:t>
      </w:r>
      <w:r w:rsidRPr="007450AF">
        <w:rPr>
          <w:rFonts w:cs="Times New Roman"/>
          <w:i/>
          <w:szCs w:val="24"/>
          <w:lang w:val="fr-CA"/>
        </w:rPr>
        <w:noBreakHyphen/>
        <w:t>américain</w:t>
      </w:r>
      <w:proofErr w:type="spellEnd"/>
      <w:r w:rsidRPr="007450AF">
        <w:rPr>
          <w:rFonts w:cs="Times New Roman"/>
          <w:i/>
          <w:szCs w:val="24"/>
          <w:lang w:val="fr-CA"/>
        </w:rPr>
        <w:t xml:space="preserve"> entre le gouvernement du Canada, le gouvernement des États-Unis d’Amérique et le gouvernement des États-Unis du Mexique</w:t>
      </w:r>
      <w:r w:rsidRPr="007450AF">
        <w:rPr>
          <w:rFonts w:cs="Times New Roman"/>
          <w:szCs w:val="24"/>
          <w:lang w:val="fr-CA"/>
        </w:rPr>
        <w:t>, R.T. Can. 1994</w:t>
      </w:r>
      <w:r w:rsidR="00387743" w:rsidRPr="007450AF">
        <w:rPr>
          <w:rFonts w:cs="Times New Roman"/>
          <w:szCs w:val="24"/>
          <w:lang w:val="fr-CA"/>
        </w:rPr>
        <w:t xml:space="preserve"> n</w:t>
      </w:r>
      <w:r w:rsidR="00387743" w:rsidRPr="007450AF">
        <w:rPr>
          <w:rFonts w:cs="Times New Roman"/>
          <w:szCs w:val="24"/>
          <w:vertAlign w:val="superscript"/>
          <w:lang w:val="fr-CA"/>
        </w:rPr>
        <w:t>o</w:t>
      </w:r>
      <w:r w:rsidR="00387743" w:rsidRPr="007450AF">
        <w:rPr>
          <w:rFonts w:cs="Times New Roman"/>
          <w:szCs w:val="24"/>
          <w:lang w:val="fr-CA"/>
        </w:rPr>
        <w:t xml:space="preserve"> </w:t>
      </w:r>
      <w:r w:rsidRPr="007450AF">
        <w:rPr>
          <w:rFonts w:cs="Times New Roman"/>
          <w:szCs w:val="24"/>
          <w:lang w:val="fr-CA"/>
        </w:rPr>
        <w:t>2</w:t>
      </w:r>
      <w:r w:rsidR="00DB3D05" w:rsidRPr="007450AF">
        <w:rPr>
          <w:rFonts w:cs="Times New Roman"/>
          <w:szCs w:val="24"/>
          <w:lang w:val="fr-CA"/>
        </w:rPr>
        <w:t>)</w:t>
      </w:r>
      <w:r w:rsidRPr="007450AF">
        <w:rPr>
          <w:rFonts w:cs="Times New Roman"/>
          <w:szCs w:val="24"/>
          <w:lang w:val="fr-CA"/>
        </w:rPr>
        <w:t xml:space="preserve"> </w:t>
      </w:r>
      <w:bookmarkEnd w:id="2"/>
      <w:bookmarkEnd w:id="3"/>
      <w:r w:rsidRPr="007450AF">
        <w:rPr>
          <w:rFonts w:cs="Times New Roman"/>
          <w:szCs w:val="24"/>
          <w:lang w:val="fr-CA"/>
        </w:rPr>
        <w:t>relativement à des pertes découlant de l’application de l’</w:t>
      </w:r>
      <w:r w:rsidRPr="007450AF">
        <w:rPr>
          <w:rFonts w:cs="Times New Roman"/>
          <w:i/>
          <w:szCs w:val="24"/>
          <w:lang w:val="fr-CA"/>
        </w:rPr>
        <w:t xml:space="preserve">Abitibi </w:t>
      </w:r>
      <w:proofErr w:type="spellStart"/>
      <w:r w:rsidRPr="007450AF">
        <w:rPr>
          <w:rFonts w:cs="Times New Roman"/>
          <w:i/>
          <w:szCs w:val="24"/>
          <w:lang w:val="fr-CA"/>
        </w:rPr>
        <w:t>Act</w:t>
      </w:r>
      <w:proofErr w:type="spellEnd"/>
      <w:r w:rsidRPr="007450AF">
        <w:rPr>
          <w:rFonts w:cs="Times New Roman"/>
          <w:szCs w:val="24"/>
          <w:lang w:val="fr-CA"/>
        </w:rPr>
        <w:t xml:space="preserve">, lesquelles totalisaient, selon Abitibi, une somme supérieure à 300 millions de dollars. </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Le 12 novembre 2009, le ministre</w:t>
      </w:r>
      <w:r w:rsidRPr="007450AF">
        <w:rPr>
          <w:rFonts w:cs="Times New Roman"/>
          <w:i/>
          <w:szCs w:val="24"/>
          <w:lang w:val="fr-CA"/>
        </w:rPr>
        <w:t xml:space="preserve"> </w:t>
      </w:r>
      <w:r w:rsidRPr="007450AF">
        <w:rPr>
          <w:rFonts w:cs="Times New Roman"/>
          <w:szCs w:val="24"/>
          <w:lang w:val="fr-CA"/>
        </w:rPr>
        <w:t>provincial de l’Environnement et de la Conservation (</w:t>
      </w:r>
      <w:r w:rsidR="00387743" w:rsidRPr="007450AF">
        <w:rPr>
          <w:rFonts w:cs="Times New Roman"/>
          <w:szCs w:val="24"/>
          <w:lang w:val="fr-CA"/>
        </w:rPr>
        <w:t>« m</w:t>
      </w:r>
      <w:r w:rsidRPr="007450AF">
        <w:rPr>
          <w:rFonts w:cs="Times New Roman"/>
          <w:szCs w:val="24"/>
          <w:lang w:val="fr-CA"/>
        </w:rPr>
        <w:t>inistre ») a prononcé, en vertu de l’art. 99 de l’</w:t>
      </w:r>
      <w:proofErr w:type="spellStart"/>
      <w:r w:rsidRPr="007450AF">
        <w:rPr>
          <w:rFonts w:cs="Times New Roman"/>
          <w:i/>
          <w:szCs w:val="24"/>
          <w:lang w:val="fr-CA"/>
        </w:rPr>
        <w:t>Environmental</w:t>
      </w:r>
      <w:proofErr w:type="spellEnd"/>
      <w:r w:rsidRPr="007450AF">
        <w:rPr>
          <w:rFonts w:cs="Times New Roman"/>
          <w:i/>
          <w:szCs w:val="24"/>
          <w:lang w:val="fr-CA"/>
        </w:rPr>
        <w:t xml:space="preserve"> </w:t>
      </w:r>
      <w:r w:rsidRPr="007450AF">
        <w:rPr>
          <w:rFonts w:cs="Times New Roman"/>
          <w:i/>
          <w:szCs w:val="24"/>
          <w:lang w:val="fr-CA"/>
        </w:rPr>
        <w:lastRenderedPageBreak/>
        <w:t xml:space="preserve">Protection </w:t>
      </w:r>
      <w:proofErr w:type="spellStart"/>
      <w:r w:rsidRPr="007450AF">
        <w:rPr>
          <w:rFonts w:cs="Times New Roman"/>
          <w:i/>
          <w:szCs w:val="24"/>
          <w:lang w:val="fr-CA"/>
        </w:rPr>
        <w:t>Act</w:t>
      </w:r>
      <w:proofErr w:type="spellEnd"/>
      <w:r w:rsidRPr="007450AF">
        <w:rPr>
          <w:rFonts w:cs="Times New Roman"/>
          <w:szCs w:val="24"/>
          <w:lang w:val="fr-CA"/>
        </w:rPr>
        <w:t>, S.N.L. 2002, ch. E</w:t>
      </w:r>
      <w:r w:rsidRPr="007450AF">
        <w:rPr>
          <w:rFonts w:cs="Times New Roman"/>
          <w:szCs w:val="24"/>
          <w:lang w:val="fr-CA"/>
        </w:rPr>
        <w:noBreakHyphen/>
        <w:t>14.2 (« </w:t>
      </w:r>
      <w:r w:rsidRPr="007450AF">
        <w:rPr>
          <w:rFonts w:cs="Times New Roman"/>
          <w:i/>
          <w:szCs w:val="24"/>
          <w:lang w:val="fr-CA"/>
        </w:rPr>
        <w:t>EPA</w:t>
      </w:r>
      <w:r w:rsidRPr="007450AF">
        <w:rPr>
          <w:rFonts w:cs="Times New Roman"/>
          <w:szCs w:val="24"/>
          <w:lang w:val="fr-CA"/>
        </w:rPr>
        <w:t xml:space="preserve"> »), cinq ordonnances (les « ordonnances </w:t>
      </w:r>
      <w:r w:rsidRPr="007450AF">
        <w:rPr>
          <w:rFonts w:cs="Times New Roman"/>
          <w:i/>
          <w:szCs w:val="24"/>
          <w:lang w:val="fr-CA"/>
        </w:rPr>
        <w:t>EPA</w:t>
      </w:r>
      <w:r w:rsidRPr="007450AF">
        <w:rPr>
          <w:rFonts w:cs="Times New Roman"/>
          <w:szCs w:val="24"/>
          <w:lang w:val="fr-CA"/>
        </w:rPr>
        <w:t xml:space="preserve"> ») contraignant Abitibi à présenter au ministre des plans de restauration pour cinq sites industriels, dont trois avaient été expropriés, et à réaliser les plans de restauration approuvés.  Le juge chargé de l’instance instituée sous le régime de la </w:t>
      </w:r>
      <w:r w:rsidRPr="007450AF">
        <w:rPr>
          <w:rFonts w:cs="Times New Roman"/>
          <w:i/>
          <w:szCs w:val="24"/>
          <w:lang w:val="fr-CA"/>
        </w:rPr>
        <w:t>LACC</w:t>
      </w:r>
      <w:r w:rsidRPr="007450AF">
        <w:rPr>
          <w:rFonts w:cs="Times New Roman"/>
          <w:szCs w:val="24"/>
          <w:lang w:val="fr-CA"/>
        </w:rPr>
        <w:t xml:space="preserve"> a évalué les coûts de la mise en œuvre de ces plans à une somme se situant [</w:t>
      </w:r>
      <w:r w:rsidRPr="007450AF">
        <w:rPr>
          <w:rFonts w:cs="Times New Roman"/>
          <w:smallCaps/>
          <w:szCs w:val="24"/>
          <w:lang w:val="fr-CA"/>
        </w:rPr>
        <w:t>traduction</w:t>
      </w:r>
      <w:r w:rsidRPr="007450AF">
        <w:rPr>
          <w:rFonts w:cs="Times New Roman"/>
          <w:szCs w:val="24"/>
          <w:lang w:val="fr-CA"/>
        </w:rPr>
        <w:t>] « entre cinquante et cent millions de dollars », ou « plusieurs fois plus élevée » (par. 81).</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Le jour même où elle émettait les ordonnances </w:t>
      </w:r>
      <w:r w:rsidRPr="007450AF">
        <w:rPr>
          <w:rFonts w:cs="Times New Roman"/>
          <w:i/>
          <w:szCs w:val="24"/>
          <w:lang w:val="fr-CA"/>
        </w:rPr>
        <w:t>EPA</w:t>
      </w:r>
      <w:r w:rsidRPr="007450AF">
        <w:rPr>
          <w:rFonts w:cs="Times New Roman"/>
          <w:szCs w:val="24"/>
          <w:lang w:val="fr-CA"/>
        </w:rPr>
        <w:t xml:space="preserve">, la province a demandé par requête un jugement déclarant qu’une ordonnance relative à la procédure de réclamations rendue aux termes de la </w:t>
      </w:r>
      <w:r w:rsidRPr="007450AF">
        <w:rPr>
          <w:rFonts w:cs="Times New Roman"/>
          <w:i/>
          <w:szCs w:val="24"/>
          <w:lang w:val="fr-CA"/>
        </w:rPr>
        <w:t xml:space="preserve">LACC </w:t>
      </w:r>
      <w:r w:rsidRPr="007450AF">
        <w:rPr>
          <w:rFonts w:cs="Times New Roman"/>
          <w:szCs w:val="24"/>
          <w:lang w:val="fr-CA"/>
        </w:rPr>
        <w:t xml:space="preserve">dans le cadre de la réorganisation proposée d’Abitibi n’empêchait pas la province d’exécuter les ordonnances </w:t>
      </w:r>
      <w:r w:rsidRPr="007450AF">
        <w:rPr>
          <w:rFonts w:cs="Times New Roman"/>
          <w:i/>
          <w:szCs w:val="24"/>
          <w:lang w:val="fr-CA"/>
        </w:rPr>
        <w:t>EPA</w:t>
      </w:r>
      <w:r w:rsidR="00387743" w:rsidRPr="007450AF">
        <w:rPr>
          <w:rFonts w:cs="Times New Roman"/>
          <w:szCs w:val="24"/>
          <w:lang w:val="fr-CA"/>
        </w:rPr>
        <w:t>.  La province a soutenu — et soutient toujours —</w:t>
      </w:r>
      <w:r w:rsidRPr="007450AF">
        <w:rPr>
          <w:rFonts w:cs="Times New Roman"/>
          <w:szCs w:val="24"/>
          <w:lang w:val="fr-CA"/>
        </w:rPr>
        <w:t xml:space="preserve"> que des obligations légales de nature non pécuniaire ne constituent pas des « réclamations » au sens de la </w:t>
      </w:r>
      <w:r w:rsidRPr="007450AF">
        <w:rPr>
          <w:rFonts w:cs="Times New Roman"/>
          <w:i/>
          <w:szCs w:val="24"/>
          <w:lang w:val="fr-CA"/>
        </w:rPr>
        <w:t xml:space="preserve">LACC </w:t>
      </w:r>
      <w:r w:rsidRPr="007450AF">
        <w:rPr>
          <w:rFonts w:cs="Times New Roman"/>
          <w:szCs w:val="24"/>
          <w:lang w:val="fr-CA"/>
        </w:rPr>
        <w:t xml:space="preserve">et que leur exécution ne peut donc être suspendue ni être assujettie à une ordonnance relative à la procédure de réclamations.  Elle fait de plus valoir que le pouvoir du Parlement de légiférer en matière de faillite et d’insolvabilité ne lui confère pas la compétence constitutionnelle pour suspendre l’application des ordonnances prononcées dans l’exercice valide de pouvoirs provinciaux. </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Abitibi a contesté la requête et a demandé un jugement déclarant que les ordonnances </w:t>
      </w:r>
      <w:r w:rsidRPr="007450AF">
        <w:rPr>
          <w:rFonts w:cs="Times New Roman"/>
          <w:i/>
          <w:szCs w:val="24"/>
          <w:lang w:val="fr-CA"/>
        </w:rPr>
        <w:t>EPA</w:t>
      </w:r>
      <w:r w:rsidRPr="007450AF">
        <w:rPr>
          <w:rFonts w:cs="Times New Roman"/>
          <w:szCs w:val="24"/>
          <w:lang w:val="fr-CA"/>
        </w:rPr>
        <w:t xml:space="preserve"> avaient été suspendues et qu’elles étaient assujetties à l’ordonnance relative à la procédure de réclamations.  Abitibi a soutenu que les ordonnances </w:t>
      </w:r>
      <w:r w:rsidRPr="007450AF">
        <w:rPr>
          <w:rFonts w:cs="Times New Roman"/>
          <w:i/>
          <w:szCs w:val="24"/>
          <w:lang w:val="fr-CA"/>
        </w:rPr>
        <w:t>EPA</w:t>
      </w:r>
      <w:r w:rsidRPr="007450AF">
        <w:rPr>
          <w:rFonts w:cs="Times New Roman"/>
          <w:szCs w:val="24"/>
          <w:lang w:val="fr-CA"/>
        </w:rPr>
        <w:t xml:space="preserve"> </w:t>
      </w:r>
      <w:r w:rsidRPr="007450AF">
        <w:rPr>
          <w:rFonts w:cs="Times New Roman"/>
          <w:szCs w:val="24"/>
          <w:lang w:val="fr-CA"/>
        </w:rPr>
        <w:lastRenderedPageBreak/>
        <w:t xml:space="preserve">étaient de nature pécuniaire et qu’elles étaient donc visées par la définition du terme « réclamation » utilisé dans l’ordonnance relative à la procédure de réclamations. </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Le juge Gascon de la Cour supérieure du Québec, siégeant aux termes de la </w:t>
      </w:r>
      <w:r w:rsidRPr="007450AF">
        <w:rPr>
          <w:rFonts w:cs="Times New Roman"/>
          <w:i/>
          <w:szCs w:val="24"/>
          <w:lang w:val="fr-CA"/>
        </w:rPr>
        <w:t>LACC</w:t>
      </w:r>
      <w:r w:rsidRPr="007450AF">
        <w:rPr>
          <w:rFonts w:cs="Times New Roman"/>
          <w:szCs w:val="24"/>
          <w:lang w:val="fr-CA"/>
        </w:rPr>
        <w:t>,</w:t>
      </w:r>
      <w:r w:rsidRPr="007450AF">
        <w:rPr>
          <w:rFonts w:cs="Times New Roman"/>
          <w:i/>
          <w:szCs w:val="24"/>
          <w:lang w:val="fr-CA"/>
        </w:rPr>
        <w:t xml:space="preserve"> </w:t>
      </w:r>
      <w:r w:rsidRPr="007450AF">
        <w:rPr>
          <w:rFonts w:cs="Times New Roman"/>
          <w:szCs w:val="24"/>
          <w:lang w:val="fr-CA"/>
        </w:rPr>
        <w:t xml:space="preserve">a rejeté la requête de la province.  Il a statué qu’il avait le pouvoir de qualifier les ordonnances de « réclamations » si les obligations légales </w:t>
      </w:r>
      <w:proofErr w:type="spellStart"/>
      <w:r w:rsidRPr="007450AF">
        <w:rPr>
          <w:rFonts w:cs="Times New Roman"/>
          <w:szCs w:val="24"/>
          <w:lang w:val="fr-CA"/>
        </w:rPr>
        <w:t>sous</w:t>
      </w:r>
      <w:r w:rsidRPr="007450AF">
        <w:rPr>
          <w:rFonts w:cs="Times New Roman"/>
          <w:szCs w:val="24"/>
          <w:lang w:val="fr-CA"/>
        </w:rPr>
        <w:noBreakHyphen/>
        <w:t>jacentes</w:t>
      </w:r>
      <w:proofErr w:type="spellEnd"/>
      <w:r w:rsidRPr="007450AF">
        <w:rPr>
          <w:rFonts w:cs="Times New Roman"/>
          <w:szCs w:val="24"/>
          <w:lang w:val="fr-CA"/>
        </w:rPr>
        <w:t xml:space="preserve"> [</w:t>
      </w:r>
      <w:r w:rsidRPr="007450AF">
        <w:rPr>
          <w:rFonts w:cs="Times New Roman"/>
          <w:smallCaps/>
          <w:szCs w:val="24"/>
          <w:lang w:val="fr-CA"/>
        </w:rPr>
        <w:t>traduction</w:t>
      </w:r>
      <w:r w:rsidRPr="007450AF">
        <w:rPr>
          <w:rFonts w:cs="Times New Roman"/>
          <w:szCs w:val="24"/>
          <w:lang w:val="fr-CA"/>
        </w:rPr>
        <w:t>] « </w:t>
      </w:r>
      <w:proofErr w:type="spellStart"/>
      <w:proofErr w:type="gramStart"/>
      <w:r w:rsidRPr="007450AF">
        <w:rPr>
          <w:rFonts w:cs="Times New Roman"/>
          <w:szCs w:val="24"/>
          <w:lang w:val="fr-CA"/>
        </w:rPr>
        <w:t>demeur</w:t>
      </w:r>
      <w:proofErr w:type="spellEnd"/>
      <w:r w:rsidR="00DB697C" w:rsidRPr="007450AF">
        <w:rPr>
          <w:rFonts w:cs="Times New Roman"/>
          <w:szCs w:val="24"/>
          <w:lang w:val="fr-CA"/>
        </w:rPr>
        <w:t>[</w:t>
      </w:r>
      <w:proofErr w:type="gramEnd"/>
      <w:r w:rsidRPr="007450AF">
        <w:rPr>
          <w:rFonts w:cs="Times New Roman"/>
          <w:szCs w:val="24"/>
          <w:lang w:val="fr-CA"/>
        </w:rPr>
        <w:t>aient</w:t>
      </w:r>
      <w:r w:rsidR="00DB697C" w:rsidRPr="007450AF">
        <w:rPr>
          <w:rFonts w:cs="Times New Roman"/>
          <w:szCs w:val="24"/>
          <w:lang w:val="fr-CA"/>
        </w:rPr>
        <w:t>]</w:t>
      </w:r>
      <w:r w:rsidRPr="007450AF">
        <w:rPr>
          <w:rFonts w:cs="Times New Roman"/>
          <w:szCs w:val="24"/>
          <w:lang w:val="fr-CA"/>
        </w:rPr>
        <w:t xml:space="preserve">, dans une situation factuelle particulière, de nature véritablement financière et pécuniaire » (par. 148).  Il a déclaré que les ordonnances </w:t>
      </w:r>
      <w:r w:rsidRPr="007450AF">
        <w:rPr>
          <w:rFonts w:cs="Times New Roman"/>
          <w:i/>
          <w:szCs w:val="24"/>
          <w:lang w:val="fr-CA"/>
        </w:rPr>
        <w:t>EPA</w:t>
      </w:r>
      <w:r w:rsidRPr="007450AF">
        <w:rPr>
          <w:rFonts w:cs="Times New Roman"/>
          <w:szCs w:val="24"/>
          <w:lang w:val="fr-CA"/>
        </w:rPr>
        <w:t xml:space="preserve"> avaient été suspendues en vertu de l’ordonnance de suspension initiale et qu’elles n’étaient pas visées par l’exception énoncée dans cette ordonnance.  Il a également déclaré que la présentation, par la province, de toute réclamation fondée sur les ordonnances </w:t>
      </w:r>
      <w:r w:rsidRPr="007450AF">
        <w:rPr>
          <w:rFonts w:cs="Times New Roman"/>
          <w:i/>
          <w:szCs w:val="24"/>
          <w:lang w:val="fr-CA"/>
        </w:rPr>
        <w:t>EPA</w:t>
      </w:r>
      <w:r w:rsidRPr="007450AF">
        <w:rPr>
          <w:rFonts w:cs="Times New Roman"/>
          <w:szCs w:val="24"/>
          <w:lang w:val="fr-CA"/>
        </w:rPr>
        <w:t xml:space="preserve"> était assujettie à l’ordonnance relative à la procédure de réclamations; il a réservé à la province le droit de demander par requête une prorogation du délai pour présenter une réclamation en vertu de la procédure de réclamations et a confirmé le droit d’Abitibi de contester une telle requête. </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En Cour d’appel, le juge Chamberland a rejeté la demande d’autorisation d’appel présentée par la province (2010 QCCA 965, 68 C.B.R. (5th) 57).  À son avis, l’appel n’avait aucune chance raisonnable de succès parce que le juge Gascon avait conclu, comme question de faits, que les ordonnances </w:t>
      </w:r>
      <w:r w:rsidRPr="007450AF">
        <w:rPr>
          <w:rFonts w:cs="Times New Roman"/>
          <w:i/>
          <w:szCs w:val="24"/>
          <w:lang w:val="fr-CA"/>
        </w:rPr>
        <w:t>EPA</w:t>
      </w:r>
      <w:r w:rsidRPr="007450AF">
        <w:rPr>
          <w:rFonts w:cs="Times New Roman"/>
          <w:szCs w:val="24"/>
          <w:lang w:val="fr-CA"/>
        </w:rPr>
        <w:t xml:space="preserve"> étaient de nature financière ou pécuniaire.  Le juge Chamberland a également estimé qu’aucune question constitutionnelle ne se posait, car le juge de la Cour supérieure n’avait fait que qualifier les ordonnances dans le contexte du processus de restructuration; le </w:t>
      </w:r>
      <w:r w:rsidRPr="007450AF">
        <w:rPr>
          <w:rFonts w:cs="Times New Roman"/>
          <w:szCs w:val="24"/>
          <w:lang w:val="fr-CA"/>
        </w:rPr>
        <w:lastRenderedPageBreak/>
        <w:t>jugement ne [</w:t>
      </w:r>
      <w:r w:rsidR="0039581F" w:rsidRPr="007450AF">
        <w:rPr>
          <w:rFonts w:cs="Times New Roman"/>
          <w:smallCaps/>
          <w:szCs w:val="24"/>
          <w:lang w:val="fr-CA"/>
        </w:rPr>
        <w:t>traduction</w:t>
      </w:r>
      <w:r w:rsidRPr="007450AF">
        <w:rPr>
          <w:rFonts w:cs="Times New Roman"/>
          <w:smallCaps/>
          <w:szCs w:val="24"/>
          <w:lang w:val="fr-CA"/>
        </w:rPr>
        <w:t>]</w:t>
      </w:r>
      <w:r w:rsidRPr="007450AF">
        <w:rPr>
          <w:rFonts w:cs="Times New Roman"/>
          <w:szCs w:val="24"/>
          <w:lang w:val="fr-CA"/>
        </w:rPr>
        <w:t xml:space="preserve"> « </w:t>
      </w:r>
      <w:r w:rsidR="0039581F" w:rsidRPr="007450AF">
        <w:rPr>
          <w:rFonts w:cs="Times New Roman"/>
          <w:lang w:val="fr-CA"/>
        </w:rPr>
        <w:t>“</w:t>
      </w:r>
      <w:r w:rsidRPr="007450AF">
        <w:rPr>
          <w:rFonts w:cs="Times New Roman"/>
          <w:szCs w:val="24"/>
          <w:lang w:val="fr-CA"/>
        </w:rPr>
        <w:t>soustrayait</w:t>
      </w:r>
      <w:r w:rsidR="0039581F" w:rsidRPr="007450AF">
        <w:rPr>
          <w:rFonts w:cs="Times New Roman"/>
          <w:szCs w:val="24"/>
          <w:lang w:val="fr-CA"/>
        </w:rPr>
        <w:t>”</w:t>
      </w:r>
      <w:r w:rsidRPr="007450AF">
        <w:rPr>
          <w:rFonts w:cs="Times New Roman"/>
          <w:szCs w:val="24"/>
          <w:lang w:val="fr-CA"/>
        </w:rPr>
        <w:t xml:space="preserve"> pas Abitibi à son obligation de se conformer aux ordonnances </w:t>
      </w:r>
      <w:r w:rsidRPr="007450AF">
        <w:rPr>
          <w:rFonts w:cs="Times New Roman"/>
          <w:i/>
          <w:szCs w:val="24"/>
          <w:lang w:val="fr-CA"/>
        </w:rPr>
        <w:t>EPA </w:t>
      </w:r>
      <w:r w:rsidRPr="007450AF">
        <w:rPr>
          <w:rFonts w:cs="Times New Roman"/>
          <w:szCs w:val="24"/>
          <w:lang w:val="fr-CA"/>
        </w:rPr>
        <w:t>» (par. 33</w:t>
      </w:r>
      <w:r w:rsidR="00791488" w:rsidRPr="007450AF">
        <w:rPr>
          <w:rFonts w:cs="Times New Roman"/>
          <w:szCs w:val="24"/>
          <w:lang w:val="fr-CA"/>
        </w:rPr>
        <w:t>)</w:t>
      </w:r>
      <w:r w:rsidRPr="007450AF">
        <w:rPr>
          <w:rFonts w:cs="Times New Roman"/>
          <w:szCs w:val="24"/>
          <w:lang w:val="fr-CA"/>
        </w:rPr>
        <w:t xml:space="preserve">.  Enfin, il a fait remarquer que le juge Gascon avait réservé à la province le droit de demander la prorogation de délai pour produire une réclamation en vertu de la </w:t>
      </w:r>
      <w:r w:rsidRPr="007450AF">
        <w:rPr>
          <w:rFonts w:cs="Times New Roman"/>
          <w:i/>
          <w:szCs w:val="24"/>
          <w:lang w:val="fr-CA"/>
        </w:rPr>
        <w:t>LACC</w:t>
      </w:r>
      <w:r w:rsidRPr="007450AF">
        <w:rPr>
          <w:rFonts w:cs="Times New Roman"/>
          <w:szCs w:val="24"/>
          <w:lang w:val="fr-CA"/>
        </w:rPr>
        <w:t>.</w:t>
      </w:r>
      <w:r w:rsidRPr="007450AF">
        <w:rPr>
          <w:rFonts w:cs="Times New Roman"/>
          <w:i/>
          <w:szCs w:val="24"/>
          <w:lang w:val="fr-CA"/>
        </w:rPr>
        <w:t xml:space="preserve"> </w:t>
      </w:r>
    </w:p>
    <w:p w:rsidR="004D251C" w:rsidRPr="007450AF" w:rsidRDefault="004D251C" w:rsidP="00791488">
      <w:pPr>
        <w:pStyle w:val="TitleTitre-AltT"/>
        <w:tabs>
          <w:tab w:val="clear" w:pos="360"/>
          <w:tab w:val="left" w:pos="540"/>
        </w:tabs>
        <w:ind w:left="540" w:hanging="540"/>
        <w:rPr>
          <w:rFonts w:cs="Times New Roman"/>
          <w:szCs w:val="24"/>
          <w:u w:val="single"/>
          <w:lang w:val="fr-CA"/>
        </w:rPr>
      </w:pPr>
      <w:r w:rsidRPr="007450AF">
        <w:rPr>
          <w:rFonts w:cs="Times New Roman"/>
          <w:szCs w:val="24"/>
          <w:lang w:val="fr-CA"/>
        </w:rPr>
        <w:t>II.</w:t>
      </w:r>
      <w:r w:rsidRPr="007450AF">
        <w:rPr>
          <w:rFonts w:cs="Times New Roman"/>
          <w:szCs w:val="24"/>
          <w:lang w:val="fr-CA"/>
        </w:rPr>
        <w:tab/>
      </w:r>
      <w:r w:rsidRPr="007450AF">
        <w:rPr>
          <w:rFonts w:cs="Times New Roman"/>
          <w:szCs w:val="24"/>
          <w:u w:val="single"/>
          <w:lang w:val="fr-CA"/>
        </w:rPr>
        <w:t>Thèses des parties</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La province soutient que le tribunal de première instance a commis l’erreur d’interpréter les dispositions applicables de la </w:t>
      </w:r>
      <w:r w:rsidRPr="007450AF">
        <w:rPr>
          <w:rFonts w:cs="Times New Roman"/>
          <w:i/>
          <w:szCs w:val="24"/>
          <w:lang w:val="fr-CA"/>
        </w:rPr>
        <w:t>LACC</w:t>
      </w:r>
      <w:r w:rsidRPr="007450AF">
        <w:rPr>
          <w:rFonts w:cs="Times New Roman"/>
          <w:szCs w:val="24"/>
          <w:lang w:val="fr-CA"/>
        </w:rPr>
        <w:t xml:space="preserve"> de façon à invalider l’</w:t>
      </w:r>
      <w:r w:rsidRPr="007450AF">
        <w:rPr>
          <w:rFonts w:cs="Times New Roman"/>
          <w:i/>
          <w:szCs w:val="24"/>
          <w:lang w:val="fr-CA"/>
        </w:rPr>
        <w:t xml:space="preserve">EPA </w:t>
      </w:r>
      <w:r w:rsidRPr="007450AF">
        <w:rPr>
          <w:rFonts w:cs="Times New Roman"/>
          <w:szCs w:val="24"/>
          <w:lang w:val="fr-CA"/>
        </w:rPr>
        <w:t xml:space="preserve">et que cette interprétation est incompatible tant avec la doctrine des pouvoirs accessoires qu’avec celle de la protection des compétences exclusives.  La province fait de plus valoir que, de toute façon, les ordonnances </w:t>
      </w:r>
      <w:r w:rsidRPr="007450AF">
        <w:rPr>
          <w:rFonts w:cs="Times New Roman"/>
          <w:i/>
          <w:szCs w:val="24"/>
          <w:lang w:val="fr-CA"/>
        </w:rPr>
        <w:t>EPA</w:t>
      </w:r>
      <w:r w:rsidRPr="007450AF">
        <w:rPr>
          <w:rFonts w:cs="Times New Roman"/>
          <w:szCs w:val="24"/>
          <w:lang w:val="fr-CA"/>
        </w:rPr>
        <w:t xml:space="preserve"> ne constituent pas des « réclamations » au sens de la </w:t>
      </w:r>
      <w:r w:rsidRPr="007450AF">
        <w:rPr>
          <w:rFonts w:cs="Times New Roman"/>
          <w:i/>
          <w:szCs w:val="24"/>
          <w:lang w:val="fr-CA"/>
        </w:rPr>
        <w:t>LACC</w:t>
      </w:r>
      <w:r w:rsidRPr="007450AF">
        <w:rPr>
          <w:rFonts w:cs="Times New Roman"/>
          <w:szCs w:val="24"/>
          <w:lang w:val="fr-CA"/>
        </w:rPr>
        <w:t>.  Elle soutient que [</w:t>
      </w:r>
      <w:r w:rsidRPr="007450AF">
        <w:rPr>
          <w:rFonts w:cs="Times New Roman"/>
          <w:smallCaps/>
          <w:szCs w:val="24"/>
          <w:lang w:val="fr-CA"/>
        </w:rPr>
        <w:t>traduction</w:t>
      </w:r>
      <w:r w:rsidRPr="007450AF">
        <w:rPr>
          <w:rFonts w:cs="Times New Roman"/>
          <w:szCs w:val="24"/>
          <w:lang w:val="fr-CA"/>
        </w:rPr>
        <w:t xml:space="preserve">] « tout plan de transaction et d’arrangement qu’Abitibi pourrait soumettre à l’approbation du tribunal doit prévoir </w:t>
      </w:r>
      <w:proofErr w:type="gramStart"/>
      <w:r w:rsidRPr="007450AF">
        <w:rPr>
          <w:rFonts w:cs="Times New Roman"/>
          <w:szCs w:val="24"/>
          <w:lang w:val="fr-CA"/>
        </w:rPr>
        <w:t>qu’[</w:t>
      </w:r>
      <w:proofErr w:type="gramEnd"/>
      <w:r w:rsidRPr="007450AF">
        <w:rPr>
          <w:rFonts w:cs="Times New Roman"/>
          <w:szCs w:val="24"/>
          <w:lang w:val="fr-CA"/>
        </w:rPr>
        <w:t xml:space="preserve">Abitibi] doit se conformer aux ordonnances </w:t>
      </w:r>
      <w:r w:rsidRPr="007450AF">
        <w:rPr>
          <w:rFonts w:cs="Times New Roman"/>
          <w:i/>
          <w:szCs w:val="24"/>
          <w:lang w:val="fr-CA"/>
        </w:rPr>
        <w:t>EPA</w:t>
      </w:r>
      <w:r w:rsidRPr="007450AF">
        <w:rPr>
          <w:rFonts w:cs="Times New Roman"/>
          <w:szCs w:val="24"/>
          <w:lang w:val="fr-CA"/>
        </w:rPr>
        <w:t xml:space="preserve"> » (m.a., par. 32).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Abitibi soutient que l’application des doctrines constitutionnelles ne trouve aucun fondement dans les faits du dossier.  Elle appuie sa position sur les conclusions de fait tirées par le tribunal de première instance, plus particulièrement celles où le tribunal conclut que l’intention de la province était d’établir le fondement d’une réclamation pécuniaire.  Abitibi plaide que la véritable question est de savoir si, par l’exercice de son pouvoir de réglementation, une province ayant une réclamation </w:t>
      </w:r>
      <w:r w:rsidRPr="007450AF">
        <w:rPr>
          <w:rFonts w:cs="Times New Roman"/>
          <w:szCs w:val="24"/>
          <w:lang w:val="fr-CA"/>
        </w:rPr>
        <w:lastRenderedPageBreak/>
        <w:t>pécuniaire à faire valoir contre une entreprise insolvable peut obtenir une préférence à l’encontre d’autres créanciers non garantis.</w:t>
      </w:r>
    </w:p>
    <w:p w:rsidR="004D251C" w:rsidRPr="007450AF" w:rsidRDefault="004D251C" w:rsidP="00405E76">
      <w:pPr>
        <w:pStyle w:val="TitleTitre-AltT"/>
        <w:tabs>
          <w:tab w:val="clear" w:pos="360"/>
          <w:tab w:val="left" w:pos="540"/>
        </w:tabs>
        <w:ind w:left="540" w:hanging="540"/>
        <w:rPr>
          <w:rFonts w:cs="Times New Roman"/>
          <w:b/>
          <w:i/>
          <w:szCs w:val="24"/>
          <w:lang w:val="fr-CA"/>
        </w:rPr>
      </w:pPr>
      <w:r w:rsidRPr="007450AF">
        <w:rPr>
          <w:rFonts w:cs="Times New Roman"/>
          <w:szCs w:val="24"/>
          <w:lang w:val="fr-CA"/>
        </w:rPr>
        <w:t>III.</w:t>
      </w:r>
      <w:r w:rsidRPr="007450AF">
        <w:rPr>
          <w:rFonts w:cs="Times New Roman"/>
          <w:b/>
          <w:szCs w:val="24"/>
          <w:lang w:val="fr-CA"/>
        </w:rPr>
        <w:tab/>
      </w:r>
      <w:r w:rsidRPr="007450AF">
        <w:rPr>
          <w:rFonts w:cs="Times New Roman"/>
          <w:szCs w:val="24"/>
          <w:u w:val="single"/>
          <w:lang w:val="fr-CA"/>
        </w:rPr>
        <w:t>Questions constitutionnelles</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À la demande de la province, la Juge en chef a formulé les questions constitutionnelles suivantes : </w:t>
      </w:r>
    </w:p>
    <w:p w:rsidR="004D251C" w:rsidRPr="007450AF" w:rsidRDefault="006916D8" w:rsidP="006916D8">
      <w:pPr>
        <w:pStyle w:val="Citation-AltC"/>
        <w:tabs>
          <w:tab w:val="left" w:pos="1620"/>
        </w:tabs>
        <w:spacing w:after="240"/>
        <w:ind w:left="1168" w:hanging="1168"/>
        <w:contextualSpacing w:val="0"/>
        <w:rPr>
          <w:szCs w:val="24"/>
          <w:lang w:val="fr-CA"/>
        </w:rPr>
      </w:pPr>
      <w:r w:rsidRPr="007450AF">
        <w:rPr>
          <w:szCs w:val="24"/>
          <w:lang w:val="fr-CA"/>
        </w:rPr>
        <w:tab/>
        <w:t>1.</w:t>
      </w:r>
      <w:r w:rsidRPr="007450AF">
        <w:rPr>
          <w:szCs w:val="24"/>
          <w:lang w:val="fr-CA"/>
        </w:rPr>
        <w:tab/>
      </w:r>
      <w:r w:rsidR="004D251C" w:rsidRPr="007450AF">
        <w:rPr>
          <w:szCs w:val="24"/>
          <w:lang w:val="fr-CA"/>
        </w:rPr>
        <w:t xml:space="preserve">La définition d’une « réclamation » énoncée au par. 2(1) de la </w:t>
      </w:r>
      <w:r w:rsidR="004D251C" w:rsidRPr="007450AF">
        <w:rPr>
          <w:i/>
          <w:szCs w:val="24"/>
          <w:lang w:val="fr-CA"/>
        </w:rPr>
        <w:t>Loi sur les arrangements avec les créanciers des compagnies</w:t>
      </w:r>
      <w:r w:rsidR="004D251C" w:rsidRPr="007450AF">
        <w:rPr>
          <w:szCs w:val="24"/>
          <w:lang w:val="fr-CA"/>
        </w:rPr>
        <w:t>, L.R.C. 1985, ch. C</w:t>
      </w:r>
      <w:r w:rsidR="004D251C" w:rsidRPr="007450AF">
        <w:rPr>
          <w:szCs w:val="24"/>
          <w:lang w:val="fr-CA"/>
        </w:rPr>
        <w:noBreakHyphen/>
        <w:t xml:space="preserve">36, </w:t>
      </w:r>
      <w:proofErr w:type="spellStart"/>
      <w:r w:rsidR="004D251C" w:rsidRPr="007450AF">
        <w:rPr>
          <w:szCs w:val="24"/>
          <w:lang w:val="fr-CA"/>
        </w:rPr>
        <w:t>outrepasse</w:t>
      </w:r>
      <w:r w:rsidR="004D251C" w:rsidRPr="007450AF">
        <w:rPr>
          <w:szCs w:val="24"/>
          <w:lang w:val="fr-CA"/>
        </w:rPr>
        <w:noBreakHyphen/>
        <w:t>t</w:t>
      </w:r>
      <w:r w:rsidR="004D251C" w:rsidRPr="007450AF">
        <w:rPr>
          <w:szCs w:val="24"/>
          <w:lang w:val="fr-CA"/>
        </w:rPr>
        <w:noBreakHyphen/>
        <w:t>elle</w:t>
      </w:r>
      <w:proofErr w:type="spellEnd"/>
      <w:r w:rsidR="004D251C" w:rsidRPr="007450AF">
        <w:rPr>
          <w:szCs w:val="24"/>
          <w:lang w:val="fr-CA"/>
        </w:rPr>
        <w:t xml:space="preserve"> les pouvoirs du Parlement du Canada ou </w:t>
      </w:r>
      <w:proofErr w:type="spellStart"/>
      <w:r w:rsidR="004D251C" w:rsidRPr="007450AF">
        <w:rPr>
          <w:szCs w:val="24"/>
          <w:lang w:val="fr-CA"/>
        </w:rPr>
        <w:t>est</w:t>
      </w:r>
      <w:r w:rsidR="004D251C" w:rsidRPr="007450AF">
        <w:rPr>
          <w:szCs w:val="24"/>
          <w:lang w:val="fr-CA"/>
        </w:rPr>
        <w:noBreakHyphen/>
        <w:t>elle</w:t>
      </w:r>
      <w:proofErr w:type="spellEnd"/>
      <w:r w:rsidR="004D251C" w:rsidRPr="007450AF">
        <w:rPr>
          <w:szCs w:val="24"/>
          <w:lang w:val="fr-CA"/>
        </w:rPr>
        <w:t xml:space="preserve"> constitutionnellement inapplicable dans la mesure où elle englobe les obligations légales auxquelles le débiteur est assujetti en application de l’art. 99 de l’</w:t>
      </w:r>
      <w:proofErr w:type="spellStart"/>
      <w:r w:rsidR="004D251C" w:rsidRPr="007450AF">
        <w:rPr>
          <w:i/>
          <w:szCs w:val="24"/>
          <w:lang w:val="fr-CA"/>
        </w:rPr>
        <w:t>Environmental</w:t>
      </w:r>
      <w:proofErr w:type="spellEnd"/>
      <w:r w:rsidR="004D251C" w:rsidRPr="007450AF">
        <w:rPr>
          <w:i/>
          <w:szCs w:val="24"/>
          <w:lang w:val="fr-CA"/>
        </w:rPr>
        <w:t xml:space="preserve"> Protection </w:t>
      </w:r>
      <w:proofErr w:type="spellStart"/>
      <w:r w:rsidR="004D251C" w:rsidRPr="007450AF">
        <w:rPr>
          <w:i/>
          <w:szCs w:val="24"/>
          <w:lang w:val="fr-CA"/>
        </w:rPr>
        <w:t>Act</w:t>
      </w:r>
      <w:proofErr w:type="spellEnd"/>
      <w:r w:rsidR="004D251C" w:rsidRPr="007450AF">
        <w:rPr>
          <w:szCs w:val="24"/>
          <w:lang w:val="fr-CA"/>
        </w:rPr>
        <w:t>, S.N.L. 2002, ch. E</w:t>
      </w:r>
      <w:r w:rsidR="004D251C" w:rsidRPr="007450AF">
        <w:rPr>
          <w:szCs w:val="24"/>
          <w:lang w:val="fr-CA"/>
        </w:rPr>
        <w:noBreakHyphen/>
        <w:t xml:space="preserve">14.2? </w:t>
      </w:r>
    </w:p>
    <w:p w:rsidR="004D251C" w:rsidRPr="007450AF" w:rsidRDefault="006916D8" w:rsidP="006916D8">
      <w:pPr>
        <w:pStyle w:val="Citation-AltC"/>
        <w:tabs>
          <w:tab w:val="left" w:pos="1620"/>
        </w:tabs>
        <w:spacing w:after="240"/>
        <w:ind w:left="1168" w:hanging="1168"/>
        <w:contextualSpacing w:val="0"/>
        <w:rPr>
          <w:szCs w:val="24"/>
          <w:lang w:val="fr-CA"/>
        </w:rPr>
      </w:pPr>
      <w:r w:rsidRPr="007450AF">
        <w:rPr>
          <w:szCs w:val="24"/>
          <w:lang w:val="fr-CA"/>
        </w:rPr>
        <w:tab/>
        <w:t>2.</w:t>
      </w:r>
      <w:r w:rsidRPr="007450AF">
        <w:rPr>
          <w:szCs w:val="24"/>
          <w:lang w:val="fr-CA"/>
        </w:rPr>
        <w:tab/>
      </w:r>
      <w:r w:rsidR="004D251C" w:rsidRPr="007450AF">
        <w:rPr>
          <w:szCs w:val="24"/>
          <w:lang w:val="fr-CA"/>
        </w:rPr>
        <w:t>L’art</w:t>
      </w:r>
      <w:r w:rsidRPr="007450AF">
        <w:rPr>
          <w:szCs w:val="24"/>
          <w:lang w:val="fr-CA"/>
        </w:rPr>
        <w:t>icle</w:t>
      </w:r>
      <w:r w:rsidR="004D251C" w:rsidRPr="007450AF">
        <w:rPr>
          <w:szCs w:val="24"/>
          <w:lang w:val="fr-CA"/>
        </w:rPr>
        <w:t xml:space="preserve"> 11 de la </w:t>
      </w:r>
      <w:r w:rsidR="004D251C" w:rsidRPr="007450AF">
        <w:rPr>
          <w:i/>
          <w:szCs w:val="24"/>
          <w:lang w:val="fr-CA"/>
        </w:rPr>
        <w:t>Loi sur les arrangements avec les créanciers des compagnies</w:t>
      </w:r>
      <w:r w:rsidR="004D251C" w:rsidRPr="007450AF">
        <w:rPr>
          <w:szCs w:val="24"/>
          <w:lang w:val="fr-CA"/>
        </w:rPr>
        <w:t>, L.R.C. 1985, ch. C</w:t>
      </w:r>
      <w:r w:rsidR="004D251C" w:rsidRPr="007450AF">
        <w:rPr>
          <w:szCs w:val="24"/>
          <w:lang w:val="fr-CA"/>
        </w:rPr>
        <w:noBreakHyphen/>
        <w:t>36,</w:t>
      </w:r>
      <w:r w:rsidRPr="007450AF">
        <w:rPr>
          <w:szCs w:val="24"/>
          <w:lang w:val="fr-CA"/>
        </w:rPr>
        <w:t xml:space="preserve"> </w:t>
      </w:r>
      <w:proofErr w:type="spellStart"/>
      <w:r w:rsidR="004D251C" w:rsidRPr="007450AF">
        <w:rPr>
          <w:szCs w:val="24"/>
          <w:lang w:val="fr-CA"/>
        </w:rPr>
        <w:t>outrepasse</w:t>
      </w:r>
      <w:r w:rsidR="004D251C" w:rsidRPr="007450AF">
        <w:rPr>
          <w:szCs w:val="24"/>
          <w:lang w:val="fr-CA"/>
        </w:rPr>
        <w:noBreakHyphen/>
        <w:t>t</w:t>
      </w:r>
      <w:r w:rsidR="004D251C" w:rsidRPr="007450AF">
        <w:rPr>
          <w:szCs w:val="24"/>
          <w:lang w:val="fr-CA"/>
        </w:rPr>
        <w:noBreakHyphen/>
        <w:t>il</w:t>
      </w:r>
      <w:proofErr w:type="spellEnd"/>
      <w:r w:rsidR="004D251C" w:rsidRPr="007450AF">
        <w:rPr>
          <w:szCs w:val="24"/>
          <w:lang w:val="fr-CA"/>
        </w:rPr>
        <w:t xml:space="preserve"> les pouvoirs du Parlement du Canada ou </w:t>
      </w:r>
      <w:proofErr w:type="spellStart"/>
      <w:r w:rsidR="004D251C" w:rsidRPr="007450AF">
        <w:rPr>
          <w:szCs w:val="24"/>
          <w:lang w:val="fr-CA"/>
        </w:rPr>
        <w:t>est</w:t>
      </w:r>
      <w:r w:rsidR="004D251C" w:rsidRPr="007450AF">
        <w:rPr>
          <w:szCs w:val="24"/>
          <w:lang w:val="fr-CA"/>
        </w:rPr>
        <w:noBreakHyphen/>
        <w:t>il</w:t>
      </w:r>
      <w:proofErr w:type="spellEnd"/>
      <w:r w:rsidR="004D251C" w:rsidRPr="007450AF">
        <w:rPr>
          <w:szCs w:val="24"/>
          <w:lang w:val="fr-CA"/>
        </w:rPr>
        <w:t xml:space="preserve"> constitutionnellement inapplicable dans la mesure où il confère aux tribunaux la compétence pour libérer le débiteur des obligations légales auxquelles il est ou pourrait être assujetti en application de l’art. 99 de l’</w:t>
      </w:r>
      <w:proofErr w:type="spellStart"/>
      <w:r w:rsidR="004D251C" w:rsidRPr="007450AF">
        <w:rPr>
          <w:i/>
          <w:szCs w:val="24"/>
          <w:lang w:val="fr-CA"/>
        </w:rPr>
        <w:t>Environmental</w:t>
      </w:r>
      <w:proofErr w:type="spellEnd"/>
      <w:r w:rsidR="004D251C" w:rsidRPr="007450AF">
        <w:rPr>
          <w:i/>
          <w:szCs w:val="24"/>
          <w:lang w:val="fr-CA"/>
        </w:rPr>
        <w:t xml:space="preserve"> Protection </w:t>
      </w:r>
      <w:proofErr w:type="spellStart"/>
      <w:r w:rsidR="004D251C" w:rsidRPr="007450AF">
        <w:rPr>
          <w:i/>
          <w:szCs w:val="24"/>
          <w:lang w:val="fr-CA"/>
        </w:rPr>
        <w:t>Act</w:t>
      </w:r>
      <w:proofErr w:type="spellEnd"/>
      <w:r w:rsidR="004D251C" w:rsidRPr="007450AF">
        <w:rPr>
          <w:szCs w:val="24"/>
          <w:lang w:val="fr-CA"/>
        </w:rPr>
        <w:t>,</w:t>
      </w:r>
      <w:r w:rsidR="004D251C" w:rsidRPr="007450AF">
        <w:rPr>
          <w:i/>
          <w:szCs w:val="24"/>
          <w:lang w:val="fr-CA"/>
        </w:rPr>
        <w:t xml:space="preserve"> </w:t>
      </w:r>
      <w:r w:rsidR="004D251C" w:rsidRPr="007450AF">
        <w:rPr>
          <w:szCs w:val="24"/>
          <w:lang w:val="fr-CA"/>
        </w:rPr>
        <w:t>S.N.L. 2002, ch. E</w:t>
      </w:r>
      <w:r w:rsidR="004D251C" w:rsidRPr="007450AF">
        <w:rPr>
          <w:szCs w:val="24"/>
          <w:lang w:val="fr-CA"/>
        </w:rPr>
        <w:noBreakHyphen/>
        <w:t>14.2?</w:t>
      </w:r>
    </w:p>
    <w:p w:rsidR="004D251C" w:rsidRPr="007450AF" w:rsidRDefault="006916D8" w:rsidP="006916D8">
      <w:pPr>
        <w:pStyle w:val="Citation-AltC"/>
        <w:tabs>
          <w:tab w:val="left" w:pos="1620"/>
        </w:tabs>
        <w:ind w:hanging="1166"/>
        <w:contextualSpacing w:val="0"/>
        <w:rPr>
          <w:szCs w:val="24"/>
          <w:lang w:val="fr-CA"/>
        </w:rPr>
      </w:pPr>
      <w:r w:rsidRPr="007450AF">
        <w:rPr>
          <w:szCs w:val="24"/>
          <w:lang w:val="fr-CA"/>
        </w:rPr>
        <w:tab/>
        <w:t>3.</w:t>
      </w:r>
      <w:r w:rsidRPr="007450AF">
        <w:rPr>
          <w:szCs w:val="24"/>
          <w:lang w:val="fr-CA"/>
        </w:rPr>
        <w:tab/>
      </w:r>
      <w:r w:rsidR="004D251C" w:rsidRPr="007450AF">
        <w:rPr>
          <w:szCs w:val="24"/>
          <w:lang w:val="fr-CA"/>
        </w:rPr>
        <w:t>L’art</w:t>
      </w:r>
      <w:r w:rsidRPr="007450AF">
        <w:rPr>
          <w:szCs w:val="24"/>
          <w:lang w:val="fr-CA"/>
        </w:rPr>
        <w:t>icle</w:t>
      </w:r>
      <w:r w:rsidR="004D251C" w:rsidRPr="007450AF">
        <w:rPr>
          <w:szCs w:val="24"/>
          <w:lang w:val="fr-CA"/>
        </w:rPr>
        <w:t xml:space="preserve"> 11 de la </w:t>
      </w:r>
      <w:r w:rsidR="004D251C" w:rsidRPr="007450AF">
        <w:rPr>
          <w:i/>
          <w:szCs w:val="24"/>
          <w:lang w:val="fr-CA"/>
        </w:rPr>
        <w:t>Loi sur les arrangements avec les créanciers des compagnies</w:t>
      </w:r>
      <w:r w:rsidR="004D251C" w:rsidRPr="007450AF">
        <w:rPr>
          <w:szCs w:val="24"/>
          <w:lang w:val="fr-CA"/>
        </w:rPr>
        <w:t>, L.R.C. 1985, ch. C</w:t>
      </w:r>
      <w:r w:rsidR="004D251C" w:rsidRPr="007450AF">
        <w:rPr>
          <w:szCs w:val="24"/>
          <w:lang w:val="fr-CA"/>
        </w:rPr>
        <w:noBreakHyphen/>
        <w:t>36,</w:t>
      </w:r>
      <w:r w:rsidRPr="007450AF">
        <w:rPr>
          <w:szCs w:val="24"/>
          <w:lang w:val="fr-CA"/>
        </w:rPr>
        <w:t xml:space="preserve"> </w:t>
      </w:r>
      <w:proofErr w:type="spellStart"/>
      <w:r w:rsidR="004D251C" w:rsidRPr="007450AF">
        <w:rPr>
          <w:szCs w:val="24"/>
          <w:lang w:val="fr-CA"/>
        </w:rPr>
        <w:t>outrepasse</w:t>
      </w:r>
      <w:r w:rsidR="004D251C" w:rsidRPr="007450AF">
        <w:rPr>
          <w:szCs w:val="24"/>
          <w:lang w:val="fr-CA"/>
        </w:rPr>
        <w:noBreakHyphen/>
        <w:t>t</w:t>
      </w:r>
      <w:r w:rsidR="004D251C" w:rsidRPr="007450AF">
        <w:rPr>
          <w:szCs w:val="24"/>
          <w:lang w:val="fr-CA"/>
        </w:rPr>
        <w:noBreakHyphen/>
        <w:t>il</w:t>
      </w:r>
      <w:proofErr w:type="spellEnd"/>
      <w:r w:rsidR="004D251C" w:rsidRPr="007450AF">
        <w:rPr>
          <w:szCs w:val="24"/>
          <w:lang w:val="fr-CA"/>
        </w:rPr>
        <w:t xml:space="preserve"> les pouvoirs du Parlement du Canada ou </w:t>
      </w:r>
      <w:proofErr w:type="spellStart"/>
      <w:r w:rsidR="004D251C" w:rsidRPr="007450AF">
        <w:rPr>
          <w:szCs w:val="24"/>
          <w:lang w:val="fr-CA"/>
        </w:rPr>
        <w:t>est</w:t>
      </w:r>
      <w:r w:rsidR="004D251C" w:rsidRPr="007450AF">
        <w:rPr>
          <w:szCs w:val="24"/>
          <w:lang w:val="fr-CA"/>
        </w:rPr>
        <w:noBreakHyphen/>
        <w:t>il</w:t>
      </w:r>
      <w:proofErr w:type="spellEnd"/>
      <w:r w:rsidR="004D251C" w:rsidRPr="007450AF">
        <w:rPr>
          <w:szCs w:val="24"/>
          <w:lang w:val="fr-CA"/>
        </w:rPr>
        <w:t xml:space="preserve"> constitutionnellement inapplicable dans la mesure où il confère aux tribunaux la compétence pour réviser l’exercice du pouvoir discrétionnaire conféré au ministre par l’art. 99 de l’</w:t>
      </w:r>
      <w:proofErr w:type="spellStart"/>
      <w:r w:rsidR="004D251C" w:rsidRPr="007450AF">
        <w:rPr>
          <w:i/>
          <w:szCs w:val="24"/>
          <w:lang w:val="fr-CA"/>
        </w:rPr>
        <w:t>Environmental</w:t>
      </w:r>
      <w:proofErr w:type="spellEnd"/>
      <w:r w:rsidR="004D251C" w:rsidRPr="007450AF">
        <w:rPr>
          <w:i/>
          <w:szCs w:val="24"/>
          <w:lang w:val="fr-CA"/>
        </w:rPr>
        <w:t xml:space="preserve"> Protection </w:t>
      </w:r>
      <w:proofErr w:type="spellStart"/>
      <w:r w:rsidR="004D251C" w:rsidRPr="007450AF">
        <w:rPr>
          <w:i/>
          <w:szCs w:val="24"/>
          <w:lang w:val="fr-CA"/>
        </w:rPr>
        <w:t>Act</w:t>
      </w:r>
      <w:proofErr w:type="spellEnd"/>
      <w:r w:rsidR="004D251C" w:rsidRPr="007450AF">
        <w:rPr>
          <w:szCs w:val="24"/>
          <w:lang w:val="fr-CA"/>
        </w:rPr>
        <w:t>, S.N.L. 2002, ch. E</w:t>
      </w:r>
      <w:r w:rsidR="004D251C" w:rsidRPr="007450AF">
        <w:rPr>
          <w:szCs w:val="24"/>
          <w:lang w:val="fr-CA"/>
        </w:rPr>
        <w:noBreakHyphen/>
        <w:t>14.2?</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Je souligne que la question de savoir si, aux termes de la </w:t>
      </w:r>
      <w:r w:rsidRPr="007450AF">
        <w:rPr>
          <w:rFonts w:cs="Times New Roman"/>
          <w:i/>
          <w:szCs w:val="24"/>
          <w:lang w:val="fr-CA"/>
        </w:rPr>
        <w:t>LACC</w:t>
      </w:r>
      <w:r w:rsidRPr="007450AF">
        <w:rPr>
          <w:rFonts w:cs="Times New Roman"/>
          <w:szCs w:val="24"/>
          <w:lang w:val="fr-CA"/>
        </w:rPr>
        <w:t xml:space="preserve">, un tribunal a compétence constitutionnelle pour suspendre l’application d’une ordonnance provinciale qui </w:t>
      </w:r>
      <w:r w:rsidRPr="007450AF">
        <w:rPr>
          <w:rFonts w:cs="Times New Roman"/>
          <w:i/>
          <w:szCs w:val="24"/>
          <w:lang w:val="fr-CA"/>
        </w:rPr>
        <w:t xml:space="preserve">ne </w:t>
      </w:r>
      <w:r w:rsidRPr="007450AF">
        <w:rPr>
          <w:rFonts w:cs="Times New Roman"/>
          <w:szCs w:val="24"/>
          <w:lang w:val="fr-CA"/>
        </w:rPr>
        <w:t xml:space="preserve">constitue </w:t>
      </w:r>
      <w:r w:rsidRPr="007450AF">
        <w:rPr>
          <w:rFonts w:cs="Times New Roman"/>
          <w:i/>
          <w:szCs w:val="24"/>
          <w:lang w:val="fr-CA"/>
        </w:rPr>
        <w:t>pas</w:t>
      </w:r>
      <w:r w:rsidRPr="007450AF">
        <w:rPr>
          <w:rFonts w:cs="Times New Roman"/>
          <w:szCs w:val="24"/>
          <w:lang w:val="fr-CA"/>
        </w:rPr>
        <w:t xml:space="preserve"> une réclamation pécuniaire ne se pose </w:t>
      </w:r>
      <w:r w:rsidRPr="007450AF">
        <w:rPr>
          <w:rFonts w:cs="Times New Roman"/>
          <w:szCs w:val="24"/>
          <w:lang w:val="fr-CA"/>
        </w:rPr>
        <w:lastRenderedPageBreak/>
        <w:t xml:space="preserve">pas en l’espèce parce que l’ordonnance de suspension en cause ne visait pas ces ordonnances.  La question pourrait toutefois se poser dans d’autres affaires.  En 2007, par l’ajout du par. 11.1(3) de la </w:t>
      </w:r>
      <w:r w:rsidRPr="007450AF">
        <w:rPr>
          <w:rFonts w:cs="Times New Roman"/>
          <w:i/>
          <w:szCs w:val="24"/>
          <w:lang w:val="fr-CA"/>
        </w:rPr>
        <w:t>LACC</w:t>
      </w:r>
      <w:r w:rsidRPr="007450AF">
        <w:rPr>
          <w:rFonts w:cs="Times New Roman"/>
          <w:szCs w:val="24"/>
          <w:lang w:val="fr-CA"/>
        </w:rPr>
        <w:t xml:space="preserve">, le législateur fédéral a explicitement conféré aux tribunaux compétents aux termes de la </w:t>
      </w:r>
      <w:r w:rsidRPr="007450AF">
        <w:rPr>
          <w:rFonts w:cs="Times New Roman"/>
          <w:i/>
          <w:szCs w:val="24"/>
          <w:lang w:val="fr-CA"/>
        </w:rPr>
        <w:t>LACC</w:t>
      </w:r>
      <w:r w:rsidRPr="007450AF">
        <w:rPr>
          <w:rFonts w:cs="Times New Roman"/>
          <w:szCs w:val="24"/>
          <w:lang w:val="fr-CA"/>
        </w:rPr>
        <w:t xml:space="preserve"> le pouvoir de suspendre l’application des ordonnances d’un organisme administratif qui ne constituent pas des réclamations pécuniaires (</w:t>
      </w:r>
      <w:r w:rsidRPr="007450AF">
        <w:rPr>
          <w:rFonts w:cs="Times New Roman"/>
          <w:i/>
          <w:szCs w:val="24"/>
          <w:lang w:val="fr-CA"/>
        </w:rPr>
        <w:t>Loi modifiant la Loi sur la faillite et l’insolvabilité, la Loi sur les arrangements avec les créanciers des compagnies, la Loi sur le Programme de protection des salariés et le chapitre 47 des Lois du Canada (2005)</w:t>
      </w:r>
      <w:r w:rsidRPr="007450AF">
        <w:rPr>
          <w:rFonts w:cs="Times New Roman"/>
          <w:szCs w:val="24"/>
          <w:lang w:val="fr-CA"/>
        </w:rPr>
        <w:t>, L.C. 2007, ch. 36, art. 65</w:t>
      </w:r>
      <w:r w:rsidR="006916D8" w:rsidRPr="007450AF">
        <w:rPr>
          <w:rFonts w:cs="Times New Roman"/>
          <w:szCs w:val="24"/>
          <w:lang w:val="fr-CA"/>
        </w:rPr>
        <w:t>)</w:t>
      </w:r>
      <w:r w:rsidRPr="007450AF">
        <w:rPr>
          <w:rFonts w:cs="Times New Roman"/>
          <w:szCs w:val="24"/>
          <w:lang w:val="fr-CA"/>
        </w:rPr>
        <w:t xml:space="preserve"> (les « modifications de 2007 »).  Ainsi, les tribunaux auront l’occasion d’analyser la question soulevée par la province lorsque le contexte factuel s’y prêtera.  La seule question constitutionnelle qui requiert une réponse en l’espèce a trait à la compétence d’un tribunal, aux termes de la </w:t>
      </w:r>
      <w:r w:rsidRPr="007450AF">
        <w:rPr>
          <w:rFonts w:cs="Times New Roman"/>
          <w:i/>
          <w:szCs w:val="24"/>
          <w:lang w:val="fr-CA"/>
        </w:rPr>
        <w:t>LACC</w:t>
      </w:r>
      <w:r w:rsidRPr="007450AF">
        <w:rPr>
          <w:rFonts w:cs="Times New Roman"/>
          <w:szCs w:val="24"/>
          <w:lang w:val="fr-CA"/>
        </w:rPr>
        <w:t xml:space="preserve">, de déterminer si une ordonnance environnementale qui n’est pas formulée en termes pécuniaires constitue, en fait, une réclamation pécuniaire. </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Le traitement équitable et ordonné des réclamations présentées par des créanciers contre un débiteur insolvable se situe au cœur même de la législation en matière d’insolvabilité, un domaine de compétence attribué au législateur fédéral.  L’établissement de règles relatives à l’évaluation des réclamations des créanciers, comme celle permettant de déterminer si un créancier fait valoir une réclamation pécuniaire, concerne directement le traitement équitable et ordonné des créanciers dans le cadre d’un processus établi en matière d’insolvabilité.  Il n’est pas nécessaire d’analyser en détail le caractère véritable des dispositions régissant l’évaluation des </w:t>
      </w:r>
      <w:r w:rsidRPr="007450AF">
        <w:rPr>
          <w:rFonts w:cs="Times New Roman"/>
          <w:szCs w:val="24"/>
          <w:lang w:val="fr-CA"/>
        </w:rPr>
        <w:lastRenderedPageBreak/>
        <w:t xml:space="preserve">réclamations en matière d’insolvabilité pour conclure à la validité du texte législatif fédéral permettant d’établir qu’une ordonnance constitue une réclamation pécuniaire.  L’application de la doctrine des pouvoirs accessoires n’est pas pertinente en l’espèce car les dispositions en cause sont directement reliées à la compétence du législateur fédéral.  J’estime également que la doctrine de la protection des compétences exclusives ne s’applique pas en l’espèce.  Une conclusion selon laquelle un créancier œuvrant dans le domaine de l’environnement détient une réclamation pécuniaire ne modifie en rien les activités de ce créancier.  La réclamation de ce dernier est simplement assujettie </w:t>
      </w:r>
      <w:r w:rsidR="00C6287F">
        <w:rPr>
          <w:rFonts w:cs="Times New Roman"/>
          <w:szCs w:val="24"/>
          <w:lang w:val="fr-CA"/>
        </w:rPr>
        <w:t xml:space="preserve">au processus d’insolvabilité. </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Ce que soutient en fait la province, c’est que les tribunaux devraient examiner la forme des ordonnances plutôt que leur substance.  Je ne vois aucune raison empêchant l’examen du choix par la province d’un type d’ordonnance donnée afin de déterminer si la forme choisie concorde avec l’objectif véritable qui se dégage des gestes qu’elle a posés.  Si ces gestes indiquent qu’elle fait effectivement valoir une réclamation prouvable au sens de la législation fédérale, alors cette réclamation peut être assujettie au processus d’insolvabilité.  Les réclamations en matière d’environnement ne bénéficient pas d’un rang supérieur à celui prévu par les dispositions de la </w:t>
      </w:r>
      <w:r w:rsidRPr="007450AF">
        <w:rPr>
          <w:rFonts w:cs="Times New Roman"/>
          <w:i/>
          <w:szCs w:val="24"/>
          <w:lang w:val="fr-CA"/>
        </w:rPr>
        <w:t>LACC</w:t>
      </w:r>
      <w:r w:rsidRPr="007450AF">
        <w:rPr>
          <w:rFonts w:cs="Times New Roman"/>
          <w:szCs w:val="24"/>
          <w:lang w:val="fr-CA"/>
        </w:rPr>
        <w:t>.  Privilégier l’examen de la substance d’une ordonnance plutôt que de sa forme permet d’éviter qu’un organisme administratif obtienne de façon artificielle une priorité de rang supérieure à celle que la législation fédérale attribue à la réclamation.  Notre Cour a depuis longtemps reconnu qu’une province ne pouvait perturber les priorités établies par le r</w:t>
      </w:r>
      <w:r w:rsidR="006916D8" w:rsidRPr="007450AF">
        <w:rPr>
          <w:rFonts w:cs="Times New Roman"/>
          <w:szCs w:val="24"/>
          <w:lang w:val="fr-CA"/>
        </w:rPr>
        <w:t>égime fédéral d’insolvabilité (</w:t>
      </w:r>
      <w:r w:rsidRPr="007450AF">
        <w:rPr>
          <w:rFonts w:cs="Times New Roman"/>
          <w:i/>
          <w:szCs w:val="24"/>
          <w:lang w:val="fr-CA"/>
        </w:rPr>
        <w:t xml:space="preserve">Husky </w:t>
      </w:r>
      <w:proofErr w:type="spellStart"/>
      <w:r w:rsidRPr="007450AF">
        <w:rPr>
          <w:rFonts w:cs="Times New Roman"/>
          <w:i/>
          <w:szCs w:val="24"/>
          <w:lang w:val="fr-CA"/>
        </w:rPr>
        <w:t>Oil</w:t>
      </w:r>
      <w:proofErr w:type="spellEnd"/>
      <w:r w:rsidRPr="007450AF">
        <w:rPr>
          <w:rFonts w:cs="Times New Roman"/>
          <w:i/>
          <w:szCs w:val="24"/>
          <w:lang w:val="fr-CA"/>
        </w:rPr>
        <w:t xml:space="preserve"> </w:t>
      </w:r>
      <w:r w:rsidRPr="007450AF">
        <w:rPr>
          <w:rFonts w:cs="Times New Roman"/>
          <w:i/>
          <w:szCs w:val="24"/>
          <w:lang w:val="fr-CA"/>
        </w:rPr>
        <w:lastRenderedPageBreak/>
        <w:t>Operations Ltd. c. Ministre du Revenu national</w:t>
      </w:r>
      <w:r w:rsidRPr="007450AF">
        <w:rPr>
          <w:rFonts w:cs="Times New Roman"/>
          <w:szCs w:val="24"/>
          <w:lang w:val="fr-CA"/>
        </w:rPr>
        <w:t>, [1995] 3 R.C.S. 453</w:t>
      </w:r>
      <w:r w:rsidR="006916D8" w:rsidRPr="007450AF">
        <w:rPr>
          <w:rFonts w:cs="Times New Roman"/>
          <w:szCs w:val="24"/>
          <w:lang w:val="fr-CA"/>
        </w:rPr>
        <w:t>)</w:t>
      </w:r>
      <w:r w:rsidRPr="007450AF">
        <w:rPr>
          <w:rFonts w:cs="Times New Roman"/>
          <w:szCs w:val="24"/>
          <w:lang w:val="fr-CA"/>
        </w:rPr>
        <w:t xml:space="preserve">.  La </w:t>
      </w:r>
      <w:r w:rsidRPr="007450AF">
        <w:rPr>
          <w:rFonts w:cs="Times New Roman"/>
          <w:i/>
          <w:szCs w:val="24"/>
          <w:lang w:val="fr-CA"/>
        </w:rPr>
        <w:t xml:space="preserve">LACC </w:t>
      </w:r>
      <w:r w:rsidRPr="007450AF">
        <w:rPr>
          <w:rFonts w:cs="Times New Roman"/>
          <w:szCs w:val="24"/>
          <w:lang w:val="fr-CA"/>
        </w:rPr>
        <w:t xml:space="preserve">établit une priorité précise et limitée à l’égard des réclamations en matière environnementale.  Le fait de soustraire aux procédures d’insolvabilité les ordonnances qui sont en fait des réclamations pécuniaires équivaudrait à accorder aux provinces une priorité d’un rang supérieur à celui prévu par la </w:t>
      </w:r>
      <w:r w:rsidRPr="007450AF">
        <w:rPr>
          <w:rFonts w:cs="Times New Roman"/>
          <w:i/>
          <w:szCs w:val="24"/>
          <w:lang w:val="fr-CA"/>
        </w:rPr>
        <w:t>LACC</w:t>
      </w:r>
      <w:r w:rsidRPr="007450AF">
        <w:rPr>
          <w:rFonts w:cs="Times New Roman"/>
          <w:szCs w:val="24"/>
          <w:lang w:val="fr-CA"/>
        </w:rPr>
        <w:t xml:space="preserve">.  </w:t>
      </w:r>
    </w:p>
    <w:p w:rsidR="004D251C" w:rsidRPr="007450AF" w:rsidRDefault="004D251C" w:rsidP="006916D8">
      <w:pPr>
        <w:pStyle w:val="TitleTitre-AltT"/>
        <w:tabs>
          <w:tab w:val="clear" w:pos="360"/>
          <w:tab w:val="left" w:pos="540"/>
        </w:tabs>
        <w:ind w:left="540" w:hanging="540"/>
        <w:rPr>
          <w:rFonts w:cs="Times New Roman"/>
          <w:i/>
          <w:szCs w:val="24"/>
          <w:lang w:val="fr-CA"/>
        </w:rPr>
      </w:pPr>
      <w:r w:rsidRPr="007450AF">
        <w:rPr>
          <w:rFonts w:cs="Times New Roman"/>
          <w:szCs w:val="24"/>
          <w:lang w:val="fr-CA"/>
        </w:rPr>
        <w:t>IV.</w:t>
      </w:r>
      <w:r w:rsidRPr="007450AF">
        <w:rPr>
          <w:rFonts w:cs="Times New Roman"/>
          <w:szCs w:val="24"/>
          <w:lang w:val="fr-CA"/>
        </w:rPr>
        <w:tab/>
      </w:r>
      <w:r w:rsidRPr="007450AF">
        <w:rPr>
          <w:rFonts w:cs="Times New Roman"/>
          <w:szCs w:val="24"/>
          <w:u w:val="single"/>
          <w:lang w:val="fr-CA"/>
        </w:rPr>
        <w:t xml:space="preserve">Réclamations sous le régime de la </w:t>
      </w:r>
      <w:r w:rsidRPr="007450AF">
        <w:rPr>
          <w:rFonts w:cs="Times New Roman"/>
          <w:i/>
          <w:szCs w:val="24"/>
          <w:u w:val="single"/>
          <w:lang w:val="fr-CA"/>
        </w:rPr>
        <w:t>LACC</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Plusieurs dispositions de la </w:t>
      </w:r>
      <w:r w:rsidRPr="007450AF">
        <w:rPr>
          <w:rFonts w:cs="Times New Roman"/>
          <w:i/>
          <w:szCs w:val="24"/>
          <w:lang w:val="fr-CA"/>
        </w:rPr>
        <w:t xml:space="preserve">LACC </w:t>
      </w:r>
      <w:r w:rsidRPr="007450AF">
        <w:rPr>
          <w:rFonts w:cs="Times New Roman"/>
          <w:szCs w:val="24"/>
          <w:lang w:val="fr-CA"/>
        </w:rPr>
        <w:t xml:space="preserve">ont été modifiées depuis qu’Abitibi a présenté une demande de protection contre l’insolvabilité.  À moins d’indication contraire de ma part, les dispositions que je cite sont celles qui étaient en vigueur lorsque la suspension des procédures a été ordonnée. </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t xml:space="preserve">Une des caractéristiques principales du régime créé par la </w:t>
      </w:r>
      <w:r w:rsidRPr="007450AF">
        <w:rPr>
          <w:rFonts w:cs="Times New Roman"/>
          <w:i/>
          <w:szCs w:val="24"/>
          <w:lang w:val="fr-CA"/>
        </w:rPr>
        <w:t xml:space="preserve">LACC </w:t>
      </w:r>
      <w:r w:rsidRPr="007450AF">
        <w:rPr>
          <w:rFonts w:cs="Times New Roman"/>
          <w:szCs w:val="24"/>
          <w:lang w:val="fr-CA"/>
        </w:rPr>
        <w:t xml:space="preserve">est de traiter la presque totalité des réclamations contre un débiteur suivant une procédure unique devant un même tribunal.  En vertu de ce modèle, le tribunal peut ordonner la suspension de la plupart des mesures d’exécution engagées contre les actifs du débiteur de façon à maintenir le statu quo durant la négociation avec les créanciers.  Lorsque la négociation réussit, les créanciers consentent habituellement à recevoir moins que le plein montant de leurs réclamations, lesquelles ne sont pas nécessairement exigibles ou liquidées dès le début des procédures d’insolvabilité.  Ces réclamations doivent parfois être évaluées afin d’établir la valeur pécuniaire qui fera l’objet du compromis. </w:t>
      </w:r>
    </w:p>
    <w:p w:rsidR="004D251C" w:rsidRPr="007450AF" w:rsidRDefault="004D251C" w:rsidP="004D251C">
      <w:pPr>
        <w:pStyle w:val="ParaNoNdepar-AltN"/>
        <w:tabs>
          <w:tab w:val="clear" w:pos="1152"/>
          <w:tab w:val="left" w:pos="1166"/>
        </w:tabs>
        <w:rPr>
          <w:rFonts w:cs="Times New Roman"/>
          <w:szCs w:val="24"/>
          <w:lang w:val="fr-CA"/>
        </w:rPr>
      </w:pPr>
      <w:r w:rsidRPr="007450AF">
        <w:rPr>
          <w:rFonts w:cs="Times New Roman"/>
          <w:szCs w:val="24"/>
          <w:lang w:val="fr-CA"/>
        </w:rPr>
        <w:lastRenderedPageBreak/>
        <w:t xml:space="preserve">L’article 12 de la </w:t>
      </w:r>
      <w:r w:rsidRPr="007450AF">
        <w:rPr>
          <w:rFonts w:cs="Times New Roman"/>
          <w:i/>
          <w:szCs w:val="24"/>
          <w:lang w:val="fr-CA"/>
        </w:rPr>
        <w:t xml:space="preserve">LACC </w:t>
      </w:r>
      <w:r w:rsidRPr="007450AF">
        <w:rPr>
          <w:rFonts w:cs="Times New Roman"/>
          <w:szCs w:val="24"/>
          <w:lang w:val="fr-CA"/>
        </w:rPr>
        <w:t xml:space="preserve">énonce les règles de base pour déterminer si une ordonnance constitue une réclamation pouvant être assujettie au processus applicable en matière d’insolvabilité : </w:t>
      </w:r>
    </w:p>
    <w:p w:rsidR="004D251C" w:rsidRPr="007450AF" w:rsidRDefault="004D251C" w:rsidP="006916D8">
      <w:pPr>
        <w:pStyle w:val="Citation-AltC"/>
        <w:tabs>
          <w:tab w:val="left" w:pos="1620"/>
        </w:tabs>
        <w:spacing w:after="240"/>
        <w:ind w:hanging="1166"/>
        <w:contextualSpacing w:val="0"/>
        <w:rPr>
          <w:szCs w:val="24"/>
          <w:lang w:val="fr-CA"/>
        </w:rPr>
      </w:pPr>
      <w:r w:rsidRPr="007450AF">
        <w:rPr>
          <w:rStyle w:val="sectionlabel"/>
          <w:szCs w:val="24"/>
          <w:lang w:val="fr-CA"/>
        </w:rPr>
        <w:tab/>
      </w:r>
      <w:r w:rsidRPr="007450AF">
        <w:rPr>
          <w:rStyle w:val="sectionlabel"/>
          <w:szCs w:val="24"/>
          <w:lang w:val="fr-CA"/>
        </w:rPr>
        <w:tab/>
        <w:t>12.</w:t>
      </w:r>
      <w:r w:rsidRPr="007450AF">
        <w:rPr>
          <w:szCs w:val="24"/>
          <w:lang w:val="fr-CA"/>
        </w:rPr>
        <w:t> (1) </w:t>
      </w:r>
      <w:r w:rsidR="006916D8" w:rsidRPr="007450AF">
        <w:rPr>
          <w:rStyle w:val="sectionlabel"/>
          <w:b w:val="0"/>
          <w:szCs w:val="24"/>
          <w:lang w:val="fr-CA"/>
        </w:rPr>
        <w:t>[Définition de « réclamation »]</w:t>
      </w:r>
      <w:r w:rsidR="001F17B2" w:rsidRPr="007450AF">
        <w:rPr>
          <w:rStyle w:val="sectionlabel"/>
          <w:b w:val="0"/>
          <w:szCs w:val="24"/>
          <w:lang w:val="fr-CA"/>
        </w:rPr>
        <w:t xml:space="preserve"> </w:t>
      </w:r>
      <w:r w:rsidRPr="007450AF">
        <w:rPr>
          <w:szCs w:val="24"/>
          <w:lang w:val="fr-CA"/>
        </w:rPr>
        <w:t xml:space="preserve">Pour l’application de la présente loi, « réclamation » s’entend de toute </w:t>
      </w:r>
      <w:r w:rsidRPr="007450AF">
        <w:rPr>
          <w:szCs w:val="24"/>
          <w:u w:val="single"/>
          <w:lang w:val="fr-CA"/>
        </w:rPr>
        <w:t>dette</w:t>
      </w:r>
      <w:r w:rsidRPr="007450AF">
        <w:rPr>
          <w:szCs w:val="24"/>
          <w:lang w:val="fr-CA"/>
        </w:rPr>
        <w:t xml:space="preserve">, tout </w:t>
      </w:r>
      <w:r w:rsidRPr="007450AF">
        <w:rPr>
          <w:szCs w:val="24"/>
          <w:u w:val="single"/>
          <w:lang w:val="fr-CA"/>
        </w:rPr>
        <w:t>engagement</w:t>
      </w:r>
      <w:r w:rsidRPr="007450AF">
        <w:rPr>
          <w:szCs w:val="24"/>
          <w:lang w:val="fr-CA"/>
        </w:rPr>
        <w:t xml:space="preserve"> ou toute </w:t>
      </w:r>
      <w:r w:rsidRPr="007450AF">
        <w:rPr>
          <w:szCs w:val="24"/>
          <w:u w:val="single"/>
          <w:lang w:val="fr-CA"/>
        </w:rPr>
        <w:t>obligation d’un genre quelconque</w:t>
      </w:r>
      <w:r w:rsidRPr="007450AF">
        <w:rPr>
          <w:szCs w:val="24"/>
          <w:lang w:val="fr-CA"/>
        </w:rPr>
        <w:t xml:space="preserve"> qui, s’il n’était pas garanti, constituerait une dette prouvable en matière de faillite au sens de la </w:t>
      </w:r>
      <w:r w:rsidRPr="007450AF">
        <w:rPr>
          <w:i/>
          <w:szCs w:val="24"/>
          <w:lang w:val="fr-CA"/>
        </w:rPr>
        <w:t>Loi sur la faillite et l’insolvabilité</w:t>
      </w:r>
      <w:r w:rsidRPr="007450AF">
        <w:rPr>
          <w:szCs w:val="24"/>
          <w:lang w:val="fr-CA"/>
        </w:rPr>
        <w:t xml:space="preserve">. </w:t>
      </w:r>
    </w:p>
    <w:p w:rsidR="004D251C" w:rsidRPr="007450AF" w:rsidRDefault="006916D8" w:rsidP="006916D8">
      <w:pPr>
        <w:pStyle w:val="Citation-AltC"/>
        <w:tabs>
          <w:tab w:val="left" w:pos="1620"/>
        </w:tabs>
        <w:spacing w:after="240"/>
        <w:ind w:hanging="1166"/>
        <w:contextualSpacing w:val="0"/>
        <w:rPr>
          <w:szCs w:val="24"/>
          <w:lang w:val="fr-CA"/>
        </w:rPr>
      </w:pPr>
      <w:r w:rsidRPr="007450AF">
        <w:rPr>
          <w:szCs w:val="24"/>
          <w:lang w:val="fr-CA"/>
        </w:rPr>
        <w:tab/>
      </w:r>
      <w:r w:rsidRPr="007450AF">
        <w:rPr>
          <w:szCs w:val="24"/>
          <w:lang w:val="fr-CA"/>
        </w:rPr>
        <w:tab/>
        <w:t xml:space="preserve">(2) [Détermination du </w:t>
      </w:r>
      <w:r w:rsidRPr="007450AF">
        <w:rPr>
          <w:rStyle w:val="sectionlabel"/>
          <w:b w:val="0"/>
          <w:lang w:val="fr-CA"/>
        </w:rPr>
        <w:t>montant</w:t>
      </w:r>
      <w:r w:rsidRPr="007450AF">
        <w:rPr>
          <w:b/>
          <w:szCs w:val="24"/>
          <w:lang w:val="fr-CA"/>
        </w:rPr>
        <w:t xml:space="preserve"> </w:t>
      </w:r>
      <w:r w:rsidRPr="007450AF">
        <w:rPr>
          <w:szCs w:val="24"/>
          <w:lang w:val="fr-CA"/>
        </w:rPr>
        <w:t xml:space="preserve">de la réclamation] </w:t>
      </w:r>
      <w:r w:rsidR="004D251C" w:rsidRPr="007450AF">
        <w:rPr>
          <w:szCs w:val="24"/>
          <w:lang w:val="fr-CA"/>
        </w:rPr>
        <w:t>Pour l’application de la présente loi, le montant représenté par une réclamation d’un créancier garanti ou chirographaire est déterminé de la façon suivante :</w:t>
      </w:r>
    </w:p>
    <w:p w:rsidR="004D251C" w:rsidRPr="007450AF" w:rsidRDefault="006916D8" w:rsidP="006916D8">
      <w:pPr>
        <w:pStyle w:val="Citation-AltC"/>
        <w:tabs>
          <w:tab w:val="left" w:pos="1980"/>
        </w:tabs>
        <w:spacing w:after="240"/>
        <w:ind w:left="1620" w:hanging="1620"/>
        <w:contextualSpacing w:val="0"/>
        <w:rPr>
          <w:szCs w:val="24"/>
          <w:lang w:val="fr-CA"/>
        </w:rPr>
      </w:pPr>
      <w:r w:rsidRPr="007450AF">
        <w:rPr>
          <w:i/>
          <w:szCs w:val="24"/>
          <w:lang w:val="fr-CA"/>
        </w:rPr>
        <w:tab/>
      </w:r>
      <w:r w:rsidR="004D251C" w:rsidRPr="007450AF">
        <w:rPr>
          <w:i/>
          <w:szCs w:val="24"/>
          <w:lang w:val="fr-CA"/>
        </w:rPr>
        <w:t>a</w:t>
      </w:r>
      <w:r w:rsidRPr="007450AF">
        <w:rPr>
          <w:szCs w:val="24"/>
          <w:lang w:val="fr-CA"/>
        </w:rPr>
        <w:t>)</w:t>
      </w:r>
      <w:r w:rsidRPr="007450AF">
        <w:rPr>
          <w:szCs w:val="24"/>
          <w:lang w:val="fr-CA"/>
        </w:rPr>
        <w:tab/>
      </w:r>
      <w:r w:rsidR="004D251C" w:rsidRPr="007450AF">
        <w:rPr>
          <w:szCs w:val="24"/>
          <w:lang w:val="fr-CA"/>
        </w:rPr>
        <w:t xml:space="preserve">le montant d’une réclamation non garantie est le montant : </w:t>
      </w:r>
    </w:p>
    <w:p w:rsidR="004D251C" w:rsidRPr="007450AF" w:rsidRDefault="006916D8" w:rsidP="004D251C">
      <w:pPr>
        <w:pStyle w:val="Citation-AltC"/>
        <w:spacing w:after="240"/>
        <w:ind w:hanging="1166"/>
        <w:contextualSpacing w:val="0"/>
        <w:jc w:val="center"/>
        <w:rPr>
          <w:szCs w:val="24"/>
          <w:lang w:val="fr-CA"/>
        </w:rPr>
      </w:pPr>
      <w:r w:rsidRPr="007450AF">
        <w:rPr>
          <w:szCs w:val="24"/>
          <w:lang w:val="fr-CA"/>
        </w:rPr>
        <w:t>. . .</w:t>
      </w:r>
    </w:p>
    <w:p w:rsidR="004D251C" w:rsidRPr="007450AF" w:rsidRDefault="004D251C" w:rsidP="00CA4C8E">
      <w:pPr>
        <w:pStyle w:val="Citation-AltC"/>
        <w:tabs>
          <w:tab w:val="left" w:pos="2520"/>
        </w:tabs>
        <w:ind w:left="1987" w:hanging="1987"/>
        <w:contextualSpacing w:val="0"/>
        <w:rPr>
          <w:szCs w:val="24"/>
          <w:lang w:val="fr-CA"/>
        </w:rPr>
      </w:pPr>
      <w:r w:rsidRPr="007450AF">
        <w:rPr>
          <w:szCs w:val="24"/>
          <w:lang w:val="fr-CA"/>
        </w:rPr>
        <w:tab/>
      </w:r>
      <w:r w:rsidR="006916D8" w:rsidRPr="007450AF">
        <w:rPr>
          <w:szCs w:val="24"/>
          <w:lang w:val="fr-CA"/>
        </w:rPr>
        <w:t>(iii)</w:t>
      </w:r>
      <w:r w:rsidR="006916D8" w:rsidRPr="007450AF">
        <w:rPr>
          <w:szCs w:val="24"/>
          <w:lang w:val="fr-CA"/>
        </w:rPr>
        <w:tab/>
      </w:r>
      <w:r w:rsidRPr="007450AF">
        <w:rPr>
          <w:szCs w:val="24"/>
          <w:lang w:val="fr-CA"/>
        </w:rPr>
        <w:t xml:space="preserve">dans le cas de toute autre compagnie, dont la preuve pourrait être établie en vertu de la </w:t>
      </w:r>
      <w:r w:rsidRPr="007450AF">
        <w:rPr>
          <w:i/>
          <w:szCs w:val="24"/>
          <w:lang w:val="fr-CA"/>
        </w:rPr>
        <w:t>Loi sur la faillite et l’insolvabilité</w:t>
      </w:r>
      <w:r w:rsidRPr="007450AF">
        <w:rPr>
          <w:szCs w:val="24"/>
          <w:lang w:val="fr-CA"/>
        </w:rPr>
        <w:t>, mais si le montant ainsi prouvable n’est pas admis par la compagnie, ce montant est déterminé par le tribunal sur demande sommaire p</w:t>
      </w:r>
      <w:r w:rsidR="00CA4C8E" w:rsidRPr="007450AF">
        <w:rPr>
          <w:szCs w:val="24"/>
          <w:lang w:val="fr-CA"/>
        </w:rPr>
        <w:t>ar la compagnie ou le créancier;</w:t>
      </w:r>
    </w:p>
    <w:p w:rsidR="004D251C" w:rsidRPr="007450AF" w:rsidRDefault="004D251C" w:rsidP="004D251C">
      <w:pPr>
        <w:pStyle w:val="ParaNoNdepar-AltN"/>
        <w:ind w:right="-225"/>
        <w:rPr>
          <w:rFonts w:cs="Times New Roman"/>
          <w:szCs w:val="24"/>
          <w:lang w:val="fr-CA"/>
        </w:rPr>
      </w:pPr>
      <w:r w:rsidRPr="007450AF">
        <w:rPr>
          <w:rFonts w:cs="Times New Roman"/>
          <w:szCs w:val="24"/>
          <w:lang w:val="fr-CA"/>
        </w:rPr>
        <w:t xml:space="preserve">L’article 12 de la </w:t>
      </w:r>
      <w:r w:rsidRPr="007450AF">
        <w:rPr>
          <w:rFonts w:cs="Times New Roman"/>
          <w:i/>
          <w:szCs w:val="24"/>
          <w:lang w:val="fr-CA"/>
        </w:rPr>
        <w:t xml:space="preserve">LACC </w:t>
      </w:r>
      <w:r w:rsidRPr="007450AF">
        <w:rPr>
          <w:rFonts w:cs="Times New Roman"/>
          <w:szCs w:val="24"/>
          <w:lang w:val="fr-CA"/>
        </w:rPr>
        <w:t xml:space="preserve">renvoie aux règles de la </w:t>
      </w:r>
      <w:r w:rsidRPr="007450AF">
        <w:rPr>
          <w:rFonts w:cs="Times New Roman"/>
          <w:i/>
          <w:szCs w:val="24"/>
          <w:lang w:val="fr-CA"/>
        </w:rPr>
        <w:t>Loi sur la faillite et l’insolvabilité</w:t>
      </w:r>
      <w:r w:rsidRPr="007450AF">
        <w:rPr>
          <w:rFonts w:cs="Times New Roman"/>
          <w:szCs w:val="24"/>
          <w:lang w:val="fr-CA"/>
        </w:rPr>
        <w:t>,</w:t>
      </w:r>
      <w:r w:rsidRPr="007450AF">
        <w:rPr>
          <w:rFonts w:cs="Times New Roman"/>
          <w:i/>
          <w:szCs w:val="24"/>
          <w:lang w:val="fr-CA"/>
        </w:rPr>
        <w:t xml:space="preserve"> </w:t>
      </w:r>
      <w:r w:rsidR="00CA4C8E" w:rsidRPr="007450AF">
        <w:rPr>
          <w:rFonts w:cs="Times New Roman"/>
          <w:szCs w:val="24"/>
          <w:lang w:val="fr-CA"/>
        </w:rPr>
        <w:t>L</w:t>
      </w:r>
      <w:r w:rsidRPr="007450AF">
        <w:rPr>
          <w:rFonts w:cs="Times New Roman"/>
          <w:szCs w:val="24"/>
          <w:lang w:val="fr-CA"/>
        </w:rPr>
        <w:t>.R.C</w:t>
      </w:r>
      <w:r w:rsidR="00CA4C8E" w:rsidRPr="007450AF">
        <w:rPr>
          <w:rFonts w:cs="Times New Roman"/>
          <w:szCs w:val="24"/>
          <w:lang w:val="fr-CA"/>
        </w:rPr>
        <w:t>.</w:t>
      </w:r>
      <w:r w:rsidRPr="007450AF">
        <w:rPr>
          <w:rFonts w:cs="Times New Roman"/>
          <w:szCs w:val="24"/>
          <w:lang w:val="fr-CA"/>
        </w:rPr>
        <w:t xml:space="preserve"> 1985, ch. B</w:t>
      </w:r>
      <w:r w:rsidRPr="007450AF">
        <w:rPr>
          <w:rFonts w:cs="Times New Roman"/>
          <w:szCs w:val="24"/>
          <w:lang w:val="fr-CA"/>
        </w:rPr>
        <w:noBreakHyphen/>
        <w:t>3 (« </w:t>
      </w:r>
      <w:r w:rsidRPr="007450AF">
        <w:rPr>
          <w:rFonts w:cs="Times New Roman"/>
          <w:i/>
          <w:szCs w:val="24"/>
          <w:lang w:val="fr-CA"/>
        </w:rPr>
        <w:t>LFI </w:t>
      </w:r>
      <w:r w:rsidRPr="007450AF">
        <w:rPr>
          <w:rFonts w:cs="Times New Roman"/>
          <w:szCs w:val="24"/>
          <w:lang w:val="fr-CA"/>
        </w:rPr>
        <w:t xml:space="preserve">»).  L’article 2 de la </w:t>
      </w:r>
      <w:r w:rsidRPr="007450AF">
        <w:rPr>
          <w:rFonts w:cs="Times New Roman"/>
          <w:i/>
          <w:szCs w:val="24"/>
          <w:lang w:val="fr-CA"/>
        </w:rPr>
        <w:t>LFI</w:t>
      </w:r>
      <w:r w:rsidRPr="007450AF">
        <w:rPr>
          <w:rFonts w:cs="Times New Roman"/>
          <w:szCs w:val="24"/>
          <w:lang w:val="fr-CA"/>
        </w:rPr>
        <w:t xml:space="preserve"> définit ainsi une réclamation prouvable en matière de faillite : </w:t>
      </w:r>
    </w:p>
    <w:p w:rsidR="004D251C" w:rsidRPr="007450AF" w:rsidRDefault="004D251C" w:rsidP="00CA4C8E">
      <w:pPr>
        <w:pStyle w:val="Citation-AltC"/>
        <w:tabs>
          <w:tab w:val="left" w:pos="1170"/>
        </w:tabs>
        <w:ind w:left="1710" w:hanging="1710"/>
        <w:rPr>
          <w:szCs w:val="24"/>
          <w:lang w:val="fr-CA"/>
        </w:rPr>
      </w:pPr>
      <w:r w:rsidRPr="007450AF">
        <w:rPr>
          <w:szCs w:val="24"/>
          <w:lang w:val="fr-CA"/>
        </w:rPr>
        <w:tab/>
        <w:t>« </w:t>
      </w:r>
      <w:proofErr w:type="gramStart"/>
      <w:r w:rsidRPr="007450AF">
        <w:rPr>
          <w:szCs w:val="24"/>
          <w:lang w:val="fr-CA"/>
        </w:rPr>
        <w:t>réclamation</w:t>
      </w:r>
      <w:proofErr w:type="gramEnd"/>
      <w:r w:rsidRPr="007450AF">
        <w:rPr>
          <w:szCs w:val="24"/>
          <w:lang w:val="fr-CA"/>
        </w:rPr>
        <w:t xml:space="preserve"> prouvable en matière de faillite » ou « réclamation prouvable » Toute réclamation ou créance pouvant être prouvée dans des procédures intentées sous l’autorité de la présente loi par un </w:t>
      </w:r>
      <w:r w:rsidRPr="007450AF">
        <w:rPr>
          <w:szCs w:val="24"/>
          <w:u w:val="single"/>
          <w:lang w:val="fr-CA"/>
        </w:rPr>
        <w:t>créancier</w:t>
      </w:r>
      <w:r w:rsidRPr="007450AF">
        <w:rPr>
          <w:szCs w:val="24"/>
          <w:lang w:val="fr-CA"/>
        </w:rPr>
        <w:t>.</w:t>
      </w:r>
    </w:p>
    <w:p w:rsidR="004D251C" w:rsidRPr="007450AF" w:rsidRDefault="004D251C" w:rsidP="004D251C">
      <w:pPr>
        <w:pStyle w:val="ParaNoNdepar-AltN"/>
        <w:ind w:right="-225"/>
        <w:rPr>
          <w:rStyle w:val="sectionlabel"/>
          <w:rFonts w:cs="Times New Roman"/>
          <w:b w:val="0"/>
          <w:bCs w:val="0"/>
          <w:szCs w:val="24"/>
          <w:lang w:val="fr-CA"/>
        </w:rPr>
      </w:pPr>
      <w:r w:rsidRPr="007450AF">
        <w:rPr>
          <w:rStyle w:val="sectionlabel"/>
          <w:rFonts w:cs="Times New Roman"/>
          <w:b w:val="0"/>
          <w:szCs w:val="24"/>
          <w:lang w:val="fr-CA"/>
        </w:rPr>
        <w:t xml:space="preserve">Cette définition est complétée par </w:t>
      </w:r>
      <w:r w:rsidR="00A07D6F">
        <w:rPr>
          <w:rStyle w:val="sectionlabel"/>
          <w:rFonts w:cs="Times New Roman"/>
          <w:b w:val="0"/>
          <w:szCs w:val="24"/>
          <w:lang w:val="fr-CA"/>
        </w:rPr>
        <w:t>le par.</w:t>
      </w:r>
      <w:r w:rsidRPr="007450AF">
        <w:rPr>
          <w:rStyle w:val="sectionlabel"/>
          <w:rFonts w:cs="Times New Roman"/>
          <w:b w:val="0"/>
          <w:szCs w:val="24"/>
          <w:lang w:val="fr-CA"/>
        </w:rPr>
        <w:t> 121</w:t>
      </w:r>
      <w:r w:rsidR="00CA4C8E" w:rsidRPr="007450AF">
        <w:rPr>
          <w:rStyle w:val="sectionlabel"/>
          <w:rFonts w:cs="Times New Roman"/>
          <w:b w:val="0"/>
          <w:szCs w:val="24"/>
          <w:lang w:val="fr-CA"/>
        </w:rPr>
        <w:t>(1)</w:t>
      </w:r>
      <w:r w:rsidRPr="007450AF">
        <w:rPr>
          <w:rStyle w:val="sectionlabel"/>
          <w:rFonts w:cs="Times New Roman"/>
          <w:b w:val="0"/>
          <w:szCs w:val="24"/>
          <w:lang w:val="fr-CA"/>
        </w:rPr>
        <w:t xml:space="preserve"> de la </w:t>
      </w:r>
      <w:r w:rsidRPr="007450AF">
        <w:rPr>
          <w:rStyle w:val="sectionlabel"/>
          <w:rFonts w:cs="Times New Roman"/>
          <w:b w:val="0"/>
          <w:i/>
          <w:szCs w:val="24"/>
          <w:lang w:val="fr-CA"/>
        </w:rPr>
        <w:t>LFI </w:t>
      </w:r>
      <w:r w:rsidRPr="00A07D6F">
        <w:rPr>
          <w:rStyle w:val="sectionlabel"/>
          <w:rFonts w:cs="Times New Roman"/>
          <w:b w:val="0"/>
          <w:szCs w:val="24"/>
          <w:lang w:val="fr-CA"/>
        </w:rPr>
        <w:t>:</w:t>
      </w:r>
    </w:p>
    <w:p w:rsidR="004D251C" w:rsidRPr="007450AF" w:rsidRDefault="004D251C" w:rsidP="00945714">
      <w:pPr>
        <w:pStyle w:val="Citation-AltC"/>
        <w:tabs>
          <w:tab w:val="left" w:pos="1620"/>
        </w:tabs>
        <w:ind w:hanging="1166"/>
        <w:rPr>
          <w:szCs w:val="24"/>
          <w:lang w:val="fr-CA"/>
        </w:rPr>
      </w:pPr>
      <w:r w:rsidRPr="007450AF">
        <w:rPr>
          <w:rStyle w:val="sectionlabel"/>
          <w:szCs w:val="24"/>
          <w:lang w:val="fr-CA"/>
        </w:rPr>
        <w:lastRenderedPageBreak/>
        <w:tab/>
      </w:r>
      <w:r w:rsidRPr="007450AF">
        <w:rPr>
          <w:rStyle w:val="sectionlabel"/>
          <w:szCs w:val="24"/>
          <w:lang w:val="fr-CA"/>
        </w:rPr>
        <w:tab/>
        <w:t>121.</w:t>
      </w:r>
      <w:r w:rsidRPr="007450AF">
        <w:rPr>
          <w:szCs w:val="24"/>
          <w:lang w:val="fr-CA"/>
        </w:rPr>
        <w:t xml:space="preserve"> (1)  Toutes créances et tous engagements, présents ou futurs, auxquels le failli est assujetti à la date à laquelle il devient failli, ou auxquels il peut devenir assujetti avant sa libération, </w:t>
      </w:r>
      <w:r w:rsidRPr="007450AF">
        <w:rPr>
          <w:szCs w:val="24"/>
          <w:u w:val="single"/>
          <w:lang w:val="fr-CA"/>
        </w:rPr>
        <w:t>en raison d’une obligation contractée antérieurement à cette date</w:t>
      </w:r>
      <w:r w:rsidRPr="007450AF">
        <w:rPr>
          <w:szCs w:val="24"/>
          <w:lang w:val="fr-CA"/>
        </w:rPr>
        <w:t>, sont réputés des réclamations prouvables dans des procédures entamées en vertu de la présente loi.</w:t>
      </w:r>
    </w:p>
    <w:p w:rsidR="004D251C" w:rsidRPr="007450AF" w:rsidRDefault="004D251C" w:rsidP="004D251C">
      <w:pPr>
        <w:pStyle w:val="ParaNoNdepar-AltN"/>
        <w:tabs>
          <w:tab w:val="clear" w:pos="1152"/>
          <w:tab w:val="left" w:pos="1166"/>
        </w:tabs>
        <w:rPr>
          <w:rFonts w:cs="Times New Roman"/>
          <w:bCs/>
          <w:szCs w:val="24"/>
          <w:lang w:val="fr-CA"/>
        </w:rPr>
      </w:pPr>
      <w:r w:rsidRPr="007450AF">
        <w:rPr>
          <w:rStyle w:val="sectionlabel"/>
          <w:rFonts w:cs="Times New Roman"/>
          <w:b w:val="0"/>
          <w:szCs w:val="24"/>
          <w:lang w:val="fr-CA"/>
        </w:rPr>
        <w:t>Les paragraphes</w:t>
      </w:r>
      <w:r w:rsidRPr="007450AF">
        <w:rPr>
          <w:rStyle w:val="sectionlabel"/>
          <w:rFonts w:cs="Times New Roman"/>
          <w:szCs w:val="24"/>
          <w:lang w:val="fr-CA"/>
        </w:rPr>
        <w:t> </w:t>
      </w:r>
      <w:r w:rsidRPr="007450AF">
        <w:rPr>
          <w:rFonts w:cs="Times New Roman"/>
          <w:szCs w:val="24"/>
          <w:lang w:val="fr-CA"/>
        </w:rPr>
        <w:t xml:space="preserve">121(2) et 135(1.1) de la </w:t>
      </w:r>
      <w:r w:rsidRPr="007450AF">
        <w:rPr>
          <w:rFonts w:cs="Times New Roman"/>
          <w:i/>
          <w:szCs w:val="24"/>
          <w:lang w:val="fr-CA"/>
        </w:rPr>
        <w:t>LFI</w:t>
      </w:r>
      <w:r w:rsidRPr="007450AF">
        <w:rPr>
          <w:rFonts w:cs="Times New Roman"/>
          <w:szCs w:val="24"/>
          <w:lang w:val="fr-CA"/>
        </w:rPr>
        <w:t xml:space="preserve"> donnent des indications additionnelles lorsqu’il s’agit de déterminer si une ordonnance constitue une réclamation prouvable : </w:t>
      </w:r>
    </w:p>
    <w:p w:rsidR="004D251C" w:rsidRPr="007450AF" w:rsidRDefault="004D251C" w:rsidP="00945714">
      <w:pPr>
        <w:pStyle w:val="Citation-AltC"/>
        <w:tabs>
          <w:tab w:val="left" w:pos="1620"/>
        </w:tabs>
        <w:spacing w:after="240"/>
        <w:ind w:left="1168" w:hanging="1168"/>
        <w:contextualSpacing w:val="0"/>
        <w:rPr>
          <w:b/>
          <w:szCs w:val="24"/>
          <w:lang w:val="fr-CA"/>
        </w:rPr>
      </w:pPr>
      <w:r w:rsidRPr="007450AF">
        <w:rPr>
          <w:b/>
          <w:szCs w:val="24"/>
          <w:lang w:val="fr-CA"/>
        </w:rPr>
        <w:tab/>
      </w:r>
      <w:r w:rsidRPr="007450AF">
        <w:rPr>
          <w:b/>
          <w:szCs w:val="24"/>
          <w:lang w:val="fr-CA"/>
        </w:rPr>
        <w:tab/>
        <w:t>121. </w:t>
      </w:r>
      <w:r w:rsidR="00945714" w:rsidRPr="007450AF">
        <w:rPr>
          <w:szCs w:val="24"/>
          <w:lang w:val="fr-CA"/>
        </w:rPr>
        <w:t>. . .</w:t>
      </w:r>
    </w:p>
    <w:p w:rsidR="004D251C" w:rsidRPr="007450AF" w:rsidRDefault="004D251C" w:rsidP="00945714">
      <w:pPr>
        <w:pStyle w:val="Citation-AltC"/>
        <w:tabs>
          <w:tab w:val="left" w:pos="1620"/>
          <w:tab w:val="left" w:pos="2160"/>
        </w:tabs>
        <w:spacing w:after="240"/>
        <w:ind w:left="1168" w:hanging="1168"/>
        <w:contextualSpacing w:val="0"/>
        <w:rPr>
          <w:szCs w:val="24"/>
          <w:lang w:val="fr-CA"/>
        </w:rPr>
      </w:pPr>
      <w:r w:rsidRPr="007450AF">
        <w:rPr>
          <w:szCs w:val="24"/>
          <w:lang w:val="fr-CA"/>
        </w:rPr>
        <w:tab/>
      </w:r>
      <w:r w:rsidRPr="007450AF">
        <w:rPr>
          <w:szCs w:val="24"/>
          <w:lang w:val="fr-CA"/>
        </w:rPr>
        <w:tab/>
      </w:r>
      <w:r w:rsidR="00945714" w:rsidRPr="007450AF">
        <w:rPr>
          <w:szCs w:val="24"/>
          <w:lang w:val="fr-CA"/>
        </w:rPr>
        <w:t>(2)</w:t>
      </w:r>
      <w:r w:rsidR="00945714" w:rsidRPr="007450AF">
        <w:rPr>
          <w:szCs w:val="24"/>
          <w:lang w:val="fr-CA"/>
        </w:rPr>
        <w:tab/>
      </w:r>
      <w:r w:rsidRPr="007450AF">
        <w:rPr>
          <w:szCs w:val="24"/>
          <w:lang w:val="fr-CA"/>
        </w:rPr>
        <w:t xml:space="preserve">La question de savoir si une réclamation </w:t>
      </w:r>
      <w:r w:rsidRPr="007450AF">
        <w:rPr>
          <w:szCs w:val="24"/>
          <w:u w:val="single"/>
          <w:lang w:val="fr-CA"/>
        </w:rPr>
        <w:t>éventuelle</w:t>
      </w:r>
      <w:r w:rsidRPr="007450AF">
        <w:rPr>
          <w:szCs w:val="24"/>
          <w:lang w:val="fr-CA"/>
        </w:rPr>
        <w:t xml:space="preserve"> ou </w:t>
      </w:r>
      <w:r w:rsidRPr="007450AF">
        <w:rPr>
          <w:szCs w:val="24"/>
          <w:u w:val="single"/>
          <w:lang w:val="fr-CA"/>
        </w:rPr>
        <w:t>non liquidée</w:t>
      </w:r>
      <w:r w:rsidRPr="007450AF">
        <w:rPr>
          <w:szCs w:val="24"/>
          <w:lang w:val="fr-CA"/>
        </w:rPr>
        <w:t xml:space="preserve"> constitue une réclamation prouvable et, le cas échéant, son évaluation sont décidées en application de l’article 135. </w:t>
      </w:r>
    </w:p>
    <w:p w:rsidR="004D251C" w:rsidRPr="007450AF" w:rsidRDefault="00945714" w:rsidP="00945714">
      <w:pPr>
        <w:pStyle w:val="Citation-AltC"/>
        <w:tabs>
          <w:tab w:val="left" w:pos="1620"/>
          <w:tab w:val="left" w:pos="1980"/>
        </w:tabs>
        <w:spacing w:after="240"/>
        <w:ind w:hanging="1166"/>
        <w:contextualSpacing w:val="0"/>
        <w:rPr>
          <w:b/>
          <w:szCs w:val="24"/>
          <w:lang w:val="fr-CA"/>
        </w:rPr>
      </w:pPr>
      <w:r w:rsidRPr="007450AF">
        <w:rPr>
          <w:b/>
          <w:szCs w:val="24"/>
          <w:lang w:val="fr-CA"/>
        </w:rPr>
        <w:tab/>
      </w:r>
      <w:r w:rsidRPr="007450AF">
        <w:rPr>
          <w:b/>
          <w:szCs w:val="24"/>
          <w:lang w:val="fr-CA"/>
        </w:rPr>
        <w:tab/>
        <w:t>135. </w:t>
      </w:r>
      <w:r w:rsidRPr="007450AF">
        <w:rPr>
          <w:szCs w:val="24"/>
          <w:lang w:val="fr-CA"/>
        </w:rPr>
        <w:t>. . .</w:t>
      </w:r>
    </w:p>
    <w:p w:rsidR="004D251C" w:rsidRPr="007450AF" w:rsidRDefault="004D251C" w:rsidP="00945714">
      <w:pPr>
        <w:pStyle w:val="Citation-AltC"/>
        <w:tabs>
          <w:tab w:val="left" w:pos="1620"/>
          <w:tab w:val="left" w:pos="2160"/>
        </w:tabs>
        <w:ind w:left="1168" w:hanging="1168"/>
        <w:contextualSpacing w:val="0"/>
        <w:rPr>
          <w:szCs w:val="24"/>
          <w:lang w:val="fr-CA"/>
        </w:rPr>
      </w:pPr>
      <w:r w:rsidRPr="007450AF">
        <w:rPr>
          <w:szCs w:val="24"/>
          <w:lang w:val="fr-CA"/>
        </w:rPr>
        <w:tab/>
      </w:r>
      <w:r w:rsidRPr="007450AF">
        <w:rPr>
          <w:szCs w:val="24"/>
          <w:lang w:val="fr-CA"/>
        </w:rPr>
        <w:tab/>
      </w:r>
      <w:r w:rsidR="00945714" w:rsidRPr="007450AF">
        <w:rPr>
          <w:szCs w:val="24"/>
          <w:lang w:val="fr-CA"/>
        </w:rPr>
        <w:t>(1.1)</w:t>
      </w:r>
      <w:r w:rsidR="00945714" w:rsidRPr="007450AF">
        <w:rPr>
          <w:szCs w:val="24"/>
          <w:lang w:val="fr-CA"/>
        </w:rPr>
        <w:tab/>
      </w:r>
      <w:r w:rsidRPr="007450AF">
        <w:rPr>
          <w:szCs w:val="24"/>
          <w:lang w:val="fr-CA"/>
        </w:rPr>
        <w:t xml:space="preserve">Le syndic décide si une réclamation </w:t>
      </w:r>
      <w:r w:rsidRPr="007450AF">
        <w:rPr>
          <w:szCs w:val="24"/>
          <w:u w:val="single"/>
          <w:lang w:val="fr-CA"/>
        </w:rPr>
        <w:t>éventuelle</w:t>
      </w:r>
      <w:r w:rsidRPr="007450AF">
        <w:rPr>
          <w:szCs w:val="24"/>
          <w:lang w:val="fr-CA"/>
        </w:rPr>
        <w:t xml:space="preserve"> ou </w:t>
      </w:r>
      <w:r w:rsidRPr="007450AF">
        <w:rPr>
          <w:szCs w:val="24"/>
          <w:u w:val="single"/>
          <w:lang w:val="fr-CA"/>
        </w:rPr>
        <w:t>non liquidée</w:t>
      </w:r>
      <w:r w:rsidRPr="007450AF">
        <w:rPr>
          <w:szCs w:val="24"/>
          <w:lang w:val="fr-CA"/>
        </w:rPr>
        <w:t xml:space="preserve"> est une réclamation prouvable et, le cas échéant, il l’évalue; sous réserve des autres dispositions du présent article, la réclamation est dès lors réputée prouvée pour le montant de l’évaluation.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Ces dispositions font ressortir trois conditions pertinentes à la présente affaire.  Premièrement, on doit être en présence d’une dette, d’un engagement ou d’une obligation envers un </w:t>
      </w:r>
      <w:r w:rsidRPr="007450AF">
        <w:rPr>
          <w:rFonts w:cs="Times New Roman"/>
          <w:i/>
          <w:szCs w:val="24"/>
          <w:lang w:val="fr-CA"/>
        </w:rPr>
        <w:t>créancier</w:t>
      </w:r>
      <w:r w:rsidRPr="007450AF">
        <w:rPr>
          <w:rFonts w:cs="Times New Roman"/>
          <w:szCs w:val="24"/>
          <w:lang w:val="fr-CA"/>
        </w:rPr>
        <w:t>.  Deuxièmement, la dette, l’engagement ou l’obligation doit avoir pris naissance</w:t>
      </w:r>
      <w:r w:rsidRPr="007450AF">
        <w:rPr>
          <w:rFonts w:cs="Times New Roman"/>
          <w:i/>
          <w:szCs w:val="24"/>
          <w:lang w:val="fr-CA"/>
        </w:rPr>
        <w:t xml:space="preserve"> avant que le débiteur ne devienne failli</w:t>
      </w:r>
      <w:r w:rsidRPr="007450AF">
        <w:rPr>
          <w:rFonts w:cs="Times New Roman"/>
          <w:szCs w:val="24"/>
          <w:lang w:val="fr-CA"/>
        </w:rPr>
        <w:t xml:space="preserve">.  Troisièmement, il doit être possible d’attribuer une </w:t>
      </w:r>
      <w:r w:rsidRPr="007450AF">
        <w:rPr>
          <w:rFonts w:cs="Times New Roman"/>
          <w:i/>
          <w:szCs w:val="24"/>
          <w:lang w:val="fr-CA"/>
        </w:rPr>
        <w:t>valeur pécuniaire</w:t>
      </w:r>
      <w:r w:rsidRPr="007450AF">
        <w:rPr>
          <w:rFonts w:cs="Times New Roman"/>
          <w:szCs w:val="24"/>
          <w:lang w:val="fr-CA"/>
        </w:rPr>
        <w:t xml:space="preserve"> à cette dette, cet engagement ou cette obligation.  Je vais examiner chacune de ces conditions à tour de rôle.</w:t>
      </w:r>
    </w:p>
    <w:p w:rsidR="004D251C" w:rsidRPr="007450AF" w:rsidRDefault="004D251C" w:rsidP="004D251C">
      <w:pPr>
        <w:pStyle w:val="ParaNoNdepar-AltN"/>
        <w:rPr>
          <w:rFonts w:cs="Times New Roman"/>
          <w:szCs w:val="24"/>
          <w:lang w:val="fr-CA"/>
        </w:rPr>
      </w:pPr>
      <w:r w:rsidRPr="007450AF">
        <w:rPr>
          <w:rFonts w:cs="Times New Roman"/>
          <w:szCs w:val="24"/>
          <w:lang w:val="fr-CA"/>
        </w:rPr>
        <w:lastRenderedPageBreak/>
        <w:t xml:space="preserve">La définition de réclamation prouvable établie par la </w:t>
      </w:r>
      <w:r w:rsidRPr="007450AF">
        <w:rPr>
          <w:rFonts w:cs="Times New Roman"/>
          <w:i/>
          <w:szCs w:val="24"/>
          <w:lang w:val="fr-CA"/>
        </w:rPr>
        <w:t>LFI</w:t>
      </w:r>
      <w:r w:rsidRPr="007450AF">
        <w:rPr>
          <w:rFonts w:cs="Times New Roman"/>
          <w:szCs w:val="24"/>
          <w:lang w:val="fr-CA"/>
        </w:rPr>
        <w:t xml:space="preserve"> et incorporée par renvoi à la </w:t>
      </w:r>
      <w:r w:rsidRPr="007450AF">
        <w:rPr>
          <w:rFonts w:cs="Times New Roman"/>
          <w:i/>
          <w:szCs w:val="24"/>
          <w:lang w:val="fr-CA"/>
        </w:rPr>
        <w:t>LACC</w:t>
      </w:r>
      <w:r w:rsidRPr="007450AF">
        <w:rPr>
          <w:rFonts w:cs="Times New Roman"/>
          <w:szCs w:val="24"/>
          <w:lang w:val="fr-CA"/>
        </w:rPr>
        <w:t xml:space="preserve"> exige qu’une personne ait qualité de créancier.  Les lois régissant l’environnement pourvoient généralement à la création d’un organisme chargé de voir au respect des obligations qui y sont prévues.  La plupart des organismes administratifs peuvent agir à titre de créanciers en relation avec les obligations pécuniaires ou non pécuniaires imposées par ces lois.  À cette première étape qui consiste à déterminer si un organisme administratif est un créancier, il n’est pas encore pertinent de décider si l’obligation peut être formulée en termes pécuniaires.  Cette question sera abordée à un stade ultérieur.  À cette étape, la seule question à trancher est de savoir si l’organisme administratif a exercé, à l’encontre d’un débiteur, son pouvoir de faire appliquer la loi.  Lorsqu’il le fait, il s’identifie alors comme créancier et la condition de cette étape est respectée. </w:t>
      </w:r>
    </w:p>
    <w:p w:rsidR="004D251C" w:rsidRPr="007450AF" w:rsidRDefault="004D251C" w:rsidP="004D251C">
      <w:pPr>
        <w:pStyle w:val="ParaNoNdepar-AltN"/>
        <w:rPr>
          <w:rFonts w:cs="Times New Roman"/>
          <w:szCs w:val="24"/>
          <w:lang w:val="fr-CA"/>
        </w:rPr>
      </w:pPr>
      <w:r w:rsidRPr="007450AF">
        <w:rPr>
          <w:rFonts w:cs="Times New Roman"/>
          <w:szCs w:val="24"/>
          <w:lang w:val="fr-CA"/>
        </w:rPr>
        <w:t>L’examen de la seconde condition repose sur le par</w:t>
      </w:r>
      <w:r w:rsidR="00945714" w:rsidRPr="007450AF">
        <w:rPr>
          <w:rFonts w:cs="Times New Roman"/>
          <w:szCs w:val="24"/>
          <w:lang w:val="fr-CA"/>
        </w:rPr>
        <w:t>.</w:t>
      </w:r>
      <w:r w:rsidRPr="007450AF">
        <w:rPr>
          <w:rFonts w:cs="Times New Roman"/>
          <w:szCs w:val="24"/>
          <w:lang w:val="fr-CA"/>
        </w:rPr>
        <w:t xml:space="preserve"> 121(1) de la </w:t>
      </w:r>
      <w:r w:rsidRPr="007450AF">
        <w:rPr>
          <w:rFonts w:cs="Times New Roman"/>
          <w:i/>
          <w:szCs w:val="24"/>
          <w:lang w:val="fr-CA"/>
        </w:rPr>
        <w:t xml:space="preserve">LFI </w:t>
      </w:r>
      <w:r w:rsidRPr="007450AF">
        <w:rPr>
          <w:rFonts w:cs="Times New Roman"/>
          <w:szCs w:val="24"/>
          <w:lang w:val="fr-CA"/>
        </w:rPr>
        <w:t xml:space="preserve">qui impose que la réclamation ait pris naissance dans un délai donné.  </w:t>
      </w:r>
      <w:proofErr w:type="spellStart"/>
      <w:r w:rsidRPr="007450AF">
        <w:rPr>
          <w:rFonts w:cs="Times New Roman"/>
          <w:szCs w:val="24"/>
          <w:lang w:val="fr-CA"/>
        </w:rPr>
        <w:t>Celle</w:t>
      </w:r>
      <w:r w:rsidRPr="007450AF">
        <w:rPr>
          <w:rFonts w:cs="Times New Roman"/>
          <w:szCs w:val="24"/>
          <w:lang w:val="fr-CA"/>
        </w:rPr>
        <w:noBreakHyphen/>
        <w:t>ci</w:t>
      </w:r>
      <w:proofErr w:type="spellEnd"/>
      <w:r w:rsidRPr="007450AF">
        <w:rPr>
          <w:rFonts w:cs="Times New Roman"/>
          <w:szCs w:val="24"/>
          <w:lang w:val="fr-CA"/>
        </w:rPr>
        <w:t xml:space="preserve"> doit se fonder sur une obligation « contractée antérieurement à cette date [la date à laquelle le failli devient failli] ».  Comme il est souvent difficile d’établir la date à laquelle un dommage lié à l’environnement est survenu, le par</w:t>
      </w:r>
      <w:r w:rsidR="00945714" w:rsidRPr="007450AF">
        <w:rPr>
          <w:rFonts w:cs="Times New Roman"/>
          <w:szCs w:val="24"/>
          <w:lang w:val="fr-CA"/>
        </w:rPr>
        <w:t>.</w:t>
      </w:r>
      <w:r w:rsidRPr="007450AF">
        <w:rPr>
          <w:rFonts w:cs="Times New Roman"/>
          <w:szCs w:val="24"/>
          <w:lang w:val="fr-CA"/>
        </w:rPr>
        <w:t xml:space="preserve"> 11.8(9) de la </w:t>
      </w:r>
      <w:r w:rsidRPr="007450AF">
        <w:rPr>
          <w:rFonts w:cs="Times New Roman"/>
          <w:i/>
          <w:szCs w:val="24"/>
          <w:lang w:val="fr-CA"/>
        </w:rPr>
        <w:t>LACC</w:t>
      </w:r>
      <w:r w:rsidRPr="007450AF">
        <w:rPr>
          <w:rFonts w:cs="Times New Roman"/>
          <w:szCs w:val="24"/>
          <w:lang w:val="fr-CA"/>
        </w:rPr>
        <w:t xml:space="preserve"> prévoit une certaine flexibilité pour ce qui est des réclamations en matière d’environnement : </w:t>
      </w:r>
    </w:p>
    <w:p w:rsidR="004D251C" w:rsidRPr="007450AF" w:rsidRDefault="004D251C" w:rsidP="00945714">
      <w:pPr>
        <w:pStyle w:val="Citation-AltC"/>
        <w:tabs>
          <w:tab w:val="left" w:pos="1620"/>
        </w:tabs>
        <w:spacing w:after="240"/>
        <w:ind w:left="1168" w:hanging="1168"/>
        <w:contextualSpacing w:val="0"/>
        <w:rPr>
          <w:szCs w:val="24"/>
          <w:lang w:val="fr-CA"/>
        </w:rPr>
      </w:pPr>
      <w:r w:rsidRPr="007450AF">
        <w:rPr>
          <w:b/>
          <w:szCs w:val="24"/>
          <w:lang w:val="fr-CA"/>
        </w:rPr>
        <w:tab/>
      </w:r>
      <w:r w:rsidRPr="007450AF">
        <w:rPr>
          <w:b/>
          <w:szCs w:val="24"/>
          <w:lang w:val="fr-CA"/>
        </w:rPr>
        <w:tab/>
      </w:r>
      <w:proofErr w:type="gramStart"/>
      <w:r w:rsidRPr="007450AF">
        <w:rPr>
          <w:b/>
          <w:szCs w:val="24"/>
          <w:lang w:val="fr-CA"/>
        </w:rPr>
        <w:t>11.8</w:t>
      </w:r>
      <w:r w:rsidR="00945714" w:rsidRPr="007450AF">
        <w:rPr>
          <w:szCs w:val="24"/>
          <w:lang w:val="fr-CA"/>
        </w:rPr>
        <w:t> </w:t>
      </w:r>
      <w:r w:rsidRPr="007450AF">
        <w:rPr>
          <w:szCs w:val="24"/>
          <w:lang w:val="fr-CA"/>
        </w:rPr>
        <w:t>.</w:t>
      </w:r>
      <w:proofErr w:type="gramEnd"/>
      <w:r w:rsidRPr="007450AF">
        <w:rPr>
          <w:szCs w:val="24"/>
          <w:lang w:val="fr-CA"/>
        </w:rPr>
        <w:t> . .</w:t>
      </w:r>
    </w:p>
    <w:p w:rsidR="004D251C" w:rsidRPr="007450AF" w:rsidRDefault="004D251C" w:rsidP="00945714">
      <w:pPr>
        <w:pStyle w:val="Citation-AltC"/>
        <w:tabs>
          <w:tab w:val="left" w:pos="1620"/>
          <w:tab w:val="left" w:pos="2160"/>
        </w:tabs>
        <w:ind w:hanging="1166"/>
        <w:rPr>
          <w:szCs w:val="24"/>
          <w:lang w:val="fr-CA"/>
        </w:rPr>
      </w:pPr>
      <w:r w:rsidRPr="007450AF">
        <w:rPr>
          <w:szCs w:val="24"/>
          <w:lang w:val="fr-CA"/>
        </w:rPr>
        <w:tab/>
      </w:r>
      <w:r w:rsidRPr="007450AF">
        <w:rPr>
          <w:szCs w:val="24"/>
          <w:lang w:val="fr-CA"/>
        </w:rPr>
        <w:tab/>
      </w:r>
      <w:r w:rsidR="00945714" w:rsidRPr="007450AF">
        <w:rPr>
          <w:szCs w:val="24"/>
          <w:lang w:val="fr-CA"/>
        </w:rPr>
        <w:t>(9)</w:t>
      </w:r>
      <w:r w:rsidR="00945714" w:rsidRPr="007450AF">
        <w:rPr>
          <w:szCs w:val="24"/>
          <w:lang w:val="fr-CA"/>
        </w:rPr>
        <w:tab/>
      </w:r>
      <w:r w:rsidRPr="007450AF">
        <w:rPr>
          <w:szCs w:val="24"/>
          <w:lang w:val="fr-CA"/>
        </w:rPr>
        <w:t xml:space="preserve">La réclamation pour les frais de réparation du fait ou dommage lié à l’environnement et touchant un bien immeuble de la compagnie débitrice constitue une réclamation, </w:t>
      </w:r>
      <w:r w:rsidRPr="007450AF">
        <w:rPr>
          <w:szCs w:val="24"/>
          <w:u w:val="single"/>
          <w:lang w:val="fr-CA"/>
        </w:rPr>
        <w:t xml:space="preserve">que la date du fait ou dommage soit </w:t>
      </w:r>
      <w:r w:rsidRPr="007450AF">
        <w:rPr>
          <w:szCs w:val="24"/>
          <w:u w:val="single"/>
          <w:lang w:val="fr-CA"/>
        </w:rPr>
        <w:lastRenderedPageBreak/>
        <w:t>antérieure ou postérieure à celle où des procédures sont intentées au titre de la présente loi</w:t>
      </w:r>
      <w:r w:rsidRPr="007450AF">
        <w:rPr>
          <w:szCs w:val="24"/>
          <w:lang w:val="fr-CA"/>
        </w:rPr>
        <w:t>.</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La réclamation du créancier sera exemptée de l’exigence découlant de la procédure unique si l’obligation correspondante du débiteur n’a pas pris naissance dans le délai fixé pour que la réclamation soit incluse dans le processus d’insolvabilité.  À titre d’exemple, cela pourrait s’appliquer aux obligations que la loi impose à un débiteur concernant ses activités polluantes qui se poursuivent après la réorganisation, parce qu’en pareilles circonstances, des dommages sont encore causés après que la réorganisation ait été complétée.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En ce qui concerne la troisième condition, soit qu’il doit être possible d’attribuer à l’obligation une valeur pécuniaire, la question est de savoir si des ordonnances qui ne sont pas formulées en termes pécuniaires peuvent être formulées en de tels termes.  Je souligne que lorsqu’un organisme administratif réclame une somme qui est due à la date pertinente, il formule ainsi son ordonnance en termes pécuniaires.  Le tribunal n’a alors aucune détermination à faire à cette étape car ce qui est réclamé est une « dette » et est, par conséquent, clairement visé par la définition d’une « réclamation » prévue au par. 12(1) de la </w:t>
      </w:r>
      <w:r w:rsidRPr="007450AF">
        <w:rPr>
          <w:rFonts w:cs="Times New Roman"/>
          <w:i/>
          <w:szCs w:val="24"/>
          <w:lang w:val="fr-CA"/>
        </w:rPr>
        <w:t>LACC</w:t>
      </w:r>
      <w:r w:rsidRPr="007450AF">
        <w:rPr>
          <w:rFonts w:cs="Times New Roman"/>
          <w:szCs w:val="24"/>
          <w:lang w:val="fr-CA"/>
        </w:rPr>
        <w:t>.</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Toutefois, parce qu’elles sont utilisées pour traiter divers enjeux environnementaux, les ordonnances peuvent se présenter sous plusieurs formes et peuvent viser notamment la cessation ou le contrôle d’une activité, la prévention et la décontamination (D. Saxe, « Trustees’ and </w:t>
      </w:r>
      <w:proofErr w:type="spellStart"/>
      <w:r w:rsidRPr="007450AF">
        <w:rPr>
          <w:rFonts w:cs="Times New Roman"/>
          <w:szCs w:val="24"/>
          <w:lang w:val="fr-CA"/>
        </w:rPr>
        <w:t>Receivers</w:t>
      </w:r>
      <w:proofErr w:type="spellEnd"/>
      <w:r w:rsidRPr="007450AF">
        <w:rPr>
          <w:rFonts w:cs="Times New Roman"/>
          <w:szCs w:val="24"/>
          <w:lang w:val="fr-CA"/>
        </w:rPr>
        <w:t xml:space="preserve">’ </w:t>
      </w:r>
      <w:proofErr w:type="spellStart"/>
      <w:r w:rsidRPr="007450AF">
        <w:rPr>
          <w:rFonts w:cs="Times New Roman"/>
          <w:szCs w:val="24"/>
          <w:lang w:val="fr-CA"/>
        </w:rPr>
        <w:t>Environnmental</w:t>
      </w:r>
      <w:proofErr w:type="spellEnd"/>
      <w:r w:rsidRPr="007450AF">
        <w:rPr>
          <w:rFonts w:cs="Times New Roman"/>
          <w:szCs w:val="24"/>
          <w:lang w:val="fr-CA"/>
        </w:rPr>
        <w:t xml:space="preserve"> </w:t>
      </w:r>
      <w:proofErr w:type="spellStart"/>
      <w:r w:rsidRPr="007450AF">
        <w:rPr>
          <w:rFonts w:cs="Times New Roman"/>
          <w:szCs w:val="24"/>
          <w:lang w:val="fr-CA"/>
        </w:rPr>
        <w:t>Liability</w:t>
      </w:r>
      <w:proofErr w:type="spellEnd"/>
      <w:r w:rsidRPr="007450AF">
        <w:rPr>
          <w:rFonts w:cs="Times New Roman"/>
          <w:szCs w:val="24"/>
          <w:lang w:val="fr-CA"/>
        </w:rPr>
        <w:t xml:space="preserve"> </w:t>
      </w:r>
      <w:r w:rsidR="00C41596" w:rsidRPr="007450AF">
        <w:rPr>
          <w:rFonts w:cs="Times New Roman"/>
          <w:szCs w:val="24"/>
          <w:lang w:val="fr-CA"/>
        </w:rPr>
        <w:lastRenderedPageBreak/>
        <w:t>Update » (1998</w:t>
      </w:r>
      <w:r w:rsidRPr="007450AF">
        <w:rPr>
          <w:rFonts w:cs="Times New Roman"/>
          <w:szCs w:val="24"/>
          <w:lang w:val="fr-CA"/>
        </w:rPr>
        <w:t xml:space="preserve">), 49 C.B.R. (3d) 138, p. 141).  Lorsqu’ils analysent une ordonnance qui n’est pas formulée en des termes pécuniaires, les tribunaux doivent en examiner la substance et appliquer les règles régissant l’évaluation des réclamations.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Le législateur fédéral reconnaît que les organismes administratifs doivent à l’occasion exécuter des travaux de décontamination (voir Chambre des communes, </w:t>
      </w:r>
      <w:r w:rsidR="00C41596" w:rsidRPr="007450AF">
        <w:rPr>
          <w:rFonts w:cs="Times New Roman"/>
          <w:i/>
          <w:szCs w:val="24"/>
          <w:lang w:val="fr-CA"/>
        </w:rPr>
        <w:t>Témoignages du</w:t>
      </w:r>
      <w:r w:rsidR="00C41596" w:rsidRPr="007450AF">
        <w:rPr>
          <w:rFonts w:cs="Times New Roman"/>
          <w:szCs w:val="24"/>
          <w:lang w:val="fr-CA"/>
        </w:rPr>
        <w:t xml:space="preserve"> </w:t>
      </w:r>
      <w:r w:rsidR="001F17B2" w:rsidRPr="007450AF">
        <w:rPr>
          <w:rFonts w:cs="Times New Roman"/>
          <w:i/>
          <w:szCs w:val="24"/>
          <w:lang w:val="fr-CA"/>
        </w:rPr>
        <w:t>Comité permanent de l’i</w:t>
      </w:r>
      <w:r w:rsidRPr="007450AF">
        <w:rPr>
          <w:rFonts w:cs="Times New Roman"/>
          <w:i/>
          <w:szCs w:val="24"/>
          <w:lang w:val="fr-CA"/>
        </w:rPr>
        <w:t>ndustrie</w:t>
      </w:r>
      <w:r w:rsidRPr="007450AF">
        <w:rPr>
          <w:rFonts w:cs="Times New Roman"/>
          <w:szCs w:val="24"/>
          <w:lang w:val="fr-CA"/>
        </w:rPr>
        <w:t xml:space="preserve">, </w:t>
      </w:r>
      <w:r w:rsidR="00C41596" w:rsidRPr="007450AF">
        <w:rPr>
          <w:rFonts w:cs="Times New Roman"/>
          <w:szCs w:val="24"/>
          <w:lang w:val="fr-CA"/>
        </w:rPr>
        <w:t>n</w:t>
      </w:r>
      <w:r w:rsidR="00C41596" w:rsidRPr="007450AF">
        <w:rPr>
          <w:rFonts w:cs="Times New Roman"/>
          <w:szCs w:val="24"/>
          <w:vertAlign w:val="superscript"/>
          <w:lang w:val="fr-CA"/>
        </w:rPr>
        <w:t>o</w:t>
      </w:r>
      <w:r w:rsidRPr="007450AF">
        <w:rPr>
          <w:rFonts w:cs="Times New Roman"/>
          <w:szCs w:val="24"/>
          <w:lang w:val="fr-CA"/>
        </w:rPr>
        <w:t xml:space="preserve"> 16, 2</w:t>
      </w:r>
      <w:r w:rsidRPr="007450AF">
        <w:rPr>
          <w:rFonts w:cs="Times New Roman"/>
          <w:szCs w:val="24"/>
          <w:vertAlign w:val="superscript"/>
          <w:lang w:val="fr-CA"/>
        </w:rPr>
        <w:t>e</w:t>
      </w:r>
      <w:r w:rsidRPr="007450AF">
        <w:rPr>
          <w:rFonts w:cs="Times New Roman"/>
          <w:szCs w:val="24"/>
          <w:lang w:val="fr-CA"/>
        </w:rPr>
        <w:t> </w:t>
      </w:r>
      <w:proofErr w:type="spellStart"/>
      <w:proofErr w:type="gramStart"/>
      <w:r w:rsidRPr="007450AF">
        <w:rPr>
          <w:rFonts w:cs="Times New Roman"/>
          <w:szCs w:val="24"/>
          <w:lang w:val="fr-CA"/>
        </w:rPr>
        <w:t>sess</w:t>
      </w:r>
      <w:proofErr w:type="spellEnd"/>
      <w:r w:rsidRPr="007450AF">
        <w:rPr>
          <w:rFonts w:cs="Times New Roman"/>
          <w:szCs w:val="24"/>
          <w:lang w:val="fr-CA"/>
        </w:rPr>
        <w:t>.,</w:t>
      </w:r>
      <w:proofErr w:type="gramEnd"/>
      <w:r w:rsidRPr="007450AF">
        <w:rPr>
          <w:rFonts w:cs="Times New Roman"/>
          <w:szCs w:val="24"/>
          <w:lang w:val="fr-CA"/>
        </w:rPr>
        <w:t xml:space="preserve"> 35</w:t>
      </w:r>
      <w:r w:rsidRPr="007450AF">
        <w:rPr>
          <w:rFonts w:cs="Times New Roman"/>
          <w:szCs w:val="24"/>
          <w:vertAlign w:val="superscript"/>
          <w:lang w:val="fr-CA"/>
        </w:rPr>
        <w:t>e</w:t>
      </w:r>
      <w:r w:rsidRPr="007450AF">
        <w:rPr>
          <w:rFonts w:cs="Times New Roman"/>
          <w:szCs w:val="24"/>
          <w:lang w:val="fr-CA"/>
        </w:rPr>
        <w:t xml:space="preserve"> </w:t>
      </w:r>
      <w:proofErr w:type="spellStart"/>
      <w:r w:rsidRPr="007450AF">
        <w:rPr>
          <w:rFonts w:cs="Times New Roman"/>
          <w:szCs w:val="24"/>
          <w:lang w:val="fr-CA"/>
        </w:rPr>
        <w:t>lég</w:t>
      </w:r>
      <w:proofErr w:type="spellEnd"/>
      <w:r w:rsidR="00C41596" w:rsidRPr="007450AF">
        <w:rPr>
          <w:rFonts w:cs="Times New Roman"/>
          <w:szCs w:val="24"/>
          <w:lang w:val="fr-CA"/>
        </w:rPr>
        <w:t>.</w:t>
      </w:r>
      <w:r w:rsidRPr="007450AF">
        <w:rPr>
          <w:rFonts w:cs="Times New Roman"/>
          <w:szCs w:val="24"/>
          <w:lang w:val="fr-CA"/>
        </w:rPr>
        <w:t xml:space="preserve">, 11 juin 1996).  En pareil cas, la réclamation relative aux frais de décontamination est assujettie à la procédure de réclamations en matière d’insolvabilité mais elle est garantie par une charge réelle grevant l’immeuble contaminé et certains immeubles connexes et bénéficie d’un rang prioritaire (par. 11.8(8) </w:t>
      </w:r>
      <w:r w:rsidRPr="007450AF">
        <w:rPr>
          <w:rFonts w:cs="Times New Roman"/>
          <w:i/>
          <w:szCs w:val="24"/>
          <w:lang w:val="fr-CA"/>
        </w:rPr>
        <w:t>LACC</w:t>
      </w:r>
      <w:r w:rsidRPr="007450AF">
        <w:rPr>
          <w:rFonts w:cs="Times New Roman"/>
          <w:szCs w:val="24"/>
          <w:lang w:val="fr-CA"/>
        </w:rPr>
        <w:t>).</w:t>
      </w:r>
      <w:r w:rsidRPr="007450AF">
        <w:rPr>
          <w:rFonts w:cs="Times New Roman"/>
          <w:i/>
          <w:szCs w:val="24"/>
          <w:lang w:val="fr-CA"/>
        </w:rPr>
        <w:t xml:space="preserve">  </w:t>
      </w:r>
      <w:r w:rsidRPr="007450AF">
        <w:rPr>
          <w:rFonts w:cs="Times New Roman"/>
          <w:szCs w:val="24"/>
          <w:lang w:val="fr-CA"/>
        </w:rPr>
        <w:t>Ainsi,</w:t>
      </w:r>
      <w:r w:rsidRPr="007450AF">
        <w:rPr>
          <w:rFonts w:cs="Times New Roman"/>
          <w:i/>
          <w:szCs w:val="24"/>
          <w:lang w:val="fr-CA"/>
        </w:rPr>
        <w:t xml:space="preserve"> </w:t>
      </w:r>
      <w:r w:rsidRPr="007450AF">
        <w:rPr>
          <w:rFonts w:cs="Times New Roman"/>
          <w:szCs w:val="24"/>
          <w:lang w:val="fr-CA"/>
        </w:rPr>
        <w:t>le législateur a établi un équilibre entre l’intérêt du public à l’égard de l’application de la réglementation environnementale et les intérêts des tiers créanciers qui doivent être traités de façon équitable.</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Si le législateur </w:t>
      </w:r>
      <w:r w:rsidR="009D271B" w:rsidRPr="007450AF">
        <w:rPr>
          <w:rFonts w:cs="Times New Roman"/>
          <w:szCs w:val="24"/>
          <w:lang w:val="fr-CA"/>
        </w:rPr>
        <w:t xml:space="preserve">fédéral </w:t>
      </w:r>
      <w:r w:rsidRPr="007450AF">
        <w:rPr>
          <w:rFonts w:cs="Times New Roman"/>
          <w:szCs w:val="24"/>
          <w:lang w:val="fr-CA"/>
        </w:rPr>
        <w:t xml:space="preserve">avait eu l’intention d’obliger le débiteur à supporter dans tous les cas tous les coûts des travaux de décontamination, il aurait accordé à l’État une priorité applicable à la totalité des actifs du débiteur.  Compte tenu de l’historique des dispositions législatives et des objectifs du processus de réorganisation, le fait que la priorité de l’État aux termes du par. 11.8(8) de la </w:t>
      </w:r>
      <w:r w:rsidRPr="007450AF">
        <w:rPr>
          <w:rFonts w:cs="Times New Roman"/>
          <w:i/>
          <w:szCs w:val="24"/>
          <w:lang w:val="fr-CA"/>
        </w:rPr>
        <w:t>LACC</w:t>
      </w:r>
      <w:r w:rsidRPr="007450AF">
        <w:rPr>
          <w:rFonts w:cs="Times New Roman"/>
          <w:szCs w:val="24"/>
          <w:lang w:val="fr-CA"/>
        </w:rPr>
        <w:t xml:space="preserve"> soit limitée au bien contaminé et à certains biens liés m’amène à conclure qu’une exemption à l’égard des ordonnances environnementales serait incompatible avec la législation en matière d’insolvabilité.  Aussi respectueux </w:t>
      </w:r>
      <w:proofErr w:type="spellStart"/>
      <w:r w:rsidRPr="007450AF">
        <w:rPr>
          <w:rFonts w:cs="Times New Roman"/>
          <w:szCs w:val="24"/>
          <w:lang w:val="fr-CA"/>
        </w:rPr>
        <w:t>soient</w:t>
      </w:r>
      <w:r w:rsidRPr="007450AF">
        <w:rPr>
          <w:rFonts w:cs="Times New Roman"/>
          <w:szCs w:val="24"/>
          <w:lang w:val="fr-CA"/>
        </w:rPr>
        <w:noBreakHyphen/>
        <w:t>ils</w:t>
      </w:r>
      <w:proofErr w:type="spellEnd"/>
      <w:r w:rsidRPr="007450AF">
        <w:rPr>
          <w:rFonts w:cs="Times New Roman"/>
          <w:szCs w:val="24"/>
          <w:lang w:val="fr-CA"/>
        </w:rPr>
        <w:t xml:space="preserve"> des mesures prises </w:t>
      </w:r>
      <w:r w:rsidRPr="007450AF">
        <w:rPr>
          <w:rFonts w:cs="Times New Roman"/>
          <w:szCs w:val="24"/>
          <w:lang w:val="fr-CA"/>
        </w:rPr>
        <w:lastRenderedPageBreak/>
        <w:t xml:space="preserve">par les organismes administratifs, les tribunaux sont tenus d’appliquer les règles générales.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Contrairement à l’approche qui prévaut dans le contexte des procédures régies par la </w:t>
      </w:r>
      <w:proofErr w:type="spellStart"/>
      <w:r w:rsidRPr="007450AF">
        <w:rPr>
          <w:rFonts w:cs="Times New Roman"/>
          <w:szCs w:val="24"/>
          <w:lang w:val="fr-CA"/>
        </w:rPr>
        <w:t>common</w:t>
      </w:r>
      <w:proofErr w:type="spellEnd"/>
      <w:r w:rsidRPr="007450AF">
        <w:rPr>
          <w:rFonts w:cs="Times New Roman"/>
          <w:szCs w:val="24"/>
          <w:lang w:val="fr-CA"/>
        </w:rPr>
        <w:t xml:space="preserve"> </w:t>
      </w:r>
      <w:proofErr w:type="spellStart"/>
      <w:r w:rsidRPr="007450AF">
        <w:rPr>
          <w:rFonts w:cs="Times New Roman"/>
          <w:szCs w:val="24"/>
          <w:lang w:val="fr-CA"/>
        </w:rPr>
        <w:t>law</w:t>
      </w:r>
      <w:proofErr w:type="spellEnd"/>
      <w:r w:rsidRPr="007450AF">
        <w:rPr>
          <w:rFonts w:cs="Times New Roman"/>
          <w:szCs w:val="24"/>
          <w:lang w:val="fr-CA"/>
        </w:rPr>
        <w:t xml:space="preserve"> ou le droit civil, il est possible de faire valoir une réclamation dans le cadre de procédures d’insolvabilité même si elle dépend d’un événement non encore survenu (en </w:t>
      </w:r>
      <w:proofErr w:type="spellStart"/>
      <w:r w:rsidRPr="007450AF">
        <w:rPr>
          <w:rFonts w:cs="Times New Roman"/>
          <w:szCs w:val="24"/>
          <w:lang w:val="fr-CA"/>
        </w:rPr>
        <w:t>common</w:t>
      </w:r>
      <w:proofErr w:type="spellEnd"/>
      <w:r w:rsidRPr="007450AF">
        <w:rPr>
          <w:rFonts w:cs="Times New Roman"/>
          <w:szCs w:val="24"/>
          <w:lang w:val="fr-CA"/>
        </w:rPr>
        <w:t xml:space="preserve"> </w:t>
      </w:r>
      <w:proofErr w:type="spellStart"/>
      <w:r w:rsidRPr="007450AF">
        <w:rPr>
          <w:rFonts w:cs="Times New Roman"/>
          <w:szCs w:val="24"/>
          <w:lang w:val="fr-CA"/>
        </w:rPr>
        <w:t>law</w:t>
      </w:r>
      <w:proofErr w:type="spellEnd"/>
      <w:r w:rsidRPr="007450AF">
        <w:rPr>
          <w:rFonts w:cs="Times New Roman"/>
          <w:szCs w:val="24"/>
          <w:lang w:val="fr-CA"/>
        </w:rPr>
        <w:t xml:space="preserve">, voir </w:t>
      </w:r>
      <w:r w:rsidRPr="007450AF">
        <w:rPr>
          <w:rFonts w:cs="Times New Roman"/>
          <w:i/>
          <w:szCs w:val="24"/>
          <w:lang w:val="fr-CA"/>
        </w:rPr>
        <w:t>Canada</w:t>
      </w:r>
      <w:r w:rsidRPr="007450AF">
        <w:rPr>
          <w:rFonts w:cs="Times New Roman"/>
          <w:szCs w:val="24"/>
          <w:lang w:val="fr-CA"/>
        </w:rPr>
        <w:t xml:space="preserve"> </w:t>
      </w:r>
      <w:r w:rsidRPr="007450AF">
        <w:rPr>
          <w:rFonts w:cs="Times New Roman"/>
          <w:i/>
          <w:szCs w:val="24"/>
          <w:lang w:val="fr-CA"/>
        </w:rPr>
        <w:t xml:space="preserve">c. </w:t>
      </w:r>
      <w:proofErr w:type="spellStart"/>
      <w:r w:rsidRPr="007450AF">
        <w:rPr>
          <w:rFonts w:cs="Times New Roman"/>
          <w:i/>
          <w:szCs w:val="24"/>
          <w:lang w:val="fr-CA"/>
        </w:rPr>
        <w:t>McLarty</w:t>
      </w:r>
      <w:proofErr w:type="spellEnd"/>
      <w:r w:rsidRPr="007450AF">
        <w:rPr>
          <w:rFonts w:cs="Times New Roman"/>
          <w:szCs w:val="24"/>
          <w:lang w:val="fr-CA"/>
        </w:rPr>
        <w:t>, 2008 CSC 26, [2008] 2 R.C.S. 79, par. 17</w:t>
      </w:r>
      <w:r w:rsidRPr="007450AF">
        <w:rPr>
          <w:rFonts w:cs="Times New Roman"/>
          <w:szCs w:val="24"/>
          <w:lang w:val="fr-CA"/>
        </w:rPr>
        <w:noBreakHyphen/>
        <w:t xml:space="preserve">18; en droit civil, voir les art. 1497, 1508 et 1513 du </w:t>
      </w:r>
      <w:r w:rsidRPr="007450AF">
        <w:rPr>
          <w:rFonts w:cs="Times New Roman"/>
          <w:i/>
          <w:szCs w:val="24"/>
          <w:lang w:val="fr-CA"/>
        </w:rPr>
        <w:t>Code civil du Québec</w:t>
      </w:r>
      <w:r w:rsidRPr="007450AF">
        <w:rPr>
          <w:rFonts w:cs="Times New Roman"/>
          <w:szCs w:val="24"/>
          <w:lang w:val="fr-CA"/>
        </w:rPr>
        <w:t xml:space="preserve">, L.Q. 1991, ch. 64).  Ainsi, la définition générale de « réclamation » de la </w:t>
      </w:r>
      <w:r w:rsidRPr="007450AF">
        <w:rPr>
          <w:rFonts w:cs="Times New Roman"/>
          <w:i/>
          <w:szCs w:val="24"/>
          <w:lang w:val="fr-CA"/>
        </w:rPr>
        <w:t>LFI</w:t>
      </w:r>
      <w:r w:rsidRPr="007450AF">
        <w:rPr>
          <w:rFonts w:cs="Times New Roman"/>
          <w:szCs w:val="24"/>
          <w:lang w:val="fr-CA"/>
        </w:rPr>
        <w:t xml:space="preserve"> englobe des réclamations </w:t>
      </w:r>
      <w:r w:rsidRPr="007450AF">
        <w:rPr>
          <w:rFonts w:cs="Times New Roman"/>
          <w:i/>
          <w:szCs w:val="24"/>
          <w:lang w:val="fr-CA"/>
        </w:rPr>
        <w:t>éventuelles</w:t>
      </w:r>
      <w:r w:rsidRPr="007450AF">
        <w:rPr>
          <w:rFonts w:cs="Times New Roman"/>
          <w:szCs w:val="24"/>
          <w:lang w:val="fr-CA"/>
        </w:rPr>
        <w:t xml:space="preserve"> et </w:t>
      </w:r>
      <w:r w:rsidRPr="007450AF">
        <w:rPr>
          <w:rFonts w:cs="Times New Roman"/>
          <w:i/>
          <w:szCs w:val="24"/>
          <w:lang w:val="fr-CA"/>
        </w:rPr>
        <w:t>futures</w:t>
      </w:r>
      <w:r w:rsidRPr="007450AF">
        <w:rPr>
          <w:rFonts w:cs="Times New Roman"/>
          <w:szCs w:val="24"/>
          <w:lang w:val="fr-CA"/>
        </w:rPr>
        <w:t xml:space="preserve"> qui seraient </w:t>
      </w:r>
      <w:proofErr w:type="spellStart"/>
      <w:r w:rsidRPr="007450AF">
        <w:rPr>
          <w:rFonts w:cs="Times New Roman"/>
          <w:szCs w:val="24"/>
          <w:lang w:val="fr-CA"/>
        </w:rPr>
        <w:t>inexécutoires</w:t>
      </w:r>
      <w:proofErr w:type="spellEnd"/>
      <w:r w:rsidRPr="007450AF">
        <w:rPr>
          <w:rFonts w:cs="Times New Roman"/>
          <w:szCs w:val="24"/>
          <w:lang w:val="fr-CA"/>
        </w:rPr>
        <w:t xml:space="preserve"> en </w:t>
      </w:r>
      <w:proofErr w:type="spellStart"/>
      <w:r w:rsidRPr="007450AF">
        <w:rPr>
          <w:rFonts w:cs="Times New Roman"/>
          <w:szCs w:val="24"/>
          <w:lang w:val="fr-CA"/>
        </w:rPr>
        <w:t>common</w:t>
      </w:r>
      <w:proofErr w:type="spellEnd"/>
      <w:r w:rsidRPr="007450AF">
        <w:rPr>
          <w:rFonts w:cs="Times New Roman"/>
          <w:szCs w:val="24"/>
          <w:lang w:val="fr-CA"/>
        </w:rPr>
        <w:t xml:space="preserve"> </w:t>
      </w:r>
      <w:proofErr w:type="spellStart"/>
      <w:r w:rsidRPr="007450AF">
        <w:rPr>
          <w:rFonts w:cs="Times New Roman"/>
          <w:szCs w:val="24"/>
          <w:lang w:val="fr-CA"/>
        </w:rPr>
        <w:t>law</w:t>
      </w:r>
      <w:proofErr w:type="spellEnd"/>
      <w:r w:rsidRPr="007450AF">
        <w:rPr>
          <w:rFonts w:cs="Times New Roman"/>
          <w:szCs w:val="24"/>
          <w:lang w:val="fr-CA"/>
        </w:rPr>
        <w:t xml:space="preserve"> ou en droit civil.  En ce qui concerne les réclamations non liquidées, le tribunal chargé de l’application de la </w:t>
      </w:r>
      <w:r w:rsidRPr="007450AF">
        <w:rPr>
          <w:rFonts w:cs="Times New Roman"/>
          <w:i/>
          <w:szCs w:val="24"/>
          <w:lang w:val="fr-CA"/>
        </w:rPr>
        <w:t>LACC</w:t>
      </w:r>
      <w:r w:rsidRPr="007450AF">
        <w:rPr>
          <w:rFonts w:cs="Times New Roman"/>
          <w:szCs w:val="24"/>
          <w:lang w:val="fr-CA"/>
        </w:rPr>
        <w:t xml:space="preserve"> a le même pouvoir d’évaluer leur montant qu’un tribunal saisi d’une affaire sous le régime de la </w:t>
      </w:r>
      <w:proofErr w:type="spellStart"/>
      <w:r w:rsidRPr="007450AF">
        <w:rPr>
          <w:rFonts w:cs="Times New Roman"/>
          <w:szCs w:val="24"/>
          <w:lang w:val="fr-CA"/>
        </w:rPr>
        <w:t>common</w:t>
      </w:r>
      <w:proofErr w:type="spellEnd"/>
      <w:r w:rsidRPr="007450AF">
        <w:rPr>
          <w:rFonts w:cs="Times New Roman"/>
          <w:szCs w:val="24"/>
          <w:lang w:val="fr-CA"/>
        </w:rPr>
        <w:t xml:space="preserve"> </w:t>
      </w:r>
      <w:proofErr w:type="spellStart"/>
      <w:r w:rsidRPr="007450AF">
        <w:rPr>
          <w:rFonts w:cs="Times New Roman"/>
          <w:szCs w:val="24"/>
          <w:lang w:val="fr-CA"/>
        </w:rPr>
        <w:t>law</w:t>
      </w:r>
      <w:proofErr w:type="spellEnd"/>
      <w:r w:rsidRPr="007450AF">
        <w:rPr>
          <w:rFonts w:cs="Times New Roman"/>
          <w:szCs w:val="24"/>
          <w:lang w:val="fr-CA"/>
        </w:rPr>
        <w:t xml:space="preserve"> ou du droit civil.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C’est pour assurer l’équité entre les créanciers ainsi que, pour le débiteur, le caractère définitif de la procédure d’insolvabilité que la </w:t>
      </w:r>
      <w:r w:rsidRPr="007450AF">
        <w:rPr>
          <w:rFonts w:cs="Times New Roman"/>
          <w:i/>
          <w:szCs w:val="24"/>
          <w:lang w:val="fr-CA"/>
        </w:rPr>
        <w:t xml:space="preserve">LFI </w:t>
      </w:r>
      <w:r w:rsidRPr="007450AF">
        <w:rPr>
          <w:rFonts w:cs="Times New Roman"/>
          <w:szCs w:val="24"/>
          <w:lang w:val="fr-CA"/>
        </w:rPr>
        <w:t>et la</w:t>
      </w:r>
      <w:r w:rsidRPr="007450AF">
        <w:rPr>
          <w:rFonts w:cs="Times New Roman"/>
          <w:i/>
          <w:szCs w:val="24"/>
          <w:lang w:val="fr-CA"/>
        </w:rPr>
        <w:t xml:space="preserve"> LACC</w:t>
      </w:r>
      <w:r w:rsidRPr="007450AF">
        <w:rPr>
          <w:rFonts w:cs="Times New Roman"/>
          <w:szCs w:val="24"/>
          <w:lang w:val="fr-CA"/>
        </w:rPr>
        <w:t xml:space="preserve"> englobent un large éventail de réclamations.  Dans le cadre de la liquidation d’une société, il est plus équitable de permettre au plus grand nombre possible de créanciers de participer au processus et de se partager le produit de la liquidation.  Cela permet d’inclure les créanciers dont les réclamations ne sont pas venues à échéance lorsque le débiteur corporatif devient failli, et ainsi éviter que, ayant cessé ses activités, le débiteur ne puisse pas satisfaire à un jugement rendu en leur faveur.  L’approche est quelque peu </w:t>
      </w:r>
      <w:r w:rsidRPr="007450AF">
        <w:rPr>
          <w:rFonts w:cs="Times New Roman"/>
          <w:szCs w:val="24"/>
          <w:lang w:val="fr-CA"/>
        </w:rPr>
        <w:lastRenderedPageBreak/>
        <w:t xml:space="preserve">différente dans le contexte d’une proposition concordataire présentée par une société ou d’une réorganisation.  Dans ces cas, l’objectif que </w:t>
      </w:r>
      <w:proofErr w:type="spellStart"/>
      <w:r w:rsidRPr="007450AF">
        <w:rPr>
          <w:rFonts w:cs="Times New Roman"/>
          <w:szCs w:val="24"/>
          <w:lang w:val="fr-CA"/>
        </w:rPr>
        <w:t>sous</w:t>
      </w:r>
      <w:r w:rsidRPr="007450AF">
        <w:rPr>
          <w:rFonts w:cs="Times New Roman"/>
          <w:szCs w:val="24"/>
          <w:lang w:val="fr-CA"/>
        </w:rPr>
        <w:noBreakHyphen/>
        <w:t>tend</w:t>
      </w:r>
      <w:proofErr w:type="spellEnd"/>
      <w:r w:rsidRPr="007450AF">
        <w:rPr>
          <w:rFonts w:cs="Times New Roman"/>
          <w:szCs w:val="24"/>
          <w:lang w:val="fr-CA"/>
        </w:rPr>
        <w:t xml:space="preserve"> une interprétation large est non seulement de garantir l’équité entre créanciers, mais aussi de permettre au débiteur de prendre un nouveau départ dans les meilleures conditions possibles à la suite de l’approbation d’une proposition ou d’un arrangement.</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Le critère retenu par les tribunaux pour décider si une réclamation éventuelle sera incluse dans le processus d’insolvabilité est celui qui consiste à déterminer si l’événement non encore survenu est trop éloigné ou conjectural  </w:t>
      </w:r>
      <w:r w:rsidR="008F4307" w:rsidRPr="007450AF">
        <w:rPr>
          <w:rFonts w:cs="Times New Roman"/>
          <w:szCs w:val="24"/>
          <w:lang w:val="fr-CA"/>
        </w:rPr>
        <w:t>(</w:t>
      </w:r>
      <w:proofErr w:type="spellStart"/>
      <w:r w:rsidRPr="007450AF">
        <w:rPr>
          <w:rFonts w:cs="Times New Roman"/>
          <w:i/>
          <w:szCs w:val="24"/>
          <w:lang w:val="fr-CA"/>
        </w:rPr>
        <w:t>Confederation</w:t>
      </w:r>
      <w:proofErr w:type="spellEnd"/>
      <w:r w:rsidRPr="007450AF">
        <w:rPr>
          <w:rFonts w:cs="Times New Roman"/>
          <w:i/>
          <w:szCs w:val="24"/>
          <w:lang w:val="fr-CA"/>
        </w:rPr>
        <w:t xml:space="preserve"> </w:t>
      </w:r>
      <w:proofErr w:type="spellStart"/>
      <w:r w:rsidRPr="007450AF">
        <w:rPr>
          <w:rFonts w:cs="Times New Roman"/>
          <w:i/>
          <w:szCs w:val="24"/>
          <w:lang w:val="fr-CA"/>
        </w:rPr>
        <w:t>Treasury</w:t>
      </w:r>
      <w:proofErr w:type="spellEnd"/>
      <w:r w:rsidRPr="007450AF">
        <w:rPr>
          <w:rFonts w:cs="Times New Roman"/>
          <w:i/>
          <w:szCs w:val="24"/>
          <w:lang w:val="fr-CA"/>
        </w:rPr>
        <w:t xml:space="preserve"> Service Ltd. (</w:t>
      </w:r>
      <w:proofErr w:type="spellStart"/>
      <w:r w:rsidRPr="007450AF">
        <w:rPr>
          <w:rFonts w:cs="Times New Roman"/>
          <w:i/>
          <w:szCs w:val="24"/>
          <w:lang w:val="fr-CA"/>
        </w:rPr>
        <w:t>Bankrupt</w:t>
      </w:r>
      <w:proofErr w:type="spellEnd"/>
      <w:r w:rsidRPr="007450AF">
        <w:rPr>
          <w:rFonts w:cs="Times New Roman"/>
          <w:i/>
          <w:szCs w:val="24"/>
          <w:lang w:val="fr-CA"/>
        </w:rPr>
        <w:t xml:space="preserve">), </w:t>
      </w:r>
      <w:proofErr w:type="spellStart"/>
      <w:r w:rsidRPr="007450AF">
        <w:rPr>
          <w:rFonts w:cs="Times New Roman"/>
          <w:i/>
          <w:szCs w:val="24"/>
          <w:lang w:val="fr-CA"/>
        </w:rPr>
        <w:t>Re</w:t>
      </w:r>
      <w:proofErr w:type="spellEnd"/>
      <w:r w:rsidRPr="007450AF">
        <w:rPr>
          <w:rFonts w:cs="Times New Roman"/>
          <w:i/>
          <w:szCs w:val="24"/>
          <w:lang w:val="fr-CA"/>
        </w:rPr>
        <w:t xml:space="preserve"> </w:t>
      </w:r>
      <w:r w:rsidRPr="007450AF">
        <w:rPr>
          <w:rFonts w:cs="Times New Roman"/>
          <w:szCs w:val="24"/>
          <w:lang w:val="fr-CA"/>
        </w:rPr>
        <w:t>(1997), 96 O.A.C. 75</w:t>
      </w:r>
      <w:r w:rsidR="008F4307" w:rsidRPr="007450AF">
        <w:rPr>
          <w:rFonts w:cs="Times New Roman"/>
          <w:szCs w:val="24"/>
          <w:lang w:val="fr-CA"/>
        </w:rPr>
        <w:t>)</w:t>
      </w:r>
      <w:r w:rsidRPr="007450AF">
        <w:rPr>
          <w:rFonts w:cs="Times New Roman"/>
          <w:szCs w:val="24"/>
          <w:lang w:val="fr-CA"/>
        </w:rPr>
        <w:t xml:space="preserve">.  Dans le contexte d’une ordonnance environnementale, cela signifie qu’il doit y avoir des indications suffisantes permettant de conclure que l’organisme administratif qui a eu recours aux mécanismes d’application de la loi effectuera en fin de compte des travaux de décontamination et présentera une réclamation pécuniaire afin d’obtenir le remboursement de ses débours.  Si cela est suffisamment certain, le tribunal conclura que l’ordonnance peut être assujettie au processus d’insolvabilité.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Lorsqu’il détermine si une ordonnance constitue une réclamation prouvable, le tribunal chargé de l’application de la </w:t>
      </w:r>
      <w:r w:rsidRPr="007450AF">
        <w:rPr>
          <w:rFonts w:cs="Times New Roman"/>
          <w:i/>
          <w:szCs w:val="24"/>
          <w:lang w:val="fr-CA"/>
        </w:rPr>
        <w:t>LACC</w:t>
      </w:r>
      <w:r w:rsidRPr="007450AF">
        <w:rPr>
          <w:rFonts w:cs="Times New Roman"/>
          <w:szCs w:val="24"/>
          <w:lang w:val="fr-CA"/>
        </w:rPr>
        <w:t xml:space="preserve"> doit, dans une certaine mesure, examiner les actes posés par l’organisme administratif.  Cet examen se rapproche à certains égards de celui d’un contrôle judiciaire.  La différence se situe, toutefois, au niveau de l’objet de l’évaluation que doit faire le tribunal.  Son examen ne porte pas sur l’exercice du pouvoir discrétionnaire par l’organisme administratif.  </w:t>
      </w:r>
      <w:r w:rsidRPr="007450AF">
        <w:rPr>
          <w:rFonts w:cs="Times New Roman"/>
          <w:szCs w:val="24"/>
          <w:lang w:val="fr-CA"/>
        </w:rPr>
        <w:lastRenderedPageBreak/>
        <w:t xml:space="preserve">Il doit plutôt déterminer si le contexte factuel indique que les conditions requises pour que l’ordonnance soit incluse dans le processus de réclamations sont respectées.  Par exemple, si le débiteur continue d’exercer les activités faisant l’objet de l’intervention de l’organisme administratif, il est fort possible que le tribunal conclue que l’ordonnance ne peut être incorporée au processus d’insolvabilité parce que ces activités et les dommages en découlant se poursuivront après la réorganisation et qu’elles excéderont donc le délai prescrit pour la production d’une réclamation.  Par contre, si l’organisme administratif, n’ayant aucune solution réaliste autre que celle d’effectuer </w:t>
      </w:r>
      <w:proofErr w:type="spellStart"/>
      <w:r w:rsidRPr="007450AF">
        <w:rPr>
          <w:rFonts w:cs="Times New Roman"/>
          <w:szCs w:val="24"/>
          <w:lang w:val="fr-CA"/>
        </w:rPr>
        <w:t>lui</w:t>
      </w:r>
      <w:r w:rsidRPr="007450AF">
        <w:rPr>
          <w:rFonts w:cs="Times New Roman"/>
          <w:szCs w:val="24"/>
          <w:lang w:val="fr-CA"/>
        </w:rPr>
        <w:noBreakHyphen/>
        <w:t>même</w:t>
      </w:r>
      <w:proofErr w:type="spellEnd"/>
      <w:r w:rsidRPr="007450AF">
        <w:rPr>
          <w:rFonts w:cs="Times New Roman"/>
          <w:szCs w:val="24"/>
          <w:lang w:val="fr-CA"/>
        </w:rPr>
        <w:t xml:space="preserve"> les travaux de décontamination, ne fait que retarder la production d’une réclamation pécuniaire dans le but d’améliorer sa position par rapport à celle des autres créanciers, le tribunal pourrait conclure que cette démarche n’est pas compatible avec le régime d’insolvabilité et décider que l’ordonnance doit être traitée dans le cadre du processus de réclamations.  De même, si le débiteur n’exerce aucun contrôle sur le bien et ne dispose pas, ni ne disposera, de façon réaliste, des moyens pour effectuer les travaux de décontamination, le tribunal pourrait conclure de façon suffisamment certaine que l’organisme administratif devra exécuter les travaux.</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Il est ainsi possible de discerner, grâce au libellé des dispositions et à leur contexte, certains indicateurs qui permettent de guider le tribunal au moment de déterminer si l’ordonnance constitue une réclamation prouvable, notamment si les activités se poursuivent, si le débiteur exerce un contrôle sur le bien et s’il dispose des moyens de se conformer à l’ordonnance.  Il est également possible pour le tribunal de </w:t>
      </w:r>
      <w:r w:rsidRPr="007450AF">
        <w:rPr>
          <w:rFonts w:cs="Times New Roman"/>
          <w:szCs w:val="24"/>
          <w:lang w:val="fr-CA"/>
        </w:rPr>
        <w:lastRenderedPageBreak/>
        <w:t xml:space="preserve">prendre en compte les conséquences qu’entraînerait sur le processus d’insolvabilité le fait d’exiger du débiteur qu’il se conforme à l’ordonnance.  Puisque l’analyse qu’il convient de réaliser est fondée sur les faits propres à chaque cas, il n’est pas nécessaire que tous ces indicateurs soient présents, et d’autres peuvent également devenir pertinents.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Après avoir souligné les trois conditions qui permettent en l’espèce de conclure qu’une ordonnance constitue une réclamation prouvable dans le cadre d’un processus régi par la </w:t>
      </w:r>
      <w:r w:rsidRPr="007450AF">
        <w:rPr>
          <w:rFonts w:cs="Times New Roman"/>
          <w:i/>
          <w:szCs w:val="24"/>
          <w:lang w:val="fr-CA"/>
        </w:rPr>
        <w:t>LACC</w:t>
      </w:r>
      <w:r w:rsidRPr="007450AF">
        <w:rPr>
          <w:rFonts w:cs="Times New Roman"/>
          <w:szCs w:val="24"/>
          <w:lang w:val="fr-CA"/>
        </w:rPr>
        <w:t xml:space="preserve">, il me faut examiner certains arguments de principe que la province et certains intervenants ont fait valoir.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Ils ont plaidé que le fait d’assimiler une ordonnance d’un organisme administratif à une réclamation dans le cadre de procédure en insolvabilité éteint les obligations environnementales auxquelles le débiteur est tenu, minant par le fait même le principe du </w:t>
      </w:r>
      <w:proofErr w:type="spellStart"/>
      <w:r w:rsidRPr="007450AF">
        <w:rPr>
          <w:rFonts w:cs="Times New Roman"/>
          <w:szCs w:val="24"/>
          <w:lang w:val="fr-CA"/>
        </w:rPr>
        <w:t>pollueur</w:t>
      </w:r>
      <w:r w:rsidRPr="007450AF">
        <w:rPr>
          <w:rFonts w:cs="Times New Roman"/>
          <w:szCs w:val="24"/>
          <w:lang w:val="fr-CA"/>
        </w:rPr>
        <w:noBreakHyphen/>
        <w:t>payeur</w:t>
      </w:r>
      <w:proofErr w:type="spellEnd"/>
      <w:r w:rsidRPr="007450AF">
        <w:rPr>
          <w:rFonts w:cs="Times New Roman"/>
          <w:szCs w:val="24"/>
          <w:lang w:val="fr-CA"/>
        </w:rPr>
        <w:t xml:space="preserve"> examiné par notre Cour dans l’arrêt </w:t>
      </w:r>
      <w:r w:rsidRPr="007450AF">
        <w:rPr>
          <w:rFonts w:cs="Times New Roman"/>
          <w:i/>
          <w:szCs w:val="24"/>
          <w:lang w:val="fr-CA"/>
        </w:rPr>
        <w:t>Cie pétrolière</w:t>
      </w:r>
      <w:r w:rsidRPr="007450AF">
        <w:rPr>
          <w:rFonts w:cs="Times New Roman"/>
          <w:szCs w:val="24"/>
          <w:lang w:val="fr-CA"/>
        </w:rPr>
        <w:t xml:space="preserve"> </w:t>
      </w:r>
      <w:r w:rsidRPr="007450AF">
        <w:rPr>
          <w:rFonts w:cs="Times New Roman"/>
          <w:i/>
          <w:szCs w:val="24"/>
          <w:lang w:val="fr-CA"/>
        </w:rPr>
        <w:t>Imp</w:t>
      </w:r>
      <w:r w:rsidR="008F4307" w:rsidRPr="007450AF">
        <w:rPr>
          <w:rFonts w:cs="Times New Roman"/>
          <w:i/>
          <w:szCs w:val="24"/>
          <w:lang w:val="fr-CA"/>
        </w:rPr>
        <w:t>é</w:t>
      </w:r>
      <w:r w:rsidRPr="007450AF">
        <w:rPr>
          <w:rFonts w:cs="Times New Roman"/>
          <w:i/>
          <w:szCs w:val="24"/>
          <w:lang w:val="fr-CA"/>
        </w:rPr>
        <w:t xml:space="preserve">riale </w:t>
      </w:r>
      <w:proofErr w:type="spellStart"/>
      <w:r w:rsidR="008F4307" w:rsidRPr="007450AF">
        <w:rPr>
          <w:rFonts w:cs="Times New Roman"/>
          <w:i/>
          <w:szCs w:val="24"/>
          <w:lang w:val="fr-CA"/>
        </w:rPr>
        <w:t>l</w:t>
      </w:r>
      <w:r w:rsidRPr="007450AF">
        <w:rPr>
          <w:rFonts w:cs="Times New Roman"/>
          <w:i/>
          <w:szCs w:val="24"/>
          <w:lang w:val="fr-CA"/>
        </w:rPr>
        <w:t>tée</w:t>
      </w:r>
      <w:proofErr w:type="spellEnd"/>
      <w:r w:rsidRPr="007450AF">
        <w:rPr>
          <w:rFonts w:cs="Times New Roman"/>
          <w:i/>
          <w:szCs w:val="24"/>
          <w:lang w:val="fr-CA"/>
        </w:rPr>
        <w:t xml:space="preserve"> c. Québec (Ministre de l’Environnement)</w:t>
      </w:r>
      <w:r w:rsidRPr="007450AF">
        <w:rPr>
          <w:rFonts w:cs="Times New Roman"/>
          <w:szCs w:val="24"/>
          <w:lang w:val="fr-CA"/>
        </w:rPr>
        <w:t>, 2003 CSC 58, [2003] 2 R.C.S. 624</w:t>
      </w:r>
      <w:r w:rsidR="008F4307" w:rsidRPr="007450AF">
        <w:rPr>
          <w:rFonts w:cs="Times New Roman"/>
          <w:szCs w:val="24"/>
          <w:lang w:val="fr-CA"/>
        </w:rPr>
        <w:t>,</w:t>
      </w:r>
      <w:r w:rsidRPr="007450AF">
        <w:rPr>
          <w:rFonts w:cs="Times New Roman"/>
          <w:szCs w:val="24"/>
          <w:lang w:val="fr-CA"/>
        </w:rPr>
        <w:t xml:space="preserve"> </w:t>
      </w:r>
      <w:r w:rsidR="008F4307" w:rsidRPr="007450AF">
        <w:rPr>
          <w:rFonts w:cs="Times New Roman"/>
          <w:szCs w:val="24"/>
          <w:lang w:val="fr-CA"/>
        </w:rPr>
        <w:t>par. 24</w:t>
      </w:r>
      <w:r w:rsidRPr="007450AF">
        <w:rPr>
          <w:rFonts w:cs="Times New Roman"/>
          <w:szCs w:val="24"/>
          <w:lang w:val="fr-CA"/>
        </w:rPr>
        <w:t xml:space="preserve">.  Cet argument démontre une mauvaise compréhension de la nature des procédures en matière d’insolvabilité.  Le fait d’assujettir une ordonnance au processus de réclamations n’éteint pas les obligations environnementales qui incombent au débiteur, pas plus que le fait de soumettre à ce processus les réclamations des créanciers </w:t>
      </w:r>
      <w:proofErr w:type="gramStart"/>
      <w:r w:rsidRPr="007450AF">
        <w:rPr>
          <w:rFonts w:cs="Times New Roman"/>
          <w:szCs w:val="24"/>
          <w:lang w:val="fr-CA"/>
        </w:rPr>
        <w:t>n’éteint</w:t>
      </w:r>
      <w:proofErr w:type="gramEnd"/>
      <w:r w:rsidRPr="007450AF">
        <w:rPr>
          <w:rFonts w:cs="Times New Roman"/>
          <w:szCs w:val="24"/>
          <w:lang w:val="fr-CA"/>
        </w:rPr>
        <w:t xml:space="preserve"> l’obligation du débiteur de payer ses dettes.  Le fait d’assujettir une ordonnance au processus de réclamation vise simplement à faire en sorte que le paiement au créancier sera fait conformément aux </w:t>
      </w:r>
      <w:r w:rsidRPr="007450AF">
        <w:rPr>
          <w:rFonts w:cs="Times New Roman"/>
          <w:szCs w:val="24"/>
          <w:lang w:val="fr-CA"/>
        </w:rPr>
        <w:lastRenderedPageBreak/>
        <w:t xml:space="preserve">dispositions législatives applicables en matière d’insolvabilité.  De plus, le respect intégral des ordonnances dont la nature pécuniaire est reconnue transférerait le coût de la décontamination aux tiers créanciers, y compris aux créanciers involontaires, par exemple les créanciers en responsabilité délictuelle ou </w:t>
      </w:r>
      <w:proofErr w:type="spellStart"/>
      <w:r w:rsidRPr="007450AF">
        <w:rPr>
          <w:rFonts w:cs="Times New Roman"/>
          <w:szCs w:val="24"/>
          <w:lang w:val="fr-CA"/>
        </w:rPr>
        <w:t>extra</w:t>
      </w:r>
      <w:r w:rsidRPr="007450AF">
        <w:rPr>
          <w:rFonts w:cs="Times New Roman"/>
          <w:szCs w:val="24"/>
          <w:lang w:val="fr-CA"/>
        </w:rPr>
        <w:noBreakHyphen/>
        <w:t>contractuelle</w:t>
      </w:r>
      <w:proofErr w:type="spellEnd"/>
      <w:r w:rsidRPr="007450AF">
        <w:rPr>
          <w:rFonts w:cs="Times New Roman"/>
          <w:szCs w:val="24"/>
          <w:lang w:val="fr-CA"/>
        </w:rPr>
        <w:t xml:space="preserve">.  Dans un contexte d’insolvabilité, la position de la province aurait comme résultat de lui accorder non seulement une </w:t>
      </w:r>
      <w:proofErr w:type="spellStart"/>
      <w:r w:rsidRPr="007450AF">
        <w:rPr>
          <w:rFonts w:cs="Times New Roman"/>
          <w:szCs w:val="24"/>
          <w:lang w:val="fr-CA"/>
        </w:rPr>
        <w:t>super</w:t>
      </w:r>
      <w:r w:rsidRPr="007450AF">
        <w:rPr>
          <w:rFonts w:cs="Times New Roman"/>
          <w:szCs w:val="24"/>
          <w:lang w:val="fr-CA"/>
        </w:rPr>
        <w:noBreakHyphen/>
        <w:t>priorité</w:t>
      </w:r>
      <w:proofErr w:type="spellEnd"/>
      <w:r w:rsidRPr="007450AF">
        <w:rPr>
          <w:rFonts w:cs="Times New Roman"/>
          <w:szCs w:val="24"/>
          <w:lang w:val="fr-CA"/>
        </w:rPr>
        <w:t>, mais aussi de reconnaître l’application d’un principe du « </w:t>
      </w:r>
      <w:proofErr w:type="spellStart"/>
      <w:r w:rsidRPr="007450AF">
        <w:rPr>
          <w:rFonts w:cs="Times New Roman"/>
          <w:szCs w:val="24"/>
          <w:lang w:val="fr-CA"/>
        </w:rPr>
        <w:t>tiers</w:t>
      </w:r>
      <w:r w:rsidRPr="007450AF">
        <w:rPr>
          <w:rFonts w:cs="Times New Roman"/>
          <w:szCs w:val="24"/>
          <w:lang w:val="fr-CA"/>
        </w:rPr>
        <w:noBreakHyphen/>
        <w:t>payeur</w:t>
      </w:r>
      <w:proofErr w:type="spellEnd"/>
      <w:r w:rsidRPr="007450AF">
        <w:rPr>
          <w:rFonts w:cs="Times New Roman"/>
          <w:szCs w:val="24"/>
          <w:lang w:val="fr-CA"/>
        </w:rPr>
        <w:t xml:space="preserve"> » plutôt que celui du </w:t>
      </w:r>
      <w:proofErr w:type="spellStart"/>
      <w:r w:rsidRPr="007450AF">
        <w:rPr>
          <w:rFonts w:cs="Times New Roman"/>
          <w:szCs w:val="24"/>
          <w:lang w:val="fr-CA"/>
        </w:rPr>
        <w:t>pollueur</w:t>
      </w:r>
      <w:r w:rsidRPr="007450AF">
        <w:rPr>
          <w:rFonts w:cs="Times New Roman"/>
          <w:szCs w:val="24"/>
          <w:lang w:val="fr-CA"/>
        </w:rPr>
        <w:noBreakHyphen/>
        <w:t>payeur</w:t>
      </w:r>
      <w:proofErr w:type="spellEnd"/>
      <w:r w:rsidRPr="007450AF">
        <w:rPr>
          <w:rFonts w:cs="Times New Roman"/>
          <w:szCs w:val="24"/>
          <w:lang w:val="fr-CA"/>
        </w:rPr>
        <w:t xml:space="preserve">. </w:t>
      </w:r>
    </w:p>
    <w:p w:rsidR="004D251C" w:rsidRPr="007450AF" w:rsidRDefault="004D251C" w:rsidP="004D251C">
      <w:pPr>
        <w:pStyle w:val="ParaNoNdepar-AltN"/>
        <w:rPr>
          <w:rFonts w:cs="Times New Roman"/>
          <w:szCs w:val="24"/>
          <w:lang w:val="fr-CA"/>
        </w:rPr>
      </w:pPr>
      <w:r w:rsidRPr="007450AF">
        <w:rPr>
          <w:rFonts w:cs="Times New Roman"/>
          <w:szCs w:val="24"/>
          <w:lang w:val="fr-CA"/>
        </w:rPr>
        <w:t>Par ailleurs, l’assujettissement des ordonnances au processus d’insolvabilité n’autorise pas une personne à polluer, car la procédure en insolvabilité ne touche pas les actes que le débiteur posera dans le futur.  Le débiteur réorganisé doit se conformer pour l’avenir à la réglementation environnementale, comme le ferait toute autre personne.  Pour citer une analogie haute en couleurs de deux universitaires américains, [</w:t>
      </w:r>
      <w:r w:rsidRPr="007450AF">
        <w:rPr>
          <w:rFonts w:cs="Times New Roman"/>
          <w:smallCaps/>
          <w:szCs w:val="24"/>
          <w:lang w:val="fr-CA"/>
        </w:rPr>
        <w:t>traduction</w:t>
      </w:r>
      <w:r w:rsidR="008F4307" w:rsidRPr="007450AF">
        <w:rPr>
          <w:rFonts w:cs="Times New Roman"/>
          <w:szCs w:val="24"/>
          <w:lang w:val="fr-CA"/>
        </w:rPr>
        <w:t>] « [l]</w:t>
      </w:r>
      <w:r w:rsidRPr="007450AF">
        <w:rPr>
          <w:rFonts w:cs="Times New Roman"/>
          <w:szCs w:val="24"/>
          <w:lang w:val="fr-CA"/>
        </w:rPr>
        <w:t>es débiteurs en faillite n’ont pas — et ne devraient pas avoir — une autorisation plus étendue de polluer en violation d’une loi qu’ils n’en ont de vendre de la cocaïne » (D. G. Baird et T. H. Jackson, « Comment</w:t>
      </w:r>
      <w:r w:rsidR="000F6E24" w:rsidRPr="007450AF">
        <w:rPr>
          <w:rFonts w:cs="Times New Roman"/>
          <w:szCs w:val="24"/>
          <w:lang w:val="fr-CA"/>
        </w:rPr>
        <w:t xml:space="preserve"> </w:t>
      </w:r>
      <w:r w:rsidRPr="007450AF">
        <w:rPr>
          <w:rFonts w:cs="Times New Roman"/>
          <w:szCs w:val="24"/>
          <w:lang w:val="fr-CA"/>
        </w:rPr>
        <w:t xml:space="preserve">: </w:t>
      </w:r>
      <w:proofErr w:type="spellStart"/>
      <w:r w:rsidRPr="007450AF">
        <w:rPr>
          <w:rFonts w:cs="Times New Roman"/>
          <w:i/>
          <w:szCs w:val="24"/>
          <w:lang w:val="fr-CA"/>
        </w:rPr>
        <w:t>Kovacs</w:t>
      </w:r>
      <w:proofErr w:type="spellEnd"/>
      <w:r w:rsidRPr="007450AF">
        <w:rPr>
          <w:rFonts w:cs="Times New Roman"/>
          <w:szCs w:val="24"/>
          <w:lang w:val="fr-CA"/>
        </w:rPr>
        <w:t xml:space="preserve"> and </w:t>
      </w:r>
      <w:proofErr w:type="spellStart"/>
      <w:r w:rsidRPr="007450AF">
        <w:rPr>
          <w:rFonts w:cs="Times New Roman"/>
          <w:szCs w:val="24"/>
          <w:lang w:val="fr-CA"/>
        </w:rPr>
        <w:t>Toxic</w:t>
      </w:r>
      <w:proofErr w:type="spellEnd"/>
      <w:r w:rsidRPr="007450AF">
        <w:rPr>
          <w:rFonts w:cs="Times New Roman"/>
          <w:szCs w:val="24"/>
          <w:lang w:val="fr-CA"/>
        </w:rPr>
        <w:t xml:space="preserve"> </w:t>
      </w:r>
      <w:proofErr w:type="spellStart"/>
      <w:r w:rsidRPr="007450AF">
        <w:rPr>
          <w:rFonts w:cs="Times New Roman"/>
          <w:szCs w:val="24"/>
          <w:lang w:val="fr-CA"/>
        </w:rPr>
        <w:t>Wastes</w:t>
      </w:r>
      <w:proofErr w:type="spellEnd"/>
      <w:r w:rsidRPr="007450AF">
        <w:rPr>
          <w:rFonts w:cs="Times New Roman"/>
          <w:szCs w:val="24"/>
          <w:lang w:val="fr-CA"/>
        </w:rPr>
        <w:t xml:space="preserve"> in </w:t>
      </w:r>
      <w:proofErr w:type="spellStart"/>
      <w:r w:rsidRPr="007450AF">
        <w:rPr>
          <w:rFonts w:cs="Times New Roman"/>
          <w:szCs w:val="24"/>
          <w:lang w:val="fr-CA"/>
        </w:rPr>
        <w:t>Bankruptcy</w:t>
      </w:r>
      <w:proofErr w:type="spellEnd"/>
      <w:r w:rsidRPr="007450AF">
        <w:rPr>
          <w:rFonts w:cs="Times New Roman"/>
          <w:i/>
          <w:szCs w:val="24"/>
          <w:lang w:val="fr-CA"/>
        </w:rPr>
        <w:t> </w:t>
      </w:r>
      <w:r w:rsidRPr="007450AF">
        <w:rPr>
          <w:rFonts w:cs="Times New Roman"/>
          <w:szCs w:val="24"/>
          <w:lang w:val="fr-CA"/>
        </w:rPr>
        <w:t xml:space="preserve">» (1984), 36 </w:t>
      </w:r>
      <w:r w:rsidRPr="007450AF">
        <w:rPr>
          <w:rFonts w:cs="Times New Roman"/>
          <w:i/>
          <w:szCs w:val="24"/>
          <w:lang w:val="fr-CA"/>
        </w:rPr>
        <w:t xml:space="preserve">Stan. L. </w:t>
      </w:r>
      <w:proofErr w:type="spellStart"/>
      <w:r w:rsidRPr="007450AF">
        <w:rPr>
          <w:rFonts w:cs="Times New Roman"/>
          <w:i/>
          <w:szCs w:val="24"/>
          <w:lang w:val="fr-CA"/>
        </w:rPr>
        <w:t>Rev</w:t>
      </w:r>
      <w:proofErr w:type="spellEnd"/>
      <w:r w:rsidRPr="007450AF">
        <w:rPr>
          <w:rFonts w:cs="Times New Roman"/>
          <w:i/>
          <w:szCs w:val="24"/>
          <w:lang w:val="fr-CA"/>
        </w:rPr>
        <w:t>.</w:t>
      </w:r>
      <w:r w:rsidRPr="007450AF">
        <w:rPr>
          <w:rFonts w:cs="Times New Roman"/>
          <w:szCs w:val="24"/>
          <w:lang w:val="fr-CA"/>
        </w:rPr>
        <w:t xml:space="preserve"> 1199, p. 1200).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En outre, il arrive que des sociétés exercent des activités comportant des risques.  Peu importe les risques en cause, une réorganisation rendue nécessaire par l’insolvabilité de la société peut difficilement être assimilée à un choix délibéré.  Lorsque les risques se concrétisent, la </w:t>
      </w:r>
      <w:proofErr w:type="spellStart"/>
      <w:r w:rsidRPr="007450AF">
        <w:rPr>
          <w:rFonts w:cs="Times New Roman"/>
          <w:szCs w:val="24"/>
          <w:lang w:val="fr-CA"/>
        </w:rPr>
        <w:t>quasi</w:t>
      </w:r>
      <w:r w:rsidRPr="007450AF">
        <w:rPr>
          <w:rFonts w:cs="Times New Roman"/>
          <w:szCs w:val="24"/>
          <w:lang w:val="fr-CA"/>
        </w:rPr>
        <w:noBreakHyphen/>
        <w:t>totalité</w:t>
      </w:r>
      <w:proofErr w:type="spellEnd"/>
      <w:r w:rsidRPr="007450AF">
        <w:rPr>
          <w:rFonts w:cs="Times New Roman"/>
          <w:szCs w:val="24"/>
          <w:lang w:val="fr-CA"/>
        </w:rPr>
        <w:t xml:space="preserve"> des personnes ayant des intérêts dans la société en supportent les terribles coûts.  L’assujettissement des ordonnances </w:t>
      </w:r>
      <w:r w:rsidRPr="007450AF">
        <w:rPr>
          <w:rFonts w:cs="Times New Roman"/>
          <w:szCs w:val="24"/>
          <w:lang w:val="fr-CA"/>
        </w:rPr>
        <w:lastRenderedPageBreak/>
        <w:t xml:space="preserve">à la procédure de réclamations n’équivaut pas à convier les sociétés à se réorganiser dans le but d’échapper à leurs obligations environnementales.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Et le pouvoir de déterminer si une ordonnance constitue une réclamation prouvable ne signifie pas que le tribunal jugera nécessairement que l’ordonnance sera soumise au processus de réorganisation.  En fait, le tribunal en l’espèce a reconnu que les ordonnances environnementales pouvaient être ou ne pas être considérées comme des réclamations prouvables.  Il n’a rendu une ordonnance de suspension qu’à l’égard des ordonnances de nature pécuniaire.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La province plaide aussi que selon la jurisprudence, les ordonnances environnementales ne peuvent pas être assimilées à des réclamations lorsque l’organisme administratif n’a pas encore exercé son pouvoir de faire valoir une réclamation formulée en termes pécuniaires.  La province s’appuie particulièrement sur l’arrêt </w:t>
      </w:r>
      <w:proofErr w:type="spellStart"/>
      <w:r w:rsidRPr="007450AF">
        <w:rPr>
          <w:rFonts w:cs="Times New Roman"/>
          <w:i/>
          <w:szCs w:val="24"/>
          <w:lang w:val="fr-CA"/>
        </w:rPr>
        <w:t>Panamericana</w:t>
      </w:r>
      <w:proofErr w:type="spellEnd"/>
      <w:r w:rsidRPr="007450AF">
        <w:rPr>
          <w:rFonts w:cs="Times New Roman"/>
          <w:i/>
          <w:szCs w:val="24"/>
          <w:lang w:val="fr-CA"/>
        </w:rPr>
        <w:t xml:space="preserve"> de </w:t>
      </w:r>
      <w:proofErr w:type="spellStart"/>
      <w:r w:rsidRPr="007450AF">
        <w:rPr>
          <w:rFonts w:cs="Times New Roman"/>
          <w:i/>
          <w:szCs w:val="24"/>
          <w:lang w:val="fr-CA"/>
        </w:rPr>
        <w:t>Bienes</w:t>
      </w:r>
      <w:proofErr w:type="spellEnd"/>
      <w:r w:rsidRPr="007450AF">
        <w:rPr>
          <w:rFonts w:cs="Times New Roman"/>
          <w:i/>
          <w:szCs w:val="24"/>
          <w:lang w:val="fr-CA"/>
        </w:rPr>
        <w:t xml:space="preserve"> y </w:t>
      </w:r>
      <w:proofErr w:type="spellStart"/>
      <w:r w:rsidRPr="007450AF">
        <w:rPr>
          <w:rFonts w:cs="Times New Roman"/>
          <w:i/>
          <w:szCs w:val="24"/>
          <w:lang w:val="fr-CA"/>
        </w:rPr>
        <w:t>Servicios</w:t>
      </w:r>
      <w:proofErr w:type="spellEnd"/>
      <w:r w:rsidRPr="007450AF">
        <w:rPr>
          <w:rFonts w:cs="Times New Roman"/>
          <w:i/>
          <w:szCs w:val="24"/>
          <w:lang w:val="fr-CA"/>
        </w:rPr>
        <w:t xml:space="preserve"> S.A. c. </w:t>
      </w:r>
      <w:proofErr w:type="spellStart"/>
      <w:r w:rsidRPr="007450AF">
        <w:rPr>
          <w:rFonts w:cs="Times New Roman"/>
          <w:i/>
          <w:szCs w:val="24"/>
          <w:lang w:val="fr-CA"/>
        </w:rPr>
        <w:t>Northern</w:t>
      </w:r>
      <w:proofErr w:type="spellEnd"/>
      <w:r w:rsidRPr="007450AF">
        <w:rPr>
          <w:rFonts w:cs="Times New Roman"/>
          <w:i/>
          <w:szCs w:val="24"/>
          <w:lang w:val="fr-CA"/>
        </w:rPr>
        <w:t xml:space="preserve"> </w:t>
      </w:r>
      <w:proofErr w:type="spellStart"/>
      <w:r w:rsidRPr="007450AF">
        <w:rPr>
          <w:rFonts w:cs="Times New Roman"/>
          <w:i/>
          <w:szCs w:val="24"/>
          <w:lang w:val="fr-CA"/>
        </w:rPr>
        <w:t>Badger</w:t>
      </w:r>
      <w:proofErr w:type="spellEnd"/>
      <w:r w:rsidRPr="007450AF">
        <w:rPr>
          <w:rFonts w:cs="Times New Roman"/>
          <w:i/>
          <w:szCs w:val="24"/>
          <w:lang w:val="fr-CA"/>
        </w:rPr>
        <w:t xml:space="preserve"> </w:t>
      </w:r>
      <w:proofErr w:type="spellStart"/>
      <w:r w:rsidRPr="007450AF">
        <w:rPr>
          <w:rFonts w:cs="Times New Roman"/>
          <w:i/>
          <w:szCs w:val="24"/>
          <w:lang w:val="fr-CA"/>
        </w:rPr>
        <w:t>Oil</w:t>
      </w:r>
      <w:proofErr w:type="spellEnd"/>
      <w:r w:rsidRPr="007450AF">
        <w:rPr>
          <w:rFonts w:cs="Times New Roman"/>
          <w:i/>
          <w:szCs w:val="24"/>
          <w:lang w:val="fr-CA"/>
        </w:rPr>
        <w:t xml:space="preserve"> &amp; </w:t>
      </w:r>
      <w:proofErr w:type="spellStart"/>
      <w:r w:rsidRPr="007450AF">
        <w:rPr>
          <w:rFonts w:cs="Times New Roman"/>
          <w:i/>
          <w:szCs w:val="24"/>
          <w:lang w:val="fr-CA"/>
        </w:rPr>
        <w:t>Gas</w:t>
      </w:r>
      <w:proofErr w:type="spellEnd"/>
      <w:r w:rsidRPr="007450AF">
        <w:rPr>
          <w:rFonts w:cs="Times New Roman"/>
          <w:i/>
          <w:szCs w:val="24"/>
          <w:lang w:val="fr-CA"/>
        </w:rPr>
        <w:t xml:space="preserve"> Ltd. </w:t>
      </w:r>
      <w:r w:rsidRPr="007450AF">
        <w:rPr>
          <w:rFonts w:cs="Times New Roman"/>
          <w:szCs w:val="24"/>
          <w:lang w:val="fr-CA"/>
        </w:rPr>
        <w:t xml:space="preserve">(1991), 81 Alta. L.R. (2d) 45 (C.A.), et les jugements rendus dans sa foulée.  Dans l’arrêt </w:t>
      </w:r>
      <w:proofErr w:type="spellStart"/>
      <w:r w:rsidRPr="007450AF">
        <w:rPr>
          <w:rFonts w:cs="Times New Roman"/>
          <w:i/>
          <w:szCs w:val="24"/>
          <w:lang w:val="fr-CA"/>
        </w:rPr>
        <w:t>Panamericana</w:t>
      </w:r>
      <w:proofErr w:type="spellEnd"/>
      <w:r w:rsidRPr="007450AF">
        <w:rPr>
          <w:rFonts w:cs="Times New Roman"/>
          <w:szCs w:val="24"/>
          <w:lang w:val="fr-CA"/>
        </w:rPr>
        <w:t>, la Cour d’appel de l’Alberta a tenu le séquestre personnellement responsable de l’exécution des travaux ordonnés et a statué que l’ordonnance ne constituait pas une réclamation visée par les procédures en insolvabilité.  La cour a conclu que l’obligation d’entreprendre les travaux de décontamination est due au public en général jusqu’à ce que l’organisme administratif exerce son pouvoir de faire valoir une réclamation pécuniaire.</w:t>
      </w:r>
    </w:p>
    <w:p w:rsidR="004D251C" w:rsidRPr="007450AF" w:rsidRDefault="004D251C" w:rsidP="004D251C">
      <w:pPr>
        <w:pStyle w:val="ParaNoNdepar-AltN"/>
        <w:rPr>
          <w:rFonts w:cs="Times New Roman"/>
          <w:szCs w:val="24"/>
          <w:lang w:val="fr-CA"/>
        </w:rPr>
      </w:pPr>
      <w:r w:rsidRPr="007450AF">
        <w:rPr>
          <w:rFonts w:cs="Times New Roman"/>
          <w:szCs w:val="24"/>
          <w:lang w:val="fr-CA"/>
        </w:rPr>
        <w:lastRenderedPageBreak/>
        <w:t xml:space="preserve">La première réponse à cet argument de la province est que les tribunaux n’ont jamais hésité à privilégier le fond à la forme.  Les tribunaux peuvent déterminer si, en substance, l’ordonnance est de nature pécuniaire. </w:t>
      </w:r>
    </w:p>
    <w:p w:rsidR="004D251C" w:rsidRPr="007450AF" w:rsidRDefault="004D251C" w:rsidP="004D251C">
      <w:pPr>
        <w:pStyle w:val="ParaNoNdepar-AltN"/>
        <w:rPr>
          <w:rFonts w:cs="Times New Roman"/>
          <w:szCs w:val="24"/>
          <w:lang w:val="fr-CA"/>
        </w:rPr>
      </w:pPr>
      <w:r w:rsidRPr="007450AF">
        <w:rPr>
          <w:rFonts w:cs="Times New Roman"/>
          <w:szCs w:val="24"/>
          <w:lang w:val="fr-CA"/>
        </w:rPr>
        <w:t>La seconde réponse est que les dispositions concernant l’évaluation des réclamations, en particulier celles régissant les réclamations éventuelles, n’exigent pas que la valeur pécuniaire soit établie au moment où elles sont produites.  Un certain nombre d’auteurs ont examiné la question de savoir si, dans un contexte réglementaire, l’existence d’une obligation implique toujours en corrélation celle d’un droit.  Diverses théories relatives aux droits ont été avancées (voir W. N. </w:t>
      </w:r>
      <w:proofErr w:type="spellStart"/>
      <w:r w:rsidRPr="007450AF">
        <w:rPr>
          <w:rFonts w:cs="Times New Roman"/>
          <w:szCs w:val="24"/>
          <w:lang w:val="fr-CA"/>
        </w:rPr>
        <w:t>Hohfeld</w:t>
      </w:r>
      <w:proofErr w:type="spellEnd"/>
      <w:r w:rsidRPr="007450AF">
        <w:rPr>
          <w:rFonts w:cs="Times New Roman"/>
          <w:szCs w:val="24"/>
          <w:lang w:val="fr-CA"/>
        </w:rPr>
        <w:t xml:space="preserve">, </w:t>
      </w:r>
      <w:proofErr w:type="spellStart"/>
      <w:r w:rsidR="00BE024F" w:rsidRPr="007450AF">
        <w:rPr>
          <w:rFonts w:cs="Times New Roman"/>
          <w:i/>
          <w:szCs w:val="24"/>
          <w:lang w:val="fr-CA"/>
        </w:rPr>
        <w:t>Fu</w:t>
      </w:r>
      <w:r w:rsidRPr="007450AF">
        <w:rPr>
          <w:rFonts w:cs="Times New Roman"/>
          <w:i/>
          <w:szCs w:val="24"/>
          <w:lang w:val="fr-CA"/>
        </w:rPr>
        <w:t>ndamental</w:t>
      </w:r>
      <w:proofErr w:type="spellEnd"/>
      <w:r w:rsidRPr="007450AF">
        <w:rPr>
          <w:rFonts w:cs="Times New Roman"/>
          <w:i/>
          <w:szCs w:val="24"/>
          <w:lang w:val="fr-CA"/>
        </w:rPr>
        <w:t xml:space="preserve"> </w:t>
      </w:r>
      <w:proofErr w:type="spellStart"/>
      <w:r w:rsidRPr="007450AF">
        <w:rPr>
          <w:rFonts w:cs="Times New Roman"/>
          <w:i/>
          <w:szCs w:val="24"/>
          <w:lang w:val="fr-CA"/>
        </w:rPr>
        <w:t>Legal</w:t>
      </w:r>
      <w:proofErr w:type="spellEnd"/>
      <w:r w:rsidRPr="007450AF">
        <w:rPr>
          <w:rFonts w:cs="Times New Roman"/>
          <w:i/>
          <w:szCs w:val="24"/>
          <w:lang w:val="fr-CA"/>
        </w:rPr>
        <w:t xml:space="preserve"> Conceptions as </w:t>
      </w:r>
      <w:proofErr w:type="spellStart"/>
      <w:r w:rsidRPr="007450AF">
        <w:rPr>
          <w:rFonts w:cs="Times New Roman"/>
          <w:i/>
          <w:szCs w:val="24"/>
          <w:lang w:val="fr-CA"/>
        </w:rPr>
        <w:t>Applied</w:t>
      </w:r>
      <w:proofErr w:type="spellEnd"/>
      <w:r w:rsidRPr="007450AF">
        <w:rPr>
          <w:rFonts w:cs="Times New Roman"/>
          <w:i/>
          <w:szCs w:val="24"/>
          <w:lang w:val="fr-CA"/>
        </w:rPr>
        <w:t xml:space="preserve"> in </w:t>
      </w:r>
      <w:proofErr w:type="spellStart"/>
      <w:r w:rsidRPr="007450AF">
        <w:rPr>
          <w:rFonts w:cs="Times New Roman"/>
          <w:i/>
          <w:szCs w:val="24"/>
          <w:lang w:val="fr-CA"/>
        </w:rPr>
        <w:t>Judicial</w:t>
      </w:r>
      <w:proofErr w:type="spellEnd"/>
      <w:r w:rsidRPr="007450AF">
        <w:rPr>
          <w:rFonts w:cs="Times New Roman"/>
          <w:i/>
          <w:szCs w:val="24"/>
          <w:lang w:val="fr-CA"/>
        </w:rPr>
        <w:t xml:space="preserve"> </w:t>
      </w:r>
      <w:proofErr w:type="spellStart"/>
      <w:r w:rsidRPr="007450AF">
        <w:rPr>
          <w:rFonts w:cs="Times New Roman"/>
          <w:i/>
          <w:szCs w:val="24"/>
          <w:lang w:val="fr-CA"/>
        </w:rPr>
        <w:t>Reasoning</w:t>
      </w:r>
      <w:proofErr w:type="spellEnd"/>
      <w:r w:rsidRPr="007450AF">
        <w:rPr>
          <w:rFonts w:cs="Times New Roman"/>
          <w:i/>
          <w:szCs w:val="24"/>
          <w:lang w:val="fr-CA"/>
        </w:rPr>
        <w:t xml:space="preserve"> </w:t>
      </w:r>
      <w:r w:rsidRPr="007450AF">
        <w:rPr>
          <w:rFonts w:cs="Times New Roman"/>
          <w:szCs w:val="24"/>
          <w:lang w:val="fr-CA"/>
        </w:rPr>
        <w:t>(n</w:t>
      </w:r>
      <w:r w:rsidR="00BE024F" w:rsidRPr="007450AF">
        <w:rPr>
          <w:rFonts w:cs="Times New Roman"/>
          <w:szCs w:val="24"/>
          <w:lang w:val="fr-CA"/>
        </w:rPr>
        <w:t xml:space="preserve">ouvelle éd. 2001); D. N. </w:t>
      </w:r>
      <w:proofErr w:type="spellStart"/>
      <w:r w:rsidR="00BE024F" w:rsidRPr="007450AF">
        <w:rPr>
          <w:rFonts w:cs="Times New Roman"/>
          <w:szCs w:val="24"/>
          <w:lang w:val="fr-CA"/>
        </w:rPr>
        <w:t>MacCormick</w:t>
      </w:r>
      <w:proofErr w:type="spellEnd"/>
      <w:r w:rsidR="00BE024F" w:rsidRPr="007450AF">
        <w:rPr>
          <w:rFonts w:cs="Times New Roman"/>
          <w:szCs w:val="24"/>
          <w:lang w:val="fr-CA"/>
        </w:rPr>
        <w:t xml:space="preserve">, « </w:t>
      </w:r>
      <w:proofErr w:type="spellStart"/>
      <w:r w:rsidR="00BE024F" w:rsidRPr="007450AF">
        <w:rPr>
          <w:rFonts w:cs="Times New Roman"/>
          <w:szCs w:val="24"/>
          <w:lang w:val="fr-CA"/>
        </w:rPr>
        <w:t>Rights</w:t>
      </w:r>
      <w:proofErr w:type="spellEnd"/>
      <w:r w:rsidR="00BE024F" w:rsidRPr="007450AF">
        <w:rPr>
          <w:rFonts w:cs="Times New Roman"/>
          <w:szCs w:val="24"/>
          <w:lang w:val="fr-CA"/>
        </w:rPr>
        <w:t xml:space="preserve"> in </w:t>
      </w:r>
      <w:proofErr w:type="spellStart"/>
      <w:r w:rsidR="00BE024F" w:rsidRPr="007450AF">
        <w:rPr>
          <w:rFonts w:cs="Times New Roman"/>
          <w:szCs w:val="24"/>
          <w:lang w:val="fr-CA"/>
        </w:rPr>
        <w:t>Legislation</w:t>
      </w:r>
      <w:proofErr w:type="spellEnd"/>
      <w:r w:rsidR="00BE024F" w:rsidRPr="007450AF">
        <w:rPr>
          <w:rFonts w:cs="Times New Roman"/>
          <w:szCs w:val="24"/>
          <w:lang w:val="fr-CA"/>
        </w:rPr>
        <w:t xml:space="preserve"> »</w:t>
      </w:r>
      <w:r w:rsidRPr="007450AF">
        <w:rPr>
          <w:rFonts w:cs="Times New Roman"/>
          <w:szCs w:val="24"/>
          <w:lang w:val="fr-CA"/>
        </w:rPr>
        <w:t>, dans P.</w:t>
      </w:r>
      <w:r w:rsidR="00BE024F" w:rsidRPr="007450AF">
        <w:rPr>
          <w:rFonts w:cs="Times New Roman"/>
          <w:szCs w:val="24"/>
          <w:lang w:val="fr-CA"/>
        </w:rPr>
        <w:t xml:space="preserve"> </w:t>
      </w:r>
      <w:r w:rsidRPr="007450AF">
        <w:rPr>
          <w:rFonts w:cs="Times New Roman"/>
          <w:szCs w:val="24"/>
          <w:lang w:val="fr-CA"/>
        </w:rPr>
        <w:t>M.</w:t>
      </w:r>
      <w:r w:rsidR="00BE024F" w:rsidRPr="007450AF">
        <w:rPr>
          <w:rFonts w:cs="Times New Roman"/>
          <w:szCs w:val="24"/>
          <w:lang w:val="fr-CA"/>
        </w:rPr>
        <w:t xml:space="preserve"> </w:t>
      </w:r>
      <w:r w:rsidRPr="007450AF">
        <w:rPr>
          <w:rFonts w:cs="Times New Roman"/>
          <w:szCs w:val="24"/>
          <w:lang w:val="fr-CA"/>
        </w:rPr>
        <w:t xml:space="preserve">S. Hacker </w:t>
      </w:r>
      <w:r w:rsidR="00B97568" w:rsidRPr="007450AF">
        <w:rPr>
          <w:rFonts w:cs="Times New Roman"/>
          <w:szCs w:val="24"/>
          <w:lang w:val="fr-CA"/>
        </w:rPr>
        <w:t>et</w:t>
      </w:r>
      <w:r w:rsidRPr="007450AF">
        <w:rPr>
          <w:rFonts w:cs="Times New Roman"/>
          <w:szCs w:val="24"/>
          <w:lang w:val="fr-CA"/>
        </w:rPr>
        <w:t xml:space="preserve"> J. Raz, </w:t>
      </w:r>
      <w:proofErr w:type="spellStart"/>
      <w:proofErr w:type="gramStart"/>
      <w:r w:rsidR="00B97568" w:rsidRPr="007450AF">
        <w:rPr>
          <w:rFonts w:cs="Times New Roman"/>
          <w:szCs w:val="24"/>
          <w:lang w:val="fr-CA"/>
        </w:rPr>
        <w:t>dir</w:t>
      </w:r>
      <w:proofErr w:type="spellEnd"/>
      <w:r w:rsidRPr="007450AF">
        <w:rPr>
          <w:rFonts w:cs="Times New Roman"/>
          <w:szCs w:val="24"/>
          <w:lang w:val="fr-CA"/>
        </w:rPr>
        <w:t>.,</w:t>
      </w:r>
      <w:proofErr w:type="gramEnd"/>
      <w:r w:rsidRPr="007450AF">
        <w:rPr>
          <w:rFonts w:cs="Times New Roman"/>
          <w:szCs w:val="24"/>
          <w:lang w:val="fr-CA"/>
        </w:rPr>
        <w:t xml:space="preserve"> </w:t>
      </w:r>
      <w:r w:rsidRPr="007450AF">
        <w:rPr>
          <w:rFonts w:cs="Times New Roman"/>
          <w:i/>
          <w:szCs w:val="24"/>
          <w:lang w:val="fr-CA"/>
        </w:rPr>
        <w:t xml:space="preserve">Law, </w:t>
      </w:r>
      <w:proofErr w:type="spellStart"/>
      <w:r w:rsidRPr="007450AF">
        <w:rPr>
          <w:rFonts w:cs="Times New Roman"/>
          <w:i/>
          <w:szCs w:val="24"/>
          <w:lang w:val="fr-CA"/>
        </w:rPr>
        <w:t>Morality</w:t>
      </w:r>
      <w:proofErr w:type="spellEnd"/>
      <w:r w:rsidRPr="007450AF">
        <w:rPr>
          <w:rFonts w:cs="Times New Roman"/>
          <w:i/>
          <w:szCs w:val="24"/>
          <w:lang w:val="fr-CA"/>
        </w:rPr>
        <w:t xml:space="preserve">, and Society : </w:t>
      </w:r>
      <w:proofErr w:type="spellStart"/>
      <w:r w:rsidRPr="007450AF">
        <w:rPr>
          <w:rFonts w:cs="Times New Roman"/>
          <w:i/>
          <w:szCs w:val="24"/>
          <w:lang w:val="fr-CA"/>
        </w:rPr>
        <w:t>Essays</w:t>
      </w:r>
      <w:proofErr w:type="spellEnd"/>
      <w:r w:rsidRPr="007450AF">
        <w:rPr>
          <w:rFonts w:cs="Times New Roman"/>
          <w:i/>
          <w:szCs w:val="24"/>
          <w:lang w:val="fr-CA"/>
        </w:rPr>
        <w:t xml:space="preserve"> in </w:t>
      </w:r>
      <w:proofErr w:type="spellStart"/>
      <w:r w:rsidRPr="007450AF">
        <w:rPr>
          <w:rFonts w:cs="Times New Roman"/>
          <w:i/>
          <w:szCs w:val="24"/>
          <w:lang w:val="fr-CA"/>
        </w:rPr>
        <w:t>Honour</w:t>
      </w:r>
      <w:proofErr w:type="spellEnd"/>
      <w:r w:rsidRPr="007450AF">
        <w:rPr>
          <w:rFonts w:cs="Times New Roman"/>
          <w:i/>
          <w:szCs w:val="24"/>
          <w:lang w:val="fr-CA"/>
        </w:rPr>
        <w:t xml:space="preserve"> of H. L. A. Hart </w:t>
      </w:r>
      <w:r w:rsidRPr="007450AF">
        <w:rPr>
          <w:rFonts w:cs="Times New Roman"/>
          <w:szCs w:val="24"/>
          <w:lang w:val="fr-CA"/>
        </w:rPr>
        <w:t>(1977), 189).  Toutefois, comme en l’espèce la province a prononcé les ordonnances, elle serait reconnue comme créancière d’un droit en vertu de l’une ou l’autre de ces théories.  Par conséquent, malgré l’intérêt que peut susciter ce débat, il n’est pas nécessaire de déterminer la théorie qui prévaut.  La véritable question n’est pas de savoir à qui est due l’obligation, puisque la loi y répond en indiquant qui peut en exiger l’exécution.  La question est plutôt de savoir s’il est suffisamment certain que l’organisme administratif effectuera les travaux de décontamination et pourra ainsi faire valoir une réclamation pécuniaire.</w:t>
      </w:r>
    </w:p>
    <w:p w:rsidR="004D251C" w:rsidRPr="007450AF" w:rsidRDefault="004D251C" w:rsidP="004D251C">
      <w:pPr>
        <w:pStyle w:val="ParaNoNdepar-AltN"/>
        <w:rPr>
          <w:rFonts w:cs="Times New Roman"/>
          <w:szCs w:val="24"/>
          <w:lang w:val="fr-CA"/>
        </w:rPr>
      </w:pPr>
      <w:r w:rsidRPr="007450AF">
        <w:rPr>
          <w:rFonts w:cs="Times New Roman"/>
          <w:szCs w:val="24"/>
          <w:lang w:val="fr-CA"/>
        </w:rPr>
        <w:lastRenderedPageBreak/>
        <w:t xml:space="preserve">La troisième réponse à l’argument soulevé par la province est que la législation en matière d’insolvabilité a considérablement évolué au cours des deux décennies écoulées depuis l’arrêt </w:t>
      </w:r>
      <w:proofErr w:type="spellStart"/>
      <w:r w:rsidRPr="007450AF">
        <w:rPr>
          <w:rFonts w:cs="Times New Roman"/>
          <w:i/>
          <w:szCs w:val="24"/>
          <w:lang w:val="fr-CA"/>
        </w:rPr>
        <w:t>Panamericana</w:t>
      </w:r>
      <w:proofErr w:type="spellEnd"/>
      <w:r w:rsidRPr="007450AF">
        <w:rPr>
          <w:rFonts w:cs="Times New Roman"/>
          <w:szCs w:val="24"/>
          <w:lang w:val="fr-CA"/>
        </w:rPr>
        <w:t>.</w:t>
      </w:r>
      <w:r w:rsidRPr="007450AF">
        <w:rPr>
          <w:rFonts w:cs="Times New Roman"/>
          <w:i/>
          <w:szCs w:val="24"/>
          <w:lang w:val="fr-CA"/>
        </w:rPr>
        <w:t xml:space="preserve">  </w:t>
      </w:r>
      <w:r w:rsidRPr="007450AF">
        <w:rPr>
          <w:rFonts w:cs="Times New Roman"/>
          <w:szCs w:val="24"/>
          <w:lang w:val="fr-CA"/>
        </w:rPr>
        <w:t xml:space="preserve">À l’époque où l’arrêt </w:t>
      </w:r>
      <w:proofErr w:type="spellStart"/>
      <w:r w:rsidRPr="007450AF">
        <w:rPr>
          <w:rFonts w:cs="Times New Roman"/>
          <w:i/>
          <w:szCs w:val="24"/>
          <w:lang w:val="fr-CA"/>
        </w:rPr>
        <w:t>Panamericana</w:t>
      </w:r>
      <w:proofErr w:type="spellEnd"/>
      <w:r w:rsidRPr="007450AF">
        <w:rPr>
          <w:rFonts w:cs="Times New Roman"/>
          <w:szCs w:val="24"/>
          <w:lang w:val="fr-CA"/>
        </w:rPr>
        <w:t xml:space="preserve"> a été prononcé, aucune des dispositions concernant les obligations liées à l’environnement n’était en vigueur.  Certaines des dispositions ont été adoptées très peu de temps après cette décision et, </w:t>
      </w:r>
      <w:proofErr w:type="spellStart"/>
      <w:r w:rsidRPr="007450AF">
        <w:rPr>
          <w:rFonts w:cs="Times New Roman"/>
          <w:szCs w:val="24"/>
          <w:lang w:val="fr-CA"/>
        </w:rPr>
        <w:t>semble</w:t>
      </w:r>
      <w:r w:rsidRPr="007450AF">
        <w:rPr>
          <w:rFonts w:cs="Times New Roman"/>
          <w:szCs w:val="24"/>
          <w:lang w:val="fr-CA"/>
        </w:rPr>
        <w:noBreakHyphen/>
        <w:t>t</w:t>
      </w:r>
      <w:r w:rsidRPr="007450AF">
        <w:rPr>
          <w:rFonts w:cs="Times New Roman"/>
          <w:szCs w:val="24"/>
          <w:lang w:val="fr-CA"/>
        </w:rPr>
        <w:noBreakHyphen/>
        <w:t>il</w:t>
      </w:r>
      <w:proofErr w:type="spellEnd"/>
      <w:r w:rsidRPr="007450AF">
        <w:rPr>
          <w:rFonts w:cs="Times New Roman"/>
          <w:szCs w:val="24"/>
          <w:lang w:val="fr-CA"/>
        </w:rPr>
        <w:t xml:space="preserve">, en réponse à </w:t>
      </w:r>
      <w:proofErr w:type="spellStart"/>
      <w:r w:rsidRPr="007450AF">
        <w:rPr>
          <w:rFonts w:cs="Times New Roman"/>
          <w:szCs w:val="24"/>
          <w:lang w:val="fr-CA"/>
        </w:rPr>
        <w:t>celle</w:t>
      </w:r>
      <w:r w:rsidRPr="007450AF">
        <w:rPr>
          <w:rFonts w:cs="Times New Roman"/>
          <w:szCs w:val="24"/>
          <w:lang w:val="fr-CA"/>
        </w:rPr>
        <w:noBreakHyphen/>
        <w:t>ci</w:t>
      </w:r>
      <w:proofErr w:type="spellEnd"/>
      <w:r w:rsidRPr="007450AF">
        <w:rPr>
          <w:rFonts w:cs="Times New Roman"/>
          <w:szCs w:val="24"/>
          <w:lang w:val="fr-CA"/>
        </w:rPr>
        <w:t xml:space="preserve">.  En 1992, le législateur a permis aux syndics d’échapper à la responsabilité même que l’arrêt </w:t>
      </w:r>
      <w:proofErr w:type="spellStart"/>
      <w:r w:rsidRPr="007450AF">
        <w:rPr>
          <w:rFonts w:cs="Times New Roman"/>
          <w:i/>
          <w:szCs w:val="24"/>
          <w:lang w:val="fr-CA"/>
        </w:rPr>
        <w:t>Panamericana</w:t>
      </w:r>
      <w:proofErr w:type="spellEnd"/>
      <w:r w:rsidRPr="007450AF">
        <w:rPr>
          <w:rFonts w:cs="Times New Roman"/>
          <w:szCs w:val="24"/>
          <w:lang w:val="fr-CA"/>
        </w:rPr>
        <w:t xml:space="preserve"> avait retenue contre le séquestre (</w:t>
      </w:r>
      <w:r w:rsidRPr="007450AF">
        <w:rPr>
          <w:rFonts w:cs="Times New Roman"/>
          <w:i/>
          <w:szCs w:val="24"/>
          <w:lang w:val="fr-CA"/>
        </w:rPr>
        <w:t>Loi modifiant la Loi sur la faillite et la Loi de l’impôt sur le revenu en conséquence</w:t>
      </w:r>
      <w:r w:rsidRPr="007450AF">
        <w:rPr>
          <w:rFonts w:cs="Times New Roman"/>
          <w:szCs w:val="24"/>
          <w:lang w:val="fr-CA"/>
        </w:rPr>
        <w:t xml:space="preserve">, L.C. 1992, ch. 27, art. 9, modifiant l’art. 14 de la </w:t>
      </w:r>
      <w:r w:rsidRPr="007450AF">
        <w:rPr>
          <w:rFonts w:cs="Times New Roman"/>
          <w:i/>
          <w:szCs w:val="24"/>
          <w:lang w:val="fr-CA"/>
        </w:rPr>
        <w:t>LFI</w:t>
      </w:r>
      <w:r w:rsidRPr="007450AF">
        <w:rPr>
          <w:rFonts w:cs="Times New Roman"/>
          <w:szCs w:val="24"/>
          <w:lang w:val="fr-CA"/>
        </w:rPr>
        <w:t>).  Une protection additionnelle a été accordée au syndic et au contrôleur avec les modifications adoptées en 1997 (</w:t>
      </w:r>
      <w:r w:rsidR="00742625" w:rsidRPr="007450AF">
        <w:rPr>
          <w:rFonts w:cs="Times New Roman"/>
          <w:i/>
          <w:lang w:val="fr-CA"/>
        </w:rPr>
        <w:t>Loi modifiant la Loi sur la faillite et l’insolvabilité, la Loi sur les arrangements avec les créanciers des compagnies et la Loi de l’impôt sur le revenu</w:t>
      </w:r>
      <w:r w:rsidR="00742625" w:rsidRPr="007450AF">
        <w:rPr>
          <w:rFonts w:cs="Times New Roman"/>
          <w:lang w:val="fr-CA"/>
        </w:rPr>
        <w:t>,</w:t>
      </w:r>
      <w:r w:rsidR="00742625" w:rsidRPr="007450AF">
        <w:rPr>
          <w:rFonts w:cs="Times New Roman"/>
          <w:szCs w:val="24"/>
          <w:lang w:val="fr-CA"/>
        </w:rPr>
        <w:t xml:space="preserve"> </w:t>
      </w:r>
      <w:r w:rsidRPr="007450AF">
        <w:rPr>
          <w:rFonts w:cs="Times New Roman"/>
          <w:szCs w:val="24"/>
          <w:lang w:val="fr-CA"/>
        </w:rPr>
        <w:t xml:space="preserve">L.C. 1997, ch. 12).  Les modifications apportées en 2007 ont précisé que le tribunal chargé d’appliquer la </w:t>
      </w:r>
      <w:r w:rsidRPr="007450AF">
        <w:rPr>
          <w:rFonts w:cs="Times New Roman"/>
          <w:i/>
          <w:szCs w:val="24"/>
          <w:lang w:val="fr-CA"/>
        </w:rPr>
        <w:t>LACC</w:t>
      </w:r>
      <w:r w:rsidRPr="007450AF">
        <w:rPr>
          <w:rFonts w:cs="Times New Roman"/>
          <w:szCs w:val="24"/>
          <w:lang w:val="fr-CA"/>
        </w:rPr>
        <w:t xml:space="preserve"> </w:t>
      </w:r>
      <w:proofErr w:type="gramStart"/>
      <w:r w:rsidRPr="007450AF">
        <w:rPr>
          <w:rFonts w:cs="Times New Roman"/>
          <w:szCs w:val="24"/>
          <w:lang w:val="fr-CA"/>
        </w:rPr>
        <w:t>a</w:t>
      </w:r>
      <w:proofErr w:type="gramEnd"/>
      <w:r w:rsidRPr="007450AF">
        <w:rPr>
          <w:rFonts w:cs="Times New Roman"/>
          <w:szCs w:val="24"/>
          <w:lang w:val="fr-CA"/>
        </w:rPr>
        <w:t xml:space="preserve"> le pouvoir de décider qu’une ordonnance d’un organisme administratif peut constituer une réclamation; ces modifications ont de plus établi des critères applicables à la suspension de ces ordonnances (art. 65, modifiant la </w:t>
      </w:r>
      <w:r w:rsidRPr="007450AF">
        <w:rPr>
          <w:rFonts w:cs="Times New Roman"/>
          <w:i/>
          <w:szCs w:val="24"/>
          <w:lang w:val="fr-CA"/>
        </w:rPr>
        <w:t>LACC</w:t>
      </w:r>
      <w:r w:rsidRPr="007450AF">
        <w:rPr>
          <w:rFonts w:cs="Times New Roman"/>
          <w:szCs w:val="24"/>
          <w:lang w:val="fr-CA"/>
        </w:rPr>
        <w:t xml:space="preserve"> par l’ajout de l’art. 11.1).  Ces modifications visaient à établir un équilibre entre le besoin de traiter les créanciers de façon équitable et celui de permettre au débiteur de prendre un nouveau départ.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La détermination qu’une ordonnance d’un organisme administratif constitue une réclamation éventuelle doit être fondée sur les faits de chaque affaire.  </w:t>
      </w:r>
      <w:r w:rsidRPr="007450AF">
        <w:rPr>
          <w:rFonts w:cs="Times New Roman"/>
          <w:szCs w:val="24"/>
          <w:lang w:val="fr-CA"/>
        </w:rPr>
        <w:lastRenderedPageBreak/>
        <w:t xml:space="preserve">La législation en matière d’environnement accorde généralement à un organisme administratif un pouvoir discrétionnaire de décider de la meilleure façon d’assurer le respect des obligations découlant de la réglementation.  Quoique le tribunal doive se garder de s’ingérer dans l’exercice du pouvoir discrétionnaire de ces organismes, les mesures qu’ils prennent peuvent néanmoins faire l’objet d’un examen dans le cadre de procédures engagées sous le régime fédéral de l’insolvabilité.  </w:t>
      </w:r>
    </w:p>
    <w:p w:rsidR="004D251C" w:rsidRPr="007450AF" w:rsidRDefault="004D251C" w:rsidP="00742625">
      <w:pPr>
        <w:pStyle w:val="TitleTitre-AltT"/>
        <w:tabs>
          <w:tab w:val="clear" w:pos="360"/>
          <w:tab w:val="left" w:pos="540"/>
        </w:tabs>
        <w:ind w:left="540" w:hanging="540"/>
        <w:rPr>
          <w:rFonts w:cs="Times New Roman"/>
          <w:b/>
          <w:szCs w:val="24"/>
          <w:lang w:val="fr-CA"/>
        </w:rPr>
      </w:pPr>
      <w:r w:rsidRPr="007450AF">
        <w:rPr>
          <w:rFonts w:cs="Times New Roman"/>
          <w:szCs w:val="24"/>
          <w:lang w:val="fr-CA"/>
        </w:rPr>
        <w:t>V.</w:t>
      </w:r>
      <w:r w:rsidRPr="007450AF">
        <w:rPr>
          <w:rFonts w:cs="Times New Roman"/>
          <w:szCs w:val="24"/>
          <w:lang w:val="fr-CA"/>
        </w:rPr>
        <w:tab/>
      </w:r>
      <w:r w:rsidRPr="007450AF">
        <w:rPr>
          <w:rFonts w:cs="Times New Roman"/>
          <w:szCs w:val="24"/>
          <w:u w:val="single"/>
          <w:lang w:val="fr-CA"/>
        </w:rPr>
        <w:t>Application</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J’aborde maintenant l’application des principes énoncés </w:t>
      </w:r>
      <w:proofErr w:type="spellStart"/>
      <w:r w:rsidRPr="007450AF">
        <w:rPr>
          <w:rFonts w:cs="Times New Roman"/>
          <w:szCs w:val="24"/>
          <w:lang w:val="fr-CA"/>
        </w:rPr>
        <w:t>ci</w:t>
      </w:r>
      <w:r w:rsidRPr="007450AF">
        <w:rPr>
          <w:rFonts w:cs="Times New Roman"/>
          <w:szCs w:val="24"/>
          <w:lang w:val="fr-CA"/>
        </w:rPr>
        <w:noBreakHyphen/>
        <w:t>dessus</w:t>
      </w:r>
      <w:proofErr w:type="spellEnd"/>
      <w:r w:rsidRPr="007450AF">
        <w:rPr>
          <w:rFonts w:cs="Times New Roman"/>
          <w:szCs w:val="24"/>
          <w:lang w:val="fr-CA"/>
        </w:rPr>
        <w:t xml:space="preserve"> à l’affaire dont notre Cour est saisie.  En l’espèce, le débat n’est pas centré sur la question de savoir si la province est créancière d’une obligation ou si des dommages étaient survenus à la date pertinente.  Il est facile de répondre à ces questions étant donné que la province s’est </w:t>
      </w:r>
      <w:proofErr w:type="spellStart"/>
      <w:r w:rsidRPr="007450AF">
        <w:rPr>
          <w:rFonts w:cs="Times New Roman"/>
          <w:szCs w:val="24"/>
          <w:lang w:val="fr-CA"/>
        </w:rPr>
        <w:t>elle</w:t>
      </w:r>
      <w:r w:rsidRPr="007450AF">
        <w:rPr>
          <w:rFonts w:cs="Times New Roman"/>
          <w:szCs w:val="24"/>
          <w:lang w:val="fr-CA"/>
        </w:rPr>
        <w:noBreakHyphen/>
        <w:t>même</w:t>
      </w:r>
      <w:proofErr w:type="spellEnd"/>
      <w:r w:rsidRPr="007450AF">
        <w:rPr>
          <w:rFonts w:cs="Times New Roman"/>
          <w:szCs w:val="24"/>
          <w:lang w:val="fr-CA"/>
        </w:rPr>
        <w:t xml:space="preserve"> présentée comme créancière en ayant recours aux mécanismes d’application de l’</w:t>
      </w:r>
      <w:r w:rsidRPr="007450AF">
        <w:rPr>
          <w:rFonts w:cs="Times New Roman"/>
          <w:i/>
          <w:szCs w:val="24"/>
          <w:lang w:val="fr-CA"/>
        </w:rPr>
        <w:t>EPA</w:t>
      </w:r>
      <w:r w:rsidRPr="007450AF">
        <w:rPr>
          <w:rFonts w:cs="Times New Roman"/>
          <w:szCs w:val="24"/>
          <w:lang w:val="fr-CA"/>
        </w:rPr>
        <w:t xml:space="preserve"> et que les dommages sont survenus avant que les procédures en vertu de la</w:t>
      </w:r>
      <w:r w:rsidRPr="007450AF">
        <w:rPr>
          <w:rFonts w:cs="Times New Roman"/>
          <w:i/>
          <w:szCs w:val="24"/>
          <w:lang w:val="fr-CA"/>
        </w:rPr>
        <w:t xml:space="preserve"> LACC </w:t>
      </w:r>
      <w:r w:rsidRPr="007450AF">
        <w:rPr>
          <w:rFonts w:cs="Times New Roman"/>
          <w:szCs w:val="24"/>
          <w:lang w:val="fr-CA"/>
        </w:rPr>
        <w:t>ne</w:t>
      </w:r>
      <w:r w:rsidRPr="007450AF">
        <w:rPr>
          <w:rFonts w:cs="Times New Roman"/>
          <w:i/>
          <w:szCs w:val="24"/>
          <w:lang w:val="fr-CA"/>
        </w:rPr>
        <w:t xml:space="preserve"> </w:t>
      </w:r>
      <w:r w:rsidRPr="007450AF">
        <w:rPr>
          <w:rFonts w:cs="Times New Roman"/>
          <w:szCs w:val="24"/>
          <w:lang w:val="fr-CA"/>
        </w:rPr>
        <w:t xml:space="preserve">soient entamées.  Le débat porte plutôt sur la troisième condition, celle qui consiste à savoir si les ordonnances satisfont au critère d’admissibilité à titre de réclamation pécuniaire.  La réclamation était éventuelle dans la mesure où la province n’avait pas formellement exercé son pouvoir de demander paiement d’une somme d’argent.  La question est de savoir s’il était suffisamment certain que l’ordonnance mènerait éventuellement à la production d’une réclamation pécuniaire.  Pour le juge de première instance, une réponse affirmative ne faisait pas de doute.  </w:t>
      </w:r>
    </w:p>
    <w:p w:rsidR="004D251C" w:rsidRPr="007450AF" w:rsidRDefault="004D251C" w:rsidP="004D251C">
      <w:pPr>
        <w:pStyle w:val="ParaNoNdepar-AltN"/>
        <w:rPr>
          <w:rFonts w:cs="Times New Roman"/>
          <w:szCs w:val="24"/>
          <w:lang w:val="fr-CA"/>
        </w:rPr>
      </w:pPr>
      <w:r w:rsidRPr="007450AF">
        <w:rPr>
          <w:rFonts w:cs="Times New Roman"/>
          <w:szCs w:val="24"/>
          <w:lang w:val="fr-CA"/>
        </w:rPr>
        <w:lastRenderedPageBreak/>
        <w:t>En adoptant l’</w:t>
      </w:r>
      <w:r w:rsidRPr="007450AF">
        <w:rPr>
          <w:rFonts w:cs="Times New Roman"/>
          <w:i/>
          <w:szCs w:val="24"/>
          <w:lang w:val="fr-CA"/>
        </w:rPr>
        <w:t xml:space="preserve">Abitibi </w:t>
      </w:r>
      <w:proofErr w:type="spellStart"/>
      <w:r w:rsidRPr="007450AF">
        <w:rPr>
          <w:rFonts w:cs="Times New Roman"/>
          <w:i/>
          <w:szCs w:val="24"/>
          <w:lang w:val="fr-CA"/>
        </w:rPr>
        <w:t>Act</w:t>
      </w:r>
      <w:proofErr w:type="spellEnd"/>
      <w:r w:rsidRPr="007450AF">
        <w:rPr>
          <w:rFonts w:cs="Times New Roman"/>
          <w:szCs w:val="24"/>
          <w:lang w:val="fr-CA"/>
        </w:rPr>
        <w:t>, ayant ainsi recours à son pouvoir législatif, la province</w:t>
      </w:r>
      <w:r w:rsidRPr="007450AF">
        <w:rPr>
          <w:rFonts w:cs="Times New Roman"/>
          <w:i/>
          <w:szCs w:val="24"/>
          <w:lang w:val="fr-CA"/>
        </w:rPr>
        <w:t xml:space="preserve"> </w:t>
      </w:r>
      <w:r w:rsidRPr="007450AF">
        <w:rPr>
          <w:rFonts w:cs="Times New Roman"/>
          <w:szCs w:val="24"/>
          <w:lang w:val="fr-CA"/>
        </w:rPr>
        <w:t>mettait en place un contexte factuel unique qui menait à l’émission des ordonnances.  La saisie par la province des actifs d’Abitibi, l’annulation de tous les contrats d’approvisionnement en eau et d’</w:t>
      </w:r>
      <w:proofErr w:type="spellStart"/>
      <w:r w:rsidRPr="007450AF">
        <w:rPr>
          <w:rFonts w:cs="Times New Roman"/>
          <w:szCs w:val="24"/>
          <w:lang w:val="fr-CA"/>
        </w:rPr>
        <w:t>hydro</w:t>
      </w:r>
      <w:r w:rsidRPr="007450AF">
        <w:rPr>
          <w:rFonts w:cs="Times New Roman"/>
          <w:szCs w:val="24"/>
          <w:lang w:val="fr-CA"/>
        </w:rPr>
        <w:noBreakHyphen/>
        <w:t>électricité</w:t>
      </w:r>
      <w:proofErr w:type="spellEnd"/>
      <w:r w:rsidRPr="007450AF">
        <w:rPr>
          <w:rFonts w:cs="Times New Roman"/>
          <w:szCs w:val="24"/>
          <w:lang w:val="fr-CA"/>
        </w:rPr>
        <w:t xml:space="preserve"> conclus entre Abitibi et la province, l’annulation des recours intentés par Abitibi pour obtenir le remboursement de plusieurs centaines de milliers de dollars et le refus de toute indemnité et de tous recours en justice à l’égard des actifs saisis tissent un contexte factuel dont le juge ne peut faire abstraction dans son examen des ordonnances </w:t>
      </w:r>
      <w:r w:rsidRPr="007450AF">
        <w:rPr>
          <w:rFonts w:cs="Times New Roman"/>
          <w:i/>
          <w:szCs w:val="24"/>
          <w:lang w:val="fr-CA"/>
        </w:rPr>
        <w:t>EPA</w:t>
      </w:r>
      <w:r w:rsidRPr="007450AF">
        <w:rPr>
          <w:rFonts w:cs="Times New Roman"/>
          <w:szCs w:val="24"/>
          <w:lang w:val="fr-CA"/>
        </w:rPr>
        <w:t xml:space="preserve">. </w:t>
      </w:r>
    </w:p>
    <w:p w:rsidR="004D251C" w:rsidRPr="007450AF" w:rsidRDefault="004D251C" w:rsidP="004D251C">
      <w:pPr>
        <w:pStyle w:val="ParaNoNdepar-AltN"/>
        <w:rPr>
          <w:rFonts w:cs="Times New Roman"/>
          <w:szCs w:val="24"/>
          <w:lang w:val="fr-CA"/>
        </w:rPr>
      </w:pPr>
      <w:r w:rsidRPr="007450AF">
        <w:rPr>
          <w:rFonts w:cs="Times New Roman"/>
          <w:szCs w:val="24"/>
          <w:lang w:val="fr-CA"/>
        </w:rPr>
        <w:t>Le juge de première instance n’a pas fait une analyse distincte du critère suivant lequel le tribunal doit être suffisamment certain que le ministre exécuterait les travaux de décontamination et ferait, par conséquent, valoir une réclamation pécuniaire.  Cependant, la plupart de ses conclusions reposent manifestement sur un constat positif à cet égard.  Par exemple, le constat que [</w:t>
      </w:r>
      <w:r w:rsidRPr="007450AF">
        <w:rPr>
          <w:rFonts w:cs="Times New Roman"/>
          <w:smallCaps/>
          <w:szCs w:val="24"/>
          <w:lang w:val="fr-CA"/>
        </w:rPr>
        <w:t>traduction</w:t>
      </w:r>
      <w:r w:rsidRPr="007450AF">
        <w:rPr>
          <w:rFonts w:cs="Times New Roman"/>
          <w:szCs w:val="24"/>
          <w:lang w:val="fr-CA"/>
        </w:rPr>
        <w:t>] « </w:t>
      </w:r>
      <w:r w:rsidR="00742625" w:rsidRPr="007450AF">
        <w:rPr>
          <w:rFonts w:cs="Times New Roman"/>
          <w:szCs w:val="24"/>
          <w:lang w:val="fr-CA"/>
        </w:rPr>
        <w:t>[</w:t>
      </w:r>
      <w:r w:rsidRPr="007450AF">
        <w:rPr>
          <w:rFonts w:cs="Times New Roman"/>
          <w:szCs w:val="24"/>
          <w:lang w:val="fr-CA"/>
        </w:rPr>
        <w:t>s</w:t>
      </w:r>
      <w:r w:rsidR="00742625" w:rsidRPr="007450AF">
        <w:rPr>
          <w:rFonts w:cs="Times New Roman"/>
          <w:szCs w:val="24"/>
          <w:lang w:val="fr-CA"/>
        </w:rPr>
        <w:t>]</w:t>
      </w:r>
      <w:proofErr w:type="spellStart"/>
      <w:r w:rsidRPr="007450AF">
        <w:rPr>
          <w:rFonts w:cs="Times New Roman"/>
          <w:szCs w:val="24"/>
          <w:lang w:val="fr-CA"/>
        </w:rPr>
        <w:t>elon</w:t>
      </w:r>
      <w:proofErr w:type="spellEnd"/>
      <w:r w:rsidRPr="007450AF">
        <w:rPr>
          <w:rFonts w:cs="Times New Roman"/>
          <w:szCs w:val="24"/>
          <w:lang w:val="fr-CA"/>
        </w:rPr>
        <w:t xml:space="preserve"> toute vraisemblance, le caractère véritable des ordonnances </w:t>
      </w:r>
      <w:r w:rsidRPr="007450AF">
        <w:rPr>
          <w:rFonts w:cs="Times New Roman"/>
          <w:i/>
          <w:szCs w:val="24"/>
          <w:lang w:val="fr-CA"/>
        </w:rPr>
        <w:t>EPA</w:t>
      </w:r>
      <w:r w:rsidRPr="007450AF">
        <w:rPr>
          <w:rFonts w:cs="Times New Roman"/>
          <w:szCs w:val="24"/>
          <w:lang w:val="fr-CA"/>
        </w:rPr>
        <w:t xml:space="preserve"> [consiste] pour la province à tenter de jeter les bases de réclamations pécuniaires contre Abitibi, dans le but de les utiliser tout probablement à titre compensatoire au regard des demandes d’indemnisation d’Abitibi fondées sur l’ALÉNA » (par. 178) repose nécessairement sur la prémisse que la province allait fort probablement exécuter les travaux de décontamination.  En effet, puisque les réclamations pécuniaires, en </w:t>
      </w:r>
      <w:proofErr w:type="spellStart"/>
      <w:r w:rsidRPr="007450AF">
        <w:rPr>
          <w:rFonts w:cs="Times New Roman"/>
          <w:szCs w:val="24"/>
          <w:lang w:val="fr-CA"/>
        </w:rPr>
        <w:t>common</w:t>
      </w:r>
      <w:proofErr w:type="spellEnd"/>
      <w:r w:rsidRPr="007450AF">
        <w:rPr>
          <w:rFonts w:cs="Times New Roman"/>
          <w:szCs w:val="24"/>
          <w:lang w:val="fr-CA"/>
        </w:rPr>
        <w:t xml:space="preserve"> </w:t>
      </w:r>
      <w:proofErr w:type="spellStart"/>
      <w:r w:rsidRPr="007450AF">
        <w:rPr>
          <w:rFonts w:cs="Times New Roman"/>
          <w:szCs w:val="24"/>
          <w:lang w:val="fr-CA"/>
        </w:rPr>
        <w:t>law</w:t>
      </w:r>
      <w:proofErr w:type="spellEnd"/>
      <w:r w:rsidRPr="007450AF">
        <w:rPr>
          <w:rFonts w:cs="Times New Roman"/>
          <w:szCs w:val="24"/>
          <w:lang w:val="fr-CA"/>
        </w:rPr>
        <w:t xml:space="preserve"> comme en droit civil, doivent être réciproques pour opérer compensation, la province devait avoir engagé des dépenses en exécutant des travaux, ce qui établissait la base de la réclamation qu’elle ferait valoir pour compenser celle d’Abitibi.  </w:t>
      </w:r>
    </w:p>
    <w:p w:rsidR="004D251C" w:rsidRPr="007450AF" w:rsidRDefault="004D251C" w:rsidP="004D251C">
      <w:pPr>
        <w:pStyle w:val="ParaNoNdepar-AltN"/>
        <w:rPr>
          <w:rFonts w:cs="Times New Roman"/>
          <w:szCs w:val="24"/>
          <w:lang w:val="fr-CA"/>
        </w:rPr>
      </w:pPr>
      <w:r w:rsidRPr="007450AF">
        <w:rPr>
          <w:rFonts w:cs="Times New Roman"/>
          <w:szCs w:val="24"/>
          <w:lang w:val="fr-CA"/>
        </w:rPr>
        <w:lastRenderedPageBreak/>
        <w:t xml:space="preserve">Un autre fait illustre que le juge de première instance a implicitement conclu que la province allait fort probablement exécuter les travaux et produire une réclamation pour compenser ses coûts est qu’il en a trouvé une confirmation dans la déclaration du </w:t>
      </w:r>
      <w:r w:rsidR="00742625" w:rsidRPr="007450AF">
        <w:rPr>
          <w:rFonts w:cs="Times New Roman"/>
          <w:szCs w:val="24"/>
          <w:lang w:val="fr-CA"/>
        </w:rPr>
        <w:t xml:space="preserve">premier </w:t>
      </w:r>
      <w:r w:rsidRPr="007450AF">
        <w:rPr>
          <w:rFonts w:cs="Times New Roman"/>
          <w:szCs w:val="24"/>
          <w:lang w:val="fr-CA"/>
        </w:rPr>
        <w:t>ministre selon laquelle la province tentait d’évaluer ce qu’il en coûterait pour réaliser les travaux de décontamination qu’Abitibi n’aurait pas exécutés, et que selon l’estimation de la province, [</w:t>
      </w:r>
      <w:r w:rsidRPr="007450AF">
        <w:rPr>
          <w:rFonts w:cs="Times New Roman"/>
          <w:smallCaps/>
          <w:szCs w:val="24"/>
          <w:lang w:val="fr-CA"/>
        </w:rPr>
        <w:t>traduction</w:t>
      </w:r>
      <w:r w:rsidRPr="007450AF">
        <w:rPr>
          <w:rFonts w:cs="Times New Roman"/>
          <w:szCs w:val="24"/>
          <w:lang w:val="fr-CA"/>
        </w:rPr>
        <w:t xml:space="preserve">] « à l’heure actuelle, aucun paiement net ne serait versé à Abitibi » (par. 181).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Les motifs du juge de première instance reposent non seulement sur une constatation implicite que la province exécuterait fort probablement les travaux, mais ils renvoient expressément aux faits qui appuient cette constatation.  Pour conclure que les ordonnances </w:t>
      </w:r>
      <w:r w:rsidRPr="007450AF">
        <w:rPr>
          <w:rFonts w:cs="Times New Roman"/>
          <w:i/>
          <w:szCs w:val="24"/>
          <w:lang w:val="fr-CA"/>
        </w:rPr>
        <w:t>EPA</w:t>
      </w:r>
      <w:r w:rsidRPr="007450AF">
        <w:rPr>
          <w:rFonts w:cs="Times New Roman"/>
          <w:szCs w:val="24"/>
          <w:lang w:val="fr-CA"/>
        </w:rPr>
        <w:t xml:space="preserve"> étaient de nature pécuniaire, le juge s’est fondé sur le fait </w:t>
      </w:r>
      <w:r w:rsidR="00742625" w:rsidRPr="007450AF">
        <w:rPr>
          <w:rFonts w:cs="Times New Roman"/>
          <w:szCs w:val="24"/>
          <w:lang w:val="fr-CA"/>
        </w:rPr>
        <w:t>qu’Abitibi pouvait mener ses opérations grâce à un financement de débiteur-exploitant</w:t>
      </w:r>
      <w:r w:rsidRPr="007450AF">
        <w:rPr>
          <w:rFonts w:cs="Times New Roman"/>
          <w:szCs w:val="24"/>
          <w:lang w:val="fr-CA"/>
        </w:rPr>
        <w:t xml:space="preserve"> et qu’elle n’avait accès à ces fonds que pour ses activités courantes.  Étant donné que les ordonnances visaient des sites que, pour la plupart, Abitibi ne possédait plus, cela signifiait qu’Abitibi ne disposait d’aucune ressource pour exécuter les travaux pendant la réorganisation.</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De plus, parce qu’Abitibi ne disposait pas des fonds et n’exerçait plus aucun contrôle sur les biens, l’échéancier fixé par la province dans les ordonnances </w:t>
      </w:r>
      <w:r w:rsidRPr="007450AF">
        <w:rPr>
          <w:rFonts w:cs="Times New Roman"/>
          <w:i/>
          <w:szCs w:val="24"/>
          <w:lang w:val="fr-CA"/>
        </w:rPr>
        <w:t xml:space="preserve">EPA </w:t>
      </w:r>
      <w:r w:rsidRPr="007450AF">
        <w:rPr>
          <w:rFonts w:cs="Times New Roman"/>
          <w:szCs w:val="24"/>
          <w:lang w:val="fr-CA"/>
        </w:rPr>
        <w:t xml:space="preserve">était non seulement irréaliste, mais suggérait que la province n’avait jamais vraiment eu l’intention qu’Abitibi exécute les travaux qu’elle lui ordonnait de faire.  Par exemple, les ordonnances en date du 12 novembre 2009 exigeaient que certains </w:t>
      </w:r>
      <w:r w:rsidRPr="007450AF">
        <w:rPr>
          <w:rFonts w:cs="Times New Roman"/>
          <w:szCs w:val="24"/>
          <w:lang w:val="fr-CA"/>
        </w:rPr>
        <w:lastRenderedPageBreak/>
        <w:t xml:space="preserve">travaux particuliers soient terminés le 15 janvier 2010 alors que la preuve démontre qu’il aurait fallu presque un an pour exécuter ces travaux.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En outre, le juge s’est appuyé sur le fait qu’Abitibi n’était pas simplement désignée comme </w:t>
      </w:r>
      <w:r w:rsidR="00742625" w:rsidRPr="007450AF">
        <w:rPr>
          <w:rFonts w:cs="Times New Roman"/>
          <w:szCs w:val="24"/>
          <w:lang w:val="fr-CA"/>
        </w:rPr>
        <w:t>[</w:t>
      </w:r>
      <w:r w:rsidR="00742625" w:rsidRPr="007450AF">
        <w:rPr>
          <w:rFonts w:cs="Times New Roman"/>
          <w:smallCaps/>
          <w:szCs w:val="24"/>
          <w:lang w:val="fr-CA"/>
        </w:rPr>
        <w:t>traduction</w:t>
      </w:r>
      <w:r w:rsidR="00742625" w:rsidRPr="007450AF">
        <w:rPr>
          <w:rFonts w:cs="Times New Roman"/>
          <w:szCs w:val="24"/>
          <w:lang w:val="fr-CA"/>
        </w:rPr>
        <w:t xml:space="preserve">] </w:t>
      </w:r>
      <w:r w:rsidRPr="007450AF">
        <w:rPr>
          <w:rFonts w:cs="Times New Roman"/>
          <w:szCs w:val="24"/>
          <w:lang w:val="fr-CA"/>
        </w:rPr>
        <w:t>« personne responsable » aux termes de l’</w:t>
      </w:r>
      <w:r w:rsidRPr="007450AF">
        <w:rPr>
          <w:rFonts w:cs="Times New Roman"/>
          <w:i/>
          <w:szCs w:val="24"/>
          <w:lang w:val="fr-CA"/>
        </w:rPr>
        <w:t>EPA</w:t>
      </w:r>
      <w:r w:rsidRPr="007450AF">
        <w:rPr>
          <w:rFonts w:cs="Times New Roman"/>
          <w:szCs w:val="24"/>
          <w:lang w:val="fr-CA"/>
        </w:rPr>
        <w:t xml:space="preserve">, mais qu’elle était intentionnellement visée par la province.  Il a fait cette constatation non seulement en raison du choix du moment où les ordonnances ont été prononcées, mais aussi parce qu’Abitibi y était la seule personne désignée alors que d’autres semblaient également responsables — et en certains cas, principalement responsables — de la contamination.  Par exemple, la province a ordonné à Abitibi d’effectuer des travaux de décontamination d’un site qu’elle avait abandonné plus de 50 ans avant le prononcé des ordonnances alors que le rapport d’expert sur lequel les ordonnances étaient fondées ne distinguait aucunement les activités d’Abitibi, qui avait utilisé des chevaux, et les activités subséquentes d’autres personnes qui y avaient utilisé des véhicules alimentés au mazout.  Ce fait, pour le juge, illustrait l’intention de la province d’établir un fondement pour exécuter </w:t>
      </w:r>
      <w:proofErr w:type="spellStart"/>
      <w:r w:rsidRPr="007450AF">
        <w:rPr>
          <w:rFonts w:cs="Times New Roman"/>
          <w:szCs w:val="24"/>
          <w:lang w:val="fr-CA"/>
        </w:rPr>
        <w:t>elle</w:t>
      </w:r>
      <w:r w:rsidRPr="007450AF">
        <w:rPr>
          <w:rFonts w:cs="Times New Roman"/>
          <w:szCs w:val="24"/>
          <w:lang w:val="fr-CA"/>
        </w:rPr>
        <w:noBreakHyphen/>
        <w:t>même</w:t>
      </w:r>
      <w:proofErr w:type="spellEnd"/>
      <w:r w:rsidRPr="007450AF">
        <w:rPr>
          <w:rFonts w:cs="Times New Roman"/>
          <w:szCs w:val="24"/>
          <w:lang w:val="fr-CA"/>
        </w:rPr>
        <w:t xml:space="preserve"> les travaux et présenter une réclamation contre Abitibi.</w:t>
      </w:r>
    </w:p>
    <w:p w:rsidR="004D251C" w:rsidRPr="007450AF" w:rsidRDefault="004D251C" w:rsidP="004D251C">
      <w:pPr>
        <w:pStyle w:val="ParaNoNdepar-AltN"/>
        <w:rPr>
          <w:rFonts w:cs="Times New Roman"/>
          <w:szCs w:val="24"/>
          <w:lang w:val="fr-CA"/>
        </w:rPr>
      </w:pPr>
      <w:r w:rsidRPr="007450AF">
        <w:rPr>
          <w:rFonts w:cs="Times New Roman"/>
          <w:szCs w:val="24"/>
          <w:lang w:val="fr-CA"/>
        </w:rPr>
        <w:t>Ces motifs — et d’autres — ont amené le juge de première instance à conclure que la province ne s’attendait pas à ce qu’Abitibi exécute les travaux de décontamination et que [</w:t>
      </w:r>
      <w:r w:rsidRPr="007450AF">
        <w:rPr>
          <w:rFonts w:cs="Times New Roman"/>
          <w:smallCaps/>
          <w:szCs w:val="24"/>
          <w:lang w:val="fr-CA"/>
        </w:rPr>
        <w:t>traduction</w:t>
      </w:r>
      <w:r w:rsidRPr="007450AF">
        <w:rPr>
          <w:rFonts w:cs="Times New Roman"/>
          <w:szCs w:val="24"/>
          <w:lang w:val="fr-CA"/>
        </w:rPr>
        <w:t xml:space="preserve">] « les ordonnances </w:t>
      </w:r>
      <w:r w:rsidRPr="007450AF">
        <w:rPr>
          <w:rFonts w:cs="Times New Roman"/>
          <w:i/>
          <w:szCs w:val="24"/>
          <w:lang w:val="fr-CA"/>
        </w:rPr>
        <w:t>EPA</w:t>
      </w:r>
      <w:r w:rsidRPr="007450AF">
        <w:rPr>
          <w:rFonts w:cs="Times New Roman"/>
          <w:szCs w:val="24"/>
          <w:lang w:val="fr-CA"/>
        </w:rPr>
        <w:t xml:space="preserve"> avaient pour effet voulu, pratique et réaliste de jeter les bases qui permettraient à la province de recouvrer les sommes d’argent devant éventuellement être employées pour la </w:t>
      </w:r>
      <w:r w:rsidRPr="007450AF">
        <w:rPr>
          <w:rFonts w:cs="Times New Roman"/>
          <w:szCs w:val="24"/>
          <w:lang w:val="fr-CA"/>
        </w:rPr>
        <w:lastRenderedPageBreak/>
        <w:t xml:space="preserve">décontamination des terrains en question » (par. 211).  Il a conclu que la province semblait avoir en fait pris des mesures en vue de liquider les réclamations découlant des ordonnances </w:t>
      </w:r>
      <w:r w:rsidRPr="007450AF">
        <w:rPr>
          <w:rFonts w:cs="Times New Roman"/>
          <w:i/>
          <w:szCs w:val="24"/>
          <w:lang w:val="fr-CA"/>
        </w:rPr>
        <w:t>EPA</w:t>
      </w:r>
      <w:r w:rsidRPr="007450AF">
        <w:rPr>
          <w:rFonts w:cs="Times New Roman"/>
          <w:szCs w:val="24"/>
          <w:lang w:val="fr-CA"/>
        </w:rPr>
        <w:t>.</w:t>
      </w:r>
    </w:p>
    <w:p w:rsidR="004D251C" w:rsidRPr="007450AF" w:rsidRDefault="004D251C" w:rsidP="004D251C">
      <w:pPr>
        <w:pStyle w:val="ParaNoNdepar-AltN"/>
        <w:rPr>
          <w:rFonts w:cs="Times New Roman"/>
          <w:szCs w:val="24"/>
          <w:lang w:val="fr-CA"/>
        </w:rPr>
      </w:pPr>
      <w:r w:rsidRPr="007450AF">
        <w:rPr>
          <w:rFonts w:cs="Times New Roman"/>
          <w:szCs w:val="24"/>
          <w:lang w:val="fr-CA"/>
        </w:rPr>
        <w:t>En fin de compte, le juge a conclu qu’il existait véritablement une réclamation qui « pourrait » être présentée, et qu’on ne pouvait laisser au bon vouloir du créancier [</w:t>
      </w:r>
      <w:r w:rsidRPr="007450AF">
        <w:rPr>
          <w:rFonts w:cs="Times New Roman"/>
          <w:smallCaps/>
          <w:szCs w:val="24"/>
          <w:lang w:val="fr-CA"/>
        </w:rPr>
        <w:t>traduction</w:t>
      </w:r>
      <w:r w:rsidRPr="007450AF">
        <w:rPr>
          <w:rFonts w:cs="Times New Roman"/>
          <w:szCs w:val="24"/>
          <w:lang w:val="fr-CA"/>
        </w:rPr>
        <w:t xml:space="preserve">] « le choix subjectif de la garder en réserve pour des raisons tactiques » (par. 227).  Pour reprendre ses propres mots, il ne s’agissait pas d’un cas où « un organisme de réglementation ou d’application de la loi a émis de manière objective une ordonnance dans l’intérêt public » (par. 175), mais que « la province a agi plus comme un créancier que comme un organisme administratif désintéressé » (par. 176).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En somme, bien que le cadre analytique utilisé par le juge Gascon </w:t>
      </w:r>
      <w:proofErr w:type="gramStart"/>
      <w:r w:rsidRPr="007450AF">
        <w:rPr>
          <w:rFonts w:cs="Times New Roman"/>
          <w:szCs w:val="24"/>
          <w:lang w:val="fr-CA"/>
        </w:rPr>
        <w:t>a</w:t>
      </w:r>
      <w:proofErr w:type="gramEnd"/>
      <w:r w:rsidRPr="007450AF">
        <w:rPr>
          <w:rFonts w:cs="Times New Roman"/>
          <w:szCs w:val="24"/>
          <w:lang w:val="fr-CA"/>
        </w:rPr>
        <w:t xml:space="preserve"> été dicté par les faits de l’affaire, il a examiné tous les principes juridiques et les faits qu’il était tenu de prendre en compte pour statuer sur la question qui se posait.  À l’occasion, il s’est appuyé sur des indicateurs singuliers qui ne figurent pas dans le cadre analytique que j’ai déjà proposé, mais cela s’explique par les faits exceptionnels en l’espèce.  Or, s’il avait formulé la question comme je l’ai posée, sa conclusion, appuyée sur ses constatations de fait objectives, aurait été la même.  Le fait de prévoir un budget peut constituer un indicateur clair qu’une province exécutera des travaux de décontamination, et le fait que ces travaux soient entrepris constitue la première étape de la constitution d’une dette, mais ces considérations ne sont pas les seules qui </w:t>
      </w:r>
      <w:r w:rsidRPr="007450AF">
        <w:rPr>
          <w:rFonts w:cs="Times New Roman"/>
          <w:szCs w:val="24"/>
          <w:lang w:val="fr-CA"/>
        </w:rPr>
        <w:lastRenderedPageBreak/>
        <w:t xml:space="preserve">permettent de conclure qu’un créancier fait valoir une réclamation pécuniaire.  L’appréciation des faits par le juge de première instance, plus particulièrement sa constatation que les ordonnances constituaient la première étape en vue de la décontamination des sites, ne permet de tirer aucune conclusion autre que celle suivant laquelle il était suffisamment certain que la province exécuterait des travaux de décontamination et qu’elle était par conséquent visée par la définition d’un créancier ayant une réclamation pécuniaire.  </w:t>
      </w:r>
    </w:p>
    <w:p w:rsidR="004D251C" w:rsidRPr="007450AF" w:rsidRDefault="004D251C" w:rsidP="000D18BF">
      <w:pPr>
        <w:pStyle w:val="TitleTitre-AltT"/>
        <w:tabs>
          <w:tab w:val="clear" w:pos="360"/>
          <w:tab w:val="left" w:pos="540"/>
        </w:tabs>
        <w:ind w:left="540" w:hanging="540"/>
        <w:rPr>
          <w:rFonts w:cs="Times New Roman"/>
          <w:szCs w:val="24"/>
          <w:lang w:val="fr-CA"/>
        </w:rPr>
      </w:pPr>
      <w:r w:rsidRPr="007450AF">
        <w:rPr>
          <w:rFonts w:cs="Times New Roman"/>
          <w:szCs w:val="24"/>
          <w:lang w:val="fr-CA"/>
        </w:rPr>
        <w:t>VI.</w:t>
      </w:r>
      <w:r w:rsidRPr="007450AF">
        <w:rPr>
          <w:rFonts w:cs="Times New Roman"/>
          <w:szCs w:val="24"/>
          <w:lang w:val="fr-CA"/>
        </w:rPr>
        <w:tab/>
      </w:r>
      <w:r w:rsidRPr="007450AF">
        <w:rPr>
          <w:rFonts w:cs="Times New Roman"/>
          <w:szCs w:val="24"/>
          <w:u w:val="single"/>
          <w:lang w:val="fr-CA"/>
        </w:rPr>
        <w:t>Conclusion</w:t>
      </w:r>
      <w:r w:rsidRPr="007450AF">
        <w:rPr>
          <w:rFonts w:cs="Times New Roman"/>
          <w:szCs w:val="24"/>
          <w:lang w:val="fr-CA"/>
        </w:rPr>
        <w:t xml:space="preserve"> </w:t>
      </w:r>
    </w:p>
    <w:p w:rsidR="004D251C" w:rsidRPr="007450AF" w:rsidRDefault="004D251C" w:rsidP="004D251C">
      <w:pPr>
        <w:pStyle w:val="ParaNoNdepar-AltN"/>
        <w:rPr>
          <w:rFonts w:cs="Times New Roman"/>
          <w:szCs w:val="24"/>
          <w:lang w:val="fr-CA"/>
        </w:rPr>
      </w:pPr>
      <w:r w:rsidRPr="007450AF">
        <w:rPr>
          <w:rFonts w:cs="Times New Roman"/>
          <w:szCs w:val="24"/>
          <w:lang w:val="fr-CA"/>
        </w:rPr>
        <w:t>En somme, je suis d’accord avec la Juge en chef pour dire qu’en règle générale, une ordonnance environnementale d’un organisme administratif peut être traitée comme une réclamation éventuelle et qu’une telle réclamation peut être incluse au processus de réclamation s’il est suffisamment certain que l’organisme administratif fera valoir une réclamation pécuniaire contre le débiteur.  Nos divergences de vues portent principalement sur le critère applicable pour que les réclamations éventuelles soient incluses et sur la façon dont nous interprétons les constatations de fait tirées par le juge de première instance.</w:t>
      </w:r>
      <w:r w:rsidRPr="007450AF">
        <w:rPr>
          <w:rFonts w:cs="Times New Roman"/>
          <w:i/>
          <w:szCs w:val="24"/>
          <w:lang w:val="fr-CA"/>
        </w:rPr>
        <w:t xml:space="preserve">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En ce qui concerne le droit, la Juge en chef établirait une norme propre au contexte des ordonnances environnementales qui exigerait </w:t>
      </w:r>
      <w:r w:rsidR="000D18BF" w:rsidRPr="007450AF">
        <w:rPr>
          <w:rFonts w:cs="Times New Roman"/>
          <w:szCs w:val="24"/>
          <w:lang w:val="fr-CA"/>
        </w:rPr>
        <w:t xml:space="preserve">une </w:t>
      </w:r>
      <w:r w:rsidRPr="007450AF">
        <w:rPr>
          <w:rFonts w:cs="Times New Roman"/>
          <w:szCs w:val="24"/>
          <w:lang w:val="fr-CA"/>
        </w:rPr>
        <w:t xml:space="preserve">« probabilité proche de la certitude » que l’organisme administratif réalisera les travaux de restauration.  Elle estime que ce critère s’impose parce que « les travaux de restauration peuvent </w:t>
      </w:r>
      <w:r w:rsidRPr="007450AF">
        <w:rPr>
          <w:rFonts w:cs="Times New Roman"/>
          <w:szCs w:val="24"/>
          <w:lang w:val="fr-CA"/>
        </w:rPr>
        <w:lastRenderedPageBreak/>
        <w:t>être très coûteux » (par. </w:t>
      </w:r>
      <w:r w:rsidR="000D18BF" w:rsidRPr="007450AF">
        <w:rPr>
          <w:rFonts w:cs="Times New Roman"/>
          <w:szCs w:val="24"/>
          <w:lang w:val="fr-CA"/>
        </w:rPr>
        <w:t>86</w:t>
      </w:r>
      <w:r w:rsidRPr="007450AF">
        <w:rPr>
          <w:rFonts w:cs="Times New Roman"/>
          <w:szCs w:val="24"/>
          <w:lang w:val="fr-CA"/>
        </w:rPr>
        <w:t>).  Je reconnais que les travaux de décontamination sont souvent coûteux, mais je crois que cette considération a été prise en compte par le législateur fédéral lors de l’adoption des dispositions particulières visant les réclamations en matière environnementale.  De plus, je rappelle qu’en l’instance, le premier ministre a annoncé que les travaux de décontamination seraient réalisés sans coût net pour la province.  Il était évident pour lui que l’adoption de l’</w:t>
      </w:r>
      <w:r w:rsidRPr="007450AF">
        <w:rPr>
          <w:rFonts w:cs="Times New Roman"/>
          <w:i/>
          <w:szCs w:val="24"/>
          <w:lang w:val="fr-CA"/>
        </w:rPr>
        <w:t xml:space="preserve">Abitibi </w:t>
      </w:r>
      <w:proofErr w:type="spellStart"/>
      <w:r w:rsidRPr="007450AF">
        <w:rPr>
          <w:rFonts w:cs="Times New Roman"/>
          <w:i/>
          <w:szCs w:val="24"/>
          <w:lang w:val="fr-CA"/>
        </w:rPr>
        <w:t>Act</w:t>
      </w:r>
      <w:proofErr w:type="spellEnd"/>
      <w:r w:rsidRPr="007450AF">
        <w:rPr>
          <w:rFonts w:cs="Times New Roman"/>
          <w:i/>
          <w:szCs w:val="24"/>
          <w:lang w:val="fr-CA"/>
        </w:rPr>
        <w:t xml:space="preserve"> </w:t>
      </w:r>
      <w:r w:rsidRPr="007450AF">
        <w:rPr>
          <w:rFonts w:cs="Times New Roman"/>
          <w:szCs w:val="24"/>
          <w:lang w:val="fr-CA"/>
        </w:rPr>
        <w:t xml:space="preserve">permettrait de compenser tous les coûts afférents.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Par conséquent, je préfère retenir la méthode généralement suivie en matière de réclamations éventuelles.  À mon avis, le tribunal chargé de l’application de la </w:t>
      </w:r>
      <w:r w:rsidRPr="007450AF">
        <w:rPr>
          <w:rFonts w:cs="Times New Roman"/>
          <w:i/>
          <w:szCs w:val="24"/>
          <w:lang w:val="fr-CA"/>
        </w:rPr>
        <w:t>LACC</w:t>
      </w:r>
      <w:r w:rsidRPr="007450AF">
        <w:rPr>
          <w:rFonts w:cs="Times New Roman"/>
          <w:szCs w:val="24"/>
          <w:lang w:val="fr-CA"/>
        </w:rPr>
        <w:t xml:space="preserve"> peut prendre en compte l’ensemble des faits pertinents en vue de rendre la décision appropriée.  Suivant cette approche, l’éventualité qu’il faut évaluer dans une affaire comme </w:t>
      </w:r>
      <w:proofErr w:type="spellStart"/>
      <w:r w:rsidRPr="007450AF">
        <w:rPr>
          <w:rFonts w:cs="Times New Roman"/>
          <w:szCs w:val="24"/>
          <w:lang w:val="fr-CA"/>
        </w:rPr>
        <w:t>celle</w:t>
      </w:r>
      <w:r w:rsidRPr="007450AF">
        <w:rPr>
          <w:rFonts w:cs="Times New Roman"/>
          <w:szCs w:val="24"/>
          <w:lang w:val="fr-CA"/>
        </w:rPr>
        <w:noBreakHyphen/>
        <w:t>ci</w:t>
      </w:r>
      <w:proofErr w:type="spellEnd"/>
      <w:r w:rsidRPr="007450AF">
        <w:rPr>
          <w:rFonts w:cs="Times New Roman"/>
          <w:szCs w:val="24"/>
          <w:lang w:val="fr-CA"/>
        </w:rPr>
        <w:t xml:space="preserve"> est de savoir s’il est suffisamment certain que l’organisme administratif exécutera les travaux de décontamination et sera en mesure de faire valoir une réclamation pécuniaire.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Enfin, la Juge en chef réviserait les conclusions de fait du juge de première instance. </w:t>
      </w:r>
      <w:r w:rsidRPr="007450AF">
        <w:rPr>
          <w:rFonts w:cs="Times New Roman"/>
          <w:i/>
          <w:szCs w:val="24"/>
          <w:lang w:val="fr-CA"/>
        </w:rPr>
        <w:t xml:space="preserve"> </w:t>
      </w:r>
      <w:r w:rsidRPr="007450AF">
        <w:rPr>
          <w:rFonts w:cs="Times New Roman"/>
          <w:szCs w:val="24"/>
          <w:lang w:val="fr-CA"/>
        </w:rPr>
        <w:t xml:space="preserve">Pour ma part, je m’en remets à ces conclusions.  Quelle que soit la norme juridique appliquée, soit celle proposée par la Juge en chef ou celle que je propose, au vu de ces conclusions, la réclamation de la province est de nature pécuniaire et sa requête demandant de déclarer que les ordonnances </w:t>
      </w:r>
      <w:r w:rsidRPr="007450AF">
        <w:rPr>
          <w:rFonts w:cs="Times New Roman"/>
          <w:i/>
          <w:szCs w:val="24"/>
          <w:lang w:val="fr-CA"/>
        </w:rPr>
        <w:t>EPA</w:t>
      </w:r>
      <w:r w:rsidRPr="007450AF">
        <w:rPr>
          <w:rFonts w:cs="Times New Roman"/>
          <w:szCs w:val="24"/>
          <w:lang w:val="fr-CA"/>
        </w:rPr>
        <w:t xml:space="preserve"> n’étaient pas assujetties à l’ordonnance relative à la procédure de réclamations a été à juste titre rejetée. </w:t>
      </w:r>
    </w:p>
    <w:p w:rsidR="000D18BF" w:rsidRPr="007450AF" w:rsidRDefault="004D251C" w:rsidP="004D251C">
      <w:pPr>
        <w:pStyle w:val="ParaNoNdepar-AltN"/>
        <w:rPr>
          <w:rFonts w:cs="Times New Roman"/>
          <w:szCs w:val="24"/>
          <w:lang w:val="fr-CA"/>
        </w:rPr>
      </w:pPr>
      <w:r w:rsidRPr="007450AF">
        <w:rPr>
          <w:rFonts w:cs="Times New Roman"/>
          <w:szCs w:val="24"/>
          <w:lang w:val="fr-CA"/>
        </w:rPr>
        <w:lastRenderedPageBreak/>
        <w:t>Pour ces motifs, je suis d’avis de rejeter le pourvoi avec dépens</w:t>
      </w:r>
    </w:p>
    <w:p w:rsidR="004D251C" w:rsidRPr="007450AF" w:rsidRDefault="000D18BF" w:rsidP="000D18BF">
      <w:pPr>
        <w:pStyle w:val="ParaNoNdepar-AltN"/>
        <w:numPr>
          <w:ilvl w:val="0"/>
          <w:numId w:val="0"/>
        </w:numPr>
        <w:tabs>
          <w:tab w:val="left" w:pos="1170"/>
        </w:tabs>
        <w:rPr>
          <w:rFonts w:cs="Times New Roman"/>
          <w:szCs w:val="24"/>
          <w:lang w:val="fr-CA"/>
        </w:rPr>
      </w:pPr>
      <w:r w:rsidRPr="007450AF">
        <w:rPr>
          <w:rFonts w:cs="Times New Roman"/>
          <w:szCs w:val="24"/>
          <w:lang w:val="fr-CA"/>
        </w:rPr>
        <w:tab/>
        <w:t>Version française des motifs rendus par</w:t>
      </w:r>
    </w:p>
    <w:p w:rsidR="004D251C" w:rsidRPr="007450AF" w:rsidRDefault="004D251C" w:rsidP="004D251C">
      <w:pPr>
        <w:pStyle w:val="JudgeJuge"/>
        <w:spacing w:before="480"/>
        <w:rPr>
          <w:szCs w:val="24"/>
          <w:lang w:val="fr-CA"/>
        </w:rPr>
      </w:pPr>
      <w:r w:rsidRPr="007450AF">
        <w:rPr>
          <w:szCs w:val="24"/>
          <w:lang w:val="fr-CA"/>
        </w:rPr>
        <w:tab/>
        <w:t xml:space="preserve">La Juge en chef </w:t>
      </w:r>
      <w:r w:rsidR="000D18BF" w:rsidRPr="007450AF">
        <w:rPr>
          <w:smallCaps w:val="0"/>
          <w:szCs w:val="24"/>
          <w:lang w:val="fr-CA"/>
        </w:rPr>
        <w:t xml:space="preserve">(dissidente) </w:t>
      </w:r>
      <w:r w:rsidRPr="007450AF">
        <w:rPr>
          <w:szCs w:val="24"/>
          <w:lang w:val="fr-CA"/>
        </w:rPr>
        <w:t xml:space="preserve">— </w:t>
      </w:r>
    </w:p>
    <w:p w:rsidR="004D251C" w:rsidRPr="007450AF" w:rsidRDefault="004D251C" w:rsidP="004D251C">
      <w:pPr>
        <w:pStyle w:val="TitleTitre-AltT"/>
        <w:rPr>
          <w:rFonts w:cs="Times New Roman"/>
          <w:szCs w:val="24"/>
          <w:lang w:val="fr-CA"/>
        </w:rPr>
      </w:pPr>
      <w:r w:rsidRPr="007450AF">
        <w:rPr>
          <w:rFonts w:cs="Times New Roman"/>
          <w:szCs w:val="24"/>
          <w:lang w:val="fr-CA"/>
        </w:rPr>
        <w:t>1.</w:t>
      </w:r>
      <w:r w:rsidRPr="007450AF">
        <w:rPr>
          <w:rFonts w:cs="Times New Roman"/>
          <w:szCs w:val="24"/>
          <w:lang w:val="fr-CA"/>
        </w:rPr>
        <w:tab/>
      </w:r>
      <w:r w:rsidRPr="007450AF">
        <w:rPr>
          <w:rFonts w:cs="Times New Roman"/>
          <w:szCs w:val="24"/>
          <w:u w:val="single"/>
          <w:lang w:val="fr-CA"/>
        </w:rPr>
        <w:t>Aperçu</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Il s’agit en l’espèce de savoir si des ordonnances du ministre de l’Environnement et de la Conservation (le « ministre ») de </w:t>
      </w:r>
      <w:proofErr w:type="spellStart"/>
      <w:r w:rsidRPr="007450AF">
        <w:rPr>
          <w:rFonts w:cs="Times New Roman"/>
          <w:szCs w:val="24"/>
          <w:lang w:val="fr-CA"/>
        </w:rPr>
        <w:t>Terre</w:t>
      </w:r>
      <w:r w:rsidRPr="007450AF">
        <w:rPr>
          <w:rFonts w:cs="Times New Roman"/>
          <w:szCs w:val="24"/>
          <w:lang w:val="fr-CA"/>
        </w:rPr>
        <w:noBreakHyphen/>
        <w:t>Neuve</w:t>
      </w:r>
      <w:r w:rsidRPr="007450AF">
        <w:rPr>
          <w:rFonts w:cs="Times New Roman"/>
          <w:szCs w:val="24"/>
          <w:lang w:val="fr-CA"/>
        </w:rPr>
        <w:noBreakHyphen/>
        <w:t>et</w:t>
      </w:r>
      <w:r w:rsidRPr="007450AF">
        <w:rPr>
          <w:rFonts w:cs="Times New Roman"/>
          <w:szCs w:val="24"/>
          <w:lang w:val="fr-CA"/>
        </w:rPr>
        <w:noBreakHyphen/>
        <w:t>Labrador</w:t>
      </w:r>
      <w:proofErr w:type="spellEnd"/>
      <w:r w:rsidRPr="007450AF">
        <w:rPr>
          <w:rFonts w:cs="Times New Roman"/>
          <w:szCs w:val="24"/>
          <w:lang w:val="fr-CA"/>
        </w:rPr>
        <w:t>, émises en vertu de l’</w:t>
      </w:r>
      <w:proofErr w:type="spellStart"/>
      <w:r w:rsidRPr="007450AF">
        <w:rPr>
          <w:rFonts w:cs="Times New Roman"/>
          <w:i/>
          <w:szCs w:val="24"/>
          <w:lang w:val="fr-CA"/>
        </w:rPr>
        <w:t>Environmental</w:t>
      </w:r>
      <w:proofErr w:type="spellEnd"/>
      <w:r w:rsidRPr="007450AF">
        <w:rPr>
          <w:rFonts w:cs="Times New Roman"/>
          <w:i/>
          <w:szCs w:val="24"/>
          <w:lang w:val="fr-CA"/>
        </w:rPr>
        <w:t xml:space="preserve"> Protection </w:t>
      </w:r>
      <w:proofErr w:type="spellStart"/>
      <w:r w:rsidRPr="007450AF">
        <w:rPr>
          <w:rFonts w:cs="Times New Roman"/>
          <w:i/>
          <w:szCs w:val="24"/>
          <w:lang w:val="fr-CA"/>
        </w:rPr>
        <w:t>Act</w:t>
      </w:r>
      <w:proofErr w:type="spellEnd"/>
      <w:r w:rsidRPr="007450AF">
        <w:rPr>
          <w:rFonts w:cs="Times New Roman"/>
          <w:szCs w:val="24"/>
          <w:lang w:val="fr-CA"/>
        </w:rPr>
        <w:t>, S.N.L. 2002,</w:t>
      </w:r>
      <w:r w:rsidR="00B8098D" w:rsidRPr="007450AF">
        <w:rPr>
          <w:rFonts w:cs="Times New Roman"/>
          <w:szCs w:val="24"/>
          <w:lang w:val="fr-CA"/>
        </w:rPr>
        <w:t xml:space="preserve"> ch. E</w:t>
      </w:r>
      <w:r w:rsidR="00B8098D" w:rsidRPr="007450AF">
        <w:rPr>
          <w:rFonts w:cs="Times New Roman"/>
          <w:szCs w:val="24"/>
          <w:lang w:val="fr-CA"/>
        </w:rPr>
        <w:noBreakHyphen/>
        <w:t xml:space="preserve">14.2 (« </w:t>
      </w:r>
      <w:r w:rsidR="00B8098D" w:rsidRPr="00A43AA4">
        <w:rPr>
          <w:rFonts w:cs="Times New Roman"/>
          <w:i/>
          <w:szCs w:val="24"/>
          <w:lang w:val="fr-CA"/>
        </w:rPr>
        <w:t>EPA</w:t>
      </w:r>
      <w:r w:rsidR="00B8098D" w:rsidRPr="007450AF">
        <w:rPr>
          <w:rFonts w:cs="Times New Roman"/>
          <w:szCs w:val="24"/>
          <w:lang w:val="fr-CA"/>
        </w:rPr>
        <w:t xml:space="preserve"> »)</w:t>
      </w:r>
      <w:r w:rsidR="001B134F" w:rsidRPr="007450AF">
        <w:rPr>
          <w:rFonts w:cs="Times New Roman"/>
          <w:szCs w:val="24"/>
          <w:lang w:val="fr-CA"/>
        </w:rPr>
        <w:t>,</w:t>
      </w:r>
      <w:r w:rsidR="00B8098D" w:rsidRPr="007450AF">
        <w:rPr>
          <w:rFonts w:cs="Times New Roman"/>
          <w:szCs w:val="24"/>
          <w:lang w:val="fr-CA"/>
        </w:rPr>
        <w:t xml:space="preserve"> </w:t>
      </w:r>
      <w:r w:rsidRPr="007450AF">
        <w:rPr>
          <w:rFonts w:cs="Times New Roman"/>
          <w:szCs w:val="24"/>
          <w:lang w:val="fr-CA"/>
        </w:rPr>
        <w:t xml:space="preserve">obligeant un pollueur à décontaminer des sites (les « ordonnances </w:t>
      </w:r>
      <w:r w:rsidRPr="007450AF">
        <w:rPr>
          <w:rFonts w:cs="Times New Roman"/>
          <w:i/>
          <w:szCs w:val="24"/>
          <w:lang w:val="fr-CA"/>
        </w:rPr>
        <w:t>EPA</w:t>
      </w:r>
      <w:r w:rsidR="00B8098D" w:rsidRPr="007450AF">
        <w:rPr>
          <w:rFonts w:cs="Times New Roman"/>
          <w:i/>
          <w:szCs w:val="24"/>
          <w:lang w:val="fr-CA"/>
        </w:rPr>
        <w:t xml:space="preserve"> </w:t>
      </w:r>
      <w:r w:rsidR="00B8098D" w:rsidRPr="007450AF">
        <w:rPr>
          <w:rFonts w:cs="Times New Roman"/>
          <w:szCs w:val="24"/>
          <w:lang w:val="fr-CA"/>
        </w:rPr>
        <w:t>»</w:t>
      </w:r>
      <w:r w:rsidRPr="007450AF">
        <w:rPr>
          <w:rFonts w:cs="Times New Roman"/>
          <w:szCs w:val="24"/>
          <w:lang w:val="fr-CA"/>
        </w:rPr>
        <w:t xml:space="preserve">) constituent des réclamations pécuniaires qui peuvent faire l’objet d’une transaction dans le cadre d’une restructuration d’entreprise engagée sous le régime de la </w:t>
      </w:r>
      <w:r w:rsidRPr="007450AF">
        <w:rPr>
          <w:rFonts w:cs="Times New Roman"/>
          <w:i/>
          <w:szCs w:val="24"/>
          <w:lang w:val="fr-CA"/>
        </w:rPr>
        <w:t>Loi sur les arrangements avec les créanciers des compagnies</w:t>
      </w:r>
      <w:r w:rsidRPr="007450AF">
        <w:rPr>
          <w:rFonts w:cs="Times New Roman"/>
          <w:szCs w:val="24"/>
          <w:lang w:val="fr-CA"/>
        </w:rPr>
        <w:t>, L.R.C. 1985, ch. C</w:t>
      </w:r>
      <w:r w:rsidRPr="007450AF">
        <w:rPr>
          <w:rFonts w:cs="Times New Roman"/>
          <w:szCs w:val="24"/>
          <w:lang w:val="fr-CA"/>
        </w:rPr>
        <w:noBreakHyphen/>
        <w:t>36</w:t>
      </w:r>
      <w:r w:rsidRPr="007450AF">
        <w:rPr>
          <w:rFonts w:cs="Times New Roman"/>
          <w:i/>
          <w:szCs w:val="24"/>
          <w:lang w:val="fr-CA"/>
        </w:rPr>
        <w:t xml:space="preserve"> </w:t>
      </w:r>
      <w:r w:rsidRPr="007450AF">
        <w:rPr>
          <w:rFonts w:cs="Times New Roman"/>
          <w:szCs w:val="24"/>
          <w:lang w:val="fr-CA"/>
        </w:rPr>
        <w:t>(« </w:t>
      </w:r>
      <w:r w:rsidRPr="007450AF">
        <w:rPr>
          <w:rFonts w:cs="Times New Roman"/>
          <w:i/>
          <w:szCs w:val="24"/>
          <w:lang w:val="fr-CA"/>
        </w:rPr>
        <w:t>LACC </w:t>
      </w:r>
      <w:r w:rsidRPr="007450AF">
        <w:rPr>
          <w:rFonts w:cs="Times New Roman"/>
          <w:szCs w:val="24"/>
          <w:lang w:val="fr-CA"/>
        </w:rPr>
        <w:t>»).</w:t>
      </w:r>
      <w:r w:rsidRPr="007450AF">
        <w:rPr>
          <w:rFonts w:cs="Times New Roman"/>
          <w:i/>
          <w:szCs w:val="24"/>
          <w:lang w:val="fr-CA"/>
        </w:rPr>
        <w:t xml:space="preserve">  </w:t>
      </w:r>
      <w:r w:rsidRPr="007450AF">
        <w:rPr>
          <w:rFonts w:cs="Times New Roman"/>
          <w:szCs w:val="24"/>
          <w:lang w:val="fr-CA"/>
        </w:rPr>
        <w:t xml:space="preserve">Si elles ne constituent pas des réclamations pécuniaires pouvant faire l’objet d’une transaction, les intimées du groupe Abitibi (« Abitibi ») auront encore l’obligation légale de décontaminer les sites lorsque leur restructuration sera terminée.  Dans le cas contraire, Abitibi sera dégagée de cette obligation; elle pourra reprendre ses activités à l’issue de la restructuration sans avoir à décontaminer les sites qu’elle a pollués et la population de </w:t>
      </w:r>
      <w:proofErr w:type="spellStart"/>
      <w:r w:rsidRPr="007450AF">
        <w:rPr>
          <w:rFonts w:cs="Times New Roman"/>
          <w:szCs w:val="24"/>
          <w:lang w:val="fr-CA"/>
        </w:rPr>
        <w:t>Terre</w:t>
      </w:r>
      <w:r w:rsidRPr="007450AF">
        <w:rPr>
          <w:rFonts w:cs="Times New Roman"/>
          <w:szCs w:val="24"/>
          <w:lang w:val="fr-CA"/>
        </w:rPr>
        <w:noBreakHyphen/>
        <w:t>Neuve</w:t>
      </w:r>
      <w:r w:rsidRPr="007450AF">
        <w:rPr>
          <w:rFonts w:cs="Times New Roman"/>
          <w:szCs w:val="24"/>
          <w:lang w:val="fr-CA"/>
        </w:rPr>
        <w:noBreakHyphen/>
        <w:t>et</w:t>
      </w:r>
      <w:r w:rsidRPr="007450AF">
        <w:rPr>
          <w:rFonts w:cs="Times New Roman"/>
          <w:szCs w:val="24"/>
          <w:lang w:val="fr-CA"/>
        </w:rPr>
        <w:noBreakHyphen/>
        <w:t>Labrador</w:t>
      </w:r>
      <w:proofErr w:type="spellEnd"/>
      <w:r w:rsidRPr="007450AF">
        <w:rPr>
          <w:rFonts w:cs="Times New Roman"/>
          <w:szCs w:val="24"/>
          <w:lang w:val="fr-CA"/>
        </w:rPr>
        <w:t xml:space="preserve"> devra supporter le coût de la décontamination.</w:t>
      </w:r>
    </w:p>
    <w:p w:rsidR="004D251C" w:rsidRPr="007450AF" w:rsidRDefault="004D251C" w:rsidP="004D251C">
      <w:pPr>
        <w:pStyle w:val="ParaNoNdepar-AltN"/>
        <w:rPr>
          <w:rFonts w:cs="Times New Roman"/>
          <w:szCs w:val="24"/>
          <w:lang w:val="fr-CA"/>
        </w:rPr>
      </w:pPr>
      <w:r w:rsidRPr="007450AF">
        <w:rPr>
          <w:rFonts w:cs="Times New Roman"/>
          <w:szCs w:val="24"/>
          <w:lang w:val="fr-CA"/>
        </w:rPr>
        <w:lastRenderedPageBreak/>
        <w:t>Les ordonnances exigeant la décontamination émises aux termes d’une loi provinciale sur la protection de l’environnement</w:t>
      </w:r>
      <w:r w:rsidRPr="007450AF">
        <w:rPr>
          <w:rFonts w:cs="Times New Roman"/>
          <w:i/>
          <w:szCs w:val="24"/>
          <w:lang w:val="fr-CA"/>
        </w:rPr>
        <w:t xml:space="preserve"> </w:t>
      </w:r>
      <w:r w:rsidRPr="007450AF">
        <w:rPr>
          <w:rFonts w:cs="Times New Roman"/>
          <w:szCs w:val="24"/>
          <w:lang w:val="fr-CA"/>
        </w:rPr>
        <w:t xml:space="preserve">imposent des exigences réglementaires continues à la personne morale requise de remédier à la pollution.  Ces ordonnances ne constituent pas des réclamations pécuniaires.  En certaines circonstances particulières prévues par la </w:t>
      </w:r>
      <w:r w:rsidRPr="007450AF">
        <w:rPr>
          <w:rFonts w:cs="Times New Roman"/>
          <w:i/>
          <w:szCs w:val="24"/>
          <w:lang w:val="fr-CA"/>
        </w:rPr>
        <w:t>LACC</w:t>
      </w:r>
      <w:r w:rsidRPr="007450AF">
        <w:rPr>
          <w:rFonts w:cs="Times New Roman"/>
          <w:szCs w:val="24"/>
          <w:lang w:val="fr-CA"/>
        </w:rPr>
        <w:t xml:space="preserve">, ces exigences réglementaires continues peuvent être converties en réclamations pécuniaires, lesquelles peuvent faire l’objet de transactions dans le cadre de procédures engagées aux termes de la </w:t>
      </w:r>
      <w:r w:rsidRPr="007450AF">
        <w:rPr>
          <w:rFonts w:cs="Times New Roman"/>
          <w:i/>
          <w:szCs w:val="24"/>
          <w:lang w:val="fr-CA"/>
        </w:rPr>
        <w:t>LACC</w:t>
      </w:r>
      <w:r w:rsidRPr="007450AF">
        <w:rPr>
          <w:rFonts w:cs="Times New Roman"/>
          <w:szCs w:val="24"/>
          <w:lang w:val="fr-CA"/>
        </w:rPr>
        <w:t xml:space="preserve">.  Cette situation se produit lorsqu’une province a exécuté les travaux, ou lorsqu’il est « suffisamment certain » qu’elle exécutera les travaux.  Dans ces circonstances, l’exigence réglementaire serait éteinte et la province pourrait produire, dans le cadre de procédures engagées sous le régime de la </w:t>
      </w:r>
      <w:r w:rsidRPr="007450AF">
        <w:rPr>
          <w:rFonts w:cs="Times New Roman"/>
          <w:i/>
          <w:szCs w:val="24"/>
          <w:lang w:val="fr-CA"/>
        </w:rPr>
        <w:t>LACC</w:t>
      </w:r>
      <w:r w:rsidRPr="007450AF">
        <w:rPr>
          <w:rFonts w:cs="Times New Roman"/>
          <w:szCs w:val="24"/>
          <w:lang w:val="fr-CA"/>
        </w:rPr>
        <w:t>, une réclamation pécuniaire couvrant le coût des travaux de décontamination</w:t>
      </w:r>
      <w:r w:rsidRPr="007450AF">
        <w:rPr>
          <w:rFonts w:cs="Times New Roman"/>
          <w:i/>
          <w:szCs w:val="24"/>
          <w:lang w:val="fr-CA"/>
        </w:rPr>
        <w:t xml:space="preserve">.  </w:t>
      </w:r>
      <w:r w:rsidRPr="007450AF">
        <w:rPr>
          <w:rFonts w:cs="Times New Roman"/>
          <w:szCs w:val="24"/>
          <w:lang w:val="fr-CA"/>
        </w:rPr>
        <w:t xml:space="preserve">Autrement, l’exigence réglementaire subsiste après la restructuration.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À mon avis, les ordonnances exigeant la décontamination en l’espèce, à une exception près, ne constituent pas des réclamations pouvant faire l’objet de transactions dans le cadre d’une restructuration.  Dans un des sites, la ministre </w:t>
      </w:r>
      <w:r w:rsidR="00B8098D" w:rsidRPr="007450AF">
        <w:rPr>
          <w:rFonts w:cs="Times New Roman"/>
          <w:szCs w:val="24"/>
          <w:lang w:val="fr-CA"/>
        </w:rPr>
        <w:t xml:space="preserve">de l’époque </w:t>
      </w:r>
      <w:r w:rsidRPr="007450AF">
        <w:rPr>
          <w:rFonts w:cs="Times New Roman"/>
          <w:szCs w:val="24"/>
          <w:lang w:val="fr-CA"/>
        </w:rPr>
        <w:t xml:space="preserve">a effectué d’urgence la décontamination et a lancé un appel d’offres pour d’autres travaux.  Le coût de ces travaux peut faire l’objet d’une réclamation dans les procédures engagées sous le régime de la </w:t>
      </w:r>
      <w:r w:rsidRPr="007450AF">
        <w:rPr>
          <w:rFonts w:cs="Times New Roman"/>
          <w:i/>
          <w:szCs w:val="24"/>
          <w:lang w:val="fr-CA"/>
        </w:rPr>
        <w:t xml:space="preserve">LACC.  </w:t>
      </w:r>
      <w:r w:rsidRPr="007450AF">
        <w:rPr>
          <w:rFonts w:cs="Times New Roman"/>
          <w:szCs w:val="24"/>
          <w:lang w:val="fr-CA"/>
        </w:rPr>
        <w:t xml:space="preserve">Toutefois, en ce qui concerne les autres sites, selon les éléments de preuve dont nous disposons, le ministre </w:t>
      </w:r>
      <w:r w:rsidR="00B8098D" w:rsidRPr="007450AF">
        <w:rPr>
          <w:rFonts w:cs="Times New Roman"/>
          <w:szCs w:val="24"/>
          <w:lang w:val="fr-CA"/>
        </w:rPr>
        <w:t xml:space="preserve">en poste </w:t>
      </w:r>
      <w:r w:rsidRPr="007450AF">
        <w:rPr>
          <w:rFonts w:cs="Times New Roman"/>
          <w:szCs w:val="24"/>
          <w:lang w:val="fr-CA"/>
        </w:rPr>
        <w:t xml:space="preserve">n’a pas effectué les travaux de décontamination et il n’est pas suffisamment certain qu’il le fera.  La province de </w:t>
      </w:r>
      <w:proofErr w:type="spellStart"/>
      <w:r w:rsidRPr="007450AF">
        <w:rPr>
          <w:rFonts w:cs="Times New Roman"/>
          <w:szCs w:val="24"/>
          <w:lang w:val="fr-CA"/>
        </w:rPr>
        <w:t>Terr</w:t>
      </w:r>
      <w:r w:rsidR="00B8098D" w:rsidRPr="007450AF">
        <w:rPr>
          <w:rFonts w:cs="Times New Roman"/>
          <w:szCs w:val="24"/>
          <w:lang w:val="fr-CA"/>
        </w:rPr>
        <w:t>e</w:t>
      </w:r>
      <w:r w:rsidR="00B8098D" w:rsidRPr="007450AF">
        <w:rPr>
          <w:rFonts w:cs="Times New Roman"/>
          <w:szCs w:val="24"/>
          <w:lang w:val="fr-CA"/>
        </w:rPr>
        <w:noBreakHyphen/>
        <w:t>Neuve</w:t>
      </w:r>
      <w:r w:rsidR="00B8098D" w:rsidRPr="007450AF">
        <w:rPr>
          <w:rFonts w:cs="Times New Roman"/>
          <w:szCs w:val="24"/>
          <w:lang w:val="fr-CA"/>
        </w:rPr>
        <w:noBreakHyphen/>
        <w:t>et</w:t>
      </w:r>
      <w:r w:rsidR="00B8098D" w:rsidRPr="007450AF">
        <w:rPr>
          <w:rFonts w:cs="Times New Roman"/>
          <w:szCs w:val="24"/>
          <w:lang w:val="fr-CA"/>
        </w:rPr>
        <w:noBreakHyphen/>
        <w:t>Labrador</w:t>
      </w:r>
      <w:proofErr w:type="spellEnd"/>
      <w:r w:rsidR="00B8098D" w:rsidRPr="007450AF">
        <w:rPr>
          <w:rFonts w:cs="Times New Roman"/>
          <w:szCs w:val="24"/>
          <w:lang w:val="fr-CA"/>
        </w:rPr>
        <w:t xml:space="preserve"> (</w:t>
      </w:r>
      <w:r w:rsidRPr="007450AF">
        <w:rPr>
          <w:rFonts w:cs="Times New Roman"/>
          <w:szCs w:val="24"/>
          <w:lang w:val="fr-CA"/>
        </w:rPr>
        <w:t xml:space="preserve">« province ») a conservé un </w:t>
      </w:r>
      <w:r w:rsidRPr="007450AF">
        <w:rPr>
          <w:rFonts w:cs="Times New Roman"/>
          <w:szCs w:val="24"/>
          <w:lang w:val="fr-CA"/>
        </w:rPr>
        <w:lastRenderedPageBreak/>
        <w:t xml:space="preserve">certain nombre de solutions, dont celle d’obliger Abitibi à décontaminer les sites si elle réussit sa restructuration engagée sous le régime de la </w:t>
      </w:r>
      <w:r w:rsidRPr="007450AF">
        <w:rPr>
          <w:rFonts w:cs="Times New Roman"/>
          <w:i/>
          <w:szCs w:val="24"/>
          <w:lang w:val="fr-CA"/>
        </w:rPr>
        <w:t>LACC</w:t>
      </w:r>
      <w:r w:rsidRPr="007450AF">
        <w:rPr>
          <w:rFonts w:cs="Times New Roman"/>
          <w:szCs w:val="24"/>
          <w:lang w:val="fr-CA"/>
        </w:rPr>
        <w:t>.</w:t>
      </w:r>
    </w:p>
    <w:p w:rsidR="004D251C" w:rsidRPr="007450AF" w:rsidRDefault="004D251C" w:rsidP="004D251C">
      <w:pPr>
        <w:pStyle w:val="ParaNoNdepar-AltN"/>
        <w:rPr>
          <w:rFonts w:cs="Times New Roman"/>
          <w:szCs w:val="24"/>
          <w:lang w:val="fr-CA"/>
        </w:rPr>
      </w:pPr>
      <w:r w:rsidRPr="007450AF">
        <w:rPr>
          <w:rFonts w:cs="Times New Roman"/>
          <w:szCs w:val="24"/>
          <w:lang w:val="fr-CA"/>
        </w:rPr>
        <w:t>Je suis par conséquent d’avis d’accueillir le pourvoi et d’accorder à la province le jugement déclaratoire sollicité portant qu’Abitibi reste assujettie à ses obligations en vertu de l’</w:t>
      </w:r>
      <w:r w:rsidRPr="007450AF">
        <w:rPr>
          <w:rFonts w:cs="Times New Roman"/>
          <w:i/>
          <w:szCs w:val="24"/>
          <w:lang w:val="fr-CA"/>
        </w:rPr>
        <w:t>EPA</w:t>
      </w:r>
      <w:r w:rsidRPr="007450AF">
        <w:rPr>
          <w:rFonts w:cs="Times New Roman"/>
          <w:szCs w:val="24"/>
          <w:lang w:val="fr-CA"/>
        </w:rPr>
        <w:t xml:space="preserve"> au terme de cette période de restructuration, à l’exception des travaux sur le site de </w:t>
      </w:r>
      <w:proofErr w:type="spellStart"/>
      <w:r w:rsidRPr="007450AF">
        <w:rPr>
          <w:rFonts w:cs="Times New Roman"/>
          <w:szCs w:val="24"/>
          <w:lang w:val="fr-CA"/>
        </w:rPr>
        <w:t>Buchans</w:t>
      </w:r>
      <w:proofErr w:type="spellEnd"/>
      <w:r w:rsidRPr="007450AF">
        <w:rPr>
          <w:rFonts w:cs="Times New Roman"/>
          <w:szCs w:val="24"/>
          <w:lang w:val="fr-CA"/>
        </w:rPr>
        <w:t xml:space="preserve"> déjà exécutés ou à l’égard desquels des appels d’offres ont été lancés.</w:t>
      </w:r>
    </w:p>
    <w:p w:rsidR="004D251C" w:rsidRPr="007450AF" w:rsidRDefault="004D251C" w:rsidP="00B8098D">
      <w:pPr>
        <w:pStyle w:val="TitleTitre-AltT"/>
        <w:tabs>
          <w:tab w:val="clear" w:pos="360"/>
          <w:tab w:val="left" w:pos="540"/>
        </w:tabs>
        <w:ind w:left="540" w:hanging="540"/>
        <w:rPr>
          <w:rFonts w:cs="Times New Roman"/>
          <w:szCs w:val="24"/>
          <w:lang w:val="fr-CA"/>
        </w:rPr>
      </w:pPr>
      <w:r w:rsidRPr="007450AF">
        <w:rPr>
          <w:rFonts w:cs="Times New Roman"/>
          <w:szCs w:val="24"/>
          <w:lang w:val="fr-CA"/>
        </w:rPr>
        <w:t>2.</w:t>
      </w:r>
      <w:r w:rsidRPr="007450AF">
        <w:rPr>
          <w:rFonts w:cs="Times New Roman"/>
          <w:szCs w:val="24"/>
          <w:lang w:val="fr-CA"/>
        </w:rPr>
        <w:tab/>
      </w:r>
      <w:r w:rsidRPr="007450AF">
        <w:rPr>
          <w:rFonts w:cs="Times New Roman"/>
          <w:szCs w:val="24"/>
          <w:u w:val="single"/>
          <w:lang w:val="fr-CA"/>
        </w:rPr>
        <w:t xml:space="preserve">Les </w:t>
      </w:r>
      <w:proofErr w:type="spellStart"/>
      <w:r w:rsidRPr="007450AF">
        <w:rPr>
          <w:rFonts w:cs="Times New Roman"/>
          <w:szCs w:val="24"/>
          <w:u w:val="single"/>
        </w:rPr>
        <w:t>décisions</w:t>
      </w:r>
      <w:proofErr w:type="spellEnd"/>
      <w:r w:rsidRPr="007450AF">
        <w:rPr>
          <w:rFonts w:cs="Times New Roman"/>
          <w:szCs w:val="24"/>
          <w:u w:val="single"/>
          <w:lang w:val="fr-CA"/>
        </w:rPr>
        <w:t xml:space="preserve"> des juridictions inférieures</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Le juge de première instance a adopté le point de vue selon lequel la province avait émis les ordonnances </w:t>
      </w:r>
      <w:r w:rsidRPr="007450AF">
        <w:rPr>
          <w:rFonts w:cs="Times New Roman"/>
          <w:i/>
          <w:szCs w:val="24"/>
          <w:lang w:val="fr-CA"/>
        </w:rPr>
        <w:t>EPA</w:t>
      </w:r>
      <w:r w:rsidRPr="007450AF">
        <w:rPr>
          <w:rFonts w:cs="Times New Roman"/>
          <w:szCs w:val="24"/>
          <w:lang w:val="fr-CA"/>
        </w:rPr>
        <w:t xml:space="preserve">, non pas pour obliger Abitibi à réparer les dommages causés, mais pour lui soutirer de l’argent.  Il a donc conclu que les ordonnances étaient de nature pécuniaire et financière, et qu’elles devraient être considérées comme des réclamations pouvant faire l’objet de transactions sous le régime de la </w:t>
      </w:r>
      <w:r w:rsidRPr="007450AF">
        <w:rPr>
          <w:rFonts w:cs="Times New Roman"/>
          <w:i/>
          <w:szCs w:val="24"/>
          <w:lang w:val="fr-CA"/>
        </w:rPr>
        <w:t>LACC</w:t>
      </w:r>
      <w:r w:rsidRPr="007450AF">
        <w:rPr>
          <w:rFonts w:cs="Times New Roman"/>
          <w:szCs w:val="24"/>
          <w:lang w:val="fr-CA"/>
        </w:rPr>
        <w:t xml:space="preserve"> (2010 QCCS 1261, 68 C.B.R. (5th) 1).  La Cour d’appel du Québec a refusé l’autorisation d’interjeter appel de cette décision au motif que rien ne permettait de modifier cette conclusion « de fait » (2010 QCCA 965, 68 C.B.R. (5th) 57).</w:t>
      </w:r>
    </w:p>
    <w:p w:rsidR="004D251C" w:rsidRPr="007450AF" w:rsidRDefault="004D251C" w:rsidP="004D251C">
      <w:pPr>
        <w:pStyle w:val="ParaNoNdepar-AltN"/>
        <w:rPr>
          <w:rFonts w:cs="Times New Roman"/>
          <w:szCs w:val="24"/>
          <w:lang w:val="fr-CA"/>
        </w:rPr>
      </w:pPr>
      <w:r w:rsidRPr="007450AF">
        <w:rPr>
          <w:rFonts w:cs="Times New Roman"/>
          <w:szCs w:val="24"/>
          <w:lang w:val="fr-CA"/>
        </w:rPr>
        <w:t>Le point de vue peu nuancé du juge de première instance, selon lequel une obligation découlant de l’</w:t>
      </w:r>
      <w:r w:rsidRPr="007450AF">
        <w:rPr>
          <w:rFonts w:cs="Times New Roman"/>
          <w:i/>
          <w:szCs w:val="24"/>
          <w:lang w:val="fr-CA"/>
        </w:rPr>
        <w:t>EPA</w:t>
      </w:r>
      <w:r w:rsidRPr="007450AF">
        <w:rPr>
          <w:rFonts w:cs="Times New Roman"/>
          <w:szCs w:val="24"/>
          <w:lang w:val="fr-CA"/>
        </w:rPr>
        <w:t xml:space="preserve"> peut être considérée comme une réclamation </w:t>
      </w:r>
      <w:r w:rsidRPr="007450AF">
        <w:rPr>
          <w:rFonts w:cs="Times New Roman"/>
          <w:szCs w:val="24"/>
          <w:lang w:val="fr-CA"/>
        </w:rPr>
        <w:lastRenderedPageBreak/>
        <w:t>pécuniaire susceptible de faire l’objet d’une transaction du simple fait (à son avis) que la province n’était motivée que par l’argent, n’est plus en cause.  Pour répondre à la question de savoir si une ordonnance émise sous le régime de l’</w:t>
      </w:r>
      <w:r w:rsidRPr="007450AF">
        <w:rPr>
          <w:rFonts w:cs="Times New Roman"/>
          <w:i/>
          <w:szCs w:val="24"/>
          <w:lang w:val="fr-CA"/>
        </w:rPr>
        <w:t>EPA</w:t>
      </w:r>
      <w:r w:rsidRPr="007450AF">
        <w:rPr>
          <w:rFonts w:cs="Times New Roman"/>
          <w:szCs w:val="24"/>
          <w:lang w:val="fr-CA"/>
        </w:rPr>
        <w:t xml:space="preserve"> constitue une réclamation au sens de la </w:t>
      </w:r>
      <w:r w:rsidRPr="007450AF">
        <w:rPr>
          <w:rFonts w:cs="Times New Roman"/>
          <w:i/>
          <w:szCs w:val="24"/>
          <w:lang w:val="fr-CA"/>
        </w:rPr>
        <w:t>LACC</w:t>
      </w:r>
      <w:r w:rsidRPr="007450AF">
        <w:rPr>
          <w:rFonts w:cs="Times New Roman"/>
          <w:szCs w:val="24"/>
          <w:lang w:val="fr-CA"/>
        </w:rPr>
        <w:t xml:space="preserve">, il faut déterminer si elle satisfait aux conditions d’existence d’une réclamation établies par cette </w:t>
      </w:r>
      <w:r w:rsidR="00B8098D" w:rsidRPr="007450AF">
        <w:rPr>
          <w:rFonts w:cs="Times New Roman"/>
          <w:szCs w:val="24"/>
          <w:lang w:val="fr-CA"/>
        </w:rPr>
        <w:t>l</w:t>
      </w:r>
      <w:r w:rsidRPr="007450AF">
        <w:rPr>
          <w:rFonts w:cs="Times New Roman"/>
          <w:szCs w:val="24"/>
          <w:lang w:val="fr-CA"/>
        </w:rPr>
        <w:t>oi.  Il s’agit de la seule question à trancher.  Dans la mesure où la décision sur ce point touche le partage des pouvoirs, je souscris pour l’essentiel à l’opinion exprimée par ma collègue l</w:t>
      </w:r>
      <w:r w:rsidR="001B134F" w:rsidRPr="007450AF">
        <w:rPr>
          <w:rFonts w:cs="Times New Roman"/>
          <w:szCs w:val="24"/>
          <w:lang w:val="fr-CA"/>
        </w:rPr>
        <w:t>a juge Deschamps aux par. 18-</w:t>
      </w:r>
      <w:r w:rsidRPr="007450AF">
        <w:rPr>
          <w:rFonts w:cs="Times New Roman"/>
          <w:szCs w:val="24"/>
          <w:lang w:val="fr-CA"/>
        </w:rPr>
        <w:t xml:space="preserve">19. </w:t>
      </w:r>
    </w:p>
    <w:p w:rsidR="004D251C" w:rsidRPr="007450AF" w:rsidRDefault="004D251C" w:rsidP="001B134F">
      <w:pPr>
        <w:pStyle w:val="TitleTitre-AltT"/>
        <w:tabs>
          <w:tab w:val="clear" w:pos="360"/>
          <w:tab w:val="left" w:pos="540"/>
        </w:tabs>
        <w:ind w:left="540" w:hanging="540"/>
        <w:rPr>
          <w:rFonts w:cs="Times New Roman"/>
          <w:szCs w:val="24"/>
          <w:lang w:val="fr-CA"/>
        </w:rPr>
      </w:pPr>
      <w:r w:rsidRPr="007450AF">
        <w:rPr>
          <w:rFonts w:cs="Times New Roman"/>
          <w:szCs w:val="24"/>
          <w:lang w:val="fr-CA"/>
        </w:rPr>
        <w:t>3.</w:t>
      </w:r>
      <w:r w:rsidRPr="007450AF">
        <w:rPr>
          <w:rFonts w:cs="Times New Roman"/>
          <w:szCs w:val="24"/>
          <w:lang w:val="fr-CA"/>
        </w:rPr>
        <w:tab/>
      </w:r>
      <w:r w:rsidRPr="007450AF">
        <w:rPr>
          <w:rFonts w:cs="Times New Roman"/>
          <w:szCs w:val="24"/>
          <w:u w:val="single"/>
          <w:lang w:val="fr-CA"/>
        </w:rPr>
        <w:t xml:space="preserve">La distinction entre une exigence réglementaire et une réclamation au titre de la </w:t>
      </w:r>
      <w:r w:rsidRPr="007450AF">
        <w:rPr>
          <w:rFonts w:cs="Times New Roman"/>
          <w:i/>
          <w:szCs w:val="24"/>
          <w:u w:val="single"/>
          <w:lang w:val="fr-CA"/>
        </w:rPr>
        <w:t>LACC</w:t>
      </w:r>
      <w:r w:rsidRPr="007450AF">
        <w:rPr>
          <w:rFonts w:cs="Times New Roman"/>
          <w:szCs w:val="24"/>
          <w:lang w:val="fr-CA"/>
        </w:rPr>
        <w:t xml:space="preserve"> </w:t>
      </w:r>
    </w:p>
    <w:p w:rsidR="004D251C" w:rsidRPr="007450AF" w:rsidRDefault="004D251C" w:rsidP="004D251C">
      <w:pPr>
        <w:pStyle w:val="ParaNoNdepar-AltN"/>
        <w:rPr>
          <w:rFonts w:cs="Times New Roman"/>
          <w:szCs w:val="24"/>
          <w:lang w:val="fr-CA"/>
        </w:rPr>
      </w:pPr>
      <w:r w:rsidRPr="007450AF">
        <w:rPr>
          <w:rFonts w:cs="Times New Roman"/>
          <w:szCs w:val="24"/>
          <w:lang w:val="fr-CA"/>
        </w:rPr>
        <w:t>Les ordonnances exigeant la décontamination des sites pollués émises en vertu des lois</w:t>
      </w:r>
      <w:r w:rsidRPr="007450AF">
        <w:rPr>
          <w:rFonts w:cs="Times New Roman"/>
          <w:i/>
          <w:szCs w:val="24"/>
          <w:lang w:val="fr-CA"/>
        </w:rPr>
        <w:t xml:space="preserve"> </w:t>
      </w:r>
      <w:r w:rsidRPr="007450AF">
        <w:rPr>
          <w:rFonts w:cs="Times New Roman"/>
          <w:szCs w:val="24"/>
          <w:lang w:val="fr-CA"/>
        </w:rPr>
        <w:t xml:space="preserve">provinciales sur l’environnement sont des ordonnances de nature réglementaire.  Elles demeurent en vigueur jusqu’à ce que le site ait été décontaminé ou que l’affaire soit réglée d’une autre façon.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Il n’est pas inhabituel pour les sociétés qui cherchent à se restructurer sous le régime de la </w:t>
      </w:r>
      <w:r w:rsidRPr="007450AF">
        <w:rPr>
          <w:rFonts w:cs="Times New Roman"/>
          <w:i/>
          <w:szCs w:val="24"/>
          <w:lang w:val="fr-CA"/>
        </w:rPr>
        <w:t xml:space="preserve">LACC </w:t>
      </w:r>
      <w:r w:rsidRPr="007450AF">
        <w:rPr>
          <w:rFonts w:cs="Times New Roman"/>
          <w:szCs w:val="24"/>
          <w:lang w:val="fr-CA"/>
        </w:rPr>
        <w:t xml:space="preserve">d’être assujetties à diverses ordonnances réglementaires continues découlant de régimes législatifs régissant des domaines tels que l’emploi, la conservation de l’énergie et l’environnement.  La société demeure assujettie à ces exigences alors qu’elle continue d’exercer ses activités pendant la période de restructuration, et elle y demeure assujettie au terme de cette période de </w:t>
      </w:r>
      <w:r w:rsidRPr="007450AF">
        <w:rPr>
          <w:rFonts w:cs="Times New Roman"/>
          <w:szCs w:val="24"/>
          <w:lang w:val="fr-CA"/>
        </w:rPr>
        <w:lastRenderedPageBreak/>
        <w:t xml:space="preserve">restructuration, à moins que ces exigences n’aient fait l’objet d’une transaction ou qu’elles n’aient été liquidées.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La </w:t>
      </w:r>
      <w:r w:rsidRPr="007450AF">
        <w:rPr>
          <w:rFonts w:cs="Times New Roman"/>
          <w:i/>
          <w:szCs w:val="24"/>
          <w:lang w:val="fr-CA"/>
        </w:rPr>
        <w:t>LACC</w:t>
      </w:r>
      <w:r w:rsidRPr="007450AF">
        <w:rPr>
          <w:rFonts w:cs="Times New Roman"/>
          <w:szCs w:val="24"/>
          <w:lang w:val="fr-CA"/>
        </w:rPr>
        <w:t xml:space="preserve">, à l’instar de la </w:t>
      </w:r>
      <w:r w:rsidRPr="007450AF">
        <w:rPr>
          <w:rFonts w:cs="Times New Roman"/>
          <w:i/>
          <w:szCs w:val="24"/>
          <w:lang w:val="fr-CA"/>
        </w:rPr>
        <w:t>Loi sur la faillite et l’insolvabilité</w:t>
      </w:r>
      <w:r w:rsidRPr="007450AF">
        <w:rPr>
          <w:rFonts w:cs="Times New Roman"/>
          <w:szCs w:val="24"/>
          <w:lang w:val="fr-CA"/>
        </w:rPr>
        <w:t>, L.R.C. 1985, ch. B</w:t>
      </w:r>
      <w:r w:rsidRPr="007450AF">
        <w:rPr>
          <w:rFonts w:cs="Times New Roman"/>
          <w:szCs w:val="24"/>
          <w:lang w:val="fr-CA"/>
        </w:rPr>
        <w:noBreakHyphen/>
        <w:t>3 (« </w:t>
      </w:r>
      <w:r w:rsidRPr="007450AF">
        <w:rPr>
          <w:rFonts w:cs="Times New Roman"/>
          <w:i/>
          <w:szCs w:val="24"/>
          <w:lang w:val="fr-CA"/>
        </w:rPr>
        <w:t>LFI</w:t>
      </w:r>
      <w:r w:rsidRPr="007450AF">
        <w:rPr>
          <w:rFonts w:cs="Times New Roman"/>
          <w:szCs w:val="24"/>
          <w:lang w:val="fr-CA"/>
        </w:rPr>
        <w:t> »)</w:t>
      </w:r>
      <w:r w:rsidR="001B134F" w:rsidRPr="007450AF">
        <w:rPr>
          <w:rFonts w:cs="Times New Roman"/>
          <w:szCs w:val="24"/>
          <w:lang w:val="fr-CA"/>
        </w:rPr>
        <w:t>,</w:t>
      </w:r>
      <w:r w:rsidRPr="007450AF">
        <w:rPr>
          <w:rFonts w:cs="Times New Roman"/>
          <w:szCs w:val="24"/>
          <w:lang w:val="fr-CA"/>
        </w:rPr>
        <w:t xml:space="preserve"> établit une distinction fondamentale entre les exigences réglementaires continues établies en faveur du public, lesquelles continuent de s’appliquer après la restructuration, et les réclamations pécuniaires qui peuvent faire l’objet d’une transaction. </w:t>
      </w:r>
    </w:p>
    <w:p w:rsidR="004D251C" w:rsidRPr="007450AF" w:rsidRDefault="004D251C" w:rsidP="004D251C">
      <w:pPr>
        <w:pStyle w:val="ParaNoNdepar-AltN"/>
        <w:spacing w:before="0"/>
        <w:rPr>
          <w:rFonts w:cs="Times New Roman"/>
          <w:szCs w:val="24"/>
          <w:lang w:val="fr-CA"/>
        </w:rPr>
      </w:pPr>
      <w:r w:rsidRPr="007450AF">
        <w:rPr>
          <w:rFonts w:cs="Times New Roman"/>
          <w:szCs w:val="24"/>
          <w:lang w:val="fr-CA"/>
        </w:rPr>
        <w:t xml:space="preserve">Cette distinction est aussi reconnue dans la jurisprudence, selon laquelle les obligations réglementaires établies en faveur du public ne sont pas des « réclamations » aux termes de la </w:t>
      </w:r>
      <w:r w:rsidRPr="007450AF">
        <w:rPr>
          <w:rFonts w:cs="Times New Roman"/>
          <w:i/>
          <w:szCs w:val="24"/>
          <w:lang w:val="fr-CA"/>
        </w:rPr>
        <w:t>LFI</w:t>
      </w:r>
      <w:r w:rsidRPr="007450AF">
        <w:rPr>
          <w:rFonts w:cs="Times New Roman"/>
          <w:szCs w:val="24"/>
          <w:lang w:val="fr-CA"/>
        </w:rPr>
        <w:t xml:space="preserve"> ni, par extension, aux termes de la </w:t>
      </w:r>
      <w:r w:rsidRPr="007450AF">
        <w:rPr>
          <w:rFonts w:cs="Times New Roman"/>
          <w:i/>
          <w:szCs w:val="24"/>
          <w:lang w:val="fr-CA"/>
        </w:rPr>
        <w:t>LACC</w:t>
      </w:r>
      <w:r w:rsidRPr="007450AF">
        <w:rPr>
          <w:rFonts w:cs="Times New Roman"/>
          <w:szCs w:val="24"/>
          <w:lang w:val="fr-CA"/>
        </w:rPr>
        <w:t xml:space="preserve">.  Dans l’arrêt </w:t>
      </w:r>
      <w:proofErr w:type="spellStart"/>
      <w:r w:rsidRPr="007450AF">
        <w:rPr>
          <w:rFonts w:cs="Times New Roman"/>
          <w:i/>
          <w:szCs w:val="24"/>
          <w:lang w:val="fr-CA"/>
        </w:rPr>
        <w:t>Panamericana</w:t>
      </w:r>
      <w:proofErr w:type="spellEnd"/>
      <w:r w:rsidRPr="007450AF">
        <w:rPr>
          <w:rFonts w:cs="Times New Roman"/>
          <w:i/>
          <w:szCs w:val="24"/>
          <w:lang w:val="fr-CA"/>
        </w:rPr>
        <w:t xml:space="preserve"> de </w:t>
      </w:r>
      <w:proofErr w:type="spellStart"/>
      <w:r w:rsidRPr="007450AF">
        <w:rPr>
          <w:rFonts w:cs="Times New Roman"/>
          <w:i/>
          <w:szCs w:val="24"/>
          <w:lang w:val="fr-CA"/>
        </w:rPr>
        <w:t>Bienes</w:t>
      </w:r>
      <w:proofErr w:type="spellEnd"/>
      <w:r w:rsidRPr="007450AF">
        <w:rPr>
          <w:rFonts w:cs="Times New Roman"/>
          <w:i/>
          <w:szCs w:val="24"/>
          <w:lang w:val="fr-CA"/>
        </w:rPr>
        <w:t xml:space="preserve"> y </w:t>
      </w:r>
      <w:proofErr w:type="spellStart"/>
      <w:r w:rsidRPr="007450AF">
        <w:rPr>
          <w:rFonts w:cs="Times New Roman"/>
          <w:i/>
          <w:szCs w:val="24"/>
          <w:lang w:val="fr-CA"/>
        </w:rPr>
        <w:t>Servic</w:t>
      </w:r>
      <w:r w:rsidR="001B134F" w:rsidRPr="007450AF">
        <w:rPr>
          <w:rFonts w:cs="Times New Roman"/>
          <w:i/>
          <w:szCs w:val="24"/>
          <w:lang w:val="fr-CA"/>
        </w:rPr>
        <w:t>i</w:t>
      </w:r>
      <w:r w:rsidRPr="007450AF">
        <w:rPr>
          <w:rFonts w:cs="Times New Roman"/>
          <w:i/>
          <w:szCs w:val="24"/>
          <w:lang w:val="fr-CA"/>
        </w:rPr>
        <w:t>os</w:t>
      </w:r>
      <w:proofErr w:type="spellEnd"/>
      <w:r w:rsidRPr="007450AF">
        <w:rPr>
          <w:rFonts w:cs="Times New Roman"/>
          <w:i/>
          <w:szCs w:val="24"/>
          <w:lang w:val="fr-CA"/>
        </w:rPr>
        <w:t xml:space="preserve"> S.A. c. </w:t>
      </w:r>
      <w:proofErr w:type="spellStart"/>
      <w:r w:rsidRPr="007450AF">
        <w:rPr>
          <w:rFonts w:cs="Times New Roman"/>
          <w:i/>
          <w:szCs w:val="24"/>
          <w:lang w:val="fr-CA"/>
        </w:rPr>
        <w:t>Northern</w:t>
      </w:r>
      <w:proofErr w:type="spellEnd"/>
      <w:r w:rsidRPr="007450AF">
        <w:rPr>
          <w:rFonts w:cs="Times New Roman"/>
          <w:i/>
          <w:szCs w:val="24"/>
          <w:lang w:val="fr-CA"/>
        </w:rPr>
        <w:t xml:space="preserve"> </w:t>
      </w:r>
      <w:proofErr w:type="spellStart"/>
      <w:r w:rsidRPr="007450AF">
        <w:rPr>
          <w:rFonts w:cs="Times New Roman"/>
          <w:i/>
          <w:szCs w:val="24"/>
          <w:lang w:val="fr-CA"/>
        </w:rPr>
        <w:t>Badger</w:t>
      </w:r>
      <w:proofErr w:type="spellEnd"/>
      <w:r w:rsidRPr="007450AF">
        <w:rPr>
          <w:rFonts w:cs="Times New Roman"/>
          <w:i/>
          <w:szCs w:val="24"/>
          <w:lang w:val="fr-CA"/>
        </w:rPr>
        <w:t xml:space="preserve"> </w:t>
      </w:r>
      <w:proofErr w:type="spellStart"/>
      <w:r w:rsidRPr="007450AF">
        <w:rPr>
          <w:rFonts w:cs="Times New Roman"/>
          <w:i/>
          <w:szCs w:val="24"/>
          <w:lang w:val="fr-CA"/>
        </w:rPr>
        <w:t>Oil</w:t>
      </w:r>
      <w:proofErr w:type="spellEnd"/>
      <w:r w:rsidRPr="007450AF">
        <w:rPr>
          <w:rFonts w:cs="Times New Roman"/>
          <w:i/>
          <w:szCs w:val="24"/>
          <w:lang w:val="fr-CA"/>
        </w:rPr>
        <w:t xml:space="preserve"> &amp; </w:t>
      </w:r>
      <w:proofErr w:type="spellStart"/>
      <w:r w:rsidRPr="007450AF">
        <w:rPr>
          <w:rFonts w:cs="Times New Roman"/>
          <w:i/>
          <w:szCs w:val="24"/>
          <w:lang w:val="fr-CA"/>
        </w:rPr>
        <w:t>Gas</w:t>
      </w:r>
      <w:proofErr w:type="spellEnd"/>
      <w:r w:rsidRPr="007450AF">
        <w:rPr>
          <w:rFonts w:cs="Times New Roman"/>
          <w:i/>
          <w:szCs w:val="24"/>
          <w:lang w:val="fr-CA"/>
        </w:rPr>
        <w:t xml:space="preserve"> Ltd. </w:t>
      </w:r>
      <w:r w:rsidRPr="007450AF">
        <w:rPr>
          <w:rFonts w:cs="Times New Roman"/>
          <w:szCs w:val="24"/>
          <w:lang w:val="fr-CA"/>
        </w:rPr>
        <w:t>(1991), 81 Alta</w:t>
      </w:r>
      <w:r w:rsidR="00A43AA4">
        <w:rPr>
          <w:rFonts w:cs="Times New Roman"/>
          <w:szCs w:val="24"/>
          <w:lang w:val="fr-CA"/>
        </w:rPr>
        <w:t>.</w:t>
      </w:r>
      <w:r w:rsidRPr="007450AF">
        <w:rPr>
          <w:rFonts w:cs="Times New Roman"/>
          <w:szCs w:val="24"/>
          <w:lang w:val="fr-CA"/>
        </w:rPr>
        <w:t xml:space="preserve"> L.R. (2d) 45, la Cour d’appel de l’Alberta a statué qu’un séquestre doit se conformer à une ordonnance de l’</w:t>
      </w:r>
      <w:proofErr w:type="spellStart"/>
      <w:r w:rsidRPr="007450AF">
        <w:rPr>
          <w:rFonts w:cs="Times New Roman"/>
          <w:szCs w:val="24"/>
          <w:lang w:val="fr-CA"/>
        </w:rPr>
        <w:t>Energy</w:t>
      </w:r>
      <w:proofErr w:type="spellEnd"/>
      <w:r w:rsidRPr="007450AF">
        <w:rPr>
          <w:rFonts w:cs="Times New Roman"/>
          <w:szCs w:val="24"/>
          <w:lang w:val="fr-CA"/>
        </w:rPr>
        <w:t xml:space="preserve"> </w:t>
      </w:r>
      <w:proofErr w:type="spellStart"/>
      <w:r w:rsidRPr="007450AF">
        <w:rPr>
          <w:rFonts w:cs="Times New Roman"/>
          <w:szCs w:val="24"/>
          <w:lang w:val="fr-CA"/>
        </w:rPr>
        <w:t>Resources</w:t>
      </w:r>
      <w:proofErr w:type="spellEnd"/>
      <w:r w:rsidRPr="007450AF">
        <w:rPr>
          <w:rFonts w:cs="Times New Roman"/>
          <w:szCs w:val="24"/>
          <w:lang w:val="fr-CA"/>
        </w:rPr>
        <w:t xml:space="preserve"> Conservation </w:t>
      </w:r>
      <w:proofErr w:type="spellStart"/>
      <w:r w:rsidRPr="007450AF">
        <w:rPr>
          <w:rFonts w:cs="Times New Roman"/>
          <w:szCs w:val="24"/>
          <w:lang w:val="fr-CA"/>
        </w:rPr>
        <w:t>Board</w:t>
      </w:r>
      <w:proofErr w:type="spellEnd"/>
      <w:r w:rsidRPr="007450AF">
        <w:rPr>
          <w:rFonts w:cs="Times New Roman"/>
          <w:szCs w:val="24"/>
          <w:lang w:val="fr-CA"/>
        </w:rPr>
        <w:t xml:space="preserve"> lui enjoignant de respecter des exigences en matière d’abandon de puits.  Le juge en chef </w:t>
      </w:r>
      <w:proofErr w:type="spellStart"/>
      <w:r w:rsidRPr="007450AF">
        <w:rPr>
          <w:rFonts w:cs="Times New Roman"/>
          <w:szCs w:val="24"/>
          <w:lang w:val="fr-CA"/>
        </w:rPr>
        <w:t>Laycraft</w:t>
      </w:r>
      <w:proofErr w:type="spellEnd"/>
      <w:r w:rsidRPr="007450AF">
        <w:rPr>
          <w:rFonts w:cs="Times New Roman"/>
          <w:szCs w:val="24"/>
          <w:lang w:val="fr-CA"/>
        </w:rPr>
        <w:t xml:space="preserve">, au nom de la cour, a affirmé que la question à trancher était de savoir si la </w:t>
      </w:r>
      <w:r w:rsidRPr="007450AF">
        <w:rPr>
          <w:rFonts w:cs="Times New Roman"/>
          <w:i/>
          <w:szCs w:val="24"/>
          <w:lang w:val="fr-CA"/>
        </w:rPr>
        <w:t xml:space="preserve">Loi sur la faillite </w:t>
      </w:r>
      <w:r w:rsidRPr="007450AF">
        <w:rPr>
          <w:rFonts w:cs="Times New Roman"/>
          <w:szCs w:val="24"/>
          <w:lang w:val="fr-CA"/>
        </w:rPr>
        <w:t>[</w:t>
      </w:r>
      <w:r w:rsidRPr="007450AF">
        <w:rPr>
          <w:rFonts w:cs="Times New Roman"/>
          <w:smallCaps/>
          <w:szCs w:val="24"/>
          <w:lang w:val="fr-CA"/>
        </w:rPr>
        <w:t>traduction</w:t>
      </w:r>
      <w:r w:rsidRPr="007450AF">
        <w:rPr>
          <w:rFonts w:cs="Times New Roman"/>
          <w:szCs w:val="24"/>
          <w:lang w:val="fr-CA"/>
        </w:rPr>
        <w:t xml:space="preserve">] « exige que les actifs se trouvant dans le patrimoine d’un titulaire de permis de puits soient distribués aux créanciers en laissant à la charge du public les obligations en matière de sécurité environnementale » (par. 29).  Il a répondu par la négative : </w:t>
      </w:r>
    </w:p>
    <w:p w:rsidR="004D251C" w:rsidRPr="007450AF" w:rsidRDefault="004D251C" w:rsidP="004D251C">
      <w:pPr>
        <w:pStyle w:val="Citation-AltC"/>
        <w:ind w:hanging="1166"/>
        <w:rPr>
          <w:szCs w:val="24"/>
          <w:lang w:val="fr-CA"/>
        </w:rPr>
      </w:pPr>
      <w:r w:rsidRPr="007450AF">
        <w:rPr>
          <w:szCs w:val="24"/>
          <w:lang w:val="fr-CA"/>
        </w:rPr>
        <w:tab/>
        <w:t>[</w:t>
      </w:r>
      <w:r w:rsidRPr="007450AF">
        <w:rPr>
          <w:smallCaps/>
          <w:szCs w:val="24"/>
          <w:lang w:val="fr-CA"/>
        </w:rPr>
        <w:t>traduction</w:t>
      </w:r>
      <w:r w:rsidRPr="007450AF">
        <w:rPr>
          <w:szCs w:val="24"/>
          <w:lang w:val="fr-CA"/>
        </w:rPr>
        <w:t xml:space="preserve">]  L’obligation est établie comme une obligation à caractère public qui doit être respectée par l’ensemble des citoyens de la </w:t>
      </w:r>
      <w:r w:rsidRPr="007450AF">
        <w:rPr>
          <w:szCs w:val="24"/>
          <w:lang w:val="fr-CA"/>
        </w:rPr>
        <w:lastRenderedPageBreak/>
        <w:t xml:space="preserve">collectivité à l’égard de leurs concitoyens.  Lorsque le citoyen visé par l’ordonnance s’y conforme, le résultat n’est pas perçu comme le recouvrement d’une somme d’argent par un agent de la paix ou l’autorité publique, ni comme l’exécution d’un jugement ordonnant le paiement d’une somme d’argent; d’ailleurs, cela ne constitue pas non plus l’objectif de l’ensemble du processus.  Il faut plutôt y voir l’application d’une loi générale.  </w:t>
      </w:r>
      <w:r w:rsidRPr="007450AF">
        <w:rPr>
          <w:szCs w:val="24"/>
          <w:u w:val="single"/>
          <w:lang w:val="fr-CA"/>
        </w:rPr>
        <w:t>L’organisme d’application de la loi ne devient pas un « créancier » du citoyen à qui incombe l’obligation.</w:t>
      </w:r>
      <w:r w:rsidRPr="007450AF">
        <w:rPr>
          <w:szCs w:val="24"/>
          <w:lang w:val="fr-CA"/>
        </w:rPr>
        <w:t xml:space="preserve">  [Je souligne; par. 33.]</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La distinction entre les exigences réglementaires découlant d’une loi d’application générale visant la protection du public, d’une part, et les réclamations pécuniaires pouvant faire l’objet d’une transaction dans le cadre d’une restructuration engagée sous le régime de la </w:t>
      </w:r>
      <w:r w:rsidRPr="007450AF">
        <w:rPr>
          <w:rFonts w:cs="Times New Roman"/>
          <w:i/>
          <w:szCs w:val="24"/>
          <w:lang w:val="fr-CA"/>
        </w:rPr>
        <w:t xml:space="preserve">LACC </w:t>
      </w:r>
      <w:r w:rsidRPr="007450AF">
        <w:rPr>
          <w:rFonts w:cs="Times New Roman"/>
          <w:szCs w:val="24"/>
          <w:lang w:val="fr-CA"/>
        </w:rPr>
        <w:t xml:space="preserve">ou en matière de faillite, d’autre part, constitue un élément important du droit canadien des sociétés.  Cette distinction a maintes fois été reconnue : </w:t>
      </w:r>
      <w:proofErr w:type="spellStart"/>
      <w:r w:rsidRPr="007450AF">
        <w:rPr>
          <w:rFonts w:cs="Times New Roman"/>
          <w:i/>
          <w:szCs w:val="24"/>
          <w:lang w:val="fr-CA"/>
        </w:rPr>
        <w:t>Lamford</w:t>
      </w:r>
      <w:proofErr w:type="spellEnd"/>
      <w:r w:rsidRPr="007450AF">
        <w:rPr>
          <w:rFonts w:cs="Times New Roman"/>
          <w:i/>
          <w:szCs w:val="24"/>
          <w:lang w:val="fr-CA"/>
        </w:rPr>
        <w:t xml:space="preserve"> Forest </w:t>
      </w:r>
      <w:proofErr w:type="spellStart"/>
      <w:r w:rsidRPr="007450AF">
        <w:rPr>
          <w:rFonts w:cs="Times New Roman"/>
          <w:i/>
          <w:szCs w:val="24"/>
          <w:lang w:val="fr-CA"/>
        </w:rPr>
        <w:t>Products</w:t>
      </w:r>
      <w:proofErr w:type="spellEnd"/>
      <w:r w:rsidRPr="007450AF">
        <w:rPr>
          <w:rFonts w:cs="Times New Roman"/>
          <w:i/>
          <w:szCs w:val="24"/>
          <w:lang w:val="fr-CA"/>
        </w:rPr>
        <w:t xml:space="preserve"> Ltd. </w:t>
      </w:r>
      <w:r w:rsidRPr="007450AF">
        <w:rPr>
          <w:rFonts w:cs="Times New Roman"/>
          <w:i/>
          <w:szCs w:val="24"/>
          <w:lang w:val="en-US"/>
        </w:rPr>
        <w:t>(Re)</w:t>
      </w:r>
      <w:r w:rsidRPr="007450AF">
        <w:rPr>
          <w:rFonts w:cs="Times New Roman"/>
          <w:szCs w:val="24"/>
          <w:lang w:val="en-US"/>
        </w:rPr>
        <w:t xml:space="preserve"> (1991), 86 D.L.R. (4th) 534</w:t>
      </w:r>
      <w:r w:rsidR="001B134F" w:rsidRPr="007450AF">
        <w:rPr>
          <w:rFonts w:cs="Times New Roman"/>
          <w:szCs w:val="24"/>
          <w:lang w:val="en-US"/>
        </w:rPr>
        <w:t xml:space="preserve"> (C.S.C.-B</w:t>
      </w:r>
      <w:r w:rsidR="00A43AA4">
        <w:rPr>
          <w:rFonts w:cs="Times New Roman"/>
          <w:szCs w:val="24"/>
          <w:lang w:val="en-US"/>
        </w:rPr>
        <w:t>.</w:t>
      </w:r>
      <w:r w:rsidR="001B134F" w:rsidRPr="007450AF">
        <w:rPr>
          <w:rFonts w:cs="Times New Roman"/>
          <w:szCs w:val="24"/>
          <w:lang w:val="en-US"/>
        </w:rPr>
        <w:t>)</w:t>
      </w:r>
      <w:r w:rsidRPr="007450AF">
        <w:rPr>
          <w:rFonts w:cs="Times New Roman"/>
          <w:szCs w:val="24"/>
          <w:lang w:val="en-US"/>
        </w:rPr>
        <w:t xml:space="preserve">; </w:t>
      </w:r>
      <w:r w:rsidRPr="007450AF">
        <w:rPr>
          <w:rFonts w:cs="Times New Roman"/>
          <w:i/>
          <w:szCs w:val="24"/>
          <w:lang w:val="en-US"/>
        </w:rPr>
        <w:t>Shirley (Re)</w:t>
      </w:r>
      <w:r w:rsidRPr="007450AF">
        <w:rPr>
          <w:rFonts w:cs="Times New Roman"/>
          <w:szCs w:val="24"/>
          <w:lang w:val="en-US"/>
        </w:rPr>
        <w:t xml:space="preserve"> (1995), 129 D.L.R. (4th) 105 (C</w:t>
      </w:r>
      <w:r w:rsidR="001B134F" w:rsidRPr="007450AF">
        <w:rPr>
          <w:rFonts w:cs="Times New Roman"/>
          <w:szCs w:val="24"/>
          <w:lang w:val="en-US"/>
        </w:rPr>
        <w:t>.</w:t>
      </w:r>
      <w:r w:rsidRPr="007450AF">
        <w:rPr>
          <w:rFonts w:cs="Times New Roman"/>
          <w:szCs w:val="24"/>
          <w:lang w:val="en-US"/>
        </w:rPr>
        <w:t xml:space="preserve"> Ont. </w:t>
      </w:r>
      <w:r w:rsidR="001B134F" w:rsidRPr="007450AF">
        <w:rPr>
          <w:rFonts w:cs="Times New Roman"/>
          <w:szCs w:val="24"/>
          <w:lang w:val="fr-CA"/>
        </w:rPr>
        <w:t xml:space="preserve">(Div. </w:t>
      </w:r>
      <w:proofErr w:type="spellStart"/>
      <w:r w:rsidR="001B134F" w:rsidRPr="007450AF">
        <w:rPr>
          <w:rFonts w:cs="Times New Roman"/>
          <w:szCs w:val="24"/>
          <w:lang w:val="fr-CA"/>
        </w:rPr>
        <w:t>g</w:t>
      </w:r>
      <w:r w:rsidRPr="007450AF">
        <w:rPr>
          <w:rFonts w:cs="Times New Roman"/>
          <w:szCs w:val="24"/>
          <w:lang w:val="fr-CA"/>
        </w:rPr>
        <w:t>én</w:t>
      </w:r>
      <w:proofErr w:type="spellEnd"/>
      <w:r w:rsidRPr="007450AF">
        <w:rPr>
          <w:rFonts w:cs="Times New Roman"/>
          <w:szCs w:val="24"/>
          <w:lang w:val="fr-CA"/>
        </w:rPr>
        <w:t xml:space="preserve">.)), p. 109; </w:t>
      </w:r>
      <w:r w:rsidRPr="007450AF">
        <w:rPr>
          <w:rFonts w:cs="Times New Roman"/>
          <w:i/>
          <w:szCs w:val="24"/>
          <w:lang w:val="fr-CA"/>
        </w:rPr>
        <w:t xml:space="preserve">Husky </w:t>
      </w:r>
      <w:proofErr w:type="spellStart"/>
      <w:r w:rsidRPr="007450AF">
        <w:rPr>
          <w:rFonts w:cs="Times New Roman"/>
          <w:i/>
          <w:szCs w:val="24"/>
          <w:lang w:val="fr-CA"/>
        </w:rPr>
        <w:t>Oil</w:t>
      </w:r>
      <w:proofErr w:type="spellEnd"/>
      <w:r w:rsidRPr="007450AF">
        <w:rPr>
          <w:rFonts w:cs="Times New Roman"/>
          <w:i/>
          <w:szCs w:val="24"/>
          <w:lang w:val="fr-CA"/>
        </w:rPr>
        <w:t xml:space="preserve"> </w:t>
      </w:r>
      <w:r w:rsidR="001B134F" w:rsidRPr="007450AF">
        <w:rPr>
          <w:rFonts w:cs="Times New Roman"/>
          <w:i/>
          <w:szCs w:val="24"/>
          <w:lang w:val="fr-CA"/>
        </w:rPr>
        <w:t>Operations Ltd. c. Ministre du R</w:t>
      </w:r>
      <w:r w:rsidRPr="007450AF">
        <w:rPr>
          <w:rFonts w:cs="Times New Roman"/>
          <w:i/>
          <w:szCs w:val="24"/>
          <w:lang w:val="fr-CA"/>
        </w:rPr>
        <w:t>evenu national</w:t>
      </w:r>
      <w:r w:rsidRPr="007450AF">
        <w:rPr>
          <w:rFonts w:cs="Times New Roman"/>
          <w:szCs w:val="24"/>
          <w:lang w:val="fr-CA"/>
        </w:rPr>
        <w:t xml:space="preserve">, [1995] 3 R.C.S. 453, par. 146, le juge </w:t>
      </w:r>
      <w:proofErr w:type="spellStart"/>
      <w:r w:rsidRPr="007450AF">
        <w:rPr>
          <w:rFonts w:cs="Times New Roman"/>
          <w:szCs w:val="24"/>
          <w:lang w:val="fr-CA"/>
        </w:rPr>
        <w:t>Iacobucci</w:t>
      </w:r>
      <w:proofErr w:type="spellEnd"/>
      <w:r w:rsidRPr="007450AF">
        <w:rPr>
          <w:rFonts w:cs="Times New Roman"/>
          <w:szCs w:val="24"/>
          <w:lang w:val="fr-CA"/>
        </w:rPr>
        <w:t xml:space="preserve"> (dissident).  Comme l’a dit succinctement le juge Farley dans </w:t>
      </w:r>
      <w:r w:rsidRPr="007450AF">
        <w:rPr>
          <w:rFonts w:cs="Times New Roman"/>
          <w:i/>
          <w:szCs w:val="24"/>
          <w:lang w:val="fr-CA"/>
        </w:rPr>
        <w:t xml:space="preserve">Air </w:t>
      </w:r>
      <w:r w:rsidR="001B134F" w:rsidRPr="007450AF">
        <w:rPr>
          <w:rFonts w:cs="Times New Roman"/>
          <w:i/>
          <w:szCs w:val="24"/>
          <w:lang w:val="fr-CA"/>
        </w:rPr>
        <w:t>Canada,</w:t>
      </w:r>
      <w:r w:rsidRPr="007450AF">
        <w:rPr>
          <w:rFonts w:cs="Times New Roman"/>
          <w:i/>
          <w:szCs w:val="24"/>
          <w:lang w:val="fr-CA"/>
        </w:rPr>
        <w:t xml:space="preserve"> </w:t>
      </w:r>
      <w:proofErr w:type="spellStart"/>
      <w:r w:rsidRPr="007450AF">
        <w:rPr>
          <w:rFonts w:cs="Times New Roman"/>
          <w:i/>
          <w:szCs w:val="24"/>
          <w:lang w:val="fr-CA"/>
        </w:rPr>
        <w:t>Re</w:t>
      </w:r>
      <w:proofErr w:type="spellEnd"/>
      <w:r w:rsidRPr="007450AF">
        <w:rPr>
          <w:rFonts w:cs="Times New Roman"/>
          <w:i/>
          <w:szCs w:val="24"/>
          <w:lang w:val="fr-CA"/>
        </w:rPr>
        <w:t xml:space="preserve"> [</w:t>
      </w:r>
      <w:proofErr w:type="spellStart"/>
      <w:r w:rsidRPr="007450AF">
        <w:rPr>
          <w:rFonts w:cs="Times New Roman"/>
          <w:i/>
          <w:szCs w:val="24"/>
          <w:lang w:val="fr-CA"/>
        </w:rPr>
        <w:t>Regulators</w:t>
      </w:r>
      <w:proofErr w:type="spellEnd"/>
      <w:r w:rsidRPr="007450AF">
        <w:rPr>
          <w:rFonts w:cs="Times New Roman"/>
          <w:i/>
          <w:szCs w:val="24"/>
          <w:lang w:val="fr-CA"/>
        </w:rPr>
        <w:t>’ motions]</w:t>
      </w:r>
      <w:r w:rsidRPr="007450AF">
        <w:rPr>
          <w:rFonts w:cs="Times New Roman"/>
          <w:szCs w:val="24"/>
          <w:lang w:val="fr-CA"/>
        </w:rPr>
        <w:t xml:space="preserve"> (2003), 28 C.B.R. (5th) 52 (C.S.J. Ont.)</w:t>
      </w:r>
      <w:r w:rsidR="001B134F" w:rsidRPr="007450AF">
        <w:rPr>
          <w:rFonts w:cs="Times New Roman"/>
          <w:szCs w:val="24"/>
          <w:lang w:val="fr-CA"/>
        </w:rPr>
        <w:t>,</w:t>
      </w:r>
      <w:r w:rsidRPr="007450AF">
        <w:rPr>
          <w:rFonts w:cs="Times New Roman"/>
          <w:szCs w:val="24"/>
          <w:lang w:val="fr-CA"/>
        </w:rPr>
        <w:t xml:space="preserve"> par. 18 : [</w:t>
      </w:r>
      <w:r w:rsidRPr="007450AF">
        <w:rPr>
          <w:rFonts w:cs="Times New Roman"/>
          <w:smallCaps/>
          <w:szCs w:val="24"/>
          <w:lang w:val="fr-CA"/>
        </w:rPr>
        <w:t>traduction</w:t>
      </w:r>
      <w:r w:rsidRPr="007450AF">
        <w:rPr>
          <w:rFonts w:cs="Times New Roman"/>
          <w:szCs w:val="24"/>
          <w:lang w:val="fr-CA"/>
        </w:rPr>
        <w:t>] « </w:t>
      </w:r>
      <w:r w:rsidR="00367480" w:rsidRPr="007450AF">
        <w:rPr>
          <w:rFonts w:cs="Times New Roman"/>
          <w:szCs w:val="24"/>
          <w:lang w:val="fr-CA"/>
        </w:rPr>
        <w:t>À</w:t>
      </w:r>
      <w:r w:rsidRPr="007450AF">
        <w:rPr>
          <w:rFonts w:cs="Times New Roman"/>
          <w:szCs w:val="24"/>
          <w:lang w:val="fr-CA"/>
        </w:rPr>
        <w:t xml:space="preserve"> l’issue des procédures engagées en vertu de la LACC — souhaitons qu’elles soient couronnées de succès — [la société] aura alors à régler chacun des dossiers non résol</w:t>
      </w:r>
      <w:r w:rsidR="00367480" w:rsidRPr="007450AF">
        <w:rPr>
          <w:rFonts w:cs="Times New Roman"/>
          <w:szCs w:val="24"/>
          <w:lang w:val="fr-CA"/>
        </w:rPr>
        <w:t>us [en matière réglementaire].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Des modifications apportées récemment à la </w:t>
      </w:r>
      <w:r w:rsidRPr="007450AF">
        <w:rPr>
          <w:rFonts w:cs="Times New Roman"/>
          <w:i/>
          <w:szCs w:val="24"/>
          <w:lang w:val="fr-CA"/>
        </w:rPr>
        <w:t>LACC</w:t>
      </w:r>
      <w:r w:rsidRPr="007450AF">
        <w:rPr>
          <w:rFonts w:cs="Times New Roman"/>
          <w:szCs w:val="24"/>
          <w:lang w:val="fr-CA"/>
        </w:rPr>
        <w:t xml:space="preserve"> confirment cette distinction.  Le paragraphe 11.1(2) prévoit maintenant expressément que, sauf dans la mesure où un organisme de réglementation fait respecter une obligation de paiement, </w:t>
      </w:r>
      <w:r w:rsidRPr="007450AF">
        <w:rPr>
          <w:rFonts w:cs="Times New Roman"/>
          <w:szCs w:val="24"/>
          <w:lang w:val="fr-CA"/>
        </w:rPr>
        <w:lastRenderedPageBreak/>
        <w:t xml:space="preserve">une suspension générale ne porte aucunement atteinte aux pouvoirs de </w:t>
      </w:r>
      <w:proofErr w:type="spellStart"/>
      <w:r w:rsidRPr="007450AF">
        <w:rPr>
          <w:rFonts w:cs="Times New Roman"/>
          <w:szCs w:val="24"/>
          <w:lang w:val="fr-CA"/>
        </w:rPr>
        <w:t>celui</w:t>
      </w:r>
      <w:r w:rsidRPr="007450AF">
        <w:rPr>
          <w:rFonts w:cs="Times New Roman"/>
          <w:szCs w:val="24"/>
          <w:lang w:val="fr-CA"/>
        </w:rPr>
        <w:noBreakHyphen/>
        <w:t>ci</w:t>
      </w:r>
      <w:proofErr w:type="spellEnd"/>
      <w:r w:rsidRPr="007450AF">
        <w:rPr>
          <w:rFonts w:cs="Times New Roman"/>
          <w:szCs w:val="24"/>
          <w:lang w:val="fr-CA"/>
        </w:rPr>
        <w:t xml:space="preserve"> à l’égard d’une société en restructuration.  Le tribunal chargé d’appliquer la </w:t>
      </w:r>
      <w:r w:rsidRPr="007450AF">
        <w:rPr>
          <w:rFonts w:cs="Times New Roman"/>
          <w:i/>
          <w:szCs w:val="24"/>
          <w:lang w:val="fr-CA"/>
        </w:rPr>
        <w:t>LACC</w:t>
      </w:r>
      <w:r w:rsidRPr="007450AF">
        <w:rPr>
          <w:rFonts w:cs="Times New Roman"/>
          <w:szCs w:val="24"/>
          <w:lang w:val="fr-CA"/>
        </w:rPr>
        <w:t xml:space="preserve"> ne peut ordonner une suspension qu’à l’égard de certaines actions ou poursuites intentées par un organisme administratif, et seulement si cette mesure est nécessaire à la conclusion d’une transaction viable et si une telle ordonnance ne serait pas contraire à l’intérêt public (par. 11.1(3)).</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Abitibi plaide qu’en vertu d’une autre modification apportée à la </w:t>
      </w:r>
      <w:r w:rsidRPr="007450AF">
        <w:rPr>
          <w:rFonts w:cs="Times New Roman"/>
          <w:i/>
          <w:szCs w:val="24"/>
          <w:lang w:val="fr-CA"/>
        </w:rPr>
        <w:t>LACC</w:t>
      </w:r>
      <w:r w:rsidRPr="007450AF">
        <w:rPr>
          <w:rFonts w:cs="Times New Roman"/>
          <w:szCs w:val="24"/>
          <w:lang w:val="fr-CA"/>
        </w:rPr>
        <w:t xml:space="preserve">, le par. 11.8(9), les exigences réglementaires continues établies en faveur du public sont considérées comme des réclamations, et que cette modification élimine la distinction entre les deux types d’obligations : voir </w:t>
      </w:r>
      <w:r w:rsidR="00E529A8" w:rsidRPr="007450AF">
        <w:rPr>
          <w:rFonts w:cs="Times New Roman"/>
          <w:i/>
          <w:szCs w:val="24"/>
          <w:lang w:val="fr-CA"/>
        </w:rPr>
        <w:t xml:space="preserve">General </w:t>
      </w:r>
      <w:proofErr w:type="spellStart"/>
      <w:r w:rsidR="00E529A8" w:rsidRPr="007450AF">
        <w:rPr>
          <w:rFonts w:cs="Times New Roman"/>
          <w:i/>
          <w:szCs w:val="24"/>
          <w:lang w:val="fr-CA"/>
        </w:rPr>
        <w:t>Chemical</w:t>
      </w:r>
      <w:proofErr w:type="spellEnd"/>
      <w:r w:rsidR="00E529A8" w:rsidRPr="007450AF">
        <w:rPr>
          <w:rFonts w:cs="Times New Roman"/>
          <w:i/>
          <w:szCs w:val="24"/>
          <w:lang w:val="fr-CA"/>
        </w:rPr>
        <w:t xml:space="preserve"> Canada Ltd., </w:t>
      </w:r>
      <w:proofErr w:type="spellStart"/>
      <w:r w:rsidRPr="007450AF">
        <w:rPr>
          <w:rFonts w:cs="Times New Roman"/>
          <w:i/>
          <w:szCs w:val="24"/>
          <w:lang w:val="fr-CA"/>
        </w:rPr>
        <w:t>Re</w:t>
      </w:r>
      <w:proofErr w:type="spellEnd"/>
      <w:r w:rsidR="00E529A8" w:rsidRPr="007450AF">
        <w:rPr>
          <w:rFonts w:cs="Times New Roman"/>
          <w:szCs w:val="24"/>
          <w:lang w:val="fr-CA"/>
        </w:rPr>
        <w:t>, 2007 ONCA 60</w:t>
      </w:r>
      <w:r w:rsidRPr="007450AF">
        <w:rPr>
          <w:rFonts w:cs="Times New Roman"/>
          <w:szCs w:val="24"/>
          <w:lang w:val="fr-CA"/>
        </w:rPr>
        <w:t xml:space="preserve">0, 228 O.A.C. 385, le juge </w:t>
      </w:r>
      <w:proofErr w:type="spellStart"/>
      <w:r w:rsidRPr="007450AF">
        <w:rPr>
          <w:rFonts w:cs="Times New Roman"/>
          <w:szCs w:val="24"/>
          <w:lang w:val="fr-CA"/>
        </w:rPr>
        <w:t>Goudge</w:t>
      </w:r>
      <w:proofErr w:type="spellEnd"/>
      <w:r w:rsidRPr="007450AF">
        <w:rPr>
          <w:rFonts w:cs="Times New Roman"/>
          <w:szCs w:val="24"/>
          <w:lang w:val="fr-CA"/>
        </w:rPr>
        <w:t xml:space="preserve">, citant le par. 14.06(8) de la </w:t>
      </w:r>
      <w:r w:rsidRPr="007450AF">
        <w:rPr>
          <w:rFonts w:cs="Times New Roman"/>
          <w:i/>
          <w:szCs w:val="24"/>
          <w:lang w:val="fr-CA"/>
        </w:rPr>
        <w:t xml:space="preserve">LFI </w:t>
      </w:r>
      <w:r w:rsidRPr="007450AF">
        <w:rPr>
          <w:rFonts w:cs="Times New Roman"/>
          <w:szCs w:val="24"/>
          <w:lang w:val="fr-CA"/>
        </w:rPr>
        <w:t>(la disposition équivalente au par</w:t>
      </w:r>
      <w:r w:rsidR="00E529A8" w:rsidRPr="007450AF">
        <w:rPr>
          <w:rFonts w:cs="Times New Roman"/>
          <w:szCs w:val="24"/>
          <w:lang w:val="fr-CA"/>
        </w:rPr>
        <w:t>.</w:t>
      </w:r>
      <w:r w:rsidRPr="007450AF">
        <w:rPr>
          <w:rFonts w:cs="Times New Roman"/>
          <w:szCs w:val="24"/>
          <w:lang w:val="fr-CA"/>
        </w:rPr>
        <w:t xml:space="preserve"> 11.8(9) de la </w:t>
      </w:r>
      <w:r w:rsidRPr="007450AF">
        <w:rPr>
          <w:rFonts w:cs="Times New Roman"/>
          <w:i/>
          <w:szCs w:val="24"/>
          <w:lang w:val="fr-CA"/>
        </w:rPr>
        <w:t>LACC</w:t>
      </w:r>
      <w:r w:rsidRPr="007450AF">
        <w:rPr>
          <w:rFonts w:cs="Times New Roman"/>
          <w:szCs w:val="24"/>
          <w:lang w:val="fr-CA"/>
        </w:rPr>
        <w:t xml:space="preserve">).  Avec égards, cette interprétation de la disposition est trop large.  Le paragraphe 11.8(9) de la </w:t>
      </w:r>
      <w:r w:rsidRPr="007450AF">
        <w:rPr>
          <w:rFonts w:cs="Times New Roman"/>
          <w:i/>
          <w:szCs w:val="24"/>
          <w:lang w:val="fr-CA"/>
        </w:rPr>
        <w:t xml:space="preserve">LACC </w:t>
      </w:r>
      <w:r w:rsidRPr="007450AF">
        <w:rPr>
          <w:rFonts w:cs="Times New Roman"/>
          <w:szCs w:val="24"/>
          <w:lang w:val="fr-CA"/>
        </w:rPr>
        <w:t xml:space="preserve">vise uniquement la situation où un gouvernement a exécuté des travaux de réparation du dommage, et prévoit que les </w:t>
      </w:r>
      <w:r w:rsidRPr="007450AF">
        <w:rPr>
          <w:rFonts w:cs="Times New Roman"/>
          <w:i/>
          <w:szCs w:val="24"/>
          <w:lang w:val="fr-CA"/>
        </w:rPr>
        <w:t>frais de réparation</w:t>
      </w:r>
      <w:r w:rsidRPr="007450AF">
        <w:rPr>
          <w:rFonts w:cs="Times New Roman"/>
          <w:szCs w:val="24"/>
          <w:lang w:val="fr-CA"/>
        </w:rPr>
        <w:t xml:space="preserve"> constituent une réclamation dans le cadre du processus de restructuration, même si les dommages ont été causés à l’environnement après l’introduction des procédures au titre de la </w:t>
      </w:r>
      <w:r w:rsidRPr="007450AF">
        <w:rPr>
          <w:rFonts w:cs="Times New Roman"/>
          <w:i/>
          <w:szCs w:val="24"/>
          <w:lang w:val="fr-CA"/>
        </w:rPr>
        <w:t>LACC</w:t>
      </w:r>
      <w:r w:rsidRPr="007450AF">
        <w:rPr>
          <w:rFonts w:cs="Times New Roman"/>
          <w:szCs w:val="24"/>
          <w:lang w:val="fr-CA"/>
        </w:rPr>
        <w:t xml:space="preserve">.  Comme l’a déclaré le juge Burrows dans </w:t>
      </w:r>
      <w:r w:rsidRPr="007450AF">
        <w:rPr>
          <w:rFonts w:cs="Times New Roman"/>
          <w:i/>
          <w:szCs w:val="24"/>
          <w:lang w:val="fr-CA"/>
        </w:rPr>
        <w:t xml:space="preserve">Strathcona </w:t>
      </w:r>
      <w:r w:rsidR="00E529A8" w:rsidRPr="007450AF">
        <w:rPr>
          <w:rFonts w:cs="Times New Roman"/>
          <w:i/>
          <w:szCs w:val="24"/>
          <w:lang w:val="fr-CA"/>
        </w:rPr>
        <w:t>(</w:t>
      </w:r>
      <w:proofErr w:type="spellStart"/>
      <w:r w:rsidRPr="007450AF">
        <w:rPr>
          <w:rFonts w:cs="Times New Roman"/>
          <w:i/>
          <w:szCs w:val="24"/>
          <w:lang w:val="fr-CA"/>
        </w:rPr>
        <w:t>County</w:t>
      </w:r>
      <w:proofErr w:type="spellEnd"/>
      <w:r w:rsidR="00E529A8" w:rsidRPr="007450AF">
        <w:rPr>
          <w:rFonts w:cs="Times New Roman"/>
          <w:i/>
          <w:szCs w:val="24"/>
          <w:lang w:val="fr-CA"/>
        </w:rPr>
        <w:t>)</w:t>
      </w:r>
      <w:r w:rsidRPr="007450AF">
        <w:rPr>
          <w:rFonts w:cs="Times New Roman"/>
          <w:i/>
          <w:szCs w:val="24"/>
          <w:lang w:val="fr-CA"/>
        </w:rPr>
        <w:t xml:space="preserve"> c. </w:t>
      </w:r>
      <w:proofErr w:type="spellStart"/>
      <w:r w:rsidRPr="007450AF">
        <w:rPr>
          <w:rFonts w:cs="Times New Roman"/>
          <w:i/>
          <w:szCs w:val="24"/>
          <w:lang w:val="fr-CA"/>
        </w:rPr>
        <w:t>PriceWaterhouseCoopers</w:t>
      </w:r>
      <w:proofErr w:type="spellEnd"/>
      <w:r w:rsidRPr="007450AF">
        <w:rPr>
          <w:rFonts w:cs="Times New Roman"/>
          <w:i/>
          <w:szCs w:val="24"/>
          <w:lang w:val="fr-CA"/>
        </w:rPr>
        <w:t xml:space="preserve"> Inc.</w:t>
      </w:r>
      <w:r w:rsidRPr="007450AF">
        <w:rPr>
          <w:rFonts w:cs="Times New Roman"/>
          <w:szCs w:val="24"/>
          <w:lang w:val="fr-CA"/>
        </w:rPr>
        <w:t>,</w:t>
      </w:r>
      <w:r w:rsidRPr="007450AF">
        <w:rPr>
          <w:rFonts w:cs="Times New Roman"/>
          <w:i/>
          <w:szCs w:val="24"/>
          <w:lang w:val="fr-CA"/>
        </w:rPr>
        <w:t xml:space="preserve"> </w:t>
      </w:r>
      <w:r w:rsidRPr="007450AF">
        <w:rPr>
          <w:rFonts w:cs="Times New Roman"/>
          <w:szCs w:val="24"/>
          <w:lang w:val="fr-CA"/>
        </w:rPr>
        <w:t>2005 ABQB 559, 47 Alta. L.R. (4th) 138, la disposition [</w:t>
      </w:r>
      <w:r w:rsidRPr="007450AF">
        <w:rPr>
          <w:rFonts w:cs="Times New Roman"/>
          <w:smallCaps/>
          <w:szCs w:val="24"/>
          <w:lang w:val="fr-CA"/>
        </w:rPr>
        <w:t>traduction</w:t>
      </w:r>
      <w:r w:rsidRPr="007450AF">
        <w:rPr>
          <w:rFonts w:cs="Times New Roman"/>
          <w:szCs w:val="24"/>
          <w:lang w:val="fr-CA"/>
        </w:rPr>
        <w:t>] « ne convertit pas une exigence imposée par la loi et établie en faveur du public en général en une dette envers l’organisme public chargé d’appliquer la loi » (par. 42).</w:t>
      </w:r>
    </w:p>
    <w:p w:rsidR="004D251C" w:rsidRPr="007450AF" w:rsidRDefault="004D251C" w:rsidP="00E529A8">
      <w:pPr>
        <w:pStyle w:val="TitleTitre-AltT"/>
        <w:tabs>
          <w:tab w:val="clear" w:pos="360"/>
          <w:tab w:val="left" w:pos="540"/>
        </w:tabs>
        <w:ind w:left="540" w:hanging="540"/>
        <w:rPr>
          <w:rFonts w:cs="Times New Roman"/>
          <w:szCs w:val="24"/>
          <w:lang w:val="fr-CA"/>
        </w:rPr>
      </w:pPr>
      <w:r w:rsidRPr="007450AF">
        <w:rPr>
          <w:rFonts w:cs="Times New Roman"/>
          <w:szCs w:val="24"/>
          <w:lang w:val="fr-CA"/>
        </w:rPr>
        <w:lastRenderedPageBreak/>
        <w:t>4.</w:t>
      </w:r>
      <w:r w:rsidRPr="007450AF">
        <w:rPr>
          <w:rFonts w:cs="Times New Roman"/>
          <w:szCs w:val="24"/>
          <w:lang w:val="fr-CA"/>
        </w:rPr>
        <w:tab/>
      </w:r>
      <w:r w:rsidRPr="007450AF">
        <w:rPr>
          <w:rFonts w:cs="Times New Roman"/>
          <w:szCs w:val="24"/>
          <w:u w:val="single"/>
          <w:lang w:val="fr-CA"/>
        </w:rPr>
        <w:t xml:space="preserve">Quand une exigence réglementaire </w:t>
      </w:r>
      <w:proofErr w:type="spellStart"/>
      <w:r w:rsidRPr="007450AF">
        <w:rPr>
          <w:rFonts w:cs="Times New Roman"/>
          <w:szCs w:val="24"/>
          <w:u w:val="single"/>
          <w:lang w:val="fr-CA"/>
        </w:rPr>
        <w:t>devient</w:t>
      </w:r>
      <w:r w:rsidRPr="007450AF">
        <w:rPr>
          <w:rFonts w:cs="Times New Roman"/>
          <w:szCs w:val="24"/>
          <w:u w:val="single"/>
          <w:lang w:val="fr-CA"/>
        </w:rPr>
        <w:noBreakHyphen/>
        <w:t>elle</w:t>
      </w:r>
      <w:proofErr w:type="spellEnd"/>
      <w:r w:rsidRPr="007450AF">
        <w:rPr>
          <w:rFonts w:cs="Times New Roman"/>
          <w:szCs w:val="24"/>
          <w:u w:val="single"/>
          <w:lang w:val="fr-CA"/>
        </w:rPr>
        <w:t xml:space="preserve"> une réclamation au titre de la </w:t>
      </w:r>
      <w:r w:rsidRPr="007450AF">
        <w:rPr>
          <w:rFonts w:cs="Times New Roman"/>
          <w:i/>
          <w:szCs w:val="24"/>
          <w:u w:val="single"/>
          <w:lang w:val="fr-CA"/>
        </w:rPr>
        <w:t>LACC</w:t>
      </w:r>
      <w:r w:rsidRPr="00C6287F">
        <w:rPr>
          <w:rFonts w:cs="Times New Roman"/>
          <w:szCs w:val="24"/>
          <w:u w:val="single"/>
          <w:lang w:val="fr-CA"/>
        </w:rPr>
        <w:t>?</w:t>
      </w:r>
    </w:p>
    <w:p w:rsidR="004D251C" w:rsidRPr="007450AF" w:rsidRDefault="004D251C" w:rsidP="004D251C">
      <w:pPr>
        <w:pStyle w:val="ParaNoNdepar-AltN"/>
        <w:rPr>
          <w:rFonts w:cs="Times New Roman"/>
          <w:szCs w:val="24"/>
          <w:lang w:val="fr-CA"/>
        </w:rPr>
      </w:pPr>
      <w:r w:rsidRPr="007450AF">
        <w:rPr>
          <w:rFonts w:cs="Times New Roman"/>
          <w:szCs w:val="24"/>
          <w:lang w:val="fr-CA"/>
        </w:rPr>
        <w:t>Ceci nous amène au cœur de la question dont nous sommes saisis : quand une exigence réglementaire imposée à une société en vertu d’une loi sur la protection de l’environnement</w:t>
      </w:r>
      <w:r w:rsidRPr="007450AF">
        <w:rPr>
          <w:rFonts w:cs="Times New Roman"/>
          <w:i/>
          <w:szCs w:val="24"/>
          <w:lang w:val="fr-CA"/>
        </w:rPr>
        <w:t xml:space="preserve"> </w:t>
      </w:r>
      <w:proofErr w:type="spellStart"/>
      <w:r w:rsidRPr="007450AF">
        <w:rPr>
          <w:rFonts w:cs="Times New Roman"/>
          <w:szCs w:val="24"/>
          <w:lang w:val="fr-CA"/>
        </w:rPr>
        <w:t>devient</w:t>
      </w:r>
      <w:r w:rsidRPr="007450AF">
        <w:rPr>
          <w:rFonts w:cs="Times New Roman"/>
          <w:szCs w:val="24"/>
          <w:lang w:val="fr-CA"/>
        </w:rPr>
        <w:noBreakHyphen/>
        <w:t>elle</w:t>
      </w:r>
      <w:proofErr w:type="spellEnd"/>
      <w:r w:rsidRPr="007450AF">
        <w:rPr>
          <w:rFonts w:cs="Times New Roman"/>
          <w:szCs w:val="24"/>
          <w:lang w:val="fr-CA"/>
        </w:rPr>
        <w:t xml:space="preserve"> une « réclamation » prouvable et pouvant faire l’objet d’une transaction aux termes de la </w:t>
      </w:r>
      <w:r w:rsidRPr="007450AF">
        <w:rPr>
          <w:rFonts w:cs="Times New Roman"/>
          <w:i/>
          <w:szCs w:val="24"/>
          <w:lang w:val="fr-CA"/>
        </w:rPr>
        <w:t>LACC</w:t>
      </w:r>
      <w:r w:rsidRPr="007450AF">
        <w:rPr>
          <w:rFonts w:cs="Times New Roman"/>
          <w:szCs w:val="24"/>
          <w:lang w:val="fr-CA"/>
        </w:rPr>
        <w:t>?</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En règle générale, les exigences réglementaires ne sont pas des réclamations pouvant faire l’objet d’une transaction.  Seules les réclamations financières ou pécuniaires prouvables par un « créancier » correspondent à la définition de « réclamation » au sens de la </w:t>
      </w:r>
      <w:r w:rsidRPr="007450AF">
        <w:rPr>
          <w:rFonts w:cs="Times New Roman"/>
          <w:i/>
          <w:szCs w:val="24"/>
          <w:lang w:val="fr-CA"/>
        </w:rPr>
        <w:t>LACC</w:t>
      </w:r>
      <w:r w:rsidRPr="007450AF">
        <w:rPr>
          <w:rFonts w:cs="Times New Roman"/>
          <w:szCs w:val="24"/>
          <w:lang w:val="fr-CA"/>
        </w:rPr>
        <w:t>.  Un « créancier » est défini comme étant une « </w:t>
      </w:r>
      <w:r w:rsidR="00E529A8" w:rsidRPr="007450AF">
        <w:rPr>
          <w:rFonts w:cs="Times New Roman"/>
          <w:szCs w:val="24"/>
          <w:lang w:val="fr-CA"/>
        </w:rPr>
        <w:t>[</w:t>
      </w:r>
      <w:r w:rsidRPr="007450AF">
        <w:rPr>
          <w:rFonts w:cs="Times New Roman"/>
          <w:szCs w:val="24"/>
          <w:lang w:val="fr-CA"/>
        </w:rPr>
        <w:t>p</w:t>
      </w:r>
      <w:r w:rsidR="00E529A8" w:rsidRPr="007450AF">
        <w:rPr>
          <w:rFonts w:cs="Times New Roman"/>
          <w:szCs w:val="24"/>
          <w:lang w:val="fr-CA"/>
        </w:rPr>
        <w:t>]</w:t>
      </w:r>
      <w:proofErr w:type="spellStart"/>
      <w:r w:rsidRPr="007450AF">
        <w:rPr>
          <w:rFonts w:cs="Times New Roman"/>
          <w:szCs w:val="24"/>
          <w:lang w:val="fr-CA"/>
        </w:rPr>
        <w:t>ersonne</w:t>
      </w:r>
      <w:proofErr w:type="spellEnd"/>
      <w:r w:rsidRPr="007450AF">
        <w:rPr>
          <w:rFonts w:cs="Times New Roman"/>
          <w:szCs w:val="24"/>
          <w:lang w:val="fr-CA"/>
        </w:rPr>
        <w:t xml:space="preserve"> ayant une réclamation »</w:t>
      </w:r>
      <w:r w:rsidR="00E529A8" w:rsidRPr="007450AF">
        <w:rPr>
          <w:rFonts w:cs="Times New Roman"/>
          <w:szCs w:val="24"/>
          <w:lang w:val="fr-CA"/>
        </w:rPr>
        <w:t> :</w:t>
      </w:r>
      <w:r w:rsidRPr="007450AF">
        <w:rPr>
          <w:rFonts w:cs="Times New Roman"/>
          <w:i/>
          <w:szCs w:val="24"/>
          <w:lang w:val="fr-CA"/>
        </w:rPr>
        <w:t xml:space="preserve"> </w:t>
      </w:r>
      <w:r w:rsidRPr="007450AF">
        <w:rPr>
          <w:rFonts w:cs="Times New Roman"/>
          <w:szCs w:val="24"/>
          <w:lang w:val="fr-CA"/>
        </w:rPr>
        <w:t>art. 2</w:t>
      </w:r>
      <w:r w:rsidR="00E529A8" w:rsidRPr="007450AF">
        <w:rPr>
          <w:rFonts w:cs="Times New Roman"/>
          <w:szCs w:val="24"/>
          <w:lang w:val="fr-CA"/>
        </w:rPr>
        <w:t xml:space="preserve">, </w:t>
      </w:r>
      <w:r w:rsidR="00E529A8" w:rsidRPr="007450AF">
        <w:rPr>
          <w:rFonts w:cs="Times New Roman"/>
          <w:i/>
          <w:szCs w:val="24"/>
          <w:lang w:val="fr-CA"/>
        </w:rPr>
        <w:t>LFI</w:t>
      </w:r>
      <w:r w:rsidRPr="007450AF">
        <w:rPr>
          <w:rFonts w:cs="Times New Roman"/>
          <w:szCs w:val="24"/>
          <w:lang w:val="fr-CA"/>
        </w:rPr>
        <w:t>.  Ainsi, l’identification d’un « créancier » repose sur l’existence d’une « réclamation ».  Le paragraphe 12(1) de la </w:t>
      </w:r>
      <w:r w:rsidRPr="007450AF">
        <w:rPr>
          <w:rFonts w:cs="Times New Roman"/>
          <w:i/>
          <w:szCs w:val="24"/>
          <w:lang w:val="fr-CA"/>
        </w:rPr>
        <w:t xml:space="preserve">LACC </w:t>
      </w:r>
      <w:r w:rsidRPr="007450AF">
        <w:rPr>
          <w:rFonts w:cs="Times New Roman"/>
          <w:szCs w:val="24"/>
          <w:lang w:val="fr-CA"/>
        </w:rPr>
        <w:t xml:space="preserve">définit une « réclamation » comme étant « toute dette, tout engagement ou toute obligation [. . .] qui [. . .] constituerait une dette prouvable en matière de faillite », une définition dont la portée reconnue se limite aux obligations de nature financière ou pécuniaire.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La </w:t>
      </w:r>
      <w:r w:rsidRPr="007450AF">
        <w:rPr>
          <w:rFonts w:cs="Times New Roman"/>
          <w:i/>
          <w:szCs w:val="24"/>
          <w:lang w:val="fr-CA"/>
        </w:rPr>
        <w:t xml:space="preserve">LACC </w:t>
      </w:r>
      <w:r w:rsidRPr="007450AF">
        <w:rPr>
          <w:rFonts w:cs="Times New Roman"/>
          <w:szCs w:val="24"/>
          <w:lang w:val="fr-CA"/>
        </w:rPr>
        <w:t xml:space="preserve">ne s’écarte pas du principe selon lequel une réclamation doit être financière ou pécuniaire.  Elle prévoit cependant un régime permettant de régler les différends portant sur la question de savoir si une obligation est de nature pécuniaire, par opposition à une obligation d’une autre nature.  </w:t>
      </w:r>
    </w:p>
    <w:p w:rsidR="004D251C" w:rsidRPr="007450AF" w:rsidRDefault="004D251C" w:rsidP="004D251C">
      <w:pPr>
        <w:pStyle w:val="ParaNoNdepar-AltN"/>
        <w:rPr>
          <w:rFonts w:cs="Times New Roman"/>
          <w:szCs w:val="24"/>
          <w:lang w:val="fr-CA"/>
        </w:rPr>
      </w:pPr>
      <w:r w:rsidRPr="007450AF">
        <w:rPr>
          <w:rFonts w:cs="Times New Roman"/>
          <w:szCs w:val="24"/>
          <w:lang w:val="fr-CA"/>
        </w:rPr>
        <w:lastRenderedPageBreak/>
        <w:t xml:space="preserve">Les obligations environnementales qui incombent à une personne morale peuvent engendrer un tel différend.  La </w:t>
      </w:r>
      <w:r w:rsidRPr="007450AF">
        <w:rPr>
          <w:rFonts w:cs="Times New Roman"/>
          <w:i/>
          <w:szCs w:val="24"/>
          <w:lang w:val="fr-CA"/>
        </w:rPr>
        <w:t xml:space="preserve">LACC </w:t>
      </w:r>
      <w:r w:rsidRPr="007450AF">
        <w:rPr>
          <w:rFonts w:cs="Times New Roman"/>
          <w:szCs w:val="24"/>
          <w:lang w:val="fr-CA"/>
        </w:rPr>
        <w:t xml:space="preserve">reconnaît trois situations susceptibles de se présenter lorsqu’une personne morale s’engage dans un processus de restructuration.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La première situation est celle où les travaux de restauration du site n’ont pas été exécutés (et il n’est pas « suffisamment certain » que les travaux seront exécutés, contrairement à la troisième situation exposée </w:t>
      </w:r>
      <w:proofErr w:type="spellStart"/>
      <w:r w:rsidRPr="007450AF">
        <w:rPr>
          <w:rFonts w:cs="Times New Roman"/>
          <w:szCs w:val="24"/>
          <w:lang w:val="fr-CA"/>
        </w:rPr>
        <w:t>ci</w:t>
      </w:r>
      <w:r w:rsidRPr="007450AF">
        <w:rPr>
          <w:rFonts w:cs="Times New Roman"/>
          <w:szCs w:val="24"/>
          <w:lang w:val="fr-CA"/>
        </w:rPr>
        <w:noBreakHyphen/>
        <w:t>après</w:t>
      </w:r>
      <w:proofErr w:type="spellEnd"/>
      <w:r w:rsidRPr="007450AF">
        <w:rPr>
          <w:rFonts w:cs="Times New Roman"/>
          <w:szCs w:val="24"/>
          <w:lang w:val="fr-CA"/>
        </w:rPr>
        <w:t>).  En pareil cas, le gouvernement ne peut réclamer le coût de la restauration : voir le par. 102(3) de l’</w:t>
      </w:r>
      <w:r w:rsidRPr="007450AF">
        <w:rPr>
          <w:rFonts w:cs="Times New Roman"/>
          <w:i/>
          <w:szCs w:val="24"/>
          <w:lang w:val="fr-CA"/>
        </w:rPr>
        <w:t>EPA</w:t>
      </w:r>
      <w:r w:rsidRPr="007450AF">
        <w:rPr>
          <w:rFonts w:cs="Times New Roman"/>
          <w:szCs w:val="24"/>
          <w:lang w:val="fr-CA"/>
        </w:rPr>
        <w:t xml:space="preserve">.  En principe, l’obligation de se conformer à la loi incombe au contrôleur qui prend en charge l’actif et les activités de la société.  Si le contrôleur exécute les travaux de restauration du site, il peut réclamer les frais en tant que frais d’administration.  S’il ne désire pas le faire, il peut obtenir de la cour une ordonnance suspendant l’exigence de restauration ou il peut abandonner l’immeuble : par. 11.8(5) de la </w:t>
      </w:r>
      <w:r w:rsidRPr="007450AF">
        <w:rPr>
          <w:rFonts w:cs="Times New Roman"/>
          <w:i/>
          <w:szCs w:val="24"/>
          <w:lang w:val="fr-CA"/>
        </w:rPr>
        <w:t>LACC</w:t>
      </w:r>
      <w:r w:rsidRPr="007450AF">
        <w:rPr>
          <w:rFonts w:cs="Times New Roman"/>
          <w:szCs w:val="24"/>
          <w:lang w:val="fr-CA"/>
        </w:rPr>
        <w:t xml:space="preserve"> (dans ce cas, les frais de restauration ne font pas partie des frais d’administration : par</w:t>
      </w:r>
      <w:r w:rsidR="00E529A8" w:rsidRPr="007450AF">
        <w:rPr>
          <w:rFonts w:cs="Times New Roman"/>
          <w:szCs w:val="24"/>
          <w:lang w:val="fr-CA"/>
        </w:rPr>
        <w:t>.</w:t>
      </w:r>
      <w:r w:rsidRPr="007450AF">
        <w:rPr>
          <w:rFonts w:cs="Times New Roman"/>
          <w:szCs w:val="24"/>
          <w:lang w:val="fr-CA"/>
        </w:rPr>
        <w:t xml:space="preserve"> 11.8(7)).  </w:t>
      </w:r>
      <w:r w:rsidR="00E529A8" w:rsidRPr="007450AF">
        <w:rPr>
          <w:rFonts w:cs="Times New Roman"/>
          <w:szCs w:val="24"/>
          <w:lang w:val="fr-CA"/>
        </w:rPr>
        <w:t>En pareil cas</w:t>
      </w:r>
      <w:r w:rsidRPr="007450AF">
        <w:rPr>
          <w:rFonts w:cs="Times New Roman"/>
          <w:szCs w:val="24"/>
          <w:lang w:val="fr-CA"/>
        </w:rPr>
        <w:t>, l’obligation ne peut faire l’objet d’une transaction.</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La deuxième situation est celle où le gouvernement qui a émis l’ordonnance environnementale prend des mesures de décontamination, ce que la législation l’autorise à faire.  En pareil cas, le gouvernement peut produire, pour le coût de la décontamination, une réclamation qui pourra faire l’objet d’une transaction dans le cadre des procédures engagées sous le régime de la </w:t>
      </w:r>
      <w:r w:rsidRPr="007450AF">
        <w:rPr>
          <w:rFonts w:cs="Times New Roman"/>
          <w:i/>
          <w:szCs w:val="24"/>
          <w:lang w:val="fr-CA"/>
        </w:rPr>
        <w:t>LACC</w:t>
      </w:r>
      <w:r w:rsidRPr="007450AF">
        <w:rPr>
          <w:rFonts w:cs="Times New Roman"/>
          <w:szCs w:val="24"/>
          <w:lang w:val="fr-CA"/>
        </w:rPr>
        <w:t xml:space="preserve">.  Il en est ainsi </w:t>
      </w:r>
      <w:r w:rsidRPr="007450AF">
        <w:rPr>
          <w:rFonts w:cs="Times New Roman"/>
          <w:szCs w:val="24"/>
          <w:lang w:val="fr-CA"/>
        </w:rPr>
        <w:lastRenderedPageBreak/>
        <w:t xml:space="preserve">parce que le gouvernement, en prenant des mesures pour décontaminer le site, a transformé l’exigence réglementaire non exécutée établie en faveur du public en une obligation financière ou pécuniaire à laquelle la société est </w:t>
      </w:r>
      <w:proofErr w:type="gramStart"/>
      <w:r w:rsidRPr="007450AF">
        <w:rPr>
          <w:rFonts w:cs="Times New Roman"/>
          <w:szCs w:val="24"/>
          <w:lang w:val="fr-CA"/>
        </w:rPr>
        <w:t>tenue</w:t>
      </w:r>
      <w:proofErr w:type="gramEnd"/>
      <w:r w:rsidRPr="007450AF">
        <w:rPr>
          <w:rFonts w:cs="Times New Roman"/>
          <w:szCs w:val="24"/>
          <w:lang w:val="fr-CA"/>
        </w:rPr>
        <w:t xml:space="preserve"> envers le gouvernement.  Le paragraphe 11.8(9), examiné précédemment, prévoit clairement que cette situation s’applique aux dommages survenus après que les procédures ont été engagées au titre de la </w:t>
      </w:r>
      <w:r w:rsidRPr="007450AF">
        <w:rPr>
          <w:rFonts w:cs="Times New Roman"/>
          <w:i/>
          <w:szCs w:val="24"/>
          <w:lang w:val="fr-CA"/>
        </w:rPr>
        <w:t>LACC</w:t>
      </w:r>
      <w:r w:rsidRPr="007450AF">
        <w:rPr>
          <w:rFonts w:cs="Times New Roman"/>
          <w:szCs w:val="24"/>
          <w:lang w:val="fr-CA"/>
        </w:rPr>
        <w:t xml:space="preserve">; en l’absence d’une telle précision, ces dommages ne pourraient faire l’objet d’une réclamation compte tenu du moment choisi pour agir.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Une troisième situation peut se présenter : le gouvernement n’a pas encore exécuté des travaux de restauration au moment de la restructuration, mais il est « suffisamment certain » qu’il le fera.  Cette situation est prévue par les dispositions de la </w:t>
      </w:r>
      <w:r w:rsidRPr="007450AF">
        <w:rPr>
          <w:rFonts w:cs="Times New Roman"/>
          <w:i/>
          <w:szCs w:val="24"/>
          <w:lang w:val="fr-CA"/>
        </w:rPr>
        <w:t xml:space="preserve">LACC </w:t>
      </w:r>
      <w:r w:rsidRPr="007450AF">
        <w:rPr>
          <w:rFonts w:cs="Times New Roman"/>
          <w:szCs w:val="24"/>
          <w:lang w:val="fr-CA"/>
        </w:rPr>
        <w:t xml:space="preserve">relatives aux réclamations éventuelles ou futures.  Aux termes de la </w:t>
      </w:r>
      <w:r w:rsidRPr="007450AF">
        <w:rPr>
          <w:rFonts w:cs="Times New Roman"/>
          <w:i/>
          <w:szCs w:val="24"/>
          <w:lang w:val="fr-CA"/>
        </w:rPr>
        <w:t>LACC</w:t>
      </w:r>
      <w:r w:rsidRPr="007450AF">
        <w:rPr>
          <w:rFonts w:cs="Times New Roman"/>
          <w:szCs w:val="24"/>
          <w:lang w:val="fr-CA"/>
        </w:rPr>
        <w:t>,</w:t>
      </w:r>
      <w:r w:rsidRPr="007450AF">
        <w:rPr>
          <w:rFonts w:cs="Times New Roman"/>
          <w:i/>
          <w:szCs w:val="24"/>
          <w:lang w:val="fr-CA"/>
        </w:rPr>
        <w:t xml:space="preserve"> </w:t>
      </w:r>
      <w:r w:rsidRPr="007450AF">
        <w:rPr>
          <w:rFonts w:cs="Times New Roman"/>
          <w:szCs w:val="24"/>
          <w:lang w:val="fr-CA"/>
        </w:rPr>
        <w:t xml:space="preserve">une dette ou un engagement qui dépend d’un événement futur peut faire l’objet d’une transaction.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Il est évident qu’une simple possibilité que les travaux soient exécutés ne suffit pas pour transformer une exigence réglementaire en une réclamation éventuelle au titre de la </w:t>
      </w:r>
      <w:r w:rsidRPr="007450AF">
        <w:rPr>
          <w:rFonts w:cs="Times New Roman"/>
          <w:i/>
          <w:szCs w:val="24"/>
          <w:lang w:val="fr-CA"/>
        </w:rPr>
        <w:t>LACC</w:t>
      </w:r>
      <w:r w:rsidRPr="007450AF">
        <w:rPr>
          <w:rFonts w:cs="Times New Roman"/>
          <w:szCs w:val="24"/>
          <w:lang w:val="fr-CA"/>
        </w:rPr>
        <w:t>.</w:t>
      </w:r>
      <w:r w:rsidRPr="007450AF">
        <w:rPr>
          <w:rFonts w:cs="Times New Roman"/>
          <w:i/>
          <w:szCs w:val="24"/>
          <w:lang w:val="fr-CA"/>
        </w:rPr>
        <w:t xml:space="preserve">  </w:t>
      </w:r>
      <w:r w:rsidRPr="007450AF">
        <w:rPr>
          <w:rFonts w:cs="Times New Roman"/>
          <w:szCs w:val="24"/>
          <w:lang w:val="fr-CA"/>
        </w:rPr>
        <w:t>Pour en arriver à ce résultat, il faut plutôt qu’il soit « suffisamment certain » que l’exigence sera convertie en une réclamation financière ou pécuniaire.  L’incidence de l’exigence sur le processus d’insolvabilité n’est pas pertinente pour l’analyse du caractère éventuel de la réclamation.  Les engagements futurs ne doivent pas être [</w:t>
      </w:r>
      <w:r w:rsidRPr="007450AF">
        <w:rPr>
          <w:rFonts w:cs="Times New Roman"/>
          <w:smallCaps/>
          <w:szCs w:val="24"/>
          <w:lang w:val="fr-CA"/>
        </w:rPr>
        <w:t>traduction</w:t>
      </w:r>
      <w:r w:rsidRPr="007450AF">
        <w:rPr>
          <w:rFonts w:cs="Times New Roman"/>
          <w:szCs w:val="24"/>
          <w:lang w:val="fr-CA"/>
        </w:rPr>
        <w:t xml:space="preserve">] « si lointains et hypothétiques qu’ils ne </w:t>
      </w:r>
      <w:r w:rsidRPr="007450AF">
        <w:rPr>
          <w:rFonts w:cs="Times New Roman"/>
          <w:szCs w:val="24"/>
          <w:lang w:val="fr-CA"/>
        </w:rPr>
        <w:lastRenderedPageBreak/>
        <w:t xml:space="preserve">puissent être considérés à bon droit comme des réclamations éventuelles » : </w:t>
      </w:r>
      <w:proofErr w:type="spellStart"/>
      <w:r w:rsidRPr="007450AF">
        <w:rPr>
          <w:rFonts w:cs="Times New Roman"/>
          <w:i/>
          <w:szCs w:val="24"/>
          <w:lang w:val="fr-CA"/>
        </w:rPr>
        <w:t>Confederation</w:t>
      </w:r>
      <w:proofErr w:type="spellEnd"/>
      <w:r w:rsidR="00E529A8" w:rsidRPr="007450AF">
        <w:rPr>
          <w:rFonts w:cs="Times New Roman"/>
          <w:i/>
          <w:szCs w:val="24"/>
          <w:lang w:val="fr-CA"/>
        </w:rPr>
        <w:t xml:space="preserve"> </w:t>
      </w:r>
      <w:proofErr w:type="spellStart"/>
      <w:r w:rsidR="00E529A8" w:rsidRPr="007450AF">
        <w:rPr>
          <w:rFonts w:cs="Times New Roman"/>
          <w:i/>
          <w:szCs w:val="24"/>
          <w:lang w:val="fr-CA"/>
        </w:rPr>
        <w:t>Treasury</w:t>
      </w:r>
      <w:proofErr w:type="spellEnd"/>
      <w:r w:rsidR="00E529A8" w:rsidRPr="007450AF">
        <w:rPr>
          <w:rFonts w:cs="Times New Roman"/>
          <w:i/>
          <w:szCs w:val="24"/>
          <w:lang w:val="fr-CA"/>
        </w:rPr>
        <w:t xml:space="preserve"> Services Ltd.</w:t>
      </w:r>
      <w:r w:rsidRPr="007450AF">
        <w:rPr>
          <w:rFonts w:cs="Times New Roman"/>
          <w:i/>
          <w:szCs w:val="24"/>
          <w:lang w:val="fr-CA"/>
        </w:rPr>
        <w:t xml:space="preserve"> (</w:t>
      </w:r>
      <w:proofErr w:type="spellStart"/>
      <w:r w:rsidRPr="007450AF">
        <w:rPr>
          <w:rFonts w:cs="Times New Roman"/>
          <w:i/>
          <w:szCs w:val="24"/>
          <w:lang w:val="fr-CA"/>
        </w:rPr>
        <w:t>Bankrupt</w:t>
      </w:r>
      <w:proofErr w:type="spellEnd"/>
      <w:r w:rsidRPr="007450AF">
        <w:rPr>
          <w:rFonts w:cs="Times New Roman"/>
          <w:i/>
          <w:szCs w:val="24"/>
          <w:lang w:val="fr-CA"/>
        </w:rPr>
        <w:t xml:space="preserve">), </w:t>
      </w:r>
      <w:proofErr w:type="spellStart"/>
      <w:r w:rsidRPr="007450AF">
        <w:rPr>
          <w:rFonts w:cs="Times New Roman"/>
          <w:i/>
          <w:szCs w:val="24"/>
          <w:lang w:val="fr-CA"/>
        </w:rPr>
        <w:t>Re</w:t>
      </w:r>
      <w:proofErr w:type="spellEnd"/>
      <w:r w:rsidRPr="007450AF">
        <w:rPr>
          <w:rFonts w:cs="Times New Roman"/>
          <w:szCs w:val="24"/>
          <w:lang w:val="fr-CA"/>
        </w:rPr>
        <w:t xml:space="preserve"> (1997), 96 O.A.C. 75</w:t>
      </w:r>
      <w:r w:rsidR="00E529A8" w:rsidRPr="007450AF">
        <w:rPr>
          <w:rFonts w:cs="Times New Roman"/>
          <w:szCs w:val="24"/>
          <w:lang w:val="fr-CA"/>
        </w:rPr>
        <w:t>, par. 4</w:t>
      </w:r>
      <w:r w:rsidRPr="007450AF">
        <w:rPr>
          <w:rFonts w:cs="Times New Roman"/>
          <w:szCs w:val="24"/>
          <w:lang w:val="fr-CA"/>
        </w:rPr>
        <w:t xml:space="preserve">.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Lorsque des exigences environnementales sont en cause, les tribunaux se sont jusqu’à ce jour fondés sur un haut degré de probabilité, proche de la certitude, que le gouvernement prendra réellement des mesures et exécutera les travaux de restauration.  Dans </w:t>
      </w:r>
      <w:proofErr w:type="spellStart"/>
      <w:r w:rsidRPr="007450AF">
        <w:rPr>
          <w:rFonts w:cs="Times New Roman"/>
          <w:i/>
          <w:szCs w:val="24"/>
          <w:lang w:val="fr-CA"/>
        </w:rPr>
        <w:t>Anvil</w:t>
      </w:r>
      <w:proofErr w:type="spellEnd"/>
      <w:r w:rsidRPr="007450AF">
        <w:rPr>
          <w:rFonts w:cs="Times New Roman"/>
          <w:i/>
          <w:szCs w:val="24"/>
          <w:lang w:val="fr-CA"/>
        </w:rPr>
        <w:t xml:space="preserve"> Range </w:t>
      </w:r>
      <w:proofErr w:type="spellStart"/>
      <w:r w:rsidRPr="007450AF">
        <w:rPr>
          <w:rFonts w:cs="Times New Roman"/>
          <w:i/>
          <w:szCs w:val="24"/>
          <w:lang w:val="fr-CA"/>
        </w:rPr>
        <w:t>Mining</w:t>
      </w:r>
      <w:proofErr w:type="spellEnd"/>
      <w:r w:rsidRPr="007450AF">
        <w:rPr>
          <w:rFonts w:cs="Times New Roman"/>
          <w:i/>
          <w:szCs w:val="24"/>
          <w:lang w:val="fr-CA"/>
        </w:rPr>
        <w:t xml:space="preserve"> Corp.</w:t>
      </w:r>
      <w:r w:rsidR="00E529A8" w:rsidRPr="007450AF">
        <w:rPr>
          <w:rFonts w:cs="Times New Roman"/>
          <w:i/>
          <w:szCs w:val="24"/>
          <w:lang w:val="fr-CA"/>
        </w:rPr>
        <w:t>,</w:t>
      </w:r>
      <w:r w:rsidRPr="007450AF">
        <w:rPr>
          <w:rFonts w:cs="Times New Roman"/>
          <w:i/>
          <w:szCs w:val="24"/>
          <w:lang w:val="fr-CA"/>
        </w:rPr>
        <w:t xml:space="preserve"> </w:t>
      </w:r>
      <w:proofErr w:type="spellStart"/>
      <w:r w:rsidRPr="007450AF">
        <w:rPr>
          <w:rFonts w:cs="Times New Roman"/>
          <w:i/>
          <w:szCs w:val="24"/>
          <w:lang w:val="fr-CA"/>
        </w:rPr>
        <w:t>Re</w:t>
      </w:r>
      <w:proofErr w:type="spellEnd"/>
      <w:r w:rsidRPr="007450AF">
        <w:rPr>
          <w:rFonts w:cs="Times New Roman"/>
          <w:i/>
          <w:szCs w:val="24"/>
          <w:lang w:val="fr-CA"/>
        </w:rPr>
        <w:t xml:space="preserve"> </w:t>
      </w:r>
      <w:r w:rsidRPr="007450AF">
        <w:rPr>
          <w:rFonts w:cs="Times New Roman"/>
          <w:szCs w:val="24"/>
          <w:lang w:val="fr-CA"/>
        </w:rPr>
        <w:t xml:space="preserve">(2001), 25 C.B.R. (4th) 1 (C.S.J. Ont.), le juge Farley a conclu que la preuve d’une réclamation éventuelle était établie parce que les fonds avaient déjà été dédiés au projet de restauration dans le budget.  Il a fait remarquer </w:t>
      </w:r>
      <w:proofErr w:type="gramStart"/>
      <w:r w:rsidRPr="007450AF">
        <w:rPr>
          <w:rFonts w:cs="Times New Roman"/>
          <w:szCs w:val="24"/>
          <w:lang w:val="fr-CA"/>
        </w:rPr>
        <w:t>qu’[</w:t>
      </w:r>
      <w:proofErr w:type="gramEnd"/>
      <w:r w:rsidRPr="007450AF">
        <w:rPr>
          <w:rFonts w:cs="Times New Roman"/>
          <w:smallCaps/>
          <w:szCs w:val="24"/>
          <w:lang w:val="fr-CA"/>
        </w:rPr>
        <w:t>traduction</w:t>
      </w:r>
      <w:r w:rsidRPr="007450AF">
        <w:rPr>
          <w:rFonts w:cs="Times New Roman"/>
          <w:szCs w:val="24"/>
          <w:lang w:val="fr-CA"/>
        </w:rPr>
        <w:t>] « </w:t>
      </w:r>
      <w:r w:rsidR="00E529A8" w:rsidRPr="007450AF">
        <w:rPr>
          <w:rFonts w:cs="Times New Roman"/>
          <w:szCs w:val="24"/>
          <w:lang w:val="fr-CA"/>
        </w:rPr>
        <w:t xml:space="preserve">il </w:t>
      </w:r>
      <w:r w:rsidRPr="007450AF">
        <w:rPr>
          <w:rFonts w:cs="Times New Roman"/>
          <w:szCs w:val="24"/>
          <w:lang w:val="fr-CA"/>
        </w:rPr>
        <w:t xml:space="preserve">semble </w:t>
      </w:r>
      <w:r w:rsidRPr="007450AF">
        <w:rPr>
          <w:rFonts w:cs="Times New Roman"/>
          <w:szCs w:val="24"/>
          <w:u w:val="single"/>
          <w:lang w:val="fr-CA"/>
        </w:rPr>
        <w:t>fortement probable et presque certain</w:t>
      </w:r>
      <w:r w:rsidRPr="007450AF">
        <w:rPr>
          <w:rFonts w:cs="Times New Roman"/>
          <w:szCs w:val="24"/>
          <w:lang w:val="fr-CA"/>
        </w:rPr>
        <w:t xml:space="preserve"> que chaque dollar dédié aux réclamations figurant au budget établi pour l’année se terminant le 31 mars 2002 sera dépensé » (par. 15 (je souligne)).  De même, dans </w:t>
      </w:r>
      <w:r w:rsidRPr="007450AF">
        <w:rPr>
          <w:rFonts w:cs="Times New Roman"/>
          <w:i/>
          <w:szCs w:val="24"/>
          <w:lang w:val="fr-CA"/>
        </w:rPr>
        <w:t>Shirley (</w:t>
      </w:r>
      <w:proofErr w:type="spellStart"/>
      <w:r w:rsidRPr="007450AF">
        <w:rPr>
          <w:rFonts w:cs="Times New Roman"/>
          <w:i/>
          <w:szCs w:val="24"/>
          <w:lang w:val="fr-CA"/>
        </w:rPr>
        <w:t>Re</w:t>
      </w:r>
      <w:proofErr w:type="spellEnd"/>
      <w:r w:rsidRPr="007450AF">
        <w:rPr>
          <w:rFonts w:cs="Times New Roman"/>
          <w:i/>
          <w:szCs w:val="24"/>
          <w:lang w:val="fr-CA"/>
        </w:rPr>
        <w:t>)</w:t>
      </w:r>
      <w:r w:rsidRPr="007450AF">
        <w:rPr>
          <w:rFonts w:cs="Times New Roman"/>
          <w:szCs w:val="24"/>
          <w:lang w:val="fr-CA"/>
        </w:rPr>
        <w:t>,</w:t>
      </w:r>
      <w:r w:rsidRPr="007450AF">
        <w:rPr>
          <w:rFonts w:cs="Times New Roman"/>
          <w:i/>
          <w:szCs w:val="24"/>
          <w:lang w:val="fr-CA"/>
        </w:rPr>
        <w:t xml:space="preserve"> </w:t>
      </w:r>
      <w:r w:rsidRPr="007450AF">
        <w:rPr>
          <w:rFonts w:cs="Times New Roman"/>
          <w:szCs w:val="24"/>
          <w:lang w:val="fr-CA"/>
        </w:rPr>
        <w:t>le juge</w:t>
      </w:r>
      <w:r w:rsidRPr="007450AF">
        <w:rPr>
          <w:rFonts w:cs="Times New Roman"/>
          <w:i/>
          <w:szCs w:val="24"/>
          <w:lang w:val="fr-CA"/>
        </w:rPr>
        <w:t xml:space="preserve"> </w:t>
      </w:r>
      <w:r w:rsidRPr="007450AF">
        <w:rPr>
          <w:rFonts w:cs="Times New Roman"/>
          <w:szCs w:val="24"/>
          <w:lang w:val="fr-CA"/>
        </w:rPr>
        <w:t>Kennedy s’est fondé sur le fait que les employés du ministère de l’Environnement de l’Ontario se trouvaient déjà sur le terrain en cause et avaient commencé les travaux de restauration pour conclure que [</w:t>
      </w:r>
      <w:r w:rsidRPr="007450AF">
        <w:rPr>
          <w:rFonts w:cs="Times New Roman"/>
          <w:smallCaps/>
          <w:szCs w:val="24"/>
          <w:lang w:val="fr-CA"/>
        </w:rPr>
        <w:t>traduction</w:t>
      </w:r>
      <w:r w:rsidRPr="007450AF">
        <w:rPr>
          <w:rFonts w:cs="Times New Roman"/>
          <w:szCs w:val="24"/>
          <w:lang w:val="fr-CA"/>
        </w:rPr>
        <w:t>] « </w:t>
      </w:r>
      <w:r w:rsidR="00E529A8" w:rsidRPr="007450AF">
        <w:rPr>
          <w:rFonts w:cs="Times New Roman"/>
          <w:szCs w:val="24"/>
          <w:lang w:val="fr-CA"/>
        </w:rPr>
        <w:t>[</w:t>
      </w:r>
      <w:r w:rsidRPr="007450AF">
        <w:rPr>
          <w:rFonts w:cs="Times New Roman"/>
          <w:szCs w:val="24"/>
          <w:lang w:val="fr-CA"/>
        </w:rPr>
        <w:t>t</w:t>
      </w:r>
      <w:r w:rsidR="00E529A8" w:rsidRPr="007450AF">
        <w:rPr>
          <w:rFonts w:cs="Times New Roman"/>
          <w:szCs w:val="24"/>
          <w:lang w:val="fr-CA"/>
        </w:rPr>
        <w:t>]</w:t>
      </w:r>
      <w:proofErr w:type="spellStart"/>
      <w:r w:rsidRPr="007450AF">
        <w:rPr>
          <w:rFonts w:cs="Times New Roman"/>
          <w:szCs w:val="24"/>
          <w:lang w:val="fr-CA"/>
        </w:rPr>
        <w:t>ous</w:t>
      </w:r>
      <w:proofErr w:type="spellEnd"/>
      <w:r w:rsidRPr="007450AF">
        <w:rPr>
          <w:rFonts w:cs="Times New Roman"/>
          <w:szCs w:val="24"/>
          <w:lang w:val="fr-CA"/>
        </w:rPr>
        <w:t xml:space="preserve"> doutes quant à la détermination du </w:t>
      </w:r>
      <w:r w:rsidR="00E529A8" w:rsidRPr="007450AF">
        <w:rPr>
          <w:rFonts w:cs="Times New Roman"/>
          <w:szCs w:val="24"/>
          <w:lang w:val="fr-CA"/>
        </w:rPr>
        <w:t>[</w:t>
      </w:r>
      <w:r w:rsidRPr="007450AF">
        <w:rPr>
          <w:rFonts w:cs="Times New Roman"/>
          <w:szCs w:val="24"/>
          <w:lang w:val="fr-CA"/>
        </w:rPr>
        <w:t>minist</w:t>
      </w:r>
      <w:r w:rsidR="00E529A8" w:rsidRPr="007450AF">
        <w:rPr>
          <w:rFonts w:cs="Times New Roman"/>
          <w:szCs w:val="24"/>
          <w:lang w:val="fr-CA"/>
        </w:rPr>
        <w:t>è</w:t>
      </w:r>
      <w:r w:rsidRPr="007450AF">
        <w:rPr>
          <w:rFonts w:cs="Times New Roman"/>
          <w:szCs w:val="24"/>
          <w:lang w:val="fr-CA"/>
        </w:rPr>
        <w:t>re</w:t>
      </w:r>
      <w:r w:rsidR="00E529A8" w:rsidRPr="007450AF">
        <w:rPr>
          <w:rFonts w:cs="Times New Roman"/>
          <w:szCs w:val="24"/>
          <w:lang w:val="fr-CA"/>
        </w:rPr>
        <w:t>]</w:t>
      </w:r>
      <w:r w:rsidRPr="007450AF">
        <w:rPr>
          <w:rFonts w:cs="Times New Roman"/>
          <w:szCs w:val="24"/>
          <w:lang w:val="fr-CA"/>
        </w:rPr>
        <w:t xml:space="preserve"> d’exercer son droit se sont estompés lorsque l’opération a commencé à lui occasionner des dépenses » (p. 110).</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Une bonne raison explique pourquoi il convient d’interpréter l’expression « suffisamment certain » comme exigeant une « probabilité proche de la certitude » lorsqu’il s’agit de déterminer si des exigences environnementales continues établies en faveur du public devraient être converties en réclamations éventuelles qui peuvent être rayées ou faire l’objet d’une transaction dans le cadre du processus de </w:t>
      </w:r>
      <w:r w:rsidRPr="007450AF">
        <w:rPr>
          <w:rFonts w:cs="Times New Roman"/>
          <w:szCs w:val="24"/>
          <w:lang w:val="fr-CA"/>
        </w:rPr>
        <w:lastRenderedPageBreak/>
        <w:t xml:space="preserve">restructuration.  Les tribunaux ne devraient pas oublier les obstacles auxquels les gouvernements peuvent se heurter lorsqu’ils décident de réparer les dommages environnementaux causés par une société.  D’abord, la décision du gouvernement est discrétionnaire, et elle peut être influencée par nombre de considérations politiques et sociales concurrentes.  En outre, les travaux de restauration peuvent être très coûteux.  En l’espèce, par exemple, le juge de première instance a conclu que ces travaux pourraient coûter au minimum </w:t>
      </w:r>
      <w:r w:rsidR="00E529A8" w:rsidRPr="007450AF">
        <w:rPr>
          <w:rFonts w:cs="Times New Roman"/>
          <w:szCs w:val="24"/>
          <w:lang w:val="fr-CA"/>
        </w:rPr>
        <w:t>[</w:t>
      </w:r>
      <w:r w:rsidR="00E529A8" w:rsidRPr="007450AF">
        <w:rPr>
          <w:rFonts w:cs="Times New Roman"/>
          <w:smallCaps/>
          <w:szCs w:val="24"/>
          <w:lang w:val="fr-CA"/>
        </w:rPr>
        <w:t>traduction</w:t>
      </w:r>
      <w:r w:rsidR="00E529A8" w:rsidRPr="007450AF">
        <w:rPr>
          <w:rFonts w:cs="Times New Roman"/>
          <w:szCs w:val="24"/>
          <w:lang w:val="fr-CA"/>
        </w:rPr>
        <w:t xml:space="preserve">] </w:t>
      </w:r>
      <w:r w:rsidRPr="007450AF">
        <w:rPr>
          <w:rFonts w:cs="Times New Roman"/>
          <w:szCs w:val="24"/>
          <w:lang w:val="fr-CA"/>
        </w:rPr>
        <w:t>« entre cinquante et cent millions de dollars », et même plusieurs fois cette somme</w:t>
      </w:r>
      <w:r w:rsidR="00E529A8" w:rsidRPr="007450AF">
        <w:rPr>
          <w:rFonts w:cs="Times New Roman"/>
          <w:szCs w:val="24"/>
          <w:lang w:val="fr-CA"/>
        </w:rPr>
        <w:t xml:space="preserve"> (par. 81)</w:t>
      </w:r>
      <w:r w:rsidRPr="007450AF">
        <w:rPr>
          <w:rFonts w:cs="Times New Roman"/>
          <w:szCs w:val="24"/>
          <w:lang w:val="fr-CA"/>
        </w:rPr>
        <w:t>.  En termes concrets, le coût des travaux en cause en l’espèce pourrait atteindre ou dépasser le budget total du ministre (65 millions de dollars) pour l’exercice 2009.  Il s’agirait non seulement d’une dépense énorme, mais il faudrait probablement aussi l’approbation explicite de l’assemblée législative, avec les incertitudes politiques que cela comporte.  L’évaluation de ces facteurs et l’appréciation de la possibilité que tout c</w:t>
      </w:r>
      <w:r w:rsidR="002B0851" w:rsidRPr="007450AF">
        <w:rPr>
          <w:rFonts w:cs="Times New Roman"/>
          <w:szCs w:val="24"/>
          <w:lang w:val="fr-CA"/>
        </w:rPr>
        <w:t>e qui précède se produise entraî</w:t>
      </w:r>
      <w:r w:rsidRPr="007450AF">
        <w:rPr>
          <w:rFonts w:cs="Times New Roman"/>
          <w:szCs w:val="24"/>
          <w:lang w:val="fr-CA"/>
        </w:rPr>
        <w:t>nerai</w:t>
      </w:r>
      <w:r w:rsidR="00E529A8" w:rsidRPr="007450AF">
        <w:rPr>
          <w:rFonts w:cs="Times New Roman"/>
          <w:szCs w:val="24"/>
          <w:lang w:val="fr-CA"/>
        </w:rPr>
        <w:t>en</w:t>
      </w:r>
      <w:r w:rsidRPr="007450AF">
        <w:rPr>
          <w:rFonts w:cs="Times New Roman"/>
          <w:szCs w:val="24"/>
          <w:lang w:val="fr-CA"/>
        </w:rPr>
        <w:t xml:space="preserve">t le juge chargé d’appliquer la </w:t>
      </w:r>
      <w:r w:rsidRPr="007450AF">
        <w:rPr>
          <w:rFonts w:cs="Times New Roman"/>
          <w:i/>
          <w:szCs w:val="24"/>
          <w:lang w:val="fr-CA"/>
        </w:rPr>
        <w:t xml:space="preserve">LACC </w:t>
      </w:r>
      <w:r w:rsidRPr="007450AF">
        <w:rPr>
          <w:rFonts w:cs="Times New Roman"/>
          <w:szCs w:val="24"/>
          <w:lang w:val="fr-CA"/>
        </w:rPr>
        <w:t xml:space="preserve">dans des considérations d’ordre social, économique et politique — des questions normalement soustraites à l’examen judiciaire : </w:t>
      </w:r>
      <w:r w:rsidRPr="007450AF">
        <w:rPr>
          <w:rFonts w:cs="Times New Roman"/>
          <w:i/>
          <w:szCs w:val="24"/>
          <w:lang w:val="fr-CA"/>
        </w:rPr>
        <w:t xml:space="preserve">R. c. Imperial Tobacco Canada </w:t>
      </w:r>
      <w:proofErr w:type="spellStart"/>
      <w:r w:rsidRPr="007450AF">
        <w:rPr>
          <w:rFonts w:cs="Times New Roman"/>
          <w:i/>
          <w:szCs w:val="24"/>
          <w:lang w:val="fr-CA"/>
        </w:rPr>
        <w:t>Ltée</w:t>
      </w:r>
      <w:proofErr w:type="spellEnd"/>
      <w:r w:rsidRPr="007450AF">
        <w:rPr>
          <w:rFonts w:cs="Times New Roman"/>
          <w:szCs w:val="24"/>
          <w:lang w:val="fr-CA"/>
        </w:rPr>
        <w:t>,</w:t>
      </w:r>
      <w:r w:rsidRPr="007450AF">
        <w:rPr>
          <w:rFonts w:cs="Times New Roman"/>
          <w:i/>
          <w:szCs w:val="24"/>
          <w:lang w:val="fr-CA"/>
        </w:rPr>
        <w:t xml:space="preserve"> </w:t>
      </w:r>
      <w:r w:rsidRPr="007450AF">
        <w:rPr>
          <w:rFonts w:cs="Times New Roman"/>
          <w:szCs w:val="24"/>
          <w:lang w:val="fr-CA"/>
        </w:rPr>
        <w:t xml:space="preserve">2011 CSC 42, [2011] 3 R.C.S. 45, par. 74.  Il n’est donc pas étonnant que les tribunaux, lorsqu’il s’agit d’apprécier s’il est « suffisamment certain » qu’un gouvernement procédera à la décontamination causée par une société, s’en soient tenus à la preuve d’une probabilité proche de la certitude.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En l’espèce, comme nous le verrons, à l’exclusion du site de </w:t>
      </w:r>
      <w:proofErr w:type="spellStart"/>
      <w:r w:rsidRPr="007450AF">
        <w:rPr>
          <w:rFonts w:cs="Times New Roman"/>
          <w:szCs w:val="24"/>
          <w:lang w:val="fr-CA"/>
        </w:rPr>
        <w:t>Buchans</w:t>
      </w:r>
      <w:proofErr w:type="spellEnd"/>
      <w:r w:rsidRPr="007450AF">
        <w:rPr>
          <w:rFonts w:cs="Times New Roman"/>
          <w:szCs w:val="24"/>
          <w:lang w:val="fr-CA"/>
        </w:rPr>
        <w:t xml:space="preserve">, le dossier est dénué d’éléments de preuve susceptibles d’établir qu’il est « suffisamment </w:t>
      </w:r>
      <w:r w:rsidRPr="007450AF">
        <w:rPr>
          <w:rFonts w:cs="Times New Roman"/>
          <w:szCs w:val="24"/>
          <w:lang w:val="fr-CA"/>
        </w:rPr>
        <w:lastRenderedPageBreak/>
        <w:t xml:space="preserve">certain » que la province exécutera </w:t>
      </w:r>
      <w:proofErr w:type="spellStart"/>
      <w:r w:rsidRPr="007450AF">
        <w:rPr>
          <w:rFonts w:cs="Times New Roman"/>
          <w:szCs w:val="24"/>
          <w:lang w:val="fr-CA"/>
        </w:rPr>
        <w:t>elle</w:t>
      </w:r>
      <w:r w:rsidRPr="007450AF">
        <w:rPr>
          <w:rFonts w:cs="Times New Roman"/>
          <w:szCs w:val="24"/>
          <w:lang w:val="fr-CA"/>
        </w:rPr>
        <w:noBreakHyphen/>
        <w:t>même</w:t>
      </w:r>
      <w:proofErr w:type="spellEnd"/>
      <w:r w:rsidRPr="007450AF">
        <w:rPr>
          <w:rFonts w:cs="Times New Roman"/>
          <w:szCs w:val="24"/>
          <w:lang w:val="fr-CA"/>
        </w:rPr>
        <w:t xml:space="preserve"> les travaux de décontamination.  Même si l’on applique une norme plus souple que celle retenue jusqu’à ce jour dans des affaires semblables, la preuve en l’espèce n’établirait pas qu’il est « suffisamment certain » que les sites seront décontaminés.</w:t>
      </w:r>
    </w:p>
    <w:p w:rsidR="004D251C" w:rsidRPr="007450AF" w:rsidRDefault="004D251C" w:rsidP="00E529A8">
      <w:pPr>
        <w:pStyle w:val="TitleTitre-AltT"/>
        <w:tabs>
          <w:tab w:val="clear" w:pos="360"/>
          <w:tab w:val="left" w:pos="540"/>
        </w:tabs>
        <w:ind w:left="540" w:hanging="540"/>
        <w:rPr>
          <w:rFonts w:cs="Times New Roman"/>
          <w:szCs w:val="24"/>
          <w:lang w:val="fr-CA"/>
        </w:rPr>
      </w:pPr>
      <w:r w:rsidRPr="007450AF">
        <w:rPr>
          <w:rFonts w:cs="Times New Roman"/>
          <w:szCs w:val="24"/>
          <w:lang w:val="fr-CA"/>
        </w:rPr>
        <w:t>5.</w:t>
      </w:r>
      <w:r w:rsidRPr="007450AF">
        <w:rPr>
          <w:rFonts w:cs="Times New Roman"/>
          <w:szCs w:val="24"/>
          <w:lang w:val="fr-CA"/>
        </w:rPr>
        <w:tab/>
      </w:r>
      <w:proofErr w:type="spellStart"/>
      <w:r w:rsidRPr="007450AF">
        <w:rPr>
          <w:rFonts w:cs="Times New Roman"/>
          <w:szCs w:val="24"/>
          <w:u w:val="single"/>
        </w:rPr>
        <w:t>L’issue</w:t>
      </w:r>
      <w:proofErr w:type="spellEnd"/>
      <w:r w:rsidRPr="007450AF">
        <w:rPr>
          <w:rFonts w:cs="Times New Roman"/>
          <w:szCs w:val="24"/>
          <w:u w:val="single"/>
          <w:lang w:val="fr-CA"/>
        </w:rPr>
        <w:t xml:space="preserve"> du présent pourvoi</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En l’espèce, cinq sites différents sont en cause.  La question dans chaque cas est de savoir si le ministre a déjà décontaminé les sites — il aurait alors une réclamation — ou, si tel n’est pas le cas, s’il est « suffisamment certain » qu’il exécutera les travaux de restauration, ce qui permettrait de considérer le coût de la décontamination comme une réclamation éventuelle.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Le site de </w:t>
      </w:r>
      <w:proofErr w:type="spellStart"/>
      <w:r w:rsidRPr="007450AF">
        <w:rPr>
          <w:rFonts w:cs="Times New Roman"/>
          <w:szCs w:val="24"/>
          <w:lang w:val="fr-CA"/>
        </w:rPr>
        <w:t>Buchans</w:t>
      </w:r>
      <w:proofErr w:type="spellEnd"/>
      <w:r w:rsidRPr="007450AF">
        <w:rPr>
          <w:rFonts w:cs="Times New Roman"/>
          <w:szCs w:val="24"/>
          <w:lang w:val="fr-CA"/>
        </w:rPr>
        <w:t xml:space="preserve"> posait un risque immédiat à la santé pour les humains en raison de la forte concentration de plomb et d’autres contaminants présente dans le sol, l’eau souterraine et de surface ainsi que dans des sédiments.  Il y avait un risque que le vent disperse la contamination, ce qui aurait représenté une menace pour la population environnante.  On a trouvé du plomb dans des zones résidentielles de </w:t>
      </w:r>
      <w:proofErr w:type="spellStart"/>
      <w:r w:rsidRPr="007450AF">
        <w:rPr>
          <w:rFonts w:cs="Times New Roman"/>
          <w:szCs w:val="24"/>
          <w:lang w:val="fr-CA"/>
        </w:rPr>
        <w:t>Buchans</w:t>
      </w:r>
      <w:proofErr w:type="spellEnd"/>
      <w:r w:rsidRPr="007450AF">
        <w:rPr>
          <w:rFonts w:cs="Times New Roman"/>
          <w:szCs w:val="24"/>
          <w:lang w:val="fr-CA"/>
        </w:rPr>
        <w:t xml:space="preserve"> et les tests de sang ont révélé chez des adultes résidant dans la ville des concentrations élevées de plomb.  De plus, un barrage en mauvais état situé sur le site de </w:t>
      </w:r>
      <w:proofErr w:type="spellStart"/>
      <w:r w:rsidRPr="007450AF">
        <w:rPr>
          <w:rFonts w:cs="Times New Roman"/>
          <w:szCs w:val="24"/>
          <w:lang w:val="fr-CA"/>
        </w:rPr>
        <w:t>Buchans</w:t>
      </w:r>
      <w:proofErr w:type="spellEnd"/>
      <w:r w:rsidRPr="007450AF">
        <w:rPr>
          <w:rFonts w:cs="Times New Roman"/>
          <w:szCs w:val="24"/>
          <w:lang w:val="fr-CA"/>
        </w:rPr>
        <w:t xml:space="preserve"> augmentait le risque de contamination du limon se déversant dans les rivières Exploits et </w:t>
      </w:r>
      <w:proofErr w:type="spellStart"/>
      <w:r w:rsidRPr="007450AF">
        <w:rPr>
          <w:rFonts w:cs="Times New Roman"/>
          <w:szCs w:val="24"/>
          <w:lang w:val="fr-CA"/>
        </w:rPr>
        <w:t>Buchans</w:t>
      </w:r>
      <w:proofErr w:type="spellEnd"/>
      <w:r w:rsidRPr="007450AF">
        <w:rPr>
          <w:rFonts w:cs="Times New Roman"/>
          <w:szCs w:val="24"/>
          <w:lang w:val="fr-CA"/>
        </w:rPr>
        <w:t>.</w:t>
      </w:r>
    </w:p>
    <w:p w:rsidR="004D251C" w:rsidRPr="007450AF" w:rsidRDefault="004D251C" w:rsidP="004D251C">
      <w:pPr>
        <w:pStyle w:val="ParaNoNdepar-AltN"/>
        <w:rPr>
          <w:rFonts w:cs="Times New Roman"/>
          <w:szCs w:val="24"/>
          <w:lang w:val="fr-CA"/>
        </w:rPr>
      </w:pPr>
      <w:r w:rsidRPr="007450AF">
        <w:rPr>
          <w:rFonts w:cs="Times New Roman"/>
          <w:szCs w:val="24"/>
          <w:lang w:val="fr-CA"/>
        </w:rPr>
        <w:lastRenderedPageBreak/>
        <w:t xml:space="preserve">La ministre de l’époque a rapidement pris des mesures pour régler le problème immédiat du barrage en mauvais état et a lancé un appel d’offres relatif aux autres mesures nécessitant une intervention immédiate sur le site de </w:t>
      </w:r>
      <w:proofErr w:type="spellStart"/>
      <w:r w:rsidRPr="007450AF">
        <w:rPr>
          <w:rFonts w:cs="Times New Roman"/>
          <w:szCs w:val="24"/>
          <w:lang w:val="fr-CA"/>
        </w:rPr>
        <w:t>Buchans</w:t>
      </w:r>
      <w:proofErr w:type="spellEnd"/>
      <w:r w:rsidRPr="007450AF">
        <w:rPr>
          <w:rFonts w:cs="Times New Roman"/>
          <w:szCs w:val="24"/>
          <w:lang w:val="fr-CA"/>
        </w:rPr>
        <w:t xml:space="preserve">.  Il est clair que les sommes d’argent dépensées constituent une réclamation au sens de la </w:t>
      </w:r>
      <w:r w:rsidRPr="007450AF">
        <w:rPr>
          <w:rFonts w:cs="Times New Roman"/>
          <w:i/>
          <w:szCs w:val="24"/>
          <w:lang w:val="fr-CA"/>
        </w:rPr>
        <w:t>LACC</w:t>
      </w:r>
      <w:r w:rsidRPr="007450AF">
        <w:rPr>
          <w:rFonts w:cs="Times New Roman"/>
          <w:szCs w:val="24"/>
          <w:lang w:val="fr-CA"/>
        </w:rPr>
        <w:t>.</w:t>
      </w:r>
      <w:r w:rsidRPr="007450AF">
        <w:rPr>
          <w:rFonts w:cs="Times New Roman"/>
          <w:i/>
          <w:szCs w:val="24"/>
          <w:lang w:val="fr-CA"/>
        </w:rPr>
        <w:t xml:space="preserve">  </w:t>
      </w:r>
      <w:r w:rsidRPr="007450AF">
        <w:rPr>
          <w:rFonts w:cs="Times New Roman"/>
          <w:szCs w:val="24"/>
          <w:lang w:val="fr-CA"/>
        </w:rPr>
        <w:t xml:space="preserve">J’estime également que les travaux à l’égard desquels des appels d’offres ont été lancés satisfont à la norme de ce qui est « suffisamment certain » et qu’ils constituent une réclamation éventuelle.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Quant au reste, on n’a pas établi qu’il soit « suffisamment certain » que la province exécutera les travaux de décontamination de façon à pouvoir considérer comme des dettes éventuelles les exigences réglementaires continues que les ordonnances </w:t>
      </w:r>
      <w:r w:rsidRPr="007450AF">
        <w:rPr>
          <w:rFonts w:cs="Times New Roman"/>
          <w:i/>
          <w:szCs w:val="24"/>
          <w:lang w:val="fr-CA"/>
        </w:rPr>
        <w:t>EPA</w:t>
      </w:r>
      <w:r w:rsidRPr="007450AF">
        <w:rPr>
          <w:rFonts w:cs="Times New Roman"/>
          <w:szCs w:val="24"/>
          <w:lang w:val="fr-CA"/>
        </w:rPr>
        <w:t xml:space="preserve"> ont imposées à Abitibi.  La même conclusion s’applique à l’égard des autres sites, où aucun travail n’a été réalisé et pour lesquels aucun appel d’offres n’a été lancé pour l’exécution des travaux.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Il n’est pas « suffisamment certain » que la province entreprenne la décontamination des autres sites : aucune preuve au dossier ne laisse entrevoir cette possibilité.  Il n’a pas été démontré que la contamination pose pour la santé des risques immédiats exigeant la prise de mesures dans les plus brefs délais.  Il n’a pas été démontré que la province a pris quelque mesure que ce soit pour réaliser des travaux.  Et il n’a pas été démontré que la province a prévu des sommes d’argent pour ces travaux ou qu’elle a même songé à en prévoir.  Abitibi se fonde sur une déclaration du premier ministre de l’époque, qui examinait la possibilité que la </w:t>
      </w:r>
      <w:r w:rsidRPr="007450AF">
        <w:rPr>
          <w:rFonts w:cs="Times New Roman"/>
          <w:szCs w:val="24"/>
          <w:lang w:val="fr-CA"/>
        </w:rPr>
        <w:lastRenderedPageBreak/>
        <w:t xml:space="preserve">province soit tenue de verser à Abitibi une indemnité pour l’expropriation de certains terrains, selon laquelle </w:t>
      </w:r>
      <w:r w:rsidR="00E529A8" w:rsidRPr="007450AF">
        <w:rPr>
          <w:rFonts w:cs="Times New Roman"/>
          <w:szCs w:val="24"/>
          <w:lang w:val="fr-CA"/>
        </w:rPr>
        <w:t>[</w:t>
      </w:r>
      <w:r w:rsidR="00E529A8" w:rsidRPr="007450AF">
        <w:rPr>
          <w:rFonts w:cs="Times New Roman"/>
          <w:smallCaps/>
          <w:szCs w:val="24"/>
          <w:lang w:val="fr-CA"/>
        </w:rPr>
        <w:t>traduction</w:t>
      </w:r>
      <w:r w:rsidR="00E529A8" w:rsidRPr="007450AF">
        <w:rPr>
          <w:rFonts w:cs="Times New Roman"/>
          <w:szCs w:val="24"/>
          <w:lang w:val="fr-CA"/>
        </w:rPr>
        <w:t xml:space="preserve">] </w:t>
      </w:r>
      <w:r w:rsidRPr="007450AF">
        <w:rPr>
          <w:rFonts w:cs="Times New Roman"/>
          <w:szCs w:val="24"/>
          <w:lang w:val="fr-CA"/>
        </w:rPr>
        <w:t>« aucun montant net ne serait versé à Abitibi »</w:t>
      </w:r>
      <w:r w:rsidR="00E529A8" w:rsidRPr="007450AF">
        <w:rPr>
          <w:rFonts w:cs="Times New Roman"/>
          <w:szCs w:val="24"/>
          <w:lang w:val="fr-CA"/>
        </w:rPr>
        <w:t xml:space="preserve"> : </w:t>
      </w:r>
      <w:proofErr w:type="gramStart"/>
      <w:r w:rsidRPr="007450AF">
        <w:rPr>
          <w:rFonts w:cs="Times New Roman"/>
          <w:szCs w:val="24"/>
          <w:lang w:val="fr-CA"/>
        </w:rPr>
        <w:t>m.i.,</w:t>
      </w:r>
      <w:proofErr w:type="gramEnd"/>
      <w:r w:rsidRPr="007450AF">
        <w:rPr>
          <w:rFonts w:cs="Times New Roman"/>
          <w:szCs w:val="24"/>
          <w:lang w:val="fr-CA"/>
        </w:rPr>
        <w:t xml:space="preserve"> par. 12.  Mis à part le fait que le premier ministre ne prétendait pas établir une politique gouvernementale, sa déclaration n’indique aucunement que la province exécuterait la décontamination.  Le premier ministre indiquait </w:t>
      </w:r>
      <w:proofErr w:type="spellStart"/>
      <w:r w:rsidRPr="007450AF">
        <w:rPr>
          <w:rFonts w:cs="Times New Roman"/>
          <w:szCs w:val="24"/>
          <w:lang w:val="fr-CA"/>
        </w:rPr>
        <w:t>peut</w:t>
      </w:r>
      <w:r w:rsidRPr="007450AF">
        <w:rPr>
          <w:rFonts w:cs="Times New Roman"/>
          <w:szCs w:val="24"/>
          <w:lang w:val="fr-CA"/>
        </w:rPr>
        <w:noBreakHyphen/>
        <w:t>être</w:t>
      </w:r>
      <w:proofErr w:type="spellEnd"/>
      <w:r w:rsidRPr="007450AF">
        <w:rPr>
          <w:rFonts w:cs="Times New Roman"/>
          <w:szCs w:val="24"/>
          <w:lang w:val="fr-CA"/>
        </w:rPr>
        <w:t xml:space="preserve"> simplement qu’en raison des exigences environnementales non respectées, les terrains ne valaient plus rien ou presque et qu’il serait inutile de verser quoi que ce soit à Abitibi.</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Ma collègue la juge Deschamps conclut que les constatations du juge de première instance établissent qu’il est « suffisamment certain » que la province décontaminerait les terrains, transformant ainsi les exigences réglementaires que les ordonnances </w:t>
      </w:r>
      <w:r w:rsidRPr="007450AF">
        <w:rPr>
          <w:rFonts w:cs="Times New Roman"/>
          <w:i/>
          <w:szCs w:val="24"/>
          <w:lang w:val="fr-CA"/>
        </w:rPr>
        <w:t xml:space="preserve">EPA </w:t>
      </w:r>
      <w:r w:rsidRPr="007450AF">
        <w:rPr>
          <w:rFonts w:cs="Times New Roman"/>
          <w:szCs w:val="24"/>
          <w:lang w:val="fr-CA"/>
        </w:rPr>
        <w:t xml:space="preserve">imposent à Abitibi en réclamations éventuelles pouvant faire l’objet d’une transaction sous le régime de la </w:t>
      </w:r>
      <w:r w:rsidRPr="007450AF">
        <w:rPr>
          <w:rFonts w:cs="Times New Roman"/>
          <w:i/>
          <w:szCs w:val="24"/>
          <w:lang w:val="fr-CA"/>
        </w:rPr>
        <w:t>LACC</w:t>
      </w:r>
      <w:r w:rsidRPr="007450AF">
        <w:rPr>
          <w:rFonts w:cs="Times New Roman"/>
          <w:szCs w:val="24"/>
          <w:lang w:val="fr-CA"/>
        </w:rPr>
        <w:t xml:space="preserve">.  Avec égards, je ne puis souscrire à cette conclusion.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Le juge de première instance ne s’est jamais posé la question cruciale de savoir s’il était « suffisamment certain » que la province exécuterait </w:t>
      </w:r>
      <w:proofErr w:type="spellStart"/>
      <w:r w:rsidRPr="007450AF">
        <w:rPr>
          <w:rFonts w:cs="Times New Roman"/>
          <w:szCs w:val="24"/>
          <w:lang w:val="fr-CA"/>
        </w:rPr>
        <w:t>elle</w:t>
      </w:r>
      <w:r w:rsidRPr="007450AF">
        <w:rPr>
          <w:rFonts w:cs="Times New Roman"/>
          <w:szCs w:val="24"/>
          <w:lang w:val="fr-CA"/>
        </w:rPr>
        <w:noBreakHyphen/>
        <w:t>même</w:t>
      </w:r>
      <w:proofErr w:type="spellEnd"/>
      <w:r w:rsidRPr="007450AF">
        <w:rPr>
          <w:rFonts w:cs="Times New Roman"/>
          <w:szCs w:val="24"/>
          <w:lang w:val="fr-CA"/>
        </w:rPr>
        <w:t xml:space="preserve"> les travaux.  Essentiellement, il a tenu pour acquis que les ordonnances </w:t>
      </w:r>
      <w:r w:rsidRPr="007450AF">
        <w:rPr>
          <w:rFonts w:cs="Times New Roman"/>
          <w:i/>
          <w:szCs w:val="24"/>
          <w:lang w:val="fr-CA"/>
        </w:rPr>
        <w:t>EPA</w:t>
      </w:r>
      <w:r w:rsidRPr="007450AF">
        <w:rPr>
          <w:rFonts w:cs="Times New Roman"/>
          <w:szCs w:val="24"/>
          <w:lang w:val="fr-CA"/>
        </w:rPr>
        <w:t xml:space="preserve"> n’avaient pas été émises avec l’intention sincère d’obtenir la décontamination des sites, mais qu’il s’agissait simplement d’une manœuvre pour soutirer de l’argent.  Le juge a renforcé son point de vue selon lequel les ordonnances réglementaires émises par la province étaient dépourvues de sincérité en exprimant l’avis qu’elles </w:t>
      </w:r>
      <w:proofErr w:type="gramStart"/>
      <w:r w:rsidRPr="007450AF">
        <w:rPr>
          <w:rFonts w:cs="Times New Roman"/>
          <w:szCs w:val="24"/>
          <w:lang w:val="fr-CA"/>
        </w:rPr>
        <w:t>n’étaient</w:t>
      </w:r>
      <w:proofErr w:type="gramEnd"/>
      <w:r w:rsidRPr="007450AF">
        <w:rPr>
          <w:rFonts w:cs="Times New Roman"/>
          <w:szCs w:val="24"/>
          <w:lang w:val="fr-CA"/>
        </w:rPr>
        <w:t xml:space="preserve"> pas susceptibles d’exécution (ce qui, si cela s’avérait exact, n’empêcherait pas que de </w:t>
      </w:r>
      <w:r w:rsidRPr="007450AF">
        <w:rPr>
          <w:rFonts w:cs="Times New Roman"/>
          <w:szCs w:val="24"/>
          <w:lang w:val="fr-CA"/>
        </w:rPr>
        <w:lastRenderedPageBreak/>
        <w:t>nouvelles ordonnances soient émises).  Le juge a également laissé entendre que la province ne voulait pas produire une réclamation éventuelle, ce qui aurait pu provoquer le dépôt d’une demande reconventionnelle d’Abitibi pour l’expropriation des propriétés (un résultat qui peut s’avérer impossible étant donné la décision d’Abitibi de soumettre la question de l’expropriation à l’ALÉNA (</w:t>
      </w:r>
      <w:r w:rsidRPr="007450AF">
        <w:rPr>
          <w:rFonts w:cs="Times New Roman"/>
          <w:i/>
          <w:szCs w:val="24"/>
          <w:lang w:val="fr-CA"/>
        </w:rPr>
        <w:t xml:space="preserve">Accord de </w:t>
      </w:r>
      <w:proofErr w:type="spellStart"/>
      <w:r w:rsidRPr="007450AF">
        <w:rPr>
          <w:rFonts w:cs="Times New Roman"/>
          <w:i/>
          <w:szCs w:val="24"/>
          <w:lang w:val="fr-CA"/>
        </w:rPr>
        <w:t>libre</w:t>
      </w:r>
      <w:r w:rsidRPr="007450AF">
        <w:rPr>
          <w:rFonts w:cs="Times New Roman"/>
          <w:i/>
          <w:szCs w:val="24"/>
          <w:lang w:val="fr-CA"/>
        </w:rPr>
        <w:noBreakHyphen/>
        <w:t>échange</w:t>
      </w:r>
      <w:proofErr w:type="spellEnd"/>
      <w:r w:rsidRPr="007450AF">
        <w:rPr>
          <w:rFonts w:cs="Times New Roman"/>
          <w:i/>
          <w:szCs w:val="24"/>
          <w:lang w:val="fr-CA"/>
        </w:rPr>
        <w:t xml:space="preserve"> </w:t>
      </w:r>
      <w:proofErr w:type="spellStart"/>
      <w:r w:rsidRPr="007450AF">
        <w:rPr>
          <w:rFonts w:cs="Times New Roman"/>
          <w:i/>
          <w:szCs w:val="24"/>
          <w:lang w:val="fr-CA"/>
        </w:rPr>
        <w:t>nord</w:t>
      </w:r>
      <w:r w:rsidRPr="007450AF">
        <w:rPr>
          <w:rFonts w:cs="Times New Roman"/>
          <w:i/>
          <w:szCs w:val="24"/>
          <w:lang w:val="fr-CA"/>
        </w:rPr>
        <w:noBreakHyphen/>
        <w:t>américain</w:t>
      </w:r>
      <w:proofErr w:type="spellEnd"/>
      <w:r w:rsidRPr="007450AF">
        <w:rPr>
          <w:rFonts w:cs="Times New Roman"/>
          <w:i/>
          <w:szCs w:val="24"/>
          <w:lang w:val="fr-CA"/>
        </w:rPr>
        <w:t xml:space="preserve"> entre le gouvernement du Canada, le gouvernement des États-Unis d’Amérique et le gouvernement des États-Unis du Mexique</w:t>
      </w:r>
      <w:r w:rsidRPr="007450AF">
        <w:rPr>
          <w:rFonts w:cs="Times New Roman"/>
          <w:szCs w:val="24"/>
          <w:lang w:val="fr-CA"/>
        </w:rPr>
        <w:t>, R.T. Can. 1994</w:t>
      </w:r>
      <w:r w:rsidR="00E529A8" w:rsidRPr="007450AF">
        <w:rPr>
          <w:rFonts w:cs="Times New Roman"/>
          <w:szCs w:val="24"/>
          <w:lang w:val="fr-CA"/>
        </w:rPr>
        <w:t xml:space="preserve"> n</w:t>
      </w:r>
      <w:r w:rsidR="00E529A8" w:rsidRPr="007450AF">
        <w:rPr>
          <w:rFonts w:cs="Times New Roman"/>
          <w:szCs w:val="24"/>
          <w:vertAlign w:val="superscript"/>
          <w:lang w:val="fr-CA"/>
        </w:rPr>
        <w:t>o</w:t>
      </w:r>
      <w:r w:rsidRPr="007450AF">
        <w:rPr>
          <w:rFonts w:cs="Times New Roman"/>
          <w:szCs w:val="24"/>
          <w:lang w:val="fr-CA"/>
        </w:rPr>
        <w:t xml:space="preserve"> 2), en écartant la juridiction des tribunaux canadiens).  Quoi qu’il en soit, il est évident que dans son raisonnement, le juge de première instance n’a jamais examiné la question de savoir s’il était « suffisamment certain » que la province décontaminerait les sites.  Il s’ensuit que les conclusions du juge ne peuvent soutenir le point de vue selon lequel les obligations non exécutées constituent des réclamations éventuelles au sens de la </w:t>
      </w:r>
      <w:r w:rsidRPr="007450AF">
        <w:rPr>
          <w:rFonts w:cs="Times New Roman"/>
          <w:i/>
          <w:szCs w:val="24"/>
          <w:lang w:val="fr-CA"/>
        </w:rPr>
        <w:t>LACC</w:t>
      </w:r>
      <w:r w:rsidRPr="007450AF">
        <w:rPr>
          <w:rFonts w:cs="Times New Roman"/>
          <w:szCs w:val="24"/>
          <w:lang w:val="fr-CA"/>
        </w:rPr>
        <w:t xml:space="preserve">. </w:t>
      </w:r>
    </w:p>
    <w:p w:rsidR="004D251C" w:rsidRPr="007450AF" w:rsidRDefault="004D251C" w:rsidP="004D251C">
      <w:pPr>
        <w:pStyle w:val="ParaNoNdepar-AltN"/>
        <w:rPr>
          <w:rFonts w:cs="Times New Roman"/>
          <w:szCs w:val="24"/>
          <w:lang w:val="fr-CA"/>
        </w:rPr>
      </w:pPr>
      <w:r w:rsidRPr="007450AF">
        <w:rPr>
          <w:rFonts w:cs="Times New Roman"/>
          <w:szCs w:val="24"/>
          <w:lang w:val="fr-CA"/>
        </w:rPr>
        <w:t>Ma collègue conclut comme suit :</w:t>
      </w:r>
    </w:p>
    <w:p w:rsidR="004D251C" w:rsidRPr="007450AF" w:rsidRDefault="004D251C" w:rsidP="004D251C">
      <w:pPr>
        <w:pStyle w:val="Citation-AltC"/>
        <w:ind w:left="1168" w:hanging="1168"/>
        <w:contextualSpacing w:val="0"/>
        <w:rPr>
          <w:szCs w:val="24"/>
          <w:lang w:val="fr-CA"/>
        </w:rPr>
      </w:pPr>
      <w:r w:rsidRPr="007450AF">
        <w:rPr>
          <w:szCs w:val="24"/>
          <w:lang w:val="fr-CA"/>
        </w:rPr>
        <w:tab/>
        <w:t>À l’occasion</w:t>
      </w:r>
      <w:r w:rsidR="00E529A8" w:rsidRPr="007450AF">
        <w:rPr>
          <w:szCs w:val="24"/>
          <w:lang w:val="fr-CA"/>
        </w:rPr>
        <w:t>,</w:t>
      </w:r>
      <w:r w:rsidRPr="007450AF">
        <w:rPr>
          <w:szCs w:val="24"/>
          <w:lang w:val="fr-CA"/>
        </w:rPr>
        <w:t xml:space="preserve"> [le juge] s’est appuyé sur des indicateurs singuliers qui ne figurent pas dans le cadre analytique que j’ai déjà proposé, mais cela s’explique par les faits exceptionnels en l’espèce.  </w:t>
      </w:r>
      <w:r w:rsidRPr="007450AF">
        <w:rPr>
          <w:szCs w:val="24"/>
          <w:u w:val="single"/>
          <w:lang w:val="fr-CA"/>
        </w:rPr>
        <w:t>Or, s’il avait formulé la question comme je l’ai posée, sa conclusion, appuyée sur ses constatations de fait objectives, aurait été la même.</w:t>
      </w:r>
      <w:r w:rsidRPr="007450AF">
        <w:rPr>
          <w:szCs w:val="24"/>
          <w:lang w:val="fr-CA"/>
        </w:rPr>
        <w:t xml:space="preserve">  [. . .] L’appréciation des faits par le juge [. . .] ne permet de tirer aucune conclusion autre que celle suivant laquelle il était suffisamment certain que la province exécuterait des travaux de décontamination et qu’elle était par conséquent visée par la définition d’un créancier ay</w:t>
      </w:r>
      <w:r w:rsidR="00E529A8" w:rsidRPr="007450AF">
        <w:rPr>
          <w:szCs w:val="24"/>
          <w:lang w:val="fr-CA"/>
        </w:rPr>
        <w:t>ant une réclamation pécuniaire</w:t>
      </w:r>
      <w:r w:rsidRPr="007450AF">
        <w:rPr>
          <w:szCs w:val="24"/>
          <w:lang w:val="fr-CA"/>
        </w:rPr>
        <w:t>.  [Je souligne; par. 58.]</w:t>
      </w:r>
    </w:p>
    <w:p w:rsidR="004D251C" w:rsidRPr="007450AF" w:rsidRDefault="004D251C" w:rsidP="004D251C">
      <w:pPr>
        <w:pStyle w:val="ParaNoNdepar-AltN"/>
        <w:rPr>
          <w:rFonts w:cs="Times New Roman"/>
          <w:szCs w:val="24"/>
          <w:lang w:val="fr-CA"/>
        </w:rPr>
      </w:pPr>
      <w:r w:rsidRPr="007450AF">
        <w:rPr>
          <w:rFonts w:cs="Times New Roman"/>
          <w:szCs w:val="24"/>
          <w:lang w:val="fr-CA"/>
        </w:rPr>
        <w:lastRenderedPageBreak/>
        <w:t xml:space="preserve">Avec égards, je dois avouer que je ne partage pas la certitude de ma collègue à ce titre.  Premièrement, j’estime ne pas pouvoir trancher le pourvoi en me fondant sur ce que je crois qu’aurait fait le juge de première instance s’il avait alors saisi correctement le droit et examiné la question réellement en jeu.  À mon avis, le fait qu’il n’ait pas examiné cette question oblige notre Cour à y répondre à sa place au vu du dossier : </w:t>
      </w:r>
      <w:proofErr w:type="spellStart"/>
      <w:r w:rsidRPr="007450AF">
        <w:rPr>
          <w:rFonts w:cs="Times New Roman"/>
          <w:i/>
          <w:szCs w:val="24"/>
          <w:lang w:val="fr-CA"/>
        </w:rPr>
        <w:t>Housen</w:t>
      </w:r>
      <w:proofErr w:type="spellEnd"/>
      <w:r w:rsidRPr="007450AF">
        <w:rPr>
          <w:rFonts w:cs="Times New Roman"/>
          <w:i/>
          <w:szCs w:val="24"/>
          <w:lang w:val="fr-CA"/>
        </w:rPr>
        <w:t xml:space="preserve"> c. </w:t>
      </w:r>
      <w:proofErr w:type="spellStart"/>
      <w:r w:rsidRPr="007450AF">
        <w:rPr>
          <w:rFonts w:cs="Times New Roman"/>
          <w:i/>
          <w:szCs w:val="24"/>
          <w:lang w:val="fr-CA"/>
        </w:rPr>
        <w:t>Nikolaisen</w:t>
      </w:r>
      <w:proofErr w:type="spellEnd"/>
      <w:r w:rsidRPr="007450AF">
        <w:rPr>
          <w:rFonts w:cs="Times New Roman"/>
          <w:szCs w:val="24"/>
          <w:lang w:val="fr-CA"/>
        </w:rPr>
        <w:t>, 2002 CSC 33,</w:t>
      </w:r>
      <w:r w:rsidRPr="007450AF">
        <w:rPr>
          <w:rFonts w:cs="Times New Roman"/>
          <w:i/>
          <w:szCs w:val="24"/>
          <w:lang w:val="fr-CA"/>
        </w:rPr>
        <w:t xml:space="preserve"> </w:t>
      </w:r>
      <w:r w:rsidRPr="007450AF">
        <w:rPr>
          <w:rFonts w:cs="Times New Roman"/>
          <w:szCs w:val="24"/>
          <w:lang w:val="fr-CA"/>
        </w:rPr>
        <w:t xml:space="preserve">[2002] 2 R.C.S. 235, par. 35.  Mais, plus précisément, je ne vois pas de faits objectifs qui appuient, et encore moins qui imposent, la conclusion selon laquelle il est « suffisamment certain » que la province entreprendra </w:t>
      </w:r>
      <w:proofErr w:type="spellStart"/>
      <w:r w:rsidRPr="007450AF">
        <w:rPr>
          <w:rFonts w:cs="Times New Roman"/>
          <w:szCs w:val="24"/>
          <w:lang w:val="fr-CA"/>
        </w:rPr>
        <w:t>elle</w:t>
      </w:r>
      <w:r w:rsidRPr="007450AF">
        <w:rPr>
          <w:rFonts w:cs="Times New Roman"/>
          <w:szCs w:val="24"/>
          <w:lang w:val="fr-CA"/>
        </w:rPr>
        <w:noBreakHyphen/>
        <w:t>même</w:t>
      </w:r>
      <w:proofErr w:type="spellEnd"/>
      <w:r w:rsidRPr="007450AF">
        <w:rPr>
          <w:rFonts w:cs="Times New Roman"/>
          <w:szCs w:val="24"/>
          <w:lang w:val="fr-CA"/>
        </w:rPr>
        <w:t xml:space="preserve"> de décontaminer un site ou tous les sites pollués par Abitibi.  L’humeur de l’organisme de réglementation qui ordonne la décontamination, qu’il soit ou non désintéressé, n’a aucune incidence sur la probabilité que la province entreprenne </w:t>
      </w:r>
      <w:proofErr w:type="spellStart"/>
      <w:r w:rsidRPr="007450AF">
        <w:rPr>
          <w:rFonts w:cs="Times New Roman"/>
          <w:szCs w:val="24"/>
          <w:lang w:val="fr-CA"/>
        </w:rPr>
        <w:t>elle</w:t>
      </w:r>
      <w:r w:rsidRPr="007450AF">
        <w:rPr>
          <w:rFonts w:cs="Times New Roman"/>
          <w:szCs w:val="24"/>
          <w:lang w:val="fr-CA"/>
        </w:rPr>
        <w:noBreakHyphen/>
        <w:t>même</w:t>
      </w:r>
      <w:proofErr w:type="spellEnd"/>
      <w:r w:rsidRPr="007450AF">
        <w:rPr>
          <w:rFonts w:cs="Times New Roman"/>
          <w:szCs w:val="24"/>
          <w:lang w:val="fr-CA"/>
        </w:rPr>
        <w:t xml:space="preserve"> un projet d’une telle ampleur.  Des choix s’offrent à la province.  Elle pourrait certes choisir d’exécuter les travaux.  Ou elle pourrait attendre le résultat de la restructuration d’Abitibi et lui demander d’exécuter les travaux d’assainissement une fois qu’elle aura repris ses activités.  Elle pourrait même choisir de laisser les sites contaminés.  Rien au dossier n’indique que le premier choix est plus susceptible d’être retenu que les autres, et encore moins qui établisse qu’il est « suffisamment certain » que la province exécutera </w:t>
      </w:r>
      <w:proofErr w:type="spellStart"/>
      <w:r w:rsidRPr="007450AF">
        <w:rPr>
          <w:rFonts w:cs="Times New Roman"/>
          <w:szCs w:val="24"/>
          <w:lang w:val="fr-CA"/>
        </w:rPr>
        <w:t>elle</w:t>
      </w:r>
      <w:r w:rsidRPr="007450AF">
        <w:rPr>
          <w:rFonts w:cs="Times New Roman"/>
          <w:szCs w:val="24"/>
          <w:lang w:val="fr-CA"/>
        </w:rPr>
        <w:noBreakHyphen/>
        <w:t>même</w:t>
      </w:r>
      <w:proofErr w:type="spellEnd"/>
      <w:r w:rsidRPr="007450AF">
        <w:rPr>
          <w:rFonts w:cs="Times New Roman"/>
          <w:szCs w:val="24"/>
          <w:lang w:val="fr-CA"/>
        </w:rPr>
        <w:t xml:space="preserve"> la décontamination, convertissant ainsi l’opération en une créance.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Je suis d’avis d’accueillir le pourvoi et de déclarer que les obligations de décontaminer les sites qui incombent à Abitibi aux termes des ordonnances </w:t>
      </w:r>
      <w:r w:rsidRPr="007450AF">
        <w:rPr>
          <w:rFonts w:cs="Times New Roman"/>
          <w:i/>
          <w:szCs w:val="24"/>
          <w:lang w:val="fr-CA"/>
        </w:rPr>
        <w:t>EPA</w:t>
      </w:r>
      <w:r w:rsidRPr="007450AF">
        <w:rPr>
          <w:rFonts w:cs="Times New Roman"/>
          <w:szCs w:val="24"/>
          <w:lang w:val="fr-CA"/>
        </w:rPr>
        <w:t xml:space="preserve"> ne constituent pas des réclamations pouvant faire l’objet d’une transaction aux termes de </w:t>
      </w:r>
      <w:r w:rsidRPr="007450AF">
        <w:rPr>
          <w:rFonts w:cs="Times New Roman"/>
          <w:szCs w:val="24"/>
          <w:lang w:val="fr-CA"/>
        </w:rPr>
        <w:lastRenderedPageBreak/>
        <w:t xml:space="preserve">la </w:t>
      </w:r>
      <w:r w:rsidRPr="007450AF">
        <w:rPr>
          <w:rFonts w:cs="Times New Roman"/>
          <w:i/>
          <w:szCs w:val="24"/>
          <w:lang w:val="fr-CA"/>
        </w:rPr>
        <w:t>LACC</w:t>
      </w:r>
      <w:r w:rsidRPr="007450AF">
        <w:rPr>
          <w:rFonts w:cs="Times New Roman"/>
          <w:szCs w:val="24"/>
          <w:lang w:val="fr-CA"/>
        </w:rPr>
        <w:t xml:space="preserve">, à l’exception des travaux exécutés sur le site de </w:t>
      </w:r>
      <w:proofErr w:type="spellStart"/>
      <w:r w:rsidRPr="007450AF">
        <w:rPr>
          <w:rFonts w:cs="Times New Roman"/>
          <w:szCs w:val="24"/>
          <w:lang w:val="fr-CA"/>
        </w:rPr>
        <w:t>Buchans</w:t>
      </w:r>
      <w:proofErr w:type="spellEnd"/>
      <w:r w:rsidRPr="007450AF">
        <w:rPr>
          <w:rFonts w:cs="Times New Roman"/>
          <w:szCs w:val="24"/>
          <w:lang w:val="fr-CA"/>
        </w:rPr>
        <w:t xml:space="preserve"> ou à l’égard desquels des appels d’offres ont été lancés. </w:t>
      </w:r>
    </w:p>
    <w:p w:rsidR="004D251C" w:rsidRPr="007450AF" w:rsidRDefault="007B15F3" w:rsidP="007B15F3">
      <w:pPr>
        <w:pStyle w:val="ParaNoNdepar-AltN"/>
        <w:numPr>
          <w:ilvl w:val="0"/>
          <w:numId w:val="0"/>
        </w:numPr>
        <w:tabs>
          <w:tab w:val="left" w:pos="1170"/>
        </w:tabs>
        <w:rPr>
          <w:rFonts w:cs="Times New Roman"/>
          <w:szCs w:val="24"/>
          <w:lang w:val="fr-CA"/>
        </w:rPr>
      </w:pPr>
      <w:r w:rsidRPr="007450AF">
        <w:rPr>
          <w:rFonts w:cs="Times New Roman"/>
          <w:szCs w:val="24"/>
          <w:lang w:val="fr-CA"/>
        </w:rPr>
        <w:tab/>
        <w:t>Version française des motifs rendus par</w:t>
      </w:r>
    </w:p>
    <w:p w:rsidR="004D251C" w:rsidRPr="007450AF" w:rsidRDefault="007B15F3" w:rsidP="004D251C">
      <w:pPr>
        <w:pStyle w:val="ParaNoNdepar-AltN"/>
        <w:rPr>
          <w:rFonts w:cs="Times New Roman"/>
          <w:lang w:val="fr-CA"/>
        </w:rPr>
      </w:pPr>
      <w:r w:rsidRPr="007450AF">
        <w:rPr>
          <w:rFonts w:cs="Times New Roman"/>
          <w:smallCaps/>
          <w:szCs w:val="24"/>
          <w:lang w:val="fr-CA"/>
        </w:rPr>
        <w:t>Le juge LeBel</w:t>
      </w:r>
      <w:r w:rsidRPr="007450AF">
        <w:rPr>
          <w:rFonts w:cs="Times New Roman"/>
          <w:szCs w:val="24"/>
          <w:lang w:val="fr-CA"/>
        </w:rPr>
        <w:t xml:space="preserve"> (dissident) — </w:t>
      </w:r>
      <w:r w:rsidR="004D251C" w:rsidRPr="007450AF">
        <w:rPr>
          <w:rFonts w:cs="Times New Roman"/>
          <w:lang w:val="fr-CA"/>
        </w:rPr>
        <w:t xml:space="preserve">J’ai pris connaissance des motifs de la Juge en chef et de la juge Deschamps.  Elles s’entendent pour affirmer qu’un tribunal qui supervise un arrangement proposé aux termes de la </w:t>
      </w:r>
      <w:r w:rsidR="004D251C" w:rsidRPr="007450AF">
        <w:rPr>
          <w:rFonts w:cs="Times New Roman"/>
          <w:i/>
          <w:lang w:val="fr-CA"/>
        </w:rPr>
        <w:t>Loi sur les arrangements avec les créanciers des compagnies</w:t>
      </w:r>
      <w:r w:rsidR="004D251C" w:rsidRPr="007450AF">
        <w:rPr>
          <w:rFonts w:cs="Times New Roman"/>
          <w:lang w:val="fr-CA"/>
        </w:rPr>
        <w:t>, L.R.C. 1985, ch. C</w:t>
      </w:r>
      <w:r w:rsidR="004D251C" w:rsidRPr="007450AF">
        <w:rPr>
          <w:rFonts w:cs="Times New Roman"/>
          <w:lang w:val="fr-CA"/>
        </w:rPr>
        <w:noBreakHyphen/>
        <w:t>36 (« </w:t>
      </w:r>
      <w:r w:rsidR="004D251C" w:rsidRPr="007450AF">
        <w:rPr>
          <w:rFonts w:cs="Times New Roman"/>
          <w:i/>
          <w:lang w:val="fr-CA"/>
        </w:rPr>
        <w:t>LACC</w:t>
      </w:r>
      <w:r w:rsidR="004D251C" w:rsidRPr="007450AF">
        <w:rPr>
          <w:rFonts w:cs="Times New Roman"/>
          <w:lang w:val="fr-CA"/>
        </w:rPr>
        <w:t> »), ne peut soustraire les débiteurs aux exigences réglementaires qui leurs sont imposées.  Seules peuvent faire l’objet d’une transaction les ordonnances réglementaires de nature pécuniaire.  Mes collègues reconnaissent également que les réclamations environnementales éventuelles peuvent être liquidées ou faire l’objet d’une transaction s’il est établi que l’organisme administratif se chargerait de la décontamination, transformant ainsi l’ordonnance réglementaire en une réclamation pécuniaire.</w:t>
      </w:r>
    </w:p>
    <w:p w:rsidR="004D251C" w:rsidRPr="007450AF" w:rsidRDefault="004D251C" w:rsidP="004D251C">
      <w:pPr>
        <w:pStyle w:val="ParaNoNdepar-AltN"/>
        <w:rPr>
          <w:rFonts w:cs="Times New Roman"/>
          <w:szCs w:val="24"/>
          <w:lang w:val="fr-CA"/>
        </w:rPr>
      </w:pPr>
      <w:r w:rsidRPr="007450AF">
        <w:rPr>
          <w:rFonts w:cs="Times New Roman"/>
          <w:szCs w:val="24"/>
          <w:lang w:val="fr-CA"/>
        </w:rPr>
        <w:t>Sur ce, mes collègues diffèrent d’opinion quant au critère de preuve applicable pour déterminer si le gouvernement entend effectuer la décontamination.  De l’avis de la Juge en chef, la preuve doit démontrer une « probabilité proche de la certitude » que la province se chargerai</w:t>
      </w:r>
      <w:r w:rsidR="007B15F3" w:rsidRPr="007450AF">
        <w:rPr>
          <w:rFonts w:cs="Times New Roman"/>
          <w:szCs w:val="24"/>
          <w:lang w:val="fr-CA"/>
        </w:rPr>
        <w:t>t de la décontamination (par. 86</w:t>
      </w:r>
      <w:r w:rsidRPr="007450AF">
        <w:rPr>
          <w:rFonts w:cs="Times New Roman"/>
          <w:szCs w:val="24"/>
          <w:lang w:val="fr-CA"/>
        </w:rPr>
        <w:t xml:space="preserve">).  À mon humble avis, il ne s’agit pas du critère établi pour déterminer si, et de quelle façon, une réclamation éventuelle peut être liquidée en droit de la faillite et de l’insolvabilité.  Le critère de ce qui est « suffisamment certain » qu’énonce la juge </w:t>
      </w:r>
      <w:r w:rsidRPr="007450AF">
        <w:rPr>
          <w:rFonts w:cs="Times New Roman"/>
          <w:szCs w:val="24"/>
          <w:lang w:val="fr-CA"/>
        </w:rPr>
        <w:lastRenderedPageBreak/>
        <w:t xml:space="preserve">Deschamps ne semble pas différer beaucoup de la norme générale de probabilité en matière civile et reflète mieux la façon dont la </w:t>
      </w:r>
      <w:proofErr w:type="spellStart"/>
      <w:r w:rsidRPr="007450AF">
        <w:rPr>
          <w:rFonts w:cs="Times New Roman"/>
          <w:szCs w:val="24"/>
          <w:lang w:val="fr-CA"/>
        </w:rPr>
        <w:t>common</w:t>
      </w:r>
      <w:proofErr w:type="spellEnd"/>
      <w:r w:rsidRPr="007450AF">
        <w:rPr>
          <w:rFonts w:cs="Times New Roman"/>
          <w:szCs w:val="24"/>
          <w:lang w:val="fr-CA"/>
        </w:rPr>
        <w:t xml:space="preserve"> </w:t>
      </w:r>
      <w:proofErr w:type="spellStart"/>
      <w:r w:rsidRPr="007450AF">
        <w:rPr>
          <w:rFonts w:cs="Times New Roman"/>
          <w:szCs w:val="24"/>
          <w:lang w:val="fr-CA"/>
        </w:rPr>
        <w:t>law</w:t>
      </w:r>
      <w:proofErr w:type="spellEnd"/>
      <w:r w:rsidRPr="007450AF">
        <w:rPr>
          <w:rFonts w:cs="Times New Roman"/>
          <w:szCs w:val="24"/>
          <w:lang w:val="fr-CA"/>
        </w:rPr>
        <w:t xml:space="preserve"> et le droit civil envisagent et traitent les réclamations éventuelles.  Cependant, en appliquant le critère que propose la juge Deschamps, je dois souscrire aux motifs de la Juge en chef et je suis d’avis d’accueillir le pourvoi.</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Tout d’abord, sans égard à la façon d’envisager le jugement du tribunal chargé d’appliquer la </w:t>
      </w:r>
      <w:r w:rsidRPr="007450AF">
        <w:rPr>
          <w:rFonts w:cs="Times New Roman"/>
          <w:i/>
          <w:szCs w:val="24"/>
          <w:lang w:val="fr-CA"/>
        </w:rPr>
        <w:t>LACC</w:t>
      </w:r>
      <w:r w:rsidRPr="007450AF">
        <w:rPr>
          <w:rFonts w:cs="Times New Roman"/>
          <w:szCs w:val="24"/>
          <w:lang w:val="fr-CA"/>
        </w:rPr>
        <w:t xml:space="preserve"> (2010 QCCS 1261, 68 C.B.R. (5th) 1), rien à mon sens ne permet de conclure qu’il soit conforme au principe selon lequel la </w:t>
      </w:r>
      <w:r w:rsidRPr="007450AF">
        <w:rPr>
          <w:rFonts w:cs="Times New Roman"/>
          <w:i/>
          <w:szCs w:val="24"/>
          <w:lang w:val="fr-CA"/>
        </w:rPr>
        <w:t>LACC</w:t>
      </w:r>
      <w:r w:rsidRPr="007450AF">
        <w:rPr>
          <w:rFonts w:cs="Times New Roman"/>
          <w:szCs w:val="24"/>
          <w:lang w:val="fr-CA"/>
        </w:rPr>
        <w:t xml:space="preserve"> ne s’applique pas aux exigences purement réglementaires, ou que la preuve faite devant le tribunal respecterait le critère voulant qu’il soit « suffisamment certain » que la provin</w:t>
      </w:r>
      <w:r w:rsidR="0017324E" w:rsidRPr="007450AF">
        <w:rPr>
          <w:rFonts w:cs="Times New Roman"/>
          <w:szCs w:val="24"/>
          <w:lang w:val="fr-CA"/>
        </w:rPr>
        <w:t xml:space="preserve">ce de </w:t>
      </w:r>
      <w:proofErr w:type="spellStart"/>
      <w:r w:rsidR="0017324E" w:rsidRPr="007450AF">
        <w:rPr>
          <w:rFonts w:cs="Times New Roman"/>
          <w:szCs w:val="24"/>
          <w:lang w:val="fr-CA"/>
        </w:rPr>
        <w:t>Terre</w:t>
      </w:r>
      <w:r w:rsidR="0017324E" w:rsidRPr="007450AF">
        <w:rPr>
          <w:rFonts w:cs="Times New Roman"/>
          <w:szCs w:val="24"/>
          <w:lang w:val="fr-CA"/>
        </w:rPr>
        <w:noBreakHyphen/>
        <w:t>Neuve</w:t>
      </w:r>
      <w:r w:rsidR="0017324E" w:rsidRPr="007450AF">
        <w:rPr>
          <w:rFonts w:cs="Times New Roman"/>
          <w:szCs w:val="24"/>
          <w:lang w:val="fr-CA"/>
        </w:rPr>
        <w:noBreakHyphen/>
        <w:t>et</w:t>
      </w:r>
      <w:r w:rsidR="0017324E" w:rsidRPr="007450AF">
        <w:rPr>
          <w:rFonts w:cs="Times New Roman"/>
          <w:szCs w:val="24"/>
          <w:lang w:val="fr-CA"/>
        </w:rPr>
        <w:noBreakHyphen/>
        <w:t>Labrador</w:t>
      </w:r>
      <w:proofErr w:type="spellEnd"/>
      <w:r w:rsidR="0017324E" w:rsidRPr="007450AF">
        <w:rPr>
          <w:rFonts w:cs="Times New Roman"/>
          <w:szCs w:val="24"/>
          <w:lang w:val="fr-CA"/>
        </w:rPr>
        <w:t xml:space="preserve"> (</w:t>
      </w:r>
      <w:r w:rsidRPr="007450AF">
        <w:rPr>
          <w:rFonts w:cs="Times New Roman"/>
          <w:szCs w:val="24"/>
          <w:lang w:val="fr-CA"/>
        </w:rPr>
        <w:t xml:space="preserve">« province ») exécuterait </w:t>
      </w:r>
      <w:proofErr w:type="spellStart"/>
      <w:r w:rsidRPr="007450AF">
        <w:rPr>
          <w:rFonts w:cs="Times New Roman"/>
          <w:szCs w:val="24"/>
          <w:lang w:val="fr-CA"/>
        </w:rPr>
        <w:t>elle</w:t>
      </w:r>
      <w:r w:rsidRPr="007450AF">
        <w:rPr>
          <w:rFonts w:cs="Times New Roman"/>
          <w:szCs w:val="24"/>
          <w:lang w:val="fr-CA"/>
        </w:rPr>
        <w:noBreakHyphen/>
        <w:t>même</w:t>
      </w:r>
      <w:proofErr w:type="spellEnd"/>
      <w:r w:rsidRPr="007450AF">
        <w:rPr>
          <w:rFonts w:cs="Times New Roman"/>
          <w:szCs w:val="24"/>
          <w:lang w:val="fr-CA"/>
        </w:rPr>
        <w:t xml:space="preserve"> les travaux de décontamination. </w:t>
      </w:r>
    </w:p>
    <w:p w:rsidR="004D251C" w:rsidRPr="007450AF" w:rsidRDefault="004D251C" w:rsidP="004D251C">
      <w:pPr>
        <w:pStyle w:val="ParaNoNdepar-AltN"/>
        <w:rPr>
          <w:rFonts w:cs="Times New Roman"/>
          <w:szCs w:val="24"/>
          <w:lang w:val="fr-CA"/>
        </w:rPr>
      </w:pPr>
      <w:r w:rsidRPr="007450AF">
        <w:rPr>
          <w:rFonts w:cs="Times New Roman"/>
          <w:szCs w:val="24"/>
          <w:lang w:val="fr-CA"/>
        </w:rPr>
        <w:t xml:space="preserve">À mon avis, le tribunal de première instance craignait un échec de l’arrangement si les sociétés du groupe Abitibi intimées (« Abitibi ») ne pouvaient se libérer des exigences réglementaires relatives à la pollution.  Le tribunal voulait écarter l’incertitude qui aurait assombri l’avenir de ces sociétés après leur réorganisation.  De plus, sa décision semble motivée par l’opinion suivant laquelle la province avait traité de mauvaise foi avec Abitibi dès que cette dernière eût cessé ses activités dans cette province.  Je suis d’accord avec la Juge en chef pour conclure qu’aucune preuve ne confirme l’intention de la province d’exécuter </w:t>
      </w:r>
      <w:proofErr w:type="spellStart"/>
      <w:r w:rsidRPr="007450AF">
        <w:rPr>
          <w:rFonts w:cs="Times New Roman"/>
          <w:szCs w:val="24"/>
          <w:lang w:val="fr-CA"/>
        </w:rPr>
        <w:t>elle</w:t>
      </w:r>
      <w:r w:rsidRPr="007450AF">
        <w:rPr>
          <w:rFonts w:cs="Times New Roman"/>
          <w:szCs w:val="24"/>
          <w:lang w:val="fr-CA"/>
        </w:rPr>
        <w:noBreakHyphen/>
        <w:t>même</w:t>
      </w:r>
      <w:proofErr w:type="spellEnd"/>
      <w:r w:rsidRPr="007450AF">
        <w:rPr>
          <w:rFonts w:cs="Times New Roman"/>
          <w:szCs w:val="24"/>
          <w:lang w:val="fr-CA"/>
        </w:rPr>
        <w:t xml:space="preserve"> les travaux de décontamination.  En l’absence de tout autre élément de preuve, une </w:t>
      </w:r>
      <w:r w:rsidRPr="007450AF">
        <w:rPr>
          <w:rFonts w:cs="Times New Roman"/>
          <w:szCs w:val="24"/>
          <w:lang w:val="fr-CA"/>
        </w:rPr>
        <w:lastRenderedPageBreak/>
        <w:t xml:space="preserve">remarque faite en passant par un ministre devant l’assemblée législative peut difficilement satisfaire au critère de ce qui est « suffisamment certain ».  Même si l’on applique le critère de preuve que propose ma collègue la juge Deschamps, notre Cour peut légitimement écarter les conclusions du tribunal de première instance comme le propose la Juge en chef car elles ne reposent sur aucun fondement factuel suffisant. </w:t>
      </w:r>
    </w:p>
    <w:p w:rsidR="004D251C" w:rsidRPr="007450AF" w:rsidRDefault="004D251C" w:rsidP="004D251C">
      <w:pPr>
        <w:pStyle w:val="ParaNoNdepar-AltN"/>
        <w:rPr>
          <w:rFonts w:cs="Times New Roman"/>
          <w:szCs w:val="24"/>
          <w:lang w:val="fr-CA"/>
        </w:rPr>
      </w:pPr>
      <w:r w:rsidRPr="007450AF">
        <w:rPr>
          <w:rFonts w:cs="Times New Roman"/>
          <w:szCs w:val="24"/>
          <w:lang w:val="fr-CA"/>
        </w:rPr>
        <w:t>Pour ces motifs, je suis d’avis de souscrire au dispositif que propose la Juge en chef.</w:t>
      </w:r>
    </w:p>
    <w:p w:rsidR="0033393C" w:rsidRPr="007450AF" w:rsidRDefault="0033393C" w:rsidP="00D07343">
      <w:pPr>
        <w:pStyle w:val="SCCNormalDoubleSpacing"/>
        <w:spacing w:after="480"/>
      </w:pPr>
      <w:r w:rsidRPr="007450AF">
        <w:tab/>
      </w:r>
      <w:r w:rsidR="00AC7723" w:rsidRPr="007450AF">
        <w:rPr>
          <w:i/>
        </w:rPr>
        <w:t xml:space="preserve">Pourvoi </w:t>
      </w:r>
      <w:r w:rsidR="00581B54" w:rsidRPr="007450AF">
        <w:rPr>
          <w:i/>
        </w:rPr>
        <w:t>rejeté avec dépens</w:t>
      </w:r>
      <w:r w:rsidR="00096FF8" w:rsidRPr="007450AF">
        <w:rPr>
          <w:i/>
        </w:rPr>
        <w:t xml:space="preserve">, la juge en chef </w:t>
      </w:r>
      <w:proofErr w:type="spellStart"/>
      <w:r w:rsidR="00096FF8" w:rsidRPr="007450AF">
        <w:rPr>
          <w:smallCaps/>
        </w:rPr>
        <w:t>McLachlin</w:t>
      </w:r>
      <w:proofErr w:type="spellEnd"/>
      <w:r w:rsidR="00096FF8" w:rsidRPr="007450AF">
        <w:rPr>
          <w:i/>
        </w:rPr>
        <w:t xml:space="preserve"> </w:t>
      </w:r>
      <w:r w:rsidR="00C96DE6" w:rsidRPr="007450AF">
        <w:rPr>
          <w:i/>
        </w:rPr>
        <w:t xml:space="preserve">et le juge </w:t>
      </w:r>
      <w:r w:rsidR="00C96DE6" w:rsidRPr="007450AF">
        <w:rPr>
          <w:smallCaps/>
        </w:rPr>
        <w:t>LeBel</w:t>
      </w:r>
      <w:r w:rsidR="00C96DE6" w:rsidRPr="007450AF">
        <w:rPr>
          <w:i/>
        </w:rPr>
        <w:t xml:space="preserve"> sont</w:t>
      </w:r>
      <w:r w:rsidR="00096FF8" w:rsidRPr="007450AF">
        <w:rPr>
          <w:i/>
        </w:rPr>
        <w:t xml:space="preserve"> dissident</w:t>
      </w:r>
      <w:r w:rsidR="00C96DE6" w:rsidRPr="007450AF">
        <w:rPr>
          <w:i/>
        </w:rPr>
        <w:t>s</w:t>
      </w:r>
      <w:r w:rsidR="00AC7723" w:rsidRPr="007450AF">
        <w:rPr>
          <w:i/>
        </w:rPr>
        <w:t>.</w:t>
      </w:r>
    </w:p>
    <w:p w:rsidR="00C930E1" w:rsidRPr="007450AF" w:rsidRDefault="00B32B0B" w:rsidP="00C930E1">
      <w:pPr>
        <w:pStyle w:val="SCCLawFirm"/>
        <w:spacing w:after="480"/>
      </w:pPr>
      <w:r w:rsidRPr="007450AF">
        <w:tab/>
        <w:t>Procureurs de l</w:t>
      </w:r>
      <w:r w:rsidR="00C4595B" w:rsidRPr="007450AF">
        <w:t>’</w:t>
      </w:r>
      <w:r w:rsidRPr="007450AF">
        <w:t>appelante</w:t>
      </w:r>
      <w:r w:rsidR="00A76B3C" w:rsidRPr="007450AF">
        <w:t> :</w:t>
      </w:r>
      <w:r w:rsidR="00291485" w:rsidRPr="007450AF">
        <w:t> </w:t>
      </w:r>
      <w:proofErr w:type="spellStart"/>
      <w:r w:rsidRPr="007450AF">
        <w:t>WeirFoulds</w:t>
      </w:r>
      <w:proofErr w:type="spellEnd"/>
      <w:r w:rsidRPr="007450AF">
        <w:t>, Toronto</w:t>
      </w:r>
      <w:r w:rsidR="00C930E1" w:rsidRPr="007450AF">
        <w:t xml:space="preserve">; procureur général de </w:t>
      </w:r>
      <w:proofErr w:type="spellStart"/>
      <w:r w:rsidR="00C930E1" w:rsidRPr="007450AF">
        <w:t>Terre</w:t>
      </w:r>
      <w:r w:rsidR="00C930E1" w:rsidRPr="007450AF">
        <w:noBreakHyphen/>
        <w:t>Neuve</w:t>
      </w:r>
      <w:r w:rsidR="00C930E1" w:rsidRPr="007450AF">
        <w:noBreakHyphen/>
        <w:t>et</w:t>
      </w:r>
      <w:r w:rsidR="00C930E1" w:rsidRPr="007450AF">
        <w:noBreakHyphen/>
        <w:t>Labrador</w:t>
      </w:r>
      <w:proofErr w:type="spellEnd"/>
      <w:r w:rsidR="00C930E1" w:rsidRPr="007450AF">
        <w:t>, St. John</w:t>
      </w:r>
      <w:r w:rsidR="00C4595B" w:rsidRPr="007450AF">
        <w:t>’</w:t>
      </w:r>
      <w:r w:rsidR="00C930E1" w:rsidRPr="007450AF">
        <w:t>s.</w:t>
      </w:r>
    </w:p>
    <w:p w:rsidR="00B32B0B" w:rsidRPr="007450AF" w:rsidRDefault="00B32B0B" w:rsidP="00D07343">
      <w:pPr>
        <w:pStyle w:val="SCCLawFirm"/>
        <w:spacing w:after="480"/>
      </w:pPr>
      <w:r w:rsidRPr="007450AF">
        <w:tab/>
        <w:t xml:space="preserve">Procureurs des intimées </w:t>
      </w:r>
      <w:proofErr w:type="spellStart"/>
      <w:r w:rsidRPr="007450AF">
        <w:t>AbitibiBowater</w:t>
      </w:r>
      <w:proofErr w:type="spellEnd"/>
      <w:r w:rsidRPr="007450AF">
        <w:t xml:space="preserve"> Inc., </w:t>
      </w:r>
      <w:proofErr w:type="spellStart"/>
      <w:r w:rsidRPr="007450AF">
        <w:t>Abitibi</w:t>
      </w:r>
      <w:r w:rsidR="00A76B3C" w:rsidRPr="007450AF">
        <w:noBreakHyphen/>
      </w:r>
      <w:r w:rsidRPr="007450AF">
        <w:t>Consolidated</w:t>
      </w:r>
      <w:proofErr w:type="spellEnd"/>
      <w:r w:rsidRPr="007450AF">
        <w:t xml:space="preserve"> Inc. et </w:t>
      </w:r>
      <w:proofErr w:type="spellStart"/>
      <w:r w:rsidRPr="007450AF">
        <w:t>Bowater</w:t>
      </w:r>
      <w:proofErr w:type="spellEnd"/>
      <w:r w:rsidRPr="007450AF">
        <w:t xml:space="preserve"> Canadian Holdings Inc.</w:t>
      </w:r>
      <w:r w:rsidR="00A76B3C" w:rsidRPr="007450AF">
        <w:t> :</w:t>
      </w:r>
      <w:r w:rsidR="00291485" w:rsidRPr="007450AF">
        <w:t> </w:t>
      </w:r>
      <w:proofErr w:type="spellStart"/>
      <w:r w:rsidRPr="007450AF">
        <w:t>Stikeman</w:t>
      </w:r>
      <w:proofErr w:type="spellEnd"/>
      <w:r w:rsidRPr="007450AF">
        <w:t xml:space="preserve"> Elliott, Toronto.</w:t>
      </w:r>
    </w:p>
    <w:p w:rsidR="00B32B0B" w:rsidRPr="007450AF" w:rsidRDefault="00B32B0B" w:rsidP="00D07343">
      <w:pPr>
        <w:pStyle w:val="SCCLawFirm"/>
        <w:spacing w:after="480"/>
      </w:pPr>
      <w:r w:rsidRPr="007450AF">
        <w:tab/>
        <w:t>Procureurs de l</w:t>
      </w:r>
      <w:r w:rsidR="00C4595B" w:rsidRPr="007450AF">
        <w:t>’</w:t>
      </w:r>
      <w:r w:rsidRPr="007450AF">
        <w:t>intimé le comité ad hoc des créanciers obligataires</w:t>
      </w:r>
      <w:r w:rsidR="00A76B3C" w:rsidRPr="007450AF">
        <w:t> :</w:t>
      </w:r>
      <w:r w:rsidR="00291485" w:rsidRPr="007450AF">
        <w:t> </w:t>
      </w:r>
      <w:proofErr w:type="spellStart"/>
      <w:r w:rsidRPr="007450AF">
        <w:t>Goodmans</w:t>
      </w:r>
      <w:proofErr w:type="spellEnd"/>
      <w:r w:rsidRPr="007450AF">
        <w:t>, Toronto.</w:t>
      </w:r>
    </w:p>
    <w:p w:rsidR="00B32B0B" w:rsidRPr="007450AF" w:rsidRDefault="00B32B0B" w:rsidP="00D07343">
      <w:pPr>
        <w:pStyle w:val="SCCLawFirm"/>
        <w:spacing w:after="480"/>
      </w:pPr>
      <w:r w:rsidRPr="007450AF">
        <w:tab/>
        <w:t>Procureurs des intimés le comité ad hoc des porteurs de billets garantis de premier rang et U.S. Bank National Association (fiduciaire désigné par l</w:t>
      </w:r>
      <w:r w:rsidR="00C4595B" w:rsidRPr="007450AF">
        <w:t>’</w:t>
      </w:r>
      <w:r w:rsidRPr="007450AF">
        <w:t xml:space="preserve">acte </w:t>
      </w:r>
      <w:r w:rsidRPr="007450AF">
        <w:lastRenderedPageBreak/>
        <w:t>constitutif pour les porteurs de billets garantis de premier rang)</w:t>
      </w:r>
      <w:r w:rsidR="00A76B3C" w:rsidRPr="007450AF">
        <w:t> :</w:t>
      </w:r>
      <w:r w:rsidR="00291485" w:rsidRPr="007450AF">
        <w:t> </w:t>
      </w:r>
      <w:r w:rsidRPr="007450AF">
        <w:t xml:space="preserve">Borden </w:t>
      </w:r>
      <w:proofErr w:type="spellStart"/>
      <w:r w:rsidRPr="007450AF">
        <w:t>Ladner</w:t>
      </w:r>
      <w:proofErr w:type="spellEnd"/>
      <w:r w:rsidRPr="007450AF">
        <w:t xml:space="preserve"> Gervais, Toronto.</w:t>
      </w:r>
    </w:p>
    <w:p w:rsidR="00B32B0B" w:rsidRPr="007450AF" w:rsidRDefault="00B32B0B" w:rsidP="00D07343">
      <w:pPr>
        <w:pStyle w:val="SCCLawFirm"/>
        <w:spacing w:after="480"/>
      </w:pPr>
      <w:r w:rsidRPr="007450AF">
        <w:tab/>
        <w:t>Procureur de l</w:t>
      </w:r>
      <w:r w:rsidR="00C4595B" w:rsidRPr="007450AF">
        <w:t>’</w:t>
      </w:r>
      <w:r w:rsidRPr="007450AF">
        <w:t>intervenant le procureur général du Canada</w:t>
      </w:r>
      <w:r w:rsidR="00A76B3C" w:rsidRPr="007450AF">
        <w:t> :</w:t>
      </w:r>
      <w:r w:rsidR="00142961" w:rsidRPr="007450AF">
        <w:t> </w:t>
      </w:r>
      <w:r w:rsidRPr="007450AF">
        <w:t>Procureur général du Canada, Ottawa.</w:t>
      </w:r>
    </w:p>
    <w:p w:rsidR="00B32B0B" w:rsidRPr="007450AF" w:rsidRDefault="00B32B0B" w:rsidP="00D07343">
      <w:pPr>
        <w:pStyle w:val="SCCLawFirm"/>
        <w:spacing w:after="480"/>
      </w:pPr>
      <w:r w:rsidRPr="007450AF">
        <w:tab/>
        <w:t>Procureur de l</w:t>
      </w:r>
      <w:r w:rsidR="00C4595B" w:rsidRPr="007450AF">
        <w:t>’</w:t>
      </w:r>
      <w:r w:rsidRPr="007450AF">
        <w:t>intervenant le procureur général de l</w:t>
      </w:r>
      <w:r w:rsidR="00C4595B" w:rsidRPr="007450AF">
        <w:t>’</w:t>
      </w:r>
      <w:r w:rsidRPr="007450AF">
        <w:t>Ontario</w:t>
      </w:r>
      <w:r w:rsidR="00A76B3C" w:rsidRPr="007450AF">
        <w:t> :</w:t>
      </w:r>
      <w:r w:rsidR="00142961" w:rsidRPr="007450AF">
        <w:t> </w:t>
      </w:r>
      <w:r w:rsidRPr="007450AF">
        <w:t>Procureur général de l</w:t>
      </w:r>
      <w:r w:rsidR="00C4595B" w:rsidRPr="007450AF">
        <w:t>’</w:t>
      </w:r>
      <w:r w:rsidRPr="007450AF">
        <w:t>Ontario, Toronto.</w:t>
      </w:r>
    </w:p>
    <w:p w:rsidR="00B32B0B" w:rsidRPr="007450AF" w:rsidRDefault="00B32B0B" w:rsidP="00D07343">
      <w:pPr>
        <w:pStyle w:val="SCCLawFirm"/>
        <w:spacing w:after="480"/>
      </w:pPr>
      <w:r w:rsidRPr="007450AF">
        <w:tab/>
        <w:t xml:space="preserve">Procureur des intervenants le procureur général de la </w:t>
      </w:r>
      <w:proofErr w:type="spellStart"/>
      <w:r w:rsidRPr="007450AF">
        <w:t>Colombie</w:t>
      </w:r>
      <w:r w:rsidR="00A76B3C" w:rsidRPr="007450AF">
        <w:noBreakHyphen/>
      </w:r>
      <w:r w:rsidRPr="007450AF">
        <w:t>Britannique</w:t>
      </w:r>
      <w:proofErr w:type="spellEnd"/>
      <w:r w:rsidRPr="007450AF">
        <w:t xml:space="preserve"> et Sa Majesté la Reine du chef de la </w:t>
      </w:r>
      <w:proofErr w:type="spellStart"/>
      <w:r w:rsidRPr="007450AF">
        <w:t>Colombie</w:t>
      </w:r>
      <w:r w:rsidR="00A76B3C" w:rsidRPr="007450AF">
        <w:noBreakHyphen/>
      </w:r>
      <w:r w:rsidRPr="007450AF">
        <w:t>Britannique</w:t>
      </w:r>
      <w:proofErr w:type="spellEnd"/>
      <w:r w:rsidR="00A76B3C" w:rsidRPr="007450AF">
        <w:t> :</w:t>
      </w:r>
      <w:r w:rsidR="00142961" w:rsidRPr="007450AF">
        <w:t> </w:t>
      </w:r>
      <w:r w:rsidRPr="007450AF">
        <w:t xml:space="preserve">Procureur général de la </w:t>
      </w:r>
      <w:proofErr w:type="spellStart"/>
      <w:r w:rsidRPr="007450AF">
        <w:t>Colombie</w:t>
      </w:r>
      <w:r w:rsidR="00A76B3C" w:rsidRPr="007450AF">
        <w:noBreakHyphen/>
      </w:r>
      <w:r w:rsidRPr="007450AF">
        <w:t>Britannique</w:t>
      </w:r>
      <w:proofErr w:type="spellEnd"/>
      <w:r w:rsidRPr="007450AF">
        <w:t>, Victoria.</w:t>
      </w:r>
    </w:p>
    <w:p w:rsidR="00B32B0B" w:rsidRPr="007450AF" w:rsidRDefault="00B32B0B" w:rsidP="00D07343">
      <w:pPr>
        <w:pStyle w:val="SCCLawFirm"/>
        <w:spacing w:after="480"/>
      </w:pPr>
      <w:r w:rsidRPr="007450AF">
        <w:tab/>
        <w:t>Procureur de l</w:t>
      </w:r>
      <w:r w:rsidR="00C4595B" w:rsidRPr="007450AF">
        <w:t>’</w:t>
      </w:r>
      <w:r w:rsidRPr="007450AF">
        <w:t>intervenant le procureur général de l</w:t>
      </w:r>
      <w:r w:rsidR="00C4595B" w:rsidRPr="007450AF">
        <w:t>’</w:t>
      </w:r>
      <w:r w:rsidRPr="007450AF">
        <w:t>Alberta</w:t>
      </w:r>
      <w:r w:rsidR="00A76B3C" w:rsidRPr="007450AF">
        <w:t> :</w:t>
      </w:r>
      <w:r w:rsidR="00142961" w:rsidRPr="007450AF">
        <w:t> </w:t>
      </w:r>
      <w:r w:rsidRPr="007450AF">
        <w:t>Procureur général de l</w:t>
      </w:r>
      <w:r w:rsidR="00C4595B" w:rsidRPr="007450AF">
        <w:t>’</w:t>
      </w:r>
      <w:r w:rsidRPr="007450AF">
        <w:t>Alberta, Edmonton.</w:t>
      </w:r>
    </w:p>
    <w:p w:rsidR="00B32B0B" w:rsidRPr="007450AF" w:rsidRDefault="00B32B0B" w:rsidP="00D07343">
      <w:pPr>
        <w:pStyle w:val="SCCLawFirm"/>
        <w:spacing w:after="480"/>
      </w:pPr>
      <w:r w:rsidRPr="007450AF">
        <w:tab/>
        <w:t>Procureurs de l</w:t>
      </w:r>
      <w:r w:rsidR="00C4595B" w:rsidRPr="007450AF">
        <w:t>’</w:t>
      </w:r>
      <w:r w:rsidRPr="007450AF">
        <w:t>intervenante Ernst &amp; Young Inc., en sa qualité de contrôleur</w:t>
      </w:r>
      <w:r w:rsidR="00A76B3C" w:rsidRPr="007450AF">
        <w:t> :</w:t>
      </w:r>
      <w:r w:rsidR="00142961" w:rsidRPr="007450AF">
        <w:t> </w:t>
      </w:r>
      <w:proofErr w:type="spellStart"/>
      <w:r w:rsidRPr="007450AF">
        <w:t>Thornton</w:t>
      </w:r>
      <w:proofErr w:type="spellEnd"/>
      <w:r w:rsidRPr="007450AF">
        <w:t xml:space="preserve"> </w:t>
      </w:r>
      <w:proofErr w:type="spellStart"/>
      <w:r w:rsidRPr="007450AF">
        <w:t>Grout</w:t>
      </w:r>
      <w:proofErr w:type="spellEnd"/>
      <w:r w:rsidRPr="007450AF">
        <w:t xml:space="preserve"> </w:t>
      </w:r>
      <w:proofErr w:type="spellStart"/>
      <w:r w:rsidRPr="007450AF">
        <w:t>Finnigan</w:t>
      </w:r>
      <w:proofErr w:type="spellEnd"/>
      <w:r w:rsidRPr="007450AF">
        <w:t>, Toronto.</w:t>
      </w:r>
    </w:p>
    <w:p w:rsidR="004E391A" w:rsidRPr="007450AF" w:rsidRDefault="00B32B0B" w:rsidP="004D251C">
      <w:pPr>
        <w:pStyle w:val="SCCLawFirm"/>
        <w:rPr>
          <w:b/>
          <w:i w:val="0"/>
        </w:rPr>
      </w:pPr>
      <w:r w:rsidRPr="007450AF">
        <w:tab/>
        <w:t>Procureurs de l</w:t>
      </w:r>
      <w:r w:rsidR="00C4595B" w:rsidRPr="007450AF">
        <w:t>’</w:t>
      </w:r>
      <w:r w:rsidRPr="007450AF">
        <w:t>intervenante Les Ami(e)s de la Terre Canada</w:t>
      </w:r>
      <w:r w:rsidR="00A76B3C" w:rsidRPr="007450AF">
        <w:t> :</w:t>
      </w:r>
      <w:r w:rsidR="00142961" w:rsidRPr="007450AF">
        <w:t> </w:t>
      </w:r>
      <w:proofErr w:type="spellStart"/>
      <w:r w:rsidRPr="007450AF">
        <w:t>Ecojustice</w:t>
      </w:r>
      <w:proofErr w:type="spellEnd"/>
      <w:r w:rsidRPr="007450AF">
        <w:t>, Université d</w:t>
      </w:r>
      <w:r w:rsidR="00C4595B" w:rsidRPr="007450AF">
        <w:t>’</w:t>
      </w:r>
      <w:r w:rsidRPr="007450AF">
        <w:t xml:space="preserve">Ottawa, Ottawa; </w:t>
      </w:r>
      <w:proofErr w:type="spellStart"/>
      <w:r w:rsidRPr="007450AF">
        <w:t>Fasken</w:t>
      </w:r>
      <w:proofErr w:type="spellEnd"/>
      <w:r w:rsidRPr="007450AF">
        <w:t xml:space="preserve"> Martineau </w:t>
      </w:r>
      <w:proofErr w:type="spellStart"/>
      <w:r w:rsidRPr="007450AF">
        <w:t>DuMoulin</w:t>
      </w:r>
      <w:proofErr w:type="spellEnd"/>
      <w:r w:rsidRPr="007450AF">
        <w:t>, Toronto.</w:t>
      </w:r>
    </w:p>
    <w:p w:rsidR="004D251C" w:rsidRPr="007450AF" w:rsidRDefault="004D251C" w:rsidP="004D251C">
      <w:pPr>
        <w:pStyle w:val="SCCNormalDoubleSpacing"/>
      </w:pPr>
    </w:p>
    <w:p w:rsidR="004D251C" w:rsidRPr="007450AF" w:rsidRDefault="004D251C" w:rsidP="004D251C">
      <w:pPr>
        <w:pStyle w:val="SCCNormalDoubleSpacing"/>
      </w:pPr>
    </w:p>
    <w:sectPr w:rsidR="004D251C" w:rsidRPr="007450AF" w:rsidSect="00D77278">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4C" w:rsidRDefault="006A614C">
      <w:r>
        <w:separator/>
      </w:r>
    </w:p>
  </w:endnote>
  <w:endnote w:type="continuationSeparator" w:id="0">
    <w:p w:rsidR="006A614C" w:rsidRDefault="006A6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C" w:rsidRDefault="006A614C">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C" w:rsidRDefault="006A614C">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4C" w:rsidRDefault="006A614C">
      <w:r>
        <w:separator/>
      </w:r>
    </w:p>
  </w:footnote>
  <w:footnote w:type="continuationSeparator" w:id="0">
    <w:p w:rsidR="006A614C" w:rsidRDefault="006A6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C" w:rsidRDefault="006A614C">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9833"/>
      <w:docPartObj>
        <w:docPartGallery w:val="Page Numbers (Top of Page)"/>
        <w:docPartUnique/>
      </w:docPartObj>
    </w:sdtPr>
    <w:sdtContent>
      <w:p w:rsidR="006A614C" w:rsidRDefault="006A614C">
        <w:pPr>
          <w:pStyle w:val="Header"/>
          <w:jc w:val="center"/>
        </w:pPr>
        <w:r>
          <w:t xml:space="preserve">- </w:t>
        </w:r>
        <w:fldSimple w:instr=" PAGE   \* MERGEFORMAT ">
          <w:r w:rsidR="00A75D06">
            <w:rPr>
              <w:noProof/>
            </w:rPr>
            <w:t>3</w:t>
          </w:r>
        </w:fldSimple>
        <w:r>
          <w:t xml:space="preserve"> -</w:t>
        </w:r>
      </w:p>
    </w:sdtContent>
  </w:sdt>
  <w:p w:rsidR="006A614C" w:rsidRDefault="006A614C"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6BA0"/>
    <w:multiLevelType w:val="hybridMultilevel"/>
    <w:tmpl w:val="5742DC2C"/>
    <w:lvl w:ilvl="0" w:tplc="8FDA0F80">
      <w:start w:val="1"/>
      <w:numFmt w:val="decimal"/>
      <w:pStyle w:val="SingleParaNo"/>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
    <w:nsid w:val="54283EE8"/>
    <w:multiLevelType w:val="multilevel"/>
    <w:tmpl w:val="F0DCC01C"/>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2337"/>
  </w:hdrShapeDefaults>
  <w:footnotePr>
    <w:footnote w:id="-1"/>
    <w:footnote w:id="0"/>
  </w:footnotePr>
  <w:endnotePr>
    <w:endnote w:id="-1"/>
    <w:endnote w:id="0"/>
  </w:endnotePr>
  <w:compat/>
  <w:rsids>
    <w:rsidRoot w:val="0031414C"/>
    <w:rsid w:val="00011830"/>
    <w:rsid w:val="00024CFA"/>
    <w:rsid w:val="00025198"/>
    <w:rsid w:val="000338A9"/>
    <w:rsid w:val="00034C99"/>
    <w:rsid w:val="00037FD5"/>
    <w:rsid w:val="00055A36"/>
    <w:rsid w:val="000578A3"/>
    <w:rsid w:val="00064563"/>
    <w:rsid w:val="000648CC"/>
    <w:rsid w:val="00066675"/>
    <w:rsid w:val="0007037C"/>
    <w:rsid w:val="00094DE0"/>
    <w:rsid w:val="0009689C"/>
    <w:rsid w:val="00096FF8"/>
    <w:rsid w:val="00097A02"/>
    <w:rsid w:val="000A5321"/>
    <w:rsid w:val="000A62A3"/>
    <w:rsid w:val="000C2762"/>
    <w:rsid w:val="000C59B8"/>
    <w:rsid w:val="000D18BF"/>
    <w:rsid w:val="000E0B8F"/>
    <w:rsid w:val="000F052C"/>
    <w:rsid w:val="000F1231"/>
    <w:rsid w:val="000F4CE2"/>
    <w:rsid w:val="000F6E24"/>
    <w:rsid w:val="001069E3"/>
    <w:rsid w:val="001110E9"/>
    <w:rsid w:val="00111DE2"/>
    <w:rsid w:val="00116B38"/>
    <w:rsid w:val="0011721E"/>
    <w:rsid w:val="00130209"/>
    <w:rsid w:val="0013109F"/>
    <w:rsid w:val="00135406"/>
    <w:rsid w:val="00135972"/>
    <w:rsid w:val="00140667"/>
    <w:rsid w:val="001426A9"/>
    <w:rsid w:val="00142961"/>
    <w:rsid w:val="001476FF"/>
    <w:rsid w:val="00154D7C"/>
    <w:rsid w:val="001570B0"/>
    <w:rsid w:val="00172A04"/>
    <w:rsid w:val="0017324E"/>
    <w:rsid w:val="00175A97"/>
    <w:rsid w:val="00185394"/>
    <w:rsid w:val="001A0879"/>
    <w:rsid w:val="001A2267"/>
    <w:rsid w:val="001A451D"/>
    <w:rsid w:val="001A49DF"/>
    <w:rsid w:val="001A4B6D"/>
    <w:rsid w:val="001B134F"/>
    <w:rsid w:val="001B33E0"/>
    <w:rsid w:val="001B4573"/>
    <w:rsid w:val="001B7F83"/>
    <w:rsid w:val="001C779F"/>
    <w:rsid w:val="001D2AC1"/>
    <w:rsid w:val="001D2E3F"/>
    <w:rsid w:val="001D50E3"/>
    <w:rsid w:val="001F17B2"/>
    <w:rsid w:val="001F3E73"/>
    <w:rsid w:val="001F473F"/>
    <w:rsid w:val="001F7673"/>
    <w:rsid w:val="0021278B"/>
    <w:rsid w:val="00220FC2"/>
    <w:rsid w:val="002217C0"/>
    <w:rsid w:val="00224FC0"/>
    <w:rsid w:val="00225EA4"/>
    <w:rsid w:val="00226EAF"/>
    <w:rsid w:val="00231F3A"/>
    <w:rsid w:val="002406EE"/>
    <w:rsid w:val="002456F4"/>
    <w:rsid w:val="00260117"/>
    <w:rsid w:val="0026146A"/>
    <w:rsid w:val="002745CC"/>
    <w:rsid w:val="00274871"/>
    <w:rsid w:val="00280202"/>
    <w:rsid w:val="002848DA"/>
    <w:rsid w:val="00291485"/>
    <w:rsid w:val="00296751"/>
    <w:rsid w:val="002968F8"/>
    <w:rsid w:val="002B0851"/>
    <w:rsid w:val="002C6DDA"/>
    <w:rsid w:val="002D39A4"/>
    <w:rsid w:val="002E6705"/>
    <w:rsid w:val="002F4EB1"/>
    <w:rsid w:val="002F696C"/>
    <w:rsid w:val="0030329A"/>
    <w:rsid w:val="00307AFD"/>
    <w:rsid w:val="0031086F"/>
    <w:rsid w:val="00310E05"/>
    <w:rsid w:val="003128A3"/>
    <w:rsid w:val="0031414C"/>
    <w:rsid w:val="00314E01"/>
    <w:rsid w:val="0032089D"/>
    <w:rsid w:val="003260D2"/>
    <w:rsid w:val="0033393C"/>
    <w:rsid w:val="00345086"/>
    <w:rsid w:val="0034770C"/>
    <w:rsid w:val="00351DCA"/>
    <w:rsid w:val="0035259D"/>
    <w:rsid w:val="00360FC4"/>
    <w:rsid w:val="00367480"/>
    <w:rsid w:val="00373ABB"/>
    <w:rsid w:val="003843A8"/>
    <w:rsid w:val="003866EC"/>
    <w:rsid w:val="00387743"/>
    <w:rsid w:val="00394476"/>
    <w:rsid w:val="0039581F"/>
    <w:rsid w:val="003A4C70"/>
    <w:rsid w:val="003A4E15"/>
    <w:rsid w:val="003A6A1A"/>
    <w:rsid w:val="003C799C"/>
    <w:rsid w:val="003D4EF6"/>
    <w:rsid w:val="003E1C71"/>
    <w:rsid w:val="003F31A3"/>
    <w:rsid w:val="003F327B"/>
    <w:rsid w:val="003F4303"/>
    <w:rsid w:val="003F6F0B"/>
    <w:rsid w:val="004059A7"/>
    <w:rsid w:val="00405E76"/>
    <w:rsid w:val="00406166"/>
    <w:rsid w:val="004105B3"/>
    <w:rsid w:val="00410893"/>
    <w:rsid w:val="00411300"/>
    <w:rsid w:val="00426659"/>
    <w:rsid w:val="00427F43"/>
    <w:rsid w:val="0043088E"/>
    <w:rsid w:val="004335B4"/>
    <w:rsid w:val="004439D8"/>
    <w:rsid w:val="00454B21"/>
    <w:rsid w:val="0045728B"/>
    <w:rsid w:val="00465132"/>
    <w:rsid w:val="00480C90"/>
    <w:rsid w:val="0048396F"/>
    <w:rsid w:val="004851DC"/>
    <w:rsid w:val="00493C18"/>
    <w:rsid w:val="00494CDC"/>
    <w:rsid w:val="0049615E"/>
    <w:rsid w:val="004A600C"/>
    <w:rsid w:val="004B1292"/>
    <w:rsid w:val="004B517F"/>
    <w:rsid w:val="004C0468"/>
    <w:rsid w:val="004C0A49"/>
    <w:rsid w:val="004C478D"/>
    <w:rsid w:val="004C5859"/>
    <w:rsid w:val="004D2433"/>
    <w:rsid w:val="004D251C"/>
    <w:rsid w:val="004D2B30"/>
    <w:rsid w:val="004E32E0"/>
    <w:rsid w:val="004E391A"/>
    <w:rsid w:val="004E64C1"/>
    <w:rsid w:val="004E6A2C"/>
    <w:rsid w:val="004E7E3F"/>
    <w:rsid w:val="004F36DE"/>
    <w:rsid w:val="004F4E90"/>
    <w:rsid w:val="004F556C"/>
    <w:rsid w:val="00500775"/>
    <w:rsid w:val="00505740"/>
    <w:rsid w:val="00520D7D"/>
    <w:rsid w:val="00521AE8"/>
    <w:rsid w:val="00526100"/>
    <w:rsid w:val="00526F6B"/>
    <w:rsid w:val="00527180"/>
    <w:rsid w:val="00536719"/>
    <w:rsid w:val="00547A8B"/>
    <w:rsid w:val="00551F6C"/>
    <w:rsid w:val="00552FE5"/>
    <w:rsid w:val="005564A7"/>
    <w:rsid w:val="0056229A"/>
    <w:rsid w:val="0057299C"/>
    <w:rsid w:val="00581B54"/>
    <w:rsid w:val="00587425"/>
    <w:rsid w:val="005D199B"/>
    <w:rsid w:val="005D7B8C"/>
    <w:rsid w:val="005E4698"/>
    <w:rsid w:val="005F3122"/>
    <w:rsid w:val="00606A6D"/>
    <w:rsid w:val="00615ACA"/>
    <w:rsid w:val="00625C35"/>
    <w:rsid w:val="00634E1B"/>
    <w:rsid w:val="00645057"/>
    <w:rsid w:val="00654858"/>
    <w:rsid w:val="006565F4"/>
    <w:rsid w:val="00664078"/>
    <w:rsid w:val="00681AD1"/>
    <w:rsid w:val="0068491A"/>
    <w:rsid w:val="00690A94"/>
    <w:rsid w:val="00690AAA"/>
    <w:rsid w:val="006916D8"/>
    <w:rsid w:val="006928AA"/>
    <w:rsid w:val="00694818"/>
    <w:rsid w:val="006A0FDC"/>
    <w:rsid w:val="006A464F"/>
    <w:rsid w:val="006A56F1"/>
    <w:rsid w:val="006A5D0D"/>
    <w:rsid w:val="006A6146"/>
    <w:rsid w:val="006A614C"/>
    <w:rsid w:val="006B5E6F"/>
    <w:rsid w:val="006B5FF5"/>
    <w:rsid w:val="006C5661"/>
    <w:rsid w:val="006D4790"/>
    <w:rsid w:val="006E6AD3"/>
    <w:rsid w:val="00701759"/>
    <w:rsid w:val="00702C3A"/>
    <w:rsid w:val="00702C6F"/>
    <w:rsid w:val="00706C74"/>
    <w:rsid w:val="007222D4"/>
    <w:rsid w:val="00727D59"/>
    <w:rsid w:val="007313E2"/>
    <w:rsid w:val="00732D49"/>
    <w:rsid w:val="007370CD"/>
    <w:rsid w:val="00742625"/>
    <w:rsid w:val="007450AF"/>
    <w:rsid w:val="00747288"/>
    <w:rsid w:val="00747DD3"/>
    <w:rsid w:val="00752F4E"/>
    <w:rsid w:val="007549C8"/>
    <w:rsid w:val="00755CF6"/>
    <w:rsid w:val="00755D65"/>
    <w:rsid w:val="00762D30"/>
    <w:rsid w:val="00763377"/>
    <w:rsid w:val="00766D14"/>
    <w:rsid w:val="00767A0F"/>
    <w:rsid w:val="007834A8"/>
    <w:rsid w:val="0079085D"/>
    <w:rsid w:val="00791488"/>
    <w:rsid w:val="007A05F6"/>
    <w:rsid w:val="007A2C24"/>
    <w:rsid w:val="007A61DC"/>
    <w:rsid w:val="007A7211"/>
    <w:rsid w:val="007B15F3"/>
    <w:rsid w:val="007B6F4A"/>
    <w:rsid w:val="007D224F"/>
    <w:rsid w:val="007E04C0"/>
    <w:rsid w:val="007E1C47"/>
    <w:rsid w:val="007E337A"/>
    <w:rsid w:val="007E5C70"/>
    <w:rsid w:val="007F2FF5"/>
    <w:rsid w:val="00804FCB"/>
    <w:rsid w:val="008113B5"/>
    <w:rsid w:val="008146A1"/>
    <w:rsid w:val="00814FF6"/>
    <w:rsid w:val="00817190"/>
    <w:rsid w:val="00831F4D"/>
    <w:rsid w:val="008322BD"/>
    <w:rsid w:val="00855307"/>
    <w:rsid w:val="00862CF3"/>
    <w:rsid w:val="00864547"/>
    <w:rsid w:val="00864CF8"/>
    <w:rsid w:val="0087071C"/>
    <w:rsid w:val="00874914"/>
    <w:rsid w:val="00892E1A"/>
    <w:rsid w:val="00893732"/>
    <w:rsid w:val="008958F5"/>
    <w:rsid w:val="00896F61"/>
    <w:rsid w:val="008A6558"/>
    <w:rsid w:val="008A727C"/>
    <w:rsid w:val="008B7CF5"/>
    <w:rsid w:val="008C00FC"/>
    <w:rsid w:val="008C01DA"/>
    <w:rsid w:val="008C2963"/>
    <w:rsid w:val="008C3611"/>
    <w:rsid w:val="008C5DBA"/>
    <w:rsid w:val="008C6A73"/>
    <w:rsid w:val="008D124D"/>
    <w:rsid w:val="008D581E"/>
    <w:rsid w:val="008D657C"/>
    <w:rsid w:val="008E409A"/>
    <w:rsid w:val="008E4DD9"/>
    <w:rsid w:val="008E7B51"/>
    <w:rsid w:val="008F01EE"/>
    <w:rsid w:val="008F16D9"/>
    <w:rsid w:val="008F4307"/>
    <w:rsid w:val="008F78E9"/>
    <w:rsid w:val="00902462"/>
    <w:rsid w:val="009027D9"/>
    <w:rsid w:val="009113B8"/>
    <w:rsid w:val="0091182B"/>
    <w:rsid w:val="00931F70"/>
    <w:rsid w:val="00936388"/>
    <w:rsid w:val="009403F3"/>
    <w:rsid w:val="00940BFC"/>
    <w:rsid w:val="00945714"/>
    <w:rsid w:val="00957FA2"/>
    <w:rsid w:val="00966913"/>
    <w:rsid w:val="00967374"/>
    <w:rsid w:val="00970BD2"/>
    <w:rsid w:val="0097543E"/>
    <w:rsid w:val="0098096A"/>
    <w:rsid w:val="00981DB7"/>
    <w:rsid w:val="00983F3F"/>
    <w:rsid w:val="0098566C"/>
    <w:rsid w:val="00985C69"/>
    <w:rsid w:val="0099079B"/>
    <w:rsid w:val="009A0B94"/>
    <w:rsid w:val="009A6BF8"/>
    <w:rsid w:val="009B0B0F"/>
    <w:rsid w:val="009B2F23"/>
    <w:rsid w:val="009B53E2"/>
    <w:rsid w:val="009B57B3"/>
    <w:rsid w:val="009C6057"/>
    <w:rsid w:val="009D271B"/>
    <w:rsid w:val="009D5663"/>
    <w:rsid w:val="009D5AEB"/>
    <w:rsid w:val="009E09CA"/>
    <w:rsid w:val="009F141B"/>
    <w:rsid w:val="009F383F"/>
    <w:rsid w:val="00A05F0E"/>
    <w:rsid w:val="00A07D6F"/>
    <w:rsid w:val="00A21107"/>
    <w:rsid w:val="00A21B90"/>
    <w:rsid w:val="00A228EA"/>
    <w:rsid w:val="00A24E15"/>
    <w:rsid w:val="00A43AA4"/>
    <w:rsid w:val="00A53B68"/>
    <w:rsid w:val="00A548CB"/>
    <w:rsid w:val="00A6242E"/>
    <w:rsid w:val="00A643E7"/>
    <w:rsid w:val="00A66219"/>
    <w:rsid w:val="00A673D8"/>
    <w:rsid w:val="00A70319"/>
    <w:rsid w:val="00A73C38"/>
    <w:rsid w:val="00A75D06"/>
    <w:rsid w:val="00A76B3C"/>
    <w:rsid w:val="00A81BCA"/>
    <w:rsid w:val="00A81FC4"/>
    <w:rsid w:val="00A93A9C"/>
    <w:rsid w:val="00AC6322"/>
    <w:rsid w:val="00AC6451"/>
    <w:rsid w:val="00AC7437"/>
    <w:rsid w:val="00AC7723"/>
    <w:rsid w:val="00AC7A44"/>
    <w:rsid w:val="00AD0979"/>
    <w:rsid w:val="00AD6764"/>
    <w:rsid w:val="00AE7B4C"/>
    <w:rsid w:val="00AF03C5"/>
    <w:rsid w:val="00AF19AF"/>
    <w:rsid w:val="00AF5056"/>
    <w:rsid w:val="00AF74CD"/>
    <w:rsid w:val="00B000D8"/>
    <w:rsid w:val="00B00F75"/>
    <w:rsid w:val="00B1066A"/>
    <w:rsid w:val="00B145B6"/>
    <w:rsid w:val="00B32B0B"/>
    <w:rsid w:val="00B50C81"/>
    <w:rsid w:val="00B557F8"/>
    <w:rsid w:val="00B572AE"/>
    <w:rsid w:val="00B64972"/>
    <w:rsid w:val="00B665B9"/>
    <w:rsid w:val="00B66DD8"/>
    <w:rsid w:val="00B8098D"/>
    <w:rsid w:val="00B8145D"/>
    <w:rsid w:val="00B815FC"/>
    <w:rsid w:val="00B9203A"/>
    <w:rsid w:val="00B93FBC"/>
    <w:rsid w:val="00B941D1"/>
    <w:rsid w:val="00B97568"/>
    <w:rsid w:val="00BA0574"/>
    <w:rsid w:val="00BB0668"/>
    <w:rsid w:val="00BB4AE8"/>
    <w:rsid w:val="00BD3927"/>
    <w:rsid w:val="00BE024F"/>
    <w:rsid w:val="00BE3968"/>
    <w:rsid w:val="00BE730B"/>
    <w:rsid w:val="00C02092"/>
    <w:rsid w:val="00C02E3D"/>
    <w:rsid w:val="00C057F7"/>
    <w:rsid w:val="00C0663B"/>
    <w:rsid w:val="00C24C8C"/>
    <w:rsid w:val="00C24D91"/>
    <w:rsid w:val="00C26357"/>
    <w:rsid w:val="00C3117B"/>
    <w:rsid w:val="00C35B40"/>
    <w:rsid w:val="00C41596"/>
    <w:rsid w:val="00C43FB3"/>
    <w:rsid w:val="00C4482E"/>
    <w:rsid w:val="00C4595B"/>
    <w:rsid w:val="00C52532"/>
    <w:rsid w:val="00C53F14"/>
    <w:rsid w:val="00C55C2E"/>
    <w:rsid w:val="00C600CF"/>
    <w:rsid w:val="00C6084F"/>
    <w:rsid w:val="00C6287F"/>
    <w:rsid w:val="00C62A66"/>
    <w:rsid w:val="00C62A6F"/>
    <w:rsid w:val="00C6606F"/>
    <w:rsid w:val="00C67C68"/>
    <w:rsid w:val="00C67CA5"/>
    <w:rsid w:val="00C713D5"/>
    <w:rsid w:val="00C71458"/>
    <w:rsid w:val="00C719FB"/>
    <w:rsid w:val="00C71F58"/>
    <w:rsid w:val="00C73118"/>
    <w:rsid w:val="00C73658"/>
    <w:rsid w:val="00C73885"/>
    <w:rsid w:val="00C77613"/>
    <w:rsid w:val="00C828E7"/>
    <w:rsid w:val="00C863FF"/>
    <w:rsid w:val="00C92139"/>
    <w:rsid w:val="00C921DD"/>
    <w:rsid w:val="00C930E1"/>
    <w:rsid w:val="00C96DE6"/>
    <w:rsid w:val="00CA4C8E"/>
    <w:rsid w:val="00CA4D82"/>
    <w:rsid w:val="00CA6391"/>
    <w:rsid w:val="00CD059C"/>
    <w:rsid w:val="00CD1D60"/>
    <w:rsid w:val="00CD64A6"/>
    <w:rsid w:val="00CE3171"/>
    <w:rsid w:val="00CF008A"/>
    <w:rsid w:val="00CF1601"/>
    <w:rsid w:val="00CF3811"/>
    <w:rsid w:val="00CF5A10"/>
    <w:rsid w:val="00D01190"/>
    <w:rsid w:val="00D07343"/>
    <w:rsid w:val="00D2261A"/>
    <w:rsid w:val="00D30B88"/>
    <w:rsid w:val="00D32086"/>
    <w:rsid w:val="00D3351A"/>
    <w:rsid w:val="00D37A3F"/>
    <w:rsid w:val="00D45FCF"/>
    <w:rsid w:val="00D4667A"/>
    <w:rsid w:val="00D46D4D"/>
    <w:rsid w:val="00D510BB"/>
    <w:rsid w:val="00D5435D"/>
    <w:rsid w:val="00D56EF8"/>
    <w:rsid w:val="00D57843"/>
    <w:rsid w:val="00D7012F"/>
    <w:rsid w:val="00D74F2E"/>
    <w:rsid w:val="00D77278"/>
    <w:rsid w:val="00D94944"/>
    <w:rsid w:val="00D97EF7"/>
    <w:rsid w:val="00DA0590"/>
    <w:rsid w:val="00DB3D05"/>
    <w:rsid w:val="00DB697C"/>
    <w:rsid w:val="00DC1788"/>
    <w:rsid w:val="00DC23DF"/>
    <w:rsid w:val="00DC2A26"/>
    <w:rsid w:val="00DE51A0"/>
    <w:rsid w:val="00DE5ACA"/>
    <w:rsid w:val="00DE5BFC"/>
    <w:rsid w:val="00DF0CA8"/>
    <w:rsid w:val="00DF1685"/>
    <w:rsid w:val="00DF3E53"/>
    <w:rsid w:val="00DF49A7"/>
    <w:rsid w:val="00DF594D"/>
    <w:rsid w:val="00DF68FA"/>
    <w:rsid w:val="00DF6E67"/>
    <w:rsid w:val="00E01106"/>
    <w:rsid w:val="00E05B0A"/>
    <w:rsid w:val="00E07EE2"/>
    <w:rsid w:val="00E13E2E"/>
    <w:rsid w:val="00E22A5A"/>
    <w:rsid w:val="00E24573"/>
    <w:rsid w:val="00E31AFE"/>
    <w:rsid w:val="00E377A1"/>
    <w:rsid w:val="00E4458E"/>
    <w:rsid w:val="00E45109"/>
    <w:rsid w:val="00E529A8"/>
    <w:rsid w:val="00E54B02"/>
    <w:rsid w:val="00E6580E"/>
    <w:rsid w:val="00E76F96"/>
    <w:rsid w:val="00E927B7"/>
    <w:rsid w:val="00E96138"/>
    <w:rsid w:val="00E97830"/>
    <w:rsid w:val="00EA03E5"/>
    <w:rsid w:val="00EB58C6"/>
    <w:rsid w:val="00EE0FAF"/>
    <w:rsid w:val="00F00EB7"/>
    <w:rsid w:val="00F11AF6"/>
    <w:rsid w:val="00F20107"/>
    <w:rsid w:val="00F202CA"/>
    <w:rsid w:val="00F223D7"/>
    <w:rsid w:val="00F2258E"/>
    <w:rsid w:val="00F33658"/>
    <w:rsid w:val="00F36AB6"/>
    <w:rsid w:val="00F409CE"/>
    <w:rsid w:val="00F5268A"/>
    <w:rsid w:val="00F649A5"/>
    <w:rsid w:val="00F84DF4"/>
    <w:rsid w:val="00F853FB"/>
    <w:rsid w:val="00F85C97"/>
    <w:rsid w:val="00F934C6"/>
    <w:rsid w:val="00F97837"/>
    <w:rsid w:val="00FA2F67"/>
    <w:rsid w:val="00FA2FE1"/>
    <w:rsid w:val="00FB3AD4"/>
    <w:rsid w:val="00FC606D"/>
    <w:rsid w:val="00FC7E2E"/>
    <w:rsid w:val="00FD068D"/>
    <w:rsid w:val="00FD4F28"/>
    <w:rsid w:val="00FE00F7"/>
    <w:rsid w:val="00FE4B4D"/>
    <w:rsid w:val="00FE6002"/>
    <w:rsid w:val="00FE6593"/>
    <w:rsid w:val="00FE6784"/>
    <w:rsid w:val="00FE68C6"/>
    <w:rsid w:val="00FE6EBB"/>
    <w:rsid w:val="00FF5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251C"/>
    <w:pPr>
      <w:keepNext/>
      <w:keepLines/>
      <w:spacing w:before="200"/>
      <w:ind w:left="720" w:hanging="720"/>
      <w:outlineLvl w:val="2"/>
    </w:pPr>
    <w:rPr>
      <w:rFonts w:asciiTheme="majorHAnsi" w:eastAsiaTheme="majorEastAsia" w:hAnsiTheme="majorHAnsi" w:cstheme="majorBidi"/>
      <w:b/>
      <w:bCs/>
      <w:color w:val="4F81BD" w:themeColor="accent1"/>
      <w:lang w:val="en-CA"/>
    </w:rPr>
  </w:style>
  <w:style w:type="paragraph" w:styleId="Heading4">
    <w:name w:val="heading 4"/>
    <w:basedOn w:val="Normal"/>
    <w:next w:val="Normal"/>
    <w:link w:val="Heading4Char"/>
    <w:uiPriority w:val="9"/>
    <w:semiHidden/>
    <w:unhideWhenUsed/>
    <w:qFormat/>
    <w:rsid w:val="004D251C"/>
    <w:pPr>
      <w:keepNext/>
      <w:keepLines/>
      <w:spacing w:before="200"/>
      <w:ind w:left="864" w:hanging="864"/>
      <w:outlineLvl w:val="3"/>
    </w:pPr>
    <w:rPr>
      <w:rFonts w:asciiTheme="majorHAnsi" w:eastAsiaTheme="majorEastAsia" w:hAnsiTheme="majorHAnsi" w:cstheme="majorBidi"/>
      <w:b/>
      <w:bCs/>
      <w:i/>
      <w:iCs/>
      <w:color w:val="4F81BD" w:themeColor="accent1"/>
      <w:lang w:val="en-CA"/>
    </w:rPr>
  </w:style>
  <w:style w:type="paragraph" w:styleId="Heading5">
    <w:name w:val="heading 5"/>
    <w:basedOn w:val="Normal"/>
    <w:next w:val="Normal"/>
    <w:link w:val="Heading5Char"/>
    <w:uiPriority w:val="9"/>
    <w:semiHidden/>
    <w:unhideWhenUsed/>
    <w:qFormat/>
    <w:rsid w:val="004D251C"/>
    <w:pPr>
      <w:keepNext/>
      <w:keepLines/>
      <w:spacing w:before="200"/>
      <w:ind w:left="1008" w:hanging="1008"/>
      <w:outlineLvl w:val="4"/>
    </w:pPr>
    <w:rPr>
      <w:rFonts w:asciiTheme="majorHAnsi" w:eastAsiaTheme="majorEastAsia" w:hAnsiTheme="majorHAnsi" w:cstheme="majorBidi"/>
      <w:color w:val="243F60" w:themeColor="accent1" w:themeShade="7F"/>
      <w:lang w:val="en-CA"/>
    </w:rPr>
  </w:style>
  <w:style w:type="paragraph" w:styleId="Heading6">
    <w:name w:val="heading 6"/>
    <w:basedOn w:val="Normal"/>
    <w:next w:val="Normal"/>
    <w:link w:val="Heading6Char"/>
    <w:uiPriority w:val="9"/>
    <w:semiHidden/>
    <w:unhideWhenUsed/>
    <w:qFormat/>
    <w:rsid w:val="004D251C"/>
    <w:pPr>
      <w:keepNext/>
      <w:keepLines/>
      <w:spacing w:before="200"/>
      <w:ind w:left="1152" w:hanging="1152"/>
      <w:outlineLvl w:val="5"/>
    </w:pPr>
    <w:rPr>
      <w:rFonts w:asciiTheme="majorHAnsi" w:eastAsiaTheme="majorEastAsia" w:hAnsiTheme="majorHAnsi" w:cstheme="majorBidi"/>
      <w:i/>
      <w:iCs/>
      <w:color w:val="243F60" w:themeColor="accent1" w:themeShade="7F"/>
      <w:lang w:val="en-CA"/>
    </w:rPr>
  </w:style>
  <w:style w:type="paragraph" w:styleId="Heading7">
    <w:name w:val="heading 7"/>
    <w:basedOn w:val="Normal"/>
    <w:next w:val="Normal"/>
    <w:link w:val="Heading7Char"/>
    <w:uiPriority w:val="9"/>
    <w:semiHidden/>
    <w:unhideWhenUsed/>
    <w:qFormat/>
    <w:rsid w:val="004D251C"/>
    <w:pPr>
      <w:keepNext/>
      <w:keepLines/>
      <w:spacing w:before="200"/>
      <w:ind w:left="1296" w:hanging="1296"/>
      <w:outlineLvl w:val="6"/>
    </w:pPr>
    <w:rPr>
      <w:rFonts w:asciiTheme="majorHAnsi" w:eastAsiaTheme="majorEastAsia" w:hAnsiTheme="majorHAnsi" w:cstheme="majorBidi"/>
      <w:i/>
      <w:iCs/>
      <w:color w:val="404040" w:themeColor="text1" w:themeTint="BF"/>
      <w:lang w:val="en-CA"/>
    </w:rPr>
  </w:style>
  <w:style w:type="paragraph" w:styleId="Heading8">
    <w:name w:val="heading 8"/>
    <w:basedOn w:val="Normal"/>
    <w:next w:val="Normal"/>
    <w:link w:val="Heading8Char"/>
    <w:uiPriority w:val="9"/>
    <w:semiHidden/>
    <w:unhideWhenUsed/>
    <w:qFormat/>
    <w:rsid w:val="004D251C"/>
    <w:pPr>
      <w:keepNext/>
      <w:keepLines/>
      <w:spacing w:before="200"/>
      <w:ind w:left="1440" w:hanging="1440"/>
      <w:outlineLvl w:val="7"/>
    </w:pPr>
    <w:rPr>
      <w:rFonts w:asciiTheme="majorHAnsi" w:eastAsiaTheme="majorEastAsia" w:hAnsiTheme="majorHAnsi" w:cstheme="majorBidi"/>
      <w:color w:val="404040" w:themeColor="text1" w:themeTint="BF"/>
      <w:sz w:val="20"/>
      <w:lang w:val="en-CA"/>
    </w:rPr>
  </w:style>
  <w:style w:type="paragraph" w:styleId="Heading9">
    <w:name w:val="heading 9"/>
    <w:basedOn w:val="Normal"/>
    <w:next w:val="Normal"/>
    <w:link w:val="Heading9Char"/>
    <w:uiPriority w:val="9"/>
    <w:semiHidden/>
    <w:unhideWhenUsed/>
    <w:qFormat/>
    <w:rsid w:val="004D251C"/>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57299C"/>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4D251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D251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D251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D251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D251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D251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D251C"/>
    <w:rPr>
      <w:rFonts w:asciiTheme="majorHAnsi" w:eastAsiaTheme="majorEastAsia" w:hAnsiTheme="majorHAnsi" w:cstheme="majorBidi"/>
      <w:i/>
      <w:iCs/>
      <w:color w:val="404040" w:themeColor="text1" w:themeTint="BF"/>
    </w:rPr>
  </w:style>
  <w:style w:type="paragraph" w:customStyle="1" w:styleId="SCCLsocOtherPartyRoleSeparator">
    <w:name w:val="SCC.Lsoc.OtherPartyRoleSeparator"/>
    <w:basedOn w:val="Normal"/>
    <w:next w:val="Normal"/>
    <w:link w:val="SCCLsocOtherPartyRoleSeparatorChar"/>
    <w:rsid w:val="004D251C"/>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4D251C"/>
    <w:rPr>
      <w:rFonts w:eastAsiaTheme="minorHAnsi" w:cstheme="minorBidi"/>
      <w:sz w:val="24"/>
      <w:szCs w:val="22"/>
      <w:lang w:eastAsia="en-US"/>
    </w:rPr>
  </w:style>
  <w:style w:type="character" w:customStyle="1" w:styleId="SCCBanSummaryChar">
    <w:name w:val="SCC.BanSummary Char"/>
    <w:basedOn w:val="DefaultParagraphFont"/>
    <w:link w:val="SCCBanSummary"/>
    <w:rsid w:val="004D251C"/>
    <w:rPr>
      <w:b/>
      <w:sz w:val="24"/>
      <w:lang w:val="fr-CA"/>
    </w:rPr>
  </w:style>
  <w:style w:type="table" w:styleId="TableGrid">
    <w:name w:val="Table Grid"/>
    <w:basedOn w:val="TableNormal"/>
    <w:uiPriority w:val="59"/>
    <w:rsid w:val="004D25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D251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D251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4D251C"/>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4D251C"/>
    <w:pPr>
      <w:keepNext/>
      <w:tabs>
        <w:tab w:val="left" w:pos="360"/>
      </w:tabs>
      <w:spacing w:after="720"/>
      <w:ind w:left="357" w:hanging="357"/>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4D251C"/>
    <w:rPr>
      <w:rFonts w:eastAsiaTheme="minorEastAsia" w:cstheme="minorBidi"/>
      <w:sz w:val="20"/>
      <w:lang w:val="en-US" w:eastAsia="en-US" w:bidi="en-US"/>
    </w:rPr>
  </w:style>
  <w:style w:type="character" w:customStyle="1" w:styleId="FootnoteTextChar">
    <w:name w:val="Footnote Text Char"/>
    <w:basedOn w:val="DefaultParagraphFont"/>
    <w:link w:val="FootnoteText"/>
    <w:uiPriority w:val="99"/>
    <w:rsid w:val="004D251C"/>
    <w:rPr>
      <w:rFonts w:eastAsiaTheme="minorEastAsia" w:cstheme="minorBidi"/>
      <w:lang w:val="en-US" w:eastAsia="en-US" w:bidi="en-US"/>
    </w:rPr>
  </w:style>
  <w:style w:type="character" w:styleId="FootnoteReference">
    <w:name w:val="footnote reference"/>
    <w:basedOn w:val="DefaultParagraphFont"/>
    <w:semiHidden/>
    <w:unhideWhenUsed/>
    <w:rsid w:val="004D251C"/>
    <w:rPr>
      <w:vertAlign w:val="superscript"/>
    </w:rPr>
  </w:style>
  <w:style w:type="paragraph" w:customStyle="1" w:styleId="SingleProse">
    <w:name w:val="Single Prose"/>
    <w:basedOn w:val="Normal"/>
    <w:qFormat/>
    <w:rsid w:val="004D251C"/>
    <w:pPr>
      <w:spacing w:after="220"/>
      <w:jc w:val="both"/>
    </w:pPr>
    <w:rPr>
      <w:rFonts w:eastAsiaTheme="minorEastAsia" w:cstheme="minorBidi"/>
      <w:szCs w:val="22"/>
      <w:lang w:val="en-CA" w:eastAsia="en-US" w:bidi="en-US"/>
    </w:rPr>
  </w:style>
  <w:style w:type="paragraph" w:styleId="ListParagraph">
    <w:name w:val="List Paragraph"/>
    <w:basedOn w:val="Normal"/>
    <w:uiPriority w:val="34"/>
    <w:qFormat/>
    <w:rsid w:val="004D251C"/>
    <w:pPr>
      <w:ind w:left="720"/>
      <w:contextualSpacing/>
    </w:pPr>
    <w:rPr>
      <w:lang w:val="en-CA"/>
    </w:rPr>
  </w:style>
  <w:style w:type="paragraph" w:customStyle="1" w:styleId="ASubheading">
    <w:name w:val="ASubheading"/>
    <w:basedOn w:val="Heading2"/>
    <w:next w:val="ParaNoNdepar-AltN"/>
    <w:uiPriority w:val="4"/>
    <w:qFormat/>
    <w:rsid w:val="004D251C"/>
    <w:pPr>
      <w:numPr>
        <w:ilvl w:val="1"/>
      </w:numPr>
      <w:ind w:left="576" w:hanging="576"/>
    </w:pPr>
    <w:rPr>
      <w:rFonts w:ascii="Times New Roman" w:hAnsi="Times New Roman" w:cs="Times New Roman"/>
      <w:b w:val="0"/>
      <w:color w:val="auto"/>
      <w:sz w:val="24"/>
      <w:szCs w:val="24"/>
      <w:u w:val="single"/>
      <w:lang w:val="en-CA"/>
    </w:rPr>
  </w:style>
  <w:style w:type="paragraph" w:styleId="DocumentMap">
    <w:name w:val="Document Map"/>
    <w:basedOn w:val="Normal"/>
    <w:link w:val="DocumentMapChar"/>
    <w:uiPriority w:val="99"/>
    <w:semiHidden/>
    <w:unhideWhenUsed/>
    <w:rsid w:val="004D251C"/>
    <w:rPr>
      <w:rFonts w:ascii="Tahoma" w:hAnsi="Tahoma" w:cs="Tahoma"/>
      <w:sz w:val="16"/>
      <w:szCs w:val="16"/>
      <w:lang w:val="en-CA"/>
    </w:rPr>
  </w:style>
  <w:style w:type="character" w:customStyle="1" w:styleId="DocumentMapChar">
    <w:name w:val="Document Map Char"/>
    <w:basedOn w:val="DefaultParagraphFont"/>
    <w:link w:val="DocumentMap"/>
    <w:uiPriority w:val="99"/>
    <w:semiHidden/>
    <w:rsid w:val="004D251C"/>
    <w:rPr>
      <w:rFonts w:ascii="Tahoma" w:hAnsi="Tahoma" w:cs="Tahoma"/>
      <w:sz w:val="16"/>
      <w:szCs w:val="16"/>
    </w:rPr>
  </w:style>
  <w:style w:type="paragraph" w:customStyle="1" w:styleId="SingleParaNo">
    <w:name w:val="Single Para. No."/>
    <w:basedOn w:val="ParaNoNdepar-AltN"/>
    <w:uiPriority w:val="4"/>
    <w:qFormat/>
    <w:rsid w:val="004D251C"/>
    <w:pPr>
      <w:numPr>
        <w:numId w:val="2"/>
      </w:numPr>
      <w:spacing w:before="240" w:after="240" w:line="240" w:lineRule="auto"/>
    </w:pPr>
  </w:style>
  <w:style w:type="paragraph" w:customStyle="1" w:styleId="BlockQuote">
    <w:name w:val="Block Quote"/>
    <w:basedOn w:val="SingleParaNo"/>
    <w:uiPriority w:val="4"/>
    <w:qFormat/>
    <w:rsid w:val="004D251C"/>
    <w:pPr>
      <w:numPr>
        <w:numId w:val="0"/>
      </w:numPr>
      <w:spacing w:before="0"/>
      <w:ind w:left="720"/>
    </w:pPr>
  </w:style>
  <w:style w:type="paragraph" w:customStyle="1" w:styleId="subsection">
    <w:name w:val="subsection"/>
    <w:basedOn w:val="Normal"/>
    <w:rsid w:val="004D251C"/>
    <w:pPr>
      <w:spacing w:before="168" w:after="120"/>
      <w:ind w:firstLine="360"/>
    </w:pPr>
    <w:rPr>
      <w:szCs w:val="24"/>
      <w:lang w:val="en-CA"/>
    </w:rPr>
  </w:style>
  <w:style w:type="paragraph" w:customStyle="1" w:styleId="paragraph">
    <w:name w:val="paragraph"/>
    <w:basedOn w:val="Normal"/>
    <w:rsid w:val="004D251C"/>
    <w:pPr>
      <w:spacing w:before="168" w:after="120"/>
      <w:ind w:left="360"/>
    </w:pPr>
    <w:rPr>
      <w:szCs w:val="24"/>
      <w:lang w:val="en-CA"/>
    </w:rPr>
  </w:style>
  <w:style w:type="character" w:styleId="Hyperlink">
    <w:name w:val="Hyperlink"/>
    <w:basedOn w:val="DefaultParagraphFont"/>
    <w:uiPriority w:val="99"/>
    <w:unhideWhenUsed/>
    <w:rsid w:val="004D251C"/>
    <w:rPr>
      <w:color w:val="0000FF"/>
      <w:u w:val="single"/>
    </w:rPr>
  </w:style>
  <w:style w:type="paragraph" w:customStyle="1" w:styleId="subparagraph">
    <w:name w:val="subparagraph"/>
    <w:basedOn w:val="Normal"/>
    <w:rsid w:val="004D251C"/>
    <w:pPr>
      <w:spacing w:before="168" w:after="120"/>
      <w:ind w:left="720"/>
    </w:pPr>
    <w:rPr>
      <w:rFonts w:eastAsiaTheme="minorHAnsi"/>
      <w:szCs w:val="24"/>
      <w:lang w:eastAsia="fr-CA"/>
    </w:rPr>
  </w:style>
  <w:style w:type="character" w:customStyle="1" w:styleId="sectionlabel">
    <w:name w:val="sectionlabel"/>
    <w:basedOn w:val="DefaultParagraphFont"/>
    <w:rsid w:val="004D251C"/>
    <w:rPr>
      <w:b/>
      <w:bCs/>
    </w:rPr>
  </w:style>
  <w:style w:type="character" w:customStyle="1" w:styleId="cn-invisible1">
    <w:name w:val="cn-invisible1"/>
    <w:basedOn w:val="DefaultParagraphFont"/>
    <w:rsid w:val="004D251C"/>
  </w:style>
  <w:style w:type="character" w:styleId="HTMLCite">
    <w:name w:val="HTML Cite"/>
    <w:basedOn w:val="DefaultParagraphFont"/>
    <w:uiPriority w:val="99"/>
    <w:semiHidden/>
    <w:unhideWhenUsed/>
    <w:rsid w:val="004D251C"/>
    <w:rPr>
      <w:i/>
      <w:iCs/>
    </w:rPr>
  </w:style>
  <w:style w:type="character" w:styleId="HTMLDefinition">
    <w:name w:val="HTML Definition"/>
    <w:basedOn w:val="DefaultParagraphFont"/>
    <w:uiPriority w:val="99"/>
    <w:semiHidden/>
    <w:unhideWhenUsed/>
    <w:rsid w:val="004D251C"/>
    <w:rPr>
      <w:i w:val="0"/>
      <w:iCs w:val="0"/>
    </w:rPr>
  </w:style>
  <w:style w:type="character" w:customStyle="1" w:styleId="ssl21">
    <w:name w:val="ss_l21"/>
    <w:basedOn w:val="DefaultParagraphFont"/>
    <w:rsid w:val="004D251C"/>
    <w:rPr>
      <w:color w:val="000000"/>
      <w:sz w:val="24"/>
      <w:szCs w:val="24"/>
    </w:rPr>
  </w:style>
  <w:style w:type="character" w:customStyle="1" w:styleId="hit">
    <w:name w:val="hit"/>
    <w:basedOn w:val="DefaultParagraphFont"/>
    <w:rsid w:val="004D251C"/>
    <w:rPr>
      <w:color w:val="000000"/>
      <w:shd w:val="clear" w:color="auto" w:fill="FFFF00"/>
    </w:rPr>
  </w:style>
  <w:style w:type="paragraph" w:customStyle="1" w:styleId="subsection1">
    <w:name w:val="subsection1"/>
    <w:basedOn w:val="Normal"/>
    <w:rsid w:val="004D251C"/>
    <w:pPr>
      <w:spacing w:before="75"/>
      <w:ind w:firstLine="360"/>
    </w:pPr>
    <w:rPr>
      <w:szCs w:val="24"/>
      <w:lang w:eastAsia="fr-CA"/>
    </w:rPr>
  </w:style>
  <w:style w:type="character" w:customStyle="1" w:styleId="hit1">
    <w:name w:val="hit1"/>
    <w:basedOn w:val="DefaultParagraphFont"/>
    <w:rsid w:val="004D251C"/>
    <w:rPr>
      <w:b/>
      <w:bCs/>
      <w:color w:val="CC0033"/>
    </w:rPr>
  </w:style>
  <w:style w:type="character" w:customStyle="1" w:styleId="bold1">
    <w:name w:val="bold1"/>
    <w:basedOn w:val="DefaultParagraphFont"/>
    <w:rsid w:val="004D251C"/>
    <w:rPr>
      <w:b/>
      <w:bCs/>
    </w:rPr>
  </w:style>
  <w:style w:type="paragraph" w:styleId="Revision">
    <w:name w:val="Revision"/>
    <w:hidden/>
    <w:uiPriority w:val="99"/>
    <w:semiHidden/>
    <w:rsid w:val="004D251C"/>
    <w:rPr>
      <w:sz w:val="24"/>
    </w:rPr>
  </w:style>
  <w:style w:type="character" w:customStyle="1" w:styleId="title1">
    <w:name w:val="title1"/>
    <w:basedOn w:val="DefaultParagraphFont"/>
    <w:rsid w:val="004D251C"/>
    <w:rPr>
      <w:i w:val="0"/>
      <w:iCs w:val="0"/>
    </w:rPr>
  </w:style>
  <w:style w:type="character" w:customStyle="1" w:styleId="reportcite">
    <w:name w:val="reportcite"/>
    <w:basedOn w:val="DefaultParagraphFont"/>
    <w:rsid w:val="004D251C"/>
  </w:style>
  <w:style w:type="paragraph" w:styleId="NormalWeb">
    <w:name w:val="Normal (Web)"/>
    <w:basedOn w:val="Normal"/>
    <w:uiPriority w:val="99"/>
    <w:semiHidden/>
    <w:unhideWhenUsed/>
    <w:rsid w:val="004D251C"/>
    <w:pPr>
      <w:spacing w:before="100" w:beforeAutospacing="1" w:after="100" w:afterAutospacing="1"/>
    </w:pPr>
    <w:rPr>
      <w:rFonts w:eastAsiaTheme="minorHAnsi" w:cstheme="minorBidi"/>
      <w:szCs w:val="24"/>
      <w:lang w:val="en-US" w:eastAsia="en-US" w:bidi="en-US"/>
    </w:rPr>
  </w:style>
  <w:style w:type="paragraph" w:customStyle="1" w:styleId="loose">
    <w:name w:val="loose"/>
    <w:basedOn w:val="Normal"/>
    <w:rsid w:val="004D251C"/>
    <w:pPr>
      <w:spacing w:before="131"/>
    </w:pPr>
    <w:rPr>
      <w:rFonts w:eastAsiaTheme="minorHAnsi" w:cstheme="minorBidi"/>
      <w:szCs w:val="24"/>
      <w:lang w:val="en-US" w:eastAsia="en-US" w:bidi="en-US"/>
    </w:rPr>
  </w:style>
  <w:style w:type="character" w:customStyle="1" w:styleId="italic1">
    <w:name w:val="italic1"/>
    <w:basedOn w:val="DefaultParagraphFont"/>
    <w:rsid w:val="004D251C"/>
    <w:rPr>
      <w:i/>
      <w:iCs/>
    </w:rPr>
  </w:style>
  <w:style w:type="character" w:styleId="CommentReference">
    <w:name w:val="annotation reference"/>
    <w:basedOn w:val="DefaultParagraphFont"/>
    <w:uiPriority w:val="99"/>
    <w:semiHidden/>
    <w:unhideWhenUsed/>
    <w:rsid w:val="004D251C"/>
    <w:rPr>
      <w:sz w:val="16"/>
      <w:szCs w:val="16"/>
    </w:rPr>
  </w:style>
  <w:style w:type="paragraph" w:styleId="CommentText">
    <w:name w:val="annotation text"/>
    <w:basedOn w:val="Normal"/>
    <w:link w:val="CommentTextChar"/>
    <w:uiPriority w:val="99"/>
    <w:semiHidden/>
    <w:unhideWhenUsed/>
    <w:rsid w:val="004D251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4D251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4D251C"/>
    <w:rPr>
      <w:b/>
      <w:bCs/>
    </w:rPr>
  </w:style>
  <w:style w:type="character" w:customStyle="1" w:styleId="CommentSubjectChar">
    <w:name w:val="Comment Subject Char"/>
    <w:basedOn w:val="CommentTextChar"/>
    <w:link w:val="CommentSubject"/>
    <w:uiPriority w:val="99"/>
    <w:semiHidden/>
    <w:rsid w:val="004D251C"/>
    <w:rPr>
      <w:b/>
      <w:bCs/>
    </w:rPr>
  </w:style>
  <w:style w:type="paragraph" w:customStyle="1" w:styleId="HeadingTitre-AltH">
    <w:name w:val="Heading / Titre - Alt H"/>
    <w:next w:val="Normal"/>
    <w:uiPriority w:val="3"/>
    <w:rsid w:val="004D251C"/>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4D251C"/>
    <w:rPr>
      <w:smallCaps/>
      <w:sz w:val="24"/>
    </w:rPr>
  </w:style>
  <w:style w:type="paragraph" w:styleId="NoSpacing">
    <w:name w:val="No Spacing"/>
    <w:uiPriority w:val="1"/>
    <w:qFormat/>
    <w:rsid w:val="004D251C"/>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4D251C"/>
    <w:pPr>
      <w:outlineLvl w:val="9"/>
    </w:pPr>
    <w:rPr>
      <w:lang w:val="en-US" w:eastAsia="en-US" w:bidi="en-US"/>
    </w:rPr>
  </w:style>
  <w:style w:type="paragraph" w:styleId="Caption">
    <w:name w:val="caption"/>
    <w:basedOn w:val="Normal"/>
    <w:next w:val="Normal"/>
    <w:uiPriority w:val="35"/>
    <w:semiHidden/>
    <w:unhideWhenUsed/>
    <w:qFormat/>
    <w:rsid w:val="004D251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4D25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D251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4D251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D251C"/>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qFormat/>
    <w:rsid w:val="004D251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D251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4D251C"/>
    <w:rPr>
      <w:i/>
      <w:iCs/>
      <w:color w:val="808080" w:themeColor="text1" w:themeTint="7F"/>
    </w:rPr>
  </w:style>
  <w:style w:type="character" w:styleId="IntenseEmphasis">
    <w:name w:val="Intense Emphasis"/>
    <w:basedOn w:val="DefaultParagraphFont"/>
    <w:uiPriority w:val="21"/>
    <w:qFormat/>
    <w:rsid w:val="004D251C"/>
    <w:rPr>
      <w:b/>
      <w:bCs/>
      <w:i/>
      <w:iCs/>
      <w:color w:val="4F81BD" w:themeColor="accent1"/>
    </w:rPr>
  </w:style>
  <w:style w:type="character" w:styleId="SubtleReference">
    <w:name w:val="Subtle Reference"/>
    <w:basedOn w:val="DefaultParagraphFont"/>
    <w:uiPriority w:val="31"/>
    <w:qFormat/>
    <w:rsid w:val="004D251C"/>
    <w:rPr>
      <w:smallCaps/>
      <w:color w:val="C0504D" w:themeColor="accent2"/>
      <w:u w:val="single"/>
    </w:rPr>
  </w:style>
  <w:style w:type="character" w:styleId="IntenseReference">
    <w:name w:val="Intense Reference"/>
    <w:basedOn w:val="DefaultParagraphFont"/>
    <w:uiPriority w:val="32"/>
    <w:qFormat/>
    <w:rsid w:val="004D251C"/>
    <w:rPr>
      <w:b/>
      <w:bCs/>
      <w:smallCaps/>
      <w:color w:val="C0504D" w:themeColor="accent2"/>
      <w:spacing w:val="5"/>
      <w:u w:val="single"/>
    </w:rPr>
  </w:style>
  <w:style w:type="character" w:styleId="BookTitle">
    <w:name w:val="Book Title"/>
    <w:basedOn w:val="DefaultParagraphFont"/>
    <w:uiPriority w:val="33"/>
    <w:qFormat/>
    <w:rsid w:val="004D251C"/>
    <w:rPr>
      <w:b/>
      <w:bCs/>
      <w:smallCaps/>
      <w:spacing w:val="5"/>
    </w:rPr>
  </w:style>
  <w:style w:type="table" w:customStyle="1" w:styleId="TableGrid1">
    <w:name w:val="Table Grid1"/>
    <w:basedOn w:val="TableNormal"/>
    <w:next w:val="TableGrid"/>
    <w:uiPriority w:val="59"/>
    <w:rsid w:val="00A75D0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15639</Words>
  <Characters>86306</Characters>
  <Application>Microsoft Office Word</Application>
  <DocSecurity>0</DocSecurity>
  <Lines>719</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2013-02-07T16:11:00Z</dcterms:created>
  <dcterms:modified xsi:type="dcterms:W3CDTF">2013-07-26T17:41:00Z</dcterms:modified>
</cp:coreProperties>
</file>