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70" w:rsidRPr="000C34E2" w:rsidRDefault="00772D70" w:rsidP="00772D70">
      <w:pPr>
        <w:tabs>
          <w:tab w:val="center" w:pos="4680"/>
          <w:tab w:val="right" w:pos="9360"/>
        </w:tabs>
        <w:jc w:val="center"/>
        <w:rPr>
          <w:rFonts w:eastAsiaTheme="minorHAnsi" w:cstheme="minorBidi"/>
          <w:szCs w:val="24"/>
          <w:lang w:val="fr-CA" w:eastAsia="en-US"/>
        </w:rPr>
      </w:pPr>
      <w:r w:rsidRPr="000C34E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36356190" r:id="rId8"/>
        </w:object>
      </w:r>
    </w:p>
    <w:p w:rsidR="00772D70" w:rsidRPr="000C34E2" w:rsidRDefault="00772D70" w:rsidP="00772D70">
      <w:pPr>
        <w:tabs>
          <w:tab w:val="center" w:pos="4680"/>
          <w:tab w:val="right" w:pos="9360"/>
        </w:tabs>
        <w:rPr>
          <w:rFonts w:eastAsiaTheme="minorHAnsi" w:cstheme="minorBidi"/>
          <w:szCs w:val="24"/>
          <w:lang w:val="fr-CA" w:eastAsia="en-US"/>
        </w:rPr>
      </w:pPr>
    </w:p>
    <w:p w:rsidR="00772D70" w:rsidRPr="000C34E2" w:rsidRDefault="00772D70" w:rsidP="00772D70">
      <w:pPr>
        <w:jc w:val="center"/>
        <w:rPr>
          <w:rFonts w:eastAsiaTheme="minorHAnsi" w:cstheme="minorBidi"/>
          <w:b/>
          <w:szCs w:val="24"/>
          <w:lang w:val="fr-CA" w:eastAsia="en-US"/>
        </w:rPr>
      </w:pPr>
      <w:r w:rsidRPr="000C34E2">
        <w:rPr>
          <w:rFonts w:eastAsiaTheme="minorHAnsi" w:cstheme="minorBidi"/>
          <w:b/>
          <w:szCs w:val="24"/>
          <w:lang w:val="fr-CA" w:eastAsia="en-US"/>
        </w:rPr>
        <w:t>COUR SUPRÊME DU CANADA</w:t>
      </w:r>
    </w:p>
    <w:p w:rsidR="00772D70" w:rsidRPr="000C34E2" w:rsidRDefault="00772D70" w:rsidP="00772D70">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72D70" w:rsidRPr="000C34E2" w:rsidTr="004B1F24">
        <w:trPr>
          <w:cantSplit/>
        </w:trPr>
        <w:tc>
          <w:tcPr>
            <w:tcW w:w="6768" w:type="dxa"/>
          </w:tcPr>
          <w:p w:rsidR="00772D70" w:rsidRPr="00634AED" w:rsidRDefault="00772D70" w:rsidP="004B1F24">
            <w:pPr>
              <w:jc w:val="both"/>
              <w:rPr>
                <w:lang w:val="fr-CA"/>
              </w:rPr>
            </w:pPr>
            <w:r w:rsidRPr="000C34E2">
              <w:rPr>
                <w:b/>
                <w:smallCaps/>
                <w:lang w:val="fr-CA"/>
              </w:rPr>
              <w:t>Référence :</w:t>
            </w:r>
            <w:r w:rsidRPr="000C34E2">
              <w:rPr>
                <w:lang w:val="fr-CA"/>
              </w:rPr>
              <w:t xml:space="preserve"> </w:t>
            </w:r>
            <w:proofErr w:type="spellStart"/>
            <w:r w:rsidRPr="00634AED">
              <w:rPr>
                <w:lang w:val="fr-CA"/>
              </w:rPr>
              <w:t>Sriskandarajah</w:t>
            </w:r>
            <w:proofErr w:type="spellEnd"/>
            <w:r w:rsidRPr="000C34E2">
              <w:rPr>
                <w:lang w:val="fr-CA"/>
              </w:rPr>
              <w:t xml:space="preserve"> </w:t>
            </w:r>
            <w:r w:rsidRPr="000C34E2">
              <w:rPr>
                <w:i/>
                <w:lang w:val="fr-CA"/>
              </w:rPr>
              <w:t>c.</w:t>
            </w:r>
            <w:r w:rsidRPr="000C34E2">
              <w:rPr>
                <w:lang w:val="fr-CA"/>
              </w:rPr>
              <w:t xml:space="preserve"> </w:t>
            </w:r>
            <w:proofErr w:type="spellStart"/>
            <w:r w:rsidRPr="00634AED">
              <w:rPr>
                <w:lang w:val="fr-CA"/>
              </w:rPr>
              <w:t>États</w:t>
            </w:r>
            <w:r w:rsidRPr="00634AED">
              <w:rPr>
                <w:lang w:val="fr-CA"/>
              </w:rPr>
              <w:noBreakHyphen/>
              <w:t>Unis</w:t>
            </w:r>
            <w:proofErr w:type="spellEnd"/>
            <w:r w:rsidRPr="00634AED">
              <w:rPr>
                <w:lang w:val="fr-CA"/>
              </w:rPr>
              <w:t xml:space="preserve"> d’Amérique, </w:t>
            </w:r>
          </w:p>
          <w:p w:rsidR="00772D70" w:rsidRPr="000C34E2" w:rsidRDefault="00772D70" w:rsidP="004B1F24">
            <w:pPr>
              <w:jc w:val="both"/>
              <w:rPr>
                <w:szCs w:val="20"/>
                <w:lang w:val="fr-CA"/>
              </w:rPr>
            </w:pPr>
            <w:r w:rsidRPr="0086141B">
              <w:rPr>
                <w:lang w:val="fr-CA"/>
              </w:rPr>
              <w:t>2012 CSC 70, [2012] 3 R.C.S. 609</w:t>
            </w:r>
          </w:p>
        </w:tc>
        <w:tc>
          <w:tcPr>
            <w:tcW w:w="2808" w:type="dxa"/>
          </w:tcPr>
          <w:p w:rsidR="00772D70" w:rsidRPr="000C34E2" w:rsidRDefault="00772D70" w:rsidP="004B1F24">
            <w:pPr>
              <w:rPr>
                <w:lang w:val="fr-CA"/>
              </w:rPr>
            </w:pPr>
            <w:r w:rsidRPr="000C34E2">
              <w:rPr>
                <w:b/>
                <w:smallCaps/>
                <w:lang w:val="fr-CA"/>
              </w:rPr>
              <w:t>Date :</w:t>
            </w:r>
            <w:r w:rsidRPr="000C34E2">
              <w:rPr>
                <w:lang w:val="fr-CA"/>
              </w:rPr>
              <w:t xml:space="preserve"> 20121214</w:t>
            </w:r>
          </w:p>
          <w:p w:rsidR="00772D70" w:rsidRPr="000C34E2" w:rsidRDefault="00772D70" w:rsidP="004B1F24">
            <w:pPr>
              <w:rPr>
                <w:lang w:val="fr-CA"/>
              </w:rPr>
            </w:pPr>
            <w:r w:rsidRPr="000C34E2">
              <w:rPr>
                <w:b/>
                <w:smallCaps/>
                <w:lang w:val="fr-CA"/>
              </w:rPr>
              <w:t>Dossier :</w:t>
            </w:r>
            <w:r w:rsidRPr="000C34E2">
              <w:rPr>
                <w:lang w:val="fr-CA"/>
              </w:rPr>
              <w:t xml:space="preserve"> 34009, 34013</w:t>
            </w:r>
          </w:p>
        </w:tc>
      </w:tr>
    </w:tbl>
    <w:p w:rsidR="00772D70" w:rsidRPr="000C34E2" w:rsidRDefault="00772D70" w:rsidP="00772D70">
      <w:pPr>
        <w:rPr>
          <w:rFonts w:eastAsiaTheme="minorHAnsi" w:cstheme="minorBidi"/>
          <w:szCs w:val="24"/>
          <w:lang w:val="fr-CA" w:eastAsia="en-US"/>
        </w:rPr>
      </w:pPr>
    </w:p>
    <w:p w:rsidR="00772D70" w:rsidRPr="000C34E2" w:rsidRDefault="00772D70" w:rsidP="00772D70">
      <w:pPr>
        <w:rPr>
          <w:rFonts w:eastAsiaTheme="minorHAnsi" w:cstheme="minorBidi"/>
          <w:b/>
          <w:smallCaps/>
          <w:szCs w:val="24"/>
          <w:lang w:val="fr-CA" w:eastAsia="en-US"/>
        </w:rPr>
      </w:pPr>
      <w:r w:rsidRPr="000C34E2">
        <w:rPr>
          <w:rFonts w:eastAsiaTheme="minorHAnsi" w:cstheme="minorBidi"/>
          <w:b/>
          <w:smallCaps/>
          <w:szCs w:val="24"/>
          <w:lang w:val="fr-CA" w:eastAsia="en-US"/>
        </w:rPr>
        <w:t>Entre :</w:t>
      </w:r>
    </w:p>
    <w:p w:rsidR="00772D70" w:rsidRPr="000C34E2" w:rsidRDefault="00772D70" w:rsidP="00772D70">
      <w:pPr>
        <w:jc w:val="center"/>
        <w:rPr>
          <w:rFonts w:eastAsiaTheme="minorHAnsi" w:cstheme="minorBidi"/>
          <w:b/>
          <w:szCs w:val="24"/>
          <w:lang w:val="fr-CA" w:eastAsia="en-US"/>
        </w:rPr>
      </w:pPr>
      <w:r w:rsidRPr="000C34E2">
        <w:rPr>
          <w:rFonts w:eastAsiaTheme="minorHAnsi" w:cstheme="minorBidi"/>
          <w:b/>
          <w:szCs w:val="24"/>
          <w:lang w:val="fr-CA" w:eastAsia="en-US"/>
        </w:rPr>
        <w:t xml:space="preserve">Suresh </w:t>
      </w:r>
      <w:proofErr w:type="spellStart"/>
      <w:r w:rsidRPr="000C34E2">
        <w:rPr>
          <w:rFonts w:eastAsiaTheme="minorHAnsi" w:cstheme="minorBidi"/>
          <w:b/>
          <w:szCs w:val="24"/>
          <w:lang w:val="fr-CA" w:eastAsia="en-US"/>
        </w:rPr>
        <w:t>Sriskandarajah</w:t>
      </w:r>
      <w:proofErr w:type="spellEnd"/>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Appelant</w:t>
      </w:r>
    </w:p>
    <w:p w:rsidR="00772D70" w:rsidRPr="000C34E2" w:rsidRDefault="00772D70" w:rsidP="00772D70">
      <w:pPr>
        <w:jc w:val="center"/>
        <w:rPr>
          <w:rFonts w:eastAsiaTheme="minorHAnsi" w:cstheme="minorBidi"/>
          <w:szCs w:val="24"/>
          <w:lang w:val="fr-CA" w:eastAsia="en-US"/>
        </w:rPr>
      </w:pPr>
      <w:proofErr w:type="gramStart"/>
      <w:r w:rsidRPr="000C34E2">
        <w:rPr>
          <w:rFonts w:eastAsiaTheme="minorHAnsi" w:cstheme="minorBidi"/>
          <w:szCs w:val="24"/>
          <w:lang w:val="fr-CA" w:eastAsia="en-US"/>
        </w:rPr>
        <w:t>et</w:t>
      </w:r>
      <w:proofErr w:type="gramEnd"/>
    </w:p>
    <w:p w:rsidR="00772D70" w:rsidRPr="000C34E2" w:rsidRDefault="00772D70" w:rsidP="00772D70">
      <w:pPr>
        <w:jc w:val="center"/>
        <w:rPr>
          <w:rFonts w:eastAsiaTheme="minorHAnsi" w:cstheme="minorBidi"/>
          <w:b/>
          <w:szCs w:val="24"/>
          <w:lang w:val="fr-CA" w:eastAsia="en-US"/>
        </w:rPr>
      </w:pPr>
      <w:r w:rsidRPr="000C34E2">
        <w:rPr>
          <w:rFonts w:eastAsiaTheme="minorHAnsi" w:cstheme="minorBidi"/>
          <w:b/>
          <w:szCs w:val="24"/>
          <w:lang w:val="fr-CA" w:eastAsia="en-US"/>
        </w:rPr>
        <w:t>États-Unis d’Amérique, ministre de la Justice et procureur général du Canada</w:t>
      </w:r>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Intimés</w:t>
      </w:r>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 et -</w:t>
      </w:r>
    </w:p>
    <w:p w:rsidR="00772D70" w:rsidRPr="000C34E2" w:rsidRDefault="00772D70" w:rsidP="00772D70">
      <w:pPr>
        <w:jc w:val="center"/>
        <w:rPr>
          <w:rFonts w:eastAsiaTheme="minorHAnsi" w:cstheme="minorBidi"/>
          <w:b/>
          <w:szCs w:val="24"/>
          <w:lang w:val="fr-CA" w:eastAsia="en-US"/>
        </w:rPr>
      </w:pPr>
      <w:r w:rsidRPr="000C34E2">
        <w:rPr>
          <w:rFonts w:eastAsiaTheme="minorHAnsi" w:cstheme="minorBidi"/>
          <w:b/>
          <w:szCs w:val="24"/>
          <w:lang w:val="fr-CA" w:eastAsia="en-US"/>
        </w:rPr>
        <w:t>Procureur général de l’Ontario, Association canadienne des libertés civiles et Association des libertés civiles de la Colombie-Britannique</w:t>
      </w:r>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Intervenants</w:t>
      </w:r>
    </w:p>
    <w:p w:rsidR="00772D70" w:rsidRPr="000C34E2" w:rsidRDefault="00772D70" w:rsidP="00772D70">
      <w:pPr>
        <w:rPr>
          <w:rFonts w:eastAsiaTheme="minorHAnsi" w:cstheme="minorBidi"/>
          <w:b/>
          <w:smallCaps/>
          <w:szCs w:val="24"/>
          <w:lang w:val="fr-CA" w:eastAsia="en-US"/>
        </w:rPr>
      </w:pPr>
      <w:r w:rsidRPr="000C34E2">
        <w:rPr>
          <w:rFonts w:eastAsiaTheme="minorHAnsi" w:cstheme="minorBidi"/>
          <w:b/>
          <w:smallCaps/>
          <w:szCs w:val="24"/>
          <w:lang w:val="fr-CA" w:eastAsia="en-US"/>
        </w:rPr>
        <w:t>Et entre :</w:t>
      </w:r>
    </w:p>
    <w:p w:rsidR="00772D70" w:rsidRPr="000C34E2" w:rsidRDefault="00772D70" w:rsidP="00772D70">
      <w:pPr>
        <w:jc w:val="center"/>
        <w:rPr>
          <w:rFonts w:eastAsiaTheme="minorHAnsi" w:cstheme="minorBidi"/>
          <w:b/>
          <w:szCs w:val="24"/>
          <w:lang w:val="fr-CA" w:eastAsia="en-US"/>
        </w:rPr>
      </w:pPr>
      <w:proofErr w:type="spellStart"/>
      <w:r w:rsidRPr="000C34E2">
        <w:rPr>
          <w:rFonts w:eastAsiaTheme="minorHAnsi" w:cstheme="minorBidi"/>
          <w:b/>
          <w:szCs w:val="24"/>
          <w:lang w:val="fr-CA" w:eastAsia="en-US"/>
        </w:rPr>
        <w:t>Piratheepan</w:t>
      </w:r>
      <w:proofErr w:type="spellEnd"/>
      <w:r w:rsidRPr="000C34E2">
        <w:rPr>
          <w:rFonts w:eastAsiaTheme="minorHAnsi" w:cstheme="minorBidi"/>
          <w:b/>
          <w:szCs w:val="24"/>
          <w:lang w:val="fr-CA" w:eastAsia="en-US"/>
        </w:rPr>
        <w:t xml:space="preserve"> </w:t>
      </w:r>
      <w:proofErr w:type="spellStart"/>
      <w:r w:rsidRPr="000C34E2">
        <w:rPr>
          <w:rFonts w:eastAsiaTheme="minorHAnsi" w:cstheme="minorBidi"/>
          <w:b/>
          <w:szCs w:val="24"/>
          <w:lang w:val="fr-CA" w:eastAsia="en-US"/>
        </w:rPr>
        <w:t>Nadarajah</w:t>
      </w:r>
      <w:proofErr w:type="spellEnd"/>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Appelant</w:t>
      </w:r>
    </w:p>
    <w:p w:rsidR="00772D70" w:rsidRPr="000C34E2" w:rsidRDefault="00772D70" w:rsidP="00772D70">
      <w:pPr>
        <w:jc w:val="center"/>
        <w:rPr>
          <w:rFonts w:eastAsiaTheme="minorHAnsi" w:cstheme="minorBidi"/>
          <w:szCs w:val="24"/>
          <w:lang w:val="fr-CA" w:eastAsia="en-US"/>
        </w:rPr>
      </w:pPr>
      <w:proofErr w:type="gramStart"/>
      <w:r w:rsidRPr="000C34E2">
        <w:rPr>
          <w:rFonts w:eastAsiaTheme="minorHAnsi" w:cstheme="minorBidi"/>
          <w:szCs w:val="24"/>
          <w:lang w:val="fr-CA" w:eastAsia="en-US"/>
        </w:rPr>
        <w:t>et</w:t>
      </w:r>
      <w:proofErr w:type="gramEnd"/>
    </w:p>
    <w:p w:rsidR="00772D70" w:rsidRPr="000C34E2" w:rsidRDefault="00772D70" w:rsidP="00772D70">
      <w:pPr>
        <w:jc w:val="center"/>
        <w:rPr>
          <w:rFonts w:eastAsiaTheme="minorHAnsi" w:cstheme="minorBidi"/>
          <w:b/>
          <w:szCs w:val="24"/>
          <w:lang w:val="fr-CA" w:eastAsia="en-US"/>
        </w:rPr>
      </w:pPr>
      <w:r w:rsidRPr="000C34E2">
        <w:rPr>
          <w:rFonts w:eastAsiaTheme="minorHAnsi" w:cstheme="minorBidi"/>
          <w:b/>
          <w:szCs w:val="24"/>
          <w:lang w:val="fr-CA" w:eastAsia="en-US"/>
        </w:rPr>
        <w:t>États-Unis d’Amérique, ministre de la Justice et procureur général du Canada</w:t>
      </w:r>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Intimés</w:t>
      </w:r>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 et -</w:t>
      </w:r>
    </w:p>
    <w:p w:rsidR="00772D70" w:rsidRPr="000C34E2" w:rsidRDefault="00772D70" w:rsidP="00772D70">
      <w:pPr>
        <w:jc w:val="center"/>
        <w:rPr>
          <w:rFonts w:eastAsiaTheme="minorHAnsi" w:cstheme="minorBidi"/>
          <w:b/>
          <w:szCs w:val="24"/>
          <w:lang w:val="fr-CA" w:eastAsia="en-US"/>
        </w:rPr>
      </w:pPr>
      <w:r w:rsidRPr="000C34E2">
        <w:rPr>
          <w:rFonts w:eastAsiaTheme="minorHAnsi" w:cstheme="minorBidi"/>
          <w:b/>
          <w:szCs w:val="24"/>
          <w:lang w:val="fr-CA" w:eastAsia="en-US"/>
        </w:rPr>
        <w:t xml:space="preserve">Procureur général de l’Ontario, Canadian Civil </w:t>
      </w:r>
      <w:proofErr w:type="spellStart"/>
      <w:r w:rsidRPr="000C34E2">
        <w:rPr>
          <w:rFonts w:eastAsiaTheme="minorHAnsi" w:cstheme="minorBidi"/>
          <w:b/>
          <w:szCs w:val="24"/>
          <w:lang w:val="fr-CA" w:eastAsia="en-US"/>
        </w:rPr>
        <w:t>Liberties</w:t>
      </w:r>
      <w:proofErr w:type="spellEnd"/>
      <w:r w:rsidRPr="000C34E2">
        <w:rPr>
          <w:rFonts w:eastAsiaTheme="minorHAnsi" w:cstheme="minorBidi"/>
          <w:b/>
          <w:szCs w:val="24"/>
          <w:lang w:val="fr-CA" w:eastAsia="en-US"/>
        </w:rPr>
        <w:t xml:space="preserve"> Association et Association des libertés civiles de la Colombie-Britannique</w:t>
      </w:r>
    </w:p>
    <w:p w:rsidR="00772D70" w:rsidRPr="000C34E2" w:rsidRDefault="00772D70" w:rsidP="00772D70">
      <w:pPr>
        <w:jc w:val="center"/>
        <w:rPr>
          <w:rFonts w:eastAsiaTheme="minorHAnsi" w:cstheme="minorBidi"/>
          <w:szCs w:val="24"/>
          <w:lang w:val="fr-CA" w:eastAsia="en-US"/>
        </w:rPr>
      </w:pPr>
      <w:r w:rsidRPr="000C34E2">
        <w:rPr>
          <w:rFonts w:eastAsiaTheme="minorHAnsi" w:cstheme="minorBidi"/>
          <w:szCs w:val="24"/>
          <w:lang w:val="fr-CA" w:eastAsia="en-US"/>
        </w:rPr>
        <w:t>Intervenants</w:t>
      </w:r>
    </w:p>
    <w:p w:rsidR="00772D70" w:rsidRPr="000C34E2" w:rsidRDefault="00772D70" w:rsidP="00772D70">
      <w:pPr>
        <w:rPr>
          <w:rFonts w:eastAsiaTheme="minorHAnsi" w:cstheme="minorBidi"/>
          <w:szCs w:val="24"/>
          <w:lang w:val="fr-CA" w:eastAsia="en-US"/>
        </w:rPr>
      </w:pPr>
    </w:p>
    <w:p w:rsidR="00772D70" w:rsidRPr="000C34E2" w:rsidRDefault="00772D70" w:rsidP="00772D70">
      <w:pPr>
        <w:jc w:val="center"/>
        <w:rPr>
          <w:rFonts w:eastAsiaTheme="minorHAnsi" w:cstheme="minorBidi"/>
          <w:b/>
          <w:smallCaps/>
          <w:szCs w:val="24"/>
          <w:lang w:val="fr-CA" w:eastAsia="en-US"/>
        </w:rPr>
      </w:pPr>
      <w:r w:rsidRPr="000C34E2">
        <w:rPr>
          <w:rFonts w:eastAsiaTheme="minorHAnsi" w:cstheme="minorBidi"/>
          <w:b/>
          <w:smallCaps/>
          <w:szCs w:val="24"/>
          <w:lang w:val="fr-CA" w:eastAsia="en-US"/>
        </w:rPr>
        <w:t>Traduction française officielle</w:t>
      </w:r>
    </w:p>
    <w:p w:rsidR="00772D70" w:rsidRPr="000C34E2" w:rsidRDefault="00772D70" w:rsidP="00772D70">
      <w:pPr>
        <w:rPr>
          <w:rFonts w:eastAsiaTheme="minorHAnsi" w:cstheme="minorBidi"/>
          <w:szCs w:val="24"/>
          <w:lang w:val="fr-CA" w:eastAsia="en-US"/>
        </w:rPr>
      </w:pPr>
    </w:p>
    <w:p w:rsidR="00772D70" w:rsidRPr="000C34E2" w:rsidRDefault="00772D70" w:rsidP="00772D70">
      <w:pPr>
        <w:rPr>
          <w:rFonts w:eastAsiaTheme="minorHAnsi" w:cstheme="minorBidi"/>
          <w:szCs w:val="24"/>
          <w:lang w:val="fr-CA" w:eastAsia="en-US"/>
        </w:rPr>
      </w:pPr>
      <w:r w:rsidRPr="000C34E2">
        <w:rPr>
          <w:rFonts w:eastAsiaTheme="minorHAnsi" w:cstheme="minorBidi"/>
          <w:b/>
          <w:smallCaps/>
          <w:szCs w:val="24"/>
          <w:lang w:val="fr-CA" w:eastAsia="en-US"/>
        </w:rPr>
        <w:t>Coram :</w:t>
      </w:r>
      <w:r w:rsidRPr="000C34E2">
        <w:rPr>
          <w:rFonts w:eastAsiaTheme="minorHAnsi" w:cstheme="minorBidi"/>
          <w:szCs w:val="24"/>
          <w:lang w:val="fr-CA" w:eastAsia="en-US"/>
        </w:rPr>
        <w:t xml:space="preserve"> La juge en chef </w:t>
      </w:r>
      <w:proofErr w:type="spellStart"/>
      <w:r w:rsidRPr="000C34E2">
        <w:rPr>
          <w:rFonts w:eastAsiaTheme="minorHAnsi" w:cstheme="minorBidi"/>
          <w:szCs w:val="24"/>
          <w:lang w:val="fr-CA" w:eastAsia="en-US"/>
        </w:rPr>
        <w:t>McLachlin</w:t>
      </w:r>
      <w:proofErr w:type="spellEnd"/>
      <w:r w:rsidRPr="000C34E2">
        <w:rPr>
          <w:rFonts w:eastAsiaTheme="minorHAnsi" w:cstheme="minorBidi"/>
          <w:szCs w:val="24"/>
          <w:lang w:val="fr-CA" w:eastAsia="en-US"/>
        </w:rPr>
        <w:t xml:space="preserve"> et les juges </w:t>
      </w:r>
      <w:proofErr w:type="spellStart"/>
      <w:r w:rsidRPr="000C34E2">
        <w:rPr>
          <w:rFonts w:eastAsiaTheme="minorHAnsi" w:cstheme="minorBidi"/>
          <w:szCs w:val="24"/>
          <w:lang w:val="fr-CA" w:eastAsia="en-US"/>
        </w:rPr>
        <w:t>LeBel</w:t>
      </w:r>
      <w:proofErr w:type="spellEnd"/>
      <w:r w:rsidRPr="000C34E2">
        <w:rPr>
          <w:rFonts w:eastAsiaTheme="minorHAnsi" w:cstheme="minorBidi"/>
          <w:szCs w:val="24"/>
          <w:lang w:val="fr-CA" w:eastAsia="en-US"/>
        </w:rPr>
        <w:t xml:space="preserve">, Fish, Abella, </w:t>
      </w:r>
      <w:proofErr w:type="spellStart"/>
      <w:r w:rsidRPr="000C34E2">
        <w:rPr>
          <w:rFonts w:eastAsiaTheme="minorHAnsi" w:cstheme="minorBidi"/>
          <w:szCs w:val="24"/>
          <w:lang w:val="fr-CA" w:eastAsia="en-US"/>
        </w:rPr>
        <w:t>Rothstein</w:t>
      </w:r>
      <w:proofErr w:type="spellEnd"/>
      <w:r w:rsidRPr="000C34E2">
        <w:rPr>
          <w:rFonts w:eastAsiaTheme="minorHAnsi" w:cstheme="minorBidi"/>
          <w:szCs w:val="24"/>
          <w:lang w:val="fr-CA" w:eastAsia="en-US"/>
        </w:rPr>
        <w:t xml:space="preserve">, Cromwell et </w:t>
      </w:r>
      <w:proofErr w:type="spellStart"/>
      <w:r w:rsidRPr="000C34E2">
        <w:rPr>
          <w:rFonts w:eastAsiaTheme="minorHAnsi" w:cstheme="minorBidi"/>
          <w:szCs w:val="24"/>
          <w:lang w:val="fr-CA" w:eastAsia="en-US"/>
        </w:rPr>
        <w:t>Karakatsanis</w:t>
      </w:r>
      <w:proofErr w:type="spellEnd"/>
    </w:p>
    <w:p w:rsidR="00772D70" w:rsidRPr="000C34E2" w:rsidRDefault="00772D70" w:rsidP="00772D70">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72D70" w:rsidRPr="00772D70" w:rsidTr="004B1F24">
        <w:trPr>
          <w:cantSplit/>
        </w:trPr>
        <w:tc>
          <w:tcPr>
            <w:tcW w:w="3618" w:type="dxa"/>
          </w:tcPr>
          <w:p w:rsidR="00772D70" w:rsidRPr="000C34E2" w:rsidRDefault="00772D70" w:rsidP="004B1F24">
            <w:pPr>
              <w:rPr>
                <w:b/>
                <w:smallCaps/>
                <w:lang w:val="fr-CA"/>
              </w:rPr>
            </w:pPr>
            <w:r w:rsidRPr="000C34E2">
              <w:rPr>
                <w:b/>
                <w:smallCaps/>
                <w:lang w:val="fr-CA"/>
              </w:rPr>
              <w:t>Motifs de jugement :</w:t>
            </w:r>
          </w:p>
          <w:p w:rsidR="00772D70" w:rsidRPr="000C34E2" w:rsidRDefault="00772D70" w:rsidP="004B1F24">
            <w:pPr>
              <w:rPr>
                <w:lang w:val="fr-CA"/>
              </w:rPr>
            </w:pPr>
            <w:r w:rsidRPr="000C34E2">
              <w:rPr>
                <w:lang w:val="fr-CA"/>
              </w:rPr>
              <w:t>(par. 1 à 37)</w:t>
            </w:r>
          </w:p>
        </w:tc>
        <w:tc>
          <w:tcPr>
            <w:tcW w:w="5958" w:type="dxa"/>
          </w:tcPr>
          <w:p w:rsidR="00772D70" w:rsidRPr="000C34E2" w:rsidRDefault="00772D70" w:rsidP="004B1F24">
            <w:pPr>
              <w:rPr>
                <w:lang w:val="fr-CA"/>
              </w:rPr>
            </w:pPr>
            <w:r w:rsidRPr="000C34E2">
              <w:rPr>
                <w:lang w:val="fr-CA"/>
              </w:rPr>
              <w:t xml:space="preserve">La juge en chef </w:t>
            </w:r>
            <w:proofErr w:type="spellStart"/>
            <w:r w:rsidRPr="000C34E2">
              <w:rPr>
                <w:lang w:val="fr-CA"/>
              </w:rPr>
              <w:t>McLachlin</w:t>
            </w:r>
            <w:proofErr w:type="spellEnd"/>
            <w:r w:rsidRPr="000C34E2">
              <w:rPr>
                <w:lang w:val="fr-CA"/>
              </w:rPr>
              <w:t xml:space="preserve"> (avec l’accord des juges </w:t>
            </w:r>
            <w:proofErr w:type="spellStart"/>
            <w:r w:rsidRPr="000C34E2">
              <w:rPr>
                <w:lang w:val="fr-CA"/>
              </w:rPr>
              <w:t>LeBel</w:t>
            </w:r>
            <w:proofErr w:type="spellEnd"/>
            <w:r w:rsidRPr="000C34E2">
              <w:rPr>
                <w:lang w:val="fr-CA"/>
              </w:rPr>
              <w:t xml:space="preserve">, Fish, Abella, </w:t>
            </w:r>
            <w:proofErr w:type="spellStart"/>
            <w:r w:rsidRPr="000C34E2">
              <w:rPr>
                <w:lang w:val="fr-CA"/>
              </w:rPr>
              <w:t>Rothstein</w:t>
            </w:r>
            <w:proofErr w:type="spellEnd"/>
            <w:r w:rsidRPr="000C34E2">
              <w:rPr>
                <w:lang w:val="fr-CA"/>
              </w:rPr>
              <w:t xml:space="preserve">, Cromwell et </w:t>
            </w:r>
            <w:proofErr w:type="spellStart"/>
            <w:r w:rsidRPr="000C34E2">
              <w:rPr>
                <w:lang w:val="fr-CA"/>
              </w:rPr>
              <w:t>Karakatsanis</w:t>
            </w:r>
            <w:proofErr w:type="spellEnd"/>
            <w:r w:rsidRPr="000C34E2">
              <w:rPr>
                <w:lang w:val="fr-CA"/>
              </w:rPr>
              <w:t>)</w:t>
            </w:r>
          </w:p>
        </w:tc>
      </w:tr>
    </w:tbl>
    <w:p w:rsidR="00772D70" w:rsidRPr="000C34E2" w:rsidRDefault="00772D70" w:rsidP="00772D70">
      <w:pPr>
        <w:rPr>
          <w:rFonts w:eastAsiaTheme="minorHAnsi" w:cstheme="minorBidi"/>
          <w:szCs w:val="24"/>
          <w:lang w:val="fr-CA" w:eastAsia="en-US"/>
        </w:rPr>
      </w:pPr>
    </w:p>
    <w:p w:rsidR="00772D70" w:rsidRPr="000C34E2" w:rsidRDefault="00772D70" w:rsidP="00772D70">
      <w:pPr>
        <w:rPr>
          <w:rFonts w:eastAsiaTheme="minorHAnsi" w:cstheme="minorBidi"/>
          <w:szCs w:val="24"/>
          <w:lang w:val="fr-CA" w:eastAsia="en-US"/>
        </w:rPr>
      </w:pPr>
    </w:p>
    <w:p w:rsidR="00772D70" w:rsidRPr="000C34E2" w:rsidRDefault="00772D70" w:rsidP="00772D70">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72D70" w:rsidRPr="00634AED" w:rsidRDefault="00772D70" w:rsidP="00772D70">
      <w:pPr>
        <w:rPr>
          <w:smallCaps/>
          <w:szCs w:val="24"/>
          <w:lang w:val="fr-CA"/>
        </w:rPr>
      </w:pPr>
      <w:r w:rsidRPr="00634AED">
        <w:rPr>
          <w:smallCaps/>
          <w:szCs w:val="24"/>
          <w:lang w:val="fr-CA"/>
        </w:rPr>
        <w:br w:type="page"/>
      </w:r>
    </w:p>
    <w:p w:rsidR="0086141B" w:rsidRPr="0086141B" w:rsidRDefault="0086141B" w:rsidP="0086141B">
      <w:pPr>
        <w:spacing w:after="720"/>
        <w:jc w:val="both"/>
        <w:rPr>
          <w:szCs w:val="24"/>
          <w:lang w:val="fr-CA"/>
        </w:rPr>
      </w:pPr>
      <w:proofErr w:type="spellStart"/>
      <w:r w:rsidRPr="0086141B">
        <w:rPr>
          <w:szCs w:val="24"/>
          <w:lang w:val="fr-CA"/>
        </w:rPr>
        <w:lastRenderedPageBreak/>
        <w:t>Sriskandarajah</w:t>
      </w:r>
      <w:proofErr w:type="spellEnd"/>
      <w:r w:rsidRPr="0086141B">
        <w:rPr>
          <w:szCs w:val="24"/>
          <w:lang w:val="fr-CA"/>
        </w:rPr>
        <w:t xml:space="preserve"> </w:t>
      </w:r>
      <w:r w:rsidRPr="0086141B">
        <w:rPr>
          <w:i/>
          <w:szCs w:val="24"/>
          <w:lang w:val="fr-CA"/>
        </w:rPr>
        <w:t>c.</w:t>
      </w:r>
      <w:r w:rsidRPr="0086141B">
        <w:rPr>
          <w:szCs w:val="24"/>
          <w:lang w:val="fr-CA"/>
        </w:rPr>
        <w:t xml:space="preserve"> États</w:t>
      </w:r>
      <w:r>
        <w:rPr>
          <w:szCs w:val="24"/>
          <w:lang w:val="fr-CA"/>
        </w:rPr>
        <w:t>-</w:t>
      </w:r>
      <w:r w:rsidRPr="0086141B">
        <w:rPr>
          <w:szCs w:val="24"/>
          <w:lang w:val="fr-CA"/>
        </w:rPr>
        <w:t>Unis d’Amérique, 2012 CSC 70, [2012] 3 R.C.S. 609</w:t>
      </w:r>
    </w:p>
    <w:p w:rsidR="00E611D8" w:rsidRPr="00852D08" w:rsidRDefault="003679FE" w:rsidP="00314B89">
      <w:pPr>
        <w:pStyle w:val="SCCLsocLastPartyInRole"/>
        <w:rPr>
          <w:szCs w:val="24"/>
          <w:lang w:val="fr-CA"/>
        </w:rPr>
      </w:pPr>
      <w:r w:rsidRPr="00852D08">
        <w:rPr>
          <w:szCs w:val="24"/>
          <w:lang w:val="fr-CA"/>
        </w:rPr>
        <w:t xml:space="preserve">Suresh </w:t>
      </w:r>
      <w:proofErr w:type="spellStart"/>
      <w:r w:rsidRPr="00852D08">
        <w:rPr>
          <w:szCs w:val="24"/>
          <w:lang w:val="fr-CA"/>
        </w:rPr>
        <w:t>Sriskandarajah</w:t>
      </w:r>
      <w:proofErr w:type="spellEnd"/>
      <w:r w:rsidRPr="00852D08">
        <w:rPr>
          <w:rStyle w:val="SCCLsocPartyRole"/>
          <w:szCs w:val="24"/>
          <w:lang w:val="fr-CA"/>
        </w:rPr>
        <w:tab/>
        <w:t>Appelant</w:t>
      </w:r>
    </w:p>
    <w:p w:rsidR="00E611D8" w:rsidRPr="00852D08" w:rsidRDefault="003679FE" w:rsidP="00314B89">
      <w:pPr>
        <w:pStyle w:val="SCCLsocVersus"/>
        <w:rPr>
          <w:szCs w:val="24"/>
          <w:lang w:val="fr-CA"/>
        </w:rPr>
      </w:pPr>
      <w:proofErr w:type="gramStart"/>
      <w:r w:rsidRPr="00852D08">
        <w:rPr>
          <w:szCs w:val="24"/>
          <w:lang w:val="fr-CA"/>
        </w:rPr>
        <w:t>c</w:t>
      </w:r>
      <w:proofErr w:type="gramEnd"/>
      <w:r w:rsidRPr="00852D08">
        <w:rPr>
          <w:szCs w:val="24"/>
          <w:lang w:val="fr-CA"/>
        </w:rPr>
        <w:t>.</w:t>
      </w:r>
    </w:p>
    <w:p w:rsidR="00E611D8" w:rsidRPr="00852D08" w:rsidRDefault="003679FE" w:rsidP="00EF4A1B">
      <w:pPr>
        <w:pStyle w:val="SCCLsocParty"/>
        <w:contextualSpacing/>
        <w:rPr>
          <w:szCs w:val="24"/>
          <w:lang w:val="fr-CA"/>
        </w:rPr>
      </w:pPr>
      <w:proofErr w:type="spellStart"/>
      <w:r w:rsidRPr="00852D08">
        <w:rPr>
          <w:szCs w:val="24"/>
          <w:lang w:val="fr-CA"/>
        </w:rPr>
        <w:t>États</w:t>
      </w:r>
      <w:r w:rsidR="00CC716D" w:rsidRPr="00852D08">
        <w:rPr>
          <w:szCs w:val="24"/>
          <w:lang w:val="fr-CA"/>
        </w:rPr>
        <w:noBreakHyphen/>
      </w:r>
      <w:r w:rsidRPr="00852D08">
        <w:rPr>
          <w:szCs w:val="24"/>
          <w:lang w:val="fr-CA"/>
        </w:rPr>
        <w:t>Unis</w:t>
      </w:r>
      <w:proofErr w:type="spellEnd"/>
      <w:r w:rsidRPr="00852D08">
        <w:rPr>
          <w:szCs w:val="24"/>
          <w:lang w:val="fr-CA"/>
        </w:rPr>
        <w:t xml:space="preserve"> d</w:t>
      </w:r>
      <w:r w:rsidR="009B4529" w:rsidRPr="00852D08">
        <w:rPr>
          <w:szCs w:val="24"/>
          <w:lang w:val="fr-CA"/>
        </w:rPr>
        <w:t>’</w:t>
      </w:r>
      <w:r w:rsidRPr="00852D08">
        <w:rPr>
          <w:szCs w:val="24"/>
          <w:lang w:val="fr-CA"/>
        </w:rPr>
        <w:t>Amérique</w:t>
      </w:r>
      <w:r w:rsidR="00C822DD" w:rsidRPr="00852D08">
        <w:rPr>
          <w:szCs w:val="24"/>
          <w:lang w:val="fr-CA"/>
        </w:rPr>
        <w:t>,</w:t>
      </w:r>
      <w:r w:rsidR="002707BB" w:rsidRPr="00852D08">
        <w:rPr>
          <w:szCs w:val="24"/>
          <w:lang w:val="fr-CA"/>
        </w:rPr>
        <w:t xml:space="preserve"> </w:t>
      </w:r>
      <w:r w:rsidR="00FF29EF" w:rsidRPr="00852D08">
        <w:rPr>
          <w:szCs w:val="24"/>
          <w:lang w:val="fr-CA"/>
        </w:rPr>
        <w:t>m</w:t>
      </w:r>
      <w:r w:rsidRPr="00852D08">
        <w:rPr>
          <w:szCs w:val="24"/>
          <w:lang w:val="fr-CA"/>
        </w:rPr>
        <w:t>inistre de la Justice</w:t>
      </w:r>
      <w:r w:rsidR="002707BB" w:rsidRPr="00852D08">
        <w:rPr>
          <w:szCs w:val="24"/>
          <w:lang w:val="fr-CA"/>
        </w:rPr>
        <w:t xml:space="preserve"> et</w:t>
      </w:r>
    </w:p>
    <w:p w:rsidR="00E611D8" w:rsidRPr="00852D08" w:rsidRDefault="002707BB" w:rsidP="00314B89">
      <w:pPr>
        <w:pStyle w:val="SCCLsocLastPartyInRole"/>
        <w:rPr>
          <w:szCs w:val="24"/>
          <w:lang w:val="fr-CA"/>
        </w:rPr>
      </w:pPr>
      <w:proofErr w:type="gramStart"/>
      <w:r w:rsidRPr="00852D08">
        <w:rPr>
          <w:szCs w:val="24"/>
          <w:lang w:val="fr-CA"/>
        </w:rPr>
        <w:t>p</w:t>
      </w:r>
      <w:r w:rsidR="003679FE" w:rsidRPr="00852D08">
        <w:rPr>
          <w:szCs w:val="24"/>
          <w:lang w:val="fr-CA"/>
        </w:rPr>
        <w:t>rocureur</w:t>
      </w:r>
      <w:proofErr w:type="gramEnd"/>
      <w:r w:rsidR="003679FE" w:rsidRPr="00852D08">
        <w:rPr>
          <w:szCs w:val="24"/>
          <w:lang w:val="fr-CA"/>
        </w:rPr>
        <w:t xml:space="preserve"> général du Canada</w:t>
      </w:r>
      <w:r w:rsidR="003679FE" w:rsidRPr="00852D08">
        <w:rPr>
          <w:rStyle w:val="SCCLsocPartyRole"/>
          <w:szCs w:val="24"/>
          <w:lang w:val="fr-CA"/>
        </w:rPr>
        <w:tab/>
        <w:t>Intimés</w:t>
      </w:r>
    </w:p>
    <w:p w:rsidR="00E611D8" w:rsidRPr="00852D08" w:rsidRDefault="003679FE" w:rsidP="00314B89">
      <w:pPr>
        <w:pStyle w:val="SCCLsocOtherPartySeparator"/>
        <w:rPr>
          <w:szCs w:val="24"/>
          <w:lang w:val="fr-CA"/>
        </w:rPr>
      </w:pPr>
      <w:proofErr w:type="gramStart"/>
      <w:r w:rsidRPr="00852D08">
        <w:rPr>
          <w:szCs w:val="24"/>
          <w:lang w:val="fr-CA"/>
        </w:rPr>
        <w:t>et</w:t>
      </w:r>
      <w:proofErr w:type="gramEnd"/>
    </w:p>
    <w:p w:rsidR="002707BB" w:rsidRPr="00852D08" w:rsidRDefault="003679FE" w:rsidP="00EF4A1B">
      <w:pPr>
        <w:pStyle w:val="SCCLsocParty"/>
        <w:contextualSpacing/>
        <w:rPr>
          <w:szCs w:val="24"/>
          <w:lang w:val="fr-CA"/>
        </w:rPr>
      </w:pPr>
      <w:r w:rsidRPr="00852D08">
        <w:rPr>
          <w:szCs w:val="24"/>
          <w:lang w:val="fr-CA"/>
        </w:rPr>
        <w:t>Procureur général de l</w:t>
      </w:r>
      <w:r w:rsidR="009B4529" w:rsidRPr="00852D08">
        <w:rPr>
          <w:szCs w:val="24"/>
          <w:lang w:val="fr-CA"/>
        </w:rPr>
        <w:t>’</w:t>
      </w:r>
      <w:r w:rsidRPr="00852D08">
        <w:rPr>
          <w:szCs w:val="24"/>
          <w:lang w:val="fr-CA"/>
        </w:rPr>
        <w:t>Ontario,</w:t>
      </w:r>
      <w:r w:rsidR="002707BB" w:rsidRPr="00852D08">
        <w:rPr>
          <w:szCs w:val="24"/>
          <w:lang w:val="fr-CA"/>
        </w:rPr>
        <w:t xml:space="preserve"> </w:t>
      </w:r>
      <w:r w:rsidRPr="00852D08">
        <w:rPr>
          <w:szCs w:val="24"/>
          <w:lang w:val="fr-CA"/>
        </w:rPr>
        <w:t xml:space="preserve">Association </w:t>
      </w:r>
    </w:p>
    <w:p w:rsidR="002707BB" w:rsidRPr="00852D08" w:rsidRDefault="003679FE" w:rsidP="00EF4A1B">
      <w:pPr>
        <w:pStyle w:val="SCCLsocParty"/>
        <w:contextualSpacing/>
        <w:rPr>
          <w:szCs w:val="24"/>
          <w:lang w:val="fr-CA"/>
        </w:rPr>
      </w:pPr>
      <w:proofErr w:type="gramStart"/>
      <w:r w:rsidRPr="00852D08">
        <w:rPr>
          <w:szCs w:val="24"/>
          <w:lang w:val="fr-CA"/>
        </w:rPr>
        <w:t>canadienne</w:t>
      </w:r>
      <w:proofErr w:type="gramEnd"/>
      <w:r w:rsidRPr="00852D08">
        <w:rPr>
          <w:szCs w:val="24"/>
          <w:lang w:val="fr-CA"/>
        </w:rPr>
        <w:t xml:space="preserve"> des libertés civiles</w:t>
      </w:r>
      <w:r w:rsidR="002707BB" w:rsidRPr="00852D08">
        <w:rPr>
          <w:szCs w:val="24"/>
          <w:lang w:val="fr-CA"/>
        </w:rPr>
        <w:t xml:space="preserve"> et </w:t>
      </w:r>
      <w:r w:rsidRPr="00852D08">
        <w:rPr>
          <w:szCs w:val="24"/>
          <w:lang w:val="fr-CA"/>
        </w:rPr>
        <w:t xml:space="preserve">Association </w:t>
      </w:r>
    </w:p>
    <w:p w:rsidR="00E611D8" w:rsidRPr="00852D08" w:rsidRDefault="003679FE" w:rsidP="00314B89">
      <w:pPr>
        <w:pStyle w:val="SCCLsocParty"/>
        <w:spacing w:after="720"/>
        <w:rPr>
          <w:rStyle w:val="SCCLsocPartyRole"/>
          <w:szCs w:val="24"/>
          <w:lang w:val="fr-CA"/>
        </w:rPr>
      </w:pPr>
      <w:proofErr w:type="gramStart"/>
      <w:r w:rsidRPr="00852D08">
        <w:rPr>
          <w:szCs w:val="24"/>
          <w:lang w:val="fr-CA"/>
        </w:rPr>
        <w:t>des</w:t>
      </w:r>
      <w:proofErr w:type="gramEnd"/>
      <w:r w:rsidRPr="00852D08">
        <w:rPr>
          <w:szCs w:val="24"/>
          <w:lang w:val="fr-CA"/>
        </w:rPr>
        <w:t xml:space="preserve"> libertés civiles de la </w:t>
      </w:r>
      <w:proofErr w:type="spellStart"/>
      <w:r w:rsidRPr="00852D08">
        <w:rPr>
          <w:szCs w:val="24"/>
          <w:lang w:val="fr-CA"/>
        </w:rPr>
        <w:t>Colombie</w:t>
      </w:r>
      <w:r w:rsidR="00CC716D" w:rsidRPr="00852D08">
        <w:rPr>
          <w:szCs w:val="24"/>
          <w:lang w:val="fr-CA"/>
        </w:rPr>
        <w:noBreakHyphen/>
      </w:r>
      <w:r w:rsidRPr="00852D08">
        <w:rPr>
          <w:szCs w:val="24"/>
          <w:lang w:val="fr-CA"/>
        </w:rPr>
        <w:t>Britannique</w:t>
      </w:r>
      <w:proofErr w:type="spellEnd"/>
      <w:r w:rsidRPr="00852D08">
        <w:rPr>
          <w:rStyle w:val="SCCLsocPartyRole"/>
          <w:szCs w:val="24"/>
          <w:lang w:val="fr-CA"/>
        </w:rPr>
        <w:tab/>
        <w:t>Intervenants</w:t>
      </w:r>
    </w:p>
    <w:p w:rsidR="00DC1F43" w:rsidRPr="00852D08" w:rsidRDefault="00CC716D" w:rsidP="007220BC">
      <w:pPr>
        <w:spacing w:after="720"/>
        <w:rPr>
          <w:szCs w:val="24"/>
          <w:lang w:val="fr-CA"/>
        </w:rPr>
      </w:pPr>
      <w:r w:rsidRPr="00852D08">
        <w:rPr>
          <w:szCs w:val="24"/>
          <w:lang w:val="fr-CA"/>
        </w:rPr>
        <w:noBreakHyphen/>
      </w:r>
      <w:r w:rsidR="00DC1F43" w:rsidRPr="00852D08">
        <w:rPr>
          <w:szCs w:val="24"/>
          <w:lang w:val="fr-CA"/>
        </w:rPr>
        <w:t xml:space="preserve"> </w:t>
      </w:r>
      <w:proofErr w:type="gramStart"/>
      <w:r w:rsidR="00DC1F43" w:rsidRPr="00852D08">
        <w:rPr>
          <w:szCs w:val="24"/>
          <w:lang w:val="fr-CA"/>
        </w:rPr>
        <w:t>et</w:t>
      </w:r>
      <w:proofErr w:type="gramEnd"/>
      <w:r w:rsidR="00DC1F43" w:rsidRPr="00852D08">
        <w:rPr>
          <w:szCs w:val="24"/>
          <w:lang w:val="fr-CA"/>
        </w:rPr>
        <w:t xml:space="preserve"> </w:t>
      </w:r>
      <w:r w:rsidRPr="00852D08">
        <w:rPr>
          <w:szCs w:val="24"/>
          <w:lang w:val="fr-CA"/>
        </w:rPr>
        <w:noBreakHyphen/>
      </w:r>
    </w:p>
    <w:p w:rsidR="00EF4A1B" w:rsidRPr="00852D08" w:rsidRDefault="00EF4A1B" w:rsidP="00DC1F43">
      <w:pPr>
        <w:pStyle w:val="SCCLsocLastPartyInRole"/>
        <w:spacing w:line="480" w:lineRule="auto"/>
        <w:rPr>
          <w:szCs w:val="24"/>
          <w:lang w:val="fr-CA"/>
        </w:rPr>
      </w:pPr>
      <w:proofErr w:type="spellStart"/>
      <w:r w:rsidRPr="00852D08">
        <w:rPr>
          <w:szCs w:val="24"/>
          <w:lang w:val="fr-CA"/>
        </w:rPr>
        <w:t>Piratheepan</w:t>
      </w:r>
      <w:proofErr w:type="spellEnd"/>
      <w:r w:rsidRPr="00852D08">
        <w:rPr>
          <w:szCs w:val="24"/>
          <w:lang w:val="fr-CA"/>
        </w:rPr>
        <w:t xml:space="preserve"> </w:t>
      </w:r>
      <w:proofErr w:type="spellStart"/>
      <w:r w:rsidRPr="00852D08">
        <w:rPr>
          <w:szCs w:val="24"/>
          <w:lang w:val="fr-CA"/>
        </w:rPr>
        <w:t>Nadarajah</w:t>
      </w:r>
      <w:proofErr w:type="spellEnd"/>
      <w:r w:rsidRPr="00852D08">
        <w:rPr>
          <w:rStyle w:val="SCCLsocPartyRole"/>
          <w:szCs w:val="24"/>
          <w:lang w:val="fr-CA"/>
        </w:rPr>
        <w:tab/>
        <w:t>Appelant</w:t>
      </w:r>
    </w:p>
    <w:p w:rsidR="00EF4A1B" w:rsidRPr="00852D08" w:rsidRDefault="00EF4A1B" w:rsidP="00DC1F43">
      <w:pPr>
        <w:pStyle w:val="SCCLsocVersus"/>
        <w:spacing w:line="480" w:lineRule="auto"/>
        <w:rPr>
          <w:szCs w:val="24"/>
          <w:lang w:val="fr-CA"/>
        </w:rPr>
      </w:pPr>
      <w:proofErr w:type="gramStart"/>
      <w:r w:rsidRPr="00852D08">
        <w:rPr>
          <w:szCs w:val="24"/>
          <w:lang w:val="fr-CA"/>
        </w:rPr>
        <w:t>c</w:t>
      </w:r>
      <w:proofErr w:type="gramEnd"/>
      <w:r w:rsidRPr="00852D08">
        <w:rPr>
          <w:szCs w:val="24"/>
          <w:lang w:val="fr-CA"/>
        </w:rPr>
        <w:t>.</w:t>
      </w:r>
    </w:p>
    <w:p w:rsidR="00EF4A1B" w:rsidRPr="00852D08" w:rsidRDefault="00EF4A1B" w:rsidP="00EF4A1B">
      <w:pPr>
        <w:pStyle w:val="SCCLsocParty"/>
        <w:contextualSpacing/>
        <w:rPr>
          <w:szCs w:val="24"/>
          <w:lang w:val="fr-CA"/>
        </w:rPr>
      </w:pPr>
      <w:proofErr w:type="spellStart"/>
      <w:r w:rsidRPr="00852D08">
        <w:rPr>
          <w:szCs w:val="24"/>
          <w:lang w:val="fr-CA"/>
        </w:rPr>
        <w:t>États</w:t>
      </w:r>
      <w:r w:rsidR="00CC716D" w:rsidRPr="00852D08">
        <w:rPr>
          <w:szCs w:val="24"/>
          <w:lang w:val="fr-CA"/>
        </w:rPr>
        <w:noBreakHyphen/>
      </w:r>
      <w:r w:rsidRPr="00852D08">
        <w:rPr>
          <w:szCs w:val="24"/>
          <w:lang w:val="fr-CA"/>
        </w:rPr>
        <w:t>Unis</w:t>
      </w:r>
      <w:proofErr w:type="spellEnd"/>
      <w:r w:rsidRPr="00852D08">
        <w:rPr>
          <w:szCs w:val="24"/>
          <w:lang w:val="fr-CA"/>
        </w:rPr>
        <w:t xml:space="preserve"> d</w:t>
      </w:r>
      <w:r w:rsidR="009B4529" w:rsidRPr="00852D08">
        <w:rPr>
          <w:szCs w:val="24"/>
          <w:lang w:val="fr-CA"/>
        </w:rPr>
        <w:t>’</w:t>
      </w:r>
      <w:r w:rsidRPr="00852D08">
        <w:rPr>
          <w:szCs w:val="24"/>
          <w:lang w:val="fr-CA"/>
        </w:rPr>
        <w:t>Amérique</w:t>
      </w:r>
      <w:r w:rsidR="00EF1EED" w:rsidRPr="00852D08">
        <w:rPr>
          <w:szCs w:val="24"/>
          <w:lang w:val="fr-CA"/>
        </w:rPr>
        <w:t>,</w:t>
      </w:r>
      <w:r w:rsidR="00F943E5" w:rsidRPr="00852D08">
        <w:rPr>
          <w:szCs w:val="24"/>
          <w:lang w:val="fr-CA"/>
        </w:rPr>
        <w:t xml:space="preserve"> m</w:t>
      </w:r>
      <w:r w:rsidRPr="00852D08">
        <w:rPr>
          <w:szCs w:val="24"/>
          <w:lang w:val="fr-CA"/>
        </w:rPr>
        <w:t xml:space="preserve">inistre de la Justice </w:t>
      </w:r>
    </w:p>
    <w:p w:rsidR="00EF4A1B" w:rsidRPr="00852D08" w:rsidRDefault="00EF4A1B" w:rsidP="00314B89">
      <w:pPr>
        <w:pStyle w:val="SCCLsocParty"/>
        <w:spacing w:after="720"/>
        <w:rPr>
          <w:szCs w:val="24"/>
          <w:lang w:val="fr-CA"/>
        </w:rPr>
      </w:pPr>
      <w:proofErr w:type="gramStart"/>
      <w:r w:rsidRPr="00852D08">
        <w:rPr>
          <w:szCs w:val="24"/>
          <w:lang w:val="fr-CA"/>
        </w:rPr>
        <w:t>et</w:t>
      </w:r>
      <w:proofErr w:type="gramEnd"/>
      <w:r w:rsidRPr="00852D08">
        <w:rPr>
          <w:szCs w:val="24"/>
          <w:lang w:val="fr-CA"/>
        </w:rPr>
        <w:t xml:space="preserve"> procureur général du Canada</w:t>
      </w:r>
      <w:r w:rsidRPr="00852D08">
        <w:rPr>
          <w:rStyle w:val="SCCLsocPartyRole"/>
          <w:szCs w:val="24"/>
          <w:lang w:val="fr-CA"/>
        </w:rPr>
        <w:tab/>
        <w:t>Intimés</w:t>
      </w:r>
    </w:p>
    <w:p w:rsidR="00EF4A1B" w:rsidRPr="00852D08" w:rsidRDefault="00EF4A1B" w:rsidP="00314B89">
      <w:pPr>
        <w:pStyle w:val="SCCLsocOtherPartySeparator"/>
        <w:rPr>
          <w:szCs w:val="24"/>
          <w:lang w:val="fr-CA"/>
        </w:rPr>
      </w:pPr>
      <w:proofErr w:type="gramStart"/>
      <w:r w:rsidRPr="00852D08">
        <w:rPr>
          <w:szCs w:val="24"/>
          <w:lang w:val="fr-CA"/>
        </w:rPr>
        <w:t>et</w:t>
      </w:r>
      <w:proofErr w:type="gramEnd"/>
    </w:p>
    <w:p w:rsidR="00EF4A1B" w:rsidRPr="00852D08" w:rsidRDefault="00EF4A1B" w:rsidP="00EF4A1B">
      <w:pPr>
        <w:pStyle w:val="SCCLsocParty"/>
        <w:contextualSpacing/>
        <w:rPr>
          <w:szCs w:val="24"/>
          <w:lang w:val="fr-CA"/>
        </w:rPr>
      </w:pPr>
      <w:r w:rsidRPr="00852D08">
        <w:rPr>
          <w:szCs w:val="24"/>
          <w:lang w:val="fr-CA"/>
        </w:rPr>
        <w:t>Procureur général de l</w:t>
      </w:r>
      <w:r w:rsidR="009B4529" w:rsidRPr="00852D08">
        <w:rPr>
          <w:szCs w:val="24"/>
          <w:lang w:val="fr-CA"/>
        </w:rPr>
        <w:t>’</w:t>
      </w:r>
      <w:r w:rsidRPr="00852D08">
        <w:rPr>
          <w:szCs w:val="24"/>
          <w:lang w:val="fr-CA"/>
        </w:rPr>
        <w:t xml:space="preserve">Ontario, Association </w:t>
      </w:r>
    </w:p>
    <w:p w:rsidR="00EF4A1B" w:rsidRPr="00852D08" w:rsidRDefault="00EF4A1B" w:rsidP="00EF4A1B">
      <w:pPr>
        <w:pStyle w:val="SCCLsocParty"/>
        <w:contextualSpacing/>
        <w:rPr>
          <w:szCs w:val="24"/>
          <w:lang w:val="fr-CA"/>
        </w:rPr>
      </w:pPr>
      <w:proofErr w:type="gramStart"/>
      <w:r w:rsidRPr="00852D08">
        <w:rPr>
          <w:szCs w:val="24"/>
          <w:lang w:val="fr-CA"/>
        </w:rPr>
        <w:lastRenderedPageBreak/>
        <w:t>canadienne</w:t>
      </w:r>
      <w:proofErr w:type="gramEnd"/>
      <w:r w:rsidRPr="00852D08">
        <w:rPr>
          <w:szCs w:val="24"/>
          <w:lang w:val="fr-CA"/>
        </w:rPr>
        <w:t xml:space="preserve"> des libertés civiles et Association </w:t>
      </w:r>
    </w:p>
    <w:p w:rsidR="00EF4A1B" w:rsidRPr="00852D08" w:rsidRDefault="00EF4A1B" w:rsidP="00314B89">
      <w:pPr>
        <w:pStyle w:val="SCCLsocParty"/>
        <w:spacing w:after="720"/>
        <w:rPr>
          <w:szCs w:val="24"/>
          <w:lang w:val="fr-CA"/>
        </w:rPr>
      </w:pPr>
      <w:proofErr w:type="gramStart"/>
      <w:r w:rsidRPr="00852D08">
        <w:rPr>
          <w:szCs w:val="24"/>
          <w:lang w:val="fr-CA"/>
        </w:rPr>
        <w:t>des</w:t>
      </w:r>
      <w:proofErr w:type="gramEnd"/>
      <w:r w:rsidRPr="00852D08">
        <w:rPr>
          <w:szCs w:val="24"/>
          <w:lang w:val="fr-CA"/>
        </w:rPr>
        <w:t xml:space="preserve"> libertés civiles de la </w:t>
      </w:r>
      <w:proofErr w:type="spellStart"/>
      <w:r w:rsidRPr="00852D08">
        <w:rPr>
          <w:szCs w:val="24"/>
          <w:lang w:val="fr-CA"/>
        </w:rPr>
        <w:t>Colombie</w:t>
      </w:r>
      <w:r w:rsidR="00CC716D" w:rsidRPr="00852D08">
        <w:rPr>
          <w:szCs w:val="24"/>
          <w:lang w:val="fr-CA"/>
        </w:rPr>
        <w:noBreakHyphen/>
      </w:r>
      <w:r w:rsidRPr="00852D08">
        <w:rPr>
          <w:szCs w:val="24"/>
          <w:lang w:val="fr-CA"/>
        </w:rPr>
        <w:t>Britannique</w:t>
      </w:r>
      <w:proofErr w:type="spellEnd"/>
      <w:r w:rsidRPr="00852D08">
        <w:rPr>
          <w:rStyle w:val="SCCLsocPartyRole"/>
          <w:szCs w:val="24"/>
          <w:lang w:val="fr-CA"/>
        </w:rPr>
        <w:tab/>
        <w:t>Intervenants</w:t>
      </w:r>
    </w:p>
    <w:p w:rsidR="004D7D95" w:rsidRPr="00852D08" w:rsidRDefault="004D7D95" w:rsidP="00314B89">
      <w:pPr>
        <w:spacing w:after="720"/>
        <w:jc w:val="both"/>
        <w:rPr>
          <w:b/>
          <w:szCs w:val="24"/>
          <w:lang w:val="fr-CA"/>
        </w:rPr>
      </w:pPr>
      <w:r w:rsidRPr="00852D08">
        <w:rPr>
          <w:b/>
          <w:szCs w:val="24"/>
          <w:lang w:val="fr-CA"/>
        </w:rPr>
        <w:t>Répertorié</w:t>
      </w:r>
      <w:r w:rsidR="00CC716D" w:rsidRPr="00852D08">
        <w:rPr>
          <w:b/>
          <w:szCs w:val="24"/>
          <w:lang w:val="fr-CA"/>
        </w:rPr>
        <w:t> :</w:t>
      </w:r>
      <w:r w:rsidRPr="00852D08">
        <w:rPr>
          <w:b/>
          <w:szCs w:val="24"/>
          <w:lang w:val="fr-CA"/>
        </w:rPr>
        <w:t> </w:t>
      </w:r>
      <w:proofErr w:type="spellStart"/>
      <w:r w:rsidRPr="00852D08">
        <w:rPr>
          <w:b/>
          <w:szCs w:val="24"/>
          <w:lang w:val="fr-CA"/>
        </w:rPr>
        <w:t>Sriskandarajah</w:t>
      </w:r>
      <w:proofErr w:type="spellEnd"/>
      <w:r w:rsidRPr="00852D08">
        <w:rPr>
          <w:b/>
          <w:szCs w:val="24"/>
          <w:lang w:val="fr-CA"/>
        </w:rPr>
        <w:t xml:space="preserve"> </w:t>
      </w:r>
      <w:r w:rsidRPr="00852D08">
        <w:rPr>
          <w:b/>
          <w:i/>
          <w:szCs w:val="24"/>
          <w:lang w:val="fr-CA"/>
        </w:rPr>
        <w:t>c.</w:t>
      </w:r>
      <w:r w:rsidRPr="00852D08">
        <w:rPr>
          <w:b/>
          <w:szCs w:val="24"/>
          <w:lang w:val="fr-CA"/>
        </w:rPr>
        <w:t xml:space="preserve"> </w:t>
      </w:r>
      <w:proofErr w:type="spellStart"/>
      <w:r w:rsidRPr="00852D08">
        <w:rPr>
          <w:b/>
          <w:szCs w:val="24"/>
          <w:lang w:val="fr-CA"/>
        </w:rPr>
        <w:t>États</w:t>
      </w:r>
      <w:r w:rsidR="00CC716D" w:rsidRPr="00852D08">
        <w:rPr>
          <w:b/>
          <w:szCs w:val="24"/>
          <w:lang w:val="fr-CA"/>
        </w:rPr>
        <w:noBreakHyphen/>
      </w:r>
      <w:r w:rsidRPr="00852D08">
        <w:rPr>
          <w:b/>
          <w:szCs w:val="24"/>
          <w:lang w:val="fr-CA"/>
        </w:rPr>
        <w:t>Unis</w:t>
      </w:r>
      <w:proofErr w:type="spellEnd"/>
      <w:r w:rsidRPr="00852D08">
        <w:rPr>
          <w:b/>
          <w:szCs w:val="24"/>
          <w:lang w:val="fr-CA"/>
        </w:rPr>
        <w:t xml:space="preserve"> d</w:t>
      </w:r>
      <w:r w:rsidR="009B4529" w:rsidRPr="00852D08">
        <w:rPr>
          <w:b/>
          <w:szCs w:val="24"/>
          <w:lang w:val="fr-CA"/>
        </w:rPr>
        <w:t>’</w:t>
      </w:r>
      <w:r w:rsidRPr="00852D08">
        <w:rPr>
          <w:b/>
          <w:szCs w:val="24"/>
          <w:lang w:val="fr-CA"/>
        </w:rPr>
        <w:t>Amérique</w:t>
      </w:r>
    </w:p>
    <w:p w:rsidR="004D7D95" w:rsidRPr="00852D08" w:rsidRDefault="00F62639" w:rsidP="00314B89">
      <w:pPr>
        <w:pStyle w:val="SCCSystemYear"/>
        <w:spacing w:after="720"/>
        <w:jc w:val="both"/>
        <w:rPr>
          <w:szCs w:val="24"/>
          <w:lang w:val="fr-CA"/>
        </w:rPr>
      </w:pPr>
      <w:r w:rsidRPr="00852D08">
        <w:rPr>
          <w:szCs w:val="24"/>
          <w:lang w:val="fr-CA"/>
        </w:rPr>
        <w:t>2012</w:t>
      </w:r>
      <w:r w:rsidR="004D7D95" w:rsidRPr="00852D08">
        <w:rPr>
          <w:szCs w:val="24"/>
          <w:lang w:val="fr-CA"/>
        </w:rPr>
        <w:t xml:space="preserve"> CSC </w:t>
      </w:r>
      <w:r w:rsidR="00BF7E14" w:rsidRPr="00852D08">
        <w:rPr>
          <w:szCs w:val="24"/>
          <w:lang w:val="fr-CA"/>
        </w:rPr>
        <w:t>70</w:t>
      </w:r>
    </w:p>
    <w:p w:rsidR="004D7D95" w:rsidRPr="00852D08" w:rsidRDefault="004D7D95" w:rsidP="00314B89">
      <w:pPr>
        <w:spacing w:after="720"/>
        <w:jc w:val="both"/>
        <w:rPr>
          <w:szCs w:val="24"/>
          <w:lang w:val="fr-CA"/>
        </w:rPr>
      </w:pPr>
      <w:r w:rsidRPr="00852D08">
        <w:rPr>
          <w:szCs w:val="24"/>
          <w:lang w:val="fr-CA"/>
        </w:rPr>
        <w:t>N</w:t>
      </w:r>
      <w:r w:rsidRPr="00852D08">
        <w:rPr>
          <w:szCs w:val="24"/>
          <w:vertAlign w:val="superscript"/>
          <w:lang w:val="fr-CA"/>
        </w:rPr>
        <w:t>o</w:t>
      </w:r>
      <w:r w:rsidR="002707BB" w:rsidRPr="00852D08">
        <w:rPr>
          <w:szCs w:val="24"/>
          <w:vertAlign w:val="superscript"/>
          <w:lang w:val="fr-CA"/>
        </w:rPr>
        <w:t>s</w:t>
      </w:r>
      <w:r w:rsidRPr="00852D08">
        <w:rPr>
          <w:szCs w:val="24"/>
          <w:lang w:val="fr-CA"/>
        </w:rPr>
        <w:t xml:space="preserve"> du greffe</w:t>
      </w:r>
      <w:r w:rsidR="00CC716D" w:rsidRPr="00852D08">
        <w:rPr>
          <w:szCs w:val="24"/>
          <w:lang w:val="fr-CA"/>
        </w:rPr>
        <w:t> :</w:t>
      </w:r>
      <w:r w:rsidRPr="00852D08">
        <w:rPr>
          <w:szCs w:val="24"/>
          <w:lang w:val="fr-CA"/>
        </w:rPr>
        <w:t> 34009</w:t>
      </w:r>
      <w:r w:rsidR="002707BB" w:rsidRPr="00852D08">
        <w:rPr>
          <w:szCs w:val="24"/>
          <w:lang w:val="fr-CA"/>
        </w:rPr>
        <w:t>, 34013</w:t>
      </w:r>
      <w:r w:rsidRPr="00852D08">
        <w:rPr>
          <w:szCs w:val="24"/>
          <w:lang w:val="fr-CA"/>
        </w:rPr>
        <w:t>.</w:t>
      </w:r>
    </w:p>
    <w:p w:rsidR="004D7D95" w:rsidRPr="00852D08" w:rsidRDefault="00F62639" w:rsidP="00314B89">
      <w:pPr>
        <w:spacing w:after="720"/>
        <w:jc w:val="both"/>
        <w:rPr>
          <w:szCs w:val="24"/>
          <w:lang w:val="fr-CA"/>
        </w:rPr>
      </w:pPr>
      <w:r w:rsidRPr="00852D08">
        <w:rPr>
          <w:szCs w:val="24"/>
          <w:lang w:val="fr-CA"/>
        </w:rPr>
        <w:t>2012</w:t>
      </w:r>
      <w:r w:rsidR="00CC716D" w:rsidRPr="00852D08">
        <w:rPr>
          <w:szCs w:val="24"/>
          <w:lang w:val="fr-CA"/>
        </w:rPr>
        <w:t> : 11 </w:t>
      </w:r>
      <w:r w:rsidRPr="00852D08">
        <w:rPr>
          <w:szCs w:val="24"/>
          <w:lang w:val="fr-CA"/>
        </w:rPr>
        <w:t>juin</w:t>
      </w:r>
      <w:r w:rsidR="004D7D95" w:rsidRPr="00852D08">
        <w:rPr>
          <w:szCs w:val="24"/>
          <w:lang w:val="fr-CA"/>
        </w:rPr>
        <w:t xml:space="preserve">; </w:t>
      </w:r>
      <w:r w:rsidR="004F321E" w:rsidRPr="00852D08">
        <w:rPr>
          <w:szCs w:val="24"/>
          <w:lang w:val="fr-CA"/>
        </w:rPr>
        <w:t>2012</w:t>
      </w:r>
      <w:r w:rsidR="00CC716D" w:rsidRPr="00852D08">
        <w:rPr>
          <w:szCs w:val="24"/>
          <w:lang w:val="fr-CA"/>
        </w:rPr>
        <w:t> : 14 </w:t>
      </w:r>
      <w:r w:rsidR="004F321E" w:rsidRPr="00852D08">
        <w:rPr>
          <w:szCs w:val="24"/>
          <w:lang w:val="fr-CA"/>
        </w:rPr>
        <w:t>décembre</w:t>
      </w:r>
      <w:r w:rsidR="004D7D95" w:rsidRPr="00852D08">
        <w:rPr>
          <w:szCs w:val="24"/>
          <w:lang w:val="fr-CA"/>
        </w:rPr>
        <w:t>.</w:t>
      </w:r>
    </w:p>
    <w:p w:rsidR="004D7D95" w:rsidRPr="00852D08" w:rsidRDefault="004D7D95" w:rsidP="00314B89">
      <w:pPr>
        <w:spacing w:after="720"/>
        <w:jc w:val="both"/>
        <w:rPr>
          <w:szCs w:val="24"/>
          <w:lang w:val="fr-CA"/>
        </w:rPr>
      </w:pPr>
      <w:r w:rsidRPr="00852D08">
        <w:rPr>
          <w:szCs w:val="24"/>
          <w:lang w:val="fr-CA"/>
        </w:rPr>
        <w:t>Présents</w:t>
      </w:r>
      <w:r w:rsidR="00CC716D" w:rsidRPr="00852D08">
        <w:rPr>
          <w:szCs w:val="24"/>
          <w:lang w:val="fr-CA"/>
        </w:rPr>
        <w:t> :</w:t>
      </w:r>
      <w:r w:rsidRPr="00852D08">
        <w:rPr>
          <w:szCs w:val="24"/>
          <w:lang w:val="fr-CA"/>
        </w:rPr>
        <w:t xml:space="preserve"> La juge en chef </w:t>
      </w:r>
      <w:proofErr w:type="spellStart"/>
      <w:r w:rsidRPr="00852D08">
        <w:rPr>
          <w:szCs w:val="24"/>
          <w:lang w:val="fr-CA"/>
        </w:rPr>
        <w:t>McLachlin</w:t>
      </w:r>
      <w:proofErr w:type="spellEnd"/>
      <w:r w:rsidRPr="00852D08">
        <w:rPr>
          <w:szCs w:val="24"/>
          <w:lang w:val="fr-CA"/>
        </w:rPr>
        <w:t xml:space="preserve"> et les juges </w:t>
      </w:r>
      <w:proofErr w:type="spellStart"/>
      <w:r w:rsidRPr="00852D08">
        <w:rPr>
          <w:szCs w:val="24"/>
          <w:lang w:val="fr-CA"/>
        </w:rPr>
        <w:t>LeBel</w:t>
      </w:r>
      <w:proofErr w:type="spellEnd"/>
      <w:r w:rsidRPr="00852D08">
        <w:rPr>
          <w:szCs w:val="24"/>
          <w:lang w:val="fr-CA"/>
        </w:rPr>
        <w:t xml:space="preserve">, Fish, Abella, </w:t>
      </w:r>
      <w:proofErr w:type="spellStart"/>
      <w:r w:rsidRPr="00852D08">
        <w:rPr>
          <w:szCs w:val="24"/>
          <w:lang w:val="fr-CA"/>
        </w:rPr>
        <w:t>Rothstein</w:t>
      </w:r>
      <w:proofErr w:type="spellEnd"/>
      <w:r w:rsidRPr="00852D08">
        <w:rPr>
          <w:szCs w:val="24"/>
          <w:lang w:val="fr-CA"/>
        </w:rPr>
        <w:t xml:space="preserve">, Cromwell et </w:t>
      </w:r>
      <w:proofErr w:type="spellStart"/>
      <w:r w:rsidRPr="00852D08">
        <w:rPr>
          <w:szCs w:val="24"/>
          <w:lang w:val="fr-CA"/>
        </w:rPr>
        <w:t>Karakatsanis</w:t>
      </w:r>
      <w:proofErr w:type="spellEnd"/>
      <w:r w:rsidRPr="00852D08">
        <w:rPr>
          <w:szCs w:val="24"/>
          <w:lang w:val="fr-CA"/>
        </w:rPr>
        <w:t>.</w:t>
      </w:r>
    </w:p>
    <w:p w:rsidR="004D7D95" w:rsidRPr="00852D08" w:rsidRDefault="004D7D95" w:rsidP="00CC716D">
      <w:pPr>
        <w:pStyle w:val="SCCLowerCourtNameLowercase"/>
        <w:spacing w:after="720" w:line="240" w:lineRule="auto"/>
        <w:rPr>
          <w:szCs w:val="24"/>
          <w:lang w:val="fr-CA"/>
        </w:rPr>
      </w:pPr>
      <w:r w:rsidRPr="00852D08">
        <w:rPr>
          <w:szCs w:val="24"/>
          <w:lang w:val="fr-CA"/>
        </w:rPr>
        <w:t>en appel de la cour d</w:t>
      </w:r>
      <w:r w:rsidR="009B4529" w:rsidRPr="00852D08">
        <w:rPr>
          <w:szCs w:val="24"/>
          <w:lang w:val="fr-CA"/>
        </w:rPr>
        <w:t>’</w:t>
      </w:r>
      <w:r w:rsidRPr="00852D08">
        <w:rPr>
          <w:szCs w:val="24"/>
          <w:lang w:val="fr-CA"/>
        </w:rPr>
        <w:t>appel de l</w:t>
      </w:r>
      <w:r w:rsidR="009B4529" w:rsidRPr="00852D08">
        <w:rPr>
          <w:szCs w:val="24"/>
          <w:lang w:val="fr-CA"/>
        </w:rPr>
        <w:t>’</w:t>
      </w:r>
      <w:r w:rsidRPr="00852D08">
        <w:rPr>
          <w:szCs w:val="24"/>
          <w:lang w:val="fr-CA"/>
        </w:rPr>
        <w:t>ontario</w:t>
      </w:r>
    </w:p>
    <w:p w:rsidR="009A5E60" w:rsidRPr="00852D08" w:rsidRDefault="004D7D95" w:rsidP="009A5E60">
      <w:pPr>
        <w:pStyle w:val="SCCNormalDoubleSpacing"/>
        <w:spacing w:after="480"/>
        <w:rPr>
          <w:i/>
          <w:szCs w:val="24"/>
          <w:lang w:val="fr-CA"/>
        </w:rPr>
      </w:pPr>
      <w:r w:rsidRPr="00852D08">
        <w:rPr>
          <w:szCs w:val="24"/>
          <w:lang w:val="fr-CA"/>
        </w:rPr>
        <w:tab/>
      </w:r>
      <w:r w:rsidR="009A5E60" w:rsidRPr="00852D08">
        <w:rPr>
          <w:i/>
          <w:szCs w:val="24"/>
          <w:lang w:val="fr-CA"/>
        </w:rPr>
        <w:t>Droit constitutionnel — Charte des droits — Liberté de circulation et d</w:t>
      </w:r>
      <w:r w:rsidR="009B4529" w:rsidRPr="00852D08">
        <w:rPr>
          <w:i/>
          <w:szCs w:val="24"/>
          <w:lang w:val="fr-CA"/>
        </w:rPr>
        <w:t>’</w:t>
      </w:r>
      <w:r w:rsidR="009A5E60" w:rsidRPr="00852D08">
        <w:rPr>
          <w:i/>
          <w:szCs w:val="24"/>
          <w:lang w:val="fr-CA"/>
        </w:rPr>
        <w:t>établissement — Extradition — Arrêté</w:t>
      </w:r>
      <w:r w:rsidR="00224956" w:rsidRPr="00852D08">
        <w:rPr>
          <w:i/>
          <w:szCs w:val="24"/>
          <w:lang w:val="fr-CA"/>
        </w:rPr>
        <w:t>s</w:t>
      </w:r>
      <w:r w:rsidR="009A5E60" w:rsidRPr="00852D08">
        <w:rPr>
          <w:i/>
          <w:szCs w:val="24"/>
          <w:lang w:val="fr-CA"/>
        </w:rPr>
        <w:t xml:space="preserve"> </w:t>
      </w:r>
      <w:r w:rsidR="00224956" w:rsidRPr="00852D08">
        <w:rPr>
          <w:i/>
          <w:szCs w:val="24"/>
          <w:lang w:val="fr-CA"/>
        </w:rPr>
        <w:t xml:space="preserve">du </w:t>
      </w:r>
      <w:r w:rsidR="009A5E60" w:rsidRPr="00852D08">
        <w:rPr>
          <w:i/>
          <w:szCs w:val="24"/>
          <w:lang w:val="fr-CA"/>
        </w:rPr>
        <w:t xml:space="preserve">ministre </w:t>
      </w:r>
      <w:r w:rsidR="006F63DC" w:rsidRPr="00852D08">
        <w:rPr>
          <w:i/>
          <w:szCs w:val="24"/>
          <w:lang w:val="fr-CA"/>
        </w:rPr>
        <w:t>extrad</w:t>
      </w:r>
      <w:r w:rsidR="00224956" w:rsidRPr="00852D08">
        <w:rPr>
          <w:i/>
          <w:szCs w:val="24"/>
          <w:lang w:val="fr-CA"/>
        </w:rPr>
        <w:t>ant</w:t>
      </w:r>
      <w:r w:rsidR="006F63DC" w:rsidRPr="00852D08">
        <w:rPr>
          <w:i/>
          <w:szCs w:val="24"/>
          <w:lang w:val="fr-CA"/>
        </w:rPr>
        <w:t xml:space="preserve"> des </w:t>
      </w:r>
      <w:r w:rsidR="009A5E60" w:rsidRPr="00852D08">
        <w:rPr>
          <w:i/>
          <w:szCs w:val="24"/>
          <w:lang w:val="fr-CA"/>
        </w:rPr>
        <w:t xml:space="preserve">citoyens canadiens </w:t>
      </w:r>
      <w:r w:rsidR="006F63DC" w:rsidRPr="00852D08">
        <w:rPr>
          <w:i/>
          <w:szCs w:val="24"/>
          <w:lang w:val="fr-CA"/>
        </w:rPr>
        <w:t xml:space="preserve">vers les </w:t>
      </w:r>
      <w:proofErr w:type="spellStart"/>
      <w:r w:rsidR="006F63DC" w:rsidRPr="00852D08">
        <w:rPr>
          <w:i/>
          <w:szCs w:val="24"/>
          <w:lang w:val="fr-CA"/>
        </w:rPr>
        <w:t>États</w:t>
      </w:r>
      <w:r w:rsidR="00CC716D" w:rsidRPr="00852D08">
        <w:rPr>
          <w:i/>
          <w:szCs w:val="24"/>
          <w:lang w:val="fr-CA"/>
        </w:rPr>
        <w:noBreakHyphen/>
      </w:r>
      <w:r w:rsidR="006F63DC" w:rsidRPr="00852D08">
        <w:rPr>
          <w:i/>
          <w:szCs w:val="24"/>
          <w:lang w:val="fr-CA"/>
        </w:rPr>
        <w:t>Unis</w:t>
      </w:r>
      <w:proofErr w:type="spellEnd"/>
      <w:r w:rsidR="006F63DC" w:rsidRPr="00852D08">
        <w:rPr>
          <w:i/>
          <w:szCs w:val="24"/>
          <w:lang w:val="fr-CA"/>
        </w:rPr>
        <w:t xml:space="preserve"> </w:t>
      </w:r>
      <w:r w:rsidR="009A5E60" w:rsidRPr="00852D08">
        <w:rPr>
          <w:i/>
          <w:szCs w:val="24"/>
          <w:lang w:val="fr-CA"/>
        </w:rPr>
        <w:t xml:space="preserve">afin </w:t>
      </w:r>
      <w:r w:rsidR="006F63DC" w:rsidRPr="00852D08">
        <w:rPr>
          <w:i/>
          <w:szCs w:val="24"/>
          <w:lang w:val="fr-CA"/>
        </w:rPr>
        <w:t>qu</w:t>
      </w:r>
      <w:r w:rsidR="009B4529" w:rsidRPr="00852D08">
        <w:rPr>
          <w:i/>
          <w:szCs w:val="24"/>
          <w:lang w:val="fr-CA"/>
        </w:rPr>
        <w:t>’</w:t>
      </w:r>
      <w:r w:rsidR="006F63DC" w:rsidRPr="00852D08">
        <w:rPr>
          <w:i/>
          <w:szCs w:val="24"/>
          <w:lang w:val="fr-CA"/>
        </w:rPr>
        <w:t xml:space="preserve">ils </w:t>
      </w:r>
      <w:r w:rsidR="009A5E60" w:rsidRPr="00852D08">
        <w:rPr>
          <w:i/>
          <w:szCs w:val="24"/>
          <w:lang w:val="fr-CA"/>
        </w:rPr>
        <w:t>y subi</w:t>
      </w:r>
      <w:r w:rsidR="006F63DC" w:rsidRPr="00852D08">
        <w:rPr>
          <w:i/>
          <w:szCs w:val="24"/>
          <w:lang w:val="fr-CA"/>
        </w:rPr>
        <w:t>ssent</w:t>
      </w:r>
      <w:r w:rsidR="009A5E60" w:rsidRPr="00852D08">
        <w:rPr>
          <w:i/>
          <w:szCs w:val="24"/>
          <w:lang w:val="fr-CA"/>
        </w:rPr>
        <w:t xml:space="preserve"> leu</w:t>
      </w:r>
      <w:r w:rsidR="006F63DC" w:rsidRPr="00852D08">
        <w:rPr>
          <w:i/>
          <w:szCs w:val="24"/>
          <w:lang w:val="fr-CA"/>
        </w:rPr>
        <w:t>rs</w:t>
      </w:r>
      <w:r w:rsidR="009A5E60" w:rsidRPr="00852D08">
        <w:rPr>
          <w:i/>
          <w:szCs w:val="24"/>
          <w:lang w:val="fr-CA"/>
        </w:rPr>
        <w:t xml:space="preserve"> procès </w:t>
      </w:r>
      <w:r w:rsidR="00224956" w:rsidRPr="00852D08">
        <w:rPr>
          <w:i/>
          <w:szCs w:val="24"/>
          <w:lang w:val="fr-CA"/>
        </w:rPr>
        <w:t xml:space="preserve">pour </w:t>
      </w:r>
      <w:r w:rsidR="009A5E60" w:rsidRPr="00852D08">
        <w:rPr>
          <w:i/>
          <w:szCs w:val="24"/>
          <w:lang w:val="fr-CA"/>
        </w:rPr>
        <w:t>terrorisme — L</w:t>
      </w:r>
      <w:r w:rsidR="009B4529" w:rsidRPr="00852D08">
        <w:rPr>
          <w:i/>
          <w:szCs w:val="24"/>
          <w:lang w:val="fr-CA"/>
        </w:rPr>
        <w:t>’</w:t>
      </w:r>
      <w:r w:rsidR="009A5E60" w:rsidRPr="00852D08">
        <w:rPr>
          <w:i/>
          <w:szCs w:val="24"/>
          <w:lang w:val="fr-CA"/>
        </w:rPr>
        <w:t xml:space="preserve">extradition </w:t>
      </w:r>
      <w:proofErr w:type="spellStart"/>
      <w:r w:rsidR="0064211A" w:rsidRPr="00852D08">
        <w:rPr>
          <w:i/>
          <w:szCs w:val="24"/>
          <w:lang w:val="fr-CA"/>
        </w:rPr>
        <w:t>porte</w:t>
      </w:r>
      <w:r w:rsidR="00CC716D" w:rsidRPr="00852D08">
        <w:rPr>
          <w:i/>
          <w:szCs w:val="24"/>
          <w:lang w:val="fr-CA"/>
        </w:rPr>
        <w:noBreakHyphen/>
      </w:r>
      <w:r w:rsidR="009A5E60" w:rsidRPr="00852D08">
        <w:rPr>
          <w:i/>
          <w:szCs w:val="24"/>
          <w:lang w:val="fr-CA"/>
        </w:rPr>
        <w:t>t</w:t>
      </w:r>
      <w:r w:rsidR="00CC716D" w:rsidRPr="00852D08">
        <w:rPr>
          <w:i/>
          <w:szCs w:val="24"/>
          <w:lang w:val="fr-CA"/>
        </w:rPr>
        <w:noBreakHyphen/>
      </w:r>
      <w:r w:rsidR="009A5E60" w:rsidRPr="00852D08">
        <w:rPr>
          <w:i/>
          <w:szCs w:val="24"/>
          <w:lang w:val="fr-CA"/>
        </w:rPr>
        <w:t>elle</w:t>
      </w:r>
      <w:proofErr w:type="spellEnd"/>
      <w:r w:rsidR="009A5E60" w:rsidRPr="00852D08">
        <w:rPr>
          <w:i/>
          <w:szCs w:val="24"/>
          <w:lang w:val="fr-CA"/>
        </w:rPr>
        <w:t xml:space="preserve"> </w:t>
      </w:r>
      <w:r w:rsidR="0064211A" w:rsidRPr="00852D08">
        <w:rPr>
          <w:i/>
          <w:szCs w:val="24"/>
          <w:lang w:val="fr-CA"/>
        </w:rPr>
        <w:t>atteinte a</w:t>
      </w:r>
      <w:r w:rsidR="009A5E60" w:rsidRPr="00852D08">
        <w:rPr>
          <w:i/>
          <w:szCs w:val="24"/>
          <w:lang w:val="fr-CA"/>
        </w:rPr>
        <w:t>u droit de demeurer au Canada lorsque la compétence revendiquée par l</w:t>
      </w:r>
      <w:r w:rsidR="009B4529" w:rsidRPr="00852D08">
        <w:rPr>
          <w:i/>
          <w:szCs w:val="24"/>
          <w:lang w:val="fr-CA"/>
        </w:rPr>
        <w:t>’</w:t>
      </w:r>
      <w:r w:rsidR="009A5E60" w:rsidRPr="00852D08">
        <w:rPr>
          <w:i/>
          <w:szCs w:val="24"/>
          <w:lang w:val="fr-CA"/>
        </w:rPr>
        <w:t>autre État est faible ou que la poursuite pourrait se dérouler au Canada? — Les arrêtés d</w:t>
      </w:r>
      <w:r w:rsidR="009B4529" w:rsidRPr="00852D08">
        <w:rPr>
          <w:i/>
          <w:szCs w:val="24"/>
          <w:lang w:val="fr-CA"/>
        </w:rPr>
        <w:t>’</w:t>
      </w:r>
      <w:r w:rsidR="009A5E60" w:rsidRPr="00852D08">
        <w:rPr>
          <w:i/>
          <w:szCs w:val="24"/>
          <w:lang w:val="fr-CA"/>
        </w:rPr>
        <w:t xml:space="preserve">extradition </w:t>
      </w:r>
      <w:proofErr w:type="spellStart"/>
      <w:r w:rsidR="009A5E60" w:rsidRPr="00852D08">
        <w:rPr>
          <w:i/>
          <w:szCs w:val="24"/>
          <w:lang w:val="fr-CA"/>
        </w:rPr>
        <w:t>sont</w:t>
      </w:r>
      <w:r w:rsidR="00CC716D" w:rsidRPr="00852D08">
        <w:rPr>
          <w:i/>
          <w:szCs w:val="24"/>
          <w:lang w:val="fr-CA"/>
        </w:rPr>
        <w:noBreakHyphen/>
      </w:r>
      <w:r w:rsidR="009A5E60" w:rsidRPr="00852D08">
        <w:rPr>
          <w:i/>
          <w:szCs w:val="24"/>
          <w:lang w:val="fr-CA"/>
        </w:rPr>
        <w:t>ils</w:t>
      </w:r>
      <w:proofErr w:type="spellEnd"/>
      <w:r w:rsidR="009A5E60" w:rsidRPr="00852D08">
        <w:rPr>
          <w:i/>
          <w:szCs w:val="24"/>
          <w:lang w:val="fr-CA"/>
        </w:rPr>
        <w:t xml:space="preserve"> déraisonnables </w:t>
      </w:r>
      <w:r w:rsidR="006F63DC" w:rsidRPr="00852D08">
        <w:rPr>
          <w:i/>
          <w:szCs w:val="24"/>
          <w:lang w:val="fr-CA"/>
        </w:rPr>
        <w:t>au v</w:t>
      </w:r>
      <w:r w:rsidR="009A5E60" w:rsidRPr="00852D08">
        <w:rPr>
          <w:i/>
          <w:szCs w:val="24"/>
          <w:lang w:val="fr-CA"/>
        </w:rPr>
        <w:t>u de la preuve? — Charte canadienne des droits et libertés</w:t>
      </w:r>
      <w:r w:rsidR="00B73864" w:rsidRPr="00852D08">
        <w:rPr>
          <w:i/>
          <w:szCs w:val="24"/>
          <w:lang w:val="fr-CA"/>
        </w:rPr>
        <w:t>,</w:t>
      </w:r>
      <w:r w:rsidR="009A5E60" w:rsidRPr="00852D08">
        <w:rPr>
          <w:i/>
          <w:szCs w:val="24"/>
          <w:lang w:val="fr-CA"/>
        </w:rPr>
        <w:t xml:space="preserve"> </w:t>
      </w:r>
      <w:r w:rsidR="00CC716D" w:rsidRPr="00852D08">
        <w:rPr>
          <w:i/>
          <w:szCs w:val="24"/>
          <w:lang w:val="fr-CA"/>
        </w:rPr>
        <w:t>art. </w:t>
      </w:r>
      <w:r w:rsidR="009A5E60" w:rsidRPr="00852D08">
        <w:rPr>
          <w:i/>
          <w:szCs w:val="24"/>
          <w:lang w:val="fr-CA"/>
        </w:rPr>
        <w:t>6(1)</w:t>
      </w:r>
      <w:r w:rsidR="00B73864" w:rsidRPr="00852D08">
        <w:rPr>
          <w:i/>
          <w:szCs w:val="24"/>
          <w:lang w:val="fr-CA"/>
        </w:rPr>
        <w:t xml:space="preserve"> —</w:t>
      </w:r>
      <w:r w:rsidR="009A5E60" w:rsidRPr="00852D08">
        <w:rPr>
          <w:i/>
          <w:szCs w:val="24"/>
          <w:lang w:val="fr-CA"/>
        </w:rPr>
        <w:t xml:space="preserve"> Loi sur l</w:t>
      </w:r>
      <w:r w:rsidR="009B4529" w:rsidRPr="00852D08">
        <w:rPr>
          <w:i/>
          <w:szCs w:val="24"/>
          <w:lang w:val="fr-CA"/>
        </w:rPr>
        <w:t>’</w:t>
      </w:r>
      <w:r w:rsidR="009A5E60" w:rsidRPr="00852D08">
        <w:rPr>
          <w:i/>
          <w:szCs w:val="24"/>
          <w:lang w:val="fr-CA"/>
        </w:rPr>
        <w:t xml:space="preserve">extradition, L.C. 1999, </w:t>
      </w:r>
      <w:r w:rsidR="00CC716D" w:rsidRPr="00852D08">
        <w:rPr>
          <w:i/>
          <w:szCs w:val="24"/>
          <w:lang w:val="fr-CA"/>
        </w:rPr>
        <w:t>ch. </w:t>
      </w:r>
      <w:r w:rsidR="009A5E60" w:rsidRPr="00852D08">
        <w:rPr>
          <w:i/>
          <w:szCs w:val="24"/>
          <w:lang w:val="fr-CA"/>
        </w:rPr>
        <w:t>18.</w:t>
      </w:r>
    </w:p>
    <w:p w:rsidR="009A5E60" w:rsidRPr="00852D08" w:rsidRDefault="009A5E60" w:rsidP="009A5E60">
      <w:pPr>
        <w:pStyle w:val="SCCNormalDoubleSpacing"/>
        <w:spacing w:after="480"/>
        <w:rPr>
          <w:i/>
          <w:szCs w:val="24"/>
          <w:lang w:val="fr-CA"/>
        </w:rPr>
      </w:pPr>
      <w:r w:rsidRPr="00852D08">
        <w:rPr>
          <w:i/>
          <w:szCs w:val="24"/>
          <w:lang w:val="fr-CA"/>
        </w:rPr>
        <w:lastRenderedPageBreak/>
        <w:tab/>
        <w:t xml:space="preserve">Droit administratif — Justice naturelle — Équité procédurale — Communication par le ministre de tous les documents considérés avant </w:t>
      </w:r>
      <w:r w:rsidR="006F63DC" w:rsidRPr="00852D08">
        <w:rPr>
          <w:i/>
          <w:szCs w:val="24"/>
          <w:lang w:val="fr-CA"/>
        </w:rPr>
        <w:t>de prendre</w:t>
      </w:r>
      <w:r w:rsidRPr="00852D08">
        <w:rPr>
          <w:i/>
          <w:szCs w:val="24"/>
          <w:lang w:val="fr-CA"/>
        </w:rPr>
        <w:t xml:space="preserve"> les arrêtés d</w:t>
      </w:r>
      <w:r w:rsidR="009B4529" w:rsidRPr="00852D08">
        <w:rPr>
          <w:i/>
          <w:szCs w:val="24"/>
          <w:lang w:val="fr-CA"/>
        </w:rPr>
        <w:t>’</w:t>
      </w:r>
      <w:r w:rsidRPr="00852D08">
        <w:rPr>
          <w:i/>
          <w:szCs w:val="24"/>
          <w:lang w:val="fr-CA"/>
        </w:rPr>
        <w:t xml:space="preserve">extradition, </w:t>
      </w:r>
      <w:r w:rsidR="006F63DC" w:rsidRPr="00852D08">
        <w:rPr>
          <w:i/>
          <w:szCs w:val="24"/>
          <w:lang w:val="fr-CA"/>
        </w:rPr>
        <w:t xml:space="preserve">sauf </w:t>
      </w:r>
      <w:r w:rsidRPr="00852D08">
        <w:rPr>
          <w:i/>
          <w:szCs w:val="24"/>
          <w:lang w:val="fr-CA"/>
        </w:rPr>
        <w:t>l</w:t>
      </w:r>
      <w:r w:rsidR="009B4529" w:rsidRPr="00852D08">
        <w:rPr>
          <w:i/>
          <w:szCs w:val="24"/>
          <w:lang w:val="fr-CA"/>
        </w:rPr>
        <w:t>’</w:t>
      </w:r>
      <w:r w:rsidRPr="00852D08">
        <w:rPr>
          <w:i/>
          <w:szCs w:val="24"/>
          <w:lang w:val="fr-CA"/>
        </w:rPr>
        <w:t>avis juridique — L</w:t>
      </w:r>
      <w:r w:rsidR="009B4529" w:rsidRPr="00852D08">
        <w:rPr>
          <w:i/>
          <w:szCs w:val="24"/>
          <w:lang w:val="fr-CA"/>
        </w:rPr>
        <w:t>’</w:t>
      </w:r>
      <w:r w:rsidRPr="00852D08">
        <w:rPr>
          <w:i/>
          <w:szCs w:val="24"/>
          <w:lang w:val="fr-CA"/>
        </w:rPr>
        <w:t>équité procédurale exige</w:t>
      </w:r>
      <w:r w:rsidR="00FB03ED">
        <w:rPr>
          <w:i/>
          <w:szCs w:val="24"/>
          <w:lang w:val="fr-CA"/>
        </w:rPr>
        <w:t>-</w:t>
      </w:r>
      <w:r w:rsidRPr="00852D08">
        <w:rPr>
          <w:i/>
          <w:szCs w:val="24"/>
          <w:lang w:val="fr-CA"/>
        </w:rPr>
        <w:t>t</w:t>
      </w:r>
      <w:r w:rsidR="00FB03ED">
        <w:rPr>
          <w:i/>
          <w:szCs w:val="24"/>
          <w:lang w:val="fr-CA"/>
        </w:rPr>
        <w:t>-</w:t>
      </w:r>
      <w:r w:rsidRPr="00852D08">
        <w:rPr>
          <w:i/>
          <w:szCs w:val="24"/>
          <w:lang w:val="fr-CA"/>
        </w:rPr>
        <w:t>elle du ministre qu</w:t>
      </w:r>
      <w:r w:rsidR="009B4529" w:rsidRPr="00852D08">
        <w:rPr>
          <w:i/>
          <w:szCs w:val="24"/>
          <w:lang w:val="fr-CA"/>
        </w:rPr>
        <w:t>’</w:t>
      </w:r>
      <w:r w:rsidRPr="00852D08">
        <w:rPr>
          <w:i/>
          <w:szCs w:val="24"/>
          <w:lang w:val="fr-CA"/>
        </w:rPr>
        <w:t xml:space="preserve">il obtienne </w:t>
      </w:r>
      <w:r w:rsidR="006F63DC" w:rsidRPr="00852D08">
        <w:rPr>
          <w:i/>
          <w:szCs w:val="24"/>
          <w:lang w:val="fr-CA"/>
        </w:rPr>
        <w:t>puis</w:t>
      </w:r>
      <w:r w:rsidRPr="00852D08">
        <w:rPr>
          <w:i/>
          <w:szCs w:val="24"/>
          <w:lang w:val="fr-CA"/>
        </w:rPr>
        <w:t xml:space="preserve"> communique le rapport </w:t>
      </w:r>
      <w:r w:rsidR="006F63DC" w:rsidRPr="00852D08">
        <w:rPr>
          <w:i/>
          <w:szCs w:val="24"/>
          <w:lang w:val="fr-CA"/>
        </w:rPr>
        <w:t xml:space="preserve">du service </w:t>
      </w:r>
      <w:r w:rsidR="00135F0E" w:rsidRPr="00852D08">
        <w:rPr>
          <w:i/>
          <w:szCs w:val="24"/>
          <w:lang w:val="fr-CA"/>
        </w:rPr>
        <w:t>compétent</w:t>
      </w:r>
      <w:r w:rsidRPr="00852D08">
        <w:rPr>
          <w:i/>
          <w:szCs w:val="24"/>
          <w:lang w:val="fr-CA"/>
        </w:rPr>
        <w:t xml:space="preserve"> sur l</w:t>
      </w:r>
      <w:r w:rsidR="009B4529" w:rsidRPr="00852D08">
        <w:rPr>
          <w:i/>
          <w:szCs w:val="24"/>
          <w:lang w:val="fr-CA"/>
        </w:rPr>
        <w:t>’</w:t>
      </w:r>
      <w:r w:rsidR="006F63DC" w:rsidRPr="00852D08">
        <w:rPr>
          <w:i/>
          <w:szCs w:val="24"/>
          <w:lang w:val="fr-CA"/>
        </w:rPr>
        <w:t>opportunité</w:t>
      </w:r>
      <w:r w:rsidRPr="00852D08">
        <w:rPr>
          <w:i/>
          <w:szCs w:val="24"/>
          <w:lang w:val="fr-CA"/>
        </w:rPr>
        <w:t xml:space="preserve"> de poursui</w:t>
      </w:r>
      <w:r w:rsidR="00224956" w:rsidRPr="00852D08">
        <w:rPr>
          <w:i/>
          <w:szCs w:val="24"/>
          <w:lang w:val="fr-CA"/>
        </w:rPr>
        <w:t>tes</w:t>
      </w:r>
      <w:r w:rsidRPr="00852D08">
        <w:rPr>
          <w:i/>
          <w:szCs w:val="24"/>
          <w:lang w:val="fr-CA"/>
        </w:rPr>
        <w:t xml:space="preserve"> au Canada?</w:t>
      </w:r>
    </w:p>
    <w:p w:rsidR="009A5E60" w:rsidRPr="00852D08" w:rsidRDefault="009A5E60" w:rsidP="009A5E60">
      <w:pPr>
        <w:pStyle w:val="SCCNormalDoubleSpacing"/>
        <w:spacing w:after="480"/>
        <w:rPr>
          <w:szCs w:val="24"/>
          <w:lang w:val="fr-CA"/>
        </w:rPr>
      </w:pPr>
      <w:r w:rsidRPr="00852D08">
        <w:rPr>
          <w:szCs w:val="24"/>
          <w:lang w:val="fr-CA"/>
        </w:rPr>
        <w:tab/>
      </w:r>
      <w:r w:rsidR="0064211A" w:rsidRPr="00852D08">
        <w:rPr>
          <w:szCs w:val="24"/>
          <w:lang w:val="fr-CA"/>
        </w:rPr>
        <w:t>Après que l</w:t>
      </w:r>
      <w:r w:rsidRPr="00852D08">
        <w:rPr>
          <w:szCs w:val="24"/>
          <w:lang w:val="fr-CA"/>
        </w:rPr>
        <w:t>a Cour supérieure de justice de l</w:t>
      </w:r>
      <w:r w:rsidR="009B4529" w:rsidRPr="00852D08">
        <w:rPr>
          <w:szCs w:val="24"/>
          <w:lang w:val="fr-CA"/>
        </w:rPr>
        <w:t>’</w:t>
      </w:r>
      <w:r w:rsidRPr="00852D08">
        <w:rPr>
          <w:szCs w:val="24"/>
          <w:lang w:val="fr-CA"/>
        </w:rPr>
        <w:t xml:space="preserve">Ontario </w:t>
      </w:r>
      <w:r w:rsidR="0064211A" w:rsidRPr="00852D08">
        <w:rPr>
          <w:szCs w:val="24"/>
          <w:lang w:val="fr-CA"/>
        </w:rPr>
        <w:t>eut</w:t>
      </w:r>
      <w:r w:rsidRPr="00852D08">
        <w:rPr>
          <w:szCs w:val="24"/>
          <w:lang w:val="fr-CA"/>
        </w:rPr>
        <w:t xml:space="preserve"> conclu que la preuve était suffisante pour </w:t>
      </w:r>
      <w:r w:rsidR="005975AA" w:rsidRPr="00852D08">
        <w:rPr>
          <w:szCs w:val="24"/>
          <w:lang w:val="fr-CA"/>
        </w:rPr>
        <w:t xml:space="preserve">que </w:t>
      </w:r>
      <w:r w:rsidRPr="00852D08">
        <w:rPr>
          <w:szCs w:val="24"/>
          <w:lang w:val="fr-CA"/>
        </w:rPr>
        <w:t xml:space="preserve">S et N, des citoyens canadiens, </w:t>
      </w:r>
      <w:r w:rsidR="005975AA" w:rsidRPr="00852D08">
        <w:rPr>
          <w:szCs w:val="24"/>
          <w:lang w:val="fr-CA"/>
        </w:rPr>
        <w:t>soient</w:t>
      </w:r>
      <w:r w:rsidRPr="00852D08">
        <w:rPr>
          <w:szCs w:val="24"/>
          <w:lang w:val="fr-CA"/>
        </w:rPr>
        <w:t xml:space="preserve"> extrad</w:t>
      </w:r>
      <w:r w:rsidR="005975AA" w:rsidRPr="00852D08">
        <w:rPr>
          <w:szCs w:val="24"/>
          <w:lang w:val="fr-CA"/>
        </w:rPr>
        <w:t>és</w:t>
      </w:r>
      <w:r w:rsidRPr="00852D08">
        <w:rPr>
          <w:szCs w:val="24"/>
          <w:lang w:val="fr-CA"/>
        </w:rPr>
        <w:t xml:space="preserve"> vers les </w:t>
      </w:r>
      <w:proofErr w:type="spellStart"/>
      <w:r w:rsidRPr="00852D08">
        <w:rPr>
          <w:szCs w:val="24"/>
          <w:lang w:val="fr-CA"/>
        </w:rPr>
        <w:t>États</w:t>
      </w:r>
      <w:r w:rsidR="00CC716D" w:rsidRPr="00852D08">
        <w:rPr>
          <w:szCs w:val="24"/>
          <w:lang w:val="fr-CA"/>
        </w:rPr>
        <w:noBreakHyphen/>
      </w:r>
      <w:r w:rsidRPr="00852D08">
        <w:rPr>
          <w:szCs w:val="24"/>
          <w:lang w:val="fr-CA"/>
        </w:rPr>
        <w:t>Unis</w:t>
      </w:r>
      <w:proofErr w:type="spellEnd"/>
      <w:r w:rsidRPr="00852D08">
        <w:rPr>
          <w:szCs w:val="24"/>
          <w:lang w:val="fr-CA"/>
        </w:rPr>
        <w:t xml:space="preserve"> afin </w:t>
      </w:r>
      <w:r w:rsidR="005975AA" w:rsidRPr="00852D08">
        <w:rPr>
          <w:szCs w:val="24"/>
          <w:lang w:val="fr-CA"/>
        </w:rPr>
        <w:t>d’</w:t>
      </w:r>
      <w:r w:rsidRPr="00852D08">
        <w:rPr>
          <w:szCs w:val="24"/>
          <w:lang w:val="fr-CA"/>
        </w:rPr>
        <w:t>y subi</w:t>
      </w:r>
      <w:r w:rsidR="005975AA" w:rsidRPr="00852D08">
        <w:rPr>
          <w:szCs w:val="24"/>
          <w:lang w:val="fr-CA"/>
        </w:rPr>
        <w:t>r</w:t>
      </w:r>
      <w:r w:rsidRPr="00852D08">
        <w:rPr>
          <w:szCs w:val="24"/>
          <w:lang w:val="fr-CA"/>
        </w:rPr>
        <w:t xml:space="preserve"> leurs procès pour terrorisme par suite du soutien qu</w:t>
      </w:r>
      <w:r w:rsidR="009B4529" w:rsidRPr="00852D08">
        <w:rPr>
          <w:szCs w:val="24"/>
          <w:lang w:val="fr-CA"/>
        </w:rPr>
        <w:t>’</w:t>
      </w:r>
      <w:r w:rsidRPr="00852D08">
        <w:rPr>
          <w:szCs w:val="24"/>
          <w:lang w:val="fr-CA"/>
        </w:rPr>
        <w:t>ils auraient apporté à une organisation terroriste, le ministre de la Justice a ordonné leur remise</w:t>
      </w:r>
      <w:r w:rsidR="006F63DC" w:rsidRPr="00852D08">
        <w:rPr>
          <w:szCs w:val="24"/>
          <w:lang w:val="fr-CA"/>
        </w:rPr>
        <w:t xml:space="preserve"> aux autorités américaines</w:t>
      </w:r>
      <w:r w:rsidRPr="00852D08">
        <w:rPr>
          <w:szCs w:val="24"/>
          <w:lang w:val="fr-CA"/>
        </w:rPr>
        <w:t xml:space="preserve">. </w:t>
      </w:r>
      <w:r w:rsidR="00CC716D" w:rsidRPr="00852D08">
        <w:rPr>
          <w:szCs w:val="24"/>
          <w:lang w:val="fr-CA"/>
        </w:rPr>
        <w:t xml:space="preserve"> </w:t>
      </w:r>
      <w:r w:rsidRPr="00852D08">
        <w:rPr>
          <w:szCs w:val="24"/>
          <w:lang w:val="fr-CA"/>
        </w:rPr>
        <w:t>L</w:t>
      </w:r>
      <w:r w:rsidR="006F63DC" w:rsidRPr="00852D08">
        <w:rPr>
          <w:szCs w:val="24"/>
          <w:lang w:val="fr-CA"/>
        </w:rPr>
        <w:t>a Cour d</w:t>
      </w:r>
      <w:r w:rsidR="009B4529" w:rsidRPr="00852D08">
        <w:rPr>
          <w:szCs w:val="24"/>
          <w:lang w:val="fr-CA"/>
        </w:rPr>
        <w:t>’</w:t>
      </w:r>
      <w:r w:rsidR="006F63DC" w:rsidRPr="00852D08">
        <w:rPr>
          <w:szCs w:val="24"/>
          <w:lang w:val="fr-CA"/>
        </w:rPr>
        <w:t>appel a par la suite confirmé l</w:t>
      </w:r>
      <w:r w:rsidRPr="00852D08">
        <w:rPr>
          <w:szCs w:val="24"/>
          <w:lang w:val="fr-CA"/>
        </w:rPr>
        <w:t>es décisions.</w:t>
      </w:r>
    </w:p>
    <w:p w:rsidR="009A5E60" w:rsidRPr="00852D08" w:rsidRDefault="009A5E60" w:rsidP="009A5E60">
      <w:pPr>
        <w:pStyle w:val="SCCNormalDoubleSpacing"/>
        <w:spacing w:after="480"/>
        <w:rPr>
          <w:szCs w:val="24"/>
          <w:lang w:val="fr-CA"/>
        </w:rPr>
      </w:pPr>
      <w:r w:rsidRPr="00852D08">
        <w:rPr>
          <w:szCs w:val="24"/>
          <w:lang w:val="fr-CA"/>
        </w:rPr>
        <w:tab/>
      </w:r>
      <w:r w:rsidRPr="00852D08">
        <w:rPr>
          <w:i/>
          <w:szCs w:val="24"/>
          <w:lang w:val="fr-CA"/>
        </w:rPr>
        <w:t>Arrêt</w:t>
      </w:r>
      <w:r w:rsidR="00CC716D" w:rsidRPr="00852D08">
        <w:rPr>
          <w:i/>
          <w:szCs w:val="24"/>
          <w:lang w:val="fr-CA"/>
        </w:rPr>
        <w:t> </w:t>
      </w:r>
      <w:r w:rsidR="00CC716D" w:rsidRPr="00852D08">
        <w:rPr>
          <w:szCs w:val="24"/>
          <w:lang w:val="fr-CA"/>
        </w:rPr>
        <w:t>:</w:t>
      </w:r>
      <w:r w:rsidRPr="00852D08">
        <w:rPr>
          <w:szCs w:val="24"/>
          <w:lang w:val="fr-CA"/>
        </w:rPr>
        <w:t xml:space="preserve"> Le</w:t>
      </w:r>
      <w:r w:rsidR="0038269E" w:rsidRPr="00852D08">
        <w:rPr>
          <w:szCs w:val="24"/>
          <w:lang w:val="fr-CA"/>
        </w:rPr>
        <w:t>s</w:t>
      </w:r>
      <w:r w:rsidRPr="00852D08">
        <w:rPr>
          <w:szCs w:val="24"/>
          <w:lang w:val="fr-CA"/>
        </w:rPr>
        <w:t xml:space="preserve"> pourvoi</w:t>
      </w:r>
      <w:r w:rsidR="0038269E" w:rsidRPr="00852D08">
        <w:rPr>
          <w:szCs w:val="24"/>
          <w:lang w:val="fr-CA"/>
        </w:rPr>
        <w:t>s</w:t>
      </w:r>
      <w:r w:rsidRPr="00852D08">
        <w:rPr>
          <w:szCs w:val="24"/>
          <w:lang w:val="fr-CA"/>
        </w:rPr>
        <w:t xml:space="preserve"> s</w:t>
      </w:r>
      <w:r w:rsidR="0038269E" w:rsidRPr="00852D08">
        <w:rPr>
          <w:szCs w:val="24"/>
          <w:lang w:val="fr-CA"/>
        </w:rPr>
        <w:t>on</w:t>
      </w:r>
      <w:r w:rsidRPr="00852D08">
        <w:rPr>
          <w:szCs w:val="24"/>
          <w:lang w:val="fr-CA"/>
        </w:rPr>
        <w:t>t rejeté</w:t>
      </w:r>
      <w:r w:rsidR="0038269E" w:rsidRPr="00852D08">
        <w:rPr>
          <w:szCs w:val="24"/>
          <w:lang w:val="fr-CA"/>
        </w:rPr>
        <w:t>s</w:t>
      </w:r>
      <w:r w:rsidRPr="00852D08">
        <w:rPr>
          <w:szCs w:val="24"/>
          <w:lang w:val="fr-CA"/>
        </w:rPr>
        <w:t>.</w:t>
      </w:r>
    </w:p>
    <w:p w:rsidR="009A5E60" w:rsidRPr="00852D08" w:rsidRDefault="009A5E60" w:rsidP="009A5E60">
      <w:pPr>
        <w:pStyle w:val="SCCNormalDoubleSpacing"/>
        <w:spacing w:after="480"/>
        <w:rPr>
          <w:szCs w:val="24"/>
          <w:lang w:val="fr-CA"/>
        </w:rPr>
      </w:pPr>
      <w:r w:rsidRPr="00852D08">
        <w:rPr>
          <w:szCs w:val="24"/>
          <w:lang w:val="fr-CA"/>
        </w:rPr>
        <w:tab/>
        <w:t>L</w:t>
      </w:r>
      <w:r w:rsidR="009B4529" w:rsidRPr="00852D08">
        <w:rPr>
          <w:szCs w:val="24"/>
          <w:lang w:val="fr-CA"/>
        </w:rPr>
        <w:t>’</w:t>
      </w:r>
      <w:r w:rsidRPr="00852D08">
        <w:rPr>
          <w:szCs w:val="24"/>
          <w:lang w:val="fr-CA"/>
        </w:rPr>
        <w:t xml:space="preserve">extradition ne </w:t>
      </w:r>
      <w:r w:rsidR="006F63DC" w:rsidRPr="00852D08">
        <w:rPr>
          <w:szCs w:val="24"/>
          <w:lang w:val="fr-CA"/>
        </w:rPr>
        <w:t>porte</w:t>
      </w:r>
      <w:r w:rsidRPr="00852D08">
        <w:rPr>
          <w:szCs w:val="24"/>
          <w:lang w:val="fr-CA"/>
        </w:rPr>
        <w:t xml:space="preserve"> pas </w:t>
      </w:r>
      <w:r w:rsidR="006F63DC" w:rsidRPr="00852D08">
        <w:rPr>
          <w:szCs w:val="24"/>
          <w:lang w:val="fr-CA"/>
        </w:rPr>
        <w:t xml:space="preserve">atteinte au droit de demeurer au Canada </w:t>
      </w:r>
      <w:r w:rsidR="0064211A" w:rsidRPr="00852D08">
        <w:rPr>
          <w:szCs w:val="24"/>
          <w:lang w:val="fr-CA"/>
        </w:rPr>
        <w:t xml:space="preserve">que </w:t>
      </w:r>
      <w:r w:rsidR="006F63DC" w:rsidRPr="00852D08">
        <w:rPr>
          <w:szCs w:val="24"/>
          <w:lang w:val="fr-CA"/>
        </w:rPr>
        <w:t>garanti</w:t>
      </w:r>
      <w:r w:rsidR="0064211A" w:rsidRPr="00852D08">
        <w:rPr>
          <w:szCs w:val="24"/>
          <w:lang w:val="fr-CA"/>
        </w:rPr>
        <w:t>t au citoyen</w:t>
      </w:r>
      <w:r w:rsidR="00224956" w:rsidRPr="00852D08">
        <w:rPr>
          <w:szCs w:val="24"/>
          <w:lang w:val="fr-CA"/>
        </w:rPr>
        <w:t xml:space="preserve"> </w:t>
      </w:r>
      <w:r w:rsidR="0064211A" w:rsidRPr="00852D08">
        <w:rPr>
          <w:szCs w:val="24"/>
          <w:lang w:val="fr-CA"/>
        </w:rPr>
        <w:t>le</w:t>
      </w:r>
      <w:r w:rsidRPr="00852D08">
        <w:rPr>
          <w:szCs w:val="24"/>
          <w:lang w:val="fr-CA"/>
        </w:rPr>
        <w:t xml:space="preserve"> </w:t>
      </w:r>
      <w:r w:rsidR="00CC716D" w:rsidRPr="00852D08">
        <w:rPr>
          <w:szCs w:val="24"/>
          <w:lang w:val="fr-CA"/>
        </w:rPr>
        <w:t>par. </w:t>
      </w:r>
      <w:r w:rsidRPr="00852D08">
        <w:rPr>
          <w:szCs w:val="24"/>
          <w:lang w:val="fr-CA"/>
        </w:rPr>
        <w:t xml:space="preserve">6(1) de la </w:t>
      </w:r>
      <w:r w:rsidRPr="00852D08">
        <w:rPr>
          <w:i/>
          <w:szCs w:val="24"/>
          <w:lang w:val="fr-CA"/>
        </w:rPr>
        <w:t>Charte</w:t>
      </w:r>
      <w:r w:rsidRPr="00852D08">
        <w:rPr>
          <w:szCs w:val="24"/>
          <w:lang w:val="fr-CA"/>
        </w:rPr>
        <w:t>, même lorsque la compétence revendiquée par l</w:t>
      </w:r>
      <w:r w:rsidR="009B4529" w:rsidRPr="00852D08">
        <w:rPr>
          <w:szCs w:val="24"/>
          <w:lang w:val="fr-CA"/>
        </w:rPr>
        <w:t>’</w:t>
      </w:r>
      <w:r w:rsidRPr="00852D08">
        <w:rPr>
          <w:szCs w:val="24"/>
          <w:lang w:val="fr-CA"/>
        </w:rPr>
        <w:t>autre État est faible ou que la poursuite pourrait se dérouler au Canada</w:t>
      </w:r>
      <w:r w:rsidR="001B229D" w:rsidRPr="00852D08">
        <w:rPr>
          <w:szCs w:val="24"/>
          <w:lang w:val="fr-CA"/>
        </w:rPr>
        <w:t xml:space="preserve">.  </w:t>
      </w:r>
      <w:r w:rsidR="006F63DC" w:rsidRPr="00852D08">
        <w:rPr>
          <w:szCs w:val="24"/>
          <w:lang w:val="fr-CA"/>
        </w:rPr>
        <w:t>Conclu</w:t>
      </w:r>
      <w:r w:rsidRPr="00852D08">
        <w:rPr>
          <w:szCs w:val="24"/>
          <w:lang w:val="fr-CA"/>
        </w:rPr>
        <w:t xml:space="preserve">re le contraire reviendrait à infirmer les arrêts </w:t>
      </w:r>
      <w:r w:rsidR="00AA0E05" w:rsidRPr="00852D08">
        <w:rPr>
          <w:i/>
          <w:szCs w:val="24"/>
          <w:lang w:val="fr-CA"/>
        </w:rPr>
        <w:t>É</w:t>
      </w:r>
      <w:r w:rsidR="006B2B9C" w:rsidRPr="00852D08">
        <w:rPr>
          <w:i/>
          <w:szCs w:val="24"/>
          <w:lang w:val="fr-CA"/>
        </w:rPr>
        <w:t>tats-Unis d’Amérique</w:t>
      </w:r>
      <w:r w:rsidRPr="00852D08">
        <w:rPr>
          <w:i/>
          <w:szCs w:val="24"/>
          <w:lang w:val="fr-CA"/>
        </w:rPr>
        <w:t xml:space="preserve"> c.</w:t>
      </w:r>
      <w:r w:rsidRPr="00852D08">
        <w:rPr>
          <w:szCs w:val="24"/>
          <w:lang w:val="fr-CA"/>
        </w:rPr>
        <w:t xml:space="preserve"> </w:t>
      </w:r>
      <w:proofErr w:type="spellStart"/>
      <w:r w:rsidRPr="00852D08">
        <w:rPr>
          <w:i/>
          <w:szCs w:val="24"/>
          <w:lang w:val="fr-CA"/>
        </w:rPr>
        <w:t>Cotroni</w:t>
      </w:r>
      <w:proofErr w:type="spellEnd"/>
      <w:r w:rsidRPr="00852D08">
        <w:rPr>
          <w:szCs w:val="24"/>
          <w:lang w:val="fr-CA"/>
        </w:rPr>
        <w:t xml:space="preserve">, [1989] 1 R.C.S. 1469, </w:t>
      </w:r>
      <w:proofErr w:type="spellStart"/>
      <w:r w:rsidRPr="00852D08">
        <w:rPr>
          <w:i/>
          <w:szCs w:val="24"/>
          <w:lang w:val="fr-CA"/>
        </w:rPr>
        <w:t>États</w:t>
      </w:r>
      <w:r w:rsidR="00CC716D" w:rsidRPr="00852D08">
        <w:rPr>
          <w:i/>
          <w:szCs w:val="24"/>
          <w:lang w:val="fr-CA"/>
        </w:rPr>
        <w:noBreakHyphen/>
      </w:r>
      <w:r w:rsidRPr="00852D08">
        <w:rPr>
          <w:i/>
          <w:szCs w:val="24"/>
          <w:lang w:val="fr-CA"/>
        </w:rPr>
        <w:t>Unis</w:t>
      </w:r>
      <w:proofErr w:type="spellEnd"/>
      <w:r w:rsidRPr="00852D08">
        <w:rPr>
          <w:i/>
          <w:szCs w:val="24"/>
          <w:lang w:val="fr-CA"/>
        </w:rPr>
        <w:t xml:space="preserve"> d</w:t>
      </w:r>
      <w:r w:rsidR="009B4529" w:rsidRPr="00852D08">
        <w:rPr>
          <w:i/>
          <w:szCs w:val="24"/>
          <w:lang w:val="fr-CA"/>
        </w:rPr>
        <w:t>’</w:t>
      </w:r>
      <w:r w:rsidRPr="00852D08">
        <w:rPr>
          <w:i/>
          <w:szCs w:val="24"/>
          <w:lang w:val="fr-CA"/>
        </w:rPr>
        <w:t>Amérique c.</w:t>
      </w:r>
      <w:r w:rsidRPr="00852D08">
        <w:rPr>
          <w:szCs w:val="24"/>
          <w:lang w:val="fr-CA"/>
        </w:rPr>
        <w:t xml:space="preserve"> </w:t>
      </w:r>
      <w:r w:rsidRPr="00852D08">
        <w:rPr>
          <w:i/>
          <w:szCs w:val="24"/>
          <w:lang w:val="fr-CA"/>
        </w:rPr>
        <w:t>Kwok</w:t>
      </w:r>
      <w:r w:rsidRPr="00852D08">
        <w:rPr>
          <w:szCs w:val="24"/>
          <w:lang w:val="fr-CA"/>
        </w:rPr>
        <w:t>, 2001 CSC 18,</w:t>
      </w:r>
      <w:r w:rsidRPr="00852D08">
        <w:rPr>
          <w:i/>
          <w:szCs w:val="24"/>
          <w:lang w:val="fr-CA"/>
        </w:rPr>
        <w:t xml:space="preserve"> </w:t>
      </w:r>
      <w:r w:rsidRPr="00852D08">
        <w:rPr>
          <w:szCs w:val="24"/>
          <w:lang w:val="fr-CA"/>
        </w:rPr>
        <w:t xml:space="preserve">[2001] 1 R.C.S. 532, et </w:t>
      </w:r>
      <w:r w:rsidRPr="00852D08">
        <w:rPr>
          <w:i/>
          <w:szCs w:val="24"/>
          <w:lang w:val="fr-CA"/>
        </w:rPr>
        <w:t>Lake c. Canada (Ministre de la Justice)</w:t>
      </w:r>
      <w:r w:rsidRPr="00852D08">
        <w:rPr>
          <w:szCs w:val="24"/>
          <w:lang w:val="fr-CA"/>
        </w:rPr>
        <w:t>, 2008 CSC 23,</w:t>
      </w:r>
      <w:r w:rsidRPr="00852D08">
        <w:rPr>
          <w:i/>
          <w:szCs w:val="24"/>
          <w:lang w:val="fr-CA"/>
        </w:rPr>
        <w:t xml:space="preserve"> </w:t>
      </w:r>
      <w:r w:rsidRPr="00852D08">
        <w:rPr>
          <w:szCs w:val="24"/>
          <w:lang w:val="fr-CA"/>
        </w:rPr>
        <w:t xml:space="preserve">[2008] 1 R.C.S. 761. </w:t>
      </w:r>
      <w:r w:rsidR="00CC716D" w:rsidRPr="00852D08">
        <w:rPr>
          <w:szCs w:val="24"/>
          <w:lang w:val="fr-CA"/>
        </w:rPr>
        <w:t xml:space="preserve"> </w:t>
      </w:r>
      <w:r w:rsidRPr="00852D08">
        <w:rPr>
          <w:szCs w:val="24"/>
          <w:lang w:val="fr-CA"/>
        </w:rPr>
        <w:t>Nulle raison impérieuse ne justifie de s</w:t>
      </w:r>
      <w:r w:rsidR="009B4529" w:rsidRPr="00852D08">
        <w:rPr>
          <w:szCs w:val="24"/>
          <w:lang w:val="fr-CA"/>
        </w:rPr>
        <w:t>’</w:t>
      </w:r>
      <w:r w:rsidRPr="00852D08">
        <w:rPr>
          <w:szCs w:val="24"/>
          <w:lang w:val="fr-CA"/>
        </w:rPr>
        <w:t>écarter des principes établis dans ces arrêts.</w:t>
      </w:r>
      <w:r w:rsidR="00CC716D" w:rsidRPr="00852D08">
        <w:rPr>
          <w:szCs w:val="24"/>
          <w:lang w:val="fr-CA"/>
        </w:rPr>
        <w:t xml:space="preserve"> </w:t>
      </w:r>
      <w:r w:rsidRPr="00852D08">
        <w:rPr>
          <w:szCs w:val="24"/>
          <w:lang w:val="fr-CA"/>
        </w:rPr>
        <w:t xml:space="preserve"> L</w:t>
      </w:r>
      <w:r w:rsidR="009B4529" w:rsidRPr="00852D08">
        <w:rPr>
          <w:szCs w:val="24"/>
          <w:lang w:val="fr-CA"/>
        </w:rPr>
        <w:t>’</w:t>
      </w:r>
      <w:r w:rsidRPr="00852D08">
        <w:rPr>
          <w:szCs w:val="24"/>
          <w:lang w:val="fr-CA"/>
        </w:rPr>
        <w:t xml:space="preserve">extradition ne porte pas atteinte aux valeurs fondamentales consacrées par le </w:t>
      </w:r>
      <w:r w:rsidR="00CC716D" w:rsidRPr="00852D08">
        <w:rPr>
          <w:szCs w:val="24"/>
          <w:lang w:val="fr-CA"/>
        </w:rPr>
        <w:t>par. </w:t>
      </w:r>
      <w:r w:rsidRPr="00852D08">
        <w:rPr>
          <w:szCs w:val="24"/>
          <w:lang w:val="fr-CA"/>
        </w:rPr>
        <w:t>6(1)</w:t>
      </w:r>
      <w:r w:rsidR="00224956" w:rsidRPr="00852D08">
        <w:rPr>
          <w:szCs w:val="24"/>
          <w:lang w:val="fr-CA"/>
        </w:rPr>
        <w:t xml:space="preserve">. </w:t>
      </w:r>
      <w:r w:rsidR="00CC716D" w:rsidRPr="00852D08">
        <w:rPr>
          <w:szCs w:val="24"/>
          <w:lang w:val="fr-CA"/>
        </w:rPr>
        <w:t xml:space="preserve"> </w:t>
      </w:r>
      <w:r w:rsidR="00224956" w:rsidRPr="00852D08">
        <w:rPr>
          <w:szCs w:val="24"/>
          <w:lang w:val="fr-CA"/>
        </w:rPr>
        <w:t>Elle</w:t>
      </w:r>
      <w:r w:rsidRPr="00852D08">
        <w:rPr>
          <w:szCs w:val="24"/>
          <w:lang w:val="fr-CA"/>
        </w:rPr>
        <w:t xml:space="preserve"> répond plutôt à la nécessité d</w:t>
      </w:r>
      <w:r w:rsidR="009B4529" w:rsidRPr="00852D08">
        <w:rPr>
          <w:szCs w:val="24"/>
          <w:lang w:val="fr-CA"/>
        </w:rPr>
        <w:t>’</w:t>
      </w:r>
      <w:r w:rsidRPr="00852D08">
        <w:rPr>
          <w:szCs w:val="24"/>
          <w:lang w:val="fr-CA"/>
        </w:rPr>
        <w:t xml:space="preserve">un système de justice </w:t>
      </w:r>
      <w:r w:rsidRPr="00852D08">
        <w:rPr>
          <w:szCs w:val="24"/>
          <w:lang w:val="fr-CA"/>
        </w:rPr>
        <w:lastRenderedPageBreak/>
        <w:t>pénale efficace.</w:t>
      </w:r>
      <w:r w:rsidR="00CC716D" w:rsidRPr="00852D08">
        <w:rPr>
          <w:szCs w:val="24"/>
          <w:lang w:val="fr-CA"/>
        </w:rPr>
        <w:t xml:space="preserve"> </w:t>
      </w:r>
      <w:r w:rsidRPr="00852D08">
        <w:rPr>
          <w:szCs w:val="24"/>
          <w:lang w:val="fr-CA"/>
        </w:rPr>
        <w:t xml:space="preserve"> Complexe, la décision d</w:t>
      </w:r>
      <w:r w:rsidR="009B4529" w:rsidRPr="00852D08">
        <w:rPr>
          <w:szCs w:val="24"/>
          <w:lang w:val="fr-CA"/>
        </w:rPr>
        <w:t>’</w:t>
      </w:r>
      <w:r w:rsidRPr="00852D08">
        <w:rPr>
          <w:szCs w:val="24"/>
          <w:lang w:val="fr-CA"/>
        </w:rPr>
        <w:t>extrader ou non fait intervenir de nombreuses considérations d</w:t>
      </w:r>
      <w:r w:rsidR="009B4529" w:rsidRPr="00852D08">
        <w:rPr>
          <w:szCs w:val="24"/>
          <w:lang w:val="fr-CA"/>
        </w:rPr>
        <w:t>’</w:t>
      </w:r>
      <w:r w:rsidRPr="00852D08">
        <w:rPr>
          <w:szCs w:val="24"/>
          <w:lang w:val="fr-CA"/>
        </w:rPr>
        <w:t xml:space="preserve">ordre factuel, géopolitique, diplomatique et financier. </w:t>
      </w:r>
      <w:r w:rsidR="00CC716D" w:rsidRPr="00852D08">
        <w:rPr>
          <w:szCs w:val="24"/>
          <w:lang w:val="fr-CA"/>
        </w:rPr>
        <w:t xml:space="preserve"> </w:t>
      </w:r>
      <w:r w:rsidRPr="00852D08">
        <w:rPr>
          <w:szCs w:val="24"/>
          <w:lang w:val="fr-CA"/>
        </w:rPr>
        <w:t>Le ministre de la Justice dispose d</w:t>
      </w:r>
      <w:r w:rsidR="009B4529" w:rsidRPr="00852D08">
        <w:rPr>
          <w:szCs w:val="24"/>
          <w:lang w:val="fr-CA"/>
        </w:rPr>
        <w:t>’</w:t>
      </w:r>
      <w:r w:rsidRPr="00852D08">
        <w:rPr>
          <w:szCs w:val="24"/>
          <w:lang w:val="fr-CA"/>
        </w:rPr>
        <w:t>une expertise supérieure à cet égard et, dans l</w:t>
      </w:r>
      <w:r w:rsidR="009B4529" w:rsidRPr="00852D08">
        <w:rPr>
          <w:szCs w:val="24"/>
          <w:lang w:val="fr-CA"/>
        </w:rPr>
        <w:t>’</w:t>
      </w:r>
      <w:r w:rsidRPr="00852D08">
        <w:rPr>
          <w:szCs w:val="24"/>
          <w:lang w:val="fr-CA"/>
        </w:rPr>
        <w:t>exercice de son pouvoir discrétionnaire, il n</w:t>
      </w:r>
      <w:r w:rsidR="009B4529" w:rsidRPr="00852D08">
        <w:rPr>
          <w:szCs w:val="24"/>
          <w:lang w:val="fr-CA"/>
        </w:rPr>
        <w:t>’</w:t>
      </w:r>
      <w:r w:rsidRPr="00852D08">
        <w:rPr>
          <w:szCs w:val="24"/>
          <w:lang w:val="fr-CA"/>
        </w:rPr>
        <w:t xml:space="preserve">est lié par aucun des éléments </w:t>
      </w:r>
      <w:r w:rsidR="00224956" w:rsidRPr="00852D08">
        <w:rPr>
          <w:szCs w:val="24"/>
          <w:lang w:val="fr-CA"/>
        </w:rPr>
        <w:t>de l</w:t>
      </w:r>
      <w:r w:rsidR="009B4529" w:rsidRPr="00852D08">
        <w:rPr>
          <w:szCs w:val="24"/>
          <w:lang w:val="fr-CA"/>
        </w:rPr>
        <w:t>’</w:t>
      </w:r>
      <w:r w:rsidR="00224956" w:rsidRPr="00852D08">
        <w:rPr>
          <w:szCs w:val="24"/>
          <w:lang w:val="fr-CA"/>
        </w:rPr>
        <w:t xml:space="preserve">arrêt </w:t>
      </w:r>
      <w:proofErr w:type="spellStart"/>
      <w:r w:rsidRPr="00852D08">
        <w:rPr>
          <w:i/>
          <w:szCs w:val="24"/>
          <w:lang w:val="fr-CA"/>
        </w:rPr>
        <w:t>Cotroni</w:t>
      </w:r>
      <w:proofErr w:type="spellEnd"/>
      <w:r w:rsidRPr="00852D08">
        <w:rPr>
          <w:szCs w:val="24"/>
          <w:lang w:val="fr-CA"/>
        </w:rPr>
        <w:t xml:space="preserve">. </w:t>
      </w:r>
      <w:r w:rsidR="00CC716D" w:rsidRPr="00852D08">
        <w:rPr>
          <w:szCs w:val="24"/>
          <w:lang w:val="fr-CA"/>
        </w:rPr>
        <w:t xml:space="preserve"> </w:t>
      </w:r>
      <w:r w:rsidRPr="00852D08">
        <w:rPr>
          <w:szCs w:val="24"/>
          <w:lang w:val="fr-CA"/>
        </w:rPr>
        <w:t>La possibilité d</w:t>
      </w:r>
      <w:r w:rsidR="009B4529" w:rsidRPr="00852D08">
        <w:rPr>
          <w:szCs w:val="24"/>
          <w:lang w:val="fr-CA"/>
        </w:rPr>
        <w:t>’</w:t>
      </w:r>
      <w:r w:rsidRPr="00852D08">
        <w:rPr>
          <w:szCs w:val="24"/>
          <w:lang w:val="fr-CA"/>
        </w:rPr>
        <w:t xml:space="preserve">une poursuite au Canada </w:t>
      </w:r>
      <w:r w:rsidR="006F63DC" w:rsidRPr="00852D08">
        <w:rPr>
          <w:szCs w:val="24"/>
          <w:lang w:val="fr-CA"/>
        </w:rPr>
        <w:t xml:space="preserve">pour les infractions reprochées </w:t>
      </w:r>
      <w:r w:rsidRPr="00852D08">
        <w:rPr>
          <w:szCs w:val="24"/>
          <w:lang w:val="fr-CA"/>
        </w:rPr>
        <w:t>ne constitue qu</w:t>
      </w:r>
      <w:r w:rsidR="009B4529" w:rsidRPr="00852D08">
        <w:rPr>
          <w:szCs w:val="24"/>
          <w:lang w:val="fr-CA"/>
        </w:rPr>
        <w:t>’</w:t>
      </w:r>
      <w:r w:rsidRPr="00852D08">
        <w:rPr>
          <w:szCs w:val="24"/>
          <w:lang w:val="fr-CA"/>
        </w:rPr>
        <w:t xml:space="preserve">un élément à considérer lors de </w:t>
      </w:r>
      <w:r w:rsidR="006F63DC" w:rsidRPr="00852D08">
        <w:rPr>
          <w:szCs w:val="24"/>
          <w:lang w:val="fr-CA"/>
        </w:rPr>
        <w:t>l</w:t>
      </w:r>
      <w:r w:rsidR="009B4529" w:rsidRPr="00852D08">
        <w:rPr>
          <w:szCs w:val="24"/>
          <w:lang w:val="fr-CA"/>
        </w:rPr>
        <w:t>’</w:t>
      </w:r>
      <w:r w:rsidRPr="00852D08">
        <w:rPr>
          <w:szCs w:val="24"/>
          <w:lang w:val="fr-CA"/>
        </w:rPr>
        <w:t>examen, et l</w:t>
      </w:r>
      <w:r w:rsidR="009B4529" w:rsidRPr="00852D08">
        <w:rPr>
          <w:szCs w:val="24"/>
          <w:lang w:val="fr-CA"/>
        </w:rPr>
        <w:t>’</w:t>
      </w:r>
      <w:r w:rsidRPr="00852D08">
        <w:rPr>
          <w:szCs w:val="24"/>
          <w:lang w:val="fr-CA"/>
        </w:rPr>
        <w:t>importance de la compétence revendiquée par l</w:t>
      </w:r>
      <w:r w:rsidR="009B4529" w:rsidRPr="00852D08">
        <w:rPr>
          <w:szCs w:val="24"/>
          <w:lang w:val="fr-CA"/>
        </w:rPr>
        <w:t>’</w:t>
      </w:r>
      <w:r w:rsidRPr="00852D08">
        <w:rPr>
          <w:szCs w:val="24"/>
          <w:lang w:val="fr-CA"/>
        </w:rPr>
        <w:t>État étranger n</w:t>
      </w:r>
      <w:r w:rsidR="009B4529" w:rsidRPr="00852D08">
        <w:rPr>
          <w:szCs w:val="24"/>
          <w:lang w:val="fr-CA"/>
        </w:rPr>
        <w:t>’</w:t>
      </w:r>
      <w:r w:rsidRPr="00852D08">
        <w:rPr>
          <w:szCs w:val="24"/>
          <w:lang w:val="fr-CA"/>
        </w:rPr>
        <w:t xml:space="preserve">est pas toujours déterminante. </w:t>
      </w:r>
    </w:p>
    <w:p w:rsidR="009A5E60" w:rsidRPr="00852D08" w:rsidRDefault="009A5E60" w:rsidP="009A5E60">
      <w:pPr>
        <w:pStyle w:val="SCCNormalDoubleSpacing"/>
        <w:spacing w:after="480"/>
        <w:rPr>
          <w:rStyle w:val="reportcitation"/>
          <w:szCs w:val="24"/>
          <w:lang w:val="fr-CA"/>
        </w:rPr>
      </w:pPr>
      <w:r w:rsidRPr="00852D08">
        <w:rPr>
          <w:szCs w:val="24"/>
          <w:lang w:val="fr-CA"/>
        </w:rPr>
        <w:tab/>
      </w:r>
      <w:r w:rsidRPr="00852D08">
        <w:rPr>
          <w:rStyle w:val="reportcitation"/>
          <w:szCs w:val="24"/>
          <w:lang w:val="fr-CA"/>
        </w:rPr>
        <w:t>En l</w:t>
      </w:r>
      <w:r w:rsidR="009B4529" w:rsidRPr="00852D08">
        <w:rPr>
          <w:rStyle w:val="reportcitation"/>
          <w:szCs w:val="24"/>
          <w:lang w:val="fr-CA"/>
        </w:rPr>
        <w:t>’</w:t>
      </w:r>
      <w:r w:rsidRPr="00852D08">
        <w:rPr>
          <w:rStyle w:val="reportcitation"/>
          <w:szCs w:val="24"/>
          <w:lang w:val="fr-CA"/>
        </w:rPr>
        <w:t>espèce, il appert du dossier que le ministre a dûment examiné et mis en balance les éléments pertinents en ce qui a trait à la situation de S et de N</w:t>
      </w:r>
      <w:r w:rsidRPr="00852D08">
        <w:rPr>
          <w:szCs w:val="24"/>
          <w:lang w:val="fr-CA"/>
        </w:rPr>
        <w:t xml:space="preserve">. </w:t>
      </w:r>
      <w:r w:rsidR="00CC716D" w:rsidRPr="00852D08">
        <w:rPr>
          <w:szCs w:val="24"/>
          <w:lang w:val="fr-CA"/>
        </w:rPr>
        <w:t xml:space="preserve"> </w:t>
      </w:r>
      <w:r w:rsidR="006F63DC" w:rsidRPr="00852D08">
        <w:rPr>
          <w:szCs w:val="24"/>
          <w:lang w:val="fr-CA"/>
        </w:rPr>
        <w:t xml:space="preserve">Il </w:t>
      </w:r>
      <w:r w:rsidRPr="00852D08">
        <w:rPr>
          <w:rStyle w:val="reportcitation"/>
          <w:szCs w:val="24"/>
          <w:lang w:val="fr-CA"/>
        </w:rPr>
        <w:t>ne tient pas pour déterminant le fait qu</w:t>
      </w:r>
      <w:r w:rsidR="009B4529" w:rsidRPr="00852D08">
        <w:rPr>
          <w:rStyle w:val="reportcitation"/>
          <w:szCs w:val="24"/>
          <w:lang w:val="fr-CA"/>
        </w:rPr>
        <w:t>’</w:t>
      </w:r>
      <w:r w:rsidRPr="00852D08">
        <w:rPr>
          <w:rStyle w:val="reportcitation"/>
          <w:szCs w:val="24"/>
          <w:lang w:val="fr-CA"/>
        </w:rPr>
        <w:t>aucune accusation n</w:t>
      </w:r>
      <w:r w:rsidR="009B4529" w:rsidRPr="00852D08">
        <w:rPr>
          <w:rStyle w:val="reportcitation"/>
          <w:szCs w:val="24"/>
          <w:lang w:val="fr-CA"/>
        </w:rPr>
        <w:t>’</w:t>
      </w:r>
      <w:r w:rsidRPr="00852D08">
        <w:rPr>
          <w:rStyle w:val="reportcitation"/>
          <w:szCs w:val="24"/>
          <w:lang w:val="fr-CA"/>
        </w:rPr>
        <w:t>a été portée contre eux au Canada, et il e</w:t>
      </w:r>
      <w:r w:rsidR="004A47E8" w:rsidRPr="00852D08">
        <w:rPr>
          <w:rStyle w:val="reportcitation"/>
          <w:szCs w:val="24"/>
          <w:lang w:val="fr-CA"/>
        </w:rPr>
        <w:t>ffectu</w:t>
      </w:r>
      <w:r w:rsidR="00224956" w:rsidRPr="00852D08">
        <w:rPr>
          <w:rStyle w:val="reportcitation"/>
          <w:szCs w:val="24"/>
          <w:lang w:val="fr-CA"/>
        </w:rPr>
        <w:t xml:space="preserve">e </w:t>
      </w:r>
      <w:r w:rsidR="004A47E8" w:rsidRPr="00852D08">
        <w:rPr>
          <w:rStyle w:val="reportcitation"/>
          <w:szCs w:val="24"/>
          <w:lang w:val="fr-CA"/>
        </w:rPr>
        <w:t>un examen</w:t>
      </w:r>
      <w:r w:rsidRPr="00852D08">
        <w:rPr>
          <w:rStyle w:val="reportcitation"/>
          <w:szCs w:val="24"/>
          <w:lang w:val="fr-CA"/>
        </w:rPr>
        <w:t xml:space="preserve"> indépendant </w:t>
      </w:r>
      <w:r w:rsidR="004A47E8" w:rsidRPr="00852D08">
        <w:rPr>
          <w:rStyle w:val="reportcitation"/>
          <w:szCs w:val="24"/>
          <w:lang w:val="fr-CA"/>
        </w:rPr>
        <w:t>d</w:t>
      </w:r>
      <w:r w:rsidRPr="00852D08">
        <w:rPr>
          <w:rStyle w:val="reportcitation"/>
          <w:szCs w:val="24"/>
          <w:lang w:val="fr-CA"/>
        </w:rPr>
        <w:t xml:space="preserve">es éléments de </w:t>
      </w:r>
      <w:proofErr w:type="spellStart"/>
      <w:r w:rsidRPr="00852D08">
        <w:rPr>
          <w:rStyle w:val="reportcitation"/>
          <w:i/>
          <w:szCs w:val="24"/>
          <w:lang w:val="fr-CA"/>
        </w:rPr>
        <w:t>Cotroni</w:t>
      </w:r>
      <w:proofErr w:type="spellEnd"/>
      <w:r w:rsidRPr="00852D08">
        <w:rPr>
          <w:rStyle w:val="reportcitation"/>
          <w:szCs w:val="24"/>
          <w:lang w:val="fr-CA"/>
        </w:rPr>
        <w:t xml:space="preserve">. </w:t>
      </w:r>
      <w:r w:rsidR="00CC716D" w:rsidRPr="00852D08">
        <w:rPr>
          <w:rStyle w:val="reportcitation"/>
          <w:szCs w:val="24"/>
          <w:lang w:val="fr-CA"/>
        </w:rPr>
        <w:t xml:space="preserve"> </w:t>
      </w:r>
      <w:r w:rsidRPr="00852D08">
        <w:rPr>
          <w:rStyle w:val="reportcitation"/>
          <w:szCs w:val="24"/>
          <w:lang w:val="fr-CA"/>
        </w:rPr>
        <w:t xml:space="preserve">Sa conclusion selon laquelle les liens avec les </w:t>
      </w:r>
      <w:proofErr w:type="spellStart"/>
      <w:r w:rsidRPr="00852D08">
        <w:rPr>
          <w:rStyle w:val="reportcitation"/>
          <w:szCs w:val="24"/>
          <w:lang w:val="fr-CA"/>
        </w:rPr>
        <w:t>États</w:t>
      </w:r>
      <w:r w:rsidR="00CC716D" w:rsidRPr="00852D08">
        <w:rPr>
          <w:rStyle w:val="reportcitation"/>
          <w:szCs w:val="24"/>
          <w:lang w:val="fr-CA"/>
        </w:rPr>
        <w:noBreakHyphen/>
      </w:r>
      <w:r w:rsidRPr="00852D08">
        <w:rPr>
          <w:rStyle w:val="reportcitation"/>
          <w:szCs w:val="24"/>
          <w:lang w:val="fr-CA"/>
        </w:rPr>
        <w:t>Unis</w:t>
      </w:r>
      <w:proofErr w:type="spellEnd"/>
      <w:r w:rsidRPr="00852D08">
        <w:rPr>
          <w:rStyle w:val="reportcitation"/>
          <w:szCs w:val="24"/>
          <w:lang w:val="fr-CA"/>
        </w:rPr>
        <w:t xml:space="preserve"> suffisent à justifier l</w:t>
      </w:r>
      <w:r w:rsidR="009B4529" w:rsidRPr="00852D08">
        <w:rPr>
          <w:rStyle w:val="reportcitation"/>
          <w:szCs w:val="24"/>
          <w:lang w:val="fr-CA"/>
        </w:rPr>
        <w:t>’</w:t>
      </w:r>
      <w:r w:rsidRPr="00852D08">
        <w:rPr>
          <w:rStyle w:val="reportcitation"/>
          <w:szCs w:val="24"/>
          <w:lang w:val="fr-CA"/>
        </w:rPr>
        <w:t>extradition découle de cet examen indépendant, et il n</w:t>
      </w:r>
      <w:r w:rsidR="009B4529" w:rsidRPr="00852D08">
        <w:rPr>
          <w:rStyle w:val="reportcitation"/>
          <w:szCs w:val="24"/>
          <w:lang w:val="fr-CA"/>
        </w:rPr>
        <w:t>’</w:t>
      </w:r>
      <w:r w:rsidRPr="00852D08">
        <w:rPr>
          <w:rStyle w:val="reportcitation"/>
          <w:szCs w:val="24"/>
          <w:lang w:val="fr-CA"/>
        </w:rPr>
        <w:t>a pas été démontré qu</w:t>
      </w:r>
      <w:r w:rsidR="009B4529" w:rsidRPr="00852D08">
        <w:rPr>
          <w:rStyle w:val="reportcitation"/>
          <w:szCs w:val="24"/>
          <w:lang w:val="fr-CA"/>
        </w:rPr>
        <w:t>’</w:t>
      </w:r>
      <w:r w:rsidRPr="00852D08">
        <w:rPr>
          <w:rStyle w:val="reportcitation"/>
          <w:szCs w:val="24"/>
          <w:lang w:val="fr-CA"/>
        </w:rPr>
        <w:t>elle est déraisonnable eu égard à la preuve.</w:t>
      </w:r>
    </w:p>
    <w:p w:rsidR="009A5E60" w:rsidRPr="00852D08" w:rsidRDefault="009A5E60" w:rsidP="009A5E60">
      <w:pPr>
        <w:pStyle w:val="SCCNormalDoubleSpacing"/>
        <w:spacing w:after="480"/>
        <w:rPr>
          <w:szCs w:val="24"/>
          <w:lang w:val="fr-CA"/>
        </w:rPr>
      </w:pPr>
      <w:r w:rsidRPr="00852D08">
        <w:rPr>
          <w:szCs w:val="24"/>
          <w:lang w:val="fr-CA"/>
        </w:rPr>
        <w:tab/>
        <w:t>La preuve de l</w:t>
      </w:r>
      <w:r w:rsidR="009B4529" w:rsidRPr="00852D08">
        <w:rPr>
          <w:szCs w:val="24"/>
          <w:lang w:val="fr-CA"/>
        </w:rPr>
        <w:t>’</w:t>
      </w:r>
      <w:r w:rsidRPr="00852D08">
        <w:rPr>
          <w:szCs w:val="24"/>
          <w:lang w:val="fr-CA"/>
        </w:rPr>
        <w:t>iniquité procédurale alléguée n</w:t>
      </w:r>
      <w:r w:rsidR="009B4529" w:rsidRPr="00852D08">
        <w:rPr>
          <w:szCs w:val="24"/>
          <w:lang w:val="fr-CA"/>
        </w:rPr>
        <w:t>’</w:t>
      </w:r>
      <w:r w:rsidRPr="00852D08">
        <w:rPr>
          <w:szCs w:val="24"/>
          <w:lang w:val="fr-CA"/>
        </w:rPr>
        <w:t>a pas été faite</w:t>
      </w:r>
      <w:r w:rsidR="001B229D" w:rsidRPr="00852D08">
        <w:rPr>
          <w:szCs w:val="24"/>
          <w:lang w:val="fr-CA"/>
        </w:rPr>
        <w:t xml:space="preserve">.  </w:t>
      </w:r>
      <w:r w:rsidRPr="00852D08">
        <w:rPr>
          <w:szCs w:val="24"/>
          <w:lang w:val="fr-CA"/>
        </w:rPr>
        <w:t xml:space="preserve">La requête de S et </w:t>
      </w:r>
      <w:r w:rsidR="006F63DC" w:rsidRPr="00852D08">
        <w:rPr>
          <w:szCs w:val="24"/>
          <w:lang w:val="fr-CA"/>
        </w:rPr>
        <w:t xml:space="preserve">de </w:t>
      </w:r>
      <w:r w:rsidRPr="00852D08">
        <w:rPr>
          <w:szCs w:val="24"/>
          <w:lang w:val="fr-CA"/>
        </w:rPr>
        <w:t xml:space="preserve">N visant la </w:t>
      </w:r>
      <w:r w:rsidR="006F63DC" w:rsidRPr="00852D08">
        <w:rPr>
          <w:szCs w:val="24"/>
          <w:lang w:val="fr-CA"/>
        </w:rPr>
        <w:t>communic</w:t>
      </w:r>
      <w:r w:rsidRPr="00852D08">
        <w:rPr>
          <w:szCs w:val="24"/>
          <w:lang w:val="fr-CA"/>
        </w:rPr>
        <w:t>ation du rapport du Service des poursuites pénales du Canada sur l</w:t>
      </w:r>
      <w:r w:rsidR="009B4529" w:rsidRPr="00852D08">
        <w:rPr>
          <w:szCs w:val="24"/>
          <w:lang w:val="fr-CA"/>
        </w:rPr>
        <w:t>’</w:t>
      </w:r>
      <w:r w:rsidRPr="00852D08">
        <w:rPr>
          <w:szCs w:val="24"/>
          <w:lang w:val="fr-CA"/>
        </w:rPr>
        <w:t>opportunité de poursuite</w:t>
      </w:r>
      <w:r w:rsidR="0064211A" w:rsidRPr="00852D08">
        <w:rPr>
          <w:szCs w:val="24"/>
          <w:lang w:val="fr-CA"/>
        </w:rPr>
        <w:t>s</w:t>
      </w:r>
      <w:r w:rsidRPr="00852D08">
        <w:rPr>
          <w:szCs w:val="24"/>
          <w:lang w:val="fr-CA"/>
        </w:rPr>
        <w:t xml:space="preserve"> au Canada constitue une tentative à peine voilée de contester l</w:t>
      </w:r>
      <w:r w:rsidR="009B4529" w:rsidRPr="00852D08">
        <w:rPr>
          <w:szCs w:val="24"/>
          <w:lang w:val="fr-CA"/>
        </w:rPr>
        <w:t>’</w:t>
      </w:r>
      <w:r w:rsidRPr="00852D08">
        <w:rPr>
          <w:szCs w:val="24"/>
          <w:lang w:val="fr-CA"/>
        </w:rPr>
        <w:t>exercice légitime du pouvoir discrétionnaire de l</w:t>
      </w:r>
      <w:r w:rsidR="009B4529" w:rsidRPr="00852D08">
        <w:rPr>
          <w:szCs w:val="24"/>
          <w:lang w:val="fr-CA"/>
        </w:rPr>
        <w:t>’</w:t>
      </w:r>
      <w:r w:rsidRPr="00852D08">
        <w:rPr>
          <w:szCs w:val="24"/>
          <w:lang w:val="fr-CA"/>
        </w:rPr>
        <w:t>État d</w:t>
      </w:r>
      <w:r w:rsidR="009B4529" w:rsidRPr="00852D08">
        <w:rPr>
          <w:szCs w:val="24"/>
          <w:lang w:val="fr-CA"/>
        </w:rPr>
        <w:t>’</w:t>
      </w:r>
      <w:r w:rsidRPr="00852D08">
        <w:rPr>
          <w:szCs w:val="24"/>
          <w:lang w:val="fr-CA"/>
        </w:rPr>
        <w:t xml:space="preserve">engager des poursuites. </w:t>
      </w:r>
      <w:r w:rsidR="00CC716D" w:rsidRPr="00852D08">
        <w:rPr>
          <w:szCs w:val="24"/>
          <w:lang w:val="fr-CA"/>
        </w:rPr>
        <w:t xml:space="preserve"> </w:t>
      </w:r>
      <w:r w:rsidRPr="00852D08">
        <w:rPr>
          <w:szCs w:val="24"/>
          <w:lang w:val="fr-CA"/>
        </w:rPr>
        <w:t>L</w:t>
      </w:r>
      <w:r w:rsidR="009B4529" w:rsidRPr="00852D08">
        <w:rPr>
          <w:szCs w:val="24"/>
          <w:lang w:val="fr-CA"/>
        </w:rPr>
        <w:t>’</w:t>
      </w:r>
      <w:r w:rsidRPr="00852D08">
        <w:rPr>
          <w:szCs w:val="24"/>
          <w:lang w:val="fr-CA"/>
        </w:rPr>
        <w:t>équité procédurale n</w:t>
      </w:r>
      <w:r w:rsidR="009B4529" w:rsidRPr="00852D08">
        <w:rPr>
          <w:szCs w:val="24"/>
          <w:lang w:val="fr-CA"/>
        </w:rPr>
        <w:t>’</w:t>
      </w:r>
      <w:r w:rsidRPr="00852D08">
        <w:rPr>
          <w:szCs w:val="24"/>
          <w:lang w:val="fr-CA"/>
        </w:rPr>
        <w:t>exige pas du ministre qu</w:t>
      </w:r>
      <w:r w:rsidR="009B4529" w:rsidRPr="00852D08">
        <w:rPr>
          <w:szCs w:val="24"/>
          <w:lang w:val="fr-CA"/>
        </w:rPr>
        <w:t>’</w:t>
      </w:r>
      <w:r w:rsidRPr="00852D08">
        <w:rPr>
          <w:szCs w:val="24"/>
          <w:lang w:val="fr-CA"/>
        </w:rPr>
        <w:t xml:space="preserve">il obtienne </w:t>
      </w:r>
      <w:r w:rsidR="006F63DC" w:rsidRPr="00852D08">
        <w:rPr>
          <w:szCs w:val="24"/>
          <w:lang w:val="fr-CA"/>
        </w:rPr>
        <w:t>puis</w:t>
      </w:r>
      <w:r w:rsidRPr="00852D08">
        <w:rPr>
          <w:szCs w:val="24"/>
          <w:lang w:val="fr-CA"/>
        </w:rPr>
        <w:t xml:space="preserve"> communique chacun des documents susceptibles d</w:t>
      </w:r>
      <w:r w:rsidR="009B4529" w:rsidRPr="00852D08">
        <w:rPr>
          <w:szCs w:val="24"/>
          <w:lang w:val="fr-CA"/>
        </w:rPr>
        <w:t>’</w:t>
      </w:r>
      <w:r w:rsidRPr="00852D08">
        <w:rPr>
          <w:szCs w:val="24"/>
          <w:lang w:val="fr-CA"/>
        </w:rPr>
        <w:t xml:space="preserve">avoir un lien indirect avec la procédure au terme de laquelle </w:t>
      </w:r>
      <w:r w:rsidR="00FD1D2B" w:rsidRPr="00852D08">
        <w:rPr>
          <w:szCs w:val="24"/>
          <w:lang w:val="fr-CA"/>
        </w:rPr>
        <w:t xml:space="preserve">est prise </w:t>
      </w:r>
      <w:r w:rsidRPr="00852D08">
        <w:rPr>
          <w:szCs w:val="24"/>
          <w:lang w:val="fr-CA"/>
        </w:rPr>
        <w:t>la décision d</w:t>
      </w:r>
      <w:r w:rsidR="009B4529" w:rsidRPr="00852D08">
        <w:rPr>
          <w:szCs w:val="24"/>
          <w:lang w:val="fr-CA"/>
        </w:rPr>
        <w:t>’</w:t>
      </w:r>
      <w:r w:rsidRPr="00852D08">
        <w:rPr>
          <w:szCs w:val="24"/>
          <w:lang w:val="fr-CA"/>
        </w:rPr>
        <w:t xml:space="preserve">extrader les intéressés.   </w:t>
      </w:r>
    </w:p>
    <w:p w:rsidR="009A5E60" w:rsidRPr="00852D08" w:rsidRDefault="009A5E60" w:rsidP="009A5E60">
      <w:pPr>
        <w:pStyle w:val="SCCNormalDoubleSpacing"/>
        <w:spacing w:after="480"/>
        <w:rPr>
          <w:szCs w:val="24"/>
          <w:lang w:val="fr-CA"/>
        </w:rPr>
      </w:pPr>
      <w:r w:rsidRPr="00852D08">
        <w:rPr>
          <w:szCs w:val="24"/>
          <w:lang w:val="fr-CA"/>
        </w:rPr>
        <w:lastRenderedPageBreak/>
        <w:tab/>
        <w:t xml:space="preserve">S et N contestent la constitutionnalité des dispositions canadiennes sur le terrorisme </w:t>
      </w:r>
      <w:r w:rsidR="00FD1D2B" w:rsidRPr="00852D08">
        <w:rPr>
          <w:szCs w:val="24"/>
          <w:lang w:val="fr-CA"/>
        </w:rPr>
        <w:t xml:space="preserve">qui correspondent </w:t>
      </w:r>
      <w:r w:rsidR="0064211A" w:rsidRPr="00852D08">
        <w:rPr>
          <w:szCs w:val="24"/>
          <w:lang w:val="fr-CA"/>
        </w:rPr>
        <w:t xml:space="preserve">aux </w:t>
      </w:r>
      <w:r w:rsidR="00FD1D2B" w:rsidRPr="00852D08">
        <w:rPr>
          <w:szCs w:val="24"/>
          <w:lang w:val="fr-CA"/>
        </w:rPr>
        <w:t>infractions</w:t>
      </w:r>
      <w:r w:rsidR="0064211A" w:rsidRPr="00852D08">
        <w:rPr>
          <w:szCs w:val="24"/>
          <w:lang w:val="fr-CA"/>
        </w:rPr>
        <w:t xml:space="preserve"> </w:t>
      </w:r>
      <w:r w:rsidR="006F63DC" w:rsidRPr="00852D08">
        <w:rPr>
          <w:szCs w:val="24"/>
          <w:lang w:val="fr-CA"/>
        </w:rPr>
        <w:t>pour lesquel</w:t>
      </w:r>
      <w:r w:rsidR="00FD1D2B" w:rsidRPr="00852D08">
        <w:rPr>
          <w:szCs w:val="24"/>
          <w:lang w:val="fr-CA"/>
        </w:rPr>
        <w:t>le</w:t>
      </w:r>
      <w:r w:rsidR="006F63DC" w:rsidRPr="00852D08">
        <w:rPr>
          <w:szCs w:val="24"/>
          <w:lang w:val="fr-CA"/>
        </w:rPr>
        <w:t>s les</w:t>
      </w:r>
      <w:r w:rsidRPr="00852D08">
        <w:rPr>
          <w:szCs w:val="24"/>
          <w:lang w:val="fr-CA"/>
        </w:rPr>
        <w:t xml:space="preserve"> </w:t>
      </w:r>
      <w:proofErr w:type="spellStart"/>
      <w:r w:rsidR="006F63DC" w:rsidRPr="00852D08">
        <w:rPr>
          <w:szCs w:val="24"/>
          <w:lang w:val="fr-CA"/>
        </w:rPr>
        <w:t>États</w:t>
      </w:r>
      <w:r w:rsidR="00CC716D" w:rsidRPr="00852D08">
        <w:rPr>
          <w:szCs w:val="24"/>
          <w:lang w:val="fr-CA"/>
        </w:rPr>
        <w:noBreakHyphen/>
      </w:r>
      <w:r w:rsidR="006F63DC" w:rsidRPr="00852D08">
        <w:rPr>
          <w:szCs w:val="24"/>
          <w:lang w:val="fr-CA"/>
        </w:rPr>
        <w:t>Unis</w:t>
      </w:r>
      <w:proofErr w:type="spellEnd"/>
      <w:r w:rsidR="006F63DC" w:rsidRPr="00852D08">
        <w:rPr>
          <w:szCs w:val="24"/>
          <w:lang w:val="fr-CA"/>
        </w:rPr>
        <w:t xml:space="preserve"> demandent leur extradition</w:t>
      </w:r>
      <w:r w:rsidRPr="00852D08">
        <w:rPr>
          <w:szCs w:val="24"/>
          <w:lang w:val="fr-CA"/>
        </w:rPr>
        <w:t>.  Ce motif d</w:t>
      </w:r>
      <w:r w:rsidR="009B4529" w:rsidRPr="00852D08">
        <w:rPr>
          <w:szCs w:val="24"/>
          <w:lang w:val="fr-CA"/>
        </w:rPr>
        <w:t>’</w:t>
      </w:r>
      <w:r w:rsidRPr="00852D08">
        <w:rPr>
          <w:szCs w:val="24"/>
          <w:lang w:val="fr-CA"/>
        </w:rPr>
        <w:t xml:space="preserve">appel est examiné et rejeté dans le pourvoi connexe </w:t>
      </w:r>
      <w:r w:rsidRPr="00852D08">
        <w:rPr>
          <w:i/>
          <w:szCs w:val="24"/>
          <w:lang w:val="fr-CA"/>
        </w:rPr>
        <w:t xml:space="preserve">R. c. </w:t>
      </w:r>
      <w:proofErr w:type="spellStart"/>
      <w:r w:rsidRPr="00852D08">
        <w:rPr>
          <w:i/>
          <w:szCs w:val="24"/>
          <w:lang w:val="fr-CA"/>
        </w:rPr>
        <w:t>Khawaja</w:t>
      </w:r>
      <w:proofErr w:type="spellEnd"/>
      <w:r w:rsidRPr="00852D08">
        <w:rPr>
          <w:szCs w:val="24"/>
          <w:lang w:val="fr-CA"/>
        </w:rPr>
        <w:t xml:space="preserve">, 2012 CSC </w:t>
      </w:r>
      <w:r w:rsidR="00301655" w:rsidRPr="00852D08">
        <w:rPr>
          <w:szCs w:val="24"/>
          <w:lang w:val="fr-CA"/>
        </w:rPr>
        <w:t>69</w:t>
      </w:r>
      <w:r w:rsidR="005735A9" w:rsidRPr="00852D08">
        <w:rPr>
          <w:szCs w:val="24"/>
          <w:lang w:val="fr-CA"/>
        </w:rPr>
        <w:t xml:space="preserve">, [2012] 3 R.C.S. </w:t>
      </w:r>
      <w:r w:rsidR="006E7B43">
        <w:rPr>
          <w:szCs w:val="24"/>
          <w:lang w:val="fr-CA"/>
        </w:rPr>
        <w:t>555</w:t>
      </w:r>
      <w:r w:rsidRPr="00852D08">
        <w:rPr>
          <w:szCs w:val="24"/>
          <w:lang w:val="fr-CA"/>
        </w:rPr>
        <w:t>.</w:t>
      </w:r>
    </w:p>
    <w:p w:rsidR="004D7D95" w:rsidRPr="00852D08" w:rsidRDefault="004D7D95" w:rsidP="009A5E60">
      <w:pPr>
        <w:pStyle w:val="SCCNormalDoubleSpacing"/>
        <w:spacing w:after="480"/>
        <w:rPr>
          <w:b/>
          <w:szCs w:val="24"/>
          <w:lang w:val="fr-CA"/>
        </w:rPr>
      </w:pPr>
      <w:r w:rsidRPr="00852D08">
        <w:rPr>
          <w:b/>
          <w:szCs w:val="24"/>
          <w:lang w:val="fr-CA"/>
        </w:rPr>
        <w:t>Jurisprudence</w:t>
      </w:r>
    </w:p>
    <w:p w:rsidR="004D7D95" w:rsidRPr="00852D08" w:rsidRDefault="004D7D95" w:rsidP="00DF6AC0">
      <w:pPr>
        <w:pStyle w:val="SCCNormalDoubleSpacing"/>
        <w:widowControl w:val="0"/>
        <w:spacing w:after="480"/>
        <w:rPr>
          <w:b/>
          <w:szCs w:val="24"/>
          <w:lang w:val="fr-CA"/>
        </w:rPr>
      </w:pPr>
      <w:r w:rsidRPr="00852D08">
        <w:rPr>
          <w:szCs w:val="24"/>
          <w:lang w:val="fr-CA"/>
        </w:rPr>
        <w:tab/>
      </w:r>
      <w:r w:rsidRPr="00852D08">
        <w:rPr>
          <w:b/>
          <w:szCs w:val="24"/>
          <w:lang w:val="fr-CA"/>
        </w:rPr>
        <w:t xml:space="preserve">Arrêts </w:t>
      </w:r>
      <w:r w:rsidR="00CE5483" w:rsidRPr="00852D08">
        <w:rPr>
          <w:b/>
          <w:szCs w:val="24"/>
          <w:lang w:val="fr-CA"/>
        </w:rPr>
        <w:t>analysés</w:t>
      </w:r>
      <w:r w:rsidR="00CC716D" w:rsidRPr="00852D08">
        <w:rPr>
          <w:b/>
          <w:szCs w:val="24"/>
          <w:lang w:val="fr-CA"/>
        </w:rPr>
        <w:t> :</w:t>
      </w:r>
      <w:r w:rsidR="00CE5483" w:rsidRPr="00852D08">
        <w:rPr>
          <w:b/>
          <w:szCs w:val="24"/>
          <w:lang w:val="fr-CA"/>
        </w:rPr>
        <w:t xml:space="preserve"> </w:t>
      </w:r>
      <w:bookmarkStart w:id="0" w:name="OLE_LINK1"/>
      <w:bookmarkStart w:id="1" w:name="OLE_LINK2"/>
      <w:proofErr w:type="spellStart"/>
      <w:r w:rsidR="00CE5483" w:rsidRPr="00852D08">
        <w:rPr>
          <w:i/>
          <w:szCs w:val="24"/>
          <w:lang w:val="fr-CA"/>
        </w:rPr>
        <w:t>États</w:t>
      </w:r>
      <w:r w:rsidR="00CC716D" w:rsidRPr="00852D08">
        <w:rPr>
          <w:i/>
          <w:szCs w:val="24"/>
          <w:lang w:val="fr-CA"/>
        </w:rPr>
        <w:noBreakHyphen/>
      </w:r>
      <w:r w:rsidR="00CE5483" w:rsidRPr="00852D08">
        <w:rPr>
          <w:i/>
          <w:szCs w:val="24"/>
          <w:lang w:val="fr-CA"/>
        </w:rPr>
        <w:t>Unis</w:t>
      </w:r>
      <w:proofErr w:type="spellEnd"/>
      <w:r w:rsidR="00CE5483" w:rsidRPr="00852D08">
        <w:rPr>
          <w:i/>
          <w:szCs w:val="24"/>
          <w:lang w:val="fr-CA"/>
        </w:rPr>
        <w:t xml:space="preserve"> d</w:t>
      </w:r>
      <w:r w:rsidR="009B4529" w:rsidRPr="00852D08">
        <w:rPr>
          <w:i/>
          <w:szCs w:val="24"/>
          <w:lang w:val="fr-CA"/>
        </w:rPr>
        <w:t>’</w:t>
      </w:r>
      <w:r w:rsidR="00CE5483" w:rsidRPr="00852D08">
        <w:rPr>
          <w:i/>
          <w:szCs w:val="24"/>
          <w:lang w:val="fr-CA"/>
        </w:rPr>
        <w:t xml:space="preserve">Amérique c. </w:t>
      </w:r>
      <w:proofErr w:type="spellStart"/>
      <w:r w:rsidR="00CE5483" w:rsidRPr="00852D08">
        <w:rPr>
          <w:i/>
          <w:szCs w:val="24"/>
          <w:lang w:val="fr-CA"/>
        </w:rPr>
        <w:t>Cotroni</w:t>
      </w:r>
      <w:proofErr w:type="spellEnd"/>
      <w:r w:rsidR="00CE5483" w:rsidRPr="00852D08">
        <w:rPr>
          <w:szCs w:val="24"/>
          <w:lang w:val="fr-CA"/>
        </w:rPr>
        <w:t xml:space="preserve">, [1989] 1 R.C.S. 1469; </w:t>
      </w:r>
      <w:proofErr w:type="spellStart"/>
      <w:r w:rsidR="00CE5483" w:rsidRPr="00852D08">
        <w:rPr>
          <w:i/>
          <w:szCs w:val="24"/>
          <w:lang w:val="fr-CA"/>
        </w:rPr>
        <w:t>États</w:t>
      </w:r>
      <w:r w:rsidR="00CC716D" w:rsidRPr="00852D08">
        <w:rPr>
          <w:i/>
          <w:szCs w:val="24"/>
          <w:lang w:val="fr-CA"/>
        </w:rPr>
        <w:noBreakHyphen/>
      </w:r>
      <w:r w:rsidR="00CE5483" w:rsidRPr="00852D08">
        <w:rPr>
          <w:i/>
          <w:szCs w:val="24"/>
          <w:lang w:val="fr-CA"/>
        </w:rPr>
        <w:t>Unis</w:t>
      </w:r>
      <w:proofErr w:type="spellEnd"/>
      <w:r w:rsidR="00CE5483" w:rsidRPr="00852D08">
        <w:rPr>
          <w:i/>
          <w:szCs w:val="24"/>
          <w:lang w:val="fr-CA"/>
        </w:rPr>
        <w:t xml:space="preserve"> d</w:t>
      </w:r>
      <w:r w:rsidR="009B4529" w:rsidRPr="00852D08">
        <w:rPr>
          <w:i/>
          <w:szCs w:val="24"/>
          <w:lang w:val="fr-CA"/>
        </w:rPr>
        <w:t>’</w:t>
      </w:r>
      <w:r w:rsidR="00CE5483" w:rsidRPr="00852D08">
        <w:rPr>
          <w:i/>
          <w:szCs w:val="24"/>
          <w:lang w:val="fr-CA"/>
        </w:rPr>
        <w:t>Amérique c. Kwok</w:t>
      </w:r>
      <w:r w:rsidR="00CE5483" w:rsidRPr="00852D08">
        <w:rPr>
          <w:szCs w:val="24"/>
          <w:lang w:val="fr-CA"/>
        </w:rPr>
        <w:t xml:space="preserve">, 2001 CSC 18, [2001] 1 R.C.S. 532; </w:t>
      </w:r>
      <w:r w:rsidR="00CE5483" w:rsidRPr="00852D08">
        <w:rPr>
          <w:i/>
          <w:szCs w:val="24"/>
          <w:lang w:val="fr-CA"/>
        </w:rPr>
        <w:t>Lake c. Canada (Ministre de la Justice)</w:t>
      </w:r>
      <w:r w:rsidR="00CE5483" w:rsidRPr="00852D08">
        <w:rPr>
          <w:szCs w:val="24"/>
          <w:lang w:val="fr-CA"/>
        </w:rPr>
        <w:t xml:space="preserve">, 2008 CSC 23, [2008] 1 R.C.S. 761; </w:t>
      </w:r>
      <w:r w:rsidR="00CE5483" w:rsidRPr="00852D08">
        <w:rPr>
          <w:b/>
          <w:szCs w:val="24"/>
          <w:lang w:val="fr-CA"/>
        </w:rPr>
        <w:t>arrêts mentionnés</w:t>
      </w:r>
      <w:r w:rsidR="00CC716D" w:rsidRPr="00852D08">
        <w:rPr>
          <w:b/>
          <w:szCs w:val="24"/>
          <w:lang w:val="fr-CA"/>
        </w:rPr>
        <w:t> :</w:t>
      </w:r>
      <w:r w:rsidR="00CE5483" w:rsidRPr="00852D08">
        <w:rPr>
          <w:b/>
          <w:szCs w:val="24"/>
          <w:lang w:val="fr-CA"/>
        </w:rPr>
        <w:t xml:space="preserve"> </w:t>
      </w:r>
      <w:r w:rsidR="00865095" w:rsidRPr="00852D08">
        <w:rPr>
          <w:i/>
          <w:szCs w:val="24"/>
          <w:lang w:val="fr-CA"/>
        </w:rPr>
        <w:t xml:space="preserve">R. c. </w:t>
      </w:r>
      <w:proofErr w:type="spellStart"/>
      <w:r w:rsidR="00865095" w:rsidRPr="00852D08">
        <w:rPr>
          <w:i/>
          <w:szCs w:val="24"/>
          <w:lang w:val="fr-CA"/>
        </w:rPr>
        <w:t>Khawaja</w:t>
      </w:r>
      <w:proofErr w:type="spellEnd"/>
      <w:r w:rsidR="00865095" w:rsidRPr="00852D08">
        <w:rPr>
          <w:szCs w:val="24"/>
          <w:lang w:val="fr-CA"/>
        </w:rPr>
        <w:t xml:space="preserve">, 2012 CSC </w:t>
      </w:r>
      <w:r w:rsidR="000C4DB1" w:rsidRPr="00852D08">
        <w:rPr>
          <w:szCs w:val="24"/>
          <w:lang w:val="fr-CA"/>
        </w:rPr>
        <w:t>69</w:t>
      </w:r>
      <w:r w:rsidR="005735A9" w:rsidRPr="00852D08">
        <w:rPr>
          <w:szCs w:val="24"/>
          <w:lang w:val="fr-CA"/>
        </w:rPr>
        <w:t xml:space="preserve">, [2012] 3 R.C.S. </w:t>
      </w:r>
      <w:r w:rsidR="006E7B43">
        <w:rPr>
          <w:szCs w:val="24"/>
          <w:lang w:val="fr-CA"/>
        </w:rPr>
        <w:t>555</w:t>
      </w:r>
      <w:r w:rsidR="00B52F44" w:rsidRPr="00852D08">
        <w:rPr>
          <w:szCs w:val="24"/>
          <w:lang w:val="fr-CA"/>
        </w:rPr>
        <w:t xml:space="preserve">; </w:t>
      </w:r>
      <w:r w:rsidR="00A11011" w:rsidRPr="00852D08">
        <w:rPr>
          <w:i/>
          <w:szCs w:val="24"/>
          <w:lang w:val="fr-CA"/>
        </w:rPr>
        <w:t>R. c. Henry</w:t>
      </w:r>
      <w:r w:rsidR="00A11011" w:rsidRPr="00852D08">
        <w:rPr>
          <w:szCs w:val="24"/>
          <w:lang w:val="fr-CA"/>
        </w:rPr>
        <w:t>, 2005 CSC 76, [2005] 3 R.C.S. 609</w:t>
      </w:r>
      <w:r w:rsidR="00AA3001" w:rsidRPr="00852D08">
        <w:rPr>
          <w:szCs w:val="24"/>
          <w:lang w:val="fr-CA"/>
        </w:rPr>
        <w:t xml:space="preserve">; </w:t>
      </w:r>
      <w:r w:rsidR="00AA3001" w:rsidRPr="00852D08">
        <w:rPr>
          <w:i/>
          <w:szCs w:val="24"/>
          <w:lang w:val="fr-CA"/>
        </w:rPr>
        <w:t xml:space="preserve">R. c. </w:t>
      </w:r>
      <w:proofErr w:type="spellStart"/>
      <w:r w:rsidR="00AA3001" w:rsidRPr="00852D08">
        <w:rPr>
          <w:i/>
          <w:szCs w:val="24"/>
          <w:lang w:val="fr-CA"/>
        </w:rPr>
        <w:t>Stinchcombe</w:t>
      </w:r>
      <w:proofErr w:type="spellEnd"/>
      <w:r w:rsidR="00AA3001" w:rsidRPr="00852D08">
        <w:rPr>
          <w:szCs w:val="24"/>
          <w:lang w:val="fr-CA"/>
        </w:rPr>
        <w:t>, [1991] 3 R.C.S. 326</w:t>
      </w:r>
      <w:r w:rsidR="00865095" w:rsidRPr="00852D08">
        <w:rPr>
          <w:szCs w:val="24"/>
          <w:lang w:val="fr-CA"/>
        </w:rPr>
        <w:t>.</w:t>
      </w:r>
      <w:bookmarkEnd w:id="0"/>
      <w:bookmarkEnd w:id="1"/>
    </w:p>
    <w:p w:rsidR="004D7D95" w:rsidRPr="00852D08" w:rsidRDefault="004D7D95" w:rsidP="00DF6AC0">
      <w:pPr>
        <w:pStyle w:val="SCCNormalDoubleSpacing"/>
        <w:keepNext/>
        <w:spacing w:after="480"/>
        <w:rPr>
          <w:b/>
          <w:szCs w:val="24"/>
          <w:lang w:val="fr-CA"/>
        </w:rPr>
      </w:pPr>
      <w:r w:rsidRPr="00852D08">
        <w:rPr>
          <w:b/>
          <w:szCs w:val="24"/>
          <w:lang w:val="fr-CA"/>
        </w:rPr>
        <w:t>Lois et règlements cités</w:t>
      </w:r>
    </w:p>
    <w:p w:rsidR="001C11AF" w:rsidRPr="00852D08" w:rsidRDefault="001C11AF" w:rsidP="001F2A50">
      <w:pPr>
        <w:pStyle w:val="SCCNormalDoubleSpacing"/>
        <w:spacing w:after="240" w:line="240" w:lineRule="auto"/>
        <w:ind w:left="539" w:hanging="539"/>
        <w:rPr>
          <w:szCs w:val="24"/>
          <w:lang w:val="fr-CA"/>
        </w:rPr>
      </w:pPr>
      <w:r w:rsidRPr="00852D08">
        <w:rPr>
          <w:i/>
          <w:szCs w:val="24"/>
          <w:lang w:val="fr-CA"/>
        </w:rPr>
        <w:t>Charte canadienne des droits et libertés</w:t>
      </w:r>
      <w:r w:rsidRPr="00852D08">
        <w:rPr>
          <w:szCs w:val="24"/>
          <w:lang w:val="fr-CA"/>
        </w:rPr>
        <w:t xml:space="preserve">, </w:t>
      </w:r>
      <w:r w:rsidR="00CC716D" w:rsidRPr="00852D08">
        <w:rPr>
          <w:szCs w:val="24"/>
          <w:lang w:val="fr-CA"/>
        </w:rPr>
        <w:t>art. </w:t>
      </w:r>
      <w:r w:rsidR="00AA3B27" w:rsidRPr="00852D08">
        <w:rPr>
          <w:szCs w:val="24"/>
          <w:lang w:val="fr-CA"/>
        </w:rPr>
        <w:t xml:space="preserve">1, </w:t>
      </w:r>
      <w:r w:rsidR="008217F0" w:rsidRPr="00852D08">
        <w:rPr>
          <w:szCs w:val="24"/>
          <w:lang w:val="fr-CA"/>
        </w:rPr>
        <w:t xml:space="preserve">2, </w:t>
      </w:r>
      <w:r w:rsidRPr="00852D08">
        <w:rPr>
          <w:szCs w:val="24"/>
          <w:lang w:val="fr-CA"/>
        </w:rPr>
        <w:t>6(1)</w:t>
      </w:r>
      <w:r w:rsidR="008217F0" w:rsidRPr="00852D08">
        <w:rPr>
          <w:szCs w:val="24"/>
          <w:lang w:val="fr-CA"/>
        </w:rPr>
        <w:t>, 7</w:t>
      </w:r>
      <w:r w:rsidRPr="00852D08">
        <w:rPr>
          <w:szCs w:val="24"/>
          <w:lang w:val="fr-CA"/>
        </w:rPr>
        <w:t>.</w:t>
      </w:r>
    </w:p>
    <w:p w:rsidR="004D7D95" w:rsidRPr="00852D08" w:rsidRDefault="006708C1" w:rsidP="001F2A50">
      <w:pPr>
        <w:pStyle w:val="SCCNormalDoubleSpacing"/>
        <w:spacing w:after="240" w:line="240" w:lineRule="auto"/>
        <w:ind w:left="539" w:hanging="539"/>
        <w:rPr>
          <w:szCs w:val="24"/>
          <w:lang w:val="fr-CA"/>
        </w:rPr>
      </w:pPr>
      <w:r w:rsidRPr="00852D08">
        <w:rPr>
          <w:i/>
          <w:szCs w:val="24"/>
          <w:lang w:val="fr-CA"/>
        </w:rPr>
        <w:t>Loi sur l</w:t>
      </w:r>
      <w:r w:rsidR="009B4529" w:rsidRPr="00852D08">
        <w:rPr>
          <w:i/>
          <w:szCs w:val="24"/>
          <w:lang w:val="fr-CA"/>
        </w:rPr>
        <w:t>’</w:t>
      </w:r>
      <w:r w:rsidRPr="00852D08">
        <w:rPr>
          <w:i/>
          <w:szCs w:val="24"/>
          <w:lang w:val="fr-CA"/>
        </w:rPr>
        <w:t>extradition</w:t>
      </w:r>
      <w:r w:rsidRPr="00852D08">
        <w:rPr>
          <w:szCs w:val="24"/>
          <w:lang w:val="fr-CA"/>
        </w:rPr>
        <w:t xml:space="preserve">, L.C. 1999, </w:t>
      </w:r>
      <w:r w:rsidR="00CC716D" w:rsidRPr="00852D08">
        <w:rPr>
          <w:szCs w:val="24"/>
          <w:lang w:val="fr-CA"/>
        </w:rPr>
        <w:t>ch. </w:t>
      </w:r>
      <w:r w:rsidRPr="00852D08">
        <w:rPr>
          <w:szCs w:val="24"/>
          <w:lang w:val="fr-CA"/>
        </w:rPr>
        <w:t xml:space="preserve">18, </w:t>
      </w:r>
      <w:r w:rsidR="00CC716D" w:rsidRPr="00852D08">
        <w:rPr>
          <w:szCs w:val="24"/>
          <w:lang w:val="fr-CA"/>
        </w:rPr>
        <w:t>art. </w:t>
      </w:r>
      <w:r w:rsidRPr="00852D08">
        <w:rPr>
          <w:szCs w:val="24"/>
          <w:lang w:val="fr-CA"/>
        </w:rPr>
        <w:t>3</w:t>
      </w:r>
      <w:r w:rsidR="00F413BF" w:rsidRPr="00852D08">
        <w:rPr>
          <w:szCs w:val="24"/>
          <w:lang w:val="fr-CA"/>
        </w:rPr>
        <w:t>, 7</w:t>
      </w:r>
      <w:r w:rsidRPr="00852D08">
        <w:rPr>
          <w:szCs w:val="24"/>
          <w:lang w:val="fr-CA"/>
        </w:rPr>
        <w:t>.</w:t>
      </w:r>
    </w:p>
    <w:p w:rsidR="00553CC4" w:rsidRPr="00852D08" w:rsidRDefault="00553CC4" w:rsidP="00314B89">
      <w:pPr>
        <w:pStyle w:val="SCCNormalDoubleSpacing"/>
        <w:spacing w:after="720" w:line="240" w:lineRule="auto"/>
        <w:ind w:left="540" w:hanging="540"/>
        <w:rPr>
          <w:szCs w:val="24"/>
          <w:lang w:val="fr-CA"/>
        </w:rPr>
      </w:pPr>
      <w:r w:rsidRPr="00852D08">
        <w:rPr>
          <w:i/>
          <w:szCs w:val="24"/>
          <w:lang w:val="fr-CA"/>
        </w:rPr>
        <w:t>Loi sur le transfèrement international des délinquants</w:t>
      </w:r>
      <w:r w:rsidRPr="00852D08">
        <w:rPr>
          <w:szCs w:val="24"/>
          <w:lang w:val="fr-CA"/>
        </w:rPr>
        <w:t xml:space="preserve">, L.C. 2004, </w:t>
      </w:r>
      <w:r w:rsidR="00CC716D" w:rsidRPr="00852D08">
        <w:rPr>
          <w:szCs w:val="24"/>
          <w:lang w:val="fr-CA"/>
        </w:rPr>
        <w:t>ch. </w:t>
      </w:r>
      <w:r w:rsidRPr="00852D08">
        <w:rPr>
          <w:szCs w:val="24"/>
          <w:lang w:val="fr-CA"/>
        </w:rPr>
        <w:t>21.</w:t>
      </w:r>
    </w:p>
    <w:p w:rsidR="004D7D95" w:rsidRPr="00852D08" w:rsidRDefault="004D7D95" w:rsidP="00DF6AC0">
      <w:pPr>
        <w:pStyle w:val="SCCNormalDoubleSpacing"/>
        <w:keepNext/>
        <w:spacing w:after="480"/>
        <w:rPr>
          <w:b/>
          <w:szCs w:val="24"/>
          <w:lang w:val="fr-CA"/>
        </w:rPr>
      </w:pPr>
      <w:r w:rsidRPr="00852D08">
        <w:rPr>
          <w:b/>
          <w:szCs w:val="24"/>
          <w:lang w:val="fr-CA"/>
        </w:rPr>
        <w:t>Doctrine et autres documents cités</w:t>
      </w:r>
    </w:p>
    <w:p w:rsidR="00191098" w:rsidRPr="00852D08" w:rsidRDefault="00191098" w:rsidP="00925E80">
      <w:pPr>
        <w:pStyle w:val="SCCNormalDoubleSpacing"/>
        <w:spacing w:after="720" w:line="240" w:lineRule="auto"/>
        <w:ind w:left="709" w:hanging="709"/>
        <w:rPr>
          <w:szCs w:val="24"/>
          <w:lang w:val="fr-CA"/>
        </w:rPr>
      </w:pPr>
      <w:r w:rsidRPr="00EF751A">
        <w:rPr>
          <w:szCs w:val="24"/>
          <w:lang w:val="en-US"/>
        </w:rPr>
        <w:t xml:space="preserve">Blackstone, William.  </w:t>
      </w:r>
      <w:r w:rsidRPr="00852D08">
        <w:rPr>
          <w:i/>
          <w:szCs w:val="24"/>
        </w:rPr>
        <w:t>Commentaries on the Laws of England</w:t>
      </w:r>
      <w:r w:rsidR="00A11011" w:rsidRPr="00852D08">
        <w:rPr>
          <w:szCs w:val="24"/>
        </w:rPr>
        <w:t xml:space="preserve">, 4th ed., Book </w:t>
      </w:r>
      <w:proofErr w:type="gramStart"/>
      <w:r w:rsidR="00A11011" w:rsidRPr="00852D08">
        <w:rPr>
          <w:szCs w:val="24"/>
        </w:rPr>
        <w:t>I</w:t>
      </w:r>
      <w:proofErr w:type="gramEnd"/>
      <w:r w:rsidRPr="00852D08">
        <w:rPr>
          <w:szCs w:val="24"/>
        </w:rPr>
        <w:t xml:space="preserve">.  </w:t>
      </w:r>
      <w:r w:rsidRPr="00852D08">
        <w:rPr>
          <w:szCs w:val="24"/>
          <w:lang w:val="fr-CA"/>
        </w:rPr>
        <w:t>Oxford</w:t>
      </w:r>
      <w:r w:rsidR="00CC716D" w:rsidRPr="00852D08">
        <w:rPr>
          <w:szCs w:val="24"/>
          <w:lang w:val="fr-CA"/>
        </w:rPr>
        <w:t> :</w:t>
      </w:r>
      <w:r w:rsidRPr="00852D08">
        <w:rPr>
          <w:szCs w:val="24"/>
          <w:lang w:val="fr-CA"/>
        </w:rPr>
        <w:t xml:space="preserve"> </w:t>
      </w:r>
      <w:proofErr w:type="spellStart"/>
      <w:r w:rsidRPr="00852D08">
        <w:rPr>
          <w:szCs w:val="24"/>
          <w:lang w:val="fr-CA"/>
        </w:rPr>
        <w:t>Clarendon</w:t>
      </w:r>
      <w:proofErr w:type="spellEnd"/>
      <w:r w:rsidRPr="00852D08">
        <w:rPr>
          <w:szCs w:val="24"/>
          <w:lang w:val="fr-CA"/>
        </w:rPr>
        <w:t xml:space="preserve"> </w:t>
      </w:r>
      <w:proofErr w:type="spellStart"/>
      <w:r w:rsidRPr="00852D08">
        <w:rPr>
          <w:szCs w:val="24"/>
          <w:lang w:val="fr-CA"/>
        </w:rPr>
        <w:t>Press</w:t>
      </w:r>
      <w:proofErr w:type="spellEnd"/>
      <w:r w:rsidRPr="00852D08">
        <w:rPr>
          <w:szCs w:val="24"/>
          <w:lang w:val="fr-CA"/>
        </w:rPr>
        <w:t>, 1770.</w:t>
      </w:r>
    </w:p>
    <w:p w:rsidR="00717D10" w:rsidRPr="00852D08" w:rsidRDefault="00717D10" w:rsidP="005D0801">
      <w:pPr>
        <w:pStyle w:val="SCCNormalDoubleSpacing"/>
        <w:spacing w:after="480"/>
        <w:rPr>
          <w:szCs w:val="24"/>
          <w:lang w:val="fr-CA"/>
        </w:rPr>
      </w:pPr>
      <w:r w:rsidRPr="00852D08">
        <w:rPr>
          <w:szCs w:val="24"/>
          <w:lang w:val="fr-CA"/>
        </w:rPr>
        <w:lastRenderedPageBreak/>
        <w:tab/>
        <w:t>POURVOI contre un arrêt de la Cour d</w:t>
      </w:r>
      <w:r w:rsidR="009B4529" w:rsidRPr="00852D08">
        <w:rPr>
          <w:szCs w:val="24"/>
          <w:lang w:val="fr-CA"/>
        </w:rPr>
        <w:t>’</w:t>
      </w:r>
      <w:r w:rsidRPr="00852D08">
        <w:rPr>
          <w:szCs w:val="24"/>
          <w:lang w:val="fr-CA"/>
        </w:rPr>
        <w:t>appel de l</w:t>
      </w:r>
      <w:r w:rsidR="009B4529" w:rsidRPr="00852D08">
        <w:rPr>
          <w:szCs w:val="24"/>
          <w:lang w:val="fr-CA"/>
        </w:rPr>
        <w:t>’</w:t>
      </w:r>
      <w:r w:rsidRPr="00852D08">
        <w:rPr>
          <w:szCs w:val="24"/>
          <w:lang w:val="fr-CA"/>
        </w:rPr>
        <w:t xml:space="preserve">Ontario (les juges </w:t>
      </w:r>
      <w:r w:rsidR="004B45A2" w:rsidRPr="00852D08">
        <w:rPr>
          <w:szCs w:val="24"/>
        </w:rPr>
        <w:fldChar w:fldCharType="begin"/>
      </w:r>
      <w:r w:rsidRPr="00852D08">
        <w:rPr>
          <w:szCs w:val="24"/>
          <w:lang w:val="fr-CA"/>
        </w:rPr>
        <w:instrText xml:space="preserve"> SEQ CHAPTER \h \r 1</w:instrText>
      </w:r>
      <w:r w:rsidR="004B45A2" w:rsidRPr="00852D08">
        <w:rPr>
          <w:szCs w:val="24"/>
        </w:rPr>
        <w:fldChar w:fldCharType="end"/>
      </w:r>
      <w:r w:rsidRPr="00852D08">
        <w:rPr>
          <w:szCs w:val="24"/>
          <w:lang w:val="fr-CA"/>
        </w:rPr>
        <w:t xml:space="preserve">Doherty, </w:t>
      </w:r>
      <w:proofErr w:type="spellStart"/>
      <w:r w:rsidRPr="00852D08">
        <w:rPr>
          <w:szCs w:val="24"/>
          <w:lang w:val="fr-CA"/>
        </w:rPr>
        <w:t>Moldaver</w:t>
      </w:r>
      <w:proofErr w:type="spellEnd"/>
      <w:r w:rsidRPr="00852D08">
        <w:rPr>
          <w:szCs w:val="24"/>
          <w:lang w:val="fr-CA"/>
        </w:rPr>
        <w:t xml:space="preserve"> et </w:t>
      </w:r>
      <w:proofErr w:type="spellStart"/>
      <w:r w:rsidRPr="00852D08">
        <w:rPr>
          <w:szCs w:val="24"/>
          <w:lang w:val="fr-CA"/>
        </w:rPr>
        <w:t>Cronk</w:t>
      </w:r>
      <w:proofErr w:type="spellEnd"/>
      <w:r w:rsidRPr="00852D08">
        <w:rPr>
          <w:szCs w:val="24"/>
          <w:lang w:val="fr-CA"/>
        </w:rPr>
        <w:t xml:space="preserve">), </w:t>
      </w:r>
      <w:r w:rsidR="004B45A2" w:rsidRPr="00852D08">
        <w:rPr>
          <w:szCs w:val="24"/>
        </w:rPr>
        <w:fldChar w:fldCharType="begin"/>
      </w:r>
      <w:r w:rsidRPr="00852D08">
        <w:rPr>
          <w:szCs w:val="24"/>
          <w:lang w:val="fr-CA"/>
        </w:rPr>
        <w:instrText xml:space="preserve"> SEQ CHAPTER \h \r 1</w:instrText>
      </w:r>
      <w:r w:rsidR="004B45A2" w:rsidRPr="00852D08">
        <w:rPr>
          <w:szCs w:val="24"/>
        </w:rPr>
        <w:fldChar w:fldCharType="end"/>
      </w:r>
      <w:r w:rsidR="004B45A2" w:rsidRPr="00852D08">
        <w:rPr>
          <w:szCs w:val="24"/>
        </w:rPr>
        <w:fldChar w:fldCharType="begin"/>
      </w:r>
      <w:r w:rsidRPr="00852D08">
        <w:rPr>
          <w:szCs w:val="24"/>
          <w:lang w:val="fr-CA"/>
        </w:rPr>
        <w:instrText xml:space="preserve"> SEQ CHAPTER \h \r 1</w:instrText>
      </w:r>
      <w:r w:rsidR="004B45A2" w:rsidRPr="00852D08">
        <w:rPr>
          <w:szCs w:val="24"/>
        </w:rPr>
        <w:fldChar w:fldCharType="end"/>
      </w:r>
      <w:r w:rsidRPr="00852D08">
        <w:rPr>
          <w:szCs w:val="24"/>
          <w:lang w:val="fr-CA"/>
        </w:rPr>
        <w:t xml:space="preserve">2010 ONCA 859, 109 O.R. (3d) 662, 278 O.A.C. 1, 266 C.C.C. (3d) 447, 81 C.R. (6th) 285, [2010] O.J. </w:t>
      </w:r>
      <w:r w:rsidR="00CC716D" w:rsidRPr="00852D08">
        <w:rPr>
          <w:szCs w:val="24"/>
          <w:lang w:val="fr-CA"/>
        </w:rPr>
        <w:t>No. </w:t>
      </w:r>
      <w:r w:rsidRPr="00852D08">
        <w:rPr>
          <w:szCs w:val="24"/>
          <w:lang w:val="fr-CA"/>
        </w:rPr>
        <w:t xml:space="preserve">5473 (QL), 2010 </w:t>
      </w:r>
      <w:proofErr w:type="spellStart"/>
      <w:r w:rsidRPr="00852D08">
        <w:rPr>
          <w:szCs w:val="24"/>
          <w:lang w:val="fr-CA"/>
        </w:rPr>
        <w:t>CarswellOnt</w:t>
      </w:r>
      <w:proofErr w:type="spellEnd"/>
      <w:r w:rsidRPr="00852D08">
        <w:rPr>
          <w:szCs w:val="24"/>
          <w:lang w:val="fr-CA"/>
        </w:rPr>
        <w:t xml:space="preserve"> 9667, qui a confirmé une ordonnance d</w:t>
      </w:r>
      <w:r w:rsidR="009B4529" w:rsidRPr="00852D08">
        <w:rPr>
          <w:szCs w:val="24"/>
          <w:lang w:val="fr-CA"/>
        </w:rPr>
        <w:t>’</w:t>
      </w:r>
      <w:r w:rsidRPr="00852D08">
        <w:rPr>
          <w:szCs w:val="24"/>
          <w:lang w:val="fr-CA"/>
        </w:rPr>
        <w:t xml:space="preserve">incarcération du juge </w:t>
      </w:r>
      <w:r w:rsidR="004B45A2" w:rsidRPr="00852D08">
        <w:rPr>
          <w:szCs w:val="24"/>
        </w:rPr>
        <w:fldChar w:fldCharType="begin"/>
      </w:r>
      <w:r w:rsidRPr="00852D08">
        <w:rPr>
          <w:szCs w:val="24"/>
          <w:lang w:val="fr-CA"/>
        </w:rPr>
        <w:instrText xml:space="preserve"> SEQ CHAPTER \h \r 1</w:instrText>
      </w:r>
      <w:r w:rsidR="004B45A2" w:rsidRPr="00852D08">
        <w:rPr>
          <w:szCs w:val="24"/>
        </w:rPr>
        <w:fldChar w:fldCharType="end"/>
      </w:r>
      <w:proofErr w:type="spellStart"/>
      <w:r w:rsidRPr="00852D08">
        <w:rPr>
          <w:szCs w:val="24"/>
          <w:lang w:val="fr-CA"/>
        </w:rPr>
        <w:t>Pattillo</w:t>
      </w:r>
      <w:proofErr w:type="spellEnd"/>
      <w:r w:rsidRPr="00852D08">
        <w:rPr>
          <w:szCs w:val="24"/>
          <w:lang w:val="fr-CA"/>
        </w:rPr>
        <w:t xml:space="preserve">, </w:t>
      </w:r>
      <w:r w:rsidR="004B45A2" w:rsidRPr="00852D08">
        <w:rPr>
          <w:szCs w:val="24"/>
        </w:rPr>
        <w:fldChar w:fldCharType="begin"/>
      </w:r>
      <w:r w:rsidRPr="00852D08">
        <w:rPr>
          <w:szCs w:val="24"/>
          <w:lang w:val="fr-CA"/>
        </w:rPr>
        <w:instrText xml:space="preserve"> SEQ CHAPTER \h \r 1</w:instrText>
      </w:r>
      <w:r w:rsidR="004B45A2" w:rsidRPr="00852D08">
        <w:rPr>
          <w:szCs w:val="24"/>
        </w:rPr>
        <w:fldChar w:fldCharType="end"/>
      </w:r>
      <w:r w:rsidRPr="00852D08">
        <w:rPr>
          <w:szCs w:val="24"/>
          <w:lang w:val="fr-CA"/>
        </w:rPr>
        <w:t>95 O.R. (3d) 514, 243 C.C.C. (3d) 281,</w:t>
      </w:r>
      <w:r w:rsidR="002A624B" w:rsidRPr="00852D08">
        <w:rPr>
          <w:szCs w:val="24"/>
          <w:lang w:val="fr-CA"/>
        </w:rPr>
        <w:t xml:space="preserve"> 2009 </w:t>
      </w:r>
      <w:proofErr w:type="spellStart"/>
      <w:r w:rsidR="002A624B" w:rsidRPr="00852D08">
        <w:rPr>
          <w:szCs w:val="24"/>
          <w:lang w:val="fr-CA"/>
        </w:rPr>
        <w:t>CanLII</w:t>
      </w:r>
      <w:proofErr w:type="spellEnd"/>
      <w:r w:rsidR="002A624B" w:rsidRPr="00852D08">
        <w:rPr>
          <w:szCs w:val="24"/>
          <w:lang w:val="fr-CA"/>
        </w:rPr>
        <w:t xml:space="preserve"> 9482,</w:t>
      </w:r>
      <w:r w:rsidRPr="00852D08">
        <w:rPr>
          <w:szCs w:val="24"/>
          <w:lang w:val="fr-CA"/>
        </w:rPr>
        <w:t xml:space="preserve"> [2009] O.J. </w:t>
      </w:r>
      <w:r w:rsidR="00CC716D" w:rsidRPr="00852D08">
        <w:rPr>
          <w:szCs w:val="24"/>
          <w:lang w:val="fr-CA"/>
        </w:rPr>
        <w:t>No. </w:t>
      </w:r>
      <w:r w:rsidRPr="00852D08">
        <w:rPr>
          <w:szCs w:val="24"/>
          <w:lang w:val="fr-CA"/>
        </w:rPr>
        <w:t xml:space="preserve">946 (QL), 2009 </w:t>
      </w:r>
      <w:proofErr w:type="spellStart"/>
      <w:r w:rsidRPr="00852D08">
        <w:rPr>
          <w:szCs w:val="24"/>
          <w:lang w:val="fr-CA"/>
        </w:rPr>
        <w:t>CarswellOnt</w:t>
      </w:r>
      <w:proofErr w:type="spellEnd"/>
      <w:r w:rsidRPr="00852D08">
        <w:rPr>
          <w:szCs w:val="24"/>
          <w:lang w:val="fr-CA"/>
        </w:rPr>
        <w:t xml:space="preserve"> 1524</w:t>
      </w:r>
      <w:r w:rsidR="002C727D" w:rsidRPr="00852D08">
        <w:rPr>
          <w:szCs w:val="24"/>
          <w:lang w:val="fr-CA"/>
        </w:rPr>
        <w:t xml:space="preserve">, et une décision du </w:t>
      </w:r>
      <w:r w:rsidR="00AD31B8" w:rsidRPr="00852D08">
        <w:rPr>
          <w:szCs w:val="24"/>
          <w:lang w:val="fr-CA"/>
        </w:rPr>
        <w:t>m</w:t>
      </w:r>
      <w:r w:rsidR="002C727D" w:rsidRPr="00852D08">
        <w:rPr>
          <w:szCs w:val="24"/>
          <w:lang w:val="fr-CA"/>
        </w:rPr>
        <w:t>inis</w:t>
      </w:r>
      <w:r w:rsidR="00CC716D" w:rsidRPr="00852D08">
        <w:rPr>
          <w:szCs w:val="24"/>
          <w:lang w:val="fr-CA"/>
        </w:rPr>
        <w:t>tre de la Justice en date du 17 </w:t>
      </w:r>
      <w:r w:rsidR="002C727D" w:rsidRPr="00852D08">
        <w:rPr>
          <w:szCs w:val="24"/>
          <w:lang w:val="fr-CA"/>
        </w:rPr>
        <w:t>novembre 2009 ordonnant l</w:t>
      </w:r>
      <w:r w:rsidR="009B4529" w:rsidRPr="00852D08">
        <w:rPr>
          <w:szCs w:val="24"/>
          <w:lang w:val="fr-CA"/>
        </w:rPr>
        <w:t>’</w:t>
      </w:r>
      <w:r w:rsidR="002C727D" w:rsidRPr="00852D08">
        <w:rPr>
          <w:szCs w:val="24"/>
          <w:lang w:val="fr-CA"/>
        </w:rPr>
        <w:t>extradition de l</w:t>
      </w:r>
      <w:r w:rsidR="009B4529" w:rsidRPr="00852D08">
        <w:rPr>
          <w:szCs w:val="24"/>
          <w:lang w:val="fr-CA"/>
        </w:rPr>
        <w:t>’</w:t>
      </w:r>
      <w:r w:rsidR="002C727D" w:rsidRPr="00852D08">
        <w:rPr>
          <w:szCs w:val="24"/>
          <w:lang w:val="fr-CA"/>
        </w:rPr>
        <w:t xml:space="preserve">appelant </w:t>
      </w:r>
      <w:r w:rsidR="00AD31B8" w:rsidRPr="00852D08">
        <w:rPr>
          <w:szCs w:val="24"/>
          <w:lang w:val="fr-CA"/>
        </w:rPr>
        <w:t>vers les</w:t>
      </w:r>
      <w:r w:rsidR="002C727D" w:rsidRPr="00852D08">
        <w:rPr>
          <w:szCs w:val="24"/>
          <w:lang w:val="fr-CA"/>
        </w:rPr>
        <w:t xml:space="preserve"> </w:t>
      </w:r>
      <w:proofErr w:type="spellStart"/>
      <w:r w:rsidR="00AD31B8" w:rsidRPr="00852D08">
        <w:rPr>
          <w:szCs w:val="24"/>
          <w:lang w:val="fr-CA"/>
        </w:rPr>
        <w:t>É</w:t>
      </w:r>
      <w:r w:rsidR="002C727D" w:rsidRPr="00852D08">
        <w:rPr>
          <w:szCs w:val="24"/>
          <w:lang w:val="fr-CA"/>
        </w:rPr>
        <w:t>tats</w:t>
      </w:r>
      <w:r w:rsidR="00CC716D" w:rsidRPr="00852D08">
        <w:rPr>
          <w:szCs w:val="24"/>
          <w:lang w:val="fr-CA"/>
        </w:rPr>
        <w:noBreakHyphen/>
      </w:r>
      <w:r w:rsidR="002C727D" w:rsidRPr="00852D08">
        <w:rPr>
          <w:szCs w:val="24"/>
          <w:lang w:val="fr-CA"/>
        </w:rPr>
        <w:t>Unis</w:t>
      </w:r>
      <w:proofErr w:type="spellEnd"/>
      <w:r w:rsidR="002C727D" w:rsidRPr="00852D08">
        <w:rPr>
          <w:szCs w:val="24"/>
          <w:lang w:val="fr-CA"/>
        </w:rPr>
        <w:t xml:space="preserve"> d</w:t>
      </w:r>
      <w:r w:rsidR="009B4529" w:rsidRPr="00852D08">
        <w:rPr>
          <w:szCs w:val="24"/>
          <w:lang w:val="fr-CA"/>
        </w:rPr>
        <w:t>’</w:t>
      </w:r>
      <w:r w:rsidR="002C727D" w:rsidRPr="00852D08">
        <w:rPr>
          <w:szCs w:val="24"/>
          <w:lang w:val="fr-CA"/>
        </w:rPr>
        <w:t>Amérique</w:t>
      </w:r>
      <w:r w:rsidRPr="00852D08">
        <w:rPr>
          <w:szCs w:val="24"/>
          <w:lang w:val="fr-CA"/>
        </w:rPr>
        <w:t>.  Pourvoi rejeté.</w:t>
      </w:r>
    </w:p>
    <w:p w:rsidR="00C41260" w:rsidRPr="00852D08" w:rsidRDefault="004D7D95" w:rsidP="005D0801">
      <w:pPr>
        <w:pStyle w:val="SCCNormalDoubleSpacing"/>
        <w:spacing w:after="480"/>
        <w:rPr>
          <w:szCs w:val="24"/>
          <w:lang w:val="fr-CA"/>
        </w:rPr>
      </w:pPr>
      <w:r w:rsidRPr="00852D08">
        <w:rPr>
          <w:szCs w:val="24"/>
          <w:lang w:val="fr-CA"/>
        </w:rPr>
        <w:tab/>
        <w:t>POURVOI contre un arrêt de la Cour d</w:t>
      </w:r>
      <w:r w:rsidR="009B4529" w:rsidRPr="00852D08">
        <w:rPr>
          <w:szCs w:val="24"/>
          <w:lang w:val="fr-CA"/>
        </w:rPr>
        <w:t>’</w:t>
      </w:r>
      <w:r w:rsidRPr="00852D08">
        <w:rPr>
          <w:szCs w:val="24"/>
          <w:lang w:val="fr-CA"/>
        </w:rPr>
        <w:t>appel de l</w:t>
      </w:r>
      <w:r w:rsidR="009B4529" w:rsidRPr="00852D08">
        <w:rPr>
          <w:szCs w:val="24"/>
          <w:lang w:val="fr-CA"/>
        </w:rPr>
        <w:t>’</w:t>
      </w:r>
      <w:r w:rsidRPr="00852D08">
        <w:rPr>
          <w:szCs w:val="24"/>
          <w:lang w:val="fr-CA"/>
        </w:rPr>
        <w:t>Ontario</w:t>
      </w:r>
      <w:r w:rsidR="00C41260" w:rsidRPr="00852D08">
        <w:rPr>
          <w:szCs w:val="24"/>
          <w:lang w:val="fr-CA"/>
        </w:rPr>
        <w:t xml:space="preserve"> (les juges </w:t>
      </w:r>
      <w:r w:rsidR="004B45A2" w:rsidRPr="00852D08">
        <w:rPr>
          <w:szCs w:val="24"/>
        </w:rPr>
        <w:fldChar w:fldCharType="begin"/>
      </w:r>
      <w:r w:rsidR="00C41260" w:rsidRPr="00852D08">
        <w:rPr>
          <w:szCs w:val="24"/>
          <w:lang w:val="fr-CA"/>
        </w:rPr>
        <w:instrText xml:space="preserve"> SEQ CHAPTER \h \r 1</w:instrText>
      </w:r>
      <w:r w:rsidR="004B45A2" w:rsidRPr="00852D08">
        <w:rPr>
          <w:szCs w:val="24"/>
        </w:rPr>
        <w:fldChar w:fldCharType="end"/>
      </w:r>
      <w:r w:rsidR="00C41260" w:rsidRPr="00852D08">
        <w:rPr>
          <w:szCs w:val="24"/>
          <w:lang w:val="fr-CA"/>
        </w:rPr>
        <w:t xml:space="preserve">Doherty, </w:t>
      </w:r>
      <w:proofErr w:type="spellStart"/>
      <w:r w:rsidR="00C41260" w:rsidRPr="00852D08">
        <w:rPr>
          <w:szCs w:val="24"/>
          <w:lang w:val="fr-CA"/>
        </w:rPr>
        <w:t>Moldaver</w:t>
      </w:r>
      <w:proofErr w:type="spellEnd"/>
      <w:r w:rsidR="00C41260" w:rsidRPr="00852D08">
        <w:rPr>
          <w:szCs w:val="24"/>
          <w:lang w:val="fr-CA"/>
        </w:rPr>
        <w:t xml:space="preserve"> et </w:t>
      </w:r>
      <w:proofErr w:type="spellStart"/>
      <w:r w:rsidR="00C41260" w:rsidRPr="00852D08">
        <w:rPr>
          <w:szCs w:val="24"/>
          <w:lang w:val="fr-CA"/>
        </w:rPr>
        <w:t>Cronk</w:t>
      </w:r>
      <w:proofErr w:type="spellEnd"/>
      <w:r w:rsidR="00C41260" w:rsidRPr="00852D08">
        <w:rPr>
          <w:szCs w:val="24"/>
          <w:lang w:val="fr-CA"/>
        </w:rPr>
        <w:t xml:space="preserve">), </w:t>
      </w:r>
      <w:r w:rsidR="004B45A2" w:rsidRPr="00852D08">
        <w:rPr>
          <w:szCs w:val="24"/>
        </w:rPr>
        <w:fldChar w:fldCharType="begin"/>
      </w:r>
      <w:r w:rsidR="00C41260" w:rsidRPr="00852D08">
        <w:rPr>
          <w:szCs w:val="24"/>
          <w:lang w:val="fr-CA"/>
        </w:rPr>
        <w:instrText xml:space="preserve"> SEQ CHAPTER \h \r 1</w:instrText>
      </w:r>
      <w:r w:rsidR="004B45A2" w:rsidRPr="00852D08">
        <w:rPr>
          <w:szCs w:val="24"/>
        </w:rPr>
        <w:fldChar w:fldCharType="end"/>
      </w:r>
      <w:r w:rsidR="00C41260" w:rsidRPr="00852D08">
        <w:rPr>
          <w:szCs w:val="24"/>
          <w:lang w:val="fr-CA"/>
        </w:rPr>
        <w:t xml:space="preserve">2010 ONCA 857, 109 O.R. (3d) 680, 275 O.A.C. 121, 266 C.C.C. (3d) 435, 223 C.R.R. (2d) 339, [2010] O.J. </w:t>
      </w:r>
      <w:r w:rsidR="00CC716D" w:rsidRPr="00852D08">
        <w:rPr>
          <w:szCs w:val="24"/>
          <w:lang w:val="fr-CA"/>
        </w:rPr>
        <w:t>No. </w:t>
      </w:r>
      <w:r w:rsidR="00C41260" w:rsidRPr="00852D08">
        <w:rPr>
          <w:szCs w:val="24"/>
          <w:lang w:val="fr-CA"/>
        </w:rPr>
        <w:t>54</w:t>
      </w:r>
      <w:r w:rsidR="009155CA" w:rsidRPr="00852D08">
        <w:rPr>
          <w:szCs w:val="24"/>
          <w:lang w:val="fr-CA"/>
        </w:rPr>
        <w:t xml:space="preserve">74 (QL), 2010 </w:t>
      </w:r>
      <w:proofErr w:type="spellStart"/>
      <w:r w:rsidR="009155CA" w:rsidRPr="00852D08">
        <w:rPr>
          <w:szCs w:val="24"/>
          <w:lang w:val="fr-CA"/>
        </w:rPr>
        <w:t>CarswellOnt</w:t>
      </w:r>
      <w:proofErr w:type="spellEnd"/>
      <w:r w:rsidR="009155CA" w:rsidRPr="00852D08">
        <w:rPr>
          <w:szCs w:val="24"/>
          <w:lang w:val="fr-CA"/>
        </w:rPr>
        <w:t xml:space="preserve"> 9674, qui a confirmé une ordonnance d</w:t>
      </w:r>
      <w:r w:rsidR="009B4529" w:rsidRPr="00852D08">
        <w:rPr>
          <w:szCs w:val="24"/>
          <w:lang w:val="fr-CA"/>
        </w:rPr>
        <w:t>’</w:t>
      </w:r>
      <w:r w:rsidR="009155CA" w:rsidRPr="00852D08">
        <w:rPr>
          <w:szCs w:val="24"/>
          <w:lang w:val="fr-CA"/>
        </w:rPr>
        <w:t>incarcération du</w:t>
      </w:r>
      <w:r w:rsidR="000616F2" w:rsidRPr="00852D08">
        <w:rPr>
          <w:szCs w:val="24"/>
          <w:lang w:val="fr-CA"/>
        </w:rPr>
        <w:t xml:space="preserve"> juge</w:t>
      </w:r>
      <w:r w:rsidR="00C41260" w:rsidRPr="00852D08">
        <w:rPr>
          <w:szCs w:val="24"/>
          <w:lang w:val="fr-CA"/>
        </w:rPr>
        <w:t xml:space="preserve"> </w:t>
      </w:r>
      <w:r w:rsidR="004B45A2" w:rsidRPr="00852D08">
        <w:rPr>
          <w:szCs w:val="24"/>
        </w:rPr>
        <w:fldChar w:fldCharType="begin"/>
      </w:r>
      <w:r w:rsidR="00C41260" w:rsidRPr="00852D08">
        <w:rPr>
          <w:szCs w:val="24"/>
          <w:lang w:val="fr-CA"/>
        </w:rPr>
        <w:instrText xml:space="preserve"> SEQ CHAPTER \h \r 1</w:instrText>
      </w:r>
      <w:r w:rsidR="004B45A2" w:rsidRPr="00852D08">
        <w:rPr>
          <w:szCs w:val="24"/>
        </w:rPr>
        <w:fldChar w:fldCharType="end"/>
      </w:r>
      <w:proofErr w:type="spellStart"/>
      <w:r w:rsidR="00C41260" w:rsidRPr="00852D08">
        <w:rPr>
          <w:szCs w:val="24"/>
          <w:lang w:val="fr-CA"/>
        </w:rPr>
        <w:t>Pattillo</w:t>
      </w:r>
      <w:proofErr w:type="spellEnd"/>
      <w:r w:rsidR="00C41260" w:rsidRPr="00852D08">
        <w:rPr>
          <w:szCs w:val="24"/>
          <w:lang w:val="fr-CA"/>
        </w:rPr>
        <w:t xml:space="preserve">, </w:t>
      </w:r>
      <w:r w:rsidR="004B45A2" w:rsidRPr="00852D08">
        <w:rPr>
          <w:szCs w:val="24"/>
        </w:rPr>
        <w:fldChar w:fldCharType="begin"/>
      </w:r>
      <w:r w:rsidR="00C41260" w:rsidRPr="00852D08">
        <w:rPr>
          <w:szCs w:val="24"/>
          <w:lang w:val="fr-CA"/>
        </w:rPr>
        <w:instrText xml:space="preserve"> SEQ CHAPTER \h \r 1</w:instrText>
      </w:r>
      <w:r w:rsidR="004B45A2" w:rsidRPr="00852D08">
        <w:rPr>
          <w:szCs w:val="24"/>
        </w:rPr>
        <w:fldChar w:fldCharType="end"/>
      </w:r>
      <w:r w:rsidR="00C41260" w:rsidRPr="00852D08">
        <w:rPr>
          <w:szCs w:val="24"/>
          <w:lang w:val="fr-CA"/>
        </w:rPr>
        <w:t xml:space="preserve"> 95 O.R. (3d) 514, 243 C.C.C. (3d) 281, </w:t>
      </w:r>
      <w:r w:rsidR="002A624B" w:rsidRPr="00852D08">
        <w:rPr>
          <w:szCs w:val="24"/>
          <w:lang w:val="fr-CA"/>
        </w:rPr>
        <w:t xml:space="preserve">2009 </w:t>
      </w:r>
      <w:proofErr w:type="spellStart"/>
      <w:r w:rsidR="002A624B" w:rsidRPr="00852D08">
        <w:rPr>
          <w:szCs w:val="24"/>
          <w:lang w:val="fr-CA"/>
        </w:rPr>
        <w:t>CanLII</w:t>
      </w:r>
      <w:proofErr w:type="spellEnd"/>
      <w:r w:rsidR="002A624B" w:rsidRPr="00852D08">
        <w:rPr>
          <w:szCs w:val="24"/>
          <w:lang w:val="fr-CA"/>
        </w:rPr>
        <w:t xml:space="preserve"> 9482, </w:t>
      </w:r>
      <w:r w:rsidR="00C41260" w:rsidRPr="00852D08">
        <w:rPr>
          <w:szCs w:val="24"/>
          <w:lang w:val="fr-CA"/>
        </w:rPr>
        <w:t xml:space="preserve">[2009] O.J. </w:t>
      </w:r>
      <w:r w:rsidR="00CC716D" w:rsidRPr="00852D08">
        <w:rPr>
          <w:szCs w:val="24"/>
          <w:lang w:val="fr-CA"/>
        </w:rPr>
        <w:t>No. </w:t>
      </w:r>
      <w:r w:rsidR="00C41260" w:rsidRPr="00852D08">
        <w:rPr>
          <w:szCs w:val="24"/>
          <w:lang w:val="fr-CA"/>
        </w:rPr>
        <w:t>946 (QL)</w:t>
      </w:r>
      <w:r w:rsidR="009C5EB8" w:rsidRPr="00852D08">
        <w:rPr>
          <w:szCs w:val="24"/>
          <w:lang w:val="fr-CA"/>
        </w:rPr>
        <w:t xml:space="preserve">, 2009 </w:t>
      </w:r>
      <w:proofErr w:type="spellStart"/>
      <w:r w:rsidR="009C5EB8" w:rsidRPr="00852D08">
        <w:rPr>
          <w:szCs w:val="24"/>
          <w:lang w:val="fr-CA"/>
        </w:rPr>
        <w:t>CarswellOnt</w:t>
      </w:r>
      <w:proofErr w:type="spellEnd"/>
      <w:r w:rsidR="009C5EB8" w:rsidRPr="00852D08">
        <w:rPr>
          <w:szCs w:val="24"/>
          <w:lang w:val="fr-CA"/>
        </w:rPr>
        <w:t xml:space="preserve"> 1524</w:t>
      </w:r>
      <w:r w:rsidR="009155CA" w:rsidRPr="00852D08">
        <w:rPr>
          <w:szCs w:val="24"/>
          <w:lang w:val="fr-CA"/>
        </w:rPr>
        <w:t xml:space="preserve">, et une décision du </w:t>
      </w:r>
      <w:r w:rsidR="007A7A86" w:rsidRPr="00852D08">
        <w:rPr>
          <w:szCs w:val="24"/>
          <w:lang w:val="fr-CA"/>
        </w:rPr>
        <w:t>m</w:t>
      </w:r>
      <w:r w:rsidR="009155CA" w:rsidRPr="00852D08">
        <w:rPr>
          <w:szCs w:val="24"/>
          <w:lang w:val="fr-CA"/>
        </w:rPr>
        <w:t>inis</w:t>
      </w:r>
      <w:r w:rsidR="00CC716D" w:rsidRPr="00852D08">
        <w:rPr>
          <w:szCs w:val="24"/>
          <w:lang w:val="fr-CA"/>
        </w:rPr>
        <w:t>tre de la Justice en date du 17 </w:t>
      </w:r>
      <w:r w:rsidR="009155CA" w:rsidRPr="00852D08">
        <w:rPr>
          <w:szCs w:val="24"/>
          <w:lang w:val="fr-CA"/>
        </w:rPr>
        <w:t>novembre 2009 ordonnant l</w:t>
      </w:r>
      <w:r w:rsidR="009B4529" w:rsidRPr="00852D08">
        <w:rPr>
          <w:szCs w:val="24"/>
          <w:lang w:val="fr-CA"/>
        </w:rPr>
        <w:t>’</w:t>
      </w:r>
      <w:r w:rsidR="009155CA" w:rsidRPr="00852D08">
        <w:rPr>
          <w:szCs w:val="24"/>
          <w:lang w:val="fr-CA"/>
        </w:rPr>
        <w:t>extradition de l</w:t>
      </w:r>
      <w:r w:rsidR="009B4529" w:rsidRPr="00852D08">
        <w:rPr>
          <w:szCs w:val="24"/>
          <w:lang w:val="fr-CA"/>
        </w:rPr>
        <w:t>’</w:t>
      </w:r>
      <w:r w:rsidR="009155CA" w:rsidRPr="00852D08">
        <w:rPr>
          <w:szCs w:val="24"/>
          <w:lang w:val="fr-CA"/>
        </w:rPr>
        <w:t xml:space="preserve">appelant </w:t>
      </w:r>
      <w:r w:rsidR="007A7A86" w:rsidRPr="00852D08">
        <w:rPr>
          <w:szCs w:val="24"/>
          <w:lang w:val="fr-CA"/>
        </w:rPr>
        <w:t>vers les</w:t>
      </w:r>
      <w:r w:rsidR="009155CA" w:rsidRPr="00852D08">
        <w:rPr>
          <w:szCs w:val="24"/>
          <w:lang w:val="fr-CA"/>
        </w:rPr>
        <w:t xml:space="preserve"> </w:t>
      </w:r>
      <w:proofErr w:type="spellStart"/>
      <w:r w:rsidR="007A7A86" w:rsidRPr="00852D08">
        <w:rPr>
          <w:szCs w:val="24"/>
          <w:lang w:val="fr-CA"/>
        </w:rPr>
        <w:t>É</w:t>
      </w:r>
      <w:r w:rsidR="009155CA" w:rsidRPr="00852D08">
        <w:rPr>
          <w:szCs w:val="24"/>
          <w:lang w:val="fr-CA"/>
        </w:rPr>
        <w:t>tats</w:t>
      </w:r>
      <w:r w:rsidR="00CC716D" w:rsidRPr="00852D08">
        <w:rPr>
          <w:szCs w:val="24"/>
          <w:lang w:val="fr-CA"/>
        </w:rPr>
        <w:noBreakHyphen/>
      </w:r>
      <w:r w:rsidR="009155CA" w:rsidRPr="00852D08">
        <w:rPr>
          <w:szCs w:val="24"/>
          <w:lang w:val="fr-CA"/>
        </w:rPr>
        <w:t>Unis</w:t>
      </w:r>
      <w:proofErr w:type="spellEnd"/>
      <w:r w:rsidR="009155CA" w:rsidRPr="00852D08">
        <w:rPr>
          <w:szCs w:val="24"/>
          <w:lang w:val="fr-CA"/>
        </w:rPr>
        <w:t xml:space="preserve"> d</w:t>
      </w:r>
      <w:r w:rsidR="009B4529" w:rsidRPr="00852D08">
        <w:rPr>
          <w:szCs w:val="24"/>
          <w:lang w:val="fr-CA"/>
        </w:rPr>
        <w:t>’</w:t>
      </w:r>
      <w:r w:rsidR="009155CA" w:rsidRPr="00852D08">
        <w:rPr>
          <w:szCs w:val="24"/>
          <w:lang w:val="fr-CA"/>
        </w:rPr>
        <w:t xml:space="preserve">Amérique.  </w:t>
      </w:r>
      <w:r w:rsidR="000616F2" w:rsidRPr="00852D08">
        <w:rPr>
          <w:szCs w:val="24"/>
          <w:lang w:val="fr-CA"/>
        </w:rPr>
        <w:t>Pourvoi rejeté</w:t>
      </w:r>
      <w:r w:rsidR="00C41260" w:rsidRPr="00852D08">
        <w:rPr>
          <w:szCs w:val="24"/>
          <w:lang w:val="fr-CA"/>
        </w:rPr>
        <w:t>.</w:t>
      </w:r>
    </w:p>
    <w:p w:rsidR="00E611D8" w:rsidRPr="00852D08" w:rsidRDefault="003679FE" w:rsidP="00DF6AC0">
      <w:pPr>
        <w:pStyle w:val="SCCNormalDoubleSpacing"/>
        <w:spacing w:after="480"/>
        <w:rPr>
          <w:szCs w:val="24"/>
          <w:lang w:val="fr-CA"/>
        </w:rPr>
      </w:pPr>
      <w:r w:rsidRPr="00852D08">
        <w:rPr>
          <w:i/>
          <w:szCs w:val="24"/>
          <w:lang w:val="fr-CA"/>
        </w:rPr>
        <w:tab/>
      </w:r>
      <w:r w:rsidR="00F75BB0" w:rsidRPr="00852D08">
        <w:rPr>
          <w:i/>
          <w:szCs w:val="24"/>
          <w:lang w:val="fr-CA"/>
        </w:rPr>
        <w:t>John Norris</w:t>
      </w:r>
      <w:r w:rsidR="00F75BB0" w:rsidRPr="00852D08">
        <w:rPr>
          <w:szCs w:val="24"/>
          <w:lang w:val="fr-CA"/>
        </w:rPr>
        <w:t xml:space="preserve">, </w:t>
      </w:r>
      <w:proofErr w:type="spellStart"/>
      <w:r w:rsidR="00F75BB0" w:rsidRPr="00852D08">
        <w:rPr>
          <w:i/>
          <w:szCs w:val="24"/>
          <w:lang w:val="fr-CA"/>
        </w:rPr>
        <w:t>Breese</w:t>
      </w:r>
      <w:proofErr w:type="spellEnd"/>
      <w:r w:rsidR="00F75BB0" w:rsidRPr="00852D08">
        <w:rPr>
          <w:i/>
          <w:szCs w:val="24"/>
          <w:lang w:val="fr-CA"/>
        </w:rPr>
        <w:t xml:space="preserve"> Davies</w:t>
      </w:r>
      <w:r w:rsidR="00F75BB0" w:rsidRPr="00852D08">
        <w:rPr>
          <w:szCs w:val="24"/>
          <w:lang w:val="fr-CA"/>
        </w:rPr>
        <w:t xml:space="preserve">, </w:t>
      </w:r>
      <w:proofErr w:type="spellStart"/>
      <w:r w:rsidR="00F75BB0" w:rsidRPr="00852D08">
        <w:rPr>
          <w:i/>
          <w:szCs w:val="24"/>
          <w:lang w:val="fr-CA"/>
        </w:rPr>
        <w:t>Brydie</w:t>
      </w:r>
      <w:proofErr w:type="spellEnd"/>
      <w:r w:rsidR="00F75BB0" w:rsidRPr="00852D08">
        <w:rPr>
          <w:i/>
          <w:szCs w:val="24"/>
          <w:lang w:val="fr-CA"/>
        </w:rPr>
        <w:t xml:space="preserve"> </w:t>
      </w:r>
      <w:proofErr w:type="spellStart"/>
      <w:r w:rsidR="00F75BB0" w:rsidRPr="00852D08">
        <w:rPr>
          <w:i/>
          <w:szCs w:val="24"/>
          <w:lang w:val="fr-CA"/>
        </w:rPr>
        <w:t>Bethell</w:t>
      </w:r>
      <w:proofErr w:type="spellEnd"/>
      <w:r w:rsidR="00F75BB0" w:rsidRPr="00852D08">
        <w:rPr>
          <w:i/>
          <w:szCs w:val="24"/>
          <w:lang w:val="fr-CA"/>
        </w:rPr>
        <w:t xml:space="preserve"> </w:t>
      </w:r>
      <w:r w:rsidR="00F75BB0" w:rsidRPr="00852D08">
        <w:rPr>
          <w:szCs w:val="24"/>
          <w:lang w:val="fr-CA"/>
        </w:rPr>
        <w:t>et</w:t>
      </w:r>
      <w:r w:rsidR="00F75BB0" w:rsidRPr="00852D08">
        <w:rPr>
          <w:i/>
          <w:szCs w:val="24"/>
          <w:lang w:val="fr-CA"/>
        </w:rPr>
        <w:t xml:space="preserve"> Erin </w:t>
      </w:r>
      <w:proofErr w:type="spellStart"/>
      <w:r w:rsidR="00F75BB0" w:rsidRPr="00852D08">
        <w:rPr>
          <w:i/>
          <w:szCs w:val="24"/>
          <w:lang w:val="fr-CA"/>
        </w:rPr>
        <w:t>Dann</w:t>
      </w:r>
      <w:proofErr w:type="spellEnd"/>
      <w:r w:rsidRPr="00852D08">
        <w:rPr>
          <w:szCs w:val="24"/>
          <w:lang w:val="fr-CA"/>
        </w:rPr>
        <w:t>, pour l</w:t>
      </w:r>
      <w:r w:rsidR="00F75BB0" w:rsidRPr="00852D08">
        <w:rPr>
          <w:szCs w:val="24"/>
          <w:lang w:val="fr-CA"/>
        </w:rPr>
        <w:t xml:space="preserve">es </w:t>
      </w:r>
      <w:r w:rsidRPr="00852D08">
        <w:rPr>
          <w:szCs w:val="24"/>
          <w:lang w:val="fr-CA"/>
        </w:rPr>
        <w:t>appelant</w:t>
      </w:r>
      <w:r w:rsidR="00F75BB0" w:rsidRPr="00852D08">
        <w:rPr>
          <w:szCs w:val="24"/>
          <w:lang w:val="fr-CA"/>
        </w:rPr>
        <w:t>s</w:t>
      </w:r>
      <w:r w:rsidRPr="00852D08">
        <w:rPr>
          <w:szCs w:val="24"/>
          <w:lang w:val="fr-CA"/>
        </w:rPr>
        <w:t>.</w:t>
      </w:r>
    </w:p>
    <w:p w:rsidR="00E611D8" w:rsidRPr="00852D08" w:rsidRDefault="003679FE" w:rsidP="00DF6AC0">
      <w:pPr>
        <w:pStyle w:val="SCCNormalDoubleSpacing"/>
        <w:spacing w:after="480"/>
        <w:rPr>
          <w:szCs w:val="24"/>
          <w:lang w:val="fr-CA"/>
        </w:rPr>
      </w:pPr>
      <w:r w:rsidRPr="00852D08">
        <w:rPr>
          <w:i/>
          <w:szCs w:val="24"/>
          <w:lang w:val="fr-CA"/>
        </w:rPr>
        <w:tab/>
      </w:r>
      <w:proofErr w:type="spellStart"/>
      <w:r w:rsidR="00F75BB0" w:rsidRPr="00852D08">
        <w:rPr>
          <w:i/>
          <w:szCs w:val="24"/>
          <w:lang w:val="fr-CA"/>
        </w:rPr>
        <w:t>Croft</w:t>
      </w:r>
      <w:proofErr w:type="spellEnd"/>
      <w:r w:rsidR="00F75BB0" w:rsidRPr="00852D08">
        <w:rPr>
          <w:i/>
          <w:szCs w:val="24"/>
          <w:lang w:val="fr-CA"/>
        </w:rPr>
        <w:t xml:space="preserve"> </w:t>
      </w:r>
      <w:proofErr w:type="spellStart"/>
      <w:r w:rsidR="00F75BB0" w:rsidRPr="00852D08">
        <w:rPr>
          <w:i/>
          <w:szCs w:val="24"/>
          <w:lang w:val="fr-CA"/>
        </w:rPr>
        <w:t>Michaelson</w:t>
      </w:r>
      <w:proofErr w:type="spellEnd"/>
      <w:r w:rsidR="00F75BB0" w:rsidRPr="00852D08">
        <w:rPr>
          <w:szCs w:val="24"/>
          <w:lang w:val="fr-CA"/>
        </w:rPr>
        <w:t xml:space="preserve">, </w:t>
      </w:r>
      <w:r w:rsidR="00F75BB0" w:rsidRPr="00852D08">
        <w:rPr>
          <w:i/>
          <w:szCs w:val="24"/>
          <w:lang w:val="fr-CA"/>
        </w:rPr>
        <w:t xml:space="preserve">Nancy </w:t>
      </w:r>
      <w:proofErr w:type="spellStart"/>
      <w:r w:rsidR="00F75BB0" w:rsidRPr="00852D08">
        <w:rPr>
          <w:i/>
          <w:szCs w:val="24"/>
          <w:lang w:val="fr-CA"/>
        </w:rPr>
        <w:t>Dennison</w:t>
      </w:r>
      <w:proofErr w:type="spellEnd"/>
      <w:r w:rsidR="00F75BB0" w:rsidRPr="00852D08">
        <w:rPr>
          <w:i/>
          <w:szCs w:val="24"/>
          <w:lang w:val="fr-CA"/>
        </w:rPr>
        <w:t xml:space="preserve"> </w:t>
      </w:r>
      <w:r w:rsidR="00F75BB0" w:rsidRPr="00852D08">
        <w:rPr>
          <w:szCs w:val="24"/>
          <w:lang w:val="fr-CA"/>
        </w:rPr>
        <w:t xml:space="preserve">et </w:t>
      </w:r>
      <w:r w:rsidR="00F75BB0" w:rsidRPr="00852D08">
        <w:rPr>
          <w:i/>
          <w:szCs w:val="24"/>
          <w:lang w:val="fr-CA"/>
        </w:rPr>
        <w:t>Sean Gaudet</w:t>
      </w:r>
      <w:r w:rsidR="00F75BB0" w:rsidRPr="00852D08">
        <w:rPr>
          <w:szCs w:val="24"/>
          <w:lang w:val="fr-CA"/>
        </w:rPr>
        <w:t xml:space="preserve">, </w:t>
      </w:r>
      <w:r w:rsidRPr="00852D08">
        <w:rPr>
          <w:szCs w:val="24"/>
          <w:lang w:val="fr-CA"/>
        </w:rPr>
        <w:t>pour l</w:t>
      </w:r>
      <w:r w:rsidR="00F75BB0" w:rsidRPr="00852D08">
        <w:rPr>
          <w:szCs w:val="24"/>
          <w:lang w:val="fr-CA"/>
        </w:rPr>
        <w:t xml:space="preserve">es </w:t>
      </w:r>
      <w:r w:rsidRPr="00852D08">
        <w:rPr>
          <w:szCs w:val="24"/>
          <w:lang w:val="fr-CA"/>
        </w:rPr>
        <w:t>intimé</w:t>
      </w:r>
      <w:r w:rsidR="00F75BB0" w:rsidRPr="00852D08">
        <w:rPr>
          <w:szCs w:val="24"/>
          <w:lang w:val="fr-CA"/>
        </w:rPr>
        <w:t>s</w:t>
      </w:r>
      <w:r w:rsidRPr="00852D08">
        <w:rPr>
          <w:szCs w:val="24"/>
          <w:lang w:val="fr-CA"/>
        </w:rPr>
        <w:t>.</w:t>
      </w:r>
    </w:p>
    <w:p w:rsidR="00E611D8" w:rsidRPr="00852D08" w:rsidRDefault="003679FE" w:rsidP="00DF6AC0">
      <w:pPr>
        <w:pStyle w:val="SCCNormalDoubleSpacing"/>
        <w:spacing w:after="480"/>
        <w:rPr>
          <w:szCs w:val="24"/>
          <w:lang w:val="fr-CA"/>
        </w:rPr>
      </w:pPr>
      <w:r w:rsidRPr="00852D08">
        <w:rPr>
          <w:i/>
          <w:szCs w:val="24"/>
          <w:lang w:val="fr-CA"/>
        </w:rPr>
        <w:tab/>
        <w:t>Michael Bernstein</w:t>
      </w:r>
      <w:r w:rsidRPr="00852D08">
        <w:rPr>
          <w:szCs w:val="24"/>
          <w:lang w:val="fr-CA"/>
        </w:rPr>
        <w:t>, pour l</w:t>
      </w:r>
      <w:r w:rsidR="009B4529" w:rsidRPr="00852D08">
        <w:rPr>
          <w:szCs w:val="24"/>
          <w:lang w:val="fr-CA"/>
        </w:rPr>
        <w:t>’</w:t>
      </w:r>
      <w:r w:rsidRPr="00852D08">
        <w:rPr>
          <w:szCs w:val="24"/>
          <w:lang w:val="fr-CA"/>
        </w:rPr>
        <w:t>intervenant</w:t>
      </w:r>
      <w:r w:rsidR="00F75BB0" w:rsidRPr="00852D08">
        <w:rPr>
          <w:szCs w:val="24"/>
          <w:lang w:val="fr-CA"/>
        </w:rPr>
        <w:t xml:space="preserve"> le p</w:t>
      </w:r>
      <w:r w:rsidRPr="00852D08">
        <w:rPr>
          <w:szCs w:val="24"/>
          <w:lang w:val="fr-CA"/>
        </w:rPr>
        <w:t>rocureur général de l</w:t>
      </w:r>
      <w:r w:rsidR="009B4529" w:rsidRPr="00852D08">
        <w:rPr>
          <w:szCs w:val="24"/>
          <w:lang w:val="fr-CA"/>
        </w:rPr>
        <w:t>’</w:t>
      </w:r>
      <w:r w:rsidRPr="00852D08">
        <w:rPr>
          <w:szCs w:val="24"/>
          <w:lang w:val="fr-CA"/>
        </w:rPr>
        <w:t>Ontario.</w:t>
      </w:r>
    </w:p>
    <w:p w:rsidR="00E611D8" w:rsidRPr="00852D08" w:rsidRDefault="00887D78" w:rsidP="00DF6AC0">
      <w:pPr>
        <w:pStyle w:val="SCCNormalDoubleSpacing"/>
        <w:spacing w:after="480"/>
        <w:rPr>
          <w:szCs w:val="24"/>
          <w:lang w:val="fr-CA"/>
        </w:rPr>
      </w:pPr>
      <w:r w:rsidRPr="00852D08">
        <w:rPr>
          <w:i/>
          <w:szCs w:val="24"/>
          <w:lang w:val="fr-CA"/>
        </w:rPr>
        <w:lastRenderedPageBreak/>
        <w:tab/>
        <w:t>Anil </w:t>
      </w:r>
      <w:r w:rsidR="003679FE" w:rsidRPr="00852D08">
        <w:rPr>
          <w:i/>
          <w:szCs w:val="24"/>
          <w:lang w:val="fr-CA"/>
        </w:rPr>
        <w:t>K. Kapoor</w:t>
      </w:r>
      <w:r w:rsidR="003679FE" w:rsidRPr="00852D08">
        <w:rPr>
          <w:szCs w:val="24"/>
          <w:lang w:val="fr-CA"/>
        </w:rPr>
        <w:t xml:space="preserve"> et </w:t>
      </w:r>
      <w:r w:rsidRPr="00852D08">
        <w:rPr>
          <w:i/>
          <w:szCs w:val="24"/>
          <w:lang w:val="fr-CA"/>
        </w:rPr>
        <w:t>Lindsay </w:t>
      </w:r>
      <w:r w:rsidR="003679FE" w:rsidRPr="00852D08">
        <w:rPr>
          <w:i/>
          <w:szCs w:val="24"/>
          <w:lang w:val="fr-CA"/>
        </w:rPr>
        <w:t xml:space="preserve">L. </w:t>
      </w:r>
      <w:proofErr w:type="spellStart"/>
      <w:r w:rsidR="003679FE" w:rsidRPr="00852D08">
        <w:rPr>
          <w:i/>
          <w:szCs w:val="24"/>
          <w:lang w:val="fr-CA"/>
        </w:rPr>
        <w:t>Daviau</w:t>
      </w:r>
      <w:proofErr w:type="spellEnd"/>
      <w:r w:rsidR="003679FE" w:rsidRPr="00852D08">
        <w:rPr>
          <w:szCs w:val="24"/>
          <w:lang w:val="fr-CA"/>
        </w:rPr>
        <w:t>, pour l</w:t>
      </w:r>
      <w:r w:rsidR="009B4529" w:rsidRPr="00852D08">
        <w:rPr>
          <w:szCs w:val="24"/>
          <w:lang w:val="fr-CA"/>
        </w:rPr>
        <w:t>’</w:t>
      </w:r>
      <w:r w:rsidR="003679FE" w:rsidRPr="00852D08">
        <w:rPr>
          <w:szCs w:val="24"/>
          <w:lang w:val="fr-CA"/>
        </w:rPr>
        <w:t>intervenant</w:t>
      </w:r>
      <w:r w:rsidR="00F75BB0" w:rsidRPr="00852D08">
        <w:rPr>
          <w:szCs w:val="24"/>
          <w:lang w:val="fr-CA"/>
        </w:rPr>
        <w:t>e l</w:t>
      </w:r>
      <w:r w:rsidR="009B4529" w:rsidRPr="00852D08">
        <w:rPr>
          <w:szCs w:val="24"/>
          <w:lang w:val="fr-CA"/>
        </w:rPr>
        <w:t>’</w:t>
      </w:r>
      <w:r w:rsidR="003679FE" w:rsidRPr="00852D08">
        <w:rPr>
          <w:szCs w:val="24"/>
          <w:lang w:val="fr-CA"/>
        </w:rPr>
        <w:t>Association canadienne des libertés civiles.</w:t>
      </w:r>
    </w:p>
    <w:p w:rsidR="00E611D8" w:rsidRPr="00852D08" w:rsidRDefault="003679FE" w:rsidP="00DF6AC0">
      <w:pPr>
        <w:pStyle w:val="SCCNormalDoubleSpacing"/>
        <w:spacing w:after="480"/>
        <w:rPr>
          <w:szCs w:val="24"/>
          <w:lang w:val="fr-CA"/>
        </w:rPr>
      </w:pPr>
      <w:r w:rsidRPr="00852D08">
        <w:rPr>
          <w:i/>
          <w:szCs w:val="24"/>
          <w:lang w:val="fr-CA"/>
        </w:rPr>
        <w:tab/>
        <w:t xml:space="preserve">Kent </w:t>
      </w:r>
      <w:proofErr w:type="spellStart"/>
      <w:r w:rsidRPr="00852D08">
        <w:rPr>
          <w:i/>
          <w:szCs w:val="24"/>
          <w:lang w:val="fr-CA"/>
        </w:rPr>
        <w:t>Roach</w:t>
      </w:r>
      <w:proofErr w:type="spellEnd"/>
      <w:r w:rsidRPr="00852D08">
        <w:rPr>
          <w:szCs w:val="24"/>
          <w:lang w:val="fr-CA"/>
        </w:rPr>
        <w:t xml:space="preserve"> et </w:t>
      </w:r>
      <w:r w:rsidRPr="00852D08">
        <w:rPr>
          <w:i/>
          <w:szCs w:val="24"/>
          <w:lang w:val="fr-CA"/>
        </w:rPr>
        <w:t xml:space="preserve">Michael </w:t>
      </w:r>
      <w:proofErr w:type="spellStart"/>
      <w:r w:rsidRPr="00852D08">
        <w:rPr>
          <w:i/>
          <w:szCs w:val="24"/>
          <w:lang w:val="fr-CA"/>
        </w:rPr>
        <w:t>Fenrick</w:t>
      </w:r>
      <w:proofErr w:type="spellEnd"/>
      <w:r w:rsidRPr="00852D08">
        <w:rPr>
          <w:szCs w:val="24"/>
          <w:lang w:val="fr-CA"/>
        </w:rPr>
        <w:t>, pour l</w:t>
      </w:r>
      <w:r w:rsidR="009B4529" w:rsidRPr="00852D08">
        <w:rPr>
          <w:szCs w:val="24"/>
          <w:lang w:val="fr-CA"/>
        </w:rPr>
        <w:t>’</w:t>
      </w:r>
      <w:r w:rsidR="002D6FA4" w:rsidRPr="00852D08">
        <w:rPr>
          <w:szCs w:val="24"/>
          <w:lang w:val="fr-CA"/>
        </w:rPr>
        <w:t>i</w:t>
      </w:r>
      <w:r w:rsidRPr="00852D08">
        <w:rPr>
          <w:szCs w:val="24"/>
          <w:lang w:val="fr-CA"/>
        </w:rPr>
        <w:t>ntervenant</w:t>
      </w:r>
      <w:r w:rsidR="00F75BB0" w:rsidRPr="00852D08">
        <w:rPr>
          <w:szCs w:val="24"/>
          <w:lang w:val="fr-CA"/>
        </w:rPr>
        <w:t>e l</w:t>
      </w:r>
      <w:r w:rsidR="009B4529" w:rsidRPr="00852D08">
        <w:rPr>
          <w:szCs w:val="24"/>
          <w:lang w:val="fr-CA"/>
        </w:rPr>
        <w:t>’</w:t>
      </w:r>
      <w:r w:rsidRPr="00852D08">
        <w:rPr>
          <w:szCs w:val="24"/>
          <w:lang w:val="fr-CA"/>
        </w:rPr>
        <w:t xml:space="preserve">Association des libertés civiles de la </w:t>
      </w:r>
      <w:proofErr w:type="spellStart"/>
      <w:r w:rsidRPr="00852D08">
        <w:rPr>
          <w:szCs w:val="24"/>
          <w:lang w:val="fr-CA"/>
        </w:rPr>
        <w:t>Colombie</w:t>
      </w:r>
      <w:r w:rsidR="00CC716D" w:rsidRPr="00852D08">
        <w:rPr>
          <w:szCs w:val="24"/>
          <w:lang w:val="fr-CA"/>
        </w:rPr>
        <w:noBreakHyphen/>
      </w:r>
      <w:r w:rsidRPr="00852D08">
        <w:rPr>
          <w:szCs w:val="24"/>
          <w:lang w:val="fr-CA"/>
        </w:rPr>
        <w:t>Britannique</w:t>
      </w:r>
      <w:proofErr w:type="spellEnd"/>
      <w:r w:rsidRPr="00852D08">
        <w:rPr>
          <w:szCs w:val="24"/>
          <w:lang w:val="fr-CA"/>
        </w:rPr>
        <w:t>.</w:t>
      </w:r>
    </w:p>
    <w:p w:rsidR="0066086B" w:rsidRPr="00852D08" w:rsidRDefault="0066086B" w:rsidP="00635465">
      <w:pPr>
        <w:pStyle w:val="JudgeJuge"/>
        <w:tabs>
          <w:tab w:val="clear" w:pos="1260"/>
          <w:tab w:val="left" w:pos="1170"/>
        </w:tabs>
        <w:spacing w:before="480"/>
        <w:jc w:val="both"/>
        <w:rPr>
          <w:smallCaps w:val="0"/>
          <w:lang w:val="fr-CA"/>
        </w:rPr>
      </w:pPr>
      <w:r w:rsidRPr="00852D08">
        <w:rPr>
          <w:lang w:val="fr-CA"/>
        </w:rPr>
        <w:tab/>
      </w:r>
      <w:r w:rsidR="00635465" w:rsidRPr="00852D08">
        <w:rPr>
          <w:smallCaps w:val="0"/>
          <w:lang w:val="fr-CA"/>
        </w:rPr>
        <w:t>Version française du jugement de la Cour rendu par</w:t>
      </w:r>
    </w:p>
    <w:p w:rsidR="0066086B" w:rsidRPr="00852D08" w:rsidRDefault="00635465" w:rsidP="0066086B">
      <w:pPr>
        <w:pStyle w:val="ParaNoNdepar-AltN"/>
        <w:rPr>
          <w:rFonts w:cs="Times New Roman"/>
          <w:lang w:val="fr-CA"/>
        </w:rPr>
      </w:pPr>
      <w:r w:rsidRPr="00852D08">
        <w:rPr>
          <w:rFonts w:cs="Times New Roman"/>
          <w:smallCaps/>
          <w:lang w:val="fr-CA"/>
        </w:rPr>
        <w:t>La Juge en chef</w:t>
      </w:r>
      <w:r w:rsidRPr="00852D08">
        <w:rPr>
          <w:rFonts w:cs="Times New Roman"/>
          <w:lang w:val="fr-CA"/>
        </w:rPr>
        <w:t xml:space="preserve"> — </w:t>
      </w:r>
      <w:r w:rsidR="0066086B" w:rsidRPr="00852D08">
        <w:rPr>
          <w:rFonts w:cs="Times New Roman"/>
          <w:lang w:val="fr-CA"/>
        </w:rPr>
        <w:t>Le ministre de la Justice a ordonné que les appelants, des citoyens canadiens, soient extradés vers les États-Unis pour y subir leurs procès pour terrorisme par suite du soutien qu’ils auraient apporté aux Tigres de libération de l’</w:t>
      </w:r>
      <w:proofErr w:type="spellStart"/>
      <w:r w:rsidR="0066086B" w:rsidRPr="00852D08">
        <w:rPr>
          <w:rFonts w:cs="Times New Roman"/>
          <w:lang w:val="fr-CA"/>
        </w:rPr>
        <w:t>Eelam</w:t>
      </w:r>
      <w:proofErr w:type="spellEnd"/>
      <w:r w:rsidR="0066086B" w:rsidRPr="00852D08">
        <w:rPr>
          <w:rFonts w:cs="Times New Roman"/>
          <w:lang w:val="fr-CA"/>
        </w:rPr>
        <w:t xml:space="preserve"> tamoul (les « TLET »), une organisation terroriste engagée dans une rébellion au Sri Lanka.  </w:t>
      </w:r>
    </w:p>
    <w:p w:rsidR="0066086B" w:rsidRPr="00852D08" w:rsidRDefault="0066086B" w:rsidP="00635465">
      <w:pPr>
        <w:pStyle w:val="TitleTitre-AltT"/>
        <w:tabs>
          <w:tab w:val="clear" w:pos="360"/>
          <w:tab w:val="left" w:pos="540"/>
        </w:tabs>
        <w:ind w:left="540" w:hanging="540"/>
        <w:rPr>
          <w:rFonts w:cs="Times New Roman"/>
          <w:u w:val="single"/>
          <w:lang w:val="fr-CA"/>
        </w:rPr>
      </w:pPr>
      <w:r w:rsidRPr="00852D08">
        <w:rPr>
          <w:rFonts w:cs="Times New Roman"/>
          <w:lang w:val="fr-CA"/>
        </w:rPr>
        <w:t>1.</w:t>
      </w:r>
      <w:r w:rsidRPr="00852D08">
        <w:rPr>
          <w:rFonts w:cs="Times New Roman"/>
          <w:lang w:val="fr-CA"/>
        </w:rPr>
        <w:tab/>
      </w:r>
      <w:r w:rsidRPr="00852D08">
        <w:rPr>
          <w:rFonts w:cs="Times New Roman"/>
          <w:u w:val="single"/>
          <w:lang w:val="fr-CA"/>
        </w:rPr>
        <w:t>Contexte</w:t>
      </w:r>
    </w:p>
    <w:p w:rsidR="0066086B" w:rsidRPr="00852D08" w:rsidRDefault="0066086B" w:rsidP="0066086B">
      <w:pPr>
        <w:pStyle w:val="ParaNoNdepar-AltN"/>
        <w:rPr>
          <w:rFonts w:cs="Times New Roman"/>
          <w:lang w:val="fr-CA"/>
        </w:rPr>
      </w:pPr>
      <w:r w:rsidRPr="00852D08">
        <w:rPr>
          <w:rFonts w:cs="Times New Roman"/>
          <w:lang w:val="fr-CA"/>
        </w:rPr>
        <w:t xml:space="preserve">Suresh </w:t>
      </w:r>
      <w:proofErr w:type="spellStart"/>
      <w:r w:rsidRPr="00852D08">
        <w:rPr>
          <w:rFonts w:cs="Times New Roman"/>
          <w:lang w:val="fr-CA"/>
        </w:rPr>
        <w:t>Sriskandarajah</w:t>
      </w:r>
      <w:proofErr w:type="spellEnd"/>
      <w:r w:rsidRPr="00852D08">
        <w:rPr>
          <w:rFonts w:cs="Times New Roman"/>
          <w:lang w:val="fr-CA"/>
        </w:rPr>
        <w:t xml:space="preserve"> est accusé d’avoir aidé les TLET à trouver et à acquérir des logiciels de conception de </w:t>
      </w:r>
      <w:proofErr w:type="spellStart"/>
      <w:r w:rsidRPr="00852D08">
        <w:rPr>
          <w:rFonts w:cs="Times New Roman"/>
          <w:lang w:val="fr-CA"/>
        </w:rPr>
        <w:t>sous</w:t>
      </w:r>
      <w:r w:rsidRPr="00852D08">
        <w:rPr>
          <w:rFonts w:cs="Times New Roman"/>
          <w:lang w:val="fr-CA"/>
        </w:rPr>
        <w:noBreakHyphen/>
        <w:t>marins</w:t>
      </w:r>
      <w:proofErr w:type="spellEnd"/>
      <w:r w:rsidRPr="00852D08">
        <w:rPr>
          <w:rFonts w:cs="Times New Roman"/>
          <w:lang w:val="fr-CA"/>
        </w:rPr>
        <w:t xml:space="preserve"> et de navires de guerre et du matériel technologique, notamment de communication, dont il aurait ensuite facilité l’introduction clandestine dans une zone sous contrôle des TLET.  Il aurait également blanchi des fonds au profit de ces derniers et aurait conseillé des personnes sur la manière d’acheminer illégalement au Sri Lanka des marchandises destinées aux TLET. </w:t>
      </w:r>
    </w:p>
    <w:p w:rsidR="0066086B" w:rsidRPr="00852D08" w:rsidRDefault="0066086B" w:rsidP="0066086B">
      <w:pPr>
        <w:pStyle w:val="ParaNoNdepar-AltN"/>
        <w:rPr>
          <w:rFonts w:cs="Times New Roman"/>
          <w:lang w:val="fr-CA"/>
        </w:rPr>
      </w:pPr>
      <w:r w:rsidRPr="00852D08">
        <w:rPr>
          <w:rFonts w:cs="Times New Roman"/>
          <w:lang w:val="fr-CA"/>
        </w:rPr>
        <w:lastRenderedPageBreak/>
        <w:t xml:space="preserve">Avec trois autres personnes, </w:t>
      </w:r>
      <w:proofErr w:type="spellStart"/>
      <w:r w:rsidRPr="00852D08">
        <w:rPr>
          <w:rFonts w:cs="Times New Roman"/>
          <w:lang w:val="fr-CA"/>
        </w:rPr>
        <w:t>Piratheepan</w:t>
      </w:r>
      <w:proofErr w:type="spellEnd"/>
      <w:r w:rsidRPr="00852D08">
        <w:rPr>
          <w:rFonts w:cs="Times New Roman"/>
          <w:lang w:val="fr-CA"/>
        </w:rPr>
        <w:t xml:space="preserve"> </w:t>
      </w:r>
      <w:proofErr w:type="spellStart"/>
      <w:r w:rsidRPr="00852D08">
        <w:rPr>
          <w:rFonts w:cs="Times New Roman"/>
          <w:lang w:val="fr-CA"/>
        </w:rPr>
        <w:t>Nadarajah</w:t>
      </w:r>
      <w:proofErr w:type="spellEnd"/>
      <w:r w:rsidRPr="00852D08">
        <w:rPr>
          <w:rFonts w:cs="Times New Roman"/>
          <w:lang w:val="fr-CA"/>
        </w:rPr>
        <w:t xml:space="preserve"> aurait tenté d’acheter pour le compte des TLET des missiles </w:t>
      </w:r>
      <w:proofErr w:type="spellStart"/>
      <w:r w:rsidRPr="00852D08">
        <w:rPr>
          <w:rFonts w:cs="Times New Roman"/>
          <w:lang w:val="fr-CA"/>
        </w:rPr>
        <w:t>sol</w:t>
      </w:r>
      <w:r w:rsidRPr="00852D08">
        <w:rPr>
          <w:rFonts w:cs="Times New Roman"/>
          <w:lang w:val="fr-CA"/>
        </w:rPr>
        <w:noBreakHyphen/>
        <w:t>air</w:t>
      </w:r>
      <w:proofErr w:type="spellEnd"/>
      <w:r w:rsidRPr="00852D08">
        <w:rPr>
          <w:rFonts w:cs="Times New Roman"/>
          <w:lang w:val="fr-CA"/>
        </w:rPr>
        <w:t xml:space="preserve"> et des fusils AK</w:t>
      </w:r>
      <w:r w:rsidRPr="00852D08">
        <w:rPr>
          <w:rFonts w:cs="Times New Roman"/>
          <w:lang w:val="fr-CA"/>
        </w:rPr>
        <w:noBreakHyphen/>
        <w:t>47 à un agent d’infiltration qui prétendait être un marchand d’armes clandestin de Long Island, dans l’État de New York.  L’agent d’infiltration avait organisé la rencontre avec un certain M. </w:t>
      </w:r>
      <w:proofErr w:type="spellStart"/>
      <w:r w:rsidRPr="00852D08">
        <w:rPr>
          <w:rFonts w:cs="Times New Roman"/>
          <w:lang w:val="fr-CA"/>
        </w:rPr>
        <w:t>Sarachandran</w:t>
      </w:r>
      <w:proofErr w:type="spellEnd"/>
      <w:r w:rsidRPr="00852D08">
        <w:rPr>
          <w:rFonts w:cs="Times New Roman"/>
          <w:lang w:val="fr-CA"/>
        </w:rPr>
        <w:t xml:space="preserve"> qui, lors de conversations téléphoniques, aurait dit de M. </w:t>
      </w:r>
      <w:proofErr w:type="spellStart"/>
      <w:r w:rsidRPr="00852D08">
        <w:rPr>
          <w:rFonts w:cs="Times New Roman"/>
          <w:lang w:val="fr-CA"/>
        </w:rPr>
        <w:t>Nadarajah</w:t>
      </w:r>
      <w:proofErr w:type="spellEnd"/>
      <w:r w:rsidRPr="00852D08">
        <w:rPr>
          <w:rFonts w:cs="Times New Roman"/>
          <w:lang w:val="fr-CA"/>
        </w:rPr>
        <w:t xml:space="preserve"> qu’il était son expert en matière d’armement.</w:t>
      </w:r>
    </w:p>
    <w:p w:rsidR="0066086B" w:rsidRPr="00852D08" w:rsidRDefault="0066086B" w:rsidP="0066086B">
      <w:pPr>
        <w:pStyle w:val="ParaNoNdepar-AltN"/>
        <w:rPr>
          <w:rFonts w:cs="Times New Roman"/>
          <w:lang w:val="fr-CA"/>
        </w:rPr>
      </w:pPr>
      <w:r w:rsidRPr="00852D08">
        <w:rPr>
          <w:rFonts w:cs="Times New Roman"/>
          <w:lang w:val="fr-CA"/>
        </w:rPr>
        <w:t xml:space="preserve">En 2006, des représentants des </w:t>
      </w:r>
      <w:proofErr w:type="spellStart"/>
      <w:r w:rsidRPr="00852D08">
        <w:rPr>
          <w:rFonts w:cs="Times New Roman"/>
          <w:lang w:val="fr-CA"/>
        </w:rPr>
        <w:t>États</w:t>
      </w:r>
      <w:r w:rsidRPr="00852D08">
        <w:rPr>
          <w:rFonts w:cs="Times New Roman"/>
          <w:lang w:val="fr-CA"/>
        </w:rPr>
        <w:noBreakHyphen/>
        <w:t>Unis</w:t>
      </w:r>
      <w:proofErr w:type="spellEnd"/>
      <w:r w:rsidRPr="00852D08">
        <w:rPr>
          <w:rFonts w:cs="Times New Roman"/>
          <w:lang w:val="fr-CA"/>
        </w:rPr>
        <w:t xml:space="preserve"> d’Amérique ont demandé au ministre canadien de la Justice l’extradition des deux appelants afin qu’ils soient traduits en justice aux </w:t>
      </w:r>
      <w:proofErr w:type="spellStart"/>
      <w:r w:rsidRPr="00852D08">
        <w:rPr>
          <w:rFonts w:cs="Times New Roman"/>
          <w:lang w:val="fr-CA"/>
        </w:rPr>
        <w:t>États</w:t>
      </w:r>
      <w:r w:rsidRPr="00852D08">
        <w:rPr>
          <w:rFonts w:cs="Times New Roman"/>
          <w:lang w:val="fr-CA"/>
        </w:rPr>
        <w:noBreakHyphen/>
        <w:t>Unis</w:t>
      </w:r>
      <w:proofErr w:type="spellEnd"/>
      <w:r w:rsidRPr="00852D08">
        <w:rPr>
          <w:rFonts w:cs="Times New Roman"/>
          <w:lang w:val="fr-CA"/>
        </w:rPr>
        <w:t xml:space="preserve"> relativement à diverses infractions de terrorisme.  Selon le juge </w:t>
      </w:r>
      <w:proofErr w:type="spellStart"/>
      <w:r w:rsidRPr="00852D08">
        <w:rPr>
          <w:rFonts w:cs="Times New Roman"/>
          <w:lang w:val="fr-CA"/>
        </w:rPr>
        <w:t>Pattillo</w:t>
      </w:r>
      <w:proofErr w:type="spellEnd"/>
      <w:r w:rsidRPr="00852D08">
        <w:rPr>
          <w:rFonts w:cs="Times New Roman"/>
          <w:lang w:val="fr-CA"/>
        </w:rPr>
        <w:t xml:space="preserve"> de la Cour supérieure de justice de l’Ontario, la preuve présentée était suffisante pour incarcérer les appelants en vue de leur extradition vers les États-Unis afin qu’ils y répondent à des accusations de terrorisme ((2009), 95 O.R. (3d) 514).  Dans ses décisions du 17 novembre 2009, le ministre de la Justice a ordonné l’extradition des appelants vers les </w:t>
      </w:r>
      <w:proofErr w:type="spellStart"/>
      <w:r w:rsidRPr="00852D08">
        <w:rPr>
          <w:rFonts w:cs="Times New Roman"/>
          <w:lang w:val="fr-CA"/>
        </w:rPr>
        <w:t>États</w:t>
      </w:r>
      <w:r w:rsidRPr="00852D08">
        <w:rPr>
          <w:rFonts w:cs="Times New Roman"/>
          <w:lang w:val="fr-CA"/>
        </w:rPr>
        <w:noBreakHyphen/>
        <w:t>Unis</w:t>
      </w:r>
      <w:proofErr w:type="spellEnd"/>
      <w:r w:rsidRPr="00852D08">
        <w:rPr>
          <w:rFonts w:cs="Times New Roman"/>
          <w:lang w:val="fr-CA"/>
        </w:rPr>
        <w:t>, ce que la Cour d’appel a par la suite confirmé (2</w:t>
      </w:r>
      <w:r w:rsidR="00635465" w:rsidRPr="00852D08">
        <w:rPr>
          <w:rFonts w:cs="Times New Roman"/>
          <w:lang w:val="fr-CA"/>
        </w:rPr>
        <w:t>010 ONCA 857, 109 O.R. (3d) 680, et</w:t>
      </w:r>
      <w:r w:rsidRPr="00852D08">
        <w:rPr>
          <w:rFonts w:cs="Times New Roman"/>
          <w:lang w:val="fr-CA"/>
        </w:rPr>
        <w:t xml:space="preserve"> 2010 ONCA 859, 109 O.R. (3d) 662).</w:t>
      </w:r>
    </w:p>
    <w:p w:rsidR="0066086B" w:rsidRPr="00852D08" w:rsidRDefault="0066086B" w:rsidP="00635465">
      <w:pPr>
        <w:pStyle w:val="TitleTitre-AltT"/>
        <w:tabs>
          <w:tab w:val="clear" w:pos="360"/>
          <w:tab w:val="left" w:pos="540"/>
        </w:tabs>
        <w:ind w:left="540" w:hanging="540"/>
        <w:rPr>
          <w:rFonts w:cs="Times New Roman"/>
          <w:u w:val="single"/>
          <w:lang w:val="fr-CA"/>
        </w:rPr>
      </w:pPr>
      <w:r w:rsidRPr="00852D08">
        <w:rPr>
          <w:rFonts w:cs="Times New Roman"/>
          <w:lang w:val="fr-CA"/>
        </w:rPr>
        <w:t>2.</w:t>
      </w:r>
      <w:r w:rsidRPr="00852D08">
        <w:rPr>
          <w:rFonts w:cs="Times New Roman"/>
          <w:lang w:val="fr-CA"/>
        </w:rPr>
        <w:tab/>
      </w:r>
      <w:r w:rsidRPr="00852D08">
        <w:rPr>
          <w:rFonts w:cs="Times New Roman"/>
          <w:u w:val="single"/>
          <w:lang w:val="fr-CA"/>
        </w:rPr>
        <w:t>Questions en litige</w:t>
      </w:r>
    </w:p>
    <w:p w:rsidR="0066086B" w:rsidRPr="00852D08" w:rsidRDefault="0066086B" w:rsidP="0066086B">
      <w:pPr>
        <w:pStyle w:val="ParaNoNdepar-AltN"/>
        <w:rPr>
          <w:rFonts w:cs="Times New Roman"/>
          <w:lang w:val="fr-CA"/>
        </w:rPr>
      </w:pPr>
      <w:r w:rsidRPr="00852D08">
        <w:rPr>
          <w:rFonts w:cs="Times New Roman"/>
          <w:lang w:val="fr-CA"/>
        </w:rPr>
        <w:t xml:space="preserve">Les appelants invoquent quatre motifs à l’encontre de leur extradition : (1) hormis l’association aux TLET, les actes qui leur sont reprochés ne sont pas criminels en raison de l’inconstitutionnalité des dispositions canadiennes sur le terrorisme qui correspondent aux accusations portées contre eux aux États-Unis; </w:t>
      </w:r>
      <w:r w:rsidRPr="00852D08">
        <w:rPr>
          <w:rFonts w:cs="Times New Roman"/>
          <w:lang w:val="fr-CA"/>
        </w:rPr>
        <w:lastRenderedPageBreak/>
        <w:t xml:space="preserve">(2) l’extradition va à l’encontre du par. 6(1) de la </w:t>
      </w:r>
      <w:r w:rsidRPr="00852D08">
        <w:rPr>
          <w:rFonts w:cs="Times New Roman"/>
          <w:i/>
          <w:lang w:val="fr-CA"/>
        </w:rPr>
        <w:t>Charte canadienne des droits et libertés</w:t>
      </w:r>
      <w:r w:rsidRPr="00852D08">
        <w:rPr>
          <w:rFonts w:cs="Times New Roman"/>
          <w:lang w:val="fr-CA"/>
        </w:rPr>
        <w:t xml:space="preserve"> — qui garantit à tout citoyen le droit de demeurer au Canada — lorsque la compétence revendiquée par l’autre État est faible ou que la poursuite pourrait se dérouler au Canada; (3) dans son examen de l’opportunité de l’extradition, le ministre n’a pas respecté les principes de l’équité procédurale; (4) les arrêtés d’extradition n’étaient pas raisonnables compte tenu de l’ensemble des circonstances.  </w:t>
      </w:r>
    </w:p>
    <w:p w:rsidR="0066086B" w:rsidRPr="00852D08" w:rsidRDefault="0066086B" w:rsidP="00635465">
      <w:pPr>
        <w:pStyle w:val="TitleTitre-AltT"/>
        <w:tabs>
          <w:tab w:val="clear" w:pos="360"/>
          <w:tab w:val="left" w:pos="540"/>
        </w:tabs>
        <w:ind w:left="540" w:hanging="540"/>
        <w:rPr>
          <w:rFonts w:cs="Times New Roman"/>
          <w:u w:val="single"/>
          <w:lang w:val="fr-CA"/>
        </w:rPr>
      </w:pPr>
      <w:r w:rsidRPr="00852D08">
        <w:rPr>
          <w:rFonts w:cs="Times New Roman"/>
          <w:lang w:val="fr-CA"/>
        </w:rPr>
        <w:t>3.</w:t>
      </w:r>
      <w:r w:rsidRPr="00852D08">
        <w:rPr>
          <w:rFonts w:cs="Times New Roman"/>
          <w:lang w:val="fr-CA"/>
        </w:rPr>
        <w:tab/>
      </w:r>
      <w:r w:rsidRPr="00852D08">
        <w:rPr>
          <w:rFonts w:cs="Times New Roman"/>
          <w:u w:val="single"/>
          <w:lang w:val="fr-CA"/>
        </w:rPr>
        <w:t xml:space="preserve">Les dispositions canadiennes sur le terrorisme </w:t>
      </w:r>
      <w:proofErr w:type="spellStart"/>
      <w:r w:rsidRPr="00852D08">
        <w:rPr>
          <w:rFonts w:cs="Times New Roman"/>
          <w:u w:val="single"/>
          <w:lang w:val="fr-CA"/>
        </w:rPr>
        <w:t>so</w:t>
      </w:r>
      <w:r w:rsidR="00215EDE" w:rsidRPr="00852D08">
        <w:rPr>
          <w:rFonts w:cs="Times New Roman"/>
          <w:u w:val="single"/>
          <w:lang w:val="fr-CA"/>
        </w:rPr>
        <w:t>nt</w:t>
      </w:r>
      <w:r w:rsidR="00215EDE" w:rsidRPr="00852D08">
        <w:rPr>
          <w:rFonts w:cs="Times New Roman"/>
          <w:u w:val="single"/>
          <w:lang w:val="fr-CA"/>
        </w:rPr>
        <w:noBreakHyphen/>
        <w:t>elles</w:t>
      </w:r>
      <w:proofErr w:type="spellEnd"/>
      <w:r w:rsidR="00215EDE" w:rsidRPr="00852D08">
        <w:rPr>
          <w:rFonts w:cs="Times New Roman"/>
          <w:u w:val="single"/>
          <w:lang w:val="fr-CA"/>
        </w:rPr>
        <w:t xml:space="preserve"> inconstitutionnelles? </w:t>
      </w:r>
    </w:p>
    <w:p w:rsidR="0066086B" w:rsidRPr="00852D08" w:rsidRDefault="0066086B" w:rsidP="0066086B">
      <w:pPr>
        <w:pStyle w:val="ParaNoNdepar-AltN"/>
        <w:rPr>
          <w:rFonts w:cs="Times New Roman"/>
          <w:lang w:val="fr-CA"/>
        </w:rPr>
      </w:pPr>
      <w:r w:rsidRPr="00852D08">
        <w:rPr>
          <w:rFonts w:cs="Times New Roman"/>
          <w:lang w:val="fr-CA"/>
        </w:rPr>
        <w:t xml:space="preserve">L’article 3 de la </w:t>
      </w:r>
      <w:r w:rsidRPr="00852D08">
        <w:rPr>
          <w:rFonts w:cs="Times New Roman"/>
          <w:i/>
          <w:lang w:val="fr-CA"/>
        </w:rPr>
        <w:t>Loi sur l’extradition</w:t>
      </w:r>
      <w:r w:rsidRPr="00852D08">
        <w:rPr>
          <w:rFonts w:cs="Times New Roman"/>
          <w:lang w:val="fr-CA"/>
        </w:rPr>
        <w:t xml:space="preserve">, L.C. 1999, ch. 18, dispose qu’une personne ne peut être extradée que si les actes qu’on lui impute </w:t>
      </w:r>
      <w:proofErr w:type="gramStart"/>
      <w:r w:rsidRPr="00852D08">
        <w:rPr>
          <w:rFonts w:cs="Times New Roman"/>
          <w:lang w:val="fr-CA"/>
        </w:rPr>
        <w:t>auraient</w:t>
      </w:r>
      <w:proofErr w:type="gramEnd"/>
      <w:r w:rsidRPr="00852D08">
        <w:rPr>
          <w:rFonts w:cs="Times New Roman"/>
          <w:lang w:val="fr-CA"/>
        </w:rPr>
        <w:t xml:space="preserve"> constitué une infraction au Canada.  Les appelants contestent la constitutionnalité des dispositions canadiennes sur le terrorisme invoquées dans l’arrêté.  Le juge </w:t>
      </w:r>
      <w:proofErr w:type="spellStart"/>
      <w:r w:rsidRPr="00852D08">
        <w:rPr>
          <w:rFonts w:cs="Times New Roman"/>
          <w:lang w:val="fr-CA"/>
        </w:rPr>
        <w:t>Pattillo</w:t>
      </w:r>
      <w:proofErr w:type="spellEnd"/>
      <w:r w:rsidRPr="00852D08">
        <w:rPr>
          <w:rFonts w:cs="Times New Roman"/>
          <w:lang w:val="fr-CA"/>
        </w:rPr>
        <w:t xml:space="preserve">, en première instance, puis la Cour d’appel, les ont déboutés. </w:t>
      </w:r>
    </w:p>
    <w:p w:rsidR="0066086B" w:rsidRPr="00852D08" w:rsidRDefault="0066086B" w:rsidP="0066086B">
      <w:pPr>
        <w:pStyle w:val="ParaNoNdepar-AltN"/>
        <w:rPr>
          <w:rFonts w:cs="Times New Roman"/>
          <w:lang w:val="fr-CA"/>
        </w:rPr>
      </w:pPr>
      <w:r w:rsidRPr="00852D08">
        <w:rPr>
          <w:rFonts w:cs="Times New Roman"/>
          <w:lang w:val="fr-CA"/>
        </w:rPr>
        <w:t xml:space="preserve">Dans le pourvoi connexe </w:t>
      </w:r>
      <w:r w:rsidRPr="00852D08">
        <w:rPr>
          <w:rFonts w:cs="Times New Roman"/>
          <w:i/>
          <w:lang w:val="fr-CA"/>
        </w:rPr>
        <w:t xml:space="preserve">R. c. </w:t>
      </w:r>
      <w:proofErr w:type="spellStart"/>
      <w:r w:rsidRPr="00852D08">
        <w:rPr>
          <w:rFonts w:cs="Times New Roman"/>
          <w:i/>
          <w:lang w:val="fr-CA"/>
        </w:rPr>
        <w:t>Khawaja</w:t>
      </w:r>
      <w:proofErr w:type="spellEnd"/>
      <w:r w:rsidR="00635465" w:rsidRPr="00852D08">
        <w:rPr>
          <w:rFonts w:cs="Times New Roman"/>
          <w:lang w:val="fr-CA"/>
        </w:rPr>
        <w:t>, 2012 CSC 69, [2012] 3 R.C.S.</w:t>
      </w:r>
      <w:r w:rsidR="006E7B43">
        <w:rPr>
          <w:rFonts w:cs="Times New Roman"/>
          <w:lang w:val="fr-CA"/>
        </w:rPr>
        <w:t xml:space="preserve"> 555</w:t>
      </w:r>
      <w:r w:rsidRPr="00852D08">
        <w:rPr>
          <w:rFonts w:cs="Times New Roman"/>
          <w:lang w:val="fr-CA"/>
        </w:rPr>
        <w:t xml:space="preserve">, je me penche sur la constitutionnalité des dispositions contestées en l’espèce.  J’y conclus que </w:t>
      </w:r>
      <w:proofErr w:type="spellStart"/>
      <w:r w:rsidRPr="00852D08">
        <w:rPr>
          <w:rFonts w:cs="Times New Roman"/>
          <w:lang w:val="fr-CA"/>
        </w:rPr>
        <w:t>celles</w:t>
      </w:r>
      <w:r w:rsidRPr="00852D08">
        <w:rPr>
          <w:rFonts w:cs="Times New Roman"/>
          <w:lang w:val="fr-CA"/>
        </w:rPr>
        <w:noBreakHyphen/>
        <w:t>ci</w:t>
      </w:r>
      <w:proofErr w:type="spellEnd"/>
      <w:r w:rsidRPr="00852D08">
        <w:rPr>
          <w:rFonts w:cs="Times New Roman"/>
          <w:lang w:val="fr-CA"/>
        </w:rPr>
        <w:t xml:space="preserve"> ne portent pas atteinte aux droits garantis </w:t>
      </w:r>
      <w:proofErr w:type="gramStart"/>
      <w:r w:rsidRPr="00852D08">
        <w:rPr>
          <w:rFonts w:cs="Times New Roman"/>
          <w:lang w:val="fr-CA"/>
        </w:rPr>
        <w:t>aux art</w:t>
      </w:r>
      <w:proofErr w:type="gramEnd"/>
      <w:r w:rsidRPr="00852D08">
        <w:rPr>
          <w:rFonts w:cs="Times New Roman"/>
          <w:lang w:val="fr-CA"/>
        </w:rPr>
        <w:t xml:space="preserve">. 2 et 7 de la </w:t>
      </w:r>
      <w:r w:rsidRPr="00852D08">
        <w:rPr>
          <w:rFonts w:cs="Times New Roman"/>
          <w:i/>
          <w:lang w:val="fr-CA"/>
        </w:rPr>
        <w:t>Charte</w:t>
      </w:r>
      <w:r w:rsidRPr="00852D08">
        <w:rPr>
          <w:rFonts w:cs="Times New Roman"/>
          <w:lang w:val="fr-CA"/>
        </w:rPr>
        <w:t xml:space="preserve">.  Pour les motifs qui y sont exposés, ce motif d’appel est rejeté.  </w:t>
      </w:r>
    </w:p>
    <w:p w:rsidR="0066086B" w:rsidRPr="00852D08" w:rsidRDefault="0066086B" w:rsidP="0006118A">
      <w:pPr>
        <w:pStyle w:val="TitleTitre-AltT"/>
        <w:tabs>
          <w:tab w:val="clear" w:pos="360"/>
          <w:tab w:val="left" w:pos="540"/>
        </w:tabs>
        <w:ind w:left="540" w:hanging="540"/>
        <w:rPr>
          <w:rFonts w:cs="Times New Roman"/>
          <w:i/>
          <w:lang w:val="fr-CA"/>
        </w:rPr>
      </w:pPr>
      <w:r w:rsidRPr="00852D08">
        <w:rPr>
          <w:rFonts w:cs="Times New Roman"/>
          <w:lang w:val="fr-CA"/>
        </w:rPr>
        <w:t>4.</w:t>
      </w:r>
      <w:r w:rsidRPr="00852D08">
        <w:rPr>
          <w:rFonts w:cs="Times New Roman"/>
          <w:lang w:val="fr-CA"/>
        </w:rPr>
        <w:tab/>
      </w:r>
      <w:r w:rsidRPr="00852D08">
        <w:rPr>
          <w:rFonts w:cs="Times New Roman"/>
          <w:u w:val="single"/>
          <w:lang w:val="fr-CA"/>
        </w:rPr>
        <w:t>Quelle est la portée du droit de demeurer au Canada que garantit le par</w:t>
      </w:r>
      <w:r w:rsidR="0006118A" w:rsidRPr="00852D08">
        <w:rPr>
          <w:rFonts w:cs="Times New Roman"/>
          <w:u w:val="single"/>
          <w:lang w:val="fr-CA"/>
        </w:rPr>
        <w:t>.</w:t>
      </w:r>
      <w:r w:rsidRPr="00852D08">
        <w:rPr>
          <w:rFonts w:cs="Times New Roman"/>
          <w:u w:val="single"/>
          <w:lang w:val="fr-CA"/>
        </w:rPr>
        <w:t xml:space="preserve"> 6(1) de la </w:t>
      </w:r>
      <w:r w:rsidRPr="00852D08">
        <w:rPr>
          <w:rFonts w:cs="Times New Roman"/>
          <w:i/>
          <w:u w:val="single"/>
          <w:lang w:val="fr-CA"/>
        </w:rPr>
        <w:t>Charte</w:t>
      </w:r>
      <w:r w:rsidRPr="00852D08">
        <w:rPr>
          <w:rFonts w:cs="Times New Roman"/>
          <w:u w:val="single"/>
          <w:lang w:val="fr-CA"/>
        </w:rPr>
        <w:t xml:space="preserve">? </w:t>
      </w:r>
    </w:p>
    <w:p w:rsidR="0066086B" w:rsidRPr="00852D08" w:rsidRDefault="0066086B" w:rsidP="0066086B">
      <w:pPr>
        <w:pStyle w:val="ParaNoNdepar-AltN"/>
        <w:rPr>
          <w:rFonts w:cs="Times New Roman"/>
          <w:lang w:val="fr-CA"/>
        </w:rPr>
      </w:pPr>
      <w:r w:rsidRPr="00852D08">
        <w:rPr>
          <w:rFonts w:cs="Times New Roman"/>
          <w:lang w:val="fr-CA"/>
        </w:rPr>
        <w:t xml:space="preserve">Le paragraphe 6(1) de la </w:t>
      </w:r>
      <w:r w:rsidRPr="00852D08">
        <w:rPr>
          <w:rFonts w:cs="Times New Roman"/>
          <w:i/>
          <w:lang w:val="fr-CA"/>
        </w:rPr>
        <w:t>Charte</w:t>
      </w:r>
      <w:r w:rsidR="0006118A" w:rsidRPr="00852D08">
        <w:rPr>
          <w:rFonts w:cs="Times New Roman"/>
          <w:lang w:val="fr-CA"/>
        </w:rPr>
        <w:t xml:space="preserve"> dispose que « [t]</w:t>
      </w:r>
      <w:r w:rsidRPr="00852D08">
        <w:rPr>
          <w:rFonts w:cs="Times New Roman"/>
          <w:lang w:val="fr-CA"/>
        </w:rPr>
        <w:t xml:space="preserve">out citoyen canadien </w:t>
      </w:r>
      <w:proofErr w:type="gramStart"/>
      <w:r w:rsidRPr="00852D08">
        <w:rPr>
          <w:rFonts w:cs="Times New Roman"/>
          <w:lang w:val="fr-CA"/>
        </w:rPr>
        <w:t>a</w:t>
      </w:r>
      <w:proofErr w:type="gramEnd"/>
      <w:r w:rsidRPr="00852D08">
        <w:rPr>
          <w:rFonts w:cs="Times New Roman"/>
          <w:lang w:val="fr-CA"/>
        </w:rPr>
        <w:t xml:space="preserve"> le droit de </w:t>
      </w:r>
      <w:r w:rsidRPr="00852D08">
        <w:rPr>
          <w:rFonts w:cs="Times New Roman"/>
          <w:u w:val="single"/>
          <w:lang w:val="fr-CA"/>
        </w:rPr>
        <w:t>demeurer au</w:t>
      </w:r>
      <w:r w:rsidRPr="00852D08">
        <w:rPr>
          <w:rFonts w:cs="Times New Roman"/>
          <w:lang w:val="fr-CA"/>
        </w:rPr>
        <w:t xml:space="preserve"> Canada, d’y entrer ou d’en sortir ».  Dans </w:t>
      </w:r>
      <w:proofErr w:type="spellStart"/>
      <w:r w:rsidRPr="00852D08">
        <w:rPr>
          <w:rFonts w:cs="Times New Roman"/>
          <w:i/>
          <w:lang w:val="fr-CA"/>
        </w:rPr>
        <w:t>États</w:t>
      </w:r>
      <w:r w:rsidRPr="00852D08">
        <w:rPr>
          <w:rFonts w:cs="Times New Roman"/>
          <w:i/>
          <w:lang w:val="fr-CA"/>
        </w:rPr>
        <w:noBreakHyphen/>
        <w:t>Unis</w:t>
      </w:r>
      <w:proofErr w:type="spellEnd"/>
      <w:r w:rsidRPr="00852D08">
        <w:rPr>
          <w:rFonts w:cs="Times New Roman"/>
          <w:i/>
          <w:lang w:val="fr-CA"/>
        </w:rPr>
        <w:t xml:space="preserve"> </w:t>
      </w:r>
      <w:r w:rsidR="0006118A" w:rsidRPr="00852D08">
        <w:rPr>
          <w:rFonts w:cs="Times New Roman"/>
          <w:i/>
          <w:lang w:val="fr-CA"/>
        </w:rPr>
        <w:lastRenderedPageBreak/>
        <w:t xml:space="preserve">d’Amérique </w:t>
      </w:r>
      <w:r w:rsidRPr="00852D08">
        <w:rPr>
          <w:rFonts w:cs="Times New Roman"/>
          <w:i/>
          <w:lang w:val="fr-CA"/>
        </w:rPr>
        <w:t xml:space="preserve">c. </w:t>
      </w:r>
      <w:proofErr w:type="spellStart"/>
      <w:r w:rsidRPr="00852D08">
        <w:rPr>
          <w:rFonts w:cs="Times New Roman"/>
          <w:i/>
          <w:lang w:val="fr-CA"/>
        </w:rPr>
        <w:t>Cotroni</w:t>
      </w:r>
      <w:proofErr w:type="spellEnd"/>
      <w:r w:rsidRPr="00852D08">
        <w:rPr>
          <w:rFonts w:cs="Times New Roman"/>
          <w:lang w:val="fr-CA"/>
        </w:rPr>
        <w:t xml:space="preserve">, [1989] 1 R.C.S. 1469, notre Cour s’est penchée pour la première fois sur l’interaction entre l’extradition et le droit de demeurer au Canada.  Les balises alors proposées ont par la suite été confirmées et précisées dans </w:t>
      </w:r>
      <w:proofErr w:type="spellStart"/>
      <w:r w:rsidRPr="00852D08">
        <w:rPr>
          <w:rFonts w:cs="Times New Roman"/>
          <w:i/>
          <w:lang w:val="fr-CA"/>
        </w:rPr>
        <w:t>États</w:t>
      </w:r>
      <w:r w:rsidRPr="00852D08">
        <w:rPr>
          <w:rFonts w:cs="Times New Roman"/>
          <w:i/>
          <w:lang w:val="fr-CA"/>
        </w:rPr>
        <w:noBreakHyphen/>
        <w:t>Unis</w:t>
      </w:r>
      <w:proofErr w:type="spellEnd"/>
      <w:r w:rsidRPr="00852D08">
        <w:rPr>
          <w:rFonts w:cs="Times New Roman"/>
          <w:i/>
          <w:lang w:val="fr-CA"/>
        </w:rPr>
        <w:t xml:space="preserve"> d’Amérique c. Kwok</w:t>
      </w:r>
      <w:r w:rsidRPr="00852D08">
        <w:rPr>
          <w:rFonts w:cs="Times New Roman"/>
          <w:lang w:val="fr-CA"/>
        </w:rPr>
        <w:t>, 2001 CSC 18, [2001] 1 R.C.S. 532</w:t>
      </w:r>
      <w:r w:rsidR="0006118A" w:rsidRPr="00852D08">
        <w:rPr>
          <w:rFonts w:cs="Times New Roman"/>
          <w:lang w:val="fr-CA"/>
        </w:rPr>
        <w:t>,</w:t>
      </w:r>
      <w:r w:rsidRPr="00852D08">
        <w:rPr>
          <w:rFonts w:cs="Times New Roman"/>
          <w:lang w:val="fr-CA"/>
        </w:rPr>
        <w:t xml:space="preserve"> et </w:t>
      </w:r>
      <w:r w:rsidRPr="00852D08">
        <w:rPr>
          <w:rFonts w:cs="Times New Roman"/>
          <w:i/>
          <w:lang w:val="fr-CA"/>
        </w:rPr>
        <w:t>Lake c. Canada (Ministre de la Justice)</w:t>
      </w:r>
      <w:r w:rsidRPr="00852D08">
        <w:rPr>
          <w:rFonts w:cs="Times New Roman"/>
          <w:lang w:val="fr-CA"/>
        </w:rPr>
        <w:t>, 2008 CSC 23, [2008] 1 R.C.S. 761.  Six principes tirés de ces arrêts orientent l’analyse qui s’impose pour statuer sur l’interprétation du par. 6(1) que préconisent les appelants.</w:t>
      </w:r>
    </w:p>
    <w:p w:rsidR="0066086B" w:rsidRPr="00852D08" w:rsidRDefault="0066086B" w:rsidP="003A07A8">
      <w:pPr>
        <w:pStyle w:val="TitleTitre-AltT"/>
        <w:tabs>
          <w:tab w:val="clear" w:pos="360"/>
          <w:tab w:val="left" w:pos="540"/>
        </w:tabs>
        <w:ind w:left="540" w:hanging="540"/>
        <w:rPr>
          <w:rFonts w:cs="Times New Roman"/>
          <w:i/>
          <w:lang w:val="fr-CA"/>
        </w:rPr>
      </w:pPr>
      <w:r w:rsidRPr="00852D08">
        <w:rPr>
          <w:rFonts w:cs="Times New Roman"/>
          <w:lang w:val="fr-CA"/>
        </w:rPr>
        <w:t>a)</w:t>
      </w:r>
      <w:r w:rsidRPr="00852D08">
        <w:rPr>
          <w:rFonts w:cs="Times New Roman"/>
          <w:i/>
          <w:lang w:val="fr-CA"/>
        </w:rPr>
        <w:tab/>
        <w:t>La jurisprudence</w:t>
      </w:r>
    </w:p>
    <w:p w:rsidR="0066086B" w:rsidRPr="00852D08" w:rsidRDefault="0066086B" w:rsidP="0066086B">
      <w:pPr>
        <w:pStyle w:val="ParaNoNdepar-AltN"/>
        <w:rPr>
          <w:rFonts w:cs="Times New Roman"/>
          <w:lang w:val="fr-CA"/>
        </w:rPr>
      </w:pPr>
      <w:r w:rsidRPr="00852D08">
        <w:rPr>
          <w:rFonts w:cs="Times New Roman"/>
          <w:lang w:val="fr-CA"/>
        </w:rPr>
        <w:t xml:space="preserve">Premièrement, il appert des arrêts </w:t>
      </w:r>
      <w:proofErr w:type="spellStart"/>
      <w:r w:rsidRPr="00852D08">
        <w:rPr>
          <w:rFonts w:cs="Times New Roman"/>
          <w:i/>
          <w:lang w:val="fr-CA"/>
        </w:rPr>
        <w:t>Cotroni</w:t>
      </w:r>
      <w:proofErr w:type="spellEnd"/>
      <w:r w:rsidRPr="00852D08">
        <w:rPr>
          <w:rFonts w:cs="Times New Roman"/>
          <w:lang w:val="fr-CA"/>
        </w:rPr>
        <w:t xml:space="preserve">, </w:t>
      </w:r>
      <w:r w:rsidRPr="00852D08">
        <w:rPr>
          <w:rFonts w:cs="Times New Roman"/>
          <w:i/>
          <w:lang w:val="fr-CA"/>
        </w:rPr>
        <w:t>Kwok</w:t>
      </w:r>
      <w:r w:rsidRPr="00852D08">
        <w:rPr>
          <w:rFonts w:cs="Times New Roman"/>
          <w:lang w:val="fr-CA"/>
        </w:rPr>
        <w:t xml:space="preserve"> et </w:t>
      </w:r>
      <w:r w:rsidRPr="00852D08">
        <w:rPr>
          <w:rFonts w:cs="Times New Roman"/>
          <w:i/>
          <w:lang w:val="fr-CA"/>
        </w:rPr>
        <w:t>Lake</w:t>
      </w:r>
      <w:r w:rsidRPr="00852D08">
        <w:rPr>
          <w:rFonts w:cs="Times New Roman"/>
          <w:lang w:val="fr-CA"/>
        </w:rPr>
        <w:t xml:space="preserve"> que l’extradition restreint de manière périphérique le droit de demeurer au Canada garanti au par. 6(1).  Certes, l’extradition d’un citoyen canadien vers un pays étranger porte atteinte à son droit de demeurer en sol canadien, mais le par. 6(1) vise principalement à le protéger contre l’expulsion, l’exil et le bannissement, soit l’exclusion de sa participation à la communauté nationale.  Partant, il s’agit d’une mesure qui « se situe à la limite des valeurs fondamentales »</w:t>
      </w:r>
      <w:r w:rsidR="003A07A8" w:rsidRPr="00852D08">
        <w:rPr>
          <w:rFonts w:cs="Times New Roman"/>
          <w:lang w:val="fr-CA"/>
        </w:rPr>
        <w:t xml:space="preserve"> consacrées par la disposition : </w:t>
      </w:r>
      <w:proofErr w:type="spellStart"/>
      <w:r w:rsidRPr="00852D08">
        <w:rPr>
          <w:rFonts w:cs="Times New Roman"/>
          <w:i/>
          <w:lang w:val="fr-CA"/>
        </w:rPr>
        <w:t>Cotroni</w:t>
      </w:r>
      <w:proofErr w:type="spellEnd"/>
      <w:r w:rsidRPr="00852D08">
        <w:rPr>
          <w:rFonts w:cs="Times New Roman"/>
          <w:lang w:val="fr-CA"/>
        </w:rPr>
        <w:t xml:space="preserve">, p. 1481. </w:t>
      </w:r>
    </w:p>
    <w:p w:rsidR="0066086B" w:rsidRPr="00852D08" w:rsidRDefault="0066086B" w:rsidP="0066086B">
      <w:pPr>
        <w:pStyle w:val="ParaNoNdepar-AltN"/>
        <w:rPr>
          <w:rFonts w:cs="Times New Roman"/>
          <w:lang w:val="fr-CA"/>
        </w:rPr>
      </w:pPr>
      <w:r w:rsidRPr="00852D08">
        <w:rPr>
          <w:rFonts w:cs="Times New Roman"/>
          <w:lang w:val="fr-CA"/>
        </w:rPr>
        <w:t xml:space="preserve">Deuxièmement — et de manière corrélative —, l’extradition se justifie généralement au regard de l’article premier de la </w:t>
      </w:r>
      <w:r w:rsidRPr="00852D08">
        <w:rPr>
          <w:rFonts w:cs="Times New Roman"/>
          <w:i/>
          <w:lang w:val="fr-CA"/>
        </w:rPr>
        <w:t>Charte</w:t>
      </w:r>
      <w:r w:rsidRPr="00852D08">
        <w:rPr>
          <w:rFonts w:cs="Times New Roman"/>
          <w:lang w:val="fr-CA"/>
        </w:rPr>
        <w:t xml:space="preserve"> à titre de restriction raisonnable du droit de demeurer au Canada (</w:t>
      </w:r>
      <w:proofErr w:type="spellStart"/>
      <w:r w:rsidRPr="00852D08">
        <w:rPr>
          <w:rFonts w:cs="Times New Roman"/>
          <w:i/>
          <w:lang w:val="fr-CA"/>
        </w:rPr>
        <w:t>Cotroni</w:t>
      </w:r>
      <w:proofErr w:type="spellEnd"/>
      <w:r w:rsidRPr="00852D08">
        <w:rPr>
          <w:rFonts w:cs="Times New Roman"/>
          <w:lang w:val="fr-CA"/>
        </w:rPr>
        <w:t xml:space="preserve">, p. 1483; </w:t>
      </w:r>
      <w:r w:rsidRPr="00852D08">
        <w:rPr>
          <w:rFonts w:cs="Times New Roman"/>
          <w:i/>
          <w:lang w:val="fr-CA"/>
        </w:rPr>
        <w:t>Lake</w:t>
      </w:r>
      <w:r w:rsidRPr="00852D08">
        <w:rPr>
          <w:rFonts w:cs="Times New Roman"/>
          <w:lang w:val="fr-CA"/>
        </w:rPr>
        <w:t xml:space="preserve">, par. 37), étant donné les objectifs urgents et réels de la mesure qui sont (1) de protéger le public contre le crime par la tenue d’une enquête, (2) de traduire en justice un fugitif pour déterminer comme il se doit sa responsabilité criminelle et, (3) grâce à la </w:t>
      </w:r>
      <w:r w:rsidRPr="00852D08">
        <w:rPr>
          <w:rFonts w:cs="Times New Roman"/>
          <w:lang w:val="fr-CA"/>
        </w:rPr>
        <w:lastRenderedPageBreak/>
        <w:t>collaboration internationale, de faire en sorte que le franchissement des frontières nationales ne permette pas à une personne de se soustraire à la justice.</w:t>
      </w:r>
    </w:p>
    <w:p w:rsidR="0066086B" w:rsidRPr="00852D08" w:rsidRDefault="0066086B" w:rsidP="0066086B">
      <w:pPr>
        <w:pStyle w:val="ParaNoNdepar-AltN"/>
        <w:rPr>
          <w:rFonts w:cs="Times New Roman"/>
          <w:lang w:val="fr-CA"/>
        </w:rPr>
      </w:pPr>
      <w:r w:rsidRPr="00852D08">
        <w:rPr>
          <w:rFonts w:cs="Times New Roman"/>
          <w:lang w:val="fr-CA"/>
        </w:rPr>
        <w:t>Troisièmement, le pouvoir discrétionnaire du ministre d’extrader une personne vers l’étranger ou de la traduire en justice au Canada est nécessaire à l’application efficace du droit criminel, et la décision qui résulte de son exercic</w:t>
      </w:r>
      <w:r w:rsidR="003A07A8" w:rsidRPr="00852D08">
        <w:rPr>
          <w:rFonts w:cs="Times New Roman"/>
          <w:lang w:val="fr-CA"/>
        </w:rPr>
        <w:t xml:space="preserve">e appelle une grande déférence : </w:t>
      </w:r>
      <w:proofErr w:type="spellStart"/>
      <w:r w:rsidRPr="00852D08">
        <w:rPr>
          <w:rFonts w:cs="Times New Roman"/>
          <w:i/>
          <w:lang w:val="fr-CA"/>
        </w:rPr>
        <w:t>Cotroni</w:t>
      </w:r>
      <w:proofErr w:type="spellEnd"/>
      <w:r w:rsidRPr="00852D08">
        <w:rPr>
          <w:rFonts w:cs="Times New Roman"/>
          <w:lang w:val="fr-CA"/>
        </w:rPr>
        <w:t xml:space="preserve">, p. 1497; </w:t>
      </w:r>
      <w:r w:rsidRPr="00852D08">
        <w:rPr>
          <w:rFonts w:cs="Times New Roman"/>
          <w:i/>
          <w:lang w:val="fr-CA"/>
        </w:rPr>
        <w:t>Kwok</w:t>
      </w:r>
      <w:r w:rsidRPr="00852D08">
        <w:rPr>
          <w:rFonts w:cs="Times New Roman"/>
          <w:lang w:val="fr-CA"/>
        </w:rPr>
        <w:t xml:space="preserve">, </w:t>
      </w:r>
      <w:r w:rsidR="003A07A8" w:rsidRPr="00852D08">
        <w:rPr>
          <w:rFonts w:cs="Times New Roman"/>
          <w:lang w:val="fr-CA"/>
        </w:rPr>
        <w:t>par. 93-</w:t>
      </w:r>
      <w:r w:rsidRPr="00852D08">
        <w:rPr>
          <w:rFonts w:cs="Times New Roman"/>
          <w:lang w:val="fr-CA"/>
        </w:rPr>
        <w:t xml:space="preserve">96; </w:t>
      </w:r>
      <w:r w:rsidRPr="00852D08">
        <w:rPr>
          <w:rFonts w:cs="Times New Roman"/>
          <w:i/>
          <w:lang w:val="fr-CA"/>
        </w:rPr>
        <w:t>Lake</w:t>
      </w:r>
      <w:r w:rsidRPr="00852D08">
        <w:rPr>
          <w:rFonts w:cs="Times New Roman"/>
          <w:lang w:val="fr-CA"/>
        </w:rPr>
        <w:t xml:space="preserve">, par. 34.  Lorsqu’il se penche sur la justification au regard de l’article premier de l’atteinte au droit que le par. 6(1) garantit à un fugitif, le ministre, grâce à son expertise supérieure en ce qui concerne les obligations et les intérêts du Canada sur le plan international, décide s’il y a lieu de reconnaître la priorité de l’État requérant.  Il s’agit avant tout d’une décision politique.  Un tribunal ne doit s’immiscer dans l’exercice du pouvoir discrétionnaire du ministre que dans les « cas les plus </w:t>
      </w:r>
      <w:r w:rsidR="00584BF1" w:rsidRPr="00852D08">
        <w:rPr>
          <w:rFonts w:cs="Times New Roman"/>
          <w:lang w:val="fr-CA"/>
        </w:rPr>
        <w:t>clair</w:t>
      </w:r>
      <w:r w:rsidRPr="00852D08">
        <w:rPr>
          <w:rFonts w:cs="Times New Roman"/>
          <w:lang w:val="fr-CA"/>
        </w:rPr>
        <w:t>s » (</w:t>
      </w:r>
      <w:r w:rsidRPr="00852D08">
        <w:rPr>
          <w:rFonts w:cs="Times New Roman"/>
          <w:i/>
          <w:lang w:val="fr-CA"/>
        </w:rPr>
        <w:t>Lake</w:t>
      </w:r>
      <w:r w:rsidRPr="00852D08">
        <w:rPr>
          <w:rFonts w:cs="Times New Roman"/>
          <w:lang w:val="fr-CA"/>
        </w:rPr>
        <w:t xml:space="preserve">, par. 30).  </w:t>
      </w:r>
    </w:p>
    <w:p w:rsidR="0066086B" w:rsidRPr="00852D08" w:rsidRDefault="0066086B" w:rsidP="0066086B">
      <w:pPr>
        <w:pStyle w:val="ParaNoNdepar-AltN"/>
        <w:rPr>
          <w:rFonts w:cs="Times New Roman"/>
          <w:lang w:val="fr-CA"/>
        </w:rPr>
      </w:pPr>
      <w:r w:rsidRPr="00852D08">
        <w:rPr>
          <w:rFonts w:cs="Times New Roman"/>
          <w:lang w:val="fr-CA"/>
        </w:rPr>
        <w:t xml:space="preserve">Quatrièmement, ce pouvoir discrétionnaire n’est pas illimité.  Son titulaire doit dûment tenir compte du droit constitutionnel du citoyen de demeurer au Canada, et de l’importance de ce droit, avant de décider s’il y aura poursuite au pays ou s’il sera fait droit à la demande d’extradition.  Le ministre ne prend un arrêté d’extradition que s’il est convaincu que la mesure est préférable à la poursuite de l’intéressé au Canada, une fois mis en balance tous les éléments qu’il juge pertinents dans les circonstances, dont :  </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 lieu où se sont fait sentir ou étaient susceptibles de se faire sentir les répercussions de l’infraction;</w:t>
      </w:r>
    </w:p>
    <w:p w:rsidR="0066086B" w:rsidRPr="00852D08" w:rsidRDefault="00584BF1" w:rsidP="00584BF1">
      <w:pPr>
        <w:tabs>
          <w:tab w:val="left" w:pos="720"/>
        </w:tabs>
        <w:spacing w:after="480" w:line="480" w:lineRule="auto"/>
        <w:ind w:left="720" w:hanging="720"/>
        <w:rPr>
          <w:lang w:val="fr-CA"/>
        </w:rPr>
      </w:pPr>
      <w:r w:rsidRPr="00852D08">
        <w:rPr>
          <w:lang w:val="fr-CA"/>
        </w:rPr>
        <w:lastRenderedPageBreak/>
        <w:t>•</w:t>
      </w:r>
      <w:r w:rsidRPr="00852D08">
        <w:rPr>
          <w:lang w:val="fr-CA"/>
        </w:rPr>
        <w:tab/>
      </w:r>
      <w:r w:rsidR="0066086B" w:rsidRPr="00852D08">
        <w:rPr>
          <w:lang w:val="fr-CA"/>
        </w:rPr>
        <w:t>le pays qui a le plus grand intérêt à poursuivre l’auteur de l’infraction;</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 corps policier qui a joué le rôle le plus important dans l’évolution du dossier;</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 pays qui a porté les accusations;</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celui qui dispose du dossier le plus étoffé contre l’accusé;</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celui qui est prêt à entreprendre le procès;</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 xml:space="preserve">le </w:t>
      </w:r>
      <w:proofErr w:type="spellStart"/>
      <w:r w:rsidR="0066086B" w:rsidRPr="00852D08">
        <w:rPr>
          <w:lang w:val="fr-CA"/>
        </w:rPr>
        <w:t>situs</w:t>
      </w:r>
      <w:proofErr w:type="spellEnd"/>
      <w:r w:rsidR="0066086B" w:rsidRPr="00852D08">
        <w:rPr>
          <w:lang w:val="fr-CA"/>
        </w:rPr>
        <w:t xml:space="preserve"> des éléments de preuve;</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leur mobilité;</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 nombre d’accusés et la possibilité de les juger au même endroit;</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 pays dans lequel ont été accomplis la plupart des actes à l’origine du crime;</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la nationalité de l’accusé et son domicile;</w:t>
      </w:r>
    </w:p>
    <w:p w:rsidR="0066086B" w:rsidRPr="00852D08" w:rsidRDefault="00584BF1" w:rsidP="00584BF1">
      <w:pPr>
        <w:tabs>
          <w:tab w:val="left" w:pos="720"/>
        </w:tabs>
        <w:spacing w:after="480" w:line="480" w:lineRule="auto"/>
        <w:ind w:left="720" w:hanging="720"/>
        <w:rPr>
          <w:lang w:val="fr-CA"/>
        </w:rPr>
      </w:pPr>
      <w:r w:rsidRPr="00852D08">
        <w:rPr>
          <w:lang w:val="fr-CA"/>
        </w:rPr>
        <w:t>•</w:t>
      </w:r>
      <w:r w:rsidRPr="00852D08">
        <w:rPr>
          <w:lang w:val="fr-CA"/>
        </w:rPr>
        <w:tab/>
      </w:r>
      <w:r w:rsidR="0066086B" w:rsidRPr="00852D08">
        <w:rPr>
          <w:lang w:val="fr-CA"/>
        </w:rPr>
        <w:t>le degré de sévérité de la peine encourue par l’accusé dans chacun des pays.</w:t>
      </w:r>
    </w:p>
    <w:p w:rsidR="0066086B" w:rsidRPr="00852D08" w:rsidRDefault="0066086B" w:rsidP="0066086B">
      <w:pPr>
        <w:pStyle w:val="ParaNoNdepar-AltN"/>
        <w:rPr>
          <w:rFonts w:cs="Times New Roman"/>
          <w:lang w:val="fr-CA"/>
        </w:rPr>
      </w:pPr>
      <w:r w:rsidRPr="00852D08">
        <w:rPr>
          <w:rFonts w:cs="Times New Roman"/>
          <w:lang w:val="fr-CA"/>
        </w:rPr>
        <w:t xml:space="preserve">Cinquièmement, aucun de ces éléments n’est à lui seul déterminant, et tous ne revêtent pas la même importance.  Le ministre peut fonder sa décision </w:t>
      </w:r>
      <w:r w:rsidRPr="00852D08">
        <w:rPr>
          <w:rFonts w:cs="Times New Roman"/>
          <w:lang w:val="fr-CA"/>
        </w:rPr>
        <w:lastRenderedPageBreak/>
        <w:t xml:space="preserve">d’extrader ou non sur l’un d’entre eux qu’il juge déterminant dans un cas particulier.  La pertinence et l’importance de chacun des « éléments de </w:t>
      </w:r>
      <w:proofErr w:type="spellStart"/>
      <w:r w:rsidRPr="00852D08">
        <w:rPr>
          <w:rFonts w:cs="Times New Roman"/>
          <w:i/>
          <w:lang w:val="fr-CA"/>
        </w:rPr>
        <w:t>Cotroni</w:t>
      </w:r>
      <w:proofErr w:type="spellEnd"/>
      <w:r w:rsidR="00584BF1" w:rsidRPr="00852D08">
        <w:rPr>
          <w:rFonts w:cs="Times New Roman"/>
          <w:lang w:val="fr-CA"/>
        </w:rPr>
        <w:t xml:space="preserve"> » varient d’un cas à l’autre : </w:t>
      </w:r>
      <w:r w:rsidRPr="00852D08">
        <w:rPr>
          <w:rFonts w:cs="Times New Roman"/>
          <w:i/>
          <w:lang w:val="fr-CA"/>
        </w:rPr>
        <w:t>Lake</w:t>
      </w:r>
      <w:r w:rsidR="00584BF1" w:rsidRPr="00852D08">
        <w:rPr>
          <w:rFonts w:cs="Times New Roman"/>
          <w:lang w:val="fr-CA"/>
        </w:rPr>
        <w:t>, par. 30</w:t>
      </w:r>
      <w:r w:rsidRPr="00852D08">
        <w:rPr>
          <w:rFonts w:cs="Times New Roman"/>
          <w:lang w:val="fr-CA"/>
        </w:rPr>
        <w:t xml:space="preserve">.  Rien n’empêche le ministre d’accorder plus d’importance à l’un d’eux dans une affaire donnée.  Il s’agit essentiellement d’une entreprise de pondération axée sur les faits qui relève de son expertise.  </w:t>
      </w:r>
    </w:p>
    <w:p w:rsidR="0066086B" w:rsidRPr="00852D08" w:rsidRDefault="0066086B" w:rsidP="0066086B">
      <w:pPr>
        <w:pStyle w:val="ParaNoNdepar-AltN"/>
        <w:rPr>
          <w:rFonts w:cs="Times New Roman"/>
          <w:lang w:val="fr-FR"/>
        </w:rPr>
      </w:pPr>
      <w:r w:rsidRPr="00852D08">
        <w:rPr>
          <w:rFonts w:cs="Times New Roman"/>
          <w:lang w:val="fr-CA"/>
        </w:rPr>
        <w:t>Sixièmement, la possibilité réaliste d’une poursuite en sol canadien n’est qu’une considération, et elle n’est pas déterminante dans l’appréciation du ministre</w:t>
      </w:r>
      <w:r w:rsidR="00584BF1" w:rsidRPr="00852D08">
        <w:rPr>
          <w:rFonts w:cs="Times New Roman"/>
          <w:lang w:val="fr-CA"/>
        </w:rPr>
        <w:t xml:space="preserve"> : </w:t>
      </w:r>
      <w:proofErr w:type="spellStart"/>
      <w:r w:rsidRPr="00852D08">
        <w:rPr>
          <w:rFonts w:cs="Times New Roman"/>
          <w:i/>
          <w:lang w:val="fr-CA"/>
        </w:rPr>
        <w:t>Cotroni</w:t>
      </w:r>
      <w:proofErr w:type="spellEnd"/>
      <w:r w:rsidRPr="00852D08">
        <w:rPr>
          <w:rFonts w:cs="Times New Roman"/>
          <w:lang w:val="fr-CA"/>
        </w:rPr>
        <w:t xml:space="preserve">, p. 1494; </w:t>
      </w:r>
      <w:r w:rsidRPr="00852D08">
        <w:rPr>
          <w:rFonts w:cs="Times New Roman"/>
          <w:i/>
          <w:lang w:val="fr-CA"/>
        </w:rPr>
        <w:t>Kwok</w:t>
      </w:r>
      <w:r w:rsidRPr="00852D08">
        <w:rPr>
          <w:rFonts w:cs="Times New Roman"/>
          <w:lang w:val="fr-CA"/>
        </w:rPr>
        <w:t xml:space="preserve">, par. 92; </w:t>
      </w:r>
      <w:r w:rsidRPr="00852D08">
        <w:rPr>
          <w:rFonts w:cs="Times New Roman"/>
          <w:i/>
          <w:lang w:val="fr-CA"/>
        </w:rPr>
        <w:t>Lake</w:t>
      </w:r>
      <w:r w:rsidRPr="00852D08">
        <w:rPr>
          <w:rFonts w:cs="Times New Roman"/>
          <w:lang w:val="fr-CA"/>
        </w:rPr>
        <w:t xml:space="preserve">, par. 37.  Pour reprendre les propos de la juge </w:t>
      </w:r>
      <w:proofErr w:type="spellStart"/>
      <w:r w:rsidRPr="00852D08">
        <w:rPr>
          <w:rFonts w:cs="Times New Roman"/>
          <w:lang w:val="fr-CA"/>
        </w:rPr>
        <w:t>Arbour</w:t>
      </w:r>
      <w:proofErr w:type="spellEnd"/>
      <w:r w:rsidRPr="00852D08">
        <w:rPr>
          <w:rFonts w:cs="Times New Roman"/>
          <w:lang w:val="fr-CA"/>
        </w:rPr>
        <w:t xml:space="preserve"> dans l’arrêt </w:t>
      </w:r>
      <w:r w:rsidRPr="00852D08">
        <w:rPr>
          <w:rFonts w:cs="Times New Roman"/>
          <w:i/>
          <w:lang w:val="fr-CA"/>
        </w:rPr>
        <w:t>Kwok</w:t>
      </w:r>
      <w:r w:rsidRPr="00852D08">
        <w:rPr>
          <w:rFonts w:cs="Times New Roman"/>
          <w:lang w:val="fr-CA"/>
        </w:rPr>
        <w:t xml:space="preserve">, « [l]’efficacité de poursuites ne dépend pas simplement de la question de savoir si elles présentent quelque chance que ce soit d’aboutir à une déclaration de culpabilité.  </w:t>
      </w:r>
      <w:r w:rsidRPr="00852D08">
        <w:rPr>
          <w:rFonts w:cs="Times New Roman"/>
          <w:lang w:val="fr-FR"/>
        </w:rPr>
        <w:t>Il faut également tenir compte, eu égard à l’intérêt public, de tous les coûts et risques afférents aux poursuites, y compris des délais, des inconvénients pour les témoins et des règles applicables »</w:t>
      </w:r>
      <w:r w:rsidRPr="00852D08">
        <w:rPr>
          <w:rFonts w:cs="Times New Roman"/>
          <w:lang w:val="fr-CA"/>
        </w:rPr>
        <w:t xml:space="preserve"> (par. 90).  En outre, l’intérêt de l’État étranger à poursuivre le fugitif sur son propre territoire n’est pas à négliger.  En effet, le ministre pourrait être justifié, après la mise en balance de tous les éléments pertinents, de « </w:t>
      </w:r>
      <w:r w:rsidRPr="00852D08">
        <w:rPr>
          <w:rFonts w:cs="Times New Roman"/>
          <w:lang w:val="fr-CA" w:bidi="en-US"/>
        </w:rPr>
        <w:t>s’incliner devant l’intérêt supérieur de l’État requérant, même dans les cas où le dépôt de certaines accusations au Canada n’est pas essentiellement  impossible ou entièrement dénué de toute chance de succès » (</w:t>
      </w:r>
      <w:r w:rsidRPr="00852D08">
        <w:rPr>
          <w:rFonts w:cs="Times New Roman"/>
          <w:i/>
          <w:lang w:val="fr-CA" w:bidi="en-US"/>
        </w:rPr>
        <w:t>Kwok</w:t>
      </w:r>
      <w:r w:rsidRPr="00852D08">
        <w:rPr>
          <w:rFonts w:cs="Times New Roman"/>
          <w:lang w:val="fr-CA" w:bidi="en-US"/>
        </w:rPr>
        <w:t xml:space="preserve">, par. 91). </w:t>
      </w:r>
      <w:r w:rsidRPr="00852D08">
        <w:rPr>
          <w:rFonts w:cs="Times New Roman"/>
          <w:lang w:val="fr-CA"/>
        </w:rPr>
        <w:t xml:space="preserve"> </w:t>
      </w:r>
    </w:p>
    <w:p w:rsidR="0066086B" w:rsidRPr="00852D08" w:rsidRDefault="0066086B" w:rsidP="00B47C39">
      <w:pPr>
        <w:pStyle w:val="TitleTitre-AltT"/>
        <w:tabs>
          <w:tab w:val="clear" w:pos="360"/>
          <w:tab w:val="left" w:pos="540"/>
        </w:tabs>
        <w:ind w:left="540" w:hanging="540"/>
        <w:rPr>
          <w:rFonts w:cs="Times New Roman"/>
          <w:i/>
          <w:lang w:val="fr-CA"/>
        </w:rPr>
      </w:pPr>
      <w:r w:rsidRPr="00852D08">
        <w:rPr>
          <w:rFonts w:cs="Times New Roman"/>
          <w:lang w:val="fr-CA"/>
        </w:rPr>
        <w:lastRenderedPageBreak/>
        <w:t>b)</w:t>
      </w:r>
      <w:r w:rsidRPr="00852D08">
        <w:rPr>
          <w:rFonts w:cs="Times New Roman"/>
          <w:i/>
          <w:lang w:val="fr-CA"/>
        </w:rPr>
        <w:tab/>
      </w:r>
      <w:proofErr w:type="spellStart"/>
      <w:r w:rsidRPr="00852D08">
        <w:rPr>
          <w:rFonts w:cs="Times New Roman"/>
          <w:i/>
          <w:lang w:val="fr-CA"/>
        </w:rPr>
        <w:t>Convient</w:t>
      </w:r>
      <w:r w:rsidRPr="00852D08">
        <w:rPr>
          <w:rFonts w:cs="Times New Roman"/>
          <w:i/>
          <w:lang w:val="fr-CA"/>
        </w:rPr>
        <w:noBreakHyphen/>
        <w:t>il</w:t>
      </w:r>
      <w:proofErr w:type="spellEnd"/>
      <w:r w:rsidRPr="00852D08">
        <w:rPr>
          <w:rFonts w:cs="Times New Roman"/>
          <w:i/>
          <w:lang w:val="fr-CA"/>
        </w:rPr>
        <w:t xml:space="preserve"> de s’écarter de la jurisprudence applicable?</w:t>
      </w:r>
    </w:p>
    <w:p w:rsidR="0066086B" w:rsidRPr="00852D08" w:rsidRDefault="0066086B" w:rsidP="0066086B">
      <w:pPr>
        <w:pStyle w:val="ParaNoNdepar-AltN"/>
        <w:rPr>
          <w:rFonts w:cs="Times New Roman"/>
          <w:lang w:val="fr-CA"/>
        </w:rPr>
      </w:pPr>
      <w:r w:rsidRPr="00852D08">
        <w:rPr>
          <w:rFonts w:cs="Times New Roman"/>
          <w:lang w:val="fr-CA"/>
        </w:rPr>
        <w:t xml:space="preserve">Les appelants demandent à la Cour de rompre avec l’arrêt </w:t>
      </w:r>
      <w:proofErr w:type="spellStart"/>
      <w:r w:rsidRPr="00852D08">
        <w:rPr>
          <w:rFonts w:cs="Times New Roman"/>
          <w:i/>
          <w:lang w:val="fr-CA"/>
        </w:rPr>
        <w:t>Cotroni</w:t>
      </w:r>
      <w:proofErr w:type="spellEnd"/>
      <w:r w:rsidRPr="00852D08">
        <w:rPr>
          <w:rFonts w:cs="Times New Roman"/>
          <w:lang w:val="fr-CA"/>
        </w:rPr>
        <w:t xml:space="preserve">.  Selon eux, on ne devrait plus considérer d’emblée que l’extradition restreint de manière périphérique le droit de demeurer au Canada et qu’elle </w:t>
      </w:r>
      <w:r w:rsidR="00B47C39" w:rsidRPr="00852D08">
        <w:rPr>
          <w:rFonts w:cs="Times New Roman"/>
          <w:lang w:val="fr-CA"/>
        </w:rPr>
        <w:t>[</w:t>
      </w:r>
      <w:r w:rsidR="00B47C39" w:rsidRPr="00852D08">
        <w:rPr>
          <w:rFonts w:cs="Times New Roman"/>
          <w:smallCaps/>
          <w:lang w:val="fr-CA"/>
        </w:rPr>
        <w:t>traduction</w:t>
      </w:r>
      <w:r w:rsidR="00B47C39" w:rsidRPr="00852D08">
        <w:rPr>
          <w:rFonts w:cs="Times New Roman"/>
          <w:lang w:val="fr-CA"/>
        </w:rPr>
        <w:t xml:space="preserve">] </w:t>
      </w:r>
      <w:r w:rsidRPr="00852D08">
        <w:rPr>
          <w:rFonts w:cs="Times New Roman"/>
          <w:lang w:val="fr-CA"/>
        </w:rPr>
        <w:t xml:space="preserve">« se situe à la limite des valeurs fondamentales » protégées par le par. 6(1) de la </w:t>
      </w:r>
      <w:r w:rsidRPr="00852D08">
        <w:rPr>
          <w:rFonts w:cs="Times New Roman"/>
          <w:i/>
          <w:lang w:val="fr-CA"/>
        </w:rPr>
        <w:t>Charte</w:t>
      </w:r>
      <w:r w:rsidRPr="00852D08">
        <w:rPr>
          <w:rFonts w:cs="Times New Roman"/>
          <w:lang w:val="fr-CA"/>
        </w:rPr>
        <w:t xml:space="preserve"> (mémoire </w:t>
      </w:r>
      <w:proofErr w:type="spellStart"/>
      <w:r w:rsidRPr="00852D08">
        <w:rPr>
          <w:rFonts w:cs="Times New Roman"/>
          <w:lang w:val="fr-CA"/>
        </w:rPr>
        <w:t>Sriskandarajah</w:t>
      </w:r>
      <w:proofErr w:type="spellEnd"/>
      <w:r w:rsidRPr="00852D08">
        <w:rPr>
          <w:rFonts w:cs="Times New Roman"/>
          <w:lang w:val="fr-CA"/>
        </w:rPr>
        <w:t>, par</w:t>
      </w:r>
      <w:r w:rsidR="00B47C39" w:rsidRPr="00852D08">
        <w:rPr>
          <w:rFonts w:cs="Times New Roman"/>
          <w:lang w:val="fr-CA"/>
        </w:rPr>
        <w:t>. 3</w:t>
      </w:r>
      <w:r w:rsidRPr="00852D08">
        <w:rPr>
          <w:rFonts w:cs="Times New Roman"/>
          <w:lang w:val="fr-CA"/>
        </w:rPr>
        <w:t>7).  À leur avis, l’extradition requise par un État dont la co</w:t>
      </w:r>
      <w:r w:rsidR="00B47C39" w:rsidRPr="00852D08">
        <w:rPr>
          <w:rFonts w:cs="Times New Roman"/>
          <w:lang w:val="fr-CA"/>
        </w:rPr>
        <w:t>mpétence revendiquée est faible</w:t>
      </w:r>
      <w:r w:rsidRPr="00852D08">
        <w:rPr>
          <w:rFonts w:cs="Times New Roman"/>
          <w:lang w:val="fr-CA"/>
        </w:rPr>
        <w:t xml:space="preserve"> « du point de vue canadien » devrait être considérée comme une atteinte au droit garanti au par. 6(1) plus grande que ce qu’estime la Cour dans l’arrêt </w:t>
      </w:r>
      <w:proofErr w:type="spellStart"/>
      <w:r w:rsidRPr="00852D08">
        <w:rPr>
          <w:rFonts w:cs="Times New Roman"/>
          <w:i/>
          <w:lang w:val="fr-CA"/>
        </w:rPr>
        <w:t>Cotroni</w:t>
      </w:r>
      <w:proofErr w:type="spellEnd"/>
      <w:r w:rsidRPr="00852D08">
        <w:rPr>
          <w:rFonts w:cs="Times New Roman"/>
          <w:lang w:val="fr-CA"/>
        </w:rPr>
        <w:t xml:space="preserve"> (par. 52).  Ils ajoutent que l’évolution récente observée en matière d’extradition et de justice pénale, en particulier la revendication par des États étrangers de leur compétence sur des actes commis par des Canadiens au Canada, rendrait nécessaire cette rupture avec l’arrêt </w:t>
      </w:r>
      <w:proofErr w:type="spellStart"/>
      <w:r w:rsidRPr="00852D08">
        <w:rPr>
          <w:rFonts w:cs="Times New Roman"/>
          <w:i/>
          <w:lang w:val="fr-CA"/>
        </w:rPr>
        <w:t>Cotroni</w:t>
      </w:r>
      <w:proofErr w:type="spellEnd"/>
      <w:r w:rsidRPr="00852D08">
        <w:rPr>
          <w:rFonts w:cs="Times New Roman"/>
          <w:lang w:val="fr-CA"/>
        </w:rPr>
        <w:t xml:space="preserve">. </w:t>
      </w:r>
    </w:p>
    <w:p w:rsidR="0066086B" w:rsidRPr="00852D08" w:rsidRDefault="0066086B" w:rsidP="0066086B">
      <w:pPr>
        <w:pStyle w:val="ParaNoNdepar-AltN"/>
        <w:rPr>
          <w:rFonts w:cs="Times New Roman"/>
          <w:lang w:val="fr-CA"/>
        </w:rPr>
      </w:pPr>
      <w:r w:rsidRPr="00852D08">
        <w:rPr>
          <w:rFonts w:cs="Times New Roman"/>
          <w:lang w:val="fr-CA"/>
        </w:rPr>
        <w:t xml:space="preserve">Au vu de cette nouvelle interprétation du par. 6(1), les appelants soutiennent que deux éléments devraient en somme être déterminants dans l’analyse que commande l’article premier : (1) la faiblesse de la compétence revendiquée par l’autre État et (2) la possibilité réaliste de poursuivre l’intéressé au Canada.  Ils font valoir que lorsque l’une ou l’autre condition s’applique, le ministre n’est pas justifié d’ordonner l’extradition du citoyen en cause.  </w:t>
      </w:r>
    </w:p>
    <w:p w:rsidR="0066086B" w:rsidRPr="00852D08" w:rsidRDefault="0066086B" w:rsidP="0066086B">
      <w:pPr>
        <w:pStyle w:val="ParaNoNdepar-AltN"/>
        <w:rPr>
          <w:rFonts w:cs="Times New Roman"/>
          <w:lang w:val="fr-CA"/>
        </w:rPr>
      </w:pPr>
      <w:r w:rsidRPr="00852D08">
        <w:rPr>
          <w:rFonts w:cs="Times New Roman"/>
          <w:lang w:val="fr-CA"/>
        </w:rPr>
        <w:t xml:space="preserve">Faire droit à la thèse des appelants revient à infirmer les arrêts </w:t>
      </w:r>
      <w:proofErr w:type="spellStart"/>
      <w:r w:rsidRPr="00852D08">
        <w:rPr>
          <w:rFonts w:cs="Times New Roman"/>
          <w:i/>
          <w:lang w:val="fr-CA"/>
        </w:rPr>
        <w:t>Cotroni</w:t>
      </w:r>
      <w:proofErr w:type="spellEnd"/>
      <w:r w:rsidRPr="00852D08">
        <w:rPr>
          <w:rFonts w:cs="Times New Roman"/>
          <w:lang w:val="fr-CA"/>
        </w:rPr>
        <w:t xml:space="preserve">, </w:t>
      </w:r>
      <w:r w:rsidRPr="00852D08">
        <w:rPr>
          <w:rFonts w:cs="Times New Roman"/>
          <w:i/>
          <w:lang w:val="fr-CA"/>
        </w:rPr>
        <w:t xml:space="preserve">Kwok </w:t>
      </w:r>
      <w:r w:rsidRPr="00852D08">
        <w:rPr>
          <w:rFonts w:cs="Times New Roman"/>
          <w:lang w:val="fr-CA"/>
        </w:rPr>
        <w:t xml:space="preserve">et </w:t>
      </w:r>
      <w:r w:rsidRPr="00852D08">
        <w:rPr>
          <w:rFonts w:cs="Times New Roman"/>
          <w:i/>
          <w:lang w:val="fr-CA"/>
        </w:rPr>
        <w:t>Lake</w:t>
      </w:r>
      <w:r w:rsidRPr="00852D08">
        <w:rPr>
          <w:rFonts w:cs="Times New Roman"/>
          <w:lang w:val="fr-CA"/>
        </w:rPr>
        <w:t xml:space="preserve">.  L’interprétation du par. 6(1) de la </w:t>
      </w:r>
      <w:r w:rsidRPr="00852D08">
        <w:rPr>
          <w:rFonts w:cs="Times New Roman"/>
          <w:i/>
          <w:lang w:val="fr-CA"/>
        </w:rPr>
        <w:t>Charte</w:t>
      </w:r>
      <w:r w:rsidRPr="00852D08">
        <w:rPr>
          <w:rFonts w:cs="Times New Roman"/>
          <w:lang w:val="fr-CA"/>
        </w:rPr>
        <w:t xml:space="preserve"> ainsi préconisée rompt avec le courant établi dans </w:t>
      </w:r>
      <w:proofErr w:type="spellStart"/>
      <w:r w:rsidRPr="00852D08">
        <w:rPr>
          <w:rFonts w:cs="Times New Roman"/>
          <w:i/>
          <w:lang w:val="fr-CA"/>
        </w:rPr>
        <w:t>Cotroni</w:t>
      </w:r>
      <w:proofErr w:type="spellEnd"/>
      <w:r w:rsidRPr="00852D08">
        <w:rPr>
          <w:rFonts w:cs="Times New Roman"/>
          <w:lang w:val="fr-CA"/>
        </w:rPr>
        <w:t xml:space="preserve">, et ce, sous deux aspects importants.  Premièrement, </w:t>
      </w:r>
      <w:r w:rsidRPr="00852D08">
        <w:rPr>
          <w:rFonts w:cs="Times New Roman"/>
          <w:lang w:val="fr-CA"/>
        </w:rPr>
        <w:lastRenderedPageBreak/>
        <w:t xml:space="preserve">elle contredit le principe selon lequel l’extradition restreint de manière périphérique le droit de demeurer au Canada.  Deuxièmement, elle fait fi du principe voulant que, dans l’exercice de son pouvoir discrétionnaire, le ministre ne soit lié par aucun des éléments relevés dans </w:t>
      </w:r>
      <w:proofErr w:type="spellStart"/>
      <w:r w:rsidRPr="00852D08">
        <w:rPr>
          <w:rFonts w:cs="Times New Roman"/>
          <w:i/>
          <w:lang w:val="fr-CA"/>
        </w:rPr>
        <w:t>Cotroni</w:t>
      </w:r>
      <w:proofErr w:type="spellEnd"/>
      <w:r w:rsidRPr="00852D08">
        <w:rPr>
          <w:rFonts w:cs="Times New Roman"/>
          <w:lang w:val="fr-CA"/>
        </w:rPr>
        <w:t>.</w:t>
      </w:r>
    </w:p>
    <w:p w:rsidR="0066086B" w:rsidRPr="00852D08" w:rsidRDefault="0066086B" w:rsidP="0066086B">
      <w:pPr>
        <w:pStyle w:val="ParaNoNdepar-AltN"/>
        <w:rPr>
          <w:rFonts w:cs="Times New Roman"/>
          <w:lang w:val="fr-CA"/>
        </w:rPr>
      </w:pPr>
      <w:r w:rsidRPr="00852D08">
        <w:rPr>
          <w:rFonts w:cs="Times New Roman"/>
          <w:lang w:val="fr-CA"/>
        </w:rPr>
        <w:t xml:space="preserve">La Cour ne s’écarte pas à la légère des règles qu’elle a établies précédemment.  Le respect des précédents anime traditionnellement la </w:t>
      </w:r>
      <w:proofErr w:type="spellStart"/>
      <w:r w:rsidRPr="00852D08">
        <w:rPr>
          <w:rFonts w:cs="Times New Roman"/>
          <w:lang w:val="fr-CA"/>
        </w:rPr>
        <w:t>common</w:t>
      </w:r>
      <w:proofErr w:type="spellEnd"/>
      <w:r w:rsidRPr="00852D08">
        <w:rPr>
          <w:rFonts w:cs="Times New Roman"/>
          <w:lang w:val="fr-CA"/>
        </w:rPr>
        <w:t xml:space="preserve"> </w:t>
      </w:r>
      <w:proofErr w:type="spellStart"/>
      <w:r w:rsidRPr="00852D08">
        <w:rPr>
          <w:rFonts w:cs="Times New Roman"/>
          <w:lang w:val="fr-CA"/>
        </w:rPr>
        <w:t>law</w:t>
      </w:r>
      <w:proofErr w:type="spellEnd"/>
      <w:r w:rsidRPr="00852D08">
        <w:rPr>
          <w:rFonts w:cs="Times New Roman"/>
          <w:lang w:val="fr-CA"/>
        </w:rPr>
        <w:t> : [</w:t>
      </w:r>
      <w:r w:rsidRPr="00852D08">
        <w:rPr>
          <w:rFonts w:cs="Times New Roman"/>
          <w:smallCaps/>
          <w:lang w:val="fr-CA"/>
        </w:rPr>
        <w:t>traduction</w:t>
      </w:r>
      <w:r w:rsidRPr="00852D08">
        <w:rPr>
          <w:rFonts w:cs="Times New Roman"/>
          <w:lang w:val="fr-CA"/>
        </w:rPr>
        <w:t xml:space="preserve">] </w:t>
      </w:r>
      <w:proofErr w:type="gramStart"/>
      <w:r w:rsidRPr="00852D08">
        <w:rPr>
          <w:rFonts w:cs="Times New Roman"/>
          <w:lang w:val="fr-CA"/>
        </w:rPr>
        <w:t>« .</w:t>
      </w:r>
      <w:proofErr w:type="gramEnd"/>
      <w:r w:rsidRPr="00852D08">
        <w:rPr>
          <w:rFonts w:cs="Times New Roman"/>
          <w:lang w:val="fr-CA"/>
        </w:rPr>
        <w:t xml:space="preserve"> . . c’est une règle établie de s’en tenir aux décisions antérieures lorsqu’un même litige se présente » (W. Blackstone, </w:t>
      </w:r>
      <w:proofErr w:type="spellStart"/>
      <w:r w:rsidRPr="00852D08">
        <w:rPr>
          <w:rFonts w:cs="Times New Roman"/>
          <w:i/>
          <w:lang w:val="fr-CA"/>
        </w:rPr>
        <w:t>Commentaries</w:t>
      </w:r>
      <w:proofErr w:type="spellEnd"/>
      <w:r w:rsidRPr="00852D08">
        <w:rPr>
          <w:rFonts w:cs="Times New Roman"/>
          <w:i/>
          <w:lang w:val="fr-CA"/>
        </w:rPr>
        <w:t xml:space="preserve"> on the </w:t>
      </w:r>
      <w:proofErr w:type="spellStart"/>
      <w:r w:rsidRPr="00852D08">
        <w:rPr>
          <w:rFonts w:cs="Times New Roman"/>
          <w:i/>
          <w:lang w:val="fr-CA"/>
        </w:rPr>
        <w:t>Laws</w:t>
      </w:r>
      <w:proofErr w:type="spellEnd"/>
      <w:r w:rsidRPr="00852D08">
        <w:rPr>
          <w:rFonts w:cs="Times New Roman"/>
          <w:i/>
          <w:lang w:val="fr-CA"/>
        </w:rPr>
        <w:t xml:space="preserve"> of </w:t>
      </w:r>
      <w:proofErr w:type="spellStart"/>
      <w:r w:rsidRPr="00852D08">
        <w:rPr>
          <w:rFonts w:cs="Times New Roman"/>
          <w:i/>
          <w:lang w:val="fr-CA"/>
        </w:rPr>
        <w:t>England</w:t>
      </w:r>
      <w:proofErr w:type="spellEnd"/>
      <w:r w:rsidRPr="00852D08">
        <w:rPr>
          <w:rFonts w:cs="Times New Roman"/>
          <w:lang w:val="fr-CA"/>
        </w:rPr>
        <w:t xml:space="preserve"> (4</w:t>
      </w:r>
      <w:r w:rsidRPr="00852D08">
        <w:rPr>
          <w:rFonts w:cs="Times New Roman"/>
          <w:vertAlign w:val="superscript"/>
          <w:lang w:val="fr-CA"/>
        </w:rPr>
        <w:t>e</w:t>
      </w:r>
      <w:r w:rsidRPr="00852D08">
        <w:rPr>
          <w:rFonts w:cs="Times New Roman"/>
          <w:lang w:val="fr-CA"/>
        </w:rPr>
        <w:t xml:space="preserve"> éd. 1770), Livre I, p. 69).  En faisant en sorte que des affaires semblables reçoivent un traitement semblable, le </w:t>
      </w:r>
      <w:proofErr w:type="spellStart"/>
      <w:r w:rsidRPr="00852D08">
        <w:rPr>
          <w:rFonts w:cs="Times New Roman"/>
          <w:i/>
          <w:lang w:val="fr-CA"/>
        </w:rPr>
        <w:t>stare</w:t>
      </w:r>
      <w:proofErr w:type="spellEnd"/>
      <w:r w:rsidRPr="00852D08">
        <w:rPr>
          <w:rFonts w:cs="Times New Roman"/>
          <w:i/>
          <w:lang w:val="fr-CA"/>
        </w:rPr>
        <w:t xml:space="preserve"> </w:t>
      </w:r>
      <w:proofErr w:type="spellStart"/>
      <w:r w:rsidRPr="00852D08">
        <w:rPr>
          <w:rFonts w:cs="Times New Roman"/>
          <w:i/>
          <w:lang w:val="fr-CA"/>
        </w:rPr>
        <w:t>decisis</w:t>
      </w:r>
      <w:proofErr w:type="spellEnd"/>
      <w:r w:rsidRPr="00852D08">
        <w:rPr>
          <w:rFonts w:cs="Times New Roman"/>
          <w:lang w:val="fr-CA"/>
        </w:rPr>
        <w:t xml:space="preserve"> (ou le respect des précédents) favorise la prévisibilité et l’équité tout en limitant le recours à l’arbitraire.  </w:t>
      </w:r>
    </w:p>
    <w:p w:rsidR="0066086B" w:rsidRPr="00852D08" w:rsidRDefault="0066086B" w:rsidP="0066086B">
      <w:pPr>
        <w:pStyle w:val="ParaNoNdepar-AltN"/>
        <w:rPr>
          <w:rFonts w:cs="Times New Roman"/>
          <w:lang w:val="fr-CA"/>
        </w:rPr>
      </w:pPr>
      <w:r w:rsidRPr="00852D08">
        <w:rPr>
          <w:rFonts w:cs="Times New Roman"/>
          <w:lang w:val="fr-CA"/>
        </w:rPr>
        <w:t xml:space="preserve">C’est exceptionnellement que la Cour a reconnu qu’elle pouvait rompre avec ses décisions antérieures lorsque des raisons impérieuses le justifiaient : </w:t>
      </w:r>
      <w:r w:rsidRPr="00852D08">
        <w:rPr>
          <w:rFonts w:cs="Times New Roman"/>
          <w:i/>
          <w:lang w:val="fr-CA"/>
        </w:rPr>
        <w:t>R. c. Henry</w:t>
      </w:r>
      <w:r w:rsidRPr="00852D08">
        <w:rPr>
          <w:rFonts w:cs="Times New Roman"/>
          <w:lang w:val="fr-CA"/>
        </w:rPr>
        <w:t>, 2005 CSC 76, [2005] 3 R.C.S. 609, par. 44.  Les avantages doivent alors l’emporter sur les inconvénients.  Des raisons impérieuses s’entendent par exemple du fait qu’un précédent est devenu inapplicable, que l’évolution du droit remet en question sa validité ou qu’il s’appuie sur des considérations qui ne valent plus.</w:t>
      </w:r>
    </w:p>
    <w:p w:rsidR="0066086B" w:rsidRPr="00852D08" w:rsidRDefault="0066086B" w:rsidP="0066086B">
      <w:pPr>
        <w:pStyle w:val="ParaNoNdepar-AltN"/>
        <w:rPr>
          <w:rFonts w:cs="Times New Roman"/>
          <w:lang w:val="fr-CA"/>
        </w:rPr>
      </w:pPr>
      <w:r w:rsidRPr="00852D08">
        <w:rPr>
          <w:rFonts w:cs="Times New Roman"/>
          <w:lang w:val="fr-CA"/>
        </w:rPr>
        <w:t xml:space="preserve">En l’espèce, nulle raison impérieuse ne justifie la Cour de s’écarter des principes établis dans les arrêts </w:t>
      </w:r>
      <w:proofErr w:type="spellStart"/>
      <w:r w:rsidRPr="00852D08">
        <w:rPr>
          <w:rFonts w:cs="Times New Roman"/>
          <w:i/>
          <w:lang w:val="fr-CA"/>
        </w:rPr>
        <w:t>Cotroni</w:t>
      </w:r>
      <w:proofErr w:type="spellEnd"/>
      <w:r w:rsidRPr="00852D08">
        <w:rPr>
          <w:rFonts w:cs="Times New Roman"/>
          <w:lang w:val="fr-CA"/>
        </w:rPr>
        <w:t xml:space="preserve">, </w:t>
      </w:r>
      <w:r w:rsidRPr="00852D08">
        <w:rPr>
          <w:rFonts w:cs="Times New Roman"/>
          <w:i/>
          <w:lang w:val="fr-CA"/>
        </w:rPr>
        <w:t>Kwok</w:t>
      </w:r>
      <w:r w:rsidRPr="00852D08">
        <w:rPr>
          <w:rFonts w:cs="Times New Roman"/>
          <w:lang w:val="fr-CA"/>
        </w:rPr>
        <w:t xml:space="preserve"> et </w:t>
      </w:r>
      <w:r w:rsidRPr="00852D08">
        <w:rPr>
          <w:rFonts w:cs="Times New Roman"/>
          <w:i/>
          <w:lang w:val="fr-CA"/>
        </w:rPr>
        <w:t>Lake</w:t>
      </w:r>
      <w:r w:rsidRPr="00852D08">
        <w:rPr>
          <w:rFonts w:cs="Times New Roman"/>
          <w:lang w:val="fr-CA"/>
        </w:rPr>
        <w:t xml:space="preserve">, puis confirmés maintes fois par la Cour.  Il ressort de cette jurisprudence que, contrairement à l’expulsion, à l’exil et au bannissement, l’extradition ne heurte pas fondamentalement le droit de </w:t>
      </w:r>
      <w:r w:rsidRPr="00852D08">
        <w:rPr>
          <w:rFonts w:cs="Times New Roman"/>
          <w:lang w:val="fr-CA"/>
        </w:rPr>
        <w:lastRenderedPageBreak/>
        <w:t xml:space="preserve">demeurer au Canada que garantit le par. 6(1) de la </w:t>
      </w:r>
      <w:r w:rsidRPr="00852D08">
        <w:rPr>
          <w:rFonts w:cs="Times New Roman"/>
          <w:i/>
          <w:lang w:val="fr-CA"/>
        </w:rPr>
        <w:t>Charte</w:t>
      </w:r>
      <w:r w:rsidRPr="00852D08">
        <w:rPr>
          <w:rFonts w:cs="Times New Roman"/>
          <w:lang w:val="fr-CA"/>
        </w:rPr>
        <w:t xml:space="preserve">.  Le citoyen canadien extradé pour être traduit en justice dans un autre État ne devient pas forcément </w:t>
      </w:r>
      <w:r w:rsidRPr="00852D08">
        <w:rPr>
          <w:rFonts w:cs="Times New Roman"/>
          <w:i/>
          <w:lang w:val="fr-CA"/>
        </w:rPr>
        <w:t>persona non grata</w:t>
      </w:r>
      <w:r w:rsidRPr="00852D08">
        <w:rPr>
          <w:rFonts w:cs="Times New Roman"/>
          <w:lang w:val="fr-CA"/>
        </w:rPr>
        <w:t xml:space="preserve">.  Il peut en effet rentrer au pays s’il est acquitté ou, lorsqu’il est déclaré coupable, il peut revenir au pays après avoir purgé sa peine, voire pour y purger sa peine conformément à la </w:t>
      </w:r>
      <w:r w:rsidRPr="00852D08">
        <w:rPr>
          <w:rFonts w:cs="Times New Roman"/>
          <w:i/>
          <w:lang w:val="fr-CA"/>
        </w:rPr>
        <w:t>Loi sur le transfèrement international des délinquants</w:t>
      </w:r>
      <w:r w:rsidRPr="00852D08">
        <w:rPr>
          <w:rFonts w:cs="Times New Roman"/>
          <w:lang w:val="fr-CA"/>
        </w:rPr>
        <w:t xml:space="preserve">, L.C. 2004, ch. 21.  L’extradition ne porte pas atteinte aux valeurs fondamentales consacrées par le par. 6(1), mais répond plutôt à la nécessité d’un système de justice pénale efficace. </w:t>
      </w:r>
    </w:p>
    <w:p w:rsidR="0066086B" w:rsidRPr="00852D08" w:rsidRDefault="0066086B" w:rsidP="0066086B">
      <w:pPr>
        <w:pStyle w:val="ParaNoNdepar-AltN"/>
        <w:rPr>
          <w:rFonts w:cs="Times New Roman"/>
          <w:lang w:val="fr-CA"/>
        </w:rPr>
      </w:pPr>
      <w:r w:rsidRPr="00852D08">
        <w:rPr>
          <w:rFonts w:cs="Times New Roman"/>
          <w:lang w:val="fr-CA"/>
        </w:rPr>
        <w:t xml:space="preserve">Les appelants n’ont pas démontré que les considérations sur lesquelles reposent les arrêts </w:t>
      </w:r>
      <w:proofErr w:type="spellStart"/>
      <w:r w:rsidRPr="00852D08">
        <w:rPr>
          <w:rFonts w:cs="Times New Roman"/>
          <w:i/>
          <w:lang w:val="fr-CA"/>
        </w:rPr>
        <w:t>Cotroni</w:t>
      </w:r>
      <w:proofErr w:type="spellEnd"/>
      <w:r w:rsidRPr="00852D08">
        <w:rPr>
          <w:rFonts w:cs="Times New Roman"/>
          <w:i/>
          <w:lang w:val="fr-CA"/>
        </w:rPr>
        <w:t xml:space="preserve"> </w:t>
      </w:r>
      <w:r w:rsidRPr="00852D08">
        <w:rPr>
          <w:rFonts w:cs="Times New Roman"/>
          <w:lang w:val="fr-CA"/>
        </w:rPr>
        <w:t xml:space="preserve">(1989), </w:t>
      </w:r>
      <w:r w:rsidRPr="00852D08">
        <w:rPr>
          <w:rFonts w:cs="Times New Roman"/>
          <w:i/>
          <w:lang w:val="fr-CA"/>
        </w:rPr>
        <w:t>Kwok</w:t>
      </w:r>
      <w:r w:rsidRPr="00852D08">
        <w:rPr>
          <w:rFonts w:cs="Times New Roman"/>
          <w:lang w:val="fr-CA"/>
        </w:rPr>
        <w:t xml:space="preserve"> (2001) et </w:t>
      </w:r>
      <w:r w:rsidRPr="00852D08">
        <w:rPr>
          <w:rFonts w:cs="Times New Roman"/>
          <w:i/>
          <w:lang w:val="fr-CA"/>
        </w:rPr>
        <w:t xml:space="preserve">Lake </w:t>
      </w:r>
      <w:r w:rsidRPr="00852D08">
        <w:rPr>
          <w:rFonts w:cs="Times New Roman"/>
          <w:lang w:val="fr-CA"/>
        </w:rPr>
        <w:t>(2008) ne tiennent plus.  La mondialisation appelle plutôt une collaboration internationale accrue dans l’application de la loi.</w:t>
      </w:r>
    </w:p>
    <w:p w:rsidR="0066086B" w:rsidRPr="00852D08" w:rsidRDefault="0066086B" w:rsidP="0066086B">
      <w:pPr>
        <w:pStyle w:val="ParaNoNdepar-AltN"/>
        <w:rPr>
          <w:rFonts w:cs="Times New Roman"/>
          <w:lang w:val="fr-CA"/>
        </w:rPr>
      </w:pPr>
      <w:r w:rsidRPr="00852D08">
        <w:rPr>
          <w:rFonts w:cs="Times New Roman"/>
          <w:lang w:val="fr-CA"/>
        </w:rPr>
        <w:t>Complexe, la décision d’extrader ou non fait intervenir de nombreuses considérations d’ordre factuel, géopolitique, diplomatique et financier.  Un élément important dans un cas peut l’être beaucoup moins dans un autre, d’où la nécessité d’un test dépourvu de formalisme qui assure au ministre la souplesse voulue pour donner suite à la requête de l’État étranger.  Le ministre de la Justice dispose d’une expertise supérieure à cet égard, et le pouvoir discrétionnaire dont il est investi est nécessaire à la bonne application du droit criminel.</w:t>
      </w:r>
    </w:p>
    <w:p w:rsidR="0066086B" w:rsidRPr="00852D08" w:rsidRDefault="0066086B" w:rsidP="0066086B">
      <w:pPr>
        <w:pStyle w:val="ParaNoNdepar-AltN"/>
        <w:rPr>
          <w:rFonts w:cs="Times New Roman"/>
          <w:lang w:val="fr-CA"/>
        </w:rPr>
      </w:pPr>
      <w:r w:rsidRPr="00852D08">
        <w:rPr>
          <w:rFonts w:cs="Times New Roman"/>
          <w:lang w:val="fr-CA"/>
        </w:rPr>
        <w:t xml:space="preserve">Plus particulièrement, la thèse des appelants selon laquelle l’un ou l’autre des éléments qu’ils invoquent est pratiquement décisif ne me convainc pas.  Il </w:t>
      </w:r>
      <w:r w:rsidRPr="00852D08">
        <w:rPr>
          <w:rFonts w:cs="Times New Roman"/>
          <w:lang w:val="fr-CA"/>
        </w:rPr>
        <w:lastRenderedPageBreak/>
        <w:t>appartient au ministre de décider s’il y a lieu d’accéder ou non à la demande d’extradition dans les circonstances.  La possibilité d’une poursuite au Canada ne constitue qu’un élément à considérer lors de cet examen et elle peut être écartée par d’autres, tel le pays où la poursuite pourrait être engagée le plus efficacement.  L’extradition n’est pas une mesure à éviter coûte que coûte.  À une époque où la criminalité se moque des frontières, les États ne sauraient être condamnés à poursuivre les délinquants séparément, chacun d’eux poursuivant ses propres ressortissants sur son territoire.  En outre, l’importance de la compétence revendiquée par l’État étranger n’est pas toujours déterminante; il s’agit d’un élément parmi d’autres.  La demande qui repose sur une compétence ténue peut certes emporter le refus d’extrader.  Toutefois, la faiblesse de la compétence n’emporte pas forcément une atteinte injustifiée au droit garanti au par. 6(1).  Elle joue en fait sur le caractère raisonnable de la décision du minist</w:t>
      </w:r>
      <w:r w:rsidR="00B47C39" w:rsidRPr="00852D08">
        <w:rPr>
          <w:rFonts w:cs="Times New Roman"/>
          <w:lang w:val="fr-CA"/>
        </w:rPr>
        <w:t xml:space="preserve">re, ce sur quoi je reviendrai. </w:t>
      </w:r>
    </w:p>
    <w:p w:rsidR="0066086B" w:rsidRPr="00852D08" w:rsidRDefault="0066086B" w:rsidP="00B47C39">
      <w:pPr>
        <w:pStyle w:val="TitleTitre-AltT"/>
        <w:tabs>
          <w:tab w:val="clear" w:pos="360"/>
          <w:tab w:val="left" w:pos="540"/>
        </w:tabs>
        <w:ind w:left="540" w:hanging="540"/>
        <w:rPr>
          <w:rFonts w:cs="Times New Roman"/>
          <w:lang w:val="fr-CA"/>
        </w:rPr>
      </w:pPr>
      <w:r w:rsidRPr="00852D08">
        <w:rPr>
          <w:rFonts w:cs="Times New Roman"/>
          <w:lang w:val="fr-CA"/>
        </w:rPr>
        <w:t>5.</w:t>
      </w:r>
      <w:r w:rsidRPr="00852D08">
        <w:rPr>
          <w:rFonts w:cs="Times New Roman"/>
          <w:lang w:val="fr-CA"/>
        </w:rPr>
        <w:tab/>
      </w:r>
      <w:r w:rsidRPr="00852D08">
        <w:rPr>
          <w:rFonts w:cs="Times New Roman"/>
          <w:u w:val="single"/>
          <w:lang w:val="fr-CA"/>
        </w:rPr>
        <w:t>L’allégation d’iniquité procédurale</w:t>
      </w:r>
    </w:p>
    <w:p w:rsidR="0066086B" w:rsidRPr="00852D08" w:rsidRDefault="0066086B" w:rsidP="0066086B">
      <w:pPr>
        <w:pStyle w:val="ParaNoNdepar-AltN"/>
        <w:rPr>
          <w:rFonts w:cs="Times New Roman"/>
          <w:lang w:val="fr-CA"/>
        </w:rPr>
      </w:pPr>
      <w:r w:rsidRPr="00852D08">
        <w:rPr>
          <w:rFonts w:cs="Times New Roman"/>
          <w:lang w:val="fr-CA"/>
        </w:rPr>
        <w:t xml:space="preserve">Les appelants prétendent que l’obligation d’équité procédurale qui incombe au ministre de la Justice ne se résume pas à justifier les éléments issus de </w:t>
      </w:r>
      <w:proofErr w:type="spellStart"/>
      <w:r w:rsidRPr="00852D08">
        <w:rPr>
          <w:rFonts w:cs="Times New Roman"/>
          <w:i/>
          <w:lang w:val="fr-CA"/>
        </w:rPr>
        <w:t>Cotroni</w:t>
      </w:r>
      <w:proofErr w:type="spellEnd"/>
      <w:r w:rsidRPr="00852D08">
        <w:rPr>
          <w:rFonts w:cs="Times New Roman"/>
          <w:lang w:val="fr-CA"/>
        </w:rPr>
        <w:t xml:space="preserve"> qui fondent sa décision.  Selon eux, l’équité procédurale commande qu’il obtienne et communique le rapport du Service des poursuites pénales du Canada (le « SPPC ») sur l’opportunité de poursuites au Canada.  En outre, un délai devrait leur être accordé pour répondre à ce rapport, après quoi le ministre devrait tenir compte de leurs observations avant de se prononcer définitivement sur la demande d’extradition.  La communication du rapport est importante à leurs yeux, car la décision de ne pas </w:t>
      </w:r>
      <w:r w:rsidRPr="00852D08">
        <w:rPr>
          <w:rFonts w:cs="Times New Roman"/>
          <w:lang w:val="fr-CA"/>
        </w:rPr>
        <w:lastRenderedPageBreak/>
        <w:t>déposer d’accusations au Canada a joué considérablement dans la décision finale de les extrader.  Ils ajoutent que la communication du rapport permet de s’assurer que le SPPC ne s’appuie pas sur des données erronées ou périmées.</w:t>
      </w:r>
    </w:p>
    <w:p w:rsidR="0066086B" w:rsidRPr="00852D08" w:rsidRDefault="0066086B" w:rsidP="0066086B">
      <w:pPr>
        <w:pStyle w:val="ParaNoNdepar-AltN"/>
        <w:rPr>
          <w:rFonts w:cs="Times New Roman"/>
          <w:lang w:val="fr-CA"/>
        </w:rPr>
      </w:pPr>
      <w:r w:rsidRPr="00852D08">
        <w:rPr>
          <w:rFonts w:cs="Times New Roman"/>
          <w:lang w:val="fr-CA"/>
        </w:rPr>
        <w:t>Le ministre a refusé d’accéder à la demande des appelants.  Il a dit leur avoir communiqué tous les documents considérés avant que ne soient pris les arrêtés d’extradition, à l’exception de l’avis juridique, et qu’il n’avait pas obtenu copie de quelque analyse effectuée par le SPPC.  Au sujet du rapport du SPPC, le ministre a estimé que la décision de poursuivre ou non au Canada ne constituait que l’un des nombreux éléments à prendre en compte.  Il a souligné que les appelants pouvaient interjeter appel, non pas de la décision de ne pas les poursuivre au Canada, qui relevait du pouvoir discrétionnaire du poursuivant, mais de sa décision de les extrader.  (Voir les motifs du ministre d’ordonner l’extradition de M. </w:t>
      </w:r>
      <w:proofErr w:type="spellStart"/>
      <w:r w:rsidRPr="00852D08">
        <w:rPr>
          <w:rFonts w:cs="Times New Roman"/>
          <w:lang w:val="fr-CA"/>
        </w:rPr>
        <w:t>Sriskandarajah</w:t>
      </w:r>
      <w:proofErr w:type="spellEnd"/>
      <w:r w:rsidRPr="00852D08">
        <w:rPr>
          <w:rFonts w:cs="Times New Roman"/>
          <w:lang w:val="fr-CA"/>
        </w:rPr>
        <w:t xml:space="preserve">, </w:t>
      </w:r>
      <w:proofErr w:type="gramStart"/>
      <w:r w:rsidR="00B47C39" w:rsidRPr="00852D08">
        <w:rPr>
          <w:rFonts w:cs="Times New Roman"/>
          <w:lang w:val="fr-CA"/>
        </w:rPr>
        <w:t>d.a</w:t>
      </w:r>
      <w:r w:rsidRPr="00852D08">
        <w:rPr>
          <w:rFonts w:cs="Times New Roman"/>
          <w:lang w:val="fr-CA"/>
        </w:rPr>
        <w:t>.,</w:t>
      </w:r>
      <w:proofErr w:type="gramEnd"/>
      <w:r w:rsidRPr="00852D08">
        <w:rPr>
          <w:rFonts w:cs="Times New Roman"/>
          <w:lang w:val="fr-CA"/>
        </w:rPr>
        <w:t xml:space="preserve"> vol. I, p. 50</w:t>
      </w:r>
      <w:r w:rsidRPr="00852D08">
        <w:rPr>
          <w:rFonts w:cs="Times New Roman"/>
          <w:lang w:val="fr-CA"/>
        </w:rPr>
        <w:noBreakHyphen/>
        <w:t>51; voir également les motifs du ministre d’ordonner l’extradition de M. </w:t>
      </w:r>
      <w:proofErr w:type="spellStart"/>
      <w:r w:rsidRPr="00852D08">
        <w:rPr>
          <w:rFonts w:cs="Times New Roman"/>
          <w:lang w:val="fr-CA"/>
        </w:rPr>
        <w:t>Nadarajah</w:t>
      </w:r>
      <w:proofErr w:type="spellEnd"/>
      <w:r w:rsidRPr="00852D08">
        <w:rPr>
          <w:rFonts w:cs="Times New Roman"/>
          <w:lang w:val="fr-CA"/>
        </w:rPr>
        <w:t xml:space="preserve">, </w:t>
      </w:r>
      <w:r w:rsidR="00B47C39" w:rsidRPr="00852D08">
        <w:rPr>
          <w:rFonts w:cs="Times New Roman"/>
          <w:lang w:val="fr-CA"/>
        </w:rPr>
        <w:t>p. 58-</w:t>
      </w:r>
      <w:r w:rsidRPr="00852D08">
        <w:rPr>
          <w:rFonts w:cs="Times New Roman"/>
          <w:lang w:val="fr-CA"/>
        </w:rPr>
        <w:t>59.)</w:t>
      </w:r>
    </w:p>
    <w:p w:rsidR="0066086B" w:rsidRPr="00852D08" w:rsidRDefault="0066086B" w:rsidP="0066086B">
      <w:pPr>
        <w:pStyle w:val="ParaNoNdepar-AltN"/>
        <w:rPr>
          <w:rFonts w:cs="Times New Roman"/>
          <w:lang w:val="fr-CA"/>
        </w:rPr>
      </w:pPr>
      <w:r w:rsidRPr="00852D08">
        <w:rPr>
          <w:rFonts w:cs="Times New Roman"/>
          <w:lang w:val="fr-CA"/>
        </w:rPr>
        <w:t>La prétention des appelants selon laquelle ils ont droit à la communication du rapport du SPPC ne peut être retenue.</w:t>
      </w:r>
    </w:p>
    <w:p w:rsidR="0066086B" w:rsidRPr="00852D08" w:rsidRDefault="0066086B" w:rsidP="0066086B">
      <w:pPr>
        <w:pStyle w:val="ParaNoNdepar-AltN"/>
        <w:rPr>
          <w:rFonts w:cs="Times New Roman"/>
          <w:lang w:val="fr-CA"/>
        </w:rPr>
      </w:pPr>
      <w:r w:rsidRPr="00852D08">
        <w:rPr>
          <w:rFonts w:cs="Times New Roman"/>
          <w:lang w:val="fr-CA"/>
        </w:rPr>
        <w:t xml:space="preserve">D’abord et avant tout, sauf preuve de sa mauvaise foi ou du caractère inapproprié de ce qui l’a animé, le poursuivant n’est pas tenu de motiver sa décision : </w:t>
      </w:r>
      <w:r w:rsidRPr="00852D08">
        <w:rPr>
          <w:rFonts w:cs="Times New Roman"/>
          <w:i/>
          <w:lang w:val="fr-CA"/>
        </w:rPr>
        <w:t>Kwok</w:t>
      </w:r>
      <w:r w:rsidRPr="00852D08">
        <w:rPr>
          <w:rFonts w:cs="Times New Roman"/>
          <w:lang w:val="fr-CA"/>
        </w:rPr>
        <w:t xml:space="preserve">, </w:t>
      </w:r>
      <w:r w:rsidR="00B47C39" w:rsidRPr="00852D08">
        <w:rPr>
          <w:rFonts w:cs="Times New Roman"/>
          <w:lang w:val="fr-CA"/>
        </w:rPr>
        <w:t>par. 104-</w:t>
      </w:r>
      <w:r w:rsidRPr="00852D08">
        <w:rPr>
          <w:rFonts w:cs="Times New Roman"/>
          <w:lang w:val="fr-CA"/>
        </w:rPr>
        <w:t xml:space="preserve">108.  Le pouvoir discrétionnaire du poursuivant est non seulement conforme aux principes de justice fondamentale, mais il représente un mécanisme essentiel d’application efficace du droit criminel : </w:t>
      </w:r>
      <w:proofErr w:type="spellStart"/>
      <w:r w:rsidRPr="00852D08">
        <w:rPr>
          <w:rFonts w:cs="Times New Roman"/>
          <w:i/>
          <w:lang w:val="fr-CA"/>
        </w:rPr>
        <w:t>Cotroni</w:t>
      </w:r>
      <w:proofErr w:type="spellEnd"/>
      <w:r w:rsidRPr="00852D08">
        <w:rPr>
          <w:rFonts w:cs="Times New Roman"/>
          <w:lang w:val="fr-CA"/>
        </w:rPr>
        <w:t>,</w:t>
      </w:r>
      <w:r w:rsidR="00B47C39" w:rsidRPr="00852D08">
        <w:rPr>
          <w:rFonts w:cs="Times New Roman"/>
          <w:lang w:val="fr-CA"/>
        </w:rPr>
        <w:t xml:space="preserve"> p. 1497-</w:t>
      </w:r>
      <w:r w:rsidRPr="00852D08">
        <w:rPr>
          <w:rFonts w:cs="Times New Roman"/>
          <w:lang w:val="fr-CA"/>
        </w:rPr>
        <w:t xml:space="preserve">1498.  Or, les </w:t>
      </w:r>
      <w:r w:rsidRPr="00852D08">
        <w:rPr>
          <w:rFonts w:cs="Times New Roman"/>
          <w:lang w:val="fr-CA"/>
        </w:rPr>
        <w:lastRenderedPageBreak/>
        <w:t xml:space="preserve">appelants n’allèguent pas la mauvaise foi.  Leur requête visant l’obtention du rapport du SPPC constitue une tentative à peine voilée de contester l’exercice légitime du pouvoir discrétionnaire de l’État d’engager ou non des poursuites.  </w:t>
      </w:r>
    </w:p>
    <w:p w:rsidR="0066086B" w:rsidRPr="00852D08" w:rsidRDefault="0066086B" w:rsidP="0066086B">
      <w:pPr>
        <w:pStyle w:val="ParaNoNdepar-AltN"/>
        <w:rPr>
          <w:rFonts w:cs="Times New Roman"/>
          <w:lang w:val="fr-CA"/>
        </w:rPr>
      </w:pPr>
      <w:r w:rsidRPr="00852D08">
        <w:rPr>
          <w:rFonts w:cs="Times New Roman"/>
          <w:lang w:val="fr-CA"/>
        </w:rPr>
        <w:t xml:space="preserve">Ensuite, comme le signale le ministre, la possibilité de poursuivre au Canada ne constitue qu’un des nombreux éléments dont il faut tenir compte pour décider s’il convient ou non d’extrader une personne pour qu’elle subisse un procès dans le pays requérant.  L’équité procédurale n’exige pas du ministre qu’il obtienne et communique chacun des documents susceptibles d’avoir un lien indirect avec la procédure au terme de laquelle la décision d’extrader l’intéressé a été prise.  </w:t>
      </w:r>
    </w:p>
    <w:p w:rsidR="0066086B" w:rsidRPr="00852D08" w:rsidRDefault="0066086B" w:rsidP="0066086B">
      <w:pPr>
        <w:pStyle w:val="ParaNoNdepar-AltN"/>
        <w:rPr>
          <w:rFonts w:cs="Times New Roman"/>
          <w:lang w:val="fr-CA"/>
        </w:rPr>
      </w:pPr>
      <w:r w:rsidRPr="00852D08">
        <w:rPr>
          <w:rFonts w:cs="Times New Roman"/>
          <w:lang w:val="fr-CA"/>
        </w:rPr>
        <w:t>Enfin, en ce qui concerne l’éventualité que le SPPC se prononce à partir de renseignements périmés, les appelants ont la faculté de présenter au ministre des renseignements complets et exacts, auquel cas ce dernier doit faire preuve de bonne foi et transmettre les données qu’il juge pertinentes au SPPC.</w:t>
      </w:r>
    </w:p>
    <w:p w:rsidR="0066086B" w:rsidRPr="00852D08" w:rsidRDefault="0066086B" w:rsidP="0066086B">
      <w:pPr>
        <w:pStyle w:val="ParaNoNdepar-AltN"/>
        <w:rPr>
          <w:rFonts w:cs="Times New Roman"/>
          <w:lang w:val="fr-CA"/>
        </w:rPr>
      </w:pPr>
      <w:r w:rsidRPr="00852D08">
        <w:rPr>
          <w:rFonts w:cs="Times New Roman"/>
          <w:lang w:val="fr-CA"/>
        </w:rPr>
        <w:t xml:space="preserve">À l’étape de l’arrêté d’extradition, l’équité procédurale ne commande pas une communication de type </w:t>
      </w:r>
      <w:proofErr w:type="spellStart"/>
      <w:r w:rsidRPr="00852D08">
        <w:rPr>
          <w:rFonts w:cs="Times New Roman"/>
          <w:i/>
          <w:lang w:val="fr-CA"/>
        </w:rPr>
        <w:t>Stinchcombe</w:t>
      </w:r>
      <w:proofErr w:type="spellEnd"/>
      <w:r w:rsidRPr="00852D08">
        <w:rPr>
          <w:rFonts w:cs="Times New Roman"/>
          <w:lang w:val="fr-CA"/>
        </w:rPr>
        <w:t xml:space="preserve"> : </w:t>
      </w:r>
      <w:r w:rsidRPr="00852D08">
        <w:rPr>
          <w:rFonts w:cs="Times New Roman"/>
          <w:i/>
          <w:lang w:val="fr-CA"/>
        </w:rPr>
        <w:t xml:space="preserve">R. c. </w:t>
      </w:r>
      <w:proofErr w:type="spellStart"/>
      <w:r w:rsidRPr="00852D08">
        <w:rPr>
          <w:rFonts w:cs="Times New Roman"/>
          <w:i/>
          <w:lang w:val="fr-CA"/>
        </w:rPr>
        <w:t>Stinchcombe</w:t>
      </w:r>
      <w:proofErr w:type="spellEnd"/>
      <w:r w:rsidRPr="00852D08">
        <w:rPr>
          <w:rFonts w:cs="Times New Roman"/>
          <w:lang w:val="fr-CA"/>
        </w:rPr>
        <w:t xml:space="preserve">, [1991] 3 R.C.S. 326.  </w:t>
      </w:r>
      <w:r w:rsidRPr="00852D08">
        <w:rPr>
          <w:rFonts w:cs="Times New Roman"/>
          <w:lang w:val="fr-CA" w:bidi="en-US"/>
        </w:rPr>
        <w:t>Le ministre doit révéler de manière suffisante au fugitif la preuve dont il dispose contre lui et lui donner la possibilité de faire valoir ce qui milite contre son extradition (</w:t>
      </w:r>
      <w:r w:rsidRPr="00852D08">
        <w:rPr>
          <w:rFonts w:cs="Times New Roman"/>
          <w:i/>
          <w:lang w:val="fr-CA" w:bidi="en-US"/>
        </w:rPr>
        <w:t>Kwok</w:t>
      </w:r>
      <w:r w:rsidRPr="00852D08">
        <w:rPr>
          <w:rFonts w:cs="Times New Roman"/>
          <w:lang w:val="fr-CA" w:bidi="en-US"/>
        </w:rPr>
        <w:t xml:space="preserve">, par. 99 et 104); il doit en outre étayer suffisamment </w:t>
      </w:r>
      <w:r w:rsidRPr="00852D08">
        <w:rPr>
          <w:rFonts w:cs="Times New Roman"/>
          <w:i/>
          <w:lang w:val="fr-CA" w:bidi="en-US"/>
        </w:rPr>
        <w:t>sa</w:t>
      </w:r>
      <w:r w:rsidRPr="00852D08">
        <w:rPr>
          <w:rFonts w:cs="Times New Roman"/>
          <w:lang w:val="fr-CA" w:bidi="en-US"/>
        </w:rPr>
        <w:t xml:space="preserve"> décision d’extrader le fugitif (</w:t>
      </w:r>
      <w:r w:rsidRPr="00852D08">
        <w:rPr>
          <w:rFonts w:cs="Times New Roman"/>
          <w:i/>
          <w:lang w:val="fr-CA" w:bidi="en-US"/>
        </w:rPr>
        <w:t>Lake</w:t>
      </w:r>
      <w:r w:rsidRPr="00852D08">
        <w:rPr>
          <w:rFonts w:cs="Times New Roman"/>
          <w:lang w:val="fr-CA" w:bidi="en-US"/>
        </w:rPr>
        <w:t xml:space="preserve">, par. 46; </w:t>
      </w:r>
      <w:r w:rsidRPr="00852D08">
        <w:rPr>
          <w:rFonts w:cs="Times New Roman"/>
          <w:i/>
          <w:lang w:val="fr-CA" w:bidi="en-US"/>
        </w:rPr>
        <w:t>Kwok</w:t>
      </w:r>
      <w:r w:rsidRPr="00852D08">
        <w:rPr>
          <w:rFonts w:cs="Times New Roman"/>
          <w:lang w:val="fr-CA" w:bidi="en-US"/>
        </w:rPr>
        <w:t xml:space="preserve">, par. 83).  En l’espèce, le ministre a satisfait à ces exigences. </w:t>
      </w:r>
    </w:p>
    <w:p w:rsidR="0066086B" w:rsidRPr="00852D08" w:rsidRDefault="0066086B" w:rsidP="0066086B">
      <w:pPr>
        <w:pStyle w:val="ParaNoNdepar-AltN"/>
        <w:rPr>
          <w:rFonts w:cs="Times New Roman"/>
          <w:lang w:val="fr-CA"/>
        </w:rPr>
      </w:pPr>
      <w:r w:rsidRPr="00852D08">
        <w:rPr>
          <w:rFonts w:cs="Times New Roman"/>
          <w:lang w:val="fr-CA"/>
        </w:rPr>
        <w:lastRenderedPageBreak/>
        <w:t xml:space="preserve">Je conclus que les appelants n’ont pas fait la preuve de l’iniquité procédurale alléguée. </w:t>
      </w:r>
    </w:p>
    <w:p w:rsidR="0066086B" w:rsidRPr="00852D08" w:rsidRDefault="0066086B" w:rsidP="00A53455">
      <w:pPr>
        <w:pStyle w:val="TitleTitre-AltT"/>
        <w:tabs>
          <w:tab w:val="clear" w:pos="360"/>
          <w:tab w:val="left" w:pos="540"/>
        </w:tabs>
        <w:ind w:left="540" w:hanging="540"/>
        <w:rPr>
          <w:rFonts w:cs="Times New Roman"/>
          <w:lang w:val="fr-CA"/>
        </w:rPr>
      </w:pPr>
      <w:r w:rsidRPr="00852D08">
        <w:rPr>
          <w:rFonts w:cs="Times New Roman"/>
          <w:lang w:val="fr-CA"/>
        </w:rPr>
        <w:t>6.</w:t>
      </w:r>
      <w:r w:rsidRPr="00852D08">
        <w:rPr>
          <w:rFonts w:cs="Times New Roman"/>
          <w:lang w:val="fr-CA"/>
        </w:rPr>
        <w:tab/>
      </w:r>
      <w:r w:rsidRPr="00852D08">
        <w:rPr>
          <w:rFonts w:cs="Times New Roman"/>
          <w:u w:val="single"/>
          <w:lang w:val="fr-CA"/>
        </w:rPr>
        <w:t xml:space="preserve">Les décisions du ministre </w:t>
      </w:r>
      <w:proofErr w:type="spellStart"/>
      <w:r w:rsidRPr="00852D08">
        <w:rPr>
          <w:rFonts w:cs="Times New Roman"/>
          <w:u w:val="single"/>
          <w:lang w:val="fr-CA"/>
        </w:rPr>
        <w:t>sont</w:t>
      </w:r>
      <w:r w:rsidRPr="00852D08">
        <w:rPr>
          <w:rFonts w:cs="Times New Roman"/>
          <w:u w:val="single"/>
          <w:lang w:val="fr-CA"/>
        </w:rPr>
        <w:noBreakHyphen/>
        <w:t>elles</w:t>
      </w:r>
      <w:proofErr w:type="spellEnd"/>
      <w:r w:rsidRPr="00852D08">
        <w:rPr>
          <w:rFonts w:cs="Times New Roman"/>
          <w:u w:val="single"/>
          <w:lang w:val="fr-CA"/>
        </w:rPr>
        <w:t xml:space="preserve"> déraisonnables?</w:t>
      </w:r>
    </w:p>
    <w:p w:rsidR="0066086B" w:rsidRPr="00852D08" w:rsidRDefault="0066086B" w:rsidP="0066086B">
      <w:pPr>
        <w:pStyle w:val="ParaNoNdepar-AltN"/>
        <w:rPr>
          <w:rStyle w:val="reportcitation"/>
          <w:rFonts w:cs="Times New Roman"/>
          <w:szCs w:val="19"/>
          <w:lang w:val="fr-CA"/>
        </w:rPr>
      </w:pPr>
      <w:r w:rsidRPr="00852D08">
        <w:rPr>
          <w:rStyle w:val="reportcitation"/>
          <w:rFonts w:cs="Times New Roman"/>
          <w:szCs w:val="19"/>
          <w:lang w:val="fr-CA"/>
        </w:rPr>
        <w:t xml:space="preserve">Les appelants font valoir que les décisions d’ordonner leur extradition vers les </w:t>
      </w:r>
      <w:proofErr w:type="spellStart"/>
      <w:r w:rsidRPr="00852D08">
        <w:rPr>
          <w:rStyle w:val="reportcitation"/>
          <w:rFonts w:cs="Times New Roman"/>
          <w:szCs w:val="19"/>
          <w:lang w:val="fr-CA"/>
        </w:rPr>
        <w:t>États</w:t>
      </w:r>
      <w:r w:rsidRPr="00852D08">
        <w:rPr>
          <w:rStyle w:val="reportcitation"/>
          <w:rFonts w:cs="Times New Roman"/>
          <w:szCs w:val="19"/>
          <w:lang w:val="fr-CA"/>
        </w:rPr>
        <w:noBreakHyphen/>
        <w:t>Unis</w:t>
      </w:r>
      <w:proofErr w:type="spellEnd"/>
      <w:r w:rsidRPr="00852D08">
        <w:rPr>
          <w:rStyle w:val="reportcitation"/>
          <w:rFonts w:cs="Times New Roman"/>
          <w:szCs w:val="19"/>
          <w:lang w:val="fr-CA"/>
        </w:rPr>
        <w:t xml:space="preserve"> sont déraisonnables car, pour y arriver, le ministre n’a pas tenu compte de tous les éléments qui jouent dans l’analyse fondée sur l’arrêt </w:t>
      </w:r>
      <w:proofErr w:type="spellStart"/>
      <w:r w:rsidRPr="00852D08">
        <w:rPr>
          <w:rStyle w:val="reportcitation"/>
          <w:rFonts w:cs="Times New Roman"/>
          <w:i/>
          <w:szCs w:val="19"/>
          <w:lang w:val="fr-CA"/>
        </w:rPr>
        <w:t>Cotroni</w:t>
      </w:r>
      <w:proofErr w:type="spellEnd"/>
      <w:r w:rsidRPr="00852D08">
        <w:rPr>
          <w:rStyle w:val="reportcitation"/>
          <w:rFonts w:cs="Times New Roman"/>
          <w:szCs w:val="19"/>
          <w:lang w:val="fr-CA"/>
        </w:rPr>
        <w:t xml:space="preserve">, dont, tout particulièrement, </w:t>
      </w:r>
      <w:r w:rsidRPr="00852D08">
        <w:rPr>
          <w:rFonts w:cs="Times New Roman"/>
          <w:lang w:val="fr-CA"/>
        </w:rPr>
        <w:t xml:space="preserve">(1) la faiblesse de la compétence revendiquée par les </w:t>
      </w:r>
      <w:proofErr w:type="spellStart"/>
      <w:r w:rsidRPr="00852D08">
        <w:rPr>
          <w:rFonts w:cs="Times New Roman"/>
          <w:lang w:val="fr-CA"/>
        </w:rPr>
        <w:t>États</w:t>
      </w:r>
      <w:r w:rsidRPr="00852D08">
        <w:rPr>
          <w:rFonts w:cs="Times New Roman"/>
          <w:lang w:val="fr-CA"/>
        </w:rPr>
        <w:noBreakHyphen/>
        <w:t>Unis</w:t>
      </w:r>
      <w:proofErr w:type="spellEnd"/>
      <w:r w:rsidRPr="00852D08">
        <w:rPr>
          <w:rFonts w:cs="Times New Roman"/>
          <w:lang w:val="fr-CA"/>
        </w:rPr>
        <w:t xml:space="preserve"> sur les actes reprochés aux appelants et (2) la possibilité d’une poursuite au Canada.  Par conséquent, l’extradition constituerait une restriction injustifiée des droits que le par. 6(1) garantit aux appelants.</w:t>
      </w:r>
    </w:p>
    <w:p w:rsidR="0066086B" w:rsidRPr="00852D08" w:rsidRDefault="0066086B" w:rsidP="0066086B">
      <w:pPr>
        <w:pStyle w:val="ParaNoNdepar-AltN"/>
        <w:rPr>
          <w:rFonts w:cs="Times New Roman"/>
          <w:szCs w:val="19"/>
          <w:lang w:val="fr-CA"/>
        </w:rPr>
      </w:pPr>
      <w:r w:rsidRPr="00852D08">
        <w:rPr>
          <w:rFonts w:cs="Times New Roman"/>
          <w:lang w:val="fr-CA"/>
        </w:rPr>
        <w:t xml:space="preserve">Comme je l’explique précédemment, l’arrêté d’extradition que prend le ministre est une décision de nature politique qui appelle un degré élevé de déférence judiciaire.  L’article 7 de la </w:t>
      </w:r>
      <w:r w:rsidRPr="00852D08">
        <w:rPr>
          <w:rFonts w:cs="Times New Roman"/>
          <w:i/>
          <w:lang w:val="fr-CA"/>
        </w:rPr>
        <w:t>Loi sur l’extradition</w:t>
      </w:r>
      <w:r w:rsidRPr="00852D08">
        <w:rPr>
          <w:rFonts w:cs="Times New Roman"/>
          <w:lang w:val="fr-CA"/>
        </w:rPr>
        <w:t xml:space="preserve"> confère au ministre un large pouvoir discrétionnaire en la matière.</w:t>
      </w:r>
    </w:p>
    <w:p w:rsidR="0066086B" w:rsidRPr="00852D08" w:rsidRDefault="0066086B" w:rsidP="0066086B">
      <w:pPr>
        <w:pStyle w:val="ParaNoNdepar-AltN"/>
        <w:rPr>
          <w:rStyle w:val="reportcitation"/>
          <w:rFonts w:cs="Times New Roman"/>
          <w:szCs w:val="19"/>
          <w:lang w:val="fr-CA"/>
        </w:rPr>
      </w:pPr>
      <w:r w:rsidRPr="00852D08">
        <w:rPr>
          <w:rStyle w:val="reportcitation"/>
          <w:rFonts w:cs="Times New Roman"/>
          <w:szCs w:val="19"/>
          <w:lang w:val="fr-CA"/>
        </w:rPr>
        <w:t>En l’espèce, il appert du dossier que le ministre a dûment examiné et mis en balance les éléments pertinents eu égard à la situation des appelants.  En ce qui a trait à la première crainte des appelants, le ministre a conclu que les [</w:t>
      </w:r>
      <w:r w:rsidRPr="00852D08">
        <w:rPr>
          <w:rStyle w:val="reportcitation"/>
          <w:rFonts w:cs="Times New Roman"/>
          <w:smallCaps/>
          <w:szCs w:val="19"/>
          <w:lang w:val="fr-CA"/>
        </w:rPr>
        <w:t>traduction</w:t>
      </w:r>
      <w:r w:rsidRPr="00852D08">
        <w:rPr>
          <w:rStyle w:val="reportcitation"/>
          <w:rFonts w:cs="Times New Roman"/>
          <w:szCs w:val="19"/>
          <w:lang w:val="fr-CA"/>
        </w:rPr>
        <w:t xml:space="preserve">] « répercussions négatives de [leurs] actes, considérées de pair avec celles des actes reprochés à [leurs] nombreux </w:t>
      </w:r>
      <w:proofErr w:type="spellStart"/>
      <w:r w:rsidRPr="00852D08">
        <w:rPr>
          <w:rStyle w:val="reportcitation"/>
          <w:rFonts w:cs="Times New Roman"/>
          <w:szCs w:val="19"/>
          <w:lang w:val="fr-CA"/>
        </w:rPr>
        <w:t>coconspirateurs</w:t>
      </w:r>
      <w:proofErr w:type="spellEnd"/>
      <w:r w:rsidRPr="00852D08">
        <w:rPr>
          <w:rStyle w:val="reportcitation"/>
          <w:rFonts w:cs="Times New Roman"/>
          <w:szCs w:val="19"/>
          <w:lang w:val="fr-CA"/>
        </w:rPr>
        <w:t>, se seraient fait sentir à l’étranger » (</w:t>
      </w:r>
      <w:proofErr w:type="gramStart"/>
      <w:r w:rsidR="00A53455" w:rsidRPr="00852D08">
        <w:rPr>
          <w:rStyle w:val="reportcitation"/>
          <w:rFonts w:cs="Times New Roman"/>
          <w:szCs w:val="19"/>
          <w:lang w:val="fr-CA"/>
        </w:rPr>
        <w:t>d.a</w:t>
      </w:r>
      <w:r w:rsidRPr="00852D08">
        <w:rPr>
          <w:rStyle w:val="reportcitation"/>
          <w:rFonts w:cs="Times New Roman"/>
          <w:szCs w:val="19"/>
          <w:lang w:val="fr-CA"/>
        </w:rPr>
        <w:t>.,</w:t>
      </w:r>
      <w:proofErr w:type="gramEnd"/>
      <w:r w:rsidRPr="00852D08">
        <w:rPr>
          <w:rStyle w:val="reportcitation"/>
          <w:rFonts w:cs="Times New Roman"/>
          <w:szCs w:val="19"/>
          <w:lang w:val="fr-CA"/>
        </w:rPr>
        <w:t xml:space="preserve"> vol. I, p. 54 et 60), ce qui englobe tacitement les </w:t>
      </w:r>
      <w:proofErr w:type="spellStart"/>
      <w:r w:rsidRPr="00852D08">
        <w:rPr>
          <w:rStyle w:val="reportcitation"/>
          <w:rFonts w:cs="Times New Roman"/>
          <w:szCs w:val="19"/>
          <w:lang w:val="fr-CA"/>
        </w:rPr>
        <w:t>États</w:t>
      </w:r>
      <w:r w:rsidRPr="00852D08">
        <w:rPr>
          <w:rStyle w:val="reportcitation"/>
          <w:rFonts w:cs="Times New Roman"/>
          <w:szCs w:val="19"/>
          <w:lang w:val="fr-CA"/>
        </w:rPr>
        <w:noBreakHyphen/>
        <w:t>Unis</w:t>
      </w:r>
      <w:proofErr w:type="spellEnd"/>
      <w:r w:rsidRPr="00852D08">
        <w:rPr>
          <w:rStyle w:val="reportcitation"/>
          <w:rFonts w:cs="Times New Roman"/>
          <w:szCs w:val="19"/>
          <w:lang w:val="fr-CA"/>
        </w:rPr>
        <w:t xml:space="preserve">.  En outre, il ressort </w:t>
      </w:r>
      <w:r w:rsidRPr="00852D08">
        <w:rPr>
          <w:rStyle w:val="reportcitation"/>
          <w:rFonts w:cs="Times New Roman"/>
          <w:szCs w:val="19"/>
          <w:lang w:val="fr-CA"/>
        </w:rPr>
        <w:lastRenderedPageBreak/>
        <w:t xml:space="preserve">des faits allégués en l’espèce que les actes imputés supposent d’une manière ou d’une autre l’utilisation de comptes de messagerie électronique, de sociétés et de comptes bancaires aux </w:t>
      </w:r>
      <w:proofErr w:type="spellStart"/>
      <w:r w:rsidRPr="00852D08">
        <w:rPr>
          <w:rStyle w:val="reportcitation"/>
          <w:rFonts w:cs="Times New Roman"/>
          <w:szCs w:val="19"/>
          <w:lang w:val="fr-CA"/>
        </w:rPr>
        <w:t>États</w:t>
      </w:r>
      <w:r w:rsidRPr="00852D08">
        <w:rPr>
          <w:rStyle w:val="reportcitation"/>
          <w:rFonts w:cs="Times New Roman"/>
          <w:szCs w:val="19"/>
          <w:lang w:val="fr-CA"/>
        </w:rPr>
        <w:noBreakHyphen/>
        <w:t>Unis</w:t>
      </w:r>
      <w:proofErr w:type="spellEnd"/>
      <w:r w:rsidRPr="00852D08">
        <w:rPr>
          <w:rStyle w:val="reportcitation"/>
          <w:rFonts w:cs="Times New Roman"/>
          <w:szCs w:val="19"/>
          <w:lang w:val="fr-CA"/>
        </w:rPr>
        <w:t xml:space="preserve">.  En ce qui a trait à leur seconde crainte, le ministre, après avoir analysé l’opportunité d’une poursuite au Canada, conclut que cet élément n’exclut pas l’extradition.  </w:t>
      </w:r>
    </w:p>
    <w:p w:rsidR="0066086B" w:rsidRPr="00852D08" w:rsidRDefault="0066086B" w:rsidP="0066086B">
      <w:pPr>
        <w:pStyle w:val="ParaNoNdepar-AltN"/>
        <w:rPr>
          <w:rStyle w:val="reportcitation"/>
          <w:rFonts w:cs="Times New Roman"/>
          <w:szCs w:val="19"/>
          <w:lang w:val="fr-CA"/>
        </w:rPr>
      </w:pPr>
      <w:r w:rsidRPr="00852D08">
        <w:rPr>
          <w:rStyle w:val="reportcitation"/>
          <w:rFonts w:cs="Times New Roman"/>
          <w:szCs w:val="19"/>
          <w:lang w:val="fr-CA"/>
        </w:rPr>
        <w:t>Le ministre invoque cinq motifs valables pour étayer sa conclusion que l’extradition constitue une restriction justifiable du droit que le par. 6(1) garantit aux appelants</w:t>
      </w:r>
      <w:r w:rsidR="002B1A33" w:rsidRPr="00852D08">
        <w:rPr>
          <w:rStyle w:val="reportcitation"/>
          <w:rFonts w:cs="Times New Roman"/>
          <w:szCs w:val="19"/>
          <w:lang w:val="fr-CA"/>
        </w:rPr>
        <w:t xml:space="preserve"> </w:t>
      </w:r>
      <w:r w:rsidRPr="00852D08">
        <w:rPr>
          <w:rStyle w:val="reportcitation"/>
          <w:rFonts w:cs="Times New Roman"/>
          <w:szCs w:val="19"/>
          <w:lang w:val="fr-CA"/>
        </w:rPr>
        <w:t>: l’enquête a été ouverte et menée par les autorité</w:t>
      </w:r>
      <w:r w:rsidR="00852D08" w:rsidRPr="00852D08">
        <w:rPr>
          <w:rStyle w:val="reportcitation"/>
          <w:rFonts w:cs="Times New Roman"/>
          <w:szCs w:val="19"/>
          <w:lang w:val="fr-CA"/>
        </w:rPr>
        <w:t>s</w:t>
      </w:r>
      <w:r w:rsidR="00852D08">
        <w:rPr>
          <w:rStyle w:val="reportcitation"/>
          <w:rFonts w:cs="Times New Roman"/>
          <w:szCs w:val="19"/>
          <w:lang w:val="fr-CA"/>
        </w:rPr>
        <w:t xml:space="preserve"> </w:t>
      </w:r>
      <w:r w:rsidR="00852D08" w:rsidRPr="00852D08">
        <w:rPr>
          <w:rStyle w:val="reportcitation"/>
          <w:rFonts w:cs="Times New Roman"/>
          <w:szCs w:val="19"/>
          <w:lang w:val="fr-CA"/>
        </w:rPr>
        <w:t>a</w:t>
      </w:r>
      <w:r w:rsidRPr="00852D08">
        <w:rPr>
          <w:rStyle w:val="reportcitation"/>
          <w:rFonts w:cs="Times New Roman"/>
          <w:szCs w:val="19"/>
          <w:lang w:val="fr-CA"/>
        </w:rPr>
        <w:t>méricaines; des accusa</w:t>
      </w:r>
      <w:r w:rsidR="002B1A33" w:rsidRPr="00852D08">
        <w:rPr>
          <w:rStyle w:val="reportcitation"/>
          <w:rFonts w:cs="Times New Roman"/>
          <w:szCs w:val="19"/>
          <w:lang w:val="fr-CA"/>
        </w:rPr>
        <w:t>tions ont été portées aux États-</w:t>
      </w:r>
      <w:r w:rsidRPr="00852D08">
        <w:rPr>
          <w:rStyle w:val="reportcitation"/>
          <w:rFonts w:cs="Times New Roman"/>
          <w:szCs w:val="19"/>
          <w:lang w:val="fr-CA"/>
        </w:rPr>
        <w:t>Unis; ce pays est prêt à entreprendre le procès; des accusations ont été portées aux États</w:t>
      </w:r>
      <w:r w:rsidR="002B1A33" w:rsidRPr="00852D08">
        <w:rPr>
          <w:rStyle w:val="reportcitation"/>
          <w:rFonts w:cs="Times New Roman"/>
          <w:szCs w:val="19"/>
          <w:lang w:val="fr-CA"/>
        </w:rPr>
        <w:t>-</w:t>
      </w:r>
      <w:r w:rsidRPr="00852D08">
        <w:rPr>
          <w:rStyle w:val="reportcitation"/>
          <w:rFonts w:cs="Times New Roman"/>
          <w:szCs w:val="19"/>
          <w:lang w:val="fr-CA"/>
        </w:rPr>
        <w:t>Unis contre tous les coaccusés; la plupart des témoins se trouvent dans ce pays.  Contrairement à ce que laissent entendre les appelants (mémo</w:t>
      </w:r>
      <w:r w:rsidR="002B1A33" w:rsidRPr="00852D08">
        <w:rPr>
          <w:rStyle w:val="reportcitation"/>
          <w:rFonts w:cs="Times New Roman"/>
          <w:szCs w:val="19"/>
          <w:lang w:val="fr-CA"/>
        </w:rPr>
        <w:t xml:space="preserve">ire </w:t>
      </w:r>
      <w:proofErr w:type="spellStart"/>
      <w:r w:rsidR="002B1A33" w:rsidRPr="00852D08">
        <w:rPr>
          <w:rStyle w:val="reportcitation"/>
          <w:rFonts w:cs="Times New Roman"/>
          <w:szCs w:val="19"/>
          <w:lang w:val="fr-CA"/>
        </w:rPr>
        <w:t>Sriskandarajah</w:t>
      </w:r>
      <w:proofErr w:type="spellEnd"/>
      <w:r w:rsidR="002B1A33" w:rsidRPr="00852D08">
        <w:rPr>
          <w:rStyle w:val="reportcitation"/>
          <w:rFonts w:cs="Times New Roman"/>
          <w:szCs w:val="19"/>
          <w:lang w:val="fr-CA"/>
        </w:rPr>
        <w:t>, par. 78-</w:t>
      </w:r>
      <w:r w:rsidRPr="00852D08">
        <w:rPr>
          <w:rStyle w:val="reportcitation"/>
          <w:rFonts w:cs="Times New Roman"/>
          <w:szCs w:val="19"/>
          <w:lang w:val="fr-CA"/>
        </w:rPr>
        <w:t xml:space="preserve">82), le ministre ne tient pas pour déterminante la décision du SPPC de ne pas porter d’accusations contre eux au Canada. À l’issue d’un examen indépendant des éléments de </w:t>
      </w:r>
      <w:proofErr w:type="spellStart"/>
      <w:r w:rsidRPr="00852D08">
        <w:rPr>
          <w:rStyle w:val="reportcitation"/>
          <w:rFonts w:cs="Times New Roman"/>
          <w:i/>
          <w:szCs w:val="19"/>
          <w:lang w:val="fr-CA"/>
        </w:rPr>
        <w:t>Cotroni</w:t>
      </w:r>
      <w:proofErr w:type="spellEnd"/>
      <w:r w:rsidRPr="00852D08">
        <w:rPr>
          <w:rStyle w:val="reportcitation"/>
          <w:rFonts w:cs="Times New Roman"/>
          <w:szCs w:val="19"/>
          <w:lang w:val="fr-CA"/>
        </w:rPr>
        <w:t xml:space="preserve">, il a conclu que l’extradition des appelants ne porterait pas atteinte de manière injustifiable aux droits que leur garantit le par. 6(1), et ce, principalement parce que les États-Unis avaient une longueur d’avance dans l’enquête sur les faits allégués et dans la poursuite des appelants.  La conclusion du ministre selon laquelle les liens avec les </w:t>
      </w:r>
      <w:proofErr w:type="spellStart"/>
      <w:r w:rsidRPr="00852D08">
        <w:rPr>
          <w:rStyle w:val="reportcitation"/>
          <w:rFonts w:cs="Times New Roman"/>
          <w:szCs w:val="19"/>
          <w:lang w:val="fr-CA"/>
        </w:rPr>
        <w:t>États</w:t>
      </w:r>
      <w:r w:rsidRPr="00852D08">
        <w:rPr>
          <w:rStyle w:val="reportcitation"/>
          <w:rFonts w:cs="Times New Roman"/>
          <w:szCs w:val="19"/>
          <w:lang w:val="fr-CA"/>
        </w:rPr>
        <w:noBreakHyphen/>
        <w:t>Unis</w:t>
      </w:r>
      <w:proofErr w:type="spellEnd"/>
      <w:r w:rsidRPr="00852D08">
        <w:rPr>
          <w:rStyle w:val="reportcitation"/>
          <w:rFonts w:cs="Times New Roman"/>
          <w:szCs w:val="19"/>
          <w:lang w:val="fr-CA"/>
        </w:rPr>
        <w:t xml:space="preserve"> suffisaient à justifier l’extradition découle de cet examen indépendant et il n’a pas été démontré qu’elle est déraisonnable eu égard à la preuve.  </w:t>
      </w:r>
    </w:p>
    <w:p w:rsidR="0066086B" w:rsidRPr="00852D08" w:rsidRDefault="0066086B" w:rsidP="0066086B">
      <w:pPr>
        <w:pStyle w:val="ParaNoNdepar-AltN"/>
        <w:rPr>
          <w:rFonts w:cs="Times New Roman"/>
          <w:lang w:val="fr-CA"/>
        </w:rPr>
      </w:pPr>
      <w:r w:rsidRPr="00852D08">
        <w:rPr>
          <w:rFonts w:cs="Times New Roman"/>
          <w:lang w:val="fr-CA"/>
        </w:rPr>
        <w:t xml:space="preserve">La prétention selon laquelle la décision du ministre est déraisonnable doit être rejetée. </w:t>
      </w:r>
    </w:p>
    <w:p w:rsidR="0066086B" w:rsidRPr="00852D08" w:rsidRDefault="0066086B" w:rsidP="00516440">
      <w:pPr>
        <w:pStyle w:val="TitleTitre-AltT"/>
        <w:tabs>
          <w:tab w:val="clear" w:pos="360"/>
          <w:tab w:val="left" w:pos="540"/>
        </w:tabs>
        <w:ind w:left="540" w:hanging="540"/>
        <w:rPr>
          <w:rFonts w:cs="Times New Roman"/>
          <w:u w:val="single"/>
          <w:lang w:val="fr-CA"/>
        </w:rPr>
      </w:pPr>
      <w:r w:rsidRPr="00852D08">
        <w:rPr>
          <w:rFonts w:cs="Times New Roman"/>
          <w:lang w:val="fr-CA"/>
        </w:rPr>
        <w:lastRenderedPageBreak/>
        <w:t>7.</w:t>
      </w:r>
      <w:r w:rsidRPr="00852D08">
        <w:rPr>
          <w:rFonts w:cs="Times New Roman"/>
          <w:lang w:val="fr-CA"/>
        </w:rPr>
        <w:tab/>
      </w:r>
      <w:r w:rsidRPr="00852D08">
        <w:rPr>
          <w:rFonts w:cs="Times New Roman"/>
          <w:u w:val="single"/>
          <w:lang w:val="fr-CA"/>
        </w:rPr>
        <w:t>Conclusion</w:t>
      </w:r>
    </w:p>
    <w:p w:rsidR="0066086B" w:rsidRPr="00852D08" w:rsidRDefault="0066086B" w:rsidP="0066086B">
      <w:pPr>
        <w:pStyle w:val="ParaNoNdepar-AltN"/>
        <w:rPr>
          <w:rFonts w:cs="Times New Roman"/>
          <w:lang w:val="fr-CA"/>
        </w:rPr>
      </w:pPr>
      <w:r w:rsidRPr="00852D08">
        <w:rPr>
          <w:rFonts w:cs="Times New Roman"/>
          <w:lang w:val="fr-CA"/>
        </w:rPr>
        <w:t xml:space="preserve">Je suis d’avis de rejeter les pourvois et de confirmer les arrêtés d’extradition. </w:t>
      </w:r>
    </w:p>
    <w:p w:rsidR="004D7D95" w:rsidRPr="00852D08" w:rsidRDefault="004D7D95" w:rsidP="00DF6AC0">
      <w:pPr>
        <w:pStyle w:val="SCCNormalDoubleSpacing"/>
        <w:spacing w:after="480"/>
        <w:rPr>
          <w:szCs w:val="24"/>
          <w:lang w:val="fr-CA"/>
        </w:rPr>
      </w:pPr>
      <w:r w:rsidRPr="00852D08">
        <w:rPr>
          <w:szCs w:val="24"/>
          <w:lang w:val="fr-CA"/>
        </w:rPr>
        <w:tab/>
      </w:r>
      <w:r w:rsidR="00055C5E" w:rsidRPr="00852D08">
        <w:rPr>
          <w:i/>
          <w:szCs w:val="24"/>
          <w:lang w:val="fr-CA"/>
        </w:rPr>
        <w:t>Pourvois rejetés.</w:t>
      </w:r>
    </w:p>
    <w:p w:rsidR="00055C5E" w:rsidRPr="00852D08" w:rsidRDefault="00055C5E" w:rsidP="00DF6AC0">
      <w:pPr>
        <w:pStyle w:val="SCCLawFirm"/>
        <w:spacing w:after="480"/>
        <w:rPr>
          <w:szCs w:val="24"/>
          <w:lang w:val="fr-CA"/>
        </w:rPr>
      </w:pPr>
      <w:r w:rsidRPr="00852D08">
        <w:rPr>
          <w:szCs w:val="24"/>
          <w:lang w:val="fr-CA"/>
        </w:rPr>
        <w:tab/>
        <w:t>Procureurs des appelants</w:t>
      </w:r>
      <w:r w:rsidR="00CC716D" w:rsidRPr="00852D08">
        <w:rPr>
          <w:szCs w:val="24"/>
          <w:lang w:val="fr-CA"/>
        </w:rPr>
        <w:t> :</w:t>
      </w:r>
      <w:r w:rsidR="00887D78" w:rsidRPr="00852D08">
        <w:rPr>
          <w:szCs w:val="24"/>
          <w:lang w:val="fr-CA"/>
        </w:rPr>
        <w:t> </w:t>
      </w:r>
      <w:r w:rsidRPr="00852D08">
        <w:rPr>
          <w:szCs w:val="24"/>
          <w:lang w:val="fr-CA"/>
        </w:rPr>
        <w:t>John Norris, Toronto;</w:t>
      </w:r>
      <w:r w:rsidR="00516440" w:rsidRPr="00852D08">
        <w:rPr>
          <w:szCs w:val="24"/>
          <w:lang w:val="fr-CA"/>
        </w:rPr>
        <w:t xml:space="preserve"> Di Luca Copeland Davies</w:t>
      </w:r>
      <w:r w:rsidRPr="00852D08">
        <w:rPr>
          <w:szCs w:val="24"/>
          <w:lang w:val="fr-CA"/>
        </w:rPr>
        <w:t>, Toronto.</w:t>
      </w:r>
    </w:p>
    <w:p w:rsidR="00055C5E" w:rsidRPr="00852D08" w:rsidRDefault="00055C5E" w:rsidP="00DF6AC0">
      <w:pPr>
        <w:pStyle w:val="SCCLawFirm"/>
        <w:spacing w:after="480"/>
        <w:rPr>
          <w:szCs w:val="24"/>
          <w:lang w:val="fr-CA"/>
        </w:rPr>
      </w:pPr>
      <w:r w:rsidRPr="00852D08">
        <w:rPr>
          <w:szCs w:val="24"/>
          <w:lang w:val="fr-CA"/>
        </w:rPr>
        <w:tab/>
        <w:t>Procureur des intimés</w:t>
      </w:r>
      <w:r w:rsidR="00CC716D" w:rsidRPr="00852D08">
        <w:rPr>
          <w:szCs w:val="24"/>
          <w:lang w:val="fr-CA"/>
        </w:rPr>
        <w:t> :</w:t>
      </w:r>
      <w:r w:rsidR="00887D78" w:rsidRPr="00852D08">
        <w:rPr>
          <w:szCs w:val="24"/>
          <w:lang w:val="fr-CA"/>
        </w:rPr>
        <w:t> </w:t>
      </w:r>
      <w:r w:rsidRPr="00852D08">
        <w:rPr>
          <w:szCs w:val="24"/>
          <w:lang w:val="fr-CA"/>
        </w:rPr>
        <w:t xml:space="preserve">Procureur général du Canada, Toronto; Procureur général du Canada, </w:t>
      </w:r>
      <w:r w:rsidR="00516440" w:rsidRPr="00852D08">
        <w:rPr>
          <w:szCs w:val="24"/>
          <w:lang w:val="fr-CA"/>
        </w:rPr>
        <w:t>Ottawa</w:t>
      </w:r>
      <w:r w:rsidRPr="00852D08">
        <w:rPr>
          <w:szCs w:val="24"/>
          <w:lang w:val="fr-CA"/>
        </w:rPr>
        <w:t>.</w:t>
      </w:r>
    </w:p>
    <w:p w:rsidR="00055C5E" w:rsidRPr="00852D08" w:rsidRDefault="00055C5E" w:rsidP="00DF6AC0">
      <w:pPr>
        <w:pStyle w:val="SCCLawFirm"/>
        <w:spacing w:after="480"/>
        <w:rPr>
          <w:szCs w:val="24"/>
          <w:lang w:val="fr-CA"/>
        </w:rPr>
      </w:pPr>
      <w:r w:rsidRPr="00852D08">
        <w:rPr>
          <w:szCs w:val="24"/>
          <w:lang w:val="fr-CA"/>
        </w:rPr>
        <w:tab/>
        <w:t>Procureur de l</w:t>
      </w:r>
      <w:r w:rsidR="009B4529" w:rsidRPr="00852D08">
        <w:rPr>
          <w:szCs w:val="24"/>
          <w:lang w:val="fr-CA"/>
        </w:rPr>
        <w:t>’</w:t>
      </w:r>
      <w:r w:rsidRPr="00852D08">
        <w:rPr>
          <w:szCs w:val="24"/>
          <w:lang w:val="fr-CA"/>
        </w:rPr>
        <w:t>intervenant le procureur général de l</w:t>
      </w:r>
      <w:r w:rsidR="009B4529" w:rsidRPr="00852D08">
        <w:rPr>
          <w:szCs w:val="24"/>
          <w:lang w:val="fr-CA"/>
        </w:rPr>
        <w:t>’</w:t>
      </w:r>
      <w:r w:rsidRPr="00852D08">
        <w:rPr>
          <w:szCs w:val="24"/>
          <w:lang w:val="fr-CA"/>
        </w:rPr>
        <w:t>Ontario</w:t>
      </w:r>
      <w:r w:rsidR="00CC716D" w:rsidRPr="00852D08">
        <w:rPr>
          <w:szCs w:val="24"/>
          <w:lang w:val="fr-CA"/>
        </w:rPr>
        <w:t> :</w:t>
      </w:r>
      <w:r w:rsidR="00887D78" w:rsidRPr="00852D08">
        <w:rPr>
          <w:szCs w:val="24"/>
          <w:lang w:val="fr-CA"/>
        </w:rPr>
        <w:t> </w:t>
      </w:r>
      <w:r w:rsidRPr="00852D08">
        <w:rPr>
          <w:szCs w:val="24"/>
          <w:lang w:val="fr-CA"/>
        </w:rPr>
        <w:t>Procureur général de l</w:t>
      </w:r>
      <w:r w:rsidR="009B4529" w:rsidRPr="00852D08">
        <w:rPr>
          <w:szCs w:val="24"/>
          <w:lang w:val="fr-CA"/>
        </w:rPr>
        <w:t>’</w:t>
      </w:r>
      <w:r w:rsidRPr="00852D08">
        <w:rPr>
          <w:szCs w:val="24"/>
          <w:lang w:val="fr-CA"/>
        </w:rPr>
        <w:t>Ontario, Toronto.</w:t>
      </w:r>
    </w:p>
    <w:p w:rsidR="00055C5E" w:rsidRPr="00852D08" w:rsidRDefault="00055C5E" w:rsidP="00DF6AC0">
      <w:pPr>
        <w:pStyle w:val="SCCLawFirm"/>
        <w:spacing w:after="480"/>
        <w:rPr>
          <w:szCs w:val="24"/>
          <w:lang w:val="fr-CA"/>
        </w:rPr>
      </w:pPr>
      <w:r w:rsidRPr="00852D08">
        <w:rPr>
          <w:szCs w:val="24"/>
          <w:lang w:val="fr-CA"/>
        </w:rPr>
        <w:tab/>
        <w:t>Procureurs de l</w:t>
      </w:r>
      <w:r w:rsidR="009B4529" w:rsidRPr="00852D08">
        <w:rPr>
          <w:szCs w:val="24"/>
          <w:lang w:val="fr-CA"/>
        </w:rPr>
        <w:t>’</w:t>
      </w:r>
      <w:r w:rsidRPr="00852D08">
        <w:rPr>
          <w:szCs w:val="24"/>
          <w:lang w:val="fr-CA"/>
        </w:rPr>
        <w:t>intervenante l</w:t>
      </w:r>
      <w:r w:rsidR="009B4529" w:rsidRPr="00852D08">
        <w:rPr>
          <w:szCs w:val="24"/>
          <w:lang w:val="fr-CA"/>
        </w:rPr>
        <w:t>’</w:t>
      </w:r>
      <w:r w:rsidRPr="00852D08">
        <w:rPr>
          <w:szCs w:val="24"/>
          <w:lang w:val="fr-CA"/>
        </w:rPr>
        <w:t>Association canadienne des libertés civiles</w:t>
      </w:r>
      <w:r w:rsidR="00CC716D" w:rsidRPr="00852D08">
        <w:rPr>
          <w:szCs w:val="24"/>
          <w:lang w:val="fr-CA"/>
        </w:rPr>
        <w:t> :</w:t>
      </w:r>
      <w:r w:rsidR="00887D78" w:rsidRPr="00852D08">
        <w:rPr>
          <w:szCs w:val="24"/>
          <w:lang w:val="fr-CA"/>
        </w:rPr>
        <w:t> </w:t>
      </w:r>
      <w:r w:rsidRPr="00852D08">
        <w:rPr>
          <w:szCs w:val="24"/>
          <w:lang w:val="fr-CA"/>
        </w:rPr>
        <w:t xml:space="preserve">Kapoor </w:t>
      </w:r>
      <w:proofErr w:type="spellStart"/>
      <w:r w:rsidRPr="00852D08">
        <w:rPr>
          <w:szCs w:val="24"/>
          <w:lang w:val="fr-CA"/>
        </w:rPr>
        <w:t>Barristers</w:t>
      </w:r>
      <w:proofErr w:type="spellEnd"/>
      <w:r w:rsidRPr="00852D08">
        <w:rPr>
          <w:szCs w:val="24"/>
          <w:lang w:val="fr-CA"/>
        </w:rPr>
        <w:t>, Toronto.</w:t>
      </w:r>
    </w:p>
    <w:p w:rsidR="009B57B3" w:rsidRPr="00852D08" w:rsidRDefault="00055C5E" w:rsidP="0066086B">
      <w:pPr>
        <w:pStyle w:val="SCCLawFirm"/>
        <w:contextualSpacing/>
        <w:rPr>
          <w:szCs w:val="24"/>
          <w:lang w:val="fr-CA"/>
        </w:rPr>
      </w:pPr>
      <w:r w:rsidRPr="00852D08">
        <w:rPr>
          <w:szCs w:val="24"/>
          <w:lang w:val="fr-CA"/>
        </w:rPr>
        <w:tab/>
        <w:t>Procureurs de l</w:t>
      </w:r>
      <w:r w:rsidR="009B4529" w:rsidRPr="00852D08">
        <w:rPr>
          <w:szCs w:val="24"/>
          <w:lang w:val="fr-CA"/>
        </w:rPr>
        <w:t>’</w:t>
      </w:r>
      <w:r w:rsidRPr="00852D08">
        <w:rPr>
          <w:szCs w:val="24"/>
          <w:lang w:val="fr-CA"/>
        </w:rPr>
        <w:t>intervenante l</w:t>
      </w:r>
      <w:r w:rsidR="009B4529" w:rsidRPr="00852D08">
        <w:rPr>
          <w:szCs w:val="24"/>
          <w:lang w:val="fr-CA"/>
        </w:rPr>
        <w:t>’</w:t>
      </w:r>
      <w:r w:rsidRPr="00852D08">
        <w:rPr>
          <w:szCs w:val="24"/>
          <w:lang w:val="fr-CA"/>
        </w:rPr>
        <w:t xml:space="preserve">Association des libertés civiles de la </w:t>
      </w:r>
      <w:proofErr w:type="spellStart"/>
      <w:r w:rsidRPr="00852D08">
        <w:rPr>
          <w:szCs w:val="24"/>
          <w:lang w:val="fr-CA"/>
        </w:rPr>
        <w:t>Colombie</w:t>
      </w:r>
      <w:r w:rsidR="00CC716D" w:rsidRPr="00852D08">
        <w:rPr>
          <w:szCs w:val="24"/>
          <w:lang w:val="fr-CA"/>
        </w:rPr>
        <w:noBreakHyphen/>
      </w:r>
      <w:r w:rsidRPr="00852D08">
        <w:rPr>
          <w:szCs w:val="24"/>
          <w:lang w:val="fr-CA"/>
        </w:rPr>
        <w:t>Britannique</w:t>
      </w:r>
      <w:proofErr w:type="spellEnd"/>
      <w:r w:rsidR="00CC716D" w:rsidRPr="00852D08">
        <w:rPr>
          <w:szCs w:val="24"/>
          <w:lang w:val="fr-CA"/>
        </w:rPr>
        <w:t> :</w:t>
      </w:r>
      <w:r w:rsidR="00887D78" w:rsidRPr="00852D08">
        <w:rPr>
          <w:szCs w:val="24"/>
          <w:lang w:val="fr-CA"/>
        </w:rPr>
        <w:t> </w:t>
      </w:r>
      <w:proofErr w:type="spellStart"/>
      <w:r w:rsidRPr="00852D08">
        <w:rPr>
          <w:szCs w:val="24"/>
          <w:lang w:val="fr-CA"/>
        </w:rPr>
        <w:t>Paliare</w:t>
      </w:r>
      <w:proofErr w:type="spellEnd"/>
      <w:r w:rsidRPr="00852D08">
        <w:rPr>
          <w:szCs w:val="24"/>
          <w:lang w:val="fr-CA"/>
        </w:rPr>
        <w:t xml:space="preserve">, Roland, Rosenberg, </w:t>
      </w:r>
      <w:proofErr w:type="spellStart"/>
      <w:r w:rsidRPr="00852D08">
        <w:rPr>
          <w:szCs w:val="24"/>
          <w:lang w:val="fr-CA"/>
        </w:rPr>
        <w:t>Rothstein</w:t>
      </w:r>
      <w:proofErr w:type="spellEnd"/>
      <w:r w:rsidRPr="00852D08">
        <w:rPr>
          <w:szCs w:val="24"/>
          <w:lang w:val="fr-CA"/>
        </w:rPr>
        <w:t>, Toronto.</w:t>
      </w:r>
      <w:r w:rsidR="0066086B" w:rsidRPr="00852D08">
        <w:rPr>
          <w:szCs w:val="24"/>
          <w:lang w:val="fr-CA"/>
        </w:rPr>
        <w:t xml:space="preserve"> </w:t>
      </w:r>
    </w:p>
    <w:sectPr w:rsidR="009B57B3" w:rsidRPr="00852D08" w:rsidSect="00A46A06">
      <w:headerReference w:type="default" r:id="rId9"/>
      <w:pgSz w:w="12240" w:h="15840" w:code="1"/>
      <w:pgMar w:top="1267" w:right="2160" w:bottom="720" w:left="180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1A" w:rsidRDefault="00EF751A">
      <w:r>
        <w:separator/>
      </w:r>
    </w:p>
  </w:endnote>
  <w:endnote w:type="continuationSeparator" w:id="0">
    <w:p w:rsidR="00EF751A" w:rsidRDefault="00EF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1A" w:rsidRDefault="00EF751A">
      <w:r>
        <w:separator/>
      </w:r>
    </w:p>
  </w:footnote>
  <w:footnote w:type="continuationSeparator" w:id="0">
    <w:p w:rsidR="00EF751A" w:rsidRDefault="00EF7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239"/>
      <w:docPartObj>
        <w:docPartGallery w:val="Page Numbers (Top of Page)"/>
        <w:docPartUnique/>
      </w:docPartObj>
    </w:sdtPr>
    <w:sdtContent>
      <w:p w:rsidR="00EF751A" w:rsidRDefault="00EF751A">
        <w:pPr>
          <w:pStyle w:val="Header"/>
          <w:jc w:val="center"/>
        </w:pPr>
        <w:r>
          <w:t xml:space="preserve">- </w:t>
        </w:r>
        <w:fldSimple w:instr=" PAGE   \* MERGEFORMAT ">
          <w:r w:rsidR="00772D70">
            <w:rPr>
              <w:noProof/>
            </w:rPr>
            <w:t>2</w:t>
          </w:r>
        </w:fldSimple>
        <w:r>
          <w:t xml:space="preserve"> -</w:t>
        </w:r>
      </w:p>
    </w:sdtContent>
  </w:sdt>
  <w:p w:rsidR="00EF751A" w:rsidRDefault="00EF7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88171D6"/>
    <w:multiLevelType w:val="hybridMultilevel"/>
    <w:tmpl w:val="D51AD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2B2722"/>
    <w:multiLevelType w:val="hybridMultilevel"/>
    <w:tmpl w:val="D56E8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FD5D4B"/>
    <w:multiLevelType w:val="hybridMultilevel"/>
    <w:tmpl w:val="9FA4EE76"/>
    <w:lvl w:ilvl="0" w:tplc="93022C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C27205"/>
    <w:multiLevelType w:val="hybridMultilevel"/>
    <w:tmpl w:val="F8E03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7204AB8"/>
    <w:multiLevelType w:val="hybridMultilevel"/>
    <w:tmpl w:val="969EC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16"/>
  </w:num>
  <w:num w:numId="5">
    <w:abstractNumId w:val="18"/>
  </w:num>
  <w:num w:numId="6">
    <w:abstractNumId w:val="19"/>
  </w:num>
  <w:num w:numId="7">
    <w:abstractNumId w:val="12"/>
  </w:num>
  <w:num w:numId="8">
    <w:abstractNumId w:val="21"/>
  </w:num>
  <w:num w:numId="9">
    <w:abstractNumId w:val="17"/>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12571"/>
    <w:rsid w:val="00023FC7"/>
    <w:rsid w:val="00025198"/>
    <w:rsid w:val="000431DE"/>
    <w:rsid w:val="00055C5E"/>
    <w:rsid w:val="00056FE9"/>
    <w:rsid w:val="000578A3"/>
    <w:rsid w:val="0006118A"/>
    <w:rsid w:val="000616F2"/>
    <w:rsid w:val="000648CC"/>
    <w:rsid w:val="000658DC"/>
    <w:rsid w:val="000B4209"/>
    <w:rsid w:val="000C4DB1"/>
    <w:rsid w:val="000C59B8"/>
    <w:rsid w:val="000C5B31"/>
    <w:rsid w:val="000C6AF0"/>
    <w:rsid w:val="000D0A77"/>
    <w:rsid w:val="000D7E45"/>
    <w:rsid w:val="000F7993"/>
    <w:rsid w:val="00104F33"/>
    <w:rsid w:val="00110315"/>
    <w:rsid w:val="00111DE2"/>
    <w:rsid w:val="00116B38"/>
    <w:rsid w:val="00135406"/>
    <w:rsid w:val="00135972"/>
    <w:rsid w:val="00135F0E"/>
    <w:rsid w:val="00140C89"/>
    <w:rsid w:val="001426A9"/>
    <w:rsid w:val="00154D7C"/>
    <w:rsid w:val="001570B0"/>
    <w:rsid w:val="0015752C"/>
    <w:rsid w:val="00157737"/>
    <w:rsid w:val="00165277"/>
    <w:rsid w:val="00170592"/>
    <w:rsid w:val="001720F7"/>
    <w:rsid w:val="00191098"/>
    <w:rsid w:val="00194431"/>
    <w:rsid w:val="00195D83"/>
    <w:rsid w:val="001A00C1"/>
    <w:rsid w:val="001B229D"/>
    <w:rsid w:val="001B33E0"/>
    <w:rsid w:val="001B4573"/>
    <w:rsid w:val="001B7A0C"/>
    <w:rsid w:val="001C11AF"/>
    <w:rsid w:val="001C779F"/>
    <w:rsid w:val="001D2AC1"/>
    <w:rsid w:val="001D4E88"/>
    <w:rsid w:val="001E11E8"/>
    <w:rsid w:val="001F2A50"/>
    <w:rsid w:val="00215EDE"/>
    <w:rsid w:val="00220FC2"/>
    <w:rsid w:val="002222F4"/>
    <w:rsid w:val="00222FC2"/>
    <w:rsid w:val="002248E0"/>
    <w:rsid w:val="00224956"/>
    <w:rsid w:val="00224FC0"/>
    <w:rsid w:val="00225EA4"/>
    <w:rsid w:val="00226EAF"/>
    <w:rsid w:val="00231F3A"/>
    <w:rsid w:val="002406EE"/>
    <w:rsid w:val="00243EC8"/>
    <w:rsid w:val="002518B5"/>
    <w:rsid w:val="002707BB"/>
    <w:rsid w:val="00270D93"/>
    <w:rsid w:val="002745CC"/>
    <w:rsid w:val="002A624B"/>
    <w:rsid w:val="002B1A33"/>
    <w:rsid w:val="002B6FBE"/>
    <w:rsid w:val="002B7924"/>
    <w:rsid w:val="002C10A6"/>
    <w:rsid w:val="002C727D"/>
    <w:rsid w:val="002D28C3"/>
    <w:rsid w:val="002D39A4"/>
    <w:rsid w:val="002D6FA4"/>
    <w:rsid w:val="002E5094"/>
    <w:rsid w:val="002E6705"/>
    <w:rsid w:val="002F31F4"/>
    <w:rsid w:val="00301655"/>
    <w:rsid w:val="0030329A"/>
    <w:rsid w:val="0031086F"/>
    <w:rsid w:val="0031414C"/>
    <w:rsid w:val="00314B89"/>
    <w:rsid w:val="00314E01"/>
    <w:rsid w:val="0032089D"/>
    <w:rsid w:val="003310DE"/>
    <w:rsid w:val="003323B0"/>
    <w:rsid w:val="00340A49"/>
    <w:rsid w:val="0035169A"/>
    <w:rsid w:val="0035259D"/>
    <w:rsid w:val="00364B18"/>
    <w:rsid w:val="003672D1"/>
    <w:rsid w:val="003679FE"/>
    <w:rsid w:val="0038269E"/>
    <w:rsid w:val="003A07A8"/>
    <w:rsid w:val="003A125D"/>
    <w:rsid w:val="003A4C70"/>
    <w:rsid w:val="003B215F"/>
    <w:rsid w:val="003C799C"/>
    <w:rsid w:val="003D0399"/>
    <w:rsid w:val="003E1C71"/>
    <w:rsid w:val="003F327B"/>
    <w:rsid w:val="00406166"/>
    <w:rsid w:val="0040704B"/>
    <w:rsid w:val="00410A55"/>
    <w:rsid w:val="00411300"/>
    <w:rsid w:val="00413F17"/>
    <w:rsid w:val="00415417"/>
    <w:rsid w:val="00421BB3"/>
    <w:rsid w:val="00426659"/>
    <w:rsid w:val="00450352"/>
    <w:rsid w:val="00454BDB"/>
    <w:rsid w:val="00465132"/>
    <w:rsid w:val="00466AA1"/>
    <w:rsid w:val="00480C90"/>
    <w:rsid w:val="0048396F"/>
    <w:rsid w:val="00493C18"/>
    <w:rsid w:val="004A47E8"/>
    <w:rsid w:val="004A600C"/>
    <w:rsid w:val="004A6118"/>
    <w:rsid w:val="004B45A2"/>
    <w:rsid w:val="004C478D"/>
    <w:rsid w:val="004D7D95"/>
    <w:rsid w:val="004E2C26"/>
    <w:rsid w:val="004F13A5"/>
    <w:rsid w:val="004F321E"/>
    <w:rsid w:val="005062E3"/>
    <w:rsid w:val="005125A8"/>
    <w:rsid w:val="00516440"/>
    <w:rsid w:val="00517549"/>
    <w:rsid w:val="00520ABC"/>
    <w:rsid w:val="00521AE8"/>
    <w:rsid w:val="00527180"/>
    <w:rsid w:val="00553CC4"/>
    <w:rsid w:val="00555291"/>
    <w:rsid w:val="00566AD1"/>
    <w:rsid w:val="005735A9"/>
    <w:rsid w:val="00583EDE"/>
    <w:rsid w:val="00584BF1"/>
    <w:rsid w:val="005975AA"/>
    <w:rsid w:val="005A6079"/>
    <w:rsid w:val="005D0801"/>
    <w:rsid w:val="005E4698"/>
    <w:rsid w:val="00603924"/>
    <w:rsid w:val="00610539"/>
    <w:rsid w:val="00613969"/>
    <w:rsid w:val="00625C35"/>
    <w:rsid w:val="0062624E"/>
    <w:rsid w:val="00635465"/>
    <w:rsid w:val="0064211A"/>
    <w:rsid w:val="00647E49"/>
    <w:rsid w:val="00655DE1"/>
    <w:rsid w:val="00656313"/>
    <w:rsid w:val="006565F4"/>
    <w:rsid w:val="0066086B"/>
    <w:rsid w:val="006708C1"/>
    <w:rsid w:val="00684EEA"/>
    <w:rsid w:val="0069689B"/>
    <w:rsid w:val="006B2B9C"/>
    <w:rsid w:val="006B5FF5"/>
    <w:rsid w:val="006E7B43"/>
    <w:rsid w:val="006F30AF"/>
    <w:rsid w:val="006F63DC"/>
    <w:rsid w:val="00701759"/>
    <w:rsid w:val="00705C15"/>
    <w:rsid w:val="007110F6"/>
    <w:rsid w:val="0071773D"/>
    <w:rsid w:val="00717D10"/>
    <w:rsid w:val="007208D1"/>
    <w:rsid w:val="007220BC"/>
    <w:rsid w:val="00744518"/>
    <w:rsid w:val="00747288"/>
    <w:rsid w:val="00747DD3"/>
    <w:rsid w:val="007549C8"/>
    <w:rsid w:val="00766D14"/>
    <w:rsid w:val="00767A0F"/>
    <w:rsid w:val="00772D70"/>
    <w:rsid w:val="00791272"/>
    <w:rsid w:val="007A05F6"/>
    <w:rsid w:val="007A7A86"/>
    <w:rsid w:val="007B18A6"/>
    <w:rsid w:val="007B6F4A"/>
    <w:rsid w:val="007C4053"/>
    <w:rsid w:val="007E1C47"/>
    <w:rsid w:val="007E337A"/>
    <w:rsid w:val="007E5C70"/>
    <w:rsid w:val="007F2FF5"/>
    <w:rsid w:val="007F3F08"/>
    <w:rsid w:val="00804CC6"/>
    <w:rsid w:val="00805829"/>
    <w:rsid w:val="00817190"/>
    <w:rsid w:val="008217F0"/>
    <w:rsid w:val="00824256"/>
    <w:rsid w:val="008260E2"/>
    <w:rsid w:val="008322BD"/>
    <w:rsid w:val="00834F73"/>
    <w:rsid w:val="00852D08"/>
    <w:rsid w:val="0086141B"/>
    <w:rsid w:val="00864C8A"/>
    <w:rsid w:val="00864CF8"/>
    <w:rsid w:val="00865095"/>
    <w:rsid w:val="00874914"/>
    <w:rsid w:val="00887D78"/>
    <w:rsid w:val="00891422"/>
    <w:rsid w:val="00892E1A"/>
    <w:rsid w:val="008A5A60"/>
    <w:rsid w:val="008B660A"/>
    <w:rsid w:val="008C01DA"/>
    <w:rsid w:val="008F2674"/>
    <w:rsid w:val="008F78E9"/>
    <w:rsid w:val="009155CA"/>
    <w:rsid w:val="009179F9"/>
    <w:rsid w:val="00917C7A"/>
    <w:rsid w:val="00925E80"/>
    <w:rsid w:val="00933E5E"/>
    <w:rsid w:val="00935218"/>
    <w:rsid w:val="00937C52"/>
    <w:rsid w:val="009403F3"/>
    <w:rsid w:val="009555B7"/>
    <w:rsid w:val="009567AA"/>
    <w:rsid w:val="009602C9"/>
    <w:rsid w:val="00967374"/>
    <w:rsid w:val="009877ED"/>
    <w:rsid w:val="0098793F"/>
    <w:rsid w:val="009A343A"/>
    <w:rsid w:val="009A5E60"/>
    <w:rsid w:val="009B2F23"/>
    <w:rsid w:val="009B4529"/>
    <w:rsid w:val="009B57B3"/>
    <w:rsid w:val="009C5EB8"/>
    <w:rsid w:val="009D2920"/>
    <w:rsid w:val="009D5AEB"/>
    <w:rsid w:val="009F0E33"/>
    <w:rsid w:val="00A11011"/>
    <w:rsid w:val="00A149DF"/>
    <w:rsid w:val="00A1755C"/>
    <w:rsid w:val="00A21B90"/>
    <w:rsid w:val="00A22AAC"/>
    <w:rsid w:val="00A41805"/>
    <w:rsid w:val="00A4578E"/>
    <w:rsid w:val="00A46A06"/>
    <w:rsid w:val="00A51882"/>
    <w:rsid w:val="00A52AFB"/>
    <w:rsid w:val="00A53455"/>
    <w:rsid w:val="00A548CB"/>
    <w:rsid w:val="00A5521C"/>
    <w:rsid w:val="00A643E7"/>
    <w:rsid w:val="00A67144"/>
    <w:rsid w:val="00A73C38"/>
    <w:rsid w:val="00A86D23"/>
    <w:rsid w:val="00AA0E05"/>
    <w:rsid w:val="00AA3001"/>
    <w:rsid w:val="00AA3B27"/>
    <w:rsid w:val="00AB670D"/>
    <w:rsid w:val="00AC4D7A"/>
    <w:rsid w:val="00AD31B8"/>
    <w:rsid w:val="00AF03C5"/>
    <w:rsid w:val="00B000D8"/>
    <w:rsid w:val="00B00F75"/>
    <w:rsid w:val="00B03208"/>
    <w:rsid w:val="00B145B6"/>
    <w:rsid w:val="00B279EB"/>
    <w:rsid w:val="00B30DE9"/>
    <w:rsid w:val="00B47C39"/>
    <w:rsid w:val="00B50C81"/>
    <w:rsid w:val="00B52F44"/>
    <w:rsid w:val="00B557F8"/>
    <w:rsid w:val="00B73864"/>
    <w:rsid w:val="00B80630"/>
    <w:rsid w:val="00B815FC"/>
    <w:rsid w:val="00B93FBC"/>
    <w:rsid w:val="00BA7DA0"/>
    <w:rsid w:val="00BB2EE4"/>
    <w:rsid w:val="00BB4C92"/>
    <w:rsid w:val="00BC2108"/>
    <w:rsid w:val="00BD0E9E"/>
    <w:rsid w:val="00BD1BEC"/>
    <w:rsid w:val="00BD32FF"/>
    <w:rsid w:val="00BE6997"/>
    <w:rsid w:val="00BF6FE9"/>
    <w:rsid w:val="00BF7E14"/>
    <w:rsid w:val="00C02092"/>
    <w:rsid w:val="00C24D91"/>
    <w:rsid w:val="00C26DB2"/>
    <w:rsid w:val="00C41260"/>
    <w:rsid w:val="00C52AB0"/>
    <w:rsid w:val="00C53F14"/>
    <w:rsid w:val="00C55D6B"/>
    <w:rsid w:val="00C600CF"/>
    <w:rsid w:val="00C6084F"/>
    <w:rsid w:val="00C61130"/>
    <w:rsid w:val="00C611AD"/>
    <w:rsid w:val="00C62A66"/>
    <w:rsid w:val="00C66359"/>
    <w:rsid w:val="00C71458"/>
    <w:rsid w:val="00C77613"/>
    <w:rsid w:val="00C819D9"/>
    <w:rsid w:val="00C822DD"/>
    <w:rsid w:val="00C828E7"/>
    <w:rsid w:val="00C86719"/>
    <w:rsid w:val="00C90281"/>
    <w:rsid w:val="00C921DD"/>
    <w:rsid w:val="00CA6391"/>
    <w:rsid w:val="00CC716D"/>
    <w:rsid w:val="00CE036E"/>
    <w:rsid w:val="00CE3171"/>
    <w:rsid w:val="00CE5483"/>
    <w:rsid w:val="00CF1601"/>
    <w:rsid w:val="00D0172F"/>
    <w:rsid w:val="00D01E33"/>
    <w:rsid w:val="00D068A7"/>
    <w:rsid w:val="00D17476"/>
    <w:rsid w:val="00D32086"/>
    <w:rsid w:val="00D37A3F"/>
    <w:rsid w:val="00D43450"/>
    <w:rsid w:val="00D4431D"/>
    <w:rsid w:val="00D4667A"/>
    <w:rsid w:val="00D63A1C"/>
    <w:rsid w:val="00D7516F"/>
    <w:rsid w:val="00D95F8E"/>
    <w:rsid w:val="00DA0590"/>
    <w:rsid w:val="00DA119B"/>
    <w:rsid w:val="00DC1739"/>
    <w:rsid w:val="00DC1788"/>
    <w:rsid w:val="00DC1F43"/>
    <w:rsid w:val="00DE319C"/>
    <w:rsid w:val="00DF0CA8"/>
    <w:rsid w:val="00DF2B48"/>
    <w:rsid w:val="00DF49A7"/>
    <w:rsid w:val="00DF6AC0"/>
    <w:rsid w:val="00E07EE2"/>
    <w:rsid w:val="00E07FD1"/>
    <w:rsid w:val="00E24573"/>
    <w:rsid w:val="00E25E1E"/>
    <w:rsid w:val="00E27EE7"/>
    <w:rsid w:val="00E35404"/>
    <w:rsid w:val="00E45109"/>
    <w:rsid w:val="00E460F9"/>
    <w:rsid w:val="00E47B7A"/>
    <w:rsid w:val="00E5647E"/>
    <w:rsid w:val="00E56A44"/>
    <w:rsid w:val="00E60269"/>
    <w:rsid w:val="00E611D8"/>
    <w:rsid w:val="00E97830"/>
    <w:rsid w:val="00EC1B3E"/>
    <w:rsid w:val="00ED0C6B"/>
    <w:rsid w:val="00EE0830"/>
    <w:rsid w:val="00EE6CB8"/>
    <w:rsid w:val="00EF0683"/>
    <w:rsid w:val="00EF1EED"/>
    <w:rsid w:val="00EF4A1B"/>
    <w:rsid w:val="00EF751A"/>
    <w:rsid w:val="00F0070C"/>
    <w:rsid w:val="00F00EB7"/>
    <w:rsid w:val="00F05ABD"/>
    <w:rsid w:val="00F36AB6"/>
    <w:rsid w:val="00F37A09"/>
    <w:rsid w:val="00F409CE"/>
    <w:rsid w:val="00F413BF"/>
    <w:rsid w:val="00F4379D"/>
    <w:rsid w:val="00F50D2D"/>
    <w:rsid w:val="00F56C8B"/>
    <w:rsid w:val="00F62639"/>
    <w:rsid w:val="00F66810"/>
    <w:rsid w:val="00F75BB0"/>
    <w:rsid w:val="00F84DF4"/>
    <w:rsid w:val="00F85C97"/>
    <w:rsid w:val="00F943E5"/>
    <w:rsid w:val="00FA4E20"/>
    <w:rsid w:val="00FB03ED"/>
    <w:rsid w:val="00FB37D2"/>
    <w:rsid w:val="00FC4EFB"/>
    <w:rsid w:val="00FD068D"/>
    <w:rsid w:val="00FD1D2B"/>
    <w:rsid w:val="00FD4F28"/>
    <w:rsid w:val="00FE6784"/>
    <w:rsid w:val="00FE7A8B"/>
    <w:rsid w:val="00FF29EF"/>
    <w:rsid w:val="00FF6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86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6086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6086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6086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6086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6086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6086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reportcitation">
    <w:name w:val="reportcitation"/>
    <w:basedOn w:val="DefaultParagraphFont"/>
    <w:rsid w:val="009A5E60"/>
  </w:style>
  <w:style w:type="character" w:customStyle="1" w:styleId="Heading3Char">
    <w:name w:val="Heading 3 Char"/>
    <w:basedOn w:val="DefaultParagraphFont"/>
    <w:link w:val="Heading3"/>
    <w:uiPriority w:val="9"/>
    <w:semiHidden/>
    <w:rsid w:val="0066086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6086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6086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6086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6086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6086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6086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6086B"/>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66086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6086B"/>
    <w:rPr>
      <w:b/>
      <w:sz w:val="24"/>
    </w:rPr>
  </w:style>
  <w:style w:type="table" w:styleId="TableGrid">
    <w:name w:val="Table Grid"/>
    <w:basedOn w:val="TableNormal"/>
    <w:uiPriority w:val="59"/>
    <w:rsid w:val="006608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6086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6086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6086B"/>
    <w:pPr>
      <w:tabs>
        <w:tab w:val="left" w:pos="1260"/>
      </w:tabs>
      <w:spacing w:after="480" w:line="480" w:lineRule="auto"/>
    </w:pPr>
    <w:rPr>
      <w:smallCaps/>
      <w:sz w:val="24"/>
    </w:rPr>
  </w:style>
  <w:style w:type="paragraph" w:customStyle="1" w:styleId="ParaNoNdepar-AltN">
    <w:name w:val="Para. No. / Nº de par. - Alt N"/>
    <w:qFormat/>
    <w:rsid w:val="0066086B"/>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66086B"/>
    <w:pPr>
      <w:keepNext/>
      <w:tabs>
        <w:tab w:val="left" w:pos="360"/>
      </w:tabs>
      <w:spacing w:after="720"/>
      <w:ind w:left="357" w:hanging="357"/>
      <w:jc w:val="both"/>
    </w:pPr>
    <w:rPr>
      <w:rFonts w:eastAsiaTheme="minorHAnsi" w:cstheme="minorBidi"/>
      <w:sz w:val="24"/>
      <w:szCs w:val="22"/>
      <w:lang w:eastAsia="en-US"/>
    </w:rPr>
  </w:style>
  <w:style w:type="paragraph" w:styleId="NoSpacing">
    <w:name w:val="No Spacing"/>
    <w:uiPriority w:val="1"/>
    <w:qFormat/>
    <w:rsid w:val="0066086B"/>
    <w:rPr>
      <w:rFonts w:eastAsiaTheme="minorHAnsi" w:cstheme="minorBidi"/>
      <w:sz w:val="24"/>
      <w:szCs w:val="22"/>
      <w:lang w:val="en-US" w:eastAsia="en-US" w:bidi="en-US"/>
    </w:rPr>
  </w:style>
  <w:style w:type="character" w:styleId="CommentReference">
    <w:name w:val="annotation reference"/>
    <w:basedOn w:val="DefaultParagraphFont"/>
    <w:uiPriority w:val="99"/>
    <w:semiHidden/>
    <w:unhideWhenUsed/>
    <w:rsid w:val="0066086B"/>
    <w:rPr>
      <w:sz w:val="16"/>
      <w:szCs w:val="16"/>
    </w:rPr>
  </w:style>
  <w:style w:type="paragraph" w:styleId="CommentText">
    <w:name w:val="annotation text"/>
    <w:basedOn w:val="Normal"/>
    <w:link w:val="CommentTextChar"/>
    <w:uiPriority w:val="99"/>
    <w:semiHidden/>
    <w:unhideWhenUsed/>
    <w:rsid w:val="0066086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66086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66086B"/>
    <w:rPr>
      <w:b/>
      <w:bCs/>
    </w:rPr>
  </w:style>
  <w:style w:type="character" w:customStyle="1" w:styleId="CommentSubjectChar">
    <w:name w:val="Comment Subject Char"/>
    <w:basedOn w:val="CommentTextChar"/>
    <w:link w:val="CommentSubject"/>
    <w:uiPriority w:val="99"/>
    <w:semiHidden/>
    <w:rsid w:val="0066086B"/>
    <w:rPr>
      <w:b/>
      <w:bCs/>
    </w:rPr>
  </w:style>
  <w:style w:type="paragraph" w:customStyle="1" w:styleId="HeadingTitre-AltH">
    <w:name w:val="Heading / Titre - Alt H"/>
    <w:next w:val="Normal"/>
    <w:uiPriority w:val="3"/>
    <w:rsid w:val="0066086B"/>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66086B"/>
    <w:rPr>
      <w:smallCaps/>
      <w:sz w:val="24"/>
    </w:rPr>
  </w:style>
  <w:style w:type="paragraph" w:styleId="TOCHeading">
    <w:name w:val="TOC Heading"/>
    <w:basedOn w:val="Heading1"/>
    <w:next w:val="Normal"/>
    <w:uiPriority w:val="39"/>
    <w:semiHidden/>
    <w:unhideWhenUsed/>
    <w:qFormat/>
    <w:rsid w:val="0066086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6086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6608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6086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66086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6086B"/>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66086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qFormat/>
    <w:rsid w:val="0066086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6086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66086B"/>
    <w:rPr>
      <w:i/>
      <w:iCs/>
      <w:color w:val="808080" w:themeColor="text1" w:themeTint="7F"/>
    </w:rPr>
  </w:style>
  <w:style w:type="character" w:styleId="IntenseEmphasis">
    <w:name w:val="Intense Emphasis"/>
    <w:basedOn w:val="DefaultParagraphFont"/>
    <w:uiPriority w:val="21"/>
    <w:qFormat/>
    <w:rsid w:val="0066086B"/>
    <w:rPr>
      <w:b/>
      <w:bCs/>
      <w:i/>
      <w:iCs/>
      <w:color w:val="4F81BD" w:themeColor="accent1"/>
    </w:rPr>
  </w:style>
  <w:style w:type="character" w:styleId="SubtleReference">
    <w:name w:val="Subtle Reference"/>
    <w:basedOn w:val="DefaultParagraphFont"/>
    <w:uiPriority w:val="31"/>
    <w:qFormat/>
    <w:rsid w:val="0066086B"/>
    <w:rPr>
      <w:smallCaps/>
      <w:color w:val="C0504D" w:themeColor="accent2"/>
      <w:u w:val="single"/>
    </w:rPr>
  </w:style>
  <w:style w:type="character" w:styleId="IntenseReference">
    <w:name w:val="Intense Reference"/>
    <w:basedOn w:val="DefaultParagraphFont"/>
    <w:uiPriority w:val="32"/>
    <w:qFormat/>
    <w:rsid w:val="0066086B"/>
    <w:rPr>
      <w:b/>
      <w:bCs/>
      <w:smallCaps/>
      <w:color w:val="C0504D" w:themeColor="accent2"/>
      <w:spacing w:val="5"/>
      <w:u w:val="single"/>
    </w:rPr>
  </w:style>
  <w:style w:type="character" w:styleId="BookTitle">
    <w:name w:val="Book Title"/>
    <w:basedOn w:val="DefaultParagraphFont"/>
    <w:uiPriority w:val="33"/>
    <w:qFormat/>
    <w:rsid w:val="0066086B"/>
    <w:rPr>
      <w:b/>
      <w:bCs/>
      <w:smallCaps/>
      <w:spacing w:val="5"/>
    </w:rPr>
  </w:style>
  <w:style w:type="paragraph" w:styleId="Revision">
    <w:name w:val="Revision"/>
    <w:hidden/>
    <w:uiPriority w:val="99"/>
    <w:semiHidden/>
    <w:rsid w:val="0066086B"/>
    <w:rPr>
      <w:rFonts w:eastAsiaTheme="minorHAnsi" w:cstheme="minorBidi"/>
      <w:sz w:val="24"/>
      <w:szCs w:val="22"/>
      <w:lang w:val="en-US" w:eastAsia="en-US" w:bidi="en-US"/>
    </w:rPr>
  </w:style>
  <w:style w:type="character" w:styleId="Hyperlink">
    <w:name w:val="Hyperlink"/>
    <w:basedOn w:val="DefaultParagraphFont"/>
    <w:uiPriority w:val="99"/>
    <w:unhideWhenUsed/>
    <w:rsid w:val="0066086B"/>
    <w:rPr>
      <w:color w:val="0000FF" w:themeColor="hyperlink"/>
      <w:u w:val="single"/>
    </w:rPr>
  </w:style>
  <w:style w:type="table" w:customStyle="1" w:styleId="TableGrid1">
    <w:name w:val="Table Grid1"/>
    <w:basedOn w:val="TableNormal"/>
    <w:next w:val="TableGrid"/>
    <w:uiPriority w:val="59"/>
    <w:rsid w:val="00772D7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4942</Words>
  <Characters>26798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2013-02-19T18:38:00Z</dcterms:created>
  <dcterms:modified xsi:type="dcterms:W3CDTF">2013-07-26T19:02:00Z</dcterms:modified>
</cp:coreProperties>
</file>