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41" w:rsidRDefault="006A7141" w:rsidP="006A7141"/>
    <w:p w:rsidR="006A7141" w:rsidRPr="005B4C3C" w:rsidRDefault="006A7141" w:rsidP="006A7141">
      <w:pPr>
        <w:tabs>
          <w:tab w:val="center" w:pos="4680"/>
          <w:tab w:val="right" w:pos="9360"/>
        </w:tabs>
        <w:jc w:val="center"/>
        <w:rPr>
          <w:rFonts w:eastAsiaTheme="minorHAnsi" w:cstheme="minorBidi"/>
          <w:szCs w:val="24"/>
          <w:lang w:eastAsia="en-US"/>
        </w:rPr>
      </w:pPr>
      <w:r w:rsidRPr="005B4C3C">
        <w:rPr>
          <w:rFonts w:eastAsiaTheme="minorHAnsi" w:cstheme="minorBidi"/>
          <w:szCs w:val="24"/>
          <w:lang w:eastAsia="en-US"/>
        </w:rP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64.8pt" o:ole="">
            <v:imagedata r:id="rId7" o:title=""/>
          </v:shape>
          <o:OLEObject Type="Embed" ProgID="Presentations.Drawing.13" ShapeID="_x0000_i1025" DrawAspect="Content" ObjectID="_1451396528" r:id="rId8"/>
        </w:object>
      </w:r>
    </w:p>
    <w:p w:rsidR="006A7141" w:rsidRPr="005B4C3C" w:rsidRDefault="006A7141" w:rsidP="006A7141">
      <w:pPr>
        <w:tabs>
          <w:tab w:val="center" w:pos="4680"/>
          <w:tab w:val="right" w:pos="9360"/>
        </w:tabs>
        <w:rPr>
          <w:rFonts w:eastAsiaTheme="minorHAnsi" w:cstheme="minorBidi"/>
          <w:szCs w:val="24"/>
          <w:lang w:eastAsia="en-US"/>
        </w:rPr>
      </w:pPr>
    </w:p>
    <w:p w:rsidR="006A7141" w:rsidRPr="005B4C3C" w:rsidRDefault="006A7141" w:rsidP="006A7141">
      <w:pPr>
        <w:jc w:val="center"/>
        <w:rPr>
          <w:rFonts w:eastAsiaTheme="minorHAnsi" w:cstheme="minorBidi"/>
          <w:b/>
          <w:szCs w:val="24"/>
          <w:lang w:eastAsia="en-US"/>
        </w:rPr>
      </w:pPr>
      <w:r w:rsidRPr="005B4C3C">
        <w:rPr>
          <w:rFonts w:eastAsiaTheme="minorHAnsi" w:cstheme="minorBidi"/>
          <w:b/>
          <w:szCs w:val="24"/>
          <w:lang w:eastAsia="en-US"/>
        </w:rPr>
        <w:t>COUR SUPRÊME DU CANADA</w:t>
      </w:r>
    </w:p>
    <w:p w:rsidR="006A7141" w:rsidRPr="005B4C3C" w:rsidRDefault="006A7141" w:rsidP="006A7141">
      <w:pPr>
        <w:rPr>
          <w:rFonts w:eastAsiaTheme="minorHAnsi" w:cstheme="minorBidi"/>
          <w:szCs w:val="24"/>
          <w:lang w:eastAsia="en-US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6A7141" w:rsidRPr="005B4C3C" w:rsidTr="000B6FC2">
        <w:trPr>
          <w:cantSplit/>
        </w:trPr>
        <w:tc>
          <w:tcPr>
            <w:tcW w:w="6768" w:type="dxa"/>
          </w:tcPr>
          <w:p w:rsidR="006A7141" w:rsidRPr="006A7141" w:rsidRDefault="006A7141" w:rsidP="000B6FC2">
            <w:pPr>
              <w:rPr>
                <w:lang w:val="fr-CA"/>
              </w:rPr>
            </w:pPr>
            <w:r w:rsidRPr="006A7141">
              <w:rPr>
                <w:b/>
                <w:smallCaps/>
                <w:lang w:val="fr-CA"/>
              </w:rPr>
              <w:t>Référence :</w:t>
            </w:r>
            <w:r w:rsidRPr="006A7141">
              <w:rPr>
                <w:lang w:val="fr-CA"/>
              </w:rPr>
              <w:t xml:space="preserve"> R. </w:t>
            </w:r>
            <w:r w:rsidRPr="006A7141">
              <w:rPr>
                <w:i/>
                <w:lang w:val="fr-CA"/>
              </w:rPr>
              <w:t>c.</w:t>
            </w:r>
            <w:r w:rsidRPr="006A7141">
              <w:rPr>
                <w:lang w:val="fr-CA"/>
              </w:rPr>
              <w:t xml:space="preserve"> Bélanger, 2013 CSC 7, [2013] 1 R.C.S. 401</w:t>
            </w:r>
          </w:p>
        </w:tc>
        <w:tc>
          <w:tcPr>
            <w:tcW w:w="2808" w:type="dxa"/>
          </w:tcPr>
          <w:p w:rsidR="006A7141" w:rsidRPr="005B4C3C" w:rsidRDefault="006A7141" w:rsidP="000B6FC2">
            <w:r w:rsidRPr="005B4C3C">
              <w:rPr>
                <w:b/>
                <w:smallCaps/>
              </w:rPr>
              <w:t>Date :</w:t>
            </w:r>
            <w:r>
              <w:t xml:space="preserve"> 20130212</w:t>
            </w:r>
          </w:p>
          <w:p w:rsidR="006A7141" w:rsidRPr="005B4C3C" w:rsidRDefault="006A7141" w:rsidP="000B6FC2">
            <w:r w:rsidRPr="005B4C3C">
              <w:rPr>
                <w:b/>
                <w:smallCaps/>
              </w:rPr>
              <w:t>Dossier :</w:t>
            </w:r>
            <w:r w:rsidRPr="005B4C3C">
              <w:t xml:space="preserve"> 34</w:t>
            </w:r>
            <w:r>
              <w:t>512</w:t>
            </w:r>
          </w:p>
        </w:tc>
      </w:tr>
    </w:tbl>
    <w:p w:rsidR="006A7141" w:rsidRPr="005B4C3C" w:rsidRDefault="006A7141" w:rsidP="006A7141">
      <w:pPr>
        <w:rPr>
          <w:rFonts w:eastAsiaTheme="minorHAnsi" w:cstheme="minorBidi"/>
          <w:szCs w:val="24"/>
          <w:lang w:eastAsia="en-US"/>
        </w:rPr>
      </w:pPr>
    </w:p>
    <w:p w:rsidR="006A7141" w:rsidRDefault="006A7141" w:rsidP="006A7141">
      <w:pPr>
        <w:rPr>
          <w:rFonts w:eastAsiaTheme="minorHAnsi" w:cstheme="minorBidi"/>
          <w:b/>
          <w:smallCaps/>
          <w:szCs w:val="24"/>
          <w:lang w:eastAsia="en-US"/>
        </w:rPr>
      </w:pPr>
      <w:proofErr w:type="gramStart"/>
      <w:r w:rsidRPr="005B4C3C">
        <w:rPr>
          <w:rFonts w:eastAsiaTheme="minorHAnsi" w:cstheme="minorBidi"/>
          <w:b/>
          <w:smallCaps/>
          <w:szCs w:val="24"/>
          <w:lang w:eastAsia="en-US"/>
        </w:rPr>
        <w:t>Entre :</w:t>
      </w:r>
      <w:proofErr w:type="gramEnd"/>
    </w:p>
    <w:p w:rsidR="006A7141" w:rsidRPr="006A7141" w:rsidRDefault="006A7141" w:rsidP="006A7141">
      <w:pPr>
        <w:jc w:val="center"/>
        <w:rPr>
          <w:rFonts w:eastAsiaTheme="minorHAnsi" w:cstheme="minorBidi"/>
          <w:b/>
          <w:smallCaps/>
          <w:szCs w:val="24"/>
          <w:lang w:val="fr-CA" w:eastAsia="en-US"/>
        </w:rPr>
      </w:pPr>
      <w:r w:rsidRPr="006A7141">
        <w:rPr>
          <w:rFonts w:eastAsiaTheme="minorHAnsi" w:cstheme="minorBidi"/>
          <w:b/>
          <w:szCs w:val="24"/>
          <w:lang w:val="fr-CA" w:eastAsia="en-US"/>
        </w:rPr>
        <w:t>Sa Majesté la Reine</w:t>
      </w:r>
    </w:p>
    <w:p w:rsidR="006A7141" w:rsidRPr="006A7141" w:rsidRDefault="006A7141" w:rsidP="006A7141">
      <w:pPr>
        <w:jc w:val="center"/>
        <w:rPr>
          <w:rFonts w:eastAsiaTheme="minorHAnsi" w:cstheme="minorBidi"/>
          <w:szCs w:val="24"/>
          <w:lang w:val="fr-CA" w:eastAsia="en-US"/>
        </w:rPr>
      </w:pPr>
      <w:r w:rsidRPr="006A7141">
        <w:rPr>
          <w:rFonts w:eastAsiaTheme="minorHAnsi" w:cstheme="minorBidi"/>
          <w:szCs w:val="24"/>
          <w:lang w:val="fr-CA" w:eastAsia="en-US"/>
        </w:rPr>
        <w:t>Appelante</w:t>
      </w:r>
    </w:p>
    <w:p w:rsidR="006A7141" w:rsidRPr="006A7141" w:rsidRDefault="006A7141" w:rsidP="006A7141">
      <w:pPr>
        <w:jc w:val="center"/>
        <w:rPr>
          <w:rFonts w:eastAsiaTheme="minorHAnsi" w:cstheme="minorBidi"/>
          <w:szCs w:val="24"/>
          <w:lang w:val="fr-CA" w:eastAsia="en-US"/>
        </w:rPr>
      </w:pPr>
      <w:proofErr w:type="gramStart"/>
      <w:r w:rsidRPr="006A7141">
        <w:rPr>
          <w:rFonts w:eastAsiaTheme="minorHAnsi" w:cstheme="minorBidi"/>
          <w:szCs w:val="24"/>
          <w:lang w:val="fr-CA" w:eastAsia="en-US"/>
        </w:rPr>
        <w:t>et</w:t>
      </w:r>
      <w:proofErr w:type="gramEnd"/>
    </w:p>
    <w:p w:rsidR="006A7141" w:rsidRPr="006A7141" w:rsidRDefault="006A7141" w:rsidP="006A7141">
      <w:pPr>
        <w:jc w:val="center"/>
        <w:rPr>
          <w:rFonts w:eastAsiaTheme="minorHAnsi" w:cstheme="minorBidi"/>
          <w:b/>
          <w:szCs w:val="24"/>
          <w:lang w:val="fr-CA" w:eastAsia="en-US"/>
        </w:rPr>
      </w:pPr>
      <w:r w:rsidRPr="006A7141">
        <w:rPr>
          <w:rFonts w:eastAsiaTheme="minorHAnsi" w:cstheme="minorBidi"/>
          <w:b/>
          <w:szCs w:val="24"/>
          <w:lang w:val="fr-CA" w:eastAsia="en-US"/>
        </w:rPr>
        <w:t>Frédérick Bélanger</w:t>
      </w:r>
    </w:p>
    <w:p w:rsidR="006A7141" w:rsidRPr="006A7141" w:rsidRDefault="006A7141" w:rsidP="006A7141">
      <w:pPr>
        <w:jc w:val="center"/>
        <w:rPr>
          <w:rFonts w:eastAsiaTheme="minorHAnsi" w:cstheme="minorBidi"/>
          <w:szCs w:val="24"/>
          <w:lang w:val="fr-CA" w:eastAsia="en-US"/>
        </w:rPr>
      </w:pPr>
      <w:r w:rsidRPr="006A7141">
        <w:rPr>
          <w:rFonts w:eastAsiaTheme="minorHAnsi" w:cstheme="minorBidi"/>
          <w:szCs w:val="24"/>
          <w:lang w:val="fr-CA" w:eastAsia="en-US"/>
        </w:rPr>
        <w:t>Intimé</w:t>
      </w:r>
    </w:p>
    <w:p w:rsidR="006A7141" w:rsidRPr="006A7141" w:rsidRDefault="006A7141" w:rsidP="006A7141">
      <w:pPr>
        <w:rPr>
          <w:rFonts w:eastAsiaTheme="minorHAnsi" w:cstheme="minorBidi"/>
          <w:szCs w:val="24"/>
          <w:lang w:val="fr-CA" w:eastAsia="en-US"/>
        </w:rPr>
      </w:pPr>
    </w:p>
    <w:p w:rsidR="006A7141" w:rsidRPr="006A7141" w:rsidRDefault="006A7141" w:rsidP="006A7141">
      <w:pPr>
        <w:rPr>
          <w:lang w:val="fr-CA"/>
        </w:rPr>
      </w:pPr>
    </w:p>
    <w:p w:rsidR="006A7141" w:rsidRPr="006A7141" w:rsidRDefault="006A7141" w:rsidP="006A7141">
      <w:pPr>
        <w:rPr>
          <w:rFonts w:eastAsiaTheme="minorHAnsi" w:cstheme="minorBidi"/>
          <w:szCs w:val="24"/>
          <w:lang w:val="fr-CA" w:eastAsia="en-US"/>
        </w:rPr>
      </w:pPr>
    </w:p>
    <w:p w:rsidR="006A7141" w:rsidRPr="006A7141" w:rsidRDefault="006A7141" w:rsidP="006A7141">
      <w:pPr>
        <w:rPr>
          <w:rFonts w:eastAsiaTheme="minorHAnsi" w:cstheme="minorBidi"/>
          <w:szCs w:val="24"/>
          <w:lang w:val="fr-CA" w:eastAsia="en-US"/>
        </w:rPr>
      </w:pPr>
      <w:r w:rsidRPr="006A7141">
        <w:rPr>
          <w:rFonts w:eastAsiaTheme="minorHAnsi" w:cstheme="minorBidi"/>
          <w:b/>
          <w:smallCaps/>
          <w:szCs w:val="24"/>
          <w:lang w:val="fr-CA" w:eastAsia="en-US"/>
        </w:rPr>
        <w:t>Coram :</w:t>
      </w:r>
      <w:r w:rsidRPr="006A7141">
        <w:rPr>
          <w:rFonts w:eastAsiaTheme="minorHAnsi" w:cstheme="minorBidi"/>
          <w:szCs w:val="24"/>
          <w:lang w:val="fr-CA" w:eastAsia="en-US"/>
        </w:rPr>
        <w:t xml:space="preserve"> </w:t>
      </w:r>
      <w:r w:rsidRPr="006A7141">
        <w:rPr>
          <w:lang w:val="fr-CA"/>
        </w:rPr>
        <w:t>La juge en chef McLachlin et les juges LeBel, Fish, Abella, Rothstein, Cromwell, Moldaver, Karakatsanis et Wagner</w:t>
      </w:r>
      <w:r>
        <w:rPr>
          <w:rFonts w:eastAsiaTheme="minorHAnsi" w:cstheme="minorBidi"/>
          <w:szCs w:val="24"/>
          <w:lang w:val="fr-FR" w:eastAsia="en-US"/>
        </w:rPr>
        <w:t>.</w:t>
      </w:r>
    </w:p>
    <w:p w:rsidR="006A7141" w:rsidRPr="006A7141" w:rsidRDefault="006A7141" w:rsidP="006A7141">
      <w:pPr>
        <w:rPr>
          <w:rFonts w:eastAsiaTheme="minorHAnsi" w:cstheme="minorBidi"/>
          <w:szCs w:val="24"/>
          <w:lang w:val="fr-CA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6A7141" w:rsidRPr="006A7141" w:rsidTr="000B6FC2">
        <w:trPr>
          <w:cantSplit/>
        </w:trPr>
        <w:tc>
          <w:tcPr>
            <w:tcW w:w="3618" w:type="dxa"/>
          </w:tcPr>
          <w:p w:rsidR="006A7141" w:rsidRPr="006A7141" w:rsidRDefault="006A7141" w:rsidP="000B6FC2">
            <w:pPr>
              <w:rPr>
                <w:b/>
                <w:smallCaps/>
                <w:lang w:val="fr-CA"/>
              </w:rPr>
            </w:pPr>
            <w:r w:rsidRPr="006A7141">
              <w:rPr>
                <w:b/>
                <w:smallCaps/>
                <w:lang w:val="fr-CA"/>
              </w:rPr>
              <w:t>Motifs de jugement :</w:t>
            </w:r>
          </w:p>
          <w:p w:rsidR="006A7141" w:rsidRPr="006A7141" w:rsidRDefault="006A7141" w:rsidP="000B6FC2">
            <w:pPr>
              <w:rPr>
                <w:lang w:val="fr-CA"/>
              </w:rPr>
            </w:pPr>
            <w:r w:rsidRPr="006A7141">
              <w:rPr>
                <w:lang w:val="fr-CA"/>
              </w:rPr>
              <w:t>(par. 1 à 6)</w:t>
            </w:r>
          </w:p>
          <w:p w:rsidR="006A7141" w:rsidRPr="006A7141" w:rsidRDefault="006A7141" w:rsidP="000B6FC2">
            <w:pPr>
              <w:rPr>
                <w:lang w:val="fr-CA"/>
              </w:rPr>
            </w:pPr>
          </w:p>
        </w:tc>
        <w:tc>
          <w:tcPr>
            <w:tcW w:w="5958" w:type="dxa"/>
          </w:tcPr>
          <w:p w:rsidR="006A7141" w:rsidRPr="006A7141" w:rsidRDefault="006A7141" w:rsidP="000B6FC2">
            <w:pPr>
              <w:rPr>
                <w:lang w:val="fr-CA"/>
              </w:rPr>
            </w:pPr>
            <w:r w:rsidRPr="006A7141">
              <w:rPr>
                <w:lang w:val="fr-CA"/>
              </w:rPr>
              <w:t>Le juge Wagner (avec l’accord de la juge en chef McLachlin et des juges</w:t>
            </w:r>
            <w:r w:rsidRPr="00527758">
              <w:rPr>
                <w:lang w:val="fr-FR"/>
              </w:rPr>
              <w:t xml:space="preserve"> </w:t>
            </w:r>
            <w:r w:rsidRPr="006A7141">
              <w:rPr>
                <w:lang w:val="fr-CA"/>
              </w:rPr>
              <w:t>LeBel, Fish, Abella, Rothstein, Cromwell, Moldaver et Karakatsanis)</w:t>
            </w:r>
          </w:p>
          <w:p w:rsidR="006A7141" w:rsidRPr="006A7141" w:rsidRDefault="006A7141" w:rsidP="000B6FC2">
            <w:pPr>
              <w:rPr>
                <w:lang w:val="fr-CA"/>
              </w:rPr>
            </w:pPr>
          </w:p>
        </w:tc>
      </w:tr>
    </w:tbl>
    <w:p w:rsidR="006A7141" w:rsidRPr="006A7141" w:rsidRDefault="006A7141" w:rsidP="006A7141">
      <w:pPr>
        <w:rPr>
          <w:rFonts w:eastAsiaTheme="minorHAnsi" w:cstheme="minorBidi"/>
          <w:szCs w:val="24"/>
          <w:lang w:val="fr-CA" w:eastAsia="en-US"/>
        </w:rPr>
      </w:pPr>
    </w:p>
    <w:p w:rsidR="006A7141" w:rsidRPr="006A7141" w:rsidRDefault="000D4A0F" w:rsidP="006A7141">
      <w:pPr>
        <w:rPr>
          <w:rFonts w:eastAsiaTheme="minorHAnsi" w:cstheme="minorBidi"/>
          <w:szCs w:val="24"/>
          <w:lang w:val="fr-CA" w:eastAsia="en-US"/>
        </w:rPr>
      </w:pPr>
      <w:r w:rsidRPr="000D4A0F">
        <w:rPr>
          <w:rFonts w:eastAsiaTheme="minorHAnsi" w:cstheme="minorBidi"/>
          <w:noProof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58240" o:connectortype="straight"/>
        </w:pict>
      </w:r>
    </w:p>
    <w:p w:rsidR="006A7141" w:rsidRPr="006A7141" w:rsidRDefault="006A7141" w:rsidP="006A7141">
      <w:pPr>
        <w:rPr>
          <w:smallCaps/>
          <w:lang w:val="fr-CA"/>
        </w:rPr>
      </w:pPr>
    </w:p>
    <w:p w:rsidR="006A7141" w:rsidRPr="006A7141" w:rsidRDefault="006A7141" w:rsidP="006A7141">
      <w:pPr>
        <w:rPr>
          <w:lang w:val="fr-CA"/>
        </w:rPr>
      </w:pPr>
    </w:p>
    <w:p w:rsidR="006A7141" w:rsidRDefault="006A7141">
      <w:pPr>
        <w:rPr>
          <w:lang w:val="fr-CA"/>
        </w:rPr>
      </w:pPr>
      <w:r>
        <w:rPr>
          <w:lang w:val="fr-CA"/>
        </w:rPr>
        <w:br w:type="page"/>
      </w:r>
    </w:p>
    <w:p w:rsidR="004D7D95" w:rsidRPr="00D440D2" w:rsidRDefault="00935731" w:rsidP="00E12EBF">
      <w:pPr>
        <w:spacing w:after="720"/>
        <w:jc w:val="both"/>
        <w:rPr>
          <w:lang w:val="fr-CA"/>
        </w:rPr>
      </w:pPr>
      <w:r w:rsidRPr="00935731">
        <w:rPr>
          <w:lang w:val="fr-CA"/>
        </w:rPr>
        <w:lastRenderedPageBreak/>
        <w:t xml:space="preserve">R. </w:t>
      </w:r>
      <w:r w:rsidRPr="00935731">
        <w:rPr>
          <w:i/>
          <w:lang w:val="fr-CA"/>
        </w:rPr>
        <w:t>c.</w:t>
      </w:r>
      <w:r w:rsidRPr="00935731">
        <w:rPr>
          <w:lang w:val="fr-CA"/>
        </w:rPr>
        <w:t xml:space="preserve"> Bélanger</w:t>
      </w:r>
      <w:r>
        <w:rPr>
          <w:lang w:val="fr-CA"/>
        </w:rPr>
        <w:t>, 2013 CSC 7, [2013] 1 R.C.S. 401</w:t>
      </w:r>
    </w:p>
    <w:p w:rsidR="00160C70" w:rsidRPr="00D440D2" w:rsidRDefault="00D440D2">
      <w:pPr>
        <w:pStyle w:val="SCCLsocLastPartyInRole"/>
        <w:rPr>
          <w:lang w:val="fr-CA"/>
        </w:rPr>
      </w:pPr>
      <w:r w:rsidRPr="00D440D2">
        <w:rPr>
          <w:lang w:val="fr-CA"/>
        </w:rPr>
        <w:t>Sa Majesté la Reine</w:t>
      </w:r>
      <w:r w:rsidRPr="00D440D2">
        <w:rPr>
          <w:rStyle w:val="SCCLsocPartyRole"/>
          <w:lang w:val="fr-CA"/>
        </w:rPr>
        <w:tab/>
        <w:t>Appelante</w:t>
      </w:r>
    </w:p>
    <w:p w:rsidR="00160C70" w:rsidRPr="00D440D2" w:rsidRDefault="00D440D2">
      <w:pPr>
        <w:pStyle w:val="SCCLsocVersus"/>
        <w:rPr>
          <w:lang w:val="fr-CA"/>
        </w:rPr>
      </w:pPr>
      <w:proofErr w:type="gramStart"/>
      <w:r w:rsidRPr="00D440D2">
        <w:rPr>
          <w:lang w:val="fr-CA"/>
        </w:rPr>
        <w:t>c</w:t>
      </w:r>
      <w:proofErr w:type="gramEnd"/>
      <w:r w:rsidRPr="00D440D2">
        <w:rPr>
          <w:lang w:val="fr-CA"/>
        </w:rPr>
        <w:t>.</w:t>
      </w:r>
    </w:p>
    <w:p w:rsidR="00160C70" w:rsidRPr="00D440D2" w:rsidRDefault="00D440D2">
      <w:pPr>
        <w:pStyle w:val="SCCLsocLastPartyInRole"/>
        <w:rPr>
          <w:lang w:val="fr-CA"/>
        </w:rPr>
      </w:pPr>
      <w:proofErr w:type="spellStart"/>
      <w:r w:rsidRPr="00D440D2">
        <w:rPr>
          <w:lang w:val="fr-CA"/>
        </w:rPr>
        <w:t>Frédérick</w:t>
      </w:r>
      <w:proofErr w:type="spellEnd"/>
      <w:r w:rsidRPr="00D440D2">
        <w:rPr>
          <w:lang w:val="fr-CA"/>
        </w:rPr>
        <w:t xml:space="preserve"> Bélanger</w:t>
      </w:r>
      <w:r w:rsidRPr="00D440D2">
        <w:rPr>
          <w:rStyle w:val="SCCLsocPartyRole"/>
          <w:lang w:val="fr-CA"/>
        </w:rPr>
        <w:tab/>
        <w:t>Intimé</w:t>
      </w: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Pr="00D440D2">
        <w:rPr>
          <w:rStyle w:val="SCCAppellantForIndexChar"/>
          <w:lang w:val="fr-CA"/>
        </w:rPr>
        <w:t>R.</w:t>
      </w:r>
      <w:r w:rsidRPr="00BB4C92">
        <w:rPr>
          <w:b/>
          <w:lang w:val="fr-CA"/>
        </w:rPr>
        <w:t xml:space="preserve"> </w:t>
      </w:r>
      <w:r w:rsidRPr="00BB4C92">
        <w:rPr>
          <w:b/>
          <w:i/>
          <w:lang w:val="fr-CA"/>
        </w:rPr>
        <w:t>c.</w:t>
      </w:r>
      <w:r w:rsidRPr="00BB4C92">
        <w:rPr>
          <w:b/>
          <w:lang w:val="fr-CA"/>
        </w:rPr>
        <w:t xml:space="preserve"> </w:t>
      </w:r>
      <w:r w:rsidRPr="00D440D2">
        <w:rPr>
          <w:rStyle w:val="SCCRespondentForIndexChar"/>
          <w:lang w:val="fr-CA"/>
        </w:rPr>
        <w:t>Bélanger</w:t>
      </w: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F62639" w:rsidP="004D7D95">
      <w:pPr>
        <w:pStyle w:val="SCCSystemYear"/>
        <w:jc w:val="both"/>
        <w:rPr>
          <w:lang w:val="fr-CA"/>
        </w:rPr>
      </w:pPr>
      <w:r w:rsidRPr="00D440D2">
        <w:rPr>
          <w:lang w:val="fr-CA"/>
        </w:rPr>
        <w:t>2013</w:t>
      </w:r>
      <w:r w:rsidR="004D7D95" w:rsidRPr="00D440D2">
        <w:rPr>
          <w:lang w:val="fr-CA"/>
        </w:rPr>
        <w:t xml:space="preserve"> CSC </w:t>
      </w:r>
      <w:r w:rsidR="00D440D2">
        <w:rPr>
          <w:lang w:val="fr-CA"/>
        </w:rPr>
        <w:t>7</w:t>
      </w: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  <w:r w:rsidRPr="00D440D2">
        <w:rPr>
          <w:lang w:val="fr-CA"/>
        </w:rPr>
        <w:t>N</w:t>
      </w:r>
      <w:r w:rsidRPr="00D440D2">
        <w:rPr>
          <w:vertAlign w:val="superscript"/>
          <w:lang w:val="fr-CA"/>
        </w:rPr>
        <w:t>o</w:t>
      </w:r>
      <w:r w:rsidRPr="00D440D2">
        <w:rPr>
          <w:lang w:val="fr-CA"/>
        </w:rPr>
        <w:t xml:space="preserve"> du greffe : 34512.</w:t>
      </w: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AD4640" w:rsidP="004D7D95">
      <w:pPr>
        <w:jc w:val="both"/>
        <w:rPr>
          <w:lang w:val="fr-CA"/>
        </w:rPr>
      </w:pPr>
      <w:r>
        <w:rPr>
          <w:lang w:val="fr-CA"/>
        </w:rPr>
        <w:t>2013 : 1</w:t>
      </w:r>
      <w:r w:rsidR="00354BCF">
        <w:rPr>
          <w:lang w:val="fr-CA"/>
        </w:rPr>
        <w:t>2 février</w:t>
      </w:r>
      <w:r w:rsidR="004D7D95" w:rsidRPr="00D440D2">
        <w:rPr>
          <w:lang w:val="fr-CA"/>
        </w:rPr>
        <w:t>.</w:t>
      </w: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D440D2" w:rsidRDefault="004D7D95" w:rsidP="004D7D95">
      <w:pPr>
        <w:jc w:val="both"/>
        <w:rPr>
          <w:lang w:val="fr-CA"/>
        </w:rPr>
      </w:pPr>
    </w:p>
    <w:p w:rsidR="004D7D95" w:rsidRPr="00FE559D" w:rsidRDefault="004D7D95" w:rsidP="00460FF0">
      <w:pPr>
        <w:spacing w:after="480"/>
        <w:jc w:val="both"/>
        <w:rPr>
          <w:lang w:val="fr-CA"/>
        </w:rPr>
      </w:pPr>
      <w:r w:rsidRPr="00FE559D">
        <w:rPr>
          <w:lang w:val="fr-CA"/>
        </w:rPr>
        <w:t xml:space="preserve">Présents : La juge en chef McLachlin et les juges </w:t>
      </w:r>
      <w:proofErr w:type="spellStart"/>
      <w:r w:rsidRPr="00FE559D">
        <w:rPr>
          <w:lang w:val="fr-CA"/>
        </w:rPr>
        <w:t>LeBel</w:t>
      </w:r>
      <w:proofErr w:type="spellEnd"/>
      <w:r w:rsidRPr="00FE559D">
        <w:rPr>
          <w:lang w:val="fr-CA"/>
        </w:rPr>
        <w:t xml:space="preserve">, Fish, Abella, </w:t>
      </w:r>
      <w:proofErr w:type="spellStart"/>
      <w:r w:rsidRPr="00FE559D">
        <w:rPr>
          <w:lang w:val="fr-CA"/>
        </w:rPr>
        <w:t>Rothstein</w:t>
      </w:r>
      <w:proofErr w:type="spellEnd"/>
      <w:r w:rsidRPr="00FE559D">
        <w:rPr>
          <w:lang w:val="fr-CA"/>
        </w:rPr>
        <w:t xml:space="preserve">, Cromwell, </w:t>
      </w:r>
      <w:proofErr w:type="spellStart"/>
      <w:r w:rsidRPr="00FE559D">
        <w:rPr>
          <w:lang w:val="fr-CA"/>
        </w:rPr>
        <w:t>Moldaver</w:t>
      </w:r>
      <w:proofErr w:type="spellEnd"/>
      <w:r w:rsidRPr="00FE559D">
        <w:rPr>
          <w:lang w:val="fr-CA"/>
        </w:rPr>
        <w:t xml:space="preserve">, </w:t>
      </w:r>
      <w:proofErr w:type="spellStart"/>
      <w:r w:rsidRPr="00FE559D">
        <w:rPr>
          <w:lang w:val="fr-CA"/>
        </w:rPr>
        <w:t>Karakatsanis</w:t>
      </w:r>
      <w:proofErr w:type="spellEnd"/>
      <w:r w:rsidRPr="00FE559D">
        <w:rPr>
          <w:lang w:val="fr-CA"/>
        </w:rPr>
        <w:t xml:space="preserve"> et Wagner.</w:t>
      </w:r>
    </w:p>
    <w:p w:rsidR="004D7D95" w:rsidRPr="00E9628D" w:rsidRDefault="004D7D95" w:rsidP="00460FF0">
      <w:pPr>
        <w:spacing w:after="480"/>
        <w:jc w:val="both"/>
        <w:rPr>
          <w:smallCaps/>
          <w:lang w:val="fr-CA"/>
        </w:rPr>
      </w:pPr>
      <w:r w:rsidRPr="00E9628D">
        <w:rPr>
          <w:smallCaps/>
          <w:lang w:val="fr-CA"/>
        </w:rPr>
        <w:t xml:space="preserve">en appel de la cour d’appel du </w:t>
      </w:r>
      <w:proofErr w:type="spellStart"/>
      <w:r w:rsidRPr="00E9628D">
        <w:rPr>
          <w:smallCaps/>
          <w:lang w:val="fr-CA"/>
        </w:rPr>
        <w:t>québec</w:t>
      </w:r>
      <w:proofErr w:type="spellEnd"/>
    </w:p>
    <w:p w:rsidR="004D7D95" w:rsidRPr="00BB4C92" w:rsidRDefault="004D7D95" w:rsidP="004D7D95">
      <w:pPr>
        <w:pStyle w:val="SCCNormalDoubleSpacing"/>
        <w:rPr>
          <w:lang w:val="fr-CA"/>
        </w:rPr>
      </w:pPr>
    </w:p>
    <w:p w:rsidR="004D7D95" w:rsidRDefault="004D7D95" w:rsidP="004D7D95">
      <w:pPr>
        <w:pStyle w:val="SCCNormalDoubleSpacing"/>
        <w:rPr>
          <w:i/>
          <w:lang w:val="fr-CA"/>
        </w:rPr>
      </w:pPr>
      <w:r w:rsidRPr="00BB4C92">
        <w:rPr>
          <w:lang w:val="fr-CA"/>
        </w:rPr>
        <w:tab/>
      </w:r>
      <w:r w:rsidR="00D85F2A">
        <w:rPr>
          <w:i/>
          <w:lang w:val="fr-CA"/>
        </w:rPr>
        <w:t>Droit criminel — Infractions —</w:t>
      </w:r>
      <w:r w:rsidR="00541DC3">
        <w:rPr>
          <w:i/>
          <w:lang w:val="fr-CA"/>
        </w:rPr>
        <w:t xml:space="preserve"> </w:t>
      </w:r>
      <w:r w:rsidR="001B612F">
        <w:rPr>
          <w:i/>
          <w:lang w:val="fr-CA"/>
        </w:rPr>
        <w:t xml:space="preserve">Conduite dangereuse </w:t>
      </w:r>
      <w:r w:rsidR="00D85F2A">
        <w:rPr>
          <w:i/>
          <w:lang w:val="fr-CA"/>
        </w:rPr>
        <w:t>—</w:t>
      </w:r>
      <w:r w:rsidR="001B612F">
        <w:rPr>
          <w:i/>
          <w:lang w:val="fr-CA"/>
        </w:rPr>
        <w:t xml:space="preserve"> </w:t>
      </w:r>
      <w:r w:rsidR="00D85F2A">
        <w:rPr>
          <w:i/>
          <w:lang w:val="fr-CA"/>
        </w:rPr>
        <w:t>Éléments de l’infraction —</w:t>
      </w:r>
      <w:r w:rsidR="00541DC3">
        <w:rPr>
          <w:i/>
          <w:lang w:val="fr-CA"/>
        </w:rPr>
        <w:t xml:space="preserve"> </w:t>
      </w:r>
      <w:r w:rsidR="000E1FEC">
        <w:rPr>
          <w:i/>
          <w:lang w:val="fr-CA"/>
        </w:rPr>
        <w:t>La j</w:t>
      </w:r>
      <w:r w:rsidR="001B612F">
        <w:rPr>
          <w:i/>
          <w:lang w:val="fr-CA"/>
        </w:rPr>
        <w:t xml:space="preserve">uge de première instance a tenu compte de tous les facteurs pertinents et n’a commis aucune erreur en concluant à la culpabilité de l’accusé. </w:t>
      </w:r>
    </w:p>
    <w:p w:rsidR="003633E9" w:rsidRDefault="003633E9" w:rsidP="004D7D95">
      <w:pPr>
        <w:pStyle w:val="SCCNormalDoubleSpacing"/>
        <w:spacing w:line="240" w:lineRule="auto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rPr>
          <w:b/>
          <w:lang w:val="fr-CA"/>
        </w:rPr>
      </w:pPr>
      <w:r w:rsidRPr="004D7D95">
        <w:rPr>
          <w:b/>
          <w:lang w:val="fr-CA"/>
        </w:rPr>
        <w:t>Lois et règlements cités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60FF0" w:rsidRDefault="00460FF0" w:rsidP="004D7D95">
      <w:pPr>
        <w:pStyle w:val="SCCNormalDoubleSpacing"/>
        <w:spacing w:line="240" w:lineRule="auto"/>
        <w:ind w:left="540" w:hanging="540"/>
        <w:rPr>
          <w:lang w:val="fr-CA"/>
        </w:rPr>
      </w:pPr>
      <w:r>
        <w:rPr>
          <w:i/>
          <w:lang w:val="fr-CA"/>
        </w:rPr>
        <w:t>Code criminel</w:t>
      </w:r>
      <w:r>
        <w:rPr>
          <w:lang w:val="fr-CA"/>
        </w:rPr>
        <w:t>,</w:t>
      </w:r>
      <w:r w:rsidR="00D85F2A">
        <w:rPr>
          <w:lang w:val="fr-CA"/>
        </w:rPr>
        <w:t xml:space="preserve"> L.R.C. 1985, ch. C-46,</w:t>
      </w:r>
      <w:r>
        <w:rPr>
          <w:lang w:val="fr-CA"/>
        </w:rPr>
        <w:t xml:space="preserve"> art. 249.</w:t>
      </w: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4D7D95" w:rsidP="004D7D95">
      <w:pPr>
        <w:pStyle w:val="SCCNormalDoubleSpacing"/>
        <w:spacing w:line="240" w:lineRule="auto"/>
        <w:ind w:left="540" w:hanging="540"/>
        <w:rPr>
          <w:lang w:val="fr-CA"/>
        </w:rPr>
      </w:pPr>
    </w:p>
    <w:p w:rsidR="004D7D95" w:rsidRPr="004D7D95" w:rsidRDefault="00874ED2" w:rsidP="00460FF0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4D7D95" w:rsidRPr="004D7D95">
        <w:rPr>
          <w:lang w:val="fr-CA"/>
        </w:rPr>
        <w:t xml:space="preserve">POURVOI contre un arrêt de la </w:t>
      </w:r>
      <w:r w:rsidR="00DF5464">
        <w:rPr>
          <w:lang w:val="fr-CA"/>
        </w:rPr>
        <w:t xml:space="preserve">Cour d’appel du Québec (les juges Brossard, Doyon et </w:t>
      </w:r>
      <w:proofErr w:type="spellStart"/>
      <w:r w:rsidR="00DF5464">
        <w:rPr>
          <w:lang w:val="fr-CA"/>
        </w:rPr>
        <w:t>Kasirer</w:t>
      </w:r>
      <w:proofErr w:type="spellEnd"/>
      <w:r w:rsidR="005C6F9C">
        <w:rPr>
          <w:lang w:val="fr-CA"/>
        </w:rPr>
        <w:t>)</w:t>
      </w:r>
      <w:r w:rsidR="00DF5464">
        <w:rPr>
          <w:lang w:val="fr-CA"/>
        </w:rPr>
        <w:t xml:space="preserve">, </w:t>
      </w:r>
      <w:r w:rsidR="00DF5464" w:rsidRPr="00DF5464">
        <w:rPr>
          <w:lang w:val="fr-CA"/>
        </w:rPr>
        <w:t xml:space="preserve">2011 QCCA 1598, </w:t>
      </w:r>
      <w:r w:rsidR="00D85F2A">
        <w:rPr>
          <w:lang w:val="fr-CA"/>
        </w:rPr>
        <w:t>SOQUIJ AZ-50784910</w:t>
      </w:r>
      <w:r w:rsidR="00DF5464" w:rsidRPr="00DF5464">
        <w:rPr>
          <w:lang w:val="fr-CA"/>
        </w:rPr>
        <w:t xml:space="preserve">, </w:t>
      </w:r>
      <w:r w:rsidR="00162C4A" w:rsidRPr="00DF5464">
        <w:rPr>
          <w:lang w:val="fr-CA"/>
        </w:rPr>
        <w:t xml:space="preserve">[2011] </w:t>
      </w:r>
      <w:r w:rsidR="00162C4A">
        <w:rPr>
          <w:lang w:val="fr-CA"/>
        </w:rPr>
        <w:t>J.Q. n</w:t>
      </w:r>
      <w:r w:rsidR="00162C4A" w:rsidRPr="00DF5464">
        <w:rPr>
          <w:vertAlign w:val="superscript"/>
          <w:lang w:val="fr-CA"/>
        </w:rPr>
        <w:t>o</w:t>
      </w:r>
      <w:r w:rsidR="00162C4A" w:rsidRPr="00DF5464">
        <w:rPr>
          <w:lang w:val="fr-CA"/>
        </w:rPr>
        <w:t xml:space="preserve"> 12012, </w:t>
      </w:r>
      <w:r w:rsidR="00DF5464" w:rsidRPr="00DF5464">
        <w:rPr>
          <w:lang w:val="fr-CA"/>
        </w:rPr>
        <w:t xml:space="preserve">2011 </w:t>
      </w:r>
      <w:proofErr w:type="spellStart"/>
      <w:r w:rsidR="00DF5464" w:rsidRPr="00DF5464">
        <w:rPr>
          <w:lang w:val="fr-CA"/>
        </w:rPr>
        <w:t>CarswellQue</w:t>
      </w:r>
      <w:proofErr w:type="spellEnd"/>
      <w:r w:rsidR="00DF5464" w:rsidRPr="00DF5464">
        <w:rPr>
          <w:lang w:val="fr-CA"/>
        </w:rPr>
        <w:t xml:space="preserve"> </w:t>
      </w:r>
      <w:r w:rsidR="003A1A3D">
        <w:rPr>
          <w:lang w:val="fr-CA"/>
        </w:rPr>
        <w:t xml:space="preserve">9655, </w:t>
      </w:r>
      <w:r w:rsidR="00162C4A">
        <w:rPr>
          <w:lang w:val="fr-CA"/>
        </w:rPr>
        <w:t xml:space="preserve">qui a </w:t>
      </w:r>
      <w:r w:rsidR="003633E9">
        <w:rPr>
          <w:lang w:val="fr-CA"/>
        </w:rPr>
        <w:t xml:space="preserve">annulé la déclaration de culpabilité de conduite dangereuse inscrite par </w:t>
      </w:r>
      <w:r w:rsidR="00162C4A">
        <w:rPr>
          <w:lang w:val="fr-CA"/>
        </w:rPr>
        <w:t xml:space="preserve">la juge Aubry, 2010 QCCQ 13775, </w:t>
      </w:r>
      <w:r w:rsidR="00C4062D">
        <w:rPr>
          <w:lang w:val="fr-CA"/>
        </w:rPr>
        <w:t xml:space="preserve">SOQUIJ AZ-50721988, </w:t>
      </w:r>
      <w:r w:rsidR="00162C4A">
        <w:rPr>
          <w:lang w:val="fr-CA"/>
        </w:rPr>
        <w:t>[2010] J.Q. n</w:t>
      </w:r>
      <w:r w:rsidR="00162C4A" w:rsidRPr="00162C4A">
        <w:rPr>
          <w:vertAlign w:val="superscript"/>
          <w:lang w:val="fr-CA"/>
        </w:rPr>
        <w:t>o</w:t>
      </w:r>
      <w:r w:rsidR="00162C4A">
        <w:rPr>
          <w:lang w:val="fr-CA"/>
        </w:rPr>
        <w:t xml:space="preserve"> 24271, 2010 </w:t>
      </w:r>
      <w:proofErr w:type="spellStart"/>
      <w:r w:rsidR="00162C4A">
        <w:rPr>
          <w:lang w:val="fr-CA"/>
        </w:rPr>
        <w:t>CarswellQue</w:t>
      </w:r>
      <w:proofErr w:type="spellEnd"/>
      <w:r w:rsidR="00162C4A">
        <w:rPr>
          <w:lang w:val="fr-CA"/>
        </w:rPr>
        <w:t xml:space="preserve"> 15068</w:t>
      </w:r>
      <w:r w:rsidR="00DF5464">
        <w:rPr>
          <w:lang w:val="fr-CA"/>
        </w:rPr>
        <w:t>.</w:t>
      </w:r>
      <w:r w:rsidR="00162C4A">
        <w:rPr>
          <w:lang w:val="fr-CA"/>
        </w:rPr>
        <w:t xml:space="preserve"> Pourvoi </w:t>
      </w:r>
      <w:r>
        <w:rPr>
          <w:lang w:val="fr-CA"/>
        </w:rPr>
        <w:t>accueilli</w:t>
      </w:r>
      <w:r w:rsidR="00162C4A">
        <w:rPr>
          <w:lang w:val="fr-CA"/>
        </w:rPr>
        <w:t>.</w:t>
      </w:r>
    </w:p>
    <w:p w:rsidR="00160C70" w:rsidRPr="00D440D2" w:rsidRDefault="00D440D2" w:rsidP="00460FF0">
      <w:pPr>
        <w:pStyle w:val="SCCNormalDoubleSpacing"/>
        <w:spacing w:after="480"/>
        <w:rPr>
          <w:lang w:val="fr-CA"/>
        </w:rPr>
      </w:pPr>
      <w:r w:rsidRPr="00D440D2">
        <w:rPr>
          <w:rStyle w:val="SCCCounselNameChar"/>
          <w:lang w:val="fr-CA"/>
        </w:rPr>
        <w:tab/>
        <w:t>Robin Tremblay</w:t>
      </w:r>
      <w:r w:rsidRPr="00D440D2">
        <w:rPr>
          <w:rStyle w:val="SCCCounselSeparatorChar"/>
          <w:lang w:val="fr-CA"/>
        </w:rPr>
        <w:t xml:space="preserve"> et </w:t>
      </w:r>
      <w:r w:rsidRPr="00D440D2">
        <w:rPr>
          <w:rStyle w:val="SCCCounselNameChar"/>
          <w:lang w:val="fr-CA"/>
        </w:rPr>
        <w:t>Guy Loisel</w:t>
      </w:r>
      <w:r w:rsidRPr="00D440D2">
        <w:rPr>
          <w:rStyle w:val="SCCCounselPartyRoleChar"/>
          <w:lang w:val="fr-CA"/>
        </w:rPr>
        <w:t>, pour l'appelante.</w:t>
      </w:r>
    </w:p>
    <w:p w:rsidR="00160C70" w:rsidRPr="00D440D2" w:rsidRDefault="00D440D2" w:rsidP="00460FF0">
      <w:pPr>
        <w:pStyle w:val="SCCNormalDoubleSpacing"/>
        <w:spacing w:after="480"/>
        <w:rPr>
          <w:lang w:val="fr-CA"/>
        </w:rPr>
      </w:pPr>
      <w:r w:rsidRPr="00D440D2">
        <w:rPr>
          <w:rStyle w:val="SCCCounselNameChar"/>
          <w:lang w:val="fr-CA"/>
        </w:rPr>
        <w:tab/>
        <w:t>Jean-Claude Dufour</w:t>
      </w:r>
      <w:r w:rsidRPr="00D440D2">
        <w:rPr>
          <w:rStyle w:val="SCCCounselSeparatorChar"/>
          <w:lang w:val="fr-CA"/>
        </w:rPr>
        <w:t xml:space="preserve"> et </w:t>
      </w:r>
      <w:r w:rsidRPr="00D440D2">
        <w:rPr>
          <w:rStyle w:val="SCCCounselNameChar"/>
          <w:lang w:val="fr-CA"/>
        </w:rPr>
        <w:t>Patrick Jacques</w:t>
      </w:r>
      <w:r w:rsidRPr="00D440D2">
        <w:rPr>
          <w:rStyle w:val="SCCCounselPartyRoleChar"/>
          <w:lang w:val="fr-CA"/>
        </w:rPr>
        <w:t>, pour l'intimé.</w:t>
      </w:r>
    </w:p>
    <w:p w:rsidR="00160C70" w:rsidRDefault="00460FF0" w:rsidP="00460FF0">
      <w:pPr>
        <w:pStyle w:val="SCCNormalDoubleSpacing"/>
        <w:spacing w:after="480"/>
        <w:rPr>
          <w:lang w:val="fr-CA"/>
        </w:rPr>
      </w:pPr>
      <w:r>
        <w:rPr>
          <w:lang w:val="fr-CA"/>
        </w:rPr>
        <w:tab/>
      </w:r>
      <w:r w:rsidR="00CE1010">
        <w:rPr>
          <w:lang w:val="fr-CA"/>
        </w:rPr>
        <w:t xml:space="preserve">Le jugement de la Cour a été rendu oralement </w:t>
      </w:r>
      <w:r>
        <w:rPr>
          <w:lang w:val="fr-CA"/>
        </w:rPr>
        <w:t>par</w:t>
      </w:r>
    </w:p>
    <w:p w:rsidR="00460FF0" w:rsidRDefault="00AE4852" w:rsidP="00460FF0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smallCaps/>
          <w:lang w:val="fr-CA"/>
        </w:rPr>
        <w:t>Le juge Wagner </w:t>
      </w:r>
      <w:r w:rsidRPr="00460FF0">
        <w:rPr>
          <w:lang w:val="fr-CA"/>
        </w:rPr>
        <w:t xml:space="preserve">— </w:t>
      </w:r>
      <w:r w:rsidR="00460FF0" w:rsidRPr="00460FF0">
        <w:rPr>
          <w:lang w:val="fr-CA"/>
        </w:rPr>
        <w:t xml:space="preserve">Le ministère public se pourvoit à l’encontre d’un arrêt de la Cour d’appel du Québec qui a infirmé le jugement de première instance et acquitté l’intimé de l’infraction d’avoir conduit son véhicule à moteur de façon dangereuse et d’avoir causé ainsi des lésions corporelles à Michel Bisson et la mort de Michel Rostand, le tout en contravention de l’art. 249 du </w:t>
      </w:r>
      <w:r w:rsidR="00460FF0" w:rsidRPr="00460FF0">
        <w:rPr>
          <w:i/>
          <w:lang w:val="fr-CA"/>
        </w:rPr>
        <w:t>Code criminel</w:t>
      </w:r>
      <w:r w:rsidR="009B2D6B" w:rsidRPr="009B2D6B">
        <w:rPr>
          <w:lang w:val="fr-CA"/>
        </w:rPr>
        <w:t>, L.R.C. 1985, ch. C-46</w:t>
      </w:r>
      <w:r w:rsidR="00460FF0" w:rsidRPr="00460FF0">
        <w:rPr>
          <w:lang w:val="fr-CA"/>
        </w:rPr>
        <w:t>.</w:t>
      </w:r>
    </w:p>
    <w:p w:rsidR="00AE4852" w:rsidRDefault="00AE4852" w:rsidP="00AE4852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lang w:val="fr-CA"/>
        </w:rPr>
        <w:lastRenderedPageBreak/>
        <w:t>Il est acquis que le dépassement sur une ligne double ne suffit pas en soi pour établir la responsabilité criminelle de l’intimé sans appréciation de toutes les circonstances de l’espèce.</w:t>
      </w:r>
    </w:p>
    <w:p w:rsidR="00AE4852" w:rsidRDefault="00AE4852" w:rsidP="00AE4852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lang w:val="fr-CA"/>
        </w:rPr>
        <w:t>La juge de première instance n’a commis aucune erreur déterminante en concluant à la culpabilité de l’intimé.</w:t>
      </w:r>
    </w:p>
    <w:p w:rsidR="00AE4852" w:rsidRDefault="00AE4852" w:rsidP="00AE4852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lang w:val="fr-CA"/>
        </w:rPr>
        <w:t>Elle a tenu compte des facteurs pertinents et de toutes les circonstances.</w:t>
      </w:r>
    </w:p>
    <w:p w:rsidR="00AE4852" w:rsidRDefault="00AE4852" w:rsidP="00AE4852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lang w:val="fr-CA"/>
        </w:rPr>
        <w:t>En conséquence, la Cour d’appel n’était pas justifiée d’intervenir.</w:t>
      </w:r>
    </w:p>
    <w:p w:rsidR="00AE4852" w:rsidRPr="00460FF0" w:rsidRDefault="00AE4852" w:rsidP="00460FF0">
      <w:pPr>
        <w:pStyle w:val="ListParagraph"/>
        <w:numPr>
          <w:ilvl w:val="0"/>
          <w:numId w:val="1"/>
        </w:numPr>
        <w:tabs>
          <w:tab w:val="left" w:pos="1134"/>
        </w:tabs>
        <w:spacing w:after="480" w:line="480" w:lineRule="auto"/>
        <w:ind w:left="0" w:firstLine="0"/>
        <w:contextualSpacing w:val="0"/>
        <w:jc w:val="both"/>
        <w:rPr>
          <w:lang w:val="fr-CA"/>
        </w:rPr>
      </w:pPr>
      <w:r w:rsidRPr="00460FF0">
        <w:rPr>
          <w:lang w:val="fr-CA"/>
        </w:rPr>
        <w:t>Pour ces motifs, l’appel est accueilli. L’arrêt de la Cour d’appel du Québec daté du 8 septembre 2011 est infirmé, le jugement de la Cour du Québec daté du 14 septembre 2010 est rétabli et le dossier est renvoyé à la Cour du Québec du district judiciaire de Baie-Comeau pour les plaidoiries sur la peine.</w:t>
      </w:r>
    </w:p>
    <w:p w:rsidR="00AE4852" w:rsidRPr="00460FF0" w:rsidRDefault="00CE1010" w:rsidP="00460FF0">
      <w:pPr>
        <w:pStyle w:val="SCCNormalDoubleSpacing"/>
        <w:spacing w:after="480"/>
        <w:rPr>
          <w:i/>
          <w:lang w:val="fr-CA"/>
        </w:rPr>
      </w:pPr>
      <w:r>
        <w:rPr>
          <w:i/>
          <w:lang w:val="fr-CA"/>
        </w:rPr>
        <w:tab/>
        <w:t>Jugement en conséquence.</w:t>
      </w:r>
    </w:p>
    <w:p w:rsidR="00160C70" w:rsidRPr="00D440D2" w:rsidRDefault="00D440D2" w:rsidP="00460FF0">
      <w:pPr>
        <w:pStyle w:val="SCCLawFirm"/>
        <w:spacing w:after="480"/>
        <w:rPr>
          <w:lang w:val="fr-CA"/>
        </w:rPr>
      </w:pPr>
      <w:r w:rsidRPr="00D440D2">
        <w:rPr>
          <w:lang w:val="fr-CA"/>
        </w:rPr>
        <w:tab/>
        <w:t>Procureur</w:t>
      </w:r>
      <w:r w:rsidR="00E9628D">
        <w:rPr>
          <w:lang w:val="fr-CA"/>
        </w:rPr>
        <w:t xml:space="preserve"> </w:t>
      </w:r>
      <w:r w:rsidRPr="00D440D2">
        <w:rPr>
          <w:lang w:val="fr-CA"/>
        </w:rPr>
        <w:t>de l'appelante : Poursuites criminelles et pénales du Québec, Baie-Comeau.</w:t>
      </w:r>
    </w:p>
    <w:p w:rsidR="00160C70" w:rsidRPr="00D440D2" w:rsidRDefault="00D440D2">
      <w:pPr>
        <w:pStyle w:val="SCCLawFirm"/>
        <w:rPr>
          <w:lang w:val="fr-CA"/>
        </w:rPr>
      </w:pPr>
      <w:r w:rsidRPr="00D440D2">
        <w:rPr>
          <w:lang w:val="fr-CA"/>
        </w:rPr>
        <w:tab/>
        <w:t>Procureur de l'intimé : Jean-Claude Dufour, Baie-Comeau.</w:t>
      </w:r>
    </w:p>
    <w:sectPr w:rsidR="00160C70" w:rsidRPr="00D440D2" w:rsidSect="00D05C1A">
      <w:headerReference w:type="default" r:id="rId9"/>
      <w:footerReference w:type="first" r:id="rId10"/>
      <w:type w:val="continuous"/>
      <w:pgSz w:w="12240" w:h="15840" w:code="1"/>
      <w:pgMar w:top="1267" w:right="2160" w:bottom="720" w:left="180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1A" w:rsidRDefault="0042541A">
      <w:r>
        <w:separator/>
      </w:r>
    </w:p>
  </w:endnote>
  <w:endnote w:type="continuationSeparator" w:id="0">
    <w:p w:rsidR="0042541A" w:rsidRDefault="0042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1A" w:rsidRDefault="00D05C1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1A" w:rsidRDefault="0042541A">
      <w:r>
        <w:separator/>
      </w:r>
    </w:p>
  </w:footnote>
  <w:footnote w:type="continuationSeparator" w:id="0">
    <w:p w:rsidR="0042541A" w:rsidRDefault="0042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995"/>
      <w:docPartObj>
        <w:docPartGallery w:val="Page Numbers (Top of Page)"/>
        <w:docPartUnique/>
      </w:docPartObj>
    </w:sdtPr>
    <w:sdtContent>
      <w:p w:rsidR="00D05C1A" w:rsidRDefault="00D05C1A">
        <w:pPr>
          <w:pStyle w:val="Header"/>
          <w:jc w:val="center"/>
        </w:pPr>
        <w:r>
          <w:t xml:space="preserve">- </w:t>
        </w:r>
        <w:fldSimple w:instr=" PAGE   \* MERGEFORMAT ">
          <w:r w:rsidR="00B0788E">
            <w:rPr>
              <w:noProof/>
            </w:rPr>
            <w:t>2</w:t>
          </w:r>
        </w:fldSimple>
        <w:r>
          <w:t xml:space="preserve"> -</w:t>
        </w:r>
      </w:p>
    </w:sdtContent>
  </w:sdt>
  <w:p w:rsidR="00D05C1A" w:rsidRDefault="00D05C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A5F"/>
    <w:multiLevelType w:val="hybridMultilevel"/>
    <w:tmpl w:val="F4027CF6"/>
    <w:lvl w:ilvl="0" w:tplc="A27278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31414C"/>
    <w:rsid w:val="00000ED4"/>
    <w:rsid w:val="00023FC7"/>
    <w:rsid w:val="00025198"/>
    <w:rsid w:val="0004722E"/>
    <w:rsid w:val="000578A3"/>
    <w:rsid w:val="000648CC"/>
    <w:rsid w:val="000C59B8"/>
    <w:rsid w:val="000C6AF0"/>
    <w:rsid w:val="000D0A77"/>
    <w:rsid w:val="000D4A0F"/>
    <w:rsid w:val="000E1FEC"/>
    <w:rsid w:val="000F7993"/>
    <w:rsid w:val="00104F33"/>
    <w:rsid w:val="00111DE2"/>
    <w:rsid w:val="00116B38"/>
    <w:rsid w:val="00135406"/>
    <w:rsid w:val="00135972"/>
    <w:rsid w:val="001426A9"/>
    <w:rsid w:val="00150204"/>
    <w:rsid w:val="00154D7C"/>
    <w:rsid w:val="001570B0"/>
    <w:rsid w:val="0015752C"/>
    <w:rsid w:val="00157737"/>
    <w:rsid w:val="00160C70"/>
    <w:rsid w:val="00162C4A"/>
    <w:rsid w:val="00165277"/>
    <w:rsid w:val="00170592"/>
    <w:rsid w:val="001720F7"/>
    <w:rsid w:val="00195D83"/>
    <w:rsid w:val="001A00C1"/>
    <w:rsid w:val="001B33E0"/>
    <w:rsid w:val="001B4573"/>
    <w:rsid w:val="001B612F"/>
    <w:rsid w:val="001C779F"/>
    <w:rsid w:val="001D1FA1"/>
    <w:rsid w:val="001D2AC1"/>
    <w:rsid w:val="001D4E88"/>
    <w:rsid w:val="00220FC2"/>
    <w:rsid w:val="0022140B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B6FBE"/>
    <w:rsid w:val="002B7924"/>
    <w:rsid w:val="002C10A6"/>
    <w:rsid w:val="002D28C3"/>
    <w:rsid w:val="002D39A4"/>
    <w:rsid w:val="002E2AEE"/>
    <w:rsid w:val="002E6705"/>
    <w:rsid w:val="0030329A"/>
    <w:rsid w:val="0031086F"/>
    <w:rsid w:val="0031414C"/>
    <w:rsid w:val="00314E01"/>
    <w:rsid w:val="0032089D"/>
    <w:rsid w:val="003310DE"/>
    <w:rsid w:val="003323B0"/>
    <w:rsid w:val="00340A49"/>
    <w:rsid w:val="0035169A"/>
    <w:rsid w:val="0035259D"/>
    <w:rsid w:val="00354BCF"/>
    <w:rsid w:val="00355633"/>
    <w:rsid w:val="003633E9"/>
    <w:rsid w:val="00364B18"/>
    <w:rsid w:val="003A125D"/>
    <w:rsid w:val="003A1A3D"/>
    <w:rsid w:val="003A4C70"/>
    <w:rsid w:val="003B215F"/>
    <w:rsid w:val="003C5391"/>
    <w:rsid w:val="003C799C"/>
    <w:rsid w:val="003D0399"/>
    <w:rsid w:val="003E1C71"/>
    <w:rsid w:val="003F327B"/>
    <w:rsid w:val="00406166"/>
    <w:rsid w:val="0040704B"/>
    <w:rsid w:val="00410A55"/>
    <w:rsid w:val="00411300"/>
    <w:rsid w:val="00413F17"/>
    <w:rsid w:val="00415417"/>
    <w:rsid w:val="0042541A"/>
    <w:rsid w:val="00426659"/>
    <w:rsid w:val="00450352"/>
    <w:rsid w:val="00454BDB"/>
    <w:rsid w:val="00460FF0"/>
    <w:rsid w:val="00465132"/>
    <w:rsid w:val="00480C90"/>
    <w:rsid w:val="0048396F"/>
    <w:rsid w:val="00493C18"/>
    <w:rsid w:val="004A600C"/>
    <w:rsid w:val="004A6118"/>
    <w:rsid w:val="004C478D"/>
    <w:rsid w:val="004C6DAB"/>
    <w:rsid w:val="004D7D95"/>
    <w:rsid w:val="004E2C26"/>
    <w:rsid w:val="005125A8"/>
    <w:rsid w:val="00517549"/>
    <w:rsid w:val="00520ABC"/>
    <w:rsid w:val="00521AE8"/>
    <w:rsid w:val="00526E46"/>
    <w:rsid w:val="00527180"/>
    <w:rsid w:val="00541DC3"/>
    <w:rsid w:val="00555291"/>
    <w:rsid w:val="00566AD1"/>
    <w:rsid w:val="00583EDE"/>
    <w:rsid w:val="005A6079"/>
    <w:rsid w:val="005C6F9C"/>
    <w:rsid w:val="005E4698"/>
    <w:rsid w:val="00600711"/>
    <w:rsid w:val="00603924"/>
    <w:rsid w:val="00610539"/>
    <w:rsid w:val="00613969"/>
    <w:rsid w:val="00625C35"/>
    <w:rsid w:val="00631C3C"/>
    <w:rsid w:val="006342E3"/>
    <w:rsid w:val="00647E49"/>
    <w:rsid w:val="00653266"/>
    <w:rsid w:val="00656313"/>
    <w:rsid w:val="006565F4"/>
    <w:rsid w:val="00684EEA"/>
    <w:rsid w:val="0069689B"/>
    <w:rsid w:val="006A7141"/>
    <w:rsid w:val="006B5FF5"/>
    <w:rsid w:val="006C00CC"/>
    <w:rsid w:val="006F30AF"/>
    <w:rsid w:val="006F3736"/>
    <w:rsid w:val="00701759"/>
    <w:rsid w:val="00705C15"/>
    <w:rsid w:val="007110F6"/>
    <w:rsid w:val="00711BF2"/>
    <w:rsid w:val="007208D1"/>
    <w:rsid w:val="00744518"/>
    <w:rsid w:val="00747288"/>
    <w:rsid w:val="00747DD3"/>
    <w:rsid w:val="007549C8"/>
    <w:rsid w:val="00766D14"/>
    <w:rsid w:val="00767A0F"/>
    <w:rsid w:val="00791272"/>
    <w:rsid w:val="007A05F6"/>
    <w:rsid w:val="007B6F4A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74914"/>
    <w:rsid w:val="00874ED2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42D6"/>
    <w:rsid w:val="00935218"/>
    <w:rsid w:val="00935731"/>
    <w:rsid w:val="00935969"/>
    <w:rsid w:val="00937C52"/>
    <w:rsid w:val="009403F3"/>
    <w:rsid w:val="0094147D"/>
    <w:rsid w:val="009555B7"/>
    <w:rsid w:val="009567AA"/>
    <w:rsid w:val="009602C9"/>
    <w:rsid w:val="00967374"/>
    <w:rsid w:val="009A343A"/>
    <w:rsid w:val="009B2D6B"/>
    <w:rsid w:val="009B2F23"/>
    <w:rsid w:val="009B57B3"/>
    <w:rsid w:val="009D2920"/>
    <w:rsid w:val="009D5AEB"/>
    <w:rsid w:val="009F0E33"/>
    <w:rsid w:val="00A10238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73C38"/>
    <w:rsid w:val="00AB670D"/>
    <w:rsid w:val="00AC24A7"/>
    <w:rsid w:val="00AD4640"/>
    <w:rsid w:val="00AE4852"/>
    <w:rsid w:val="00AF03C5"/>
    <w:rsid w:val="00B000D8"/>
    <w:rsid w:val="00B00F75"/>
    <w:rsid w:val="00B0788E"/>
    <w:rsid w:val="00B145B6"/>
    <w:rsid w:val="00B279EB"/>
    <w:rsid w:val="00B331B9"/>
    <w:rsid w:val="00B50C81"/>
    <w:rsid w:val="00B557F8"/>
    <w:rsid w:val="00B61711"/>
    <w:rsid w:val="00B815FC"/>
    <w:rsid w:val="00B8580F"/>
    <w:rsid w:val="00B93FBC"/>
    <w:rsid w:val="00BA7DA0"/>
    <w:rsid w:val="00BB2EE4"/>
    <w:rsid w:val="00BB4C92"/>
    <w:rsid w:val="00BB52C7"/>
    <w:rsid w:val="00BC2108"/>
    <w:rsid w:val="00BC3C0E"/>
    <w:rsid w:val="00BD0E9E"/>
    <w:rsid w:val="00BD1BEC"/>
    <w:rsid w:val="00BD32FF"/>
    <w:rsid w:val="00BE6398"/>
    <w:rsid w:val="00BF6FE9"/>
    <w:rsid w:val="00C02092"/>
    <w:rsid w:val="00C07109"/>
    <w:rsid w:val="00C24D91"/>
    <w:rsid w:val="00C26DB2"/>
    <w:rsid w:val="00C4062D"/>
    <w:rsid w:val="00C53F14"/>
    <w:rsid w:val="00C600CF"/>
    <w:rsid w:val="00C6084F"/>
    <w:rsid w:val="00C61D54"/>
    <w:rsid w:val="00C62A66"/>
    <w:rsid w:val="00C66359"/>
    <w:rsid w:val="00C71458"/>
    <w:rsid w:val="00C77613"/>
    <w:rsid w:val="00C828E7"/>
    <w:rsid w:val="00C86719"/>
    <w:rsid w:val="00C921DD"/>
    <w:rsid w:val="00CA6391"/>
    <w:rsid w:val="00CB1CA4"/>
    <w:rsid w:val="00CE036E"/>
    <w:rsid w:val="00CE1010"/>
    <w:rsid w:val="00CE3171"/>
    <w:rsid w:val="00CF1601"/>
    <w:rsid w:val="00D0172F"/>
    <w:rsid w:val="00D01E33"/>
    <w:rsid w:val="00D03416"/>
    <w:rsid w:val="00D05C1A"/>
    <w:rsid w:val="00D068A7"/>
    <w:rsid w:val="00D17476"/>
    <w:rsid w:val="00D32086"/>
    <w:rsid w:val="00D37A3F"/>
    <w:rsid w:val="00D440D2"/>
    <w:rsid w:val="00D4431D"/>
    <w:rsid w:val="00D4667A"/>
    <w:rsid w:val="00D63A1C"/>
    <w:rsid w:val="00D7516F"/>
    <w:rsid w:val="00D85F2A"/>
    <w:rsid w:val="00D95F8E"/>
    <w:rsid w:val="00DA0590"/>
    <w:rsid w:val="00DC1739"/>
    <w:rsid w:val="00DC1788"/>
    <w:rsid w:val="00DE319C"/>
    <w:rsid w:val="00DF0CA8"/>
    <w:rsid w:val="00DF2B48"/>
    <w:rsid w:val="00DF49A7"/>
    <w:rsid w:val="00DF5464"/>
    <w:rsid w:val="00E07EE2"/>
    <w:rsid w:val="00E07FD1"/>
    <w:rsid w:val="00E11FD5"/>
    <w:rsid w:val="00E12EBF"/>
    <w:rsid w:val="00E24573"/>
    <w:rsid w:val="00E25E1E"/>
    <w:rsid w:val="00E27EE7"/>
    <w:rsid w:val="00E35404"/>
    <w:rsid w:val="00E45109"/>
    <w:rsid w:val="00E47B7A"/>
    <w:rsid w:val="00E56A44"/>
    <w:rsid w:val="00E60269"/>
    <w:rsid w:val="00E9628D"/>
    <w:rsid w:val="00E97830"/>
    <w:rsid w:val="00EC2823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261C"/>
    <w:rsid w:val="00F84DF4"/>
    <w:rsid w:val="00F85C97"/>
    <w:rsid w:val="00FB37D2"/>
    <w:rsid w:val="00FC4EFB"/>
    <w:rsid w:val="00FD068D"/>
    <w:rsid w:val="00FD4F28"/>
    <w:rsid w:val="00FE559D"/>
    <w:rsid w:val="00FE6784"/>
    <w:rsid w:val="00FE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i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</w:rPr>
  </w:style>
  <w:style w:type="paragraph" w:styleId="ListParagraph">
    <w:name w:val="List Paragraph"/>
    <w:basedOn w:val="Normal"/>
    <w:uiPriority w:val="34"/>
    <w:qFormat/>
    <w:rsid w:val="00460FF0"/>
    <w:pPr>
      <w:ind w:left="720"/>
      <w:contextualSpacing/>
    </w:pPr>
  </w:style>
  <w:style w:type="table" w:styleId="TableGrid">
    <w:name w:val="Table Grid"/>
    <w:basedOn w:val="TableNormal"/>
    <w:uiPriority w:val="59"/>
    <w:rsid w:val="006A7141"/>
    <w:rPr>
      <w:rFonts w:eastAsiaTheme="minorHAnsi" w:cstheme="minorBidi"/>
      <w:sz w:val="24"/>
      <w:szCs w:val="24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2014-01-16T21:56:00Z</dcterms:created>
  <dcterms:modified xsi:type="dcterms:W3CDTF">2014-01-16T21:56:00Z</dcterms:modified>
</cp:coreProperties>
</file>