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54" w:rsidRDefault="006D1254" w:rsidP="006D1254"/>
    <w:p w:rsidR="006D1254" w:rsidRPr="005B4C3C" w:rsidRDefault="006D1254" w:rsidP="006D1254">
      <w:pPr>
        <w:tabs>
          <w:tab w:val="center" w:pos="4680"/>
          <w:tab w:val="right" w:pos="9360"/>
        </w:tabs>
        <w:jc w:val="center"/>
        <w:rPr>
          <w:rFonts w:eastAsiaTheme="minorHAnsi" w:cstheme="minorBidi"/>
          <w:szCs w:val="24"/>
          <w:lang w:eastAsia="en-US"/>
        </w:rPr>
      </w:pPr>
      <w:r w:rsidRPr="005B4C3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6836084" r:id="rId8"/>
        </w:object>
      </w:r>
    </w:p>
    <w:p w:rsidR="006D1254" w:rsidRPr="005B4C3C" w:rsidRDefault="006D1254" w:rsidP="006D1254">
      <w:pPr>
        <w:tabs>
          <w:tab w:val="center" w:pos="4680"/>
          <w:tab w:val="right" w:pos="9360"/>
        </w:tabs>
        <w:rPr>
          <w:rFonts w:eastAsiaTheme="minorHAnsi" w:cstheme="minorBidi"/>
          <w:szCs w:val="24"/>
          <w:lang w:eastAsia="en-US"/>
        </w:rPr>
      </w:pPr>
    </w:p>
    <w:p w:rsidR="006D1254" w:rsidRPr="005B4C3C" w:rsidRDefault="006D1254" w:rsidP="006D1254">
      <w:pPr>
        <w:jc w:val="center"/>
        <w:rPr>
          <w:rFonts w:eastAsiaTheme="minorHAnsi" w:cstheme="minorBidi"/>
          <w:b/>
          <w:szCs w:val="24"/>
          <w:lang w:eastAsia="en-US"/>
        </w:rPr>
      </w:pPr>
      <w:r w:rsidRPr="005B4C3C">
        <w:rPr>
          <w:rFonts w:eastAsiaTheme="minorHAnsi" w:cstheme="minorBidi"/>
          <w:b/>
          <w:szCs w:val="24"/>
          <w:lang w:eastAsia="en-US"/>
        </w:rPr>
        <w:t>COUR SUPRÊME DU CANADA</w:t>
      </w:r>
    </w:p>
    <w:p w:rsidR="006D1254" w:rsidRPr="005B4C3C" w:rsidRDefault="006D1254" w:rsidP="006D1254">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D1254" w:rsidRPr="005B4C3C" w:rsidTr="000F4F53">
        <w:trPr>
          <w:cantSplit/>
        </w:trPr>
        <w:tc>
          <w:tcPr>
            <w:tcW w:w="6768" w:type="dxa"/>
          </w:tcPr>
          <w:p w:rsidR="006D1254" w:rsidRPr="005B4C3C" w:rsidRDefault="006D1254" w:rsidP="000F4F53">
            <w:r w:rsidRPr="005B4C3C">
              <w:rPr>
                <w:b/>
                <w:smallCaps/>
              </w:rPr>
              <w:t>Référence :</w:t>
            </w:r>
            <w:r w:rsidRPr="005B4C3C">
              <w:t xml:space="preserve"> </w:t>
            </w:r>
            <w:r w:rsidRPr="00C76BFB">
              <w:t xml:space="preserve">R. </w:t>
            </w:r>
            <w:r w:rsidRPr="00C76BFB">
              <w:rPr>
                <w:i/>
              </w:rPr>
              <w:t>c.</w:t>
            </w:r>
            <w:r w:rsidRPr="00C76BFB">
              <w:t xml:space="preserve"> </w:t>
            </w:r>
            <w:proofErr w:type="spellStart"/>
            <w:r w:rsidRPr="00C76BFB">
              <w:t>MacIntosh</w:t>
            </w:r>
            <w:proofErr w:type="spellEnd"/>
            <w:r>
              <w:t>, 2013 CSC 23, [2013] 2 R.C.S. 200</w:t>
            </w:r>
          </w:p>
        </w:tc>
        <w:tc>
          <w:tcPr>
            <w:tcW w:w="2808" w:type="dxa"/>
          </w:tcPr>
          <w:p w:rsidR="006D1254" w:rsidRPr="005B4C3C" w:rsidRDefault="006D1254" w:rsidP="000F4F53">
            <w:r w:rsidRPr="005B4C3C">
              <w:rPr>
                <w:b/>
                <w:smallCaps/>
              </w:rPr>
              <w:t>Date :</w:t>
            </w:r>
            <w:r>
              <w:t xml:space="preserve"> 20130422</w:t>
            </w:r>
          </w:p>
          <w:p w:rsidR="006D1254" w:rsidRPr="005B4C3C" w:rsidRDefault="006D1254" w:rsidP="000F4F53">
            <w:r w:rsidRPr="005B4C3C">
              <w:rPr>
                <w:b/>
                <w:smallCaps/>
              </w:rPr>
              <w:t>Dossier :</w:t>
            </w:r>
            <w:r w:rsidRPr="005B4C3C">
              <w:t xml:space="preserve"> 34</w:t>
            </w:r>
            <w:r>
              <w:t>650</w:t>
            </w:r>
          </w:p>
        </w:tc>
      </w:tr>
    </w:tbl>
    <w:p w:rsidR="006D1254" w:rsidRPr="005B4C3C" w:rsidRDefault="006D1254" w:rsidP="006D1254">
      <w:pPr>
        <w:rPr>
          <w:rFonts w:eastAsiaTheme="minorHAnsi" w:cstheme="minorBidi"/>
          <w:szCs w:val="24"/>
          <w:lang w:eastAsia="en-US"/>
        </w:rPr>
      </w:pPr>
    </w:p>
    <w:p w:rsidR="006D1254" w:rsidRDefault="006D1254" w:rsidP="006D1254">
      <w:pPr>
        <w:rPr>
          <w:rFonts w:eastAsiaTheme="minorHAnsi" w:cstheme="minorBidi"/>
          <w:b/>
          <w:smallCaps/>
          <w:szCs w:val="24"/>
          <w:lang w:eastAsia="en-US"/>
        </w:rPr>
      </w:pPr>
      <w:r w:rsidRPr="005B4C3C">
        <w:rPr>
          <w:rFonts w:eastAsiaTheme="minorHAnsi" w:cstheme="minorBidi"/>
          <w:b/>
          <w:smallCaps/>
          <w:szCs w:val="24"/>
          <w:lang w:eastAsia="en-US"/>
        </w:rPr>
        <w:t>Entre :</w:t>
      </w:r>
    </w:p>
    <w:p w:rsidR="006D1254" w:rsidRPr="005B4C3C" w:rsidRDefault="006D1254" w:rsidP="006D1254">
      <w:pPr>
        <w:jc w:val="center"/>
        <w:rPr>
          <w:rFonts w:eastAsiaTheme="minorHAnsi" w:cstheme="minorBidi"/>
          <w:b/>
          <w:smallCaps/>
          <w:szCs w:val="24"/>
          <w:lang w:eastAsia="en-US"/>
        </w:rPr>
      </w:pPr>
      <w:r w:rsidRPr="005B4C3C">
        <w:rPr>
          <w:rFonts w:eastAsiaTheme="minorHAnsi" w:cstheme="minorBidi"/>
          <w:b/>
          <w:szCs w:val="24"/>
          <w:lang w:eastAsia="en-US"/>
        </w:rPr>
        <w:t>Sa Majesté la Reine</w:t>
      </w:r>
    </w:p>
    <w:p w:rsidR="006D1254" w:rsidRPr="005B4C3C" w:rsidRDefault="006D1254" w:rsidP="006D1254">
      <w:pPr>
        <w:jc w:val="center"/>
        <w:rPr>
          <w:rFonts w:eastAsiaTheme="minorHAnsi" w:cstheme="minorBidi"/>
          <w:szCs w:val="24"/>
          <w:lang w:eastAsia="en-US"/>
        </w:rPr>
      </w:pPr>
      <w:r>
        <w:rPr>
          <w:rFonts w:eastAsiaTheme="minorHAnsi" w:cstheme="minorBidi"/>
          <w:szCs w:val="24"/>
          <w:lang w:eastAsia="en-US"/>
        </w:rPr>
        <w:t>Appelante</w:t>
      </w:r>
    </w:p>
    <w:p w:rsidR="006D1254" w:rsidRPr="005B4C3C" w:rsidRDefault="006D1254" w:rsidP="006D1254">
      <w:pPr>
        <w:jc w:val="center"/>
        <w:rPr>
          <w:rFonts w:eastAsiaTheme="minorHAnsi" w:cstheme="minorBidi"/>
          <w:szCs w:val="24"/>
          <w:lang w:eastAsia="en-US"/>
        </w:rPr>
      </w:pPr>
      <w:proofErr w:type="gramStart"/>
      <w:r w:rsidRPr="005B4C3C">
        <w:rPr>
          <w:rFonts w:eastAsiaTheme="minorHAnsi" w:cstheme="minorBidi"/>
          <w:szCs w:val="24"/>
          <w:lang w:eastAsia="en-US"/>
        </w:rPr>
        <w:t>et</w:t>
      </w:r>
      <w:proofErr w:type="gramEnd"/>
    </w:p>
    <w:p w:rsidR="006D1254" w:rsidRPr="005B4C3C" w:rsidRDefault="006D1254" w:rsidP="006D1254">
      <w:pPr>
        <w:jc w:val="center"/>
        <w:rPr>
          <w:rFonts w:eastAsiaTheme="minorHAnsi" w:cstheme="minorBidi"/>
          <w:b/>
          <w:szCs w:val="24"/>
          <w:lang w:eastAsia="en-US"/>
        </w:rPr>
      </w:pPr>
      <w:r w:rsidRPr="002B0E25">
        <w:rPr>
          <w:rFonts w:eastAsiaTheme="minorHAnsi" w:cstheme="minorBidi"/>
          <w:b/>
          <w:szCs w:val="24"/>
          <w:lang w:eastAsia="en-US"/>
        </w:rPr>
        <w:t xml:space="preserve">Ernest </w:t>
      </w:r>
      <w:proofErr w:type="spellStart"/>
      <w:r w:rsidRPr="002B0E25">
        <w:rPr>
          <w:rFonts w:eastAsiaTheme="minorHAnsi" w:cstheme="minorBidi"/>
          <w:b/>
          <w:szCs w:val="24"/>
          <w:lang w:eastAsia="en-US"/>
        </w:rPr>
        <w:t>Fenwick</w:t>
      </w:r>
      <w:proofErr w:type="spellEnd"/>
      <w:r w:rsidRPr="002B0E25">
        <w:rPr>
          <w:rFonts w:eastAsiaTheme="minorHAnsi" w:cstheme="minorBidi"/>
          <w:b/>
          <w:szCs w:val="24"/>
          <w:lang w:eastAsia="en-US"/>
        </w:rPr>
        <w:t xml:space="preserve"> </w:t>
      </w:r>
      <w:proofErr w:type="spellStart"/>
      <w:r w:rsidRPr="002B0E25">
        <w:rPr>
          <w:rFonts w:eastAsiaTheme="minorHAnsi" w:cstheme="minorBidi"/>
          <w:b/>
          <w:szCs w:val="24"/>
          <w:lang w:eastAsia="en-US"/>
        </w:rPr>
        <w:t>MacIntosh</w:t>
      </w:r>
      <w:proofErr w:type="spellEnd"/>
    </w:p>
    <w:p w:rsidR="006D1254" w:rsidRPr="005B4C3C" w:rsidRDefault="006D1254" w:rsidP="006D1254">
      <w:pPr>
        <w:jc w:val="center"/>
        <w:rPr>
          <w:rFonts w:eastAsiaTheme="minorHAnsi" w:cstheme="minorBidi"/>
          <w:szCs w:val="24"/>
          <w:lang w:eastAsia="en-US"/>
        </w:rPr>
      </w:pPr>
      <w:r w:rsidRPr="005B4C3C">
        <w:rPr>
          <w:rFonts w:eastAsiaTheme="minorHAnsi" w:cstheme="minorBidi"/>
          <w:szCs w:val="24"/>
          <w:lang w:eastAsia="en-US"/>
        </w:rPr>
        <w:t>Intimé</w:t>
      </w:r>
    </w:p>
    <w:p w:rsidR="006D1254" w:rsidRDefault="006D1254" w:rsidP="006D1254">
      <w:pPr>
        <w:rPr>
          <w:rFonts w:eastAsiaTheme="minorHAnsi" w:cstheme="minorBidi"/>
          <w:szCs w:val="24"/>
          <w:lang w:eastAsia="en-US"/>
        </w:rPr>
      </w:pPr>
    </w:p>
    <w:p w:rsidR="006D1254" w:rsidRDefault="006D1254" w:rsidP="006D1254">
      <w:pPr>
        <w:rPr>
          <w:rFonts w:eastAsiaTheme="minorHAnsi" w:cstheme="minorBidi"/>
          <w:szCs w:val="24"/>
          <w:lang w:eastAsia="en-US"/>
        </w:rPr>
      </w:pPr>
    </w:p>
    <w:p w:rsidR="006D1254" w:rsidRPr="001E12E2" w:rsidRDefault="006D1254" w:rsidP="006D1254">
      <w:pPr>
        <w:jc w:val="center"/>
        <w:rPr>
          <w:b/>
          <w:smallCaps/>
        </w:rPr>
      </w:pPr>
      <w:r>
        <w:rPr>
          <w:b/>
          <w:smallCaps/>
        </w:rPr>
        <w:t>Traduction française o</w:t>
      </w:r>
      <w:r w:rsidRPr="001E12E2">
        <w:rPr>
          <w:b/>
          <w:smallCaps/>
        </w:rPr>
        <w:t>ffici</w:t>
      </w:r>
      <w:r>
        <w:rPr>
          <w:b/>
          <w:smallCaps/>
        </w:rPr>
        <w:t>elle</w:t>
      </w:r>
    </w:p>
    <w:p w:rsidR="006D1254" w:rsidRPr="005B4C3C" w:rsidRDefault="006D1254" w:rsidP="006D1254">
      <w:pPr>
        <w:rPr>
          <w:rFonts w:eastAsiaTheme="minorHAnsi" w:cstheme="minorBidi"/>
          <w:szCs w:val="24"/>
          <w:lang w:eastAsia="en-US"/>
        </w:rPr>
      </w:pPr>
    </w:p>
    <w:p w:rsidR="006D1254" w:rsidRPr="005B4C3C" w:rsidRDefault="006D1254" w:rsidP="006D1254">
      <w:pPr>
        <w:rPr>
          <w:rFonts w:eastAsiaTheme="minorHAnsi" w:cstheme="minorBidi"/>
          <w:szCs w:val="24"/>
          <w:lang w:eastAsia="en-US"/>
        </w:rPr>
      </w:pPr>
      <w:r w:rsidRPr="005B4C3C">
        <w:rPr>
          <w:rFonts w:eastAsiaTheme="minorHAnsi" w:cstheme="minorBidi"/>
          <w:b/>
          <w:smallCaps/>
          <w:szCs w:val="24"/>
          <w:lang w:eastAsia="en-US"/>
        </w:rPr>
        <w:t>Coram :</w:t>
      </w:r>
      <w:r w:rsidRPr="005B4C3C">
        <w:rPr>
          <w:rFonts w:eastAsiaTheme="minorHAnsi" w:cstheme="minorBidi"/>
          <w:szCs w:val="24"/>
          <w:lang w:eastAsia="en-US"/>
        </w:rPr>
        <w:t xml:space="preserve"> </w:t>
      </w:r>
      <w:r w:rsidRPr="00C974C5">
        <w:t xml:space="preserve">La juge en chef McLachlin et les juges </w:t>
      </w:r>
      <w:proofErr w:type="spellStart"/>
      <w:r w:rsidRPr="008D5636">
        <w:t>LeBel</w:t>
      </w:r>
      <w:proofErr w:type="spellEnd"/>
      <w:r w:rsidRPr="008D5636">
        <w:t xml:space="preserve">, Fish, Abella, </w:t>
      </w:r>
      <w:proofErr w:type="spellStart"/>
      <w:r w:rsidRPr="008D5636">
        <w:t>Rothstein</w:t>
      </w:r>
      <w:proofErr w:type="spellEnd"/>
      <w:r w:rsidRPr="008D5636">
        <w:t xml:space="preserve">, </w:t>
      </w:r>
      <w:proofErr w:type="spellStart"/>
      <w:r w:rsidRPr="008D5636">
        <w:t>Moldaver</w:t>
      </w:r>
      <w:proofErr w:type="spellEnd"/>
      <w:r w:rsidRPr="008D5636">
        <w:t xml:space="preserve"> et </w:t>
      </w:r>
      <w:proofErr w:type="spellStart"/>
      <w:r w:rsidRPr="008D5636">
        <w:t>Karakatsanis</w:t>
      </w:r>
      <w:proofErr w:type="spellEnd"/>
      <w:r>
        <w:rPr>
          <w:rFonts w:eastAsiaTheme="minorHAnsi" w:cstheme="minorBidi"/>
          <w:szCs w:val="24"/>
          <w:lang w:val="fr-FR" w:eastAsia="en-US"/>
        </w:rPr>
        <w:t>.</w:t>
      </w:r>
    </w:p>
    <w:p w:rsidR="006D1254" w:rsidRPr="005B4C3C" w:rsidRDefault="006D1254" w:rsidP="006D1254">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D1254" w:rsidRPr="005B4C3C" w:rsidTr="000F4F53">
        <w:trPr>
          <w:cantSplit/>
        </w:trPr>
        <w:tc>
          <w:tcPr>
            <w:tcW w:w="3618" w:type="dxa"/>
          </w:tcPr>
          <w:p w:rsidR="006D1254" w:rsidRPr="005B4C3C" w:rsidRDefault="006D1254" w:rsidP="000F4F53">
            <w:pPr>
              <w:rPr>
                <w:b/>
                <w:smallCaps/>
              </w:rPr>
            </w:pPr>
            <w:r w:rsidRPr="005B4C3C">
              <w:rPr>
                <w:b/>
                <w:smallCaps/>
              </w:rPr>
              <w:t>Motifs de jugement :</w:t>
            </w:r>
          </w:p>
          <w:p w:rsidR="006D1254" w:rsidRPr="0043206F" w:rsidRDefault="006D1254" w:rsidP="000F4F53">
            <w:r>
              <w:t>(par. 1</w:t>
            </w:r>
            <w:r w:rsidRPr="005B4C3C">
              <w:t>)</w:t>
            </w:r>
          </w:p>
          <w:p w:rsidR="006D1254" w:rsidRPr="005B4C3C" w:rsidRDefault="006D1254" w:rsidP="000F4F53"/>
        </w:tc>
        <w:tc>
          <w:tcPr>
            <w:tcW w:w="5958" w:type="dxa"/>
          </w:tcPr>
          <w:p w:rsidR="006D1254" w:rsidRPr="005B4C3C" w:rsidRDefault="006D1254" w:rsidP="000F4F53">
            <w:r w:rsidRPr="00C974C5">
              <w:t xml:space="preserve">La juge en chef McLachlin </w:t>
            </w:r>
            <w:r w:rsidRPr="005B4C3C">
              <w:t xml:space="preserve">(avec l’accord </w:t>
            </w:r>
            <w:r>
              <w:t>des juges</w:t>
            </w:r>
            <w:r w:rsidRPr="00527758">
              <w:rPr>
                <w:lang w:val="fr-FR"/>
              </w:rPr>
              <w:t xml:space="preserve"> </w:t>
            </w:r>
            <w:proofErr w:type="spellStart"/>
            <w:r w:rsidRPr="008D5636">
              <w:t>LeBel</w:t>
            </w:r>
            <w:proofErr w:type="spellEnd"/>
            <w:r w:rsidRPr="008D5636">
              <w:t xml:space="preserve">, Fish, Abella, </w:t>
            </w:r>
            <w:proofErr w:type="spellStart"/>
            <w:r w:rsidRPr="008D5636">
              <w:t>Rothstein</w:t>
            </w:r>
            <w:proofErr w:type="spellEnd"/>
            <w:r w:rsidRPr="008D5636">
              <w:t xml:space="preserve">, </w:t>
            </w:r>
            <w:proofErr w:type="spellStart"/>
            <w:r w:rsidRPr="008D5636">
              <w:t>Moldaver</w:t>
            </w:r>
            <w:proofErr w:type="spellEnd"/>
            <w:r w:rsidRPr="008D5636">
              <w:t xml:space="preserve"> et </w:t>
            </w:r>
            <w:proofErr w:type="spellStart"/>
            <w:r w:rsidRPr="008D5636">
              <w:t>Karakatsanis</w:t>
            </w:r>
            <w:proofErr w:type="spellEnd"/>
            <w:r w:rsidRPr="005B4C3C">
              <w:t>)</w:t>
            </w:r>
          </w:p>
          <w:p w:rsidR="006D1254" w:rsidRPr="005B4C3C" w:rsidRDefault="006D1254" w:rsidP="000F4F53"/>
        </w:tc>
      </w:tr>
    </w:tbl>
    <w:p w:rsidR="006D1254" w:rsidRPr="005B4C3C" w:rsidRDefault="006D1254" w:rsidP="006D1254">
      <w:pPr>
        <w:rPr>
          <w:rFonts w:eastAsiaTheme="minorHAnsi" w:cstheme="minorBidi"/>
          <w:szCs w:val="24"/>
          <w:lang w:eastAsia="en-US"/>
        </w:rPr>
      </w:pPr>
    </w:p>
    <w:p w:rsidR="006D1254" w:rsidRPr="005B4C3C" w:rsidRDefault="006D1254" w:rsidP="006D1254">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D1254" w:rsidRDefault="006D1254" w:rsidP="006D1254">
      <w:pPr>
        <w:rPr>
          <w:smallCaps/>
        </w:rPr>
      </w:pPr>
    </w:p>
    <w:p w:rsidR="006D1254" w:rsidRDefault="006D1254" w:rsidP="006D1254"/>
    <w:p w:rsidR="006D1254" w:rsidRPr="006D1254" w:rsidRDefault="006D1254">
      <w:r w:rsidRPr="006D1254">
        <w:br w:type="page"/>
      </w:r>
    </w:p>
    <w:p w:rsidR="002F5AA4" w:rsidRPr="006D1254" w:rsidRDefault="00C76BFB" w:rsidP="006B6CE1">
      <w:pPr>
        <w:spacing w:after="720"/>
        <w:jc w:val="both"/>
        <w:rPr>
          <w:lang w:val="en-US"/>
        </w:rPr>
      </w:pPr>
      <w:r w:rsidRPr="006D1254">
        <w:rPr>
          <w:lang w:val="en-US"/>
        </w:rPr>
        <w:lastRenderedPageBreak/>
        <w:t xml:space="preserve">R. </w:t>
      </w:r>
      <w:r w:rsidRPr="006D1254">
        <w:rPr>
          <w:i/>
          <w:lang w:val="en-US"/>
        </w:rPr>
        <w:t>c.</w:t>
      </w:r>
      <w:r w:rsidRPr="006D1254">
        <w:rPr>
          <w:lang w:val="en-US"/>
        </w:rPr>
        <w:t xml:space="preserve"> </w:t>
      </w:r>
      <w:proofErr w:type="spellStart"/>
      <w:r w:rsidRPr="006D1254">
        <w:rPr>
          <w:lang w:val="en-US"/>
        </w:rPr>
        <w:t>MacIntosh</w:t>
      </w:r>
      <w:proofErr w:type="spellEnd"/>
      <w:r w:rsidRPr="006D1254">
        <w:rPr>
          <w:lang w:val="en-US"/>
        </w:rPr>
        <w:t>, 2013 CSC 23, [2013] 2 R.C.S. 200</w:t>
      </w:r>
    </w:p>
    <w:p w:rsidR="002F5AA4" w:rsidRPr="008D5636" w:rsidRDefault="00302015" w:rsidP="006B6CE1">
      <w:pPr>
        <w:pStyle w:val="SCCLsocParty"/>
        <w:tabs>
          <w:tab w:val="right" w:pos="8280"/>
        </w:tabs>
        <w:spacing w:after="720"/>
        <w:rPr>
          <w:b w:val="0"/>
          <w:i/>
        </w:rPr>
      </w:pPr>
      <w:r w:rsidRPr="008D5636">
        <w:t>Sa Majesté la Reine</w:t>
      </w:r>
      <w:r w:rsidR="002F5AA4" w:rsidRPr="008D5636">
        <w:tab/>
      </w:r>
      <w:r w:rsidR="002F5AA4" w:rsidRPr="008D5636">
        <w:rPr>
          <w:b w:val="0"/>
          <w:i/>
        </w:rPr>
        <w:t>Appelant</w:t>
      </w:r>
      <w:r w:rsidR="00B5635C" w:rsidRPr="008D5636">
        <w:rPr>
          <w:b w:val="0"/>
          <w:i/>
        </w:rPr>
        <w:t>e</w:t>
      </w:r>
    </w:p>
    <w:p w:rsidR="002F5AA4" w:rsidRPr="008D5636" w:rsidRDefault="002F5AA4" w:rsidP="006B6CE1">
      <w:pPr>
        <w:pStyle w:val="SCCLsocVersus"/>
        <w:spacing w:after="720"/>
      </w:pPr>
      <w:proofErr w:type="gramStart"/>
      <w:r w:rsidRPr="008D5636">
        <w:t>c</w:t>
      </w:r>
      <w:proofErr w:type="gramEnd"/>
      <w:r w:rsidRPr="008D5636">
        <w:t>.</w:t>
      </w:r>
    </w:p>
    <w:p w:rsidR="002F5AA4" w:rsidRPr="008D5636" w:rsidRDefault="006B6CE1" w:rsidP="006B6CE1">
      <w:pPr>
        <w:pStyle w:val="SCCLsocParty"/>
        <w:tabs>
          <w:tab w:val="right" w:pos="8280"/>
        </w:tabs>
        <w:spacing w:after="720"/>
        <w:rPr>
          <w:b w:val="0"/>
          <w:i/>
        </w:rPr>
      </w:pPr>
      <w:r w:rsidRPr="008D5636">
        <w:t xml:space="preserve">Ernest </w:t>
      </w:r>
      <w:proofErr w:type="spellStart"/>
      <w:r w:rsidRPr="008D5636">
        <w:t>Fenwick</w:t>
      </w:r>
      <w:proofErr w:type="spellEnd"/>
      <w:r w:rsidRPr="008D5636">
        <w:t xml:space="preserve"> </w:t>
      </w:r>
      <w:proofErr w:type="spellStart"/>
      <w:r w:rsidRPr="008D5636">
        <w:t>MacIntosh</w:t>
      </w:r>
      <w:proofErr w:type="spellEnd"/>
      <w:r w:rsidR="002F5AA4" w:rsidRPr="008D5636">
        <w:rPr>
          <w:i/>
        </w:rPr>
        <w:tab/>
      </w:r>
      <w:r w:rsidR="00302015" w:rsidRPr="008D5636">
        <w:rPr>
          <w:b w:val="0"/>
          <w:i/>
        </w:rPr>
        <w:t>Intimé</w:t>
      </w:r>
    </w:p>
    <w:p w:rsidR="00327E83" w:rsidRPr="008D5636" w:rsidRDefault="00327E83" w:rsidP="00E43061">
      <w:pPr>
        <w:spacing w:after="720"/>
      </w:pPr>
      <w:proofErr w:type="gramStart"/>
      <w:r w:rsidRPr="008D5636">
        <w:t>et</w:t>
      </w:r>
      <w:proofErr w:type="gramEnd"/>
    </w:p>
    <w:p w:rsidR="00E43061" w:rsidRPr="008D5636" w:rsidRDefault="00E43061" w:rsidP="00E43061">
      <w:pPr>
        <w:pStyle w:val="SCCLsocParty"/>
        <w:tabs>
          <w:tab w:val="right" w:pos="8280"/>
        </w:tabs>
        <w:spacing w:after="720"/>
      </w:pPr>
      <w:r w:rsidRPr="008D5636">
        <w:t>Procureur général du Canada</w:t>
      </w:r>
      <w:r w:rsidRPr="008D5636">
        <w:tab/>
      </w:r>
      <w:r w:rsidR="00B76164" w:rsidRPr="008D5636">
        <w:rPr>
          <w:b w:val="0"/>
          <w:i/>
        </w:rPr>
        <w:t>Intervenant</w:t>
      </w:r>
    </w:p>
    <w:p w:rsidR="002F5AA4" w:rsidRPr="008D5636" w:rsidRDefault="002F5AA4" w:rsidP="006B6CE1">
      <w:pPr>
        <w:spacing w:after="720"/>
        <w:jc w:val="both"/>
        <w:rPr>
          <w:b/>
        </w:rPr>
      </w:pPr>
      <w:r w:rsidRPr="008D5636">
        <w:rPr>
          <w:b/>
        </w:rPr>
        <w:t xml:space="preserve">Répertorié : R. </w:t>
      </w:r>
      <w:r w:rsidRPr="008D5636">
        <w:rPr>
          <w:b/>
          <w:i/>
        </w:rPr>
        <w:t>c.</w:t>
      </w:r>
      <w:r w:rsidRPr="008D5636">
        <w:rPr>
          <w:b/>
        </w:rPr>
        <w:t xml:space="preserve"> </w:t>
      </w:r>
      <w:proofErr w:type="spellStart"/>
      <w:r w:rsidRPr="008D5636">
        <w:rPr>
          <w:b/>
        </w:rPr>
        <w:t>M</w:t>
      </w:r>
      <w:r w:rsidR="006B6CE1" w:rsidRPr="008D5636">
        <w:rPr>
          <w:b/>
        </w:rPr>
        <w:t>acIntosh</w:t>
      </w:r>
      <w:proofErr w:type="spellEnd"/>
    </w:p>
    <w:p w:rsidR="002F5AA4" w:rsidRPr="008D5636" w:rsidRDefault="00327E83" w:rsidP="006B6CE1">
      <w:pPr>
        <w:pStyle w:val="SCCSystemYear"/>
        <w:spacing w:after="720"/>
        <w:jc w:val="both"/>
      </w:pPr>
      <w:r w:rsidRPr="008D5636">
        <w:t>2013 CSC 23</w:t>
      </w:r>
    </w:p>
    <w:p w:rsidR="002F5AA4" w:rsidRPr="008D5636" w:rsidRDefault="002F5AA4" w:rsidP="006B6CE1">
      <w:pPr>
        <w:spacing w:after="720"/>
        <w:jc w:val="both"/>
      </w:pPr>
      <w:r w:rsidRPr="008D5636">
        <w:t>N</w:t>
      </w:r>
      <w:r w:rsidRPr="008D5636">
        <w:rPr>
          <w:vertAlign w:val="superscript"/>
        </w:rPr>
        <w:t>o</w:t>
      </w:r>
      <w:r w:rsidRPr="008D5636">
        <w:t xml:space="preserve"> du greffe : 3</w:t>
      </w:r>
      <w:r w:rsidR="006B6CE1" w:rsidRPr="008D5636">
        <w:t>4650</w:t>
      </w:r>
      <w:r w:rsidRPr="008D5636">
        <w:t>.</w:t>
      </w:r>
    </w:p>
    <w:p w:rsidR="002F5AA4" w:rsidRPr="008D5636" w:rsidRDefault="002F5AA4" w:rsidP="006B6CE1">
      <w:pPr>
        <w:spacing w:after="720"/>
        <w:jc w:val="both"/>
      </w:pPr>
      <w:r w:rsidRPr="008D5636">
        <w:t>2013 : </w:t>
      </w:r>
      <w:r w:rsidR="00327E83" w:rsidRPr="008D5636">
        <w:t>22</w:t>
      </w:r>
      <w:r w:rsidRPr="008D5636">
        <w:t> avril.</w:t>
      </w:r>
    </w:p>
    <w:p w:rsidR="002F5AA4" w:rsidRPr="008D5636" w:rsidRDefault="002F5AA4" w:rsidP="006B6CE1">
      <w:pPr>
        <w:spacing w:after="720"/>
        <w:jc w:val="both"/>
      </w:pPr>
      <w:r w:rsidRPr="008D5636">
        <w:t>Présents : </w:t>
      </w:r>
      <w:r w:rsidR="00B76164" w:rsidRPr="008D5636">
        <w:t xml:space="preserve">La juge en chef McLachlin et les juges </w:t>
      </w:r>
      <w:proofErr w:type="spellStart"/>
      <w:r w:rsidR="00B76164" w:rsidRPr="008D5636">
        <w:t>LeBel</w:t>
      </w:r>
      <w:proofErr w:type="spellEnd"/>
      <w:r w:rsidR="00B76164" w:rsidRPr="008D5636">
        <w:t xml:space="preserve">, Fish, Abella, </w:t>
      </w:r>
      <w:proofErr w:type="spellStart"/>
      <w:r w:rsidR="00B76164" w:rsidRPr="008D5636">
        <w:t>Rothstein</w:t>
      </w:r>
      <w:proofErr w:type="spellEnd"/>
      <w:r w:rsidR="00B76164" w:rsidRPr="008D5636">
        <w:t xml:space="preserve">, </w:t>
      </w:r>
      <w:proofErr w:type="spellStart"/>
      <w:r w:rsidR="00B76164" w:rsidRPr="008D5636">
        <w:t>Moldaver</w:t>
      </w:r>
      <w:proofErr w:type="spellEnd"/>
      <w:r w:rsidR="00B76164" w:rsidRPr="008D5636">
        <w:t xml:space="preserve"> et </w:t>
      </w:r>
      <w:proofErr w:type="spellStart"/>
      <w:r w:rsidR="00B76164" w:rsidRPr="008D5636">
        <w:t>Karakatsanis</w:t>
      </w:r>
      <w:proofErr w:type="spellEnd"/>
      <w:r w:rsidRPr="008D5636">
        <w:t>.</w:t>
      </w:r>
    </w:p>
    <w:p w:rsidR="002F5AA4" w:rsidRPr="008D5636" w:rsidRDefault="002F5AA4" w:rsidP="002F5AA4">
      <w:pPr>
        <w:spacing w:after="480" w:line="480" w:lineRule="auto"/>
        <w:jc w:val="both"/>
        <w:rPr>
          <w:smallCaps/>
          <w:szCs w:val="24"/>
        </w:rPr>
      </w:pPr>
      <w:r w:rsidRPr="008D5636">
        <w:rPr>
          <w:smallCaps/>
          <w:szCs w:val="24"/>
        </w:rPr>
        <w:t xml:space="preserve">en appel de la cour d’appel de la </w:t>
      </w:r>
      <w:proofErr w:type="spellStart"/>
      <w:r w:rsidRPr="008D5636">
        <w:rPr>
          <w:smallCaps/>
          <w:szCs w:val="24"/>
        </w:rPr>
        <w:t>nouvelle-écosse</w:t>
      </w:r>
      <w:proofErr w:type="spellEnd"/>
    </w:p>
    <w:p w:rsidR="002F5AA4" w:rsidRPr="00C87C1C" w:rsidRDefault="002F5AA4" w:rsidP="002F5AA4">
      <w:pPr>
        <w:pStyle w:val="SCCNormalDoubleSpacing"/>
        <w:tabs>
          <w:tab w:val="left" w:pos="1170"/>
        </w:tabs>
        <w:spacing w:after="480"/>
        <w:rPr>
          <w:i/>
          <w:szCs w:val="24"/>
        </w:rPr>
      </w:pPr>
      <w:r w:rsidRPr="008D5636">
        <w:rPr>
          <w:szCs w:val="24"/>
        </w:rPr>
        <w:lastRenderedPageBreak/>
        <w:tab/>
      </w:r>
      <w:r w:rsidR="008D5636" w:rsidRPr="00C87C1C">
        <w:rPr>
          <w:i/>
          <w:szCs w:val="24"/>
        </w:rPr>
        <w:t xml:space="preserve">Droit constitutionnel — Charte des droits — Droit d’être jugé dans </w:t>
      </w:r>
      <w:r w:rsidR="00432F84" w:rsidRPr="00C87C1C">
        <w:rPr>
          <w:i/>
          <w:szCs w:val="24"/>
        </w:rPr>
        <w:t>un délai raisonnable</w:t>
      </w:r>
      <w:r w:rsidR="008D5636" w:rsidRPr="00C87C1C">
        <w:rPr>
          <w:i/>
          <w:szCs w:val="24"/>
        </w:rPr>
        <w:t xml:space="preserve"> — </w:t>
      </w:r>
      <w:r w:rsidR="00A83A5E" w:rsidRPr="00C87C1C">
        <w:rPr>
          <w:i/>
          <w:szCs w:val="24"/>
        </w:rPr>
        <w:t xml:space="preserve">Extradition de l’accusé </w:t>
      </w:r>
      <w:r w:rsidR="00C87C1C" w:rsidRPr="00B70B8D">
        <w:rPr>
          <w:i/>
          <w:szCs w:val="24"/>
        </w:rPr>
        <w:t>au Canada</w:t>
      </w:r>
      <w:r w:rsidR="00C87C1C" w:rsidRPr="00C87C1C">
        <w:rPr>
          <w:i/>
          <w:szCs w:val="24"/>
        </w:rPr>
        <w:t xml:space="preserve"> </w:t>
      </w:r>
      <w:r w:rsidR="00A83A5E" w:rsidRPr="00C87C1C">
        <w:rPr>
          <w:i/>
          <w:szCs w:val="24"/>
        </w:rPr>
        <w:t>pour être jugé à l’égard de nombreuses accusations d’attentat à la pudeur et de grossière indécence</w:t>
      </w:r>
      <w:r w:rsidR="008D5636" w:rsidRPr="00C87C1C">
        <w:rPr>
          <w:i/>
          <w:szCs w:val="24"/>
        </w:rPr>
        <w:t xml:space="preserve"> — D</w:t>
      </w:r>
      <w:r w:rsidR="00432F84" w:rsidRPr="00C87C1C">
        <w:rPr>
          <w:i/>
          <w:szCs w:val="24"/>
        </w:rPr>
        <w:t>élai de plus de 14 ans entre le dépôt des accusations et le procès</w:t>
      </w:r>
      <w:r w:rsidR="008D5636" w:rsidRPr="00C87C1C">
        <w:rPr>
          <w:i/>
          <w:szCs w:val="24"/>
        </w:rPr>
        <w:t xml:space="preserve">, </w:t>
      </w:r>
      <w:r w:rsidR="00262DB7" w:rsidRPr="00C87C1C">
        <w:rPr>
          <w:i/>
          <w:szCs w:val="24"/>
        </w:rPr>
        <w:t>dont 12 environ sont</w:t>
      </w:r>
      <w:r w:rsidR="00A83A5E" w:rsidRPr="00C87C1C">
        <w:rPr>
          <w:i/>
          <w:szCs w:val="24"/>
        </w:rPr>
        <w:t xml:space="preserve"> imputables </w:t>
      </w:r>
      <w:r w:rsidR="00262DB7" w:rsidRPr="00C87C1C">
        <w:rPr>
          <w:i/>
          <w:szCs w:val="24"/>
        </w:rPr>
        <w:t>au temps mis par la Couronne à agir pour obtenir l’extradition de l’accusé — Demande d’arrêt</w:t>
      </w:r>
      <w:r w:rsidR="00432F84" w:rsidRPr="00C87C1C">
        <w:rPr>
          <w:i/>
          <w:szCs w:val="24"/>
        </w:rPr>
        <w:t xml:space="preserve"> des procédures présentée par l’accusé </w:t>
      </w:r>
      <w:r w:rsidR="00262DB7" w:rsidRPr="00C87C1C">
        <w:rPr>
          <w:i/>
          <w:szCs w:val="24"/>
        </w:rPr>
        <w:t xml:space="preserve">en raison du </w:t>
      </w:r>
      <w:r w:rsidR="00A83A5E" w:rsidRPr="00C87C1C">
        <w:rPr>
          <w:i/>
          <w:szCs w:val="24"/>
        </w:rPr>
        <w:t xml:space="preserve">délai </w:t>
      </w:r>
      <w:r w:rsidR="00262DB7" w:rsidRPr="00C87C1C">
        <w:rPr>
          <w:i/>
          <w:szCs w:val="24"/>
        </w:rPr>
        <w:t xml:space="preserve">écoulé avant le </w:t>
      </w:r>
      <w:r w:rsidR="00A83A5E" w:rsidRPr="00C87C1C">
        <w:rPr>
          <w:i/>
          <w:szCs w:val="24"/>
        </w:rPr>
        <w:t>dépôt des accusations</w:t>
      </w:r>
      <w:r w:rsidR="00262DB7" w:rsidRPr="00C87C1C">
        <w:rPr>
          <w:i/>
          <w:szCs w:val="24"/>
        </w:rPr>
        <w:t xml:space="preserve"> et après celui-ci</w:t>
      </w:r>
      <w:r w:rsidR="008D5636" w:rsidRPr="00C87C1C">
        <w:rPr>
          <w:i/>
          <w:szCs w:val="24"/>
        </w:rPr>
        <w:t xml:space="preserve"> — </w:t>
      </w:r>
      <w:r w:rsidR="00A83A5E" w:rsidRPr="00C87C1C">
        <w:rPr>
          <w:i/>
          <w:szCs w:val="24"/>
        </w:rPr>
        <w:t>Cette demande a été rejetée et l’accusé a été déclaré coupable au procès</w:t>
      </w:r>
      <w:r w:rsidR="008D5636" w:rsidRPr="00C87C1C">
        <w:rPr>
          <w:i/>
          <w:szCs w:val="24"/>
        </w:rPr>
        <w:t xml:space="preserve"> — </w:t>
      </w:r>
      <w:r w:rsidR="00A83A5E" w:rsidRPr="00C87C1C">
        <w:rPr>
          <w:i/>
          <w:szCs w:val="24"/>
        </w:rPr>
        <w:t xml:space="preserve">Le droit de ce dernier d’être jugé dans un délai raisonnable a été violé en raison du délai </w:t>
      </w:r>
      <w:r w:rsidR="00C87C1C" w:rsidRPr="00C87C1C">
        <w:rPr>
          <w:i/>
          <w:szCs w:val="24"/>
        </w:rPr>
        <w:t xml:space="preserve">écoulé après le </w:t>
      </w:r>
      <w:r w:rsidR="00A83A5E" w:rsidRPr="00C87C1C">
        <w:rPr>
          <w:i/>
          <w:szCs w:val="24"/>
        </w:rPr>
        <w:t>dépôt des accusations</w:t>
      </w:r>
      <w:r w:rsidR="008D5636" w:rsidRPr="00C87C1C">
        <w:rPr>
          <w:i/>
          <w:szCs w:val="24"/>
        </w:rPr>
        <w:t xml:space="preserve"> — C</w:t>
      </w:r>
      <w:r w:rsidR="00A83A5E" w:rsidRPr="00C87C1C">
        <w:rPr>
          <w:i/>
          <w:szCs w:val="24"/>
        </w:rPr>
        <w:t>harte canadienne des droits et libertés,</w:t>
      </w:r>
      <w:r w:rsidR="008D5636" w:rsidRPr="00C87C1C">
        <w:rPr>
          <w:i/>
          <w:szCs w:val="24"/>
        </w:rPr>
        <w:t xml:space="preserve"> </w:t>
      </w:r>
      <w:r w:rsidR="00A83A5E" w:rsidRPr="00C87C1C">
        <w:rPr>
          <w:i/>
          <w:szCs w:val="24"/>
        </w:rPr>
        <w:t>art</w:t>
      </w:r>
      <w:r w:rsidR="008D5636" w:rsidRPr="00C87C1C">
        <w:rPr>
          <w:i/>
          <w:szCs w:val="24"/>
        </w:rPr>
        <w:t>. 11b).</w:t>
      </w:r>
    </w:p>
    <w:p w:rsidR="002F5AA4" w:rsidRPr="008D5636" w:rsidRDefault="002F5AA4" w:rsidP="002F5AA4">
      <w:pPr>
        <w:pStyle w:val="SCCNormalDoubleSpacing"/>
        <w:tabs>
          <w:tab w:val="left" w:pos="1170"/>
        </w:tabs>
        <w:spacing w:after="480"/>
      </w:pPr>
      <w:r w:rsidRPr="008D5636">
        <w:tab/>
        <w:t>POURVOI contre un arrêt de la Cour d’appel de la Nouvelle-Écosse (le</w:t>
      </w:r>
      <w:r w:rsidR="00473CFF" w:rsidRPr="008D5636">
        <w:t>s</w:t>
      </w:r>
      <w:r w:rsidRPr="008D5636">
        <w:t xml:space="preserve"> juge</w:t>
      </w:r>
      <w:r w:rsidR="00473CFF" w:rsidRPr="008D5636">
        <w:t>s Hamilton,</w:t>
      </w:r>
      <w:r w:rsidRPr="008D5636">
        <w:t xml:space="preserve"> Beveridge</w:t>
      </w:r>
      <w:r w:rsidR="00473CFF" w:rsidRPr="008D5636">
        <w:t xml:space="preserve"> et </w:t>
      </w:r>
      <w:proofErr w:type="spellStart"/>
      <w:r w:rsidR="00F92DD5" w:rsidRPr="008D5636">
        <w:t>Bryson</w:t>
      </w:r>
      <w:proofErr w:type="spellEnd"/>
      <w:r w:rsidRPr="008D5636">
        <w:t xml:space="preserve">), </w:t>
      </w:r>
      <w:r w:rsidR="0091076C" w:rsidRPr="008D5636">
        <w:t xml:space="preserve">2011 NSCA 111, 250 C.R.R. (2d)  239, 310 N.S.R. (2d) 274, </w:t>
      </w:r>
      <w:r w:rsidR="00883690">
        <w:t xml:space="preserve">983 A.P.R. 274, </w:t>
      </w:r>
      <w:r w:rsidR="0091076C" w:rsidRPr="008D5636">
        <w:t xml:space="preserve">281 C.C.C. (3d) 291, [2011] N.S.J. No. 660 (QL), 2011 </w:t>
      </w:r>
      <w:proofErr w:type="spellStart"/>
      <w:r w:rsidR="0091076C" w:rsidRPr="008D5636">
        <w:t>CarswellNS</w:t>
      </w:r>
      <w:proofErr w:type="spellEnd"/>
      <w:r w:rsidR="0091076C" w:rsidRPr="008D5636">
        <w:t xml:space="preserve"> 843</w:t>
      </w:r>
      <w:r w:rsidRPr="008D5636">
        <w:t xml:space="preserve">, </w:t>
      </w:r>
      <w:r w:rsidR="00C87C1C">
        <w:t xml:space="preserve">ayant </w:t>
      </w:r>
      <w:r w:rsidR="006957B5" w:rsidRPr="008D5636">
        <w:t xml:space="preserve">accueilli l’appel </w:t>
      </w:r>
      <w:r w:rsidR="00C87C1C">
        <w:t xml:space="preserve">formé par </w:t>
      </w:r>
      <w:r w:rsidRPr="008D5636">
        <w:t xml:space="preserve">l’accusé </w:t>
      </w:r>
      <w:r w:rsidR="006957B5" w:rsidRPr="008D5636">
        <w:t xml:space="preserve">contre </w:t>
      </w:r>
      <w:r w:rsidR="00B5635C" w:rsidRPr="008D5636">
        <w:t xml:space="preserve">la décision </w:t>
      </w:r>
      <w:r w:rsidR="006957B5" w:rsidRPr="008D5636">
        <w:t>prononcée par le juge en chef Kennedy, 2010 NSSC 105, 289 N.S.R. (2d) 224,</w:t>
      </w:r>
      <w:r w:rsidR="008A497B">
        <w:t xml:space="preserve"> 916 A.P.R.</w:t>
      </w:r>
      <w:r w:rsidR="0097223D">
        <w:t xml:space="preserve"> 224,</w:t>
      </w:r>
      <w:r w:rsidR="006957B5" w:rsidRPr="008D5636">
        <w:t xml:space="preserve"> 2010 </w:t>
      </w:r>
      <w:proofErr w:type="spellStart"/>
      <w:r w:rsidR="006957B5" w:rsidRPr="008D5636">
        <w:t>CarswellNS</w:t>
      </w:r>
      <w:proofErr w:type="spellEnd"/>
      <w:r w:rsidR="006957B5" w:rsidRPr="008D5636">
        <w:t xml:space="preserve"> 161</w:t>
      </w:r>
      <w:r w:rsidR="00A83A5E">
        <w:t>,</w:t>
      </w:r>
      <w:r w:rsidR="00B5635C" w:rsidRPr="008D5636">
        <w:t xml:space="preserve"> </w:t>
      </w:r>
      <w:r w:rsidR="00A83A5E">
        <w:t xml:space="preserve">et </w:t>
      </w:r>
      <w:r w:rsidR="00B5635C" w:rsidRPr="008D5636">
        <w:t>annulé les déclarations de culpabilité pour a</w:t>
      </w:r>
      <w:r w:rsidR="006957B5" w:rsidRPr="008D5636">
        <w:t>ttentat à la pudeur et grossière indécence</w:t>
      </w:r>
      <w:r w:rsidRPr="008D5636">
        <w:t>.  Pourvoi rejeté.</w:t>
      </w:r>
    </w:p>
    <w:p w:rsidR="002F5AA4" w:rsidRPr="008D5636" w:rsidRDefault="002F5AA4" w:rsidP="002F5AA4">
      <w:pPr>
        <w:pStyle w:val="SCCNormalDoubleSpacing"/>
        <w:tabs>
          <w:tab w:val="left" w:pos="1170"/>
        </w:tabs>
        <w:spacing w:after="480"/>
        <w:rPr>
          <w:rStyle w:val="SCCCounselPartyRoleChar"/>
        </w:rPr>
      </w:pPr>
      <w:r w:rsidRPr="008D5636">
        <w:rPr>
          <w:rStyle w:val="SCCCounselNameChar"/>
        </w:rPr>
        <w:tab/>
      </w:r>
      <w:r w:rsidR="008A1810" w:rsidRPr="008D5636">
        <w:rPr>
          <w:rStyle w:val="SCCCounselNameChar"/>
        </w:rPr>
        <w:t>Mark Scott</w:t>
      </w:r>
      <w:r w:rsidRPr="008D5636">
        <w:rPr>
          <w:rStyle w:val="SCCCounselPartyRoleChar"/>
        </w:rPr>
        <w:t>, pour l’appelant</w:t>
      </w:r>
      <w:r w:rsidR="00302015" w:rsidRPr="008D5636">
        <w:rPr>
          <w:rStyle w:val="SCCCounselPartyRoleChar"/>
        </w:rPr>
        <w:t>e</w:t>
      </w:r>
      <w:r w:rsidRPr="008D5636">
        <w:rPr>
          <w:rStyle w:val="SCCCounselPartyRoleChar"/>
        </w:rPr>
        <w:t>.</w:t>
      </w:r>
    </w:p>
    <w:p w:rsidR="002F5AA4" w:rsidRPr="008D5636" w:rsidRDefault="002F5AA4" w:rsidP="002F5AA4">
      <w:pPr>
        <w:pStyle w:val="SCCNormalDoubleSpacing"/>
        <w:tabs>
          <w:tab w:val="left" w:pos="1170"/>
        </w:tabs>
        <w:spacing w:after="480"/>
        <w:rPr>
          <w:rStyle w:val="SCCCounselPartyRoleChar"/>
        </w:rPr>
      </w:pPr>
      <w:r w:rsidRPr="008D5636">
        <w:rPr>
          <w:rStyle w:val="SCCCounselPartyRoleChar"/>
        </w:rPr>
        <w:tab/>
      </w:r>
      <w:r w:rsidR="008A1810" w:rsidRPr="008D5636">
        <w:rPr>
          <w:rStyle w:val="SCCCounselPartyRoleChar"/>
          <w:i/>
        </w:rPr>
        <w:t>David J. Bright</w:t>
      </w:r>
      <w:r w:rsidRPr="008D5636">
        <w:rPr>
          <w:rStyle w:val="SCCCounselPartyRoleChar"/>
        </w:rPr>
        <w:t>,</w:t>
      </w:r>
      <w:r w:rsidRPr="008D5636">
        <w:rPr>
          <w:rStyle w:val="SCCCounselPartyRoleChar"/>
          <w:i/>
        </w:rPr>
        <w:t xml:space="preserve"> </w:t>
      </w:r>
      <w:proofErr w:type="gramStart"/>
      <w:r w:rsidRPr="008D5636">
        <w:rPr>
          <w:rStyle w:val="SCCCounselPartyRoleChar"/>
          <w:i/>
        </w:rPr>
        <w:t>c.r.</w:t>
      </w:r>
      <w:r w:rsidRPr="008D5636">
        <w:rPr>
          <w:rStyle w:val="SCCCounselPartyRoleChar"/>
        </w:rPr>
        <w:t>,</w:t>
      </w:r>
      <w:proofErr w:type="gramEnd"/>
      <w:r w:rsidRPr="008D5636">
        <w:rPr>
          <w:rStyle w:val="SCCCounselPartyRoleChar"/>
        </w:rPr>
        <w:t xml:space="preserve"> et </w:t>
      </w:r>
      <w:r w:rsidR="008A1810" w:rsidRPr="008D5636">
        <w:rPr>
          <w:rStyle w:val="SCCCounselPartyRoleChar"/>
          <w:i/>
        </w:rPr>
        <w:t>Brian P. Casey</w:t>
      </w:r>
      <w:r w:rsidRPr="008D5636">
        <w:rPr>
          <w:rStyle w:val="SCCCounselPartyRoleChar"/>
        </w:rPr>
        <w:t>, pour l’intimé.</w:t>
      </w:r>
    </w:p>
    <w:p w:rsidR="008A1810" w:rsidRPr="008D5636" w:rsidRDefault="008A1810" w:rsidP="002F5AA4">
      <w:pPr>
        <w:pStyle w:val="SCCNormalDoubleSpacing"/>
        <w:tabs>
          <w:tab w:val="left" w:pos="1170"/>
        </w:tabs>
        <w:spacing w:after="480"/>
        <w:rPr>
          <w:rStyle w:val="SCCCounselPartyRoleChar"/>
        </w:rPr>
      </w:pPr>
      <w:r w:rsidRPr="008D5636">
        <w:rPr>
          <w:rStyle w:val="SCCCounselPartyRoleChar"/>
        </w:rPr>
        <w:tab/>
      </w:r>
      <w:r w:rsidRPr="008D5636">
        <w:rPr>
          <w:rStyle w:val="SCCCounselPartyRoleChar"/>
          <w:i/>
        </w:rPr>
        <w:t>Jeffrey G. Johnston</w:t>
      </w:r>
      <w:r w:rsidRPr="008D5636">
        <w:rPr>
          <w:rStyle w:val="SCCCounselPartyRoleChar"/>
        </w:rPr>
        <w:t>, pour l’intervenant.</w:t>
      </w:r>
    </w:p>
    <w:p w:rsidR="002F5AA4" w:rsidRPr="008D5636" w:rsidRDefault="002F5AA4" w:rsidP="002F5AA4">
      <w:pPr>
        <w:pStyle w:val="SCCNormalDoubleSpacing"/>
        <w:tabs>
          <w:tab w:val="left" w:pos="1170"/>
        </w:tabs>
        <w:spacing w:after="480"/>
        <w:rPr>
          <w:szCs w:val="24"/>
        </w:rPr>
      </w:pPr>
      <w:r w:rsidRPr="008D5636">
        <w:rPr>
          <w:szCs w:val="24"/>
        </w:rPr>
        <w:tab/>
        <w:t xml:space="preserve">Version française du jugement de la Cour rendu oralement par </w:t>
      </w:r>
    </w:p>
    <w:p w:rsidR="002F5AA4" w:rsidRPr="008D5636" w:rsidRDefault="008A1810" w:rsidP="002F5AA4">
      <w:pPr>
        <w:pStyle w:val="ParaNoNdepar-AltN"/>
        <w:tabs>
          <w:tab w:val="num" w:pos="1152"/>
        </w:tabs>
        <w:ind w:left="0"/>
        <w:rPr>
          <w:i/>
          <w:lang w:val="fr-CA"/>
        </w:rPr>
      </w:pPr>
      <w:r w:rsidRPr="008D5636">
        <w:rPr>
          <w:rFonts w:asciiTheme="minorBidi" w:hAnsiTheme="minorBidi"/>
          <w:smallCaps/>
          <w:lang w:val="fr-CA"/>
        </w:rPr>
        <w:lastRenderedPageBreak/>
        <w:t xml:space="preserve">La Juge en </w:t>
      </w:r>
      <w:r w:rsidR="007C0205">
        <w:rPr>
          <w:rFonts w:asciiTheme="minorBidi" w:hAnsiTheme="minorBidi"/>
          <w:smallCaps/>
          <w:lang w:val="fr-CA"/>
        </w:rPr>
        <w:t>c</w:t>
      </w:r>
      <w:r w:rsidRPr="008D5636">
        <w:rPr>
          <w:rFonts w:asciiTheme="minorBidi" w:hAnsiTheme="minorBidi"/>
          <w:smallCaps/>
          <w:lang w:val="fr-CA"/>
        </w:rPr>
        <w:t>hef</w:t>
      </w:r>
      <w:r w:rsidRPr="008D5636">
        <w:rPr>
          <w:rFonts w:asciiTheme="minorBidi" w:hAnsiTheme="minorBidi"/>
          <w:lang w:val="fr-CA"/>
        </w:rPr>
        <w:t xml:space="preserve"> — Nous sommes tous d’accord avec l’opinion de la Cour d’appel, pour les motifs exprimés par le juge Beveridge, selon laquelle le droit de l’accusé de subir son procès dans un délai raisonnable a été violé.  L’appel est donc rejeté. </w:t>
      </w:r>
    </w:p>
    <w:p w:rsidR="002F5AA4" w:rsidRPr="008D5636" w:rsidRDefault="002F5AA4" w:rsidP="002F5AA4">
      <w:pPr>
        <w:pStyle w:val="ParaNoNdepar-AltN"/>
        <w:numPr>
          <w:ilvl w:val="0"/>
          <w:numId w:val="0"/>
        </w:numPr>
        <w:tabs>
          <w:tab w:val="left" w:pos="1170"/>
        </w:tabs>
        <w:rPr>
          <w:rStyle w:val="SCCCounselPartyRoleChar"/>
        </w:rPr>
      </w:pPr>
      <w:r w:rsidRPr="008D5636">
        <w:rPr>
          <w:i/>
          <w:lang w:val="fr-CA"/>
        </w:rPr>
        <w:tab/>
        <w:t>Jugement en conséquence.</w:t>
      </w:r>
    </w:p>
    <w:p w:rsidR="002F5AA4" w:rsidRPr="008D5636" w:rsidRDefault="002F5AA4" w:rsidP="002F5AA4">
      <w:pPr>
        <w:pStyle w:val="SCCNormalDoubleSpacing"/>
        <w:tabs>
          <w:tab w:val="left" w:pos="1170"/>
        </w:tabs>
        <w:spacing w:after="480"/>
      </w:pPr>
      <w:r w:rsidRPr="008D5636">
        <w:tab/>
      </w:r>
      <w:r w:rsidRPr="008D5636">
        <w:rPr>
          <w:i/>
        </w:rPr>
        <w:t>Procureur de l’appelant</w:t>
      </w:r>
      <w:r w:rsidR="00302015" w:rsidRPr="008D5636">
        <w:rPr>
          <w:i/>
        </w:rPr>
        <w:t>e</w:t>
      </w:r>
      <w:r w:rsidRPr="008D5636">
        <w:rPr>
          <w:i/>
        </w:rPr>
        <w:t> : </w:t>
      </w:r>
      <w:r w:rsidR="006021C4" w:rsidRPr="008D5636">
        <w:rPr>
          <w:i/>
        </w:rPr>
        <w:t xml:space="preserve">Public </w:t>
      </w:r>
      <w:proofErr w:type="spellStart"/>
      <w:r w:rsidR="006021C4" w:rsidRPr="008D5636">
        <w:rPr>
          <w:i/>
        </w:rPr>
        <w:t>Prosecution</w:t>
      </w:r>
      <w:proofErr w:type="spellEnd"/>
      <w:r w:rsidR="006021C4" w:rsidRPr="008D5636">
        <w:rPr>
          <w:i/>
        </w:rPr>
        <w:t xml:space="preserve"> Service of Nova </w:t>
      </w:r>
      <w:proofErr w:type="spellStart"/>
      <w:r w:rsidR="006021C4" w:rsidRPr="008D5636">
        <w:rPr>
          <w:i/>
        </w:rPr>
        <w:t>Scotia</w:t>
      </w:r>
      <w:proofErr w:type="spellEnd"/>
      <w:r w:rsidR="006021C4" w:rsidRPr="008D5636">
        <w:rPr>
          <w:i/>
        </w:rPr>
        <w:t>, Halifax</w:t>
      </w:r>
      <w:r w:rsidRPr="008D5636">
        <w:rPr>
          <w:i/>
        </w:rPr>
        <w:t>.</w:t>
      </w:r>
    </w:p>
    <w:p w:rsidR="002F5AA4" w:rsidRPr="008D5636" w:rsidRDefault="002F5AA4" w:rsidP="002F5AA4">
      <w:pPr>
        <w:pStyle w:val="SCCNormalDoubleSpacing"/>
        <w:tabs>
          <w:tab w:val="left" w:pos="1170"/>
        </w:tabs>
        <w:spacing w:after="480"/>
        <w:rPr>
          <w:i/>
        </w:rPr>
      </w:pPr>
      <w:r w:rsidRPr="008D5636">
        <w:tab/>
      </w:r>
      <w:r w:rsidRPr="008D5636">
        <w:rPr>
          <w:i/>
        </w:rPr>
        <w:t>Procureur</w:t>
      </w:r>
      <w:r w:rsidR="006021C4" w:rsidRPr="008D5636">
        <w:rPr>
          <w:i/>
        </w:rPr>
        <w:t>s</w:t>
      </w:r>
      <w:r w:rsidRPr="008D5636">
        <w:rPr>
          <w:i/>
        </w:rPr>
        <w:t xml:space="preserve"> de l’intimé : </w:t>
      </w:r>
      <w:r w:rsidR="006021C4" w:rsidRPr="008D5636">
        <w:rPr>
          <w:i/>
        </w:rPr>
        <w:t>Boyne Clarke</w:t>
      </w:r>
      <w:r w:rsidRPr="008D5636">
        <w:rPr>
          <w:i/>
        </w:rPr>
        <w:t xml:space="preserve">, </w:t>
      </w:r>
      <w:r w:rsidR="006021C4" w:rsidRPr="008D5636">
        <w:rPr>
          <w:i/>
        </w:rPr>
        <w:t>Dartmouth</w:t>
      </w:r>
      <w:r w:rsidRPr="008D5636">
        <w:rPr>
          <w:i/>
        </w:rPr>
        <w:t>.</w:t>
      </w:r>
    </w:p>
    <w:p w:rsidR="00E005E9" w:rsidRPr="006021C4" w:rsidRDefault="006021C4" w:rsidP="006021C4">
      <w:pPr>
        <w:pStyle w:val="SCCNormalDoubleSpacing"/>
        <w:tabs>
          <w:tab w:val="left" w:pos="1170"/>
        </w:tabs>
        <w:spacing w:after="480"/>
        <w:rPr>
          <w:i/>
        </w:rPr>
      </w:pPr>
      <w:r w:rsidRPr="008D5636">
        <w:tab/>
      </w:r>
      <w:r w:rsidRPr="008D5636">
        <w:rPr>
          <w:i/>
        </w:rPr>
        <w:t>Procureur de l’intervenant : Procureur général du Canada, Ottawa.</w:t>
      </w:r>
    </w:p>
    <w:sectPr w:rsidR="00E005E9" w:rsidRPr="006021C4" w:rsidSect="00E005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B7" w:rsidRDefault="00262DB7" w:rsidP="00B5635C">
      <w:r>
        <w:separator/>
      </w:r>
    </w:p>
  </w:endnote>
  <w:endnote w:type="continuationSeparator" w:id="0">
    <w:p w:rsidR="00262DB7" w:rsidRDefault="00262DB7" w:rsidP="00B56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B7" w:rsidRDefault="00262D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B7" w:rsidRDefault="00262D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B7" w:rsidRDefault="00262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B7" w:rsidRDefault="00262DB7" w:rsidP="00B5635C">
      <w:r>
        <w:separator/>
      </w:r>
    </w:p>
  </w:footnote>
  <w:footnote w:type="continuationSeparator" w:id="0">
    <w:p w:rsidR="00262DB7" w:rsidRDefault="00262DB7" w:rsidP="00B56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B7" w:rsidRDefault="00262D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B7" w:rsidRDefault="00262D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B7" w:rsidRDefault="00262D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05C00208"/>
    <w:lvl w:ilvl="0">
      <w:start w:val="1"/>
      <w:numFmt w:val="decimal"/>
      <w:pStyle w:val="ParaNoNdepar-AltN"/>
      <w:lvlText w:val="[%1]"/>
      <w:lvlJc w:val="left"/>
      <w:pPr>
        <w:tabs>
          <w:tab w:val="num" w:pos="1512"/>
        </w:tabs>
        <w:ind w:left="360" w:firstLine="0"/>
      </w:pPr>
      <w:rPr>
        <w:rFonts w:ascii="Times New Roman" w:hAnsi="Times New Roman" w:cs="Times New Roman" w:hint="default"/>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rsids>
    <w:rsidRoot w:val="002F5AA4"/>
    <w:rsid w:val="00084409"/>
    <w:rsid w:val="00116D15"/>
    <w:rsid w:val="0013481D"/>
    <w:rsid w:val="00145655"/>
    <w:rsid w:val="00150E8F"/>
    <w:rsid w:val="00160E84"/>
    <w:rsid w:val="00217496"/>
    <w:rsid w:val="00242E70"/>
    <w:rsid w:val="00246697"/>
    <w:rsid w:val="00262DB7"/>
    <w:rsid w:val="00293A64"/>
    <w:rsid w:val="00295F78"/>
    <w:rsid w:val="002A0198"/>
    <w:rsid w:val="002A7576"/>
    <w:rsid w:val="002F5AA4"/>
    <w:rsid w:val="00302015"/>
    <w:rsid w:val="0030585A"/>
    <w:rsid w:val="00327E83"/>
    <w:rsid w:val="00395085"/>
    <w:rsid w:val="00406986"/>
    <w:rsid w:val="004101EB"/>
    <w:rsid w:val="00416764"/>
    <w:rsid w:val="00432F84"/>
    <w:rsid w:val="00473CFF"/>
    <w:rsid w:val="0055276C"/>
    <w:rsid w:val="005C73DF"/>
    <w:rsid w:val="005E5420"/>
    <w:rsid w:val="006021C4"/>
    <w:rsid w:val="006957B5"/>
    <w:rsid w:val="00697D41"/>
    <w:rsid w:val="006B20A1"/>
    <w:rsid w:val="006B6CE1"/>
    <w:rsid w:val="006D1254"/>
    <w:rsid w:val="007500B3"/>
    <w:rsid w:val="007C0205"/>
    <w:rsid w:val="007C5B19"/>
    <w:rsid w:val="00825940"/>
    <w:rsid w:val="00883690"/>
    <w:rsid w:val="008A1810"/>
    <w:rsid w:val="008A497B"/>
    <w:rsid w:val="008A660E"/>
    <w:rsid w:val="008D5636"/>
    <w:rsid w:val="008E6D14"/>
    <w:rsid w:val="0091076C"/>
    <w:rsid w:val="0097223D"/>
    <w:rsid w:val="00A51AE0"/>
    <w:rsid w:val="00A643D4"/>
    <w:rsid w:val="00A83A5E"/>
    <w:rsid w:val="00AB20D0"/>
    <w:rsid w:val="00B5635C"/>
    <w:rsid w:val="00B60F6B"/>
    <w:rsid w:val="00B70B8D"/>
    <w:rsid w:val="00B71B15"/>
    <w:rsid w:val="00B76164"/>
    <w:rsid w:val="00C078BF"/>
    <w:rsid w:val="00C334D8"/>
    <w:rsid w:val="00C76BFB"/>
    <w:rsid w:val="00C87C1C"/>
    <w:rsid w:val="00CB54FB"/>
    <w:rsid w:val="00D542DC"/>
    <w:rsid w:val="00E005E9"/>
    <w:rsid w:val="00E23DE9"/>
    <w:rsid w:val="00E43061"/>
    <w:rsid w:val="00E71718"/>
    <w:rsid w:val="00EE3FC6"/>
    <w:rsid w:val="00F0532D"/>
    <w:rsid w:val="00F1312C"/>
    <w:rsid w:val="00F63E92"/>
    <w:rsid w:val="00F81AFB"/>
    <w:rsid w:val="00F92DD5"/>
    <w:rsid w:val="00FA1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A4"/>
    <w:rPr>
      <w:sz w:val="24"/>
      <w:lang w:val="fr-CA"/>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character" w:customStyle="1" w:styleId="SCCNormalDoubleSpacingChar">
    <w:name w:val="SCC.Normal.DoubleSpacing Char"/>
    <w:basedOn w:val="DefaultParagraphFont"/>
    <w:link w:val="SCCNormalDoubleSpacing"/>
    <w:locked/>
    <w:rsid w:val="002F5AA4"/>
    <w:rPr>
      <w:sz w:val="24"/>
      <w:lang w:val="fr-CA"/>
    </w:rPr>
  </w:style>
  <w:style w:type="paragraph" w:customStyle="1" w:styleId="SCCNormalDoubleSpacing">
    <w:name w:val="SCC.Normal.DoubleSpacing"/>
    <w:basedOn w:val="Normal"/>
    <w:link w:val="SCCNormalDoubleSpacingChar"/>
    <w:rsid w:val="002F5AA4"/>
    <w:pPr>
      <w:spacing w:line="480" w:lineRule="auto"/>
      <w:jc w:val="both"/>
    </w:pPr>
  </w:style>
  <w:style w:type="character" w:customStyle="1" w:styleId="SCCLsocPartyChar">
    <w:name w:val="SCC.Lsoc.Party Char"/>
    <w:basedOn w:val="DefaultParagraphFont"/>
    <w:link w:val="SCCLsocParty"/>
    <w:locked/>
    <w:rsid w:val="002F5AA4"/>
    <w:rPr>
      <w:b/>
      <w:sz w:val="24"/>
      <w:lang w:val="fr-CA"/>
    </w:rPr>
  </w:style>
  <w:style w:type="paragraph" w:customStyle="1" w:styleId="SCCLsocParty">
    <w:name w:val="SCC.Lsoc.Party"/>
    <w:basedOn w:val="Normal"/>
    <w:next w:val="Normal"/>
    <w:link w:val="SCCLsocPartyChar"/>
    <w:rsid w:val="002F5AA4"/>
    <w:pPr>
      <w:jc w:val="both"/>
    </w:pPr>
    <w:rPr>
      <w:b/>
    </w:rPr>
  </w:style>
  <w:style w:type="character" w:customStyle="1" w:styleId="SCCLsocVersusChar">
    <w:name w:val="SCC.Lsoc.Versus Char"/>
    <w:basedOn w:val="DefaultParagraphFont"/>
    <w:link w:val="SCCLsocVersus"/>
    <w:locked/>
    <w:rsid w:val="002F5AA4"/>
    <w:rPr>
      <w:i/>
      <w:sz w:val="24"/>
      <w:lang w:val="fr-CA"/>
    </w:rPr>
  </w:style>
  <w:style w:type="paragraph" w:customStyle="1" w:styleId="SCCLsocVersus">
    <w:name w:val="SCC.Lsoc.Versus"/>
    <w:basedOn w:val="Normal"/>
    <w:next w:val="Normal"/>
    <w:link w:val="SCCLsocVersusChar"/>
    <w:rsid w:val="002F5AA4"/>
    <w:rPr>
      <w:i/>
    </w:rPr>
  </w:style>
  <w:style w:type="character" w:customStyle="1" w:styleId="SCCRespondentForRunningHeadChar">
    <w:name w:val="SCC.RespondentForRunningHead Char"/>
    <w:basedOn w:val="DefaultParagraphFont"/>
    <w:link w:val="SCCRespondentForRunningHead"/>
    <w:locked/>
    <w:rsid w:val="002F5AA4"/>
    <w:rPr>
      <w:smallCaps/>
      <w:sz w:val="24"/>
      <w:lang w:val="fr-CA"/>
    </w:rPr>
  </w:style>
  <w:style w:type="paragraph" w:customStyle="1" w:styleId="SCCRespondentForRunningHead">
    <w:name w:val="SCC.RespondentForRunningHead"/>
    <w:basedOn w:val="Normal"/>
    <w:next w:val="Normal"/>
    <w:link w:val="SCCRespondentForRunningHeadChar"/>
    <w:rsid w:val="002F5AA4"/>
    <w:rPr>
      <w:smallCaps/>
    </w:rPr>
  </w:style>
  <w:style w:type="character" w:customStyle="1" w:styleId="SCCSystemYearChar">
    <w:name w:val="SCC.SystemYear Char"/>
    <w:basedOn w:val="DefaultParagraphFont"/>
    <w:link w:val="SCCSystemYear"/>
    <w:locked/>
    <w:rsid w:val="002F5AA4"/>
    <w:rPr>
      <w:b/>
      <w:sz w:val="24"/>
      <w:lang w:val="fr-CA"/>
    </w:rPr>
  </w:style>
  <w:style w:type="paragraph" w:customStyle="1" w:styleId="SCCSystemYear">
    <w:name w:val="SCC.SystemYear"/>
    <w:basedOn w:val="Normal"/>
    <w:next w:val="Normal"/>
    <w:link w:val="SCCSystemYearChar"/>
    <w:rsid w:val="002F5AA4"/>
    <w:rPr>
      <w:b/>
    </w:rPr>
  </w:style>
  <w:style w:type="character" w:customStyle="1" w:styleId="SCCCounselNameChar">
    <w:name w:val="SCC.CounselName Char"/>
    <w:basedOn w:val="SCCNormalDoubleSpacingChar"/>
    <w:link w:val="SCCCounselName"/>
    <w:locked/>
    <w:rsid w:val="002F5AA4"/>
    <w:rPr>
      <w:i/>
    </w:rPr>
  </w:style>
  <w:style w:type="paragraph" w:customStyle="1" w:styleId="SCCCounselName">
    <w:name w:val="SCC.CounselName"/>
    <w:basedOn w:val="SCCNormalDoubleSpacing"/>
    <w:next w:val="SCCNormalDoubleSpacing"/>
    <w:link w:val="SCCCounselNameChar"/>
    <w:rsid w:val="002F5AA4"/>
    <w:rPr>
      <w:i/>
    </w:rPr>
  </w:style>
  <w:style w:type="character" w:customStyle="1" w:styleId="SCCCounselPartyRoleChar">
    <w:name w:val="SCC.CounselPartyRole Char"/>
    <w:basedOn w:val="SCCNormalDoubleSpacingChar"/>
    <w:link w:val="SCCCounselPartyRole"/>
    <w:locked/>
    <w:rsid w:val="002F5AA4"/>
  </w:style>
  <w:style w:type="paragraph" w:customStyle="1" w:styleId="SCCCounselPartyRole">
    <w:name w:val="SCC.CounselPartyRole"/>
    <w:basedOn w:val="SCCNormalDoubleSpacing"/>
    <w:next w:val="SCCNormalDoubleSpacing"/>
    <w:link w:val="SCCCounselPartyRoleChar"/>
    <w:rsid w:val="002F5AA4"/>
  </w:style>
  <w:style w:type="paragraph" w:customStyle="1" w:styleId="ParaNoNdepar-AltN">
    <w:name w:val="Para. No. / Nº de par. - Alt N"/>
    <w:qFormat/>
    <w:rsid w:val="002F5AA4"/>
    <w:pPr>
      <w:numPr>
        <w:numId w:val="1"/>
      </w:numPr>
      <w:spacing w:before="480" w:after="480" w:line="480" w:lineRule="auto"/>
      <w:jc w:val="both"/>
    </w:pPr>
    <w:rPr>
      <w:rFonts w:eastAsiaTheme="minorEastAsia" w:cstheme="minorBidi"/>
      <w:sz w:val="24"/>
      <w:szCs w:val="22"/>
      <w:lang w:eastAsia="en-US"/>
    </w:rPr>
  </w:style>
  <w:style w:type="paragraph" w:styleId="Header">
    <w:name w:val="header"/>
    <w:basedOn w:val="Normal"/>
    <w:link w:val="HeaderChar"/>
    <w:uiPriority w:val="99"/>
    <w:semiHidden/>
    <w:unhideWhenUsed/>
    <w:rsid w:val="00B5635C"/>
    <w:pPr>
      <w:tabs>
        <w:tab w:val="center" w:pos="4153"/>
        <w:tab w:val="right" w:pos="8306"/>
      </w:tabs>
    </w:pPr>
  </w:style>
  <w:style w:type="character" w:customStyle="1" w:styleId="HeaderChar">
    <w:name w:val="Header Char"/>
    <w:basedOn w:val="DefaultParagraphFont"/>
    <w:link w:val="Header"/>
    <w:uiPriority w:val="99"/>
    <w:semiHidden/>
    <w:rsid w:val="00B5635C"/>
    <w:rPr>
      <w:sz w:val="24"/>
      <w:lang w:val="fr-CA"/>
    </w:rPr>
  </w:style>
  <w:style w:type="paragraph" w:styleId="Footer">
    <w:name w:val="footer"/>
    <w:basedOn w:val="Normal"/>
    <w:link w:val="FooterChar"/>
    <w:uiPriority w:val="99"/>
    <w:semiHidden/>
    <w:unhideWhenUsed/>
    <w:rsid w:val="00B5635C"/>
    <w:pPr>
      <w:tabs>
        <w:tab w:val="center" w:pos="4153"/>
        <w:tab w:val="right" w:pos="8306"/>
      </w:tabs>
    </w:pPr>
  </w:style>
  <w:style w:type="character" w:customStyle="1" w:styleId="FooterChar">
    <w:name w:val="Footer Char"/>
    <w:basedOn w:val="DefaultParagraphFont"/>
    <w:link w:val="Footer"/>
    <w:uiPriority w:val="99"/>
    <w:semiHidden/>
    <w:rsid w:val="00B5635C"/>
    <w:rPr>
      <w:sz w:val="24"/>
      <w:lang w:val="fr-CA"/>
    </w:rPr>
  </w:style>
  <w:style w:type="table" w:styleId="TableGrid">
    <w:name w:val="Table Grid"/>
    <w:basedOn w:val="TableNormal"/>
    <w:uiPriority w:val="59"/>
    <w:rsid w:val="006D125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90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448</Words>
  <Characters>2469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SCC-CSC</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23</cp:revision>
  <cp:lastPrinted>2013-05-22T14:23:00Z</cp:lastPrinted>
  <dcterms:created xsi:type="dcterms:W3CDTF">2013-05-22T12:39:00Z</dcterms:created>
  <dcterms:modified xsi:type="dcterms:W3CDTF">2014-03-20T19:53:00Z</dcterms:modified>
</cp:coreProperties>
</file>