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51" w:rsidRPr="007E6A98" w:rsidRDefault="00F97F51" w:rsidP="00F97F51">
      <w:pPr>
        <w:tabs>
          <w:tab w:val="center" w:pos="4680"/>
          <w:tab w:val="right" w:pos="9360"/>
        </w:tabs>
        <w:jc w:val="center"/>
        <w:rPr>
          <w:rFonts w:eastAsiaTheme="minorHAnsi" w:cstheme="minorBidi"/>
          <w:szCs w:val="24"/>
          <w:lang w:val="fr-CA" w:eastAsia="en-US"/>
        </w:rPr>
      </w:pPr>
      <w:r w:rsidRPr="007E6A9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8384919" r:id="rId8"/>
        </w:object>
      </w:r>
    </w:p>
    <w:p w:rsidR="00F97F51" w:rsidRPr="007E6A98" w:rsidRDefault="00F97F51" w:rsidP="00F97F51">
      <w:pPr>
        <w:tabs>
          <w:tab w:val="center" w:pos="4680"/>
          <w:tab w:val="right" w:pos="9360"/>
        </w:tabs>
        <w:rPr>
          <w:rFonts w:eastAsiaTheme="minorHAnsi" w:cstheme="minorBidi"/>
          <w:szCs w:val="24"/>
          <w:lang w:val="fr-CA" w:eastAsia="en-US"/>
        </w:rPr>
      </w:pPr>
    </w:p>
    <w:p w:rsidR="00F97F51" w:rsidRPr="007E6A98" w:rsidRDefault="00F97F51" w:rsidP="00F97F51">
      <w:pPr>
        <w:jc w:val="center"/>
        <w:rPr>
          <w:rFonts w:eastAsiaTheme="minorHAnsi" w:cstheme="minorBidi"/>
          <w:b/>
          <w:szCs w:val="24"/>
          <w:lang w:val="fr-CA" w:eastAsia="en-US"/>
        </w:rPr>
      </w:pPr>
      <w:r w:rsidRPr="007E6A98">
        <w:rPr>
          <w:rFonts w:eastAsiaTheme="minorHAnsi" w:cstheme="minorBidi"/>
          <w:b/>
          <w:szCs w:val="24"/>
          <w:lang w:val="fr-CA" w:eastAsia="en-US"/>
        </w:rPr>
        <w:t>COUR SUPRÊME DU CANADA</w:t>
      </w:r>
    </w:p>
    <w:p w:rsidR="00F97F51" w:rsidRPr="007E6A98" w:rsidRDefault="00F97F51" w:rsidP="00F97F51">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97F51" w:rsidRPr="007E6A98" w:rsidTr="00666EE5">
        <w:trPr>
          <w:cantSplit/>
        </w:trPr>
        <w:tc>
          <w:tcPr>
            <w:tcW w:w="6768" w:type="dxa"/>
          </w:tcPr>
          <w:p w:rsidR="00F97F51" w:rsidRPr="007E6A98" w:rsidRDefault="00F97F51" w:rsidP="00666EE5">
            <w:pPr>
              <w:rPr>
                <w:lang w:val="fr-CA"/>
              </w:rPr>
            </w:pPr>
            <w:r w:rsidRPr="007E6A98">
              <w:rPr>
                <w:b/>
                <w:smallCaps/>
                <w:lang w:val="fr-CA"/>
              </w:rPr>
              <w:t>Référence :</w:t>
            </w:r>
            <w:r w:rsidRPr="007E6A98">
              <w:rPr>
                <w:lang w:val="fr-CA"/>
              </w:rPr>
              <w:t xml:space="preserve"> Nishi</w:t>
            </w:r>
            <w:r w:rsidRPr="007E6A98">
              <w:rPr>
                <w:i/>
                <w:iCs/>
                <w:color w:val="000000" w:themeColor="text1"/>
                <w:lang w:val="fr-CA"/>
              </w:rPr>
              <w:t xml:space="preserve"> c.</w:t>
            </w:r>
            <w:r w:rsidRPr="007E6A98">
              <w:rPr>
                <w:iCs/>
                <w:color w:val="000000" w:themeColor="text1"/>
                <w:lang w:val="fr-CA"/>
              </w:rPr>
              <w:t xml:space="preserve"> </w:t>
            </w:r>
            <w:proofErr w:type="spellStart"/>
            <w:r w:rsidRPr="007E6A98">
              <w:rPr>
                <w:lang w:val="fr-CA"/>
              </w:rPr>
              <w:t>Rascal</w:t>
            </w:r>
            <w:proofErr w:type="spellEnd"/>
            <w:r w:rsidRPr="007E6A98">
              <w:rPr>
                <w:lang w:val="fr-CA"/>
              </w:rPr>
              <w:t xml:space="preserve"> </w:t>
            </w:r>
            <w:proofErr w:type="spellStart"/>
            <w:r w:rsidRPr="007E6A98">
              <w:rPr>
                <w:lang w:val="fr-CA"/>
              </w:rPr>
              <w:t>Trucking</w:t>
            </w:r>
            <w:proofErr w:type="spellEnd"/>
            <w:r w:rsidRPr="007E6A98">
              <w:rPr>
                <w:lang w:val="fr-CA"/>
              </w:rPr>
              <w:t xml:space="preserve"> Ltd.</w:t>
            </w:r>
            <w:r w:rsidRPr="007E6A98">
              <w:rPr>
                <w:iCs/>
                <w:color w:val="000000" w:themeColor="text1"/>
                <w:lang w:val="fr-CA"/>
              </w:rPr>
              <w:t>,</w:t>
            </w:r>
            <w:r w:rsidRPr="007E6A98">
              <w:rPr>
                <w:i/>
                <w:lang w:val="fr-CA"/>
              </w:rPr>
              <w:t xml:space="preserve"> </w:t>
            </w:r>
            <w:r>
              <w:t>2013 CSC 33, [2013] 2 R.C.S. 438</w:t>
            </w:r>
          </w:p>
        </w:tc>
        <w:tc>
          <w:tcPr>
            <w:tcW w:w="2808" w:type="dxa"/>
          </w:tcPr>
          <w:p w:rsidR="00F97F51" w:rsidRPr="007E6A98" w:rsidRDefault="00F97F51" w:rsidP="00666EE5">
            <w:pPr>
              <w:rPr>
                <w:lang w:val="fr-CA"/>
              </w:rPr>
            </w:pPr>
            <w:r w:rsidRPr="007E6A98">
              <w:rPr>
                <w:b/>
                <w:smallCaps/>
                <w:lang w:val="fr-CA"/>
              </w:rPr>
              <w:t>Date :</w:t>
            </w:r>
            <w:r w:rsidRPr="007E6A98">
              <w:rPr>
                <w:lang w:val="fr-CA"/>
              </w:rPr>
              <w:t xml:space="preserve"> 20130613</w:t>
            </w:r>
          </w:p>
          <w:p w:rsidR="00F97F51" w:rsidRPr="007E6A98" w:rsidRDefault="00F97F51" w:rsidP="00666EE5">
            <w:pPr>
              <w:rPr>
                <w:lang w:val="fr-CA"/>
              </w:rPr>
            </w:pPr>
            <w:r w:rsidRPr="007E6A98">
              <w:rPr>
                <w:b/>
                <w:smallCaps/>
                <w:lang w:val="fr-CA"/>
              </w:rPr>
              <w:t>Dossier :</w:t>
            </w:r>
            <w:r w:rsidRPr="007E6A98">
              <w:rPr>
                <w:lang w:val="fr-CA"/>
              </w:rPr>
              <w:t xml:space="preserve"> 34510</w:t>
            </w:r>
          </w:p>
        </w:tc>
      </w:tr>
    </w:tbl>
    <w:p w:rsidR="00F97F51" w:rsidRPr="007E6A98" w:rsidRDefault="00F97F51" w:rsidP="00F97F51">
      <w:pPr>
        <w:rPr>
          <w:rFonts w:eastAsiaTheme="minorHAnsi" w:cstheme="minorBidi"/>
          <w:szCs w:val="24"/>
          <w:lang w:val="fr-CA" w:eastAsia="en-US"/>
        </w:rPr>
      </w:pPr>
    </w:p>
    <w:p w:rsidR="00F97F51" w:rsidRPr="007E6A98" w:rsidRDefault="00F97F51" w:rsidP="00F97F51">
      <w:pPr>
        <w:rPr>
          <w:rFonts w:eastAsiaTheme="minorHAnsi" w:cstheme="minorBidi"/>
          <w:b/>
          <w:smallCaps/>
          <w:szCs w:val="24"/>
          <w:lang w:val="fr-CA" w:eastAsia="en-US"/>
        </w:rPr>
      </w:pPr>
      <w:r w:rsidRPr="007E6A98">
        <w:rPr>
          <w:rFonts w:eastAsiaTheme="minorHAnsi" w:cstheme="minorBidi"/>
          <w:b/>
          <w:smallCaps/>
          <w:szCs w:val="24"/>
          <w:lang w:val="fr-CA" w:eastAsia="en-US"/>
        </w:rPr>
        <w:t>Entre :</w:t>
      </w:r>
    </w:p>
    <w:p w:rsidR="00F97F51" w:rsidRPr="007E6A98" w:rsidRDefault="00F97F51" w:rsidP="00F97F51">
      <w:pPr>
        <w:jc w:val="center"/>
        <w:rPr>
          <w:rFonts w:eastAsiaTheme="minorHAnsi" w:cstheme="minorBidi"/>
          <w:b/>
          <w:szCs w:val="24"/>
          <w:lang w:val="fr-CA" w:eastAsia="en-US"/>
        </w:rPr>
      </w:pPr>
      <w:r w:rsidRPr="007E6A98">
        <w:rPr>
          <w:rFonts w:eastAsiaTheme="minorHAnsi" w:cstheme="minorBidi"/>
          <w:b/>
          <w:szCs w:val="24"/>
          <w:lang w:val="fr-CA" w:eastAsia="en-US"/>
        </w:rPr>
        <w:t xml:space="preserve">Edward </w:t>
      </w:r>
      <w:proofErr w:type="spellStart"/>
      <w:r w:rsidRPr="007E6A98">
        <w:rPr>
          <w:rFonts w:eastAsiaTheme="minorHAnsi" w:cstheme="minorBidi"/>
          <w:b/>
          <w:szCs w:val="24"/>
          <w:lang w:val="fr-CA" w:eastAsia="en-US"/>
        </w:rPr>
        <w:t>Sumio</w:t>
      </w:r>
      <w:proofErr w:type="spellEnd"/>
      <w:r w:rsidRPr="007E6A98">
        <w:rPr>
          <w:rFonts w:eastAsiaTheme="minorHAnsi" w:cstheme="minorBidi"/>
          <w:b/>
          <w:szCs w:val="24"/>
          <w:lang w:val="fr-CA" w:eastAsia="en-US"/>
        </w:rPr>
        <w:t xml:space="preserve"> Nishi</w:t>
      </w:r>
    </w:p>
    <w:p w:rsidR="00F97F51" w:rsidRPr="007E6A98" w:rsidRDefault="00F97F51" w:rsidP="00F97F51">
      <w:pPr>
        <w:jc w:val="center"/>
        <w:rPr>
          <w:rFonts w:eastAsiaTheme="minorHAnsi" w:cstheme="minorBidi"/>
          <w:szCs w:val="24"/>
          <w:lang w:val="fr-CA" w:eastAsia="en-US"/>
        </w:rPr>
      </w:pPr>
      <w:r w:rsidRPr="007E6A98">
        <w:rPr>
          <w:rFonts w:eastAsiaTheme="minorHAnsi" w:cstheme="minorBidi"/>
          <w:szCs w:val="24"/>
          <w:lang w:val="fr-CA" w:eastAsia="en-US"/>
        </w:rPr>
        <w:t>Appelant</w:t>
      </w:r>
    </w:p>
    <w:p w:rsidR="00F97F51" w:rsidRPr="007E6A98" w:rsidRDefault="00F97F51" w:rsidP="00F97F51">
      <w:pPr>
        <w:jc w:val="center"/>
        <w:rPr>
          <w:rFonts w:eastAsiaTheme="minorHAnsi" w:cstheme="minorBidi"/>
          <w:szCs w:val="24"/>
          <w:lang w:val="fr-CA" w:eastAsia="en-US"/>
        </w:rPr>
      </w:pPr>
      <w:proofErr w:type="gramStart"/>
      <w:r w:rsidRPr="007E6A98">
        <w:rPr>
          <w:rFonts w:eastAsiaTheme="minorHAnsi" w:cstheme="minorBidi"/>
          <w:szCs w:val="24"/>
          <w:lang w:val="fr-CA" w:eastAsia="en-US"/>
        </w:rPr>
        <w:t>et</w:t>
      </w:r>
      <w:proofErr w:type="gramEnd"/>
    </w:p>
    <w:p w:rsidR="00F97F51" w:rsidRPr="007E6A98" w:rsidRDefault="00F97F51" w:rsidP="00F97F51">
      <w:pPr>
        <w:jc w:val="center"/>
        <w:rPr>
          <w:rFonts w:eastAsiaTheme="minorHAnsi" w:cstheme="minorBidi"/>
          <w:b/>
          <w:szCs w:val="24"/>
          <w:lang w:val="fr-CA" w:eastAsia="en-US"/>
        </w:rPr>
      </w:pPr>
      <w:proofErr w:type="spellStart"/>
      <w:r w:rsidRPr="007E6A98">
        <w:rPr>
          <w:rFonts w:eastAsiaTheme="minorHAnsi" w:cstheme="minorBidi"/>
          <w:b/>
          <w:szCs w:val="24"/>
          <w:lang w:val="fr-CA" w:eastAsia="en-US"/>
        </w:rPr>
        <w:t>Rascal</w:t>
      </w:r>
      <w:proofErr w:type="spellEnd"/>
      <w:r w:rsidRPr="007E6A98">
        <w:rPr>
          <w:rFonts w:eastAsiaTheme="minorHAnsi" w:cstheme="minorBidi"/>
          <w:b/>
          <w:szCs w:val="24"/>
          <w:lang w:val="fr-CA" w:eastAsia="en-US"/>
        </w:rPr>
        <w:t xml:space="preserve"> </w:t>
      </w:r>
      <w:proofErr w:type="spellStart"/>
      <w:r w:rsidRPr="007E6A98">
        <w:rPr>
          <w:rFonts w:eastAsiaTheme="minorHAnsi" w:cstheme="minorBidi"/>
          <w:b/>
          <w:szCs w:val="24"/>
          <w:lang w:val="fr-CA" w:eastAsia="en-US"/>
        </w:rPr>
        <w:t>Trucking</w:t>
      </w:r>
      <w:proofErr w:type="spellEnd"/>
      <w:r w:rsidRPr="007E6A98">
        <w:rPr>
          <w:rFonts w:eastAsiaTheme="minorHAnsi" w:cstheme="minorBidi"/>
          <w:b/>
          <w:szCs w:val="24"/>
          <w:lang w:val="fr-CA" w:eastAsia="en-US"/>
        </w:rPr>
        <w:t xml:space="preserve"> Ltd.</w:t>
      </w:r>
    </w:p>
    <w:p w:rsidR="00F97F51" w:rsidRPr="007E6A98" w:rsidRDefault="00F97F51" w:rsidP="00F97F51">
      <w:pPr>
        <w:jc w:val="center"/>
        <w:rPr>
          <w:rFonts w:eastAsiaTheme="minorHAnsi" w:cstheme="minorBidi"/>
          <w:szCs w:val="24"/>
          <w:lang w:val="fr-CA" w:eastAsia="en-US"/>
        </w:rPr>
      </w:pPr>
      <w:r w:rsidRPr="007E6A98">
        <w:rPr>
          <w:rFonts w:eastAsiaTheme="minorHAnsi" w:cstheme="minorBidi"/>
          <w:szCs w:val="24"/>
          <w:lang w:val="fr-CA" w:eastAsia="en-US"/>
        </w:rPr>
        <w:t>Intimée</w:t>
      </w:r>
    </w:p>
    <w:p w:rsidR="00F97F51" w:rsidRPr="007E6A98" w:rsidRDefault="00F97F51" w:rsidP="00F97F51">
      <w:pPr>
        <w:rPr>
          <w:rFonts w:eastAsiaTheme="minorHAnsi" w:cstheme="minorBidi"/>
          <w:szCs w:val="24"/>
          <w:lang w:val="fr-CA" w:eastAsia="en-US"/>
        </w:rPr>
      </w:pPr>
    </w:p>
    <w:p w:rsidR="00F97F51" w:rsidRPr="007E6A98" w:rsidRDefault="00F97F51" w:rsidP="00F97F51">
      <w:pPr>
        <w:jc w:val="center"/>
        <w:rPr>
          <w:rFonts w:eastAsiaTheme="minorHAnsi" w:cstheme="minorBidi"/>
          <w:b/>
          <w:smallCaps/>
          <w:szCs w:val="24"/>
          <w:lang w:val="fr-CA" w:eastAsia="en-US"/>
        </w:rPr>
      </w:pPr>
      <w:r w:rsidRPr="007E6A98">
        <w:rPr>
          <w:rFonts w:eastAsiaTheme="minorHAnsi" w:cstheme="minorBidi"/>
          <w:b/>
          <w:smallCaps/>
          <w:szCs w:val="24"/>
          <w:lang w:val="fr-CA" w:eastAsia="en-US"/>
        </w:rPr>
        <w:t>Traduction française officielle</w:t>
      </w:r>
    </w:p>
    <w:p w:rsidR="00F97F51" w:rsidRPr="007E6A98" w:rsidRDefault="00F97F51" w:rsidP="00F97F51">
      <w:pPr>
        <w:rPr>
          <w:rFonts w:eastAsiaTheme="minorHAnsi" w:cstheme="minorBidi"/>
          <w:szCs w:val="24"/>
          <w:lang w:val="fr-CA" w:eastAsia="en-US"/>
        </w:rPr>
      </w:pPr>
    </w:p>
    <w:p w:rsidR="00F97F51" w:rsidRPr="007E6A98" w:rsidRDefault="00F97F51" w:rsidP="00F97F51">
      <w:pPr>
        <w:rPr>
          <w:rFonts w:eastAsiaTheme="minorHAnsi" w:cstheme="minorBidi"/>
          <w:szCs w:val="24"/>
          <w:lang w:val="fr-CA" w:eastAsia="en-US"/>
        </w:rPr>
      </w:pPr>
      <w:r w:rsidRPr="007E6A98">
        <w:rPr>
          <w:rFonts w:eastAsiaTheme="minorHAnsi" w:cstheme="minorBidi"/>
          <w:b/>
          <w:smallCaps/>
          <w:szCs w:val="24"/>
          <w:lang w:val="fr-CA" w:eastAsia="en-US"/>
        </w:rPr>
        <w:t>Coram :</w:t>
      </w:r>
      <w:r w:rsidRPr="007E6A98">
        <w:rPr>
          <w:rFonts w:eastAsiaTheme="minorHAnsi" w:cstheme="minorBidi"/>
          <w:szCs w:val="24"/>
          <w:lang w:val="fr-CA" w:eastAsia="en-US"/>
        </w:rPr>
        <w:t xml:space="preserve"> La juge en chef McLachlin et les juges </w:t>
      </w:r>
      <w:proofErr w:type="spellStart"/>
      <w:r w:rsidRPr="007E6A98">
        <w:rPr>
          <w:rFonts w:eastAsiaTheme="minorHAnsi" w:cstheme="minorBidi"/>
          <w:szCs w:val="24"/>
          <w:lang w:val="fr-CA" w:eastAsia="en-US"/>
        </w:rPr>
        <w:t>LeBel</w:t>
      </w:r>
      <w:proofErr w:type="spellEnd"/>
      <w:r w:rsidRPr="007E6A98">
        <w:rPr>
          <w:rFonts w:eastAsiaTheme="minorHAnsi" w:cstheme="minorBidi"/>
          <w:szCs w:val="24"/>
          <w:lang w:val="fr-CA" w:eastAsia="en-US"/>
        </w:rPr>
        <w:t xml:space="preserve">, Abella, </w:t>
      </w:r>
      <w:proofErr w:type="spellStart"/>
      <w:r w:rsidRPr="007E6A98">
        <w:rPr>
          <w:rFonts w:eastAsiaTheme="minorHAnsi" w:cstheme="minorBidi"/>
          <w:szCs w:val="24"/>
          <w:lang w:val="fr-CA" w:eastAsia="en-US"/>
        </w:rPr>
        <w:t>Rothstein</w:t>
      </w:r>
      <w:proofErr w:type="spellEnd"/>
      <w:r w:rsidRPr="007E6A98">
        <w:rPr>
          <w:rFonts w:eastAsiaTheme="minorHAnsi" w:cstheme="minorBidi"/>
          <w:szCs w:val="24"/>
          <w:lang w:val="fr-CA" w:eastAsia="en-US"/>
        </w:rPr>
        <w:t xml:space="preserve">, Cromwell, </w:t>
      </w:r>
      <w:proofErr w:type="spellStart"/>
      <w:r w:rsidRPr="007E6A98">
        <w:rPr>
          <w:rFonts w:eastAsiaTheme="minorHAnsi" w:cstheme="minorBidi"/>
          <w:szCs w:val="24"/>
          <w:lang w:val="fr-CA" w:eastAsia="en-US"/>
        </w:rPr>
        <w:t>Karakatsanis</w:t>
      </w:r>
      <w:proofErr w:type="spellEnd"/>
      <w:r w:rsidRPr="007E6A98">
        <w:rPr>
          <w:rFonts w:eastAsiaTheme="minorHAnsi" w:cstheme="minorBidi"/>
          <w:szCs w:val="24"/>
          <w:lang w:val="fr-CA" w:eastAsia="en-US"/>
        </w:rPr>
        <w:t xml:space="preserve"> et Wagner</w:t>
      </w:r>
    </w:p>
    <w:p w:rsidR="00F97F51" w:rsidRPr="007E6A98" w:rsidRDefault="00F97F51" w:rsidP="00F97F51">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97F51" w:rsidRPr="00F97F51" w:rsidTr="00666EE5">
        <w:trPr>
          <w:cantSplit/>
        </w:trPr>
        <w:tc>
          <w:tcPr>
            <w:tcW w:w="3618" w:type="dxa"/>
          </w:tcPr>
          <w:p w:rsidR="00F97F51" w:rsidRPr="007E6A98" w:rsidRDefault="00F97F51" w:rsidP="00666EE5">
            <w:pPr>
              <w:rPr>
                <w:b/>
                <w:smallCaps/>
                <w:lang w:val="fr-CA"/>
              </w:rPr>
            </w:pPr>
            <w:r w:rsidRPr="007E6A98">
              <w:rPr>
                <w:b/>
                <w:smallCaps/>
                <w:lang w:val="fr-CA"/>
              </w:rPr>
              <w:t>Motifs de jugement :</w:t>
            </w:r>
          </w:p>
          <w:p w:rsidR="00F97F51" w:rsidRPr="007E6A98" w:rsidRDefault="00F97F51" w:rsidP="00666EE5">
            <w:pPr>
              <w:rPr>
                <w:lang w:val="fr-CA"/>
              </w:rPr>
            </w:pPr>
            <w:r w:rsidRPr="007E6A98">
              <w:rPr>
                <w:lang w:val="fr-CA"/>
              </w:rPr>
              <w:t>(par. 1 à 47)</w:t>
            </w:r>
          </w:p>
        </w:tc>
        <w:tc>
          <w:tcPr>
            <w:tcW w:w="5958" w:type="dxa"/>
          </w:tcPr>
          <w:p w:rsidR="00F97F51" w:rsidRPr="007E6A98" w:rsidRDefault="00F97F51" w:rsidP="00666EE5">
            <w:pPr>
              <w:rPr>
                <w:lang w:val="fr-CA"/>
              </w:rPr>
            </w:pPr>
            <w:r w:rsidRPr="007E6A98">
              <w:rPr>
                <w:lang w:val="fr-CA"/>
              </w:rPr>
              <w:t xml:space="preserve">Le juge </w:t>
            </w:r>
            <w:proofErr w:type="spellStart"/>
            <w:r w:rsidRPr="007E6A98">
              <w:rPr>
                <w:lang w:val="fr-CA"/>
              </w:rPr>
              <w:t>Rothstein</w:t>
            </w:r>
            <w:proofErr w:type="spellEnd"/>
            <w:r w:rsidRPr="007E6A98">
              <w:rPr>
                <w:lang w:val="fr-CA"/>
              </w:rPr>
              <w:t xml:space="preserve"> (avec l’accord de la juge en chef McLachlin et des juges </w:t>
            </w:r>
            <w:proofErr w:type="spellStart"/>
            <w:r w:rsidRPr="007E6A98">
              <w:rPr>
                <w:lang w:val="fr-CA"/>
              </w:rPr>
              <w:t>LeBel</w:t>
            </w:r>
            <w:proofErr w:type="spellEnd"/>
            <w:r w:rsidRPr="007E6A98">
              <w:rPr>
                <w:lang w:val="fr-CA"/>
              </w:rPr>
              <w:t xml:space="preserve">, Abella, Cromwell, </w:t>
            </w:r>
            <w:proofErr w:type="spellStart"/>
            <w:r w:rsidRPr="007E6A98">
              <w:rPr>
                <w:lang w:val="fr-CA"/>
              </w:rPr>
              <w:t>Karakatsanis</w:t>
            </w:r>
            <w:proofErr w:type="spellEnd"/>
            <w:r w:rsidRPr="007E6A98">
              <w:rPr>
                <w:lang w:val="fr-CA"/>
              </w:rPr>
              <w:t xml:space="preserve"> et Wagner)</w:t>
            </w:r>
          </w:p>
        </w:tc>
      </w:tr>
    </w:tbl>
    <w:p w:rsidR="00F97F51" w:rsidRPr="007E6A98" w:rsidRDefault="00F97F51" w:rsidP="00F97F51">
      <w:pPr>
        <w:rPr>
          <w:rFonts w:eastAsiaTheme="minorHAnsi" w:cstheme="minorBidi"/>
          <w:szCs w:val="24"/>
          <w:lang w:val="fr-CA" w:eastAsia="en-US"/>
        </w:rPr>
      </w:pPr>
    </w:p>
    <w:p w:rsidR="00F97F51" w:rsidRPr="007E6A98" w:rsidRDefault="00F97F51" w:rsidP="00F97F51">
      <w:pPr>
        <w:rPr>
          <w:rFonts w:eastAsiaTheme="minorHAnsi" w:cstheme="minorBidi"/>
          <w:szCs w:val="24"/>
          <w:lang w:val="fr-CA" w:eastAsia="en-US"/>
        </w:rPr>
      </w:pPr>
    </w:p>
    <w:p w:rsidR="00F97F51" w:rsidRPr="007E6A98" w:rsidRDefault="00F97F51" w:rsidP="00F97F51">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97F51" w:rsidRPr="007E6A98" w:rsidRDefault="00F97F51" w:rsidP="00F97F51">
      <w:pPr>
        <w:rPr>
          <w:smallCaps/>
          <w:lang w:val="fr-CA"/>
        </w:rPr>
      </w:pPr>
      <w:r w:rsidRPr="007E6A98">
        <w:rPr>
          <w:smallCaps/>
          <w:lang w:val="fr-CA"/>
        </w:rPr>
        <w:br w:type="page"/>
      </w:r>
    </w:p>
    <w:p w:rsidR="002D05EF" w:rsidRPr="000E4172" w:rsidRDefault="002D05EF" w:rsidP="002D05EF">
      <w:pPr>
        <w:spacing w:after="720"/>
        <w:jc w:val="both"/>
      </w:pPr>
      <w:r>
        <w:lastRenderedPageBreak/>
        <w:t>N</w:t>
      </w:r>
      <w:r w:rsidRPr="000E4172">
        <w:t xml:space="preserve">ishi </w:t>
      </w:r>
      <w:r>
        <w:rPr>
          <w:i/>
        </w:rPr>
        <w:t>c</w:t>
      </w:r>
      <w:r w:rsidRPr="000E4172">
        <w:rPr>
          <w:i/>
        </w:rPr>
        <w:t>.</w:t>
      </w:r>
      <w:r w:rsidRPr="000E4172">
        <w:t xml:space="preserve"> </w:t>
      </w:r>
      <w:r>
        <w:t>Rascal Trucking L</w:t>
      </w:r>
      <w:r w:rsidRPr="000E4172">
        <w:t>td.</w:t>
      </w:r>
      <w:r>
        <w:t>, 2013 CSC 33, [2013] 2 R.C.S. 438</w:t>
      </w:r>
    </w:p>
    <w:p w:rsidR="00772173" w:rsidRPr="001126BE" w:rsidRDefault="00507AE5" w:rsidP="004633A7">
      <w:pPr>
        <w:pStyle w:val="SCCLsocLastPartyInRole"/>
      </w:pPr>
      <w:r w:rsidRPr="001126BE">
        <w:t xml:space="preserve">Edward </w:t>
      </w:r>
      <w:proofErr w:type="spellStart"/>
      <w:r w:rsidRPr="001126BE">
        <w:t>Sumio</w:t>
      </w:r>
      <w:proofErr w:type="spellEnd"/>
      <w:r w:rsidRPr="001126BE">
        <w:t xml:space="preserve"> Nishi</w:t>
      </w:r>
      <w:r w:rsidRPr="001126BE">
        <w:rPr>
          <w:rStyle w:val="SCCLsocPartyRole"/>
        </w:rPr>
        <w:tab/>
      </w:r>
      <w:proofErr w:type="spellStart"/>
      <w:r w:rsidRPr="001126BE">
        <w:rPr>
          <w:rStyle w:val="SCCLsocPartyRole"/>
        </w:rPr>
        <w:t>Appelant</w:t>
      </w:r>
      <w:proofErr w:type="spellEnd"/>
    </w:p>
    <w:p w:rsidR="00772173" w:rsidRPr="001126BE" w:rsidRDefault="00507AE5" w:rsidP="004633A7">
      <w:pPr>
        <w:pStyle w:val="SCCLsocVersus"/>
      </w:pPr>
      <w:proofErr w:type="gramStart"/>
      <w:r w:rsidRPr="001126BE">
        <w:t>c</w:t>
      </w:r>
      <w:proofErr w:type="gramEnd"/>
      <w:r w:rsidRPr="001126BE">
        <w:t>.</w:t>
      </w:r>
    </w:p>
    <w:p w:rsidR="00772173" w:rsidRPr="001126BE" w:rsidRDefault="00507AE5" w:rsidP="004633A7">
      <w:pPr>
        <w:pStyle w:val="SCCLsocLastPartyInRole"/>
        <w:rPr>
          <w:lang w:val="fr-CA"/>
        </w:rPr>
      </w:pPr>
      <w:r w:rsidRPr="001126BE">
        <w:t>Rascal Trucking Ltd.</w:t>
      </w:r>
      <w:r w:rsidRPr="001126BE">
        <w:rPr>
          <w:rStyle w:val="SCCLsocPartyRole"/>
        </w:rPr>
        <w:tab/>
      </w:r>
      <w:r w:rsidRPr="001126BE">
        <w:rPr>
          <w:rStyle w:val="SCCLsocPartyRole"/>
          <w:lang w:val="fr-CA"/>
        </w:rPr>
        <w:t>Intimée</w:t>
      </w:r>
    </w:p>
    <w:p w:rsidR="004D7D95" w:rsidRPr="001126BE" w:rsidRDefault="004D7D95" w:rsidP="004633A7">
      <w:pPr>
        <w:spacing w:after="720"/>
        <w:jc w:val="both"/>
        <w:rPr>
          <w:b/>
          <w:lang w:val="fr-CA"/>
        </w:rPr>
      </w:pPr>
      <w:r w:rsidRPr="001126BE">
        <w:rPr>
          <w:b/>
          <w:lang w:val="fr-CA"/>
        </w:rPr>
        <w:t>Répertorié</w:t>
      </w:r>
      <w:r w:rsidR="001126BE">
        <w:rPr>
          <w:b/>
          <w:lang w:val="fr-CA"/>
        </w:rPr>
        <w:t> :</w:t>
      </w:r>
      <w:r w:rsidRPr="001126BE">
        <w:rPr>
          <w:b/>
          <w:lang w:val="fr-CA"/>
        </w:rPr>
        <w:t xml:space="preserve"> Nishi </w:t>
      </w:r>
      <w:r w:rsidRPr="001126BE">
        <w:rPr>
          <w:b/>
          <w:i/>
          <w:lang w:val="fr-CA"/>
        </w:rPr>
        <w:t>c.</w:t>
      </w:r>
      <w:r w:rsidRPr="001126BE">
        <w:rPr>
          <w:b/>
          <w:lang w:val="fr-CA"/>
        </w:rPr>
        <w:t xml:space="preserve"> </w:t>
      </w:r>
      <w:proofErr w:type="spellStart"/>
      <w:r w:rsidRPr="001126BE">
        <w:rPr>
          <w:b/>
          <w:lang w:val="fr-CA"/>
        </w:rPr>
        <w:t>Rascal</w:t>
      </w:r>
      <w:proofErr w:type="spellEnd"/>
      <w:r w:rsidRPr="001126BE">
        <w:rPr>
          <w:b/>
          <w:lang w:val="fr-CA"/>
        </w:rPr>
        <w:t xml:space="preserve"> </w:t>
      </w:r>
      <w:proofErr w:type="spellStart"/>
      <w:r w:rsidRPr="001126BE">
        <w:rPr>
          <w:b/>
          <w:lang w:val="fr-CA"/>
        </w:rPr>
        <w:t>Trucking</w:t>
      </w:r>
      <w:proofErr w:type="spellEnd"/>
      <w:r w:rsidRPr="001126BE">
        <w:rPr>
          <w:b/>
          <w:lang w:val="fr-CA"/>
        </w:rPr>
        <w:t xml:space="preserve"> Ltd.</w:t>
      </w:r>
    </w:p>
    <w:p w:rsidR="004D7D95" w:rsidRPr="001126BE" w:rsidRDefault="00F62639" w:rsidP="004633A7">
      <w:pPr>
        <w:pStyle w:val="SCCSystemYear"/>
        <w:spacing w:after="720"/>
        <w:jc w:val="both"/>
        <w:rPr>
          <w:lang w:val="fr-CA"/>
        </w:rPr>
      </w:pPr>
      <w:r w:rsidRPr="001126BE">
        <w:rPr>
          <w:lang w:val="fr-CA"/>
        </w:rPr>
        <w:t>2013</w:t>
      </w:r>
      <w:r w:rsidR="004D7D95" w:rsidRPr="001126BE">
        <w:rPr>
          <w:lang w:val="fr-CA"/>
        </w:rPr>
        <w:t xml:space="preserve"> CSC </w:t>
      </w:r>
      <w:r w:rsidR="00E458F3" w:rsidRPr="001126BE">
        <w:rPr>
          <w:lang w:val="fr-CA"/>
        </w:rPr>
        <w:t>33</w:t>
      </w:r>
    </w:p>
    <w:p w:rsidR="004D7D95" w:rsidRPr="001126BE" w:rsidRDefault="004D7D95" w:rsidP="004633A7">
      <w:pPr>
        <w:spacing w:after="720"/>
        <w:jc w:val="both"/>
        <w:rPr>
          <w:lang w:val="fr-CA"/>
        </w:rPr>
      </w:pPr>
      <w:r w:rsidRPr="001126BE">
        <w:rPr>
          <w:lang w:val="fr-CA"/>
        </w:rPr>
        <w:t>N</w:t>
      </w:r>
      <w:r w:rsidRPr="001126BE">
        <w:rPr>
          <w:vertAlign w:val="superscript"/>
          <w:lang w:val="fr-CA"/>
        </w:rPr>
        <w:t>o</w:t>
      </w:r>
      <w:r w:rsidRPr="001126BE">
        <w:rPr>
          <w:lang w:val="fr-CA"/>
        </w:rPr>
        <w:t xml:space="preserve"> du greffe</w:t>
      </w:r>
      <w:r w:rsidR="001126BE">
        <w:rPr>
          <w:lang w:val="fr-CA"/>
        </w:rPr>
        <w:t> :</w:t>
      </w:r>
      <w:r w:rsidRPr="001126BE">
        <w:rPr>
          <w:lang w:val="fr-CA"/>
        </w:rPr>
        <w:t> 34510.</w:t>
      </w:r>
    </w:p>
    <w:p w:rsidR="004D7D95" w:rsidRPr="001126BE" w:rsidRDefault="004633A7" w:rsidP="004633A7">
      <w:pPr>
        <w:spacing w:after="720"/>
        <w:jc w:val="both"/>
        <w:rPr>
          <w:lang w:val="fr-CA"/>
        </w:rPr>
      </w:pPr>
      <w:r w:rsidRPr="001126BE">
        <w:rPr>
          <w:lang w:val="fr-CA"/>
        </w:rPr>
        <w:t>2013</w:t>
      </w:r>
      <w:r w:rsidR="001126BE">
        <w:rPr>
          <w:lang w:val="fr-CA"/>
        </w:rPr>
        <w:t> :</w:t>
      </w:r>
      <w:r w:rsidRPr="001126BE">
        <w:rPr>
          <w:lang w:val="fr-CA"/>
        </w:rPr>
        <w:t> </w:t>
      </w:r>
      <w:r w:rsidR="00F62639" w:rsidRPr="001126BE">
        <w:rPr>
          <w:lang w:val="fr-CA"/>
        </w:rPr>
        <w:t>16</w:t>
      </w:r>
      <w:r w:rsidRPr="001126BE">
        <w:rPr>
          <w:lang w:val="fr-CA"/>
        </w:rPr>
        <w:t> </w:t>
      </w:r>
      <w:r w:rsidR="00F62639" w:rsidRPr="001126BE">
        <w:rPr>
          <w:lang w:val="fr-CA"/>
        </w:rPr>
        <w:t>janvier</w:t>
      </w:r>
      <w:r w:rsidR="004D7D95" w:rsidRPr="001126BE">
        <w:rPr>
          <w:lang w:val="fr-CA"/>
        </w:rPr>
        <w:t xml:space="preserve">; </w:t>
      </w:r>
      <w:r w:rsidRPr="001126BE">
        <w:rPr>
          <w:lang w:val="fr-CA"/>
        </w:rPr>
        <w:t>2013</w:t>
      </w:r>
      <w:r w:rsidR="001126BE">
        <w:rPr>
          <w:lang w:val="fr-CA"/>
        </w:rPr>
        <w:t> :</w:t>
      </w:r>
      <w:r w:rsidRPr="001126BE">
        <w:rPr>
          <w:lang w:val="fr-CA"/>
        </w:rPr>
        <w:t> </w:t>
      </w:r>
      <w:r w:rsidR="00CE281D" w:rsidRPr="001126BE">
        <w:rPr>
          <w:lang w:val="fr-CA"/>
        </w:rPr>
        <w:t>13</w:t>
      </w:r>
      <w:r w:rsidR="00DF0887">
        <w:rPr>
          <w:lang w:val="fr-CA"/>
        </w:rPr>
        <w:t> </w:t>
      </w:r>
      <w:r w:rsidR="00134429" w:rsidRPr="001126BE">
        <w:rPr>
          <w:lang w:val="fr-CA"/>
        </w:rPr>
        <w:t>juin</w:t>
      </w:r>
      <w:r w:rsidR="004D7D95" w:rsidRPr="001126BE">
        <w:rPr>
          <w:lang w:val="fr-CA"/>
        </w:rPr>
        <w:t>.</w:t>
      </w:r>
    </w:p>
    <w:p w:rsidR="004D7D95" w:rsidRPr="001126BE" w:rsidRDefault="004D7D95" w:rsidP="004633A7">
      <w:pPr>
        <w:spacing w:after="720"/>
        <w:jc w:val="both"/>
        <w:rPr>
          <w:lang w:val="fr-CA"/>
        </w:rPr>
      </w:pPr>
      <w:r w:rsidRPr="001126BE">
        <w:rPr>
          <w:lang w:val="fr-CA"/>
        </w:rPr>
        <w:t>Présents</w:t>
      </w:r>
      <w:r w:rsidR="001126BE">
        <w:rPr>
          <w:lang w:val="fr-CA"/>
        </w:rPr>
        <w:t> :</w:t>
      </w:r>
      <w:r w:rsidRPr="001126BE">
        <w:rPr>
          <w:lang w:val="fr-CA"/>
        </w:rPr>
        <w:t xml:space="preserve"> La juge en chef McLachlin et les juges </w:t>
      </w:r>
      <w:proofErr w:type="spellStart"/>
      <w:r w:rsidRPr="001126BE">
        <w:rPr>
          <w:lang w:val="fr-CA"/>
        </w:rPr>
        <w:t>LeBel</w:t>
      </w:r>
      <w:proofErr w:type="spellEnd"/>
      <w:r w:rsidRPr="001126BE">
        <w:rPr>
          <w:lang w:val="fr-CA"/>
        </w:rPr>
        <w:t xml:space="preserve">, Abella, </w:t>
      </w:r>
      <w:proofErr w:type="spellStart"/>
      <w:r w:rsidRPr="001126BE">
        <w:rPr>
          <w:lang w:val="fr-CA"/>
        </w:rPr>
        <w:t>Rothstein</w:t>
      </w:r>
      <w:proofErr w:type="spellEnd"/>
      <w:r w:rsidRPr="001126BE">
        <w:rPr>
          <w:lang w:val="fr-CA"/>
        </w:rPr>
        <w:t xml:space="preserve">, Cromwell, </w:t>
      </w:r>
      <w:proofErr w:type="spellStart"/>
      <w:r w:rsidRPr="001126BE">
        <w:rPr>
          <w:lang w:val="fr-CA"/>
        </w:rPr>
        <w:t>Karakatsanis</w:t>
      </w:r>
      <w:proofErr w:type="spellEnd"/>
      <w:r w:rsidRPr="001126BE">
        <w:rPr>
          <w:lang w:val="fr-CA"/>
        </w:rPr>
        <w:t xml:space="preserve"> et Wagner.</w:t>
      </w:r>
    </w:p>
    <w:p w:rsidR="004D7D95" w:rsidRPr="001126BE" w:rsidRDefault="004D7D95" w:rsidP="004633A7">
      <w:pPr>
        <w:spacing w:after="720"/>
        <w:jc w:val="both"/>
        <w:rPr>
          <w:smallCaps/>
          <w:lang w:val="fr-CA"/>
        </w:rPr>
      </w:pPr>
      <w:r w:rsidRPr="001126BE">
        <w:rPr>
          <w:smallCaps/>
          <w:lang w:val="fr-CA"/>
        </w:rPr>
        <w:t xml:space="preserve">en appel de la cour d’appel de la </w:t>
      </w:r>
      <w:proofErr w:type="spellStart"/>
      <w:r w:rsidR="007A02CA" w:rsidRPr="001126BE">
        <w:rPr>
          <w:smallCaps/>
          <w:lang w:val="fr-CA"/>
        </w:rPr>
        <w:t>colombie</w:t>
      </w:r>
      <w:r w:rsidR="001126BE">
        <w:rPr>
          <w:smallCaps/>
          <w:lang w:val="fr-CA"/>
        </w:rPr>
        <w:noBreakHyphen/>
      </w:r>
      <w:r w:rsidR="007A02CA" w:rsidRPr="001126BE">
        <w:rPr>
          <w:smallCaps/>
          <w:lang w:val="fr-CA"/>
        </w:rPr>
        <w:t>britannique</w:t>
      </w:r>
      <w:proofErr w:type="spellEnd"/>
    </w:p>
    <w:p w:rsidR="004D7D95" w:rsidRPr="001126BE" w:rsidRDefault="004D7D95" w:rsidP="004633A7">
      <w:pPr>
        <w:pStyle w:val="SCCNormalDoubleSpacing"/>
        <w:spacing w:before="480" w:after="480"/>
        <w:rPr>
          <w:i/>
          <w:lang w:val="fr-CA"/>
        </w:rPr>
      </w:pPr>
      <w:r w:rsidRPr="001126BE">
        <w:rPr>
          <w:lang w:val="fr-CA"/>
        </w:rPr>
        <w:tab/>
      </w:r>
      <w:r w:rsidR="009155EB" w:rsidRPr="001126BE">
        <w:rPr>
          <w:i/>
          <w:lang w:val="fr-CA"/>
        </w:rPr>
        <w:t xml:space="preserve">Fiducies </w:t>
      </w:r>
      <w:r w:rsidR="008A32D1" w:rsidRPr="001126BE">
        <w:rPr>
          <w:i/>
          <w:szCs w:val="24"/>
          <w:lang w:val="fr-CA"/>
        </w:rPr>
        <w:t xml:space="preserve">— </w:t>
      </w:r>
      <w:r w:rsidR="00297D81" w:rsidRPr="001126BE">
        <w:rPr>
          <w:i/>
          <w:lang w:val="fr-CA"/>
        </w:rPr>
        <w:t xml:space="preserve">Fiducie </w:t>
      </w:r>
      <w:proofErr w:type="spellStart"/>
      <w:r w:rsidR="00297D81" w:rsidRPr="001126BE">
        <w:rPr>
          <w:i/>
          <w:lang w:val="fr-CA"/>
        </w:rPr>
        <w:t>résultoire</w:t>
      </w:r>
      <w:proofErr w:type="spellEnd"/>
      <w:r w:rsidR="00297D81" w:rsidRPr="001126BE">
        <w:rPr>
          <w:i/>
          <w:lang w:val="fr-CA"/>
        </w:rPr>
        <w:t xml:space="preserve"> découlant des circonstances d’achat </w:t>
      </w:r>
      <w:r w:rsidR="008A32D1" w:rsidRPr="001126BE">
        <w:rPr>
          <w:i/>
          <w:szCs w:val="24"/>
          <w:lang w:val="fr-CA"/>
        </w:rPr>
        <w:t xml:space="preserve">— </w:t>
      </w:r>
      <w:r w:rsidR="00297D81" w:rsidRPr="001126BE">
        <w:rPr>
          <w:i/>
          <w:lang w:val="fr-CA"/>
        </w:rPr>
        <w:t>Utilisation</w:t>
      </w:r>
      <w:r w:rsidR="00DA5B2C" w:rsidRPr="001126BE">
        <w:rPr>
          <w:i/>
          <w:lang w:val="fr-CA"/>
        </w:rPr>
        <w:t xml:space="preserve"> par l’appelant</w:t>
      </w:r>
      <w:r w:rsidR="00297D81" w:rsidRPr="001126BE">
        <w:rPr>
          <w:i/>
          <w:lang w:val="fr-CA"/>
        </w:rPr>
        <w:t xml:space="preserve"> des </w:t>
      </w:r>
      <w:r w:rsidR="0028716C" w:rsidRPr="001126BE">
        <w:rPr>
          <w:i/>
          <w:lang w:val="fr-CA"/>
        </w:rPr>
        <w:t xml:space="preserve">fonds reçus de l’intimée pour </w:t>
      </w:r>
      <w:r w:rsidR="00297D81" w:rsidRPr="001126BE">
        <w:rPr>
          <w:i/>
          <w:lang w:val="fr-CA"/>
        </w:rPr>
        <w:t>ach</w:t>
      </w:r>
      <w:r w:rsidR="0028716C" w:rsidRPr="001126BE">
        <w:rPr>
          <w:i/>
          <w:lang w:val="fr-CA"/>
        </w:rPr>
        <w:t xml:space="preserve">eter une propriété en son propre nom </w:t>
      </w:r>
      <w:r w:rsidR="008A32D1" w:rsidRPr="001126BE">
        <w:rPr>
          <w:i/>
          <w:szCs w:val="24"/>
          <w:lang w:val="fr-CA"/>
        </w:rPr>
        <w:t xml:space="preserve">— </w:t>
      </w:r>
      <w:r w:rsidR="0028716C" w:rsidRPr="001126BE">
        <w:rPr>
          <w:i/>
          <w:lang w:val="fr-CA"/>
        </w:rPr>
        <w:t xml:space="preserve">Fonds représentant une somme d’argent </w:t>
      </w:r>
      <w:r w:rsidR="00407D06" w:rsidRPr="001126BE">
        <w:rPr>
          <w:i/>
          <w:lang w:val="fr-CA"/>
        </w:rPr>
        <w:t xml:space="preserve">contestée </w:t>
      </w:r>
      <w:r w:rsidR="0028716C" w:rsidRPr="001126BE">
        <w:rPr>
          <w:i/>
          <w:lang w:val="fr-CA"/>
        </w:rPr>
        <w:t>due à un tiers</w:t>
      </w:r>
      <w:r w:rsidR="00B2072C" w:rsidRPr="001126BE">
        <w:rPr>
          <w:i/>
          <w:lang w:val="fr-CA"/>
        </w:rPr>
        <w:t xml:space="preserve"> </w:t>
      </w:r>
      <w:r w:rsidR="008A32D1" w:rsidRPr="001126BE">
        <w:rPr>
          <w:i/>
          <w:szCs w:val="24"/>
          <w:lang w:val="fr-CA"/>
        </w:rPr>
        <w:t xml:space="preserve">— </w:t>
      </w:r>
      <w:r w:rsidR="00B2072C" w:rsidRPr="001126BE">
        <w:rPr>
          <w:i/>
          <w:lang w:val="fr-CA"/>
        </w:rPr>
        <w:t xml:space="preserve">La fiducie </w:t>
      </w:r>
      <w:proofErr w:type="spellStart"/>
      <w:r w:rsidR="00B2072C" w:rsidRPr="001126BE">
        <w:rPr>
          <w:i/>
          <w:lang w:val="fr-CA"/>
        </w:rPr>
        <w:t>résultoire</w:t>
      </w:r>
      <w:proofErr w:type="spellEnd"/>
      <w:r w:rsidR="00B2072C" w:rsidRPr="001126BE">
        <w:rPr>
          <w:i/>
          <w:lang w:val="fr-CA"/>
        </w:rPr>
        <w:t xml:space="preserve"> découlant des circonstances d’achat </w:t>
      </w:r>
      <w:proofErr w:type="spellStart"/>
      <w:r w:rsidR="00B2072C" w:rsidRPr="001126BE">
        <w:rPr>
          <w:i/>
          <w:lang w:val="fr-CA"/>
        </w:rPr>
        <w:t>doit</w:t>
      </w:r>
      <w:r w:rsidR="001126BE">
        <w:rPr>
          <w:i/>
          <w:lang w:val="fr-CA"/>
        </w:rPr>
        <w:noBreakHyphen/>
      </w:r>
      <w:r w:rsidR="00B2072C" w:rsidRPr="001126BE">
        <w:rPr>
          <w:i/>
          <w:lang w:val="fr-CA"/>
        </w:rPr>
        <w:t>elle</w:t>
      </w:r>
      <w:proofErr w:type="spellEnd"/>
      <w:r w:rsidR="00B2072C" w:rsidRPr="001126BE">
        <w:rPr>
          <w:i/>
          <w:lang w:val="fr-CA"/>
        </w:rPr>
        <w:t xml:space="preserve"> être abolie dans les opérations commerciales e</w:t>
      </w:r>
      <w:r w:rsidR="00DA5B2C" w:rsidRPr="001126BE">
        <w:rPr>
          <w:i/>
          <w:lang w:val="fr-CA"/>
        </w:rPr>
        <w:t>n</w:t>
      </w:r>
      <w:r w:rsidR="00B2072C" w:rsidRPr="001126BE">
        <w:rPr>
          <w:i/>
          <w:lang w:val="fr-CA"/>
        </w:rPr>
        <w:t xml:space="preserve"> </w:t>
      </w:r>
      <w:r w:rsidR="00DA5B2C" w:rsidRPr="001126BE">
        <w:rPr>
          <w:i/>
          <w:lang w:val="fr-CA"/>
        </w:rPr>
        <w:t>faveur</w:t>
      </w:r>
      <w:r w:rsidR="00B2072C" w:rsidRPr="001126BE">
        <w:rPr>
          <w:i/>
          <w:lang w:val="fr-CA"/>
        </w:rPr>
        <w:t xml:space="preserve"> </w:t>
      </w:r>
      <w:r w:rsidR="00DA5B2C" w:rsidRPr="001126BE">
        <w:rPr>
          <w:i/>
          <w:lang w:val="fr-CA"/>
        </w:rPr>
        <w:t>d</w:t>
      </w:r>
      <w:r w:rsidR="00B2072C" w:rsidRPr="001126BE">
        <w:rPr>
          <w:i/>
          <w:lang w:val="fr-CA"/>
        </w:rPr>
        <w:t>es principes de l’enrichissement injustifié</w:t>
      </w:r>
      <w:r w:rsidR="00407D06" w:rsidRPr="001126BE">
        <w:rPr>
          <w:i/>
          <w:lang w:val="fr-CA"/>
        </w:rPr>
        <w:t xml:space="preserve">? </w:t>
      </w:r>
      <w:r w:rsidR="008A32D1" w:rsidRPr="001126BE">
        <w:rPr>
          <w:i/>
          <w:szCs w:val="24"/>
          <w:lang w:val="fr-CA"/>
        </w:rPr>
        <w:t xml:space="preserve">— </w:t>
      </w:r>
      <w:r w:rsidR="00B2072C" w:rsidRPr="001126BE">
        <w:rPr>
          <w:i/>
          <w:lang w:val="fr-CA"/>
        </w:rPr>
        <w:lastRenderedPageBreak/>
        <w:t xml:space="preserve">Un transfert </w:t>
      </w:r>
      <w:r w:rsidR="00DA5B2C" w:rsidRPr="001126BE">
        <w:rPr>
          <w:i/>
          <w:lang w:val="fr-CA"/>
        </w:rPr>
        <w:t xml:space="preserve">de fonds </w:t>
      </w:r>
      <w:proofErr w:type="spellStart"/>
      <w:r w:rsidR="00B2072C" w:rsidRPr="001126BE">
        <w:rPr>
          <w:i/>
          <w:lang w:val="fr-CA"/>
        </w:rPr>
        <w:t>est</w:t>
      </w:r>
      <w:r w:rsidR="001126BE">
        <w:rPr>
          <w:i/>
          <w:lang w:val="fr-CA"/>
        </w:rPr>
        <w:noBreakHyphen/>
      </w:r>
      <w:r w:rsidR="00B2072C" w:rsidRPr="001126BE">
        <w:rPr>
          <w:i/>
          <w:lang w:val="fr-CA"/>
        </w:rPr>
        <w:t>il</w:t>
      </w:r>
      <w:proofErr w:type="spellEnd"/>
      <w:r w:rsidR="00B2072C" w:rsidRPr="001126BE">
        <w:rPr>
          <w:i/>
          <w:lang w:val="fr-CA"/>
        </w:rPr>
        <w:t xml:space="preserve"> fait à titre gratuit s’il constitue l’acquittement d’une obligation légale et morale envers un tiers?</w:t>
      </w:r>
      <w:r w:rsidR="00407D06" w:rsidRPr="001126BE">
        <w:rPr>
          <w:i/>
          <w:lang w:val="fr-CA"/>
        </w:rPr>
        <w:t xml:space="preserve"> </w:t>
      </w:r>
      <w:r w:rsidR="008A32D1" w:rsidRPr="001126BE">
        <w:rPr>
          <w:i/>
          <w:szCs w:val="24"/>
          <w:lang w:val="fr-CA"/>
        </w:rPr>
        <w:t xml:space="preserve">— </w:t>
      </w:r>
      <w:r w:rsidR="00407D06" w:rsidRPr="001126BE">
        <w:rPr>
          <w:i/>
          <w:lang w:val="fr-CA"/>
        </w:rPr>
        <w:t xml:space="preserve">L’auteur du transfert de fonds qui a tenté, sans succès, d’obtenir que le titulaire du titre lui concède un intérêt dans la propriété </w:t>
      </w:r>
      <w:proofErr w:type="spellStart"/>
      <w:r w:rsidR="00407D06" w:rsidRPr="001126BE">
        <w:rPr>
          <w:i/>
          <w:lang w:val="fr-CA"/>
        </w:rPr>
        <w:t>acquiert</w:t>
      </w:r>
      <w:r w:rsidR="001126BE">
        <w:rPr>
          <w:i/>
          <w:lang w:val="fr-CA"/>
        </w:rPr>
        <w:noBreakHyphen/>
      </w:r>
      <w:r w:rsidR="00407D06" w:rsidRPr="001126BE">
        <w:rPr>
          <w:i/>
          <w:lang w:val="fr-CA"/>
        </w:rPr>
        <w:t>il</w:t>
      </w:r>
      <w:proofErr w:type="spellEnd"/>
      <w:r w:rsidR="00407D06" w:rsidRPr="001126BE">
        <w:rPr>
          <w:i/>
          <w:lang w:val="fr-CA"/>
        </w:rPr>
        <w:t xml:space="preserve"> dans la propriété un intérêt au prorata de la somme transférée? </w:t>
      </w:r>
      <w:r w:rsidR="008A32D1" w:rsidRPr="001126BE">
        <w:rPr>
          <w:i/>
          <w:szCs w:val="24"/>
          <w:lang w:val="fr-CA"/>
        </w:rPr>
        <w:t xml:space="preserve">— </w:t>
      </w:r>
      <w:r w:rsidR="00407D06" w:rsidRPr="001126BE">
        <w:rPr>
          <w:i/>
          <w:lang w:val="fr-CA"/>
        </w:rPr>
        <w:t xml:space="preserve">La présomption de fiducie </w:t>
      </w:r>
      <w:proofErr w:type="spellStart"/>
      <w:r w:rsidR="00407D06" w:rsidRPr="001126BE">
        <w:rPr>
          <w:i/>
          <w:lang w:val="fr-CA"/>
        </w:rPr>
        <w:t>résultoire</w:t>
      </w:r>
      <w:proofErr w:type="spellEnd"/>
      <w:r w:rsidR="00407D06" w:rsidRPr="001126BE">
        <w:rPr>
          <w:i/>
          <w:lang w:val="fr-CA"/>
        </w:rPr>
        <w:t xml:space="preserve"> </w:t>
      </w:r>
      <w:proofErr w:type="spellStart"/>
      <w:r w:rsidR="00407D06" w:rsidRPr="001126BE">
        <w:rPr>
          <w:i/>
          <w:lang w:val="fr-CA"/>
        </w:rPr>
        <w:t>a</w:t>
      </w:r>
      <w:r w:rsidR="001126BE">
        <w:rPr>
          <w:i/>
          <w:lang w:val="fr-CA"/>
        </w:rPr>
        <w:noBreakHyphen/>
      </w:r>
      <w:r w:rsidR="00407D06" w:rsidRPr="001126BE">
        <w:rPr>
          <w:i/>
          <w:lang w:val="fr-CA"/>
        </w:rPr>
        <w:t>t</w:t>
      </w:r>
      <w:r w:rsidR="001126BE">
        <w:rPr>
          <w:i/>
          <w:lang w:val="fr-CA"/>
        </w:rPr>
        <w:noBreakHyphen/>
      </w:r>
      <w:r w:rsidR="00407D06" w:rsidRPr="001126BE">
        <w:rPr>
          <w:i/>
          <w:lang w:val="fr-CA"/>
        </w:rPr>
        <w:t>elle</w:t>
      </w:r>
      <w:proofErr w:type="spellEnd"/>
      <w:r w:rsidR="00407D06" w:rsidRPr="001126BE">
        <w:rPr>
          <w:i/>
          <w:lang w:val="fr-CA"/>
        </w:rPr>
        <w:t xml:space="preserve"> été réfutée</w:t>
      </w:r>
      <w:r w:rsidR="005117B6" w:rsidRPr="001126BE">
        <w:rPr>
          <w:i/>
          <w:lang w:val="fr-CA"/>
        </w:rPr>
        <w:t>?</w:t>
      </w:r>
    </w:p>
    <w:p w:rsidR="004D7D95" w:rsidRPr="001126BE" w:rsidRDefault="004D7D95" w:rsidP="004633A7">
      <w:pPr>
        <w:pStyle w:val="SCCNormalDoubleSpacing"/>
        <w:spacing w:before="480" w:after="480"/>
        <w:rPr>
          <w:lang w:val="fr-CA"/>
        </w:rPr>
      </w:pPr>
      <w:r w:rsidRPr="001126BE">
        <w:rPr>
          <w:lang w:val="fr-CA"/>
        </w:rPr>
        <w:tab/>
      </w:r>
      <w:r w:rsidR="005117B6" w:rsidRPr="001126BE">
        <w:rPr>
          <w:lang w:val="fr-CA"/>
        </w:rPr>
        <w:t xml:space="preserve">En 1996, </w:t>
      </w:r>
      <w:proofErr w:type="spellStart"/>
      <w:r w:rsidR="005117B6" w:rsidRPr="001126BE">
        <w:rPr>
          <w:lang w:val="fr-CA"/>
        </w:rPr>
        <w:t>Kismet</w:t>
      </w:r>
      <w:proofErr w:type="spellEnd"/>
      <w:r w:rsidR="005117B6" w:rsidRPr="001126BE">
        <w:rPr>
          <w:lang w:val="fr-CA"/>
        </w:rPr>
        <w:t xml:space="preserve"> </w:t>
      </w:r>
      <w:proofErr w:type="spellStart"/>
      <w:r w:rsidR="005117B6" w:rsidRPr="001126BE">
        <w:rPr>
          <w:lang w:val="fr-CA"/>
        </w:rPr>
        <w:t>Enterprises</w:t>
      </w:r>
      <w:proofErr w:type="spellEnd"/>
      <w:r w:rsidR="005117B6" w:rsidRPr="001126BE">
        <w:rPr>
          <w:lang w:val="fr-CA"/>
        </w:rPr>
        <w:t xml:space="preserve"> Ltd. était propriétaire d’un terrain d’environ deux acres à Nanaimo, en </w:t>
      </w:r>
      <w:proofErr w:type="spellStart"/>
      <w:r w:rsidR="005117B6" w:rsidRPr="001126BE">
        <w:rPr>
          <w:lang w:val="fr-CA"/>
        </w:rPr>
        <w:t>Colombie</w:t>
      </w:r>
      <w:r w:rsidR="001126BE">
        <w:rPr>
          <w:lang w:val="fr-CA"/>
        </w:rPr>
        <w:noBreakHyphen/>
      </w:r>
      <w:r w:rsidR="005117B6" w:rsidRPr="001126BE">
        <w:rPr>
          <w:lang w:val="fr-CA"/>
        </w:rPr>
        <w:t>Britannique</w:t>
      </w:r>
      <w:proofErr w:type="spellEnd"/>
      <w:r w:rsidR="005117B6" w:rsidRPr="001126BE">
        <w:rPr>
          <w:lang w:val="fr-CA"/>
        </w:rPr>
        <w:t xml:space="preserve">, qu’elle a loué à </w:t>
      </w:r>
      <w:proofErr w:type="spellStart"/>
      <w:r w:rsidR="005117B6" w:rsidRPr="001126BE">
        <w:rPr>
          <w:lang w:val="fr-CA"/>
        </w:rPr>
        <w:t>Rascal</w:t>
      </w:r>
      <w:proofErr w:type="spellEnd"/>
      <w:r w:rsidR="005117B6" w:rsidRPr="001126BE">
        <w:rPr>
          <w:lang w:val="fr-CA"/>
        </w:rPr>
        <w:t xml:space="preserve"> </w:t>
      </w:r>
      <w:proofErr w:type="spellStart"/>
      <w:r w:rsidR="005117B6" w:rsidRPr="001126BE">
        <w:rPr>
          <w:lang w:val="fr-CA"/>
        </w:rPr>
        <w:t>Trucking</w:t>
      </w:r>
      <w:proofErr w:type="spellEnd"/>
      <w:r w:rsidR="005117B6" w:rsidRPr="001126BE">
        <w:rPr>
          <w:lang w:val="fr-CA"/>
        </w:rPr>
        <w:t xml:space="preserve"> Ltd.  </w:t>
      </w:r>
      <w:proofErr w:type="spellStart"/>
      <w:r w:rsidR="005117B6" w:rsidRPr="001126BE">
        <w:rPr>
          <w:lang w:val="fr-CA"/>
        </w:rPr>
        <w:t>Rascal</w:t>
      </w:r>
      <w:proofErr w:type="spellEnd"/>
      <w:r w:rsidR="005117B6" w:rsidRPr="001126BE">
        <w:rPr>
          <w:lang w:val="fr-CA"/>
        </w:rPr>
        <w:t xml:space="preserve"> a commencé à y exploiter une installation de production de terre végétale qui a suscité de nombreuses plaintes de la part des résidents du quartier.  Par conséquent, la Ville a adopté des résolutions déclarant que l’installation constituait une nuisance.  La Ville a ensuite enlevé la terre et imputé les frais engagés, s’élevant à 110 679,74</w:t>
      </w:r>
      <w:r w:rsidR="001126BE">
        <w:rPr>
          <w:lang w:val="fr-CA"/>
        </w:rPr>
        <w:t> $</w:t>
      </w:r>
      <w:r w:rsidR="005117B6" w:rsidRPr="001126BE">
        <w:rPr>
          <w:lang w:val="fr-CA"/>
        </w:rPr>
        <w:t xml:space="preserve">, comme charge grevant la propriété à titre d’arriéré d’impôt.  Des dispositions du bail obligeaient </w:t>
      </w:r>
      <w:proofErr w:type="spellStart"/>
      <w:r w:rsidR="005117B6" w:rsidRPr="001126BE">
        <w:rPr>
          <w:lang w:val="fr-CA"/>
        </w:rPr>
        <w:t>Rascal</w:t>
      </w:r>
      <w:proofErr w:type="spellEnd"/>
      <w:r w:rsidR="005117B6" w:rsidRPr="001126BE">
        <w:rPr>
          <w:lang w:val="fr-CA"/>
        </w:rPr>
        <w:t xml:space="preserve"> à « exonérer </w:t>
      </w:r>
      <w:proofErr w:type="spellStart"/>
      <w:r w:rsidR="005117B6" w:rsidRPr="001126BE">
        <w:rPr>
          <w:lang w:val="fr-CA"/>
        </w:rPr>
        <w:t>Kismet</w:t>
      </w:r>
      <w:proofErr w:type="spellEnd"/>
      <w:r w:rsidR="005117B6" w:rsidRPr="001126BE">
        <w:rPr>
          <w:lang w:val="fr-CA"/>
        </w:rPr>
        <w:t xml:space="preserve"> de toute responsabilité » à l’égard de « tout dommage découlant de </w:t>
      </w:r>
      <w:r w:rsidR="00E02DF9" w:rsidRPr="001126BE">
        <w:rPr>
          <w:lang w:val="fr-CA"/>
        </w:rPr>
        <w:t>ses</w:t>
      </w:r>
      <w:r w:rsidR="005117B6" w:rsidRPr="001126BE">
        <w:rPr>
          <w:lang w:val="fr-CA"/>
        </w:rPr>
        <w:t xml:space="preserve"> activités sur la propriété », mais </w:t>
      </w:r>
      <w:proofErr w:type="spellStart"/>
      <w:r w:rsidR="005117B6" w:rsidRPr="001126BE">
        <w:rPr>
          <w:lang w:val="fr-CA"/>
        </w:rPr>
        <w:t>Rascal</w:t>
      </w:r>
      <w:proofErr w:type="spellEnd"/>
      <w:r w:rsidR="005117B6" w:rsidRPr="001126BE">
        <w:rPr>
          <w:lang w:val="fr-CA"/>
        </w:rPr>
        <w:t xml:space="preserve"> n’a jamais remboursé à </w:t>
      </w:r>
      <w:proofErr w:type="spellStart"/>
      <w:r w:rsidR="005117B6" w:rsidRPr="001126BE">
        <w:rPr>
          <w:lang w:val="fr-CA"/>
        </w:rPr>
        <w:t>Kismet</w:t>
      </w:r>
      <w:proofErr w:type="spellEnd"/>
      <w:r w:rsidR="005117B6" w:rsidRPr="001126BE">
        <w:rPr>
          <w:lang w:val="fr-CA"/>
        </w:rPr>
        <w:t xml:space="preserve"> ou à la Ville les frais engagés pour l’enlèvement de la terre.</w:t>
      </w:r>
      <w:r w:rsidR="00E02DF9" w:rsidRPr="001126BE">
        <w:rPr>
          <w:lang w:val="fr-CA"/>
        </w:rPr>
        <w:t xml:space="preserve">  </w:t>
      </w:r>
      <w:proofErr w:type="spellStart"/>
      <w:r w:rsidR="00E02DF9" w:rsidRPr="001126BE">
        <w:rPr>
          <w:lang w:val="fr-CA"/>
        </w:rPr>
        <w:t>Kismet</w:t>
      </w:r>
      <w:proofErr w:type="spellEnd"/>
      <w:r w:rsidR="00E02DF9" w:rsidRPr="001126BE">
        <w:rPr>
          <w:lang w:val="fr-CA"/>
        </w:rPr>
        <w:t xml:space="preserve"> est arrivée à la conclusion que, en raison de l’arriéré d’impôt et d’une hypothèque existante consentie à la CIBC, la propriété n’avait plus aucune valeur nette.  Elle a donc arrêté de verser les paiements hypothécaires.  Au cours des procédures de forclusion qui ont suivi, </w:t>
      </w:r>
      <w:r w:rsidR="00DA5B2C" w:rsidRPr="001126BE">
        <w:rPr>
          <w:lang w:val="fr-CA"/>
        </w:rPr>
        <w:t>M. </w:t>
      </w:r>
      <w:proofErr w:type="spellStart"/>
      <w:r w:rsidR="00E02DF9" w:rsidRPr="001126BE">
        <w:rPr>
          <w:lang w:val="fr-CA"/>
        </w:rPr>
        <w:t>Heringa</w:t>
      </w:r>
      <w:proofErr w:type="spellEnd"/>
      <w:r w:rsidR="00E02DF9" w:rsidRPr="001126BE">
        <w:rPr>
          <w:lang w:val="fr-CA"/>
        </w:rPr>
        <w:t xml:space="preserve">, le dirigeant de </w:t>
      </w:r>
      <w:proofErr w:type="spellStart"/>
      <w:r w:rsidR="00E02DF9" w:rsidRPr="001126BE">
        <w:rPr>
          <w:lang w:val="fr-CA"/>
        </w:rPr>
        <w:t>Rascal</w:t>
      </w:r>
      <w:proofErr w:type="spellEnd"/>
      <w:r w:rsidR="00E02DF9" w:rsidRPr="001126BE">
        <w:rPr>
          <w:lang w:val="fr-CA"/>
        </w:rPr>
        <w:t>, a essayé de différentes façons, mais en vain, d’acquérir la propriété.  En mai 2001, la propriété a été vendue à M. Nishi pour 237 500</w:t>
      </w:r>
      <w:r w:rsidR="001126BE">
        <w:rPr>
          <w:lang w:val="fr-CA"/>
        </w:rPr>
        <w:t> $</w:t>
      </w:r>
      <w:r w:rsidR="00E02DF9" w:rsidRPr="001126BE">
        <w:rPr>
          <w:lang w:val="fr-CA"/>
        </w:rPr>
        <w:t xml:space="preserve">.  Au moment de l’achat, M. Nishi a reçu </w:t>
      </w:r>
      <w:r w:rsidR="00872ADC" w:rsidRPr="001126BE">
        <w:rPr>
          <w:lang w:val="fr-CA"/>
        </w:rPr>
        <w:t xml:space="preserve">de </w:t>
      </w:r>
      <w:proofErr w:type="spellStart"/>
      <w:r w:rsidR="00872ADC" w:rsidRPr="001126BE">
        <w:rPr>
          <w:lang w:val="fr-CA"/>
        </w:rPr>
        <w:t>Rascal</w:t>
      </w:r>
      <w:proofErr w:type="spellEnd"/>
      <w:r w:rsidR="00872ADC" w:rsidRPr="001126BE">
        <w:rPr>
          <w:lang w:val="fr-CA"/>
        </w:rPr>
        <w:t xml:space="preserve"> une </w:t>
      </w:r>
      <w:r w:rsidR="00E02DF9" w:rsidRPr="001126BE">
        <w:rPr>
          <w:lang w:val="fr-CA"/>
        </w:rPr>
        <w:t xml:space="preserve">aide </w:t>
      </w:r>
      <w:r w:rsidR="00872ADC" w:rsidRPr="001126BE">
        <w:rPr>
          <w:lang w:val="fr-CA"/>
        </w:rPr>
        <w:t>au montant de 110 679,74</w:t>
      </w:r>
      <w:r w:rsidR="001126BE">
        <w:rPr>
          <w:lang w:val="fr-CA"/>
        </w:rPr>
        <w:t> $</w:t>
      </w:r>
      <w:r w:rsidR="00872ADC" w:rsidRPr="001126BE">
        <w:rPr>
          <w:lang w:val="fr-CA"/>
        </w:rPr>
        <w:t xml:space="preserve">, soit le montant exact de l’arriéré </w:t>
      </w:r>
      <w:r w:rsidR="00872ADC" w:rsidRPr="001126BE">
        <w:rPr>
          <w:lang w:val="fr-CA"/>
        </w:rPr>
        <w:lastRenderedPageBreak/>
        <w:t>d’impôt.  Cherchant à acquérir un intérêt dans la propriété, M. </w:t>
      </w:r>
      <w:proofErr w:type="spellStart"/>
      <w:r w:rsidR="00872ADC" w:rsidRPr="001126BE">
        <w:rPr>
          <w:lang w:val="fr-CA"/>
        </w:rPr>
        <w:t>Heringa</w:t>
      </w:r>
      <w:proofErr w:type="spellEnd"/>
      <w:r w:rsidR="00872ADC" w:rsidRPr="001126BE">
        <w:rPr>
          <w:lang w:val="fr-CA"/>
        </w:rPr>
        <w:t xml:space="preserve"> a envoyé à l’avocat de M. Nishi plusieurs télécopies qui présentaient des offres contenant des modalités différentes, offres que M. Nishi a refusées.  </w:t>
      </w:r>
      <w:r w:rsidR="00317259" w:rsidRPr="001126BE">
        <w:rPr>
          <w:lang w:val="fr-CA"/>
        </w:rPr>
        <w:t>Par la suite, M. </w:t>
      </w:r>
      <w:proofErr w:type="spellStart"/>
      <w:r w:rsidR="00317259" w:rsidRPr="001126BE">
        <w:rPr>
          <w:lang w:val="fr-CA"/>
        </w:rPr>
        <w:t>Heringa</w:t>
      </w:r>
      <w:proofErr w:type="spellEnd"/>
      <w:r w:rsidR="00317259" w:rsidRPr="001126BE">
        <w:rPr>
          <w:lang w:val="fr-CA"/>
        </w:rPr>
        <w:t xml:space="preserve"> a envoyé une télécopie indiquant que la somme d’argent serait avancée « exempte de toute condition ou exigence ».  En novembre 2008, </w:t>
      </w:r>
      <w:proofErr w:type="spellStart"/>
      <w:r w:rsidR="00317259" w:rsidRPr="001126BE">
        <w:rPr>
          <w:lang w:val="fr-CA"/>
        </w:rPr>
        <w:t>Rascal</w:t>
      </w:r>
      <w:proofErr w:type="spellEnd"/>
      <w:r w:rsidR="00317259" w:rsidRPr="001126BE">
        <w:rPr>
          <w:lang w:val="fr-CA"/>
        </w:rPr>
        <w:t xml:space="preserve"> a intenté la présente action en vue d’obtenir un intérêt indivis de </w:t>
      </w:r>
      <w:r w:rsidR="00AA0516">
        <w:rPr>
          <w:lang w:val="fr-CA"/>
        </w:rPr>
        <w:t>50</w:t>
      </w:r>
      <w:r w:rsidR="00317259" w:rsidRPr="001126BE">
        <w:rPr>
          <w:lang w:val="fr-CA"/>
        </w:rPr>
        <w:t xml:space="preserve"> pour </w:t>
      </w:r>
      <w:r w:rsidR="00C637B2">
        <w:rPr>
          <w:lang w:val="fr-CA"/>
        </w:rPr>
        <w:t>100</w:t>
      </w:r>
      <w:r w:rsidR="00317259" w:rsidRPr="001126BE">
        <w:rPr>
          <w:lang w:val="fr-CA"/>
        </w:rPr>
        <w:t xml:space="preserve"> </w:t>
      </w:r>
      <w:r w:rsidR="00DA5B2C" w:rsidRPr="001126BE">
        <w:rPr>
          <w:lang w:val="fr-CA"/>
        </w:rPr>
        <w:t>dan</w:t>
      </w:r>
      <w:r w:rsidR="00317259" w:rsidRPr="001126BE">
        <w:rPr>
          <w:lang w:val="fr-CA"/>
        </w:rPr>
        <w:t>s la propriété.  Le juge de première instance a rejeté l’action, mais sa décision a été infirmée en appel.</w:t>
      </w:r>
    </w:p>
    <w:p w:rsidR="004D7D95" w:rsidRPr="001126BE" w:rsidRDefault="00317259" w:rsidP="004633A7">
      <w:pPr>
        <w:pStyle w:val="SCCNormalDoubleSpacing"/>
        <w:spacing w:before="480" w:after="480"/>
        <w:rPr>
          <w:lang w:val="fr-CA"/>
        </w:rPr>
      </w:pPr>
      <w:r w:rsidRPr="001126BE">
        <w:rPr>
          <w:lang w:val="fr-CA"/>
        </w:rPr>
        <w:tab/>
      </w:r>
      <w:r w:rsidR="004D7D95" w:rsidRPr="001126BE">
        <w:rPr>
          <w:i/>
          <w:lang w:val="fr-CA"/>
        </w:rPr>
        <w:t>Arrêt</w:t>
      </w:r>
      <w:r w:rsidR="001126BE">
        <w:rPr>
          <w:lang w:val="fr-CA"/>
        </w:rPr>
        <w:t> :</w:t>
      </w:r>
      <w:r w:rsidR="004D7D95" w:rsidRPr="001126BE">
        <w:rPr>
          <w:lang w:val="fr-CA"/>
        </w:rPr>
        <w:t xml:space="preserve"> Le pourvoi est</w:t>
      </w:r>
      <w:r w:rsidR="000C51C8" w:rsidRPr="001126BE">
        <w:rPr>
          <w:lang w:val="fr-CA"/>
        </w:rPr>
        <w:t xml:space="preserve"> accueilli et la décision du juge de première instance est rétablie.</w:t>
      </w:r>
    </w:p>
    <w:p w:rsidR="004D7D95" w:rsidRPr="001126BE" w:rsidRDefault="004D7D95" w:rsidP="004633A7">
      <w:pPr>
        <w:pStyle w:val="SCCNormalDoubleSpacing"/>
        <w:spacing w:before="480" w:after="480"/>
        <w:rPr>
          <w:lang w:val="fr-CA"/>
        </w:rPr>
      </w:pPr>
      <w:r w:rsidRPr="001126BE">
        <w:rPr>
          <w:lang w:val="fr-CA"/>
        </w:rPr>
        <w:tab/>
      </w:r>
      <w:r w:rsidR="009F4B46" w:rsidRPr="001126BE">
        <w:rPr>
          <w:lang w:val="fr-CA"/>
        </w:rPr>
        <w:t xml:space="preserve">Il n’y a aucune raison d’écarter la doctrine, établie depuis longtemps, de la fiducie </w:t>
      </w:r>
      <w:proofErr w:type="spellStart"/>
      <w:r w:rsidR="009F4B46" w:rsidRPr="001126BE">
        <w:rPr>
          <w:lang w:val="fr-CA"/>
        </w:rPr>
        <w:t>résultoire</w:t>
      </w:r>
      <w:proofErr w:type="spellEnd"/>
      <w:r w:rsidR="009F4B46" w:rsidRPr="001126BE">
        <w:rPr>
          <w:lang w:val="fr-CA"/>
        </w:rPr>
        <w:t xml:space="preserve"> découlant des circonstances d’achat en faveur d’une démarche fondée sur l’enrichissement injustifié.  </w:t>
      </w:r>
      <w:r w:rsidR="008D78B5" w:rsidRPr="001126BE">
        <w:rPr>
          <w:lang w:val="fr-CA"/>
        </w:rPr>
        <w:t xml:space="preserve">Bien que la souplesse soit certainement souhaitable dans certains domaines du droit, la fiducie </w:t>
      </w:r>
      <w:proofErr w:type="spellStart"/>
      <w:r w:rsidR="008D78B5" w:rsidRPr="001126BE">
        <w:rPr>
          <w:lang w:val="fr-CA"/>
        </w:rPr>
        <w:t>résultoire</w:t>
      </w:r>
      <w:proofErr w:type="spellEnd"/>
      <w:r w:rsidR="008D78B5" w:rsidRPr="001126BE">
        <w:rPr>
          <w:lang w:val="fr-CA"/>
        </w:rPr>
        <w:t xml:space="preserve"> découlant des circonstances d’achat offre une certitude et une prévisibilité du fait qu’elle est fondée sur une règle claire permettant de déterminer qui détient l’intérêt bénéficiaire sur un bien.  Au moment de faire un transfert d’un bien à titre gratuit, l’auteur du transfert d</w:t>
      </w:r>
      <w:r w:rsidR="00DA5B2C" w:rsidRPr="001126BE">
        <w:rPr>
          <w:lang w:val="fr-CA"/>
        </w:rPr>
        <w:t>o</w:t>
      </w:r>
      <w:r w:rsidR="008D78B5" w:rsidRPr="001126BE">
        <w:rPr>
          <w:lang w:val="fr-CA"/>
        </w:rPr>
        <w:t xml:space="preserve">it avoir eu l’intention soit de céder l’intérêt bénéficiaire (donation), soit de le garder (fiducie).  La fiducie </w:t>
      </w:r>
      <w:proofErr w:type="spellStart"/>
      <w:r w:rsidR="008D78B5" w:rsidRPr="001126BE">
        <w:rPr>
          <w:lang w:val="fr-CA"/>
        </w:rPr>
        <w:t>résultoire</w:t>
      </w:r>
      <w:proofErr w:type="spellEnd"/>
      <w:r w:rsidR="008D78B5" w:rsidRPr="001126BE">
        <w:rPr>
          <w:lang w:val="fr-CA"/>
        </w:rPr>
        <w:t xml:space="preserve"> découlant des circonstances d’achat est une sorte de fiducie </w:t>
      </w:r>
      <w:proofErr w:type="spellStart"/>
      <w:r w:rsidR="008D78B5" w:rsidRPr="001126BE">
        <w:rPr>
          <w:lang w:val="fr-CA"/>
        </w:rPr>
        <w:t>résultoire</w:t>
      </w:r>
      <w:proofErr w:type="spellEnd"/>
      <w:r w:rsidR="008D78B5" w:rsidRPr="001126BE">
        <w:rPr>
          <w:lang w:val="fr-CA"/>
        </w:rPr>
        <w:t xml:space="preserve"> découlant d’un transfert à titre gratuit qui s’opère lorsqu’une personne avance des fonds en vue de contribuer au prix d’achat d’un bien sans en acquérir le titre.  Lorsque la personne qui avance les fonds n’a aucun lien de parenté </w:t>
      </w:r>
      <w:r w:rsidR="008D78B5" w:rsidRPr="001126BE">
        <w:rPr>
          <w:lang w:val="fr-CA"/>
        </w:rPr>
        <w:lastRenderedPageBreak/>
        <w:t xml:space="preserve">avec la personne qui acquiert le titre, </w:t>
      </w:r>
      <w:r w:rsidR="00EE3D90" w:rsidRPr="001126BE">
        <w:rPr>
          <w:lang w:val="fr-CA"/>
        </w:rPr>
        <w:t>i</w:t>
      </w:r>
      <w:r w:rsidR="008D78B5" w:rsidRPr="001126BE">
        <w:rPr>
          <w:lang w:val="fr-CA"/>
        </w:rPr>
        <w:t>l</w:t>
      </w:r>
      <w:r w:rsidR="00EE3D90" w:rsidRPr="001126BE">
        <w:rPr>
          <w:lang w:val="fr-CA"/>
        </w:rPr>
        <w:t xml:space="preserve"> faut</w:t>
      </w:r>
      <w:r w:rsidR="008D78B5" w:rsidRPr="001126BE">
        <w:rPr>
          <w:lang w:val="fr-CA"/>
        </w:rPr>
        <w:t xml:space="preserve"> présume</w:t>
      </w:r>
      <w:r w:rsidR="00EE3D90" w:rsidRPr="001126BE">
        <w:rPr>
          <w:lang w:val="fr-CA"/>
        </w:rPr>
        <w:t>r en</w:t>
      </w:r>
      <w:r w:rsidR="008D78B5" w:rsidRPr="001126BE">
        <w:rPr>
          <w:lang w:val="fr-CA"/>
        </w:rPr>
        <w:t xml:space="preserve"> </w:t>
      </w:r>
      <w:r w:rsidR="00EE3D90" w:rsidRPr="001126BE">
        <w:rPr>
          <w:lang w:val="fr-CA"/>
        </w:rPr>
        <w:t xml:space="preserve">droit </w:t>
      </w:r>
      <w:r w:rsidR="008D78B5" w:rsidRPr="001126BE">
        <w:rPr>
          <w:lang w:val="fr-CA"/>
        </w:rPr>
        <w:t xml:space="preserve">que les parties voulaient que l’auteur de l’avance des fonds détienne un intérêt bénéficiaire dans le bien au prorata de sa contribution.  </w:t>
      </w:r>
      <w:r w:rsidR="00EE3D90" w:rsidRPr="001126BE">
        <w:rPr>
          <w:lang w:val="fr-CA"/>
        </w:rPr>
        <w:t xml:space="preserve">Cette présomption peut être réfutée si la personne qui a reçu le bien prouve, selon la prépondérance des probabilités, qu’au moment de faire la contribution, la personne qui a avancé les fonds voulait faire une donation à la personne qui a acquis le titre dans ce bien.  </w:t>
      </w:r>
      <w:r w:rsidR="0062406E" w:rsidRPr="001126BE">
        <w:rPr>
          <w:lang w:val="fr-CA"/>
        </w:rPr>
        <w:t xml:space="preserve">Pour réfuter la présomption, il faut prouver l’intention de la personne ayant avancé les fonds </w:t>
      </w:r>
      <w:r w:rsidR="0062406E" w:rsidRPr="001126BE">
        <w:rPr>
          <w:i/>
          <w:lang w:val="fr-CA"/>
        </w:rPr>
        <w:t>au moment où l’avance a été consentie</w:t>
      </w:r>
      <w:r w:rsidR="0062406E" w:rsidRPr="001126BE">
        <w:rPr>
          <w:lang w:val="fr-CA"/>
        </w:rPr>
        <w:t>, mais des éléments de preuve de l’intention postérieurs à l’avance peuvent être admis dans la mesure où le juge des faits tient dûment compte de la possibilité que l’auteur de l’avance de fonds ait pu changer ses intentions au fil du temps en vue de s’avantager.</w:t>
      </w:r>
    </w:p>
    <w:p w:rsidR="0062406E" w:rsidRPr="001126BE" w:rsidRDefault="0062406E" w:rsidP="004633A7">
      <w:pPr>
        <w:pStyle w:val="SCCNormalDoubleSpacing"/>
        <w:spacing w:before="480" w:after="480"/>
        <w:rPr>
          <w:lang w:val="fr-CA"/>
        </w:rPr>
      </w:pPr>
      <w:r w:rsidRPr="001126BE">
        <w:rPr>
          <w:lang w:val="fr-CA"/>
        </w:rPr>
        <w:tab/>
      </w:r>
      <w:r w:rsidRPr="001126BE">
        <w:rPr>
          <w:szCs w:val="24"/>
          <w:lang w:val="fr-CA"/>
        </w:rPr>
        <w:t xml:space="preserve">Un examen des motifs du juge de première instance considérés dans leur contexte global confirme que selon lui, l’intention de </w:t>
      </w:r>
      <w:proofErr w:type="spellStart"/>
      <w:r w:rsidRPr="001126BE">
        <w:rPr>
          <w:szCs w:val="24"/>
          <w:lang w:val="fr-CA"/>
        </w:rPr>
        <w:t>Rascal</w:t>
      </w:r>
      <w:proofErr w:type="spellEnd"/>
      <w:r w:rsidRPr="001126BE">
        <w:rPr>
          <w:szCs w:val="24"/>
          <w:lang w:val="fr-CA"/>
        </w:rPr>
        <w:t xml:space="preserve">, au moment de l’avance de fonds, était de contribuer au prix d’achat sans acquérir un intérêt bénéficiaire sur la propriété parce qu’elle reconnaissait avoir imposé des frais à </w:t>
      </w:r>
      <w:proofErr w:type="spellStart"/>
      <w:r w:rsidRPr="001126BE">
        <w:rPr>
          <w:szCs w:val="24"/>
          <w:lang w:val="fr-CA"/>
        </w:rPr>
        <w:t>Kismet</w:t>
      </w:r>
      <w:proofErr w:type="spellEnd"/>
      <w:r w:rsidRPr="001126BE">
        <w:rPr>
          <w:szCs w:val="24"/>
          <w:lang w:val="fr-CA"/>
        </w:rPr>
        <w:t xml:space="preserve">.  Cette intention d’honorer les obligations de </w:t>
      </w:r>
      <w:proofErr w:type="spellStart"/>
      <w:r w:rsidRPr="001126BE">
        <w:rPr>
          <w:szCs w:val="24"/>
          <w:lang w:val="fr-CA"/>
        </w:rPr>
        <w:t>Rascal</w:t>
      </w:r>
      <w:proofErr w:type="spellEnd"/>
      <w:r w:rsidRPr="001126BE">
        <w:rPr>
          <w:szCs w:val="24"/>
          <w:lang w:val="fr-CA"/>
        </w:rPr>
        <w:t xml:space="preserve"> envers </w:t>
      </w:r>
      <w:proofErr w:type="spellStart"/>
      <w:r w:rsidRPr="001126BE">
        <w:rPr>
          <w:szCs w:val="24"/>
          <w:lang w:val="fr-CA"/>
        </w:rPr>
        <w:t>Kismet</w:t>
      </w:r>
      <w:proofErr w:type="spellEnd"/>
      <w:r w:rsidRPr="001126BE">
        <w:rPr>
          <w:szCs w:val="24"/>
          <w:lang w:val="fr-CA"/>
        </w:rPr>
        <w:t xml:space="preserve"> en faisant un paiement à M. Nishi n’est pas incompatible avec la conclusion qu’une donation a été faite.  De plus, l’intention déclarée de </w:t>
      </w:r>
      <w:proofErr w:type="spellStart"/>
      <w:r w:rsidRPr="001126BE">
        <w:rPr>
          <w:szCs w:val="24"/>
          <w:lang w:val="fr-CA"/>
        </w:rPr>
        <w:t>Rascal</w:t>
      </w:r>
      <w:proofErr w:type="spellEnd"/>
      <w:r w:rsidRPr="001126BE">
        <w:rPr>
          <w:szCs w:val="24"/>
          <w:lang w:val="fr-CA"/>
        </w:rPr>
        <w:t xml:space="preserve"> était d’avancer des fonds sans aucune condition, et </w:t>
      </w:r>
      <w:r w:rsidRPr="001126BE">
        <w:rPr>
          <w:lang w:val="fr-CA"/>
        </w:rPr>
        <w:t>sa contribution à l’hypothèque grevant la propriété équivalait, au cent près</w:t>
      </w:r>
      <w:r w:rsidR="000A7A31" w:rsidRPr="001126BE">
        <w:rPr>
          <w:lang w:val="fr-CA"/>
        </w:rPr>
        <w:t>,</w:t>
      </w:r>
      <w:r w:rsidRPr="001126BE">
        <w:rPr>
          <w:lang w:val="fr-CA"/>
        </w:rPr>
        <w:t xml:space="preserve"> a</w:t>
      </w:r>
      <w:r w:rsidR="000A7A31" w:rsidRPr="001126BE">
        <w:rPr>
          <w:lang w:val="fr-CA"/>
        </w:rPr>
        <w:t>u</w:t>
      </w:r>
      <w:r w:rsidRPr="001126BE">
        <w:rPr>
          <w:lang w:val="fr-CA"/>
        </w:rPr>
        <w:t xml:space="preserve"> montant d’arriéré d’impôt</w:t>
      </w:r>
      <w:r w:rsidR="00DA5B2C" w:rsidRPr="001126BE">
        <w:rPr>
          <w:lang w:val="fr-CA"/>
        </w:rPr>
        <w:t xml:space="preserve"> (110 679,74</w:t>
      </w:r>
      <w:r w:rsidR="001126BE">
        <w:rPr>
          <w:lang w:val="fr-CA"/>
        </w:rPr>
        <w:t> $</w:t>
      </w:r>
      <w:r w:rsidR="00DA5B2C" w:rsidRPr="001126BE">
        <w:rPr>
          <w:lang w:val="fr-CA"/>
        </w:rPr>
        <w:t>)</w:t>
      </w:r>
      <w:r w:rsidRPr="001126BE">
        <w:rPr>
          <w:lang w:val="fr-CA"/>
        </w:rPr>
        <w:t xml:space="preserve">.  </w:t>
      </w:r>
      <w:r w:rsidR="000A7A31" w:rsidRPr="001126BE">
        <w:rPr>
          <w:lang w:val="fr-CA"/>
        </w:rPr>
        <w:t xml:space="preserve">Il était loisible au juge de première instance de conclure </w:t>
      </w:r>
      <w:r w:rsidR="00B77C0A" w:rsidRPr="001126BE">
        <w:rPr>
          <w:lang w:val="fr-CA"/>
        </w:rPr>
        <w:t xml:space="preserve">que la présomption de fiducie </w:t>
      </w:r>
      <w:proofErr w:type="spellStart"/>
      <w:r w:rsidR="00B77C0A" w:rsidRPr="001126BE">
        <w:rPr>
          <w:lang w:val="fr-CA"/>
        </w:rPr>
        <w:t>résultoire</w:t>
      </w:r>
      <w:proofErr w:type="spellEnd"/>
      <w:r w:rsidR="00B77C0A" w:rsidRPr="001126BE">
        <w:rPr>
          <w:lang w:val="fr-CA"/>
        </w:rPr>
        <w:t xml:space="preserve"> avait été réfutée, et cette conclusion était bien étayée par la preuve.</w:t>
      </w:r>
    </w:p>
    <w:p w:rsidR="004D7D95" w:rsidRPr="001126BE" w:rsidRDefault="004D7D95" w:rsidP="008A32D1">
      <w:pPr>
        <w:pStyle w:val="SCCNormalDoubleSpacing"/>
        <w:keepNext/>
        <w:spacing w:before="480" w:after="480"/>
        <w:rPr>
          <w:b/>
          <w:lang w:val="fr-CA"/>
        </w:rPr>
      </w:pPr>
      <w:r w:rsidRPr="001126BE">
        <w:rPr>
          <w:b/>
          <w:lang w:val="fr-CA"/>
        </w:rPr>
        <w:lastRenderedPageBreak/>
        <w:t>Jurisprudence</w:t>
      </w:r>
    </w:p>
    <w:p w:rsidR="004D7D95" w:rsidRPr="001126BE" w:rsidRDefault="004D7D95" w:rsidP="004633A7">
      <w:pPr>
        <w:pStyle w:val="SCCNormalDoubleSpacing"/>
        <w:spacing w:before="480" w:after="480"/>
        <w:rPr>
          <w:b/>
          <w:lang w:val="fr-CA"/>
        </w:rPr>
      </w:pPr>
      <w:r w:rsidRPr="001126BE">
        <w:rPr>
          <w:lang w:val="fr-CA"/>
        </w:rPr>
        <w:tab/>
      </w:r>
      <w:r w:rsidRPr="001126BE">
        <w:rPr>
          <w:b/>
          <w:lang w:val="fr-CA"/>
        </w:rPr>
        <w:t xml:space="preserve">Arrêts </w:t>
      </w:r>
      <w:r w:rsidR="00282E67" w:rsidRPr="001126BE">
        <w:rPr>
          <w:b/>
          <w:lang w:val="fr-CA"/>
        </w:rPr>
        <w:t>appliqués</w:t>
      </w:r>
      <w:r w:rsidR="001126BE">
        <w:rPr>
          <w:b/>
          <w:lang w:val="fr-CA"/>
        </w:rPr>
        <w:t> :</w:t>
      </w:r>
      <w:r w:rsidR="00282E67" w:rsidRPr="001126BE">
        <w:rPr>
          <w:lang w:val="fr-CA"/>
        </w:rPr>
        <w:t xml:space="preserve"> </w:t>
      </w:r>
      <w:r w:rsidR="00282E67" w:rsidRPr="001126BE">
        <w:rPr>
          <w:i/>
          <w:lang w:val="fr-CA"/>
        </w:rPr>
        <w:t xml:space="preserve">Kerr c. </w:t>
      </w:r>
      <w:proofErr w:type="spellStart"/>
      <w:r w:rsidR="00282E67" w:rsidRPr="001126BE">
        <w:rPr>
          <w:i/>
          <w:lang w:val="fr-CA"/>
        </w:rPr>
        <w:t>Baranow</w:t>
      </w:r>
      <w:proofErr w:type="spellEnd"/>
      <w:r w:rsidR="00282E67" w:rsidRPr="001126BE">
        <w:rPr>
          <w:lang w:val="fr-CA"/>
        </w:rPr>
        <w:t xml:space="preserve">, 2011 CSC 10, [2011] 1 R.C.S. 269; </w:t>
      </w:r>
      <w:proofErr w:type="spellStart"/>
      <w:r w:rsidR="00282E67" w:rsidRPr="001126BE">
        <w:rPr>
          <w:i/>
          <w:lang w:val="fr-CA"/>
        </w:rPr>
        <w:t>Pecore</w:t>
      </w:r>
      <w:proofErr w:type="spellEnd"/>
      <w:r w:rsidR="00282E67" w:rsidRPr="001126BE">
        <w:rPr>
          <w:i/>
          <w:lang w:val="fr-CA"/>
        </w:rPr>
        <w:t xml:space="preserve"> c. </w:t>
      </w:r>
      <w:proofErr w:type="spellStart"/>
      <w:r w:rsidR="00282E67" w:rsidRPr="001126BE">
        <w:rPr>
          <w:i/>
          <w:lang w:val="fr-CA"/>
        </w:rPr>
        <w:t>Pecore</w:t>
      </w:r>
      <w:proofErr w:type="spellEnd"/>
      <w:r w:rsidR="00282E67" w:rsidRPr="001126BE">
        <w:rPr>
          <w:lang w:val="fr-CA"/>
        </w:rPr>
        <w:t xml:space="preserve">, 2007 CSC 17, [2007] 1 R.C.S. 795; </w:t>
      </w:r>
      <w:r w:rsidR="00282E67" w:rsidRPr="001126BE">
        <w:rPr>
          <w:b/>
          <w:lang w:val="fr-CA"/>
        </w:rPr>
        <w:t xml:space="preserve">arrêts </w:t>
      </w:r>
      <w:r w:rsidRPr="001126BE">
        <w:rPr>
          <w:b/>
          <w:lang w:val="fr-CA"/>
        </w:rPr>
        <w:t>mentionnés</w:t>
      </w:r>
      <w:r w:rsidR="001126BE">
        <w:rPr>
          <w:b/>
          <w:lang w:val="fr-CA"/>
        </w:rPr>
        <w:t> :</w:t>
      </w:r>
      <w:r w:rsidRPr="001126BE">
        <w:rPr>
          <w:lang w:val="fr-CA"/>
        </w:rPr>
        <w:t xml:space="preserve"> </w:t>
      </w:r>
      <w:r w:rsidR="005404DC" w:rsidRPr="001126BE">
        <w:rPr>
          <w:i/>
          <w:lang w:val="fr-CA"/>
        </w:rPr>
        <w:t xml:space="preserve">Nanaimo (Ville) c. </w:t>
      </w:r>
      <w:proofErr w:type="spellStart"/>
      <w:r w:rsidR="005404DC" w:rsidRPr="001126BE">
        <w:rPr>
          <w:i/>
          <w:lang w:val="fr-CA"/>
        </w:rPr>
        <w:t>Rascal</w:t>
      </w:r>
      <w:proofErr w:type="spellEnd"/>
      <w:r w:rsidR="005404DC" w:rsidRPr="001126BE">
        <w:rPr>
          <w:i/>
          <w:lang w:val="fr-CA"/>
        </w:rPr>
        <w:t xml:space="preserve"> </w:t>
      </w:r>
      <w:proofErr w:type="spellStart"/>
      <w:r w:rsidR="005404DC" w:rsidRPr="001126BE">
        <w:rPr>
          <w:i/>
          <w:lang w:val="fr-CA"/>
        </w:rPr>
        <w:t>Trucking</w:t>
      </w:r>
      <w:proofErr w:type="spellEnd"/>
      <w:r w:rsidR="005404DC" w:rsidRPr="001126BE">
        <w:rPr>
          <w:i/>
          <w:lang w:val="fr-CA"/>
        </w:rPr>
        <w:t xml:space="preserve"> Ltd.</w:t>
      </w:r>
      <w:r w:rsidR="005404DC" w:rsidRPr="001126BE">
        <w:rPr>
          <w:lang w:val="fr-CA"/>
        </w:rPr>
        <w:t>, 2000 CSC 13, [2000] 1 R.C.S. 342</w:t>
      </w:r>
      <w:r w:rsidR="001E3183" w:rsidRPr="001126BE">
        <w:rPr>
          <w:lang w:val="fr-CA"/>
        </w:rPr>
        <w:t xml:space="preserve">; </w:t>
      </w:r>
      <w:r w:rsidR="001E3183" w:rsidRPr="001126BE">
        <w:rPr>
          <w:i/>
          <w:lang w:val="fr-CA"/>
        </w:rPr>
        <w:t>R. c. Henry</w:t>
      </w:r>
      <w:r w:rsidR="001E3183" w:rsidRPr="001126BE">
        <w:rPr>
          <w:lang w:val="fr-CA"/>
        </w:rPr>
        <w:t xml:space="preserve">, 2005 CSC 76, [2005] 3 R.C.S. 609; </w:t>
      </w:r>
      <w:r w:rsidR="001E3183" w:rsidRPr="001126BE">
        <w:rPr>
          <w:i/>
          <w:lang w:val="fr-CA"/>
        </w:rPr>
        <w:t>Ontario (Procureur général) c. Fraser</w:t>
      </w:r>
      <w:r w:rsidR="001E3183" w:rsidRPr="001126BE">
        <w:rPr>
          <w:lang w:val="fr-CA"/>
        </w:rPr>
        <w:t xml:space="preserve">, 2011 CSC 20, [2011] 2 R.C.S. 3; </w:t>
      </w:r>
      <w:r w:rsidR="001E3183" w:rsidRPr="001126BE">
        <w:rPr>
          <w:i/>
          <w:lang w:val="fr-CA"/>
        </w:rPr>
        <w:t>Canada c. Craig</w:t>
      </w:r>
      <w:r w:rsidR="001E3183" w:rsidRPr="001126BE">
        <w:rPr>
          <w:lang w:val="fr-CA"/>
        </w:rPr>
        <w:t>, 2012 CSC 43, [2012] 2 R.C.S. 489</w:t>
      </w:r>
      <w:r w:rsidR="004723C9" w:rsidRPr="001126BE">
        <w:rPr>
          <w:lang w:val="fr-CA"/>
        </w:rPr>
        <w:t>;</w:t>
      </w:r>
      <w:r w:rsidR="004723C9" w:rsidRPr="001126BE">
        <w:rPr>
          <w:i/>
          <w:lang w:val="fr-CA"/>
        </w:rPr>
        <w:t xml:space="preserve"> R. c. B. (K.G.)</w:t>
      </w:r>
      <w:r w:rsidR="004723C9" w:rsidRPr="001126BE">
        <w:rPr>
          <w:lang w:val="fr-CA"/>
        </w:rPr>
        <w:t>, [1993] 1 R.C.S. 740</w:t>
      </w:r>
      <w:r w:rsidR="005404DC" w:rsidRPr="001126BE">
        <w:rPr>
          <w:lang w:val="fr-CA"/>
        </w:rPr>
        <w:t>.</w:t>
      </w:r>
    </w:p>
    <w:p w:rsidR="004D7D95" w:rsidRPr="001126BE" w:rsidRDefault="004D7D95" w:rsidP="004633A7">
      <w:pPr>
        <w:pStyle w:val="SCCNormalDoubleSpacing"/>
        <w:keepNext/>
        <w:spacing w:before="480" w:after="480"/>
        <w:rPr>
          <w:b/>
          <w:lang w:val="en-US"/>
        </w:rPr>
      </w:pPr>
      <w:r w:rsidRPr="001126BE">
        <w:rPr>
          <w:b/>
          <w:lang w:val="en-US"/>
        </w:rPr>
        <w:t xml:space="preserve">Doctrine </w:t>
      </w:r>
      <w:proofErr w:type="gramStart"/>
      <w:r w:rsidRPr="001126BE">
        <w:rPr>
          <w:b/>
          <w:lang w:val="en-US"/>
        </w:rPr>
        <w:t>et</w:t>
      </w:r>
      <w:proofErr w:type="gramEnd"/>
      <w:r w:rsidRPr="001126BE">
        <w:rPr>
          <w:b/>
          <w:lang w:val="en-US"/>
        </w:rPr>
        <w:t xml:space="preserve"> </w:t>
      </w:r>
      <w:proofErr w:type="spellStart"/>
      <w:r w:rsidRPr="001126BE">
        <w:rPr>
          <w:b/>
          <w:lang w:val="en-US"/>
        </w:rPr>
        <w:t>autres</w:t>
      </w:r>
      <w:proofErr w:type="spellEnd"/>
      <w:r w:rsidRPr="001126BE">
        <w:rPr>
          <w:b/>
          <w:lang w:val="en-US"/>
        </w:rPr>
        <w:t xml:space="preserve"> documents </w:t>
      </w:r>
      <w:proofErr w:type="spellStart"/>
      <w:r w:rsidRPr="001126BE">
        <w:rPr>
          <w:b/>
          <w:lang w:val="en-US"/>
        </w:rPr>
        <w:t>cités</w:t>
      </w:r>
      <w:proofErr w:type="spellEnd"/>
    </w:p>
    <w:p w:rsidR="005D264E" w:rsidRPr="001126BE" w:rsidRDefault="005D264E" w:rsidP="004633A7">
      <w:pPr>
        <w:pStyle w:val="SCCNormalDoubleSpacing"/>
        <w:spacing w:after="240" w:line="240" w:lineRule="auto"/>
        <w:ind w:left="547" w:hanging="547"/>
        <w:rPr>
          <w:szCs w:val="24"/>
        </w:rPr>
      </w:pPr>
      <w:proofErr w:type="spellStart"/>
      <w:r w:rsidRPr="001126BE">
        <w:rPr>
          <w:i/>
          <w:szCs w:val="24"/>
        </w:rPr>
        <w:t>Oosterhoff</w:t>
      </w:r>
      <w:proofErr w:type="spellEnd"/>
      <w:r w:rsidRPr="001126BE">
        <w:rPr>
          <w:i/>
          <w:szCs w:val="24"/>
        </w:rPr>
        <w:t xml:space="preserve"> on </w:t>
      </w:r>
      <w:proofErr w:type="gramStart"/>
      <w:r w:rsidRPr="001126BE">
        <w:rPr>
          <w:i/>
          <w:szCs w:val="24"/>
        </w:rPr>
        <w:t>Trusts</w:t>
      </w:r>
      <w:r w:rsidR="001126BE">
        <w:rPr>
          <w:i/>
          <w:szCs w:val="24"/>
        </w:rPr>
        <w:t> :</w:t>
      </w:r>
      <w:proofErr w:type="gramEnd"/>
      <w:r w:rsidRPr="001126BE">
        <w:rPr>
          <w:i/>
          <w:szCs w:val="24"/>
        </w:rPr>
        <w:t xml:space="preserve"> Text, Commentary and Materials</w:t>
      </w:r>
      <w:r w:rsidRPr="001126BE">
        <w:rPr>
          <w:szCs w:val="24"/>
        </w:rPr>
        <w:t>, 7th ed. by A.</w:t>
      </w:r>
      <w:r w:rsidR="004633A7" w:rsidRPr="001126BE">
        <w:rPr>
          <w:szCs w:val="24"/>
        </w:rPr>
        <w:t> H. </w:t>
      </w:r>
      <w:proofErr w:type="spellStart"/>
      <w:r w:rsidRPr="001126BE">
        <w:rPr>
          <w:szCs w:val="24"/>
        </w:rPr>
        <w:t>Oosterhoff</w:t>
      </w:r>
      <w:proofErr w:type="spellEnd"/>
      <w:r w:rsidRPr="001126BE">
        <w:rPr>
          <w:szCs w:val="24"/>
        </w:rPr>
        <w:t xml:space="preserve"> et </w:t>
      </w:r>
      <w:r w:rsidR="001126BE">
        <w:rPr>
          <w:szCs w:val="24"/>
        </w:rPr>
        <w:t>al. </w:t>
      </w:r>
      <w:r w:rsidRPr="001126BE">
        <w:rPr>
          <w:szCs w:val="24"/>
        </w:rPr>
        <w:t xml:space="preserve"> </w:t>
      </w:r>
      <w:proofErr w:type="gramStart"/>
      <w:r w:rsidRPr="001126BE">
        <w:rPr>
          <w:szCs w:val="24"/>
        </w:rPr>
        <w:t>Toronto</w:t>
      </w:r>
      <w:r w:rsidR="001126BE">
        <w:rPr>
          <w:szCs w:val="24"/>
        </w:rPr>
        <w:t> :</w:t>
      </w:r>
      <w:proofErr w:type="gramEnd"/>
      <w:r w:rsidRPr="001126BE">
        <w:rPr>
          <w:szCs w:val="24"/>
        </w:rPr>
        <w:t xml:space="preserve"> </w:t>
      </w:r>
      <w:proofErr w:type="spellStart"/>
      <w:r w:rsidRPr="001126BE">
        <w:rPr>
          <w:szCs w:val="24"/>
        </w:rPr>
        <w:t>Carswell</w:t>
      </w:r>
      <w:proofErr w:type="spellEnd"/>
      <w:r w:rsidRPr="001126BE">
        <w:rPr>
          <w:szCs w:val="24"/>
        </w:rPr>
        <w:t>, 2009.</w:t>
      </w:r>
    </w:p>
    <w:p w:rsidR="007E1133" w:rsidRPr="001126BE" w:rsidRDefault="007E1133" w:rsidP="004633A7">
      <w:pPr>
        <w:pStyle w:val="SCCNormalDoubleSpacing"/>
        <w:spacing w:after="240" w:line="240" w:lineRule="auto"/>
        <w:ind w:left="547" w:hanging="547"/>
      </w:pPr>
      <w:r w:rsidRPr="001126BE">
        <w:rPr>
          <w:i/>
          <w:szCs w:val="24"/>
        </w:rPr>
        <w:t>Snell’s</w:t>
      </w:r>
      <w:r w:rsidRPr="001126BE">
        <w:rPr>
          <w:i/>
        </w:rPr>
        <w:t xml:space="preserve"> Equity</w:t>
      </w:r>
      <w:r w:rsidRPr="001126BE">
        <w:t xml:space="preserve">, 32nd ed. by John McGhee.  </w:t>
      </w:r>
      <w:proofErr w:type="gramStart"/>
      <w:r w:rsidRPr="001126BE">
        <w:t>London</w:t>
      </w:r>
      <w:r w:rsidR="001126BE">
        <w:t> :</w:t>
      </w:r>
      <w:proofErr w:type="gramEnd"/>
      <w:r w:rsidRPr="001126BE">
        <w:t xml:space="preserve"> Sweet &amp; Maxwell, 2010.</w:t>
      </w:r>
    </w:p>
    <w:p w:rsidR="001F55AB" w:rsidRPr="001126BE" w:rsidRDefault="00170BA3" w:rsidP="004633A7">
      <w:pPr>
        <w:pStyle w:val="SCCNormalDoubleSpacing"/>
        <w:spacing w:after="720" w:line="240" w:lineRule="auto"/>
        <w:ind w:left="547" w:hanging="547"/>
      </w:pPr>
      <w:proofErr w:type="gramStart"/>
      <w:r w:rsidRPr="001126BE">
        <w:rPr>
          <w:i/>
          <w:szCs w:val="24"/>
        </w:rPr>
        <w:t>Waters’</w:t>
      </w:r>
      <w:r w:rsidRPr="001126BE">
        <w:rPr>
          <w:i/>
        </w:rPr>
        <w:t xml:space="preserve"> Law of Trusts in Canada</w:t>
      </w:r>
      <w:r w:rsidRPr="001126BE">
        <w:t>, 4th</w:t>
      </w:r>
      <w:r w:rsidR="004633A7" w:rsidRPr="001126BE">
        <w:t xml:space="preserve"> ed. by Donovan W. M. Waters, Mark R. Gillen and Lionel </w:t>
      </w:r>
      <w:r w:rsidRPr="001126BE">
        <w:t>D. Smith.</w:t>
      </w:r>
      <w:proofErr w:type="gramEnd"/>
      <w:r w:rsidRPr="001126BE">
        <w:t xml:space="preserve">  </w:t>
      </w:r>
      <w:proofErr w:type="gramStart"/>
      <w:r w:rsidRPr="001126BE">
        <w:t>Toronto</w:t>
      </w:r>
      <w:r w:rsidR="001126BE">
        <w:t> :</w:t>
      </w:r>
      <w:proofErr w:type="gramEnd"/>
      <w:r w:rsidRPr="001126BE">
        <w:t xml:space="preserve"> Thomson </w:t>
      </w:r>
      <w:proofErr w:type="spellStart"/>
      <w:r w:rsidRPr="001126BE">
        <w:t>Carswell</w:t>
      </w:r>
      <w:proofErr w:type="spellEnd"/>
      <w:r w:rsidRPr="001126BE">
        <w:t>, 2012.</w:t>
      </w:r>
    </w:p>
    <w:p w:rsidR="004D7D95" w:rsidRPr="00F97F51" w:rsidRDefault="00507AE5" w:rsidP="004633A7">
      <w:pPr>
        <w:pStyle w:val="SCCNormalDoubleSpacing"/>
        <w:spacing w:after="480"/>
        <w:rPr>
          <w:lang w:val="fr-CA"/>
        </w:rPr>
      </w:pPr>
      <w:r w:rsidRPr="001126BE">
        <w:rPr>
          <w:lang w:val="en-US"/>
        </w:rPr>
        <w:tab/>
      </w:r>
      <w:r w:rsidR="004D7D95" w:rsidRPr="001126BE">
        <w:t xml:space="preserve">POURVOI </w:t>
      </w:r>
      <w:proofErr w:type="spellStart"/>
      <w:r w:rsidR="004D7D95" w:rsidRPr="001126BE">
        <w:t>contre</w:t>
      </w:r>
      <w:proofErr w:type="spellEnd"/>
      <w:r w:rsidR="004D7D95" w:rsidRPr="001126BE">
        <w:t xml:space="preserve"> un </w:t>
      </w:r>
      <w:proofErr w:type="spellStart"/>
      <w:r w:rsidR="004D7D95" w:rsidRPr="001126BE">
        <w:t>arrêt</w:t>
      </w:r>
      <w:proofErr w:type="spellEnd"/>
      <w:r w:rsidR="004D7D95" w:rsidRPr="001126BE">
        <w:t xml:space="preserve"> de la </w:t>
      </w:r>
      <w:proofErr w:type="spellStart"/>
      <w:r w:rsidR="004D7D95" w:rsidRPr="001126BE">
        <w:t>Cour</w:t>
      </w:r>
      <w:proofErr w:type="spellEnd"/>
      <w:r w:rsidR="004D7D95" w:rsidRPr="001126BE">
        <w:t xml:space="preserve"> </w:t>
      </w:r>
      <w:proofErr w:type="spellStart"/>
      <w:r w:rsidR="004D7D95" w:rsidRPr="001126BE">
        <w:t>d’appel</w:t>
      </w:r>
      <w:proofErr w:type="spellEnd"/>
      <w:r w:rsidR="004D7D95" w:rsidRPr="001126BE">
        <w:t xml:space="preserve"> de la </w:t>
      </w:r>
      <w:proofErr w:type="spellStart"/>
      <w:r w:rsidR="004D7D95" w:rsidRPr="001126BE">
        <w:t>Colombie</w:t>
      </w:r>
      <w:r w:rsidR="001126BE">
        <w:noBreakHyphen/>
      </w:r>
      <w:r w:rsidR="004D7D95" w:rsidRPr="001126BE">
        <w:t>Britannique</w:t>
      </w:r>
      <w:proofErr w:type="spellEnd"/>
      <w:r w:rsidRPr="001126BE">
        <w:t xml:space="preserve"> (les </w:t>
      </w:r>
      <w:proofErr w:type="spellStart"/>
      <w:r w:rsidRPr="001126BE">
        <w:t>juges</w:t>
      </w:r>
      <w:proofErr w:type="spellEnd"/>
      <w:r w:rsidRPr="001126BE">
        <w:t xml:space="preserve"> Kirkpatrick, Frankel et Smith), 2011 BCCA 348, 21 B.C.L.R. (5th) 330, 309 B.C.A.C. 182, 523 W.A.C. 182, 340 D.L.R. (4th) 284, [2011] B.C.J. </w:t>
      </w:r>
      <w:r w:rsidR="001126BE">
        <w:t>No. </w:t>
      </w:r>
      <w:r w:rsidRPr="001126BE">
        <w:t xml:space="preserve">1561 (QL), 2011 </w:t>
      </w:r>
      <w:proofErr w:type="spellStart"/>
      <w:r w:rsidRPr="001126BE">
        <w:t>CarswellBC</w:t>
      </w:r>
      <w:proofErr w:type="spellEnd"/>
      <w:r w:rsidRPr="001126BE">
        <w:t xml:space="preserve"> 2154, qui a </w:t>
      </w:r>
      <w:proofErr w:type="spellStart"/>
      <w:r w:rsidRPr="001126BE">
        <w:t>infirmé</w:t>
      </w:r>
      <w:proofErr w:type="spellEnd"/>
      <w:r w:rsidRPr="001126BE">
        <w:t xml:space="preserve"> </w:t>
      </w:r>
      <w:proofErr w:type="spellStart"/>
      <w:r w:rsidRPr="001126BE">
        <w:t>une</w:t>
      </w:r>
      <w:proofErr w:type="spellEnd"/>
      <w:r w:rsidRPr="001126BE">
        <w:t xml:space="preserve"> </w:t>
      </w:r>
      <w:proofErr w:type="spellStart"/>
      <w:r w:rsidRPr="001126BE">
        <w:t>décision</w:t>
      </w:r>
      <w:proofErr w:type="spellEnd"/>
      <w:r w:rsidRPr="001126BE">
        <w:t xml:space="preserve"> du </w:t>
      </w:r>
      <w:proofErr w:type="spellStart"/>
      <w:r w:rsidRPr="001126BE">
        <w:t>juge</w:t>
      </w:r>
      <w:proofErr w:type="spellEnd"/>
      <w:r w:rsidRPr="001126BE">
        <w:t xml:space="preserve"> </w:t>
      </w:r>
      <w:proofErr w:type="spellStart"/>
      <w:r w:rsidRPr="001126BE">
        <w:t>Dley</w:t>
      </w:r>
      <w:proofErr w:type="spellEnd"/>
      <w:r w:rsidRPr="001126BE">
        <w:t xml:space="preserve">, 2010 BCSC 649, [2010] B.C.J. </w:t>
      </w:r>
      <w:r w:rsidR="001126BE">
        <w:t>No. </w:t>
      </w:r>
      <w:r w:rsidRPr="001126BE">
        <w:t xml:space="preserve">840 (QL), 2010 </w:t>
      </w:r>
      <w:proofErr w:type="spellStart"/>
      <w:r w:rsidRPr="001126BE">
        <w:t>CarswellBC</w:t>
      </w:r>
      <w:proofErr w:type="spellEnd"/>
      <w:r w:rsidRPr="001126BE">
        <w:t xml:space="preserve"> 1454.  </w:t>
      </w:r>
      <w:r w:rsidRPr="00F97F51">
        <w:rPr>
          <w:lang w:val="fr-CA"/>
        </w:rPr>
        <w:t>Pourvoi accueilli</w:t>
      </w:r>
      <w:r w:rsidR="00961D61" w:rsidRPr="00F97F51">
        <w:rPr>
          <w:lang w:val="fr-CA"/>
        </w:rPr>
        <w:t>.</w:t>
      </w:r>
    </w:p>
    <w:p w:rsidR="00772173" w:rsidRPr="001126BE" w:rsidRDefault="00507AE5" w:rsidP="004633A7">
      <w:pPr>
        <w:pStyle w:val="SCCNormalDoubleSpacing"/>
        <w:spacing w:after="480"/>
        <w:rPr>
          <w:lang w:val="fr-CA"/>
        </w:rPr>
      </w:pPr>
      <w:r w:rsidRPr="00F97F51">
        <w:rPr>
          <w:i/>
          <w:lang w:val="fr-CA"/>
        </w:rPr>
        <w:tab/>
      </w:r>
      <w:r w:rsidRPr="001126BE">
        <w:rPr>
          <w:i/>
          <w:lang w:val="fr-CA"/>
        </w:rPr>
        <w:t>D.</w:t>
      </w:r>
      <w:r w:rsidR="004633A7" w:rsidRPr="001126BE">
        <w:rPr>
          <w:i/>
          <w:lang w:val="fr-CA"/>
        </w:rPr>
        <w:t> Geoffrey </w:t>
      </w:r>
      <w:r w:rsidRPr="001126BE">
        <w:rPr>
          <w:i/>
          <w:lang w:val="fr-CA"/>
        </w:rPr>
        <w:t>G. Cowper</w:t>
      </w:r>
      <w:r w:rsidRPr="00AA0516">
        <w:rPr>
          <w:lang w:val="fr-CA"/>
        </w:rPr>
        <w:t>,</w:t>
      </w:r>
      <w:r w:rsidRPr="001126BE">
        <w:rPr>
          <w:i/>
          <w:lang w:val="fr-CA"/>
        </w:rPr>
        <w:t xml:space="preserve"> </w:t>
      </w:r>
      <w:proofErr w:type="gramStart"/>
      <w:r w:rsidR="00A45CF6" w:rsidRPr="001126BE">
        <w:rPr>
          <w:i/>
          <w:lang w:val="fr-CA"/>
        </w:rPr>
        <w:t>c</w:t>
      </w:r>
      <w:r w:rsidRPr="001126BE">
        <w:rPr>
          <w:i/>
          <w:lang w:val="fr-CA"/>
        </w:rPr>
        <w:t>.</w:t>
      </w:r>
      <w:r w:rsidR="00A45CF6" w:rsidRPr="001126BE">
        <w:rPr>
          <w:i/>
          <w:lang w:val="fr-CA"/>
        </w:rPr>
        <w:t>r</w:t>
      </w:r>
      <w:r w:rsidRPr="001126BE">
        <w:rPr>
          <w:i/>
          <w:lang w:val="fr-CA"/>
        </w:rPr>
        <w:t>.</w:t>
      </w:r>
      <w:r w:rsidR="00A45CF6" w:rsidRPr="00AA0516">
        <w:rPr>
          <w:lang w:val="fr-CA"/>
        </w:rPr>
        <w:t>,</w:t>
      </w:r>
      <w:proofErr w:type="gramEnd"/>
      <w:r w:rsidRPr="00AA0516">
        <w:rPr>
          <w:lang w:val="fr-CA"/>
        </w:rPr>
        <w:t xml:space="preserve"> </w:t>
      </w:r>
      <w:r w:rsidRPr="001126BE">
        <w:rPr>
          <w:lang w:val="fr-CA"/>
        </w:rPr>
        <w:t xml:space="preserve">et </w:t>
      </w:r>
      <w:proofErr w:type="spellStart"/>
      <w:r w:rsidRPr="001126BE">
        <w:rPr>
          <w:i/>
          <w:lang w:val="fr-CA"/>
        </w:rPr>
        <w:t>Joel</w:t>
      </w:r>
      <w:proofErr w:type="spellEnd"/>
      <w:r w:rsidRPr="001126BE">
        <w:rPr>
          <w:i/>
          <w:lang w:val="fr-CA"/>
        </w:rPr>
        <w:t xml:space="preserve"> Payne</w:t>
      </w:r>
      <w:r w:rsidRPr="001126BE">
        <w:rPr>
          <w:lang w:val="fr-CA"/>
        </w:rPr>
        <w:t>, pour l</w:t>
      </w:r>
      <w:r w:rsidR="00A45CF6" w:rsidRPr="001126BE">
        <w:rPr>
          <w:lang w:val="fr-CA"/>
        </w:rPr>
        <w:t>’</w:t>
      </w:r>
      <w:r w:rsidRPr="001126BE">
        <w:rPr>
          <w:lang w:val="fr-CA"/>
        </w:rPr>
        <w:t>appelant.</w:t>
      </w:r>
    </w:p>
    <w:p w:rsidR="00772173" w:rsidRDefault="004633A7" w:rsidP="004633A7">
      <w:pPr>
        <w:pStyle w:val="SCCNormalDoubleSpacing"/>
        <w:spacing w:after="480"/>
        <w:rPr>
          <w:lang w:val="fr-CA"/>
        </w:rPr>
      </w:pPr>
      <w:r w:rsidRPr="001126BE">
        <w:rPr>
          <w:i/>
          <w:lang w:val="fr-CA"/>
        </w:rPr>
        <w:lastRenderedPageBreak/>
        <w:tab/>
        <w:t>Craig </w:t>
      </w:r>
      <w:r w:rsidR="001126BE">
        <w:rPr>
          <w:i/>
          <w:lang w:val="fr-CA"/>
        </w:rPr>
        <w:t>P. </w:t>
      </w:r>
      <w:r w:rsidR="00507AE5" w:rsidRPr="001126BE">
        <w:rPr>
          <w:i/>
          <w:lang w:val="fr-CA"/>
        </w:rPr>
        <w:t>Dennis</w:t>
      </w:r>
      <w:r w:rsidR="00507AE5" w:rsidRPr="001126BE">
        <w:rPr>
          <w:lang w:val="fr-CA"/>
        </w:rPr>
        <w:t xml:space="preserve"> et </w:t>
      </w:r>
      <w:r w:rsidR="00507AE5" w:rsidRPr="001126BE">
        <w:rPr>
          <w:i/>
          <w:lang w:val="fr-CA"/>
        </w:rPr>
        <w:t>Owen</w:t>
      </w:r>
      <w:r w:rsidRPr="001126BE">
        <w:rPr>
          <w:i/>
          <w:lang w:val="fr-CA"/>
        </w:rPr>
        <w:t> </w:t>
      </w:r>
      <w:r w:rsidR="00507AE5" w:rsidRPr="001126BE">
        <w:rPr>
          <w:i/>
          <w:lang w:val="fr-CA"/>
        </w:rPr>
        <w:t>J. James</w:t>
      </w:r>
      <w:r w:rsidR="00507AE5" w:rsidRPr="001126BE">
        <w:rPr>
          <w:lang w:val="fr-CA"/>
        </w:rPr>
        <w:t>, pour l</w:t>
      </w:r>
      <w:r w:rsidR="007C08C6" w:rsidRPr="001126BE">
        <w:rPr>
          <w:lang w:val="fr-CA"/>
        </w:rPr>
        <w:t>’</w:t>
      </w:r>
      <w:r w:rsidR="00507AE5" w:rsidRPr="001126BE">
        <w:rPr>
          <w:lang w:val="fr-CA"/>
        </w:rPr>
        <w:t>intimée.</w:t>
      </w:r>
    </w:p>
    <w:p w:rsidR="00AA0516" w:rsidRDefault="00AA0516" w:rsidP="004633A7">
      <w:pPr>
        <w:pStyle w:val="SCCNormalDoubleSpacing"/>
        <w:spacing w:after="480"/>
        <w:rPr>
          <w:lang w:val="fr-CA"/>
        </w:rPr>
      </w:pPr>
      <w:r>
        <w:rPr>
          <w:lang w:val="fr-CA"/>
        </w:rPr>
        <w:tab/>
        <w:t>Version française du jugement de la Cour rendu par</w:t>
      </w:r>
    </w:p>
    <w:p w:rsidR="00591040" w:rsidRPr="00597AF6" w:rsidRDefault="00591040" w:rsidP="00591040">
      <w:pPr>
        <w:pStyle w:val="JudgeJuge"/>
        <w:spacing w:before="480"/>
        <w:rPr>
          <w:lang w:val="fr-CA"/>
        </w:rPr>
      </w:pPr>
      <w:r w:rsidRPr="00597AF6">
        <w:rPr>
          <w:lang w:val="fr-CA"/>
        </w:rPr>
        <w:tab/>
      </w:r>
      <w:bookmarkStart w:id="0" w:name="_GoBack"/>
      <w:bookmarkEnd w:id="0"/>
      <w:r w:rsidRPr="00597AF6">
        <w:rPr>
          <w:lang w:val="fr-CA"/>
        </w:rPr>
        <w:t xml:space="preserve">Le juge </w:t>
      </w:r>
      <w:proofErr w:type="spellStart"/>
      <w:r w:rsidRPr="00597AF6">
        <w:rPr>
          <w:lang w:val="fr-CA"/>
        </w:rPr>
        <w:t>Rothstein</w:t>
      </w:r>
      <w:proofErr w:type="spellEnd"/>
      <w:r w:rsidRPr="00597AF6">
        <w:rPr>
          <w:lang w:val="fr-CA"/>
        </w:rPr>
        <w:t xml:space="preserve"> — </w:t>
      </w:r>
    </w:p>
    <w:p w:rsidR="00591040" w:rsidRPr="00597AF6" w:rsidRDefault="00267C1A" w:rsidP="00AA0516">
      <w:pPr>
        <w:pStyle w:val="TitleTitre-AltT"/>
        <w:keepNext/>
        <w:tabs>
          <w:tab w:val="clear" w:pos="360"/>
        </w:tabs>
        <w:ind w:left="540" w:hanging="540"/>
        <w:rPr>
          <w:lang w:val="fr-CA"/>
        </w:rPr>
      </w:pPr>
      <w:r w:rsidRPr="00597AF6">
        <w:rPr>
          <w:lang w:val="fr-CA"/>
        </w:rPr>
        <w:fldChar w:fldCharType="begin"/>
      </w:r>
      <w:r w:rsidR="00591040" w:rsidRPr="00597AF6">
        <w:rPr>
          <w:lang w:val="fr-CA"/>
        </w:rPr>
        <w:instrText xml:space="preserve"> SEQ CHAPTER \h \r 1</w:instrText>
      </w:r>
      <w:r w:rsidRPr="00597AF6">
        <w:rPr>
          <w:lang w:val="fr-CA"/>
        </w:rPr>
        <w:fldChar w:fldCharType="end"/>
      </w:r>
      <w:r w:rsidR="00591040" w:rsidRPr="00597AF6">
        <w:rPr>
          <w:lang w:val="fr-CA"/>
        </w:rPr>
        <w:t>I.</w:t>
      </w:r>
      <w:r w:rsidR="00591040" w:rsidRPr="00597AF6">
        <w:rPr>
          <w:lang w:val="fr-CA"/>
        </w:rPr>
        <w:tab/>
      </w:r>
      <w:r w:rsidR="00591040" w:rsidRPr="00597AF6">
        <w:rPr>
          <w:u w:val="single"/>
          <w:lang w:val="fr-CA"/>
        </w:rPr>
        <w:t>Introduction</w:t>
      </w:r>
    </w:p>
    <w:p w:rsidR="00591040" w:rsidRPr="00597AF6" w:rsidRDefault="00591040" w:rsidP="00591040">
      <w:pPr>
        <w:pStyle w:val="ParaNoNdepar-AltN"/>
        <w:rPr>
          <w:lang w:val="fr-CA"/>
        </w:rPr>
      </w:pPr>
      <w:r w:rsidRPr="00597AF6">
        <w:rPr>
          <w:lang w:val="fr-CA"/>
        </w:rPr>
        <w:t xml:space="preserve">Une fiducie </w:t>
      </w:r>
      <w:proofErr w:type="spellStart"/>
      <w:r w:rsidRPr="00597AF6">
        <w:rPr>
          <w:lang w:val="fr-CA"/>
        </w:rPr>
        <w:t>résultoire</w:t>
      </w:r>
      <w:proofErr w:type="spellEnd"/>
      <w:r w:rsidRPr="00597AF6">
        <w:rPr>
          <w:lang w:val="fr-CA"/>
        </w:rPr>
        <w:t xml:space="preserve"> découlant des circonstances d’achat prend naissance lorsqu’une personne avance des fonds pour contribuer à l’achat d’un bien sans en acquérir le titre de propriété.  Lorsque la personne qui avance les fonds n’a aucun lien de parenté avec la personne qui acquiert le titre, il faut présumer en droit que les parties voulaient que l’auteur de l’avance des fonds détienne un intérêt bénéficiaire dans le bien au prorata de sa contribution.  Il s’agit de la présomption de fiducie </w:t>
      </w:r>
      <w:proofErr w:type="spellStart"/>
      <w:r w:rsidRPr="00597AF6">
        <w:rPr>
          <w:lang w:val="fr-CA"/>
        </w:rPr>
        <w:t>résultoire</w:t>
      </w:r>
      <w:proofErr w:type="spellEnd"/>
      <w:r w:rsidRPr="00597AF6">
        <w:rPr>
          <w:lang w:val="fr-CA"/>
        </w:rPr>
        <w:t xml:space="preserve">. </w:t>
      </w:r>
    </w:p>
    <w:p w:rsidR="00591040" w:rsidRPr="00597AF6" w:rsidRDefault="00591040" w:rsidP="00591040">
      <w:pPr>
        <w:pStyle w:val="ParaNoNdepar-AltN"/>
        <w:rPr>
          <w:lang w:val="fr-CA"/>
        </w:rPr>
      </w:pPr>
      <w:r w:rsidRPr="00597AF6">
        <w:rPr>
          <w:lang w:val="fr-CA"/>
        </w:rPr>
        <w:t xml:space="preserve">La présomption peut être réfutée par une preuve établissant qu’au moment de la contribution, l’auteur de celle-ci voulait faire une donation à la personne ayant acquis le titre.  Pour réfuter la présomption, il faut prouver l’intention de la personne ayant avancé les fonds </w:t>
      </w:r>
      <w:r w:rsidRPr="00597AF6">
        <w:rPr>
          <w:i/>
          <w:lang w:val="fr-CA"/>
        </w:rPr>
        <w:t>au moment où l’avance a été consentie</w:t>
      </w:r>
      <w:r w:rsidRPr="00597AF6">
        <w:rPr>
          <w:lang w:val="fr-CA"/>
        </w:rPr>
        <w:t xml:space="preserve">, mais des éléments de preuve de l’intention postérieurs à l’avance peuvent être admis dans la mesure où le juge des faits tient dûment compte de la possibilité que l’auteur de l’avance de fonds ait pu changer ses intentions au fil du temps en vue de s’avantager. </w:t>
      </w:r>
    </w:p>
    <w:p w:rsidR="00591040" w:rsidRPr="00597AF6" w:rsidRDefault="00591040" w:rsidP="00591040">
      <w:pPr>
        <w:pStyle w:val="ParaNoNdepar-AltN"/>
        <w:rPr>
          <w:lang w:val="fr-CA"/>
        </w:rPr>
      </w:pPr>
      <w:r w:rsidRPr="00597AF6">
        <w:rPr>
          <w:lang w:val="fr-CA"/>
        </w:rPr>
        <w:lastRenderedPageBreak/>
        <w:t xml:space="preserve">Edward </w:t>
      </w:r>
      <w:proofErr w:type="spellStart"/>
      <w:r w:rsidRPr="00597AF6">
        <w:rPr>
          <w:lang w:val="fr-CA"/>
        </w:rPr>
        <w:t>Sumio</w:t>
      </w:r>
      <w:proofErr w:type="spellEnd"/>
      <w:r w:rsidRPr="00597AF6">
        <w:rPr>
          <w:lang w:val="fr-CA"/>
        </w:rPr>
        <w:t xml:space="preserve"> Nishi détient le titre en </w:t>
      </w:r>
      <w:proofErr w:type="spellStart"/>
      <w:r w:rsidRPr="00597AF6">
        <w:rPr>
          <w:lang w:val="fr-CA"/>
        </w:rPr>
        <w:t>common</w:t>
      </w:r>
      <w:proofErr w:type="spellEnd"/>
      <w:r w:rsidRPr="00597AF6">
        <w:rPr>
          <w:lang w:val="fr-CA"/>
        </w:rPr>
        <w:t xml:space="preserve"> </w:t>
      </w:r>
      <w:proofErr w:type="spellStart"/>
      <w:r w:rsidRPr="00597AF6">
        <w:rPr>
          <w:lang w:val="fr-CA"/>
        </w:rPr>
        <w:t>law</w:t>
      </w:r>
      <w:proofErr w:type="spellEnd"/>
      <w:r w:rsidRPr="00597AF6">
        <w:rPr>
          <w:lang w:val="fr-CA"/>
        </w:rPr>
        <w:t xml:space="preserve"> sur une propriété.  </w:t>
      </w:r>
      <w:proofErr w:type="spellStart"/>
      <w:r w:rsidRPr="00597AF6">
        <w:rPr>
          <w:lang w:val="fr-CA"/>
        </w:rPr>
        <w:t>Rascal</w:t>
      </w:r>
      <w:proofErr w:type="spellEnd"/>
      <w:r w:rsidRPr="00597AF6">
        <w:rPr>
          <w:lang w:val="fr-CA"/>
        </w:rPr>
        <w:t xml:space="preserve"> </w:t>
      </w:r>
      <w:proofErr w:type="spellStart"/>
      <w:r w:rsidRPr="00597AF6">
        <w:rPr>
          <w:lang w:val="fr-CA"/>
        </w:rPr>
        <w:t>Trucking</w:t>
      </w:r>
      <w:proofErr w:type="spellEnd"/>
      <w:r w:rsidRPr="00597AF6">
        <w:rPr>
          <w:lang w:val="fr-CA"/>
        </w:rPr>
        <w:t xml:space="preserve"> Ltd., qui a avancé des fonds pour faciliter l’acquisition de cette propriété, réclame un intérêt bénéficiaire dans ce bien.  Le juge de première instance a conclu que la présomption de fiducie </w:t>
      </w:r>
      <w:proofErr w:type="spellStart"/>
      <w:r w:rsidRPr="00597AF6">
        <w:rPr>
          <w:lang w:val="fr-CA"/>
        </w:rPr>
        <w:t>résultoire</w:t>
      </w:r>
      <w:proofErr w:type="spellEnd"/>
      <w:r w:rsidRPr="00597AF6">
        <w:rPr>
          <w:lang w:val="fr-CA"/>
        </w:rPr>
        <w:t xml:space="preserve"> avait été réfutée.  Cette conclusion a été infirmée en appel. </w:t>
      </w:r>
    </w:p>
    <w:p w:rsidR="00591040" w:rsidRPr="00597AF6" w:rsidRDefault="00591040" w:rsidP="00591040">
      <w:pPr>
        <w:pStyle w:val="ParaNoNdepar-AltN"/>
        <w:rPr>
          <w:lang w:val="fr-CA"/>
        </w:rPr>
      </w:pPr>
      <w:r w:rsidRPr="00597AF6">
        <w:rPr>
          <w:lang w:val="fr-CA"/>
        </w:rPr>
        <w:t>M</w:t>
      </w:r>
      <w:r w:rsidR="00AA0516">
        <w:rPr>
          <w:lang w:val="fr-CA"/>
        </w:rPr>
        <w:t>.</w:t>
      </w:r>
      <w:r w:rsidRPr="00597AF6">
        <w:rPr>
          <w:lang w:val="fr-CA"/>
        </w:rPr>
        <w:t xml:space="preserve"> Nishi demande maintenant à la Cour de rétablir la décision du juge de première instance en remplaçant la doctrine de la fiducie </w:t>
      </w:r>
      <w:proofErr w:type="spellStart"/>
      <w:r w:rsidRPr="00597AF6">
        <w:rPr>
          <w:lang w:val="fr-CA"/>
        </w:rPr>
        <w:t>résultoire</w:t>
      </w:r>
      <w:proofErr w:type="spellEnd"/>
      <w:r w:rsidRPr="00597AF6">
        <w:rPr>
          <w:lang w:val="fr-CA"/>
        </w:rPr>
        <w:t xml:space="preserve"> découlant des circonstances d’achat par la doctrine de l’enrichissement injustifié et de conclure que M. Nishi ne s’est pas enrichi injustement.  Subsidiairement, M. Nishi affirme que la présomption de fiducie </w:t>
      </w:r>
      <w:proofErr w:type="spellStart"/>
      <w:r w:rsidRPr="00597AF6">
        <w:rPr>
          <w:lang w:val="fr-CA"/>
        </w:rPr>
        <w:t>résultoire</w:t>
      </w:r>
      <w:proofErr w:type="spellEnd"/>
      <w:r w:rsidRPr="00597AF6">
        <w:rPr>
          <w:lang w:val="fr-CA"/>
        </w:rPr>
        <w:t xml:space="preserve"> a été réfutée.  Je ne vois aucune raison de substituer la doctrine de l’enrichissement injustifié à celle de la fiducie </w:t>
      </w:r>
      <w:proofErr w:type="spellStart"/>
      <w:r w:rsidRPr="00597AF6">
        <w:rPr>
          <w:lang w:val="fr-CA"/>
        </w:rPr>
        <w:t>résultoire</w:t>
      </w:r>
      <w:proofErr w:type="spellEnd"/>
      <w:r w:rsidRPr="00597AF6">
        <w:rPr>
          <w:lang w:val="fr-CA"/>
        </w:rPr>
        <w:t xml:space="preserve">, établie de longue date.  Je suis plutôt d’avis d’accueillir le pourvoi en m’appuyant sur les conclusions de faits du juge de première instance selon lesquelles aucune fiducie </w:t>
      </w:r>
      <w:proofErr w:type="spellStart"/>
      <w:r w:rsidRPr="00597AF6">
        <w:rPr>
          <w:lang w:val="fr-CA"/>
        </w:rPr>
        <w:t>résultoire</w:t>
      </w:r>
      <w:proofErr w:type="spellEnd"/>
      <w:r w:rsidRPr="00597AF6">
        <w:rPr>
          <w:lang w:val="fr-CA"/>
        </w:rPr>
        <w:t xml:space="preserve"> n’a été créée en l’espèce. </w:t>
      </w:r>
    </w:p>
    <w:p w:rsidR="00591040" w:rsidRPr="00597AF6" w:rsidRDefault="00591040" w:rsidP="00AA0516">
      <w:pPr>
        <w:pStyle w:val="TitleTitre-AltT"/>
        <w:keepNext/>
        <w:tabs>
          <w:tab w:val="clear" w:pos="360"/>
        </w:tabs>
        <w:ind w:left="540" w:hanging="540"/>
        <w:rPr>
          <w:u w:val="single"/>
          <w:lang w:val="fr-CA"/>
        </w:rPr>
      </w:pPr>
      <w:r w:rsidRPr="00597AF6">
        <w:rPr>
          <w:lang w:val="fr-CA"/>
        </w:rPr>
        <w:t>II.</w:t>
      </w:r>
      <w:r w:rsidRPr="00597AF6">
        <w:rPr>
          <w:lang w:val="fr-CA"/>
        </w:rPr>
        <w:tab/>
      </w:r>
      <w:r w:rsidRPr="00597AF6">
        <w:rPr>
          <w:u w:val="single"/>
          <w:lang w:val="fr-CA"/>
        </w:rPr>
        <w:t>Faits</w:t>
      </w:r>
    </w:p>
    <w:p w:rsidR="00591040" w:rsidRPr="00597AF6" w:rsidRDefault="00591040" w:rsidP="00591040">
      <w:pPr>
        <w:pStyle w:val="ParaNoNdepar-AltN"/>
        <w:rPr>
          <w:lang w:val="fr-CA"/>
        </w:rPr>
      </w:pPr>
      <w:r w:rsidRPr="00597AF6">
        <w:rPr>
          <w:lang w:val="fr-CA"/>
        </w:rPr>
        <w:t xml:space="preserve">En 1996, </w:t>
      </w:r>
      <w:proofErr w:type="spellStart"/>
      <w:r w:rsidRPr="00597AF6">
        <w:rPr>
          <w:lang w:val="fr-CA"/>
        </w:rPr>
        <w:t>Kismet</w:t>
      </w:r>
      <w:proofErr w:type="spellEnd"/>
      <w:r w:rsidRPr="00597AF6">
        <w:rPr>
          <w:lang w:val="fr-CA"/>
        </w:rPr>
        <w:t xml:space="preserve"> </w:t>
      </w:r>
      <w:proofErr w:type="spellStart"/>
      <w:r w:rsidRPr="00597AF6">
        <w:rPr>
          <w:lang w:val="fr-CA"/>
        </w:rPr>
        <w:t>Enterprises</w:t>
      </w:r>
      <w:proofErr w:type="spellEnd"/>
      <w:r w:rsidRPr="00597AF6">
        <w:rPr>
          <w:lang w:val="fr-CA"/>
        </w:rPr>
        <w:t xml:space="preserve"> Ltd. était propriétaire d’un terrain d’environ deux acres à Nanaimo, en </w:t>
      </w:r>
      <w:proofErr w:type="spellStart"/>
      <w:r w:rsidRPr="00597AF6">
        <w:rPr>
          <w:lang w:val="fr-CA"/>
        </w:rPr>
        <w:t>Colombie</w:t>
      </w:r>
      <w:r w:rsidRPr="00597AF6">
        <w:rPr>
          <w:lang w:val="fr-CA"/>
        </w:rPr>
        <w:noBreakHyphen/>
        <w:t>Britannique</w:t>
      </w:r>
      <w:proofErr w:type="spellEnd"/>
      <w:r w:rsidRPr="00597AF6">
        <w:rPr>
          <w:lang w:val="fr-CA"/>
        </w:rPr>
        <w:t xml:space="preserve">.  En avril 1996, </w:t>
      </w:r>
      <w:proofErr w:type="spellStart"/>
      <w:r w:rsidRPr="00597AF6">
        <w:rPr>
          <w:lang w:val="fr-CA"/>
        </w:rPr>
        <w:t>Kismet</w:t>
      </w:r>
      <w:proofErr w:type="spellEnd"/>
      <w:r w:rsidRPr="00597AF6">
        <w:rPr>
          <w:lang w:val="fr-CA"/>
        </w:rPr>
        <w:t xml:space="preserve"> a loué la propriété à </w:t>
      </w:r>
      <w:proofErr w:type="spellStart"/>
      <w:r w:rsidRPr="00597AF6">
        <w:rPr>
          <w:lang w:val="fr-CA"/>
        </w:rPr>
        <w:t>Rascal</w:t>
      </w:r>
      <w:proofErr w:type="spellEnd"/>
      <w:r w:rsidRPr="00597AF6">
        <w:rPr>
          <w:lang w:val="fr-CA"/>
        </w:rPr>
        <w:t xml:space="preserve">, qui a commencé à y exploiter une installation de production de terre végétale.  </w:t>
      </w:r>
    </w:p>
    <w:p w:rsidR="00591040" w:rsidRPr="00597AF6" w:rsidRDefault="00591040" w:rsidP="00591040">
      <w:pPr>
        <w:pStyle w:val="ParaNoNdepar-AltN"/>
        <w:rPr>
          <w:lang w:val="fr-CA"/>
        </w:rPr>
      </w:pPr>
      <w:r w:rsidRPr="00597AF6">
        <w:rPr>
          <w:lang w:val="fr-CA"/>
        </w:rPr>
        <w:lastRenderedPageBreak/>
        <w:t xml:space="preserve">La production de terre végétale par </w:t>
      </w:r>
      <w:proofErr w:type="spellStart"/>
      <w:r w:rsidRPr="00597AF6">
        <w:rPr>
          <w:lang w:val="fr-CA"/>
        </w:rPr>
        <w:t>Rascal</w:t>
      </w:r>
      <w:proofErr w:type="spellEnd"/>
      <w:r w:rsidRPr="00597AF6">
        <w:rPr>
          <w:lang w:val="fr-CA"/>
        </w:rPr>
        <w:t xml:space="preserve"> a suscité de nombreuses plaintes de la part des résidents du quartier.  Par conséquent, la ville de Nanaimo (la « Ville ») a adopté des résolutions déclarant que l’installation constituait une nuisance et autorisant la Ville à enlever la terre si </w:t>
      </w:r>
      <w:proofErr w:type="spellStart"/>
      <w:r w:rsidRPr="00597AF6">
        <w:rPr>
          <w:lang w:val="fr-CA"/>
        </w:rPr>
        <w:t>Kismet</w:t>
      </w:r>
      <w:proofErr w:type="spellEnd"/>
      <w:r w:rsidRPr="00597AF6">
        <w:rPr>
          <w:lang w:val="fr-CA"/>
        </w:rPr>
        <w:t xml:space="preserve"> et </w:t>
      </w:r>
      <w:proofErr w:type="spellStart"/>
      <w:r w:rsidRPr="00597AF6">
        <w:rPr>
          <w:lang w:val="fr-CA"/>
        </w:rPr>
        <w:t>Rascal</w:t>
      </w:r>
      <w:proofErr w:type="spellEnd"/>
      <w:r w:rsidRPr="00597AF6">
        <w:rPr>
          <w:lang w:val="fr-CA"/>
        </w:rPr>
        <w:t xml:space="preserve"> ne le faisaient pas.  La Ville a ensuite enlevé la terre et imputé les frais engagés, s’élevant à 110 679,74 $, comme charge grevant la propriété à titre d’arriéré d’impôt.  </w:t>
      </w:r>
      <w:proofErr w:type="spellStart"/>
      <w:r w:rsidRPr="00597AF6">
        <w:rPr>
          <w:lang w:val="fr-CA"/>
        </w:rPr>
        <w:t>Rascal</w:t>
      </w:r>
      <w:proofErr w:type="spellEnd"/>
      <w:r w:rsidRPr="00597AF6">
        <w:rPr>
          <w:lang w:val="fr-CA"/>
        </w:rPr>
        <w:t xml:space="preserve"> a intenté une action afin de contester le pouvoir de la Ville d’adopter ces résolutions, et notre Cour a tranché en faveur de la Ville en 2000 </w:t>
      </w:r>
      <w:r w:rsidR="00AA0516">
        <w:rPr>
          <w:lang w:val="fr-CA"/>
        </w:rPr>
        <w:t>(</w:t>
      </w:r>
      <w:r w:rsidRPr="00597AF6">
        <w:rPr>
          <w:i/>
          <w:lang w:val="fr-CA"/>
        </w:rPr>
        <w:t xml:space="preserve">Nanaimo (Ville) c. </w:t>
      </w:r>
      <w:proofErr w:type="spellStart"/>
      <w:r w:rsidRPr="00597AF6">
        <w:rPr>
          <w:i/>
          <w:lang w:val="fr-CA"/>
        </w:rPr>
        <w:t>Rascal</w:t>
      </w:r>
      <w:proofErr w:type="spellEnd"/>
      <w:r w:rsidRPr="00597AF6">
        <w:rPr>
          <w:i/>
          <w:lang w:val="fr-CA"/>
        </w:rPr>
        <w:t xml:space="preserve"> </w:t>
      </w:r>
      <w:proofErr w:type="spellStart"/>
      <w:r w:rsidRPr="00597AF6">
        <w:rPr>
          <w:i/>
          <w:lang w:val="fr-CA"/>
        </w:rPr>
        <w:t>Trucking</w:t>
      </w:r>
      <w:proofErr w:type="spellEnd"/>
      <w:r w:rsidRPr="00597AF6">
        <w:rPr>
          <w:i/>
          <w:lang w:val="fr-CA"/>
        </w:rPr>
        <w:t xml:space="preserve"> Ltd.</w:t>
      </w:r>
      <w:r w:rsidRPr="00597AF6">
        <w:rPr>
          <w:lang w:val="fr-CA"/>
        </w:rPr>
        <w:t>, 2000 CSC 13, [2000] 1 R.C.S. 342</w:t>
      </w:r>
      <w:r w:rsidR="00AA0516">
        <w:rPr>
          <w:lang w:val="fr-CA"/>
        </w:rPr>
        <w:t>)</w:t>
      </w:r>
      <w:r w:rsidRPr="00597AF6">
        <w:rPr>
          <w:lang w:val="fr-CA"/>
        </w:rPr>
        <w:t>.</w:t>
      </w:r>
    </w:p>
    <w:p w:rsidR="00591040" w:rsidRPr="00597AF6" w:rsidRDefault="00591040" w:rsidP="00591040">
      <w:pPr>
        <w:pStyle w:val="ParaNoNdepar-AltN"/>
        <w:rPr>
          <w:lang w:val="fr-CA"/>
        </w:rPr>
      </w:pPr>
      <w:r w:rsidRPr="00597AF6">
        <w:rPr>
          <w:lang w:val="fr-CA"/>
        </w:rPr>
        <w:t xml:space="preserve">Des dispositions du bail obligeaient </w:t>
      </w:r>
      <w:proofErr w:type="spellStart"/>
      <w:r w:rsidRPr="00597AF6">
        <w:rPr>
          <w:lang w:val="fr-CA"/>
        </w:rPr>
        <w:t>Rascal</w:t>
      </w:r>
      <w:proofErr w:type="spellEnd"/>
      <w:r w:rsidRPr="00597AF6">
        <w:rPr>
          <w:lang w:val="fr-CA"/>
        </w:rPr>
        <w:t xml:space="preserve"> à [</w:t>
      </w:r>
      <w:r w:rsidRPr="00597AF6">
        <w:rPr>
          <w:smallCaps/>
          <w:lang w:val="fr-CA"/>
        </w:rPr>
        <w:t>traduction</w:t>
      </w:r>
      <w:r w:rsidRPr="00597AF6">
        <w:rPr>
          <w:lang w:val="fr-CA"/>
        </w:rPr>
        <w:t>] « exonérer [</w:t>
      </w:r>
      <w:proofErr w:type="spellStart"/>
      <w:r w:rsidRPr="00597AF6">
        <w:rPr>
          <w:lang w:val="fr-CA"/>
        </w:rPr>
        <w:t>Kismet</w:t>
      </w:r>
      <w:proofErr w:type="spellEnd"/>
      <w:r w:rsidRPr="00597AF6">
        <w:rPr>
          <w:lang w:val="fr-CA"/>
        </w:rPr>
        <w:t xml:space="preserve">] de toute responsabilité » à l’égard de « tout dommage découlant de [ses] activités sur la propriété », mais </w:t>
      </w:r>
      <w:proofErr w:type="spellStart"/>
      <w:r w:rsidRPr="00597AF6">
        <w:rPr>
          <w:lang w:val="fr-CA"/>
        </w:rPr>
        <w:t>Rascal</w:t>
      </w:r>
      <w:proofErr w:type="spellEnd"/>
      <w:r w:rsidRPr="00597AF6">
        <w:rPr>
          <w:lang w:val="fr-CA"/>
        </w:rPr>
        <w:t xml:space="preserve"> n’a jamais remboursé à </w:t>
      </w:r>
      <w:proofErr w:type="spellStart"/>
      <w:r w:rsidRPr="00597AF6">
        <w:rPr>
          <w:lang w:val="fr-CA"/>
        </w:rPr>
        <w:t>Kismet</w:t>
      </w:r>
      <w:proofErr w:type="spellEnd"/>
      <w:r w:rsidRPr="00597AF6">
        <w:rPr>
          <w:lang w:val="fr-CA"/>
        </w:rPr>
        <w:t xml:space="preserve"> ou à la Ville les frais engagés pour l’enlèvement de la terre.  </w:t>
      </w:r>
    </w:p>
    <w:p w:rsidR="00591040" w:rsidRPr="00597AF6" w:rsidRDefault="00591040" w:rsidP="00591040">
      <w:pPr>
        <w:pStyle w:val="ParaNoNdepar-AltN"/>
        <w:rPr>
          <w:lang w:val="fr-CA"/>
        </w:rPr>
      </w:pPr>
      <w:proofErr w:type="spellStart"/>
      <w:r w:rsidRPr="00597AF6">
        <w:rPr>
          <w:lang w:val="fr-CA"/>
        </w:rPr>
        <w:t>Kismet</w:t>
      </w:r>
      <w:proofErr w:type="spellEnd"/>
      <w:r w:rsidRPr="00597AF6">
        <w:rPr>
          <w:lang w:val="fr-CA"/>
        </w:rPr>
        <w:t xml:space="preserve"> est arrivée à la conclusion que, en raison de l’arriéré d’impôt et d’une hypothèque existante consentie à la CIBC, la propriété n’avait plus aucune valeur nette.  Elle a donc arrêté de verser les paiements hypothécaires et, en décembre 1997, la CIBC a engagé une procédure de forclusion.  Pendant cette procédure, Hans </w:t>
      </w:r>
      <w:proofErr w:type="spellStart"/>
      <w:r w:rsidRPr="00597AF6">
        <w:rPr>
          <w:lang w:val="fr-CA"/>
        </w:rPr>
        <w:t>Heringa</w:t>
      </w:r>
      <w:proofErr w:type="spellEnd"/>
      <w:r w:rsidRPr="00597AF6">
        <w:rPr>
          <w:lang w:val="fr-CA"/>
        </w:rPr>
        <w:t xml:space="preserve">, le dirigeant de </w:t>
      </w:r>
      <w:proofErr w:type="spellStart"/>
      <w:r w:rsidRPr="00597AF6">
        <w:rPr>
          <w:lang w:val="fr-CA"/>
        </w:rPr>
        <w:t>Rascal</w:t>
      </w:r>
      <w:proofErr w:type="spellEnd"/>
      <w:r w:rsidRPr="00597AF6">
        <w:rPr>
          <w:lang w:val="fr-CA"/>
        </w:rPr>
        <w:t>, a essayé de différentes façons d’acquérir la propriété, mais la CIBC a rejeté ou ignoré ses tentatives.</w:t>
      </w:r>
    </w:p>
    <w:p w:rsidR="00591040" w:rsidRPr="00597AF6" w:rsidRDefault="00591040" w:rsidP="00591040">
      <w:pPr>
        <w:pStyle w:val="ParaNoNdepar-AltN"/>
        <w:rPr>
          <w:lang w:val="fr-CA"/>
        </w:rPr>
      </w:pPr>
      <w:r w:rsidRPr="00597AF6">
        <w:rPr>
          <w:lang w:val="fr-CA"/>
        </w:rPr>
        <w:lastRenderedPageBreak/>
        <w:t xml:space="preserve">Au terme de la procédure de forclusion, en mai 2001, la propriété a été vendue à M. Nishi pour 237 500 $.  Avant de vendre le terrain à M. Nishi, la CIBC a payé l’arriéré d’impôt à la Ville.  </w:t>
      </w:r>
    </w:p>
    <w:p w:rsidR="00591040" w:rsidRPr="00597AF6" w:rsidRDefault="00591040" w:rsidP="00591040">
      <w:pPr>
        <w:pStyle w:val="ParaNoNdepar-AltN"/>
        <w:rPr>
          <w:lang w:val="fr-CA"/>
        </w:rPr>
      </w:pPr>
      <w:r w:rsidRPr="00597AF6">
        <w:rPr>
          <w:lang w:val="fr-CA"/>
        </w:rPr>
        <w:t xml:space="preserve">Au moment de l’achat, M. Nishi a reçu l’aide de </w:t>
      </w:r>
      <w:proofErr w:type="spellStart"/>
      <w:r w:rsidRPr="00597AF6">
        <w:rPr>
          <w:lang w:val="fr-CA"/>
        </w:rPr>
        <w:t>Rascal</w:t>
      </w:r>
      <w:proofErr w:type="spellEnd"/>
      <w:r w:rsidRPr="00597AF6">
        <w:rPr>
          <w:lang w:val="fr-CA"/>
        </w:rPr>
        <w:t>, qui lui a remis 85 000 $ en espèces et s’est engagée à payer 25 000 $ sur l’emprunt hypothécaire. M</w:t>
      </w:r>
      <w:r w:rsidR="00AA0516">
        <w:rPr>
          <w:lang w:val="fr-CA"/>
        </w:rPr>
        <w:t>.</w:t>
      </w:r>
      <w:r w:rsidRPr="00597AF6">
        <w:rPr>
          <w:lang w:val="fr-CA"/>
        </w:rPr>
        <w:t> </w:t>
      </w:r>
      <w:proofErr w:type="spellStart"/>
      <w:r w:rsidRPr="00597AF6">
        <w:rPr>
          <w:lang w:val="fr-CA"/>
        </w:rPr>
        <w:t>Heringa</w:t>
      </w:r>
      <w:proofErr w:type="spellEnd"/>
      <w:r w:rsidRPr="00597AF6">
        <w:rPr>
          <w:lang w:val="fr-CA"/>
        </w:rPr>
        <w:t xml:space="preserve"> a agi à titre de garant de l’hypothèque.  À la suite de l’acquisition de la propriété, M. </w:t>
      </w:r>
      <w:proofErr w:type="spellStart"/>
      <w:r w:rsidRPr="00597AF6">
        <w:rPr>
          <w:lang w:val="fr-CA"/>
        </w:rPr>
        <w:t>Heringa</w:t>
      </w:r>
      <w:proofErr w:type="spellEnd"/>
      <w:r w:rsidRPr="00597AF6">
        <w:rPr>
          <w:lang w:val="fr-CA"/>
        </w:rPr>
        <w:t xml:space="preserve"> a informé son personnel que la contribution totale à l’emprunt hypothécaire était de 25 679,74 $.  Par conséquent, la contribution totale de </w:t>
      </w:r>
      <w:proofErr w:type="spellStart"/>
      <w:r w:rsidRPr="00597AF6">
        <w:rPr>
          <w:lang w:val="fr-CA"/>
        </w:rPr>
        <w:t>Rascal</w:t>
      </w:r>
      <w:proofErr w:type="spellEnd"/>
      <w:r w:rsidRPr="00597AF6">
        <w:rPr>
          <w:lang w:val="fr-CA"/>
        </w:rPr>
        <w:t xml:space="preserve"> à l’acquisition de la propriété s’élevait à 110 679,74 $, soit le montant exact de l’arriéré d’impôt inscrit à l’égard de la propriété en raison des activités de transformation de terre de </w:t>
      </w:r>
      <w:proofErr w:type="spellStart"/>
      <w:r w:rsidRPr="00597AF6">
        <w:rPr>
          <w:lang w:val="fr-CA"/>
        </w:rPr>
        <w:t>Rascal</w:t>
      </w:r>
      <w:proofErr w:type="spellEnd"/>
      <w:r w:rsidRPr="00597AF6">
        <w:rPr>
          <w:lang w:val="fr-CA"/>
        </w:rPr>
        <w:t>.</w:t>
      </w:r>
    </w:p>
    <w:p w:rsidR="00591040" w:rsidRPr="00597AF6" w:rsidRDefault="00591040" w:rsidP="00591040">
      <w:pPr>
        <w:pStyle w:val="ParaNoNdepar-AltN"/>
        <w:rPr>
          <w:lang w:val="fr-CA"/>
        </w:rPr>
      </w:pPr>
      <w:r w:rsidRPr="00597AF6">
        <w:rPr>
          <w:lang w:val="fr-CA"/>
        </w:rPr>
        <w:t>Concernant cette aide financière, M. </w:t>
      </w:r>
      <w:proofErr w:type="spellStart"/>
      <w:r w:rsidRPr="00597AF6">
        <w:rPr>
          <w:lang w:val="fr-CA"/>
        </w:rPr>
        <w:t>Heringa</w:t>
      </w:r>
      <w:proofErr w:type="spellEnd"/>
      <w:r w:rsidRPr="00597AF6">
        <w:rPr>
          <w:lang w:val="fr-CA"/>
        </w:rPr>
        <w:t xml:space="preserve"> a envoyé à l’avocat de M. Nishi plusieurs télécopies qui présentaient des offres contenant des modalités différentes.  Le 25 mai 2001, M. </w:t>
      </w:r>
      <w:proofErr w:type="spellStart"/>
      <w:r w:rsidRPr="00597AF6">
        <w:rPr>
          <w:lang w:val="fr-CA"/>
        </w:rPr>
        <w:t>Heringa</w:t>
      </w:r>
      <w:proofErr w:type="spellEnd"/>
      <w:r w:rsidRPr="00597AF6">
        <w:rPr>
          <w:lang w:val="fr-CA"/>
        </w:rPr>
        <w:t xml:space="preserve"> a offert de contribuer 85 000 $ en espèces et de s’engager à rembourser 25 000 $ sur l’emprunt hypothécaire, en contrepartie d’une deuxième hypothèque visant à garantir l’intérêt de </w:t>
      </w:r>
      <w:proofErr w:type="spellStart"/>
      <w:r w:rsidRPr="00597AF6">
        <w:rPr>
          <w:lang w:val="fr-CA"/>
        </w:rPr>
        <w:t>Rascal</w:t>
      </w:r>
      <w:proofErr w:type="spellEnd"/>
      <w:r w:rsidRPr="00597AF6">
        <w:rPr>
          <w:lang w:val="fr-CA"/>
        </w:rPr>
        <w:t xml:space="preserve"> dans la propriété et de la moitié inférieure de la propriété.  Le texte de la télécopie envoyée le 25 mai 2001 est reproduit en partie </w:t>
      </w:r>
      <w:proofErr w:type="spellStart"/>
      <w:r w:rsidRPr="00597AF6">
        <w:rPr>
          <w:lang w:val="fr-CA"/>
        </w:rPr>
        <w:t>ci</w:t>
      </w:r>
      <w:r w:rsidRPr="00597AF6">
        <w:rPr>
          <w:lang w:val="fr-CA"/>
        </w:rPr>
        <w:noBreakHyphen/>
        <w:t>dessous</w:t>
      </w:r>
      <w:proofErr w:type="spellEnd"/>
      <w:r w:rsidRPr="00597AF6">
        <w:rPr>
          <w:lang w:val="fr-CA"/>
        </w:rPr>
        <w:t> :</w:t>
      </w:r>
    </w:p>
    <w:p w:rsidR="00591040" w:rsidRPr="00597AF6" w:rsidRDefault="00591040" w:rsidP="00591040">
      <w:pPr>
        <w:pStyle w:val="Citation-AltC"/>
        <w:spacing w:after="240"/>
        <w:ind w:hanging="1166"/>
        <w:contextualSpacing w:val="0"/>
        <w:rPr>
          <w:lang w:val="fr-CA"/>
        </w:rPr>
      </w:pPr>
      <w:r w:rsidRPr="00597AF6">
        <w:rPr>
          <w:lang w:val="fr-CA"/>
        </w:rPr>
        <w:tab/>
        <w:t>[</w:t>
      </w:r>
      <w:r w:rsidRPr="00597AF6">
        <w:rPr>
          <w:smallCaps/>
          <w:lang w:val="fr-CA"/>
        </w:rPr>
        <w:t>traduction</w:t>
      </w:r>
      <w:r w:rsidRPr="00597AF6">
        <w:rPr>
          <w:lang w:val="fr-CA"/>
        </w:rPr>
        <w:t>]</w:t>
      </w:r>
    </w:p>
    <w:p w:rsidR="00591040" w:rsidRPr="00597AF6" w:rsidRDefault="00591040" w:rsidP="003552E5">
      <w:pPr>
        <w:pStyle w:val="Citation-AltC"/>
        <w:tabs>
          <w:tab w:val="left" w:pos="1620"/>
        </w:tabs>
        <w:spacing w:after="240"/>
        <w:ind w:hanging="1166"/>
        <w:contextualSpacing w:val="0"/>
        <w:rPr>
          <w:lang w:val="fr-CA"/>
        </w:rPr>
      </w:pPr>
      <w:r w:rsidRPr="00597AF6">
        <w:rPr>
          <w:lang w:val="fr-CA"/>
        </w:rPr>
        <w:tab/>
      </w:r>
      <w:r w:rsidR="00D97819">
        <w:rPr>
          <w:lang w:val="fr-CA"/>
        </w:rPr>
        <w:t>(</w:t>
      </w:r>
      <w:r w:rsidRPr="00597AF6">
        <w:rPr>
          <w:lang w:val="fr-CA"/>
        </w:rPr>
        <w:t>1)</w:t>
      </w:r>
      <w:r w:rsidRPr="00597AF6">
        <w:rPr>
          <w:lang w:val="fr-CA"/>
        </w:rPr>
        <w:tab/>
        <w:t>La somme de 85 000 $ peut servir à l’achat de cette propriété au prix de 232 500 $ plus les frais de justice et les frais afférents à l’enregistrement du titre foncier, lequel sera au nom d’Edward Nishi.</w:t>
      </w:r>
    </w:p>
    <w:p w:rsidR="00591040" w:rsidRPr="00597AF6" w:rsidRDefault="00591040" w:rsidP="003552E5">
      <w:pPr>
        <w:pStyle w:val="Citation-AltC"/>
        <w:tabs>
          <w:tab w:val="left" w:pos="1620"/>
        </w:tabs>
        <w:spacing w:after="240"/>
        <w:ind w:hanging="1166"/>
        <w:contextualSpacing w:val="0"/>
        <w:rPr>
          <w:lang w:val="fr-CA"/>
        </w:rPr>
      </w:pPr>
      <w:r w:rsidRPr="00597AF6">
        <w:rPr>
          <w:lang w:val="fr-CA"/>
        </w:rPr>
        <w:lastRenderedPageBreak/>
        <w:tab/>
      </w:r>
      <w:r w:rsidR="00D97819">
        <w:rPr>
          <w:lang w:val="fr-CA"/>
        </w:rPr>
        <w:t>(</w:t>
      </w:r>
      <w:r w:rsidRPr="00597AF6">
        <w:rPr>
          <w:lang w:val="fr-CA"/>
        </w:rPr>
        <w:t>2)</w:t>
      </w:r>
      <w:r w:rsidRPr="00597AF6">
        <w:rPr>
          <w:lang w:val="fr-CA"/>
        </w:rPr>
        <w:tab/>
        <w:t>La Banque Royale (</w:t>
      </w:r>
      <w:proofErr w:type="spellStart"/>
      <w:r w:rsidRPr="00597AF6">
        <w:rPr>
          <w:lang w:val="fr-CA"/>
        </w:rPr>
        <w:t>Colleen</w:t>
      </w:r>
      <w:proofErr w:type="spellEnd"/>
      <w:r w:rsidRPr="00597AF6">
        <w:rPr>
          <w:lang w:val="fr-CA"/>
        </w:rPr>
        <w:t xml:space="preserve"> </w:t>
      </w:r>
      <w:proofErr w:type="spellStart"/>
      <w:r w:rsidRPr="00597AF6">
        <w:rPr>
          <w:lang w:val="fr-CA"/>
        </w:rPr>
        <w:t>Tourout</w:t>
      </w:r>
      <w:proofErr w:type="spellEnd"/>
      <w:r w:rsidRPr="00597AF6">
        <w:rPr>
          <w:lang w:val="fr-CA"/>
        </w:rPr>
        <w:t>) doit accepter une première hypothèque.  Nous prenons un amortissement sur 25 ans, une période de renouvellement de 5 ans et les paiements incluront les impôts.  H. </w:t>
      </w:r>
      <w:proofErr w:type="spellStart"/>
      <w:r w:rsidRPr="00597AF6">
        <w:rPr>
          <w:lang w:val="fr-CA"/>
        </w:rPr>
        <w:t>Heringa</w:t>
      </w:r>
      <w:proofErr w:type="spellEnd"/>
      <w:r w:rsidRPr="00597AF6">
        <w:rPr>
          <w:lang w:val="fr-CA"/>
        </w:rPr>
        <w:t xml:space="preserve"> agira à titre de garant. </w:t>
      </w:r>
    </w:p>
    <w:p w:rsidR="00591040" w:rsidRPr="00597AF6" w:rsidRDefault="00591040" w:rsidP="003552E5">
      <w:pPr>
        <w:pStyle w:val="Citation-AltC"/>
        <w:tabs>
          <w:tab w:val="left" w:pos="1620"/>
        </w:tabs>
        <w:spacing w:after="240"/>
        <w:ind w:hanging="1166"/>
        <w:contextualSpacing w:val="0"/>
        <w:rPr>
          <w:lang w:val="fr-CA"/>
        </w:rPr>
      </w:pPr>
      <w:r w:rsidRPr="00597AF6">
        <w:rPr>
          <w:lang w:val="fr-CA"/>
        </w:rPr>
        <w:tab/>
      </w:r>
      <w:r w:rsidR="00D97819">
        <w:rPr>
          <w:lang w:val="fr-CA"/>
        </w:rPr>
        <w:t>(</w:t>
      </w:r>
      <w:r w:rsidRPr="00597AF6">
        <w:rPr>
          <w:lang w:val="fr-CA"/>
        </w:rPr>
        <w:t>3)</w:t>
      </w:r>
      <w:r w:rsidRPr="00597AF6">
        <w:rPr>
          <w:lang w:val="fr-CA"/>
        </w:rPr>
        <w:tab/>
      </w:r>
      <w:proofErr w:type="spellStart"/>
      <w:r w:rsidRPr="00597AF6">
        <w:rPr>
          <w:lang w:val="fr-CA"/>
        </w:rPr>
        <w:t>Rascal</w:t>
      </w:r>
      <w:proofErr w:type="spellEnd"/>
      <w:r w:rsidRPr="00597AF6">
        <w:rPr>
          <w:lang w:val="fr-CA"/>
        </w:rPr>
        <w:t xml:space="preserve"> </w:t>
      </w:r>
      <w:proofErr w:type="spellStart"/>
      <w:r w:rsidRPr="00597AF6">
        <w:rPr>
          <w:lang w:val="fr-CA"/>
        </w:rPr>
        <w:t>Trucking</w:t>
      </w:r>
      <w:proofErr w:type="spellEnd"/>
      <w:r w:rsidRPr="00597AF6">
        <w:rPr>
          <w:lang w:val="fr-CA"/>
        </w:rPr>
        <w:t xml:space="preserve"> Ltd. sera responsable de payer 25 000 $ au titre de l’hypothèque.</w:t>
      </w:r>
    </w:p>
    <w:p w:rsidR="00591040" w:rsidRPr="00597AF6" w:rsidRDefault="00591040" w:rsidP="003552E5">
      <w:pPr>
        <w:pStyle w:val="Citation-AltC"/>
        <w:tabs>
          <w:tab w:val="left" w:pos="1620"/>
        </w:tabs>
        <w:spacing w:after="240"/>
        <w:ind w:hanging="1166"/>
        <w:contextualSpacing w:val="0"/>
        <w:rPr>
          <w:lang w:val="fr-CA"/>
        </w:rPr>
      </w:pPr>
      <w:r w:rsidRPr="00597AF6">
        <w:rPr>
          <w:lang w:val="fr-CA"/>
        </w:rPr>
        <w:tab/>
      </w:r>
      <w:r w:rsidR="00D97819">
        <w:rPr>
          <w:lang w:val="fr-CA"/>
        </w:rPr>
        <w:t>(</w:t>
      </w:r>
      <w:r w:rsidRPr="00597AF6">
        <w:rPr>
          <w:lang w:val="fr-CA"/>
        </w:rPr>
        <w:t>4)</w:t>
      </w:r>
      <w:r w:rsidRPr="00597AF6">
        <w:rPr>
          <w:lang w:val="fr-CA"/>
        </w:rPr>
        <w:tab/>
        <w:t xml:space="preserve">Nous aimerions qu’Edward Nishi signe les documents relatifs à l’enregistrement d’une deuxième hypothèque de 110 000 $, sans intérêt, afin de garantir l’intérêt de </w:t>
      </w:r>
      <w:proofErr w:type="spellStart"/>
      <w:r w:rsidRPr="00597AF6">
        <w:rPr>
          <w:lang w:val="fr-CA"/>
        </w:rPr>
        <w:t>Rascal</w:t>
      </w:r>
      <w:proofErr w:type="spellEnd"/>
      <w:r w:rsidRPr="00597AF6">
        <w:rPr>
          <w:lang w:val="fr-CA"/>
        </w:rPr>
        <w:t xml:space="preserve"> sur le terrain.  Cette deuxième hypothèque </w:t>
      </w:r>
      <w:r w:rsidRPr="00E7379B">
        <w:rPr>
          <w:u w:val="single"/>
          <w:lang w:val="fr-CA"/>
        </w:rPr>
        <w:t>ne</w:t>
      </w:r>
      <w:r w:rsidRPr="00597AF6">
        <w:rPr>
          <w:lang w:val="fr-CA"/>
        </w:rPr>
        <w:t xml:space="preserve"> sera </w:t>
      </w:r>
      <w:r w:rsidRPr="00597AF6">
        <w:rPr>
          <w:u w:val="single"/>
          <w:lang w:val="fr-CA"/>
        </w:rPr>
        <w:t>pas</w:t>
      </w:r>
      <w:r w:rsidRPr="00597AF6">
        <w:rPr>
          <w:lang w:val="fr-CA"/>
        </w:rPr>
        <w:t xml:space="preserve"> enregistrée maintenant, mais </w:t>
      </w:r>
      <w:proofErr w:type="spellStart"/>
      <w:r w:rsidRPr="00597AF6">
        <w:rPr>
          <w:lang w:val="fr-CA"/>
        </w:rPr>
        <w:t>peut</w:t>
      </w:r>
      <w:r w:rsidRPr="00597AF6">
        <w:rPr>
          <w:lang w:val="fr-CA"/>
        </w:rPr>
        <w:noBreakHyphen/>
        <w:t>être</w:t>
      </w:r>
      <w:proofErr w:type="spellEnd"/>
      <w:r w:rsidRPr="00597AF6">
        <w:rPr>
          <w:lang w:val="fr-CA"/>
        </w:rPr>
        <w:t xml:space="preserve"> seulement à une date ultérieure, avec le consentement des deux parties.</w:t>
      </w:r>
    </w:p>
    <w:p w:rsidR="00591040" w:rsidRPr="00597AF6" w:rsidRDefault="00591040" w:rsidP="003552E5">
      <w:pPr>
        <w:pStyle w:val="Citation-AltC"/>
        <w:tabs>
          <w:tab w:val="left" w:pos="1620"/>
        </w:tabs>
        <w:ind w:hanging="1166"/>
        <w:contextualSpacing w:val="0"/>
        <w:rPr>
          <w:lang w:val="fr-CA"/>
        </w:rPr>
      </w:pPr>
      <w:r w:rsidRPr="00597AF6">
        <w:rPr>
          <w:lang w:val="fr-CA"/>
        </w:rPr>
        <w:tab/>
      </w:r>
      <w:r w:rsidR="00D97819">
        <w:rPr>
          <w:lang w:val="fr-CA"/>
        </w:rPr>
        <w:t>(</w:t>
      </w:r>
      <w:r w:rsidRPr="00597AF6">
        <w:rPr>
          <w:lang w:val="fr-CA"/>
        </w:rPr>
        <w:t>5)</w:t>
      </w:r>
      <w:r w:rsidRPr="00597AF6">
        <w:rPr>
          <w:lang w:val="fr-CA"/>
        </w:rPr>
        <w:tab/>
        <w:t xml:space="preserve">Il devrait être convenu que Edward Nishi demandera le transfert de la moitié inférieure de la propriété en faveur de </w:t>
      </w:r>
      <w:proofErr w:type="spellStart"/>
      <w:r w:rsidRPr="00597AF6">
        <w:rPr>
          <w:lang w:val="fr-CA"/>
        </w:rPr>
        <w:t>Rascal</w:t>
      </w:r>
      <w:proofErr w:type="spellEnd"/>
      <w:r w:rsidRPr="00597AF6">
        <w:rPr>
          <w:lang w:val="fr-CA"/>
        </w:rPr>
        <w:t xml:space="preserve"> </w:t>
      </w:r>
      <w:proofErr w:type="spellStart"/>
      <w:r w:rsidRPr="00597AF6">
        <w:rPr>
          <w:lang w:val="fr-CA"/>
        </w:rPr>
        <w:t>Trucking</w:t>
      </w:r>
      <w:proofErr w:type="spellEnd"/>
      <w:r w:rsidRPr="00597AF6">
        <w:rPr>
          <w:lang w:val="fr-CA"/>
        </w:rPr>
        <w:t xml:space="preserve"> Ltd., après la conclusion de la vente, et que </w:t>
      </w:r>
      <w:proofErr w:type="spellStart"/>
      <w:r w:rsidRPr="00597AF6">
        <w:rPr>
          <w:lang w:val="fr-CA"/>
        </w:rPr>
        <w:t>Rascal</w:t>
      </w:r>
      <w:proofErr w:type="spellEnd"/>
      <w:r w:rsidRPr="00597AF6">
        <w:rPr>
          <w:lang w:val="fr-CA"/>
        </w:rPr>
        <w:t xml:space="preserve"> entend utiliser, et éventuellement </w:t>
      </w:r>
      <w:r w:rsidRPr="00597AF6">
        <w:rPr>
          <w:u w:val="single"/>
          <w:lang w:val="fr-CA"/>
        </w:rPr>
        <w:t>acquérir</w:t>
      </w:r>
      <w:r w:rsidRPr="00597AF6">
        <w:rPr>
          <w:lang w:val="fr-CA"/>
        </w:rPr>
        <w:t xml:space="preserve">, la </w:t>
      </w:r>
      <w:r w:rsidR="00BF7D14">
        <w:rPr>
          <w:lang w:val="fr-CA"/>
        </w:rPr>
        <w:t xml:space="preserve">moitié </w:t>
      </w:r>
      <w:r w:rsidRPr="00597AF6">
        <w:rPr>
          <w:lang w:val="fr-CA"/>
        </w:rPr>
        <w:t xml:space="preserve">inférieure de la propriété, à partir du milieu de la voie d’accès supérieure, tel qu’indiqué au plan joint.  [Souligné dans l’original; </w:t>
      </w:r>
      <w:proofErr w:type="gramStart"/>
      <w:r w:rsidRPr="00597AF6">
        <w:rPr>
          <w:lang w:val="fr-CA"/>
        </w:rPr>
        <w:t>d.a.,</w:t>
      </w:r>
      <w:proofErr w:type="gramEnd"/>
      <w:r w:rsidRPr="00597AF6">
        <w:rPr>
          <w:lang w:val="fr-CA"/>
        </w:rPr>
        <w:t xml:space="preserve"> p. 113</w:t>
      </w:r>
      <w:r w:rsidRPr="00597AF6">
        <w:rPr>
          <w:lang w:val="fr-CA"/>
        </w:rPr>
        <w:noBreakHyphen/>
        <w:t>114.]</w:t>
      </w:r>
    </w:p>
    <w:p w:rsidR="00591040" w:rsidRPr="00597AF6" w:rsidRDefault="00591040" w:rsidP="00591040">
      <w:pPr>
        <w:pStyle w:val="ParaNoNdepar-AltN"/>
        <w:rPr>
          <w:lang w:val="fr-CA"/>
        </w:rPr>
      </w:pPr>
      <w:r w:rsidRPr="00597AF6">
        <w:rPr>
          <w:lang w:val="fr-CA"/>
        </w:rPr>
        <w:t>Rien n’indique que M. Nishi a accepté cette offre.</w:t>
      </w:r>
    </w:p>
    <w:p w:rsidR="00591040" w:rsidRPr="00597AF6" w:rsidRDefault="00591040" w:rsidP="00591040">
      <w:pPr>
        <w:pStyle w:val="ParaNoNdepar-AltN"/>
        <w:rPr>
          <w:lang w:val="fr-CA"/>
        </w:rPr>
      </w:pPr>
      <w:r w:rsidRPr="00597AF6">
        <w:rPr>
          <w:lang w:val="fr-CA"/>
        </w:rPr>
        <w:t>Le 28 mai 2001, M. </w:t>
      </w:r>
      <w:proofErr w:type="spellStart"/>
      <w:r w:rsidRPr="00597AF6">
        <w:rPr>
          <w:lang w:val="fr-CA"/>
        </w:rPr>
        <w:t>Heringa</w:t>
      </w:r>
      <w:proofErr w:type="spellEnd"/>
      <w:r w:rsidRPr="00597AF6">
        <w:rPr>
          <w:lang w:val="fr-CA"/>
        </w:rPr>
        <w:t xml:space="preserve"> a envoyé une télécopie dans laquelle il modifiait l’offre précédente et indiquait que [</w:t>
      </w:r>
      <w:r w:rsidRPr="00597AF6">
        <w:rPr>
          <w:smallCaps/>
          <w:lang w:val="fr-CA"/>
        </w:rPr>
        <w:t>traduction</w:t>
      </w:r>
      <w:r w:rsidRPr="00597AF6">
        <w:rPr>
          <w:lang w:val="fr-CA"/>
        </w:rPr>
        <w:t>] « le montant de 85 000 $ doit servir à l’achat, exempt de toute condition ou exigence, et ces directives sont irrévocables » (</w:t>
      </w:r>
      <w:proofErr w:type="gramStart"/>
      <w:r w:rsidRPr="00597AF6">
        <w:rPr>
          <w:lang w:val="fr-CA"/>
        </w:rPr>
        <w:t>d.a.,</w:t>
      </w:r>
      <w:proofErr w:type="gramEnd"/>
      <w:r w:rsidRPr="00597AF6">
        <w:rPr>
          <w:lang w:val="fr-CA"/>
        </w:rPr>
        <w:t xml:space="preserve"> p. 117).  Il a affirmé que la demande visant l’obtention d’une deuxième hypothèque et le transfert à </w:t>
      </w:r>
      <w:proofErr w:type="spellStart"/>
      <w:r w:rsidRPr="00597AF6">
        <w:rPr>
          <w:lang w:val="fr-CA"/>
        </w:rPr>
        <w:t>Rascal</w:t>
      </w:r>
      <w:proofErr w:type="spellEnd"/>
      <w:r w:rsidRPr="00597AF6">
        <w:rPr>
          <w:lang w:val="fr-CA"/>
        </w:rPr>
        <w:t xml:space="preserve"> de la </w:t>
      </w:r>
      <w:r w:rsidR="00150768">
        <w:rPr>
          <w:lang w:val="fr-CA"/>
        </w:rPr>
        <w:t>moitié</w:t>
      </w:r>
      <w:r w:rsidRPr="00597AF6">
        <w:rPr>
          <w:lang w:val="fr-CA"/>
        </w:rPr>
        <w:t xml:space="preserve"> inférieure de la propriété n’étaient « que des possibilités, pour consultation </w:t>
      </w:r>
      <w:r w:rsidR="00E7379B">
        <w:rPr>
          <w:lang w:val="fr-CA"/>
        </w:rPr>
        <w:t>[</w:t>
      </w:r>
      <w:r w:rsidRPr="00597AF6">
        <w:rPr>
          <w:lang w:val="fr-CA"/>
        </w:rPr>
        <w:t>et</w:t>
      </w:r>
      <w:r w:rsidR="00E7379B">
        <w:rPr>
          <w:lang w:val="fr-CA"/>
        </w:rPr>
        <w:t>]</w:t>
      </w:r>
      <w:r w:rsidRPr="00597AF6">
        <w:rPr>
          <w:lang w:val="fr-CA"/>
        </w:rPr>
        <w:t xml:space="preserve"> examen futurs, et c’est </w:t>
      </w:r>
      <w:r w:rsidRPr="00597AF6">
        <w:rPr>
          <w:u w:val="single"/>
          <w:lang w:val="fr-CA"/>
        </w:rPr>
        <w:t>tout</w:t>
      </w:r>
      <w:r w:rsidRPr="00597AF6">
        <w:rPr>
          <w:lang w:val="fr-CA"/>
        </w:rPr>
        <w:t> » (</w:t>
      </w:r>
      <w:r w:rsidRPr="00597AF6">
        <w:rPr>
          <w:i/>
          <w:lang w:val="fr-CA"/>
        </w:rPr>
        <w:t>ibid</w:t>
      </w:r>
      <w:r w:rsidRPr="00597AF6">
        <w:rPr>
          <w:lang w:val="fr-CA"/>
        </w:rPr>
        <w:t xml:space="preserve">. (souligné dans l’original)).  Le texte de cette deuxième télécopie est reproduit </w:t>
      </w:r>
      <w:proofErr w:type="spellStart"/>
      <w:r w:rsidRPr="00597AF6">
        <w:rPr>
          <w:lang w:val="fr-CA"/>
        </w:rPr>
        <w:t>ci</w:t>
      </w:r>
      <w:r w:rsidRPr="00597AF6">
        <w:rPr>
          <w:lang w:val="fr-CA"/>
        </w:rPr>
        <w:noBreakHyphen/>
        <w:t>dessous</w:t>
      </w:r>
      <w:proofErr w:type="spellEnd"/>
      <w:r w:rsidRPr="00597AF6">
        <w:rPr>
          <w:lang w:val="fr-CA"/>
        </w:rPr>
        <w:t> :</w:t>
      </w:r>
    </w:p>
    <w:p w:rsidR="00591040" w:rsidRPr="00597AF6" w:rsidRDefault="00591040" w:rsidP="00591040">
      <w:pPr>
        <w:pStyle w:val="Citation-AltC"/>
        <w:spacing w:after="240"/>
        <w:ind w:hanging="1166"/>
        <w:contextualSpacing w:val="0"/>
        <w:rPr>
          <w:lang w:val="fr-CA"/>
        </w:rPr>
      </w:pPr>
      <w:r w:rsidRPr="00597AF6">
        <w:rPr>
          <w:lang w:val="fr-CA"/>
        </w:rPr>
        <w:tab/>
        <w:t>[</w:t>
      </w:r>
      <w:r w:rsidRPr="00597AF6">
        <w:rPr>
          <w:smallCaps/>
          <w:lang w:val="fr-CA"/>
        </w:rPr>
        <w:t>traduction</w:t>
      </w:r>
      <w:r w:rsidRPr="00597AF6">
        <w:rPr>
          <w:lang w:val="fr-CA"/>
        </w:rPr>
        <w:t>]</w:t>
      </w:r>
    </w:p>
    <w:p w:rsidR="00591040" w:rsidRPr="00597AF6" w:rsidRDefault="00591040" w:rsidP="003552E5">
      <w:pPr>
        <w:pStyle w:val="Citation-AltC"/>
        <w:tabs>
          <w:tab w:val="left" w:pos="1620"/>
        </w:tabs>
        <w:spacing w:after="240"/>
        <w:ind w:hanging="1166"/>
        <w:contextualSpacing w:val="0"/>
        <w:rPr>
          <w:lang w:val="fr-CA"/>
        </w:rPr>
      </w:pPr>
      <w:r w:rsidRPr="00597AF6">
        <w:rPr>
          <w:lang w:val="fr-CA"/>
        </w:rPr>
        <w:lastRenderedPageBreak/>
        <w:tab/>
      </w:r>
      <w:r w:rsidR="00D97819">
        <w:rPr>
          <w:lang w:val="fr-CA"/>
        </w:rPr>
        <w:t>(</w:t>
      </w:r>
      <w:r w:rsidRPr="00597AF6">
        <w:rPr>
          <w:lang w:val="fr-CA"/>
        </w:rPr>
        <w:t>1)</w:t>
      </w:r>
      <w:r w:rsidRPr="00597AF6">
        <w:rPr>
          <w:lang w:val="fr-CA"/>
        </w:rPr>
        <w:tab/>
        <w:t>Afin d’éviter toute confusion, la première directive est indépendante et le montant de 85 000 $ doit servir à l’achat, exempt de toute condition ou exigence, et ces directives sont irrévocables.  La vente doit être conclue au nom d’Edward Nishi.  Les points 2 et 3 ne servent qu’à confirmer ce qui doit se passer.</w:t>
      </w:r>
    </w:p>
    <w:p w:rsidR="00591040" w:rsidRPr="00597AF6" w:rsidRDefault="00591040" w:rsidP="003552E5">
      <w:pPr>
        <w:pStyle w:val="Citation-AltC"/>
        <w:tabs>
          <w:tab w:val="left" w:pos="1620"/>
        </w:tabs>
        <w:spacing w:after="240"/>
        <w:ind w:hanging="1166"/>
        <w:contextualSpacing w:val="0"/>
        <w:rPr>
          <w:lang w:val="fr-CA"/>
        </w:rPr>
      </w:pPr>
      <w:r w:rsidRPr="00597AF6">
        <w:rPr>
          <w:lang w:val="fr-CA"/>
        </w:rPr>
        <w:tab/>
      </w:r>
      <w:r w:rsidR="00D97819">
        <w:rPr>
          <w:lang w:val="fr-CA"/>
        </w:rPr>
        <w:t>(</w:t>
      </w:r>
      <w:r w:rsidRPr="00597AF6">
        <w:rPr>
          <w:lang w:val="fr-CA"/>
        </w:rPr>
        <w:t>2)</w:t>
      </w:r>
      <w:r w:rsidRPr="00597AF6">
        <w:rPr>
          <w:lang w:val="fr-CA"/>
        </w:rPr>
        <w:tab/>
        <w:t xml:space="preserve">Les autres points (les points 4 et 5) ne sont que des possibilités, pour consultation et examen futurs, et c’est </w:t>
      </w:r>
      <w:r w:rsidRPr="00597AF6">
        <w:rPr>
          <w:u w:val="single"/>
          <w:lang w:val="fr-CA"/>
        </w:rPr>
        <w:t>tout</w:t>
      </w:r>
      <w:r w:rsidRPr="00597AF6">
        <w:rPr>
          <w:lang w:val="fr-CA"/>
        </w:rPr>
        <w:t xml:space="preserve">. </w:t>
      </w:r>
    </w:p>
    <w:p w:rsidR="00591040" w:rsidRPr="00597AF6" w:rsidRDefault="00591040" w:rsidP="003552E5">
      <w:pPr>
        <w:pStyle w:val="Citation-AltC"/>
        <w:tabs>
          <w:tab w:val="left" w:pos="1620"/>
        </w:tabs>
        <w:ind w:hanging="1166"/>
        <w:contextualSpacing w:val="0"/>
        <w:rPr>
          <w:lang w:val="fr-CA"/>
        </w:rPr>
      </w:pPr>
      <w:r w:rsidRPr="00597AF6">
        <w:rPr>
          <w:lang w:val="fr-CA"/>
        </w:rPr>
        <w:tab/>
      </w:r>
      <w:r w:rsidR="00D97819">
        <w:rPr>
          <w:lang w:val="fr-CA"/>
        </w:rPr>
        <w:t>(</w:t>
      </w:r>
      <w:r w:rsidRPr="00597AF6">
        <w:rPr>
          <w:lang w:val="fr-CA"/>
        </w:rPr>
        <w:t>3)</w:t>
      </w:r>
      <w:r w:rsidRPr="00597AF6">
        <w:rPr>
          <w:lang w:val="fr-CA"/>
        </w:rPr>
        <w:tab/>
        <w:t xml:space="preserve">Cependant, si vous estimez logique une deuxième hypothèque ou quelque autre élément afin de protéger M. Nishi, </w:t>
      </w:r>
      <w:proofErr w:type="spellStart"/>
      <w:r w:rsidRPr="00597AF6">
        <w:rPr>
          <w:lang w:val="fr-CA"/>
        </w:rPr>
        <w:t>Kismet</w:t>
      </w:r>
      <w:proofErr w:type="spellEnd"/>
      <w:r w:rsidRPr="00597AF6">
        <w:rPr>
          <w:lang w:val="fr-CA"/>
        </w:rPr>
        <w:t xml:space="preserve"> et </w:t>
      </w:r>
      <w:proofErr w:type="spellStart"/>
      <w:r w:rsidRPr="00597AF6">
        <w:rPr>
          <w:lang w:val="fr-CA"/>
        </w:rPr>
        <w:t>Rascal</w:t>
      </w:r>
      <w:proofErr w:type="spellEnd"/>
      <w:r w:rsidRPr="00597AF6">
        <w:rPr>
          <w:lang w:val="fr-CA"/>
        </w:rPr>
        <w:t xml:space="preserve">, à l’avenir, contre des demandes de la Ville ou des accusations de nuisance, </w:t>
      </w:r>
      <w:r w:rsidRPr="00597AF6">
        <w:rPr>
          <w:u w:val="single"/>
          <w:lang w:val="fr-CA"/>
        </w:rPr>
        <w:t>etc</w:t>
      </w:r>
      <w:r w:rsidRPr="009351B8">
        <w:rPr>
          <w:u w:val="single"/>
          <w:lang w:val="fr-CA"/>
        </w:rPr>
        <w:t>.</w:t>
      </w:r>
      <w:r w:rsidRPr="00597AF6">
        <w:rPr>
          <w:lang w:val="fr-CA"/>
        </w:rPr>
        <w:t xml:space="preserve">  Veuillez nous en informer [. . .]  Également, </w:t>
      </w:r>
      <w:proofErr w:type="spellStart"/>
      <w:r w:rsidRPr="00597AF6">
        <w:rPr>
          <w:lang w:val="fr-CA"/>
        </w:rPr>
        <w:t>Rascal</w:t>
      </w:r>
      <w:proofErr w:type="spellEnd"/>
      <w:r w:rsidRPr="00597AF6">
        <w:rPr>
          <w:lang w:val="fr-CA"/>
        </w:rPr>
        <w:t xml:space="preserve"> ne veut pas perdre son statut juridique dérogatoire relativement à la production de terre végétale à cet endroit.  [Souligné dans l’original; </w:t>
      </w:r>
      <w:proofErr w:type="gramStart"/>
      <w:r w:rsidRPr="00597AF6">
        <w:rPr>
          <w:lang w:val="fr-CA"/>
        </w:rPr>
        <w:t>d.a.,</w:t>
      </w:r>
      <w:proofErr w:type="gramEnd"/>
      <w:r w:rsidRPr="00597AF6">
        <w:rPr>
          <w:lang w:val="fr-CA"/>
        </w:rPr>
        <w:t xml:space="preserve"> p. 117.]</w:t>
      </w:r>
    </w:p>
    <w:p w:rsidR="00591040" w:rsidRPr="00597AF6" w:rsidRDefault="00591040" w:rsidP="00591040">
      <w:pPr>
        <w:pStyle w:val="ParaNoNdepar-AltN"/>
        <w:rPr>
          <w:lang w:val="fr-CA"/>
        </w:rPr>
      </w:pPr>
      <w:r w:rsidRPr="00597AF6">
        <w:rPr>
          <w:lang w:val="fr-CA"/>
        </w:rPr>
        <w:t xml:space="preserve">En novembre 2008, </w:t>
      </w:r>
      <w:proofErr w:type="spellStart"/>
      <w:r w:rsidRPr="00597AF6">
        <w:rPr>
          <w:lang w:val="fr-CA"/>
        </w:rPr>
        <w:t>Rascal</w:t>
      </w:r>
      <w:proofErr w:type="spellEnd"/>
      <w:r w:rsidRPr="00597AF6">
        <w:rPr>
          <w:lang w:val="fr-CA"/>
        </w:rPr>
        <w:t xml:space="preserve"> a intenté la présente action en vue d’obtenir un intérêt indivis de </w:t>
      </w:r>
      <w:r w:rsidR="00AA0516">
        <w:rPr>
          <w:lang w:val="fr-CA"/>
        </w:rPr>
        <w:t>50</w:t>
      </w:r>
      <w:r w:rsidRPr="00597AF6">
        <w:rPr>
          <w:lang w:val="fr-CA"/>
        </w:rPr>
        <w:t xml:space="preserve"> pour </w:t>
      </w:r>
      <w:r w:rsidR="00A451B2">
        <w:rPr>
          <w:lang w:val="fr-CA"/>
        </w:rPr>
        <w:t>100</w:t>
      </w:r>
      <w:r w:rsidRPr="00597AF6">
        <w:rPr>
          <w:lang w:val="fr-CA"/>
        </w:rPr>
        <w:t xml:space="preserve"> sur la propriété. </w:t>
      </w:r>
    </w:p>
    <w:p w:rsidR="00591040" w:rsidRPr="00597AF6" w:rsidRDefault="00591040" w:rsidP="00591040">
      <w:pPr>
        <w:pStyle w:val="ParaNoNdepar-AltN"/>
        <w:rPr>
          <w:lang w:val="fr-CA"/>
        </w:rPr>
      </w:pPr>
      <w:r w:rsidRPr="00597AF6">
        <w:rPr>
          <w:lang w:val="fr-CA"/>
        </w:rPr>
        <w:t>Pour des raisons qui deviendront évidentes, il convient de souligner que M. </w:t>
      </w:r>
      <w:proofErr w:type="spellStart"/>
      <w:r w:rsidRPr="00597AF6">
        <w:rPr>
          <w:lang w:val="fr-CA"/>
        </w:rPr>
        <w:t>Heringa</w:t>
      </w:r>
      <w:proofErr w:type="spellEnd"/>
      <w:r w:rsidRPr="00597AF6">
        <w:rPr>
          <w:lang w:val="fr-CA"/>
        </w:rPr>
        <w:t xml:space="preserve"> et </w:t>
      </w:r>
      <w:proofErr w:type="spellStart"/>
      <w:r w:rsidRPr="00597AF6">
        <w:rPr>
          <w:lang w:val="fr-CA"/>
        </w:rPr>
        <w:t>Cidalia</w:t>
      </w:r>
      <w:proofErr w:type="spellEnd"/>
      <w:r w:rsidRPr="00597AF6">
        <w:rPr>
          <w:lang w:val="fr-CA"/>
        </w:rPr>
        <w:t xml:space="preserve"> </w:t>
      </w:r>
      <w:proofErr w:type="spellStart"/>
      <w:r w:rsidRPr="00597AF6">
        <w:rPr>
          <w:lang w:val="fr-CA"/>
        </w:rPr>
        <w:t>Plavetic</w:t>
      </w:r>
      <w:proofErr w:type="spellEnd"/>
      <w:r w:rsidRPr="00597AF6">
        <w:rPr>
          <w:lang w:val="fr-CA"/>
        </w:rPr>
        <w:t xml:space="preserve">, la dirigeante de </w:t>
      </w:r>
      <w:proofErr w:type="spellStart"/>
      <w:r w:rsidRPr="00597AF6">
        <w:rPr>
          <w:lang w:val="fr-CA"/>
        </w:rPr>
        <w:t>Kismet</w:t>
      </w:r>
      <w:proofErr w:type="spellEnd"/>
      <w:r w:rsidRPr="00597AF6">
        <w:rPr>
          <w:lang w:val="fr-CA"/>
        </w:rPr>
        <w:t>, avaient entretenu une longue relation commerciale et personnelle.  Il convient aussi de noter que M</w:t>
      </w:r>
      <w:r w:rsidRPr="00597AF6">
        <w:rPr>
          <w:vertAlign w:val="superscript"/>
          <w:lang w:val="fr-CA"/>
        </w:rPr>
        <w:t>me</w:t>
      </w:r>
      <w:r w:rsidRPr="00597AF6">
        <w:rPr>
          <w:lang w:val="fr-CA"/>
        </w:rPr>
        <w:t> </w:t>
      </w:r>
      <w:proofErr w:type="spellStart"/>
      <w:r w:rsidRPr="00597AF6">
        <w:rPr>
          <w:lang w:val="fr-CA"/>
        </w:rPr>
        <w:t>Plavetic</w:t>
      </w:r>
      <w:proofErr w:type="spellEnd"/>
      <w:r w:rsidRPr="00597AF6">
        <w:rPr>
          <w:lang w:val="fr-CA"/>
        </w:rPr>
        <w:t xml:space="preserve"> et M. Nishi sont des conjoints de fait et habitent sur la propriété depuis 1997. </w:t>
      </w:r>
    </w:p>
    <w:p w:rsidR="00591040" w:rsidRPr="00597AF6" w:rsidRDefault="00591040" w:rsidP="00AA0516">
      <w:pPr>
        <w:pStyle w:val="TitleTitre-AltT"/>
        <w:keepNext/>
        <w:tabs>
          <w:tab w:val="clear" w:pos="360"/>
        </w:tabs>
        <w:ind w:left="540" w:hanging="540"/>
        <w:rPr>
          <w:u w:val="single"/>
          <w:lang w:val="fr-CA"/>
        </w:rPr>
      </w:pPr>
      <w:r w:rsidRPr="00597AF6">
        <w:rPr>
          <w:lang w:val="fr-CA"/>
        </w:rPr>
        <w:t>III.</w:t>
      </w:r>
      <w:r w:rsidRPr="00597AF6">
        <w:rPr>
          <w:lang w:val="fr-CA"/>
        </w:rPr>
        <w:tab/>
      </w:r>
      <w:r w:rsidRPr="00597AF6">
        <w:rPr>
          <w:u w:val="single"/>
          <w:lang w:val="fr-CA"/>
        </w:rPr>
        <w:t>Historique judiciaire</w:t>
      </w:r>
    </w:p>
    <w:p w:rsidR="00591040" w:rsidRPr="00597AF6" w:rsidRDefault="00591040" w:rsidP="00AA0516">
      <w:pPr>
        <w:pStyle w:val="TitleTitre-AltT"/>
        <w:keepNext/>
        <w:tabs>
          <w:tab w:val="clear" w:pos="360"/>
        </w:tabs>
        <w:ind w:left="540" w:hanging="540"/>
        <w:rPr>
          <w:i/>
          <w:lang w:val="fr-CA"/>
        </w:rPr>
      </w:pPr>
      <w:r w:rsidRPr="00597AF6">
        <w:rPr>
          <w:lang w:val="fr-CA"/>
        </w:rPr>
        <w:t>A.</w:t>
      </w:r>
      <w:r w:rsidRPr="00597AF6">
        <w:rPr>
          <w:lang w:val="fr-CA"/>
        </w:rPr>
        <w:tab/>
      </w:r>
      <w:r w:rsidRPr="00597AF6">
        <w:rPr>
          <w:i/>
          <w:lang w:val="fr-CA"/>
        </w:rPr>
        <w:t xml:space="preserve">Cour suprême de la </w:t>
      </w:r>
      <w:proofErr w:type="spellStart"/>
      <w:r w:rsidRPr="00597AF6">
        <w:rPr>
          <w:i/>
          <w:lang w:val="fr-CA"/>
        </w:rPr>
        <w:t>Colombie</w:t>
      </w:r>
      <w:r w:rsidRPr="00597AF6">
        <w:rPr>
          <w:i/>
          <w:lang w:val="fr-CA"/>
        </w:rPr>
        <w:noBreakHyphen/>
        <w:t>Britannique</w:t>
      </w:r>
      <w:proofErr w:type="spellEnd"/>
    </w:p>
    <w:p w:rsidR="00591040" w:rsidRPr="00597AF6" w:rsidRDefault="00591040" w:rsidP="00591040">
      <w:pPr>
        <w:pStyle w:val="ParaNoNdepar-AltN"/>
        <w:rPr>
          <w:lang w:val="fr-CA"/>
        </w:rPr>
      </w:pPr>
      <w:proofErr w:type="spellStart"/>
      <w:r w:rsidRPr="00597AF6">
        <w:rPr>
          <w:lang w:val="fr-CA"/>
        </w:rPr>
        <w:t>Rascal</w:t>
      </w:r>
      <w:proofErr w:type="spellEnd"/>
      <w:r w:rsidRPr="00597AF6">
        <w:rPr>
          <w:lang w:val="fr-CA"/>
        </w:rPr>
        <w:t xml:space="preserve"> a fait valoir trois arguments devant le juge de première instance.  Tout d’abord, elle a invoqué l’existence d’une entente entre les parties selon laquelle la moitié de la propriété appartiendrait à </w:t>
      </w:r>
      <w:proofErr w:type="spellStart"/>
      <w:r w:rsidRPr="00597AF6">
        <w:rPr>
          <w:lang w:val="fr-CA"/>
        </w:rPr>
        <w:t>Rascal</w:t>
      </w:r>
      <w:proofErr w:type="spellEnd"/>
      <w:r w:rsidRPr="00597AF6">
        <w:rPr>
          <w:lang w:val="fr-CA"/>
        </w:rPr>
        <w:t xml:space="preserve">.  Le juge de première instance a rejeté </w:t>
      </w:r>
      <w:r w:rsidRPr="00597AF6">
        <w:rPr>
          <w:lang w:val="fr-CA"/>
        </w:rPr>
        <w:lastRenderedPageBreak/>
        <w:t>cet argument, mais a fait remarquer que [</w:t>
      </w:r>
      <w:r w:rsidRPr="00597AF6">
        <w:rPr>
          <w:smallCaps/>
          <w:lang w:val="fr-CA"/>
        </w:rPr>
        <w:t>traduction</w:t>
      </w:r>
      <w:r w:rsidRPr="00597AF6">
        <w:rPr>
          <w:lang w:val="fr-CA"/>
        </w:rPr>
        <w:t>] « </w:t>
      </w:r>
      <w:r w:rsidR="00150768">
        <w:rPr>
          <w:lang w:val="fr-CA"/>
        </w:rPr>
        <w:t>[</w:t>
      </w:r>
      <w:r w:rsidRPr="00597AF6">
        <w:rPr>
          <w:lang w:val="fr-CA"/>
        </w:rPr>
        <w:t>l</w:t>
      </w:r>
      <w:r w:rsidR="00150768">
        <w:rPr>
          <w:lang w:val="fr-CA"/>
        </w:rPr>
        <w:t>]</w:t>
      </w:r>
      <w:r w:rsidRPr="00597AF6">
        <w:rPr>
          <w:lang w:val="fr-CA"/>
        </w:rPr>
        <w:t>’intention et le désir [de M. </w:t>
      </w:r>
      <w:proofErr w:type="spellStart"/>
      <w:r w:rsidRPr="00597AF6">
        <w:rPr>
          <w:lang w:val="fr-CA"/>
        </w:rPr>
        <w:t>Heringa</w:t>
      </w:r>
      <w:proofErr w:type="spellEnd"/>
      <w:r w:rsidRPr="00597AF6">
        <w:rPr>
          <w:lang w:val="fr-CA"/>
        </w:rPr>
        <w:t>] de s’assurer un intérêt étaient évidents, mais M. Nishi n’y a pas consenti » (</w:t>
      </w:r>
      <w:r w:rsidR="00150768">
        <w:rPr>
          <w:lang w:val="fr-CA"/>
        </w:rPr>
        <w:t>2010 BCSC 649 (</w:t>
      </w:r>
      <w:proofErr w:type="spellStart"/>
      <w:r w:rsidR="00150768">
        <w:rPr>
          <w:lang w:val="fr-CA"/>
        </w:rPr>
        <w:t>CanLII</w:t>
      </w:r>
      <w:proofErr w:type="spellEnd"/>
      <w:r w:rsidR="00150768">
        <w:rPr>
          <w:lang w:val="fr-CA"/>
        </w:rPr>
        <w:t xml:space="preserve">), </w:t>
      </w:r>
      <w:r w:rsidRPr="00597AF6">
        <w:rPr>
          <w:lang w:val="fr-CA"/>
        </w:rPr>
        <w:t>par. 39).</w:t>
      </w:r>
    </w:p>
    <w:p w:rsidR="00591040" w:rsidRPr="00597AF6" w:rsidRDefault="00591040" w:rsidP="00591040">
      <w:pPr>
        <w:pStyle w:val="ParaNoNdepar-AltN"/>
        <w:rPr>
          <w:lang w:val="fr-CA"/>
        </w:rPr>
      </w:pPr>
      <w:r w:rsidRPr="00597AF6">
        <w:rPr>
          <w:lang w:val="fr-CA"/>
        </w:rPr>
        <w:t xml:space="preserve">Ensuite, </w:t>
      </w:r>
      <w:proofErr w:type="spellStart"/>
      <w:r w:rsidRPr="00597AF6">
        <w:rPr>
          <w:lang w:val="fr-CA"/>
        </w:rPr>
        <w:t>Rascal</w:t>
      </w:r>
      <w:proofErr w:type="spellEnd"/>
      <w:r w:rsidRPr="00597AF6">
        <w:rPr>
          <w:lang w:val="fr-CA"/>
        </w:rPr>
        <w:t xml:space="preserve"> a soutenu que, puisqu’elle avait contribué au prix d’achat de la propriété sans en acquérir le titre, une fiducie </w:t>
      </w:r>
      <w:proofErr w:type="spellStart"/>
      <w:r w:rsidRPr="00597AF6">
        <w:rPr>
          <w:lang w:val="fr-CA"/>
        </w:rPr>
        <w:t>résultoire</w:t>
      </w:r>
      <w:proofErr w:type="spellEnd"/>
      <w:r w:rsidRPr="00597AF6">
        <w:rPr>
          <w:lang w:val="fr-CA"/>
        </w:rPr>
        <w:t xml:space="preserve"> a pris naissance de sorte que </w:t>
      </w:r>
      <w:proofErr w:type="spellStart"/>
      <w:r w:rsidRPr="00597AF6">
        <w:rPr>
          <w:lang w:val="fr-CA"/>
        </w:rPr>
        <w:t>Rascal</w:t>
      </w:r>
      <w:proofErr w:type="spellEnd"/>
      <w:r w:rsidRPr="00597AF6">
        <w:rPr>
          <w:lang w:val="fr-CA"/>
        </w:rPr>
        <w:t xml:space="preserve"> avait droit à une part de la propriété au prorata de sa contribution au prix d’achat.  Le juge de première instance a rejeté cet argument au motif que, même s’il n’était [</w:t>
      </w:r>
      <w:r w:rsidRPr="00597AF6">
        <w:rPr>
          <w:smallCaps/>
          <w:lang w:val="fr-CA"/>
        </w:rPr>
        <w:t>traduction</w:t>
      </w:r>
      <w:r w:rsidRPr="00597AF6">
        <w:rPr>
          <w:lang w:val="fr-CA"/>
        </w:rPr>
        <w:t xml:space="preserve">] « pas question d’une donation », M. Nishi avait déclaré qu’il n’y avait aucune intention que </w:t>
      </w:r>
      <w:proofErr w:type="spellStart"/>
      <w:r w:rsidRPr="00597AF6">
        <w:rPr>
          <w:lang w:val="fr-CA"/>
        </w:rPr>
        <w:t>Rascal</w:t>
      </w:r>
      <w:proofErr w:type="spellEnd"/>
      <w:r w:rsidRPr="00597AF6">
        <w:rPr>
          <w:lang w:val="fr-CA"/>
        </w:rPr>
        <w:t xml:space="preserve"> détienne un intérêt dans le terrain (par. 42 et 47).  Le juge de première instance a conclu que le paiement devait permettre à </w:t>
      </w:r>
      <w:proofErr w:type="spellStart"/>
      <w:r w:rsidRPr="00597AF6">
        <w:rPr>
          <w:lang w:val="fr-CA"/>
        </w:rPr>
        <w:t>Rascal</w:t>
      </w:r>
      <w:proofErr w:type="spellEnd"/>
      <w:r w:rsidRPr="00597AF6">
        <w:rPr>
          <w:lang w:val="fr-CA"/>
        </w:rPr>
        <w:t xml:space="preserve"> de s’acquitter de la dette qu’elle avait envers </w:t>
      </w:r>
      <w:proofErr w:type="spellStart"/>
      <w:r w:rsidRPr="00597AF6">
        <w:rPr>
          <w:lang w:val="fr-CA"/>
        </w:rPr>
        <w:t>Kismet</w:t>
      </w:r>
      <w:proofErr w:type="spellEnd"/>
      <w:r w:rsidRPr="00597AF6">
        <w:rPr>
          <w:lang w:val="fr-CA"/>
        </w:rPr>
        <w:t xml:space="preserve"> par suite de l’arriéré d’impôt dont </w:t>
      </w:r>
      <w:proofErr w:type="spellStart"/>
      <w:r w:rsidRPr="00597AF6">
        <w:rPr>
          <w:lang w:val="fr-CA"/>
        </w:rPr>
        <w:t>Rascal</w:t>
      </w:r>
      <w:proofErr w:type="spellEnd"/>
      <w:r w:rsidRPr="00597AF6">
        <w:rPr>
          <w:lang w:val="fr-CA"/>
        </w:rPr>
        <w:t xml:space="preserve"> s’est reconnue responsable aux termes de la disposition d’exonération de responsabilité figurant dans le bail conclu avec </w:t>
      </w:r>
      <w:proofErr w:type="spellStart"/>
      <w:r w:rsidRPr="00597AF6">
        <w:rPr>
          <w:lang w:val="fr-CA"/>
        </w:rPr>
        <w:t>Kismet</w:t>
      </w:r>
      <w:proofErr w:type="spellEnd"/>
      <w:r w:rsidRPr="00597AF6">
        <w:rPr>
          <w:lang w:val="fr-CA"/>
        </w:rPr>
        <w:t xml:space="preserve">.  Le juge s’est également fondé sur le fait que le montant de la contribution (110 679,74 $) correspondait à l’arriéré d’impôt attribuable à </w:t>
      </w:r>
      <w:proofErr w:type="spellStart"/>
      <w:r w:rsidRPr="00597AF6">
        <w:rPr>
          <w:lang w:val="fr-CA"/>
        </w:rPr>
        <w:t>Rascal</w:t>
      </w:r>
      <w:proofErr w:type="spellEnd"/>
      <w:r w:rsidRPr="00597AF6">
        <w:rPr>
          <w:lang w:val="fr-CA"/>
        </w:rPr>
        <w:t>. </w:t>
      </w:r>
    </w:p>
    <w:p w:rsidR="00591040" w:rsidRPr="00597AF6" w:rsidRDefault="00591040" w:rsidP="00591040">
      <w:pPr>
        <w:pStyle w:val="ParaNoNdepar-AltN"/>
        <w:rPr>
          <w:lang w:val="fr-CA"/>
        </w:rPr>
      </w:pPr>
      <w:r w:rsidRPr="00597AF6">
        <w:rPr>
          <w:lang w:val="fr-CA"/>
        </w:rPr>
        <w:t xml:space="preserve">Enfin, le juge de première instance a rejeté la prétention de </w:t>
      </w:r>
      <w:proofErr w:type="spellStart"/>
      <w:r w:rsidRPr="00597AF6">
        <w:rPr>
          <w:lang w:val="fr-CA"/>
        </w:rPr>
        <w:t>Rascal</w:t>
      </w:r>
      <w:proofErr w:type="spellEnd"/>
      <w:r w:rsidRPr="00597AF6">
        <w:rPr>
          <w:lang w:val="fr-CA"/>
        </w:rPr>
        <w:t xml:space="preserve"> quant à la création d’une fiducie </w:t>
      </w:r>
      <w:proofErr w:type="spellStart"/>
      <w:r w:rsidRPr="00597AF6">
        <w:rPr>
          <w:lang w:val="fr-CA"/>
        </w:rPr>
        <w:t>constructoire</w:t>
      </w:r>
      <w:proofErr w:type="spellEnd"/>
      <w:r w:rsidRPr="00597AF6">
        <w:rPr>
          <w:lang w:val="fr-CA"/>
        </w:rPr>
        <w:t xml:space="preserve"> fondée sur l’enrichissement injustifié et a conclu que la contribution servait simplement à remettre M</w:t>
      </w:r>
      <w:r w:rsidRPr="00597AF6">
        <w:rPr>
          <w:vertAlign w:val="superscript"/>
          <w:lang w:val="fr-CA"/>
        </w:rPr>
        <w:t>me</w:t>
      </w:r>
      <w:r w:rsidRPr="00597AF6">
        <w:rPr>
          <w:lang w:val="fr-CA"/>
        </w:rPr>
        <w:t> </w:t>
      </w:r>
      <w:proofErr w:type="spellStart"/>
      <w:r w:rsidRPr="00597AF6">
        <w:rPr>
          <w:lang w:val="fr-CA"/>
        </w:rPr>
        <w:t>Plavetic</w:t>
      </w:r>
      <w:proofErr w:type="spellEnd"/>
      <w:r w:rsidRPr="00597AF6">
        <w:rPr>
          <w:lang w:val="fr-CA"/>
        </w:rPr>
        <w:t xml:space="preserve">, M. Nishi et </w:t>
      </w:r>
      <w:proofErr w:type="spellStart"/>
      <w:r w:rsidRPr="00597AF6">
        <w:rPr>
          <w:lang w:val="fr-CA"/>
        </w:rPr>
        <w:t>Kismet</w:t>
      </w:r>
      <w:proofErr w:type="spellEnd"/>
      <w:r w:rsidRPr="00597AF6">
        <w:rPr>
          <w:lang w:val="fr-CA"/>
        </w:rPr>
        <w:t xml:space="preserve"> dans la même situation que si </w:t>
      </w:r>
      <w:proofErr w:type="spellStart"/>
      <w:r w:rsidRPr="00597AF6">
        <w:rPr>
          <w:lang w:val="fr-CA"/>
        </w:rPr>
        <w:t>Rascal</w:t>
      </w:r>
      <w:proofErr w:type="spellEnd"/>
      <w:r w:rsidRPr="00597AF6">
        <w:rPr>
          <w:lang w:val="fr-CA"/>
        </w:rPr>
        <w:t xml:space="preserve"> n’avait jamais causé la nuisance et l’arriéré d’impôt. </w:t>
      </w:r>
    </w:p>
    <w:p w:rsidR="00591040" w:rsidRPr="00597AF6" w:rsidRDefault="00591040" w:rsidP="00AA0516">
      <w:pPr>
        <w:pStyle w:val="TitleTitre-AltT"/>
        <w:keepNext/>
        <w:tabs>
          <w:tab w:val="clear" w:pos="360"/>
        </w:tabs>
        <w:ind w:left="540" w:hanging="540"/>
        <w:rPr>
          <w:i/>
          <w:lang w:val="fr-CA"/>
        </w:rPr>
      </w:pPr>
      <w:r w:rsidRPr="00597AF6">
        <w:rPr>
          <w:lang w:val="fr-CA"/>
        </w:rPr>
        <w:lastRenderedPageBreak/>
        <w:t>B.</w:t>
      </w:r>
      <w:r w:rsidRPr="00597AF6">
        <w:rPr>
          <w:lang w:val="fr-CA"/>
        </w:rPr>
        <w:tab/>
      </w:r>
      <w:r w:rsidRPr="00597AF6">
        <w:rPr>
          <w:i/>
          <w:lang w:val="fr-CA"/>
        </w:rPr>
        <w:t xml:space="preserve">Cour d’appel de la </w:t>
      </w:r>
      <w:proofErr w:type="spellStart"/>
      <w:r w:rsidRPr="00597AF6">
        <w:rPr>
          <w:i/>
          <w:lang w:val="fr-CA"/>
        </w:rPr>
        <w:t>Colombie</w:t>
      </w:r>
      <w:r w:rsidRPr="00597AF6">
        <w:rPr>
          <w:i/>
          <w:lang w:val="fr-CA"/>
        </w:rPr>
        <w:noBreakHyphen/>
        <w:t>Britannique</w:t>
      </w:r>
      <w:proofErr w:type="spellEnd"/>
    </w:p>
    <w:p w:rsidR="00591040" w:rsidRPr="00597AF6" w:rsidRDefault="00591040" w:rsidP="00591040">
      <w:pPr>
        <w:pStyle w:val="ParaNoNdepar-AltN"/>
        <w:rPr>
          <w:lang w:val="fr-CA"/>
        </w:rPr>
      </w:pPr>
      <w:r w:rsidRPr="00597AF6">
        <w:rPr>
          <w:lang w:val="fr-CA"/>
        </w:rPr>
        <w:t xml:space="preserve">La Cour d’appel a accueilli l’appel interjeté par </w:t>
      </w:r>
      <w:proofErr w:type="spellStart"/>
      <w:r w:rsidRPr="00597AF6">
        <w:rPr>
          <w:lang w:val="fr-CA"/>
        </w:rPr>
        <w:t>Rascal</w:t>
      </w:r>
      <w:proofErr w:type="spellEnd"/>
      <w:r w:rsidR="00AC47EA">
        <w:rPr>
          <w:lang w:val="fr-CA"/>
        </w:rPr>
        <w:t xml:space="preserve"> (2011 BCCA 348, 21 B.C.L.R. (5th) 330)</w:t>
      </w:r>
      <w:r w:rsidRPr="00597AF6">
        <w:rPr>
          <w:lang w:val="fr-CA"/>
        </w:rPr>
        <w:t xml:space="preserve">.  Elle a conclu qu’une présomption de fiducie </w:t>
      </w:r>
      <w:proofErr w:type="spellStart"/>
      <w:r w:rsidRPr="00597AF6">
        <w:rPr>
          <w:lang w:val="fr-CA"/>
        </w:rPr>
        <w:t>résultoire</w:t>
      </w:r>
      <w:proofErr w:type="spellEnd"/>
      <w:r w:rsidRPr="00597AF6">
        <w:rPr>
          <w:lang w:val="fr-CA"/>
        </w:rPr>
        <w:t xml:space="preserve"> a pris naissance en raison du transfert à titre gratuit entre des personnes non apparentées.  Cette présomption n’a pas été réfutée parce que le juge de première instance était d’avis qu’il n’était [</w:t>
      </w:r>
      <w:r w:rsidRPr="00597AF6">
        <w:rPr>
          <w:smallCaps/>
          <w:lang w:val="fr-CA"/>
        </w:rPr>
        <w:t>traduction</w:t>
      </w:r>
      <w:r w:rsidRPr="00597AF6">
        <w:rPr>
          <w:lang w:val="fr-CA"/>
        </w:rPr>
        <w:t xml:space="preserve">] « pas question d’une donation ».  Le juge de première instance a commis une erreur en concluant que la présomption avait été réfutée puisque cette conclusion était fondée sur l’intention de M. Nishi et non sur celle de </w:t>
      </w:r>
      <w:proofErr w:type="spellStart"/>
      <w:r w:rsidRPr="00597AF6">
        <w:rPr>
          <w:lang w:val="fr-CA"/>
        </w:rPr>
        <w:t>Rascal</w:t>
      </w:r>
      <w:proofErr w:type="spellEnd"/>
      <w:r w:rsidRPr="00597AF6">
        <w:rPr>
          <w:lang w:val="fr-CA"/>
        </w:rPr>
        <w:t>.  La Cour d’appel a fait remarquer que c’est l’intention de la personne qui avance les fonds, et non celle de la personne qui les reçoit, qui est pertinente.  Le juge du procès avait affirmé que « </w:t>
      </w:r>
      <w:r w:rsidR="00F73776">
        <w:rPr>
          <w:lang w:val="fr-CA"/>
        </w:rPr>
        <w:t>[</w:t>
      </w:r>
      <w:r w:rsidRPr="00597AF6">
        <w:rPr>
          <w:lang w:val="fr-CA"/>
        </w:rPr>
        <w:t>l</w:t>
      </w:r>
      <w:r w:rsidR="00F73776">
        <w:rPr>
          <w:lang w:val="fr-CA"/>
        </w:rPr>
        <w:t>]</w:t>
      </w:r>
      <w:r w:rsidRPr="00597AF6">
        <w:rPr>
          <w:lang w:val="fr-CA"/>
        </w:rPr>
        <w:t>’intention et le désir [de M. </w:t>
      </w:r>
      <w:proofErr w:type="spellStart"/>
      <w:r w:rsidRPr="00597AF6">
        <w:rPr>
          <w:lang w:val="fr-CA"/>
        </w:rPr>
        <w:t>Heringa</w:t>
      </w:r>
      <w:proofErr w:type="spellEnd"/>
      <w:r w:rsidRPr="00597AF6">
        <w:rPr>
          <w:lang w:val="fr-CA"/>
        </w:rPr>
        <w:t xml:space="preserve">] de s’assurer un intérêt étaient évidents ».  Le fait que </w:t>
      </w:r>
      <w:proofErr w:type="spellStart"/>
      <w:r w:rsidRPr="00597AF6">
        <w:rPr>
          <w:lang w:val="fr-CA"/>
        </w:rPr>
        <w:t>Rascal</w:t>
      </w:r>
      <w:proofErr w:type="spellEnd"/>
      <w:r w:rsidRPr="00597AF6">
        <w:rPr>
          <w:lang w:val="fr-CA"/>
        </w:rPr>
        <w:t xml:space="preserve"> avait l’obligation d’indemniser </w:t>
      </w:r>
      <w:proofErr w:type="spellStart"/>
      <w:r w:rsidRPr="00597AF6">
        <w:rPr>
          <w:lang w:val="fr-CA"/>
        </w:rPr>
        <w:t>Kismet</w:t>
      </w:r>
      <w:proofErr w:type="spellEnd"/>
      <w:r w:rsidRPr="00597AF6">
        <w:rPr>
          <w:lang w:val="fr-CA"/>
        </w:rPr>
        <w:t xml:space="preserve"> de l’arriéré d’impôt ne pouvait servir à réfuter la présomption parce que M. Nishi, le bénéficiaire du transfert, n’avait en droit aucun lien avec </w:t>
      </w:r>
      <w:proofErr w:type="spellStart"/>
      <w:r w:rsidRPr="00597AF6">
        <w:rPr>
          <w:lang w:val="fr-CA"/>
        </w:rPr>
        <w:t>Kismet</w:t>
      </w:r>
      <w:proofErr w:type="spellEnd"/>
      <w:r w:rsidRPr="00597AF6">
        <w:rPr>
          <w:lang w:val="fr-CA"/>
        </w:rPr>
        <w:t xml:space="preserve">. </w:t>
      </w:r>
    </w:p>
    <w:p w:rsidR="00591040" w:rsidRPr="00597AF6" w:rsidRDefault="00591040" w:rsidP="00AA0516">
      <w:pPr>
        <w:pStyle w:val="TitleTitre-AltT"/>
        <w:keepNext/>
        <w:tabs>
          <w:tab w:val="clear" w:pos="360"/>
        </w:tabs>
        <w:ind w:left="540" w:hanging="540"/>
        <w:rPr>
          <w:u w:val="single"/>
          <w:lang w:val="fr-CA"/>
        </w:rPr>
      </w:pPr>
      <w:r w:rsidRPr="00597AF6">
        <w:rPr>
          <w:lang w:val="fr-CA"/>
        </w:rPr>
        <w:t>IV.</w:t>
      </w:r>
      <w:r w:rsidRPr="00597AF6">
        <w:rPr>
          <w:lang w:val="fr-CA"/>
        </w:rPr>
        <w:tab/>
      </w:r>
      <w:r w:rsidRPr="00597AF6">
        <w:rPr>
          <w:u w:val="single"/>
          <w:lang w:val="fr-CA"/>
        </w:rPr>
        <w:t>Analyse</w:t>
      </w:r>
    </w:p>
    <w:p w:rsidR="00591040" w:rsidRPr="00597AF6" w:rsidRDefault="00591040" w:rsidP="00591040">
      <w:pPr>
        <w:pStyle w:val="ParaNoNdepar-AltN"/>
        <w:rPr>
          <w:lang w:val="fr-CA"/>
        </w:rPr>
      </w:pPr>
      <w:r w:rsidRPr="00597AF6">
        <w:rPr>
          <w:lang w:val="fr-CA"/>
        </w:rPr>
        <w:t>M</w:t>
      </w:r>
      <w:r w:rsidR="00AA0516">
        <w:rPr>
          <w:lang w:val="fr-CA"/>
        </w:rPr>
        <w:t xml:space="preserve">. </w:t>
      </w:r>
      <w:r w:rsidRPr="00597AF6">
        <w:rPr>
          <w:lang w:val="fr-CA"/>
        </w:rPr>
        <w:t xml:space="preserve">Nishi invoque deux moyens d’appel devant notre Cour.  Premièrement, il soutient qu’il conviendrait d’abandonner la doctrine de la fiducie </w:t>
      </w:r>
      <w:proofErr w:type="spellStart"/>
      <w:r w:rsidRPr="00597AF6">
        <w:rPr>
          <w:lang w:val="fr-CA"/>
        </w:rPr>
        <w:t>résultoire</w:t>
      </w:r>
      <w:proofErr w:type="spellEnd"/>
      <w:r w:rsidRPr="00597AF6">
        <w:rPr>
          <w:lang w:val="fr-CA"/>
        </w:rPr>
        <w:t xml:space="preserve"> découlant des circonstances d’achat en faveur d’une démarche fondée sur l’enrichissement injustifié, et qu’il n’y avait pas eu d’enrichissement injustifié en l’espèce.  Subsidiairement, il plaide que si la doctrine de la fiducie </w:t>
      </w:r>
      <w:proofErr w:type="spellStart"/>
      <w:r w:rsidRPr="00597AF6">
        <w:rPr>
          <w:lang w:val="fr-CA"/>
        </w:rPr>
        <w:t>résultoire</w:t>
      </w:r>
      <w:proofErr w:type="spellEnd"/>
      <w:r w:rsidRPr="00597AF6">
        <w:rPr>
          <w:lang w:val="fr-CA"/>
        </w:rPr>
        <w:t xml:space="preserve"> </w:t>
      </w:r>
      <w:r w:rsidRPr="00597AF6">
        <w:rPr>
          <w:lang w:val="fr-CA"/>
        </w:rPr>
        <w:lastRenderedPageBreak/>
        <w:t xml:space="preserve">découlant des circonstances d’achat doit être retenue, elle ne s’applique pas en l’espèce.  Je suis d’avis ne pas retenir le premier moyen d’appel.  J’estime qu’il n’y a aucune raison d’écarter la doctrine, établie depuis longtemps, de la fiducie </w:t>
      </w:r>
      <w:proofErr w:type="spellStart"/>
      <w:r w:rsidRPr="00597AF6">
        <w:rPr>
          <w:lang w:val="fr-CA"/>
        </w:rPr>
        <w:t>résultoire</w:t>
      </w:r>
      <w:proofErr w:type="spellEnd"/>
      <w:r w:rsidRPr="00597AF6">
        <w:rPr>
          <w:lang w:val="fr-CA"/>
        </w:rPr>
        <w:t xml:space="preserve"> découlant des circonstances d’achat.  Cependant, je suis d’avis d’accueillir le pourvoi de M. Nishi parce que les faits établis par le juge de première instance ne révélaient pas l’existence d’une fiducie </w:t>
      </w:r>
      <w:proofErr w:type="spellStart"/>
      <w:r w:rsidRPr="00597AF6">
        <w:rPr>
          <w:lang w:val="fr-CA"/>
        </w:rPr>
        <w:t>résultoire</w:t>
      </w:r>
      <w:proofErr w:type="spellEnd"/>
      <w:r w:rsidRPr="00597AF6">
        <w:rPr>
          <w:lang w:val="fr-CA"/>
        </w:rPr>
        <w:t xml:space="preserve">.  </w:t>
      </w:r>
    </w:p>
    <w:p w:rsidR="00591040" w:rsidRPr="00597AF6" w:rsidRDefault="00591040" w:rsidP="00AA0516">
      <w:pPr>
        <w:pStyle w:val="TitleTitre-AltT"/>
        <w:keepNext/>
        <w:tabs>
          <w:tab w:val="clear" w:pos="360"/>
        </w:tabs>
        <w:ind w:left="540" w:hanging="540"/>
        <w:rPr>
          <w:i/>
          <w:lang w:val="fr-CA"/>
        </w:rPr>
      </w:pPr>
      <w:r w:rsidRPr="00597AF6">
        <w:rPr>
          <w:lang w:val="fr-CA"/>
        </w:rPr>
        <w:t>A.</w:t>
      </w:r>
      <w:r w:rsidRPr="00597AF6">
        <w:rPr>
          <w:lang w:val="fr-CA"/>
        </w:rPr>
        <w:tab/>
      </w:r>
      <w:r w:rsidRPr="00597AF6">
        <w:rPr>
          <w:i/>
          <w:lang w:val="fr-CA"/>
        </w:rPr>
        <w:t xml:space="preserve">La doctrine de la fiducie </w:t>
      </w:r>
      <w:proofErr w:type="spellStart"/>
      <w:r w:rsidRPr="00597AF6">
        <w:rPr>
          <w:i/>
          <w:lang w:val="fr-CA"/>
        </w:rPr>
        <w:t>résultoire</w:t>
      </w:r>
      <w:proofErr w:type="spellEnd"/>
      <w:r w:rsidRPr="00597AF6">
        <w:rPr>
          <w:i/>
          <w:lang w:val="fr-CA"/>
        </w:rPr>
        <w:t xml:space="preserve"> découlant des circonstances d’achat </w:t>
      </w:r>
      <w:proofErr w:type="spellStart"/>
      <w:r w:rsidRPr="00597AF6">
        <w:rPr>
          <w:i/>
          <w:lang w:val="fr-CA"/>
        </w:rPr>
        <w:t>devrait</w:t>
      </w:r>
      <w:r w:rsidRPr="00597AF6">
        <w:rPr>
          <w:i/>
          <w:lang w:val="fr-CA"/>
        </w:rPr>
        <w:noBreakHyphen/>
        <w:t>elle</w:t>
      </w:r>
      <w:proofErr w:type="spellEnd"/>
      <w:r w:rsidRPr="00597AF6">
        <w:rPr>
          <w:i/>
          <w:lang w:val="fr-CA"/>
        </w:rPr>
        <w:t xml:space="preserve"> être abandonnée?</w:t>
      </w:r>
    </w:p>
    <w:p w:rsidR="00591040" w:rsidRPr="00597AF6" w:rsidRDefault="00591040" w:rsidP="00591040">
      <w:pPr>
        <w:pStyle w:val="ParaNoNdepar-AltN"/>
        <w:rPr>
          <w:lang w:val="fr-CA"/>
        </w:rPr>
      </w:pPr>
      <w:r w:rsidRPr="00597AF6">
        <w:rPr>
          <w:lang w:val="fr-CA"/>
        </w:rPr>
        <w:t xml:space="preserve">La fiducie </w:t>
      </w:r>
      <w:proofErr w:type="spellStart"/>
      <w:r w:rsidRPr="00597AF6">
        <w:rPr>
          <w:lang w:val="fr-CA"/>
        </w:rPr>
        <w:t>résultoire</w:t>
      </w:r>
      <w:proofErr w:type="spellEnd"/>
      <w:r w:rsidRPr="00597AF6">
        <w:rPr>
          <w:lang w:val="fr-CA"/>
        </w:rPr>
        <w:t xml:space="preserve"> découlant des circonstances d’achat est une sorte de fiducie </w:t>
      </w:r>
      <w:proofErr w:type="spellStart"/>
      <w:r w:rsidRPr="00597AF6">
        <w:rPr>
          <w:lang w:val="fr-CA"/>
        </w:rPr>
        <w:t>résultoire</w:t>
      </w:r>
      <w:proofErr w:type="spellEnd"/>
      <w:r w:rsidRPr="00597AF6">
        <w:rPr>
          <w:lang w:val="fr-CA"/>
        </w:rPr>
        <w:t xml:space="preserve"> découlant d’un transfert à titre gratuit qui s’opère lorsqu’une personne contribue au prix d’achat d’un bien sans en acquérir le titre.  La présomption de fiducie </w:t>
      </w:r>
      <w:proofErr w:type="spellStart"/>
      <w:r w:rsidRPr="00597AF6">
        <w:rPr>
          <w:lang w:val="fr-CA"/>
        </w:rPr>
        <w:t>résultoire</w:t>
      </w:r>
      <w:proofErr w:type="spellEnd"/>
      <w:r w:rsidRPr="00597AF6">
        <w:rPr>
          <w:lang w:val="fr-CA"/>
        </w:rPr>
        <w:t xml:space="preserve"> découlant d’un transfert à titre gratuit prend naissance quand une personne transfère volontairement un bien à une autre personne qui ne lui est pas liée, ou quand elle acquiert un bien au nom d’une autre personne </w:t>
      </w:r>
      <w:r w:rsidR="00AA0516">
        <w:rPr>
          <w:lang w:val="fr-CA"/>
        </w:rPr>
        <w:t>(</w:t>
      </w:r>
      <w:r w:rsidRPr="00597AF6">
        <w:rPr>
          <w:lang w:val="fr-CA"/>
        </w:rPr>
        <w:t xml:space="preserve">D. W. M. Waters, M. R. Gillen et L. D. Smith, </w:t>
      </w:r>
      <w:proofErr w:type="spellStart"/>
      <w:proofErr w:type="gramStart"/>
      <w:r w:rsidRPr="00597AF6">
        <w:rPr>
          <w:lang w:val="fr-CA"/>
        </w:rPr>
        <w:t>dir</w:t>
      </w:r>
      <w:proofErr w:type="spellEnd"/>
      <w:r w:rsidRPr="00597AF6">
        <w:rPr>
          <w:lang w:val="fr-CA"/>
        </w:rPr>
        <w:t>.,</w:t>
      </w:r>
      <w:proofErr w:type="gramEnd"/>
      <w:r w:rsidRPr="00597AF6">
        <w:rPr>
          <w:lang w:val="fr-CA"/>
        </w:rPr>
        <w:t xml:space="preserve"> </w:t>
      </w:r>
      <w:r w:rsidRPr="00597AF6">
        <w:rPr>
          <w:i/>
          <w:lang w:val="fr-CA"/>
        </w:rPr>
        <w:t>Waters’ Law of Trusts in Canada</w:t>
      </w:r>
      <w:r w:rsidRPr="00597AF6">
        <w:rPr>
          <w:lang w:val="fr-CA"/>
        </w:rPr>
        <w:t xml:space="preserve"> (4</w:t>
      </w:r>
      <w:r w:rsidRPr="00597AF6">
        <w:rPr>
          <w:vertAlign w:val="superscript"/>
          <w:lang w:val="fr-CA"/>
        </w:rPr>
        <w:t>e</w:t>
      </w:r>
      <w:r w:rsidRPr="00597AF6">
        <w:rPr>
          <w:lang w:val="fr-CA"/>
        </w:rPr>
        <w:t xml:space="preserve"> éd. 2012), p. 397</w:t>
      </w:r>
      <w:r w:rsidR="00AA0516">
        <w:rPr>
          <w:lang w:val="fr-CA"/>
        </w:rPr>
        <w:t>)</w:t>
      </w:r>
      <w:r w:rsidRPr="00597AF6">
        <w:rPr>
          <w:lang w:val="fr-CA"/>
        </w:rPr>
        <w:t xml:space="preserve">. </w:t>
      </w:r>
    </w:p>
    <w:p w:rsidR="00591040" w:rsidRPr="00597AF6" w:rsidRDefault="00591040" w:rsidP="00591040">
      <w:pPr>
        <w:pStyle w:val="ParaNoNdepar-AltN"/>
        <w:rPr>
          <w:lang w:val="fr-CA"/>
        </w:rPr>
      </w:pPr>
      <w:r w:rsidRPr="00597AF6">
        <w:rPr>
          <w:lang w:val="fr-CA"/>
        </w:rPr>
        <w:t xml:space="preserve">Comme le juge Cromwell l’a signalé dans </w:t>
      </w:r>
      <w:r w:rsidRPr="00597AF6">
        <w:rPr>
          <w:i/>
          <w:lang w:val="fr-CA"/>
        </w:rPr>
        <w:t xml:space="preserve">Kerr c. </w:t>
      </w:r>
      <w:proofErr w:type="spellStart"/>
      <w:r w:rsidRPr="00597AF6">
        <w:rPr>
          <w:i/>
          <w:lang w:val="fr-CA"/>
        </w:rPr>
        <w:t>Baranow</w:t>
      </w:r>
      <w:proofErr w:type="spellEnd"/>
      <w:r w:rsidRPr="00597AF6">
        <w:rPr>
          <w:lang w:val="fr-CA"/>
        </w:rPr>
        <w:t xml:space="preserve">, 2011 </w:t>
      </w:r>
      <w:r w:rsidR="00D97819">
        <w:rPr>
          <w:lang w:val="fr-CA"/>
        </w:rPr>
        <w:t xml:space="preserve">CSC 10, [2011] 1 R.C.S. 269, </w:t>
      </w:r>
      <w:r w:rsidRPr="00597AF6">
        <w:rPr>
          <w:lang w:val="fr-CA"/>
        </w:rPr>
        <w:t xml:space="preserve">par. 12, il est bien « établi en droit, depuis au moins 1788 en Angleterre (et probablement bien avant), qu’une fiducie à l’égard d’un domaine légal au nom de l’acheteur ou d’une autre personne </w:t>
      </w:r>
      <w:r w:rsidR="00AA0516">
        <w:rPr>
          <w:lang w:val="fr-CA"/>
        </w:rPr>
        <w:t>“</w:t>
      </w:r>
      <w:r w:rsidRPr="00597AF6">
        <w:rPr>
          <w:lang w:val="fr-CA"/>
        </w:rPr>
        <w:t>est créée</w:t>
      </w:r>
      <w:r w:rsidR="00AA0516">
        <w:rPr>
          <w:lang w:val="fr-CA"/>
        </w:rPr>
        <w:t>”</w:t>
      </w:r>
      <w:r w:rsidRPr="00597AF6">
        <w:rPr>
          <w:lang w:val="fr-CA"/>
        </w:rPr>
        <w:t xml:space="preserve"> au bénéfice de la personne qui fournit le prix d’achat ».  Malgré le fait que la Cour ait, ainsi, </w:t>
      </w:r>
      <w:r w:rsidRPr="00597AF6">
        <w:rPr>
          <w:lang w:val="fr-CA"/>
        </w:rPr>
        <w:lastRenderedPageBreak/>
        <w:t xml:space="preserve">récemment souscrit à la doctrine de la fiducie </w:t>
      </w:r>
      <w:proofErr w:type="spellStart"/>
      <w:r w:rsidRPr="00597AF6">
        <w:rPr>
          <w:lang w:val="fr-CA"/>
        </w:rPr>
        <w:t>résultoire</w:t>
      </w:r>
      <w:proofErr w:type="spellEnd"/>
      <w:r w:rsidRPr="00597AF6">
        <w:rPr>
          <w:lang w:val="fr-CA"/>
        </w:rPr>
        <w:t xml:space="preserve"> découlant des circonstances d’achat, M. Nishi prétend qu’il faudrait abandonner cette doctrine en faveur de celle de l’enrichissement injustifié.  La fiducie </w:t>
      </w:r>
      <w:proofErr w:type="spellStart"/>
      <w:r w:rsidRPr="00597AF6">
        <w:rPr>
          <w:lang w:val="fr-CA"/>
        </w:rPr>
        <w:t>résultoire</w:t>
      </w:r>
      <w:proofErr w:type="spellEnd"/>
      <w:r w:rsidRPr="00597AF6">
        <w:rPr>
          <w:lang w:val="fr-CA"/>
        </w:rPr>
        <w:t xml:space="preserve"> découlant des circonstances d’achat offre une certitude et une prévisibilité.  M</w:t>
      </w:r>
      <w:r w:rsidR="00AA0516">
        <w:rPr>
          <w:lang w:val="fr-CA"/>
        </w:rPr>
        <w:t>.</w:t>
      </w:r>
      <w:r w:rsidRPr="00597AF6">
        <w:rPr>
          <w:lang w:val="fr-CA"/>
        </w:rPr>
        <w:t xml:space="preserve"> Nishi n’a présenté aucun argument qui justifierait que la Cour renverse sa propre jurisprudence dans ce domaine. </w:t>
      </w:r>
    </w:p>
    <w:p w:rsidR="00591040" w:rsidRPr="00597AF6" w:rsidRDefault="00591040" w:rsidP="00591040">
      <w:pPr>
        <w:pStyle w:val="ParaNoNdepar-AltN"/>
        <w:rPr>
          <w:lang w:val="fr-CA"/>
        </w:rPr>
      </w:pPr>
      <w:r w:rsidRPr="00597AF6">
        <w:rPr>
          <w:lang w:val="fr-CA"/>
        </w:rPr>
        <w:t>La Cour a récemment examiné les circonstances dans lesquelles elle devrait infirmer une décision antérieure </w:t>
      </w:r>
      <w:r w:rsidR="00AA0516">
        <w:rPr>
          <w:lang w:val="fr-CA"/>
        </w:rPr>
        <w:t>(</w:t>
      </w:r>
      <w:r w:rsidRPr="00597AF6">
        <w:rPr>
          <w:i/>
          <w:lang w:val="fr-CA"/>
        </w:rPr>
        <w:t>R. c. Henry</w:t>
      </w:r>
      <w:r w:rsidRPr="00597AF6">
        <w:rPr>
          <w:lang w:val="fr-CA"/>
        </w:rPr>
        <w:t xml:space="preserve">, 2005 CSC 76, [2005] 3 R.C.S. 609; </w:t>
      </w:r>
      <w:r w:rsidRPr="00597AF6">
        <w:rPr>
          <w:i/>
          <w:lang w:val="fr-CA"/>
        </w:rPr>
        <w:t>Ontario (Procureur général) c. Fraser</w:t>
      </w:r>
      <w:r w:rsidRPr="00597AF6">
        <w:rPr>
          <w:lang w:val="fr-CA"/>
        </w:rPr>
        <w:t xml:space="preserve">, 2011 CSC 20, [2011] 2 R.C.S. 3; </w:t>
      </w:r>
      <w:r w:rsidRPr="00597AF6">
        <w:rPr>
          <w:i/>
          <w:lang w:val="fr-CA"/>
        </w:rPr>
        <w:t>Canada c. Craig</w:t>
      </w:r>
      <w:r w:rsidRPr="00597AF6">
        <w:rPr>
          <w:lang w:val="fr-CA"/>
        </w:rPr>
        <w:t>, 2012 CSC 43, [2012] 2 R.C.S. 489</w:t>
      </w:r>
      <w:r w:rsidR="00AA0516">
        <w:rPr>
          <w:lang w:val="fr-CA"/>
        </w:rPr>
        <w:t>)</w:t>
      </w:r>
      <w:r w:rsidRPr="00597AF6">
        <w:rPr>
          <w:lang w:val="fr-CA"/>
        </w:rPr>
        <w:t>.  Il est préférable de ne pas s’écarter des précédents à moins de raisons impérieuses </w:t>
      </w:r>
      <w:r w:rsidR="00AA0516">
        <w:rPr>
          <w:lang w:val="fr-CA"/>
        </w:rPr>
        <w:t>(</w:t>
      </w:r>
      <w:r w:rsidRPr="00597AF6">
        <w:rPr>
          <w:i/>
          <w:lang w:val="fr-CA"/>
        </w:rPr>
        <w:t>Henry</w:t>
      </w:r>
      <w:r w:rsidRPr="00597AF6">
        <w:rPr>
          <w:lang w:val="fr-CA"/>
        </w:rPr>
        <w:t>, par. 44</w:t>
      </w:r>
      <w:r w:rsidR="00AA0516">
        <w:rPr>
          <w:lang w:val="fr-CA"/>
        </w:rPr>
        <w:t>)</w:t>
      </w:r>
      <w:r w:rsidRPr="00597AF6">
        <w:rPr>
          <w:lang w:val="fr-CA"/>
        </w:rPr>
        <w:t>.  La Cour fait preuve de prudence avant d’infirmer des décisions qui expriment l’avis de majorités claires, surtout quand ces décisions sont récentes </w:t>
      </w:r>
      <w:r w:rsidR="00AA0516">
        <w:rPr>
          <w:lang w:val="fr-CA"/>
        </w:rPr>
        <w:t>(</w:t>
      </w:r>
      <w:r w:rsidRPr="00597AF6">
        <w:rPr>
          <w:i/>
          <w:lang w:val="fr-CA"/>
        </w:rPr>
        <w:t>Fraser</w:t>
      </w:r>
      <w:r w:rsidRPr="00597AF6">
        <w:rPr>
          <w:lang w:val="fr-CA"/>
        </w:rPr>
        <w:t>, par. 57</w:t>
      </w:r>
      <w:r w:rsidR="00AA0516">
        <w:rPr>
          <w:lang w:val="fr-CA"/>
        </w:rPr>
        <w:t>)</w:t>
      </w:r>
      <w:r w:rsidRPr="00597AF6">
        <w:rPr>
          <w:lang w:val="fr-CA"/>
        </w:rPr>
        <w:t xml:space="preserve">. </w:t>
      </w:r>
    </w:p>
    <w:p w:rsidR="00591040" w:rsidRPr="00597AF6" w:rsidRDefault="00591040" w:rsidP="00591040">
      <w:pPr>
        <w:pStyle w:val="ParaNoNdepar-AltN"/>
        <w:rPr>
          <w:lang w:val="fr-CA"/>
        </w:rPr>
      </w:pPr>
      <w:r w:rsidRPr="00597AF6">
        <w:rPr>
          <w:lang w:val="fr-CA"/>
        </w:rPr>
        <w:t xml:space="preserve">En l’espèce, M. Nishi demande à la Cour de s’écarter de </w:t>
      </w:r>
      <w:r w:rsidRPr="00597AF6">
        <w:rPr>
          <w:i/>
          <w:lang w:val="fr-CA"/>
        </w:rPr>
        <w:t xml:space="preserve">Kerr </w:t>
      </w:r>
      <w:r w:rsidRPr="00597AF6">
        <w:rPr>
          <w:lang w:val="fr-CA"/>
        </w:rPr>
        <w:t xml:space="preserve">et de </w:t>
      </w:r>
      <w:proofErr w:type="spellStart"/>
      <w:r w:rsidRPr="00597AF6">
        <w:rPr>
          <w:i/>
          <w:lang w:val="fr-CA"/>
        </w:rPr>
        <w:t>Pecore</w:t>
      </w:r>
      <w:proofErr w:type="spellEnd"/>
      <w:r w:rsidRPr="00597AF6">
        <w:rPr>
          <w:i/>
          <w:lang w:val="fr-CA"/>
        </w:rPr>
        <w:t xml:space="preserve"> c. </w:t>
      </w:r>
      <w:proofErr w:type="spellStart"/>
      <w:r w:rsidRPr="00597AF6">
        <w:rPr>
          <w:i/>
          <w:lang w:val="fr-CA"/>
        </w:rPr>
        <w:t>Pecore</w:t>
      </w:r>
      <w:proofErr w:type="spellEnd"/>
      <w:r w:rsidRPr="00597AF6">
        <w:rPr>
          <w:lang w:val="fr-CA"/>
        </w:rPr>
        <w:t xml:space="preserve">, 2007 CSC 17, [2007] 1 R.C.S. 795, deux pourvois récemment adoptés à l’unanimité ou par une majorité claire.  Ces décisions représentent seulement les plus récentes applications d’une doctrine établie depuis longtemps.  Rien ne démontre concrètement que la fiducie </w:t>
      </w:r>
      <w:proofErr w:type="spellStart"/>
      <w:r w:rsidRPr="00597AF6">
        <w:rPr>
          <w:lang w:val="fr-CA"/>
        </w:rPr>
        <w:t>résultoire</w:t>
      </w:r>
      <w:proofErr w:type="spellEnd"/>
      <w:r w:rsidRPr="00597AF6">
        <w:rPr>
          <w:lang w:val="fr-CA"/>
        </w:rPr>
        <w:t xml:space="preserve"> découlant des circonstances d’achat soit inapplicable ou qu’elle ait entraîné des résultats inadmissibles </w:t>
      </w:r>
      <w:r w:rsidR="00AA0516">
        <w:rPr>
          <w:lang w:val="fr-CA"/>
        </w:rPr>
        <w:t>(</w:t>
      </w:r>
      <w:r w:rsidRPr="00597AF6">
        <w:rPr>
          <w:i/>
          <w:lang w:val="fr-CA"/>
        </w:rPr>
        <w:t>Fraser</w:t>
      </w:r>
      <w:r w:rsidRPr="00597AF6">
        <w:rPr>
          <w:lang w:val="fr-CA"/>
        </w:rPr>
        <w:t>, par. 83</w:t>
      </w:r>
      <w:r w:rsidR="00AA0516">
        <w:rPr>
          <w:lang w:val="fr-CA"/>
        </w:rPr>
        <w:t>)</w:t>
      </w:r>
      <w:r w:rsidRPr="00597AF6">
        <w:rPr>
          <w:lang w:val="fr-CA"/>
        </w:rPr>
        <w:t>.  M</w:t>
      </w:r>
      <w:r w:rsidR="00AA0516">
        <w:rPr>
          <w:lang w:val="fr-CA"/>
        </w:rPr>
        <w:t>.</w:t>
      </w:r>
      <w:r w:rsidRPr="00597AF6">
        <w:rPr>
          <w:lang w:val="fr-CA"/>
        </w:rPr>
        <w:t xml:space="preserve"> Nishi n’a pas non plus démontré que le principe de la fiducie </w:t>
      </w:r>
      <w:proofErr w:type="spellStart"/>
      <w:r w:rsidRPr="00597AF6">
        <w:rPr>
          <w:lang w:val="fr-CA"/>
        </w:rPr>
        <w:t>résultoire</w:t>
      </w:r>
      <w:proofErr w:type="spellEnd"/>
      <w:r w:rsidRPr="00597AF6">
        <w:rPr>
          <w:lang w:val="fr-CA"/>
        </w:rPr>
        <w:t xml:space="preserve"> découlant des circonstances d’achat ait été « atténué ou ébranlé par d’autres décisions </w:t>
      </w:r>
      <w:r w:rsidRPr="00597AF6">
        <w:rPr>
          <w:lang w:val="fr-CA"/>
        </w:rPr>
        <w:lastRenderedPageBreak/>
        <w:t>de notre Cour ou d’autres cours d’appel » (</w:t>
      </w:r>
      <w:r w:rsidRPr="00597AF6">
        <w:rPr>
          <w:i/>
          <w:lang w:val="fr-CA"/>
        </w:rPr>
        <w:t>R. c. B. (K.G.)</w:t>
      </w:r>
      <w:r w:rsidRPr="00597AF6">
        <w:rPr>
          <w:lang w:val="fr-CA"/>
        </w:rPr>
        <w:t>, [1993] 1 R.C.S. 740, p. 778).</w:t>
      </w:r>
    </w:p>
    <w:p w:rsidR="00591040" w:rsidRPr="00597AF6" w:rsidRDefault="00591040" w:rsidP="00591040">
      <w:pPr>
        <w:pStyle w:val="ParaNoNdepar-AltN"/>
        <w:rPr>
          <w:lang w:val="fr-CA"/>
        </w:rPr>
      </w:pPr>
      <w:r w:rsidRPr="00597AF6">
        <w:rPr>
          <w:lang w:val="fr-CA"/>
        </w:rPr>
        <w:t>M</w:t>
      </w:r>
      <w:r w:rsidR="00AA0516">
        <w:rPr>
          <w:lang w:val="fr-CA"/>
        </w:rPr>
        <w:t xml:space="preserve">. </w:t>
      </w:r>
      <w:r w:rsidRPr="00597AF6">
        <w:rPr>
          <w:lang w:val="fr-CA"/>
        </w:rPr>
        <w:t xml:space="preserve">Nishi propose quatre raisons d’abandonner le principe de la fiducie </w:t>
      </w:r>
      <w:proofErr w:type="spellStart"/>
      <w:r w:rsidRPr="00597AF6">
        <w:rPr>
          <w:lang w:val="fr-CA"/>
        </w:rPr>
        <w:t>résultoire</w:t>
      </w:r>
      <w:proofErr w:type="spellEnd"/>
      <w:r w:rsidRPr="00597AF6">
        <w:rPr>
          <w:lang w:val="fr-CA"/>
        </w:rPr>
        <w:t xml:space="preserve"> découlant des circonstances d’achat et, de façon plus générale, la fiducie </w:t>
      </w:r>
      <w:proofErr w:type="spellStart"/>
      <w:r w:rsidRPr="00597AF6">
        <w:rPr>
          <w:lang w:val="fr-CA"/>
        </w:rPr>
        <w:t>résultoire</w:t>
      </w:r>
      <w:proofErr w:type="spellEnd"/>
      <w:r w:rsidRPr="00597AF6">
        <w:rPr>
          <w:lang w:val="fr-CA"/>
        </w:rPr>
        <w:t xml:space="preserve"> découlant d’un transfert à titre gratuit : le chevauchement de la doctrine de l’enrichissement injustifié pour ce qui est de l’objet, le cadre trop restrictif en ce qui concerne les types d’intention qui motivent les opérations, l’absence de souplesse dans les réparations possibles, et une absence générale de souplesse dans l’analyse de ce type de fiducie </w:t>
      </w:r>
      <w:proofErr w:type="spellStart"/>
      <w:r w:rsidRPr="00597AF6">
        <w:rPr>
          <w:lang w:val="fr-CA"/>
        </w:rPr>
        <w:t>résultoire</w:t>
      </w:r>
      <w:proofErr w:type="spellEnd"/>
      <w:r w:rsidRPr="00597AF6">
        <w:rPr>
          <w:lang w:val="fr-CA"/>
        </w:rPr>
        <w:t xml:space="preserve"> par rapport à la souplesse que permet l’analyse de l’enrichissement injustifié. </w:t>
      </w:r>
    </w:p>
    <w:p w:rsidR="00591040" w:rsidRPr="00597AF6" w:rsidRDefault="00591040" w:rsidP="00591040">
      <w:pPr>
        <w:pStyle w:val="ParaNoNdepar-AltN"/>
        <w:rPr>
          <w:lang w:val="fr-CA"/>
        </w:rPr>
      </w:pPr>
      <w:r w:rsidRPr="00597AF6">
        <w:rPr>
          <w:lang w:val="fr-CA"/>
        </w:rPr>
        <w:t xml:space="preserve">Selon le premier argument de M. Nishi, puisque la fiducie </w:t>
      </w:r>
      <w:proofErr w:type="spellStart"/>
      <w:r w:rsidRPr="00597AF6">
        <w:rPr>
          <w:lang w:val="fr-CA"/>
        </w:rPr>
        <w:t>résultoire</w:t>
      </w:r>
      <w:proofErr w:type="spellEnd"/>
      <w:r w:rsidRPr="00597AF6">
        <w:rPr>
          <w:lang w:val="fr-CA"/>
        </w:rPr>
        <w:t xml:space="preserve"> découlant des circonstances d’achat constitue essentiellement une réponse à l’enrichissement injustifié, il n’est pas nécessaire de la conserver à titre de doctrine distincte.  Même si ce type de fiducie est considéré comme un concept de nature fondamentalement </w:t>
      </w:r>
      <w:proofErr w:type="spellStart"/>
      <w:r w:rsidRPr="00597AF6">
        <w:rPr>
          <w:lang w:val="fr-CA"/>
        </w:rPr>
        <w:t>réparatoire</w:t>
      </w:r>
      <w:proofErr w:type="spellEnd"/>
      <w:r w:rsidRPr="00597AF6">
        <w:rPr>
          <w:lang w:val="fr-CA"/>
        </w:rPr>
        <w:t>, je ne retiendrais pas cet argument.  M</w:t>
      </w:r>
      <w:r w:rsidR="00AA0516">
        <w:rPr>
          <w:lang w:val="fr-CA"/>
        </w:rPr>
        <w:t xml:space="preserve">. </w:t>
      </w:r>
      <w:r w:rsidRPr="00597AF6">
        <w:rPr>
          <w:lang w:val="fr-CA"/>
        </w:rPr>
        <w:t xml:space="preserve">Nishi semble avoir invoqué cet argument de manière expéditive et, en l’absence de préjudice, confusion ou autre désavantage, je ne suis pas convaincu que le chevauchement conceptuel justifie l’abandon du principe de la fiducie </w:t>
      </w:r>
      <w:proofErr w:type="spellStart"/>
      <w:r w:rsidRPr="00597AF6">
        <w:rPr>
          <w:lang w:val="fr-CA"/>
        </w:rPr>
        <w:t>résultoire</w:t>
      </w:r>
      <w:proofErr w:type="spellEnd"/>
      <w:r w:rsidRPr="00597AF6">
        <w:rPr>
          <w:lang w:val="fr-CA"/>
        </w:rPr>
        <w:t xml:space="preserve"> découlant des circonstances d’achat.  Cela est particulièrement vrai si l’on tient compte du fait que ce type de fiducie est, depuis au moins 1788, un élément de la </w:t>
      </w:r>
      <w:proofErr w:type="spellStart"/>
      <w:r w:rsidRPr="00597AF6">
        <w:rPr>
          <w:lang w:val="fr-CA"/>
        </w:rPr>
        <w:t>common</w:t>
      </w:r>
      <w:proofErr w:type="spellEnd"/>
      <w:r w:rsidRPr="00597AF6">
        <w:rPr>
          <w:lang w:val="fr-CA"/>
        </w:rPr>
        <w:t xml:space="preserve"> </w:t>
      </w:r>
      <w:proofErr w:type="spellStart"/>
      <w:r w:rsidRPr="00597AF6">
        <w:rPr>
          <w:lang w:val="fr-CA"/>
        </w:rPr>
        <w:t>law</w:t>
      </w:r>
      <w:proofErr w:type="spellEnd"/>
      <w:r w:rsidRPr="00597AF6">
        <w:rPr>
          <w:lang w:val="fr-CA"/>
        </w:rPr>
        <w:t xml:space="preserve"> qui offre </w:t>
      </w:r>
      <w:r w:rsidRPr="00597AF6">
        <w:rPr>
          <w:lang w:val="fr-CA"/>
        </w:rPr>
        <w:lastRenderedPageBreak/>
        <w:t xml:space="preserve">une certitude et une prévisibilité lorsqu’une personne a fait une avance de fonds à titre gratuit. </w:t>
      </w:r>
    </w:p>
    <w:p w:rsidR="00591040" w:rsidRPr="00597AF6" w:rsidRDefault="00591040" w:rsidP="00591040">
      <w:pPr>
        <w:pStyle w:val="ParaNoNdepar-AltN"/>
        <w:rPr>
          <w:lang w:val="fr-CA"/>
        </w:rPr>
      </w:pPr>
      <w:r w:rsidRPr="00597AF6">
        <w:rPr>
          <w:lang w:val="fr-CA"/>
        </w:rPr>
        <w:t xml:space="preserve">Le deuxième argument de M. Nishi — selon lequel les fiducies </w:t>
      </w:r>
      <w:proofErr w:type="spellStart"/>
      <w:r w:rsidRPr="00597AF6">
        <w:rPr>
          <w:lang w:val="fr-CA"/>
        </w:rPr>
        <w:t>résultoires</w:t>
      </w:r>
      <w:proofErr w:type="spellEnd"/>
      <w:r w:rsidRPr="00597AF6">
        <w:rPr>
          <w:lang w:val="fr-CA"/>
        </w:rPr>
        <w:t xml:space="preserve"> découlant des circonstances d’achat prévoient un cadre trop restrictif en ce qui concerne les types d’intentions qui motivent les opérations — doit être rejeté parce qu’il est fondé sur une interprétation trop étroite de la portée des donations en droit.  Il est plus approprié de dissiper les craintes de M. Nish</w:t>
      </w:r>
      <w:r w:rsidR="00E7379B">
        <w:rPr>
          <w:lang w:val="fr-CA"/>
        </w:rPr>
        <w:t>i relatives à la façon dont la C</w:t>
      </w:r>
      <w:r w:rsidRPr="00597AF6">
        <w:rPr>
          <w:lang w:val="fr-CA"/>
        </w:rPr>
        <w:t>our d’appel a appliqué ce critère aux faits de l’espèce en examinant le sens juridique du mot « donation ».  Ainsi que nous le verrons plus en détail, le concept juridique de la donation est assez vaste pour inclure le type d’avance versée en l’espèce.  En droit, une donation n’exige pas l’existence d’une intention philanthropique.  La dichotomie opposant fiducie et donation, comme la décrit M. Nishi, n’est pas restrictive.  Elle reflète plutôt le fait qu’au moment de faire un transfert d’un bien à titre gratuit, l’auteur du transfert devait avoir eu l’intention soit de céder l’intérêt bénéficiaire (donation), soit de le garder (fiducie).</w:t>
      </w:r>
    </w:p>
    <w:p w:rsidR="00591040" w:rsidRPr="00597AF6" w:rsidRDefault="00591040" w:rsidP="00591040">
      <w:pPr>
        <w:pStyle w:val="ParaNoNdepar-AltN"/>
        <w:rPr>
          <w:lang w:val="fr-CA"/>
        </w:rPr>
      </w:pPr>
      <w:r w:rsidRPr="00597AF6">
        <w:rPr>
          <w:lang w:val="fr-CA"/>
        </w:rPr>
        <w:t xml:space="preserve">Les troisième et quatrième arguments de M. Nishi peuvent être examinés ensemble.  Essentiellement, M. Nishi soutient qu’il vaut mieux appliquer la doctrine de l’enrichissement injustifié parce qu’elle offre de la souplesse pour ce qui est des facteurs dont il faut tenir compte, qu’elle vise généralement à permettre aux parties d’obtenir justice et qu’elle donne ouverture à des mesures correctives plus larges.  Cependant, le désir de souplesse ne constitue pas une raison impérieuse de s’écarter </w:t>
      </w:r>
      <w:r w:rsidRPr="00597AF6">
        <w:rPr>
          <w:lang w:val="fr-CA"/>
        </w:rPr>
        <w:lastRenderedPageBreak/>
        <w:t xml:space="preserve">de la décision unanime rendue par notre Cour dans </w:t>
      </w:r>
      <w:r w:rsidRPr="00597AF6">
        <w:rPr>
          <w:i/>
          <w:lang w:val="fr-CA"/>
        </w:rPr>
        <w:t>Kerr</w:t>
      </w:r>
      <w:r w:rsidRPr="00597AF6">
        <w:rPr>
          <w:lang w:val="fr-CA"/>
        </w:rPr>
        <w:t xml:space="preserve">, publié il y a deux ans seulement.  Bien que la souplesse soit certainement souhaitable dans certains domaines du droit, la fiducie </w:t>
      </w:r>
      <w:proofErr w:type="spellStart"/>
      <w:r w:rsidRPr="00597AF6">
        <w:rPr>
          <w:lang w:val="fr-CA"/>
        </w:rPr>
        <w:t>résultoire</w:t>
      </w:r>
      <w:proofErr w:type="spellEnd"/>
      <w:r w:rsidRPr="00597AF6">
        <w:rPr>
          <w:lang w:val="fr-CA"/>
        </w:rPr>
        <w:t xml:space="preserve"> découlant des circonstances d’achat offre une certitude et une prévisibilité du fait qu’elle est fondée sur une règle claire permettant de déterminer qui détient l’intérêt bénéficiaire sur un bien.  En l’absence d’opinions fortement dissidentes exprimées au sein de notre Cour, de décisions contradictoires rendues par les cours d’appel provinciales ou d’une doctrine défavorable importante qui justifieraient que soit modifié un domaine du droit si bien établi, il n’y a aucune raison d’abandonner la fiducie </w:t>
      </w:r>
      <w:proofErr w:type="spellStart"/>
      <w:r w:rsidRPr="00597AF6">
        <w:rPr>
          <w:lang w:val="fr-CA"/>
        </w:rPr>
        <w:t>résultoire</w:t>
      </w:r>
      <w:proofErr w:type="spellEnd"/>
      <w:r w:rsidRPr="00597AF6">
        <w:rPr>
          <w:lang w:val="fr-CA"/>
        </w:rPr>
        <w:t xml:space="preserve"> découlant des circonstances d’achat.  </w:t>
      </w:r>
    </w:p>
    <w:p w:rsidR="00591040" w:rsidRPr="00597AF6" w:rsidRDefault="00591040" w:rsidP="00AA0516">
      <w:pPr>
        <w:pStyle w:val="TitleTitre-AltT"/>
        <w:keepNext/>
        <w:tabs>
          <w:tab w:val="clear" w:pos="360"/>
        </w:tabs>
        <w:ind w:left="540" w:hanging="540"/>
        <w:rPr>
          <w:i/>
          <w:lang w:val="fr-CA"/>
        </w:rPr>
      </w:pPr>
      <w:r w:rsidRPr="00597AF6">
        <w:rPr>
          <w:lang w:val="fr-CA"/>
        </w:rPr>
        <w:t>B.</w:t>
      </w:r>
      <w:r w:rsidRPr="00597AF6">
        <w:rPr>
          <w:lang w:val="fr-CA"/>
        </w:rPr>
        <w:tab/>
      </w:r>
      <w:r w:rsidR="009351B8">
        <w:rPr>
          <w:i/>
          <w:lang w:val="fr-CA"/>
        </w:rPr>
        <w:t>Est-</w:t>
      </w:r>
      <w:r w:rsidRPr="00597AF6">
        <w:rPr>
          <w:i/>
          <w:lang w:val="fr-CA"/>
        </w:rPr>
        <w:t xml:space="preserve">ce qu’une fiducie </w:t>
      </w:r>
      <w:proofErr w:type="spellStart"/>
      <w:r w:rsidRPr="00597AF6">
        <w:rPr>
          <w:i/>
          <w:lang w:val="fr-CA"/>
        </w:rPr>
        <w:t>résultoire</w:t>
      </w:r>
      <w:proofErr w:type="spellEnd"/>
      <w:r w:rsidRPr="00597AF6">
        <w:rPr>
          <w:i/>
          <w:lang w:val="fr-CA"/>
        </w:rPr>
        <w:t xml:space="preserve"> a été créée en faveur de </w:t>
      </w:r>
      <w:proofErr w:type="spellStart"/>
      <w:r w:rsidRPr="00597AF6">
        <w:rPr>
          <w:i/>
          <w:lang w:val="fr-CA"/>
        </w:rPr>
        <w:t>Rascal</w:t>
      </w:r>
      <w:proofErr w:type="spellEnd"/>
      <w:r w:rsidRPr="00597AF6">
        <w:rPr>
          <w:i/>
          <w:lang w:val="fr-CA"/>
        </w:rPr>
        <w:t>?</w:t>
      </w:r>
    </w:p>
    <w:p w:rsidR="00591040" w:rsidRPr="00597AF6" w:rsidRDefault="00591040" w:rsidP="00591040">
      <w:pPr>
        <w:pStyle w:val="ParaNoNdepar-AltN"/>
        <w:rPr>
          <w:lang w:val="fr-CA"/>
        </w:rPr>
      </w:pPr>
      <w:r w:rsidRPr="00597AF6">
        <w:rPr>
          <w:lang w:val="fr-CA"/>
        </w:rPr>
        <w:t xml:space="preserve">La contribution de </w:t>
      </w:r>
      <w:proofErr w:type="spellStart"/>
      <w:r w:rsidRPr="00597AF6">
        <w:rPr>
          <w:lang w:val="fr-CA"/>
        </w:rPr>
        <w:t>Rascal</w:t>
      </w:r>
      <w:proofErr w:type="spellEnd"/>
      <w:r w:rsidRPr="00597AF6">
        <w:rPr>
          <w:lang w:val="fr-CA"/>
        </w:rPr>
        <w:t xml:space="preserve"> à l’achat de la propriété a été faite sans contrepartie et </w:t>
      </w:r>
      <w:proofErr w:type="spellStart"/>
      <w:r w:rsidRPr="00597AF6">
        <w:rPr>
          <w:lang w:val="fr-CA"/>
        </w:rPr>
        <w:t>Rascal</w:t>
      </w:r>
      <w:proofErr w:type="spellEnd"/>
      <w:r w:rsidRPr="00597AF6">
        <w:rPr>
          <w:lang w:val="fr-CA"/>
        </w:rPr>
        <w:t xml:space="preserve"> et M. Nishi n’étaient pas apparentés.  Par conséquent, la présomption légale de fiducie </w:t>
      </w:r>
      <w:proofErr w:type="spellStart"/>
      <w:r w:rsidRPr="00597AF6">
        <w:rPr>
          <w:lang w:val="fr-CA"/>
        </w:rPr>
        <w:t>résultoire</w:t>
      </w:r>
      <w:proofErr w:type="spellEnd"/>
      <w:r w:rsidRPr="00597AF6">
        <w:rPr>
          <w:lang w:val="fr-CA"/>
        </w:rPr>
        <w:t xml:space="preserve"> s’applique </w:t>
      </w:r>
      <w:r w:rsidR="00AA0516">
        <w:rPr>
          <w:lang w:val="fr-CA"/>
        </w:rPr>
        <w:t>(</w:t>
      </w:r>
      <w:proofErr w:type="spellStart"/>
      <w:r w:rsidRPr="00597AF6">
        <w:rPr>
          <w:i/>
          <w:lang w:val="fr-CA"/>
        </w:rPr>
        <w:t>Pecore</w:t>
      </w:r>
      <w:proofErr w:type="spellEnd"/>
      <w:r w:rsidRPr="00597AF6">
        <w:rPr>
          <w:lang w:val="fr-CA"/>
        </w:rPr>
        <w:t>, par. 24 et 27</w:t>
      </w:r>
      <w:r w:rsidR="00AA0516">
        <w:rPr>
          <w:lang w:val="fr-CA"/>
        </w:rPr>
        <w:t>)</w:t>
      </w:r>
      <w:r w:rsidRPr="00597AF6">
        <w:rPr>
          <w:lang w:val="fr-CA"/>
        </w:rPr>
        <w:t>.  Il en est ainsi parce que, dans de telles circonstances, l’</w:t>
      </w:r>
      <w:proofErr w:type="spellStart"/>
      <w:r w:rsidRPr="00597AF6">
        <w:rPr>
          <w:lang w:val="fr-CA"/>
        </w:rPr>
        <w:t>equity</w:t>
      </w:r>
      <w:proofErr w:type="spellEnd"/>
      <w:r w:rsidRPr="00597AF6">
        <w:rPr>
          <w:lang w:val="fr-CA"/>
        </w:rPr>
        <w:t xml:space="preserve"> présume l’existence d’un marché, et non d’une donation </w:t>
      </w:r>
      <w:r w:rsidR="00AA0516">
        <w:rPr>
          <w:lang w:val="fr-CA"/>
        </w:rPr>
        <w:t>(</w:t>
      </w:r>
      <w:proofErr w:type="spellStart"/>
      <w:r w:rsidRPr="00597AF6">
        <w:rPr>
          <w:i/>
          <w:lang w:val="fr-CA"/>
        </w:rPr>
        <w:t>Pecore</w:t>
      </w:r>
      <w:proofErr w:type="spellEnd"/>
      <w:r w:rsidRPr="00597AF6">
        <w:rPr>
          <w:lang w:val="fr-CA"/>
        </w:rPr>
        <w:t>, par. 24</w:t>
      </w:r>
      <w:r w:rsidR="00AA0516">
        <w:rPr>
          <w:lang w:val="fr-CA"/>
        </w:rPr>
        <w:t>)</w:t>
      </w:r>
      <w:r w:rsidRPr="00597AF6">
        <w:rPr>
          <w:lang w:val="fr-CA"/>
        </w:rPr>
        <w:t xml:space="preserve">.  Dans le contexte d’une fiducie </w:t>
      </w:r>
      <w:proofErr w:type="spellStart"/>
      <w:r w:rsidRPr="00597AF6">
        <w:rPr>
          <w:lang w:val="fr-CA"/>
        </w:rPr>
        <w:t>résultoire</w:t>
      </w:r>
      <w:proofErr w:type="spellEnd"/>
      <w:r w:rsidRPr="00597AF6">
        <w:rPr>
          <w:lang w:val="fr-CA"/>
        </w:rPr>
        <w:t xml:space="preserve"> découlant des circonstances d’achat, il est présumé que la personne qui a avancé le prix d’achat du bien avait l’intention d’acquérir l’intérêt bénéficiaire sur ce bien au prorata de sa contribution </w:t>
      </w:r>
      <w:r w:rsidR="00AA0516">
        <w:rPr>
          <w:lang w:val="fr-CA"/>
        </w:rPr>
        <w:t>(</w:t>
      </w:r>
      <w:r w:rsidRPr="00597AF6">
        <w:rPr>
          <w:lang w:val="fr-CA"/>
        </w:rPr>
        <w:t xml:space="preserve">voir </w:t>
      </w:r>
      <w:r w:rsidRPr="00597AF6">
        <w:rPr>
          <w:i/>
          <w:lang w:val="fr-CA"/>
        </w:rPr>
        <w:t>Waters’ Law of Trusts in Canada</w:t>
      </w:r>
      <w:r w:rsidRPr="00597AF6">
        <w:rPr>
          <w:lang w:val="fr-CA"/>
        </w:rPr>
        <w:t>, p. 401</w:t>
      </w:r>
      <w:r w:rsidR="00AA0516">
        <w:rPr>
          <w:lang w:val="fr-CA"/>
        </w:rPr>
        <w:t>)</w:t>
      </w:r>
      <w:r w:rsidRPr="00597AF6">
        <w:rPr>
          <w:lang w:val="fr-CA"/>
        </w:rPr>
        <w:t xml:space="preserve">. </w:t>
      </w:r>
    </w:p>
    <w:p w:rsidR="00591040" w:rsidRPr="00597AF6" w:rsidRDefault="00591040" w:rsidP="00591040">
      <w:pPr>
        <w:pStyle w:val="ParaNoNdepar-AltN"/>
        <w:rPr>
          <w:lang w:val="fr-CA"/>
        </w:rPr>
      </w:pPr>
      <w:r w:rsidRPr="00597AF6">
        <w:rPr>
          <w:lang w:val="fr-CA"/>
        </w:rPr>
        <w:t xml:space="preserve">La présomption de fiducie </w:t>
      </w:r>
      <w:proofErr w:type="spellStart"/>
      <w:r w:rsidRPr="00597AF6">
        <w:rPr>
          <w:lang w:val="fr-CA"/>
        </w:rPr>
        <w:t>résultoire</w:t>
      </w:r>
      <w:proofErr w:type="spellEnd"/>
      <w:r w:rsidRPr="00597AF6">
        <w:rPr>
          <w:lang w:val="fr-CA"/>
        </w:rPr>
        <w:t xml:space="preserve"> peut toutefois être réfutée si la personne qui a reçu le bien prouve, selon la prépondérance des probabilités, que la personne qui a avancé les fonds voulait faire une donation </w:t>
      </w:r>
      <w:r w:rsidR="00AA0516">
        <w:rPr>
          <w:lang w:val="fr-CA"/>
        </w:rPr>
        <w:t>(</w:t>
      </w:r>
      <w:proofErr w:type="spellStart"/>
      <w:r w:rsidRPr="00597AF6">
        <w:rPr>
          <w:i/>
          <w:lang w:val="fr-CA"/>
        </w:rPr>
        <w:t>Pecore</w:t>
      </w:r>
      <w:proofErr w:type="spellEnd"/>
      <w:r w:rsidRPr="00597AF6">
        <w:rPr>
          <w:lang w:val="fr-CA"/>
        </w:rPr>
        <w:t>, par. 24 et 44</w:t>
      </w:r>
      <w:r w:rsidR="00AA0516">
        <w:rPr>
          <w:lang w:val="fr-CA"/>
        </w:rPr>
        <w:t>)</w:t>
      </w:r>
      <w:r w:rsidRPr="00597AF6">
        <w:rPr>
          <w:lang w:val="fr-CA"/>
        </w:rPr>
        <w:t xml:space="preserve">.  </w:t>
      </w:r>
      <w:r w:rsidRPr="00597AF6">
        <w:rPr>
          <w:lang w:val="fr-CA"/>
        </w:rPr>
        <w:lastRenderedPageBreak/>
        <w:t>L’intention pertinente est celle de la personne qui a avancé les f</w:t>
      </w:r>
      <w:r w:rsidR="009A13CC">
        <w:rPr>
          <w:lang w:val="fr-CA"/>
        </w:rPr>
        <w:t xml:space="preserve">onds au moment où elle l’a fait </w:t>
      </w:r>
      <w:r w:rsidR="00AA0516">
        <w:rPr>
          <w:lang w:val="fr-CA"/>
        </w:rPr>
        <w:t>(</w:t>
      </w:r>
      <w:proofErr w:type="spellStart"/>
      <w:r w:rsidRPr="00597AF6">
        <w:rPr>
          <w:i/>
          <w:lang w:val="fr-CA"/>
        </w:rPr>
        <w:t>Pecore</w:t>
      </w:r>
      <w:proofErr w:type="spellEnd"/>
      <w:r w:rsidRPr="00597AF6">
        <w:rPr>
          <w:lang w:val="fr-CA"/>
        </w:rPr>
        <w:t>, par. 59</w:t>
      </w:r>
      <w:r w:rsidR="00AA0516">
        <w:rPr>
          <w:lang w:val="fr-CA"/>
        </w:rPr>
        <w:t>)</w:t>
      </w:r>
      <w:r w:rsidRPr="00597AF6">
        <w:rPr>
          <w:lang w:val="fr-CA"/>
        </w:rPr>
        <w:t xml:space="preserve">.  Par conséquent, pour réfuter la présomption en l’espèce, M. Nishi doit prouver que </w:t>
      </w:r>
      <w:proofErr w:type="spellStart"/>
      <w:r w:rsidRPr="00597AF6">
        <w:rPr>
          <w:lang w:val="fr-CA"/>
        </w:rPr>
        <w:t>Rascal</w:t>
      </w:r>
      <w:proofErr w:type="spellEnd"/>
      <w:r w:rsidRPr="00597AF6">
        <w:rPr>
          <w:lang w:val="fr-CA"/>
        </w:rPr>
        <w:t xml:space="preserve"> avait l’intention de faire une donation au moment où elle a fait une contribution au prix d’achat, en mai 2001. </w:t>
      </w:r>
    </w:p>
    <w:p w:rsidR="00591040" w:rsidRPr="00597AF6" w:rsidRDefault="00591040" w:rsidP="00591040">
      <w:pPr>
        <w:pStyle w:val="ParaNoNdepar-AltN"/>
        <w:rPr>
          <w:lang w:val="fr-CA"/>
        </w:rPr>
      </w:pPr>
      <w:r w:rsidRPr="00597AF6">
        <w:rPr>
          <w:lang w:val="fr-CA"/>
        </w:rPr>
        <w:t>À mon avis, le juge de première instance a eu raison de conclure que la présomption a été réfutée en l’espèce.  Sur la télécopie datée du 28 mai 2001, M. </w:t>
      </w:r>
      <w:proofErr w:type="spellStart"/>
      <w:r w:rsidRPr="00597AF6">
        <w:rPr>
          <w:lang w:val="fr-CA"/>
        </w:rPr>
        <w:t>Heringa</w:t>
      </w:r>
      <w:proofErr w:type="spellEnd"/>
      <w:r w:rsidRPr="00597AF6">
        <w:rPr>
          <w:lang w:val="fr-CA"/>
        </w:rPr>
        <w:t xml:space="preserve"> a indiqué que la contribution au prix d’achat et son intention de payer 25 000 $ de l’emprunt hypothécaire étaient [</w:t>
      </w:r>
      <w:r w:rsidRPr="00597AF6">
        <w:rPr>
          <w:smallCaps/>
          <w:lang w:val="fr-CA"/>
        </w:rPr>
        <w:t>traduction</w:t>
      </w:r>
      <w:r w:rsidRPr="00597AF6">
        <w:rPr>
          <w:lang w:val="fr-CA"/>
        </w:rPr>
        <w:t>] « exempt[s] de toute condition ou exigence, et ces directives sont irrévocables » (</w:t>
      </w:r>
      <w:proofErr w:type="gramStart"/>
      <w:r w:rsidRPr="00597AF6">
        <w:rPr>
          <w:lang w:val="fr-CA"/>
        </w:rPr>
        <w:t>d.a.,</w:t>
      </w:r>
      <w:proofErr w:type="gramEnd"/>
      <w:r w:rsidRPr="00597AF6">
        <w:rPr>
          <w:lang w:val="fr-CA"/>
        </w:rPr>
        <w:t xml:space="preserve"> p. 117).  Comme il en sera question plus loin, une contribution au prix d’achat faite sans aucune intention d’imposer des conditions ou des exigences constitue une donation en droit.  M</w:t>
      </w:r>
      <w:r w:rsidR="00AA0516">
        <w:rPr>
          <w:lang w:val="fr-CA"/>
        </w:rPr>
        <w:t xml:space="preserve">. </w:t>
      </w:r>
      <w:proofErr w:type="spellStart"/>
      <w:r w:rsidRPr="00597AF6">
        <w:rPr>
          <w:lang w:val="fr-CA"/>
        </w:rPr>
        <w:t>Heringa</w:t>
      </w:r>
      <w:proofErr w:type="spellEnd"/>
      <w:r w:rsidRPr="00597AF6">
        <w:rPr>
          <w:lang w:val="fr-CA"/>
        </w:rPr>
        <w:t xml:space="preserve"> a plaidé qu’il y avait soit une entente selon laquelle une partie du terrain devait lui être transférée, soit une intention qu’il détienne un intérêt bénéficiaire, mais le juge de première instance a privilégié le témoignage de M. Nishi (par. 40). </w:t>
      </w:r>
    </w:p>
    <w:p w:rsidR="00591040" w:rsidRPr="00597AF6" w:rsidRDefault="00591040" w:rsidP="00591040">
      <w:pPr>
        <w:pStyle w:val="ParaNoNdepar-AltN"/>
        <w:rPr>
          <w:lang w:val="fr-CA"/>
        </w:rPr>
      </w:pPr>
      <w:r w:rsidRPr="00597AF6">
        <w:rPr>
          <w:lang w:val="fr-CA"/>
        </w:rPr>
        <w:t>La Cour d’appel a conclu que les conclusions du juge de première instance selon lesquelles (1) il n’était pas question d’une donation, et (2) l’intention de M. </w:t>
      </w:r>
      <w:proofErr w:type="spellStart"/>
      <w:r w:rsidRPr="00597AF6">
        <w:rPr>
          <w:lang w:val="fr-CA"/>
        </w:rPr>
        <w:t>Heringa</w:t>
      </w:r>
      <w:proofErr w:type="spellEnd"/>
      <w:r w:rsidRPr="00597AF6">
        <w:rPr>
          <w:lang w:val="fr-CA"/>
        </w:rPr>
        <w:t xml:space="preserve"> d’obtenir un intérêt sur la propriété était évidente, signifiaient que la présomption de fiducie </w:t>
      </w:r>
      <w:proofErr w:type="spellStart"/>
      <w:r w:rsidRPr="00597AF6">
        <w:rPr>
          <w:lang w:val="fr-CA"/>
        </w:rPr>
        <w:t>résultoire</w:t>
      </w:r>
      <w:proofErr w:type="spellEnd"/>
      <w:r w:rsidRPr="00597AF6">
        <w:rPr>
          <w:lang w:val="fr-CA"/>
        </w:rPr>
        <w:t xml:space="preserve"> n’avait pas été réfutée.  J’estime que la Cour d’appel a fait erreur en tirant ces conclusions des motifs du juge de première instance en ce qui concerne ces deux questions clés. </w:t>
      </w:r>
    </w:p>
    <w:p w:rsidR="00591040" w:rsidRPr="00597AF6" w:rsidRDefault="00591040" w:rsidP="009351B8">
      <w:pPr>
        <w:pStyle w:val="TitleTitre-AltT"/>
        <w:keepNext/>
        <w:tabs>
          <w:tab w:val="clear" w:pos="360"/>
          <w:tab w:val="left" w:pos="1170"/>
        </w:tabs>
        <w:ind w:left="1710" w:hanging="1710"/>
        <w:rPr>
          <w:u w:val="single"/>
          <w:lang w:val="fr-CA"/>
        </w:rPr>
      </w:pPr>
      <w:r w:rsidRPr="00597AF6">
        <w:rPr>
          <w:lang w:val="fr-CA"/>
        </w:rPr>
        <w:lastRenderedPageBreak/>
        <w:tab/>
        <w:t>(1)</w:t>
      </w:r>
      <w:r w:rsidRPr="00597AF6">
        <w:rPr>
          <w:lang w:val="fr-CA"/>
        </w:rPr>
        <w:tab/>
      </w:r>
      <w:r w:rsidRPr="00597AF6">
        <w:rPr>
          <w:u w:val="single"/>
          <w:lang w:val="fr-CA"/>
        </w:rPr>
        <w:t xml:space="preserve">Le sens de « donation » </w:t>
      </w:r>
    </w:p>
    <w:p w:rsidR="00591040" w:rsidRPr="00597AF6" w:rsidRDefault="00591040" w:rsidP="00591040">
      <w:pPr>
        <w:pStyle w:val="ParaNoNdepar-AltN"/>
        <w:rPr>
          <w:lang w:val="fr-CA"/>
        </w:rPr>
      </w:pPr>
      <w:r w:rsidRPr="00597AF6">
        <w:rPr>
          <w:lang w:val="fr-CA"/>
        </w:rPr>
        <w:t>Le juge de première instance a conclu qu’il n’était [</w:t>
      </w:r>
      <w:r w:rsidRPr="00597AF6">
        <w:rPr>
          <w:smallCaps/>
          <w:lang w:val="fr-CA"/>
        </w:rPr>
        <w:t>traduction</w:t>
      </w:r>
      <w:r w:rsidRPr="00597AF6">
        <w:rPr>
          <w:lang w:val="fr-CA"/>
        </w:rPr>
        <w:t xml:space="preserve">] « pas question d’une donation » (par. 42).  Selon la Cour d’appel, cela signifiait que la présomption de fiducie </w:t>
      </w:r>
      <w:proofErr w:type="spellStart"/>
      <w:r w:rsidRPr="00597AF6">
        <w:rPr>
          <w:lang w:val="fr-CA"/>
        </w:rPr>
        <w:t>résultoire</w:t>
      </w:r>
      <w:proofErr w:type="spellEnd"/>
      <w:r w:rsidRPr="00597AF6">
        <w:rPr>
          <w:lang w:val="fr-CA"/>
        </w:rPr>
        <w:t xml:space="preserve"> n’avait donc pas été réfutée puisque, pour la réfuter, M. Nishi devait prouver que la contribution était une donation.  À mon humble avis, la Cour d’appel a commis une erreur en examinant cette déclaration en vase clos et en la considérant comme concluante quant au raisonnement du juge de première instance. </w:t>
      </w:r>
    </w:p>
    <w:p w:rsidR="00591040" w:rsidRPr="00597AF6" w:rsidRDefault="00591040" w:rsidP="00591040">
      <w:pPr>
        <w:pStyle w:val="ParaNoNdepar-AltN"/>
        <w:rPr>
          <w:lang w:val="fr-CA"/>
        </w:rPr>
      </w:pPr>
      <w:r w:rsidRPr="00597AF6">
        <w:rPr>
          <w:szCs w:val="24"/>
          <w:lang w:val="fr-CA"/>
        </w:rPr>
        <w:t>Dans ses motifs, tout de suite après avoir affirmé qu’il n’était [</w:t>
      </w:r>
      <w:r w:rsidRPr="00597AF6">
        <w:rPr>
          <w:smallCaps/>
          <w:szCs w:val="24"/>
          <w:lang w:val="fr-CA"/>
        </w:rPr>
        <w:t>traduction</w:t>
      </w:r>
      <w:r w:rsidRPr="00597AF6">
        <w:rPr>
          <w:szCs w:val="24"/>
          <w:lang w:val="fr-CA"/>
        </w:rPr>
        <w:t>] « pas question d’une donation », le juge de première instance affirme que « </w:t>
      </w:r>
      <w:r w:rsidR="00AA0516">
        <w:rPr>
          <w:szCs w:val="24"/>
          <w:lang w:val="fr-CA"/>
        </w:rPr>
        <w:t>[</w:t>
      </w:r>
      <w:r w:rsidRPr="00597AF6">
        <w:rPr>
          <w:szCs w:val="24"/>
          <w:lang w:val="fr-CA"/>
        </w:rPr>
        <w:t>l</w:t>
      </w:r>
      <w:r w:rsidR="00AA0516">
        <w:rPr>
          <w:szCs w:val="24"/>
          <w:lang w:val="fr-CA"/>
        </w:rPr>
        <w:t>]</w:t>
      </w:r>
      <w:r w:rsidRPr="00597AF6">
        <w:rPr>
          <w:szCs w:val="24"/>
          <w:lang w:val="fr-CA"/>
        </w:rPr>
        <w:t xml:space="preserve">a présomption de fiducie </w:t>
      </w:r>
      <w:proofErr w:type="spellStart"/>
      <w:r w:rsidRPr="00597AF6">
        <w:rPr>
          <w:szCs w:val="24"/>
          <w:lang w:val="fr-CA"/>
        </w:rPr>
        <w:t>résultoire</w:t>
      </w:r>
      <w:proofErr w:type="spellEnd"/>
      <w:r w:rsidRPr="00597AF6">
        <w:rPr>
          <w:szCs w:val="24"/>
          <w:lang w:val="fr-CA"/>
        </w:rPr>
        <w:t xml:space="preserve"> peut être réfutée si le détenteur du titre démontre que le paiement ne visait pas à créer un intérêt bénéficiaire » (par. 42).  Cela démontre que le juge comprenait que le critère applicable à la réfutation de la présomption était fondé sur l’absence de l’intention de créer un intérêt bénéficiaire pour l’auteur du transfert.  Le juge de première instance n’aurait pas eu besoin de poursuivre son analyse après avoir affirmé qu’il n’était pas question d’une donation s’il n’avait pas été d’avis que le critère applicable pour déterminer si la présomption de fiducie </w:t>
      </w:r>
      <w:proofErr w:type="spellStart"/>
      <w:r w:rsidRPr="00597AF6">
        <w:rPr>
          <w:szCs w:val="24"/>
          <w:lang w:val="fr-CA"/>
        </w:rPr>
        <w:t>résultoire</w:t>
      </w:r>
      <w:proofErr w:type="spellEnd"/>
      <w:r w:rsidRPr="00597AF6">
        <w:rPr>
          <w:szCs w:val="24"/>
          <w:lang w:val="fr-CA"/>
        </w:rPr>
        <w:t xml:space="preserve"> n’avait pas été réfutée consistait à savoir si l’auteur du transfert avait l’intention d’acquérir un intérêt bénéficiaire. </w:t>
      </w:r>
    </w:p>
    <w:p w:rsidR="00591040" w:rsidRPr="00597AF6" w:rsidRDefault="00591040" w:rsidP="00591040">
      <w:pPr>
        <w:pStyle w:val="ParaNoNdepar-AltN"/>
        <w:rPr>
          <w:lang w:val="fr-FR"/>
        </w:rPr>
      </w:pPr>
      <w:r w:rsidRPr="00597AF6">
        <w:rPr>
          <w:szCs w:val="24"/>
          <w:lang w:val="fr-CA"/>
        </w:rPr>
        <w:t xml:space="preserve">Le juge de première instance a conclu que M. Nishi s’était acquitté du fardeau qui lui incombait de réfuter la présomption de fiducie </w:t>
      </w:r>
      <w:proofErr w:type="spellStart"/>
      <w:r w:rsidRPr="00597AF6">
        <w:rPr>
          <w:szCs w:val="24"/>
          <w:lang w:val="fr-CA"/>
        </w:rPr>
        <w:t>résultoire</w:t>
      </w:r>
      <w:proofErr w:type="spellEnd"/>
      <w:r w:rsidRPr="00597AF6">
        <w:rPr>
          <w:szCs w:val="24"/>
          <w:lang w:val="fr-CA"/>
        </w:rPr>
        <w:t xml:space="preserve">.  Par cette </w:t>
      </w:r>
      <w:r w:rsidRPr="00597AF6">
        <w:rPr>
          <w:szCs w:val="24"/>
          <w:lang w:val="fr-CA"/>
        </w:rPr>
        <w:lastRenderedPageBreak/>
        <w:t xml:space="preserve">conclusion, ses motifs donnent à croire qu’il a établi une distinction entre une donation et l’absence d’une intention de l’auteur du transfert de détenir un intérêt bénéficiaire après le transfert.  Même s’il a fait cette distinction, sa conclusion selon laquelle il n’existait aucune intention de créer pour </w:t>
      </w:r>
      <w:proofErr w:type="spellStart"/>
      <w:r w:rsidRPr="00597AF6">
        <w:rPr>
          <w:szCs w:val="24"/>
          <w:lang w:val="fr-CA"/>
        </w:rPr>
        <w:t>Rascal</w:t>
      </w:r>
      <w:proofErr w:type="spellEnd"/>
      <w:r w:rsidRPr="00597AF6">
        <w:rPr>
          <w:szCs w:val="24"/>
          <w:lang w:val="fr-CA"/>
        </w:rPr>
        <w:t xml:space="preserve"> un intérêt bénéficiaire sur la propriété revient à dire, en droit, qu’il y avait une intention de faire une donation à M. Nishi.  Le juge de première instance a commis une erreur en établissant une distinction entre une donation et l’intention de créer un intérêt bénéficiaire pour la personne qui reçoit les fonds, mais cette erreur était sans conséquence.</w:t>
      </w:r>
    </w:p>
    <w:p w:rsidR="00591040" w:rsidRPr="00597AF6" w:rsidRDefault="00591040" w:rsidP="00591040">
      <w:pPr>
        <w:pStyle w:val="ParaNoNdepar-AltN"/>
        <w:rPr>
          <w:lang w:val="fr-FR"/>
        </w:rPr>
      </w:pPr>
      <w:r w:rsidRPr="00597AF6">
        <w:rPr>
          <w:szCs w:val="24"/>
          <w:lang w:val="fr-FR"/>
        </w:rPr>
        <w:t>En effet, l’erreur du juge de première instance peut fort bien s’expliquer par les sources doctrinales vu que c</w:t>
      </w:r>
      <w:proofErr w:type="spellStart"/>
      <w:r w:rsidRPr="00597AF6">
        <w:rPr>
          <w:szCs w:val="24"/>
          <w:lang w:val="fr-CA"/>
        </w:rPr>
        <w:t>ertains</w:t>
      </w:r>
      <w:proofErr w:type="spellEnd"/>
      <w:r w:rsidRPr="00597AF6">
        <w:rPr>
          <w:szCs w:val="24"/>
          <w:lang w:val="fr-CA"/>
        </w:rPr>
        <w:t xml:space="preserve"> auteurs ont formulé le critère applicable à la réfutation de la présomption de fiducie </w:t>
      </w:r>
      <w:proofErr w:type="spellStart"/>
      <w:r w:rsidRPr="00597AF6">
        <w:rPr>
          <w:szCs w:val="24"/>
          <w:lang w:val="fr-CA"/>
        </w:rPr>
        <w:t>résultoire</w:t>
      </w:r>
      <w:proofErr w:type="spellEnd"/>
      <w:r w:rsidRPr="00597AF6">
        <w:rPr>
          <w:szCs w:val="24"/>
          <w:lang w:val="fr-CA"/>
        </w:rPr>
        <w:t xml:space="preserve"> en des termes relatifs à l’intention de ne pas détenir un intérêt bénéficiaire sur le bien.  Par exemple, dans </w:t>
      </w:r>
      <w:proofErr w:type="spellStart"/>
      <w:r w:rsidRPr="00597AF6">
        <w:rPr>
          <w:i/>
          <w:szCs w:val="24"/>
          <w:lang w:val="fr-CA"/>
        </w:rPr>
        <w:t>Snell’s</w:t>
      </w:r>
      <w:proofErr w:type="spellEnd"/>
      <w:r w:rsidRPr="00597AF6">
        <w:rPr>
          <w:i/>
          <w:szCs w:val="24"/>
          <w:lang w:val="fr-CA"/>
        </w:rPr>
        <w:t xml:space="preserve"> </w:t>
      </w:r>
      <w:proofErr w:type="spellStart"/>
      <w:r w:rsidRPr="00597AF6">
        <w:rPr>
          <w:i/>
          <w:szCs w:val="24"/>
          <w:lang w:val="fr-CA"/>
        </w:rPr>
        <w:t>Equity</w:t>
      </w:r>
      <w:proofErr w:type="spellEnd"/>
      <w:r w:rsidRPr="00597AF6">
        <w:rPr>
          <w:szCs w:val="24"/>
          <w:lang w:val="fr-CA"/>
        </w:rPr>
        <w:t>, le type de preuve requis pour réfuter la présomption est décrit comme étant [</w:t>
      </w:r>
      <w:r w:rsidRPr="00597AF6">
        <w:rPr>
          <w:smallCaps/>
          <w:szCs w:val="24"/>
          <w:lang w:val="fr-CA"/>
        </w:rPr>
        <w:t>traduction</w:t>
      </w:r>
      <w:r w:rsidRPr="00597AF6">
        <w:rPr>
          <w:szCs w:val="24"/>
          <w:lang w:val="fr-CA"/>
        </w:rPr>
        <w:t>] « tout élément de preuve qui tend à indiquer que l’intention de A était que B détienne l’intérêt bénéficiaire sur le bien acquis avec l’argent de A » (J. </w:t>
      </w:r>
      <w:proofErr w:type="spellStart"/>
      <w:r w:rsidRPr="00597AF6">
        <w:rPr>
          <w:szCs w:val="24"/>
          <w:lang w:val="fr-CA"/>
        </w:rPr>
        <w:t>McGhee</w:t>
      </w:r>
      <w:proofErr w:type="spellEnd"/>
      <w:r w:rsidRPr="00597AF6">
        <w:rPr>
          <w:szCs w:val="24"/>
          <w:lang w:val="fr-CA"/>
        </w:rPr>
        <w:t xml:space="preserve">, </w:t>
      </w:r>
      <w:proofErr w:type="spellStart"/>
      <w:proofErr w:type="gramStart"/>
      <w:r w:rsidRPr="00597AF6">
        <w:rPr>
          <w:szCs w:val="24"/>
          <w:lang w:val="fr-CA"/>
        </w:rPr>
        <w:t>dir</w:t>
      </w:r>
      <w:proofErr w:type="spellEnd"/>
      <w:r w:rsidRPr="00597AF6">
        <w:rPr>
          <w:szCs w:val="24"/>
          <w:lang w:val="fr-CA"/>
        </w:rPr>
        <w:t>.,</w:t>
      </w:r>
      <w:proofErr w:type="gramEnd"/>
      <w:r w:rsidRPr="00597AF6">
        <w:rPr>
          <w:szCs w:val="24"/>
          <w:lang w:val="fr-CA"/>
        </w:rPr>
        <w:t xml:space="preserve"> </w:t>
      </w:r>
      <w:proofErr w:type="spellStart"/>
      <w:r w:rsidRPr="00597AF6">
        <w:rPr>
          <w:i/>
          <w:szCs w:val="24"/>
          <w:lang w:val="fr-CA"/>
        </w:rPr>
        <w:t>Snell’s</w:t>
      </w:r>
      <w:proofErr w:type="spellEnd"/>
      <w:r w:rsidRPr="00597AF6">
        <w:rPr>
          <w:i/>
          <w:szCs w:val="24"/>
          <w:lang w:val="fr-CA"/>
        </w:rPr>
        <w:t xml:space="preserve"> </w:t>
      </w:r>
      <w:proofErr w:type="spellStart"/>
      <w:r w:rsidRPr="00597AF6">
        <w:rPr>
          <w:i/>
          <w:szCs w:val="24"/>
          <w:lang w:val="fr-CA"/>
        </w:rPr>
        <w:t>Equity</w:t>
      </w:r>
      <w:proofErr w:type="spellEnd"/>
      <w:r w:rsidRPr="00597AF6">
        <w:rPr>
          <w:szCs w:val="24"/>
          <w:lang w:val="fr-CA"/>
        </w:rPr>
        <w:t xml:space="preserve"> (32</w:t>
      </w:r>
      <w:r w:rsidRPr="00597AF6">
        <w:rPr>
          <w:szCs w:val="24"/>
          <w:vertAlign w:val="superscript"/>
          <w:lang w:val="fr-CA"/>
        </w:rPr>
        <w:t>e</w:t>
      </w:r>
      <w:r w:rsidRPr="00597AF6">
        <w:rPr>
          <w:szCs w:val="24"/>
          <w:lang w:val="fr-CA"/>
        </w:rPr>
        <w:t xml:space="preserve"> éd. 2010), par. 25</w:t>
      </w:r>
      <w:r w:rsidRPr="00597AF6">
        <w:rPr>
          <w:szCs w:val="24"/>
          <w:lang w:val="fr-CA"/>
        </w:rPr>
        <w:noBreakHyphen/>
        <w:t xml:space="preserve">012).  De même, dans </w:t>
      </w:r>
      <w:proofErr w:type="spellStart"/>
      <w:r w:rsidRPr="00597AF6">
        <w:rPr>
          <w:i/>
          <w:szCs w:val="24"/>
          <w:lang w:val="fr-CA"/>
        </w:rPr>
        <w:t>Oosterhoff</w:t>
      </w:r>
      <w:proofErr w:type="spellEnd"/>
      <w:r w:rsidRPr="00597AF6">
        <w:rPr>
          <w:i/>
          <w:szCs w:val="24"/>
          <w:lang w:val="fr-CA"/>
        </w:rPr>
        <w:t xml:space="preserve"> on Trusts</w:t>
      </w:r>
      <w:r w:rsidRPr="00597AF6">
        <w:rPr>
          <w:szCs w:val="24"/>
          <w:lang w:val="fr-CA"/>
        </w:rPr>
        <w:t xml:space="preserve">, la présomption de fiducie </w:t>
      </w:r>
      <w:proofErr w:type="spellStart"/>
      <w:r w:rsidRPr="00597AF6">
        <w:rPr>
          <w:szCs w:val="24"/>
          <w:lang w:val="fr-CA"/>
        </w:rPr>
        <w:t>résultoire</w:t>
      </w:r>
      <w:proofErr w:type="spellEnd"/>
      <w:r w:rsidRPr="00597AF6">
        <w:rPr>
          <w:szCs w:val="24"/>
          <w:lang w:val="fr-CA"/>
        </w:rPr>
        <w:t xml:space="preserve"> est décrite comme [</w:t>
      </w:r>
      <w:r w:rsidRPr="00597AF6">
        <w:rPr>
          <w:smallCaps/>
          <w:szCs w:val="24"/>
          <w:lang w:val="fr-CA"/>
        </w:rPr>
        <w:t>traduction</w:t>
      </w:r>
      <w:r w:rsidRPr="00597AF6">
        <w:rPr>
          <w:szCs w:val="24"/>
          <w:lang w:val="fr-CA"/>
        </w:rPr>
        <w:t>] « une présomption selon laquelle le donateur apparent n’avait pas l’intention de donner la propriété bénéficiaire du bien au destinataire » (A. H. </w:t>
      </w:r>
      <w:proofErr w:type="spellStart"/>
      <w:r w:rsidRPr="00597AF6">
        <w:rPr>
          <w:szCs w:val="24"/>
          <w:lang w:val="fr-CA"/>
        </w:rPr>
        <w:t>Oosterhoff</w:t>
      </w:r>
      <w:proofErr w:type="spellEnd"/>
      <w:r w:rsidRPr="00597AF6">
        <w:rPr>
          <w:szCs w:val="24"/>
          <w:lang w:val="fr-CA"/>
        </w:rPr>
        <w:t xml:space="preserve"> et autres, </w:t>
      </w:r>
      <w:proofErr w:type="spellStart"/>
      <w:proofErr w:type="gramStart"/>
      <w:r w:rsidRPr="00597AF6">
        <w:rPr>
          <w:szCs w:val="24"/>
          <w:lang w:val="fr-CA"/>
        </w:rPr>
        <w:t>dir</w:t>
      </w:r>
      <w:proofErr w:type="spellEnd"/>
      <w:r w:rsidRPr="00597AF6">
        <w:rPr>
          <w:szCs w:val="24"/>
          <w:lang w:val="fr-CA"/>
        </w:rPr>
        <w:t>.,</w:t>
      </w:r>
      <w:proofErr w:type="gramEnd"/>
      <w:r w:rsidRPr="00597AF6">
        <w:rPr>
          <w:szCs w:val="24"/>
          <w:lang w:val="fr-CA"/>
        </w:rPr>
        <w:t xml:space="preserve"> </w:t>
      </w:r>
      <w:proofErr w:type="spellStart"/>
      <w:r w:rsidRPr="00597AF6">
        <w:rPr>
          <w:i/>
          <w:szCs w:val="24"/>
          <w:lang w:val="fr-FR"/>
        </w:rPr>
        <w:t>Oosterhoff</w:t>
      </w:r>
      <w:proofErr w:type="spellEnd"/>
      <w:r w:rsidRPr="00597AF6">
        <w:rPr>
          <w:i/>
          <w:szCs w:val="24"/>
          <w:lang w:val="fr-FR"/>
        </w:rPr>
        <w:t xml:space="preserve"> on Trusts : </w:t>
      </w:r>
      <w:proofErr w:type="spellStart"/>
      <w:r w:rsidRPr="00597AF6">
        <w:rPr>
          <w:i/>
          <w:szCs w:val="24"/>
          <w:lang w:val="fr-FR"/>
        </w:rPr>
        <w:t>Text</w:t>
      </w:r>
      <w:proofErr w:type="spellEnd"/>
      <w:r w:rsidRPr="00597AF6">
        <w:rPr>
          <w:i/>
          <w:szCs w:val="24"/>
          <w:lang w:val="fr-FR"/>
        </w:rPr>
        <w:t xml:space="preserve">, </w:t>
      </w:r>
      <w:proofErr w:type="spellStart"/>
      <w:r w:rsidRPr="00597AF6">
        <w:rPr>
          <w:i/>
          <w:szCs w:val="24"/>
          <w:lang w:val="fr-FR"/>
        </w:rPr>
        <w:t>Commentary</w:t>
      </w:r>
      <w:proofErr w:type="spellEnd"/>
      <w:r w:rsidRPr="00597AF6">
        <w:rPr>
          <w:i/>
          <w:szCs w:val="24"/>
          <w:lang w:val="fr-FR"/>
        </w:rPr>
        <w:t xml:space="preserve"> and </w:t>
      </w:r>
      <w:proofErr w:type="spellStart"/>
      <w:r w:rsidRPr="00597AF6">
        <w:rPr>
          <w:i/>
          <w:szCs w:val="24"/>
          <w:lang w:val="fr-FR"/>
        </w:rPr>
        <w:t>Materials</w:t>
      </w:r>
      <w:proofErr w:type="spellEnd"/>
      <w:r w:rsidRPr="00597AF6">
        <w:rPr>
          <w:szCs w:val="24"/>
          <w:lang w:val="fr-FR"/>
        </w:rPr>
        <w:t xml:space="preserve"> (7</w:t>
      </w:r>
      <w:r w:rsidRPr="00597AF6">
        <w:rPr>
          <w:szCs w:val="24"/>
          <w:vertAlign w:val="superscript"/>
          <w:lang w:val="fr-FR"/>
        </w:rPr>
        <w:t>e</w:t>
      </w:r>
      <w:r w:rsidRPr="00597AF6">
        <w:rPr>
          <w:szCs w:val="24"/>
          <w:lang w:val="fr-FR"/>
        </w:rPr>
        <w:t xml:space="preserve"> éd. 2009), p. 640). </w:t>
      </w:r>
    </w:p>
    <w:p w:rsidR="00591040" w:rsidRPr="00597AF6" w:rsidRDefault="00591040" w:rsidP="00591040">
      <w:pPr>
        <w:pStyle w:val="ParaNoNdepar-AltN"/>
        <w:rPr>
          <w:lang w:val="fr-CA"/>
        </w:rPr>
      </w:pPr>
      <w:r w:rsidRPr="00597AF6">
        <w:rPr>
          <w:szCs w:val="24"/>
          <w:lang w:val="fr-CA"/>
        </w:rPr>
        <w:lastRenderedPageBreak/>
        <w:t xml:space="preserve">À mon avis, ces énoncés ne sont qu’une autre façon d’indiquer si l’intention de l’auteur du transfert était de faire une donation.  Il n’existe pas une autre catégorie d’intention qui permette de réfuter la présomption.  Dans les pourvois </w:t>
      </w:r>
      <w:proofErr w:type="spellStart"/>
      <w:r w:rsidRPr="00597AF6">
        <w:rPr>
          <w:i/>
          <w:szCs w:val="24"/>
          <w:lang w:val="fr-CA"/>
        </w:rPr>
        <w:t>Pecore</w:t>
      </w:r>
      <w:proofErr w:type="spellEnd"/>
      <w:r w:rsidRPr="00597AF6">
        <w:rPr>
          <w:szCs w:val="24"/>
          <w:lang w:val="fr-CA"/>
        </w:rPr>
        <w:t xml:space="preserve"> et </w:t>
      </w:r>
      <w:r w:rsidRPr="00597AF6">
        <w:rPr>
          <w:i/>
          <w:szCs w:val="24"/>
          <w:lang w:val="fr-CA"/>
        </w:rPr>
        <w:t>Kerr</w:t>
      </w:r>
      <w:r w:rsidRPr="00597AF6">
        <w:rPr>
          <w:szCs w:val="24"/>
          <w:lang w:val="fr-CA"/>
        </w:rPr>
        <w:t xml:space="preserve">, la Cour n’a pas reconnu une catégorie d’intention différente, autre que l’intention de faire une donation, qui permettrait de réfuter la présomption.  Cela correspond à ce que d’autres auteurs ont écrit, notamment dans </w:t>
      </w:r>
      <w:r w:rsidRPr="00597AF6">
        <w:rPr>
          <w:i/>
          <w:lang w:val="fr-CA"/>
        </w:rPr>
        <w:t>Waters’ Law of Trusts</w:t>
      </w:r>
      <w:r w:rsidR="00AA0516">
        <w:rPr>
          <w:i/>
          <w:lang w:val="fr-CA"/>
        </w:rPr>
        <w:t xml:space="preserve"> in Canada</w:t>
      </w:r>
      <w:r w:rsidRPr="00597AF6">
        <w:rPr>
          <w:lang w:val="fr-CA"/>
        </w:rPr>
        <w:t>,</w:t>
      </w:r>
      <w:r w:rsidRPr="00597AF6">
        <w:rPr>
          <w:i/>
          <w:lang w:val="fr-CA"/>
        </w:rPr>
        <w:t xml:space="preserve"> </w:t>
      </w:r>
      <w:r w:rsidRPr="00597AF6">
        <w:rPr>
          <w:lang w:val="fr-CA"/>
        </w:rPr>
        <w:t xml:space="preserve">où il est indiqué que la preuve nécessaire à la réfutation de la présomption est l’intention </w:t>
      </w:r>
      <w:r w:rsidR="00AA0516">
        <w:rPr>
          <w:lang w:val="fr-CA"/>
        </w:rPr>
        <w:t>[</w:t>
      </w:r>
      <w:r w:rsidR="00AA0516" w:rsidRPr="00AA0516">
        <w:rPr>
          <w:smallCaps/>
          <w:lang w:val="fr-CA"/>
        </w:rPr>
        <w:t>traduction</w:t>
      </w:r>
      <w:r w:rsidR="00AA0516">
        <w:rPr>
          <w:lang w:val="fr-CA"/>
        </w:rPr>
        <w:t xml:space="preserve">] </w:t>
      </w:r>
      <w:r w:rsidRPr="00597AF6">
        <w:rPr>
          <w:lang w:val="fr-CA"/>
        </w:rPr>
        <w:t>« de donner le bien » (p. 401; voir aussi p. 406 et 409).  Au</w:t>
      </w:r>
      <w:r w:rsidRPr="00597AF6">
        <w:rPr>
          <w:szCs w:val="24"/>
          <w:lang w:val="fr-CA"/>
        </w:rPr>
        <w:t xml:space="preserve"> Canada, il ressort de la jurisprudence qu’il n’y a aucune différence entre l’intention de faire une donation et l’intention que l’auteur du transfert ne détienne pas l’intérêt bénéficiaire.  Autrement dit, dans le cas d’un transfert à titre gratuit, il y a une donation en droit quand la preuve démontre que, au moment du transfert, l’auteur voulait que le destinataire détienne l’intérêt bénéficiaire sur le bien acquis.</w:t>
      </w:r>
    </w:p>
    <w:p w:rsidR="00591040" w:rsidRPr="00597AF6" w:rsidRDefault="00591040" w:rsidP="00591040">
      <w:pPr>
        <w:pStyle w:val="ParaNoNdepar-AltN"/>
        <w:rPr>
          <w:lang w:val="fr-CA"/>
        </w:rPr>
      </w:pPr>
      <w:r w:rsidRPr="00597AF6">
        <w:rPr>
          <w:szCs w:val="24"/>
          <w:lang w:val="fr-CA"/>
        </w:rPr>
        <w:t xml:space="preserve">Un examen des motifs du juge de première instance considérés dans leur contexte global confirme que selon lui, l’intention de </w:t>
      </w:r>
      <w:proofErr w:type="spellStart"/>
      <w:r w:rsidRPr="00597AF6">
        <w:rPr>
          <w:szCs w:val="24"/>
          <w:lang w:val="fr-CA"/>
        </w:rPr>
        <w:t>Rascal</w:t>
      </w:r>
      <w:proofErr w:type="spellEnd"/>
      <w:r w:rsidRPr="00597AF6">
        <w:rPr>
          <w:szCs w:val="24"/>
          <w:lang w:val="fr-CA"/>
        </w:rPr>
        <w:t xml:space="preserve">, au moment de l’avance de fonds, était de faire une donation — </w:t>
      </w:r>
      <w:proofErr w:type="spellStart"/>
      <w:r w:rsidRPr="00597AF6">
        <w:rPr>
          <w:szCs w:val="24"/>
          <w:lang w:val="fr-CA"/>
        </w:rPr>
        <w:t>c.</w:t>
      </w:r>
      <w:r w:rsidRPr="00597AF6">
        <w:rPr>
          <w:szCs w:val="24"/>
          <w:lang w:val="fr-CA"/>
        </w:rPr>
        <w:noBreakHyphen/>
        <w:t>à</w:t>
      </w:r>
      <w:r w:rsidRPr="00597AF6">
        <w:rPr>
          <w:szCs w:val="24"/>
          <w:lang w:val="fr-CA"/>
        </w:rPr>
        <w:noBreakHyphen/>
        <w:t>d</w:t>
      </w:r>
      <w:proofErr w:type="spellEnd"/>
      <w:r w:rsidRPr="00597AF6">
        <w:rPr>
          <w:szCs w:val="24"/>
          <w:lang w:val="fr-CA"/>
        </w:rPr>
        <w:t xml:space="preserve">. contribuer au prix d’achat sans acquérir un intérêt bénéficiaire sur la propriété.  Le juge de première instance a conclu que la contribution de </w:t>
      </w:r>
      <w:proofErr w:type="spellStart"/>
      <w:r w:rsidRPr="00597AF6">
        <w:rPr>
          <w:szCs w:val="24"/>
          <w:lang w:val="fr-CA"/>
        </w:rPr>
        <w:t>Rascal</w:t>
      </w:r>
      <w:proofErr w:type="spellEnd"/>
      <w:r w:rsidRPr="00597AF6">
        <w:rPr>
          <w:szCs w:val="24"/>
          <w:lang w:val="fr-CA"/>
        </w:rPr>
        <w:t xml:space="preserve"> au prix d’achat était attribuable au fait qu’elle reconnaissait avoir imposé des frais à </w:t>
      </w:r>
      <w:proofErr w:type="spellStart"/>
      <w:r w:rsidRPr="00597AF6">
        <w:rPr>
          <w:szCs w:val="24"/>
          <w:lang w:val="fr-CA"/>
        </w:rPr>
        <w:t>Kismet</w:t>
      </w:r>
      <w:proofErr w:type="spellEnd"/>
      <w:r w:rsidRPr="00597AF6">
        <w:rPr>
          <w:szCs w:val="24"/>
          <w:lang w:val="fr-CA"/>
        </w:rPr>
        <w:t>, l’entreprise qui appartenait à M</w:t>
      </w:r>
      <w:r w:rsidRPr="00597AF6">
        <w:rPr>
          <w:szCs w:val="24"/>
          <w:vertAlign w:val="superscript"/>
          <w:lang w:val="fr-CA"/>
        </w:rPr>
        <w:t>me</w:t>
      </w:r>
      <w:r w:rsidRPr="00597AF6">
        <w:rPr>
          <w:szCs w:val="24"/>
          <w:lang w:val="fr-CA"/>
        </w:rPr>
        <w:t> </w:t>
      </w:r>
      <w:proofErr w:type="spellStart"/>
      <w:r w:rsidRPr="00597AF6">
        <w:rPr>
          <w:szCs w:val="24"/>
          <w:lang w:val="fr-CA"/>
        </w:rPr>
        <w:t>Plavetic</w:t>
      </w:r>
      <w:proofErr w:type="spellEnd"/>
      <w:r w:rsidRPr="00597AF6">
        <w:rPr>
          <w:szCs w:val="24"/>
          <w:lang w:val="fr-CA"/>
        </w:rPr>
        <w:t>, l’amie de M. </w:t>
      </w:r>
      <w:proofErr w:type="spellStart"/>
      <w:r w:rsidRPr="00597AF6">
        <w:rPr>
          <w:szCs w:val="24"/>
          <w:lang w:val="fr-CA"/>
        </w:rPr>
        <w:t>Heringa</w:t>
      </w:r>
      <w:proofErr w:type="spellEnd"/>
      <w:r w:rsidRPr="00597AF6">
        <w:rPr>
          <w:szCs w:val="24"/>
          <w:lang w:val="fr-CA"/>
        </w:rPr>
        <w:t xml:space="preserve">.  Comme je l’expliquerai plus loin, cette intention d’honorer les obligations de </w:t>
      </w:r>
      <w:proofErr w:type="spellStart"/>
      <w:r w:rsidRPr="00597AF6">
        <w:rPr>
          <w:szCs w:val="24"/>
          <w:lang w:val="fr-CA"/>
        </w:rPr>
        <w:t>Rascal</w:t>
      </w:r>
      <w:proofErr w:type="spellEnd"/>
      <w:r w:rsidRPr="00597AF6">
        <w:rPr>
          <w:szCs w:val="24"/>
          <w:lang w:val="fr-CA"/>
        </w:rPr>
        <w:t xml:space="preserve"> envers </w:t>
      </w:r>
      <w:proofErr w:type="spellStart"/>
      <w:r w:rsidRPr="00597AF6">
        <w:rPr>
          <w:szCs w:val="24"/>
          <w:lang w:val="fr-CA"/>
        </w:rPr>
        <w:t>Kismet</w:t>
      </w:r>
      <w:proofErr w:type="spellEnd"/>
      <w:r w:rsidRPr="00597AF6">
        <w:rPr>
          <w:szCs w:val="24"/>
          <w:lang w:val="fr-CA"/>
        </w:rPr>
        <w:t xml:space="preserve"> en faisant un paiement à M. Nishi n’est pas incompatible avec la conclusion qu’une donation a été faite.  De plus, </w:t>
      </w:r>
      <w:r w:rsidRPr="00597AF6">
        <w:rPr>
          <w:szCs w:val="24"/>
          <w:lang w:val="fr-CA"/>
        </w:rPr>
        <w:lastRenderedPageBreak/>
        <w:t xml:space="preserve">comme il ressort clairement de la télécopie du 28 mai 2001, l’intention déclarée de </w:t>
      </w:r>
      <w:proofErr w:type="spellStart"/>
      <w:r w:rsidRPr="00597AF6">
        <w:rPr>
          <w:szCs w:val="24"/>
          <w:lang w:val="fr-CA"/>
        </w:rPr>
        <w:t>Rascal</w:t>
      </w:r>
      <w:proofErr w:type="spellEnd"/>
      <w:r w:rsidRPr="00597AF6">
        <w:rPr>
          <w:szCs w:val="24"/>
          <w:lang w:val="fr-CA"/>
        </w:rPr>
        <w:t xml:space="preserve"> était d’avancer des fonds, sans aucune condition comme l’obtention d’un intérêt bénéficiaire sur une partie du terrain.</w:t>
      </w:r>
    </w:p>
    <w:p w:rsidR="00591040" w:rsidRPr="00597AF6" w:rsidRDefault="00591040" w:rsidP="00591040">
      <w:pPr>
        <w:pStyle w:val="ParaNoNdepar-AltN"/>
        <w:rPr>
          <w:lang w:val="fr-CA"/>
        </w:rPr>
      </w:pPr>
      <w:r w:rsidRPr="00597AF6">
        <w:rPr>
          <w:szCs w:val="24"/>
          <w:lang w:val="fr-CA"/>
        </w:rPr>
        <w:t>Le propos du juge de première instance selon lequel il n’était [</w:t>
      </w:r>
      <w:r w:rsidRPr="00597AF6">
        <w:rPr>
          <w:smallCaps/>
          <w:szCs w:val="24"/>
          <w:lang w:val="fr-CA"/>
        </w:rPr>
        <w:t>traduction</w:t>
      </w:r>
      <w:r w:rsidRPr="00597AF6">
        <w:rPr>
          <w:szCs w:val="24"/>
          <w:lang w:val="fr-CA"/>
        </w:rPr>
        <w:t>] « pas question d’une donation » a été tenu alors qu’il examinait le point de vue de M. Nishi et de M</w:t>
      </w:r>
      <w:r w:rsidRPr="00597AF6">
        <w:rPr>
          <w:szCs w:val="24"/>
          <w:vertAlign w:val="superscript"/>
          <w:lang w:val="fr-CA"/>
        </w:rPr>
        <w:t>me</w:t>
      </w:r>
      <w:r w:rsidRPr="00597AF6">
        <w:rPr>
          <w:szCs w:val="24"/>
          <w:lang w:val="fr-CA"/>
        </w:rPr>
        <w:t> </w:t>
      </w:r>
      <w:proofErr w:type="spellStart"/>
      <w:r w:rsidRPr="00597AF6">
        <w:rPr>
          <w:szCs w:val="24"/>
          <w:lang w:val="fr-CA"/>
        </w:rPr>
        <w:t>Plavetic</w:t>
      </w:r>
      <w:proofErr w:type="spellEnd"/>
      <w:r w:rsidRPr="00597AF6">
        <w:rPr>
          <w:szCs w:val="24"/>
          <w:lang w:val="fr-CA"/>
        </w:rPr>
        <w:t xml:space="preserve"> sur le but du paiement :  </w:t>
      </w:r>
    </w:p>
    <w:p w:rsidR="00591040" w:rsidRPr="00597AF6" w:rsidRDefault="00591040" w:rsidP="00591040">
      <w:pPr>
        <w:pStyle w:val="Citation-AltC"/>
        <w:ind w:hanging="1166"/>
        <w:rPr>
          <w:lang w:val="fr-CA"/>
        </w:rPr>
      </w:pPr>
      <w:r w:rsidRPr="00597AF6">
        <w:rPr>
          <w:lang w:val="fr-CA"/>
        </w:rPr>
        <w:tab/>
        <w:t>[</w:t>
      </w:r>
      <w:r w:rsidRPr="00597AF6">
        <w:rPr>
          <w:smallCaps/>
          <w:lang w:val="fr-CA"/>
        </w:rPr>
        <w:t>traduction</w:t>
      </w:r>
      <w:r w:rsidRPr="00597AF6">
        <w:rPr>
          <w:lang w:val="fr-CA"/>
        </w:rPr>
        <w:t>]  En l’espèce, il n’est pas question d’une donation.  Ni M. Nishi ni M</w:t>
      </w:r>
      <w:r w:rsidRPr="00597AF6">
        <w:rPr>
          <w:vertAlign w:val="superscript"/>
          <w:lang w:val="fr-CA"/>
        </w:rPr>
        <w:t>me</w:t>
      </w:r>
      <w:r w:rsidRPr="00597AF6">
        <w:rPr>
          <w:lang w:val="fr-CA"/>
        </w:rPr>
        <w:t> </w:t>
      </w:r>
      <w:proofErr w:type="spellStart"/>
      <w:r w:rsidRPr="00597AF6">
        <w:rPr>
          <w:lang w:val="fr-CA"/>
        </w:rPr>
        <w:t>Plavetic</w:t>
      </w:r>
      <w:proofErr w:type="spellEnd"/>
      <w:r w:rsidRPr="00597AF6">
        <w:rPr>
          <w:lang w:val="fr-CA"/>
        </w:rPr>
        <w:t xml:space="preserve"> n’ont considéré la contribution de la demanderesse comme une donation.  [</w:t>
      </w:r>
      <w:proofErr w:type="gramStart"/>
      <w:r w:rsidRPr="00597AF6">
        <w:rPr>
          <w:lang w:val="fr-CA"/>
        </w:rPr>
        <w:t>par</w:t>
      </w:r>
      <w:proofErr w:type="gramEnd"/>
      <w:r w:rsidRPr="00597AF6">
        <w:rPr>
          <w:lang w:val="fr-CA"/>
        </w:rPr>
        <w:t xml:space="preserve">. 42] </w:t>
      </w:r>
    </w:p>
    <w:p w:rsidR="00591040" w:rsidRPr="00597AF6" w:rsidRDefault="00591040" w:rsidP="00591040">
      <w:pPr>
        <w:pStyle w:val="ContinueParaSuitedupar-AltP"/>
        <w:rPr>
          <w:lang w:val="fr-CA"/>
        </w:rPr>
      </w:pPr>
      <w:r w:rsidRPr="00597AF6">
        <w:rPr>
          <w:lang w:val="fr-CA"/>
        </w:rPr>
        <w:t>M</w:t>
      </w:r>
      <w:r w:rsidR="00AA0516">
        <w:rPr>
          <w:lang w:val="fr-CA"/>
        </w:rPr>
        <w:t>.</w:t>
      </w:r>
      <w:r w:rsidRPr="00597AF6">
        <w:rPr>
          <w:lang w:val="fr-CA"/>
        </w:rPr>
        <w:t xml:space="preserve"> Nishi et M</w:t>
      </w:r>
      <w:r w:rsidRPr="00597AF6">
        <w:rPr>
          <w:vertAlign w:val="superscript"/>
          <w:lang w:val="fr-CA"/>
        </w:rPr>
        <w:t>me</w:t>
      </w:r>
      <w:r w:rsidRPr="00597AF6">
        <w:rPr>
          <w:lang w:val="fr-CA"/>
        </w:rPr>
        <w:t> </w:t>
      </w:r>
      <w:proofErr w:type="spellStart"/>
      <w:r w:rsidRPr="00597AF6">
        <w:rPr>
          <w:lang w:val="fr-CA"/>
        </w:rPr>
        <w:t>Plavetic</w:t>
      </w:r>
      <w:proofErr w:type="spellEnd"/>
      <w:r w:rsidRPr="00597AF6">
        <w:rPr>
          <w:lang w:val="fr-CA"/>
        </w:rPr>
        <w:t xml:space="preserve"> ne considéraient pas le paiement comme une donation parce que, comme le juge de première instance l’a ensuite expliqué, </w:t>
      </w:r>
      <w:proofErr w:type="spellStart"/>
      <w:r w:rsidRPr="00597AF6">
        <w:rPr>
          <w:lang w:val="fr-CA"/>
        </w:rPr>
        <w:t>Rascal</w:t>
      </w:r>
      <w:proofErr w:type="spellEnd"/>
      <w:r w:rsidRPr="00597AF6">
        <w:rPr>
          <w:lang w:val="fr-CA"/>
        </w:rPr>
        <w:t xml:space="preserve"> s’était reconnue responsable d’une dette envers </w:t>
      </w:r>
      <w:proofErr w:type="spellStart"/>
      <w:r w:rsidRPr="00597AF6">
        <w:rPr>
          <w:lang w:val="fr-CA"/>
        </w:rPr>
        <w:t>Kismet</w:t>
      </w:r>
      <w:proofErr w:type="spellEnd"/>
      <w:r w:rsidRPr="00597AF6">
        <w:rPr>
          <w:lang w:val="fr-CA"/>
        </w:rPr>
        <w:t xml:space="preserve"> relativement à l’arriéré d’impôt découlant de ses activités de production de terre végétale.  Cependant, il n’était pas logique pour </w:t>
      </w:r>
      <w:proofErr w:type="spellStart"/>
      <w:r w:rsidRPr="00597AF6">
        <w:rPr>
          <w:lang w:val="fr-CA"/>
        </w:rPr>
        <w:t>Rascal</w:t>
      </w:r>
      <w:proofErr w:type="spellEnd"/>
      <w:r w:rsidRPr="00597AF6">
        <w:rPr>
          <w:lang w:val="fr-CA"/>
        </w:rPr>
        <w:t xml:space="preserve"> de faire ce paiement directement à </w:t>
      </w:r>
      <w:proofErr w:type="spellStart"/>
      <w:r w:rsidRPr="00597AF6">
        <w:rPr>
          <w:lang w:val="fr-CA"/>
        </w:rPr>
        <w:t>Kismet</w:t>
      </w:r>
      <w:proofErr w:type="spellEnd"/>
      <w:r w:rsidRPr="00597AF6">
        <w:rPr>
          <w:lang w:val="fr-CA"/>
        </w:rPr>
        <w:t xml:space="preserve"> puisque cette dernière était assujettie à d’autres obligations et était essentiellement dissoute.  Si </w:t>
      </w:r>
      <w:proofErr w:type="spellStart"/>
      <w:r w:rsidRPr="00597AF6">
        <w:rPr>
          <w:lang w:val="fr-CA"/>
        </w:rPr>
        <w:t>Rascal</w:t>
      </w:r>
      <w:proofErr w:type="spellEnd"/>
      <w:r w:rsidRPr="00597AF6">
        <w:rPr>
          <w:lang w:val="fr-CA"/>
        </w:rPr>
        <w:t xml:space="preserve"> avait fait le paiement à </w:t>
      </w:r>
      <w:proofErr w:type="spellStart"/>
      <w:r w:rsidRPr="00597AF6">
        <w:rPr>
          <w:lang w:val="fr-CA"/>
        </w:rPr>
        <w:t>Kismet</w:t>
      </w:r>
      <w:proofErr w:type="spellEnd"/>
      <w:r w:rsidRPr="00597AF6">
        <w:rPr>
          <w:lang w:val="fr-CA"/>
        </w:rPr>
        <w:t>, elle n’aurait pas aidé les amis de M. </w:t>
      </w:r>
      <w:proofErr w:type="spellStart"/>
      <w:r w:rsidRPr="00597AF6">
        <w:rPr>
          <w:lang w:val="fr-CA"/>
        </w:rPr>
        <w:t>Heringa</w:t>
      </w:r>
      <w:proofErr w:type="spellEnd"/>
      <w:r w:rsidRPr="00597AF6">
        <w:rPr>
          <w:lang w:val="fr-CA"/>
        </w:rPr>
        <w:t xml:space="preserve"> à obtenir le titre de propriété.  Par conséquent, la contribution au prix d’achat permettait à </w:t>
      </w:r>
      <w:proofErr w:type="spellStart"/>
      <w:r w:rsidRPr="00597AF6">
        <w:rPr>
          <w:lang w:val="fr-CA"/>
        </w:rPr>
        <w:t>Rascal</w:t>
      </w:r>
      <w:proofErr w:type="spellEnd"/>
      <w:r w:rsidRPr="00597AF6">
        <w:rPr>
          <w:lang w:val="fr-CA"/>
        </w:rPr>
        <w:t xml:space="preserve"> de respecter son engagement moral d’une façon qui avantageait réellement les amis de M. </w:t>
      </w:r>
      <w:proofErr w:type="spellStart"/>
      <w:r w:rsidRPr="00597AF6">
        <w:rPr>
          <w:lang w:val="fr-CA"/>
        </w:rPr>
        <w:t>Heringa</w:t>
      </w:r>
      <w:proofErr w:type="spellEnd"/>
      <w:r w:rsidRPr="00597AF6">
        <w:rPr>
          <w:lang w:val="fr-CA"/>
        </w:rPr>
        <w:t xml:space="preserve">.  Ainsi, il y avait toujours la possibilité qu’ils puissent éventuellement consentir à une deuxième hypothèque ou à un transfert d’une partie de la propriété à </w:t>
      </w:r>
      <w:proofErr w:type="spellStart"/>
      <w:r w:rsidRPr="00597AF6">
        <w:rPr>
          <w:lang w:val="fr-CA"/>
        </w:rPr>
        <w:t>Rascal</w:t>
      </w:r>
      <w:proofErr w:type="spellEnd"/>
      <w:r w:rsidRPr="00597AF6">
        <w:rPr>
          <w:lang w:val="fr-CA"/>
        </w:rPr>
        <w:t>. </w:t>
      </w:r>
    </w:p>
    <w:p w:rsidR="00591040" w:rsidRPr="00597AF6" w:rsidRDefault="00591040" w:rsidP="00591040">
      <w:pPr>
        <w:pStyle w:val="ParaNoNdepar-AltN"/>
        <w:rPr>
          <w:lang w:val="fr-CA"/>
        </w:rPr>
      </w:pPr>
      <w:r w:rsidRPr="00597AF6">
        <w:rPr>
          <w:lang w:val="fr-CA"/>
        </w:rPr>
        <w:lastRenderedPageBreak/>
        <w:t>De fait, lorsque M. </w:t>
      </w:r>
      <w:proofErr w:type="spellStart"/>
      <w:r w:rsidRPr="00597AF6">
        <w:rPr>
          <w:lang w:val="fr-CA"/>
        </w:rPr>
        <w:t>Heringa</w:t>
      </w:r>
      <w:proofErr w:type="spellEnd"/>
      <w:r w:rsidRPr="00597AF6">
        <w:rPr>
          <w:lang w:val="fr-CA"/>
        </w:rPr>
        <w:t xml:space="preserve"> a donné ses instructions à son personnel à propos du versement de sa contribution à l’hypothèque, il a mentionné le montant d’arriéré d’impôt (110 679,74 $) au cent près.  Il faut nécessairement en déduire que M. </w:t>
      </w:r>
      <w:proofErr w:type="spellStart"/>
      <w:r w:rsidRPr="00597AF6">
        <w:rPr>
          <w:lang w:val="fr-CA"/>
        </w:rPr>
        <w:t>Heringa</w:t>
      </w:r>
      <w:proofErr w:type="spellEnd"/>
      <w:r w:rsidRPr="00597AF6">
        <w:rPr>
          <w:lang w:val="fr-CA"/>
        </w:rPr>
        <w:t xml:space="preserve"> considérait que les paiements étaient liés à cette obligation morale.  Si M. </w:t>
      </w:r>
      <w:proofErr w:type="spellStart"/>
      <w:r w:rsidRPr="00597AF6">
        <w:rPr>
          <w:lang w:val="fr-CA"/>
        </w:rPr>
        <w:t>Heringa</w:t>
      </w:r>
      <w:proofErr w:type="spellEnd"/>
      <w:r w:rsidRPr="00597AF6">
        <w:rPr>
          <w:lang w:val="fr-CA"/>
        </w:rPr>
        <w:t xml:space="preserve"> entendait, à ce </w:t>
      </w:r>
      <w:proofErr w:type="spellStart"/>
      <w:r w:rsidRPr="00597AF6">
        <w:rPr>
          <w:lang w:val="fr-CA"/>
        </w:rPr>
        <w:t>moment</w:t>
      </w:r>
      <w:r w:rsidRPr="00597AF6">
        <w:rPr>
          <w:lang w:val="fr-CA"/>
        </w:rPr>
        <w:noBreakHyphen/>
        <w:t>là</w:t>
      </w:r>
      <w:proofErr w:type="spellEnd"/>
      <w:r w:rsidRPr="00597AF6">
        <w:rPr>
          <w:lang w:val="fr-CA"/>
        </w:rPr>
        <w:t xml:space="preserve">, que </w:t>
      </w:r>
      <w:proofErr w:type="spellStart"/>
      <w:r w:rsidRPr="00597AF6">
        <w:rPr>
          <w:lang w:val="fr-CA"/>
        </w:rPr>
        <w:t>Rascal</w:t>
      </w:r>
      <w:proofErr w:type="spellEnd"/>
      <w:r w:rsidRPr="00597AF6">
        <w:rPr>
          <w:lang w:val="fr-CA"/>
        </w:rPr>
        <w:t xml:space="preserve"> acquière un intérêt bénéficiaire sur la propriété, l’obligation morale n’aurait pas été respectée puisque </w:t>
      </w:r>
      <w:proofErr w:type="spellStart"/>
      <w:r w:rsidRPr="00597AF6">
        <w:rPr>
          <w:lang w:val="fr-CA"/>
        </w:rPr>
        <w:t>Rascal</w:t>
      </w:r>
      <w:proofErr w:type="spellEnd"/>
      <w:r w:rsidRPr="00597AF6">
        <w:rPr>
          <w:lang w:val="fr-CA"/>
        </w:rPr>
        <w:t xml:space="preserve"> aurait utilisé le paiement pour obtenir un intérêt correspondant sur le terrain et non pour s’acquitter de son obligation morale.  Autrement dit, pour les parties, un paiement ne peut être utilisé à la fois pour s’acquitter de l’obligation morale et pour obtenir un intérêt bénéficiaire sur le terrain.  Les deux intentions sont incompatibles. </w:t>
      </w:r>
    </w:p>
    <w:p w:rsidR="00591040" w:rsidRPr="00597AF6" w:rsidRDefault="00591040" w:rsidP="002D288A">
      <w:pPr>
        <w:pStyle w:val="TitleTitre-AltT"/>
        <w:keepNext/>
        <w:tabs>
          <w:tab w:val="clear" w:pos="360"/>
          <w:tab w:val="left" w:pos="1170"/>
        </w:tabs>
        <w:ind w:left="1710" w:hanging="1710"/>
        <w:rPr>
          <w:u w:val="single"/>
          <w:lang w:val="fr-CA"/>
        </w:rPr>
      </w:pPr>
      <w:r w:rsidRPr="00597AF6">
        <w:rPr>
          <w:lang w:val="fr-CA"/>
        </w:rPr>
        <w:tab/>
        <w:t>(2)</w:t>
      </w:r>
      <w:r w:rsidRPr="00597AF6">
        <w:rPr>
          <w:lang w:val="fr-CA"/>
        </w:rPr>
        <w:tab/>
      </w:r>
      <w:r w:rsidRPr="00597AF6">
        <w:rPr>
          <w:u w:val="single"/>
          <w:lang w:val="fr-CA"/>
        </w:rPr>
        <w:t xml:space="preserve">Preuve de l’intention de </w:t>
      </w:r>
      <w:proofErr w:type="spellStart"/>
      <w:r w:rsidRPr="00597AF6">
        <w:rPr>
          <w:u w:val="single"/>
          <w:lang w:val="fr-CA"/>
        </w:rPr>
        <w:t>Rascal</w:t>
      </w:r>
      <w:proofErr w:type="spellEnd"/>
    </w:p>
    <w:p w:rsidR="00591040" w:rsidRPr="00597AF6" w:rsidRDefault="00591040" w:rsidP="00591040">
      <w:pPr>
        <w:pStyle w:val="ParaNoNdepar-AltN"/>
        <w:rPr>
          <w:lang w:val="fr-CA"/>
        </w:rPr>
      </w:pPr>
      <w:r w:rsidRPr="00597AF6">
        <w:rPr>
          <w:lang w:val="fr-CA"/>
        </w:rPr>
        <w:t>Les éléments de preuve postérieurs au transfert à titre gratuit peuvent être admissibles pour montrer la véritable intention de l’auteur du transfert </w:t>
      </w:r>
      <w:r w:rsidR="00AA0516">
        <w:rPr>
          <w:lang w:val="fr-CA"/>
        </w:rPr>
        <w:t>(</w:t>
      </w:r>
      <w:proofErr w:type="spellStart"/>
      <w:r w:rsidRPr="00597AF6">
        <w:rPr>
          <w:i/>
          <w:lang w:val="fr-CA"/>
        </w:rPr>
        <w:t>Pecore</w:t>
      </w:r>
      <w:proofErr w:type="spellEnd"/>
      <w:r w:rsidRPr="00597AF6">
        <w:rPr>
          <w:lang w:val="fr-CA"/>
        </w:rPr>
        <w:t>, par. 59</w:t>
      </w:r>
      <w:r w:rsidR="00AA0516">
        <w:rPr>
          <w:lang w:val="fr-CA"/>
        </w:rPr>
        <w:t>)</w:t>
      </w:r>
      <w:r w:rsidRPr="00597AF6">
        <w:rPr>
          <w:lang w:val="fr-CA"/>
        </w:rPr>
        <w:t xml:space="preserve">.  Toutefois, c’est l’intention de l’auteur du transfert </w:t>
      </w:r>
      <w:r w:rsidRPr="00597AF6">
        <w:rPr>
          <w:i/>
          <w:lang w:val="fr-CA"/>
        </w:rPr>
        <w:t>au moment du transfert</w:t>
      </w:r>
      <w:r w:rsidRPr="00597AF6">
        <w:rPr>
          <w:lang w:val="fr-CA"/>
        </w:rPr>
        <w:t xml:space="preserve"> qui est déterminante.  La difficulté que posent les éléments de preuve postérieurs au transfert est qu’ils peuvent être intéressés ou qu’ils peuvent résulter d’un changement d’intention de la part de l’auteur du transfert </w:t>
      </w:r>
      <w:r w:rsidR="00AA0516">
        <w:rPr>
          <w:lang w:val="fr-CA"/>
        </w:rPr>
        <w:t>(</w:t>
      </w:r>
      <w:proofErr w:type="spellStart"/>
      <w:r w:rsidRPr="00597AF6">
        <w:rPr>
          <w:i/>
          <w:lang w:val="fr-CA"/>
        </w:rPr>
        <w:t>Pecore</w:t>
      </w:r>
      <w:proofErr w:type="spellEnd"/>
      <w:r w:rsidRPr="00597AF6">
        <w:rPr>
          <w:lang w:val="fr-CA"/>
        </w:rPr>
        <w:t>, par. 59</w:t>
      </w:r>
      <w:r w:rsidR="00AA0516">
        <w:rPr>
          <w:lang w:val="fr-CA"/>
        </w:rPr>
        <w:t>)</w:t>
      </w:r>
      <w:r w:rsidRPr="00597AF6">
        <w:rPr>
          <w:lang w:val="fr-CA"/>
        </w:rPr>
        <w:t>.</w:t>
      </w:r>
    </w:p>
    <w:p w:rsidR="00591040" w:rsidRPr="00597AF6" w:rsidRDefault="00591040" w:rsidP="00591040">
      <w:pPr>
        <w:pStyle w:val="ParaNoNdepar-AltN"/>
        <w:rPr>
          <w:lang w:val="fr-CA"/>
        </w:rPr>
      </w:pPr>
      <w:r w:rsidRPr="00597AF6">
        <w:rPr>
          <w:lang w:val="fr-CA"/>
        </w:rPr>
        <w:t xml:space="preserve">Dans ses motifs, le juge de première instance a fait deux remarques au sujet de l’intention de </w:t>
      </w:r>
      <w:proofErr w:type="spellStart"/>
      <w:r w:rsidRPr="00597AF6">
        <w:rPr>
          <w:lang w:val="fr-CA"/>
        </w:rPr>
        <w:t>Rascal</w:t>
      </w:r>
      <w:proofErr w:type="spellEnd"/>
      <w:r w:rsidRPr="00597AF6">
        <w:rPr>
          <w:lang w:val="fr-CA"/>
        </w:rPr>
        <w:t xml:space="preserve">.  En examinant la question de savoir si </w:t>
      </w:r>
      <w:proofErr w:type="spellStart"/>
      <w:r w:rsidRPr="00597AF6">
        <w:rPr>
          <w:lang w:val="fr-CA"/>
        </w:rPr>
        <w:t>Rascal</w:t>
      </w:r>
      <w:proofErr w:type="spellEnd"/>
      <w:r w:rsidRPr="00597AF6">
        <w:rPr>
          <w:lang w:val="fr-CA"/>
        </w:rPr>
        <w:t xml:space="preserve"> et M. Nishi avaient convenu qu’une partie de la propriété serait cédée à </w:t>
      </w:r>
      <w:proofErr w:type="spellStart"/>
      <w:r w:rsidRPr="00597AF6">
        <w:rPr>
          <w:lang w:val="fr-CA"/>
        </w:rPr>
        <w:t>Rascal</w:t>
      </w:r>
      <w:proofErr w:type="spellEnd"/>
      <w:r w:rsidRPr="00597AF6">
        <w:rPr>
          <w:lang w:val="fr-CA"/>
        </w:rPr>
        <w:t>, le juge a déclaré que [</w:t>
      </w:r>
      <w:r w:rsidRPr="00597AF6">
        <w:rPr>
          <w:smallCaps/>
          <w:lang w:val="fr-CA"/>
        </w:rPr>
        <w:t>traduction</w:t>
      </w:r>
      <w:r w:rsidRPr="00597AF6">
        <w:rPr>
          <w:lang w:val="fr-CA"/>
        </w:rPr>
        <w:t>] « </w:t>
      </w:r>
      <w:r w:rsidR="00F73776">
        <w:rPr>
          <w:lang w:val="fr-CA"/>
        </w:rPr>
        <w:t>[</w:t>
      </w:r>
      <w:r w:rsidR="00AA0516">
        <w:rPr>
          <w:lang w:val="fr-CA"/>
        </w:rPr>
        <w:t>l</w:t>
      </w:r>
      <w:r w:rsidR="00F73776">
        <w:rPr>
          <w:lang w:val="fr-CA"/>
        </w:rPr>
        <w:t>]</w:t>
      </w:r>
      <w:r w:rsidR="00AA0516">
        <w:rPr>
          <w:lang w:val="fr-CA"/>
        </w:rPr>
        <w:t>’</w:t>
      </w:r>
      <w:r w:rsidRPr="00597AF6">
        <w:rPr>
          <w:lang w:val="fr-CA"/>
        </w:rPr>
        <w:t xml:space="preserve">intention et </w:t>
      </w:r>
      <w:r w:rsidR="00AA0516">
        <w:rPr>
          <w:lang w:val="fr-CA"/>
        </w:rPr>
        <w:t>le</w:t>
      </w:r>
      <w:r w:rsidRPr="00597AF6">
        <w:rPr>
          <w:lang w:val="fr-CA"/>
        </w:rPr>
        <w:t xml:space="preserve"> désir [de M. </w:t>
      </w:r>
      <w:proofErr w:type="spellStart"/>
      <w:r w:rsidRPr="00597AF6">
        <w:rPr>
          <w:lang w:val="fr-CA"/>
        </w:rPr>
        <w:t>Heringa</w:t>
      </w:r>
      <w:proofErr w:type="spellEnd"/>
      <w:r w:rsidRPr="00597AF6">
        <w:rPr>
          <w:lang w:val="fr-CA"/>
        </w:rPr>
        <w:t xml:space="preserve">] de s’assurer un </w:t>
      </w:r>
      <w:r w:rsidRPr="00597AF6">
        <w:rPr>
          <w:lang w:val="fr-CA"/>
        </w:rPr>
        <w:lastRenderedPageBreak/>
        <w:t xml:space="preserve">intérêt étaient évidents, mais M. Nishi n’y a pas consenti » (par. 39).  Plus loin dans ses motifs, le juge a affirmé qu’il avait « expressément accepté le témoignage de M. Nishi selon lequel il n’y avait aucune intention d’accorder à </w:t>
      </w:r>
      <w:proofErr w:type="spellStart"/>
      <w:r w:rsidRPr="00597AF6">
        <w:rPr>
          <w:lang w:val="fr-CA"/>
        </w:rPr>
        <w:t>Rascal</w:t>
      </w:r>
      <w:proofErr w:type="spellEnd"/>
      <w:r w:rsidRPr="00597AF6">
        <w:rPr>
          <w:lang w:val="fr-CA"/>
        </w:rPr>
        <w:t xml:space="preserve"> un intérêt dans le terrain » (par. 47).  À mon avis, aucune de ces affirmations n’est incompatible avec la conclusion du juge de première instance selon laquelle la présomption de fiducie </w:t>
      </w:r>
      <w:proofErr w:type="spellStart"/>
      <w:r w:rsidRPr="00597AF6">
        <w:rPr>
          <w:lang w:val="fr-CA"/>
        </w:rPr>
        <w:t>résultoire</w:t>
      </w:r>
      <w:proofErr w:type="spellEnd"/>
      <w:r w:rsidRPr="00597AF6">
        <w:rPr>
          <w:lang w:val="fr-CA"/>
        </w:rPr>
        <w:t xml:space="preserve"> a été réfutée. </w:t>
      </w:r>
    </w:p>
    <w:p w:rsidR="00591040" w:rsidRPr="00597AF6" w:rsidRDefault="00591040" w:rsidP="00591040">
      <w:pPr>
        <w:pStyle w:val="ParaNoNdepar-AltN"/>
        <w:rPr>
          <w:lang w:val="fr-CA"/>
        </w:rPr>
      </w:pPr>
      <w:r w:rsidRPr="00597AF6">
        <w:rPr>
          <w:lang w:val="fr-CA"/>
        </w:rPr>
        <w:t>La première affirmation du juge de première instance a été faite lorsqu’il a examiné la question de savoir si M. </w:t>
      </w:r>
      <w:proofErr w:type="spellStart"/>
      <w:r w:rsidRPr="00597AF6">
        <w:rPr>
          <w:lang w:val="fr-CA"/>
        </w:rPr>
        <w:t>Heringa</w:t>
      </w:r>
      <w:proofErr w:type="spellEnd"/>
      <w:r w:rsidRPr="00597AF6">
        <w:rPr>
          <w:lang w:val="fr-CA"/>
        </w:rPr>
        <w:t xml:space="preserve"> et M. Nishi avaient conclu un contrat aux termes duquel un intérêt dans le terrain devait être cédé à M. </w:t>
      </w:r>
      <w:proofErr w:type="spellStart"/>
      <w:r w:rsidRPr="00597AF6">
        <w:rPr>
          <w:lang w:val="fr-CA"/>
        </w:rPr>
        <w:t>Heringa</w:t>
      </w:r>
      <w:proofErr w:type="spellEnd"/>
      <w:r w:rsidRPr="00597AF6">
        <w:rPr>
          <w:lang w:val="fr-CA"/>
        </w:rPr>
        <w:t>.  Le juge a affirmé ce qui suit :</w:t>
      </w:r>
    </w:p>
    <w:p w:rsidR="00591040" w:rsidRPr="00597AF6" w:rsidRDefault="00591040" w:rsidP="003552E5">
      <w:pPr>
        <w:pStyle w:val="Citation-AltC"/>
        <w:tabs>
          <w:tab w:val="left" w:pos="1620"/>
        </w:tabs>
        <w:ind w:hanging="1166"/>
        <w:rPr>
          <w:lang w:val="fr-CA"/>
        </w:rPr>
      </w:pPr>
      <w:r w:rsidRPr="00597AF6">
        <w:rPr>
          <w:lang w:val="fr-CA"/>
        </w:rPr>
        <w:tab/>
      </w:r>
      <w:r w:rsidRPr="00597AF6">
        <w:rPr>
          <w:lang w:val="fr-CA"/>
        </w:rPr>
        <w:tab/>
        <w:t>[</w:t>
      </w:r>
      <w:r w:rsidRPr="00597AF6">
        <w:rPr>
          <w:smallCaps/>
          <w:lang w:val="fr-CA"/>
        </w:rPr>
        <w:t>traduction</w:t>
      </w:r>
      <w:r w:rsidRPr="00597AF6">
        <w:rPr>
          <w:lang w:val="fr-CA"/>
        </w:rPr>
        <w:t>]  L’intention et le désir [de M. </w:t>
      </w:r>
      <w:proofErr w:type="spellStart"/>
      <w:r w:rsidRPr="00597AF6">
        <w:rPr>
          <w:lang w:val="fr-CA"/>
        </w:rPr>
        <w:t>Heringa</w:t>
      </w:r>
      <w:proofErr w:type="spellEnd"/>
      <w:r w:rsidRPr="00597AF6">
        <w:rPr>
          <w:lang w:val="fr-CA"/>
        </w:rPr>
        <w:t xml:space="preserve">] de s’assurer un intérêt étaient évidents, mais </w:t>
      </w:r>
      <w:r w:rsidRPr="00597AF6">
        <w:rPr>
          <w:u w:val="single"/>
          <w:lang w:val="fr-CA"/>
        </w:rPr>
        <w:t>M. Nishi n’y a pas consenti</w:t>
      </w:r>
      <w:r w:rsidRPr="00597AF6">
        <w:rPr>
          <w:lang w:val="fr-CA"/>
        </w:rPr>
        <w:t>.  Par conséquent, je conclus qu’</w:t>
      </w:r>
      <w:r w:rsidRPr="00D116E1">
        <w:rPr>
          <w:u w:val="single"/>
          <w:lang w:val="fr-CA"/>
        </w:rPr>
        <w:t xml:space="preserve">il </w:t>
      </w:r>
      <w:r w:rsidRPr="00E7379B">
        <w:rPr>
          <w:u w:val="single"/>
          <w:lang w:val="fr-CA"/>
        </w:rPr>
        <w:t xml:space="preserve">n’y </w:t>
      </w:r>
      <w:r w:rsidRPr="00597AF6">
        <w:rPr>
          <w:u w:val="single"/>
          <w:lang w:val="fr-CA"/>
        </w:rPr>
        <w:t>avait aucune entente</w:t>
      </w:r>
      <w:r w:rsidRPr="00597AF6">
        <w:rPr>
          <w:lang w:val="fr-CA"/>
        </w:rPr>
        <w:t xml:space="preserve"> suivant laquelle M. </w:t>
      </w:r>
      <w:proofErr w:type="spellStart"/>
      <w:r w:rsidRPr="00597AF6">
        <w:rPr>
          <w:lang w:val="fr-CA"/>
        </w:rPr>
        <w:t>Heringa</w:t>
      </w:r>
      <w:proofErr w:type="spellEnd"/>
      <w:r w:rsidRPr="00597AF6">
        <w:rPr>
          <w:lang w:val="fr-CA"/>
        </w:rPr>
        <w:t xml:space="preserve"> devait se voir accorder un intérêt dans le terrain ou un titre de propriété de </w:t>
      </w:r>
      <w:proofErr w:type="spellStart"/>
      <w:r w:rsidRPr="00597AF6">
        <w:rPr>
          <w:lang w:val="fr-CA"/>
        </w:rPr>
        <w:t>celui</w:t>
      </w:r>
      <w:r w:rsidRPr="00597AF6">
        <w:rPr>
          <w:lang w:val="fr-CA"/>
        </w:rPr>
        <w:noBreakHyphen/>
        <w:t>ci</w:t>
      </w:r>
      <w:proofErr w:type="spellEnd"/>
      <w:r w:rsidR="00AA0516">
        <w:rPr>
          <w:lang w:val="fr-CA"/>
        </w:rPr>
        <w:t>.</w:t>
      </w:r>
      <w:r w:rsidRPr="00597AF6">
        <w:rPr>
          <w:lang w:val="fr-CA"/>
        </w:rPr>
        <w:t xml:space="preserve"> [Je souligne; par. 39.]</w:t>
      </w:r>
    </w:p>
    <w:p w:rsidR="00591040" w:rsidRPr="00597AF6" w:rsidRDefault="00591040" w:rsidP="00591040">
      <w:pPr>
        <w:pStyle w:val="ContinueParaSuitedupar-AltP"/>
        <w:rPr>
          <w:lang w:val="fr-CA"/>
        </w:rPr>
      </w:pPr>
      <w:r w:rsidRPr="00597AF6">
        <w:rPr>
          <w:lang w:val="fr-CA"/>
        </w:rPr>
        <w:t xml:space="preserve">Il ressort clairement de la télécopie du 25 mai 2001 — dans laquelle il demandait la conclusion d’une entente prévoyant la cession et le transfert à </w:t>
      </w:r>
      <w:proofErr w:type="spellStart"/>
      <w:r w:rsidRPr="00597AF6">
        <w:rPr>
          <w:lang w:val="fr-CA"/>
        </w:rPr>
        <w:t>Rascal</w:t>
      </w:r>
      <w:proofErr w:type="spellEnd"/>
      <w:r w:rsidRPr="00597AF6">
        <w:rPr>
          <w:lang w:val="fr-CA"/>
        </w:rPr>
        <w:t xml:space="preserve"> de la moitié inférieure du terrain — que M. </w:t>
      </w:r>
      <w:proofErr w:type="spellStart"/>
      <w:r w:rsidRPr="00597AF6">
        <w:rPr>
          <w:lang w:val="fr-CA"/>
        </w:rPr>
        <w:t>Heringa</w:t>
      </w:r>
      <w:proofErr w:type="spellEnd"/>
      <w:r w:rsidRPr="00597AF6">
        <w:rPr>
          <w:lang w:val="fr-CA"/>
        </w:rPr>
        <w:t xml:space="preserve"> désirait conclure une entente suivant laquelle la moitié de la propriété lui serait cédée.  Cependant, M. </w:t>
      </w:r>
      <w:proofErr w:type="spellStart"/>
      <w:r w:rsidRPr="00597AF6">
        <w:rPr>
          <w:lang w:val="fr-CA"/>
        </w:rPr>
        <w:t>Heringa</w:t>
      </w:r>
      <w:proofErr w:type="spellEnd"/>
      <w:r w:rsidRPr="00597AF6">
        <w:rPr>
          <w:lang w:val="fr-CA"/>
        </w:rPr>
        <w:t xml:space="preserve"> a retiré cette demande dans la télécopie envoyée le 28 mai 2001 lorsqu’il a déclaré que le soutien financier était exempt de toute condition ou exigence. </w:t>
      </w:r>
    </w:p>
    <w:p w:rsidR="00591040" w:rsidRPr="00597AF6" w:rsidRDefault="00591040" w:rsidP="00591040">
      <w:pPr>
        <w:pStyle w:val="ParaNoNdepar-AltN"/>
        <w:rPr>
          <w:lang w:val="fr-CA"/>
        </w:rPr>
      </w:pPr>
      <w:proofErr w:type="spellStart"/>
      <w:r w:rsidRPr="00597AF6">
        <w:rPr>
          <w:lang w:val="fr-CA"/>
        </w:rPr>
        <w:lastRenderedPageBreak/>
        <w:t>Rascal</w:t>
      </w:r>
      <w:proofErr w:type="spellEnd"/>
      <w:r w:rsidRPr="00597AF6">
        <w:rPr>
          <w:lang w:val="fr-CA"/>
        </w:rPr>
        <w:t xml:space="preserve"> a plaidé devant la Cour que la conclusion du juge de première instance selon laquelle [</w:t>
      </w:r>
      <w:r w:rsidRPr="00597AF6">
        <w:rPr>
          <w:smallCaps/>
          <w:lang w:val="fr-CA"/>
        </w:rPr>
        <w:t>traduction</w:t>
      </w:r>
      <w:r w:rsidRPr="00597AF6">
        <w:rPr>
          <w:lang w:val="fr-CA"/>
        </w:rPr>
        <w:t>] « </w:t>
      </w:r>
      <w:r w:rsidR="00D116E1">
        <w:rPr>
          <w:lang w:val="fr-CA"/>
        </w:rPr>
        <w:t>[</w:t>
      </w:r>
      <w:r w:rsidRPr="00597AF6">
        <w:rPr>
          <w:lang w:val="fr-CA"/>
        </w:rPr>
        <w:t>l</w:t>
      </w:r>
      <w:r w:rsidR="00D116E1">
        <w:rPr>
          <w:lang w:val="fr-CA"/>
        </w:rPr>
        <w:t>]</w:t>
      </w:r>
      <w:r w:rsidRPr="00597AF6">
        <w:rPr>
          <w:lang w:val="fr-CA"/>
        </w:rPr>
        <w:t>’intention et le désir [de M. </w:t>
      </w:r>
      <w:proofErr w:type="spellStart"/>
      <w:r w:rsidRPr="00597AF6">
        <w:rPr>
          <w:lang w:val="fr-CA"/>
        </w:rPr>
        <w:t>Heringa</w:t>
      </w:r>
      <w:proofErr w:type="spellEnd"/>
      <w:r w:rsidRPr="00597AF6">
        <w:rPr>
          <w:lang w:val="fr-CA"/>
        </w:rPr>
        <w:t xml:space="preserve">] de s’assurer un intérêt étaient évidents » constitue une conclusion de fait sur l’intention de </w:t>
      </w:r>
      <w:proofErr w:type="spellStart"/>
      <w:r w:rsidRPr="00597AF6">
        <w:rPr>
          <w:lang w:val="fr-CA"/>
        </w:rPr>
        <w:t>Rascal</w:t>
      </w:r>
      <w:proofErr w:type="spellEnd"/>
      <w:r w:rsidRPr="00597AF6">
        <w:rPr>
          <w:lang w:val="fr-CA"/>
        </w:rPr>
        <w:t xml:space="preserve"> de détenir un intérêt bénéficiaire sur la propriété en contrepartie de l’avance de fonds.  Les conclusions du juge de première instance en ce qui concerne l’intention et le désir de conclure un contrat ne devraient toutefois pas être appliquées à la question de la fiducie </w:t>
      </w:r>
      <w:proofErr w:type="spellStart"/>
      <w:r w:rsidRPr="00597AF6">
        <w:rPr>
          <w:lang w:val="fr-CA"/>
        </w:rPr>
        <w:t>résultoire</w:t>
      </w:r>
      <w:proofErr w:type="spellEnd"/>
      <w:r w:rsidRPr="00597AF6">
        <w:rPr>
          <w:lang w:val="fr-CA"/>
        </w:rPr>
        <w:t xml:space="preserve"> puisque le juge a choisi de ne pas le faire.  De toute évidence, le juge de première instance n’a pas considéré sa conclusion relative à l’intention de conclure un contrat comme étant déterminante de l’intention pour les besoins de l’analyse de la fiducie </w:t>
      </w:r>
      <w:proofErr w:type="spellStart"/>
      <w:r w:rsidRPr="00597AF6">
        <w:rPr>
          <w:lang w:val="fr-CA"/>
        </w:rPr>
        <w:t>résultoire</w:t>
      </w:r>
      <w:proofErr w:type="spellEnd"/>
      <w:r w:rsidRPr="00597AF6">
        <w:rPr>
          <w:lang w:val="fr-CA"/>
        </w:rPr>
        <w:t>.  M</w:t>
      </w:r>
      <w:r w:rsidR="00AA0516">
        <w:rPr>
          <w:lang w:val="fr-CA"/>
        </w:rPr>
        <w:t>.</w:t>
      </w:r>
      <w:r w:rsidRPr="00597AF6">
        <w:rPr>
          <w:lang w:val="fr-CA"/>
        </w:rPr>
        <w:t xml:space="preserve"> </w:t>
      </w:r>
      <w:proofErr w:type="spellStart"/>
      <w:r w:rsidRPr="00597AF6">
        <w:rPr>
          <w:lang w:val="fr-CA"/>
        </w:rPr>
        <w:t>Heringa</w:t>
      </w:r>
      <w:proofErr w:type="spellEnd"/>
      <w:r w:rsidRPr="00597AF6">
        <w:rPr>
          <w:lang w:val="fr-CA"/>
        </w:rPr>
        <w:t xml:space="preserve"> a retiré cette demande dans la télécopie du 28 mai 2001 en déclarant que le soutien financier était exempt de toute condition ou exigence.  Il était loisible au juge d’organiser ses conclusions de fait de cette manière. </w:t>
      </w:r>
    </w:p>
    <w:p w:rsidR="00591040" w:rsidRPr="00597AF6" w:rsidRDefault="00591040" w:rsidP="00591040">
      <w:pPr>
        <w:pStyle w:val="ParaNoNdepar-AltN"/>
        <w:rPr>
          <w:lang w:val="fr-CA"/>
        </w:rPr>
      </w:pPr>
      <w:r w:rsidRPr="00597AF6">
        <w:rPr>
          <w:lang w:val="fr-CA"/>
        </w:rPr>
        <w:t>Concernant la deuxième affirmation du juge de première instance — selon laquelle il [</w:t>
      </w:r>
      <w:r w:rsidRPr="00597AF6">
        <w:rPr>
          <w:smallCaps/>
          <w:lang w:val="fr-CA"/>
        </w:rPr>
        <w:t>traduction</w:t>
      </w:r>
      <w:r w:rsidRPr="00597AF6">
        <w:rPr>
          <w:lang w:val="fr-CA"/>
        </w:rPr>
        <w:t>] « </w:t>
      </w:r>
      <w:r w:rsidR="004D6A59" w:rsidRPr="00597AF6">
        <w:rPr>
          <w:lang w:val="fr-CA"/>
        </w:rPr>
        <w:t xml:space="preserve">avait </w:t>
      </w:r>
      <w:r w:rsidRPr="00597AF6">
        <w:rPr>
          <w:lang w:val="fr-CA"/>
        </w:rPr>
        <w:t xml:space="preserve">accepté le témoignage de M. Nishi selon lequel il n’y avait aucune intention d’accorder à </w:t>
      </w:r>
      <w:proofErr w:type="spellStart"/>
      <w:r w:rsidRPr="00597AF6">
        <w:rPr>
          <w:lang w:val="fr-CA"/>
        </w:rPr>
        <w:t>Rascal</w:t>
      </w:r>
      <w:proofErr w:type="spellEnd"/>
      <w:r w:rsidRPr="00597AF6">
        <w:rPr>
          <w:lang w:val="fr-CA"/>
        </w:rPr>
        <w:t xml:space="preserve"> un intérêt </w:t>
      </w:r>
      <w:r w:rsidR="00D116E1">
        <w:rPr>
          <w:lang w:val="fr-CA"/>
        </w:rPr>
        <w:t>dans</w:t>
      </w:r>
      <w:r w:rsidRPr="00597AF6">
        <w:rPr>
          <w:lang w:val="fr-CA"/>
        </w:rPr>
        <w:t xml:space="preserve"> le terrain » — le juge de première instance ne faisait pas seulement référence au témoignage de M. Nishi établissant sa propre intention à ce </w:t>
      </w:r>
      <w:proofErr w:type="spellStart"/>
      <w:r w:rsidRPr="00597AF6">
        <w:rPr>
          <w:lang w:val="fr-CA"/>
        </w:rPr>
        <w:t>moment</w:t>
      </w:r>
      <w:r w:rsidRPr="00597AF6">
        <w:rPr>
          <w:lang w:val="fr-CA"/>
        </w:rPr>
        <w:noBreakHyphen/>
        <w:t>là</w:t>
      </w:r>
      <w:proofErr w:type="spellEnd"/>
      <w:r w:rsidRPr="00597AF6">
        <w:rPr>
          <w:lang w:val="fr-CA"/>
        </w:rPr>
        <w:t>, mais aussi au témoignage de M. Nishi au sujet de l’intention de M. </w:t>
      </w:r>
      <w:proofErr w:type="spellStart"/>
      <w:r w:rsidRPr="00597AF6">
        <w:rPr>
          <w:lang w:val="fr-CA"/>
        </w:rPr>
        <w:t>Heringa</w:t>
      </w:r>
      <w:proofErr w:type="spellEnd"/>
      <w:r w:rsidRPr="00597AF6">
        <w:rPr>
          <w:lang w:val="fr-CA"/>
        </w:rPr>
        <w:t xml:space="preserve"> et de </w:t>
      </w:r>
      <w:proofErr w:type="spellStart"/>
      <w:r w:rsidRPr="00597AF6">
        <w:rPr>
          <w:lang w:val="fr-CA"/>
        </w:rPr>
        <w:t>Rascal</w:t>
      </w:r>
      <w:proofErr w:type="spellEnd"/>
      <w:r w:rsidRPr="00597AF6">
        <w:rPr>
          <w:lang w:val="fr-CA"/>
        </w:rPr>
        <w:t xml:space="preserve"> à ce </w:t>
      </w:r>
      <w:proofErr w:type="spellStart"/>
      <w:r w:rsidRPr="00597AF6">
        <w:rPr>
          <w:lang w:val="fr-CA"/>
        </w:rPr>
        <w:t>moment</w:t>
      </w:r>
      <w:r w:rsidRPr="00597AF6">
        <w:rPr>
          <w:lang w:val="fr-CA"/>
        </w:rPr>
        <w:noBreakHyphen/>
        <w:t>là</w:t>
      </w:r>
      <w:proofErr w:type="spellEnd"/>
      <w:r w:rsidRPr="00597AF6">
        <w:rPr>
          <w:lang w:val="fr-CA"/>
        </w:rPr>
        <w:t xml:space="preserve">.  C’est ce qui découle de son analyse du fait que </w:t>
      </w:r>
      <w:proofErr w:type="spellStart"/>
      <w:r w:rsidRPr="00597AF6">
        <w:rPr>
          <w:lang w:val="fr-CA"/>
        </w:rPr>
        <w:t>Rascal</w:t>
      </w:r>
      <w:proofErr w:type="spellEnd"/>
      <w:r w:rsidRPr="00597AF6">
        <w:rPr>
          <w:lang w:val="fr-CA"/>
        </w:rPr>
        <w:t xml:space="preserve"> se reconnaissait responsable de la dette (par. 45</w:t>
      </w:r>
      <w:r w:rsidR="00AA0516">
        <w:rPr>
          <w:lang w:val="fr-CA"/>
        </w:rPr>
        <w:t xml:space="preserve"> et 47</w:t>
      </w:r>
      <w:r w:rsidRPr="00597AF6">
        <w:rPr>
          <w:lang w:val="fr-CA"/>
        </w:rPr>
        <w:t xml:space="preserve">). </w:t>
      </w:r>
    </w:p>
    <w:p w:rsidR="00591040" w:rsidRPr="00597AF6" w:rsidRDefault="00591040" w:rsidP="00591040">
      <w:pPr>
        <w:pStyle w:val="ParaNoNdepar-AltN"/>
        <w:rPr>
          <w:lang w:val="fr-CA"/>
        </w:rPr>
      </w:pPr>
      <w:r w:rsidRPr="00597AF6">
        <w:rPr>
          <w:lang w:val="fr-CA"/>
        </w:rPr>
        <w:lastRenderedPageBreak/>
        <w:t xml:space="preserve">Au procès, </w:t>
      </w:r>
      <w:proofErr w:type="spellStart"/>
      <w:r w:rsidRPr="00597AF6">
        <w:rPr>
          <w:lang w:val="fr-CA"/>
        </w:rPr>
        <w:t>Rascal</w:t>
      </w:r>
      <w:proofErr w:type="spellEnd"/>
      <w:r w:rsidRPr="00597AF6">
        <w:rPr>
          <w:lang w:val="fr-CA"/>
        </w:rPr>
        <w:t xml:space="preserve"> a soutenu qu’au moment de faire la contribution au prix d’achat, M. </w:t>
      </w:r>
      <w:proofErr w:type="spellStart"/>
      <w:r w:rsidRPr="00597AF6">
        <w:rPr>
          <w:lang w:val="fr-CA"/>
        </w:rPr>
        <w:t>Heringa</w:t>
      </w:r>
      <w:proofErr w:type="spellEnd"/>
      <w:r w:rsidRPr="00597AF6">
        <w:rPr>
          <w:lang w:val="fr-CA"/>
        </w:rPr>
        <w:t xml:space="preserve"> et elle souhaitaient qu’elle conserve l’intérêt bénéficiaire au prorata de sa contribution.  Le juge de première instance a essentiellement conclu qu’il ne pouvait s’appuyer sur le témoignage de M. </w:t>
      </w:r>
      <w:proofErr w:type="spellStart"/>
      <w:r w:rsidRPr="00597AF6">
        <w:rPr>
          <w:lang w:val="fr-CA"/>
        </w:rPr>
        <w:t>Heringa</w:t>
      </w:r>
      <w:proofErr w:type="spellEnd"/>
      <w:r w:rsidRPr="00597AF6">
        <w:rPr>
          <w:lang w:val="fr-CA"/>
        </w:rPr>
        <w:t xml:space="preserve"> quant à l’intention de </w:t>
      </w:r>
      <w:proofErr w:type="spellStart"/>
      <w:r w:rsidRPr="00597AF6">
        <w:rPr>
          <w:lang w:val="fr-CA"/>
        </w:rPr>
        <w:t>Rascal</w:t>
      </w:r>
      <w:proofErr w:type="spellEnd"/>
      <w:r w:rsidRPr="00597AF6">
        <w:rPr>
          <w:lang w:val="fr-CA"/>
        </w:rPr>
        <w:t xml:space="preserve"> au moment du transfert.  Suivant la mise en garde formulée par la Cour dans </w:t>
      </w:r>
      <w:proofErr w:type="spellStart"/>
      <w:r w:rsidRPr="00597AF6">
        <w:rPr>
          <w:i/>
          <w:lang w:val="fr-CA"/>
        </w:rPr>
        <w:t>Pecore</w:t>
      </w:r>
      <w:proofErr w:type="spellEnd"/>
      <w:r w:rsidRPr="00597AF6">
        <w:rPr>
          <w:lang w:val="fr-CA"/>
        </w:rPr>
        <w:t>, cette conclusion illustre parfaitement la raison pour laquelle les éléments de preuve postérieurs au fait devraient être examinés avec scepticisme, parce qu’ils démontrent souvent un changement d’intention et non l’intention au moment de l’avance de fonds.  Il était loisible au juge de première instance d’arriver à cette conclusion, laquelle était bien étayée par la preuve, surtout la télécopie de M. </w:t>
      </w:r>
      <w:proofErr w:type="spellStart"/>
      <w:r w:rsidRPr="00597AF6">
        <w:rPr>
          <w:lang w:val="fr-CA"/>
        </w:rPr>
        <w:t>Heringa</w:t>
      </w:r>
      <w:proofErr w:type="spellEnd"/>
      <w:r w:rsidRPr="00597AF6">
        <w:rPr>
          <w:lang w:val="fr-CA"/>
        </w:rPr>
        <w:t xml:space="preserve"> datée du 28 mai 2001.  La décision du juge de première instance n’est pas erronée et doit être rétablie.</w:t>
      </w:r>
    </w:p>
    <w:p w:rsidR="00591040" w:rsidRPr="00597AF6" w:rsidRDefault="00591040" w:rsidP="00AA0516">
      <w:pPr>
        <w:pStyle w:val="TitleTitre-AltT"/>
        <w:keepNext/>
        <w:tabs>
          <w:tab w:val="clear" w:pos="360"/>
        </w:tabs>
        <w:ind w:left="540" w:hanging="540"/>
        <w:rPr>
          <w:lang w:val="fr-CA"/>
        </w:rPr>
      </w:pPr>
      <w:r w:rsidRPr="00597AF6">
        <w:rPr>
          <w:lang w:val="fr-CA"/>
        </w:rPr>
        <w:t>V.</w:t>
      </w:r>
      <w:r w:rsidRPr="00597AF6">
        <w:rPr>
          <w:lang w:val="fr-CA"/>
        </w:rPr>
        <w:tab/>
      </w:r>
      <w:r w:rsidRPr="00597AF6">
        <w:rPr>
          <w:u w:val="single"/>
          <w:lang w:val="fr-CA"/>
        </w:rPr>
        <w:t>Dispositif</w:t>
      </w:r>
    </w:p>
    <w:p w:rsidR="00591040" w:rsidRPr="00597AF6" w:rsidRDefault="00591040" w:rsidP="00591040">
      <w:pPr>
        <w:pStyle w:val="ParaNoNdepar-AltN"/>
        <w:rPr>
          <w:lang w:val="fr-CA"/>
        </w:rPr>
      </w:pPr>
      <w:r w:rsidRPr="00597AF6">
        <w:rPr>
          <w:lang w:val="fr-CA"/>
        </w:rPr>
        <w:t xml:space="preserve">La conclusion du juge de première instance selon laquelle la présomption de fiducie </w:t>
      </w:r>
      <w:proofErr w:type="spellStart"/>
      <w:r w:rsidRPr="00597AF6">
        <w:rPr>
          <w:lang w:val="fr-CA"/>
        </w:rPr>
        <w:t>résultoire</w:t>
      </w:r>
      <w:proofErr w:type="spellEnd"/>
      <w:r w:rsidRPr="00597AF6">
        <w:rPr>
          <w:lang w:val="fr-CA"/>
        </w:rPr>
        <w:t xml:space="preserve"> avait été réfutée est bien fondée.  Je suis d’avis d’accueillir le pourvoi et de rétablir la décision du juge de première instance avec dépens en faveur de M. Nishi devant toutes les cours.</w:t>
      </w:r>
    </w:p>
    <w:p w:rsidR="004D7D95" w:rsidRPr="001126BE" w:rsidRDefault="00686115" w:rsidP="004633A7">
      <w:pPr>
        <w:pStyle w:val="SCCNormalDoubleSpacing"/>
        <w:spacing w:after="480"/>
        <w:rPr>
          <w:i/>
          <w:lang w:val="fr-CA"/>
        </w:rPr>
      </w:pPr>
      <w:r w:rsidRPr="001126BE">
        <w:rPr>
          <w:lang w:val="fr-CA"/>
        </w:rPr>
        <w:tab/>
      </w:r>
      <w:r w:rsidRPr="001126BE">
        <w:rPr>
          <w:i/>
          <w:lang w:val="fr-CA"/>
        </w:rPr>
        <w:t>Pourvoi accueilli avec dépens devant toutes les cours.</w:t>
      </w:r>
    </w:p>
    <w:p w:rsidR="00686115" w:rsidRPr="001126BE" w:rsidRDefault="00686115" w:rsidP="004633A7">
      <w:pPr>
        <w:pStyle w:val="SCCLawFirm"/>
        <w:spacing w:after="480"/>
        <w:rPr>
          <w:lang w:val="fr-CA"/>
        </w:rPr>
      </w:pPr>
      <w:r w:rsidRPr="001126BE">
        <w:rPr>
          <w:lang w:val="fr-CA"/>
        </w:rPr>
        <w:tab/>
        <w:t>Procureurs de l’</w:t>
      </w:r>
      <w:r w:rsidR="004633A7" w:rsidRPr="001126BE">
        <w:rPr>
          <w:lang w:val="fr-CA"/>
        </w:rPr>
        <w:t>appelant</w:t>
      </w:r>
      <w:r w:rsidR="001126BE">
        <w:rPr>
          <w:lang w:val="fr-CA"/>
        </w:rPr>
        <w:t> :</w:t>
      </w:r>
      <w:r w:rsidR="004633A7" w:rsidRPr="001126BE">
        <w:rPr>
          <w:lang w:val="fr-CA"/>
        </w:rPr>
        <w:t> </w:t>
      </w:r>
      <w:proofErr w:type="spellStart"/>
      <w:r w:rsidRPr="001126BE">
        <w:rPr>
          <w:lang w:val="fr-CA"/>
        </w:rPr>
        <w:t>Fasken</w:t>
      </w:r>
      <w:proofErr w:type="spellEnd"/>
      <w:r w:rsidRPr="001126BE">
        <w:rPr>
          <w:lang w:val="fr-CA"/>
        </w:rPr>
        <w:t xml:space="preserve"> Martineau </w:t>
      </w:r>
      <w:proofErr w:type="spellStart"/>
      <w:r w:rsidRPr="001126BE">
        <w:rPr>
          <w:lang w:val="fr-CA"/>
        </w:rPr>
        <w:t>DuMoulin</w:t>
      </w:r>
      <w:proofErr w:type="spellEnd"/>
      <w:r w:rsidRPr="001126BE">
        <w:rPr>
          <w:lang w:val="fr-CA"/>
        </w:rPr>
        <w:t>, Vancouver.</w:t>
      </w:r>
    </w:p>
    <w:p w:rsidR="009B57B3" w:rsidRDefault="00686115" w:rsidP="00591040">
      <w:pPr>
        <w:pStyle w:val="SCCLawFirm"/>
        <w:rPr>
          <w:b/>
          <w:i w:val="0"/>
          <w:lang w:val="fr-CA"/>
        </w:rPr>
      </w:pPr>
      <w:r w:rsidRPr="001126BE">
        <w:rPr>
          <w:lang w:val="fr-CA"/>
        </w:rPr>
        <w:lastRenderedPageBreak/>
        <w:tab/>
        <w:t>Procureurs de l’</w:t>
      </w:r>
      <w:r w:rsidR="004633A7" w:rsidRPr="001126BE">
        <w:rPr>
          <w:lang w:val="fr-CA"/>
        </w:rPr>
        <w:t>intimée</w:t>
      </w:r>
      <w:r w:rsidR="001126BE">
        <w:rPr>
          <w:lang w:val="fr-CA"/>
        </w:rPr>
        <w:t> :</w:t>
      </w:r>
      <w:r w:rsidR="004633A7" w:rsidRPr="001126BE">
        <w:rPr>
          <w:lang w:val="fr-CA"/>
        </w:rPr>
        <w:t> </w:t>
      </w:r>
      <w:r w:rsidRPr="001126BE">
        <w:rPr>
          <w:lang w:val="fr-CA"/>
        </w:rPr>
        <w:t>Dentons Canada, Vancouver.</w:t>
      </w:r>
    </w:p>
    <w:p w:rsidR="00591040" w:rsidRPr="00591040" w:rsidRDefault="00591040" w:rsidP="00591040">
      <w:pPr>
        <w:pStyle w:val="SCCNormalDoubleSpacing"/>
        <w:rPr>
          <w:lang w:val="fr-CA"/>
        </w:rPr>
      </w:pPr>
    </w:p>
    <w:sectPr w:rsidR="00591040" w:rsidRPr="00591040" w:rsidSect="005B552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03" w:rsidRDefault="00C22B03">
      <w:r>
        <w:separator/>
      </w:r>
    </w:p>
  </w:endnote>
  <w:endnote w:type="continuationSeparator" w:id="0">
    <w:p w:rsidR="00C22B03" w:rsidRDefault="00C2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03" w:rsidRDefault="00C22B03">
      <w:r>
        <w:separator/>
      </w:r>
    </w:p>
  </w:footnote>
  <w:footnote w:type="continuationSeparator" w:id="0">
    <w:p w:rsidR="00C22B03" w:rsidRDefault="00C22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4"/>
      <w:docPartObj>
        <w:docPartGallery w:val="Page Numbers (Top of Page)"/>
        <w:docPartUnique/>
      </w:docPartObj>
    </w:sdtPr>
    <w:sdtContent>
      <w:p w:rsidR="00C22B03" w:rsidRDefault="00C22B03">
        <w:pPr>
          <w:pStyle w:val="Header"/>
          <w:jc w:val="center"/>
        </w:pPr>
        <w:r>
          <w:t xml:space="preserve">- </w:t>
        </w:r>
        <w:fldSimple w:instr=" PAGE   \* MERGEFORMAT ">
          <w:r w:rsidR="00F97F51">
            <w:rPr>
              <w:noProof/>
            </w:rPr>
            <w:t>2</w:t>
          </w:r>
        </w:fldSimple>
        <w:r>
          <w:t xml:space="preserve"> -</w:t>
        </w:r>
      </w:p>
    </w:sdtContent>
  </w:sdt>
  <w:p w:rsidR="00C22B03" w:rsidRPr="00450352" w:rsidRDefault="00C22B0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23FC7"/>
    <w:rsid w:val="00025198"/>
    <w:rsid w:val="000578A3"/>
    <w:rsid w:val="000648CC"/>
    <w:rsid w:val="00086EAC"/>
    <w:rsid w:val="000A0FF1"/>
    <w:rsid w:val="000A7A31"/>
    <w:rsid w:val="000C51C8"/>
    <w:rsid w:val="000C59B8"/>
    <w:rsid w:val="000C6AF0"/>
    <w:rsid w:val="000D0A77"/>
    <w:rsid w:val="000F7993"/>
    <w:rsid w:val="00104F33"/>
    <w:rsid w:val="00106FF7"/>
    <w:rsid w:val="00111DE2"/>
    <w:rsid w:val="001126BE"/>
    <w:rsid w:val="00116B38"/>
    <w:rsid w:val="00134429"/>
    <w:rsid w:val="00135406"/>
    <w:rsid w:val="00135972"/>
    <w:rsid w:val="001426A9"/>
    <w:rsid w:val="00150768"/>
    <w:rsid w:val="00154D7C"/>
    <w:rsid w:val="001570B0"/>
    <w:rsid w:val="0015752C"/>
    <w:rsid w:val="00157737"/>
    <w:rsid w:val="00165277"/>
    <w:rsid w:val="00170592"/>
    <w:rsid w:val="00170BA3"/>
    <w:rsid w:val="001720F7"/>
    <w:rsid w:val="00195D83"/>
    <w:rsid w:val="001A00C1"/>
    <w:rsid w:val="001B33E0"/>
    <w:rsid w:val="001B4573"/>
    <w:rsid w:val="001C779F"/>
    <w:rsid w:val="001D2AC1"/>
    <w:rsid w:val="001D4E88"/>
    <w:rsid w:val="001E3183"/>
    <w:rsid w:val="001F55AB"/>
    <w:rsid w:val="00220FC2"/>
    <w:rsid w:val="002222F4"/>
    <w:rsid w:val="00224FC0"/>
    <w:rsid w:val="00225EA4"/>
    <w:rsid w:val="00226EAF"/>
    <w:rsid w:val="00231F3A"/>
    <w:rsid w:val="002406EE"/>
    <w:rsid w:val="00243EC8"/>
    <w:rsid w:val="00267C1A"/>
    <w:rsid w:val="00270D93"/>
    <w:rsid w:val="002745CC"/>
    <w:rsid w:val="00282E67"/>
    <w:rsid w:val="0028716C"/>
    <w:rsid w:val="0029480B"/>
    <w:rsid w:val="00297D81"/>
    <w:rsid w:val="002B6FBE"/>
    <w:rsid w:val="002B7924"/>
    <w:rsid w:val="002C10A6"/>
    <w:rsid w:val="002D05EF"/>
    <w:rsid w:val="002D288A"/>
    <w:rsid w:val="002D28C3"/>
    <w:rsid w:val="002D39A4"/>
    <w:rsid w:val="002E6705"/>
    <w:rsid w:val="002F0054"/>
    <w:rsid w:val="0030329A"/>
    <w:rsid w:val="00304DC7"/>
    <w:rsid w:val="0031086F"/>
    <w:rsid w:val="0031414C"/>
    <w:rsid w:val="00314E01"/>
    <w:rsid w:val="00317259"/>
    <w:rsid w:val="0032089D"/>
    <w:rsid w:val="003230A0"/>
    <w:rsid w:val="00330060"/>
    <w:rsid w:val="003310DE"/>
    <w:rsid w:val="003323B0"/>
    <w:rsid w:val="00340A49"/>
    <w:rsid w:val="0035169A"/>
    <w:rsid w:val="003520D3"/>
    <w:rsid w:val="0035259D"/>
    <w:rsid w:val="003552E5"/>
    <w:rsid w:val="00364B18"/>
    <w:rsid w:val="003A125D"/>
    <w:rsid w:val="003A4C70"/>
    <w:rsid w:val="003B215F"/>
    <w:rsid w:val="003C799C"/>
    <w:rsid w:val="003D0399"/>
    <w:rsid w:val="003D7D19"/>
    <w:rsid w:val="003E1C71"/>
    <w:rsid w:val="003F327B"/>
    <w:rsid w:val="00400CCE"/>
    <w:rsid w:val="00406166"/>
    <w:rsid w:val="0040704B"/>
    <w:rsid w:val="00407D06"/>
    <w:rsid w:val="00410A55"/>
    <w:rsid w:val="00411300"/>
    <w:rsid w:val="00413F17"/>
    <w:rsid w:val="00415417"/>
    <w:rsid w:val="00426659"/>
    <w:rsid w:val="00450352"/>
    <w:rsid w:val="00454BDB"/>
    <w:rsid w:val="004633A7"/>
    <w:rsid w:val="00463EA5"/>
    <w:rsid w:val="00465132"/>
    <w:rsid w:val="004723C9"/>
    <w:rsid w:val="00480C90"/>
    <w:rsid w:val="0048396F"/>
    <w:rsid w:val="00493C18"/>
    <w:rsid w:val="004A600C"/>
    <w:rsid w:val="004A6118"/>
    <w:rsid w:val="004C478D"/>
    <w:rsid w:val="004D6A59"/>
    <w:rsid w:val="004D7D95"/>
    <w:rsid w:val="004E2C26"/>
    <w:rsid w:val="00507AE5"/>
    <w:rsid w:val="005117B6"/>
    <w:rsid w:val="005125A8"/>
    <w:rsid w:val="00517549"/>
    <w:rsid w:val="00520ABC"/>
    <w:rsid w:val="00521AE8"/>
    <w:rsid w:val="00527180"/>
    <w:rsid w:val="005404DC"/>
    <w:rsid w:val="00543128"/>
    <w:rsid w:val="00555291"/>
    <w:rsid w:val="00566AD1"/>
    <w:rsid w:val="00583EDE"/>
    <w:rsid w:val="00591040"/>
    <w:rsid w:val="00597A46"/>
    <w:rsid w:val="005A6079"/>
    <w:rsid w:val="005B5524"/>
    <w:rsid w:val="005D264E"/>
    <w:rsid w:val="005E4698"/>
    <w:rsid w:val="00603924"/>
    <w:rsid w:val="00610539"/>
    <w:rsid w:val="00613969"/>
    <w:rsid w:val="0062406E"/>
    <w:rsid w:val="00625C35"/>
    <w:rsid w:val="00632DE3"/>
    <w:rsid w:val="00647E49"/>
    <w:rsid w:val="00656313"/>
    <w:rsid w:val="006565F4"/>
    <w:rsid w:val="00675886"/>
    <w:rsid w:val="00684EEA"/>
    <w:rsid w:val="00686115"/>
    <w:rsid w:val="0069689B"/>
    <w:rsid w:val="006B5FF5"/>
    <w:rsid w:val="006F30AF"/>
    <w:rsid w:val="006F3FBC"/>
    <w:rsid w:val="00701759"/>
    <w:rsid w:val="00705C15"/>
    <w:rsid w:val="007110F6"/>
    <w:rsid w:val="007208D1"/>
    <w:rsid w:val="00744518"/>
    <w:rsid w:val="00746937"/>
    <w:rsid w:val="00747288"/>
    <w:rsid w:val="00747DD3"/>
    <w:rsid w:val="007549C8"/>
    <w:rsid w:val="00766D14"/>
    <w:rsid w:val="00767A0F"/>
    <w:rsid w:val="00772173"/>
    <w:rsid w:val="0077549C"/>
    <w:rsid w:val="007856B6"/>
    <w:rsid w:val="00791272"/>
    <w:rsid w:val="007A02CA"/>
    <w:rsid w:val="007A05F6"/>
    <w:rsid w:val="007B6F4A"/>
    <w:rsid w:val="007C08C6"/>
    <w:rsid w:val="007E1133"/>
    <w:rsid w:val="007E1C47"/>
    <w:rsid w:val="007E337A"/>
    <w:rsid w:val="007E5C70"/>
    <w:rsid w:val="007F2FF5"/>
    <w:rsid w:val="007F3F08"/>
    <w:rsid w:val="00804CC6"/>
    <w:rsid w:val="00817190"/>
    <w:rsid w:val="008260E2"/>
    <w:rsid w:val="008322BD"/>
    <w:rsid w:val="00834F73"/>
    <w:rsid w:val="00864C8A"/>
    <w:rsid w:val="00864CF8"/>
    <w:rsid w:val="00872ADC"/>
    <w:rsid w:val="00874914"/>
    <w:rsid w:val="00891422"/>
    <w:rsid w:val="00892E1A"/>
    <w:rsid w:val="008A32D1"/>
    <w:rsid w:val="008B660A"/>
    <w:rsid w:val="008C01DA"/>
    <w:rsid w:val="008D78B5"/>
    <w:rsid w:val="008F2674"/>
    <w:rsid w:val="008F78E9"/>
    <w:rsid w:val="009155EB"/>
    <w:rsid w:val="009179F9"/>
    <w:rsid w:val="00917C7A"/>
    <w:rsid w:val="00933E5E"/>
    <w:rsid w:val="009351B8"/>
    <w:rsid w:val="00935218"/>
    <w:rsid w:val="00937C52"/>
    <w:rsid w:val="009403F3"/>
    <w:rsid w:val="009555B7"/>
    <w:rsid w:val="009567AA"/>
    <w:rsid w:val="009602C9"/>
    <w:rsid w:val="00961D61"/>
    <w:rsid w:val="00967374"/>
    <w:rsid w:val="009A13CC"/>
    <w:rsid w:val="009A343A"/>
    <w:rsid w:val="009B2F23"/>
    <w:rsid w:val="009B57B3"/>
    <w:rsid w:val="009D2920"/>
    <w:rsid w:val="009D5AEB"/>
    <w:rsid w:val="009F0E33"/>
    <w:rsid w:val="009F4B46"/>
    <w:rsid w:val="009F6233"/>
    <w:rsid w:val="00A1445D"/>
    <w:rsid w:val="00A149DF"/>
    <w:rsid w:val="00A1755C"/>
    <w:rsid w:val="00A21B90"/>
    <w:rsid w:val="00A22AAC"/>
    <w:rsid w:val="00A41805"/>
    <w:rsid w:val="00A451B2"/>
    <w:rsid w:val="00A45CF6"/>
    <w:rsid w:val="00A51882"/>
    <w:rsid w:val="00A52AFB"/>
    <w:rsid w:val="00A548CB"/>
    <w:rsid w:val="00A5521C"/>
    <w:rsid w:val="00A641C7"/>
    <w:rsid w:val="00A643E7"/>
    <w:rsid w:val="00A73C38"/>
    <w:rsid w:val="00AA0516"/>
    <w:rsid w:val="00AB670D"/>
    <w:rsid w:val="00AC47EA"/>
    <w:rsid w:val="00AF03C5"/>
    <w:rsid w:val="00B000D8"/>
    <w:rsid w:val="00B00F75"/>
    <w:rsid w:val="00B145B6"/>
    <w:rsid w:val="00B2072C"/>
    <w:rsid w:val="00B279EB"/>
    <w:rsid w:val="00B50C81"/>
    <w:rsid w:val="00B557F8"/>
    <w:rsid w:val="00B77C0A"/>
    <w:rsid w:val="00B815FC"/>
    <w:rsid w:val="00B93FBC"/>
    <w:rsid w:val="00BA7DA0"/>
    <w:rsid w:val="00BB2EE4"/>
    <w:rsid w:val="00BB4C92"/>
    <w:rsid w:val="00BC2108"/>
    <w:rsid w:val="00BD0E9E"/>
    <w:rsid w:val="00BD1BEC"/>
    <w:rsid w:val="00BD32FF"/>
    <w:rsid w:val="00BF6FE9"/>
    <w:rsid w:val="00BF7D14"/>
    <w:rsid w:val="00C02092"/>
    <w:rsid w:val="00C22B03"/>
    <w:rsid w:val="00C24D91"/>
    <w:rsid w:val="00C26DB2"/>
    <w:rsid w:val="00C3263B"/>
    <w:rsid w:val="00C53F14"/>
    <w:rsid w:val="00C600CF"/>
    <w:rsid w:val="00C6084F"/>
    <w:rsid w:val="00C62A66"/>
    <w:rsid w:val="00C637B2"/>
    <w:rsid w:val="00C66359"/>
    <w:rsid w:val="00C71458"/>
    <w:rsid w:val="00C77613"/>
    <w:rsid w:val="00C828E7"/>
    <w:rsid w:val="00C86719"/>
    <w:rsid w:val="00C921DD"/>
    <w:rsid w:val="00CA6391"/>
    <w:rsid w:val="00CE036E"/>
    <w:rsid w:val="00CE281D"/>
    <w:rsid w:val="00CE3171"/>
    <w:rsid w:val="00CF1601"/>
    <w:rsid w:val="00D0172F"/>
    <w:rsid w:val="00D01E33"/>
    <w:rsid w:val="00D068A7"/>
    <w:rsid w:val="00D116E1"/>
    <w:rsid w:val="00D17476"/>
    <w:rsid w:val="00D32086"/>
    <w:rsid w:val="00D37A3F"/>
    <w:rsid w:val="00D4431D"/>
    <w:rsid w:val="00D4667A"/>
    <w:rsid w:val="00D63A1C"/>
    <w:rsid w:val="00D7516F"/>
    <w:rsid w:val="00D95A93"/>
    <w:rsid w:val="00D95F8E"/>
    <w:rsid w:val="00D97819"/>
    <w:rsid w:val="00DA0590"/>
    <w:rsid w:val="00DA5B2C"/>
    <w:rsid w:val="00DC1739"/>
    <w:rsid w:val="00DC1788"/>
    <w:rsid w:val="00DE319C"/>
    <w:rsid w:val="00DF0887"/>
    <w:rsid w:val="00DF0CA8"/>
    <w:rsid w:val="00DF2B48"/>
    <w:rsid w:val="00DF49A7"/>
    <w:rsid w:val="00E02DF9"/>
    <w:rsid w:val="00E07EE2"/>
    <w:rsid w:val="00E07FD1"/>
    <w:rsid w:val="00E22F06"/>
    <w:rsid w:val="00E24573"/>
    <w:rsid w:val="00E25E1E"/>
    <w:rsid w:val="00E27EE7"/>
    <w:rsid w:val="00E32B48"/>
    <w:rsid w:val="00E35404"/>
    <w:rsid w:val="00E45109"/>
    <w:rsid w:val="00E458F3"/>
    <w:rsid w:val="00E47B7A"/>
    <w:rsid w:val="00E56A44"/>
    <w:rsid w:val="00E60269"/>
    <w:rsid w:val="00E7379B"/>
    <w:rsid w:val="00E97830"/>
    <w:rsid w:val="00EE0830"/>
    <w:rsid w:val="00EE3D90"/>
    <w:rsid w:val="00EE6CB8"/>
    <w:rsid w:val="00EF0683"/>
    <w:rsid w:val="00F0070C"/>
    <w:rsid w:val="00F00EB7"/>
    <w:rsid w:val="00F36AB6"/>
    <w:rsid w:val="00F37A09"/>
    <w:rsid w:val="00F409CE"/>
    <w:rsid w:val="00F4379D"/>
    <w:rsid w:val="00F50D2D"/>
    <w:rsid w:val="00F56C8B"/>
    <w:rsid w:val="00F62639"/>
    <w:rsid w:val="00F66810"/>
    <w:rsid w:val="00F73776"/>
    <w:rsid w:val="00F84DF4"/>
    <w:rsid w:val="00F85C97"/>
    <w:rsid w:val="00F97F51"/>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5A6079"/>
    <w:pPr>
      <w:tabs>
        <w:tab w:val="right" w:pos="8222"/>
      </w:tabs>
      <w:jc w:val="both"/>
    </w:pPr>
    <w:rPr>
      <w:b/>
    </w:rPr>
  </w:style>
  <w:style w:type="character" w:customStyle="1" w:styleId="SCCLsocPartyChar">
    <w:name w:val="SCC.Lsoc.Party Char"/>
    <w:basedOn w:val="DefaultParagraphFont"/>
    <w:link w:val="SCCLsocParty"/>
    <w:uiPriority w:val="99"/>
    <w:rsid w:val="005A6079"/>
    <w:rPr>
      <w:b/>
      <w:sz w:val="24"/>
    </w:rPr>
  </w:style>
  <w:style w:type="paragraph" w:customStyle="1" w:styleId="SCCLsocVersus">
    <w:name w:val="SCC.Lsoc.Versus"/>
    <w:basedOn w:val="Normal"/>
    <w:next w:val="Normal"/>
    <w:link w:val="SCCLsocVersusChar"/>
    <w:uiPriority w:val="99"/>
    <w:rsid w:val="001A00C1"/>
    <w:pPr>
      <w:spacing w:after="720"/>
    </w:pPr>
    <w:rPr>
      <w:i/>
    </w:rPr>
  </w:style>
  <w:style w:type="character" w:customStyle="1" w:styleId="SCCLsocVersusChar">
    <w:name w:val="SCC.Lsoc.Versus Char"/>
    <w:basedOn w:val="DefaultParagraphFont"/>
    <w:link w:val="SCCLsocVersus"/>
    <w:uiPriority w:val="99"/>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uiPriority w:val="99"/>
    <w:rsid w:val="003323B0"/>
    <w:pPr>
      <w:spacing w:after="720"/>
    </w:pPr>
  </w:style>
  <w:style w:type="character" w:customStyle="1" w:styleId="SCCLsocOtherPartySeparatorChar">
    <w:name w:val="SCC.Lsoc.OtherPartySeparator Char"/>
    <w:basedOn w:val="DefaultParagraphFont"/>
    <w:link w:val="SCCLsocOtherPartySeparator"/>
    <w:uiPriority w:val="99"/>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uiPriority w:val="99"/>
    <w:rsid w:val="00591040"/>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uiPriority w:val="99"/>
    <w:locked/>
    <w:rsid w:val="00591040"/>
    <w:rPr>
      <w:sz w:val="24"/>
      <w:szCs w:val="22"/>
      <w:lang w:eastAsia="en-US"/>
    </w:rPr>
  </w:style>
  <w:style w:type="character" w:customStyle="1" w:styleId="SCCBanSummaryChar">
    <w:name w:val="SCC.BanSummary Char"/>
    <w:basedOn w:val="DefaultParagraphFont"/>
    <w:link w:val="SCCBanSummary"/>
    <w:uiPriority w:val="99"/>
    <w:locked/>
    <w:rsid w:val="00591040"/>
    <w:rPr>
      <w:b/>
      <w:sz w:val="24"/>
    </w:rPr>
  </w:style>
  <w:style w:type="table" w:styleId="TableGrid">
    <w:name w:val="Table Grid"/>
    <w:basedOn w:val="TableNormal"/>
    <w:uiPriority w:val="99"/>
    <w:rsid w:val="00591040"/>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99"/>
    <w:rsid w:val="00591040"/>
    <w:pPr>
      <w:spacing w:after="720"/>
      <w:ind w:left="1166"/>
      <w:contextualSpacing/>
      <w:jc w:val="both"/>
    </w:pPr>
    <w:rPr>
      <w:sz w:val="24"/>
    </w:rPr>
  </w:style>
  <w:style w:type="paragraph" w:customStyle="1" w:styleId="ContinueParaSuitedupar-AltP">
    <w:name w:val="Continue Para. / Suite du par. - Alt P"/>
    <w:next w:val="ParaNoNdepar-AltN"/>
    <w:uiPriority w:val="99"/>
    <w:rsid w:val="00591040"/>
    <w:pPr>
      <w:spacing w:before="480" w:after="480" w:line="480" w:lineRule="auto"/>
      <w:jc w:val="both"/>
    </w:pPr>
    <w:rPr>
      <w:sz w:val="24"/>
      <w:szCs w:val="22"/>
      <w:lang w:eastAsia="en-US"/>
    </w:rPr>
  </w:style>
  <w:style w:type="paragraph" w:customStyle="1" w:styleId="JudgeJuge">
    <w:name w:val="Judge / Juge"/>
    <w:uiPriority w:val="99"/>
    <w:rsid w:val="00591040"/>
    <w:pPr>
      <w:tabs>
        <w:tab w:val="left" w:pos="1166"/>
      </w:tabs>
      <w:spacing w:after="480" w:line="480" w:lineRule="auto"/>
    </w:pPr>
    <w:rPr>
      <w:smallCaps/>
      <w:sz w:val="24"/>
    </w:rPr>
  </w:style>
  <w:style w:type="paragraph" w:customStyle="1" w:styleId="ParaNoNdepar-AltN">
    <w:name w:val="Para. No. / Nº de par. - Alt N"/>
    <w:uiPriority w:val="99"/>
    <w:rsid w:val="00591040"/>
    <w:pPr>
      <w:numPr>
        <w:numId w:val="6"/>
      </w:numPr>
      <w:tabs>
        <w:tab w:val="clear" w:pos="1152"/>
        <w:tab w:val="left" w:pos="1166"/>
      </w:tabs>
      <w:spacing w:before="480" w:after="480" w:line="480" w:lineRule="auto"/>
      <w:jc w:val="both"/>
    </w:pPr>
    <w:rPr>
      <w:sz w:val="24"/>
      <w:szCs w:val="22"/>
      <w:lang w:eastAsia="en-US"/>
    </w:rPr>
  </w:style>
  <w:style w:type="paragraph" w:customStyle="1" w:styleId="TitleTitre-AltT">
    <w:name w:val="Title / Titre - Alt T"/>
    <w:next w:val="ParaNoNdepar-AltN"/>
    <w:uiPriority w:val="99"/>
    <w:rsid w:val="00591040"/>
    <w:pPr>
      <w:tabs>
        <w:tab w:val="left" w:pos="360"/>
      </w:tabs>
      <w:spacing w:before="480" w:after="720"/>
      <w:ind w:left="360" w:hanging="360"/>
      <w:jc w:val="both"/>
    </w:pPr>
    <w:rPr>
      <w:sz w:val="24"/>
      <w:szCs w:val="22"/>
      <w:lang w:eastAsia="en-US"/>
    </w:rPr>
  </w:style>
  <w:style w:type="character" w:styleId="CommentReference">
    <w:name w:val="annotation reference"/>
    <w:basedOn w:val="DefaultParagraphFont"/>
    <w:uiPriority w:val="99"/>
    <w:semiHidden/>
    <w:rsid w:val="00591040"/>
    <w:rPr>
      <w:rFonts w:cs="Times New Roman"/>
      <w:sz w:val="16"/>
      <w:szCs w:val="16"/>
    </w:rPr>
  </w:style>
  <w:style w:type="paragraph" w:styleId="CommentText">
    <w:name w:val="annotation text"/>
    <w:basedOn w:val="Normal"/>
    <w:link w:val="CommentTextChar"/>
    <w:uiPriority w:val="99"/>
    <w:semiHidden/>
    <w:rsid w:val="00591040"/>
    <w:rPr>
      <w:sz w:val="20"/>
    </w:rPr>
  </w:style>
  <w:style w:type="character" w:customStyle="1" w:styleId="CommentTextChar">
    <w:name w:val="Comment Text Char"/>
    <w:basedOn w:val="DefaultParagraphFont"/>
    <w:link w:val="CommentText"/>
    <w:uiPriority w:val="99"/>
    <w:semiHidden/>
    <w:rsid w:val="00591040"/>
  </w:style>
  <w:style w:type="paragraph" w:styleId="CommentSubject">
    <w:name w:val="annotation subject"/>
    <w:basedOn w:val="CommentText"/>
    <w:next w:val="CommentText"/>
    <w:link w:val="CommentSubjectChar"/>
    <w:uiPriority w:val="99"/>
    <w:semiHidden/>
    <w:rsid w:val="00591040"/>
    <w:rPr>
      <w:b/>
      <w:bCs/>
    </w:rPr>
  </w:style>
  <w:style w:type="character" w:customStyle="1" w:styleId="CommentSubjectChar">
    <w:name w:val="Comment Subject Char"/>
    <w:basedOn w:val="CommentTextChar"/>
    <w:link w:val="CommentSubject"/>
    <w:uiPriority w:val="99"/>
    <w:semiHidden/>
    <w:rsid w:val="00591040"/>
    <w:rPr>
      <w:b/>
      <w:bCs/>
    </w:rPr>
  </w:style>
  <w:style w:type="table" w:customStyle="1" w:styleId="TableGrid1">
    <w:name w:val="Table Grid1"/>
    <w:basedOn w:val="TableNormal"/>
    <w:next w:val="TableGrid"/>
    <w:uiPriority w:val="59"/>
    <w:rsid w:val="00F97F5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6880</Words>
  <Characters>35603</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2013-06-14T19:57:00Z</dcterms:created>
  <dcterms:modified xsi:type="dcterms:W3CDTF">2014-04-07T18:07:00Z</dcterms:modified>
</cp:coreProperties>
</file>