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8E" w:rsidRPr="00907C8E" w:rsidRDefault="00B0068E" w:rsidP="00B0068E">
      <w:pPr>
        <w:tabs>
          <w:tab w:val="center" w:pos="4680"/>
          <w:tab w:val="right" w:pos="9360"/>
        </w:tabs>
        <w:jc w:val="center"/>
        <w:rPr>
          <w:rFonts w:eastAsiaTheme="minorHAnsi" w:cstheme="minorBidi"/>
          <w:szCs w:val="24"/>
          <w:lang w:val="fr-CA" w:eastAsia="en-US"/>
        </w:rPr>
      </w:pPr>
      <w:r w:rsidRPr="00907C8E">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58381880" r:id="rId8"/>
        </w:object>
      </w:r>
    </w:p>
    <w:p w:rsidR="00B0068E" w:rsidRPr="00907C8E" w:rsidRDefault="00B0068E" w:rsidP="00B0068E">
      <w:pPr>
        <w:tabs>
          <w:tab w:val="center" w:pos="4680"/>
          <w:tab w:val="right" w:pos="9360"/>
        </w:tabs>
        <w:rPr>
          <w:rFonts w:eastAsiaTheme="minorHAnsi" w:cstheme="minorBidi"/>
          <w:szCs w:val="24"/>
          <w:lang w:val="fr-CA" w:eastAsia="en-US"/>
        </w:rPr>
      </w:pPr>
    </w:p>
    <w:p w:rsidR="00B0068E" w:rsidRPr="00907C8E" w:rsidRDefault="00B0068E" w:rsidP="00B0068E">
      <w:pPr>
        <w:jc w:val="center"/>
        <w:rPr>
          <w:rFonts w:eastAsiaTheme="minorHAnsi" w:cstheme="minorBidi"/>
          <w:b/>
          <w:szCs w:val="24"/>
          <w:lang w:val="fr-CA" w:eastAsia="en-US"/>
        </w:rPr>
      </w:pPr>
      <w:r w:rsidRPr="00907C8E">
        <w:rPr>
          <w:rFonts w:eastAsiaTheme="minorHAnsi" w:cstheme="minorBidi"/>
          <w:b/>
          <w:szCs w:val="24"/>
          <w:lang w:val="fr-CA" w:eastAsia="en-US"/>
        </w:rPr>
        <w:t>COUR SUPRÊME DU CANADA</w:t>
      </w:r>
    </w:p>
    <w:p w:rsidR="00B0068E" w:rsidRPr="00907C8E" w:rsidRDefault="00B0068E" w:rsidP="00B0068E">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0068E" w:rsidRPr="00907C8E" w:rsidTr="00666EE5">
        <w:trPr>
          <w:cantSplit/>
        </w:trPr>
        <w:tc>
          <w:tcPr>
            <w:tcW w:w="6768" w:type="dxa"/>
          </w:tcPr>
          <w:p w:rsidR="00B0068E" w:rsidRPr="00B0068E" w:rsidRDefault="00B0068E" w:rsidP="00666EE5">
            <w:pPr>
              <w:rPr>
                <w:lang w:val="fr-CA"/>
              </w:rPr>
            </w:pPr>
            <w:r w:rsidRPr="00907C8E">
              <w:rPr>
                <w:b/>
                <w:smallCaps/>
                <w:lang w:val="fr-CA"/>
              </w:rPr>
              <w:t>Référence :</w:t>
            </w:r>
            <w:r w:rsidRPr="00907C8E">
              <w:rPr>
                <w:lang w:val="fr-CA"/>
              </w:rPr>
              <w:t xml:space="preserve"> R. </w:t>
            </w:r>
            <w:r w:rsidRPr="00907C8E">
              <w:rPr>
                <w:i/>
                <w:lang w:val="fr-CA"/>
              </w:rPr>
              <w:t>c.</w:t>
            </w:r>
            <w:r w:rsidRPr="00907C8E">
              <w:rPr>
                <w:lang w:val="fr-CA"/>
              </w:rPr>
              <w:t xml:space="preserve"> </w:t>
            </w:r>
            <w:proofErr w:type="spellStart"/>
            <w:r w:rsidRPr="00907C8E">
              <w:rPr>
                <w:lang w:val="fr-CA"/>
              </w:rPr>
              <w:t>Baldree</w:t>
            </w:r>
            <w:proofErr w:type="spellEnd"/>
            <w:r w:rsidRPr="00907C8E">
              <w:rPr>
                <w:lang w:val="fr-CA"/>
              </w:rPr>
              <w:t xml:space="preserve">, </w:t>
            </w:r>
            <w:r w:rsidRPr="00B0068E">
              <w:rPr>
                <w:lang w:val="fr-CA"/>
              </w:rPr>
              <w:t>2013 CSC 35, [2013] 2 R.C.S. 520</w:t>
            </w:r>
          </w:p>
        </w:tc>
        <w:tc>
          <w:tcPr>
            <w:tcW w:w="2808" w:type="dxa"/>
          </w:tcPr>
          <w:p w:rsidR="00B0068E" w:rsidRPr="00907C8E" w:rsidRDefault="00B0068E" w:rsidP="00666EE5">
            <w:pPr>
              <w:rPr>
                <w:lang w:val="fr-CA"/>
              </w:rPr>
            </w:pPr>
            <w:r w:rsidRPr="00907C8E">
              <w:rPr>
                <w:b/>
                <w:smallCaps/>
                <w:lang w:val="fr-CA"/>
              </w:rPr>
              <w:t>Date :</w:t>
            </w:r>
            <w:r w:rsidRPr="00907C8E">
              <w:rPr>
                <w:lang w:val="fr-CA"/>
              </w:rPr>
              <w:t xml:space="preserve"> 20130619</w:t>
            </w:r>
          </w:p>
          <w:p w:rsidR="00B0068E" w:rsidRPr="00907C8E" w:rsidRDefault="00B0068E" w:rsidP="00666EE5">
            <w:pPr>
              <w:rPr>
                <w:lang w:val="fr-CA"/>
              </w:rPr>
            </w:pPr>
            <w:r w:rsidRPr="00907C8E">
              <w:rPr>
                <w:b/>
                <w:smallCaps/>
                <w:lang w:val="fr-CA"/>
              </w:rPr>
              <w:t>Dossier :</w:t>
            </w:r>
            <w:r w:rsidRPr="00907C8E">
              <w:rPr>
                <w:lang w:val="fr-CA"/>
              </w:rPr>
              <w:t xml:space="preserve"> 34754</w:t>
            </w:r>
          </w:p>
        </w:tc>
      </w:tr>
    </w:tbl>
    <w:p w:rsidR="00B0068E" w:rsidRPr="00907C8E" w:rsidRDefault="00B0068E" w:rsidP="00B0068E">
      <w:pPr>
        <w:rPr>
          <w:rFonts w:eastAsiaTheme="minorHAnsi" w:cstheme="minorBidi"/>
          <w:szCs w:val="24"/>
          <w:lang w:val="fr-CA" w:eastAsia="en-US"/>
        </w:rPr>
      </w:pPr>
    </w:p>
    <w:p w:rsidR="00B0068E" w:rsidRPr="00907C8E" w:rsidRDefault="00B0068E" w:rsidP="00B0068E">
      <w:pPr>
        <w:rPr>
          <w:rFonts w:eastAsiaTheme="minorHAnsi" w:cstheme="minorBidi"/>
          <w:b/>
          <w:smallCaps/>
          <w:szCs w:val="24"/>
          <w:lang w:val="fr-CA" w:eastAsia="en-US"/>
        </w:rPr>
      </w:pPr>
      <w:r w:rsidRPr="00907C8E">
        <w:rPr>
          <w:rFonts w:eastAsiaTheme="minorHAnsi" w:cstheme="minorBidi"/>
          <w:b/>
          <w:smallCaps/>
          <w:szCs w:val="24"/>
          <w:lang w:val="fr-CA" w:eastAsia="en-US"/>
        </w:rPr>
        <w:t>Entre :</w:t>
      </w:r>
    </w:p>
    <w:p w:rsidR="00B0068E" w:rsidRPr="00907C8E" w:rsidRDefault="00B0068E" w:rsidP="00B0068E">
      <w:pPr>
        <w:jc w:val="center"/>
        <w:rPr>
          <w:rFonts w:eastAsiaTheme="minorHAnsi" w:cstheme="minorBidi"/>
          <w:b/>
          <w:szCs w:val="24"/>
          <w:lang w:val="fr-CA" w:eastAsia="en-US"/>
        </w:rPr>
      </w:pPr>
      <w:r w:rsidRPr="00907C8E">
        <w:rPr>
          <w:rFonts w:eastAsiaTheme="minorHAnsi" w:cstheme="minorBidi"/>
          <w:b/>
          <w:szCs w:val="24"/>
          <w:lang w:val="fr-CA" w:eastAsia="en-US"/>
        </w:rPr>
        <w:t>Sa Majesté la Reine</w:t>
      </w:r>
    </w:p>
    <w:p w:rsidR="00B0068E" w:rsidRPr="00907C8E" w:rsidRDefault="00B0068E" w:rsidP="00B0068E">
      <w:pPr>
        <w:jc w:val="center"/>
        <w:rPr>
          <w:rFonts w:eastAsiaTheme="minorHAnsi" w:cstheme="minorBidi"/>
          <w:szCs w:val="24"/>
          <w:lang w:val="fr-CA" w:eastAsia="en-US"/>
        </w:rPr>
      </w:pPr>
      <w:r w:rsidRPr="00907C8E">
        <w:rPr>
          <w:rFonts w:eastAsiaTheme="minorHAnsi" w:cstheme="minorBidi"/>
          <w:szCs w:val="24"/>
          <w:lang w:val="fr-CA" w:eastAsia="en-US"/>
        </w:rPr>
        <w:t>Appelante</w:t>
      </w:r>
    </w:p>
    <w:p w:rsidR="00B0068E" w:rsidRPr="00907C8E" w:rsidRDefault="00B0068E" w:rsidP="00B0068E">
      <w:pPr>
        <w:jc w:val="center"/>
        <w:rPr>
          <w:rFonts w:eastAsiaTheme="minorHAnsi" w:cstheme="minorBidi"/>
          <w:szCs w:val="24"/>
          <w:lang w:val="fr-CA" w:eastAsia="en-US"/>
        </w:rPr>
      </w:pPr>
      <w:proofErr w:type="gramStart"/>
      <w:r w:rsidRPr="00907C8E">
        <w:rPr>
          <w:rFonts w:eastAsiaTheme="minorHAnsi" w:cstheme="minorBidi"/>
          <w:szCs w:val="24"/>
          <w:lang w:val="fr-CA" w:eastAsia="en-US"/>
        </w:rPr>
        <w:t>et</w:t>
      </w:r>
      <w:proofErr w:type="gramEnd"/>
    </w:p>
    <w:p w:rsidR="00B0068E" w:rsidRPr="00907C8E" w:rsidRDefault="00B0068E" w:rsidP="00B0068E">
      <w:pPr>
        <w:jc w:val="center"/>
        <w:rPr>
          <w:rFonts w:eastAsiaTheme="minorHAnsi" w:cstheme="minorBidi"/>
          <w:b/>
          <w:szCs w:val="24"/>
          <w:lang w:val="fr-CA" w:eastAsia="en-US"/>
        </w:rPr>
      </w:pPr>
      <w:r w:rsidRPr="00907C8E">
        <w:rPr>
          <w:rFonts w:eastAsiaTheme="minorHAnsi" w:cstheme="minorBidi"/>
          <w:b/>
          <w:szCs w:val="24"/>
          <w:lang w:val="fr-CA" w:eastAsia="en-US"/>
        </w:rPr>
        <w:t xml:space="preserve">Christopher </w:t>
      </w:r>
      <w:proofErr w:type="spellStart"/>
      <w:r w:rsidRPr="00907C8E">
        <w:rPr>
          <w:rFonts w:eastAsiaTheme="minorHAnsi" w:cstheme="minorBidi"/>
          <w:b/>
          <w:szCs w:val="24"/>
          <w:lang w:val="fr-CA" w:eastAsia="en-US"/>
        </w:rPr>
        <w:t>Baldree</w:t>
      </w:r>
      <w:proofErr w:type="spellEnd"/>
    </w:p>
    <w:p w:rsidR="00B0068E" w:rsidRPr="00907C8E" w:rsidRDefault="00B0068E" w:rsidP="00B0068E">
      <w:pPr>
        <w:jc w:val="center"/>
        <w:rPr>
          <w:rFonts w:eastAsiaTheme="minorHAnsi" w:cstheme="minorBidi"/>
          <w:szCs w:val="24"/>
          <w:lang w:val="fr-CA" w:eastAsia="en-US"/>
        </w:rPr>
      </w:pPr>
      <w:r w:rsidRPr="00907C8E">
        <w:rPr>
          <w:rFonts w:eastAsiaTheme="minorHAnsi" w:cstheme="minorBidi"/>
          <w:szCs w:val="24"/>
          <w:lang w:val="fr-CA" w:eastAsia="en-US"/>
        </w:rPr>
        <w:t>Intimé</w:t>
      </w:r>
    </w:p>
    <w:p w:rsidR="00B0068E" w:rsidRPr="00907C8E" w:rsidRDefault="00B0068E" w:rsidP="00B0068E">
      <w:pPr>
        <w:jc w:val="center"/>
        <w:rPr>
          <w:rFonts w:eastAsiaTheme="minorHAnsi" w:cstheme="minorBidi"/>
          <w:szCs w:val="24"/>
          <w:lang w:val="fr-CA" w:eastAsia="en-US"/>
        </w:rPr>
      </w:pPr>
      <w:r w:rsidRPr="00907C8E">
        <w:rPr>
          <w:rFonts w:eastAsiaTheme="minorHAnsi" w:cstheme="minorBidi"/>
          <w:szCs w:val="24"/>
          <w:lang w:val="fr-CA" w:eastAsia="en-US"/>
        </w:rPr>
        <w:t>- et -</w:t>
      </w:r>
    </w:p>
    <w:p w:rsidR="00B0068E" w:rsidRPr="00907C8E" w:rsidRDefault="00B0068E" w:rsidP="00B0068E">
      <w:pPr>
        <w:jc w:val="center"/>
        <w:rPr>
          <w:rFonts w:eastAsiaTheme="minorHAnsi" w:cstheme="minorBidi"/>
          <w:b/>
          <w:szCs w:val="24"/>
          <w:lang w:val="fr-CA" w:eastAsia="en-US"/>
        </w:rPr>
      </w:pPr>
      <w:r w:rsidRPr="00907C8E">
        <w:rPr>
          <w:rFonts w:eastAsiaTheme="minorHAnsi" w:cstheme="minorBidi"/>
          <w:b/>
          <w:szCs w:val="24"/>
          <w:lang w:val="fr-CA" w:eastAsia="en-US"/>
        </w:rPr>
        <w:t>Procureur général de l’Ontario</w:t>
      </w:r>
    </w:p>
    <w:p w:rsidR="00B0068E" w:rsidRPr="00907C8E" w:rsidRDefault="00B0068E" w:rsidP="00B0068E">
      <w:pPr>
        <w:jc w:val="center"/>
        <w:rPr>
          <w:rFonts w:eastAsiaTheme="minorHAnsi" w:cstheme="minorBidi"/>
          <w:szCs w:val="24"/>
          <w:lang w:val="fr-CA" w:eastAsia="en-US"/>
        </w:rPr>
      </w:pPr>
      <w:r w:rsidRPr="00907C8E">
        <w:rPr>
          <w:rFonts w:eastAsiaTheme="minorHAnsi" w:cstheme="minorBidi"/>
          <w:szCs w:val="24"/>
          <w:lang w:val="fr-CA" w:eastAsia="en-US"/>
        </w:rPr>
        <w:t>Intervenant</w:t>
      </w:r>
    </w:p>
    <w:p w:rsidR="00B0068E" w:rsidRPr="00907C8E" w:rsidRDefault="00B0068E" w:rsidP="00B0068E">
      <w:pPr>
        <w:rPr>
          <w:rFonts w:eastAsiaTheme="minorHAnsi" w:cstheme="minorBidi"/>
          <w:szCs w:val="24"/>
          <w:lang w:val="fr-CA" w:eastAsia="en-US"/>
        </w:rPr>
      </w:pPr>
    </w:p>
    <w:p w:rsidR="00B0068E" w:rsidRPr="00907C8E" w:rsidRDefault="00B0068E" w:rsidP="00B0068E">
      <w:pPr>
        <w:jc w:val="center"/>
        <w:rPr>
          <w:rFonts w:eastAsiaTheme="minorHAnsi" w:cstheme="minorBidi"/>
          <w:b/>
          <w:smallCaps/>
          <w:szCs w:val="24"/>
          <w:lang w:val="fr-CA" w:eastAsia="en-US"/>
        </w:rPr>
      </w:pPr>
      <w:r w:rsidRPr="00907C8E">
        <w:rPr>
          <w:rFonts w:eastAsiaTheme="minorHAnsi" w:cstheme="minorBidi"/>
          <w:b/>
          <w:smallCaps/>
          <w:szCs w:val="24"/>
          <w:lang w:val="fr-CA" w:eastAsia="en-US"/>
        </w:rPr>
        <w:t>Traduction française officielle</w:t>
      </w:r>
    </w:p>
    <w:p w:rsidR="00B0068E" w:rsidRPr="00907C8E" w:rsidRDefault="00B0068E" w:rsidP="00B0068E">
      <w:pPr>
        <w:rPr>
          <w:rFonts w:eastAsiaTheme="minorHAnsi" w:cstheme="minorBidi"/>
          <w:szCs w:val="24"/>
          <w:lang w:val="fr-CA" w:eastAsia="en-US"/>
        </w:rPr>
      </w:pPr>
    </w:p>
    <w:p w:rsidR="00B0068E" w:rsidRPr="00907C8E" w:rsidRDefault="00B0068E" w:rsidP="00B0068E">
      <w:pPr>
        <w:rPr>
          <w:rFonts w:eastAsiaTheme="minorHAnsi" w:cstheme="minorBidi"/>
          <w:szCs w:val="24"/>
          <w:lang w:val="fr-CA" w:eastAsia="en-US"/>
        </w:rPr>
      </w:pPr>
      <w:r w:rsidRPr="00907C8E">
        <w:rPr>
          <w:rFonts w:eastAsiaTheme="minorHAnsi" w:cstheme="minorBidi"/>
          <w:b/>
          <w:smallCaps/>
          <w:szCs w:val="24"/>
          <w:lang w:val="fr-CA" w:eastAsia="en-US"/>
        </w:rPr>
        <w:t>Coram :</w:t>
      </w:r>
      <w:r w:rsidRPr="00907C8E">
        <w:rPr>
          <w:rFonts w:eastAsiaTheme="minorHAnsi" w:cstheme="minorBidi"/>
          <w:szCs w:val="24"/>
          <w:lang w:val="fr-CA" w:eastAsia="en-US"/>
        </w:rPr>
        <w:t xml:space="preserve"> La juge en chef McLachlin et les juges </w:t>
      </w:r>
      <w:proofErr w:type="spellStart"/>
      <w:r w:rsidRPr="00907C8E">
        <w:rPr>
          <w:rFonts w:eastAsiaTheme="minorHAnsi" w:cstheme="minorBidi"/>
          <w:szCs w:val="24"/>
          <w:lang w:val="fr-CA" w:eastAsia="en-US"/>
        </w:rPr>
        <w:t>LeBel</w:t>
      </w:r>
      <w:proofErr w:type="spellEnd"/>
      <w:r w:rsidRPr="00907C8E">
        <w:rPr>
          <w:rFonts w:eastAsiaTheme="minorHAnsi" w:cstheme="minorBidi"/>
          <w:szCs w:val="24"/>
          <w:lang w:val="fr-CA" w:eastAsia="en-US"/>
        </w:rPr>
        <w:t xml:space="preserve">, Fish, Abella, </w:t>
      </w:r>
      <w:proofErr w:type="spellStart"/>
      <w:r w:rsidRPr="00907C8E">
        <w:rPr>
          <w:rFonts w:eastAsiaTheme="minorHAnsi" w:cstheme="minorBidi"/>
          <w:szCs w:val="24"/>
          <w:lang w:val="fr-CA" w:eastAsia="en-US"/>
        </w:rPr>
        <w:t>Rothstein</w:t>
      </w:r>
      <w:proofErr w:type="spellEnd"/>
      <w:r w:rsidRPr="00907C8E">
        <w:rPr>
          <w:rFonts w:eastAsiaTheme="minorHAnsi" w:cstheme="minorBidi"/>
          <w:szCs w:val="24"/>
          <w:lang w:val="fr-CA" w:eastAsia="en-US"/>
        </w:rPr>
        <w:t xml:space="preserve">, Cromwell, </w:t>
      </w:r>
      <w:proofErr w:type="spellStart"/>
      <w:r w:rsidRPr="00907C8E">
        <w:rPr>
          <w:rFonts w:eastAsiaTheme="minorHAnsi" w:cstheme="minorBidi"/>
          <w:szCs w:val="24"/>
          <w:lang w:val="fr-CA" w:eastAsia="en-US"/>
        </w:rPr>
        <w:t>Moldaver</w:t>
      </w:r>
      <w:proofErr w:type="spellEnd"/>
      <w:r w:rsidRPr="00907C8E">
        <w:rPr>
          <w:rFonts w:eastAsiaTheme="minorHAnsi" w:cstheme="minorBidi"/>
          <w:szCs w:val="24"/>
          <w:lang w:val="fr-CA" w:eastAsia="en-US"/>
        </w:rPr>
        <w:t xml:space="preserve">, </w:t>
      </w:r>
      <w:proofErr w:type="spellStart"/>
      <w:r w:rsidRPr="00907C8E">
        <w:rPr>
          <w:rFonts w:eastAsiaTheme="minorHAnsi" w:cstheme="minorBidi"/>
          <w:szCs w:val="24"/>
          <w:lang w:val="fr-CA" w:eastAsia="en-US"/>
        </w:rPr>
        <w:t>Karakatsanis</w:t>
      </w:r>
      <w:proofErr w:type="spellEnd"/>
      <w:r w:rsidRPr="00907C8E">
        <w:rPr>
          <w:rFonts w:eastAsiaTheme="minorHAnsi" w:cstheme="minorBidi"/>
          <w:szCs w:val="24"/>
          <w:lang w:val="fr-CA" w:eastAsia="en-US"/>
        </w:rPr>
        <w:t xml:space="preserve"> et Wagner</w:t>
      </w:r>
    </w:p>
    <w:p w:rsidR="00B0068E" w:rsidRPr="00907C8E" w:rsidRDefault="00B0068E" w:rsidP="00B0068E">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0068E" w:rsidRPr="00907C8E" w:rsidTr="00666EE5">
        <w:trPr>
          <w:cantSplit/>
        </w:trPr>
        <w:tc>
          <w:tcPr>
            <w:tcW w:w="3618" w:type="dxa"/>
          </w:tcPr>
          <w:p w:rsidR="00B0068E" w:rsidRPr="00907C8E" w:rsidRDefault="00B0068E" w:rsidP="00666EE5">
            <w:pPr>
              <w:rPr>
                <w:b/>
                <w:smallCaps/>
                <w:lang w:val="fr-CA"/>
              </w:rPr>
            </w:pPr>
            <w:r w:rsidRPr="00907C8E">
              <w:rPr>
                <w:b/>
                <w:smallCaps/>
                <w:lang w:val="fr-CA"/>
              </w:rPr>
              <w:t>Motifs de jugement :</w:t>
            </w:r>
          </w:p>
          <w:p w:rsidR="00B0068E" w:rsidRPr="00907C8E" w:rsidRDefault="00B0068E" w:rsidP="00666EE5">
            <w:pPr>
              <w:rPr>
                <w:lang w:val="fr-CA"/>
              </w:rPr>
            </w:pPr>
            <w:r w:rsidRPr="00907C8E">
              <w:rPr>
                <w:lang w:val="fr-CA"/>
              </w:rPr>
              <w:t>(par. 1 à 77)</w:t>
            </w:r>
          </w:p>
          <w:p w:rsidR="00B0068E" w:rsidRPr="00907C8E" w:rsidRDefault="00B0068E" w:rsidP="00666EE5">
            <w:pPr>
              <w:rPr>
                <w:lang w:val="fr-CA"/>
              </w:rPr>
            </w:pPr>
          </w:p>
          <w:p w:rsidR="00B0068E" w:rsidRPr="00907C8E" w:rsidRDefault="00B0068E" w:rsidP="00666EE5">
            <w:pPr>
              <w:rPr>
                <w:b/>
                <w:smallCaps/>
                <w:lang w:val="fr-CA"/>
              </w:rPr>
            </w:pPr>
            <w:r w:rsidRPr="00907C8E">
              <w:rPr>
                <w:b/>
                <w:smallCaps/>
                <w:lang w:val="fr-CA"/>
              </w:rPr>
              <w:t>Motifs concordants :</w:t>
            </w:r>
          </w:p>
          <w:p w:rsidR="00B0068E" w:rsidRPr="00907C8E" w:rsidRDefault="00B0068E" w:rsidP="00666EE5">
            <w:pPr>
              <w:rPr>
                <w:lang w:val="fr-CA"/>
              </w:rPr>
            </w:pPr>
            <w:r w:rsidRPr="00907C8E">
              <w:rPr>
                <w:lang w:val="fr-CA"/>
              </w:rPr>
              <w:t>(par. 78 à 125)</w:t>
            </w:r>
          </w:p>
        </w:tc>
        <w:tc>
          <w:tcPr>
            <w:tcW w:w="5958" w:type="dxa"/>
          </w:tcPr>
          <w:p w:rsidR="00B0068E" w:rsidRPr="00907C8E" w:rsidRDefault="00B0068E" w:rsidP="00666EE5">
            <w:pPr>
              <w:rPr>
                <w:lang w:val="fr-CA"/>
              </w:rPr>
            </w:pPr>
            <w:r w:rsidRPr="00907C8E">
              <w:rPr>
                <w:lang w:val="fr-CA"/>
              </w:rPr>
              <w:t xml:space="preserve">Le juge Fish (avec l’accord de la juge en chef McLachlin et des juges </w:t>
            </w:r>
            <w:proofErr w:type="spellStart"/>
            <w:r w:rsidRPr="00907C8E">
              <w:rPr>
                <w:lang w:val="fr-CA"/>
              </w:rPr>
              <w:t>LeBel</w:t>
            </w:r>
            <w:proofErr w:type="spellEnd"/>
            <w:r w:rsidRPr="00907C8E">
              <w:rPr>
                <w:lang w:val="fr-CA"/>
              </w:rPr>
              <w:t xml:space="preserve">, Abella, </w:t>
            </w:r>
            <w:proofErr w:type="spellStart"/>
            <w:r w:rsidRPr="00907C8E">
              <w:rPr>
                <w:lang w:val="fr-CA"/>
              </w:rPr>
              <w:t>Rothstein</w:t>
            </w:r>
            <w:proofErr w:type="spellEnd"/>
            <w:r w:rsidRPr="00907C8E">
              <w:rPr>
                <w:lang w:val="fr-CA"/>
              </w:rPr>
              <w:t xml:space="preserve">, Cromwell, </w:t>
            </w:r>
            <w:proofErr w:type="spellStart"/>
            <w:r w:rsidRPr="00907C8E">
              <w:rPr>
                <w:lang w:val="fr-CA"/>
              </w:rPr>
              <w:t>Karakatsanis</w:t>
            </w:r>
            <w:proofErr w:type="spellEnd"/>
            <w:r w:rsidRPr="00907C8E">
              <w:rPr>
                <w:lang w:val="fr-CA"/>
              </w:rPr>
              <w:t xml:space="preserve"> et Wagner)</w:t>
            </w:r>
          </w:p>
          <w:p w:rsidR="00B0068E" w:rsidRPr="00907C8E" w:rsidRDefault="00B0068E" w:rsidP="00666EE5">
            <w:pPr>
              <w:rPr>
                <w:lang w:val="fr-CA"/>
              </w:rPr>
            </w:pPr>
          </w:p>
          <w:p w:rsidR="00B0068E" w:rsidRPr="00907C8E" w:rsidRDefault="00B0068E" w:rsidP="00666EE5">
            <w:pPr>
              <w:rPr>
                <w:lang w:val="fr-CA"/>
              </w:rPr>
            </w:pPr>
            <w:r w:rsidRPr="00907C8E">
              <w:rPr>
                <w:lang w:val="fr-CA"/>
              </w:rPr>
              <w:t xml:space="preserve">Le juge </w:t>
            </w:r>
            <w:proofErr w:type="spellStart"/>
            <w:r w:rsidRPr="00907C8E">
              <w:rPr>
                <w:lang w:val="fr-CA"/>
              </w:rPr>
              <w:t>Moldaver</w:t>
            </w:r>
            <w:proofErr w:type="spellEnd"/>
          </w:p>
        </w:tc>
      </w:tr>
    </w:tbl>
    <w:p w:rsidR="00B0068E" w:rsidRPr="00907C8E" w:rsidRDefault="00B0068E" w:rsidP="00B0068E">
      <w:pPr>
        <w:rPr>
          <w:rFonts w:eastAsiaTheme="minorHAnsi" w:cstheme="minorBidi"/>
          <w:szCs w:val="24"/>
          <w:lang w:val="fr-CA" w:eastAsia="en-US"/>
        </w:rPr>
      </w:pPr>
    </w:p>
    <w:p w:rsidR="00B0068E" w:rsidRPr="00907C8E" w:rsidRDefault="00B0068E" w:rsidP="00B0068E">
      <w:pPr>
        <w:rPr>
          <w:rFonts w:eastAsiaTheme="minorHAnsi" w:cstheme="minorBidi"/>
          <w:szCs w:val="24"/>
          <w:lang w:val="fr-CA" w:eastAsia="en-US"/>
        </w:rPr>
      </w:pPr>
    </w:p>
    <w:p w:rsidR="00B0068E" w:rsidRPr="00907C8E" w:rsidRDefault="00B0068E" w:rsidP="00B0068E">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0068E" w:rsidRPr="00266609" w:rsidRDefault="00B0068E" w:rsidP="00B0068E">
      <w:pPr>
        <w:rPr>
          <w:smallCaps/>
          <w:lang w:val="fr-CA"/>
        </w:rPr>
      </w:pPr>
      <w:r w:rsidRPr="00266609">
        <w:rPr>
          <w:smallCaps/>
          <w:lang w:val="fr-CA"/>
        </w:rPr>
        <w:br w:type="page"/>
      </w:r>
    </w:p>
    <w:p w:rsidR="00873FA5" w:rsidRPr="00977656" w:rsidRDefault="00873FA5" w:rsidP="00873FA5">
      <w:pPr>
        <w:spacing w:after="720"/>
        <w:jc w:val="both"/>
      </w:pPr>
      <w:r>
        <w:lastRenderedPageBreak/>
        <w:t>R</w:t>
      </w:r>
      <w:r w:rsidRPr="00977656">
        <w:t xml:space="preserve">. </w:t>
      </w:r>
      <w:r>
        <w:rPr>
          <w:i/>
        </w:rPr>
        <w:t>c</w:t>
      </w:r>
      <w:r w:rsidRPr="00977656">
        <w:rPr>
          <w:i/>
        </w:rPr>
        <w:t>.</w:t>
      </w:r>
      <w:r w:rsidRPr="00977656">
        <w:t xml:space="preserve"> </w:t>
      </w:r>
      <w:proofErr w:type="spellStart"/>
      <w:r>
        <w:t>B</w:t>
      </w:r>
      <w:r w:rsidRPr="00977656">
        <w:t>aldree</w:t>
      </w:r>
      <w:proofErr w:type="spellEnd"/>
      <w:r>
        <w:t>, 2013 CSC 35, [2013] 2 R.C.S. 520</w:t>
      </w:r>
    </w:p>
    <w:p w:rsidR="00FE0E35" w:rsidRPr="009D7FA7" w:rsidRDefault="00510E07" w:rsidP="001954BD">
      <w:pPr>
        <w:pStyle w:val="SCCLsocLastPartyInRole"/>
        <w:rPr>
          <w:lang w:val="fr-CA"/>
        </w:rPr>
      </w:pPr>
      <w:r w:rsidRPr="009D7FA7">
        <w:rPr>
          <w:lang w:val="fr-CA"/>
        </w:rPr>
        <w:t>Sa Majesté la Reine</w:t>
      </w:r>
      <w:r w:rsidR="0000519D" w:rsidRPr="009D7FA7">
        <w:rPr>
          <w:rStyle w:val="SCCLsocPartyRole"/>
          <w:lang w:val="fr-CA"/>
        </w:rPr>
        <w:tab/>
        <w:t>Appelant</w:t>
      </w:r>
      <w:r w:rsidRPr="009D7FA7">
        <w:rPr>
          <w:rStyle w:val="SCCLsocPartyRole"/>
          <w:lang w:val="fr-CA"/>
        </w:rPr>
        <w:t>e</w:t>
      </w:r>
    </w:p>
    <w:p w:rsidR="00FE0E35" w:rsidRPr="009D7FA7" w:rsidRDefault="00510E07" w:rsidP="001954BD">
      <w:pPr>
        <w:pStyle w:val="SCCLsocVersus"/>
        <w:rPr>
          <w:lang w:val="fr-CA"/>
        </w:rPr>
      </w:pPr>
      <w:proofErr w:type="gramStart"/>
      <w:r w:rsidRPr="009D7FA7">
        <w:rPr>
          <w:lang w:val="fr-CA"/>
        </w:rPr>
        <w:t>c</w:t>
      </w:r>
      <w:proofErr w:type="gramEnd"/>
      <w:r w:rsidRPr="009D7FA7">
        <w:rPr>
          <w:lang w:val="fr-CA"/>
        </w:rPr>
        <w:t>.</w:t>
      </w:r>
    </w:p>
    <w:p w:rsidR="00FE0E35" w:rsidRPr="009D7FA7" w:rsidRDefault="00510E07" w:rsidP="001954BD">
      <w:pPr>
        <w:pStyle w:val="SCCLsocLastPartyInRole"/>
        <w:rPr>
          <w:lang w:val="fr-CA"/>
        </w:rPr>
      </w:pPr>
      <w:r w:rsidRPr="009D7FA7">
        <w:rPr>
          <w:lang w:val="fr-CA"/>
        </w:rPr>
        <w:t xml:space="preserve">Christopher </w:t>
      </w:r>
      <w:proofErr w:type="spellStart"/>
      <w:r w:rsidRPr="009D7FA7">
        <w:rPr>
          <w:lang w:val="fr-CA"/>
        </w:rPr>
        <w:t>Baldree</w:t>
      </w:r>
      <w:proofErr w:type="spellEnd"/>
      <w:r w:rsidRPr="009D7FA7">
        <w:rPr>
          <w:rStyle w:val="SCCLsocPartyRole"/>
          <w:lang w:val="fr-CA"/>
        </w:rPr>
        <w:tab/>
        <w:t>Intimé</w:t>
      </w:r>
    </w:p>
    <w:p w:rsidR="00FE0E35" w:rsidRPr="009D7FA7" w:rsidRDefault="00510E07" w:rsidP="001954BD">
      <w:pPr>
        <w:pStyle w:val="SCCLsocOtherPartySeparator"/>
        <w:rPr>
          <w:lang w:val="fr-CA"/>
        </w:rPr>
      </w:pPr>
      <w:proofErr w:type="gramStart"/>
      <w:r w:rsidRPr="009D7FA7">
        <w:rPr>
          <w:lang w:val="fr-CA"/>
        </w:rPr>
        <w:t>et</w:t>
      </w:r>
      <w:proofErr w:type="gramEnd"/>
    </w:p>
    <w:p w:rsidR="00FE0E35" w:rsidRPr="009D7FA7" w:rsidRDefault="00510E07" w:rsidP="001954BD">
      <w:pPr>
        <w:pStyle w:val="SCCLsocLastPartyInRole"/>
        <w:rPr>
          <w:lang w:val="fr-CA"/>
        </w:rPr>
      </w:pPr>
      <w:r w:rsidRPr="009D7FA7">
        <w:rPr>
          <w:lang w:val="fr-CA"/>
        </w:rPr>
        <w:t>Procureur général de l'Ontario</w:t>
      </w:r>
      <w:r w:rsidRPr="009D7FA7">
        <w:rPr>
          <w:rStyle w:val="SCCLsocPartyRole"/>
          <w:lang w:val="fr-CA"/>
        </w:rPr>
        <w:tab/>
        <w:t>Intervenant</w:t>
      </w:r>
    </w:p>
    <w:p w:rsidR="004D7D95" w:rsidRPr="009D7FA7" w:rsidRDefault="004D7D95" w:rsidP="001954BD">
      <w:pPr>
        <w:spacing w:after="720"/>
        <w:jc w:val="both"/>
        <w:rPr>
          <w:b/>
          <w:lang w:val="fr-CA"/>
        </w:rPr>
      </w:pPr>
      <w:r w:rsidRPr="009D7FA7">
        <w:rPr>
          <w:b/>
          <w:lang w:val="fr-CA"/>
        </w:rPr>
        <w:t>Répertorié</w:t>
      </w:r>
      <w:r w:rsidR="00061ED6" w:rsidRPr="009D7FA7">
        <w:rPr>
          <w:b/>
          <w:lang w:val="fr-CA"/>
        </w:rPr>
        <w:t> :</w:t>
      </w:r>
      <w:r w:rsidRPr="009D7FA7">
        <w:rPr>
          <w:b/>
          <w:lang w:val="fr-CA"/>
        </w:rPr>
        <w:t xml:space="preserve"> R. </w:t>
      </w:r>
      <w:r w:rsidRPr="009D7FA7">
        <w:rPr>
          <w:b/>
          <w:i/>
          <w:lang w:val="fr-CA"/>
        </w:rPr>
        <w:t>c.</w:t>
      </w:r>
      <w:r w:rsidRPr="009D7FA7">
        <w:rPr>
          <w:b/>
          <w:lang w:val="fr-CA"/>
        </w:rPr>
        <w:t xml:space="preserve"> </w:t>
      </w:r>
      <w:proofErr w:type="spellStart"/>
      <w:r w:rsidRPr="009D7FA7">
        <w:rPr>
          <w:b/>
          <w:lang w:val="fr-CA"/>
        </w:rPr>
        <w:t>Baldree</w:t>
      </w:r>
      <w:proofErr w:type="spellEnd"/>
    </w:p>
    <w:p w:rsidR="004D7D95" w:rsidRPr="009D7FA7" w:rsidRDefault="00F62639" w:rsidP="001954BD">
      <w:pPr>
        <w:pStyle w:val="SCCSystemYear"/>
        <w:spacing w:after="720"/>
        <w:jc w:val="both"/>
        <w:rPr>
          <w:lang w:val="fr-CA"/>
        </w:rPr>
      </w:pPr>
      <w:r w:rsidRPr="009D7FA7">
        <w:rPr>
          <w:lang w:val="fr-CA"/>
        </w:rPr>
        <w:t>2013</w:t>
      </w:r>
      <w:r w:rsidR="004D7D95" w:rsidRPr="009D7FA7">
        <w:rPr>
          <w:lang w:val="fr-CA"/>
        </w:rPr>
        <w:t xml:space="preserve"> CSC </w:t>
      </w:r>
      <w:r w:rsidR="009A6277" w:rsidRPr="009D7FA7">
        <w:rPr>
          <w:lang w:val="fr-CA"/>
        </w:rPr>
        <w:t>35</w:t>
      </w:r>
    </w:p>
    <w:p w:rsidR="004D7D95" w:rsidRPr="009D7FA7" w:rsidRDefault="004D7D95" w:rsidP="001954BD">
      <w:pPr>
        <w:spacing w:after="720"/>
        <w:jc w:val="both"/>
        <w:rPr>
          <w:lang w:val="fr-CA"/>
        </w:rPr>
      </w:pPr>
      <w:r w:rsidRPr="009D7FA7">
        <w:rPr>
          <w:lang w:val="fr-CA"/>
        </w:rPr>
        <w:t>N</w:t>
      </w:r>
      <w:r w:rsidRPr="009D7FA7">
        <w:rPr>
          <w:vertAlign w:val="superscript"/>
          <w:lang w:val="fr-CA"/>
        </w:rPr>
        <w:t>o</w:t>
      </w:r>
      <w:r w:rsidRPr="009D7FA7">
        <w:rPr>
          <w:lang w:val="fr-CA"/>
        </w:rPr>
        <w:t xml:space="preserve"> du greffe</w:t>
      </w:r>
      <w:r w:rsidR="00061ED6" w:rsidRPr="009D7FA7">
        <w:rPr>
          <w:lang w:val="fr-CA"/>
        </w:rPr>
        <w:t> :</w:t>
      </w:r>
      <w:r w:rsidRPr="009D7FA7">
        <w:rPr>
          <w:lang w:val="fr-CA"/>
        </w:rPr>
        <w:t> 34754.</w:t>
      </w:r>
    </w:p>
    <w:p w:rsidR="004D7D95" w:rsidRPr="009D7FA7" w:rsidRDefault="00F62639" w:rsidP="001954BD">
      <w:pPr>
        <w:spacing w:after="720"/>
        <w:jc w:val="both"/>
        <w:rPr>
          <w:lang w:val="fr-CA"/>
        </w:rPr>
      </w:pPr>
      <w:r w:rsidRPr="009D7FA7">
        <w:rPr>
          <w:lang w:val="fr-CA"/>
        </w:rPr>
        <w:t>2012</w:t>
      </w:r>
      <w:r w:rsidR="00061ED6" w:rsidRPr="009D7FA7">
        <w:rPr>
          <w:lang w:val="fr-CA"/>
        </w:rPr>
        <w:t> :</w:t>
      </w:r>
      <w:r w:rsidR="00D61AC7" w:rsidRPr="009D7FA7">
        <w:rPr>
          <w:lang w:val="fr-CA"/>
        </w:rPr>
        <w:t> 7 </w:t>
      </w:r>
      <w:r w:rsidRPr="009D7FA7">
        <w:rPr>
          <w:lang w:val="fr-CA"/>
        </w:rPr>
        <w:t>novembre</w:t>
      </w:r>
      <w:r w:rsidR="004D7D95" w:rsidRPr="009D7FA7">
        <w:rPr>
          <w:lang w:val="fr-CA"/>
        </w:rPr>
        <w:t xml:space="preserve">; </w:t>
      </w:r>
      <w:r w:rsidR="0000519D" w:rsidRPr="009D7FA7">
        <w:rPr>
          <w:lang w:val="fr-CA"/>
        </w:rPr>
        <w:t>2013</w:t>
      </w:r>
      <w:r w:rsidR="00061ED6" w:rsidRPr="009D7FA7">
        <w:rPr>
          <w:lang w:val="fr-CA"/>
        </w:rPr>
        <w:t> :</w:t>
      </w:r>
      <w:r w:rsidR="000B4532" w:rsidRPr="009D7FA7">
        <w:rPr>
          <w:lang w:val="fr-CA"/>
        </w:rPr>
        <w:t> 19 </w:t>
      </w:r>
      <w:r w:rsidR="002D2220" w:rsidRPr="009D7FA7">
        <w:rPr>
          <w:lang w:val="fr-CA"/>
        </w:rPr>
        <w:t>juin</w:t>
      </w:r>
      <w:r w:rsidR="004D7D95" w:rsidRPr="009D7FA7">
        <w:rPr>
          <w:lang w:val="fr-CA"/>
        </w:rPr>
        <w:t>.</w:t>
      </w:r>
    </w:p>
    <w:p w:rsidR="004D7D95" w:rsidRPr="009D7FA7" w:rsidRDefault="004D7D95" w:rsidP="001954BD">
      <w:pPr>
        <w:spacing w:after="720"/>
        <w:jc w:val="both"/>
        <w:rPr>
          <w:lang w:val="fr-CA"/>
        </w:rPr>
      </w:pPr>
      <w:r w:rsidRPr="009D7FA7">
        <w:rPr>
          <w:lang w:val="fr-CA"/>
        </w:rPr>
        <w:t>Présents</w:t>
      </w:r>
      <w:r w:rsidR="00061ED6" w:rsidRPr="009D7FA7">
        <w:rPr>
          <w:lang w:val="fr-CA"/>
        </w:rPr>
        <w:t> :</w:t>
      </w:r>
      <w:r w:rsidRPr="009D7FA7">
        <w:rPr>
          <w:lang w:val="fr-CA"/>
        </w:rPr>
        <w:t xml:space="preserve"> La juge en chef McLachlin et les juges </w:t>
      </w:r>
      <w:proofErr w:type="spellStart"/>
      <w:r w:rsidRPr="009D7FA7">
        <w:rPr>
          <w:lang w:val="fr-CA"/>
        </w:rPr>
        <w:t>LeBel</w:t>
      </w:r>
      <w:proofErr w:type="spellEnd"/>
      <w:r w:rsidRPr="009D7FA7">
        <w:rPr>
          <w:lang w:val="fr-CA"/>
        </w:rPr>
        <w:t xml:space="preserve">, Fish, Abella, </w:t>
      </w:r>
      <w:proofErr w:type="spellStart"/>
      <w:r w:rsidRPr="009D7FA7">
        <w:rPr>
          <w:lang w:val="fr-CA"/>
        </w:rPr>
        <w:t>Rothstein</w:t>
      </w:r>
      <w:proofErr w:type="spellEnd"/>
      <w:r w:rsidRPr="009D7FA7">
        <w:rPr>
          <w:lang w:val="fr-CA"/>
        </w:rPr>
        <w:t xml:space="preserve">, Cromwell, </w:t>
      </w:r>
      <w:proofErr w:type="spellStart"/>
      <w:r w:rsidRPr="009D7FA7">
        <w:rPr>
          <w:lang w:val="fr-CA"/>
        </w:rPr>
        <w:t>Moldaver</w:t>
      </w:r>
      <w:proofErr w:type="spellEnd"/>
      <w:r w:rsidRPr="009D7FA7">
        <w:rPr>
          <w:lang w:val="fr-CA"/>
        </w:rPr>
        <w:t xml:space="preserve">, </w:t>
      </w:r>
      <w:proofErr w:type="spellStart"/>
      <w:r w:rsidRPr="009D7FA7">
        <w:rPr>
          <w:lang w:val="fr-CA"/>
        </w:rPr>
        <w:t>Karakatsanis</w:t>
      </w:r>
      <w:proofErr w:type="spellEnd"/>
      <w:r w:rsidRPr="009D7FA7">
        <w:rPr>
          <w:lang w:val="fr-CA"/>
        </w:rPr>
        <w:t xml:space="preserve"> et Wagner.</w:t>
      </w:r>
    </w:p>
    <w:p w:rsidR="004D7D95" w:rsidRPr="009D7FA7" w:rsidRDefault="004D7D95" w:rsidP="001954BD">
      <w:pPr>
        <w:spacing w:after="720"/>
        <w:jc w:val="both"/>
        <w:rPr>
          <w:smallCaps/>
          <w:lang w:val="fr-CA"/>
        </w:rPr>
      </w:pPr>
      <w:r w:rsidRPr="009D7FA7">
        <w:rPr>
          <w:smallCaps/>
          <w:lang w:val="fr-CA"/>
        </w:rPr>
        <w:t>en appel de la cour d’appel de l’</w:t>
      </w:r>
      <w:proofErr w:type="spellStart"/>
      <w:r w:rsidRPr="009D7FA7">
        <w:rPr>
          <w:smallCaps/>
          <w:lang w:val="fr-CA"/>
        </w:rPr>
        <w:t>ontario</w:t>
      </w:r>
      <w:proofErr w:type="spellEnd"/>
    </w:p>
    <w:p w:rsidR="00F03AF2" w:rsidRPr="009D7FA7" w:rsidRDefault="004D7D95" w:rsidP="00F03AF2">
      <w:pPr>
        <w:pStyle w:val="SCCNormalDoubleSpacing"/>
        <w:spacing w:after="480"/>
        <w:rPr>
          <w:lang w:val="fr-CA"/>
        </w:rPr>
      </w:pPr>
      <w:r w:rsidRPr="009D7FA7">
        <w:rPr>
          <w:lang w:val="fr-CA"/>
        </w:rPr>
        <w:tab/>
      </w:r>
      <w:r w:rsidR="00F03AF2" w:rsidRPr="009D7FA7">
        <w:rPr>
          <w:i/>
          <w:lang w:val="fr-CA"/>
        </w:rPr>
        <w:t xml:space="preserve">Droit criminel </w:t>
      </w:r>
      <w:r w:rsidR="00F03AF2" w:rsidRPr="009D7FA7">
        <w:rPr>
          <w:i/>
          <w:iCs/>
          <w:lang w:val="fr-CA"/>
        </w:rPr>
        <w:t>—</w:t>
      </w:r>
      <w:r w:rsidR="00F03AF2" w:rsidRPr="009D7FA7">
        <w:rPr>
          <w:i/>
          <w:lang w:val="fr-CA"/>
        </w:rPr>
        <w:t xml:space="preserve"> Preuve </w:t>
      </w:r>
      <w:r w:rsidR="00F03AF2" w:rsidRPr="009D7FA7">
        <w:rPr>
          <w:i/>
          <w:iCs/>
          <w:lang w:val="fr-CA"/>
        </w:rPr>
        <w:t>—</w:t>
      </w:r>
      <w:r w:rsidR="00F03AF2" w:rsidRPr="009D7FA7">
        <w:rPr>
          <w:i/>
          <w:lang w:val="fr-CA"/>
        </w:rPr>
        <w:t xml:space="preserve"> Admissibilité </w:t>
      </w:r>
      <w:r w:rsidR="00F03AF2" w:rsidRPr="009D7FA7">
        <w:rPr>
          <w:i/>
          <w:iCs/>
          <w:lang w:val="fr-CA"/>
        </w:rPr>
        <w:t>—</w:t>
      </w:r>
      <w:r w:rsidR="00F03AF2" w:rsidRPr="009D7FA7">
        <w:rPr>
          <w:i/>
          <w:lang w:val="fr-CA"/>
        </w:rPr>
        <w:t xml:space="preserve"> Ouï-dire </w:t>
      </w:r>
      <w:r w:rsidR="00F03AF2" w:rsidRPr="009D7FA7">
        <w:rPr>
          <w:i/>
          <w:iCs/>
          <w:lang w:val="fr-CA"/>
        </w:rPr>
        <w:t>—</w:t>
      </w:r>
      <w:r w:rsidR="00F03AF2" w:rsidRPr="009D7FA7">
        <w:rPr>
          <w:i/>
          <w:lang w:val="fr-CA"/>
        </w:rPr>
        <w:t xml:space="preserve"> Commande téléphonique de drogue </w:t>
      </w:r>
      <w:r w:rsidR="00F03AF2" w:rsidRPr="009D7FA7">
        <w:rPr>
          <w:i/>
          <w:iCs/>
          <w:lang w:val="fr-CA"/>
        </w:rPr>
        <w:t>—</w:t>
      </w:r>
      <w:r w:rsidR="005C62C4" w:rsidRPr="009D7FA7">
        <w:rPr>
          <w:i/>
          <w:iCs/>
          <w:lang w:val="fr-CA"/>
        </w:rPr>
        <w:t xml:space="preserve"> </w:t>
      </w:r>
      <w:r w:rsidR="00F03AF2" w:rsidRPr="009D7FA7">
        <w:rPr>
          <w:i/>
          <w:iCs/>
          <w:lang w:val="fr-CA"/>
        </w:rPr>
        <w:t>Affirmations implicites</w:t>
      </w:r>
      <w:r w:rsidR="00F03AF2" w:rsidRPr="009D7FA7">
        <w:rPr>
          <w:i/>
          <w:lang w:val="fr-CA"/>
        </w:rPr>
        <w:t xml:space="preserve"> </w:t>
      </w:r>
      <w:r w:rsidR="00F03AF2" w:rsidRPr="009D7FA7">
        <w:rPr>
          <w:i/>
          <w:iCs/>
          <w:lang w:val="fr-CA"/>
        </w:rPr>
        <w:t xml:space="preserve">— Affirmation implicite présentée en preuve pour établir la véracité de </w:t>
      </w:r>
      <w:r w:rsidR="005C62C4" w:rsidRPr="009D7FA7">
        <w:rPr>
          <w:i/>
          <w:iCs/>
          <w:lang w:val="fr-CA"/>
        </w:rPr>
        <w:t>son</w:t>
      </w:r>
      <w:r w:rsidR="00F03AF2" w:rsidRPr="009D7FA7">
        <w:rPr>
          <w:i/>
          <w:iCs/>
          <w:lang w:val="fr-CA"/>
        </w:rPr>
        <w:t xml:space="preserve"> contenu</w:t>
      </w:r>
      <w:r w:rsidR="00F03AF2" w:rsidRPr="009D7FA7">
        <w:rPr>
          <w:i/>
          <w:lang w:val="fr-CA"/>
        </w:rPr>
        <w:t xml:space="preserve"> </w:t>
      </w:r>
      <w:r w:rsidR="00F03AF2" w:rsidRPr="009D7FA7">
        <w:rPr>
          <w:i/>
          <w:iCs/>
          <w:lang w:val="fr-CA"/>
        </w:rPr>
        <w:t>— Application de la règle du ouï-</w:t>
      </w:r>
      <w:r w:rsidR="00F03AF2" w:rsidRPr="009D7FA7">
        <w:rPr>
          <w:i/>
          <w:iCs/>
          <w:lang w:val="fr-CA"/>
        </w:rPr>
        <w:lastRenderedPageBreak/>
        <w:t>dire</w:t>
      </w:r>
      <w:r w:rsidR="00F03AF2" w:rsidRPr="009D7FA7">
        <w:rPr>
          <w:i/>
          <w:lang w:val="fr-CA"/>
        </w:rPr>
        <w:t xml:space="preserve"> </w:t>
      </w:r>
      <w:r w:rsidR="00F03AF2" w:rsidRPr="009D7FA7">
        <w:rPr>
          <w:i/>
          <w:iCs/>
          <w:lang w:val="fr-CA"/>
        </w:rPr>
        <w:t>—</w:t>
      </w:r>
      <w:r w:rsidR="00F03AF2" w:rsidRPr="009D7FA7">
        <w:rPr>
          <w:lang w:val="fr-CA"/>
        </w:rPr>
        <w:t xml:space="preserve"> </w:t>
      </w:r>
      <w:r w:rsidR="000F0804" w:rsidRPr="009D7FA7">
        <w:rPr>
          <w:i/>
          <w:lang w:val="fr-CA"/>
        </w:rPr>
        <w:t>Cadre d’analyse</w:t>
      </w:r>
      <w:r w:rsidR="00F03AF2" w:rsidRPr="009D7FA7">
        <w:rPr>
          <w:i/>
          <w:lang w:val="fr-CA"/>
        </w:rPr>
        <w:t xml:space="preserve"> raisonnée</w:t>
      </w:r>
      <w:r w:rsidR="000F0804" w:rsidRPr="009D7FA7">
        <w:rPr>
          <w:i/>
          <w:lang w:val="fr-CA"/>
        </w:rPr>
        <w:t xml:space="preserve"> </w:t>
      </w:r>
      <w:r w:rsidR="00F03AF2" w:rsidRPr="009D7FA7">
        <w:rPr>
          <w:i/>
          <w:iCs/>
          <w:lang w:val="fr-CA"/>
        </w:rPr>
        <w:t xml:space="preserve">— </w:t>
      </w:r>
      <w:r w:rsidR="005C62C4" w:rsidRPr="009D7FA7">
        <w:rPr>
          <w:i/>
          <w:iCs/>
          <w:lang w:val="fr-CA"/>
        </w:rPr>
        <w:t>Application de la m</w:t>
      </w:r>
      <w:r w:rsidR="00F03AF2" w:rsidRPr="009D7FA7">
        <w:rPr>
          <w:i/>
          <w:iCs/>
          <w:lang w:val="fr-CA"/>
        </w:rPr>
        <w:t xml:space="preserve">éthode d’analyse raisonnée </w:t>
      </w:r>
      <w:r w:rsidR="005C62C4" w:rsidRPr="009D7FA7">
        <w:rPr>
          <w:i/>
          <w:iCs/>
          <w:lang w:val="fr-CA"/>
        </w:rPr>
        <w:t xml:space="preserve">pour déterminer </w:t>
      </w:r>
      <w:r w:rsidR="00F03AF2" w:rsidRPr="009D7FA7">
        <w:rPr>
          <w:i/>
          <w:iCs/>
          <w:lang w:val="fr-CA"/>
        </w:rPr>
        <w:t>la nécessité et la fiabilité de la preuve</w:t>
      </w:r>
      <w:r w:rsidR="00F03AF2" w:rsidRPr="009D7FA7">
        <w:rPr>
          <w:i/>
          <w:lang w:val="fr-CA"/>
        </w:rPr>
        <w:t>.</w:t>
      </w:r>
    </w:p>
    <w:p w:rsidR="00F03AF2" w:rsidRPr="009D7FA7" w:rsidRDefault="00B36E3A" w:rsidP="00F03AF2">
      <w:pPr>
        <w:pStyle w:val="SCCNormalDoubleSpacing"/>
        <w:spacing w:after="480"/>
        <w:rPr>
          <w:lang w:val="fr-CA"/>
        </w:rPr>
      </w:pPr>
      <w:r w:rsidRPr="009D7FA7">
        <w:rPr>
          <w:lang w:val="fr-CA"/>
        </w:rPr>
        <w:tab/>
      </w:r>
      <w:r w:rsidR="00F03AF2" w:rsidRPr="009D7FA7">
        <w:rPr>
          <w:lang w:val="fr-CA"/>
        </w:rPr>
        <w:t xml:space="preserve">Après l’arrestation de B, une personne a composé le numéro du téléphone cellulaire de B pour se faire livrer de la drogue.  Un agent de police a répondu </w:t>
      </w:r>
      <w:r w:rsidR="002E7F91" w:rsidRPr="009D7FA7">
        <w:rPr>
          <w:lang w:val="fr-CA"/>
        </w:rPr>
        <w:t xml:space="preserve">à l’appel </w:t>
      </w:r>
      <w:r w:rsidR="00F03AF2" w:rsidRPr="009D7FA7">
        <w:rPr>
          <w:lang w:val="fr-CA"/>
        </w:rPr>
        <w:t xml:space="preserve">et a accepté de livrer la </w:t>
      </w:r>
      <w:r w:rsidR="005C62C4" w:rsidRPr="009D7FA7">
        <w:rPr>
          <w:lang w:val="fr-CA"/>
        </w:rPr>
        <w:t>marchandise</w:t>
      </w:r>
      <w:r w:rsidR="00F03AF2" w:rsidRPr="009D7FA7">
        <w:rPr>
          <w:lang w:val="fr-CA"/>
        </w:rPr>
        <w:t xml:space="preserve"> </w:t>
      </w:r>
      <w:r w:rsidR="005C62C4" w:rsidRPr="009D7FA7">
        <w:rPr>
          <w:lang w:val="fr-CA"/>
        </w:rPr>
        <w:t>au</w:t>
      </w:r>
      <w:r w:rsidR="00F03AF2" w:rsidRPr="009D7FA7">
        <w:rPr>
          <w:lang w:val="fr-CA"/>
        </w:rPr>
        <w:t xml:space="preserve"> prix pratiqué habituellement par B.  L’auteur de l’appel a donné son adresse.</w:t>
      </w:r>
      <w:r w:rsidR="0046400D" w:rsidRPr="009D7FA7">
        <w:rPr>
          <w:lang w:val="fr-CA"/>
        </w:rPr>
        <w:t xml:space="preserve"> </w:t>
      </w:r>
      <w:r w:rsidR="00F03AF2" w:rsidRPr="009D7FA7">
        <w:rPr>
          <w:lang w:val="fr-CA"/>
        </w:rPr>
        <w:t xml:space="preserve"> La police n’a aucunement tenté de le trouver et de l’interroger, et il n’a pas été appelé à témoigner.  Le juge du procès a conclu que le témoignage de l’agent de police ne constituait pas du ouï-dire et a admis </w:t>
      </w:r>
      <w:r w:rsidR="005C62C4" w:rsidRPr="009D7FA7">
        <w:rPr>
          <w:lang w:val="fr-CA"/>
        </w:rPr>
        <w:t xml:space="preserve">en preuve </w:t>
      </w:r>
      <w:r w:rsidR="00F03AF2" w:rsidRPr="009D7FA7">
        <w:rPr>
          <w:lang w:val="fr-CA"/>
        </w:rPr>
        <w:t>le contenu de l’appel.  B a été déclaré coupable de possession de marihuana et de cocaïne en vue d’en faire le trafic.  Les juges majoritaires de la Cour d’appel ont accueilli l’appel, ordonné la tenue d’un nouveau procès et conclu qu’il aurait fallu écarter la preuve.</w:t>
      </w:r>
      <w:r w:rsidR="003D7376">
        <w:rPr>
          <w:lang w:val="fr-CA"/>
        </w:rPr>
        <w:t xml:space="preserve"> </w:t>
      </w:r>
    </w:p>
    <w:p w:rsidR="00F03AF2" w:rsidRPr="009D7FA7" w:rsidRDefault="00F03AF2" w:rsidP="00F03AF2">
      <w:pPr>
        <w:pStyle w:val="SCCNormalDoubleSpacing"/>
        <w:spacing w:after="480"/>
        <w:rPr>
          <w:lang w:val="fr-CA"/>
        </w:rPr>
      </w:pPr>
      <w:r w:rsidRPr="009D7FA7">
        <w:rPr>
          <w:lang w:val="fr-CA"/>
        </w:rPr>
        <w:tab/>
      </w:r>
      <w:r w:rsidRPr="009D7FA7">
        <w:rPr>
          <w:i/>
          <w:lang w:val="fr-CA"/>
        </w:rPr>
        <w:t>Arrêt</w:t>
      </w:r>
      <w:r w:rsidR="00464A3A" w:rsidRPr="0058209F">
        <w:rPr>
          <w:lang w:val="fr-CA"/>
        </w:rPr>
        <w:t> </w:t>
      </w:r>
      <w:r w:rsidRPr="0058209F">
        <w:rPr>
          <w:lang w:val="fr-CA"/>
        </w:rPr>
        <w:t>:</w:t>
      </w:r>
      <w:r w:rsidRPr="009D7FA7">
        <w:rPr>
          <w:lang w:val="fr-CA"/>
        </w:rPr>
        <w:t xml:space="preserve"> Le pourvoi est rejeté et la tenue d’un nouveau procès est ordonnée.</w:t>
      </w:r>
    </w:p>
    <w:p w:rsidR="00F03AF2" w:rsidRPr="009D7FA7" w:rsidRDefault="00B36E3A" w:rsidP="00F03AF2">
      <w:pPr>
        <w:pStyle w:val="SCCNormalDoubleSpacing"/>
        <w:spacing w:after="480"/>
        <w:rPr>
          <w:lang w:val="fr-CA"/>
        </w:rPr>
      </w:pPr>
      <w:r w:rsidRPr="009D7FA7">
        <w:rPr>
          <w:lang w:val="fr-CA"/>
        </w:rPr>
        <w:tab/>
      </w:r>
      <w:r w:rsidR="005C62C4" w:rsidRPr="000C3E41">
        <w:rPr>
          <w:i/>
          <w:lang w:val="fr-CA"/>
        </w:rPr>
        <w:t xml:space="preserve">La </w:t>
      </w:r>
      <w:r w:rsidR="005C62C4" w:rsidRPr="009D7FA7">
        <w:rPr>
          <w:lang w:val="fr-CA"/>
        </w:rPr>
        <w:t xml:space="preserve">juge en chef McLachlin et les juges </w:t>
      </w:r>
      <w:proofErr w:type="spellStart"/>
      <w:r w:rsidR="005C62C4" w:rsidRPr="009D7FA7">
        <w:rPr>
          <w:lang w:val="fr-CA"/>
        </w:rPr>
        <w:t>LeBel</w:t>
      </w:r>
      <w:proofErr w:type="spellEnd"/>
      <w:r w:rsidR="005C62C4" w:rsidRPr="009D7FA7">
        <w:rPr>
          <w:lang w:val="fr-CA"/>
        </w:rPr>
        <w:t xml:space="preserve">, </w:t>
      </w:r>
      <w:r w:rsidR="005C62C4" w:rsidRPr="000C3E41">
        <w:rPr>
          <w:lang w:val="fr-CA"/>
        </w:rPr>
        <w:t>Fish</w:t>
      </w:r>
      <w:r w:rsidR="005C62C4" w:rsidRPr="009D7FA7">
        <w:rPr>
          <w:lang w:val="fr-CA"/>
        </w:rPr>
        <w:t xml:space="preserve">, Abella, </w:t>
      </w:r>
      <w:proofErr w:type="spellStart"/>
      <w:r w:rsidR="005C62C4" w:rsidRPr="009D7FA7">
        <w:rPr>
          <w:lang w:val="fr-CA"/>
        </w:rPr>
        <w:t>Rothstein</w:t>
      </w:r>
      <w:proofErr w:type="spellEnd"/>
      <w:r w:rsidR="005C62C4" w:rsidRPr="009D7FA7">
        <w:rPr>
          <w:lang w:val="fr-CA"/>
        </w:rPr>
        <w:t xml:space="preserve">, Cromwell, </w:t>
      </w:r>
      <w:proofErr w:type="spellStart"/>
      <w:r w:rsidR="005C62C4" w:rsidRPr="009D7FA7">
        <w:rPr>
          <w:lang w:val="fr-CA"/>
        </w:rPr>
        <w:t>Karakatsanis</w:t>
      </w:r>
      <w:proofErr w:type="spellEnd"/>
      <w:r w:rsidR="005C62C4" w:rsidRPr="009D7FA7">
        <w:rPr>
          <w:lang w:val="fr-CA"/>
        </w:rPr>
        <w:t xml:space="preserve"> et Wagner : </w:t>
      </w:r>
      <w:r w:rsidR="00F03AF2" w:rsidRPr="009D7FA7">
        <w:rPr>
          <w:lang w:val="fr-CA"/>
        </w:rPr>
        <w:t xml:space="preserve">La règle du </w:t>
      </w:r>
      <w:proofErr w:type="spellStart"/>
      <w:r w:rsidR="00F03AF2" w:rsidRPr="009D7FA7">
        <w:rPr>
          <w:lang w:val="fr-CA"/>
        </w:rPr>
        <w:t>ouï</w:t>
      </w:r>
      <w:r w:rsidR="00F03AF2" w:rsidRPr="009D7FA7">
        <w:rPr>
          <w:lang w:val="fr-CA"/>
        </w:rPr>
        <w:noBreakHyphen/>
        <w:t>dire</w:t>
      </w:r>
      <w:proofErr w:type="spellEnd"/>
      <w:r w:rsidR="00F03AF2" w:rsidRPr="009D7FA7">
        <w:rPr>
          <w:lang w:val="fr-CA"/>
        </w:rPr>
        <w:t xml:space="preserve"> traduit l’importance accordée par notre système de justice pénale au témoignage de vive voix devant le tribunal.  Les caractéristiques déterminantes du </w:t>
      </w:r>
      <w:proofErr w:type="spellStart"/>
      <w:r w:rsidR="00F03AF2" w:rsidRPr="009D7FA7">
        <w:rPr>
          <w:lang w:val="fr-CA"/>
        </w:rPr>
        <w:t>ouï</w:t>
      </w:r>
      <w:r w:rsidR="00F03AF2" w:rsidRPr="009D7FA7">
        <w:rPr>
          <w:lang w:val="fr-CA"/>
        </w:rPr>
        <w:noBreakHyphen/>
        <w:t>dire</w:t>
      </w:r>
      <w:proofErr w:type="spellEnd"/>
      <w:r w:rsidR="00F03AF2" w:rsidRPr="009D7FA7">
        <w:rPr>
          <w:lang w:val="fr-CA"/>
        </w:rPr>
        <w:t xml:space="preserve"> sont les suivantes :</w:t>
      </w:r>
      <w:r w:rsidR="00464A3A" w:rsidRPr="009D7FA7">
        <w:rPr>
          <w:lang w:val="fr-CA"/>
        </w:rPr>
        <w:t xml:space="preserve"> (1) </w:t>
      </w:r>
      <w:r w:rsidR="00F03AF2" w:rsidRPr="009D7FA7">
        <w:rPr>
          <w:lang w:val="fr-CA"/>
        </w:rPr>
        <w:t>le fait que la déclaration soit présentée pour établir la véracité de son contenu et</w:t>
      </w:r>
      <w:r w:rsidR="00464A3A" w:rsidRPr="009D7FA7">
        <w:rPr>
          <w:lang w:val="fr-CA"/>
        </w:rPr>
        <w:t xml:space="preserve"> (2) </w:t>
      </w:r>
      <w:r w:rsidR="00F03AF2" w:rsidRPr="009D7FA7">
        <w:rPr>
          <w:lang w:val="fr-CA"/>
        </w:rPr>
        <w:t xml:space="preserve">l’impossibilité de </w:t>
      </w:r>
      <w:proofErr w:type="spellStart"/>
      <w:r w:rsidR="00F03AF2" w:rsidRPr="009D7FA7">
        <w:rPr>
          <w:lang w:val="fr-CA"/>
        </w:rPr>
        <w:t>contre</w:t>
      </w:r>
      <w:r w:rsidR="00F03AF2" w:rsidRPr="009D7FA7">
        <w:rPr>
          <w:lang w:val="fr-CA"/>
        </w:rPr>
        <w:noBreakHyphen/>
        <w:t>interroger</w:t>
      </w:r>
      <w:proofErr w:type="spellEnd"/>
      <w:r w:rsidR="00F03AF2" w:rsidRPr="009D7FA7">
        <w:rPr>
          <w:lang w:val="fr-CA"/>
        </w:rPr>
        <w:t xml:space="preserve"> le déclarant au moment précis où il fait cette déclaration.  La preuve par ouï-dire est présumée inadmissible en droit.  En l’espèce, la question en litige est celle de savoir si cette règle d’exclusion s’applique </w:t>
      </w:r>
      <w:r w:rsidR="005C62C4" w:rsidRPr="009D7FA7">
        <w:rPr>
          <w:lang w:val="fr-CA"/>
        </w:rPr>
        <w:lastRenderedPageBreak/>
        <w:t xml:space="preserve">uniquement </w:t>
      </w:r>
      <w:proofErr w:type="gramStart"/>
      <w:r w:rsidR="00F03AF2" w:rsidRPr="009D7FA7">
        <w:rPr>
          <w:lang w:val="fr-CA"/>
        </w:rPr>
        <w:t xml:space="preserve">au </w:t>
      </w:r>
      <w:proofErr w:type="spellStart"/>
      <w:r w:rsidR="00F03AF2" w:rsidRPr="009D7FA7">
        <w:rPr>
          <w:lang w:val="fr-CA"/>
        </w:rPr>
        <w:t>ouï</w:t>
      </w:r>
      <w:r w:rsidR="00F03AF2" w:rsidRPr="009D7FA7">
        <w:rPr>
          <w:lang w:val="fr-CA"/>
        </w:rPr>
        <w:noBreakHyphen/>
        <w:t>dire</w:t>
      </w:r>
      <w:proofErr w:type="spellEnd"/>
      <w:proofErr w:type="gramEnd"/>
      <w:r w:rsidR="00F03AF2" w:rsidRPr="009D7FA7">
        <w:rPr>
          <w:lang w:val="fr-CA"/>
        </w:rPr>
        <w:t xml:space="preserve"> exprès, ou si elle s’applique également au </w:t>
      </w:r>
      <w:proofErr w:type="spellStart"/>
      <w:r w:rsidR="00F03AF2" w:rsidRPr="009D7FA7">
        <w:rPr>
          <w:lang w:val="fr-CA"/>
        </w:rPr>
        <w:t>ouï</w:t>
      </w:r>
      <w:r w:rsidR="00F03AF2" w:rsidRPr="009D7FA7">
        <w:rPr>
          <w:lang w:val="fr-CA"/>
        </w:rPr>
        <w:noBreakHyphen/>
        <w:t>dire</w:t>
      </w:r>
      <w:proofErr w:type="spellEnd"/>
      <w:r w:rsidR="00F03AF2" w:rsidRPr="009D7FA7">
        <w:rPr>
          <w:lang w:val="fr-CA"/>
        </w:rPr>
        <w:t xml:space="preserve"> implicite.  Une affirmation implicite présentée en preuve pour établir la véracité de son contenu n’est pas traitée différemment pour l’application de la règle du ouï-dire qu’une affirmation explicite équivalente.  Les raisons de principe qui sous-tendent la présomption d’inadmissibilité s’appliquent également aux deux catégories </w:t>
      </w:r>
      <w:proofErr w:type="gramStart"/>
      <w:r w:rsidR="00F03AF2" w:rsidRPr="009D7FA7">
        <w:rPr>
          <w:lang w:val="fr-CA"/>
        </w:rPr>
        <w:t xml:space="preserve">de </w:t>
      </w:r>
      <w:proofErr w:type="spellStart"/>
      <w:r w:rsidR="00F03AF2" w:rsidRPr="009D7FA7">
        <w:rPr>
          <w:lang w:val="fr-CA"/>
        </w:rPr>
        <w:t>ouï</w:t>
      </w:r>
      <w:r w:rsidR="00F03AF2" w:rsidRPr="009D7FA7">
        <w:rPr>
          <w:lang w:val="fr-CA"/>
        </w:rPr>
        <w:noBreakHyphen/>
        <w:t>dire</w:t>
      </w:r>
      <w:proofErr w:type="spellEnd"/>
      <w:proofErr w:type="gramEnd"/>
      <w:r w:rsidR="00F03AF2" w:rsidRPr="009D7FA7">
        <w:rPr>
          <w:lang w:val="fr-CA"/>
        </w:rPr>
        <w:t xml:space="preserve">.  Aucune raison de principe ne permet de distinguer les affirmations explicites et implicites, pour ce qui est d’en déterminer l’admissibilité, si elles sont toutes deux présentées pour établir la véracité de leur contenu. </w:t>
      </w:r>
    </w:p>
    <w:p w:rsidR="00F03AF2" w:rsidRPr="009D7FA7" w:rsidRDefault="00B36E3A" w:rsidP="00F03AF2">
      <w:pPr>
        <w:pStyle w:val="SCCNormalDoubleSpacing"/>
        <w:spacing w:after="480"/>
        <w:rPr>
          <w:lang w:val="fr-CA"/>
        </w:rPr>
      </w:pPr>
      <w:r w:rsidRPr="009D7FA7">
        <w:rPr>
          <w:lang w:val="fr-CA"/>
        </w:rPr>
        <w:tab/>
      </w:r>
      <w:r w:rsidR="00F03AF2" w:rsidRPr="009D7FA7">
        <w:rPr>
          <w:lang w:val="fr-CA"/>
        </w:rPr>
        <w:t xml:space="preserve">La preuve par </w:t>
      </w:r>
      <w:proofErr w:type="spellStart"/>
      <w:r w:rsidR="00F03AF2" w:rsidRPr="009D7FA7">
        <w:rPr>
          <w:lang w:val="fr-CA"/>
        </w:rPr>
        <w:t>ouï</w:t>
      </w:r>
      <w:r w:rsidR="00F03AF2" w:rsidRPr="009D7FA7">
        <w:rPr>
          <w:lang w:val="fr-CA"/>
        </w:rPr>
        <w:noBreakHyphen/>
        <w:t>dire</w:t>
      </w:r>
      <w:proofErr w:type="spellEnd"/>
      <w:r w:rsidR="00F03AF2" w:rsidRPr="009D7FA7">
        <w:rPr>
          <w:lang w:val="fr-CA"/>
        </w:rPr>
        <w:t xml:space="preserve"> est présumée inadmissible à moins de relever d’une exception traditionnelle à la règle </w:t>
      </w:r>
      <w:proofErr w:type="gramStart"/>
      <w:r w:rsidR="00F03AF2" w:rsidRPr="009D7FA7">
        <w:rPr>
          <w:lang w:val="fr-CA"/>
        </w:rPr>
        <w:t xml:space="preserve">du </w:t>
      </w:r>
      <w:proofErr w:type="spellStart"/>
      <w:r w:rsidR="00F03AF2" w:rsidRPr="009D7FA7">
        <w:rPr>
          <w:lang w:val="fr-CA"/>
        </w:rPr>
        <w:t>ouï</w:t>
      </w:r>
      <w:r w:rsidR="00F03AF2" w:rsidRPr="009D7FA7">
        <w:rPr>
          <w:lang w:val="fr-CA"/>
        </w:rPr>
        <w:noBreakHyphen/>
        <w:t>dire</w:t>
      </w:r>
      <w:proofErr w:type="spellEnd"/>
      <w:proofErr w:type="gramEnd"/>
      <w:r w:rsidR="00F03AF2" w:rsidRPr="009D7FA7">
        <w:rPr>
          <w:lang w:val="fr-CA"/>
        </w:rPr>
        <w:t xml:space="preserve">.  Si </w:t>
      </w:r>
      <w:r w:rsidR="005C62C4" w:rsidRPr="009D7FA7">
        <w:rPr>
          <w:lang w:val="fr-CA"/>
        </w:rPr>
        <w:t xml:space="preserve">elle </w:t>
      </w:r>
      <w:r w:rsidR="00F03AF2" w:rsidRPr="009D7FA7">
        <w:rPr>
          <w:lang w:val="fr-CA"/>
        </w:rPr>
        <w:t xml:space="preserve">ne relève pas d’une exception à </w:t>
      </w:r>
      <w:r w:rsidR="005C62C4" w:rsidRPr="009D7FA7">
        <w:rPr>
          <w:lang w:val="fr-CA"/>
        </w:rPr>
        <w:t>cette</w:t>
      </w:r>
      <w:r w:rsidR="00F03AF2" w:rsidRPr="009D7FA7">
        <w:rPr>
          <w:lang w:val="fr-CA"/>
        </w:rPr>
        <w:t xml:space="preserve"> règle, elle peut tout de même être admissible si, par application de la méthode d’analyse raisonnée, l’existence d’indices suffisants de fiabilité et de nécessité est établie lors d’un </w:t>
      </w:r>
      <w:proofErr w:type="spellStart"/>
      <w:r w:rsidR="00F03AF2" w:rsidRPr="009D7FA7">
        <w:rPr>
          <w:lang w:val="fr-CA"/>
        </w:rPr>
        <w:t>voir</w:t>
      </w:r>
      <w:r w:rsidR="00F03AF2" w:rsidRPr="009D7FA7">
        <w:rPr>
          <w:lang w:val="fr-CA"/>
        </w:rPr>
        <w:noBreakHyphen/>
        <w:t>dire</w:t>
      </w:r>
      <w:proofErr w:type="spellEnd"/>
      <w:r w:rsidR="00F03AF2" w:rsidRPr="009D7FA7">
        <w:rPr>
          <w:lang w:val="fr-CA"/>
        </w:rPr>
        <w:t xml:space="preserve">.  La preuve par ouï-dire est présumée inadmissible, car il est difficile de contrôler la fiabilité de la déclaration.  La nécessité d’adopter une approche fonctionnelle à l’égard de l’affirmation implicite ressort à l’évidence, compte tenu des dangers inhérents au </w:t>
      </w:r>
      <w:proofErr w:type="spellStart"/>
      <w:r w:rsidR="00F03AF2" w:rsidRPr="009D7FA7">
        <w:rPr>
          <w:lang w:val="fr-CA"/>
        </w:rPr>
        <w:t>ouï</w:t>
      </w:r>
      <w:r w:rsidR="00F03AF2" w:rsidRPr="009D7FA7">
        <w:rPr>
          <w:lang w:val="fr-CA"/>
        </w:rPr>
        <w:noBreakHyphen/>
        <w:t>dire</w:t>
      </w:r>
      <w:proofErr w:type="spellEnd"/>
      <w:r w:rsidR="00F03AF2" w:rsidRPr="009D7FA7">
        <w:rPr>
          <w:lang w:val="fr-CA"/>
        </w:rPr>
        <w:t xml:space="preserve">, à savoir la perception du déclarant, sa mémoire, sa relation du fait et sa sincérité. </w:t>
      </w:r>
    </w:p>
    <w:p w:rsidR="00F03AF2" w:rsidRPr="009D7FA7" w:rsidRDefault="00B36E3A" w:rsidP="00F03AF2">
      <w:pPr>
        <w:pStyle w:val="SCCNormalDoubleSpacing"/>
        <w:spacing w:after="480"/>
        <w:rPr>
          <w:lang w:val="fr-CA"/>
        </w:rPr>
      </w:pPr>
      <w:r w:rsidRPr="009D7FA7">
        <w:rPr>
          <w:lang w:val="fr-CA"/>
        </w:rPr>
        <w:tab/>
      </w:r>
      <w:r w:rsidR="00F03AF2" w:rsidRPr="009D7FA7">
        <w:rPr>
          <w:lang w:val="fr-CA"/>
        </w:rPr>
        <w:t xml:space="preserve">En l’espèce, aucune exception traditionnelle ne s’applique, et la preuve contestée ne résiste pas à l’analyse raisonnée.  Il s’agissait d’une seule commande téléphonique de drogue d’une fiabilité incertaine.  La police n’a aucunement tenté de trouver l’auteur de l’appel et de l’interroger, et encore moins de l’appeler à témoigner au procès — où le juge des faits aurait pu évaluer l’affirmation qu’on lui prête en lui faisant subir un </w:t>
      </w:r>
      <w:proofErr w:type="spellStart"/>
      <w:r w:rsidR="00F03AF2" w:rsidRPr="009D7FA7">
        <w:rPr>
          <w:lang w:val="fr-CA"/>
        </w:rPr>
        <w:t>contre</w:t>
      </w:r>
      <w:r w:rsidR="00F03AF2" w:rsidRPr="009D7FA7">
        <w:rPr>
          <w:lang w:val="fr-CA"/>
        </w:rPr>
        <w:noBreakHyphen/>
        <w:t>interrogatoire</w:t>
      </w:r>
      <w:proofErr w:type="spellEnd"/>
      <w:r w:rsidR="00F03AF2" w:rsidRPr="009D7FA7">
        <w:rPr>
          <w:lang w:val="fr-CA"/>
        </w:rPr>
        <w:t xml:space="preserve"> et en observant son comportement.  Bien que la </w:t>
      </w:r>
      <w:r w:rsidR="00F03AF2" w:rsidRPr="009D7FA7">
        <w:rPr>
          <w:lang w:val="fr-CA"/>
        </w:rPr>
        <w:lastRenderedPageBreak/>
        <w:t>commande téléphonique de drogue en l’espèce ne résiste pas à l’analyse raisonnée, il n’en sera pas nécessairement ainsi dans d’autres cas.</w:t>
      </w:r>
    </w:p>
    <w:p w:rsidR="00F03AF2" w:rsidRPr="009D7FA7" w:rsidRDefault="00B36E3A" w:rsidP="00F03AF2">
      <w:pPr>
        <w:pStyle w:val="SCCNormalDoubleSpacing"/>
        <w:spacing w:after="480"/>
        <w:rPr>
          <w:lang w:val="fr-CA"/>
        </w:rPr>
      </w:pPr>
      <w:r w:rsidRPr="009D7FA7">
        <w:rPr>
          <w:lang w:val="fr-CA"/>
        </w:rPr>
        <w:tab/>
      </w:r>
      <w:r w:rsidR="00F03AF2" w:rsidRPr="009D7FA7">
        <w:rPr>
          <w:lang w:val="fr-CA"/>
        </w:rPr>
        <w:t xml:space="preserve">Enfin, la disposition réparatrice prévue au </w:t>
      </w:r>
      <w:proofErr w:type="spellStart"/>
      <w:r w:rsidR="00F03AF2" w:rsidRPr="009D7FA7">
        <w:rPr>
          <w:lang w:val="fr-CA"/>
        </w:rPr>
        <w:t>sous</w:t>
      </w:r>
      <w:r w:rsidR="00F03AF2" w:rsidRPr="009D7FA7">
        <w:rPr>
          <w:lang w:val="fr-CA"/>
        </w:rPr>
        <w:noBreakHyphen/>
        <w:t>al</w:t>
      </w:r>
      <w:proofErr w:type="spellEnd"/>
      <w:r w:rsidR="00F03AF2" w:rsidRPr="009D7FA7">
        <w:rPr>
          <w:lang w:val="fr-CA"/>
        </w:rPr>
        <w:t>. 686(1)</w:t>
      </w:r>
      <w:r w:rsidR="00F03AF2" w:rsidRPr="009D7FA7">
        <w:rPr>
          <w:i/>
          <w:lang w:val="fr-CA"/>
        </w:rPr>
        <w:t>b</w:t>
      </w:r>
      <w:proofErr w:type="gramStart"/>
      <w:r w:rsidR="00F03AF2" w:rsidRPr="009D7FA7">
        <w:rPr>
          <w:lang w:val="fr-CA"/>
        </w:rPr>
        <w:t>)(</w:t>
      </w:r>
      <w:proofErr w:type="gramEnd"/>
      <w:r w:rsidR="00F03AF2" w:rsidRPr="009D7FA7">
        <w:rPr>
          <w:lang w:val="fr-CA"/>
        </w:rPr>
        <w:t xml:space="preserve">iii) du </w:t>
      </w:r>
      <w:r w:rsidR="00F03AF2" w:rsidRPr="009D7FA7">
        <w:rPr>
          <w:i/>
          <w:lang w:val="fr-CA"/>
        </w:rPr>
        <w:t xml:space="preserve">Code criminel </w:t>
      </w:r>
      <w:r w:rsidR="00F03AF2" w:rsidRPr="009D7FA7">
        <w:rPr>
          <w:lang w:val="fr-CA"/>
        </w:rPr>
        <w:t xml:space="preserve">ne peut s’appliquer en l’espèce, vu qu’on ne saurait affirmer qu’il n’existe aucune possibilité raisonnable que le verdict eût été différent si l’appel n’avait pas été admis.  </w:t>
      </w:r>
    </w:p>
    <w:p w:rsidR="00C65A4E" w:rsidRPr="009D7FA7" w:rsidRDefault="00C65A4E" w:rsidP="0046400D">
      <w:pPr>
        <w:pStyle w:val="SCCNormalDoubleSpacing"/>
        <w:spacing w:after="480"/>
        <w:rPr>
          <w:lang w:val="fr-CA"/>
        </w:rPr>
      </w:pPr>
      <w:r w:rsidRPr="009D7FA7">
        <w:rPr>
          <w:lang w:val="fr-CA"/>
        </w:rPr>
        <w:tab/>
      </w:r>
      <w:r w:rsidR="00CA2D62" w:rsidRPr="000C3E41">
        <w:rPr>
          <w:i/>
          <w:lang w:val="fr-CA"/>
        </w:rPr>
        <w:t>Le</w:t>
      </w:r>
      <w:r w:rsidR="00CA2D62" w:rsidRPr="009D7FA7">
        <w:rPr>
          <w:lang w:val="fr-CA"/>
        </w:rPr>
        <w:t xml:space="preserve"> juge</w:t>
      </w:r>
      <w:r w:rsidRPr="009D7FA7">
        <w:rPr>
          <w:i/>
          <w:lang w:val="fr-CA"/>
        </w:rPr>
        <w:t xml:space="preserve"> </w:t>
      </w:r>
      <w:proofErr w:type="spellStart"/>
      <w:r w:rsidRPr="009D7FA7">
        <w:rPr>
          <w:lang w:val="fr-CA"/>
        </w:rPr>
        <w:t>Moldaver</w:t>
      </w:r>
      <w:proofErr w:type="spellEnd"/>
      <w:r w:rsidR="00CA2D62" w:rsidRPr="009D7FA7">
        <w:rPr>
          <w:lang w:val="fr-CA"/>
        </w:rPr>
        <w:t> </w:t>
      </w:r>
      <w:r w:rsidRPr="009D7FA7">
        <w:rPr>
          <w:lang w:val="fr-CA"/>
        </w:rPr>
        <w:t xml:space="preserve">: </w:t>
      </w:r>
      <w:r w:rsidR="00CA2D62" w:rsidRPr="009D7FA7">
        <w:rPr>
          <w:lang w:val="fr-CA"/>
        </w:rPr>
        <w:t xml:space="preserve">Une affirmation implicite d’un élément de fait est comprise dans le « contenu » d’une déclaration pour l’application de la règle du </w:t>
      </w:r>
      <w:proofErr w:type="spellStart"/>
      <w:r w:rsidR="00CA2D62" w:rsidRPr="009D7FA7">
        <w:rPr>
          <w:lang w:val="fr-CA"/>
        </w:rPr>
        <w:t>ouï</w:t>
      </w:r>
      <w:r w:rsidR="00CA2D62" w:rsidRPr="009D7FA7">
        <w:rPr>
          <w:lang w:val="fr-CA"/>
        </w:rPr>
        <w:noBreakHyphen/>
        <w:t>dire</w:t>
      </w:r>
      <w:proofErr w:type="spellEnd"/>
      <w:r w:rsidR="00CA2D62" w:rsidRPr="009D7FA7">
        <w:rPr>
          <w:lang w:val="fr-CA"/>
        </w:rPr>
        <w:t>.</w:t>
      </w:r>
      <w:r w:rsidRPr="009D7FA7">
        <w:rPr>
          <w:lang w:val="fr-CA"/>
        </w:rPr>
        <w:t xml:space="preserve"> </w:t>
      </w:r>
      <w:r w:rsidR="0046400D" w:rsidRPr="009D7FA7">
        <w:rPr>
          <w:lang w:val="fr-CA"/>
        </w:rPr>
        <w:t xml:space="preserve"> </w:t>
      </w:r>
      <w:r w:rsidR="00CA2D62" w:rsidRPr="009D7FA7">
        <w:rPr>
          <w:lang w:val="fr-CA"/>
        </w:rPr>
        <w:t>Par conséquent, la commande téléphonique de drogue constituait du ouï-dire, car elle a été présentée en preuve pour démontrer que B était dans les faits un trafiquant de drogue.</w:t>
      </w:r>
      <w:r w:rsidRPr="009D7FA7">
        <w:rPr>
          <w:lang w:val="fr-CA"/>
        </w:rPr>
        <w:t xml:space="preserve"> </w:t>
      </w:r>
      <w:r w:rsidR="0046400D" w:rsidRPr="009D7FA7">
        <w:rPr>
          <w:lang w:val="fr-CA"/>
        </w:rPr>
        <w:t xml:space="preserve"> </w:t>
      </w:r>
      <w:r w:rsidR="00CA2D62" w:rsidRPr="009D7FA7">
        <w:rPr>
          <w:lang w:val="fr-CA"/>
        </w:rPr>
        <w:t xml:space="preserve">Or, dans un tel cas, le véritable enjeu de la méthode d’analyse raisonnée est celui de la fiabilité, et c’est sur ce critère que l’analyse devrait être axée. </w:t>
      </w:r>
      <w:r w:rsidR="0046400D" w:rsidRPr="009D7FA7">
        <w:rPr>
          <w:lang w:val="fr-CA"/>
        </w:rPr>
        <w:t xml:space="preserve"> </w:t>
      </w:r>
      <w:r w:rsidR="006F6556" w:rsidRPr="009D7FA7">
        <w:rPr>
          <w:lang w:val="fr-CA"/>
        </w:rPr>
        <w:t>Le critère de nécessité joue certes un rôle, mais il ne vise pas à entraver l’admission d’éléments de preuve fiables.</w:t>
      </w:r>
      <w:r w:rsidRPr="009D7FA7">
        <w:rPr>
          <w:lang w:val="fr-CA"/>
        </w:rPr>
        <w:t xml:space="preserve"> </w:t>
      </w:r>
      <w:r w:rsidR="0046400D" w:rsidRPr="009D7FA7">
        <w:rPr>
          <w:lang w:val="fr-CA"/>
        </w:rPr>
        <w:t xml:space="preserve"> </w:t>
      </w:r>
      <w:r w:rsidR="00503F55" w:rsidRPr="009D7FA7">
        <w:rPr>
          <w:lang w:val="fr-CA"/>
        </w:rPr>
        <w:t>Au contraire, il repose sur l’intérêt qu’a la société à découvrir la vérité.</w:t>
      </w:r>
      <w:r w:rsidRPr="009D7FA7">
        <w:rPr>
          <w:lang w:val="fr-CA"/>
        </w:rPr>
        <w:t xml:space="preserve"> </w:t>
      </w:r>
      <w:r w:rsidR="0046400D" w:rsidRPr="009D7FA7">
        <w:rPr>
          <w:lang w:val="fr-CA"/>
        </w:rPr>
        <w:t xml:space="preserve"> </w:t>
      </w:r>
      <w:r w:rsidR="00503F55" w:rsidRPr="009D7FA7">
        <w:rPr>
          <w:lang w:val="fr-CA"/>
        </w:rPr>
        <w:t>C’est pourquoi, dans un cas comme celui-ci — où les chances de dénicher et d’identifier l’auteur d’un appel, de trouver en lui un témoin disposé à collaborer et d’obtenir de sa part des renseignements exacts sont minces —, la preuve qui se révèle fiable devrait être admise, car elle sera nécessaire pour permettre que l’on se rapproche de la vérité.  Par contre, si la preuve n’est pas fiable, elle doit être écartée.</w:t>
      </w:r>
    </w:p>
    <w:p w:rsidR="00C65A4E" w:rsidRPr="009D7FA7" w:rsidRDefault="00C65A4E" w:rsidP="0046400D">
      <w:pPr>
        <w:pStyle w:val="SCCNormalDoubleSpacing"/>
        <w:spacing w:after="480"/>
        <w:rPr>
          <w:lang w:val="fr-CA"/>
        </w:rPr>
      </w:pPr>
      <w:r w:rsidRPr="009D7FA7">
        <w:rPr>
          <w:lang w:val="fr-CA"/>
        </w:rPr>
        <w:tab/>
      </w:r>
      <w:r w:rsidR="001F3BCD" w:rsidRPr="009D7FA7">
        <w:rPr>
          <w:lang w:val="fr-CA"/>
        </w:rPr>
        <w:t>Pour commencer</w:t>
      </w:r>
      <w:r w:rsidR="00386205" w:rsidRPr="009D7FA7">
        <w:rPr>
          <w:lang w:val="fr-CA"/>
        </w:rPr>
        <w:t xml:space="preserve">, des éléments de preuve de ce type ont été admis dans une foule d’affaires, au motif qu’ils ne constituaient pas </w:t>
      </w:r>
      <w:proofErr w:type="gramStart"/>
      <w:r w:rsidR="00386205" w:rsidRPr="009D7FA7">
        <w:rPr>
          <w:lang w:val="fr-CA"/>
        </w:rPr>
        <w:t xml:space="preserve">du </w:t>
      </w:r>
      <w:proofErr w:type="spellStart"/>
      <w:r w:rsidR="00386205" w:rsidRPr="009D7FA7">
        <w:rPr>
          <w:lang w:val="fr-CA"/>
        </w:rPr>
        <w:t>ouï</w:t>
      </w:r>
      <w:r w:rsidR="00386205" w:rsidRPr="009D7FA7">
        <w:rPr>
          <w:lang w:val="fr-CA"/>
        </w:rPr>
        <w:noBreakHyphen/>
        <w:t>dire</w:t>
      </w:r>
      <w:proofErr w:type="spellEnd"/>
      <w:proofErr w:type="gramEnd"/>
      <w:r w:rsidRPr="009D7FA7">
        <w:rPr>
          <w:lang w:val="fr-CA"/>
        </w:rPr>
        <w:t xml:space="preserve">. </w:t>
      </w:r>
      <w:r w:rsidR="0046400D" w:rsidRPr="009D7FA7">
        <w:rPr>
          <w:lang w:val="fr-CA"/>
        </w:rPr>
        <w:t xml:space="preserve"> </w:t>
      </w:r>
      <w:r w:rsidR="00386205" w:rsidRPr="009D7FA7">
        <w:rPr>
          <w:lang w:val="fr-CA"/>
        </w:rPr>
        <w:t xml:space="preserve">Comme les </w:t>
      </w:r>
      <w:r w:rsidR="00386205" w:rsidRPr="009D7FA7">
        <w:rPr>
          <w:lang w:val="fr-CA"/>
        </w:rPr>
        <w:lastRenderedPageBreak/>
        <w:t>juges n’ont pas l’habitude d’admettre des preuves qu’ils ne tiennent pas pour fiables, ces arrêts antérieurs semblent reposer sur la conclusion que les commandes téléphoniques de drogue se rév</w:t>
      </w:r>
      <w:r w:rsidR="00E11E03" w:rsidRPr="009D7FA7">
        <w:rPr>
          <w:lang w:val="fr-CA"/>
        </w:rPr>
        <w:t>è</w:t>
      </w:r>
      <w:r w:rsidR="00386205" w:rsidRPr="009D7FA7">
        <w:rPr>
          <w:lang w:val="fr-CA"/>
        </w:rPr>
        <w:t>l</w:t>
      </w:r>
      <w:r w:rsidR="00E11E03" w:rsidRPr="009D7FA7">
        <w:rPr>
          <w:lang w:val="fr-CA"/>
        </w:rPr>
        <w:t>e</w:t>
      </w:r>
      <w:r w:rsidR="00386205" w:rsidRPr="009D7FA7">
        <w:rPr>
          <w:lang w:val="fr-CA"/>
        </w:rPr>
        <w:t>nt fiables plus souvent qu’autrement</w:t>
      </w:r>
      <w:r w:rsidR="00E11E03" w:rsidRPr="009D7FA7">
        <w:rPr>
          <w:lang w:val="fr-CA"/>
        </w:rPr>
        <w:t xml:space="preserve"> et qu’</w:t>
      </w:r>
      <w:r w:rsidR="00386205" w:rsidRPr="009D7FA7">
        <w:rPr>
          <w:lang w:val="fr-CA"/>
        </w:rPr>
        <w:t xml:space="preserve">on peut </w:t>
      </w:r>
      <w:r w:rsidR="00E11E03" w:rsidRPr="009D7FA7">
        <w:rPr>
          <w:lang w:val="fr-CA"/>
        </w:rPr>
        <w:t xml:space="preserve">donc </w:t>
      </w:r>
      <w:r w:rsidR="00386205" w:rsidRPr="009D7FA7">
        <w:rPr>
          <w:lang w:val="fr-CA"/>
        </w:rPr>
        <w:t>considérer sans danger qu’</w:t>
      </w:r>
      <w:r w:rsidR="00853111" w:rsidRPr="009D7FA7">
        <w:rPr>
          <w:lang w:val="fr-CA"/>
        </w:rPr>
        <w:t>elles</w:t>
      </w:r>
      <w:r w:rsidR="00386205" w:rsidRPr="009D7FA7">
        <w:rPr>
          <w:lang w:val="fr-CA"/>
        </w:rPr>
        <w:t xml:space="preserve"> ne constitue</w:t>
      </w:r>
      <w:r w:rsidR="00853111" w:rsidRPr="009D7FA7">
        <w:rPr>
          <w:lang w:val="fr-CA"/>
        </w:rPr>
        <w:t>nt</w:t>
      </w:r>
      <w:r w:rsidR="00386205" w:rsidRPr="009D7FA7">
        <w:rPr>
          <w:lang w:val="fr-CA"/>
        </w:rPr>
        <w:t xml:space="preserve"> pas du </w:t>
      </w:r>
      <w:proofErr w:type="spellStart"/>
      <w:r w:rsidR="00386205" w:rsidRPr="009D7FA7">
        <w:rPr>
          <w:lang w:val="fr-CA"/>
        </w:rPr>
        <w:t>ouï</w:t>
      </w:r>
      <w:r w:rsidR="00386205" w:rsidRPr="009D7FA7">
        <w:rPr>
          <w:lang w:val="fr-CA"/>
        </w:rPr>
        <w:noBreakHyphen/>
        <w:t>dire</w:t>
      </w:r>
      <w:proofErr w:type="spellEnd"/>
      <w:r w:rsidR="00386205" w:rsidRPr="009D7FA7">
        <w:rPr>
          <w:lang w:val="fr-CA"/>
        </w:rPr>
        <w:t>.</w:t>
      </w:r>
      <w:r w:rsidR="004C0FF8" w:rsidRPr="009D7FA7">
        <w:rPr>
          <w:lang w:val="fr-CA"/>
        </w:rPr>
        <w:t xml:space="preserve"> </w:t>
      </w:r>
      <w:r w:rsidR="0046400D" w:rsidRPr="009D7FA7">
        <w:rPr>
          <w:lang w:val="fr-CA"/>
        </w:rPr>
        <w:t xml:space="preserve"> </w:t>
      </w:r>
      <w:r w:rsidR="004C0FF8" w:rsidRPr="009D7FA7">
        <w:rPr>
          <w:lang w:val="fr-CA"/>
        </w:rPr>
        <w:t>Même dans les cas où ce type de preuve a été écarté, c’était pour une question de fiabilité.</w:t>
      </w:r>
      <w:r w:rsidR="0046400D" w:rsidRPr="009D7FA7">
        <w:rPr>
          <w:lang w:val="fr-CA"/>
        </w:rPr>
        <w:t xml:space="preserve"> </w:t>
      </w:r>
      <w:r w:rsidR="004C0FF8" w:rsidRPr="009D7FA7">
        <w:rPr>
          <w:lang w:val="fr-CA"/>
        </w:rPr>
        <w:t xml:space="preserve"> </w:t>
      </w:r>
      <w:r w:rsidR="002671B6" w:rsidRPr="009D7FA7">
        <w:rPr>
          <w:lang w:val="fr-CA"/>
        </w:rPr>
        <w:t>C</w:t>
      </w:r>
      <w:r w:rsidR="00AD3EF9" w:rsidRPr="009D7FA7">
        <w:rPr>
          <w:lang w:val="fr-CA"/>
        </w:rPr>
        <w:t xml:space="preserve">es affaires </w:t>
      </w:r>
      <w:r w:rsidR="002671B6" w:rsidRPr="009D7FA7">
        <w:rPr>
          <w:lang w:val="fr-CA"/>
        </w:rPr>
        <w:t>ont en commun</w:t>
      </w:r>
      <w:r w:rsidR="00AD3EF9" w:rsidRPr="009D7FA7">
        <w:rPr>
          <w:lang w:val="fr-CA"/>
        </w:rPr>
        <w:t xml:space="preserve"> que la fiabilité de la preuve a dicté la décision sur l’admissibilité</w:t>
      </w:r>
      <w:r w:rsidR="002671B6" w:rsidRPr="009D7FA7">
        <w:rPr>
          <w:lang w:val="fr-CA"/>
        </w:rPr>
        <w:t>,</w:t>
      </w:r>
      <w:r w:rsidRPr="009D7FA7">
        <w:rPr>
          <w:lang w:val="fr-CA"/>
        </w:rPr>
        <w:t xml:space="preserve"> </w:t>
      </w:r>
      <w:r w:rsidR="00AD3EF9" w:rsidRPr="009D7FA7">
        <w:rPr>
          <w:lang w:val="fr-CA"/>
        </w:rPr>
        <w:t>et</w:t>
      </w:r>
      <w:r w:rsidRPr="009D7FA7">
        <w:rPr>
          <w:lang w:val="fr-CA"/>
        </w:rPr>
        <w:t xml:space="preserve"> </w:t>
      </w:r>
      <w:r w:rsidR="00AD3EF9" w:rsidRPr="009D7FA7">
        <w:rPr>
          <w:lang w:val="fr-CA"/>
        </w:rPr>
        <w:t>c’est à une telle appréciation que les tribunaux doivent s’attacher</w:t>
      </w:r>
      <w:r w:rsidRPr="009D7FA7">
        <w:rPr>
          <w:lang w:val="fr-CA"/>
        </w:rPr>
        <w:t>.</w:t>
      </w:r>
    </w:p>
    <w:p w:rsidR="00C65A4E" w:rsidRPr="009D7FA7" w:rsidRDefault="00C65A4E" w:rsidP="0046400D">
      <w:pPr>
        <w:pStyle w:val="SCCNormalDoubleSpacing"/>
        <w:spacing w:after="480"/>
        <w:rPr>
          <w:lang w:val="fr-CA"/>
        </w:rPr>
      </w:pPr>
      <w:r w:rsidRPr="009D7FA7">
        <w:rPr>
          <w:lang w:val="fr-CA"/>
        </w:rPr>
        <w:tab/>
      </w:r>
      <w:r w:rsidR="004C4113" w:rsidRPr="009D7FA7">
        <w:rPr>
          <w:lang w:val="fr-CA"/>
        </w:rPr>
        <w:t>L’analogie que font les juges majoritaires avec un arrêt antérieur de la Cour au soutien de leur conclusion selon laquelle la police aurait dû chercher à trouver l’auteur de l’appel et à l’interroger ne résiste pas à l’examen.</w:t>
      </w:r>
      <w:r w:rsidR="0046400D" w:rsidRPr="009D7FA7">
        <w:rPr>
          <w:lang w:val="fr-CA"/>
        </w:rPr>
        <w:t xml:space="preserve"> </w:t>
      </w:r>
      <w:r w:rsidRPr="009D7FA7">
        <w:rPr>
          <w:lang w:val="fr-CA"/>
        </w:rPr>
        <w:t xml:space="preserve"> </w:t>
      </w:r>
      <w:r w:rsidR="00B447C9" w:rsidRPr="009D7FA7">
        <w:rPr>
          <w:lang w:val="fr-CA"/>
        </w:rPr>
        <w:t xml:space="preserve">Dans cette </w:t>
      </w:r>
      <w:r w:rsidR="002671B6" w:rsidRPr="009D7FA7">
        <w:rPr>
          <w:lang w:val="fr-CA"/>
        </w:rPr>
        <w:t xml:space="preserve">autre </w:t>
      </w:r>
      <w:r w:rsidR="00B447C9" w:rsidRPr="009D7FA7">
        <w:rPr>
          <w:lang w:val="fr-CA"/>
        </w:rPr>
        <w:t>affaire, la police traitait avec un déclarant connu qui était tout à fait disposé à collaborer.  En l’espèce, le déclarant n’était pas connu</w:t>
      </w:r>
      <w:r w:rsidRPr="009D7FA7">
        <w:rPr>
          <w:lang w:val="fr-CA"/>
        </w:rPr>
        <w:t xml:space="preserve">. </w:t>
      </w:r>
      <w:r w:rsidR="0046400D" w:rsidRPr="009D7FA7">
        <w:rPr>
          <w:lang w:val="fr-CA"/>
        </w:rPr>
        <w:t xml:space="preserve"> </w:t>
      </w:r>
      <w:r w:rsidR="00B447C9" w:rsidRPr="009D7FA7">
        <w:rPr>
          <w:lang w:val="fr-CA"/>
        </w:rPr>
        <w:t>Mis à part les préoccupations liées à la sécurité des agents, notons que les chances que la police trouve le déclarant semblent limitées et les chances que ce dernier soit disposé à collaborer, le cas échéant, le sont davantage encore.</w:t>
      </w:r>
      <w:r w:rsidR="0046400D" w:rsidRPr="009D7FA7">
        <w:rPr>
          <w:lang w:val="fr-CA"/>
        </w:rPr>
        <w:t xml:space="preserve"> </w:t>
      </w:r>
      <w:r w:rsidR="00B447C9" w:rsidRPr="009D7FA7">
        <w:rPr>
          <w:lang w:val="fr-CA"/>
        </w:rPr>
        <w:t xml:space="preserve"> Il a donc été satisfait au critère de nécessité.</w:t>
      </w:r>
    </w:p>
    <w:p w:rsidR="00C65A4E" w:rsidRPr="009D7FA7" w:rsidRDefault="00C65A4E" w:rsidP="0046400D">
      <w:pPr>
        <w:pStyle w:val="SCCNormalDoubleSpacing"/>
        <w:spacing w:after="480"/>
        <w:rPr>
          <w:lang w:val="fr-CA"/>
        </w:rPr>
      </w:pPr>
      <w:r w:rsidRPr="009D7FA7">
        <w:rPr>
          <w:lang w:val="fr-CA"/>
        </w:rPr>
        <w:tab/>
      </w:r>
      <w:r w:rsidR="00F34186" w:rsidRPr="009D7FA7">
        <w:rPr>
          <w:lang w:val="fr-CA"/>
        </w:rPr>
        <w:t xml:space="preserve">Bien que, selon la méthode d’analyse raisonnée, même une seule commande téléphonique de drogue puisse respecter le seuil de fiabilité, le ministère public </w:t>
      </w:r>
      <w:r w:rsidR="00DF7D4B" w:rsidRPr="009D7FA7">
        <w:rPr>
          <w:lang w:val="fr-CA"/>
        </w:rPr>
        <w:t>n’a pas démontré en l’espèce que l’appel satisfait au critère et, partant, que son admission était justifiée à titre d’élément tendant à prouver au fond que B trempait dans le trafic de drogue</w:t>
      </w:r>
      <w:r w:rsidR="002A77C4" w:rsidRPr="009D7FA7">
        <w:rPr>
          <w:lang w:val="fr-CA"/>
        </w:rPr>
        <w:t xml:space="preserve">.  </w:t>
      </w:r>
      <w:r w:rsidR="00DF7D4B" w:rsidRPr="009D7FA7">
        <w:rPr>
          <w:lang w:val="fr-CA"/>
        </w:rPr>
        <w:t xml:space="preserve">Même si l’auteur de l’appel croyait sincèrement que B était un trafiquant de drogue, la raison motivant une telle croyance, et la véracité de cette dernière, ne sont pas étayées.  Il ne s’agit pas en l’espèce d’une affaire où de multiples appels ont été interceptés et où le bon sens dicte d’écarter pour improbable </w:t>
      </w:r>
      <w:r w:rsidR="00DF7D4B" w:rsidRPr="009D7FA7">
        <w:rPr>
          <w:lang w:val="fr-CA"/>
        </w:rPr>
        <w:lastRenderedPageBreak/>
        <w:t xml:space="preserve">la possibilité d’une erreur de la part des nombreux auteurs d’appel.  En outre, nous ne disposons pas d’indices de fiabilité suffisants, ni dans les termes mêmes de la déclaration, ni sous forme de preuve </w:t>
      </w:r>
      <w:proofErr w:type="spellStart"/>
      <w:r w:rsidR="00DF7D4B" w:rsidRPr="009D7FA7">
        <w:rPr>
          <w:lang w:val="fr-CA"/>
        </w:rPr>
        <w:t>corroborante</w:t>
      </w:r>
      <w:proofErr w:type="spellEnd"/>
      <w:r w:rsidR="00DF7D4B" w:rsidRPr="009D7FA7">
        <w:rPr>
          <w:lang w:val="fr-CA"/>
        </w:rPr>
        <w:t>.</w:t>
      </w:r>
      <w:r w:rsidRPr="009D7FA7">
        <w:rPr>
          <w:lang w:val="fr-CA"/>
        </w:rPr>
        <w:t xml:space="preserve">  </w:t>
      </w:r>
      <w:r w:rsidR="00107D81" w:rsidRPr="009D7FA7">
        <w:rPr>
          <w:lang w:val="fr-CA"/>
        </w:rPr>
        <w:t>S</w:t>
      </w:r>
      <w:r w:rsidR="00DF7D4B" w:rsidRPr="009D7FA7">
        <w:rPr>
          <w:lang w:val="fr-CA"/>
        </w:rPr>
        <w:t xml:space="preserve">i les circonstances </w:t>
      </w:r>
      <w:r w:rsidR="00341A31" w:rsidRPr="009D7FA7">
        <w:rPr>
          <w:lang w:val="fr-CA"/>
        </w:rPr>
        <w:t>avaient</w:t>
      </w:r>
      <w:r w:rsidR="00DF7D4B" w:rsidRPr="009D7FA7">
        <w:rPr>
          <w:lang w:val="fr-CA"/>
        </w:rPr>
        <w:t xml:space="preserve"> été quelque peu différentes, elles auraient pu permettre de déterminer si l’auteur de l’appel croyait que B était un trafiquant de drogue et si sa croyance était vraie dans les faits.  Voilà ce qu’il faut pour satisfaire au seuil de fiabilité.</w:t>
      </w:r>
    </w:p>
    <w:p w:rsidR="004D7D95" w:rsidRPr="009D7FA7" w:rsidRDefault="004D7D95" w:rsidP="00B36E3A">
      <w:pPr>
        <w:pStyle w:val="SCCNormalDoubleSpacing"/>
        <w:keepNext/>
        <w:spacing w:after="480"/>
        <w:rPr>
          <w:b/>
          <w:lang w:val="fr-CA"/>
        </w:rPr>
      </w:pPr>
      <w:r w:rsidRPr="009D7FA7">
        <w:rPr>
          <w:b/>
          <w:lang w:val="fr-CA"/>
        </w:rPr>
        <w:t>Jurisprudence</w:t>
      </w:r>
    </w:p>
    <w:p w:rsidR="00261C6A" w:rsidRPr="009D7FA7" w:rsidRDefault="00261C6A" w:rsidP="00B36E3A">
      <w:pPr>
        <w:pStyle w:val="SCCNormalDoubleSpacing"/>
        <w:keepNext/>
        <w:spacing w:after="480"/>
        <w:rPr>
          <w:lang w:val="fr-CA"/>
        </w:rPr>
      </w:pPr>
      <w:r w:rsidRPr="009D7FA7">
        <w:rPr>
          <w:lang w:val="fr-CA"/>
        </w:rPr>
        <w:t>Citée par le juge Fish</w:t>
      </w:r>
    </w:p>
    <w:p w:rsidR="004D7D95" w:rsidRPr="009D7FA7" w:rsidRDefault="004D7D95" w:rsidP="00D61AC7">
      <w:pPr>
        <w:pStyle w:val="SCCNormalDoubleSpacing"/>
        <w:widowControl w:val="0"/>
        <w:spacing w:after="480"/>
        <w:rPr>
          <w:lang w:val="fr-CA"/>
        </w:rPr>
      </w:pPr>
      <w:r w:rsidRPr="009D7FA7">
        <w:rPr>
          <w:lang w:val="fr-CA"/>
        </w:rPr>
        <w:tab/>
      </w:r>
      <w:r w:rsidR="00EC79FA" w:rsidRPr="009D7FA7">
        <w:rPr>
          <w:b/>
          <w:lang w:val="fr-CA"/>
        </w:rPr>
        <w:t xml:space="preserve">Distinction d’avec l’arrêt : </w:t>
      </w:r>
      <w:r w:rsidR="005A7683" w:rsidRPr="009D7FA7">
        <w:rPr>
          <w:i/>
          <w:lang w:val="fr-CA"/>
        </w:rPr>
        <w:t>R. c. Ly</w:t>
      </w:r>
      <w:r w:rsidR="005A7683" w:rsidRPr="009D7FA7">
        <w:rPr>
          <w:lang w:val="fr-CA"/>
        </w:rPr>
        <w:t>, [1997] 3 R.C.S. 698</w:t>
      </w:r>
      <w:r w:rsidR="006D4463" w:rsidRPr="009D7FA7">
        <w:rPr>
          <w:lang w:val="fr-CA"/>
        </w:rPr>
        <w:t xml:space="preserve">, </w:t>
      </w:r>
      <w:proofErr w:type="spellStart"/>
      <w:r w:rsidR="006D4463" w:rsidRPr="009D7FA7">
        <w:rPr>
          <w:lang w:val="fr-CA"/>
        </w:rPr>
        <w:t>conf</w:t>
      </w:r>
      <w:proofErr w:type="spellEnd"/>
      <w:r w:rsidR="006D4463" w:rsidRPr="009D7FA7">
        <w:rPr>
          <w:lang w:val="fr-CA"/>
        </w:rPr>
        <w:t>. (1996), 193 A.R. 149</w:t>
      </w:r>
      <w:r w:rsidR="005A7683" w:rsidRPr="009D7FA7">
        <w:rPr>
          <w:lang w:val="fr-CA"/>
        </w:rPr>
        <w:t>;</w:t>
      </w:r>
      <w:r w:rsidR="00EC79FA" w:rsidRPr="009D7FA7">
        <w:rPr>
          <w:b/>
          <w:lang w:val="fr-CA"/>
        </w:rPr>
        <w:t xml:space="preserve"> arrêts mentionnés :</w:t>
      </w:r>
      <w:r w:rsidR="005A7683" w:rsidRPr="009D7FA7">
        <w:rPr>
          <w:lang w:val="fr-CA"/>
        </w:rPr>
        <w:t xml:space="preserve"> </w:t>
      </w:r>
      <w:r w:rsidR="005A7683" w:rsidRPr="009D7FA7">
        <w:rPr>
          <w:i/>
          <w:lang w:val="fr-CA"/>
        </w:rPr>
        <w:t>R. c. Edwards</w:t>
      </w:r>
      <w:r w:rsidR="005A7683" w:rsidRPr="009D7FA7">
        <w:rPr>
          <w:lang w:val="fr-CA"/>
        </w:rPr>
        <w:t xml:space="preserve"> (1994)</w:t>
      </w:r>
      <w:r w:rsidR="000C3E41">
        <w:rPr>
          <w:lang w:val="fr-CA"/>
        </w:rPr>
        <w:t>,</w:t>
      </w:r>
      <w:r w:rsidR="005A7683" w:rsidRPr="009D7FA7">
        <w:rPr>
          <w:lang w:val="fr-CA"/>
        </w:rPr>
        <w:t xml:space="preserve"> 91 C.C.C. (3d) 123, </w:t>
      </w:r>
      <w:proofErr w:type="spellStart"/>
      <w:r w:rsidR="005A7683" w:rsidRPr="009D7FA7">
        <w:rPr>
          <w:lang w:val="fr-CA"/>
        </w:rPr>
        <w:t>conf</w:t>
      </w:r>
      <w:proofErr w:type="spellEnd"/>
      <w:r w:rsidR="005A7683" w:rsidRPr="009D7FA7">
        <w:rPr>
          <w:lang w:val="fr-CA"/>
        </w:rPr>
        <w:t>. par [1996] 1 R.C.S. 128</w:t>
      </w:r>
      <w:r w:rsidR="00486D2B" w:rsidRPr="009D7FA7">
        <w:rPr>
          <w:lang w:val="fr-CA"/>
        </w:rPr>
        <w:t xml:space="preserve">; </w:t>
      </w:r>
      <w:r w:rsidR="00486D2B" w:rsidRPr="009D7FA7">
        <w:rPr>
          <w:i/>
          <w:lang w:val="fr-CA"/>
        </w:rPr>
        <w:t xml:space="preserve">R. c. </w:t>
      </w:r>
      <w:proofErr w:type="spellStart"/>
      <w:r w:rsidR="00486D2B" w:rsidRPr="009D7FA7">
        <w:rPr>
          <w:i/>
          <w:lang w:val="fr-CA"/>
        </w:rPr>
        <w:t>Kearley</w:t>
      </w:r>
      <w:proofErr w:type="spellEnd"/>
      <w:r w:rsidR="00486D2B" w:rsidRPr="009D7FA7">
        <w:rPr>
          <w:lang w:val="fr-CA"/>
        </w:rPr>
        <w:t xml:space="preserve">, [1992] 2 All E.R. 345; </w:t>
      </w:r>
      <w:r w:rsidR="00486D2B" w:rsidRPr="009D7FA7">
        <w:rPr>
          <w:i/>
          <w:lang w:val="fr-CA"/>
        </w:rPr>
        <w:t>R. c. Wilson</w:t>
      </w:r>
      <w:r w:rsidR="00486D2B" w:rsidRPr="009D7FA7">
        <w:rPr>
          <w:lang w:val="fr-CA"/>
        </w:rPr>
        <w:t xml:space="preserve"> (1996), 29 O.R. (3d) 97</w:t>
      </w:r>
      <w:r w:rsidR="004B7A82" w:rsidRPr="009D7FA7">
        <w:rPr>
          <w:lang w:val="fr-CA"/>
        </w:rPr>
        <w:t xml:space="preserve">; </w:t>
      </w:r>
      <w:r w:rsidR="004B7A82" w:rsidRPr="009D7FA7">
        <w:rPr>
          <w:i/>
          <w:lang w:val="fr-CA"/>
        </w:rPr>
        <w:t xml:space="preserve">R. c. </w:t>
      </w:r>
      <w:proofErr w:type="spellStart"/>
      <w:r w:rsidR="004B7A82" w:rsidRPr="009D7FA7">
        <w:rPr>
          <w:i/>
          <w:lang w:val="fr-CA"/>
        </w:rPr>
        <w:t>Khelawon</w:t>
      </w:r>
      <w:proofErr w:type="spellEnd"/>
      <w:r w:rsidR="004B7A82" w:rsidRPr="009D7FA7">
        <w:rPr>
          <w:lang w:val="fr-CA"/>
        </w:rPr>
        <w:t>, 2006 CSC 57, [2006] 2 R.C.S. 787</w:t>
      </w:r>
      <w:r w:rsidR="004C3954" w:rsidRPr="009D7FA7">
        <w:rPr>
          <w:lang w:val="fr-CA"/>
        </w:rPr>
        <w:t xml:space="preserve">; </w:t>
      </w:r>
      <w:r w:rsidR="004C3954" w:rsidRPr="009D7FA7">
        <w:rPr>
          <w:i/>
          <w:lang w:val="fr-CA"/>
        </w:rPr>
        <w:t xml:space="preserve">R. c. </w:t>
      </w:r>
      <w:proofErr w:type="spellStart"/>
      <w:r w:rsidR="004C3954" w:rsidRPr="009D7FA7">
        <w:rPr>
          <w:i/>
          <w:lang w:val="fr-CA"/>
        </w:rPr>
        <w:t>Starr</w:t>
      </w:r>
      <w:proofErr w:type="spellEnd"/>
      <w:r w:rsidR="004C3954" w:rsidRPr="009D7FA7">
        <w:rPr>
          <w:lang w:val="fr-CA"/>
        </w:rPr>
        <w:t>, 2000 CSC 40, [2000] 2 R.C.S. 144</w:t>
      </w:r>
      <w:r w:rsidR="004D4EB2" w:rsidRPr="009D7FA7">
        <w:rPr>
          <w:lang w:val="fr-CA"/>
        </w:rPr>
        <w:t xml:space="preserve">; </w:t>
      </w:r>
      <w:r w:rsidR="004D4EB2" w:rsidRPr="009D7FA7">
        <w:rPr>
          <w:i/>
          <w:lang w:val="fr-CA"/>
        </w:rPr>
        <w:t>R. c. Smith</w:t>
      </w:r>
      <w:r w:rsidR="004D4EB2" w:rsidRPr="009D7FA7">
        <w:rPr>
          <w:lang w:val="fr-CA"/>
        </w:rPr>
        <w:t>, [1992] 2 R.C.S. 915</w:t>
      </w:r>
      <w:r w:rsidR="008904B5" w:rsidRPr="009D7FA7">
        <w:rPr>
          <w:lang w:val="fr-CA"/>
        </w:rPr>
        <w:t xml:space="preserve">; </w:t>
      </w:r>
      <w:r w:rsidR="008904B5" w:rsidRPr="009D7FA7">
        <w:rPr>
          <w:i/>
          <w:lang w:val="fr-CA"/>
        </w:rPr>
        <w:t>R. c. Khan</w:t>
      </w:r>
      <w:r w:rsidR="008904B5" w:rsidRPr="009D7FA7">
        <w:rPr>
          <w:lang w:val="fr-CA"/>
        </w:rPr>
        <w:t xml:space="preserve">, [1990] 2 R.C.S. 531; </w:t>
      </w:r>
      <w:r w:rsidR="008904B5" w:rsidRPr="009D7FA7">
        <w:rPr>
          <w:i/>
          <w:lang w:val="fr-CA"/>
        </w:rPr>
        <w:t xml:space="preserve">R. c. </w:t>
      </w:r>
      <w:proofErr w:type="spellStart"/>
      <w:r w:rsidR="008904B5" w:rsidRPr="009D7FA7">
        <w:rPr>
          <w:i/>
          <w:lang w:val="fr-CA"/>
        </w:rPr>
        <w:t>Mapara</w:t>
      </w:r>
      <w:proofErr w:type="spellEnd"/>
      <w:r w:rsidR="008904B5" w:rsidRPr="009D7FA7">
        <w:rPr>
          <w:lang w:val="fr-CA"/>
        </w:rPr>
        <w:t>, 2005 CSC 23, [2005] 1 R.C.S. 358</w:t>
      </w:r>
      <w:r w:rsidR="00202665" w:rsidRPr="009D7FA7">
        <w:rPr>
          <w:lang w:val="fr-CA"/>
        </w:rPr>
        <w:t xml:space="preserve">; </w:t>
      </w:r>
      <w:r w:rsidR="00202665" w:rsidRPr="009D7FA7">
        <w:rPr>
          <w:i/>
          <w:lang w:val="fr-CA"/>
        </w:rPr>
        <w:t xml:space="preserve">R. c. </w:t>
      </w:r>
      <w:proofErr w:type="spellStart"/>
      <w:r w:rsidR="00202665" w:rsidRPr="009D7FA7">
        <w:rPr>
          <w:i/>
          <w:lang w:val="fr-CA"/>
        </w:rPr>
        <w:t>Fialkow</w:t>
      </w:r>
      <w:proofErr w:type="spellEnd"/>
      <w:r w:rsidR="00202665" w:rsidRPr="009D7FA7">
        <w:rPr>
          <w:lang w:val="fr-CA"/>
        </w:rPr>
        <w:t xml:space="preserve">, [1963] 2 C.C.C. 42; </w:t>
      </w:r>
      <w:r w:rsidR="00202665" w:rsidRPr="009D7FA7">
        <w:rPr>
          <w:i/>
          <w:lang w:val="fr-CA"/>
        </w:rPr>
        <w:t>R. c. Lucia</w:t>
      </w:r>
      <w:r w:rsidR="00202665" w:rsidRPr="009D7FA7">
        <w:rPr>
          <w:lang w:val="fr-CA"/>
        </w:rPr>
        <w:t>, 2010 ONCA 533 (</w:t>
      </w:r>
      <w:proofErr w:type="spellStart"/>
      <w:r w:rsidR="00202665" w:rsidRPr="009D7FA7">
        <w:rPr>
          <w:lang w:val="fr-CA"/>
        </w:rPr>
        <w:t>CanLII</w:t>
      </w:r>
      <w:proofErr w:type="spellEnd"/>
      <w:r w:rsidR="00202665" w:rsidRPr="009D7FA7">
        <w:rPr>
          <w:lang w:val="fr-CA"/>
        </w:rPr>
        <w:t xml:space="preserve">); </w:t>
      </w:r>
      <w:r w:rsidR="00202665" w:rsidRPr="009D7FA7">
        <w:rPr>
          <w:i/>
          <w:lang w:val="fr-CA"/>
        </w:rPr>
        <w:t>R. c. Cook</w:t>
      </w:r>
      <w:r w:rsidR="00202665" w:rsidRPr="009D7FA7">
        <w:rPr>
          <w:lang w:val="fr-CA"/>
        </w:rPr>
        <w:t xml:space="preserve"> (1978), 10 B.C.L.R. 84; </w:t>
      </w:r>
      <w:r w:rsidR="00202665" w:rsidRPr="009D7FA7">
        <w:rPr>
          <w:i/>
          <w:lang w:val="fr-CA"/>
        </w:rPr>
        <w:t>R. c. Nguyen</w:t>
      </w:r>
      <w:r w:rsidR="00202665" w:rsidRPr="009D7FA7">
        <w:rPr>
          <w:lang w:val="fr-CA"/>
        </w:rPr>
        <w:t xml:space="preserve">, 2003 BCCA 556, 188 B.C.A.C. 218; </w:t>
      </w:r>
      <w:r w:rsidR="00202665" w:rsidRPr="009D7FA7">
        <w:rPr>
          <w:i/>
          <w:lang w:val="fr-CA"/>
        </w:rPr>
        <w:t xml:space="preserve">R. c. </w:t>
      </w:r>
      <w:proofErr w:type="spellStart"/>
      <w:r w:rsidR="00202665" w:rsidRPr="009D7FA7">
        <w:rPr>
          <w:i/>
          <w:lang w:val="fr-CA"/>
        </w:rPr>
        <w:t>Parchment</w:t>
      </w:r>
      <w:proofErr w:type="spellEnd"/>
      <w:r w:rsidR="00202665" w:rsidRPr="009D7FA7">
        <w:rPr>
          <w:lang w:val="fr-CA"/>
        </w:rPr>
        <w:t>, 2004 BCSC 1806 (</w:t>
      </w:r>
      <w:proofErr w:type="spellStart"/>
      <w:r w:rsidR="00202665" w:rsidRPr="009D7FA7">
        <w:rPr>
          <w:lang w:val="fr-CA"/>
        </w:rPr>
        <w:t>CanLII</w:t>
      </w:r>
      <w:proofErr w:type="spellEnd"/>
      <w:r w:rsidR="00202665" w:rsidRPr="009D7FA7">
        <w:rPr>
          <w:lang w:val="fr-CA"/>
        </w:rPr>
        <w:t xml:space="preserve">); </w:t>
      </w:r>
      <w:r w:rsidR="00202665" w:rsidRPr="009D7FA7">
        <w:rPr>
          <w:i/>
          <w:lang w:val="fr-CA"/>
        </w:rPr>
        <w:t>R. c. Williams</w:t>
      </w:r>
      <w:r w:rsidR="00202665" w:rsidRPr="009D7FA7">
        <w:rPr>
          <w:lang w:val="fr-CA"/>
        </w:rPr>
        <w:t xml:space="preserve">, 2009 BCCA 284, 273 B.C.A.C. 86; </w:t>
      </w:r>
      <w:r w:rsidR="00202665" w:rsidRPr="009D7FA7">
        <w:rPr>
          <w:i/>
          <w:lang w:val="fr-CA"/>
        </w:rPr>
        <w:t>R. c. Graham</w:t>
      </w:r>
      <w:r w:rsidR="00202665" w:rsidRPr="009D7FA7">
        <w:rPr>
          <w:lang w:val="fr-CA"/>
        </w:rPr>
        <w:t>, 2013 BCCA 75 (</w:t>
      </w:r>
      <w:proofErr w:type="spellStart"/>
      <w:r w:rsidR="00202665" w:rsidRPr="009D7FA7">
        <w:rPr>
          <w:lang w:val="fr-CA"/>
        </w:rPr>
        <w:t>CanLII</w:t>
      </w:r>
      <w:proofErr w:type="spellEnd"/>
      <w:r w:rsidR="00202665" w:rsidRPr="009D7FA7">
        <w:rPr>
          <w:lang w:val="fr-CA"/>
        </w:rPr>
        <w:t xml:space="preserve">); </w:t>
      </w:r>
      <w:r w:rsidR="00202665" w:rsidRPr="009D7FA7">
        <w:rPr>
          <w:i/>
          <w:lang w:val="fr-CA"/>
        </w:rPr>
        <w:t xml:space="preserve">R. c. </w:t>
      </w:r>
      <w:proofErr w:type="spellStart"/>
      <w:r w:rsidR="00202665" w:rsidRPr="009D7FA7">
        <w:rPr>
          <w:i/>
          <w:lang w:val="fr-CA"/>
        </w:rPr>
        <w:t>Ramsum</w:t>
      </w:r>
      <w:proofErr w:type="spellEnd"/>
      <w:r w:rsidR="00202665" w:rsidRPr="009D7FA7">
        <w:rPr>
          <w:lang w:val="fr-CA"/>
        </w:rPr>
        <w:t>, 2003 ABQB 45, 329 A.R. 370</w:t>
      </w:r>
      <w:r w:rsidR="0026521A" w:rsidRPr="009D7FA7">
        <w:rPr>
          <w:lang w:val="fr-CA"/>
        </w:rPr>
        <w:t xml:space="preserve">; </w:t>
      </w:r>
      <w:r w:rsidR="0026521A" w:rsidRPr="009D7FA7">
        <w:rPr>
          <w:i/>
          <w:lang w:val="fr-CA"/>
        </w:rPr>
        <w:t xml:space="preserve">R. c. </w:t>
      </w:r>
      <w:proofErr w:type="spellStart"/>
      <w:r w:rsidR="0026521A" w:rsidRPr="009D7FA7">
        <w:rPr>
          <w:i/>
          <w:lang w:val="fr-CA"/>
        </w:rPr>
        <w:t>Bannon</w:t>
      </w:r>
      <w:proofErr w:type="spellEnd"/>
      <w:r w:rsidR="0026521A" w:rsidRPr="009D7FA7">
        <w:rPr>
          <w:lang w:val="fr-CA"/>
        </w:rPr>
        <w:t xml:space="preserve"> (1995), 132 A.L.R. 87</w:t>
      </w:r>
      <w:r w:rsidR="001633E6" w:rsidRPr="009D7FA7">
        <w:rPr>
          <w:lang w:val="fr-CA"/>
        </w:rPr>
        <w:t xml:space="preserve">; </w:t>
      </w:r>
      <w:r w:rsidR="00202665" w:rsidRPr="009D7FA7">
        <w:rPr>
          <w:i/>
          <w:lang w:val="fr-CA"/>
        </w:rPr>
        <w:t>R. c. B. (K.G.)</w:t>
      </w:r>
      <w:r w:rsidR="00202665" w:rsidRPr="009D7FA7">
        <w:rPr>
          <w:lang w:val="fr-CA"/>
        </w:rPr>
        <w:t xml:space="preserve">, [1993] 1 </w:t>
      </w:r>
      <w:r w:rsidR="00261C6A" w:rsidRPr="009D7FA7">
        <w:rPr>
          <w:lang w:val="fr-CA"/>
        </w:rPr>
        <w:t>R.C.</w:t>
      </w:r>
      <w:r w:rsidR="00202665" w:rsidRPr="009D7FA7">
        <w:rPr>
          <w:lang w:val="fr-CA"/>
        </w:rPr>
        <w:t xml:space="preserve">S. 740; </w:t>
      </w:r>
      <w:r w:rsidR="001633E6" w:rsidRPr="009D7FA7">
        <w:rPr>
          <w:i/>
          <w:lang w:val="fr-CA"/>
        </w:rPr>
        <w:t>R. c. U. (F.J.)</w:t>
      </w:r>
      <w:r w:rsidR="001633E6" w:rsidRPr="009D7FA7">
        <w:rPr>
          <w:lang w:val="fr-CA"/>
        </w:rPr>
        <w:t>, [1995] 3 R.C.S. 764</w:t>
      </w:r>
      <w:r w:rsidR="0026521A" w:rsidRPr="009D7FA7">
        <w:rPr>
          <w:lang w:val="fr-CA"/>
        </w:rPr>
        <w:t>;</w:t>
      </w:r>
      <w:r w:rsidR="0026521A" w:rsidRPr="009D7FA7">
        <w:rPr>
          <w:i/>
          <w:lang w:val="fr-CA"/>
        </w:rPr>
        <w:t xml:space="preserve"> R. c. Bevan</w:t>
      </w:r>
      <w:r w:rsidR="0026521A" w:rsidRPr="009D7FA7">
        <w:rPr>
          <w:lang w:val="fr-CA"/>
        </w:rPr>
        <w:t>, [1993] 2 R.C.S. 599</w:t>
      </w:r>
      <w:r w:rsidR="005A7683" w:rsidRPr="009D7FA7">
        <w:rPr>
          <w:lang w:val="fr-CA"/>
        </w:rPr>
        <w:t>.</w:t>
      </w:r>
    </w:p>
    <w:p w:rsidR="00261C6A" w:rsidRPr="009D7FA7" w:rsidRDefault="00261C6A" w:rsidP="00261C6A">
      <w:pPr>
        <w:pStyle w:val="SCCNormalDoubleSpacing"/>
        <w:keepNext/>
        <w:spacing w:after="480"/>
        <w:rPr>
          <w:lang w:val="fr-CA"/>
        </w:rPr>
      </w:pPr>
      <w:r w:rsidRPr="009D7FA7">
        <w:rPr>
          <w:lang w:val="fr-CA"/>
        </w:rPr>
        <w:lastRenderedPageBreak/>
        <w:t xml:space="preserve">Citée par le juge </w:t>
      </w:r>
      <w:proofErr w:type="spellStart"/>
      <w:r w:rsidRPr="009D7FA7">
        <w:rPr>
          <w:lang w:val="fr-CA"/>
        </w:rPr>
        <w:t>Moldaver</w:t>
      </w:r>
      <w:proofErr w:type="spellEnd"/>
    </w:p>
    <w:p w:rsidR="003E0A0A" w:rsidRPr="009D7FA7" w:rsidRDefault="00261C6A" w:rsidP="00D61AC7">
      <w:pPr>
        <w:pStyle w:val="SCCNormalDoubleSpacing"/>
        <w:widowControl w:val="0"/>
        <w:spacing w:after="480"/>
        <w:rPr>
          <w:lang w:val="fr-CA"/>
        </w:rPr>
      </w:pPr>
      <w:r w:rsidRPr="009D7FA7">
        <w:rPr>
          <w:i/>
          <w:lang w:val="fr-CA"/>
        </w:rPr>
        <w:tab/>
      </w:r>
      <w:r w:rsidR="00C41A6A" w:rsidRPr="009D7FA7">
        <w:rPr>
          <w:b/>
          <w:lang w:val="fr-CA"/>
        </w:rPr>
        <w:t xml:space="preserve">Distinction d’avec l’arrêt : </w:t>
      </w:r>
      <w:r w:rsidR="00C41A6A" w:rsidRPr="009D7FA7">
        <w:rPr>
          <w:i/>
          <w:lang w:val="fr-CA"/>
        </w:rPr>
        <w:t xml:space="preserve">R. c. </w:t>
      </w:r>
      <w:proofErr w:type="spellStart"/>
      <w:r w:rsidR="00C41A6A" w:rsidRPr="009D7FA7">
        <w:rPr>
          <w:i/>
          <w:lang w:val="fr-CA"/>
        </w:rPr>
        <w:t>Khelawon</w:t>
      </w:r>
      <w:proofErr w:type="spellEnd"/>
      <w:r w:rsidR="00C41A6A" w:rsidRPr="009D7FA7">
        <w:rPr>
          <w:lang w:val="fr-CA"/>
        </w:rPr>
        <w:t xml:space="preserve">, 2006 CSC 57, [2006] 2 R.C.S. 787; </w:t>
      </w:r>
      <w:r w:rsidR="00C41A6A" w:rsidRPr="009D7FA7">
        <w:rPr>
          <w:b/>
          <w:lang w:val="fr-CA"/>
        </w:rPr>
        <w:t>a</w:t>
      </w:r>
      <w:r w:rsidRPr="009D7FA7">
        <w:rPr>
          <w:b/>
          <w:lang w:val="fr-CA"/>
        </w:rPr>
        <w:t>rrêts mentionnés :</w:t>
      </w:r>
      <w:r w:rsidRPr="009D7FA7">
        <w:rPr>
          <w:lang w:val="fr-CA"/>
        </w:rPr>
        <w:t xml:space="preserve"> </w:t>
      </w:r>
      <w:r w:rsidR="001405A5" w:rsidRPr="009D7FA7">
        <w:rPr>
          <w:i/>
          <w:lang w:val="fr-CA"/>
        </w:rPr>
        <w:t>R. c. Hawkins</w:t>
      </w:r>
      <w:r w:rsidR="001405A5" w:rsidRPr="009D7FA7">
        <w:rPr>
          <w:lang w:val="fr-CA"/>
        </w:rPr>
        <w:t>, [1996] 3 R.C.S. 1043</w:t>
      </w:r>
      <w:r w:rsidR="00F42FA6" w:rsidRPr="009D7FA7">
        <w:rPr>
          <w:lang w:val="fr-CA"/>
        </w:rPr>
        <w:t>;</w:t>
      </w:r>
      <w:r w:rsidR="00C87908" w:rsidRPr="009D7FA7">
        <w:rPr>
          <w:i/>
          <w:lang w:val="fr-CA"/>
        </w:rPr>
        <w:t xml:space="preserve"> R. c. </w:t>
      </w:r>
      <w:proofErr w:type="spellStart"/>
      <w:r w:rsidR="00C87908" w:rsidRPr="009D7FA7">
        <w:rPr>
          <w:i/>
          <w:lang w:val="fr-CA"/>
        </w:rPr>
        <w:t>Owad</w:t>
      </w:r>
      <w:proofErr w:type="spellEnd"/>
      <w:r w:rsidR="00C87908" w:rsidRPr="009D7FA7">
        <w:rPr>
          <w:lang w:val="fr-CA"/>
        </w:rPr>
        <w:t xml:space="preserve"> (1951), 102 C.C.C. 155; </w:t>
      </w:r>
      <w:r w:rsidR="00C87908" w:rsidRPr="009D7FA7">
        <w:rPr>
          <w:i/>
          <w:lang w:val="fr-CA"/>
        </w:rPr>
        <w:t xml:space="preserve">R. c. </w:t>
      </w:r>
      <w:proofErr w:type="spellStart"/>
      <w:r w:rsidR="00C87908" w:rsidRPr="009D7FA7">
        <w:rPr>
          <w:i/>
          <w:lang w:val="fr-CA"/>
        </w:rPr>
        <w:t>Fialkow</w:t>
      </w:r>
      <w:proofErr w:type="spellEnd"/>
      <w:r w:rsidR="00C87908" w:rsidRPr="009D7FA7">
        <w:rPr>
          <w:lang w:val="fr-CA"/>
        </w:rPr>
        <w:t xml:space="preserve">, [1963] 2 C.C.C. 42; </w:t>
      </w:r>
      <w:r w:rsidR="00C87908" w:rsidRPr="009D7FA7">
        <w:rPr>
          <w:i/>
          <w:lang w:val="fr-CA"/>
        </w:rPr>
        <w:t>R. c. Cook</w:t>
      </w:r>
      <w:r w:rsidR="00C87908" w:rsidRPr="009D7FA7">
        <w:rPr>
          <w:lang w:val="fr-CA"/>
        </w:rPr>
        <w:t xml:space="preserve"> (1978), 46 C.C.C. (2d) 318; </w:t>
      </w:r>
      <w:r w:rsidR="00C87908" w:rsidRPr="009D7FA7">
        <w:rPr>
          <w:i/>
          <w:lang w:val="fr-CA"/>
        </w:rPr>
        <w:t>R. c. Edwards</w:t>
      </w:r>
      <w:r w:rsidR="00C87908" w:rsidRPr="009D7FA7">
        <w:rPr>
          <w:lang w:val="fr-CA"/>
        </w:rPr>
        <w:t xml:space="preserve"> (1994), 19 O.R. (3d) 239; </w:t>
      </w:r>
      <w:r w:rsidR="00C87908" w:rsidRPr="009D7FA7">
        <w:rPr>
          <w:i/>
          <w:lang w:val="fr-CA"/>
        </w:rPr>
        <w:t>R. c. Nguyen</w:t>
      </w:r>
      <w:r w:rsidR="00C87908" w:rsidRPr="009D7FA7">
        <w:rPr>
          <w:lang w:val="fr-CA"/>
        </w:rPr>
        <w:t xml:space="preserve">, 2003 BCCA 556, 188 B.C.A.C. 218; </w:t>
      </w:r>
      <w:r w:rsidR="00C87908" w:rsidRPr="009D7FA7">
        <w:rPr>
          <w:i/>
          <w:lang w:val="fr-CA"/>
        </w:rPr>
        <w:t>R. c. Williams</w:t>
      </w:r>
      <w:r w:rsidR="00C87908" w:rsidRPr="009D7FA7">
        <w:rPr>
          <w:lang w:val="fr-CA"/>
        </w:rPr>
        <w:t xml:space="preserve">, 2009 BCCA 284, 273 B.C.A.C. 86; </w:t>
      </w:r>
      <w:r w:rsidR="00C87908" w:rsidRPr="009D7FA7">
        <w:rPr>
          <w:i/>
          <w:lang w:val="fr-CA"/>
        </w:rPr>
        <w:t>R. c. Lucia</w:t>
      </w:r>
      <w:r w:rsidR="00C87908" w:rsidRPr="009D7FA7">
        <w:rPr>
          <w:lang w:val="fr-CA"/>
        </w:rPr>
        <w:t>, 2010 ONCA 533 (</w:t>
      </w:r>
      <w:proofErr w:type="spellStart"/>
      <w:r w:rsidR="00C87908" w:rsidRPr="009D7FA7">
        <w:rPr>
          <w:lang w:val="fr-CA"/>
        </w:rPr>
        <w:t>CanLII</w:t>
      </w:r>
      <w:proofErr w:type="spellEnd"/>
      <w:r w:rsidR="00C87908" w:rsidRPr="009D7FA7">
        <w:rPr>
          <w:lang w:val="fr-CA"/>
        </w:rPr>
        <w:t xml:space="preserve">); </w:t>
      </w:r>
      <w:r w:rsidR="00C87908" w:rsidRPr="009D7FA7">
        <w:rPr>
          <w:i/>
          <w:lang w:val="fr-CA"/>
        </w:rPr>
        <w:t>R. c. Graham</w:t>
      </w:r>
      <w:r w:rsidR="00C87908" w:rsidRPr="009D7FA7">
        <w:rPr>
          <w:lang w:val="fr-CA"/>
        </w:rPr>
        <w:t>, 2013 BCCA 75 (</w:t>
      </w:r>
      <w:proofErr w:type="spellStart"/>
      <w:r w:rsidR="00C87908" w:rsidRPr="009D7FA7">
        <w:rPr>
          <w:lang w:val="fr-CA"/>
        </w:rPr>
        <w:t>CanLII</w:t>
      </w:r>
      <w:proofErr w:type="spellEnd"/>
      <w:r w:rsidR="00C87908" w:rsidRPr="009D7FA7">
        <w:rPr>
          <w:lang w:val="fr-CA"/>
        </w:rPr>
        <w:t>)</w:t>
      </w:r>
      <w:r w:rsidR="0020769D" w:rsidRPr="009D7FA7">
        <w:rPr>
          <w:lang w:val="fr-CA"/>
        </w:rPr>
        <w:t xml:space="preserve">; </w:t>
      </w:r>
      <w:r w:rsidR="0020769D" w:rsidRPr="009D7FA7">
        <w:rPr>
          <w:i/>
          <w:lang w:val="fr-CA"/>
        </w:rPr>
        <w:t>R. c. Wilson</w:t>
      </w:r>
      <w:r w:rsidR="0020769D" w:rsidRPr="009D7FA7">
        <w:rPr>
          <w:lang w:val="fr-CA"/>
        </w:rPr>
        <w:t xml:space="preserve"> (1996), 29 O.R. (3d) 97</w:t>
      </w:r>
      <w:r w:rsidR="00F42FA6" w:rsidRPr="009D7FA7">
        <w:rPr>
          <w:lang w:val="fr-CA"/>
        </w:rPr>
        <w:t>;</w:t>
      </w:r>
      <w:r w:rsidR="003E0A0A" w:rsidRPr="009D7FA7">
        <w:rPr>
          <w:lang w:val="fr-CA"/>
        </w:rPr>
        <w:t xml:space="preserve"> </w:t>
      </w:r>
      <w:r w:rsidR="00F42FA6" w:rsidRPr="009D7FA7">
        <w:rPr>
          <w:i/>
          <w:lang w:val="fr-CA"/>
        </w:rPr>
        <w:t>R. c. B. (K.G.)</w:t>
      </w:r>
      <w:r w:rsidR="00F42FA6" w:rsidRPr="009D7FA7">
        <w:rPr>
          <w:lang w:val="fr-CA"/>
        </w:rPr>
        <w:t>, [1993] 1 R.C.S. 740</w:t>
      </w:r>
      <w:r w:rsidR="003E0A0A" w:rsidRPr="009D7FA7">
        <w:rPr>
          <w:lang w:val="fr-CA"/>
        </w:rPr>
        <w:t xml:space="preserve">; </w:t>
      </w:r>
      <w:r w:rsidR="003E0A0A" w:rsidRPr="009D7FA7">
        <w:rPr>
          <w:i/>
          <w:lang w:val="fr-CA"/>
        </w:rPr>
        <w:t>R. c. U. (F.J.)</w:t>
      </w:r>
      <w:r w:rsidR="003E0A0A" w:rsidRPr="009D7FA7">
        <w:rPr>
          <w:lang w:val="fr-CA"/>
        </w:rPr>
        <w:t>, [1995] 3 R.C.S. 764</w:t>
      </w:r>
      <w:r w:rsidR="00901064" w:rsidRPr="009D7FA7">
        <w:rPr>
          <w:lang w:val="fr-CA"/>
        </w:rPr>
        <w:t xml:space="preserve">; </w:t>
      </w:r>
      <w:r w:rsidR="00901064" w:rsidRPr="009D7FA7">
        <w:rPr>
          <w:i/>
          <w:lang w:val="fr-CA"/>
        </w:rPr>
        <w:t>R. c. Couture</w:t>
      </w:r>
      <w:r w:rsidR="000C3E41">
        <w:rPr>
          <w:lang w:val="fr-CA"/>
        </w:rPr>
        <w:t>, 2007 CSC 28, [2007]</w:t>
      </w:r>
      <w:r w:rsidR="00901064" w:rsidRPr="009D7FA7">
        <w:rPr>
          <w:lang w:val="fr-CA"/>
        </w:rPr>
        <w:t xml:space="preserve"> 2 R.C.S. 517</w:t>
      </w:r>
      <w:r w:rsidR="00BB2F8A" w:rsidRPr="009D7FA7">
        <w:rPr>
          <w:lang w:val="fr-CA"/>
        </w:rPr>
        <w:t xml:space="preserve">; </w:t>
      </w:r>
      <w:r w:rsidR="00BB2F8A" w:rsidRPr="009D7FA7">
        <w:rPr>
          <w:i/>
          <w:lang w:val="fr-CA"/>
        </w:rPr>
        <w:t xml:space="preserve">R. c. </w:t>
      </w:r>
      <w:proofErr w:type="spellStart"/>
      <w:r w:rsidR="00BB2F8A" w:rsidRPr="009D7FA7">
        <w:rPr>
          <w:i/>
          <w:lang w:val="fr-CA"/>
        </w:rPr>
        <w:t>Woodcock</w:t>
      </w:r>
      <w:proofErr w:type="spellEnd"/>
      <w:r w:rsidR="00BB2F8A" w:rsidRPr="009D7FA7">
        <w:rPr>
          <w:lang w:val="fr-CA"/>
        </w:rPr>
        <w:t xml:space="preserve"> (1789), 1 Leach 500, 168 E.R. 352</w:t>
      </w:r>
      <w:r w:rsidR="000E6B52" w:rsidRPr="009D7FA7">
        <w:rPr>
          <w:lang w:val="fr-CA"/>
        </w:rPr>
        <w:t xml:space="preserve">; </w:t>
      </w:r>
      <w:r w:rsidR="000E6B52" w:rsidRPr="009D7FA7">
        <w:rPr>
          <w:i/>
          <w:lang w:val="fr-CA"/>
        </w:rPr>
        <w:t xml:space="preserve">R. c. </w:t>
      </w:r>
      <w:proofErr w:type="spellStart"/>
      <w:r w:rsidR="000E6B52" w:rsidRPr="009D7FA7">
        <w:rPr>
          <w:i/>
          <w:lang w:val="fr-CA"/>
        </w:rPr>
        <w:t>Starr</w:t>
      </w:r>
      <w:proofErr w:type="spellEnd"/>
      <w:r w:rsidR="000E6B52" w:rsidRPr="009D7FA7">
        <w:rPr>
          <w:lang w:val="fr-CA"/>
        </w:rPr>
        <w:t>, 2000 CSC 40, [2000] 2 R.C.S. 144</w:t>
      </w:r>
      <w:r w:rsidR="00F42FA6" w:rsidRPr="009D7FA7">
        <w:rPr>
          <w:lang w:val="fr-CA"/>
        </w:rPr>
        <w:t xml:space="preserve">; </w:t>
      </w:r>
      <w:r w:rsidR="00923DB8" w:rsidRPr="009D7FA7">
        <w:rPr>
          <w:i/>
          <w:lang w:val="fr-CA"/>
        </w:rPr>
        <w:t>R. c. Ly</w:t>
      </w:r>
      <w:r w:rsidR="00923DB8" w:rsidRPr="009D7FA7">
        <w:rPr>
          <w:lang w:val="fr-CA"/>
        </w:rPr>
        <w:t>, [1997] 3 R.C.S. 698.</w:t>
      </w:r>
    </w:p>
    <w:p w:rsidR="004D7D95" w:rsidRPr="009D7FA7" w:rsidRDefault="004D7D95" w:rsidP="00061ED6">
      <w:pPr>
        <w:pStyle w:val="SCCNormalDoubleSpacing"/>
        <w:keepNext/>
        <w:spacing w:after="480"/>
        <w:rPr>
          <w:b/>
          <w:lang w:val="fr-CA"/>
        </w:rPr>
      </w:pPr>
      <w:r w:rsidRPr="009D7FA7">
        <w:rPr>
          <w:b/>
          <w:lang w:val="fr-CA"/>
        </w:rPr>
        <w:t>Lois et règlements cités</w:t>
      </w:r>
    </w:p>
    <w:p w:rsidR="0003388D" w:rsidRPr="009D7FA7" w:rsidRDefault="0003388D" w:rsidP="00A25928">
      <w:pPr>
        <w:pStyle w:val="SCCNormalDoubleSpacing"/>
        <w:spacing w:after="240" w:line="240" w:lineRule="auto"/>
        <w:ind w:left="540" w:hanging="540"/>
        <w:rPr>
          <w:lang w:val="en-US"/>
        </w:rPr>
      </w:pPr>
      <w:r w:rsidRPr="009D7FA7">
        <w:rPr>
          <w:i/>
          <w:lang w:val="fr-CA"/>
        </w:rPr>
        <w:t>Code criminel</w:t>
      </w:r>
      <w:r w:rsidRPr="009D7FA7">
        <w:rPr>
          <w:lang w:val="fr-CA"/>
        </w:rPr>
        <w:t xml:space="preserve">, L.R.C. 1985, </w:t>
      </w:r>
      <w:r w:rsidR="00061ED6" w:rsidRPr="009D7FA7">
        <w:rPr>
          <w:lang w:val="fr-CA"/>
        </w:rPr>
        <w:t>ch. </w:t>
      </w:r>
      <w:r w:rsidRPr="009D7FA7">
        <w:rPr>
          <w:lang w:val="en-US"/>
        </w:rPr>
        <w:t>C</w:t>
      </w:r>
      <w:r w:rsidR="00061ED6" w:rsidRPr="009D7FA7">
        <w:rPr>
          <w:lang w:val="en-US"/>
        </w:rPr>
        <w:noBreakHyphen/>
      </w:r>
      <w:r w:rsidRPr="009D7FA7">
        <w:rPr>
          <w:lang w:val="en-US"/>
        </w:rPr>
        <w:t xml:space="preserve">46, </w:t>
      </w:r>
      <w:r w:rsidR="00061ED6" w:rsidRPr="009D7FA7">
        <w:rPr>
          <w:lang w:val="en-US"/>
        </w:rPr>
        <w:t>art. </w:t>
      </w:r>
      <w:r w:rsidR="00075229" w:rsidRPr="009D7FA7">
        <w:rPr>
          <w:lang w:val="en-US"/>
        </w:rPr>
        <w:t>686</w:t>
      </w:r>
      <w:r w:rsidR="002F265D" w:rsidRPr="009D7FA7">
        <w:rPr>
          <w:lang w:val="en-US"/>
        </w:rPr>
        <w:t>(1</w:t>
      </w:r>
      <w:proofErr w:type="gramStart"/>
      <w:r w:rsidR="002F265D" w:rsidRPr="009D7FA7">
        <w:rPr>
          <w:lang w:val="en-US"/>
        </w:rPr>
        <w:t>)</w:t>
      </w:r>
      <w:proofErr w:type="gramEnd"/>
      <w:r w:rsidR="00075229" w:rsidRPr="009D7FA7">
        <w:rPr>
          <w:i/>
          <w:lang w:val="en-US"/>
        </w:rPr>
        <w:t>b</w:t>
      </w:r>
      <w:r w:rsidR="00075229" w:rsidRPr="009D7FA7">
        <w:rPr>
          <w:lang w:val="en-US"/>
        </w:rPr>
        <w:t xml:space="preserve">)(iii), </w:t>
      </w:r>
      <w:r w:rsidRPr="009D7FA7">
        <w:rPr>
          <w:lang w:val="en-US"/>
        </w:rPr>
        <w:t>693(1)</w:t>
      </w:r>
      <w:r w:rsidRPr="009D7FA7">
        <w:rPr>
          <w:i/>
          <w:lang w:val="en-US"/>
        </w:rPr>
        <w:t>a</w:t>
      </w:r>
      <w:r w:rsidRPr="009D7FA7">
        <w:rPr>
          <w:lang w:val="en-US"/>
        </w:rPr>
        <w:t>).</w:t>
      </w:r>
    </w:p>
    <w:p w:rsidR="00945C17" w:rsidRPr="009D7FA7" w:rsidRDefault="00945C17" w:rsidP="00A25928">
      <w:pPr>
        <w:pStyle w:val="SCCNormalDoubleSpacing"/>
        <w:spacing w:after="240" w:line="240" w:lineRule="auto"/>
        <w:ind w:left="540" w:hanging="540"/>
        <w:rPr>
          <w:lang w:val="en-US"/>
        </w:rPr>
      </w:pPr>
      <w:proofErr w:type="gramStart"/>
      <w:r w:rsidRPr="009D7FA7">
        <w:rPr>
          <w:i/>
          <w:lang w:val="en-US"/>
        </w:rPr>
        <w:t>Criminal Justice Act</w:t>
      </w:r>
      <w:r w:rsidRPr="009D7FA7">
        <w:rPr>
          <w:lang w:val="en-US"/>
        </w:rPr>
        <w:t xml:space="preserve"> </w:t>
      </w:r>
      <w:r w:rsidRPr="009D7FA7">
        <w:rPr>
          <w:i/>
          <w:lang w:val="en-US"/>
        </w:rPr>
        <w:t>2003</w:t>
      </w:r>
      <w:r w:rsidRPr="009D7FA7">
        <w:rPr>
          <w:lang w:val="en-US"/>
        </w:rPr>
        <w:t xml:space="preserve"> (R.</w:t>
      </w:r>
      <w:r w:rsidR="00061ED6" w:rsidRPr="009D7FA7">
        <w:rPr>
          <w:lang w:val="en-US"/>
        </w:rPr>
        <w:noBreakHyphen/>
      </w:r>
      <w:r w:rsidRPr="009D7FA7">
        <w:rPr>
          <w:lang w:val="en-US"/>
        </w:rPr>
        <w:t xml:space="preserve">U.), 2003, </w:t>
      </w:r>
      <w:proofErr w:type="spellStart"/>
      <w:r w:rsidR="00061ED6" w:rsidRPr="009D7FA7">
        <w:rPr>
          <w:lang w:val="en-US"/>
        </w:rPr>
        <w:t>ch</w:t>
      </w:r>
      <w:proofErr w:type="spellEnd"/>
      <w:r w:rsidR="00061ED6" w:rsidRPr="009D7FA7">
        <w:rPr>
          <w:lang w:val="en-US"/>
        </w:rPr>
        <w:t>. </w:t>
      </w:r>
      <w:r w:rsidRPr="009D7FA7">
        <w:rPr>
          <w:lang w:val="en-US"/>
        </w:rPr>
        <w:t xml:space="preserve">44, </w:t>
      </w:r>
      <w:r w:rsidR="00061ED6" w:rsidRPr="009D7FA7">
        <w:rPr>
          <w:lang w:val="en-US"/>
        </w:rPr>
        <w:t>art.</w:t>
      </w:r>
      <w:proofErr w:type="gramEnd"/>
      <w:r w:rsidR="00061ED6" w:rsidRPr="009D7FA7">
        <w:rPr>
          <w:lang w:val="en-US"/>
        </w:rPr>
        <w:t> </w:t>
      </w:r>
      <w:r w:rsidRPr="009D7FA7">
        <w:rPr>
          <w:lang w:val="en-US"/>
        </w:rPr>
        <w:t>115.</w:t>
      </w:r>
    </w:p>
    <w:p w:rsidR="009C7D2A" w:rsidRPr="009D7FA7" w:rsidRDefault="00945C17" w:rsidP="00061ED6">
      <w:pPr>
        <w:pStyle w:val="SCCNormalDoubleSpacing"/>
        <w:spacing w:after="240" w:line="240" w:lineRule="auto"/>
        <w:ind w:left="540" w:hanging="540"/>
        <w:rPr>
          <w:lang w:val="en-US"/>
        </w:rPr>
      </w:pPr>
      <w:bookmarkStart w:id="0" w:name="SearchTerm"/>
      <w:proofErr w:type="gramStart"/>
      <w:r w:rsidRPr="009D7FA7">
        <w:rPr>
          <w:i/>
          <w:lang w:val="en-US"/>
        </w:rPr>
        <w:t xml:space="preserve">Evidence </w:t>
      </w:r>
      <w:bookmarkStart w:id="1" w:name="SR;18195"/>
      <w:bookmarkEnd w:id="1"/>
      <w:r w:rsidRPr="009D7FA7">
        <w:rPr>
          <w:i/>
          <w:lang w:val="en-US"/>
        </w:rPr>
        <w:t xml:space="preserve">Act </w:t>
      </w:r>
      <w:bookmarkStart w:id="2" w:name="SR;18196"/>
      <w:bookmarkEnd w:id="0"/>
      <w:bookmarkEnd w:id="2"/>
      <w:r w:rsidRPr="009D7FA7">
        <w:rPr>
          <w:i/>
          <w:lang w:val="en-US"/>
        </w:rPr>
        <w:t>1995</w:t>
      </w:r>
      <w:r w:rsidRPr="009D7FA7">
        <w:rPr>
          <w:lang w:val="en-US"/>
        </w:rPr>
        <w:t xml:space="preserve"> (</w:t>
      </w:r>
      <w:proofErr w:type="spellStart"/>
      <w:r w:rsidRPr="009D7FA7">
        <w:rPr>
          <w:lang w:val="en-US"/>
        </w:rPr>
        <w:t>Austr</w:t>
      </w:r>
      <w:proofErr w:type="spellEnd"/>
      <w:r w:rsidRPr="009D7FA7">
        <w:rPr>
          <w:lang w:val="en-US"/>
        </w:rPr>
        <w:t xml:space="preserve">.), </w:t>
      </w:r>
      <w:r w:rsidR="0058209F">
        <w:rPr>
          <w:lang w:val="en-US"/>
        </w:rPr>
        <w:t>No. </w:t>
      </w:r>
      <w:r w:rsidRPr="009D7FA7">
        <w:rPr>
          <w:lang w:val="en-US"/>
        </w:rPr>
        <w:t xml:space="preserve">2, </w:t>
      </w:r>
      <w:r w:rsidR="00061ED6" w:rsidRPr="009D7FA7">
        <w:rPr>
          <w:lang w:val="en-US"/>
        </w:rPr>
        <w:t>art.</w:t>
      </w:r>
      <w:proofErr w:type="gramEnd"/>
      <w:r w:rsidR="00061ED6" w:rsidRPr="009D7FA7">
        <w:rPr>
          <w:lang w:val="en-US"/>
        </w:rPr>
        <w:t> </w:t>
      </w:r>
      <w:proofErr w:type="gramStart"/>
      <w:r w:rsidRPr="009D7FA7">
        <w:rPr>
          <w:lang w:val="en-US"/>
        </w:rPr>
        <w:t>59(1).</w:t>
      </w:r>
      <w:proofErr w:type="gramEnd"/>
    </w:p>
    <w:p w:rsidR="005522FD" w:rsidRPr="009D7FA7" w:rsidRDefault="005522FD" w:rsidP="00B36E3A">
      <w:pPr>
        <w:pStyle w:val="SCCNormalDoubleSpacing"/>
        <w:spacing w:after="240" w:line="240" w:lineRule="auto"/>
        <w:rPr>
          <w:lang w:val="en-US"/>
        </w:rPr>
      </w:pPr>
      <w:r w:rsidRPr="009D7FA7">
        <w:rPr>
          <w:i/>
          <w:lang w:val="en-US"/>
        </w:rPr>
        <w:t xml:space="preserve">Federal Rules of Evidence </w:t>
      </w:r>
      <w:r w:rsidRPr="009D7FA7">
        <w:rPr>
          <w:lang w:val="en-US"/>
        </w:rPr>
        <w:t>(</w:t>
      </w:r>
      <w:r w:rsidR="00E524AB">
        <w:rPr>
          <w:lang w:val="en-US"/>
        </w:rPr>
        <w:t>É</w:t>
      </w:r>
      <w:r w:rsidR="0060514C" w:rsidRPr="009D7FA7">
        <w:rPr>
          <w:lang w:val="en-US"/>
        </w:rPr>
        <w:t>.-</w:t>
      </w:r>
      <w:r w:rsidRPr="009D7FA7">
        <w:rPr>
          <w:lang w:val="en-US"/>
        </w:rPr>
        <w:t xml:space="preserve">U.), </w:t>
      </w:r>
      <w:proofErr w:type="spellStart"/>
      <w:r w:rsidR="0060514C" w:rsidRPr="009D7FA7">
        <w:rPr>
          <w:lang w:val="en-US"/>
        </w:rPr>
        <w:t>r</w:t>
      </w:r>
      <w:r w:rsidR="0058209F">
        <w:rPr>
          <w:lang w:val="en-US"/>
        </w:rPr>
        <w:t>è</w:t>
      </w:r>
      <w:r w:rsidR="0060514C" w:rsidRPr="009D7FA7">
        <w:rPr>
          <w:lang w:val="en-US"/>
        </w:rPr>
        <w:t>gl</w:t>
      </w:r>
      <w:r w:rsidRPr="009D7FA7">
        <w:rPr>
          <w:lang w:val="en-US"/>
        </w:rPr>
        <w:t>e</w:t>
      </w:r>
      <w:proofErr w:type="spellEnd"/>
      <w:r w:rsidRPr="009D7FA7">
        <w:rPr>
          <w:lang w:val="en-US"/>
        </w:rPr>
        <w:t xml:space="preserve"> 801.</w:t>
      </w:r>
    </w:p>
    <w:p w:rsidR="004D7D95" w:rsidRPr="009D7FA7" w:rsidRDefault="009C7D2A" w:rsidP="005522FD">
      <w:pPr>
        <w:pStyle w:val="SCCNormalDoubleSpacing"/>
        <w:spacing w:after="720" w:line="240" w:lineRule="auto"/>
        <w:rPr>
          <w:lang w:val="fr-CA"/>
        </w:rPr>
      </w:pPr>
      <w:r w:rsidRPr="009D7FA7">
        <w:rPr>
          <w:i/>
          <w:lang w:val="fr-CA"/>
        </w:rPr>
        <w:t>Loi réglementant certaines drogues et autres substances</w:t>
      </w:r>
      <w:r w:rsidRPr="009D7FA7">
        <w:rPr>
          <w:lang w:val="fr-CA"/>
        </w:rPr>
        <w:t xml:space="preserve">, L.C. 1996, </w:t>
      </w:r>
      <w:r w:rsidR="00061ED6" w:rsidRPr="009D7FA7">
        <w:rPr>
          <w:lang w:val="fr-CA"/>
        </w:rPr>
        <w:t>ch. </w:t>
      </w:r>
      <w:r w:rsidRPr="009D7FA7">
        <w:rPr>
          <w:lang w:val="fr-CA"/>
        </w:rPr>
        <w:t xml:space="preserve">19, </w:t>
      </w:r>
      <w:r w:rsidR="00061ED6" w:rsidRPr="009D7FA7">
        <w:rPr>
          <w:lang w:val="fr-CA"/>
        </w:rPr>
        <w:t>art. </w:t>
      </w:r>
      <w:r w:rsidRPr="009D7FA7">
        <w:rPr>
          <w:lang w:val="fr-CA"/>
        </w:rPr>
        <w:t>5(2).</w:t>
      </w:r>
    </w:p>
    <w:p w:rsidR="004D7D95" w:rsidRPr="009D7FA7" w:rsidRDefault="004D7D95" w:rsidP="00061ED6">
      <w:pPr>
        <w:pStyle w:val="SCCNormalDoubleSpacing"/>
        <w:keepNext/>
        <w:spacing w:after="480"/>
        <w:rPr>
          <w:b/>
          <w:lang w:val="fr-CA"/>
        </w:rPr>
      </w:pPr>
      <w:r w:rsidRPr="009D7FA7">
        <w:rPr>
          <w:b/>
          <w:lang w:val="fr-CA"/>
        </w:rPr>
        <w:t>Doctrine et autres documents cités</w:t>
      </w:r>
    </w:p>
    <w:p w:rsidR="0033348B" w:rsidRPr="009D7FA7" w:rsidRDefault="0033348B" w:rsidP="00A25928">
      <w:pPr>
        <w:pStyle w:val="SCCNormalDoubleSpacing"/>
        <w:spacing w:after="240" w:line="240" w:lineRule="auto"/>
        <w:ind w:left="540" w:hanging="540"/>
        <w:rPr>
          <w:lang w:val="en-US"/>
        </w:rPr>
      </w:pPr>
      <w:proofErr w:type="spellStart"/>
      <w:r w:rsidRPr="00B0068E">
        <w:rPr>
          <w:lang w:val="fr-CA"/>
        </w:rPr>
        <w:t>Birch</w:t>
      </w:r>
      <w:proofErr w:type="spellEnd"/>
      <w:r w:rsidRPr="00B0068E">
        <w:rPr>
          <w:lang w:val="fr-CA"/>
        </w:rPr>
        <w:t xml:space="preserve">, Di.  </w:t>
      </w:r>
      <w:r w:rsidRPr="009D7FA7">
        <w:rPr>
          <w:lang w:val="en-US"/>
        </w:rPr>
        <w:t xml:space="preserve">« Criminal Justice Act 2003 (4) </w:t>
      </w:r>
      <w:proofErr w:type="gramStart"/>
      <w:r w:rsidRPr="009D7FA7">
        <w:rPr>
          <w:lang w:val="en-US"/>
        </w:rPr>
        <w:t>Hearsay</w:t>
      </w:r>
      <w:r w:rsidR="00061ED6" w:rsidRPr="009D7FA7">
        <w:rPr>
          <w:lang w:val="en-US"/>
        </w:rPr>
        <w:t> :</w:t>
      </w:r>
      <w:proofErr w:type="gramEnd"/>
      <w:r w:rsidRPr="009D7FA7">
        <w:rPr>
          <w:lang w:val="en-US"/>
        </w:rPr>
        <w:t xml:space="preserve"> Same Old Story, Same Old Song? », [2004] </w:t>
      </w:r>
      <w:r w:rsidRPr="009D7FA7">
        <w:rPr>
          <w:i/>
          <w:lang w:val="en-US"/>
        </w:rPr>
        <w:t>Crim. L.R.</w:t>
      </w:r>
      <w:r w:rsidRPr="009D7FA7">
        <w:rPr>
          <w:lang w:val="en-US"/>
        </w:rPr>
        <w:t xml:space="preserve"> 556.</w:t>
      </w:r>
    </w:p>
    <w:p w:rsidR="006C51B9" w:rsidRPr="009D7FA7" w:rsidRDefault="006C51B9" w:rsidP="00B075A5">
      <w:pPr>
        <w:pStyle w:val="SCCNormalDoubleSpacing"/>
        <w:spacing w:after="240" w:line="240" w:lineRule="auto"/>
        <w:ind w:left="540" w:hanging="540"/>
        <w:rPr>
          <w:lang w:val="fr-CA"/>
        </w:rPr>
      </w:pPr>
      <w:r w:rsidRPr="009D7FA7">
        <w:rPr>
          <w:lang w:val="en-US"/>
        </w:rPr>
        <w:t xml:space="preserve">Bryant, </w:t>
      </w:r>
      <w:r w:rsidR="00464A3A" w:rsidRPr="009D7FA7">
        <w:rPr>
          <w:lang w:val="en-US"/>
        </w:rPr>
        <w:t>Alan W., Sidney </w:t>
      </w:r>
      <w:r w:rsidR="00B075A5" w:rsidRPr="009D7FA7">
        <w:rPr>
          <w:lang w:val="en-US"/>
        </w:rPr>
        <w:t>N. Lederman and Michelle </w:t>
      </w:r>
      <w:r w:rsidRPr="009D7FA7">
        <w:rPr>
          <w:lang w:val="en-US"/>
        </w:rPr>
        <w:t xml:space="preserve">K. </w:t>
      </w:r>
      <w:proofErr w:type="spellStart"/>
      <w:r w:rsidRPr="009D7FA7">
        <w:rPr>
          <w:lang w:val="en-US"/>
        </w:rPr>
        <w:t>Fuerst</w:t>
      </w:r>
      <w:proofErr w:type="spellEnd"/>
      <w:r w:rsidRPr="009D7FA7">
        <w:rPr>
          <w:lang w:val="en-US"/>
        </w:rPr>
        <w:t xml:space="preserve">.  </w:t>
      </w:r>
      <w:r w:rsidRPr="009D7FA7">
        <w:rPr>
          <w:i/>
          <w:lang w:val="en-US"/>
        </w:rPr>
        <w:t>The Law of Evidence in Canada</w:t>
      </w:r>
      <w:r w:rsidRPr="009D7FA7">
        <w:rPr>
          <w:lang w:val="en-US"/>
        </w:rPr>
        <w:t xml:space="preserve">, 3rd </w:t>
      </w:r>
      <w:proofErr w:type="gramStart"/>
      <w:r w:rsidRPr="009D7FA7">
        <w:rPr>
          <w:lang w:val="en-US"/>
        </w:rPr>
        <w:t>ed</w:t>
      </w:r>
      <w:proofErr w:type="gramEnd"/>
      <w:r w:rsidRPr="009D7FA7">
        <w:rPr>
          <w:lang w:val="en-US"/>
        </w:rPr>
        <w:t xml:space="preserve">.  </w:t>
      </w:r>
      <w:r w:rsidRPr="009D7FA7">
        <w:rPr>
          <w:lang w:val="fr-CA"/>
        </w:rPr>
        <w:t xml:space="preserve">Markham, Ont. : </w:t>
      </w:r>
      <w:proofErr w:type="spellStart"/>
      <w:r w:rsidRPr="009D7FA7">
        <w:rPr>
          <w:lang w:val="fr-CA"/>
        </w:rPr>
        <w:t>LexisNexis</w:t>
      </w:r>
      <w:proofErr w:type="spellEnd"/>
      <w:r w:rsidRPr="009D7FA7">
        <w:rPr>
          <w:lang w:val="fr-CA"/>
        </w:rPr>
        <w:t>, 2009.</w:t>
      </w:r>
    </w:p>
    <w:p w:rsidR="008A7DC0" w:rsidRPr="00B0068E" w:rsidRDefault="008A7DC0" w:rsidP="00464A3A">
      <w:pPr>
        <w:pStyle w:val="SCCNormalDoubleSpacing"/>
        <w:spacing w:after="240" w:line="240" w:lineRule="auto"/>
        <w:ind w:left="540" w:hanging="540"/>
        <w:rPr>
          <w:lang w:val="en-US"/>
        </w:rPr>
      </w:pPr>
      <w:r w:rsidRPr="009D7FA7">
        <w:rPr>
          <w:lang w:val="fr-CA"/>
        </w:rPr>
        <w:lastRenderedPageBreak/>
        <w:t>Canada.  Commission de r</w:t>
      </w:r>
      <w:r w:rsidR="00E524AB">
        <w:rPr>
          <w:lang w:val="fr-CA"/>
        </w:rPr>
        <w:t>é</w:t>
      </w:r>
      <w:r w:rsidRPr="009D7FA7">
        <w:rPr>
          <w:lang w:val="fr-CA"/>
        </w:rPr>
        <w:t xml:space="preserve">forme du droit.  </w:t>
      </w:r>
      <w:r w:rsidRPr="009D7FA7">
        <w:rPr>
          <w:i/>
          <w:lang w:val="fr-CA"/>
        </w:rPr>
        <w:t>Rapport sur la preuve</w:t>
      </w:r>
      <w:r w:rsidRPr="009D7FA7">
        <w:rPr>
          <w:lang w:val="fr-CA"/>
        </w:rPr>
        <w:t xml:space="preserve">.  </w:t>
      </w:r>
      <w:proofErr w:type="gramStart"/>
      <w:r w:rsidRPr="00B0068E">
        <w:rPr>
          <w:lang w:val="en-US"/>
        </w:rPr>
        <w:t>Ottawa :</w:t>
      </w:r>
      <w:proofErr w:type="gramEnd"/>
      <w:r w:rsidRPr="00B0068E">
        <w:rPr>
          <w:lang w:val="en-US"/>
        </w:rPr>
        <w:t xml:space="preserve"> Information Canada, 1975.</w:t>
      </w:r>
    </w:p>
    <w:p w:rsidR="000C7B99" w:rsidRPr="009D7FA7" w:rsidRDefault="000C7B99" w:rsidP="00A25928">
      <w:pPr>
        <w:pStyle w:val="SCCNormalDoubleSpacing"/>
        <w:spacing w:after="240" w:line="240" w:lineRule="auto"/>
        <w:ind w:left="540" w:hanging="540"/>
        <w:rPr>
          <w:lang w:val="en-US"/>
        </w:rPr>
      </w:pPr>
      <w:r w:rsidRPr="009D7FA7">
        <w:rPr>
          <w:lang w:val="en-US"/>
        </w:rPr>
        <w:t>Dennis, I.</w:t>
      </w:r>
      <w:r w:rsidR="007A520A" w:rsidRPr="009D7FA7">
        <w:rPr>
          <w:lang w:val="en-US"/>
        </w:rPr>
        <w:t> </w:t>
      </w:r>
      <w:r w:rsidRPr="009D7FA7">
        <w:rPr>
          <w:lang w:val="en-US"/>
        </w:rPr>
        <w:t xml:space="preserve">H.  </w:t>
      </w:r>
      <w:r w:rsidRPr="009D7FA7">
        <w:rPr>
          <w:i/>
          <w:lang w:val="en-US"/>
        </w:rPr>
        <w:t>The Law of Evidence</w:t>
      </w:r>
      <w:r w:rsidR="00935085" w:rsidRPr="009D7FA7">
        <w:rPr>
          <w:lang w:val="en-US"/>
        </w:rPr>
        <w:t xml:space="preserve">, 4th </w:t>
      </w:r>
      <w:proofErr w:type="gramStart"/>
      <w:r w:rsidR="00935085" w:rsidRPr="009D7FA7">
        <w:rPr>
          <w:lang w:val="en-US"/>
        </w:rPr>
        <w:t>ed</w:t>
      </w:r>
      <w:proofErr w:type="gramEnd"/>
      <w:r w:rsidR="00935085" w:rsidRPr="009D7FA7">
        <w:rPr>
          <w:lang w:val="en-US"/>
        </w:rPr>
        <w:t xml:space="preserve">.  </w:t>
      </w:r>
      <w:proofErr w:type="gramStart"/>
      <w:r w:rsidR="00935085" w:rsidRPr="009D7FA7">
        <w:rPr>
          <w:lang w:val="en-US"/>
        </w:rPr>
        <w:t>London :</w:t>
      </w:r>
      <w:proofErr w:type="gramEnd"/>
      <w:r w:rsidR="00935085" w:rsidRPr="009D7FA7">
        <w:rPr>
          <w:lang w:val="en-US"/>
        </w:rPr>
        <w:t xml:space="preserve"> Sweet &amp; Maxwell, 2010</w:t>
      </w:r>
      <w:r w:rsidRPr="009D7FA7">
        <w:rPr>
          <w:lang w:val="en-US"/>
        </w:rPr>
        <w:t>.</w:t>
      </w:r>
    </w:p>
    <w:p w:rsidR="00D34AA2" w:rsidRPr="009D7FA7" w:rsidRDefault="00D34AA2" w:rsidP="00A25928">
      <w:pPr>
        <w:pStyle w:val="SCCNormalDoubleSpacing"/>
        <w:spacing w:after="240" w:line="240" w:lineRule="auto"/>
        <w:ind w:left="540" w:hanging="540"/>
        <w:rPr>
          <w:szCs w:val="24"/>
          <w:lang w:val="en-US"/>
        </w:rPr>
      </w:pPr>
      <w:proofErr w:type="spellStart"/>
      <w:r w:rsidRPr="009D7FA7">
        <w:rPr>
          <w:szCs w:val="24"/>
          <w:lang w:val="en-US"/>
        </w:rPr>
        <w:t>Dufraimont</w:t>
      </w:r>
      <w:proofErr w:type="spellEnd"/>
      <w:r w:rsidRPr="009D7FA7">
        <w:rPr>
          <w:szCs w:val="24"/>
          <w:lang w:val="en-US"/>
        </w:rPr>
        <w:t xml:space="preserve">, Lisa.  </w:t>
      </w:r>
      <w:proofErr w:type="gramStart"/>
      <w:r w:rsidRPr="009D7FA7">
        <w:rPr>
          <w:lang w:val="en-US"/>
        </w:rPr>
        <w:t>Annotation</w:t>
      </w:r>
      <w:r w:rsidRPr="009D7FA7">
        <w:rPr>
          <w:szCs w:val="24"/>
          <w:lang w:val="en-US"/>
        </w:rPr>
        <w:t xml:space="preserve"> to </w:t>
      </w:r>
      <w:r w:rsidRPr="009D7FA7">
        <w:rPr>
          <w:i/>
          <w:szCs w:val="24"/>
          <w:lang w:val="en-US"/>
        </w:rPr>
        <w:t xml:space="preserve">R. v. </w:t>
      </w:r>
      <w:proofErr w:type="spellStart"/>
      <w:r w:rsidRPr="009D7FA7">
        <w:rPr>
          <w:i/>
          <w:szCs w:val="24"/>
          <w:lang w:val="en-US"/>
        </w:rPr>
        <w:t>Baldre</w:t>
      </w:r>
      <w:r w:rsidR="00E524AB">
        <w:rPr>
          <w:i/>
          <w:szCs w:val="24"/>
          <w:lang w:val="en-US"/>
        </w:rPr>
        <w:t>e</w:t>
      </w:r>
      <w:proofErr w:type="spellEnd"/>
      <w:r w:rsidR="00E524AB">
        <w:rPr>
          <w:i/>
          <w:szCs w:val="24"/>
          <w:lang w:val="en-US"/>
        </w:rPr>
        <w:t xml:space="preserve"> </w:t>
      </w:r>
      <w:r w:rsidR="00E524AB" w:rsidRPr="00E524AB">
        <w:rPr>
          <w:szCs w:val="24"/>
          <w:lang w:val="en-US"/>
        </w:rPr>
        <w:t>(2012), 92 C.R. (6th) 331.</w:t>
      </w:r>
      <w:proofErr w:type="gramEnd"/>
    </w:p>
    <w:p w:rsidR="00C7226D" w:rsidRPr="009D7FA7" w:rsidRDefault="00C7226D" w:rsidP="00A25928">
      <w:pPr>
        <w:pStyle w:val="SCCNormalDoubleSpacing"/>
        <w:spacing w:after="240" w:line="240" w:lineRule="auto"/>
        <w:ind w:left="540" w:hanging="540"/>
        <w:rPr>
          <w:szCs w:val="24"/>
          <w:lang w:val="en-US"/>
        </w:rPr>
      </w:pPr>
      <w:proofErr w:type="spellStart"/>
      <w:r w:rsidRPr="009D7FA7">
        <w:rPr>
          <w:szCs w:val="24"/>
          <w:lang w:val="en-US"/>
        </w:rPr>
        <w:t>Finman</w:t>
      </w:r>
      <w:proofErr w:type="spellEnd"/>
      <w:r w:rsidRPr="009D7FA7">
        <w:rPr>
          <w:szCs w:val="24"/>
          <w:lang w:val="en-US"/>
        </w:rPr>
        <w:t xml:space="preserve">, Ted.  « Implied </w:t>
      </w:r>
      <w:r w:rsidRPr="009D7FA7">
        <w:rPr>
          <w:lang w:val="en-US"/>
        </w:rPr>
        <w:t>Assertions</w:t>
      </w:r>
      <w:r w:rsidRPr="009D7FA7">
        <w:rPr>
          <w:szCs w:val="24"/>
          <w:lang w:val="en-US"/>
        </w:rPr>
        <w:t xml:space="preserve"> as </w:t>
      </w:r>
      <w:proofErr w:type="gramStart"/>
      <w:r w:rsidRPr="009D7FA7">
        <w:rPr>
          <w:szCs w:val="24"/>
          <w:lang w:val="en-US"/>
        </w:rPr>
        <w:t>Hearsay</w:t>
      </w:r>
      <w:r w:rsidR="00061ED6" w:rsidRPr="009D7FA7">
        <w:rPr>
          <w:szCs w:val="24"/>
          <w:lang w:val="en-US"/>
        </w:rPr>
        <w:t> :</w:t>
      </w:r>
      <w:proofErr w:type="gramEnd"/>
      <w:r w:rsidRPr="009D7FA7">
        <w:rPr>
          <w:szCs w:val="24"/>
          <w:lang w:val="en-US"/>
        </w:rPr>
        <w:t xml:space="preserve"> Some Criticisms of the Uniform Rules of Evidence » (1962), 14 </w:t>
      </w:r>
      <w:r w:rsidRPr="009D7FA7">
        <w:rPr>
          <w:i/>
          <w:szCs w:val="24"/>
          <w:lang w:val="en-US"/>
        </w:rPr>
        <w:t>Stan. L. Rev.</w:t>
      </w:r>
      <w:r w:rsidRPr="009D7FA7">
        <w:rPr>
          <w:szCs w:val="24"/>
          <w:lang w:val="en-US"/>
        </w:rPr>
        <w:t xml:space="preserve"> 682.</w:t>
      </w:r>
    </w:p>
    <w:p w:rsidR="00CF17EE" w:rsidRPr="009D7FA7" w:rsidRDefault="00D61AC7" w:rsidP="00A25928">
      <w:pPr>
        <w:pStyle w:val="SCCNormalDoubleSpacing"/>
        <w:spacing w:after="240" w:line="240" w:lineRule="auto"/>
        <w:ind w:left="540" w:hanging="540"/>
        <w:rPr>
          <w:szCs w:val="24"/>
          <w:lang w:val="en-US"/>
        </w:rPr>
      </w:pPr>
      <w:r w:rsidRPr="009D7FA7">
        <w:rPr>
          <w:szCs w:val="24"/>
          <w:lang w:val="en-US"/>
        </w:rPr>
        <w:t>Hill, S. </w:t>
      </w:r>
      <w:r w:rsidR="007A520A" w:rsidRPr="009D7FA7">
        <w:rPr>
          <w:szCs w:val="24"/>
          <w:lang w:val="en-US"/>
        </w:rPr>
        <w:t xml:space="preserve">Casey, David M. </w:t>
      </w:r>
      <w:proofErr w:type="spellStart"/>
      <w:r w:rsidR="007A520A" w:rsidRPr="009D7FA7">
        <w:rPr>
          <w:lang w:val="en-US"/>
        </w:rPr>
        <w:t>Tanovich</w:t>
      </w:r>
      <w:proofErr w:type="spellEnd"/>
      <w:r w:rsidR="007A520A" w:rsidRPr="009D7FA7">
        <w:rPr>
          <w:szCs w:val="24"/>
          <w:lang w:val="en-US"/>
        </w:rPr>
        <w:t xml:space="preserve"> and Louis </w:t>
      </w:r>
      <w:r w:rsidR="00061ED6" w:rsidRPr="009D7FA7">
        <w:rPr>
          <w:szCs w:val="24"/>
          <w:lang w:val="en-US"/>
        </w:rPr>
        <w:t>P. </w:t>
      </w:r>
      <w:proofErr w:type="spellStart"/>
      <w:r w:rsidR="00CF17EE" w:rsidRPr="009D7FA7">
        <w:rPr>
          <w:szCs w:val="24"/>
          <w:lang w:val="en-US"/>
        </w:rPr>
        <w:t>Strezos</w:t>
      </w:r>
      <w:proofErr w:type="spellEnd"/>
      <w:r w:rsidR="00CF17EE" w:rsidRPr="009D7FA7">
        <w:rPr>
          <w:szCs w:val="24"/>
          <w:lang w:val="en-US"/>
        </w:rPr>
        <w:t xml:space="preserve">, </w:t>
      </w:r>
      <w:proofErr w:type="gramStart"/>
      <w:r w:rsidR="00CF17EE" w:rsidRPr="009D7FA7">
        <w:rPr>
          <w:szCs w:val="24"/>
          <w:lang w:val="en-US"/>
        </w:rPr>
        <w:t>eds</w:t>
      </w:r>
      <w:proofErr w:type="gramEnd"/>
      <w:r w:rsidR="00CF17EE" w:rsidRPr="009D7FA7">
        <w:rPr>
          <w:szCs w:val="24"/>
          <w:lang w:val="en-US"/>
        </w:rPr>
        <w:t xml:space="preserve">.  </w:t>
      </w:r>
      <w:r w:rsidR="00CF17EE" w:rsidRPr="009D7FA7">
        <w:rPr>
          <w:i/>
          <w:szCs w:val="24"/>
          <w:lang w:val="en-US"/>
        </w:rPr>
        <w:t>McWilliams’ Canadian Criminal Evidence</w:t>
      </w:r>
      <w:r w:rsidR="007A520A" w:rsidRPr="009D7FA7">
        <w:rPr>
          <w:szCs w:val="24"/>
          <w:lang w:val="en-US"/>
        </w:rPr>
        <w:t xml:space="preserve">, </w:t>
      </w:r>
      <w:r w:rsidR="00061ED6" w:rsidRPr="009D7FA7">
        <w:rPr>
          <w:szCs w:val="24"/>
          <w:lang w:val="en-US"/>
        </w:rPr>
        <w:t>vol. </w:t>
      </w:r>
      <w:r w:rsidR="00CF17EE" w:rsidRPr="009D7FA7">
        <w:rPr>
          <w:szCs w:val="24"/>
          <w:lang w:val="en-US"/>
        </w:rPr>
        <w:t xml:space="preserve">1, 4th </w:t>
      </w:r>
      <w:proofErr w:type="gramStart"/>
      <w:r w:rsidR="00CF17EE" w:rsidRPr="009D7FA7">
        <w:rPr>
          <w:szCs w:val="24"/>
          <w:lang w:val="en-US"/>
        </w:rPr>
        <w:t>ed</w:t>
      </w:r>
      <w:proofErr w:type="gramEnd"/>
      <w:r w:rsidR="00CF17EE" w:rsidRPr="009D7FA7">
        <w:rPr>
          <w:szCs w:val="24"/>
          <w:lang w:val="en-US"/>
        </w:rPr>
        <w:t>.  Aurora, Ont</w:t>
      </w:r>
      <w:proofErr w:type="gramStart"/>
      <w:r w:rsidR="00CF17EE" w:rsidRPr="009D7FA7">
        <w:rPr>
          <w:szCs w:val="24"/>
          <w:lang w:val="en-US"/>
        </w:rPr>
        <w:t>.</w:t>
      </w:r>
      <w:r w:rsidR="00061ED6" w:rsidRPr="009D7FA7">
        <w:rPr>
          <w:szCs w:val="24"/>
          <w:lang w:val="en-US"/>
        </w:rPr>
        <w:t> :</w:t>
      </w:r>
      <w:proofErr w:type="gramEnd"/>
      <w:r w:rsidR="00CF17EE" w:rsidRPr="009D7FA7">
        <w:rPr>
          <w:szCs w:val="24"/>
          <w:lang w:val="en-US"/>
        </w:rPr>
        <w:t xml:space="preserve"> Canada Law Book, 2003 (loose</w:t>
      </w:r>
      <w:r w:rsidR="00CF17EE" w:rsidRPr="009D7FA7">
        <w:rPr>
          <w:rFonts w:eastAsia="MS Mincho"/>
          <w:szCs w:val="24"/>
          <w:lang w:val="en-US"/>
        </w:rPr>
        <w:t>‑</w:t>
      </w:r>
      <w:r w:rsidR="00CF17EE" w:rsidRPr="009D7FA7">
        <w:rPr>
          <w:szCs w:val="24"/>
          <w:lang w:val="en-US"/>
        </w:rPr>
        <w:t>leaf updated March 2012</w:t>
      </w:r>
      <w:r w:rsidR="007A520A" w:rsidRPr="009D7FA7">
        <w:rPr>
          <w:szCs w:val="24"/>
          <w:lang w:val="en-US"/>
        </w:rPr>
        <w:t>, release </w:t>
      </w:r>
      <w:r w:rsidR="00CF17EE" w:rsidRPr="009D7FA7">
        <w:rPr>
          <w:szCs w:val="24"/>
          <w:lang w:val="en-US"/>
        </w:rPr>
        <w:t>22).</w:t>
      </w:r>
    </w:p>
    <w:p w:rsidR="004F57B8" w:rsidRPr="009D7FA7" w:rsidRDefault="00464A3A" w:rsidP="004F57B8">
      <w:pPr>
        <w:pStyle w:val="SCCNormalDoubleSpacing"/>
        <w:spacing w:after="240" w:line="240" w:lineRule="auto"/>
        <w:ind w:left="540" w:hanging="540"/>
        <w:rPr>
          <w:szCs w:val="24"/>
          <w:lang w:val="en-US"/>
        </w:rPr>
      </w:pPr>
      <w:r w:rsidRPr="009D7FA7">
        <w:rPr>
          <w:lang w:val="en-US"/>
        </w:rPr>
        <w:t>McCormick, Charles </w:t>
      </w:r>
      <w:r w:rsidR="004F57B8" w:rsidRPr="009D7FA7">
        <w:rPr>
          <w:lang w:val="en-US"/>
        </w:rPr>
        <w:t xml:space="preserve">T.  </w:t>
      </w:r>
      <w:proofErr w:type="gramStart"/>
      <w:r w:rsidR="004F57B8" w:rsidRPr="009D7FA7">
        <w:rPr>
          <w:lang w:val="en-US"/>
        </w:rPr>
        <w:t xml:space="preserve">« The Borderland of Hearsay » (1930), 39 </w:t>
      </w:r>
      <w:r w:rsidR="004F57B8" w:rsidRPr="009D7FA7">
        <w:rPr>
          <w:i/>
          <w:lang w:val="en-US"/>
        </w:rPr>
        <w:t>Yale L.J.</w:t>
      </w:r>
      <w:r w:rsidR="004F57B8" w:rsidRPr="009D7FA7">
        <w:rPr>
          <w:lang w:val="en-US"/>
        </w:rPr>
        <w:t xml:space="preserve"> 489.</w:t>
      </w:r>
      <w:proofErr w:type="gramEnd"/>
    </w:p>
    <w:p w:rsidR="00F41D75" w:rsidRPr="009D7FA7" w:rsidRDefault="00F41D75" w:rsidP="00464A3A">
      <w:pPr>
        <w:pStyle w:val="SCCNormalDoubleSpacing"/>
        <w:spacing w:after="240" w:line="240" w:lineRule="auto"/>
        <w:ind w:left="540" w:hanging="540"/>
        <w:rPr>
          <w:szCs w:val="24"/>
          <w:lang w:val="en-US"/>
        </w:rPr>
      </w:pPr>
      <w:proofErr w:type="gramStart"/>
      <w:r w:rsidRPr="009D7FA7">
        <w:rPr>
          <w:i/>
          <w:szCs w:val="24"/>
          <w:lang w:val="en-US"/>
        </w:rPr>
        <w:t>McCormick on Evidence</w:t>
      </w:r>
      <w:r w:rsidR="00464A3A" w:rsidRPr="009D7FA7">
        <w:rPr>
          <w:szCs w:val="24"/>
          <w:lang w:val="en-US"/>
        </w:rPr>
        <w:t>, vol. </w:t>
      </w:r>
      <w:r w:rsidRPr="009D7FA7">
        <w:rPr>
          <w:szCs w:val="24"/>
          <w:lang w:val="en-US"/>
        </w:rPr>
        <w:t xml:space="preserve">2, 7th ed. by </w:t>
      </w:r>
      <w:r w:rsidR="00464A3A" w:rsidRPr="009D7FA7">
        <w:rPr>
          <w:szCs w:val="24"/>
          <w:lang w:val="en-US"/>
        </w:rPr>
        <w:t>Kenneth </w:t>
      </w:r>
      <w:r w:rsidRPr="009D7FA7">
        <w:rPr>
          <w:szCs w:val="24"/>
          <w:lang w:val="en-US"/>
        </w:rPr>
        <w:t>S. Broun, General Editor.</w:t>
      </w:r>
      <w:proofErr w:type="gramEnd"/>
      <w:r w:rsidRPr="009D7FA7">
        <w:rPr>
          <w:szCs w:val="24"/>
          <w:lang w:val="en-US"/>
        </w:rPr>
        <w:t xml:space="preserve">  Eagan, Minn</w:t>
      </w:r>
      <w:proofErr w:type="gramStart"/>
      <w:r w:rsidRPr="009D7FA7">
        <w:rPr>
          <w:szCs w:val="24"/>
          <w:lang w:val="en-US"/>
        </w:rPr>
        <w:t>. :</w:t>
      </w:r>
      <w:proofErr w:type="gramEnd"/>
      <w:r w:rsidRPr="009D7FA7">
        <w:rPr>
          <w:szCs w:val="24"/>
          <w:lang w:val="en-US"/>
        </w:rPr>
        <w:t xml:space="preserve"> Thomson Reuters, 2013. </w:t>
      </w:r>
    </w:p>
    <w:p w:rsidR="000B7868" w:rsidRPr="009D7FA7" w:rsidRDefault="000B7868" w:rsidP="00464A3A">
      <w:pPr>
        <w:pStyle w:val="SCCNormalDoubleSpacing"/>
        <w:spacing w:after="240" w:line="240" w:lineRule="auto"/>
        <w:ind w:left="540" w:hanging="540"/>
        <w:rPr>
          <w:lang w:val="en-US"/>
        </w:rPr>
      </w:pPr>
      <w:proofErr w:type="spellStart"/>
      <w:proofErr w:type="gramStart"/>
      <w:r w:rsidRPr="009D7FA7">
        <w:rPr>
          <w:lang w:val="en-US"/>
        </w:rPr>
        <w:t>Paciocco</w:t>
      </w:r>
      <w:proofErr w:type="spellEnd"/>
      <w:r w:rsidRPr="009D7FA7">
        <w:rPr>
          <w:lang w:val="en-US"/>
        </w:rPr>
        <w:t>, David</w:t>
      </w:r>
      <w:r w:rsidR="00464A3A" w:rsidRPr="009D7FA7">
        <w:rPr>
          <w:lang w:val="en-US"/>
        </w:rPr>
        <w:t> </w:t>
      </w:r>
      <w:r w:rsidR="001470F2">
        <w:rPr>
          <w:lang w:val="en-US"/>
        </w:rPr>
        <w:t xml:space="preserve">M., and Lee </w:t>
      </w:r>
      <w:proofErr w:type="spellStart"/>
      <w:r w:rsidR="001470F2">
        <w:rPr>
          <w:lang w:val="en-US"/>
        </w:rPr>
        <w:t>Stuesser</w:t>
      </w:r>
      <w:proofErr w:type="spellEnd"/>
      <w:r w:rsidR="001470F2">
        <w:rPr>
          <w:lang w:val="en-US"/>
        </w:rPr>
        <w:t>.</w:t>
      </w:r>
      <w:proofErr w:type="gramEnd"/>
      <w:r w:rsidRPr="009D7FA7">
        <w:rPr>
          <w:lang w:val="en-US"/>
        </w:rPr>
        <w:t xml:space="preserve"> </w:t>
      </w:r>
      <w:r w:rsidR="001470F2" w:rsidRPr="009D7FA7">
        <w:rPr>
          <w:i/>
          <w:lang w:val="en-US"/>
        </w:rPr>
        <w:t>The Law of Evidence</w:t>
      </w:r>
      <w:r w:rsidR="001470F2" w:rsidRPr="001470F2">
        <w:rPr>
          <w:lang w:val="en-US"/>
        </w:rPr>
        <w:t xml:space="preserve">, </w:t>
      </w:r>
      <w:r w:rsidRPr="009D7FA7">
        <w:rPr>
          <w:lang w:val="en-US"/>
        </w:rPr>
        <w:t xml:space="preserve">6th </w:t>
      </w:r>
      <w:proofErr w:type="gramStart"/>
      <w:r w:rsidRPr="009D7FA7">
        <w:rPr>
          <w:lang w:val="en-US"/>
        </w:rPr>
        <w:t>ed</w:t>
      </w:r>
      <w:proofErr w:type="gramEnd"/>
      <w:r w:rsidRPr="009D7FA7">
        <w:rPr>
          <w:lang w:val="en-US"/>
        </w:rPr>
        <w:t xml:space="preserve">. </w:t>
      </w:r>
      <w:r w:rsidR="001470F2">
        <w:rPr>
          <w:lang w:val="en-US"/>
        </w:rPr>
        <w:t xml:space="preserve"> </w:t>
      </w:r>
      <w:proofErr w:type="gramStart"/>
      <w:r w:rsidRPr="009D7FA7">
        <w:rPr>
          <w:lang w:val="en-US"/>
        </w:rPr>
        <w:t>Toronto :</w:t>
      </w:r>
      <w:proofErr w:type="gramEnd"/>
      <w:r w:rsidRPr="009D7FA7">
        <w:rPr>
          <w:lang w:val="en-US"/>
        </w:rPr>
        <w:t xml:space="preserve"> Irwin Law, 2011.</w:t>
      </w:r>
    </w:p>
    <w:p w:rsidR="00E23ACA" w:rsidRPr="009D7FA7" w:rsidRDefault="00E23ACA" w:rsidP="00A25928">
      <w:pPr>
        <w:pStyle w:val="SCCNormalDoubleSpacing"/>
        <w:spacing w:after="240" w:line="240" w:lineRule="auto"/>
        <w:ind w:left="540" w:hanging="540"/>
        <w:rPr>
          <w:szCs w:val="24"/>
          <w:lang w:val="en-US"/>
        </w:rPr>
      </w:pPr>
      <w:proofErr w:type="spellStart"/>
      <w:proofErr w:type="gramStart"/>
      <w:r w:rsidRPr="009D7FA7">
        <w:rPr>
          <w:i/>
          <w:szCs w:val="24"/>
          <w:lang w:val="en-US"/>
        </w:rPr>
        <w:t>Phipson</w:t>
      </w:r>
      <w:proofErr w:type="spellEnd"/>
      <w:r w:rsidRPr="009D7FA7">
        <w:rPr>
          <w:i/>
          <w:szCs w:val="24"/>
          <w:lang w:val="en-US"/>
        </w:rPr>
        <w:t xml:space="preserve"> on Evidence</w:t>
      </w:r>
      <w:r w:rsidRPr="009D7FA7">
        <w:rPr>
          <w:szCs w:val="24"/>
          <w:lang w:val="en-US"/>
        </w:rPr>
        <w:t>, 17th</w:t>
      </w:r>
      <w:r w:rsidR="007A520A" w:rsidRPr="009D7FA7">
        <w:rPr>
          <w:szCs w:val="24"/>
          <w:lang w:val="en-US"/>
        </w:rPr>
        <w:t xml:space="preserve"> ed. by </w:t>
      </w:r>
      <w:r w:rsidR="007A520A" w:rsidRPr="009D7FA7">
        <w:rPr>
          <w:lang w:val="en-US"/>
        </w:rPr>
        <w:t>Hodge</w:t>
      </w:r>
      <w:r w:rsidR="007A520A" w:rsidRPr="009D7FA7">
        <w:rPr>
          <w:szCs w:val="24"/>
          <w:lang w:val="en-US"/>
        </w:rPr>
        <w:t> </w:t>
      </w:r>
      <w:r w:rsidRPr="009D7FA7">
        <w:rPr>
          <w:szCs w:val="24"/>
          <w:lang w:val="en-US"/>
        </w:rPr>
        <w:t xml:space="preserve">C. </w:t>
      </w:r>
      <w:proofErr w:type="spellStart"/>
      <w:r w:rsidRPr="009D7FA7">
        <w:rPr>
          <w:szCs w:val="24"/>
          <w:lang w:val="en-US"/>
        </w:rPr>
        <w:t>Malek</w:t>
      </w:r>
      <w:proofErr w:type="spellEnd"/>
      <w:r w:rsidRPr="009D7FA7">
        <w:rPr>
          <w:szCs w:val="24"/>
          <w:lang w:val="en-US"/>
        </w:rPr>
        <w:t xml:space="preserve"> et </w:t>
      </w:r>
      <w:r w:rsidR="00061ED6" w:rsidRPr="009D7FA7">
        <w:rPr>
          <w:szCs w:val="24"/>
          <w:lang w:val="en-US"/>
        </w:rPr>
        <w:t>al.</w:t>
      </w:r>
      <w:proofErr w:type="gramEnd"/>
      <w:r w:rsidR="00061ED6" w:rsidRPr="009D7FA7">
        <w:rPr>
          <w:szCs w:val="24"/>
          <w:lang w:val="en-US"/>
        </w:rPr>
        <w:t> </w:t>
      </w:r>
      <w:r w:rsidRPr="009D7FA7">
        <w:rPr>
          <w:szCs w:val="24"/>
          <w:lang w:val="en-US"/>
        </w:rPr>
        <w:t xml:space="preserve"> </w:t>
      </w:r>
      <w:proofErr w:type="gramStart"/>
      <w:r w:rsidRPr="009D7FA7">
        <w:rPr>
          <w:szCs w:val="24"/>
          <w:lang w:val="en-US"/>
        </w:rPr>
        <w:t>London</w:t>
      </w:r>
      <w:r w:rsidR="00061ED6" w:rsidRPr="009D7FA7">
        <w:rPr>
          <w:szCs w:val="24"/>
          <w:lang w:val="en-US"/>
        </w:rPr>
        <w:t> :</w:t>
      </w:r>
      <w:proofErr w:type="gramEnd"/>
      <w:r w:rsidRPr="009D7FA7">
        <w:rPr>
          <w:szCs w:val="24"/>
          <w:lang w:val="en-US"/>
        </w:rPr>
        <w:t xml:space="preserve"> Sweet &amp; Maxwell, 2010. </w:t>
      </w:r>
    </w:p>
    <w:p w:rsidR="00AA4FBB" w:rsidRPr="009D7FA7" w:rsidRDefault="00AA4FBB" w:rsidP="003C1219">
      <w:pPr>
        <w:pStyle w:val="SCCNormalDoubleSpacing"/>
        <w:spacing w:after="240" w:line="240" w:lineRule="auto"/>
        <w:ind w:left="540" w:hanging="540"/>
        <w:rPr>
          <w:lang w:val="en-US"/>
        </w:rPr>
      </w:pPr>
      <w:r w:rsidRPr="009D7FA7">
        <w:rPr>
          <w:lang w:val="en-US"/>
        </w:rPr>
        <w:t xml:space="preserve">Rice, </w:t>
      </w:r>
      <w:r w:rsidR="007A520A" w:rsidRPr="009D7FA7">
        <w:rPr>
          <w:lang w:val="en-US"/>
        </w:rPr>
        <w:t>Paul </w:t>
      </w:r>
      <w:r w:rsidRPr="009D7FA7">
        <w:rPr>
          <w:lang w:val="en-US"/>
        </w:rPr>
        <w:t xml:space="preserve">R.  « Should Unintended Implications of Speech be Considered </w:t>
      </w:r>
      <w:proofErr w:type="spellStart"/>
      <w:r w:rsidRPr="009D7FA7">
        <w:rPr>
          <w:lang w:val="en-US"/>
        </w:rPr>
        <w:t>Nonhearsay</w:t>
      </w:r>
      <w:proofErr w:type="spellEnd"/>
      <w:r w:rsidRPr="009D7FA7">
        <w:rPr>
          <w:lang w:val="en-US"/>
        </w:rPr>
        <w:t xml:space="preserve">? </w:t>
      </w:r>
      <w:r w:rsidR="007A520A" w:rsidRPr="009D7FA7">
        <w:rPr>
          <w:lang w:val="en-US"/>
        </w:rPr>
        <w:t xml:space="preserve"> </w:t>
      </w:r>
      <w:r w:rsidRPr="009D7FA7">
        <w:rPr>
          <w:lang w:val="en-US"/>
        </w:rPr>
        <w:t xml:space="preserve">The Assertive/Nonassertive Distinction </w:t>
      </w:r>
      <w:proofErr w:type="gramStart"/>
      <w:r w:rsidRPr="009D7FA7">
        <w:rPr>
          <w:lang w:val="en-US"/>
        </w:rPr>
        <w:t>Under</w:t>
      </w:r>
      <w:proofErr w:type="gramEnd"/>
      <w:r w:rsidRPr="009D7FA7">
        <w:rPr>
          <w:lang w:val="en-US"/>
        </w:rPr>
        <w:t xml:space="preserve"> Rule 801(a) of the Federal Rules of Evidence » (1992), 65 </w:t>
      </w:r>
      <w:r w:rsidRPr="009D7FA7">
        <w:rPr>
          <w:i/>
          <w:lang w:val="en-US"/>
        </w:rPr>
        <w:t>Tem</w:t>
      </w:r>
      <w:r w:rsidR="00061ED6" w:rsidRPr="009D7FA7">
        <w:rPr>
          <w:i/>
          <w:lang w:val="en-US"/>
        </w:rPr>
        <w:t>p. </w:t>
      </w:r>
      <w:r w:rsidRPr="009D7FA7">
        <w:rPr>
          <w:i/>
          <w:lang w:val="en-US"/>
        </w:rPr>
        <w:t>L. Rev.</w:t>
      </w:r>
      <w:r w:rsidRPr="009D7FA7">
        <w:rPr>
          <w:lang w:val="en-US"/>
        </w:rPr>
        <w:t xml:space="preserve"> 529.</w:t>
      </w:r>
    </w:p>
    <w:p w:rsidR="00952027" w:rsidRPr="009D7FA7" w:rsidRDefault="00952027" w:rsidP="00952027">
      <w:pPr>
        <w:pStyle w:val="SCCNormalDoubleSpacing"/>
        <w:spacing w:after="240" w:line="240" w:lineRule="auto"/>
        <w:ind w:left="540" w:hanging="540"/>
        <w:rPr>
          <w:lang w:val="en-US"/>
        </w:rPr>
      </w:pPr>
      <w:r w:rsidRPr="009D7FA7">
        <w:rPr>
          <w:lang w:val="en-US"/>
        </w:rPr>
        <w:t>Schiff, Stanley.  « Evidence</w:t>
      </w:r>
      <w:r w:rsidR="008A6E72">
        <w:rPr>
          <w:lang w:val="en-US"/>
        </w:rPr>
        <w:t xml:space="preserve"> </w:t>
      </w:r>
      <w:r w:rsidRPr="009D7FA7">
        <w:rPr>
          <w:lang w:val="en-US"/>
        </w:rPr>
        <w:t>—</w:t>
      </w:r>
      <w:r w:rsidR="008A6E72">
        <w:rPr>
          <w:lang w:val="en-US"/>
        </w:rPr>
        <w:t xml:space="preserve"> </w:t>
      </w:r>
      <w:r w:rsidRPr="009D7FA7">
        <w:rPr>
          <w:lang w:val="en-US"/>
        </w:rPr>
        <w:t xml:space="preserve">Hearsay and the Hearsay </w:t>
      </w:r>
      <w:proofErr w:type="gramStart"/>
      <w:r w:rsidRPr="009D7FA7">
        <w:rPr>
          <w:lang w:val="en-US"/>
        </w:rPr>
        <w:t>Rule :</w:t>
      </w:r>
      <w:proofErr w:type="gramEnd"/>
      <w:r w:rsidRPr="009D7FA7">
        <w:rPr>
          <w:lang w:val="en-US"/>
        </w:rPr>
        <w:t xml:space="preserve"> A Functional View » (1978), 56 </w:t>
      </w:r>
      <w:r w:rsidRPr="009D7FA7">
        <w:rPr>
          <w:i/>
          <w:lang w:val="en-US"/>
        </w:rPr>
        <w:t>R. du B. can.</w:t>
      </w:r>
      <w:r w:rsidRPr="009D7FA7">
        <w:rPr>
          <w:lang w:val="en-US"/>
        </w:rPr>
        <w:t xml:space="preserve"> 674.</w:t>
      </w:r>
    </w:p>
    <w:p w:rsidR="00CC7FA5" w:rsidRPr="009D7FA7" w:rsidRDefault="00CC7FA5" w:rsidP="00464A3A">
      <w:pPr>
        <w:pStyle w:val="SCCNormalDoubleSpacing"/>
        <w:spacing w:after="240" w:line="240" w:lineRule="auto"/>
        <w:ind w:left="547" w:hanging="547"/>
        <w:rPr>
          <w:lang w:val="en-US"/>
        </w:rPr>
      </w:pPr>
      <w:proofErr w:type="gramStart"/>
      <w:r w:rsidRPr="009D7FA7">
        <w:rPr>
          <w:lang w:val="en-US"/>
        </w:rPr>
        <w:t>Weinstein, Jack B.</w:t>
      </w:r>
      <w:r w:rsidR="001470F2">
        <w:rPr>
          <w:lang w:val="en-US"/>
        </w:rPr>
        <w:t>, and Margaret A. Berger.</w:t>
      </w:r>
      <w:proofErr w:type="gramEnd"/>
      <w:r w:rsidRPr="009D7FA7">
        <w:rPr>
          <w:lang w:val="en-US"/>
        </w:rPr>
        <w:t xml:space="preserve">  </w:t>
      </w:r>
      <w:r w:rsidRPr="009D7FA7">
        <w:rPr>
          <w:i/>
          <w:lang w:val="en-US"/>
        </w:rPr>
        <w:t xml:space="preserve">Weinstein’s </w:t>
      </w:r>
      <w:proofErr w:type="gramStart"/>
      <w:r w:rsidRPr="009D7FA7">
        <w:rPr>
          <w:i/>
          <w:lang w:val="en-US"/>
        </w:rPr>
        <w:t>Evidence :</w:t>
      </w:r>
      <w:proofErr w:type="gramEnd"/>
      <w:r w:rsidRPr="009D7FA7">
        <w:rPr>
          <w:i/>
          <w:lang w:val="en-US"/>
        </w:rPr>
        <w:t xml:space="preserve"> Commentary on Rules of Evidence for the United States Courts and for State Courts</w:t>
      </w:r>
      <w:r w:rsidRPr="009D7FA7">
        <w:rPr>
          <w:lang w:val="en-US"/>
        </w:rPr>
        <w:t xml:space="preserve">, vol. 4.  New </w:t>
      </w:r>
      <w:proofErr w:type="gramStart"/>
      <w:r w:rsidRPr="009D7FA7">
        <w:rPr>
          <w:lang w:val="en-US"/>
        </w:rPr>
        <w:t>York :</w:t>
      </w:r>
      <w:proofErr w:type="gramEnd"/>
      <w:r w:rsidRPr="009D7FA7">
        <w:rPr>
          <w:lang w:val="en-US"/>
        </w:rPr>
        <w:t xml:space="preserve"> Ma</w:t>
      </w:r>
      <w:r w:rsidR="001470F2">
        <w:rPr>
          <w:lang w:val="en-US"/>
        </w:rPr>
        <w:t>t</w:t>
      </w:r>
      <w:r w:rsidRPr="009D7FA7">
        <w:rPr>
          <w:lang w:val="en-US"/>
        </w:rPr>
        <w:t>thew Bender, 1983 (loose</w:t>
      </w:r>
      <w:r w:rsidRPr="009D7FA7">
        <w:rPr>
          <w:lang w:val="en-US"/>
        </w:rPr>
        <w:noBreakHyphen/>
        <w:t>leaf updated August 1990, release 38).</w:t>
      </w:r>
    </w:p>
    <w:p w:rsidR="00C24BA3" w:rsidRPr="009D7FA7" w:rsidRDefault="00C24BA3" w:rsidP="003C1219">
      <w:pPr>
        <w:pStyle w:val="SCCNormalDoubleSpacing"/>
        <w:spacing w:after="720" w:line="240" w:lineRule="auto"/>
        <w:ind w:left="540" w:hanging="540"/>
        <w:rPr>
          <w:lang w:val="fr-CA"/>
        </w:rPr>
      </w:pPr>
      <w:proofErr w:type="spellStart"/>
      <w:r w:rsidRPr="009D7FA7">
        <w:rPr>
          <w:lang w:val="en-US"/>
        </w:rPr>
        <w:t>Wigmore</w:t>
      </w:r>
      <w:proofErr w:type="spellEnd"/>
      <w:r w:rsidRPr="009D7FA7">
        <w:rPr>
          <w:lang w:val="en-US"/>
        </w:rPr>
        <w:t xml:space="preserve">, John Henry.  </w:t>
      </w:r>
      <w:r w:rsidRPr="009D7FA7">
        <w:rPr>
          <w:i/>
          <w:lang w:val="en-US"/>
        </w:rPr>
        <w:t>A Treatise on the Anglo</w:t>
      </w:r>
      <w:r w:rsidR="001470F2">
        <w:rPr>
          <w:rFonts w:eastAsia="MS Mincho"/>
          <w:i/>
          <w:lang w:val="en-US"/>
        </w:rPr>
        <w:t>-</w:t>
      </w:r>
      <w:r w:rsidRPr="009D7FA7">
        <w:rPr>
          <w:i/>
          <w:lang w:val="en-US"/>
        </w:rPr>
        <w:t>American System of Evidence in Trials at Common Law</w:t>
      </w:r>
      <w:r w:rsidR="007A520A" w:rsidRPr="009D7FA7">
        <w:rPr>
          <w:lang w:val="en-US"/>
        </w:rPr>
        <w:t xml:space="preserve">, </w:t>
      </w:r>
      <w:r w:rsidR="00061ED6" w:rsidRPr="009D7FA7">
        <w:rPr>
          <w:lang w:val="en-US"/>
        </w:rPr>
        <w:t>vol. </w:t>
      </w:r>
      <w:r w:rsidRPr="009D7FA7">
        <w:rPr>
          <w:lang w:val="fr-CA"/>
        </w:rPr>
        <w:t xml:space="preserve">III, 2nd </w:t>
      </w:r>
      <w:proofErr w:type="spellStart"/>
      <w:proofErr w:type="gramStart"/>
      <w:r w:rsidRPr="009D7FA7">
        <w:rPr>
          <w:lang w:val="fr-CA"/>
        </w:rPr>
        <w:t>ed</w:t>
      </w:r>
      <w:proofErr w:type="spellEnd"/>
      <w:proofErr w:type="gramEnd"/>
      <w:r w:rsidRPr="009D7FA7">
        <w:rPr>
          <w:lang w:val="fr-CA"/>
        </w:rPr>
        <w:t>.  Boston</w:t>
      </w:r>
      <w:r w:rsidR="00061ED6" w:rsidRPr="009D7FA7">
        <w:rPr>
          <w:lang w:val="fr-CA"/>
        </w:rPr>
        <w:t> :</w:t>
      </w:r>
      <w:r w:rsidRPr="009D7FA7">
        <w:rPr>
          <w:lang w:val="fr-CA"/>
        </w:rPr>
        <w:t xml:space="preserve"> </w:t>
      </w:r>
      <w:proofErr w:type="spellStart"/>
      <w:r w:rsidRPr="009D7FA7">
        <w:rPr>
          <w:lang w:val="fr-CA"/>
        </w:rPr>
        <w:t>Little</w:t>
      </w:r>
      <w:proofErr w:type="spellEnd"/>
      <w:r w:rsidRPr="009D7FA7">
        <w:rPr>
          <w:lang w:val="fr-CA"/>
        </w:rPr>
        <w:t>, Brown &amp; Co., 1923.</w:t>
      </w:r>
    </w:p>
    <w:p w:rsidR="004D7D95" w:rsidRPr="009D7FA7" w:rsidRDefault="004D7D95" w:rsidP="001954BD">
      <w:pPr>
        <w:pStyle w:val="SCCNormalDoubleSpacing"/>
        <w:spacing w:after="480"/>
        <w:rPr>
          <w:lang w:val="fr-CA"/>
        </w:rPr>
      </w:pPr>
      <w:r w:rsidRPr="009D7FA7">
        <w:rPr>
          <w:lang w:val="fr-CA"/>
        </w:rPr>
        <w:tab/>
        <w:t>POURVOI contre un arrêt de la Cour d’appel de l’Ontario</w:t>
      </w:r>
      <w:r w:rsidR="00510E07" w:rsidRPr="009D7FA7">
        <w:rPr>
          <w:lang w:val="fr-CA"/>
        </w:rPr>
        <w:t xml:space="preserve"> (les juges </w:t>
      </w:r>
      <w:proofErr w:type="spellStart"/>
      <w:r w:rsidR="00510E07" w:rsidRPr="009D7FA7">
        <w:rPr>
          <w:lang w:val="fr-CA"/>
        </w:rPr>
        <w:t>Feldman</w:t>
      </w:r>
      <w:proofErr w:type="spellEnd"/>
      <w:r w:rsidR="00510E07" w:rsidRPr="009D7FA7">
        <w:rPr>
          <w:lang w:val="fr-CA"/>
        </w:rPr>
        <w:t xml:space="preserve">, Blair et Watt), 2012 ONCA 138, 109 O.R. (3d) 721, 287 O.A.C. 327, 280 C.C.C. (3d) 191, </w:t>
      </w:r>
      <w:r w:rsidR="0058209F">
        <w:rPr>
          <w:lang w:val="fr-CA"/>
        </w:rPr>
        <w:t xml:space="preserve">92 C.R. (6th) 331, </w:t>
      </w:r>
      <w:r w:rsidR="00510E07" w:rsidRPr="009D7FA7">
        <w:rPr>
          <w:lang w:val="fr-CA"/>
        </w:rPr>
        <w:t xml:space="preserve">[2012] O.J. </w:t>
      </w:r>
      <w:r w:rsidR="00061ED6" w:rsidRPr="009D7FA7">
        <w:rPr>
          <w:lang w:val="fr-CA"/>
        </w:rPr>
        <w:t>No. </w:t>
      </w:r>
      <w:r w:rsidR="00510E07" w:rsidRPr="009D7FA7">
        <w:rPr>
          <w:lang w:val="fr-CA"/>
        </w:rPr>
        <w:t xml:space="preserve">924 (QL), 2012 </w:t>
      </w:r>
      <w:proofErr w:type="spellStart"/>
      <w:r w:rsidR="00510E07" w:rsidRPr="009D7FA7">
        <w:rPr>
          <w:lang w:val="fr-CA"/>
        </w:rPr>
        <w:t>CarswellOnt</w:t>
      </w:r>
      <w:proofErr w:type="spellEnd"/>
      <w:r w:rsidR="00510E07" w:rsidRPr="009D7FA7">
        <w:rPr>
          <w:lang w:val="fr-CA"/>
        </w:rPr>
        <w:t xml:space="preserve"> 1741, qui a annulé la déclaration de culpabilité prononcée contre l’accusé et qui a ordonné la tenue d’un nouveau procès.  </w:t>
      </w:r>
      <w:r w:rsidR="00D35E4D" w:rsidRPr="009D7FA7">
        <w:rPr>
          <w:lang w:val="fr-CA"/>
        </w:rPr>
        <w:t>Pourvoi rejeté.</w:t>
      </w:r>
    </w:p>
    <w:p w:rsidR="00FE0E35" w:rsidRPr="009D7FA7" w:rsidRDefault="00510E07" w:rsidP="001954BD">
      <w:pPr>
        <w:pStyle w:val="SCCNormalDoubleSpacing"/>
        <w:spacing w:after="480"/>
        <w:rPr>
          <w:lang w:val="fr-CA"/>
        </w:rPr>
      </w:pPr>
      <w:r w:rsidRPr="009D7FA7">
        <w:rPr>
          <w:i/>
          <w:lang w:val="fr-CA"/>
        </w:rPr>
        <w:lastRenderedPageBreak/>
        <w:tab/>
      </w:r>
      <w:r w:rsidR="007A520A" w:rsidRPr="009D7FA7">
        <w:rPr>
          <w:i/>
          <w:lang w:val="fr-CA"/>
        </w:rPr>
        <w:t>James </w:t>
      </w:r>
      <w:r w:rsidR="00D35E4D" w:rsidRPr="009D7FA7">
        <w:rPr>
          <w:i/>
          <w:lang w:val="fr-CA"/>
        </w:rPr>
        <w:t>C. Martin</w:t>
      </w:r>
      <w:r w:rsidR="00D35E4D" w:rsidRPr="009D7FA7">
        <w:rPr>
          <w:lang w:val="fr-CA"/>
        </w:rPr>
        <w:t xml:space="preserve"> et </w:t>
      </w:r>
      <w:r w:rsidR="007A520A" w:rsidRPr="009D7FA7">
        <w:rPr>
          <w:i/>
          <w:lang w:val="fr-CA"/>
        </w:rPr>
        <w:t>Brian </w:t>
      </w:r>
      <w:r w:rsidR="00D35E4D" w:rsidRPr="009D7FA7">
        <w:rPr>
          <w:i/>
          <w:lang w:val="fr-CA"/>
        </w:rPr>
        <w:t xml:space="preserve">G. </w:t>
      </w:r>
      <w:proofErr w:type="spellStart"/>
      <w:r w:rsidR="00D35E4D" w:rsidRPr="009D7FA7">
        <w:rPr>
          <w:i/>
          <w:lang w:val="fr-CA"/>
        </w:rPr>
        <w:t>Puddington</w:t>
      </w:r>
      <w:proofErr w:type="spellEnd"/>
      <w:r w:rsidRPr="009D7FA7">
        <w:rPr>
          <w:lang w:val="fr-CA"/>
        </w:rPr>
        <w:t>, pour l</w:t>
      </w:r>
      <w:r w:rsidR="00D35E4D" w:rsidRPr="009D7FA7">
        <w:rPr>
          <w:lang w:val="fr-CA"/>
        </w:rPr>
        <w:t>’</w:t>
      </w:r>
      <w:r w:rsidRPr="009D7FA7">
        <w:rPr>
          <w:lang w:val="fr-CA"/>
        </w:rPr>
        <w:t>appelante.</w:t>
      </w:r>
    </w:p>
    <w:p w:rsidR="00FE0E35" w:rsidRPr="009D7FA7" w:rsidRDefault="00510E07" w:rsidP="001954BD">
      <w:pPr>
        <w:pStyle w:val="SCCNormalDoubleSpacing"/>
        <w:spacing w:after="480"/>
        <w:rPr>
          <w:lang w:val="fr-CA"/>
        </w:rPr>
      </w:pPr>
      <w:r w:rsidRPr="009D7FA7">
        <w:rPr>
          <w:i/>
          <w:lang w:val="fr-CA"/>
        </w:rPr>
        <w:tab/>
        <w:t>Michael Davies</w:t>
      </w:r>
      <w:r w:rsidRPr="009D7FA7">
        <w:rPr>
          <w:lang w:val="fr-CA"/>
        </w:rPr>
        <w:t xml:space="preserve"> et </w:t>
      </w:r>
      <w:r w:rsidRPr="009D7FA7">
        <w:rPr>
          <w:i/>
          <w:lang w:val="fr-CA"/>
        </w:rPr>
        <w:t xml:space="preserve">James </w:t>
      </w:r>
      <w:proofErr w:type="spellStart"/>
      <w:r w:rsidRPr="009D7FA7">
        <w:rPr>
          <w:i/>
          <w:lang w:val="fr-CA"/>
        </w:rPr>
        <w:t>Foord</w:t>
      </w:r>
      <w:proofErr w:type="spellEnd"/>
      <w:r w:rsidRPr="009D7FA7">
        <w:rPr>
          <w:lang w:val="fr-CA"/>
        </w:rPr>
        <w:t>, pour l</w:t>
      </w:r>
      <w:r w:rsidR="00D35E4D" w:rsidRPr="009D7FA7">
        <w:rPr>
          <w:lang w:val="fr-CA"/>
        </w:rPr>
        <w:t>’</w:t>
      </w:r>
      <w:r w:rsidRPr="009D7FA7">
        <w:rPr>
          <w:lang w:val="fr-CA"/>
        </w:rPr>
        <w:t>intimé.</w:t>
      </w:r>
    </w:p>
    <w:p w:rsidR="00FE0E35" w:rsidRPr="009D7FA7" w:rsidRDefault="007A520A" w:rsidP="001954BD">
      <w:pPr>
        <w:pStyle w:val="SCCNormalDoubleSpacing"/>
        <w:spacing w:after="480"/>
        <w:rPr>
          <w:lang w:val="fr-CA"/>
        </w:rPr>
      </w:pPr>
      <w:r w:rsidRPr="009D7FA7">
        <w:rPr>
          <w:i/>
          <w:lang w:val="fr-CA"/>
        </w:rPr>
        <w:tab/>
        <w:t>John </w:t>
      </w:r>
      <w:r w:rsidR="00510E07" w:rsidRPr="009D7FA7">
        <w:rPr>
          <w:i/>
          <w:lang w:val="fr-CA"/>
        </w:rPr>
        <w:t>S. McInnes</w:t>
      </w:r>
      <w:r w:rsidR="00510E07" w:rsidRPr="009D7FA7">
        <w:rPr>
          <w:lang w:val="fr-CA"/>
        </w:rPr>
        <w:t>, pour l</w:t>
      </w:r>
      <w:r w:rsidR="00D35E4D" w:rsidRPr="009D7FA7">
        <w:rPr>
          <w:lang w:val="fr-CA"/>
        </w:rPr>
        <w:t>’</w:t>
      </w:r>
      <w:r w:rsidR="00510E07" w:rsidRPr="009D7FA7">
        <w:rPr>
          <w:lang w:val="fr-CA"/>
        </w:rPr>
        <w:t>intervenant</w:t>
      </w:r>
      <w:r w:rsidR="00D35E4D" w:rsidRPr="009D7FA7">
        <w:rPr>
          <w:lang w:val="fr-CA"/>
        </w:rPr>
        <w:t xml:space="preserve"> le p</w:t>
      </w:r>
      <w:r w:rsidR="00510E07" w:rsidRPr="009D7FA7">
        <w:rPr>
          <w:lang w:val="fr-CA"/>
        </w:rPr>
        <w:t>rocureur général de l</w:t>
      </w:r>
      <w:r w:rsidR="00D35E4D" w:rsidRPr="009D7FA7">
        <w:rPr>
          <w:lang w:val="fr-CA"/>
        </w:rPr>
        <w:t>’</w:t>
      </w:r>
      <w:r w:rsidR="00510E07" w:rsidRPr="009D7FA7">
        <w:rPr>
          <w:lang w:val="fr-CA"/>
        </w:rPr>
        <w:t>Ontario.</w:t>
      </w:r>
    </w:p>
    <w:p w:rsidR="0053130F" w:rsidRPr="00B76BBD" w:rsidRDefault="00B76BBD" w:rsidP="008A6E72">
      <w:pPr>
        <w:pStyle w:val="JudgeJuge"/>
        <w:spacing w:before="480"/>
        <w:jc w:val="both"/>
        <w:rPr>
          <w:smallCaps w:val="0"/>
          <w:lang w:val="fr-CA"/>
        </w:rPr>
      </w:pPr>
      <w:r>
        <w:rPr>
          <w:lang w:val="fr-CA"/>
        </w:rPr>
        <w:tab/>
      </w:r>
      <w:r>
        <w:rPr>
          <w:smallCaps w:val="0"/>
          <w:lang w:val="fr-CA"/>
        </w:rPr>
        <w:t xml:space="preserve">Version française du jugement de la juge en chef McLachlin et des juges </w:t>
      </w:r>
      <w:proofErr w:type="spellStart"/>
      <w:r>
        <w:rPr>
          <w:smallCaps w:val="0"/>
          <w:lang w:val="fr-CA"/>
        </w:rPr>
        <w:t>LeBel</w:t>
      </w:r>
      <w:proofErr w:type="spellEnd"/>
      <w:r>
        <w:rPr>
          <w:smallCaps w:val="0"/>
          <w:lang w:val="fr-CA"/>
        </w:rPr>
        <w:t xml:space="preserve">, Fish, Abella, </w:t>
      </w:r>
      <w:proofErr w:type="spellStart"/>
      <w:r>
        <w:rPr>
          <w:smallCaps w:val="0"/>
          <w:lang w:val="fr-CA"/>
        </w:rPr>
        <w:t>Rothstein</w:t>
      </w:r>
      <w:proofErr w:type="spellEnd"/>
      <w:r>
        <w:rPr>
          <w:smallCaps w:val="0"/>
          <w:lang w:val="fr-CA"/>
        </w:rPr>
        <w:t xml:space="preserve">, Cromwell, </w:t>
      </w:r>
      <w:proofErr w:type="spellStart"/>
      <w:r>
        <w:rPr>
          <w:smallCaps w:val="0"/>
          <w:lang w:val="fr-CA"/>
        </w:rPr>
        <w:t>Karakatsanis</w:t>
      </w:r>
      <w:proofErr w:type="spellEnd"/>
      <w:r>
        <w:rPr>
          <w:smallCaps w:val="0"/>
          <w:lang w:val="fr-CA"/>
        </w:rPr>
        <w:t xml:space="preserve"> et Wagner rendu par</w:t>
      </w:r>
    </w:p>
    <w:p w:rsidR="009D7689" w:rsidRPr="00D964C7" w:rsidRDefault="009D7689" w:rsidP="009D7689">
      <w:pPr>
        <w:pStyle w:val="JudgeJuge"/>
        <w:spacing w:before="480"/>
        <w:rPr>
          <w:lang w:val="fr-CA"/>
        </w:rPr>
      </w:pPr>
      <w:r w:rsidRPr="00D964C7">
        <w:rPr>
          <w:lang w:val="fr-CA"/>
        </w:rPr>
        <w:tab/>
        <w:t xml:space="preserve">Le juge Fish — </w:t>
      </w:r>
    </w:p>
    <w:p w:rsidR="009D7689" w:rsidRPr="00D964C7" w:rsidRDefault="009D7689" w:rsidP="009D7689">
      <w:pPr>
        <w:pStyle w:val="TitleTitre-AltT"/>
        <w:jc w:val="center"/>
        <w:rPr>
          <w:rFonts w:cs="Times New Roman"/>
          <w:lang w:val="fr-CA"/>
        </w:rPr>
      </w:pPr>
      <w:r w:rsidRPr="00D964C7">
        <w:rPr>
          <w:rFonts w:cs="Times New Roman"/>
          <w:lang w:val="fr-CA"/>
        </w:rPr>
        <w:t>I</w:t>
      </w:r>
    </w:p>
    <w:p w:rsidR="009D7689" w:rsidRPr="00D964C7" w:rsidRDefault="009D7689" w:rsidP="009D7689">
      <w:pPr>
        <w:pStyle w:val="ParaNoNdepar-AltN"/>
        <w:rPr>
          <w:rFonts w:cs="Times New Roman"/>
          <w:lang w:val="fr-CA"/>
        </w:rPr>
      </w:pPr>
      <w:r w:rsidRPr="00D964C7">
        <w:rPr>
          <w:rFonts w:cs="Times New Roman"/>
          <w:lang w:val="fr-CA"/>
        </w:rPr>
        <w:t xml:space="preserve">Une déclaration extrajudiciaire faite par une personne qui n’est pas citée comme témoin au procès est qualifiée, à juste titre, de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lorsqu’elle est présentée en preuve pour établir la véracité de son contenu.</w:t>
      </w:r>
    </w:p>
    <w:p w:rsidR="009D7689" w:rsidRPr="00D964C7" w:rsidRDefault="009D7689" w:rsidP="009D7689">
      <w:pPr>
        <w:pStyle w:val="ParaNoNdepar-AltN"/>
        <w:rPr>
          <w:rFonts w:cs="Times New Roman"/>
          <w:lang w:val="fr-CA"/>
        </w:rPr>
      </w:pPr>
      <w:r w:rsidRPr="00D964C7">
        <w:rPr>
          <w:rFonts w:cs="Times New Roman"/>
          <w:lang w:val="fr-CA"/>
        </w:rPr>
        <w:t xml:space="preserve">Nul ne conteste en l’espèce que la preuve par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est présumée inadmissible en droit.</w:t>
      </w:r>
    </w:p>
    <w:p w:rsidR="009D7689" w:rsidRPr="00D964C7" w:rsidRDefault="009D7689" w:rsidP="009D7689">
      <w:pPr>
        <w:pStyle w:val="ParaNoNdepar-AltN"/>
        <w:rPr>
          <w:rFonts w:cs="Times New Roman"/>
          <w:lang w:val="fr-CA"/>
        </w:rPr>
      </w:pPr>
      <w:r w:rsidRPr="00D964C7">
        <w:rPr>
          <w:rFonts w:cs="Times New Roman"/>
          <w:lang w:val="fr-CA"/>
        </w:rPr>
        <w:t>La seule question en litige est celle de savoir si cette règle d’exclusion s’applique au «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exprès » uniquement, ou si elle s’applique également au «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implicite ».  Compte tenu de la logique et des principes, je suis convaincu que c’est le cas.  </w:t>
      </w:r>
    </w:p>
    <w:p w:rsidR="009D7689" w:rsidRPr="00D964C7" w:rsidRDefault="009D7689" w:rsidP="009D7689">
      <w:pPr>
        <w:pStyle w:val="ParaNoNdepar-AltN"/>
        <w:rPr>
          <w:rFonts w:cs="Times New Roman"/>
          <w:lang w:val="fr-CA"/>
        </w:rPr>
      </w:pPr>
      <w:r w:rsidRPr="00D964C7">
        <w:rPr>
          <w:rFonts w:cs="Times New Roman"/>
          <w:lang w:val="fr-CA"/>
        </w:rPr>
        <w:lastRenderedPageBreak/>
        <w:t>Dans les deux cas, la pertinence de la déclaration extrajudiciaire ne tient pas au</w:t>
      </w:r>
      <w:r w:rsidRPr="00D964C7">
        <w:rPr>
          <w:rFonts w:cs="Times New Roman"/>
          <w:i/>
          <w:lang w:val="fr-CA"/>
        </w:rPr>
        <w:t xml:space="preserve"> fait qu’elle a été faite</w:t>
      </w:r>
      <w:r w:rsidRPr="00D964C7">
        <w:rPr>
          <w:rFonts w:cs="Times New Roman"/>
          <w:lang w:val="fr-CA"/>
        </w:rPr>
        <w:t xml:space="preserve">, mais plutôt à </w:t>
      </w:r>
      <w:r w:rsidRPr="00D964C7">
        <w:rPr>
          <w:rFonts w:cs="Times New Roman"/>
          <w:i/>
          <w:lang w:val="fr-CA"/>
        </w:rPr>
        <w:t>ce que son contenu vise à établir</w:t>
      </w:r>
      <w:r w:rsidRPr="00D964C7">
        <w:rPr>
          <w:rFonts w:cs="Times New Roman"/>
          <w:lang w:val="fr-CA"/>
        </w:rPr>
        <w:t xml:space="preserve">.  Dans les deux cas, la déclaration en question vise à établir la véracité des propos exprès ou implicites que l’on prête à la personne qui n’a pas été citée comme témoin.  </w:t>
      </w:r>
    </w:p>
    <w:p w:rsidR="009D7689" w:rsidRPr="00D964C7" w:rsidRDefault="009D7689" w:rsidP="009D7689">
      <w:pPr>
        <w:pStyle w:val="ParaNoNdepar-AltN"/>
        <w:rPr>
          <w:rFonts w:cs="Times New Roman"/>
          <w:lang w:val="fr-CA"/>
        </w:rPr>
      </w:pPr>
      <w:r w:rsidRPr="00D964C7">
        <w:rPr>
          <w:rFonts w:cs="Times New Roman"/>
          <w:lang w:val="fr-CA"/>
        </w:rPr>
        <w:t xml:space="preserve">En ce qui concerne la pertinence sur le plan de la logique, il n’y a donc aucune distinction substantielle entre </w:t>
      </w:r>
      <w:proofErr w:type="gramStart"/>
      <w:r w:rsidRPr="00D964C7">
        <w:rPr>
          <w:rFonts w:cs="Times New Roman"/>
          <w:lang w:val="fr-CA"/>
        </w:rPr>
        <w:t xml:space="preserve">le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xml:space="preserve"> exprès et le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implicite.  Les raisons de principe qui sous-tendent la présomption d’inadmissibilité s’appliquent également aux deux catégories </w:t>
      </w:r>
      <w:proofErr w:type="gramStart"/>
      <w:r w:rsidRPr="00D964C7">
        <w:rPr>
          <w:rFonts w:cs="Times New Roman"/>
          <w:lang w:val="fr-CA"/>
        </w:rPr>
        <w:t xml:space="preserve">de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w:t>
      </w:r>
    </w:p>
    <w:p w:rsidR="009D7689" w:rsidRPr="00D964C7" w:rsidRDefault="009D7689" w:rsidP="009D7689">
      <w:pPr>
        <w:pStyle w:val="ParaNoNdepar-AltN"/>
        <w:rPr>
          <w:rFonts w:cs="Times New Roman"/>
          <w:lang w:val="fr-CA"/>
        </w:rPr>
      </w:pPr>
      <w:r w:rsidRPr="00D964C7">
        <w:rPr>
          <w:rFonts w:cs="Times New Roman"/>
          <w:lang w:val="fr-CA"/>
        </w:rPr>
        <w:t xml:space="preserve">Pour les motifs qui précèdent et ceux exposés </w:t>
      </w:r>
      <w:proofErr w:type="spellStart"/>
      <w:r w:rsidRPr="00D964C7">
        <w:rPr>
          <w:rFonts w:cs="Times New Roman"/>
          <w:lang w:val="fr-CA"/>
        </w:rPr>
        <w:t>ci</w:t>
      </w:r>
      <w:r w:rsidRPr="00D964C7">
        <w:rPr>
          <w:rFonts w:cs="Times New Roman"/>
          <w:lang w:val="fr-CA"/>
        </w:rPr>
        <w:noBreakHyphen/>
        <w:t>après</w:t>
      </w:r>
      <w:proofErr w:type="spellEnd"/>
      <w:r w:rsidRPr="00D964C7">
        <w:rPr>
          <w:rFonts w:cs="Times New Roman"/>
          <w:lang w:val="fr-CA"/>
        </w:rPr>
        <w:t xml:space="preserve">, j’estime, tout comme les juges majoritaires de la Cour d’appel, que le juge du procès aurait dû exclure la déclaration extrajudiciaire contestée en l’espèce.  Elle ne relève d’aucune exception traditionnelle à la règle </w:t>
      </w:r>
      <w:proofErr w:type="gramStart"/>
      <w:r w:rsidRPr="00D964C7">
        <w:rPr>
          <w:rFonts w:cs="Times New Roman"/>
          <w:lang w:val="fr-CA"/>
        </w:rPr>
        <w:t xml:space="preserve">du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xml:space="preserve"> et ne présente pas les indices de nécessité et de fiabilité qui pourraient autrement la rendre admissible.</w:t>
      </w:r>
    </w:p>
    <w:p w:rsidR="009D7689" w:rsidRPr="00D964C7" w:rsidRDefault="009D7689" w:rsidP="009D7689">
      <w:pPr>
        <w:pStyle w:val="ParaNoNdepar-AltN"/>
        <w:rPr>
          <w:rFonts w:cs="Times New Roman"/>
          <w:lang w:val="fr-CA"/>
        </w:rPr>
      </w:pPr>
      <w:r w:rsidRPr="00D964C7">
        <w:rPr>
          <w:rFonts w:cs="Times New Roman"/>
          <w:lang w:val="fr-CA"/>
        </w:rPr>
        <w:t>Par conséquent, je suis d’avis de rejeter l’appel interjeté par le ministère public devant notre Cour à l’encontre du jugement de la Cour d’appel.</w:t>
      </w:r>
    </w:p>
    <w:p w:rsidR="009D7689" w:rsidRPr="00D964C7" w:rsidRDefault="009D7689" w:rsidP="009D7689">
      <w:pPr>
        <w:pStyle w:val="TitleTitre-AltT"/>
        <w:jc w:val="center"/>
        <w:rPr>
          <w:rFonts w:cs="Times New Roman"/>
          <w:lang w:val="fr-CA"/>
        </w:rPr>
      </w:pPr>
      <w:r w:rsidRPr="00D964C7">
        <w:rPr>
          <w:rFonts w:cs="Times New Roman"/>
          <w:lang w:val="fr-CA"/>
        </w:rPr>
        <w:t>II</w:t>
      </w:r>
    </w:p>
    <w:p w:rsidR="009D7689" w:rsidRPr="00D964C7" w:rsidRDefault="009D7689" w:rsidP="009D7689">
      <w:pPr>
        <w:pStyle w:val="ParaNoNdepar-AltN"/>
        <w:rPr>
          <w:rFonts w:cs="Times New Roman"/>
          <w:lang w:val="fr-CA"/>
        </w:rPr>
      </w:pPr>
      <w:r w:rsidRPr="00D964C7">
        <w:rPr>
          <w:rFonts w:cs="Times New Roman"/>
          <w:lang w:val="fr-CA"/>
        </w:rPr>
        <w:t xml:space="preserve">Au terme d’un procès devant un juge seul, l’intimé a été déclaré coupable de possession de marihuana et de cocaïne en vue d’en faire le trafic, en contravention au par. 5(2) de la </w:t>
      </w:r>
      <w:r w:rsidRPr="00D964C7">
        <w:rPr>
          <w:rFonts w:cs="Times New Roman"/>
          <w:i/>
          <w:lang w:val="fr-CA"/>
        </w:rPr>
        <w:t>Loi réglementant certaines drogues et autres substances</w:t>
      </w:r>
      <w:r w:rsidRPr="00D964C7">
        <w:rPr>
          <w:rFonts w:cs="Times New Roman"/>
          <w:lang w:val="fr-CA"/>
        </w:rPr>
        <w:t xml:space="preserve">, L.C. 1996, ch. 19.  </w:t>
      </w:r>
    </w:p>
    <w:p w:rsidR="009D7689" w:rsidRPr="00D964C7" w:rsidRDefault="009D7689" w:rsidP="009D7689">
      <w:pPr>
        <w:pStyle w:val="ParaNoNdepar-AltN"/>
        <w:rPr>
          <w:rFonts w:cs="Times New Roman"/>
          <w:lang w:val="fr-CA"/>
        </w:rPr>
      </w:pPr>
      <w:r w:rsidRPr="00D964C7">
        <w:rPr>
          <w:rFonts w:cs="Times New Roman"/>
          <w:lang w:val="fr-CA"/>
        </w:rPr>
        <w:lastRenderedPageBreak/>
        <w:t>Son appel a été accueilli par les juges majoritaires de la Cour d’appel de l’Ontario, qui ont ordonné la tenue d’un nouveau procès.  Le ministère public se pourvoit de plein droit devant la Cour en vertu de l’al. 693(1)</w:t>
      </w:r>
      <w:r w:rsidRPr="00D964C7">
        <w:rPr>
          <w:rFonts w:cs="Times New Roman"/>
          <w:i/>
          <w:lang w:val="fr-CA"/>
        </w:rPr>
        <w:t>a</w:t>
      </w:r>
      <w:r w:rsidRPr="00D964C7">
        <w:rPr>
          <w:rFonts w:cs="Times New Roman"/>
          <w:lang w:val="fr-CA"/>
        </w:rPr>
        <w:t xml:space="preserve">) du </w:t>
      </w:r>
      <w:r w:rsidRPr="00D964C7">
        <w:rPr>
          <w:rFonts w:cs="Times New Roman"/>
          <w:i/>
          <w:lang w:val="fr-CA"/>
        </w:rPr>
        <w:t>Code criminel</w:t>
      </w:r>
      <w:r w:rsidRPr="00D964C7">
        <w:rPr>
          <w:rFonts w:cs="Times New Roman"/>
          <w:lang w:val="fr-CA"/>
        </w:rPr>
        <w:t>, L.R.C. 1985, ch. C</w:t>
      </w:r>
      <w:r w:rsidRPr="00D964C7">
        <w:rPr>
          <w:rFonts w:cs="Times New Roman"/>
          <w:lang w:val="fr-CA"/>
        </w:rPr>
        <w:noBreakHyphen/>
        <w:t>46, sur les questions de droit au sujet desquelles le juge Watt de la Cour d’appel est dissident.</w:t>
      </w:r>
    </w:p>
    <w:p w:rsidR="009D7689" w:rsidRPr="00D964C7" w:rsidRDefault="009D7689" w:rsidP="009D7689">
      <w:pPr>
        <w:pStyle w:val="ParaNoNdepar-AltN"/>
        <w:rPr>
          <w:rFonts w:cs="Times New Roman"/>
          <w:lang w:val="fr-CA"/>
        </w:rPr>
      </w:pPr>
      <w:r w:rsidRPr="00D964C7">
        <w:rPr>
          <w:rFonts w:cs="Times New Roman"/>
          <w:lang w:val="fr-CA"/>
        </w:rPr>
        <w:t>Comme je partage l’avis de la Cour d’appel que la tenue d’un nouveau procès est justifiée, je ne ferai mention des faits que dans la mesure nécessaire pour trancher le présent pourvoi.</w:t>
      </w:r>
    </w:p>
    <w:p w:rsidR="009D7689" w:rsidRPr="00D964C7" w:rsidRDefault="009D7689" w:rsidP="009D7689">
      <w:pPr>
        <w:pStyle w:val="ParaNoNdepar-AltN"/>
        <w:rPr>
          <w:rFonts w:cs="Times New Roman"/>
          <w:lang w:val="fr-CA"/>
        </w:rPr>
      </w:pPr>
      <w:r w:rsidRPr="00D964C7">
        <w:rPr>
          <w:rFonts w:cs="Times New Roman"/>
          <w:lang w:val="fr-CA"/>
        </w:rPr>
        <w:t xml:space="preserve">Le 11 mai 2006, le sergent Shawn </w:t>
      </w:r>
      <w:proofErr w:type="spellStart"/>
      <w:r w:rsidRPr="00D964C7">
        <w:rPr>
          <w:rFonts w:cs="Times New Roman"/>
          <w:lang w:val="fr-CA"/>
        </w:rPr>
        <w:t>Martelle</w:t>
      </w:r>
      <w:proofErr w:type="spellEnd"/>
      <w:r w:rsidRPr="00D964C7">
        <w:rPr>
          <w:rFonts w:cs="Times New Roman"/>
          <w:lang w:val="fr-CA"/>
        </w:rPr>
        <w:t xml:space="preserve"> et l’agent Robert Ouellette de la police de Cornwall ont répondu à un appel concernant une possible introduction par </w:t>
      </w:r>
      <w:r w:rsidR="00D702F7">
        <w:rPr>
          <w:rFonts w:cs="Times New Roman"/>
          <w:lang w:val="fr-CA"/>
        </w:rPr>
        <w:t>ef</w:t>
      </w:r>
      <w:r w:rsidRPr="00D964C7">
        <w:rPr>
          <w:rFonts w:cs="Times New Roman"/>
          <w:lang w:val="fr-CA"/>
        </w:rPr>
        <w:t xml:space="preserve">fraction dans l’appartement d’un dénommé </w:t>
      </w:r>
      <w:proofErr w:type="spellStart"/>
      <w:r w:rsidRPr="00D964C7">
        <w:rPr>
          <w:rFonts w:cs="Times New Roman"/>
          <w:lang w:val="fr-CA"/>
        </w:rPr>
        <w:t>Eric</w:t>
      </w:r>
      <w:proofErr w:type="spellEnd"/>
      <w:r w:rsidRPr="00D964C7">
        <w:rPr>
          <w:rFonts w:cs="Times New Roman"/>
          <w:lang w:val="fr-CA"/>
        </w:rPr>
        <w:t xml:space="preserve"> Lepage.  Ils ont frappé à la porte, et un homme qui a dit s’appeler Chris </w:t>
      </w:r>
      <w:proofErr w:type="spellStart"/>
      <w:r w:rsidR="00D702F7">
        <w:rPr>
          <w:rFonts w:cs="Times New Roman"/>
          <w:lang w:val="fr-CA"/>
        </w:rPr>
        <w:t>Baldree</w:t>
      </w:r>
      <w:proofErr w:type="spellEnd"/>
      <w:r w:rsidR="00D702F7">
        <w:rPr>
          <w:rFonts w:cs="Times New Roman"/>
          <w:lang w:val="fr-CA"/>
        </w:rPr>
        <w:t xml:space="preserve"> les a laissé</w:t>
      </w:r>
      <w:r w:rsidRPr="00D964C7">
        <w:rPr>
          <w:rFonts w:cs="Times New Roman"/>
          <w:lang w:val="fr-CA"/>
        </w:rPr>
        <w:t xml:space="preserve"> entrer.  Une fois à l’intérieur, les policiers ont immédiatement détecté une odeur de marihuana et ont découvert des « joints » et de petites cocottes de marihuana dans un cendrier.</w:t>
      </w:r>
    </w:p>
    <w:p w:rsidR="009D7689" w:rsidRPr="00D964C7" w:rsidRDefault="009D7689" w:rsidP="009D7689">
      <w:pPr>
        <w:pStyle w:val="ParaNoNdepar-AltN"/>
        <w:rPr>
          <w:rFonts w:cs="Times New Roman"/>
          <w:lang w:val="fr-CA"/>
        </w:rPr>
      </w:pPr>
      <w:r w:rsidRPr="00D964C7">
        <w:rPr>
          <w:rFonts w:cs="Times New Roman"/>
          <w:lang w:val="fr-CA"/>
        </w:rPr>
        <w:t xml:space="preserve">Dans la penderie de la chambre d’amis, le sergent </w:t>
      </w:r>
      <w:proofErr w:type="spellStart"/>
      <w:r w:rsidRPr="00D964C7">
        <w:rPr>
          <w:rFonts w:cs="Times New Roman"/>
          <w:lang w:val="fr-CA"/>
        </w:rPr>
        <w:t>Ma</w:t>
      </w:r>
      <w:r w:rsidR="00D702F7">
        <w:rPr>
          <w:rFonts w:cs="Times New Roman"/>
          <w:lang w:val="fr-CA"/>
        </w:rPr>
        <w:t>rtelle</w:t>
      </w:r>
      <w:proofErr w:type="spellEnd"/>
      <w:r w:rsidR="00D702F7">
        <w:rPr>
          <w:rFonts w:cs="Times New Roman"/>
          <w:lang w:val="fr-CA"/>
        </w:rPr>
        <w:t xml:space="preserve"> a découvert un coffre-</w:t>
      </w:r>
      <w:r w:rsidRPr="00D964C7">
        <w:rPr>
          <w:rFonts w:cs="Times New Roman"/>
          <w:lang w:val="fr-CA"/>
        </w:rPr>
        <w:t xml:space="preserve">fort ouvert dans lequel se trouvait un sac à sandwich contenant 90 grammes de cocaïne et, à côté du </w:t>
      </w:r>
      <w:proofErr w:type="spellStart"/>
      <w:r w:rsidRPr="00D964C7">
        <w:rPr>
          <w:rFonts w:cs="Times New Roman"/>
          <w:lang w:val="fr-CA"/>
        </w:rPr>
        <w:t>coffre</w:t>
      </w:r>
      <w:r w:rsidRPr="00D964C7">
        <w:rPr>
          <w:rFonts w:cs="Times New Roman"/>
          <w:lang w:val="fr-CA"/>
        </w:rPr>
        <w:noBreakHyphen/>
        <w:t>fort</w:t>
      </w:r>
      <w:proofErr w:type="spellEnd"/>
      <w:r w:rsidRPr="00D964C7">
        <w:rPr>
          <w:rFonts w:cs="Times New Roman"/>
          <w:lang w:val="fr-CA"/>
        </w:rPr>
        <w:t xml:space="preserve">, une grande boîte en carton renfermant un sac </w:t>
      </w:r>
      <w:proofErr w:type="spellStart"/>
      <w:r w:rsidRPr="00D964C7">
        <w:rPr>
          <w:rFonts w:cs="Times New Roman"/>
          <w:lang w:val="fr-CA"/>
        </w:rPr>
        <w:t>ziploc</w:t>
      </w:r>
      <w:r w:rsidR="00D702F7">
        <w:rPr>
          <w:rFonts w:cs="Times New Roman"/>
          <w:lang w:val="fr-CA"/>
        </w:rPr>
        <w:t>k</w:t>
      </w:r>
      <w:proofErr w:type="spellEnd"/>
      <w:r w:rsidRPr="00D964C7">
        <w:rPr>
          <w:rFonts w:cs="Times New Roman"/>
          <w:lang w:val="fr-CA"/>
        </w:rPr>
        <w:t xml:space="preserve"> contenant 511 grammes de marihuana.</w:t>
      </w:r>
    </w:p>
    <w:p w:rsidR="009D7689" w:rsidRPr="00D964C7" w:rsidRDefault="009D7689" w:rsidP="009D7689">
      <w:pPr>
        <w:pStyle w:val="ParaNoNdepar-AltN"/>
        <w:rPr>
          <w:rFonts w:cs="Times New Roman"/>
          <w:lang w:val="fr-CA"/>
        </w:rPr>
      </w:pPr>
      <w:r w:rsidRPr="00D964C7">
        <w:rPr>
          <w:rFonts w:cs="Times New Roman"/>
          <w:lang w:val="fr-CA"/>
        </w:rPr>
        <w:t>M. </w:t>
      </w:r>
      <w:proofErr w:type="spellStart"/>
      <w:r w:rsidRPr="00D964C7">
        <w:rPr>
          <w:rFonts w:cs="Times New Roman"/>
          <w:lang w:val="fr-CA"/>
        </w:rPr>
        <w:t>Baldree</w:t>
      </w:r>
      <w:proofErr w:type="spellEnd"/>
      <w:r w:rsidRPr="00D964C7">
        <w:rPr>
          <w:rFonts w:cs="Times New Roman"/>
          <w:lang w:val="fr-CA"/>
        </w:rPr>
        <w:t xml:space="preserve"> et trois autres personnes qui se trouvaient dans l’appartement ont été arrêtés.  Les policiers ont saisi le téléphone cellulaire du premier ainsi que l’argent qu’ils ont trouvé en sa possession.</w:t>
      </w:r>
    </w:p>
    <w:p w:rsidR="009D7689" w:rsidRPr="00D964C7" w:rsidRDefault="009D7689" w:rsidP="009D7689">
      <w:pPr>
        <w:pStyle w:val="ParaNoNdepar-AltN"/>
        <w:rPr>
          <w:rFonts w:cs="Times New Roman"/>
          <w:lang w:val="fr-CA"/>
        </w:rPr>
      </w:pPr>
      <w:r w:rsidRPr="00D964C7">
        <w:rPr>
          <w:rFonts w:cs="Times New Roman"/>
          <w:lang w:val="fr-CA"/>
        </w:rPr>
        <w:lastRenderedPageBreak/>
        <w:t>Au poste de police, le téléphone de M. </w:t>
      </w:r>
      <w:proofErr w:type="spellStart"/>
      <w:r w:rsidRPr="00D964C7">
        <w:rPr>
          <w:rFonts w:cs="Times New Roman"/>
          <w:lang w:val="fr-CA"/>
        </w:rPr>
        <w:t>Baldree</w:t>
      </w:r>
      <w:proofErr w:type="spellEnd"/>
      <w:r w:rsidRPr="00D964C7">
        <w:rPr>
          <w:rFonts w:cs="Times New Roman"/>
          <w:lang w:val="fr-CA"/>
        </w:rPr>
        <w:t xml:space="preserve"> a sonné.  Le sergent  </w:t>
      </w:r>
      <w:proofErr w:type="spellStart"/>
      <w:r w:rsidRPr="00D964C7">
        <w:rPr>
          <w:rFonts w:cs="Times New Roman"/>
          <w:lang w:val="fr-CA"/>
        </w:rPr>
        <w:t>Martelle</w:t>
      </w:r>
      <w:proofErr w:type="spellEnd"/>
      <w:r w:rsidRPr="00D964C7">
        <w:rPr>
          <w:rFonts w:cs="Times New Roman"/>
          <w:lang w:val="fr-CA"/>
        </w:rPr>
        <w:t xml:space="preserve"> a répondu.  Lors du procès, il a ainsi décrit l’appel :</w:t>
      </w:r>
    </w:p>
    <w:p w:rsidR="009D7689" w:rsidRDefault="00D702F7" w:rsidP="009D7689">
      <w:pPr>
        <w:pStyle w:val="Citation-AltC"/>
        <w:ind w:hanging="32"/>
        <w:rPr>
          <w:smallCaps/>
          <w:lang w:val="fr-CA"/>
        </w:rPr>
      </w:pPr>
      <w:r w:rsidRPr="00D964C7">
        <w:rPr>
          <w:smallCaps/>
          <w:lang w:val="fr-CA"/>
        </w:rPr>
        <w:t xml:space="preserve"> </w:t>
      </w:r>
      <w:r w:rsidR="009D7689" w:rsidRPr="00D964C7">
        <w:rPr>
          <w:smallCaps/>
          <w:lang w:val="fr-CA"/>
        </w:rPr>
        <w:t>[traduction]</w:t>
      </w:r>
    </w:p>
    <w:p w:rsidR="008A6E72" w:rsidRPr="00D964C7" w:rsidRDefault="008A6E72" w:rsidP="009D7689">
      <w:pPr>
        <w:pStyle w:val="Citation-AltC"/>
        <w:ind w:hanging="32"/>
        <w:rPr>
          <w:smallCaps/>
          <w:lang w:val="fr-CA"/>
        </w:rPr>
      </w:pPr>
    </w:p>
    <w:p w:rsidR="009D7689" w:rsidRPr="00D964C7" w:rsidRDefault="009D7689" w:rsidP="009D7689">
      <w:pPr>
        <w:pStyle w:val="Citation-AltC"/>
        <w:spacing w:after="240"/>
        <w:ind w:hanging="1166"/>
        <w:contextualSpacing w:val="0"/>
        <w:rPr>
          <w:lang w:val="fr-CA"/>
        </w:rPr>
      </w:pPr>
      <w:r w:rsidRPr="00D964C7">
        <w:rPr>
          <w:lang w:val="fr-CA"/>
        </w:rPr>
        <w:tab/>
        <w:t>R.  À l’autre bout du fil, un homme a dit qu’il se trouvait au 327, rue Guy, qu’il était un ami de Megan et qu’il voulait parler à Chris.  Sachant que je venais d’arrêter deux personnes du nom de Chris, j’ai demandé « Chris qui? » et l’homme a répondu « </w:t>
      </w:r>
      <w:proofErr w:type="spellStart"/>
      <w:r w:rsidRPr="00D964C7">
        <w:rPr>
          <w:lang w:val="fr-CA"/>
        </w:rPr>
        <w:t>Baldree</w:t>
      </w:r>
      <w:proofErr w:type="spellEnd"/>
      <w:r w:rsidRPr="00D964C7">
        <w:rPr>
          <w:lang w:val="fr-CA"/>
        </w:rPr>
        <w:t> » et a demandé une once de pot.  J’ai alors dit que je menais maintenant le, le bal, que M. </w:t>
      </w:r>
      <w:proofErr w:type="spellStart"/>
      <w:r w:rsidRPr="00D964C7">
        <w:rPr>
          <w:lang w:val="fr-CA"/>
        </w:rPr>
        <w:t>Baldree</w:t>
      </w:r>
      <w:proofErr w:type="spellEnd"/>
      <w:r w:rsidRPr="00D964C7">
        <w:rPr>
          <w:lang w:val="fr-CA"/>
        </w:rPr>
        <w:t xml:space="preserve"> était absent et que je prendrais </w:t>
      </w:r>
      <w:proofErr w:type="gramStart"/>
      <w:r w:rsidRPr="00D964C7">
        <w:rPr>
          <w:lang w:val="fr-CA"/>
        </w:rPr>
        <w:t>sa .</w:t>
      </w:r>
      <w:proofErr w:type="gramEnd"/>
      <w:r w:rsidRPr="00D964C7">
        <w:rPr>
          <w:lang w:val="fr-CA"/>
        </w:rPr>
        <w:t> . .</w:t>
      </w:r>
    </w:p>
    <w:p w:rsidR="009D7689" w:rsidRPr="00D964C7" w:rsidRDefault="009D7689" w:rsidP="009D7689">
      <w:pPr>
        <w:pStyle w:val="Citation-AltC"/>
        <w:spacing w:after="240"/>
        <w:ind w:hanging="1166"/>
        <w:contextualSpacing w:val="0"/>
        <w:rPr>
          <w:lang w:val="fr-CA"/>
        </w:rPr>
      </w:pPr>
      <w:r w:rsidRPr="00D964C7">
        <w:rPr>
          <w:lang w:val="fr-CA"/>
        </w:rPr>
        <w:tab/>
        <w:t>LA COUR : D’accord, pardon, a demandé à parler à Chris.</w:t>
      </w:r>
    </w:p>
    <w:p w:rsidR="009D7689" w:rsidRPr="00D964C7" w:rsidRDefault="009D7689" w:rsidP="009D7689">
      <w:pPr>
        <w:pStyle w:val="Citation-AltC"/>
        <w:spacing w:after="240"/>
        <w:ind w:hanging="1166"/>
        <w:contextualSpacing w:val="0"/>
        <w:rPr>
          <w:lang w:val="fr-CA"/>
        </w:rPr>
      </w:pPr>
      <w:r w:rsidRPr="00D964C7">
        <w:rPr>
          <w:lang w:val="fr-CA"/>
        </w:rPr>
        <w:tab/>
        <w:t xml:space="preserve">R.  Oui, </w:t>
      </w:r>
      <w:proofErr w:type="spellStart"/>
      <w:r w:rsidRPr="00D964C7">
        <w:rPr>
          <w:lang w:val="fr-CA"/>
        </w:rPr>
        <w:t>excusez</w:t>
      </w:r>
      <w:r w:rsidRPr="00D964C7">
        <w:rPr>
          <w:lang w:val="fr-CA"/>
        </w:rPr>
        <w:noBreakHyphen/>
        <w:t>moi</w:t>
      </w:r>
      <w:proofErr w:type="spellEnd"/>
      <w:r w:rsidRPr="00D964C7">
        <w:rPr>
          <w:lang w:val="fr-CA"/>
        </w:rPr>
        <w:t xml:space="preserve"> Votre Honneur.</w:t>
      </w:r>
    </w:p>
    <w:p w:rsidR="009D7689" w:rsidRPr="00D964C7" w:rsidRDefault="009D7689" w:rsidP="009D7689">
      <w:pPr>
        <w:pStyle w:val="Citation-AltC"/>
        <w:spacing w:after="240"/>
        <w:ind w:hanging="1166"/>
        <w:contextualSpacing w:val="0"/>
        <w:rPr>
          <w:lang w:val="fr-CA"/>
        </w:rPr>
      </w:pPr>
      <w:r w:rsidRPr="00D964C7">
        <w:rPr>
          <w:lang w:val="fr-CA"/>
        </w:rPr>
        <w:tab/>
        <w:t>LA COUR : Oui.</w:t>
      </w:r>
    </w:p>
    <w:p w:rsidR="009D7689" w:rsidRPr="00D964C7" w:rsidRDefault="009D7689" w:rsidP="009D7689">
      <w:pPr>
        <w:pStyle w:val="Citation-AltC"/>
        <w:spacing w:after="240"/>
        <w:ind w:hanging="1166"/>
        <w:contextualSpacing w:val="0"/>
        <w:rPr>
          <w:lang w:val="fr-CA"/>
        </w:rPr>
      </w:pPr>
      <w:r w:rsidRPr="00D964C7">
        <w:rPr>
          <w:lang w:val="fr-CA"/>
        </w:rPr>
        <w:tab/>
        <w:t>R.  Et je lui ai posé la question, je lui ai demandé « Chris qui? » et il a répondu « </w:t>
      </w:r>
      <w:proofErr w:type="spellStart"/>
      <w:r w:rsidRPr="00D964C7">
        <w:rPr>
          <w:lang w:val="fr-CA"/>
        </w:rPr>
        <w:t>Baldree</w:t>
      </w:r>
      <w:proofErr w:type="spellEnd"/>
      <w:r w:rsidRPr="00D964C7">
        <w:rPr>
          <w:lang w:val="fr-CA"/>
        </w:rPr>
        <w:t> ».</w:t>
      </w:r>
    </w:p>
    <w:p w:rsidR="009D7689" w:rsidRPr="00D964C7" w:rsidRDefault="009D7689" w:rsidP="009D7689">
      <w:pPr>
        <w:pStyle w:val="Citation-AltC"/>
        <w:spacing w:after="240"/>
        <w:ind w:hanging="1166"/>
        <w:contextualSpacing w:val="0"/>
        <w:rPr>
          <w:lang w:val="fr-CA"/>
        </w:rPr>
      </w:pPr>
      <w:r w:rsidRPr="00D964C7">
        <w:rPr>
          <w:lang w:val="fr-CA"/>
        </w:rPr>
        <w:tab/>
        <w:t>LA COUR : Oui.</w:t>
      </w:r>
    </w:p>
    <w:p w:rsidR="009D7689" w:rsidRPr="00D964C7" w:rsidRDefault="009D7689" w:rsidP="009D7689">
      <w:pPr>
        <w:pStyle w:val="Citation-AltC"/>
        <w:ind w:hanging="1166"/>
        <w:rPr>
          <w:lang w:val="fr-CA"/>
        </w:rPr>
      </w:pPr>
      <w:r w:rsidRPr="00D964C7">
        <w:rPr>
          <w:lang w:val="fr-CA"/>
        </w:rPr>
        <w:tab/>
        <w:t>R.  Il a demandé une once de pot.  Je lui ai alors demandé combien Chris le lui vendait; il a répondu qu’il payait 150 $.  Je lui ai dit ensuite que je livrerais la marchandise au 327, rue Guy, et la conversation s’est alors terminée.  [</w:t>
      </w:r>
      <w:proofErr w:type="gramStart"/>
      <w:r w:rsidR="00D702F7">
        <w:rPr>
          <w:lang w:val="fr-CA"/>
        </w:rPr>
        <w:t>d.a.,</w:t>
      </w:r>
      <w:proofErr w:type="gramEnd"/>
      <w:r w:rsidR="00D702F7">
        <w:rPr>
          <w:lang w:val="fr-CA"/>
        </w:rPr>
        <w:t xml:space="preserve"> vol. II, p. 76]</w:t>
      </w:r>
    </w:p>
    <w:p w:rsidR="009D7689" w:rsidRPr="00D964C7" w:rsidRDefault="009D7689" w:rsidP="009D7689">
      <w:pPr>
        <w:pStyle w:val="ContinueParaSuitedupar-AltP"/>
        <w:rPr>
          <w:rFonts w:cs="Times New Roman"/>
          <w:lang w:val="fr-CA"/>
        </w:rPr>
      </w:pPr>
      <w:r w:rsidRPr="00D964C7">
        <w:rPr>
          <w:rFonts w:cs="Times New Roman"/>
          <w:lang w:val="fr-CA"/>
        </w:rPr>
        <w:t>La police n’a aucunement essayé de communiquer avec l’auteur de l’appel à l’adresse qu’il avait donnée.</w:t>
      </w:r>
    </w:p>
    <w:p w:rsidR="009D7689" w:rsidRPr="00D964C7" w:rsidRDefault="009D7689" w:rsidP="009D7689">
      <w:pPr>
        <w:pStyle w:val="ParaNoNdepar-AltN"/>
        <w:rPr>
          <w:rFonts w:cs="Times New Roman"/>
          <w:lang w:val="fr-CA"/>
        </w:rPr>
      </w:pPr>
      <w:r w:rsidRPr="00D964C7">
        <w:rPr>
          <w:rFonts w:cs="Times New Roman"/>
          <w:lang w:val="fr-CA"/>
        </w:rPr>
        <w:t xml:space="preserve">L’avocat de l’accusé s’est promptement opposé à ce témoignage au motif qu’il constituait une preuve par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inadmissible.  Le juge du procès n’était pas de cet avis.  Il a conclu que la preuve ne constituait pas du «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 suivant les arrêts </w:t>
      </w:r>
      <w:r w:rsidRPr="00D964C7">
        <w:rPr>
          <w:rFonts w:cs="Times New Roman"/>
          <w:i/>
          <w:lang w:val="fr-CA"/>
        </w:rPr>
        <w:t>R. c. Ly</w:t>
      </w:r>
      <w:r w:rsidRPr="00D964C7">
        <w:rPr>
          <w:rFonts w:cs="Times New Roman"/>
          <w:lang w:val="fr-CA"/>
        </w:rPr>
        <w:t xml:space="preserve">, [1997] 3 R.C.S. 698, et </w:t>
      </w:r>
      <w:r w:rsidRPr="00D964C7">
        <w:rPr>
          <w:rFonts w:cs="Times New Roman"/>
          <w:i/>
          <w:lang w:val="fr-CA"/>
        </w:rPr>
        <w:t>R. c. Edwards</w:t>
      </w:r>
      <w:r w:rsidRPr="00D964C7">
        <w:rPr>
          <w:rFonts w:cs="Times New Roman"/>
          <w:lang w:val="fr-CA"/>
        </w:rPr>
        <w:t xml:space="preserve"> (1994)</w:t>
      </w:r>
      <w:r w:rsidR="008A6E72">
        <w:rPr>
          <w:rFonts w:cs="Times New Roman"/>
          <w:lang w:val="fr-CA"/>
        </w:rPr>
        <w:t>,</w:t>
      </w:r>
      <w:r w:rsidRPr="00D964C7">
        <w:rPr>
          <w:rFonts w:cs="Times New Roman"/>
          <w:lang w:val="fr-CA"/>
        </w:rPr>
        <w:t xml:space="preserve"> 91 C.C.C. (3d) 123 (C.A. Ont.), </w:t>
      </w:r>
      <w:proofErr w:type="spellStart"/>
      <w:r w:rsidRPr="00D964C7">
        <w:rPr>
          <w:rFonts w:cs="Times New Roman"/>
          <w:lang w:val="fr-CA"/>
        </w:rPr>
        <w:t>conf</w:t>
      </w:r>
      <w:proofErr w:type="spellEnd"/>
      <w:r w:rsidR="00D702F7">
        <w:rPr>
          <w:rFonts w:cs="Times New Roman"/>
          <w:lang w:val="fr-CA"/>
        </w:rPr>
        <w:t>.</w:t>
      </w:r>
      <w:r w:rsidRPr="00D964C7">
        <w:rPr>
          <w:rFonts w:cs="Times New Roman"/>
          <w:lang w:val="fr-CA"/>
        </w:rPr>
        <w:t xml:space="preserve"> pour d’autres motifs</w:t>
      </w:r>
      <w:r w:rsidR="008A6E72">
        <w:rPr>
          <w:rFonts w:cs="Times New Roman"/>
          <w:lang w:val="fr-CA"/>
        </w:rPr>
        <w:t xml:space="preserve"> par</w:t>
      </w:r>
      <w:r w:rsidRPr="00D964C7">
        <w:rPr>
          <w:rFonts w:cs="Times New Roman"/>
          <w:lang w:val="fr-CA"/>
        </w:rPr>
        <w:t xml:space="preserve"> [1996] 1 R.C.S. 128.  </w:t>
      </w:r>
    </w:p>
    <w:p w:rsidR="009D7689" w:rsidRPr="00D964C7" w:rsidRDefault="009D7689" w:rsidP="009D7689">
      <w:pPr>
        <w:pStyle w:val="ParaNoNdepar-AltN"/>
        <w:rPr>
          <w:rFonts w:cs="Times New Roman"/>
          <w:lang w:val="fr-CA"/>
        </w:rPr>
      </w:pPr>
      <w:r w:rsidRPr="00D964C7">
        <w:rPr>
          <w:rFonts w:cs="Times New Roman"/>
          <w:lang w:val="fr-CA"/>
        </w:rPr>
        <w:t>De l’avis du juge :</w:t>
      </w:r>
    </w:p>
    <w:p w:rsidR="009D7689" w:rsidRPr="00D964C7" w:rsidRDefault="009D7689" w:rsidP="009D7689">
      <w:pPr>
        <w:pStyle w:val="Citation-AltC"/>
        <w:ind w:hanging="1166"/>
        <w:rPr>
          <w:lang w:val="fr-CA"/>
        </w:rPr>
      </w:pPr>
      <w:r w:rsidRPr="00D964C7">
        <w:rPr>
          <w:smallCaps/>
          <w:lang w:val="fr-CA"/>
        </w:rPr>
        <w:lastRenderedPageBreak/>
        <w:tab/>
        <w:t>[traduction]</w:t>
      </w:r>
      <w:r w:rsidRPr="00D964C7">
        <w:rPr>
          <w:lang w:val="fr-CA"/>
        </w:rPr>
        <w:t xml:space="preserve">  Que ces appels soient qualifiés de preuve par </w:t>
      </w:r>
      <w:proofErr w:type="spellStart"/>
      <w:r w:rsidRPr="00D964C7">
        <w:rPr>
          <w:lang w:val="fr-CA"/>
        </w:rPr>
        <w:t>ouï</w:t>
      </w:r>
      <w:r w:rsidRPr="00D964C7">
        <w:rPr>
          <w:lang w:val="fr-CA"/>
        </w:rPr>
        <w:noBreakHyphen/>
        <w:t>dire</w:t>
      </w:r>
      <w:proofErr w:type="spellEnd"/>
      <w:r w:rsidRPr="00D964C7">
        <w:rPr>
          <w:lang w:val="fr-CA"/>
        </w:rPr>
        <w:t xml:space="preserve"> admissible ou simplement de déclarations démontrant l’état d’esprit, la loi les considère comme admissibles à titre de preuve circonstancielle révélant que la personne en cause est impliquée dans le trafic de drogue.  Ils ne sont pas présentés en preuve en vue d’établir que la personne qui téléphone est en fait la personne qu’elle déclare être ou que la personne se livrera dans les faits au trafic de drogue.  Comme il a été mentionné, il s’agit d’une preuve circonstancielle d’une personne impliquée dans le trafic de drogue.  [</w:t>
      </w:r>
      <w:proofErr w:type="gramStart"/>
      <w:r w:rsidR="00D702F7">
        <w:rPr>
          <w:lang w:val="fr-CA"/>
        </w:rPr>
        <w:t>d.a.,</w:t>
      </w:r>
      <w:proofErr w:type="gramEnd"/>
      <w:r w:rsidRPr="00D964C7">
        <w:rPr>
          <w:lang w:val="fr-CA"/>
        </w:rPr>
        <w:t xml:space="preserve"> vol. I, p. 22</w:t>
      </w:r>
      <w:r w:rsidRPr="00D964C7">
        <w:rPr>
          <w:lang w:val="fr-CA"/>
        </w:rPr>
        <w:noBreakHyphen/>
        <w:t>23]</w:t>
      </w:r>
    </w:p>
    <w:p w:rsidR="009D7689" w:rsidRPr="00D964C7" w:rsidRDefault="009D7689" w:rsidP="009D7689">
      <w:pPr>
        <w:pStyle w:val="ParaNoNdepar-AltN"/>
        <w:rPr>
          <w:rFonts w:cs="Times New Roman"/>
          <w:lang w:val="fr-CA"/>
        </w:rPr>
      </w:pPr>
      <w:r w:rsidRPr="00D964C7">
        <w:rPr>
          <w:rFonts w:cs="Times New Roman"/>
          <w:lang w:val="fr-CA"/>
        </w:rPr>
        <w:t xml:space="preserve">Ayant conclu que le témoignage du sergent </w:t>
      </w:r>
      <w:proofErr w:type="spellStart"/>
      <w:r w:rsidRPr="00D964C7">
        <w:rPr>
          <w:rFonts w:cs="Times New Roman"/>
          <w:lang w:val="fr-CA"/>
        </w:rPr>
        <w:t>Martelle</w:t>
      </w:r>
      <w:proofErr w:type="spellEnd"/>
      <w:r w:rsidRPr="00D964C7">
        <w:rPr>
          <w:rFonts w:cs="Times New Roman"/>
          <w:lang w:val="fr-CA"/>
        </w:rPr>
        <w:t xml:space="preserve"> ne constituait pas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le juge du procès était d’avis qu’il n’était pas nécessaire d’apprécier sa valeur probante en regard de son effet préjudiciable.</w:t>
      </w:r>
    </w:p>
    <w:p w:rsidR="009D7689" w:rsidRPr="00D964C7" w:rsidRDefault="009D7689" w:rsidP="009D7689">
      <w:pPr>
        <w:pStyle w:val="TitleTitre-AltT"/>
        <w:jc w:val="center"/>
        <w:rPr>
          <w:rFonts w:cs="Times New Roman"/>
          <w:lang w:val="fr-CA"/>
        </w:rPr>
      </w:pPr>
      <w:r w:rsidRPr="00D964C7">
        <w:rPr>
          <w:rFonts w:cs="Times New Roman"/>
          <w:lang w:val="fr-CA"/>
        </w:rPr>
        <w:t>III</w:t>
      </w:r>
    </w:p>
    <w:p w:rsidR="009D7689" w:rsidRPr="00D964C7" w:rsidRDefault="009D7689" w:rsidP="009D7689">
      <w:pPr>
        <w:pStyle w:val="ParaNoNdepar-AltN"/>
        <w:rPr>
          <w:rFonts w:cs="Times New Roman"/>
          <w:lang w:val="fr-CA"/>
        </w:rPr>
      </w:pPr>
      <w:r w:rsidRPr="00D964C7">
        <w:rPr>
          <w:rFonts w:cs="Times New Roman"/>
          <w:lang w:val="fr-CA"/>
        </w:rPr>
        <w:t xml:space="preserve">Les trois juges de la Cour d’appel de l’Ontario ont rédigé des motifs distincts.  Les juges </w:t>
      </w:r>
      <w:proofErr w:type="spellStart"/>
      <w:r w:rsidRPr="00D964C7">
        <w:rPr>
          <w:rFonts w:cs="Times New Roman"/>
          <w:lang w:val="fr-CA"/>
        </w:rPr>
        <w:t>Feldman</w:t>
      </w:r>
      <w:proofErr w:type="spellEnd"/>
      <w:r w:rsidRPr="00D964C7">
        <w:rPr>
          <w:rFonts w:cs="Times New Roman"/>
          <w:lang w:val="fr-CA"/>
        </w:rPr>
        <w:t xml:space="preserve"> et Blair ont accueilli l’appel et ordonné la tenue d’un nouveau procès; le juge Watt, dissident, était d’avis de rejeter l’appel.</w:t>
      </w:r>
    </w:p>
    <w:p w:rsidR="009D7689" w:rsidRPr="00D964C7" w:rsidRDefault="009D7689" w:rsidP="009D7689">
      <w:pPr>
        <w:pStyle w:val="ParaNoNdepar-AltN"/>
        <w:spacing w:before="0"/>
        <w:rPr>
          <w:rFonts w:cs="Times New Roman"/>
          <w:lang w:val="fr-CA"/>
        </w:rPr>
      </w:pPr>
      <w:r w:rsidRPr="00D964C7">
        <w:rPr>
          <w:rFonts w:cs="Times New Roman"/>
          <w:lang w:val="fr-CA"/>
        </w:rPr>
        <w:t xml:space="preserve">La juge </w:t>
      </w:r>
      <w:proofErr w:type="spellStart"/>
      <w:r w:rsidRPr="00D964C7">
        <w:rPr>
          <w:rFonts w:cs="Times New Roman"/>
          <w:lang w:val="fr-CA"/>
        </w:rPr>
        <w:t>Feldman</w:t>
      </w:r>
      <w:proofErr w:type="spellEnd"/>
      <w:r w:rsidRPr="00D964C7">
        <w:rPr>
          <w:rFonts w:cs="Times New Roman"/>
          <w:lang w:val="fr-CA"/>
        </w:rPr>
        <w:t xml:space="preserve"> ne partageait pas l’avis du juge du procès selon qui l’appel téléphonique constituait une preuve circonstancielle révélant que M. </w:t>
      </w:r>
      <w:proofErr w:type="spellStart"/>
      <w:r w:rsidRPr="00D964C7">
        <w:rPr>
          <w:rFonts w:cs="Times New Roman"/>
          <w:lang w:val="fr-CA"/>
        </w:rPr>
        <w:t>Baldree</w:t>
      </w:r>
      <w:proofErr w:type="spellEnd"/>
      <w:r w:rsidRPr="00D964C7">
        <w:rPr>
          <w:rFonts w:cs="Times New Roman"/>
          <w:lang w:val="fr-CA"/>
        </w:rPr>
        <w:t xml:space="preserve"> était impliqué dans le trafic de drogue.  À ses yeux, au contraire, </w:t>
      </w:r>
      <w:r w:rsidRPr="00D964C7">
        <w:rPr>
          <w:rFonts w:cs="Times New Roman"/>
          <w:smallCaps/>
          <w:lang w:val="fr-CA"/>
        </w:rPr>
        <w:t>[traduction]</w:t>
      </w:r>
      <w:r w:rsidRPr="00D964C7">
        <w:rPr>
          <w:rFonts w:cs="Times New Roman"/>
          <w:lang w:val="fr-CA"/>
        </w:rPr>
        <w:t xml:space="preserve"> « admettre en preuve le contenu de </w:t>
      </w:r>
      <w:r w:rsidR="0058209F">
        <w:rPr>
          <w:rFonts w:cs="Times New Roman"/>
          <w:lang w:val="fr-CA"/>
        </w:rPr>
        <w:t>[</w:t>
      </w:r>
      <w:r w:rsidRPr="00D964C7">
        <w:rPr>
          <w:rFonts w:cs="Times New Roman"/>
          <w:lang w:val="fr-CA"/>
        </w:rPr>
        <w:t>l’</w:t>
      </w:r>
      <w:proofErr w:type="gramStart"/>
      <w:r w:rsidR="0058209F">
        <w:rPr>
          <w:rFonts w:cs="Times New Roman"/>
          <w:lang w:val="fr-CA"/>
        </w:rPr>
        <w:t>]</w:t>
      </w:r>
      <w:r w:rsidRPr="00D964C7">
        <w:rPr>
          <w:rFonts w:cs="Times New Roman"/>
          <w:lang w:val="fr-CA"/>
        </w:rPr>
        <w:t>appel</w:t>
      </w:r>
      <w:proofErr w:type="gramEnd"/>
      <w:r w:rsidRPr="00D964C7">
        <w:rPr>
          <w:rFonts w:cs="Times New Roman"/>
          <w:lang w:val="fr-CA"/>
        </w:rPr>
        <w:t xml:space="preserve"> c’est admettre en preuve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L’auteur de l’appel, qui n’a pas subi l’épreuve du </w:t>
      </w:r>
      <w:proofErr w:type="spellStart"/>
      <w:r w:rsidRPr="00D964C7">
        <w:rPr>
          <w:rFonts w:cs="Times New Roman"/>
          <w:lang w:val="fr-CA"/>
        </w:rPr>
        <w:t>contre</w:t>
      </w:r>
      <w:r w:rsidRPr="00D964C7">
        <w:rPr>
          <w:rFonts w:cs="Times New Roman"/>
          <w:lang w:val="fr-CA"/>
        </w:rPr>
        <w:noBreakHyphen/>
        <w:t>interrogatoire</w:t>
      </w:r>
      <w:proofErr w:type="spellEnd"/>
      <w:r w:rsidRPr="00D964C7">
        <w:rPr>
          <w:rFonts w:cs="Times New Roman"/>
          <w:lang w:val="fr-CA"/>
        </w:rPr>
        <w:t xml:space="preserve">, affirme implicitement que l’accusé est un trafiquant de drogue » (par. 140).  </w:t>
      </w:r>
    </w:p>
    <w:p w:rsidR="009D7689" w:rsidRPr="00D964C7" w:rsidRDefault="009D7689" w:rsidP="009D7689">
      <w:pPr>
        <w:pStyle w:val="ParaNoNdepar-AltN"/>
        <w:spacing w:before="0"/>
        <w:rPr>
          <w:rFonts w:cs="Times New Roman"/>
          <w:lang w:val="fr-CA"/>
        </w:rPr>
      </w:pPr>
      <w:r w:rsidRPr="00D964C7">
        <w:rPr>
          <w:rFonts w:cs="Times New Roman"/>
          <w:lang w:val="fr-CA"/>
        </w:rPr>
        <w:t xml:space="preserve">Selon la juge </w:t>
      </w:r>
      <w:proofErr w:type="spellStart"/>
      <w:r w:rsidRPr="00D964C7">
        <w:rPr>
          <w:rFonts w:cs="Times New Roman"/>
          <w:lang w:val="fr-CA"/>
        </w:rPr>
        <w:t>Feldman</w:t>
      </w:r>
      <w:proofErr w:type="spellEnd"/>
      <w:r w:rsidRPr="00D964C7">
        <w:rPr>
          <w:rFonts w:cs="Times New Roman"/>
          <w:lang w:val="fr-CA"/>
        </w:rPr>
        <w:t xml:space="preserve">, le juge du procès a donc commis une erreur en s’attachant à </w:t>
      </w:r>
      <w:r w:rsidRPr="00D964C7">
        <w:rPr>
          <w:rFonts w:cs="Times New Roman"/>
          <w:smallCaps/>
          <w:lang w:val="fr-CA"/>
        </w:rPr>
        <w:t>[traduction]</w:t>
      </w:r>
      <w:r w:rsidRPr="00D964C7">
        <w:rPr>
          <w:rFonts w:cs="Times New Roman"/>
          <w:lang w:val="fr-CA"/>
        </w:rPr>
        <w:t xml:space="preserve"> « la véracité de l’affirmation selon laquelle l’auteur de </w:t>
      </w:r>
      <w:r w:rsidRPr="00D964C7">
        <w:rPr>
          <w:rFonts w:cs="Times New Roman"/>
          <w:lang w:val="fr-CA"/>
        </w:rPr>
        <w:lastRenderedPageBreak/>
        <w:t>l’appel voulait effectivement acheter de la drogue, ce qui, bien entendu, n’était pas pertinent, et non à l’affirmation implicite que recelait la commande</w:t>
      </w:r>
      <w:r w:rsidR="00D702F7">
        <w:rPr>
          <w:rFonts w:cs="Times New Roman"/>
          <w:lang w:val="fr-CA"/>
        </w:rPr>
        <w:t xml:space="preserve"> </w:t>
      </w:r>
      <w:r w:rsidRPr="00D964C7">
        <w:rPr>
          <w:rFonts w:cs="Times New Roman"/>
          <w:lang w:val="fr-CA"/>
        </w:rPr>
        <w:t>» (par. 144).</w:t>
      </w:r>
    </w:p>
    <w:p w:rsidR="009D7689" w:rsidRPr="00D964C7" w:rsidRDefault="009D7689" w:rsidP="009D7689">
      <w:pPr>
        <w:pStyle w:val="ParaNoNdepar-AltN"/>
        <w:spacing w:before="0"/>
        <w:rPr>
          <w:rFonts w:cs="Times New Roman"/>
          <w:lang w:val="fr-CA"/>
        </w:rPr>
      </w:pPr>
      <w:r w:rsidRPr="00D964C7">
        <w:rPr>
          <w:rFonts w:cs="Times New Roman"/>
          <w:lang w:val="fr-CA"/>
        </w:rPr>
        <w:t xml:space="preserve">Renvoyant aux motifs des juges majoritaires de la Chambre des lords dans </w:t>
      </w:r>
      <w:r w:rsidRPr="00D964C7">
        <w:rPr>
          <w:rFonts w:cs="Times New Roman"/>
          <w:i/>
          <w:lang w:val="fr-CA"/>
        </w:rPr>
        <w:t xml:space="preserve">R. c. </w:t>
      </w:r>
      <w:proofErr w:type="spellStart"/>
      <w:r w:rsidRPr="00D964C7">
        <w:rPr>
          <w:rFonts w:cs="Times New Roman"/>
          <w:i/>
          <w:lang w:val="fr-CA"/>
        </w:rPr>
        <w:t>Kearley</w:t>
      </w:r>
      <w:proofErr w:type="spellEnd"/>
      <w:r w:rsidRPr="00D964C7">
        <w:rPr>
          <w:rFonts w:cs="Times New Roman"/>
          <w:lang w:val="fr-CA"/>
        </w:rPr>
        <w:t xml:space="preserve">, [1992] 2 All E.R. 345, ainsi qu’à l’avis du juge en chef de l’Ontario, le juge </w:t>
      </w:r>
      <w:proofErr w:type="spellStart"/>
      <w:r w:rsidRPr="00D964C7">
        <w:rPr>
          <w:rFonts w:cs="Times New Roman"/>
          <w:lang w:val="fr-CA"/>
        </w:rPr>
        <w:t>McMurtry</w:t>
      </w:r>
      <w:proofErr w:type="spellEnd"/>
      <w:r w:rsidRPr="00D964C7">
        <w:rPr>
          <w:rFonts w:cs="Times New Roman"/>
          <w:lang w:val="fr-CA"/>
        </w:rPr>
        <w:t xml:space="preserve">, dans </w:t>
      </w:r>
      <w:r w:rsidRPr="00D964C7">
        <w:rPr>
          <w:rFonts w:cs="Times New Roman"/>
          <w:i/>
          <w:lang w:val="fr-CA"/>
        </w:rPr>
        <w:t>R. c. Wilson</w:t>
      </w:r>
      <w:r w:rsidRPr="00D964C7">
        <w:rPr>
          <w:rFonts w:cs="Times New Roman"/>
          <w:lang w:val="fr-CA"/>
        </w:rPr>
        <w:t xml:space="preserve"> (1996), 29 O.R. (3d) 97 (C.A.), la juge </w:t>
      </w:r>
      <w:proofErr w:type="spellStart"/>
      <w:r w:rsidRPr="00D964C7">
        <w:rPr>
          <w:rFonts w:cs="Times New Roman"/>
          <w:lang w:val="fr-CA"/>
        </w:rPr>
        <w:t>Feldman</w:t>
      </w:r>
      <w:proofErr w:type="spellEnd"/>
      <w:r w:rsidRPr="00D964C7">
        <w:rPr>
          <w:rFonts w:cs="Times New Roman"/>
          <w:lang w:val="fr-CA"/>
        </w:rPr>
        <w:t xml:space="preserve"> a conclu que le résultat de l’analyse relative au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ne devrait pas différer selon qu’il s’agit d’une affirmation expresse ou implicite (par. 140).</w:t>
      </w:r>
    </w:p>
    <w:p w:rsidR="009D7689" w:rsidRPr="00D964C7" w:rsidRDefault="009D7689" w:rsidP="009D7689">
      <w:pPr>
        <w:pStyle w:val="ParaNoNdepar-AltN"/>
        <w:spacing w:before="0"/>
        <w:rPr>
          <w:rFonts w:cs="Times New Roman"/>
          <w:lang w:val="fr-CA"/>
        </w:rPr>
      </w:pPr>
      <w:r w:rsidRPr="00D964C7">
        <w:rPr>
          <w:rFonts w:cs="Times New Roman"/>
          <w:lang w:val="fr-CA"/>
        </w:rPr>
        <w:t xml:space="preserve">La juge estimait que l’appel constituait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et qu’il n’aurait pas dû être présenté en preuve contre M. </w:t>
      </w:r>
      <w:proofErr w:type="spellStart"/>
      <w:r w:rsidRPr="00D964C7">
        <w:rPr>
          <w:rFonts w:cs="Times New Roman"/>
          <w:lang w:val="fr-CA"/>
        </w:rPr>
        <w:t>Baldree</w:t>
      </w:r>
      <w:proofErr w:type="spellEnd"/>
      <w:r w:rsidRPr="00D964C7">
        <w:rPr>
          <w:rFonts w:cs="Times New Roman"/>
          <w:lang w:val="fr-CA"/>
        </w:rPr>
        <w:t xml:space="preserve"> parce qu’il ne pouvait résister à l’examen selon la méthode d’analyse raisonnée en matière de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En ce qui concerne la nécessité, la police connaissait l’adresse de l’auteur de l’appel, mais n’a pas tenté de communiquer avec lui; pour ce qui est de la fiabilité, rien ne permettait de mettre à l’épreuve la croyance de l’auteur de l’appel sans lui faire subir un </w:t>
      </w:r>
      <w:proofErr w:type="spellStart"/>
      <w:r w:rsidRPr="00D964C7">
        <w:rPr>
          <w:rFonts w:cs="Times New Roman"/>
          <w:lang w:val="fr-CA"/>
        </w:rPr>
        <w:t>contre</w:t>
      </w:r>
      <w:r w:rsidRPr="00D964C7">
        <w:rPr>
          <w:rFonts w:cs="Times New Roman"/>
          <w:lang w:val="fr-CA"/>
        </w:rPr>
        <w:noBreakHyphen/>
        <w:t>interrogatoire</w:t>
      </w:r>
      <w:proofErr w:type="spellEnd"/>
      <w:r w:rsidRPr="00D964C7">
        <w:rPr>
          <w:rFonts w:cs="Times New Roman"/>
          <w:lang w:val="fr-CA"/>
        </w:rPr>
        <w:t xml:space="preserve"> (par. 146).  </w:t>
      </w:r>
    </w:p>
    <w:p w:rsidR="009D7689" w:rsidRPr="00D964C7" w:rsidRDefault="009D7689" w:rsidP="009D7689">
      <w:pPr>
        <w:pStyle w:val="ParaNoNdepar-AltN"/>
        <w:spacing w:before="0"/>
        <w:rPr>
          <w:rFonts w:cs="Times New Roman"/>
          <w:lang w:val="fr-CA"/>
        </w:rPr>
      </w:pPr>
      <w:r w:rsidRPr="00D964C7">
        <w:rPr>
          <w:rFonts w:cs="Times New Roman"/>
          <w:lang w:val="fr-CA"/>
        </w:rPr>
        <w:t xml:space="preserve">La juge </w:t>
      </w:r>
      <w:proofErr w:type="spellStart"/>
      <w:r w:rsidRPr="00D964C7">
        <w:rPr>
          <w:rFonts w:cs="Times New Roman"/>
          <w:lang w:val="fr-CA"/>
        </w:rPr>
        <w:t>Feldman</w:t>
      </w:r>
      <w:proofErr w:type="spellEnd"/>
      <w:r w:rsidRPr="00D964C7">
        <w:rPr>
          <w:rFonts w:cs="Times New Roman"/>
          <w:lang w:val="fr-CA"/>
        </w:rPr>
        <w:t xml:space="preserve"> a également conclu que la preuve était inadmissible parce que son effet préjudiciable l’emportait sur sa valeur probante (par. 147).</w:t>
      </w:r>
    </w:p>
    <w:p w:rsidR="009D7689" w:rsidRPr="00D964C7" w:rsidRDefault="009D7689" w:rsidP="009D7689">
      <w:pPr>
        <w:pStyle w:val="ParaNoNdepar-AltN"/>
        <w:spacing w:before="0"/>
        <w:rPr>
          <w:rFonts w:cs="Times New Roman"/>
          <w:lang w:val="fr-CA"/>
        </w:rPr>
      </w:pPr>
      <w:r w:rsidRPr="00D964C7">
        <w:rPr>
          <w:rFonts w:cs="Times New Roman"/>
          <w:lang w:val="fr-CA"/>
        </w:rPr>
        <w:t>La juge </w:t>
      </w:r>
      <w:proofErr w:type="spellStart"/>
      <w:r w:rsidRPr="00D964C7">
        <w:rPr>
          <w:rFonts w:cs="Times New Roman"/>
          <w:lang w:val="fr-CA"/>
        </w:rPr>
        <w:t>Feldman</w:t>
      </w:r>
      <w:proofErr w:type="spellEnd"/>
      <w:r w:rsidRPr="00D964C7">
        <w:rPr>
          <w:rFonts w:cs="Times New Roman"/>
          <w:lang w:val="fr-CA"/>
        </w:rPr>
        <w:t xml:space="preserve"> a refusé d’appliquer la disposition réparatrice prévue au</w:t>
      </w:r>
      <w:r>
        <w:rPr>
          <w:rFonts w:cs="Times New Roman"/>
          <w:lang w:val="fr-CA"/>
        </w:rPr>
        <w:t xml:space="preserve"> </w:t>
      </w:r>
      <w:proofErr w:type="spellStart"/>
      <w:r w:rsidRPr="00D964C7">
        <w:rPr>
          <w:rFonts w:cs="Times New Roman"/>
          <w:lang w:val="fr-CA"/>
        </w:rPr>
        <w:t>sous</w:t>
      </w:r>
      <w:r w:rsidRPr="00D964C7">
        <w:rPr>
          <w:rFonts w:cs="Times New Roman"/>
          <w:lang w:val="fr-CA"/>
        </w:rPr>
        <w:noBreakHyphen/>
        <w:t>al</w:t>
      </w:r>
      <w:proofErr w:type="spellEnd"/>
      <w:r w:rsidRPr="00D964C7">
        <w:rPr>
          <w:rFonts w:cs="Times New Roman"/>
          <w:lang w:val="fr-CA"/>
        </w:rPr>
        <w:t>. 686(1)</w:t>
      </w:r>
      <w:r w:rsidRPr="00D964C7">
        <w:rPr>
          <w:rFonts w:cs="Times New Roman"/>
          <w:i/>
          <w:lang w:val="fr-CA"/>
        </w:rPr>
        <w:t>b</w:t>
      </w:r>
      <w:proofErr w:type="gramStart"/>
      <w:r w:rsidRPr="00D964C7">
        <w:rPr>
          <w:rFonts w:cs="Times New Roman"/>
          <w:lang w:val="fr-CA"/>
        </w:rPr>
        <w:t>)(</w:t>
      </w:r>
      <w:proofErr w:type="gramEnd"/>
      <w:r w:rsidRPr="00D964C7">
        <w:rPr>
          <w:rFonts w:cs="Times New Roman"/>
          <w:lang w:val="fr-CA"/>
        </w:rPr>
        <w:t xml:space="preserve">iii) du </w:t>
      </w:r>
      <w:r w:rsidRPr="00D964C7">
        <w:rPr>
          <w:rFonts w:cs="Times New Roman"/>
          <w:i/>
          <w:lang w:val="fr-CA"/>
        </w:rPr>
        <w:t xml:space="preserve">Code criminel </w:t>
      </w:r>
      <w:r w:rsidRPr="00D964C7">
        <w:rPr>
          <w:rFonts w:cs="Times New Roman"/>
          <w:lang w:val="fr-CA"/>
        </w:rPr>
        <w:t xml:space="preserve">et, partant, elle était d’avis que l’erreur du juge de première instance exigeait la tenue d’un nouveau procès.  Compte tenu en particulier du fait que, selon le ministère public, la commande téléphonique de drogue constituait la preuve la plus solide contre l’accusé, la juge </w:t>
      </w:r>
      <w:proofErr w:type="spellStart"/>
      <w:r w:rsidRPr="00D964C7">
        <w:rPr>
          <w:rFonts w:cs="Times New Roman"/>
          <w:lang w:val="fr-CA"/>
        </w:rPr>
        <w:t>Feldman</w:t>
      </w:r>
      <w:proofErr w:type="spellEnd"/>
      <w:r w:rsidRPr="00D964C7">
        <w:rPr>
          <w:rFonts w:cs="Times New Roman"/>
          <w:lang w:val="fr-CA"/>
        </w:rPr>
        <w:t xml:space="preserve"> ne pouvait tirer </w:t>
      </w:r>
      <w:r w:rsidRPr="00D964C7">
        <w:rPr>
          <w:rFonts w:cs="Times New Roman"/>
          <w:lang w:val="fr-CA"/>
        </w:rPr>
        <w:lastRenderedPageBreak/>
        <w:t xml:space="preserve">comme conclusion que l’admission irrégulière du témoignage du sergent </w:t>
      </w:r>
      <w:proofErr w:type="spellStart"/>
      <w:r w:rsidRPr="00D964C7">
        <w:rPr>
          <w:rFonts w:cs="Times New Roman"/>
          <w:lang w:val="fr-CA"/>
        </w:rPr>
        <w:t>Martelle</w:t>
      </w:r>
      <w:proofErr w:type="spellEnd"/>
      <w:r w:rsidRPr="00D964C7">
        <w:rPr>
          <w:rFonts w:cs="Times New Roman"/>
          <w:lang w:val="fr-CA"/>
        </w:rPr>
        <w:t xml:space="preserve"> n’avait eu aucune incidence sur le verdict (par. 149).</w:t>
      </w:r>
    </w:p>
    <w:p w:rsidR="009D7689" w:rsidRPr="00D964C7" w:rsidRDefault="009D7689" w:rsidP="009D7689">
      <w:pPr>
        <w:pStyle w:val="ParaNoNdepar-AltN"/>
        <w:rPr>
          <w:rFonts w:cs="Times New Roman"/>
          <w:lang w:val="fr-CA"/>
        </w:rPr>
      </w:pPr>
      <w:r w:rsidRPr="00D964C7">
        <w:rPr>
          <w:rFonts w:cs="Times New Roman"/>
          <w:lang w:val="fr-CA"/>
        </w:rPr>
        <w:t xml:space="preserve">Dans ses motifs concordants, le juge Blair ne pouvait affirmer avec certitude que la preuve contestée constituait </w:t>
      </w:r>
      <w:proofErr w:type="gramStart"/>
      <w:r w:rsidRPr="00D964C7">
        <w:rPr>
          <w:rFonts w:cs="Times New Roman"/>
          <w:lang w:val="fr-CA"/>
        </w:rPr>
        <w:t xml:space="preserve">du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xml:space="preserve">.  Quoi qu’il en soit, il jugeait préférable </w:t>
      </w:r>
      <w:r w:rsidRPr="00D964C7">
        <w:rPr>
          <w:rFonts w:cs="Times New Roman"/>
          <w:smallCaps/>
          <w:lang w:val="fr-CA"/>
        </w:rPr>
        <w:t xml:space="preserve">[traduction] </w:t>
      </w:r>
      <w:r w:rsidRPr="00D964C7">
        <w:rPr>
          <w:rFonts w:cs="Times New Roman"/>
          <w:lang w:val="fr-CA"/>
        </w:rPr>
        <w:t>« pour les juristes de s’attacher moins à catégoriser la preuve selon qu’elle constitue ou non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dans ce genre de cas limites, et davantage aux critères de principe relatifs à la nécessité et à la fiabilité d’une part et à la valeur probante par rapport à l’effet préjudiciable d’autre part » (par. 155).</w:t>
      </w:r>
    </w:p>
    <w:p w:rsidR="009D7689" w:rsidRPr="00D964C7" w:rsidRDefault="009D7689" w:rsidP="009D7689">
      <w:pPr>
        <w:pStyle w:val="ParaNoNdepar-AltN"/>
        <w:rPr>
          <w:rFonts w:cs="Times New Roman"/>
          <w:lang w:val="fr-CA"/>
        </w:rPr>
      </w:pPr>
      <w:r w:rsidRPr="00D964C7">
        <w:rPr>
          <w:rFonts w:cs="Times New Roman"/>
          <w:lang w:val="fr-CA"/>
        </w:rPr>
        <w:t xml:space="preserve">Ainsi, le juge Blair a estimé qu’il n’était pas nécessaire de </w:t>
      </w:r>
      <w:r w:rsidRPr="00D964C7">
        <w:rPr>
          <w:rFonts w:cs="Times New Roman"/>
          <w:smallCaps/>
          <w:lang w:val="fr-CA"/>
        </w:rPr>
        <w:t>[traduction]</w:t>
      </w:r>
      <w:r w:rsidR="001D15E8">
        <w:rPr>
          <w:rFonts w:cs="Times New Roman"/>
          <w:lang w:val="fr-CA"/>
        </w:rPr>
        <w:t xml:space="preserve"> « trancher le nœ</w:t>
      </w:r>
      <w:r w:rsidRPr="00D964C7">
        <w:rPr>
          <w:rFonts w:cs="Times New Roman"/>
          <w:lang w:val="fr-CA"/>
        </w:rPr>
        <w:t>ud gordien que présente la question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pour statuer en l’espèce » parce que la preuve contestée ne résistait ni à l’examen portant sur la nécessité et la fiabilité ni à l’évaluation du rapport entre sa valeur probante et son effet préjudiciable (par. 156).</w:t>
      </w:r>
    </w:p>
    <w:p w:rsidR="009D7689" w:rsidRPr="00D964C7" w:rsidRDefault="009D7689" w:rsidP="009D7689">
      <w:pPr>
        <w:pStyle w:val="ParaNoNdepar-AltN"/>
        <w:rPr>
          <w:rFonts w:cs="Times New Roman"/>
          <w:lang w:val="fr-CA"/>
        </w:rPr>
      </w:pPr>
      <w:r w:rsidRPr="00D964C7">
        <w:rPr>
          <w:rFonts w:cs="Times New Roman"/>
          <w:lang w:val="fr-CA"/>
        </w:rPr>
        <w:t xml:space="preserve">Dans ses motifs dissidents, le juge Watt partageait l’opinion du juge du procès que, suivant l’arrêt </w:t>
      </w:r>
      <w:r w:rsidRPr="00D964C7">
        <w:rPr>
          <w:rFonts w:cs="Times New Roman"/>
          <w:i/>
          <w:lang w:val="fr-CA"/>
        </w:rPr>
        <w:t>Ly</w:t>
      </w:r>
      <w:r w:rsidRPr="00D964C7">
        <w:rPr>
          <w:rFonts w:cs="Times New Roman"/>
          <w:lang w:val="fr-CA"/>
        </w:rPr>
        <w:t xml:space="preserve"> de notre Cour, la preuve d’une seule commande téléphonique de drogue est admissible à titre de preuve ne constituant pas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(par. 73).</w:t>
      </w:r>
    </w:p>
    <w:p w:rsidR="009D7689" w:rsidRPr="00D964C7" w:rsidRDefault="009D7689" w:rsidP="009D7689">
      <w:pPr>
        <w:pStyle w:val="ParaNoNdepar-AltN"/>
        <w:rPr>
          <w:rFonts w:cs="Times New Roman"/>
          <w:lang w:val="fr-CA"/>
        </w:rPr>
      </w:pPr>
      <w:r w:rsidRPr="00D964C7">
        <w:rPr>
          <w:rFonts w:cs="Times New Roman"/>
          <w:lang w:val="fr-CA"/>
        </w:rPr>
        <w:t xml:space="preserve">Selon le juge Watt, il n’était pas nécessaire de procéder à une analyse raisonnée dans ces circonstances parce que la preuve contestée ne constituait pas </w:t>
      </w:r>
      <w:proofErr w:type="gramStart"/>
      <w:r w:rsidRPr="00D964C7">
        <w:rPr>
          <w:rFonts w:cs="Times New Roman"/>
          <w:lang w:val="fr-CA"/>
        </w:rPr>
        <w:t xml:space="preserve">du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Il ne souscrivait pas à l’avis de ses collègues selon qui la preuve devait être écartée au motif que son effet préjudiciable l’emportait sur sa valeur probante (par. 95</w:t>
      </w:r>
      <w:r w:rsidRPr="00D964C7">
        <w:rPr>
          <w:rFonts w:cs="Times New Roman"/>
          <w:lang w:val="fr-CA"/>
        </w:rPr>
        <w:noBreakHyphen/>
        <w:t>98).</w:t>
      </w:r>
    </w:p>
    <w:p w:rsidR="009D7689" w:rsidRPr="00D964C7" w:rsidRDefault="009D7689" w:rsidP="009D7689">
      <w:pPr>
        <w:pStyle w:val="ParaNoNdepar-AltN"/>
        <w:rPr>
          <w:rFonts w:cs="Times New Roman"/>
          <w:lang w:val="fr-CA"/>
        </w:rPr>
      </w:pPr>
      <w:r w:rsidRPr="00D964C7">
        <w:rPr>
          <w:rFonts w:cs="Times New Roman"/>
          <w:lang w:val="fr-CA"/>
        </w:rPr>
        <w:lastRenderedPageBreak/>
        <w:t>Subsidiairement, le juge Watt était d’avis que, même si la commande téléphonique de drogue avait été admise en preuve à tort au procès, la déclaration de culpabilité devrait néanmoins être maintenue en vertu de la disposition réparatrice (par. 99).</w:t>
      </w:r>
    </w:p>
    <w:p w:rsidR="009D7689" w:rsidRPr="00D964C7" w:rsidRDefault="009D7689" w:rsidP="009D7689">
      <w:pPr>
        <w:pStyle w:val="TitleTitre-AltT"/>
        <w:jc w:val="center"/>
        <w:rPr>
          <w:rFonts w:cs="Times New Roman"/>
          <w:lang w:val="fr-CA"/>
        </w:rPr>
      </w:pPr>
      <w:r w:rsidRPr="00D964C7">
        <w:rPr>
          <w:rFonts w:cs="Times New Roman"/>
          <w:lang w:val="fr-CA"/>
        </w:rPr>
        <w:t>IV</w:t>
      </w:r>
    </w:p>
    <w:p w:rsidR="009D7689" w:rsidRPr="00D964C7" w:rsidRDefault="009D7689" w:rsidP="009D7689">
      <w:pPr>
        <w:pStyle w:val="ParaNoNdepar-AltN"/>
        <w:rPr>
          <w:rFonts w:cs="Times New Roman"/>
          <w:lang w:val="fr-CA"/>
        </w:rPr>
      </w:pPr>
      <w:r w:rsidRPr="00D964C7">
        <w:rPr>
          <w:rFonts w:cs="Times New Roman"/>
          <w:lang w:val="fr-CA"/>
        </w:rPr>
        <w:t xml:space="preserve">Les caractéristiques déterminantes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sont les suivantes : (1) le fait que la déclaration soit présentée pour établir la véracité de son contenu et (2) l’impossibi</w:t>
      </w:r>
      <w:r w:rsidR="00183AE1">
        <w:rPr>
          <w:rFonts w:cs="Times New Roman"/>
          <w:lang w:val="fr-CA"/>
        </w:rPr>
        <w:t>lité de contre-</w:t>
      </w:r>
      <w:r w:rsidRPr="00D964C7">
        <w:rPr>
          <w:rFonts w:cs="Times New Roman"/>
          <w:lang w:val="fr-CA"/>
        </w:rPr>
        <w:t xml:space="preserve">interroger le déclarant au moment précis où il fait cette déclaration : </w:t>
      </w:r>
      <w:r w:rsidRPr="00D964C7">
        <w:rPr>
          <w:rFonts w:cs="Times New Roman"/>
          <w:i/>
          <w:lang w:val="fr-CA"/>
        </w:rPr>
        <w:t xml:space="preserve">R. c. </w:t>
      </w:r>
      <w:proofErr w:type="spellStart"/>
      <w:r w:rsidRPr="00D964C7">
        <w:rPr>
          <w:rFonts w:cs="Times New Roman"/>
          <w:i/>
          <w:lang w:val="fr-CA"/>
        </w:rPr>
        <w:t>Khelawon</w:t>
      </w:r>
      <w:proofErr w:type="spellEnd"/>
      <w:r w:rsidRPr="00D964C7">
        <w:rPr>
          <w:rFonts w:cs="Times New Roman"/>
          <w:lang w:val="fr-CA"/>
        </w:rPr>
        <w:t xml:space="preserve">, 2006 CSC 57, [2006] 2 R.C.S. 787, par. 56.  Comme l’explique la juge Charron dans </w:t>
      </w:r>
      <w:proofErr w:type="spellStart"/>
      <w:r w:rsidRPr="00D964C7">
        <w:rPr>
          <w:rFonts w:cs="Times New Roman"/>
          <w:i/>
          <w:lang w:val="fr-CA"/>
        </w:rPr>
        <w:t>Khelawon</w:t>
      </w:r>
      <w:proofErr w:type="spellEnd"/>
      <w:r w:rsidRPr="00D964C7">
        <w:rPr>
          <w:rFonts w:cs="Times New Roman"/>
          <w:lang w:val="fr-CA"/>
        </w:rPr>
        <w:t>,</w:t>
      </w:r>
      <w:r w:rsidRPr="00D964C7">
        <w:rPr>
          <w:rFonts w:cs="Times New Roman"/>
          <w:i/>
          <w:lang w:val="fr-CA"/>
        </w:rPr>
        <w:t xml:space="preserve"> </w:t>
      </w:r>
      <w:r w:rsidRPr="00D964C7">
        <w:rPr>
          <w:rFonts w:cs="Times New Roman"/>
          <w:lang w:val="fr-CA"/>
        </w:rPr>
        <w:t xml:space="preserve">par. 35, la règle </w:t>
      </w:r>
      <w:proofErr w:type="gramStart"/>
      <w:r w:rsidRPr="00D964C7">
        <w:rPr>
          <w:rFonts w:cs="Times New Roman"/>
          <w:lang w:val="fr-CA"/>
        </w:rPr>
        <w:t xml:space="preserve">du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xml:space="preserve"> traduit l’importance accordée par notre système de justice pénale au témoignage de vive voix devant le tribunal :</w:t>
      </w:r>
    </w:p>
    <w:p w:rsidR="009D7689" w:rsidRPr="00D964C7" w:rsidRDefault="009D7689" w:rsidP="009D7689">
      <w:pPr>
        <w:pStyle w:val="Citation-AltC"/>
        <w:ind w:hanging="1166"/>
        <w:rPr>
          <w:lang w:val="fr-CA"/>
        </w:rPr>
      </w:pPr>
      <w:r w:rsidRPr="00D964C7">
        <w:rPr>
          <w:lang w:val="fr-CA"/>
        </w:rPr>
        <w:tab/>
        <w:t xml:space="preserve">Notre système accusatoire attache une grande importance à l’assignation de témoins qui déposent sous la foi du serment ou d’une affirmation solennelle et dont le comportement peut être observé par le juge des faits, et le témoignage, vérifié au moyen d’un </w:t>
      </w:r>
      <w:proofErr w:type="spellStart"/>
      <w:r w:rsidRPr="00D964C7">
        <w:rPr>
          <w:lang w:val="fr-CA"/>
        </w:rPr>
        <w:t>contre</w:t>
      </w:r>
      <w:r w:rsidRPr="00D964C7">
        <w:rPr>
          <w:lang w:val="fr-CA"/>
        </w:rPr>
        <w:noBreakHyphen/>
        <w:t>interrogatoire</w:t>
      </w:r>
      <w:proofErr w:type="spellEnd"/>
      <w:r w:rsidRPr="00D964C7">
        <w:rPr>
          <w:lang w:val="fr-CA"/>
        </w:rPr>
        <w:t xml:space="preserve">.  Nous considérons que ce processus représente la meilleure façon de vérifier la preuve testimoniale.  Parce qu’elle se présente sous une forme différente, la preuve par </w:t>
      </w:r>
      <w:proofErr w:type="spellStart"/>
      <w:r w:rsidRPr="00D964C7">
        <w:rPr>
          <w:lang w:val="fr-CA"/>
        </w:rPr>
        <w:t>ouï</w:t>
      </w:r>
      <w:r w:rsidRPr="00D964C7">
        <w:rPr>
          <w:lang w:val="fr-CA"/>
        </w:rPr>
        <w:noBreakHyphen/>
        <w:t>dire</w:t>
      </w:r>
      <w:proofErr w:type="spellEnd"/>
      <w:r w:rsidRPr="00D964C7">
        <w:rPr>
          <w:lang w:val="fr-CA"/>
        </w:rPr>
        <w:t xml:space="preserve"> suscite des préoccupations particulières.  La règle d’exclusion générale reconnaît la difficulté pour le juge des faits d’apprécier le poids à donner, s’il y a lieu, à une déclaration d’une personne qui n’a été ni vue ni entendue et qui n’a pas eu à subir un </w:t>
      </w:r>
      <w:proofErr w:type="spellStart"/>
      <w:r w:rsidRPr="00D964C7">
        <w:rPr>
          <w:lang w:val="fr-CA"/>
        </w:rPr>
        <w:t>contre</w:t>
      </w:r>
      <w:r w:rsidRPr="00D964C7">
        <w:rPr>
          <w:lang w:val="fr-CA"/>
        </w:rPr>
        <w:noBreakHyphen/>
        <w:t>interrogatoire</w:t>
      </w:r>
      <w:proofErr w:type="spellEnd"/>
      <w:r w:rsidRPr="00D964C7">
        <w:rPr>
          <w:lang w:val="fr-CA"/>
        </w:rPr>
        <w:t xml:space="preserve">.  On craint que la preuve par </w:t>
      </w:r>
      <w:proofErr w:type="spellStart"/>
      <w:r w:rsidRPr="00D964C7">
        <w:rPr>
          <w:lang w:val="fr-CA"/>
        </w:rPr>
        <w:t>ouï</w:t>
      </w:r>
      <w:r w:rsidRPr="00D964C7">
        <w:rPr>
          <w:lang w:val="fr-CA"/>
        </w:rPr>
        <w:noBreakHyphen/>
        <w:t>dire</w:t>
      </w:r>
      <w:proofErr w:type="spellEnd"/>
      <w:r w:rsidRPr="00D964C7">
        <w:rPr>
          <w:lang w:val="fr-CA"/>
        </w:rPr>
        <w:t xml:space="preserve"> non vérifiée se voie accorder plus de poids qu’elle n’en mérite.</w:t>
      </w:r>
    </w:p>
    <w:p w:rsidR="009D7689" w:rsidRPr="00D964C7" w:rsidRDefault="009D7689" w:rsidP="009D7689">
      <w:pPr>
        <w:pStyle w:val="ParaNoNdepar-AltN"/>
        <w:rPr>
          <w:rFonts w:cs="Times New Roman"/>
          <w:lang w:val="fr-CA"/>
        </w:rPr>
      </w:pPr>
      <w:r w:rsidRPr="00D964C7">
        <w:rPr>
          <w:rFonts w:cs="Times New Roman"/>
          <w:lang w:val="fr-CA"/>
        </w:rPr>
        <w:t xml:space="preserve">Bref, la preuve par ouï-dire est présumée inadmissible, car il est difficile de contrôler la fiabilité de la déclaration.  Outre l’impossibilité pour le juge des faits d’apprécier le comportement du déclarant au moment où il fait la déclaration, les </w:t>
      </w:r>
      <w:r w:rsidRPr="00D964C7">
        <w:rPr>
          <w:rFonts w:cs="Times New Roman"/>
          <w:lang w:val="fr-CA"/>
        </w:rPr>
        <w:lastRenderedPageBreak/>
        <w:t xml:space="preserve">tribunaux et les auteurs de doctrine ont recensé quatre sujets de préoccupation, à savoir la perception du déclarant, sa mémoire, sa relation du fait et sa sincérité : </w:t>
      </w:r>
      <w:r w:rsidR="00056CE2">
        <w:rPr>
          <w:rFonts w:cs="Times New Roman"/>
          <w:i/>
          <w:lang w:val="fr-CA"/>
        </w:rPr>
        <w:t xml:space="preserve"> </w:t>
      </w:r>
      <w:proofErr w:type="spellStart"/>
      <w:r w:rsidR="00056CE2">
        <w:rPr>
          <w:rFonts w:cs="Times New Roman"/>
          <w:i/>
          <w:lang w:val="fr-CA"/>
        </w:rPr>
        <w:t>Khelawon</w:t>
      </w:r>
      <w:proofErr w:type="spellEnd"/>
      <w:r w:rsidR="00056CE2" w:rsidRPr="00056CE2">
        <w:rPr>
          <w:rFonts w:cs="Times New Roman"/>
          <w:lang w:val="fr-CA"/>
        </w:rPr>
        <w:t>,</w:t>
      </w:r>
      <w:r w:rsidRPr="00056CE2">
        <w:rPr>
          <w:rFonts w:cs="Times New Roman"/>
          <w:lang w:val="fr-CA"/>
        </w:rPr>
        <w:t xml:space="preserve"> </w:t>
      </w:r>
      <w:r w:rsidRPr="00D964C7">
        <w:rPr>
          <w:rFonts w:cs="Times New Roman"/>
          <w:lang w:val="fr-CA"/>
        </w:rPr>
        <w:t xml:space="preserve">par. 2; </w:t>
      </w:r>
      <w:r w:rsidRPr="00D964C7">
        <w:rPr>
          <w:rFonts w:cs="Times New Roman"/>
          <w:i/>
          <w:lang w:val="fr-CA"/>
        </w:rPr>
        <w:t xml:space="preserve">R. c. </w:t>
      </w:r>
      <w:proofErr w:type="spellStart"/>
      <w:r w:rsidRPr="00D964C7">
        <w:rPr>
          <w:rFonts w:cs="Times New Roman"/>
          <w:i/>
          <w:lang w:val="fr-CA"/>
        </w:rPr>
        <w:t>Starr</w:t>
      </w:r>
      <w:proofErr w:type="spellEnd"/>
      <w:r w:rsidRPr="00D964C7">
        <w:rPr>
          <w:rFonts w:cs="Times New Roman"/>
          <w:lang w:val="fr-CA"/>
        </w:rPr>
        <w:t xml:space="preserve">, 2000 CSC 40, [2000] 2 R.C.S. 144, par. 159.    </w:t>
      </w:r>
    </w:p>
    <w:p w:rsidR="009D7689" w:rsidRPr="00D964C7" w:rsidRDefault="009D7689" w:rsidP="009D7689">
      <w:pPr>
        <w:pStyle w:val="ParaNoNdepar-AltN"/>
        <w:rPr>
          <w:rFonts w:cs="Times New Roman"/>
          <w:lang w:val="fr-CA"/>
        </w:rPr>
      </w:pPr>
      <w:r w:rsidRPr="00D964C7">
        <w:rPr>
          <w:rFonts w:cs="Times New Roman"/>
          <w:lang w:val="fr-CA"/>
        </w:rPr>
        <w:t xml:space="preserve">Premièrement, il se peut que le déclarant ait </w:t>
      </w:r>
      <w:r w:rsidRPr="00D964C7">
        <w:rPr>
          <w:rFonts w:cs="Times New Roman"/>
          <w:i/>
          <w:lang w:val="fr-CA"/>
        </w:rPr>
        <w:t>mal perçu</w:t>
      </w:r>
      <w:r w:rsidRPr="00D964C7">
        <w:rPr>
          <w:rFonts w:cs="Times New Roman"/>
          <w:lang w:val="fr-CA"/>
        </w:rPr>
        <w:t xml:space="preserve"> les faits relatés dans sa déclaration; deuxièmement, même s’il a correctement perçu les faits pertinents, il se peut qu’il ne se les </w:t>
      </w:r>
      <w:r w:rsidRPr="00D964C7">
        <w:rPr>
          <w:rFonts w:cs="Times New Roman"/>
          <w:i/>
          <w:lang w:val="fr-CA"/>
        </w:rPr>
        <w:t>remémore pas fidèlement</w:t>
      </w:r>
      <w:r w:rsidRPr="00D964C7">
        <w:rPr>
          <w:rFonts w:cs="Times New Roman"/>
          <w:lang w:val="fr-CA"/>
        </w:rPr>
        <w:t xml:space="preserve">; troisièmement, il est possible qu’en relatant les faits pertinents il </w:t>
      </w:r>
      <w:r w:rsidRPr="00D964C7">
        <w:rPr>
          <w:rFonts w:cs="Times New Roman"/>
          <w:i/>
          <w:lang w:val="fr-CA"/>
        </w:rPr>
        <w:t>induise involontairement en erreur</w:t>
      </w:r>
      <w:r w:rsidRPr="00D964C7">
        <w:rPr>
          <w:rFonts w:cs="Times New Roman"/>
          <w:lang w:val="fr-CA"/>
        </w:rPr>
        <w:t xml:space="preserve">; finalement, il pourrait avoir </w:t>
      </w:r>
      <w:r w:rsidRPr="00D964C7">
        <w:rPr>
          <w:rFonts w:cs="Times New Roman"/>
          <w:i/>
          <w:lang w:val="fr-CA"/>
        </w:rPr>
        <w:t>sciemment fait une fausse déclaration</w:t>
      </w:r>
      <w:r w:rsidRPr="00D964C7">
        <w:rPr>
          <w:rFonts w:cs="Times New Roman"/>
          <w:lang w:val="fr-CA"/>
        </w:rPr>
        <w:t xml:space="preserve">.  La possibilité de sonder en profondeur ces éventuelles sources d’erreur ne se présente que si le déclarant comparaît pour être </w:t>
      </w:r>
      <w:proofErr w:type="spellStart"/>
      <w:r w:rsidRPr="00D964C7">
        <w:rPr>
          <w:rFonts w:cs="Times New Roman"/>
          <w:lang w:val="fr-CA"/>
        </w:rPr>
        <w:t>contre</w:t>
      </w:r>
      <w:r w:rsidRPr="00D964C7">
        <w:rPr>
          <w:rFonts w:cs="Times New Roman"/>
          <w:lang w:val="fr-CA"/>
        </w:rPr>
        <w:noBreakHyphen/>
        <w:t>interrogé</w:t>
      </w:r>
      <w:proofErr w:type="spellEnd"/>
      <w:r w:rsidRPr="00D964C7">
        <w:rPr>
          <w:rFonts w:cs="Times New Roman"/>
          <w:lang w:val="fr-CA"/>
        </w:rPr>
        <w:t>.</w:t>
      </w:r>
    </w:p>
    <w:p w:rsidR="009D7689" w:rsidRPr="00D964C7" w:rsidRDefault="009D7689" w:rsidP="009D7689">
      <w:pPr>
        <w:pStyle w:val="ParaNoNdepar-AltN"/>
        <w:rPr>
          <w:rFonts w:cs="Times New Roman"/>
          <w:lang w:val="fr-CA"/>
        </w:rPr>
      </w:pPr>
      <w:r w:rsidRPr="00D964C7">
        <w:rPr>
          <w:rFonts w:cs="Times New Roman"/>
          <w:lang w:val="fr-CA"/>
        </w:rPr>
        <w:t xml:space="preserve">Au fil des ans, plusieurs exceptions ont été reconnues en </w:t>
      </w:r>
      <w:proofErr w:type="spellStart"/>
      <w:r w:rsidRPr="00D964C7">
        <w:rPr>
          <w:rFonts w:cs="Times New Roman"/>
          <w:lang w:val="fr-CA"/>
        </w:rPr>
        <w:t>common</w:t>
      </w:r>
      <w:proofErr w:type="spellEnd"/>
      <w:r w:rsidRPr="00D964C7">
        <w:rPr>
          <w:rFonts w:cs="Times New Roman"/>
          <w:lang w:val="fr-CA"/>
        </w:rPr>
        <w:t xml:space="preserve"> </w:t>
      </w:r>
      <w:proofErr w:type="spellStart"/>
      <w:r w:rsidRPr="00D964C7">
        <w:rPr>
          <w:rFonts w:cs="Times New Roman"/>
          <w:lang w:val="fr-CA"/>
        </w:rPr>
        <w:t>law</w:t>
      </w:r>
      <w:proofErr w:type="spellEnd"/>
      <w:r w:rsidRPr="00D964C7">
        <w:rPr>
          <w:rFonts w:cs="Times New Roman"/>
          <w:lang w:val="fr-CA"/>
        </w:rPr>
        <w:t>, au motif qu’une application trop rigide de la règle d’exclusion entraverait le processus de recherche de la vérité.  Comme l’explique J.</w:t>
      </w:r>
      <w:r w:rsidR="00056CE2">
        <w:rPr>
          <w:rFonts w:cs="Times New Roman"/>
          <w:lang w:val="fr-CA"/>
        </w:rPr>
        <w:t xml:space="preserve"> </w:t>
      </w:r>
      <w:r w:rsidRPr="00D964C7">
        <w:rPr>
          <w:rFonts w:cs="Times New Roman"/>
          <w:lang w:val="fr-CA"/>
        </w:rPr>
        <w:t xml:space="preserve">H. </w:t>
      </w:r>
      <w:proofErr w:type="spellStart"/>
      <w:r w:rsidRPr="00D964C7">
        <w:rPr>
          <w:rFonts w:cs="Times New Roman"/>
          <w:lang w:val="fr-CA"/>
        </w:rPr>
        <w:t>Wigmore</w:t>
      </w:r>
      <w:proofErr w:type="spellEnd"/>
      <w:r w:rsidRPr="00D964C7">
        <w:rPr>
          <w:rFonts w:cs="Times New Roman"/>
          <w:lang w:val="fr-CA"/>
        </w:rPr>
        <w:t> :</w:t>
      </w:r>
    </w:p>
    <w:p w:rsidR="009D7689" w:rsidRPr="00D964C7" w:rsidRDefault="009D7689" w:rsidP="009D7689">
      <w:pPr>
        <w:pStyle w:val="Citation-AltC"/>
        <w:spacing w:after="240"/>
        <w:ind w:left="1168" w:hanging="1168"/>
        <w:contextualSpacing w:val="0"/>
        <w:rPr>
          <w:lang w:val="fr-CA"/>
        </w:rPr>
      </w:pPr>
      <w:r w:rsidRPr="00D964C7">
        <w:rPr>
          <w:smallCaps/>
          <w:lang w:val="fr-CA"/>
        </w:rPr>
        <w:tab/>
        <w:t>[traduction]</w:t>
      </w:r>
      <w:r w:rsidRPr="00D964C7">
        <w:rPr>
          <w:lang w:val="fr-CA"/>
        </w:rPr>
        <w:t xml:space="preserve">  La règle </w:t>
      </w:r>
      <w:proofErr w:type="gramStart"/>
      <w:r w:rsidRPr="00D964C7">
        <w:rPr>
          <w:lang w:val="fr-CA"/>
        </w:rPr>
        <w:t xml:space="preserve">du </w:t>
      </w:r>
      <w:proofErr w:type="spellStart"/>
      <w:r w:rsidRPr="00D964C7">
        <w:rPr>
          <w:lang w:val="fr-CA"/>
        </w:rPr>
        <w:t>ouï</w:t>
      </w:r>
      <w:r w:rsidRPr="00D964C7">
        <w:rPr>
          <w:lang w:val="fr-CA"/>
        </w:rPr>
        <w:noBreakHyphen/>
        <w:t>dire</w:t>
      </w:r>
      <w:proofErr w:type="spellEnd"/>
      <w:proofErr w:type="gramEnd"/>
      <w:r w:rsidRPr="00D964C7">
        <w:rPr>
          <w:lang w:val="fr-CA"/>
        </w:rPr>
        <w:t xml:space="preserve"> repose sur la théorie [. . .] que c’est l’épreuve du </w:t>
      </w:r>
      <w:proofErr w:type="spellStart"/>
      <w:r w:rsidRPr="00D964C7">
        <w:rPr>
          <w:lang w:val="fr-CA"/>
        </w:rPr>
        <w:t>contre</w:t>
      </w:r>
      <w:r w:rsidRPr="00D964C7">
        <w:rPr>
          <w:lang w:val="fr-CA"/>
        </w:rPr>
        <w:noBreakHyphen/>
        <w:t>interrogatoire</w:t>
      </w:r>
      <w:proofErr w:type="spellEnd"/>
      <w:r w:rsidRPr="00D964C7">
        <w:rPr>
          <w:lang w:val="fr-CA"/>
        </w:rPr>
        <w:t xml:space="preserve"> qui peut le mieux révéler et dévoiler, le cas échéant, les nombreuses sources possibles d’inexactitude et de manque de fiabilité que peut receler la simple déclaration non vérifiée d’un témoin.  Mais, dans une situation donnée, cette épreuve ou cette garantie peut être superflue; il peut être suffisamment clair, dans ce cas, que la déclaration ne comporte aucun risque d’inexactitude ou de manque de fiabilité, de sorte que le </w:t>
      </w:r>
      <w:proofErr w:type="spellStart"/>
      <w:r w:rsidRPr="00D964C7">
        <w:rPr>
          <w:lang w:val="fr-CA"/>
        </w:rPr>
        <w:t>contre</w:t>
      </w:r>
      <w:r w:rsidRPr="00D964C7">
        <w:rPr>
          <w:lang w:val="fr-CA"/>
        </w:rPr>
        <w:noBreakHyphen/>
        <w:t>interrogatoire</w:t>
      </w:r>
      <w:proofErr w:type="spellEnd"/>
      <w:r w:rsidRPr="00D964C7">
        <w:rPr>
          <w:lang w:val="fr-CA"/>
        </w:rPr>
        <w:t xml:space="preserve"> serait un exercice surérogatoire.  De plus, cette épreuve peut être impossible à faire subir en raison, par exemple, du décès du déclarant, de sorte que, si on doit utiliser son témoignage, il faut l’accepter sans qu’il soit vérifié.</w:t>
      </w:r>
    </w:p>
    <w:p w:rsidR="009D7689" w:rsidRPr="00D964C7" w:rsidRDefault="009D7689" w:rsidP="00056CE2">
      <w:pPr>
        <w:pStyle w:val="Citation-AltC"/>
        <w:tabs>
          <w:tab w:val="left" w:pos="0"/>
        </w:tabs>
        <w:ind w:left="0"/>
        <w:rPr>
          <w:lang w:val="fr-CA"/>
        </w:rPr>
      </w:pPr>
      <w:proofErr w:type="gramStart"/>
      <w:r w:rsidRPr="00D964C7">
        <w:t>(</w:t>
      </w:r>
      <w:proofErr w:type="spellStart"/>
      <w:r w:rsidRPr="00D964C7">
        <w:rPr>
          <w:i/>
        </w:rPr>
        <w:t>Wigmore</w:t>
      </w:r>
      <w:proofErr w:type="spellEnd"/>
      <w:r w:rsidRPr="00D964C7">
        <w:rPr>
          <w:i/>
        </w:rPr>
        <w:t xml:space="preserve"> on Evidence</w:t>
      </w:r>
      <w:r w:rsidRPr="00D964C7">
        <w:t xml:space="preserve"> (2</w:t>
      </w:r>
      <w:r w:rsidRPr="00D964C7">
        <w:rPr>
          <w:vertAlign w:val="superscript"/>
        </w:rPr>
        <w:t>e</w:t>
      </w:r>
      <w:r w:rsidRPr="00D964C7">
        <w:t> </w:t>
      </w:r>
      <w:proofErr w:type="spellStart"/>
      <w:r w:rsidRPr="00D964C7">
        <w:t>éd</w:t>
      </w:r>
      <w:proofErr w:type="spellEnd"/>
      <w:r w:rsidRPr="00D964C7">
        <w:t>. 1923), vol. </w:t>
      </w:r>
      <w:r w:rsidRPr="00D964C7">
        <w:rPr>
          <w:lang w:val="fr-CA"/>
        </w:rPr>
        <w:t xml:space="preserve">III, §1420, cité avec approbation dans </w:t>
      </w:r>
      <w:r w:rsidRPr="00D964C7">
        <w:rPr>
          <w:i/>
          <w:lang w:val="fr-CA"/>
        </w:rPr>
        <w:t>R. c. Smith</w:t>
      </w:r>
      <w:r w:rsidRPr="00D964C7">
        <w:rPr>
          <w:lang w:val="fr-CA"/>
        </w:rPr>
        <w:t>, [1992] 2 R.C.S. 915, p. 929</w:t>
      </w:r>
      <w:r w:rsidR="0058209F">
        <w:rPr>
          <w:lang w:val="fr-CA"/>
        </w:rPr>
        <w:t>.</w:t>
      </w:r>
      <w:r w:rsidRPr="00D964C7">
        <w:rPr>
          <w:lang w:val="fr-CA"/>
        </w:rPr>
        <w:t>)</w:t>
      </w:r>
      <w:proofErr w:type="gramEnd"/>
      <w:r w:rsidRPr="00D964C7">
        <w:rPr>
          <w:lang w:val="fr-CA"/>
        </w:rPr>
        <w:t xml:space="preserve"> </w:t>
      </w:r>
    </w:p>
    <w:p w:rsidR="009D7689" w:rsidRPr="00D964C7" w:rsidRDefault="009D7689" w:rsidP="009D7689">
      <w:pPr>
        <w:pStyle w:val="ParaNoNdepar-AltN"/>
        <w:rPr>
          <w:rFonts w:cs="Times New Roman"/>
          <w:lang w:val="fr-CA"/>
        </w:rPr>
      </w:pPr>
      <w:r w:rsidRPr="00D964C7">
        <w:rPr>
          <w:rFonts w:cs="Times New Roman"/>
          <w:lang w:val="fr-CA"/>
        </w:rPr>
        <w:lastRenderedPageBreak/>
        <w:t xml:space="preserve">À partir de l’arrêt </w:t>
      </w:r>
      <w:r w:rsidRPr="00D964C7">
        <w:rPr>
          <w:rFonts w:cs="Times New Roman"/>
          <w:i/>
          <w:lang w:val="fr-CA"/>
        </w:rPr>
        <w:t>R. c. Khan</w:t>
      </w:r>
      <w:r w:rsidRPr="00D964C7">
        <w:rPr>
          <w:rFonts w:cs="Times New Roman"/>
          <w:lang w:val="fr-CA"/>
        </w:rPr>
        <w:t xml:space="preserve">, [1990] 2 R.C.S. 531, la Cour s’est écartée de la notion d’un ensemble de catégories d’exceptions à la règle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conçues par les tribunaux, préférant établir une approche téléologique, régie par un cadre d’analyse raisonnée, que la juge en chef McLachlin énonce en ces termes dans </w:t>
      </w:r>
      <w:r w:rsidRPr="00D964C7">
        <w:rPr>
          <w:rFonts w:cs="Times New Roman"/>
          <w:i/>
          <w:lang w:val="fr-CA"/>
        </w:rPr>
        <w:t xml:space="preserve">R. c. </w:t>
      </w:r>
      <w:proofErr w:type="spellStart"/>
      <w:r w:rsidRPr="00D964C7">
        <w:rPr>
          <w:rFonts w:cs="Times New Roman"/>
          <w:i/>
          <w:lang w:val="fr-CA"/>
        </w:rPr>
        <w:t>Mapara</w:t>
      </w:r>
      <w:proofErr w:type="spellEnd"/>
      <w:r w:rsidRPr="00D964C7">
        <w:rPr>
          <w:rFonts w:cs="Times New Roman"/>
          <w:lang w:val="fr-CA"/>
        </w:rPr>
        <w:t>, 2005 CSC 23, [2005] 1 R.C.S. 358, par. 15</w:t>
      </w:r>
      <w:r w:rsidR="00056CE2">
        <w:rPr>
          <w:rFonts w:cs="Times New Roman"/>
          <w:lang w:val="fr-CA"/>
        </w:rPr>
        <w:t xml:space="preserve"> </w:t>
      </w:r>
      <w:r w:rsidRPr="00D964C7">
        <w:rPr>
          <w:rFonts w:cs="Times New Roman"/>
          <w:lang w:val="fr-CA"/>
        </w:rPr>
        <w:t>:</w:t>
      </w:r>
    </w:p>
    <w:p w:rsidR="009D7689" w:rsidRPr="00D964C7" w:rsidRDefault="00056CE2" w:rsidP="009D7689">
      <w:pPr>
        <w:pStyle w:val="Citation-AltC"/>
        <w:tabs>
          <w:tab w:val="left" w:pos="1620"/>
        </w:tabs>
        <w:spacing w:after="240"/>
        <w:ind w:left="1560" w:hanging="392"/>
        <w:contextualSpacing w:val="0"/>
        <w:rPr>
          <w:lang w:val="fr-CA"/>
        </w:rPr>
      </w:pPr>
      <w:r>
        <w:rPr>
          <w:lang w:val="fr-CA"/>
        </w:rPr>
        <w:t>a)</w:t>
      </w:r>
      <w:r>
        <w:rPr>
          <w:lang w:val="fr-CA"/>
        </w:rPr>
        <w:tab/>
      </w:r>
      <w:r w:rsidR="009D7689" w:rsidRPr="00D964C7">
        <w:rPr>
          <w:lang w:val="fr-CA"/>
        </w:rPr>
        <w:t xml:space="preserve">La preuve par </w:t>
      </w:r>
      <w:proofErr w:type="spellStart"/>
      <w:r w:rsidR="009D7689" w:rsidRPr="00D964C7">
        <w:rPr>
          <w:lang w:val="fr-CA"/>
        </w:rPr>
        <w:t>ouï</w:t>
      </w:r>
      <w:r w:rsidR="009D7689" w:rsidRPr="00D964C7">
        <w:rPr>
          <w:lang w:val="fr-CA"/>
        </w:rPr>
        <w:noBreakHyphen/>
        <w:t>dire</w:t>
      </w:r>
      <w:proofErr w:type="spellEnd"/>
      <w:r w:rsidR="009D7689" w:rsidRPr="00D964C7">
        <w:rPr>
          <w:lang w:val="fr-CA"/>
        </w:rPr>
        <w:t xml:space="preserve"> est présumée inadmissible à moins de relever d’une exception à la règle du </w:t>
      </w:r>
      <w:proofErr w:type="spellStart"/>
      <w:r w:rsidR="009D7689" w:rsidRPr="00D964C7">
        <w:rPr>
          <w:lang w:val="fr-CA"/>
        </w:rPr>
        <w:t>ouï</w:t>
      </w:r>
      <w:r w:rsidR="009D7689" w:rsidRPr="00D964C7">
        <w:rPr>
          <w:lang w:val="fr-CA"/>
        </w:rPr>
        <w:noBreakHyphen/>
        <w:t>dire</w:t>
      </w:r>
      <w:proofErr w:type="spellEnd"/>
      <w:r w:rsidR="009D7689" w:rsidRPr="00D964C7">
        <w:rPr>
          <w:lang w:val="fr-CA"/>
        </w:rPr>
        <w:t xml:space="preserve">.  Les exceptions traditionnelles continuent </w:t>
      </w:r>
      <w:proofErr w:type="spellStart"/>
      <w:r w:rsidR="009D7689" w:rsidRPr="00D964C7">
        <w:rPr>
          <w:lang w:val="fr-CA"/>
        </w:rPr>
        <w:t>présomptivement</w:t>
      </w:r>
      <w:proofErr w:type="spellEnd"/>
      <w:r w:rsidR="009D7689" w:rsidRPr="00D964C7">
        <w:rPr>
          <w:lang w:val="fr-CA"/>
        </w:rPr>
        <w:t xml:space="preserve"> de s’appliquer.</w:t>
      </w:r>
    </w:p>
    <w:p w:rsidR="009D7689" w:rsidRPr="00D964C7" w:rsidRDefault="00056CE2" w:rsidP="009D7689">
      <w:pPr>
        <w:pStyle w:val="Citation-AltC"/>
        <w:spacing w:after="240"/>
        <w:ind w:left="1560" w:hanging="392"/>
        <w:contextualSpacing w:val="0"/>
        <w:rPr>
          <w:lang w:val="fr-CA"/>
        </w:rPr>
      </w:pPr>
      <w:r>
        <w:rPr>
          <w:lang w:val="fr-CA"/>
        </w:rPr>
        <w:t>b)</w:t>
      </w:r>
      <w:r>
        <w:rPr>
          <w:lang w:val="fr-CA"/>
        </w:rPr>
        <w:tab/>
      </w:r>
      <w:r w:rsidR="009D7689" w:rsidRPr="00D964C7">
        <w:rPr>
          <w:lang w:val="fr-CA"/>
        </w:rPr>
        <w:t xml:space="preserve">Il est possible de contester une exception à l’exclusion du </w:t>
      </w:r>
      <w:proofErr w:type="spellStart"/>
      <w:r w:rsidR="009D7689" w:rsidRPr="00D964C7">
        <w:rPr>
          <w:lang w:val="fr-CA"/>
        </w:rPr>
        <w:t>ouï</w:t>
      </w:r>
      <w:r w:rsidR="009D7689" w:rsidRPr="00D964C7">
        <w:rPr>
          <w:lang w:val="fr-CA"/>
        </w:rPr>
        <w:noBreakHyphen/>
        <w:t>dire</w:t>
      </w:r>
      <w:proofErr w:type="spellEnd"/>
      <w:r w:rsidR="009D7689" w:rsidRPr="00D964C7">
        <w:rPr>
          <w:lang w:val="fr-CA"/>
        </w:rPr>
        <w:t xml:space="preserve"> au motif qu’elle ne présenterait pas les indices de nécessité et de fiabilité requis par la méthode d’analyse raisonnée.  On peut la modifier au besoin pour la rendre conforme à ces exigences.</w:t>
      </w:r>
    </w:p>
    <w:p w:rsidR="009D7689" w:rsidRPr="00D964C7" w:rsidRDefault="00056CE2" w:rsidP="009D7689">
      <w:pPr>
        <w:pStyle w:val="Citation-AltC"/>
        <w:spacing w:after="240"/>
        <w:ind w:left="1560" w:hanging="392"/>
        <w:contextualSpacing w:val="0"/>
        <w:rPr>
          <w:lang w:val="fr-CA"/>
        </w:rPr>
      </w:pPr>
      <w:r>
        <w:rPr>
          <w:lang w:val="fr-CA"/>
        </w:rPr>
        <w:t>c)</w:t>
      </w:r>
      <w:r>
        <w:rPr>
          <w:lang w:val="fr-CA"/>
        </w:rPr>
        <w:tab/>
      </w:r>
      <w:r w:rsidR="009D7689" w:rsidRPr="00D964C7">
        <w:rPr>
          <w:lang w:val="fr-CA"/>
        </w:rPr>
        <w:t>Dans de « rares cas », la preuve relevant d’une exception existante peut être exclue parce que, dans les circonstances particulières de l’espèce, elle ne présente pas les indices de nécessité et de fiabilité requis.</w:t>
      </w:r>
    </w:p>
    <w:p w:rsidR="009D7689" w:rsidRPr="00D964C7" w:rsidRDefault="00056CE2" w:rsidP="009D7689">
      <w:pPr>
        <w:pStyle w:val="Citation-AltC"/>
        <w:ind w:left="1560" w:hanging="394"/>
        <w:rPr>
          <w:lang w:val="fr-CA"/>
        </w:rPr>
      </w:pPr>
      <w:r>
        <w:rPr>
          <w:lang w:val="fr-CA"/>
        </w:rPr>
        <w:t>d)</w:t>
      </w:r>
      <w:r>
        <w:rPr>
          <w:lang w:val="fr-CA"/>
        </w:rPr>
        <w:tab/>
      </w:r>
      <w:r w:rsidR="009D7689" w:rsidRPr="00D964C7">
        <w:rPr>
          <w:lang w:val="fr-CA"/>
        </w:rPr>
        <w:t xml:space="preserve">Si la preuve par </w:t>
      </w:r>
      <w:proofErr w:type="spellStart"/>
      <w:r w:rsidR="009D7689" w:rsidRPr="00D964C7">
        <w:rPr>
          <w:lang w:val="fr-CA"/>
        </w:rPr>
        <w:t>ouï</w:t>
      </w:r>
      <w:r w:rsidR="009D7689" w:rsidRPr="00D964C7">
        <w:rPr>
          <w:lang w:val="fr-CA"/>
        </w:rPr>
        <w:noBreakHyphen/>
        <w:t>dire</w:t>
      </w:r>
      <w:proofErr w:type="spellEnd"/>
      <w:r w:rsidR="009D7689" w:rsidRPr="00D964C7">
        <w:rPr>
          <w:lang w:val="fr-CA"/>
        </w:rPr>
        <w:t xml:space="preserve"> ne relève pas d’une exception à la règle d’exclusion, elle peut tout de même être admissible si l’existence d’indices de fiabilité et de nécessité est établie lors d’un </w:t>
      </w:r>
      <w:proofErr w:type="spellStart"/>
      <w:r w:rsidR="009D7689" w:rsidRPr="00D964C7">
        <w:rPr>
          <w:lang w:val="fr-CA"/>
        </w:rPr>
        <w:t>voir</w:t>
      </w:r>
      <w:r w:rsidR="009D7689" w:rsidRPr="00D964C7">
        <w:rPr>
          <w:lang w:val="fr-CA"/>
        </w:rPr>
        <w:noBreakHyphen/>
        <w:t>dire</w:t>
      </w:r>
      <w:proofErr w:type="spellEnd"/>
      <w:r w:rsidR="009D7689" w:rsidRPr="00D964C7">
        <w:rPr>
          <w:lang w:val="fr-CA"/>
        </w:rPr>
        <w:t>.</w:t>
      </w:r>
    </w:p>
    <w:p w:rsidR="009D7689" w:rsidRPr="00D964C7" w:rsidRDefault="009D7689" w:rsidP="009D7689">
      <w:pPr>
        <w:pStyle w:val="ParaNoNdepar-AltN"/>
        <w:rPr>
          <w:rFonts w:cs="Times New Roman"/>
          <w:lang w:val="fr-CA"/>
        </w:rPr>
      </w:pPr>
      <w:r w:rsidRPr="00D964C7">
        <w:rPr>
          <w:rFonts w:cs="Times New Roman"/>
          <w:lang w:val="fr-CA"/>
        </w:rPr>
        <w:t xml:space="preserve">La règle du ouï-dire, comme tant d’autres, est plus facile à énoncer qu’à appliquer.  </w:t>
      </w:r>
    </w:p>
    <w:p w:rsidR="009D7689" w:rsidRPr="00D964C7" w:rsidRDefault="009D7689" w:rsidP="009D7689">
      <w:pPr>
        <w:pStyle w:val="ParaNoNdepar-AltN"/>
        <w:rPr>
          <w:rFonts w:cs="Times New Roman"/>
          <w:lang w:val="fr-CA"/>
        </w:rPr>
      </w:pPr>
      <w:r w:rsidRPr="00D964C7">
        <w:rPr>
          <w:rFonts w:cs="Times New Roman"/>
          <w:lang w:val="fr-CA"/>
        </w:rPr>
        <w:t xml:space="preserve">Aucune preuve ne constitue à priori </w:t>
      </w:r>
      <w:proofErr w:type="gramStart"/>
      <w:r w:rsidRPr="00D964C7">
        <w:rPr>
          <w:rFonts w:cs="Times New Roman"/>
          <w:lang w:val="fr-CA"/>
        </w:rPr>
        <w:t xml:space="preserve">du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xml:space="preserve">.  Comme je le mentionne au début, son admissibilité dépend de la </w:t>
      </w:r>
      <w:r w:rsidRPr="00D964C7">
        <w:rPr>
          <w:rFonts w:cs="Times New Roman"/>
          <w:i/>
          <w:lang w:val="fr-CA"/>
        </w:rPr>
        <w:t xml:space="preserve">fin </w:t>
      </w:r>
      <w:r w:rsidRPr="00D964C7">
        <w:rPr>
          <w:rFonts w:cs="Times New Roman"/>
          <w:lang w:val="fr-CA"/>
        </w:rPr>
        <w:t xml:space="preserve">à laquelle elle est déposée.  La preuve constitue </w:t>
      </w:r>
      <w:proofErr w:type="gramStart"/>
      <w:r w:rsidRPr="00D964C7">
        <w:rPr>
          <w:rFonts w:cs="Times New Roman"/>
          <w:lang w:val="fr-CA"/>
        </w:rPr>
        <w:t xml:space="preserve">du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xml:space="preserve"> — et est présumée inadmissible — si elle est présentée pour établir la véracité de son contenu.</w:t>
      </w:r>
    </w:p>
    <w:p w:rsidR="009D7689" w:rsidRPr="00D964C7" w:rsidRDefault="009D7689" w:rsidP="009D7689">
      <w:pPr>
        <w:pStyle w:val="TitleTitre-AltT"/>
        <w:jc w:val="center"/>
        <w:rPr>
          <w:rFonts w:cs="Times New Roman"/>
          <w:lang w:val="fr-CA"/>
        </w:rPr>
      </w:pPr>
      <w:r w:rsidRPr="00D964C7">
        <w:rPr>
          <w:rFonts w:cs="Times New Roman"/>
          <w:lang w:val="fr-CA"/>
        </w:rPr>
        <w:lastRenderedPageBreak/>
        <w:t>V</w:t>
      </w:r>
    </w:p>
    <w:p w:rsidR="009D7689" w:rsidRPr="00D964C7" w:rsidRDefault="009D7689" w:rsidP="009D7689">
      <w:pPr>
        <w:pStyle w:val="ParaNoNdepar-AltN"/>
        <w:rPr>
          <w:rFonts w:cs="Times New Roman"/>
          <w:lang w:val="fr-CA"/>
        </w:rPr>
      </w:pPr>
      <w:r w:rsidRPr="00D964C7">
        <w:rPr>
          <w:rFonts w:cs="Times New Roman"/>
          <w:lang w:val="fr-CA"/>
        </w:rPr>
        <w:t xml:space="preserve">Manifestement, en l’espèce, le ministère public a présenté le témoignage du sergent </w:t>
      </w:r>
      <w:proofErr w:type="spellStart"/>
      <w:r w:rsidRPr="00D964C7">
        <w:rPr>
          <w:rFonts w:cs="Times New Roman"/>
          <w:lang w:val="fr-CA"/>
        </w:rPr>
        <w:t>Martelle</w:t>
      </w:r>
      <w:proofErr w:type="spellEnd"/>
      <w:r w:rsidRPr="00D964C7">
        <w:rPr>
          <w:rFonts w:cs="Times New Roman"/>
          <w:lang w:val="fr-CA"/>
        </w:rPr>
        <w:t xml:space="preserve"> comme preuve de la véracité de son contenu.  Puisque le déclarant n’a pas été appelé à témoigner, la déposition du policier constituait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et, de ce fait, était présumée inadmissible.  J’estime donc que le juge du procès a commis une erreur en n’examinant pas la preuve suivant la méthode d’analyse raisonnée.</w:t>
      </w:r>
    </w:p>
    <w:p w:rsidR="009D7689" w:rsidRPr="00D964C7" w:rsidRDefault="009D7689" w:rsidP="009D7689">
      <w:pPr>
        <w:pStyle w:val="ParaNoNdepar-AltN"/>
        <w:rPr>
          <w:rFonts w:cs="Times New Roman"/>
          <w:lang w:val="fr-CA"/>
        </w:rPr>
      </w:pPr>
      <w:r w:rsidRPr="00D964C7">
        <w:rPr>
          <w:rFonts w:cs="Times New Roman"/>
          <w:lang w:val="fr-CA"/>
        </w:rPr>
        <w:t xml:space="preserve">Rappelons que le sergent </w:t>
      </w:r>
      <w:proofErr w:type="spellStart"/>
      <w:r w:rsidRPr="00D964C7">
        <w:rPr>
          <w:rFonts w:cs="Times New Roman"/>
          <w:lang w:val="fr-CA"/>
        </w:rPr>
        <w:t>Martelle</w:t>
      </w:r>
      <w:proofErr w:type="spellEnd"/>
      <w:r w:rsidRPr="00D964C7">
        <w:rPr>
          <w:rFonts w:cs="Times New Roman"/>
          <w:lang w:val="fr-CA"/>
        </w:rPr>
        <w:t xml:space="preserve"> a témoigné qu’une personne, qui affirmait habiter au 327, rue Guy, a composé le numéro du téléphone cellulaire qu’il avait confisqué à Chris </w:t>
      </w:r>
      <w:proofErr w:type="spellStart"/>
      <w:r w:rsidRPr="00D964C7">
        <w:rPr>
          <w:rFonts w:cs="Times New Roman"/>
          <w:lang w:val="fr-CA"/>
        </w:rPr>
        <w:t>Baldree</w:t>
      </w:r>
      <w:proofErr w:type="spellEnd"/>
      <w:r w:rsidRPr="00D964C7">
        <w:rPr>
          <w:rFonts w:cs="Times New Roman"/>
          <w:lang w:val="fr-CA"/>
        </w:rPr>
        <w:t xml:space="preserve">, a demandé à parler à ce dernier et a commandé une once de marihuana à 150 $.  </w:t>
      </w:r>
    </w:p>
    <w:p w:rsidR="009D7689" w:rsidRPr="00D964C7" w:rsidRDefault="009D7689" w:rsidP="009D7689">
      <w:pPr>
        <w:pStyle w:val="ParaNoNdepar-AltN"/>
        <w:rPr>
          <w:rFonts w:cs="Times New Roman"/>
          <w:lang w:val="fr-CA"/>
        </w:rPr>
      </w:pPr>
      <w:r w:rsidRPr="00D964C7">
        <w:rPr>
          <w:rFonts w:cs="Times New Roman"/>
          <w:lang w:val="fr-CA"/>
        </w:rPr>
        <w:t xml:space="preserve">Je conviens avec la juge </w:t>
      </w:r>
      <w:proofErr w:type="spellStart"/>
      <w:r w:rsidRPr="00D964C7">
        <w:rPr>
          <w:rFonts w:cs="Times New Roman"/>
          <w:lang w:val="fr-CA"/>
        </w:rPr>
        <w:t>Feldman</w:t>
      </w:r>
      <w:proofErr w:type="spellEnd"/>
      <w:r w:rsidRPr="00D964C7">
        <w:rPr>
          <w:rFonts w:cs="Times New Roman"/>
          <w:lang w:val="fr-CA"/>
        </w:rPr>
        <w:t xml:space="preserve"> que le ministère public n’a pas présenté ce témoignage à titre de preuve circonstancielle que l’intimé était impliqué dans le trafic de drogue.  Le ministère public a plutôt demandé au juge des faits de conclure, sur la foi du témoignage du sergent </w:t>
      </w:r>
      <w:proofErr w:type="spellStart"/>
      <w:r w:rsidRPr="00D964C7">
        <w:rPr>
          <w:rFonts w:cs="Times New Roman"/>
          <w:lang w:val="fr-CA"/>
        </w:rPr>
        <w:t>Martelle</w:t>
      </w:r>
      <w:proofErr w:type="spellEnd"/>
      <w:r w:rsidRPr="00D964C7">
        <w:rPr>
          <w:rFonts w:cs="Times New Roman"/>
          <w:lang w:val="fr-CA"/>
        </w:rPr>
        <w:t xml:space="preserve">, que l’auteur anonyme de l’appel avait l’intention d’acheter de la marihuana de l’intimé </w:t>
      </w:r>
      <w:r w:rsidRPr="00D964C7">
        <w:rPr>
          <w:rFonts w:cs="Times New Roman"/>
          <w:i/>
          <w:lang w:val="fr-CA"/>
        </w:rPr>
        <w:t>parce qu’il croyait que ce dernier était un trafiquant de drogue</w:t>
      </w:r>
      <w:r w:rsidRPr="00D964C7">
        <w:rPr>
          <w:rFonts w:cs="Times New Roman"/>
          <w:lang w:val="fr-CA"/>
        </w:rPr>
        <w:t xml:space="preserve">.  La pertinence de la déclaration dépend donc de la véracité de la croyance </w:t>
      </w:r>
      <w:proofErr w:type="spellStart"/>
      <w:r w:rsidRPr="00D964C7">
        <w:rPr>
          <w:rFonts w:cs="Times New Roman"/>
          <w:lang w:val="fr-CA"/>
        </w:rPr>
        <w:t>sous</w:t>
      </w:r>
      <w:r w:rsidRPr="00D964C7">
        <w:rPr>
          <w:rFonts w:cs="Times New Roman"/>
          <w:lang w:val="fr-CA"/>
        </w:rPr>
        <w:noBreakHyphen/>
        <w:t>jacente</w:t>
      </w:r>
      <w:proofErr w:type="spellEnd"/>
      <w:r w:rsidRPr="00D964C7">
        <w:rPr>
          <w:rFonts w:cs="Times New Roman"/>
          <w:lang w:val="fr-CA"/>
        </w:rPr>
        <w:t xml:space="preserve"> du déclarant.  Toute inférence susceptible d’être tirée de la déclaration suppose nécessairement la véracité de </w:t>
      </w:r>
      <w:proofErr w:type="spellStart"/>
      <w:r w:rsidRPr="00D964C7">
        <w:rPr>
          <w:rFonts w:cs="Times New Roman"/>
          <w:lang w:val="fr-CA"/>
        </w:rPr>
        <w:t>celle</w:t>
      </w:r>
      <w:r w:rsidRPr="00D964C7">
        <w:rPr>
          <w:rFonts w:cs="Times New Roman"/>
          <w:lang w:val="fr-CA"/>
        </w:rPr>
        <w:noBreakHyphen/>
        <w:t>ci</w:t>
      </w:r>
      <w:proofErr w:type="spellEnd"/>
      <w:r w:rsidRPr="00D964C7">
        <w:rPr>
          <w:rFonts w:cs="Times New Roman"/>
          <w:lang w:val="fr-CA"/>
        </w:rPr>
        <w:t>.</w:t>
      </w:r>
    </w:p>
    <w:p w:rsidR="009D7689" w:rsidRPr="00D964C7" w:rsidRDefault="009D7689" w:rsidP="009D7689">
      <w:pPr>
        <w:pStyle w:val="ParaNoNdepar-AltN"/>
        <w:rPr>
          <w:rFonts w:cs="Times New Roman"/>
          <w:lang w:val="fr-CA"/>
        </w:rPr>
      </w:pPr>
      <w:r w:rsidRPr="00D964C7">
        <w:rPr>
          <w:rFonts w:cs="Times New Roman"/>
          <w:lang w:val="fr-CA"/>
        </w:rPr>
        <w:t>Si l’auteur de l’appel avait dit vouloir acheter de la drogue de M. </w:t>
      </w:r>
      <w:proofErr w:type="spellStart"/>
      <w:r w:rsidRPr="00D964C7">
        <w:rPr>
          <w:rFonts w:cs="Times New Roman"/>
          <w:lang w:val="fr-CA"/>
        </w:rPr>
        <w:t>Baldree</w:t>
      </w:r>
      <w:proofErr w:type="spellEnd"/>
      <w:r w:rsidRPr="00D964C7">
        <w:rPr>
          <w:rFonts w:cs="Times New Roman"/>
          <w:lang w:val="fr-CA"/>
        </w:rPr>
        <w:t xml:space="preserve"> parce que</w:t>
      </w:r>
      <w:r w:rsidRPr="00D964C7">
        <w:rPr>
          <w:rFonts w:cs="Times New Roman"/>
          <w:i/>
          <w:lang w:val="fr-CA"/>
        </w:rPr>
        <w:t xml:space="preserve"> M. </w:t>
      </w:r>
      <w:proofErr w:type="spellStart"/>
      <w:r w:rsidRPr="00D964C7">
        <w:rPr>
          <w:rFonts w:cs="Times New Roman"/>
          <w:i/>
          <w:lang w:val="fr-CA"/>
        </w:rPr>
        <w:t>Baldree</w:t>
      </w:r>
      <w:proofErr w:type="spellEnd"/>
      <w:r w:rsidRPr="00D964C7">
        <w:rPr>
          <w:rFonts w:cs="Times New Roman"/>
          <w:i/>
          <w:lang w:val="fr-CA"/>
        </w:rPr>
        <w:t xml:space="preserve"> en vendait</w:t>
      </w:r>
      <w:r w:rsidRPr="00D964C7">
        <w:rPr>
          <w:rFonts w:cs="Times New Roman"/>
          <w:lang w:val="fr-CA"/>
        </w:rPr>
        <w:t xml:space="preserve">, sa déclaration aurait constitué une affirmation </w:t>
      </w:r>
      <w:r w:rsidRPr="00D964C7">
        <w:rPr>
          <w:rFonts w:cs="Times New Roman"/>
          <w:lang w:val="fr-CA"/>
        </w:rPr>
        <w:lastRenderedPageBreak/>
        <w:t>expresse selon laquelle M. </w:t>
      </w:r>
      <w:proofErr w:type="spellStart"/>
      <w:r w:rsidRPr="00D964C7">
        <w:rPr>
          <w:rFonts w:cs="Times New Roman"/>
          <w:lang w:val="fr-CA"/>
        </w:rPr>
        <w:t>Baldree</w:t>
      </w:r>
      <w:proofErr w:type="spellEnd"/>
      <w:r w:rsidRPr="00D964C7">
        <w:rPr>
          <w:rFonts w:cs="Times New Roman"/>
          <w:lang w:val="fr-CA"/>
        </w:rPr>
        <w:t xml:space="preserve"> est un trafiquant de drogue.  Formulée ainsi, la déclaration aurait sans aucun doute constitué </w:t>
      </w:r>
      <w:proofErr w:type="gramStart"/>
      <w:r w:rsidRPr="00D964C7">
        <w:rPr>
          <w:rFonts w:cs="Times New Roman"/>
          <w:lang w:val="fr-CA"/>
        </w:rPr>
        <w:t xml:space="preserve">du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xml:space="preserve">.  </w:t>
      </w:r>
    </w:p>
    <w:p w:rsidR="009D7689" w:rsidRPr="00D964C7" w:rsidRDefault="009D7689" w:rsidP="009D7689">
      <w:pPr>
        <w:pStyle w:val="ParaNoNdepar-AltN"/>
        <w:rPr>
          <w:rFonts w:cs="Times New Roman"/>
          <w:lang w:val="fr-CA"/>
        </w:rPr>
      </w:pPr>
      <w:r w:rsidRPr="00D964C7">
        <w:rPr>
          <w:rFonts w:cs="Times New Roman"/>
          <w:lang w:val="fr-CA"/>
        </w:rPr>
        <w:t xml:space="preserve">Or, l’auteur de l’appel a plutôt dit vouloir </w:t>
      </w:r>
      <w:r w:rsidRPr="00D964C7">
        <w:rPr>
          <w:rFonts w:cs="Times New Roman"/>
          <w:i/>
          <w:lang w:val="fr-CA"/>
        </w:rPr>
        <w:t>acheter de la drogue de M. </w:t>
      </w:r>
      <w:proofErr w:type="spellStart"/>
      <w:r w:rsidRPr="00D964C7">
        <w:rPr>
          <w:rFonts w:cs="Times New Roman"/>
          <w:i/>
          <w:lang w:val="fr-CA"/>
        </w:rPr>
        <w:t>Baldree</w:t>
      </w:r>
      <w:proofErr w:type="spellEnd"/>
      <w:r w:rsidRPr="00D964C7">
        <w:rPr>
          <w:rFonts w:cs="Times New Roman"/>
          <w:lang w:val="fr-CA"/>
        </w:rPr>
        <w:t>.  L’affirmation selon laquelle M. </w:t>
      </w:r>
      <w:proofErr w:type="spellStart"/>
      <w:r w:rsidRPr="00D964C7">
        <w:rPr>
          <w:rFonts w:cs="Times New Roman"/>
          <w:lang w:val="fr-CA"/>
        </w:rPr>
        <w:t>Baldree</w:t>
      </w:r>
      <w:proofErr w:type="spellEnd"/>
      <w:r w:rsidRPr="00D964C7">
        <w:rPr>
          <w:rFonts w:cs="Times New Roman"/>
          <w:lang w:val="fr-CA"/>
        </w:rPr>
        <w:t xml:space="preserve"> était un trafiquant de drogue n’en était pas moins manifeste dans sa substance, même si elle se présentait sous une forme implicite plutôt qu’explicite.  Selon la thèse du ministère public, les affirmations implicites ne sont pas visées par la règle du ouï-dire, et la conversation téléphonique était présumée admissible pour cette raison.</w:t>
      </w:r>
    </w:p>
    <w:p w:rsidR="009D7689" w:rsidRPr="00D964C7" w:rsidRDefault="009D7689" w:rsidP="009D7689">
      <w:pPr>
        <w:pStyle w:val="ParaNoNdepar-AltN"/>
        <w:rPr>
          <w:rFonts w:cs="Times New Roman"/>
          <w:lang w:val="fr-CA"/>
        </w:rPr>
      </w:pPr>
      <w:r w:rsidRPr="00D964C7">
        <w:rPr>
          <w:rFonts w:cs="Times New Roman"/>
          <w:lang w:val="fr-CA"/>
        </w:rPr>
        <w:t xml:space="preserve">À mon avis, la réponse à la question de savoir si cet élément de preuve constituait ou non </w:t>
      </w:r>
      <w:proofErr w:type="gramStart"/>
      <w:r w:rsidRPr="00D964C7">
        <w:rPr>
          <w:rFonts w:cs="Times New Roman"/>
          <w:lang w:val="fr-CA"/>
        </w:rPr>
        <w:t xml:space="preserve">du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xml:space="preserve"> ne saurait être subordonnée à la manière dont la commande est formulée.  Une telle analyse formaliste fait fi de l’approche raisonnée adoptée par notre Cour à l’égard de la règle </w:t>
      </w:r>
      <w:proofErr w:type="gramStart"/>
      <w:r w:rsidRPr="00D964C7">
        <w:rPr>
          <w:rFonts w:cs="Times New Roman"/>
          <w:lang w:val="fr-CA"/>
        </w:rPr>
        <w:t xml:space="preserve">du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xml:space="preserve">.  En effet, </w:t>
      </w:r>
      <w:r w:rsidRPr="00D964C7">
        <w:rPr>
          <w:rFonts w:cs="Times New Roman"/>
          <w:smallCaps/>
          <w:lang w:val="fr-CA"/>
        </w:rPr>
        <w:t>[traduction]</w:t>
      </w:r>
      <w:r w:rsidRPr="00D964C7">
        <w:rPr>
          <w:rFonts w:cs="Times New Roman"/>
          <w:lang w:val="fr-CA"/>
        </w:rPr>
        <w:t xml:space="preserve"> « il semble absurde que la forme grammaticale des affirmations du déclarant soit déterminante » : L. </w:t>
      </w:r>
      <w:proofErr w:type="spellStart"/>
      <w:r w:rsidRPr="00D964C7">
        <w:rPr>
          <w:rFonts w:cs="Times New Roman"/>
          <w:lang w:val="fr-CA"/>
        </w:rPr>
        <w:t>Dufraimont</w:t>
      </w:r>
      <w:proofErr w:type="spellEnd"/>
      <w:r w:rsidRPr="00D964C7">
        <w:rPr>
          <w:rFonts w:cs="Times New Roman"/>
          <w:lang w:val="fr-CA"/>
        </w:rPr>
        <w:t xml:space="preserve">, Annotation to </w:t>
      </w:r>
      <w:r w:rsidRPr="00D964C7">
        <w:rPr>
          <w:rFonts w:cs="Times New Roman"/>
          <w:i/>
          <w:lang w:val="fr-CA"/>
        </w:rPr>
        <w:t xml:space="preserve">R. v. </w:t>
      </w:r>
      <w:proofErr w:type="spellStart"/>
      <w:r w:rsidRPr="00D964C7">
        <w:rPr>
          <w:rFonts w:cs="Times New Roman"/>
          <w:i/>
          <w:lang w:val="fr-CA"/>
        </w:rPr>
        <w:t>Baldree</w:t>
      </w:r>
      <w:proofErr w:type="spellEnd"/>
      <w:r w:rsidR="001F5756">
        <w:rPr>
          <w:rFonts w:cs="Times New Roman"/>
          <w:lang w:val="fr-CA"/>
        </w:rPr>
        <w:t xml:space="preserve"> (2012), 92 C.R. (6th) 331, p. 334</w:t>
      </w:r>
      <w:r w:rsidRPr="00D964C7">
        <w:rPr>
          <w:rFonts w:cs="Times New Roman"/>
          <w:lang w:val="fr-CA"/>
        </w:rPr>
        <w:t xml:space="preserve">.  </w:t>
      </w:r>
    </w:p>
    <w:p w:rsidR="009D7689" w:rsidRPr="00D964C7" w:rsidRDefault="009D7689" w:rsidP="009D7689">
      <w:pPr>
        <w:pStyle w:val="ParaNoNdepar-AltN"/>
        <w:rPr>
          <w:rFonts w:cs="Times New Roman"/>
          <w:lang w:val="fr-CA"/>
        </w:rPr>
      </w:pPr>
      <w:r w:rsidRPr="00D964C7">
        <w:rPr>
          <w:rFonts w:cs="Times New Roman"/>
          <w:lang w:val="fr-CA"/>
        </w:rPr>
        <w:t>Il n’existe aucune différence de princi</w:t>
      </w:r>
      <w:r w:rsidR="0058209F">
        <w:rPr>
          <w:rFonts w:cs="Times New Roman"/>
          <w:lang w:val="fr-CA"/>
        </w:rPr>
        <w:t xml:space="preserve">pe ou significative entre dire </w:t>
      </w:r>
      <w:r w:rsidRPr="00D964C7">
        <w:rPr>
          <w:rFonts w:cs="Times New Roman"/>
          <w:lang w:val="fr-CA"/>
        </w:rPr>
        <w:t>a) « j’appelle M. </w:t>
      </w:r>
      <w:proofErr w:type="spellStart"/>
      <w:r w:rsidRPr="00D964C7">
        <w:rPr>
          <w:rFonts w:cs="Times New Roman"/>
          <w:lang w:val="fr-CA"/>
        </w:rPr>
        <w:t>Baldree</w:t>
      </w:r>
      <w:proofErr w:type="spellEnd"/>
      <w:r w:rsidRPr="00D964C7">
        <w:rPr>
          <w:rFonts w:cs="Times New Roman"/>
          <w:lang w:val="fr-CA"/>
        </w:rPr>
        <w:t xml:space="preserve"> pour</w:t>
      </w:r>
      <w:r w:rsidR="0058209F">
        <w:rPr>
          <w:rFonts w:cs="Times New Roman"/>
          <w:lang w:val="fr-CA"/>
        </w:rPr>
        <w:t xml:space="preserve"> lui acheter de la drogue » et </w:t>
      </w:r>
      <w:r w:rsidRPr="00D964C7">
        <w:rPr>
          <w:rFonts w:cs="Times New Roman"/>
          <w:lang w:val="fr-CA"/>
        </w:rPr>
        <w:t>b) « j’appelle M. </w:t>
      </w:r>
      <w:proofErr w:type="spellStart"/>
      <w:r w:rsidRPr="00D964C7">
        <w:rPr>
          <w:rFonts w:cs="Times New Roman"/>
          <w:lang w:val="fr-CA"/>
        </w:rPr>
        <w:t>Baldree</w:t>
      </w:r>
      <w:proofErr w:type="spellEnd"/>
      <w:r w:rsidRPr="00D964C7">
        <w:rPr>
          <w:rFonts w:cs="Times New Roman"/>
          <w:lang w:val="fr-CA"/>
        </w:rPr>
        <w:t xml:space="preserve"> parce qu’il vend de la drogue ».  Quelle que soit la manière dont elle est formulée, cette déclaration extrajudiciaire est présentée à une seule fin, à savoir prouver la véracité de l’affirmation selon laquelle M. </w:t>
      </w:r>
      <w:proofErr w:type="spellStart"/>
      <w:r w:rsidRPr="00D964C7">
        <w:rPr>
          <w:rFonts w:cs="Times New Roman"/>
          <w:lang w:val="fr-CA"/>
        </w:rPr>
        <w:t>Baldree</w:t>
      </w:r>
      <w:proofErr w:type="spellEnd"/>
      <w:r w:rsidRPr="00D964C7">
        <w:rPr>
          <w:rFonts w:cs="Times New Roman"/>
          <w:lang w:val="fr-CA"/>
        </w:rPr>
        <w:t xml:space="preserve"> vend de la drogue.  Le juge des faits n’a pas à être grammairien pour comprendre la signification de cette preuve. </w:t>
      </w:r>
    </w:p>
    <w:p w:rsidR="009D7689" w:rsidRPr="00D964C7" w:rsidRDefault="009D7689" w:rsidP="009D7689">
      <w:pPr>
        <w:pStyle w:val="ParaNoNdepar-AltN"/>
        <w:rPr>
          <w:rFonts w:cs="Times New Roman"/>
          <w:lang w:val="fr-CA"/>
        </w:rPr>
      </w:pPr>
      <w:r w:rsidRPr="00D964C7">
        <w:rPr>
          <w:rFonts w:cs="Times New Roman"/>
          <w:lang w:val="fr-CA"/>
        </w:rPr>
        <w:lastRenderedPageBreak/>
        <w:t xml:space="preserve">La nécessité d’adopter une approche fonctionnelle à l’égard de l’affirmation implicite ressort à l’évidence, compte tenu des dangers inhérents au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à savoir la perception, la mémoire, la relation du fait et la sincérité.</w:t>
      </w:r>
    </w:p>
    <w:p w:rsidR="009D7689" w:rsidRPr="00D964C7" w:rsidRDefault="009D7689" w:rsidP="009D7689">
      <w:pPr>
        <w:pStyle w:val="ParaNoNdepar-AltN"/>
        <w:rPr>
          <w:rFonts w:cs="Times New Roman"/>
          <w:lang w:val="en-US"/>
        </w:rPr>
      </w:pPr>
      <w:r w:rsidRPr="00D964C7">
        <w:rPr>
          <w:rFonts w:cs="Times New Roman"/>
          <w:lang w:val="fr-CA"/>
        </w:rPr>
        <w:t xml:space="preserve">D’aucuns soutiennent que le danger relatif à la sincérité est parfois atténué dans le cas d’une affirmation implicite.  Il en est ainsi parce que </w:t>
      </w:r>
      <w:r w:rsidRPr="00D964C7">
        <w:rPr>
          <w:rFonts w:cs="Times New Roman"/>
          <w:smallCaps/>
          <w:lang w:val="fr-CA"/>
        </w:rPr>
        <w:t>[traduction]</w:t>
      </w:r>
      <w:r w:rsidRPr="00D964C7">
        <w:rPr>
          <w:rFonts w:cs="Times New Roman"/>
          <w:lang w:val="fr-CA"/>
        </w:rPr>
        <w:t xml:space="preserve"> « [s]i le déclarant n’a pas l’intention d’affirmer quoi que ce soit, il devrait alors s’ensuivre qu’il ne peut avoir l’intention de déformer quoi que ce soit » : P. R. </w:t>
      </w:r>
      <w:proofErr w:type="spellStart"/>
      <w:r w:rsidRPr="00D964C7">
        <w:rPr>
          <w:rFonts w:cs="Times New Roman"/>
          <w:lang w:val="fr-CA"/>
        </w:rPr>
        <w:t>Rice</w:t>
      </w:r>
      <w:proofErr w:type="spellEnd"/>
      <w:r w:rsidRPr="00D964C7">
        <w:rPr>
          <w:rFonts w:cs="Times New Roman"/>
          <w:lang w:val="fr-CA"/>
        </w:rPr>
        <w:t>, « </w:t>
      </w:r>
      <w:proofErr w:type="spellStart"/>
      <w:r w:rsidRPr="00D964C7">
        <w:rPr>
          <w:rFonts w:cs="Times New Roman"/>
          <w:lang w:val="fr-CA"/>
        </w:rPr>
        <w:t>Should</w:t>
      </w:r>
      <w:proofErr w:type="spellEnd"/>
      <w:r w:rsidRPr="00D964C7">
        <w:rPr>
          <w:rFonts w:cs="Times New Roman"/>
          <w:lang w:val="fr-CA"/>
        </w:rPr>
        <w:t xml:space="preserve"> </w:t>
      </w:r>
      <w:proofErr w:type="spellStart"/>
      <w:r w:rsidRPr="00D964C7">
        <w:rPr>
          <w:rFonts w:cs="Times New Roman"/>
          <w:lang w:val="fr-CA"/>
        </w:rPr>
        <w:t>Unintended</w:t>
      </w:r>
      <w:proofErr w:type="spellEnd"/>
      <w:r w:rsidRPr="00D964C7">
        <w:rPr>
          <w:rFonts w:cs="Times New Roman"/>
          <w:lang w:val="fr-CA"/>
        </w:rPr>
        <w:t xml:space="preserve"> Implications of Speech </w:t>
      </w:r>
      <w:proofErr w:type="spellStart"/>
      <w:r w:rsidRPr="00D964C7">
        <w:rPr>
          <w:rFonts w:cs="Times New Roman"/>
          <w:lang w:val="fr-CA"/>
        </w:rPr>
        <w:t>be</w:t>
      </w:r>
      <w:proofErr w:type="spellEnd"/>
      <w:r w:rsidRPr="00D964C7">
        <w:rPr>
          <w:rFonts w:cs="Times New Roman"/>
          <w:lang w:val="fr-CA"/>
        </w:rPr>
        <w:t xml:space="preserve"> </w:t>
      </w:r>
      <w:proofErr w:type="spellStart"/>
      <w:r w:rsidRPr="00D964C7">
        <w:rPr>
          <w:rFonts w:cs="Times New Roman"/>
          <w:lang w:val="fr-CA"/>
        </w:rPr>
        <w:t>Considered</w:t>
      </w:r>
      <w:proofErr w:type="spellEnd"/>
      <w:r w:rsidRPr="00D964C7">
        <w:rPr>
          <w:rFonts w:cs="Times New Roman"/>
          <w:lang w:val="fr-CA"/>
        </w:rPr>
        <w:t xml:space="preserve"> </w:t>
      </w:r>
      <w:proofErr w:type="spellStart"/>
      <w:r w:rsidRPr="00D964C7">
        <w:rPr>
          <w:rFonts w:cs="Times New Roman"/>
          <w:lang w:val="fr-CA"/>
        </w:rPr>
        <w:t>Nonhearsay</w:t>
      </w:r>
      <w:proofErr w:type="spellEnd"/>
      <w:r w:rsidRPr="00D964C7">
        <w:rPr>
          <w:rFonts w:cs="Times New Roman"/>
          <w:lang w:val="fr-CA"/>
        </w:rPr>
        <w:t xml:space="preserve">? </w:t>
      </w:r>
      <w:r w:rsidRPr="00D964C7">
        <w:rPr>
          <w:rFonts w:cs="Times New Roman"/>
          <w:lang w:val="en-US"/>
        </w:rPr>
        <w:t xml:space="preserve">The Assertive/Nonassertive Distinction </w:t>
      </w:r>
      <w:proofErr w:type="gramStart"/>
      <w:r w:rsidRPr="00D964C7">
        <w:rPr>
          <w:rFonts w:cs="Times New Roman"/>
          <w:lang w:val="en-US"/>
        </w:rPr>
        <w:t>Under</w:t>
      </w:r>
      <w:proofErr w:type="gramEnd"/>
      <w:r w:rsidRPr="00D964C7">
        <w:rPr>
          <w:rFonts w:cs="Times New Roman"/>
          <w:lang w:val="en-US"/>
        </w:rPr>
        <w:t xml:space="preserve"> Rule 801(a) of the Federal Rules of Evidence » (1992), 65 </w:t>
      </w:r>
      <w:r w:rsidRPr="00D964C7">
        <w:rPr>
          <w:rFonts w:cs="Times New Roman"/>
          <w:i/>
          <w:lang w:val="en-US"/>
        </w:rPr>
        <w:t>Temp. L. Rev.</w:t>
      </w:r>
      <w:r w:rsidRPr="00D964C7">
        <w:rPr>
          <w:rFonts w:cs="Times New Roman"/>
          <w:lang w:val="en-US"/>
        </w:rPr>
        <w:t xml:space="preserve"> 529, p. 531.  </w:t>
      </w:r>
    </w:p>
    <w:p w:rsidR="009D7689" w:rsidRPr="00D964C7" w:rsidRDefault="009D7689" w:rsidP="009D7689">
      <w:pPr>
        <w:pStyle w:val="ParaNoNdepar-AltN"/>
        <w:rPr>
          <w:rFonts w:cs="Times New Roman"/>
          <w:lang w:val="fr-CA"/>
        </w:rPr>
      </w:pPr>
      <w:r w:rsidRPr="00D964C7">
        <w:rPr>
          <w:rFonts w:cs="Times New Roman"/>
          <w:lang w:val="fr-CA"/>
        </w:rPr>
        <w:t xml:space="preserve">En revanche, il ne fait aucun doute que les autres dangers inhérents au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demeurent présents, voire augmentent lorsqu’une personne « affirme » en quelque sorte un fait de manière implicite :</w:t>
      </w:r>
    </w:p>
    <w:p w:rsidR="009D7689" w:rsidRPr="00D964C7" w:rsidRDefault="009D7689" w:rsidP="009D7689">
      <w:pPr>
        <w:pStyle w:val="Citation-AltC"/>
        <w:spacing w:after="240"/>
        <w:ind w:left="1168" w:hanging="1168"/>
        <w:contextualSpacing w:val="0"/>
        <w:rPr>
          <w:lang w:val="fr-CA"/>
        </w:rPr>
      </w:pPr>
      <w:r w:rsidRPr="00D964C7">
        <w:rPr>
          <w:smallCaps/>
          <w:lang w:val="fr-CA"/>
        </w:rPr>
        <w:tab/>
        <w:t xml:space="preserve">[traduction] </w:t>
      </w:r>
      <w:r w:rsidRPr="00D964C7">
        <w:rPr>
          <w:lang w:val="fr-CA"/>
        </w:rPr>
        <w:t xml:space="preserve"> Si l’on examine la question du point de vue des quatre dangers inhérents au </w:t>
      </w:r>
      <w:proofErr w:type="spellStart"/>
      <w:r w:rsidRPr="00D964C7">
        <w:rPr>
          <w:lang w:val="fr-CA"/>
        </w:rPr>
        <w:t>ouï</w:t>
      </w:r>
      <w:r w:rsidRPr="00D964C7">
        <w:rPr>
          <w:lang w:val="fr-CA"/>
        </w:rPr>
        <w:noBreakHyphen/>
        <w:t>dire</w:t>
      </w:r>
      <w:proofErr w:type="spellEnd"/>
      <w:r w:rsidRPr="00D964C7">
        <w:rPr>
          <w:lang w:val="fr-CA"/>
        </w:rPr>
        <w:t xml:space="preserve">, le risque de mensonge est considérablement réduit si le déclarant n’avait pas l’intention d’affirmer ce que sa déclaration est censée prouver, en particulier s’il n’avait aucunement l’intention de faire une déclaration de fait.  Par contre, les autres dangers en matière de </w:t>
      </w:r>
      <w:proofErr w:type="spellStart"/>
      <w:r w:rsidRPr="00D964C7">
        <w:rPr>
          <w:lang w:val="fr-CA"/>
        </w:rPr>
        <w:t>ouï</w:t>
      </w:r>
      <w:r w:rsidRPr="00D964C7">
        <w:rPr>
          <w:lang w:val="fr-CA"/>
        </w:rPr>
        <w:noBreakHyphen/>
        <w:t>dire</w:t>
      </w:r>
      <w:proofErr w:type="spellEnd"/>
      <w:r w:rsidRPr="00D964C7">
        <w:rPr>
          <w:lang w:val="fr-CA"/>
        </w:rPr>
        <w:t xml:space="preserve"> subsistent, à savoir, le risque de perception erronée, de mémoire défaillante (à moins que l’affirmation implicite ne porte sur l’état d’esprit du déclarant) et d’ambiguïté.  En fait, ce dernier danger pourrait être accru.  Lorsque X demande si Z est là, doit-on comprendre uniquement que Z n’accompagne pas X, ou bien que Z n’accompagne pas X et que ce dernier le cherche, ou alors que Z est en danger, ou encore que X veut savoir où se trouve Z?  </w:t>
      </w:r>
      <w:r w:rsidRPr="00D964C7">
        <w:rPr>
          <w:i/>
          <w:lang w:val="fr-CA"/>
        </w:rPr>
        <w:t>En conséquence, dans de nombreux cas, la valeur de l’affirmation implicite, tout comme celle de l’affirmation expresse, est fonction de la fiabilité de son auteur</w:t>
      </w:r>
      <w:r w:rsidRPr="007D205C">
        <w:rPr>
          <w:lang w:val="fr-CA"/>
        </w:rPr>
        <w:t xml:space="preserve">. </w:t>
      </w:r>
      <w:r w:rsidRPr="00D964C7">
        <w:rPr>
          <w:lang w:val="fr-CA"/>
        </w:rPr>
        <w:t>[</w:t>
      </w:r>
      <w:r w:rsidR="0058209F">
        <w:rPr>
          <w:lang w:val="fr-CA"/>
        </w:rPr>
        <w:t>Italiques ajoutés</w:t>
      </w:r>
      <w:r w:rsidRPr="00D964C7">
        <w:rPr>
          <w:lang w:val="fr-CA"/>
        </w:rPr>
        <w:t>.]</w:t>
      </w:r>
    </w:p>
    <w:p w:rsidR="009D7689" w:rsidRPr="00D964C7" w:rsidRDefault="007D205C" w:rsidP="009D7689">
      <w:pPr>
        <w:pStyle w:val="Citation-AltC"/>
        <w:ind w:hanging="1166"/>
        <w:rPr>
          <w:lang w:val="fr-CA"/>
        </w:rPr>
      </w:pPr>
      <w:r>
        <w:rPr>
          <w:lang w:val="fr-CA"/>
        </w:rPr>
        <w:t>(H. M. Malek</w:t>
      </w:r>
      <w:r w:rsidR="009D7689" w:rsidRPr="00D964C7">
        <w:rPr>
          <w:lang w:val="fr-CA"/>
        </w:rPr>
        <w:t xml:space="preserve"> et a</w:t>
      </w:r>
      <w:r w:rsidR="0058209F">
        <w:rPr>
          <w:lang w:val="fr-CA"/>
        </w:rPr>
        <w:t>utres</w:t>
      </w:r>
      <w:r>
        <w:rPr>
          <w:lang w:val="fr-CA"/>
        </w:rPr>
        <w:t>,</w:t>
      </w:r>
      <w:r w:rsidR="009D7689" w:rsidRPr="00D964C7">
        <w:rPr>
          <w:lang w:val="fr-CA"/>
        </w:rPr>
        <w:t xml:space="preserve"> </w:t>
      </w:r>
      <w:proofErr w:type="spellStart"/>
      <w:proofErr w:type="gramStart"/>
      <w:r w:rsidR="009D7689" w:rsidRPr="00D964C7">
        <w:rPr>
          <w:lang w:val="fr-CA"/>
        </w:rPr>
        <w:t>dir</w:t>
      </w:r>
      <w:proofErr w:type="spellEnd"/>
      <w:r w:rsidR="0058209F">
        <w:rPr>
          <w:lang w:val="fr-CA"/>
        </w:rPr>
        <w:t>.</w:t>
      </w:r>
      <w:r w:rsidR="009D7689" w:rsidRPr="00D964C7">
        <w:rPr>
          <w:lang w:val="fr-CA"/>
        </w:rPr>
        <w:t>,</w:t>
      </w:r>
      <w:proofErr w:type="gramEnd"/>
      <w:r w:rsidR="009D7689" w:rsidRPr="00D964C7">
        <w:rPr>
          <w:lang w:val="fr-CA"/>
        </w:rPr>
        <w:t xml:space="preserve"> </w:t>
      </w:r>
      <w:proofErr w:type="spellStart"/>
      <w:r w:rsidR="009D7689" w:rsidRPr="00D964C7">
        <w:rPr>
          <w:i/>
          <w:lang w:val="fr-CA"/>
        </w:rPr>
        <w:t>Phipson</w:t>
      </w:r>
      <w:proofErr w:type="spellEnd"/>
      <w:r w:rsidR="009D7689" w:rsidRPr="00D964C7">
        <w:rPr>
          <w:i/>
          <w:lang w:val="fr-CA"/>
        </w:rPr>
        <w:t xml:space="preserve"> on </w:t>
      </w:r>
      <w:proofErr w:type="spellStart"/>
      <w:r w:rsidR="009D7689" w:rsidRPr="00D964C7">
        <w:rPr>
          <w:i/>
          <w:lang w:val="fr-CA"/>
        </w:rPr>
        <w:t>Evidence</w:t>
      </w:r>
      <w:proofErr w:type="spellEnd"/>
      <w:r w:rsidR="009D7689" w:rsidRPr="00D964C7">
        <w:rPr>
          <w:lang w:val="fr-CA"/>
        </w:rPr>
        <w:t xml:space="preserve"> (17</w:t>
      </w:r>
      <w:r w:rsidR="009D7689" w:rsidRPr="00D964C7">
        <w:rPr>
          <w:vertAlign w:val="superscript"/>
          <w:lang w:val="fr-CA"/>
        </w:rPr>
        <w:t>e</w:t>
      </w:r>
      <w:r w:rsidR="009D7689" w:rsidRPr="00D964C7">
        <w:rPr>
          <w:lang w:val="fr-CA"/>
        </w:rPr>
        <w:t xml:space="preserve"> éd. 2010), p. 889)</w:t>
      </w:r>
    </w:p>
    <w:p w:rsidR="009D7689" w:rsidRPr="00D964C7" w:rsidRDefault="009D7689" w:rsidP="009D7689">
      <w:pPr>
        <w:pStyle w:val="ContinueParaSuitedupar-AltP"/>
        <w:rPr>
          <w:rFonts w:cs="Times New Roman"/>
          <w:lang w:val="fr-CA"/>
        </w:rPr>
      </w:pPr>
      <w:r w:rsidRPr="00D964C7">
        <w:rPr>
          <w:rFonts w:cs="Times New Roman"/>
          <w:lang w:val="fr-CA"/>
        </w:rPr>
        <w:lastRenderedPageBreak/>
        <w:t>Qui plus est, même la question de l’insincérité se pose dans le cas d’une affirmation implicite :</w:t>
      </w:r>
    </w:p>
    <w:p w:rsidR="009D7689" w:rsidRPr="00D964C7" w:rsidRDefault="009D7689" w:rsidP="006E76A3">
      <w:pPr>
        <w:pStyle w:val="Citation-AltC"/>
        <w:tabs>
          <w:tab w:val="left" w:pos="1710"/>
        </w:tabs>
        <w:ind w:hanging="1166"/>
        <w:rPr>
          <w:szCs w:val="24"/>
          <w:lang w:val="fr-CA"/>
        </w:rPr>
      </w:pPr>
      <w:r w:rsidRPr="00D964C7">
        <w:rPr>
          <w:smallCaps/>
          <w:lang w:val="fr-CA"/>
        </w:rPr>
        <w:tab/>
      </w:r>
      <w:r w:rsidR="006E76A3">
        <w:rPr>
          <w:smallCaps/>
          <w:lang w:val="fr-CA"/>
        </w:rPr>
        <w:tab/>
      </w:r>
      <w:r w:rsidRPr="00D964C7">
        <w:rPr>
          <w:smallCaps/>
          <w:lang w:val="fr-CA"/>
        </w:rPr>
        <w:t xml:space="preserve">[traduction] </w:t>
      </w:r>
      <w:r w:rsidRPr="00D964C7">
        <w:rPr>
          <w:lang w:val="fr-CA"/>
        </w:rPr>
        <w:t xml:space="preserve"> Si la distinction entre l’affirmation expresse et l’affirmation implicite tient à l’absence de problème d’insincérité, et que cette garantie de sincérité se traduit par une diminution des problèmes de perception, de mémoire et d’ambiguïté, cette distinction ne saurait s’appliquer à l’affirmation implicite verbale.  L’expression orale est un mécanisme de communication; elle sert pour ainsi dire toujours à transmettre un message à un interlocuteur.  Il est illogique de conclure que la question de la sincérité ne se pose pas et que le problème de </w:t>
      </w:r>
      <w:proofErr w:type="spellStart"/>
      <w:r w:rsidRPr="00D964C7">
        <w:rPr>
          <w:lang w:val="fr-CA"/>
        </w:rPr>
        <w:t>non</w:t>
      </w:r>
      <w:r w:rsidRPr="00D964C7">
        <w:rPr>
          <w:lang w:val="fr-CA"/>
        </w:rPr>
        <w:noBreakHyphen/>
        <w:t>fiabilité</w:t>
      </w:r>
      <w:proofErr w:type="spellEnd"/>
      <w:r w:rsidRPr="00D964C7">
        <w:rPr>
          <w:lang w:val="fr-CA"/>
        </w:rPr>
        <w:t xml:space="preserve"> est atténué en présence d’une affirmation implicite non intentionnelle découlant de paroles, s’il se peut que </w:t>
      </w:r>
      <w:proofErr w:type="spellStart"/>
      <w:r w:rsidRPr="00D964C7">
        <w:rPr>
          <w:lang w:val="fr-CA"/>
        </w:rPr>
        <w:t>celles</w:t>
      </w:r>
      <w:r w:rsidRPr="00D964C7">
        <w:rPr>
          <w:lang w:val="fr-CA"/>
        </w:rPr>
        <w:noBreakHyphen/>
        <w:t>ci</w:t>
      </w:r>
      <w:proofErr w:type="spellEnd"/>
      <w:r w:rsidRPr="00D964C7">
        <w:rPr>
          <w:lang w:val="fr-CA"/>
        </w:rPr>
        <w:t xml:space="preserve"> aient été teintées d’insincérité au départ par rapport au message direct communiqué de façon intentionnelle.  Si un manque éventuel de sincérité s’infiltre dans les paroles qui recèlent l’affirmation implicite, cette dernière sera aussi peu digne de foi que les paroles auxquelles elle est attribuable.  [</w:t>
      </w:r>
      <w:proofErr w:type="spellStart"/>
      <w:r w:rsidRPr="00D964C7">
        <w:rPr>
          <w:lang w:val="fr-CA"/>
        </w:rPr>
        <w:t>Rice</w:t>
      </w:r>
      <w:proofErr w:type="spellEnd"/>
      <w:r w:rsidRPr="00D964C7">
        <w:rPr>
          <w:lang w:val="fr-CA"/>
        </w:rPr>
        <w:t>, p. 534]</w:t>
      </w:r>
    </w:p>
    <w:p w:rsidR="009D7689" w:rsidRPr="00D964C7" w:rsidRDefault="009D7689" w:rsidP="009D7689">
      <w:pPr>
        <w:pStyle w:val="ParaNoNdepar-AltN"/>
        <w:rPr>
          <w:rFonts w:cs="Times New Roman"/>
          <w:lang w:val="fr-CA"/>
        </w:rPr>
      </w:pPr>
      <w:r w:rsidRPr="00D964C7">
        <w:rPr>
          <w:rFonts w:cs="Times New Roman"/>
          <w:lang w:val="fr-CA"/>
        </w:rPr>
        <w:t xml:space="preserve">Bref, </w:t>
      </w:r>
      <w:r w:rsidRPr="00D964C7">
        <w:rPr>
          <w:rFonts w:cs="Times New Roman"/>
          <w:smallCaps/>
          <w:lang w:val="fr-CA"/>
        </w:rPr>
        <w:t>[traduction]</w:t>
      </w:r>
      <w:r w:rsidRPr="00D964C7">
        <w:rPr>
          <w:rFonts w:cs="Times New Roman"/>
          <w:lang w:val="fr-CA"/>
        </w:rPr>
        <w:t xml:space="preserve"> « si la norme qui distingue l’affirmation expresse de l’affirmation implicite porte sur le nombre de dangers que chacune entraîne, elles ne se distinguent point » : </w:t>
      </w:r>
      <w:r w:rsidRPr="00D964C7">
        <w:rPr>
          <w:rFonts w:cs="Times New Roman"/>
          <w:szCs w:val="24"/>
          <w:lang w:val="fr-CA"/>
        </w:rPr>
        <w:t>T. </w:t>
      </w:r>
      <w:proofErr w:type="spellStart"/>
      <w:r w:rsidRPr="00D964C7">
        <w:rPr>
          <w:rFonts w:cs="Times New Roman"/>
          <w:szCs w:val="24"/>
          <w:lang w:val="fr-CA"/>
        </w:rPr>
        <w:t>Finman</w:t>
      </w:r>
      <w:proofErr w:type="spellEnd"/>
      <w:r w:rsidRPr="00D964C7">
        <w:rPr>
          <w:rFonts w:cs="Times New Roman"/>
          <w:szCs w:val="24"/>
          <w:lang w:val="fr-CA"/>
        </w:rPr>
        <w:t>, « </w:t>
      </w:r>
      <w:proofErr w:type="spellStart"/>
      <w:r w:rsidRPr="00D964C7">
        <w:rPr>
          <w:rFonts w:cs="Times New Roman"/>
          <w:szCs w:val="24"/>
          <w:lang w:val="fr-CA"/>
        </w:rPr>
        <w:t>Implied</w:t>
      </w:r>
      <w:proofErr w:type="spellEnd"/>
      <w:r w:rsidRPr="00D964C7">
        <w:rPr>
          <w:rFonts w:cs="Times New Roman"/>
          <w:szCs w:val="24"/>
          <w:lang w:val="fr-CA"/>
        </w:rPr>
        <w:t xml:space="preserve"> Assertions as </w:t>
      </w:r>
      <w:proofErr w:type="spellStart"/>
      <w:r w:rsidRPr="00D964C7">
        <w:rPr>
          <w:rFonts w:cs="Times New Roman"/>
          <w:szCs w:val="24"/>
          <w:lang w:val="fr-CA"/>
        </w:rPr>
        <w:t>Hearsay</w:t>
      </w:r>
      <w:proofErr w:type="spellEnd"/>
      <w:r w:rsidRPr="00D964C7">
        <w:rPr>
          <w:rFonts w:cs="Times New Roman"/>
          <w:szCs w:val="24"/>
          <w:lang w:val="fr-CA"/>
        </w:rPr>
        <w:t xml:space="preserve"> : </w:t>
      </w:r>
      <w:proofErr w:type="spellStart"/>
      <w:r w:rsidRPr="00D964C7">
        <w:rPr>
          <w:rFonts w:cs="Times New Roman"/>
          <w:szCs w:val="24"/>
          <w:lang w:val="fr-CA"/>
        </w:rPr>
        <w:t>Some</w:t>
      </w:r>
      <w:proofErr w:type="spellEnd"/>
      <w:r w:rsidRPr="00D964C7">
        <w:rPr>
          <w:rFonts w:cs="Times New Roman"/>
          <w:szCs w:val="24"/>
          <w:lang w:val="fr-CA"/>
        </w:rPr>
        <w:t xml:space="preserve"> </w:t>
      </w:r>
      <w:proofErr w:type="spellStart"/>
      <w:r w:rsidRPr="00D964C7">
        <w:rPr>
          <w:rFonts w:cs="Times New Roman"/>
          <w:szCs w:val="24"/>
          <w:lang w:val="fr-CA"/>
        </w:rPr>
        <w:t>Criticisms</w:t>
      </w:r>
      <w:proofErr w:type="spellEnd"/>
      <w:r w:rsidRPr="00D964C7">
        <w:rPr>
          <w:rFonts w:cs="Times New Roman"/>
          <w:szCs w:val="24"/>
          <w:lang w:val="fr-CA"/>
        </w:rPr>
        <w:t xml:space="preserve"> of the Uniform </w:t>
      </w:r>
      <w:proofErr w:type="spellStart"/>
      <w:r w:rsidRPr="00D964C7">
        <w:rPr>
          <w:rFonts w:cs="Times New Roman"/>
          <w:szCs w:val="24"/>
          <w:lang w:val="fr-CA"/>
        </w:rPr>
        <w:t>Rules</w:t>
      </w:r>
      <w:proofErr w:type="spellEnd"/>
      <w:r w:rsidRPr="00D964C7">
        <w:rPr>
          <w:rFonts w:cs="Times New Roman"/>
          <w:szCs w:val="24"/>
          <w:lang w:val="fr-CA"/>
        </w:rPr>
        <w:t xml:space="preserve"> of </w:t>
      </w:r>
      <w:proofErr w:type="spellStart"/>
      <w:r w:rsidRPr="00D964C7">
        <w:rPr>
          <w:rFonts w:cs="Times New Roman"/>
          <w:szCs w:val="24"/>
          <w:lang w:val="fr-CA"/>
        </w:rPr>
        <w:t>Evidence</w:t>
      </w:r>
      <w:proofErr w:type="spellEnd"/>
      <w:r w:rsidRPr="00D964C7">
        <w:rPr>
          <w:rFonts w:cs="Times New Roman"/>
          <w:szCs w:val="24"/>
          <w:lang w:val="fr-CA"/>
        </w:rPr>
        <w:t xml:space="preserve"> » (1962), 14 </w:t>
      </w:r>
      <w:r w:rsidRPr="00D964C7">
        <w:rPr>
          <w:rFonts w:cs="Times New Roman"/>
          <w:i/>
          <w:szCs w:val="24"/>
          <w:lang w:val="fr-CA"/>
        </w:rPr>
        <w:t xml:space="preserve">Stan. L. </w:t>
      </w:r>
      <w:proofErr w:type="spellStart"/>
      <w:r w:rsidRPr="00D964C7">
        <w:rPr>
          <w:rFonts w:cs="Times New Roman"/>
          <w:i/>
          <w:szCs w:val="24"/>
          <w:lang w:val="fr-CA"/>
        </w:rPr>
        <w:t>Rev</w:t>
      </w:r>
      <w:proofErr w:type="spellEnd"/>
      <w:r w:rsidRPr="00D964C7">
        <w:rPr>
          <w:rFonts w:cs="Times New Roman"/>
          <w:i/>
          <w:szCs w:val="24"/>
          <w:lang w:val="fr-CA"/>
        </w:rPr>
        <w:t>.</w:t>
      </w:r>
      <w:r w:rsidRPr="00D964C7">
        <w:rPr>
          <w:rFonts w:cs="Times New Roman"/>
          <w:szCs w:val="24"/>
          <w:lang w:val="fr-CA"/>
        </w:rPr>
        <w:t xml:space="preserve"> 682, </w:t>
      </w:r>
      <w:r w:rsidRPr="00D964C7">
        <w:rPr>
          <w:rFonts w:cs="Times New Roman"/>
          <w:lang w:val="fr-CA"/>
        </w:rPr>
        <w:t xml:space="preserve">p. 689.  </w:t>
      </w:r>
    </w:p>
    <w:p w:rsidR="009D7689" w:rsidRPr="00D964C7" w:rsidRDefault="009D7689" w:rsidP="009D7689">
      <w:pPr>
        <w:pStyle w:val="ParaNoNdepar-AltN"/>
        <w:rPr>
          <w:rFonts w:cs="Times New Roman"/>
          <w:lang w:val="fr-CA"/>
        </w:rPr>
      </w:pPr>
      <w:r w:rsidRPr="00D964C7">
        <w:rPr>
          <w:rFonts w:cs="Times New Roman"/>
          <w:lang w:val="fr-CA"/>
        </w:rPr>
        <w:t xml:space="preserve">Par conséquent, aucune raison de principe ne permet de distinguer les affirmations explicites et implicites, pour ce qui est d’en déterminer l’admissibilité, si elles sont toutes deux présentées pour établir la véracité de leur contenu.  Les deux types de preuve fonctionnent exactement de la même façon.  Qui plus est, les avantages qu’offre le </w:t>
      </w:r>
      <w:proofErr w:type="spellStart"/>
      <w:r w:rsidRPr="00D964C7">
        <w:rPr>
          <w:rFonts w:cs="Times New Roman"/>
          <w:lang w:val="fr-CA"/>
        </w:rPr>
        <w:t>contre</w:t>
      </w:r>
      <w:r w:rsidRPr="00D964C7">
        <w:rPr>
          <w:rFonts w:cs="Times New Roman"/>
          <w:lang w:val="fr-CA"/>
        </w:rPr>
        <w:noBreakHyphen/>
        <w:t>interrogatoire</w:t>
      </w:r>
      <w:proofErr w:type="spellEnd"/>
      <w:r w:rsidRPr="00D964C7">
        <w:rPr>
          <w:rFonts w:cs="Times New Roman"/>
          <w:lang w:val="fr-CA"/>
        </w:rPr>
        <w:t xml:space="preserve"> du déclarant ne diffèrent pas sensiblement d’une forme de témoignage à l’autre.  Si une déclaration extrajudiciaire met en jeu les dangers traditionnels inhérents </w:t>
      </w:r>
      <w:proofErr w:type="gramStart"/>
      <w:r w:rsidRPr="00D964C7">
        <w:rPr>
          <w:rFonts w:cs="Times New Roman"/>
          <w:lang w:val="fr-CA"/>
        </w:rPr>
        <w:t xml:space="preserve">au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xml:space="preserve">, elle constitue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et doit être traitée en conséquence.</w:t>
      </w:r>
    </w:p>
    <w:p w:rsidR="009D7689" w:rsidRPr="00D964C7" w:rsidRDefault="009D7689" w:rsidP="009D7689">
      <w:pPr>
        <w:pStyle w:val="ParaNoNdepar-AltN"/>
        <w:rPr>
          <w:rFonts w:cs="Times New Roman"/>
          <w:lang w:val="fr-CA"/>
        </w:rPr>
      </w:pPr>
      <w:r w:rsidRPr="00D964C7">
        <w:rPr>
          <w:rFonts w:cs="Times New Roman"/>
          <w:lang w:val="fr-CA"/>
        </w:rPr>
        <w:lastRenderedPageBreak/>
        <w:t xml:space="preserve">En l’espèce, le juge du procès et le juge dissident de la Cour d’appel ont conclu que la Cour avait tiré une conclusion différente dans </w:t>
      </w:r>
      <w:r w:rsidRPr="00D964C7">
        <w:rPr>
          <w:rFonts w:cs="Times New Roman"/>
          <w:i/>
          <w:lang w:val="fr-CA"/>
        </w:rPr>
        <w:t>Ly</w:t>
      </w:r>
      <w:r w:rsidRPr="00D964C7">
        <w:rPr>
          <w:rFonts w:cs="Times New Roman"/>
          <w:lang w:val="fr-CA"/>
        </w:rPr>
        <w:t>.  Avec égards, je ne suis pas de cet avis.</w:t>
      </w:r>
    </w:p>
    <w:p w:rsidR="009D7689" w:rsidRPr="00D964C7" w:rsidRDefault="009D7689" w:rsidP="009D7689">
      <w:pPr>
        <w:pStyle w:val="ParaNoNdepar-AltN"/>
        <w:rPr>
          <w:rFonts w:cs="Times New Roman"/>
          <w:lang w:val="fr-CA"/>
        </w:rPr>
      </w:pPr>
      <w:r w:rsidRPr="00D964C7">
        <w:rPr>
          <w:rFonts w:cs="Times New Roman"/>
          <w:lang w:val="fr-CA"/>
        </w:rPr>
        <w:t xml:space="preserve">L’affaire </w:t>
      </w:r>
      <w:r w:rsidRPr="00D964C7">
        <w:rPr>
          <w:rFonts w:cs="Times New Roman"/>
          <w:i/>
          <w:lang w:val="fr-CA"/>
        </w:rPr>
        <w:t>Ly</w:t>
      </w:r>
      <w:r w:rsidRPr="00D964C7">
        <w:rPr>
          <w:rFonts w:cs="Times New Roman"/>
          <w:lang w:val="fr-CA"/>
        </w:rPr>
        <w:t xml:space="preserve"> portait sur l’admissibilité d’une conversation téléphonique entre un agent de police qui avait composé le numéro d’une opération soupçonnée de vente de drogue sur appel et la personne qui avait répondu à son appel.  L’agent avait alors pris des dispositions pour l’achat et la livraison des substances.  L’appelant s’est présenté, en possession de la marchandise, à l’endroit et à l’heure </w:t>
      </w:r>
      <w:proofErr w:type="gramStart"/>
      <w:r w:rsidRPr="00D964C7">
        <w:rPr>
          <w:rFonts w:cs="Times New Roman"/>
          <w:lang w:val="fr-CA"/>
        </w:rPr>
        <w:t>fixés</w:t>
      </w:r>
      <w:proofErr w:type="gramEnd"/>
      <w:r w:rsidRPr="00D964C7">
        <w:rPr>
          <w:rFonts w:cs="Times New Roman"/>
          <w:lang w:val="fr-CA"/>
        </w:rPr>
        <w:t xml:space="preserve"> et a été arrêté sans délai et accusé de possession de drogue en vue d’en faire le trafic.  </w:t>
      </w:r>
    </w:p>
    <w:p w:rsidR="009D7689" w:rsidRPr="00D964C7" w:rsidRDefault="009D7689" w:rsidP="009D7689">
      <w:pPr>
        <w:pStyle w:val="ParaNoNdepar-AltN"/>
        <w:rPr>
          <w:rFonts w:cs="Times New Roman"/>
          <w:lang w:val="fr-CA"/>
        </w:rPr>
      </w:pPr>
      <w:r w:rsidRPr="00D964C7">
        <w:rPr>
          <w:rFonts w:cs="Times New Roman"/>
          <w:lang w:val="fr-CA"/>
        </w:rPr>
        <w:t>Le juge du procès a qualifié de ouï-dire la preuve concernant la conversation du policier avec son interlocuteur et l’a écartée pour cette raison.  À l’issue de l’appel interjeté par le ministère public, la Cour d’appel de l’Alberta n’était pas de cet avis.  Selon elle, la conversation en cause était admissible [</w:t>
      </w:r>
      <w:r w:rsidRPr="00D964C7">
        <w:rPr>
          <w:rFonts w:cs="Times New Roman"/>
          <w:smallCaps/>
          <w:lang w:val="fr-CA"/>
        </w:rPr>
        <w:t>traduction</w:t>
      </w:r>
      <w:r w:rsidRPr="00D964C7">
        <w:rPr>
          <w:rFonts w:cs="Times New Roman"/>
          <w:lang w:val="fr-CA"/>
        </w:rPr>
        <w:t>] dans « la</w:t>
      </w:r>
      <w:r w:rsidR="007B786A">
        <w:rPr>
          <w:rFonts w:cs="Times New Roman"/>
          <w:lang w:val="fr-CA"/>
        </w:rPr>
        <w:t xml:space="preserve"> chronologie des faits », vu </w:t>
      </w:r>
      <w:r w:rsidR="006E76A3">
        <w:rPr>
          <w:rFonts w:cs="Times New Roman"/>
          <w:lang w:val="fr-CA"/>
        </w:rPr>
        <w:t>qu’</w:t>
      </w:r>
      <w:r w:rsidR="007B786A">
        <w:rPr>
          <w:rFonts w:cs="Times New Roman"/>
          <w:lang w:val="fr-CA"/>
        </w:rPr>
        <w:t>« </w:t>
      </w:r>
      <w:r w:rsidR="006E76A3">
        <w:rPr>
          <w:rFonts w:cs="Times New Roman"/>
          <w:lang w:val="fr-CA"/>
        </w:rPr>
        <w:t>[</w:t>
      </w:r>
      <w:r w:rsidRPr="00D964C7">
        <w:rPr>
          <w:rFonts w:cs="Times New Roman"/>
          <w:lang w:val="fr-CA"/>
        </w:rPr>
        <w:t>i</w:t>
      </w:r>
      <w:r w:rsidR="006E76A3">
        <w:rPr>
          <w:rFonts w:cs="Times New Roman"/>
          <w:lang w:val="fr-CA"/>
        </w:rPr>
        <w:t>]</w:t>
      </w:r>
      <w:r w:rsidRPr="00D964C7">
        <w:rPr>
          <w:rFonts w:cs="Times New Roman"/>
          <w:lang w:val="fr-CA"/>
        </w:rPr>
        <w:t xml:space="preserve">l était impossible de comprendre les incidents ultérieurs sans la preuve de la conversation téléphonique les ayant précédés » ((1996), 193 A.R. 149, par. 3).  </w:t>
      </w:r>
    </w:p>
    <w:p w:rsidR="009D7689" w:rsidRPr="00D964C7" w:rsidRDefault="009D7689" w:rsidP="009D7689">
      <w:pPr>
        <w:pStyle w:val="ParaNoNdepar-AltN"/>
        <w:rPr>
          <w:rFonts w:cs="Times New Roman"/>
          <w:lang w:val="fr-CA"/>
        </w:rPr>
      </w:pPr>
      <w:r w:rsidRPr="00D964C7">
        <w:rPr>
          <w:rFonts w:cs="Times New Roman"/>
          <w:lang w:val="fr-CA"/>
        </w:rPr>
        <w:t>Dans les courts motifs de jugement rendus oralement, la Cour estimait, à l’instar de la Cour d’appel, que la preuve au sujet de la conversation avait été écartée à tort au procès.  La Cour a signalé que celle-ci avait été présentée en preuve pour expliquer la présence de l’appelant, à l’heure et à l’endroit fixés, avec la drogue, et non pas, comme dans l’affaire qui nous intéresse, pour établir la véracité de son contenu</w:t>
      </w:r>
      <w:r w:rsidR="007B786A">
        <w:rPr>
          <w:rFonts w:cs="Times New Roman"/>
          <w:lang w:val="fr-CA"/>
        </w:rPr>
        <w:t xml:space="preserve"> : </w:t>
      </w:r>
      <w:r w:rsidRPr="00D964C7">
        <w:rPr>
          <w:rFonts w:cs="Times New Roman"/>
          <w:i/>
          <w:lang w:val="fr-CA"/>
        </w:rPr>
        <w:t>Ly</w:t>
      </w:r>
      <w:r w:rsidRPr="00D964C7">
        <w:rPr>
          <w:rFonts w:cs="Times New Roman"/>
          <w:lang w:val="fr-CA"/>
        </w:rPr>
        <w:t>, par. 3.</w:t>
      </w:r>
    </w:p>
    <w:p w:rsidR="009D7689" w:rsidRPr="00D964C7" w:rsidRDefault="009D7689" w:rsidP="009D7689">
      <w:pPr>
        <w:pStyle w:val="ParaNoNdepar-AltN"/>
        <w:rPr>
          <w:rFonts w:cs="Times New Roman"/>
          <w:lang w:val="fr-CA"/>
        </w:rPr>
      </w:pPr>
      <w:r w:rsidRPr="00D964C7">
        <w:rPr>
          <w:rFonts w:cs="Times New Roman"/>
          <w:lang w:val="fr-CA"/>
        </w:rPr>
        <w:lastRenderedPageBreak/>
        <w:t xml:space="preserve">J’estime que rien dans l’arrêt </w:t>
      </w:r>
      <w:r w:rsidRPr="00D964C7">
        <w:rPr>
          <w:rFonts w:cs="Times New Roman"/>
          <w:i/>
          <w:lang w:val="fr-CA"/>
        </w:rPr>
        <w:t>Ly</w:t>
      </w:r>
      <w:r w:rsidRPr="00D964C7">
        <w:rPr>
          <w:rFonts w:cs="Times New Roman"/>
          <w:lang w:val="fr-CA"/>
        </w:rPr>
        <w:t xml:space="preserve"> ne permet de croire — et encore moins de trancher — qu’une affirmation implicite présentée en preuve pour établir la véracité de son contenu est traitée différemment pour l’application de la règle du ouï-dire qu’une affirmation explicite équivalente.  Contrairement à l’affaire </w:t>
      </w:r>
      <w:r w:rsidRPr="00D964C7">
        <w:rPr>
          <w:rFonts w:cs="Times New Roman"/>
          <w:i/>
          <w:lang w:val="fr-CA"/>
        </w:rPr>
        <w:t>Ly</w:t>
      </w:r>
      <w:r w:rsidRPr="00D964C7">
        <w:rPr>
          <w:rFonts w:cs="Times New Roman"/>
          <w:lang w:val="fr-CA"/>
        </w:rPr>
        <w:t>, c’est la question qui nous occupe.</w:t>
      </w:r>
    </w:p>
    <w:p w:rsidR="009D7689" w:rsidRPr="00D964C7" w:rsidRDefault="009D7689" w:rsidP="009D7689">
      <w:pPr>
        <w:pStyle w:val="ParaNoNdepar-AltN"/>
        <w:rPr>
          <w:rFonts w:cs="Times New Roman"/>
          <w:lang w:val="fr-CA"/>
        </w:rPr>
      </w:pPr>
      <w:r w:rsidRPr="00D964C7">
        <w:rPr>
          <w:rFonts w:cs="Times New Roman"/>
          <w:lang w:val="fr-CA"/>
        </w:rPr>
        <w:t>Bien que nous en soyons saisis pour la première fois, cette question divise les juridictions inférieures dans plusieurs provinces depuis au moins une cinquantaine d’années</w:t>
      </w:r>
      <w:r w:rsidR="00062540">
        <w:rPr>
          <w:rFonts w:cs="Times New Roman"/>
          <w:lang w:val="fr-CA"/>
        </w:rPr>
        <w:t> : v</w:t>
      </w:r>
      <w:r w:rsidRPr="00D964C7">
        <w:rPr>
          <w:rFonts w:cs="Times New Roman"/>
          <w:lang w:val="fr-CA"/>
        </w:rPr>
        <w:t>oir</w:t>
      </w:r>
      <w:r w:rsidR="00062540">
        <w:rPr>
          <w:rFonts w:cs="Times New Roman"/>
          <w:lang w:val="fr-CA"/>
        </w:rPr>
        <w:t>,</w:t>
      </w:r>
      <w:r w:rsidRPr="00D964C7">
        <w:rPr>
          <w:rFonts w:cs="Times New Roman"/>
          <w:lang w:val="fr-CA"/>
        </w:rPr>
        <w:t xml:space="preserve"> par exemple</w:t>
      </w:r>
      <w:r w:rsidR="00062540">
        <w:rPr>
          <w:rFonts w:cs="Times New Roman"/>
          <w:lang w:val="fr-CA"/>
        </w:rPr>
        <w:t>,</w:t>
      </w:r>
      <w:r w:rsidRPr="00D964C7">
        <w:rPr>
          <w:rFonts w:cs="Times New Roman"/>
          <w:lang w:val="fr-CA"/>
        </w:rPr>
        <w:t xml:space="preserve"> </w:t>
      </w:r>
      <w:r w:rsidRPr="00D964C7">
        <w:rPr>
          <w:rFonts w:cs="Times New Roman"/>
          <w:i/>
          <w:lang w:val="fr-CA"/>
        </w:rPr>
        <w:t xml:space="preserve">R. c. </w:t>
      </w:r>
      <w:proofErr w:type="spellStart"/>
      <w:r w:rsidRPr="00D964C7">
        <w:rPr>
          <w:rFonts w:cs="Times New Roman"/>
          <w:i/>
          <w:lang w:val="fr-CA"/>
        </w:rPr>
        <w:t>Fialkow</w:t>
      </w:r>
      <w:proofErr w:type="spellEnd"/>
      <w:r w:rsidRPr="00D964C7">
        <w:rPr>
          <w:rFonts w:cs="Times New Roman"/>
          <w:lang w:val="fr-CA"/>
        </w:rPr>
        <w:t xml:space="preserve">, [1963] 2 C.C.C. 42 (C.A. Ont.); </w:t>
      </w:r>
      <w:r w:rsidRPr="00D964C7">
        <w:rPr>
          <w:rFonts w:cs="Times New Roman"/>
          <w:i/>
          <w:lang w:val="fr-CA"/>
        </w:rPr>
        <w:t>Edwards</w:t>
      </w:r>
      <w:r w:rsidRPr="00D964C7">
        <w:rPr>
          <w:rFonts w:cs="Times New Roman"/>
          <w:lang w:val="fr-CA"/>
        </w:rPr>
        <w:t xml:space="preserve">; </w:t>
      </w:r>
      <w:r w:rsidRPr="00D964C7">
        <w:rPr>
          <w:rFonts w:cs="Times New Roman"/>
          <w:i/>
          <w:lang w:val="fr-CA"/>
        </w:rPr>
        <w:t>Wilson</w:t>
      </w:r>
      <w:r w:rsidRPr="00D964C7">
        <w:rPr>
          <w:rFonts w:cs="Times New Roman"/>
          <w:lang w:val="fr-CA"/>
        </w:rPr>
        <w:t xml:space="preserve">; </w:t>
      </w:r>
      <w:r w:rsidRPr="00D964C7">
        <w:rPr>
          <w:rFonts w:cs="Times New Roman"/>
          <w:i/>
          <w:lang w:val="fr-CA"/>
        </w:rPr>
        <w:t>R. c. Lucia</w:t>
      </w:r>
      <w:r w:rsidRPr="00D964C7">
        <w:rPr>
          <w:rFonts w:cs="Times New Roman"/>
          <w:lang w:val="fr-CA"/>
        </w:rPr>
        <w:t>, 2010 ONCA 533 (</w:t>
      </w:r>
      <w:proofErr w:type="spellStart"/>
      <w:r w:rsidRPr="00D964C7">
        <w:rPr>
          <w:rFonts w:cs="Times New Roman"/>
          <w:lang w:val="fr-CA"/>
        </w:rPr>
        <w:t>CanLII</w:t>
      </w:r>
      <w:proofErr w:type="spellEnd"/>
      <w:r w:rsidRPr="00D964C7">
        <w:rPr>
          <w:rFonts w:cs="Times New Roman"/>
          <w:lang w:val="fr-CA"/>
        </w:rPr>
        <w:t xml:space="preserve">); </w:t>
      </w:r>
      <w:r w:rsidRPr="00D964C7">
        <w:rPr>
          <w:rFonts w:cs="Times New Roman"/>
          <w:i/>
          <w:lang w:val="fr-CA"/>
        </w:rPr>
        <w:t xml:space="preserve">R. c. Cook </w:t>
      </w:r>
      <w:r w:rsidRPr="00D964C7">
        <w:rPr>
          <w:rFonts w:cs="Times New Roman"/>
          <w:lang w:val="fr-CA"/>
        </w:rPr>
        <w:t xml:space="preserve">(1978), 10 B.C.L.R. 84 (C.A.); </w:t>
      </w:r>
      <w:r w:rsidRPr="00D964C7">
        <w:rPr>
          <w:rFonts w:cs="Times New Roman"/>
          <w:i/>
          <w:lang w:val="fr-CA"/>
        </w:rPr>
        <w:t>R. c. Nguyen</w:t>
      </w:r>
      <w:r w:rsidRPr="00D964C7">
        <w:rPr>
          <w:rFonts w:cs="Times New Roman"/>
          <w:lang w:val="fr-CA"/>
        </w:rPr>
        <w:t xml:space="preserve">, 2003 BCCA 556, 188 B.C.A.C. 218; </w:t>
      </w:r>
      <w:r w:rsidRPr="00D964C7">
        <w:rPr>
          <w:rFonts w:cs="Times New Roman"/>
          <w:i/>
          <w:lang w:val="fr-CA"/>
        </w:rPr>
        <w:t xml:space="preserve">R. c. </w:t>
      </w:r>
      <w:proofErr w:type="spellStart"/>
      <w:r w:rsidRPr="00D964C7">
        <w:rPr>
          <w:rFonts w:cs="Times New Roman"/>
          <w:i/>
          <w:lang w:val="fr-CA"/>
        </w:rPr>
        <w:t>Parchment</w:t>
      </w:r>
      <w:proofErr w:type="spellEnd"/>
      <w:r w:rsidRPr="00D964C7">
        <w:rPr>
          <w:rFonts w:cs="Times New Roman"/>
          <w:lang w:val="fr-CA"/>
        </w:rPr>
        <w:t>, 2004 BCSC 1806 (</w:t>
      </w:r>
      <w:proofErr w:type="spellStart"/>
      <w:r w:rsidRPr="00D964C7">
        <w:rPr>
          <w:rFonts w:cs="Times New Roman"/>
          <w:lang w:val="fr-CA"/>
        </w:rPr>
        <w:t>CanLII</w:t>
      </w:r>
      <w:proofErr w:type="spellEnd"/>
      <w:r w:rsidRPr="00D964C7">
        <w:rPr>
          <w:rFonts w:cs="Times New Roman"/>
          <w:lang w:val="fr-CA"/>
        </w:rPr>
        <w:t xml:space="preserve">); </w:t>
      </w:r>
      <w:r w:rsidRPr="00D964C7">
        <w:rPr>
          <w:rFonts w:cs="Times New Roman"/>
          <w:i/>
          <w:lang w:val="fr-CA"/>
        </w:rPr>
        <w:t>R. c. Williams</w:t>
      </w:r>
      <w:r w:rsidRPr="00D964C7">
        <w:rPr>
          <w:rFonts w:cs="Times New Roman"/>
          <w:lang w:val="fr-CA"/>
        </w:rPr>
        <w:t xml:space="preserve">, 2009 BCCA 284, 273 B.C.A.C. 86; </w:t>
      </w:r>
      <w:r w:rsidRPr="00D964C7">
        <w:rPr>
          <w:rFonts w:cs="Times New Roman"/>
          <w:i/>
          <w:lang w:val="fr-CA"/>
        </w:rPr>
        <w:t>R. c. Graham</w:t>
      </w:r>
      <w:r w:rsidRPr="00D964C7">
        <w:rPr>
          <w:rFonts w:cs="Times New Roman"/>
          <w:lang w:val="fr-CA"/>
        </w:rPr>
        <w:t>, 2013 BCCA 75 (</w:t>
      </w:r>
      <w:proofErr w:type="spellStart"/>
      <w:r w:rsidRPr="00D964C7">
        <w:rPr>
          <w:rFonts w:cs="Times New Roman"/>
          <w:lang w:val="fr-CA"/>
        </w:rPr>
        <w:t>CanLII</w:t>
      </w:r>
      <w:proofErr w:type="spellEnd"/>
      <w:r w:rsidRPr="00D964C7">
        <w:rPr>
          <w:rFonts w:cs="Times New Roman"/>
          <w:lang w:val="fr-CA"/>
        </w:rPr>
        <w:t xml:space="preserve">); </w:t>
      </w:r>
      <w:r w:rsidRPr="00D964C7">
        <w:rPr>
          <w:rFonts w:cs="Times New Roman"/>
          <w:i/>
          <w:lang w:val="fr-CA"/>
        </w:rPr>
        <w:t xml:space="preserve">R. c. </w:t>
      </w:r>
      <w:proofErr w:type="spellStart"/>
      <w:r w:rsidRPr="00D964C7">
        <w:rPr>
          <w:rFonts w:cs="Times New Roman"/>
          <w:i/>
          <w:lang w:val="fr-CA"/>
        </w:rPr>
        <w:t>Ramsum</w:t>
      </w:r>
      <w:proofErr w:type="spellEnd"/>
      <w:r w:rsidRPr="00D964C7">
        <w:rPr>
          <w:rFonts w:cs="Times New Roman"/>
          <w:lang w:val="fr-CA"/>
        </w:rPr>
        <w:t xml:space="preserve">, 2003 ABQB 45, 329 A.R. 370.    </w:t>
      </w:r>
    </w:p>
    <w:p w:rsidR="009D7689" w:rsidRPr="00D964C7" w:rsidRDefault="009D7689" w:rsidP="009D7689">
      <w:pPr>
        <w:pStyle w:val="TitleTitre-AltT"/>
        <w:jc w:val="center"/>
        <w:rPr>
          <w:rFonts w:cs="Times New Roman"/>
          <w:lang w:val="fr-CA"/>
        </w:rPr>
      </w:pPr>
      <w:r w:rsidRPr="00D964C7">
        <w:rPr>
          <w:rFonts w:cs="Times New Roman"/>
          <w:lang w:val="fr-CA"/>
        </w:rPr>
        <w:t>VI</w:t>
      </w:r>
    </w:p>
    <w:p w:rsidR="009D7689" w:rsidRPr="00D964C7" w:rsidRDefault="009D7689" w:rsidP="009D7689">
      <w:pPr>
        <w:pStyle w:val="ParaNoNdepar-AltN"/>
        <w:rPr>
          <w:rFonts w:cs="Times New Roman"/>
          <w:lang w:val="fr-CA"/>
        </w:rPr>
      </w:pPr>
      <w:r w:rsidRPr="00D964C7">
        <w:rPr>
          <w:rFonts w:cs="Times New Roman"/>
          <w:lang w:val="fr-CA"/>
        </w:rPr>
        <w:t xml:space="preserve">Les plus hauts tribunaux judiciaires de l’Angleterre, du Pays de Galles et de l’Australie ont conclu de même que la règle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régit les affirmations implicites, mais ces décisions ont été infirmées par voie législative : voir </w:t>
      </w:r>
      <w:proofErr w:type="spellStart"/>
      <w:r w:rsidRPr="00D964C7">
        <w:rPr>
          <w:rFonts w:cs="Times New Roman"/>
          <w:i/>
          <w:lang w:val="fr-CA"/>
        </w:rPr>
        <w:t>Kearley</w:t>
      </w:r>
      <w:proofErr w:type="spellEnd"/>
      <w:r w:rsidRPr="00D964C7">
        <w:rPr>
          <w:rFonts w:cs="Times New Roman"/>
          <w:lang w:val="fr-CA"/>
        </w:rPr>
        <w:t xml:space="preserve">; </w:t>
      </w:r>
      <w:r w:rsidRPr="00D964C7">
        <w:rPr>
          <w:rFonts w:cs="Times New Roman"/>
          <w:i/>
          <w:lang w:val="fr-CA"/>
        </w:rPr>
        <w:t xml:space="preserve">R. </w:t>
      </w:r>
      <w:r w:rsidR="00062540">
        <w:rPr>
          <w:rFonts w:cs="Times New Roman"/>
          <w:i/>
          <w:lang w:val="fr-CA"/>
        </w:rPr>
        <w:t>c</w:t>
      </w:r>
      <w:r w:rsidRPr="00D964C7">
        <w:rPr>
          <w:rFonts w:cs="Times New Roman"/>
          <w:i/>
          <w:lang w:val="fr-CA"/>
        </w:rPr>
        <w:t xml:space="preserve">. </w:t>
      </w:r>
      <w:proofErr w:type="spellStart"/>
      <w:r w:rsidRPr="00D964C7">
        <w:rPr>
          <w:rFonts w:cs="Times New Roman"/>
          <w:i/>
          <w:lang w:val="fr-CA"/>
        </w:rPr>
        <w:t>Bannon</w:t>
      </w:r>
      <w:proofErr w:type="spellEnd"/>
      <w:r w:rsidRPr="00D964C7">
        <w:rPr>
          <w:rFonts w:cs="Times New Roman"/>
          <w:lang w:val="fr-CA"/>
        </w:rPr>
        <w:t xml:space="preserve"> (1995), 132 A.L.R. 87 (H.C.); </w:t>
      </w:r>
      <w:proofErr w:type="spellStart"/>
      <w:r w:rsidRPr="00D964C7">
        <w:rPr>
          <w:rFonts w:cs="Times New Roman"/>
          <w:i/>
          <w:lang w:val="fr-CA"/>
        </w:rPr>
        <w:t>Criminal</w:t>
      </w:r>
      <w:proofErr w:type="spellEnd"/>
      <w:r w:rsidRPr="00D964C7">
        <w:rPr>
          <w:rFonts w:cs="Times New Roman"/>
          <w:i/>
          <w:lang w:val="fr-CA"/>
        </w:rPr>
        <w:t xml:space="preserve"> Justice </w:t>
      </w:r>
      <w:proofErr w:type="spellStart"/>
      <w:r w:rsidRPr="00D964C7">
        <w:rPr>
          <w:rFonts w:cs="Times New Roman"/>
          <w:i/>
          <w:lang w:val="fr-CA"/>
        </w:rPr>
        <w:t>Act</w:t>
      </w:r>
      <w:proofErr w:type="spellEnd"/>
      <w:r w:rsidRPr="00D964C7">
        <w:rPr>
          <w:rFonts w:cs="Times New Roman"/>
          <w:lang w:val="fr-CA"/>
        </w:rPr>
        <w:t xml:space="preserve"> </w:t>
      </w:r>
      <w:r w:rsidRPr="00D964C7">
        <w:rPr>
          <w:rFonts w:cs="Times New Roman"/>
          <w:i/>
          <w:lang w:val="fr-CA"/>
        </w:rPr>
        <w:t>2003</w:t>
      </w:r>
      <w:r w:rsidRPr="00D964C7">
        <w:rPr>
          <w:rFonts w:cs="Times New Roman"/>
          <w:lang w:val="fr-CA"/>
        </w:rPr>
        <w:t xml:space="preserve"> (R.</w:t>
      </w:r>
      <w:r w:rsidRPr="00D964C7">
        <w:rPr>
          <w:rFonts w:cs="Times New Roman"/>
          <w:lang w:val="fr-CA"/>
        </w:rPr>
        <w:noBreakHyphen/>
        <w:t xml:space="preserve">U.), 2003, ch. 44, art. 115; </w:t>
      </w:r>
      <w:proofErr w:type="spellStart"/>
      <w:r w:rsidRPr="00D964C7">
        <w:rPr>
          <w:rFonts w:cs="Times New Roman"/>
          <w:i/>
          <w:lang w:val="fr-CA"/>
        </w:rPr>
        <w:t>Evidence</w:t>
      </w:r>
      <w:proofErr w:type="spellEnd"/>
      <w:r w:rsidRPr="00D964C7">
        <w:rPr>
          <w:rFonts w:cs="Times New Roman"/>
          <w:i/>
          <w:lang w:val="fr-CA"/>
        </w:rPr>
        <w:t xml:space="preserve"> </w:t>
      </w:r>
      <w:proofErr w:type="spellStart"/>
      <w:r w:rsidRPr="00D964C7">
        <w:rPr>
          <w:rFonts w:cs="Times New Roman"/>
          <w:i/>
          <w:lang w:val="fr-CA"/>
        </w:rPr>
        <w:t>Act</w:t>
      </w:r>
      <w:proofErr w:type="spellEnd"/>
      <w:r w:rsidRPr="00D964C7">
        <w:rPr>
          <w:rFonts w:cs="Times New Roman"/>
          <w:i/>
          <w:lang w:val="fr-CA"/>
        </w:rPr>
        <w:t xml:space="preserve"> 1995</w:t>
      </w:r>
      <w:r w:rsidRPr="00D964C7">
        <w:rPr>
          <w:rFonts w:cs="Times New Roman"/>
          <w:lang w:val="fr-CA"/>
        </w:rPr>
        <w:t xml:space="preserve"> (</w:t>
      </w:r>
      <w:proofErr w:type="spellStart"/>
      <w:r w:rsidRPr="00D964C7">
        <w:rPr>
          <w:rFonts w:cs="Times New Roman"/>
          <w:lang w:val="fr-CA"/>
        </w:rPr>
        <w:t>Aust</w:t>
      </w:r>
      <w:r w:rsidR="00641E8B">
        <w:rPr>
          <w:rFonts w:cs="Times New Roman"/>
          <w:lang w:val="fr-CA"/>
        </w:rPr>
        <w:t>r</w:t>
      </w:r>
      <w:proofErr w:type="spellEnd"/>
      <w:r w:rsidRPr="00D964C7">
        <w:rPr>
          <w:rFonts w:cs="Times New Roman"/>
          <w:lang w:val="fr-CA"/>
        </w:rPr>
        <w:t xml:space="preserve">.), </w:t>
      </w:r>
      <w:r w:rsidR="00062540">
        <w:rPr>
          <w:rFonts w:cs="Times New Roman"/>
          <w:lang w:val="fr-CA"/>
        </w:rPr>
        <w:t>n</w:t>
      </w:r>
      <w:r w:rsidR="00062540" w:rsidRPr="00062540">
        <w:rPr>
          <w:rFonts w:cs="Times New Roman"/>
          <w:vertAlign w:val="superscript"/>
          <w:lang w:val="fr-CA"/>
        </w:rPr>
        <w:t>o</w:t>
      </w:r>
      <w:r w:rsidR="00062540">
        <w:rPr>
          <w:rFonts w:cs="Times New Roman"/>
          <w:lang w:val="fr-CA"/>
        </w:rPr>
        <w:t xml:space="preserve"> 2, </w:t>
      </w:r>
      <w:r w:rsidR="00641E8B">
        <w:rPr>
          <w:rFonts w:cs="Times New Roman"/>
          <w:lang w:val="fr-CA"/>
        </w:rPr>
        <w:t>p</w:t>
      </w:r>
      <w:r w:rsidRPr="00D964C7">
        <w:rPr>
          <w:rFonts w:cs="Times New Roman"/>
          <w:lang w:val="fr-CA"/>
        </w:rPr>
        <w:t xml:space="preserve">ar. 59(1).  </w:t>
      </w:r>
    </w:p>
    <w:p w:rsidR="009D7689" w:rsidRPr="00D964C7" w:rsidRDefault="009D7689" w:rsidP="009D7689">
      <w:pPr>
        <w:pStyle w:val="ParaNoNdepar-AltN"/>
        <w:rPr>
          <w:rFonts w:cs="Times New Roman"/>
          <w:lang w:val="fr-CA"/>
        </w:rPr>
      </w:pPr>
      <w:r w:rsidRPr="00D964C7">
        <w:rPr>
          <w:rFonts w:cs="Times New Roman"/>
          <w:lang w:val="fr-CA"/>
        </w:rPr>
        <w:t xml:space="preserve">Au Canada, le législateur n’a pas jugé nécessaire ni pertinent d’adopter des dispositions législatives précisant que les affirmations implicites ne constituent </w:t>
      </w:r>
      <w:r w:rsidRPr="00D964C7">
        <w:rPr>
          <w:rFonts w:cs="Times New Roman"/>
          <w:lang w:val="fr-CA"/>
        </w:rPr>
        <w:lastRenderedPageBreak/>
        <w:t xml:space="preserve">pas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Il s’agit évidemment d’une démarche tout à fait compréhensible compte tenu de notre approche raisonnée et plus flexible en matière d’exclusion.</w:t>
      </w:r>
    </w:p>
    <w:p w:rsidR="009D7689" w:rsidRPr="00D964C7" w:rsidRDefault="009D7689" w:rsidP="009D7689">
      <w:pPr>
        <w:pStyle w:val="ParaNoNdepar-AltN"/>
        <w:spacing w:before="0"/>
        <w:rPr>
          <w:rFonts w:cs="Times New Roman"/>
          <w:lang w:val="fr-CA"/>
        </w:rPr>
      </w:pPr>
      <w:r w:rsidRPr="00D964C7">
        <w:rPr>
          <w:rFonts w:cs="Times New Roman"/>
          <w:lang w:val="fr-CA"/>
        </w:rPr>
        <w:t xml:space="preserve">Comme l’a mentionné la juge </w:t>
      </w:r>
      <w:proofErr w:type="spellStart"/>
      <w:r w:rsidRPr="00D964C7">
        <w:rPr>
          <w:rFonts w:cs="Times New Roman"/>
          <w:lang w:val="fr-CA"/>
        </w:rPr>
        <w:t>Feldman</w:t>
      </w:r>
      <w:proofErr w:type="spellEnd"/>
      <w:r w:rsidRPr="00D964C7">
        <w:rPr>
          <w:rFonts w:cs="Times New Roman"/>
          <w:lang w:val="fr-CA"/>
        </w:rPr>
        <w:t xml:space="preserve">, les faits dans </w:t>
      </w:r>
      <w:proofErr w:type="spellStart"/>
      <w:r w:rsidRPr="00D964C7">
        <w:rPr>
          <w:rFonts w:cs="Times New Roman"/>
          <w:i/>
          <w:lang w:val="fr-CA"/>
        </w:rPr>
        <w:t>Kearley</w:t>
      </w:r>
      <w:proofErr w:type="spellEnd"/>
      <w:r w:rsidRPr="00D964C7">
        <w:rPr>
          <w:rFonts w:cs="Times New Roman"/>
          <w:lang w:val="fr-CA"/>
        </w:rPr>
        <w:t xml:space="preserve">, l’arrêt britannique de principe, étaient semblables à ceux de l’espèce.  Dans </w:t>
      </w:r>
      <w:proofErr w:type="spellStart"/>
      <w:r w:rsidRPr="00D964C7">
        <w:rPr>
          <w:rFonts w:cs="Times New Roman"/>
          <w:i/>
          <w:lang w:val="fr-CA"/>
        </w:rPr>
        <w:t>Kearley</w:t>
      </w:r>
      <w:proofErr w:type="spellEnd"/>
      <w:r w:rsidRPr="00D964C7">
        <w:rPr>
          <w:rFonts w:cs="Times New Roman"/>
          <w:lang w:val="fr-CA"/>
        </w:rPr>
        <w:t>,</w:t>
      </w:r>
      <w:r w:rsidRPr="00D964C7">
        <w:rPr>
          <w:rFonts w:cs="Times New Roman"/>
          <w:i/>
          <w:lang w:val="fr-CA"/>
        </w:rPr>
        <w:t xml:space="preserve"> </w:t>
      </w:r>
      <w:r w:rsidRPr="00D964C7">
        <w:rPr>
          <w:rFonts w:cs="Times New Roman"/>
          <w:lang w:val="fr-CA"/>
        </w:rPr>
        <w:t xml:space="preserve">la police a effectué une descente chez l’accusé parce qu’il était soupçonné de vendre de la drogue.  Les policiers y ont découvert des substances illégales, mais en quantité insuffisante pour qu’ils puissent conclure au trafic de drogue.  Toutefois, ils y ont intercepté dix appels provenant de personnes intéressées à lui acheter de la drogue.  En outre, sept personnes se sont présentées à l’appartement pour y acheter des stupéfiants.  </w:t>
      </w:r>
    </w:p>
    <w:p w:rsidR="009D7689" w:rsidRPr="00D964C7" w:rsidRDefault="009D7689" w:rsidP="009D7689">
      <w:pPr>
        <w:pStyle w:val="ParaNoNdepar-AltN"/>
        <w:spacing w:before="240"/>
        <w:rPr>
          <w:rFonts w:cs="Times New Roman"/>
          <w:lang w:val="fr-CA"/>
        </w:rPr>
      </w:pPr>
      <w:r w:rsidRPr="00D964C7">
        <w:rPr>
          <w:rFonts w:cs="Times New Roman"/>
          <w:lang w:val="fr-CA"/>
        </w:rPr>
        <w:t xml:space="preserve">La Chambre des lords, à la majorité, a conclu que les commandes téléphoniques de drogue et les déclarations des visiteurs constituaient une preuve par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inadmissible.  Parce qu’elles étaient énoncées comme des commandes de drogue, elles n’affirmaient pas expressément, mais sous-entendaient, que l’accusé était un trafiquant de drogue.  Néanmoins, selon les lords juges, qu’elle soit communiquée expressément ou implicitement, l’information transmise était identique.  Pour reprendre les propos de lord </w:t>
      </w:r>
      <w:proofErr w:type="spellStart"/>
      <w:r w:rsidRPr="00D964C7">
        <w:rPr>
          <w:rFonts w:cs="Times New Roman"/>
          <w:lang w:val="fr-CA"/>
        </w:rPr>
        <w:t>Ackner</w:t>
      </w:r>
      <w:proofErr w:type="spellEnd"/>
      <w:r w:rsidRPr="00D964C7">
        <w:rPr>
          <w:rFonts w:cs="Times New Roman"/>
          <w:lang w:val="fr-CA"/>
        </w:rPr>
        <w:t> :</w:t>
      </w:r>
    </w:p>
    <w:p w:rsidR="009D7689" w:rsidRPr="00D964C7" w:rsidRDefault="009D7689" w:rsidP="0049096B">
      <w:pPr>
        <w:pStyle w:val="Citation-AltC"/>
        <w:tabs>
          <w:tab w:val="left" w:pos="1620"/>
        </w:tabs>
        <w:spacing w:after="240"/>
        <w:ind w:left="1168" w:hanging="1168"/>
        <w:contextualSpacing w:val="0"/>
        <w:rPr>
          <w:lang w:val="fr-CA"/>
        </w:rPr>
      </w:pPr>
      <w:r w:rsidRPr="00D964C7">
        <w:rPr>
          <w:smallCaps/>
          <w:lang w:val="fr-CA"/>
        </w:rPr>
        <w:tab/>
      </w:r>
      <w:r w:rsidR="009A3A02">
        <w:rPr>
          <w:smallCaps/>
          <w:lang w:val="fr-CA"/>
        </w:rPr>
        <w:tab/>
      </w:r>
      <w:r w:rsidRPr="00D964C7">
        <w:rPr>
          <w:smallCaps/>
          <w:lang w:val="fr-CA"/>
        </w:rPr>
        <w:t>[traduction]</w:t>
      </w:r>
      <w:r w:rsidRPr="00D964C7">
        <w:rPr>
          <w:lang w:val="fr-CA"/>
        </w:rPr>
        <w:t xml:space="preserve"> </w:t>
      </w:r>
      <w:r w:rsidR="009A3A02">
        <w:rPr>
          <w:lang w:val="fr-CA"/>
        </w:rPr>
        <w:t>. . . s</w:t>
      </w:r>
      <w:r w:rsidRPr="00D964C7">
        <w:rPr>
          <w:lang w:val="fr-CA"/>
        </w:rPr>
        <w:t>i l’interlocuteur avait formul</w:t>
      </w:r>
      <w:r w:rsidR="00641E8B">
        <w:rPr>
          <w:lang w:val="fr-CA"/>
        </w:rPr>
        <w:t>é sa demande en ces termes : « J</w:t>
      </w:r>
      <w:r w:rsidRPr="00D964C7">
        <w:rPr>
          <w:lang w:val="fr-CA"/>
        </w:rPr>
        <w:t>e voudrais ma commande habituelle d’amphétamines pour le prix auquel tu me les as vendues la semaine dernière » [. . .]</w:t>
      </w:r>
      <w:r w:rsidR="00641E8B">
        <w:rPr>
          <w:lang w:val="fr-CA"/>
        </w:rPr>
        <w:t>,</w:t>
      </w:r>
      <w:r w:rsidRPr="00D964C7">
        <w:rPr>
          <w:lang w:val="fr-CA"/>
        </w:rPr>
        <w:t xml:space="preserve"> la règle du </w:t>
      </w:r>
      <w:proofErr w:type="spellStart"/>
      <w:r w:rsidRPr="00D964C7">
        <w:rPr>
          <w:lang w:val="fr-CA"/>
        </w:rPr>
        <w:t>ouï</w:t>
      </w:r>
      <w:r w:rsidRPr="00D964C7">
        <w:rPr>
          <w:lang w:val="fr-CA"/>
        </w:rPr>
        <w:noBreakHyphen/>
        <w:t>dire</w:t>
      </w:r>
      <w:proofErr w:type="spellEnd"/>
      <w:r w:rsidRPr="00D964C7">
        <w:rPr>
          <w:lang w:val="fr-CA"/>
        </w:rPr>
        <w:t xml:space="preserve"> empêcherait la poursuite de citer comme témoin l’agent de police pour </w:t>
      </w:r>
      <w:r w:rsidR="009A3A02">
        <w:rPr>
          <w:lang w:val="fr-CA"/>
        </w:rPr>
        <w:t>qu’il relate cette conversation. . .</w:t>
      </w:r>
    </w:p>
    <w:p w:rsidR="009D7689" w:rsidRPr="00D964C7" w:rsidRDefault="009D7689" w:rsidP="0049096B">
      <w:pPr>
        <w:pStyle w:val="Citation-AltC"/>
        <w:tabs>
          <w:tab w:val="left" w:pos="1620"/>
        </w:tabs>
        <w:ind w:hanging="1166"/>
        <w:rPr>
          <w:lang w:val="fr-CA"/>
        </w:rPr>
      </w:pPr>
      <w:r w:rsidRPr="00D964C7">
        <w:rPr>
          <w:lang w:val="fr-CA"/>
        </w:rPr>
        <w:tab/>
      </w:r>
      <w:r w:rsidR="0049096B">
        <w:rPr>
          <w:lang w:val="fr-CA"/>
        </w:rPr>
        <w:tab/>
      </w:r>
      <w:r w:rsidRPr="00D964C7">
        <w:rPr>
          <w:lang w:val="fr-CA"/>
        </w:rPr>
        <w:t xml:space="preserve">Si [toutefois] la simple commande de drogue faite à l’appelant relatée par l’agent de police contient essentiellement la même affirmation, mais implicite seulement, je ne connais aucune source ni aucun principe voulant que la règle du </w:t>
      </w:r>
      <w:proofErr w:type="spellStart"/>
      <w:r w:rsidRPr="00D964C7">
        <w:rPr>
          <w:lang w:val="fr-CA"/>
        </w:rPr>
        <w:t>ouï</w:t>
      </w:r>
      <w:r w:rsidRPr="00D964C7">
        <w:rPr>
          <w:lang w:val="fr-CA"/>
        </w:rPr>
        <w:noBreakHyphen/>
        <w:t>dire</w:t>
      </w:r>
      <w:proofErr w:type="spellEnd"/>
      <w:r w:rsidRPr="00D964C7">
        <w:rPr>
          <w:lang w:val="fr-CA"/>
        </w:rPr>
        <w:t xml:space="preserve"> ne s’applique pas tout autant pour écarter une telle preuve.  On vise à utiliser la déclaration </w:t>
      </w:r>
      <w:r w:rsidRPr="00D964C7">
        <w:rPr>
          <w:lang w:val="fr-CA"/>
        </w:rPr>
        <w:lastRenderedPageBreak/>
        <w:t>verbale, même implicite, comme preuve de la véracité de la proposition énoncée.  Le fait que cette dernière soit implicite et non formulée expressément ne saurait, à mon avis, rien changer</w:t>
      </w:r>
      <w:r w:rsidR="0049096B">
        <w:rPr>
          <w:lang w:val="fr-CA"/>
        </w:rPr>
        <w:t>.</w:t>
      </w:r>
      <w:r w:rsidRPr="00D964C7">
        <w:rPr>
          <w:lang w:val="fr-CA"/>
        </w:rPr>
        <w:t xml:space="preserve">  [p. 363-364]</w:t>
      </w:r>
    </w:p>
    <w:p w:rsidR="009D7689" w:rsidRPr="00D964C7" w:rsidRDefault="009D7689" w:rsidP="009D7689">
      <w:pPr>
        <w:pStyle w:val="ParaNoNdepar-AltN"/>
        <w:rPr>
          <w:rFonts w:cs="Times New Roman"/>
          <w:lang w:val="fr-CA"/>
        </w:rPr>
      </w:pPr>
      <w:r w:rsidRPr="00D964C7">
        <w:rPr>
          <w:rFonts w:cs="Times New Roman"/>
          <w:lang w:val="fr-CA"/>
        </w:rPr>
        <w:t xml:space="preserve">On a invoqué deux principales raisons qui militent contre l’application de la règle </w:t>
      </w:r>
      <w:proofErr w:type="gramStart"/>
      <w:r w:rsidRPr="00D964C7">
        <w:rPr>
          <w:rFonts w:cs="Times New Roman"/>
          <w:lang w:val="fr-CA"/>
        </w:rPr>
        <w:t xml:space="preserve">du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xml:space="preserve"> aux affirmations implicites.  </w:t>
      </w:r>
    </w:p>
    <w:p w:rsidR="009D7689" w:rsidRPr="00D964C7" w:rsidRDefault="009D7689" w:rsidP="009D7689">
      <w:pPr>
        <w:pStyle w:val="ParaNoNdepar-AltN"/>
        <w:rPr>
          <w:rFonts w:cs="Times New Roman"/>
          <w:lang w:val="fr-CA"/>
        </w:rPr>
      </w:pPr>
      <w:r w:rsidRPr="00D964C7">
        <w:rPr>
          <w:rFonts w:cs="Times New Roman"/>
          <w:lang w:val="fr-CA"/>
        </w:rPr>
        <w:t xml:space="preserve">Premièrement, comme l’affirme le juge Watt de la Cour d’appel (par. 83) et comme le fait valoir le ministère public, écarter les affirmations implicites au motif qu’elles constituent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risque d’élargir la portée de la règle d’exclusion, étant donné que </w:t>
      </w:r>
      <w:r w:rsidRPr="00D964C7">
        <w:rPr>
          <w:rFonts w:cs="Times New Roman"/>
          <w:smallCaps/>
          <w:lang w:val="fr-CA"/>
        </w:rPr>
        <w:t>[traduction]</w:t>
      </w:r>
      <w:r w:rsidRPr="00D964C7">
        <w:rPr>
          <w:rFonts w:cs="Times New Roman"/>
          <w:lang w:val="fr-CA"/>
        </w:rPr>
        <w:t xml:space="preserve"> « [p]</w:t>
      </w:r>
      <w:proofErr w:type="spellStart"/>
      <w:r w:rsidRPr="00D964C7">
        <w:rPr>
          <w:rFonts w:cs="Times New Roman"/>
          <w:lang w:val="fr-CA"/>
        </w:rPr>
        <w:t>resque</w:t>
      </w:r>
      <w:proofErr w:type="spellEnd"/>
      <w:r w:rsidRPr="00D964C7">
        <w:rPr>
          <w:rFonts w:cs="Times New Roman"/>
          <w:lang w:val="fr-CA"/>
        </w:rPr>
        <w:t xml:space="preserve"> chaque action humaine repose sur un ensemble de présomptions acceptées de façon implicite et, suivant une telle philosophie, “affirmées” par l’acteur » (</w:t>
      </w:r>
      <w:r w:rsidR="0049096B">
        <w:rPr>
          <w:rFonts w:cs="Times New Roman"/>
          <w:lang w:val="fr-CA"/>
        </w:rPr>
        <w:t>m.a.</w:t>
      </w:r>
      <w:r w:rsidRPr="00D964C7">
        <w:rPr>
          <w:rFonts w:cs="Times New Roman"/>
          <w:lang w:val="fr-CA"/>
        </w:rPr>
        <w:t xml:space="preserve">, par. 62, citant </w:t>
      </w:r>
      <w:proofErr w:type="spellStart"/>
      <w:r w:rsidRPr="00D964C7">
        <w:rPr>
          <w:rFonts w:cs="Times New Roman"/>
          <w:i/>
          <w:lang w:val="fr-CA"/>
        </w:rPr>
        <w:t>McWilliams</w:t>
      </w:r>
      <w:proofErr w:type="spellEnd"/>
      <w:r w:rsidR="0049096B">
        <w:rPr>
          <w:rFonts w:cs="Times New Roman"/>
          <w:i/>
          <w:lang w:val="fr-CA"/>
        </w:rPr>
        <w:t>’</w:t>
      </w:r>
      <w:r w:rsidRPr="00D964C7">
        <w:rPr>
          <w:rFonts w:cs="Times New Roman"/>
          <w:i/>
          <w:lang w:val="fr-CA"/>
        </w:rPr>
        <w:t xml:space="preserve"> Canadian </w:t>
      </w:r>
      <w:proofErr w:type="spellStart"/>
      <w:r w:rsidRPr="00D964C7">
        <w:rPr>
          <w:rFonts w:cs="Times New Roman"/>
          <w:i/>
          <w:lang w:val="fr-CA"/>
        </w:rPr>
        <w:t>Criminal</w:t>
      </w:r>
      <w:proofErr w:type="spellEnd"/>
      <w:r w:rsidRPr="00D964C7">
        <w:rPr>
          <w:rFonts w:cs="Times New Roman"/>
          <w:i/>
          <w:lang w:val="fr-CA"/>
        </w:rPr>
        <w:t xml:space="preserve"> </w:t>
      </w:r>
      <w:proofErr w:type="spellStart"/>
      <w:r w:rsidRPr="00D964C7">
        <w:rPr>
          <w:rFonts w:cs="Times New Roman"/>
          <w:i/>
          <w:lang w:val="fr-CA"/>
        </w:rPr>
        <w:t>Evidence</w:t>
      </w:r>
      <w:proofErr w:type="spellEnd"/>
      <w:r w:rsidRPr="00D964C7">
        <w:rPr>
          <w:rFonts w:cs="Times New Roman"/>
          <w:lang w:val="fr-CA"/>
        </w:rPr>
        <w:t xml:space="preserve"> (4</w:t>
      </w:r>
      <w:r w:rsidRPr="00D964C7">
        <w:rPr>
          <w:rFonts w:cs="Times New Roman"/>
          <w:vertAlign w:val="superscript"/>
          <w:lang w:val="fr-CA"/>
        </w:rPr>
        <w:t>e</w:t>
      </w:r>
      <w:r w:rsidRPr="00D964C7">
        <w:rPr>
          <w:rFonts w:cs="Times New Roman"/>
          <w:lang w:val="fr-CA"/>
        </w:rPr>
        <w:t xml:space="preserve"> éd. (feuilles mobiles)), p. 7-21).  </w:t>
      </w:r>
    </w:p>
    <w:p w:rsidR="009D7689" w:rsidRPr="00D964C7" w:rsidRDefault="009D7689" w:rsidP="009D7689">
      <w:pPr>
        <w:pStyle w:val="ParaNoNdepar-AltN"/>
        <w:rPr>
          <w:rFonts w:cs="Times New Roman"/>
          <w:lang w:val="fr-CA"/>
        </w:rPr>
      </w:pPr>
      <w:r w:rsidRPr="00D964C7">
        <w:rPr>
          <w:rFonts w:cs="Times New Roman"/>
          <w:lang w:val="fr-CA"/>
        </w:rPr>
        <w:t xml:space="preserve">Deuxièmement, comme le soulignent les détracteurs de l’arrêt </w:t>
      </w:r>
      <w:proofErr w:type="spellStart"/>
      <w:r w:rsidRPr="00D964C7">
        <w:rPr>
          <w:rFonts w:cs="Times New Roman"/>
          <w:i/>
          <w:lang w:val="fr-CA"/>
        </w:rPr>
        <w:t>Kearley</w:t>
      </w:r>
      <w:proofErr w:type="spellEnd"/>
      <w:r w:rsidRPr="00D964C7">
        <w:rPr>
          <w:rFonts w:cs="Times New Roman"/>
          <w:lang w:val="fr-CA"/>
        </w:rPr>
        <w:t xml:space="preserve">, l’application de la règle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aux affirmations implicites, telles les commandes téléphoniques de drogue, risque de priver le juge des faits d’éléments de preuve fiables et d’entraver ainsi le processus de recherche de la vérité : voir, par exemple, D. </w:t>
      </w:r>
      <w:proofErr w:type="spellStart"/>
      <w:r w:rsidRPr="00D964C7">
        <w:rPr>
          <w:rFonts w:cs="Times New Roman"/>
          <w:lang w:val="fr-CA"/>
        </w:rPr>
        <w:t>Birch</w:t>
      </w:r>
      <w:proofErr w:type="spellEnd"/>
      <w:r w:rsidRPr="00D964C7">
        <w:rPr>
          <w:rFonts w:cs="Times New Roman"/>
          <w:lang w:val="fr-CA"/>
        </w:rPr>
        <w:t>, « </w:t>
      </w:r>
      <w:proofErr w:type="spellStart"/>
      <w:r w:rsidRPr="00D964C7">
        <w:rPr>
          <w:rFonts w:cs="Times New Roman"/>
          <w:lang w:val="fr-CA"/>
        </w:rPr>
        <w:t>Criminal</w:t>
      </w:r>
      <w:proofErr w:type="spellEnd"/>
      <w:r w:rsidRPr="00D964C7">
        <w:rPr>
          <w:rFonts w:cs="Times New Roman"/>
          <w:lang w:val="fr-CA"/>
        </w:rPr>
        <w:t xml:space="preserve"> Justice </w:t>
      </w:r>
      <w:proofErr w:type="spellStart"/>
      <w:r w:rsidRPr="00D964C7">
        <w:rPr>
          <w:rFonts w:cs="Times New Roman"/>
          <w:lang w:val="fr-CA"/>
        </w:rPr>
        <w:t>Act</w:t>
      </w:r>
      <w:proofErr w:type="spellEnd"/>
      <w:r w:rsidRPr="00D964C7">
        <w:rPr>
          <w:rFonts w:cs="Times New Roman"/>
          <w:lang w:val="fr-CA"/>
        </w:rPr>
        <w:t xml:space="preserve"> 2003 (4) </w:t>
      </w:r>
      <w:proofErr w:type="spellStart"/>
      <w:r w:rsidRPr="00D964C7">
        <w:rPr>
          <w:rFonts w:cs="Times New Roman"/>
          <w:lang w:val="fr-CA"/>
        </w:rPr>
        <w:t>Hearsay</w:t>
      </w:r>
      <w:proofErr w:type="spellEnd"/>
      <w:r w:rsidRPr="00D964C7">
        <w:rPr>
          <w:rFonts w:cs="Times New Roman"/>
          <w:lang w:val="fr-CA"/>
        </w:rPr>
        <w:t> </w:t>
      </w:r>
      <w:proofErr w:type="gramStart"/>
      <w:r w:rsidRPr="00D964C7">
        <w:rPr>
          <w:rFonts w:cs="Times New Roman"/>
          <w:lang w:val="fr-CA"/>
        </w:rPr>
        <w:t xml:space="preserve">:  </w:t>
      </w:r>
      <w:proofErr w:type="spellStart"/>
      <w:r w:rsidRPr="00D964C7">
        <w:rPr>
          <w:rFonts w:cs="Times New Roman"/>
          <w:lang w:val="fr-CA"/>
        </w:rPr>
        <w:t>Same</w:t>
      </w:r>
      <w:proofErr w:type="spellEnd"/>
      <w:proofErr w:type="gramEnd"/>
      <w:r w:rsidRPr="00D964C7">
        <w:rPr>
          <w:rFonts w:cs="Times New Roman"/>
          <w:lang w:val="fr-CA"/>
        </w:rPr>
        <w:t xml:space="preserve"> </w:t>
      </w:r>
      <w:proofErr w:type="spellStart"/>
      <w:r w:rsidRPr="00D964C7">
        <w:rPr>
          <w:rFonts w:cs="Times New Roman"/>
          <w:lang w:val="fr-CA"/>
        </w:rPr>
        <w:t>Old</w:t>
      </w:r>
      <w:proofErr w:type="spellEnd"/>
      <w:r w:rsidRPr="00D964C7">
        <w:rPr>
          <w:rFonts w:cs="Times New Roman"/>
          <w:lang w:val="fr-CA"/>
        </w:rPr>
        <w:t xml:space="preserve"> Story, </w:t>
      </w:r>
      <w:proofErr w:type="spellStart"/>
      <w:r w:rsidRPr="00D964C7">
        <w:rPr>
          <w:rFonts w:cs="Times New Roman"/>
          <w:lang w:val="fr-CA"/>
        </w:rPr>
        <w:t>Same</w:t>
      </w:r>
      <w:proofErr w:type="spellEnd"/>
      <w:r w:rsidRPr="00D964C7">
        <w:rPr>
          <w:rFonts w:cs="Times New Roman"/>
          <w:lang w:val="fr-CA"/>
        </w:rPr>
        <w:t xml:space="preserve"> </w:t>
      </w:r>
      <w:proofErr w:type="spellStart"/>
      <w:r w:rsidRPr="00D964C7">
        <w:rPr>
          <w:rFonts w:cs="Times New Roman"/>
          <w:lang w:val="fr-CA"/>
        </w:rPr>
        <w:t>Old</w:t>
      </w:r>
      <w:proofErr w:type="spellEnd"/>
      <w:r w:rsidRPr="00D964C7">
        <w:rPr>
          <w:rFonts w:cs="Times New Roman"/>
          <w:lang w:val="fr-CA"/>
        </w:rPr>
        <w:t xml:space="preserve"> Song? », [2004] </w:t>
      </w:r>
      <w:proofErr w:type="spellStart"/>
      <w:r w:rsidRPr="00D964C7">
        <w:rPr>
          <w:rFonts w:cs="Times New Roman"/>
          <w:i/>
          <w:lang w:val="fr-CA"/>
        </w:rPr>
        <w:t>Crim</w:t>
      </w:r>
      <w:proofErr w:type="spellEnd"/>
      <w:r w:rsidRPr="00D964C7">
        <w:rPr>
          <w:rFonts w:cs="Times New Roman"/>
          <w:i/>
          <w:lang w:val="fr-CA"/>
        </w:rPr>
        <w:t>. L.R.</w:t>
      </w:r>
      <w:r w:rsidRPr="00D964C7">
        <w:rPr>
          <w:rFonts w:cs="Times New Roman"/>
          <w:lang w:val="fr-CA"/>
        </w:rPr>
        <w:t xml:space="preserve"> 556, p. 564</w:t>
      </w:r>
      <w:r w:rsidRPr="00D964C7">
        <w:rPr>
          <w:rFonts w:cs="Times New Roman"/>
          <w:lang w:val="fr-CA"/>
        </w:rPr>
        <w:noBreakHyphen/>
        <w:t>565.</w:t>
      </w:r>
    </w:p>
    <w:p w:rsidR="009D7689" w:rsidRPr="00D964C7" w:rsidRDefault="009D7689" w:rsidP="009D7689">
      <w:pPr>
        <w:pStyle w:val="ParaNoNdepar-AltN"/>
        <w:rPr>
          <w:rFonts w:cs="Times New Roman"/>
          <w:lang w:val="fr-CA"/>
        </w:rPr>
      </w:pPr>
      <w:r w:rsidRPr="00D964C7">
        <w:rPr>
          <w:rFonts w:cs="Times New Roman"/>
          <w:lang w:val="fr-CA"/>
        </w:rPr>
        <w:t xml:space="preserve">La réponse lapidaire au premier argument est que le présent pourvoi ne porte pas sur l’application de la règle </w:t>
      </w:r>
      <w:proofErr w:type="gramStart"/>
      <w:r w:rsidRPr="00D964C7">
        <w:rPr>
          <w:rFonts w:cs="Times New Roman"/>
          <w:lang w:val="fr-CA"/>
        </w:rPr>
        <w:t xml:space="preserve">du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xml:space="preserve"> aux affirmations implicites découlant d’un comportement.  Il porte plutôt sur une déclaration purement </w:t>
      </w:r>
      <w:r w:rsidRPr="00D964C7">
        <w:rPr>
          <w:rFonts w:cs="Times New Roman"/>
          <w:i/>
          <w:lang w:val="fr-CA"/>
        </w:rPr>
        <w:t>verbale</w:t>
      </w:r>
      <w:r w:rsidRPr="00D964C7">
        <w:rPr>
          <w:rFonts w:cs="Times New Roman"/>
          <w:lang w:val="fr-CA"/>
        </w:rPr>
        <w:t xml:space="preserve">. </w:t>
      </w:r>
    </w:p>
    <w:p w:rsidR="009D7689" w:rsidRPr="00D964C7" w:rsidRDefault="009D7689" w:rsidP="009D7689">
      <w:pPr>
        <w:pStyle w:val="ParaNoNdepar-AltN"/>
        <w:rPr>
          <w:rFonts w:cs="Times New Roman"/>
          <w:lang w:val="fr-CA"/>
        </w:rPr>
      </w:pPr>
      <w:r w:rsidRPr="00D964C7">
        <w:rPr>
          <w:rFonts w:cs="Times New Roman"/>
          <w:lang w:val="fr-CA"/>
        </w:rPr>
        <w:lastRenderedPageBreak/>
        <w:t xml:space="preserve">Il vaut mieux remettre à une autre occasion l’examen de la question de l’applicabilité de la règle </w:t>
      </w:r>
      <w:proofErr w:type="gramStart"/>
      <w:r w:rsidRPr="00D964C7">
        <w:rPr>
          <w:rFonts w:cs="Times New Roman"/>
          <w:lang w:val="fr-CA"/>
        </w:rPr>
        <w:t xml:space="preserve">du </w:t>
      </w:r>
      <w:proofErr w:type="spellStart"/>
      <w:r w:rsidRPr="00D964C7">
        <w:rPr>
          <w:rFonts w:cs="Times New Roman"/>
          <w:lang w:val="fr-CA"/>
        </w:rPr>
        <w:t>ouï</w:t>
      </w:r>
      <w:r w:rsidRPr="00D964C7">
        <w:rPr>
          <w:rFonts w:cs="Times New Roman"/>
          <w:lang w:val="fr-CA"/>
        </w:rPr>
        <w:noBreakHyphen/>
        <w:t>dire</w:t>
      </w:r>
      <w:proofErr w:type="spellEnd"/>
      <w:proofErr w:type="gramEnd"/>
      <w:r w:rsidRPr="00D964C7">
        <w:rPr>
          <w:rFonts w:cs="Times New Roman"/>
          <w:lang w:val="fr-CA"/>
        </w:rPr>
        <w:t xml:space="preserve"> à une inférence susceptible d’être tirée d’un comportement.  Dans le contexte qui nous occupe, j’estime qu’il suffit de dire </w:t>
      </w:r>
      <w:proofErr w:type="gramStart"/>
      <w:r w:rsidRPr="00D964C7">
        <w:rPr>
          <w:rFonts w:cs="Times New Roman"/>
          <w:lang w:val="fr-CA"/>
        </w:rPr>
        <w:t>qu’</w:t>
      </w:r>
      <w:r w:rsidRPr="00D964C7">
        <w:rPr>
          <w:rFonts w:cs="Times New Roman"/>
          <w:smallCaps/>
          <w:lang w:val="fr-CA"/>
        </w:rPr>
        <w:t>[</w:t>
      </w:r>
      <w:proofErr w:type="gramEnd"/>
      <w:r w:rsidRPr="00D964C7">
        <w:rPr>
          <w:rFonts w:cs="Times New Roman"/>
          <w:smallCaps/>
          <w:lang w:val="fr-CA"/>
        </w:rPr>
        <w:t>traduction]</w:t>
      </w:r>
      <w:r w:rsidRPr="00D964C7">
        <w:rPr>
          <w:rFonts w:cs="Times New Roman"/>
          <w:lang w:val="fr-CA"/>
        </w:rPr>
        <w:t xml:space="preserve"> « il est possible d’adopter tel ou tel comportement sans jamais avoir l’intention de communiquer </w:t>
      </w:r>
      <w:r w:rsidRPr="00D964C7">
        <w:rPr>
          <w:rFonts w:cs="Times New Roman"/>
          <w:i/>
          <w:lang w:val="fr-CA"/>
        </w:rPr>
        <w:t>quoi que ce soit</w:t>
      </w:r>
      <w:r w:rsidRPr="00D964C7">
        <w:rPr>
          <w:rFonts w:cs="Times New Roman"/>
          <w:lang w:val="fr-CA"/>
        </w:rPr>
        <w:t xml:space="preserve"> à </w:t>
      </w:r>
      <w:r w:rsidRPr="00D964C7">
        <w:rPr>
          <w:rFonts w:cs="Times New Roman"/>
          <w:i/>
          <w:lang w:val="fr-CA"/>
        </w:rPr>
        <w:t>quiconque</w:t>
      </w:r>
      <w:r w:rsidR="006C5FB1">
        <w:rPr>
          <w:rFonts w:cs="Times New Roman"/>
          <w:lang w:val="fr-CA"/>
        </w:rPr>
        <w:t xml:space="preserve"> [mais]</w:t>
      </w:r>
      <w:r w:rsidRPr="00D964C7">
        <w:rPr>
          <w:rFonts w:cs="Times New Roman"/>
          <w:lang w:val="fr-CA"/>
        </w:rPr>
        <w:t xml:space="preserve"> il n’en va pas de même des paroles ou d’une combinaison de paroles et de comportements (par exemple, faire un pari) parce que les paroles ont pour seule fin la communication » : </w:t>
      </w:r>
      <w:proofErr w:type="spellStart"/>
      <w:r w:rsidRPr="00D964C7">
        <w:rPr>
          <w:rFonts w:cs="Times New Roman"/>
          <w:lang w:val="fr-CA"/>
        </w:rPr>
        <w:t>Rice</w:t>
      </w:r>
      <w:proofErr w:type="spellEnd"/>
      <w:r w:rsidRPr="00D964C7">
        <w:rPr>
          <w:rFonts w:cs="Times New Roman"/>
          <w:lang w:val="fr-CA"/>
        </w:rPr>
        <w:t>, p. 536 (en italique dans l’original).</w:t>
      </w:r>
    </w:p>
    <w:p w:rsidR="009D7689" w:rsidRPr="00D964C7" w:rsidRDefault="009D7689" w:rsidP="009D7689">
      <w:pPr>
        <w:pStyle w:val="ParaNoNdepar-AltN"/>
        <w:rPr>
          <w:rFonts w:cs="Times New Roman"/>
          <w:i/>
          <w:lang w:val="fr-CA"/>
        </w:rPr>
      </w:pPr>
      <w:r w:rsidRPr="00D964C7">
        <w:rPr>
          <w:rFonts w:cs="Times New Roman"/>
          <w:lang w:val="fr-CA"/>
        </w:rPr>
        <w:t xml:space="preserve">Le deuxième motif de préoccupation est grandement atténué, je le répète, par l’effet de l’approche raisonnée en matière de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adoptée au Canada.  </w:t>
      </w:r>
    </w:p>
    <w:p w:rsidR="009D7689" w:rsidRPr="00D964C7" w:rsidRDefault="009D7689" w:rsidP="009D7689">
      <w:pPr>
        <w:pStyle w:val="ParaNoNdepar-AltN"/>
        <w:rPr>
          <w:rFonts w:cs="Times New Roman"/>
          <w:i/>
          <w:lang w:val="fr-CA"/>
        </w:rPr>
      </w:pPr>
      <w:r w:rsidRPr="00D964C7">
        <w:rPr>
          <w:rFonts w:cs="Times New Roman"/>
          <w:lang w:val="fr-CA"/>
        </w:rPr>
        <w:t xml:space="preserve">Dans </w:t>
      </w:r>
      <w:proofErr w:type="spellStart"/>
      <w:r w:rsidRPr="00D964C7">
        <w:rPr>
          <w:rFonts w:cs="Times New Roman"/>
          <w:i/>
          <w:lang w:val="fr-CA"/>
        </w:rPr>
        <w:t>Kearley</w:t>
      </w:r>
      <w:proofErr w:type="spellEnd"/>
      <w:r w:rsidRPr="00D964C7">
        <w:rPr>
          <w:rFonts w:cs="Times New Roman"/>
          <w:lang w:val="fr-CA"/>
        </w:rPr>
        <w:t xml:space="preserve">, après avoir conclu que la preuve constituait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la Chambre des lords l’a écartée automatiquement parce qu’elle ne relevait pas d’une exception traditionnelle à la règle du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w:t>
      </w:r>
    </w:p>
    <w:p w:rsidR="009D7689" w:rsidRPr="00D964C7" w:rsidRDefault="009D7689" w:rsidP="009D7689">
      <w:pPr>
        <w:pStyle w:val="ParaNoNdepar-AltN"/>
        <w:rPr>
          <w:rFonts w:cs="Times New Roman"/>
          <w:i/>
          <w:lang w:val="fr-CA"/>
        </w:rPr>
      </w:pPr>
      <w:r w:rsidRPr="00D964C7">
        <w:rPr>
          <w:rFonts w:cs="Times New Roman"/>
          <w:lang w:val="fr-CA"/>
        </w:rPr>
        <w:t xml:space="preserve">La démarche canadienne n’est pas victime d’un tel manque de souplesse.  Sous le régime du droit canadien, la preuve par </w:t>
      </w:r>
      <w:proofErr w:type="spellStart"/>
      <w:r w:rsidRPr="00D964C7">
        <w:rPr>
          <w:rFonts w:cs="Times New Roman"/>
          <w:lang w:val="fr-CA"/>
        </w:rPr>
        <w:t>ouï</w:t>
      </w:r>
      <w:r w:rsidRPr="00D964C7">
        <w:rPr>
          <w:rFonts w:cs="Times New Roman"/>
          <w:lang w:val="fr-CA"/>
        </w:rPr>
        <w:noBreakHyphen/>
        <w:t>dire</w:t>
      </w:r>
      <w:proofErr w:type="spellEnd"/>
      <w:r w:rsidRPr="00D964C7">
        <w:rPr>
          <w:rFonts w:cs="Times New Roman"/>
          <w:lang w:val="fr-CA"/>
        </w:rPr>
        <w:t xml:space="preserve"> qui n’est pas admissible au titre d’une exception traditionnelle peut néanmoins être admise suivant une analyse raisonnée visant à en déterminer la nécessité et la fiabilité.  Ce </w:t>
      </w:r>
      <w:r w:rsidRPr="00D964C7">
        <w:rPr>
          <w:rFonts w:cs="Times New Roman"/>
          <w:smallCaps/>
          <w:lang w:val="fr-CA"/>
        </w:rPr>
        <w:t>[traduction]</w:t>
      </w:r>
      <w:r w:rsidRPr="00D964C7">
        <w:rPr>
          <w:rFonts w:cs="Times New Roman"/>
          <w:lang w:val="fr-CA"/>
        </w:rPr>
        <w:t xml:space="preserve"> « régime logique » reconnaît que « certaines affirmations implicites, tout comme certaines affirmations expresses, seront très fiables même en l’absence d’un </w:t>
      </w:r>
      <w:proofErr w:type="spellStart"/>
      <w:r w:rsidRPr="00D964C7">
        <w:rPr>
          <w:rFonts w:cs="Times New Roman"/>
          <w:lang w:val="fr-CA"/>
        </w:rPr>
        <w:t>contre</w:t>
      </w:r>
      <w:r w:rsidRPr="00D964C7">
        <w:rPr>
          <w:rFonts w:cs="Times New Roman"/>
          <w:lang w:val="fr-CA"/>
        </w:rPr>
        <w:noBreakHyphen/>
        <w:t>interrogatoire</w:t>
      </w:r>
      <w:proofErr w:type="spellEnd"/>
      <w:r w:rsidRPr="00D964C7">
        <w:rPr>
          <w:rFonts w:cs="Times New Roman"/>
          <w:lang w:val="fr-CA"/>
        </w:rPr>
        <w:t xml:space="preserve"> » : </w:t>
      </w:r>
      <w:proofErr w:type="spellStart"/>
      <w:r w:rsidRPr="00D964C7">
        <w:rPr>
          <w:rFonts w:cs="Times New Roman"/>
          <w:lang w:val="fr-CA"/>
        </w:rPr>
        <w:t>Finman</w:t>
      </w:r>
      <w:proofErr w:type="spellEnd"/>
      <w:r w:rsidRPr="00D964C7">
        <w:rPr>
          <w:rFonts w:cs="Times New Roman"/>
          <w:lang w:val="fr-CA"/>
        </w:rPr>
        <w:t>, p. 693.  Dans le cadre de ce régime, les affirmations implicites qui sont nécessaires et fiables peuvent être admises en preuve alors que les autres seront écartées.</w:t>
      </w:r>
    </w:p>
    <w:p w:rsidR="009D7689" w:rsidRPr="00D964C7" w:rsidRDefault="009D7689" w:rsidP="009D7689">
      <w:pPr>
        <w:pStyle w:val="TitleTitre-AltT"/>
        <w:jc w:val="center"/>
        <w:rPr>
          <w:rFonts w:cs="Times New Roman"/>
          <w:lang w:val="fr-CA"/>
        </w:rPr>
      </w:pPr>
      <w:r w:rsidRPr="00D964C7">
        <w:rPr>
          <w:rFonts w:cs="Times New Roman"/>
          <w:lang w:val="fr-CA"/>
        </w:rPr>
        <w:lastRenderedPageBreak/>
        <w:t>VII</w:t>
      </w:r>
    </w:p>
    <w:p w:rsidR="009D7689" w:rsidRPr="00D964C7" w:rsidRDefault="009D7689" w:rsidP="009D7689">
      <w:pPr>
        <w:pStyle w:val="ParaNoNdepar-AltN"/>
        <w:rPr>
          <w:rFonts w:cs="Times New Roman"/>
          <w:lang w:val="fr-CA"/>
        </w:rPr>
      </w:pPr>
      <w:r w:rsidRPr="00D964C7">
        <w:rPr>
          <w:rFonts w:cs="Times New Roman"/>
          <w:lang w:val="fr-CA"/>
        </w:rPr>
        <w:t>Au vu des faits de la présente affaire, aucune exception traditionnelle ne s’applique.  La preuve contestée ne résiste pas à l’analyse raisonnée; elle ne satisfait ni à l’exigence de nécessité ni à celle de fiabilité.</w:t>
      </w:r>
    </w:p>
    <w:p w:rsidR="009D7689" w:rsidRPr="00D964C7" w:rsidRDefault="009D7689" w:rsidP="009D7689">
      <w:pPr>
        <w:pStyle w:val="ParaNoNdepar-AltN"/>
        <w:rPr>
          <w:rFonts w:cs="Times New Roman"/>
          <w:lang w:val="fr-CA"/>
        </w:rPr>
      </w:pPr>
      <w:r w:rsidRPr="00D964C7">
        <w:rPr>
          <w:rFonts w:cs="Times New Roman"/>
          <w:lang w:val="fr-CA"/>
        </w:rPr>
        <w:t xml:space="preserve">Dans l’arrêt </w:t>
      </w:r>
      <w:proofErr w:type="spellStart"/>
      <w:r w:rsidRPr="00D964C7">
        <w:rPr>
          <w:rFonts w:cs="Times New Roman"/>
          <w:i/>
          <w:lang w:val="fr-CA"/>
        </w:rPr>
        <w:t>Khelawon</w:t>
      </w:r>
      <w:proofErr w:type="spellEnd"/>
      <w:r w:rsidRPr="00D964C7">
        <w:rPr>
          <w:rFonts w:cs="Times New Roman"/>
          <w:lang w:val="fr-CA"/>
        </w:rPr>
        <w:t>, la nécessité avait été reconnue.  La juge Charron a tout de même pris la p</w:t>
      </w:r>
      <w:r w:rsidR="006C5FB1">
        <w:rPr>
          <w:rFonts w:cs="Times New Roman"/>
          <w:lang w:val="fr-CA"/>
        </w:rPr>
        <w:t>eine de signaler que </w:t>
      </w:r>
    </w:p>
    <w:p w:rsidR="009D7689" w:rsidRPr="00D964C7" w:rsidRDefault="009D7689" w:rsidP="009D7689">
      <w:pPr>
        <w:pStyle w:val="Citation-AltC"/>
        <w:ind w:hanging="1166"/>
        <w:rPr>
          <w:lang w:val="fr-CA"/>
        </w:rPr>
      </w:pPr>
      <w:r w:rsidRPr="00D964C7">
        <w:rPr>
          <w:lang w:val="fr-CA"/>
        </w:rPr>
        <w:tab/>
      </w:r>
      <w:proofErr w:type="gramStart"/>
      <w:r w:rsidRPr="00D964C7">
        <w:rPr>
          <w:lang w:val="fr-CA"/>
        </w:rPr>
        <w:t>dans</w:t>
      </w:r>
      <w:proofErr w:type="gramEnd"/>
      <w:r w:rsidRPr="00D964C7">
        <w:rPr>
          <w:lang w:val="fr-CA"/>
        </w:rPr>
        <w:t xml:space="preserve"> une instance appropriée, il se peut bien que, pour trancher la question de la nécessité, le tribunal se demande si la partie qui veut présenter la preuve a déployé tous les efforts raisonnables pour préserver la preuve du déclarant de manière à préserver également les droits de l’autre partie.  [</w:t>
      </w:r>
      <w:proofErr w:type="gramStart"/>
      <w:r w:rsidRPr="00D964C7">
        <w:rPr>
          <w:lang w:val="fr-CA"/>
        </w:rPr>
        <w:t>par</w:t>
      </w:r>
      <w:proofErr w:type="gramEnd"/>
      <w:r w:rsidRPr="00D964C7">
        <w:rPr>
          <w:lang w:val="fr-CA"/>
        </w:rPr>
        <w:t>. 104]</w:t>
      </w:r>
    </w:p>
    <w:p w:rsidR="009D7689" w:rsidRPr="00D964C7" w:rsidRDefault="009D7689" w:rsidP="009D7689">
      <w:pPr>
        <w:pStyle w:val="ContinueParaSuitedupar-AltP"/>
        <w:rPr>
          <w:rFonts w:cs="Times New Roman"/>
          <w:lang w:val="fr-CA"/>
        </w:rPr>
      </w:pPr>
      <w:r w:rsidRPr="00D964C7">
        <w:rPr>
          <w:rFonts w:cs="Times New Roman"/>
          <w:lang w:val="fr-CA"/>
        </w:rPr>
        <w:t>Nous sommes en p</w:t>
      </w:r>
      <w:r w:rsidR="0053634F">
        <w:rPr>
          <w:rFonts w:cs="Times New Roman"/>
          <w:lang w:val="fr-CA"/>
        </w:rPr>
        <w:t>résence en l’espèce du genre d’</w:t>
      </w:r>
      <w:r w:rsidRPr="00D964C7">
        <w:rPr>
          <w:rFonts w:cs="Times New Roman"/>
          <w:lang w:val="fr-CA"/>
        </w:rPr>
        <w:t xml:space="preserve">« instance appropriée » dont il est question dans l’affaire </w:t>
      </w:r>
      <w:proofErr w:type="spellStart"/>
      <w:r w:rsidRPr="00D964C7">
        <w:rPr>
          <w:rFonts w:cs="Times New Roman"/>
          <w:i/>
          <w:lang w:val="fr-CA"/>
        </w:rPr>
        <w:t>Khelawon</w:t>
      </w:r>
      <w:proofErr w:type="spellEnd"/>
      <w:r w:rsidRPr="00D964C7">
        <w:rPr>
          <w:rFonts w:cs="Times New Roman"/>
          <w:lang w:val="fr-CA"/>
        </w:rPr>
        <w:t xml:space="preserve">.  Et, le fin mot dans cette histoire, c’est que la police </w:t>
      </w:r>
      <w:r w:rsidRPr="00D964C7">
        <w:rPr>
          <w:rFonts w:cs="Times New Roman"/>
          <w:i/>
          <w:lang w:val="fr-CA"/>
        </w:rPr>
        <w:t>n’a fait aucun effort</w:t>
      </w:r>
      <w:r w:rsidRPr="00D964C7">
        <w:rPr>
          <w:rFonts w:cs="Times New Roman"/>
          <w:lang w:val="fr-CA"/>
        </w:rPr>
        <w:t xml:space="preserve"> pour obtenir le témoignage du déclarant, n’a pas cherché à l’interroger ni même à le trouver, </w:t>
      </w:r>
      <w:r w:rsidRPr="00641E8B">
        <w:rPr>
          <w:rFonts w:cs="Times New Roman"/>
          <w:lang w:val="fr-CA"/>
        </w:rPr>
        <w:t>même si</w:t>
      </w:r>
      <w:r w:rsidRPr="00D964C7">
        <w:rPr>
          <w:rFonts w:cs="Times New Roman"/>
          <w:i/>
          <w:lang w:val="fr-CA"/>
        </w:rPr>
        <w:t xml:space="preserve"> </w:t>
      </w:r>
      <w:proofErr w:type="spellStart"/>
      <w:r w:rsidRPr="00D964C7">
        <w:rPr>
          <w:rFonts w:cs="Times New Roman"/>
          <w:i/>
          <w:lang w:val="fr-CA"/>
        </w:rPr>
        <w:t>celui</w:t>
      </w:r>
      <w:r w:rsidRPr="00D964C7">
        <w:rPr>
          <w:rFonts w:cs="Times New Roman"/>
          <w:i/>
          <w:lang w:val="fr-CA"/>
        </w:rPr>
        <w:noBreakHyphen/>
        <w:t>ci</w:t>
      </w:r>
      <w:proofErr w:type="spellEnd"/>
      <w:r w:rsidRPr="00D964C7">
        <w:rPr>
          <w:rFonts w:cs="Times New Roman"/>
          <w:i/>
          <w:lang w:val="fr-CA"/>
        </w:rPr>
        <w:t xml:space="preserve"> avait indiqué son adresse</w:t>
      </w:r>
      <w:r w:rsidRPr="00D964C7">
        <w:rPr>
          <w:rFonts w:cs="Times New Roman"/>
          <w:lang w:val="fr-CA"/>
        </w:rPr>
        <w:t>.  Qui plus est, aucun motif n’a été avancé pour expliquer l’absence d’efforts visant à dénicher le déclarant.</w:t>
      </w:r>
    </w:p>
    <w:p w:rsidR="009D7689" w:rsidRPr="00D964C7" w:rsidRDefault="009D7689" w:rsidP="009D7689">
      <w:pPr>
        <w:pStyle w:val="ParaNoNdepar-AltN"/>
        <w:rPr>
          <w:rFonts w:cs="Times New Roman"/>
          <w:i/>
          <w:lang w:val="fr-CA"/>
        </w:rPr>
      </w:pPr>
      <w:r w:rsidRPr="00D964C7">
        <w:rPr>
          <w:rFonts w:cs="Times New Roman"/>
          <w:lang w:val="fr-CA"/>
        </w:rPr>
        <w:t xml:space="preserve">En outre, l’appel en l’espèce ne permet pas de satisfaire au critère de fiabilité.  Comme l’a conclu la juge </w:t>
      </w:r>
      <w:proofErr w:type="spellStart"/>
      <w:r w:rsidRPr="00D964C7">
        <w:rPr>
          <w:rFonts w:cs="Times New Roman"/>
          <w:lang w:val="fr-CA"/>
        </w:rPr>
        <w:t>Feldman</w:t>
      </w:r>
      <w:proofErr w:type="spellEnd"/>
      <w:r w:rsidRPr="00D964C7">
        <w:rPr>
          <w:rFonts w:cs="Times New Roman"/>
          <w:lang w:val="fr-CA"/>
        </w:rPr>
        <w:t xml:space="preserve"> de la Cour d’appel, </w:t>
      </w:r>
      <w:r w:rsidRPr="00D964C7">
        <w:rPr>
          <w:rFonts w:cs="Times New Roman"/>
          <w:smallCaps/>
          <w:lang w:val="fr-CA"/>
        </w:rPr>
        <w:t>[traduction]</w:t>
      </w:r>
      <w:r w:rsidRPr="00D964C7">
        <w:rPr>
          <w:rFonts w:cs="Times New Roman"/>
          <w:lang w:val="fr-CA"/>
        </w:rPr>
        <w:t xml:space="preserve"> « [r]</w:t>
      </w:r>
      <w:proofErr w:type="spellStart"/>
      <w:r w:rsidRPr="00D964C7">
        <w:rPr>
          <w:rFonts w:cs="Times New Roman"/>
          <w:lang w:val="fr-CA"/>
        </w:rPr>
        <w:t>ien</w:t>
      </w:r>
      <w:proofErr w:type="spellEnd"/>
      <w:r w:rsidRPr="00D964C7">
        <w:rPr>
          <w:rFonts w:cs="Times New Roman"/>
          <w:lang w:val="fr-CA"/>
        </w:rPr>
        <w:t xml:space="preserve"> ne permet d’affirmer que la croyance de l’auteur de l’appel était fiable sans mettre à l’épreuve le fondement de cette croyance au moyen d’un </w:t>
      </w:r>
      <w:proofErr w:type="spellStart"/>
      <w:r w:rsidRPr="00D964C7">
        <w:rPr>
          <w:rFonts w:cs="Times New Roman"/>
          <w:lang w:val="fr-CA"/>
        </w:rPr>
        <w:t>contre</w:t>
      </w:r>
      <w:r w:rsidRPr="00D964C7">
        <w:rPr>
          <w:rFonts w:cs="Times New Roman"/>
          <w:lang w:val="fr-CA"/>
        </w:rPr>
        <w:noBreakHyphen/>
        <w:t>interrogatoire</w:t>
      </w:r>
      <w:proofErr w:type="spellEnd"/>
      <w:r w:rsidRPr="00D964C7">
        <w:rPr>
          <w:rFonts w:cs="Times New Roman"/>
          <w:lang w:val="fr-CA"/>
        </w:rPr>
        <w:t> » (par. 146).  En fait, il ne s’agit pas d’un cas où « on peut facilement voir qu’une telle épreuve requise [c’est</w:t>
      </w:r>
      <w:r w:rsidRPr="00D964C7">
        <w:rPr>
          <w:rFonts w:cs="Times New Roman"/>
          <w:lang w:val="fr-CA"/>
        </w:rPr>
        <w:noBreakHyphen/>
      </w:r>
      <w:proofErr w:type="spellStart"/>
      <w:r w:rsidRPr="00D964C7">
        <w:rPr>
          <w:rFonts w:cs="Times New Roman"/>
          <w:lang w:val="fr-CA"/>
        </w:rPr>
        <w:t>à</w:t>
      </w:r>
      <w:r w:rsidRPr="00D964C7">
        <w:rPr>
          <w:rFonts w:cs="Times New Roman"/>
          <w:lang w:val="fr-CA"/>
        </w:rPr>
        <w:noBreakHyphen/>
        <w:t>dire</w:t>
      </w:r>
      <w:proofErr w:type="spellEnd"/>
      <w:r w:rsidRPr="00D964C7">
        <w:rPr>
          <w:rFonts w:cs="Times New Roman"/>
          <w:lang w:val="fr-CA"/>
        </w:rPr>
        <w:t xml:space="preserve"> le </w:t>
      </w:r>
      <w:proofErr w:type="spellStart"/>
      <w:r w:rsidRPr="00D964C7">
        <w:rPr>
          <w:rFonts w:cs="Times New Roman"/>
          <w:lang w:val="fr-CA"/>
        </w:rPr>
        <w:t>contre</w:t>
      </w:r>
      <w:r w:rsidRPr="00D964C7">
        <w:rPr>
          <w:rFonts w:cs="Times New Roman"/>
          <w:lang w:val="fr-CA"/>
        </w:rPr>
        <w:noBreakHyphen/>
        <w:t>interrogatoire</w:t>
      </w:r>
      <w:proofErr w:type="spellEnd"/>
      <w:r w:rsidRPr="00D964C7">
        <w:rPr>
          <w:rFonts w:cs="Times New Roman"/>
          <w:lang w:val="fr-CA"/>
        </w:rPr>
        <w:t xml:space="preserve">] </w:t>
      </w:r>
      <w:r w:rsidRPr="00D964C7">
        <w:rPr>
          <w:rFonts w:cs="Times New Roman"/>
          <w:lang w:val="fr-CA"/>
        </w:rPr>
        <w:lastRenderedPageBreak/>
        <w:t xml:space="preserve">ajouterait peu comme garantie parce que ses objets ont en grande partie déjà été atteints » : </w:t>
      </w:r>
      <w:proofErr w:type="spellStart"/>
      <w:r w:rsidRPr="00D964C7">
        <w:rPr>
          <w:rFonts w:cs="Times New Roman"/>
          <w:i/>
          <w:lang w:val="fr-CA"/>
        </w:rPr>
        <w:t>Khelawon</w:t>
      </w:r>
      <w:proofErr w:type="spellEnd"/>
      <w:r w:rsidRPr="00D964C7">
        <w:rPr>
          <w:rFonts w:cs="Times New Roman"/>
          <w:lang w:val="fr-CA"/>
        </w:rPr>
        <w:t xml:space="preserve">, par. 62, citant </w:t>
      </w:r>
      <w:proofErr w:type="spellStart"/>
      <w:r w:rsidRPr="00D964C7">
        <w:rPr>
          <w:rFonts w:cs="Times New Roman"/>
          <w:i/>
          <w:lang w:val="fr-CA"/>
        </w:rPr>
        <w:t>Wigmore</w:t>
      </w:r>
      <w:proofErr w:type="spellEnd"/>
      <w:r w:rsidRPr="00D964C7">
        <w:rPr>
          <w:rFonts w:cs="Times New Roman"/>
          <w:i/>
          <w:lang w:val="fr-CA"/>
        </w:rPr>
        <w:t xml:space="preserve"> on </w:t>
      </w:r>
      <w:proofErr w:type="spellStart"/>
      <w:r w:rsidRPr="00D964C7">
        <w:rPr>
          <w:rFonts w:cs="Times New Roman"/>
          <w:i/>
          <w:lang w:val="fr-CA"/>
        </w:rPr>
        <w:t>Evidence</w:t>
      </w:r>
      <w:proofErr w:type="spellEnd"/>
      <w:r w:rsidRPr="00D964C7">
        <w:rPr>
          <w:rFonts w:cs="Times New Roman"/>
          <w:lang w:val="fr-CA"/>
        </w:rPr>
        <w:t>, §1420.</w:t>
      </w:r>
      <w:r w:rsidRPr="00D964C7">
        <w:rPr>
          <w:rFonts w:cs="Times New Roman"/>
          <w:i/>
          <w:lang w:val="fr-CA"/>
        </w:rPr>
        <w:t xml:space="preserve"> </w:t>
      </w:r>
    </w:p>
    <w:p w:rsidR="009D7689" w:rsidRPr="00D964C7" w:rsidRDefault="009D7689" w:rsidP="009D7689">
      <w:pPr>
        <w:pStyle w:val="ParaNoNdepar-AltN"/>
        <w:rPr>
          <w:rFonts w:cs="Times New Roman"/>
          <w:lang w:val="fr-CA"/>
        </w:rPr>
      </w:pPr>
      <w:r w:rsidRPr="00D964C7">
        <w:rPr>
          <w:rFonts w:cs="Times New Roman"/>
          <w:lang w:val="fr-CA"/>
        </w:rPr>
        <w:t xml:space="preserve">En tirant cette conclusion, je me garde de proposer une règle catégorique applicable aux commandes téléphoniques de drogue.  Bien que l’appel visé en l’espèce ne résiste pas à l’analyse raisonnée, ce ne sera pas nécessairement toujours le cas.  </w:t>
      </w:r>
    </w:p>
    <w:p w:rsidR="009D7689" w:rsidRPr="00D964C7" w:rsidRDefault="009D7689" w:rsidP="009D7689">
      <w:pPr>
        <w:pStyle w:val="ParaNoNdepar-AltN"/>
        <w:rPr>
          <w:rFonts w:cs="Times New Roman"/>
          <w:lang w:val="fr-CA"/>
        </w:rPr>
      </w:pPr>
      <w:r w:rsidRPr="00D964C7">
        <w:rPr>
          <w:rFonts w:cs="Times New Roman"/>
          <w:lang w:val="fr-CA"/>
        </w:rPr>
        <w:t xml:space="preserve">Par exemple, dans le cas où la police intercepte non pas une mais plusieurs commandes téléphoniques de drogue, le nombre d’appels peut très bien suffire dans certaines circonstances à établir la fiabilité — certes, même si </w:t>
      </w:r>
      <w:r w:rsidRPr="00D964C7">
        <w:rPr>
          <w:rFonts w:cs="Times New Roman"/>
          <w:smallCaps/>
          <w:lang w:val="fr-CA"/>
        </w:rPr>
        <w:t xml:space="preserve">[traduction] </w:t>
      </w:r>
      <w:r w:rsidRPr="00D964C7">
        <w:rPr>
          <w:rFonts w:cs="Times New Roman"/>
          <w:lang w:val="fr-CA"/>
        </w:rPr>
        <w:t xml:space="preserve">« [u]ne ou deux personnes ont pu se tromper, ou bien comploter pour faire accuser le défendeur de trafic de drogue », il serait « difficile de croire que tous les interlocuteurs ont commis la même erreur ou fomentent le même complot » : I. H. Dennis, </w:t>
      </w:r>
      <w:r w:rsidRPr="00D964C7">
        <w:rPr>
          <w:rFonts w:cs="Times New Roman"/>
          <w:i/>
          <w:lang w:val="fr-CA"/>
        </w:rPr>
        <w:t xml:space="preserve">The Law of </w:t>
      </w:r>
      <w:proofErr w:type="spellStart"/>
      <w:r w:rsidRPr="00D964C7">
        <w:rPr>
          <w:rFonts w:cs="Times New Roman"/>
          <w:i/>
          <w:lang w:val="fr-CA"/>
        </w:rPr>
        <w:t>Evidence</w:t>
      </w:r>
      <w:proofErr w:type="spellEnd"/>
      <w:r w:rsidRPr="00D964C7">
        <w:rPr>
          <w:rFonts w:cs="Times New Roman"/>
          <w:lang w:val="fr-CA"/>
        </w:rPr>
        <w:t xml:space="preserve"> (4</w:t>
      </w:r>
      <w:r w:rsidRPr="00D964C7">
        <w:rPr>
          <w:rFonts w:cs="Times New Roman"/>
          <w:vertAlign w:val="superscript"/>
          <w:lang w:val="fr-CA"/>
        </w:rPr>
        <w:t>e</w:t>
      </w:r>
      <w:r w:rsidRPr="00D964C7">
        <w:rPr>
          <w:rFonts w:cs="Times New Roman"/>
          <w:lang w:val="fr-CA"/>
        </w:rPr>
        <w:t xml:space="preserve"> éd. 2010), p. 708. </w:t>
      </w:r>
    </w:p>
    <w:p w:rsidR="009D7689" w:rsidRPr="00D964C7" w:rsidRDefault="009D7689" w:rsidP="009D7689">
      <w:pPr>
        <w:pStyle w:val="ParaNoNdepar-AltN"/>
        <w:rPr>
          <w:rFonts w:cs="Times New Roman"/>
          <w:lang w:val="fr-CA"/>
        </w:rPr>
      </w:pPr>
      <w:r w:rsidRPr="00D964C7">
        <w:rPr>
          <w:rFonts w:cs="Times New Roman"/>
          <w:lang w:val="fr-CA"/>
        </w:rPr>
        <w:t>En outre, le nombre d’appels peut aussi étayer le critère de nécessité.  On ne saurait s’attendre, lorsque les déclarants sont nombreux, que le ministère public les trouve et les convainque tous ou presque tous de témoigner au procès, et ce</w:t>
      </w:r>
      <w:r w:rsidR="00D63E60">
        <w:rPr>
          <w:rFonts w:cs="Times New Roman"/>
          <w:lang w:val="fr-CA"/>
        </w:rPr>
        <w:t>,</w:t>
      </w:r>
      <w:r w:rsidRPr="00D964C7">
        <w:rPr>
          <w:rFonts w:cs="Times New Roman"/>
          <w:lang w:val="fr-CA"/>
        </w:rPr>
        <w:t xml:space="preserve"> même dans la situation peu probable où ils auraient fourni leurs adresses, comme en l’espèce.  Il ne faut pas oublier que les critères de nécessité</w:t>
      </w:r>
      <w:r w:rsidR="00D63E60">
        <w:rPr>
          <w:rFonts w:cs="Times New Roman"/>
          <w:lang w:val="fr-CA"/>
        </w:rPr>
        <w:t xml:space="preserve"> et de fiabilité vont de pair; </w:t>
      </w:r>
      <w:r w:rsidRPr="00D964C7">
        <w:rPr>
          <w:rFonts w:cs="Times New Roman"/>
          <w:lang w:val="fr-CA"/>
        </w:rPr>
        <w:t xml:space="preserve">si la preuve est suffisamment fiable, l’exigence de nécessité peut être assouplie : voir </w:t>
      </w:r>
      <w:proofErr w:type="spellStart"/>
      <w:r w:rsidRPr="00D964C7">
        <w:rPr>
          <w:rFonts w:cs="Times New Roman"/>
          <w:i/>
          <w:lang w:val="fr-CA"/>
        </w:rPr>
        <w:t>Khelawon</w:t>
      </w:r>
      <w:proofErr w:type="spellEnd"/>
      <w:r w:rsidRPr="00D964C7">
        <w:rPr>
          <w:rFonts w:cs="Times New Roman"/>
          <w:lang w:val="fr-CA"/>
        </w:rPr>
        <w:t xml:space="preserve">, par. 86, citant </w:t>
      </w:r>
      <w:r w:rsidRPr="00D964C7">
        <w:rPr>
          <w:rFonts w:cs="Times New Roman"/>
          <w:i/>
          <w:lang w:val="fr-CA"/>
        </w:rPr>
        <w:t>R. c. B. (K.G.)</w:t>
      </w:r>
      <w:r w:rsidRPr="00D964C7">
        <w:rPr>
          <w:rFonts w:cs="Times New Roman"/>
          <w:lang w:val="fr-CA"/>
        </w:rPr>
        <w:t xml:space="preserve">, [1993] 1 R.C.S. 740, et </w:t>
      </w:r>
      <w:r w:rsidRPr="00D964C7">
        <w:rPr>
          <w:rFonts w:cs="Times New Roman"/>
          <w:i/>
          <w:lang w:val="fr-CA"/>
        </w:rPr>
        <w:t>R. c. U. (F.J.)</w:t>
      </w:r>
      <w:r w:rsidRPr="00D964C7">
        <w:rPr>
          <w:rFonts w:cs="Times New Roman"/>
          <w:lang w:val="fr-CA"/>
        </w:rPr>
        <w:t>, [1995] 3 R.C.S. 764.</w:t>
      </w:r>
    </w:p>
    <w:p w:rsidR="009D7689" w:rsidRPr="00D964C7" w:rsidRDefault="009D7689" w:rsidP="009D7689">
      <w:pPr>
        <w:pStyle w:val="ParaNoNdepar-AltN"/>
        <w:rPr>
          <w:rFonts w:cs="Times New Roman"/>
          <w:lang w:val="fr-CA"/>
        </w:rPr>
      </w:pPr>
      <w:r w:rsidRPr="00D964C7">
        <w:rPr>
          <w:rFonts w:cs="Times New Roman"/>
          <w:lang w:val="fr-CA"/>
        </w:rPr>
        <w:lastRenderedPageBreak/>
        <w:t xml:space="preserve">En l’espèce, nous sommes en présence d’une seule commande téléphonique de drogue d’une fiabilité incertaine.  L’auteur de l’appel a donné son adresse.  La police n’a aucunement tenté de le trouver et de l’interroger, et encore moins de l’appeler à témoigner au procès — où le juge des faits aurait pu évaluer l’affirmation qu’on lui prête en lui faisant subir un </w:t>
      </w:r>
      <w:proofErr w:type="spellStart"/>
      <w:r w:rsidRPr="00D964C7">
        <w:rPr>
          <w:rFonts w:cs="Times New Roman"/>
          <w:lang w:val="fr-CA"/>
        </w:rPr>
        <w:t>contre</w:t>
      </w:r>
      <w:r w:rsidRPr="00D964C7">
        <w:rPr>
          <w:rFonts w:cs="Times New Roman"/>
          <w:lang w:val="fr-CA"/>
        </w:rPr>
        <w:noBreakHyphen/>
        <w:t>interrogatoire</w:t>
      </w:r>
      <w:proofErr w:type="spellEnd"/>
      <w:r w:rsidRPr="00D964C7">
        <w:rPr>
          <w:rFonts w:cs="Times New Roman"/>
          <w:lang w:val="fr-CA"/>
        </w:rPr>
        <w:t xml:space="preserve"> et en observant son comportement. </w:t>
      </w:r>
    </w:p>
    <w:p w:rsidR="009D7689" w:rsidRPr="00D964C7" w:rsidRDefault="009D7689" w:rsidP="009D7689">
      <w:pPr>
        <w:pStyle w:val="TitleTitre-AltT"/>
        <w:jc w:val="center"/>
        <w:rPr>
          <w:rFonts w:cs="Times New Roman"/>
          <w:lang w:val="fr-CA"/>
        </w:rPr>
      </w:pPr>
      <w:r w:rsidRPr="00D964C7">
        <w:rPr>
          <w:rFonts w:cs="Times New Roman"/>
          <w:lang w:val="fr-CA"/>
        </w:rPr>
        <w:t>VIII</w:t>
      </w:r>
    </w:p>
    <w:p w:rsidR="009D7689" w:rsidRPr="00D964C7" w:rsidRDefault="009D7689" w:rsidP="009D7689">
      <w:pPr>
        <w:pStyle w:val="ParaNoNdepar-AltN"/>
        <w:rPr>
          <w:rFonts w:cs="Times New Roman"/>
          <w:lang w:val="fr-CA"/>
        </w:rPr>
      </w:pPr>
      <w:r w:rsidRPr="00D964C7">
        <w:rPr>
          <w:rFonts w:cs="Times New Roman"/>
          <w:lang w:val="fr-CA"/>
        </w:rPr>
        <w:t xml:space="preserve">Manifestement, la disposition réparatrice prévue au </w:t>
      </w:r>
      <w:proofErr w:type="spellStart"/>
      <w:r w:rsidRPr="00D964C7">
        <w:rPr>
          <w:rFonts w:cs="Times New Roman"/>
          <w:lang w:val="fr-CA"/>
        </w:rPr>
        <w:t>sous</w:t>
      </w:r>
      <w:r w:rsidRPr="00D964C7">
        <w:rPr>
          <w:rFonts w:cs="Times New Roman"/>
          <w:lang w:val="fr-CA"/>
        </w:rPr>
        <w:noBreakHyphen/>
        <w:t>al</w:t>
      </w:r>
      <w:proofErr w:type="spellEnd"/>
      <w:r w:rsidRPr="00D964C7">
        <w:rPr>
          <w:rFonts w:cs="Times New Roman"/>
          <w:lang w:val="fr-CA"/>
        </w:rPr>
        <w:t>. 686(1)</w:t>
      </w:r>
      <w:r w:rsidRPr="00D964C7">
        <w:rPr>
          <w:rFonts w:cs="Times New Roman"/>
          <w:i/>
          <w:lang w:val="fr-CA"/>
        </w:rPr>
        <w:t>b</w:t>
      </w:r>
      <w:proofErr w:type="gramStart"/>
      <w:r w:rsidRPr="00D964C7">
        <w:rPr>
          <w:rFonts w:cs="Times New Roman"/>
          <w:lang w:val="fr-CA"/>
        </w:rPr>
        <w:t>)(</w:t>
      </w:r>
      <w:proofErr w:type="gramEnd"/>
      <w:r w:rsidRPr="00D964C7">
        <w:rPr>
          <w:rFonts w:cs="Times New Roman"/>
          <w:lang w:val="fr-CA"/>
        </w:rPr>
        <w:t xml:space="preserve">iii) du </w:t>
      </w:r>
      <w:r w:rsidRPr="00D964C7">
        <w:rPr>
          <w:rFonts w:cs="Times New Roman"/>
          <w:i/>
          <w:lang w:val="fr-CA"/>
        </w:rPr>
        <w:t xml:space="preserve">Code criminel </w:t>
      </w:r>
      <w:r w:rsidRPr="00D964C7">
        <w:rPr>
          <w:rFonts w:cs="Times New Roman"/>
          <w:lang w:val="fr-CA"/>
        </w:rPr>
        <w:t xml:space="preserve">ne peut s’appliquer en l’espèce, vu qu’on ne saurait affirmer qu’il n’existe aucune possibilité raisonnable que le verdict eût été différent si le coup de fil en cause n’avait pas été admis : </w:t>
      </w:r>
      <w:r w:rsidRPr="00D964C7">
        <w:rPr>
          <w:rFonts w:cs="Times New Roman"/>
          <w:i/>
          <w:lang w:val="fr-CA"/>
        </w:rPr>
        <w:t>R. c. Bevan</w:t>
      </w:r>
      <w:r w:rsidRPr="00D964C7">
        <w:rPr>
          <w:rFonts w:cs="Times New Roman"/>
          <w:lang w:val="fr-CA"/>
        </w:rPr>
        <w:t xml:space="preserve">, [1993] 2 R.C.S. 599, p. 617.  </w:t>
      </w:r>
    </w:p>
    <w:p w:rsidR="009D7689" w:rsidRPr="00D964C7" w:rsidRDefault="009D7689" w:rsidP="009D7689">
      <w:pPr>
        <w:pStyle w:val="ParaNoNdepar-AltN"/>
        <w:rPr>
          <w:rFonts w:cs="Times New Roman"/>
          <w:lang w:val="fr-CA"/>
        </w:rPr>
      </w:pPr>
      <w:r w:rsidRPr="00D964C7">
        <w:rPr>
          <w:rFonts w:cs="Times New Roman"/>
          <w:lang w:val="fr-CA"/>
        </w:rPr>
        <w:t>En effet, pour résumer, l’avocat du ministère public a qualifié l’appel téléphonique contesté d’élément de preuve le plus solide dans l’affaire (</w:t>
      </w:r>
      <w:proofErr w:type="gramStart"/>
      <w:r w:rsidR="0042764F">
        <w:rPr>
          <w:rFonts w:cs="Times New Roman"/>
          <w:lang w:val="fr-CA"/>
        </w:rPr>
        <w:t>d.a</w:t>
      </w:r>
      <w:r w:rsidRPr="00D964C7">
        <w:rPr>
          <w:rFonts w:cs="Times New Roman"/>
          <w:lang w:val="fr-CA"/>
        </w:rPr>
        <w:t>.,</w:t>
      </w:r>
      <w:proofErr w:type="gramEnd"/>
      <w:r w:rsidRPr="00D964C7">
        <w:rPr>
          <w:rFonts w:cs="Times New Roman"/>
          <w:lang w:val="fr-CA"/>
        </w:rPr>
        <w:t xml:space="preserve"> vol. IV, p. 127).  Aux dires de l’avocat, </w:t>
      </w:r>
      <w:r w:rsidRPr="00D964C7">
        <w:rPr>
          <w:rFonts w:cs="Times New Roman"/>
          <w:smallCaps/>
          <w:lang w:val="fr-CA"/>
        </w:rPr>
        <w:t>[traduction]</w:t>
      </w:r>
      <w:r w:rsidRPr="00D964C7">
        <w:rPr>
          <w:rFonts w:cs="Times New Roman"/>
          <w:lang w:val="fr-CA"/>
        </w:rPr>
        <w:t xml:space="preserve"> « en ce qui me concerne, la commande passée au numéro d</w:t>
      </w:r>
      <w:r w:rsidR="0042764F">
        <w:rPr>
          <w:rFonts w:cs="Times New Roman"/>
          <w:lang w:val="fr-CA"/>
        </w:rPr>
        <w:t>e cellulaire conclut l’affaire</w:t>
      </w:r>
      <w:r w:rsidRPr="00D964C7">
        <w:rPr>
          <w:rFonts w:cs="Times New Roman"/>
          <w:lang w:val="fr-CA"/>
        </w:rPr>
        <w:t> » (p. 138).  En outre, le juge du procès a mentionné l’appel dans ses motifs et en a tenu compte pour évaluer la crédibilité de M. </w:t>
      </w:r>
      <w:proofErr w:type="spellStart"/>
      <w:r w:rsidRPr="00D964C7">
        <w:rPr>
          <w:rFonts w:cs="Times New Roman"/>
          <w:lang w:val="fr-CA"/>
        </w:rPr>
        <w:t>Baldree</w:t>
      </w:r>
      <w:proofErr w:type="spellEnd"/>
      <w:r w:rsidRPr="00D964C7">
        <w:rPr>
          <w:rFonts w:cs="Times New Roman"/>
          <w:lang w:val="fr-CA"/>
        </w:rPr>
        <w:t xml:space="preserve"> (</w:t>
      </w:r>
      <w:proofErr w:type="gramStart"/>
      <w:r w:rsidR="0042764F">
        <w:rPr>
          <w:rFonts w:cs="Times New Roman"/>
          <w:lang w:val="fr-CA"/>
        </w:rPr>
        <w:t>d.a.</w:t>
      </w:r>
      <w:r w:rsidRPr="00D964C7">
        <w:rPr>
          <w:rFonts w:cs="Times New Roman"/>
          <w:lang w:val="fr-CA"/>
        </w:rPr>
        <w:t>,</w:t>
      </w:r>
      <w:proofErr w:type="gramEnd"/>
      <w:r w:rsidRPr="00D964C7">
        <w:rPr>
          <w:rFonts w:cs="Times New Roman"/>
          <w:lang w:val="fr-CA"/>
        </w:rPr>
        <w:t xml:space="preserve"> vol. I, p. 29).  </w:t>
      </w:r>
    </w:p>
    <w:p w:rsidR="009D7689" w:rsidRPr="00D964C7" w:rsidRDefault="009D7689" w:rsidP="009D7689">
      <w:pPr>
        <w:pStyle w:val="ParaNoNdepar-AltN"/>
        <w:rPr>
          <w:rFonts w:cs="Times New Roman"/>
          <w:lang w:val="fr-CA"/>
        </w:rPr>
      </w:pPr>
      <w:r w:rsidRPr="00D964C7">
        <w:rPr>
          <w:rFonts w:cs="Times New Roman"/>
          <w:lang w:val="fr-CA"/>
        </w:rPr>
        <w:t>Compte tenu de ce qui précède, on ne peut guère affirmer que l’admission irrégulière de cet élément de preuve n’a pas eu d’incidence sur l’issue du procès.</w:t>
      </w:r>
    </w:p>
    <w:p w:rsidR="009D7689" w:rsidRPr="00D964C7" w:rsidRDefault="009D7689" w:rsidP="009D7689">
      <w:pPr>
        <w:pStyle w:val="TitleTitre-AltT"/>
        <w:jc w:val="center"/>
        <w:rPr>
          <w:rFonts w:cs="Times New Roman"/>
          <w:lang w:val="fr-CA"/>
        </w:rPr>
      </w:pPr>
      <w:r w:rsidRPr="00D964C7">
        <w:rPr>
          <w:rFonts w:cs="Times New Roman"/>
          <w:lang w:val="fr-CA"/>
        </w:rPr>
        <w:lastRenderedPageBreak/>
        <w:t>IX</w:t>
      </w:r>
    </w:p>
    <w:p w:rsidR="000A3785" w:rsidRPr="000A3785" w:rsidRDefault="009D7689" w:rsidP="000A3785">
      <w:pPr>
        <w:pStyle w:val="ParaNoNdepar-AltN"/>
        <w:rPr>
          <w:lang w:val="fr-CA"/>
        </w:rPr>
      </w:pPr>
      <w:r w:rsidRPr="00D964C7">
        <w:rPr>
          <w:rFonts w:cs="Times New Roman"/>
          <w:lang w:val="fr-CA"/>
        </w:rPr>
        <w:t xml:space="preserve">Pour tous les motifs qui précèdent, je suis d’avis de rejeter l’appel, de confirmer le jugement de la Cour d’appel, d’annuler la déclaration de culpabilité de l’intimé et d’ordonner la tenue d’un nouveau procès. </w:t>
      </w:r>
    </w:p>
    <w:p w:rsidR="0053130F" w:rsidRDefault="000A3785" w:rsidP="0053130F">
      <w:pPr>
        <w:pStyle w:val="ParaNoNdepar-AltN"/>
        <w:numPr>
          <w:ilvl w:val="0"/>
          <w:numId w:val="0"/>
        </w:numPr>
        <w:tabs>
          <w:tab w:val="left" w:pos="1166"/>
        </w:tabs>
        <w:rPr>
          <w:lang w:val="fr-CA"/>
        </w:rPr>
      </w:pPr>
      <w:r>
        <w:rPr>
          <w:lang w:val="fr-CA"/>
        </w:rPr>
        <w:tab/>
      </w:r>
      <w:r w:rsidR="000F66BD">
        <w:rPr>
          <w:lang w:val="fr-CA"/>
        </w:rPr>
        <w:t>Version française des motifs rendus par</w:t>
      </w:r>
    </w:p>
    <w:p w:rsidR="009D7689" w:rsidRPr="0053130F" w:rsidRDefault="009D7689" w:rsidP="0053130F">
      <w:pPr>
        <w:pStyle w:val="ParaNoNdepar-AltN"/>
        <w:numPr>
          <w:ilvl w:val="0"/>
          <w:numId w:val="0"/>
        </w:numPr>
        <w:tabs>
          <w:tab w:val="left" w:pos="1166"/>
        </w:tabs>
        <w:rPr>
          <w:lang w:val="fr-CA"/>
        </w:rPr>
      </w:pPr>
      <w:r w:rsidRPr="0053130F">
        <w:rPr>
          <w:lang w:val="fr-CA"/>
        </w:rPr>
        <w:tab/>
      </w:r>
      <w:r w:rsidRPr="0053130F">
        <w:rPr>
          <w:smallCaps/>
          <w:lang w:val="fr-CA"/>
        </w:rPr>
        <w:t xml:space="preserve">Le juge </w:t>
      </w:r>
      <w:proofErr w:type="spellStart"/>
      <w:r w:rsidRPr="0053130F">
        <w:rPr>
          <w:smallCaps/>
          <w:lang w:val="fr-CA"/>
        </w:rPr>
        <w:t>Moldaver</w:t>
      </w:r>
      <w:proofErr w:type="spellEnd"/>
      <w:r w:rsidRPr="0053130F">
        <w:rPr>
          <w:lang w:val="fr-CA"/>
        </w:rPr>
        <w:t xml:space="preserve"> — </w:t>
      </w:r>
    </w:p>
    <w:p w:rsidR="009D7689" w:rsidRPr="004177DF" w:rsidRDefault="009D7689" w:rsidP="009D7689">
      <w:pPr>
        <w:pStyle w:val="TitleTitre-AltT"/>
        <w:tabs>
          <w:tab w:val="clear" w:pos="360"/>
        </w:tabs>
        <w:ind w:left="0" w:firstLine="0"/>
        <w:rPr>
          <w:rFonts w:cs="Times New Roman"/>
          <w:lang w:val="fr-CA"/>
        </w:rPr>
      </w:pPr>
      <w:r w:rsidRPr="004177DF">
        <w:rPr>
          <w:rFonts w:cs="Times New Roman"/>
          <w:lang w:val="fr-CA"/>
        </w:rPr>
        <w:t>I.</w:t>
      </w:r>
      <w:r w:rsidRPr="004177DF">
        <w:rPr>
          <w:rFonts w:cs="Times New Roman"/>
          <w:lang w:val="fr-CA"/>
        </w:rPr>
        <w:tab/>
      </w:r>
      <w:r w:rsidRPr="004177DF">
        <w:rPr>
          <w:rFonts w:cs="Times New Roman"/>
          <w:u w:val="single"/>
          <w:lang w:val="fr-CA"/>
        </w:rPr>
        <w:t>Aperçu</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À l’instar de mon collègue, le juge Fish, je rejette en l’espèce la preuve relative à la commande téléphonique de drogue par application de la méthode d’analyse raisonnée en matière </w:t>
      </w:r>
      <w:proofErr w:type="gramStart"/>
      <w:r w:rsidRPr="004177DF">
        <w:rPr>
          <w:rFonts w:cs="Times New Roman"/>
          <w:lang w:val="fr-CA"/>
        </w:rPr>
        <w:t xml:space="preserve">de </w:t>
      </w:r>
      <w:proofErr w:type="spellStart"/>
      <w:r w:rsidRPr="004177DF">
        <w:rPr>
          <w:rFonts w:cs="Times New Roman"/>
          <w:lang w:val="fr-CA"/>
        </w:rPr>
        <w:t>ouï</w:t>
      </w:r>
      <w:r w:rsidRPr="004177DF">
        <w:rPr>
          <w:rFonts w:cs="Times New Roman"/>
          <w:lang w:val="fr-CA"/>
        </w:rPr>
        <w:noBreakHyphen/>
        <w:t>dire</w:t>
      </w:r>
      <w:proofErr w:type="spellEnd"/>
      <w:proofErr w:type="gramEnd"/>
      <w:r w:rsidRPr="004177DF">
        <w:rPr>
          <w:rFonts w:cs="Times New Roman"/>
          <w:lang w:val="fr-CA"/>
        </w:rPr>
        <w:t xml:space="preserve"> et je souscris pour l’essentiel à ses motifs.  Tout particulièrement, je suis d’accord pour dire qu’une affirmation implicite d’un élément de fait est comprise dans le « contenu » d’une déclaration pour l’application de la règle du </w:t>
      </w:r>
      <w:proofErr w:type="spellStart"/>
      <w:r w:rsidRPr="004177DF">
        <w:rPr>
          <w:rFonts w:cs="Times New Roman"/>
          <w:lang w:val="fr-CA"/>
        </w:rPr>
        <w:t>ouï</w:t>
      </w:r>
      <w:r w:rsidRPr="004177DF">
        <w:rPr>
          <w:rFonts w:cs="Times New Roman"/>
          <w:lang w:val="fr-CA"/>
        </w:rPr>
        <w:noBreakHyphen/>
        <w:t>dire</w:t>
      </w:r>
      <w:proofErr w:type="spellEnd"/>
      <w:r w:rsidRPr="004177DF">
        <w:rPr>
          <w:rFonts w:cs="Times New Roman"/>
          <w:lang w:val="fr-CA"/>
        </w:rPr>
        <w:t>.  En effet, si les parties ne s’entendent pas sur ce point, c’est exactement ce que propose le procureur général de l’Ontario, intervenant en l’espèce.</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Cependant, je rédige des motifs distincts pour exprimer mes réserves sur la partie VII des motifs de mon collègue, où il traite des critères de nécessité et de fiabilité que comporte la méthode d’analyse raisonnée.  Tout particulièrement, j’ai des réserves à propos de la démarche de mon collègue en matière de nécessité.  Ce critère joue certes un rôle, mais un rôle qui n’est pas essentiel à l’admissibilité de commandes téléphoniques de drogue comme celle qui nous occupe en l’espèce.  Dans </w:t>
      </w:r>
      <w:r w:rsidRPr="004177DF">
        <w:rPr>
          <w:rFonts w:cs="Times New Roman"/>
          <w:lang w:val="fr-CA"/>
        </w:rPr>
        <w:lastRenderedPageBreak/>
        <w:t xml:space="preserve">ces cas, le véritable enjeu est celui de la fiabilité, et, à mon humble avis, c’est sur ce critère que devrait être axée notre analyse.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Il faut commencer par reconnaître que nous qualifions aujourd’hui de preuve par </w:t>
      </w:r>
      <w:proofErr w:type="spellStart"/>
      <w:r w:rsidRPr="004177DF">
        <w:rPr>
          <w:rFonts w:cs="Times New Roman"/>
          <w:lang w:val="fr-CA"/>
        </w:rPr>
        <w:t>ouï</w:t>
      </w:r>
      <w:r w:rsidRPr="004177DF">
        <w:rPr>
          <w:rFonts w:cs="Times New Roman"/>
          <w:lang w:val="fr-CA"/>
        </w:rPr>
        <w:noBreakHyphen/>
        <w:t>dire</w:t>
      </w:r>
      <w:proofErr w:type="spellEnd"/>
      <w:r w:rsidRPr="004177DF">
        <w:rPr>
          <w:rFonts w:cs="Times New Roman"/>
          <w:lang w:val="fr-CA"/>
        </w:rPr>
        <w:t xml:space="preserve"> — et donc de preuve présumée inadmissible — des éléments que les tribunaux acceptent de longue date comme preuve circonstancielle.  C’est un pas qu’il ne faut pas faire à la légère, mais je crois néanmoins que c’est le bon.  Comme mon collègue le fait </w:t>
      </w:r>
      <w:proofErr w:type="gramStart"/>
      <w:r w:rsidRPr="004177DF">
        <w:rPr>
          <w:rFonts w:cs="Times New Roman"/>
          <w:lang w:val="fr-CA"/>
        </w:rPr>
        <w:t>remarquer</w:t>
      </w:r>
      <w:proofErr w:type="gramEnd"/>
      <w:r w:rsidRPr="004177DF">
        <w:rPr>
          <w:rFonts w:cs="Times New Roman"/>
          <w:lang w:val="fr-CA"/>
        </w:rPr>
        <w:t xml:space="preserve">, qu’un élément de preuve donné soit classé ou non comme du </w:t>
      </w:r>
      <w:proofErr w:type="spellStart"/>
      <w:r w:rsidRPr="004177DF">
        <w:rPr>
          <w:rFonts w:cs="Times New Roman"/>
          <w:lang w:val="fr-CA"/>
        </w:rPr>
        <w:t>ouï</w:t>
      </w:r>
      <w:r w:rsidRPr="004177DF">
        <w:rPr>
          <w:rFonts w:cs="Times New Roman"/>
          <w:lang w:val="fr-CA"/>
        </w:rPr>
        <w:noBreakHyphen/>
        <w:t>dire</w:t>
      </w:r>
      <w:proofErr w:type="spellEnd"/>
      <w:r w:rsidRPr="004177DF">
        <w:rPr>
          <w:rFonts w:cs="Times New Roman"/>
          <w:lang w:val="fr-CA"/>
        </w:rPr>
        <w:t xml:space="preserve"> ne devrait pas dépendre du choix des mots employés par le déclarant (par. 42</w:t>
      </w:r>
      <w:r w:rsidRPr="004177DF">
        <w:rPr>
          <w:rFonts w:cs="Times New Roman"/>
          <w:lang w:val="fr-CA"/>
        </w:rPr>
        <w:noBreakHyphen/>
        <w:t xml:space="preserve">43).  L’analyse devrait plutôt porter sur l’existence (ou l’inexistence) des dangers liés au </w:t>
      </w:r>
      <w:proofErr w:type="spellStart"/>
      <w:r w:rsidRPr="004177DF">
        <w:rPr>
          <w:rFonts w:cs="Times New Roman"/>
          <w:lang w:val="fr-CA"/>
        </w:rPr>
        <w:t>ouï</w:t>
      </w:r>
      <w:r w:rsidRPr="004177DF">
        <w:rPr>
          <w:rFonts w:cs="Times New Roman"/>
          <w:lang w:val="fr-CA"/>
        </w:rPr>
        <w:noBreakHyphen/>
        <w:t>dire</w:t>
      </w:r>
      <w:proofErr w:type="spellEnd"/>
      <w:r w:rsidRPr="004177DF">
        <w:rPr>
          <w:rFonts w:cs="Times New Roman"/>
          <w:lang w:val="fr-CA"/>
        </w:rPr>
        <w:t>, compte tenu de l’objet p</w:t>
      </w:r>
      <w:r w:rsidR="00956132">
        <w:rPr>
          <w:rFonts w:cs="Times New Roman"/>
          <w:lang w:val="fr-CA"/>
        </w:rPr>
        <w:t>our lequel la déclaration extra</w:t>
      </w:r>
      <w:r w:rsidRPr="004177DF">
        <w:rPr>
          <w:rFonts w:cs="Times New Roman"/>
          <w:lang w:val="fr-CA"/>
        </w:rPr>
        <w:t>judiciaire est présentée en preuve.</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Par conséquent, je conviens que le juge doit évaluer la fiabilité d’une commande téléphonique de drogue au cas par cas.  Si la preuve est fiable, elle doit être admise, car </w:t>
      </w:r>
      <w:r w:rsidRPr="004177DF">
        <w:rPr>
          <w:rFonts w:cs="Times New Roman"/>
          <w:i/>
          <w:lang w:val="fr-CA"/>
        </w:rPr>
        <w:t>elle sera nécessaire pour permettre que l’on se rapproche de la vérité</w:t>
      </w:r>
      <w:r w:rsidRPr="004177DF">
        <w:rPr>
          <w:rFonts w:cs="Times New Roman"/>
          <w:lang w:val="fr-CA"/>
        </w:rPr>
        <w:t xml:space="preserve">.  Au contraire, si elle n’est pas fiable, elle doit être écartée.  La seule différence entre hier et aujourd’hui devrait tenir au fait qu’en qualifiant l’affirmation implicite de </w:t>
      </w:r>
      <w:proofErr w:type="spellStart"/>
      <w:r w:rsidRPr="004177DF">
        <w:rPr>
          <w:rFonts w:cs="Times New Roman"/>
          <w:lang w:val="fr-CA"/>
        </w:rPr>
        <w:t>ouï</w:t>
      </w:r>
      <w:r w:rsidRPr="004177DF">
        <w:rPr>
          <w:rFonts w:cs="Times New Roman"/>
          <w:lang w:val="fr-CA"/>
        </w:rPr>
        <w:noBreakHyphen/>
        <w:t>dire</w:t>
      </w:r>
      <w:proofErr w:type="spellEnd"/>
      <w:r w:rsidRPr="004177DF">
        <w:rPr>
          <w:rFonts w:cs="Times New Roman"/>
          <w:lang w:val="fr-CA"/>
        </w:rPr>
        <w:t xml:space="preserve"> on évite le débat épineux consistant à déterminer ce que le déclarant avait l’intention ou non d’affirmer et on s’attache à la véritable question dans un cas comme celui qui nous occupe, c’est-à-dire celle de savoir [</w:t>
      </w:r>
      <w:r w:rsidRPr="004177DF">
        <w:rPr>
          <w:rFonts w:cs="Times New Roman"/>
          <w:smallCaps/>
          <w:lang w:val="fr-CA"/>
        </w:rPr>
        <w:t>traduction</w:t>
      </w:r>
      <w:r w:rsidRPr="004177DF">
        <w:rPr>
          <w:rFonts w:cs="Times New Roman"/>
          <w:lang w:val="fr-CA"/>
        </w:rPr>
        <w:t>] « si la preuve est suffisamment fiable pour justifier son admission » (A. W. Bryant, S. N. </w:t>
      </w:r>
      <w:proofErr w:type="spellStart"/>
      <w:r w:rsidRPr="004177DF">
        <w:rPr>
          <w:rFonts w:cs="Times New Roman"/>
          <w:lang w:val="fr-CA"/>
        </w:rPr>
        <w:t>Lederman</w:t>
      </w:r>
      <w:proofErr w:type="spellEnd"/>
      <w:r w:rsidRPr="004177DF">
        <w:rPr>
          <w:rFonts w:cs="Times New Roman"/>
          <w:lang w:val="fr-CA"/>
        </w:rPr>
        <w:t xml:space="preserve"> et M. K. </w:t>
      </w:r>
      <w:proofErr w:type="spellStart"/>
      <w:r w:rsidRPr="004177DF">
        <w:rPr>
          <w:rFonts w:cs="Times New Roman"/>
          <w:lang w:val="fr-CA"/>
        </w:rPr>
        <w:t>Fuerst</w:t>
      </w:r>
      <w:proofErr w:type="spellEnd"/>
      <w:r w:rsidRPr="004177DF">
        <w:rPr>
          <w:rFonts w:cs="Times New Roman"/>
          <w:lang w:val="fr-CA"/>
        </w:rPr>
        <w:t xml:space="preserve">, </w:t>
      </w:r>
      <w:r w:rsidRPr="004177DF">
        <w:rPr>
          <w:rFonts w:cs="Times New Roman"/>
          <w:i/>
          <w:lang w:val="fr-CA"/>
        </w:rPr>
        <w:t xml:space="preserve">The Law of </w:t>
      </w:r>
      <w:proofErr w:type="spellStart"/>
      <w:r w:rsidRPr="004177DF">
        <w:rPr>
          <w:rFonts w:cs="Times New Roman"/>
          <w:i/>
          <w:lang w:val="fr-CA"/>
        </w:rPr>
        <w:t>Evidence</w:t>
      </w:r>
      <w:proofErr w:type="spellEnd"/>
      <w:r w:rsidRPr="004177DF">
        <w:rPr>
          <w:rFonts w:cs="Times New Roman"/>
          <w:i/>
          <w:lang w:val="fr-CA"/>
        </w:rPr>
        <w:t xml:space="preserve"> in Canada</w:t>
      </w:r>
      <w:r w:rsidRPr="004177DF">
        <w:rPr>
          <w:rFonts w:cs="Times New Roman"/>
          <w:lang w:val="fr-CA"/>
        </w:rPr>
        <w:t xml:space="preserve"> (3</w:t>
      </w:r>
      <w:r w:rsidRPr="004177DF">
        <w:rPr>
          <w:rFonts w:cs="Times New Roman"/>
          <w:vertAlign w:val="superscript"/>
          <w:lang w:val="fr-CA"/>
        </w:rPr>
        <w:t>e</w:t>
      </w:r>
      <w:r w:rsidRPr="004177DF">
        <w:rPr>
          <w:rFonts w:cs="Times New Roman"/>
          <w:lang w:val="fr-CA"/>
        </w:rPr>
        <w:t> éd. 2009), p. 244).</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lastRenderedPageBreak/>
        <w:t xml:space="preserve">En l’espèce, pour les raisons que j’expliquerai, l’appel ne constitue pas un élément suffisamment fiable. Partant, je conviens qu’il aurait dû être écarté.  </w:t>
      </w:r>
    </w:p>
    <w:p w:rsidR="009D7689" w:rsidRPr="004177DF" w:rsidRDefault="009D7689" w:rsidP="009D7689">
      <w:pPr>
        <w:pStyle w:val="TitleTitre-AltT"/>
        <w:tabs>
          <w:tab w:val="clear" w:pos="360"/>
        </w:tabs>
        <w:ind w:left="0" w:firstLine="0"/>
        <w:rPr>
          <w:rFonts w:cs="Times New Roman"/>
          <w:lang w:val="fr-CA"/>
        </w:rPr>
      </w:pPr>
      <w:r w:rsidRPr="004177DF">
        <w:rPr>
          <w:rFonts w:cs="Times New Roman"/>
          <w:lang w:val="fr-CA"/>
        </w:rPr>
        <w:t>II.</w:t>
      </w:r>
      <w:r w:rsidRPr="004177DF">
        <w:rPr>
          <w:rFonts w:cs="Times New Roman"/>
          <w:lang w:val="fr-CA"/>
        </w:rPr>
        <w:tab/>
      </w:r>
      <w:r w:rsidRPr="004177DF">
        <w:rPr>
          <w:rFonts w:cs="Times New Roman"/>
          <w:u w:val="single"/>
          <w:lang w:val="fr-CA"/>
        </w:rPr>
        <w:t>Analyse</w:t>
      </w:r>
    </w:p>
    <w:p w:rsidR="009D7689" w:rsidRPr="004177DF" w:rsidRDefault="009D7689" w:rsidP="009D7689">
      <w:pPr>
        <w:pStyle w:val="TitleTitre-AltT"/>
        <w:tabs>
          <w:tab w:val="clear" w:pos="360"/>
        </w:tabs>
        <w:ind w:left="0" w:firstLine="0"/>
        <w:rPr>
          <w:rFonts w:cs="Times New Roman"/>
          <w:i/>
          <w:lang w:val="fr-CA"/>
        </w:rPr>
      </w:pPr>
      <w:r w:rsidRPr="004177DF">
        <w:rPr>
          <w:rFonts w:cs="Times New Roman"/>
          <w:lang w:val="fr-CA"/>
        </w:rPr>
        <w:t>A.</w:t>
      </w:r>
      <w:r w:rsidRPr="004177DF">
        <w:rPr>
          <w:rFonts w:cs="Times New Roman"/>
          <w:lang w:val="fr-CA"/>
        </w:rPr>
        <w:tab/>
      </w:r>
      <w:r w:rsidRPr="004177DF">
        <w:rPr>
          <w:rFonts w:cs="Times New Roman"/>
          <w:i/>
          <w:lang w:val="fr-CA"/>
        </w:rPr>
        <w:t xml:space="preserve">C’est le seuil de fiabilité qui nous intéresse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Il importe de bien établir les paramètres de l’analyse qui suit en précisant la véritable question en litige.  En l’espèce, il est uniquement question du </w:t>
      </w:r>
      <w:r w:rsidRPr="004177DF">
        <w:rPr>
          <w:rFonts w:cs="Times New Roman"/>
          <w:i/>
          <w:lang w:val="fr-CA"/>
        </w:rPr>
        <w:t>seuil</w:t>
      </w:r>
      <w:r w:rsidRPr="004177DF">
        <w:rPr>
          <w:rFonts w:cs="Times New Roman"/>
          <w:lang w:val="fr-CA"/>
        </w:rPr>
        <w:t xml:space="preserve"> de fiabilité, et non de la fiabilité </w:t>
      </w:r>
      <w:r w:rsidRPr="004177DF">
        <w:rPr>
          <w:rFonts w:cs="Times New Roman"/>
          <w:i/>
          <w:lang w:val="fr-CA"/>
        </w:rPr>
        <w:t>en dernière analyse</w:t>
      </w:r>
      <w:r w:rsidRPr="004177DF">
        <w:rPr>
          <w:rFonts w:cs="Times New Roman"/>
          <w:lang w:val="fr-CA"/>
        </w:rPr>
        <w:t>.  À ce stade-ci, le tribunal décide seulement si l’appel téléphonique présente suffisamment d’indices de fiabilité pour donner au juge des faits « une base satisfaisante pour examiner la véracité de la déclaration » (</w:t>
      </w:r>
      <w:r w:rsidRPr="004177DF">
        <w:rPr>
          <w:rFonts w:cs="Times New Roman"/>
          <w:i/>
          <w:lang w:val="fr-CA"/>
        </w:rPr>
        <w:t>R. c. Hawkins</w:t>
      </w:r>
      <w:r w:rsidRPr="004177DF">
        <w:rPr>
          <w:rFonts w:cs="Times New Roman"/>
          <w:lang w:val="fr-CA"/>
        </w:rPr>
        <w:t xml:space="preserve">, [1996] 3 R.C.S. 1043, par. 75).  Le seuil de fiabilité doit son existence à la « craint[e] que la preuve par </w:t>
      </w:r>
      <w:proofErr w:type="spellStart"/>
      <w:r w:rsidRPr="004177DF">
        <w:rPr>
          <w:rFonts w:cs="Times New Roman"/>
          <w:lang w:val="fr-CA"/>
        </w:rPr>
        <w:t>ouï</w:t>
      </w:r>
      <w:r w:rsidRPr="004177DF">
        <w:rPr>
          <w:rFonts w:cs="Times New Roman"/>
          <w:lang w:val="fr-CA"/>
        </w:rPr>
        <w:noBreakHyphen/>
        <w:t>dire</w:t>
      </w:r>
      <w:proofErr w:type="spellEnd"/>
      <w:r w:rsidRPr="004177DF">
        <w:rPr>
          <w:rFonts w:cs="Times New Roman"/>
          <w:lang w:val="fr-CA"/>
        </w:rPr>
        <w:t xml:space="preserve"> non vérifiée se voie accorder plus de poids qu’elle n’en mérite » (</w:t>
      </w:r>
      <w:r w:rsidRPr="004177DF">
        <w:rPr>
          <w:rFonts w:cs="Times New Roman"/>
          <w:i/>
          <w:lang w:val="fr-CA"/>
        </w:rPr>
        <w:t>R. c.</w:t>
      </w:r>
      <w:r w:rsidRPr="004177DF">
        <w:rPr>
          <w:rFonts w:cs="Times New Roman"/>
          <w:lang w:val="fr-CA"/>
        </w:rPr>
        <w:t xml:space="preserve"> </w:t>
      </w:r>
      <w:proofErr w:type="spellStart"/>
      <w:r w:rsidRPr="004177DF">
        <w:rPr>
          <w:rFonts w:cs="Times New Roman"/>
          <w:i/>
          <w:lang w:val="fr-CA"/>
        </w:rPr>
        <w:t>Khelawon</w:t>
      </w:r>
      <w:proofErr w:type="spellEnd"/>
      <w:r w:rsidRPr="004177DF">
        <w:rPr>
          <w:rFonts w:cs="Times New Roman"/>
          <w:lang w:val="fr-CA"/>
        </w:rPr>
        <w:t>, 2006 CSC 57, [2006] 2 R.C.S. 787, par. 35).</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Toutefois, une fois le seuil de fiabilité établi, la fiabilité en dernière analyse — notamment la question de savoir quel poids, s’il en est, accorder à la preuve — ressortit au juge des faits.  Comme le fait remarquer la juge Charron dans </w:t>
      </w:r>
      <w:proofErr w:type="spellStart"/>
      <w:r w:rsidRPr="004177DF">
        <w:rPr>
          <w:rFonts w:cs="Times New Roman"/>
          <w:i/>
          <w:lang w:val="fr-CA"/>
        </w:rPr>
        <w:t>Khelawon</w:t>
      </w:r>
      <w:proofErr w:type="spellEnd"/>
      <w:r w:rsidRPr="004177DF">
        <w:rPr>
          <w:rFonts w:cs="Times New Roman"/>
          <w:lang w:val="fr-CA"/>
        </w:rPr>
        <w:t xml:space="preserve">, par. 50 :  </w:t>
      </w:r>
    </w:p>
    <w:p w:rsidR="009D7689" w:rsidRPr="004177DF" w:rsidRDefault="009D7689" w:rsidP="009D7689">
      <w:pPr>
        <w:pStyle w:val="Citation-AltC"/>
        <w:ind w:hanging="1166"/>
        <w:rPr>
          <w:lang w:val="fr-CA"/>
        </w:rPr>
      </w:pPr>
      <w:r w:rsidRPr="004177DF">
        <w:rPr>
          <w:lang w:val="fr-CA"/>
        </w:rPr>
        <w:tab/>
        <w:t>Il appartient au juge des faits de décider, à l’issue du procès, s’il s’en remettra, en fin de compte, à la déclaration relatée pour trancher les questions en litige, après l’avoir examinée en fonction de l’ensemble de la preuve.</w:t>
      </w:r>
    </w:p>
    <w:p w:rsidR="009D7689" w:rsidRPr="004177DF" w:rsidRDefault="009D7689" w:rsidP="009D7689">
      <w:pPr>
        <w:pStyle w:val="TitleTitre-AltT"/>
        <w:tabs>
          <w:tab w:val="clear" w:pos="360"/>
        </w:tabs>
        <w:ind w:left="0" w:firstLine="0"/>
        <w:rPr>
          <w:rFonts w:cs="Times New Roman"/>
          <w:lang w:val="fr-CA"/>
        </w:rPr>
      </w:pPr>
      <w:r w:rsidRPr="004177DF">
        <w:rPr>
          <w:rFonts w:cs="Times New Roman"/>
          <w:lang w:val="fr-CA"/>
        </w:rPr>
        <w:lastRenderedPageBreak/>
        <w:t>B.</w:t>
      </w:r>
      <w:r w:rsidRPr="004177DF">
        <w:rPr>
          <w:rFonts w:cs="Times New Roman"/>
          <w:lang w:val="fr-CA"/>
        </w:rPr>
        <w:tab/>
      </w:r>
      <w:r w:rsidRPr="004177DF">
        <w:rPr>
          <w:rFonts w:cs="Times New Roman"/>
          <w:i/>
          <w:lang w:val="fr-CA"/>
        </w:rPr>
        <w:t>Le traitement des commandes téléphoniques de drogue à ce jour</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Comme le dit le juge Watt de la Cour d’appel, dissident, la question que soulève une commande téléphonique de drogue — en particulier celle de savoir si elle est susceptible de contenir une affirmation implicite — [</w:t>
      </w:r>
      <w:r w:rsidRPr="004177DF">
        <w:rPr>
          <w:rFonts w:cs="Times New Roman"/>
          <w:smallCaps/>
          <w:lang w:val="fr-CA"/>
        </w:rPr>
        <w:t>traduction</w:t>
      </w:r>
      <w:r w:rsidRPr="004177DF">
        <w:rPr>
          <w:rFonts w:cs="Times New Roman"/>
          <w:lang w:val="fr-CA"/>
        </w:rPr>
        <w:t xml:space="preserve">] « n’a guère, voire jamais, joué de rôle » dans la jurisprudence à ce jour (2012 ONCA 138, 109 O.R. (3d) 721, par. 53).  Néanmoins, ainsi que le signale mon collègue, le juge Fish, des éléments de preuve du type de celui qui nous intéresse en l’espèce ont été admis dans une foule d’affaires, au motif qu’ils ne constituaient pas du </w:t>
      </w:r>
      <w:proofErr w:type="spellStart"/>
      <w:r w:rsidRPr="004177DF">
        <w:rPr>
          <w:rFonts w:cs="Times New Roman"/>
          <w:lang w:val="fr-CA"/>
        </w:rPr>
        <w:t>ouï</w:t>
      </w:r>
      <w:r w:rsidRPr="004177DF">
        <w:rPr>
          <w:rFonts w:cs="Times New Roman"/>
          <w:lang w:val="fr-CA"/>
        </w:rPr>
        <w:noBreakHyphen/>
        <w:t>dire</w:t>
      </w:r>
      <w:proofErr w:type="spellEnd"/>
      <w:r w:rsidRPr="004177DF">
        <w:rPr>
          <w:rFonts w:cs="Times New Roman"/>
          <w:lang w:val="fr-CA"/>
        </w:rPr>
        <w:t xml:space="preserve"> (par. 54). Voir, p. ex., </w:t>
      </w:r>
      <w:r w:rsidRPr="004177DF">
        <w:rPr>
          <w:rFonts w:cs="Times New Roman"/>
          <w:i/>
          <w:lang w:val="fr-CA"/>
        </w:rPr>
        <w:t xml:space="preserve">R. c. </w:t>
      </w:r>
      <w:proofErr w:type="spellStart"/>
      <w:r w:rsidRPr="004177DF">
        <w:rPr>
          <w:rFonts w:cs="Times New Roman"/>
          <w:i/>
          <w:lang w:val="fr-CA"/>
        </w:rPr>
        <w:t>Owad</w:t>
      </w:r>
      <w:proofErr w:type="spellEnd"/>
      <w:r w:rsidRPr="004177DF">
        <w:rPr>
          <w:rFonts w:cs="Times New Roman"/>
          <w:lang w:val="fr-CA"/>
        </w:rPr>
        <w:t xml:space="preserve"> (1951), 102 C.C.C. 155 (C.A. Ont</w:t>
      </w:r>
      <w:r w:rsidR="00893066">
        <w:rPr>
          <w:rFonts w:cs="Times New Roman"/>
          <w:lang w:val="fr-CA"/>
        </w:rPr>
        <w:t>.</w:t>
      </w:r>
      <w:r w:rsidRPr="004177DF">
        <w:rPr>
          <w:rFonts w:cs="Times New Roman"/>
          <w:lang w:val="fr-CA"/>
        </w:rPr>
        <w:t xml:space="preserve">); </w:t>
      </w:r>
      <w:r w:rsidRPr="004177DF">
        <w:rPr>
          <w:rFonts w:cs="Times New Roman"/>
          <w:i/>
          <w:lang w:val="fr-CA"/>
        </w:rPr>
        <w:t xml:space="preserve">R. c. </w:t>
      </w:r>
      <w:proofErr w:type="spellStart"/>
      <w:r w:rsidRPr="004177DF">
        <w:rPr>
          <w:rFonts w:cs="Times New Roman"/>
          <w:i/>
          <w:lang w:val="fr-CA"/>
        </w:rPr>
        <w:t>Fialkow</w:t>
      </w:r>
      <w:proofErr w:type="spellEnd"/>
      <w:r w:rsidRPr="004177DF">
        <w:rPr>
          <w:rFonts w:cs="Times New Roman"/>
          <w:lang w:val="fr-CA"/>
        </w:rPr>
        <w:t xml:space="preserve">, [1963] 2 C.C.C. 42 (C.A. Ont.); </w:t>
      </w:r>
      <w:r w:rsidRPr="004177DF">
        <w:rPr>
          <w:rFonts w:cs="Times New Roman"/>
          <w:i/>
          <w:lang w:val="fr-CA"/>
        </w:rPr>
        <w:t>R. c. Cook</w:t>
      </w:r>
      <w:r w:rsidRPr="004177DF">
        <w:rPr>
          <w:rFonts w:cs="Times New Roman"/>
          <w:lang w:val="fr-CA"/>
        </w:rPr>
        <w:t xml:space="preserve"> (1978), 46 C.C.C. (2d) 318 (C.A.C.</w:t>
      </w:r>
      <w:r w:rsidRPr="004177DF">
        <w:rPr>
          <w:rFonts w:cs="Times New Roman"/>
          <w:lang w:val="fr-CA"/>
        </w:rPr>
        <w:noBreakHyphen/>
        <w:t xml:space="preserve">B.); </w:t>
      </w:r>
      <w:r w:rsidRPr="004177DF">
        <w:rPr>
          <w:rFonts w:cs="Times New Roman"/>
          <w:i/>
          <w:lang w:val="fr-CA"/>
        </w:rPr>
        <w:t>R. c.</w:t>
      </w:r>
      <w:r w:rsidRPr="004177DF">
        <w:rPr>
          <w:rFonts w:cs="Times New Roman"/>
          <w:lang w:val="fr-CA"/>
        </w:rPr>
        <w:t xml:space="preserve"> </w:t>
      </w:r>
      <w:r w:rsidRPr="004177DF">
        <w:rPr>
          <w:rFonts w:cs="Times New Roman"/>
          <w:i/>
          <w:lang w:val="fr-CA"/>
        </w:rPr>
        <w:t>Edwards</w:t>
      </w:r>
      <w:r w:rsidRPr="004177DF">
        <w:rPr>
          <w:rFonts w:cs="Times New Roman"/>
          <w:lang w:val="fr-CA"/>
        </w:rPr>
        <w:t xml:space="preserve"> (1994), 19 O.R. (3d) 239 (C.A.); </w:t>
      </w:r>
      <w:r w:rsidRPr="004177DF">
        <w:rPr>
          <w:rFonts w:cs="Times New Roman"/>
          <w:i/>
          <w:lang w:val="fr-CA"/>
        </w:rPr>
        <w:t>R. c. Nguyen</w:t>
      </w:r>
      <w:r w:rsidRPr="004177DF">
        <w:rPr>
          <w:rFonts w:cs="Times New Roman"/>
          <w:lang w:val="fr-CA"/>
        </w:rPr>
        <w:t xml:space="preserve">, 2003 BCCA 556, 188 B.C.A.C. 218; </w:t>
      </w:r>
      <w:r w:rsidRPr="004177DF">
        <w:rPr>
          <w:rFonts w:cs="Times New Roman"/>
          <w:i/>
          <w:lang w:val="fr-CA"/>
        </w:rPr>
        <w:t>R. c. Williams</w:t>
      </w:r>
      <w:r w:rsidRPr="004177DF">
        <w:rPr>
          <w:rFonts w:cs="Times New Roman"/>
          <w:lang w:val="fr-CA"/>
        </w:rPr>
        <w:t xml:space="preserve">, 2009 BCCA 284, 273 B.C.A.C. 86; </w:t>
      </w:r>
      <w:r w:rsidRPr="004177DF">
        <w:rPr>
          <w:rFonts w:cs="Times New Roman"/>
          <w:i/>
          <w:lang w:val="fr-CA"/>
        </w:rPr>
        <w:t>R. c. Lucia</w:t>
      </w:r>
      <w:r w:rsidRPr="004177DF">
        <w:rPr>
          <w:rFonts w:cs="Times New Roman"/>
          <w:lang w:val="fr-CA"/>
        </w:rPr>
        <w:t>, 2010 ONCA 533 (</w:t>
      </w:r>
      <w:proofErr w:type="spellStart"/>
      <w:r w:rsidRPr="004177DF">
        <w:rPr>
          <w:rFonts w:cs="Times New Roman"/>
          <w:lang w:val="fr-CA"/>
        </w:rPr>
        <w:t>CanLII</w:t>
      </w:r>
      <w:proofErr w:type="spellEnd"/>
      <w:r w:rsidRPr="004177DF">
        <w:rPr>
          <w:rFonts w:cs="Times New Roman"/>
          <w:lang w:val="fr-CA"/>
        </w:rPr>
        <w:t xml:space="preserve">); </w:t>
      </w:r>
      <w:r w:rsidRPr="004177DF">
        <w:rPr>
          <w:rFonts w:cs="Times New Roman"/>
          <w:i/>
          <w:lang w:val="fr-CA"/>
        </w:rPr>
        <w:t>R. c. Graham</w:t>
      </w:r>
      <w:r w:rsidRPr="004177DF">
        <w:rPr>
          <w:rFonts w:cs="Times New Roman"/>
          <w:lang w:val="fr-CA"/>
        </w:rPr>
        <w:t>, 2013 BCCA 75 (</w:t>
      </w:r>
      <w:proofErr w:type="spellStart"/>
      <w:r w:rsidRPr="004177DF">
        <w:rPr>
          <w:rFonts w:cs="Times New Roman"/>
          <w:lang w:val="fr-CA"/>
        </w:rPr>
        <w:t>CanLII</w:t>
      </w:r>
      <w:proofErr w:type="spellEnd"/>
      <w:r w:rsidRPr="004177DF">
        <w:rPr>
          <w:rFonts w:cs="Times New Roman"/>
          <w:lang w:val="fr-CA"/>
        </w:rPr>
        <w:t xml:space="preserve">).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Ces arrêts m’amènent à m’interroger.  Se </w:t>
      </w:r>
      <w:proofErr w:type="spellStart"/>
      <w:r w:rsidRPr="004177DF">
        <w:rPr>
          <w:rFonts w:cs="Times New Roman"/>
          <w:lang w:val="fr-CA"/>
        </w:rPr>
        <w:t>peut</w:t>
      </w:r>
      <w:r w:rsidRPr="004177DF">
        <w:rPr>
          <w:rFonts w:cs="Times New Roman"/>
          <w:lang w:val="fr-CA"/>
        </w:rPr>
        <w:noBreakHyphen/>
        <w:t>il</w:t>
      </w:r>
      <w:proofErr w:type="spellEnd"/>
      <w:r w:rsidRPr="004177DF">
        <w:rPr>
          <w:rFonts w:cs="Times New Roman"/>
          <w:lang w:val="fr-CA"/>
        </w:rPr>
        <w:t xml:space="preserve"> que nous ayons tort depuis si longtemps?  </w:t>
      </w:r>
    </w:p>
    <w:p w:rsidR="009D7689" w:rsidRPr="004177DF" w:rsidRDefault="009D7689" w:rsidP="009D7689">
      <w:pPr>
        <w:pStyle w:val="ParaNoNdepar-AltN"/>
        <w:rPr>
          <w:rFonts w:cs="Times New Roman"/>
          <w:lang w:val="fr-CA"/>
        </w:rPr>
      </w:pPr>
      <w:r w:rsidRPr="004177DF">
        <w:rPr>
          <w:rFonts w:cs="Times New Roman"/>
          <w:lang w:val="fr-CA"/>
        </w:rPr>
        <w:t xml:space="preserve">Comme j’estime pouvoir conclure sans risque de me tromper que les juges n’ont pas l’habitude d’admettre des preuves qu’ils ne tiennent pas pour fiables, je suis porté à croire que ces arrêts antérieurs reposent sur la conclusion — souvent implicite, mais parfois expresse — que les commandes téléphoniques de drogue sont intrinsèquement fiables.  Il se peut que ces arrêts reflètent un consensus judiciaire implicite — ressorti de multiples décisions rendues sur de multiples décennies — voulant que, comme ce type de preuve se révèle fiable plus souvent qu’autrement, on </w:t>
      </w:r>
      <w:r w:rsidRPr="004177DF">
        <w:rPr>
          <w:rFonts w:cs="Times New Roman"/>
          <w:lang w:val="fr-CA"/>
        </w:rPr>
        <w:lastRenderedPageBreak/>
        <w:t>p</w:t>
      </w:r>
      <w:r w:rsidR="000A3C53">
        <w:rPr>
          <w:rFonts w:cs="Times New Roman"/>
          <w:lang w:val="fr-CA"/>
        </w:rPr>
        <w:t xml:space="preserve">uisse </w:t>
      </w:r>
      <w:r w:rsidRPr="004177DF">
        <w:rPr>
          <w:rFonts w:cs="Times New Roman"/>
          <w:lang w:val="fr-CA"/>
        </w:rPr>
        <w:t xml:space="preserve">considérer sans danger qu’il ne constitue pas </w:t>
      </w:r>
      <w:proofErr w:type="gramStart"/>
      <w:r w:rsidRPr="004177DF">
        <w:rPr>
          <w:rFonts w:cs="Times New Roman"/>
          <w:lang w:val="fr-CA"/>
        </w:rPr>
        <w:t xml:space="preserve">du </w:t>
      </w:r>
      <w:proofErr w:type="spellStart"/>
      <w:r w:rsidRPr="004177DF">
        <w:rPr>
          <w:rFonts w:cs="Times New Roman"/>
          <w:lang w:val="fr-CA"/>
        </w:rPr>
        <w:t>ouï</w:t>
      </w:r>
      <w:r w:rsidRPr="004177DF">
        <w:rPr>
          <w:rFonts w:cs="Times New Roman"/>
          <w:lang w:val="fr-CA"/>
        </w:rPr>
        <w:noBreakHyphen/>
        <w:t>dire</w:t>
      </w:r>
      <w:proofErr w:type="spellEnd"/>
      <w:proofErr w:type="gramEnd"/>
      <w:r w:rsidRPr="004177DF">
        <w:rPr>
          <w:rFonts w:cs="Times New Roman"/>
          <w:lang w:val="fr-CA"/>
        </w:rPr>
        <w:t xml:space="preserve">.  La juge </w:t>
      </w:r>
      <w:proofErr w:type="spellStart"/>
      <w:r w:rsidRPr="004177DF">
        <w:rPr>
          <w:rFonts w:cs="Times New Roman"/>
          <w:lang w:val="fr-CA"/>
        </w:rPr>
        <w:t>Feldman</w:t>
      </w:r>
      <w:proofErr w:type="spellEnd"/>
      <w:r w:rsidRPr="004177DF">
        <w:rPr>
          <w:rFonts w:cs="Times New Roman"/>
          <w:lang w:val="fr-CA"/>
        </w:rPr>
        <w:t xml:space="preserve"> de la Cour d’appel a présenté une thèse semblable dans ses motifs (par. 131).</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L’arrêt </w:t>
      </w:r>
      <w:r w:rsidRPr="004177DF">
        <w:rPr>
          <w:rFonts w:cs="Times New Roman"/>
          <w:i/>
          <w:lang w:val="fr-CA"/>
        </w:rPr>
        <w:t>Edwards</w:t>
      </w:r>
      <w:r w:rsidR="00AA7D18">
        <w:rPr>
          <w:rFonts w:cs="Times New Roman"/>
          <w:i/>
          <w:lang w:val="fr-CA"/>
        </w:rPr>
        <w:t xml:space="preserve"> </w:t>
      </w:r>
      <w:r w:rsidRPr="004177DF">
        <w:rPr>
          <w:rFonts w:cs="Times New Roman"/>
          <w:lang w:val="fr-CA"/>
        </w:rPr>
        <w:t>constitue un bon exemple d’une conclusion expresse quant à la fiabilité de ce genre d’appels.  Il s’agissait dans cette affaire de déterminer si [</w:t>
      </w:r>
      <w:r w:rsidRPr="004177DF">
        <w:rPr>
          <w:rFonts w:cs="Times New Roman"/>
          <w:smallCaps/>
          <w:lang w:val="fr-CA"/>
        </w:rPr>
        <w:t>traduction</w:t>
      </w:r>
      <w:r w:rsidRPr="004177DF">
        <w:rPr>
          <w:rFonts w:cs="Times New Roman"/>
          <w:lang w:val="fr-CA"/>
        </w:rPr>
        <w:t xml:space="preserve">] « un certain nombre d’appels [faits au numéro de téléphone de l’accusé] provenant de personnes intéressées à acheter de petites quantités de crack » étaient admissibles pour prouver que l’accusé était un trafiquant de drogue (p. 243).  Bien que la juge </w:t>
      </w:r>
      <w:proofErr w:type="spellStart"/>
      <w:r w:rsidRPr="004177DF">
        <w:rPr>
          <w:rFonts w:cs="Times New Roman"/>
          <w:lang w:val="fr-CA"/>
        </w:rPr>
        <w:t>McKinlay</w:t>
      </w:r>
      <w:proofErr w:type="spellEnd"/>
      <w:r w:rsidRPr="004177DF">
        <w:rPr>
          <w:rFonts w:cs="Times New Roman"/>
          <w:lang w:val="fr-CA"/>
        </w:rPr>
        <w:t xml:space="preserve"> de la Cour d’appel ait statué que la preuve n’était pas présentée pour démontrer la véracité de son contenu et, partant, ne constituait pas </w:t>
      </w:r>
      <w:proofErr w:type="gramStart"/>
      <w:r w:rsidRPr="004177DF">
        <w:rPr>
          <w:rFonts w:cs="Times New Roman"/>
          <w:lang w:val="fr-CA"/>
        </w:rPr>
        <w:t xml:space="preserve">du </w:t>
      </w:r>
      <w:proofErr w:type="spellStart"/>
      <w:r w:rsidRPr="004177DF">
        <w:rPr>
          <w:rFonts w:cs="Times New Roman"/>
          <w:lang w:val="fr-CA"/>
        </w:rPr>
        <w:t>ouï</w:t>
      </w:r>
      <w:r w:rsidRPr="004177DF">
        <w:rPr>
          <w:rFonts w:cs="Times New Roman"/>
          <w:lang w:val="fr-CA"/>
        </w:rPr>
        <w:noBreakHyphen/>
        <w:t>dire</w:t>
      </w:r>
      <w:proofErr w:type="spellEnd"/>
      <w:proofErr w:type="gramEnd"/>
      <w:r w:rsidRPr="004177DF">
        <w:rPr>
          <w:rFonts w:cs="Times New Roman"/>
          <w:lang w:val="fr-CA"/>
        </w:rPr>
        <w:t>, subsidiairement, elle a conclu à l’admissibilité de la preuve en application de la méthode d’analyse raisonnée :</w:t>
      </w:r>
    </w:p>
    <w:p w:rsidR="009D7689" w:rsidRPr="004177DF" w:rsidRDefault="009D7689" w:rsidP="009D7689">
      <w:pPr>
        <w:pStyle w:val="Citation-AltC"/>
        <w:ind w:hanging="1166"/>
        <w:rPr>
          <w:lang w:val="fr-CA"/>
        </w:rPr>
      </w:pPr>
      <w:r w:rsidRPr="004177DF">
        <w:rPr>
          <w:lang w:val="fr-CA"/>
        </w:rPr>
        <w:tab/>
        <w:t>[</w:t>
      </w:r>
      <w:r w:rsidRPr="004177DF">
        <w:rPr>
          <w:smallCaps/>
          <w:lang w:val="fr-CA"/>
        </w:rPr>
        <w:t>traduction</w:t>
      </w:r>
      <w:r w:rsidRPr="004177DF">
        <w:rPr>
          <w:lang w:val="fr-CA"/>
        </w:rPr>
        <w:t xml:space="preserve">]  À mon avis, la preuve en cause respecte ces critères.  Il était nécessaire de prouver la nature des activités de l’appelant relatives à la drogue, et il n’existait en l’espèce aucun autre moyen pour la police de le faire.  La police ne connaissait pas l’identité des auteurs des appels et, de toute manière, même si leur identité avait été connue, il aurait été improbable qu’ils acceptent de témoigner.  </w:t>
      </w:r>
      <w:r w:rsidRPr="004177DF">
        <w:rPr>
          <w:u w:val="single"/>
          <w:lang w:val="fr-CA"/>
        </w:rPr>
        <w:t>La preuve est fiable parce qu’elle a été recueillie dans des circonstances écartant toute possibilité de commandes fallacieuses.  Les auteurs des appels ont été amenés à croire que leurs interlocuteurs (les policiers) agissaient pour le compte de l’appelant.</w:t>
      </w:r>
      <w:r w:rsidRPr="004177DF">
        <w:rPr>
          <w:lang w:val="fr-CA"/>
        </w:rPr>
        <w:t xml:space="preserve">  [Je souligne; </w:t>
      </w:r>
      <w:r w:rsidR="00AA7D18">
        <w:rPr>
          <w:lang w:val="fr-CA"/>
        </w:rPr>
        <w:t>p. 249</w:t>
      </w:r>
      <w:r w:rsidRPr="004177DF">
        <w:rPr>
          <w:lang w:val="fr-CA"/>
        </w:rPr>
        <w:t xml:space="preserve">.]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Dans la mesure où les autres affaires reflètent le point de vue de la juge </w:t>
      </w:r>
      <w:proofErr w:type="spellStart"/>
      <w:r w:rsidRPr="004177DF">
        <w:rPr>
          <w:rFonts w:cs="Times New Roman"/>
          <w:lang w:val="fr-CA"/>
        </w:rPr>
        <w:t>McKinlay</w:t>
      </w:r>
      <w:proofErr w:type="spellEnd"/>
      <w:r w:rsidRPr="004177DF">
        <w:rPr>
          <w:rFonts w:cs="Times New Roman"/>
          <w:lang w:val="fr-CA"/>
        </w:rPr>
        <w:t xml:space="preserve"> de la Cour d’appel sur la fiabilité de ce genre d’appels, elles vont dans le même sens que les dispositions réglementaires et législatives expresses adoptées à cet égard dans d’autres ressorts.  </w:t>
      </w:r>
      <w:proofErr w:type="spellStart"/>
      <w:r w:rsidR="003505D5">
        <w:rPr>
          <w:rFonts w:cs="Times New Roman"/>
        </w:rPr>
        <w:t>Voir</w:t>
      </w:r>
      <w:proofErr w:type="spellEnd"/>
      <w:r w:rsidR="003505D5">
        <w:rPr>
          <w:rFonts w:cs="Times New Roman"/>
        </w:rPr>
        <w:t xml:space="preserve">, p. ex., </w:t>
      </w:r>
      <w:r w:rsidRPr="004177DF">
        <w:rPr>
          <w:rFonts w:cs="Times New Roman"/>
          <w:i/>
        </w:rPr>
        <w:t xml:space="preserve">Federal Rules of Evidence </w:t>
      </w:r>
      <w:r w:rsidR="003505D5">
        <w:rPr>
          <w:rFonts w:cs="Times New Roman"/>
        </w:rPr>
        <w:t>(É.-</w:t>
      </w:r>
      <w:r w:rsidRPr="004177DF">
        <w:rPr>
          <w:rFonts w:cs="Times New Roman"/>
        </w:rPr>
        <w:t xml:space="preserve">U.), </w:t>
      </w:r>
      <w:proofErr w:type="spellStart"/>
      <w:r w:rsidRPr="004177DF">
        <w:rPr>
          <w:rFonts w:cs="Times New Roman"/>
        </w:rPr>
        <w:t>règle</w:t>
      </w:r>
      <w:proofErr w:type="spellEnd"/>
      <w:r w:rsidRPr="004177DF">
        <w:rPr>
          <w:rFonts w:cs="Times New Roman"/>
        </w:rPr>
        <w:t xml:space="preserve"> 801; </w:t>
      </w:r>
      <w:r w:rsidRPr="004177DF">
        <w:rPr>
          <w:rFonts w:cs="Times New Roman"/>
          <w:i/>
        </w:rPr>
        <w:t xml:space="preserve">Criminal Justice Act 2003 </w:t>
      </w:r>
      <w:r w:rsidRPr="004177DF">
        <w:rPr>
          <w:rFonts w:cs="Times New Roman"/>
        </w:rPr>
        <w:t>(R.</w:t>
      </w:r>
      <w:r w:rsidRPr="004177DF">
        <w:rPr>
          <w:rFonts w:cs="Times New Roman"/>
        </w:rPr>
        <w:noBreakHyphen/>
        <w:t xml:space="preserve">U.), 2003, </w:t>
      </w:r>
      <w:proofErr w:type="spellStart"/>
      <w:r w:rsidRPr="004177DF">
        <w:rPr>
          <w:rFonts w:cs="Times New Roman"/>
        </w:rPr>
        <w:t>ch</w:t>
      </w:r>
      <w:proofErr w:type="spellEnd"/>
      <w:r w:rsidRPr="004177DF">
        <w:rPr>
          <w:rFonts w:cs="Times New Roman"/>
        </w:rPr>
        <w:t xml:space="preserve">. 44, art. 115.  </w:t>
      </w:r>
      <w:r w:rsidRPr="004177DF">
        <w:rPr>
          <w:rFonts w:cs="Times New Roman"/>
          <w:lang w:val="fr-CA"/>
        </w:rPr>
        <w:t xml:space="preserve">Un traité reconnu des </w:t>
      </w:r>
      <w:proofErr w:type="spellStart"/>
      <w:r w:rsidRPr="004177DF">
        <w:rPr>
          <w:rFonts w:cs="Times New Roman"/>
          <w:i/>
          <w:lang w:val="fr-CA"/>
        </w:rPr>
        <w:lastRenderedPageBreak/>
        <w:t>Federal</w:t>
      </w:r>
      <w:proofErr w:type="spellEnd"/>
      <w:r w:rsidRPr="004177DF">
        <w:rPr>
          <w:rFonts w:cs="Times New Roman"/>
          <w:i/>
          <w:lang w:val="fr-CA"/>
        </w:rPr>
        <w:t xml:space="preserve"> </w:t>
      </w:r>
      <w:proofErr w:type="spellStart"/>
      <w:r w:rsidRPr="004177DF">
        <w:rPr>
          <w:rFonts w:cs="Times New Roman"/>
          <w:i/>
          <w:lang w:val="fr-CA"/>
        </w:rPr>
        <w:t>Rules</w:t>
      </w:r>
      <w:proofErr w:type="spellEnd"/>
      <w:r w:rsidRPr="004177DF">
        <w:rPr>
          <w:rFonts w:cs="Times New Roman"/>
          <w:i/>
          <w:lang w:val="fr-CA"/>
        </w:rPr>
        <w:t xml:space="preserve"> of </w:t>
      </w:r>
      <w:proofErr w:type="spellStart"/>
      <w:r w:rsidRPr="004177DF">
        <w:rPr>
          <w:rFonts w:cs="Times New Roman"/>
          <w:i/>
          <w:lang w:val="fr-CA"/>
        </w:rPr>
        <w:t>Evidence</w:t>
      </w:r>
      <w:proofErr w:type="spellEnd"/>
      <w:r w:rsidR="00CD2646">
        <w:rPr>
          <w:rFonts w:cs="Times New Roman"/>
          <w:lang w:val="fr-CA"/>
        </w:rPr>
        <w:t xml:space="preserve"> des États-</w:t>
      </w:r>
      <w:r w:rsidRPr="004177DF">
        <w:rPr>
          <w:rFonts w:cs="Times New Roman"/>
          <w:lang w:val="fr-CA"/>
        </w:rPr>
        <w:t xml:space="preserve">Unis explique ainsi l’exclusion générale des affirmations implicites de la définition du </w:t>
      </w:r>
      <w:proofErr w:type="spellStart"/>
      <w:r w:rsidRPr="004177DF">
        <w:rPr>
          <w:rFonts w:cs="Times New Roman"/>
          <w:lang w:val="fr-CA"/>
        </w:rPr>
        <w:t>ouï</w:t>
      </w:r>
      <w:r w:rsidRPr="004177DF">
        <w:rPr>
          <w:rFonts w:cs="Times New Roman"/>
          <w:lang w:val="fr-CA"/>
        </w:rPr>
        <w:noBreakHyphen/>
        <w:t>dire</w:t>
      </w:r>
      <w:proofErr w:type="spellEnd"/>
      <w:r w:rsidRPr="004177DF">
        <w:rPr>
          <w:rFonts w:cs="Times New Roman"/>
          <w:lang w:val="fr-CA"/>
        </w:rPr>
        <w:t xml:space="preserve"> prévue dans les règles :</w:t>
      </w:r>
    </w:p>
    <w:p w:rsidR="009D7689" w:rsidRPr="004177DF" w:rsidRDefault="009D7689" w:rsidP="009D7689">
      <w:pPr>
        <w:pStyle w:val="Citation-AltC"/>
        <w:spacing w:after="240"/>
        <w:ind w:left="1168" w:hanging="1168"/>
        <w:contextualSpacing w:val="0"/>
        <w:rPr>
          <w:lang w:val="en-US"/>
        </w:rPr>
      </w:pPr>
      <w:r w:rsidRPr="004177DF">
        <w:rPr>
          <w:lang w:val="fr-CA"/>
        </w:rPr>
        <w:tab/>
        <w:t>[</w:t>
      </w:r>
      <w:r w:rsidRPr="004177DF">
        <w:rPr>
          <w:smallCaps/>
          <w:lang w:val="fr-CA"/>
        </w:rPr>
        <w:t>traduction</w:t>
      </w:r>
      <w:proofErr w:type="gramStart"/>
      <w:r w:rsidRPr="004177DF">
        <w:rPr>
          <w:lang w:val="fr-CA"/>
        </w:rPr>
        <w:t xml:space="preserve">]  </w:t>
      </w:r>
      <w:r w:rsidR="00893066">
        <w:rPr>
          <w:lang w:val="fr-CA"/>
        </w:rPr>
        <w:t>.</w:t>
      </w:r>
      <w:proofErr w:type="gramEnd"/>
      <w:r w:rsidR="00893066">
        <w:rPr>
          <w:lang w:val="fr-CA"/>
        </w:rPr>
        <w:t> . . p</w:t>
      </w:r>
      <w:r w:rsidRPr="004177DF">
        <w:rPr>
          <w:lang w:val="fr-CA"/>
        </w:rPr>
        <w:t xml:space="preserve">renons le cas d’une personne qui pose un geste sur la foi d’une croyance, mais sans avoir l’intention de communiquer cette croyance par son geste.  </w:t>
      </w:r>
      <w:r w:rsidRPr="004177DF">
        <w:rPr>
          <w:u w:val="single"/>
          <w:lang w:val="fr-CA"/>
        </w:rPr>
        <w:t>L’une des principales raisons</w:t>
      </w:r>
      <w:r w:rsidRPr="004177DF">
        <w:rPr>
          <w:lang w:val="fr-CA"/>
        </w:rPr>
        <w:t xml:space="preserve"> qui sous-tendent la règle du </w:t>
      </w:r>
      <w:proofErr w:type="spellStart"/>
      <w:r w:rsidRPr="004177DF">
        <w:rPr>
          <w:lang w:val="fr-CA"/>
        </w:rPr>
        <w:t>ouï</w:t>
      </w:r>
      <w:r w:rsidRPr="004177DF">
        <w:rPr>
          <w:lang w:val="fr-CA"/>
        </w:rPr>
        <w:noBreakHyphen/>
        <w:t>dire</w:t>
      </w:r>
      <w:proofErr w:type="spellEnd"/>
      <w:r w:rsidRPr="004177DF">
        <w:rPr>
          <w:lang w:val="fr-CA"/>
        </w:rPr>
        <w:t xml:space="preserve"> — à savoir écarter les déclarations dont la véracité ne peut subir l’épreuve du </w:t>
      </w:r>
      <w:proofErr w:type="spellStart"/>
      <w:r w:rsidRPr="004177DF">
        <w:rPr>
          <w:lang w:val="fr-CA"/>
        </w:rPr>
        <w:t>contre</w:t>
      </w:r>
      <w:r w:rsidRPr="004177DF">
        <w:rPr>
          <w:lang w:val="fr-CA"/>
        </w:rPr>
        <w:noBreakHyphen/>
        <w:t>interrogatoire</w:t>
      </w:r>
      <w:proofErr w:type="spellEnd"/>
      <w:r w:rsidRPr="004177DF">
        <w:rPr>
          <w:lang w:val="fr-CA"/>
        </w:rPr>
        <w:t xml:space="preserve"> — ne s’applique pas, car la sincérité du déclarant n’est alors pas mise en cause.  </w:t>
      </w:r>
      <w:proofErr w:type="gramStart"/>
      <w:r w:rsidRPr="004177DF">
        <w:rPr>
          <w:lang w:val="en-US"/>
        </w:rPr>
        <w:t xml:space="preserve">[Je </w:t>
      </w:r>
      <w:proofErr w:type="spellStart"/>
      <w:r w:rsidRPr="004177DF">
        <w:rPr>
          <w:lang w:val="en-US"/>
        </w:rPr>
        <w:t>souligne</w:t>
      </w:r>
      <w:proofErr w:type="spellEnd"/>
      <w:r w:rsidRPr="004177DF">
        <w:rPr>
          <w:lang w:val="en-US"/>
        </w:rPr>
        <w:t>.]</w:t>
      </w:r>
      <w:proofErr w:type="gramEnd"/>
    </w:p>
    <w:p w:rsidR="009D7689" w:rsidRPr="004177DF" w:rsidRDefault="009D7689" w:rsidP="00CD2646">
      <w:pPr>
        <w:pStyle w:val="Citation-AltC"/>
        <w:ind w:left="0"/>
        <w:rPr>
          <w:lang w:val="en-US"/>
        </w:rPr>
      </w:pPr>
      <w:r w:rsidRPr="004177DF">
        <w:rPr>
          <w:lang w:val="en-US"/>
        </w:rPr>
        <w:t>(J. B. Weinstein</w:t>
      </w:r>
      <w:r w:rsidR="00CD2646">
        <w:rPr>
          <w:lang w:val="en-US"/>
        </w:rPr>
        <w:t xml:space="preserve"> et M. A. Berger</w:t>
      </w:r>
      <w:r w:rsidRPr="004177DF">
        <w:rPr>
          <w:lang w:val="en-US"/>
        </w:rPr>
        <w:t xml:space="preserve">, </w:t>
      </w:r>
      <w:r w:rsidRPr="004177DF">
        <w:rPr>
          <w:i/>
          <w:lang w:val="en-US"/>
        </w:rPr>
        <w:t xml:space="preserve">Weinstein’s </w:t>
      </w:r>
      <w:proofErr w:type="gramStart"/>
      <w:r w:rsidRPr="004177DF">
        <w:rPr>
          <w:i/>
          <w:lang w:val="en-US"/>
        </w:rPr>
        <w:t>Evidence</w:t>
      </w:r>
      <w:r w:rsidR="00CD2646">
        <w:rPr>
          <w:i/>
          <w:lang w:val="en-US"/>
        </w:rPr>
        <w:t xml:space="preserve"> </w:t>
      </w:r>
      <w:r w:rsidRPr="004177DF">
        <w:rPr>
          <w:i/>
          <w:lang w:val="en-US"/>
        </w:rPr>
        <w:t>:</w:t>
      </w:r>
      <w:proofErr w:type="gramEnd"/>
      <w:r w:rsidRPr="004177DF">
        <w:rPr>
          <w:i/>
          <w:lang w:val="en-US"/>
        </w:rPr>
        <w:t xml:space="preserve"> Commentary on Rules of Evidence for the United States Courts and for State Courts</w:t>
      </w:r>
      <w:r w:rsidRPr="004177DF">
        <w:rPr>
          <w:lang w:val="en-US"/>
        </w:rPr>
        <w:t xml:space="preserve"> (</w:t>
      </w:r>
      <w:proofErr w:type="spellStart"/>
      <w:r w:rsidRPr="004177DF">
        <w:rPr>
          <w:lang w:val="en-US"/>
        </w:rPr>
        <w:t>feuilles</w:t>
      </w:r>
      <w:proofErr w:type="spellEnd"/>
      <w:r w:rsidRPr="004177DF">
        <w:rPr>
          <w:lang w:val="en-US"/>
        </w:rPr>
        <w:t xml:space="preserve"> mobiles), vol. 4, § 801(a)(01)) </w:t>
      </w:r>
    </w:p>
    <w:p w:rsidR="009D7689" w:rsidRPr="004177DF" w:rsidRDefault="009D7689" w:rsidP="009D7689">
      <w:pPr>
        <w:pStyle w:val="ContinueParaSuitedupar-AltP"/>
        <w:rPr>
          <w:rFonts w:cs="Times New Roman"/>
          <w:lang w:val="fr-CA"/>
        </w:rPr>
      </w:pPr>
      <w:r w:rsidRPr="004177DF">
        <w:rPr>
          <w:rFonts w:cs="Times New Roman"/>
          <w:lang w:val="fr-CA"/>
        </w:rPr>
        <w:t xml:space="preserve">Voir également </w:t>
      </w:r>
      <w:r w:rsidRPr="004177DF">
        <w:rPr>
          <w:rFonts w:cs="Times New Roman"/>
          <w:i/>
          <w:lang w:val="fr-CA"/>
        </w:rPr>
        <w:t xml:space="preserve">McCormick on </w:t>
      </w:r>
      <w:proofErr w:type="spellStart"/>
      <w:r w:rsidRPr="004177DF">
        <w:rPr>
          <w:rFonts w:cs="Times New Roman"/>
          <w:i/>
          <w:lang w:val="fr-CA"/>
        </w:rPr>
        <w:t>Evidence</w:t>
      </w:r>
      <w:proofErr w:type="spellEnd"/>
      <w:r w:rsidRPr="004177DF">
        <w:rPr>
          <w:rFonts w:cs="Times New Roman"/>
          <w:lang w:val="fr-CA"/>
        </w:rPr>
        <w:t xml:space="preserve"> (7</w:t>
      </w:r>
      <w:r w:rsidRPr="004177DF">
        <w:rPr>
          <w:rFonts w:cs="Times New Roman"/>
          <w:vertAlign w:val="superscript"/>
          <w:lang w:val="fr-CA"/>
        </w:rPr>
        <w:t>e</w:t>
      </w:r>
      <w:r w:rsidRPr="004177DF">
        <w:rPr>
          <w:rFonts w:cs="Times New Roman"/>
          <w:lang w:val="fr-CA"/>
        </w:rPr>
        <w:t> éd. 2013), vol. 2 (selon qui la définition prévue à la règle 801 constitue [</w:t>
      </w:r>
      <w:r w:rsidRPr="004177DF">
        <w:rPr>
          <w:rFonts w:cs="Times New Roman"/>
          <w:smallCaps/>
          <w:lang w:val="fr-CA"/>
        </w:rPr>
        <w:t>traduction</w:t>
      </w:r>
      <w:r w:rsidRPr="004177DF">
        <w:rPr>
          <w:rFonts w:cs="Times New Roman"/>
          <w:lang w:val="fr-CA"/>
        </w:rPr>
        <w:t xml:space="preserve">] « un compromis entre la théorie et le besoin d’établir une définition relativement simple et applicable aux situations où les dangers liés au </w:t>
      </w:r>
      <w:proofErr w:type="spellStart"/>
      <w:r w:rsidRPr="004177DF">
        <w:rPr>
          <w:rFonts w:cs="Times New Roman"/>
          <w:lang w:val="fr-CA"/>
        </w:rPr>
        <w:t>ouï</w:t>
      </w:r>
      <w:r w:rsidRPr="004177DF">
        <w:rPr>
          <w:rFonts w:cs="Times New Roman"/>
          <w:lang w:val="fr-CA"/>
        </w:rPr>
        <w:noBreakHyphen/>
        <w:t>dire</w:t>
      </w:r>
      <w:proofErr w:type="spellEnd"/>
      <w:r w:rsidRPr="004177DF">
        <w:rPr>
          <w:rFonts w:cs="Times New Roman"/>
          <w:lang w:val="fr-CA"/>
        </w:rPr>
        <w:t xml:space="preserve"> sont généralement atténués », p. 208</w:t>
      </w:r>
      <w:r w:rsidRPr="004177DF">
        <w:rPr>
          <w:rFonts w:cs="Times New Roman"/>
          <w:lang w:val="fr-CA"/>
        </w:rPr>
        <w:noBreakHyphen/>
        <w:t xml:space="preserve">209); I. H. Dennis, </w:t>
      </w:r>
      <w:r w:rsidRPr="004177DF">
        <w:rPr>
          <w:rFonts w:cs="Times New Roman"/>
          <w:i/>
          <w:lang w:val="fr-CA"/>
        </w:rPr>
        <w:t xml:space="preserve">The Law of </w:t>
      </w:r>
      <w:proofErr w:type="spellStart"/>
      <w:r w:rsidRPr="004177DF">
        <w:rPr>
          <w:rFonts w:cs="Times New Roman"/>
          <w:i/>
          <w:lang w:val="fr-CA"/>
        </w:rPr>
        <w:t>Evidence</w:t>
      </w:r>
      <w:proofErr w:type="spellEnd"/>
      <w:r w:rsidRPr="004177DF">
        <w:rPr>
          <w:rFonts w:cs="Times New Roman"/>
          <w:lang w:val="fr-CA"/>
        </w:rPr>
        <w:t xml:space="preserve"> (4</w:t>
      </w:r>
      <w:r w:rsidRPr="004177DF">
        <w:rPr>
          <w:rFonts w:cs="Times New Roman"/>
          <w:vertAlign w:val="superscript"/>
          <w:lang w:val="fr-CA"/>
        </w:rPr>
        <w:t>e</w:t>
      </w:r>
      <w:r w:rsidRPr="004177DF">
        <w:rPr>
          <w:rFonts w:cs="Times New Roman"/>
          <w:lang w:val="fr-CA"/>
        </w:rPr>
        <w:t xml:space="preserve"> éd. 2010) (selon qui puisque [</w:t>
      </w:r>
      <w:r w:rsidRPr="004177DF">
        <w:rPr>
          <w:rFonts w:cs="Times New Roman"/>
          <w:smallCaps/>
          <w:lang w:val="fr-CA"/>
        </w:rPr>
        <w:t>traduction</w:t>
      </w:r>
      <w:r w:rsidRPr="004177DF">
        <w:rPr>
          <w:rFonts w:cs="Times New Roman"/>
          <w:lang w:val="fr-CA"/>
        </w:rPr>
        <w:t xml:space="preserve">] « les dangers liés au </w:t>
      </w:r>
      <w:proofErr w:type="spellStart"/>
      <w:r w:rsidRPr="004177DF">
        <w:rPr>
          <w:rFonts w:cs="Times New Roman"/>
          <w:lang w:val="fr-CA"/>
        </w:rPr>
        <w:t>ouï</w:t>
      </w:r>
      <w:r w:rsidRPr="004177DF">
        <w:rPr>
          <w:rFonts w:cs="Times New Roman"/>
          <w:lang w:val="fr-CA"/>
        </w:rPr>
        <w:noBreakHyphen/>
        <w:t>dire</w:t>
      </w:r>
      <w:proofErr w:type="spellEnd"/>
      <w:r w:rsidRPr="004177DF">
        <w:rPr>
          <w:rFonts w:cs="Times New Roman"/>
          <w:lang w:val="fr-CA"/>
        </w:rPr>
        <w:t xml:space="preserve"> sont souvent considérablement atténués dans le cas d’une affirmation implicite, aucune raison systémique ne milite en faveur de l’application de la règle du </w:t>
      </w:r>
      <w:proofErr w:type="spellStart"/>
      <w:r w:rsidRPr="004177DF">
        <w:rPr>
          <w:rFonts w:cs="Times New Roman"/>
          <w:lang w:val="fr-CA"/>
        </w:rPr>
        <w:t>ouï</w:t>
      </w:r>
      <w:r w:rsidRPr="004177DF">
        <w:rPr>
          <w:rFonts w:cs="Times New Roman"/>
          <w:lang w:val="fr-CA"/>
        </w:rPr>
        <w:noBreakHyphen/>
        <w:t>dire</w:t>
      </w:r>
      <w:proofErr w:type="spellEnd"/>
      <w:r w:rsidRPr="004177DF">
        <w:rPr>
          <w:rFonts w:cs="Times New Roman"/>
          <w:lang w:val="fr-CA"/>
        </w:rPr>
        <w:t xml:space="preserve"> à ce genre d’affirmation », p. 710).</w:t>
      </w:r>
    </w:p>
    <w:p w:rsidR="009D7689" w:rsidRPr="004177DF" w:rsidRDefault="009D7689" w:rsidP="009D7689">
      <w:pPr>
        <w:pStyle w:val="ParaNoNdepar-AltN"/>
        <w:rPr>
          <w:rFonts w:cs="Times New Roman"/>
          <w:lang w:val="fr-CA"/>
        </w:rPr>
      </w:pPr>
      <w:r w:rsidRPr="004177DF">
        <w:rPr>
          <w:rFonts w:cs="Times New Roman"/>
          <w:lang w:val="fr-CA"/>
        </w:rPr>
        <w:t xml:space="preserve">En effet, le </w:t>
      </w:r>
      <w:r w:rsidRPr="004177DF">
        <w:rPr>
          <w:rFonts w:cs="Times New Roman"/>
          <w:i/>
          <w:lang w:val="fr-CA"/>
        </w:rPr>
        <w:t>Code de la preuve</w:t>
      </w:r>
      <w:r w:rsidRPr="004177DF">
        <w:rPr>
          <w:rFonts w:cs="Times New Roman"/>
          <w:lang w:val="fr-CA"/>
        </w:rPr>
        <w:t xml:space="preserve"> proposé en 1975 par la Commission de réforme du droit du Canada s’inscrivait dans la même lignée.  Sa définition </w:t>
      </w:r>
      <w:proofErr w:type="gramStart"/>
      <w:r w:rsidRPr="004177DF">
        <w:rPr>
          <w:rFonts w:cs="Times New Roman"/>
          <w:lang w:val="fr-CA"/>
        </w:rPr>
        <w:t xml:space="preserve">du </w:t>
      </w:r>
      <w:proofErr w:type="spellStart"/>
      <w:r w:rsidRPr="004177DF">
        <w:rPr>
          <w:rFonts w:cs="Times New Roman"/>
          <w:lang w:val="fr-CA"/>
        </w:rPr>
        <w:t>ouï</w:t>
      </w:r>
      <w:r w:rsidRPr="004177DF">
        <w:rPr>
          <w:rFonts w:cs="Times New Roman"/>
          <w:lang w:val="fr-CA"/>
        </w:rPr>
        <w:noBreakHyphen/>
        <w:t>dire</w:t>
      </w:r>
      <w:proofErr w:type="spellEnd"/>
      <w:proofErr w:type="gramEnd"/>
      <w:r w:rsidRPr="004177DF">
        <w:rPr>
          <w:rFonts w:cs="Times New Roman"/>
          <w:lang w:val="fr-CA"/>
        </w:rPr>
        <w:t xml:space="preserve"> excluait donc l’affirmation implicite — verbale ou non.  Voir l’al. 27(2)</w:t>
      </w:r>
      <w:r w:rsidRPr="004177DF">
        <w:rPr>
          <w:rFonts w:cs="Times New Roman"/>
          <w:i/>
          <w:lang w:val="fr-CA"/>
        </w:rPr>
        <w:t>b</w:t>
      </w:r>
      <w:r w:rsidRPr="004177DF">
        <w:rPr>
          <w:rFonts w:cs="Times New Roman"/>
          <w:lang w:val="fr-CA"/>
        </w:rPr>
        <w:t xml:space="preserve">) du </w:t>
      </w:r>
      <w:r w:rsidRPr="004177DF">
        <w:rPr>
          <w:rFonts w:cs="Times New Roman"/>
          <w:i/>
          <w:lang w:val="fr-CA"/>
        </w:rPr>
        <w:t>Code de la preuve</w:t>
      </w:r>
      <w:r w:rsidRPr="004177DF">
        <w:rPr>
          <w:rFonts w:cs="Times New Roman"/>
          <w:lang w:val="fr-CA"/>
        </w:rPr>
        <w:t xml:space="preserve"> dans le </w:t>
      </w:r>
      <w:r w:rsidRPr="004177DF">
        <w:rPr>
          <w:rFonts w:cs="Times New Roman"/>
          <w:i/>
          <w:lang w:val="fr-CA"/>
        </w:rPr>
        <w:t>Rapport sur la preuve</w:t>
      </w:r>
      <w:r w:rsidRPr="004177DF">
        <w:rPr>
          <w:rFonts w:cs="Times New Roman"/>
          <w:lang w:val="fr-CA"/>
        </w:rPr>
        <w:t xml:space="preserve"> (1975).  Les commissaires, dont Antonio Lamer, qui est par la suite devenu l’un des principaux architectes de la méthode d’analyse raisonnée applicable </w:t>
      </w:r>
      <w:proofErr w:type="gramStart"/>
      <w:r w:rsidRPr="004177DF">
        <w:rPr>
          <w:rFonts w:cs="Times New Roman"/>
          <w:lang w:val="fr-CA"/>
        </w:rPr>
        <w:t xml:space="preserve">au </w:t>
      </w:r>
      <w:proofErr w:type="spellStart"/>
      <w:r w:rsidRPr="004177DF">
        <w:rPr>
          <w:rFonts w:cs="Times New Roman"/>
          <w:lang w:val="fr-CA"/>
        </w:rPr>
        <w:t>ouï</w:t>
      </w:r>
      <w:r w:rsidRPr="004177DF">
        <w:rPr>
          <w:rFonts w:cs="Times New Roman"/>
          <w:lang w:val="fr-CA"/>
        </w:rPr>
        <w:noBreakHyphen/>
        <w:t>dire</w:t>
      </w:r>
      <w:proofErr w:type="spellEnd"/>
      <w:proofErr w:type="gramEnd"/>
      <w:r w:rsidRPr="004177DF">
        <w:rPr>
          <w:rFonts w:cs="Times New Roman"/>
          <w:lang w:val="fr-CA"/>
        </w:rPr>
        <w:t xml:space="preserve">, ont conclu en ces termes : </w:t>
      </w:r>
    </w:p>
    <w:p w:rsidR="009D7689" w:rsidRPr="004177DF" w:rsidRDefault="009D7689" w:rsidP="009D7689">
      <w:pPr>
        <w:pStyle w:val="Citation-AltC"/>
        <w:ind w:hanging="1166"/>
        <w:rPr>
          <w:lang w:val="fr-CA"/>
        </w:rPr>
      </w:pPr>
      <w:r w:rsidRPr="004177DF">
        <w:rPr>
          <w:lang w:val="fr-CA"/>
        </w:rPr>
        <w:lastRenderedPageBreak/>
        <w:tab/>
      </w:r>
      <w:r w:rsidR="00E41058">
        <w:rPr>
          <w:lang w:val="fr-CA"/>
        </w:rPr>
        <w:t>. . . c</w:t>
      </w:r>
      <w:r w:rsidRPr="004177DF">
        <w:rPr>
          <w:lang w:val="fr-CA"/>
        </w:rPr>
        <w:t xml:space="preserve">omme le précise la définition, le comportement d’un individu ou les paroles prononcées par lui ne constituent pas </w:t>
      </w:r>
      <w:proofErr w:type="gramStart"/>
      <w:r w:rsidRPr="004177DF">
        <w:rPr>
          <w:lang w:val="fr-CA"/>
        </w:rPr>
        <w:t xml:space="preserve">du </w:t>
      </w:r>
      <w:proofErr w:type="spellStart"/>
      <w:r w:rsidRPr="004177DF">
        <w:rPr>
          <w:lang w:val="fr-CA"/>
        </w:rPr>
        <w:t>ouï</w:t>
      </w:r>
      <w:r w:rsidRPr="004177DF">
        <w:rPr>
          <w:lang w:val="fr-CA"/>
        </w:rPr>
        <w:noBreakHyphen/>
        <w:t>dire</w:t>
      </w:r>
      <w:proofErr w:type="spellEnd"/>
      <w:proofErr w:type="gramEnd"/>
      <w:r w:rsidRPr="004177DF">
        <w:rPr>
          <w:lang w:val="fr-CA"/>
        </w:rPr>
        <w:t xml:space="preserve"> s’il n’avait pas l’intention de leur conférer valeur d’affirmation.  Il n’en demeure pas moins qu’en évaluant la fiabilité de ce genre de preuve, on peut avoir à tenir compte des risques inhérents à la preuve de </w:t>
      </w:r>
      <w:proofErr w:type="spellStart"/>
      <w:r w:rsidRPr="004177DF">
        <w:rPr>
          <w:lang w:val="fr-CA"/>
        </w:rPr>
        <w:t>ouï</w:t>
      </w:r>
      <w:r w:rsidRPr="004177DF">
        <w:rPr>
          <w:lang w:val="fr-CA"/>
        </w:rPr>
        <w:noBreakHyphen/>
        <w:t>dire</w:t>
      </w:r>
      <w:proofErr w:type="spellEnd"/>
      <w:r w:rsidRPr="004177DF">
        <w:rPr>
          <w:lang w:val="fr-CA"/>
        </w:rPr>
        <w:t xml:space="preserve">.  [. . .] </w:t>
      </w:r>
      <w:r w:rsidRPr="004177DF">
        <w:rPr>
          <w:u w:val="single"/>
          <w:lang w:val="fr-CA"/>
        </w:rPr>
        <w:t xml:space="preserve">[À] l’encontre d’une assertion faite consciemment, une activité n’ayant pas valeur d’affirmation cherche rarement à induire en erreur; or c’est ce qui constitue le principal danger associé au </w:t>
      </w:r>
      <w:proofErr w:type="spellStart"/>
      <w:r w:rsidRPr="004177DF">
        <w:rPr>
          <w:u w:val="single"/>
          <w:lang w:val="fr-CA"/>
        </w:rPr>
        <w:t>ouï</w:t>
      </w:r>
      <w:r w:rsidRPr="004177DF">
        <w:rPr>
          <w:u w:val="single"/>
          <w:lang w:val="fr-CA"/>
        </w:rPr>
        <w:noBreakHyphen/>
        <w:t>dire</w:t>
      </w:r>
      <w:proofErr w:type="spellEnd"/>
      <w:r w:rsidRPr="004177DF">
        <w:rPr>
          <w:u w:val="single"/>
          <w:lang w:val="fr-CA"/>
        </w:rPr>
        <w:t>.</w:t>
      </w:r>
      <w:r w:rsidRPr="004177DF">
        <w:rPr>
          <w:lang w:val="fr-CA"/>
        </w:rPr>
        <w:t xml:space="preserve">  En excluant le comportement qui ne tient pas lieu d’affirmation, la définition contenue au présent Code adopte l’optique la meilleure. [Je souligne; p. 78.]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Cependant, ce raisonnement présente une lacune importante.  C’est qu’il faut distinguer lorsqu’il s’agit </w:t>
      </w:r>
      <w:proofErr w:type="gramStart"/>
      <w:r w:rsidRPr="004177DF">
        <w:rPr>
          <w:rFonts w:cs="Times New Roman"/>
          <w:lang w:val="fr-CA"/>
        </w:rPr>
        <w:t xml:space="preserve">de </w:t>
      </w:r>
      <w:proofErr w:type="spellStart"/>
      <w:r w:rsidRPr="004177DF">
        <w:rPr>
          <w:rFonts w:cs="Times New Roman"/>
          <w:lang w:val="fr-CA"/>
        </w:rPr>
        <w:t>ouï</w:t>
      </w:r>
      <w:r w:rsidRPr="004177DF">
        <w:rPr>
          <w:rFonts w:cs="Times New Roman"/>
          <w:lang w:val="fr-CA"/>
        </w:rPr>
        <w:noBreakHyphen/>
        <w:t>dire</w:t>
      </w:r>
      <w:proofErr w:type="spellEnd"/>
      <w:proofErr w:type="gramEnd"/>
      <w:r w:rsidRPr="004177DF">
        <w:rPr>
          <w:rFonts w:cs="Times New Roman"/>
          <w:lang w:val="fr-CA"/>
        </w:rPr>
        <w:t xml:space="preserve">, comme en l’espèce, entre le </w:t>
      </w:r>
      <w:r w:rsidRPr="004177DF">
        <w:rPr>
          <w:rFonts w:cs="Times New Roman"/>
          <w:i/>
          <w:lang w:val="fr-CA"/>
        </w:rPr>
        <w:t>fait</w:t>
      </w:r>
      <w:r w:rsidRPr="004177DF">
        <w:rPr>
          <w:rFonts w:cs="Times New Roman"/>
          <w:lang w:val="fr-CA"/>
        </w:rPr>
        <w:t xml:space="preserve"> qu’un élément est vrai et la </w:t>
      </w:r>
      <w:r w:rsidRPr="004177DF">
        <w:rPr>
          <w:rFonts w:cs="Times New Roman"/>
          <w:i/>
          <w:lang w:val="fr-CA"/>
        </w:rPr>
        <w:t>croyance</w:t>
      </w:r>
      <w:r w:rsidRPr="004177DF">
        <w:rPr>
          <w:rFonts w:cs="Times New Roman"/>
          <w:lang w:val="fr-CA"/>
        </w:rPr>
        <w:t xml:space="preserve"> du déclarant quant à la véracité de cet élément.  Pour reprendre les propos du professeur McCormick :</w:t>
      </w:r>
    </w:p>
    <w:p w:rsidR="009D7689" w:rsidRPr="004177DF" w:rsidRDefault="009D7689" w:rsidP="009D7689">
      <w:pPr>
        <w:pStyle w:val="Citation-AltC"/>
        <w:spacing w:after="240"/>
        <w:ind w:left="1168" w:hanging="1168"/>
        <w:contextualSpacing w:val="0"/>
        <w:rPr>
          <w:lang w:val="en-US"/>
        </w:rPr>
      </w:pPr>
      <w:r w:rsidRPr="004177DF">
        <w:rPr>
          <w:lang w:val="fr-CA"/>
        </w:rPr>
        <w:tab/>
        <w:t>[</w:t>
      </w:r>
      <w:r w:rsidRPr="004177DF">
        <w:rPr>
          <w:smallCaps/>
          <w:lang w:val="fr-CA"/>
        </w:rPr>
        <w:t>traduction</w:t>
      </w:r>
      <w:r w:rsidRPr="004177DF">
        <w:rPr>
          <w:lang w:val="fr-CA"/>
        </w:rPr>
        <w:t xml:space="preserve">]  C’est seulement lorsque la déclaration est présentée pour appuyer les inférences selon lesquelles le déclarant y </w:t>
      </w:r>
      <w:r w:rsidRPr="004177DF">
        <w:rPr>
          <w:i/>
          <w:lang w:val="fr-CA"/>
        </w:rPr>
        <w:t>ajoute foi</w:t>
      </w:r>
      <w:r w:rsidRPr="004177DF">
        <w:rPr>
          <w:lang w:val="fr-CA"/>
        </w:rPr>
        <w:t xml:space="preserve">, premièrement, et que les faits confirment cette croyance, deuxièmement, que la déclaration constituera </w:t>
      </w:r>
      <w:proofErr w:type="gramStart"/>
      <w:r w:rsidRPr="004177DF">
        <w:rPr>
          <w:lang w:val="fr-CA"/>
        </w:rPr>
        <w:t xml:space="preserve">du </w:t>
      </w:r>
      <w:proofErr w:type="spellStart"/>
      <w:r w:rsidRPr="004177DF">
        <w:rPr>
          <w:lang w:val="fr-CA"/>
        </w:rPr>
        <w:t>ouï</w:t>
      </w:r>
      <w:r w:rsidRPr="004177DF">
        <w:rPr>
          <w:lang w:val="fr-CA"/>
        </w:rPr>
        <w:noBreakHyphen/>
        <w:t>dire</w:t>
      </w:r>
      <w:proofErr w:type="spellEnd"/>
      <w:proofErr w:type="gramEnd"/>
      <w:r w:rsidRPr="004177DF">
        <w:rPr>
          <w:lang w:val="fr-CA"/>
        </w:rPr>
        <w:t xml:space="preserve">. </w:t>
      </w:r>
      <w:proofErr w:type="gramStart"/>
      <w:r w:rsidRPr="004177DF">
        <w:rPr>
          <w:lang w:val="en-US"/>
        </w:rPr>
        <w:t xml:space="preserve">[En </w:t>
      </w:r>
      <w:proofErr w:type="spellStart"/>
      <w:r w:rsidRPr="004177DF">
        <w:rPr>
          <w:lang w:val="en-US"/>
        </w:rPr>
        <w:t>italique</w:t>
      </w:r>
      <w:proofErr w:type="spellEnd"/>
      <w:r w:rsidRPr="004177DF">
        <w:rPr>
          <w:lang w:val="en-US"/>
        </w:rPr>
        <w:t xml:space="preserve"> </w:t>
      </w:r>
      <w:proofErr w:type="spellStart"/>
      <w:r w:rsidRPr="004177DF">
        <w:rPr>
          <w:lang w:val="en-US"/>
        </w:rPr>
        <w:t>dans</w:t>
      </w:r>
      <w:proofErr w:type="spellEnd"/>
      <w:r w:rsidRPr="004177DF">
        <w:rPr>
          <w:lang w:val="en-US"/>
        </w:rPr>
        <w:t xml:space="preserve"> </w:t>
      </w:r>
      <w:proofErr w:type="spellStart"/>
      <w:r w:rsidRPr="004177DF">
        <w:rPr>
          <w:lang w:val="en-US"/>
        </w:rPr>
        <w:t>l’original</w:t>
      </w:r>
      <w:proofErr w:type="spellEnd"/>
      <w:r w:rsidRPr="004177DF">
        <w:rPr>
          <w:lang w:val="en-US"/>
        </w:rPr>
        <w:t>.]</w:t>
      </w:r>
      <w:proofErr w:type="gramEnd"/>
    </w:p>
    <w:p w:rsidR="009D7689" w:rsidRPr="004177DF" w:rsidRDefault="009D7689" w:rsidP="00E7653B">
      <w:pPr>
        <w:pStyle w:val="Citation-AltC"/>
        <w:ind w:left="0" w:hanging="32"/>
        <w:rPr>
          <w:lang w:val="en-US"/>
        </w:rPr>
      </w:pPr>
      <w:r w:rsidRPr="004177DF">
        <w:rPr>
          <w:lang w:val="en-US"/>
        </w:rPr>
        <w:t>(C. T. McCormick, « The Borderland of Hearsay » (1930)</w:t>
      </w:r>
      <w:r w:rsidR="00E7653B">
        <w:rPr>
          <w:lang w:val="en-US"/>
        </w:rPr>
        <w:t>,</w:t>
      </w:r>
      <w:r w:rsidRPr="004177DF">
        <w:rPr>
          <w:lang w:val="en-US"/>
        </w:rPr>
        <w:t xml:space="preserve"> 39 </w:t>
      </w:r>
      <w:r w:rsidRPr="004177DF">
        <w:rPr>
          <w:i/>
          <w:lang w:val="en-US"/>
        </w:rPr>
        <w:t>Yale L.J.</w:t>
      </w:r>
      <w:r w:rsidRPr="004177DF">
        <w:rPr>
          <w:lang w:val="en-US"/>
        </w:rPr>
        <w:t xml:space="preserve"> 489, p. 490)</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Ainsi, nos préoccupations relatives à la fiabilité d’une déclaration relatée sont de deux ordres.  Premièrement, il se peut que la déclarante ne </w:t>
      </w:r>
      <w:r w:rsidRPr="004177DF">
        <w:rPr>
          <w:rFonts w:cs="Times New Roman"/>
          <w:i/>
          <w:lang w:val="fr-CA"/>
        </w:rPr>
        <w:t>croie</w:t>
      </w:r>
      <w:r w:rsidRPr="004177DF">
        <w:rPr>
          <w:rFonts w:cs="Times New Roman"/>
          <w:lang w:val="fr-CA"/>
        </w:rPr>
        <w:t xml:space="preserve"> pas ce qu’elle affirme et donc qu’elle mente sciemment (le danger relatif à la sincérité).  Deuxièmement, même si elle croit ce qu’elle affirme, il se peut qu’elle </w:t>
      </w:r>
      <w:r w:rsidRPr="004177DF">
        <w:rPr>
          <w:rFonts w:cs="Times New Roman"/>
          <w:i/>
          <w:lang w:val="fr-CA"/>
        </w:rPr>
        <w:t>se trompe sur les faits</w:t>
      </w:r>
      <w:r w:rsidRPr="004177DF">
        <w:rPr>
          <w:rFonts w:cs="Times New Roman"/>
          <w:lang w:val="fr-CA"/>
        </w:rPr>
        <w:t xml:space="preserve"> qu’elle relate (les dangers relatifs à la perception, à la mémoire et à la relation du fait).  Comme le font remarquer certains auteurs, c’est cette deuxième préoccupation qui a parfois été négligée.  </w:t>
      </w:r>
      <w:r w:rsidR="00E7653B" w:rsidRPr="00E7653B">
        <w:rPr>
          <w:rFonts w:cs="Times New Roman"/>
          <w:lang w:val="fr-CA"/>
        </w:rPr>
        <w:t xml:space="preserve">Voir, p. ex., </w:t>
      </w:r>
      <w:r w:rsidRPr="00E7653B">
        <w:rPr>
          <w:rFonts w:cs="Times New Roman"/>
          <w:lang w:val="fr-CA"/>
        </w:rPr>
        <w:t xml:space="preserve">S. </w:t>
      </w:r>
      <w:proofErr w:type="spellStart"/>
      <w:r w:rsidRPr="00E7653B">
        <w:rPr>
          <w:rFonts w:cs="Times New Roman"/>
          <w:lang w:val="fr-CA"/>
        </w:rPr>
        <w:t>Schiff</w:t>
      </w:r>
      <w:proofErr w:type="spellEnd"/>
      <w:r w:rsidRPr="00E7653B">
        <w:rPr>
          <w:rFonts w:cs="Times New Roman"/>
          <w:lang w:val="fr-CA"/>
        </w:rPr>
        <w:t xml:space="preserve">, «  </w:t>
      </w:r>
      <w:proofErr w:type="spellStart"/>
      <w:r w:rsidRPr="00E7653B">
        <w:rPr>
          <w:rFonts w:cs="Times New Roman"/>
          <w:lang w:val="fr-CA"/>
        </w:rPr>
        <w:t>Evidence</w:t>
      </w:r>
      <w:proofErr w:type="spellEnd"/>
      <w:r w:rsidR="0041316B">
        <w:rPr>
          <w:rFonts w:cs="Times New Roman"/>
          <w:lang w:val="fr-CA"/>
        </w:rPr>
        <w:t xml:space="preserve"> </w:t>
      </w:r>
      <w:r w:rsidRPr="00E7653B">
        <w:rPr>
          <w:rFonts w:cs="Times New Roman"/>
          <w:lang w:val="fr-CA"/>
        </w:rPr>
        <w:t>—</w:t>
      </w:r>
      <w:r w:rsidR="0041316B">
        <w:rPr>
          <w:rFonts w:cs="Times New Roman"/>
          <w:lang w:val="fr-CA"/>
        </w:rPr>
        <w:t xml:space="preserve"> </w:t>
      </w:r>
      <w:proofErr w:type="spellStart"/>
      <w:r w:rsidRPr="00E7653B">
        <w:rPr>
          <w:rFonts w:cs="Times New Roman"/>
          <w:lang w:val="fr-CA"/>
        </w:rPr>
        <w:t>Hearsay</w:t>
      </w:r>
      <w:proofErr w:type="spellEnd"/>
      <w:r w:rsidRPr="00E7653B">
        <w:rPr>
          <w:rFonts w:cs="Times New Roman"/>
          <w:lang w:val="fr-CA"/>
        </w:rPr>
        <w:t xml:space="preserve"> and the </w:t>
      </w:r>
      <w:proofErr w:type="spellStart"/>
      <w:r w:rsidRPr="00E7653B">
        <w:rPr>
          <w:rFonts w:cs="Times New Roman"/>
          <w:lang w:val="fr-CA"/>
        </w:rPr>
        <w:t>Hearsay</w:t>
      </w:r>
      <w:proofErr w:type="spellEnd"/>
      <w:r w:rsidRPr="00E7653B">
        <w:rPr>
          <w:rFonts w:cs="Times New Roman"/>
          <w:lang w:val="fr-CA"/>
        </w:rPr>
        <w:t xml:space="preserve"> </w:t>
      </w:r>
      <w:proofErr w:type="spellStart"/>
      <w:r w:rsidRPr="00E7653B">
        <w:rPr>
          <w:rFonts w:cs="Times New Roman"/>
          <w:lang w:val="fr-CA"/>
        </w:rPr>
        <w:t>Rule</w:t>
      </w:r>
      <w:proofErr w:type="spellEnd"/>
      <w:r w:rsidR="00E7653B" w:rsidRPr="00E7653B">
        <w:rPr>
          <w:rFonts w:cs="Times New Roman"/>
          <w:lang w:val="fr-CA"/>
        </w:rPr>
        <w:t xml:space="preserve"> </w:t>
      </w:r>
      <w:r w:rsidR="00E7653B">
        <w:rPr>
          <w:rFonts w:cs="Times New Roman"/>
          <w:lang w:val="fr-CA"/>
        </w:rPr>
        <w:t xml:space="preserve">: </w:t>
      </w:r>
      <w:r w:rsidRPr="00E7653B">
        <w:rPr>
          <w:rFonts w:cs="Times New Roman"/>
          <w:lang w:val="fr-CA"/>
        </w:rPr>
        <w:t xml:space="preserve">A </w:t>
      </w:r>
      <w:proofErr w:type="spellStart"/>
      <w:r w:rsidRPr="00E7653B">
        <w:rPr>
          <w:rFonts w:cs="Times New Roman"/>
          <w:lang w:val="fr-CA"/>
        </w:rPr>
        <w:t>Functional</w:t>
      </w:r>
      <w:proofErr w:type="spellEnd"/>
      <w:r w:rsidRPr="00E7653B">
        <w:rPr>
          <w:rFonts w:cs="Times New Roman"/>
          <w:lang w:val="fr-CA"/>
        </w:rPr>
        <w:t xml:space="preserve"> </w:t>
      </w:r>
      <w:proofErr w:type="spellStart"/>
      <w:r w:rsidRPr="00E7653B">
        <w:rPr>
          <w:rFonts w:cs="Times New Roman"/>
          <w:lang w:val="fr-CA"/>
        </w:rPr>
        <w:t>View</w:t>
      </w:r>
      <w:proofErr w:type="spellEnd"/>
      <w:r w:rsidRPr="00E7653B">
        <w:rPr>
          <w:rFonts w:cs="Times New Roman"/>
          <w:lang w:val="fr-CA"/>
        </w:rPr>
        <w:t xml:space="preserve"> » (1978), 56 </w:t>
      </w:r>
      <w:r w:rsidR="00E7653B" w:rsidRPr="00E7653B">
        <w:rPr>
          <w:rFonts w:cs="Times New Roman"/>
          <w:i/>
          <w:lang w:val="fr-CA"/>
        </w:rPr>
        <w:t>R.</w:t>
      </w:r>
      <w:r w:rsidR="00E7653B">
        <w:rPr>
          <w:rFonts w:cs="Times New Roman"/>
          <w:i/>
          <w:lang w:val="fr-CA"/>
        </w:rPr>
        <w:t xml:space="preserve"> du B. </w:t>
      </w:r>
      <w:proofErr w:type="spellStart"/>
      <w:r w:rsidR="00E7653B">
        <w:rPr>
          <w:rFonts w:cs="Times New Roman"/>
          <w:i/>
          <w:lang w:val="fr-CA"/>
        </w:rPr>
        <w:t>can</w:t>
      </w:r>
      <w:proofErr w:type="spellEnd"/>
      <w:r w:rsidR="00E7653B">
        <w:rPr>
          <w:rFonts w:cs="Times New Roman"/>
          <w:i/>
          <w:lang w:val="fr-CA"/>
        </w:rPr>
        <w:t>.</w:t>
      </w:r>
      <w:r w:rsidRPr="004177DF">
        <w:rPr>
          <w:rFonts w:cs="Times New Roman"/>
          <w:lang w:val="fr-CA"/>
        </w:rPr>
        <w:t xml:space="preserve"> 674, p. 683, </w:t>
      </w:r>
      <w:r w:rsidR="00E7653B">
        <w:rPr>
          <w:rFonts w:cs="Times New Roman"/>
          <w:lang w:val="fr-CA"/>
        </w:rPr>
        <w:t xml:space="preserve">note </w:t>
      </w:r>
      <w:r w:rsidRPr="004177DF">
        <w:rPr>
          <w:rFonts w:cs="Times New Roman"/>
          <w:lang w:val="fr-CA"/>
        </w:rPr>
        <w:t xml:space="preserve">33 (où l’auteur critique la définition élaborée dans le </w:t>
      </w:r>
      <w:r w:rsidRPr="004177DF">
        <w:rPr>
          <w:rFonts w:cs="Times New Roman"/>
          <w:i/>
          <w:lang w:val="fr-CA"/>
        </w:rPr>
        <w:t>Code de la preuve</w:t>
      </w:r>
      <w:r w:rsidRPr="004177DF">
        <w:rPr>
          <w:rFonts w:cs="Times New Roman"/>
          <w:lang w:val="fr-CA"/>
        </w:rPr>
        <w:t xml:space="preserve"> </w:t>
      </w:r>
      <w:r w:rsidRPr="004177DF">
        <w:rPr>
          <w:rFonts w:cs="Times New Roman"/>
          <w:lang w:val="fr-CA"/>
        </w:rPr>
        <w:lastRenderedPageBreak/>
        <w:t>parce qu’elle [</w:t>
      </w:r>
      <w:r w:rsidRPr="004177DF">
        <w:rPr>
          <w:rFonts w:cs="Times New Roman"/>
          <w:smallCaps/>
          <w:lang w:val="fr-CA"/>
        </w:rPr>
        <w:t>traduction</w:t>
      </w:r>
      <w:r w:rsidRPr="004177DF">
        <w:rPr>
          <w:rFonts w:cs="Times New Roman"/>
          <w:lang w:val="fr-CA"/>
        </w:rPr>
        <w:t xml:space="preserve">] « fait fi de toutes les raisons justifiant l’application de la règle du </w:t>
      </w:r>
      <w:proofErr w:type="spellStart"/>
      <w:r w:rsidRPr="004177DF">
        <w:rPr>
          <w:rFonts w:cs="Times New Roman"/>
          <w:lang w:val="fr-CA"/>
        </w:rPr>
        <w:t>ouï</w:t>
      </w:r>
      <w:r w:rsidRPr="004177DF">
        <w:rPr>
          <w:rFonts w:cs="Times New Roman"/>
          <w:lang w:val="fr-CA"/>
        </w:rPr>
        <w:noBreakHyphen/>
        <w:t>dire</w:t>
      </w:r>
      <w:proofErr w:type="spellEnd"/>
      <w:r w:rsidRPr="004177DF">
        <w:rPr>
          <w:rFonts w:cs="Times New Roman"/>
          <w:lang w:val="fr-CA"/>
        </w:rPr>
        <w:t xml:space="preserve"> sauf le danger d’insincérité du déclarant »).  </w:t>
      </w:r>
    </w:p>
    <w:p w:rsidR="009D7689" w:rsidRPr="004177DF" w:rsidRDefault="009D7689" w:rsidP="009D7689">
      <w:pPr>
        <w:pStyle w:val="ParaNoNdepar-AltN"/>
        <w:rPr>
          <w:rFonts w:cs="Times New Roman"/>
          <w:lang w:val="fr-CA"/>
        </w:rPr>
      </w:pPr>
      <w:r w:rsidRPr="004177DF">
        <w:rPr>
          <w:rFonts w:cs="Times New Roman"/>
          <w:lang w:val="fr-CA"/>
        </w:rPr>
        <w:t xml:space="preserve">Il me semble que cette deuxième préoccupation a mené à la décision dans l’arrêt </w:t>
      </w:r>
      <w:r w:rsidRPr="004177DF">
        <w:rPr>
          <w:rFonts w:cs="Times New Roman"/>
          <w:i/>
          <w:lang w:val="fr-CA"/>
        </w:rPr>
        <w:t>R. c. Wilson</w:t>
      </w:r>
      <w:r w:rsidRPr="004177DF">
        <w:rPr>
          <w:rFonts w:cs="Times New Roman"/>
          <w:lang w:val="fr-CA"/>
        </w:rPr>
        <w:t xml:space="preserve"> (1996), 29 O.R. (3d) 97 (C.A.).  Dans cette affaire, le ministère public cherchait à faire admettre une preuve révélant que, pendant que les policiers se trouvaient au domicile de l’accusé, [</w:t>
      </w:r>
      <w:r w:rsidRPr="004177DF">
        <w:rPr>
          <w:rFonts w:cs="Times New Roman"/>
          <w:smallCaps/>
          <w:lang w:val="fr-CA"/>
        </w:rPr>
        <w:t>traduction</w:t>
      </w:r>
      <w:r w:rsidRPr="004177DF">
        <w:rPr>
          <w:rFonts w:cs="Times New Roman"/>
          <w:lang w:val="fr-CA"/>
        </w:rPr>
        <w:t xml:space="preserve">] « un homme s’est présenté à la porte pour voir “Rob” et acheter de la drogue » (p. 104).  L’accusé s’appelait Robert Wilson.  Le juge du procès a admis la preuve, suivant l’arrêt </w:t>
      </w:r>
      <w:r w:rsidRPr="004177DF">
        <w:rPr>
          <w:rFonts w:cs="Times New Roman"/>
          <w:i/>
          <w:lang w:val="fr-CA"/>
        </w:rPr>
        <w:t>Edwards</w:t>
      </w:r>
      <w:r w:rsidRPr="004177DF">
        <w:rPr>
          <w:rFonts w:cs="Times New Roman"/>
          <w:lang w:val="fr-CA"/>
        </w:rPr>
        <w:t xml:space="preserve">, mais la Cour d’appel a infirmé sa décision.  De l’avis du juge </w:t>
      </w:r>
      <w:proofErr w:type="spellStart"/>
      <w:r w:rsidRPr="004177DF">
        <w:rPr>
          <w:rFonts w:cs="Times New Roman"/>
          <w:lang w:val="fr-CA"/>
        </w:rPr>
        <w:t>McMurtry</w:t>
      </w:r>
      <w:proofErr w:type="spellEnd"/>
      <w:r w:rsidRPr="004177DF">
        <w:rPr>
          <w:rFonts w:cs="Times New Roman"/>
          <w:lang w:val="fr-CA"/>
        </w:rPr>
        <w:t>, juge en chef de l’Ontario, il était [</w:t>
      </w:r>
      <w:r w:rsidRPr="004177DF">
        <w:rPr>
          <w:rFonts w:cs="Times New Roman"/>
          <w:smallCaps/>
          <w:lang w:val="fr-CA"/>
        </w:rPr>
        <w:t>traduction</w:t>
      </w:r>
      <w:r w:rsidRPr="004177DF">
        <w:rPr>
          <w:rFonts w:cs="Times New Roman"/>
          <w:lang w:val="fr-CA"/>
        </w:rPr>
        <w:t xml:space="preserve">] « hasardeux » et « imprudent » de conclure d’une seule visite que l’accusé vendait de la drogue (p. 104-105). </w:t>
      </w:r>
    </w:p>
    <w:p w:rsidR="009D7689" w:rsidRPr="004177DF" w:rsidRDefault="009D7689" w:rsidP="009D7689">
      <w:pPr>
        <w:pStyle w:val="ParaNoNdepar-AltN"/>
        <w:rPr>
          <w:rFonts w:cs="Times New Roman"/>
        </w:rPr>
      </w:pPr>
      <w:r w:rsidRPr="004177DF">
        <w:rPr>
          <w:rFonts w:cs="Times New Roman"/>
          <w:lang w:val="fr-CA"/>
        </w:rPr>
        <w:t xml:space="preserve">Fait intéressant cependant, le juge </w:t>
      </w:r>
      <w:proofErr w:type="spellStart"/>
      <w:r w:rsidRPr="004177DF">
        <w:rPr>
          <w:rFonts w:cs="Times New Roman"/>
          <w:lang w:val="fr-CA"/>
        </w:rPr>
        <w:t>McMurtry</w:t>
      </w:r>
      <w:proofErr w:type="spellEnd"/>
      <w:r w:rsidRPr="004177DF">
        <w:rPr>
          <w:rFonts w:cs="Times New Roman"/>
          <w:lang w:val="fr-CA"/>
        </w:rPr>
        <w:t xml:space="preserve"> n’était nullement déconcerté par le résultat dans l’affaire </w:t>
      </w:r>
      <w:r w:rsidRPr="004177DF">
        <w:rPr>
          <w:rFonts w:cs="Times New Roman"/>
          <w:i/>
          <w:lang w:val="fr-CA"/>
        </w:rPr>
        <w:t>Edwards</w:t>
      </w:r>
      <w:r w:rsidRPr="004177DF">
        <w:rPr>
          <w:rFonts w:cs="Times New Roman"/>
          <w:lang w:val="fr-CA"/>
        </w:rPr>
        <w:t>.  À son avis, dans ce cas, la preuve de [</w:t>
      </w:r>
      <w:r w:rsidRPr="004177DF">
        <w:rPr>
          <w:rFonts w:cs="Times New Roman"/>
          <w:smallCaps/>
          <w:lang w:val="fr-CA"/>
        </w:rPr>
        <w:t>traduction</w:t>
      </w:r>
      <w:r w:rsidRPr="004177DF">
        <w:rPr>
          <w:rFonts w:cs="Times New Roman"/>
          <w:lang w:val="fr-CA"/>
        </w:rPr>
        <w:t>] « di</w:t>
      </w:r>
      <w:r w:rsidR="00F20592">
        <w:rPr>
          <w:rFonts w:cs="Times New Roman"/>
          <w:lang w:val="fr-CA"/>
        </w:rPr>
        <w:t>x appels distincts » entraînai</w:t>
      </w:r>
      <w:r w:rsidRPr="004177DF">
        <w:rPr>
          <w:rFonts w:cs="Times New Roman"/>
          <w:lang w:val="fr-CA"/>
        </w:rPr>
        <w:t xml:space="preserve">t « irrésistiblement une inférence » quant à la nature des activités de l’accusé (p. 104).  Certes, s’il est possible qu’une personne croie à tort que le destinataire de son appel (ou de sa visite) est un trafiquant de drogue, on peut difficilement conclure que </w:t>
      </w:r>
      <w:r w:rsidRPr="004177DF">
        <w:rPr>
          <w:rFonts w:cs="Times New Roman"/>
          <w:i/>
          <w:lang w:val="fr-CA"/>
        </w:rPr>
        <w:t>dix</w:t>
      </w:r>
      <w:r w:rsidRPr="004177DF">
        <w:rPr>
          <w:rFonts w:cs="Times New Roman"/>
          <w:lang w:val="fr-CA"/>
        </w:rPr>
        <w:t xml:space="preserve"> personnes pourraient </w:t>
      </w:r>
      <w:r w:rsidRPr="004177DF">
        <w:rPr>
          <w:rFonts w:cs="Times New Roman"/>
          <w:i/>
          <w:lang w:val="fr-CA"/>
        </w:rPr>
        <w:t>toutes</w:t>
      </w:r>
      <w:r w:rsidRPr="004177DF">
        <w:rPr>
          <w:rFonts w:cs="Times New Roman"/>
          <w:lang w:val="fr-CA"/>
        </w:rPr>
        <w:t xml:space="preserve"> s’être trompées.  </w:t>
      </w:r>
      <w:proofErr w:type="spellStart"/>
      <w:r w:rsidRPr="004177DF">
        <w:rPr>
          <w:rFonts w:cs="Times New Roman"/>
        </w:rPr>
        <w:t>Voir</w:t>
      </w:r>
      <w:proofErr w:type="spellEnd"/>
      <w:r w:rsidRPr="004177DF">
        <w:rPr>
          <w:rFonts w:cs="Times New Roman"/>
        </w:rPr>
        <w:t xml:space="preserve"> D. M. </w:t>
      </w:r>
      <w:proofErr w:type="spellStart"/>
      <w:r w:rsidRPr="004177DF">
        <w:rPr>
          <w:rFonts w:cs="Times New Roman"/>
        </w:rPr>
        <w:t>Paciocco</w:t>
      </w:r>
      <w:proofErr w:type="spellEnd"/>
      <w:r w:rsidRPr="004177DF">
        <w:rPr>
          <w:rFonts w:cs="Times New Roman"/>
        </w:rPr>
        <w:t xml:space="preserve"> </w:t>
      </w:r>
      <w:proofErr w:type="gramStart"/>
      <w:r w:rsidRPr="004177DF">
        <w:rPr>
          <w:rFonts w:cs="Times New Roman"/>
        </w:rPr>
        <w:t>et</w:t>
      </w:r>
      <w:proofErr w:type="gramEnd"/>
      <w:r w:rsidRPr="004177DF">
        <w:rPr>
          <w:rFonts w:cs="Times New Roman"/>
        </w:rPr>
        <w:t xml:space="preserve"> L. </w:t>
      </w:r>
      <w:proofErr w:type="spellStart"/>
      <w:r w:rsidRPr="004177DF">
        <w:rPr>
          <w:rFonts w:cs="Times New Roman"/>
        </w:rPr>
        <w:t>Stuesser</w:t>
      </w:r>
      <w:proofErr w:type="spellEnd"/>
      <w:r w:rsidRPr="004177DF">
        <w:rPr>
          <w:rFonts w:cs="Times New Roman"/>
        </w:rPr>
        <w:t xml:space="preserve">, </w:t>
      </w:r>
      <w:r w:rsidRPr="004177DF">
        <w:rPr>
          <w:rFonts w:cs="Times New Roman"/>
          <w:i/>
        </w:rPr>
        <w:t>The Law of Evidence</w:t>
      </w:r>
      <w:r w:rsidRPr="004177DF">
        <w:rPr>
          <w:rFonts w:cs="Times New Roman"/>
        </w:rPr>
        <w:t xml:space="preserve"> (6</w:t>
      </w:r>
      <w:r w:rsidRPr="004177DF">
        <w:rPr>
          <w:rFonts w:cs="Times New Roman"/>
          <w:vertAlign w:val="superscript"/>
        </w:rPr>
        <w:t>e</w:t>
      </w:r>
      <w:r w:rsidRPr="004177DF">
        <w:rPr>
          <w:rFonts w:cs="Times New Roman"/>
        </w:rPr>
        <w:t xml:space="preserve"> </w:t>
      </w:r>
      <w:proofErr w:type="spellStart"/>
      <w:r w:rsidRPr="004177DF">
        <w:rPr>
          <w:rFonts w:cs="Times New Roman"/>
        </w:rPr>
        <w:t>éd</w:t>
      </w:r>
      <w:proofErr w:type="spellEnd"/>
      <w:r w:rsidRPr="004177DF">
        <w:rPr>
          <w:rFonts w:cs="Times New Roman"/>
        </w:rPr>
        <w:t>. 2011), p. 111</w:t>
      </w:r>
      <w:r w:rsidRPr="004177DF">
        <w:rPr>
          <w:rFonts w:cs="Times New Roman"/>
        </w:rPr>
        <w:noBreakHyphen/>
        <w:t>112; Dennis, p. 707-709.</w:t>
      </w:r>
    </w:p>
    <w:p w:rsidR="009D7689" w:rsidRPr="004177DF" w:rsidRDefault="009D7689" w:rsidP="009D7689">
      <w:pPr>
        <w:pStyle w:val="ParaNoNdepar-AltN"/>
        <w:rPr>
          <w:rFonts w:cs="Times New Roman"/>
          <w:lang w:val="fr-CA"/>
        </w:rPr>
      </w:pPr>
      <w:r w:rsidRPr="004177DF">
        <w:rPr>
          <w:rFonts w:cs="Times New Roman"/>
          <w:lang w:val="fr-CA"/>
        </w:rPr>
        <w:t xml:space="preserve">Autrement dit, ce qui distingue </w:t>
      </w:r>
      <w:r w:rsidRPr="004177DF">
        <w:rPr>
          <w:rFonts w:cs="Times New Roman"/>
          <w:i/>
          <w:lang w:val="fr-CA"/>
        </w:rPr>
        <w:t>Edwards</w:t>
      </w:r>
      <w:r w:rsidRPr="004177DF">
        <w:rPr>
          <w:rFonts w:cs="Times New Roman"/>
          <w:lang w:val="fr-CA"/>
        </w:rPr>
        <w:t xml:space="preserve"> de </w:t>
      </w:r>
      <w:r w:rsidRPr="004177DF">
        <w:rPr>
          <w:rFonts w:cs="Times New Roman"/>
          <w:i/>
          <w:lang w:val="fr-CA"/>
        </w:rPr>
        <w:t>Wilson</w:t>
      </w:r>
      <w:r w:rsidRPr="004177DF">
        <w:rPr>
          <w:rFonts w:cs="Times New Roman"/>
          <w:lang w:val="fr-CA"/>
        </w:rPr>
        <w:t xml:space="preserve"> est le fait que la preuve a été jugée </w:t>
      </w:r>
      <w:r w:rsidRPr="004177DF">
        <w:rPr>
          <w:rFonts w:cs="Times New Roman"/>
          <w:i/>
          <w:lang w:val="fr-CA"/>
        </w:rPr>
        <w:t xml:space="preserve">fiable </w:t>
      </w:r>
      <w:r w:rsidRPr="004177DF">
        <w:rPr>
          <w:rFonts w:cs="Times New Roman"/>
          <w:lang w:val="fr-CA"/>
        </w:rPr>
        <w:t xml:space="preserve">dans un cas et non dans l’autre.  Cette appréciation a dicté la </w:t>
      </w:r>
      <w:r w:rsidRPr="004177DF">
        <w:rPr>
          <w:rFonts w:cs="Times New Roman"/>
          <w:lang w:val="fr-CA"/>
        </w:rPr>
        <w:lastRenderedPageBreak/>
        <w:t>décision sur l’admissibilité, et, à mon avis, c’est à une telle appréciation que nous devons nous attacher.</w:t>
      </w:r>
    </w:p>
    <w:p w:rsidR="009D7689" w:rsidRPr="004177DF" w:rsidRDefault="009D7689" w:rsidP="009D7689">
      <w:pPr>
        <w:pStyle w:val="TitleTitre-AltT"/>
        <w:tabs>
          <w:tab w:val="clear" w:pos="360"/>
        </w:tabs>
        <w:ind w:left="0" w:firstLine="0"/>
        <w:rPr>
          <w:rFonts w:cs="Times New Roman"/>
          <w:lang w:val="fr-CA"/>
        </w:rPr>
      </w:pPr>
      <w:r w:rsidRPr="004177DF">
        <w:rPr>
          <w:rFonts w:cs="Times New Roman"/>
          <w:lang w:val="fr-CA"/>
        </w:rPr>
        <w:t>C.</w:t>
      </w:r>
      <w:r w:rsidRPr="004177DF">
        <w:rPr>
          <w:rFonts w:cs="Times New Roman"/>
          <w:lang w:val="fr-CA"/>
        </w:rPr>
        <w:tab/>
      </w:r>
      <w:r w:rsidRPr="004177DF">
        <w:rPr>
          <w:rFonts w:cs="Times New Roman"/>
          <w:i/>
          <w:lang w:val="fr-CA"/>
        </w:rPr>
        <w:t>Quel est le rôle du critère de nécessité</w:t>
      </w:r>
      <w:r w:rsidRPr="00F20592">
        <w:rPr>
          <w:rFonts w:cs="Times New Roman"/>
          <w:i/>
          <w:lang w:val="fr-CA"/>
        </w:rPr>
        <w:t>?</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J’en viens donc à la question de la nécessité.  Il vaut la peine de rappeler que « l’exclusion dont les déclarations relatées sont présumées faire l’objet tient </w:t>
      </w:r>
      <w:r w:rsidRPr="004177DF">
        <w:rPr>
          <w:rFonts w:cs="Times New Roman"/>
          <w:u w:val="single"/>
          <w:lang w:val="fr-CA"/>
        </w:rPr>
        <w:t>essentiellement</w:t>
      </w:r>
      <w:r w:rsidRPr="004177DF">
        <w:rPr>
          <w:rFonts w:cs="Times New Roman"/>
          <w:lang w:val="fr-CA"/>
        </w:rPr>
        <w:t xml:space="preserve"> à l’incapacité générale d’en vérifier la fiabilité » (</w:t>
      </w:r>
      <w:proofErr w:type="spellStart"/>
      <w:r w:rsidRPr="004177DF">
        <w:rPr>
          <w:rFonts w:cs="Times New Roman"/>
          <w:i/>
          <w:lang w:val="fr-CA"/>
        </w:rPr>
        <w:t>Khelawon</w:t>
      </w:r>
      <w:proofErr w:type="spellEnd"/>
      <w:r w:rsidRPr="004177DF">
        <w:rPr>
          <w:rFonts w:cs="Times New Roman"/>
          <w:lang w:val="fr-CA"/>
        </w:rPr>
        <w:t xml:space="preserve">, par. 2 (je souligne)).  Bien sûr, il ne faut pas entendre par là que le critère de nécessité ne constitue plus un élément préalable à l’admission de la preuve par </w:t>
      </w:r>
      <w:proofErr w:type="spellStart"/>
      <w:r w:rsidRPr="004177DF">
        <w:rPr>
          <w:rFonts w:cs="Times New Roman"/>
          <w:lang w:val="fr-CA"/>
        </w:rPr>
        <w:t>ouï</w:t>
      </w:r>
      <w:r w:rsidRPr="004177DF">
        <w:rPr>
          <w:rFonts w:cs="Times New Roman"/>
          <w:lang w:val="fr-CA"/>
        </w:rPr>
        <w:noBreakHyphen/>
        <w:t>dire</w:t>
      </w:r>
      <w:proofErr w:type="spellEnd"/>
      <w:r w:rsidRPr="004177DF">
        <w:rPr>
          <w:rFonts w:cs="Times New Roman"/>
          <w:lang w:val="fr-CA"/>
        </w:rPr>
        <w:t>, ce qui serait faux.  Du reste, la Cour a dit que « la nécessité et la fiabilité ne devraient pas être examinées séparément » parce qu’« [u]n critère peut influer sur l’autre » (par. 77).  En effet, elle a reconnu que « [p]</w:t>
      </w:r>
      <w:proofErr w:type="spellStart"/>
      <w:r w:rsidRPr="004177DF">
        <w:rPr>
          <w:rFonts w:cs="Times New Roman"/>
          <w:lang w:val="fr-CA"/>
        </w:rPr>
        <w:t>ar</w:t>
      </w:r>
      <w:proofErr w:type="spellEnd"/>
      <w:r w:rsidRPr="004177DF">
        <w:rPr>
          <w:rFonts w:cs="Times New Roman"/>
          <w:lang w:val="fr-CA"/>
        </w:rPr>
        <w:t xml:space="preserve"> souci de recherche de la vérité, </w:t>
      </w:r>
      <w:r w:rsidRPr="004177DF">
        <w:rPr>
          <w:rFonts w:cs="Times New Roman"/>
          <w:u w:val="single"/>
          <w:lang w:val="fr-CA"/>
        </w:rPr>
        <w:t>il [peut se révéler] nécessaire d’admettre quant au fond</w:t>
      </w:r>
      <w:r w:rsidRPr="004177DF">
        <w:rPr>
          <w:rFonts w:cs="Times New Roman"/>
          <w:lang w:val="fr-CA"/>
        </w:rPr>
        <w:t xml:space="preserve"> [une] déclaration en raison de sa très grande fiabilité » (par. 86 (je souligne), renvoyant aux arrêts </w:t>
      </w:r>
      <w:r w:rsidRPr="004177DF">
        <w:rPr>
          <w:rFonts w:cs="Times New Roman"/>
          <w:i/>
          <w:lang w:val="fr-CA"/>
        </w:rPr>
        <w:t>R. c.</w:t>
      </w:r>
      <w:r w:rsidRPr="004177DF">
        <w:rPr>
          <w:rFonts w:cs="Times New Roman"/>
          <w:lang w:val="fr-CA"/>
        </w:rPr>
        <w:t xml:space="preserve"> </w:t>
      </w:r>
      <w:r w:rsidRPr="004177DF">
        <w:rPr>
          <w:rFonts w:cs="Times New Roman"/>
          <w:i/>
          <w:lang w:val="fr-CA"/>
        </w:rPr>
        <w:t>B. (K.G.)</w:t>
      </w:r>
      <w:r w:rsidRPr="004177DF">
        <w:rPr>
          <w:rFonts w:cs="Times New Roman"/>
          <w:lang w:val="fr-CA"/>
        </w:rPr>
        <w:t xml:space="preserve">, [1993] 1 R.C.S. 740, et </w:t>
      </w:r>
      <w:r w:rsidRPr="004177DF">
        <w:rPr>
          <w:rFonts w:cs="Times New Roman"/>
          <w:i/>
          <w:lang w:val="fr-CA"/>
        </w:rPr>
        <w:t>R. c. U. (F.J.)</w:t>
      </w:r>
      <w:r w:rsidRPr="004177DF">
        <w:rPr>
          <w:rFonts w:cs="Times New Roman"/>
          <w:lang w:val="fr-CA"/>
        </w:rPr>
        <w:t xml:space="preserve">, [1995] 3 R.C.S. 764).  C’est le principe que je suis d’avis d’appliquer en l’espèce.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Cependant, mon collègue attribue au critère de nécessité un rôle élargi dans un cas comme en l’espèce.  Il cite les propos de la juge Charron dans </w:t>
      </w:r>
      <w:proofErr w:type="spellStart"/>
      <w:r w:rsidRPr="004177DF">
        <w:rPr>
          <w:rFonts w:cs="Times New Roman"/>
          <w:i/>
          <w:lang w:val="fr-CA"/>
        </w:rPr>
        <w:t>Khelawon</w:t>
      </w:r>
      <w:proofErr w:type="spellEnd"/>
      <w:r w:rsidRPr="004177DF">
        <w:rPr>
          <w:rFonts w:cs="Times New Roman"/>
          <w:lang w:val="fr-CA"/>
        </w:rPr>
        <w:t xml:space="preserve">, par. 104, selon qui : </w:t>
      </w:r>
      <w:proofErr w:type="gramStart"/>
      <w:r w:rsidRPr="004177DF">
        <w:rPr>
          <w:rFonts w:cs="Times New Roman"/>
          <w:lang w:val="fr-CA"/>
        </w:rPr>
        <w:t>« </w:t>
      </w:r>
      <w:r w:rsidR="00893066">
        <w:rPr>
          <w:rFonts w:cs="Times New Roman"/>
          <w:lang w:val="fr-CA"/>
        </w:rPr>
        <w:t>.</w:t>
      </w:r>
      <w:proofErr w:type="gramEnd"/>
      <w:r w:rsidR="00893066">
        <w:rPr>
          <w:rFonts w:cs="Times New Roman"/>
          <w:lang w:val="fr-CA"/>
        </w:rPr>
        <w:t> . . </w:t>
      </w:r>
      <w:r w:rsidRPr="004177DF">
        <w:rPr>
          <w:rFonts w:cs="Times New Roman"/>
          <w:u w:val="single"/>
          <w:lang w:val="fr-CA"/>
        </w:rPr>
        <w:t>dans une instance appropriée</w:t>
      </w:r>
      <w:r w:rsidRPr="004177DF">
        <w:rPr>
          <w:rFonts w:cs="Times New Roman"/>
          <w:lang w:val="fr-CA"/>
        </w:rPr>
        <w:t xml:space="preserve">, il se peut bien que, pour trancher la question de la nécessité, le tribunal se demande si la partie qui veut présenter la preuve a déployé </w:t>
      </w:r>
      <w:r w:rsidRPr="004177DF">
        <w:rPr>
          <w:rFonts w:cs="Times New Roman"/>
          <w:u w:val="single"/>
          <w:lang w:val="fr-CA"/>
        </w:rPr>
        <w:t>tous les efforts raisonnables</w:t>
      </w:r>
      <w:r w:rsidRPr="004177DF">
        <w:rPr>
          <w:rFonts w:cs="Times New Roman"/>
          <w:lang w:val="fr-CA"/>
        </w:rPr>
        <w:t xml:space="preserve"> pour préserver la preuve du déclarant de manière à préserver également les droits de l’autre partie » (je souligne).  De ce passage, mon collègue tire la conclusion suivante, au par. 68 :</w:t>
      </w:r>
    </w:p>
    <w:p w:rsidR="009D7689" w:rsidRPr="004177DF" w:rsidRDefault="009D7689" w:rsidP="009D7689">
      <w:pPr>
        <w:pStyle w:val="Citation-AltC"/>
        <w:ind w:hanging="1166"/>
        <w:rPr>
          <w:lang w:val="fr-CA"/>
        </w:rPr>
      </w:pPr>
      <w:r w:rsidRPr="004177DF">
        <w:rPr>
          <w:lang w:val="fr-CA"/>
        </w:rPr>
        <w:lastRenderedPageBreak/>
        <w:tab/>
      </w:r>
      <w:r w:rsidRPr="004177DF">
        <w:rPr>
          <w:u w:val="single"/>
          <w:lang w:val="fr-CA"/>
        </w:rPr>
        <w:t xml:space="preserve">Nous sommes en présence en l’espèce du genre d’« instance appropriée » dont il est question dans l’affaire </w:t>
      </w:r>
      <w:proofErr w:type="spellStart"/>
      <w:r w:rsidRPr="004177DF">
        <w:rPr>
          <w:i/>
          <w:u w:val="single"/>
          <w:lang w:val="fr-CA"/>
        </w:rPr>
        <w:t>Khelawon</w:t>
      </w:r>
      <w:proofErr w:type="spellEnd"/>
      <w:r w:rsidRPr="004177DF">
        <w:rPr>
          <w:u w:val="single"/>
          <w:lang w:val="fr-CA"/>
        </w:rPr>
        <w:t>.</w:t>
      </w:r>
      <w:r w:rsidRPr="004177DF">
        <w:rPr>
          <w:lang w:val="fr-CA"/>
        </w:rPr>
        <w:t xml:space="preserve">  Et, le fin mot dans cette histoire, c’est que la police </w:t>
      </w:r>
      <w:r w:rsidRPr="004177DF">
        <w:rPr>
          <w:i/>
          <w:lang w:val="fr-CA"/>
        </w:rPr>
        <w:t>n’a fait aucun effort</w:t>
      </w:r>
      <w:r w:rsidRPr="004177DF">
        <w:rPr>
          <w:lang w:val="fr-CA"/>
        </w:rPr>
        <w:t xml:space="preserve"> pour obtenir le témoignage du déclarant, n’a pas cherché à l’interroger ni même à le trouver, </w:t>
      </w:r>
      <w:r w:rsidRPr="00893066">
        <w:rPr>
          <w:lang w:val="fr-CA"/>
        </w:rPr>
        <w:t xml:space="preserve">même </w:t>
      </w:r>
      <w:r w:rsidRPr="004177DF">
        <w:rPr>
          <w:i/>
          <w:lang w:val="fr-CA"/>
        </w:rPr>
        <w:t xml:space="preserve">si </w:t>
      </w:r>
      <w:proofErr w:type="spellStart"/>
      <w:r w:rsidRPr="004177DF">
        <w:rPr>
          <w:i/>
          <w:lang w:val="fr-CA"/>
        </w:rPr>
        <w:t>celui</w:t>
      </w:r>
      <w:r w:rsidRPr="004177DF">
        <w:rPr>
          <w:i/>
          <w:lang w:val="fr-CA"/>
        </w:rPr>
        <w:noBreakHyphen/>
        <w:t>ci</w:t>
      </w:r>
      <w:proofErr w:type="spellEnd"/>
      <w:r w:rsidRPr="004177DF">
        <w:rPr>
          <w:i/>
          <w:lang w:val="fr-CA"/>
        </w:rPr>
        <w:t xml:space="preserve"> avait indiqué son adresse</w:t>
      </w:r>
      <w:r w:rsidRPr="004177DF">
        <w:rPr>
          <w:lang w:val="fr-CA"/>
        </w:rPr>
        <w:t>.  [En italique dans l’original; je souligne.]</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En toute déférence, je ne suis pas du tout convaincu que nous sommes en </w:t>
      </w:r>
      <w:r w:rsidR="00687354">
        <w:rPr>
          <w:rFonts w:cs="Times New Roman"/>
          <w:lang w:val="fr-CA"/>
        </w:rPr>
        <w:t>présence du genre d’</w:t>
      </w:r>
      <w:r w:rsidRPr="004177DF">
        <w:rPr>
          <w:rFonts w:cs="Times New Roman"/>
          <w:lang w:val="fr-CA"/>
        </w:rPr>
        <w:t xml:space="preserve">« instance appropriée » que la juge Charron avait à l’esprit quand elle a rédigé ce passage dans </w:t>
      </w:r>
      <w:proofErr w:type="spellStart"/>
      <w:r w:rsidRPr="004177DF">
        <w:rPr>
          <w:rFonts w:cs="Times New Roman"/>
          <w:i/>
          <w:lang w:val="fr-CA"/>
        </w:rPr>
        <w:t>Khelawon</w:t>
      </w:r>
      <w:proofErr w:type="spellEnd"/>
      <w:r w:rsidRPr="004177DF">
        <w:rPr>
          <w:rFonts w:cs="Times New Roman"/>
          <w:lang w:val="fr-CA"/>
        </w:rPr>
        <w:t>.</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Dans l’affaire </w:t>
      </w:r>
      <w:proofErr w:type="spellStart"/>
      <w:r w:rsidRPr="004177DF">
        <w:rPr>
          <w:rFonts w:cs="Times New Roman"/>
          <w:i/>
          <w:lang w:val="fr-CA"/>
        </w:rPr>
        <w:t>Khelawon</w:t>
      </w:r>
      <w:proofErr w:type="spellEnd"/>
      <w:r w:rsidRPr="004177DF">
        <w:rPr>
          <w:rFonts w:cs="Times New Roman"/>
          <w:lang w:val="fr-CA"/>
        </w:rPr>
        <w:t>, le déclarant était un vieillard frêle de 81 ans qui vivait dans une résidence pour personnes âgées depuis un accident vasculaire cérébral.  Il est décédé avant la tenue du procès et ne pouvait donc être cité à témoigner.  Toutefois, le ministère public a demandé que soit admise, en application de la méthode d’analyse raisonnée, une déclaration vidéo faite sans prêter serment par le déclarant à la police au cours de l’enquête.  C’est dans ce contexte que la juge Charron a fait la remarque suivante, au par. 104 :</w:t>
      </w:r>
    </w:p>
    <w:p w:rsidR="009D7689" w:rsidRPr="004177DF" w:rsidRDefault="009D7689" w:rsidP="009D7689">
      <w:pPr>
        <w:pStyle w:val="Citation-AltC"/>
        <w:ind w:hanging="1166"/>
        <w:rPr>
          <w:lang w:val="fr-CA"/>
        </w:rPr>
      </w:pPr>
      <w:r w:rsidRPr="004177DF">
        <w:rPr>
          <w:lang w:val="fr-CA"/>
        </w:rPr>
        <w:tab/>
      </w:r>
      <w:r w:rsidRPr="004177DF">
        <w:rPr>
          <w:u w:val="single"/>
          <w:lang w:val="fr-CA"/>
        </w:rPr>
        <w:t>Même si M. </w:t>
      </w:r>
      <w:proofErr w:type="spellStart"/>
      <w:r w:rsidRPr="004177DF">
        <w:rPr>
          <w:u w:val="single"/>
          <w:lang w:val="fr-CA"/>
        </w:rPr>
        <w:t>Skupien</w:t>
      </w:r>
      <w:proofErr w:type="spellEnd"/>
      <w:r w:rsidRPr="004177DF">
        <w:rPr>
          <w:u w:val="single"/>
          <w:lang w:val="fr-CA"/>
        </w:rPr>
        <w:t xml:space="preserve"> était âgé et frêle au moment de ses allégations, rien ne prouve que le ministère public </w:t>
      </w:r>
      <w:proofErr w:type="gramStart"/>
      <w:r w:rsidRPr="004177DF">
        <w:rPr>
          <w:u w:val="single"/>
          <w:lang w:val="fr-CA"/>
        </w:rPr>
        <w:t>a</w:t>
      </w:r>
      <w:proofErr w:type="gramEnd"/>
      <w:r w:rsidRPr="004177DF">
        <w:rPr>
          <w:u w:val="single"/>
          <w:lang w:val="fr-CA"/>
        </w:rPr>
        <w:t xml:space="preserve"> tenté de préserver son témoignage en application des art. 709 à 714 du </w:t>
      </w:r>
      <w:r w:rsidRPr="004177DF">
        <w:rPr>
          <w:i/>
          <w:iCs/>
          <w:u w:val="single"/>
          <w:lang w:val="fr-CA"/>
        </w:rPr>
        <w:t>Code criminel</w:t>
      </w:r>
      <w:r w:rsidRPr="004177DF">
        <w:rPr>
          <w:u w:val="single"/>
          <w:lang w:val="fr-CA"/>
        </w:rPr>
        <w:t>.</w:t>
      </w:r>
      <w:r w:rsidRPr="004177DF">
        <w:rPr>
          <w:lang w:val="fr-CA"/>
        </w:rPr>
        <w:t xml:space="preserve">  M. </w:t>
      </w:r>
      <w:proofErr w:type="spellStart"/>
      <w:r w:rsidRPr="004177DF">
        <w:rPr>
          <w:lang w:val="fr-CA"/>
        </w:rPr>
        <w:t>Skupien</w:t>
      </w:r>
      <w:proofErr w:type="spellEnd"/>
      <w:r w:rsidRPr="004177DF">
        <w:rPr>
          <w:lang w:val="fr-CA"/>
        </w:rPr>
        <w:t xml:space="preserve"> n’a pas témoigné à l’enquête préliminaire.  Le dossier n’indique pas s’il était décédé à cette époque.  En faisant ces commentaires, je ne remets pas en question la nécessité pour le ministère public de recourir au témoignage sous forme relatée de M. </w:t>
      </w:r>
      <w:proofErr w:type="spellStart"/>
      <w:r w:rsidRPr="004177DF">
        <w:rPr>
          <w:lang w:val="fr-CA"/>
        </w:rPr>
        <w:t>Skupien</w:t>
      </w:r>
      <w:proofErr w:type="spellEnd"/>
      <w:r w:rsidRPr="004177DF">
        <w:rPr>
          <w:lang w:val="fr-CA"/>
        </w:rPr>
        <w:t xml:space="preserve">.  Je reconnais que c’était nécessaire.  </w:t>
      </w:r>
      <w:r w:rsidRPr="004177DF">
        <w:rPr>
          <w:u w:val="single"/>
          <w:lang w:val="fr-CA"/>
        </w:rPr>
        <w:t>Toutefois, dans une instance appropriée, il se peut bien que, pour trancher la question de la nécessité, le tribunal se demande si la partie qui veut présenter la preuve a déployé tous les efforts raisonnables pour préserver la preuve du déclarant de manière à préserver également les droits de l’autre partie.</w:t>
      </w:r>
      <w:r w:rsidRPr="004177DF">
        <w:rPr>
          <w:lang w:val="fr-CA"/>
        </w:rPr>
        <w:t xml:space="preserve">  Cette question ne se pose pas en l’espèce.  [Je souligne.]</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Il me semble que la juge Charron voulait préciser que, même si les policiers auraient raisonnablement dû s’attendre à ce que le déclarant ne puisse </w:t>
      </w:r>
      <w:r w:rsidRPr="004177DF">
        <w:rPr>
          <w:rFonts w:cs="Times New Roman"/>
          <w:lang w:val="fr-CA"/>
        </w:rPr>
        <w:lastRenderedPageBreak/>
        <w:t>assister au procès — « M. </w:t>
      </w:r>
      <w:proofErr w:type="spellStart"/>
      <w:r w:rsidRPr="004177DF">
        <w:rPr>
          <w:rFonts w:cs="Times New Roman"/>
          <w:lang w:val="fr-CA"/>
        </w:rPr>
        <w:t>Skupien</w:t>
      </w:r>
      <w:proofErr w:type="spellEnd"/>
      <w:r w:rsidRPr="004177DF">
        <w:rPr>
          <w:rFonts w:cs="Times New Roman"/>
          <w:lang w:val="fr-CA"/>
        </w:rPr>
        <w:t xml:space="preserve"> était âgé et frêle » —, ils n’ont pris aucune mesure pour obtenir de lui une déclaration améliorée sur le plan de la forme, et ce</w:t>
      </w:r>
      <w:r w:rsidR="00FD1D72">
        <w:rPr>
          <w:rFonts w:cs="Times New Roman"/>
          <w:lang w:val="fr-CA"/>
        </w:rPr>
        <w:t>,</w:t>
      </w:r>
      <w:r w:rsidRPr="004177DF">
        <w:rPr>
          <w:rFonts w:cs="Times New Roman"/>
          <w:lang w:val="fr-CA"/>
        </w:rPr>
        <w:t xml:space="preserve"> sachant qu’il serait probablement disposé à collaborer.  Comme le fait remarquer la juge Charron, </w:t>
      </w:r>
      <w:proofErr w:type="gramStart"/>
      <w:r w:rsidRPr="004177DF">
        <w:rPr>
          <w:rFonts w:cs="Times New Roman"/>
          <w:lang w:val="fr-CA"/>
        </w:rPr>
        <w:t>les art</w:t>
      </w:r>
      <w:proofErr w:type="gramEnd"/>
      <w:r w:rsidRPr="004177DF">
        <w:rPr>
          <w:rFonts w:cs="Times New Roman"/>
          <w:lang w:val="fr-CA"/>
        </w:rPr>
        <w:t xml:space="preserve">. 709 </w:t>
      </w:r>
      <w:r>
        <w:rPr>
          <w:rFonts w:cs="Times New Roman"/>
          <w:lang w:val="fr-CA"/>
        </w:rPr>
        <w:t xml:space="preserve">à </w:t>
      </w:r>
      <w:r w:rsidRPr="004177DF">
        <w:rPr>
          <w:rFonts w:cs="Times New Roman"/>
          <w:lang w:val="fr-CA"/>
        </w:rPr>
        <w:t xml:space="preserve">714 du </w:t>
      </w:r>
      <w:r w:rsidRPr="004177DF">
        <w:rPr>
          <w:rFonts w:cs="Times New Roman"/>
          <w:i/>
          <w:lang w:val="fr-CA"/>
        </w:rPr>
        <w:t>Code criminel</w:t>
      </w:r>
      <w:r w:rsidRPr="004177DF">
        <w:rPr>
          <w:rFonts w:cs="Times New Roman"/>
          <w:lang w:val="fr-CA"/>
        </w:rPr>
        <w:t xml:space="preserve"> « </w:t>
      </w:r>
      <w:r w:rsidRPr="004177DF">
        <w:rPr>
          <w:rFonts w:cs="Times New Roman"/>
          <w:u w:val="single"/>
          <w:lang w:val="fr-CA"/>
        </w:rPr>
        <w:t>envisagent expressément cette éventualité</w:t>
      </w:r>
      <w:r w:rsidRPr="004177DF">
        <w:rPr>
          <w:rFonts w:cs="Times New Roman"/>
          <w:lang w:val="fr-CA"/>
        </w:rPr>
        <w:t xml:space="preserve"> et établissent une procédure de prise de déposition par un commissaire en présence de l’accusé ou de son avocat, ce qui permet de préserver à la fois la preuve et les droits de l’accusé »</w:t>
      </w:r>
      <w:r w:rsidR="00893066">
        <w:rPr>
          <w:rFonts w:cs="Times New Roman"/>
          <w:lang w:val="fr-CA"/>
        </w:rPr>
        <w:t xml:space="preserve"> (</w:t>
      </w:r>
      <w:r w:rsidR="00FD1D72">
        <w:rPr>
          <w:rFonts w:cs="Times New Roman"/>
          <w:lang w:val="fr-CA"/>
        </w:rPr>
        <w:t>par. 7 (je souligne)</w:t>
      </w:r>
      <w:r w:rsidR="00893066">
        <w:rPr>
          <w:rFonts w:cs="Times New Roman"/>
          <w:lang w:val="fr-CA"/>
        </w:rPr>
        <w:t>)</w:t>
      </w:r>
      <w:r w:rsidRPr="004177DF">
        <w:rPr>
          <w:rFonts w:cs="Times New Roman"/>
          <w:lang w:val="fr-CA"/>
        </w:rPr>
        <w:t xml:space="preserve">.  </w:t>
      </w:r>
    </w:p>
    <w:p w:rsidR="009D7689" w:rsidRPr="004177DF" w:rsidRDefault="009D7689" w:rsidP="009D7689">
      <w:pPr>
        <w:pStyle w:val="ParaNoNdepar-AltN"/>
        <w:rPr>
          <w:rFonts w:cs="Times New Roman"/>
          <w:lang w:val="fr-CA"/>
        </w:rPr>
      </w:pPr>
      <w:r w:rsidRPr="004177DF">
        <w:rPr>
          <w:rFonts w:cs="Times New Roman"/>
          <w:lang w:val="fr-CA"/>
        </w:rPr>
        <w:t xml:space="preserve">Ainsi, les faits de l’affaire </w:t>
      </w:r>
      <w:proofErr w:type="spellStart"/>
      <w:r w:rsidRPr="004177DF">
        <w:rPr>
          <w:rFonts w:cs="Times New Roman"/>
          <w:i/>
          <w:lang w:val="fr-CA"/>
        </w:rPr>
        <w:t>Khelawon</w:t>
      </w:r>
      <w:proofErr w:type="spellEnd"/>
      <w:r w:rsidRPr="004177DF">
        <w:rPr>
          <w:rFonts w:cs="Times New Roman"/>
          <w:lang w:val="fr-CA"/>
        </w:rPr>
        <w:t xml:space="preserve"> sont très différents de ceux de la présente espèce.  C’est pourquoi il ne faut pas accepter d’emblée qu’une demande adressée à la police et jugée parfaitement raisonnable dans un cas le sera nécessairement dans un autre.  </w:t>
      </w:r>
    </w:p>
    <w:p w:rsidR="009D7689" w:rsidRPr="004177DF" w:rsidRDefault="009D7689" w:rsidP="009D7689">
      <w:pPr>
        <w:pStyle w:val="ParaNoNdepar-AltN"/>
        <w:rPr>
          <w:rFonts w:cs="Times New Roman"/>
          <w:lang w:val="fr-CA"/>
        </w:rPr>
      </w:pPr>
      <w:r w:rsidRPr="004177DF">
        <w:rPr>
          <w:rFonts w:cs="Times New Roman"/>
          <w:lang w:val="fr-CA"/>
        </w:rPr>
        <w:t xml:space="preserve">À mon humble avis, c’est là que l’analogie avec l’affaire </w:t>
      </w:r>
      <w:proofErr w:type="spellStart"/>
      <w:r w:rsidRPr="004177DF">
        <w:rPr>
          <w:rFonts w:cs="Times New Roman"/>
          <w:i/>
          <w:lang w:val="fr-CA"/>
        </w:rPr>
        <w:t>Khelawon</w:t>
      </w:r>
      <w:proofErr w:type="spellEnd"/>
      <w:r w:rsidRPr="004177DF">
        <w:rPr>
          <w:rFonts w:cs="Times New Roman"/>
          <w:i/>
          <w:lang w:val="fr-CA"/>
        </w:rPr>
        <w:t xml:space="preserve"> </w:t>
      </w:r>
      <w:r w:rsidRPr="004177DF">
        <w:rPr>
          <w:rFonts w:cs="Times New Roman"/>
          <w:lang w:val="fr-CA"/>
        </w:rPr>
        <w:t>s’arrête.  La police y traitait avec un déclarant connu qui était tout à fait disposé à collaborer.  En l’espèce, le déclarant n’était pas connu et, même si la police avait pu le repérer — ce dont je doute grandement — rien n’indique qu’il aurait été disposé à collaborer.  En fait, le contraire est plus probable.</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À la lumière de ce qui précède, il vaut la peine de rappeler — et c’est ce que la juge Charron a affirmé </w:t>
      </w:r>
      <w:proofErr w:type="spellStart"/>
      <w:r w:rsidRPr="004177DF">
        <w:rPr>
          <w:rFonts w:cs="Times New Roman"/>
          <w:lang w:val="fr-CA"/>
        </w:rPr>
        <w:t>elle</w:t>
      </w:r>
      <w:r w:rsidRPr="004177DF">
        <w:rPr>
          <w:rFonts w:cs="Times New Roman"/>
          <w:lang w:val="fr-CA"/>
        </w:rPr>
        <w:noBreakHyphen/>
        <w:t>même</w:t>
      </w:r>
      <w:proofErr w:type="spellEnd"/>
      <w:r w:rsidRPr="004177DF">
        <w:rPr>
          <w:rFonts w:cs="Times New Roman"/>
          <w:lang w:val="fr-CA"/>
        </w:rPr>
        <w:t xml:space="preserve"> peu de temps après la publication de l’arrêt </w:t>
      </w:r>
      <w:proofErr w:type="spellStart"/>
      <w:r w:rsidRPr="004177DF">
        <w:rPr>
          <w:rFonts w:cs="Times New Roman"/>
          <w:i/>
          <w:lang w:val="fr-CA"/>
        </w:rPr>
        <w:t>Khelawon</w:t>
      </w:r>
      <w:proofErr w:type="spellEnd"/>
      <w:r w:rsidRPr="004177DF">
        <w:rPr>
          <w:rFonts w:cs="Times New Roman"/>
          <w:lang w:val="fr-CA"/>
        </w:rPr>
        <w:t xml:space="preserve"> — que le critère de nécessité vise à déterminer non pas si la déclaration relatée constitue la meilleure forme de preuve (car le témoignage de vive voix l’est toujours), mais s’il s’agit de « la meilleure forme </w:t>
      </w:r>
      <w:r w:rsidRPr="004177DF">
        <w:rPr>
          <w:rFonts w:cs="Times New Roman"/>
          <w:u w:val="single"/>
          <w:lang w:val="fr-CA"/>
        </w:rPr>
        <w:t>possible</w:t>
      </w:r>
      <w:r w:rsidRPr="004177DF">
        <w:rPr>
          <w:rFonts w:cs="Times New Roman"/>
          <w:lang w:val="fr-CA"/>
        </w:rPr>
        <w:t> » dans les circonstances (</w:t>
      </w:r>
      <w:r w:rsidRPr="004177DF">
        <w:rPr>
          <w:rFonts w:cs="Times New Roman"/>
          <w:i/>
          <w:lang w:val="fr-CA"/>
        </w:rPr>
        <w:t>R. c. Couture</w:t>
      </w:r>
      <w:r w:rsidRPr="004177DF">
        <w:rPr>
          <w:rFonts w:cs="Times New Roman"/>
          <w:lang w:val="fr-CA"/>
        </w:rPr>
        <w:t xml:space="preserve">, 2007 CSC 28, [2007] 2 R.C.S. 517, par. 79 (je souligne)). </w:t>
      </w:r>
    </w:p>
    <w:p w:rsidR="009D7689" w:rsidRPr="004177DF" w:rsidRDefault="009D7689" w:rsidP="009D7689">
      <w:pPr>
        <w:pStyle w:val="ParaNoNdepar-AltN"/>
        <w:rPr>
          <w:rFonts w:cs="Times New Roman"/>
          <w:lang w:val="fr-CA"/>
        </w:rPr>
      </w:pPr>
      <w:r w:rsidRPr="004177DF">
        <w:rPr>
          <w:rFonts w:cs="Times New Roman"/>
          <w:lang w:val="fr-CA"/>
        </w:rPr>
        <w:lastRenderedPageBreak/>
        <w:t xml:space="preserve">La question qui se pose alors est la suivante : </w:t>
      </w:r>
      <w:proofErr w:type="spellStart"/>
      <w:r w:rsidRPr="004177DF">
        <w:rPr>
          <w:rFonts w:cs="Times New Roman"/>
          <w:lang w:val="fr-CA"/>
        </w:rPr>
        <w:t>faut</w:t>
      </w:r>
      <w:r w:rsidRPr="004177DF">
        <w:rPr>
          <w:rFonts w:cs="Times New Roman"/>
          <w:lang w:val="fr-CA"/>
        </w:rPr>
        <w:noBreakHyphen/>
        <w:t>il</w:t>
      </w:r>
      <w:proofErr w:type="spellEnd"/>
      <w:r w:rsidRPr="004177DF">
        <w:rPr>
          <w:rFonts w:cs="Times New Roman"/>
          <w:lang w:val="fr-CA"/>
        </w:rPr>
        <w:t xml:space="preserve"> exiger de la police, au nom de la nécessité, qu’elle déniche un déclarant inconnu — et souvent impossible à identifier — qui sera probablement impossible à trouver et — à supposer qu’il soit trouvé — ne sera probablement pas disposé à collaborer?</w:t>
      </w:r>
    </w:p>
    <w:p w:rsidR="009D7689" w:rsidRPr="004177DF" w:rsidRDefault="009D7689" w:rsidP="009D7689">
      <w:pPr>
        <w:pStyle w:val="ParaNoNdepar-AltN"/>
        <w:rPr>
          <w:rFonts w:cs="Times New Roman"/>
          <w:lang w:val="fr-CA"/>
        </w:rPr>
      </w:pPr>
      <w:r w:rsidRPr="004177DF">
        <w:rPr>
          <w:rFonts w:cs="Times New Roman"/>
          <w:lang w:val="fr-CA"/>
        </w:rPr>
        <w:t xml:space="preserve">La réponse à cette question se trouve à mon avis dans les motifs de la juge </w:t>
      </w:r>
      <w:proofErr w:type="spellStart"/>
      <w:r w:rsidRPr="004177DF">
        <w:rPr>
          <w:rFonts w:cs="Times New Roman"/>
          <w:lang w:val="fr-CA"/>
        </w:rPr>
        <w:t>McKinlay</w:t>
      </w:r>
      <w:proofErr w:type="spellEnd"/>
      <w:r w:rsidRPr="004177DF">
        <w:rPr>
          <w:rFonts w:cs="Times New Roman"/>
          <w:lang w:val="fr-CA"/>
        </w:rPr>
        <w:t xml:space="preserve"> de la Cour d’appel dans l’arrêt </w:t>
      </w:r>
      <w:r w:rsidRPr="004177DF">
        <w:rPr>
          <w:rFonts w:cs="Times New Roman"/>
          <w:i/>
          <w:lang w:val="fr-CA"/>
        </w:rPr>
        <w:t>Edwards</w:t>
      </w:r>
      <w:r w:rsidRPr="004177DF">
        <w:rPr>
          <w:rFonts w:cs="Times New Roman"/>
          <w:lang w:val="fr-CA"/>
        </w:rPr>
        <w:t xml:space="preserve"> : </w:t>
      </w:r>
    </w:p>
    <w:p w:rsidR="009D7689" w:rsidRPr="004177DF" w:rsidRDefault="009D7689" w:rsidP="009D7689">
      <w:pPr>
        <w:pStyle w:val="Citation-AltC"/>
        <w:ind w:left="1168" w:hanging="1168"/>
        <w:contextualSpacing w:val="0"/>
        <w:rPr>
          <w:lang w:val="fr-CA"/>
        </w:rPr>
      </w:pPr>
      <w:r w:rsidRPr="004177DF">
        <w:rPr>
          <w:lang w:val="fr-CA"/>
        </w:rPr>
        <w:tab/>
        <w:t>[</w:t>
      </w:r>
      <w:r w:rsidRPr="004177DF">
        <w:rPr>
          <w:smallCaps/>
          <w:lang w:val="fr-CA"/>
        </w:rPr>
        <w:t>traduction</w:t>
      </w:r>
      <w:r w:rsidRPr="004177DF">
        <w:rPr>
          <w:lang w:val="fr-CA"/>
        </w:rPr>
        <w:t xml:space="preserve">]  [La police] ne connaissait pas l’identité des auteurs des appels et, de toute façon, si elle l’avait connue, il est peu probable qu’ils eussent témoigné.  [p. 249] </w:t>
      </w:r>
    </w:p>
    <w:p w:rsidR="009D7689" w:rsidRPr="004177DF" w:rsidRDefault="009D7689" w:rsidP="009D7689">
      <w:pPr>
        <w:pStyle w:val="ContinueParaSuitedupar-AltP"/>
        <w:rPr>
          <w:rFonts w:cs="Times New Roman"/>
          <w:lang w:val="fr-CA"/>
        </w:rPr>
      </w:pPr>
      <w:r w:rsidRPr="004177DF">
        <w:rPr>
          <w:rFonts w:cs="Times New Roman"/>
          <w:lang w:val="fr-CA"/>
        </w:rPr>
        <w:t xml:space="preserve">À mon humble avis, la logique de la juge </w:t>
      </w:r>
      <w:proofErr w:type="spellStart"/>
      <w:r w:rsidRPr="004177DF">
        <w:rPr>
          <w:rFonts w:cs="Times New Roman"/>
          <w:lang w:val="fr-CA"/>
        </w:rPr>
        <w:t>McKinlay</w:t>
      </w:r>
      <w:proofErr w:type="spellEnd"/>
      <w:r w:rsidRPr="004177DF">
        <w:rPr>
          <w:rFonts w:cs="Times New Roman"/>
          <w:lang w:val="fr-CA"/>
        </w:rPr>
        <w:t xml:space="preserve"> tient, même au vu des faits de l’espèce.</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Certes, il est vrai qu’en l’espèce la police disposait de l’adresse de l’auteur de l’appel, mais elle ne connaissait pas son identité.  La police n’allait tout de même pas se présenter au 327, rue Guy</w:t>
      </w:r>
      <w:r w:rsidR="0063227F">
        <w:rPr>
          <w:rFonts w:cs="Times New Roman"/>
          <w:lang w:val="fr-CA"/>
        </w:rPr>
        <w:t>,</w:t>
      </w:r>
      <w:r w:rsidRPr="004177DF">
        <w:rPr>
          <w:rFonts w:cs="Times New Roman"/>
          <w:lang w:val="fr-CA"/>
        </w:rPr>
        <w:t xml:space="preserve"> pour demander laquelle des personnes qui s’y trouvaient </w:t>
      </w:r>
      <w:proofErr w:type="gramStart"/>
      <w:r w:rsidRPr="004177DF">
        <w:rPr>
          <w:rFonts w:cs="Times New Roman"/>
          <w:lang w:val="fr-CA"/>
        </w:rPr>
        <w:t>voulait</w:t>
      </w:r>
      <w:proofErr w:type="gramEnd"/>
      <w:r w:rsidRPr="004177DF">
        <w:rPr>
          <w:rFonts w:cs="Times New Roman"/>
          <w:lang w:val="fr-CA"/>
        </w:rPr>
        <w:t xml:space="preserve"> acheter de la drogue de Chris </w:t>
      </w:r>
      <w:proofErr w:type="spellStart"/>
      <w:r w:rsidRPr="004177DF">
        <w:rPr>
          <w:rFonts w:cs="Times New Roman"/>
          <w:lang w:val="fr-CA"/>
        </w:rPr>
        <w:t>Baldree</w:t>
      </w:r>
      <w:proofErr w:type="spellEnd"/>
      <w:r w:rsidRPr="004177DF">
        <w:rPr>
          <w:rFonts w:cs="Times New Roman"/>
          <w:lang w:val="fr-CA"/>
        </w:rPr>
        <w:t>.  Mis à part les préoccupations liées à la sécurité des agents, notons que les chances que la police trouve le déclarant semblent limitées</w:t>
      </w:r>
      <w:r w:rsidR="0063227F">
        <w:rPr>
          <w:rFonts w:cs="Times New Roman"/>
          <w:lang w:val="fr-CA"/>
        </w:rPr>
        <w:t>,</w:t>
      </w:r>
      <w:r w:rsidRPr="004177DF">
        <w:rPr>
          <w:rFonts w:cs="Times New Roman"/>
          <w:lang w:val="fr-CA"/>
        </w:rPr>
        <w:t xml:space="preserve"> et les chances que ce dernier soit disposé à collaborer, le cas échéant, le sont davantage encore.  L’organisation d’une opération secrète d’achat de drogue poserait d’autres problèmes, étant donné le nombre d’agents nécessaires pour la mener et les risques évidents pour la sécurité de ces derniers inhérents à ce genre d’opérations.</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lastRenderedPageBreak/>
        <w:t>Dans un cas comme dans l’autre, le jeu n’en vaudrait guère la chandelle.  Et cela, selon moi, suffit pour répondre pleinement à la préoccupation concernant l’absence d’explication fournie par la police quant à sa décision de ne prendre aucune mesure pour trouver le déclarant.  En toute déférence, j’estime qu’aucune explication n’était nécessaire si ce n’est celle que dicte le bon sens.  S’il y a peu de chances de trouver le déclarant et, le cas échéant, peu de chances qu’il soit disposé à fournir à la police une preuve d’une qualité supérieure à l’appel téléphonique en soi (</w:t>
      </w:r>
      <w:r w:rsidR="006877B7">
        <w:rPr>
          <w:rFonts w:cs="Times New Roman"/>
          <w:lang w:val="fr-CA"/>
        </w:rPr>
        <w:t>p. ex.</w:t>
      </w:r>
      <w:r w:rsidRPr="004177DF">
        <w:rPr>
          <w:rFonts w:cs="Times New Roman"/>
          <w:lang w:val="fr-CA"/>
        </w:rPr>
        <w:t xml:space="preserve"> une déclaration de type </w:t>
      </w:r>
      <w:r w:rsidRPr="004177DF">
        <w:rPr>
          <w:rFonts w:cs="Times New Roman"/>
          <w:i/>
          <w:lang w:val="fr-CA"/>
        </w:rPr>
        <w:t>B.</w:t>
      </w:r>
      <w:r w:rsidR="0063227F">
        <w:rPr>
          <w:rFonts w:cs="Times New Roman"/>
          <w:i/>
          <w:lang w:val="fr-CA"/>
        </w:rPr>
        <w:t xml:space="preserve"> </w:t>
      </w:r>
      <w:r w:rsidRPr="004177DF">
        <w:rPr>
          <w:rFonts w:cs="Times New Roman"/>
          <w:i/>
          <w:lang w:val="fr-CA"/>
        </w:rPr>
        <w:t>(K.G</w:t>
      </w:r>
      <w:r w:rsidRPr="004177DF">
        <w:rPr>
          <w:rFonts w:cs="Times New Roman"/>
          <w:lang w:val="fr-CA"/>
        </w:rPr>
        <w:t>.</w:t>
      </w:r>
      <w:r w:rsidRPr="0063227F">
        <w:rPr>
          <w:rFonts w:cs="Times New Roman"/>
          <w:i/>
          <w:lang w:val="fr-CA"/>
        </w:rPr>
        <w:t>)</w:t>
      </w:r>
      <w:r w:rsidRPr="004177DF">
        <w:rPr>
          <w:rFonts w:cs="Times New Roman"/>
          <w:lang w:val="fr-CA"/>
        </w:rPr>
        <w:t xml:space="preserve"> ou un témoignage de vive voix), il aura été satisfait au critère de nécessité.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La suggestion de mon collègue selon laquelle, </w:t>
      </w:r>
      <w:r w:rsidRPr="004177DF">
        <w:rPr>
          <w:rFonts w:cs="Times New Roman"/>
          <w:i/>
          <w:lang w:val="fr-CA"/>
        </w:rPr>
        <w:t>même dans les cas présentant de multiples appels</w:t>
      </w:r>
      <w:r w:rsidRPr="004177DF">
        <w:rPr>
          <w:rFonts w:cs="Times New Roman"/>
          <w:lang w:val="fr-CA"/>
        </w:rPr>
        <w:t xml:space="preserve">, on pourrait s’attendre de la police qu’elle trouve et tente de persuader </w:t>
      </w:r>
      <w:r w:rsidRPr="004177DF">
        <w:rPr>
          <w:rFonts w:cs="Times New Roman"/>
          <w:i/>
          <w:lang w:val="fr-CA"/>
        </w:rPr>
        <w:t xml:space="preserve">au moins </w:t>
      </w:r>
      <w:proofErr w:type="spellStart"/>
      <w:r w:rsidRPr="004177DF">
        <w:rPr>
          <w:rFonts w:cs="Times New Roman"/>
          <w:i/>
          <w:lang w:val="fr-CA"/>
        </w:rPr>
        <w:t>quelques</w:t>
      </w:r>
      <w:r w:rsidRPr="004177DF">
        <w:rPr>
          <w:rFonts w:cs="Times New Roman"/>
          <w:i/>
          <w:lang w:val="fr-CA"/>
        </w:rPr>
        <w:noBreakHyphen/>
        <w:t>uns</w:t>
      </w:r>
      <w:proofErr w:type="spellEnd"/>
      <w:r w:rsidRPr="004177DF">
        <w:rPr>
          <w:rFonts w:cs="Times New Roman"/>
          <w:lang w:val="fr-CA"/>
        </w:rPr>
        <w:t xml:space="preserve"> des auteurs de témoigner (par. 72) pose également problème.  En toute déférence, je considère une telle action, si elle n’est pas justifiée par des indices de collusion, comme étant inutile.  Ce n’est rien d’autre qu’une mesure </w:t>
      </w:r>
      <w:proofErr w:type="gramStart"/>
      <w:r w:rsidRPr="004177DF">
        <w:rPr>
          <w:rFonts w:cs="Times New Roman"/>
          <w:lang w:val="fr-CA"/>
        </w:rPr>
        <w:t>prise</w:t>
      </w:r>
      <w:proofErr w:type="gramEnd"/>
      <w:r w:rsidRPr="004177DF">
        <w:rPr>
          <w:rFonts w:cs="Times New Roman"/>
          <w:lang w:val="fr-CA"/>
        </w:rPr>
        <w:t xml:space="preserve"> pour la forme.  Ce n’est pas ce qu’exige — et ce que devrait exiger — le critère de nécessité.</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Au fond, le fait est que ce critère ne vise pas à entraver l’admission d’éléments de preuve fiables.  Au contraire, il « repose sur l’intérêt qu’a la société à découvrir la vérité » (</w:t>
      </w:r>
      <w:proofErr w:type="spellStart"/>
      <w:r w:rsidRPr="004177DF">
        <w:rPr>
          <w:rFonts w:cs="Times New Roman"/>
          <w:i/>
          <w:lang w:val="fr-CA"/>
        </w:rPr>
        <w:t>Khelawon</w:t>
      </w:r>
      <w:proofErr w:type="spellEnd"/>
      <w:r w:rsidRPr="004177DF">
        <w:rPr>
          <w:rFonts w:cs="Times New Roman"/>
          <w:lang w:val="fr-CA"/>
        </w:rPr>
        <w:t xml:space="preserve">, par. 49).  La nécessité est au service de la vérité, elle ne prévaut pas contre elle.  C’est pourquoi, dans un cas comme celui qui nous occupe — où les chances de dénicher et d’identifier l’auteur d’un appel, de trouver en lui un témoin disposé à collaborer et d’obtenir de sa part des renseignements exacts sont minces —, la preuve qui se révèle fiable devrait être admise, car elle sera nécessaire </w:t>
      </w:r>
      <w:r w:rsidRPr="004177DF">
        <w:rPr>
          <w:rFonts w:cs="Times New Roman"/>
          <w:lang w:val="fr-CA"/>
        </w:rPr>
        <w:lastRenderedPageBreak/>
        <w:t xml:space="preserve">pour permettre que l’on se rapproche de la vérité.  Par contre, si la preuve n’est pas fiable, elle doit être écartée.  D’une manière ou d’une autre, l’analyse doit à mon avis être axée sur la fiabilité.  </w:t>
      </w:r>
    </w:p>
    <w:p w:rsidR="009D7689" w:rsidRPr="004177DF" w:rsidRDefault="009D7689" w:rsidP="009D7689">
      <w:pPr>
        <w:pStyle w:val="TitleTitre-AltT"/>
        <w:tabs>
          <w:tab w:val="clear" w:pos="360"/>
        </w:tabs>
        <w:ind w:left="0" w:firstLine="0"/>
        <w:rPr>
          <w:rFonts w:cs="Times New Roman"/>
          <w:lang w:val="fr-CA"/>
        </w:rPr>
      </w:pPr>
      <w:r w:rsidRPr="004177DF">
        <w:rPr>
          <w:rFonts w:cs="Times New Roman"/>
          <w:lang w:val="fr-CA"/>
        </w:rPr>
        <w:t>D.</w:t>
      </w:r>
      <w:r w:rsidRPr="004177DF">
        <w:rPr>
          <w:rFonts w:cs="Times New Roman"/>
          <w:lang w:val="fr-CA"/>
        </w:rPr>
        <w:tab/>
      </w:r>
      <w:r w:rsidRPr="004177DF">
        <w:rPr>
          <w:rFonts w:cs="Times New Roman"/>
          <w:i/>
          <w:lang w:val="fr-CA"/>
        </w:rPr>
        <w:t xml:space="preserve">L’appel en l’espèce </w:t>
      </w:r>
      <w:proofErr w:type="spellStart"/>
      <w:r w:rsidRPr="004177DF">
        <w:rPr>
          <w:rFonts w:cs="Times New Roman"/>
          <w:i/>
          <w:lang w:val="fr-CA"/>
        </w:rPr>
        <w:t>était</w:t>
      </w:r>
      <w:r w:rsidRPr="004177DF">
        <w:rPr>
          <w:rFonts w:cs="Times New Roman"/>
          <w:i/>
          <w:lang w:val="fr-CA"/>
        </w:rPr>
        <w:noBreakHyphen/>
        <w:t>il</w:t>
      </w:r>
      <w:proofErr w:type="spellEnd"/>
      <w:r w:rsidRPr="004177DF">
        <w:rPr>
          <w:rFonts w:cs="Times New Roman"/>
          <w:i/>
          <w:lang w:val="fr-CA"/>
        </w:rPr>
        <w:t xml:space="preserve"> fiable?</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On peut évaluer la fiabilité d’une déclaration relatée au regard, entre autres, des circonstances y ayant donné naissance.  On peut sonder les termes mêmes de la déclaration pour y déceler des indices de fiabilité.  Le droit prévoit également la possibilité de trouver de tels indices </w:t>
      </w:r>
      <w:proofErr w:type="spellStart"/>
      <w:r w:rsidRPr="004177DF">
        <w:rPr>
          <w:rFonts w:cs="Times New Roman"/>
          <w:lang w:val="fr-CA"/>
        </w:rPr>
        <w:t>au</w:t>
      </w:r>
      <w:r w:rsidRPr="004177DF">
        <w:rPr>
          <w:rFonts w:cs="Times New Roman"/>
          <w:lang w:val="fr-CA"/>
        </w:rPr>
        <w:noBreakHyphen/>
        <w:t>delà</w:t>
      </w:r>
      <w:proofErr w:type="spellEnd"/>
      <w:r w:rsidRPr="004177DF">
        <w:rPr>
          <w:rFonts w:cs="Times New Roman"/>
          <w:lang w:val="fr-CA"/>
        </w:rPr>
        <w:t xml:space="preserve"> de la déclaration, sous la forme d’une preuve </w:t>
      </w:r>
      <w:proofErr w:type="spellStart"/>
      <w:r w:rsidRPr="004177DF">
        <w:rPr>
          <w:rFonts w:cs="Times New Roman"/>
          <w:lang w:val="fr-CA"/>
        </w:rPr>
        <w:t>corroborante</w:t>
      </w:r>
      <w:proofErr w:type="spellEnd"/>
      <w:r w:rsidRPr="004177DF">
        <w:rPr>
          <w:rFonts w:cs="Times New Roman"/>
          <w:lang w:val="fr-CA"/>
        </w:rPr>
        <w:t xml:space="preserve"> (</w:t>
      </w:r>
      <w:proofErr w:type="spellStart"/>
      <w:r w:rsidRPr="004177DF">
        <w:rPr>
          <w:rFonts w:cs="Times New Roman"/>
          <w:i/>
          <w:lang w:val="fr-CA"/>
        </w:rPr>
        <w:t>Khelawon</w:t>
      </w:r>
      <w:proofErr w:type="spellEnd"/>
      <w:r w:rsidRPr="004177DF">
        <w:rPr>
          <w:rFonts w:cs="Times New Roman"/>
          <w:lang w:val="fr-CA"/>
        </w:rPr>
        <w:t>, par. 100).</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Selon le ministère public, l’appel était suffisamment fiable pour en justifier l’admission.  Tout particulièrement, il invoque l’absence de toute preuve tendant à démontrer que [</w:t>
      </w:r>
      <w:r w:rsidRPr="004177DF">
        <w:rPr>
          <w:rFonts w:cs="Times New Roman"/>
          <w:smallCaps/>
          <w:lang w:val="fr-CA"/>
        </w:rPr>
        <w:t>traduction</w:t>
      </w:r>
      <w:r w:rsidRPr="004177DF">
        <w:rPr>
          <w:rFonts w:cs="Times New Roman"/>
          <w:lang w:val="fr-CA"/>
        </w:rPr>
        <w:t>] « l’auteur de l’appel était animé par quoi que ce soit d’autre que l’envie d’acheter de la drogue » et l’argument selon lequel « la spontanéité de la conversation témoigne de circonstances où la possibilité d’un mensonge intentionnel était infime » (</w:t>
      </w:r>
      <w:proofErr w:type="gramStart"/>
      <w:r w:rsidR="00D54B8A">
        <w:rPr>
          <w:rFonts w:cs="Times New Roman"/>
          <w:lang w:val="fr-CA"/>
        </w:rPr>
        <w:t>m.a</w:t>
      </w:r>
      <w:r w:rsidRPr="004177DF">
        <w:rPr>
          <w:rFonts w:cs="Times New Roman"/>
          <w:lang w:val="fr-CA"/>
        </w:rPr>
        <w:t>.,</w:t>
      </w:r>
      <w:proofErr w:type="gramEnd"/>
      <w:r w:rsidRPr="004177DF">
        <w:rPr>
          <w:rFonts w:cs="Times New Roman"/>
          <w:lang w:val="fr-CA"/>
        </w:rPr>
        <w:t xml:space="preserve"> par. 82).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L’argument présente un certain intérêt.  Comme on l’a vu, il existe de bonnes raisons de croire que le danger relatif à la sincérité est atténué dans un cas comme la présente espèce.  Cela étant dit, M. </w:t>
      </w:r>
      <w:proofErr w:type="spellStart"/>
      <w:r w:rsidRPr="004177DF">
        <w:rPr>
          <w:rFonts w:cs="Times New Roman"/>
          <w:lang w:val="fr-CA"/>
        </w:rPr>
        <w:t>Baldree</w:t>
      </w:r>
      <w:proofErr w:type="spellEnd"/>
      <w:r w:rsidRPr="004177DF">
        <w:rPr>
          <w:rFonts w:cs="Times New Roman"/>
          <w:lang w:val="fr-CA"/>
        </w:rPr>
        <w:t xml:space="preserve"> fait valoir que les circonstances entourant l’appel suffisent pour soulever une préoccupation quant à la possibilité que le coup de fil ait [</w:t>
      </w:r>
      <w:r w:rsidRPr="004177DF">
        <w:rPr>
          <w:rFonts w:cs="Times New Roman"/>
          <w:smallCaps/>
          <w:lang w:val="fr-CA"/>
        </w:rPr>
        <w:t>traduction</w:t>
      </w:r>
      <w:r w:rsidRPr="004177DF">
        <w:rPr>
          <w:rFonts w:cs="Times New Roman"/>
          <w:lang w:val="fr-CA"/>
        </w:rPr>
        <w:t>] « visé à éveiller les soupçons » à son égard (</w:t>
      </w:r>
      <w:proofErr w:type="gramStart"/>
      <w:r w:rsidR="00A62E64">
        <w:rPr>
          <w:rFonts w:cs="Times New Roman"/>
          <w:lang w:val="fr-CA"/>
        </w:rPr>
        <w:t>m.i</w:t>
      </w:r>
      <w:r w:rsidRPr="004177DF">
        <w:rPr>
          <w:rFonts w:cs="Times New Roman"/>
          <w:lang w:val="fr-CA"/>
        </w:rPr>
        <w:t>.,</w:t>
      </w:r>
      <w:proofErr w:type="gramEnd"/>
      <w:r w:rsidRPr="004177DF">
        <w:rPr>
          <w:rFonts w:cs="Times New Roman"/>
          <w:lang w:val="fr-CA"/>
        </w:rPr>
        <w:t xml:space="preserve"> par. 85).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lastRenderedPageBreak/>
        <w:t xml:space="preserve">Selon le dossier, une certaine incertitude régnait au départ sur les rôles respectifs des deux Chris — </w:t>
      </w:r>
      <w:proofErr w:type="spellStart"/>
      <w:r w:rsidRPr="004177DF">
        <w:rPr>
          <w:rFonts w:cs="Times New Roman"/>
          <w:lang w:val="fr-CA"/>
        </w:rPr>
        <w:t>Baldree</w:t>
      </w:r>
      <w:proofErr w:type="spellEnd"/>
      <w:r w:rsidRPr="004177DF">
        <w:rPr>
          <w:rFonts w:cs="Times New Roman"/>
          <w:lang w:val="fr-CA"/>
        </w:rPr>
        <w:t xml:space="preserve"> et Anderson — en rapport avec la drogue découverte dans l’appartement.  Dans son témoignage, le sergent </w:t>
      </w:r>
      <w:proofErr w:type="spellStart"/>
      <w:r w:rsidRPr="004177DF">
        <w:rPr>
          <w:rFonts w:cs="Times New Roman"/>
          <w:lang w:val="fr-CA"/>
        </w:rPr>
        <w:t>Martelle</w:t>
      </w:r>
      <w:proofErr w:type="spellEnd"/>
      <w:r w:rsidRPr="004177DF">
        <w:rPr>
          <w:rFonts w:cs="Times New Roman"/>
          <w:lang w:val="fr-CA"/>
        </w:rPr>
        <w:t xml:space="preserve"> a déclaré</w:t>
      </w:r>
      <w:r>
        <w:rPr>
          <w:rFonts w:cs="Times New Roman"/>
          <w:lang w:val="fr-CA"/>
        </w:rPr>
        <w:t xml:space="preserve"> </w:t>
      </w:r>
      <w:r w:rsidRPr="004177DF">
        <w:rPr>
          <w:rFonts w:cs="Times New Roman"/>
          <w:lang w:val="fr-CA"/>
        </w:rPr>
        <w:t>que M. Anderson était connu pour [</w:t>
      </w:r>
      <w:r w:rsidRPr="004177DF">
        <w:rPr>
          <w:rFonts w:cs="Times New Roman"/>
          <w:smallCaps/>
          <w:lang w:val="fr-CA"/>
        </w:rPr>
        <w:t>traduction</w:t>
      </w:r>
      <w:r w:rsidRPr="004177DF">
        <w:rPr>
          <w:rFonts w:cs="Times New Roman"/>
          <w:lang w:val="fr-CA"/>
        </w:rPr>
        <w:t>] « </w:t>
      </w:r>
      <w:proofErr w:type="gramStart"/>
      <w:r w:rsidRPr="004177DF">
        <w:rPr>
          <w:rFonts w:cs="Times New Roman"/>
          <w:lang w:val="fr-CA"/>
        </w:rPr>
        <w:t>vend[</w:t>
      </w:r>
      <w:proofErr w:type="spellStart"/>
      <w:proofErr w:type="gramEnd"/>
      <w:r w:rsidRPr="004177DF">
        <w:rPr>
          <w:rFonts w:cs="Times New Roman"/>
          <w:lang w:val="fr-CA"/>
        </w:rPr>
        <w:t>re</w:t>
      </w:r>
      <w:proofErr w:type="spellEnd"/>
      <w:r w:rsidRPr="004177DF">
        <w:rPr>
          <w:rFonts w:cs="Times New Roman"/>
          <w:lang w:val="fr-CA"/>
        </w:rPr>
        <w:t>] [. . .] ce genre de drogue » (</w:t>
      </w:r>
      <w:r w:rsidR="00A75EBB">
        <w:rPr>
          <w:rFonts w:cs="Times New Roman"/>
          <w:lang w:val="fr-CA"/>
        </w:rPr>
        <w:t>d.a</w:t>
      </w:r>
      <w:r w:rsidRPr="004177DF">
        <w:rPr>
          <w:rFonts w:cs="Times New Roman"/>
          <w:lang w:val="fr-CA"/>
        </w:rPr>
        <w:t xml:space="preserve">., vol. II, p. 106).  Il semblait jouir d’une certaine réputation, connu « dans la rue » sous le surnom « le Mexicain » (p. 59).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L’argument de M. </w:t>
      </w:r>
      <w:proofErr w:type="spellStart"/>
      <w:r w:rsidRPr="004177DF">
        <w:rPr>
          <w:rFonts w:cs="Times New Roman"/>
          <w:lang w:val="fr-CA"/>
        </w:rPr>
        <w:t>Baldree</w:t>
      </w:r>
      <w:proofErr w:type="spellEnd"/>
      <w:r w:rsidRPr="004177DF">
        <w:rPr>
          <w:rFonts w:cs="Times New Roman"/>
          <w:lang w:val="fr-CA"/>
        </w:rPr>
        <w:t xml:space="preserve"> ne suffit pas à lui seul à mettre en doute la fiabilité de l’appel.  Par exemple, il n’a pas tenté d’expliquer comment M. Anderson — ou quiconque — aurait pu orchestrer le coup de fil trompeur alors que la police avait confisqué tous les téléphones cellulaires en procédant aux arrestations et que les autres n’ont été remis en liberté qu’</w:t>
      </w:r>
      <w:r w:rsidRPr="004177DF">
        <w:rPr>
          <w:rFonts w:cs="Times New Roman"/>
          <w:i/>
          <w:lang w:val="fr-CA"/>
        </w:rPr>
        <w:t>après</w:t>
      </w:r>
      <w:r w:rsidRPr="004177DF">
        <w:rPr>
          <w:rFonts w:cs="Times New Roman"/>
          <w:lang w:val="fr-CA"/>
        </w:rPr>
        <w:t xml:space="preserve"> l’appel.  Si la police avait relâché l’un des deux acolytes de M. Anderson </w:t>
      </w:r>
      <w:r w:rsidRPr="004177DF">
        <w:rPr>
          <w:rFonts w:cs="Times New Roman"/>
          <w:i/>
          <w:lang w:val="fr-CA"/>
        </w:rPr>
        <w:t>avant</w:t>
      </w:r>
      <w:r w:rsidRPr="004177DF">
        <w:rPr>
          <w:rFonts w:cs="Times New Roman"/>
          <w:lang w:val="fr-CA"/>
        </w:rPr>
        <w:t xml:space="preserve"> l’appel au numéro de M. </w:t>
      </w:r>
      <w:proofErr w:type="spellStart"/>
      <w:r w:rsidRPr="004177DF">
        <w:rPr>
          <w:rFonts w:cs="Times New Roman"/>
          <w:lang w:val="fr-CA"/>
        </w:rPr>
        <w:t>Baldree</w:t>
      </w:r>
      <w:proofErr w:type="spellEnd"/>
      <w:r w:rsidRPr="004177DF">
        <w:rPr>
          <w:rFonts w:cs="Times New Roman"/>
          <w:lang w:val="fr-CA"/>
        </w:rPr>
        <w:t xml:space="preserve">, il en aurait été autrement, mais ce n’était pas le cas.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Par conséquent, il faut s’abstenir de conclure à des circonstances suspectes dans ce genre de cas en l’absence de tout élément de preuve en ce sens.  Si notre démarche permettait de telles inférences, nombre des exceptions traditionnelles à la règle </w:t>
      </w:r>
      <w:proofErr w:type="gramStart"/>
      <w:r w:rsidRPr="004177DF">
        <w:rPr>
          <w:rFonts w:cs="Times New Roman"/>
          <w:lang w:val="fr-CA"/>
        </w:rPr>
        <w:t xml:space="preserve">du </w:t>
      </w:r>
      <w:proofErr w:type="spellStart"/>
      <w:r w:rsidRPr="004177DF">
        <w:rPr>
          <w:rFonts w:cs="Times New Roman"/>
          <w:lang w:val="fr-CA"/>
        </w:rPr>
        <w:t>ouï</w:t>
      </w:r>
      <w:r w:rsidRPr="004177DF">
        <w:rPr>
          <w:rFonts w:cs="Times New Roman"/>
          <w:lang w:val="fr-CA"/>
        </w:rPr>
        <w:noBreakHyphen/>
        <w:t>dire</w:t>
      </w:r>
      <w:proofErr w:type="spellEnd"/>
      <w:proofErr w:type="gramEnd"/>
      <w:r w:rsidRPr="004177DF">
        <w:rPr>
          <w:rFonts w:cs="Times New Roman"/>
          <w:lang w:val="fr-CA"/>
        </w:rPr>
        <w:t xml:space="preserve"> ne tiendraient plus.  Il va sans dire qu’un homme à l’article de la mort a toujours la faculté de mentir.  Et pourtant, dans le cas de la déclaration d’un mourant, on ne se perd pas en conjectures sur la possibilité d’une fausse déclaration.  Au contraire, il est reconnu en droit que les raisons susceptibles de pousser au mensonge dans de telles circonstances sont tout au plus infimes (</w:t>
      </w:r>
      <w:r w:rsidRPr="004177DF">
        <w:rPr>
          <w:rFonts w:cs="Times New Roman"/>
          <w:i/>
          <w:lang w:val="fr-CA"/>
        </w:rPr>
        <w:t xml:space="preserve">R. c. </w:t>
      </w:r>
      <w:proofErr w:type="spellStart"/>
      <w:r w:rsidRPr="004177DF">
        <w:rPr>
          <w:rFonts w:cs="Times New Roman"/>
          <w:i/>
          <w:lang w:val="fr-CA"/>
        </w:rPr>
        <w:t>Woodcock</w:t>
      </w:r>
      <w:proofErr w:type="spellEnd"/>
      <w:r w:rsidRPr="004177DF">
        <w:rPr>
          <w:rFonts w:cs="Times New Roman"/>
          <w:lang w:val="fr-CA"/>
        </w:rPr>
        <w:t xml:space="preserve"> (1789), 1 Leach 500, 168 E.R. 352 (B.</w:t>
      </w:r>
      <w:r w:rsidR="00893066">
        <w:rPr>
          <w:rFonts w:cs="Times New Roman"/>
          <w:lang w:val="fr-CA"/>
        </w:rPr>
        <w:t>R.</w:t>
      </w:r>
      <w:r w:rsidRPr="004177DF">
        <w:rPr>
          <w:rFonts w:cs="Times New Roman"/>
          <w:lang w:val="fr-CA"/>
        </w:rPr>
        <w:t>), p. 353).  Autrement dit, on reconnaît une norme régissant le comportement humain pour ce qu’elle est, à savoir une norme.</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lastRenderedPageBreak/>
        <w:t>Bref, nos règles étant élaborées en fonction non pas de possibilités hypothétiques, mais bien de réalités pratiques, une commande téléphonique de drogue, de par sa simple nature, ne devrait pas éveiller de soupçons quant à son authenticité.  S’il incombe à la personne voulant faire admettre la preuve de démontrer que cette dernière est suffisamment fiable pour que son admission se justifie, à mon avis « il incombe à la personne qui s’oppose à l’admission de la preuve de démontrer l’existence de circonstances douteuses » (</w:t>
      </w:r>
      <w:r w:rsidRPr="004177DF">
        <w:rPr>
          <w:rFonts w:cs="Times New Roman"/>
          <w:i/>
          <w:lang w:val="fr-CA"/>
        </w:rPr>
        <w:t xml:space="preserve">R. c. </w:t>
      </w:r>
      <w:proofErr w:type="spellStart"/>
      <w:r w:rsidRPr="004177DF">
        <w:rPr>
          <w:rFonts w:cs="Times New Roman"/>
          <w:i/>
          <w:lang w:val="fr-CA"/>
        </w:rPr>
        <w:t>Starr</w:t>
      </w:r>
      <w:proofErr w:type="spellEnd"/>
      <w:r w:rsidRPr="004177DF">
        <w:rPr>
          <w:rFonts w:cs="Times New Roman"/>
          <w:lang w:val="fr-CA"/>
        </w:rPr>
        <w:t>, 2000 CSC 40, [2000] 2 R.C.S. 144, par. 8, la juge en chef McLachlin).  En l’espèce, le dossier ne présente pas suffisamment d’éléments pour justifier qu’on se soucie des circonstances entourant l’appel fait au numéro de M. </w:t>
      </w:r>
      <w:proofErr w:type="spellStart"/>
      <w:r w:rsidRPr="004177DF">
        <w:rPr>
          <w:rFonts w:cs="Times New Roman"/>
          <w:lang w:val="fr-CA"/>
        </w:rPr>
        <w:t>Baldree</w:t>
      </w:r>
      <w:proofErr w:type="spellEnd"/>
      <w:r w:rsidRPr="004177DF">
        <w:rPr>
          <w:rFonts w:cs="Times New Roman"/>
          <w:lang w:val="fr-CA"/>
        </w:rPr>
        <w:t>.</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Cependant, apprécier la sincérité de la croyance de l’auteur du coup de fil ne permet pas de régler la question, et, finalement, c’est en quoi l’argument du ministère public ne me convainc pas.</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En l’espèce, le ministère public tentait de faire admettre en preuve la commande téléphonique de drogue pour démontrer, non pas simplement que l’auteur de l’appel </w:t>
      </w:r>
      <w:r w:rsidRPr="004177DF">
        <w:rPr>
          <w:rFonts w:cs="Times New Roman"/>
          <w:i/>
          <w:lang w:val="fr-CA"/>
        </w:rPr>
        <w:t>croyait</w:t>
      </w:r>
      <w:r w:rsidRPr="004177DF">
        <w:rPr>
          <w:rFonts w:cs="Times New Roman"/>
          <w:lang w:val="fr-CA"/>
        </w:rPr>
        <w:t xml:space="preserve"> que M. </w:t>
      </w:r>
      <w:proofErr w:type="spellStart"/>
      <w:r w:rsidRPr="004177DF">
        <w:rPr>
          <w:rFonts w:cs="Times New Roman"/>
          <w:lang w:val="fr-CA"/>
        </w:rPr>
        <w:t>Baldree</w:t>
      </w:r>
      <w:proofErr w:type="spellEnd"/>
      <w:r w:rsidRPr="004177DF">
        <w:rPr>
          <w:rFonts w:cs="Times New Roman"/>
          <w:lang w:val="fr-CA"/>
        </w:rPr>
        <w:t xml:space="preserve"> était un trafiquant de drogue (un élément d’une valeur limitée pour la poursuite), mais que M. </w:t>
      </w:r>
      <w:proofErr w:type="spellStart"/>
      <w:r w:rsidRPr="004177DF">
        <w:rPr>
          <w:rFonts w:cs="Times New Roman"/>
          <w:lang w:val="fr-CA"/>
        </w:rPr>
        <w:t>Baldree</w:t>
      </w:r>
      <w:proofErr w:type="spellEnd"/>
      <w:r w:rsidRPr="004177DF">
        <w:rPr>
          <w:rFonts w:cs="Times New Roman"/>
          <w:lang w:val="fr-CA"/>
        </w:rPr>
        <w:t xml:space="preserve"> l’était </w:t>
      </w:r>
      <w:r w:rsidRPr="004177DF">
        <w:rPr>
          <w:rFonts w:cs="Times New Roman"/>
          <w:i/>
          <w:lang w:val="fr-CA"/>
        </w:rPr>
        <w:t>dans les faits</w:t>
      </w:r>
      <w:r w:rsidRPr="004177DF">
        <w:rPr>
          <w:rFonts w:cs="Times New Roman"/>
          <w:lang w:val="fr-CA"/>
        </w:rPr>
        <w:t xml:space="preserve"> (une preuve d’une importance considérable).  En effet, même s’il a qualifié cet élément de preuve circonstancielle, le juge du procès a reconnu à juste titre qu’il visait à établir que </w:t>
      </w:r>
      <w:r w:rsidRPr="004177DF">
        <w:rPr>
          <w:rFonts w:cs="Times New Roman"/>
          <w:i/>
          <w:lang w:val="fr-CA"/>
        </w:rPr>
        <w:t>M. </w:t>
      </w:r>
      <w:proofErr w:type="spellStart"/>
      <w:r w:rsidRPr="004177DF">
        <w:rPr>
          <w:rFonts w:cs="Times New Roman"/>
          <w:i/>
          <w:lang w:val="fr-CA"/>
        </w:rPr>
        <w:t>Baldree</w:t>
      </w:r>
      <w:proofErr w:type="spellEnd"/>
      <w:r w:rsidRPr="004177DF">
        <w:rPr>
          <w:rFonts w:cs="Times New Roman"/>
          <w:i/>
          <w:lang w:val="fr-CA"/>
        </w:rPr>
        <w:t xml:space="preserve"> est </w:t>
      </w:r>
      <w:r w:rsidRPr="004177DF">
        <w:rPr>
          <w:rFonts w:cs="Times New Roman"/>
          <w:lang w:val="fr-CA"/>
        </w:rPr>
        <w:t>[</w:t>
      </w:r>
      <w:r w:rsidRPr="004177DF">
        <w:rPr>
          <w:rFonts w:cs="Times New Roman"/>
          <w:smallCaps/>
          <w:lang w:val="fr-CA"/>
        </w:rPr>
        <w:t>traduction</w:t>
      </w:r>
      <w:r w:rsidRPr="004177DF">
        <w:rPr>
          <w:rFonts w:cs="Times New Roman"/>
          <w:lang w:val="fr-CA"/>
        </w:rPr>
        <w:t>]</w:t>
      </w:r>
      <w:r w:rsidRPr="00893066">
        <w:rPr>
          <w:rFonts w:cs="Times New Roman"/>
          <w:lang w:val="fr-CA"/>
        </w:rPr>
        <w:t xml:space="preserve"> « </w:t>
      </w:r>
      <w:r w:rsidRPr="004177DF">
        <w:rPr>
          <w:rFonts w:cs="Times New Roman"/>
          <w:i/>
          <w:lang w:val="fr-CA"/>
        </w:rPr>
        <w:t>impliqué dans le trafic de drogue</w:t>
      </w:r>
      <w:r w:rsidRPr="004177DF">
        <w:rPr>
          <w:rFonts w:cs="Times New Roman"/>
          <w:lang w:val="fr-CA"/>
        </w:rPr>
        <w:t> » (</w:t>
      </w:r>
      <w:proofErr w:type="gramStart"/>
      <w:r w:rsidR="004E70F2">
        <w:rPr>
          <w:rFonts w:cs="Times New Roman"/>
          <w:lang w:val="fr-CA"/>
        </w:rPr>
        <w:t>d.a</w:t>
      </w:r>
      <w:r w:rsidRPr="004177DF">
        <w:rPr>
          <w:rFonts w:cs="Times New Roman"/>
          <w:lang w:val="fr-CA"/>
        </w:rPr>
        <w:t>.,</w:t>
      </w:r>
      <w:proofErr w:type="gramEnd"/>
      <w:r w:rsidRPr="004177DF">
        <w:rPr>
          <w:rFonts w:cs="Times New Roman"/>
          <w:lang w:val="fr-CA"/>
        </w:rPr>
        <w:t xml:space="preserve"> vol. I, p. 23 (italique</w:t>
      </w:r>
      <w:r w:rsidR="00893066">
        <w:rPr>
          <w:rFonts w:cs="Times New Roman"/>
          <w:lang w:val="fr-CA"/>
        </w:rPr>
        <w:t>s</w:t>
      </w:r>
      <w:r w:rsidRPr="004177DF">
        <w:rPr>
          <w:rFonts w:cs="Times New Roman"/>
          <w:lang w:val="fr-CA"/>
        </w:rPr>
        <w:t xml:space="preserve"> ajouté</w:t>
      </w:r>
      <w:r w:rsidR="00893066">
        <w:rPr>
          <w:rFonts w:cs="Times New Roman"/>
          <w:lang w:val="fr-CA"/>
        </w:rPr>
        <w:t>s</w:t>
      </w:r>
      <w:r w:rsidRPr="004177DF">
        <w:rPr>
          <w:rFonts w:cs="Times New Roman"/>
          <w:lang w:val="fr-CA"/>
        </w:rPr>
        <w:t xml:space="preserve">)).  C’est sur le fondement de </w:t>
      </w:r>
      <w:r w:rsidRPr="004177DF">
        <w:rPr>
          <w:rFonts w:cs="Times New Roman"/>
          <w:i/>
          <w:lang w:val="fr-CA"/>
        </w:rPr>
        <w:t>ce fait</w:t>
      </w:r>
      <w:r w:rsidRPr="004177DF">
        <w:rPr>
          <w:rFonts w:cs="Times New Roman"/>
          <w:lang w:val="fr-CA"/>
        </w:rPr>
        <w:t xml:space="preserve"> que le ministère public cherchait à faire conclure que M. </w:t>
      </w:r>
      <w:proofErr w:type="spellStart"/>
      <w:r w:rsidRPr="004177DF">
        <w:rPr>
          <w:rFonts w:cs="Times New Roman"/>
          <w:lang w:val="fr-CA"/>
        </w:rPr>
        <w:t>Baldree</w:t>
      </w:r>
      <w:proofErr w:type="spellEnd"/>
      <w:r w:rsidRPr="004177DF">
        <w:rPr>
          <w:rFonts w:cs="Times New Roman"/>
          <w:lang w:val="fr-CA"/>
        </w:rPr>
        <w:t xml:space="preserve"> avait en sa possession la cocaïne et la marihuana trouvées dans l’appartement.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lastRenderedPageBreak/>
        <w:t>La faille dans l’argument du ministère public tient à ce qu’il n’éclaire guère sur la fiabilité de l’affirmation selon laquelle M. </w:t>
      </w:r>
      <w:proofErr w:type="spellStart"/>
      <w:r w:rsidRPr="004177DF">
        <w:rPr>
          <w:rFonts w:cs="Times New Roman"/>
          <w:lang w:val="fr-CA"/>
        </w:rPr>
        <w:t>Baldree</w:t>
      </w:r>
      <w:proofErr w:type="spellEnd"/>
      <w:r w:rsidRPr="004177DF">
        <w:rPr>
          <w:rFonts w:cs="Times New Roman"/>
          <w:lang w:val="fr-CA"/>
        </w:rPr>
        <w:t xml:space="preserve"> est dans les faits un trafiquant de drogue.  Son argument pèse davantage lorsqu’il s’agit de démontrer le fait que l’auteur de l’appel </w:t>
      </w:r>
      <w:r w:rsidRPr="004177DF">
        <w:rPr>
          <w:rFonts w:cs="Times New Roman"/>
          <w:i/>
          <w:lang w:val="fr-CA"/>
        </w:rPr>
        <w:t>avait l’intention d’acheter de la drogue</w:t>
      </w:r>
      <w:r w:rsidRPr="004177DF">
        <w:rPr>
          <w:rFonts w:cs="Times New Roman"/>
          <w:lang w:val="fr-CA"/>
        </w:rPr>
        <w:t xml:space="preserve">.  Partant, la déclaration aurait été admissible à titre de déclaration d’intention si le ministère public l’avait présentée à </w:t>
      </w:r>
      <w:r w:rsidRPr="004177DF">
        <w:rPr>
          <w:rFonts w:cs="Times New Roman"/>
          <w:i/>
          <w:lang w:val="fr-CA"/>
        </w:rPr>
        <w:t>cette</w:t>
      </w:r>
      <w:r w:rsidRPr="004177DF">
        <w:rPr>
          <w:rFonts w:cs="Times New Roman"/>
          <w:lang w:val="fr-CA"/>
        </w:rPr>
        <w:t xml:space="preserve"> fin (voir, p. ex., </w:t>
      </w:r>
      <w:r w:rsidRPr="004177DF">
        <w:rPr>
          <w:rFonts w:cs="Times New Roman"/>
          <w:i/>
          <w:lang w:val="fr-CA"/>
        </w:rPr>
        <w:t>R. c. Ly</w:t>
      </w:r>
      <w:r w:rsidRPr="004177DF">
        <w:rPr>
          <w:rFonts w:cs="Times New Roman"/>
          <w:lang w:val="fr-CA"/>
        </w:rPr>
        <w:t xml:space="preserve">, [1997] 3 R.C.S. 698).  Or, comme le fait observer la juge </w:t>
      </w:r>
      <w:proofErr w:type="spellStart"/>
      <w:r w:rsidRPr="004177DF">
        <w:rPr>
          <w:rFonts w:cs="Times New Roman"/>
          <w:lang w:val="fr-CA"/>
        </w:rPr>
        <w:t>Feldman</w:t>
      </w:r>
      <w:proofErr w:type="spellEnd"/>
      <w:r w:rsidRPr="004177DF">
        <w:rPr>
          <w:rFonts w:cs="Times New Roman"/>
          <w:lang w:val="fr-CA"/>
        </w:rPr>
        <w:t xml:space="preserve"> de la Cour d’appel, ce n’est pas dans cette optique qu’il l’invoquait (par. 144).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Autrement dit, la faiblesse dans l’argument du ministère public tient à ce que, même si l’auteur de l’appel croyait sincèrement que M. </w:t>
      </w:r>
      <w:proofErr w:type="spellStart"/>
      <w:r w:rsidRPr="004177DF">
        <w:rPr>
          <w:rFonts w:cs="Times New Roman"/>
          <w:lang w:val="fr-CA"/>
        </w:rPr>
        <w:t>Baldree</w:t>
      </w:r>
      <w:proofErr w:type="spellEnd"/>
      <w:r w:rsidRPr="004177DF">
        <w:rPr>
          <w:rFonts w:cs="Times New Roman"/>
          <w:lang w:val="fr-CA"/>
        </w:rPr>
        <w:t xml:space="preserve"> était un trafiquant de drogue, </w:t>
      </w:r>
      <w:r w:rsidRPr="004177DF">
        <w:rPr>
          <w:rFonts w:cs="Times New Roman"/>
          <w:i/>
          <w:lang w:val="fr-CA"/>
        </w:rPr>
        <w:t>la raison motivant une telle croyance</w:t>
      </w:r>
      <w:r w:rsidRPr="004177DF">
        <w:rPr>
          <w:rFonts w:cs="Times New Roman"/>
          <w:lang w:val="fr-CA"/>
        </w:rPr>
        <w:t xml:space="preserve">, et la véracité de cette dernière, ne sont pas étayées.  Il ne s’agit pas en l’espèce d’une affaire où de multiples appels ont été interceptés et où le bon sens dicte d’écarter pour improbable la possibilité d’une erreur de la part des nombreux auteurs d’appel.  En outre, nous ne disposons pas d’indices de fiabilité suffisants, ni dans les termes mêmes de la déclaration, ni sous forme de preuve </w:t>
      </w:r>
      <w:proofErr w:type="spellStart"/>
      <w:r w:rsidRPr="004177DF">
        <w:rPr>
          <w:rFonts w:cs="Times New Roman"/>
          <w:lang w:val="fr-CA"/>
        </w:rPr>
        <w:t>corroborante</w:t>
      </w:r>
      <w:proofErr w:type="spellEnd"/>
      <w:r w:rsidRPr="004177DF">
        <w:rPr>
          <w:rFonts w:cs="Times New Roman"/>
          <w:lang w:val="fr-CA"/>
        </w:rPr>
        <w:t xml:space="preserve">.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Par conséquent, en l’absence d’autres éléments, accepter l’argument du ministère public — que l’appel satisfait au seuil de fiabilité et, partant, que son admission était justifiée à titre d’élément tendant à prouver au fond que M. </w:t>
      </w:r>
      <w:proofErr w:type="spellStart"/>
      <w:r w:rsidRPr="004177DF">
        <w:rPr>
          <w:rFonts w:cs="Times New Roman"/>
          <w:lang w:val="fr-CA"/>
        </w:rPr>
        <w:t>Baldree</w:t>
      </w:r>
      <w:proofErr w:type="spellEnd"/>
      <w:r w:rsidRPr="004177DF">
        <w:rPr>
          <w:rFonts w:cs="Times New Roman"/>
          <w:lang w:val="fr-CA"/>
        </w:rPr>
        <w:t xml:space="preserve"> trempait dans le trafic de drogue, équivaudrait à mon avis à franchir un trop grand pas. </w:t>
      </w:r>
    </w:p>
    <w:p w:rsidR="009D7689" w:rsidRPr="004177DF" w:rsidRDefault="009D7689" w:rsidP="009D7689">
      <w:pPr>
        <w:pStyle w:val="TitleTitre-AltT"/>
        <w:tabs>
          <w:tab w:val="clear" w:pos="360"/>
        </w:tabs>
        <w:ind w:left="0" w:firstLine="0"/>
        <w:rPr>
          <w:rFonts w:cs="Times New Roman"/>
          <w:lang w:val="fr-CA"/>
        </w:rPr>
      </w:pPr>
      <w:r w:rsidRPr="004177DF">
        <w:rPr>
          <w:rFonts w:cs="Times New Roman"/>
          <w:lang w:val="fr-CA"/>
        </w:rPr>
        <w:lastRenderedPageBreak/>
        <w:t>E.</w:t>
      </w:r>
      <w:r w:rsidRPr="004177DF">
        <w:rPr>
          <w:rFonts w:cs="Times New Roman"/>
          <w:lang w:val="fr-CA"/>
        </w:rPr>
        <w:tab/>
      </w:r>
      <w:r w:rsidRPr="004177DF">
        <w:rPr>
          <w:rFonts w:cs="Times New Roman"/>
          <w:i/>
          <w:lang w:val="fr-CA"/>
        </w:rPr>
        <w:t xml:space="preserve">Un seul appel </w:t>
      </w:r>
      <w:proofErr w:type="spellStart"/>
      <w:r w:rsidRPr="004177DF">
        <w:rPr>
          <w:rFonts w:cs="Times New Roman"/>
          <w:i/>
          <w:lang w:val="fr-CA"/>
        </w:rPr>
        <w:t>peut</w:t>
      </w:r>
      <w:r w:rsidRPr="004177DF">
        <w:rPr>
          <w:rFonts w:cs="Times New Roman"/>
          <w:i/>
          <w:lang w:val="fr-CA"/>
        </w:rPr>
        <w:noBreakHyphen/>
        <w:t>il</w:t>
      </w:r>
      <w:proofErr w:type="spellEnd"/>
      <w:r w:rsidRPr="004177DF">
        <w:rPr>
          <w:rFonts w:cs="Times New Roman"/>
          <w:i/>
          <w:lang w:val="fr-CA"/>
        </w:rPr>
        <w:t xml:space="preserve"> parfois se révéler fiable?</w:t>
      </w:r>
      <w:r w:rsidRPr="004177DF">
        <w:rPr>
          <w:rFonts w:cs="Times New Roman"/>
          <w:lang w:val="fr-CA"/>
        </w:rPr>
        <w:t xml:space="preserve">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Si en l’espèce le coup de fil n’atteint pas le seuil nécessaire pour être admissible, il ne faudra pas </w:t>
      </w:r>
      <w:r w:rsidRPr="004177DF">
        <w:rPr>
          <w:rFonts w:cs="Times New Roman"/>
          <w:i/>
          <w:lang w:val="fr-CA"/>
        </w:rPr>
        <w:t>nécessairement</w:t>
      </w:r>
      <w:r w:rsidRPr="004177DF">
        <w:rPr>
          <w:rFonts w:cs="Times New Roman"/>
          <w:lang w:val="fr-CA"/>
        </w:rPr>
        <w:t xml:space="preserve"> de multiples appels pour établir l’admissibilité.  En effet, selon la méthode d’analyse raisonnée, même une seule commande téléphonique de drogue pourrait respecter ce seuil.  Je tenterai d’illustrer ma thèse à l’aide des faits de la présente affaire.   </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Comme je le mentionne précédemment, il manque dans l’échange téléphonique un élément venant confirmer que M. </w:t>
      </w:r>
      <w:proofErr w:type="spellStart"/>
      <w:r w:rsidRPr="004177DF">
        <w:rPr>
          <w:rFonts w:cs="Times New Roman"/>
          <w:lang w:val="fr-CA"/>
        </w:rPr>
        <w:t>Baldree</w:t>
      </w:r>
      <w:proofErr w:type="spellEnd"/>
      <w:r w:rsidRPr="004177DF">
        <w:rPr>
          <w:rFonts w:cs="Times New Roman"/>
          <w:lang w:val="fr-CA"/>
        </w:rPr>
        <w:t xml:space="preserve"> était </w:t>
      </w:r>
      <w:r w:rsidRPr="004177DF">
        <w:rPr>
          <w:rFonts w:cs="Times New Roman"/>
          <w:i/>
          <w:lang w:val="fr-CA"/>
        </w:rPr>
        <w:t>dans les faits</w:t>
      </w:r>
      <w:r w:rsidRPr="004177DF">
        <w:rPr>
          <w:rFonts w:cs="Times New Roman"/>
          <w:lang w:val="fr-CA"/>
        </w:rPr>
        <w:t xml:space="preserve"> un trafiquant de drogue.  L’échange en soi présente trop peu de gages circonstanciels de fiabilité et il n’existe guère d’éléments de preuve externes, voire aucun, tendant à confirmer une telle thèse.  En revanche, si l’auteur de l’appel avait refusé l’offre de livraison et avait plutôt demandé s’il pouvait « passer prendre la drogue chez </w:t>
      </w:r>
      <w:proofErr w:type="spellStart"/>
      <w:r w:rsidR="00BC0CCF">
        <w:rPr>
          <w:rFonts w:cs="Times New Roman"/>
          <w:lang w:val="fr-CA"/>
        </w:rPr>
        <w:t>Eric</w:t>
      </w:r>
      <w:proofErr w:type="spellEnd"/>
      <w:r w:rsidR="00BC0CCF">
        <w:rPr>
          <w:rFonts w:cs="Times New Roman"/>
          <w:lang w:val="fr-CA"/>
        </w:rPr>
        <w:t> », cet élément aurait peut-</w:t>
      </w:r>
      <w:r w:rsidRPr="004177DF">
        <w:rPr>
          <w:rFonts w:cs="Times New Roman"/>
          <w:lang w:val="fr-CA"/>
        </w:rPr>
        <w:t>être suffi, car il aurait révélé davantage de familiarité avec M. </w:t>
      </w:r>
      <w:proofErr w:type="spellStart"/>
      <w:r w:rsidRPr="004177DF">
        <w:rPr>
          <w:rFonts w:cs="Times New Roman"/>
          <w:lang w:val="fr-CA"/>
        </w:rPr>
        <w:t>Baldree</w:t>
      </w:r>
      <w:proofErr w:type="spellEnd"/>
      <w:r w:rsidRPr="004177DF">
        <w:rPr>
          <w:rFonts w:cs="Times New Roman"/>
          <w:lang w:val="fr-CA"/>
        </w:rPr>
        <w:t xml:space="preserve"> et ses activités, y compris la connaissance actuelle du déménagement récent de ce dernier à l’appartement de M. Lepage.  Si on avait trouvé dans l’appartement de ce dernier une liste de dettes portant les empreintes digitales de M. </w:t>
      </w:r>
      <w:proofErr w:type="spellStart"/>
      <w:r w:rsidRPr="004177DF">
        <w:rPr>
          <w:rFonts w:cs="Times New Roman"/>
          <w:lang w:val="fr-CA"/>
        </w:rPr>
        <w:t>Baldree</w:t>
      </w:r>
      <w:proofErr w:type="spellEnd"/>
      <w:r w:rsidRPr="004177DF">
        <w:rPr>
          <w:rFonts w:cs="Times New Roman"/>
          <w:lang w:val="fr-CA"/>
        </w:rPr>
        <w:t xml:space="preserve">, cela aurait également pu faire l’affaire, à titre de preuve </w:t>
      </w:r>
      <w:proofErr w:type="spellStart"/>
      <w:r w:rsidRPr="004177DF">
        <w:rPr>
          <w:rFonts w:cs="Times New Roman"/>
          <w:lang w:val="fr-CA"/>
        </w:rPr>
        <w:t>corroborante</w:t>
      </w:r>
      <w:proofErr w:type="spellEnd"/>
      <w:r w:rsidRPr="004177DF">
        <w:rPr>
          <w:rFonts w:cs="Times New Roman"/>
          <w:lang w:val="fr-CA"/>
        </w:rPr>
        <w:t xml:space="preserve"> que M. </w:t>
      </w:r>
      <w:proofErr w:type="spellStart"/>
      <w:r w:rsidRPr="004177DF">
        <w:rPr>
          <w:rFonts w:cs="Times New Roman"/>
          <w:lang w:val="fr-CA"/>
        </w:rPr>
        <w:t>Baldree</w:t>
      </w:r>
      <w:proofErr w:type="spellEnd"/>
      <w:r w:rsidRPr="004177DF">
        <w:rPr>
          <w:rFonts w:cs="Times New Roman"/>
          <w:lang w:val="fr-CA"/>
        </w:rPr>
        <w:t xml:space="preserve"> trempe dans le trafic de drogue.  Il est possible d’imaginer d’autres scénarios.</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 xml:space="preserve">Mon propos est simplement le suivant : si les circonstances avaient été quelque peu différentes, elles auraient pu permettre de déterminer si l’auteur de l’appel </w:t>
      </w:r>
      <w:r w:rsidRPr="004177DF">
        <w:rPr>
          <w:rFonts w:cs="Times New Roman"/>
          <w:i/>
          <w:lang w:val="fr-CA"/>
        </w:rPr>
        <w:t>croyait</w:t>
      </w:r>
      <w:r w:rsidRPr="004177DF">
        <w:rPr>
          <w:rFonts w:cs="Times New Roman"/>
          <w:lang w:val="fr-CA"/>
        </w:rPr>
        <w:t xml:space="preserve"> que M. </w:t>
      </w:r>
      <w:proofErr w:type="spellStart"/>
      <w:r w:rsidRPr="004177DF">
        <w:rPr>
          <w:rFonts w:cs="Times New Roman"/>
          <w:lang w:val="fr-CA"/>
        </w:rPr>
        <w:t>Baldree</w:t>
      </w:r>
      <w:proofErr w:type="spellEnd"/>
      <w:r w:rsidRPr="004177DF">
        <w:rPr>
          <w:rFonts w:cs="Times New Roman"/>
          <w:lang w:val="fr-CA"/>
        </w:rPr>
        <w:t xml:space="preserve"> était un trafiquant de drogue </w:t>
      </w:r>
      <w:r w:rsidRPr="004177DF">
        <w:rPr>
          <w:rFonts w:cs="Times New Roman"/>
          <w:i/>
          <w:lang w:val="fr-CA"/>
        </w:rPr>
        <w:t>et</w:t>
      </w:r>
      <w:r w:rsidRPr="004177DF">
        <w:rPr>
          <w:rFonts w:cs="Times New Roman"/>
          <w:lang w:val="fr-CA"/>
        </w:rPr>
        <w:t xml:space="preserve"> si sa croyance était vraie </w:t>
      </w:r>
      <w:r w:rsidRPr="004177DF">
        <w:rPr>
          <w:rFonts w:cs="Times New Roman"/>
          <w:i/>
          <w:lang w:val="fr-CA"/>
        </w:rPr>
        <w:t>dans les faits</w:t>
      </w:r>
      <w:r w:rsidRPr="004177DF">
        <w:rPr>
          <w:rFonts w:cs="Times New Roman"/>
          <w:lang w:val="fr-CA"/>
        </w:rPr>
        <w:t xml:space="preserve">.  Voilà ce qu’il faut pour satisfaire au seuil de fiabilité.  Outre les </w:t>
      </w:r>
      <w:r w:rsidRPr="004177DF">
        <w:rPr>
          <w:rFonts w:cs="Times New Roman"/>
          <w:lang w:val="fr-CA"/>
        </w:rPr>
        <w:lastRenderedPageBreak/>
        <w:t xml:space="preserve">éléments factuels de la présente affaire, nous ne pouvons prédire les circonstances susceptibles d’entourer à l’avenir un autre coup de fil.  Je fais donc une mise en garde contre l’idée que seuls de multiples appels peuvent constituer une preuve fiable.  </w:t>
      </w:r>
    </w:p>
    <w:p w:rsidR="009D7689" w:rsidRPr="004177DF" w:rsidRDefault="009D7689" w:rsidP="009D7689">
      <w:pPr>
        <w:pStyle w:val="TitleTitre-AltT"/>
        <w:tabs>
          <w:tab w:val="clear" w:pos="360"/>
        </w:tabs>
        <w:ind w:left="0" w:firstLine="0"/>
        <w:rPr>
          <w:rFonts w:cs="Times New Roman"/>
          <w:lang w:val="fr-CA"/>
        </w:rPr>
      </w:pPr>
      <w:r w:rsidRPr="004177DF">
        <w:rPr>
          <w:rFonts w:cs="Times New Roman"/>
          <w:lang w:val="fr-CA"/>
        </w:rPr>
        <w:t>III.</w:t>
      </w:r>
      <w:r w:rsidRPr="004177DF">
        <w:rPr>
          <w:rFonts w:cs="Times New Roman"/>
          <w:lang w:val="fr-CA"/>
        </w:rPr>
        <w:tab/>
      </w:r>
      <w:r w:rsidRPr="004177DF">
        <w:rPr>
          <w:rFonts w:cs="Times New Roman"/>
          <w:u w:val="single"/>
          <w:lang w:val="fr-CA"/>
        </w:rPr>
        <w:t>Conclusion</w:t>
      </w:r>
    </w:p>
    <w:p w:rsidR="009D7689" w:rsidRPr="004177DF" w:rsidRDefault="009D7689" w:rsidP="009D7689">
      <w:pPr>
        <w:pStyle w:val="ParaNoNdepar-AltN"/>
        <w:tabs>
          <w:tab w:val="clear" w:pos="1166"/>
          <w:tab w:val="num" w:pos="1152"/>
        </w:tabs>
        <w:rPr>
          <w:rFonts w:cs="Times New Roman"/>
          <w:lang w:val="fr-CA"/>
        </w:rPr>
      </w:pPr>
      <w:r w:rsidRPr="004177DF">
        <w:rPr>
          <w:rFonts w:cs="Times New Roman"/>
          <w:lang w:val="fr-CA"/>
        </w:rPr>
        <w:t>Sous réserve des commentaires formulés dans les présentes, je souscris aux motifs de mon collègue.  Par conséquent, je suis d’avis de rejeter l’appel.</w:t>
      </w:r>
    </w:p>
    <w:p w:rsidR="004D7D95" w:rsidRPr="009D7FA7" w:rsidRDefault="00430313" w:rsidP="001954BD">
      <w:pPr>
        <w:pStyle w:val="SCCNormalDoubleSpacing"/>
        <w:spacing w:after="480"/>
        <w:rPr>
          <w:lang w:val="fr-CA"/>
        </w:rPr>
      </w:pPr>
      <w:r w:rsidRPr="009D7FA7">
        <w:rPr>
          <w:lang w:val="fr-CA"/>
        </w:rPr>
        <w:tab/>
      </w:r>
      <w:r w:rsidRPr="009D7FA7">
        <w:rPr>
          <w:i/>
          <w:lang w:val="fr-CA"/>
        </w:rPr>
        <w:t>Pourvoi rejeté.</w:t>
      </w:r>
      <w:r w:rsidRPr="009D7FA7">
        <w:rPr>
          <w:lang w:val="fr-CA"/>
        </w:rPr>
        <w:t xml:space="preserve"> </w:t>
      </w:r>
    </w:p>
    <w:p w:rsidR="00430313" w:rsidRPr="009D7FA7" w:rsidRDefault="00430313" w:rsidP="001954BD">
      <w:pPr>
        <w:pStyle w:val="SCCLawFirm"/>
        <w:spacing w:after="480"/>
        <w:rPr>
          <w:lang w:val="fr-CA"/>
        </w:rPr>
      </w:pPr>
      <w:r w:rsidRPr="009D7FA7">
        <w:rPr>
          <w:lang w:val="fr-CA"/>
        </w:rPr>
        <w:tab/>
        <w:t>Procureur de l’</w:t>
      </w:r>
      <w:r w:rsidR="001954BD" w:rsidRPr="009D7FA7">
        <w:rPr>
          <w:lang w:val="fr-CA"/>
        </w:rPr>
        <w:t>appelante</w:t>
      </w:r>
      <w:r w:rsidR="00061ED6" w:rsidRPr="009D7FA7">
        <w:rPr>
          <w:lang w:val="fr-CA"/>
        </w:rPr>
        <w:t> :</w:t>
      </w:r>
      <w:r w:rsidR="001954BD" w:rsidRPr="009D7FA7">
        <w:rPr>
          <w:lang w:val="fr-CA"/>
        </w:rPr>
        <w:t> </w:t>
      </w:r>
      <w:r w:rsidRPr="009D7FA7">
        <w:rPr>
          <w:lang w:val="fr-CA"/>
        </w:rPr>
        <w:t>Service des poursuites pénales du Canada, Brampton.</w:t>
      </w:r>
    </w:p>
    <w:p w:rsidR="00430313" w:rsidRPr="009D7FA7" w:rsidRDefault="00430313" w:rsidP="001954BD">
      <w:pPr>
        <w:pStyle w:val="SCCLawFirm"/>
        <w:spacing w:after="480"/>
        <w:rPr>
          <w:lang w:val="fr-CA"/>
        </w:rPr>
      </w:pPr>
      <w:r w:rsidRPr="009D7FA7">
        <w:rPr>
          <w:lang w:val="fr-CA"/>
        </w:rPr>
        <w:tab/>
        <w:t>Procureurs de l’</w:t>
      </w:r>
      <w:r w:rsidR="001954BD" w:rsidRPr="009D7FA7">
        <w:rPr>
          <w:lang w:val="fr-CA"/>
        </w:rPr>
        <w:t>intimé</w:t>
      </w:r>
      <w:r w:rsidR="00061ED6" w:rsidRPr="009D7FA7">
        <w:rPr>
          <w:lang w:val="fr-CA"/>
        </w:rPr>
        <w:t> :</w:t>
      </w:r>
      <w:r w:rsidR="001954BD" w:rsidRPr="009D7FA7">
        <w:rPr>
          <w:lang w:val="fr-CA"/>
        </w:rPr>
        <w:t> </w:t>
      </w:r>
      <w:proofErr w:type="spellStart"/>
      <w:r w:rsidRPr="009D7FA7">
        <w:rPr>
          <w:lang w:val="fr-CA"/>
        </w:rPr>
        <w:t>F</w:t>
      </w:r>
      <w:r w:rsidR="00C7190F" w:rsidRPr="009D7FA7">
        <w:rPr>
          <w:lang w:val="fr-CA"/>
        </w:rPr>
        <w:t>o</w:t>
      </w:r>
      <w:r w:rsidRPr="009D7FA7">
        <w:rPr>
          <w:lang w:val="fr-CA"/>
        </w:rPr>
        <w:t>ord</w:t>
      </w:r>
      <w:proofErr w:type="spellEnd"/>
      <w:r w:rsidRPr="009D7FA7">
        <w:rPr>
          <w:lang w:val="fr-CA"/>
        </w:rPr>
        <w:t xml:space="preserve"> Davies, Ottawa.</w:t>
      </w:r>
    </w:p>
    <w:p w:rsidR="009B57B3" w:rsidRDefault="00430313" w:rsidP="009D7689">
      <w:pPr>
        <w:pStyle w:val="SCCLawFirm"/>
        <w:rPr>
          <w:b/>
          <w:i w:val="0"/>
          <w:lang w:val="fr-CA"/>
        </w:rPr>
      </w:pPr>
      <w:r w:rsidRPr="009D7FA7">
        <w:rPr>
          <w:lang w:val="fr-CA"/>
        </w:rPr>
        <w:tab/>
        <w:t>Procureur de l’intervenant</w:t>
      </w:r>
      <w:r w:rsidR="00061ED6" w:rsidRPr="009D7FA7">
        <w:rPr>
          <w:lang w:val="fr-CA"/>
        </w:rPr>
        <w:t> :</w:t>
      </w:r>
      <w:r w:rsidR="001954BD" w:rsidRPr="009D7FA7">
        <w:rPr>
          <w:lang w:val="fr-CA"/>
        </w:rPr>
        <w:t> </w:t>
      </w:r>
      <w:r w:rsidRPr="009D7FA7">
        <w:rPr>
          <w:lang w:val="fr-CA"/>
        </w:rPr>
        <w:t>Procureur général de l'Ontario, Toronto.</w:t>
      </w:r>
    </w:p>
    <w:p w:rsidR="009D7689" w:rsidRPr="009D7689" w:rsidRDefault="009D7689" w:rsidP="009D7689">
      <w:pPr>
        <w:pStyle w:val="SCCNormalDoubleSpacing"/>
        <w:rPr>
          <w:lang w:val="fr-CA"/>
        </w:rPr>
      </w:pPr>
    </w:p>
    <w:sectPr w:rsidR="009D7689" w:rsidRPr="009D7689"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B3B" w:rsidRDefault="001A7B3B">
      <w:r>
        <w:separator/>
      </w:r>
    </w:p>
  </w:endnote>
  <w:endnote w:type="continuationSeparator" w:id="0">
    <w:p w:rsidR="001A7B3B" w:rsidRDefault="001A7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B3B" w:rsidRDefault="001A7B3B">
      <w:r>
        <w:separator/>
      </w:r>
    </w:p>
  </w:footnote>
  <w:footnote w:type="continuationSeparator" w:id="0">
    <w:p w:rsidR="001A7B3B" w:rsidRDefault="001A7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8BA"/>
    <w:multiLevelType w:val="hybridMultilevel"/>
    <w:tmpl w:val="1916DF52"/>
    <w:lvl w:ilvl="0" w:tplc="E4A06BB2">
      <w:start w:val="1"/>
      <w:numFmt w:val="upperLetter"/>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C85F31"/>
    <w:multiLevelType w:val="hybridMultilevel"/>
    <w:tmpl w:val="7CD207AC"/>
    <w:lvl w:ilvl="0" w:tplc="F67E02B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21D2775"/>
    <w:multiLevelType w:val="hybridMultilevel"/>
    <w:tmpl w:val="7A56DC48"/>
    <w:lvl w:ilvl="0" w:tplc="DAFA4506">
      <w:start w:val="1"/>
      <w:numFmt w:val="upperLetter"/>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4">
    <w:nsid w:val="1F926109"/>
    <w:multiLevelType w:val="hybridMultilevel"/>
    <w:tmpl w:val="E5E29344"/>
    <w:lvl w:ilvl="0" w:tplc="54A0125E">
      <w:start w:val="1"/>
      <w:numFmt w:val="upperLetter"/>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B8B3BF3"/>
    <w:multiLevelType w:val="hybridMultilevel"/>
    <w:tmpl w:val="15B2CE66"/>
    <w:lvl w:ilvl="0" w:tplc="4ED0F628">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1C463EB"/>
    <w:multiLevelType w:val="hybridMultilevel"/>
    <w:tmpl w:val="12129CA6"/>
    <w:lvl w:ilvl="0" w:tplc="C37C277C">
      <w:start w:val="3"/>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D357C0"/>
    <w:multiLevelType w:val="hybridMultilevel"/>
    <w:tmpl w:val="DF1497AC"/>
    <w:lvl w:ilvl="0" w:tplc="504E1E26">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4283EE8"/>
    <w:multiLevelType w:val="multilevel"/>
    <w:tmpl w:val="09D46714"/>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15D6E2A"/>
    <w:multiLevelType w:val="hybridMultilevel"/>
    <w:tmpl w:val="340898BE"/>
    <w:lvl w:ilvl="0" w:tplc="7A30F91C">
      <w:start w:val="1"/>
      <w:numFmt w:val="upperLetter"/>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3">
    <w:nsid w:val="649A3458"/>
    <w:multiLevelType w:val="hybridMultilevel"/>
    <w:tmpl w:val="2B84C3EE"/>
    <w:lvl w:ilvl="0" w:tplc="A54A7D9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7B265D2"/>
    <w:multiLevelType w:val="hybridMultilevel"/>
    <w:tmpl w:val="727A1E72"/>
    <w:lvl w:ilvl="0" w:tplc="80106E7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9466868"/>
    <w:multiLevelType w:val="hybridMultilevel"/>
    <w:tmpl w:val="4D4CB0E2"/>
    <w:lvl w:ilvl="0" w:tplc="83EC6918">
      <w:start w:val="1"/>
      <w:numFmt w:val="upperLetter"/>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num w:numId="1">
    <w:abstractNumId w:val="11"/>
  </w:num>
  <w:num w:numId="2">
    <w:abstractNumId w:val="14"/>
  </w:num>
  <w:num w:numId="3">
    <w:abstractNumId w:val="5"/>
  </w:num>
  <w:num w:numId="4">
    <w:abstractNumId w:val="1"/>
  </w:num>
  <w:num w:numId="5">
    <w:abstractNumId w:val="9"/>
  </w:num>
  <w:num w:numId="6">
    <w:abstractNumId w:val="10"/>
  </w:num>
  <w:num w:numId="7">
    <w:abstractNumId w:val="12"/>
  </w:num>
  <w:num w:numId="8">
    <w:abstractNumId w:val="3"/>
  </w:num>
  <w:num w:numId="9">
    <w:abstractNumId w:val="4"/>
  </w:num>
  <w:num w:numId="10">
    <w:abstractNumId w:val="0"/>
  </w:num>
  <w:num w:numId="11">
    <w:abstractNumId w:val="16"/>
  </w:num>
  <w:num w:numId="12">
    <w:abstractNumId w:val="2"/>
  </w:num>
  <w:num w:numId="13">
    <w:abstractNumId w:val="8"/>
  </w:num>
  <w:num w:numId="14">
    <w:abstractNumId w:val="15"/>
  </w:num>
  <w:num w:numId="15">
    <w:abstractNumId w:val="13"/>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rsids>
    <w:rsidRoot w:val="0031414C"/>
    <w:rsid w:val="00000ED4"/>
    <w:rsid w:val="0000519D"/>
    <w:rsid w:val="00023FC7"/>
    <w:rsid w:val="00025198"/>
    <w:rsid w:val="0003388D"/>
    <w:rsid w:val="00056CE2"/>
    <w:rsid w:val="000578A3"/>
    <w:rsid w:val="00061ED6"/>
    <w:rsid w:val="00062013"/>
    <w:rsid w:val="00062540"/>
    <w:rsid w:val="000648CC"/>
    <w:rsid w:val="00075229"/>
    <w:rsid w:val="00097419"/>
    <w:rsid w:val="000A3785"/>
    <w:rsid w:val="000A3C53"/>
    <w:rsid w:val="000B4532"/>
    <w:rsid w:val="000B4FB3"/>
    <w:rsid w:val="000B7868"/>
    <w:rsid w:val="000C3E41"/>
    <w:rsid w:val="000C44B3"/>
    <w:rsid w:val="000C59B8"/>
    <w:rsid w:val="000C6AF0"/>
    <w:rsid w:val="000C7B99"/>
    <w:rsid w:val="000D0A77"/>
    <w:rsid w:val="000E6B52"/>
    <w:rsid w:val="000F0804"/>
    <w:rsid w:val="000F66BD"/>
    <w:rsid w:val="000F7993"/>
    <w:rsid w:val="00101021"/>
    <w:rsid w:val="00104F33"/>
    <w:rsid w:val="00107D81"/>
    <w:rsid w:val="00111618"/>
    <w:rsid w:val="00111DE2"/>
    <w:rsid w:val="00116B38"/>
    <w:rsid w:val="00135406"/>
    <w:rsid w:val="00135972"/>
    <w:rsid w:val="001405A5"/>
    <w:rsid w:val="001426A9"/>
    <w:rsid w:val="001470F2"/>
    <w:rsid w:val="00154D7C"/>
    <w:rsid w:val="001570B0"/>
    <w:rsid w:val="0015752C"/>
    <w:rsid w:val="00157737"/>
    <w:rsid w:val="001633E6"/>
    <w:rsid w:val="00165277"/>
    <w:rsid w:val="00167BFE"/>
    <w:rsid w:val="00170592"/>
    <w:rsid w:val="00170A85"/>
    <w:rsid w:val="001720F7"/>
    <w:rsid w:val="00183AE1"/>
    <w:rsid w:val="001954BD"/>
    <w:rsid w:val="00195D83"/>
    <w:rsid w:val="001A00C1"/>
    <w:rsid w:val="001A7B3B"/>
    <w:rsid w:val="001B33E0"/>
    <w:rsid w:val="001B41D1"/>
    <w:rsid w:val="001B4573"/>
    <w:rsid w:val="001C779F"/>
    <w:rsid w:val="001D15E8"/>
    <w:rsid w:val="001D2AC1"/>
    <w:rsid w:val="001D4E88"/>
    <w:rsid w:val="001F3BCD"/>
    <w:rsid w:val="001F5756"/>
    <w:rsid w:val="00202665"/>
    <w:rsid w:val="0020769D"/>
    <w:rsid w:val="00220FC2"/>
    <w:rsid w:val="002222F4"/>
    <w:rsid w:val="00224FC0"/>
    <w:rsid w:val="00225EA4"/>
    <w:rsid w:val="00226EAF"/>
    <w:rsid w:val="00231F3A"/>
    <w:rsid w:val="00237649"/>
    <w:rsid w:val="002406EE"/>
    <w:rsid w:val="00243EC8"/>
    <w:rsid w:val="00261C6A"/>
    <w:rsid w:val="0026521A"/>
    <w:rsid w:val="002671B6"/>
    <w:rsid w:val="00270D93"/>
    <w:rsid w:val="002745CC"/>
    <w:rsid w:val="002A3008"/>
    <w:rsid w:val="002A77C4"/>
    <w:rsid w:val="002B6FBE"/>
    <w:rsid w:val="002B7924"/>
    <w:rsid w:val="002C10A6"/>
    <w:rsid w:val="002C40F4"/>
    <w:rsid w:val="002D2220"/>
    <w:rsid w:val="002D28C3"/>
    <w:rsid w:val="002D39A4"/>
    <w:rsid w:val="002E6705"/>
    <w:rsid w:val="002E7F91"/>
    <w:rsid w:val="002F265D"/>
    <w:rsid w:val="002F3A2B"/>
    <w:rsid w:val="002F639B"/>
    <w:rsid w:val="0030329A"/>
    <w:rsid w:val="0031086F"/>
    <w:rsid w:val="0031414C"/>
    <w:rsid w:val="00314E01"/>
    <w:rsid w:val="0032089D"/>
    <w:rsid w:val="003310DE"/>
    <w:rsid w:val="003323B0"/>
    <w:rsid w:val="0033348B"/>
    <w:rsid w:val="00340A49"/>
    <w:rsid w:val="00341A31"/>
    <w:rsid w:val="003505D5"/>
    <w:rsid w:val="0035169A"/>
    <w:rsid w:val="0035259D"/>
    <w:rsid w:val="00364B18"/>
    <w:rsid w:val="00386205"/>
    <w:rsid w:val="00386DB4"/>
    <w:rsid w:val="003A125D"/>
    <w:rsid w:val="003A4C70"/>
    <w:rsid w:val="003B215F"/>
    <w:rsid w:val="003B61A4"/>
    <w:rsid w:val="003C1219"/>
    <w:rsid w:val="003C799C"/>
    <w:rsid w:val="003D0399"/>
    <w:rsid w:val="003D7376"/>
    <w:rsid w:val="003E0A0A"/>
    <w:rsid w:val="003E1C71"/>
    <w:rsid w:val="003F327B"/>
    <w:rsid w:val="00406166"/>
    <w:rsid w:val="0040704B"/>
    <w:rsid w:val="00410A55"/>
    <w:rsid w:val="00411300"/>
    <w:rsid w:val="0041316B"/>
    <w:rsid w:val="00413F17"/>
    <w:rsid w:val="00415417"/>
    <w:rsid w:val="00426659"/>
    <w:rsid w:val="0042764F"/>
    <w:rsid w:val="00430313"/>
    <w:rsid w:val="00450352"/>
    <w:rsid w:val="00450B3A"/>
    <w:rsid w:val="00454BDB"/>
    <w:rsid w:val="0046400D"/>
    <w:rsid w:val="00464A3A"/>
    <w:rsid w:val="00465132"/>
    <w:rsid w:val="004714D3"/>
    <w:rsid w:val="00476E51"/>
    <w:rsid w:val="00480C90"/>
    <w:rsid w:val="0048396F"/>
    <w:rsid w:val="00486D2B"/>
    <w:rsid w:val="0049096B"/>
    <w:rsid w:val="00493C18"/>
    <w:rsid w:val="004A600C"/>
    <w:rsid w:val="004A6118"/>
    <w:rsid w:val="004B7A82"/>
    <w:rsid w:val="004C0FF8"/>
    <w:rsid w:val="004C3954"/>
    <w:rsid w:val="004C4113"/>
    <w:rsid w:val="004C478D"/>
    <w:rsid w:val="004D4EB2"/>
    <w:rsid w:val="004D527C"/>
    <w:rsid w:val="004D7D95"/>
    <w:rsid w:val="004E2C26"/>
    <w:rsid w:val="004E70F2"/>
    <w:rsid w:val="004F57B8"/>
    <w:rsid w:val="00503F55"/>
    <w:rsid w:val="00510E07"/>
    <w:rsid w:val="005125A8"/>
    <w:rsid w:val="00517549"/>
    <w:rsid w:val="00520ABC"/>
    <w:rsid w:val="00521AE8"/>
    <w:rsid w:val="00522560"/>
    <w:rsid w:val="00527180"/>
    <w:rsid w:val="0053130F"/>
    <w:rsid w:val="0053634F"/>
    <w:rsid w:val="005522FD"/>
    <w:rsid w:val="00555291"/>
    <w:rsid w:val="00566AD1"/>
    <w:rsid w:val="0058209F"/>
    <w:rsid w:val="00583EDE"/>
    <w:rsid w:val="00594184"/>
    <w:rsid w:val="005946B2"/>
    <w:rsid w:val="005A4335"/>
    <w:rsid w:val="005A6079"/>
    <w:rsid w:val="005A7683"/>
    <w:rsid w:val="005C62C4"/>
    <w:rsid w:val="005E1113"/>
    <w:rsid w:val="005E4698"/>
    <w:rsid w:val="00601195"/>
    <w:rsid w:val="00603924"/>
    <w:rsid w:val="0060514C"/>
    <w:rsid w:val="00610539"/>
    <w:rsid w:val="00613969"/>
    <w:rsid w:val="00625C35"/>
    <w:rsid w:val="0063227F"/>
    <w:rsid w:val="00641E8B"/>
    <w:rsid w:val="00647E49"/>
    <w:rsid w:val="00656313"/>
    <w:rsid w:val="006565F4"/>
    <w:rsid w:val="00682CB3"/>
    <w:rsid w:val="00684EEA"/>
    <w:rsid w:val="00687354"/>
    <w:rsid w:val="006877B7"/>
    <w:rsid w:val="006914FC"/>
    <w:rsid w:val="006951A1"/>
    <w:rsid w:val="0069689B"/>
    <w:rsid w:val="006B5FF5"/>
    <w:rsid w:val="006C51B9"/>
    <w:rsid w:val="006C5FB1"/>
    <w:rsid w:val="006D4463"/>
    <w:rsid w:val="006E76A3"/>
    <w:rsid w:val="006F30AF"/>
    <w:rsid w:val="006F6556"/>
    <w:rsid w:val="00701759"/>
    <w:rsid w:val="00705C15"/>
    <w:rsid w:val="007110F6"/>
    <w:rsid w:val="007208D1"/>
    <w:rsid w:val="00744518"/>
    <w:rsid w:val="00747288"/>
    <w:rsid w:val="00747DD3"/>
    <w:rsid w:val="007549C8"/>
    <w:rsid w:val="00766D14"/>
    <w:rsid w:val="00767A0F"/>
    <w:rsid w:val="00791272"/>
    <w:rsid w:val="00796594"/>
    <w:rsid w:val="007A05F6"/>
    <w:rsid w:val="007A520A"/>
    <w:rsid w:val="007B6F4A"/>
    <w:rsid w:val="007B786A"/>
    <w:rsid w:val="007D205C"/>
    <w:rsid w:val="007D4273"/>
    <w:rsid w:val="007E1C47"/>
    <w:rsid w:val="007E337A"/>
    <w:rsid w:val="007E5C70"/>
    <w:rsid w:val="007F2FF5"/>
    <w:rsid w:val="007F3F08"/>
    <w:rsid w:val="00804CC6"/>
    <w:rsid w:val="00817190"/>
    <w:rsid w:val="008260E2"/>
    <w:rsid w:val="00826A77"/>
    <w:rsid w:val="008322BD"/>
    <w:rsid w:val="00834F73"/>
    <w:rsid w:val="00853111"/>
    <w:rsid w:val="00864C8A"/>
    <w:rsid w:val="00864CF8"/>
    <w:rsid w:val="00873FA5"/>
    <w:rsid w:val="00874914"/>
    <w:rsid w:val="008904B5"/>
    <w:rsid w:val="00891422"/>
    <w:rsid w:val="00892E1A"/>
    <w:rsid w:val="00893066"/>
    <w:rsid w:val="008A452B"/>
    <w:rsid w:val="008A6E72"/>
    <w:rsid w:val="008A7DC0"/>
    <w:rsid w:val="008B660A"/>
    <w:rsid w:val="008C01DA"/>
    <w:rsid w:val="008E43FC"/>
    <w:rsid w:val="008F2674"/>
    <w:rsid w:val="008F78E9"/>
    <w:rsid w:val="00901064"/>
    <w:rsid w:val="009179F9"/>
    <w:rsid w:val="00917C7A"/>
    <w:rsid w:val="00923DB8"/>
    <w:rsid w:val="00926150"/>
    <w:rsid w:val="00933E5E"/>
    <w:rsid w:val="00935085"/>
    <w:rsid w:val="00935218"/>
    <w:rsid w:val="00937C52"/>
    <w:rsid w:val="009403F3"/>
    <w:rsid w:val="00943C67"/>
    <w:rsid w:val="00945C17"/>
    <w:rsid w:val="00952027"/>
    <w:rsid w:val="00954659"/>
    <w:rsid w:val="009555B7"/>
    <w:rsid w:val="00956132"/>
    <w:rsid w:val="009567AA"/>
    <w:rsid w:val="009602C9"/>
    <w:rsid w:val="00967374"/>
    <w:rsid w:val="009A343A"/>
    <w:rsid w:val="009A3A02"/>
    <w:rsid w:val="009A6277"/>
    <w:rsid w:val="009B2F23"/>
    <w:rsid w:val="009B57B3"/>
    <w:rsid w:val="009B5ED1"/>
    <w:rsid w:val="009C404F"/>
    <w:rsid w:val="009C750B"/>
    <w:rsid w:val="009C7D2A"/>
    <w:rsid w:val="009D2920"/>
    <w:rsid w:val="009D5AEB"/>
    <w:rsid w:val="009D7689"/>
    <w:rsid w:val="009D7FA7"/>
    <w:rsid w:val="009F0E33"/>
    <w:rsid w:val="00A149DF"/>
    <w:rsid w:val="00A1755C"/>
    <w:rsid w:val="00A21B90"/>
    <w:rsid w:val="00A22AAC"/>
    <w:rsid w:val="00A25928"/>
    <w:rsid w:val="00A41805"/>
    <w:rsid w:val="00A51882"/>
    <w:rsid w:val="00A52AFB"/>
    <w:rsid w:val="00A548CB"/>
    <w:rsid w:val="00A5521C"/>
    <w:rsid w:val="00A62E64"/>
    <w:rsid w:val="00A643E7"/>
    <w:rsid w:val="00A73C38"/>
    <w:rsid w:val="00A75EBB"/>
    <w:rsid w:val="00AA4FBB"/>
    <w:rsid w:val="00AA6756"/>
    <w:rsid w:val="00AA7D18"/>
    <w:rsid w:val="00AB670D"/>
    <w:rsid w:val="00AD3EF9"/>
    <w:rsid w:val="00AD5D99"/>
    <w:rsid w:val="00AF03C5"/>
    <w:rsid w:val="00B000D8"/>
    <w:rsid w:val="00B0068E"/>
    <w:rsid w:val="00B00F75"/>
    <w:rsid w:val="00B075A5"/>
    <w:rsid w:val="00B145B6"/>
    <w:rsid w:val="00B279EB"/>
    <w:rsid w:val="00B3226A"/>
    <w:rsid w:val="00B36E3A"/>
    <w:rsid w:val="00B447C9"/>
    <w:rsid w:val="00B50C81"/>
    <w:rsid w:val="00B557F8"/>
    <w:rsid w:val="00B55D65"/>
    <w:rsid w:val="00B76BBD"/>
    <w:rsid w:val="00B815FC"/>
    <w:rsid w:val="00B93FBC"/>
    <w:rsid w:val="00BA7DA0"/>
    <w:rsid w:val="00BB2EE4"/>
    <w:rsid w:val="00BB2F8A"/>
    <w:rsid w:val="00BB4C92"/>
    <w:rsid w:val="00BC0CCF"/>
    <w:rsid w:val="00BC2108"/>
    <w:rsid w:val="00BC6AC7"/>
    <w:rsid w:val="00BD0E9E"/>
    <w:rsid w:val="00BD1BEC"/>
    <w:rsid w:val="00BD32FF"/>
    <w:rsid w:val="00BE01ED"/>
    <w:rsid w:val="00BF0A99"/>
    <w:rsid w:val="00BF6FE9"/>
    <w:rsid w:val="00C02092"/>
    <w:rsid w:val="00C24BA3"/>
    <w:rsid w:val="00C24D91"/>
    <w:rsid w:val="00C26DB2"/>
    <w:rsid w:val="00C41A6A"/>
    <w:rsid w:val="00C53F14"/>
    <w:rsid w:val="00C600CF"/>
    <w:rsid w:val="00C6084F"/>
    <w:rsid w:val="00C62A66"/>
    <w:rsid w:val="00C65A4E"/>
    <w:rsid w:val="00C65C9B"/>
    <w:rsid w:val="00C66359"/>
    <w:rsid w:val="00C71458"/>
    <w:rsid w:val="00C7190F"/>
    <w:rsid w:val="00C7226D"/>
    <w:rsid w:val="00C73927"/>
    <w:rsid w:val="00C77613"/>
    <w:rsid w:val="00C828E7"/>
    <w:rsid w:val="00C86719"/>
    <w:rsid w:val="00C87908"/>
    <w:rsid w:val="00C921DD"/>
    <w:rsid w:val="00CA2D62"/>
    <w:rsid w:val="00CA6391"/>
    <w:rsid w:val="00CC7FA5"/>
    <w:rsid w:val="00CD2646"/>
    <w:rsid w:val="00CE036E"/>
    <w:rsid w:val="00CE3171"/>
    <w:rsid w:val="00CF1601"/>
    <w:rsid w:val="00CF17EE"/>
    <w:rsid w:val="00CF3330"/>
    <w:rsid w:val="00D0172F"/>
    <w:rsid w:val="00D01E33"/>
    <w:rsid w:val="00D068A7"/>
    <w:rsid w:val="00D17476"/>
    <w:rsid w:val="00D32086"/>
    <w:rsid w:val="00D34AA2"/>
    <w:rsid w:val="00D35E4D"/>
    <w:rsid w:val="00D37A3F"/>
    <w:rsid w:val="00D4431D"/>
    <w:rsid w:val="00D4667A"/>
    <w:rsid w:val="00D54B8A"/>
    <w:rsid w:val="00D61AC7"/>
    <w:rsid w:val="00D63A1C"/>
    <w:rsid w:val="00D63E60"/>
    <w:rsid w:val="00D702F7"/>
    <w:rsid w:val="00D7516F"/>
    <w:rsid w:val="00D95F8E"/>
    <w:rsid w:val="00DA0590"/>
    <w:rsid w:val="00DC01D5"/>
    <w:rsid w:val="00DC1739"/>
    <w:rsid w:val="00DC1788"/>
    <w:rsid w:val="00DE319C"/>
    <w:rsid w:val="00DF0CA8"/>
    <w:rsid w:val="00DF2B48"/>
    <w:rsid w:val="00DF49A7"/>
    <w:rsid w:val="00DF7D4B"/>
    <w:rsid w:val="00E07EE2"/>
    <w:rsid w:val="00E07FD1"/>
    <w:rsid w:val="00E11E03"/>
    <w:rsid w:val="00E23ACA"/>
    <w:rsid w:val="00E24573"/>
    <w:rsid w:val="00E25E1E"/>
    <w:rsid w:val="00E27EE7"/>
    <w:rsid w:val="00E35404"/>
    <w:rsid w:val="00E37431"/>
    <w:rsid w:val="00E41058"/>
    <w:rsid w:val="00E45109"/>
    <w:rsid w:val="00E47B7A"/>
    <w:rsid w:val="00E524AB"/>
    <w:rsid w:val="00E56A44"/>
    <w:rsid w:val="00E575E5"/>
    <w:rsid w:val="00E60269"/>
    <w:rsid w:val="00E7653B"/>
    <w:rsid w:val="00E971EF"/>
    <w:rsid w:val="00E97830"/>
    <w:rsid w:val="00EC79FA"/>
    <w:rsid w:val="00EE0830"/>
    <w:rsid w:val="00EE6CB8"/>
    <w:rsid w:val="00EF0683"/>
    <w:rsid w:val="00F0070C"/>
    <w:rsid w:val="00F00EB7"/>
    <w:rsid w:val="00F03AF2"/>
    <w:rsid w:val="00F20592"/>
    <w:rsid w:val="00F30AEB"/>
    <w:rsid w:val="00F34186"/>
    <w:rsid w:val="00F36AB6"/>
    <w:rsid w:val="00F37A09"/>
    <w:rsid w:val="00F409CE"/>
    <w:rsid w:val="00F41D75"/>
    <w:rsid w:val="00F42FA6"/>
    <w:rsid w:val="00F4379D"/>
    <w:rsid w:val="00F50D2D"/>
    <w:rsid w:val="00F56C8B"/>
    <w:rsid w:val="00F62639"/>
    <w:rsid w:val="00F66810"/>
    <w:rsid w:val="00F7267D"/>
    <w:rsid w:val="00F84DF4"/>
    <w:rsid w:val="00F85C97"/>
    <w:rsid w:val="00FB37D2"/>
    <w:rsid w:val="00FC4EFB"/>
    <w:rsid w:val="00FD0232"/>
    <w:rsid w:val="00FD068D"/>
    <w:rsid w:val="00FD1D72"/>
    <w:rsid w:val="00FD4F28"/>
    <w:rsid w:val="00FE0E35"/>
    <w:rsid w:val="00FE4DA0"/>
    <w:rsid w:val="00FE6784"/>
    <w:rsid w:val="00FE7A8B"/>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03388D"/>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D7689"/>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D7689"/>
    <w:rPr>
      <w:rFonts w:eastAsiaTheme="minorHAnsi" w:cstheme="minorBidi"/>
      <w:sz w:val="24"/>
      <w:szCs w:val="22"/>
      <w:lang w:eastAsia="en-US"/>
    </w:rPr>
  </w:style>
  <w:style w:type="character" w:customStyle="1" w:styleId="SCCBanSummaryChar">
    <w:name w:val="SCC.BanSummary Char"/>
    <w:basedOn w:val="DefaultParagraphFont"/>
    <w:link w:val="SCCBanSummary"/>
    <w:rsid w:val="009D7689"/>
    <w:rPr>
      <w:b/>
      <w:sz w:val="24"/>
    </w:rPr>
  </w:style>
  <w:style w:type="table" w:styleId="TableGrid">
    <w:name w:val="Table Grid"/>
    <w:basedOn w:val="TableNormal"/>
    <w:uiPriority w:val="59"/>
    <w:rsid w:val="009D76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D768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D768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D7689"/>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9D7689"/>
    <w:pPr>
      <w:keepNext/>
      <w:tabs>
        <w:tab w:val="left" w:pos="360"/>
      </w:tabs>
      <w:spacing w:after="720"/>
      <w:ind w:left="357" w:hanging="357"/>
      <w:jc w:val="both"/>
    </w:pPr>
    <w:rPr>
      <w:rFonts w:eastAsiaTheme="minorHAnsi" w:cstheme="minorBidi"/>
      <w:sz w:val="24"/>
      <w:szCs w:val="22"/>
      <w:lang w:eastAsia="en-US"/>
    </w:rPr>
  </w:style>
  <w:style w:type="paragraph" w:customStyle="1" w:styleId="Default">
    <w:name w:val="Default"/>
    <w:rsid w:val="009D7689"/>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9D7689"/>
    <w:pPr>
      <w:ind w:left="720"/>
      <w:contextualSpacing/>
      <w:jc w:val="both"/>
    </w:pPr>
    <w:rPr>
      <w:rFonts w:asciiTheme="minorHAnsi" w:eastAsiaTheme="minorEastAsia" w:hAnsiTheme="minorHAnsi" w:cstheme="minorBidi"/>
      <w:szCs w:val="22"/>
      <w:lang w:val="en-US" w:eastAsia="en-US" w:bidi="en-US"/>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
    <w:basedOn w:val="Normal"/>
    <w:link w:val="FootnoteTextChar"/>
    <w:uiPriority w:val="99"/>
    <w:unhideWhenUsed/>
    <w:qFormat/>
    <w:rsid w:val="009D7689"/>
    <w:rPr>
      <w:rFonts w:asciiTheme="minorHAnsi" w:eastAsiaTheme="minorEastAsia" w:hAnsiTheme="minorHAnsi" w:cstheme="minorBidi"/>
      <w:sz w:val="20"/>
      <w:lang w:val="en-US" w:eastAsia="en-US" w:bidi="en-US"/>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uiPriority w:val="99"/>
    <w:rsid w:val="009D7689"/>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unhideWhenUsed/>
    <w:rsid w:val="009D7689"/>
    <w:rPr>
      <w:vertAlign w:val="superscript"/>
    </w:rPr>
  </w:style>
  <w:style w:type="paragraph" w:customStyle="1" w:styleId="sccnormaldoublespacing1">
    <w:name w:val="sccnormaldoublespacing1"/>
    <w:basedOn w:val="Normal"/>
    <w:rsid w:val="009D7689"/>
    <w:pPr>
      <w:jc w:val="both"/>
    </w:pPr>
    <w:rPr>
      <w:szCs w:val="24"/>
    </w:rPr>
  </w:style>
  <w:style w:type="table" w:customStyle="1" w:styleId="TableGrid1">
    <w:name w:val="Table Grid1"/>
    <w:basedOn w:val="TableNormal"/>
    <w:next w:val="TableGrid"/>
    <w:uiPriority w:val="59"/>
    <w:rsid w:val="00B0068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13338</Words>
  <Characters>67335</Characters>
  <Application>Microsoft Office Word</Application>
  <DocSecurity>0</DocSecurity>
  <Lines>561</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2014-01-06T22:02:00Z</dcterms:created>
  <dcterms:modified xsi:type="dcterms:W3CDTF">2014-04-07T17:18:00Z</dcterms:modified>
</cp:coreProperties>
</file>