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88" w:rsidRPr="00CB463B" w:rsidRDefault="00B96788" w:rsidP="00B96788">
      <w:pPr>
        <w:tabs>
          <w:tab w:val="center" w:pos="4680"/>
          <w:tab w:val="right" w:pos="9360"/>
        </w:tabs>
        <w:jc w:val="center"/>
        <w:rPr>
          <w:rFonts w:eastAsiaTheme="minorHAnsi" w:cstheme="minorBidi"/>
          <w:szCs w:val="24"/>
          <w:lang w:val="fr-CA" w:eastAsia="en-US"/>
        </w:rPr>
      </w:pPr>
      <w:r w:rsidRPr="00CB463B">
        <w:rPr>
          <w:rFonts w:eastAsiaTheme="minorHAnsi" w:cstheme="minorBidi"/>
          <w:szCs w:val="24"/>
          <w:lang w:val="fr-CA" w:eastAsia="en-US"/>
        </w:rPr>
        <w:object w:dxaOrig="1365" w:dyaOrig="1440">
          <v:shape id="_x0000_i1026" type="#_x0000_t75" style="width:60.6pt;height:65.4pt" o:ole="">
            <v:imagedata r:id="rId8" o:title=""/>
          </v:shape>
          <o:OLEObject Type="Embed" ProgID="Presentations.Drawing.13" ShapeID="_x0000_i1026" DrawAspect="Content" ObjectID="_1458384460" r:id="rId9"/>
        </w:object>
      </w:r>
    </w:p>
    <w:p w:rsidR="00B96788" w:rsidRPr="00CB463B" w:rsidRDefault="00B96788" w:rsidP="00B96788">
      <w:pPr>
        <w:tabs>
          <w:tab w:val="center" w:pos="4680"/>
          <w:tab w:val="right" w:pos="9360"/>
        </w:tabs>
        <w:rPr>
          <w:rFonts w:eastAsiaTheme="minorHAnsi" w:cstheme="minorBidi"/>
          <w:szCs w:val="24"/>
          <w:lang w:val="fr-CA" w:eastAsia="en-US"/>
        </w:rPr>
      </w:pPr>
    </w:p>
    <w:p w:rsidR="00B96788" w:rsidRPr="00CB463B" w:rsidRDefault="00B96788" w:rsidP="00B96788">
      <w:pPr>
        <w:jc w:val="center"/>
        <w:rPr>
          <w:rFonts w:eastAsiaTheme="minorHAnsi" w:cstheme="minorBidi"/>
          <w:b/>
          <w:szCs w:val="24"/>
          <w:lang w:val="fr-CA" w:eastAsia="en-US"/>
        </w:rPr>
      </w:pPr>
      <w:r w:rsidRPr="00CB463B">
        <w:rPr>
          <w:rFonts w:eastAsiaTheme="minorHAnsi" w:cstheme="minorBidi"/>
          <w:b/>
          <w:szCs w:val="24"/>
          <w:lang w:val="fr-CA" w:eastAsia="en-US"/>
        </w:rPr>
        <w:t>COUR SUPRÊME DU CANADA</w:t>
      </w:r>
    </w:p>
    <w:p w:rsidR="00B96788" w:rsidRPr="00CB463B" w:rsidRDefault="00B96788" w:rsidP="00B96788">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96788" w:rsidRPr="00CB463B" w:rsidTr="00666EE5">
        <w:trPr>
          <w:cantSplit/>
        </w:trPr>
        <w:tc>
          <w:tcPr>
            <w:tcW w:w="6768" w:type="dxa"/>
          </w:tcPr>
          <w:p w:rsidR="00B96788" w:rsidRPr="00CB463B" w:rsidRDefault="00B96788" w:rsidP="00666EE5">
            <w:pPr>
              <w:rPr>
                <w:lang w:val="fr-CA"/>
              </w:rPr>
            </w:pPr>
            <w:r w:rsidRPr="00CB463B">
              <w:rPr>
                <w:b/>
                <w:smallCaps/>
                <w:lang w:val="fr-CA"/>
              </w:rPr>
              <w:t>Référence :</w:t>
            </w:r>
            <w:r w:rsidRPr="00CB463B">
              <w:rPr>
                <w:lang w:val="fr-CA"/>
              </w:rPr>
              <w:t xml:space="preserve"> </w:t>
            </w:r>
            <w:proofErr w:type="spellStart"/>
            <w:r w:rsidRPr="00CB463B">
              <w:rPr>
                <w:lang w:val="fr-CA"/>
              </w:rPr>
              <w:t>Ezokola</w:t>
            </w:r>
            <w:proofErr w:type="spellEnd"/>
            <w:r w:rsidRPr="00CB463B">
              <w:rPr>
                <w:lang w:val="fr-CA"/>
              </w:rPr>
              <w:t xml:space="preserve"> </w:t>
            </w:r>
            <w:r w:rsidRPr="00CB463B">
              <w:rPr>
                <w:i/>
                <w:lang w:val="fr-CA"/>
              </w:rPr>
              <w:t>c.</w:t>
            </w:r>
            <w:r w:rsidRPr="00CB463B">
              <w:rPr>
                <w:lang w:val="fr-CA"/>
              </w:rPr>
              <w:t xml:space="preserve"> Canada (Citoyenneté et Immigration), </w:t>
            </w:r>
            <w:r>
              <w:rPr>
                <w:lang w:val="fr-CA"/>
              </w:rPr>
              <w:t>2013 CSC 40, [2013] 2 R.C.S. 678</w:t>
            </w:r>
          </w:p>
        </w:tc>
        <w:tc>
          <w:tcPr>
            <w:tcW w:w="2808" w:type="dxa"/>
          </w:tcPr>
          <w:p w:rsidR="00B96788" w:rsidRPr="00CB463B" w:rsidRDefault="00B96788" w:rsidP="00666EE5">
            <w:pPr>
              <w:rPr>
                <w:lang w:val="fr-CA"/>
              </w:rPr>
            </w:pPr>
            <w:r w:rsidRPr="00CB463B">
              <w:rPr>
                <w:b/>
                <w:smallCaps/>
                <w:lang w:val="fr-CA"/>
              </w:rPr>
              <w:t>Date :</w:t>
            </w:r>
            <w:r w:rsidRPr="00CB463B">
              <w:rPr>
                <w:lang w:val="fr-CA"/>
              </w:rPr>
              <w:t xml:space="preserve"> 20130719</w:t>
            </w:r>
          </w:p>
          <w:p w:rsidR="00B96788" w:rsidRPr="00CB463B" w:rsidRDefault="00B96788" w:rsidP="00666EE5">
            <w:pPr>
              <w:rPr>
                <w:lang w:val="fr-CA"/>
              </w:rPr>
            </w:pPr>
            <w:r w:rsidRPr="00CB463B">
              <w:rPr>
                <w:b/>
                <w:smallCaps/>
                <w:lang w:val="fr-CA"/>
              </w:rPr>
              <w:t>Dossier :</w:t>
            </w:r>
            <w:r w:rsidRPr="00CB463B">
              <w:rPr>
                <w:lang w:val="fr-CA"/>
              </w:rPr>
              <w:t xml:space="preserve"> 34470</w:t>
            </w:r>
          </w:p>
        </w:tc>
      </w:tr>
    </w:tbl>
    <w:p w:rsidR="00B96788" w:rsidRPr="00CB463B" w:rsidRDefault="00B96788" w:rsidP="00B96788">
      <w:pPr>
        <w:rPr>
          <w:rFonts w:eastAsiaTheme="minorHAnsi" w:cstheme="minorBidi"/>
          <w:szCs w:val="24"/>
          <w:lang w:val="fr-CA" w:eastAsia="en-US"/>
        </w:rPr>
      </w:pPr>
    </w:p>
    <w:p w:rsidR="00B96788" w:rsidRPr="00CB463B" w:rsidRDefault="00B96788" w:rsidP="00B96788">
      <w:pPr>
        <w:rPr>
          <w:rFonts w:eastAsiaTheme="minorHAnsi" w:cstheme="minorBidi"/>
          <w:b/>
          <w:smallCaps/>
          <w:szCs w:val="24"/>
          <w:lang w:val="fr-CA" w:eastAsia="en-US"/>
        </w:rPr>
      </w:pPr>
      <w:r w:rsidRPr="00CB463B">
        <w:rPr>
          <w:rFonts w:eastAsiaTheme="minorHAnsi" w:cstheme="minorBidi"/>
          <w:b/>
          <w:smallCaps/>
          <w:szCs w:val="24"/>
          <w:lang w:val="fr-CA" w:eastAsia="en-US"/>
        </w:rPr>
        <w:t>Entre :</w:t>
      </w:r>
    </w:p>
    <w:p w:rsidR="00B96788" w:rsidRPr="00CB463B" w:rsidRDefault="00B96788" w:rsidP="00B96788">
      <w:pPr>
        <w:jc w:val="center"/>
        <w:rPr>
          <w:rFonts w:eastAsiaTheme="minorHAnsi" w:cstheme="minorBidi"/>
          <w:b/>
          <w:szCs w:val="24"/>
          <w:lang w:val="fr-CA" w:eastAsia="en-US"/>
        </w:rPr>
      </w:pPr>
      <w:r w:rsidRPr="00CB463B">
        <w:rPr>
          <w:rFonts w:eastAsiaTheme="minorHAnsi" w:cstheme="minorBidi"/>
          <w:b/>
          <w:szCs w:val="24"/>
          <w:lang w:val="fr-CA" w:eastAsia="en-US"/>
        </w:rPr>
        <w:t xml:space="preserve">Rachidi </w:t>
      </w:r>
      <w:proofErr w:type="spellStart"/>
      <w:r w:rsidRPr="00CB463B">
        <w:rPr>
          <w:rFonts w:eastAsiaTheme="minorHAnsi" w:cstheme="minorBidi"/>
          <w:b/>
          <w:szCs w:val="24"/>
          <w:lang w:val="fr-CA" w:eastAsia="en-US"/>
        </w:rPr>
        <w:t>Ekanza</w:t>
      </w:r>
      <w:proofErr w:type="spellEnd"/>
      <w:r w:rsidRPr="00CB463B">
        <w:rPr>
          <w:rFonts w:eastAsiaTheme="minorHAnsi" w:cstheme="minorBidi"/>
          <w:b/>
          <w:szCs w:val="24"/>
          <w:lang w:val="fr-CA" w:eastAsia="en-US"/>
        </w:rPr>
        <w:t xml:space="preserve"> </w:t>
      </w:r>
      <w:proofErr w:type="spellStart"/>
      <w:r w:rsidRPr="00CB463B">
        <w:rPr>
          <w:rFonts w:eastAsiaTheme="minorHAnsi" w:cstheme="minorBidi"/>
          <w:b/>
          <w:szCs w:val="24"/>
          <w:lang w:val="fr-CA" w:eastAsia="en-US"/>
        </w:rPr>
        <w:t>Ezokola</w:t>
      </w:r>
      <w:proofErr w:type="spellEnd"/>
    </w:p>
    <w:p w:rsidR="00B96788" w:rsidRPr="00CB463B" w:rsidRDefault="00B96788" w:rsidP="00B96788">
      <w:pPr>
        <w:jc w:val="center"/>
        <w:rPr>
          <w:rFonts w:eastAsiaTheme="minorHAnsi" w:cstheme="minorBidi"/>
          <w:szCs w:val="24"/>
          <w:lang w:val="fr-CA" w:eastAsia="en-US"/>
        </w:rPr>
      </w:pPr>
      <w:r w:rsidRPr="00CB463B">
        <w:rPr>
          <w:rFonts w:eastAsiaTheme="minorHAnsi" w:cstheme="minorBidi"/>
          <w:szCs w:val="24"/>
          <w:lang w:val="fr-CA" w:eastAsia="en-US"/>
        </w:rPr>
        <w:t>Appelant</w:t>
      </w:r>
    </w:p>
    <w:p w:rsidR="00B96788" w:rsidRPr="00CB463B" w:rsidRDefault="00B96788" w:rsidP="00B96788">
      <w:pPr>
        <w:jc w:val="center"/>
        <w:rPr>
          <w:rFonts w:eastAsiaTheme="minorHAnsi" w:cstheme="minorBidi"/>
          <w:szCs w:val="24"/>
          <w:lang w:val="fr-CA" w:eastAsia="en-US"/>
        </w:rPr>
      </w:pPr>
      <w:proofErr w:type="gramStart"/>
      <w:r w:rsidRPr="00CB463B">
        <w:rPr>
          <w:rFonts w:eastAsiaTheme="minorHAnsi" w:cstheme="minorBidi"/>
          <w:szCs w:val="24"/>
          <w:lang w:val="fr-CA" w:eastAsia="en-US"/>
        </w:rPr>
        <w:t>et</w:t>
      </w:r>
      <w:proofErr w:type="gramEnd"/>
    </w:p>
    <w:p w:rsidR="00B96788" w:rsidRPr="00CB463B" w:rsidRDefault="00B96788" w:rsidP="00B96788">
      <w:pPr>
        <w:jc w:val="center"/>
        <w:rPr>
          <w:rFonts w:eastAsiaTheme="minorHAnsi" w:cstheme="minorBidi"/>
          <w:b/>
          <w:szCs w:val="24"/>
          <w:lang w:val="fr-CA" w:eastAsia="en-US"/>
        </w:rPr>
      </w:pPr>
      <w:r w:rsidRPr="00CB463B">
        <w:rPr>
          <w:rFonts w:eastAsiaTheme="minorHAnsi" w:cstheme="minorBidi"/>
          <w:b/>
          <w:szCs w:val="24"/>
          <w:lang w:val="fr-CA" w:eastAsia="en-US"/>
        </w:rPr>
        <w:t>Ministre de la Citoyenneté et de l’Immigration</w:t>
      </w:r>
    </w:p>
    <w:p w:rsidR="00B96788" w:rsidRPr="00CB463B" w:rsidRDefault="00B96788" w:rsidP="00B96788">
      <w:pPr>
        <w:jc w:val="center"/>
        <w:rPr>
          <w:rFonts w:eastAsiaTheme="minorHAnsi" w:cstheme="minorBidi"/>
          <w:szCs w:val="24"/>
          <w:lang w:val="fr-CA" w:eastAsia="en-US"/>
        </w:rPr>
      </w:pPr>
      <w:r w:rsidRPr="00CB463B">
        <w:rPr>
          <w:rFonts w:eastAsiaTheme="minorHAnsi" w:cstheme="minorBidi"/>
          <w:szCs w:val="24"/>
          <w:lang w:val="fr-CA" w:eastAsia="en-US"/>
        </w:rPr>
        <w:t>Intimé</w:t>
      </w:r>
    </w:p>
    <w:p w:rsidR="00B96788" w:rsidRPr="00CB463B" w:rsidRDefault="00B96788" w:rsidP="00B96788">
      <w:pPr>
        <w:jc w:val="center"/>
        <w:rPr>
          <w:rFonts w:eastAsiaTheme="minorHAnsi" w:cstheme="minorBidi"/>
          <w:szCs w:val="24"/>
          <w:lang w:val="fr-CA" w:eastAsia="en-US"/>
        </w:rPr>
      </w:pPr>
      <w:r w:rsidRPr="00CB463B">
        <w:rPr>
          <w:rFonts w:eastAsiaTheme="minorHAnsi" w:cstheme="minorBidi"/>
          <w:szCs w:val="24"/>
          <w:lang w:val="fr-CA" w:eastAsia="en-US"/>
        </w:rPr>
        <w:t>- et -</w:t>
      </w:r>
    </w:p>
    <w:p w:rsidR="00B96788" w:rsidRPr="00CB463B" w:rsidRDefault="00B96788" w:rsidP="00B96788">
      <w:pPr>
        <w:jc w:val="center"/>
        <w:rPr>
          <w:rFonts w:eastAsiaTheme="minorHAnsi" w:cstheme="minorBidi"/>
          <w:b/>
          <w:szCs w:val="24"/>
          <w:lang w:val="fr-CA" w:eastAsia="en-US"/>
        </w:rPr>
      </w:pPr>
      <w:r w:rsidRPr="00CB463B">
        <w:rPr>
          <w:rFonts w:eastAsiaTheme="minorHAnsi" w:cstheme="minorBidi"/>
          <w:b/>
          <w:szCs w:val="24"/>
          <w:lang w:val="fr-CA" w:eastAsia="en-US"/>
        </w:rPr>
        <w:t xml:space="preserve">Haut Commissariat des Nations Unies pour les réfugiés, </w:t>
      </w:r>
    </w:p>
    <w:p w:rsidR="00B96788" w:rsidRPr="00CB463B" w:rsidRDefault="00B96788" w:rsidP="00B96788">
      <w:pPr>
        <w:jc w:val="center"/>
        <w:rPr>
          <w:rFonts w:eastAsiaTheme="minorHAnsi" w:cstheme="minorBidi"/>
          <w:b/>
          <w:szCs w:val="24"/>
          <w:lang w:val="fr-CA" w:eastAsia="en-US"/>
        </w:rPr>
      </w:pPr>
      <w:r w:rsidRPr="00CB463B">
        <w:rPr>
          <w:rFonts w:eastAsiaTheme="minorHAnsi" w:cstheme="minorBidi"/>
          <w:b/>
          <w:szCs w:val="24"/>
          <w:lang w:val="fr-CA" w:eastAsia="en-US"/>
        </w:rPr>
        <w:t xml:space="preserve">Amnistie Internationale, Centre canadien pour la justice internationale, </w:t>
      </w:r>
    </w:p>
    <w:p w:rsidR="00B96788" w:rsidRPr="00CB463B" w:rsidRDefault="00B96788" w:rsidP="00B96788">
      <w:pPr>
        <w:jc w:val="center"/>
        <w:rPr>
          <w:rFonts w:eastAsiaTheme="minorHAnsi" w:cstheme="minorBidi"/>
          <w:b/>
          <w:szCs w:val="24"/>
          <w:lang w:val="en-US" w:eastAsia="en-US"/>
        </w:rPr>
      </w:pPr>
      <w:r w:rsidRPr="00CB463B">
        <w:rPr>
          <w:rFonts w:eastAsiaTheme="minorHAnsi" w:cstheme="minorBidi"/>
          <w:b/>
          <w:szCs w:val="24"/>
          <w:lang w:val="en-US" w:eastAsia="en-US"/>
        </w:rPr>
        <w:t xml:space="preserve">International Human Rights Program at the University of Toronto Faculty of Law, </w:t>
      </w:r>
    </w:p>
    <w:p w:rsidR="00B96788" w:rsidRPr="00CB463B" w:rsidRDefault="00B96788" w:rsidP="00B96788">
      <w:pPr>
        <w:jc w:val="center"/>
        <w:rPr>
          <w:rFonts w:eastAsiaTheme="minorHAnsi" w:cstheme="minorBidi"/>
          <w:b/>
          <w:szCs w:val="24"/>
          <w:lang w:val="fr-CA" w:eastAsia="en-US"/>
        </w:rPr>
      </w:pPr>
      <w:r w:rsidRPr="00CB463B">
        <w:rPr>
          <w:rFonts w:eastAsiaTheme="minorHAnsi" w:cstheme="minorBidi"/>
          <w:b/>
          <w:szCs w:val="24"/>
          <w:lang w:val="fr-CA" w:eastAsia="en-US"/>
        </w:rPr>
        <w:t>Conseil canadien pour les réfugiés, Association canadienne des libertés civiles et Association canadienne des avocats et avocates en droit des réfugiés</w:t>
      </w:r>
    </w:p>
    <w:p w:rsidR="00B96788" w:rsidRPr="00CB463B" w:rsidRDefault="00B96788" w:rsidP="00B96788">
      <w:pPr>
        <w:jc w:val="center"/>
        <w:rPr>
          <w:rFonts w:eastAsiaTheme="minorHAnsi" w:cstheme="minorBidi"/>
          <w:szCs w:val="24"/>
          <w:lang w:val="fr-CA" w:eastAsia="en-US"/>
        </w:rPr>
      </w:pPr>
      <w:r w:rsidRPr="00CB463B">
        <w:rPr>
          <w:rFonts w:eastAsiaTheme="minorHAnsi" w:cstheme="minorBidi"/>
          <w:szCs w:val="24"/>
          <w:lang w:val="fr-CA" w:eastAsia="en-US"/>
        </w:rPr>
        <w:t>Intervenants</w:t>
      </w:r>
    </w:p>
    <w:p w:rsidR="00B96788" w:rsidRPr="00CB463B" w:rsidRDefault="00B96788" w:rsidP="00B96788">
      <w:pPr>
        <w:rPr>
          <w:rFonts w:eastAsiaTheme="minorHAnsi" w:cstheme="minorBidi"/>
          <w:szCs w:val="24"/>
          <w:lang w:val="fr-CA" w:eastAsia="en-US"/>
        </w:rPr>
      </w:pPr>
    </w:p>
    <w:p w:rsidR="00B96788" w:rsidRPr="00CB463B" w:rsidRDefault="00B96788" w:rsidP="00B96788">
      <w:pPr>
        <w:rPr>
          <w:rFonts w:eastAsiaTheme="minorHAnsi" w:cstheme="minorBidi"/>
          <w:szCs w:val="24"/>
          <w:lang w:val="fr-CA" w:eastAsia="en-US"/>
        </w:rPr>
      </w:pPr>
    </w:p>
    <w:p w:rsidR="00B96788" w:rsidRPr="00CB463B" w:rsidRDefault="00B96788" w:rsidP="00B96788">
      <w:pPr>
        <w:jc w:val="center"/>
        <w:rPr>
          <w:rFonts w:eastAsiaTheme="minorHAnsi" w:cstheme="minorBidi"/>
          <w:b/>
          <w:smallCaps/>
          <w:szCs w:val="24"/>
          <w:lang w:val="fr-CA" w:eastAsia="en-US"/>
        </w:rPr>
      </w:pPr>
      <w:r w:rsidRPr="00CB463B">
        <w:rPr>
          <w:rFonts w:eastAsiaTheme="minorHAnsi" w:cstheme="minorBidi"/>
          <w:b/>
          <w:smallCaps/>
          <w:szCs w:val="24"/>
          <w:lang w:val="fr-CA" w:eastAsia="en-US"/>
        </w:rPr>
        <w:t>Traduction française officielle</w:t>
      </w:r>
    </w:p>
    <w:p w:rsidR="00B96788" w:rsidRPr="00CB463B" w:rsidRDefault="00B96788" w:rsidP="00B96788">
      <w:pPr>
        <w:rPr>
          <w:rFonts w:eastAsiaTheme="minorHAnsi" w:cstheme="minorBidi"/>
          <w:szCs w:val="24"/>
          <w:lang w:val="fr-CA" w:eastAsia="en-US"/>
        </w:rPr>
      </w:pPr>
    </w:p>
    <w:p w:rsidR="00B96788" w:rsidRPr="00CB463B" w:rsidRDefault="00B96788" w:rsidP="00B96788">
      <w:pPr>
        <w:rPr>
          <w:rFonts w:eastAsiaTheme="minorHAnsi" w:cstheme="minorBidi"/>
          <w:szCs w:val="24"/>
          <w:lang w:val="fr-CA" w:eastAsia="en-US"/>
        </w:rPr>
      </w:pPr>
      <w:r w:rsidRPr="00CB463B">
        <w:rPr>
          <w:rFonts w:eastAsiaTheme="minorHAnsi" w:cstheme="minorBidi"/>
          <w:b/>
          <w:smallCaps/>
          <w:szCs w:val="24"/>
          <w:lang w:val="fr-CA" w:eastAsia="en-US"/>
        </w:rPr>
        <w:t>Coram :</w:t>
      </w:r>
      <w:r w:rsidRPr="00CB463B">
        <w:rPr>
          <w:rFonts w:eastAsiaTheme="minorHAnsi" w:cstheme="minorBidi"/>
          <w:szCs w:val="24"/>
          <w:lang w:val="fr-CA" w:eastAsia="en-US"/>
        </w:rPr>
        <w:t xml:space="preserve"> La juge en chef McLachlin et les juges </w:t>
      </w:r>
      <w:proofErr w:type="spellStart"/>
      <w:r w:rsidRPr="00CB463B">
        <w:rPr>
          <w:rFonts w:eastAsiaTheme="minorHAnsi" w:cstheme="minorBidi"/>
          <w:szCs w:val="24"/>
          <w:lang w:val="fr-CA" w:eastAsia="en-US"/>
        </w:rPr>
        <w:t>LeBel</w:t>
      </w:r>
      <w:proofErr w:type="spellEnd"/>
      <w:r w:rsidRPr="00CB463B">
        <w:rPr>
          <w:rFonts w:eastAsiaTheme="minorHAnsi" w:cstheme="minorBidi"/>
          <w:szCs w:val="24"/>
          <w:lang w:val="fr-CA" w:eastAsia="en-US"/>
        </w:rPr>
        <w:t xml:space="preserve">, Fish, Abella, </w:t>
      </w:r>
      <w:proofErr w:type="spellStart"/>
      <w:r w:rsidRPr="00CB463B">
        <w:rPr>
          <w:rFonts w:eastAsiaTheme="minorHAnsi" w:cstheme="minorBidi"/>
          <w:szCs w:val="24"/>
          <w:lang w:val="fr-CA" w:eastAsia="en-US"/>
        </w:rPr>
        <w:t>Rothstein</w:t>
      </w:r>
      <w:proofErr w:type="spellEnd"/>
      <w:r w:rsidRPr="00CB463B">
        <w:rPr>
          <w:rFonts w:eastAsiaTheme="minorHAnsi" w:cstheme="minorBidi"/>
          <w:szCs w:val="24"/>
          <w:lang w:val="fr-CA" w:eastAsia="en-US"/>
        </w:rPr>
        <w:t xml:space="preserve">, Cromwell, </w:t>
      </w:r>
      <w:proofErr w:type="spellStart"/>
      <w:r w:rsidRPr="00CB463B">
        <w:rPr>
          <w:rFonts w:eastAsiaTheme="minorHAnsi" w:cstheme="minorBidi"/>
          <w:szCs w:val="24"/>
          <w:lang w:val="fr-CA" w:eastAsia="en-US"/>
        </w:rPr>
        <w:t>Moldaver</w:t>
      </w:r>
      <w:proofErr w:type="spellEnd"/>
      <w:r w:rsidRPr="00CB463B">
        <w:rPr>
          <w:rFonts w:eastAsiaTheme="minorHAnsi" w:cstheme="minorBidi"/>
          <w:szCs w:val="24"/>
          <w:lang w:val="fr-CA" w:eastAsia="en-US"/>
        </w:rPr>
        <w:t xml:space="preserve">, </w:t>
      </w:r>
      <w:proofErr w:type="spellStart"/>
      <w:r w:rsidRPr="00CB463B">
        <w:rPr>
          <w:rFonts w:eastAsiaTheme="minorHAnsi" w:cstheme="minorBidi"/>
          <w:szCs w:val="24"/>
          <w:lang w:val="fr-CA" w:eastAsia="en-US"/>
        </w:rPr>
        <w:t>Karakatsanis</w:t>
      </w:r>
      <w:proofErr w:type="spellEnd"/>
      <w:r w:rsidRPr="00CB463B">
        <w:rPr>
          <w:rFonts w:eastAsiaTheme="minorHAnsi" w:cstheme="minorBidi"/>
          <w:szCs w:val="24"/>
          <w:lang w:val="fr-CA" w:eastAsia="en-US"/>
        </w:rPr>
        <w:t xml:space="preserve"> et Wagner</w:t>
      </w:r>
    </w:p>
    <w:p w:rsidR="00B96788" w:rsidRPr="00CB463B" w:rsidRDefault="00B96788" w:rsidP="00B9678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96788" w:rsidRPr="00B96788" w:rsidTr="00666EE5">
        <w:trPr>
          <w:cantSplit/>
        </w:trPr>
        <w:tc>
          <w:tcPr>
            <w:tcW w:w="3618" w:type="dxa"/>
          </w:tcPr>
          <w:p w:rsidR="00B96788" w:rsidRPr="00CB463B" w:rsidRDefault="00B96788" w:rsidP="00666EE5">
            <w:pPr>
              <w:rPr>
                <w:b/>
                <w:smallCaps/>
                <w:lang w:val="fr-CA"/>
              </w:rPr>
            </w:pPr>
            <w:r w:rsidRPr="00CB463B">
              <w:rPr>
                <w:b/>
                <w:smallCaps/>
                <w:lang w:val="fr-CA"/>
              </w:rPr>
              <w:t>Motifs de jugement :</w:t>
            </w:r>
          </w:p>
          <w:p w:rsidR="00B96788" w:rsidRPr="00CB463B" w:rsidRDefault="00B96788" w:rsidP="00666EE5">
            <w:pPr>
              <w:rPr>
                <w:lang w:val="fr-CA"/>
              </w:rPr>
            </w:pPr>
            <w:r w:rsidRPr="00CB463B">
              <w:rPr>
                <w:lang w:val="fr-CA"/>
              </w:rPr>
              <w:t>(par. 1 à 103)</w:t>
            </w:r>
          </w:p>
        </w:tc>
        <w:tc>
          <w:tcPr>
            <w:tcW w:w="5958" w:type="dxa"/>
          </w:tcPr>
          <w:p w:rsidR="00B96788" w:rsidRPr="00CB463B" w:rsidRDefault="00B96788" w:rsidP="00666EE5">
            <w:pPr>
              <w:rPr>
                <w:lang w:val="fr-CA"/>
              </w:rPr>
            </w:pPr>
            <w:r w:rsidRPr="00CB463B">
              <w:rPr>
                <w:lang w:val="fr-CA"/>
              </w:rPr>
              <w:t xml:space="preserve">Les juges </w:t>
            </w:r>
            <w:proofErr w:type="spellStart"/>
            <w:r w:rsidRPr="00CB463B">
              <w:rPr>
                <w:lang w:val="fr-CA"/>
              </w:rPr>
              <w:t>LeBel</w:t>
            </w:r>
            <w:proofErr w:type="spellEnd"/>
            <w:r w:rsidRPr="00CB463B">
              <w:rPr>
                <w:lang w:val="fr-CA"/>
              </w:rPr>
              <w:t xml:space="preserve"> et Fish (avec l’accord de la juge en chef McLachlin et des juges Abella, </w:t>
            </w:r>
            <w:proofErr w:type="spellStart"/>
            <w:r w:rsidRPr="00CB463B">
              <w:rPr>
                <w:lang w:val="fr-CA"/>
              </w:rPr>
              <w:t>Rothstein</w:t>
            </w:r>
            <w:proofErr w:type="spellEnd"/>
            <w:r w:rsidRPr="00CB463B">
              <w:rPr>
                <w:lang w:val="fr-CA"/>
              </w:rPr>
              <w:t xml:space="preserve">, Cromwell, </w:t>
            </w:r>
            <w:proofErr w:type="spellStart"/>
            <w:r w:rsidRPr="00CB463B">
              <w:rPr>
                <w:lang w:val="fr-CA"/>
              </w:rPr>
              <w:t>Moldaver</w:t>
            </w:r>
            <w:proofErr w:type="spellEnd"/>
            <w:r w:rsidRPr="00CB463B">
              <w:rPr>
                <w:lang w:val="fr-CA"/>
              </w:rPr>
              <w:t xml:space="preserve">, </w:t>
            </w:r>
            <w:proofErr w:type="spellStart"/>
            <w:r w:rsidRPr="00CB463B">
              <w:rPr>
                <w:lang w:val="fr-CA"/>
              </w:rPr>
              <w:t>Karakatsanis</w:t>
            </w:r>
            <w:proofErr w:type="spellEnd"/>
            <w:r w:rsidRPr="00CB463B">
              <w:rPr>
                <w:lang w:val="fr-CA"/>
              </w:rPr>
              <w:t xml:space="preserve"> et Wagner)</w:t>
            </w:r>
          </w:p>
        </w:tc>
      </w:tr>
    </w:tbl>
    <w:p w:rsidR="00B96788" w:rsidRPr="00CB463B" w:rsidRDefault="00B96788" w:rsidP="00B96788">
      <w:pPr>
        <w:rPr>
          <w:rFonts w:eastAsiaTheme="minorHAnsi" w:cstheme="minorBidi"/>
          <w:szCs w:val="24"/>
          <w:lang w:val="fr-CA" w:eastAsia="en-US"/>
        </w:rPr>
      </w:pPr>
    </w:p>
    <w:p w:rsidR="00B96788" w:rsidRPr="00CB463B" w:rsidRDefault="00B96788" w:rsidP="00B96788">
      <w:pPr>
        <w:rPr>
          <w:rFonts w:eastAsiaTheme="minorHAnsi" w:cstheme="minorBidi"/>
          <w:szCs w:val="24"/>
          <w:lang w:val="fr-CA" w:eastAsia="en-US"/>
        </w:rPr>
      </w:pPr>
    </w:p>
    <w:p w:rsidR="00B96788" w:rsidRPr="00CB463B" w:rsidRDefault="00B96788" w:rsidP="00B96788">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B96788" w:rsidRDefault="00B96788" w:rsidP="00B96788">
      <w:pPr>
        <w:rPr>
          <w:smallCaps/>
          <w:lang w:val="fr-CA"/>
        </w:rPr>
      </w:pPr>
      <w:r>
        <w:rPr>
          <w:smallCaps/>
          <w:lang w:val="fr-CA"/>
        </w:rPr>
        <w:br w:type="page"/>
      </w:r>
    </w:p>
    <w:p w:rsidR="004D7D95" w:rsidRPr="00643070" w:rsidRDefault="00643070" w:rsidP="002C3443">
      <w:pPr>
        <w:spacing w:after="720"/>
        <w:jc w:val="both"/>
        <w:rPr>
          <w:lang w:val="fr-CA"/>
        </w:rPr>
      </w:pPr>
      <w:proofErr w:type="spellStart"/>
      <w:r w:rsidRPr="00643070">
        <w:rPr>
          <w:lang w:val="fr-CA"/>
        </w:rPr>
        <w:lastRenderedPageBreak/>
        <w:t>Ezokola</w:t>
      </w:r>
      <w:proofErr w:type="spellEnd"/>
      <w:r w:rsidRPr="00643070">
        <w:rPr>
          <w:lang w:val="fr-CA"/>
        </w:rPr>
        <w:t xml:space="preserve"> </w:t>
      </w:r>
      <w:r w:rsidRPr="00643070">
        <w:rPr>
          <w:i/>
          <w:lang w:val="fr-CA"/>
        </w:rPr>
        <w:t>c.</w:t>
      </w:r>
      <w:r w:rsidRPr="00643070">
        <w:rPr>
          <w:lang w:val="fr-CA"/>
        </w:rPr>
        <w:t xml:space="preserve"> Canada (Citoyenneté et Immigration)</w:t>
      </w:r>
      <w:r>
        <w:rPr>
          <w:lang w:val="fr-CA"/>
        </w:rPr>
        <w:t>, 2013 CSC 40, [2013] 2 R.C.S. 678</w:t>
      </w:r>
    </w:p>
    <w:p w:rsidR="004802D0" w:rsidRPr="00C34731" w:rsidRDefault="00652103" w:rsidP="002C3443">
      <w:pPr>
        <w:pStyle w:val="SCCLsocLastPartyInRole"/>
        <w:rPr>
          <w:lang w:val="fr-CA"/>
        </w:rPr>
      </w:pPr>
      <w:r w:rsidRPr="00C34731">
        <w:rPr>
          <w:lang w:val="fr-CA"/>
        </w:rPr>
        <w:t>Rachidi Ekanza Ezokola</w:t>
      </w:r>
      <w:r w:rsidRPr="00C34731">
        <w:rPr>
          <w:rStyle w:val="SCCLsocPartyRole"/>
          <w:lang w:val="fr-CA"/>
        </w:rPr>
        <w:tab/>
        <w:t>Appelant</w:t>
      </w:r>
    </w:p>
    <w:p w:rsidR="004802D0" w:rsidRPr="00C34731" w:rsidRDefault="00652103" w:rsidP="002C3443">
      <w:pPr>
        <w:pStyle w:val="SCCLsocVersus"/>
        <w:rPr>
          <w:lang w:val="fr-CA"/>
        </w:rPr>
      </w:pPr>
      <w:r w:rsidRPr="00C34731">
        <w:rPr>
          <w:lang w:val="fr-CA"/>
        </w:rPr>
        <w:t>c.</w:t>
      </w:r>
    </w:p>
    <w:p w:rsidR="004802D0" w:rsidRPr="00C34731" w:rsidRDefault="00652103" w:rsidP="002C3443">
      <w:pPr>
        <w:pStyle w:val="SCCLsocLastPartyInRole"/>
        <w:rPr>
          <w:lang w:val="fr-CA"/>
        </w:rPr>
      </w:pPr>
      <w:r w:rsidRPr="00C34731">
        <w:rPr>
          <w:lang w:val="fr-CA"/>
        </w:rPr>
        <w:t>Ministre de la Citoyenneté et de l</w:t>
      </w:r>
      <w:r w:rsidR="008E2843">
        <w:rPr>
          <w:lang w:val="fr-CA"/>
        </w:rPr>
        <w:t>’</w:t>
      </w:r>
      <w:r w:rsidRPr="00C34731">
        <w:rPr>
          <w:lang w:val="fr-CA"/>
        </w:rPr>
        <w:t>Immigration</w:t>
      </w:r>
      <w:r w:rsidRPr="00C34731">
        <w:rPr>
          <w:rStyle w:val="SCCLsocPartyRole"/>
          <w:lang w:val="fr-CA"/>
        </w:rPr>
        <w:tab/>
        <w:t>Intimé</w:t>
      </w:r>
    </w:p>
    <w:p w:rsidR="004802D0" w:rsidRPr="00C34731" w:rsidRDefault="00652103" w:rsidP="002C3443">
      <w:pPr>
        <w:pStyle w:val="SCCLsocOtherPartySeparator"/>
        <w:rPr>
          <w:lang w:val="fr-CA"/>
        </w:rPr>
      </w:pPr>
      <w:r w:rsidRPr="00C34731">
        <w:rPr>
          <w:lang w:val="fr-CA"/>
        </w:rPr>
        <w:t>et</w:t>
      </w:r>
    </w:p>
    <w:p w:rsidR="004802D0" w:rsidRPr="00C34731" w:rsidRDefault="00652103">
      <w:pPr>
        <w:pStyle w:val="SCCLsocParty"/>
        <w:rPr>
          <w:lang w:val="fr-CA"/>
        </w:rPr>
      </w:pPr>
      <w:r w:rsidRPr="00C34731">
        <w:rPr>
          <w:lang w:val="fr-CA"/>
        </w:rPr>
        <w:t>Haut Commissariat des Nations Unies pour les réfugiés,</w:t>
      </w:r>
    </w:p>
    <w:p w:rsidR="004802D0" w:rsidRPr="00C34731" w:rsidRDefault="00652103">
      <w:pPr>
        <w:pStyle w:val="SCCLsocParty"/>
        <w:rPr>
          <w:lang w:val="fr-CA"/>
        </w:rPr>
      </w:pPr>
      <w:r w:rsidRPr="00C34731">
        <w:rPr>
          <w:lang w:val="fr-CA"/>
        </w:rPr>
        <w:t>Amnistie Internationale,</w:t>
      </w:r>
    </w:p>
    <w:p w:rsidR="00830522" w:rsidRPr="00C34731" w:rsidRDefault="00652103">
      <w:pPr>
        <w:pStyle w:val="SCCLsocParty"/>
        <w:rPr>
          <w:lang w:val="fr-CA"/>
        </w:rPr>
      </w:pPr>
      <w:r w:rsidRPr="00C34731">
        <w:rPr>
          <w:lang w:val="fr-CA"/>
        </w:rPr>
        <w:t>Centre canadien pour la justice internationale</w:t>
      </w:r>
      <w:r w:rsidR="00607922" w:rsidRPr="00C34731">
        <w:rPr>
          <w:lang w:val="fr-CA"/>
        </w:rPr>
        <w:t>,</w:t>
      </w:r>
      <w:r w:rsidRPr="00C34731">
        <w:rPr>
          <w:lang w:val="fr-CA"/>
        </w:rPr>
        <w:t xml:space="preserve"> </w:t>
      </w:r>
    </w:p>
    <w:p w:rsidR="00706DB5" w:rsidRPr="00C34731" w:rsidRDefault="00652103">
      <w:pPr>
        <w:pStyle w:val="SCCLsocParty"/>
      </w:pPr>
      <w:r w:rsidRPr="00C34731">
        <w:t>International Human Rights Program at the University</w:t>
      </w:r>
    </w:p>
    <w:p w:rsidR="004802D0" w:rsidRPr="00C34731" w:rsidRDefault="00652103">
      <w:pPr>
        <w:pStyle w:val="SCCLsocParty"/>
      </w:pPr>
      <w:r w:rsidRPr="00C34731">
        <w:t>of Toronto Faculty of Law,</w:t>
      </w:r>
    </w:p>
    <w:p w:rsidR="004802D0" w:rsidRPr="00C34731" w:rsidRDefault="00652103">
      <w:pPr>
        <w:pStyle w:val="SCCLsocParty"/>
        <w:rPr>
          <w:lang w:val="fr-CA"/>
        </w:rPr>
      </w:pPr>
      <w:r w:rsidRPr="00C34731">
        <w:rPr>
          <w:lang w:val="fr-CA"/>
        </w:rPr>
        <w:t>Conseil canadien pour les réfugiés,</w:t>
      </w:r>
    </w:p>
    <w:p w:rsidR="004802D0" w:rsidRPr="00C34731" w:rsidRDefault="00652103">
      <w:pPr>
        <w:pStyle w:val="SCCLsocParty"/>
        <w:rPr>
          <w:lang w:val="fr-CA"/>
        </w:rPr>
      </w:pPr>
      <w:r w:rsidRPr="00C34731">
        <w:rPr>
          <w:lang w:val="fr-CA"/>
        </w:rPr>
        <w:t>Association can</w:t>
      </w:r>
      <w:r w:rsidR="00607922" w:rsidRPr="00C34731">
        <w:rPr>
          <w:lang w:val="fr-CA"/>
        </w:rPr>
        <w:t>adienne des libertés civiles et</w:t>
      </w:r>
    </w:p>
    <w:p w:rsidR="00706DB5" w:rsidRPr="00C34731" w:rsidRDefault="0081221D" w:rsidP="00706DB5">
      <w:pPr>
        <w:pStyle w:val="SCCLsocLastPartyInRole"/>
        <w:spacing w:after="0"/>
        <w:rPr>
          <w:lang w:val="fr-CA"/>
        </w:rPr>
      </w:pPr>
      <w:r w:rsidRPr="00C34731">
        <w:rPr>
          <w:lang w:val="fr-CA"/>
        </w:rPr>
        <w:t>Association canadienne des avocats et</w:t>
      </w:r>
    </w:p>
    <w:p w:rsidR="004802D0" w:rsidRPr="00C34731" w:rsidRDefault="0081221D" w:rsidP="002C3443">
      <w:pPr>
        <w:pStyle w:val="SCCLsocLastPartyInRole"/>
        <w:rPr>
          <w:lang w:val="fr-CA"/>
        </w:rPr>
      </w:pPr>
      <w:r w:rsidRPr="00C34731">
        <w:rPr>
          <w:lang w:val="fr-CA"/>
        </w:rPr>
        <w:t>avocates en droit des réfugiés</w:t>
      </w:r>
      <w:r w:rsidR="00652103" w:rsidRPr="00C34731">
        <w:rPr>
          <w:rStyle w:val="SCCLsocPartyRole"/>
          <w:lang w:val="fr-CA"/>
        </w:rPr>
        <w:tab/>
        <w:t>Intervenants</w:t>
      </w:r>
    </w:p>
    <w:p w:rsidR="004D7D95" w:rsidRPr="00C34731" w:rsidRDefault="004D7D95" w:rsidP="002C3443">
      <w:pPr>
        <w:spacing w:after="720"/>
        <w:jc w:val="both"/>
        <w:rPr>
          <w:b/>
          <w:lang w:val="fr-CA"/>
        </w:rPr>
      </w:pPr>
      <w:r w:rsidRPr="00C34731">
        <w:rPr>
          <w:b/>
          <w:lang w:val="fr-CA"/>
        </w:rPr>
        <w:t>Répertorié</w:t>
      </w:r>
      <w:r w:rsidR="00706DB5" w:rsidRPr="00C34731">
        <w:rPr>
          <w:b/>
          <w:lang w:val="fr-CA"/>
        </w:rPr>
        <w:t> :</w:t>
      </w:r>
      <w:r w:rsidR="00607922" w:rsidRPr="00C34731">
        <w:rPr>
          <w:b/>
          <w:lang w:val="fr-CA"/>
        </w:rPr>
        <w:t> </w:t>
      </w:r>
      <w:r w:rsidRPr="00C34731">
        <w:rPr>
          <w:b/>
          <w:lang w:val="fr-CA"/>
        </w:rPr>
        <w:t xml:space="preserve">Ezokola </w:t>
      </w:r>
      <w:r w:rsidRPr="00C34731">
        <w:rPr>
          <w:b/>
          <w:i/>
          <w:lang w:val="fr-CA"/>
        </w:rPr>
        <w:t>c.</w:t>
      </w:r>
      <w:r w:rsidRPr="00C34731">
        <w:rPr>
          <w:b/>
          <w:lang w:val="fr-CA"/>
        </w:rPr>
        <w:t xml:space="preserve"> </w:t>
      </w:r>
      <w:r w:rsidR="00607922" w:rsidRPr="00C34731">
        <w:rPr>
          <w:b/>
          <w:lang w:val="fr-CA"/>
        </w:rPr>
        <w:t>Canada (</w:t>
      </w:r>
      <w:r w:rsidRPr="00C34731">
        <w:rPr>
          <w:b/>
          <w:lang w:val="fr-CA"/>
        </w:rPr>
        <w:t>Citoyenneté et Immi</w:t>
      </w:r>
      <w:r w:rsidR="00607922" w:rsidRPr="00C34731">
        <w:rPr>
          <w:b/>
          <w:lang w:val="fr-CA"/>
        </w:rPr>
        <w:t>gration)</w:t>
      </w:r>
    </w:p>
    <w:p w:rsidR="004D7D95" w:rsidRPr="00C34731" w:rsidRDefault="00F62639" w:rsidP="002C3443">
      <w:pPr>
        <w:pStyle w:val="SCCSystemYear"/>
        <w:spacing w:after="720"/>
        <w:jc w:val="both"/>
        <w:rPr>
          <w:lang w:val="fr-CA"/>
        </w:rPr>
      </w:pPr>
      <w:r w:rsidRPr="00C34731">
        <w:rPr>
          <w:lang w:val="fr-CA"/>
        </w:rPr>
        <w:t>2013</w:t>
      </w:r>
      <w:r w:rsidR="00830522" w:rsidRPr="00C34731">
        <w:rPr>
          <w:lang w:val="fr-CA"/>
        </w:rPr>
        <w:t xml:space="preserve"> CSC 40</w:t>
      </w:r>
    </w:p>
    <w:p w:rsidR="004D7D95" w:rsidRPr="00C34731" w:rsidRDefault="004D7D95" w:rsidP="002C3443">
      <w:pPr>
        <w:spacing w:after="720"/>
        <w:jc w:val="both"/>
        <w:rPr>
          <w:lang w:val="fr-CA"/>
        </w:rPr>
      </w:pPr>
      <w:r w:rsidRPr="00C34731">
        <w:rPr>
          <w:lang w:val="fr-CA"/>
        </w:rPr>
        <w:t>N</w:t>
      </w:r>
      <w:r w:rsidRPr="00C34731">
        <w:rPr>
          <w:vertAlign w:val="superscript"/>
          <w:lang w:val="fr-CA"/>
        </w:rPr>
        <w:t>o</w:t>
      </w:r>
      <w:r w:rsidRPr="00C34731">
        <w:rPr>
          <w:lang w:val="fr-CA"/>
        </w:rPr>
        <w:t xml:space="preserve"> du greffe</w:t>
      </w:r>
      <w:r w:rsidR="00706DB5" w:rsidRPr="00C34731">
        <w:rPr>
          <w:lang w:val="fr-CA"/>
        </w:rPr>
        <w:t> :</w:t>
      </w:r>
      <w:r w:rsidRPr="00C34731">
        <w:rPr>
          <w:lang w:val="fr-CA"/>
        </w:rPr>
        <w:t> 34470.</w:t>
      </w:r>
    </w:p>
    <w:p w:rsidR="004D7D95" w:rsidRPr="00C34731" w:rsidRDefault="00F62639" w:rsidP="002C3443">
      <w:pPr>
        <w:spacing w:after="720"/>
        <w:jc w:val="both"/>
        <w:rPr>
          <w:lang w:val="fr-CA"/>
        </w:rPr>
      </w:pPr>
      <w:r w:rsidRPr="00C34731">
        <w:rPr>
          <w:lang w:val="fr-CA"/>
        </w:rPr>
        <w:t>2013</w:t>
      </w:r>
      <w:r w:rsidR="00706DB5" w:rsidRPr="00C34731">
        <w:rPr>
          <w:lang w:val="fr-CA"/>
        </w:rPr>
        <w:t> :</w:t>
      </w:r>
      <w:r w:rsidR="00ED1C7E" w:rsidRPr="00C34731">
        <w:rPr>
          <w:lang w:val="fr-CA"/>
        </w:rPr>
        <w:t> </w:t>
      </w:r>
      <w:r w:rsidR="002C3443" w:rsidRPr="00C34731">
        <w:rPr>
          <w:lang w:val="fr-CA"/>
        </w:rPr>
        <w:t>17 </w:t>
      </w:r>
      <w:r w:rsidRPr="00C34731">
        <w:rPr>
          <w:lang w:val="fr-CA"/>
        </w:rPr>
        <w:t>janvier</w:t>
      </w:r>
      <w:r w:rsidR="002F42E8" w:rsidRPr="00C34731">
        <w:rPr>
          <w:lang w:val="fr-CA"/>
        </w:rPr>
        <w:t>; 2013</w:t>
      </w:r>
      <w:r w:rsidR="00706DB5" w:rsidRPr="00C34731">
        <w:rPr>
          <w:lang w:val="fr-CA"/>
        </w:rPr>
        <w:t> :</w:t>
      </w:r>
      <w:r w:rsidR="002F42E8" w:rsidRPr="00C34731">
        <w:rPr>
          <w:lang w:val="fr-CA"/>
        </w:rPr>
        <w:t> 19 juillet</w:t>
      </w:r>
      <w:r w:rsidR="004D7D95" w:rsidRPr="00C34731">
        <w:rPr>
          <w:lang w:val="fr-CA"/>
        </w:rPr>
        <w:t>.</w:t>
      </w:r>
    </w:p>
    <w:p w:rsidR="004D7D95" w:rsidRPr="00C34731" w:rsidRDefault="004D7D95" w:rsidP="002C3443">
      <w:pPr>
        <w:spacing w:after="720"/>
        <w:jc w:val="both"/>
        <w:rPr>
          <w:lang w:val="fr-CA"/>
        </w:rPr>
      </w:pPr>
      <w:r w:rsidRPr="00C34731">
        <w:rPr>
          <w:lang w:val="fr-CA"/>
        </w:rPr>
        <w:t>Présents</w:t>
      </w:r>
      <w:r w:rsidR="00706DB5" w:rsidRPr="00C34731">
        <w:rPr>
          <w:lang w:val="fr-CA"/>
        </w:rPr>
        <w:t> :</w:t>
      </w:r>
      <w:r w:rsidRPr="00C34731">
        <w:rPr>
          <w:lang w:val="fr-CA"/>
        </w:rPr>
        <w:t> La juge en chef McLachlin et les juges LeBel, Fish, Abella, Rothstein, Cromwell, Moldaver, Karakatsanis et Wagner.</w:t>
      </w:r>
    </w:p>
    <w:p w:rsidR="004D7D95" w:rsidRPr="00C34731" w:rsidRDefault="004D7D95" w:rsidP="002C3443">
      <w:pPr>
        <w:spacing w:after="720"/>
        <w:jc w:val="both"/>
        <w:rPr>
          <w:smallCaps/>
          <w:lang w:val="fr-CA"/>
        </w:rPr>
      </w:pPr>
      <w:r w:rsidRPr="00C34731">
        <w:rPr>
          <w:smallCaps/>
          <w:lang w:val="fr-CA"/>
        </w:rPr>
        <w:lastRenderedPageBreak/>
        <w:t>en appel de la cour d</w:t>
      </w:r>
      <w:r w:rsidR="008E2843">
        <w:rPr>
          <w:smallCaps/>
          <w:lang w:val="fr-CA"/>
        </w:rPr>
        <w:t>’</w:t>
      </w:r>
      <w:r w:rsidRPr="00C34731">
        <w:rPr>
          <w:smallCaps/>
          <w:lang w:val="fr-CA"/>
        </w:rPr>
        <w:t>appel fédérale</w:t>
      </w:r>
    </w:p>
    <w:p w:rsidR="004D7D95" w:rsidRPr="00C34731" w:rsidRDefault="004D7D95" w:rsidP="002C3443">
      <w:pPr>
        <w:pStyle w:val="SCCNormalDoubleSpacing"/>
        <w:spacing w:after="480"/>
        <w:rPr>
          <w:i/>
          <w:lang w:val="fr-CA"/>
        </w:rPr>
      </w:pPr>
      <w:r w:rsidRPr="00C34731">
        <w:rPr>
          <w:lang w:val="fr-CA"/>
        </w:rPr>
        <w:tab/>
      </w:r>
      <w:r w:rsidR="00686107" w:rsidRPr="00C34731">
        <w:rPr>
          <w:i/>
          <w:lang w:val="fr-CA"/>
        </w:rPr>
        <w:t>Droit de l</w:t>
      </w:r>
      <w:r w:rsidR="008E2843">
        <w:rPr>
          <w:i/>
          <w:lang w:val="fr-CA"/>
        </w:rPr>
        <w:t>’</w:t>
      </w:r>
      <w:r w:rsidR="00686107" w:rsidRPr="00C34731">
        <w:rPr>
          <w:i/>
          <w:lang w:val="fr-CA"/>
        </w:rPr>
        <w:t>i</w:t>
      </w:r>
      <w:r w:rsidR="009D776C" w:rsidRPr="00C34731">
        <w:rPr>
          <w:i/>
          <w:lang w:val="fr-CA"/>
        </w:rPr>
        <w:t xml:space="preserve">mmigration </w:t>
      </w:r>
      <w:r w:rsidR="009D776C" w:rsidRPr="005A4ED6">
        <w:rPr>
          <w:i/>
          <w:lang w:val="fr-CA"/>
        </w:rPr>
        <w:t>—</w:t>
      </w:r>
      <w:r w:rsidR="005A4ED6" w:rsidRPr="005A4ED6">
        <w:rPr>
          <w:i/>
          <w:lang w:val="fr-CA"/>
        </w:rPr>
        <w:t xml:space="preserve"> Réfugiés au sens de la Convention</w:t>
      </w:r>
      <w:r w:rsidR="005A4ED6">
        <w:rPr>
          <w:lang w:val="fr-CA"/>
        </w:rPr>
        <w:t xml:space="preserve"> </w:t>
      </w:r>
      <w:r w:rsidR="009D776C" w:rsidRPr="005A4ED6">
        <w:rPr>
          <w:i/>
          <w:lang w:val="fr-CA"/>
        </w:rPr>
        <w:t xml:space="preserve">— </w:t>
      </w:r>
      <w:r w:rsidR="009D776C" w:rsidRPr="00C34731">
        <w:rPr>
          <w:i/>
          <w:lang w:val="fr-CA"/>
        </w:rPr>
        <w:t>Complicité dans la perpétration d</w:t>
      </w:r>
      <w:r w:rsidR="00686107" w:rsidRPr="00C34731">
        <w:rPr>
          <w:i/>
          <w:lang w:val="fr-CA"/>
        </w:rPr>
        <w:t>e</w:t>
      </w:r>
      <w:r w:rsidR="009D776C" w:rsidRPr="00C34731">
        <w:rPr>
          <w:i/>
          <w:lang w:val="fr-CA"/>
        </w:rPr>
        <w:t xml:space="preserve"> crime</w:t>
      </w:r>
      <w:r w:rsidR="00686107" w:rsidRPr="00C34731">
        <w:rPr>
          <w:i/>
          <w:lang w:val="fr-CA"/>
        </w:rPr>
        <w:t>s</w:t>
      </w:r>
      <w:r w:rsidR="009D776C" w:rsidRPr="00C34731">
        <w:rPr>
          <w:i/>
          <w:lang w:val="fr-CA"/>
        </w:rPr>
        <w:t xml:space="preserve"> contre l</w:t>
      </w:r>
      <w:r w:rsidR="008E2843">
        <w:rPr>
          <w:i/>
          <w:lang w:val="fr-CA"/>
        </w:rPr>
        <w:t>’</w:t>
      </w:r>
      <w:r w:rsidR="009D776C" w:rsidRPr="00C34731">
        <w:rPr>
          <w:i/>
          <w:lang w:val="fr-CA"/>
        </w:rPr>
        <w:t>humanité</w:t>
      </w:r>
      <w:r w:rsidR="00686107" w:rsidRPr="00C34731">
        <w:rPr>
          <w:i/>
          <w:lang w:val="fr-CA"/>
        </w:rPr>
        <w:t xml:space="preserve"> </w:t>
      </w:r>
      <w:r w:rsidR="009D776C" w:rsidRPr="00C34731">
        <w:rPr>
          <w:i/>
          <w:lang w:val="fr-CA"/>
        </w:rPr>
        <w:t>—</w:t>
      </w:r>
      <w:r w:rsidR="009D776C" w:rsidRPr="00C34731">
        <w:rPr>
          <w:lang w:val="fr-CA"/>
        </w:rPr>
        <w:t xml:space="preserve"> </w:t>
      </w:r>
      <w:r w:rsidR="00686107" w:rsidRPr="00C34731">
        <w:rPr>
          <w:i/>
          <w:lang w:val="fr-CA"/>
        </w:rPr>
        <w:t>Demande d</w:t>
      </w:r>
      <w:r w:rsidR="008E2843">
        <w:rPr>
          <w:i/>
          <w:lang w:val="fr-CA"/>
        </w:rPr>
        <w:t>’</w:t>
      </w:r>
      <w:r w:rsidR="00686107" w:rsidRPr="00C34731">
        <w:rPr>
          <w:i/>
          <w:lang w:val="fr-CA"/>
        </w:rPr>
        <w:t xml:space="preserve">asile </w:t>
      </w:r>
      <w:r w:rsidR="00F0109D" w:rsidRPr="00C34731">
        <w:rPr>
          <w:i/>
          <w:lang w:val="fr-CA"/>
        </w:rPr>
        <w:t xml:space="preserve">au Canada </w:t>
      </w:r>
      <w:r w:rsidR="00686107" w:rsidRPr="00C34731">
        <w:rPr>
          <w:i/>
          <w:lang w:val="fr-CA"/>
        </w:rPr>
        <w:t>présentée par un ancien représentant de la République démocratique du Congo — Rejet de la demande par la Commission de l</w:t>
      </w:r>
      <w:r w:rsidR="008E2843">
        <w:rPr>
          <w:i/>
          <w:lang w:val="fr-CA"/>
        </w:rPr>
        <w:t>’</w:t>
      </w:r>
      <w:r w:rsidR="00686107" w:rsidRPr="00C34731">
        <w:rPr>
          <w:i/>
          <w:lang w:val="fr-CA"/>
        </w:rPr>
        <w:t>immigration et d</w:t>
      </w:r>
      <w:r w:rsidR="00CA26CA" w:rsidRPr="00C34731">
        <w:rPr>
          <w:i/>
          <w:lang w:val="fr-CA"/>
        </w:rPr>
        <w:t>u statut</w:t>
      </w:r>
      <w:r w:rsidR="00686107" w:rsidRPr="00C34731">
        <w:rPr>
          <w:i/>
          <w:lang w:val="fr-CA"/>
        </w:rPr>
        <w:t xml:space="preserve"> de réfugié au motif que le </w:t>
      </w:r>
      <w:r w:rsidR="00F0109D" w:rsidRPr="00C34731">
        <w:rPr>
          <w:i/>
          <w:lang w:val="fr-CA"/>
        </w:rPr>
        <w:t xml:space="preserve">représentant </w:t>
      </w:r>
      <w:r w:rsidR="00686107" w:rsidRPr="00C34731">
        <w:rPr>
          <w:i/>
          <w:lang w:val="fr-CA"/>
        </w:rPr>
        <w:t>s</w:t>
      </w:r>
      <w:r w:rsidR="008E2843">
        <w:rPr>
          <w:i/>
          <w:lang w:val="fr-CA"/>
        </w:rPr>
        <w:t>’</w:t>
      </w:r>
      <w:r w:rsidR="00686107" w:rsidRPr="00C34731">
        <w:rPr>
          <w:i/>
          <w:lang w:val="fr-CA"/>
        </w:rPr>
        <w:t>est rendu complice de crimes contre l</w:t>
      </w:r>
      <w:r w:rsidR="008E2843">
        <w:rPr>
          <w:i/>
          <w:lang w:val="fr-CA"/>
        </w:rPr>
        <w:t>’</w:t>
      </w:r>
      <w:r w:rsidR="00686107" w:rsidRPr="00C34731">
        <w:rPr>
          <w:i/>
          <w:lang w:val="fr-CA"/>
        </w:rPr>
        <w:t xml:space="preserve">humanité perpétrés par le gouvernement de la République démocratique du Congo </w:t>
      </w:r>
      <w:r w:rsidR="00321C0A" w:rsidRPr="00C34731">
        <w:rPr>
          <w:i/>
          <w:lang w:val="fr-CA"/>
        </w:rPr>
        <w:t>—</w:t>
      </w:r>
      <w:r w:rsidR="00F0109D" w:rsidRPr="00C34731">
        <w:rPr>
          <w:i/>
          <w:lang w:val="fr-CA"/>
        </w:rPr>
        <w:t xml:space="preserve"> </w:t>
      </w:r>
      <w:r w:rsidR="00686107" w:rsidRPr="00C34731">
        <w:rPr>
          <w:i/>
          <w:lang w:val="fr-CA"/>
        </w:rPr>
        <w:t xml:space="preserve">La </w:t>
      </w:r>
      <w:r w:rsidR="00321C0A" w:rsidRPr="00C34731">
        <w:rPr>
          <w:i/>
          <w:lang w:val="fr-CA"/>
        </w:rPr>
        <w:t>simple association ou l</w:t>
      </w:r>
      <w:r w:rsidR="008E2843">
        <w:rPr>
          <w:i/>
          <w:lang w:val="fr-CA"/>
        </w:rPr>
        <w:t>’</w:t>
      </w:r>
      <w:r w:rsidR="00321C0A" w:rsidRPr="00C34731">
        <w:rPr>
          <w:i/>
          <w:lang w:val="fr-CA"/>
        </w:rPr>
        <w:t>acquiescement passif</w:t>
      </w:r>
      <w:r w:rsidR="00686107" w:rsidRPr="00C34731">
        <w:rPr>
          <w:i/>
          <w:lang w:val="fr-CA"/>
        </w:rPr>
        <w:t xml:space="preserve"> suffisent</w:t>
      </w:r>
      <w:r w:rsidR="00706DB5" w:rsidRPr="00C34731">
        <w:rPr>
          <w:i/>
          <w:lang w:val="fr-CA"/>
        </w:rPr>
        <w:noBreakHyphen/>
      </w:r>
      <w:r w:rsidR="00686107" w:rsidRPr="00C34731">
        <w:rPr>
          <w:i/>
          <w:lang w:val="fr-CA"/>
        </w:rPr>
        <w:t>ils pour établir la complicité</w:t>
      </w:r>
      <w:r w:rsidR="00321C0A" w:rsidRPr="00C34731">
        <w:rPr>
          <w:i/>
          <w:lang w:val="fr-CA"/>
        </w:rPr>
        <w:t xml:space="preserve">? — </w:t>
      </w:r>
      <w:r w:rsidR="00686107" w:rsidRPr="00C34731">
        <w:rPr>
          <w:i/>
          <w:lang w:val="fr-CA"/>
        </w:rPr>
        <w:t>Y a</w:t>
      </w:r>
      <w:r w:rsidR="00706DB5" w:rsidRPr="00C34731">
        <w:rPr>
          <w:i/>
          <w:lang w:val="fr-CA"/>
        </w:rPr>
        <w:noBreakHyphen/>
      </w:r>
      <w:r w:rsidR="00686107" w:rsidRPr="00C34731">
        <w:rPr>
          <w:i/>
          <w:lang w:val="fr-CA"/>
        </w:rPr>
        <w:t>t</w:t>
      </w:r>
      <w:r w:rsidR="00706DB5" w:rsidRPr="00C34731">
        <w:rPr>
          <w:i/>
          <w:lang w:val="fr-CA"/>
        </w:rPr>
        <w:noBreakHyphen/>
      </w:r>
      <w:r w:rsidR="00686107" w:rsidRPr="00C34731">
        <w:rPr>
          <w:i/>
          <w:lang w:val="fr-CA"/>
        </w:rPr>
        <w:t>il lieu d</w:t>
      </w:r>
      <w:r w:rsidR="008E2843">
        <w:rPr>
          <w:i/>
          <w:lang w:val="fr-CA"/>
        </w:rPr>
        <w:t>’</w:t>
      </w:r>
      <w:r w:rsidR="00686107" w:rsidRPr="00C34731">
        <w:rPr>
          <w:i/>
          <w:lang w:val="fr-CA"/>
        </w:rPr>
        <w:t>adopter un critère axé sur la contribution aux fins de l</w:t>
      </w:r>
      <w:r w:rsidR="008E2843">
        <w:rPr>
          <w:i/>
          <w:lang w:val="fr-CA"/>
        </w:rPr>
        <w:t>’</w:t>
      </w:r>
      <w:r w:rsidR="00686107" w:rsidRPr="00C34731">
        <w:rPr>
          <w:i/>
          <w:lang w:val="fr-CA"/>
        </w:rPr>
        <w:t xml:space="preserve">établissement de la complicité? </w:t>
      </w:r>
      <w:r w:rsidR="00576AB5" w:rsidRPr="00C34731">
        <w:rPr>
          <w:i/>
          <w:lang w:val="fr-CA"/>
        </w:rPr>
        <w:t>— Loi sur l</w:t>
      </w:r>
      <w:r w:rsidR="008E2843">
        <w:rPr>
          <w:i/>
          <w:lang w:val="fr-CA"/>
        </w:rPr>
        <w:t>’</w:t>
      </w:r>
      <w:r w:rsidR="00576AB5" w:rsidRPr="00C34731">
        <w:rPr>
          <w:i/>
          <w:lang w:val="fr-CA"/>
        </w:rPr>
        <w:t>immigration et l</w:t>
      </w:r>
      <w:r w:rsidR="001A6134" w:rsidRPr="00C34731">
        <w:rPr>
          <w:i/>
          <w:lang w:val="fr-CA"/>
        </w:rPr>
        <w:t xml:space="preserve">a protection des réfugiés, L.C. </w:t>
      </w:r>
      <w:r w:rsidR="00576AB5" w:rsidRPr="00C34731">
        <w:rPr>
          <w:i/>
          <w:lang w:val="fr-CA"/>
        </w:rPr>
        <w:t xml:space="preserve">2001, </w:t>
      </w:r>
      <w:r w:rsidR="00706DB5" w:rsidRPr="00C34731">
        <w:rPr>
          <w:i/>
          <w:lang w:val="fr-CA"/>
        </w:rPr>
        <w:t>ch. </w:t>
      </w:r>
      <w:r w:rsidR="00576AB5" w:rsidRPr="00C34731">
        <w:rPr>
          <w:i/>
          <w:lang w:val="fr-CA"/>
        </w:rPr>
        <w:t xml:space="preserve">27, </w:t>
      </w:r>
      <w:r w:rsidR="00706DB5" w:rsidRPr="00C34731">
        <w:rPr>
          <w:i/>
          <w:lang w:val="fr-CA"/>
        </w:rPr>
        <w:t>art. </w:t>
      </w:r>
      <w:r w:rsidR="00576AB5" w:rsidRPr="00C34731">
        <w:rPr>
          <w:i/>
          <w:lang w:val="fr-CA"/>
        </w:rPr>
        <w:t>98</w:t>
      </w:r>
      <w:r w:rsidR="00321C0A" w:rsidRPr="00C34731">
        <w:rPr>
          <w:i/>
          <w:lang w:val="fr-CA"/>
        </w:rPr>
        <w:t xml:space="preserve"> </w:t>
      </w:r>
      <w:r w:rsidR="00576AB5" w:rsidRPr="00C34731">
        <w:rPr>
          <w:i/>
          <w:lang w:val="fr-CA"/>
        </w:rPr>
        <w:t xml:space="preserve">— Convention </w:t>
      </w:r>
      <w:r w:rsidR="005A4ED6">
        <w:rPr>
          <w:i/>
          <w:lang w:val="fr-CA"/>
        </w:rPr>
        <w:t>relative au Statut des R</w:t>
      </w:r>
      <w:r w:rsidR="00576AB5" w:rsidRPr="00C34731">
        <w:rPr>
          <w:i/>
          <w:lang w:val="fr-CA"/>
        </w:rPr>
        <w:t>éfugiés</w:t>
      </w:r>
      <w:r w:rsidR="005A4ED6">
        <w:rPr>
          <w:i/>
          <w:lang w:val="fr-CA"/>
        </w:rPr>
        <w:t xml:space="preserve"> </w:t>
      </w:r>
      <w:r w:rsidR="005A4ED6" w:rsidRPr="00C34731">
        <w:rPr>
          <w:i/>
          <w:lang w:val="fr-CA"/>
        </w:rPr>
        <w:t>des Nations Unies</w:t>
      </w:r>
      <w:r w:rsidR="00576AB5" w:rsidRPr="00C34731">
        <w:rPr>
          <w:i/>
          <w:lang w:val="fr-CA"/>
        </w:rPr>
        <w:t xml:space="preserve">, </w:t>
      </w:r>
      <w:r w:rsidR="001A6134" w:rsidRPr="00C34731">
        <w:rPr>
          <w:i/>
          <w:lang w:val="fr-CA"/>
        </w:rPr>
        <w:t>R.T. Can.</w:t>
      </w:r>
      <w:r w:rsidR="00F81562">
        <w:rPr>
          <w:i/>
          <w:lang w:val="fr-CA"/>
        </w:rPr>
        <w:t xml:space="preserve"> 1969</w:t>
      </w:r>
      <w:r w:rsidR="001A6134" w:rsidRPr="00C34731">
        <w:rPr>
          <w:i/>
          <w:lang w:val="fr-CA"/>
        </w:rPr>
        <w:t xml:space="preserve"> n</w:t>
      </w:r>
      <w:r w:rsidR="001A6134" w:rsidRPr="00C34731">
        <w:rPr>
          <w:i/>
          <w:vertAlign w:val="superscript"/>
          <w:lang w:val="fr-CA"/>
        </w:rPr>
        <w:t>o</w:t>
      </w:r>
      <w:r w:rsidR="00576AB5" w:rsidRPr="00C34731">
        <w:rPr>
          <w:i/>
          <w:lang w:val="fr-CA"/>
        </w:rPr>
        <w:t xml:space="preserve"> 6, </w:t>
      </w:r>
      <w:r w:rsidR="00706DB5" w:rsidRPr="00C34731">
        <w:rPr>
          <w:i/>
          <w:lang w:val="fr-CA"/>
        </w:rPr>
        <w:t>art. </w:t>
      </w:r>
      <w:r w:rsidR="00576AB5" w:rsidRPr="00C34731">
        <w:rPr>
          <w:i/>
          <w:lang w:val="fr-CA"/>
        </w:rPr>
        <w:t>1Fa).</w:t>
      </w:r>
      <w:r w:rsidR="00686107" w:rsidRPr="00C34731">
        <w:rPr>
          <w:i/>
          <w:lang w:val="fr-CA"/>
        </w:rPr>
        <w:t xml:space="preserve">  </w:t>
      </w:r>
    </w:p>
    <w:p w:rsidR="00F42A0D" w:rsidRPr="00C34731" w:rsidRDefault="004D7D95" w:rsidP="001A6134">
      <w:pPr>
        <w:pStyle w:val="SCCNormalDoubleSpacing"/>
        <w:spacing w:after="480"/>
        <w:rPr>
          <w:lang w:val="fr-CA"/>
        </w:rPr>
      </w:pPr>
      <w:r w:rsidRPr="00C34731">
        <w:rPr>
          <w:lang w:val="fr-CA"/>
        </w:rPr>
        <w:tab/>
      </w:r>
      <w:r w:rsidR="004635B1" w:rsidRPr="00C34731">
        <w:rPr>
          <w:lang w:val="fr-CA"/>
        </w:rPr>
        <w:t>En janvier 1999, E a entrepris sa carrière au gouvernement de la République démocratique du Congo (« RDC ») à titre d</w:t>
      </w:r>
      <w:r w:rsidR="008E2843">
        <w:rPr>
          <w:lang w:val="fr-CA"/>
        </w:rPr>
        <w:t>’</w:t>
      </w:r>
      <w:r w:rsidR="004635B1" w:rsidRPr="00C34731">
        <w:rPr>
          <w:lang w:val="fr-CA"/>
        </w:rPr>
        <w:t xml:space="preserve">attaché financier, à Kinshasa.  </w:t>
      </w:r>
      <w:r w:rsidR="00C93F00" w:rsidRPr="00C34731">
        <w:rPr>
          <w:lang w:val="fr-CA"/>
        </w:rPr>
        <w:t>En</w:t>
      </w:r>
      <w:r w:rsidR="004635B1" w:rsidRPr="00C34731">
        <w:rPr>
          <w:lang w:val="fr-CA"/>
        </w:rPr>
        <w:t xml:space="preserve"> 2007, il dirig</w:t>
      </w:r>
      <w:r w:rsidR="00C93F00" w:rsidRPr="00C34731">
        <w:rPr>
          <w:lang w:val="fr-CA"/>
        </w:rPr>
        <w:t>eait</w:t>
      </w:r>
      <w:r w:rsidR="004635B1" w:rsidRPr="00C34731">
        <w:rPr>
          <w:lang w:val="fr-CA"/>
        </w:rPr>
        <w:t xml:space="preserve"> la Mission permanente de la RDC aux Nations Unies, à New</w:t>
      </w:r>
      <w:r w:rsidR="001714DB">
        <w:rPr>
          <w:lang w:val="fr-CA"/>
        </w:rPr>
        <w:t> </w:t>
      </w:r>
      <w:r w:rsidR="004635B1" w:rsidRPr="00C34731">
        <w:rPr>
          <w:lang w:val="fr-CA"/>
        </w:rPr>
        <w:t>York.</w:t>
      </w:r>
      <w:r w:rsidR="001A6134" w:rsidRPr="00C34731">
        <w:rPr>
          <w:lang w:val="fr-CA"/>
        </w:rPr>
        <w:t xml:space="preserve"> </w:t>
      </w:r>
      <w:r w:rsidR="004635B1" w:rsidRPr="00C34731">
        <w:rPr>
          <w:lang w:val="fr-CA"/>
        </w:rPr>
        <w:t xml:space="preserve"> </w:t>
      </w:r>
      <w:r w:rsidR="00F42A0D" w:rsidRPr="00C34731">
        <w:rPr>
          <w:lang w:val="fr-CA"/>
        </w:rPr>
        <w:t xml:space="preserve">En janvier 2008, il a résigné ses fonctions et fui au Canada. </w:t>
      </w:r>
      <w:r w:rsidR="001A6134" w:rsidRPr="00C34731">
        <w:rPr>
          <w:lang w:val="fr-CA"/>
        </w:rPr>
        <w:t xml:space="preserve"> </w:t>
      </w:r>
      <w:r w:rsidR="00F42A0D" w:rsidRPr="00C34731">
        <w:rPr>
          <w:lang w:val="fr-CA"/>
        </w:rPr>
        <w:t>Il affirme qu</w:t>
      </w:r>
      <w:r w:rsidR="008E2843">
        <w:rPr>
          <w:lang w:val="fr-CA"/>
        </w:rPr>
        <w:t>’</w:t>
      </w:r>
      <w:r w:rsidR="00F42A0D" w:rsidRPr="00C34731">
        <w:rPr>
          <w:lang w:val="fr-CA"/>
        </w:rPr>
        <w:t>il ne pouvait plus servir le gouvernement du président Kabila, qu</w:t>
      </w:r>
      <w:r w:rsidR="008E2843">
        <w:rPr>
          <w:lang w:val="fr-CA"/>
        </w:rPr>
        <w:t>’</w:t>
      </w:r>
      <w:r w:rsidR="00F42A0D" w:rsidRPr="00C34731">
        <w:rPr>
          <w:lang w:val="fr-CA"/>
        </w:rPr>
        <w:t>il jugeait corrompu, antidémocratique et violent.  Selon ses dires,</w:t>
      </w:r>
      <w:r w:rsidR="00C93F00" w:rsidRPr="00C34731">
        <w:rPr>
          <w:lang w:val="fr-CA"/>
        </w:rPr>
        <w:t xml:space="preserve"> </w:t>
      </w:r>
      <w:r w:rsidR="00F42A0D" w:rsidRPr="00C34731">
        <w:rPr>
          <w:lang w:val="fr-CA"/>
        </w:rPr>
        <w:t xml:space="preserve">sa démission </w:t>
      </w:r>
      <w:r w:rsidR="00C93F00" w:rsidRPr="00C34731">
        <w:rPr>
          <w:lang w:val="fr-CA"/>
        </w:rPr>
        <w:t>es</w:t>
      </w:r>
      <w:r w:rsidR="00F42A0D" w:rsidRPr="00C34731">
        <w:rPr>
          <w:lang w:val="fr-CA"/>
        </w:rPr>
        <w:t>t considérée comme un acte de trahison par le gouvernement de la RDC</w:t>
      </w:r>
      <w:r w:rsidR="00C93F00" w:rsidRPr="00C34731">
        <w:rPr>
          <w:lang w:val="fr-CA"/>
        </w:rPr>
        <w:t>,</w:t>
      </w:r>
      <w:r w:rsidR="00F42A0D" w:rsidRPr="00C34731">
        <w:rPr>
          <w:lang w:val="fr-CA"/>
        </w:rPr>
        <w:t xml:space="preserve"> et le service du renseignement de la RDC l</w:t>
      </w:r>
      <w:r w:rsidR="008E2843">
        <w:rPr>
          <w:lang w:val="fr-CA"/>
        </w:rPr>
        <w:t>’</w:t>
      </w:r>
      <w:r w:rsidR="00F42A0D" w:rsidRPr="00C34731">
        <w:rPr>
          <w:lang w:val="fr-CA"/>
        </w:rPr>
        <w:t>a harcelé, intimidé et menacé. Il a demandé l</w:t>
      </w:r>
      <w:r w:rsidR="008E2843">
        <w:rPr>
          <w:lang w:val="fr-CA"/>
        </w:rPr>
        <w:t>’</w:t>
      </w:r>
      <w:r w:rsidR="00F42A0D" w:rsidRPr="00C34731">
        <w:rPr>
          <w:lang w:val="fr-CA"/>
        </w:rPr>
        <w:t>asile au Canada pour sa famille et lui</w:t>
      </w:r>
      <w:r w:rsidR="00706DB5" w:rsidRPr="00C34731">
        <w:rPr>
          <w:lang w:val="fr-CA"/>
        </w:rPr>
        <w:noBreakHyphen/>
      </w:r>
      <w:r w:rsidR="00F42A0D" w:rsidRPr="00C34731">
        <w:rPr>
          <w:lang w:val="fr-CA"/>
        </w:rPr>
        <w:t>même.</w:t>
      </w:r>
    </w:p>
    <w:p w:rsidR="004D7D95" w:rsidRPr="00C34731" w:rsidRDefault="00B86873" w:rsidP="001A6134">
      <w:pPr>
        <w:pStyle w:val="SCCNormalDoubleSpacing"/>
        <w:spacing w:after="480"/>
        <w:rPr>
          <w:lang w:val="fr-CA"/>
        </w:rPr>
      </w:pPr>
      <w:r w:rsidRPr="00C34731">
        <w:rPr>
          <w:lang w:val="fr-CA"/>
        </w:rPr>
        <w:lastRenderedPageBreak/>
        <w:tab/>
      </w:r>
      <w:r w:rsidR="00F42A0D" w:rsidRPr="00C34731">
        <w:rPr>
          <w:lang w:val="fr-CA"/>
        </w:rPr>
        <w:t>La Section de la protection des réfugiés de la Commission de l</w:t>
      </w:r>
      <w:r w:rsidR="008E2843">
        <w:rPr>
          <w:lang w:val="fr-CA"/>
        </w:rPr>
        <w:t>’</w:t>
      </w:r>
      <w:r w:rsidR="00F42A0D" w:rsidRPr="00C34731">
        <w:rPr>
          <w:lang w:val="fr-CA"/>
        </w:rPr>
        <w:t xml:space="preserve">immigration et du statut de réfugié a refusé la protection des réfugiés </w:t>
      </w:r>
      <w:r w:rsidR="00C93F00" w:rsidRPr="00C34731">
        <w:rPr>
          <w:lang w:val="fr-CA"/>
        </w:rPr>
        <w:t xml:space="preserve">à E </w:t>
      </w:r>
      <w:r w:rsidR="00F42A0D" w:rsidRPr="00C34731">
        <w:rPr>
          <w:lang w:val="fr-CA"/>
        </w:rPr>
        <w:t>en application de l</w:t>
      </w:r>
      <w:r w:rsidR="008E2843">
        <w:rPr>
          <w:lang w:val="fr-CA"/>
        </w:rPr>
        <w:t>’</w:t>
      </w:r>
      <w:r w:rsidR="00706DB5" w:rsidRPr="00C34731">
        <w:rPr>
          <w:lang w:val="fr-CA"/>
        </w:rPr>
        <w:t>art. </w:t>
      </w:r>
      <w:r w:rsidR="00F42A0D" w:rsidRPr="00C34731">
        <w:rPr>
          <w:lang w:val="fr-CA"/>
        </w:rPr>
        <w:t>1F</w:t>
      </w:r>
      <w:r w:rsidR="00F42A0D" w:rsidRPr="00C34731">
        <w:rPr>
          <w:i/>
          <w:lang w:val="fr-CA"/>
        </w:rPr>
        <w:t>a</w:t>
      </w:r>
      <w:r w:rsidR="00F42A0D" w:rsidRPr="00C34731">
        <w:rPr>
          <w:lang w:val="fr-CA"/>
        </w:rPr>
        <w:t xml:space="preserve">) de la </w:t>
      </w:r>
      <w:r w:rsidR="00F42A0D" w:rsidRPr="00C34731">
        <w:rPr>
          <w:i/>
          <w:lang w:val="fr-CA"/>
        </w:rPr>
        <w:t xml:space="preserve">Convention relative au </w:t>
      </w:r>
      <w:r w:rsidR="00954F8E">
        <w:rPr>
          <w:i/>
          <w:lang w:val="fr-CA"/>
        </w:rPr>
        <w:t>Statut des R</w:t>
      </w:r>
      <w:r w:rsidR="00F42A0D" w:rsidRPr="00C34731">
        <w:rPr>
          <w:i/>
          <w:lang w:val="fr-CA"/>
        </w:rPr>
        <w:t xml:space="preserve">éfugiés </w:t>
      </w:r>
      <w:r w:rsidR="00954F8E" w:rsidRPr="00954F8E">
        <w:rPr>
          <w:lang w:val="fr-CA"/>
        </w:rPr>
        <w:t xml:space="preserve">des Nations Unies </w:t>
      </w:r>
      <w:r w:rsidR="00F42A0D" w:rsidRPr="00C34731">
        <w:rPr>
          <w:lang w:val="fr-CA"/>
        </w:rPr>
        <w:t>(« </w:t>
      </w:r>
      <w:r w:rsidR="00F42A0D" w:rsidRPr="00C34731">
        <w:rPr>
          <w:i/>
          <w:lang w:val="fr-CA"/>
        </w:rPr>
        <w:t>Convention relative aux réfugiés</w:t>
      </w:r>
      <w:r w:rsidR="00F42A0D" w:rsidRPr="00C34731">
        <w:rPr>
          <w:lang w:val="fr-CA"/>
        </w:rPr>
        <w:t> ») parce qu</w:t>
      </w:r>
      <w:r w:rsidR="008E2843">
        <w:rPr>
          <w:lang w:val="fr-CA"/>
        </w:rPr>
        <w:t>’</w:t>
      </w:r>
      <w:r w:rsidR="00F42A0D" w:rsidRPr="00C34731">
        <w:rPr>
          <w:lang w:val="fr-CA"/>
        </w:rPr>
        <w:t xml:space="preserve">il avait été complice </w:t>
      </w:r>
      <w:r w:rsidR="009D0819" w:rsidRPr="00C34731">
        <w:rPr>
          <w:lang w:val="fr-CA"/>
        </w:rPr>
        <w:t>de crimes contre l</w:t>
      </w:r>
      <w:r w:rsidR="008E2843">
        <w:rPr>
          <w:lang w:val="fr-CA"/>
        </w:rPr>
        <w:t>’</w:t>
      </w:r>
      <w:r w:rsidR="009D0819" w:rsidRPr="00C34731">
        <w:rPr>
          <w:lang w:val="fr-CA"/>
        </w:rPr>
        <w:t xml:space="preserve">humanité perpétrés par le gouvernement de la RDC. </w:t>
      </w:r>
      <w:r w:rsidR="001A6134" w:rsidRPr="00C34731">
        <w:rPr>
          <w:lang w:val="fr-CA"/>
        </w:rPr>
        <w:t xml:space="preserve"> </w:t>
      </w:r>
      <w:r w:rsidR="009D0819" w:rsidRPr="00C34731">
        <w:rPr>
          <w:lang w:val="fr-CA"/>
        </w:rPr>
        <w:t xml:space="preserve">La Cour fédérale a accueilli la demande de contrôle judiciaire de E, mais elle a certifié une question </w:t>
      </w:r>
      <w:r w:rsidR="00C93F00" w:rsidRPr="00C34731">
        <w:rPr>
          <w:lang w:val="fr-CA"/>
        </w:rPr>
        <w:t>qu</w:t>
      </w:r>
      <w:r w:rsidR="009D0819" w:rsidRPr="00C34731">
        <w:rPr>
          <w:lang w:val="fr-CA"/>
        </w:rPr>
        <w:t xml:space="preserve">ant </w:t>
      </w:r>
      <w:r w:rsidR="00C93F00" w:rsidRPr="00C34731">
        <w:rPr>
          <w:lang w:val="fr-CA"/>
        </w:rPr>
        <w:t xml:space="preserve">à </w:t>
      </w:r>
      <w:r w:rsidR="009D0819" w:rsidRPr="00C34731">
        <w:rPr>
          <w:lang w:val="fr-CA"/>
        </w:rPr>
        <w:t>la nature de la complici</w:t>
      </w:r>
      <w:r w:rsidR="001A6134" w:rsidRPr="00C34731">
        <w:rPr>
          <w:lang w:val="fr-CA"/>
        </w:rPr>
        <w:t>té requise aux fins de l</w:t>
      </w:r>
      <w:r w:rsidR="008E2843">
        <w:rPr>
          <w:lang w:val="fr-CA"/>
        </w:rPr>
        <w:t>’</w:t>
      </w:r>
      <w:r w:rsidR="00706DB5" w:rsidRPr="00C34731">
        <w:rPr>
          <w:lang w:val="fr-CA"/>
        </w:rPr>
        <w:t>art. </w:t>
      </w:r>
      <w:r w:rsidR="001A6134" w:rsidRPr="00C34731">
        <w:rPr>
          <w:lang w:val="fr-CA"/>
        </w:rPr>
        <w:t>1</w:t>
      </w:r>
      <w:r w:rsidR="009D0819" w:rsidRPr="00C34731">
        <w:rPr>
          <w:lang w:val="fr-CA"/>
        </w:rPr>
        <w:t>F</w:t>
      </w:r>
      <w:r w:rsidR="009D0819" w:rsidRPr="00C34731">
        <w:rPr>
          <w:i/>
          <w:lang w:val="fr-CA"/>
        </w:rPr>
        <w:t>a</w:t>
      </w:r>
      <w:r w:rsidR="009D0819" w:rsidRPr="00C34731">
        <w:rPr>
          <w:lang w:val="fr-CA"/>
        </w:rPr>
        <w:t xml:space="preserve">). </w:t>
      </w:r>
      <w:r w:rsidR="001A6134" w:rsidRPr="00C34731">
        <w:rPr>
          <w:lang w:val="fr-CA"/>
        </w:rPr>
        <w:t xml:space="preserve"> </w:t>
      </w:r>
      <w:r w:rsidR="00C93F00" w:rsidRPr="00C34731">
        <w:rPr>
          <w:lang w:val="fr-CA"/>
        </w:rPr>
        <w:t>La Cour d</w:t>
      </w:r>
      <w:r w:rsidR="008E2843">
        <w:rPr>
          <w:lang w:val="fr-CA"/>
        </w:rPr>
        <w:t>’</w:t>
      </w:r>
      <w:r w:rsidR="00C93F00" w:rsidRPr="00C34731">
        <w:rPr>
          <w:lang w:val="fr-CA"/>
        </w:rPr>
        <w:t>appel fédéra</w:t>
      </w:r>
      <w:r w:rsidR="009D0819" w:rsidRPr="00C34731">
        <w:rPr>
          <w:lang w:val="fr-CA"/>
        </w:rPr>
        <w:t>le a opiné qu</w:t>
      </w:r>
      <w:r w:rsidR="00C93F00" w:rsidRPr="00C34731">
        <w:rPr>
          <w:lang w:val="fr-CA"/>
        </w:rPr>
        <w:t>e</w:t>
      </w:r>
      <w:r w:rsidR="004C3FA1" w:rsidRPr="00C34731">
        <w:rPr>
          <w:lang w:val="fr-CA"/>
        </w:rPr>
        <w:t xml:space="preserve"> le haut fonctionnaire qui</w:t>
      </w:r>
      <w:r w:rsidR="009D0819" w:rsidRPr="00C34731">
        <w:rPr>
          <w:lang w:val="fr-CA"/>
        </w:rPr>
        <w:t xml:space="preserve"> demeur</w:t>
      </w:r>
      <w:r w:rsidR="004C3FA1" w:rsidRPr="00C34731">
        <w:rPr>
          <w:lang w:val="fr-CA"/>
        </w:rPr>
        <w:t>e</w:t>
      </w:r>
      <w:r w:rsidR="009D0819" w:rsidRPr="00C34731">
        <w:rPr>
          <w:lang w:val="fr-CA"/>
        </w:rPr>
        <w:t xml:space="preserve"> en poste sans protester et </w:t>
      </w:r>
      <w:r w:rsidR="004C3FA1" w:rsidRPr="00C34731">
        <w:rPr>
          <w:lang w:val="fr-CA"/>
        </w:rPr>
        <w:t>qui</w:t>
      </w:r>
      <w:r w:rsidR="009D0819" w:rsidRPr="00C34731">
        <w:rPr>
          <w:lang w:val="fr-CA"/>
        </w:rPr>
        <w:t xml:space="preserve"> continu</w:t>
      </w:r>
      <w:r w:rsidR="004C3FA1" w:rsidRPr="00C34731">
        <w:rPr>
          <w:lang w:val="fr-CA"/>
        </w:rPr>
        <w:t>e</w:t>
      </w:r>
      <w:r w:rsidR="009D0819" w:rsidRPr="00C34731">
        <w:rPr>
          <w:lang w:val="fr-CA"/>
        </w:rPr>
        <w:t xml:space="preserve"> à défendre les intérêts de son gouvernement alors qu</w:t>
      </w:r>
      <w:r w:rsidR="008E2843">
        <w:rPr>
          <w:lang w:val="fr-CA"/>
        </w:rPr>
        <w:t>’</w:t>
      </w:r>
      <w:r w:rsidR="009D0819" w:rsidRPr="00C34731">
        <w:rPr>
          <w:lang w:val="fr-CA"/>
        </w:rPr>
        <w:t xml:space="preserve">il a connaissance des crimes commis par </w:t>
      </w:r>
      <w:r w:rsidR="001E2EBA" w:rsidRPr="00C34731">
        <w:rPr>
          <w:lang w:val="fr-CA"/>
        </w:rPr>
        <w:t>son</w:t>
      </w:r>
      <w:r w:rsidR="00954F8E">
        <w:rPr>
          <w:lang w:val="fr-CA"/>
        </w:rPr>
        <w:t xml:space="preserve"> gouvernement</w:t>
      </w:r>
      <w:r w:rsidR="009D0819" w:rsidRPr="00C34731">
        <w:rPr>
          <w:lang w:val="fr-CA"/>
        </w:rPr>
        <w:t xml:space="preserve"> </w:t>
      </w:r>
      <w:r w:rsidR="00C93F00" w:rsidRPr="00C34731">
        <w:rPr>
          <w:lang w:val="fr-CA"/>
        </w:rPr>
        <w:t>p</w:t>
      </w:r>
      <w:r w:rsidR="001E2EBA" w:rsidRPr="00C34731">
        <w:rPr>
          <w:lang w:val="fr-CA"/>
        </w:rPr>
        <w:t>e</w:t>
      </w:r>
      <w:r w:rsidR="00C93F00" w:rsidRPr="00C34731">
        <w:rPr>
          <w:lang w:val="fr-CA"/>
        </w:rPr>
        <w:t xml:space="preserve">ut </w:t>
      </w:r>
      <w:r w:rsidR="009D0819" w:rsidRPr="00C34731">
        <w:rPr>
          <w:lang w:val="fr-CA"/>
        </w:rPr>
        <w:t>d</w:t>
      </w:r>
      <w:r w:rsidR="00C93F00" w:rsidRPr="00C34731">
        <w:rPr>
          <w:lang w:val="fr-CA"/>
        </w:rPr>
        <w:t>e ce fait</w:t>
      </w:r>
      <w:r w:rsidR="009D0819" w:rsidRPr="00C34731">
        <w:rPr>
          <w:lang w:val="fr-CA"/>
        </w:rPr>
        <w:t xml:space="preserve"> particip</w:t>
      </w:r>
      <w:r w:rsidR="00C93F00" w:rsidRPr="00C34731">
        <w:rPr>
          <w:lang w:val="fr-CA"/>
        </w:rPr>
        <w:t>er</w:t>
      </w:r>
      <w:r w:rsidR="009D0819" w:rsidRPr="00C34731">
        <w:rPr>
          <w:lang w:val="fr-CA"/>
        </w:rPr>
        <w:t xml:space="preserve"> personnelle</w:t>
      </w:r>
      <w:r w:rsidR="00C93F00" w:rsidRPr="00C34731">
        <w:rPr>
          <w:lang w:val="fr-CA"/>
        </w:rPr>
        <w:t>ment</w:t>
      </w:r>
      <w:r w:rsidR="009D0819" w:rsidRPr="00C34731">
        <w:rPr>
          <w:lang w:val="fr-CA"/>
        </w:rPr>
        <w:t xml:space="preserve"> et conscie</w:t>
      </w:r>
      <w:r w:rsidR="00C93F00" w:rsidRPr="00C34731">
        <w:rPr>
          <w:lang w:val="fr-CA"/>
        </w:rPr>
        <w:t>mment</w:t>
      </w:r>
      <w:r w:rsidR="009D0819" w:rsidRPr="00C34731">
        <w:rPr>
          <w:lang w:val="fr-CA"/>
        </w:rPr>
        <w:t xml:space="preserve"> à ces crimes et s</w:t>
      </w:r>
      <w:r w:rsidR="008E2843">
        <w:rPr>
          <w:lang w:val="fr-CA"/>
        </w:rPr>
        <w:t>’</w:t>
      </w:r>
      <w:r w:rsidR="00C93F00" w:rsidRPr="00C34731">
        <w:rPr>
          <w:lang w:val="fr-CA"/>
        </w:rPr>
        <w:t>en</w:t>
      </w:r>
      <w:r w:rsidR="009D0819" w:rsidRPr="00C34731">
        <w:rPr>
          <w:lang w:val="fr-CA"/>
        </w:rPr>
        <w:t xml:space="preserve"> rendre complice. </w:t>
      </w:r>
      <w:r w:rsidR="001A6134" w:rsidRPr="00C34731">
        <w:rPr>
          <w:lang w:val="fr-CA"/>
        </w:rPr>
        <w:t xml:space="preserve"> </w:t>
      </w:r>
      <w:r w:rsidR="00BE49CC" w:rsidRPr="00C34731">
        <w:rPr>
          <w:lang w:val="fr-CA"/>
        </w:rPr>
        <w:t>Elle a renvoyé l</w:t>
      </w:r>
      <w:r w:rsidR="008E2843">
        <w:rPr>
          <w:lang w:val="fr-CA"/>
        </w:rPr>
        <w:t>’</w:t>
      </w:r>
      <w:r w:rsidR="00BE49CC" w:rsidRPr="00C34731">
        <w:rPr>
          <w:lang w:val="fr-CA"/>
        </w:rPr>
        <w:t>affaire à une formation différente de la Section de la protection des réfugiés afin qu</w:t>
      </w:r>
      <w:r w:rsidR="008E2843">
        <w:rPr>
          <w:lang w:val="fr-CA"/>
        </w:rPr>
        <w:t>’</w:t>
      </w:r>
      <w:r w:rsidR="00BE49CC" w:rsidRPr="00C34731">
        <w:rPr>
          <w:lang w:val="fr-CA"/>
        </w:rPr>
        <w:t xml:space="preserve">elle applique ce critère aux faits </w:t>
      </w:r>
      <w:r w:rsidR="001E2EBA" w:rsidRPr="00C34731">
        <w:rPr>
          <w:lang w:val="fr-CA"/>
        </w:rPr>
        <w:t>d</w:t>
      </w:r>
      <w:r w:rsidR="00BE49CC" w:rsidRPr="00C34731">
        <w:rPr>
          <w:lang w:val="fr-CA"/>
        </w:rPr>
        <w:t xml:space="preserve">e </w:t>
      </w:r>
      <w:r w:rsidR="00C93F00" w:rsidRPr="00C34731">
        <w:rPr>
          <w:lang w:val="fr-CA"/>
        </w:rPr>
        <w:t>l</w:t>
      </w:r>
      <w:r w:rsidR="008E2843">
        <w:rPr>
          <w:lang w:val="fr-CA"/>
        </w:rPr>
        <w:t>’</w:t>
      </w:r>
      <w:r w:rsidR="00C93F00" w:rsidRPr="00C34731">
        <w:rPr>
          <w:lang w:val="fr-CA"/>
        </w:rPr>
        <w:t>espèc</w:t>
      </w:r>
      <w:r w:rsidR="00BE49CC" w:rsidRPr="00C34731">
        <w:rPr>
          <w:lang w:val="fr-CA"/>
        </w:rPr>
        <w:t>e.</w:t>
      </w:r>
      <w:r w:rsidR="009D0819" w:rsidRPr="00C34731">
        <w:rPr>
          <w:lang w:val="fr-CA"/>
        </w:rPr>
        <w:t xml:space="preserve"> </w:t>
      </w:r>
    </w:p>
    <w:p w:rsidR="004D7D95" w:rsidRPr="00C34731" w:rsidRDefault="004D7D95" w:rsidP="002C3443">
      <w:pPr>
        <w:pStyle w:val="SCCNormalDoubleSpacing"/>
        <w:spacing w:after="480"/>
        <w:rPr>
          <w:lang w:val="fr-CA"/>
        </w:rPr>
      </w:pPr>
      <w:r w:rsidRPr="00C34731">
        <w:rPr>
          <w:lang w:val="fr-CA"/>
        </w:rPr>
        <w:tab/>
      </w:r>
      <w:r w:rsidRPr="00C34731">
        <w:rPr>
          <w:i/>
          <w:lang w:val="fr-CA"/>
        </w:rPr>
        <w:t>Arrêt</w:t>
      </w:r>
      <w:r w:rsidR="00706DB5" w:rsidRPr="00C34731">
        <w:rPr>
          <w:lang w:val="fr-CA"/>
        </w:rPr>
        <w:t> :</w:t>
      </w:r>
      <w:r w:rsidRPr="00C34731">
        <w:rPr>
          <w:lang w:val="fr-CA"/>
        </w:rPr>
        <w:t xml:space="preserve"> Le pourvoi est</w:t>
      </w:r>
      <w:r w:rsidR="00BE49CC" w:rsidRPr="00C34731">
        <w:rPr>
          <w:lang w:val="fr-CA"/>
        </w:rPr>
        <w:t xml:space="preserve"> accueilli et l</w:t>
      </w:r>
      <w:r w:rsidR="008E2843">
        <w:rPr>
          <w:lang w:val="fr-CA"/>
        </w:rPr>
        <w:t>’</w:t>
      </w:r>
      <w:r w:rsidR="00BE49CC" w:rsidRPr="00C34731">
        <w:rPr>
          <w:lang w:val="fr-CA"/>
        </w:rPr>
        <w:t>affaire est renvoyée à une formation différente de la Section de la protection des réfugiés afin qu</w:t>
      </w:r>
      <w:r w:rsidR="008E2843">
        <w:rPr>
          <w:lang w:val="fr-CA"/>
        </w:rPr>
        <w:t>’</w:t>
      </w:r>
      <w:r w:rsidR="00BE49CC" w:rsidRPr="00C34731">
        <w:rPr>
          <w:lang w:val="fr-CA"/>
        </w:rPr>
        <w:t>elle rende une nouvelle décision conforme aux présents motifs.</w:t>
      </w:r>
    </w:p>
    <w:p w:rsidR="003702D1" w:rsidRPr="00C34731" w:rsidRDefault="004D7D95" w:rsidP="001A6134">
      <w:pPr>
        <w:pStyle w:val="SCCNormalDoubleSpacing"/>
        <w:spacing w:after="480"/>
        <w:rPr>
          <w:lang w:val="fr-CA"/>
        </w:rPr>
      </w:pPr>
      <w:r w:rsidRPr="00C34731">
        <w:rPr>
          <w:lang w:val="fr-CA"/>
        </w:rPr>
        <w:tab/>
      </w:r>
      <w:r w:rsidR="00BE49CC" w:rsidRPr="00C34731">
        <w:rPr>
          <w:lang w:val="fr-CA"/>
        </w:rPr>
        <w:t>Pour refuser l</w:t>
      </w:r>
      <w:r w:rsidR="008E2843">
        <w:rPr>
          <w:lang w:val="fr-CA"/>
        </w:rPr>
        <w:t>’</w:t>
      </w:r>
      <w:r w:rsidR="00BE49CC" w:rsidRPr="00C34731">
        <w:rPr>
          <w:lang w:val="fr-CA"/>
        </w:rPr>
        <w:t>asile à un demande</w:t>
      </w:r>
      <w:r w:rsidR="001A6134" w:rsidRPr="00C34731">
        <w:rPr>
          <w:lang w:val="fr-CA"/>
        </w:rPr>
        <w:t>ur sur le fondement de l</w:t>
      </w:r>
      <w:r w:rsidR="008E2843">
        <w:rPr>
          <w:lang w:val="fr-CA"/>
        </w:rPr>
        <w:t>’</w:t>
      </w:r>
      <w:r w:rsidR="00706DB5" w:rsidRPr="00C34731">
        <w:rPr>
          <w:lang w:val="fr-CA"/>
        </w:rPr>
        <w:t>art. </w:t>
      </w:r>
      <w:r w:rsidR="001A6134" w:rsidRPr="00C34731">
        <w:rPr>
          <w:lang w:val="fr-CA"/>
        </w:rPr>
        <w:t>1</w:t>
      </w:r>
      <w:r w:rsidR="00BE49CC" w:rsidRPr="00C34731">
        <w:rPr>
          <w:lang w:val="fr-CA"/>
        </w:rPr>
        <w:t>F</w:t>
      </w:r>
      <w:r w:rsidR="00BE49CC" w:rsidRPr="00C34731">
        <w:rPr>
          <w:i/>
          <w:lang w:val="fr-CA"/>
        </w:rPr>
        <w:t>a</w:t>
      </w:r>
      <w:r w:rsidR="00BE49CC" w:rsidRPr="00C34731">
        <w:rPr>
          <w:lang w:val="fr-CA"/>
        </w:rPr>
        <w:t>), il doit exister des raisons sérieuses de penser qu</w:t>
      </w:r>
      <w:r w:rsidR="008E2843">
        <w:rPr>
          <w:lang w:val="fr-CA"/>
        </w:rPr>
        <w:t>’</w:t>
      </w:r>
      <w:r w:rsidR="00BE49CC" w:rsidRPr="00C34731">
        <w:rPr>
          <w:lang w:val="fr-CA"/>
        </w:rPr>
        <w:t>il a volontairement contribué de manière significative et consciente aux crimes ou au dessein criminel d</w:t>
      </w:r>
      <w:r w:rsidR="008E2843">
        <w:rPr>
          <w:lang w:val="fr-CA"/>
        </w:rPr>
        <w:t>’</w:t>
      </w:r>
      <w:r w:rsidR="00BE49CC" w:rsidRPr="00C34731">
        <w:rPr>
          <w:lang w:val="fr-CA"/>
        </w:rPr>
        <w:t xml:space="preserve">une organisation. </w:t>
      </w:r>
      <w:r w:rsidR="001A6134" w:rsidRPr="00C34731">
        <w:rPr>
          <w:lang w:val="fr-CA"/>
        </w:rPr>
        <w:t xml:space="preserve"> </w:t>
      </w:r>
      <w:r w:rsidR="00C93F00" w:rsidRPr="00C34731">
        <w:rPr>
          <w:lang w:val="fr-CA"/>
        </w:rPr>
        <w:t>Le</w:t>
      </w:r>
      <w:r w:rsidR="002C2888" w:rsidRPr="00C34731">
        <w:rPr>
          <w:lang w:val="fr-CA"/>
        </w:rPr>
        <w:t xml:space="preserve"> décideur d</w:t>
      </w:r>
      <w:r w:rsidR="00C93F00" w:rsidRPr="00C34731">
        <w:rPr>
          <w:lang w:val="fr-CA"/>
        </w:rPr>
        <w:t>o</w:t>
      </w:r>
      <w:r w:rsidR="002C2888" w:rsidRPr="00C34731">
        <w:rPr>
          <w:lang w:val="fr-CA"/>
        </w:rPr>
        <w:t>it s</w:t>
      </w:r>
      <w:r w:rsidR="008E2843">
        <w:rPr>
          <w:lang w:val="fr-CA"/>
        </w:rPr>
        <w:t>’</w:t>
      </w:r>
      <w:r w:rsidR="002C2888" w:rsidRPr="00C34731">
        <w:rPr>
          <w:lang w:val="fr-CA"/>
        </w:rPr>
        <w:t>abstenir d</w:t>
      </w:r>
      <w:r w:rsidR="008E2843">
        <w:rPr>
          <w:lang w:val="fr-CA"/>
        </w:rPr>
        <w:t>’</w:t>
      </w:r>
      <w:r w:rsidR="002C2888" w:rsidRPr="00C34731">
        <w:rPr>
          <w:lang w:val="fr-CA"/>
        </w:rPr>
        <w:t xml:space="preserve">élargir indûment la notion de complicité et de conclure </w:t>
      </w:r>
      <w:r w:rsidR="00C93F00" w:rsidRPr="00C34731">
        <w:rPr>
          <w:lang w:val="fr-CA"/>
        </w:rPr>
        <w:t>qu</w:t>
      </w:r>
      <w:r w:rsidR="008E2843">
        <w:rPr>
          <w:lang w:val="fr-CA"/>
        </w:rPr>
        <w:t>’</w:t>
      </w:r>
      <w:r w:rsidR="002C2888" w:rsidRPr="00C34731">
        <w:rPr>
          <w:lang w:val="fr-CA"/>
        </w:rPr>
        <w:t xml:space="preserve">une personne </w:t>
      </w:r>
      <w:r w:rsidR="00C93F00" w:rsidRPr="00C34731">
        <w:rPr>
          <w:lang w:val="fr-CA"/>
        </w:rPr>
        <w:t xml:space="preserve">est complice </w:t>
      </w:r>
      <w:r w:rsidR="002C2888" w:rsidRPr="00C34731">
        <w:rPr>
          <w:lang w:val="fr-CA"/>
        </w:rPr>
        <w:t>p</w:t>
      </w:r>
      <w:r w:rsidR="00C93F00" w:rsidRPr="00C34731">
        <w:rPr>
          <w:lang w:val="fr-CA"/>
        </w:rPr>
        <w:t>ar</w:t>
      </w:r>
      <w:r w:rsidR="002C2888" w:rsidRPr="00C34731">
        <w:rPr>
          <w:lang w:val="fr-CA"/>
        </w:rPr>
        <w:t xml:space="preserve"> simple association ou acquiescement passif. </w:t>
      </w:r>
      <w:r w:rsidR="000B104B" w:rsidRPr="00C34731">
        <w:rPr>
          <w:lang w:val="fr-CA"/>
        </w:rPr>
        <w:t xml:space="preserve"> </w:t>
      </w:r>
      <w:r w:rsidR="002C2888" w:rsidRPr="00C34731">
        <w:rPr>
          <w:lang w:val="fr-CA"/>
        </w:rPr>
        <w:t xml:space="preserve">Au </w:t>
      </w:r>
      <w:r w:rsidR="002C2888" w:rsidRPr="00C34731">
        <w:rPr>
          <w:lang w:val="fr-CA"/>
        </w:rPr>
        <w:lastRenderedPageBreak/>
        <w:t xml:space="preserve">Canada, le critère fondé sur la participation personnelle et consciente a parfois été indûment assoupli de manière à englober la complicité par association. </w:t>
      </w:r>
      <w:r w:rsidR="001A6134" w:rsidRPr="00C34731">
        <w:rPr>
          <w:lang w:val="fr-CA"/>
        </w:rPr>
        <w:t xml:space="preserve"> </w:t>
      </w:r>
      <w:r w:rsidR="002C2888" w:rsidRPr="00C34731">
        <w:rPr>
          <w:lang w:val="fr-CA"/>
        </w:rPr>
        <w:t>Il est donc nécessaire de revoir l</w:t>
      </w:r>
      <w:r w:rsidR="008E2843">
        <w:rPr>
          <w:lang w:val="fr-CA"/>
        </w:rPr>
        <w:t>’</w:t>
      </w:r>
      <w:r w:rsidR="002C2888" w:rsidRPr="00C34731">
        <w:rPr>
          <w:lang w:val="fr-CA"/>
        </w:rPr>
        <w:t>interprétation canadienne afin de l</w:t>
      </w:r>
      <w:r w:rsidR="008E2843">
        <w:rPr>
          <w:lang w:val="fr-CA"/>
        </w:rPr>
        <w:t>’</w:t>
      </w:r>
      <w:r w:rsidR="002C2888" w:rsidRPr="00C34731">
        <w:rPr>
          <w:lang w:val="fr-CA"/>
        </w:rPr>
        <w:t>harmoniser avec l</w:t>
      </w:r>
      <w:r w:rsidR="008E2843">
        <w:rPr>
          <w:lang w:val="fr-CA"/>
        </w:rPr>
        <w:t>’</w:t>
      </w:r>
      <w:r w:rsidR="002C2888" w:rsidRPr="00C34731">
        <w:rPr>
          <w:lang w:val="fr-CA"/>
        </w:rPr>
        <w:t xml:space="preserve">objet de la </w:t>
      </w:r>
      <w:r w:rsidR="002C2888" w:rsidRPr="00C34731">
        <w:rPr>
          <w:i/>
          <w:lang w:val="fr-CA"/>
        </w:rPr>
        <w:t>Convention relative aux réfugiés</w:t>
      </w:r>
      <w:r w:rsidR="002C2888" w:rsidRPr="00C34731">
        <w:rPr>
          <w:lang w:val="fr-CA"/>
        </w:rPr>
        <w:t xml:space="preserve"> et de son </w:t>
      </w:r>
      <w:r w:rsidR="00706DB5" w:rsidRPr="00C34731">
        <w:rPr>
          <w:lang w:val="fr-CA"/>
        </w:rPr>
        <w:t>art. </w:t>
      </w:r>
      <w:r w:rsidR="002C2888" w:rsidRPr="00C34731">
        <w:rPr>
          <w:lang w:val="fr-CA"/>
        </w:rPr>
        <w:t>1F</w:t>
      </w:r>
      <w:r w:rsidR="002C2888" w:rsidRPr="00C34731">
        <w:rPr>
          <w:i/>
          <w:lang w:val="fr-CA"/>
        </w:rPr>
        <w:t>a</w:t>
      </w:r>
      <w:r w:rsidR="002C2888" w:rsidRPr="00C34731">
        <w:rPr>
          <w:lang w:val="fr-CA"/>
        </w:rPr>
        <w:t>), le rôle de la</w:t>
      </w:r>
      <w:r w:rsidR="001D3B60" w:rsidRPr="00C34731">
        <w:rPr>
          <w:lang w:val="fr-CA"/>
        </w:rPr>
        <w:t xml:space="preserve"> </w:t>
      </w:r>
      <w:r w:rsidR="002C2888" w:rsidRPr="00C34731">
        <w:rPr>
          <w:lang w:val="fr-CA"/>
        </w:rPr>
        <w:t xml:space="preserve">Section de la protection des </w:t>
      </w:r>
      <w:r w:rsidR="001D3B60" w:rsidRPr="00C34731">
        <w:rPr>
          <w:lang w:val="fr-CA"/>
        </w:rPr>
        <w:t>réfugiés</w:t>
      </w:r>
      <w:r w:rsidR="002C2888" w:rsidRPr="00C34731">
        <w:rPr>
          <w:lang w:val="fr-CA"/>
        </w:rPr>
        <w:t>, le droit international auquel renvoie expressément l</w:t>
      </w:r>
      <w:r w:rsidR="008E2843">
        <w:rPr>
          <w:lang w:val="fr-CA"/>
        </w:rPr>
        <w:t>’</w:t>
      </w:r>
      <w:r w:rsidR="00706DB5" w:rsidRPr="00C34731">
        <w:rPr>
          <w:lang w:val="fr-CA"/>
        </w:rPr>
        <w:t>art. </w:t>
      </w:r>
      <w:r w:rsidR="002C2888" w:rsidRPr="00C34731">
        <w:rPr>
          <w:lang w:val="fr-CA"/>
        </w:rPr>
        <w:t>1F</w:t>
      </w:r>
      <w:r w:rsidR="002C2888" w:rsidRPr="00C34731">
        <w:rPr>
          <w:i/>
          <w:lang w:val="fr-CA"/>
        </w:rPr>
        <w:t>a</w:t>
      </w:r>
      <w:r w:rsidR="002C2888" w:rsidRPr="00C34731">
        <w:rPr>
          <w:lang w:val="fr-CA"/>
        </w:rPr>
        <w:t>) et le critère de complicité retenu par d</w:t>
      </w:r>
      <w:r w:rsidR="008E2843">
        <w:rPr>
          <w:lang w:val="fr-CA"/>
        </w:rPr>
        <w:t>’</w:t>
      </w:r>
      <w:r w:rsidR="002C2888" w:rsidRPr="00C34731">
        <w:rPr>
          <w:lang w:val="fr-CA"/>
        </w:rPr>
        <w:t xml:space="preserve">autres États parties à la </w:t>
      </w:r>
      <w:r w:rsidR="002C2888" w:rsidRPr="00C34731">
        <w:rPr>
          <w:i/>
          <w:lang w:val="fr-CA"/>
        </w:rPr>
        <w:t>Convention</w:t>
      </w:r>
      <w:r w:rsidR="00C93F00" w:rsidRPr="00C34731">
        <w:rPr>
          <w:i/>
          <w:lang w:val="fr-CA"/>
        </w:rPr>
        <w:t xml:space="preserve"> relative aux réfugiés</w:t>
      </w:r>
      <w:r w:rsidR="001D3B60" w:rsidRPr="00C34731">
        <w:rPr>
          <w:lang w:val="fr-CA"/>
        </w:rPr>
        <w:t>, ainsi qu</w:t>
      </w:r>
      <w:r w:rsidR="008E2843">
        <w:rPr>
          <w:lang w:val="fr-CA"/>
        </w:rPr>
        <w:t>’</w:t>
      </w:r>
      <w:r w:rsidR="001D3B60" w:rsidRPr="00C34731">
        <w:rPr>
          <w:lang w:val="fr-CA"/>
        </w:rPr>
        <w:t>avec les principes fondamentaux du droit pén</w:t>
      </w:r>
      <w:r w:rsidR="00706DB5" w:rsidRPr="00C34731">
        <w:rPr>
          <w:lang w:val="fr-CA"/>
        </w:rPr>
        <w:t xml:space="preserve">al. </w:t>
      </w:r>
      <w:r w:rsidR="001A6134" w:rsidRPr="00C34731">
        <w:rPr>
          <w:lang w:val="fr-CA"/>
        </w:rPr>
        <w:t xml:space="preserve"> </w:t>
      </w:r>
      <w:r w:rsidR="00E84E05" w:rsidRPr="00C34731">
        <w:rPr>
          <w:lang w:val="fr-CA"/>
        </w:rPr>
        <w:t xml:space="preserve">Tous ces </w:t>
      </w:r>
      <w:r w:rsidR="00C93F00" w:rsidRPr="00C34731">
        <w:rPr>
          <w:lang w:val="fr-CA"/>
        </w:rPr>
        <w:t>éléments favorisent</w:t>
      </w:r>
      <w:r w:rsidR="00E84E05" w:rsidRPr="00C34731">
        <w:rPr>
          <w:lang w:val="fr-CA"/>
        </w:rPr>
        <w:t xml:space="preserve"> l</w:t>
      </w:r>
      <w:r w:rsidR="008E2843">
        <w:rPr>
          <w:lang w:val="fr-CA"/>
        </w:rPr>
        <w:t>’</w:t>
      </w:r>
      <w:r w:rsidR="00E84E05" w:rsidRPr="00C34731">
        <w:rPr>
          <w:lang w:val="fr-CA"/>
        </w:rPr>
        <w:t>adoption d</w:t>
      </w:r>
      <w:r w:rsidR="008E2843">
        <w:rPr>
          <w:lang w:val="fr-CA"/>
        </w:rPr>
        <w:t>’</w:t>
      </w:r>
      <w:r w:rsidR="00E84E05" w:rsidRPr="00C34731">
        <w:rPr>
          <w:lang w:val="fr-CA"/>
        </w:rPr>
        <w:t>un critère axé sur la contribution</w:t>
      </w:r>
      <w:r w:rsidR="003702D1" w:rsidRPr="00C34731">
        <w:rPr>
          <w:lang w:val="fr-CA"/>
        </w:rPr>
        <w:t>,</w:t>
      </w:r>
      <w:r w:rsidR="00E84E05" w:rsidRPr="00C34731">
        <w:rPr>
          <w:lang w:val="fr-CA"/>
        </w:rPr>
        <w:t xml:space="preserve"> un critère qui requiert une contribution à la fois volontaire, consciente et significative au</w:t>
      </w:r>
      <w:r w:rsidR="00C93F00" w:rsidRPr="00C34731">
        <w:rPr>
          <w:lang w:val="fr-CA"/>
        </w:rPr>
        <w:t>x</w:t>
      </w:r>
      <w:r w:rsidR="00E84E05" w:rsidRPr="00C34731">
        <w:rPr>
          <w:lang w:val="fr-CA"/>
        </w:rPr>
        <w:t xml:space="preserve"> crime</w:t>
      </w:r>
      <w:r w:rsidR="00C93F00" w:rsidRPr="00C34731">
        <w:rPr>
          <w:lang w:val="fr-CA"/>
        </w:rPr>
        <w:t>s</w:t>
      </w:r>
      <w:r w:rsidR="00E84E05" w:rsidRPr="00C34731">
        <w:rPr>
          <w:lang w:val="fr-CA"/>
        </w:rPr>
        <w:t xml:space="preserve"> ou au dessein criminel d</w:t>
      </w:r>
      <w:r w:rsidR="008E2843">
        <w:rPr>
          <w:lang w:val="fr-CA"/>
        </w:rPr>
        <w:t>’</w:t>
      </w:r>
      <w:r w:rsidR="00E84E05" w:rsidRPr="00C34731">
        <w:rPr>
          <w:lang w:val="fr-CA"/>
        </w:rPr>
        <w:t>un groupe.</w:t>
      </w:r>
    </w:p>
    <w:p w:rsidR="00814E6A" w:rsidRPr="00C34731" w:rsidRDefault="003702D1" w:rsidP="001A6134">
      <w:pPr>
        <w:pStyle w:val="SCCNormalDoubleSpacing"/>
        <w:spacing w:after="480"/>
        <w:rPr>
          <w:lang w:val="fr-CA"/>
        </w:rPr>
      </w:pPr>
      <w:r w:rsidRPr="00C34731">
        <w:rPr>
          <w:lang w:val="fr-CA"/>
        </w:rPr>
        <w:tab/>
        <w:t xml:space="preserve">Premièrement, la </w:t>
      </w:r>
      <w:r w:rsidRPr="00C34731">
        <w:rPr>
          <w:i/>
          <w:lang w:val="fr-CA"/>
        </w:rPr>
        <w:t xml:space="preserve">Convention relative aux réfugiés </w:t>
      </w:r>
      <w:r w:rsidRPr="00C34731">
        <w:rPr>
          <w:lang w:val="fr-CA"/>
        </w:rPr>
        <w:t> exprime une profonde sollicitude pour les réfugiés</w:t>
      </w:r>
      <w:r w:rsidR="00706DB5" w:rsidRPr="00C34731">
        <w:rPr>
          <w:lang w:val="fr-CA"/>
        </w:rPr>
        <w:t xml:space="preserve"> </w:t>
      </w:r>
      <w:r w:rsidRPr="00C34731">
        <w:rPr>
          <w:lang w:val="fr-CA"/>
        </w:rPr>
        <w:t xml:space="preserve">et </w:t>
      </w:r>
      <w:r w:rsidR="00C93F00" w:rsidRPr="00C34731">
        <w:rPr>
          <w:lang w:val="fr-CA"/>
        </w:rPr>
        <w:t>le</w:t>
      </w:r>
      <w:r w:rsidRPr="00C34731">
        <w:rPr>
          <w:lang w:val="fr-CA"/>
        </w:rPr>
        <w:t xml:space="preserve"> souci de leur assurer l</w:t>
      </w:r>
      <w:r w:rsidR="008E2843">
        <w:rPr>
          <w:lang w:val="fr-CA"/>
        </w:rPr>
        <w:t>’</w:t>
      </w:r>
      <w:r w:rsidRPr="00C34731">
        <w:rPr>
          <w:lang w:val="fr-CA"/>
        </w:rPr>
        <w:t>exercice le plus large possible des droits de l</w:t>
      </w:r>
      <w:r w:rsidR="008E2843">
        <w:rPr>
          <w:lang w:val="fr-CA"/>
        </w:rPr>
        <w:t>’</w:t>
      </w:r>
      <w:r w:rsidRPr="00C34731">
        <w:rPr>
          <w:lang w:val="fr-CA"/>
        </w:rPr>
        <w:t xml:space="preserve">homme et des libertés fondamentales. </w:t>
      </w:r>
      <w:r w:rsidR="001A6134" w:rsidRPr="00C34731">
        <w:rPr>
          <w:lang w:val="fr-CA"/>
        </w:rPr>
        <w:t xml:space="preserve"> </w:t>
      </w:r>
      <w:r w:rsidR="00814E6A" w:rsidRPr="00C34731">
        <w:rPr>
          <w:lang w:val="fr-CA"/>
        </w:rPr>
        <w:t>Cependant, elle protège aussi l</w:t>
      </w:r>
      <w:r w:rsidR="008E2843">
        <w:rPr>
          <w:lang w:val="fr-CA"/>
        </w:rPr>
        <w:t>’</w:t>
      </w:r>
      <w:r w:rsidR="00814E6A" w:rsidRPr="00C34731">
        <w:rPr>
          <w:lang w:val="fr-CA"/>
        </w:rPr>
        <w:t>intégrité de la protection internationale accordée aux réfugiés en empêchant l</w:t>
      </w:r>
      <w:r w:rsidR="008E2843">
        <w:rPr>
          <w:lang w:val="fr-CA"/>
        </w:rPr>
        <w:t>’</w:t>
      </w:r>
      <w:r w:rsidR="00814E6A" w:rsidRPr="00C34731">
        <w:rPr>
          <w:lang w:val="fr-CA"/>
        </w:rPr>
        <w:t>auteur d</w:t>
      </w:r>
      <w:r w:rsidR="008E2843">
        <w:rPr>
          <w:lang w:val="fr-CA"/>
        </w:rPr>
        <w:t>’</w:t>
      </w:r>
      <w:r w:rsidR="00814E6A" w:rsidRPr="00C34731">
        <w:rPr>
          <w:lang w:val="fr-CA"/>
        </w:rPr>
        <w:t>un crime contre la paix, d</w:t>
      </w:r>
      <w:r w:rsidR="008E2843">
        <w:rPr>
          <w:lang w:val="fr-CA"/>
        </w:rPr>
        <w:t>’</w:t>
      </w:r>
      <w:r w:rsidR="00814E6A" w:rsidRPr="00C34731">
        <w:rPr>
          <w:lang w:val="fr-CA"/>
        </w:rPr>
        <w:t>un crime de guerre ou d</w:t>
      </w:r>
      <w:r w:rsidR="008E2843">
        <w:rPr>
          <w:lang w:val="fr-CA"/>
        </w:rPr>
        <w:t>’</w:t>
      </w:r>
      <w:r w:rsidR="00814E6A" w:rsidRPr="00C34731">
        <w:rPr>
          <w:lang w:val="fr-CA"/>
        </w:rPr>
        <w:t>un crime contre l</w:t>
      </w:r>
      <w:r w:rsidR="008E2843">
        <w:rPr>
          <w:lang w:val="fr-CA"/>
        </w:rPr>
        <w:t>’</w:t>
      </w:r>
      <w:r w:rsidR="00814E6A" w:rsidRPr="00C34731">
        <w:rPr>
          <w:lang w:val="fr-CA"/>
        </w:rPr>
        <w:t xml:space="preserve">humanité de tirer avantage du régime de protection. </w:t>
      </w:r>
      <w:r w:rsidR="001A6134" w:rsidRPr="00C34731">
        <w:rPr>
          <w:lang w:val="fr-CA"/>
        </w:rPr>
        <w:t xml:space="preserve"> </w:t>
      </w:r>
      <w:r w:rsidR="00814E6A" w:rsidRPr="00C34731">
        <w:rPr>
          <w:lang w:val="fr-CA"/>
        </w:rPr>
        <w:t>Une interprétation stricte de l</w:t>
      </w:r>
      <w:r w:rsidR="008E2843">
        <w:rPr>
          <w:lang w:val="fr-CA"/>
        </w:rPr>
        <w:t>’</w:t>
      </w:r>
      <w:r w:rsidR="00706DB5" w:rsidRPr="00C34731">
        <w:rPr>
          <w:lang w:val="fr-CA"/>
        </w:rPr>
        <w:t>art. 1</w:t>
      </w:r>
      <w:r w:rsidR="00814E6A" w:rsidRPr="00C34731">
        <w:rPr>
          <w:lang w:val="fr-CA"/>
        </w:rPr>
        <w:t>F</w:t>
      </w:r>
      <w:r w:rsidR="00814E6A" w:rsidRPr="00C34731">
        <w:rPr>
          <w:i/>
          <w:lang w:val="fr-CA"/>
        </w:rPr>
        <w:t>a</w:t>
      </w:r>
      <w:r w:rsidR="00814E6A" w:rsidRPr="00C34731">
        <w:rPr>
          <w:lang w:val="fr-CA"/>
        </w:rPr>
        <w:t>) établit un juste équilibre entre ces deux objectifs.</w:t>
      </w:r>
    </w:p>
    <w:p w:rsidR="005E7A8A" w:rsidRPr="00C34731" w:rsidRDefault="00814E6A" w:rsidP="001A6134">
      <w:pPr>
        <w:pStyle w:val="SCCNormalDoubleSpacing"/>
        <w:spacing w:after="480"/>
        <w:rPr>
          <w:lang w:val="fr-CA"/>
        </w:rPr>
      </w:pPr>
      <w:r w:rsidRPr="00C34731">
        <w:rPr>
          <w:lang w:val="fr-CA"/>
        </w:rPr>
        <w:tab/>
        <w:t xml:space="preserve">Deuxièmement, contrairement aux tribunaux pénaux internationaux, la Section de la protection des réfugiés ne conclut ni à la culpabilité du demandeur, ni à son innocence, mais </w:t>
      </w:r>
      <w:r w:rsidRPr="00C34731">
        <w:rPr>
          <w:lang w:val="fr-FR"/>
        </w:rPr>
        <w:t xml:space="preserve">exclut plutôt </w:t>
      </w:r>
      <w:r w:rsidRPr="00C34731">
        <w:rPr>
          <w:i/>
          <w:iCs/>
          <w:lang w:val="fr-FR"/>
        </w:rPr>
        <w:t>ab initio</w:t>
      </w:r>
      <w:r w:rsidRPr="00C34731">
        <w:rPr>
          <w:lang w:val="fr-FR"/>
        </w:rPr>
        <w:t xml:space="preserve"> ce</w:t>
      </w:r>
      <w:r w:rsidR="00C93F00" w:rsidRPr="00C34731">
        <w:rPr>
          <w:lang w:val="fr-FR"/>
        </w:rPr>
        <w:t>lui</w:t>
      </w:r>
      <w:r w:rsidRPr="00C34731">
        <w:rPr>
          <w:lang w:val="fr-FR"/>
        </w:rPr>
        <w:t xml:space="preserve"> qui n</w:t>
      </w:r>
      <w:r w:rsidR="008E2843">
        <w:rPr>
          <w:lang w:val="fr-FR"/>
        </w:rPr>
        <w:t>’</w:t>
      </w:r>
      <w:r w:rsidR="00C93F00" w:rsidRPr="00C34731">
        <w:rPr>
          <w:lang w:val="fr-FR"/>
        </w:rPr>
        <w:t>es</w:t>
      </w:r>
      <w:r w:rsidRPr="00C34731">
        <w:rPr>
          <w:lang w:val="fr-FR"/>
        </w:rPr>
        <w:t xml:space="preserve">t pas </w:t>
      </w:r>
      <w:r w:rsidR="00C93F00" w:rsidRPr="00C34731">
        <w:rPr>
          <w:lang w:val="fr-FR"/>
        </w:rPr>
        <w:t>un</w:t>
      </w:r>
      <w:r w:rsidRPr="00C34731">
        <w:rPr>
          <w:lang w:val="fr-FR"/>
        </w:rPr>
        <w:t xml:space="preserve"> réfugié authentique au moment de la présentation de </w:t>
      </w:r>
      <w:r w:rsidR="00C93F00" w:rsidRPr="00C34731">
        <w:rPr>
          <w:lang w:val="fr-FR"/>
        </w:rPr>
        <w:t>sa</w:t>
      </w:r>
      <w:r w:rsidRPr="00C34731">
        <w:rPr>
          <w:lang w:val="fr-FR"/>
        </w:rPr>
        <w:t xml:space="preserve"> revendication. </w:t>
      </w:r>
      <w:r w:rsidR="001A6134" w:rsidRPr="00C34731">
        <w:rPr>
          <w:lang w:val="fr-FR"/>
        </w:rPr>
        <w:t xml:space="preserve"> </w:t>
      </w:r>
      <w:r w:rsidR="004C3863" w:rsidRPr="00C34731">
        <w:rPr>
          <w:lang w:val="fr-CA"/>
        </w:rPr>
        <w:t xml:space="preserve">Cette différence se traduit et est </w:t>
      </w:r>
      <w:r w:rsidR="004C3863" w:rsidRPr="00C34731">
        <w:rPr>
          <w:lang w:val="fr-CA"/>
        </w:rPr>
        <w:lastRenderedPageBreak/>
        <w:t>prise en compte par le fardeau de preuve particulier qu</w:t>
      </w:r>
      <w:r w:rsidR="001E2EBA" w:rsidRPr="00C34731">
        <w:rPr>
          <w:lang w:val="fr-CA"/>
        </w:rPr>
        <w:t>e prévoit</w:t>
      </w:r>
      <w:r w:rsidR="00C93F00" w:rsidRPr="00C34731">
        <w:rPr>
          <w:lang w:val="fr-CA"/>
        </w:rPr>
        <w:t xml:space="preserve"> </w:t>
      </w:r>
      <w:r w:rsidR="004C3863" w:rsidRPr="00C34731">
        <w:rPr>
          <w:lang w:val="fr-CA"/>
        </w:rPr>
        <w:t>l</w:t>
      </w:r>
      <w:r w:rsidR="008E2843">
        <w:rPr>
          <w:lang w:val="fr-CA"/>
        </w:rPr>
        <w:t>’</w:t>
      </w:r>
      <w:r w:rsidR="00706DB5" w:rsidRPr="00C34731">
        <w:rPr>
          <w:lang w:val="fr-CA"/>
        </w:rPr>
        <w:t>art. </w:t>
      </w:r>
      <w:r w:rsidR="004C3863" w:rsidRPr="00C34731">
        <w:rPr>
          <w:lang w:val="fr-CA"/>
        </w:rPr>
        <w:t>1F</w:t>
      </w:r>
      <w:r w:rsidR="004C3863" w:rsidRPr="00C34731">
        <w:rPr>
          <w:i/>
          <w:lang w:val="fr-CA"/>
        </w:rPr>
        <w:t>a</w:t>
      </w:r>
      <w:r w:rsidR="004C3863" w:rsidRPr="00C34731">
        <w:rPr>
          <w:lang w:val="fr-CA"/>
        </w:rPr>
        <w:t>)</w:t>
      </w:r>
      <w:r w:rsidR="00706DB5" w:rsidRPr="00C34731">
        <w:rPr>
          <w:lang w:val="fr-CA"/>
        </w:rPr>
        <w:t> :</w:t>
      </w:r>
      <w:r w:rsidR="004C3863" w:rsidRPr="00C34731">
        <w:rPr>
          <w:lang w:val="fr-CA"/>
        </w:rPr>
        <w:t xml:space="preserve"> le droit d</w:t>
      </w:r>
      <w:r w:rsidR="008E2843">
        <w:rPr>
          <w:lang w:val="fr-CA"/>
        </w:rPr>
        <w:t>’</w:t>
      </w:r>
      <w:r w:rsidR="004C3863" w:rsidRPr="00C34731">
        <w:rPr>
          <w:lang w:val="fr-CA"/>
        </w:rPr>
        <w:t>asile peut être refusé s</w:t>
      </w:r>
      <w:r w:rsidR="008E2843">
        <w:rPr>
          <w:lang w:val="fr-CA"/>
        </w:rPr>
        <w:t>’</w:t>
      </w:r>
      <w:r w:rsidR="004C3863" w:rsidRPr="00C34731">
        <w:rPr>
          <w:lang w:val="fr-CA"/>
        </w:rPr>
        <w:t>il existe de</w:t>
      </w:r>
      <w:r w:rsidR="00C93F00" w:rsidRPr="00C34731">
        <w:rPr>
          <w:lang w:val="fr-CA"/>
        </w:rPr>
        <w:t>s</w:t>
      </w:r>
      <w:r w:rsidR="004C3863" w:rsidRPr="00C34731">
        <w:rPr>
          <w:lang w:val="fr-CA"/>
        </w:rPr>
        <w:t xml:space="preserve"> raisons sérieuses de penser que le demandeur a commis un crime contre la paix, un crime de guerre ou un crime contre l</w:t>
      </w:r>
      <w:r w:rsidR="008E2843">
        <w:rPr>
          <w:lang w:val="fr-CA"/>
        </w:rPr>
        <w:t>’</w:t>
      </w:r>
      <w:r w:rsidR="004C3863" w:rsidRPr="00C34731">
        <w:rPr>
          <w:lang w:val="fr-CA"/>
        </w:rPr>
        <w:t xml:space="preserve">humanité. </w:t>
      </w:r>
      <w:r w:rsidR="000B104B" w:rsidRPr="00C34731">
        <w:rPr>
          <w:lang w:val="fr-CA"/>
        </w:rPr>
        <w:t xml:space="preserve"> </w:t>
      </w:r>
      <w:r w:rsidR="00C93F00" w:rsidRPr="00C34731">
        <w:rPr>
          <w:lang w:val="fr-CA"/>
        </w:rPr>
        <w:t>C</w:t>
      </w:r>
      <w:r w:rsidR="005E7A8A" w:rsidRPr="00C34731">
        <w:rPr>
          <w:lang w:val="fr-CA"/>
        </w:rPr>
        <w:t xml:space="preserve">ette norme de preuve </w:t>
      </w:r>
      <w:r w:rsidR="001E2EBA" w:rsidRPr="00C34731">
        <w:rPr>
          <w:lang w:val="fr-CA"/>
        </w:rPr>
        <w:t>e</w:t>
      </w:r>
      <w:r w:rsidR="005E7A8A" w:rsidRPr="00C34731">
        <w:rPr>
          <w:lang w:val="fr-CA"/>
        </w:rPr>
        <w:t xml:space="preserve">st moins stricte que celle </w:t>
      </w:r>
      <w:r w:rsidR="001E2EBA" w:rsidRPr="00C34731">
        <w:rPr>
          <w:lang w:val="fr-CA"/>
        </w:rPr>
        <w:t xml:space="preserve">appliquée </w:t>
      </w:r>
      <w:r w:rsidR="005E7A8A" w:rsidRPr="00C34731">
        <w:rPr>
          <w:lang w:val="fr-CA"/>
        </w:rPr>
        <w:t xml:space="preserve">dans un procès pour crime de guerre, </w:t>
      </w:r>
      <w:r w:rsidR="00C93F00" w:rsidRPr="00C34731">
        <w:rPr>
          <w:lang w:val="fr-CA"/>
        </w:rPr>
        <w:t xml:space="preserve">mais </w:t>
      </w:r>
      <w:r w:rsidR="005E7A8A" w:rsidRPr="00C34731">
        <w:rPr>
          <w:lang w:val="fr-CA"/>
        </w:rPr>
        <w:t>elle requiert davantage qu</w:t>
      </w:r>
      <w:r w:rsidR="008E2843">
        <w:rPr>
          <w:lang w:val="fr-CA"/>
        </w:rPr>
        <w:t>’</w:t>
      </w:r>
      <w:r w:rsidR="005E7A8A" w:rsidRPr="00C34731">
        <w:rPr>
          <w:lang w:val="fr-CA"/>
        </w:rPr>
        <w:t>un simple soupçon.</w:t>
      </w:r>
    </w:p>
    <w:p w:rsidR="00E84E05" w:rsidRPr="00C34731" w:rsidRDefault="005E7A8A" w:rsidP="001A6134">
      <w:pPr>
        <w:pStyle w:val="SCCNormalDoubleSpacing"/>
        <w:spacing w:after="480"/>
        <w:rPr>
          <w:lang w:val="fr-CA"/>
        </w:rPr>
      </w:pPr>
      <w:r w:rsidRPr="00C34731">
        <w:rPr>
          <w:lang w:val="fr-CA"/>
        </w:rPr>
        <w:tab/>
        <w:t xml:space="preserve">Troisièmement, </w:t>
      </w:r>
      <w:r w:rsidR="00FB69C6" w:rsidRPr="00C34731">
        <w:rPr>
          <w:lang w:val="fr-CA"/>
        </w:rPr>
        <w:t>les divers modes de commission reconnus en droit pénal international définissent les contours d</w:t>
      </w:r>
      <w:r w:rsidR="008E2843">
        <w:rPr>
          <w:lang w:val="fr-CA"/>
        </w:rPr>
        <w:t>’</w:t>
      </w:r>
      <w:r w:rsidR="00FB69C6" w:rsidRPr="00C34731">
        <w:rPr>
          <w:lang w:val="fr-CA"/>
        </w:rPr>
        <w:t>un concept général de complicité, mais même interprét</w:t>
      </w:r>
      <w:r w:rsidR="00C93F00" w:rsidRPr="00C34731">
        <w:rPr>
          <w:lang w:val="fr-CA"/>
        </w:rPr>
        <w:t>és</w:t>
      </w:r>
      <w:r w:rsidR="00FB69C6" w:rsidRPr="00C34731">
        <w:rPr>
          <w:lang w:val="fr-CA"/>
        </w:rPr>
        <w:t xml:space="preserve"> </w:t>
      </w:r>
      <w:r w:rsidR="00C93F00" w:rsidRPr="00C34731">
        <w:rPr>
          <w:lang w:val="fr-CA"/>
        </w:rPr>
        <w:t>de manière extensive</w:t>
      </w:r>
      <w:r w:rsidR="00FB69C6" w:rsidRPr="00C34731">
        <w:rPr>
          <w:lang w:val="fr-CA"/>
        </w:rPr>
        <w:t xml:space="preserve">, </w:t>
      </w:r>
      <w:r w:rsidR="00C93F00" w:rsidRPr="00C34731">
        <w:rPr>
          <w:lang w:val="fr-CA"/>
        </w:rPr>
        <w:t>ils ne font pas en sorte qu</w:t>
      </w:r>
      <w:r w:rsidR="008E2843">
        <w:rPr>
          <w:lang w:val="fr-CA"/>
        </w:rPr>
        <w:t>’</w:t>
      </w:r>
      <w:r w:rsidR="00FB69C6" w:rsidRPr="00C34731">
        <w:rPr>
          <w:lang w:val="fr-CA"/>
        </w:rPr>
        <w:t xml:space="preserve">une personne </w:t>
      </w:r>
      <w:r w:rsidR="00DF0B01" w:rsidRPr="00C34731">
        <w:rPr>
          <w:lang w:val="fr-CA"/>
        </w:rPr>
        <w:t>soit</w:t>
      </w:r>
      <w:r w:rsidR="00FB69C6" w:rsidRPr="00C34731">
        <w:rPr>
          <w:lang w:val="fr-CA"/>
        </w:rPr>
        <w:t xml:space="preserve"> tenue responsable du crime commis par un groupe seulement parce qu</w:t>
      </w:r>
      <w:r w:rsidR="008E2843">
        <w:rPr>
          <w:lang w:val="fr-CA"/>
        </w:rPr>
        <w:t>’</w:t>
      </w:r>
      <w:r w:rsidR="00FB69C6" w:rsidRPr="00C34731">
        <w:rPr>
          <w:lang w:val="fr-CA"/>
        </w:rPr>
        <w:t>elle est associée à ce groupe ou qu</w:t>
      </w:r>
      <w:r w:rsidR="008E2843">
        <w:rPr>
          <w:lang w:val="fr-CA"/>
        </w:rPr>
        <w:t>’</w:t>
      </w:r>
      <w:r w:rsidR="00FB69C6" w:rsidRPr="00C34731">
        <w:rPr>
          <w:lang w:val="fr-CA"/>
        </w:rPr>
        <w:t>elle a passivement acquiescé à son dessein criminel.</w:t>
      </w:r>
      <w:r w:rsidR="001A6134" w:rsidRPr="00C34731">
        <w:rPr>
          <w:lang w:val="fr-CA"/>
        </w:rPr>
        <w:t xml:space="preserve">  </w:t>
      </w:r>
      <w:r w:rsidR="00473E64" w:rsidRPr="00C34731">
        <w:rPr>
          <w:lang w:val="fr-FR"/>
        </w:rPr>
        <w:t xml:space="preserve">La responsabilité </w:t>
      </w:r>
      <w:r w:rsidR="00DF0B01" w:rsidRPr="00C34731">
        <w:rPr>
          <w:lang w:val="fr-FR"/>
        </w:rPr>
        <w:t xml:space="preserve">qui </w:t>
      </w:r>
      <w:r w:rsidR="00473E64" w:rsidRPr="00C34731">
        <w:rPr>
          <w:lang w:val="fr-FR"/>
        </w:rPr>
        <w:t>découl</w:t>
      </w:r>
      <w:r w:rsidR="00DF0B01" w:rsidRPr="00C34731">
        <w:rPr>
          <w:lang w:val="fr-FR"/>
        </w:rPr>
        <w:t>e</w:t>
      </w:r>
      <w:r w:rsidR="00473E64" w:rsidRPr="00C34731">
        <w:rPr>
          <w:lang w:val="fr-FR"/>
        </w:rPr>
        <w:t xml:space="preserve"> du</w:t>
      </w:r>
      <w:r w:rsidR="00473E64" w:rsidRPr="00C34731">
        <w:rPr>
          <w:lang w:val="fr-CA"/>
        </w:rPr>
        <w:t xml:space="preserve"> fait d</w:t>
      </w:r>
      <w:r w:rsidR="008E2843">
        <w:rPr>
          <w:lang w:val="fr-CA"/>
        </w:rPr>
        <w:t>’</w:t>
      </w:r>
      <w:r w:rsidR="00473E64" w:rsidRPr="00C34731">
        <w:rPr>
          <w:lang w:val="fr-CA"/>
        </w:rPr>
        <w:t xml:space="preserve">agir de concert dans un dessein commun </w:t>
      </w:r>
      <w:r w:rsidR="00DF0B01" w:rsidRPr="00C34731">
        <w:rPr>
          <w:lang w:val="fr-CA"/>
        </w:rPr>
        <w:t>—</w:t>
      </w:r>
      <w:r w:rsidR="003702D1" w:rsidRPr="00C34731">
        <w:rPr>
          <w:lang w:val="fr-CA"/>
        </w:rPr>
        <w:t xml:space="preserve"> </w:t>
      </w:r>
      <w:r w:rsidR="00473E64" w:rsidRPr="00C34731">
        <w:rPr>
          <w:lang w:val="fr-CA"/>
        </w:rPr>
        <w:t>le mode de commission résiduel général reconnu par</w:t>
      </w:r>
      <w:r w:rsidR="001A5D83">
        <w:rPr>
          <w:lang w:val="fr-CA"/>
        </w:rPr>
        <w:t xml:space="preserve"> le</w:t>
      </w:r>
      <w:r w:rsidR="00473E64" w:rsidRPr="00C34731">
        <w:rPr>
          <w:lang w:val="fr-CA"/>
        </w:rPr>
        <w:t xml:space="preserve"> </w:t>
      </w:r>
      <w:r w:rsidR="00473E64" w:rsidRPr="00C34731">
        <w:rPr>
          <w:i/>
          <w:lang w:val="fr-CA"/>
        </w:rPr>
        <w:t>Statut de Rome de la Cour pénale internationale</w:t>
      </w:r>
      <w:r w:rsidR="00473E64" w:rsidRPr="00C34731">
        <w:rPr>
          <w:lang w:val="fr-CA"/>
        </w:rPr>
        <w:t xml:space="preserve"> </w:t>
      </w:r>
      <w:r w:rsidR="00DF0B01" w:rsidRPr="00C34731">
        <w:rPr>
          <w:lang w:val="fr-CA"/>
        </w:rPr>
        <w:t>—</w:t>
      </w:r>
      <w:r w:rsidR="00E84E05" w:rsidRPr="00C34731">
        <w:rPr>
          <w:lang w:val="fr-CA"/>
        </w:rPr>
        <w:t xml:space="preserve"> </w:t>
      </w:r>
      <w:r w:rsidR="00473E64" w:rsidRPr="00C34731">
        <w:rPr>
          <w:lang w:val="fr-CA"/>
        </w:rPr>
        <w:t xml:space="preserve">paraît exiger une contribution significative au crime </w:t>
      </w:r>
      <w:r w:rsidR="002C6273" w:rsidRPr="00C34731">
        <w:rPr>
          <w:lang w:val="fr-CA"/>
        </w:rPr>
        <w:t>qu</w:t>
      </w:r>
      <w:r w:rsidR="008E2843">
        <w:rPr>
          <w:lang w:val="fr-CA"/>
        </w:rPr>
        <w:t>’</w:t>
      </w:r>
      <w:r w:rsidR="002C6273" w:rsidRPr="00C34731">
        <w:rPr>
          <w:lang w:val="fr-CA"/>
        </w:rPr>
        <w:t>un groupe animé d</w:t>
      </w:r>
      <w:r w:rsidR="008E2843">
        <w:rPr>
          <w:lang w:val="fr-CA"/>
        </w:rPr>
        <w:t>’</w:t>
      </w:r>
      <w:r w:rsidR="002C6273" w:rsidRPr="00C34731">
        <w:rPr>
          <w:lang w:val="fr-CA"/>
        </w:rPr>
        <w:t xml:space="preserve">un dessein commun a perpétré ou tenté de perpétrer; </w:t>
      </w:r>
      <w:r w:rsidR="00DF0B01" w:rsidRPr="00C34731">
        <w:rPr>
          <w:lang w:val="fr-CA"/>
        </w:rPr>
        <w:t xml:space="preserve">reconnue par les tribunaux </w:t>
      </w:r>
      <w:r w:rsidR="00DF0B01" w:rsidRPr="001A5D83">
        <w:rPr>
          <w:i/>
          <w:lang w:val="fr-CA"/>
        </w:rPr>
        <w:t>ad hoc</w:t>
      </w:r>
      <w:r w:rsidR="00DF0B01" w:rsidRPr="00C34731">
        <w:rPr>
          <w:lang w:val="fr-CA"/>
        </w:rPr>
        <w:t xml:space="preserve">, </w:t>
      </w:r>
      <w:r w:rsidR="002C6273" w:rsidRPr="00C34731">
        <w:rPr>
          <w:lang w:val="fr-CA"/>
        </w:rPr>
        <w:t>l</w:t>
      </w:r>
      <w:r w:rsidR="008E2843">
        <w:rPr>
          <w:lang w:val="fr-CA"/>
        </w:rPr>
        <w:t>’</w:t>
      </w:r>
      <w:r w:rsidR="002C6273" w:rsidRPr="00C34731">
        <w:rPr>
          <w:lang w:val="fr-CA"/>
        </w:rPr>
        <w:t xml:space="preserve">entreprise criminelle commune </w:t>
      </w:r>
      <w:r w:rsidR="00DF0B01" w:rsidRPr="00C34731">
        <w:rPr>
          <w:lang w:val="fr-CA"/>
        </w:rPr>
        <w:t xml:space="preserve">englobe </w:t>
      </w:r>
      <w:r w:rsidR="002C6273" w:rsidRPr="00C34731">
        <w:rPr>
          <w:lang w:val="fr-CA"/>
        </w:rPr>
        <w:t>l</w:t>
      </w:r>
      <w:r w:rsidR="008E2843">
        <w:rPr>
          <w:lang w:val="fr-CA"/>
        </w:rPr>
        <w:t>’</w:t>
      </w:r>
      <w:r w:rsidR="002C6273" w:rsidRPr="00C34731">
        <w:rPr>
          <w:lang w:val="fr-CA"/>
        </w:rPr>
        <w:t>insouciance à l</w:t>
      </w:r>
      <w:r w:rsidR="008E2843">
        <w:rPr>
          <w:lang w:val="fr-CA"/>
        </w:rPr>
        <w:t>’</w:t>
      </w:r>
      <w:r w:rsidR="002C6273" w:rsidRPr="00C34731">
        <w:rPr>
          <w:lang w:val="fr-CA"/>
        </w:rPr>
        <w:t xml:space="preserve">égard du crime ou du dessein criminel, même </w:t>
      </w:r>
      <w:r w:rsidR="00DF0B01" w:rsidRPr="00C34731">
        <w:rPr>
          <w:lang w:val="fr-CA"/>
        </w:rPr>
        <w:t xml:space="preserve">si elle </w:t>
      </w:r>
      <w:r w:rsidR="002C6273" w:rsidRPr="00C34731">
        <w:rPr>
          <w:lang w:val="fr-CA"/>
        </w:rPr>
        <w:t>n</w:t>
      </w:r>
      <w:r w:rsidR="008E2843">
        <w:rPr>
          <w:lang w:val="fr-CA"/>
        </w:rPr>
        <w:t>’</w:t>
      </w:r>
      <w:r w:rsidR="002C6273" w:rsidRPr="00C34731">
        <w:rPr>
          <w:lang w:val="fr-CA"/>
        </w:rPr>
        <w:t>est pas imputée à une personne uniquement sur la base des fonctions ou de l</w:t>
      </w:r>
      <w:r w:rsidR="008E2843">
        <w:rPr>
          <w:lang w:val="fr-CA"/>
        </w:rPr>
        <w:t>’</w:t>
      </w:r>
      <w:r w:rsidR="002C6273" w:rsidRPr="00C34731">
        <w:rPr>
          <w:lang w:val="fr-CA"/>
        </w:rPr>
        <w:t>association.</w:t>
      </w:r>
    </w:p>
    <w:p w:rsidR="00517E0C" w:rsidRPr="00C34731" w:rsidRDefault="00E50CD4" w:rsidP="001A6134">
      <w:pPr>
        <w:pStyle w:val="SCCNormalDoubleSpacing"/>
        <w:spacing w:after="480"/>
        <w:rPr>
          <w:lang w:val="fr-CA"/>
        </w:rPr>
      </w:pPr>
      <w:r w:rsidRPr="00C34731">
        <w:rPr>
          <w:lang w:val="fr-CA"/>
        </w:rPr>
        <w:tab/>
        <w:t>Quatrièmement, d</w:t>
      </w:r>
      <w:r w:rsidR="008E2843">
        <w:rPr>
          <w:lang w:val="fr-CA"/>
        </w:rPr>
        <w:t>’</w:t>
      </w:r>
      <w:r w:rsidRPr="00C34731">
        <w:rPr>
          <w:lang w:val="fr-CA"/>
        </w:rPr>
        <w:t xml:space="preserve">autres États parties à la </w:t>
      </w:r>
      <w:r w:rsidRPr="00C34731">
        <w:rPr>
          <w:i/>
          <w:lang w:val="fr-CA"/>
        </w:rPr>
        <w:t>Convention relative aux réfugiés</w:t>
      </w:r>
      <w:r w:rsidRPr="00C34731">
        <w:rPr>
          <w:lang w:val="fr-CA"/>
        </w:rPr>
        <w:t xml:space="preserve"> ont interprété l</w:t>
      </w:r>
      <w:r w:rsidR="008E2843">
        <w:rPr>
          <w:lang w:val="fr-CA"/>
        </w:rPr>
        <w:t>’</w:t>
      </w:r>
      <w:r w:rsidR="00706DB5" w:rsidRPr="00C34731">
        <w:rPr>
          <w:lang w:val="fr-CA"/>
        </w:rPr>
        <w:t>art. </w:t>
      </w:r>
      <w:r w:rsidRPr="00C34731">
        <w:rPr>
          <w:lang w:val="fr-CA"/>
        </w:rPr>
        <w:t>1F</w:t>
      </w:r>
      <w:r w:rsidRPr="00C34731">
        <w:rPr>
          <w:i/>
          <w:lang w:val="fr-CA"/>
        </w:rPr>
        <w:t>a</w:t>
      </w:r>
      <w:r w:rsidRPr="00C34731">
        <w:rPr>
          <w:lang w:val="fr-CA"/>
        </w:rPr>
        <w:t>) de manière à s</w:t>
      </w:r>
      <w:r w:rsidR="008E2843">
        <w:rPr>
          <w:lang w:val="fr-CA"/>
        </w:rPr>
        <w:t>’</w:t>
      </w:r>
      <w:r w:rsidRPr="00C34731">
        <w:rPr>
          <w:lang w:val="fr-CA"/>
        </w:rPr>
        <w:t>attacher au rôle véritable de la personne</w:t>
      </w:r>
      <w:r w:rsidR="00517E0C" w:rsidRPr="00C34731">
        <w:rPr>
          <w:lang w:val="fr-CA"/>
        </w:rPr>
        <w:t xml:space="preserve"> en cause. </w:t>
      </w:r>
      <w:r w:rsidR="001A6134" w:rsidRPr="00C34731">
        <w:rPr>
          <w:lang w:val="fr-CA"/>
        </w:rPr>
        <w:t xml:space="preserve"> </w:t>
      </w:r>
      <w:r w:rsidR="00517E0C" w:rsidRPr="00C34731">
        <w:rPr>
          <w:lang w:val="fr-CA"/>
        </w:rPr>
        <w:t>Ainsi, un individu peut être complice d</w:t>
      </w:r>
      <w:r w:rsidR="008E2843">
        <w:rPr>
          <w:lang w:val="fr-CA"/>
        </w:rPr>
        <w:t>’</w:t>
      </w:r>
      <w:r w:rsidR="00517E0C" w:rsidRPr="00C34731">
        <w:rPr>
          <w:lang w:val="fr-CA"/>
        </w:rPr>
        <w:t>un crime auquel il n</w:t>
      </w:r>
      <w:r w:rsidR="008E2843">
        <w:rPr>
          <w:lang w:val="fr-CA"/>
        </w:rPr>
        <w:t>’</w:t>
      </w:r>
      <w:r w:rsidR="00517E0C" w:rsidRPr="00C34731">
        <w:rPr>
          <w:lang w:val="fr-CA"/>
        </w:rPr>
        <w:t>a ni assisté, ni contribué matériellement, mais pour lui refuser le droit d</w:t>
      </w:r>
      <w:r w:rsidR="008E2843">
        <w:rPr>
          <w:lang w:val="fr-CA"/>
        </w:rPr>
        <w:t>’</w:t>
      </w:r>
      <w:r w:rsidR="00517E0C" w:rsidRPr="00C34731">
        <w:rPr>
          <w:lang w:val="fr-CA"/>
        </w:rPr>
        <w:t xml:space="preserve">asile, il </w:t>
      </w:r>
      <w:r w:rsidR="00DF0B01" w:rsidRPr="00C34731">
        <w:rPr>
          <w:lang w:val="fr-CA"/>
        </w:rPr>
        <w:t>doi</w:t>
      </w:r>
      <w:r w:rsidR="00517E0C" w:rsidRPr="00C34731">
        <w:rPr>
          <w:lang w:val="fr-CA"/>
        </w:rPr>
        <w:t xml:space="preserve">t </w:t>
      </w:r>
      <w:r w:rsidR="00DF0B01" w:rsidRPr="00C34731">
        <w:rPr>
          <w:lang w:val="fr-CA"/>
        </w:rPr>
        <w:t xml:space="preserve">être </w:t>
      </w:r>
      <w:r w:rsidR="00517E0C" w:rsidRPr="00C34731">
        <w:rPr>
          <w:lang w:val="fr-CA"/>
        </w:rPr>
        <w:lastRenderedPageBreak/>
        <w:t>prouv</w:t>
      </w:r>
      <w:r w:rsidR="00DF0B01" w:rsidRPr="00C34731">
        <w:rPr>
          <w:lang w:val="fr-CA"/>
        </w:rPr>
        <w:t>é</w:t>
      </w:r>
      <w:r w:rsidR="00517E0C" w:rsidRPr="00C34731">
        <w:rPr>
          <w:lang w:val="fr-CA"/>
        </w:rPr>
        <w:t xml:space="preserve"> qu</w:t>
      </w:r>
      <w:r w:rsidR="008E2843">
        <w:rPr>
          <w:lang w:val="fr-CA"/>
        </w:rPr>
        <w:t>’</w:t>
      </w:r>
      <w:r w:rsidR="00517E0C" w:rsidRPr="00C34731">
        <w:rPr>
          <w:lang w:val="fr-CA"/>
        </w:rPr>
        <w:t xml:space="preserve">il a consciemment contribué de manière significative au crime perpétré par le groupe ou à la réalisation de son dessein criminel. </w:t>
      </w:r>
    </w:p>
    <w:p w:rsidR="00517E0C" w:rsidRPr="00C34731" w:rsidRDefault="00517E0C" w:rsidP="00B86873">
      <w:pPr>
        <w:pStyle w:val="ParaNoNdepar-AltN"/>
        <w:numPr>
          <w:ilvl w:val="0"/>
          <w:numId w:val="0"/>
        </w:numPr>
        <w:tabs>
          <w:tab w:val="left" w:pos="1170"/>
        </w:tabs>
        <w:rPr>
          <w:rFonts w:cs="Times New Roman"/>
          <w:lang w:val="fr-CA"/>
        </w:rPr>
      </w:pPr>
      <w:r w:rsidRPr="00C34731">
        <w:rPr>
          <w:rFonts w:cs="Times New Roman"/>
          <w:lang w:val="fr-CA"/>
        </w:rPr>
        <w:tab/>
        <w:t>Enfin, la complicité susceptible de s</w:t>
      </w:r>
      <w:r w:rsidR="008E2843">
        <w:rPr>
          <w:rFonts w:cs="Times New Roman"/>
          <w:lang w:val="fr-CA"/>
        </w:rPr>
        <w:t>’</w:t>
      </w:r>
      <w:r w:rsidRPr="00C34731">
        <w:rPr>
          <w:rFonts w:cs="Times New Roman"/>
          <w:lang w:val="fr-CA"/>
        </w:rPr>
        <w:t>entendre de la culpabilité par association ou de l</w:t>
      </w:r>
      <w:r w:rsidR="008E2843">
        <w:rPr>
          <w:rFonts w:cs="Times New Roman"/>
          <w:lang w:val="fr-CA"/>
        </w:rPr>
        <w:t>’</w:t>
      </w:r>
      <w:r w:rsidRPr="00C34731">
        <w:rPr>
          <w:rFonts w:cs="Times New Roman"/>
          <w:lang w:val="fr-CA"/>
        </w:rPr>
        <w:t>acquiescement passif va à l</w:t>
      </w:r>
      <w:r w:rsidR="008E2843">
        <w:rPr>
          <w:rFonts w:cs="Times New Roman"/>
          <w:lang w:val="fr-CA"/>
        </w:rPr>
        <w:t>’</w:t>
      </w:r>
      <w:r w:rsidRPr="00C34731">
        <w:rPr>
          <w:rFonts w:cs="Times New Roman"/>
          <w:lang w:val="fr-CA"/>
        </w:rPr>
        <w:t>encontre de deux principes fondamentaux du droit pénal</w:t>
      </w:r>
      <w:r w:rsidR="00706DB5" w:rsidRPr="00C34731">
        <w:rPr>
          <w:rFonts w:cs="Times New Roman"/>
          <w:lang w:val="fr-CA"/>
        </w:rPr>
        <w:t> :</w:t>
      </w:r>
      <w:r w:rsidRPr="00C34731">
        <w:rPr>
          <w:rFonts w:cs="Times New Roman"/>
          <w:lang w:val="fr-CA"/>
        </w:rPr>
        <w:t xml:space="preserve"> </w:t>
      </w:r>
      <w:r w:rsidR="00DF0B01" w:rsidRPr="00C34731">
        <w:rPr>
          <w:rFonts w:cs="Times New Roman"/>
          <w:lang w:val="fr-CA"/>
        </w:rPr>
        <w:t>sauf obligation d</w:t>
      </w:r>
      <w:r w:rsidR="008E2843">
        <w:rPr>
          <w:rFonts w:cs="Times New Roman"/>
          <w:lang w:val="fr-CA"/>
        </w:rPr>
        <w:t>’</w:t>
      </w:r>
      <w:r w:rsidR="00DF0B01" w:rsidRPr="00C34731">
        <w:rPr>
          <w:rFonts w:cs="Times New Roman"/>
          <w:lang w:val="fr-CA"/>
        </w:rPr>
        <w:t xml:space="preserve">agir, </w:t>
      </w:r>
      <w:r w:rsidRPr="00C34731">
        <w:rPr>
          <w:rFonts w:cs="Times New Roman"/>
          <w:lang w:val="fr-CA"/>
        </w:rPr>
        <w:t>l</w:t>
      </w:r>
      <w:r w:rsidR="008E2843">
        <w:rPr>
          <w:rFonts w:cs="Times New Roman"/>
          <w:lang w:val="fr-CA"/>
        </w:rPr>
        <w:t>’</w:t>
      </w:r>
      <w:r w:rsidRPr="00C34731">
        <w:rPr>
          <w:rFonts w:cs="Times New Roman"/>
          <w:lang w:val="fr-CA"/>
        </w:rPr>
        <w:t>omission n</w:t>
      </w:r>
      <w:r w:rsidR="008E2843">
        <w:rPr>
          <w:rFonts w:cs="Times New Roman"/>
          <w:lang w:val="fr-CA"/>
        </w:rPr>
        <w:t>’</w:t>
      </w:r>
      <w:r w:rsidRPr="00C34731">
        <w:rPr>
          <w:rFonts w:cs="Times New Roman"/>
          <w:lang w:val="fr-CA"/>
        </w:rPr>
        <w:t xml:space="preserve">emporte pas </w:t>
      </w:r>
      <w:r w:rsidR="001E2EBA" w:rsidRPr="00C34731">
        <w:rPr>
          <w:rFonts w:cs="Times New Roman"/>
          <w:lang w:val="fr-CA"/>
        </w:rPr>
        <w:t>la</w:t>
      </w:r>
      <w:r w:rsidRPr="00C34731">
        <w:rPr>
          <w:rFonts w:cs="Times New Roman"/>
          <w:lang w:val="fr-CA"/>
        </w:rPr>
        <w:t xml:space="preserve"> responsabilité pénale, et une personne ne peut être </w:t>
      </w:r>
      <w:r w:rsidR="00DF0B01" w:rsidRPr="00C34731">
        <w:rPr>
          <w:rFonts w:cs="Times New Roman"/>
          <w:lang w:val="fr-CA"/>
        </w:rPr>
        <w:t xml:space="preserve">tenue </w:t>
      </w:r>
      <w:r w:rsidRPr="00C34731">
        <w:rPr>
          <w:rFonts w:cs="Times New Roman"/>
          <w:lang w:val="fr-CA"/>
        </w:rPr>
        <w:t>responsable que de ses propres actes coupables.</w:t>
      </w:r>
    </w:p>
    <w:p w:rsidR="00290435" w:rsidRPr="00C34731" w:rsidRDefault="00517E0C" w:rsidP="001A6134">
      <w:pPr>
        <w:pStyle w:val="SCCNormalDoubleSpacing"/>
        <w:spacing w:after="480"/>
        <w:rPr>
          <w:lang w:val="fr-CA"/>
        </w:rPr>
      </w:pPr>
      <w:r w:rsidRPr="00C34731">
        <w:rPr>
          <w:lang w:val="fr-CA"/>
        </w:rPr>
        <w:tab/>
        <w:t>Compte tenu de ce qui précède, le refus de protection fondé sur les activités criminelles du groupe plutôt qu</w:t>
      </w:r>
      <w:r w:rsidR="00DF0B01" w:rsidRPr="00C34731">
        <w:rPr>
          <w:lang w:val="fr-CA"/>
        </w:rPr>
        <w:t>e sur</w:t>
      </w:r>
      <w:r w:rsidRPr="00C34731">
        <w:rPr>
          <w:lang w:val="fr-CA"/>
        </w:rPr>
        <w:t xml:space="preserve"> la contribution de l</w:t>
      </w:r>
      <w:r w:rsidR="008E2843">
        <w:rPr>
          <w:lang w:val="fr-CA"/>
        </w:rPr>
        <w:t>’</w:t>
      </w:r>
      <w:r w:rsidRPr="00C34731">
        <w:rPr>
          <w:lang w:val="fr-CA"/>
        </w:rPr>
        <w:t>individu à ces activités criminelles doit être clairement exclu en droit canadien. Le fait que les actes d</w:t>
      </w:r>
      <w:r w:rsidR="008E2843">
        <w:rPr>
          <w:lang w:val="fr-CA"/>
        </w:rPr>
        <w:t>’</w:t>
      </w:r>
      <w:r w:rsidRPr="00C34731">
        <w:rPr>
          <w:lang w:val="fr-CA"/>
        </w:rPr>
        <w:t>un individu correspond</w:t>
      </w:r>
      <w:r w:rsidR="00DF0B01" w:rsidRPr="00C34731">
        <w:rPr>
          <w:lang w:val="fr-CA"/>
        </w:rPr>
        <w:t>e</w:t>
      </w:r>
      <w:r w:rsidRPr="00C34731">
        <w:rPr>
          <w:lang w:val="fr-CA"/>
        </w:rPr>
        <w:t>nt ou non à l</w:t>
      </w:r>
      <w:r w:rsidR="008E2843">
        <w:rPr>
          <w:lang w:val="fr-CA"/>
        </w:rPr>
        <w:t>’</w:t>
      </w:r>
      <w:r w:rsidR="001A6134" w:rsidRPr="00C34731">
        <w:rPr>
          <w:i/>
          <w:lang w:val="fr-CA"/>
        </w:rPr>
        <w:t>actus </w:t>
      </w:r>
      <w:r w:rsidRPr="00C34731">
        <w:rPr>
          <w:i/>
          <w:lang w:val="fr-CA"/>
        </w:rPr>
        <w:t xml:space="preserve">reus </w:t>
      </w:r>
      <w:r w:rsidRPr="00C34731">
        <w:rPr>
          <w:lang w:val="fr-CA"/>
        </w:rPr>
        <w:t xml:space="preserve">et à la </w:t>
      </w:r>
      <w:r w:rsidRPr="00C34731">
        <w:rPr>
          <w:i/>
          <w:lang w:val="fr-CA"/>
        </w:rPr>
        <w:t>mens</w:t>
      </w:r>
      <w:r w:rsidR="001A6134" w:rsidRPr="00C34731">
        <w:rPr>
          <w:i/>
          <w:lang w:val="fr-CA"/>
        </w:rPr>
        <w:t> </w:t>
      </w:r>
      <w:r w:rsidRPr="00C34731">
        <w:rPr>
          <w:i/>
          <w:lang w:val="fr-CA"/>
        </w:rPr>
        <w:t>rea</w:t>
      </w:r>
      <w:r w:rsidRPr="00C34731">
        <w:rPr>
          <w:lang w:val="fr-CA"/>
        </w:rPr>
        <w:t xml:space="preserve"> exigés pour qu</w:t>
      </w:r>
      <w:r w:rsidR="008E2843">
        <w:rPr>
          <w:lang w:val="fr-CA"/>
        </w:rPr>
        <w:t>’</w:t>
      </w:r>
      <w:r w:rsidRPr="00C34731">
        <w:rPr>
          <w:lang w:val="fr-CA"/>
        </w:rPr>
        <w:t>il y ait complicité dépend des faits de chaque affaire, no</w:t>
      </w:r>
      <w:r w:rsidR="00E20D0D" w:rsidRPr="00C34731">
        <w:rPr>
          <w:lang w:val="fr-CA"/>
        </w:rPr>
        <w:t xml:space="preserve">tamment </w:t>
      </w:r>
      <w:r w:rsidR="001A6134" w:rsidRPr="00C34731">
        <w:rPr>
          <w:lang w:val="fr-CA"/>
        </w:rPr>
        <w:t>(i) </w:t>
      </w:r>
      <w:r w:rsidRPr="00C34731">
        <w:rPr>
          <w:lang w:val="fr-CA"/>
        </w:rPr>
        <w:t xml:space="preserve">de la taille et </w:t>
      </w:r>
      <w:r w:rsidR="00DF0B01" w:rsidRPr="00C34731">
        <w:rPr>
          <w:lang w:val="fr-CA"/>
        </w:rPr>
        <w:t xml:space="preserve">de </w:t>
      </w:r>
      <w:r w:rsidRPr="00C34731">
        <w:rPr>
          <w:lang w:val="fr-CA"/>
        </w:rPr>
        <w:t>la</w:t>
      </w:r>
      <w:r w:rsidR="001A6134" w:rsidRPr="00C34731">
        <w:rPr>
          <w:lang w:val="fr-CA"/>
        </w:rPr>
        <w:t xml:space="preserve"> nature de l</w:t>
      </w:r>
      <w:r w:rsidR="008E2843">
        <w:rPr>
          <w:lang w:val="fr-CA"/>
        </w:rPr>
        <w:t>’</w:t>
      </w:r>
      <w:r w:rsidR="001A6134" w:rsidRPr="00C34731">
        <w:rPr>
          <w:lang w:val="fr-CA"/>
        </w:rPr>
        <w:t>organisation, (ii) </w:t>
      </w:r>
      <w:r w:rsidR="00290435" w:rsidRPr="00C34731">
        <w:rPr>
          <w:lang w:val="fr-CA"/>
        </w:rPr>
        <w:t xml:space="preserve">de </w:t>
      </w:r>
      <w:r w:rsidRPr="00C34731">
        <w:rPr>
          <w:lang w:val="fr-CA"/>
        </w:rPr>
        <w:t>la section de l</w:t>
      </w:r>
      <w:r w:rsidR="008E2843">
        <w:rPr>
          <w:lang w:val="fr-CA"/>
        </w:rPr>
        <w:t>’</w:t>
      </w:r>
      <w:r w:rsidRPr="00C34731">
        <w:rPr>
          <w:lang w:val="fr-CA"/>
        </w:rPr>
        <w:t>organi</w:t>
      </w:r>
      <w:r w:rsidR="001A6134" w:rsidRPr="00C34731">
        <w:rPr>
          <w:lang w:val="fr-CA"/>
        </w:rPr>
        <w:t xml:space="preserve">sation à laquelle le demandeur </w:t>
      </w:r>
      <w:r w:rsidR="004C3FA1" w:rsidRPr="00C34731">
        <w:rPr>
          <w:lang w:val="fr-CA"/>
        </w:rPr>
        <w:t>étai</w:t>
      </w:r>
      <w:r w:rsidRPr="00C34731">
        <w:rPr>
          <w:lang w:val="fr-CA"/>
        </w:rPr>
        <w:t>t le plus directement associé</w:t>
      </w:r>
      <w:r w:rsidR="001A6134" w:rsidRPr="00C34731">
        <w:rPr>
          <w:lang w:val="fr-CA"/>
        </w:rPr>
        <w:t>, (iii) </w:t>
      </w:r>
      <w:r w:rsidR="00DF0B01" w:rsidRPr="00C34731">
        <w:rPr>
          <w:lang w:val="fr-CA"/>
        </w:rPr>
        <w:t>d</w:t>
      </w:r>
      <w:r w:rsidR="00290435" w:rsidRPr="00C34731">
        <w:rPr>
          <w:lang w:val="fr-CA"/>
        </w:rPr>
        <w:t xml:space="preserve">es fonctions et </w:t>
      </w:r>
      <w:r w:rsidR="00DF0B01" w:rsidRPr="00C34731">
        <w:rPr>
          <w:lang w:val="fr-CA"/>
        </w:rPr>
        <w:t>d</w:t>
      </w:r>
      <w:r w:rsidR="00290435" w:rsidRPr="00C34731">
        <w:rPr>
          <w:lang w:val="fr-CA"/>
        </w:rPr>
        <w:t>es activités du demandeu</w:t>
      </w:r>
      <w:r w:rsidR="00706DB5" w:rsidRPr="00C34731">
        <w:rPr>
          <w:lang w:val="fr-CA"/>
        </w:rPr>
        <w:t>r a</w:t>
      </w:r>
      <w:r w:rsidR="00290435" w:rsidRPr="00C34731">
        <w:rPr>
          <w:lang w:val="fr-CA"/>
        </w:rPr>
        <w:t>u sein de l</w:t>
      </w:r>
      <w:r w:rsidR="008E2843">
        <w:rPr>
          <w:lang w:val="fr-CA"/>
        </w:rPr>
        <w:t>’</w:t>
      </w:r>
      <w:r w:rsidR="00290435" w:rsidRPr="00C34731">
        <w:rPr>
          <w:lang w:val="fr-CA"/>
        </w:rPr>
        <w:t>organisation, (iv)</w:t>
      </w:r>
      <w:r w:rsidR="001A6134" w:rsidRPr="00C34731">
        <w:rPr>
          <w:lang w:val="fr-CA"/>
        </w:rPr>
        <w:t> </w:t>
      </w:r>
      <w:r w:rsidR="00DF0B01" w:rsidRPr="00C34731">
        <w:rPr>
          <w:lang w:val="fr-CA"/>
        </w:rPr>
        <w:t>du</w:t>
      </w:r>
      <w:r w:rsidR="00290435" w:rsidRPr="00C34731">
        <w:rPr>
          <w:lang w:val="fr-CA"/>
        </w:rPr>
        <w:t xml:space="preserve"> poste ou </w:t>
      </w:r>
      <w:r w:rsidR="00DF0B01" w:rsidRPr="00C34731">
        <w:rPr>
          <w:lang w:val="fr-CA"/>
        </w:rPr>
        <w:t>d</w:t>
      </w:r>
      <w:r w:rsidR="004C3FA1" w:rsidRPr="00C34731">
        <w:rPr>
          <w:lang w:val="fr-CA"/>
        </w:rPr>
        <w:t>u grade</w:t>
      </w:r>
      <w:r w:rsidR="00290435" w:rsidRPr="00C34731">
        <w:rPr>
          <w:lang w:val="fr-CA"/>
        </w:rPr>
        <w:t xml:space="preserve"> du demandeur au sein de l</w:t>
      </w:r>
      <w:r w:rsidR="008E2843">
        <w:rPr>
          <w:lang w:val="fr-CA"/>
        </w:rPr>
        <w:t>’</w:t>
      </w:r>
      <w:r w:rsidR="00290435" w:rsidRPr="00C34731">
        <w:rPr>
          <w:lang w:val="fr-CA"/>
        </w:rPr>
        <w:t>organisation, (v</w:t>
      </w:r>
      <w:r w:rsidR="001A6134" w:rsidRPr="00C34731">
        <w:rPr>
          <w:lang w:val="fr-CA"/>
        </w:rPr>
        <w:t>) </w:t>
      </w:r>
      <w:r w:rsidR="00DF0B01" w:rsidRPr="00C34731">
        <w:rPr>
          <w:lang w:val="fr-CA"/>
        </w:rPr>
        <w:t xml:space="preserve">de </w:t>
      </w:r>
      <w:r w:rsidR="00290435" w:rsidRPr="00C34731">
        <w:rPr>
          <w:lang w:val="fr-CA"/>
        </w:rPr>
        <w:t>la durée de l</w:t>
      </w:r>
      <w:r w:rsidR="008E2843">
        <w:rPr>
          <w:lang w:val="fr-CA"/>
        </w:rPr>
        <w:t>’</w:t>
      </w:r>
      <w:r w:rsidR="00290435" w:rsidRPr="00C34731">
        <w:rPr>
          <w:lang w:val="fr-CA"/>
        </w:rPr>
        <w:t>appartenance du demandeur à l</w:t>
      </w:r>
      <w:r w:rsidR="008E2843">
        <w:rPr>
          <w:lang w:val="fr-CA"/>
        </w:rPr>
        <w:t>’</w:t>
      </w:r>
      <w:r w:rsidR="00290435" w:rsidRPr="00C34731">
        <w:rPr>
          <w:lang w:val="fr-CA"/>
        </w:rPr>
        <w:t>organisation,</w:t>
      </w:r>
      <w:r w:rsidR="00DF0B01" w:rsidRPr="00C34731">
        <w:rPr>
          <w:lang w:val="fr-CA"/>
        </w:rPr>
        <w:t xml:space="preserve"> </w:t>
      </w:r>
      <w:r w:rsidR="00290435" w:rsidRPr="00C34731">
        <w:rPr>
          <w:lang w:val="fr-CA"/>
        </w:rPr>
        <w:t>surtout après qu</w:t>
      </w:r>
      <w:r w:rsidR="008E2843">
        <w:rPr>
          <w:lang w:val="fr-CA"/>
        </w:rPr>
        <w:t>’</w:t>
      </w:r>
      <w:r w:rsidR="00290435" w:rsidRPr="00C34731">
        <w:rPr>
          <w:lang w:val="fr-CA"/>
        </w:rPr>
        <w:t>il a pris connaissance de s</w:t>
      </w:r>
      <w:r w:rsidR="00DF0B01" w:rsidRPr="00C34731">
        <w:rPr>
          <w:lang w:val="fr-CA"/>
        </w:rPr>
        <w:t>es</w:t>
      </w:r>
      <w:r w:rsidR="00290435" w:rsidRPr="00C34731">
        <w:rPr>
          <w:lang w:val="fr-CA"/>
        </w:rPr>
        <w:t xml:space="preserve"> crime</w:t>
      </w:r>
      <w:r w:rsidR="001E2EBA" w:rsidRPr="00C34731">
        <w:rPr>
          <w:lang w:val="fr-CA"/>
        </w:rPr>
        <w:t>s</w:t>
      </w:r>
      <w:r w:rsidR="00290435" w:rsidRPr="00C34731">
        <w:rPr>
          <w:lang w:val="fr-CA"/>
        </w:rPr>
        <w:t xml:space="preserve"> ou de son dessein criminel, </w:t>
      </w:r>
      <w:r w:rsidR="00DF0B01" w:rsidRPr="00C34731">
        <w:rPr>
          <w:lang w:val="fr-CA"/>
        </w:rPr>
        <w:t>ainsi que</w:t>
      </w:r>
      <w:r w:rsidR="001A6134" w:rsidRPr="00C34731">
        <w:rPr>
          <w:lang w:val="fr-CA"/>
        </w:rPr>
        <w:t xml:space="preserve"> (vi) </w:t>
      </w:r>
      <w:r w:rsidR="00DF0B01" w:rsidRPr="00C34731">
        <w:rPr>
          <w:lang w:val="fr-CA"/>
        </w:rPr>
        <w:t>du</w:t>
      </w:r>
      <w:r w:rsidR="00290435" w:rsidRPr="00C34731">
        <w:rPr>
          <w:lang w:val="fr-CA"/>
        </w:rPr>
        <w:t xml:space="preserve"> mode de recrutement du demandeur et </w:t>
      </w:r>
      <w:r w:rsidR="00DF0B01" w:rsidRPr="00C34731">
        <w:rPr>
          <w:lang w:val="fr-CA"/>
        </w:rPr>
        <w:t xml:space="preserve">de </w:t>
      </w:r>
      <w:r w:rsidR="00290435" w:rsidRPr="00C34731">
        <w:rPr>
          <w:lang w:val="fr-CA"/>
        </w:rPr>
        <w:t>la possibilité qu</w:t>
      </w:r>
      <w:r w:rsidR="008E2843">
        <w:rPr>
          <w:lang w:val="fr-CA"/>
        </w:rPr>
        <w:t>’</w:t>
      </w:r>
      <w:r w:rsidR="00290435" w:rsidRPr="00C34731">
        <w:rPr>
          <w:lang w:val="fr-CA"/>
        </w:rPr>
        <w:t xml:space="preserve">il a </w:t>
      </w:r>
      <w:r w:rsidR="00290435" w:rsidRPr="007759DD">
        <w:rPr>
          <w:lang w:val="fr-CA"/>
        </w:rPr>
        <w:t>eu</w:t>
      </w:r>
      <w:r w:rsidR="00320D0F" w:rsidRPr="007759DD">
        <w:rPr>
          <w:lang w:val="fr-CA"/>
        </w:rPr>
        <w:t>e</w:t>
      </w:r>
      <w:r w:rsidR="00290435" w:rsidRPr="00C34731">
        <w:rPr>
          <w:lang w:val="fr-CA"/>
        </w:rPr>
        <w:t xml:space="preserve"> ou non de quitter l</w:t>
      </w:r>
      <w:r w:rsidR="008E2843">
        <w:rPr>
          <w:lang w:val="fr-CA"/>
        </w:rPr>
        <w:t>’</w:t>
      </w:r>
      <w:r w:rsidR="00290435" w:rsidRPr="00C34731">
        <w:rPr>
          <w:lang w:val="fr-CA"/>
        </w:rPr>
        <w:t xml:space="preserve">organisation. </w:t>
      </w:r>
      <w:r w:rsidR="001A6134" w:rsidRPr="00C34731">
        <w:rPr>
          <w:lang w:val="fr-CA"/>
        </w:rPr>
        <w:t xml:space="preserve"> </w:t>
      </w:r>
      <w:r w:rsidR="00290435" w:rsidRPr="00C34731">
        <w:rPr>
          <w:lang w:val="fr-CA"/>
        </w:rPr>
        <w:t xml:space="preserve">Ces considérations ne font pas nécessairement état de tous les éléments à </w:t>
      </w:r>
      <w:r w:rsidR="00DF0B01" w:rsidRPr="00C34731">
        <w:rPr>
          <w:lang w:val="fr-CA"/>
        </w:rPr>
        <w:t xml:space="preserve">examiner </w:t>
      </w:r>
      <w:r w:rsidR="00290435" w:rsidRPr="00C34731">
        <w:rPr>
          <w:lang w:val="fr-CA"/>
        </w:rPr>
        <w:t>et chacune ne s</w:t>
      </w:r>
      <w:r w:rsidR="008E2843">
        <w:rPr>
          <w:lang w:val="fr-CA"/>
        </w:rPr>
        <w:t>’</w:t>
      </w:r>
      <w:r w:rsidR="00290435" w:rsidRPr="00C34731">
        <w:rPr>
          <w:lang w:val="fr-CA"/>
        </w:rPr>
        <w:t>applique pas à tout cou</w:t>
      </w:r>
      <w:r w:rsidR="00706DB5" w:rsidRPr="00C34731">
        <w:rPr>
          <w:lang w:val="fr-CA"/>
        </w:rPr>
        <w:t>p.</w:t>
      </w:r>
      <w:r w:rsidR="00E20D0D" w:rsidRPr="00C34731">
        <w:rPr>
          <w:lang w:val="fr-CA"/>
        </w:rPr>
        <w:t xml:space="preserve"> </w:t>
      </w:r>
      <w:r w:rsidR="00290435" w:rsidRPr="00C34731">
        <w:rPr>
          <w:lang w:val="fr-CA"/>
        </w:rPr>
        <w:t xml:space="preserve"> </w:t>
      </w:r>
      <w:r w:rsidR="00AF1629" w:rsidRPr="00C34731">
        <w:rPr>
          <w:lang w:val="fr-CA"/>
        </w:rPr>
        <w:t>Leur examen d</w:t>
      </w:r>
      <w:r w:rsidR="00DF0B01" w:rsidRPr="00C34731">
        <w:rPr>
          <w:lang w:val="fr-CA"/>
        </w:rPr>
        <w:t>oit</w:t>
      </w:r>
      <w:r w:rsidR="00AF1629" w:rsidRPr="00C34731">
        <w:rPr>
          <w:lang w:val="fr-CA"/>
        </w:rPr>
        <w:t xml:space="preserve"> nécessairement être particulièrement contextuel, toujours s</w:t>
      </w:r>
      <w:r w:rsidR="008E2843">
        <w:rPr>
          <w:lang w:val="fr-CA"/>
        </w:rPr>
        <w:t>’</w:t>
      </w:r>
      <w:r w:rsidR="00AF1629" w:rsidRPr="00C34731">
        <w:rPr>
          <w:lang w:val="fr-CA"/>
        </w:rPr>
        <w:t xml:space="preserve">attacher à la contribution </w:t>
      </w:r>
      <w:r w:rsidR="00AF1629" w:rsidRPr="00C34731">
        <w:rPr>
          <w:lang w:val="fr-CA"/>
        </w:rPr>
        <w:lastRenderedPageBreak/>
        <w:t>de l</w:t>
      </w:r>
      <w:r w:rsidR="008E2843">
        <w:rPr>
          <w:lang w:val="fr-CA"/>
        </w:rPr>
        <w:t>’</w:t>
      </w:r>
      <w:r w:rsidR="00AF1629" w:rsidRPr="00C34731">
        <w:rPr>
          <w:lang w:val="fr-CA"/>
        </w:rPr>
        <w:t>individu au</w:t>
      </w:r>
      <w:r w:rsidR="00DF0B01" w:rsidRPr="00C34731">
        <w:rPr>
          <w:lang w:val="fr-CA"/>
        </w:rPr>
        <w:t>x</w:t>
      </w:r>
      <w:r w:rsidR="00AF1629" w:rsidRPr="00C34731">
        <w:rPr>
          <w:lang w:val="fr-CA"/>
        </w:rPr>
        <w:t xml:space="preserve"> crime</w:t>
      </w:r>
      <w:r w:rsidR="00DF0B01" w:rsidRPr="00C34731">
        <w:rPr>
          <w:lang w:val="fr-CA"/>
        </w:rPr>
        <w:t>s</w:t>
      </w:r>
      <w:r w:rsidR="00AF1629" w:rsidRPr="00C34731">
        <w:rPr>
          <w:lang w:val="fr-CA"/>
        </w:rPr>
        <w:t xml:space="preserve"> ou au dessein criminel et tenir compte des moyens de défense opposables</w:t>
      </w:r>
      <w:r w:rsidR="00945B2B" w:rsidRPr="00C34731">
        <w:rPr>
          <w:lang w:val="fr-CA"/>
        </w:rPr>
        <w:t>.</w:t>
      </w:r>
    </w:p>
    <w:p w:rsidR="004D7D95" w:rsidRPr="00C34731" w:rsidRDefault="004D7D95" w:rsidP="00531C9E">
      <w:pPr>
        <w:pStyle w:val="SCCNormalDoubleSpacing"/>
        <w:keepNext/>
        <w:spacing w:after="720" w:line="240" w:lineRule="auto"/>
        <w:rPr>
          <w:b/>
          <w:lang w:val="fr-CA"/>
        </w:rPr>
      </w:pPr>
      <w:r w:rsidRPr="00C34731">
        <w:rPr>
          <w:b/>
          <w:lang w:val="fr-CA"/>
        </w:rPr>
        <w:t>Jurisprudence</w:t>
      </w:r>
    </w:p>
    <w:p w:rsidR="004D7D95" w:rsidRPr="00C34731" w:rsidRDefault="004D7D95" w:rsidP="002C3443">
      <w:pPr>
        <w:pStyle w:val="SCCNormalDoubleSpacing"/>
        <w:spacing w:after="480"/>
        <w:rPr>
          <w:b/>
          <w:lang w:val="fr-CA"/>
        </w:rPr>
      </w:pPr>
      <w:r w:rsidRPr="00C34731">
        <w:rPr>
          <w:lang w:val="fr-CA"/>
        </w:rPr>
        <w:tab/>
      </w:r>
      <w:r w:rsidRPr="00C34731">
        <w:rPr>
          <w:b/>
          <w:lang w:val="fr-CA"/>
        </w:rPr>
        <w:t>Arrêts mentionnés</w:t>
      </w:r>
      <w:r w:rsidR="00706DB5" w:rsidRPr="00C34731">
        <w:rPr>
          <w:b/>
          <w:lang w:val="fr-CA"/>
        </w:rPr>
        <w:t> :</w:t>
      </w:r>
      <w:r w:rsidRPr="00C34731">
        <w:rPr>
          <w:lang w:val="fr-CA"/>
        </w:rPr>
        <w:t xml:space="preserve"> </w:t>
      </w:r>
      <w:r w:rsidR="009C6BAB" w:rsidRPr="00C34731">
        <w:rPr>
          <w:i/>
          <w:lang w:val="fr-CA"/>
        </w:rPr>
        <w:t>Ramirez c. Canada (Ministre de l</w:t>
      </w:r>
      <w:r w:rsidR="008E2843">
        <w:rPr>
          <w:i/>
          <w:lang w:val="fr-CA"/>
        </w:rPr>
        <w:t>’</w:t>
      </w:r>
      <w:r w:rsidR="009C6BAB" w:rsidRPr="00C34731">
        <w:rPr>
          <w:i/>
          <w:lang w:val="fr-CA"/>
        </w:rPr>
        <w:t>Emploi et de l</w:t>
      </w:r>
      <w:r w:rsidR="008E2843">
        <w:rPr>
          <w:i/>
          <w:lang w:val="fr-CA"/>
        </w:rPr>
        <w:t>’</w:t>
      </w:r>
      <w:r w:rsidR="009C6BAB" w:rsidRPr="00C34731">
        <w:rPr>
          <w:i/>
          <w:lang w:val="fr-CA"/>
        </w:rPr>
        <w:t>Immigration)</w:t>
      </w:r>
      <w:r w:rsidR="009C6BAB" w:rsidRPr="00C34731">
        <w:rPr>
          <w:lang w:val="fr-CA"/>
        </w:rPr>
        <w:t>, [1992] 2 C.F</w:t>
      </w:r>
      <w:r w:rsidR="001A5D83">
        <w:rPr>
          <w:lang w:val="fr-CA"/>
        </w:rPr>
        <w:t>.</w:t>
      </w:r>
      <w:r w:rsidR="009C6BAB" w:rsidRPr="00C34731">
        <w:rPr>
          <w:lang w:val="fr-CA"/>
        </w:rPr>
        <w:t xml:space="preserve"> 306; </w:t>
      </w:r>
      <w:r w:rsidR="009C6BAB" w:rsidRPr="00C34731">
        <w:rPr>
          <w:i/>
          <w:lang w:val="fr-CA"/>
        </w:rPr>
        <w:t>Pushpanathan c. Canada (Ministre de la Citoyenneté et de l</w:t>
      </w:r>
      <w:r w:rsidR="008E2843">
        <w:rPr>
          <w:i/>
          <w:lang w:val="fr-CA"/>
        </w:rPr>
        <w:t>’</w:t>
      </w:r>
      <w:r w:rsidR="009C6BAB" w:rsidRPr="00C34731">
        <w:rPr>
          <w:i/>
          <w:lang w:val="fr-CA"/>
        </w:rPr>
        <w:t>Immigration)</w:t>
      </w:r>
      <w:r w:rsidR="009C6BAB" w:rsidRPr="00C34731">
        <w:rPr>
          <w:lang w:val="fr-CA"/>
        </w:rPr>
        <w:t xml:space="preserve">, [1998] 1 R.C.S. 982; </w:t>
      </w:r>
      <w:r w:rsidR="009C6BAB" w:rsidRPr="00C34731">
        <w:rPr>
          <w:i/>
          <w:lang w:val="fr-CA"/>
        </w:rPr>
        <w:t>Siv</w:t>
      </w:r>
      <w:r w:rsidR="003D58F2" w:rsidRPr="00C34731">
        <w:rPr>
          <w:i/>
          <w:lang w:val="fr-CA"/>
        </w:rPr>
        <w:t>akumar c. Canada (Ministre de l</w:t>
      </w:r>
      <w:r w:rsidR="008E2843">
        <w:rPr>
          <w:i/>
          <w:lang w:val="fr-CA"/>
        </w:rPr>
        <w:t>’</w:t>
      </w:r>
      <w:r w:rsidR="009C6BAB" w:rsidRPr="00C34731">
        <w:rPr>
          <w:i/>
          <w:lang w:val="fr-CA"/>
        </w:rPr>
        <w:t>Emploi et de l</w:t>
      </w:r>
      <w:r w:rsidR="008E2843">
        <w:rPr>
          <w:i/>
          <w:lang w:val="fr-CA"/>
        </w:rPr>
        <w:t>’</w:t>
      </w:r>
      <w:r w:rsidR="009C6BAB" w:rsidRPr="00C34731">
        <w:rPr>
          <w:i/>
          <w:lang w:val="fr-CA"/>
        </w:rPr>
        <w:t>Immigration)</w:t>
      </w:r>
      <w:r w:rsidR="009C6BAB" w:rsidRPr="00C34731">
        <w:rPr>
          <w:lang w:val="fr-CA"/>
        </w:rPr>
        <w:t xml:space="preserve">, [1994] 1 C.F. 433; </w:t>
      </w:r>
      <w:r w:rsidR="009C6BAB" w:rsidRPr="00C34731">
        <w:rPr>
          <w:i/>
          <w:lang w:val="fr-CA"/>
        </w:rPr>
        <w:t>Zrig c. Canada (Ministre de la Citoyenneté et de l</w:t>
      </w:r>
      <w:r w:rsidR="008E2843">
        <w:rPr>
          <w:i/>
          <w:lang w:val="fr-CA"/>
        </w:rPr>
        <w:t>’</w:t>
      </w:r>
      <w:r w:rsidR="009C6BAB" w:rsidRPr="00C34731">
        <w:rPr>
          <w:i/>
          <w:lang w:val="fr-CA"/>
        </w:rPr>
        <w:t>Immigration)</w:t>
      </w:r>
      <w:r w:rsidR="009C6BAB" w:rsidRPr="00C34731">
        <w:rPr>
          <w:lang w:val="fr-CA"/>
        </w:rPr>
        <w:t xml:space="preserve">, 2003 CAF 178, [2003] 3 C.F. 761; </w:t>
      </w:r>
      <w:r w:rsidR="009C6BAB" w:rsidRPr="00C34731">
        <w:rPr>
          <w:i/>
          <w:lang w:val="fr-CA"/>
        </w:rPr>
        <w:t>Thamotharem c. Canada (Ministre de la Citoyenneté et de l</w:t>
      </w:r>
      <w:r w:rsidR="008E2843">
        <w:rPr>
          <w:i/>
          <w:lang w:val="fr-CA"/>
        </w:rPr>
        <w:t>’</w:t>
      </w:r>
      <w:r w:rsidR="009C6BAB" w:rsidRPr="00C34731">
        <w:rPr>
          <w:i/>
          <w:lang w:val="fr-CA"/>
        </w:rPr>
        <w:t>Immigration)</w:t>
      </w:r>
      <w:r w:rsidR="009C6BAB" w:rsidRPr="00C34731">
        <w:rPr>
          <w:lang w:val="fr-CA"/>
        </w:rPr>
        <w:t xml:space="preserve">, 2007 CAF 198, [2008] 1 R.C.F. 385; </w:t>
      </w:r>
      <w:r w:rsidR="009C6BAB" w:rsidRPr="00C34731">
        <w:rPr>
          <w:i/>
          <w:lang w:val="fr-CA"/>
        </w:rPr>
        <w:t>Kumar c. Canada (Citoyenneté et Immigration)</w:t>
      </w:r>
      <w:r w:rsidR="009C6BAB" w:rsidRPr="00C34731">
        <w:rPr>
          <w:lang w:val="fr-CA"/>
        </w:rPr>
        <w:t>, 2009 C</w:t>
      </w:r>
      <w:r w:rsidR="003D58F2" w:rsidRPr="00C34731">
        <w:rPr>
          <w:lang w:val="fr-CA"/>
        </w:rPr>
        <w:t>F</w:t>
      </w:r>
      <w:r w:rsidR="009C6BAB" w:rsidRPr="00C34731">
        <w:rPr>
          <w:lang w:val="fr-CA"/>
        </w:rPr>
        <w:t xml:space="preserve"> 643 (CanLII); </w:t>
      </w:r>
      <w:r w:rsidR="009C6BAB" w:rsidRPr="00C34731">
        <w:rPr>
          <w:i/>
          <w:lang w:val="fr-CA"/>
        </w:rPr>
        <w:t xml:space="preserve">Harb </w:t>
      </w:r>
      <w:r w:rsidR="00101695" w:rsidRPr="00C34731">
        <w:rPr>
          <w:i/>
          <w:lang w:val="fr-CA"/>
        </w:rPr>
        <w:t>c</w:t>
      </w:r>
      <w:r w:rsidR="009C6BAB" w:rsidRPr="00C34731">
        <w:rPr>
          <w:i/>
          <w:lang w:val="fr-CA"/>
        </w:rPr>
        <w:t>. Canada (</w:t>
      </w:r>
      <w:r w:rsidR="00101695" w:rsidRPr="00C34731">
        <w:rPr>
          <w:i/>
          <w:lang w:val="fr-CA"/>
        </w:rPr>
        <w:t>Ministre de la Citoyenneté et de l</w:t>
      </w:r>
      <w:r w:rsidR="008E2843">
        <w:rPr>
          <w:i/>
          <w:lang w:val="fr-CA"/>
        </w:rPr>
        <w:t>’</w:t>
      </w:r>
      <w:r w:rsidR="00101695" w:rsidRPr="00C34731">
        <w:rPr>
          <w:i/>
          <w:lang w:val="fr-CA"/>
        </w:rPr>
        <w:t>Immigration</w:t>
      </w:r>
      <w:r w:rsidR="009C6BAB" w:rsidRPr="00C34731">
        <w:rPr>
          <w:i/>
          <w:lang w:val="fr-CA"/>
        </w:rPr>
        <w:t>)</w:t>
      </w:r>
      <w:r w:rsidR="009C6BAB" w:rsidRPr="00C34731">
        <w:rPr>
          <w:lang w:val="fr-CA"/>
        </w:rPr>
        <w:t>, 2003 CA</w:t>
      </w:r>
      <w:r w:rsidR="00101695" w:rsidRPr="00C34731">
        <w:rPr>
          <w:lang w:val="fr-CA"/>
        </w:rPr>
        <w:t>F</w:t>
      </w:r>
      <w:r w:rsidR="009C6BAB" w:rsidRPr="00C34731">
        <w:rPr>
          <w:lang w:val="fr-CA"/>
        </w:rPr>
        <w:t xml:space="preserve"> 39, 302 N.R. 178; </w:t>
      </w:r>
      <w:r w:rsidR="00101695" w:rsidRPr="00C34731">
        <w:rPr>
          <w:i/>
          <w:lang w:val="fr-CA"/>
        </w:rPr>
        <w:t>Mugesera c</w:t>
      </w:r>
      <w:r w:rsidR="009C6BAB" w:rsidRPr="00C34731">
        <w:rPr>
          <w:i/>
          <w:lang w:val="fr-CA"/>
        </w:rPr>
        <w:t>. Canada (</w:t>
      </w:r>
      <w:r w:rsidR="00101695" w:rsidRPr="00C34731">
        <w:rPr>
          <w:i/>
          <w:lang w:val="fr-CA"/>
        </w:rPr>
        <w:t>Ministre de la Citoyenneté et de l</w:t>
      </w:r>
      <w:r w:rsidR="008E2843">
        <w:rPr>
          <w:i/>
          <w:lang w:val="fr-CA"/>
        </w:rPr>
        <w:t>’</w:t>
      </w:r>
      <w:r w:rsidR="00101695" w:rsidRPr="00C34731">
        <w:rPr>
          <w:i/>
          <w:lang w:val="fr-CA"/>
        </w:rPr>
        <w:t>Immigration</w:t>
      </w:r>
      <w:r w:rsidR="009C6BAB" w:rsidRPr="00C34731">
        <w:rPr>
          <w:i/>
          <w:lang w:val="fr-CA"/>
        </w:rPr>
        <w:t>)</w:t>
      </w:r>
      <w:r w:rsidR="009C6BAB" w:rsidRPr="00C34731">
        <w:rPr>
          <w:lang w:val="fr-CA"/>
        </w:rPr>
        <w:t xml:space="preserve">, 2005 </w:t>
      </w:r>
      <w:r w:rsidR="00101695" w:rsidRPr="00C34731">
        <w:rPr>
          <w:lang w:val="fr-CA"/>
        </w:rPr>
        <w:t>C</w:t>
      </w:r>
      <w:r w:rsidR="009C6BAB" w:rsidRPr="00C34731">
        <w:rPr>
          <w:lang w:val="fr-CA"/>
        </w:rPr>
        <w:t xml:space="preserve">SC </w:t>
      </w:r>
      <w:r w:rsidR="00101695" w:rsidRPr="00C34731">
        <w:rPr>
          <w:lang w:val="fr-CA"/>
        </w:rPr>
        <w:t>40</w:t>
      </w:r>
      <w:r w:rsidR="009C6BAB" w:rsidRPr="00C34731">
        <w:rPr>
          <w:lang w:val="fr-CA"/>
        </w:rPr>
        <w:t xml:space="preserve">, [2005] 2 </w:t>
      </w:r>
      <w:r w:rsidR="00101695" w:rsidRPr="00C34731">
        <w:rPr>
          <w:lang w:val="fr-CA"/>
        </w:rPr>
        <w:t>R.C.</w:t>
      </w:r>
      <w:r w:rsidR="009C6BAB" w:rsidRPr="00C34731">
        <w:rPr>
          <w:lang w:val="fr-CA"/>
        </w:rPr>
        <w:t xml:space="preserve">S. 100; </w:t>
      </w:r>
      <w:r w:rsidR="009C6BAB" w:rsidRPr="00C34731">
        <w:rPr>
          <w:i/>
          <w:lang w:val="fr-CA"/>
        </w:rPr>
        <w:t xml:space="preserve">Moreno </w:t>
      </w:r>
      <w:r w:rsidR="00101695" w:rsidRPr="00C34731">
        <w:rPr>
          <w:i/>
          <w:lang w:val="fr-CA"/>
        </w:rPr>
        <w:t>c</w:t>
      </w:r>
      <w:r w:rsidR="009C6BAB" w:rsidRPr="00C34731">
        <w:rPr>
          <w:i/>
          <w:lang w:val="fr-CA"/>
        </w:rPr>
        <w:t>. Canada (</w:t>
      </w:r>
      <w:r w:rsidR="00101695" w:rsidRPr="00C34731">
        <w:rPr>
          <w:i/>
          <w:lang w:val="fr-CA"/>
        </w:rPr>
        <w:t>Ministre de l</w:t>
      </w:r>
      <w:r w:rsidR="008E2843">
        <w:rPr>
          <w:i/>
          <w:lang w:val="fr-CA"/>
        </w:rPr>
        <w:t>’</w:t>
      </w:r>
      <w:r w:rsidR="00101695" w:rsidRPr="00C34731">
        <w:rPr>
          <w:i/>
          <w:lang w:val="fr-CA"/>
        </w:rPr>
        <w:t>Emploi et de l</w:t>
      </w:r>
      <w:r w:rsidR="008E2843">
        <w:rPr>
          <w:i/>
          <w:lang w:val="fr-CA"/>
        </w:rPr>
        <w:t>’</w:t>
      </w:r>
      <w:r w:rsidR="00101695" w:rsidRPr="00C34731">
        <w:rPr>
          <w:i/>
          <w:lang w:val="fr-CA"/>
        </w:rPr>
        <w:t>Immigration</w:t>
      </w:r>
      <w:r w:rsidR="009C6BAB" w:rsidRPr="00C34731">
        <w:rPr>
          <w:i/>
          <w:lang w:val="fr-CA"/>
        </w:rPr>
        <w:t>)</w:t>
      </w:r>
      <w:r w:rsidR="009C6BAB" w:rsidRPr="00C34731">
        <w:rPr>
          <w:lang w:val="fr-CA"/>
        </w:rPr>
        <w:t xml:space="preserve">, [1994] 1 </w:t>
      </w:r>
      <w:r w:rsidR="00101695" w:rsidRPr="00C34731">
        <w:rPr>
          <w:lang w:val="fr-CA"/>
        </w:rPr>
        <w:t>C.</w:t>
      </w:r>
      <w:r w:rsidR="009C6BAB" w:rsidRPr="00C34731">
        <w:rPr>
          <w:lang w:val="fr-CA"/>
        </w:rPr>
        <w:t xml:space="preserve">F. 298; </w:t>
      </w:r>
      <w:r w:rsidR="00E53F6F" w:rsidRPr="00C34731">
        <w:rPr>
          <w:i/>
          <w:lang w:val="fr-CA"/>
        </w:rPr>
        <w:t>R. (J.S. (Sri Lanka)) c. Secretary of State for the Home Department</w:t>
      </w:r>
      <w:r w:rsidR="00E53F6F" w:rsidRPr="00C34731">
        <w:rPr>
          <w:lang w:val="fr-CA"/>
        </w:rPr>
        <w:t>, [2010] UKSC 15, [2011] 1 A.C. 184</w:t>
      </w:r>
      <w:r w:rsidR="009C6BAB" w:rsidRPr="00C34731">
        <w:rPr>
          <w:lang w:val="fr-CA"/>
        </w:rPr>
        <w:t xml:space="preserve">; </w:t>
      </w:r>
      <w:r w:rsidR="00455AC4" w:rsidRPr="00C34731">
        <w:rPr>
          <w:i/>
          <w:lang w:val="fr-CA"/>
        </w:rPr>
        <w:t>P</w:t>
      </w:r>
      <w:r w:rsidR="001A410C">
        <w:rPr>
          <w:i/>
          <w:lang w:val="fr-CA"/>
        </w:rPr>
        <w:t>rocureur</w:t>
      </w:r>
      <w:r w:rsidR="00455AC4" w:rsidRPr="00C34731">
        <w:rPr>
          <w:i/>
          <w:lang w:val="fr-CA"/>
        </w:rPr>
        <w:t xml:space="preserve"> c. </w:t>
      </w:r>
      <w:r w:rsidR="00E37F22" w:rsidRPr="00C34731">
        <w:rPr>
          <w:i/>
          <w:lang w:val="fr-CA"/>
        </w:rPr>
        <w:t xml:space="preserve">Callixte </w:t>
      </w:r>
      <w:r w:rsidR="00455AC4" w:rsidRPr="00C34731">
        <w:rPr>
          <w:i/>
          <w:lang w:val="fr-CA"/>
        </w:rPr>
        <w:t>Mbarushimana</w:t>
      </w:r>
      <w:r w:rsidR="00455AC4" w:rsidRPr="00C34731">
        <w:rPr>
          <w:lang w:val="fr-CA"/>
        </w:rPr>
        <w:t>, ICC</w:t>
      </w:r>
      <w:r w:rsidR="00706DB5" w:rsidRPr="00C34731">
        <w:rPr>
          <w:lang w:val="fr-CA"/>
        </w:rPr>
        <w:noBreakHyphen/>
      </w:r>
      <w:r w:rsidR="00455AC4" w:rsidRPr="00C34731">
        <w:rPr>
          <w:lang w:val="fr-CA"/>
        </w:rPr>
        <w:t>01/04</w:t>
      </w:r>
      <w:r w:rsidR="00706DB5" w:rsidRPr="00C34731">
        <w:rPr>
          <w:lang w:val="fr-CA"/>
        </w:rPr>
        <w:noBreakHyphen/>
      </w:r>
      <w:r w:rsidR="00A53091" w:rsidRPr="00C34731">
        <w:rPr>
          <w:lang w:val="fr-CA"/>
        </w:rPr>
        <w:t>01/10</w:t>
      </w:r>
      <w:r w:rsidR="00706DB5" w:rsidRPr="00C34731">
        <w:rPr>
          <w:lang w:val="fr-CA"/>
        </w:rPr>
        <w:noBreakHyphen/>
      </w:r>
      <w:r w:rsidR="009E76F5" w:rsidRPr="00C34731">
        <w:rPr>
          <w:lang w:val="fr-CA"/>
        </w:rPr>
        <w:t>465</w:t>
      </w:r>
      <w:r w:rsidR="00706DB5" w:rsidRPr="00C34731">
        <w:rPr>
          <w:lang w:val="fr-CA"/>
        </w:rPr>
        <w:noBreakHyphen/>
      </w:r>
      <w:r w:rsidR="009E76F5" w:rsidRPr="00C34731">
        <w:rPr>
          <w:lang w:val="fr-CA"/>
        </w:rPr>
        <w:t>Red</w:t>
      </w:r>
      <w:r w:rsidR="001A5D83">
        <w:rPr>
          <w:lang w:val="fr-CA"/>
        </w:rPr>
        <w:t>-tFRA</w:t>
      </w:r>
      <w:r w:rsidR="00A53091" w:rsidRPr="00C34731">
        <w:rPr>
          <w:lang w:val="fr-CA"/>
        </w:rPr>
        <w:t>, 16 </w:t>
      </w:r>
      <w:r w:rsidR="00455AC4" w:rsidRPr="00C34731">
        <w:rPr>
          <w:lang w:val="fr-CA"/>
        </w:rPr>
        <w:t xml:space="preserve">décembre 2011, </w:t>
      </w:r>
      <w:r w:rsidR="0086205E" w:rsidRPr="00C34731">
        <w:rPr>
          <w:lang w:val="fr-CA"/>
        </w:rPr>
        <w:t>conf. par</w:t>
      </w:r>
      <w:r w:rsidR="00455AC4" w:rsidRPr="00C34731">
        <w:rPr>
          <w:lang w:val="fr-CA"/>
        </w:rPr>
        <w:t xml:space="preserve"> ICC</w:t>
      </w:r>
      <w:r w:rsidR="00706DB5" w:rsidRPr="00C34731">
        <w:rPr>
          <w:lang w:val="fr-CA"/>
        </w:rPr>
        <w:noBreakHyphen/>
      </w:r>
      <w:r w:rsidR="00455AC4" w:rsidRPr="00C34731">
        <w:rPr>
          <w:lang w:val="fr-CA"/>
        </w:rPr>
        <w:t>01/04</w:t>
      </w:r>
      <w:r w:rsidR="00706DB5" w:rsidRPr="00C34731">
        <w:rPr>
          <w:lang w:val="fr-CA"/>
        </w:rPr>
        <w:noBreakHyphen/>
      </w:r>
      <w:r w:rsidR="00A53091" w:rsidRPr="00C34731">
        <w:rPr>
          <w:lang w:val="fr-CA"/>
        </w:rPr>
        <w:t>01/10</w:t>
      </w:r>
      <w:r w:rsidR="00706DB5" w:rsidRPr="00C34731">
        <w:rPr>
          <w:lang w:val="fr-CA"/>
        </w:rPr>
        <w:noBreakHyphen/>
      </w:r>
      <w:r w:rsidR="009E76F5" w:rsidRPr="00C34731">
        <w:rPr>
          <w:lang w:val="fr-CA"/>
        </w:rPr>
        <w:t>514</w:t>
      </w:r>
      <w:r w:rsidR="00A53091" w:rsidRPr="00C34731">
        <w:rPr>
          <w:lang w:val="fr-CA"/>
        </w:rPr>
        <w:t>, 30 </w:t>
      </w:r>
      <w:r w:rsidR="00455AC4" w:rsidRPr="00C34731">
        <w:rPr>
          <w:lang w:val="fr-CA"/>
        </w:rPr>
        <w:t xml:space="preserve">mai 2012; </w:t>
      </w:r>
      <w:r w:rsidR="00455AC4" w:rsidRPr="00C34731">
        <w:rPr>
          <w:i/>
          <w:lang w:val="fr-CA"/>
        </w:rPr>
        <w:t>P</w:t>
      </w:r>
      <w:r w:rsidR="001A410C">
        <w:rPr>
          <w:i/>
          <w:lang w:val="fr-CA"/>
        </w:rPr>
        <w:t>rocureur</w:t>
      </w:r>
      <w:r w:rsidR="00455AC4" w:rsidRPr="00C34731">
        <w:rPr>
          <w:i/>
          <w:lang w:val="fr-CA"/>
        </w:rPr>
        <w:t xml:space="preserve"> c. </w:t>
      </w:r>
      <w:r w:rsidR="00E37F22" w:rsidRPr="00C34731">
        <w:rPr>
          <w:i/>
          <w:lang w:val="fr-CA"/>
        </w:rPr>
        <w:t xml:space="preserve">Thomas </w:t>
      </w:r>
      <w:r w:rsidR="00455AC4" w:rsidRPr="00C34731">
        <w:rPr>
          <w:i/>
          <w:lang w:val="fr-CA"/>
        </w:rPr>
        <w:t>Lubanga Dyilo</w:t>
      </w:r>
      <w:r w:rsidR="00455AC4" w:rsidRPr="00C34731">
        <w:rPr>
          <w:lang w:val="fr-CA"/>
        </w:rPr>
        <w:t xml:space="preserve">, </w:t>
      </w:r>
      <w:r w:rsidR="002F42E8" w:rsidRPr="00C34731">
        <w:rPr>
          <w:lang w:val="fr-CA"/>
        </w:rPr>
        <w:t>ICC</w:t>
      </w:r>
      <w:r w:rsidR="00706DB5" w:rsidRPr="00C34731">
        <w:rPr>
          <w:lang w:val="fr-CA"/>
        </w:rPr>
        <w:noBreakHyphen/>
      </w:r>
      <w:r w:rsidR="002F42E8" w:rsidRPr="00C34731">
        <w:rPr>
          <w:lang w:val="fr-CA"/>
        </w:rPr>
        <w:t>01/04</w:t>
      </w:r>
      <w:r w:rsidR="00706DB5" w:rsidRPr="00C34731">
        <w:rPr>
          <w:lang w:val="fr-CA"/>
        </w:rPr>
        <w:noBreakHyphen/>
      </w:r>
      <w:r w:rsidR="002F42E8" w:rsidRPr="00C34731">
        <w:rPr>
          <w:lang w:val="fr-CA"/>
        </w:rPr>
        <w:t>01/06</w:t>
      </w:r>
      <w:r w:rsidR="00706DB5" w:rsidRPr="00C34731">
        <w:rPr>
          <w:lang w:val="fr-CA"/>
        </w:rPr>
        <w:noBreakHyphen/>
      </w:r>
      <w:r w:rsidR="009E76F5" w:rsidRPr="00C34731">
        <w:rPr>
          <w:lang w:val="fr-CA"/>
        </w:rPr>
        <w:t>2842</w:t>
      </w:r>
      <w:r w:rsidR="001A5D83">
        <w:rPr>
          <w:lang w:val="fr-CA"/>
        </w:rPr>
        <w:t>-tFRA</w:t>
      </w:r>
      <w:r w:rsidR="002F42E8" w:rsidRPr="00C34731">
        <w:rPr>
          <w:lang w:val="fr-CA"/>
        </w:rPr>
        <w:t xml:space="preserve">, 14 mars 2012, conf. </w:t>
      </w:r>
      <w:r w:rsidR="00455AC4" w:rsidRPr="00C34731">
        <w:rPr>
          <w:lang w:val="fr-CA"/>
        </w:rPr>
        <w:t>ICC</w:t>
      </w:r>
      <w:r w:rsidR="00706DB5" w:rsidRPr="00C34731">
        <w:rPr>
          <w:lang w:val="fr-CA"/>
        </w:rPr>
        <w:noBreakHyphen/>
      </w:r>
      <w:r w:rsidR="00455AC4" w:rsidRPr="00C34731">
        <w:rPr>
          <w:lang w:val="fr-CA"/>
        </w:rPr>
        <w:t>01/04</w:t>
      </w:r>
      <w:r w:rsidR="00706DB5" w:rsidRPr="00C34731">
        <w:rPr>
          <w:lang w:val="fr-CA"/>
        </w:rPr>
        <w:noBreakHyphen/>
      </w:r>
      <w:r w:rsidR="00A53091" w:rsidRPr="00C34731">
        <w:rPr>
          <w:lang w:val="fr-CA"/>
        </w:rPr>
        <w:t>01/06</w:t>
      </w:r>
      <w:r w:rsidR="00706DB5" w:rsidRPr="00C34731">
        <w:rPr>
          <w:lang w:val="fr-CA"/>
        </w:rPr>
        <w:noBreakHyphen/>
      </w:r>
      <w:r w:rsidR="009E76F5" w:rsidRPr="00C34731">
        <w:rPr>
          <w:lang w:val="fr-CA"/>
        </w:rPr>
        <w:t>803</w:t>
      </w:r>
      <w:r w:rsidR="00A53091" w:rsidRPr="00C34731">
        <w:rPr>
          <w:lang w:val="fr-CA"/>
        </w:rPr>
        <w:t>, 29 </w:t>
      </w:r>
      <w:r w:rsidR="00455AC4" w:rsidRPr="00C34731">
        <w:rPr>
          <w:lang w:val="fr-CA"/>
        </w:rPr>
        <w:t xml:space="preserve">janvier 2007; </w:t>
      </w:r>
      <w:r w:rsidR="00455AC4" w:rsidRPr="00C34731">
        <w:rPr>
          <w:i/>
          <w:lang w:val="fr-CA"/>
        </w:rPr>
        <w:t xml:space="preserve">Prosecutor c. </w:t>
      </w:r>
      <w:r w:rsidR="00E37F22" w:rsidRPr="00C34731">
        <w:rPr>
          <w:i/>
          <w:lang w:val="fr-CA"/>
        </w:rPr>
        <w:t xml:space="preserve">William Samoei </w:t>
      </w:r>
      <w:r w:rsidR="00455AC4" w:rsidRPr="00C34731">
        <w:rPr>
          <w:i/>
          <w:lang w:val="fr-CA"/>
        </w:rPr>
        <w:t>Ruto</w:t>
      </w:r>
      <w:r w:rsidR="00455AC4" w:rsidRPr="00C34731">
        <w:rPr>
          <w:lang w:val="fr-CA"/>
        </w:rPr>
        <w:t>, ICC</w:t>
      </w:r>
      <w:r w:rsidR="00706DB5" w:rsidRPr="00C34731">
        <w:rPr>
          <w:lang w:val="fr-CA"/>
        </w:rPr>
        <w:noBreakHyphen/>
      </w:r>
      <w:r w:rsidR="00455AC4" w:rsidRPr="00C34731">
        <w:rPr>
          <w:lang w:val="fr-CA"/>
        </w:rPr>
        <w:t>01/09</w:t>
      </w:r>
      <w:r w:rsidR="00706DB5" w:rsidRPr="00C34731">
        <w:rPr>
          <w:lang w:val="fr-CA"/>
        </w:rPr>
        <w:noBreakHyphen/>
      </w:r>
      <w:r w:rsidR="00455AC4" w:rsidRPr="00C34731">
        <w:rPr>
          <w:lang w:val="fr-CA"/>
        </w:rPr>
        <w:t>01/11</w:t>
      </w:r>
      <w:r w:rsidR="00706DB5" w:rsidRPr="00C34731">
        <w:rPr>
          <w:lang w:val="fr-CA"/>
        </w:rPr>
        <w:noBreakHyphen/>
      </w:r>
      <w:r w:rsidR="009E76F5" w:rsidRPr="00C34731">
        <w:rPr>
          <w:lang w:val="fr-CA"/>
        </w:rPr>
        <w:t>373</w:t>
      </w:r>
      <w:r w:rsidR="00455AC4" w:rsidRPr="00C34731">
        <w:rPr>
          <w:lang w:val="fr-CA"/>
        </w:rPr>
        <w:t>, 23</w:t>
      </w:r>
      <w:r w:rsidR="00A53091" w:rsidRPr="00C34731">
        <w:rPr>
          <w:lang w:val="fr-CA"/>
        </w:rPr>
        <w:t> </w:t>
      </w:r>
      <w:r w:rsidR="00455AC4" w:rsidRPr="00C34731">
        <w:rPr>
          <w:lang w:val="fr-CA"/>
        </w:rPr>
        <w:t xml:space="preserve">janvier 2012; </w:t>
      </w:r>
      <w:r w:rsidR="00455AC4" w:rsidRPr="00C34731">
        <w:rPr>
          <w:i/>
          <w:lang w:val="fr-CA"/>
        </w:rPr>
        <w:t>P</w:t>
      </w:r>
      <w:r w:rsidR="001A410C">
        <w:rPr>
          <w:i/>
          <w:lang w:val="fr-CA"/>
        </w:rPr>
        <w:t>rocureur</w:t>
      </w:r>
      <w:r w:rsidR="00455AC4" w:rsidRPr="00C34731">
        <w:rPr>
          <w:i/>
          <w:lang w:val="fr-CA"/>
        </w:rPr>
        <w:t xml:space="preserve"> c. </w:t>
      </w:r>
      <w:r w:rsidR="00E37F22" w:rsidRPr="00C34731">
        <w:rPr>
          <w:i/>
          <w:lang w:val="fr-CA"/>
        </w:rPr>
        <w:t>Jean</w:t>
      </w:r>
      <w:r w:rsidR="00706DB5" w:rsidRPr="00C34731">
        <w:rPr>
          <w:i/>
          <w:lang w:val="fr-CA"/>
        </w:rPr>
        <w:noBreakHyphen/>
      </w:r>
      <w:r w:rsidR="00E37F22" w:rsidRPr="00C34731">
        <w:rPr>
          <w:i/>
          <w:lang w:val="fr-CA"/>
        </w:rPr>
        <w:t xml:space="preserve">Pierre </w:t>
      </w:r>
      <w:r w:rsidR="00455AC4" w:rsidRPr="00C34731">
        <w:rPr>
          <w:i/>
          <w:lang w:val="fr-CA"/>
        </w:rPr>
        <w:t>Bemba Gombo</w:t>
      </w:r>
      <w:r w:rsidR="00455AC4" w:rsidRPr="00C34731">
        <w:rPr>
          <w:lang w:val="fr-CA"/>
        </w:rPr>
        <w:t>, ICC</w:t>
      </w:r>
      <w:r w:rsidR="00706DB5" w:rsidRPr="00C34731">
        <w:rPr>
          <w:lang w:val="fr-CA"/>
        </w:rPr>
        <w:noBreakHyphen/>
      </w:r>
      <w:r w:rsidR="00455AC4" w:rsidRPr="00C34731">
        <w:rPr>
          <w:lang w:val="fr-CA"/>
        </w:rPr>
        <w:t>01/05</w:t>
      </w:r>
      <w:r w:rsidR="00706DB5" w:rsidRPr="00C34731">
        <w:rPr>
          <w:lang w:val="fr-CA"/>
        </w:rPr>
        <w:noBreakHyphen/>
      </w:r>
      <w:r w:rsidR="00A53091" w:rsidRPr="00C34731">
        <w:rPr>
          <w:lang w:val="fr-CA"/>
        </w:rPr>
        <w:t>01/08</w:t>
      </w:r>
      <w:r w:rsidR="00706DB5" w:rsidRPr="00C34731">
        <w:rPr>
          <w:lang w:val="fr-CA"/>
        </w:rPr>
        <w:noBreakHyphen/>
      </w:r>
      <w:r w:rsidR="009E76F5" w:rsidRPr="00C34731">
        <w:rPr>
          <w:lang w:val="fr-CA"/>
        </w:rPr>
        <w:t>424</w:t>
      </w:r>
      <w:r w:rsidR="001A5D83">
        <w:rPr>
          <w:lang w:val="fr-CA"/>
        </w:rPr>
        <w:t>-tFRA</w:t>
      </w:r>
      <w:r w:rsidR="00A53091" w:rsidRPr="00C34731">
        <w:rPr>
          <w:lang w:val="fr-CA"/>
        </w:rPr>
        <w:t>, 15 </w:t>
      </w:r>
      <w:r w:rsidR="00455AC4" w:rsidRPr="00C34731">
        <w:rPr>
          <w:lang w:val="fr-CA"/>
        </w:rPr>
        <w:t>juin 2009;</w:t>
      </w:r>
      <w:r w:rsidR="006A3CE2" w:rsidRPr="00C34731">
        <w:rPr>
          <w:lang w:val="fr-CA"/>
        </w:rPr>
        <w:t xml:space="preserve"> </w:t>
      </w:r>
      <w:r w:rsidR="006A3CE2" w:rsidRPr="00C34731">
        <w:rPr>
          <w:i/>
          <w:lang w:val="fr-CA"/>
        </w:rPr>
        <w:t>Prosecutor c. Jovica Stanišić</w:t>
      </w:r>
      <w:r w:rsidR="006A3CE2" w:rsidRPr="00C34731">
        <w:rPr>
          <w:lang w:val="fr-CA"/>
        </w:rPr>
        <w:t>, IT</w:t>
      </w:r>
      <w:r w:rsidR="00706DB5" w:rsidRPr="00C34731">
        <w:rPr>
          <w:lang w:val="fr-CA"/>
        </w:rPr>
        <w:noBreakHyphen/>
      </w:r>
      <w:r w:rsidR="006A3CE2" w:rsidRPr="00C34731">
        <w:rPr>
          <w:lang w:val="fr-CA"/>
        </w:rPr>
        <w:t>03</w:t>
      </w:r>
      <w:r w:rsidR="00706DB5" w:rsidRPr="00C34731">
        <w:rPr>
          <w:lang w:val="fr-CA"/>
        </w:rPr>
        <w:noBreakHyphen/>
      </w:r>
      <w:r w:rsidR="006A3CE2" w:rsidRPr="00C34731">
        <w:rPr>
          <w:lang w:val="fr-CA"/>
        </w:rPr>
        <w:t>69</w:t>
      </w:r>
      <w:r w:rsidR="00706DB5" w:rsidRPr="00C34731">
        <w:rPr>
          <w:lang w:val="fr-CA"/>
        </w:rPr>
        <w:noBreakHyphen/>
      </w:r>
      <w:r w:rsidR="006A3CE2" w:rsidRPr="00C34731">
        <w:rPr>
          <w:lang w:val="fr-CA"/>
        </w:rPr>
        <w:t>T, 30 mai 2013;</w:t>
      </w:r>
      <w:r w:rsidR="00455AC4" w:rsidRPr="00C34731">
        <w:rPr>
          <w:lang w:val="fr-CA"/>
        </w:rPr>
        <w:t xml:space="preserve"> </w:t>
      </w:r>
      <w:r w:rsidR="00455AC4" w:rsidRPr="00C34731">
        <w:rPr>
          <w:i/>
          <w:lang w:val="fr-CA"/>
        </w:rPr>
        <w:t>P</w:t>
      </w:r>
      <w:r w:rsidR="001A410C">
        <w:rPr>
          <w:i/>
          <w:lang w:val="fr-CA"/>
        </w:rPr>
        <w:t>rocureur</w:t>
      </w:r>
      <w:r w:rsidR="00455AC4" w:rsidRPr="00C34731">
        <w:rPr>
          <w:i/>
          <w:lang w:val="fr-CA"/>
        </w:rPr>
        <w:t xml:space="preserve"> c. </w:t>
      </w:r>
      <w:r w:rsidR="00E37F22" w:rsidRPr="00C34731">
        <w:rPr>
          <w:i/>
          <w:lang w:val="fr-CA"/>
        </w:rPr>
        <w:t xml:space="preserve">Duško </w:t>
      </w:r>
      <w:r w:rsidR="00455AC4" w:rsidRPr="00C34731">
        <w:rPr>
          <w:i/>
          <w:lang w:val="fr-CA"/>
        </w:rPr>
        <w:t>Tadić</w:t>
      </w:r>
      <w:r w:rsidR="00455AC4" w:rsidRPr="00C34731">
        <w:rPr>
          <w:lang w:val="fr-CA"/>
        </w:rPr>
        <w:t xml:space="preserve">, </w:t>
      </w:r>
      <w:r w:rsidR="00455AC4" w:rsidRPr="00C34731">
        <w:rPr>
          <w:lang w:val="fr-CA"/>
        </w:rPr>
        <w:lastRenderedPageBreak/>
        <w:t>IT</w:t>
      </w:r>
      <w:r w:rsidR="00706DB5" w:rsidRPr="00C34731">
        <w:rPr>
          <w:lang w:val="fr-CA"/>
        </w:rPr>
        <w:noBreakHyphen/>
      </w:r>
      <w:r w:rsidR="00455AC4" w:rsidRPr="00C34731">
        <w:rPr>
          <w:lang w:val="fr-CA"/>
        </w:rPr>
        <w:t>94</w:t>
      </w:r>
      <w:r w:rsidR="00706DB5" w:rsidRPr="00C34731">
        <w:rPr>
          <w:lang w:val="fr-CA"/>
        </w:rPr>
        <w:noBreakHyphen/>
      </w:r>
      <w:r w:rsidR="00455AC4" w:rsidRPr="00C34731">
        <w:rPr>
          <w:lang w:val="fr-CA"/>
        </w:rPr>
        <w:t>1</w:t>
      </w:r>
      <w:r w:rsidR="00706DB5" w:rsidRPr="00C34731">
        <w:rPr>
          <w:lang w:val="fr-CA"/>
        </w:rPr>
        <w:noBreakHyphen/>
      </w:r>
      <w:r w:rsidR="00455AC4" w:rsidRPr="00C34731">
        <w:rPr>
          <w:lang w:val="fr-CA"/>
        </w:rPr>
        <w:t>A, 15</w:t>
      </w:r>
      <w:r w:rsidR="00A53091" w:rsidRPr="00C34731">
        <w:rPr>
          <w:lang w:val="fr-CA"/>
        </w:rPr>
        <w:t> </w:t>
      </w:r>
      <w:r w:rsidR="00455AC4" w:rsidRPr="00C34731">
        <w:rPr>
          <w:lang w:val="fr-CA"/>
        </w:rPr>
        <w:t xml:space="preserve">juillet 1999; </w:t>
      </w:r>
      <w:r w:rsidR="00455AC4" w:rsidRPr="00C34731">
        <w:rPr>
          <w:i/>
          <w:lang w:val="fr-CA"/>
        </w:rPr>
        <w:t>P</w:t>
      </w:r>
      <w:r w:rsidR="001A410C">
        <w:rPr>
          <w:i/>
          <w:lang w:val="fr-CA"/>
        </w:rPr>
        <w:t>rocureur</w:t>
      </w:r>
      <w:r w:rsidR="00455AC4" w:rsidRPr="00C34731">
        <w:rPr>
          <w:i/>
          <w:lang w:val="fr-CA"/>
        </w:rPr>
        <w:t xml:space="preserve"> c. </w:t>
      </w:r>
      <w:r w:rsidR="00E37F22" w:rsidRPr="00C34731">
        <w:rPr>
          <w:i/>
          <w:lang w:val="fr-CA"/>
        </w:rPr>
        <w:t xml:space="preserve">Radoslav </w:t>
      </w:r>
      <w:r w:rsidR="001933A3" w:rsidRPr="00C34731">
        <w:rPr>
          <w:i/>
          <w:lang w:val="fr-CA"/>
        </w:rPr>
        <w:t>Brđanin</w:t>
      </w:r>
      <w:r w:rsidR="00455AC4" w:rsidRPr="00C34731">
        <w:rPr>
          <w:lang w:val="fr-CA"/>
        </w:rPr>
        <w:t>, IT</w:t>
      </w:r>
      <w:r w:rsidR="00706DB5" w:rsidRPr="00C34731">
        <w:rPr>
          <w:lang w:val="fr-CA"/>
        </w:rPr>
        <w:noBreakHyphen/>
      </w:r>
      <w:r w:rsidR="00455AC4" w:rsidRPr="00C34731">
        <w:rPr>
          <w:lang w:val="fr-CA"/>
        </w:rPr>
        <w:t>99</w:t>
      </w:r>
      <w:r w:rsidR="00706DB5" w:rsidRPr="00C34731">
        <w:rPr>
          <w:lang w:val="fr-CA"/>
        </w:rPr>
        <w:noBreakHyphen/>
      </w:r>
      <w:r w:rsidR="00455AC4" w:rsidRPr="00C34731">
        <w:rPr>
          <w:lang w:val="fr-CA"/>
        </w:rPr>
        <w:t>36</w:t>
      </w:r>
      <w:r w:rsidR="00706DB5" w:rsidRPr="00C34731">
        <w:rPr>
          <w:lang w:val="fr-CA"/>
        </w:rPr>
        <w:noBreakHyphen/>
      </w:r>
      <w:r w:rsidR="00A53091" w:rsidRPr="00C34731">
        <w:rPr>
          <w:lang w:val="fr-CA"/>
        </w:rPr>
        <w:t>A, 3 </w:t>
      </w:r>
      <w:r w:rsidR="00455AC4" w:rsidRPr="00C34731">
        <w:rPr>
          <w:lang w:val="fr-CA"/>
        </w:rPr>
        <w:t xml:space="preserve">avril 2007; </w:t>
      </w:r>
      <w:r w:rsidR="009C6BAB" w:rsidRPr="00C34731">
        <w:rPr>
          <w:i/>
          <w:lang w:val="fr-CA"/>
        </w:rPr>
        <w:t xml:space="preserve">Ryivuze </w:t>
      </w:r>
      <w:r w:rsidR="00455AC4" w:rsidRPr="00C34731">
        <w:rPr>
          <w:i/>
          <w:lang w:val="fr-CA"/>
        </w:rPr>
        <w:t>c</w:t>
      </w:r>
      <w:r w:rsidR="009C6BAB" w:rsidRPr="00C34731">
        <w:rPr>
          <w:i/>
          <w:lang w:val="fr-CA"/>
        </w:rPr>
        <w:t>. Canada (</w:t>
      </w:r>
      <w:r w:rsidR="000A020F" w:rsidRPr="00C34731">
        <w:rPr>
          <w:i/>
          <w:lang w:val="fr-CA"/>
        </w:rPr>
        <w:t>Citoyenneté et Immigration</w:t>
      </w:r>
      <w:r w:rsidR="009C6BAB" w:rsidRPr="00C34731">
        <w:rPr>
          <w:i/>
          <w:lang w:val="fr-CA"/>
        </w:rPr>
        <w:t>)</w:t>
      </w:r>
      <w:r w:rsidR="009C6BAB" w:rsidRPr="00C34731">
        <w:rPr>
          <w:lang w:val="fr-CA"/>
        </w:rPr>
        <w:t>, 2007 C</w:t>
      </w:r>
      <w:r w:rsidR="000A020F" w:rsidRPr="00C34731">
        <w:rPr>
          <w:lang w:val="fr-CA"/>
        </w:rPr>
        <w:t>F</w:t>
      </w:r>
      <w:r w:rsidR="009C6BAB" w:rsidRPr="00C34731">
        <w:rPr>
          <w:lang w:val="fr-CA"/>
        </w:rPr>
        <w:t xml:space="preserve"> 134</w:t>
      </w:r>
      <w:r w:rsidR="000A020F" w:rsidRPr="00C34731">
        <w:rPr>
          <w:lang w:val="fr-CA"/>
        </w:rPr>
        <w:t xml:space="preserve"> (CanLII)</w:t>
      </w:r>
      <w:r w:rsidR="009C6BAB" w:rsidRPr="00C34731">
        <w:rPr>
          <w:lang w:val="fr-CA"/>
        </w:rPr>
        <w:t xml:space="preserve">; </w:t>
      </w:r>
      <w:r w:rsidR="004F0FDC" w:rsidRPr="00C34731">
        <w:rPr>
          <w:i/>
          <w:lang w:val="fr-CA"/>
        </w:rPr>
        <w:t>Xu Sheng Gao c. United States Attorney General</w:t>
      </w:r>
      <w:r w:rsidR="009C6BAB" w:rsidRPr="00C34731">
        <w:rPr>
          <w:lang w:val="fr-CA"/>
        </w:rPr>
        <w:t xml:space="preserve">, 500 F.3d 93 (2007); </w:t>
      </w:r>
      <w:r w:rsidR="009C6BAB" w:rsidRPr="00C34731">
        <w:rPr>
          <w:i/>
          <w:lang w:val="fr-CA"/>
        </w:rPr>
        <w:t xml:space="preserve">Osagie </w:t>
      </w:r>
      <w:r w:rsidR="00455AC4" w:rsidRPr="00C34731">
        <w:rPr>
          <w:i/>
          <w:lang w:val="fr-CA"/>
        </w:rPr>
        <w:t>c</w:t>
      </w:r>
      <w:r w:rsidR="009C6BAB" w:rsidRPr="00C34731">
        <w:rPr>
          <w:i/>
          <w:lang w:val="fr-CA"/>
        </w:rPr>
        <w:t>. Canada (</w:t>
      </w:r>
      <w:r w:rsidR="00455AC4" w:rsidRPr="00C34731">
        <w:rPr>
          <w:i/>
          <w:lang w:val="fr-CA"/>
        </w:rPr>
        <w:t>Ministre de la Citoyenneté et de l</w:t>
      </w:r>
      <w:r w:rsidR="008E2843">
        <w:rPr>
          <w:i/>
          <w:lang w:val="fr-CA"/>
        </w:rPr>
        <w:t>’</w:t>
      </w:r>
      <w:r w:rsidR="00455AC4" w:rsidRPr="00C34731">
        <w:rPr>
          <w:i/>
          <w:lang w:val="fr-CA"/>
        </w:rPr>
        <w:t>Immigration</w:t>
      </w:r>
      <w:r w:rsidR="009C6BAB" w:rsidRPr="00C34731">
        <w:rPr>
          <w:i/>
          <w:lang w:val="fr-CA"/>
        </w:rPr>
        <w:t>)</w:t>
      </w:r>
      <w:r w:rsidR="00455AC4" w:rsidRPr="00C34731">
        <w:rPr>
          <w:lang w:val="fr-CA"/>
        </w:rPr>
        <w:t>, 2000 CanLII 15817</w:t>
      </w:r>
      <w:r w:rsidR="009C6BAB" w:rsidRPr="00C34731">
        <w:rPr>
          <w:lang w:val="fr-CA"/>
        </w:rPr>
        <w:t xml:space="preserve">; </w:t>
      </w:r>
      <w:r w:rsidR="009C6BAB" w:rsidRPr="00C34731">
        <w:rPr>
          <w:i/>
          <w:lang w:val="fr-CA"/>
        </w:rPr>
        <w:t>Mpia</w:t>
      </w:r>
      <w:r w:rsidR="00706DB5" w:rsidRPr="00C34731">
        <w:rPr>
          <w:i/>
          <w:lang w:val="fr-CA"/>
        </w:rPr>
        <w:noBreakHyphen/>
      </w:r>
      <w:r w:rsidR="009C6BAB" w:rsidRPr="00C34731">
        <w:rPr>
          <w:i/>
          <w:lang w:val="fr-CA"/>
        </w:rPr>
        <w:t>Mena</w:t>
      </w:r>
      <w:r w:rsidR="00706DB5" w:rsidRPr="00C34731">
        <w:rPr>
          <w:i/>
          <w:lang w:val="fr-CA"/>
        </w:rPr>
        <w:noBreakHyphen/>
      </w:r>
      <w:r w:rsidR="009C6BAB" w:rsidRPr="00C34731">
        <w:rPr>
          <w:i/>
          <w:lang w:val="fr-CA"/>
        </w:rPr>
        <w:t xml:space="preserve">Zambili </w:t>
      </w:r>
      <w:r w:rsidR="00455AC4" w:rsidRPr="00C34731">
        <w:rPr>
          <w:i/>
          <w:lang w:val="fr-CA"/>
        </w:rPr>
        <w:t>c</w:t>
      </w:r>
      <w:r w:rsidR="009C6BAB" w:rsidRPr="00C34731">
        <w:rPr>
          <w:i/>
          <w:lang w:val="fr-CA"/>
        </w:rPr>
        <w:t>. Canada (</w:t>
      </w:r>
      <w:r w:rsidR="00455AC4" w:rsidRPr="00C34731">
        <w:rPr>
          <w:i/>
          <w:lang w:val="fr-CA"/>
        </w:rPr>
        <w:t>Ministre de la Citoyenneté et de l</w:t>
      </w:r>
      <w:r w:rsidR="008E2843">
        <w:rPr>
          <w:i/>
          <w:lang w:val="fr-CA"/>
        </w:rPr>
        <w:t>’</w:t>
      </w:r>
      <w:r w:rsidR="00455AC4" w:rsidRPr="00C34731">
        <w:rPr>
          <w:i/>
          <w:lang w:val="fr-CA"/>
        </w:rPr>
        <w:t>Immigration</w:t>
      </w:r>
      <w:r w:rsidR="009C6BAB" w:rsidRPr="00C34731">
        <w:rPr>
          <w:i/>
          <w:lang w:val="fr-CA"/>
        </w:rPr>
        <w:t>)</w:t>
      </w:r>
      <w:r w:rsidR="00455AC4" w:rsidRPr="00C34731">
        <w:rPr>
          <w:lang w:val="fr-CA"/>
        </w:rPr>
        <w:t xml:space="preserve">, 2005 </w:t>
      </w:r>
      <w:r w:rsidR="009C6BAB" w:rsidRPr="00C34731">
        <w:rPr>
          <w:lang w:val="fr-CA"/>
        </w:rPr>
        <w:t>C</w:t>
      </w:r>
      <w:r w:rsidR="00455AC4" w:rsidRPr="00C34731">
        <w:rPr>
          <w:lang w:val="fr-CA"/>
        </w:rPr>
        <w:t>F</w:t>
      </w:r>
      <w:r w:rsidR="009C6BAB" w:rsidRPr="00C34731">
        <w:rPr>
          <w:lang w:val="fr-CA"/>
        </w:rPr>
        <w:t xml:space="preserve"> 1349</w:t>
      </w:r>
      <w:r w:rsidR="00455AC4" w:rsidRPr="00C34731">
        <w:rPr>
          <w:lang w:val="fr-CA"/>
        </w:rPr>
        <w:t xml:space="preserve"> (CanLII)</w:t>
      </w:r>
      <w:r w:rsidR="009C6BAB" w:rsidRPr="00C34731">
        <w:rPr>
          <w:lang w:val="fr-CA"/>
        </w:rPr>
        <w:t xml:space="preserve">; </w:t>
      </w:r>
      <w:r w:rsidR="009C6BAB" w:rsidRPr="00C34731">
        <w:rPr>
          <w:i/>
          <w:lang w:val="fr-CA"/>
        </w:rPr>
        <w:t xml:space="preserve">Fabela </w:t>
      </w:r>
      <w:r w:rsidR="00455AC4" w:rsidRPr="00C34731">
        <w:rPr>
          <w:i/>
          <w:lang w:val="fr-CA"/>
        </w:rPr>
        <w:t>c</w:t>
      </w:r>
      <w:r w:rsidR="009C6BAB" w:rsidRPr="00C34731">
        <w:rPr>
          <w:i/>
          <w:lang w:val="fr-CA"/>
        </w:rPr>
        <w:t>. Canada (</w:t>
      </w:r>
      <w:r w:rsidR="00455AC4" w:rsidRPr="00C34731">
        <w:rPr>
          <w:i/>
          <w:lang w:val="fr-CA"/>
        </w:rPr>
        <w:t>Ministre de la Citoyenneté et de l</w:t>
      </w:r>
      <w:r w:rsidR="008E2843">
        <w:rPr>
          <w:i/>
          <w:lang w:val="fr-CA"/>
        </w:rPr>
        <w:t>’</w:t>
      </w:r>
      <w:r w:rsidR="00455AC4" w:rsidRPr="00C34731">
        <w:rPr>
          <w:i/>
          <w:lang w:val="fr-CA"/>
        </w:rPr>
        <w:t>Immigration</w:t>
      </w:r>
      <w:r w:rsidR="009C6BAB" w:rsidRPr="00C34731">
        <w:rPr>
          <w:i/>
          <w:lang w:val="fr-CA"/>
        </w:rPr>
        <w:t>)</w:t>
      </w:r>
      <w:r w:rsidR="009C6BAB" w:rsidRPr="00C34731">
        <w:rPr>
          <w:lang w:val="fr-CA"/>
        </w:rPr>
        <w:t xml:space="preserve">, 2005 </w:t>
      </w:r>
      <w:r w:rsidR="00455AC4" w:rsidRPr="00C34731">
        <w:rPr>
          <w:lang w:val="fr-CA"/>
        </w:rPr>
        <w:t>C</w:t>
      </w:r>
      <w:r w:rsidR="009C6BAB" w:rsidRPr="00C34731">
        <w:rPr>
          <w:lang w:val="fr-CA"/>
        </w:rPr>
        <w:t>F 1028</w:t>
      </w:r>
      <w:r w:rsidR="00455AC4" w:rsidRPr="00C34731">
        <w:rPr>
          <w:lang w:val="fr-CA"/>
        </w:rPr>
        <w:t xml:space="preserve"> (CanLII)</w:t>
      </w:r>
      <w:r w:rsidR="009C6BAB" w:rsidRPr="00C34731">
        <w:rPr>
          <w:lang w:val="fr-CA"/>
        </w:rPr>
        <w:t>.</w:t>
      </w:r>
    </w:p>
    <w:p w:rsidR="004D7D95" w:rsidRPr="00C34731" w:rsidRDefault="004D7D95" w:rsidP="00531C9E">
      <w:pPr>
        <w:pStyle w:val="SCCNormalDoubleSpacing"/>
        <w:keepNext/>
        <w:spacing w:after="720" w:line="240" w:lineRule="auto"/>
        <w:rPr>
          <w:b/>
          <w:lang w:val="fr-CA"/>
        </w:rPr>
      </w:pPr>
      <w:r w:rsidRPr="00C34731">
        <w:rPr>
          <w:b/>
          <w:lang w:val="fr-CA"/>
        </w:rPr>
        <w:t>Lois et règlements cités</w:t>
      </w:r>
    </w:p>
    <w:p w:rsidR="00497A58" w:rsidRPr="00C34731" w:rsidRDefault="00497A58" w:rsidP="00531C9E">
      <w:pPr>
        <w:pStyle w:val="SCCNormalDoubleSpacing"/>
        <w:spacing w:after="240" w:line="240" w:lineRule="auto"/>
        <w:ind w:left="539" w:hanging="539"/>
        <w:rPr>
          <w:lang w:val="fr-CA"/>
        </w:rPr>
      </w:pPr>
      <w:r w:rsidRPr="00C34731">
        <w:rPr>
          <w:i/>
          <w:lang w:val="fr-CA"/>
        </w:rPr>
        <w:t>Code criminel</w:t>
      </w:r>
      <w:r w:rsidRPr="00C34731">
        <w:rPr>
          <w:lang w:val="fr-CA"/>
        </w:rPr>
        <w:t xml:space="preserve">, L.R.C. 1985, </w:t>
      </w:r>
      <w:r w:rsidR="00706DB5" w:rsidRPr="00C34731">
        <w:rPr>
          <w:lang w:val="fr-CA"/>
        </w:rPr>
        <w:t>ch. </w:t>
      </w:r>
      <w:r w:rsidRPr="00C34731">
        <w:rPr>
          <w:lang w:val="fr-CA"/>
        </w:rPr>
        <w:t>C</w:t>
      </w:r>
      <w:r w:rsidR="00706DB5" w:rsidRPr="00C34731">
        <w:rPr>
          <w:lang w:val="fr-CA"/>
        </w:rPr>
        <w:noBreakHyphen/>
      </w:r>
      <w:r w:rsidRPr="00C34731">
        <w:rPr>
          <w:lang w:val="fr-CA"/>
        </w:rPr>
        <w:t xml:space="preserve">46, </w:t>
      </w:r>
      <w:r w:rsidR="00706DB5" w:rsidRPr="00C34731">
        <w:rPr>
          <w:lang w:val="fr-CA"/>
        </w:rPr>
        <w:t>art. </w:t>
      </w:r>
      <w:r w:rsidRPr="00C34731">
        <w:rPr>
          <w:lang w:val="fr-CA"/>
        </w:rPr>
        <w:t>21(2).</w:t>
      </w:r>
    </w:p>
    <w:p w:rsidR="00497A58" w:rsidRPr="00C34731" w:rsidRDefault="00497A58" w:rsidP="00531C9E">
      <w:pPr>
        <w:pStyle w:val="SCCNormalDoubleSpacing"/>
        <w:spacing w:after="240" w:line="240" w:lineRule="auto"/>
        <w:ind w:left="539" w:hanging="539"/>
        <w:rPr>
          <w:lang w:val="fr-CA"/>
        </w:rPr>
      </w:pPr>
      <w:r w:rsidRPr="00C34731">
        <w:rPr>
          <w:i/>
          <w:lang w:val="fr-CA"/>
        </w:rPr>
        <w:t>Loi sur l</w:t>
      </w:r>
      <w:r w:rsidR="008E2843">
        <w:rPr>
          <w:i/>
          <w:lang w:val="fr-CA"/>
        </w:rPr>
        <w:t>’</w:t>
      </w:r>
      <w:r w:rsidRPr="00C34731">
        <w:rPr>
          <w:i/>
          <w:lang w:val="fr-CA"/>
        </w:rPr>
        <w:t>immigration et la protection des réfugiés</w:t>
      </w:r>
      <w:r w:rsidRPr="00C34731">
        <w:rPr>
          <w:lang w:val="fr-CA"/>
        </w:rPr>
        <w:t xml:space="preserve">, L.C. 2001, </w:t>
      </w:r>
      <w:r w:rsidR="00706DB5" w:rsidRPr="00C34731">
        <w:rPr>
          <w:lang w:val="fr-CA"/>
        </w:rPr>
        <w:t>ch. </w:t>
      </w:r>
      <w:r w:rsidRPr="00C34731">
        <w:rPr>
          <w:lang w:val="fr-CA"/>
        </w:rPr>
        <w:t>27</w:t>
      </w:r>
      <w:r w:rsidR="00165648" w:rsidRPr="00C34731">
        <w:rPr>
          <w:lang w:val="fr-CA"/>
        </w:rPr>
        <w:t xml:space="preserve">, </w:t>
      </w:r>
      <w:r w:rsidR="00706DB5" w:rsidRPr="00C34731">
        <w:rPr>
          <w:lang w:val="fr-CA"/>
        </w:rPr>
        <w:t>art. </w:t>
      </w:r>
      <w:r w:rsidR="00165648" w:rsidRPr="00C34731">
        <w:rPr>
          <w:lang w:val="fr-CA"/>
        </w:rPr>
        <w:t>98, 162(2), 170</w:t>
      </w:r>
      <w:r w:rsidRPr="00C34731">
        <w:rPr>
          <w:i/>
          <w:lang w:val="fr-CA"/>
        </w:rPr>
        <w:t>g</w:t>
      </w:r>
      <w:r w:rsidRPr="00C34731">
        <w:rPr>
          <w:lang w:val="fr-CA"/>
        </w:rPr>
        <w:t>)</w:t>
      </w:r>
      <w:r w:rsidR="00165648" w:rsidRPr="00C34731">
        <w:rPr>
          <w:lang w:val="fr-CA"/>
        </w:rPr>
        <w:t xml:space="preserve">, </w:t>
      </w:r>
      <w:r w:rsidRPr="00C34731">
        <w:rPr>
          <w:i/>
          <w:lang w:val="fr-CA"/>
        </w:rPr>
        <w:t>h</w:t>
      </w:r>
      <w:r w:rsidRPr="00C34731">
        <w:rPr>
          <w:lang w:val="fr-CA"/>
        </w:rPr>
        <w:t>).</w:t>
      </w:r>
    </w:p>
    <w:p w:rsidR="00497A58" w:rsidRPr="00C34731" w:rsidRDefault="00497A58" w:rsidP="002C3443">
      <w:pPr>
        <w:pStyle w:val="SCCNormalDoubleSpacing"/>
        <w:spacing w:after="720" w:line="240" w:lineRule="auto"/>
        <w:ind w:left="540" w:hanging="540"/>
        <w:rPr>
          <w:lang w:val="fr-CA"/>
        </w:rPr>
      </w:pPr>
      <w:r w:rsidRPr="00C34731">
        <w:rPr>
          <w:i/>
          <w:lang w:val="fr-CA"/>
        </w:rPr>
        <w:t>Loi sur les crimes contre l</w:t>
      </w:r>
      <w:r w:rsidR="008E2843">
        <w:rPr>
          <w:i/>
          <w:lang w:val="fr-CA"/>
        </w:rPr>
        <w:t>’</w:t>
      </w:r>
      <w:r w:rsidRPr="00C34731">
        <w:rPr>
          <w:i/>
          <w:lang w:val="fr-CA"/>
        </w:rPr>
        <w:t>humanité et les crimes de guerre</w:t>
      </w:r>
      <w:r w:rsidRPr="00C34731">
        <w:rPr>
          <w:lang w:val="fr-CA"/>
        </w:rPr>
        <w:t xml:space="preserve">, L.C. 2000, </w:t>
      </w:r>
      <w:r w:rsidR="00706DB5" w:rsidRPr="00C34731">
        <w:rPr>
          <w:lang w:val="fr-CA"/>
        </w:rPr>
        <w:t>ch. </w:t>
      </w:r>
      <w:r w:rsidRPr="00C34731">
        <w:rPr>
          <w:lang w:val="fr-CA"/>
        </w:rPr>
        <w:t>24.</w:t>
      </w:r>
    </w:p>
    <w:p w:rsidR="00307F21" w:rsidRPr="00C34731" w:rsidRDefault="00307F21" w:rsidP="00531C9E">
      <w:pPr>
        <w:pStyle w:val="SCCNormalDoubleSpacing"/>
        <w:keepNext/>
        <w:spacing w:after="720" w:line="240" w:lineRule="auto"/>
        <w:ind w:left="540" w:hanging="540"/>
        <w:rPr>
          <w:b/>
          <w:lang w:val="fr-CA"/>
        </w:rPr>
      </w:pPr>
      <w:r w:rsidRPr="00C34731">
        <w:rPr>
          <w:b/>
          <w:lang w:val="fr-CA"/>
        </w:rPr>
        <w:t>Traités et autres instruments internationaux</w:t>
      </w:r>
    </w:p>
    <w:p w:rsidR="004D7D95" w:rsidRPr="00C34731" w:rsidRDefault="00234AA7" w:rsidP="00531C9E">
      <w:pPr>
        <w:pStyle w:val="SCCNormalDoubleSpacing"/>
        <w:spacing w:after="240" w:line="240" w:lineRule="auto"/>
        <w:ind w:left="539" w:hanging="539"/>
        <w:rPr>
          <w:lang w:val="fr-CA"/>
        </w:rPr>
      </w:pPr>
      <w:r w:rsidRPr="00C34731">
        <w:rPr>
          <w:i/>
          <w:lang w:val="fr-CA"/>
        </w:rPr>
        <w:t>Convention de Vienne sur le droit des traités</w:t>
      </w:r>
      <w:r w:rsidRPr="00C34731">
        <w:rPr>
          <w:lang w:val="fr-CA"/>
        </w:rPr>
        <w:t>, R.T. Can. 1980 n</w:t>
      </w:r>
      <w:r w:rsidRPr="00C34731">
        <w:rPr>
          <w:vertAlign w:val="superscript"/>
          <w:lang w:val="fr-CA"/>
        </w:rPr>
        <w:t>o</w:t>
      </w:r>
      <w:r w:rsidR="00C873D9" w:rsidRPr="00C34731">
        <w:rPr>
          <w:lang w:val="fr-CA"/>
        </w:rPr>
        <w:t> </w:t>
      </w:r>
      <w:r w:rsidRPr="00C34731">
        <w:rPr>
          <w:lang w:val="fr-CA"/>
        </w:rPr>
        <w:t xml:space="preserve">37, </w:t>
      </w:r>
      <w:r w:rsidR="00706DB5" w:rsidRPr="00C34731">
        <w:rPr>
          <w:lang w:val="fr-CA"/>
        </w:rPr>
        <w:t>art. </w:t>
      </w:r>
      <w:r w:rsidRPr="00C34731">
        <w:rPr>
          <w:lang w:val="fr-CA"/>
        </w:rPr>
        <w:t>31.</w:t>
      </w:r>
    </w:p>
    <w:p w:rsidR="009E76F5" w:rsidRPr="00C34731" w:rsidRDefault="009E76F5" w:rsidP="009E76F5">
      <w:pPr>
        <w:pStyle w:val="SCCNormalDoubleSpacing"/>
        <w:spacing w:after="240" w:line="240" w:lineRule="auto"/>
        <w:ind w:left="539" w:hanging="539"/>
        <w:rPr>
          <w:lang w:val="fr-CA"/>
        </w:rPr>
      </w:pPr>
      <w:r w:rsidRPr="00C34731">
        <w:rPr>
          <w:i/>
          <w:lang w:val="fr-CA"/>
        </w:rPr>
        <w:t>Convention relative au Statut de</w:t>
      </w:r>
      <w:r w:rsidR="001A410C">
        <w:rPr>
          <w:i/>
          <w:lang w:val="fr-CA"/>
        </w:rPr>
        <w:t>s</w:t>
      </w:r>
      <w:r w:rsidRPr="00C34731">
        <w:rPr>
          <w:i/>
          <w:lang w:val="fr-CA"/>
        </w:rPr>
        <w:t xml:space="preserve"> Réfugiés</w:t>
      </w:r>
      <w:r w:rsidRPr="00C34731">
        <w:rPr>
          <w:lang w:val="fr-CA"/>
        </w:rPr>
        <w:t>, R.T. Can. 1969 n</w:t>
      </w:r>
      <w:r w:rsidRPr="00C34731">
        <w:rPr>
          <w:vertAlign w:val="superscript"/>
          <w:lang w:val="fr-CA"/>
        </w:rPr>
        <w:t>o</w:t>
      </w:r>
      <w:r w:rsidR="00531D4F" w:rsidRPr="00C34731">
        <w:rPr>
          <w:lang w:val="fr-CA"/>
        </w:rPr>
        <w:t> </w:t>
      </w:r>
      <w:r w:rsidRPr="00C34731">
        <w:rPr>
          <w:lang w:val="fr-CA"/>
        </w:rPr>
        <w:t xml:space="preserve">6, préambule, </w:t>
      </w:r>
      <w:r w:rsidR="00706DB5" w:rsidRPr="00C34731">
        <w:rPr>
          <w:lang w:val="fr-CA"/>
        </w:rPr>
        <w:t>art. </w:t>
      </w:r>
      <w:r w:rsidRPr="00C34731">
        <w:rPr>
          <w:lang w:val="fr-CA"/>
        </w:rPr>
        <w:t>1F</w:t>
      </w:r>
      <w:r w:rsidRPr="001A410C">
        <w:rPr>
          <w:i/>
          <w:lang w:val="fr-CA"/>
        </w:rPr>
        <w:t>a</w:t>
      </w:r>
      <w:r w:rsidRPr="00C34731">
        <w:rPr>
          <w:lang w:val="fr-CA"/>
        </w:rPr>
        <w:t>).</w:t>
      </w:r>
    </w:p>
    <w:p w:rsidR="00234AA7" w:rsidRPr="00C34731" w:rsidRDefault="00234AA7" w:rsidP="002C3443">
      <w:pPr>
        <w:pStyle w:val="SCCNormalDoubleSpacing"/>
        <w:spacing w:after="720" w:line="240" w:lineRule="auto"/>
        <w:ind w:left="540" w:hanging="540"/>
        <w:rPr>
          <w:lang w:val="fr-CA"/>
        </w:rPr>
      </w:pPr>
      <w:r w:rsidRPr="00C34731">
        <w:rPr>
          <w:i/>
          <w:lang w:val="fr-CA"/>
        </w:rPr>
        <w:t>Statut de Rome de la Cour pénale internationale</w:t>
      </w:r>
      <w:r w:rsidRPr="00C34731">
        <w:rPr>
          <w:lang w:val="fr-CA"/>
        </w:rPr>
        <w:t xml:space="preserve">, </w:t>
      </w:r>
      <w:r w:rsidR="0067749C" w:rsidRPr="00C34731">
        <w:rPr>
          <w:lang w:val="fr-CA"/>
        </w:rPr>
        <w:t xml:space="preserve">Doc. N.U. </w:t>
      </w:r>
      <w:r w:rsidRPr="00C34731">
        <w:rPr>
          <w:lang w:val="fr-CA"/>
        </w:rPr>
        <w:t>A/CONF.</w:t>
      </w:r>
      <w:r w:rsidR="00C873D9" w:rsidRPr="00C34731">
        <w:rPr>
          <w:lang w:val="fr-CA"/>
        </w:rPr>
        <w:t>183/9, 17 </w:t>
      </w:r>
      <w:r w:rsidRPr="00C34731">
        <w:rPr>
          <w:lang w:val="fr-CA"/>
        </w:rPr>
        <w:t xml:space="preserve">juillet 1998, </w:t>
      </w:r>
      <w:r w:rsidR="00706DB5" w:rsidRPr="00C34731">
        <w:rPr>
          <w:lang w:val="fr-CA"/>
        </w:rPr>
        <w:t>art. </w:t>
      </w:r>
      <w:r w:rsidRPr="00C34731">
        <w:rPr>
          <w:lang w:val="fr-CA"/>
        </w:rPr>
        <w:t xml:space="preserve">25, </w:t>
      </w:r>
      <w:r w:rsidR="00357BB1" w:rsidRPr="00C34731">
        <w:rPr>
          <w:lang w:val="fr-CA"/>
        </w:rPr>
        <w:t xml:space="preserve">28, </w:t>
      </w:r>
      <w:r w:rsidRPr="00C34731">
        <w:rPr>
          <w:lang w:val="fr-CA"/>
        </w:rPr>
        <w:t>30, 31(1)d).</w:t>
      </w:r>
    </w:p>
    <w:p w:rsidR="004D7D95" w:rsidRPr="00C34731" w:rsidRDefault="004D7D95" w:rsidP="00531C9E">
      <w:pPr>
        <w:pStyle w:val="SCCNormalDoubleSpacing"/>
        <w:keepNext/>
        <w:spacing w:after="720" w:line="240" w:lineRule="auto"/>
        <w:rPr>
          <w:b/>
          <w:lang w:val="fr-CA"/>
        </w:rPr>
      </w:pPr>
      <w:r w:rsidRPr="00C34731">
        <w:rPr>
          <w:b/>
          <w:lang w:val="fr-CA"/>
        </w:rPr>
        <w:t>Doctrine et autres documents cités</w:t>
      </w:r>
    </w:p>
    <w:p w:rsidR="00146B5D" w:rsidRPr="00C34731" w:rsidRDefault="00146B5D" w:rsidP="00531C9E">
      <w:pPr>
        <w:pStyle w:val="SCCNormalDoubleSpacing"/>
        <w:spacing w:after="240" w:line="240" w:lineRule="auto"/>
        <w:ind w:left="539" w:hanging="539"/>
      </w:pPr>
      <w:proofErr w:type="spellStart"/>
      <w:r w:rsidRPr="00B96788">
        <w:rPr>
          <w:lang w:val="fr-CA"/>
        </w:rPr>
        <w:t>Cassese</w:t>
      </w:r>
      <w:proofErr w:type="spellEnd"/>
      <w:r w:rsidRPr="00B96788">
        <w:rPr>
          <w:lang w:val="fr-CA"/>
        </w:rPr>
        <w:t xml:space="preserve">, Antonio.  </w:t>
      </w:r>
      <w:r w:rsidR="006504C4" w:rsidRPr="00C34731">
        <w:t>« </w:t>
      </w:r>
      <w:r w:rsidRPr="00C34731">
        <w:t>From Nuremberg to Rome</w:t>
      </w:r>
      <w:r w:rsidR="00706DB5" w:rsidRPr="00C34731">
        <w:t> :</w:t>
      </w:r>
      <w:r w:rsidRPr="00C34731">
        <w:t xml:space="preserve"> International Military Tribunals to the International Criminal Court</w:t>
      </w:r>
      <w:r w:rsidR="006504C4" w:rsidRPr="00C34731">
        <w:t> »</w:t>
      </w:r>
      <w:r w:rsidRPr="00C34731">
        <w:t>, in Antonio Cassese, Paola Gaeta and J</w:t>
      </w:r>
      <w:r w:rsidR="00C873D9" w:rsidRPr="00C34731">
        <w:t xml:space="preserve">ohn R. </w:t>
      </w:r>
      <w:r w:rsidR="00C873D9" w:rsidRPr="00C34731">
        <w:lastRenderedPageBreak/>
        <w:t>W. </w:t>
      </w:r>
      <w:r w:rsidRPr="00C34731">
        <w:t xml:space="preserve">D. Jones, eds., </w:t>
      </w:r>
      <w:r w:rsidRPr="00C34731">
        <w:rPr>
          <w:i/>
        </w:rPr>
        <w:t>The Rome Statute of the International Criminal Court</w:t>
      </w:r>
      <w:r w:rsidR="00706DB5" w:rsidRPr="00C34731">
        <w:rPr>
          <w:i/>
        </w:rPr>
        <w:t> :</w:t>
      </w:r>
      <w:r w:rsidRPr="00C34731">
        <w:rPr>
          <w:i/>
        </w:rPr>
        <w:t xml:space="preserve"> A Commentary</w:t>
      </w:r>
      <w:r w:rsidRPr="00C34731">
        <w:t xml:space="preserve">, </w:t>
      </w:r>
      <w:r w:rsidR="00706DB5" w:rsidRPr="00C34731">
        <w:t>vol. </w:t>
      </w:r>
      <w:r w:rsidRPr="00C34731">
        <w:t>I.  Oxford</w:t>
      </w:r>
      <w:r w:rsidR="00706DB5" w:rsidRPr="00C34731">
        <w:t> :</w:t>
      </w:r>
      <w:r w:rsidRPr="00C34731">
        <w:t xml:space="preserve"> Oxford University Press, 2002, 3.</w:t>
      </w:r>
    </w:p>
    <w:p w:rsidR="00146B5D" w:rsidRPr="00C34731" w:rsidRDefault="00146B5D" w:rsidP="00531C9E">
      <w:pPr>
        <w:pStyle w:val="SCCNormalDoubleSpacing"/>
        <w:spacing w:after="240" w:line="240" w:lineRule="auto"/>
        <w:ind w:left="539" w:hanging="539"/>
      </w:pPr>
      <w:r w:rsidRPr="00C34731">
        <w:t xml:space="preserve">Cassese, Antonio.  </w:t>
      </w:r>
      <w:r w:rsidR="006504C4" w:rsidRPr="00C34731">
        <w:t>« </w:t>
      </w:r>
      <w:r w:rsidRPr="00C34731">
        <w:t>The Proper Limits of Individual Responsibility under the Doctrine of Joint Criminal Enterprise</w:t>
      </w:r>
      <w:r w:rsidR="006504C4" w:rsidRPr="00C34731">
        <w:t> »</w:t>
      </w:r>
      <w:r w:rsidRPr="00C34731">
        <w:t xml:space="preserve"> (2007), 5 </w:t>
      </w:r>
      <w:r w:rsidRPr="00C34731">
        <w:rPr>
          <w:i/>
        </w:rPr>
        <w:t>J.I.C.J.</w:t>
      </w:r>
      <w:r w:rsidRPr="00C34731">
        <w:t xml:space="preserve"> 109.</w:t>
      </w:r>
    </w:p>
    <w:p w:rsidR="005B0069" w:rsidRPr="00C34731" w:rsidRDefault="005B0069" w:rsidP="00531C9E">
      <w:pPr>
        <w:pStyle w:val="SCCNormalDoubleSpacing"/>
        <w:spacing w:after="240" w:line="240" w:lineRule="auto"/>
        <w:ind w:left="539" w:hanging="539"/>
      </w:pPr>
      <w:r w:rsidRPr="00C34731">
        <w:rPr>
          <w:i/>
        </w:rPr>
        <w:t>Cassese</w:t>
      </w:r>
      <w:r w:rsidR="008E2843">
        <w:rPr>
          <w:i/>
        </w:rPr>
        <w:t>’</w:t>
      </w:r>
      <w:r w:rsidRPr="00C34731">
        <w:rPr>
          <w:i/>
        </w:rPr>
        <w:t>s International Criminal Law</w:t>
      </w:r>
      <w:r w:rsidRPr="00C34731">
        <w:t xml:space="preserve">, 3rd ed., revised by Antonio Cassese, et </w:t>
      </w:r>
      <w:r w:rsidR="00706DB5" w:rsidRPr="00C34731">
        <w:t>al. </w:t>
      </w:r>
      <w:r w:rsidRPr="00C34731">
        <w:t>Oxford</w:t>
      </w:r>
      <w:r w:rsidR="00706DB5" w:rsidRPr="00C34731">
        <w:t> :</w:t>
      </w:r>
      <w:r w:rsidRPr="00C34731">
        <w:t xml:space="preserve"> Oxford University Press, 2013.</w:t>
      </w:r>
    </w:p>
    <w:p w:rsidR="00146B5D" w:rsidRPr="00C34731" w:rsidRDefault="00146B5D" w:rsidP="00531C9E">
      <w:pPr>
        <w:pStyle w:val="SCCNormalDoubleSpacing"/>
        <w:spacing w:after="240" w:line="240" w:lineRule="auto"/>
        <w:ind w:left="539" w:hanging="539"/>
      </w:pPr>
      <w:r w:rsidRPr="00C34731">
        <w:t xml:space="preserve">Cryer, Robert, et </w:t>
      </w:r>
      <w:r w:rsidR="00706DB5" w:rsidRPr="00C34731">
        <w:t>al. </w:t>
      </w:r>
      <w:r w:rsidRPr="00C34731">
        <w:rPr>
          <w:i/>
        </w:rPr>
        <w:t>An Introduction to International Criminal Law and Procedure</w:t>
      </w:r>
      <w:r w:rsidRPr="00C34731">
        <w:t>, 2nd ed.  Cambridge</w:t>
      </w:r>
      <w:r w:rsidR="00706DB5" w:rsidRPr="00C34731">
        <w:t> :</w:t>
      </w:r>
      <w:r w:rsidRPr="00C34731">
        <w:t xml:space="preserve"> Cambridge University Press, 2010.</w:t>
      </w:r>
    </w:p>
    <w:p w:rsidR="00146B5D" w:rsidRPr="00C34731" w:rsidRDefault="00146B5D" w:rsidP="00531C9E">
      <w:pPr>
        <w:pStyle w:val="SCCNormalDoubleSpacing"/>
        <w:spacing w:after="240" w:line="240" w:lineRule="auto"/>
        <w:ind w:left="539" w:hanging="539"/>
      </w:pPr>
      <w:r w:rsidRPr="00C34731">
        <w:t xml:space="preserve">Goy, Barbara.  </w:t>
      </w:r>
      <w:r w:rsidR="006504C4" w:rsidRPr="00C34731">
        <w:t>« </w:t>
      </w:r>
      <w:r w:rsidRPr="00C34731">
        <w:t>Individual Criminal Responsibility before the International Criminal Court</w:t>
      </w:r>
      <w:r w:rsidR="00706DB5" w:rsidRPr="00C34731">
        <w:t> :</w:t>
      </w:r>
      <w:r w:rsidRPr="00C34731">
        <w:t xml:space="preserve"> A Comparison with the </w:t>
      </w:r>
      <w:r w:rsidRPr="00C34731">
        <w:rPr>
          <w:i/>
        </w:rPr>
        <w:t>Ad Hoc</w:t>
      </w:r>
      <w:r w:rsidRPr="00C34731">
        <w:t xml:space="preserve"> Tribunals</w:t>
      </w:r>
      <w:r w:rsidR="006504C4" w:rsidRPr="00C34731">
        <w:t> »</w:t>
      </w:r>
      <w:r w:rsidRPr="00C34731">
        <w:t xml:space="preserve"> (2012), 12 </w:t>
      </w:r>
      <w:r w:rsidRPr="00C34731">
        <w:rPr>
          <w:i/>
        </w:rPr>
        <w:t>Int</w:t>
      </w:r>
      <w:r w:rsidR="008E2843">
        <w:rPr>
          <w:i/>
        </w:rPr>
        <w:t>’</w:t>
      </w:r>
      <w:r w:rsidRPr="00C34731">
        <w:rPr>
          <w:i/>
        </w:rPr>
        <w:t>l. Crim. L. Rev.</w:t>
      </w:r>
      <w:r w:rsidRPr="00C34731">
        <w:t xml:space="preserve"> 1.</w:t>
      </w:r>
    </w:p>
    <w:p w:rsidR="00531D4F" w:rsidRPr="00C34731" w:rsidRDefault="00531D4F" w:rsidP="00531D4F">
      <w:pPr>
        <w:pStyle w:val="SCCNormalDoubleSpacing"/>
        <w:spacing w:after="240" w:line="240" w:lineRule="auto"/>
        <w:ind w:left="539" w:hanging="539"/>
        <w:rPr>
          <w:lang w:val="fr-CA"/>
        </w:rPr>
      </w:pPr>
      <w:r w:rsidRPr="00C34731">
        <w:rPr>
          <w:lang w:val="fr-CA"/>
        </w:rPr>
        <w:t>Haut Commissariat des Nations Unies pour les réfugiés.  « Principes directeurs sur la protection internationale</w:t>
      </w:r>
      <w:r w:rsidR="00706DB5" w:rsidRPr="00C34731">
        <w:rPr>
          <w:lang w:val="fr-CA"/>
        </w:rPr>
        <w:t> :</w:t>
      </w:r>
      <w:r w:rsidRPr="00C34731">
        <w:rPr>
          <w:lang w:val="fr-CA"/>
        </w:rPr>
        <w:t xml:space="preserve"> Application des clauses d</w:t>
      </w:r>
      <w:r w:rsidR="008E2843">
        <w:rPr>
          <w:lang w:val="fr-CA"/>
        </w:rPr>
        <w:t>’</w:t>
      </w:r>
      <w:r w:rsidRPr="00C34731">
        <w:rPr>
          <w:lang w:val="fr-CA"/>
        </w:rPr>
        <w:t>exclusion</w:t>
      </w:r>
      <w:r w:rsidR="00706DB5" w:rsidRPr="00C34731">
        <w:rPr>
          <w:lang w:val="fr-CA"/>
        </w:rPr>
        <w:t> :</w:t>
      </w:r>
      <w:r w:rsidRPr="00C34731">
        <w:rPr>
          <w:lang w:val="fr-CA"/>
        </w:rPr>
        <w:t xml:space="preserve"> article 1F de la Convention de 1951 relative au statut d</w:t>
      </w:r>
      <w:r w:rsidR="000B104B" w:rsidRPr="00C34731">
        <w:rPr>
          <w:lang w:val="fr-CA"/>
        </w:rPr>
        <w:t>es réfugiés », HCR/GIP/03/05, 4 </w:t>
      </w:r>
      <w:r w:rsidRPr="00C34731">
        <w:rPr>
          <w:lang w:val="fr-CA"/>
        </w:rPr>
        <w:t>septembre 2003 (en ligne</w:t>
      </w:r>
      <w:r w:rsidR="00706DB5" w:rsidRPr="00C34731">
        <w:rPr>
          <w:lang w:val="fr-CA"/>
        </w:rPr>
        <w:t> :</w:t>
      </w:r>
      <w:r w:rsidRPr="00C34731">
        <w:rPr>
          <w:lang w:val="fr-CA"/>
        </w:rPr>
        <w:t xml:space="preserve"> www.unhcr.fr).</w:t>
      </w:r>
    </w:p>
    <w:p w:rsidR="00146B5D" w:rsidRPr="00C34731" w:rsidRDefault="00146B5D" w:rsidP="00531C9E">
      <w:pPr>
        <w:pStyle w:val="SCCNormalDoubleSpacing"/>
        <w:spacing w:after="240" w:line="240" w:lineRule="auto"/>
        <w:ind w:left="539" w:hanging="539"/>
      </w:pPr>
      <w:r w:rsidRPr="00C34731">
        <w:t>Human Rights Wat</w:t>
      </w:r>
      <w:r w:rsidR="000B104B" w:rsidRPr="00C34731">
        <w:t xml:space="preserve">ch. </w:t>
      </w:r>
      <w:r w:rsidRPr="00C34731">
        <w:t xml:space="preserve"> </w:t>
      </w:r>
      <w:r w:rsidRPr="00C34731">
        <w:rPr>
          <w:i/>
        </w:rPr>
        <w:t>World Report 2006</w:t>
      </w:r>
      <w:r w:rsidR="00706DB5" w:rsidRPr="00C34731">
        <w:rPr>
          <w:i/>
        </w:rPr>
        <w:t> :</w:t>
      </w:r>
      <w:r w:rsidRPr="00C34731">
        <w:rPr>
          <w:i/>
        </w:rPr>
        <w:t xml:space="preserve"> Events of 2005</w:t>
      </w:r>
      <w:r w:rsidRPr="00C34731">
        <w:t>.  New York</w:t>
      </w:r>
      <w:r w:rsidR="00706DB5" w:rsidRPr="00C34731">
        <w:t> :</w:t>
      </w:r>
      <w:r w:rsidRPr="00C34731">
        <w:t xml:space="preserve"> Human Rights Watch, 2006.</w:t>
      </w:r>
    </w:p>
    <w:p w:rsidR="00146B5D" w:rsidRPr="00C34731" w:rsidRDefault="00146B5D" w:rsidP="00531C9E">
      <w:pPr>
        <w:pStyle w:val="SCCNormalDoubleSpacing"/>
        <w:spacing w:after="240" w:line="240" w:lineRule="auto"/>
        <w:ind w:left="539" w:hanging="539"/>
      </w:pPr>
      <w:r w:rsidRPr="00C34731">
        <w:t xml:space="preserve">Kaushal, Asha, and Catherine Dauvergne.  </w:t>
      </w:r>
      <w:r w:rsidR="006504C4" w:rsidRPr="00C34731">
        <w:t>« </w:t>
      </w:r>
      <w:r w:rsidRPr="00C34731">
        <w:t>The Growing Culture of Exclusion</w:t>
      </w:r>
      <w:r w:rsidR="00706DB5" w:rsidRPr="00C34731">
        <w:t> :</w:t>
      </w:r>
      <w:r w:rsidRPr="00C34731">
        <w:t xml:space="preserve"> Trends in Canadian Refugee Exclusions</w:t>
      </w:r>
      <w:r w:rsidR="006504C4" w:rsidRPr="00C34731">
        <w:t> »</w:t>
      </w:r>
      <w:r w:rsidRPr="00C34731">
        <w:t xml:space="preserve"> (2011), 23 </w:t>
      </w:r>
      <w:r w:rsidRPr="00C34731">
        <w:rPr>
          <w:i/>
        </w:rPr>
        <w:t>Int</w:t>
      </w:r>
      <w:r w:rsidR="008E2843">
        <w:rPr>
          <w:i/>
        </w:rPr>
        <w:t>’</w:t>
      </w:r>
      <w:r w:rsidRPr="00C34731">
        <w:rPr>
          <w:i/>
        </w:rPr>
        <w:t>l. J. Refugee L.</w:t>
      </w:r>
      <w:r w:rsidRPr="00C34731">
        <w:t xml:space="preserve"> 54.</w:t>
      </w:r>
    </w:p>
    <w:p w:rsidR="00146B5D" w:rsidRPr="00C34731" w:rsidRDefault="00146B5D" w:rsidP="00531C9E">
      <w:pPr>
        <w:pStyle w:val="SCCNormalDoubleSpacing"/>
        <w:spacing w:after="240" w:line="240" w:lineRule="auto"/>
        <w:ind w:left="539" w:hanging="539"/>
      </w:pPr>
      <w:r w:rsidRPr="00C34731">
        <w:t xml:space="preserve">Lafontaine, Fannie.  </w:t>
      </w:r>
      <w:r w:rsidRPr="00C34731">
        <w:rPr>
          <w:i/>
        </w:rPr>
        <w:t>Prosecuting Genocide, Crimes Against Humanity and War Crimes in Canadian Courts</w:t>
      </w:r>
      <w:r w:rsidRPr="00C34731">
        <w:t>.  Toronto</w:t>
      </w:r>
      <w:r w:rsidR="00706DB5" w:rsidRPr="00C34731">
        <w:t> :</w:t>
      </w:r>
      <w:r w:rsidRPr="00C34731">
        <w:t xml:space="preserve"> Carswell, 2012.</w:t>
      </w:r>
    </w:p>
    <w:p w:rsidR="00146B5D" w:rsidRPr="00C34731" w:rsidRDefault="00146B5D" w:rsidP="00531C9E">
      <w:pPr>
        <w:pStyle w:val="SCCNormalDoubleSpacing"/>
        <w:spacing w:after="240" w:line="240" w:lineRule="auto"/>
        <w:ind w:left="539" w:hanging="539"/>
      </w:pPr>
      <w:r w:rsidRPr="00C34731">
        <w:t xml:space="preserve">Manacorda, Stefano, and Chantal Meloni.  </w:t>
      </w:r>
      <w:r w:rsidR="006504C4" w:rsidRPr="00C34731">
        <w:t>« </w:t>
      </w:r>
      <w:r w:rsidRPr="00C34731">
        <w:t xml:space="preserve">Indirect Perpetration </w:t>
      </w:r>
      <w:r w:rsidRPr="00C34731">
        <w:rPr>
          <w:i/>
        </w:rPr>
        <w:t>versus</w:t>
      </w:r>
      <w:r w:rsidRPr="00C34731">
        <w:t xml:space="preserve"> Joint Criminal Enterprise</w:t>
      </w:r>
      <w:r w:rsidR="00706DB5" w:rsidRPr="00C34731">
        <w:t> :</w:t>
      </w:r>
      <w:r w:rsidRPr="00C34731">
        <w:t xml:space="preserve"> Concurring Approaches in the Practice of International Criminal Law?</w:t>
      </w:r>
      <w:r w:rsidR="006504C4" w:rsidRPr="00C34731">
        <w:t> »</w:t>
      </w:r>
      <w:r w:rsidRPr="00C34731">
        <w:t xml:space="preserve"> (2011), 9 </w:t>
      </w:r>
      <w:r w:rsidRPr="00C34731">
        <w:rPr>
          <w:i/>
        </w:rPr>
        <w:t>J.I.C.J.</w:t>
      </w:r>
      <w:r w:rsidRPr="00C34731">
        <w:t xml:space="preserve"> 159.</w:t>
      </w:r>
    </w:p>
    <w:p w:rsidR="00146B5D" w:rsidRPr="00C34731" w:rsidRDefault="00146B5D" w:rsidP="00531C9E">
      <w:pPr>
        <w:pStyle w:val="SCCNormalDoubleSpacing"/>
        <w:spacing w:after="240" w:line="240" w:lineRule="auto"/>
        <w:ind w:left="539" w:hanging="539"/>
      </w:pPr>
      <w:r w:rsidRPr="00C34731">
        <w:t xml:space="preserve">van Sliedregt, Elies.  </w:t>
      </w:r>
      <w:r w:rsidRPr="00C34731">
        <w:rPr>
          <w:i/>
        </w:rPr>
        <w:t>Individual Criminal Responsibility in International Law</w:t>
      </w:r>
      <w:r w:rsidRPr="00C34731">
        <w:t>.  Oxford</w:t>
      </w:r>
      <w:r w:rsidR="00706DB5" w:rsidRPr="00C34731">
        <w:t> :</w:t>
      </w:r>
      <w:r w:rsidRPr="00C34731">
        <w:t xml:space="preserve"> Oxford University Press, 2012.</w:t>
      </w:r>
    </w:p>
    <w:p w:rsidR="00146B5D" w:rsidRPr="00C34731" w:rsidRDefault="00146B5D" w:rsidP="00531C9E">
      <w:pPr>
        <w:pStyle w:val="SCCNormalDoubleSpacing"/>
        <w:spacing w:after="240" w:line="240" w:lineRule="auto"/>
        <w:ind w:left="539" w:hanging="539"/>
      </w:pPr>
      <w:r w:rsidRPr="00C34731">
        <w:t xml:space="preserve">Werle, Gerhard.  </w:t>
      </w:r>
      <w:r w:rsidR="006504C4" w:rsidRPr="00C34731">
        <w:t>« </w:t>
      </w:r>
      <w:r w:rsidRPr="00C34731">
        <w:t>Individual Criminal Responsibility in Article 25 ICC Statute</w:t>
      </w:r>
      <w:r w:rsidR="006504C4" w:rsidRPr="00C34731">
        <w:t> »</w:t>
      </w:r>
      <w:r w:rsidRPr="00C34731">
        <w:t xml:space="preserve"> (2007), 5 </w:t>
      </w:r>
      <w:r w:rsidRPr="00C34731">
        <w:rPr>
          <w:i/>
        </w:rPr>
        <w:t>J.I.C.J.</w:t>
      </w:r>
      <w:r w:rsidRPr="00C34731">
        <w:t xml:space="preserve"> 953.</w:t>
      </w:r>
    </w:p>
    <w:p w:rsidR="00146B5D" w:rsidRPr="00C34731" w:rsidRDefault="00146B5D" w:rsidP="002C3443">
      <w:pPr>
        <w:pStyle w:val="SCCNormalDoubleSpacing"/>
        <w:spacing w:after="720" w:line="240" w:lineRule="auto"/>
        <w:ind w:left="540" w:hanging="540"/>
      </w:pPr>
      <w:r w:rsidRPr="00C34731">
        <w:t xml:space="preserve">Zambelli, Pia.  </w:t>
      </w:r>
      <w:r w:rsidR="006504C4" w:rsidRPr="00C34731">
        <w:t>« </w:t>
      </w:r>
      <w:r w:rsidRPr="00C34731">
        <w:t xml:space="preserve">Problematic Trends in the Analysis </w:t>
      </w:r>
      <w:r w:rsidR="00A215CF" w:rsidRPr="00C34731">
        <w:t>of State Protection and Article </w:t>
      </w:r>
      <w:r w:rsidRPr="00C34731">
        <w:t>1F(a) Exclusion in Canadian Refugee Law</w:t>
      </w:r>
      <w:r w:rsidR="006504C4" w:rsidRPr="00C34731">
        <w:t> »</w:t>
      </w:r>
      <w:r w:rsidRPr="00C34731">
        <w:t xml:space="preserve"> (2011), 23 </w:t>
      </w:r>
      <w:r w:rsidRPr="00C34731">
        <w:rPr>
          <w:i/>
        </w:rPr>
        <w:t>Int</w:t>
      </w:r>
      <w:r w:rsidR="008E2843">
        <w:rPr>
          <w:i/>
        </w:rPr>
        <w:t>’</w:t>
      </w:r>
      <w:r w:rsidRPr="00C34731">
        <w:rPr>
          <w:i/>
        </w:rPr>
        <w:t>l. J. Refugee L.</w:t>
      </w:r>
      <w:r w:rsidRPr="00C34731">
        <w:t xml:space="preserve"> 252.</w:t>
      </w:r>
    </w:p>
    <w:p w:rsidR="004D7D95" w:rsidRPr="00C34731" w:rsidRDefault="00480F60" w:rsidP="002C3443">
      <w:pPr>
        <w:pStyle w:val="SCCNormalDoubleSpacing"/>
        <w:spacing w:after="480"/>
        <w:rPr>
          <w:lang w:val="fr-CA"/>
        </w:rPr>
      </w:pPr>
      <w:r w:rsidRPr="00C34731">
        <w:rPr>
          <w:lang w:val="en-US"/>
        </w:rPr>
        <w:lastRenderedPageBreak/>
        <w:tab/>
      </w:r>
      <w:r w:rsidR="004D7D95" w:rsidRPr="00C34731">
        <w:rPr>
          <w:lang w:val="fr-CA"/>
        </w:rPr>
        <w:t>POURVOI contre un arrêt de la Cour d</w:t>
      </w:r>
      <w:r w:rsidR="008E2843">
        <w:rPr>
          <w:lang w:val="fr-CA"/>
        </w:rPr>
        <w:t>’</w:t>
      </w:r>
      <w:r w:rsidR="004D7D95" w:rsidRPr="00C34731">
        <w:rPr>
          <w:lang w:val="fr-CA"/>
        </w:rPr>
        <w:t>appel fédérale</w:t>
      </w:r>
      <w:r w:rsidR="00F8436F" w:rsidRPr="00C34731">
        <w:rPr>
          <w:lang w:val="fr-CA"/>
        </w:rPr>
        <w:t xml:space="preserve"> (</w:t>
      </w:r>
      <w:r w:rsidRPr="00C34731">
        <w:rPr>
          <w:lang w:val="fr-CA"/>
        </w:rPr>
        <w:t xml:space="preserve">les juges </w:t>
      </w:r>
      <w:r w:rsidR="00F8436F" w:rsidRPr="00C34731">
        <w:rPr>
          <w:lang w:val="fr-CA"/>
        </w:rPr>
        <w:t>No</w:t>
      </w:r>
      <w:r w:rsidRPr="00C34731">
        <w:rPr>
          <w:lang w:val="fr-CA"/>
        </w:rPr>
        <w:t xml:space="preserve">ël, Nadon et Pelletier), 2011 </w:t>
      </w:r>
      <w:r w:rsidR="00F8436F" w:rsidRPr="00C34731">
        <w:rPr>
          <w:lang w:val="fr-CA"/>
        </w:rPr>
        <w:t>CA</w:t>
      </w:r>
      <w:r w:rsidRPr="00C34731">
        <w:rPr>
          <w:lang w:val="fr-CA"/>
        </w:rPr>
        <w:t>F</w:t>
      </w:r>
      <w:r w:rsidR="00F8436F" w:rsidRPr="00C34731">
        <w:rPr>
          <w:lang w:val="fr-CA"/>
        </w:rPr>
        <w:t xml:space="preserve"> 224, [2011] 3 R.</w:t>
      </w:r>
      <w:r w:rsidRPr="00C34731">
        <w:rPr>
          <w:lang w:val="fr-CA"/>
        </w:rPr>
        <w:t>C.F.</w:t>
      </w:r>
      <w:r w:rsidR="00F8436F" w:rsidRPr="00C34731">
        <w:rPr>
          <w:lang w:val="fr-CA"/>
        </w:rPr>
        <w:t xml:space="preserve"> 417, 420 N.R. 279, 335 D.L.R. (4th) 164, 1 Imm. L.R. (4th) 181, [2011] </w:t>
      </w:r>
      <w:r w:rsidRPr="00C34731">
        <w:rPr>
          <w:lang w:val="fr-CA"/>
        </w:rPr>
        <w:t>A.</w:t>
      </w:r>
      <w:r w:rsidR="00F8436F" w:rsidRPr="00C34731">
        <w:rPr>
          <w:lang w:val="fr-CA"/>
        </w:rPr>
        <w:t>C.</w:t>
      </w:r>
      <w:r w:rsidRPr="00C34731">
        <w:rPr>
          <w:lang w:val="fr-CA"/>
        </w:rPr>
        <w:t>F</w:t>
      </w:r>
      <w:r w:rsidR="00F8436F" w:rsidRPr="00C34731">
        <w:rPr>
          <w:lang w:val="fr-CA"/>
        </w:rPr>
        <w:t xml:space="preserve">. </w:t>
      </w:r>
      <w:r w:rsidRPr="00C34731">
        <w:rPr>
          <w:lang w:val="fr-CA"/>
        </w:rPr>
        <w:t>n</w:t>
      </w:r>
      <w:r w:rsidRPr="00C34731">
        <w:rPr>
          <w:vertAlign w:val="superscript"/>
          <w:lang w:val="fr-CA"/>
        </w:rPr>
        <w:t>o</w:t>
      </w:r>
      <w:r w:rsidR="00A215CF" w:rsidRPr="00C34731">
        <w:rPr>
          <w:lang w:val="fr-CA"/>
        </w:rPr>
        <w:t> </w:t>
      </w:r>
      <w:r w:rsidR="00F8436F" w:rsidRPr="00C34731">
        <w:rPr>
          <w:lang w:val="fr-CA"/>
        </w:rPr>
        <w:t xml:space="preserve">1052 (QL), 2011 CarswellNat </w:t>
      </w:r>
      <w:r w:rsidRPr="00C34731">
        <w:rPr>
          <w:lang w:val="fr-CA"/>
        </w:rPr>
        <w:t>6333</w:t>
      </w:r>
      <w:r w:rsidR="00F8436F" w:rsidRPr="00C34731">
        <w:rPr>
          <w:lang w:val="fr-CA"/>
        </w:rPr>
        <w:t xml:space="preserve">, </w:t>
      </w:r>
      <w:r w:rsidR="004E1387" w:rsidRPr="00C34731">
        <w:rPr>
          <w:lang w:val="fr-CA"/>
        </w:rPr>
        <w:t>qui a infirmé en partie</w:t>
      </w:r>
      <w:r w:rsidRPr="00C34731">
        <w:rPr>
          <w:lang w:val="fr-CA"/>
        </w:rPr>
        <w:t xml:space="preserve"> une décision du juge Mainville, 2010 </w:t>
      </w:r>
      <w:r w:rsidR="00F8436F" w:rsidRPr="00C34731">
        <w:rPr>
          <w:lang w:val="fr-CA"/>
        </w:rPr>
        <w:t>C</w:t>
      </w:r>
      <w:r w:rsidRPr="00C34731">
        <w:rPr>
          <w:lang w:val="fr-CA"/>
        </w:rPr>
        <w:t>F</w:t>
      </w:r>
      <w:r w:rsidR="00F8436F" w:rsidRPr="00C34731">
        <w:rPr>
          <w:lang w:val="fr-CA"/>
        </w:rPr>
        <w:t xml:space="preserve"> 662, [2011] 3 R.</w:t>
      </w:r>
      <w:r w:rsidRPr="00C34731">
        <w:rPr>
          <w:lang w:val="fr-CA"/>
        </w:rPr>
        <w:t>C.F.</w:t>
      </w:r>
      <w:r w:rsidR="00F8436F" w:rsidRPr="00C34731">
        <w:rPr>
          <w:lang w:val="fr-CA"/>
        </w:rPr>
        <w:t xml:space="preserve"> 377, 373 F.T.R. 97, [2010] </w:t>
      </w:r>
      <w:r w:rsidRPr="00C34731">
        <w:rPr>
          <w:lang w:val="fr-CA"/>
        </w:rPr>
        <w:t>A.C.F. n</w:t>
      </w:r>
      <w:r w:rsidRPr="00C34731">
        <w:rPr>
          <w:vertAlign w:val="superscript"/>
          <w:lang w:val="fr-CA"/>
        </w:rPr>
        <w:t>o</w:t>
      </w:r>
      <w:r w:rsidR="00A215CF" w:rsidRPr="00C34731">
        <w:rPr>
          <w:lang w:val="fr-CA"/>
        </w:rPr>
        <w:t> </w:t>
      </w:r>
      <w:r w:rsidR="00F8436F" w:rsidRPr="00C34731">
        <w:rPr>
          <w:lang w:val="fr-CA"/>
        </w:rPr>
        <w:t xml:space="preserve">766 (QL), 2010 CarswellNat 1860, </w:t>
      </w:r>
      <w:r w:rsidR="004E1387" w:rsidRPr="00C34731">
        <w:rPr>
          <w:lang w:val="fr-CA"/>
        </w:rPr>
        <w:t>qui a</w:t>
      </w:r>
      <w:r w:rsidR="00DF0B01" w:rsidRPr="00C34731">
        <w:rPr>
          <w:lang w:val="fr-CA"/>
        </w:rPr>
        <w:t>vait</w:t>
      </w:r>
      <w:r w:rsidR="004E1387" w:rsidRPr="00C34731">
        <w:rPr>
          <w:lang w:val="fr-CA"/>
        </w:rPr>
        <w:t xml:space="preserve"> infirmé une décision de la Commission de l</w:t>
      </w:r>
      <w:r w:rsidR="008E2843">
        <w:rPr>
          <w:lang w:val="fr-CA"/>
        </w:rPr>
        <w:t>’</w:t>
      </w:r>
      <w:r w:rsidR="004E1387" w:rsidRPr="00C34731">
        <w:rPr>
          <w:lang w:val="fr-CA"/>
        </w:rPr>
        <w:t>immigration et du statut de réfugié</w:t>
      </w:r>
      <w:r w:rsidR="00115645" w:rsidRPr="00C34731">
        <w:rPr>
          <w:lang w:val="fr-CA"/>
        </w:rPr>
        <w:t xml:space="preserve"> </w:t>
      </w:r>
      <w:r w:rsidR="008B7CBA" w:rsidRPr="00C34731">
        <w:rPr>
          <w:lang w:val="fr-CA"/>
        </w:rPr>
        <w:t>(</w:t>
      </w:r>
      <w:r w:rsidR="00115645" w:rsidRPr="00C34731">
        <w:rPr>
          <w:lang w:val="fr-CA"/>
        </w:rPr>
        <w:t>Section de la protection des réfugiés</w:t>
      </w:r>
      <w:r w:rsidR="008B7CBA" w:rsidRPr="00C34731">
        <w:rPr>
          <w:lang w:val="fr-CA"/>
        </w:rPr>
        <w:t>)</w:t>
      </w:r>
      <w:r w:rsidR="00E031D4" w:rsidRPr="00C34731">
        <w:rPr>
          <w:lang w:val="fr-CA"/>
        </w:rPr>
        <w:t xml:space="preserve">, </w:t>
      </w:r>
      <w:r w:rsidR="000E5B97" w:rsidRPr="00C34731">
        <w:rPr>
          <w:lang w:val="fr-CA"/>
        </w:rPr>
        <w:t>2009 CanLII 89027</w:t>
      </w:r>
      <w:r w:rsidR="00F8436F" w:rsidRPr="00C34731">
        <w:rPr>
          <w:lang w:val="fr-CA"/>
        </w:rPr>
        <w:t xml:space="preserve">.  </w:t>
      </w:r>
      <w:r w:rsidRPr="00C34731">
        <w:rPr>
          <w:lang w:val="fr-CA"/>
        </w:rPr>
        <w:t>Pourvoi</w:t>
      </w:r>
      <w:r w:rsidR="00F8436F" w:rsidRPr="00C34731">
        <w:rPr>
          <w:lang w:val="fr-CA"/>
        </w:rPr>
        <w:t xml:space="preserve"> </w:t>
      </w:r>
      <w:r w:rsidR="00830522" w:rsidRPr="00C34731">
        <w:rPr>
          <w:lang w:val="fr-CA"/>
        </w:rPr>
        <w:t>accueilli</w:t>
      </w:r>
      <w:r w:rsidR="00F8436F" w:rsidRPr="00C34731">
        <w:rPr>
          <w:lang w:val="fr-CA"/>
        </w:rPr>
        <w:t>.</w:t>
      </w:r>
    </w:p>
    <w:p w:rsidR="004802D0" w:rsidRPr="00C34731" w:rsidRDefault="00652103" w:rsidP="002C3443">
      <w:pPr>
        <w:pStyle w:val="SCCNormalDoubleSpacing"/>
        <w:spacing w:after="480"/>
        <w:rPr>
          <w:lang w:val="fr-CA"/>
        </w:rPr>
      </w:pPr>
      <w:r w:rsidRPr="00C34731">
        <w:rPr>
          <w:i/>
          <w:lang w:val="fr-CA"/>
        </w:rPr>
        <w:tab/>
      </w:r>
      <w:r w:rsidR="00ED1C7E" w:rsidRPr="00C34731">
        <w:rPr>
          <w:i/>
          <w:lang w:val="fr-CA"/>
        </w:rPr>
        <w:t>Jared Will</w:t>
      </w:r>
      <w:r w:rsidR="00ED1C7E" w:rsidRPr="00C34731">
        <w:rPr>
          <w:lang w:val="fr-CA"/>
        </w:rPr>
        <w:t xml:space="preserve">, </w:t>
      </w:r>
      <w:r w:rsidR="00ED1C7E" w:rsidRPr="00C34731">
        <w:rPr>
          <w:i/>
          <w:lang w:val="fr-CA"/>
        </w:rPr>
        <w:t>Annick Legault</w:t>
      </w:r>
      <w:r w:rsidR="00ED1C7E" w:rsidRPr="001A410C">
        <w:rPr>
          <w:lang w:val="fr-CA"/>
        </w:rPr>
        <w:t xml:space="preserve"> et</w:t>
      </w:r>
      <w:r w:rsidR="00ED1C7E" w:rsidRPr="00C34731">
        <w:rPr>
          <w:lang w:val="fr-CA"/>
        </w:rPr>
        <w:t xml:space="preserve"> </w:t>
      </w:r>
      <w:r w:rsidR="00ED1C7E" w:rsidRPr="00C34731">
        <w:rPr>
          <w:i/>
          <w:lang w:val="fr-CA"/>
        </w:rPr>
        <w:t>Peter Shams</w:t>
      </w:r>
      <w:r w:rsidRPr="00C34731">
        <w:rPr>
          <w:lang w:val="fr-CA"/>
        </w:rPr>
        <w:t>, pour l</w:t>
      </w:r>
      <w:r w:rsidR="008E2843">
        <w:rPr>
          <w:lang w:val="fr-CA"/>
        </w:rPr>
        <w:t>’</w:t>
      </w:r>
      <w:r w:rsidRPr="00C34731">
        <w:rPr>
          <w:lang w:val="fr-CA"/>
        </w:rPr>
        <w:t>appelant.</w:t>
      </w:r>
    </w:p>
    <w:p w:rsidR="004802D0" w:rsidRPr="00C34731" w:rsidRDefault="00652103" w:rsidP="002C3443">
      <w:pPr>
        <w:pStyle w:val="SCCNormalDoubleSpacing"/>
        <w:spacing w:after="480"/>
        <w:rPr>
          <w:lang w:val="fr-CA"/>
        </w:rPr>
      </w:pPr>
      <w:r w:rsidRPr="00C34731">
        <w:rPr>
          <w:i/>
          <w:lang w:val="fr-CA"/>
        </w:rPr>
        <w:tab/>
        <w:t>François Joyal</w:t>
      </w:r>
      <w:r w:rsidRPr="00C34731">
        <w:rPr>
          <w:lang w:val="fr-CA"/>
        </w:rPr>
        <w:t xml:space="preserve"> et </w:t>
      </w:r>
      <w:r w:rsidRPr="00C34731">
        <w:rPr>
          <w:i/>
          <w:lang w:val="fr-CA"/>
        </w:rPr>
        <w:t>Ginette Gobeil</w:t>
      </w:r>
      <w:r w:rsidRPr="00C34731">
        <w:rPr>
          <w:lang w:val="fr-CA"/>
        </w:rPr>
        <w:t>, pour l</w:t>
      </w:r>
      <w:r w:rsidR="008E2843">
        <w:rPr>
          <w:lang w:val="fr-CA"/>
        </w:rPr>
        <w:t>’</w:t>
      </w:r>
      <w:r w:rsidRPr="00C34731">
        <w:rPr>
          <w:lang w:val="fr-CA"/>
        </w:rPr>
        <w:t>intimé.</w:t>
      </w:r>
    </w:p>
    <w:p w:rsidR="004802D0" w:rsidRPr="00C34731" w:rsidRDefault="00652103" w:rsidP="002C3443">
      <w:pPr>
        <w:pStyle w:val="SCCNormalDoubleSpacing"/>
        <w:spacing w:after="480"/>
        <w:rPr>
          <w:lang w:val="fr-CA"/>
        </w:rPr>
      </w:pPr>
      <w:r w:rsidRPr="00C34731">
        <w:rPr>
          <w:i/>
          <w:lang w:val="fr-CA"/>
        </w:rPr>
        <w:tab/>
        <w:t>Lorne Waldman</w:t>
      </w:r>
      <w:r w:rsidRPr="00C34731">
        <w:rPr>
          <w:lang w:val="fr-CA"/>
        </w:rPr>
        <w:t xml:space="preserve">, </w:t>
      </w:r>
      <w:r w:rsidR="00ED1C7E" w:rsidRPr="00C34731">
        <w:rPr>
          <w:i/>
          <w:lang w:val="fr-CA"/>
        </w:rPr>
        <w:t>Jacqueline Swaisland</w:t>
      </w:r>
      <w:r w:rsidR="00ED1C7E" w:rsidRPr="00C34731">
        <w:rPr>
          <w:lang w:val="fr-CA"/>
        </w:rPr>
        <w:t xml:space="preserve">, </w:t>
      </w:r>
      <w:r w:rsidR="00ED1C7E" w:rsidRPr="00C34731">
        <w:rPr>
          <w:i/>
          <w:lang w:val="fr-CA"/>
        </w:rPr>
        <w:t>Kylie Buday</w:t>
      </w:r>
      <w:r w:rsidR="00ED1C7E" w:rsidRPr="00C34731">
        <w:rPr>
          <w:lang w:val="fr-CA"/>
        </w:rPr>
        <w:t xml:space="preserve"> et </w:t>
      </w:r>
      <w:r w:rsidR="00ED1C7E" w:rsidRPr="00C34731">
        <w:rPr>
          <w:i/>
          <w:lang w:val="fr-CA"/>
        </w:rPr>
        <w:t>Rana Khan</w:t>
      </w:r>
      <w:r w:rsidRPr="00C34731">
        <w:rPr>
          <w:lang w:val="fr-CA"/>
        </w:rPr>
        <w:t>, pour l</w:t>
      </w:r>
      <w:r w:rsidR="008E2843">
        <w:rPr>
          <w:lang w:val="fr-CA"/>
        </w:rPr>
        <w:t>’</w:t>
      </w:r>
      <w:r w:rsidRPr="00C34731">
        <w:rPr>
          <w:lang w:val="fr-CA"/>
        </w:rPr>
        <w:t xml:space="preserve">intervenant </w:t>
      </w:r>
      <w:r w:rsidR="00ED1C7E" w:rsidRPr="00C34731">
        <w:rPr>
          <w:lang w:val="fr-CA"/>
        </w:rPr>
        <w:t xml:space="preserve">le </w:t>
      </w:r>
      <w:r w:rsidRPr="00C34731">
        <w:rPr>
          <w:lang w:val="fr-CA"/>
        </w:rPr>
        <w:t>Haut Commissariat des Nations Unies pour les réfugiés.</w:t>
      </w:r>
    </w:p>
    <w:p w:rsidR="004802D0" w:rsidRPr="00C34731" w:rsidRDefault="00652103" w:rsidP="002C3443">
      <w:pPr>
        <w:pStyle w:val="SCCNormalDoubleSpacing"/>
        <w:spacing w:after="480"/>
        <w:rPr>
          <w:lang w:val="fr-CA"/>
        </w:rPr>
      </w:pPr>
      <w:r w:rsidRPr="00C34731">
        <w:rPr>
          <w:i/>
          <w:lang w:val="fr-CA"/>
        </w:rPr>
        <w:tab/>
        <w:t>Michael Bossin</w:t>
      </w:r>
      <w:r w:rsidRPr="00C34731">
        <w:rPr>
          <w:lang w:val="fr-CA"/>
        </w:rPr>
        <w:t xml:space="preserve">, </w:t>
      </w:r>
      <w:r w:rsidR="00ED1C7E" w:rsidRPr="00C34731">
        <w:rPr>
          <w:i/>
          <w:lang w:val="fr-CA"/>
        </w:rPr>
        <w:t xml:space="preserve">Chantal Tie </w:t>
      </w:r>
      <w:r w:rsidR="00ED1C7E" w:rsidRPr="00C34731">
        <w:rPr>
          <w:lang w:val="fr-CA"/>
        </w:rPr>
        <w:t>et</w:t>
      </w:r>
      <w:r w:rsidR="00ED1C7E" w:rsidRPr="00C34731">
        <w:rPr>
          <w:i/>
          <w:lang w:val="fr-CA"/>
        </w:rPr>
        <w:t xml:space="preserve"> Laïla Demirdache</w:t>
      </w:r>
      <w:r w:rsidRPr="00C34731">
        <w:rPr>
          <w:lang w:val="fr-CA"/>
        </w:rPr>
        <w:t>, pour l</w:t>
      </w:r>
      <w:r w:rsidR="008E2843">
        <w:rPr>
          <w:lang w:val="fr-CA"/>
        </w:rPr>
        <w:t>’</w:t>
      </w:r>
      <w:r w:rsidRPr="00C34731">
        <w:rPr>
          <w:lang w:val="fr-CA"/>
        </w:rPr>
        <w:t>intervenante Amnistie Internationale.</w:t>
      </w:r>
    </w:p>
    <w:p w:rsidR="004802D0" w:rsidRPr="00C34731" w:rsidRDefault="00652103" w:rsidP="002C3443">
      <w:pPr>
        <w:pStyle w:val="SCCNormalDoubleSpacing"/>
        <w:spacing w:after="480"/>
        <w:rPr>
          <w:lang w:val="fr-CA"/>
        </w:rPr>
      </w:pPr>
      <w:r w:rsidRPr="00C34731">
        <w:rPr>
          <w:i/>
          <w:lang w:val="fr-CA"/>
        </w:rPr>
        <w:tab/>
        <w:t>John Terry</w:t>
      </w:r>
      <w:r w:rsidRPr="00C34731">
        <w:rPr>
          <w:lang w:val="fr-CA"/>
        </w:rPr>
        <w:t xml:space="preserve">, </w:t>
      </w:r>
      <w:r w:rsidR="00532B0B" w:rsidRPr="00C34731">
        <w:rPr>
          <w:i/>
          <w:lang w:val="fr-CA"/>
        </w:rPr>
        <w:t>Sarah </w:t>
      </w:r>
      <w:r w:rsidRPr="00C34731">
        <w:rPr>
          <w:i/>
          <w:lang w:val="fr-CA"/>
        </w:rPr>
        <w:t>R. Shody</w:t>
      </w:r>
      <w:r w:rsidRPr="00C34731">
        <w:rPr>
          <w:lang w:val="fr-CA"/>
        </w:rPr>
        <w:t xml:space="preserve"> et </w:t>
      </w:r>
      <w:r w:rsidRPr="00C34731">
        <w:rPr>
          <w:i/>
          <w:lang w:val="fr-CA"/>
        </w:rPr>
        <w:t>Renu Mandhane</w:t>
      </w:r>
      <w:r w:rsidRPr="00C34731">
        <w:rPr>
          <w:lang w:val="fr-CA"/>
        </w:rPr>
        <w:t>, pour l</w:t>
      </w:r>
      <w:r w:rsidR="00ED1C7E" w:rsidRPr="00C34731">
        <w:rPr>
          <w:lang w:val="fr-CA"/>
        </w:rPr>
        <w:t xml:space="preserve">es </w:t>
      </w:r>
      <w:r w:rsidRPr="00C34731">
        <w:rPr>
          <w:lang w:val="fr-CA"/>
        </w:rPr>
        <w:t>intervenant</w:t>
      </w:r>
      <w:r w:rsidR="00ED1C7E" w:rsidRPr="00C34731">
        <w:rPr>
          <w:lang w:val="fr-CA"/>
        </w:rPr>
        <w:t>s</w:t>
      </w:r>
      <w:r w:rsidRPr="00C34731">
        <w:rPr>
          <w:lang w:val="fr-CA"/>
        </w:rPr>
        <w:t xml:space="preserve"> </w:t>
      </w:r>
      <w:r w:rsidR="00ED1C7E" w:rsidRPr="00C34731">
        <w:rPr>
          <w:lang w:val="fr-CA"/>
        </w:rPr>
        <w:t xml:space="preserve">le </w:t>
      </w:r>
      <w:r w:rsidRPr="00C34731">
        <w:rPr>
          <w:lang w:val="fr-CA"/>
        </w:rPr>
        <w:t>Centre canadien pour la justice internationale et International Human Rights Program at the University of Toronto Faculty of Law.</w:t>
      </w:r>
    </w:p>
    <w:p w:rsidR="004802D0" w:rsidRPr="00C34731" w:rsidRDefault="00652103" w:rsidP="002C3443">
      <w:pPr>
        <w:pStyle w:val="SCCNormalDoubleSpacing"/>
        <w:spacing w:after="480"/>
        <w:rPr>
          <w:lang w:val="fr-CA"/>
        </w:rPr>
      </w:pPr>
      <w:r w:rsidRPr="00C34731">
        <w:rPr>
          <w:i/>
          <w:lang w:val="fr-CA"/>
        </w:rPr>
        <w:tab/>
        <w:t>Catherine Dauvergne</w:t>
      </w:r>
      <w:r w:rsidRPr="00C34731">
        <w:rPr>
          <w:lang w:val="fr-CA"/>
        </w:rPr>
        <w:t xml:space="preserve">, </w:t>
      </w:r>
      <w:r w:rsidRPr="00C34731">
        <w:rPr>
          <w:i/>
          <w:lang w:val="fr-CA"/>
        </w:rPr>
        <w:t>Angus Grant</w:t>
      </w:r>
      <w:r w:rsidRPr="00C34731">
        <w:rPr>
          <w:lang w:val="fr-CA"/>
        </w:rPr>
        <w:t xml:space="preserve"> et </w:t>
      </w:r>
      <w:r w:rsidRPr="00C34731">
        <w:rPr>
          <w:i/>
          <w:lang w:val="fr-CA"/>
        </w:rPr>
        <w:t>Pia Zambelli</w:t>
      </w:r>
      <w:r w:rsidRPr="00C34731">
        <w:rPr>
          <w:lang w:val="fr-CA"/>
        </w:rPr>
        <w:t>, pour l</w:t>
      </w:r>
      <w:r w:rsidR="008E2843">
        <w:rPr>
          <w:lang w:val="fr-CA"/>
        </w:rPr>
        <w:t>’</w:t>
      </w:r>
      <w:r w:rsidRPr="00C34731">
        <w:rPr>
          <w:lang w:val="fr-CA"/>
        </w:rPr>
        <w:t>intervenant</w:t>
      </w:r>
      <w:r w:rsidR="00ED1C7E" w:rsidRPr="00C34731">
        <w:rPr>
          <w:lang w:val="fr-CA"/>
        </w:rPr>
        <w:t xml:space="preserve"> le</w:t>
      </w:r>
      <w:r w:rsidRPr="00C34731">
        <w:rPr>
          <w:lang w:val="fr-CA"/>
        </w:rPr>
        <w:t xml:space="preserve"> Conseil canadien pour les réfugiés.</w:t>
      </w:r>
    </w:p>
    <w:p w:rsidR="004802D0" w:rsidRPr="00C34731" w:rsidRDefault="00652103" w:rsidP="002C3443">
      <w:pPr>
        <w:pStyle w:val="SCCNormalDoubleSpacing"/>
        <w:spacing w:after="480"/>
        <w:rPr>
          <w:lang w:val="fr-CA"/>
        </w:rPr>
      </w:pPr>
      <w:r w:rsidRPr="00C34731">
        <w:rPr>
          <w:i/>
          <w:lang w:val="fr-CA"/>
        </w:rPr>
        <w:lastRenderedPageBreak/>
        <w:tab/>
        <w:t>Sukanya Pillay</w:t>
      </w:r>
      <w:r w:rsidRPr="00C34731">
        <w:rPr>
          <w:lang w:val="fr-CA"/>
        </w:rPr>
        <w:t>, pour l</w:t>
      </w:r>
      <w:r w:rsidR="008E2843">
        <w:rPr>
          <w:lang w:val="fr-CA"/>
        </w:rPr>
        <w:t>’</w:t>
      </w:r>
      <w:r w:rsidRPr="00C34731">
        <w:rPr>
          <w:lang w:val="fr-CA"/>
        </w:rPr>
        <w:t xml:space="preserve">intervenante </w:t>
      </w:r>
      <w:r w:rsidR="00ED1C7E" w:rsidRPr="00C34731">
        <w:rPr>
          <w:lang w:val="fr-CA"/>
        </w:rPr>
        <w:t>l</w:t>
      </w:r>
      <w:r w:rsidR="008E2843">
        <w:rPr>
          <w:lang w:val="fr-CA"/>
        </w:rPr>
        <w:t>’</w:t>
      </w:r>
      <w:r w:rsidRPr="00C34731">
        <w:rPr>
          <w:lang w:val="fr-CA"/>
        </w:rPr>
        <w:t>Association canadienne des libertés civiles.</w:t>
      </w:r>
    </w:p>
    <w:p w:rsidR="004802D0" w:rsidRDefault="00652103" w:rsidP="002C3443">
      <w:pPr>
        <w:pStyle w:val="SCCNormalDoubleSpacing"/>
        <w:spacing w:after="480"/>
        <w:rPr>
          <w:lang w:val="fr-CA"/>
        </w:rPr>
      </w:pPr>
      <w:r w:rsidRPr="00C34731">
        <w:rPr>
          <w:i/>
          <w:lang w:val="fr-CA"/>
        </w:rPr>
        <w:tab/>
        <w:t>Jennifer Bond</w:t>
      </w:r>
      <w:r w:rsidRPr="00C34731">
        <w:rPr>
          <w:lang w:val="fr-CA"/>
        </w:rPr>
        <w:t xml:space="preserve">, </w:t>
      </w:r>
      <w:r w:rsidR="00ED1C7E" w:rsidRPr="00C34731">
        <w:rPr>
          <w:i/>
          <w:lang w:val="fr-CA"/>
        </w:rPr>
        <w:t>Carole Simone Dahan</w:t>
      </w:r>
      <w:r w:rsidR="00ED1C7E" w:rsidRPr="00C34731">
        <w:rPr>
          <w:lang w:val="fr-CA"/>
        </w:rPr>
        <w:t xml:space="preserve">, </w:t>
      </w:r>
      <w:r w:rsidR="00ED1C7E" w:rsidRPr="00C34731">
        <w:rPr>
          <w:i/>
          <w:lang w:val="fr-CA"/>
        </w:rPr>
        <w:t xml:space="preserve">Aviva Basman </w:t>
      </w:r>
      <w:r w:rsidR="00ED1C7E" w:rsidRPr="00C34731">
        <w:rPr>
          <w:lang w:val="fr-CA"/>
        </w:rPr>
        <w:t>et</w:t>
      </w:r>
      <w:r w:rsidR="00ED1C7E" w:rsidRPr="00C34731">
        <w:rPr>
          <w:i/>
          <w:lang w:val="fr-CA"/>
        </w:rPr>
        <w:t xml:space="preserve"> Andrew Brouwer</w:t>
      </w:r>
      <w:r w:rsidRPr="00C34731">
        <w:rPr>
          <w:lang w:val="fr-CA"/>
        </w:rPr>
        <w:t>, pour l</w:t>
      </w:r>
      <w:r w:rsidR="008E2843">
        <w:rPr>
          <w:lang w:val="fr-CA"/>
        </w:rPr>
        <w:t>’</w:t>
      </w:r>
      <w:r w:rsidRPr="00C34731">
        <w:rPr>
          <w:lang w:val="fr-CA"/>
        </w:rPr>
        <w:t xml:space="preserve">intervenante </w:t>
      </w:r>
      <w:r w:rsidR="00ED1C7E" w:rsidRPr="00C34731">
        <w:rPr>
          <w:lang w:val="fr-CA"/>
        </w:rPr>
        <w:t>l</w:t>
      </w:r>
      <w:r w:rsidR="008E2843">
        <w:rPr>
          <w:lang w:val="fr-CA"/>
        </w:rPr>
        <w:t>’</w:t>
      </w:r>
      <w:r w:rsidR="00ED1C7E" w:rsidRPr="00C34731">
        <w:rPr>
          <w:lang w:val="fr-CA"/>
        </w:rPr>
        <w:t>Association canadienne des avocats et avocates en droit des réfugiés</w:t>
      </w:r>
      <w:r w:rsidRPr="00C34731">
        <w:rPr>
          <w:lang w:val="fr-CA"/>
        </w:rPr>
        <w:t>.</w:t>
      </w:r>
    </w:p>
    <w:p w:rsidR="00454BD3" w:rsidRPr="00C34731" w:rsidRDefault="001A410C" w:rsidP="002C3443">
      <w:pPr>
        <w:pStyle w:val="SCCNormalDoubleSpacing"/>
        <w:spacing w:after="480"/>
        <w:rPr>
          <w:lang w:val="fr-CA"/>
        </w:rPr>
      </w:pPr>
      <w:r>
        <w:rPr>
          <w:lang w:val="fr-CA"/>
        </w:rPr>
        <w:tab/>
        <w:t>Version française du jugement de la Cour rendu par</w:t>
      </w:r>
    </w:p>
    <w:p w:rsidR="00454BD3" w:rsidRPr="00FE4BFA" w:rsidRDefault="00454BD3" w:rsidP="00454BD3">
      <w:pPr>
        <w:pStyle w:val="JudgeJuge"/>
        <w:spacing w:before="480"/>
        <w:rPr>
          <w:lang w:val="fr-CA"/>
        </w:rPr>
      </w:pPr>
      <w:r w:rsidRPr="00FE4BFA">
        <w:rPr>
          <w:lang w:val="fr-CA"/>
        </w:rPr>
        <w:tab/>
        <w:t xml:space="preserve">Les juges LeBel et Fish — </w:t>
      </w:r>
    </w:p>
    <w:p w:rsidR="00454BD3" w:rsidRPr="00FE4BFA" w:rsidRDefault="00454BD3" w:rsidP="00454BD3">
      <w:pPr>
        <w:pStyle w:val="TitleTitre-AltT"/>
        <w:rPr>
          <w:rFonts w:cs="Times New Roman"/>
          <w:lang w:val="fr-CA"/>
        </w:rPr>
      </w:pPr>
      <w:r w:rsidRPr="00FE4BFA">
        <w:rPr>
          <w:rFonts w:cs="Times New Roman"/>
          <w:lang w:val="fr-CA"/>
        </w:rPr>
        <w:t>I.</w:t>
      </w:r>
      <w:r w:rsidRPr="00FE4BFA">
        <w:rPr>
          <w:rFonts w:cs="Times New Roman"/>
          <w:lang w:val="fr-CA"/>
        </w:rPr>
        <w:tab/>
      </w:r>
      <w:r w:rsidRPr="00FE4BFA">
        <w:rPr>
          <w:rFonts w:cs="Times New Roman"/>
          <w:u w:val="single"/>
          <w:lang w:val="fr-CA"/>
        </w:rPr>
        <w:t>Introduction</w:t>
      </w:r>
    </w:p>
    <w:p w:rsidR="00454BD3" w:rsidRPr="00FE4BFA" w:rsidRDefault="00454BD3" w:rsidP="00454BD3">
      <w:pPr>
        <w:pStyle w:val="ParaNoNdepar-AltN"/>
        <w:rPr>
          <w:rFonts w:cs="Times New Roman"/>
          <w:lang w:val="fr-CA"/>
        </w:rPr>
      </w:pPr>
      <w:r w:rsidRPr="00FE4BFA">
        <w:rPr>
          <w:rFonts w:cs="Times New Roman"/>
          <w:lang w:val="fr-CA"/>
        </w:rPr>
        <w:t xml:space="preserve">La responsabilité pénale ne résulte pas seulement de la perpétration directe d’un crime.  Par exemple, non seulement la personne qui appuie sur la détente mais aussi celle qui fournit l’arme peuvent être déclarées coupables de meurtre.  Dans le contexte international, où certains des crimes les plus graves sont souvent commis à distance par une multitude d’acteurs, la complicité constitue une caractéristique fondamentale des crimes perpétrés. </w:t>
      </w:r>
    </w:p>
    <w:p w:rsidR="00454BD3" w:rsidRPr="00FE4BFA" w:rsidRDefault="00454BD3" w:rsidP="00454BD3">
      <w:pPr>
        <w:pStyle w:val="ParaNoNdepar-AltN"/>
        <w:rPr>
          <w:rFonts w:cs="Times New Roman"/>
          <w:lang w:val="fr-CA"/>
        </w:rPr>
      </w:pPr>
      <w:r w:rsidRPr="00FE4BFA">
        <w:rPr>
          <w:rFonts w:cs="Times New Roman"/>
          <w:lang w:val="fr-CA"/>
        </w:rPr>
        <w:t>Bien que l’on puisse distinguer l’auteur principal de l’auteur secondaire pour la détermination de la peine, la distinction n’est pas pertinente pour l’application de l’art. 1F</w:t>
      </w:r>
      <w:r w:rsidRPr="00FE4BFA">
        <w:rPr>
          <w:rFonts w:cs="Times New Roman"/>
          <w:i/>
          <w:lang w:val="fr-CA"/>
        </w:rPr>
        <w:t>a</w:t>
      </w:r>
      <w:r w:rsidRPr="00FE4BFA">
        <w:rPr>
          <w:rFonts w:cs="Times New Roman"/>
          <w:lang w:val="fr-CA"/>
        </w:rPr>
        <w:t>)</w:t>
      </w:r>
      <w:r w:rsidR="001A410C">
        <w:rPr>
          <w:rFonts w:cs="Times New Roman"/>
          <w:lang w:val="fr-CA"/>
        </w:rPr>
        <w:t xml:space="preserve"> de</w:t>
      </w:r>
      <w:r w:rsidRPr="00FE4BFA">
        <w:rPr>
          <w:rFonts w:cs="Times New Roman"/>
          <w:lang w:val="fr-CA"/>
        </w:rPr>
        <w:t xml:space="preserve"> la </w:t>
      </w:r>
      <w:r w:rsidRPr="00FE4BFA">
        <w:rPr>
          <w:rFonts w:cs="Times New Roman"/>
          <w:i/>
          <w:lang w:val="fr-CA"/>
        </w:rPr>
        <w:t xml:space="preserve">Convention </w:t>
      </w:r>
      <w:r w:rsidR="001A410C">
        <w:rPr>
          <w:rFonts w:cs="Times New Roman"/>
          <w:i/>
          <w:lang w:val="fr-CA"/>
        </w:rPr>
        <w:t>relative au Statut des R</w:t>
      </w:r>
      <w:r w:rsidRPr="00FE4BFA">
        <w:rPr>
          <w:rFonts w:cs="Times New Roman"/>
          <w:i/>
          <w:lang w:val="fr-CA"/>
        </w:rPr>
        <w:t>éfugiés</w:t>
      </w:r>
      <w:r w:rsidR="001A410C">
        <w:rPr>
          <w:rFonts w:cs="Times New Roman"/>
          <w:i/>
          <w:lang w:val="fr-CA"/>
        </w:rPr>
        <w:t xml:space="preserve"> </w:t>
      </w:r>
      <w:r w:rsidR="001A410C" w:rsidRPr="001A410C">
        <w:rPr>
          <w:rFonts w:cs="Times New Roman"/>
          <w:lang w:val="fr-CA"/>
        </w:rPr>
        <w:t>des Nations Unies</w:t>
      </w:r>
      <w:r w:rsidRPr="00FE4BFA">
        <w:rPr>
          <w:rFonts w:cs="Times New Roman"/>
          <w:lang w:val="fr-CA"/>
        </w:rPr>
        <w:t>,</w:t>
      </w:r>
      <w:r w:rsidRPr="00FE4BFA">
        <w:rPr>
          <w:rFonts w:cs="Times New Roman"/>
          <w:i/>
          <w:lang w:val="fr-CA"/>
        </w:rPr>
        <w:t xml:space="preserve"> </w:t>
      </w:r>
      <w:r w:rsidRPr="00FE4BFA">
        <w:rPr>
          <w:rFonts w:cs="Times New Roman"/>
          <w:lang w:val="fr-CA"/>
        </w:rPr>
        <w:t xml:space="preserve">R.T. Can. </w:t>
      </w:r>
      <w:r w:rsidR="001A410C">
        <w:rPr>
          <w:rFonts w:cs="Times New Roman"/>
          <w:lang w:val="fr-CA"/>
        </w:rPr>
        <w:t xml:space="preserve">1969 </w:t>
      </w:r>
      <w:r w:rsidRPr="00FE4BFA">
        <w:rPr>
          <w:rFonts w:cs="Times New Roman"/>
          <w:lang w:val="fr-CA"/>
        </w:rPr>
        <w:t>n° 6 (« </w:t>
      </w:r>
      <w:r w:rsidRPr="00FE4BFA">
        <w:rPr>
          <w:rFonts w:cs="Times New Roman"/>
          <w:i/>
          <w:lang w:val="fr-CA"/>
        </w:rPr>
        <w:t>Convention relative aux réfugiés</w:t>
      </w:r>
      <w:r w:rsidRPr="00FE4BFA">
        <w:rPr>
          <w:rFonts w:cs="Times New Roman"/>
          <w:lang w:val="fr-CA"/>
        </w:rPr>
        <w:t> »).  L’article 1F</w:t>
      </w:r>
      <w:r w:rsidRPr="00FE4BFA">
        <w:rPr>
          <w:rFonts w:cs="Times New Roman"/>
          <w:i/>
          <w:lang w:val="fr-CA"/>
        </w:rPr>
        <w:t>a</w:t>
      </w:r>
      <w:r w:rsidRPr="00FE4BFA">
        <w:rPr>
          <w:rFonts w:cs="Times New Roman"/>
          <w:lang w:val="fr-CA"/>
        </w:rPr>
        <w:t xml:space="preserve">) exclut de la </w:t>
      </w:r>
      <w:r w:rsidRPr="00FE4BFA">
        <w:rPr>
          <w:rFonts w:cs="Times New Roman"/>
          <w:lang w:val="fr-CA"/>
        </w:rPr>
        <w:lastRenderedPageBreak/>
        <w:t xml:space="preserve">définition de « réfugié » la personne « dont on aura des raisons sérieuses de penser qu’ell[e] [a] commis un crime contre la paix, un crime de guerre ou un crime contre l’humanité ».  L’auteur de tels crimes n’a pas droit à la protection humanitaire que prévoit la </w:t>
      </w:r>
      <w:r w:rsidRPr="00FE4BFA">
        <w:rPr>
          <w:rFonts w:cs="Times New Roman"/>
          <w:i/>
          <w:lang w:val="fr-CA"/>
        </w:rPr>
        <w:t>Convention relative aux réfugiés</w:t>
      </w:r>
      <w:r w:rsidRPr="00FE4BFA">
        <w:rPr>
          <w:rFonts w:cs="Times New Roman"/>
          <w:lang w:val="fr-CA"/>
        </w:rPr>
        <w:t xml:space="preserve">.  Lorsque la « sanction » se limite à cette exclusion, il est inutile de distinguer entre la personne qui commet le crime et celle qui l’aide et l’encourage à le commettre ou un autre participant.  Différents modes de participation à un crime international peuvent écarter la protection d’une personne à titre de réfugié.  </w:t>
      </w:r>
    </w:p>
    <w:p w:rsidR="00454BD3" w:rsidRPr="00FE4BFA" w:rsidRDefault="00454BD3" w:rsidP="00454BD3">
      <w:pPr>
        <w:pStyle w:val="ParaNoNdepar-AltN"/>
        <w:rPr>
          <w:rFonts w:cs="Times New Roman"/>
          <w:lang w:val="fr-CA"/>
        </w:rPr>
      </w:pPr>
      <w:r w:rsidRPr="00FE4BFA">
        <w:rPr>
          <w:rFonts w:cs="Times New Roman"/>
          <w:lang w:val="fr-CA"/>
        </w:rPr>
        <w:t>La complicité par association n’est toutefois pas l’un d’</w:t>
      </w:r>
      <w:r>
        <w:rPr>
          <w:rFonts w:cs="Times New Roman"/>
          <w:lang w:val="fr-CA"/>
        </w:rPr>
        <w:t>eux</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Le présent pourvoi porte sur la distinction entre l’association et la complicité.  La question consiste à déterminer si un haut fonctionnaire peut se voir refuser le droit d’asile parce qu’il a exercé ses fonctions pour le compte d’un gouvernement qui s’est livré à des crimes internationaux.  Notre Cour doit décider du degré de connaissance d’une activité criminelle et de participation à celle</w:t>
      </w:r>
      <w:r w:rsidRPr="00FE4BFA">
        <w:rPr>
          <w:rFonts w:cs="Times New Roman"/>
          <w:lang w:val="fr-CA"/>
        </w:rPr>
        <w:noBreakHyphen/>
        <w:t>ci qui justifie le refus à l’acteur secondaire de la protection accordée aux réfugiés.  Autrement dit, aux fins de l’art. 1F</w:t>
      </w:r>
      <w:r w:rsidRPr="00FE4BFA">
        <w:rPr>
          <w:rFonts w:cs="Times New Roman"/>
          <w:i/>
          <w:lang w:val="fr-CA"/>
        </w:rPr>
        <w:t>a</w:t>
      </w:r>
      <w:r w:rsidRPr="00FE4BFA">
        <w:rPr>
          <w:rFonts w:cs="Times New Roman"/>
          <w:lang w:val="fr-CA"/>
        </w:rPr>
        <w:t>), à quelles conditions la seule association devient</w:t>
      </w:r>
      <w:r w:rsidRPr="00FE4BFA">
        <w:rPr>
          <w:rFonts w:cs="Times New Roman"/>
          <w:lang w:val="fr-CA"/>
        </w:rPr>
        <w:noBreakHyphen/>
        <w:t xml:space="preserve">elle complicité coupable?  </w:t>
      </w:r>
    </w:p>
    <w:p w:rsidR="00454BD3" w:rsidRPr="00FE4BFA" w:rsidRDefault="00454BD3" w:rsidP="00454BD3">
      <w:pPr>
        <w:pStyle w:val="ParaNoNdepar-AltN"/>
        <w:rPr>
          <w:rFonts w:cs="Times New Roman"/>
          <w:lang w:val="fr-CA"/>
        </w:rPr>
      </w:pPr>
      <w:r w:rsidRPr="00FE4BFA">
        <w:rPr>
          <w:rFonts w:cs="Times New Roman"/>
          <w:lang w:val="fr-CA"/>
        </w:rPr>
        <w:t xml:space="preserve">Contrairement à la responsabilité d’un crime international, celle d’un crime national est souvent imputée de manière directe.  La responsabilité du participant joue un rôle mais, aux fins du droit pénal national, on se demande essentiellement si telle personne a commis tel crime contre telle victime.  En droit </w:t>
      </w:r>
      <w:r w:rsidRPr="00FE4BFA">
        <w:rPr>
          <w:rFonts w:cs="Times New Roman"/>
          <w:lang w:val="fr-CA"/>
        </w:rPr>
        <w:lastRenderedPageBreak/>
        <w:t>pénal international, on s’attache souvent à l’action collective et aux liens entre des individus et l’action collective.  Habituellement, il faut rechercher si un groupe de personnes, une organisation ou un État a commis une série de crimes contre un groupe de victimes.  Autrement dit, la responsabilité du participant joue un bien plus grand rôle dans la perpétration de crimes considérés parmi les plus graves par l’ordre juridique international</w:t>
      </w:r>
      <w:r w:rsidR="00F34E46">
        <w:rPr>
          <w:rFonts w:cs="Times New Roman"/>
          <w:lang w:val="fr-CA"/>
        </w:rPr>
        <w:t> </w:t>
      </w:r>
      <w:r w:rsidR="00F34E46">
        <w:rPr>
          <w:rFonts w:eastAsia="Times New Roman" w:cs="Times New Roman"/>
          <w:szCs w:val="20"/>
          <w:lang w:val="fr-CA" w:eastAsia="en-CA"/>
        </w:rPr>
        <w:t xml:space="preserve">: </w:t>
      </w:r>
      <w:r w:rsidR="00F834B6">
        <w:rPr>
          <w:rFonts w:cs="Times New Roman"/>
          <w:lang w:val="fr-CA"/>
        </w:rPr>
        <w:t>R. Cryer</w:t>
      </w:r>
      <w:r w:rsidRPr="00FE4BFA">
        <w:rPr>
          <w:rFonts w:cs="Times New Roman"/>
          <w:lang w:val="fr-CA"/>
        </w:rPr>
        <w:t xml:space="preserve"> et a</w:t>
      </w:r>
      <w:r w:rsidR="00A54FF7">
        <w:rPr>
          <w:rFonts w:cs="Times New Roman"/>
          <w:lang w:val="fr-CA"/>
        </w:rPr>
        <w:t>utres</w:t>
      </w:r>
      <w:r w:rsidRPr="00FE4BFA">
        <w:rPr>
          <w:rFonts w:cs="Times New Roman"/>
          <w:lang w:val="fr-CA"/>
        </w:rPr>
        <w:t xml:space="preserve">, </w:t>
      </w:r>
      <w:r w:rsidRPr="00FE4BFA">
        <w:rPr>
          <w:rFonts w:cs="Times New Roman"/>
          <w:i/>
          <w:lang w:val="fr-CA"/>
        </w:rPr>
        <w:t xml:space="preserve">An Introduction to International Criminal Law and Procedure </w:t>
      </w:r>
      <w:r w:rsidRPr="00FE4BFA">
        <w:rPr>
          <w:rFonts w:cs="Times New Roman"/>
          <w:lang w:val="fr-CA"/>
        </w:rPr>
        <w:t>(2</w:t>
      </w:r>
      <w:r w:rsidRPr="00FE4BFA">
        <w:rPr>
          <w:rFonts w:cs="Times New Roman"/>
          <w:vertAlign w:val="superscript"/>
          <w:lang w:val="fr-CA"/>
        </w:rPr>
        <w:t>e</w:t>
      </w:r>
      <w:r w:rsidRPr="00FE4BFA">
        <w:rPr>
          <w:rFonts w:cs="Times New Roman"/>
          <w:lang w:val="fr-CA"/>
        </w:rPr>
        <w:t> éd. 2010), p. 361.</w:t>
      </w:r>
    </w:p>
    <w:p w:rsidR="00454BD3" w:rsidRPr="00FE4BFA" w:rsidRDefault="00454BD3" w:rsidP="00454BD3">
      <w:pPr>
        <w:pStyle w:val="ParaNoNdepar-AltN"/>
        <w:rPr>
          <w:rFonts w:cs="Times New Roman"/>
          <w:szCs w:val="24"/>
          <w:lang w:val="fr-CA"/>
        </w:rPr>
      </w:pPr>
      <w:r w:rsidRPr="00FE4BFA">
        <w:rPr>
          <w:rFonts w:cs="Times New Roman"/>
          <w:lang w:val="fr-CA"/>
        </w:rPr>
        <w:t xml:space="preserve">Bien au fait de la dimension collective du crime international, la Cour d’appel fédérale conclut à juste titre qu’un haut fonctionnaire </w:t>
      </w:r>
      <w:r w:rsidRPr="00FE4BFA">
        <w:rPr>
          <w:rFonts w:cs="Times New Roman"/>
          <w:i/>
          <w:lang w:val="fr-CA"/>
        </w:rPr>
        <w:t>peut</w:t>
      </w:r>
      <w:r w:rsidRPr="00FE4BFA">
        <w:rPr>
          <w:rFonts w:cs="Times New Roman"/>
          <w:lang w:val="fr-CA"/>
        </w:rPr>
        <w:t xml:space="preserve"> être tenu criminellement responsable des crimes de son gouvernement lorsqu’il est au courant de leur perpétration et qu’il demeure en poste sans protester et qu’il continue de défendre les intérêts du gouvernement.</w:t>
      </w:r>
    </w:p>
    <w:p w:rsidR="00454BD3" w:rsidRPr="00FE4BFA" w:rsidRDefault="00454BD3" w:rsidP="00454BD3">
      <w:pPr>
        <w:pStyle w:val="ParaNoNdepar-AltN"/>
        <w:rPr>
          <w:rFonts w:cs="Times New Roman"/>
          <w:lang w:val="fr-CA"/>
        </w:rPr>
      </w:pPr>
      <w:r w:rsidRPr="00FE4BFA">
        <w:rPr>
          <w:rFonts w:cs="Times New Roman"/>
          <w:lang w:val="fr-CA"/>
        </w:rPr>
        <w:t>Un haut fonctionnaire ne s’expose pas pour autant à la responsabilité pour une quelconque forme de complicité par association.  La complicité découle de la contribution.  La nature collective de nombreux crimes internationaux ne diminue pas l’importance de ne tenir une personne responsable que des actes r</w:t>
      </w:r>
      <w:r w:rsidR="00264C2C">
        <w:rPr>
          <w:rFonts w:cs="Times New Roman"/>
          <w:lang w:val="fr-CA"/>
        </w:rPr>
        <w:t xml:space="preserve">épréhensibles qu’elle a commis : </w:t>
      </w:r>
      <w:r w:rsidRPr="00FE4BFA">
        <w:rPr>
          <w:rFonts w:cs="Times New Roman"/>
          <w:lang w:val="fr-CA"/>
        </w:rPr>
        <w:t xml:space="preserve">G. Werle, « Individual Criminal Responsibility in Article 25 ICC Statute » (2007), 5 </w:t>
      </w:r>
      <w:r w:rsidRPr="00FE4BFA">
        <w:rPr>
          <w:rFonts w:cs="Times New Roman"/>
          <w:i/>
          <w:lang w:val="fr-CA"/>
        </w:rPr>
        <w:t>J.I.C.J.</w:t>
      </w:r>
      <w:r w:rsidRPr="00FE4BFA">
        <w:rPr>
          <w:rFonts w:cs="Times New Roman"/>
          <w:lang w:val="fr-CA"/>
        </w:rPr>
        <w:t xml:space="preserve"> 953, p. 953.</w:t>
      </w:r>
    </w:p>
    <w:p w:rsidR="00454BD3" w:rsidRPr="00FE4BFA" w:rsidRDefault="00454BD3" w:rsidP="00454BD3">
      <w:pPr>
        <w:pStyle w:val="ParaNoNdepar-AltN"/>
        <w:rPr>
          <w:rFonts w:cs="Times New Roman"/>
          <w:szCs w:val="24"/>
          <w:lang w:val="fr-CA"/>
        </w:rPr>
      </w:pPr>
      <w:r w:rsidRPr="00FE4BFA">
        <w:rPr>
          <w:rFonts w:cs="Times New Roman"/>
          <w:lang w:val="fr-CA"/>
        </w:rPr>
        <w:t xml:space="preserve">Des individus peuvent être complices de crimes internationaux sans être liés à un </w:t>
      </w:r>
      <w:r w:rsidRPr="00FE4BFA">
        <w:rPr>
          <w:rFonts w:cs="Times New Roman"/>
          <w:i/>
          <w:lang w:val="fr-CA"/>
        </w:rPr>
        <w:t>crime en particulier</w:t>
      </w:r>
      <w:r w:rsidRPr="00FE4BFA">
        <w:rPr>
          <w:rFonts w:cs="Times New Roman"/>
          <w:lang w:val="fr-CA"/>
        </w:rPr>
        <w:t xml:space="preserve">, mais il doit exister un lien entre ces individus et le </w:t>
      </w:r>
      <w:r w:rsidRPr="00FE4BFA">
        <w:rPr>
          <w:rFonts w:cs="Times New Roman"/>
          <w:i/>
          <w:lang w:val="fr-CA"/>
        </w:rPr>
        <w:t>dessein criminel</w:t>
      </w:r>
      <w:r w:rsidRPr="00FE4BFA">
        <w:rPr>
          <w:rFonts w:cs="Times New Roman"/>
          <w:lang w:val="fr-CA"/>
        </w:rPr>
        <w:t xml:space="preserve"> du groupe, ce sur quoi nous reviendrons.  Pour l’application de </w:t>
      </w:r>
      <w:r w:rsidRPr="00FE4BFA">
        <w:rPr>
          <w:rFonts w:cs="Times New Roman"/>
          <w:lang w:val="fr-CA"/>
        </w:rPr>
        <w:lastRenderedPageBreak/>
        <w:t>l’art. 1F</w:t>
      </w:r>
      <w:r w:rsidRPr="00FE4BFA">
        <w:rPr>
          <w:rFonts w:cs="Times New Roman"/>
          <w:i/>
          <w:lang w:val="fr-CA"/>
        </w:rPr>
        <w:t>a</w:t>
      </w:r>
      <w:r w:rsidRPr="00FE4BFA">
        <w:rPr>
          <w:rFonts w:cs="Times New Roman"/>
          <w:lang w:val="fr-CA"/>
        </w:rPr>
        <w:t>), ce lien est établi lorsqu’il existe des raisons sérieuses de penser que la personne a volontairement et consciemment contribué de manière significative à la perpétration d’un crime par un groupe ou à la réalisation du dessein criminel de ce groupe.  D’ailleurs, nous verrons que se dessine à l’échelle internationale un large mouvement favorable</w:t>
      </w:r>
      <w:r w:rsidR="00264C2C">
        <w:rPr>
          <w:rFonts w:cs="Times New Roman"/>
          <w:lang w:val="fr-CA"/>
        </w:rPr>
        <w:t xml:space="preserve"> à</w:t>
      </w:r>
      <w:r w:rsidRPr="00FE4BFA">
        <w:rPr>
          <w:rFonts w:cs="Times New Roman"/>
          <w:lang w:val="fr-CA"/>
        </w:rPr>
        <w:t xml:space="preserve"> l’application d’un « critère axé sur la contribution significative ».</w:t>
      </w:r>
    </w:p>
    <w:p w:rsidR="00454BD3" w:rsidRPr="00FE4BFA" w:rsidRDefault="00454BD3" w:rsidP="00454BD3">
      <w:pPr>
        <w:pStyle w:val="ParaNoNdepar-AltN"/>
        <w:rPr>
          <w:rFonts w:cs="Times New Roman"/>
          <w:lang w:val="fr-CA"/>
        </w:rPr>
      </w:pPr>
      <w:r w:rsidRPr="00FE4BFA">
        <w:rPr>
          <w:rFonts w:cs="Times New Roman"/>
          <w:lang w:val="fr-CA"/>
        </w:rPr>
        <w:t xml:space="preserve">Cette notion de complicité axée sur la contribution remplace le critère fondé sur la participation personnelle et consciente retenu par la Cour d’appel fédérale dans l’arrêt </w:t>
      </w:r>
      <w:r w:rsidRPr="00FE4BFA">
        <w:rPr>
          <w:rFonts w:cs="Times New Roman"/>
          <w:i/>
          <w:lang w:val="fr-CA"/>
        </w:rPr>
        <w:t>Ramirez c. Canada (Ministre de l’Emploi et de l’Immigration)</w:t>
      </w:r>
      <w:r w:rsidRPr="00FE4BFA">
        <w:rPr>
          <w:rFonts w:cs="Times New Roman"/>
          <w:lang w:val="fr-CA"/>
        </w:rPr>
        <w:t xml:space="preserve">, [1992] 2 C.F. 306.  Nous estimons que ce critère a parfois été indûment assoupli de manière à englober la complicité par association.  Il est donc nécessaire de le modifier afin d’harmoniser le droit canadien avec le droit pénal international, les visées humanitaires de la </w:t>
      </w:r>
      <w:r w:rsidRPr="00FE4BFA">
        <w:rPr>
          <w:rFonts w:cs="Times New Roman"/>
          <w:i/>
          <w:lang w:val="fr-CA"/>
        </w:rPr>
        <w:t>Convention relative aux réfugiés</w:t>
      </w:r>
      <w:r w:rsidRPr="00FE4BFA">
        <w:rPr>
          <w:rFonts w:cs="Times New Roman"/>
          <w:lang w:val="fr-CA"/>
        </w:rPr>
        <w:t xml:space="preserve"> et les principes fondamentaux du droit pénal.</w:t>
      </w:r>
    </w:p>
    <w:p w:rsidR="00454BD3" w:rsidRPr="00FE4BFA" w:rsidRDefault="00454BD3" w:rsidP="00454BD3">
      <w:pPr>
        <w:pStyle w:val="ParaNoNdepar-AltN"/>
        <w:rPr>
          <w:rFonts w:cs="Times New Roman"/>
          <w:lang w:val="fr-CA"/>
        </w:rPr>
      </w:pPr>
      <w:r w:rsidRPr="00FE4BFA">
        <w:rPr>
          <w:rFonts w:cs="Times New Roman"/>
          <w:szCs w:val="24"/>
          <w:lang w:val="fr-CA"/>
        </w:rPr>
        <w:t>Nous sommes donc d’avis d’accueillir le pourvoi et de renvoyer l’affaire à une formation différente de la Section de la protection des réfugiés de la Commission de l’immigration et du statut de réfugié (la « Commission ») pour qu’elle rende une nouvelle décision conformément aux présents motifs.  La nouvelle formation déterminera s’il existe des raisons sérieuses de penser que la connaissance par l’appelant des crimes ou du dessein criminel de son gouvernement, et sa participation à ceux</w:t>
      </w:r>
      <w:r w:rsidRPr="00FE4BFA">
        <w:rPr>
          <w:rFonts w:cs="Times New Roman"/>
          <w:szCs w:val="24"/>
          <w:lang w:val="fr-CA"/>
        </w:rPr>
        <w:noBreakHyphen/>
        <w:t xml:space="preserve">ci, emportent sa complicité par contribution.  Comme toujours, la </w:t>
      </w:r>
      <w:r w:rsidRPr="00FE4BFA">
        <w:rPr>
          <w:rFonts w:cs="Times New Roman"/>
          <w:szCs w:val="24"/>
          <w:lang w:val="fr-CA"/>
        </w:rPr>
        <w:lastRenderedPageBreak/>
        <w:t>question de savoir si l’art. 1F</w:t>
      </w:r>
      <w:r w:rsidRPr="00FE4BFA">
        <w:rPr>
          <w:rFonts w:cs="Times New Roman"/>
          <w:i/>
          <w:szCs w:val="24"/>
          <w:lang w:val="fr-CA"/>
        </w:rPr>
        <w:t>a</w:t>
      </w:r>
      <w:r w:rsidRPr="00FE4BFA">
        <w:rPr>
          <w:rFonts w:cs="Times New Roman"/>
          <w:szCs w:val="24"/>
          <w:lang w:val="fr-CA"/>
        </w:rPr>
        <w:t>) a pour effet de rendre un demandeur inadmissible à la protection des réfugiés dépendra des faits particuliers du dossier.</w:t>
      </w:r>
    </w:p>
    <w:p w:rsidR="00454BD3" w:rsidRPr="00FE4BFA" w:rsidRDefault="00454BD3" w:rsidP="00454BD3">
      <w:pPr>
        <w:pStyle w:val="TitleTitre-AltT"/>
        <w:rPr>
          <w:rFonts w:cs="Times New Roman"/>
          <w:lang w:val="fr-CA"/>
        </w:rPr>
      </w:pPr>
      <w:r w:rsidRPr="00FE4BFA">
        <w:rPr>
          <w:rFonts w:cs="Times New Roman"/>
          <w:lang w:val="fr-CA"/>
        </w:rPr>
        <w:t>A.</w:t>
      </w:r>
      <w:r w:rsidRPr="00FE4BFA">
        <w:rPr>
          <w:rFonts w:cs="Times New Roman"/>
          <w:lang w:val="fr-CA"/>
        </w:rPr>
        <w:tab/>
      </w:r>
      <w:r w:rsidRPr="00FE4BFA">
        <w:rPr>
          <w:rFonts w:cs="Times New Roman"/>
          <w:i/>
          <w:lang w:val="fr-CA"/>
        </w:rPr>
        <w:t xml:space="preserve">Contexte factuel </w:t>
      </w:r>
    </w:p>
    <w:p w:rsidR="00454BD3" w:rsidRPr="00FE4BFA" w:rsidRDefault="00454BD3" w:rsidP="00454BD3">
      <w:pPr>
        <w:pStyle w:val="ParaNoNdepar-AltN"/>
        <w:rPr>
          <w:rFonts w:cs="Times New Roman"/>
          <w:lang w:val="fr-CA"/>
        </w:rPr>
      </w:pPr>
      <w:r w:rsidRPr="00FE4BFA">
        <w:rPr>
          <w:rFonts w:cs="Times New Roman"/>
          <w:lang w:val="fr-CA"/>
        </w:rPr>
        <w:t xml:space="preserve">En janvier 1999, l’appelant, Rachidi Ekanza Ezokola, entreprenait sa carrière au gouvernement de la République démocratique du Congo (« RDC ») à titre d’attaché financier du ministère des Finances affecté au ministère de l’Emploi, du Travail et de la Prévoyance sociale, à Kinshasa.  Il a ensuite été conseiller financier au ministère des Droits humains, puis au ministère des Affaires étrangères et de la Coopération internationale.   </w:t>
      </w:r>
    </w:p>
    <w:p w:rsidR="00454BD3" w:rsidRPr="00FE4BFA" w:rsidRDefault="00454BD3" w:rsidP="00454BD3">
      <w:pPr>
        <w:pStyle w:val="ParaNoNdepar-AltN"/>
        <w:rPr>
          <w:rFonts w:cs="Times New Roman"/>
          <w:lang w:val="fr-CA"/>
        </w:rPr>
      </w:pPr>
      <w:r w:rsidRPr="00FE4BFA">
        <w:rPr>
          <w:rFonts w:cs="Times New Roman"/>
          <w:lang w:val="fr-CA"/>
        </w:rPr>
        <w:t>En 2004, l’appelant a été affecté à la Mission permanente de la RDC auprès de l’Organisation</w:t>
      </w:r>
      <w:r w:rsidR="00264C2C">
        <w:rPr>
          <w:rFonts w:cs="Times New Roman"/>
          <w:lang w:val="fr-CA"/>
        </w:rPr>
        <w:t xml:space="preserve"> des Nations Unies (</w:t>
      </w:r>
      <w:r w:rsidRPr="00FE4BFA">
        <w:rPr>
          <w:rFonts w:cs="Times New Roman"/>
          <w:lang w:val="fr-CA"/>
        </w:rPr>
        <w:t xml:space="preserve">« ONU »), à New York.  À titre de deuxième conseiller d’ambassade, il a représenté la RDC à des réunions internationales et auprès d’organismes onusiens, dont le Conseil économique et social.  Il a aussi assuré la liaison entre la Mission permanente et les agences de l’ONU chargées des questions de développement.  En 2007, il est devenu chargé d’affaires par intérim et, à ce titre, il a dirigé la Mission permanente et prononcé une allocution devant le Conseil de sécurité sur les ressources naturelles de la RDC et les conflits dans son pays. </w:t>
      </w:r>
    </w:p>
    <w:p w:rsidR="00454BD3" w:rsidRPr="00FE4BFA" w:rsidRDefault="00454BD3" w:rsidP="00454BD3">
      <w:pPr>
        <w:pStyle w:val="ParaNoNdepar-AltN"/>
        <w:rPr>
          <w:rFonts w:cs="Times New Roman"/>
          <w:lang w:val="fr-CA"/>
        </w:rPr>
      </w:pPr>
      <w:r w:rsidRPr="00FE4BFA">
        <w:rPr>
          <w:rFonts w:cs="Times New Roman"/>
          <w:lang w:val="fr-CA"/>
        </w:rPr>
        <w:t xml:space="preserve">L’appelant a travaillé à la Mission permanente jusqu’à sa démission et sa fuite au Canada en janvier 2008.  </w:t>
      </w:r>
    </w:p>
    <w:p w:rsidR="00454BD3" w:rsidRPr="00FE4BFA" w:rsidRDefault="00454BD3" w:rsidP="00454BD3">
      <w:pPr>
        <w:pStyle w:val="ParaNoNdepar-AltN"/>
        <w:rPr>
          <w:rFonts w:cs="Times New Roman"/>
          <w:lang w:val="fr-CA"/>
        </w:rPr>
      </w:pPr>
      <w:r w:rsidRPr="00FE4BFA">
        <w:rPr>
          <w:rFonts w:cs="Times New Roman"/>
          <w:lang w:val="fr-CA"/>
        </w:rPr>
        <w:lastRenderedPageBreak/>
        <w:t>Il affirme avoir finalement démissionné parce qu’il refusait de servir le gouvernement du président Kabila qu’il jugeait corrompu, antidémocratique et violent.  Selon ses dires, sa démission serait considérée comme un acte de trahison par le gouvernement de la RDC.  Il ajoute que le service du renseignement de la RDC l’a harcelé, intimidé et menacé parce qu’il le soupçonnait d’avoir des liens avec Jean</w:t>
      </w:r>
      <w:r w:rsidRPr="00FE4BFA">
        <w:rPr>
          <w:rFonts w:cs="Times New Roman"/>
          <w:lang w:val="fr-CA"/>
        </w:rPr>
        <w:noBreakHyphen/>
        <w:t>Pierre Bemba, un opposant au président Kabila.  Pour ces raisons, il a demandé l’asile au Canada pour lui</w:t>
      </w:r>
      <w:r w:rsidRPr="00FE4BFA">
        <w:rPr>
          <w:rFonts w:cs="Times New Roman"/>
          <w:lang w:val="fr-CA"/>
        </w:rPr>
        <w:noBreakHyphen/>
        <w:t>même, son épouse et leurs huit enfants.</w:t>
      </w:r>
    </w:p>
    <w:p w:rsidR="00454BD3" w:rsidRPr="00FE4BFA" w:rsidRDefault="00454BD3" w:rsidP="00454BD3">
      <w:pPr>
        <w:pStyle w:val="TitleTitre-AltT"/>
        <w:rPr>
          <w:rFonts w:cs="Times New Roman"/>
          <w:lang w:val="fr-CA"/>
        </w:rPr>
      </w:pPr>
      <w:r w:rsidRPr="00FE4BFA">
        <w:rPr>
          <w:rFonts w:cs="Times New Roman"/>
          <w:lang w:val="fr-CA"/>
        </w:rPr>
        <w:t>B.</w:t>
      </w:r>
      <w:r w:rsidRPr="00FE4BFA">
        <w:rPr>
          <w:rFonts w:cs="Times New Roman"/>
          <w:lang w:val="fr-CA"/>
        </w:rPr>
        <w:tab/>
      </w:r>
      <w:r w:rsidRPr="00FE4BFA">
        <w:rPr>
          <w:rFonts w:cs="Times New Roman"/>
          <w:i/>
          <w:lang w:val="fr-CA"/>
        </w:rPr>
        <w:t xml:space="preserve">Historique judiciaire </w:t>
      </w:r>
    </w:p>
    <w:p w:rsidR="00454BD3" w:rsidRPr="00FE4BFA" w:rsidRDefault="00454BD3" w:rsidP="00454BD3">
      <w:pPr>
        <w:pStyle w:val="TitleTitre-AltT"/>
        <w:tabs>
          <w:tab w:val="clear" w:pos="360"/>
          <w:tab w:val="left" w:pos="1170"/>
        </w:tabs>
        <w:ind w:left="1620" w:hanging="1620"/>
        <w:rPr>
          <w:rFonts w:cs="Times New Roman"/>
          <w:lang w:val="fr-CA"/>
        </w:rPr>
      </w:pPr>
      <w:r w:rsidRPr="00FE4BFA">
        <w:rPr>
          <w:rFonts w:cs="Times New Roman"/>
          <w:lang w:val="fr-CA"/>
        </w:rPr>
        <w:tab/>
        <w:t>(1)</w:t>
      </w:r>
      <w:r w:rsidRPr="00FE4BFA">
        <w:rPr>
          <w:rFonts w:cs="Times New Roman"/>
          <w:lang w:val="fr-CA"/>
        </w:rPr>
        <w:tab/>
      </w:r>
      <w:r w:rsidRPr="00FE4BFA">
        <w:rPr>
          <w:rFonts w:cs="Times New Roman"/>
          <w:u w:val="single"/>
          <w:lang w:val="fr-CA"/>
        </w:rPr>
        <w:t xml:space="preserve">Commission de l’immigration et du statut de réfugié — Section de la protection des réfugiés, 2009 CanLII 89027 </w:t>
      </w:r>
    </w:p>
    <w:p w:rsidR="00454BD3" w:rsidRPr="00FE4BFA" w:rsidRDefault="00454BD3" w:rsidP="00454BD3">
      <w:pPr>
        <w:pStyle w:val="ParaNoNdepar-AltN"/>
        <w:rPr>
          <w:rFonts w:cs="Times New Roman"/>
          <w:lang w:val="fr-CA"/>
        </w:rPr>
      </w:pPr>
      <w:r w:rsidRPr="00FE4BFA">
        <w:rPr>
          <w:rFonts w:cs="Times New Roman"/>
          <w:lang w:val="fr-CA"/>
        </w:rPr>
        <w:t xml:space="preserve">La question que devait trancher la Commission pour statuer sur la demande d’asile de l’appelant consistait à savoir si la qualité de réfugié devait être refusée à l’appelant en application de l’art. 98 de la </w:t>
      </w:r>
      <w:r w:rsidRPr="00FE4BFA">
        <w:rPr>
          <w:rFonts w:cs="Times New Roman"/>
          <w:i/>
          <w:lang w:val="fr-CA"/>
        </w:rPr>
        <w:t>Loi sur l’immigration et la protection des réfugiés</w:t>
      </w:r>
      <w:r w:rsidRPr="00FE4BFA">
        <w:rPr>
          <w:rFonts w:cs="Times New Roman"/>
          <w:lang w:val="fr-CA"/>
        </w:rPr>
        <w:t>, L.C. 2001, ch. 27</w:t>
      </w:r>
      <w:r w:rsidRPr="00FE4BFA">
        <w:rPr>
          <w:rFonts w:cs="Times New Roman"/>
          <w:i/>
          <w:lang w:val="fr-CA"/>
        </w:rPr>
        <w:t xml:space="preserve"> </w:t>
      </w:r>
      <w:r w:rsidRPr="00FE4BFA">
        <w:rPr>
          <w:rFonts w:cs="Times New Roman"/>
          <w:lang w:val="fr-CA"/>
        </w:rPr>
        <w:t>(« </w:t>
      </w:r>
      <w:r w:rsidRPr="00FE4BFA">
        <w:rPr>
          <w:rFonts w:cs="Times New Roman"/>
          <w:i/>
          <w:lang w:val="fr-CA"/>
        </w:rPr>
        <w:t>LIPR</w:t>
      </w:r>
      <w:r w:rsidRPr="00FE4BFA">
        <w:rPr>
          <w:rFonts w:cs="Times New Roman"/>
          <w:lang w:val="fr-CA"/>
        </w:rPr>
        <w:t> »).  Cette disposition incorpore directement au droit canadien l’art. 1F</w:t>
      </w:r>
      <w:r w:rsidRPr="00FE4BFA">
        <w:rPr>
          <w:rFonts w:cs="Times New Roman"/>
          <w:i/>
          <w:lang w:val="fr-CA"/>
        </w:rPr>
        <w:t>a</w:t>
      </w:r>
      <w:r w:rsidRPr="00FE4BFA">
        <w:rPr>
          <w:rFonts w:cs="Times New Roman"/>
          <w:lang w:val="fr-CA"/>
        </w:rPr>
        <w:t xml:space="preserve">) de la </w:t>
      </w:r>
      <w:r w:rsidRPr="00FE4BFA">
        <w:rPr>
          <w:rFonts w:cs="Times New Roman"/>
          <w:i/>
          <w:lang w:val="fr-CA"/>
        </w:rPr>
        <w:t>Convention relative au</w:t>
      </w:r>
      <w:r w:rsidR="00DE6A3B">
        <w:rPr>
          <w:rFonts w:cs="Times New Roman"/>
          <w:i/>
          <w:lang w:val="fr-CA"/>
        </w:rPr>
        <w:t>x</w:t>
      </w:r>
      <w:r w:rsidRPr="00FE4BFA">
        <w:rPr>
          <w:rFonts w:cs="Times New Roman"/>
          <w:i/>
          <w:lang w:val="fr-CA"/>
        </w:rPr>
        <w:t xml:space="preserve"> réfugiés</w:t>
      </w:r>
      <w:r w:rsidRPr="00FE4BFA">
        <w:rPr>
          <w:rFonts w:cs="Times New Roman"/>
          <w:lang w:val="fr-CA"/>
        </w:rPr>
        <w:t>.  La Commission a refusé à l’appelant la protection des réfugiés en application de l’art. 1F</w:t>
      </w:r>
      <w:r w:rsidRPr="00FE4BFA">
        <w:rPr>
          <w:rFonts w:cs="Times New Roman"/>
          <w:i/>
          <w:lang w:val="fr-CA"/>
        </w:rPr>
        <w:t>a</w:t>
      </w:r>
      <w:r w:rsidRPr="00FE4BFA">
        <w:rPr>
          <w:rFonts w:cs="Times New Roman"/>
          <w:lang w:val="fr-CA"/>
        </w:rPr>
        <w:t xml:space="preserve">).  Elle conclut que même si le gouvernement de la RDC ne constitue pas une organisation animée d’un dessein circonscrit et brutal, il a commis des crimes contre l’humanité au sens du </w:t>
      </w:r>
      <w:r w:rsidRPr="00FE4BFA">
        <w:rPr>
          <w:rFonts w:cs="Times New Roman"/>
          <w:i/>
          <w:lang w:val="fr-CA"/>
        </w:rPr>
        <w:t>Statut de Rome de la Cour pénale internationale</w:t>
      </w:r>
      <w:r w:rsidRPr="00FE4BFA">
        <w:rPr>
          <w:rFonts w:cs="Times New Roman"/>
          <w:lang w:val="fr-CA"/>
        </w:rPr>
        <w:t>,</w:t>
      </w:r>
      <w:r w:rsidRPr="00FE4BFA">
        <w:rPr>
          <w:rFonts w:cs="Times New Roman"/>
          <w:i/>
          <w:lang w:val="fr-CA"/>
        </w:rPr>
        <w:t xml:space="preserve"> </w:t>
      </w:r>
      <w:r w:rsidR="00DE6A3B">
        <w:rPr>
          <w:rFonts w:cs="Times New Roman"/>
          <w:lang w:val="fr-CA"/>
        </w:rPr>
        <w:t>Doc. N.U. A/CONF.</w:t>
      </w:r>
      <w:r w:rsidRPr="00FE4BFA">
        <w:rPr>
          <w:rFonts w:cs="Times New Roman"/>
          <w:lang w:val="fr-CA"/>
        </w:rPr>
        <w:t>183/9, 17 juillet 1998 (« </w:t>
      </w:r>
      <w:r w:rsidRPr="00FE4BFA">
        <w:rPr>
          <w:rFonts w:cs="Times New Roman"/>
          <w:i/>
          <w:lang w:val="fr-CA"/>
        </w:rPr>
        <w:t>Statut de Rome</w:t>
      </w:r>
      <w:r w:rsidRPr="00FE4BFA">
        <w:rPr>
          <w:rFonts w:cs="Times New Roman"/>
          <w:lang w:val="fr-CA"/>
        </w:rPr>
        <w:t xml:space="preserve"> ») et de la jurisprudence </w:t>
      </w:r>
      <w:r w:rsidRPr="00FE4BFA">
        <w:rPr>
          <w:rFonts w:cs="Times New Roman"/>
          <w:lang w:val="fr-CA"/>
        </w:rPr>
        <w:lastRenderedPageBreak/>
        <w:t>canadienne</w:t>
      </w:r>
      <w:r w:rsidR="00DE6A3B">
        <w:rPr>
          <w:rFonts w:cs="Times New Roman"/>
          <w:lang w:val="fr-CA"/>
        </w:rPr>
        <w:t xml:space="preserve"> : </w:t>
      </w:r>
      <w:r w:rsidRPr="00FE4BFA">
        <w:rPr>
          <w:rFonts w:cs="Times New Roman"/>
          <w:lang w:val="fr-CA"/>
        </w:rPr>
        <w:t>par. 31 et 43.  À son avis, des crimes continuaient d’être perpétrés par le gouvernement même lorsque se</w:t>
      </w:r>
      <w:r w:rsidR="00DE6A3B">
        <w:rPr>
          <w:rFonts w:cs="Times New Roman"/>
          <w:lang w:val="fr-CA"/>
        </w:rPr>
        <w:t>s dirigeants étaient remplacés : par. 33</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La Commission s’appuie sur divers rapports, dont ceux des médias, ainsi que d’organismes gouvernementaux et non gouvernementaux, pour conclure que des crimes internationaux ont été commis par chacun des camps opposés lors de conflits qui ont duré plusieurs années.  Elle cite par exemple au par. 39 le rapport du 18 janvier 2006 dans lequel Human Rights Watch condamne la conduite du gouvernement congolais (et d’autres parties) :</w:t>
      </w:r>
    </w:p>
    <w:p w:rsidR="00454BD3" w:rsidRPr="00FE4BFA" w:rsidRDefault="00454BD3" w:rsidP="00454BD3">
      <w:pPr>
        <w:pStyle w:val="Citation-AltC"/>
        <w:spacing w:after="240"/>
        <w:ind w:hanging="1166"/>
        <w:contextualSpacing w:val="0"/>
        <w:rPr>
          <w:lang w:val="fr-CA"/>
        </w:rPr>
      </w:pPr>
      <w:r w:rsidRPr="00FE4BFA">
        <w:rPr>
          <w:lang w:val="fr-CA"/>
        </w:rPr>
        <w:tab/>
        <w:t>[</w:t>
      </w:r>
      <w:r w:rsidRPr="00FE4BFA">
        <w:rPr>
          <w:smallCaps/>
          <w:lang w:val="fr-CA"/>
        </w:rPr>
        <w:t>traduction</w:t>
      </w:r>
      <w:r w:rsidRPr="00FE4BFA">
        <w:rPr>
          <w:lang w:val="fr-CA"/>
        </w:rPr>
        <w:t>]  En 2005, les combattants de groupes armés et des soldats gouvernementaux ont délibérément tué, violé et enlevé des civils et détruit ou pillé leurs biens lors d’attaques répétées, surtout dans l’Est du Congo.  Un système de justice affaibli a failli à son devoir de poursuivre les auteurs de ces crimes récents et n’a rien fait pour mettre fin à l’impunité de ceux qui ont commis des crimes de guerre et des crimes contre l’humanité au cours des deux dernières guerres.  La découverte en septembre 2005, à Rut</w:t>
      </w:r>
      <w:r w:rsidR="00743CCC">
        <w:rPr>
          <w:lang w:val="fr-CA"/>
        </w:rPr>
        <w:t>shuru, dans l’E</w:t>
      </w:r>
      <w:r w:rsidRPr="00FE4BFA">
        <w:rPr>
          <w:lang w:val="fr-CA"/>
        </w:rPr>
        <w:t xml:space="preserve">st du Congo, de fosses communes datant de 1996 a rappelé le massacre de civils congolais les dix années précédentes, un crime demeuré impuni. </w:t>
      </w:r>
    </w:p>
    <w:p w:rsidR="00454BD3" w:rsidRPr="00FE4BFA" w:rsidRDefault="00454BD3" w:rsidP="00454BD3">
      <w:pPr>
        <w:pStyle w:val="Citation-AltC"/>
        <w:spacing w:after="240"/>
        <w:ind w:hanging="1166"/>
        <w:contextualSpacing w:val="0"/>
        <w:jc w:val="center"/>
        <w:rPr>
          <w:lang w:val="fr-CA"/>
        </w:rPr>
      </w:pPr>
      <w:r w:rsidRPr="00FE4BFA">
        <w:rPr>
          <w:lang w:val="fr-CA"/>
        </w:rPr>
        <w:t>. . .</w:t>
      </w:r>
    </w:p>
    <w:p w:rsidR="00454BD3" w:rsidRPr="00FE4BFA" w:rsidRDefault="00454BD3" w:rsidP="00454BD3">
      <w:pPr>
        <w:pStyle w:val="Citation-AltC"/>
        <w:spacing w:after="240"/>
        <w:ind w:hanging="1166"/>
        <w:contextualSpacing w:val="0"/>
        <w:rPr>
          <w:lang w:val="fr-CA"/>
        </w:rPr>
      </w:pPr>
      <w:r w:rsidRPr="00FE4BFA">
        <w:rPr>
          <w:lang w:val="fr-CA"/>
        </w:rPr>
        <w:tab/>
        <w:t>L’omission du gouvernement d’intégrer à l’armée nationale les membres d’anciens groupes belligérants et de former et payer ses soldats explique certains abus des militaires.  Des abus comme ceux survenus en décembre 2004 dans la province du Nord</w:t>
      </w:r>
      <w:r w:rsidRPr="00FE4BFA">
        <w:rPr>
          <w:lang w:val="fr-CA"/>
        </w:rPr>
        <w:noBreakHyphen/>
        <w:t>Kivu lorsque des soldats gouvernementaux et des combattants qui refusaient l’intégration ont attaqué et tué au moins cent civils, bon nombre d’entre eux l’ayant été à cause de leur appartenance ethnique, se sont produits à nouveau en 2005.  À Walungu, dans la province du Sud</w:t>
      </w:r>
      <w:r w:rsidRPr="00FE4BFA">
        <w:rPr>
          <w:lang w:val="fr-CA"/>
        </w:rPr>
        <w:noBreakHyphen/>
        <w:t>Kivu, les soldats gouvernementaux ont violé des civils et pillé leurs biens lors d’opérations menées contre les FDLR à la fin de 2004 et au début de 2005.  En juillet 2005, dans la province de l’Équateur, des troupes mal rémunérées et indisciplinées se sont livrées à des saccages et ont tué, violé et volé des civils.</w:t>
      </w:r>
    </w:p>
    <w:p w:rsidR="00454BD3" w:rsidRPr="00FE4BFA" w:rsidRDefault="00454BD3" w:rsidP="00454BD3">
      <w:pPr>
        <w:pStyle w:val="Citation-AltC"/>
        <w:spacing w:after="240"/>
        <w:ind w:hanging="1166"/>
        <w:contextualSpacing w:val="0"/>
        <w:rPr>
          <w:lang w:val="fr-CA"/>
        </w:rPr>
      </w:pPr>
      <w:r w:rsidRPr="00FE4BFA">
        <w:rPr>
          <w:lang w:val="fr-CA"/>
        </w:rPr>
        <w:lastRenderedPageBreak/>
        <w:tab/>
        <w:t>Alors qu’ils tentaient de prendre le contrôle de l’Ituri et d’autres régions du Nord</w:t>
      </w:r>
      <w:r w:rsidRPr="00FE4BFA">
        <w:rPr>
          <w:lang w:val="fr-CA"/>
        </w:rPr>
        <w:noBreakHyphen/>
        <w:t>Kivu et du Sud</w:t>
      </w:r>
      <w:r w:rsidRPr="00FE4BFA">
        <w:rPr>
          <w:lang w:val="fr-CA"/>
        </w:rPr>
        <w:noBreakHyphen/>
        <w:t>Kivu, du Maniema et du Katanga à la fin de 2004 et en 2005, les soldats gouvernementaux, comme ceux qu’ils combattaient, ont commis de graves violations du droit humanitaire et des droits de la personne reconnus à l’échelle internationale.</w:t>
      </w:r>
    </w:p>
    <w:p w:rsidR="00454BD3" w:rsidRPr="00FE4BFA" w:rsidRDefault="00454BD3" w:rsidP="005D06AC">
      <w:pPr>
        <w:pStyle w:val="Citation-AltC"/>
        <w:ind w:left="0"/>
        <w:contextualSpacing w:val="0"/>
      </w:pPr>
      <w:r w:rsidRPr="00FE4BFA">
        <w:rPr>
          <w:lang w:val="en-US"/>
        </w:rPr>
        <w:t>(</w:t>
      </w:r>
      <w:r w:rsidRPr="00FE4BFA">
        <w:rPr>
          <w:i/>
          <w:lang w:val="en-US"/>
        </w:rPr>
        <w:t>World Report 2006</w:t>
      </w:r>
      <w:r w:rsidRPr="00FE4BFA">
        <w:rPr>
          <w:i/>
        </w:rPr>
        <w:t> : Events of 2005</w:t>
      </w:r>
      <w:r w:rsidRPr="00FE4BFA">
        <w:t xml:space="preserve"> (2006), p. 90</w:t>
      </w:r>
      <w:r w:rsidRPr="00FE4BFA">
        <w:noBreakHyphen/>
        <w:t>92)</w:t>
      </w:r>
    </w:p>
    <w:p w:rsidR="00454BD3" w:rsidRPr="00FE4BFA" w:rsidRDefault="00454BD3" w:rsidP="00454BD3">
      <w:pPr>
        <w:pStyle w:val="ParaNoNdepar-AltN"/>
        <w:rPr>
          <w:rFonts w:cs="Times New Roman"/>
          <w:lang w:val="fr-CA"/>
        </w:rPr>
      </w:pPr>
      <w:r w:rsidRPr="00FE4BFA">
        <w:rPr>
          <w:rFonts w:cs="Times New Roman"/>
          <w:lang w:val="fr-CA"/>
        </w:rPr>
        <w:t>La Commission cite également des rapports qui condamnent le recours des autorités con</w:t>
      </w:r>
      <w:r w:rsidR="005D06AC">
        <w:rPr>
          <w:rFonts w:cs="Times New Roman"/>
          <w:lang w:val="fr-CA"/>
        </w:rPr>
        <w:t xml:space="preserve">golaises à des enfants soldats : </w:t>
      </w:r>
      <w:r w:rsidRPr="00FE4BFA">
        <w:rPr>
          <w:rFonts w:cs="Times New Roman"/>
          <w:lang w:val="fr-CA"/>
        </w:rPr>
        <w:t>par. 36 et 40.</w:t>
      </w:r>
    </w:p>
    <w:p w:rsidR="00454BD3" w:rsidRPr="00FE4BFA" w:rsidRDefault="00454BD3" w:rsidP="00454BD3">
      <w:pPr>
        <w:pStyle w:val="ParaNoNdepar-AltN"/>
        <w:rPr>
          <w:rFonts w:cs="Times New Roman"/>
          <w:lang w:val="fr-CA"/>
        </w:rPr>
      </w:pPr>
      <w:r w:rsidRPr="00FE4BFA">
        <w:rPr>
          <w:rFonts w:cs="Times New Roman"/>
          <w:lang w:val="fr-CA"/>
        </w:rPr>
        <w:t>Elle conclut que « [l]a preuve révèle clairement que le gouvernement congolais se livre à la répression des droits humains, à des massacres de la population civile ainsi qu’à l</w:t>
      </w:r>
      <w:r w:rsidR="005D06AC">
        <w:rPr>
          <w:rFonts w:cs="Times New Roman"/>
          <w:lang w:val="fr-CA"/>
        </w:rPr>
        <w:t>a corruption gouvernementale » : par. 43</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 xml:space="preserve">Selon la Commission, l’appelant a été complice de ces crimes.  Compte tenu de ses hautes fonctions, l’appelant détenait une « connaissance personnelle et consciente » </w:t>
      </w:r>
      <w:r w:rsidR="005D06AC">
        <w:rPr>
          <w:rFonts w:cs="Times New Roman"/>
          <w:lang w:val="fr-CA"/>
        </w:rPr>
        <w:t xml:space="preserve">des crimes de son gouvernement : </w:t>
      </w:r>
      <w:r w:rsidRPr="00FE4BFA">
        <w:rPr>
          <w:rFonts w:cs="Times New Roman"/>
          <w:lang w:val="fr-CA"/>
        </w:rPr>
        <w:t>par. 71.  Elle signale que l’appelant a joint les rangs du gouvernement de façon volontaire et qu’il a continué d’exercer ses fonctions jusqu’à ce qu’il craigne pour sa propre sécurité.  À son avis, les fonctions et les attributions de l’appelant ont contribué au maintien du gouvernement congolais.  Elle estime donc qu’il existe des raisons sérieuses de penser que l’appelant a été complice des crimes perpétrés par le gouvernement.</w:t>
      </w:r>
    </w:p>
    <w:p w:rsidR="00454BD3" w:rsidRPr="00FE4BFA" w:rsidRDefault="00454BD3" w:rsidP="00454BD3">
      <w:pPr>
        <w:pStyle w:val="TitleTitre-AltT"/>
        <w:tabs>
          <w:tab w:val="clear" w:pos="360"/>
          <w:tab w:val="left" w:pos="1170"/>
        </w:tabs>
        <w:ind w:left="1620" w:hanging="1620"/>
        <w:rPr>
          <w:rFonts w:cs="Times New Roman"/>
          <w:u w:val="single"/>
          <w:lang w:val="fr-CA"/>
        </w:rPr>
      </w:pPr>
      <w:r w:rsidRPr="00FE4BFA">
        <w:rPr>
          <w:rFonts w:cs="Times New Roman"/>
          <w:lang w:val="fr-CA"/>
        </w:rPr>
        <w:lastRenderedPageBreak/>
        <w:tab/>
        <w:t>(2)</w:t>
      </w:r>
      <w:r w:rsidRPr="00FE4BFA">
        <w:rPr>
          <w:rFonts w:cs="Times New Roman"/>
          <w:lang w:val="fr-CA"/>
        </w:rPr>
        <w:tab/>
      </w:r>
      <w:r w:rsidRPr="00FE4BFA">
        <w:rPr>
          <w:rFonts w:cs="Times New Roman"/>
          <w:u w:val="single"/>
          <w:lang w:val="fr-CA"/>
        </w:rPr>
        <w:t>Cour fédérale — le juge Mainville, 2010 CF 662, [2011] 3 R.C.F. 377</w:t>
      </w:r>
    </w:p>
    <w:p w:rsidR="00454BD3" w:rsidRPr="00FE4BFA" w:rsidRDefault="00454BD3" w:rsidP="00454BD3">
      <w:pPr>
        <w:pStyle w:val="ParaNoNdepar-AltN"/>
        <w:rPr>
          <w:rFonts w:cs="Times New Roman"/>
          <w:lang w:val="fr-CA"/>
        </w:rPr>
      </w:pPr>
      <w:r w:rsidRPr="00FE4BFA">
        <w:rPr>
          <w:rFonts w:cs="Times New Roman"/>
          <w:lang w:val="fr-CA"/>
        </w:rPr>
        <w:t>La Cour fédérale accueille la demande de contrôle judiciaire de l’appelant.  Elle conclut qu’une personne ne peut être exclue sous le régime de l’art. 1F</w:t>
      </w:r>
      <w:r w:rsidRPr="00FE4BFA">
        <w:rPr>
          <w:rFonts w:cs="Times New Roman"/>
          <w:i/>
          <w:lang w:val="fr-CA"/>
        </w:rPr>
        <w:t>a</w:t>
      </w:r>
      <w:r w:rsidRPr="00FE4BFA">
        <w:rPr>
          <w:rFonts w:cs="Times New Roman"/>
          <w:lang w:val="fr-CA"/>
        </w:rPr>
        <w:t xml:space="preserve">) pour le seul motif qu’elle a été l’employée d’un pays dont le gouvernement commet des crimes internationaux.  La complicité exige un lien entre le demandeur et les crimes imputés au gouvernement.   </w:t>
      </w:r>
    </w:p>
    <w:p w:rsidR="00454BD3" w:rsidRPr="00FE4BFA" w:rsidRDefault="00454BD3" w:rsidP="00454BD3">
      <w:pPr>
        <w:pStyle w:val="ParaNoNdepar-AltN"/>
        <w:rPr>
          <w:rFonts w:cs="Times New Roman"/>
          <w:lang w:val="fr-CA"/>
        </w:rPr>
      </w:pPr>
      <w:r w:rsidRPr="00FE4BFA">
        <w:rPr>
          <w:rFonts w:cs="Times New Roman"/>
          <w:lang w:val="fr-CA"/>
        </w:rPr>
        <w:t xml:space="preserve">Pour se prononcer sur l’existence d’un tel lien, la cour examine les différentes participations prévues dans le </w:t>
      </w:r>
      <w:r w:rsidRPr="00FE4BFA">
        <w:rPr>
          <w:rFonts w:cs="Times New Roman"/>
          <w:i/>
          <w:lang w:val="fr-CA"/>
        </w:rPr>
        <w:t>Statut de Rome</w:t>
      </w:r>
      <w:r w:rsidRPr="00FE4BFA">
        <w:rPr>
          <w:rFonts w:cs="Times New Roman"/>
          <w:lang w:val="fr-CA"/>
        </w:rPr>
        <w:t xml:space="preserve"> et conclut que « la responsabilité pénale pour les crimes contre l’humanité requiert une participation personnelle au crime reproché ou un contrôle personnel sur les événeme</w:t>
      </w:r>
      <w:r w:rsidR="005D06AC">
        <w:rPr>
          <w:rFonts w:cs="Times New Roman"/>
          <w:lang w:val="fr-CA"/>
        </w:rPr>
        <w:t xml:space="preserve">nts menant au crime reproché » : </w:t>
      </w:r>
      <w:r w:rsidRPr="00FE4BFA">
        <w:rPr>
          <w:rFonts w:cs="Times New Roman"/>
          <w:lang w:val="fr-CA"/>
        </w:rPr>
        <w:t>par. 86.</w:t>
      </w:r>
    </w:p>
    <w:p w:rsidR="00454BD3" w:rsidRPr="00FE4BFA" w:rsidRDefault="00454BD3" w:rsidP="00454BD3">
      <w:pPr>
        <w:pStyle w:val="ParaNoNdepar-AltN"/>
        <w:rPr>
          <w:rFonts w:cs="Times New Roman"/>
          <w:lang w:val="fr-CA"/>
        </w:rPr>
      </w:pPr>
      <w:r w:rsidRPr="00FE4BFA">
        <w:rPr>
          <w:rFonts w:cs="Times New Roman"/>
          <w:lang w:val="fr-CA"/>
        </w:rPr>
        <w:t>Selon la cour, le lien requis avec les crimes « peut être établi par présomption si le demandeur d’asile occupait un poste hiérarchique élevé dans la fonction publique, dans la mesure où il y a des raisons sérieuses de penser que le poste en question permettait au demandeur d’asile d’exécuter, d’encourager ou de dissimuler ces crimes, ou permettait au demandeur d’asile de concourir ou de collaborer à ces crimes »</w:t>
      </w:r>
      <w:r w:rsidR="005D06AC">
        <w:rPr>
          <w:rFonts w:cs="Times New Roman"/>
          <w:lang w:val="fr-CA"/>
        </w:rPr>
        <w:t> : par. 4</w:t>
      </w:r>
      <w:r w:rsidRPr="00FE4BFA">
        <w:rPr>
          <w:rFonts w:cs="Times New Roman"/>
          <w:lang w:val="fr-CA"/>
        </w:rPr>
        <w:t>.  Or, elle estime qu’il n’existe en l’espèce « aucun élément de preuve tendant à démontrer une participation personnelle directe ou indirecte du demandeur dans les crimes reprochés, et [qu’]il y a absence de toute preuve d’encouragement ou de soutien actif du demandeur à l’égard de ces crimes »</w:t>
      </w:r>
      <w:r w:rsidR="005D06AC">
        <w:rPr>
          <w:rFonts w:cs="Times New Roman"/>
          <w:lang w:val="fr-CA"/>
        </w:rPr>
        <w:t> :</w:t>
      </w:r>
      <w:r w:rsidRPr="00FE4BFA">
        <w:rPr>
          <w:rFonts w:cs="Times New Roman"/>
          <w:lang w:val="fr-CA"/>
        </w:rPr>
        <w:t xml:space="preserve"> </w:t>
      </w:r>
      <w:r w:rsidRPr="00FE4BFA">
        <w:rPr>
          <w:rFonts w:cs="Times New Roman"/>
          <w:lang w:val="fr-CA"/>
        </w:rPr>
        <w:lastRenderedPageBreak/>
        <w:t xml:space="preserve">par. 104.  La Commission a eu tort, selon elle, de conclure à la responsabilité de l’appelant sur le seul fondement du poste occupé au sein du gouvernement malgré l’absence de lien personnel entre ce poste et l’armée ou la police de la RDC.  </w:t>
      </w:r>
    </w:p>
    <w:p w:rsidR="00454BD3" w:rsidRPr="00FE4BFA" w:rsidRDefault="00454BD3" w:rsidP="00454BD3">
      <w:pPr>
        <w:pStyle w:val="ParaNoNdepar-AltN"/>
        <w:rPr>
          <w:rFonts w:cs="Times New Roman"/>
          <w:lang w:val="fr-CA"/>
        </w:rPr>
      </w:pPr>
      <w:r w:rsidRPr="00FE4BFA">
        <w:rPr>
          <w:rFonts w:cs="Times New Roman"/>
          <w:lang w:val="fr-CA"/>
        </w:rPr>
        <w:t>La cour certifie la question suivante :</w:t>
      </w:r>
    </w:p>
    <w:p w:rsidR="005D06AC" w:rsidRDefault="00454BD3" w:rsidP="00454BD3">
      <w:pPr>
        <w:pStyle w:val="Citation-AltC"/>
        <w:ind w:hanging="1166"/>
        <w:rPr>
          <w:lang w:val="fr-CA"/>
        </w:rPr>
      </w:pPr>
      <w:r w:rsidRPr="00FE4BFA">
        <w:rPr>
          <w:lang w:val="fr-CA"/>
        </w:rPr>
        <w:tab/>
        <w:t>Aux fins de l’exclusion prévue au paragraphe 1F</w:t>
      </w:r>
      <w:r w:rsidRPr="005D06AC">
        <w:rPr>
          <w:lang w:val="fr-CA"/>
        </w:rPr>
        <w:t>a</w:t>
      </w:r>
      <w:r w:rsidRPr="00FE4BFA">
        <w:rPr>
          <w:lang w:val="fr-CA"/>
        </w:rPr>
        <w:t>) de la Convention des Nations Unies relative au statut des réfugiés, y a</w:t>
      </w:r>
      <w:r w:rsidRPr="00FE4BFA">
        <w:rPr>
          <w:lang w:val="fr-CA"/>
        </w:rPr>
        <w:noBreakHyphen/>
        <w:t>t</w:t>
      </w:r>
      <w:r w:rsidRPr="00FE4BFA">
        <w:rPr>
          <w:lang w:val="fr-CA"/>
        </w:rPr>
        <w:noBreakHyphen/>
        <w:t>il complicité par association à des crimes contre l’humanité du fait qu’un demandeur d’asile occupait un poste de fonctionnaire d’un gouvernement qui a commis de tels crimes, joint au fait que le demandeur d’asile avait connaissance de ces crimes et ne les a pas dénoncés, lorsqu’il n’y a aucune preuve d’une participation personnelle, directe ou indirecte, du demandeur d’asile dans ces crimes?</w:t>
      </w:r>
    </w:p>
    <w:p w:rsidR="005D06AC" w:rsidRDefault="005D06AC" w:rsidP="00454BD3">
      <w:pPr>
        <w:pStyle w:val="Citation-AltC"/>
        <w:ind w:hanging="1166"/>
        <w:rPr>
          <w:lang w:val="fr-CA"/>
        </w:rPr>
      </w:pPr>
    </w:p>
    <w:p w:rsidR="00454BD3" w:rsidRPr="00FE4BFA" w:rsidRDefault="005D06AC" w:rsidP="00454BD3">
      <w:pPr>
        <w:pStyle w:val="Citation-AltC"/>
        <w:ind w:hanging="1166"/>
        <w:rPr>
          <w:lang w:val="fr-CA"/>
        </w:rPr>
      </w:pPr>
      <w:r>
        <w:rPr>
          <w:lang w:val="fr-CA"/>
        </w:rPr>
        <w:t>(</w:t>
      </w:r>
      <w:r w:rsidR="00454BD3" w:rsidRPr="00FE4BFA">
        <w:rPr>
          <w:lang w:val="fr-CA"/>
        </w:rPr>
        <w:t>2011 CAF 22</w:t>
      </w:r>
      <w:r>
        <w:rPr>
          <w:lang w:val="fr-CA"/>
        </w:rPr>
        <w:t>4, [2011] 3 R.C.F. 417, par. 28)</w:t>
      </w:r>
    </w:p>
    <w:p w:rsidR="00454BD3" w:rsidRPr="00FE4BFA" w:rsidRDefault="00454BD3" w:rsidP="005D06AC">
      <w:pPr>
        <w:pStyle w:val="TitleTitre-AltT"/>
        <w:tabs>
          <w:tab w:val="clear" w:pos="360"/>
          <w:tab w:val="left" w:pos="1170"/>
        </w:tabs>
        <w:ind w:left="1710" w:hanging="1710"/>
        <w:rPr>
          <w:rFonts w:cs="Times New Roman"/>
          <w:lang w:val="fr-CA"/>
        </w:rPr>
      </w:pPr>
      <w:r w:rsidRPr="00FE4BFA">
        <w:rPr>
          <w:rFonts w:cs="Times New Roman"/>
          <w:lang w:val="fr-CA"/>
        </w:rPr>
        <w:tab/>
        <w:t>(3)</w:t>
      </w:r>
      <w:r w:rsidRPr="00FE4BFA">
        <w:rPr>
          <w:rFonts w:cs="Times New Roman"/>
          <w:lang w:val="fr-CA"/>
        </w:rPr>
        <w:tab/>
      </w:r>
      <w:r w:rsidRPr="00FE4BFA">
        <w:rPr>
          <w:rFonts w:cs="Times New Roman"/>
          <w:u w:val="single"/>
          <w:lang w:val="fr-CA"/>
        </w:rPr>
        <w:t>Cour d’appel fédérale — le juge Noël (les juges Nadon et Pelletier)</w:t>
      </w:r>
    </w:p>
    <w:p w:rsidR="00454BD3" w:rsidRPr="00FE4BFA" w:rsidRDefault="00454BD3" w:rsidP="00454BD3">
      <w:pPr>
        <w:pStyle w:val="ParaNoNdepar-AltN"/>
        <w:rPr>
          <w:rFonts w:cs="Times New Roman"/>
          <w:lang w:val="fr-CA"/>
        </w:rPr>
      </w:pPr>
      <w:r w:rsidRPr="00FE4BFA">
        <w:rPr>
          <w:rFonts w:cs="Times New Roman"/>
          <w:lang w:val="fr-CA"/>
        </w:rPr>
        <w:t xml:space="preserve">La Cour d’appel fédérale répond par l’affirmative à la question certifiée, qu’elle reformule ainsi :  </w:t>
      </w:r>
    </w:p>
    <w:p w:rsidR="00454BD3" w:rsidRPr="00FE4BFA" w:rsidRDefault="00454BD3" w:rsidP="00454BD3">
      <w:pPr>
        <w:pStyle w:val="Citation-AltC"/>
        <w:ind w:hanging="1166"/>
        <w:rPr>
          <w:lang w:val="fr-CA"/>
        </w:rPr>
      </w:pPr>
      <w:r w:rsidRPr="00FE4BFA">
        <w:rPr>
          <w:lang w:val="fr-CA"/>
        </w:rPr>
        <w:tab/>
        <w:t>Aux fins de l’exclusion prévue au paragraphe 1F</w:t>
      </w:r>
      <w:r w:rsidRPr="00FE4BFA">
        <w:rPr>
          <w:i/>
          <w:lang w:val="fr-CA"/>
        </w:rPr>
        <w:t>a</w:t>
      </w:r>
      <w:r w:rsidRPr="00FE4BFA">
        <w:rPr>
          <w:lang w:val="fr-CA"/>
        </w:rPr>
        <w:t>) de la Convention des Nations Unies relative au statut des réfugiés, peut</w:t>
      </w:r>
      <w:r w:rsidRPr="00FE4BFA">
        <w:rPr>
          <w:lang w:val="fr-CA"/>
        </w:rPr>
        <w:noBreakHyphen/>
        <w:t>il y avoir complicité par association à des crimes contre l’humanité du fait qu’un demandeur d’asile occupait un poste de haut fonctionnaire auprès d’un gouvernement qui a commis de tels crimes, joint au fait que le demandeur d’asile avait connaissance de ces crimes et est demeuré en poste sans les dénoncer?  [par. 44]</w:t>
      </w:r>
    </w:p>
    <w:p w:rsidR="00454BD3" w:rsidRPr="00FE4BFA" w:rsidRDefault="00454BD3" w:rsidP="00454BD3">
      <w:pPr>
        <w:pStyle w:val="ParaNoNdepar-AltN"/>
        <w:rPr>
          <w:rFonts w:cs="Times New Roman"/>
          <w:lang w:val="fr-CA"/>
        </w:rPr>
      </w:pPr>
      <w:r w:rsidRPr="00FE4BFA">
        <w:rPr>
          <w:rFonts w:cs="Times New Roman"/>
          <w:lang w:val="fr-CA"/>
        </w:rPr>
        <w:lastRenderedPageBreak/>
        <w:t xml:space="preserve">Elle rejette la notion de complicité retenue par </w:t>
      </w:r>
      <w:r w:rsidR="005D06AC">
        <w:rPr>
          <w:rFonts w:cs="Times New Roman"/>
          <w:lang w:val="fr-CA"/>
        </w:rPr>
        <w:t xml:space="preserve">la </w:t>
      </w:r>
      <w:r w:rsidRPr="00FE4BFA">
        <w:rPr>
          <w:rFonts w:cs="Times New Roman"/>
          <w:lang w:val="fr-CA"/>
        </w:rPr>
        <w:t>Cour fédérale qu’elle juge contraire à la jurisprudence canadienne et trop restrictive</w:t>
      </w:r>
      <w:r w:rsidR="005D06AC">
        <w:rPr>
          <w:rFonts w:cs="Times New Roman"/>
          <w:lang w:val="fr-CA"/>
        </w:rPr>
        <w:t> : par. 46 et 57</w:t>
      </w:r>
      <w:r w:rsidRPr="00FE4BFA">
        <w:rPr>
          <w:rFonts w:cs="Times New Roman"/>
          <w:lang w:val="fr-CA"/>
        </w:rPr>
        <w:t>.  Elle conclut :</w:t>
      </w:r>
    </w:p>
    <w:p w:rsidR="00454BD3" w:rsidRPr="00FE4BFA" w:rsidRDefault="00454BD3" w:rsidP="00454BD3">
      <w:pPr>
        <w:pStyle w:val="Citation-AltC"/>
        <w:ind w:hanging="1166"/>
        <w:rPr>
          <w:lang w:val="fr-CA"/>
        </w:rPr>
      </w:pPr>
      <w:r w:rsidRPr="00FE4BFA">
        <w:rPr>
          <w:lang w:val="fr-CA"/>
        </w:rPr>
        <w:tab/>
      </w:r>
      <w:r w:rsidR="005D06AC">
        <w:rPr>
          <w:lang w:val="fr-CA"/>
        </w:rPr>
        <w:t>. . . u</w:t>
      </w:r>
      <w:r w:rsidRPr="00FE4BFA">
        <w:rPr>
          <w:lang w:val="fr-CA"/>
        </w:rPr>
        <w:t>n haut [fonctionnaire], en demeurant en poste sans protêt et en continuant à défendre les intérêts de son gouvernement alors qu’il a connaissance des crimes commis par ce gouvernement, peut démontrer sa « participation personnelle et consciente » à ces crimes et se rendre complice de son gouvernement d</w:t>
      </w:r>
      <w:r w:rsidR="005D06AC">
        <w:rPr>
          <w:lang w:val="fr-CA"/>
        </w:rPr>
        <w:t>ans leur commission.  [par. 72]</w:t>
      </w:r>
      <w:r w:rsidRPr="00FE4BFA">
        <w:rPr>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Elle ajoute que « la réponse ultime est toujours fonction des faits particuliers de chaque affaire »</w:t>
      </w:r>
      <w:r w:rsidR="005D06AC">
        <w:rPr>
          <w:rFonts w:cs="Times New Roman"/>
          <w:lang w:val="fr-CA"/>
        </w:rPr>
        <w:t xml:space="preserve"> : </w:t>
      </w:r>
      <w:r w:rsidRPr="00FE4BFA">
        <w:rPr>
          <w:rFonts w:cs="Times New Roman"/>
          <w:lang w:val="fr-CA"/>
        </w:rPr>
        <w:t>par. 72.</w:t>
      </w:r>
    </w:p>
    <w:p w:rsidR="00454BD3" w:rsidRPr="00FE4BFA" w:rsidRDefault="00454BD3" w:rsidP="00454BD3">
      <w:pPr>
        <w:pStyle w:val="ParaNoNdepar-AltN"/>
        <w:rPr>
          <w:rFonts w:cs="Times New Roman"/>
          <w:lang w:val="fr-CA"/>
        </w:rPr>
      </w:pPr>
      <w:r w:rsidRPr="00FE4BFA">
        <w:rPr>
          <w:rFonts w:cs="Times New Roman"/>
          <w:lang w:val="fr-CA"/>
        </w:rPr>
        <w:t>La Cour d’appel fédérale statue qu’il n’est pas nécessaire de déterminer si la conclusion de la Commission était raisonnable ou non puisque cette dernière n’a pas appliqué le bon critère en matière de complicité.  Au lieu de s’attacher à la « participation personnelle et consciente » de l’appelant, la Commission s’est penchée sur la « connaissance personnelle et consciente » de ce dernier</w:t>
      </w:r>
      <w:r w:rsidR="005D06AC">
        <w:rPr>
          <w:rFonts w:cs="Times New Roman"/>
          <w:lang w:val="fr-CA"/>
        </w:rPr>
        <w:t xml:space="preserve"> : </w:t>
      </w:r>
      <w:r w:rsidRPr="00FE4BFA">
        <w:rPr>
          <w:rFonts w:cs="Times New Roman"/>
          <w:lang w:val="fr-CA"/>
        </w:rPr>
        <w:t>par. 75.  La Cour d’appel fédérale renvoie donc l’affaire à une formation différente de la Commission afin qu’elle rende une nouvelle décision sur la complicité de l’appelant dans des crimes commis par la RDC, et ce, en appliquant le critère de la participation personnelle et consciente.</w:t>
      </w:r>
    </w:p>
    <w:p w:rsidR="00454BD3" w:rsidRPr="00FE4BFA" w:rsidRDefault="00454BD3" w:rsidP="00C32CBB">
      <w:pPr>
        <w:pStyle w:val="TitleTitre-AltT"/>
        <w:tabs>
          <w:tab w:val="clear" w:pos="360"/>
          <w:tab w:val="left" w:pos="540"/>
        </w:tabs>
        <w:ind w:left="540" w:hanging="540"/>
        <w:rPr>
          <w:rFonts w:cs="Times New Roman"/>
          <w:u w:val="single"/>
          <w:lang w:val="fr-CA"/>
        </w:rPr>
      </w:pPr>
      <w:r w:rsidRPr="00FE4BFA">
        <w:rPr>
          <w:rFonts w:cs="Times New Roman"/>
          <w:lang w:val="fr-CA"/>
        </w:rPr>
        <w:lastRenderedPageBreak/>
        <w:t>II.</w:t>
      </w:r>
      <w:r w:rsidRPr="00FE4BFA">
        <w:rPr>
          <w:rFonts w:cs="Times New Roman"/>
          <w:lang w:val="fr-CA"/>
        </w:rPr>
        <w:tab/>
      </w:r>
      <w:r w:rsidRPr="00FE4BFA">
        <w:rPr>
          <w:rFonts w:cs="Times New Roman"/>
          <w:u w:val="single"/>
          <w:lang w:val="fr-CA"/>
        </w:rPr>
        <w:t>Analyse</w:t>
      </w:r>
    </w:p>
    <w:p w:rsidR="00454BD3" w:rsidRPr="00FE4BFA" w:rsidRDefault="00454BD3" w:rsidP="00C32CBB">
      <w:pPr>
        <w:pStyle w:val="TitleTitre-AltT"/>
        <w:tabs>
          <w:tab w:val="clear" w:pos="360"/>
          <w:tab w:val="left" w:pos="540"/>
        </w:tabs>
        <w:ind w:left="540" w:hanging="540"/>
        <w:rPr>
          <w:rFonts w:cs="Times New Roman"/>
          <w:i/>
          <w:lang w:val="fr-CA"/>
        </w:rPr>
      </w:pPr>
      <w:r w:rsidRPr="00FE4BFA">
        <w:rPr>
          <w:rFonts w:cs="Times New Roman"/>
          <w:lang w:val="fr-CA"/>
        </w:rPr>
        <w:t>A.</w:t>
      </w:r>
      <w:r w:rsidRPr="00FE4BFA">
        <w:rPr>
          <w:rFonts w:cs="Times New Roman"/>
          <w:lang w:val="fr-CA"/>
        </w:rPr>
        <w:tab/>
      </w:r>
      <w:r w:rsidRPr="00FE4BFA">
        <w:rPr>
          <w:rFonts w:cs="Times New Roman"/>
          <w:i/>
          <w:lang w:val="fr-CA"/>
        </w:rPr>
        <w:t>Questions en litige</w:t>
      </w:r>
    </w:p>
    <w:p w:rsidR="00454BD3" w:rsidRPr="00FE4BFA" w:rsidRDefault="00454BD3" w:rsidP="00454BD3">
      <w:pPr>
        <w:pStyle w:val="ParaNoNdepar-AltN"/>
        <w:rPr>
          <w:rFonts w:cs="Times New Roman"/>
          <w:lang w:val="fr-CA"/>
        </w:rPr>
      </w:pPr>
      <w:r w:rsidRPr="00FE4BFA">
        <w:rPr>
          <w:rFonts w:cs="Times New Roman"/>
          <w:lang w:val="fr-CA"/>
        </w:rPr>
        <w:t xml:space="preserve">Il appartiendra à la Commission de déterminer à l’issue d’une audience </w:t>
      </w:r>
      <w:r w:rsidRPr="00A21640">
        <w:rPr>
          <w:rFonts w:cs="Times New Roman"/>
          <w:i/>
          <w:lang w:val="fr-CA"/>
        </w:rPr>
        <w:t>de</w:t>
      </w:r>
      <w:r w:rsidRPr="00FE4BFA">
        <w:rPr>
          <w:rFonts w:cs="Times New Roman"/>
          <w:lang w:val="fr-CA"/>
        </w:rPr>
        <w:t xml:space="preserve"> </w:t>
      </w:r>
      <w:r w:rsidRPr="00C32CBB">
        <w:rPr>
          <w:rFonts w:cs="Times New Roman"/>
          <w:i/>
          <w:lang w:val="fr-CA"/>
        </w:rPr>
        <w:t>novo</w:t>
      </w:r>
      <w:r w:rsidRPr="00FE4BFA">
        <w:rPr>
          <w:rFonts w:cs="Times New Roman"/>
          <w:lang w:val="fr-CA"/>
        </w:rPr>
        <w:t xml:space="preserve"> si la protection des réfugiés doit être refusée à l’appelant parce qu’il s’est rendu coupable de crimes internationaux.  La Cour doit donc arrêter le critère à appliquer pour décider s’il y a eu complicité ou non.  Pour ce faire, elle doit également se pencher sur la norme de preuve que commande l’application de l’art. 1F</w:t>
      </w:r>
      <w:r w:rsidRPr="00FE4BFA">
        <w:rPr>
          <w:rFonts w:cs="Times New Roman"/>
          <w:i/>
          <w:lang w:val="fr-CA"/>
        </w:rPr>
        <w:t>a</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Pour les motifs qui suivent, nous concluons qu’une personne est inadmissible à la protection des réfugiés suivant l’art. 1F</w:t>
      </w:r>
      <w:r w:rsidRPr="00FE4BFA">
        <w:rPr>
          <w:rFonts w:cs="Times New Roman"/>
          <w:i/>
          <w:lang w:val="fr-CA"/>
        </w:rPr>
        <w:t>a</w:t>
      </w:r>
      <w:r w:rsidRPr="00FE4BFA">
        <w:rPr>
          <w:rFonts w:cs="Times New Roman"/>
          <w:lang w:val="fr-CA"/>
        </w:rPr>
        <w:t>) pour cause de complicité dans la perpétration de crimes internationaux lorsqu’il existe des raisons sérieuses de penser qu’elle a volontairement apporté une contribution consciente et significative aux crimes ou au dessein criminel du groupe qui les aurait commis.  Le fardeau de preuve incombe à la partie qui requiert l’exclusion, à savoir le Ministre</w:t>
      </w:r>
      <w:r w:rsidR="00C32CBB">
        <w:rPr>
          <w:rFonts w:cs="Times New Roman"/>
          <w:lang w:val="fr-CA"/>
        </w:rPr>
        <w:t xml:space="preserve"> : </w:t>
      </w:r>
      <w:r w:rsidRPr="00FE4BFA">
        <w:rPr>
          <w:rFonts w:cs="Times New Roman"/>
          <w:i/>
          <w:lang w:val="fr-CA"/>
        </w:rPr>
        <w:t>Ramirez</w:t>
      </w:r>
      <w:r w:rsidRPr="00FE4BFA">
        <w:rPr>
          <w:rFonts w:cs="Times New Roman"/>
          <w:lang w:val="fr-CA"/>
        </w:rPr>
        <w:t>,</w:t>
      </w:r>
      <w:r w:rsidRPr="00FE4BFA">
        <w:rPr>
          <w:rFonts w:cs="Times New Roman"/>
          <w:i/>
          <w:lang w:val="fr-CA"/>
        </w:rPr>
        <w:t xml:space="preserve"> </w:t>
      </w:r>
      <w:r w:rsidR="00C32CBB">
        <w:rPr>
          <w:rFonts w:cs="Times New Roman"/>
          <w:lang w:val="fr-CA"/>
        </w:rPr>
        <w:t>p. 314</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 xml:space="preserve">Pour écarter la notion de complicité par association, nous avons examiné (i) l’objet de la </w:t>
      </w:r>
      <w:r w:rsidRPr="00FE4BFA">
        <w:rPr>
          <w:rFonts w:cs="Times New Roman"/>
          <w:i/>
          <w:lang w:val="fr-CA"/>
        </w:rPr>
        <w:t>Convention relative aux réfugiés</w:t>
      </w:r>
      <w:r w:rsidRPr="00FE4BFA">
        <w:rPr>
          <w:rFonts w:cs="Times New Roman"/>
          <w:lang w:val="fr-CA"/>
        </w:rPr>
        <w:t xml:space="preserve"> et de son art. 1F</w:t>
      </w:r>
      <w:r w:rsidRPr="00FE4BFA">
        <w:rPr>
          <w:rFonts w:cs="Times New Roman"/>
          <w:i/>
          <w:lang w:val="fr-CA"/>
        </w:rPr>
        <w:t>a</w:t>
      </w:r>
      <w:r w:rsidRPr="00FE4BFA">
        <w:rPr>
          <w:rFonts w:cs="Times New Roman"/>
          <w:lang w:val="fr-CA"/>
        </w:rPr>
        <w:t>), (ii) le rôle de la Commission, (iii) le droit international auquel renvoie expressément l’art. 1F</w:t>
      </w:r>
      <w:r w:rsidRPr="00FE4BFA">
        <w:rPr>
          <w:rFonts w:cs="Times New Roman"/>
          <w:i/>
          <w:lang w:val="fr-CA"/>
        </w:rPr>
        <w:t>a</w:t>
      </w:r>
      <w:r w:rsidRPr="00FE4BFA">
        <w:rPr>
          <w:rFonts w:cs="Times New Roman"/>
          <w:lang w:val="fr-CA"/>
        </w:rPr>
        <w:t xml:space="preserve">) et (iv) le critère de complicité retenu par d’autres États parties à la </w:t>
      </w:r>
      <w:r w:rsidRPr="00FE4BFA">
        <w:rPr>
          <w:rFonts w:cs="Times New Roman"/>
          <w:i/>
          <w:lang w:val="fr-CA"/>
        </w:rPr>
        <w:t xml:space="preserve">Convention relative aux réfugiés </w:t>
      </w:r>
      <w:r w:rsidRPr="00FE4BFA">
        <w:rPr>
          <w:rFonts w:cs="Times New Roman"/>
          <w:lang w:val="fr-CA"/>
        </w:rPr>
        <w:t>pour l’application de son art. 1F</w:t>
      </w:r>
      <w:r w:rsidRPr="00FE4BFA">
        <w:rPr>
          <w:rFonts w:cs="Times New Roman"/>
          <w:i/>
          <w:lang w:val="fr-CA"/>
        </w:rPr>
        <w:t>a</w:t>
      </w:r>
      <w:r w:rsidRPr="00FE4BFA">
        <w:rPr>
          <w:rFonts w:cs="Times New Roman"/>
          <w:lang w:val="fr-CA"/>
        </w:rPr>
        <w:t>).  Ces éléments établissent to</w:t>
      </w:r>
      <w:r w:rsidR="00C82CBE">
        <w:rPr>
          <w:rFonts w:cs="Times New Roman"/>
          <w:lang w:val="fr-CA"/>
        </w:rPr>
        <w:t xml:space="preserve">us la nécessité de resserrer </w:t>
      </w:r>
      <w:r w:rsidRPr="00FE4BFA">
        <w:rPr>
          <w:rFonts w:cs="Times New Roman"/>
          <w:lang w:val="fr-CA"/>
        </w:rPr>
        <w:t xml:space="preserve">la notion de complicité au Canada pour les besoins de </w:t>
      </w:r>
      <w:r w:rsidRPr="00FE4BFA">
        <w:rPr>
          <w:rFonts w:cs="Times New Roman"/>
          <w:lang w:val="fr-CA"/>
        </w:rPr>
        <w:lastRenderedPageBreak/>
        <w:t>l’art. 1F</w:t>
      </w:r>
      <w:r w:rsidRPr="00FE4BFA">
        <w:rPr>
          <w:rFonts w:cs="Times New Roman"/>
          <w:i/>
          <w:lang w:val="fr-CA"/>
        </w:rPr>
        <w:t>a</w:t>
      </w:r>
      <w:r w:rsidRPr="00FE4BFA">
        <w:rPr>
          <w:rFonts w:cs="Times New Roman"/>
          <w:lang w:val="fr-CA"/>
        </w:rPr>
        <w:t>)</w:t>
      </w:r>
      <w:r w:rsidR="00C82CBE">
        <w:rPr>
          <w:rFonts w:cs="Times New Roman"/>
          <w:lang w:val="fr-CA"/>
        </w:rPr>
        <w:t xml:space="preserve"> afin qu’une personne ne se voie</w:t>
      </w:r>
      <w:r w:rsidRPr="00FE4BFA">
        <w:rPr>
          <w:rFonts w:cs="Times New Roman"/>
          <w:lang w:val="fr-CA"/>
        </w:rPr>
        <w:t xml:space="preserve"> pas refuser la protection des réfugiés pour le seul motif qu’elle est associée à l’auteur de crimes internationaux. </w:t>
      </w:r>
    </w:p>
    <w:p w:rsidR="00454BD3" w:rsidRPr="00FE4BFA" w:rsidRDefault="00454BD3" w:rsidP="00454BD3">
      <w:pPr>
        <w:pStyle w:val="ParaNoNdepar-AltN"/>
        <w:numPr>
          <w:ilvl w:val="0"/>
          <w:numId w:val="0"/>
        </w:numPr>
        <w:rPr>
          <w:rFonts w:cs="Times New Roman"/>
          <w:lang w:val="fr-CA"/>
        </w:rPr>
      </w:pPr>
      <w:r w:rsidRPr="00FE4BFA">
        <w:rPr>
          <w:rFonts w:cs="Times New Roman"/>
          <w:lang w:val="fr-CA"/>
        </w:rPr>
        <w:t>B.</w:t>
      </w:r>
      <w:r w:rsidRPr="00FE4BFA">
        <w:rPr>
          <w:rFonts w:cs="Times New Roman"/>
          <w:lang w:val="fr-CA"/>
        </w:rPr>
        <w:tab/>
      </w:r>
      <w:r w:rsidRPr="00FE4BFA">
        <w:rPr>
          <w:rFonts w:cs="Times New Roman"/>
          <w:i/>
          <w:lang w:val="fr-CA"/>
        </w:rPr>
        <w:t>L’objet de la Convention relative aux réfugiés et de son art</w:t>
      </w:r>
      <w:r w:rsidR="00C32CBB">
        <w:rPr>
          <w:rFonts w:cs="Times New Roman"/>
          <w:i/>
          <w:lang w:val="fr-CA"/>
        </w:rPr>
        <w:t>.</w:t>
      </w:r>
      <w:r w:rsidRPr="00FE4BFA">
        <w:rPr>
          <w:rFonts w:cs="Times New Roman"/>
          <w:i/>
          <w:lang w:val="fr-CA"/>
        </w:rPr>
        <w:t> 1Fa)</w:t>
      </w:r>
    </w:p>
    <w:p w:rsidR="00454BD3" w:rsidRPr="00FE4BFA" w:rsidRDefault="00454BD3" w:rsidP="00454BD3">
      <w:pPr>
        <w:pStyle w:val="ParaNoNdepar-AltN"/>
        <w:rPr>
          <w:rFonts w:cs="Times New Roman"/>
          <w:lang w:val="fr-CA"/>
        </w:rPr>
      </w:pPr>
      <w:r w:rsidRPr="00FE4BFA">
        <w:rPr>
          <w:rFonts w:cs="Times New Roman"/>
          <w:lang w:val="fr-CA"/>
        </w:rPr>
        <w:t xml:space="preserve">À notre avis, l’objet de la </w:t>
      </w:r>
      <w:r w:rsidRPr="00FE4BFA">
        <w:rPr>
          <w:rFonts w:cs="Times New Roman"/>
          <w:i/>
          <w:lang w:val="fr-CA"/>
        </w:rPr>
        <w:t>Convention relative aux réfugiés</w:t>
      </w:r>
      <w:r w:rsidRPr="00FE4BFA">
        <w:rPr>
          <w:rFonts w:cs="Times New Roman"/>
          <w:lang w:val="fr-CA"/>
        </w:rPr>
        <w:t>, de même que celui de son art. 1F</w:t>
      </w:r>
      <w:r w:rsidRPr="00FE4BFA">
        <w:rPr>
          <w:rFonts w:cs="Times New Roman"/>
          <w:i/>
          <w:lang w:val="fr-CA"/>
        </w:rPr>
        <w:t>a</w:t>
      </w:r>
      <w:r w:rsidRPr="00FE4BFA">
        <w:rPr>
          <w:rFonts w:cs="Times New Roman"/>
          <w:lang w:val="fr-CA"/>
        </w:rPr>
        <w:t>), permettent de mieux cerner l’interprétation qui convient aux fins de déterminer s’il y a exclusion de la protection des réfugiés pour cause de complicité dans la perpétration d’un crime international</w:t>
      </w:r>
      <w:r w:rsidR="00C32CBB">
        <w:rPr>
          <w:rFonts w:cs="Times New Roman"/>
          <w:lang w:val="fr-CA"/>
        </w:rPr>
        <w:t xml:space="preserve"> : </w:t>
      </w:r>
      <w:r w:rsidRPr="00FE4BFA">
        <w:rPr>
          <w:rFonts w:cs="Times New Roman"/>
          <w:i/>
          <w:iCs/>
          <w:lang w:val="fr-CA"/>
        </w:rPr>
        <w:t>Convention de Vienne sur le droit des traités</w:t>
      </w:r>
      <w:r w:rsidRPr="00FE4BFA">
        <w:rPr>
          <w:rFonts w:cs="Times New Roman"/>
          <w:lang w:val="fr-CA"/>
        </w:rPr>
        <w:t>, R.T. Can. 1980 n° 37, art. </w:t>
      </w:r>
      <w:r w:rsidR="00C32CBB">
        <w:rPr>
          <w:rFonts w:cs="Times New Roman"/>
          <w:bCs/>
          <w:lang w:val="fr-CA"/>
        </w:rPr>
        <w:t>31</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 xml:space="preserve">Le préambule de la </w:t>
      </w:r>
      <w:r w:rsidRPr="00FE4BFA">
        <w:rPr>
          <w:rFonts w:cs="Times New Roman"/>
          <w:i/>
          <w:lang w:val="fr-CA"/>
        </w:rPr>
        <w:t xml:space="preserve">Convention relative aux réfugiés </w:t>
      </w:r>
      <w:r w:rsidRPr="00FE4BFA">
        <w:rPr>
          <w:rFonts w:cs="Times New Roman"/>
          <w:lang w:val="fr-CA"/>
        </w:rPr>
        <w:t>souligne la « profonde sollicitude que [la communauté internationale] éprouve pour les réfugiés » et son souci « d’assurer à ceux</w:t>
      </w:r>
      <w:r w:rsidRPr="00FE4BFA">
        <w:rPr>
          <w:rFonts w:cs="Times New Roman"/>
          <w:lang w:val="fr-CA"/>
        </w:rPr>
        <w:noBreakHyphen/>
        <w:t>ci l’exercice le plus large possible des droits de l’homme et des libertés fondamentales ».  L’interprétation de l’art. 1F</w:t>
      </w:r>
      <w:r w:rsidRPr="00FE4BFA">
        <w:rPr>
          <w:rFonts w:cs="Times New Roman"/>
          <w:i/>
          <w:lang w:val="fr-CA"/>
        </w:rPr>
        <w:t>a</w:t>
      </w:r>
      <w:r w:rsidRPr="00FE4BFA">
        <w:rPr>
          <w:rFonts w:cs="Times New Roman"/>
          <w:lang w:val="fr-CA"/>
        </w:rPr>
        <w:t>) doit tenir compte de « [c]es objets et [de] ces buts généraux, nettement en rapport av</w:t>
      </w:r>
      <w:r w:rsidR="00C32CBB">
        <w:rPr>
          <w:rFonts w:cs="Times New Roman"/>
          <w:lang w:val="fr-CA"/>
        </w:rPr>
        <w:t xml:space="preserve">ec les droits de la personne » : </w:t>
      </w:r>
      <w:r w:rsidRPr="00FE4BFA">
        <w:rPr>
          <w:rFonts w:cs="Times New Roman"/>
          <w:i/>
          <w:lang w:val="fr-CA"/>
        </w:rPr>
        <w:t>Pushpanathan c. Canada (Ministre de la Citoyenneté et de l’Immigration</w:t>
      </w:r>
      <w:r w:rsidRPr="00C32CBB">
        <w:rPr>
          <w:rFonts w:cs="Times New Roman"/>
          <w:i/>
          <w:lang w:val="fr-CA"/>
        </w:rPr>
        <w:t>)</w:t>
      </w:r>
      <w:r w:rsidRPr="00FE4BFA">
        <w:rPr>
          <w:rFonts w:cs="Times New Roman"/>
          <w:lang w:val="fr-CA"/>
        </w:rPr>
        <w:t xml:space="preserve">, [1998] 1 R.C.S. 982, par. 57.  </w:t>
      </w:r>
    </w:p>
    <w:p w:rsidR="00454BD3" w:rsidRPr="00FE4BFA" w:rsidRDefault="00454BD3" w:rsidP="00454BD3">
      <w:pPr>
        <w:pStyle w:val="ParaNoNdepar-AltN"/>
        <w:rPr>
          <w:rFonts w:cs="Times New Roman"/>
          <w:lang w:val="fr-CA"/>
        </w:rPr>
      </w:pPr>
      <w:r w:rsidRPr="00FE4BFA">
        <w:rPr>
          <w:rFonts w:cs="Times New Roman"/>
          <w:lang w:val="fr-CA"/>
        </w:rPr>
        <w:t xml:space="preserve">Cela dit, si grande que soit la portée de l’obligation de protéger les réfugiés qui découle de la </w:t>
      </w:r>
      <w:r w:rsidRPr="00FE4BFA">
        <w:rPr>
          <w:rFonts w:cs="Times New Roman"/>
          <w:i/>
          <w:lang w:val="fr-CA"/>
        </w:rPr>
        <w:t>Convention relative aux réfugiés</w:t>
      </w:r>
      <w:r w:rsidRPr="00FE4BFA">
        <w:rPr>
          <w:rFonts w:cs="Times New Roman"/>
          <w:lang w:val="fr-CA"/>
        </w:rPr>
        <w:t xml:space="preserve">, elle connaît des limites.  En particulier, celle-ci ne protège pas l’auteur d’un crime international.  Incorporée directement au droit canadien en vertu de l’art. 98 de la </w:t>
      </w:r>
      <w:r w:rsidRPr="00FE4BFA">
        <w:rPr>
          <w:rFonts w:cs="Times New Roman"/>
          <w:i/>
          <w:lang w:val="fr-CA"/>
        </w:rPr>
        <w:t>LIPR</w:t>
      </w:r>
      <w:r w:rsidRPr="00FE4BFA">
        <w:rPr>
          <w:rFonts w:cs="Times New Roman"/>
          <w:lang w:val="fr-CA"/>
        </w:rPr>
        <w:t>, l’art. 1F</w:t>
      </w:r>
      <w:r w:rsidRPr="00FE4BFA">
        <w:rPr>
          <w:rFonts w:cs="Times New Roman"/>
          <w:i/>
          <w:lang w:val="fr-CA"/>
        </w:rPr>
        <w:t>a</w:t>
      </w:r>
      <w:r w:rsidRPr="00FE4BFA">
        <w:rPr>
          <w:rFonts w:cs="Times New Roman"/>
          <w:lang w:val="fr-CA"/>
        </w:rPr>
        <w:t xml:space="preserve">) vise à </w:t>
      </w:r>
      <w:r w:rsidRPr="00FE4BFA">
        <w:rPr>
          <w:rFonts w:cs="Times New Roman"/>
          <w:lang w:val="fr-CA"/>
        </w:rPr>
        <w:lastRenderedPageBreak/>
        <w:t xml:space="preserve">empêcher le recours abusif à la </w:t>
      </w:r>
      <w:r w:rsidRPr="00FE4BFA">
        <w:rPr>
          <w:rFonts w:cs="Times New Roman"/>
          <w:i/>
          <w:lang w:val="fr-CA"/>
        </w:rPr>
        <w:t>Convention</w:t>
      </w:r>
      <w:r w:rsidRPr="00FE4BFA">
        <w:rPr>
          <w:rFonts w:cs="Times New Roman"/>
          <w:lang w:val="fr-CA"/>
        </w:rPr>
        <w:t xml:space="preserve"> </w:t>
      </w:r>
      <w:r w:rsidRPr="00FE4BFA">
        <w:rPr>
          <w:rFonts w:cs="Times New Roman"/>
          <w:i/>
          <w:lang w:val="fr-CA"/>
        </w:rPr>
        <w:t>relative aux réfugiés</w:t>
      </w:r>
      <w:r w:rsidRPr="00FE4BFA">
        <w:rPr>
          <w:rFonts w:cs="Times New Roman"/>
          <w:lang w:val="fr-CA"/>
        </w:rPr>
        <w:t xml:space="preserve"> et refuse la protection qui y est prévue : </w:t>
      </w:r>
    </w:p>
    <w:p w:rsidR="00454BD3" w:rsidRPr="00FE4BFA" w:rsidRDefault="00454BD3" w:rsidP="00454BD3">
      <w:pPr>
        <w:pStyle w:val="Citation-AltC"/>
        <w:spacing w:after="240"/>
        <w:ind w:left="1168" w:hanging="1168"/>
        <w:contextualSpacing w:val="0"/>
        <w:rPr>
          <w:lang w:val="fr-CA"/>
        </w:rPr>
      </w:pPr>
      <w:r w:rsidRPr="00FE4BFA">
        <w:rPr>
          <w:lang w:val="fr-CA"/>
        </w:rPr>
        <w:tab/>
      </w:r>
      <w:r w:rsidR="00C32CBB">
        <w:rPr>
          <w:lang w:val="fr-CA"/>
        </w:rPr>
        <w:t xml:space="preserve">. . . </w:t>
      </w:r>
      <w:r w:rsidRPr="00FE4BFA">
        <w:rPr>
          <w:lang w:val="fr-CA"/>
        </w:rPr>
        <w:t>aux personnes dont on aura des raisons sérieuses de penser :</w:t>
      </w:r>
    </w:p>
    <w:p w:rsidR="00454BD3" w:rsidRPr="00FE4BFA" w:rsidRDefault="00454BD3" w:rsidP="00C32CBB">
      <w:pPr>
        <w:pStyle w:val="Citation-AltC"/>
        <w:tabs>
          <w:tab w:val="left" w:pos="1530"/>
        </w:tabs>
        <w:ind w:left="1890" w:hanging="1620"/>
        <w:contextualSpacing w:val="0"/>
        <w:rPr>
          <w:lang w:val="fr-CA"/>
        </w:rPr>
      </w:pPr>
      <w:r w:rsidRPr="00FE4BFA">
        <w:rPr>
          <w:i/>
          <w:lang w:val="fr-CA"/>
        </w:rPr>
        <w:tab/>
        <w:t>a</w:t>
      </w:r>
      <w:r w:rsidR="00C32CBB">
        <w:rPr>
          <w:lang w:val="fr-CA"/>
        </w:rPr>
        <w:t>)</w:t>
      </w:r>
      <w:r w:rsidR="00C32CBB">
        <w:rPr>
          <w:lang w:val="fr-CA"/>
        </w:rPr>
        <w:tab/>
      </w:r>
      <w:r w:rsidRPr="00FE4BFA">
        <w:rPr>
          <w:lang w:val="fr-CA"/>
        </w:rPr>
        <w:t>qu’elles ont commis un crime contre la paix, un crime de guerre ou un crime contre l’humanité, au sens des instruments internationaux élaborés pour prévoir des dispositions relatives à ces crimes;</w:t>
      </w:r>
    </w:p>
    <w:p w:rsidR="00454BD3" w:rsidRPr="00FE4BFA" w:rsidRDefault="00454BD3" w:rsidP="00454BD3">
      <w:pPr>
        <w:pStyle w:val="ParaNoNdepar-AltN"/>
        <w:rPr>
          <w:rFonts w:cs="Times New Roman"/>
          <w:lang w:val="fr-CA"/>
        </w:rPr>
      </w:pPr>
      <w:r w:rsidRPr="00FE4BFA">
        <w:rPr>
          <w:rFonts w:cs="Times New Roman"/>
          <w:lang w:val="fr-CA"/>
        </w:rPr>
        <w:t>Comme le reconnaît la Cour</w:t>
      </w:r>
      <w:r w:rsidR="00C32CBB">
        <w:rPr>
          <w:rFonts w:cs="Times New Roman"/>
          <w:lang w:val="fr-CA"/>
        </w:rPr>
        <w:t xml:space="preserve"> d’appel</w:t>
      </w:r>
      <w:r w:rsidRPr="00FE4BFA">
        <w:rPr>
          <w:rFonts w:cs="Times New Roman"/>
          <w:lang w:val="fr-CA"/>
        </w:rPr>
        <w:t xml:space="preserve"> fédérale dans </w:t>
      </w:r>
      <w:r w:rsidRPr="00FE4BFA">
        <w:rPr>
          <w:rFonts w:cs="Times New Roman"/>
          <w:i/>
          <w:lang w:val="fr-CA"/>
        </w:rPr>
        <w:t>Sivakumar c. Canada (Ministre de l’Emploi et de l’Immigration)</w:t>
      </w:r>
      <w:r w:rsidRPr="00FE4BFA">
        <w:rPr>
          <w:rFonts w:cs="Times New Roman"/>
          <w:lang w:val="fr-CA"/>
        </w:rPr>
        <w:t>,</w:t>
      </w:r>
      <w:r w:rsidRPr="00FE4BFA">
        <w:rPr>
          <w:rFonts w:cs="Times New Roman"/>
          <w:i/>
          <w:lang w:val="fr-CA"/>
        </w:rPr>
        <w:t xml:space="preserve"> </w:t>
      </w:r>
      <w:r w:rsidRPr="00FE4BFA">
        <w:rPr>
          <w:rFonts w:cs="Times New Roman"/>
          <w:lang w:val="fr-CA"/>
        </w:rPr>
        <w:t>[1994] 1 C.F. 433, p. 445, « [l]</w:t>
      </w:r>
      <w:r w:rsidRPr="00FE4BFA">
        <w:rPr>
          <w:rFonts w:cs="Times New Roman"/>
          <w:lang w:val="fr-FR"/>
        </w:rPr>
        <w:t>orsque par un juste retour des choses, les persécuteurs deviennent les persécutés, ils ne pourront pas revendiquer le statut de réfugié.  Les criminels internationaux, de quelque côté qu'ils se trouvent dans les conflits, sont ainsi privés à jus</w:t>
      </w:r>
      <w:r w:rsidR="00C32CBB">
        <w:rPr>
          <w:rFonts w:cs="Times New Roman"/>
          <w:lang w:val="fr-FR"/>
        </w:rPr>
        <w:t>te titre du statut de réfugié. »</w:t>
      </w:r>
      <w:r w:rsidRPr="00FE4BFA">
        <w:rPr>
          <w:rFonts w:cs="Times New Roman"/>
          <w:lang w:val="fr-CA"/>
        </w:rPr>
        <w:t xml:space="preserve">  Autrement dit, ceux qui sont à l’origine de l’existence de réfugiés ne peuvent eux</w:t>
      </w:r>
      <w:r w:rsidRPr="00FE4BFA">
        <w:rPr>
          <w:rFonts w:cs="Times New Roman"/>
          <w:lang w:val="fr-CA"/>
        </w:rPr>
        <w:noBreakHyphen/>
        <w:t>mêmes être des réfugiés</w:t>
      </w:r>
      <w:r w:rsidR="00C32CBB">
        <w:rPr>
          <w:rFonts w:cs="Times New Roman"/>
          <w:lang w:val="fr-CA"/>
        </w:rPr>
        <w:t xml:space="preserve"> : </w:t>
      </w:r>
      <w:r w:rsidRPr="00FE4BFA">
        <w:rPr>
          <w:rFonts w:cs="Times New Roman"/>
          <w:i/>
          <w:lang w:val="fr-CA"/>
        </w:rPr>
        <w:t>Pushpanathan</w:t>
      </w:r>
      <w:r w:rsidRPr="00FE4BFA">
        <w:rPr>
          <w:rFonts w:cs="Times New Roman"/>
          <w:lang w:val="fr-CA"/>
        </w:rPr>
        <w:t xml:space="preserve">, par. 63; </w:t>
      </w:r>
      <w:r w:rsidRPr="00FE4BFA">
        <w:rPr>
          <w:rFonts w:cs="Times New Roman"/>
          <w:i/>
          <w:lang w:val="fr-CA"/>
        </w:rPr>
        <w:t>Zrig c. Canada (Ministre de la Citoyenneté et de l’Immigration)</w:t>
      </w:r>
      <w:r w:rsidRPr="00FE4BFA">
        <w:rPr>
          <w:rFonts w:cs="Times New Roman"/>
          <w:lang w:val="fr-CA"/>
        </w:rPr>
        <w:t>, 2003 CAF 1</w:t>
      </w:r>
      <w:r w:rsidR="00C32CBB">
        <w:rPr>
          <w:rFonts w:cs="Times New Roman"/>
          <w:lang w:val="fr-CA"/>
        </w:rPr>
        <w:t>78, [2003] 3 C.F. 761, par. 118</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D’une part, une interprétation trop stricte de l’art. 1F</w:t>
      </w:r>
      <w:r w:rsidRPr="00FE4BFA">
        <w:rPr>
          <w:rFonts w:cs="Times New Roman"/>
          <w:i/>
          <w:lang w:val="fr-CA"/>
        </w:rPr>
        <w:t>a</w:t>
      </w:r>
      <w:r w:rsidRPr="00FE4BFA">
        <w:rPr>
          <w:rFonts w:cs="Times New Roman"/>
          <w:lang w:val="fr-CA"/>
        </w:rPr>
        <w:t xml:space="preserve">) risque de transformer le pays en refuge pour les auteurs de crimes internationaux, ce que la disposition portant exclusion vise à empêcher.  Par contre, </w:t>
      </w:r>
      <w:r>
        <w:rPr>
          <w:rFonts w:cs="Times New Roman"/>
          <w:lang w:val="fr-CA"/>
        </w:rPr>
        <w:t xml:space="preserve">une interprétation stricte </w:t>
      </w:r>
      <w:r w:rsidRPr="00FE4BFA">
        <w:rPr>
          <w:rFonts w:cs="Times New Roman"/>
          <w:lang w:val="fr-CA"/>
        </w:rPr>
        <w:t xml:space="preserve">peut être considérée comme étant plus respectueuse de l’objectif humanitaire de la </w:t>
      </w:r>
      <w:r w:rsidRPr="00FE4BFA">
        <w:rPr>
          <w:rFonts w:cs="Times New Roman"/>
          <w:i/>
          <w:lang w:val="fr-CA"/>
        </w:rPr>
        <w:t>Convention relative aux réfugiés</w:t>
      </w:r>
      <w:r w:rsidR="00C32CBB">
        <w:rPr>
          <w:rFonts w:cs="Times New Roman"/>
          <w:i/>
          <w:lang w:val="fr-CA"/>
        </w:rPr>
        <w:t> </w:t>
      </w:r>
      <w:r w:rsidR="00C32CBB">
        <w:rPr>
          <w:rFonts w:cs="Times New Roman"/>
          <w:lang w:val="fr-CA"/>
        </w:rPr>
        <w:t xml:space="preserve">: </w:t>
      </w:r>
      <w:r w:rsidRPr="00FE4BFA">
        <w:rPr>
          <w:rFonts w:cs="Times New Roman"/>
          <w:lang w:val="fr-CA"/>
        </w:rPr>
        <w:t>Haut Commissa</w:t>
      </w:r>
      <w:r w:rsidR="00C32CBB">
        <w:rPr>
          <w:rFonts w:cs="Times New Roman"/>
          <w:lang w:val="fr-CA"/>
        </w:rPr>
        <w:t>riat</w:t>
      </w:r>
      <w:r w:rsidRPr="00FE4BFA">
        <w:rPr>
          <w:rFonts w:cs="Times New Roman"/>
          <w:lang w:val="fr-CA"/>
        </w:rPr>
        <w:t xml:space="preserve"> des Nations Unies pour les réfugiés (« HCR »), « Principes directeurs sur la protection internationale : </w:t>
      </w:r>
      <w:r w:rsidRPr="00FE4BFA">
        <w:rPr>
          <w:rFonts w:cs="Times New Roman"/>
          <w:lang w:val="fr-CA"/>
        </w:rPr>
        <w:lastRenderedPageBreak/>
        <w:t>Application des clauses d’exclusion : article 1F de la Convention de 1951 relative au statut des réfugiés », HCR/GIP/03/05, 4 se</w:t>
      </w:r>
      <w:r w:rsidR="00C32CBB">
        <w:rPr>
          <w:rFonts w:cs="Times New Roman"/>
          <w:lang w:val="fr-CA"/>
        </w:rPr>
        <w:t>ptembre 2003 (en ligne), par. 2</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 xml:space="preserve">Au vu de ce qui précède, il faut donc retenir un critère de complicité soigneusement conçu, un critère qui promeut les grands objectifs humanitaires de la </w:t>
      </w:r>
      <w:r w:rsidRPr="00FE4BFA">
        <w:rPr>
          <w:rFonts w:cs="Times New Roman"/>
          <w:i/>
          <w:lang w:val="fr-CA"/>
        </w:rPr>
        <w:t>Convention relative aux réfugiés</w:t>
      </w:r>
      <w:r w:rsidRPr="00FE4BFA">
        <w:rPr>
          <w:rFonts w:cs="Times New Roman"/>
          <w:lang w:val="fr-CA"/>
        </w:rPr>
        <w:t xml:space="preserve">, mais qui protège aussi l’intégrité de la protection internationale accordée aux réfugiés en empêchant l’auteur d’un crime contre la paix, d’un crime de guerre ou d’un crime contre l’humanité de tirer avantage du régime de protection.  Comme nous l’expliquons plus loin, un critère axé sur la contribution établit un juste équilibre entre ces deux objectifs — un critère qui requiert une contribution à la fois volontaire, consciente et significative au crime ou au dessein criminel d’un groupe.  </w:t>
      </w:r>
    </w:p>
    <w:p w:rsidR="00454BD3" w:rsidRPr="00FE4BFA" w:rsidRDefault="00454BD3" w:rsidP="00454BD3">
      <w:pPr>
        <w:pStyle w:val="TitleTitre-AltT"/>
        <w:rPr>
          <w:rFonts w:cs="Times New Roman"/>
          <w:u w:val="single"/>
          <w:lang w:val="fr-CA"/>
        </w:rPr>
      </w:pPr>
      <w:r w:rsidRPr="00FE4BFA">
        <w:rPr>
          <w:rFonts w:cs="Times New Roman"/>
          <w:lang w:val="fr-CA"/>
        </w:rPr>
        <w:t>C.</w:t>
      </w:r>
      <w:r w:rsidRPr="00FE4BFA">
        <w:rPr>
          <w:rFonts w:cs="Times New Roman"/>
          <w:lang w:val="fr-CA"/>
        </w:rPr>
        <w:tab/>
      </w:r>
      <w:r w:rsidRPr="00FE4BFA">
        <w:rPr>
          <w:rFonts w:cs="Times New Roman"/>
          <w:i/>
          <w:lang w:val="fr-CA"/>
        </w:rPr>
        <w:t>Le rôle de la Section de la protection des réfugiés : se prononcer sur l’exclusion et non sur la culpabilité</w:t>
      </w:r>
      <w:r w:rsidRPr="00FE4BFA">
        <w:rPr>
          <w:rFonts w:cs="Times New Roman"/>
          <w:u w:val="single"/>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 xml:space="preserve">Outre les objectifs de la </w:t>
      </w:r>
      <w:r w:rsidRPr="00FE4BFA">
        <w:rPr>
          <w:rFonts w:cs="Times New Roman"/>
          <w:i/>
          <w:lang w:val="fr-CA"/>
        </w:rPr>
        <w:t>Convention relative aux réfugiés</w:t>
      </w:r>
      <w:r w:rsidRPr="00FE4BFA">
        <w:rPr>
          <w:rFonts w:cs="Times New Roman"/>
          <w:lang w:val="fr-CA"/>
        </w:rPr>
        <w:t xml:space="preserve"> et de l’art. 1F</w:t>
      </w:r>
      <w:r w:rsidRPr="00FE4BFA">
        <w:rPr>
          <w:rFonts w:cs="Times New Roman"/>
          <w:i/>
          <w:lang w:val="fr-CA"/>
        </w:rPr>
        <w:t>a</w:t>
      </w:r>
      <w:r w:rsidRPr="00FE4BFA">
        <w:rPr>
          <w:rFonts w:cs="Times New Roman"/>
          <w:lang w:val="fr-CA"/>
        </w:rPr>
        <w:t xml:space="preserve">), le critère relatif à la complicité doit tenir compte du rôle de la Commission et de la procédure concrète d’examen d’une demande d’asile.  </w:t>
      </w:r>
    </w:p>
    <w:p w:rsidR="00454BD3" w:rsidRPr="00FE4BFA" w:rsidRDefault="00454BD3" w:rsidP="00454BD3">
      <w:pPr>
        <w:pStyle w:val="ParaNoNdepar-AltN"/>
        <w:rPr>
          <w:rFonts w:cs="Times New Roman"/>
          <w:lang w:val="fr-CA"/>
        </w:rPr>
      </w:pPr>
      <w:r w:rsidRPr="00FE4BFA">
        <w:rPr>
          <w:rFonts w:cs="Times New Roman"/>
          <w:lang w:val="fr-CA"/>
        </w:rPr>
        <w:t xml:space="preserve">L’audition d’une telle demande ne saurait être confondue avec un procès criminel devant un tribunal international.  Les tribunaux pénaux internationaux rendent des décisions relativement à certains des crimes les plus graves pour l’ordre juridique international.  En revanche, la Commission se prononce sur le droit d’asile; </w:t>
      </w:r>
      <w:r w:rsidRPr="00FE4BFA">
        <w:rPr>
          <w:rFonts w:cs="Times New Roman"/>
          <w:lang w:val="fr-CA"/>
        </w:rPr>
        <w:lastRenderedPageBreak/>
        <w:t>elle ne conclut ni à la culpabilité du demandeur, ni à son innocence.  L’objet de l’art. 1F</w:t>
      </w:r>
      <w:r w:rsidRPr="00FE4BFA">
        <w:rPr>
          <w:rFonts w:cs="Times New Roman"/>
          <w:i/>
          <w:lang w:val="fr-CA"/>
        </w:rPr>
        <w:t>a</w:t>
      </w:r>
      <w:r w:rsidRPr="00FE4BFA">
        <w:rPr>
          <w:rFonts w:cs="Times New Roman"/>
          <w:lang w:val="fr-CA"/>
        </w:rPr>
        <w:t>) « </w:t>
      </w:r>
      <w:r w:rsidRPr="00FE4BFA">
        <w:rPr>
          <w:rFonts w:cs="Times New Roman"/>
          <w:lang w:val="fr-FR"/>
        </w:rPr>
        <w:t xml:space="preserve">est plutôt d’exclure </w:t>
      </w:r>
      <w:r w:rsidRPr="00FE4BFA">
        <w:rPr>
          <w:rFonts w:cs="Times New Roman"/>
          <w:i/>
          <w:iCs/>
          <w:lang w:val="fr-FR"/>
        </w:rPr>
        <w:t>ab initio</w:t>
      </w:r>
      <w:r w:rsidRPr="00FE4BFA">
        <w:rPr>
          <w:rFonts w:cs="Times New Roman"/>
          <w:lang w:val="fr-FR"/>
        </w:rPr>
        <w:t xml:space="preserve"> ceux qui ne sont pas des réfugiés authentiques au moment de la présentation de leur revendication »</w:t>
      </w:r>
      <w:r w:rsidR="00C32CBB">
        <w:rPr>
          <w:rFonts w:cs="Times New Roman"/>
          <w:lang w:val="fr-CA"/>
        </w:rPr>
        <w:t xml:space="preserve"> : </w:t>
      </w:r>
      <w:r w:rsidRPr="00FE4BFA">
        <w:rPr>
          <w:rFonts w:cs="Times New Roman"/>
          <w:i/>
          <w:lang w:val="fr-CA"/>
        </w:rPr>
        <w:t>Pushpanathan</w:t>
      </w:r>
      <w:r w:rsidR="00C32CBB">
        <w:rPr>
          <w:rFonts w:cs="Times New Roman"/>
          <w:lang w:val="fr-CA"/>
        </w:rPr>
        <w:t>, par. 58</w:t>
      </w:r>
      <w:r w:rsidRPr="00FE4BFA">
        <w:rPr>
          <w:rFonts w:cs="Times New Roman"/>
          <w:lang w:val="fr-CA"/>
        </w:rPr>
        <w:t>.</w:t>
      </w:r>
    </w:p>
    <w:p w:rsidR="00454BD3" w:rsidRPr="00C32CBB" w:rsidRDefault="00454BD3" w:rsidP="00C32CBB">
      <w:pPr>
        <w:pStyle w:val="ParaNoNdepar-AltN"/>
        <w:rPr>
          <w:rFonts w:cs="Times New Roman"/>
          <w:lang w:val="fr-CA"/>
        </w:rPr>
      </w:pPr>
      <w:r w:rsidRPr="00FE4BFA">
        <w:rPr>
          <w:rFonts w:cs="Times New Roman"/>
          <w:lang w:val="fr-CA"/>
        </w:rPr>
        <w:t>C’est pourquoi l’audience de la Commission est généralement moins formelle que celle d’une cour pénale.  La Commission n’est pas tenue de suivre les règles de preuve habituelles</w:t>
      </w:r>
      <w:r w:rsidR="00C32CBB">
        <w:rPr>
          <w:rFonts w:cs="Times New Roman"/>
          <w:lang w:val="fr-CA"/>
        </w:rPr>
        <w:t xml:space="preserve"> : </w:t>
      </w:r>
      <w:r w:rsidRPr="00FE4BFA">
        <w:rPr>
          <w:rFonts w:cs="Times New Roman"/>
          <w:i/>
          <w:lang w:val="fr-CA"/>
        </w:rPr>
        <w:t>LIPR</w:t>
      </w:r>
      <w:r w:rsidRPr="00FE4BFA">
        <w:rPr>
          <w:rFonts w:cs="Times New Roman"/>
          <w:lang w:val="fr-CA"/>
        </w:rPr>
        <w:t>, al. 170</w:t>
      </w:r>
      <w:r w:rsidRPr="00FE4BFA">
        <w:rPr>
          <w:rFonts w:cs="Times New Roman"/>
          <w:i/>
          <w:lang w:val="fr-CA"/>
        </w:rPr>
        <w:t>g</w:t>
      </w:r>
      <w:r w:rsidRPr="00FE4BFA">
        <w:rPr>
          <w:rFonts w:cs="Times New Roman"/>
          <w:lang w:val="fr-CA"/>
        </w:rPr>
        <w:t xml:space="preserve">) et </w:t>
      </w:r>
      <w:r w:rsidRPr="00FE4BFA">
        <w:rPr>
          <w:rFonts w:cs="Times New Roman"/>
          <w:i/>
          <w:lang w:val="fr-CA"/>
        </w:rPr>
        <w:t>h</w:t>
      </w:r>
      <w:r w:rsidRPr="00FE4BFA">
        <w:rPr>
          <w:rFonts w:cs="Times New Roman"/>
          <w:lang w:val="fr-CA"/>
        </w:rPr>
        <w:t>);</w:t>
      </w:r>
      <w:r w:rsidRPr="00FE4BFA">
        <w:rPr>
          <w:rFonts w:cs="Times New Roman"/>
          <w:i/>
          <w:lang w:val="fr-CA"/>
        </w:rPr>
        <w:t xml:space="preserve"> Thamotharem c. Canada</w:t>
      </w:r>
      <w:r w:rsidRPr="00FE4BFA">
        <w:rPr>
          <w:rFonts w:cs="Times New Roman"/>
          <w:lang w:val="fr-CA"/>
        </w:rPr>
        <w:t xml:space="preserve"> </w:t>
      </w:r>
      <w:r w:rsidRPr="00FE4BFA">
        <w:rPr>
          <w:rFonts w:cs="Times New Roman"/>
          <w:i/>
          <w:lang w:val="fr-CA"/>
        </w:rPr>
        <w:t>(Ministre de la Citoyenneté et de l’Immigration)</w:t>
      </w:r>
      <w:r w:rsidRPr="00FE4BFA">
        <w:rPr>
          <w:rFonts w:cs="Times New Roman"/>
          <w:lang w:val="fr-CA"/>
        </w:rPr>
        <w:t xml:space="preserve">, 2007 CAF 198, [2008] 1 R.C.F. 385, par. 41; </w:t>
      </w:r>
      <w:r w:rsidRPr="00FE4BFA">
        <w:rPr>
          <w:rFonts w:cs="Times New Roman"/>
          <w:i/>
          <w:lang w:val="fr-CA"/>
        </w:rPr>
        <w:t>Kumar c. Canada</w:t>
      </w:r>
      <w:r w:rsidRPr="00FE4BFA">
        <w:rPr>
          <w:rFonts w:cs="Times New Roman"/>
          <w:lang w:val="fr-CA"/>
        </w:rPr>
        <w:t xml:space="preserve"> </w:t>
      </w:r>
      <w:r w:rsidRPr="00FE4BFA">
        <w:rPr>
          <w:rFonts w:cs="Times New Roman"/>
          <w:i/>
          <w:lang w:val="fr-CA"/>
        </w:rPr>
        <w:t>(Citoyenneté et</w:t>
      </w:r>
      <w:r w:rsidR="00C32CBB">
        <w:rPr>
          <w:rFonts w:cs="Times New Roman"/>
          <w:i/>
          <w:lang w:val="fr-CA"/>
        </w:rPr>
        <w:t xml:space="preserve"> </w:t>
      </w:r>
      <w:r w:rsidRPr="00FE4BFA">
        <w:rPr>
          <w:rFonts w:cs="Times New Roman"/>
          <w:i/>
          <w:lang w:val="fr-CA"/>
        </w:rPr>
        <w:t>Immigration)</w:t>
      </w:r>
      <w:r w:rsidRPr="00FE4BFA">
        <w:rPr>
          <w:rFonts w:cs="Times New Roman"/>
          <w:lang w:val="fr-CA"/>
        </w:rPr>
        <w:t>, 2009</w:t>
      </w:r>
      <w:r w:rsidR="00C32CBB">
        <w:rPr>
          <w:rFonts w:cs="Times New Roman"/>
          <w:lang w:val="fr-CA"/>
        </w:rPr>
        <w:t xml:space="preserve"> CF 643 (CanLII), par. 28-29.  </w:t>
      </w:r>
      <w:r w:rsidRPr="00C32CBB">
        <w:rPr>
          <w:rFonts w:cs="Times New Roman"/>
          <w:lang w:val="fr-CA"/>
        </w:rPr>
        <w:t xml:space="preserve">Le paragraphe 162(2) de la </w:t>
      </w:r>
      <w:r w:rsidRPr="00C32CBB">
        <w:rPr>
          <w:rFonts w:cs="Times New Roman"/>
          <w:i/>
          <w:lang w:val="fr-CA"/>
        </w:rPr>
        <w:t>LIPR</w:t>
      </w:r>
      <w:r w:rsidRPr="00C32CBB">
        <w:rPr>
          <w:rFonts w:cs="Times New Roman"/>
          <w:lang w:val="fr-CA"/>
        </w:rPr>
        <w:t xml:space="preserve"> prévoit que chacune des sections de la Commission « fonctionne, dans la mesure où les circonstances et les considérations d’équité et de justice naturelle le permettent, sans formalisme et avec célérité ».   </w:t>
      </w:r>
    </w:p>
    <w:p w:rsidR="00454BD3" w:rsidRPr="00FE4BFA" w:rsidRDefault="00454BD3" w:rsidP="00454BD3">
      <w:pPr>
        <w:pStyle w:val="ParaNoNdepar-AltN"/>
        <w:rPr>
          <w:rFonts w:cs="Times New Roman"/>
          <w:lang w:val="fr-CA"/>
        </w:rPr>
      </w:pPr>
      <w:r w:rsidRPr="00FE4BFA">
        <w:rPr>
          <w:rFonts w:cs="Times New Roman"/>
          <w:lang w:val="fr-CA"/>
        </w:rPr>
        <w:t>De plus, les différences entre un procès criminel et une instance devant la Commission se traduisent et sont prises en compte par le fardeau de preuve particulier qui incombe à la Commission lorsqu’elle est appelée à rendre une décision fondée sur l’art. 1F</w:t>
      </w:r>
      <w:r w:rsidRPr="00FE4BFA">
        <w:rPr>
          <w:rFonts w:cs="Times New Roman"/>
          <w:i/>
          <w:lang w:val="fr-CA"/>
        </w:rPr>
        <w:t>a</w:t>
      </w:r>
      <w:r w:rsidRPr="00FE4BFA">
        <w:rPr>
          <w:rFonts w:cs="Times New Roman"/>
          <w:lang w:val="fr-CA"/>
        </w:rPr>
        <w:t>) : elle peut alors refuser le droit d’asile à partir de « raisons sérieuses de penser ».  Nous y reviendrons plus en détail.</w:t>
      </w:r>
    </w:p>
    <w:p w:rsidR="00454BD3" w:rsidRPr="00FE4BFA" w:rsidRDefault="00454BD3" w:rsidP="00454BD3">
      <w:pPr>
        <w:pStyle w:val="ParaNoNdepar-AltN"/>
        <w:rPr>
          <w:rFonts w:cs="Times New Roman"/>
          <w:lang w:val="fr-CA"/>
        </w:rPr>
      </w:pPr>
      <w:r w:rsidRPr="00FE4BFA">
        <w:rPr>
          <w:rFonts w:cs="Times New Roman"/>
          <w:lang w:val="fr-CA"/>
        </w:rPr>
        <w:t xml:space="preserve">Compte tenu de ces caractéristiques de la demande visant l’obtention du statut de réfugié, il est inutile de prévoir des critères pour chacune des circonstances dans lesquelles un fonctionnaire peut être reconnu coupable de complicité dans la perpétration des crimes imputés à son gouvernement.  Des considérations </w:t>
      </w:r>
      <w:r w:rsidRPr="00FE4BFA">
        <w:rPr>
          <w:rFonts w:cs="Times New Roman"/>
          <w:lang w:val="fr-CA"/>
        </w:rPr>
        <w:lastRenderedPageBreak/>
        <w:t xml:space="preserve">particulières peuvent être soulevées lorsqu’une personne aurait exercé un contrôle sur l’auteur présumé d’un crime ou qu’elle aurait apporté une contribution précise à un crime précis (par exemple, en l’instiguant, en ordonnant sa perpétration ou en incitant quelqu’un à le commettre).  Or, en l’espèce, nous sommes appelés à nous prononcer sur la participation générale à l’activité criminelle d’un groupe.  Il nous faut donc arrêter les conditions auxquelles cette participation devient une contribution coupable.  </w:t>
      </w:r>
    </w:p>
    <w:p w:rsidR="00454BD3" w:rsidRPr="00FE4BFA" w:rsidRDefault="00454BD3" w:rsidP="0062113E">
      <w:pPr>
        <w:pStyle w:val="TitleTitre-AltT"/>
        <w:tabs>
          <w:tab w:val="clear" w:pos="360"/>
          <w:tab w:val="left" w:pos="540"/>
        </w:tabs>
        <w:ind w:left="540" w:hanging="540"/>
        <w:rPr>
          <w:rFonts w:cs="Times New Roman"/>
          <w:lang w:val="fr-CA"/>
        </w:rPr>
      </w:pPr>
      <w:r w:rsidRPr="00FE4BFA">
        <w:rPr>
          <w:rFonts w:cs="Times New Roman"/>
          <w:lang w:val="fr-CA"/>
        </w:rPr>
        <w:t>D.</w:t>
      </w:r>
      <w:r w:rsidRPr="00FE4BFA">
        <w:rPr>
          <w:rFonts w:cs="Times New Roman"/>
          <w:lang w:val="fr-CA"/>
        </w:rPr>
        <w:tab/>
      </w:r>
      <w:r w:rsidRPr="00FE4BFA">
        <w:rPr>
          <w:rFonts w:cs="Times New Roman"/>
          <w:i/>
          <w:lang w:val="fr-CA"/>
        </w:rPr>
        <w:t>La Commission doit interpréter l’art</w:t>
      </w:r>
      <w:r w:rsidR="00C32CBB">
        <w:rPr>
          <w:rFonts w:cs="Times New Roman"/>
          <w:i/>
          <w:lang w:val="fr-CA"/>
        </w:rPr>
        <w:t>.</w:t>
      </w:r>
      <w:r w:rsidRPr="00FE4BFA">
        <w:rPr>
          <w:rFonts w:cs="Times New Roman"/>
          <w:i/>
          <w:lang w:val="fr-CA"/>
        </w:rPr>
        <w:t> 1Fa) en s’appuyant sur le droit international</w:t>
      </w:r>
    </w:p>
    <w:p w:rsidR="00454BD3" w:rsidRPr="00FE4BFA" w:rsidRDefault="00454BD3" w:rsidP="00454BD3">
      <w:pPr>
        <w:pStyle w:val="ParaNoNdepar-AltN"/>
        <w:rPr>
          <w:rFonts w:cs="Times New Roman"/>
          <w:lang w:val="fr-CA"/>
        </w:rPr>
      </w:pPr>
      <w:r w:rsidRPr="00FE4BFA">
        <w:rPr>
          <w:rFonts w:cs="Times New Roman"/>
          <w:szCs w:val="24"/>
          <w:lang w:val="fr-CA"/>
        </w:rPr>
        <w:t>Comme le veut expressément l’art. 1F</w:t>
      </w:r>
      <w:r w:rsidRPr="00FE4BFA">
        <w:rPr>
          <w:rFonts w:cs="Times New Roman"/>
          <w:i/>
          <w:szCs w:val="24"/>
          <w:lang w:val="fr-CA"/>
        </w:rPr>
        <w:t>a</w:t>
      </w:r>
      <w:r w:rsidRPr="00FE4BFA">
        <w:rPr>
          <w:rFonts w:cs="Times New Roman"/>
          <w:szCs w:val="24"/>
          <w:lang w:val="fr-CA"/>
        </w:rPr>
        <w:t>), nous examinons maintenant les instruments internationaux.  Rappelons que la disposition rend inadmissibles au régime de protection des réfugiés les personnes « dont on [a] des raisons sérieuses de penser » qu’elles « </w:t>
      </w:r>
      <w:r w:rsidRPr="00FE4BFA">
        <w:rPr>
          <w:rFonts w:cs="Times New Roman"/>
          <w:szCs w:val="24"/>
          <w:u w:val="single"/>
          <w:lang w:val="fr-CA"/>
        </w:rPr>
        <w:t>ont commis un crime</w:t>
      </w:r>
      <w:r w:rsidRPr="00FE4BFA">
        <w:rPr>
          <w:rFonts w:cs="Times New Roman"/>
          <w:szCs w:val="24"/>
          <w:lang w:val="fr-CA"/>
        </w:rPr>
        <w:t xml:space="preserve"> contre la paix, un crime de guerre ou un crime contre l’humanité, </w:t>
      </w:r>
      <w:r w:rsidRPr="00FE4BFA">
        <w:rPr>
          <w:rFonts w:cs="Times New Roman"/>
          <w:u w:val="single"/>
          <w:lang w:val="fr-CA"/>
        </w:rPr>
        <w:t>au sens des instruments internationaux</w:t>
      </w:r>
      <w:r w:rsidRPr="00FE4BFA">
        <w:rPr>
          <w:rFonts w:cs="Times New Roman"/>
          <w:lang w:val="fr-CA"/>
        </w:rPr>
        <w:t> ».  Nous devons donc tenir compte du droit pénal international pour déterminer s’il convient ou non de refuser le droit d’asile à une personne pour cause de complicité dans la perpétration de crimes internationaux</w:t>
      </w:r>
      <w:r w:rsidR="00C32CBB">
        <w:rPr>
          <w:rFonts w:cs="Times New Roman"/>
          <w:lang w:val="fr-CA"/>
        </w:rPr>
        <w:t xml:space="preserve"> : </w:t>
      </w:r>
      <w:r w:rsidRPr="00FE4BFA">
        <w:rPr>
          <w:rFonts w:cs="Times New Roman"/>
          <w:i/>
          <w:lang w:val="fr-CA"/>
        </w:rPr>
        <w:t>Harb c. Canada (Ministre de la Citoyenneté et de l’Immigration)</w:t>
      </w:r>
      <w:r w:rsidRPr="0062113E">
        <w:rPr>
          <w:rFonts w:cs="Times New Roman"/>
          <w:lang w:val="fr-CA"/>
        </w:rPr>
        <w:t xml:space="preserve">, </w:t>
      </w:r>
      <w:r w:rsidRPr="00FE4BFA">
        <w:rPr>
          <w:rFonts w:cs="Times New Roman"/>
          <w:lang w:val="fr-CA"/>
        </w:rPr>
        <w:t xml:space="preserve">2003 CAF 39, </w:t>
      </w:r>
      <w:r w:rsidR="00C32CBB">
        <w:rPr>
          <w:rFonts w:cs="Times New Roman"/>
          <w:lang w:val="fr-CA"/>
        </w:rPr>
        <w:t xml:space="preserve">302 N.R. 178, </w:t>
      </w:r>
      <w:r w:rsidRPr="00FE4BFA">
        <w:rPr>
          <w:rFonts w:cs="Times New Roman"/>
          <w:lang w:val="fr-CA"/>
        </w:rPr>
        <w:t>par. 8.  Nous examinerons également l</w:t>
      </w:r>
      <w:r w:rsidR="00C32CBB">
        <w:rPr>
          <w:rFonts w:cs="Times New Roman"/>
          <w:lang w:val="fr-CA"/>
        </w:rPr>
        <w:t xml:space="preserve">a jurisprudence internationale : </w:t>
      </w:r>
      <w:r w:rsidRPr="00FE4BFA">
        <w:rPr>
          <w:rFonts w:cs="Times New Roman"/>
          <w:i/>
          <w:lang w:val="fr-CA"/>
        </w:rPr>
        <w:t>Mugesera c. Canada (Ministre de la Citoyenneté et de l’Immigration)</w:t>
      </w:r>
      <w:r w:rsidRPr="00FE4BFA">
        <w:rPr>
          <w:rFonts w:cs="Times New Roman"/>
          <w:lang w:val="fr-CA"/>
        </w:rPr>
        <w:t>, 2005 CSC 40, [200</w:t>
      </w:r>
      <w:r w:rsidR="00C32CBB">
        <w:rPr>
          <w:rFonts w:cs="Times New Roman"/>
          <w:lang w:val="fr-CA"/>
        </w:rPr>
        <w:t>5] 2 R.C.S. 100, par. 82 et 126</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À notre sens, le droit international s’applique tant aux éléments de l’infraction qu’aux différents modes de perpétration de celle</w:t>
      </w:r>
      <w:r w:rsidRPr="00FE4BFA">
        <w:rPr>
          <w:rFonts w:cs="Times New Roman"/>
          <w:lang w:val="fr-CA"/>
        </w:rPr>
        <w:noBreakHyphen/>
        <w:t xml:space="preserve">ci.  Comme le dit </w:t>
      </w:r>
      <w:r w:rsidRPr="00FE4BFA">
        <w:rPr>
          <w:rFonts w:cs="Times New Roman"/>
          <w:lang w:val="fr-CA"/>
        </w:rPr>
        <w:lastRenderedPageBreak/>
        <w:t>l’appelant, l’art. 1F</w:t>
      </w:r>
      <w:r w:rsidRPr="00FE4BFA">
        <w:rPr>
          <w:rFonts w:cs="Times New Roman"/>
          <w:i/>
          <w:lang w:val="fr-CA"/>
        </w:rPr>
        <w:t>a</w:t>
      </w:r>
      <w:r w:rsidRPr="00FE4BFA">
        <w:rPr>
          <w:rFonts w:cs="Times New Roman"/>
          <w:lang w:val="fr-CA"/>
        </w:rPr>
        <w:t xml:space="preserve">) s’attache non seulement à la présence des éléments constitutifs de l’infraction, mais aussi à l’existence de raisons sérieuses de penser que la personne </w:t>
      </w:r>
      <w:r w:rsidRPr="00C32CBB">
        <w:rPr>
          <w:rFonts w:cs="Times New Roman"/>
          <w:i/>
          <w:lang w:val="fr-CA"/>
        </w:rPr>
        <w:t xml:space="preserve">a </w:t>
      </w:r>
      <w:r w:rsidRPr="00FE4BFA">
        <w:rPr>
          <w:rFonts w:cs="Times New Roman"/>
          <w:i/>
          <w:lang w:val="fr-CA"/>
        </w:rPr>
        <w:t>commis</w:t>
      </w:r>
      <w:r w:rsidRPr="00FE4BFA">
        <w:rPr>
          <w:rFonts w:cs="Times New Roman"/>
          <w:lang w:val="fr-CA"/>
        </w:rPr>
        <w:t xml:space="preserve"> un crime prévu en droit international.  Comme nul ne conteste en l’espèce que les éléments des crimes sont imputables au gouvernement de la RDC, nous nous en tenons aux modes de perpétration.</w:t>
      </w:r>
    </w:p>
    <w:p w:rsidR="00454BD3" w:rsidRPr="00FE4BFA" w:rsidRDefault="00454BD3" w:rsidP="00454BD3">
      <w:pPr>
        <w:pStyle w:val="ParaNoNdepar-AltN"/>
        <w:rPr>
          <w:rFonts w:cs="Times New Roman"/>
          <w:lang w:val="fr-CA"/>
        </w:rPr>
      </w:pPr>
      <w:r w:rsidRPr="00FE4BFA">
        <w:rPr>
          <w:rFonts w:cs="Times New Roman"/>
          <w:lang w:val="fr-CA"/>
        </w:rPr>
        <w:t>La question de savoir si une personne s’est rendue complice d’un crime international ne peut être étudiée à la lumière d’un seul de</w:t>
      </w:r>
      <w:r w:rsidR="00C32CBB">
        <w:rPr>
          <w:rFonts w:cs="Times New Roman"/>
          <w:lang w:val="fr-CA"/>
        </w:rPr>
        <w:t xml:space="preserve">s systèmes juridiques du monde : </w:t>
      </w:r>
      <w:r w:rsidRPr="00FE4BFA">
        <w:rPr>
          <w:rFonts w:cs="Times New Roman"/>
          <w:i/>
          <w:lang w:val="fr-CA"/>
        </w:rPr>
        <w:t>Ramirez</w:t>
      </w:r>
      <w:r w:rsidRPr="00FE4BFA">
        <w:rPr>
          <w:rFonts w:cs="Times New Roman"/>
          <w:lang w:val="fr-CA"/>
        </w:rPr>
        <w:t xml:space="preserve">, p. 315; </w:t>
      </w:r>
      <w:r w:rsidRPr="00FE4BFA">
        <w:rPr>
          <w:rFonts w:cs="Times New Roman"/>
          <w:i/>
          <w:iCs/>
          <w:lang w:val="fr-CA"/>
        </w:rPr>
        <w:t>Moreno c. Canada (Ministre de l’Emploi et de l’Immigration</w:t>
      </w:r>
      <w:r w:rsidRPr="00C32CBB">
        <w:rPr>
          <w:rFonts w:cs="Times New Roman"/>
          <w:i/>
          <w:iCs/>
          <w:lang w:val="fr-CA"/>
        </w:rPr>
        <w:t>)</w:t>
      </w:r>
      <w:r w:rsidRPr="00FE4BFA">
        <w:rPr>
          <w:rFonts w:cs="Times New Roman"/>
          <w:lang w:val="fr-CA"/>
        </w:rPr>
        <w:t>, [1994] 1 C.F. 298</w:t>
      </w:r>
      <w:r w:rsidR="00C32CBB">
        <w:rPr>
          <w:rFonts w:cs="Times New Roman"/>
          <w:lang w:val="fr-CA"/>
        </w:rPr>
        <w:t xml:space="preserve"> (C.A.), p. 323</w:t>
      </w:r>
      <w:r w:rsidRPr="00FE4BFA">
        <w:rPr>
          <w:rFonts w:cs="Times New Roman"/>
          <w:lang w:val="fr-CA"/>
        </w:rPr>
        <w:t>.  Il en est ainsi à cause non seulement du texte explicite de l’art. 1F</w:t>
      </w:r>
      <w:r w:rsidRPr="00FE4BFA">
        <w:rPr>
          <w:rFonts w:cs="Times New Roman"/>
          <w:i/>
          <w:lang w:val="fr-CA"/>
        </w:rPr>
        <w:t>a</w:t>
      </w:r>
      <w:r w:rsidRPr="00FE4BFA">
        <w:rPr>
          <w:rFonts w:cs="Times New Roman"/>
          <w:lang w:val="fr-CA"/>
        </w:rPr>
        <w:t xml:space="preserve">) portant application du droit international, mais aussi de la nature extraordinaire des crimes internationaux, lesquels transcendent tout simplement les normes nationales.  Comme l’explique Fannie Lafontaine dans </w:t>
      </w:r>
      <w:r w:rsidRPr="00FE4BFA">
        <w:rPr>
          <w:rFonts w:cs="Times New Roman"/>
          <w:i/>
          <w:lang w:val="fr-CA"/>
        </w:rPr>
        <w:t>Prosecuting Genocide, Crimes Against Humanity and War Crimes in Canadian Courts</w:t>
      </w:r>
      <w:r w:rsidR="00264ADC">
        <w:rPr>
          <w:rFonts w:cs="Times New Roman"/>
          <w:lang w:val="fr-CA"/>
        </w:rPr>
        <w:t xml:space="preserve"> </w:t>
      </w:r>
      <w:r w:rsidRPr="00FE4BFA">
        <w:rPr>
          <w:rFonts w:cs="Times New Roman"/>
          <w:lang w:val="fr-CA"/>
        </w:rPr>
        <w:t>(2012), p. 95 :</w:t>
      </w:r>
    </w:p>
    <w:p w:rsidR="00454BD3" w:rsidRPr="00FE4BFA" w:rsidRDefault="00454BD3" w:rsidP="00454BD3">
      <w:pPr>
        <w:pStyle w:val="Citation-AltC"/>
        <w:ind w:hanging="1166"/>
        <w:rPr>
          <w:lang w:val="fr-CA"/>
        </w:rPr>
      </w:pPr>
      <w:r w:rsidRPr="00FE4BFA">
        <w:rPr>
          <w:lang w:val="fr-CA"/>
        </w:rPr>
        <w:tab/>
        <w:t>[</w:t>
      </w:r>
      <w:r w:rsidRPr="00FE4BFA">
        <w:rPr>
          <w:smallCaps/>
          <w:lang w:val="fr-CA"/>
        </w:rPr>
        <w:t>traduction</w:t>
      </w:r>
      <w:r w:rsidRPr="00FE4BFA">
        <w:rPr>
          <w:lang w:val="fr-CA"/>
        </w:rPr>
        <w:t xml:space="preserve">]  Vu leur raison d’être même, leur ampleur particulière et le contexte de leur perpétration, le génocide, le crime contre l’humanité et le crime de guerre ne peuvent être considérés comme des crimes ordinaires, peu importe la gravité intrinsèque de ces derniers.  </w:t>
      </w:r>
    </w:p>
    <w:p w:rsidR="00454BD3" w:rsidRPr="00FE4BFA" w:rsidRDefault="00454BD3" w:rsidP="00454BD3">
      <w:pPr>
        <w:pStyle w:val="ParaNoNdepar-AltN"/>
        <w:rPr>
          <w:rFonts w:cs="Times New Roman"/>
          <w:lang w:val="fr-CA"/>
        </w:rPr>
      </w:pPr>
      <w:r w:rsidRPr="00FE4BFA">
        <w:rPr>
          <w:rFonts w:cs="Times New Roman"/>
          <w:lang w:val="fr-CA"/>
        </w:rPr>
        <w:t xml:space="preserve">Même s’il repose sur des principes nationaux, le droit pénal international a adapté le concept de responsabilité individuelle au contexte de la criminalité collective et à grande échelle, où le crime se commet souvent de manière indirecte et à distance.  Comme l’explique Gerhard Werle, à la p. 954 :  </w:t>
      </w:r>
    </w:p>
    <w:p w:rsidR="00454BD3" w:rsidRPr="00FE4BFA" w:rsidRDefault="00454BD3" w:rsidP="00454BD3">
      <w:pPr>
        <w:pStyle w:val="Citation-AltC"/>
        <w:ind w:hanging="1166"/>
        <w:rPr>
          <w:lang w:val="fr-CA"/>
        </w:rPr>
      </w:pPr>
      <w:r w:rsidRPr="00FE4BFA">
        <w:rPr>
          <w:lang w:val="fr-CA"/>
        </w:rPr>
        <w:lastRenderedPageBreak/>
        <w:tab/>
        <w:t>[</w:t>
      </w:r>
      <w:r w:rsidRPr="00FE4BFA">
        <w:rPr>
          <w:smallCaps/>
          <w:lang w:val="fr-CA"/>
        </w:rPr>
        <w:t>traduction</w:t>
      </w:r>
      <w:r w:rsidRPr="00FE4BFA">
        <w:rPr>
          <w:lang w:val="fr-CA"/>
        </w:rPr>
        <w:t>]  Au moment de déterminer la responsabilité individuelle des membres de réseaux d’action collective, il faut garder à l’esprit que le degré de responsabilité criminelle ne diminue pas à mesure qu’augmente la distance entre l’auteur et l’acte perpétré; en fait, souvent il s’accroît.  Adolf Hitler, par exemple, a causé la mort de millions de personnes sans jamais toucher une victime.  De plus, l’auteur d’assassinats collectifs Adolf Eichmann a organisé l’extermination des Juifs européens à partir de son bureau au siège du « </w:t>
      </w:r>
      <w:r w:rsidRPr="00FE4BFA">
        <w:rPr>
          <w:i/>
          <w:lang w:val="fr-CA"/>
        </w:rPr>
        <w:t>Reichssicherheitshauptamt</w:t>
      </w:r>
      <w:r w:rsidRPr="00FE4BFA">
        <w:rPr>
          <w:lang w:val="fr-CA"/>
        </w:rPr>
        <w:t xml:space="preserve"> » de la SS, à Berlin. </w:t>
      </w:r>
    </w:p>
    <w:p w:rsidR="00454BD3" w:rsidRPr="00FE4BFA" w:rsidRDefault="00454BD3" w:rsidP="00454BD3">
      <w:pPr>
        <w:pStyle w:val="ParaNoNdepar-AltN"/>
        <w:rPr>
          <w:rFonts w:cs="Times New Roman"/>
          <w:lang w:val="fr-CA"/>
        </w:rPr>
      </w:pPr>
      <w:r w:rsidRPr="00FE4BFA">
        <w:rPr>
          <w:rFonts w:cs="Times New Roman"/>
          <w:lang w:val="fr-CA"/>
        </w:rPr>
        <w:t>Le libellé de l’art. 1F</w:t>
      </w:r>
      <w:r w:rsidRPr="00FE4BFA">
        <w:rPr>
          <w:rFonts w:cs="Times New Roman"/>
          <w:i/>
          <w:lang w:val="fr-CA"/>
        </w:rPr>
        <w:t>a</w:t>
      </w:r>
      <w:r w:rsidRPr="00FE4BFA">
        <w:rPr>
          <w:rFonts w:cs="Times New Roman"/>
          <w:lang w:val="fr-CA"/>
        </w:rPr>
        <w:t>) et la réalité de la criminalité internationale nous obligent donc à faire porter notre regard par</w:t>
      </w:r>
      <w:r w:rsidRPr="00FE4BFA">
        <w:rPr>
          <w:rFonts w:cs="Times New Roman"/>
          <w:lang w:val="fr-CA"/>
        </w:rPr>
        <w:noBreakHyphen/>
        <w:t>delà le droit pénal canadien.  Nous devons nous garder d’interpréter et d’appliquer le droit pénal international comme s’il correspondait en tous points à notre droit pénal national</w:t>
      </w:r>
      <w:r w:rsidR="007D07AF">
        <w:rPr>
          <w:rFonts w:cs="Times New Roman"/>
          <w:lang w:val="fr-CA"/>
        </w:rPr>
        <w:t xml:space="preserve"> : </w:t>
      </w:r>
      <w:r w:rsidRPr="00FE4BFA">
        <w:rPr>
          <w:rFonts w:cs="Times New Roman"/>
          <w:i/>
          <w:lang w:val="fr-CA"/>
        </w:rPr>
        <w:t>Cassese’s International Criminal Law</w:t>
      </w:r>
      <w:r w:rsidRPr="00FE4BFA">
        <w:rPr>
          <w:rFonts w:cs="Times New Roman"/>
          <w:lang w:val="fr-CA"/>
        </w:rPr>
        <w:t xml:space="preserve"> (3</w:t>
      </w:r>
      <w:r w:rsidRPr="00FE4BFA">
        <w:rPr>
          <w:rFonts w:cs="Times New Roman"/>
          <w:vertAlign w:val="superscript"/>
          <w:lang w:val="fr-CA"/>
        </w:rPr>
        <w:t>e </w:t>
      </w:r>
      <w:r w:rsidRPr="00FE4BFA">
        <w:rPr>
          <w:rFonts w:cs="Times New Roman"/>
          <w:lang w:val="fr-CA"/>
        </w:rPr>
        <w:t>é</w:t>
      </w:r>
      <w:r w:rsidR="00F834B6">
        <w:rPr>
          <w:rFonts w:cs="Times New Roman"/>
          <w:lang w:val="fr-CA"/>
        </w:rPr>
        <w:t>d. 2013), révisé par A. Cassese</w:t>
      </w:r>
      <w:r w:rsidRPr="00FE4BFA">
        <w:rPr>
          <w:rFonts w:cs="Times New Roman"/>
          <w:lang w:val="fr-CA"/>
        </w:rPr>
        <w:t xml:space="preserve"> et a</w:t>
      </w:r>
      <w:r w:rsidR="007D07AF">
        <w:rPr>
          <w:rFonts w:cs="Times New Roman"/>
          <w:lang w:val="fr-CA"/>
        </w:rPr>
        <w:t>utres</w:t>
      </w:r>
      <w:r w:rsidR="00A21640">
        <w:rPr>
          <w:rFonts w:cs="Times New Roman"/>
          <w:lang w:val="fr-CA"/>
        </w:rPr>
        <w:t>, p. 6-</w:t>
      </w:r>
      <w:r w:rsidRPr="00FE4BFA">
        <w:rPr>
          <w:rFonts w:cs="Times New Roman"/>
          <w:lang w:val="fr-CA"/>
        </w:rPr>
        <w:t>7.</w:t>
      </w:r>
    </w:p>
    <w:p w:rsidR="00454BD3" w:rsidRPr="00FE4BFA" w:rsidRDefault="00454BD3" w:rsidP="00454BD3">
      <w:pPr>
        <w:pStyle w:val="ParaNoNdepar-AltN"/>
        <w:rPr>
          <w:rFonts w:cs="Times New Roman"/>
          <w:lang w:val="fr-CA"/>
        </w:rPr>
      </w:pPr>
      <w:r w:rsidRPr="00FE4BFA">
        <w:rPr>
          <w:rFonts w:cs="Times New Roman"/>
          <w:lang w:val="fr-CA"/>
        </w:rPr>
        <w:t>Quelles sont alors les sources pertinentes du droit pénal international?</w:t>
      </w:r>
    </w:p>
    <w:p w:rsidR="00454BD3" w:rsidRPr="007D07AF" w:rsidRDefault="00454BD3" w:rsidP="00454BD3">
      <w:pPr>
        <w:pStyle w:val="ParaNoNdepar-AltN"/>
        <w:rPr>
          <w:rFonts w:cs="Times New Roman"/>
          <w:lang w:val="en-US"/>
        </w:rPr>
      </w:pPr>
      <w:r w:rsidRPr="00FE4BFA">
        <w:rPr>
          <w:rFonts w:cs="Times New Roman"/>
          <w:lang w:val="fr-CA"/>
        </w:rPr>
        <w:t xml:space="preserve">À notre avis, le meilleur point de départ pour cette étude se trouve dans le </w:t>
      </w:r>
      <w:r w:rsidRPr="00FE4BFA">
        <w:rPr>
          <w:rFonts w:cs="Times New Roman"/>
          <w:i/>
          <w:lang w:val="fr-CA"/>
        </w:rPr>
        <w:t>Statut de Rome</w:t>
      </w:r>
      <w:r w:rsidRPr="00FE4BFA">
        <w:rPr>
          <w:rFonts w:cs="Times New Roman"/>
          <w:lang w:val="fr-CA"/>
        </w:rPr>
        <w:t xml:space="preserve">.  </w:t>
      </w:r>
      <w:r w:rsidRPr="007D07AF">
        <w:rPr>
          <w:rFonts w:cs="Times New Roman"/>
          <w:lang w:val="en-US"/>
        </w:rPr>
        <w:t xml:space="preserve">Comme le reconnaît </w:t>
      </w:r>
      <w:r w:rsidR="007D07AF" w:rsidRPr="007D07AF">
        <w:rPr>
          <w:rFonts w:cs="Times New Roman"/>
          <w:lang w:val="en-US"/>
        </w:rPr>
        <w:t xml:space="preserve">le </w:t>
      </w:r>
      <w:r w:rsidRPr="007D07AF">
        <w:rPr>
          <w:rFonts w:cs="Times New Roman"/>
          <w:lang w:val="en-US"/>
        </w:rPr>
        <w:t>lord</w:t>
      </w:r>
      <w:r w:rsidR="007D07AF" w:rsidRPr="007D07AF">
        <w:rPr>
          <w:rFonts w:cs="Times New Roman"/>
          <w:lang w:val="en-US"/>
        </w:rPr>
        <w:t xml:space="preserve"> juge</w:t>
      </w:r>
      <w:r w:rsidRPr="007D07AF">
        <w:rPr>
          <w:rFonts w:cs="Times New Roman"/>
          <w:lang w:val="en-US"/>
        </w:rPr>
        <w:t xml:space="preserve"> Brown de Eaton</w:t>
      </w:r>
      <w:r w:rsidRPr="007D07AF">
        <w:rPr>
          <w:rFonts w:cs="Times New Roman"/>
          <w:lang w:val="en-US"/>
        </w:rPr>
        <w:noBreakHyphen/>
        <w:t>under</w:t>
      </w:r>
      <w:r w:rsidRPr="007D07AF">
        <w:rPr>
          <w:rFonts w:cs="Times New Roman"/>
          <w:lang w:val="en-US"/>
        </w:rPr>
        <w:noBreakHyphen/>
        <w:t xml:space="preserve">Heywood dans </w:t>
      </w:r>
      <w:r w:rsidRPr="007D07AF">
        <w:rPr>
          <w:rFonts w:cs="Times New Roman"/>
          <w:i/>
          <w:lang w:val="en-US"/>
        </w:rPr>
        <w:t>R. (J.S. (Sri Lanka)) c. Secretary of State for the Home Department</w:t>
      </w:r>
      <w:r w:rsidRPr="007D07AF">
        <w:rPr>
          <w:rFonts w:cs="Times New Roman"/>
          <w:lang w:val="en-US"/>
        </w:rPr>
        <w:t>,</w:t>
      </w:r>
      <w:r w:rsidRPr="007D07AF">
        <w:rPr>
          <w:rFonts w:cs="Times New Roman"/>
          <w:i/>
          <w:lang w:val="en-US"/>
        </w:rPr>
        <w:t xml:space="preserve"> </w:t>
      </w:r>
      <w:r w:rsidRPr="007D07AF">
        <w:rPr>
          <w:rFonts w:cs="Times New Roman"/>
          <w:lang w:val="en-US"/>
        </w:rPr>
        <w:t xml:space="preserve">[2010] UKSC 15, [2011] </w:t>
      </w:r>
      <w:r w:rsidR="007D07AF" w:rsidRPr="007D07AF">
        <w:rPr>
          <w:rFonts w:cs="Times New Roman"/>
          <w:lang w:val="en-US"/>
        </w:rPr>
        <w:t xml:space="preserve">1 </w:t>
      </w:r>
      <w:r w:rsidRPr="007D07AF">
        <w:rPr>
          <w:rFonts w:cs="Times New Roman"/>
          <w:lang w:val="en-US"/>
        </w:rPr>
        <w:t>A.C. 184 (« </w:t>
      </w:r>
      <w:r w:rsidRPr="007D07AF">
        <w:rPr>
          <w:rFonts w:cs="Times New Roman"/>
          <w:i/>
          <w:lang w:val="en-US"/>
        </w:rPr>
        <w:t>J.S.</w:t>
      </w:r>
      <w:r w:rsidRPr="007D07AF">
        <w:rPr>
          <w:rFonts w:cs="Times New Roman"/>
          <w:lang w:val="en-US"/>
        </w:rPr>
        <w:t> »), par. 9 :</w:t>
      </w:r>
    </w:p>
    <w:p w:rsidR="00454BD3" w:rsidRPr="00FE4BFA" w:rsidRDefault="00454BD3" w:rsidP="007D07AF">
      <w:pPr>
        <w:pStyle w:val="Citation-AltC"/>
        <w:tabs>
          <w:tab w:val="left" w:pos="1620"/>
        </w:tabs>
        <w:ind w:hanging="1166"/>
        <w:rPr>
          <w:rFonts w:eastAsiaTheme="minorEastAsia"/>
          <w:lang w:val="fr-CA"/>
        </w:rPr>
      </w:pPr>
      <w:r w:rsidRPr="007D07AF">
        <w:rPr>
          <w:rFonts w:eastAsiaTheme="minorEastAsia"/>
          <w:lang w:val="en-US"/>
        </w:rPr>
        <w:tab/>
      </w:r>
      <w:r w:rsidR="007D07AF">
        <w:rPr>
          <w:rFonts w:eastAsiaTheme="minorEastAsia"/>
          <w:lang w:val="en-US"/>
        </w:rPr>
        <w:tab/>
      </w:r>
      <w:r w:rsidRPr="00FE4BFA">
        <w:rPr>
          <w:rFonts w:eastAsiaTheme="minorEastAsia"/>
          <w:lang w:val="fr-CA"/>
        </w:rPr>
        <w:t>[</w:t>
      </w:r>
      <w:r w:rsidRPr="00FE4BFA">
        <w:rPr>
          <w:rFonts w:eastAsiaTheme="minorEastAsia"/>
          <w:smallCaps/>
          <w:lang w:val="fr-CA"/>
        </w:rPr>
        <w:t>traduction</w:t>
      </w:r>
      <w:r w:rsidRPr="00FE4BFA">
        <w:rPr>
          <w:rFonts w:eastAsiaTheme="minorEastAsia"/>
          <w:lang w:val="fr-CA"/>
        </w:rPr>
        <w:t>]  Il convient de s’en remettre d’emblée au Statut de [Rome] désormais ratifié par plus de 100 pays et qui constitue assurément de nos jours l’énoncé le plus complet et faisant le plus autorité de la pensée internationale relative aux principes qui régissent la responsabilité en ce qui concerne les crimes internationaux les plus graves (qui seuls peuvent justifier le refus d’asile au demandeur qui constitue par ailleurs une personne à protéger).</w:t>
      </w:r>
    </w:p>
    <w:p w:rsidR="00454BD3" w:rsidRPr="00FE4BFA" w:rsidRDefault="00454BD3" w:rsidP="00454BD3">
      <w:pPr>
        <w:pStyle w:val="ParaNoNdepar-AltN"/>
        <w:tabs>
          <w:tab w:val="clear" w:pos="1152"/>
          <w:tab w:val="left" w:pos="1166"/>
        </w:tabs>
        <w:rPr>
          <w:rFonts w:cs="Times New Roman"/>
          <w:lang w:val="fr-CA"/>
        </w:rPr>
      </w:pPr>
      <w:r w:rsidRPr="00FE4BFA">
        <w:rPr>
          <w:rFonts w:cs="Times New Roman"/>
          <w:lang w:val="fr-CA"/>
        </w:rPr>
        <w:lastRenderedPageBreak/>
        <w:t xml:space="preserve">Il ne fait aucun doute que, pour le Canada, le </w:t>
      </w:r>
      <w:r w:rsidRPr="00FE4BFA">
        <w:rPr>
          <w:rFonts w:cs="Times New Roman"/>
          <w:i/>
          <w:lang w:val="fr-CA"/>
        </w:rPr>
        <w:t>Statut de Rome</w:t>
      </w:r>
      <w:r w:rsidRPr="00FE4BFA">
        <w:rPr>
          <w:rFonts w:cs="Times New Roman"/>
          <w:lang w:val="fr-CA"/>
        </w:rPr>
        <w:t xml:space="preserve"> fait autorité quant aux principes applicables en droit pénal international.  Non seulement notre pays en est</w:t>
      </w:r>
      <w:r w:rsidRPr="00FE4BFA">
        <w:rPr>
          <w:rFonts w:cs="Times New Roman"/>
          <w:lang w:val="fr-CA"/>
        </w:rPr>
        <w:noBreakHyphen/>
        <w:t xml:space="preserve">il signataire, mais il l’a incorporé au droit canadien par l’adoption de la </w:t>
      </w:r>
      <w:r w:rsidRPr="00FE4BFA">
        <w:rPr>
          <w:rFonts w:cs="Times New Roman"/>
          <w:i/>
          <w:lang w:val="fr-CA"/>
        </w:rPr>
        <w:t>Loi</w:t>
      </w:r>
      <w:r w:rsidRPr="00FE4BFA">
        <w:rPr>
          <w:rFonts w:cs="Times New Roman"/>
          <w:lang w:val="fr-CA"/>
        </w:rPr>
        <w:t xml:space="preserve"> </w:t>
      </w:r>
      <w:r w:rsidRPr="00FE4BFA">
        <w:rPr>
          <w:rFonts w:cs="Times New Roman"/>
          <w:i/>
          <w:lang w:val="fr-CA"/>
        </w:rPr>
        <w:t>sur les crimes contre l’humanité et les crimes de guerre</w:t>
      </w:r>
      <w:r w:rsidRPr="00FE4BFA">
        <w:rPr>
          <w:rFonts w:cs="Times New Roman"/>
          <w:lang w:val="fr-CA"/>
        </w:rPr>
        <w:t xml:space="preserve">, L.C. 2000, ch. 24.  </w:t>
      </w:r>
    </w:p>
    <w:p w:rsidR="00454BD3" w:rsidRPr="00FE4BFA" w:rsidRDefault="00454BD3" w:rsidP="00454BD3">
      <w:pPr>
        <w:pStyle w:val="ParaNoNdepar-AltN"/>
        <w:rPr>
          <w:rFonts w:cs="Times New Roman"/>
        </w:rPr>
      </w:pPr>
      <w:r w:rsidRPr="00FE4BFA">
        <w:rPr>
          <w:rFonts w:cs="Times New Roman"/>
          <w:lang w:val="fr-CA"/>
        </w:rPr>
        <w:t xml:space="preserve">L’article 25 du </w:t>
      </w:r>
      <w:r w:rsidRPr="00FE4BFA">
        <w:rPr>
          <w:rFonts w:cs="Times New Roman"/>
          <w:i/>
          <w:lang w:val="fr-CA"/>
        </w:rPr>
        <w:t xml:space="preserve">Statut de Rome </w:t>
      </w:r>
      <w:r w:rsidRPr="00FE4BFA">
        <w:rPr>
          <w:rFonts w:cs="Times New Roman"/>
          <w:lang w:val="fr-CA"/>
        </w:rPr>
        <w:t>donne le détail des modes de perpétration possibles.  On dit de ces différents moyens d’engager sa responsabilité pénale qu’ils sont l’aboutissement des efforts de la communauté internationale pour codifier la responsabilité pénale individuelle en droit international</w:t>
      </w:r>
      <w:r w:rsidR="007D07AF">
        <w:rPr>
          <w:rFonts w:cs="Times New Roman"/>
          <w:lang w:val="fr-CA"/>
        </w:rPr>
        <w:t xml:space="preserve"> : </w:t>
      </w:r>
      <w:r w:rsidRPr="00FE4BFA">
        <w:rPr>
          <w:rFonts w:cs="Times New Roman"/>
          <w:lang w:val="fr-CA"/>
        </w:rPr>
        <w:t xml:space="preserve">A. Cassese, « From Nuremberg to Rome : International Military Tribunals to the International Criminal Court », dans A. Cassese, P. Gaeta et J. R. W. D. Jones, dir., </w:t>
      </w:r>
      <w:r w:rsidRPr="00FE4BFA">
        <w:rPr>
          <w:rFonts w:cs="Times New Roman"/>
          <w:i/>
          <w:lang w:val="fr-CA"/>
        </w:rPr>
        <w:t>The Rome Statute of the International Criminal Court</w:t>
      </w:r>
      <w:r w:rsidR="007D07AF">
        <w:rPr>
          <w:rFonts w:cs="Times New Roman"/>
          <w:i/>
          <w:lang w:val="fr-CA"/>
        </w:rPr>
        <w:t xml:space="preserve"> </w:t>
      </w:r>
      <w:r w:rsidRPr="00FE4BFA">
        <w:rPr>
          <w:rFonts w:cs="Times New Roman"/>
          <w:i/>
          <w:lang w:val="fr-CA"/>
        </w:rPr>
        <w:t>: A Commentary</w:t>
      </w:r>
      <w:r w:rsidRPr="00FE4BFA">
        <w:rPr>
          <w:rFonts w:cs="Times New Roman"/>
          <w:lang w:val="fr-CA"/>
        </w:rPr>
        <w:t>, vol. </w:t>
      </w:r>
      <w:r w:rsidRPr="00FE4BFA">
        <w:rPr>
          <w:rFonts w:cs="Times New Roman"/>
        </w:rPr>
        <w:t>I (2002), 3, p. 3</w:t>
      </w:r>
      <w:r w:rsidR="007D07AF">
        <w:rPr>
          <w:rFonts w:cs="Times New Roman"/>
        </w:rPr>
        <w:t>-</w:t>
      </w:r>
      <w:r w:rsidRPr="00FE4BFA">
        <w:rPr>
          <w:rFonts w:cs="Times New Roman"/>
        </w:rPr>
        <w:t xml:space="preserve">4; E. van Sliedregt, </w:t>
      </w:r>
      <w:r w:rsidRPr="00FE4BFA">
        <w:rPr>
          <w:rFonts w:cs="Times New Roman"/>
          <w:i/>
        </w:rPr>
        <w:t>Individual Criminal Responsibility in International Law</w:t>
      </w:r>
      <w:r w:rsidR="007D07AF">
        <w:rPr>
          <w:rFonts w:cs="Times New Roman"/>
        </w:rPr>
        <w:t xml:space="preserve"> (2012), p. 74-</w:t>
      </w:r>
      <w:r w:rsidRPr="00FE4BFA">
        <w:rPr>
          <w:rFonts w:cs="Times New Roman"/>
        </w:rPr>
        <w:t xml:space="preserve">75.  </w:t>
      </w:r>
    </w:p>
    <w:p w:rsidR="00454BD3" w:rsidRPr="00FE4BFA" w:rsidRDefault="00454BD3" w:rsidP="00454BD3">
      <w:pPr>
        <w:pStyle w:val="ParaNoNdepar-AltN"/>
        <w:rPr>
          <w:rFonts w:cs="Times New Roman"/>
          <w:lang w:val="fr-CA"/>
        </w:rPr>
      </w:pPr>
      <w:r w:rsidRPr="00FE4BFA">
        <w:rPr>
          <w:rFonts w:cs="Times New Roman"/>
          <w:lang w:val="fr-CA"/>
        </w:rPr>
        <w:t xml:space="preserve">Cela dit, nous ne pouvons nous appuyer seulement sur la manière dont la Cour pénale internationale (« CPI ») interprète la notion de complicité.  Malgré son importance, le </w:t>
      </w:r>
      <w:r w:rsidRPr="00FE4BFA">
        <w:rPr>
          <w:rFonts w:cs="Times New Roman"/>
          <w:i/>
          <w:lang w:val="fr-CA"/>
        </w:rPr>
        <w:t>Statut de Rome</w:t>
      </w:r>
      <w:r w:rsidRPr="00FE4BFA">
        <w:rPr>
          <w:rFonts w:cs="Times New Roman"/>
          <w:lang w:val="fr-CA"/>
        </w:rPr>
        <w:t xml:space="preserve"> ne peut être considéré comme une codification complète du droit pénal international.  Celui</w:t>
      </w:r>
      <w:r w:rsidRPr="00FE4BFA">
        <w:rPr>
          <w:rFonts w:cs="Times New Roman"/>
          <w:lang w:val="fr-CA"/>
        </w:rPr>
        <w:noBreakHyphen/>
        <w:t>ci découle de sources diverses (</w:t>
      </w:r>
      <w:r w:rsidR="007D07AF">
        <w:rPr>
          <w:rFonts w:cs="Times New Roman"/>
          <w:lang w:val="fr-CA"/>
        </w:rPr>
        <w:t>par exemple</w:t>
      </w:r>
      <w:r w:rsidRPr="00FE4BFA">
        <w:rPr>
          <w:rFonts w:cs="Times New Roman"/>
          <w:lang w:val="fr-CA"/>
        </w:rPr>
        <w:t>, la jurisprudence de plus en plus abondante des cours pénales internationale</w:t>
      </w:r>
      <w:r w:rsidR="007D07AF">
        <w:rPr>
          <w:rFonts w:cs="Times New Roman"/>
          <w:lang w:val="fr-CA"/>
        </w:rPr>
        <w:t xml:space="preserve">s) : </w:t>
      </w:r>
      <w:r w:rsidRPr="00FE4BFA">
        <w:rPr>
          <w:rFonts w:cs="Times New Roman"/>
          <w:i/>
          <w:lang w:val="fr-CA"/>
        </w:rPr>
        <w:t>Cassese’s International Criminal Law</w:t>
      </w:r>
      <w:r w:rsidR="007D07AF">
        <w:rPr>
          <w:rFonts w:cs="Times New Roman"/>
          <w:lang w:val="fr-CA"/>
        </w:rPr>
        <w:t>, p. 9-21</w:t>
      </w:r>
      <w:r w:rsidRPr="00FE4BFA">
        <w:rPr>
          <w:rFonts w:cs="Times New Roman"/>
          <w:lang w:val="fr-CA"/>
        </w:rPr>
        <w:t>.  De son côté, l’art. 1F</w:t>
      </w:r>
      <w:r w:rsidRPr="00FE4BFA">
        <w:rPr>
          <w:rFonts w:cs="Times New Roman"/>
          <w:i/>
          <w:lang w:val="fr-CA"/>
        </w:rPr>
        <w:t>a</w:t>
      </w:r>
      <w:r w:rsidRPr="00FE4BFA">
        <w:rPr>
          <w:rFonts w:cs="Times New Roman"/>
          <w:lang w:val="fr-CA"/>
        </w:rPr>
        <w:t xml:space="preserve">) de la </w:t>
      </w:r>
      <w:r w:rsidRPr="00FE4BFA">
        <w:rPr>
          <w:rFonts w:cs="Times New Roman"/>
          <w:i/>
          <w:lang w:val="fr-CA"/>
        </w:rPr>
        <w:t>Convention relative aux réfugiés</w:t>
      </w:r>
      <w:r w:rsidRPr="00FE4BFA">
        <w:rPr>
          <w:rFonts w:cs="Times New Roman"/>
          <w:lang w:val="fr-CA"/>
        </w:rPr>
        <w:t xml:space="preserve"> renvoie de manière générale aux instruments internationaux, et la CPI se fonde elle</w:t>
      </w:r>
      <w:r w:rsidRPr="00FE4BFA">
        <w:rPr>
          <w:rFonts w:cs="Times New Roman"/>
          <w:lang w:val="fr-CA"/>
        </w:rPr>
        <w:noBreakHyphen/>
        <w:t xml:space="preserve">même sur la jurisprudence de tribunaux </w:t>
      </w:r>
      <w:r w:rsidRPr="007D07AF">
        <w:rPr>
          <w:rFonts w:cs="Times New Roman"/>
          <w:i/>
          <w:lang w:val="fr-CA"/>
        </w:rPr>
        <w:t>ad hoc</w:t>
      </w:r>
      <w:r w:rsidRPr="00FE4BFA">
        <w:rPr>
          <w:rFonts w:cs="Times New Roman"/>
          <w:lang w:val="fr-CA"/>
        </w:rPr>
        <w:t xml:space="preserve"> </w:t>
      </w:r>
      <w:r w:rsidR="007D07AF">
        <w:rPr>
          <w:rFonts w:cs="Times New Roman"/>
          <w:lang w:val="fr-CA"/>
        </w:rPr>
        <w:t xml:space="preserve">pour interpréter sa propre loi : </w:t>
      </w:r>
      <w:r w:rsidRPr="00FE4BFA">
        <w:rPr>
          <w:rFonts w:cs="Times New Roman"/>
          <w:i/>
          <w:lang w:val="fr-CA"/>
        </w:rPr>
        <w:t>Procureur c. Callixte Mbarushimana</w:t>
      </w:r>
      <w:r w:rsidRPr="00FE4BFA">
        <w:rPr>
          <w:rFonts w:cs="Times New Roman"/>
          <w:lang w:val="fr-CA"/>
        </w:rPr>
        <w:t xml:space="preserve">, </w:t>
      </w:r>
      <w:r w:rsidRPr="00FE4BFA">
        <w:rPr>
          <w:rFonts w:cs="Times New Roman"/>
          <w:lang w:val="fr-CA"/>
        </w:rPr>
        <w:lastRenderedPageBreak/>
        <w:t>ICC</w:t>
      </w:r>
      <w:r w:rsidRPr="00FE4BFA">
        <w:rPr>
          <w:rFonts w:cs="Times New Roman"/>
          <w:lang w:val="fr-CA"/>
        </w:rPr>
        <w:noBreakHyphen/>
        <w:t>01/04</w:t>
      </w:r>
      <w:r w:rsidRPr="00FE4BFA">
        <w:rPr>
          <w:rFonts w:cs="Times New Roman"/>
          <w:lang w:val="fr-CA"/>
        </w:rPr>
        <w:noBreakHyphen/>
        <w:t>01/10-465-Red</w:t>
      </w:r>
      <w:r w:rsidR="007D07AF">
        <w:rPr>
          <w:rFonts w:cs="Times New Roman"/>
          <w:lang w:val="fr-CA"/>
        </w:rPr>
        <w:t>-tFRA</w:t>
      </w:r>
      <w:r w:rsidRPr="00FE4BFA">
        <w:rPr>
          <w:rFonts w:cs="Times New Roman"/>
          <w:lang w:val="fr-CA"/>
        </w:rPr>
        <w:t xml:space="preserve">, décision relative à la confirmation des charges, 16 décembre 2011 (CPI, Chambre préliminaire I), par. 280.  </w:t>
      </w:r>
      <w:r w:rsidRPr="00FE4BFA">
        <w:rPr>
          <w:rFonts w:cs="Times New Roman"/>
          <w:lang w:val="en-US"/>
        </w:rPr>
        <w:t xml:space="preserve">Voir aussi B. Goy, « Individual Criminal Responsibility before the International Criminal Court : A Comparison with the </w:t>
      </w:r>
      <w:r w:rsidRPr="00FE4BFA">
        <w:rPr>
          <w:rFonts w:cs="Times New Roman"/>
          <w:i/>
          <w:lang w:val="en-US"/>
        </w:rPr>
        <w:t>Ad Hoc</w:t>
      </w:r>
      <w:r w:rsidRPr="00FE4BFA">
        <w:rPr>
          <w:rFonts w:cs="Times New Roman"/>
          <w:lang w:val="en-US"/>
        </w:rPr>
        <w:t xml:space="preserve"> Tribunals » (2012), 12 </w:t>
      </w:r>
      <w:r w:rsidRPr="00FE4BFA">
        <w:rPr>
          <w:rFonts w:cs="Times New Roman"/>
          <w:i/>
          <w:lang w:val="en-US"/>
        </w:rPr>
        <w:t>Int’l. Crim. L. Rev.</w:t>
      </w:r>
      <w:r w:rsidRPr="00FE4BFA">
        <w:rPr>
          <w:rFonts w:cs="Times New Roman"/>
          <w:lang w:val="en-US"/>
        </w:rPr>
        <w:t xml:space="preserve"> 1, p. 4. </w:t>
      </w:r>
      <w:r w:rsidRPr="00FE4BFA">
        <w:rPr>
          <w:rFonts w:cs="Times New Roman"/>
          <w:lang w:val="fr-CA"/>
        </w:rPr>
        <w:t xml:space="preserve">Dans </w:t>
      </w:r>
      <w:r w:rsidRPr="00FE4BFA">
        <w:rPr>
          <w:rFonts w:cs="Times New Roman"/>
          <w:i/>
          <w:lang w:val="fr-CA"/>
        </w:rPr>
        <w:t>Mugesera</w:t>
      </w:r>
      <w:r w:rsidRPr="00FE4BFA">
        <w:rPr>
          <w:rFonts w:cs="Times New Roman"/>
          <w:lang w:val="fr-CA"/>
        </w:rPr>
        <w:t xml:space="preserve">, par. 82 et 126, notre Cour souligne l’expertise des tribunaux </w:t>
      </w:r>
      <w:r w:rsidRPr="007D07AF">
        <w:rPr>
          <w:rFonts w:cs="Times New Roman"/>
          <w:i/>
          <w:lang w:val="fr-CA"/>
        </w:rPr>
        <w:t>ad hoc</w:t>
      </w:r>
      <w:r w:rsidRPr="00FE4BFA">
        <w:rPr>
          <w:rFonts w:cs="Times New Roman"/>
          <w:lang w:val="fr-CA"/>
        </w:rPr>
        <w:t xml:space="preserve"> en matière de droit international et explique que « les cours de </w:t>
      </w:r>
      <w:r w:rsidR="007D07AF">
        <w:rPr>
          <w:rFonts w:cs="Times New Roman"/>
          <w:lang w:val="fr-CA"/>
        </w:rPr>
        <w:t>justice canadiennes appliquant d</w:t>
      </w:r>
      <w:r w:rsidRPr="00FE4BFA">
        <w:rPr>
          <w:rFonts w:cs="Times New Roman"/>
          <w:lang w:val="fr-CA"/>
        </w:rPr>
        <w:t>es dispositions de droit interne [. . .] qui incorporent expressément le droit international coutumier, ne devraient pas [. . .] écarter [les décisions du Tribunal pénal international pour l’ex</w:t>
      </w:r>
      <w:r w:rsidRPr="00FE4BFA">
        <w:rPr>
          <w:rFonts w:cs="Times New Roman"/>
          <w:lang w:val="fr-CA"/>
        </w:rPr>
        <w:noBreakHyphen/>
        <w:t>Yougoslavie (« TPIY ») et du Tribunal pénal international pour le Rwanda</w:t>
      </w:r>
      <w:r w:rsidR="00EE45F6">
        <w:rPr>
          <w:rFonts w:cs="Times New Roman"/>
          <w:lang w:val="fr-CA"/>
        </w:rPr>
        <w:t xml:space="preserve">] à la légère » : </w:t>
      </w:r>
      <w:r w:rsidRPr="00FE4BFA">
        <w:rPr>
          <w:rFonts w:cs="Times New Roman"/>
          <w:lang w:val="fr-CA"/>
        </w:rPr>
        <w:t xml:space="preserve">par. 126.  Par conséquent, même si notre analyse s’appuie surtout sur la plus récente codification du droit pénal international que constitue le </w:t>
      </w:r>
      <w:r w:rsidRPr="00FE4BFA">
        <w:rPr>
          <w:rFonts w:cs="Times New Roman"/>
          <w:i/>
          <w:lang w:val="fr-CA"/>
        </w:rPr>
        <w:t>Statut de Rome</w:t>
      </w:r>
      <w:r w:rsidRPr="00FE4BFA">
        <w:rPr>
          <w:rFonts w:cs="Times New Roman"/>
          <w:lang w:val="fr-CA"/>
        </w:rPr>
        <w:t xml:space="preserve">, nous tenons compte également d’autres sources, notamment la jurisprudence des tribunaux </w:t>
      </w:r>
      <w:r w:rsidRPr="00D00C2B">
        <w:rPr>
          <w:rFonts w:cs="Times New Roman"/>
          <w:i/>
          <w:lang w:val="fr-CA"/>
        </w:rPr>
        <w:t>ad hoc</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Rappelons aussi que le présent pourvoi intéresse la distinction entre la simple association et la complicité coupable.  Si d’autres distinctions entre les modes de commission peuvent importer aux fins de la détermination de la peine, la disposition qui a pour effet d’écarter la protection accordée aux réfugiés ne s’applique que lorsqu’il existe des raisons sérieuses de penser que le demandeur d’asile a commis un crime international, indépendamment du mode de commission.  Il nous faut dès lors établir le seuil d’exclusion applicable suivant l’art. 1F</w:t>
      </w:r>
      <w:r w:rsidRPr="00FE4BFA">
        <w:rPr>
          <w:rFonts w:cs="Times New Roman"/>
          <w:i/>
          <w:lang w:val="fr-CA"/>
        </w:rPr>
        <w:t>a</w:t>
      </w:r>
      <w:r w:rsidRPr="00FE4BFA">
        <w:rPr>
          <w:rFonts w:cs="Times New Roman"/>
          <w:lang w:val="fr-CA"/>
        </w:rPr>
        <w:t xml:space="preserve">) de la </w:t>
      </w:r>
      <w:r w:rsidRPr="00FE4BFA">
        <w:rPr>
          <w:rFonts w:cs="Times New Roman"/>
          <w:i/>
          <w:lang w:val="fr-CA"/>
        </w:rPr>
        <w:t>Convention relative aux réfugiés</w:t>
      </w:r>
      <w:r w:rsidRPr="00FE4BFA">
        <w:rPr>
          <w:rFonts w:cs="Times New Roman"/>
          <w:lang w:val="fr-CA"/>
        </w:rPr>
        <w:t xml:space="preserve">.  Notre examen de la complicité doit donc tenir compte des modes de commission les plus généraux que reconnaît actuellement le </w:t>
      </w:r>
      <w:r w:rsidRPr="00FE4BFA">
        <w:rPr>
          <w:rFonts w:cs="Times New Roman"/>
          <w:lang w:val="fr-CA"/>
        </w:rPr>
        <w:lastRenderedPageBreak/>
        <w:t>droit pénal international, à savoir le fait d’agir de concert dans un dessein commun suivant l’art. 25</w:t>
      </w:r>
      <w:r w:rsidR="00D00C2B">
        <w:rPr>
          <w:rFonts w:cs="Times New Roman"/>
          <w:lang w:val="fr-CA"/>
        </w:rPr>
        <w:t>(3)</w:t>
      </w:r>
      <w:r w:rsidRPr="00FE4BFA">
        <w:rPr>
          <w:rFonts w:cs="Times New Roman"/>
          <w:lang w:val="fr-CA"/>
        </w:rPr>
        <w:t>d</w:t>
      </w:r>
      <w:r w:rsidR="00D00C2B">
        <w:rPr>
          <w:rFonts w:cs="Times New Roman"/>
          <w:lang w:val="fr-CA"/>
        </w:rPr>
        <w:t>)</w:t>
      </w:r>
      <w:r w:rsidRPr="00FE4BFA">
        <w:rPr>
          <w:rFonts w:cs="Times New Roman"/>
          <w:lang w:val="fr-CA"/>
        </w:rPr>
        <w:t xml:space="preserve"> du </w:t>
      </w:r>
      <w:r w:rsidRPr="00FE4BFA">
        <w:rPr>
          <w:rFonts w:cs="Times New Roman"/>
          <w:i/>
          <w:lang w:val="fr-CA"/>
        </w:rPr>
        <w:t xml:space="preserve">Statut de Rome </w:t>
      </w:r>
      <w:r w:rsidRPr="00FE4BFA">
        <w:rPr>
          <w:rFonts w:cs="Times New Roman"/>
          <w:lang w:val="fr-CA"/>
        </w:rPr>
        <w:t xml:space="preserve">et l’entreprise criminelle conjointe, notion issue de la jurisprudence des tribunaux </w:t>
      </w:r>
      <w:r w:rsidRPr="00D00C2B">
        <w:rPr>
          <w:rFonts w:cs="Times New Roman"/>
          <w:i/>
          <w:lang w:val="fr-CA"/>
        </w:rPr>
        <w:t>ad hoc</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Pour ces deux modes connexes, la notion de responsabilité pénale individuelle a été adaptée à la dimension collective du crime international.  Cependant, comme le montre l’analyse qui suit, elle n’a pas été étendue au point d’englober la complicité par simple association ou l’acquiescement passif.  En d’autres mots, lorsque nous nous reportons au droit pénal international, nous constatons que même pour les modes de perpétration les plus généraux, il doit exister un lien entre la personne et le crime ou le dessein criminel d’un groupe.  Ainsi, dans la mesure où, aux fins de l’art. 1</w:t>
      </w:r>
      <w:r w:rsidRPr="000E5B99">
        <w:rPr>
          <w:rFonts w:cs="Times New Roman"/>
          <w:lang w:val="fr-CA"/>
        </w:rPr>
        <w:t>F</w:t>
      </w:r>
      <w:r w:rsidRPr="00FE4BFA">
        <w:rPr>
          <w:rFonts w:cs="Times New Roman"/>
          <w:i/>
          <w:lang w:val="fr-CA"/>
        </w:rPr>
        <w:t>a</w:t>
      </w:r>
      <w:r w:rsidRPr="00D00C2B">
        <w:rPr>
          <w:rFonts w:cs="Times New Roman"/>
          <w:lang w:val="fr-CA"/>
        </w:rPr>
        <w:t>)</w:t>
      </w:r>
      <w:r w:rsidRPr="00FE4BFA">
        <w:rPr>
          <w:rFonts w:cs="Times New Roman"/>
          <w:lang w:val="fr-CA"/>
        </w:rPr>
        <w:t>, l’arrêt de la Cour d’appel fédérale élargit la notion de complicité de manière à englober la simple complicité par association ou l’acquiescement passif, il ne doit pas être suivi.  Nous y reviendrons plus en détail.</w:t>
      </w:r>
    </w:p>
    <w:p w:rsidR="00454BD3" w:rsidRPr="00FE4BFA" w:rsidRDefault="00454BD3" w:rsidP="00D00C2B">
      <w:pPr>
        <w:pStyle w:val="TitleTitre-AltT"/>
        <w:tabs>
          <w:tab w:val="clear" w:pos="360"/>
          <w:tab w:val="left" w:pos="540"/>
        </w:tabs>
        <w:ind w:left="540" w:hanging="540"/>
        <w:rPr>
          <w:rFonts w:cs="Times New Roman"/>
          <w:lang w:val="fr-CA"/>
        </w:rPr>
      </w:pPr>
      <w:r w:rsidRPr="00FE4BFA">
        <w:rPr>
          <w:rFonts w:cs="Times New Roman"/>
          <w:lang w:val="fr-CA"/>
        </w:rPr>
        <w:t>E</w:t>
      </w:r>
      <w:r w:rsidR="00D00C2B">
        <w:rPr>
          <w:rFonts w:cs="Times New Roman"/>
          <w:lang w:val="fr-CA"/>
        </w:rPr>
        <w:t>.</w:t>
      </w:r>
      <w:r w:rsidRPr="00FE4BFA">
        <w:rPr>
          <w:rFonts w:cs="Times New Roman"/>
          <w:lang w:val="fr-CA"/>
        </w:rPr>
        <w:tab/>
      </w:r>
      <w:r w:rsidRPr="00FE4BFA">
        <w:rPr>
          <w:rFonts w:cs="Times New Roman"/>
          <w:i/>
          <w:lang w:val="fr-CA"/>
        </w:rPr>
        <w:t>Dessein commun aux fins de l’art</w:t>
      </w:r>
      <w:r w:rsidR="00D00C2B">
        <w:rPr>
          <w:rFonts w:cs="Times New Roman"/>
          <w:i/>
          <w:lang w:val="fr-CA"/>
        </w:rPr>
        <w:t>.</w:t>
      </w:r>
      <w:r w:rsidRPr="00FE4BFA">
        <w:rPr>
          <w:rFonts w:cs="Times New Roman"/>
          <w:i/>
          <w:lang w:val="fr-CA"/>
        </w:rPr>
        <w:t> 25</w:t>
      </w:r>
      <w:r w:rsidR="00D00C2B">
        <w:rPr>
          <w:rFonts w:cs="Times New Roman"/>
          <w:i/>
          <w:lang w:val="fr-CA"/>
        </w:rPr>
        <w:t>(3)</w:t>
      </w:r>
      <w:r w:rsidRPr="00FE4BFA">
        <w:rPr>
          <w:rFonts w:cs="Times New Roman"/>
          <w:i/>
          <w:lang w:val="fr-CA"/>
        </w:rPr>
        <w:t>d</w:t>
      </w:r>
      <w:r w:rsidR="00D00C2B">
        <w:rPr>
          <w:rFonts w:cs="Times New Roman"/>
          <w:i/>
          <w:lang w:val="fr-CA"/>
        </w:rPr>
        <w:t>)</w:t>
      </w:r>
      <w:r w:rsidRPr="00FE4BFA">
        <w:rPr>
          <w:rFonts w:cs="Times New Roman"/>
          <w:i/>
          <w:lang w:val="fr-CA"/>
        </w:rPr>
        <w:t xml:space="preserve"> du Statut de Rome</w:t>
      </w:r>
    </w:p>
    <w:p w:rsidR="00454BD3" w:rsidRPr="00FE4BFA" w:rsidRDefault="00454BD3" w:rsidP="00454BD3">
      <w:pPr>
        <w:pStyle w:val="ParaNoNdepar-AltN"/>
        <w:rPr>
          <w:rFonts w:cs="Times New Roman"/>
          <w:lang w:val="fr-CA"/>
        </w:rPr>
      </w:pPr>
      <w:r w:rsidRPr="00FE4BFA">
        <w:rPr>
          <w:rFonts w:cs="Times New Roman"/>
          <w:lang w:val="fr-CA"/>
        </w:rPr>
        <w:t>L’article 25</w:t>
      </w:r>
      <w:r w:rsidR="00D00C2B">
        <w:rPr>
          <w:rFonts w:cs="Times New Roman"/>
          <w:lang w:val="fr-CA"/>
        </w:rPr>
        <w:t>(3)</w:t>
      </w:r>
      <w:r w:rsidRPr="00FE4BFA">
        <w:rPr>
          <w:rFonts w:cs="Times New Roman"/>
          <w:lang w:val="fr-CA"/>
        </w:rPr>
        <w:t>d</w:t>
      </w:r>
      <w:r w:rsidR="00D00C2B">
        <w:rPr>
          <w:rFonts w:cs="Times New Roman"/>
          <w:lang w:val="fr-CA"/>
        </w:rPr>
        <w:t>)</w:t>
      </w:r>
      <w:r w:rsidRPr="00FE4BFA">
        <w:rPr>
          <w:rFonts w:cs="Times New Roman"/>
          <w:lang w:val="fr-CA"/>
        </w:rPr>
        <w:t xml:space="preserve"> du </w:t>
      </w:r>
      <w:r w:rsidRPr="00FE4BFA">
        <w:rPr>
          <w:rFonts w:cs="Times New Roman"/>
          <w:i/>
          <w:lang w:val="fr-CA"/>
        </w:rPr>
        <w:t xml:space="preserve">Statut de Rome </w:t>
      </w:r>
      <w:r w:rsidRPr="00FE4BFA">
        <w:rPr>
          <w:rFonts w:cs="Times New Roman"/>
          <w:lang w:val="fr-CA"/>
        </w:rPr>
        <w:t>établit un mode de commission résiduel général, à sav</w:t>
      </w:r>
      <w:r w:rsidR="00D00C2B">
        <w:rPr>
          <w:rFonts w:cs="Times New Roman"/>
          <w:lang w:val="fr-CA"/>
        </w:rPr>
        <w:t>oir « contribue</w:t>
      </w:r>
      <w:r w:rsidRPr="00FE4BFA">
        <w:rPr>
          <w:rFonts w:cs="Times New Roman"/>
          <w:lang w:val="fr-CA"/>
        </w:rPr>
        <w:t>[r] de toute autre manière » à la commission d’un crime (ou à la tentative de commission) par un groupe de personnes agissant de concert dans un dessein commun :</w:t>
      </w:r>
      <w:r w:rsidRPr="00FE4BFA">
        <w:rPr>
          <w:rStyle w:val="FootnoteReference"/>
          <w:rFonts w:cs="Times New Roman"/>
          <w:lang w:val="fr-CA"/>
        </w:rPr>
        <w:t xml:space="preserve"> </w:t>
      </w:r>
    </w:p>
    <w:p w:rsidR="00454BD3" w:rsidRPr="00FE4BFA" w:rsidRDefault="00157C97" w:rsidP="00157C97">
      <w:pPr>
        <w:pStyle w:val="Citation-AltC"/>
        <w:tabs>
          <w:tab w:val="left" w:pos="1170"/>
        </w:tabs>
        <w:spacing w:after="240"/>
        <w:ind w:left="1530" w:hanging="1170"/>
        <w:contextualSpacing w:val="0"/>
        <w:rPr>
          <w:lang w:val="fr-CA"/>
        </w:rPr>
      </w:pPr>
      <w:r>
        <w:rPr>
          <w:lang w:val="fr-CA"/>
        </w:rPr>
        <w:tab/>
        <w:t>3.</w:t>
      </w:r>
      <w:r>
        <w:rPr>
          <w:lang w:val="fr-CA"/>
        </w:rPr>
        <w:tab/>
      </w:r>
      <w:r w:rsidR="00454BD3" w:rsidRPr="00FE4BFA">
        <w:rPr>
          <w:lang w:val="fr-CA"/>
        </w:rPr>
        <w:t>. . .  une personne est pénalement responsable et peut être punie pour un crime relevant de la compétence de la Cour si :</w:t>
      </w:r>
    </w:p>
    <w:p w:rsidR="00454BD3" w:rsidRPr="00FE4BFA" w:rsidRDefault="00454BD3" w:rsidP="00454BD3">
      <w:pPr>
        <w:pStyle w:val="Citation-AltC"/>
        <w:spacing w:after="240"/>
        <w:contextualSpacing w:val="0"/>
        <w:jc w:val="center"/>
        <w:rPr>
          <w:lang w:val="fr-CA"/>
        </w:rPr>
      </w:pPr>
      <w:r w:rsidRPr="00FE4BFA">
        <w:rPr>
          <w:lang w:val="fr-CA"/>
        </w:rPr>
        <w:lastRenderedPageBreak/>
        <w:t>. . .</w:t>
      </w:r>
    </w:p>
    <w:p w:rsidR="00454BD3" w:rsidRPr="00FE4BFA" w:rsidRDefault="00454BD3" w:rsidP="00157C97">
      <w:pPr>
        <w:pStyle w:val="Citation-AltC"/>
        <w:tabs>
          <w:tab w:val="left" w:pos="1530"/>
          <w:tab w:val="left" w:pos="1980"/>
        </w:tabs>
        <w:spacing w:after="240"/>
        <w:ind w:left="1980" w:hanging="2070"/>
        <w:contextualSpacing w:val="0"/>
        <w:rPr>
          <w:lang w:val="fr-CA"/>
        </w:rPr>
      </w:pPr>
      <w:r w:rsidRPr="00FE4BFA">
        <w:rPr>
          <w:lang w:val="fr-CA"/>
        </w:rPr>
        <w:tab/>
        <w:t>d)</w:t>
      </w:r>
      <w:r w:rsidRPr="00FE4BFA">
        <w:rPr>
          <w:lang w:val="fr-CA"/>
        </w:rPr>
        <w:tab/>
        <w:t xml:space="preserve">Elle contribue de toute autre manière à la commission ou à la tentative de commission d’un tel crime par un groupe de personnes agissant de concert.  Cette contribution doit être intentionnelle et, selon le cas : </w:t>
      </w:r>
    </w:p>
    <w:p w:rsidR="00454BD3" w:rsidRPr="00FE4BFA" w:rsidRDefault="00157C97" w:rsidP="00454BD3">
      <w:pPr>
        <w:pStyle w:val="Citation-AltC"/>
        <w:tabs>
          <w:tab w:val="left" w:pos="1980"/>
        </w:tabs>
        <w:spacing w:after="240"/>
        <w:ind w:left="2340" w:hanging="2340"/>
        <w:contextualSpacing w:val="0"/>
        <w:rPr>
          <w:lang w:val="fr-CA"/>
        </w:rPr>
      </w:pPr>
      <w:r>
        <w:rPr>
          <w:lang w:val="fr-CA"/>
        </w:rPr>
        <w:tab/>
        <w:t>i)</w:t>
      </w:r>
      <w:r>
        <w:rPr>
          <w:lang w:val="fr-CA"/>
        </w:rPr>
        <w:tab/>
        <w:t>V</w:t>
      </w:r>
      <w:r w:rsidR="00454BD3" w:rsidRPr="00FE4BFA">
        <w:rPr>
          <w:lang w:val="fr-CA"/>
        </w:rPr>
        <w:t>iser à faciliter l’activité criminelle ou le dessein criminel du groupe, si cette activité ou ce dessein comporte l’exécution d’un crime relevant de la compétence de la Cour; ou</w:t>
      </w:r>
    </w:p>
    <w:p w:rsidR="00454BD3" w:rsidRPr="00FE4BFA" w:rsidRDefault="00157C97" w:rsidP="00157C97">
      <w:pPr>
        <w:pStyle w:val="Citation-AltC"/>
        <w:tabs>
          <w:tab w:val="left" w:pos="1980"/>
        </w:tabs>
        <w:ind w:left="2347" w:hanging="2347"/>
        <w:contextualSpacing w:val="0"/>
        <w:rPr>
          <w:lang w:val="fr-CA"/>
        </w:rPr>
      </w:pPr>
      <w:r>
        <w:rPr>
          <w:lang w:val="fr-CA"/>
        </w:rPr>
        <w:tab/>
        <w:t>ii)</w:t>
      </w:r>
      <w:r>
        <w:rPr>
          <w:lang w:val="fr-CA"/>
        </w:rPr>
        <w:tab/>
        <w:t>Ê</w:t>
      </w:r>
      <w:r w:rsidR="00454BD3" w:rsidRPr="00FE4BFA">
        <w:rPr>
          <w:lang w:val="fr-CA"/>
        </w:rPr>
        <w:t xml:space="preserve">tre faite en pleine connaissance de l’intention du groupe de commettre ce crime; </w:t>
      </w:r>
    </w:p>
    <w:p w:rsidR="00454BD3" w:rsidRPr="00FE4BFA" w:rsidRDefault="00454BD3" w:rsidP="00454BD3">
      <w:pPr>
        <w:pStyle w:val="Citation-AltC"/>
        <w:ind w:left="1170" w:hanging="1170"/>
        <w:contextualSpacing w:val="0"/>
        <w:rPr>
          <w:lang w:val="fr-CA"/>
        </w:rPr>
      </w:pPr>
      <w:r w:rsidRPr="00FE4BFA">
        <w:rPr>
          <w:lang w:val="fr-CA"/>
        </w:rPr>
        <w:t xml:space="preserve">Voir </w:t>
      </w:r>
      <w:r w:rsidRPr="00FE4BFA">
        <w:rPr>
          <w:i/>
          <w:lang w:val="fr-CA"/>
        </w:rPr>
        <w:t>Cassese’s</w:t>
      </w:r>
      <w:r w:rsidRPr="00FE4BFA">
        <w:rPr>
          <w:lang w:val="fr-CA"/>
        </w:rPr>
        <w:t xml:space="preserve"> </w:t>
      </w:r>
      <w:r w:rsidRPr="00FE4BFA">
        <w:rPr>
          <w:i/>
          <w:lang w:val="fr-CA"/>
        </w:rPr>
        <w:t>International Criminal Law</w:t>
      </w:r>
      <w:r w:rsidRPr="00FE4BFA">
        <w:rPr>
          <w:lang w:val="fr-CA"/>
        </w:rPr>
        <w:t>, p. 175</w:t>
      </w:r>
      <w:r w:rsidR="00157C97">
        <w:rPr>
          <w:lang w:val="fr-CA"/>
        </w:rPr>
        <w:t>-</w:t>
      </w:r>
      <w:r w:rsidRPr="00FE4BFA">
        <w:rPr>
          <w:lang w:val="fr-CA"/>
        </w:rPr>
        <w:t>176.</w:t>
      </w:r>
    </w:p>
    <w:p w:rsidR="00454BD3" w:rsidRPr="00FE4BFA" w:rsidRDefault="00454BD3" w:rsidP="00454BD3">
      <w:pPr>
        <w:pStyle w:val="ParaNoNdepar-AltN"/>
        <w:rPr>
          <w:rFonts w:cs="Times New Roman"/>
          <w:lang w:val="fr-CA"/>
        </w:rPr>
      </w:pPr>
      <w:r w:rsidRPr="00FE4BFA">
        <w:rPr>
          <w:rFonts w:cs="Times New Roman"/>
          <w:lang w:val="fr-CA"/>
        </w:rPr>
        <w:t>En d’autres termes, l’art. 25</w:t>
      </w:r>
      <w:r w:rsidR="00157C97">
        <w:rPr>
          <w:rFonts w:cs="Times New Roman"/>
          <w:lang w:val="fr-CA"/>
        </w:rPr>
        <w:t>(3)</w:t>
      </w:r>
      <w:r w:rsidRPr="00FE4BFA">
        <w:rPr>
          <w:rFonts w:cs="Times New Roman"/>
          <w:lang w:val="fr-CA"/>
        </w:rPr>
        <w:t>d</w:t>
      </w:r>
      <w:r w:rsidR="00157C97">
        <w:rPr>
          <w:rFonts w:cs="Times New Roman"/>
          <w:lang w:val="fr-CA"/>
        </w:rPr>
        <w:t>)</w:t>
      </w:r>
      <w:r w:rsidRPr="00FE4BFA">
        <w:rPr>
          <w:rFonts w:cs="Times New Roman"/>
          <w:lang w:val="fr-CA"/>
        </w:rPr>
        <w:t xml:space="preserve"> cible la contribution à la commission d’un crime d’une personne qui n’avait pas de pouvoir sur l’exécution du crime et qui n’a pas fait de contribution </w:t>
      </w:r>
      <w:r w:rsidRPr="00FE4BFA">
        <w:rPr>
          <w:rFonts w:cs="Times New Roman"/>
          <w:i/>
          <w:lang w:val="fr-CA"/>
        </w:rPr>
        <w:t>essentielle</w:t>
      </w:r>
      <w:r w:rsidRPr="00FE4BFA">
        <w:rPr>
          <w:rFonts w:cs="Times New Roman"/>
          <w:lang w:val="fr-CA"/>
        </w:rPr>
        <w:t xml:space="preserve"> comme l’exige la n</w:t>
      </w:r>
      <w:r w:rsidR="00157C97">
        <w:rPr>
          <w:rFonts w:cs="Times New Roman"/>
          <w:lang w:val="fr-CA"/>
        </w:rPr>
        <w:t>otion de coaction à l’art. 25(3)</w:t>
      </w:r>
      <w:r w:rsidRPr="00FE4BFA">
        <w:rPr>
          <w:rFonts w:cs="Times New Roman"/>
          <w:lang w:val="fr-CA"/>
        </w:rPr>
        <w:t>a</w:t>
      </w:r>
      <w:r w:rsidR="00157C97">
        <w:rPr>
          <w:rFonts w:cs="Times New Roman"/>
          <w:lang w:val="fr-CA"/>
        </w:rPr>
        <w:t>)</w:t>
      </w:r>
      <w:r w:rsidRPr="00FE4BFA">
        <w:rPr>
          <w:rFonts w:cs="Times New Roman"/>
          <w:lang w:val="fr-CA"/>
        </w:rPr>
        <w:t>, qui n’a pas incité, sollicité ou encouragé la commission du crime au sens de l’art. 25</w:t>
      </w:r>
      <w:r w:rsidR="00157C97">
        <w:rPr>
          <w:rFonts w:cs="Times New Roman"/>
          <w:lang w:val="fr-CA"/>
        </w:rPr>
        <w:t>(3)b)</w:t>
      </w:r>
      <w:r w:rsidRPr="00FE4BFA">
        <w:rPr>
          <w:rFonts w:cs="Times New Roman"/>
          <w:lang w:val="fr-CA"/>
        </w:rPr>
        <w:t xml:space="preserve"> ou qui n’avait pas l’intention de faciliter la commission du crime ou d’apporter son aide à sa commission selon l’art. 25</w:t>
      </w:r>
      <w:r w:rsidR="00157C97">
        <w:rPr>
          <w:rFonts w:cs="Times New Roman"/>
          <w:lang w:val="fr-CA"/>
        </w:rPr>
        <w:t>(3)</w:t>
      </w:r>
      <w:r w:rsidRPr="00FE4BFA">
        <w:rPr>
          <w:rFonts w:cs="Times New Roman"/>
          <w:lang w:val="fr-CA"/>
        </w:rPr>
        <w:t>c</w:t>
      </w:r>
      <w:r w:rsidR="00157C97">
        <w:rPr>
          <w:rFonts w:cs="Times New Roman"/>
          <w:lang w:val="fr-CA"/>
        </w:rPr>
        <w:t>) :</w:t>
      </w:r>
      <w:r w:rsidRPr="00FE4BFA">
        <w:rPr>
          <w:rFonts w:cs="Times New Roman"/>
          <w:lang w:val="fr-CA"/>
        </w:rPr>
        <w:t xml:space="preserve"> </w:t>
      </w:r>
      <w:r w:rsidRPr="00FE4BFA">
        <w:rPr>
          <w:rFonts w:cs="Times New Roman"/>
          <w:i/>
          <w:lang w:val="fr-CA"/>
        </w:rPr>
        <w:t>Procureur c. Thomas Lubanga Dyilo</w:t>
      </w:r>
      <w:r w:rsidRPr="00FE4BFA">
        <w:rPr>
          <w:rFonts w:cs="Times New Roman"/>
          <w:lang w:val="fr-CA"/>
        </w:rPr>
        <w:t>,</w:t>
      </w:r>
      <w:r w:rsidRPr="00FE4BFA">
        <w:rPr>
          <w:rFonts w:cs="Times New Roman"/>
          <w:i/>
          <w:lang w:val="fr-CA"/>
        </w:rPr>
        <w:t xml:space="preserve"> </w:t>
      </w:r>
      <w:r w:rsidRPr="00FE4BFA">
        <w:rPr>
          <w:rFonts w:cs="Times New Roman"/>
          <w:lang w:val="fr-CA"/>
        </w:rPr>
        <w:t>ICC</w:t>
      </w:r>
      <w:r w:rsidRPr="00FE4BFA">
        <w:rPr>
          <w:rFonts w:cs="Times New Roman"/>
          <w:lang w:val="fr-CA"/>
        </w:rPr>
        <w:noBreakHyphen/>
        <w:t>01/04</w:t>
      </w:r>
      <w:r w:rsidRPr="00FE4BFA">
        <w:rPr>
          <w:rFonts w:cs="Times New Roman"/>
          <w:lang w:val="fr-CA"/>
        </w:rPr>
        <w:noBreakHyphen/>
        <w:t>01/06-2842</w:t>
      </w:r>
      <w:r w:rsidR="00157C97">
        <w:rPr>
          <w:rFonts w:cs="Times New Roman"/>
          <w:lang w:val="fr-CA"/>
        </w:rPr>
        <w:t>-tFR</w:t>
      </w:r>
      <w:r w:rsidR="00CC58D8">
        <w:rPr>
          <w:rFonts w:cs="Times New Roman"/>
          <w:lang w:val="fr-CA"/>
        </w:rPr>
        <w:t>A</w:t>
      </w:r>
      <w:r w:rsidRPr="00FE4BFA">
        <w:rPr>
          <w:rFonts w:cs="Times New Roman"/>
          <w:lang w:val="fr-CA"/>
        </w:rPr>
        <w:t xml:space="preserve">, jugement </w:t>
      </w:r>
      <w:r w:rsidR="00157C97">
        <w:rPr>
          <w:rFonts w:cs="Times New Roman"/>
          <w:lang w:val="fr-CA"/>
        </w:rPr>
        <w:t>rendu en application de l’article</w:t>
      </w:r>
      <w:r w:rsidRPr="00FE4BFA">
        <w:rPr>
          <w:rFonts w:cs="Times New Roman"/>
          <w:lang w:val="fr-CA"/>
        </w:rPr>
        <w:t xml:space="preserve"> 74 du Statut, 14 mars 2012 (CPI, Chambre de première instance I), par. 999; </w:t>
      </w:r>
      <w:r w:rsidR="00157C97">
        <w:rPr>
          <w:rFonts w:cs="Times New Roman"/>
          <w:i/>
          <w:lang w:val="fr-CA"/>
        </w:rPr>
        <w:t>Prosecutor</w:t>
      </w:r>
      <w:r w:rsidRPr="00FE4BFA">
        <w:rPr>
          <w:rFonts w:cs="Times New Roman"/>
          <w:i/>
          <w:lang w:val="fr-CA"/>
        </w:rPr>
        <w:t xml:space="preserve"> c. William Samoei Ruto</w:t>
      </w:r>
      <w:r w:rsidRPr="00FE4BFA">
        <w:rPr>
          <w:rFonts w:cs="Times New Roman"/>
          <w:lang w:val="fr-CA"/>
        </w:rPr>
        <w:t>, ICC</w:t>
      </w:r>
      <w:r w:rsidRPr="00FE4BFA">
        <w:rPr>
          <w:rFonts w:cs="Times New Roman"/>
          <w:lang w:val="fr-CA"/>
        </w:rPr>
        <w:noBreakHyphen/>
        <w:t>01/09</w:t>
      </w:r>
      <w:r w:rsidRPr="00FE4BFA">
        <w:rPr>
          <w:rFonts w:cs="Times New Roman"/>
          <w:lang w:val="fr-CA"/>
        </w:rPr>
        <w:noBreakHyphen/>
        <w:t xml:space="preserve">01/11-373, décision sur la confirmation des charges, 23 janvier 2012 (CPI, Chambre préliminaire II), par. 354; </w:t>
      </w:r>
      <w:r w:rsidR="00A84C52">
        <w:rPr>
          <w:rFonts w:cs="Times New Roman"/>
          <w:i/>
          <w:lang w:val="fr-CA"/>
        </w:rPr>
        <w:t>Prosecutor</w:t>
      </w:r>
      <w:r w:rsidRPr="00FE4BFA">
        <w:rPr>
          <w:rFonts w:cs="Times New Roman"/>
          <w:i/>
          <w:lang w:val="fr-CA"/>
        </w:rPr>
        <w:t xml:space="preserve"> c. Callixte Mbarushimana</w:t>
      </w:r>
      <w:r w:rsidRPr="00FE4BFA">
        <w:rPr>
          <w:rFonts w:cs="Times New Roman"/>
          <w:lang w:val="fr-CA"/>
        </w:rPr>
        <w:t>, ICC</w:t>
      </w:r>
      <w:r w:rsidRPr="00FE4BFA">
        <w:rPr>
          <w:rFonts w:cs="Times New Roman"/>
          <w:lang w:val="fr-CA"/>
        </w:rPr>
        <w:noBreakHyphen/>
        <w:t>01/04</w:t>
      </w:r>
      <w:r w:rsidRPr="00FE4BFA">
        <w:rPr>
          <w:rFonts w:cs="Times New Roman"/>
          <w:lang w:val="fr-CA"/>
        </w:rPr>
        <w:noBreakHyphen/>
        <w:t xml:space="preserve">01/10-514, jugement sur l’appel du Procureur contre la décision sur les charges, 30 mai 2012 (CPI, Chambre d’appel), par. 8, avec l’accord de la juge Fernández de Gurmendi; </w:t>
      </w:r>
      <w:r w:rsidRPr="00FE4BFA">
        <w:rPr>
          <w:rFonts w:cs="Times New Roman"/>
          <w:i/>
          <w:lang w:val="fr-CA"/>
        </w:rPr>
        <w:t xml:space="preserve">Procureur c. Thomas </w:t>
      </w:r>
      <w:r w:rsidRPr="00FE4BFA">
        <w:rPr>
          <w:rFonts w:cs="Times New Roman"/>
          <w:i/>
          <w:lang w:val="fr-CA"/>
        </w:rPr>
        <w:lastRenderedPageBreak/>
        <w:t>Lubanga Dyilo</w:t>
      </w:r>
      <w:r w:rsidRPr="00FE4BFA">
        <w:rPr>
          <w:rFonts w:cs="Times New Roman"/>
          <w:lang w:val="fr-CA"/>
        </w:rPr>
        <w:t>, ICC</w:t>
      </w:r>
      <w:r w:rsidRPr="00FE4BFA">
        <w:rPr>
          <w:rFonts w:cs="Times New Roman"/>
          <w:lang w:val="fr-CA"/>
        </w:rPr>
        <w:noBreakHyphen/>
        <w:t>01/04</w:t>
      </w:r>
      <w:r w:rsidRPr="00FE4BFA">
        <w:rPr>
          <w:rFonts w:cs="Times New Roman"/>
          <w:lang w:val="fr-CA"/>
        </w:rPr>
        <w:noBreakHyphen/>
        <w:t>01/06-803, décision sur la confirmation des charges, 29 janvier 2007  (CPI, Chambre préliminaire I), par. 337; Lafontaine, p. 237</w:t>
      </w:r>
      <w:r w:rsidR="00A84C52">
        <w:rPr>
          <w:rFonts w:cs="Times New Roman"/>
          <w:lang w:val="fr-CA"/>
        </w:rPr>
        <w:t>-238</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C’est surtout le degré de contribution exigé qui distingue l’</w:t>
      </w:r>
      <w:r w:rsidRPr="00FE4BFA">
        <w:rPr>
          <w:rFonts w:cs="Times New Roman"/>
          <w:i/>
          <w:lang w:val="fr-CA"/>
        </w:rPr>
        <w:t>actus reus</w:t>
      </w:r>
      <w:r w:rsidRPr="00FE4BFA">
        <w:rPr>
          <w:rFonts w:cs="Times New Roman"/>
          <w:lang w:val="fr-CA"/>
        </w:rPr>
        <w:t xml:space="preserve"> correspondant à l’al. d) de celui que prévoient les alinéas précédents du par. 25</w:t>
      </w:r>
      <w:r w:rsidR="00A84C52">
        <w:rPr>
          <w:rFonts w:cs="Times New Roman"/>
          <w:lang w:val="fr-CA"/>
        </w:rPr>
        <w:t>(3)</w:t>
      </w:r>
      <w:r w:rsidRPr="00FE4BFA">
        <w:rPr>
          <w:rFonts w:cs="Times New Roman"/>
          <w:lang w:val="fr-CA"/>
        </w:rPr>
        <w:t>.  La jurisprudence n’est pas définitivement établie, mais une chambre préliminaire de la CPI a affirmé que le degré de contribution exigé aux fins de l’art. 25</w:t>
      </w:r>
      <w:r w:rsidR="00A84C52">
        <w:rPr>
          <w:rFonts w:cs="Times New Roman"/>
          <w:lang w:val="fr-CA"/>
        </w:rPr>
        <w:t>(3)d)</w:t>
      </w:r>
      <w:r w:rsidRPr="00FE4BFA">
        <w:rPr>
          <w:rFonts w:cs="Times New Roman"/>
          <w:lang w:val="fr-CA"/>
        </w:rPr>
        <w:t xml:space="preserve"> est moindre que celui requis pour l’application des al. a) à c).  Alors que l’al. a) exige une contribution essentielle, et l’al. c) une contribution substantielle, la Chambre préliminaire I conclut que l’art. 25</w:t>
      </w:r>
      <w:r w:rsidR="00A84C52">
        <w:rPr>
          <w:rFonts w:cs="Times New Roman"/>
          <w:lang w:val="fr-CA"/>
        </w:rPr>
        <w:t>(3)d)</w:t>
      </w:r>
      <w:r w:rsidRPr="00FE4BFA">
        <w:rPr>
          <w:rFonts w:cs="Times New Roman"/>
          <w:lang w:val="fr-CA"/>
        </w:rPr>
        <w:t xml:space="preserve"> requiert seulement une contribution significative</w:t>
      </w:r>
      <w:r w:rsidR="00A84C52">
        <w:rPr>
          <w:rFonts w:cs="Times New Roman"/>
          <w:lang w:val="fr-CA"/>
        </w:rPr>
        <w:t xml:space="preserve"> : </w:t>
      </w:r>
      <w:r w:rsidRPr="00FE4BFA">
        <w:rPr>
          <w:rFonts w:cs="Times New Roman"/>
          <w:i/>
          <w:lang w:val="fr-CA"/>
        </w:rPr>
        <w:t>Mbarushimana</w:t>
      </w:r>
      <w:r w:rsidR="00A84C52">
        <w:rPr>
          <w:rFonts w:cs="Times New Roman"/>
          <w:lang w:val="fr-CA"/>
        </w:rPr>
        <w:t>, par. 279-285</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L’expression « de toute autre manière » englobe toute contribution imaginable du point de vue qualitatif, mais sa portée n’est pas nécessairement aussi grande sur le plan quantitatif.  Toute contribution, aussi minime soit</w:t>
      </w:r>
      <w:r w:rsidRPr="00FE4BFA">
        <w:rPr>
          <w:rFonts w:cs="Times New Roman"/>
          <w:lang w:val="fr-CA"/>
        </w:rPr>
        <w:noBreakHyphen/>
        <w:t>elle, ne tombe pas sous le coup de l’art. 25</w:t>
      </w:r>
      <w:r w:rsidR="00A84C52">
        <w:rPr>
          <w:rFonts w:cs="Times New Roman"/>
          <w:lang w:val="fr-CA"/>
        </w:rPr>
        <w:t>(3)</w:t>
      </w:r>
      <w:r w:rsidRPr="00FE4BFA">
        <w:rPr>
          <w:rFonts w:cs="Times New Roman"/>
          <w:lang w:val="fr-CA"/>
        </w:rPr>
        <w:t>d</w:t>
      </w:r>
      <w:r w:rsidR="00A84C52">
        <w:rPr>
          <w:rFonts w:cs="Times New Roman"/>
          <w:lang w:val="fr-CA"/>
        </w:rPr>
        <w:t>)</w:t>
      </w:r>
      <w:r w:rsidRPr="00FE4BFA">
        <w:rPr>
          <w:rFonts w:cs="Times New Roman"/>
          <w:lang w:val="fr-CA"/>
        </w:rPr>
        <w:t xml:space="preserve">.  Il est crucial que le seuil fixé soit celui de la contribution significative.  Comme le note la Chambre préliminaire I de la CPI dans </w:t>
      </w:r>
      <w:r w:rsidRPr="00FE4BFA">
        <w:rPr>
          <w:rFonts w:cs="Times New Roman"/>
          <w:i/>
          <w:lang w:val="fr-CA"/>
        </w:rPr>
        <w:t>Mbarushimana</w:t>
      </w:r>
      <w:r w:rsidRPr="00FE4BFA">
        <w:rPr>
          <w:rFonts w:cs="Times New Roman"/>
          <w:lang w:val="fr-CA"/>
        </w:rPr>
        <w:t xml:space="preserve">, par. 277 : </w:t>
      </w:r>
    </w:p>
    <w:p w:rsidR="00454BD3" w:rsidRPr="00FE4BFA" w:rsidRDefault="00454BD3" w:rsidP="00454BD3">
      <w:pPr>
        <w:pStyle w:val="Citation-AltC"/>
        <w:tabs>
          <w:tab w:val="left" w:pos="1620"/>
        </w:tabs>
        <w:ind w:hanging="1166"/>
        <w:rPr>
          <w:lang w:val="fr-CA"/>
        </w:rPr>
      </w:pPr>
      <w:r w:rsidRPr="00FE4BFA">
        <w:rPr>
          <w:lang w:val="fr-CA"/>
        </w:rPr>
        <w:tab/>
      </w:r>
      <w:r w:rsidR="00A84C52">
        <w:rPr>
          <w:lang w:val="fr-CA"/>
        </w:rPr>
        <w:tab/>
      </w:r>
      <w:r w:rsidRPr="00FE4BFA">
        <w:rPr>
          <w:lang w:val="fr-CA"/>
        </w:rPr>
        <w:t xml:space="preserve">. . . un tel seuil est nécessaire pour exclure des contributions qui, dans l’esprit des auteurs du Statut, n’étaient clairement pas d’un degré ou d’une nature suffisants pour déclarer engagée la responsabilité pénale individuelle.  Par exemple, de nombreux membres d’une communauté peuvent apporter des contributions à une organisation criminelle en ayant connaissance de la criminalité du groupe, surtout lorsque cette criminalité est de notoriété publique.  Si on ne fixe pas de seuil au degré d’assistance, tout propriétaire, commerçant, prestataire de services (y compris publics), secrétaire, gardien ou même contribuable apportant une quelconque </w:t>
      </w:r>
      <w:r w:rsidRPr="00FE4BFA">
        <w:rPr>
          <w:lang w:val="fr-CA"/>
        </w:rPr>
        <w:lastRenderedPageBreak/>
        <w:t>contribution à la commission de crimes internationaux par un groupe répondrait aux éléments requis pour voir sa responsabilité engagée en vertu de l’article 25</w:t>
      </w:r>
      <w:r w:rsidRPr="00FE4BFA">
        <w:rPr>
          <w:lang w:val="fr-CA"/>
        </w:rPr>
        <w:noBreakHyphen/>
        <w:t>3</w:t>
      </w:r>
      <w:r w:rsidRPr="00FE4BFA">
        <w:rPr>
          <w:lang w:val="fr-CA"/>
        </w:rPr>
        <w:noBreakHyphen/>
        <w:t xml:space="preserve">d, à raison d’une contribution infinitésimale aux crimes commis. </w:t>
      </w:r>
    </w:p>
    <w:p w:rsidR="00454BD3" w:rsidRPr="00FE4BFA" w:rsidRDefault="00454BD3" w:rsidP="00454BD3">
      <w:pPr>
        <w:pStyle w:val="ParaNoNdepar-AltN"/>
        <w:rPr>
          <w:rFonts w:cs="Times New Roman"/>
          <w:lang w:val="fr-CA"/>
        </w:rPr>
      </w:pPr>
      <w:r w:rsidRPr="00FE4BFA">
        <w:rPr>
          <w:rFonts w:cs="Times New Roman"/>
          <w:lang w:val="fr-CA"/>
        </w:rPr>
        <w:t>La Chambre préliminaire I explique ensuite que l’importance de la contribution dépend des faits de l’espèce, « puisque ce n’est qu’en examinant le comportement d’une personne dans son contexte qu’on peut déterminer dans quelle mesure une contribution a eu un effet plus ou moins grand sur les crimes commis »</w:t>
      </w:r>
      <w:r w:rsidR="00A84C52">
        <w:rPr>
          <w:rFonts w:cs="Times New Roman"/>
          <w:lang w:val="fr-CA"/>
        </w:rPr>
        <w:t xml:space="preserve"> : </w:t>
      </w:r>
      <w:r w:rsidRPr="00FE4BFA">
        <w:rPr>
          <w:rFonts w:cs="Times New Roman"/>
          <w:i/>
          <w:lang w:val="fr-CA"/>
        </w:rPr>
        <w:t>Mbarushimana</w:t>
      </w:r>
      <w:r w:rsidRPr="00FE4BFA">
        <w:rPr>
          <w:rFonts w:cs="Times New Roman"/>
          <w:lang w:val="fr-CA"/>
        </w:rPr>
        <w:t>, par. 284.  Par ailleurs, sur appel interjeté par le Procureur, la Chambre d’appel refuse à la majorité de préciser le degré de</w:t>
      </w:r>
      <w:r w:rsidR="008C09D9">
        <w:rPr>
          <w:rFonts w:cs="Times New Roman"/>
          <w:lang w:val="fr-CA"/>
        </w:rPr>
        <w:t xml:space="preserve"> contribution requis à l’art.</w:t>
      </w:r>
      <w:r w:rsidRPr="00FE4BFA">
        <w:rPr>
          <w:rFonts w:cs="Times New Roman"/>
          <w:lang w:val="fr-CA"/>
        </w:rPr>
        <w:t> 25</w:t>
      </w:r>
      <w:r w:rsidR="00A84C52">
        <w:rPr>
          <w:rFonts w:cs="Times New Roman"/>
          <w:lang w:val="fr-CA"/>
        </w:rPr>
        <w:t>(</w:t>
      </w:r>
      <w:r w:rsidRPr="00FE4BFA">
        <w:rPr>
          <w:rFonts w:cs="Times New Roman"/>
          <w:lang w:val="fr-CA"/>
        </w:rPr>
        <w:t>3</w:t>
      </w:r>
      <w:r w:rsidR="00A84C52">
        <w:rPr>
          <w:rFonts w:cs="Times New Roman"/>
          <w:lang w:val="fr-CA"/>
        </w:rPr>
        <w:t>)</w:t>
      </w:r>
      <w:r w:rsidRPr="00FE4BFA">
        <w:rPr>
          <w:rFonts w:cs="Times New Roman"/>
          <w:lang w:val="fr-CA"/>
        </w:rPr>
        <w:t>d</w:t>
      </w:r>
      <w:r w:rsidR="00A84C52">
        <w:rPr>
          <w:rFonts w:cs="Times New Roman"/>
          <w:lang w:val="fr-CA"/>
        </w:rPr>
        <w:t>) :</w:t>
      </w:r>
      <w:r w:rsidRPr="00FE4BFA">
        <w:rPr>
          <w:rFonts w:cs="Times New Roman"/>
          <w:lang w:val="fr-CA"/>
        </w:rPr>
        <w:t xml:space="preserve"> </w:t>
      </w:r>
      <w:r w:rsidR="00A84C52">
        <w:rPr>
          <w:rFonts w:cs="Times New Roman"/>
          <w:lang w:val="fr-CA"/>
        </w:rPr>
        <w:t>par. 65</w:t>
      </w:r>
      <w:r w:rsidR="00A84C52">
        <w:rPr>
          <w:rFonts w:cs="Times New Roman"/>
          <w:lang w:val="fr-CA"/>
        </w:rPr>
        <w:noBreakHyphen/>
        <w:t>69</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 xml:space="preserve">S’agissant de la </w:t>
      </w:r>
      <w:r w:rsidRPr="00FE4BFA">
        <w:rPr>
          <w:rFonts w:cs="Times New Roman"/>
          <w:i/>
          <w:lang w:val="fr-CA"/>
        </w:rPr>
        <w:t>mens rea</w:t>
      </w:r>
      <w:r w:rsidRPr="00FE4BFA">
        <w:rPr>
          <w:rFonts w:cs="Times New Roman"/>
          <w:lang w:val="fr-CA"/>
        </w:rPr>
        <w:t xml:space="preserve"> requise, il ressort de l’art. 25</w:t>
      </w:r>
      <w:r w:rsidR="00A84C52">
        <w:rPr>
          <w:rFonts w:cs="Times New Roman"/>
          <w:lang w:val="fr-CA"/>
        </w:rPr>
        <w:t>(3)</w:t>
      </w:r>
      <w:r w:rsidRPr="00FE4BFA">
        <w:rPr>
          <w:rFonts w:cs="Times New Roman"/>
          <w:lang w:val="fr-CA"/>
        </w:rPr>
        <w:t>d</w:t>
      </w:r>
      <w:r w:rsidR="00A84C52">
        <w:rPr>
          <w:rFonts w:cs="Times New Roman"/>
          <w:lang w:val="fr-CA"/>
        </w:rPr>
        <w:t>)</w:t>
      </w:r>
      <w:r w:rsidRPr="00FE4BFA">
        <w:rPr>
          <w:rFonts w:cs="Times New Roman"/>
          <w:lang w:val="fr-CA"/>
        </w:rPr>
        <w:t xml:space="preserve"> que la contribution doit être intentionnelle, qu’elle doit « </w:t>
      </w:r>
      <w:r w:rsidR="00A84C52">
        <w:rPr>
          <w:rFonts w:cs="Times New Roman"/>
          <w:lang w:val="fr-CA"/>
        </w:rPr>
        <w:t>[</w:t>
      </w:r>
      <w:r w:rsidRPr="00FE4BFA">
        <w:rPr>
          <w:rFonts w:cs="Times New Roman"/>
          <w:lang w:val="fr-CA"/>
        </w:rPr>
        <w:t>v</w:t>
      </w:r>
      <w:r w:rsidR="00A84C52">
        <w:rPr>
          <w:rFonts w:cs="Times New Roman"/>
          <w:lang w:val="fr-CA"/>
        </w:rPr>
        <w:t>]</w:t>
      </w:r>
      <w:r w:rsidRPr="00FE4BFA">
        <w:rPr>
          <w:rFonts w:cs="Times New Roman"/>
          <w:lang w:val="fr-CA"/>
        </w:rPr>
        <w:t>iser à faciliter l’activité criminelle ou le dessein criminel du groupe » ou « </w:t>
      </w:r>
      <w:r w:rsidR="00A84C52">
        <w:rPr>
          <w:rFonts w:cs="Times New Roman"/>
          <w:lang w:val="fr-CA"/>
        </w:rPr>
        <w:t>[</w:t>
      </w:r>
      <w:r w:rsidRPr="00FE4BFA">
        <w:rPr>
          <w:rFonts w:cs="Times New Roman"/>
          <w:lang w:val="fr-CA"/>
        </w:rPr>
        <w:t>ê</w:t>
      </w:r>
      <w:r w:rsidR="00A84C52">
        <w:rPr>
          <w:rFonts w:cs="Times New Roman"/>
          <w:lang w:val="fr-CA"/>
        </w:rPr>
        <w:t>]</w:t>
      </w:r>
      <w:r w:rsidRPr="00FE4BFA">
        <w:rPr>
          <w:rFonts w:cs="Times New Roman"/>
          <w:lang w:val="fr-CA"/>
        </w:rPr>
        <w:t xml:space="preserve">tre faite en pleine connaissance de l’intention du groupe de commettre ce crime ».  Dans l’affaire </w:t>
      </w:r>
      <w:r w:rsidRPr="00FE4BFA">
        <w:rPr>
          <w:rFonts w:cs="Times New Roman"/>
          <w:i/>
          <w:lang w:val="fr-CA"/>
        </w:rPr>
        <w:t>Mbarushimana</w:t>
      </w:r>
      <w:r w:rsidRPr="00FE4BFA">
        <w:rPr>
          <w:rFonts w:cs="Times New Roman"/>
          <w:lang w:val="fr-CA"/>
        </w:rPr>
        <w:t xml:space="preserve">, la Chambre préliminaire I explique au par. 289 de ses motifs qu’une personne peut être complice d’un crime sans avoir la </w:t>
      </w:r>
      <w:r w:rsidRPr="00FE4BFA">
        <w:rPr>
          <w:rFonts w:cs="Times New Roman"/>
          <w:i/>
          <w:lang w:val="fr-CA"/>
        </w:rPr>
        <w:t>mens rea</w:t>
      </w:r>
      <w:r w:rsidRPr="00FE4BFA">
        <w:rPr>
          <w:rFonts w:cs="Times New Roman"/>
          <w:lang w:val="fr-CA"/>
        </w:rPr>
        <w:t xml:space="preserve"> nécessaire à sa perpétration :  </w:t>
      </w:r>
    </w:p>
    <w:p w:rsidR="00454BD3" w:rsidRPr="00FE4BFA" w:rsidRDefault="00454BD3" w:rsidP="00454BD3">
      <w:pPr>
        <w:pStyle w:val="Citation-AltC"/>
        <w:ind w:hanging="1166"/>
        <w:rPr>
          <w:lang w:val="fr-CA"/>
        </w:rPr>
      </w:pPr>
      <w:r w:rsidRPr="00FE4BFA">
        <w:rPr>
          <w:lang w:val="fr-CA"/>
        </w:rPr>
        <w:tab/>
        <w:t>À la différence de l’aide et du concours visés à l’article 25</w:t>
      </w:r>
      <w:r w:rsidRPr="00FE4BFA">
        <w:rPr>
          <w:lang w:val="fr-CA"/>
        </w:rPr>
        <w:noBreakHyphen/>
        <w:t>3</w:t>
      </w:r>
      <w:r w:rsidRPr="00FE4BFA">
        <w:rPr>
          <w:lang w:val="fr-CA"/>
        </w:rPr>
        <w:noBreakHyphen/>
        <w:t>c du Statut, pour lesquels l’intention est toujours requise, la connaissance suffit pour déclarer engagée en vertu de l’article 25</w:t>
      </w:r>
      <w:r w:rsidRPr="00FE4BFA">
        <w:rPr>
          <w:lang w:val="fr-CA"/>
        </w:rPr>
        <w:noBreakHyphen/>
        <w:t>3</w:t>
      </w:r>
      <w:r w:rsidRPr="00FE4BFA">
        <w:rPr>
          <w:lang w:val="fr-CA"/>
        </w:rPr>
        <w:noBreakHyphen/>
        <w:t>d du Statut la responsabilité de celui qui a apporté sa contribution à un groupe de personnes agissant de concert dans la poursuite d’un dessein commun.  Étant donné que la connaissance des intentions criminelles du groupe suffit pour engager la responsabilité pénale, il n’est pas requis que celui qui apporte une contribution ait l’intention de commettre un crime spécifique, ni nécessaire qu’il satisfasse à l’élément moral des crimes reprochés.</w:t>
      </w:r>
    </w:p>
    <w:p w:rsidR="00454BD3" w:rsidRPr="00FE4BFA" w:rsidRDefault="00454BD3" w:rsidP="00454BD3">
      <w:pPr>
        <w:pStyle w:val="ParaNoNdepar-AltN"/>
        <w:rPr>
          <w:rFonts w:cs="Times New Roman"/>
          <w:lang w:val="fr-CA"/>
        </w:rPr>
      </w:pPr>
      <w:r w:rsidRPr="00FE4BFA">
        <w:rPr>
          <w:rFonts w:cs="Times New Roman"/>
          <w:lang w:val="fr-CA"/>
        </w:rPr>
        <w:lastRenderedPageBreak/>
        <w:t>Bien que l’élément subjectif puisse, pour les besoins de l’art. 25</w:t>
      </w:r>
      <w:r w:rsidR="00C706C2">
        <w:rPr>
          <w:rFonts w:cs="Times New Roman"/>
          <w:lang w:val="fr-CA"/>
        </w:rPr>
        <w:t>(3)</w:t>
      </w:r>
      <w:r w:rsidRPr="00FE4BFA">
        <w:rPr>
          <w:rFonts w:cs="Times New Roman"/>
          <w:lang w:val="fr-CA"/>
        </w:rPr>
        <w:t>d</w:t>
      </w:r>
      <w:r w:rsidR="00C706C2">
        <w:rPr>
          <w:rFonts w:cs="Times New Roman"/>
          <w:lang w:val="fr-CA"/>
        </w:rPr>
        <w:t>)</w:t>
      </w:r>
      <w:r w:rsidRPr="00FE4BFA">
        <w:rPr>
          <w:rFonts w:cs="Times New Roman"/>
          <w:lang w:val="fr-CA"/>
        </w:rPr>
        <w:t>, revêtir la forme de l’intention (de contribuer au dessein criminel d’un groupe) ou de la connaissance (de l’intention du groupe de commettre des crimes), l’insouciance ne paraîtrait pas suffire.  Le texte même de l’art. 25</w:t>
      </w:r>
      <w:r w:rsidR="00C706C2">
        <w:rPr>
          <w:rFonts w:cs="Times New Roman"/>
          <w:lang w:val="fr-CA"/>
        </w:rPr>
        <w:t>(3)</w:t>
      </w:r>
      <w:r w:rsidRPr="00FE4BFA">
        <w:rPr>
          <w:rFonts w:cs="Times New Roman"/>
          <w:lang w:val="fr-CA"/>
        </w:rPr>
        <w:t>d</w:t>
      </w:r>
      <w:r w:rsidR="00C706C2">
        <w:rPr>
          <w:rFonts w:cs="Times New Roman"/>
          <w:lang w:val="fr-CA"/>
        </w:rPr>
        <w:t>)</w:t>
      </w:r>
      <w:r w:rsidRPr="00FE4BFA">
        <w:rPr>
          <w:rFonts w:cs="Times New Roman"/>
          <w:lang w:val="fr-CA"/>
        </w:rPr>
        <w:t xml:space="preserve"> ne renvoie pas au comportement </w:t>
      </w:r>
      <w:r w:rsidRPr="00FE4BFA">
        <w:rPr>
          <w:rFonts w:cs="Times New Roman"/>
          <w:i/>
          <w:lang w:val="fr-CA"/>
        </w:rPr>
        <w:t>susceptible</w:t>
      </w:r>
      <w:r w:rsidRPr="00FE4BFA">
        <w:rPr>
          <w:rFonts w:cs="Times New Roman"/>
          <w:lang w:val="fr-CA"/>
        </w:rPr>
        <w:t xml:space="preserve"> de contribuer à une activité criminelle ou à un dessein criminel, et on a conclu que l’élément psychologique circonscrit à l’art. 30 exclut le dol éventuel, c’est</w:t>
      </w:r>
      <w:r w:rsidRPr="00FE4BFA">
        <w:rPr>
          <w:rFonts w:cs="Times New Roman"/>
          <w:lang w:val="fr-CA"/>
        </w:rPr>
        <w:noBreakHyphen/>
        <w:t>à</w:t>
      </w:r>
      <w:r w:rsidRPr="00FE4BFA">
        <w:rPr>
          <w:rFonts w:cs="Times New Roman"/>
          <w:lang w:val="fr-CA"/>
        </w:rPr>
        <w:noBreakHyphen/>
        <w:t>dire la conscience du simple risque que le comportement entraîne des conséquences prohibées</w:t>
      </w:r>
      <w:r w:rsidR="00C706C2">
        <w:rPr>
          <w:rFonts w:cs="Times New Roman"/>
          <w:lang w:val="fr-CA"/>
        </w:rPr>
        <w:t xml:space="preserve"> : </w:t>
      </w:r>
      <w:r w:rsidRPr="00FE4BFA">
        <w:rPr>
          <w:rFonts w:cs="Times New Roman"/>
          <w:i/>
          <w:lang w:val="fr-CA"/>
        </w:rPr>
        <w:t>Procureur c. Jean-Pierre Bemba Gombo</w:t>
      </w:r>
      <w:r w:rsidRPr="00FE4BFA">
        <w:rPr>
          <w:rFonts w:cs="Times New Roman"/>
          <w:lang w:val="fr-CA"/>
        </w:rPr>
        <w:t>, ICC</w:t>
      </w:r>
      <w:r w:rsidRPr="00FE4BFA">
        <w:rPr>
          <w:rFonts w:cs="Times New Roman"/>
          <w:lang w:val="fr-CA"/>
        </w:rPr>
        <w:noBreakHyphen/>
        <w:t>01/05</w:t>
      </w:r>
      <w:r w:rsidRPr="00FE4BFA">
        <w:rPr>
          <w:rFonts w:cs="Times New Roman"/>
          <w:lang w:val="fr-CA"/>
        </w:rPr>
        <w:noBreakHyphen/>
        <w:t>01/08-424</w:t>
      </w:r>
      <w:r w:rsidR="00C706C2">
        <w:rPr>
          <w:rFonts w:cs="Times New Roman"/>
          <w:lang w:val="fr-CA"/>
        </w:rPr>
        <w:t>-tFRA</w:t>
      </w:r>
      <w:r w:rsidRPr="00FE4BFA">
        <w:rPr>
          <w:rFonts w:cs="Times New Roman"/>
          <w:lang w:val="fr-CA"/>
        </w:rPr>
        <w:t>, décision</w:t>
      </w:r>
      <w:r w:rsidR="00C706C2">
        <w:rPr>
          <w:rFonts w:cs="Times New Roman"/>
          <w:lang w:val="fr-CA"/>
        </w:rPr>
        <w:t xml:space="preserve"> rendue en application des art. 61(7)a) et b) du </w:t>
      </w:r>
      <w:r w:rsidR="00C706C2" w:rsidRPr="00C706C2">
        <w:rPr>
          <w:rFonts w:cs="Times New Roman"/>
          <w:i/>
          <w:lang w:val="fr-CA"/>
        </w:rPr>
        <w:t>Statut de Rome</w:t>
      </w:r>
      <w:r w:rsidRPr="00FE4BFA">
        <w:rPr>
          <w:rFonts w:cs="Times New Roman"/>
          <w:lang w:val="fr-CA"/>
        </w:rPr>
        <w:t xml:space="preserve">, 15 juin 2009 (CPI, Chambre préliminaire II), par. 360.  Signalons que, dans </w:t>
      </w:r>
      <w:r w:rsidRPr="00FE4BFA">
        <w:rPr>
          <w:rFonts w:cs="Times New Roman"/>
          <w:i/>
          <w:lang w:val="fr-CA"/>
        </w:rPr>
        <w:t>Lubanga</w:t>
      </w:r>
      <w:r w:rsidRPr="00FE4BFA">
        <w:rPr>
          <w:rFonts w:cs="Times New Roman"/>
          <w:lang w:val="fr-CA"/>
        </w:rPr>
        <w:t xml:space="preserve">, </w:t>
      </w:r>
      <w:r w:rsidR="00C706C2">
        <w:rPr>
          <w:rFonts w:cs="Times New Roman"/>
          <w:lang w:val="fr-CA"/>
        </w:rPr>
        <w:t>p</w:t>
      </w:r>
      <w:r w:rsidRPr="00FE4BFA">
        <w:rPr>
          <w:rFonts w:cs="Times New Roman"/>
          <w:lang w:val="fr-CA"/>
        </w:rPr>
        <w:t>ar. 351</w:t>
      </w:r>
      <w:r w:rsidR="00C706C2">
        <w:rPr>
          <w:rFonts w:cs="Times New Roman"/>
          <w:lang w:val="fr-CA"/>
        </w:rPr>
        <w:t>-</w:t>
      </w:r>
      <w:r w:rsidRPr="00FE4BFA">
        <w:rPr>
          <w:rFonts w:cs="Times New Roman"/>
          <w:lang w:val="fr-CA"/>
        </w:rPr>
        <w:t>355, la Chambre préliminaire I interprète différemment l’art. 30.</w:t>
      </w:r>
    </w:p>
    <w:p w:rsidR="00454BD3" w:rsidRPr="00FE4BFA" w:rsidRDefault="00454BD3" w:rsidP="00454BD3">
      <w:pPr>
        <w:pStyle w:val="ParaNoNdepar-AltN"/>
        <w:rPr>
          <w:rFonts w:cs="Times New Roman"/>
          <w:lang w:val="fr-CA"/>
        </w:rPr>
      </w:pPr>
      <w:r w:rsidRPr="00FE4BFA">
        <w:rPr>
          <w:rFonts w:cs="Times New Roman"/>
          <w:lang w:val="fr-CA"/>
        </w:rPr>
        <w:t>Comme le montre ce qui précède, la complicité visée à l’art. 25</w:t>
      </w:r>
      <w:r w:rsidR="00C706C2">
        <w:rPr>
          <w:rFonts w:cs="Times New Roman"/>
          <w:lang w:val="fr-CA"/>
        </w:rPr>
        <w:t>(3)d)</w:t>
      </w:r>
      <w:r w:rsidRPr="00FE4BFA">
        <w:rPr>
          <w:rFonts w:cs="Times New Roman"/>
          <w:lang w:val="fr-CA"/>
        </w:rPr>
        <w:t xml:space="preserve"> n’est pas liée au poste occupé au sein d’un groupe ou à l’association au groupe, mais à la contribution intentionnelle ou consciente aux crimes ou au dessein criminel de ce groupe.</w:t>
      </w:r>
    </w:p>
    <w:p w:rsidR="00454BD3" w:rsidRPr="00FE4BFA" w:rsidRDefault="00454BD3" w:rsidP="00454BD3">
      <w:pPr>
        <w:pStyle w:val="TitleTitre-AltT"/>
        <w:rPr>
          <w:rFonts w:cs="Times New Roman"/>
          <w:lang w:val="fr-CA"/>
        </w:rPr>
      </w:pPr>
      <w:r w:rsidRPr="00FE4BFA">
        <w:rPr>
          <w:rFonts w:cs="Times New Roman"/>
          <w:lang w:val="fr-CA"/>
        </w:rPr>
        <w:t>F.</w:t>
      </w:r>
      <w:r w:rsidRPr="00FE4BFA">
        <w:rPr>
          <w:rFonts w:cs="Times New Roman"/>
          <w:lang w:val="fr-CA"/>
        </w:rPr>
        <w:tab/>
      </w:r>
      <w:r w:rsidRPr="00FE4BFA">
        <w:rPr>
          <w:rFonts w:cs="Times New Roman"/>
          <w:i/>
          <w:lang w:val="fr-CA"/>
        </w:rPr>
        <w:t>Entreprise criminelle commune</w:t>
      </w:r>
    </w:p>
    <w:p w:rsidR="00454BD3" w:rsidRPr="00FE4BFA" w:rsidRDefault="00454BD3" w:rsidP="00454BD3">
      <w:pPr>
        <w:pStyle w:val="ParaNoNdepar-AltN"/>
        <w:rPr>
          <w:rFonts w:cs="Times New Roman"/>
          <w:lang w:val="fr-CA"/>
        </w:rPr>
      </w:pPr>
      <w:r w:rsidRPr="00FE4BFA">
        <w:rPr>
          <w:rFonts w:cs="Times New Roman"/>
          <w:lang w:val="fr-CA"/>
        </w:rPr>
        <w:t xml:space="preserve">Après examen de la forme de responsabilité accessoire la plus générale que prévoit le </w:t>
      </w:r>
      <w:r w:rsidRPr="00FE4BFA">
        <w:rPr>
          <w:rFonts w:cs="Times New Roman"/>
          <w:i/>
          <w:lang w:val="fr-CA"/>
        </w:rPr>
        <w:t>Statut de Rome</w:t>
      </w:r>
      <w:r w:rsidRPr="00FE4BFA">
        <w:rPr>
          <w:rFonts w:cs="Times New Roman"/>
          <w:lang w:val="fr-CA"/>
        </w:rPr>
        <w:t>, nous passons maintenant à ce qui constitue peut</w:t>
      </w:r>
      <w:r w:rsidRPr="00FE4BFA">
        <w:rPr>
          <w:rFonts w:cs="Times New Roman"/>
          <w:lang w:val="fr-CA"/>
        </w:rPr>
        <w:noBreakHyphen/>
        <w:t xml:space="preserve">être le mode d’engagement de la responsabilité le plus général et le plus controversé que </w:t>
      </w:r>
      <w:r w:rsidRPr="00FE4BFA">
        <w:rPr>
          <w:rFonts w:cs="Times New Roman"/>
          <w:lang w:val="fr-CA"/>
        </w:rPr>
        <w:lastRenderedPageBreak/>
        <w:t xml:space="preserve">reconnaissent les tribunaux </w:t>
      </w:r>
      <w:r w:rsidRPr="00C706C2">
        <w:rPr>
          <w:rFonts w:cs="Times New Roman"/>
          <w:i/>
          <w:lang w:val="fr-CA"/>
        </w:rPr>
        <w:t>ad hoc</w:t>
      </w:r>
      <w:r w:rsidRPr="00FE4BFA">
        <w:rPr>
          <w:rFonts w:cs="Times New Roman"/>
          <w:lang w:val="fr-CA"/>
        </w:rPr>
        <w:t xml:space="preserve">, soit l’entreprise criminelle commune.  Voir </w:t>
      </w:r>
      <w:r w:rsidRPr="00FE4BFA">
        <w:rPr>
          <w:rFonts w:cs="Times New Roman"/>
          <w:i/>
          <w:lang w:val="fr-CA"/>
        </w:rPr>
        <w:t>Cassese’s</w:t>
      </w:r>
      <w:r w:rsidRPr="00FE4BFA">
        <w:rPr>
          <w:rFonts w:cs="Times New Roman"/>
          <w:lang w:val="fr-CA"/>
        </w:rPr>
        <w:t xml:space="preserve"> </w:t>
      </w:r>
      <w:r w:rsidRPr="00FE4BFA">
        <w:rPr>
          <w:rFonts w:cs="Times New Roman"/>
          <w:i/>
          <w:lang w:val="fr-CA"/>
        </w:rPr>
        <w:t>International Criminal Law</w:t>
      </w:r>
      <w:r w:rsidRPr="00FE4BFA">
        <w:rPr>
          <w:rFonts w:cs="Times New Roman"/>
          <w:lang w:val="fr-CA"/>
        </w:rPr>
        <w:t>, p. 163</w:t>
      </w:r>
      <w:r w:rsidR="009470BC">
        <w:rPr>
          <w:rFonts w:cs="Times New Roman"/>
          <w:lang w:val="fr-CA"/>
        </w:rPr>
        <w:t>-</w:t>
      </w:r>
      <w:r w:rsidRPr="00FE4BFA">
        <w:rPr>
          <w:rFonts w:cs="Times New Roman"/>
          <w:lang w:val="fr-CA"/>
        </w:rPr>
        <w:t>175, et Cryer, p. 372.</w:t>
      </w:r>
    </w:p>
    <w:p w:rsidR="00454BD3" w:rsidRPr="00FE4BFA" w:rsidRDefault="00454BD3" w:rsidP="00454BD3">
      <w:pPr>
        <w:pStyle w:val="ParaNoNdepar-AltN"/>
        <w:rPr>
          <w:rFonts w:cs="Times New Roman"/>
          <w:lang w:val="fr-CA"/>
        </w:rPr>
      </w:pPr>
      <w:r w:rsidRPr="00FE4BFA">
        <w:rPr>
          <w:rFonts w:cs="Times New Roman"/>
          <w:lang w:val="fr-CA"/>
        </w:rPr>
        <w:t>Même si l’entreprise criminelle commune est source de responsabilité principale, il nous faut en tenir compte dans l’établissement d’un seuil minimal pour l’application de l’art. 1F</w:t>
      </w:r>
      <w:r w:rsidRPr="00FE4BFA">
        <w:rPr>
          <w:rFonts w:cs="Times New Roman"/>
          <w:i/>
          <w:lang w:val="fr-CA"/>
        </w:rPr>
        <w:t>a</w:t>
      </w:r>
      <w:r w:rsidRPr="00FE4BFA">
        <w:rPr>
          <w:rFonts w:cs="Times New Roman"/>
          <w:lang w:val="fr-CA"/>
        </w:rPr>
        <w:t xml:space="preserve">) de la </w:t>
      </w:r>
      <w:r w:rsidRPr="00FE4BFA">
        <w:rPr>
          <w:rFonts w:cs="Times New Roman"/>
          <w:i/>
          <w:lang w:val="fr-CA"/>
        </w:rPr>
        <w:t>Convention relative aux réfugiés</w:t>
      </w:r>
      <w:r w:rsidRPr="00FE4BFA">
        <w:rPr>
          <w:rFonts w:cs="Times New Roman"/>
          <w:lang w:val="fr-CA"/>
        </w:rPr>
        <w:t>.  Le tracé de la ligne de démarcation entre responsabilité principale et responsabilité accessoire n’est pas nécessairement constant en droit pénal international et en droit pénal canadien.  La responsabilité découlant de l’entreprise criminelle commune, comme celle fondée sur le dessein commun et visée à l’art. 25</w:t>
      </w:r>
      <w:r w:rsidR="009470BC">
        <w:rPr>
          <w:rFonts w:cs="Times New Roman"/>
          <w:lang w:val="fr-CA"/>
        </w:rPr>
        <w:t>(3)</w:t>
      </w:r>
      <w:r w:rsidRPr="00FE4BFA">
        <w:rPr>
          <w:rFonts w:cs="Times New Roman"/>
          <w:lang w:val="fr-CA"/>
        </w:rPr>
        <w:t>d</w:t>
      </w:r>
      <w:r w:rsidR="009470BC">
        <w:rPr>
          <w:rFonts w:cs="Times New Roman"/>
          <w:lang w:val="fr-CA"/>
        </w:rPr>
        <w:t>)</w:t>
      </w:r>
      <w:r w:rsidRPr="00FE4BFA">
        <w:rPr>
          <w:rFonts w:cs="Times New Roman"/>
          <w:lang w:val="fr-CA"/>
        </w:rPr>
        <w:t xml:space="preserve">, requiert une contribution « moindre » à la commission d’un crime que celle liée au fait d’aider ou d’encourager.  Bien que l’aide et l’encouragement exigent une contribution substantielle à un crime précis, la responsabilité fondée sur l’entreprise criminelle commune ou le dessein commun peut aussi découler d’une contribution significative à un dessein criminel.  Dans la mesure où, dans </w:t>
      </w:r>
      <w:r w:rsidR="00904529">
        <w:rPr>
          <w:rFonts w:cs="Times New Roman"/>
          <w:i/>
          <w:lang w:val="fr-CA"/>
        </w:rPr>
        <w:t>Prosecutor</w:t>
      </w:r>
      <w:r w:rsidRPr="00FE4BFA">
        <w:rPr>
          <w:rFonts w:cs="Times New Roman"/>
          <w:i/>
          <w:lang w:val="fr-CA"/>
        </w:rPr>
        <w:t xml:space="preserve"> c. </w:t>
      </w:r>
      <w:r w:rsidRPr="00FE4BFA">
        <w:rPr>
          <w:rFonts w:cs="Times New Roman"/>
          <w:i/>
          <w:iCs/>
          <w:lang w:val="fr-CA"/>
        </w:rPr>
        <w:t>Jovica Stanišić</w:t>
      </w:r>
      <w:r w:rsidRPr="00FE4BFA">
        <w:rPr>
          <w:rFonts w:cs="Times New Roman"/>
          <w:iCs/>
          <w:lang w:val="fr-CA"/>
        </w:rPr>
        <w:t>,</w:t>
      </w:r>
      <w:r w:rsidRPr="00FE4BFA">
        <w:rPr>
          <w:rFonts w:cs="Times New Roman"/>
          <w:i/>
          <w:iCs/>
          <w:lang w:val="fr-CA"/>
        </w:rPr>
        <w:t xml:space="preserve"> </w:t>
      </w:r>
      <w:r w:rsidRPr="00FE4BFA">
        <w:rPr>
          <w:rFonts w:cs="Times New Roman"/>
          <w:lang w:val="fr-CA"/>
        </w:rPr>
        <w:t>IT-03-69-T, jugement, 30 mai 2013 (TPIY, Chambre de première instance I), elle paraît appliquer un critère plus strict, la Chambre de première instance du TPIY rompt avec la jurisprudence de la Chambre d’appel</w:t>
      </w:r>
      <w:r w:rsidR="009740D8">
        <w:rPr>
          <w:rFonts w:cs="Times New Roman"/>
          <w:lang w:val="fr-CA"/>
        </w:rPr>
        <w:t xml:space="preserve"> : </w:t>
      </w:r>
      <w:r w:rsidR="009740D8" w:rsidRPr="009740D8">
        <w:rPr>
          <w:rFonts w:cs="Times New Roman"/>
          <w:i/>
          <w:lang w:val="fr-CA"/>
        </w:rPr>
        <w:t>Procureur</w:t>
      </w:r>
      <w:r w:rsidRPr="009740D8">
        <w:rPr>
          <w:rFonts w:cs="Times New Roman"/>
          <w:i/>
          <w:lang w:val="fr-CA"/>
        </w:rPr>
        <w:t xml:space="preserve"> </w:t>
      </w:r>
      <w:r w:rsidRPr="00FE4BFA">
        <w:rPr>
          <w:rFonts w:cs="Times New Roman"/>
          <w:i/>
          <w:lang w:val="fr-CA"/>
        </w:rPr>
        <w:t>c. Duško Tadić</w:t>
      </w:r>
      <w:r w:rsidRPr="00FE4BFA">
        <w:rPr>
          <w:rFonts w:cs="Times New Roman"/>
          <w:lang w:val="fr-CA"/>
        </w:rPr>
        <w:t>,</w:t>
      </w:r>
      <w:r>
        <w:rPr>
          <w:rFonts w:cs="Times New Roman"/>
          <w:lang w:val="fr-CA"/>
        </w:rPr>
        <w:t xml:space="preserve"> </w:t>
      </w:r>
      <w:r w:rsidRPr="00FE4BFA">
        <w:rPr>
          <w:rFonts w:cs="Times New Roman"/>
          <w:lang w:val="fr-CA"/>
        </w:rPr>
        <w:t>IT</w:t>
      </w:r>
      <w:r w:rsidRPr="00FE4BFA">
        <w:rPr>
          <w:rFonts w:cs="Times New Roman"/>
          <w:lang w:val="fr-CA"/>
        </w:rPr>
        <w:noBreakHyphen/>
        <w:t>94</w:t>
      </w:r>
      <w:r w:rsidRPr="00FE4BFA">
        <w:rPr>
          <w:rFonts w:cs="Times New Roman"/>
          <w:lang w:val="fr-CA"/>
        </w:rPr>
        <w:noBreakHyphen/>
        <w:t>1</w:t>
      </w:r>
      <w:r w:rsidRPr="00FE4BFA">
        <w:rPr>
          <w:rFonts w:cs="Times New Roman"/>
          <w:lang w:val="fr-CA"/>
        </w:rPr>
        <w:noBreakHyphen/>
        <w:t xml:space="preserve">A, arrêt, 15 juillet 1999 (TPIY, Chambre d’appel), par. 229, cité dans Lafontaine, p. 237; </w:t>
      </w:r>
      <w:r w:rsidRPr="00FE4BFA">
        <w:rPr>
          <w:rFonts w:cs="Times New Roman"/>
          <w:i/>
          <w:lang w:val="fr-CA"/>
        </w:rPr>
        <w:t>Procureur c. Radoslav Brđanin</w:t>
      </w:r>
      <w:r w:rsidRPr="00FE4BFA">
        <w:rPr>
          <w:rFonts w:cs="Times New Roman"/>
          <w:lang w:val="fr-CA"/>
        </w:rPr>
        <w:t>, IT</w:t>
      </w:r>
      <w:r w:rsidRPr="00FE4BFA">
        <w:rPr>
          <w:rFonts w:cs="Times New Roman"/>
          <w:lang w:val="fr-CA"/>
        </w:rPr>
        <w:noBreakHyphen/>
        <w:t>99</w:t>
      </w:r>
      <w:r w:rsidRPr="00FE4BFA">
        <w:rPr>
          <w:rFonts w:cs="Times New Roman"/>
          <w:lang w:val="fr-CA"/>
        </w:rPr>
        <w:noBreakHyphen/>
        <w:t>36</w:t>
      </w:r>
      <w:r w:rsidRPr="00FE4BFA">
        <w:rPr>
          <w:rFonts w:cs="Times New Roman"/>
          <w:lang w:val="fr-CA"/>
        </w:rPr>
        <w:noBreakHyphen/>
        <w:t>A, arrêt, 3 avril 2007 (TPIY, C</w:t>
      </w:r>
      <w:r w:rsidR="009470BC">
        <w:rPr>
          <w:rFonts w:cs="Times New Roman"/>
          <w:lang w:val="fr-CA"/>
        </w:rPr>
        <w:t>hambre d’appel), par. 427</w:t>
      </w:r>
      <w:r w:rsidR="009470BC">
        <w:rPr>
          <w:rFonts w:cs="Times New Roman"/>
          <w:lang w:val="fr-CA"/>
        </w:rPr>
        <w:noBreakHyphen/>
        <w:t>428 et 430</w:t>
      </w:r>
      <w:r w:rsidRPr="00FE4BFA">
        <w:rPr>
          <w:rFonts w:cs="Times New Roman"/>
          <w:lang w:val="fr-CA"/>
        </w:rPr>
        <w:t>.  L’entreprise criminelle commune peut donc être le fait d’une personne qui pourrait facilement être considérée comme un auteur secondaire mais, en même temps, le compl</w:t>
      </w:r>
      <w:r w:rsidR="009470BC">
        <w:rPr>
          <w:rFonts w:cs="Times New Roman"/>
          <w:lang w:val="fr-CA"/>
        </w:rPr>
        <w:t xml:space="preserve">ice du crime commis par autrui : </w:t>
      </w:r>
      <w:r w:rsidRPr="00FE4BFA">
        <w:rPr>
          <w:rFonts w:cs="Times New Roman"/>
          <w:lang w:val="fr-CA"/>
        </w:rPr>
        <w:t xml:space="preserve">Cryer, p. 372; S. Manacorda et </w:t>
      </w:r>
      <w:r w:rsidRPr="00FE4BFA">
        <w:rPr>
          <w:rFonts w:cs="Times New Roman"/>
          <w:lang w:val="fr-CA"/>
        </w:rPr>
        <w:lastRenderedPageBreak/>
        <w:t xml:space="preserve">C. Meloni, « Indirect Perpetration </w:t>
      </w:r>
      <w:r w:rsidRPr="00FE4BFA">
        <w:rPr>
          <w:rFonts w:cs="Times New Roman"/>
          <w:i/>
          <w:lang w:val="fr-CA"/>
        </w:rPr>
        <w:t>versus</w:t>
      </w:r>
      <w:r w:rsidRPr="00FE4BFA">
        <w:rPr>
          <w:rFonts w:cs="Times New Roman"/>
          <w:lang w:val="fr-CA"/>
        </w:rPr>
        <w:t xml:space="preserve"> Joint Criminal Enterprise : Concurring Approaches in the Practice of International Criminal Law? » (2011), 9 </w:t>
      </w:r>
      <w:r w:rsidRPr="00FE4BFA">
        <w:rPr>
          <w:rFonts w:cs="Times New Roman"/>
          <w:i/>
          <w:lang w:val="fr-CA"/>
        </w:rPr>
        <w:t>J.I.C.J.</w:t>
      </w:r>
      <w:r w:rsidRPr="00FE4BFA">
        <w:rPr>
          <w:rFonts w:cs="Times New Roman"/>
          <w:lang w:val="fr-CA"/>
        </w:rPr>
        <w:t xml:space="preserve"> 159, p. 166</w:t>
      </w:r>
      <w:r w:rsidR="009470BC">
        <w:rPr>
          <w:rFonts w:cs="Times New Roman"/>
          <w:lang w:val="fr-CA"/>
        </w:rPr>
        <w:t>-</w:t>
      </w:r>
      <w:r w:rsidR="00A0391A">
        <w:rPr>
          <w:rFonts w:cs="Times New Roman"/>
          <w:lang w:val="fr-CA"/>
        </w:rPr>
        <w:t>1</w:t>
      </w:r>
      <w:r w:rsidR="009470BC">
        <w:rPr>
          <w:rFonts w:cs="Times New Roman"/>
          <w:lang w:val="fr-CA"/>
        </w:rPr>
        <w:t>67</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Dans</w:t>
      </w:r>
      <w:r w:rsidRPr="00FE4BFA">
        <w:rPr>
          <w:rFonts w:cs="Times New Roman"/>
          <w:i/>
          <w:lang w:val="fr-CA"/>
        </w:rPr>
        <w:t xml:space="preserve"> Tadić</w:t>
      </w:r>
      <w:r w:rsidR="009740D8">
        <w:rPr>
          <w:rFonts w:cs="Times New Roman"/>
          <w:lang w:val="fr-CA"/>
        </w:rPr>
        <w:t xml:space="preserve">, </w:t>
      </w:r>
      <w:r w:rsidRPr="00FE4BFA">
        <w:rPr>
          <w:rFonts w:cs="Times New Roman"/>
          <w:lang w:val="fr-CA"/>
        </w:rPr>
        <w:t>par. 196-206, le TPIY établit trois types d’entreprise criminelle commune (« ECC »).  Dans les trois cas, l’</w:t>
      </w:r>
      <w:r w:rsidRPr="00FE4BFA">
        <w:rPr>
          <w:rFonts w:cs="Times New Roman"/>
          <w:i/>
          <w:lang w:val="fr-CA"/>
        </w:rPr>
        <w:t xml:space="preserve">actus reus </w:t>
      </w:r>
      <w:r w:rsidRPr="00FE4BFA">
        <w:rPr>
          <w:rFonts w:cs="Times New Roman"/>
          <w:lang w:val="fr-CA"/>
        </w:rPr>
        <w:t>s’entend d’une contribution « significative » à l’entreprise criminelle</w:t>
      </w:r>
      <w:r w:rsidR="009470BC">
        <w:rPr>
          <w:rFonts w:cs="Times New Roman"/>
          <w:lang w:val="fr-CA"/>
        </w:rPr>
        <w:t xml:space="preserve"> : </w:t>
      </w:r>
      <w:r w:rsidRPr="00FE4BFA">
        <w:rPr>
          <w:rFonts w:cs="Times New Roman"/>
          <w:i/>
          <w:lang w:val="fr-CA"/>
        </w:rPr>
        <w:t>Brđanin</w:t>
      </w:r>
      <w:r w:rsidRPr="00FE4BFA">
        <w:rPr>
          <w:rFonts w:cs="Times New Roman"/>
          <w:lang w:val="fr-CA"/>
        </w:rPr>
        <w:t xml:space="preserve">, par. 430. </w:t>
      </w:r>
    </w:p>
    <w:p w:rsidR="00454BD3" w:rsidRPr="00FE4BFA" w:rsidRDefault="00454BD3" w:rsidP="00454BD3">
      <w:pPr>
        <w:pStyle w:val="ParaNoNdepar-AltN"/>
        <w:rPr>
          <w:rFonts w:cs="Times New Roman"/>
          <w:lang w:val="fr-CA"/>
        </w:rPr>
      </w:pPr>
      <w:r w:rsidRPr="00FE4BFA">
        <w:rPr>
          <w:rFonts w:cs="Times New Roman"/>
          <w:lang w:val="fr-CA"/>
        </w:rPr>
        <w:t xml:space="preserve">La </w:t>
      </w:r>
      <w:r w:rsidRPr="00FE4BFA">
        <w:rPr>
          <w:rFonts w:cs="Times New Roman"/>
          <w:i/>
          <w:lang w:val="fr-CA"/>
        </w:rPr>
        <w:t>mens rea</w:t>
      </w:r>
      <w:r w:rsidRPr="00FE4BFA">
        <w:rPr>
          <w:rFonts w:cs="Times New Roman"/>
          <w:lang w:val="fr-CA"/>
        </w:rPr>
        <w:t xml:space="preserve"> varie cependant d’un type à l’autre.  Le premier requiert l’intention partagée de commettre un crime spécifique.  Le deuxième requiert la connaissance par l’accusé de l’existence d’un système de mauvais traitements et son intention d’y contribuer.  Pour ce qui est du troisième, l’accusé doit avoir eu l’intention de participer et de contribuer à l’activité criminelle ou au dessein criminel du groupe, et de contribuer à l’entreprise criminelle commune ou à la commission d’un crime par le groupe.  Dans le cas du troisième type d’ECC, une personne peut être tenue responsable d’un autre crime que celui projeté en commun si elle avait l’intention de participer et de contribuer à l’activité criminelle du groupe, et (i) qu’il était prévisible qu’un tel crime soit commis par l’un ou l’autre des membres du groupe, et (ii) qu’elle a délibérément couru ce risque.  Autrement dit, lorsqu’un accusé a l’intention de contribuer au dessein commun, le troisième type d’ECC englobe non seulement la contribution consciente, mais aussi celle qui est imputable à l’insouciance</w:t>
      </w:r>
      <w:r w:rsidR="00633876">
        <w:rPr>
          <w:rFonts w:cs="Times New Roman"/>
          <w:lang w:val="fr-CA"/>
        </w:rPr>
        <w:t xml:space="preserve"> : </w:t>
      </w:r>
      <w:r w:rsidRPr="00FE4BFA">
        <w:rPr>
          <w:rFonts w:cs="Times New Roman"/>
          <w:lang w:val="fr-CA"/>
        </w:rPr>
        <w:t xml:space="preserve">voir </w:t>
      </w:r>
      <w:r w:rsidRPr="00FE4BFA">
        <w:rPr>
          <w:rFonts w:cs="Times New Roman"/>
          <w:i/>
          <w:lang w:val="fr-CA"/>
        </w:rPr>
        <w:t>Tadić</w:t>
      </w:r>
      <w:r w:rsidR="00633876">
        <w:rPr>
          <w:rFonts w:cs="Times New Roman"/>
          <w:lang w:val="fr-CA"/>
        </w:rPr>
        <w:t>, par. 228</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lastRenderedPageBreak/>
        <w:t>Malgré le chevauchement de l’entreprise criminelle commune et de l’art. 25</w:t>
      </w:r>
      <w:r w:rsidR="00633876">
        <w:rPr>
          <w:rFonts w:cs="Times New Roman"/>
          <w:lang w:val="fr-CA"/>
        </w:rPr>
        <w:t>(3)d)</w:t>
      </w:r>
      <w:r w:rsidRPr="00FE4BFA">
        <w:rPr>
          <w:rFonts w:cs="Times New Roman"/>
          <w:lang w:val="fr-CA"/>
        </w:rPr>
        <w:t>, la jurisprudence de la CPI tient les deux modes de commission pour distincts.  Selon certains auteurs, la CPI n’appliquerait pas le troisième type d’ECC, surtout à cause de l’élément d’insouciance qu’il comporte</w:t>
      </w:r>
      <w:r w:rsidR="00633876">
        <w:rPr>
          <w:rFonts w:cs="Times New Roman"/>
          <w:lang w:val="fr-CA"/>
        </w:rPr>
        <w:t xml:space="preserve"> : </w:t>
      </w:r>
      <w:r w:rsidRPr="00FE4BFA">
        <w:rPr>
          <w:rFonts w:cs="Times New Roman"/>
          <w:lang w:val="fr-CA"/>
        </w:rPr>
        <w:t xml:space="preserve">van Sliedregt, p. 101; Lafontaine, p. 238; </w:t>
      </w:r>
      <w:r w:rsidR="00633876">
        <w:rPr>
          <w:rFonts w:cs="Times New Roman"/>
          <w:lang w:val="fr-CA"/>
        </w:rPr>
        <w:t xml:space="preserve">A. </w:t>
      </w:r>
      <w:r w:rsidRPr="00FE4BFA">
        <w:rPr>
          <w:rFonts w:cs="Times New Roman"/>
          <w:lang w:val="fr-CA"/>
        </w:rPr>
        <w:t>Cassese, « The Proper Limits of Individual Responsibility under the Doctrine</w:t>
      </w:r>
      <w:r w:rsidR="00633876">
        <w:rPr>
          <w:rFonts w:cs="Times New Roman"/>
          <w:lang w:val="fr-CA"/>
        </w:rPr>
        <w:t xml:space="preserve"> of Joint Criminal Enterprise »</w:t>
      </w:r>
      <w:r w:rsidRPr="00FE4BFA">
        <w:rPr>
          <w:rFonts w:cs="Times New Roman"/>
          <w:lang w:val="fr-CA"/>
        </w:rPr>
        <w:t xml:space="preserve"> </w:t>
      </w:r>
      <w:r w:rsidR="00633876">
        <w:rPr>
          <w:rFonts w:cs="Times New Roman"/>
          <w:lang w:val="fr-CA"/>
        </w:rPr>
        <w:t>(</w:t>
      </w:r>
      <w:r w:rsidRPr="00FE4BFA">
        <w:rPr>
          <w:rFonts w:cs="Times New Roman"/>
          <w:lang w:val="fr-CA"/>
        </w:rPr>
        <w:t>2007</w:t>
      </w:r>
      <w:r w:rsidR="00633876">
        <w:rPr>
          <w:rFonts w:cs="Times New Roman"/>
          <w:lang w:val="fr-CA"/>
        </w:rPr>
        <w:t>)</w:t>
      </w:r>
      <w:r w:rsidRPr="00FE4BFA">
        <w:rPr>
          <w:rFonts w:cs="Times New Roman"/>
          <w:lang w:val="fr-CA"/>
        </w:rPr>
        <w:t xml:space="preserve">, 5 </w:t>
      </w:r>
      <w:r w:rsidRPr="00FE4BFA">
        <w:rPr>
          <w:rFonts w:cs="Times New Roman"/>
          <w:i/>
          <w:lang w:val="fr-CA"/>
        </w:rPr>
        <w:t>J.I.C.J.</w:t>
      </w:r>
      <w:r w:rsidRPr="00FE4BFA">
        <w:rPr>
          <w:rFonts w:cs="Times New Roman"/>
          <w:lang w:val="fr-CA"/>
        </w:rPr>
        <w:t xml:space="preserve"> 109, p. 1</w:t>
      </w:r>
      <w:r w:rsidR="00633876">
        <w:rPr>
          <w:rFonts w:cs="Times New Roman"/>
          <w:lang w:val="fr-CA"/>
        </w:rPr>
        <w:t>32; Manacorda et Meloni, p. 176</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Pour les besoins du présent pourvoi, mentionnons simplement que le seul fait d’exercer des fonctions dans une organisation ou une institution ou d’être associée à celle</w:t>
      </w:r>
      <w:r w:rsidRPr="00FE4BFA">
        <w:rPr>
          <w:rFonts w:cs="Times New Roman"/>
          <w:lang w:val="fr-CA"/>
        </w:rPr>
        <w:noBreakHyphen/>
        <w:t>ci n’équivaut pas à une entreprise criminelle commune, mê</w:t>
      </w:r>
      <w:r w:rsidR="00633876">
        <w:rPr>
          <w:rFonts w:cs="Times New Roman"/>
          <w:lang w:val="fr-CA"/>
        </w:rPr>
        <w:t xml:space="preserve">me dans sa forme la plus large : </w:t>
      </w:r>
      <w:r w:rsidRPr="00FE4BFA">
        <w:rPr>
          <w:rFonts w:cs="Times New Roman"/>
          <w:i/>
          <w:lang w:val="fr-CA"/>
        </w:rPr>
        <w:t>Cassese’s International Criminal Law</w:t>
      </w:r>
      <w:r w:rsidR="00633876">
        <w:rPr>
          <w:rFonts w:cs="Times New Roman"/>
          <w:lang w:val="fr-CA"/>
        </w:rPr>
        <w:t>, p. 163</w:t>
      </w:r>
      <w:r w:rsidRPr="00FE4BFA">
        <w:rPr>
          <w:rFonts w:cs="Times New Roman"/>
          <w:lang w:val="fr-CA"/>
        </w:rPr>
        <w:t>.  L’accusé doit à tout le moins avoir apporté une contribution significative au crime du groupe ou à son dessein criminel, tout en ayant été animé d’une certaine conscience subjective (que ce soit l’intention, la connaissance ou l’insouciance) du crime ou du dessein criminel.  En d’autres mots, cette forme de responsabilité, bien qu’elle soit étendue, exige davantage qu’un lien entre l’accusé et le groupe qui a commis le crime.  Il doit exister un lien entre le comportement de l’accusé et le c</w:t>
      </w:r>
      <w:r w:rsidR="00633876">
        <w:rPr>
          <w:rFonts w:cs="Times New Roman"/>
          <w:lang w:val="fr-CA"/>
        </w:rPr>
        <w:t xml:space="preserve">omportement criminel du groupe : </w:t>
      </w:r>
      <w:r w:rsidRPr="00FE4BFA">
        <w:rPr>
          <w:rFonts w:cs="Times New Roman"/>
          <w:i/>
          <w:lang w:val="fr-CA"/>
        </w:rPr>
        <w:t>Brđanin</w:t>
      </w:r>
      <w:r w:rsidRPr="00FE4BFA">
        <w:rPr>
          <w:rFonts w:cs="Times New Roman"/>
          <w:lang w:val="fr-CA"/>
        </w:rPr>
        <w:t>, par. 427</w:t>
      </w:r>
      <w:r w:rsidR="00633876">
        <w:rPr>
          <w:rFonts w:cs="Times New Roman"/>
          <w:lang w:val="fr-CA"/>
        </w:rPr>
        <w:t>-</w:t>
      </w:r>
      <w:r w:rsidRPr="00FE4BFA">
        <w:rPr>
          <w:rFonts w:cs="Times New Roman"/>
          <w:lang w:val="fr-CA"/>
        </w:rPr>
        <w:t>428; Lafontaine, p. 234; Cryer, p. 369.</w:t>
      </w:r>
    </w:p>
    <w:p w:rsidR="00454BD3" w:rsidRPr="00FE4BFA" w:rsidRDefault="00454BD3" w:rsidP="00633876">
      <w:pPr>
        <w:pStyle w:val="TitleTitre-AltT"/>
        <w:tabs>
          <w:tab w:val="clear" w:pos="360"/>
          <w:tab w:val="left" w:pos="540"/>
        </w:tabs>
        <w:ind w:left="540" w:hanging="540"/>
        <w:rPr>
          <w:rFonts w:cs="Times New Roman"/>
          <w:i/>
          <w:lang w:val="fr-CA"/>
        </w:rPr>
      </w:pPr>
      <w:r w:rsidRPr="00FE4BFA">
        <w:rPr>
          <w:rFonts w:cs="Times New Roman"/>
          <w:lang w:val="fr-CA"/>
        </w:rPr>
        <w:t>G.</w:t>
      </w:r>
      <w:r w:rsidRPr="00FE4BFA">
        <w:rPr>
          <w:rFonts w:cs="Times New Roman"/>
          <w:lang w:val="fr-CA"/>
        </w:rPr>
        <w:tab/>
      </w:r>
      <w:r w:rsidRPr="00FE4BFA">
        <w:rPr>
          <w:rFonts w:cs="Times New Roman"/>
          <w:i/>
          <w:lang w:val="fr-CA"/>
        </w:rPr>
        <w:t>Compl</w:t>
      </w:r>
      <w:r w:rsidR="00633876">
        <w:rPr>
          <w:rFonts w:cs="Times New Roman"/>
          <w:i/>
          <w:lang w:val="fr-CA"/>
        </w:rPr>
        <w:t>icité en droit international — r</w:t>
      </w:r>
      <w:r w:rsidRPr="00FE4BFA">
        <w:rPr>
          <w:rFonts w:cs="Times New Roman"/>
          <w:i/>
          <w:lang w:val="fr-CA"/>
        </w:rPr>
        <w:t xml:space="preserve">ésumé </w:t>
      </w:r>
    </w:p>
    <w:p w:rsidR="00454BD3" w:rsidRPr="00FE4BFA" w:rsidRDefault="00454BD3" w:rsidP="00454BD3">
      <w:pPr>
        <w:pStyle w:val="ParaNoNdepar-AltN"/>
        <w:rPr>
          <w:rFonts w:cs="Times New Roman"/>
          <w:lang w:val="fr-CA"/>
        </w:rPr>
      </w:pPr>
      <w:r w:rsidRPr="00FE4BFA">
        <w:rPr>
          <w:rFonts w:cs="Times New Roman"/>
          <w:lang w:val="fr-CA"/>
        </w:rPr>
        <w:t xml:space="preserve">En bref, bien que les divers modes de commission reconnus en droit pénal international définissent les contours d’un concept général de complicité, une </w:t>
      </w:r>
      <w:r w:rsidRPr="00FE4BFA">
        <w:rPr>
          <w:rFonts w:cs="Times New Roman"/>
          <w:lang w:val="fr-CA"/>
        </w:rPr>
        <w:lastRenderedPageBreak/>
        <w:t xml:space="preserve">personne n’est pas tenue responsable du crime commis par un groupe seulement parce qu’elle est associée à ce groupe ou qu’elle a passivement acquiescé à son dessein criminel.  En droit pénal international, on ne peut conclure à la complicité d’une personne que si elle a consciemment (ou, du moins, par insouciance) apporté une contribution significative au crime ou au dessein criminel d’un groupe.  </w:t>
      </w:r>
    </w:p>
    <w:p w:rsidR="00454BD3" w:rsidRPr="00FE4BFA" w:rsidRDefault="00454BD3" w:rsidP="00633876">
      <w:pPr>
        <w:pStyle w:val="TitleTitre-AltT"/>
        <w:tabs>
          <w:tab w:val="clear" w:pos="360"/>
          <w:tab w:val="left" w:pos="540"/>
        </w:tabs>
        <w:ind w:left="540" w:hanging="540"/>
        <w:rPr>
          <w:rFonts w:cs="Times New Roman"/>
          <w:lang w:val="fr-CA"/>
        </w:rPr>
      </w:pPr>
      <w:r w:rsidRPr="00FE4BFA">
        <w:rPr>
          <w:rFonts w:cs="Times New Roman"/>
          <w:lang w:val="fr-CA"/>
        </w:rPr>
        <w:t>H.</w:t>
      </w:r>
      <w:r w:rsidRPr="00FE4BFA">
        <w:rPr>
          <w:rFonts w:cs="Times New Roman"/>
          <w:lang w:val="fr-CA"/>
        </w:rPr>
        <w:tab/>
      </w:r>
      <w:r w:rsidRPr="00FE4BFA">
        <w:rPr>
          <w:rFonts w:cs="Times New Roman"/>
          <w:i/>
          <w:lang w:val="fr-CA"/>
        </w:rPr>
        <w:t>Droit comparé et décisions d’autres tribunaux nationaux</w:t>
      </w:r>
      <w:r w:rsidRPr="00FE4BFA">
        <w:rPr>
          <w:rFonts w:cs="Times New Roman"/>
          <w:u w:val="single"/>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 xml:space="preserve">D’autres États parties à la </w:t>
      </w:r>
      <w:r w:rsidRPr="00FE4BFA">
        <w:rPr>
          <w:rFonts w:cs="Times New Roman"/>
          <w:i/>
          <w:lang w:val="fr-CA"/>
        </w:rPr>
        <w:t>Convention relative aux réfugiés</w:t>
      </w:r>
      <w:r w:rsidRPr="00FE4BFA">
        <w:rPr>
          <w:rFonts w:cs="Times New Roman"/>
          <w:lang w:val="fr-CA"/>
        </w:rPr>
        <w:t xml:space="preserve"> ont interprété l’art. 1F</w:t>
      </w:r>
      <w:r w:rsidRPr="00FE4BFA">
        <w:rPr>
          <w:rFonts w:cs="Times New Roman"/>
          <w:i/>
          <w:lang w:val="fr-CA"/>
        </w:rPr>
        <w:t>a</w:t>
      </w:r>
      <w:r w:rsidRPr="00FE4BFA">
        <w:rPr>
          <w:rFonts w:cs="Times New Roman"/>
          <w:lang w:val="fr-CA"/>
        </w:rPr>
        <w:t xml:space="preserve">) au regard des exigences minimales en matière de complicité établies par les principes du droit international examinés précédemment.  </w:t>
      </w:r>
    </w:p>
    <w:p w:rsidR="00454BD3" w:rsidRPr="00FE4BFA" w:rsidRDefault="00454BD3" w:rsidP="00454BD3">
      <w:pPr>
        <w:pStyle w:val="ParaNoNdepar-AltN"/>
        <w:rPr>
          <w:rFonts w:cs="Times New Roman"/>
          <w:lang w:val="fr-CA"/>
        </w:rPr>
      </w:pPr>
      <w:r w:rsidRPr="00FE4BFA">
        <w:rPr>
          <w:rFonts w:cs="Times New Roman"/>
          <w:lang w:val="fr-CA"/>
        </w:rPr>
        <w:t xml:space="preserve">Dans </w:t>
      </w:r>
      <w:r w:rsidRPr="00FE4BFA">
        <w:rPr>
          <w:rFonts w:cs="Times New Roman"/>
          <w:i/>
          <w:lang w:val="fr-CA"/>
        </w:rPr>
        <w:t>J.S.</w:t>
      </w:r>
      <w:r w:rsidRPr="00FE4BFA">
        <w:rPr>
          <w:rFonts w:cs="Times New Roman"/>
          <w:lang w:val="fr-CA"/>
        </w:rPr>
        <w:t>, la Cour suprême du Royaume</w:t>
      </w:r>
      <w:r w:rsidRPr="00FE4BFA">
        <w:rPr>
          <w:rFonts w:cs="Times New Roman"/>
          <w:lang w:val="fr-CA"/>
        </w:rPr>
        <w:noBreakHyphen/>
        <w:t xml:space="preserve">Uni a écarté la présomption selon laquelle l’individu qui se joint à une organisation coupable de crimes de guerre est complice de ces crimes, même lorsque le dessein de l’organisation est circonscrit et brutal.  </w:t>
      </w:r>
      <w:r w:rsidR="00264ADC">
        <w:rPr>
          <w:rFonts w:cs="Times New Roman"/>
          <w:lang w:val="fr-CA"/>
        </w:rPr>
        <w:t>L</w:t>
      </w:r>
      <w:r w:rsidR="00633876">
        <w:rPr>
          <w:rFonts w:cs="Times New Roman"/>
          <w:lang w:val="fr-CA"/>
        </w:rPr>
        <w:t>e l</w:t>
      </w:r>
      <w:r w:rsidRPr="00FE4BFA">
        <w:rPr>
          <w:rFonts w:cs="Times New Roman"/>
          <w:lang w:val="fr-CA"/>
        </w:rPr>
        <w:t xml:space="preserve">ord Hope de Craighead, </w:t>
      </w:r>
      <w:r w:rsidR="00633876">
        <w:rPr>
          <w:rFonts w:cs="Times New Roman"/>
          <w:lang w:val="fr-CA"/>
        </w:rPr>
        <w:t>président adjoint de la Cour suprême</w:t>
      </w:r>
      <w:r w:rsidRPr="00FE4BFA">
        <w:rPr>
          <w:rFonts w:cs="Times New Roman"/>
          <w:lang w:val="fr-CA"/>
        </w:rPr>
        <w:t>, motifs concordants, a opiné que [</w:t>
      </w:r>
      <w:r w:rsidRPr="00FE4BFA">
        <w:rPr>
          <w:rFonts w:cs="Times New Roman"/>
          <w:smallCaps/>
          <w:lang w:val="fr-CA"/>
        </w:rPr>
        <w:t>traduction</w:t>
      </w:r>
      <w:r w:rsidRPr="00FE4BFA">
        <w:rPr>
          <w:rFonts w:cs="Times New Roman"/>
          <w:lang w:val="fr-CA"/>
        </w:rPr>
        <w:t>] « sa seule appartenance à une organisation qui recourt à la violence à des fins politiques ne suffit pas à le faire tomber sous le coup des dispositions po</w:t>
      </w:r>
      <w:r w:rsidR="00633876">
        <w:rPr>
          <w:rFonts w:cs="Times New Roman"/>
          <w:lang w:val="fr-CA"/>
        </w:rPr>
        <w:t xml:space="preserve">rtant exclusion » : </w:t>
      </w:r>
      <w:r w:rsidRPr="00FE4BFA">
        <w:rPr>
          <w:rFonts w:cs="Times New Roman"/>
          <w:lang w:val="fr-CA"/>
        </w:rPr>
        <w:t xml:space="preserve">par. 43; voir aussi par. 31 et 44.  Le décideur doit plutôt, selon </w:t>
      </w:r>
      <w:r w:rsidR="009740D8">
        <w:rPr>
          <w:rFonts w:cs="Times New Roman"/>
          <w:lang w:val="fr-CA"/>
        </w:rPr>
        <w:t>le l</w:t>
      </w:r>
      <w:r w:rsidRPr="00FE4BFA">
        <w:rPr>
          <w:rFonts w:cs="Times New Roman"/>
          <w:lang w:val="fr-CA"/>
        </w:rPr>
        <w:t xml:space="preserve">ord </w:t>
      </w:r>
      <w:r w:rsidR="009740D8">
        <w:rPr>
          <w:rFonts w:cs="Times New Roman"/>
          <w:lang w:val="fr-CA"/>
        </w:rPr>
        <w:t xml:space="preserve">juge </w:t>
      </w:r>
      <w:r w:rsidRPr="00FE4BFA">
        <w:rPr>
          <w:rFonts w:cs="Times New Roman"/>
          <w:lang w:val="fr-CA"/>
        </w:rPr>
        <w:t>Kerr de Tonaghmore, motifs également concordants, [</w:t>
      </w:r>
      <w:r w:rsidRPr="00FE4BFA">
        <w:rPr>
          <w:rFonts w:cs="Times New Roman"/>
          <w:smallCaps/>
          <w:lang w:val="fr-CA"/>
        </w:rPr>
        <w:t>traduction</w:t>
      </w:r>
      <w:r w:rsidRPr="00FE4BFA">
        <w:rPr>
          <w:rFonts w:cs="Times New Roman"/>
          <w:lang w:val="fr-CA"/>
        </w:rPr>
        <w:t>] « s’attacher au rôle véritable de la personne et tenir compte de tous les aspects importants de ce rôle pour conclure que le degré de participat</w:t>
      </w:r>
      <w:r w:rsidR="00633876">
        <w:rPr>
          <w:rFonts w:cs="Times New Roman"/>
          <w:lang w:val="fr-CA"/>
        </w:rPr>
        <w:t xml:space="preserve">ion requis est établi ou non » : </w:t>
      </w:r>
      <w:r w:rsidRPr="00FE4BFA">
        <w:rPr>
          <w:rFonts w:cs="Times New Roman"/>
          <w:lang w:val="fr-CA"/>
        </w:rPr>
        <w:t xml:space="preserve">par. 55.  Selon lui, cette interprétation </w:t>
      </w:r>
      <w:r w:rsidRPr="00FE4BFA">
        <w:rPr>
          <w:rFonts w:cs="Times New Roman"/>
          <w:lang w:val="fr-CA"/>
        </w:rPr>
        <w:lastRenderedPageBreak/>
        <w:t xml:space="preserve">« s’accorde au mieux </w:t>
      </w:r>
      <w:r w:rsidR="00633876">
        <w:rPr>
          <w:rFonts w:cs="Times New Roman"/>
          <w:lang w:val="fr-CA"/>
        </w:rPr>
        <w:t xml:space="preserve">[. . .] </w:t>
      </w:r>
      <w:r w:rsidRPr="00FE4BFA">
        <w:rPr>
          <w:rFonts w:cs="Times New Roman"/>
          <w:lang w:val="fr-CA"/>
        </w:rPr>
        <w:t xml:space="preserve">avec l’esprit des art. 25 et 30 du </w:t>
      </w:r>
      <w:r w:rsidRPr="00FE4BFA">
        <w:rPr>
          <w:rFonts w:cs="Times New Roman"/>
          <w:i/>
          <w:lang w:val="fr-CA"/>
        </w:rPr>
        <w:t>Statut de Rome</w:t>
      </w:r>
      <w:r w:rsidR="00633876">
        <w:rPr>
          <w:rFonts w:cs="Times New Roman"/>
          <w:lang w:val="fr-CA"/>
        </w:rPr>
        <w:t xml:space="preserve"> de la CPI » : par. 57</w:t>
      </w:r>
      <w:r w:rsidRPr="00FE4BFA">
        <w:rPr>
          <w:rFonts w:cs="Times New Roman"/>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 xml:space="preserve">Selon </w:t>
      </w:r>
      <w:r w:rsidRPr="00FE4BFA">
        <w:rPr>
          <w:rFonts w:cs="Times New Roman"/>
          <w:i/>
          <w:lang w:val="fr-CA"/>
        </w:rPr>
        <w:t>J.S.</w:t>
      </w:r>
      <w:r w:rsidRPr="00FE4BFA">
        <w:rPr>
          <w:rFonts w:cs="Times New Roman"/>
          <w:lang w:val="fr-CA"/>
        </w:rPr>
        <w:t>, une personne n’est inadmissible suivant l’art. 1F</w:t>
      </w:r>
      <w:r w:rsidRPr="00FE4BFA">
        <w:rPr>
          <w:rFonts w:cs="Times New Roman"/>
          <w:i/>
          <w:lang w:val="fr-CA"/>
        </w:rPr>
        <w:t>a</w:t>
      </w:r>
      <w:r w:rsidRPr="00FE4BFA">
        <w:rPr>
          <w:rFonts w:cs="Times New Roman"/>
          <w:lang w:val="fr-CA"/>
        </w:rPr>
        <w:t>) que [</w:t>
      </w:r>
      <w:r w:rsidRPr="00FE4BFA">
        <w:rPr>
          <w:rFonts w:cs="Times New Roman"/>
          <w:smallCaps/>
          <w:lang w:val="fr-CA"/>
        </w:rPr>
        <w:t>traduction</w:t>
      </w:r>
      <w:r w:rsidRPr="00FE4BFA">
        <w:rPr>
          <w:rFonts w:cs="Times New Roman"/>
          <w:lang w:val="fr-CA"/>
        </w:rPr>
        <w:t>] « s’il existe des raisons sérieuses de penser qu’elle a volontairement contribué de manière significative à faire en sorte que l’organisation puisse poursuivre son objectif de commettre des crimes de guerre, alors qu’elle savait que son aide permettrait la réalisa</w:t>
      </w:r>
      <w:r w:rsidR="00633876">
        <w:rPr>
          <w:rFonts w:cs="Times New Roman"/>
          <w:lang w:val="fr-CA"/>
        </w:rPr>
        <w:t>tion de cet objectif » : par. 38</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lang w:val="fr-CA"/>
        </w:rPr>
        <w:t>Pour déterminer l’état d’esprit et le degré de participation de l’accusé, la cour s’appuie sur des considérations qui s’apparentent beaucoup à celles prises en compte par les tribunaux canadiens pour l’application de l’art. 1F</w:t>
      </w:r>
      <w:r w:rsidRPr="00FE4BFA">
        <w:rPr>
          <w:rFonts w:cs="Times New Roman"/>
          <w:i/>
          <w:lang w:val="fr-CA"/>
        </w:rPr>
        <w:t>a</w:t>
      </w:r>
      <w:r w:rsidRPr="00FE4BFA">
        <w:rPr>
          <w:rFonts w:cs="Times New Roman"/>
          <w:lang w:val="fr-CA"/>
        </w:rPr>
        <w:t>) :</w:t>
      </w:r>
    </w:p>
    <w:p w:rsidR="00454BD3" w:rsidRPr="00FE4BFA" w:rsidRDefault="00454BD3" w:rsidP="00454BD3">
      <w:pPr>
        <w:pStyle w:val="Citation-AltC"/>
        <w:ind w:hanging="1166"/>
        <w:rPr>
          <w:lang w:val="fr-CA"/>
        </w:rPr>
      </w:pPr>
      <w:r w:rsidRPr="00FE4BFA">
        <w:rPr>
          <w:lang w:val="fr-CA"/>
        </w:rPr>
        <w:tab/>
      </w:r>
      <w:r w:rsidR="00633876">
        <w:rPr>
          <w:lang w:val="fr-CA"/>
        </w:rPr>
        <w:tab/>
      </w:r>
      <w:r w:rsidRPr="00FE4BFA">
        <w:rPr>
          <w:lang w:val="fr-CA"/>
        </w:rPr>
        <w:t>[</w:t>
      </w:r>
      <w:r w:rsidRPr="00FE4BFA">
        <w:rPr>
          <w:smallCaps/>
          <w:lang w:val="fr-CA"/>
        </w:rPr>
        <w:t>traduction</w:t>
      </w:r>
      <w:r w:rsidRPr="00FE4BFA">
        <w:rPr>
          <w:lang w:val="fr-CA"/>
        </w:rPr>
        <w:t>]  . . . (i) la nature et (ce qui pourrait revêtir une certaine importance) la taille de l’organisation et, plus particulièrement, de la section de l’organisation à laquelle le demandeur d’asile était le plus directement associé, (ii) le fait que l’organisation était proscrite ou non, et dans l’affirmative, l’auteur de cette proscription, (iii) la façon dont le demandeur d’asile a été recruté, (iv) la durée de son appartenance à l’organisation et les possibilités qu’il a eues, le cas échéant, de la quitter, (v) son poste, son grade, son statut et son influence au sein de l’organisation, (vi) sa connaissance des crimes de guerre commis par l’organisation et (vii) sa participation personnelle à l’organisation, de même que sa fonction au sein de celle</w:t>
      </w:r>
      <w:r w:rsidRPr="00FE4BFA">
        <w:rPr>
          <w:lang w:val="fr-CA"/>
        </w:rPr>
        <w:noBreakHyphen/>
        <w:t>ci, y compris, surtout, sa contribution quelle qu’elle soit à la commission de crimes de guerre.  [</w:t>
      </w:r>
      <w:r w:rsidR="00633876" w:rsidRPr="00633876">
        <w:rPr>
          <w:i/>
          <w:lang w:val="fr-CA"/>
        </w:rPr>
        <w:t>J.S.</w:t>
      </w:r>
      <w:r w:rsidR="001912DC">
        <w:rPr>
          <w:lang w:val="fr-CA"/>
        </w:rPr>
        <w:t xml:space="preserve">, </w:t>
      </w:r>
      <w:r w:rsidRPr="00FE4BFA">
        <w:rPr>
          <w:lang w:val="fr-CA"/>
        </w:rPr>
        <w:t xml:space="preserve">par. 30] </w:t>
      </w:r>
    </w:p>
    <w:p w:rsidR="00454BD3" w:rsidRPr="00FE4BFA" w:rsidRDefault="00454BD3" w:rsidP="00454BD3">
      <w:pPr>
        <w:pStyle w:val="ParaNoNdepar-AltN"/>
        <w:rPr>
          <w:rFonts w:cs="Times New Roman"/>
          <w:lang w:val="fr-CA"/>
        </w:rPr>
      </w:pPr>
      <w:r w:rsidRPr="00FE4BFA">
        <w:rPr>
          <w:rFonts w:cs="Times New Roman"/>
          <w:lang w:val="fr-CA"/>
        </w:rPr>
        <w:t xml:space="preserve">Ces considérations sont pour l’essentiel subsumées sous celles, « non exhaustives », énoncées dans </w:t>
      </w:r>
      <w:r w:rsidRPr="00FE4BFA">
        <w:rPr>
          <w:rFonts w:cs="Times New Roman"/>
          <w:i/>
          <w:lang w:val="fr-CA"/>
        </w:rPr>
        <w:t>Ryivuze c. Canada (Citoyenneté et Immigration)</w:t>
      </w:r>
      <w:r w:rsidRPr="00FE4BFA">
        <w:rPr>
          <w:rFonts w:cs="Times New Roman"/>
          <w:lang w:val="fr-CA"/>
        </w:rPr>
        <w:t>, 2007 CF 134</w:t>
      </w:r>
      <w:r w:rsidR="00633876">
        <w:rPr>
          <w:rFonts w:cs="Times New Roman"/>
          <w:lang w:val="fr-CA"/>
        </w:rPr>
        <w:t xml:space="preserve"> (CanLII), </w:t>
      </w:r>
      <w:r w:rsidRPr="00FE4BFA">
        <w:rPr>
          <w:rFonts w:cs="Times New Roman"/>
          <w:lang w:val="fr-CA"/>
        </w:rPr>
        <w:t>par. 38 :</w:t>
      </w:r>
    </w:p>
    <w:p w:rsidR="00454BD3" w:rsidRDefault="00454BD3" w:rsidP="00633876">
      <w:pPr>
        <w:pStyle w:val="ParaNoNdepar-AltN"/>
        <w:numPr>
          <w:ilvl w:val="0"/>
          <w:numId w:val="0"/>
        </w:numPr>
        <w:spacing w:before="0" w:after="0" w:line="240" w:lineRule="auto"/>
        <w:ind w:left="1170"/>
        <w:rPr>
          <w:rFonts w:cs="Times New Roman"/>
          <w:lang w:val="fr-CA"/>
        </w:rPr>
      </w:pPr>
      <w:r w:rsidRPr="00FE4BFA">
        <w:rPr>
          <w:rFonts w:cs="Times New Roman"/>
          <w:lang w:val="fr-CA"/>
        </w:rPr>
        <w:lastRenderedPageBreak/>
        <w:t>(1) la nature de l’organisation;</w:t>
      </w:r>
    </w:p>
    <w:p w:rsidR="00633876" w:rsidRPr="00FE4BFA" w:rsidRDefault="00633876" w:rsidP="00633876">
      <w:pPr>
        <w:pStyle w:val="ParaNoNdepar-AltN"/>
        <w:numPr>
          <w:ilvl w:val="0"/>
          <w:numId w:val="0"/>
        </w:numPr>
        <w:spacing w:before="0" w:after="0" w:line="240" w:lineRule="auto"/>
        <w:ind w:left="1170"/>
        <w:rPr>
          <w:rFonts w:cs="Times New Roman"/>
          <w:lang w:val="fr-CA"/>
        </w:rPr>
      </w:pPr>
    </w:p>
    <w:p w:rsidR="00454BD3" w:rsidRDefault="00454BD3" w:rsidP="00633876">
      <w:pPr>
        <w:pStyle w:val="ParaNoNdepar-AltN"/>
        <w:numPr>
          <w:ilvl w:val="0"/>
          <w:numId w:val="0"/>
        </w:numPr>
        <w:spacing w:before="0" w:after="0" w:line="240" w:lineRule="auto"/>
        <w:ind w:left="1170"/>
        <w:rPr>
          <w:rFonts w:cs="Times New Roman"/>
          <w:lang w:val="fr-CA"/>
        </w:rPr>
      </w:pPr>
      <w:r w:rsidRPr="00FE4BFA">
        <w:rPr>
          <w:rFonts w:cs="Times New Roman"/>
          <w:lang w:val="fr-CA"/>
        </w:rPr>
        <w:t>(2) la méthode de recrutement;</w:t>
      </w:r>
    </w:p>
    <w:p w:rsidR="009740D8" w:rsidRPr="00FE4BFA" w:rsidRDefault="009740D8" w:rsidP="00633876">
      <w:pPr>
        <w:pStyle w:val="ParaNoNdepar-AltN"/>
        <w:numPr>
          <w:ilvl w:val="0"/>
          <w:numId w:val="0"/>
        </w:numPr>
        <w:spacing w:before="0" w:after="0" w:line="240" w:lineRule="auto"/>
        <w:ind w:left="1170"/>
        <w:rPr>
          <w:rFonts w:cs="Times New Roman"/>
          <w:lang w:val="fr-CA"/>
        </w:rPr>
      </w:pPr>
    </w:p>
    <w:p w:rsidR="00454BD3" w:rsidRDefault="00454BD3" w:rsidP="00633876">
      <w:pPr>
        <w:pStyle w:val="ParaNoNdepar-AltN"/>
        <w:numPr>
          <w:ilvl w:val="0"/>
          <w:numId w:val="0"/>
        </w:numPr>
        <w:spacing w:before="0" w:after="0" w:line="240" w:lineRule="auto"/>
        <w:ind w:left="1170"/>
        <w:rPr>
          <w:rFonts w:cs="Times New Roman"/>
          <w:lang w:val="fr-CA"/>
        </w:rPr>
      </w:pPr>
      <w:r w:rsidRPr="00FE4BFA">
        <w:rPr>
          <w:rFonts w:cs="Times New Roman"/>
          <w:lang w:val="fr-CA"/>
        </w:rPr>
        <w:t>(3) le poste ou le grade au sein de l’organisation;</w:t>
      </w:r>
    </w:p>
    <w:p w:rsidR="00633876" w:rsidRPr="00FE4BFA" w:rsidRDefault="00633876" w:rsidP="00633876">
      <w:pPr>
        <w:pStyle w:val="ParaNoNdepar-AltN"/>
        <w:numPr>
          <w:ilvl w:val="0"/>
          <w:numId w:val="0"/>
        </w:numPr>
        <w:spacing w:before="0" w:after="0" w:line="240" w:lineRule="auto"/>
        <w:ind w:left="1170"/>
        <w:rPr>
          <w:rFonts w:cs="Times New Roman"/>
          <w:lang w:val="fr-CA"/>
        </w:rPr>
      </w:pPr>
    </w:p>
    <w:p w:rsidR="00454BD3" w:rsidRDefault="00454BD3" w:rsidP="00633876">
      <w:pPr>
        <w:pStyle w:val="ParaNoNdepar-AltN"/>
        <w:numPr>
          <w:ilvl w:val="0"/>
          <w:numId w:val="0"/>
        </w:numPr>
        <w:spacing w:before="0" w:after="0" w:line="240" w:lineRule="auto"/>
        <w:ind w:left="1170"/>
        <w:rPr>
          <w:rFonts w:cs="Times New Roman"/>
          <w:lang w:val="fr-CA"/>
        </w:rPr>
      </w:pPr>
      <w:r w:rsidRPr="00FE4BFA">
        <w:rPr>
          <w:rFonts w:cs="Times New Roman"/>
          <w:lang w:val="fr-CA"/>
        </w:rPr>
        <w:t>(4) la connaissance des atrocités commises par l’organisation;</w:t>
      </w:r>
    </w:p>
    <w:p w:rsidR="00633876" w:rsidRPr="00FE4BFA" w:rsidRDefault="00633876" w:rsidP="00633876">
      <w:pPr>
        <w:pStyle w:val="ParaNoNdepar-AltN"/>
        <w:numPr>
          <w:ilvl w:val="0"/>
          <w:numId w:val="0"/>
        </w:numPr>
        <w:spacing w:before="0" w:after="0" w:line="240" w:lineRule="auto"/>
        <w:ind w:left="1170"/>
        <w:rPr>
          <w:rFonts w:cs="Times New Roman"/>
          <w:lang w:val="fr-CA"/>
        </w:rPr>
      </w:pPr>
    </w:p>
    <w:p w:rsidR="00454BD3" w:rsidRDefault="00454BD3" w:rsidP="00633876">
      <w:pPr>
        <w:pStyle w:val="ParaNoNdepar-AltN"/>
        <w:numPr>
          <w:ilvl w:val="0"/>
          <w:numId w:val="0"/>
        </w:numPr>
        <w:spacing w:before="0" w:after="0" w:line="240" w:lineRule="auto"/>
        <w:ind w:left="1170"/>
        <w:rPr>
          <w:rFonts w:cs="Times New Roman"/>
          <w:lang w:val="fr-CA"/>
        </w:rPr>
      </w:pPr>
      <w:r w:rsidRPr="00FE4BFA">
        <w:rPr>
          <w:rFonts w:cs="Times New Roman"/>
          <w:lang w:val="fr-CA"/>
        </w:rPr>
        <w:t>(5) la période de temps passée dans l’organisation;</w:t>
      </w:r>
    </w:p>
    <w:p w:rsidR="00633876" w:rsidRPr="00FE4BFA" w:rsidRDefault="00633876" w:rsidP="00633876">
      <w:pPr>
        <w:pStyle w:val="ParaNoNdepar-AltN"/>
        <w:numPr>
          <w:ilvl w:val="0"/>
          <w:numId w:val="0"/>
        </w:numPr>
        <w:spacing w:before="0" w:after="0" w:line="240" w:lineRule="auto"/>
        <w:ind w:left="1170"/>
        <w:rPr>
          <w:rFonts w:cs="Times New Roman"/>
          <w:lang w:val="fr-CA"/>
        </w:rPr>
      </w:pPr>
    </w:p>
    <w:p w:rsidR="00454BD3" w:rsidRPr="00FE4BFA" w:rsidRDefault="00454BD3" w:rsidP="00633876">
      <w:pPr>
        <w:pStyle w:val="ParaNoNdepar-AltN"/>
        <w:numPr>
          <w:ilvl w:val="0"/>
          <w:numId w:val="0"/>
        </w:numPr>
        <w:spacing w:before="0" w:after="720" w:line="240" w:lineRule="auto"/>
        <w:ind w:left="1166"/>
        <w:rPr>
          <w:rFonts w:cs="Times New Roman"/>
          <w:lang w:val="fr-CA"/>
        </w:rPr>
      </w:pPr>
      <w:r w:rsidRPr="00FE4BFA">
        <w:rPr>
          <w:rFonts w:cs="Times New Roman"/>
          <w:lang w:val="fr-CA"/>
        </w:rPr>
        <w:t xml:space="preserve">(6) la possibilité de quitter l’organisation.  </w:t>
      </w:r>
    </w:p>
    <w:p w:rsidR="00454BD3" w:rsidRPr="00FE4BFA" w:rsidRDefault="00454BD3" w:rsidP="00454BD3">
      <w:pPr>
        <w:pStyle w:val="ParaNoNdepar-AltN"/>
        <w:rPr>
          <w:rFonts w:cs="Times New Roman"/>
          <w:lang w:val="fr-CA"/>
        </w:rPr>
      </w:pPr>
      <w:r w:rsidRPr="00FE4BFA">
        <w:rPr>
          <w:rFonts w:cs="Times New Roman"/>
          <w:lang w:val="fr-CA"/>
        </w:rPr>
        <w:t>Les considérations prises en compte par les tribunaux britanniques et canadiens contribuent à éviter que l’analyse relative à la complicité débouche sur l’exclusion de la protection des réfugiés sur le fondement de la seule appartenance à une organisation multiforme qui se livre à des crimes de guerre ou sur la seule omission de se dissocier de celle</w:t>
      </w:r>
      <w:r w:rsidRPr="00FE4BFA">
        <w:rPr>
          <w:rFonts w:cs="Times New Roman"/>
          <w:lang w:val="fr-CA"/>
        </w:rPr>
        <w:noBreakHyphen/>
        <w:t xml:space="preserve">ci.  </w:t>
      </w:r>
    </w:p>
    <w:p w:rsidR="00454BD3" w:rsidRPr="00FE4BFA" w:rsidRDefault="00454BD3" w:rsidP="00454BD3">
      <w:pPr>
        <w:pStyle w:val="ParaNoNdepar-AltN"/>
        <w:rPr>
          <w:rFonts w:cs="Times New Roman"/>
          <w:lang w:val="fr-CA"/>
        </w:rPr>
      </w:pPr>
      <w:r w:rsidRPr="00FE4BFA">
        <w:rPr>
          <w:rFonts w:cs="Times New Roman"/>
          <w:lang w:val="fr-CA"/>
        </w:rPr>
        <w:t xml:space="preserve">De même, les décisions américaines rendues en appel relativement au refus du droit d’asile ne reconnaissent pas la complicité fondée sur l’acquiescement passif ou la contribution trop indirecte.  La </w:t>
      </w:r>
      <w:r>
        <w:rPr>
          <w:rFonts w:cs="Times New Roman"/>
          <w:lang w:val="fr-CA"/>
        </w:rPr>
        <w:t xml:space="preserve">disposition </w:t>
      </w:r>
      <w:r w:rsidRPr="00FE4BFA">
        <w:rPr>
          <w:rFonts w:cs="Times New Roman"/>
          <w:lang w:val="fr-CA"/>
        </w:rPr>
        <w:t xml:space="preserve">américaine </w:t>
      </w:r>
      <w:r>
        <w:rPr>
          <w:rFonts w:cs="Times New Roman"/>
          <w:lang w:val="fr-CA"/>
        </w:rPr>
        <w:t xml:space="preserve">qui empêche que l’asile soit accordé au persécuteur </w:t>
      </w:r>
      <w:r w:rsidRPr="00FE4BFA">
        <w:rPr>
          <w:rFonts w:cs="Times New Roman"/>
          <w:lang w:val="fr-CA"/>
        </w:rPr>
        <w:t>n’incorpore pas directement l’art. 1F</w:t>
      </w:r>
      <w:r w:rsidRPr="00FE4BFA">
        <w:rPr>
          <w:rFonts w:cs="Times New Roman"/>
          <w:i/>
          <w:lang w:val="fr-CA"/>
        </w:rPr>
        <w:t>a</w:t>
      </w:r>
      <w:r w:rsidRPr="00FE4BFA">
        <w:rPr>
          <w:rFonts w:cs="Times New Roman"/>
          <w:lang w:val="fr-CA"/>
        </w:rPr>
        <w:t>), mais son interprétation veut néanmoins que seule soit inadmissible la personne ayant commis un crime international au sens du droit pénal international</w:t>
      </w:r>
      <w:r w:rsidR="00633876">
        <w:rPr>
          <w:rFonts w:cs="Times New Roman"/>
          <w:lang w:val="fr-CA"/>
        </w:rPr>
        <w:t> : m.a.</w:t>
      </w:r>
      <w:r w:rsidRPr="00FE4BFA">
        <w:rPr>
          <w:rFonts w:cs="Times New Roman"/>
          <w:lang w:val="fr-CA"/>
        </w:rPr>
        <w:t xml:space="preserve">, par. 167.  Voici un extrait d’une décision récente de la Second Circuit Court of Appeals : </w:t>
      </w:r>
    </w:p>
    <w:p w:rsidR="00454BD3" w:rsidRPr="00FE4BFA" w:rsidRDefault="00454BD3" w:rsidP="00454BD3">
      <w:pPr>
        <w:pStyle w:val="Citation-AltC"/>
        <w:spacing w:after="240"/>
        <w:ind w:left="1168" w:hanging="1168"/>
        <w:contextualSpacing w:val="0"/>
        <w:rPr>
          <w:lang w:val="fr-CA"/>
        </w:rPr>
      </w:pPr>
      <w:r w:rsidRPr="00FE4BFA">
        <w:rPr>
          <w:lang w:val="fr-CA"/>
        </w:rPr>
        <w:tab/>
      </w:r>
      <w:r w:rsidR="00633876">
        <w:rPr>
          <w:lang w:val="fr-CA"/>
        </w:rPr>
        <w:tab/>
      </w:r>
      <w:r w:rsidRPr="00FE4BFA">
        <w:rPr>
          <w:lang w:val="fr-CA"/>
        </w:rPr>
        <w:t>[</w:t>
      </w:r>
      <w:r w:rsidRPr="00FE4BFA">
        <w:rPr>
          <w:smallCaps/>
          <w:lang w:val="fr-CA"/>
        </w:rPr>
        <w:t>traduction</w:t>
      </w:r>
      <w:r w:rsidR="00633876">
        <w:rPr>
          <w:lang w:val="fr-CA"/>
        </w:rPr>
        <w:t>]  . . . l</w:t>
      </w:r>
      <w:r w:rsidRPr="00FE4BFA">
        <w:rPr>
          <w:lang w:val="fr-CA"/>
        </w:rPr>
        <w:t xml:space="preserve">e simple fait qu’[une personne] soit associée à une entreprise de persécution ne suffit pas en soi à donner effet à la disposition qui prévoit le refus du droit d’asile.  Comme il appert </w:t>
      </w:r>
      <w:r w:rsidR="00633876">
        <w:rPr>
          <w:lang w:val="fr-CA"/>
        </w:rPr>
        <w:t>de la remarque incidente de la C</w:t>
      </w:r>
      <w:r w:rsidRPr="00FE4BFA">
        <w:rPr>
          <w:lang w:val="fr-CA"/>
        </w:rPr>
        <w:t xml:space="preserve">our suprême dans </w:t>
      </w:r>
      <w:r w:rsidRPr="00FE4BFA">
        <w:rPr>
          <w:i/>
          <w:lang w:val="fr-CA"/>
        </w:rPr>
        <w:t xml:space="preserve">Fedorenko </w:t>
      </w:r>
      <w:r w:rsidR="00E644C7">
        <w:rPr>
          <w:i/>
          <w:lang w:val="fr-CA"/>
        </w:rPr>
        <w:t>c</w:t>
      </w:r>
      <w:r w:rsidRPr="00FE4BFA">
        <w:rPr>
          <w:i/>
          <w:lang w:val="fr-CA"/>
        </w:rPr>
        <w:t>. United States</w:t>
      </w:r>
      <w:r w:rsidRPr="00FE4BFA">
        <w:rPr>
          <w:lang w:val="fr-CA"/>
        </w:rPr>
        <w:t>, 4</w:t>
      </w:r>
      <w:r w:rsidR="00E644C7">
        <w:rPr>
          <w:lang w:val="fr-CA"/>
        </w:rPr>
        <w:t>4</w:t>
      </w:r>
      <w:r w:rsidRPr="00FE4BFA">
        <w:rPr>
          <w:lang w:val="fr-CA"/>
        </w:rPr>
        <w:t>9 U.S. 490, 101 S.Ct. 737, 66 L.Ed.2d 686 (1981), maintes fois citée,</w:t>
      </w:r>
      <w:r w:rsidRPr="00FE4BFA">
        <w:rPr>
          <w:i/>
          <w:lang w:val="fr-CA"/>
        </w:rPr>
        <w:t xml:space="preserve"> </w:t>
      </w:r>
      <w:r w:rsidRPr="00FE4BFA">
        <w:rPr>
          <w:lang w:val="fr-CA"/>
        </w:rPr>
        <w:lastRenderedPageBreak/>
        <w:t>la « culpabilité par association » ne saurait just</w:t>
      </w:r>
      <w:r w:rsidR="009740D8">
        <w:rPr>
          <w:lang w:val="fr-CA"/>
        </w:rPr>
        <w:t>ifier le refus du droit d’asile</w:t>
      </w:r>
      <w:r w:rsidR="00E644C7">
        <w:rPr>
          <w:lang w:val="fr-CA"/>
        </w:rPr>
        <w:t xml:space="preserve"> </w:t>
      </w:r>
      <w:r w:rsidRPr="00FE4BFA">
        <w:rPr>
          <w:lang w:val="fr-CA"/>
        </w:rPr>
        <w:t>. . .</w:t>
      </w:r>
    </w:p>
    <w:p w:rsidR="00454BD3" w:rsidRPr="00FE4BFA" w:rsidRDefault="00454BD3" w:rsidP="001912DC">
      <w:pPr>
        <w:pStyle w:val="Citation-AltC"/>
        <w:tabs>
          <w:tab w:val="left" w:pos="1620"/>
        </w:tabs>
        <w:ind w:hanging="1166"/>
        <w:contextualSpacing w:val="0"/>
        <w:rPr>
          <w:lang w:val="fr-CA"/>
        </w:rPr>
      </w:pPr>
      <w:r w:rsidRPr="00FE4BFA">
        <w:rPr>
          <w:lang w:val="fr-CA"/>
        </w:rPr>
        <w:tab/>
      </w:r>
      <w:r w:rsidRPr="00FE4BFA">
        <w:rPr>
          <w:lang w:val="fr-CA"/>
        </w:rPr>
        <w:tab/>
        <w:t>. . . Pour qu’[un demandeur] puisse être tenu personnellement responsable d’aide à la perpétration d’actes de persécution, certains éléments doivent établir que ses actes ont contribué à la persécution d’autrui.</w:t>
      </w:r>
    </w:p>
    <w:p w:rsidR="00454BD3" w:rsidRPr="00FE4BFA" w:rsidRDefault="00454BD3" w:rsidP="001912DC">
      <w:pPr>
        <w:pStyle w:val="Citation-AltC"/>
        <w:spacing w:line="480" w:lineRule="auto"/>
        <w:ind w:left="0"/>
        <w:contextualSpacing w:val="0"/>
        <w:rPr>
          <w:lang w:val="en-US"/>
        </w:rPr>
      </w:pPr>
      <w:r w:rsidRPr="00FE4BFA">
        <w:rPr>
          <w:lang w:val="en-US"/>
        </w:rPr>
        <w:t>(</w:t>
      </w:r>
      <w:r w:rsidRPr="00FE4BFA">
        <w:rPr>
          <w:i/>
          <w:lang w:val="en-US"/>
        </w:rPr>
        <w:t>Xu Sheng Gao c. United States Attorney General</w:t>
      </w:r>
      <w:r w:rsidR="00633876">
        <w:rPr>
          <w:lang w:val="en-US"/>
        </w:rPr>
        <w:t xml:space="preserve">, </w:t>
      </w:r>
      <w:r w:rsidRPr="00FE4BFA">
        <w:rPr>
          <w:lang w:val="en-US"/>
        </w:rPr>
        <w:t>500 F.3d 93 (2007), par. 5</w:t>
      </w:r>
      <w:r w:rsidRPr="00FE4BFA">
        <w:rPr>
          <w:lang w:val="en-US"/>
        </w:rPr>
        <w:noBreakHyphen/>
        <w:t xml:space="preserve">6, cité dans P. Zambelli, « Problematic Trends in the Analysis of State Protection and Article 1F(a) Exclusion in Canadian Refugee Law » (2011), 23 </w:t>
      </w:r>
      <w:r w:rsidRPr="00FE4BFA">
        <w:rPr>
          <w:i/>
          <w:lang w:val="en-US"/>
        </w:rPr>
        <w:t>Int’l. J. Refugee L.</w:t>
      </w:r>
      <w:r w:rsidRPr="00FE4BFA">
        <w:rPr>
          <w:lang w:val="en-US"/>
        </w:rPr>
        <w:t xml:space="preserve"> 252, p. 284</w:t>
      </w:r>
      <w:r w:rsidR="00633876">
        <w:rPr>
          <w:lang w:val="en-US"/>
        </w:rPr>
        <w:t>-</w:t>
      </w:r>
      <w:r w:rsidRPr="00FE4BFA">
        <w:rPr>
          <w:lang w:val="en-US"/>
        </w:rPr>
        <w:t>285</w:t>
      </w:r>
      <w:r w:rsidR="00633876">
        <w:rPr>
          <w:lang w:val="en-US"/>
        </w:rPr>
        <w:t>.</w:t>
      </w:r>
      <w:r w:rsidRPr="00FE4BFA">
        <w:rPr>
          <w:lang w:val="en-US"/>
        </w:rPr>
        <w:t>)</w:t>
      </w:r>
    </w:p>
    <w:p w:rsidR="00454BD3" w:rsidRPr="00FE4BFA" w:rsidRDefault="00454BD3" w:rsidP="00454BD3">
      <w:pPr>
        <w:pStyle w:val="ParaNoNdepar-AltN"/>
        <w:rPr>
          <w:rFonts w:cs="Times New Roman"/>
          <w:lang w:val="fr-CA"/>
        </w:rPr>
      </w:pPr>
      <w:r w:rsidRPr="00FE4BFA">
        <w:rPr>
          <w:rFonts w:cs="Times New Roman"/>
          <w:lang w:val="fr-CA"/>
        </w:rPr>
        <w:t xml:space="preserve">À notre avis, la notion de complicité retenue par ces États parties respecte la recommandation du HCR dans les </w:t>
      </w:r>
      <w:r w:rsidRPr="00633876">
        <w:rPr>
          <w:rFonts w:cs="Times New Roman"/>
          <w:lang w:val="fr-CA"/>
        </w:rPr>
        <w:t>Principes directeurs</w:t>
      </w:r>
      <w:r w:rsidRPr="00FE4BFA">
        <w:rPr>
          <w:rFonts w:cs="Times New Roman"/>
          <w:lang w:val="fr-CA"/>
        </w:rPr>
        <w:t xml:space="preserve">, </w:t>
      </w:r>
      <w:r w:rsidR="002B4A79">
        <w:rPr>
          <w:rFonts w:cs="Times New Roman"/>
          <w:lang w:val="fr-CA"/>
        </w:rPr>
        <w:t>p</w:t>
      </w:r>
      <w:r w:rsidRPr="00FE4BFA">
        <w:rPr>
          <w:rFonts w:cs="Times New Roman"/>
          <w:lang w:val="fr-CA"/>
        </w:rPr>
        <w:t>ar. 18, bien qu’il préconise l’exigence d’une contribution « substantielle » :</w:t>
      </w:r>
    </w:p>
    <w:p w:rsidR="00454BD3" w:rsidRPr="00FE4BFA" w:rsidRDefault="00454BD3" w:rsidP="00454BD3">
      <w:pPr>
        <w:pStyle w:val="Citation-AltC"/>
        <w:tabs>
          <w:tab w:val="left" w:pos="1620"/>
        </w:tabs>
        <w:ind w:hanging="1166"/>
        <w:rPr>
          <w:lang w:val="fr-CA"/>
        </w:rPr>
      </w:pPr>
      <w:r w:rsidRPr="00FE4BFA">
        <w:rPr>
          <w:lang w:val="fr-CA"/>
        </w:rPr>
        <w:tab/>
      </w:r>
      <w:r w:rsidRPr="00FE4BFA">
        <w:rPr>
          <w:lang w:val="fr-CA"/>
        </w:rPr>
        <w:tab/>
        <w:t>Pour que l’exclusion soit justifiée, il faut que la responsabilité individuelle soit établie en liaison avec un crime couvert par l’article 1F.  [. . .] En général, la responsabilité individuelle découle du fait que la personne a commis ou a contribué de manière substantielle à la commission de l’acte criminel, en sachant que son acte ou son omission favoriserait la conduite criminelle.  Il n’est pas nécessaire que la personne ait physiquement commis l’acte criminel en question.  L’instigation, la complicité et la participation à une entreprise criminelle commune peuvent suffire.</w:t>
      </w:r>
    </w:p>
    <w:p w:rsidR="00454BD3" w:rsidRPr="00FE4BFA" w:rsidRDefault="00454BD3" w:rsidP="00454BD3">
      <w:pPr>
        <w:pStyle w:val="ParaNoNdepar-AltN"/>
        <w:rPr>
          <w:rFonts w:cs="Times New Roman"/>
          <w:lang w:val="fr-CA"/>
        </w:rPr>
      </w:pPr>
      <w:r w:rsidRPr="00FE4BFA">
        <w:rPr>
          <w:rFonts w:cs="Times New Roman"/>
          <w:lang w:val="fr-CA"/>
        </w:rPr>
        <w:t xml:space="preserve">En résumé, les interprétations qui précèdent exigent toutes un lien entre l’individu et le crime ou le dessein criminel du groupe pour qu’il y ait complicité.  Un individu peut être complice d’un crime auquel il n’a ni assisté, ni contribué </w:t>
      </w:r>
      <w:r w:rsidRPr="00FE4BFA">
        <w:rPr>
          <w:rFonts w:cs="Times New Roman"/>
          <w:lang w:val="fr-CA"/>
        </w:rPr>
        <w:lastRenderedPageBreak/>
        <w:t>matériellement.  Cependant, comme l’explique le HCR et le reconnaissent d’autres États parties, pour refuser le droit d’asile à une personne, il faut prouver qu’elle a consciemment contribué de manière à tout le moins significative au crime perpétré par le groupe ou à la réalisation de son dessein criminel.  L’appartenance passive au groupe ne suffit pas, comme nous l’indiquons aux par. 70</w:t>
      </w:r>
      <w:r w:rsidR="002B4A79">
        <w:rPr>
          <w:rFonts w:cs="Times New Roman"/>
          <w:lang w:val="fr-CA"/>
        </w:rPr>
        <w:t>-</w:t>
      </w:r>
      <w:r w:rsidRPr="00FE4BFA">
        <w:rPr>
          <w:rFonts w:cs="Times New Roman"/>
          <w:lang w:val="fr-CA"/>
        </w:rPr>
        <w:t xml:space="preserve">76. </w:t>
      </w:r>
    </w:p>
    <w:p w:rsidR="00454BD3" w:rsidRPr="00FE4BFA" w:rsidRDefault="00454BD3" w:rsidP="00454BD3">
      <w:pPr>
        <w:pStyle w:val="TitleTitre-AltT"/>
        <w:rPr>
          <w:rFonts w:cs="Times New Roman"/>
          <w:u w:val="single"/>
          <w:lang w:val="fr-CA"/>
        </w:rPr>
      </w:pPr>
      <w:r w:rsidRPr="00FE4BFA">
        <w:rPr>
          <w:rFonts w:cs="Times New Roman"/>
          <w:lang w:val="fr-CA"/>
        </w:rPr>
        <w:t>I.</w:t>
      </w:r>
      <w:r w:rsidRPr="00FE4BFA">
        <w:rPr>
          <w:rFonts w:cs="Times New Roman"/>
          <w:lang w:val="fr-CA"/>
        </w:rPr>
        <w:tab/>
      </w:r>
      <w:r w:rsidRPr="00FE4BFA">
        <w:rPr>
          <w:rFonts w:cs="Times New Roman"/>
          <w:i/>
          <w:lang w:val="fr-CA"/>
        </w:rPr>
        <w:t>L’élargissement indu de la notion de participation criminelle par les tribunaux canadiens</w:t>
      </w:r>
    </w:p>
    <w:p w:rsidR="00454BD3" w:rsidRPr="00FE4BFA" w:rsidRDefault="00454BD3" w:rsidP="00454BD3">
      <w:pPr>
        <w:pStyle w:val="ParaNoNdepar-AltN"/>
        <w:rPr>
          <w:rFonts w:cs="Times New Roman"/>
          <w:lang w:val="fr-CA"/>
        </w:rPr>
      </w:pPr>
      <w:r w:rsidRPr="00FE4BFA">
        <w:rPr>
          <w:rFonts w:cs="Times New Roman"/>
          <w:lang w:val="fr-CA"/>
        </w:rPr>
        <w:t>Avant qu’elle ne soit infirmée en Cour d’appel fédérale, on voyait dans la décision de la Cour fédérale rendue en l’espèce l’amorce éventuelle d’une [</w:t>
      </w:r>
      <w:r w:rsidRPr="00FE4BFA">
        <w:rPr>
          <w:rFonts w:cs="Times New Roman"/>
          <w:smallCaps/>
          <w:lang w:val="fr-CA"/>
        </w:rPr>
        <w:t>traduction</w:t>
      </w:r>
      <w:r w:rsidRPr="00FE4BFA">
        <w:rPr>
          <w:rFonts w:cs="Times New Roman"/>
          <w:lang w:val="fr-CA"/>
        </w:rPr>
        <w:t>] « jurisprudence plus nette, plus étroitement liée aux normes internationales et au libellé d’origine de la Convention »</w:t>
      </w:r>
      <w:r w:rsidR="002B4A79">
        <w:rPr>
          <w:rFonts w:cs="Times New Roman"/>
          <w:lang w:val="fr-CA"/>
        </w:rPr>
        <w:t xml:space="preserve"> : </w:t>
      </w:r>
      <w:r w:rsidRPr="00FE4BFA">
        <w:rPr>
          <w:rFonts w:cs="Times New Roman"/>
          <w:lang w:val="fr-CA"/>
        </w:rPr>
        <w:t>A. Kaushal et C. Dauvergne, « The Growing Culture of Exclusion</w:t>
      </w:r>
      <w:r w:rsidR="002B4A79">
        <w:rPr>
          <w:rFonts w:cs="Times New Roman"/>
          <w:lang w:val="fr-CA"/>
        </w:rPr>
        <w:t xml:space="preserve"> </w:t>
      </w:r>
      <w:r w:rsidRPr="00FE4BFA">
        <w:rPr>
          <w:rFonts w:cs="Times New Roman"/>
          <w:lang w:val="fr-CA"/>
        </w:rPr>
        <w:t>: Trends i</w:t>
      </w:r>
      <w:r w:rsidR="002B4A79">
        <w:rPr>
          <w:rFonts w:cs="Times New Roman"/>
          <w:lang w:val="fr-CA"/>
        </w:rPr>
        <w:t>n Canadian Refugee Exclusions »</w:t>
      </w:r>
      <w:r w:rsidRPr="00FE4BFA">
        <w:rPr>
          <w:rFonts w:cs="Times New Roman"/>
          <w:lang w:val="fr-CA"/>
        </w:rPr>
        <w:t xml:space="preserve"> (2011)</w:t>
      </w:r>
      <w:r w:rsidR="002B4A79">
        <w:rPr>
          <w:rFonts w:cs="Times New Roman"/>
          <w:lang w:val="fr-CA"/>
        </w:rPr>
        <w:t>,</w:t>
      </w:r>
      <w:r w:rsidRPr="00FE4BFA">
        <w:rPr>
          <w:rFonts w:cs="Times New Roman"/>
          <w:lang w:val="fr-CA"/>
        </w:rPr>
        <w:t xml:space="preserve"> 23 </w:t>
      </w:r>
      <w:r w:rsidRPr="00FE4BFA">
        <w:rPr>
          <w:rFonts w:cs="Times New Roman"/>
          <w:i/>
          <w:lang w:val="fr-CA"/>
        </w:rPr>
        <w:t>Int’l</w:t>
      </w:r>
      <w:r w:rsidR="00D50F13">
        <w:rPr>
          <w:rFonts w:cs="Times New Roman"/>
          <w:i/>
          <w:lang w:val="fr-CA"/>
        </w:rPr>
        <w:t>.</w:t>
      </w:r>
      <w:r w:rsidRPr="00FE4BFA">
        <w:rPr>
          <w:rFonts w:cs="Times New Roman"/>
          <w:i/>
          <w:lang w:val="fr-CA"/>
        </w:rPr>
        <w:t xml:space="preserve"> J. Refugee L.</w:t>
      </w:r>
      <w:r w:rsidRPr="00FE4BFA">
        <w:rPr>
          <w:rFonts w:cs="Times New Roman"/>
          <w:lang w:val="fr-CA"/>
        </w:rPr>
        <w:t xml:space="preserve"> 54,</w:t>
      </w:r>
      <w:r w:rsidRPr="00FE4BFA">
        <w:rPr>
          <w:rFonts w:cs="Times New Roman"/>
          <w:i/>
          <w:lang w:val="fr-CA"/>
        </w:rPr>
        <w:t xml:space="preserve"> </w:t>
      </w:r>
      <w:r w:rsidRPr="00FE4BFA">
        <w:rPr>
          <w:rFonts w:cs="Times New Roman"/>
          <w:lang w:val="fr-CA"/>
        </w:rPr>
        <w:t>p. 85.  La Cour fédérale a conclu avec raison que ni la seule appartenance à un gouvernement qui s’est rendu coupable de crimes internationaux, ni la connaissance de ces crimes ne suffisent pour établir la complicité</w:t>
      </w:r>
      <w:r w:rsidR="002B4A79">
        <w:rPr>
          <w:rFonts w:cs="Times New Roman"/>
          <w:lang w:val="fr-CA"/>
        </w:rPr>
        <w:t> :</w:t>
      </w:r>
      <w:r w:rsidRPr="00FE4BFA">
        <w:rPr>
          <w:rFonts w:cs="Times New Roman"/>
          <w:lang w:val="fr-CA"/>
        </w:rPr>
        <w:t xml:space="preserve"> par. 4.  </w:t>
      </w:r>
    </w:p>
    <w:p w:rsidR="00454BD3" w:rsidRPr="00FE4BFA" w:rsidRDefault="00454BD3" w:rsidP="00454BD3">
      <w:pPr>
        <w:pStyle w:val="ParaNoNdepar-AltN"/>
        <w:rPr>
          <w:rFonts w:cs="Times New Roman"/>
          <w:lang w:val="fr-CA"/>
        </w:rPr>
      </w:pPr>
      <w:r w:rsidRPr="00FE4BFA">
        <w:rPr>
          <w:rFonts w:cs="Times New Roman"/>
          <w:lang w:val="fr-CA"/>
        </w:rPr>
        <w:t>À notre sens, l’approche de la Cour fédérale en l’espèce resserre à juste titre le critère qui permet de conclure ou non à la complicité, un critère qui, dans certains cas, s’était attaché indûment aux activités criminelles du groupe plutôt qu’à la contribution de l’indivi</w:t>
      </w:r>
      <w:r w:rsidR="002B4A79">
        <w:rPr>
          <w:rFonts w:cs="Times New Roman"/>
          <w:lang w:val="fr-CA"/>
        </w:rPr>
        <w:t xml:space="preserve">du à ces activités criminelles : </w:t>
      </w:r>
      <w:r w:rsidRPr="00FE4BFA">
        <w:rPr>
          <w:rFonts w:cs="Times New Roman"/>
          <w:lang w:val="fr-CA"/>
        </w:rPr>
        <w:t xml:space="preserve">voir </w:t>
      </w:r>
      <w:r w:rsidR="002B4A79">
        <w:rPr>
          <w:rFonts w:cs="Times New Roman"/>
          <w:lang w:val="fr-CA"/>
        </w:rPr>
        <w:t>par exemple</w:t>
      </w:r>
      <w:r w:rsidRPr="00FE4BFA">
        <w:rPr>
          <w:rFonts w:cs="Times New Roman"/>
          <w:lang w:val="fr-CA"/>
        </w:rPr>
        <w:t xml:space="preserve"> </w:t>
      </w:r>
      <w:r w:rsidRPr="00FE4BFA">
        <w:rPr>
          <w:rFonts w:cs="Times New Roman"/>
          <w:i/>
          <w:lang w:val="fr-CA"/>
        </w:rPr>
        <w:t>Osagie c. Canada (Ministre de la Citoyenneté et de l’Immigration)</w:t>
      </w:r>
      <w:r w:rsidRPr="00FE4BFA">
        <w:rPr>
          <w:rFonts w:cs="Times New Roman"/>
          <w:lang w:val="fr-CA"/>
        </w:rPr>
        <w:t xml:space="preserve">, 2000 CanLII 15817 (C.F.); </w:t>
      </w:r>
      <w:r w:rsidRPr="00FE4BFA">
        <w:rPr>
          <w:rFonts w:cs="Times New Roman"/>
          <w:i/>
          <w:lang w:val="fr-CA"/>
        </w:rPr>
        <w:lastRenderedPageBreak/>
        <w:t>Mpia</w:t>
      </w:r>
      <w:r w:rsidRPr="00FE4BFA">
        <w:rPr>
          <w:rFonts w:cs="Times New Roman"/>
          <w:i/>
          <w:lang w:val="fr-CA"/>
        </w:rPr>
        <w:noBreakHyphen/>
        <w:t>Mena</w:t>
      </w:r>
      <w:r w:rsidRPr="00FE4BFA">
        <w:rPr>
          <w:rFonts w:cs="Times New Roman"/>
          <w:i/>
          <w:lang w:val="fr-CA"/>
        </w:rPr>
        <w:noBreakHyphen/>
        <w:t>Zambili c. Canada (Ministre de la Citoyenneté et de l’Immigration)</w:t>
      </w:r>
      <w:r w:rsidRPr="00FE4BFA">
        <w:rPr>
          <w:rFonts w:cs="Times New Roman"/>
          <w:lang w:val="fr-CA"/>
        </w:rPr>
        <w:t>, 2005 CF 1349</w:t>
      </w:r>
      <w:r w:rsidR="002B4A79">
        <w:rPr>
          <w:rFonts w:cs="Times New Roman"/>
          <w:lang w:val="fr-CA"/>
        </w:rPr>
        <w:t xml:space="preserve"> (CanLII)</w:t>
      </w:r>
      <w:r w:rsidRPr="00FE4BFA">
        <w:rPr>
          <w:rFonts w:cs="Times New Roman"/>
          <w:lang w:val="fr-CA"/>
        </w:rPr>
        <w:t>, par. 45</w:t>
      </w:r>
      <w:r w:rsidR="002B4A79">
        <w:rPr>
          <w:rFonts w:cs="Times New Roman"/>
          <w:lang w:val="fr-CA"/>
        </w:rPr>
        <w:t>-</w:t>
      </w:r>
      <w:r w:rsidRPr="00FE4BFA">
        <w:rPr>
          <w:rFonts w:cs="Times New Roman"/>
          <w:lang w:val="fr-CA"/>
        </w:rPr>
        <w:t xml:space="preserve">47; </w:t>
      </w:r>
      <w:r w:rsidRPr="00FE4BFA">
        <w:rPr>
          <w:rFonts w:cs="Times New Roman"/>
          <w:i/>
          <w:lang w:val="fr-CA"/>
        </w:rPr>
        <w:t>Fabela c. Canada (Ministre de la Citoyenneté et de l’Immigration)</w:t>
      </w:r>
      <w:r w:rsidRPr="00FE4BFA">
        <w:rPr>
          <w:rFonts w:cs="Times New Roman"/>
          <w:lang w:val="fr-CA"/>
        </w:rPr>
        <w:t>, 2005 CF 1028</w:t>
      </w:r>
      <w:r w:rsidR="002B4A79">
        <w:rPr>
          <w:rFonts w:cs="Times New Roman"/>
          <w:lang w:val="fr-CA"/>
        </w:rPr>
        <w:t xml:space="preserve"> (CanLII)</w:t>
      </w:r>
      <w:r w:rsidRPr="00FE4BFA">
        <w:rPr>
          <w:rFonts w:cs="Times New Roman"/>
          <w:lang w:val="fr-CA"/>
        </w:rPr>
        <w:t>, par. 14</w:t>
      </w:r>
      <w:r w:rsidR="002B4A79">
        <w:rPr>
          <w:rFonts w:cs="Times New Roman"/>
          <w:lang w:val="fr-CA"/>
        </w:rPr>
        <w:t>-</w:t>
      </w:r>
      <w:r w:rsidRPr="00FE4BFA">
        <w:rPr>
          <w:rFonts w:cs="Times New Roman"/>
          <w:lang w:val="fr-CA"/>
        </w:rPr>
        <w:t>19.  En répondant par l’affirmative à la question certifiée, la Cour d’appel fédérale peut donner à penser qu’elle avalise une interprétation trop large de la complicité, une interprétation qui englobe la complicité par association ou acquiescement passif.</w:t>
      </w:r>
    </w:p>
    <w:p w:rsidR="00454BD3" w:rsidRPr="00FE4BFA" w:rsidRDefault="00454BD3" w:rsidP="00454BD3">
      <w:pPr>
        <w:pStyle w:val="ParaNoNdepar-AltN"/>
        <w:rPr>
          <w:rFonts w:cs="Times New Roman"/>
          <w:lang w:val="fr-CA"/>
        </w:rPr>
      </w:pPr>
      <w:r w:rsidRPr="00FE4BFA">
        <w:rPr>
          <w:rFonts w:cs="Times New Roman"/>
          <w:lang w:val="fr-CA"/>
        </w:rPr>
        <w:t xml:space="preserve">Le juge Noël écrit en l’espèce qu’« en demeurant en poste sans protêt et en continuant à défendre les intérêts de son gouvernement alors qu’il a connaissance des crimes commis par ce gouvernement », un haut fonctionnaire </w:t>
      </w:r>
      <w:r w:rsidRPr="00FE4BFA">
        <w:rPr>
          <w:rFonts w:cs="Times New Roman"/>
          <w:i/>
          <w:lang w:val="fr-CA"/>
        </w:rPr>
        <w:t>peut</w:t>
      </w:r>
      <w:r w:rsidRPr="00FE4BFA">
        <w:rPr>
          <w:rFonts w:cs="Times New Roman"/>
          <w:lang w:val="fr-CA"/>
        </w:rPr>
        <w:t xml:space="preserve"> se rendre complice de ces crimes.  On ne saurait toutefois invoquer indûment les motifs de la Cour d’appel fédérale pour conclure à la complicité d’une personne alors même qu’elle n’a accompli aucun acte coupable et n’a eu aucune connaissance ou intention criminelle, mais a seulement su que d’autres membres du gouvernement avaient commis des actes illégaux. </w:t>
      </w:r>
    </w:p>
    <w:p w:rsidR="00454BD3" w:rsidRPr="00FE4BFA" w:rsidRDefault="00454BD3" w:rsidP="00454BD3">
      <w:pPr>
        <w:pStyle w:val="ParaNoNdepar-AltN"/>
        <w:rPr>
          <w:rFonts w:cs="Times New Roman"/>
          <w:lang w:val="fr-CA"/>
        </w:rPr>
      </w:pPr>
      <w:r w:rsidRPr="00FE4BFA">
        <w:rPr>
          <w:rFonts w:cs="Times New Roman"/>
          <w:lang w:val="fr-CA"/>
        </w:rPr>
        <w:t>À notre avis, il est nécessaire de revoir l’interprétation canadienne de l’art. 1F</w:t>
      </w:r>
      <w:r w:rsidRPr="00FE4BFA">
        <w:rPr>
          <w:rFonts w:cs="Times New Roman"/>
          <w:i/>
          <w:lang w:val="fr-CA"/>
        </w:rPr>
        <w:t>a</w:t>
      </w:r>
      <w:r w:rsidRPr="00FE4BFA">
        <w:rPr>
          <w:rFonts w:cs="Times New Roman"/>
          <w:lang w:val="fr-CA"/>
        </w:rPr>
        <w:t xml:space="preserve">) afin d’exclure clairement le refus de protection fondé sur une notion aussi étendue de la complicité.  Faute de le faire, un haut fonctionnaire pourrait devoir cesser d’exercer ses fonctions légitimes en période de conflit ou d’instabilité nationale afin de ne pas être déchu de son droit à l’asile.  De plus, la complicité susceptible de s’entendre de la culpabilité par association ou de l’acquiescement passif va à l’encontre de deux principes fondamentaux du droit pénal.  </w:t>
      </w:r>
    </w:p>
    <w:p w:rsidR="00454BD3" w:rsidRPr="00FE4BFA" w:rsidRDefault="00454BD3" w:rsidP="00454BD3">
      <w:pPr>
        <w:pStyle w:val="ParaNoNdepar-AltN"/>
        <w:rPr>
          <w:rFonts w:cs="Times New Roman"/>
          <w:lang w:val="fr-CA"/>
        </w:rPr>
      </w:pPr>
      <w:r w:rsidRPr="00FE4BFA">
        <w:rPr>
          <w:rFonts w:cs="Times New Roman"/>
          <w:lang w:val="fr-CA"/>
        </w:rPr>
        <w:lastRenderedPageBreak/>
        <w:t xml:space="preserve">Il est bien établi en droit pénal international que l’omission n’emporte pas de responsabilité </w:t>
      </w:r>
      <w:r w:rsidR="002B4A79">
        <w:rPr>
          <w:rFonts w:cs="Times New Roman"/>
          <w:lang w:val="fr-CA"/>
        </w:rPr>
        <w:t xml:space="preserve">pénale, sauf obligation d’agir : </w:t>
      </w:r>
      <w:r w:rsidRPr="00FE4BFA">
        <w:rPr>
          <w:rFonts w:cs="Times New Roman"/>
          <w:i/>
          <w:lang w:val="fr-CA"/>
        </w:rPr>
        <w:t>Cassese’s International Criminal Law</w:t>
      </w:r>
      <w:r w:rsidRPr="00FE4BFA">
        <w:rPr>
          <w:rFonts w:cs="Times New Roman"/>
          <w:lang w:val="fr-CA"/>
        </w:rPr>
        <w:t>, p.</w:t>
      </w:r>
      <w:r w:rsidR="009740D8">
        <w:rPr>
          <w:rFonts w:cs="Times New Roman"/>
          <w:lang w:val="fr-CA"/>
        </w:rPr>
        <w:t xml:space="preserve"> 180-</w:t>
      </w:r>
      <w:r w:rsidR="002B4A79">
        <w:rPr>
          <w:rFonts w:cs="Times New Roman"/>
          <w:lang w:val="fr-CA"/>
        </w:rPr>
        <w:t>182</w:t>
      </w:r>
      <w:r w:rsidRPr="00FE4BFA">
        <w:rPr>
          <w:rFonts w:cs="Times New Roman"/>
          <w:lang w:val="fr-CA"/>
        </w:rPr>
        <w:t>.  Par conséquent, à moins d’un contrôle exercé sur les auteurs individuels d’un crime international, nul ne peut se rendre complice seulement en continuant d’exerce</w:t>
      </w:r>
      <w:r w:rsidR="002B4A79">
        <w:rPr>
          <w:rFonts w:cs="Times New Roman"/>
          <w:lang w:val="fr-CA"/>
        </w:rPr>
        <w:t xml:space="preserve">r ses fonctions sans protester : </w:t>
      </w:r>
      <w:r w:rsidRPr="00FE4BFA">
        <w:rPr>
          <w:rFonts w:cs="Times New Roman"/>
          <w:i/>
          <w:lang w:val="fr-CA"/>
        </w:rPr>
        <w:t>Ramirez</w:t>
      </w:r>
      <w:r w:rsidRPr="00FE4BFA">
        <w:rPr>
          <w:rFonts w:cs="Times New Roman"/>
          <w:lang w:val="fr-CA"/>
        </w:rPr>
        <w:t>, p. 319</w:t>
      </w:r>
      <w:r w:rsidRPr="00FE4BFA">
        <w:rPr>
          <w:rFonts w:cs="Times New Roman"/>
          <w:lang w:val="fr-CA"/>
        </w:rPr>
        <w:noBreakHyphen/>
        <w:t xml:space="preserve">320.  De même, la culpabilité par association viole le principe de la responsabilité pénale individuelle.  Une personne ne peut être responsable que </w:t>
      </w:r>
      <w:r w:rsidR="002B4A79">
        <w:rPr>
          <w:rFonts w:cs="Times New Roman"/>
          <w:lang w:val="fr-CA"/>
        </w:rPr>
        <w:t xml:space="preserve">de ses propres actes coupables : </w:t>
      </w:r>
      <w:r w:rsidRPr="00FE4BFA">
        <w:rPr>
          <w:rFonts w:cs="Times New Roman"/>
          <w:lang w:val="fr-CA"/>
        </w:rPr>
        <w:t>van Sliedregt, p. 17.</w:t>
      </w:r>
    </w:p>
    <w:p w:rsidR="00454BD3" w:rsidRPr="00FE4BFA" w:rsidRDefault="00454BD3" w:rsidP="00454BD3">
      <w:pPr>
        <w:pStyle w:val="ParaNoNdepar-AltN"/>
        <w:rPr>
          <w:rFonts w:cs="Times New Roman"/>
          <w:lang w:val="fr-CA"/>
        </w:rPr>
      </w:pPr>
      <w:r w:rsidRPr="00FE4BFA">
        <w:rPr>
          <w:rFonts w:cs="Times New Roman"/>
          <w:lang w:val="fr-CA"/>
        </w:rPr>
        <w:t xml:space="preserve">On ne doit pas considérer que la décision de la Cour d’appel fédérale permet de conclure à la complicité par association du fait de la fonction exercée ni à celle fondée sur l’acquiescement passif, car ce serait perpétuer une rupture avec le droit pénal international et les principes fondamentaux du droit pénal.  </w:t>
      </w:r>
    </w:p>
    <w:p w:rsidR="00454BD3" w:rsidRPr="00FE4BFA" w:rsidRDefault="00454BD3" w:rsidP="00454BD3">
      <w:pPr>
        <w:pStyle w:val="TitleTitre-AltT"/>
        <w:rPr>
          <w:rFonts w:cs="Times New Roman"/>
          <w:i/>
          <w:lang w:val="fr-CA"/>
        </w:rPr>
      </w:pPr>
      <w:r w:rsidRPr="00FE4BFA">
        <w:rPr>
          <w:rFonts w:cs="Times New Roman"/>
          <w:lang w:val="fr-CA"/>
        </w:rPr>
        <w:t>J.</w:t>
      </w:r>
      <w:r w:rsidRPr="00FE4BFA">
        <w:rPr>
          <w:rFonts w:cs="Times New Roman"/>
          <w:lang w:val="fr-CA"/>
        </w:rPr>
        <w:tab/>
      </w:r>
      <w:r w:rsidRPr="00FE4BFA">
        <w:rPr>
          <w:rFonts w:cs="Times New Roman"/>
          <w:i/>
          <w:lang w:val="fr-CA"/>
        </w:rPr>
        <w:t>Resserrement du critère appliqué au Canada en matière de complicité</w:t>
      </w:r>
    </w:p>
    <w:p w:rsidR="00454BD3" w:rsidRPr="00FE4BFA" w:rsidRDefault="00454BD3" w:rsidP="00454BD3">
      <w:pPr>
        <w:pStyle w:val="ParaNoNdepar-AltN"/>
        <w:rPr>
          <w:rFonts w:cs="Times New Roman"/>
          <w:lang w:val="fr-CA"/>
        </w:rPr>
      </w:pPr>
      <w:r w:rsidRPr="00FE4BFA">
        <w:rPr>
          <w:rFonts w:cs="Times New Roman"/>
          <w:lang w:val="fr-CA"/>
        </w:rPr>
        <w:t>Compte tenu de ce qui précède, il devient nécessaire de clarifier la notion de complicité aux fins de l’application de l’art. 1F</w:t>
      </w:r>
      <w:r w:rsidRPr="00FE4BFA">
        <w:rPr>
          <w:rFonts w:cs="Times New Roman"/>
          <w:i/>
          <w:lang w:val="fr-CA"/>
        </w:rPr>
        <w:t>a</w:t>
      </w:r>
      <w:r w:rsidRPr="00FE4BFA">
        <w:rPr>
          <w:rFonts w:cs="Times New Roman"/>
          <w:lang w:val="fr-CA"/>
        </w:rPr>
        <w:t>).  Pour refuser l’asile à un demandeur sur le fondement de cette disposition, il doit exister des raisons sérieuses de penser qu’il a volontairement contribué de manière significative et consciente aux crimes ou au dessein criminel d’une organisation.</w:t>
      </w:r>
    </w:p>
    <w:p w:rsidR="00454BD3" w:rsidRPr="00FE4BFA" w:rsidRDefault="00454BD3" w:rsidP="00454BD3">
      <w:pPr>
        <w:pStyle w:val="ParaNoNdepar-AltN"/>
        <w:rPr>
          <w:rFonts w:cs="Times New Roman"/>
          <w:lang w:val="fr-CA"/>
        </w:rPr>
      </w:pPr>
      <w:r w:rsidRPr="00FE4BFA">
        <w:rPr>
          <w:rFonts w:cs="Times New Roman"/>
          <w:lang w:val="fr-CA"/>
        </w:rPr>
        <w:t xml:space="preserve">Nous examinons chacune des caractéristiques clés de cette notion de complicité axée sur la contribution.  Il s’agit à notre avis de conditions propres à </w:t>
      </w:r>
      <w:r w:rsidRPr="00FE4BFA">
        <w:rPr>
          <w:rFonts w:cs="Times New Roman"/>
          <w:lang w:val="fr-CA"/>
        </w:rPr>
        <w:lastRenderedPageBreak/>
        <w:t xml:space="preserve">empêcher un décideur d’élargir la notion indûment et de conclure à la complicité d’une personne pour simple association ou acquiescement passif. </w:t>
      </w:r>
    </w:p>
    <w:p w:rsidR="00454BD3" w:rsidRPr="00FE4BFA" w:rsidRDefault="00454BD3" w:rsidP="00454BD3">
      <w:pPr>
        <w:pStyle w:val="TitleTitre-AltT"/>
        <w:tabs>
          <w:tab w:val="clear" w:pos="360"/>
          <w:tab w:val="left" w:pos="1170"/>
        </w:tabs>
        <w:ind w:left="1620" w:hanging="1530"/>
        <w:rPr>
          <w:rFonts w:cs="Times New Roman"/>
          <w:i/>
          <w:lang w:val="fr-CA"/>
        </w:rPr>
      </w:pPr>
      <w:r w:rsidRPr="00FE4BFA">
        <w:rPr>
          <w:rFonts w:cs="Times New Roman"/>
          <w:lang w:val="fr-CA"/>
        </w:rPr>
        <w:tab/>
        <w:t>(1)</w:t>
      </w:r>
      <w:r w:rsidRPr="00FE4BFA">
        <w:rPr>
          <w:rFonts w:cs="Times New Roman"/>
          <w:lang w:val="fr-CA"/>
        </w:rPr>
        <w:tab/>
      </w:r>
      <w:r w:rsidRPr="00FE4BFA">
        <w:rPr>
          <w:rFonts w:cs="Times New Roman"/>
          <w:u w:val="single"/>
          <w:lang w:val="fr-CA"/>
        </w:rPr>
        <w:t>Caractère volontaire de la contribution aux crimes ou au dessein criminel</w:t>
      </w:r>
    </w:p>
    <w:p w:rsidR="00454BD3" w:rsidRPr="00FE4BFA" w:rsidRDefault="00454BD3" w:rsidP="00454BD3">
      <w:pPr>
        <w:pStyle w:val="ParaNoNdepar-AltN"/>
        <w:rPr>
          <w:rFonts w:cs="Times New Roman"/>
          <w:lang w:val="fr-CA"/>
        </w:rPr>
      </w:pPr>
      <w:r w:rsidRPr="00FE4BFA">
        <w:rPr>
          <w:rFonts w:cs="Times New Roman"/>
          <w:lang w:val="fr-CA"/>
        </w:rPr>
        <w:t>Il va sans dire que la contribution au crime ou au dessein criminel doit être volontaire.  Cette caractéristique n’est pas contestée en l’espèce, mais on peut aisément concevoir le cas d’un individu qui aurait été complice d’un crime de guerre sans avoir vraiment eu le choix d’y participer.  Pour déterminer le caractère volontaire ou non d’une contribution, le décideur doit par exemple tenir compte du mode de recrutement de l’organisation et des possibilités de quitter celle</w:t>
      </w:r>
      <w:r w:rsidRPr="00FE4BFA">
        <w:rPr>
          <w:rFonts w:cs="Times New Roman"/>
          <w:lang w:val="fr-CA"/>
        </w:rPr>
        <w:noBreakHyphen/>
        <w:t>ci.  L’exigence du caractère volontaire permet au demandeur d’invoquer la contrainte, un moyen de défense effectivement reconnu en droit pénal international coutumier, ainsi qu’à l’art. 31</w:t>
      </w:r>
      <w:r w:rsidR="002B4A79">
        <w:rPr>
          <w:rFonts w:cs="Times New Roman"/>
          <w:lang w:val="fr-CA"/>
        </w:rPr>
        <w:t>(1)</w:t>
      </w:r>
      <w:r w:rsidRPr="00FE4BFA">
        <w:rPr>
          <w:rFonts w:cs="Times New Roman"/>
          <w:lang w:val="fr-CA"/>
        </w:rPr>
        <w:t>d</w:t>
      </w:r>
      <w:r w:rsidR="002B4A79">
        <w:rPr>
          <w:rFonts w:cs="Times New Roman"/>
          <w:lang w:val="fr-CA"/>
        </w:rPr>
        <w:t>)</w:t>
      </w:r>
      <w:r w:rsidRPr="00FE4BFA">
        <w:rPr>
          <w:rFonts w:cs="Times New Roman"/>
          <w:lang w:val="fr-CA"/>
        </w:rPr>
        <w:t xml:space="preserve"> du </w:t>
      </w:r>
      <w:r w:rsidRPr="00FE4BFA">
        <w:rPr>
          <w:rFonts w:cs="Times New Roman"/>
          <w:i/>
          <w:lang w:val="fr-CA"/>
        </w:rPr>
        <w:t>Statut de Rome</w:t>
      </w:r>
      <w:r w:rsidR="002B4A79">
        <w:rPr>
          <w:rFonts w:cs="Times New Roman"/>
          <w:i/>
          <w:lang w:val="fr-CA"/>
        </w:rPr>
        <w:t> </w:t>
      </w:r>
      <w:r w:rsidR="002B4A79">
        <w:rPr>
          <w:rFonts w:cs="Times New Roman"/>
          <w:lang w:val="fr-CA"/>
        </w:rPr>
        <w:t xml:space="preserve">: </w:t>
      </w:r>
      <w:r w:rsidRPr="00FE4BFA">
        <w:rPr>
          <w:rFonts w:cs="Times New Roman"/>
          <w:i/>
          <w:lang w:val="fr-CA"/>
        </w:rPr>
        <w:t>Cassese’s International Criminal Law</w:t>
      </w:r>
      <w:r w:rsidRPr="00FE4BFA">
        <w:rPr>
          <w:rFonts w:cs="Times New Roman"/>
          <w:lang w:val="fr-CA"/>
        </w:rPr>
        <w:t>, p. 215</w:t>
      </w:r>
      <w:r w:rsidR="002B4A79">
        <w:rPr>
          <w:rFonts w:cs="Times New Roman"/>
          <w:lang w:val="fr-CA"/>
        </w:rPr>
        <w:t>-</w:t>
      </w:r>
      <w:r w:rsidRPr="00FE4BFA">
        <w:rPr>
          <w:rFonts w:cs="Times New Roman"/>
          <w:lang w:val="fr-CA"/>
        </w:rPr>
        <w:t xml:space="preserve">216. </w:t>
      </w:r>
    </w:p>
    <w:p w:rsidR="00454BD3" w:rsidRPr="00FE4BFA" w:rsidRDefault="00454BD3" w:rsidP="002B4A79">
      <w:pPr>
        <w:pStyle w:val="TitleTitre-AltT"/>
        <w:tabs>
          <w:tab w:val="clear" w:pos="360"/>
          <w:tab w:val="left" w:pos="1170"/>
        </w:tabs>
        <w:ind w:left="1710" w:hanging="1620"/>
        <w:rPr>
          <w:rFonts w:cs="Times New Roman"/>
          <w:lang w:val="fr-CA"/>
        </w:rPr>
      </w:pPr>
      <w:r w:rsidRPr="00FE4BFA">
        <w:rPr>
          <w:rFonts w:cs="Times New Roman"/>
          <w:lang w:val="fr-CA"/>
        </w:rPr>
        <w:tab/>
        <w:t>(2)</w:t>
      </w:r>
      <w:r w:rsidRPr="00FE4BFA">
        <w:rPr>
          <w:rFonts w:cs="Times New Roman"/>
          <w:lang w:val="fr-CA"/>
        </w:rPr>
        <w:tab/>
      </w:r>
      <w:r w:rsidRPr="00FE4BFA">
        <w:rPr>
          <w:rFonts w:cs="Times New Roman"/>
          <w:u w:val="single"/>
          <w:lang w:val="fr-CA"/>
        </w:rPr>
        <w:t>Contribution significative aux crimes ou au dessein criminel</w:t>
      </w:r>
    </w:p>
    <w:p w:rsidR="00454BD3" w:rsidRPr="00FE4BFA" w:rsidRDefault="00454BD3" w:rsidP="00454BD3">
      <w:pPr>
        <w:pStyle w:val="ParaNoNdepar-AltN"/>
        <w:rPr>
          <w:rFonts w:cs="Times New Roman"/>
          <w:lang w:val="fr-CA"/>
        </w:rPr>
      </w:pPr>
      <w:r w:rsidRPr="00FE4BFA">
        <w:rPr>
          <w:rFonts w:cs="Times New Roman"/>
          <w:lang w:val="fr-CA"/>
        </w:rPr>
        <w:t>Selon nous, la simple association devient complicité coupable aux fins de l’art. 1F</w:t>
      </w:r>
      <w:r w:rsidRPr="00FE4BFA">
        <w:rPr>
          <w:rFonts w:cs="Times New Roman"/>
          <w:i/>
          <w:lang w:val="fr-CA"/>
        </w:rPr>
        <w:t>a</w:t>
      </w:r>
      <w:r w:rsidRPr="00FE4BFA">
        <w:rPr>
          <w:rFonts w:cs="Times New Roman"/>
          <w:lang w:val="fr-CA"/>
        </w:rPr>
        <w:t xml:space="preserve">) lorsqu’une personne apporte une contribution </w:t>
      </w:r>
      <w:r w:rsidRPr="00FE4BFA">
        <w:rPr>
          <w:rFonts w:cs="Times New Roman"/>
          <w:i/>
          <w:lang w:val="fr-CA"/>
        </w:rPr>
        <w:t>significative</w:t>
      </w:r>
      <w:r w:rsidRPr="00FE4BFA">
        <w:rPr>
          <w:rFonts w:cs="Times New Roman"/>
          <w:lang w:val="fr-CA"/>
        </w:rPr>
        <w:t xml:space="preserve"> aux crimes ou au dessein criminel d’un groupe.  Comme l’affirme</w:t>
      </w:r>
      <w:r w:rsidR="002B4A79">
        <w:rPr>
          <w:rFonts w:cs="Times New Roman"/>
          <w:lang w:val="fr-CA"/>
        </w:rPr>
        <w:t xml:space="preserve"> le</w:t>
      </w:r>
      <w:r w:rsidRPr="00FE4BFA">
        <w:rPr>
          <w:rFonts w:cs="Times New Roman"/>
          <w:lang w:val="fr-CA"/>
        </w:rPr>
        <w:t xml:space="preserve"> lord </w:t>
      </w:r>
      <w:r w:rsidR="002B4A79">
        <w:rPr>
          <w:rFonts w:cs="Times New Roman"/>
          <w:lang w:val="fr-CA"/>
        </w:rPr>
        <w:t xml:space="preserve">juge </w:t>
      </w:r>
      <w:r w:rsidRPr="00FE4BFA">
        <w:rPr>
          <w:rFonts w:cs="Times New Roman"/>
          <w:lang w:val="fr-CA"/>
        </w:rPr>
        <w:t>Brown</w:t>
      </w:r>
      <w:r w:rsidR="002B4A79">
        <w:rPr>
          <w:rFonts w:cs="Times New Roman"/>
          <w:lang w:val="fr-CA"/>
        </w:rPr>
        <w:t xml:space="preserve"> </w:t>
      </w:r>
      <w:r w:rsidRPr="00FE4BFA">
        <w:rPr>
          <w:rFonts w:cs="Times New Roman"/>
          <w:lang w:val="fr-CA"/>
        </w:rPr>
        <w:t xml:space="preserve">dans </w:t>
      </w:r>
      <w:r w:rsidRPr="00FE4BFA">
        <w:rPr>
          <w:rFonts w:cs="Times New Roman"/>
          <w:i/>
          <w:lang w:val="fr-CA"/>
        </w:rPr>
        <w:t>J.S.</w:t>
      </w:r>
      <w:r w:rsidRPr="00FE4BFA">
        <w:rPr>
          <w:rFonts w:cs="Times New Roman"/>
          <w:lang w:val="fr-CA"/>
        </w:rPr>
        <w:t>, l’existence du lien requis entre la personne et le comportement criminel du groupe n’exige pas que la contribution de l’accusé [</w:t>
      </w:r>
      <w:r w:rsidRPr="00FE4BFA">
        <w:rPr>
          <w:rFonts w:cs="Times New Roman"/>
          <w:smallCaps/>
          <w:lang w:val="fr-CA"/>
        </w:rPr>
        <w:t>traduction</w:t>
      </w:r>
      <w:r w:rsidRPr="00FE4BFA">
        <w:rPr>
          <w:rFonts w:cs="Times New Roman"/>
          <w:lang w:val="fr-CA"/>
        </w:rPr>
        <w:t xml:space="preserve">] « vise la perpétration de crimes identifiables précis »; elle peut viser un « dessein commun plus large, comme </w:t>
      </w:r>
      <w:r w:rsidRPr="00FE4BFA">
        <w:rPr>
          <w:rFonts w:cs="Times New Roman"/>
          <w:lang w:val="fr-CA"/>
        </w:rPr>
        <w:lastRenderedPageBreak/>
        <w:t>la réalisation de l’objectif d’une organisation par tous les moyens nécessaires, y compris la co</w:t>
      </w:r>
      <w:r w:rsidR="002B4A79">
        <w:rPr>
          <w:rFonts w:cs="Times New Roman"/>
          <w:lang w:val="fr-CA"/>
        </w:rPr>
        <w:t xml:space="preserve">mmission de crimes de guerre » : </w:t>
      </w:r>
      <w:r w:rsidRPr="00FE4BFA">
        <w:rPr>
          <w:rFonts w:cs="Times New Roman"/>
          <w:lang w:val="fr-CA"/>
        </w:rPr>
        <w:t>par. 38.  Cette interprétation de l’art. 1F</w:t>
      </w:r>
      <w:r w:rsidRPr="00FE4BFA">
        <w:rPr>
          <w:rFonts w:cs="Times New Roman"/>
          <w:i/>
          <w:lang w:val="fr-CA"/>
        </w:rPr>
        <w:t>a</w:t>
      </w:r>
      <w:r w:rsidRPr="00FE4BFA">
        <w:rPr>
          <w:rFonts w:cs="Times New Roman"/>
          <w:lang w:val="fr-CA"/>
        </w:rPr>
        <w:t xml:space="preserve">) s’accorde avec la reconnaissance par le droit pénal international de la participation collective et indirecte aux crimes en question, ainsi qu’avec le par. 21(2) du </w:t>
      </w:r>
      <w:r w:rsidRPr="00FE4BFA">
        <w:rPr>
          <w:rFonts w:cs="Times New Roman"/>
          <w:i/>
          <w:lang w:val="fr-CA"/>
        </w:rPr>
        <w:t>Code criminel</w:t>
      </w:r>
      <w:r w:rsidRPr="00FE4BFA">
        <w:rPr>
          <w:rFonts w:cs="Times New Roman"/>
          <w:lang w:val="fr-CA"/>
        </w:rPr>
        <w:t xml:space="preserve"> du Canada, L.R.C. 1985, ch. C</w:t>
      </w:r>
      <w:r w:rsidRPr="00FE4BFA">
        <w:rPr>
          <w:rFonts w:cs="Times New Roman"/>
          <w:lang w:val="fr-CA"/>
        </w:rPr>
        <w:noBreakHyphen/>
        <w:t xml:space="preserve">46, qui impute une responsabilité pénale à quiconque prête son concours à la réalisation d’une fin commune illégale.  </w:t>
      </w:r>
    </w:p>
    <w:p w:rsidR="00454BD3" w:rsidRPr="00FE4BFA" w:rsidRDefault="00454BD3" w:rsidP="00454BD3">
      <w:pPr>
        <w:pStyle w:val="ParaNoNdepar-AltN"/>
        <w:rPr>
          <w:rFonts w:cs="Times New Roman"/>
          <w:lang w:val="fr-CA"/>
        </w:rPr>
      </w:pPr>
      <w:r w:rsidRPr="00FE4BFA">
        <w:rPr>
          <w:rFonts w:cs="Times New Roman"/>
          <w:lang w:val="fr-CA"/>
        </w:rPr>
        <w:t>Étant donné que toute forme ou presque de contribution apportée à un groupe peut être considérée comme favorisant la réalisation de son dessein criminel, le degré de contribution doit être soupesé avec soin.  L’exigence voulant que la contribution soit significative se révèle cruciale afin d’éviter un élargissement déraisonnable de la notion de participation criminelle en droit pénal international. </w:t>
      </w:r>
    </w:p>
    <w:p w:rsidR="00454BD3" w:rsidRPr="00FE4BFA" w:rsidRDefault="00454BD3" w:rsidP="00454BD3">
      <w:pPr>
        <w:pStyle w:val="TitleTitre-AltT"/>
        <w:tabs>
          <w:tab w:val="clear" w:pos="360"/>
          <w:tab w:val="left" w:pos="1170"/>
        </w:tabs>
        <w:ind w:left="1620" w:hanging="1530"/>
        <w:rPr>
          <w:rFonts w:cs="Times New Roman"/>
          <w:u w:val="single"/>
          <w:lang w:val="fr-CA"/>
        </w:rPr>
      </w:pPr>
      <w:r w:rsidRPr="00FE4BFA">
        <w:rPr>
          <w:rFonts w:cs="Times New Roman"/>
          <w:lang w:val="fr-CA"/>
        </w:rPr>
        <w:tab/>
        <w:t>(3)</w:t>
      </w:r>
      <w:r w:rsidRPr="00FE4BFA">
        <w:rPr>
          <w:rFonts w:cs="Times New Roman"/>
          <w:i/>
          <w:lang w:val="fr-CA"/>
        </w:rPr>
        <w:tab/>
      </w:r>
      <w:r w:rsidRPr="00FE4BFA">
        <w:rPr>
          <w:rFonts w:cs="Times New Roman"/>
          <w:u w:val="single"/>
          <w:lang w:val="fr-CA"/>
        </w:rPr>
        <w:t>La contribution consciente aux crimes ou au dessein criminel</w:t>
      </w:r>
    </w:p>
    <w:p w:rsidR="00454BD3" w:rsidRPr="00FE4BFA" w:rsidRDefault="00454BD3" w:rsidP="00454BD3">
      <w:pPr>
        <w:pStyle w:val="ParaNoNdepar-AltN"/>
        <w:rPr>
          <w:rFonts w:cs="Times New Roman"/>
          <w:lang w:val="fr-CA"/>
        </w:rPr>
      </w:pPr>
      <w:r w:rsidRPr="00FE4BFA">
        <w:rPr>
          <w:rFonts w:cs="Times New Roman"/>
          <w:lang w:val="fr-CA"/>
        </w:rPr>
        <w:t xml:space="preserve">Pour être complice de crimes gouvernementaux, un fonctionnaire doit être au courant de leur perpétration ou du dessein criminel du gouvernement et savoir que son </w:t>
      </w:r>
      <w:r w:rsidRPr="00FE4BFA">
        <w:rPr>
          <w:rFonts w:cs="Times New Roman"/>
          <w:i/>
          <w:lang w:val="fr-CA"/>
        </w:rPr>
        <w:t xml:space="preserve">comportement </w:t>
      </w:r>
      <w:r w:rsidRPr="00FE4BFA">
        <w:rPr>
          <w:rFonts w:cs="Times New Roman"/>
          <w:lang w:val="fr-CA"/>
        </w:rPr>
        <w:t>facilitera la perpétration des crimes ou la réalisation du dessein criminel.</w:t>
      </w:r>
    </w:p>
    <w:p w:rsidR="00454BD3" w:rsidRPr="00FE4BFA" w:rsidRDefault="00454BD3" w:rsidP="00454BD3">
      <w:pPr>
        <w:pStyle w:val="ParaNoNdepar-AltN"/>
        <w:rPr>
          <w:rFonts w:cs="Times New Roman"/>
          <w:lang w:val="fr-CA"/>
        </w:rPr>
      </w:pPr>
      <w:r w:rsidRPr="00FE4BFA">
        <w:rPr>
          <w:rFonts w:cs="Times New Roman"/>
          <w:lang w:val="fr-CA"/>
        </w:rPr>
        <w:t xml:space="preserve">Nous estimons que cette approche est conforme au type de </w:t>
      </w:r>
      <w:r w:rsidRPr="00FE4BFA">
        <w:rPr>
          <w:rFonts w:cs="Times New Roman"/>
          <w:i/>
          <w:lang w:val="fr-CA"/>
        </w:rPr>
        <w:t>mens rea</w:t>
      </w:r>
      <w:r w:rsidRPr="00FE4BFA">
        <w:rPr>
          <w:rFonts w:cs="Times New Roman"/>
          <w:lang w:val="fr-CA"/>
        </w:rPr>
        <w:t xml:space="preserve"> exigé à l’art. 30 du </w:t>
      </w:r>
      <w:r w:rsidRPr="00FE4BFA">
        <w:rPr>
          <w:rFonts w:cs="Times New Roman"/>
          <w:i/>
          <w:lang w:val="fr-CA"/>
        </w:rPr>
        <w:t>Statut de Rome</w:t>
      </w:r>
      <w:r w:rsidRPr="00FE4BFA">
        <w:rPr>
          <w:rFonts w:cs="Times New Roman"/>
          <w:lang w:val="fr-CA"/>
        </w:rPr>
        <w:t>.</w:t>
      </w:r>
      <w:r w:rsidRPr="00FE4BFA">
        <w:rPr>
          <w:rFonts w:cs="Times New Roman"/>
          <w:i/>
          <w:lang w:val="fr-CA"/>
        </w:rPr>
        <w:t xml:space="preserve">  </w:t>
      </w:r>
      <w:r w:rsidRPr="00FE4BFA">
        <w:rPr>
          <w:rFonts w:cs="Times New Roman"/>
          <w:lang w:val="fr-CA"/>
        </w:rPr>
        <w:t>L’article 30</w:t>
      </w:r>
      <w:r w:rsidR="002B4A79">
        <w:rPr>
          <w:rFonts w:cs="Times New Roman"/>
          <w:lang w:val="fr-CA"/>
        </w:rPr>
        <w:t>(1)</w:t>
      </w:r>
      <w:r w:rsidRPr="00FE4BFA">
        <w:rPr>
          <w:rFonts w:cs="Times New Roman"/>
          <w:lang w:val="fr-CA"/>
        </w:rPr>
        <w:t xml:space="preserve"> dispose en effet que « nul n’est pénalement responsable et ne peut être puni à raison d’un crime relevant de la compétence de la [CPI] que si l’élément matériel du crime est commis avec </w:t>
      </w:r>
      <w:r w:rsidRPr="00FE4BFA">
        <w:rPr>
          <w:rFonts w:cs="Times New Roman"/>
          <w:u w:val="single"/>
          <w:lang w:val="fr-CA"/>
        </w:rPr>
        <w:t>intention</w:t>
      </w:r>
      <w:r w:rsidRPr="00FE4BFA">
        <w:rPr>
          <w:rFonts w:cs="Times New Roman"/>
          <w:lang w:val="fr-CA"/>
        </w:rPr>
        <w:t xml:space="preserve"> </w:t>
      </w:r>
      <w:r w:rsidRPr="00FE4BFA">
        <w:rPr>
          <w:rFonts w:cs="Times New Roman"/>
          <w:lang w:val="fr-CA"/>
        </w:rPr>
        <w:lastRenderedPageBreak/>
        <w:t xml:space="preserve">et </w:t>
      </w:r>
      <w:r w:rsidRPr="00FE4BFA">
        <w:rPr>
          <w:rFonts w:cs="Times New Roman"/>
          <w:u w:val="single"/>
          <w:lang w:val="fr-CA"/>
        </w:rPr>
        <w:t>connaissance</w:t>
      </w:r>
      <w:r w:rsidRPr="00FE4BFA">
        <w:rPr>
          <w:rFonts w:cs="Times New Roman"/>
          <w:lang w:val="fr-CA"/>
        </w:rPr>
        <w:t> ».  L’article 30</w:t>
      </w:r>
      <w:r w:rsidR="002B4A79">
        <w:rPr>
          <w:rFonts w:cs="Times New Roman"/>
          <w:lang w:val="fr-CA"/>
        </w:rPr>
        <w:t>(2)a)</w:t>
      </w:r>
      <w:r w:rsidRPr="00FE4BFA">
        <w:rPr>
          <w:rFonts w:cs="Times New Roman"/>
          <w:lang w:val="fr-CA"/>
        </w:rPr>
        <w:t xml:space="preserve"> précise qu’il y a intention chez une personne lorsqu’elle « entend adopter [l]e comportement ».  En ce qui concerne les conséquences, l’art. 30</w:t>
      </w:r>
      <w:r w:rsidR="002B4A79">
        <w:rPr>
          <w:rFonts w:cs="Times New Roman"/>
          <w:lang w:val="fr-CA"/>
        </w:rPr>
        <w:t>(2)b)</w:t>
      </w:r>
      <w:r w:rsidRPr="00FE4BFA">
        <w:rPr>
          <w:rFonts w:cs="Times New Roman"/>
          <w:lang w:val="fr-CA"/>
        </w:rPr>
        <w:t xml:space="preserve"> exige que la personne « entend[e] causer cette conséquence ou [soit] consciente que celle</w:t>
      </w:r>
      <w:r w:rsidRPr="00FE4BFA">
        <w:rPr>
          <w:rFonts w:cs="Times New Roman"/>
          <w:lang w:val="fr-CA"/>
        </w:rPr>
        <w:noBreakHyphen/>
        <w:t>ci adviendra dans le cours normal des évén</w:t>
      </w:r>
      <w:r w:rsidR="00EC656B">
        <w:rPr>
          <w:rFonts w:cs="Times New Roman"/>
          <w:lang w:val="fr-CA"/>
        </w:rPr>
        <w:t>ements ».  Suivant l’art.</w:t>
      </w:r>
      <w:r w:rsidR="002B4A79">
        <w:rPr>
          <w:rFonts w:cs="Times New Roman"/>
          <w:lang w:val="fr-CA"/>
        </w:rPr>
        <w:t> 30(</w:t>
      </w:r>
      <w:r w:rsidRPr="00FE4BFA">
        <w:rPr>
          <w:rFonts w:cs="Times New Roman"/>
          <w:lang w:val="fr-CA"/>
        </w:rPr>
        <w:t>3</w:t>
      </w:r>
      <w:r w:rsidR="002B4A79">
        <w:rPr>
          <w:rFonts w:cs="Times New Roman"/>
          <w:lang w:val="fr-CA"/>
        </w:rPr>
        <w:t>)</w:t>
      </w:r>
      <w:r w:rsidRPr="00FE4BFA">
        <w:rPr>
          <w:rFonts w:cs="Times New Roman"/>
          <w:lang w:val="fr-CA"/>
        </w:rPr>
        <w:t>, il y a connaissance lorsqu’une « personne est consciente qu’une circonstance existe ou qu’une conséquence adviendra dans le cours normal des événements ».</w:t>
      </w:r>
    </w:p>
    <w:p w:rsidR="00454BD3" w:rsidRPr="00FE4BFA" w:rsidRDefault="00454BD3" w:rsidP="00454BD3">
      <w:pPr>
        <w:pStyle w:val="TitleTitre-AltT"/>
        <w:tabs>
          <w:tab w:val="clear" w:pos="360"/>
          <w:tab w:val="left" w:pos="1170"/>
        </w:tabs>
        <w:ind w:left="1620" w:hanging="1530"/>
        <w:rPr>
          <w:rFonts w:cs="Times New Roman"/>
          <w:u w:val="single"/>
          <w:lang w:val="fr-CA"/>
        </w:rPr>
      </w:pPr>
      <w:r w:rsidRPr="00FE4BFA">
        <w:rPr>
          <w:rFonts w:cs="Times New Roman"/>
          <w:lang w:val="fr-CA"/>
        </w:rPr>
        <w:tab/>
        <w:t>(4)</w:t>
      </w:r>
      <w:r w:rsidRPr="00FE4BFA">
        <w:rPr>
          <w:rFonts w:cs="Times New Roman"/>
          <w:lang w:val="fr-CA"/>
        </w:rPr>
        <w:tab/>
      </w:r>
      <w:r w:rsidRPr="00FE4BFA">
        <w:rPr>
          <w:rFonts w:cs="Times New Roman"/>
          <w:u w:val="single"/>
          <w:lang w:val="fr-CA"/>
        </w:rPr>
        <w:t>L’application du critère</w:t>
      </w:r>
    </w:p>
    <w:p w:rsidR="00454BD3" w:rsidRPr="00FE4BFA" w:rsidRDefault="00454BD3" w:rsidP="00454BD3">
      <w:pPr>
        <w:pStyle w:val="ParaNoNdepar-AltN"/>
        <w:rPr>
          <w:rFonts w:cs="Times New Roman"/>
          <w:lang w:val="fr-CA"/>
        </w:rPr>
      </w:pPr>
      <w:r w:rsidRPr="00FE4BFA">
        <w:rPr>
          <w:rFonts w:cs="Times New Roman"/>
          <w:lang w:val="fr-CA"/>
        </w:rPr>
        <w:t>L’existence de raisons sérieuses de penser qu’une personne a commis des crimes internationaux dépend des faits de chaque affaire.  Dès lors, pour déterminer si les actes d’un individu correspondent à l’</w:t>
      </w:r>
      <w:r w:rsidRPr="00FE4BFA">
        <w:rPr>
          <w:rFonts w:cs="Times New Roman"/>
          <w:i/>
          <w:lang w:val="fr-CA"/>
        </w:rPr>
        <w:t xml:space="preserve">actus reus </w:t>
      </w:r>
      <w:r w:rsidRPr="00FE4BFA">
        <w:rPr>
          <w:rFonts w:cs="Times New Roman"/>
          <w:lang w:val="fr-CA"/>
        </w:rPr>
        <w:t xml:space="preserve">et à la </w:t>
      </w:r>
      <w:r w:rsidRPr="00FE4BFA">
        <w:rPr>
          <w:rFonts w:cs="Times New Roman"/>
          <w:i/>
          <w:lang w:val="fr-CA"/>
        </w:rPr>
        <w:t>mens rea</w:t>
      </w:r>
      <w:r w:rsidRPr="00FE4BFA">
        <w:rPr>
          <w:rFonts w:cs="Times New Roman"/>
          <w:lang w:val="fr-CA"/>
        </w:rPr>
        <w:t xml:space="preserve"> exigés pour qu’il y ait complicité, plusieurs considérations peuvent se révéler utiles.  L’énumération qui suit rassemble celles retenues par les tribunaux canadiens et britanniques, de même que par la CPI.  Elle permet de baliser l’analyse visant à déterminer si une personne a ou non volontairement apporté une contribution significative et consciente à un crime ou à un dessein criminel :</w:t>
      </w:r>
    </w:p>
    <w:p w:rsidR="00454BD3" w:rsidRPr="00FE4BFA" w:rsidRDefault="00454BD3" w:rsidP="00454BD3">
      <w:pPr>
        <w:pStyle w:val="Citation-AltC"/>
        <w:tabs>
          <w:tab w:val="left" w:pos="1710"/>
        </w:tabs>
        <w:spacing w:after="480" w:line="480" w:lineRule="auto"/>
        <w:ind w:hanging="1166"/>
        <w:contextualSpacing w:val="0"/>
        <w:rPr>
          <w:lang w:val="fr-CA"/>
        </w:rPr>
      </w:pPr>
      <w:r w:rsidRPr="00FE4BFA">
        <w:rPr>
          <w:lang w:val="fr-CA"/>
        </w:rPr>
        <w:t>(i)</w:t>
      </w:r>
      <w:r w:rsidRPr="00FE4BFA">
        <w:rPr>
          <w:lang w:val="fr-CA"/>
        </w:rPr>
        <w:tab/>
        <w:t>la taille et la nature de l’organisation;</w:t>
      </w:r>
    </w:p>
    <w:p w:rsidR="00454BD3" w:rsidRPr="00FE4BFA" w:rsidRDefault="00454BD3" w:rsidP="00454BD3">
      <w:pPr>
        <w:pStyle w:val="Citation-AltC"/>
        <w:tabs>
          <w:tab w:val="left" w:pos="1710"/>
        </w:tabs>
        <w:spacing w:after="480" w:line="480" w:lineRule="auto"/>
        <w:ind w:hanging="1166"/>
        <w:contextualSpacing w:val="0"/>
        <w:rPr>
          <w:lang w:val="fr-CA"/>
        </w:rPr>
      </w:pPr>
      <w:r w:rsidRPr="00FE4BFA">
        <w:rPr>
          <w:lang w:val="fr-CA"/>
        </w:rPr>
        <w:t>(ii)</w:t>
      </w:r>
      <w:r w:rsidRPr="00FE4BFA">
        <w:rPr>
          <w:lang w:val="fr-CA"/>
        </w:rPr>
        <w:tab/>
        <w:t>la section de l’organisation à laquelle le demandeur d’asile était le plus directement associé;</w:t>
      </w:r>
    </w:p>
    <w:p w:rsidR="00454BD3" w:rsidRPr="00FE4BFA" w:rsidRDefault="00454BD3" w:rsidP="00454BD3">
      <w:pPr>
        <w:pStyle w:val="Citation-AltC"/>
        <w:tabs>
          <w:tab w:val="left" w:pos="1710"/>
        </w:tabs>
        <w:spacing w:after="480" w:line="480" w:lineRule="auto"/>
        <w:ind w:hanging="1166"/>
        <w:contextualSpacing w:val="0"/>
        <w:rPr>
          <w:lang w:val="fr-CA"/>
        </w:rPr>
      </w:pPr>
      <w:r w:rsidRPr="00FE4BFA">
        <w:rPr>
          <w:lang w:val="fr-CA"/>
        </w:rPr>
        <w:lastRenderedPageBreak/>
        <w:t>(iii)</w:t>
      </w:r>
      <w:r w:rsidRPr="00FE4BFA">
        <w:rPr>
          <w:lang w:val="fr-CA"/>
        </w:rPr>
        <w:tab/>
        <w:t>les fonctions et les activités du demandeur d’asile au sein de l’organisation;</w:t>
      </w:r>
    </w:p>
    <w:p w:rsidR="00454BD3" w:rsidRPr="00FE4BFA" w:rsidRDefault="00454BD3" w:rsidP="00454BD3">
      <w:pPr>
        <w:pStyle w:val="Citation-AltC"/>
        <w:tabs>
          <w:tab w:val="left" w:pos="1710"/>
        </w:tabs>
        <w:spacing w:after="480" w:line="480" w:lineRule="auto"/>
        <w:ind w:hanging="1166"/>
        <w:contextualSpacing w:val="0"/>
        <w:rPr>
          <w:lang w:val="fr-CA"/>
        </w:rPr>
      </w:pPr>
      <w:r w:rsidRPr="00FE4BFA">
        <w:rPr>
          <w:lang w:val="fr-CA"/>
        </w:rPr>
        <w:t>(iv)</w:t>
      </w:r>
      <w:r w:rsidRPr="00FE4BFA">
        <w:rPr>
          <w:lang w:val="fr-CA"/>
        </w:rPr>
        <w:tab/>
        <w:t>le poste ou le grade du demandeur d’asile au sein de l’organisation;</w:t>
      </w:r>
    </w:p>
    <w:p w:rsidR="00454BD3" w:rsidRPr="00FE4BFA" w:rsidRDefault="00454BD3" w:rsidP="00454BD3">
      <w:pPr>
        <w:pStyle w:val="Citation-AltC"/>
        <w:tabs>
          <w:tab w:val="left" w:pos="1710"/>
        </w:tabs>
        <w:spacing w:after="480" w:line="480" w:lineRule="auto"/>
        <w:ind w:hanging="1166"/>
        <w:contextualSpacing w:val="0"/>
        <w:rPr>
          <w:lang w:val="fr-CA"/>
        </w:rPr>
      </w:pPr>
      <w:r w:rsidRPr="00FE4BFA">
        <w:rPr>
          <w:lang w:val="fr-CA"/>
        </w:rPr>
        <w:t>(v)</w:t>
      </w:r>
      <w:r w:rsidRPr="00FE4BFA">
        <w:rPr>
          <w:lang w:val="fr-CA"/>
        </w:rPr>
        <w:tab/>
        <w:t>la durée de l’appartenance du demandeur d’asile à l’organisation (surtout après qu’il a pris connaissance de ses crimes ou de son dessein criminel);</w:t>
      </w:r>
    </w:p>
    <w:p w:rsidR="00454BD3" w:rsidRPr="00FE4BFA" w:rsidRDefault="00454BD3" w:rsidP="00454BD3">
      <w:pPr>
        <w:pStyle w:val="Citation-AltC"/>
        <w:tabs>
          <w:tab w:val="left" w:pos="1710"/>
        </w:tabs>
        <w:spacing w:after="480" w:line="480" w:lineRule="auto"/>
        <w:ind w:hanging="1166"/>
        <w:contextualSpacing w:val="0"/>
        <w:rPr>
          <w:lang w:val="fr-CA"/>
        </w:rPr>
      </w:pPr>
      <w:r w:rsidRPr="00FE4BFA">
        <w:rPr>
          <w:lang w:val="fr-CA"/>
        </w:rPr>
        <w:t>(vi)</w:t>
      </w:r>
      <w:r w:rsidRPr="00FE4BFA">
        <w:rPr>
          <w:lang w:val="fr-CA"/>
        </w:rPr>
        <w:tab/>
        <w:t>le mode de recrutement du demandeur d’asile et la possibilité qu’il a eu</w:t>
      </w:r>
      <w:r w:rsidR="009B1F50">
        <w:rPr>
          <w:lang w:val="fr-CA"/>
        </w:rPr>
        <w:t>e</w:t>
      </w:r>
      <w:r w:rsidRPr="00FE4BFA">
        <w:rPr>
          <w:lang w:val="fr-CA"/>
        </w:rPr>
        <w:t xml:space="preserve"> ou non de quitter l’organisation.</w:t>
      </w:r>
    </w:p>
    <w:p w:rsidR="00454BD3" w:rsidRPr="00FE4BFA" w:rsidRDefault="00454BD3" w:rsidP="002B4A79">
      <w:pPr>
        <w:pStyle w:val="Citation-AltC"/>
        <w:spacing w:line="480" w:lineRule="auto"/>
        <w:ind w:left="0"/>
        <w:contextualSpacing w:val="0"/>
        <w:rPr>
          <w:lang w:val="fr-CA"/>
        </w:rPr>
      </w:pPr>
      <w:r w:rsidRPr="00FE4BFA">
        <w:rPr>
          <w:lang w:val="fr-CA"/>
        </w:rPr>
        <w:t xml:space="preserve">Voir </w:t>
      </w:r>
      <w:r w:rsidRPr="00FE4BFA">
        <w:rPr>
          <w:i/>
          <w:lang w:val="fr-CA"/>
        </w:rPr>
        <w:t>Ryivuze</w:t>
      </w:r>
      <w:r w:rsidRPr="00FE4BFA">
        <w:rPr>
          <w:lang w:val="fr-CA"/>
        </w:rPr>
        <w:t xml:space="preserve">, par. 38; </w:t>
      </w:r>
      <w:r w:rsidRPr="00FE4BFA">
        <w:rPr>
          <w:i/>
          <w:lang w:val="fr-CA"/>
        </w:rPr>
        <w:t>J.S.</w:t>
      </w:r>
      <w:r w:rsidRPr="00FE4BFA">
        <w:rPr>
          <w:lang w:val="fr-CA"/>
        </w:rPr>
        <w:t xml:space="preserve">, par. 30; </w:t>
      </w:r>
      <w:r w:rsidRPr="00FE4BFA">
        <w:rPr>
          <w:i/>
          <w:lang w:val="fr-CA"/>
        </w:rPr>
        <w:t>Mbarushimana</w:t>
      </w:r>
      <w:r w:rsidRPr="00FE4BFA">
        <w:rPr>
          <w:lang w:val="fr-CA"/>
        </w:rPr>
        <w:t xml:space="preserve">, décision </w:t>
      </w:r>
      <w:r w:rsidR="002B4A79">
        <w:rPr>
          <w:lang w:val="fr-CA"/>
        </w:rPr>
        <w:t>relative à</w:t>
      </w:r>
      <w:r w:rsidRPr="00FE4BFA">
        <w:rPr>
          <w:lang w:val="fr-CA"/>
        </w:rPr>
        <w:t xml:space="preserve"> la conf</w:t>
      </w:r>
      <w:r w:rsidR="009740D8">
        <w:rPr>
          <w:lang w:val="fr-CA"/>
        </w:rPr>
        <w:t>irmation des charges, par. 284.</w:t>
      </w:r>
      <w:r w:rsidRPr="00FE4BFA">
        <w:rPr>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 xml:space="preserve">Malgré la prise en compte de ces considérations, l’analyse doit toujours s’attacher à la contribution de l’individu au crime ou au dessein criminel.  Non seulement sont-elles diverses, mais ces considérations s’appliqueront à des situations elles aussi diverses où le contexte socio-historique différera d’un cas à l’autre.  Les réfugiés proviennent de nombreux pays et chacun d’eux se présente devant la Commission pour y relater son propre vécu et son propre parcours dans le pays d’origine.  Dès lors, l’examen des considérations retenues par nos tribunaux et ceux d’autres pays, ainsi que par la communauté internationale, devra nécessairement être particulièrement contextuel.  Selon les faits de l’affaire, certaines joueront plus que </w:t>
      </w:r>
      <w:r w:rsidRPr="00FE4BFA">
        <w:rPr>
          <w:rFonts w:cs="Times New Roman"/>
          <w:lang w:val="fr-CA"/>
        </w:rPr>
        <w:lastRenderedPageBreak/>
        <w:t xml:space="preserve">d’autres dans l’établissement des éléments constitutifs de la complicité.  Cependant, au bout du compte, ces considérations seront soupesées dans le but principal de déterminer s’il y a eu une contribution à la fois volontaire, significative et consciente à un crime ou à un dessein criminel. </w:t>
      </w:r>
    </w:p>
    <w:p w:rsidR="00454BD3" w:rsidRPr="00FE4BFA" w:rsidRDefault="00454BD3" w:rsidP="00454BD3">
      <w:pPr>
        <w:pStyle w:val="ParaNoNdepar-AltN"/>
        <w:rPr>
          <w:rFonts w:cs="Times New Roman"/>
          <w:lang w:val="fr-CA"/>
        </w:rPr>
      </w:pPr>
      <w:r w:rsidRPr="00FE4BFA">
        <w:rPr>
          <w:rFonts w:cs="Times New Roman"/>
          <w:lang w:val="fr-CA"/>
        </w:rPr>
        <w:t>Dans la présente affaire, il appartiendra à la Commission d’arrêter les considérations pertinentes eu égard aux faits du dossier.  Pour l’aider dans cette tâche, il convient peut</w:t>
      </w:r>
      <w:r w:rsidRPr="00FE4BFA">
        <w:rPr>
          <w:rFonts w:cs="Times New Roman"/>
          <w:lang w:val="fr-CA"/>
        </w:rPr>
        <w:noBreakHyphen/>
        <w:t>être que nous développions quelque peu chacune des considérations susmentionnées.</w:t>
      </w:r>
    </w:p>
    <w:p w:rsidR="00454BD3" w:rsidRPr="00FE4BFA" w:rsidRDefault="00454BD3" w:rsidP="00454BD3">
      <w:pPr>
        <w:pStyle w:val="ParaNoNdepar-AltN"/>
        <w:rPr>
          <w:rFonts w:cs="Times New Roman"/>
          <w:lang w:val="fr-CA"/>
        </w:rPr>
      </w:pPr>
      <w:r w:rsidRPr="00FE4BFA">
        <w:rPr>
          <w:rFonts w:cs="Times New Roman"/>
          <w:i/>
          <w:lang w:val="fr-CA"/>
        </w:rPr>
        <w:t>La taille et la nature de l’organisation</w:t>
      </w:r>
      <w:r w:rsidRPr="002B4A79">
        <w:rPr>
          <w:rFonts w:cs="Times New Roman"/>
          <w:i/>
          <w:lang w:val="fr-CA"/>
        </w:rPr>
        <w:t>.</w:t>
      </w:r>
      <w:r w:rsidRPr="00FE4BFA">
        <w:rPr>
          <w:rFonts w:cs="Times New Roman"/>
          <w:lang w:val="fr-CA"/>
        </w:rPr>
        <w:t xml:space="preserve">  La taille de l’organisation pourrait permettre de se prononcer sur la vraisemblance que le demandeur ait connu ses crimes ou son dessein criminel ou qu’il y ait contribué.  La taille de l’organisation est inversement proportionnelle à la vraisemblance de la connaissance et de la contribution.  Cette vraisemblance peut également varier en fonction de la nature du groupe.  Lorsque celui</w:t>
      </w:r>
      <w:r w:rsidRPr="00FE4BFA">
        <w:rPr>
          <w:rFonts w:cs="Times New Roman"/>
          <w:lang w:val="fr-CA"/>
        </w:rPr>
        <w:noBreakHyphen/>
        <w:t xml:space="preserve">ci est multiforme ou hétérogène (par exemple, lorsqu’il exerce à la fois des activités légitimes et des activités criminelles), le lien entre la contribution et le dessein criminel sera plus ténu.  En revanche, lorsque l’organisation sera animée d’un dessein circonscrit et brutal, le lien sera plus facile à établir.  En pareilles circonstances, un décideur peut être plus enclin à inférer que l’accusé connaissait le dessein criminel du groupe et qu’il a contribué à sa réalisation.  Cela dit, même dans le cas d’un groupe animé d’un dessein circonscrit et brutal, les actes et la fonction de l’individu en son sein doivent tout de même être soupesés avec soin, </w:t>
      </w:r>
      <w:r w:rsidRPr="00FE4BFA">
        <w:rPr>
          <w:rFonts w:cs="Times New Roman"/>
          <w:lang w:val="fr-CA"/>
        </w:rPr>
        <w:lastRenderedPageBreak/>
        <w:t>au regard de la situation propre à cet individu, pour déterminer si sa contribution était volontaire et si elle a eu une incidence importante sur le crime ou le dessein criminel du groupe.</w:t>
      </w:r>
    </w:p>
    <w:p w:rsidR="00454BD3" w:rsidRPr="00FE4BFA" w:rsidRDefault="00454BD3" w:rsidP="00454BD3">
      <w:pPr>
        <w:pStyle w:val="ParaNoNdepar-AltN"/>
        <w:rPr>
          <w:rFonts w:cs="Times New Roman"/>
          <w:lang w:val="fr-CA"/>
        </w:rPr>
      </w:pPr>
      <w:r w:rsidRPr="00FE4BFA">
        <w:rPr>
          <w:rFonts w:cs="Times New Roman"/>
          <w:i/>
          <w:lang w:val="fr-CA"/>
        </w:rPr>
        <w:t>La section de l’organisation à laquelle le demandeur d’asile était le plus directement associé</w:t>
      </w:r>
      <w:r w:rsidRPr="002B4A79">
        <w:rPr>
          <w:rFonts w:cs="Times New Roman"/>
          <w:i/>
          <w:lang w:val="fr-CA"/>
        </w:rPr>
        <w:t>.</w:t>
      </w:r>
      <w:r w:rsidRPr="00FE4BFA">
        <w:rPr>
          <w:rFonts w:cs="Times New Roman"/>
          <w:lang w:val="fr-CA"/>
        </w:rPr>
        <w:t xml:space="preserve">  Cette considération peut se révéler pertinente lorsque l’implication de certaines composantes de l’organisation dans la perpétration du crime ou leur participation à la réalisation du dessein criminel était connue.  À titre d’exemple, dans l’éventualité où une seule composante aurait été associée au crime ou au dessein criminel, le fait que le demandeur a seulement appartenu à une ou à plusieurs autres composantes pourrait l’exonérer aux fins de l’application de l’art. 1F</w:t>
      </w:r>
      <w:r w:rsidRPr="00FE4BFA">
        <w:rPr>
          <w:rFonts w:cs="Times New Roman"/>
          <w:i/>
          <w:lang w:val="fr-CA"/>
        </w:rPr>
        <w:t>a</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i/>
          <w:lang w:val="fr-CA"/>
        </w:rPr>
        <w:t>Les fonctions et les activités</w:t>
      </w:r>
      <w:r w:rsidRPr="00FE4BFA">
        <w:rPr>
          <w:rFonts w:cs="Times New Roman"/>
          <w:lang w:val="fr-CA"/>
        </w:rPr>
        <w:t xml:space="preserve"> </w:t>
      </w:r>
      <w:r w:rsidRPr="00FE4BFA">
        <w:rPr>
          <w:rFonts w:cs="Times New Roman"/>
          <w:i/>
          <w:lang w:val="fr-CA"/>
        </w:rPr>
        <w:t>du demandeur d’asile au sein de l’organisation</w:t>
      </w:r>
      <w:r w:rsidRPr="002B4A79">
        <w:rPr>
          <w:rFonts w:cs="Times New Roman"/>
          <w:i/>
          <w:lang w:val="fr-CA"/>
        </w:rPr>
        <w:t>.</w:t>
      </w:r>
      <w:r w:rsidRPr="00FE4BFA">
        <w:rPr>
          <w:rFonts w:cs="Times New Roman"/>
          <w:lang w:val="fr-CA"/>
        </w:rPr>
        <w:t xml:space="preserve">  Cette considération devrait se révéler pertinente aux fins de statuer sur la complicité, car elle vise précisément la participation du demandeur aux activités quotidiennes de l’organisation.  La Commission doit se pencher sur le lien entre les fonctions et les activités du demandeur d’asile et les crimes et le dessein criminel de l’organisation.</w:t>
      </w:r>
    </w:p>
    <w:p w:rsidR="00454BD3" w:rsidRPr="00FE4BFA" w:rsidRDefault="00454BD3" w:rsidP="00454BD3">
      <w:pPr>
        <w:pStyle w:val="ParaNoNdepar-AltN"/>
        <w:rPr>
          <w:rFonts w:cs="Times New Roman"/>
          <w:lang w:val="fr-CA"/>
        </w:rPr>
      </w:pPr>
      <w:r w:rsidRPr="00FE4BFA">
        <w:rPr>
          <w:rFonts w:cs="Times New Roman"/>
          <w:i/>
          <w:lang w:val="fr-CA"/>
        </w:rPr>
        <w:t>Le poste ou le grade du demandeur d’asile au sein de l’organisation</w:t>
      </w:r>
      <w:r w:rsidRPr="002B4A79">
        <w:rPr>
          <w:rFonts w:cs="Times New Roman"/>
          <w:i/>
          <w:lang w:val="fr-CA"/>
        </w:rPr>
        <w:t>.</w:t>
      </w:r>
      <w:r w:rsidRPr="00FE4BFA">
        <w:rPr>
          <w:rFonts w:cs="Times New Roman"/>
          <w:lang w:val="fr-CA"/>
        </w:rPr>
        <w:t xml:space="preserve">  Plus une personne se situe au sommet de la hiérarchie de l’organisation, plus elle est susceptible d’avoir connaissance de ses crimes et de son dessein criminel.  Parfois, un poste élevé ou une ascension rapide peut attester l’existence d’un grand appui au </w:t>
      </w:r>
      <w:r w:rsidRPr="00FE4BFA">
        <w:rPr>
          <w:rFonts w:cs="Times New Roman"/>
          <w:lang w:val="fr-CA"/>
        </w:rPr>
        <w:lastRenderedPageBreak/>
        <w:t xml:space="preserve">dessein criminel de l’organisation.  Qui plus est, en raison du poste qu’elle occupe ou du rang auquel elle s’est hissée, une personne peut, de fait, exercer un contrôle sur les auteurs d’actes criminels, ce qui pourrait emporter l’application de l’art. 28 du </w:t>
      </w:r>
      <w:r w:rsidRPr="00FE4BFA">
        <w:rPr>
          <w:rFonts w:cs="Times New Roman"/>
          <w:i/>
          <w:lang w:val="fr-CA"/>
        </w:rPr>
        <w:t>Statut de Rome</w:t>
      </w:r>
      <w:r w:rsidRPr="00FE4BFA">
        <w:rPr>
          <w:rFonts w:cs="Times New Roman"/>
          <w:lang w:val="fr-CA"/>
        </w:rPr>
        <w:t>.</w:t>
      </w:r>
    </w:p>
    <w:p w:rsidR="00454BD3" w:rsidRPr="00FE4BFA" w:rsidRDefault="00454BD3" w:rsidP="00454BD3">
      <w:pPr>
        <w:pStyle w:val="ParaNoNdepar-AltN"/>
        <w:rPr>
          <w:rFonts w:cs="Times New Roman"/>
          <w:lang w:val="fr-CA"/>
        </w:rPr>
      </w:pPr>
      <w:r w:rsidRPr="00FE4BFA">
        <w:rPr>
          <w:rFonts w:cs="Times New Roman"/>
          <w:i/>
          <w:lang w:val="fr-CA"/>
        </w:rPr>
        <w:t>La durée de l’appartenance</w:t>
      </w:r>
      <w:r w:rsidRPr="00FE4BFA">
        <w:rPr>
          <w:rFonts w:cs="Times New Roman"/>
          <w:lang w:val="fr-CA"/>
        </w:rPr>
        <w:t xml:space="preserve"> </w:t>
      </w:r>
      <w:r w:rsidRPr="00FE4BFA">
        <w:rPr>
          <w:rFonts w:cs="Times New Roman"/>
          <w:i/>
          <w:lang w:val="fr-CA"/>
        </w:rPr>
        <w:t>du demandeur d’asile à l’organisation (surtout après qu’il a pris connaissance de ses crimes ou de son dessein criminel)</w:t>
      </w:r>
      <w:r w:rsidRPr="002B4A79">
        <w:rPr>
          <w:rFonts w:cs="Times New Roman"/>
          <w:i/>
          <w:lang w:val="fr-CA"/>
        </w:rPr>
        <w:t>.</w:t>
      </w:r>
      <w:r w:rsidRPr="00FE4BFA">
        <w:rPr>
          <w:rFonts w:cs="Times New Roman"/>
          <w:lang w:val="fr-CA"/>
        </w:rPr>
        <w:t xml:space="preserve">  L’appartenance de longue date peut faciliter la preuve de la complicité.  Elle accroît en effet la possibilité que l’individu ait connu les crimes commis par l’organisation ou son dessein criminel.  Elle peut également accroître l’importance de la contribution de l’intéressé aux crimes ou au dessein criminel de l’organisation.</w:t>
      </w:r>
    </w:p>
    <w:p w:rsidR="00454BD3" w:rsidRPr="00FE4BFA" w:rsidRDefault="00454BD3" w:rsidP="00454BD3">
      <w:pPr>
        <w:pStyle w:val="ParaNoNdepar-AltN"/>
        <w:rPr>
          <w:rFonts w:cs="Times New Roman"/>
          <w:lang w:val="fr-CA"/>
        </w:rPr>
      </w:pPr>
      <w:r w:rsidRPr="00FE4BFA">
        <w:rPr>
          <w:rFonts w:cs="Times New Roman"/>
          <w:i/>
          <w:lang w:val="fr-CA"/>
        </w:rPr>
        <w:t>Le mode de recrutement du demandeur d’asile et la possibilité qu’il a ou non de quitter l’organisation</w:t>
      </w:r>
      <w:r w:rsidRPr="002B4A79">
        <w:rPr>
          <w:rFonts w:cs="Times New Roman"/>
          <w:i/>
          <w:lang w:val="fr-CA"/>
        </w:rPr>
        <w:t>.</w:t>
      </w:r>
      <w:r w:rsidRPr="00FE4BFA">
        <w:rPr>
          <w:rFonts w:cs="Times New Roman"/>
          <w:lang w:val="fr-CA"/>
        </w:rPr>
        <w:t xml:space="preserve">  Comme nous l’indiquons plus haut, ces deux considérations jouent directement sur le caractère volontaire de la contribution.  L’individu contraint de se joindre au groupe, de l’appuyer ou d’en demeurer membre pourrait ne pas avoir agi volontairement.  De même, sa participation pourrait ne pas se révéler volontaire s’il n’a pas eu la possibilité de quitter le groupe, surtout après qu’il a appris l’existence de son activité ou de son dessein criminels.  La Commission pourra se demander si la situation propre au demandeur (le lieu où il se trouvait, ses ressources financières et son réseau social) était de nature à faciliter son départ ou à y faire obstacle.</w:t>
      </w:r>
    </w:p>
    <w:p w:rsidR="00454BD3" w:rsidRPr="00FE4BFA" w:rsidRDefault="00454BD3" w:rsidP="00454BD3">
      <w:pPr>
        <w:pStyle w:val="ParaNoNdepar-AltN"/>
        <w:rPr>
          <w:rFonts w:cs="Times New Roman"/>
          <w:lang w:val="fr-CA"/>
        </w:rPr>
      </w:pPr>
      <w:r w:rsidRPr="00FE4BFA">
        <w:rPr>
          <w:rFonts w:cs="Times New Roman"/>
          <w:lang w:val="fr-CA"/>
        </w:rPr>
        <w:lastRenderedPageBreak/>
        <w:t>Nous rappelons que les considérations énumérées précédemment ne doivent servir qu’à baliser l’examen du dossier.  À cet égard, nous so</w:t>
      </w:r>
      <w:r w:rsidR="002B4A79">
        <w:rPr>
          <w:rFonts w:cs="Times New Roman"/>
          <w:lang w:val="fr-CA"/>
        </w:rPr>
        <w:t>uscrivons aux propos suivants du</w:t>
      </w:r>
      <w:r w:rsidRPr="00FE4BFA">
        <w:rPr>
          <w:rFonts w:cs="Times New Roman"/>
          <w:lang w:val="fr-CA"/>
        </w:rPr>
        <w:t xml:space="preserve"> lord </w:t>
      </w:r>
      <w:r w:rsidR="002B4A79">
        <w:rPr>
          <w:rFonts w:cs="Times New Roman"/>
          <w:lang w:val="fr-CA"/>
        </w:rPr>
        <w:t xml:space="preserve">juge </w:t>
      </w:r>
      <w:r w:rsidRPr="00FE4BFA">
        <w:rPr>
          <w:rFonts w:cs="Times New Roman"/>
          <w:lang w:val="fr-CA"/>
        </w:rPr>
        <w:t xml:space="preserve">Kerr dans </w:t>
      </w:r>
      <w:r w:rsidRPr="00FE4BFA">
        <w:rPr>
          <w:rFonts w:cs="Times New Roman"/>
          <w:i/>
          <w:lang w:val="fr-CA"/>
        </w:rPr>
        <w:t>J.S.</w:t>
      </w:r>
      <w:r w:rsidRPr="00FE4BFA">
        <w:rPr>
          <w:rFonts w:cs="Times New Roman"/>
          <w:lang w:val="fr-CA"/>
        </w:rPr>
        <w:t>, par. 55 :</w:t>
      </w:r>
    </w:p>
    <w:p w:rsidR="00454BD3" w:rsidRPr="00FE4BFA" w:rsidRDefault="00454BD3" w:rsidP="00454BD3">
      <w:pPr>
        <w:pStyle w:val="Citation-AltC"/>
        <w:ind w:hanging="1166"/>
        <w:rPr>
          <w:lang w:val="fr-CA"/>
        </w:rPr>
      </w:pPr>
      <w:r w:rsidRPr="00FE4BFA">
        <w:rPr>
          <w:lang w:val="fr-CA"/>
        </w:rPr>
        <w:tab/>
        <w:t>[</w:t>
      </w:r>
      <w:r w:rsidRPr="00FE4BFA">
        <w:rPr>
          <w:smallCaps/>
          <w:lang w:val="fr-CA"/>
        </w:rPr>
        <w:t>traduction</w:t>
      </w:r>
      <w:r w:rsidR="009740D8">
        <w:rPr>
          <w:lang w:val="fr-CA"/>
        </w:rPr>
        <w:t>]</w:t>
      </w:r>
      <w:r w:rsidRPr="00FE4BFA">
        <w:rPr>
          <w:lang w:val="fr-CA"/>
        </w:rPr>
        <w:t xml:space="preserve"> </w:t>
      </w:r>
      <w:r w:rsidR="002B4A79">
        <w:rPr>
          <w:lang w:val="fr-CA"/>
        </w:rPr>
        <w:t>. . . e</w:t>
      </w:r>
      <w:r w:rsidRPr="00FE4BFA">
        <w:rPr>
          <w:lang w:val="fr-CA"/>
        </w:rPr>
        <w:t xml:space="preserve">lles ne font pas nécessairement état de tous les éléments à examiner et chacune ne s’applique pas à tout coup.  J’estime qu’il faut s’attacher au rôle véritable </w:t>
      </w:r>
      <w:r w:rsidR="005E1BC5">
        <w:rPr>
          <w:lang w:val="fr-CA"/>
        </w:rPr>
        <w:t>de</w:t>
      </w:r>
      <w:r w:rsidRPr="00FE4BFA">
        <w:rPr>
          <w:lang w:val="fr-CA"/>
        </w:rPr>
        <w:t xml:space="preserve"> la personne et tenir compte de tous les aspects importants de ce rôle </w:t>
      </w:r>
      <w:r w:rsidR="00014ED7">
        <w:rPr>
          <w:lang w:val="fr-CA"/>
        </w:rPr>
        <w:t>pour conclure que</w:t>
      </w:r>
      <w:r w:rsidRPr="00FE4BFA">
        <w:rPr>
          <w:lang w:val="fr-CA"/>
        </w:rPr>
        <w:t xml:space="preserve"> le degré de participation requis est établi</w:t>
      </w:r>
      <w:r w:rsidR="00014ED7">
        <w:rPr>
          <w:lang w:val="fr-CA"/>
        </w:rPr>
        <w:t xml:space="preserve"> ou non</w:t>
      </w:r>
      <w:r w:rsidRPr="00FE4BFA">
        <w:rPr>
          <w:lang w:val="fr-CA"/>
        </w:rPr>
        <w:t>.</w:t>
      </w:r>
    </w:p>
    <w:p w:rsidR="00454BD3" w:rsidRPr="00FE4BFA" w:rsidRDefault="00454BD3" w:rsidP="00454BD3">
      <w:pPr>
        <w:pStyle w:val="ContinueParaSuitedupar-AltP"/>
        <w:rPr>
          <w:rFonts w:cs="Times New Roman"/>
          <w:lang w:val="fr-CA"/>
        </w:rPr>
      </w:pPr>
      <w:r w:rsidRPr="00FE4BFA">
        <w:rPr>
          <w:rFonts w:cs="Times New Roman"/>
          <w:lang w:val="fr-CA"/>
        </w:rPr>
        <w:t>L’analyse du contexte en entier englobe nécessairement les moyens de défense opposables, y compris celui fondé sur la contrainte, dont nous avons fait état.</w:t>
      </w:r>
    </w:p>
    <w:p w:rsidR="00454BD3" w:rsidRPr="00FE4BFA" w:rsidRDefault="00454BD3" w:rsidP="002B4A79">
      <w:pPr>
        <w:pStyle w:val="TitleTitre-AltT"/>
        <w:tabs>
          <w:tab w:val="clear" w:pos="360"/>
          <w:tab w:val="left" w:pos="540"/>
        </w:tabs>
        <w:ind w:left="540" w:hanging="540"/>
        <w:rPr>
          <w:rFonts w:cs="Times New Roman"/>
          <w:u w:val="single"/>
          <w:lang w:val="fr-CA"/>
        </w:rPr>
      </w:pPr>
      <w:r w:rsidRPr="00FE4BFA">
        <w:rPr>
          <w:rFonts w:cs="Times New Roman"/>
          <w:lang w:val="fr-CA"/>
        </w:rPr>
        <w:t>K.</w:t>
      </w:r>
      <w:r w:rsidRPr="00FE4BFA">
        <w:rPr>
          <w:rFonts w:cs="Times New Roman"/>
          <w:lang w:val="fr-CA"/>
        </w:rPr>
        <w:tab/>
      </w:r>
      <w:r w:rsidRPr="00FE4BFA">
        <w:rPr>
          <w:rFonts w:cs="Times New Roman"/>
          <w:i/>
          <w:lang w:val="fr-CA"/>
        </w:rPr>
        <w:t>Norme de preuve : raisons sérieuses de penser</w:t>
      </w:r>
      <w:r w:rsidRPr="00FE4BFA">
        <w:rPr>
          <w:rFonts w:cs="Times New Roman"/>
          <w:u w:val="single"/>
          <w:lang w:val="fr-CA"/>
        </w:rPr>
        <w:t xml:space="preserve"> </w:t>
      </w:r>
    </w:p>
    <w:p w:rsidR="00454BD3" w:rsidRPr="00FE4BFA" w:rsidRDefault="00454BD3" w:rsidP="00454BD3">
      <w:pPr>
        <w:pStyle w:val="ParaNoNdepar-AltN"/>
        <w:rPr>
          <w:rFonts w:cs="Times New Roman"/>
          <w:lang w:val="fr-CA"/>
        </w:rPr>
      </w:pPr>
      <w:r w:rsidRPr="00FE4BFA">
        <w:rPr>
          <w:rFonts w:cs="Times New Roman"/>
          <w:lang w:val="fr-CA"/>
        </w:rPr>
        <w:t>Enfin, la norme de preuve particulière établie à l’art. 1F</w:t>
      </w:r>
      <w:r w:rsidRPr="00FE4BFA">
        <w:rPr>
          <w:rFonts w:cs="Times New Roman"/>
          <w:i/>
          <w:lang w:val="fr-CA"/>
        </w:rPr>
        <w:t>a</w:t>
      </w:r>
      <w:r w:rsidRPr="00FE4BFA">
        <w:rPr>
          <w:rFonts w:cs="Times New Roman"/>
          <w:lang w:val="fr-CA"/>
        </w:rPr>
        <w:t xml:space="preserve">) de la </w:t>
      </w:r>
      <w:r w:rsidRPr="00FE4BFA">
        <w:rPr>
          <w:rFonts w:cs="Times New Roman"/>
          <w:i/>
          <w:lang w:val="fr-CA"/>
        </w:rPr>
        <w:t>Convention</w:t>
      </w:r>
      <w:r w:rsidRPr="00FE4BFA">
        <w:rPr>
          <w:rFonts w:cs="Times New Roman"/>
          <w:lang w:val="fr-CA"/>
        </w:rPr>
        <w:t xml:space="preserve"> </w:t>
      </w:r>
      <w:r w:rsidRPr="00FE4BFA">
        <w:rPr>
          <w:rFonts w:cs="Times New Roman"/>
          <w:i/>
          <w:lang w:val="fr-CA"/>
        </w:rPr>
        <w:t xml:space="preserve">relative aux réfugiés </w:t>
      </w:r>
      <w:r w:rsidRPr="00FE4BFA">
        <w:rPr>
          <w:rFonts w:cs="Times New Roman"/>
          <w:lang w:val="fr-CA"/>
        </w:rPr>
        <w:t>s’applique pour déterminer s’il y a ou non complicité découlant de la contribution suivant le critère énoncé précédemment.  Rappelons que la Commission ne statue pas sur la culpabilité.  Ses décisions de refus d’asile ne sont donc pas fondées sur une preuve établie hors de tout doute raisonnable ou selon la norme de la prépondérance des probabilités généralement applicable en matière civile.  L’article 1F</w:t>
      </w:r>
      <w:r w:rsidRPr="00FE4BFA">
        <w:rPr>
          <w:rFonts w:cs="Times New Roman"/>
          <w:i/>
          <w:lang w:val="fr-CA"/>
        </w:rPr>
        <w:t>a</w:t>
      </w:r>
      <w:r w:rsidRPr="00FE4BFA">
        <w:rPr>
          <w:rFonts w:cs="Times New Roman"/>
          <w:lang w:val="fr-CA"/>
        </w:rPr>
        <w:t>) demande plutôt à la Commission de décider s’il existe ou non des « raisons sérieuses de penser » que le demandeur a commis un crime de guerre, un crime contre l’humanité ou un crime contre la paix.  Au chapitre de l’application de la norme de preuve</w:t>
      </w:r>
      <w:r w:rsidR="002B4A79">
        <w:rPr>
          <w:rFonts w:cs="Times New Roman"/>
          <w:lang w:val="fr-CA"/>
        </w:rPr>
        <w:t>, nous souscrivons aux motifs du</w:t>
      </w:r>
      <w:r w:rsidRPr="00FE4BFA">
        <w:rPr>
          <w:rFonts w:cs="Times New Roman"/>
          <w:lang w:val="fr-CA"/>
        </w:rPr>
        <w:t xml:space="preserve"> lord </w:t>
      </w:r>
      <w:r w:rsidR="002B4A79">
        <w:rPr>
          <w:rFonts w:cs="Times New Roman"/>
          <w:lang w:val="fr-CA"/>
        </w:rPr>
        <w:t xml:space="preserve">juge </w:t>
      </w:r>
      <w:r w:rsidRPr="00FE4BFA">
        <w:rPr>
          <w:rFonts w:cs="Times New Roman"/>
          <w:lang w:val="fr-CA"/>
        </w:rPr>
        <w:t xml:space="preserve">Brown dans </w:t>
      </w:r>
      <w:r w:rsidRPr="00FE4BFA">
        <w:rPr>
          <w:rFonts w:cs="Times New Roman"/>
          <w:i/>
          <w:lang w:val="fr-CA"/>
        </w:rPr>
        <w:t>J.S</w:t>
      </w:r>
      <w:r w:rsidRPr="002B4A79">
        <w:rPr>
          <w:rFonts w:cs="Times New Roman"/>
          <w:i/>
          <w:lang w:val="fr-CA"/>
        </w:rPr>
        <w:t>.</w:t>
      </w:r>
      <w:r w:rsidRPr="00FE4BFA">
        <w:rPr>
          <w:rFonts w:cs="Times New Roman"/>
          <w:lang w:val="fr-CA"/>
        </w:rPr>
        <w:t>, par. 39</w:t>
      </w:r>
      <w:r w:rsidR="002B4A79">
        <w:rPr>
          <w:rFonts w:cs="Times New Roman"/>
          <w:lang w:val="fr-CA"/>
        </w:rPr>
        <w:t xml:space="preserve"> </w:t>
      </w:r>
      <w:r w:rsidRPr="00FE4BFA">
        <w:rPr>
          <w:rFonts w:cs="Times New Roman"/>
          <w:lang w:val="fr-CA"/>
        </w:rPr>
        <w:t>:</w:t>
      </w:r>
    </w:p>
    <w:p w:rsidR="00454BD3" w:rsidRPr="00FE4BFA" w:rsidRDefault="00454BD3" w:rsidP="00A3721C">
      <w:pPr>
        <w:pStyle w:val="Citation-AltC"/>
        <w:tabs>
          <w:tab w:val="left" w:pos="1710"/>
        </w:tabs>
        <w:spacing w:after="240"/>
        <w:ind w:hanging="1166"/>
        <w:contextualSpacing w:val="0"/>
        <w:rPr>
          <w:lang w:val="fr-CA"/>
        </w:rPr>
      </w:pPr>
      <w:r w:rsidRPr="00FE4BFA">
        <w:rPr>
          <w:lang w:val="fr-CA"/>
        </w:rPr>
        <w:lastRenderedPageBreak/>
        <w:tab/>
      </w:r>
      <w:r w:rsidR="00A3721C">
        <w:rPr>
          <w:lang w:val="fr-CA"/>
        </w:rPr>
        <w:tab/>
      </w:r>
      <w:r w:rsidRPr="00FE4BFA">
        <w:rPr>
          <w:lang w:val="fr-CA"/>
        </w:rPr>
        <w:t>[</w:t>
      </w:r>
      <w:r w:rsidRPr="00FE4BFA">
        <w:rPr>
          <w:smallCaps/>
          <w:lang w:val="fr-CA"/>
        </w:rPr>
        <w:t>traduction</w:t>
      </w:r>
      <w:r w:rsidRPr="00FE4BFA">
        <w:rPr>
          <w:lang w:val="fr-CA"/>
        </w:rPr>
        <w:t xml:space="preserve">]  Il me paraît vain de s’étendre sur la mention à l’art. 1F de « raisons sérieuses de penser » que le demandeur d’asile a commis un crime de guerre.  De toute évidence, dans </w:t>
      </w:r>
      <w:r w:rsidRPr="00FE4BFA">
        <w:rPr>
          <w:i/>
          <w:iCs/>
          <w:lang w:val="fr-CA"/>
        </w:rPr>
        <w:t xml:space="preserve">Gurung </w:t>
      </w:r>
      <w:r w:rsidRPr="00FE4BFA">
        <w:rPr>
          <w:iCs/>
          <w:lang w:val="fr-CA"/>
        </w:rPr>
        <w:t xml:space="preserve">[2003] Imm AR 115 </w:t>
      </w:r>
      <w:r w:rsidRPr="00FE4BFA">
        <w:rPr>
          <w:lang w:val="fr-CA"/>
        </w:rPr>
        <w:t xml:space="preserve">(à la fin du par. 109), le tribunal insiste avec raison sur « la norme de preuve moins stricte qui vaut dans une affaire d’exclusion de la protection », une norme moins stricte que celle applicable dans un procès pour crime de guerre.  Cela dit, les mots « raisons sérieuses de penser » emportent certainement l’application d’un critère plus strict en la matière que, par exemple, les termes « motifs raisonnables de soupçonner ».  Le sens du verbe « penser » se rapproche davantage du fait de « croire » que du fait de « soupçonner ».  J’incline à convenir avec le lord juge Sedley, qui se prononce dans </w:t>
      </w:r>
      <w:r w:rsidRPr="00FE4BFA">
        <w:rPr>
          <w:i/>
          <w:iCs/>
          <w:lang w:val="fr-CA"/>
        </w:rPr>
        <w:t>Al</w:t>
      </w:r>
      <w:r w:rsidRPr="00FE4BFA">
        <w:rPr>
          <w:i/>
          <w:iCs/>
          <w:lang w:val="fr-CA"/>
        </w:rPr>
        <w:noBreakHyphen/>
        <w:t xml:space="preserve">Sirri </w:t>
      </w:r>
      <w:r w:rsidR="00A3721C">
        <w:rPr>
          <w:i/>
          <w:iCs/>
          <w:lang w:val="fr-CA"/>
        </w:rPr>
        <w:t>c</w:t>
      </w:r>
      <w:r w:rsidR="00285A03">
        <w:rPr>
          <w:i/>
          <w:iCs/>
          <w:lang w:val="fr-CA"/>
        </w:rPr>
        <w:t>.</w:t>
      </w:r>
      <w:r w:rsidRPr="00FE4BFA">
        <w:rPr>
          <w:i/>
          <w:iCs/>
          <w:lang w:val="fr-CA"/>
        </w:rPr>
        <w:t xml:space="preserve"> Secretary of State for the Home Department</w:t>
      </w:r>
      <w:r w:rsidRPr="00FE4BFA">
        <w:rPr>
          <w:lang w:val="fr-CA"/>
        </w:rPr>
        <w:t xml:space="preserve"> [2009] Imm AR 624, par. 33 :</w:t>
      </w:r>
    </w:p>
    <w:p w:rsidR="00454BD3" w:rsidRPr="00FE4BFA" w:rsidRDefault="00454BD3" w:rsidP="00454BD3">
      <w:pPr>
        <w:pStyle w:val="Citation-AltC"/>
        <w:ind w:left="1620" w:hanging="1620"/>
        <w:contextualSpacing w:val="0"/>
        <w:rPr>
          <w:lang w:val="fr-CA"/>
        </w:rPr>
      </w:pPr>
      <w:r w:rsidRPr="00FE4BFA">
        <w:rPr>
          <w:lang w:val="fr-CA"/>
        </w:rPr>
        <w:tab/>
      </w:r>
      <w:r w:rsidR="00A3721C">
        <w:rPr>
          <w:lang w:val="fr-CA"/>
        </w:rPr>
        <w:tab/>
      </w:r>
      <w:r w:rsidR="00B86182">
        <w:rPr>
          <w:lang w:val="fr-CA"/>
        </w:rPr>
        <w:t>« [L</w:t>
      </w:r>
      <w:r w:rsidRPr="00FE4BFA">
        <w:rPr>
          <w:lang w:val="fr-CA"/>
        </w:rPr>
        <w:t xml:space="preserve">’expression utilisée] établit une norme plus stricte et il doit y avoir plus qu’un soupçon.  Pour le reste, on s’efforce à tort de paraphraser le libellé clair de la </w:t>
      </w:r>
      <w:r w:rsidRPr="00A3721C">
        <w:rPr>
          <w:lang w:val="fr-CA"/>
        </w:rPr>
        <w:t>Convention</w:t>
      </w:r>
      <w:r w:rsidRPr="00FE4BFA">
        <w:rPr>
          <w:lang w:val="fr-CA"/>
        </w:rPr>
        <w:t> : celle</w:t>
      </w:r>
      <w:r w:rsidRPr="00FE4BFA">
        <w:rPr>
          <w:lang w:val="fr-CA"/>
        </w:rPr>
        <w:noBreakHyphen/>
        <w:t>ci doit être interprétée en fonction de son libellé.</w:t>
      </w:r>
      <w:r w:rsidR="00A3721C">
        <w:rPr>
          <w:lang w:val="fr-CA"/>
        </w:rPr>
        <w:t> »</w:t>
      </w:r>
    </w:p>
    <w:p w:rsidR="00454BD3" w:rsidRPr="00FE4BFA" w:rsidRDefault="00454BD3" w:rsidP="00454BD3">
      <w:pPr>
        <w:pStyle w:val="ParaNoNdepar-AltN"/>
        <w:rPr>
          <w:rFonts w:cs="Times New Roman"/>
          <w:lang w:val="fr-CA"/>
        </w:rPr>
      </w:pPr>
      <w:r w:rsidRPr="00FE4BFA">
        <w:rPr>
          <w:rFonts w:cs="Times New Roman"/>
          <w:lang w:val="fr-CA"/>
        </w:rPr>
        <w:t xml:space="preserve">À notre avis, cette norme de preuve particulière est appropriée eu égard au rôle de la Commission et à la réalité d’un refus d’asile dont nous faisons état dans les présents motifs.  Toutefois, elle ne justifie pas un assouplissement des principes fondamentaux du droit pénal qui reconnaîtrait la complicité par association.  </w:t>
      </w:r>
    </w:p>
    <w:p w:rsidR="00454BD3" w:rsidRPr="00FE4BFA" w:rsidRDefault="00454BD3" w:rsidP="00454BD3">
      <w:pPr>
        <w:pStyle w:val="TitleTitre-AltT"/>
        <w:rPr>
          <w:rFonts w:cs="Times New Roman"/>
          <w:lang w:val="fr-CA"/>
        </w:rPr>
      </w:pPr>
      <w:r w:rsidRPr="00FE4BFA">
        <w:rPr>
          <w:rFonts w:cs="Times New Roman"/>
          <w:lang w:val="fr-CA"/>
        </w:rPr>
        <w:t>III.</w:t>
      </w:r>
      <w:r w:rsidRPr="00FE4BFA">
        <w:rPr>
          <w:rFonts w:cs="Times New Roman"/>
          <w:lang w:val="fr-CA"/>
        </w:rPr>
        <w:tab/>
      </w:r>
      <w:r w:rsidRPr="00FE4BFA">
        <w:rPr>
          <w:rFonts w:cs="Times New Roman"/>
          <w:u w:val="single"/>
          <w:lang w:val="fr-CA"/>
        </w:rPr>
        <w:t>Conclusion</w:t>
      </w:r>
    </w:p>
    <w:p w:rsidR="00053021" w:rsidRPr="00454BD3" w:rsidRDefault="00454BD3" w:rsidP="002C3443">
      <w:pPr>
        <w:pStyle w:val="ParaNoNdepar-AltN"/>
        <w:rPr>
          <w:lang w:val="fr-CA"/>
        </w:rPr>
      </w:pPr>
      <w:r w:rsidRPr="00454BD3">
        <w:rPr>
          <w:rFonts w:cs="Times New Roman"/>
          <w:lang w:val="fr-CA"/>
        </w:rPr>
        <w:t xml:space="preserve">Pour les motifs qui précèdent, nous sommes d’avis d’accueillir le pourvoi avec dépens devant toutes les cours et de renvoyer l’affaire à la Section de la protection des réfugiés de la Commission de l’immigration et du statut de réfugié pour qu’elle rende une nouvelle décision conformément aux présents motifs.  Pour déterminer s’il y a eu complicité ou non, la nouvelle formation appliquera le critère fondé sur la contribution exposé précédemment.  Elle se livrera à un examen </w:t>
      </w:r>
      <w:r w:rsidRPr="00454BD3">
        <w:rPr>
          <w:rFonts w:cs="Times New Roman"/>
          <w:lang w:val="fr-CA"/>
        </w:rPr>
        <w:lastRenderedPageBreak/>
        <w:t>approfondi afin de déterminer si les faits particuliers de l’espèce établissent l’existence de l’</w:t>
      </w:r>
      <w:r w:rsidRPr="00454BD3">
        <w:rPr>
          <w:rFonts w:cs="Times New Roman"/>
          <w:i/>
          <w:lang w:val="fr-CA"/>
        </w:rPr>
        <w:t xml:space="preserve">actus reus </w:t>
      </w:r>
      <w:r w:rsidRPr="00454BD3">
        <w:rPr>
          <w:rFonts w:cs="Times New Roman"/>
          <w:lang w:val="fr-CA"/>
        </w:rPr>
        <w:t xml:space="preserve">et de la </w:t>
      </w:r>
      <w:r w:rsidRPr="00454BD3">
        <w:rPr>
          <w:rFonts w:cs="Times New Roman"/>
          <w:i/>
          <w:lang w:val="fr-CA"/>
        </w:rPr>
        <w:t>mens rea</w:t>
      </w:r>
      <w:r w:rsidRPr="00454BD3">
        <w:rPr>
          <w:rFonts w:cs="Times New Roman"/>
          <w:lang w:val="fr-CA"/>
        </w:rPr>
        <w:t xml:space="preserve"> de la complicité et justifient ainsi le refus à l’appelant de la protection des réfugiés par application de l’art. 1F</w:t>
      </w:r>
      <w:r w:rsidRPr="00454BD3">
        <w:rPr>
          <w:rFonts w:cs="Times New Roman"/>
          <w:i/>
          <w:lang w:val="fr-CA"/>
        </w:rPr>
        <w:t>a</w:t>
      </w:r>
      <w:r w:rsidRPr="00454BD3">
        <w:rPr>
          <w:rFonts w:cs="Times New Roman"/>
          <w:lang w:val="fr-CA"/>
        </w:rPr>
        <w:t xml:space="preserve">) de la </w:t>
      </w:r>
      <w:r w:rsidRPr="00454BD3">
        <w:rPr>
          <w:rFonts w:cs="Times New Roman"/>
          <w:i/>
          <w:lang w:val="fr-CA"/>
        </w:rPr>
        <w:t>Convention relative aux réfugiés</w:t>
      </w:r>
      <w:r w:rsidRPr="00454BD3">
        <w:rPr>
          <w:rFonts w:cs="Times New Roman"/>
          <w:lang w:val="fr-CA"/>
        </w:rPr>
        <w:t xml:space="preserve">.  </w:t>
      </w:r>
    </w:p>
    <w:p w:rsidR="004D7D95" w:rsidRPr="00C34731" w:rsidRDefault="004D7D95" w:rsidP="002C3443">
      <w:pPr>
        <w:pStyle w:val="SCCNormalDoubleSpacing"/>
        <w:spacing w:after="480"/>
        <w:rPr>
          <w:i/>
          <w:lang w:val="fr-CA"/>
        </w:rPr>
      </w:pPr>
      <w:r w:rsidRPr="00C34731">
        <w:rPr>
          <w:lang w:val="fr-CA"/>
        </w:rPr>
        <w:tab/>
      </w:r>
      <w:r w:rsidR="00374E26" w:rsidRPr="00C34731">
        <w:rPr>
          <w:i/>
          <w:lang w:val="fr-CA"/>
        </w:rPr>
        <w:t xml:space="preserve">Pourvoi </w:t>
      </w:r>
      <w:r w:rsidR="00830522" w:rsidRPr="00C34731">
        <w:rPr>
          <w:i/>
          <w:lang w:val="fr-CA"/>
        </w:rPr>
        <w:t>accueilli</w:t>
      </w:r>
      <w:r w:rsidR="002F42E8" w:rsidRPr="00C34731">
        <w:rPr>
          <w:i/>
          <w:lang w:val="fr-CA"/>
        </w:rPr>
        <w:t xml:space="preserve"> avec dépens devant toutes les cours</w:t>
      </w:r>
      <w:r w:rsidR="00374E26" w:rsidRPr="00C34731">
        <w:rPr>
          <w:i/>
          <w:lang w:val="fr-CA"/>
        </w:rPr>
        <w:t>.</w:t>
      </w:r>
    </w:p>
    <w:p w:rsidR="00374E26" w:rsidRPr="00C34731" w:rsidRDefault="002C3443" w:rsidP="002C3443">
      <w:pPr>
        <w:pStyle w:val="SCCLawFirm"/>
        <w:spacing w:after="480"/>
        <w:rPr>
          <w:lang w:val="fr-CA"/>
        </w:rPr>
      </w:pPr>
      <w:r w:rsidRPr="00C34731">
        <w:rPr>
          <w:lang w:val="fr-CA"/>
        </w:rPr>
        <w:tab/>
        <w:t>Procureurs de l</w:t>
      </w:r>
      <w:r w:rsidR="008E2843">
        <w:rPr>
          <w:lang w:val="fr-CA"/>
        </w:rPr>
        <w:t>’</w:t>
      </w:r>
      <w:r w:rsidRPr="00C34731">
        <w:rPr>
          <w:lang w:val="fr-CA"/>
        </w:rPr>
        <w:t>appelant</w:t>
      </w:r>
      <w:r w:rsidR="00706DB5" w:rsidRPr="00C34731">
        <w:rPr>
          <w:lang w:val="fr-CA"/>
        </w:rPr>
        <w:t> :</w:t>
      </w:r>
      <w:r w:rsidRPr="00C34731">
        <w:rPr>
          <w:lang w:val="fr-CA"/>
        </w:rPr>
        <w:t> </w:t>
      </w:r>
      <w:r w:rsidR="00374E26" w:rsidRPr="00C34731">
        <w:rPr>
          <w:lang w:val="fr-CA"/>
        </w:rPr>
        <w:t>Jared Will, Montréal; Boisclair &amp; Legault, Montréal; Peter Shams, Montréal.</w:t>
      </w:r>
    </w:p>
    <w:p w:rsidR="00374E26" w:rsidRPr="00C34731" w:rsidRDefault="002C3443" w:rsidP="002C3443">
      <w:pPr>
        <w:pStyle w:val="SCCLawFirm"/>
        <w:spacing w:after="480"/>
        <w:rPr>
          <w:lang w:val="fr-CA"/>
        </w:rPr>
      </w:pPr>
      <w:r w:rsidRPr="00C34731">
        <w:rPr>
          <w:lang w:val="fr-CA"/>
        </w:rPr>
        <w:tab/>
        <w:t>Procureur de l</w:t>
      </w:r>
      <w:r w:rsidR="008E2843">
        <w:rPr>
          <w:lang w:val="fr-CA"/>
        </w:rPr>
        <w:t>’</w:t>
      </w:r>
      <w:r w:rsidRPr="00C34731">
        <w:rPr>
          <w:lang w:val="fr-CA"/>
        </w:rPr>
        <w:t>intimé</w:t>
      </w:r>
      <w:r w:rsidR="00706DB5" w:rsidRPr="00C34731">
        <w:rPr>
          <w:lang w:val="fr-CA"/>
        </w:rPr>
        <w:t> :</w:t>
      </w:r>
      <w:r w:rsidRPr="00C34731">
        <w:rPr>
          <w:lang w:val="fr-CA"/>
        </w:rPr>
        <w:t> </w:t>
      </w:r>
      <w:r w:rsidR="00374E26" w:rsidRPr="00C34731">
        <w:rPr>
          <w:lang w:val="fr-CA"/>
        </w:rPr>
        <w:t>Procureur général du Canada, Montréal.</w:t>
      </w:r>
    </w:p>
    <w:p w:rsidR="00374E26" w:rsidRPr="00C34731" w:rsidRDefault="00374E26" w:rsidP="002C3443">
      <w:pPr>
        <w:pStyle w:val="SCCLawFirm"/>
        <w:spacing w:after="480"/>
        <w:rPr>
          <w:lang w:val="fr-CA"/>
        </w:rPr>
      </w:pPr>
      <w:r w:rsidRPr="00C34731">
        <w:rPr>
          <w:lang w:val="fr-CA"/>
        </w:rPr>
        <w:tab/>
        <w:t>Procureurs de l</w:t>
      </w:r>
      <w:r w:rsidR="008E2843">
        <w:rPr>
          <w:lang w:val="fr-CA"/>
        </w:rPr>
        <w:t>’</w:t>
      </w:r>
      <w:r w:rsidRPr="00C34731">
        <w:rPr>
          <w:lang w:val="fr-CA"/>
        </w:rPr>
        <w:t>intervenant le Haut Commissariat des Na</w:t>
      </w:r>
      <w:r w:rsidR="002C3443" w:rsidRPr="00C34731">
        <w:rPr>
          <w:lang w:val="fr-CA"/>
        </w:rPr>
        <w:t>tions Unies pour les réfugiés</w:t>
      </w:r>
      <w:r w:rsidR="00706DB5" w:rsidRPr="00C34731">
        <w:rPr>
          <w:lang w:val="fr-CA"/>
        </w:rPr>
        <w:t> :</w:t>
      </w:r>
      <w:r w:rsidR="002C3443" w:rsidRPr="00C34731">
        <w:rPr>
          <w:lang w:val="fr-CA"/>
        </w:rPr>
        <w:t> </w:t>
      </w:r>
      <w:r w:rsidRPr="00C34731">
        <w:rPr>
          <w:lang w:val="fr-CA"/>
        </w:rPr>
        <w:t>Waldman &amp; Associates, Toronto; Haut Commissariat des Nations Unies pour les réfugiés, Toronto.</w:t>
      </w:r>
    </w:p>
    <w:p w:rsidR="00374E26" w:rsidRPr="00C34731" w:rsidRDefault="00374E26" w:rsidP="002C3443">
      <w:pPr>
        <w:pStyle w:val="SCCLawFirm"/>
        <w:spacing w:after="480"/>
        <w:rPr>
          <w:lang w:val="fr-CA"/>
        </w:rPr>
      </w:pPr>
      <w:r w:rsidRPr="00C34731">
        <w:rPr>
          <w:lang w:val="fr-CA"/>
        </w:rPr>
        <w:tab/>
        <w:t>Procureurs de l</w:t>
      </w:r>
      <w:r w:rsidR="008E2843">
        <w:rPr>
          <w:lang w:val="fr-CA"/>
        </w:rPr>
        <w:t>’</w:t>
      </w:r>
      <w:r w:rsidRPr="00C34731">
        <w:rPr>
          <w:lang w:val="fr-CA"/>
        </w:rPr>
        <w:t>interve</w:t>
      </w:r>
      <w:r w:rsidR="002C3443" w:rsidRPr="00C34731">
        <w:rPr>
          <w:lang w:val="fr-CA"/>
        </w:rPr>
        <w:t>nante Amnistie Internationale</w:t>
      </w:r>
      <w:r w:rsidR="00706DB5" w:rsidRPr="00C34731">
        <w:rPr>
          <w:lang w:val="fr-CA"/>
        </w:rPr>
        <w:t> :</w:t>
      </w:r>
      <w:r w:rsidR="002C3443" w:rsidRPr="00C34731">
        <w:rPr>
          <w:lang w:val="fr-CA"/>
        </w:rPr>
        <w:t> </w:t>
      </w:r>
      <w:r w:rsidRPr="00C34731">
        <w:rPr>
          <w:lang w:val="fr-CA"/>
        </w:rPr>
        <w:t>Services juridiques communautaires du Centre d</w:t>
      </w:r>
      <w:r w:rsidR="008E2843">
        <w:rPr>
          <w:lang w:val="fr-CA"/>
        </w:rPr>
        <w:t>’</w:t>
      </w:r>
      <w:r w:rsidRPr="00C34731">
        <w:rPr>
          <w:lang w:val="fr-CA"/>
        </w:rPr>
        <w:t>Ottawa, Ottawa; Services juridiques communautaires du Sud d</w:t>
      </w:r>
      <w:r w:rsidR="008E2843">
        <w:rPr>
          <w:lang w:val="fr-CA"/>
        </w:rPr>
        <w:t>’</w:t>
      </w:r>
      <w:r w:rsidRPr="00C34731">
        <w:rPr>
          <w:lang w:val="fr-CA"/>
        </w:rPr>
        <w:t>Ottawa, Ottawa.</w:t>
      </w:r>
    </w:p>
    <w:p w:rsidR="00374E26" w:rsidRPr="00C34731" w:rsidRDefault="00374E26" w:rsidP="002C3443">
      <w:pPr>
        <w:pStyle w:val="SCCLawFirm"/>
        <w:spacing w:after="480"/>
      </w:pPr>
      <w:r w:rsidRPr="00C34731">
        <w:rPr>
          <w:lang w:val="fr-CA"/>
        </w:rPr>
        <w:tab/>
      </w:r>
      <w:r w:rsidRPr="00C34731">
        <w:t>Procureurs des intervenants le Centre canadien pour la justice internationale et International Human Rights Program at the Univers</w:t>
      </w:r>
      <w:r w:rsidR="002C3443" w:rsidRPr="00C34731">
        <w:t>ity of Toronto Faculty of Law</w:t>
      </w:r>
      <w:r w:rsidR="00706DB5" w:rsidRPr="00C34731">
        <w:t> :</w:t>
      </w:r>
      <w:r w:rsidR="002C3443" w:rsidRPr="00C34731">
        <w:t> </w:t>
      </w:r>
      <w:r w:rsidRPr="00C34731">
        <w:t>Torys, Toronto; University of Toronto, Toronto.</w:t>
      </w:r>
    </w:p>
    <w:p w:rsidR="00374E26" w:rsidRPr="00C34731" w:rsidRDefault="00374E26" w:rsidP="002C3443">
      <w:pPr>
        <w:pStyle w:val="SCCLawFirm"/>
        <w:spacing w:after="480"/>
        <w:rPr>
          <w:lang w:val="fr-CA"/>
        </w:rPr>
      </w:pPr>
      <w:r w:rsidRPr="00C34731">
        <w:lastRenderedPageBreak/>
        <w:tab/>
      </w:r>
      <w:r w:rsidRPr="00C34731">
        <w:rPr>
          <w:lang w:val="fr-CA"/>
        </w:rPr>
        <w:t>Procureur de l</w:t>
      </w:r>
      <w:r w:rsidR="008E2843">
        <w:rPr>
          <w:lang w:val="fr-CA"/>
        </w:rPr>
        <w:t>’</w:t>
      </w:r>
      <w:r w:rsidRPr="00C34731">
        <w:rPr>
          <w:lang w:val="fr-CA"/>
        </w:rPr>
        <w:t>intervenant le Conse</w:t>
      </w:r>
      <w:r w:rsidR="002C3443" w:rsidRPr="00C34731">
        <w:rPr>
          <w:lang w:val="fr-CA"/>
        </w:rPr>
        <w:t>il canadien pour les réfugiés</w:t>
      </w:r>
      <w:r w:rsidR="00706DB5" w:rsidRPr="00C34731">
        <w:rPr>
          <w:lang w:val="fr-CA"/>
        </w:rPr>
        <w:t> :</w:t>
      </w:r>
      <w:r w:rsidR="002C3443" w:rsidRPr="00C34731">
        <w:rPr>
          <w:lang w:val="fr-CA"/>
        </w:rPr>
        <w:t> </w:t>
      </w:r>
      <w:r w:rsidR="001A6134" w:rsidRPr="00C34731">
        <w:rPr>
          <w:lang w:val="fr-CA"/>
        </w:rPr>
        <w:t>University of British </w:t>
      </w:r>
      <w:r w:rsidRPr="00C34731">
        <w:rPr>
          <w:lang w:val="fr-CA"/>
        </w:rPr>
        <w:t>Columbia, Vancouver.</w:t>
      </w:r>
    </w:p>
    <w:p w:rsidR="00374E26" w:rsidRPr="00C34731" w:rsidRDefault="00374E26" w:rsidP="002C3443">
      <w:pPr>
        <w:pStyle w:val="SCCLawFirm"/>
        <w:spacing w:after="480"/>
        <w:rPr>
          <w:lang w:val="fr-CA"/>
        </w:rPr>
      </w:pPr>
      <w:r w:rsidRPr="00C34731">
        <w:rPr>
          <w:lang w:val="fr-CA"/>
        </w:rPr>
        <w:tab/>
        <w:t>Procureur de l</w:t>
      </w:r>
      <w:r w:rsidR="008E2843">
        <w:rPr>
          <w:lang w:val="fr-CA"/>
        </w:rPr>
        <w:t>’</w:t>
      </w:r>
      <w:r w:rsidRPr="00C34731">
        <w:rPr>
          <w:lang w:val="fr-CA"/>
        </w:rPr>
        <w:t>intervenante l</w:t>
      </w:r>
      <w:r w:rsidR="008E2843">
        <w:rPr>
          <w:lang w:val="fr-CA"/>
        </w:rPr>
        <w:t>’</w:t>
      </w:r>
      <w:r w:rsidRPr="00C34731">
        <w:rPr>
          <w:lang w:val="fr-CA"/>
        </w:rPr>
        <w:t>Association ca</w:t>
      </w:r>
      <w:r w:rsidR="002C3443" w:rsidRPr="00C34731">
        <w:rPr>
          <w:lang w:val="fr-CA"/>
        </w:rPr>
        <w:t>nadienne des libertés civiles</w:t>
      </w:r>
      <w:r w:rsidR="00706DB5" w:rsidRPr="00C34731">
        <w:rPr>
          <w:lang w:val="fr-CA"/>
        </w:rPr>
        <w:t> :</w:t>
      </w:r>
      <w:r w:rsidR="002C3443" w:rsidRPr="00C34731">
        <w:rPr>
          <w:lang w:val="fr-CA"/>
        </w:rPr>
        <w:t> </w:t>
      </w:r>
      <w:r w:rsidRPr="00C34731">
        <w:rPr>
          <w:lang w:val="fr-CA"/>
        </w:rPr>
        <w:t>Association canadienne des libertés civiles, Toronto.</w:t>
      </w:r>
    </w:p>
    <w:p w:rsidR="009B57B3" w:rsidRDefault="00374E26" w:rsidP="00053021">
      <w:pPr>
        <w:pStyle w:val="SCCItalic"/>
        <w:rPr>
          <w:b/>
          <w:i w:val="0"/>
          <w:lang w:val="fr-CA"/>
        </w:rPr>
      </w:pPr>
      <w:r w:rsidRPr="00C34731">
        <w:rPr>
          <w:lang w:val="fr-CA"/>
        </w:rPr>
        <w:tab/>
        <w:t>Procureurs de l</w:t>
      </w:r>
      <w:r w:rsidR="008E2843">
        <w:rPr>
          <w:lang w:val="fr-CA"/>
        </w:rPr>
        <w:t>’</w:t>
      </w:r>
      <w:r w:rsidRPr="00C34731">
        <w:rPr>
          <w:lang w:val="fr-CA"/>
        </w:rPr>
        <w:t>intervenante l</w:t>
      </w:r>
      <w:r w:rsidR="008E2843">
        <w:rPr>
          <w:lang w:val="fr-CA"/>
        </w:rPr>
        <w:t>’</w:t>
      </w:r>
      <w:r w:rsidRPr="00C34731">
        <w:rPr>
          <w:lang w:val="fr-CA"/>
        </w:rPr>
        <w:t>Association canadienne des avocats et avocates en droit des réfugiés</w:t>
      </w:r>
      <w:r w:rsidR="00706DB5" w:rsidRPr="00C34731">
        <w:rPr>
          <w:lang w:val="fr-CA"/>
        </w:rPr>
        <w:t> :</w:t>
      </w:r>
      <w:r w:rsidR="002C3443" w:rsidRPr="00C34731">
        <w:rPr>
          <w:lang w:val="fr-CA"/>
        </w:rPr>
        <w:t> </w:t>
      </w:r>
      <w:r w:rsidRPr="00C34731">
        <w:rPr>
          <w:lang w:val="fr-CA"/>
        </w:rPr>
        <w:t>Université d</w:t>
      </w:r>
      <w:r w:rsidR="008E2843">
        <w:rPr>
          <w:lang w:val="fr-CA"/>
        </w:rPr>
        <w:t>’</w:t>
      </w:r>
      <w:r w:rsidRPr="00C34731">
        <w:rPr>
          <w:lang w:val="fr-CA"/>
        </w:rPr>
        <w:t>Ottawa, Ottawa; Refugee Law Office, Toronto.</w:t>
      </w:r>
    </w:p>
    <w:p w:rsidR="00053021" w:rsidRPr="00053021" w:rsidRDefault="00053021" w:rsidP="00053021">
      <w:pPr>
        <w:pStyle w:val="SCCNormalDoubleSpacing"/>
        <w:rPr>
          <w:lang w:val="fr-CA"/>
        </w:rPr>
      </w:pPr>
    </w:p>
    <w:sectPr w:rsidR="00053021" w:rsidRPr="00053021" w:rsidSect="005A4ED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D8" w:rsidRDefault="00CC58D8">
      <w:r>
        <w:separator/>
      </w:r>
    </w:p>
  </w:endnote>
  <w:endnote w:type="continuationSeparator" w:id="0">
    <w:p w:rsidR="00CC58D8" w:rsidRDefault="00CC5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D8" w:rsidRDefault="00CC58D8">
      <w:r>
        <w:separator/>
      </w:r>
    </w:p>
  </w:footnote>
  <w:footnote w:type="continuationSeparator" w:id="0">
    <w:p w:rsidR="00CC58D8" w:rsidRDefault="00CC5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900"/>
      <w:docPartObj>
        <w:docPartGallery w:val="Page Numbers (Top of Page)"/>
        <w:docPartUnique/>
      </w:docPartObj>
    </w:sdtPr>
    <w:sdtContent>
      <w:p w:rsidR="00CC58D8" w:rsidRDefault="00916A27">
        <w:pPr>
          <w:pStyle w:val="Header"/>
          <w:jc w:val="center"/>
        </w:pPr>
        <w:fldSimple w:instr=" PAGE   \* MERGEFORMAT ">
          <w:r w:rsidR="00B96788">
            <w:rPr>
              <w:noProof/>
            </w:rPr>
            <w:t>2</w:t>
          </w:r>
        </w:fldSimple>
      </w:p>
    </w:sdtContent>
  </w:sdt>
  <w:p w:rsidR="00CC58D8" w:rsidRPr="00450352" w:rsidRDefault="00CC58D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98F56B7"/>
    <w:multiLevelType w:val="multilevel"/>
    <w:tmpl w:val="EAD0E1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2"/>
  </w:num>
  <w:num w:numId="8">
    <w:abstractNumId w:val="1"/>
  </w:num>
  <w:num w:numId="9">
    <w:abstractNumId w:val="3"/>
  </w:num>
  <w:num w:numId="10">
    <w:abstractNumId w:val="4"/>
  </w:num>
  <w:num w:numId="11">
    <w:abstractNumId w:val="0"/>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04D3"/>
    <w:rsid w:val="00014ED7"/>
    <w:rsid w:val="00023FC7"/>
    <w:rsid w:val="00025198"/>
    <w:rsid w:val="0002748B"/>
    <w:rsid w:val="00053021"/>
    <w:rsid w:val="000578A3"/>
    <w:rsid w:val="000648CC"/>
    <w:rsid w:val="0009220E"/>
    <w:rsid w:val="000A020F"/>
    <w:rsid w:val="000B104B"/>
    <w:rsid w:val="000C59B8"/>
    <w:rsid w:val="000C6AF0"/>
    <w:rsid w:val="000C6E2B"/>
    <w:rsid w:val="000D0A77"/>
    <w:rsid w:val="000E5B97"/>
    <w:rsid w:val="000F7993"/>
    <w:rsid w:val="00101527"/>
    <w:rsid w:val="00101695"/>
    <w:rsid w:val="00104F33"/>
    <w:rsid w:val="00111DE2"/>
    <w:rsid w:val="00115645"/>
    <w:rsid w:val="00116B38"/>
    <w:rsid w:val="00135406"/>
    <w:rsid w:val="00135972"/>
    <w:rsid w:val="001426A9"/>
    <w:rsid w:val="00146B5D"/>
    <w:rsid w:val="001513D7"/>
    <w:rsid w:val="00154D7C"/>
    <w:rsid w:val="001570B0"/>
    <w:rsid w:val="0015752C"/>
    <w:rsid w:val="00157737"/>
    <w:rsid w:val="00157C97"/>
    <w:rsid w:val="00165277"/>
    <w:rsid w:val="00165648"/>
    <w:rsid w:val="00170592"/>
    <w:rsid w:val="001714DB"/>
    <w:rsid w:val="001720F7"/>
    <w:rsid w:val="00172A10"/>
    <w:rsid w:val="001912DC"/>
    <w:rsid w:val="001933A3"/>
    <w:rsid w:val="00195D83"/>
    <w:rsid w:val="001A00C1"/>
    <w:rsid w:val="001A410C"/>
    <w:rsid w:val="001A5D83"/>
    <w:rsid w:val="001A6134"/>
    <w:rsid w:val="001B33E0"/>
    <w:rsid w:val="001B4573"/>
    <w:rsid w:val="001C779F"/>
    <w:rsid w:val="001D2AC1"/>
    <w:rsid w:val="001D3B60"/>
    <w:rsid w:val="001D4E88"/>
    <w:rsid w:val="001E2EBA"/>
    <w:rsid w:val="001F581E"/>
    <w:rsid w:val="00220FC2"/>
    <w:rsid w:val="002222F4"/>
    <w:rsid w:val="00224728"/>
    <w:rsid w:val="00224FC0"/>
    <w:rsid w:val="00225EA4"/>
    <w:rsid w:val="00226EAF"/>
    <w:rsid w:val="00231F3A"/>
    <w:rsid w:val="00234AA7"/>
    <w:rsid w:val="002406EE"/>
    <w:rsid w:val="00243EC8"/>
    <w:rsid w:val="00264ADC"/>
    <w:rsid w:val="00264C2C"/>
    <w:rsid w:val="00270D93"/>
    <w:rsid w:val="002745CC"/>
    <w:rsid w:val="00285A03"/>
    <w:rsid w:val="00290435"/>
    <w:rsid w:val="002B4A79"/>
    <w:rsid w:val="002B6FBE"/>
    <w:rsid w:val="002B7924"/>
    <w:rsid w:val="002C10A6"/>
    <w:rsid w:val="002C2888"/>
    <w:rsid w:val="002C3443"/>
    <w:rsid w:val="002C6273"/>
    <w:rsid w:val="002D28C3"/>
    <w:rsid w:val="002D39A4"/>
    <w:rsid w:val="002E5D23"/>
    <w:rsid w:val="002E6705"/>
    <w:rsid w:val="002F42E8"/>
    <w:rsid w:val="0030329A"/>
    <w:rsid w:val="00307F21"/>
    <w:rsid w:val="0031086F"/>
    <w:rsid w:val="0031414C"/>
    <w:rsid w:val="00314E01"/>
    <w:rsid w:val="0032089D"/>
    <w:rsid w:val="00320D0F"/>
    <w:rsid w:val="00321278"/>
    <w:rsid w:val="00321C0A"/>
    <w:rsid w:val="00324F6A"/>
    <w:rsid w:val="003310DE"/>
    <w:rsid w:val="003323B0"/>
    <w:rsid w:val="00340A49"/>
    <w:rsid w:val="0035169A"/>
    <w:rsid w:val="0035259D"/>
    <w:rsid w:val="00357BB1"/>
    <w:rsid w:val="00364B18"/>
    <w:rsid w:val="003702D1"/>
    <w:rsid w:val="00374E26"/>
    <w:rsid w:val="003A125D"/>
    <w:rsid w:val="003A4C70"/>
    <w:rsid w:val="003B215F"/>
    <w:rsid w:val="003B63B4"/>
    <w:rsid w:val="003C0959"/>
    <w:rsid w:val="003C799C"/>
    <w:rsid w:val="003D0399"/>
    <w:rsid w:val="003D58F2"/>
    <w:rsid w:val="003E1C71"/>
    <w:rsid w:val="003F327B"/>
    <w:rsid w:val="00406166"/>
    <w:rsid w:val="0040704B"/>
    <w:rsid w:val="00410A55"/>
    <w:rsid w:val="00411300"/>
    <w:rsid w:val="00413F17"/>
    <w:rsid w:val="00415417"/>
    <w:rsid w:val="00426659"/>
    <w:rsid w:val="00450352"/>
    <w:rsid w:val="00454BD3"/>
    <w:rsid w:val="00454BDB"/>
    <w:rsid w:val="00455AC4"/>
    <w:rsid w:val="004635B1"/>
    <w:rsid w:val="00465132"/>
    <w:rsid w:val="00473E64"/>
    <w:rsid w:val="004802D0"/>
    <w:rsid w:val="00480C90"/>
    <w:rsid w:val="00480F60"/>
    <w:rsid w:val="0048396F"/>
    <w:rsid w:val="00493C18"/>
    <w:rsid w:val="004972DB"/>
    <w:rsid w:val="00497A58"/>
    <w:rsid w:val="004A600C"/>
    <w:rsid w:val="004A6118"/>
    <w:rsid w:val="004C3863"/>
    <w:rsid w:val="004C3FA1"/>
    <w:rsid w:val="004C478D"/>
    <w:rsid w:val="004D7D95"/>
    <w:rsid w:val="004E1387"/>
    <w:rsid w:val="004E2C26"/>
    <w:rsid w:val="004F0FDC"/>
    <w:rsid w:val="005125A8"/>
    <w:rsid w:val="005167FA"/>
    <w:rsid w:val="00517549"/>
    <w:rsid w:val="00517E0C"/>
    <w:rsid w:val="00520ABC"/>
    <w:rsid w:val="00521AE8"/>
    <w:rsid w:val="00527180"/>
    <w:rsid w:val="00531C9E"/>
    <w:rsid w:val="00531D4F"/>
    <w:rsid w:val="00532B0B"/>
    <w:rsid w:val="00555291"/>
    <w:rsid w:val="00566AD1"/>
    <w:rsid w:val="00576AB5"/>
    <w:rsid w:val="00583EDE"/>
    <w:rsid w:val="005A4ED6"/>
    <w:rsid w:val="005A6079"/>
    <w:rsid w:val="005B0069"/>
    <w:rsid w:val="005B35F8"/>
    <w:rsid w:val="005D06AC"/>
    <w:rsid w:val="005E1BC5"/>
    <w:rsid w:val="005E4698"/>
    <w:rsid w:val="005E7A8A"/>
    <w:rsid w:val="005F60E6"/>
    <w:rsid w:val="00603924"/>
    <w:rsid w:val="00607922"/>
    <w:rsid w:val="00610539"/>
    <w:rsid w:val="00613969"/>
    <w:rsid w:val="0062113E"/>
    <w:rsid w:val="00625C35"/>
    <w:rsid w:val="00633876"/>
    <w:rsid w:val="00643070"/>
    <w:rsid w:val="00647E49"/>
    <w:rsid w:val="006504C4"/>
    <w:rsid w:val="00652103"/>
    <w:rsid w:val="00656313"/>
    <w:rsid w:val="006565F4"/>
    <w:rsid w:val="00657FFA"/>
    <w:rsid w:val="0067749C"/>
    <w:rsid w:val="00684EEA"/>
    <w:rsid w:val="00686107"/>
    <w:rsid w:val="0069689B"/>
    <w:rsid w:val="006A3CE2"/>
    <w:rsid w:val="006B20CD"/>
    <w:rsid w:val="006B5FF5"/>
    <w:rsid w:val="006F30AF"/>
    <w:rsid w:val="00701759"/>
    <w:rsid w:val="00705C15"/>
    <w:rsid w:val="00706DB5"/>
    <w:rsid w:val="007110F6"/>
    <w:rsid w:val="007208D1"/>
    <w:rsid w:val="00743CCC"/>
    <w:rsid w:val="00744518"/>
    <w:rsid w:val="00747288"/>
    <w:rsid w:val="00747DD3"/>
    <w:rsid w:val="007549C8"/>
    <w:rsid w:val="00766D14"/>
    <w:rsid w:val="00767A0F"/>
    <w:rsid w:val="007759DD"/>
    <w:rsid w:val="00791272"/>
    <w:rsid w:val="00791707"/>
    <w:rsid w:val="007A05F6"/>
    <w:rsid w:val="007B15AB"/>
    <w:rsid w:val="007B6F4A"/>
    <w:rsid w:val="007C5AF0"/>
    <w:rsid w:val="007C6371"/>
    <w:rsid w:val="007D07AF"/>
    <w:rsid w:val="007E1C47"/>
    <w:rsid w:val="007E337A"/>
    <w:rsid w:val="007E5C70"/>
    <w:rsid w:val="007F2FF5"/>
    <w:rsid w:val="007F3F08"/>
    <w:rsid w:val="00804CC6"/>
    <w:rsid w:val="00807E4C"/>
    <w:rsid w:val="0081221D"/>
    <w:rsid w:val="00814E6A"/>
    <w:rsid w:val="00817190"/>
    <w:rsid w:val="008260E2"/>
    <w:rsid w:val="00830522"/>
    <w:rsid w:val="008322BD"/>
    <w:rsid w:val="00834F73"/>
    <w:rsid w:val="0086205E"/>
    <w:rsid w:val="00864C8A"/>
    <w:rsid w:val="00864CF8"/>
    <w:rsid w:val="00874914"/>
    <w:rsid w:val="00891422"/>
    <w:rsid w:val="00892E1A"/>
    <w:rsid w:val="008B660A"/>
    <w:rsid w:val="008B7CBA"/>
    <w:rsid w:val="008C01DA"/>
    <w:rsid w:val="008C09D9"/>
    <w:rsid w:val="008E2843"/>
    <w:rsid w:val="008E6B0D"/>
    <w:rsid w:val="008F2674"/>
    <w:rsid w:val="008F78E9"/>
    <w:rsid w:val="00904529"/>
    <w:rsid w:val="00916A27"/>
    <w:rsid w:val="009179F9"/>
    <w:rsid w:val="00917C7A"/>
    <w:rsid w:val="00933E5E"/>
    <w:rsid w:val="00935218"/>
    <w:rsid w:val="0093679D"/>
    <w:rsid w:val="00937C52"/>
    <w:rsid w:val="009403F3"/>
    <w:rsid w:val="00945B2B"/>
    <w:rsid w:val="009470BC"/>
    <w:rsid w:val="00954F8E"/>
    <w:rsid w:val="009555B7"/>
    <w:rsid w:val="009567AA"/>
    <w:rsid w:val="009602C9"/>
    <w:rsid w:val="00967374"/>
    <w:rsid w:val="009740D8"/>
    <w:rsid w:val="00993A1F"/>
    <w:rsid w:val="009A343A"/>
    <w:rsid w:val="009B1F50"/>
    <w:rsid w:val="009B2F23"/>
    <w:rsid w:val="009B57B3"/>
    <w:rsid w:val="009C08EE"/>
    <w:rsid w:val="009C6BAB"/>
    <w:rsid w:val="009D0819"/>
    <w:rsid w:val="009D2920"/>
    <w:rsid w:val="009D5AEB"/>
    <w:rsid w:val="009D776C"/>
    <w:rsid w:val="009E76F5"/>
    <w:rsid w:val="009F0E33"/>
    <w:rsid w:val="00A0391A"/>
    <w:rsid w:val="00A116F6"/>
    <w:rsid w:val="00A149DF"/>
    <w:rsid w:val="00A1755C"/>
    <w:rsid w:val="00A215CF"/>
    <w:rsid w:val="00A21640"/>
    <w:rsid w:val="00A21B90"/>
    <w:rsid w:val="00A22AAC"/>
    <w:rsid w:val="00A3721C"/>
    <w:rsid w:val="00A41805"/>
    <w:rsid w:val="00A44B90"/>
    <w:rsid w:val="00A51882"/>
    <w:rsid w:val="00A52AFB"/>
    <w:rsid w:val="00A53091"/>
    <w:rsid w:val="00A548CB"/>
    <w:rsid w:val="00A54FF7"/>
    <w:rsid w:val="00A5521C"/>
    <w:rsid w:val="00A643E7"/>
    <w:rsid w:val="00A73C38"/>
    <w:rsid w:val="00A84C52"/>
    <w:rsid w:val="00AA7862"/>
    <w:rsid w:val="00AB670D"/>
    <w:rsid w:val="00AF03C5"/>
    <w:rsid w:val="00AF1629"/>
    <w:rsid w:val="00AF704D"/>
    <w:rsid w:val="00B000D8"/>
    <w:rsid w:val="00B00F75"/>
    <w:rsid w:val="00B145B6"/>
    <w:rsid w:val="00B2406E"/>
    <w:rsid w:val="00B279EB"/>
    <w:rsid w:val="00B50C81"/>
    <w:rsid w:val="00B557F8"/>
    <w:rsid w:val="00B815FC"/>
    <w:rsid w:val="00B86182"/>
    <w:rsid w:val="00B86873"/>
    <w:rsid w:val="00B93FBC"/>
    <w:rsid w:val="00B96788"/>
    <w:rsid w:val="00BA7DA0"/>
    <w:rsid w:val="00BB2EE4"/>
    <w:rsid w:val="00BB4C92"/>
    <w:rsid w:val="00BB68EA"/>
    <w:rsid w:val="00BC2108"/>
    <w:rsid w:val="00BD0E9E"/>
    <w:rsid w:val="00BD1BEC"/>
    <w:rsid w:val="00BD32FF"/>
    <w:rsid w:val="00BE49CC"/>
    <w:rsid w:val="00BF6FE9"/>
    <w:rsid w:val="00C02092"/>
    <w:rsid w:val="00C226C9"/>
    <w:rsid w:val="00C22DE3"/>
    <w:rsid w:val="00C24D91"/>
    <w:rsid w:val="00C26DB2"/>
    <w:rsid w:val="00C32CBB"/>
    <w:rsid w:val="00C34731"/>
    <w:rsid w:val="00C53F14"/>
    <w:rsid w:val="00C600CF"/>
    <w:rsid w:val="00C6084F"/>
    <w:rsid w:val="00C62A66"/>
    <w:rsid w:val="00C66359"/>
    <w:rsid w:val="00C706C2"/>
    <w:rsid w:val="00C71458"/>
    <w:rsid w:val="00C77613"/>
    <w:rsid w:val="00C828E7"/>
    <w:rsid w:val="00C82CBE"/>
    <w:rsid w:val="00C86719"/>
    <w:rsid w:val="00C873D9"/>
    <w:rsid w:val="00C921DD"/>
    <w:rsid w:val="00C93487"/>
    <w:rsid w:val="00C93F00"/>
    <w:rsid w:val="00CA26CA"/>
    <w:rsid w:val="00CA6391"/>
    <w:rsid w:val="00CC58D8"/>
    <w:rsid w:val="00CC5EAA"/>
    <w:rsid w:val="00CE036E"/>
    <w:rsid w:val="00CE3171"/>
    <w:rsid w:val="00CE78B2"/>
    <w:rsid w:val="00CF1601"/>
    <w:rsid w:val="00D00C2B"/>
    <w:rsid w:val="00D0172F"/>
    <w:rsid w:val="00D01E33"/>
    <w:rsid w:val="00D068A7"/>
    <w:rsid w:val="00D17476"/>
    <w:rsid w:val="00D32086"/>
    <w:rsid w:val="00D37A3F"/>
    <w:rsid w:val="00D4431D"/>
    <w:rsid w:val="00D4667A"/>
    <w:rsid w:val="00D50F13"/>
    <w:rsid w:val="00D63A1C"/>
    <w:rsid w:val="00D7516F"/>
    <w:rsid w:val="00D95F8E"/>
    <w:rsid w:val="00D97D8F"/>
    <w:rsid w:val="00DA0590"/>
    <w:rsid w:val="00DA303F"/>
    <w:rsid w:val="00DC1739"/>
    <w:rsid w:val="00DC1788"/>
    <w:rsid w:val="00DE319C"/>
    <w:rsid w:val="00DE6A3B"/>
    <w:rsid w:val="00DF0B01"/>
    <w:rsid w:val="00DF0CA8"/>
    <w:rsid w:val="00DF2B48"/>
    <w:rsid w:val="00DF49A7"/>
    <w:rsid w:val="00E031D4"/>
    <w:rsid w:val="00E07EE2"/>
    <w:rsid w:val="00E07FD1"/>
    <w:rsid w:val="00E20D0D"/>
    <w:rsid w:val="00E24573"/>
    <w:rsid w:val="00E25E1E"/>
    <w:rsid w:val="00E27EE7"/>
    <w:rsid w:val="00E348C6"/>
    <w:rsid w:val="00E35404"/>
    <w:rsid w:val="00E37F22"/>
    <w:rsid w:val="00E45109"/>
    <w:rsid w:val="00E47B7A"/>
    <w:rsid w:val="00E50CD4"/>
    <w:rsid w:val="00E53F6F"/>
    <w:rsid w:val="00E56A44"/>
    <w:rsid w:val="00E60269"/>
    <w:rsid w:val="00E644C7"/>
    <w:rsid w:val="00E84E05"/>
    <w:rsid w:val="00E97830"/>
    <w:rsid w:val="00EC656B"/>
    <w:rsid w:val="00ED1C7E"/>
    <w:rsid w:val="00ED21D7"/>
    <w:rsid w:val="00EE0830"/>
    <w:rsid w:val="00EE45F6"/>
    <w:rsid w:val="00EE6CB8"/>
    <w:rsid w:val="00EF0683"/>
    <w:rsid w:val="00F0070C"/>
    <w:rsid w:val="00F00EB7"/>
    <w:rsid w:val="00F0109D"/>
    <w:rsid w:val="00F20E0A"/>
    <w:rsid w:val="00F32CEB"/>
    <w:rsid w:val="00F342CE"/>
    <w:rsid w:val="00F34E46"/>
    <w:rsid w:val="00F36AB6"/>
    <w:rsid w:val="00F37A09"/>
    <w:rsid w:val="00F409CE"/>
    <w:rsid w:val="00F42A0D"/>
    <w:rsid w:val="00F4379D"/>
    <w:rsid w:val="00F50D2D"/>
    <w:rsid w:val="00F56C8B"/>
    <w:rsid w:val="00F62639"/>
    <w:rsid w:val="00F66810"/>
    <w:rsid w:val="00F81562"/>
    <w:rsid w:val="00F834B6"/>
    <w:rsid w:val="00F8436F"/>
    <w:rsid w:val="00F84DF4"/>
    <w:rsid w:val="00F85C97"/>
    <w:rsid w:val="00F96B90"/>
    <w:rsid w:val="00FB37D2"/>
    <w:rsid w:val="00FB69C6"/>
    <w:rsid w:val="00FC4EFB"/>
    <w:rsid w:val="00FD068D"/>
    <w:rsid w:val="00FD4F28"/>
    <w:rsid w:val="00FE5121"/>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4635B1"/>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290435"/>
    <w:pPr>
      <w:spacing w:after="720"/>
      <w:ind w:left="1166"/>
      <w:contextualSpacing/>
      <w:jc w:val="both"/>
    </w:pPr>
    <w:rPr>
      <w:sz w:val="24"/>
    </w:rPr>
  </w:style>
  <w:style w:type="paragraph" w:customStyle="1" w:styleId="SCCLsocOtherPartyRoleSeparator">
    <w:name w:val="SCC.Lsoc.OtherPartyRoleSeparator"/>
    <w:basedOn w:val="Normal"/>
    <w:next w:val="Normal"/>
    <w:link w:val="SCCLsocOtherPartyRoleSeparatorChar"/>
    <w:rsid w:val="00454BD3"/>
    <w:pPr>
      <w:spacing w:after="480"/>
    </w:pPr>
    <w:rPr>
      <w:rFonts w:eastAsiaTheme="minorHAnsi" w:cstheme="minorBidi"/>
      <w:szCs w:val="22"/>
      <w:lang w:eastAsia="en-US"/>
    </w:rPr>
  </w:style>
  <w:style w:type="paragraph" w:customStyle="1" w:styleId="SCCCoram">
    <w:name w:val="SCC.Coram"/>
    <w:basedOn w:val="Normal"/>
    <w:next w:val="Normal"/>
    <w:link w:val="SCCCoramChar"/>
    <w:rsid w:val="00454BD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54BD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54BD3"/>
    <w:rPr>
      <w:rFonts w:eastAsiaTheme="minorHAnsi" w:cstheme="minorBidi"/>
      <w:sz w:val="24"/>
      <w:szCs w:val="22"/>
      <w:lang w:eastAsia="en-US"/>
    </w:rPr>
  </w:style>
  <w:style w:type="character" w:customStyle="1" w:styleId="SCCBanSummaryChar">
    <w:name w:val="SCC.BanSummary Char"/>
    <w:basedOn w:val="DefaultParagraphFont"/>
    <w:link w:val="SCCBanSummary"/>
    <w:rsid w:val="00454BD3"/>
    <w:rPr>
      <w:b/>
      <w:sz w:val="24"/>
    </w:rPr>
  </w:style>
  <w:style w:type="table" w:styleId="TableGrid">
    <w:name w:val="Table Grid"/>
    <w:basedOn w:val="TableNormal"/>
    <w:uiPriority w:val="59"/>
    <w:rsid w:val="00454B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454BD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54BD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454BD3"/>
    <w:pPr>
      <w:keepNext/>
      <w:tabs>
        <w:tab w:val="left" w:pos="360"/>
      </w:tabs>
      <w:spacing w:after="720"/>
      <w:ind w:left="357" w:hanging="357"/>
      <w:jc w:val="both"/>
    </w:pPr>
    <w:rPr>
      <w:rFonts w:eastAsiaTheme="minorHAnsi" w:cstheme="minorBidi"/>
      <w:sz w:val="24"/>
      <w:szCs w:val="22"/>
      <w:lang w:eastAsia="en-US"/>
    </w:rPr>
  </w:style>
  <w:style w:type="character" w:styleId="Hyperlink">
    <w:name w:val="Hyperlink"/>
    <w:basedOn w:val="DefaultParagraphFont"/>
    <w:uiPriority w:val="99"/>
    <w:unhideWhenUsed/>
    <w:rsid w:val="00454BD3"/>
    <w:rPr>
      <w:color w:val="0000FF" w:themeColor="hyperlink"/>
      <w:u w:val="single"/>
    </w:rPr>
  </w:style>
  <w:style w:type="paragraph" w:styleId="FootnoteText">
    <w:name w:val="footnote text"/>
    <w:basedOn w:val="Normal"/>
    <w:link w:val="FootnoteTextChar"/>
    <w:uiPriority w:val="99"/>
    <w:unhideWhenUsed/>
    <w:rsid w:val="00454BD3"/>
    <w:rPr>
      <w:rFonts w:eastAsiaTheme="minorHAnsi" w:cstheme="minorBidi"/>
      <w:sz w:val="20"/>
      <w:lang w:eastAsia="en-US"/>
    </w:rPr>
  </w:style>
  <w:style w:type="character" w:customStyle="1" w:styleId="FootnoteTextChar">
    <w:name w:val="Footnote Text Char"/>
    <w:basedOn w:val="DefaultParagraphFont"/>
    <w:link w:val="FootnoteText"/>
    <w:uiPriority w:val="99"/>
    <w:rsid w:val="00454BD3"/>
    <w:rPr>
      <w:rFonts w:eastAsiaTheme="minorHAnsi" w:cstheme="minorBidi"/>
      <w:lang w:eastAsia="en-US"/>
    </w:rPr>
  </w:style>
  <w:style w:type="character" w:styleId="FootnoteReference">
    <w:name w:val="footnote reference"/>
    <w:basedOn w:val="DefaultParagraphFont"/>
    <w:uiPriority w:val="99"/>
    <w:unhideWhenUsed/>
    <w:rsid w:val="00454BD3"/>
    <w:rPr>
      <w:vertAlign w:val="superscript"/>
    </w:rPr>
  </w:style>
  <w:style w:type="character" w:styleId="CommentReference">
    <w:name w:val="annotation reference"/>
    <w:basedOn w:val="DefaultParagraphFont"/>
    <w:uiPriority w:val="99"/>
    <w:semiHidden/>
    <w:unhideWhenUsed/>
    <w:rsid w:val="00454BD3"/>
    <w:rPr>
      <w:sz w:val="16"/>
      <w:szCs w:val="16"/>
    </w:rPr>
  </w:style>
  <w:style w:type="paragraph" w:styleId="CommentText">
    <w:name w:val="annotation text"/>
    <w:basedOn w:val="Normal"/>
    <w:link w:val="CommentTextChar"/>
    <w:uiPriority w:val="99"/>
    <w:semiHidden/>
    <w:unhideWhenUsed/>
    <w:rsid w:val="00454BD3"/>
    <w:rPr>
      <w:sz w:val="20"/>
    </w:rPr>
  </w:style>
  <w:style w:type="character" w:customStyle="1" w:styleId="CommentTextChar">
    <w:name w:val="Comment Text Char"/>
    <w:basedOn w:val="DefaultParagraphFont"/>
    <w:link w:val="CommentText"/>
    <w:uiPriority w:val="99"/>
    <w:semiHidden/>
    <w:rsid w:val="00454BD3"/>
  </w:style>
  <w:style w:type="paragraph" w:styleId="CommentSubject">
    <w:name w:val="annotation subject"/>
    <w:basedOn w:val="CommentText"/>
    <w:next w:val="CommentText"/>
    <w:link w:val="CommentSubjectChar"/>
    <w:uiPriority w:val="99"/>
    <w:semiHidden/>
    <w:unhideWhenUsed/>
    <w:rsid w:val="00454BD3"/>
    <w:rPr>
      <w:b/>
      <w:bCs/>
    </w:rPr>
  </w:style>
  <w:style w:type="character" w:customStyle="1" w:styleId="CommentSubjectChar">
    <w:name w:val="Comment Subject Char"/>
    <w:basedOn w:val="CommentTextChar"/>
    <w:link w:val="CommentSubject"/>
    <w:uiPriority w:val="99"/>
    <w:semiHidden/>
    <w:rsid w:val="00454BD3"/>
    <w:rPr>
      <w:b/>
      <w:bCs/>
    </w:rPr>
  </w:style>
  <w:style w:type="paragraph" w:styleId="Revision">
    <w:name w:val="Revision"/>
    <w:hidden/>
    <w:uiPriority w:val="99"/>
    <w:semiHidden/>
    <w:rsid w:val="00454BD3"/>
    <w:rPr>
      <w:sz w:val="24"/>
    </w:rPr>
  </w:style>
  <w:style w:type="table" w:customStyle="1" w:styleId="TableGrid1">
    <w:name w:val="Table Grid1"/>
    <w:basedOn w:val="TableNormal"/>
    <w:next w:val="TableGrid"/>
    <w:uiPriority w:val="59"/>
    <w:rsid w:val="00B9678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CE24-983E-43A2-9A80-7459B20A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13943</Words>
  <Characters>74417</Characters>
  <Application>Microsoft Office Word</Application>
  <DocSecurity>0</DocSecurity>
  <Lines>620</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2013-07-22T19:23:00Z</dcterms:created>
  <dcterms:modified xsi:type="dcterms:W3CDTF">2014-04-07T18:00:00Z</dcterms:modified>
</cp:coreProperties>
</file>