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B4" w:rsidRPr="00B70D83" w:rsidRDefault="005257B4" w:rsidP="005257B4">
      <w:pPr>
        <w:tabs>
          <w:tab w:val="center" w:pos="4680"/>
          <w:tab w:val="right" w:pos="9360"/>
        </w:tabs>
        <w:jc w:val="center"/>
        <w:rPr>
          <w:rFonts w:eastAsiaTheme="minorHAnsi" w:cstheme="minorBidi"/>
          <w:szCs w:val="24"/>
          <w:lang w:val="fr-CA" w:eastAsia="en-US"/>
        </w:rPr>
      </w:pPr>
      <w:r w:rsidRPr="00B70D83">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29113" r:id="rId9"/>
        </w:object>
      </w:r>
    </w:p>
    <w:p w:rsidR="005257B4" w:rsidRPr="00B70D83" w:rsidRDefault="005257B4" w:rsidP="005257B4">
      <w:pPr>
        <w:tabs>
          <w:tab w:val="center" w:pos="4680"/>
          <w:tab w:val="right" w:pos="9360"/>
        </w:tabs>
        <w:rPr>
          <w:rFonts w:eastAsiaTheme="minorHAnsi" w:cstheme="minorBidi"/>
          <w:szCs w:val="24"/>
          <w:lang w:val="fr-CA" w:eastAsia="en-US"/>
        </w:rPr>
      </w:pPr>
    </w:p>
    <w:p w:rsidR="005257B4" w:rsidRPr="00B70D83" w:rsidRDefault="005257B4" w:rsidP="005257B4">
      <w:pPr>
        <w:jc w:val="center"/>
        <w:rPr>
          <w:rFonts w:eastAsiaTheme="minorHAnsi" w:cstheme="minorBidi"/>
          <w:b/>
          <w:szCs w:val="24"/>
          <w:lang w:val="fr-CA" w:eastAsia="en-US"/>
        </w:rPr>
      </w:pPr>
      <w:r w:rsidRPr="00B70D83">
        <w:rPr>
          <w:rFonts w:eastAsiaTheme="minorHAnsi" w:cstheme="minorBidi"/>
          <w:b/>
          <w:szCs w:val="24"/>
          <w:lang w:val="fr-CA" w:eastAsia="en-US"/>
        </w:rPr>
        <w:t>COUR SUPRÊME DU CANADA</w:t>
      </w:r>
    </w:p>
    <w:p w:rsidR="005257B4" w:rsidRPr="00B70D83" w:rsidRDefault="005257B4" w:rsidP="005257B4">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257B4" w:rsidRPr="00B70D83" w:rsidTr="00A91E19">
        <w:trPr>
          <w:cantSplit/>
        </w:trPr>
        <w:tc>
          <w:tcPr>
            <w:tcW w:w="6768" w:type="dxa"/>
          </w:tcPr>
          <w:p w:rsidR="005257B4" w:rsidRPr="00B70D83" w:rsidRDefault="005257B4" w:rsidP="00A91E19">
            <w:pPr>
              <w:rPr>
                <w:lang w:val="fr-CA"/>
              </w:rPr>
            </w:pPr>
            <w:r w:rsidRPr="00B70D83">
              <w:rPr>
                <w:b/>
                <w:smallCaps/>
                <w:lang w:val="fr-CA"/>
              </w:rPr>
              <w:t>Référence :</w:t>
            </w:r>
            <w:r w:rsidRPr="00B70D83">
              <w:rPr>
                <w:lang w:val="fr-CA"/>
              </w:rPr>
              <w:t xml:space="preserve"> Régie des rentes du Québec </w:t>
            </w:r>
            <w:r w:rsidRPr="00B70D83">
              <w:rPr>
                <w:i/>
                <w:lang w:val="fr-CA"/>
              </w:rPr>
              <w:t>c.</w:t>
            </w:r>
            <w:r w:rsidRPr="00B70D83">
              <w:rPr>
                <w:lang w:val="fr-CA"/>
              </w:rPr>
              <w:t xml:space="preserve"> Canada Bread Company Ltd., 2013 CSC 46</w:t>
            </w:r>
            <w:r>
              <w:rPr>
                <w:lang w:val="fr-CA"/>
              </w:rPr>
              <w:t>, [2013] 3 R.C.S. 125</w:t>
            </w:r>
          </w:p>
        </w:tc>
        <w:tc>
          <w:tcPr>
            <w:tcW w:w="2808" w:type="dxa"/>
          </w:tcPr>
          <w:p w:rsidR="005257B4" w:rsidRPr="00B70D83" w:rsidRDefault="005257B4" w:rsidP="00A91E19">
            <w:pPr>
              <w:rPr>
                <w:lang w:val="fr-CA"/>
              </w:rPr>
            </w:pPr>
            <w:r w:rsidRPr="00B70D83">
              <w:rPr>
                <w:b/>
                <w:smallCaps/>
                <w:lang w:val="fr-CA"/>
              </w:rPr>
              <w:t>Date :</w:t>
            </w:r>
            <w:r w:rsidRPr="00B70D83">
              <w:rPr>
                <w:lang w:val="fr-CA"/>
              </w:rPr>
              <w:t xml:space="preserve"> 20130913</w:t>
            </w:r>
          </w:p>
          <w:p w:rsidR="005257B4" w:rsidRPr="00B70D83" w:rsidRDefault="005257B4" w:rsidP="00A91E19">
            <w:pPr>
              <w:rPr>
                <w:lang w:val="fr-CA"/>
              </w:rPr>
            </w:pPr>
            <w:r w:rsidRPr="00B70D83">
              <w:rPr>
                <w:b/>
                <w:smallCaps/>
                <w:lang w:val="fr-CA"/>
              </w:rPr>
              <w:t>Dossier :</w:t>
            </w:r>
            <w:r w:rsidRPr="00B70D83">
              <w:rPr>
                <w:lang w:val="fr-CA"/>
              </w:rPr>
              <w:t xml:space="preserve"> 34505</w:t>
            </w:r>
          </w:p>
        </w:tc>
      </w:tr>
    </w:tbl>
    <w:p w:rsidR="005257B4" w:rsidRPr="00B70D83" w:rsidRDefault="005257B4" w:rsidP="005257B4">
      <w:pPr>
        <w:rPr>
          <w:rFonts w:eastAsiaTheme="minorHAnsi" w:cstheme="minorBidi"/>
          <w:szCs w:val="24"/>
          <w:lang w:val="fr-CA" w:eastAsia="en-US"/>
        </w:rPr>
      </w:pPr>
    </w:p>
    <w:p w:rsidR="005257B4" w:rsidRPr="00B70D83" w:rsidRDefault="005257B4" w:rsidP="005257B4">
      <w:pPr>
        <w:rPr>
          <w:rFonts w:eastAsiaTheme="minorHAnsi" w:cstheme="minorBidi"/>
          <w:b/>
          <w:smallCaps/>
          <w:szCs w:val="24"/>
          <w:lang w:val="fr-CA" w:eastAsia="en-US"/>
        </w:rPr>
      </w:pPr>
      <w:r w:rsidRPr="00B70D83">
        <w:rPr>
          <w:rFonts w:eastAsiaTheme="minorHAnsi" w:cstheme="minorBidi"/>
          <w:b/>
          <w:smallCaps/>
          <w:szCs w:val="24"/>
          <w:lang w:val="fr-CA" w:eastAsia="en-US"/>
        </w:rPr>
        <w:t>Entre :</w:t>
      </w:r>
    </w:p>
    <w:p w:rsidR="005257B4" w:rsidRPr="00B70D83" w:rsidRDefault="005257B4" w:rsidP="005257B4">
      <w:pPr>
        <w:jc w:val="center"/>
        <w:rPr>
          <w:rFonts w:eastAsiaTheme="minorHAnsi" w:cstheme="minorBidi"/>
          <w:b/>
          <w:szCs w:val="24"/>
          <w:lang w:val="fr-CA" w:eastAsia="en-US"/>
        </w:rPr>
      </w:pPr>
      <w:r w:rsidRPr="00B70D83">
        <w:rPr>
          <w:rFonts w:eastAsiaTheme="minorHAnsi" w:cstheme="minorBidi"/>
          <w:b/>
          <w:szCs w:val="24"/>
          <w:lang w:val="fr-CA" w:eastAsia="en-US"/>
        </w:rPr>
        <w:t>Régie des rentes du Québec</w:t>
      </w:r>
    </w:p>
    <w:p w:rsidR="005257B4" w:rsidRPr="00B70D83" w:rsidRDefault="005257B4" w:rsidP="005257B4">
      <w:pPr>
        <w:jc w:val="center"/>
        <w:rPr>
          <w:rFonts w:eastAsiaTheme="minorHAnsi" w:cstheme="minorBidi"/>
          <w:szCs w:val="24"/>
          <w:lang w:val="fr-CA" w:eastAsia="en-US"/>
        </w:rPr>
      </w:pPr>
      <w:r w:rsidRPr="00B70D83">
        <w:rPr>
          <w:rFonts w:eastAsiaTheme="minorHAnsi" w:cstheme="minorBidi"/>
          <w:szCs w:val="24"/>
          <w:lang w:val="fr-CA" w:eastAsia="en-US"/>
        </w:rPr>
        <w:t>Appelante</w:t>
      </w:r>
    </w:p>
    <w:p w:rsidR="005257B4" w:rsidRPr="00B70D83" w:rsidRDefault="005257B4" w:rsidP="005257B4">
      <w:pPr>
        <w:jc w:val="center"/>
        <w:rPr>
          <w:rFonts w:eastAsiaTheme="minorHAnsi" w:cstheme="minorBidi"/>
          <w:szCs w:val="24"/>
          <w:lang w:val="fr-CA" w:eastAsia="en-US"/>
        </w:rPr>
      </w:pPr>
      <w:r w:rsidRPr="00B70D83">
        <w:rPr>
          <w:rFonts w:eastAsiaTheme="minorHAnsi" w:cstheme="minorBidi"/>
          <w:szCs w:val="24"/>
          <w:lang w:val="fr-CA" w:eastAsia="en-US"/>
        </w:rPr>
        <w:t>et</w:t>
      </w:r>
    </w:p>
    <w:p w:rsidR="005257B4" w:rsidRPr="00B70D83" w:rsidRDefault="005257B4" w:rsidP="005257B4">
      <w:pPr>
        <w:jc w:val="center"/>
        <w:rPr>
          <w:rFonts w:eastAsiaTheme="minorHAnsi" w:cstheme="minorBidi"/>
          <w:b/>
          <w:szCs w:val="24"/>
          <w:lang w:val="en-US" w:eastAsia="en-US"/>
        </w:rPr>
      </w:pPr>
      <w:r w:rsidRPr="00B70D83">
        <w:rPr>
          <w:rFonts w:eastAsiaTheme="minorHAnsi" w:cstheme="minorBidi"/>
          <w:b/>
          <w:szCs w:val="24"/>
          <w:lang w:val="en-US" w:eastAsia="en-US"/>
        </w:rPr>
        <w:t>Canada Bread Company Ltd., Sean Kelly, en sa qualité de fiduciaire du Bakery and Confectionery Union and Industry Canadian Pension Fund, Multi-Marques Inc., Multi-Marques Distribution Inc. et Bakery, Confectionery, Tobacco Workers and Grain Millers International Union, Local 468</w:t>
      </w:r>
    </w:p>
    <w:p w:rsidR="005257B4" w:rsidRPr="00B70D83" w:rsidRDefault="005257B4" w:rsidP="005257B4">
      <w:pPr>
        <w:jc w:val="center"/>
        <w:rPr>
          <w:rFonts w:eastAsiaTheme="minorHAnsi" w:cstheme="minorBidi"/>
          <w:szCs w:val="24"/>
          <w:lang w:val="fr-CA" w:eastAsia="en-US"/>
        </w:rPr>
      </w:pPr>
      <w:r w:rsidRPr="00B70D83">
        <w:rPr>
          <w:rFonts w:eastAsiaTheme="minorHAnsi" w:cstheme="minorBidi"/>
          <w:szCs w:val="24"/>
          <w:lang w:val="fr-CA" w:eastAsia="en-US"/>
        </w:rPr>
        <w:t>Intimés</w:t>
      </w:r>
    </w:p>
    <w:p w:rsidR="005257B4" w:rsidRPr="00B70D83" w:rsidRDefault="005257B4" w:rsidP="005257B4">
      <w:pPr>
        <w:jc w:val="center"/>
        <w:rPr>
          <w:rFonts w:eastAsiaTheme="minorHAnsi" w:cstheme="minorBidi"/>
          <w:szCs w:val="24"/>
          <w:lang w:val="fr-CA" w:eastAsia="en-US"/>
        </w:rPr>
      </w:pPr>
      <w:r w:rsidRPr="00B70D83">
        <w:rPr>
          <w:rFonts w:eastAsiaTheme="minorHAnsi" w:cstheme="minorBidi"/>
          <w:szCs w:val="24"/>
          <w:lang w:val="fr-CA" w:eastAsia="en-US"/>
        </w:rPr>
        <w:t>- et -</w:t>
      </w:r>
    </w:p>
    <w:p w:rsidR="005257B4" w:rsidRPr="00B70D83" w:rsidRDefault="005257B4" w:rsidP="005257B4">
      <w:pPr>
        <w:jc w:val="center"/>
        <w:rPr>
          <w:rFonts w:eastAsiaTheme="minorHAnsi" w:cstheme="minorBidi"/>
          <w:b/>
          <w:szCs w:val="24"/>
          <w:lang w:val="fr-CA" w:eastAsia="en-US"/>
        </w:rPr>
      </w:pPr>
      <w:r w:rsidRPr="00B70D83">
        <w:rPr>
          <w:rFonts w:eastAsiaTheme="minorHAnsi" w:cstheme="minorBidi"/>
          <w:b/>
          <w:szCs w:val="24"/>
          <w:lang w:val="fr-CA" w:eastAsia="en-US"/>
        </w:rPr>
        <w:t xml:space="preserve">Procureur général du Québec, Robert Thauvette et Tribunal administratif du Québec </w:t>
      </w:r>
    </w:p>
    <w:p w:rsidR="005257B4" w:rsidRPr="00B70D83" w:rsidRDefault="005257B4" w:rsidP="005257B4">
      <w:pPr>
        <w:jc w:val="center"/>
        <w:rPr>
          <w:rFonts w:eastAsiaTheme="minorHAnsi" w:cstheme="minorBidi"/>
          <w:szCs w:val="24"/>
          <w:lang w:val="fr-CA" w:eastAsia="en-US"/>
        </w:rPr>
      </w:pPr>
      <w:r w:rsidRPr="00B70D83">
        <w:rPr>
          <w:rFonts w:eastAsiaTheme="minorHAnsi" w:cstheme="minorBidi"/>
          <w:szCs w:val="24"/>
          <w:lang w:val="fr-CA" w:eastAsia="en-US"/>
        </w:rPr>
        <w:t>Intervenants</w:t>
      </w:r>
    </w:p>
    <w:p w:rsidR="005257B4" w:rsidRPr="00B70D83" w:rsidRDefault="005257B4" w:rsidP="005257B4">
      <w:pPr>
        <w:rPr>
          <w:rFonts w:eastAsiaTheme="minorHAnsi" w:cstheme="minorBidi"/>
          <w:szCs w:val="24"/>
          <w:lang w:val="fr-CA" w:eastAsia="en-US"/>
        </w:rPr>
      </w:pPr>
    </w:p>
    <w:p w:rsidR="005257B4" w:rsidRPr="00B70D83" w:rsidRDefault="005257B4" w:rsidP="005257B4">
      <w:pPr>
        <w:rPr>
          <w:rFonts w:eastAsiaTheme="minorHAnsi" w:cstheme="minorBidi"/>
          <w:szCs w:val="24"/>
          <w:lang w:val="fr-CA" w:eastAsia="en-US"/>
        </w:rPr>
      </w:pPr>
    </w:p>
    <w:p w:rsidR="005257B4" w:rsidRPr="00B70D83" w:rsidRDefault="005257B4" w:rsidP="005257B4">
      <w:pPr>
        <w:jc w:val="center"/>
        <w:rPr>
          <w:rFonts w:eastAsiaTheme="minorHAnsi" w:cstheme="minorBidi"/>
          <w:b/>
          <w:smallCaps/>
          <w:szCs w:val="24"/>
          <w:lang w:val="fr-CA" w:eastAsia="en-US"/>
        </w:rPr>
      </w:pPr>
      <w:r w:rsidRPr="00B70D83">
        <w:rPr>
          <w:rFonts w:eastAsiaTheme="minorHAnsi" w:cstheme="minorBidi"/>
          <w:b/>
          <w:smallCaps/>
          <w:szCs w:val="24"/>
          <w:lang w:val="fr-CA" w:eastAsia="en-US"/>
        </w:rPr>
        <w:t>Traduction française officielle</w:t>
      </w:r>
    </w:p>
    <w:p w:rsidR="005257B4" w:rsidRPr="00B70D83" w:rsidRDefault="005257B4" w:rsidP="005257B4">
      <w:pPr>
        <w:rPr>
          <w:rFonts w:eastAsiaTheme="minorHAnsi" w:cstheme="minorBidi"/>
          <w:szCs w:val="24"/>
          <w:lang w:val="fr-CA" w:eastAsia="en-US"/>
        </w:rPr>
      </w:pPr>
    </w:p>
    <w:p w:rsidR="005257B4" w:rsidRPr="00B70D83" w:rsidRDefault="005257B4" w:rsidP="005257B4">
      <w:pPr>
        <w:rPr>
          <w:rFonts w:eastAsiaTheme="minorHAnsi" w:cstheme="minorBidi"/>
          <w:szCs w:val="24"/>
          <w:lang w:val="fr-CA" w:eastAsia="en-US"/>
        </w:rPr>
      </w:pPr>
      <w:r w:rsidRPr="00B70D83">
        <w:rPr>
          <w:rFonts w:eastAsiaTheme="minorHAnsi" w:cstheme="minorBidi"/>
          <w:b/>
          <w:smallCaps/>
          <w:szCs w:val="24"/>
          <w:lang w:val="fr-CA" w:eastAsia="en-US"/>
        </w:rPr>
        <w:t>Coram :</w:t>
      </w:r>
      <w:r w:rsidRPr="00B70D83">
        <w:rPr>
          <w:rFonts w:eastAsiaTheme="minorHAnsi" w:cstheme="minorBidi"/>
          <w:szCs w:val="24"/>
          <w:lang w:val="fr-CA" w:eastAsia="en-US"/>
        </w:rPr>
        <w:t xml:space="preserve"> La juge en chef McLachlin et les juges Fish, Abella, Rothstein, Cromwell, Karakatsanis et Wagner</w:t>
      </w:r>
    </w:p>
    <w:p w:rsidR="005257B4" w:rsidRPr="00B70D83" w:rsidRDefault="005257B4" w:rsidP="005257B4">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257B4" w:rsidRPr="00B70D83" w:rsidTr="00A91E19">
        <w:trPr>
          <w:cantSplit/>
        </w:trPr>
        <w:tc>
          <w:tcPr>
            <w:tcW w:w="3618" w:type="dxa"/>
          </w:tcPr>
          <w:p w:rsidR="005257B4" w:rsidRPr="00B70D83" w:rsidRDefault="005257B4" w:rsidP="00A91E19">
            <w:pPr>
              <w:rPr>
                <w:b/>
                <w:smallCaps/>
                <w:lang w:val="fr-CA"/>
              </w:rPr>
            </w:pPr>
            <w:r w:rsidRPr="00B70D83">
              <w:rPr>
                <w:b/>
                <w:smallCaps/>
                <w:lang w:val="fr-CA"/>
              </w:rPr>
              <w:t>Motifs de jugement :</w:t>
            </w:r>
          </w:p>
          <w:p w:rsidR="005257B4" w:rsidRPr="00B70D83" w:rsidRDefault="005257B4" w:rsidP="00A91E19">
            <w:pPr>
              <w:rPr>
                <w:smallCaps/>
                <w:lang w:val="fr-CA"/>
              </w:rPr>
            </w:pPr>
            <w:r w:rsidRPr="00B70D83">
              <w:rPr>
                <w:lang w:val="fr-CA"/>
              </w:rPr>
              <w:t>(par. 1 à 49)</w:t>
            </w:r>
          </w:p>
          <w:p w:rsidR="005257B4" w:rsidRPr="00B70D83" w:rsidRDefault="005257B4" w:rsidP="00A91E19">
            <w:pPr>
              <w:rPr>
                <w:smallCaps/>
                <w:lang w:val="fr-CA"/>
              </w:rPr>
            </w:pPr>
          </w:p>
          <w:p w:rsidR="005257B4" w:rsidRPr="00B70D83" w:rsidRDefault="005257B4" w:rsidP="00A91E19">
            <w:pPr>
              <w:rPr>
                <w:b/>
                <w:smallCaps/>
                <w:lang w:val="fr-CA"/>
              </w:rPr>
            </w:pPr>
            <w:r w:rsidRPr="00B70D83">
              <w:rPr>
                <w:b/>
                <w:smallCaps/>
                <w:lang w:val="fr-CA"/>
              </w:rPr>
              <w:t>Motifs dissidents :</w:t>
            </w:r>
          </w:p>
          <w:p w:rsidR="005257B4" w:rsidRPr="00B70D83" w:rsidRDefault="005257B4" w:rsidP="00A91E19">
            <w:pPr>
              <w:rPr>
                <w:lang w:val="fr-CA"/>
              </w:rPr>
            </w:pPr>
            <w:r w:rsidRPr="00B70D83">
              <w:rPr>
                <w:lang w:val="fr-CA"/>
              </w:rPr>
              <w:t>(par. 50 à 73)</w:t>
            </w:r>
          </w:p>
        </w:tc>
        <w:tc>
          <w:tcPr>
            <w:tcW w:w="5958" w:type="dxa"/>
          </w:tcPr>
          <w:p w:rsidR="005257B4" w:rsidRPr="00B70D83" w:rsidRDefault="005257B4" w:rsidP="00A91E19">
            <w:pPr>
              <w:rPr>
                <w:lang w:val="fr-CA"/>
              </w:rPr>
            </w:pPr>
            <w:r w:rsidRPr="00B70D83">
              <w:rPr>
                <w:lang w:val="fr-CA"/>
              </w:rPr>
              <w:t>Le juge Wagner (avec l’accord des juges Abella, Rothstein, Cromwell et Karakatsanis)</w:t>
            </w:r>
          </w:p>
          <w:p w:rsidR="005257B4" w:rsidRPr="00B70D83" w:rsidRDefault="005257B4" w:rsidP="00A91E19">
            <w:pPr>
              <w:rPr>
                <w:lang w:val="fr-CA"/>
              </w:rPr>
            </w:pPr>
          </w:p>
          <w:p w:rsidR="005257B4" w:rsidRPr="00B70D83" w:rsidRDefault="005257B4" w:rsidP="00A91E19">
            <w:pPr>
              <w:rPr>
                <w:lang w:val="fr-CA"/>
              </w:rPr>
            </w:pPr>
            <w:r w:rsidRPr="00B70D83">
              <w:rPr>
                <w:lang w:val="fr-CA"/>
              </w:rPr>
              <w:t>La juge en chef McLachlin (avec l’accord du juge Fish)</w:t>
            </w:r>
          </w:p>
        </w:tc>
      </w:tr>
    </w:tbl>
    <w:p w:rsidR="005257B4" w:rsidRPr="00B70D83" w:rsidRDefault="005257B4" w:rsidP="005257B4">
      <w:pPr>
        <w:rPr>
          <w:rFonts w:eastAsiaTheme="minorHAnsi" w:cstheme="minorBidi"/>
          <w:szCs w:val="24"/>
          <w:lang w:val="fr-CA" w:eastAsia="en-US"/>
        </w:rPr>
      </w:pPr>
      <w:r w:rsidRPr="004D5DD5">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5257B4" w:rsidRDefault="005257B4" w:rsidP="005257B4">
      <w:pPr>
        <w:rPr>
          <w:smallCaps/>
          <w:lang w:val="fr-CA"/>
        </w:rPr>
      </w:pPr>
      <w:r>
        <w:rPr>
          <w:smallCaps/>
          <w:lang w:val="fr-CA"/>
        </w:rPr>
        <w:br w:type="page"/>
      </w:r>
    </w:p>
    <w:p w:rsidR="00154F95" w:rsidRPr="009E6841" w:rsidRDefault="00154F95" w:rsidP="00154F95">
      <w:pPr>
        <w:spacing w:after="720"/>
        <w:jc w:val="both"/>
        <w:rPr>
          <w:lang w:val="fr-CA"/>
        </w:rPr>
      </w:pPr>
      <w:r w:rsidRPr="009E6841">
        <w:rPr>
          <w:lang w:val="fr-CA"/>
        </w:rPr>
        <w:lastRenderedPageBreak/>
        <w:t xml:space="preserve">Régie des rentes du Québec </w:t>
      </w:r>
      <w:r>
        <w:rPr>
          <w:i/>
          <w:lang w:val="fr-CA"/>
        </w:rPr>
        <w:t>c</w:t>
      </w:r>
      <w:r w:rsidRPr="009E6841">
        <w:rPr>
          <w:i/>
          <w:lang w:val="fr-CA"/>
        </w:rPr>
        <w:t>.</w:t>
      </w:r>
      <w:r w:rsidRPr="009E6841">
        <w:rPr>
          <w:lang w:val="fr-CA"/>
        </w:rPr>
        <w:t xml:space="preserve"> Canada Bread Company Ltd.</w:t>
      </w:r>
      <w:r>
        <w:rPr>
          <w:lang w:val="fr-CA"/>
        </w:rPr>
        <w:t>, 2013 CSC 46, [2013] 3 R.C.S. 125</w:t>
      </w:r>
    </w:p>
    <w:p w:rsidR="00296EC6" w:rsidRPr="00F06D71" w:rsidRDefault="009150A0">
      <w:pPr>
        <w:pStyle w:val="SCCLsocLastPartyInRole"/>
        <w:rPr>
          <w:lang w:val="fr-CA"/>
        </w:rPr>
      </w:pPr>
      <w:r w:rsidRPr="00F06D71">
        <w:rPr>
          <w:lang w:val="fr-CA"/>
        </w:rPr>
        <w:t>Régie des rentes du Québec</w:t>
      </w:r>
      <w:r w:rsidR="006318D3" w:rsidRPr="00F06D71">
        <w:rPr>
          <w:rStyle w:val="SCCLsocPartyRole"/>
          <w:lang w:val="fr-CA"/>
        </w:rPr>
        <w:tab/>
        <w:t>Appelante</w:t>
      </w:r>
    </w:p>
    <w:p w:rsidR="00296EC6" w:rsidRPr="00F06D71" w:rsidRDefault="009150A0">
      <w:pPr>
        <w:pStyle w:val="SCCLsocVersus"/>
      </w:pPr>
      <w:r w:rsidRPr="00F06D71">
        <w:t>c.</w:t>
      </w:r>
    </w:p>
    <w:p w:rsidR="00061336" w:rsidRPr="00F06D71" w:rsidRDefault="009150A0" w:rsidP="006318D3">
      <w:pPr>
        <w:pStyle w:val="SCCLsocParty"/>
      </w:pPr>
      <w:r w:rsidRPr="00F06D71">
        <w:t>Canada Bread Company Ltd.,</w:t>
      </w:r>
      <w:r w:rsidR="006318D3" w:rsidRPr="00F06D71">
        <w:t xml:space="preserve"> </w:t>
      </w:r>
    </w:p>
    <w:p w:rsidR="00071F5D" w:rsidRPr="00F06D71" w:rsidRDefault="009150A0" w:rsidP="006318D3">
      <w:pPr>
        <w:pStyle w:val="SCCLsocParty"/>
        <w:rPr>
          <w:lang w:val="fr-FR"/>
        </w:rPr>
      </w:pPr>
      <w:r w:rsidRPr="00F06D71">
        <w:rPr>
          <w:lang w:val="fr-FR"/>
        </w:rPr>
        <w:t>Sean Kelly</w:t>
      </w:r>
      <w:r w:rsidR="00061336" w:rsidRPr="00F06D71">
        <w:rPr>
          <w:lang w:val="fr-FR"/>
        </w:rPr>
        <w:t>,</w:t>
      </w:r>
      <w:r w:rsidRPr="00F06D71">
        <w:rPr>
          <w:lang w:val="fr-FR"/>
        </w:rPr>
        <w:t xml:space="preserve"> en sa qualité de fiduciaire du Bakery and</w:t>
      </w:r>
    </w:p>
    <w:p w:rsidR="00061336" w:rsidRPr="00F06D71" w:rsidRDefault="009150A0" w:rsidP="006318D3">
      <w:pPr>
        <w:pStyle w:val="SCCLsocParty"/>
      </w:pPr>
      <w:r w:rsidRPr="00F06D71">
        <w:t>Confectionery Union and Industry Canadian Pension Fund,</w:t>
      </w:r>
      <w:r w:rsidR="006318D3" w:rsidRPr="00F06D71">
        <w:t xml:space="preserve"> </w:t>
      </w:r>
    </w:p>
    <w:p w:rsidR="00061336" w:rsidRPr="00F06D71" w:rsidRDefault="009150A0" w:rsidP="006318D3">
      <w:pPr>
        <w:pStyle w:val="SCCLsocParty"/>
        <w:rPr>
          <w:lang w:val="fr-CA"/>
        </w:rPr>
      </w:pPr>
      <w:r w:rsidRPr="00F06D71">
        <w:rPr>
          <w:lang w:val="fr-CA"/>
        </w:rPr>
        <w:t>Multi</w:t>
      </w:r>
      <w:r w:rsidR="00F103A8" w:rsidRPr="00F06D71">
        <w:rPr>
          <w:lang w:val="fr-CA"/>
        </w:rPr>
        <w:noBreakHyphen/>
      </w:r>
      <w:r w:rsidRPr="00F06D71">
        <w:rPr>
          <w:lang w:val="fr-CA"/>
        </w:rPr>
        <w:t xml:space="preserve">Marques Inc., </w:t>
      </w:r>
      <w:r w:rsidR="006318D3" w:rsidRPr="00F06D71">
        <w:rPr>
          <w:lang w:val="fr-CA"/>
        </w:rPr>
        <w:t>Multi</w:t>
      </w:r>
      <w:r w:rsidR="00F103A8" w:rsidRPr="00F06D71">
        <w:rPr>
          <w:lang w:val="fr-CA"/>
        </w:rPr>
        <w:noBreakHyphen/>
      </w:r>
      <w:r w:rsidR="006318D3" w:rsidRPr="00F06D71">
        <w:rPr>
          <w:lang w:val="fr-CA"/>
        </w:rPr>
        <w:t xml:space="preserve">Marques Distribution Inc. et </w:t>
      </w:r>
    </w:p>
    <w:p w:rsidR="00071F5D" w:rsidRPr="00F06D71" w:rsidRDefault="009150A0" w:rsidP="006318D3">
      <w:pPr>
        <w:pStyle w:val="SCCLsocParty"/>
      </w:pPr>
      <w:r w:rsidRPr="00F06D71">
        <w:t>Bakery, Confectionery</w:t>
      </w:r>
      <w:r w:rsidR="00061336" w:rsidRPr="00F06D71">
        <w:t>,</w:t>
      </w:r>
      <w:r w:rsidRPr="00F06D71">
        <w:t xml:space="preserve"> Tobacco Workers and</w:t>
      </w:r>
    </w:p>
    <w:p w:rsidR="006318D3" w:rsidRPr="00F06D71" w:rsidRDefault="009150A0" w:rsidP="00071F5D">
      <w:pPr>
        <w:pStyle w:val="SCCLsocParty"/>
        <w:spacing w:after="720"/>
      </w:pPr>
      <w:r w:rsidRPr="00F06D71">
        <w:t>Grain Millers International Union, Local 468</w:t>
      </w:r>
      <w:r w:rsidR="006318D3" w:rsidRPr="00F06D71">
        <w:rPr>
          <w:rStyle w:val="SCCLsocPartyRole"/>
        </w:rPr>
        <w:tab/>
        <w:t>Intimé</w:t>
      </w:r>
      <w:r w:rsidRPr="00F06D71">
        <w:rPr>
          <w:rStyle w:val="SCCLsocPartyRole"/>
        </w:rPr>
        <w:t>s</w:t>
      </w:r>
    </w:p>
    <w:p w:rsidR="00296EC6" w:rsidRPr="00F06D71" w:rsidRDefault="009150A0">
      <w:pPr>
        <w:pStyle w:val="SCCLsocOtherPartySeparator"/>
        <w:rPr>
          <w:lang w:val="fr-CA"/>
        </w:rPr>
      </w:pPr>
      <w:r w:rsidRPr="00F06D71">
        <w:rPr>
          <w:lang w:val="fr-CA"/>
        </w:rPr>
        <w:t>et</w:t>
      </w:r>
    </w:p>
    <w:p w:rsidR="0085323D" w:rsidRPr="00F06D71" w:rsidRDefault="00061336" w:rsidP="006318D3">
      <w:pPr>
        <w:pStyle w:val="SCCLsocParty"/>
        <w:rPr>
          <w:lang w:val="fr-CA"/>
        </w:rPr>
      </w:pPr>
      <w:r w:rsidRPr="00F06D71">
        <w:rPr>
          <w:lang w:val="fr-CA"/>
        </w:rPr>
        <w:t xml:space="preserve">Procureur général du Québec, </w:t>
      </w:r>
      <w:r w:rsidR="009150A0" w:rsidRPr="00F06D71">
        <w:rPr>
          <w:lang w:val="fr-CA"/>
        </w:rPr>
        <w:t>Robert Thauvette</w:t>
      </w:r>
      <w:r w:rsidR="006318D3" w:rsidRPr="00F06D71">
        <w:rPr>
          <w:lang w:val="fr-CA"/>
        </w:rPr>
        <w:t xml:space="preserve"> </w:t>
      </w:r>
      <w:r w:rsidRPr="00F06D71">
        <w:rPr>
          <w:lang w:val="fr-CA"/>
        </w:rPr>
        <w:t xml:space="preserve">et </w:t>
      </w:r>
    </w:p>
    <w:p w:rsidR="00296EC6" w:rsidRPr="00F06D71" w:rsidRDefault="009150A0" w:rsidP="00071F5D">
      <w:pPr>
        <w:pStyle w:val="SCCLsocParty"/>
        <w:spacing w:after="720"/>
        <w:rPr>
          <w:lang w:val="fr-CA"/>
        </w:rPr>
      </w:pPr>
      <w:r w:rsidRPr="00F06D71">
        <w:rPr>
          <w:lang w:val="fr-CA"/>
        </w:rPr>
        <w:t>T</w:t>
      </w:r>
      <w:r w:rsidR="006318D3" w:rsidRPr="00F06D71">
        <w:rPr>
          <w:lang w:val="fr-CA"/>
        </w:rPr>
        <w:t>ribunal administratif du Québec</w:t>
      </w:r>
      <w:r w:rsidR="006318D3" w:rsidRPr="00F06D71">
        <w:rPr>
          <w:rStyle w:val="SCCLsocPartyRole"/>
          <w:lang w:val="fr-CA"/>
        </w:rPr>
        <w:tab/>
        <w:t>Intervenant</w:t>
      </w:r>
      <w:r w:rsidRPr="00F06D71">
        <w:rPr>
          <w:rStyle w:val="SCCLsocPartyRole"/>
          <w:lang w:val="fr-CA"/>
        </w:rPr>
        <w:t>s</w:t>
      </w:r>
    </w:p>
    <w:p w:rsidR="004D7D95" w:rsidRPr="00F06D71" w:rsidRDefault="004D7D95" w:rsidP="00071F5D">
      <w:pPr>
        <w:spacing w:after="720"/>
        <w:jc w:val="both"/>
        <w:rPr>
          <w:b/>
          <w:lang w:val="fr-CA"/>
        </w:rPr>
      </w:pPr>
      <w:r w:rsidRPr="00F06D71">
        <w:rPr>
          <w:b/>
          <w:lang w:val="fr-CA"/>
        </w:rPr>
        <w:t>Répertorié</w:t>
      </w:r>
      <w:r w:rsidR="00F103A8" w:rsidRPr="00F06D71">
        <w:rPr>
          <w:b/>
          <w:lang w:val="fr-CA"/>
        </w:rPr>
        <w:t> :</w:t>
      </w:r>
      <w:r w:rsidRPr="00F06D71">
        <w:rPr>
          <w:b/>
          <w:lang w:val="fr-CA"/>
        </w:rPr>
        <w:t xml:space="preserve"> Régie des rentes du Québec </w:t>
      </w:r>
      <w:r w:rsidRPr="00F06D71">
        <w:rPr>
          <w:b/>
          <w:i/>
          <w:lang w:val="fr-CA"/>
        </w:rPr>
        <w:t>c.</w:t>
      </w:r>
      <w:r w:rsidRPr="00F06D71">
        <w:rPr>
          <w:b/>
          <w:lang w:val="fr-CA"/>
        </w:rPr>
        <w:t xml:space="preserve"> Canada Bread Company Ltd.</w:t>
      </w:r>
    </w:p>
    <w:p w:rsidR="004D7D95" w:rsidRPr="00F06D71" w:rsidRDefault="00F62639" w:rsidP="00071F5D">
      <w:pPr>
        <w:pStyle w:val="SCCSystemYear"/>
        <w:spacing w:after="720"/>
        <w:jc w:val="both"/>
        <w:rPr>
          <w:lang w:val="fr-CA"/>
        </w:rPr>
      </w:pPr>
      <w:r w:rsidRPr="00F06D71">
        <w:rPr>
          <w:lang w:val="fr-CA"/>
        </w:rPr>
        <w:t>2013</w:t>
      </w:r>
      <w:r w:rsidR="004D7D95" w:rsidRPr="00F06D71">
        <w:rPr>
          <w:lang w:val="fr-CA"/>
        </w:rPr>
        <w:t xml:space="preserve"> CSC </w:t>
      </w:r>
      <w:r w:rsidR="0029657A" w:rsidRPr="00F06D71">
        <w:rPr>
          <w:lang w:val="fr-CA"/>
        </w:rPr>
        <w:t>46</w:t>
      </w:r>
    </w:p>
    <w:p w:rsidR="004D7D95" w:rsidRPr="00F06D71" w:rsidRDefault="004D7D95" w:rsidP="00071F5D">
      <w:pPr>
        <w:spacing w:after="720"/>
        <w:jc w:val="both"/>
        <w:rPr>
          <w:lang w:val="fr-CA"/>
        </w:rPr>
      </w:pPr>
      <w:r w:rsidRPr="00F06D71">
        <w:rPr>
          <w:lang w:val="fr-CA"/>
        </w:rPr>
        <w:t>N</w:t>
      </w:r>
      <w:r w:rsidRPr="00F06D71">
        <w:rPr>
          <w:vertAlign w:val="superscript"/>
          <w:lang w:val="fr-CA"/>
        </w:rPr>
        <w:t>o</w:t>
      </w:r>
      <w:r w:rsidRPr="00F06D71">
        <w:rPr>
          <w:lang w:val="fr-CA"/>
        </w:rPr>
        <w:t xml:space="preserve"> du greffe</w:t>
      </w:r>
      <w:r w:rsidR="00F103A8" w:rsidRPr="00F06D71">
        <w:rPr>
          <w:lang w:val="fr-CA"/>
        </w:rPr>
        <w:t> :</w:t>
      </w:r>
      <w:r w:rsidRPr="00F06D71">
        <w:rPr>
          <w:lang w:val="fr-CA"/>
        </w:rPr>
        <w:t> 34505.</w:t>
      </w:r>
    </w:p>
    <w:p w:rsidR="004D7D95" w:rsidRPr="00F06D71" w:rsidRDefault="00F62639" w:rsidP="00071F5D">
      <w:pPr>
        <w:spacing w:after="720"/>
        <w:jc w:val="both"/>
        <w:rPr>
          <w:lang w:val="fr-CA"/>
        </w:rPr>
      </w:pPr>
      <w:r w:rsidRPr="00F06D71">
        <w:rPr>
          <w:lang w:val="fr-CA"/>
        </w:rPr>
        <w:t>2013</w:t>
      </w:r>
      <w:r w:rsidR="00F103A8" w:rsidRPr="00F06D71">
        <w:rPr>
          <w:lang w:val="fr-CA"/>
        </w:rPr>
        <w:t> :</w:t>
      </w:r>
      <w:r w:rsidR="00D96BD4" w:rsidRPr="00F06D71">
        <w:rPr>
          <w:lang w:val="fr-CA"/>
        </w:rPr>
        <w:t> </w:t>
      </w:r>
      <w:r w:rsidRPr="00F06D71">
        <w:rPr>
          <w:lang w:val="fr-CA"/>
        </w:rPr>
        <w:t>17</w:t>
      </w:r>
      <w:r w:rsidR="00071F5D" w:rsidRPr="00F06D71">
        <w:rPr>
          <w:lang w:val="fr-CA"/>
        </w:rPr>
        <w:t> </w:t>
      </w:r>
      <w:r w:rsidRPr="00F06D71">
        <w:rPr>
          <w:lang w:val="fr-CA"/>
        </w:rPr>
        <w:t>avril</w:t>
      </w:r>
      <w:r w:rsidR="00E23C76" w:rsidRPr="00F06D71">
        <w:rPr>
          <w:lang w:val="fr-CA"/>
        </w:rPr>
        <w:t>; 2013</w:t>
      </w:r>
      <w:r w:rsidR="00F103A8" w:rsidRPr="00F06D71">
        <w:rPr>
          <w:lang w:val="fr-CA"/>
        </w:rPr>
        <w:t> :</w:t>
      </w:r>
      <w:r w:rsidR="00E23C76" w:rsidRPr="00F06D71">
        <w:rPr>
          <w:lang w:val="fr-CA"/>
        </w:rPr>
        <w:t> 13 septembre</w:t>
      </w:r>
      <w:r w:rsidR="004D7D95" w:rsidRPr="00F06D71">
        <w:rPr>
          <w:lang w:val="fr-CA"/>
        </w:rPr>
        <w:t>.</w:t>
      </w:r>
    </w:p>
    <w:p w:rsidR="004D7D95" w:rsidRPr="00F06D71" w:rsidRDefault="004D7D95" w:rsidP="00071F5D">
      <w:pPr>
        <w:spacing w:after="720"/>
        <w:jc w:val="both"/>
        <w:rPr>
          <w:lang w:val="fr-CA"/>
        </w:rPr>
      </w:pPr>
      <w:r w:rsidRPr="00F06D71">
        <w:rPr>
          <w:lang w:val="fr-CA"/>
        </w:rPr>
        <w:t>Présents</w:t>
      </w:r>
      <w:r w:rsidR="00F103A8" w:rsidRPr="00F06D71">
        <w:rPr>
          <w:lang w:val="fr-CA"/>
        </w:rPr>
        <w:t> :</w:t>
      </w:r>
      <w:r w:rsidRPr="00F06D71">
        <w:rPr>
          <w:lang w:val="fr-CA"/>
        </w:rPr>
        <w:t> La juge en chef McLachlin et les juges Fish, Abella, Rothstein, Cromwell, Karakatsanis et Wagner.</w:t>
      </w:r>
    </w:p>
    <w:p w:rsidR="004D7D95" w:rsidRPr="00F06D71" w:rsidRDefault="004D7D95" w:rsidP="0054529F">
      <w:pPr>
        <w:spacing w:after="720"/>
        <w:jc w:val="both"/>
        <w:rPr>
          <w:smallCaps/>
          <w:lang w:val="fr-CA"/>
        </w:rPr>
      </w:pPr>
      <w:r w:rsidRPr="00F06D71">
        <w:rPr>
          <w:smallCaps/>
          <w:lang w:val="fr-CA"/>
        </w:rPr>
        <w:lastRenderedPageBreak/>
        <w:t xml:space="preserve">en appel de la </w:t>
      </w:r>
      <w:r w:rsidR="006318D3" w:rsidRPr="00F06D71">
        <w:rPr>
          <w:smallCaps/>
          <w:lang w:val="fr-CA"/>
        </w:rPr>
        <w:t>cour d</w:t>
      </w:r>
      <w:r w:rsidR="00D96BD4" w:rsidRPr="00F06D71">
        <w:rPr>
          <w:smallCaps/>
          <w:lang w:val="fr-CA"/>
        </w:rPr>
        <w:t>’</w:t>
      </w:r>
      <w:r w:rsidR="006318D3" w:rsidRPr="00F06D71">
        <w:rPr>
          <w:smallCaps/>
          <w:lang w:val="fr-CA"/>
        </w:rPr>
        <w:t>appel du québec</w:t>
      </w:r>
    </w:p>
    <w:p w:rsidR="009F477C" w:rsidRPr="00F06D71" w:rsidRDefault="009F477C" w:rsidP="00FA276C">
      <w:pPr>
        <w:pStyle w:val="SCCNormalDoubleSpacing"/>
        <w:spacing w:after="480"/>
        <w:rPr>
          <w:i/>
          <w:lang w:val="fr-CA"/>
        </w:rPr>
      </w:pPr>
      <w:r w:rsidRPr="00F06D71">
        <w:rPr>
          <w:i/>
          <w:lang w:val="fr-CA"/>
        </w:rPr>
        <w:tab/>
        <w:t xml:space="preserve">Législation — Rétroactivité — Dispositions déclaratoires — Régie des rentes du Québec procédant à la terminaison </w:t>
      </w:r>
      <w:r w:rsidR="002A0830">
        <w:rPr>
          <w:i/>
          <w:lang w:val="fr-CA"/>
        </w:rPr>
        <w:t xml:space="preserve">partielle </w:t>
      </w:r>
      <w:r w:rsidRPr="00F06D71">
        <w:rPr>
          <w:i/>
          <w:lang w:val="fr-CA"/>
        </w:rPr>
        <w:t>d’un régime de retraite — Loi modifiant la Loi sur les régimes complémentaires de retraite entrée en vigueur après l’annulation de la décision de la Régie par la Cour d’appel et son renvoi devant la Régie pour que cette dernière statue à nouveau sur l’affaire — Nouvelles dispositions déclaratoires applicables aux causes pendantes — Le litige entre les parties était</w:t>
      </w:r>
      <w:r w:rsidR="00F103A8" w:rsidRPr="00F06D71">
        <w:rPr>
          <w:i/>
          <w:lang w:val="fr-CA"/>
        </w:rPr>
        <w:noBreakHyphen/>
      </w:r>
      <w:r w:rsidRPr="00F06D71">
        <w:rPr>
          <w:i/>
          <w:lang w:val="fr-CA"/>
        </w:rPr>
        <w:t>il pendant à l’entrée en vigueur des dispositions? — L’arrêt de la Cour d’appel a</w:t>
      </w:r>
      <w:r w:rsidR="00F103A8" w:rsidRPr="00F06D71">
        <w:rPr>
          <w:i/>
          <w:lang w:val="fr-CA"/>
        </w:rPr>
        <w:noBreakHyphen/>
      </w:r>
      <w:r w:rsidRPr="00F06D71">
        <w:rPr>
          <w:i/>
          <w:lang w:val="fr-CA"/>
        </w:rPr>
        <w:t>t</w:t>
      </w:r>
      <w:r w:rsidR="00F103A8" w:rsidRPr="00F06D71">
        <w:rPr>
          <w:i/>
          <w:lang w:val="fr-CA"/>
        </w:rPr>
        <w:noBreakHyphen/>
      </w:r>
      <w:r w:rsidRPr="00F06D71">
        <w:rPr>
          <w:i/>
          <w:lang w:val="fr-CA"/>
        </w:rPr>
        <w:t xml:space="preserve">il statué </w:t>
      </w:r>
      <w:r w:rsidRPr="00F06D71">
        <w:rPr>
          <w:i/>
          <w:lang w:val="fr-CA" w:bidi="en-US"/>
        </w:rPr>
        <w:t>entièrement et définitivement sur les droits et obligations des parties découlant des terminaisons partielles d</w:t>
      </w:r>
      <w:r w:rsidR="002A0830">
        <w:rPr>
          <w:i/>
          <w:lang w:val="fr-CA" w:bidi="en-US"/>
        </w:rPr>
        <w:t>u</w:t>
      </w:r>
      <w:r w:rsidRPr="00F06D71">
        <w:rPr>
          <w:i/>
          <w:lang w:val="fr-CA" w:bidi="en-US"/>
        </w:rPr>
        <w:t xml:space="preserve"> régime de retraite?</w:t>
      </w:r>
      <w:r w:rsidRPr="00F06D71">
        <w:rPr>
          <w:i/>
          <w:lang w:val="fr-CA"/>
        </w:rPr>
        <w:t xml:space="preserve"> — La Régie pouvait</w:t>
      </w:r>
      <w:r w:rsidR="00F103A8" w:rsidRPr="00F06D71">
        <w:rPr>
          <w:i/>
          <w:lang w:val="fr-CA"/>
        </w:rPr>
        <w:noBreakHyphen/>
      </w:r>
      <w:r w:rsidRPr="00F06D71">
        <w:rPr>
          <w:i/>
          <w:lang w:val="fr-CA"/>
        </w:rPr>
        <w:t xml:space="preserve">elle donner effet aux dispositions déclaratoires pour trancher le litige qui opposait les parties? — Loi modifiant la Loi sur les régimes complémentaires de retraite, </w:t>
      </w:r>
      <w:r w:rsidR="002A0830">
        <w:rPr>
          <w:i/>
          <w:lang w:val="fr-CA"/>
        </w:rPr>
        <w:t xml:space="preserve">la </w:t>
      </w:r>
      <w:r w:rsidRPr="00F06D71">
        <w:rPr>
          <w:i/>
          <w:szCs w:val="24"/>
          <w:lang w:val="fr-CA"/>
        </w:rPr>
        <w:t xml:space="preserve">Loi sur le régime de rentes du Québec et d’autres dispositions législatives, L.Q. 2008, </w:t>
      </w:r>
      <w:r w:rsidR="00F103A8" w:rsidRPr="00F06D71">
        <w:rPr>
          <w:i/>
          <w:szCs w:val="24"/>
          <w:lang w:val="fr-CA"/>
        </w:rPr>
        <w:t>ch. </w:t>
      </w:r>
      <w:r w:rsidRPr="00F06D71">
        <w:rPr>
          <w:i/>
          <w:szCs w:val="24"/>
          <w:lang w:val="fr-CA"/>
        </w:rPr>
        <w:t xml:space="preserve">21 </w:t>
      </w:r>
      <w:r w:rsidRPr="00F06D71">
        <w:rPr>
          <w:i/>
          <w:lang w:val="fr-CA"/>
        </w:rPr>
        <w:t>—</w:t>
      </w:r>
      <w:r w:rsidRPr="00F06D71">
        <w:rPr>
          <w:lang w:val="fr-CA"/>
        </w:rPr>
        <w:t xml:space="preserve"> </w:t>
      </w:r>
      <w:r w:rsidRPr="00F06D71">
        <w:rPr>
          <w:i/>
          <w:szCs w:val="24"/>
          <w:lang w:val="fr-CA"/>
        </w:rPr>
        <w:t xml:space="preserve">Loi sur les régimes complémentaires de retraite, L.R.Q., </w:t>
      </w:r>
      <w:r w:rsidR="00F103A8" w:rsidRPr="00F06D71">
        <w:rPr>
          <w:i/>
          <w:szCs w:val="24"/>
          <w:lang w:val="fr-CA"/>
        </w:rPr>
        <w:t>ch. </w:t>
      </w:r>
      <w:r w:rsidRPr="00F06D71">
        <w:rPr>
          <w:i/>
          <w:szCs w:val="24"/>
          <w:lang w:val="fr-CA"/>
        </w:rPr>
        <w:t>R</w:t>
      </w:r>
      <w:r w:rsidR="00F103A8" w:rsidRPr="00F06D71">
        <w:rPr>
          <w:i/>
          <w:szCs w:val="24"/>
          <w:lang w:val="fr-CA"/>
        </w:rPr>
        <w:noBreakHyphen/>
      </w:r>
      <w:r w:rsidRPr="00F06D71">
        <w:rPr>
          <w:i/>
          <w:szCs w:val="24"/>
          <w:lang w:val="fr-CA"/>
        </w:rPr>
        <w:t xml:space="preserve">15.1, </w:t>
      </w:r>
      <w:r w:rsidR="00F103A8" w:rsidRPr="00F06D71">
        <w:rPr>
          <w:i/>
          <w:szCs w:val="24"/>
          <w:lang w:val="fr-CA"/>
        </w:rPr>
        <w:t>art. </w:t>
      </w:r>
      <w:r w:rsidRPr="00F06D71">
        <w:rPr>
          <w:i/>
          <w:szCs w:val="24"/>
          <w:lang w:val="fr-CA"/>
        </w:rPr>
        <w:t>14.1, 228.1, 319</w:t>
      </w:r>
      <w:r w:rsidR="00270677" w:rsidRPr="00F06D71">
        <w:rPr>
          <w:i/>
          <w:szCs w:val="24"/>
          <w:lang w:val="fr-CA"/>
        </w:rPr>
        <w:t>.1</w:t>
      </w:r>
      <w:r w:rsidRPr="00F06D71">
        <w:rPr>
          <w:i/>
          <w:szCs w:val="24"/>
          <w:lang w:val="fr-CA"/>
        </w:rPr>
        <w:t>.</w:t>
      </w:r>
    </w:p>
    <w:p w:rsidR="009F477C" w:rsidRPr="00F06D71" w:rsidRDefault="009F477C" w:rsidP="00FA276C">
      <w:pPr>
        <w:pStyle w:val="SCCNormalDoubleSpacing"/>
        <w:spacing w:after="480"/>
        <w:rPr>
          <w:i/>
          <w:lang w:val="fr-CA"/>
        </w:rPr>
      </w:pPr>
      <w:r w:rsidRPr="00F06D71">
        <w:rPr>
          <w:lang w:val="fr-CA"/>
        </w:rPr>
        <w:tab/>
      </w:r>
      <w:r w:rsidRPr="00F06D71">
        <w:rPr>
          <w:i/>
          <w:lang w:val="fr-CA"/>
        </w:rPr>
        <w:t xml:space="preserve">Droit administratif — Organismes et tribunaux administratifs — Compétence — Régie des rentes du Québec procédant à la terminaison </w:t>
      </w:r>
      <w:r w:rsidR="002A0830">
        <w:rPr>
          <w:i/>
          <w:lang w:val="fr-CA"/>
        </w:rPr>
        <w:t xml:space="preserve">partielle </w:t>
      </w:r>
      <w:r w:rsidRPr="00F06D71">
        <w:rPr>
          <w:i/>
          <w:lang w:val="fr-CA"/>
        </w:rPr>
        <w:t>d’un régime de retraite — Loi modifiant la Loi sur les régimes complémentaires de retraite entrée en vigueur après l’annulation de la décision de la Régie par la Cour d’appel et son renvoi devant la Régie pour que cette dernière statue à nouveau sur l’affaire — La Régie pouvait</w:t>
      </w:r>
      <w:r w:rsidR="00F103A8" w:rsidRPr="00F06D71">
        <w:rPr>
          <w:i/>
          <w:lang w:val="fr-CA"/>
        </w:rPr>
        <w:noBreakHyphen/>
      </w:r>
      <w:r w:rsidRPr="00F06D71">
        <w:rPr>
          <w:i/>
          <w:lang w:val="fr-CA"/>
        </w:rPr>
        <w:t xml:space="preserve">elle tenir compte des nouvelles dispositions déclaratoires pour statuer sur l’affaire? </w:t>
      </w:r>
      <w:r w:rsidR="0030062F" w:rsidRPr="00F06D71">
        <w:rPr>
          <w:i/>
          <w:lang w:val="fr-CA"/>
        </w:rPr>
        <w:t>—</w:t>
      </w:r>
      <w:r w:rsidR="0030062F" w:rsidRPr="00F06D71">
        <w:rPr>
          <w:lang w:val="fr-CA"/>
        </w:rPr>
        <w:t xml:space="preserve"> </w:t>
      </w:r>
      <w:r w:rsidRPr="00F06D71">
        <w:rPr>
          <w:i/>
          <w:lang w:val="fr-CA"/>
        </w:rPr>
        <w:t xml:space="preserve">Loi modifiant la Loi sur les régimes complémentaires de </w:t>
      </w:r>
      <w:r w:rsidRPr="00F06D71">
        <w:rPr>
          <w:i/>
          <w:lang w:val="fr-CA"/>
        </w:rPr>
        <w:lastRenderedPageBreak/>
        <w:t xml:space="preserve">retraite, </w:t>
      </w:r>
      <w:r w:rsidR="002A0830">
        <w:rPr>
          <w:i/>
          <w:lang w:val="fr-CA"/>
        </w:rPr>
        <w:t xml:space="preserve">la </w:t>
      </w:r>
      <w:r w:rsidRPr="00F06D71">
        <w:rPr>
          <w:i/>
          <w:szCs w:val="24"/>
          <w:lang w:val="fr-CA"/>
        </w:rPr>
        <w:t xml:space="preserve">Loi sur le régime de rentes du Québec et d’autres dispositions législatives, L.Q. 2008, </w:t>
      </w:r>
      <w:r w:rsidR="00F103A8" w:rsidRPr="00F06D71">
        <w:rPr>
          <w:i/>
          <w:szCs w:val="24"/>
          <w:lang w:val="fr-CA"/>
        </w:rPr>
        <w:t>ch. </w:t>
      </w:r>
      <w:r w:rsidRPr="00F06D71">
        <w:rPr>
          <w:i/>
          <w:szCs w:val="24"/>
          <w:lang w:val="fr-CA"/>
        </w:rPr>
        <w:t xml:space="preserve">21 </w:t>
      </w:r>
      <w:r w:rsidRPr="00F06D71">
        <w:rPr>
          <w:i/>
          <w:lang w:val="fr-CA"/>
        </w:rPr>
        <w:t>—</w:t>
      </w:r>
      <w:r w:rsidRPr="00F06D71">
        <w:rPr>
          <w:lang w:val="fr-CA"/>
        </w:rPr>
        <w:t xml:space="preserve"> </w:t>
      </w:r>
      <w:r w:rsidRPr="00F06D71">
        <w:rPr>
          <w:i/>
          <w:szCs w:val="24"/>
          <w:lang w:val="fr-CA"/>
        </w:rPr>
        <w:t xml:space="preserve">Loi sur les régimes complémentaires de retraite, L.R.Q., </w:t>
      </w:r>
      <w:r w:rsidR="00F103A8" w:rsidRPr="00F06D71">
        <w:rPr>
          <w:i/>
          <w:szCs w:val="24"/>
          <w:lang w:val="fr-CA"/>
        </w:rPr>
        <w:t>ch. </w:t>
      </w:r>
      <w:r w:rsidRPr="00F06D71">
        <w:rPr>
          <w:i/>
          <w:szCs w:val="24"/>
          <w:lang w:val="fr-CA"/>
        </w:rPr>
        <w:t>R</w:t>
      </w:r>
      <w:r w:rsidR="00F103A8" w:rsidRPr="00F06D71">
        <w:rPr>
          <w:i/>
          <w:szCs w:val="24"/>
          <w:lang w:val="fr-CA"/>
        </w:rPr>
        <w:noBreakHyphen/>
      </w:r>
      <w:r w:rsidRPr="00F06D71">
        <w:rPr>
          <w:i/>
          <w:szCs w:val="24"/>
          <w:lang w:val="fr-CA"/>
        </w:rPr>
        <w:t xml:space="preserve">15.1, </w:t>
      </w:r>
      <w:r w:rsidR="00F103A8" w:rsidRPr="00F06D71">
        <w:rPr>
          <w:i/>
          <w:szCs w:val="24"/>
          <w:lang w:val="fr-CA"/>
        </w:rPr>
        <w:t>art. </w:t>
      </w:r>
      <w:r w:rsidRPr="00F06D71">
        <w:rPr>
          <w:i/>
          <w:szCs w:val="24"/>
          <w:lang w:val="fr-CA"/>
        </w:rPr>
        <w:t>14.1, 228.1, 319</w:t>
      </w:r>
      <w:r w:rsidR="00270677" w:rsidRPr="00F06D71">
        <w:rPr>
          <w:i/>
          <w:szCs w:val="24"/>
          <w:lang w:val="fr-CA"/>
        </w:rPr>
        <w:t>.1</w:t>
      </w:r>
      <w:r w:rsidRPr="00F06D71">
        <w:rPr>
          <w:i/>
          <w:szCs w:val="24"/>
          <w:lang w:val="fr-CA"/>
        </w:rPr>
        <w:t>.</w:t>
      </w:r>
    </w:p>
    <w:p w:rsidR="009F477C" w:rsidRPr="00F06D71" w:rsidRDefault="009F477C" w:rsidP="00FA276C">
      <w:pPr>
        <w:pStyle w:val="SCCNormalDoubleSpacing"/>
        <w:spacing w:after="480"/>
        <w:rPr>
          <w:lang w:val="fr-CA"/>
        </w:rPr>
      </w:pPr>
      <w:r w:rsidRPr="00F06D71">
        <w:rPr>
          <w:lang w:val="fr-CA"/>
        </w:rPr>
        <w:tab/>
        <w:t>Par suite de la fermeture de deux divisions de l’employeur, Multi</w:t>
      </w:r>
      <w:r w:rsidR="00F103A8" w:rsidRPr="00F06D71">
        <w:rPr>
          <w:lang w:val="fr-CA"/>
        </w:rPr>
        <w:noBreakHyphen/>
      </w:r>
      <w:r w:rsidRPr="00F06D71">
        <w:rPr>
          <w:lang w:val="fr-CA"/>
        </w:rPr>
        <w:t xml:space="preserve">Marques, la Régie des rentes du Québec a rendu, en application de la </w:t>
      </w:r>
      <w:r w:rsidRPr="00F06D71">
        <w:rPr>
          <w:i/>
          <w:lang w:val="fr-CA"/>
        </w:rPr>
        <w:t>Loi sur les régimes complémentaires de retraite</w:t>
      </w:r>
      <w:r w:rsidRPr="00F06D71">
        <w:rPr>
          <w:lang w:val="fr-CA"/>
        </w:rPr>
        <w:t xml:space="preserve"> du Québec (« </w:t>
      </w:r>
      <w:r w:rsidRPr="00F06D71">
        <w:rPr>
          <w:i/>
          <w:lang w:val="fr-CA"/>
        </w:rPr>
        <w:t>LRCR</w:t>
      </w:r>
      <w:r w:rsidRPr="00F06D71">
        <w:rPr>
          <w:lang w:val="fr-CA"/>
        </w:rPr>
        <w:t xml:space="preserve"> »), deux décisions </w:t>
      </w:r>
      <w:r w:rsidRPr="00F06D71">
        <w:rPr>
          <w:szCs w:val="24"/>
          <w:lang w:val="fr-CA"/>
        </w:rPr>
        <w:t>qui terminaient partiellement le régime de retraite des employés de ces divisions.  Multi</w:t>
      </w:r>
      <w:r w:rsidR="00F103A8" w:rsidRPr="00F06D71">
        <w:rPr>
          <w:szCs w:val="24"/>
          <w:lang w:val="fr-CA"/>
        </w:rPr>
        <w:noBreakHyphen/>
      </w:r>
      <w:r w:rsidRPr="00F06D71">
        <w:rPr>
          <w:szCs w:val="24"/>
          <w:lang w:val="fr-CA"/>
        </w:rPr>
        <w:t xml:space="preserve">Marques a contesté la façon dont la terminaison avait été exécutée, faisant valoir que, selon les </w:t>
      </w:r>
      <w:r w:rsidR="00F103A8" w:rsidRPr="00F06D71">
        <w:rPr>
          <w:szCs w:val="24"/>
          <w:lang w:val="fr-CA"/>
        </w:rPr>
        <w:t>art. </w:t>
      </w:r>
      <w:r w:rsidRPr="00F06D71">
        <w:rPr>
          <w:szCs w:val="24"/>
          <w:lang w:val="fr-CA"/>
        </w:rPr>
        <w:t xml:space="preserve">9.12 et 9.13 des règles du régime, les droits des employés devaient être réduits si les cotisations de l’employeur étaient insuffisantes pour éponger le déficit du régime. </w:t>
      </w:r>
      <w:r w:rsidR="00F103A8" w:rsidRPr="00F06D71">
        <w:rPr>
          <w:szCs w:val="24"/>
          <w:lang w:val="fr-CA"/>
        </w:rPr>
        <w:t xml:space="preserve"> </w:t>
      </w:r>
      <w:r w:rsidRPr="00F06D71">
        <w:rPr>
          <w:szCs w:val="24"/>
          <w:lang w:val="fr-CA"/>
        </w:rPr>
        <w:t xml:space="preserve">Un comité de révision à qui la Régie a soumis la question a conclu que les </w:t>
      </w:r>
      <w:r w:rsidR="00F103A8" w:rsidRPr="00F06D71">
        <w:rPr>
          <w:szCs w:val="24"/>
          <w:lang w:val="fr-CA"/>
        </w:rPr>
        <w:t>art. </w:t>
      </w:r>
      <w:r w:rsidRPr="00F06D71">
        <w:rPr>
          <w:szCs w:val="24"/>
          <w:lang w:val="fr-CA"/>
        </w:rPr>
        <w:t xml:space="preserve">9.12 et 9.13 étaient incompatibles avec la </w:t>
      </w:r>
      <w:r w:rsidRPr="00F06D71">
        <w:rPr>
          <w:i/>
          <w:szCs w:val="24"/>
          <w:lang w:val="fr-CA"/>
        </w:rPr>
        <w:t>LRCR</w:t>
      </w:r>
      <w:r w:rsidR="00B85911" w:rsidRPr="00B85911">
        <w:rPr>
          <w:szCs w:val="24"/>
          <w:lang w:val="fr-CA"/>
        </w:rPr>
        <w:t>,</w:t>
      </w:r>
      <w:r w:rsidRPr="00F06D71">
        <w:rPr>
          <w:szCs w:val="24"/>
          <w:lang w:val="fr-CA"/>
        </w:rPr>
        <w:t xml:space="preserve"> aux termes de laquelle le manque d’actifs d’un régime de pension nécessaires à l’acquittement des droits des participants et des bénéficiaires constitue une dette de l’employeur.</w:t>
      </w:r>
      <w:r w:rsidRPr="00F06D71">
        <w:rPr>
          <w:lang w:val="fr-CA"/>
        </w:rPr>
        <w:t xml:space="preserve">  C</w:t>
      </w:r>
      <w:r w:rsidRPr="00F06D71">
        <w:rPr>
          <w:szCs w:val="24"/>
          <w:lang w:val="fr-CA"/>
        </w:rPr>
        <w:t>ette décision a été confirmée par le Tribunal administratif du Québec (« TAQ ») et par la Cour supérieure.</w:t>
      </w:r>
      <w:r w:rsidR="00F103A8" w:rsidRPr="00F06D71">
        <w:rPr>
          <w:szCs w:val="24"/>
          <w:lang w:val="fr-CA"/>
        </w:rPr>
        <w:t xml:space="preserve"> </w:t>
      </w:r>
      <w:r w:rsidRPr="00F06D71">
        <w:rPr>
          <w:szCs w:val="24"/>
          <w:lang w:val="fr-CA"/>
        </w:rPr>
        <w:t xml:space="preserve"> La Cour d’appel a toutefois conclu que les </w:t>
      </w:r>
      <w:r w:rsidR="00F103A8" w:rsidRPr="00F06D71">
        <w:rPr>
          <w:szCs w:val="24"/>
          <w:lang w:val="fr-CA"/>
        </w:rPr>
        <w:t>art. </w:t>
      </w:r>
      <w:r w:rsidRPr="00F06D71">
        <w:rPr>
          <w:szCs w:val="24"/>
          <w:lang w:val="fr-CA"/>
        </w:rPr>
        <w:t xml:space="preserve">9.12 et 9.13 n’étaient pas incompatibles avec la </w:t>
      </w:r>
      <w:r w:rsidRPr="00F06D71">
        <w:rPr>
          <w:i/>
          <w:szCs w:val="24"/>
          <w:lang w:val="fr-CA"/>
        </w:rPr>
        <w:t xml:space="preserve">LRCR </w:t>
      </w:r>
      <w:r w:rsidRPr="00F06D71">
        <w:rPr>
          <w:szCs w:val="24"/>
          <w:lang w:val="fr-CA"/>
        </w:rPr>
        <w:t xml:space="preserve">et a donc renvoyé l’affaire à la Régie en lui enjoignant de réviser ses décisions initiales en tenant compte des principes se dégageant de son jugement.  </w:t>
      </w:r>
    </w:p>
    <w:p w:rsidR="009F477C" w:rsidRPr="00F06D71" w:rsidRDefault="009F477C" w:rsidP="00FA276C">
      <w:pPr>
        <w:pStyle w:val="SCCNormalDoubleSpacing"/>
        <w:spacing w:after="480"/>
        <w:rPr>
          <w:lang w:val="fr-CA"/>
        </w:rPr>
      </w:pPr>
      <w:r w:rsidRPr="00F06D71">
        <w:rPr>
          <w:lang w:val="fr-CA"/>
        </w:rPr>
        <w:tab/>
        <w:t xml:space="preserve">Pendant qu’une demande d’autorisation d’appel de la décision de la Cour d’appel était pendante devant notre Cour, la </w:t>
      </w:r>
      <w:r w:rsidRPr="00F06D71">
        <w:rPr>
          <w:i/>
          <w:lang w:val="fr-CA"/>
        </w:rPr>
        <w:t>LRCR</w:t>
      </w:r>
      <w:r w:rsidRPr="00F06D71">
        <w:rPr>
          <w:lang w:val="fr-CA"/>
        </w:rPr>
        <w:t xml:space="preserve"> a été modifiée par l’adjonction des </w:t>
      </w:r>
      <w:r w:rsidR="00F103A8" w:rsidRPr="00F06D71">
        <w:rPr>
          <w:lang w:val="fr-CA"/>
        </w:rPr>
        <w:lastRenderedPageBreak/>
        <w:t>art. </w:t>
      </w:r>
      <w:r w:rsidRPr="00F06D71">
        <w:rPr>
          <w:lang w:val="fr-CA"/>
        </w:rPr>
        <w:t xml:space="preserve">14.1 et 228.1.  En adoptant ces dispositions, le législateur consacrait essentiellement le point de vue de la Régie relativement à l’application des </w:t>
      </w:r>
      <w:r w:rsidR="00F103A8" w:rsidRPr="00F06D71">
        <w:rPr>
          <w:lang w:val="fr-CA"/>
        </w:rPr>
        <w:t>art. </w:t>
      </w:r>
      <w:r w:rsidRPr="00F06D71">
        <w:rPr>
          <w:lang w:val="fr-CA"/>
        </w:rPr>
        <w:t xml:space="preserve">9.12 et 9.13 des règles du régime et rejetait l’interprétation de la Cour d’appel.  Après le rejet de la demande d’autorisation d’appel, la Régie a entrepris de mener à terme la terminaison partielle du régime de retraite.  Au lieu de suivre les directives de la Cour d’appel, le comité de révision de la Régie a appliqué les nouvelles dispositions de la </w:t>
      </w:r>
      <w:r w:rsidRPr="00F06D71">
        <w:rPr>
          <w:i/>
          <w:lang w:val="fr-CA"/>
        </w:rPr>
        <w:t>LRCR</w:t>
      </w:r>
      <w:r w:rsidRPr="00F06D71">
        <w:rPr>
          <w:lang w:val="fr-CA"/>
        </w:rPr>
        <w:t xml:space="preserve">.  Elle a donc refusé de donner effet aux </w:t>
      </w:r>
      <w:r w:rsidR="00F103A8" w:rsidRPr="00F06D71">
        <w:rPr>
          <w:lang w:val="fr-CA"/>
        </w:rPr>
        <w:t>art. </w:t>
      </w:r>
      <w:r w:rsidRPr="00F06D71">
        <w:rPr>
          <w:lang w:val="fr-CA"/>
        </w:rPr>
        <w:t>9.12 et 9.13 et elle a confirmé ses décisions initiales.  Le TAQ a confirmé la décision de la Régie.  À l’issue d’une révision judiciaire, la Cour supérieure a annulé la décision du TAQ.  La Cour d’appel a rejeté le pourvoi de la Régie au motif que, une fois la demande d’autorisation rejetée, l’arrêt initial de la Cour d’appel est passé en force de chose jugée et la Régie aurait dû s’y conformer.</w:t>
      </w:r>
    </w:p>
    <w:p w:rsidR="009F477C" w:rsidRPr="00F06D71" w:rsidRDefault="009F477C" w:rsidP="00FA276C">
      <w:pPr>
        <w:pStyle w:val="SCCNormalDoubleSpacing"/>
        <w:spacing w:after="480"/>
        <w:rPr>
          <w:lang w:val="fr-CA"/>
        </w:rPr>
      </w:pPr>
      <w:r w:rsidRPr="00F06D71">
        <w:rPr>
          <w:lang w:val="fr-CA"/>
        </w:rPr>
        <w:tab/>
      </w:r>
      <w:r w:rsidRPr="00F06D71">
        <w:rPr>
          <w:i/>
          <w:lang w:val="fr-CA"/>
        </w:rPr>
        <w:t xml:space="preserve">Arrêt </w:t>
      </w:r>
      <w:r w:rsidR="0030062F" w:rsidRPr="00F06D71">
        <w:rPr>
          <w:lang w:val="fr-CA"/>
        </w:rPr>
        <w:t>(l</w:t>
      </w:r>
      <w:r w:rsidRPr="00F06D71">
        <w:rPr>
          <w:lang w:val="fr-CA"/>
        </w:rPr>
        <w:t>a juge en chef McLachlin et le juge Fish sont dissidents)</w:t>
      </w:r>
      <w:r w:rsidR="00F103A8" w:rsidRPr="00F06D71">
        <w:rPr>
          <w:lang w:val="fr-CA"/>
        </w:rPr>
        <w:t> :</w:t>
      </w:r>
      <w:r w:rsidRPr="00F06D71">
        <w:rPr>
          <w:lang w:val="fr-CA"/>
        </w:rPr>
        <w:t xml:space="preserve"> Le pourvoi </w:t>
      </w:r>
      <w:r w:rsidRPr="00F06D71">
        <w:rPr>
          <w:szCs w:val="24"/>
          <w:lang w:val="fr-CA"/>
        </w:rPr>
        <w:t>est</w:t>
      </w:r>
      <w:r w:rsidRPr="00F06D71">
        <w:rPr>
          <w:lang w:val="fr-CA"/>
        </w:rPr>
        <w:t xml:space="preserve"> accueilli.</w:t>
      </w:r>
    </w:p>
    <w:p w:rsidR="009F477C" w:rsidRPr="00F06D71" w:rsidRDefault="009F477C" w:rsidP="00FA276C">
      <w:pPr>
        <w:pStyle w:val="SCCNormalDoubleSpacing"/>
        <w:spacing w:after="480"/>
        <w:rPr>
          <w:szCs w:val="24"/>
          <w:lang w:val="fr-CA"/>
        </w:rPr>
      </w:pPr>
      <w:r w:rsidRPr="00F06D71">
        <w:rPr>
          <w:lang w:val="fr-CA"/>
        </w:rPr>
        <w:tab/>
      </w:r>
      <w:r w:rsidRPr="00F06D71">
        <w:rPr>
          <w:i/>
          <w:lang w:val="fr-CA"/>
        </w:rPr>
        <w:t xml:space="preserve">Les </w:t>
      </w:r>
      <w:r w:rsidRPr="00F06D71">
        <w:rPr>
          <w:lang w:val="fr-CA"/>
        </w:rPr>
        <w:t>juges</w:t>
      </w:r>
      <w:r w:rsidRPr="00F06D71">
        <w:rPr>
          <w:i/>
          <w:lang w:val="fr-CA"/>
        </w:rPr>
        <w:t xml:space="preserve"> </w:t>
      </w:r>
      <w:r w:rsidRPr="00F06D71">
        <w:rPr>
          <w:lang w:val="fr-CA"/>
        </w:rPr>
        <w:t xml:space="preserve">Abella, Rothstein, Cromwell, Karakatsanis et </w:t>
      </w:r>
      <w:r w:rsidRPr="00B85911">
        <w:rPr>
          <w:lang w:val="fr-CA"/>
        </w:rPr>
        <w:t>Wagner</w:t>
      </w:r>
      <w:r w:rsidR="00F103A8" w:rsidRPr="00F06D71">
        <w:rPr>
          <w:lang w:val="fr-CA"/>
        </w:rPr>
        <w:t> :</w:t>
      </w:r>
      <w:r w:rsidRPr="00F06D71">
        <w:rPr>
          <w:lang w:val="fr-CA"/>
        </w:rPr>
        <w:t xml:space="preserve"> Le principe de la chose jugée, qui empêche les parties de soumettre à nouveau aux tribunaux une question qui a fait l’objet d’un jugement définitif à leur égard, n’empêche pas pour autant le législateur d’intervenir pour annuler les effets d’un tel jugement.  I</w:t>
      </w:r>
      <w:r w:rsidRPr="00F06D71">
        <w:rPr>
          <w:lang w:val="fr-CA" w:bidi="en-US"/>
        </w:rPr>
        <w:t>l entre dans la prérogative du législateur de jouer un rôle judiciaire et de déterminer par des lois déclaratoires l’interprétation que doivent recevoir ses lois</w:t>
      </w:r>
      <w:r w:rsidRPr="00F06D71">
        <w:rPr>
          <w:lang w:val="fr-CA"/>
        </w:rPr>
        <w:t xml:space="preserve">.  De telles lois ont un effet immédiat sur les affaires pendantes et </w:t>
      </w:r>
      <w:r w:rsidRPr="00F06D71">
        <w:rPr>
          <w:lang w:val="fr-CA"/>
        </w:rPr>
        <w:lastRenderedPageBreak/>
        <w:t xml:space="preserve">elles font donc exception à la règle générale du caractère prospectif de la loi.  L’article 319.1 de la </w:t>
      </w:r>
      <w:r w:rsidRPr="00F06D71">
        <w:rPr>
          <w:i/>
          <w:lang w:val="fr-CA"/>
        </w:rPr>
        <w:t>LRCR</w:t>
      </w:r>
      <w:r w:rsidRPr="00F06D71">
        <w:rPr>
          <w:lang w:val="fr-CA"/>
        </w:rPr>
        <w:t xml:space="preserve">, qui a été adopté en même temps que les </w:t>
      </w:r>
      <w:r w:rsidR="00F103A8" w:rsidRPr="00F06D71">
        <w:rPr>
          <w:lang w:val="fr-CA"/>
        </w:rPr>
        <w:t>art. </w:t>
      </w:r>
      <w:r w:rsidRPr="00F06D71">
        <w:rPr>
          <w:szCs w:val="24"/>
          <w:lang w:val="fr-CA"/>
        </w:rPr>
        <w:t>14.1 et 228.1, énonce expressément que ces dispositions sont déclaratoires.  Au libellé sans équivoque de cette disposition s’ajoutent les circonstances de leur adoption, qui témoignent de l’intention du législateur qu’elles soient déclaratoires.  Il ressort des délibérations ayant mené à leur adoption que le législateur voulait infirmer l’arrêt de la Cour d’appel afin de protéger les participants et bénéficiaires du régime et d’empêcher que la décision n’acquière valeur de précédent et ne lie les tribunaux dans les affaires pendantes ou futures.</w:t>
      </w:r>
    </w:p>
    <w:p w:rsidR="009F477C" w:rsidRPr="00F06D71" w:rsidRDefault="009F477C" w:rsidP="00FA276C">
      <w:pPr>
        <w:pStyle w:val="SCCNormalDoubleSpacing"/>
        <w:spacing w:after="480"/>
        <w:rPr>
          <w:lang w:val="fr-CA"/>
        </w:rPr>
      </w:pPr>
      <w:r w:rsidRPr="00F06D71">
        <w:rPr>
          <w:lang w:val="fr-CA"/>
        </w:rPr>
        <w:tab/>
      </w:r>
      <w:r w:rsidRPr="00F06D71">
        <w:rPr>
          <w:szCs w:val="24"/>
          <w:lang w:val="fr-CA"/>
        </w:rPr>
        <w:t xml:space="preserve">Le concept de </w:t>
      </w:r>
      <w:r w:rsidRPr="00F06D71">
        <w:rPr>
          <w:szCs w:val="24"/>
          <w:lang w:val="fr-FR"/>
        </w:rPr>
        <w:t xml:space="preserve">jugement définitif qui ne statue pas ultimement sur les droits et obligations des parties est celui qui permet de distinguer les affaires pendantes des affaires non pendantes.  </w:t>
      </w:r>
      <w:r w:rsidRPr="00F06D71">
        <w:rPr>
          <w:szCs w:val="24"/>
          <w:lang w:val="fr-CA"/>
        </w:rPr>
        <w:t>En l’espèce</w:t>
      </w:r>
      <w:r w:rsidRPr="00F06D71">
        <w:rPr>
          <w:lang w:val="fr-CA"/>
        </w:rPr>
        <w:t xml:space="preserve">, à l’entrée en vigueur des dispositions déclaratoires, le litige entre les parties était encore pendant.  L’arrêt de la Cour d’appel n’a statué définitivement que sur une question de droit relative à l’interprétation de certaines dispositions des règles du régime de retraite et à leur compatibilité avec la </w:t>
      </w:r>
      <w:r w:rsidRPr="00F06D71">
        <w:rPr>
          <w:i/>
          <w:lang w:val="fr-CA"/>
        </w:rPr>
        <w:t>LRCR</w:t>
      </w:r>
      <w:r w:rsidRPr="00F06D71">
        <w:rPr>
          <w:lang w:val="fr-CA"/>
        </w:rPr>
        <w:t xml:space="preserve">.  La cour a renvoyé à la Régie la question des droits substantiels des parties pour qu’elle en décide en tenant compte de cette interprétation.  Les modalités des terminaisons partielles du régime n’avaient pas encore été établies.  La Cour d’appel lui ayant renvoyé la cause, la Régie était une autorité compétente à qui il appartenait de trancher une affaire qui était pendante à l’entrée en vigueur des dispositions déclaratoires.  Elle pouvait donc tenir compte de ces dispositions pour statuer sur l’affaire.  Lorsqu’il revient à un décideur </w:t>
      </w:r>
      <w:r w:rsidRPr="00F06D71">
        <w:rPr>
          <w:lang w:val="fr-CA"/>
        </w:rPr>
        <w:lastRenderedPageBreak/>
        <w:t xml:space="preserve">administratif de suivre les directives d’une cour de révision, c’est en application du principe du </w:t>
      </w:r>
      <w:r w:rsidRPr="00F06D71">
        <w:rPr>
          <w:i/>
          <w:lang w:val="fr-CA"/>
        </w:rPr>
        <w:t>stare decisis</w:t>
      </w:r>
      <w:r w:rsidRPr="00F06D71">
        <w:rPr>
          <w:lang w:val="fr-CA"/>
        </w:rPr>
        <w:t xml:space="preserve">.  Le décideur est donc tenu de suivre ces directives, mais dans la seule mesure où elles demeurent juridiquement valables. </w:t>
      </w:r>
      <w:r w:rsidR="00F103A8" w:rsidRPr="00F06D71">
        <w:rPr>
          <w:lang w:val="fr-CA"/>
        </w:rPr>
        <w:t xml:space="preserve"> </w:t>
      </w:r>
      <w:r w:rsidRPr="00F06D71">
        <w:rPr>
          <w:lang w:val="fr-CA"/>
        </w:rPr>
        <w:t xml:space="preserve">En l’espèce, la loi déclaratoire n’est pas ambiguë et l’Assemblée nationale a décidé unanimement de contrer l’effet de la décision de la Cour d’appel en permettant à la Régie d’interpréter la </w:t>
      </w:r>
      <w:r w:rsidRPr="00F06D71">
        <w:rPr>
          <w:i/>
          <w:lang w:val="fr-CA"/>
        </w:rPr>
        <w:t>LRCR</w:t>
      </w:r>
      <w:r w:rsidRPr="00F06D71">
        <w:rPr>
          <w:lang w:val="fr-CA"/>
        </w:rPr>
        <w:t xml:space="preserve"> conformément à ce que le législateur considérait être les véritables objectifs de cette Loi.  L’intervention du législateur a donc privé les directives de la Cour d’appel de leur validité juridique.  En conséquence, la Régie n’était pas seulement habilitée à interpréter la </w:t>
      </w:r>
      <w:r w:rsidRPr="00F06D71">
        <w:rPr>
          <w:i/>
          <w:lang w:val="fr-CA"/>
        </w:rPr>
        <w:t>LRCR</w:t>
      </w:r>
      <w:r w:rsidRPr="00F06D71">
        <w:rPr>
          <w:lang w:val="fr-CA"/>
        </w:rPr>
        <w:t xml:space="preserve"> en fonction des dispositions déclaratoires, elle en avait </w:t>
      </w:r>
      <w:r w:rsidRPr="00F06D71">
        <w:rPr>
          <w:szCs w:val="24"/>
          <w:lang w:val="fr-CA"/>
        </w:rPr>
        <w:t>l’obligation</w:t>
      </w:r>
      <w:r w:rsidR="00F103A8" w:rsidRPr="00F06D71">
        <w:rPr>
          <w:lang w:val="fr-CA"/>
        </w:rPr>
        <w:t>.</w:t>
      </w:r>
    </w:p>
    <w:p w:rsidR="009F477C" w:rsidRPr="00F06D71" w:rsidRDefault="009F477C" w:rsidP="00FA276C">
      <w:pPr>
        <w:pStyle w:val="SCCNormalDoubleSpacing"/>
        <w:spacing w:after="480"/>
        <w:rPr>
          <w:lang w:val="fr-CA"/>
        </w:rPr>
      </w:pPr>
      <w:r w:rsidRPr="00F06D71">
        <w:rPr>
          <w:lang w:val="fr-CA"/>
        </w:rPr>
        <w:tab/>
      </w:r>
      <w:r w:rsidRPr="00F06D71">
        <w:rPr>
          <w:i/>
          <w:lang w:val="fr-CA"/>
        </w:rPr>
        <w:t xml:space="preserve">La </w:t>
      </w:r>
      <w:r w:rsidRPr="00F06D71">
        <w:rPr>
          <w:lang w:val="fr-CA"/>
        </w:rPr>
        <w:t xml:space="preserve">juge en chef </w:t>
      </w:r>
      <w:r w:rsidRPr="00B85911">
        <w:rPr>
          <w:lang w:val="fr-CA"/>
        </w:rPr>
        <w:t xml:space="preserve">McLachlin </w:t>
      </w:r>
      <w:r w:rsidRPr="00F06D71">
        <w:rPr>
          <w:lang w:val="fr-CA"/>
        </w:rPr>
        <w:t>et le juge Fish (dissidents)</w:t>
      </w:r>
      <w:r w:rsidR="00F103A8" w:rsidRPr="00F06D71">
        <w:rPr>
          <w:lang w:val="fr-CA"/>
        </w:rPr>
        <w:t> :</w:t>
      </w:r>
      <w:r w:rsidRPr="00F06D71">
        <w:rPr>
          <w:lang w:val="fr-CA"/>
        </w:rPr>
        <w:t xml:space="preserve"> Lorsqu’une loi rétroactive entre en vigueur pendant qu’une cause est portée en appel, il appartient à la juridiction d’appel alors saisie de l’appliquer. </w:t>
      </w:r>
      <w:r w:rsidR="00F103A8" w:rsidRPr="00F06D71">
        <w:rPr>
          <w:lang w:val="fr-CA"/>
        </w:rPr>
        <w:t xml:space="preserve"> </w:t>
      </w:r>
      <w:r w:rsidRPr="00F06D71">
        <w:rPr>
          <w:lang w:val="fr-CA"/>
        </w:rPr>
        <w:t>En l’espèce, seule la Cour suprême du Canada, qui était saisie d’une demande d’autorisation d’appel à la date où les dispositions rétroactives sont entrées en vigueur, avait compétence pour appliquer les dispositions en vue de trancher le différend opposant Multi</w:t>
      </w:r>
      <w:r w:rsidR="00F103A8" w:rsidRPr="00F06D71">
        <w:rPr>
          <w:lang w:val="fr-CA"/>
        </w:rPr>
        <w:noBreakHyphen/>
      </w:r>
      <w:r w:rsidRPr="00F06D71">
        <w:rPr>
          <w:lang w:val="fr-CA"/>
        </w:rPr>
        <w:t xml:space="preserve">Marques aux bénéficiaires du régime de retraite.  Le rejet de cette demande a épuisé toutes les voies d’appel.  Le jugement de la Cour d’appel du Québec a donc acquis l’autorité de la chose jugée entre les parties concernant la question de savoir si les </w:t>
      </w:r>
      <w:r w:rsidR="00F103A8" w:rsidRPr="00F06D71">
        <w:rPr>
          <w:lang w:val="fr-CA"/>
        </w:rPr>
        <w:t>art. </w:t>
      </w:r>
      <w:r w:rsidRPr="00F06D71">
        <w:rPr>
          <w:lang w:val="fr-CA"/>
        </w:rPr>
        <w:t xml:space="preserve">9.12 et 9.13 des </w:t>
      </w:r>
      <w:r w:rsidR="002A0830">
        <w:rPr>
          <w:lang w:val="fr-CA"/>
        </w:rPr>
        <w:t>r</w:t>
      </w:r>
      <w:r w:rsidRPr="00F06D71">
        <w:rPr>
          <w:lang w:val="fr-CA"/>
        </w:rPr>
        <w:t xml:space="preserve">ègles du régime pouvaient restreindre les obligations de l’employeur en matière de </w:t>
      </w:r>
      <w:r w:rsidRPr="00F06D71">
        <w:rPr>
          <w:szCs w:val="24"/>
          <w:lang w:val="fr-CA"/>
        </w:rPr>
        <w:t>financement</w:t>
      </w:r>
      <w:r w:rsidRPr="00F06D71">
        <w:rPr>
          <w:lang w:val="fr-CA"/>
        </w:rPr>
        <w:t>.</w:t>
      </w:r>
    </w:p>
    <w:p w:rsidR="009F477C" w:rsidRPr="00F06D71" w:rsidRDefault="009F477C" w:rsidP="00FA276C">
      <w:pPr>
        <w:pStyle w:val="SCCNormalDoubleSpacing"/>
        <w:spacing w:after="480"/>
        <w:rPr>
          <w:lang w:val="fr-CA"/>
        </w:rPr>
      </w:pPr>
      <w:r w:rsidRPr="00F06D71">
        <w:rPr>
          <w:lang w:val="fr-CA"/>
        </w:rPr>
        <w:lastRenderedPageBreak/>
        <w:tab/>
        <w:t>La décision de la Cour d’appel n’a pas établi à combien se chiffre précisément l’obligation pécuniaire de l’employeur, et la cour a renvoyé l’affaire à la Régie pour qu’elle le fasse.  Le fait que cette question n’était pas résolue ne rend toutefois pas les dispositions déclaratoires applicables au présent litige.  Aucun principe de droit ne permet de conclure que les lois déclaratoires s’appliquent aux décisions judiciaires pour lesquelles toutes les voies d’appel ont été épuisées, mais qui ne statuent pas sur toutes les questions en litige.  Une telle conclusion irait à l’encontre du principe voulant que les dispositions déclaratoires doivent recevoir une interprétation et une application restrictives, et à l’encontre du principe corrélatif suivant lequel un texte législatif clair est nécessaire pour annuler les effets d’un j</w:t>
      </w:r>
      <w:r w:rsidR="00F103A8" w:rsidRPr="00F06D71">
        <w:rPr>
          <w:lang w:val="fr-CA"/>
        </w:rPr>
        <w:t xml:space="preserve">ugement à l’égard des parties.  </w:t>
      </w:r>
      <w:r w:rsidRPr="00F06D71">
        <w:rPr>
          <w:lang w:val="fr-CA"/>
        </w:rPr>
        <w:t xml:space="preserve">En l’espèce, la loi déclaratoire n’a pas la clarté voulue.  Il </w:t>
      </w:r>
      <w:r w:rsidRPr="00F06D71">
        <w:rPr>
          <w:szCs w:val="24"/>
          <w:lang w:val="fr-CA"/>
        </w:rPr>
        <w:t>s’ensuit</w:t>
      </w:r>
      <w:r w:rsidRPr="00F06D71">
        <w:rPr>
          <w:lang w:val="fr-CA"/>
        </w:rPr>
        <w:t xml:space="preserve"> que le jugement de la Cour d’appel était définitif et exécutoire.</w:t>
      </w:r>
    </w:p>
    <w:p w:rsidR="009F477C" w:rsidRPr="00F06D71" w:rsidRDefault="009F477C" w:rsidP="00FA276C">
      <w:pPr>
        <w:pStyle w:val="SCCNormalDoubleSpacing"/>
        <w:spacing w:after="480"/>
        <w:rPr>
          <w:lang w:val="fr-CA"/>
        </w:rPr>
      </w:pPr>
      <w:r w:rsidRPr="00F06D71">
        <w:rPr>
          <w:lang w:val="fr-CA"/>
        </w:rPr>
        <w:tab/>
        <w:t xml:space="preserve">Rien ne fondait la compétence dont se réclamait la Régie pour examiner à nouveau si les </w:t>
      </w:r>
      <w:r w:rsidR="00F103A8" w:rsidRPr="00F06D71">
        <w:rPr>
          <w:lang w:val="fr-CA"/>
        </w:rPr>
        <w:t>art. </w:t>
      </w:r>
      <w:r w:rsidRPr="00F06D71">
        <w:rPr>
          <w:lang w:val="fr-CA"/>
        </w:rPr>
        <w:t xml:space="preserve">9.12 et 9.13 des </w:t>
      </w:r>
      <w:r w:rsidR="002A0830">
        <w:rPr>
          <w:lang w:val="fr-CA"/>
        </w:rPr>
        <w:t>r</w:t>
      </w:r>
      <w:r w:rsidRPr="00F06D71">
        <w:rPr>
          <w:lang w:val="fr-CA"/>
        </w:rPr>
        <w:t>ègles du régime de retraite limitaient les obligations de Multi</w:t>
      </w:r>
      <w:r w:rsidR="00F103A8" w:rsidRPr="00F06D71">
        <w:rPr>
          <w:lang w:val="fr-CA"/>
        </w:rPr>
        <w:noBreakHyphen/>
      </w:r>
      <w:r w:rsidRPr="00F06D71">
        <w:rPr>
          <w:lang w:val="fr-CA"/>
        </w:rPr>
        <w:t>Marques en matière de financement.  Les directives de la Cour d’appel n’obligeaient pas la Régie à reprendre l’examen du début.  Et aucune disposition de la loi créant la Régie ne lui permet d’examiner une question sur laquelle une cour de juridiction supérieure s’est prononcée.  La Régie devait accomplir la tâche pour laquelle l’affaire lui avait été renvoyée, soit calculer à combien se chiffrait l’obligation monétaire précise résultant des droits et obligations substantiels tel</w:t>
      </w:r>
      <w:r w:rsidR="005C3088">
        <w:rPr>
          <w:lang w:val="fr-CA"/>
        </w:rPr>
        <w:t>s</w:t>
      </w:r>
      <w:r w:rsidRPr="00F06D71">
        <w:rPr>
          <w:lang w:val="fr-CA"/>
        </w:rPr>
        <w:t xml:space="preserve"> qu’ils avaient été circonscrits par la Cour d’appel.  En se dérobant à </w:t>
      </w:r>
      <w:r w:rsidRPr="00F06D71">
        <w:rPr>
          <w:lang w:val="fr-CA"/>
        </w:rPr>
        <w:lastRenderedPageBreak/>
        <w:t xml:space="preserve">cette tâche, la Régie a effectivement contourné le processus de contrôle judiciaire et elle a </w:t>
      </w:r>
      <w:r w:rsidRPr="00F06D71">
        <w:rPr>
          <w:szCs w:val="24"/>
          <w:lang w:val="fr-CA"/>
        </w:rPr>
        <w:t>rétabli</w:t>
      </w:r>
      <w:r w:rsidRPr="00F06D71">
        <w:rPr>
          <w:lang w:val="fr-CA"/>
        </w:rPr>
        <w:t xml:space="preserve"> sa décision initiale alors qu’elle n’avait pas compétence pour ce faire.  </w:t>
      </w:r>
    </w:p>
    <w:p w:rsidR="004D7D95" w:rsidRPr="00F06D71" w:rsidRDefault="004D7D95" w:rsidP="009F477C">
      <w:pPr>
        <w:pStyle w:val="SCCNormalDoubleSpacing"/>
        <w:spacing w:after="480"/>
        <w:rPr>
          <w:b/>
          <w:lang w:val="fr-CA"/>
        </w:rPr>
      </w:pPr>
      <w:r w:rsidRPr="00F06D71">
        <w:rPr>
          <w:b/>
          <w:lang w:val="fr-CA"/>
        </w:rPr>
        <w:t>Jurisprudence</w:t>
      </w:r>
    </w:p>
    <w:p w:rsidR="00D96BD4" w:rsidRPr="00F06D71" w:rsidRDefault="00D96BD4" w:rsidP="00071F5D">
      <w:pPr>
        <w:pStyle w:val="SCCNormalDoubleSpacing"/>
        <w:keepNext/>
        <w:spacing w:after="720" w:line="240" w:lineRule="auto"/>
        <w:rPr>
          <w:lang w:val="fr-CA"/>
        </w:rPr>
      </w:pPr>
      <w:r w:rsidRPr="00F06D71">
        <w:rPr>
          <w:lang w:val="fr-CA"/>
        </w:rPr>
        <w:t>Citée par le juge Wagner</w:t>
      </w:r>
    </w:p>
    <w:p w:rsidR="004D7D95" w:rsidRPr="00F06D71" w:rsidRDefault="004D7D95" w:rsidP="00071F5D">
      <w:pPr>
        <w:pStyle w:val="SCCNormalDoubleSpacing"/>
        <w:spacing w:after="480"/>
        <w:rPr>
          <w:b/>
          <w:szCs w:val="24"/>
          <w:lang w:val="fr-CA"/>
        </w:rPr>
      </w:pPr>
      <w:r w:rsidRPr="00F06D71">
        <w:rPr>
          <w:lang w:val="fr-CA"/>
        </w:rPr>
        <w:tab/>
      </w:r>
      <w:r w:rsidR="002A499D" w:rsidRPr="00F06D71">
        <w:rPr>
          <w:b/>
          <w:lang w:val="fr-CA"/>
        </w:rPr>
        <w:t>Arrêt examiné</w:t>
      </w:r>
      <w:r w:rsidR="00F103A8" w:rsidRPr="00F06D71">
        <w:rPr>
          <w:b/>
          <w:lang w:val="fr-CA"/>
        </w:rPr>
        <w:t> :</w:t>
      </w:r>
      <w:r w:rsidR="002A499D" w:rsidRPr="00F06D71">
        <w:rPr>
          <w:b/>
          <w:lang w:val="fr-CA"/>
        </w:rPr>
        <w:t xml:space="preserve"> </w:t>
      </w:r>
      <w:r w:rsidR="002A499D" w:rsidRPr="00F06D71">
        <w:rPr>
          <w:i/>
          <w:lang w:val="fr-CA"/>
        </w:rPr>
        <w:t>Western Minerals Ltd. c. Gaumont</w:t>
      </w:r>
      <w:r w:rsidR="002A499D" w:rsidRPr="00F06D71">
        <w:rPr>
          <w:lang w:val="fr-CA"/>
        </w:rPr>
        <w:t>, [1953] 1 R.C.S. 3</w:t>
      </w:r>
      <w:r w:rsidR="00425E69" w:rsidRPr="00F06D71">
        <w:rPr>
          <w:lang w:val="fr-CA"/>
        </w:rPr>
        <w:t>45</w:t>
      </w:r>
      <w:r w:rsidR="002A499D" w:rsidRPr="00F06D71">
        <w:rPr>
          <w:lang w:val="fr-CA"/>
        </w:rPr>
        <w:t xml:space="preserve">; </w:t>
      </w:r>
      <w:r w:rsidR="002A499D" w:rsidRPr="00F06D71">
        <w:rPr>
          <w:b/>
          <w:lang w:val="fr-CA"/>
        </w:rPr>
        <w:t>a</w:t>
      </w:r>
      <w:r w:rsidRPr="00F06D71">
        <w:rPr>
          <w:b/>
          <w:lang w:val="fr-CA"/>
        </w:rPr>
        <w:t>rrêts mentionnés</w:t>
      </w:r>
      <w:r w:rsidR="00F103A8" w:rsidRPr="00F06D71">
        <w:rPr>
          <w:b/>
          <w:lang w:val="fr-CA"/>
        </w:rPr>
        <w:t> :</w:t>
      </w:r>
      <w:r w:rsidRPr="00F06D71">
        <w:rPr>
          <w:lang w:val="fr-CA"/>
        </w:rPr>
        <w:t xml:space="preserve"> </w:t>
      </w:r>
      <w:r w:rsidR="00C957B2" w:rsidRPr="00F06D71">
        <w:rPr>
          <w:i/>
          <w:lang w:val="fr-CA"/>
        </w:rPr>
        <w:t>Danyluk c. Ainsworth Technologies Inc.</w:t>
      </w:r>
      <w:r w:rsidR="00C957B2" w:rsidRPr="00F06D71">
        <w:rPr>
          <w:lang w:val="fr-CA"/>
        </w:rPr>
        <w:t xml:space="preserve">, 2001 CSC 44, [2001] 2 R.C.S. 460; </w:t>
      </w:r>
      <w:r w:rsidR="0030062F" w:rsidRPr="00F06D71">
        <w:rPr>
          <w:i/>
          <w:lang w:val="fr-CA"/>
        </w:rPr>
        <w:t xml:space="preserve">Zadvorny c. Saskatchewan Government Insurance </w:t>
      </w:r>
      <w:r w:rsidR="00B85911">
        <w:rPr>
          <w:lang w:val="fr-CA"/>
        </w:rPr>
        <w:t>(1985), 3</w:t>
      </w:r>
      <w:r w:rsidR="0030062F" w:rsidRPr="00F06D71">
        <w:rPr>
          <w:lang w:val="fr-CA"/>
        </w:rPr>
        <w:t xml:space="preserve">8 Sask. R. 59; </w:t>
      </w:r>
      <w:r w:rsidR="00EA70FC" w:rsidRPr="00F06D71">
        <w:rPr>
          <w:i/>
          <w:lang w:val="fr-CA"/>
        </w:rPr>
        <w:t>Canada (Commissaire de la concurrence) c. Supérieur Propane Inc.</w:t>
      </w:r>
      <w:r w:rsidR="00EA70FC" w:rsidRPr="00F06D71">
        <w:rPr>
          <w:lang w:val="fr-CA"/>
        </w:rPr>
        <w:t>, 2003 CAF 53, [2003] 3 C.F. 529</w:t>
      </w:r>
      <w:r w:rsidR="00D96BD4" w:rsidRPr="00F06D71">
        <w:rPr>
          <w:lang w:val="fr-CA"/>
        </w:rPr>
        <w:t>.</w:t>
      </w:r>
    </w:p>
    <w:p w:rsidR="00D96BD4" w:rsidRPr="00F06D71" w:rsidRDefault="00D96BD4" w:rsidP="00071F5D">
      <w:pPr>
        <w:pStyle w:val="SCCNormalDoubleSpacing"/>
        <w:keepNext/>
        <w:spacing w:after="720" w:line="240" w:lineRule="auto"/>
        <w:rPr>
          <w:lang w:val="fr-CA"/>
        </w:rPr>
      </w:pPr>
      <w:r w:rsidRPr="00F06D71">
        <w:rPr>
          <w:lang w:val="fr-CA"/>
        </w:rPr>
        <w:t>Citée par la juge en chef McLachlin (dissidente)</w:t>
      </w:r>
    </w:p>
    <w:p w:rsidR="00D96BD4" w:rsidRPr="00F06D71" w:rsidRDefault="00D96BD4" w:rsidP="00071F5D">
      <w:pPr>
        <w:pStyle w:val="SCCNormalDoubleSpacing"/>
        <w:spacing w:after="480"/>
        <w:rPr>
          <w:lang w:val="fr-CA"/>
        </w:rPr>
      </w:pPr>
      <w:r w:rsidRPr="00F06D71">
        <w:rPr>
          <w:lang w:val="fr-CA"/>
        </w:rPr>
        <w:tab/>
      </w:r>
      <w:r w:rsidR="00EF29FD" w:rsidRPr="00F06D71">
        <w:rPr>
          <w:i/>
          <w:lang w:val="fr-CA"/>
        </w:rPr>
        <w:t>Dunsmuir c. Nouveau</w:t>
      </w:r>
      <w:r w:rsidR="00F103A8" w:rsidRPr="00F06D71">
        <w:rPr>
          <w:i/>
          <w:lang w:val="fr-CA"/>
        </w:rPr>
        <w:noBreakHyphen/>
      </w:r>
      <w:r w:rsidR="00EF29FD" w:rsidRPr="00F06D71">
        <w:rPr>
          <w:i/>
          <w:lang w:val="fr-CA"/>
        </w:rPr>
        <w:t>Brunswick</w:t>
      </w:r>
      <w:r w:rsidR="00EF29FD" w:rsidRPr="00F06D71">
        <w:rPr>
          <w:lang w:val="fr-CA"/>
        </w:rPr>
        <w:t xml:space="preserve">, 2008 CSC 9, [2008] 1 R.C.S. 190; </w:t>
      </w:r>
      <w:r w:rsidR="00EF29FD" w:rsidRPr="00F06D71">
        <w:rPr>
          <w:i/>
          <w:lang w:val="fr-CA"/>
        </w:rPr>
        <w:t>Barbour c. University of British Columbia</w:t>
      </w:r>
      <w:r w:rsidR="00EF29FD" w:rsidRPr="00F06D71">
        <w:rPr>
          <w:lang w:val="fr-CA"/>
        </w:rPr>
        <w:t xml:space="preserve">, 2010 BCCA 63, 282 B.C.A.C. 270, autorisation d’appel refusée, [2010] 1 R.C.S. vi; </w:t>
      </w:r>
      <w:r w:rsidR="00EF29FD" w:rsidRPr="00F06D71">
        <w:rPr>
          <w:i/>
          <w:lang w:val="fr-CA"/>
        </w:rPr>
        <w:t>Col</w:t>
      </w:r>
      <w:r w:rsidR="009F3982" w:rsidRPr="00F06D71">
        <w:rPr>
          <w:i/>
          <w:lang w:val="fr-CA"/>
        </w:rPr>
        <w:t>o</w:t>
      </w:r>
      <w:r w:rsidR="00EF29FD" w:rsidRPr="00F06D71">
        <w:rPr>
          <w:i/>
          <w:lang w:val="fr-CA"/>
        </w:rPr>
        <w:t>mbi</w:t>
      </w:r>
      <w:r w:rsidR="009F3982" w:rsidRPr="00F06D71">
        <w:rPr>
          <w:i/>
          <w:lang w:val="fr-CA"/>
        </w:rPr>
        <w:t>e</w:t>
      </w:r>
      <w:r w:rsidR="00F103A8" w:rsidRPr="00F06D71">
        <w:rPr>
          <w:i/>
          <w:lang w:val="fr-CA"/>
        </w:rPr>
        <w:noBreakHyphen/>
      </w:r>
      <w:r w:rsidR="009F3982" w:rsidRPr="00F06D71">
        <w:rPr>
          <w:i/>
          <w:lang w:val="fr-CA"/>
        </w:rPr>
        <w:t>Britannique</w:t>
      </w:r>
      <w:r w:rsidR="00EF29FD" w:rsidRPr="00F06D71">
        <w:rPr>
          <w:i/>
          <w:lang w:val="fr-CA"/>
        </w:rPr>
        <w:t xml:space="preserve"> </w:t>
      </w:r>
      <w:r w:rsidR="009F3982" w:rsidRPr="00F06D71">
        <w:rPr>
          <w:i/>
          <w:lang w:val="fr-CA"/>
        </w:rPr>
        <w:t>c</w:t>
      </w:r>
      <w:r w:rsidR="00EF29FD" w:rsidRPr="00F06D71">
        <w:rPr>
          <w:i/>
          <w:lang w:val="fr-CA"/>
        </w:rPr>
        <w:t>. Imperial Tobacco Canada Lt</w:t>
      </w:r>
      <w:r w:rsidR="009F3982" w:rsidRPr="00F06D71">
        <w:rPr>
          <w:i/>
          <w:lang w:val="fr-CA"/>
        </w:rPr>
        <w:t>ée</w:t>
      </w:r>
      <w:r w:rsidR="00EF29FD" w:rsidRPr="00F06D71">
        <w:rPr>
          <w:lang w:val="fr-CA"/>
        </w:rPr>
        <w:t xml:space="preserve">, 2005 </w:t>
      </w:r>
      <w:r w:rsidR="009F3982" w:rsidRPr="00F06D71">
        <w:rPr>
          <w:lang w:val="fr-CA"/>
        </w:rPr>
        <w:t>C</w:t>
      </w:r>
      <w:r w:rsidR="00EF29FD" w:rsidRPr="00F06D71">
        <w:rPr>
          <w:lang w:val="fr-CA"/>
        </w:rPr>
        <w:t xml:space="preserve">SC 49, [2005] 2 </w:t>
      </w:r>
      <w:r w:rsidR="009F3982" w:rsidRPr="00F06D71">
        <w:rPr>
          <w:lang w:val="fr-CA"/>
        </w:rPr>
        <w:t>R.C.</w:t>
      </w:r>
      <w:r w:rsidR="00EF29FD" w:rsidRPr="00F06D71">
        <w:rPr>
          <w:lang w:val="fr-CA"/>
        </w:rPr>
        <w:t xml:space="preserve">S. 473; </w:t>
      </w:r>
      <w:r w:rsidR="00EF29FD" w:rsidRPr="00F06D71">
        <w:rPr>
          <w:i/>
          <w:lang w:val="fr-CA"/>
        </w:rPr>
        <w:t xml:space="preserve">Société canadienne de métaux Reynolds ltée </w:t>
      </w:r>
      <w:r w:rsidR="009F3982" w:rsidRPr="00F06D71">
        <w:rPr>
          <w:i/>
          <w:lang w:val="fr-CA"/>
        </w:rPr>
        <w:t>c</w:t>
      </w:r>
      <w:r w:rsidR="00EF29FD" w:rsidRPr="00F06D71">
        <w:rPr>
          <w:i/>
          <w:lang w:val="fr-CA"/>
        </w:rPr>
        <w:t>. Québec (Sous</w:t>
      </w:r>
      <w:r w:rsidR="00F103A8" w:rsidRPr="00F06D71">
        <w:rPr>
          <w:i/>
          <w:lang w:val="fr-CA"/>
        </w:rPr>
        <w:noBreakHyphen/>
      </w:r>
      <w:r w:rsidR="00EF29FD" w:rsidRPr="00F06D71">
        <w:rPr>
          <w:i/>
          <w:lang w:val="fr-CA"/>
        </w:rPr>
        <w:t>ministre du Revenu)</w:t>
      </w:r>
      <w:r w:rsidR="00EF29FD" w:rsidRPr="00F06D71">
        <w:rPr>
          <w:lang w:val="fr-CA"/>
        </w:rPr>
        <w:t xml:space="preserve">, [2004] R.D.F.Q. 45; </w:t>
      </w:r>
      <w:r w:rsidR="00EF29FD" w:rsidRPr="00F06D71">
        <w:rPr>
          <w:i/>
          <w:lang w:val="fr-CA"/>
        </w:rPr>
        <w:t xml:space="preserve">Western Minerals Ltd. </w:t>
      </w:r>
      <w:r w:rsidR="009F3982" w:rsidRPr="00F06D71">
        <w:rPr>
          <w:i/>
          <w:lang w:val="fr-CA"/>
        </w:rPr>
        <w:t>c</w:t>
      </w:r>
      <w:r w:rsidR="00EF29FD" w:rsidRPr="00F06D71">
        <w:rPr>
          <w:i/>
          <w:lang w:val="fr-CA"/>
        </w:rPr>
        <w:t>. Gaumont</w:t>
      </w:r>
      <w:r w:rsidR="00EF29FD" w:rsidRPr="00F06D71">
        <w:rPr>
          <w:lang w:val="fr-CA"/>
        </w:rPr>
        <w:t xml:space="preserve">, [1953] 1 </w:t>
      </w:r>
      <w:r w:rsidR="009F3982" w:rsidRPr="00F06D71">
        <w:rPr>
          <w:lang w:val="fr-CA"/>
        </w:rPr>
        <w:t>R.C.</w:t>
      </w:r>
      <w:r w:rsidR="00EF29FD" w:rsidRPr="00F06D71">
        <w:rPr>
          <w:lang w:val="fr-CA"/>
        </w:rPr>
        <w:t xml:space="preserve">S. 345; </w:t>
      </w:r>
      <w:r w:rsidR="00EF29FD" w:rsidRPr="00F06D71">
        <w:rPr>
          <w:i/>
          <w:lang w:val="fr-CA"/>
        </w:rPr>
        <w:t xml:space="preserve">CNG Producing Co. </w:t>
      </w:r>
      <w:r w:rsidR="009F3982" w:rsidRPr="00F06D71">
        <w:rPr>
          <w:i/>
          <w:lang w:val="fr-CA"/>
        </w:rPr>
        <w:t>c</w:t>
      </w:r>
      <w:r w:rsidR="00EF29FD" w:rsidRPr="00F06D71">
        <w:rPr>
          <w:i/>
          <w:lang w:val="fr-CA"/>
        </w:rPr>
        <w:t>. Alberta (Provincial Treasurer)</w:t>
      </w:r>
      <w:r w:rsidR="00EF29FD" w:rsidRPr="00F06D71">
        <w:rPr>
          <w:lang w:val="fr-CA"/>
        </w:rPr>
        <w:t xml:space="preserve">, 2002 ABCA 207, 317 A.R. 171; </w:t>
      </w:r>
      <w:r w:rsidR="00EF29FD" w:rsidRPr="00F06D71">
        <w:rPr>
          <w:i/>
          <w:lang w:val="fr-CA"/>
        </w:rPr>
        <w:t xml:space="preserve">Roberge </w:t>
      </w:r>
      <w:r w:rsidR="009F3982" w:rsidRPr="00F06D71">
        <w:rPr>
          <w:i/>
          <w:lang w:val="fr-CA"/>
        </w:rPr>
        <w:t>c</w:t>
      </w:r>
      <w:r w:rsidR="00EF29FD" w:rsidRPr="00F06D71">
        <w:rPr>
          <w:i/>
          <w:lang w:val="fr-CA"/>
        </w:rPr>
        <w:t>. Bolduc</w:t>
      </w:r>
      <w:r w:rsidR="00EF29FD" w:rsidRPr="00F06D71">
        <w:rPr>
          <w:lang w:val="fr-CA"/>
        </w:rPr>
        <w:t xml:space="preserve">, [1991] 1 </w:t>
      </w:r>
      <w:r w:rsidR="009F3982" w:rsidRPr="00F06D71">
        <w:rPr>
          <w:lang w:val="fr-CA"/>
        </w:rPr>
        <w:t>R.C.</w:t>
      </w:r>
      <w:r w:rsidR="00EF29FD" w:rsidRPr="00F06D71">
        <w:rPr>
          <w:lang w:val="fr-CA"/>
        </w:rPr>
        <w:t xml:space="preserve">S. 374; </w:t>
      </w:r>
      <w:r w:rsidR="00A41CC3" w:rsidRPr="00F06D71">
        <w:rPr>
          <w:i/>
          <w:lang w:val="fr-CA"/>
        </w:rPr>
        <w:t>Woods Manufacturing Co. c. The King</w:t>
      </w:r>
      <w:r w:rsidR="00A41CC3" w:rsidRPr="00F06D71">
        <w:rPr>
          <w:lang w:val="fr-CA"/>
        </w:rPr>
        <w:t xml:space="preserve">, [1951] R.C.S. 504; </w:t>
      </w:r>
      <w:r w:rsidR="002A499D" w:rsidRPr="00F06D71">
        <w:rPr>
          <w:i/>
          <w:lang w:val="fr-CA"/>
        </w:rPr>
        <w:t>Zadvorny c. Saskatchewan Government Insurance</w:t>
      </w:r>
      <w:r w:rsidR="002A499D" w:rsidRPr="00F06D71">
        <w:rPr>
          <w:lang w:val="fr-CA"/>
        </w:rPr>
        <w:t xml:space="preserve"> (1985), 38 Sask. R. 59; </w:t>
      </w:r>
      <w:r w:rsidR="00A41CC3" w:rsidRPr="00F06D71">
        <w:rPr>
          <w:i/>
          <w:lang w:val="fr-CA"/>
        </w:rPr>
        <w:t xml:space="preserve">Hornby </w:t>
      </w:r>
      <w:r w:rsidR="00A41CC3" w:rsidRPr="00F06D71">
        <w:rPr>
          <w:i/>
          <w:lang w:val="fr-CA"/>
        </w:rPr>
        <w:lastRenderedPageBreak/>
        <w:t>Island Trust Ctee. c. Stormwell</w:t>
      </w:r>
      <w:r w:rsidR="00A41CC3" w:rsidRPr="00F06D71">
        <w:rPr>
          <w:lang w:val="fr-CA"/>
        </w:rPr>
        <w:t xml:space="preserve"> (1988), 30 B.C.L.R. (2d) 383; </w:t>
      </w:r>
      <w:r w:rsidR="00EF29FD" w:rsidRPr="00F06D71">
        <w:rPr>
          <w:i/>
          <w:lang w:val="fr-CA"/>
        </w:rPr>
        <w:t xml:space="preserve">Shuchuk </w:t>
      </w:r>
      <w:r w:rsidR="009F3982" w:rsidRPr="00F06D71">
        <w:rPr>
          <w:i/>
          <w:lang w:val="fr-CA"/>
        </w:rPr>
        <w:t>c</w:t>
      </w:r>
      <w:r w:rsidR="00EF29FD" w:rsidRPr="00F06D71">
        <w:rPr>
          <w:i/>
          <w:lang w:val="fr-CA"/>
        </w:rPr>
        <w:t>. Workers’ Compensation Board Appeals Commission (Alta.)</w:t>
      </w:r>
      <w:r w:rsidR="00EF29FD" w:rsidRPr="00F06D71">
        <w:rPr>
          <w:lang w:val="fr-CA"/>
        </w:rPr>
        <w:t xml:space="preserve">, 2012 ABCA 50, 522 A.R. 336; </w:t>
      </w:r>
      <w:r w:rsidR="00EF29FD" w:rsidRPr="00F06D71">
        <w:rPr>
          <w:i/>
          <w:lang w:val="fr-CA"/>
        </w:rPr>
        <w:t>Canada (Commiss</w:t>
      </w:r>
      <w:r w:rsidR="009F3982" w:rsidRPr="00F06D71">
        <w:rPr>
          <w:i/>
          <w:lang w:val="fr-CA"/>
        </w:rPr>
        <w:t>aire de la concurrence</w:t>
      </w:r>
      <w:r w:rsidR="00EF29FD" w:rsidRPr="00F06D71">
        <w:rPr>
          <w:i/>
          <w:lang w:val="fr-CA"/>
        </w:rPr>
        <w:t xml:space="preserve">) </w:t>
      </w:r>
      <w:r w:rsidR="009F3982" w:rsidRPr="00F06D71">
        <w:rPr>
          <w:i/>
          <w:lang w:val="fr-CA"/>
        </w:rPr>
        <w:t>c</w:t>
      </w:r>
      <w:r w:rsidR="00EF29FD" w:rsidRPr="00F06D71">
        <w:rPr>
          <w:i/>
          <w:lang w:val="fr-CA"/>
        </w:rPr>
        <w:t>. Sup</w:t>
      </w:r>
      <w:r w:rsidR="009F3982" w:rsidRPr="00F06D71">
        <w:rPr>
          <w:i/>
          <w:lang w:val="fr-CA"/>
        </w:rPr>
        <w:t>é</w:t>
      </w:r>
      <w:r w:rsidR="00EF29FD" w:rsidRPr="00F06D71">
        <w:rPr>
          <w:i/>
          <w:lang w:val="fr-CA"/>
        </w:rPr>
        <w:t>ri</w:t>
      </w:r>
      <w:r w:rsidR="009F3982" w:rsidRPr="00F06D71">
        <w:rPr>
          <w:i/>
          <w:lang w:val="fr-CA"/>
        </w:rPr>
        <w:t>eu</w:t>
      </w:r>
      <w:r w:rsidR="00EF29FD" w:rsidRPr="00F06D71">
        <w:rPr>
          <w:i/>
          <w:lang w:val="fr-CA"/>
        </w:rPr>
        <w:t>r Propane Inc.</w:t>
      </w:r>
      <w:r w:rsidR="00EF29FD" w:rsidRPr="00F06D71">
        <w:rPr>
          <w:lang w:val="fr-CA"/>
        </w:rPr>
        <w:t>, 2003 CA</w:t>
      </w:r>
      <w:r w:rsidR="009F3982" w:rsidRPr="00F06D71">
        <w:rPr>
          <w:lang w:val="fr-CA"/>
        </w:rPr>
        <w:t>F</w:t>
      </w:r>
      <w:r w:rsidR="00EF29FD" w:rsidRPr="00F06D71">
        <w:rPr>
          <w:lang w:val="fr-CA"/>
        </w:rPr>
        <w:t xml:space="preserve"> 53, [2003] 3 </w:t>
      </w:r>
      <w:r w:rsidR="009F3982" w:rsidRPr="00F06D71">
        <w:rPr>
          <w:lang w:val="fr-CA"/>
        </w:rPr>
        <w:t>C.</w:t>
      </w:r>
      <w:r w:rsidR="00EF29FD" w:rsidRPr="00F06D71">
        <w:rPr>
          <w:lang w:val="fr-CA"/>
        </w:rPr>
        <w:t>F. 529.</w:t>
      </w:r>
    </w:p>
    <w:p w:rsidR="004D7D95" w:rsidRPr="00F06D71" w:rsidRDefault="004D7D95" w:rsidP="00071F5D">
      <w:pPr>
        <w:pStyle w:val="SCCNormalDoubleSpacing"/>
        <w:keepNext/>
        <w:spacing w:after="720" w:line="240" w:lineRule="auto"/>
        <w:rPr>
          <w:lang w:val="fr-CA"/>
        </w:rPr>
      </w:pPr>
      <w:r w:rsidRPr="00F06D71">
        <w:rPr>
          <w:b/>
          <w:lang w:val="fr-CA"/>
        </w:rPr>
        <w:t>Lois et règlements cités</w:t>
      </w:r>
    </w:p>
    <w:p w:rsidR="004749BD" w:rsidRPr="00F06D71" w:rsidRDefault="004749BD" w:rsidP="00071F5D">
      <w:pPr>
        <w:pStyle w:val="SCCNormalDoubleSpacing"/>
        <w:tabs>
          <w:tab w:val="clear" w:pos="1168"/>
        </w:tabs>
        <w:spacing w:after="240" w:line="240" w:lineRule="auto"/>
        <w:ind w:left="539" w:hanging="539"/>
        <w:rPr>
          <w:szCs w:val="24"/>
          <w:lang w:val="fr-CA"/>
        </w:rPr>
      </w:pPr>
      <w:r w:rsidRPr="00F06D71">
        <w:rPr>
          <w:i/>
          <w:szCs w:val="24"/>
          <w:lang w:val="fr-CA"/>
        </w:rPr>
        <w:t>Code civil du Québec</w:t>
      </w:r>
      <w:r w:rsidRPr="00F06D71">
        <w:rPr>
          <w:szCs w:val="24"/>
          <w:lang w:val="fr-CA"/>
        </w:rPr>
        <w:t xml:space="preserve">, L.Q. 1991, </w:t>
      </w:r>
      <w:r w:rsidR="00F103A8" w:rsidRPr="00F06D71">
        <w:rPr>
          <w:szCs w:val="24"/>
          <w:lang w:val="fr-CA"/>
        </w:rPr>
        <w:t>ch. </w:t>
      </w:r>
      <w:r w:rsidRPr="00F06D71">
        <w:rPr>
          <w:szCs w:val="24"/>
          <w:lang w:val="fr-CA"/>
        </w:rPr>
        <w:t xml:space="preserve">64, </w:t>
      </w:r>
      <w:r w:rsidR="00F103A8" w:rsidRPr="00F06D71">
        <w:rPr>
          <w:szCs w:val="24"/>
          <w:lang w:val="fr-CA"/>
        </w:rPr>
        <w:t>art. </w:t>
      </w:r>
      <w:r w:rsidRPr="00F06D71">
        <w:rPr>
          <w:szCs w:val="24"/>
          <w:lang w:val="fr-CA"/>
        </w:rPr>
        <w:t>2848.</w:t>
      </w:r>
    </w:p>
    <w:p w:rsidR="00C76EC5" w:rsidRPr="00F06D71" w:rsidRDefault="00C76EC5" w:rsidP="00071F5D">
      <w:pPr>
        <w:pStyle w:val="SCCNormalDoubleSpacing"/>
        <w:tabs>
          <w:tab w:val="clear" w:pos="1168"/>
        </w:tabs>
        <w:spacing w:after="240" w:line="240" w:lineRule="auto"/>
        <w:ind w:left="539" w:hanging="539"/>
        <w:rPr>
          <w:szCs w:val="24"/>
          <w:lang w:val="fr-CA"/>
        </w:rPr>
      </w:pPr>
      <w:r w:rsidRPr="00F06D71">
        <w:rPr>
          <w:i/>
          <w:szCs w:val="24"/>
          <w:lang w:val="fr-CA"/>
        </w:rPr>
        <w:t>Loi modifiant la Loi sur les régimes complémentaires de retraite, la Loi sur le régime de rentes du Québec et d</w:t>
      </w:r>
      <w:r w:rsidR="00D96BD4" w:rsidRPr="00F06D71">
        <w:rPr>
          <w:i/>
          <w:szCs w:val="24"/>
          <w:lang w:val="fr-CA"/>
        </w:rPr>
        <w:t>’</w:t>
      </w:r>
      <w:r w:rsidRPr="00F06D71">
        <w:rPr>
          <w:i/>
          <w:szCs w:val="24"/>
          <w:lang w:val="fr-CA"/>
        </w:rPr>
        <w:t>autres dispositions législatives</w:t>
      </w:r>
      <w:r w:rsidRPr="00F06D71">
        <w:rPr>
          <w:szCs w:val="24"/>
          <w:lang w:val="fr-CA"/>
        </w:rPr>
        <w:t>,</w:t>
      </w:r>
      <w:r w:rsidR="0087226F" w:rsidRPr="00F06D71">
        <w:rPr>
          <w:szCs w:val="24"/>
          <w:lang w:val="fr-CA"/>
        </w:rPr>
        <w:t xml:space="preserve"> L</w:t>
      </w:r>
      <w:r w:rsidRPr="00F06D71">
        <w:rPr>
          <w:szCs w:val="24"/>
          <w:lang w:val="fr-CA"/>
        </w:rPr>
        <w:t xml:space="preserve">.Q. 2008, </w:t>
      </w:r>
      <w:r w:rsidR="00F103A8" w:rsidRPr="00F06D71">
        <w:rPr>
          <w:szCs w:val="24"/>
          <w:lang w:val="fr-CA"/>
        </w:rPr>
        <w:t>ch. </w:t>
      </w:r>
      <w:r w:rsidR="00D96BD4" w:rsidRPr="00F06D71">
        <w:rPr>
          <w:szCs w:val="24"/>
          <w:lang w:val="fr-CA"/>
        </w:rPr>
        <w:t>21</w:t>
      </w:r>
      <w:r w:rsidR="004A2A3A" w:rsidRPr="00F06D71">
        <w:rPr>
          <w:szCs w:val="24"/>
          <w:lang w:val="fr-CA"/>
        </w:rPr>
        <w:t xml:space="preserve"> (projet de loi n</w:t>
      </w:r>
      <w:r w:rsidR="004A2A3A" w:rsidRPr="00F06D71">
        <w:rPr>
          <w:szCs w:val="24"/>
          <w:vertAlign w:val="superscript"/>
          <w:lang w:val="fr-CA"/>
        </w:rPr>
        <w:t>o</w:t>
      </w:r>
      <w:r w:rsidR="004A2A3A" w:rsidRPr="00F06D71">
        <w:rPr>
          <w:szCs w:val="24"/>
          <w:lang w:val="fr-CA"/>
        </w:rPr>
        <w:t xml:space="preserve"> 68)</w:t>
      </w:r>
      <w:r w:rsidR="00D96BD4" w:rsidRPr="00F06D71">
        <w:rPr>
          <w:szCs w:val="24"/>
          <w:lang w:val="fr-CA"/>
        </w:rPr>
        <w:t>.</w:t>
      </w:r>
    </w:p>
    <w:p w:rsidR="00C76EC5" w:rsidRPr="00F06D71" w:rsidRDefault="00C76EC5" w:rsidP="00071F5D">
      <w:pPr>
        <w:pStyle w:val="SCCNormalDoubleSpacing"/>
        <w:tabs>
          <w:tab w:val="clear" w:pos="1168"/>
        </w:tabs>
        <w:spacing w:after="240" w:line="240" w:lineRule="auto"/>
        <w:ind w:left="539" w:hanging="539"/>
        <w:rPr>
          <w:szCs w:val="24"/>
          <w:lang w:val="fr-CA"/>
        </w:rPr>
      </w:pPr>
      <w:r w:rsidRPr="00F06D71">
        <w:rPr>
          <w:i/>
          <w:szCs w:val="24"/>
          <w:lang w:val="fr-CA"/>
        </w:rPr>
        <w:t>Loi sur le régime de rentes du Québec</w:t>
      </w:r>
      <w:r w:rsidRPr="00F06D71">
        <w:rPr>
          <w:szCs w:val="24"/>
          <w:lang w:val="fr-CA"/>
        </w:rPr>
        <w:t xml:space="preserve">, L.R.Q., </w:t>
      </w:r>
      <w:r w:rsidR="00F103A8" w:rsidRPr="00F06D71">
        <w:rPr>
          <w:szCs w:val="24"/>
          <w:lang w:val="fr-CA"/>
        </w:rPr>
        <w:t>ch. </w:t>
      </w:r>
      <w:r w:rsidRPr="00F06D71">
        <w:rPr>
          <w:szCs w:val="24"/>
          <w:lang w:val="fr-CA"/>
        </w:rPr>
        <w:t>R</w:t>
      </w:r>
      <w:r w:rsidR="00F103A8" w:rsidRPr="00F06D71">
        <w:rPr>
          <w:szCs w:val="24"/>
          <w:lang w:val="fr-CA"/>
        </w:rPr>
        <w:noBreakHyphen/>
      </w:r>
      <w:r w:rsidRPr="00F06D71">
        <w:rPr>
          <w:szCs w:val="24"/>
          <w:lang w:val="fr-CA"/>
        </w:rPr>
        <w:t xml:space="preserve">9, </w:t>
      </w:r>
      <w:r w:rsidR="00F103A8" w:rsidRPr="00F06D71">
        <w:rPr>
          <w:szCs w:val="24"/>
          <w:lang w:val="fr-CA"/>
        </w:rPr>
        <w:t>art. </w:t>
      </w:r>
      <w:r w:rsidRPr="00F06D71">
        <w:rPr>
          <w:szCs w:val="24"/>
          <w:lang w:val="fr-CA"/>
        </w:rPr>
        <w:t>26.</w:t>
      </w:r>
    </w:p>
    <w:p w:rsidR="006A5BE7" w:rsidRPr="00F06D71" w:rsidRDefault="00AB39C2" w:rsidP="0054529F">
      <w:pPr>
        <w:pStyle w:val="SCCNormalDoubleSpacing"/>
        <w:tabs>
          <w:tab w:val="clear" w:pos="1168"/>
        </w:tabs>
        <w:spacing w:after="720" w:line="240" w:lineRule="auto"/>
        <w:ind w:left="533" w:hanging="533"/>
        <w:rPr>
          <w:bCs/>
          <w:szCs w:val="24"/>
          <w:lang w:val="fr-CA"/>
        </w:rPr>
      </w:pPr>
      <w:r w:rsidRPr="00F06D71">
        <w:rPr>
          <w:i/>
          <w:szCs w:val="24"/>
          <w:lang w:val="fr-CA"/>
        </w:rPr>
        <w:t>Loi sur les r</w:t>
      </w:r>
      <w:r w:rsidR="0064693D" w:rsidRPr="00F06D71">
        <w:rPr>
          <w:i/>
          <w:szCs w:val="24"/>
          <w:lang w:val="fr-CA"/>
        </w:rPr>
        <w:t>é</w:t>
      </w:r>
      <w:r w:rsidRPr="00F06D71">
        <w:rPr>
          <w:i/>
          <w:szCs w:val="24"/>
          <w:lang w:val="fr-CA"/>
        </w:rPr>
        <w:t xml:space="preserve">gimes </w:t>
      </w:r>
      <w:r w:rsidR="0064693D" w:rsidRPr="00F06D71">
        <w:rPr>
          <w:i/>
          <w:szCs w:val="24"/>
          <w:lang w:val="fr-CA"/>
        </w:rPr>
        <w:t>complémentaires</w:t>
      </w:r>
      <w:r w:rsidRPr="00F06D71">
        <w:rPr>
          <w:i/>
          <w:szCs w:val="24"/>
          <w:lang w:val="fr-CA"/>
        </w:rPr>
        <w:t xml:space="preserve"> de retraite</w:t>
      </w:r>
      <w:r w:rsidR="006A5BE7" w:rsidRPr="00F06D71">
        <w:rPr>
          <w:szCs w:val="24"/>
          <w:lang w:val="fr-CA"/>
        </w:rPr>
        <w:t xml:space="preserve">, </w:t>
      </w:r>
      <w:r w:rsidRPr="00F06D71">
        <w:rPr>
          <w:szCs w:val="24"/>
          <w:lang w:val="fr-CA"/>
        </w:rPr>
        <w:t>L</w:t>
      </w:r>
      <w:r w:rsidR="006A5BE7" w:rsidRPr="00F06D71">
        <w:rPr>
          <w:szCs w:val="24"/>
          <w:lang w:val="fr-CA"/>
        </w:rPr>
        <w:t>.</w:t>
      </w:r>
      <w:r w:rsidRPr="00F06D71">
        <w:rPr>
          <w:szCs w:val="24"/>
          <w:lang w:val="fr-CA"/>
        </w:rPr>
        <w:t>R</w:t>
      </w:r>
      <w:r w:rsidR="006A5BE7" w:rsidRPr="00F06D71">
        <w:rPr>
          <w:szCs w:val="24"/>
          <w:lang w:val="fr-CA"/>
        </w:rPr>
        <w:t xml:space="preserve">.Q., </w:t>
      </w:r>
      <w:r w:rsidR="00F103A8" w:rsidRPr="00F06D71">
        <w:rPr>
          <w:szCs w:val="24"/>
          <w:lang w:val="fr-CA"/>
        </w:rPr>
        <w:t>ch. </w:t>
      </w:r>
      <w:r w:rsidR="006A5BE7" w:rsidRPr="00F06D71">
        <w:rPr>
          <w:szCs w:val="24"/>
          <w:lang w:val="fr-CA"/>
        </w:rPr>
        <w:t>R</w:t>
      </w:r>
      <w:r w:rsidR="00F103A8" w:rsidRPr="00F06D71">
        <w:rPr>
          <w:szCs w:val="24"/>
          <w:lang w:val="fr-CA"/>
        </w:rPr>
        <w:noBreakHyphen/>
      </w:r>
      <w:r w:rsidR="006A5BE7" w:rsidRPr="00F06D71">
        <w:rPr>
          <w:szCs w:val="24"/>
          <w:lang w:val="fr-CA"/>
        </w:rPr>
        <w:t xml:space="preserve">15.1, </w:t>
      </w:r>
      <w:r w:rsidR="00F103A8" w:rsidRPr="00F06D71">
        <w:rPr>
          <w:szCs w:val="24"/>
          <w:lang w:val="fr-CA"/>
        </w:rPr>
        <w:t>art. </w:t>
      </w:r>
      <w:r w:rsidR="006A5BE7" w:rsidRPr="00F06D71">
        <w:rPr>
          <w:szCs w:val="24"/>
          <w:lang w:val="fr-CA"/>
        </w:rPr>
        <w:t>5, 14.1, 202, 203</w:t>
      </w:r>
      <w:r w:rsidR="00425E69" w:rsidRPr="00F06D71">
        <w:rPr>
          <w:szCs w:val="24"/>
          <w:lang w:val="fr-CA"/>
        </w:rPr>
        <w:t>,</w:t>
      </w:r>
      <w:r w:rsidR="006A5BE7" w:rsidRPr="00F06D71">
        <w:rPr>
          <w:szCs w:val="24"/>
          <w:lang w:val="fr-CA"/>
        </w:rPr>
        <w:t xml:space="preserve"> 211, 228, 228.1, 319.1</w:t>
      </w:r>
      <w:r w:rsidR="0087226F" w:rsidRPr="00F06D71">
        <w:rPr>
          <w:szCs w:val="24"/>
          <w:lang w:val="fr-CA"/>
        </w:rPr>
        <w:t>.</w:t>
      </w:r>
    </w:p>
    <w:p w:rsidR="004D7D95" w:rsidRPr="00F06D71" w:rsidRDefault="004D7D95" w:rsidP="00071F5D">
      <w:pPr>
        <w:pStyle w:val="SCCNormalDoubleSpacing"/>
        <w:keepNext/>
        <w:spacing w:after="720" w:line="240" w:lineRule="auto"/>
        <w:rPr>
          <w:lang w:val="fr-CA"/>
        </w:rPr>
      </w:pPr>
      <w:r w:rsidRPr="00F06D71">
        <w:rPr>
          <w:b/>
          <w:lang w:val="fr-CA"/>
        </w:rPr>
        <w:t>Doctrine et autres documents cités</w:t>
      </w:r>
    </w:p>
    <w:p w:rsidR="00792DFE" w:rsidRPr="00F06D71" w:rsidRDefault="00792DFE" w:rsidP="00071F5D">
      <w:pPr>
        <w:pStyle w:val="SCCNormalDoubleSpacing"/>
        <w:tabs>
          <w:tab w:val="clear" w:pos="1168"/>
        </w:tabs>
        <w:spacing w:after="240" w:line="240" w:lineRule="auto"/>
        <w:ind w:left="539" w:hanging="539"/>
        <w:rPr>
          <w:szCs w:val="24"/>
        </w:rPr>
      </w:pPr>
      <w:r w:rsidRPr="00F06D71">
        <w:rPr>
          <w:i/>
          <w:szCs w:val="24"/>
        </w:rPr>
        <w:t>Black’s Law Dictionary</w:t>
      </w:r>
      <w:r w:rsidRPr="00F06D71">
        <w:rPr>
          <w:szCs w:val="24"/>
        </w:rPr>
        <w:t>, 9</w:t>
      </w:r>
      <w:r w:rsidR="00071F5D" w:rsidRPr="00F06D71">
        <w:rPr>
          <w:szCs w:val="24"/>
        </w:rPr>
        <w:t>th ed.  St. </w:t>
      </w:r>
      <w:r w:rsidRPr="00F06D71">
        <w:rPr>
          <w:szCs w:val="24"/>
        </w:rPr>
        <w:t>Paul, Minn.</w:t>
      </w:r>
      <w:r w:rsidR="00F103A8" w:rsidRPr="00F06D71">
        <w:rPr>
          <w:szCs w:val="24"/>
        </w:rPr>
        <w:t> :</w:t>
      </w:r>
      <w:r w:rsidRPr="00F06D71">
        <w:rPr>
          <w:szCs w:val="24"/>
        </w:rPr>
        <w:t xml:space="preserve"> </w:t>
      </w:r>
      <w:r w:rsidR="006D7C38">
        <w:rPr>
          <w:szCs w:val="24"/>
        </w:rPr>
        <w:t>West</w:t>
      </w:r>
      <w:r w:rsidRPr="00F06D71">
        <w:rPr>
          <w:szCs w:val="24"/>
        </w:rPr>
        <w:t>, 2009, « </w:t>
      </w:r>
      <w:r w:rsidRPr="00F06D71">
        <w:rPr>
          <w:i/>
          <w:szCs w:val="24"/>
        </w:rPr>
        <w:t>stare decisis</w:t>
      </w:r>
      <w:r w:rsidRPr="00F06D71">
        <w:rPr>
          <w:szCs w:val="24"/>
        </w:rPr>
        <w:t> ».</w:t>
      </w:r>
    </w:p>
    <w:p w:rsidR="00311531" w:rsidRPr="00F06D71" w:rsidRDefault="00071F5D" w:rsidP="00071F5D">
      <w:pPr>
        <w:pStyle w:val="SCCNormalDoubleSpacing"/>
        <w:tabs>
          <w:tab w:val="clear" w:pos="1168"/>
        </w:tabs>
        <w:spacing w:after="240" w:line="240" w:lineRule="auto"/>
        <w:ind w:left="539" w:hanging="539"/>
        <w:rPr>
          <w:szCs w:val="24"/>
        </w:rPr>
      </w:pPr>
      <w:r w:rsidRPr="00F06D71">
        <w:rPr>
          <w:szCs w:val="24"/>
        </w:rPr>
        <w:t>Brown, Donald J. M., and John </w:t>
      </w:r>
      <w:r w:rsidR="00311531" w:rsidRPr="00F06D71">
        <w:rPr>
          <w:szCs w:val="24"/>
        </w:rPr>
        <w:t>M. Evans, w</w:t>
      </w:r>
      <w:r w:rsidRPr="00F06D71">
        <w:rPr>
          <w:szCs w:val="24"/>
        </w:rPr>
        <w:t>ith the assistance of Christine </w:t>
      </w:r>
      <w:r w:rsidR="00311531" w:rsidRPr="00F06D71">
        <w:rPr>
          <w:szCs w:val="24"/>
        </w:rPr>
        <w:t xml:space="preserve">E. Deacon.  </w:t>
      </w:r>
      <w:r w:rsidR="00311531" w:rsidRPr="00F06D71">
        <w:rPr>
          <w:i/>
          <w:szCs w:val="24"/>
        </w:rPr>
        <w:t>Judicial Review of Administrative Action in Canada</w:t>
      </w:r>
      <w:r w:rsidR="00311531" w:rsidRPr="00F06D71">
        <w:rPr>
          <w:szCs w:val="24"/>
        </w:rPr>
        <w:t>.  Toronto</w:t>
      </w:r>
      <w:r w:rsidR="00F103A8" w:rsidRPr="00F06D71">
        <w:rPr>
          <w:szCs w:val="24"/>
        </w:rPr>
        <w:t> :</w:t>
      </w:r>
      <w:r w:rsidR="00311531" w:rsidRPr="00F06D71">
        <w:rPr>
          <w:szCs w:val="24"/>
        </w:rPr>
        <w:t xml:space="preserve"> Canvasback, 1998 (loose</w:t>
      </w:r>
      <w:r w:rsidR="00F103A8" w:rsidRPr="00F06D71">
        <w:rPr>
          <w:szCs w:val="24"/>
        </w:rPr>
        <w:noBreakHyphen/>
      </w:r>
      <w:r w:rsidR="00311531" w:rsidRPr="00F06D71">
        <w:rPr>
          <w:szCs w:val="24"/>
        </w:rPr>
        <w:t>leaf updated August 2012).</w:t>
      </w:r>
    </w:p>
    <w:p w:rsidR="00311531" w:rsidRPr="00F06D71" w:rsidRDefault="00311531" w:rsidP="00071F5D">
      <w:pPr>
        <w:pStyle w:val="SCCNormalDoubleSpacing"/>
        <w:tabs>
          <w:tab w:val="clear" w:pos="1168"/>
        </w:tabs>
        <w:spacing w:after="240" w:line="240" w:lineRule="auto"/>
        <w:ind w:left="539" w:hanging="539"/>
        <w:rPr>
          <w:szCs w:val="24"/>
          <w:lang w:val="fr-FR"/>
        </w:rPr>
      </w:pPr>
      <w:r w:rsidRPr="00F06D71">
        <w:rPr>
          <w:szCs w:val="24"/>
          <w:lang w:val="fr-CA"/>
        </w:rPr>
        <w:t>Côté, Pierre</w:t>
      </w:r>
      <w:r w:rsidR="00F103A8" w:rsidRPr="00F06D71">
        <w:rPr>
          <w:szCs w:val="24"/>
          <w:lang w:val="fr-CA"/>
        </w:rPr>
        <w:noBreakHyphen/>
      </w:r>
      <w:r w:rsidRPr="00F06D71">
        <w:rPr>
          <w:szCs w:val="24"/>
          <w:lang w:val="fr-CA"/>
        </w:rPr>
        <w:t xml:space="preserve">André, avec la collaboration de Stéphane Beaulac et Mathieu Devinat.  </w:t>
      </w:r>
      <w:r w:rsidRPr="00F06D71">
        <w:rPr>
          <w:i/>
          <w:szCs w:val="24"/>
          <w:lang w:val="fr-CA"/>
        </w:rPr>
        <w:t>Interpr</w:t>
      </w:r>
      <w:r w:rsidR="002A0830">
        <w:rPr>
          <w:i/>
          <w:szCs w:val="24"/>
          <w:lang w:val="fr-CA"/>
        </w:rPr>
        <w:t>é</w:t>
      </w:r>
      <w:r w:rsidRPr="00F06D71">
        <w:rPr>
          <w:i/>
          <w:szCs w:val="24"/>
          <w:lang w:val="fr-CA"/>
        </w:rPr>
        <w:t>tation des lois</w:t>
      </w:r>
      <w:r w:rsidRPr="00F06D71">
        <w:rPr>
          <w:szCs w:val="24"/>
          <w:lang w:val="fr-CA"/>
        </w:rPr>
        <w:t>, 4</w:t>
      </w:r>
      <w:r w:rsidRPr="00F06D71">
        <w:rPr>
          <w:szCs w:val="24"/>
          <w:vertAlign w:val="superscript"/>
          <w:lang w:val="fr-CA"/>
        </w:rPr>
        <w:t>e</w:t>
      </w:r>
      <w:r w:rsidRPr="00F06D71">
        <w:rPr>
          <w:szCs w:val="24"/>
          <w:lang w:val="fr-CA"/>
        </w:rPr>
        <w:t xml:space="preserve"> éd.  </w:t>
      </w:r>
      <w:r w:rsidRPr="00F06D71">
        <w:rPr>
          <w:szCs w:val="24"/>
          <w:lang w:val="fr-FR"/>
        </w:rPr>
        <w:t>Montréal</w:t>
      </w:r>
      <w:r w:rsidR="00F103A8" w:rsidRPr="00F06D71">
        <w:rPr>
          <w:szCs w:val="24"/>
          <w:lang w:val="fr-FR"/>
        </w:rPr>
        <w:t> :</w:t>
      </w:r>
      <w:r w:rsidRPr="00F06D71">
        <w:rPr>
          <w:szCs w:val="24"/>
          <w:lang w:val="fr-FR"/>
        </w:rPr>
        <w:t xml:space="preserve"> Thémis, 2009.</w:t>
      </w:r>
    </w:p>
    <w:p w:rsidR="00311531" w:rsidRPr="00F06D71" w:rsidRDefault="00311531" w:rsidP="00071F5D">
      <w:pPr>
        <w:pStyle w:val="SCCNormalDoubleSpacing"/>
        <w:tabs>
          <w:tab w:val="clear" w:pos="1168"/>
        </w:tabs>
        <w:spacing w:after="240" w:line="240" w:lineRule="auto"/>
        <w:ind w:left="539" w:hanging="539"/>
        <w:rPr>
          <w:szCs w:val="24"/>
          <w:lang w:val="fr-FR"/>
        </w:rPr>
      </w:pPr>
      <w:r w:rsidRPr="002A0830">
        <w:rPr>
          <w:szCs w:val="24"/>
          <w:lang w:val="en-US"/>
        </w:rPr>
        <w:t xml:space="preserve">Craies, William Feilden.  </w:t>
      </w:r>
      <w:r w:rsidRPr="00F06D71">
        <w:rPr>
          <w:i/>
          <w:szCs w:val="24"/>
        </w:rPr>
        <w:t>A Treatise on Statute Law</w:t>
      </w:r>
      <w:r w:rsidR="00071F5D" w:rsidRPr="00F06D71">
        <w:rPr>
          <w:szCs w:val="24"/>
        </w:rPr>
        <w:t>, 4th ed. by Walter </w:t>
      </w:r>
      <w:r w:rsidRPr="00F06D71">
        <w:rPr>
          <w:szCs w:val="24"/>
        </w:rPr>
        <w:t xml:space="preserve">S. Scott.  </w:t>
      </w:r>
      <w:r w:rsidRPr="00F06D71">
        <w:rPr>
          <w:szCs w:val="24"/>
          <w:lang w:val="fr-FR"/>
        </w:rPr>
        <w:t>London</w:t>
      </w:r>
      <w:r w:rsidR="00F103A8" w:rsidRPr="00F06D71">
        <w:rPr>
          <w:szCs w:val="24"/>
          <w:lang w:val="fr-FR"/>
        </w:rPr>
        <w:t> :</w:t>
      </w:r>
      <w:r w:rsidRPr="00F06D71">
        <w:rPr>
          <w:szCs w:val="24"/>
          <w:lang w:val="fr-FR"/>
        </w:rPr>
        <w:t xml:space="preserve"> Sweet &amp; Maxwell, 1936.</w:t>
      </w:r>
    </w:p>
    <w:p w:rsidR="00311531" w:rsidRPr="00F06D71" w:rsidRDefault="00311531" w:rsidP="00071F5D">
      <w:pPr>
        <w:pStyle w:val="SCCNormalDoubleSpacing"/>
        <w:tabs>
          <w:tab w:val="clear" w:pos="1168"/>
        </w:tabs>
        <w:spacing w:after="240" w:line="240" w:lineRule="auto"/>
        <w:ind w:left="539" w:hanging="539"/>
        <w:rPr>
          <w:szCs w:val="24"/>
          <w:lang w:val="fr-CA"/>
        </w:rPr>
      </w:pPr>
      <w:r w:rsidRPr="00F06D71">
        <w:rPr>
          <w:szCs w:val="24"/>
          <w:lang w:val="fr-FR"/>
        </w:rPr>
        <w:t>Pigeon, Louis</w:t>
      </w:r>
      <w:r w:rsidR="00F103A8" w:rsidRPr="00F06D71">
        <w:rPr>
          <w:szCs w:val="24"/>
          <w:lang w:val="fr-FR"/>
        </w:rPr>
        <w:noBreakHyphen/>
      </w:r>
      <w:r w:rsidRPr="00F06D71">
        <w:rPr>
          <w:szCs w:val="24"/>
          <w:lang w:val="fr-FR"/>
        </w:rPr>
        <w:t xml:space="preserve">Philippe.  </w:t>
      </w:r>
      <w:r w:rsidRPr="00F06D71">
        <w:rPr>
          <w:i/>
          <w:szCs w:val="24"/>
          <w:lang w:val="fr-CA"/>
        </w:rPr>
        <w:t>Rédaction et interprétation des lois</w:t>
      </w:r>
      <w:r w:rsidR="00335CA9" w:rsidRPr="00335CA9">
        <w:rPr>
          <w:szCs w:val="24"/>
          <w:lang w:val="fr-CA"/>
        </w:rPr>
        <w:t>, 3</w:t>
      </w:r>
      <w:r w:rsidR="00335CA9" w:rsidRPr="00335CA9">
        <w:rPr>
          <w:szCs w:val="24"/>
          <w:vertAlign w:val="superscript"/>
          <w:lang w:val="fr-CA"/>
        </w:rPr>
        <w:t>e</w:t>
      </w:r>
      <w:r w:rsidR="00335CA9" w:rsidRPr="00335CA9">
        <w:rPr>
          <w:szCs w:val="24"/>
          <w:lang w:val="fr-CA"/>
        </w:rPr>
        <w:t xml:space="preserve"> éd</w:t>
      </w:r>
      <w:r w:rsidRPr="00F06D71">
        <w:rPr>
          <w:szCs w:val="24"/>
          <w:lang w:val="fr-CA"/>
        </w:rPr>
        <w:t>.  Québec</w:t>
      </w:r>
      <w:r w:rsidR="00F103A8" w:rsidRPr="00F06D71">
        <w:rPr>
          <w:szCs w:val="24"/>
          <w:lang w:val="fr-CA"/>
        </w:rPr>
        <w:t> :</w:t>
      </w:r>
      <w:r w:rsidRPr="00F06D71">
        <w:rPr>
          <w:szCs w:val="24"/>
          <w:lang w:val="fr-CA"/>
        </w:rPr>
        <w:t xml:space="preserve"> Publications du Québec, 1986.</w:t>
      </w:r>
    </w:p>
    <w:p w:rsidR="005915B5" w:rsidRPr="00F06D71" w:rsidRDefault="005915B5" w:rsidP="00071F5D">
      <w:pPr>
        <w:pStyle w:val="SCCNormalDoubleSpacing"/>
        <w:tabs>
          <w:tab w:val="clear" w:pos="1168"/>
        </w:tabs>
        <w:spacing w:after="240" w:line="240" w:lineRule="auto"/>
        <w:ind w:left="539" w:hanging="539"/>
        <w:rPr>
          <w:szCs w:val="24"/>
          <w:lang w:val="fr-CA" w:bidi="en-US"/>
        </w:rPr>
      </w:pPr>
      <w:r w:rsidRPr="00F06D71">
        <w:rPr>
          <w:szCs w:val="24"/>
          <w:lang w:val="fr-CA"/>
        </w:rPr>
        <w:t xml:space="preserve">Québec.  Assemblée nationale.  </w:t>
      </w:r>
      <w:r w:rsidRPr="00F06D71">
        <w:rPr>
          <w:i/>
          <w:szCs w:val="24"/>
          <w:lang w:val="fr-CA"/>
        </w:rPr>
        <w:t>Journal des débats</w:t>
      </w:r>
      <w:r w:rsidRPr="00F06D71">
        <w:rPr>
          <w:szCs w:val="24"/>
          <w:lang w:val="fr-CA"/>
        </w:rPr>
        <w:t xml:space="preserve">, </w:t>
      </w:r>
      <w:r w:rsidR="00F103A8" w:rsidRPr="00F06D71">
        <w:rPr>
          <w:szCs w:val="24"/>
          <w:lang w:val="fr-CA"/>
        </w:rPr>
        <w:t>vol. </w:t>
      </w:r>
      <w:r w:rsidRPr="00F06D71">
        <w:rPr>
          <w:szCs w:val="24"/>
          <w:lang w:val="fr-CA"/>
        </w:rPr>
        <w:t>40, n</w:t>
      </w:r>
      <w:r w:rsidRPr="00F06D71">
        <w:rPr>
          <w:szCs w:val="24"/>
          <w:vertAlign w:val="superscript"/>
          <w:lang w:val="fr-CA"/>
        </w:rPr>
        <w:t>o</w:t>
      </w:r>
      <w:r w:rsidR="00071F5D" w:rsidRPr="00F06D71">
        <w:rPr>
          <w:szCs w:val="24"/>
          <w:lang w:val="fr-CA"/>
        </w:rPr>
        <w:t> </w:t>
      </w:r>
      <w:r w:rsidRPr="00F06D71">
        <w:rPr>
          <w:szCs w:val="24"/>
          <w:lang w:val="fr-CA"/>
        </w:rPr>
        <w:t>65, 1</w:t>
      </w:r>
      <w:r w:rsidRPr="00F06D71">
        <w:rPr>
          <w:szCs w:val="24"/>
          <w:vertAlign w:val="superscript"/>
          <w:lang w:val="fr-CA"/>
        </w:rPr>
        <w:t>re</w:t>
      </w:r>
      <w:r w:rsidRPr="00F06D71">
        <w:rPr>
          <w:szCs w:val="24"/>
          <w:lang w:val="fr-CA"/>
        </w:rPr>
        <w:t xml:space="preserve"> sess., 38</w:t>
      </w:r>
      <w:r w:rsidRPr="00F06D71">
        <w:rPr>
          <w:szCs w:val="24"/>
          <w:vertAlign w:val="superscript"/>
          <w:lang w:val="fr-CA"/>
        </w:rPr>
        <w:t>e</w:t>
      </w:r>
      <w:r w:rsidRPr="00F06D71">
        <w:rPr>
          <w:szCs w:val="24"/>
          <w:lang w:val="fr-CA"/>
        </w:rPr>
        <w:t xml:space="preserve"> lég., 2</w:t>
      </w:r>
      <w:r w:rsidR="00071F5D" w:rsidRPr="00F06D71">
        <w:rPr>
          <w:szCs w:val="24"/>
          <w:lang w:val="fr-CA"/>
        </w:rPr>
        <w:t> </w:t>
      </w:r>
      <w:r w:rsidRPr="00F06D71">
        <w:rPr>
          <w:szCs w:val="24"/>
          <w:lang w:val="fr-CA"/>
        </w:rPr>
        <w:t>avril 2008.</w:t>
      </w:r>
    </w:p>
    <w:p w:rsidR="00311531" w:rsidRPr="00F06D71" w:rsidRDefault="00311531" w:rsidP="00071F5D">
      <w:pPr>
        <w:pStyle w:val="SCCNormalDoubleSpacing"/>
        <w:tabs>
          <w:tab w:val="clear" w:pos="1168"/>
        </w:tabs>
        <w:spacing w:after="240" w:line="240" w:lineRule="auto"/>
        <w:ind w:left="539" w:hanging="539"/>
        <w:rPr>
          <w:szCs w:val="24"/>
          <w:lang w:val="fr-CA"/>
        </w:rPr>
      </w:pPr>
      <w:r w:rsidRPr="00F06D71">
        <w:rPr>
          <w:szCs w:val="24"/>
          <w:lang w:val="fr-CA"/>
        </w:rPr>
        <w:lastRenderedPageBreak/>
        <w:t xml:space="preserve">Québec.  Assemblée nationale.  </w:t>
      </w:r>
      <w:r w:rsidRPr="00F06D71">
        <w:rPr>
          <w:i/>
          <w:szCs w:val="24"/>
          <w:lang w:val="fr-CA"/>
        </w:rPr>
        <w:t>Journal des débats de la Commission des affaires sociales</w:t>
      </w:r>
      <w:r w:rsidRPr="00F06D71">
        <w:rPr>
          <w:szCs w:val="24"/>
          <w:lang w:val="fr-CA"/>
        </w:rPr>
        <w:t xml:space="preserve">, </w:t>
      </w:r>
      <w:r w:rsidR="00F103A8" w:rsidRPr="00F06D71">
        <w:rPr>
          <w:szCs w:val="24"/>
          <w:lang w:val="fr-CA"/>
        </w:rPr>
        <w:t>vol. </w:t>
      </w:r>
      <w:r w:rsidRPr="00F06D71">
        <w:rPr>
          <w:szCs w:val="24"/>
          <w:lang w:val="fr-CA"/>
        </w:rPr>
        <w:t>40, n</w:t>
      </w:r>
      <w:r w:rsidRPr="00F06D71">
        <w:rPr>
          <w:szCs w:val="24"/>
          <w:vertAlign w:val="superscript"/>
          <w:lang w:val="fr-CA"/>
        </w:rPr>
        <w:t>o</w:t>
      </w:r>
      <w:r w:rsidR="00071F5D" w:rsidRPr="00F06D71">
        <w:rPr>
          <w:szCs w:val="24"/>
          <w:lang w:val="fr-CA"/>
        </w:rPr>
        <w:t> </w:t>
      </w:r>
      <w:r w:rsidRPr="00F06D71">
        <w:rPr>
          <w:szCs w:val="24"/>
          <w:lang w:val="fr-CA"/>
        </w:rPr>
        <w:t>52, 1</w:t>
      </w:r>
      <w:r w:rsidRPr="00F06D71">
        <w:rPr>
          <w:szCs w:val="24"/>
          <w:vertAlign w:val="superscript"/>
          <w:lang w:val="fr-CA"/>
        </w:rPr>
        <w:t>re</w:t>
      </w:r>
      <w:r w:rsidRPr="00F06D71">
        <w:rPr>
          <w:szCs w:val="24"/>
          <w:lang w:val="fr-CA"/>
        </w:rPr>
        <w:t xml:space="preserve"> sess., 38</w:t>
      </w:r>
      <w:r w:rsidRPr="00F06D71">
        <w:rPr>
          <w:szCs w:val="24"/>
          <w:vertAlign w:val="superscript"/>
          <w:lang w:val="fr-CA"/>
        </w:rPr>
        <w:t>e</w:t>
      </w:r>
      <w:r w:rsidRPr="00F06D71">
        <w:rPr>
          <w:szCs w:val="24"/>
          <w:lang w:val="fr-CA"/>
        </w:rPr>
        <w:t xml:space="preserve"> lég., 3</w:t>
      </w:r>
      <w:r w:rsidR="00071F5D" w:rsidRPr="00F06D71">
        <w:rPr>
          <w:szCs w:val="24"/>
          <w:lang w:val="fr-CA"/>
        </w:rPr>
        <w:t> </w:t>
      </w:r>
      <w:r w:rsidRPr="00F06D71">
        <w:rPr>
          <w:szCs w:val="24"/>
          <w:lang w:val="fr-CA"/>
        </w:rPr>
        <w:t>juin 2008, Étude détaillée du projet de loi n</w:t>
      </w:r>
      <w:r w:rsidRPr="00F06D71">
        <w:rPr>
          <w:szCs w:val="24"/>
          <w:vertAlign w:val="superscript"/>
          <w:lang w:val="fr-CA"/>
        </w:rPr>
        <w:t>o</w:t>
      </w:r>
      <w:r w:rsidRPr="00F06D71">
        <w:rPr>
          <w:szCs w:val="24"/>
          <w:lang w:val="fr-CA"/>
        </w:rPr>
        <w:t xml:space="preserve"> 68 — </w:t>
      </w:r>
      <w:r w:rsidRPr="00F06D71">
        <w:rPr>
          <w:i/>
          <w:szCs w:val="24"/>
          <w:lang w:val="fr-CA"/>
        </w:rPr>
        <w:t>Loi modifiant la Loi sur les régimes complémentaires de retraite, la Loi sur le régime de rentes du Québec et d’autres dispositions législatives</w:t>
      </w:r>
      <w:r w:rsidRPr="00F06D71">
        <w:rPr>
          <w:szCs w:val="24"/>
          <w:lang w:val="fr-CA"/>
        </w:rPr>
        <w:t>.</w:t>
      </w:r>
    </w:p>
    <w:p w:rsidR="00311531" w:rsidRPr="00F06D71" w:rsidRDefault="00311531" w:rsidP="00071F5D">
      <w:pPr>
        <w:pStyle w:val="SCCNormalDoubleSpacing"/>
        <w:tabs>
          <w:tab w:val="clear" w:pos="1168"/>
        </w:tabs>
        <w:spacing w:after="240" w:line="240" w:lineRule="auto"/>
        <w:ind w:left="539" w:hanging="539"/>
        <w:rPr>
          <w:szCs w:val="24"/>
          <w:lang w:val="en-US" w:bidi="en-US"/>
        </w:rPr>
      </w:pPr>
      <w:r w:rsidRPr="00F06D71">
        <w:rPr>
          <w:szCs w:val="24"/>
          <w:lang w:val="fr-CA" w:bidi="en-US"/>
        </w:rPr>
        <w:t xml:space="preserve">Roubier, Paul.  </w:t>
      </w:r>
      <w:r w:rsidRPr="00F06D71">
        <w:rPr>
          <w:i/>
          <w:szCs w:val="24"/>
          <w:lang w:val="fr-CA" w:bidi="en-US"/>
        </w:rPr>
        <w:t>Le droit transitoire</w:t>
      </w:r>
      <w:r w:rsidR="00F103A8" w:rsidRPr="00F06D71">
        <w:rPr>
          <w:i/>
          <w:szCs w:val="24"/>
          <w:lang w:val="fr-CA" w:bidi="en-US"/>
        </w:rPr>
        <w:t> :</w:t>
      </w:r>
      <w:r w:rsidR="002A499D" w:rsidRPr="00F06D71">
        <w:rPr>
          <w:i/>
          <w:szCs w:val="24"/>
          <w:lang w:val="fr-CA" w:bidi="en-US"/>
        </w:rPr>
        <w:t xml:space="preserve"> </w:t>
      </w:r>
      <w:r w:rsidRPr="00F06D71">
        <w:rPr>
          <w:i/>
          <w:szCs w:val="24"/>
          <w:lang w:val="fr-CA" w:bidi="en-US"/>
        </w:rPr>
        <w:t>conflits des lois dans le temps</w:t>
      </w:r>
      <w:r w:rsidRPr="00F06D71">
        <w:rPr>
          <w:szCs w:val="24"/>
          <w:lang w:val="fr-CA" w:bidi="en-US"/>
        </w:rPr>
        <w:t>, 2</w:t>
      </w:r>
      <w:r w:rsidRPr="00F06D71">
        <w:rPr>
          <w:szCs w:val="24"/>
          <w:vertAlign w:val="superscript"/>
          <w:lang w:val="fr-CA" w:bidi="en-US"/>
        </w:rPr>
        <w:t>e</w:t>
      </w:r>
      <w:r w:rsidRPr="00F06D71">
        <w:rPr>
          <w:szCs w:val="24"/>
          <w:lang w:val="fr-CA" w:bidi="en-US"/>
        </w:rPr>
        <w:t xml:space="preserve"> éd.  </w:t>
      </w:r>
      <w:r w:rsidRPr="00F06D71">
        <w:rPr>
          <w:szCs w:val="24"/>
          <w:lang w:val="en-US" w:bidi="en-US"/>
        </w:rPr>
        <w:t>Cowansville, Qué.</w:t>
      </w:r>
      <w:r w:rsidR="00F103A8" w:rsidRPr="00F06D71">
        <w:rPr>
          <w:szCs w:val="24"/>
          <w:lang w:val="en-US" w:bidi="en-US"/>
        </w:rPr>
        <w:t> :</w:t>
      </w:r>
      <w:r w:rsidRPr="00F06D71">
        <w:rPr>
          <w:szCs w:val="24"/>
          <w:lang w:val="en-US" w:bidi="en-US"/>
        </w:rPr>
        <w:t xml:space="preserve"> Yvon Blais, 1993.</w:t>
      </w:r>
    </w:p>
    <w:p w:rsidR="004D7D95" w:rsidRPr="00F06D71" w:rsidRDefault="00311531" w:rsidP="00071F5D">
      <w:pPr>
        <w:pStyle w:val="SCCNormalDoubleSpacing"/>
        <w:tabs>
          <w:tab w:val="clear" w:pos="1168"/>
        </w:tabs>
        <w:spacing w:after="720" w:line="240" w:lineRule="auto"/>
        <w:ind w:left="533" w:hanging="533"/>
        <w:rPr>
          <w:szCs w:val="24"/>
          <w:lang w:val="fr-CA"/>
        </w:rPr>
      </w:pPr>
      <w:r w:rsidRPr="00F06D71">
        <w:rPr>
          <w:szCs w:val="24"/>
        </w:rPr>
        <w:t xml:space="preserve">Sullivan, Ruth.  </w:t>
      </w:r>
      <w:r w:rsidRPr="00F06D71">
        <w:rPr>
          <w:i/>
          <w:szCs w:val="24"/>
        </w:rPr>
        <w:t>Sullivan on the Construction of Statutes</w:t>
      </w:r>
      <w:r w:rsidRPr="00F06D71">
        <w:rPr>
          <w:szCs w:val="24"/>
        </w:rPr>
        <w:t xml:space="preserve">, 5th ed.  </w:t>
      </w:r>
      <w:r w:rsidRPr="00F06D71">
        <w:rPr>
          <w:szCs w:val="24"/>
          <w:lang w:val="fr-CA"/>
        </w:rPr>
        <w:t>Markham, Ont.</w:t>
      </w:r>
      <w:r w:rsidR="00F103A8" w:rsidRPr="00F06D71">
        <w:rPr>
          <w:szCs w:val="24"/>
          <w:lang w:val="fr-CA"/>
        </w:rPr>
        <w:t> :</w:t>
      </w:r>
      <w:r w:rsidRPr="00F06D71">
        <w:rPr>
          <w:szCs w:val="24"/>
          <w:lang w:val="fr-CA"/>
        </w:rPr>
        <w:t xml:space="preserve"> LexisNexis, 2008.</w:t>
      </w:r>
    </w:p>
    <w:p w:rsidR="004D7D95" w:rsidRPr="00F06D71" w:rsidRDefault="004D7D95" w:rsidP="00071F5D">
      <w:pPr>
        <w:pStyle w:val="SCCNormalDoubleSpacing"/>
        <w:spacing w:after="480"/>
        <w:rPr>
          <w:lang w:val="fr-CA"/>
        </w:rPr>
      </w:pPr>
      <w:r w:rsidRPr="00F06D71">
        <w:rPr>
          <w:lang w:val="fr-CA"/>
        </w:rPr>
        <w:tab/>
        <w:t>POURVOI contre un arrêt de la Cour d</w:t>
      </w:r>
      <w:r w:rsidR="00D96BD4" w:rsidRPr="00F06D71">
        <w:rPr>
          <w:lang w:val="fr-CA"/>
        </w:rPr>
        <w:t>’</w:t>
      </w:r>
      <w:r w:rsidRPr="00F06D71">
        <w:rPr>
          <w:lang w:val="fr-CA"/>
        </w:rPr>
        <w:t xml:space="preserve">appel du Québec </w:t>
      </w:r>
      <w:r w:rsidR="002C41DD" w:rsidRPr="00F06D71">
        <w:rPr>
          <w:lang w:val="fr-CA"/>
        </w:rPr>
        <w:t>(les juges Thibault, Rochette et Kasirer), 2011 QCCA 1518, [2011] R.J.Q. 1540, [2011] R.J.D.T. 747, 93 C.C.P.B. 1, 29 Admin. L.R. (5th) 291, [2011] J.Q. n</w:t>
      </w:r>
      <w:r w:rsidR="002C41DD" w:rsidRPr="00F06D71">
        <w:rPr>
          <w:vertAlign w:val="superscript"/>
          <w:lang w:val="fr-CA"/>
        </w:rPr>
        <w:t>o</w:t>
      </w:r>
      <w:r w:rsidR="00071F5D" w:rsidRPr="00F06D71">
        <w:rPr>
          <w:lang w:val="fr-CA"/>
        </w:rPr>
        <w:t> </w:t>
      </w:r>
      <w:r w:rsidR="002C41DD" w:rsidRPr="00F06D71">
        <w:rPr>
          <w:lang w:val="fr-CA"/>
        </w:rPr>
        <w:t>10713 (QL), 2011 CarswellQue 8758, SOQUIJ AZ</w:t>
      </w:r>
      <w:r w:rsidR="00F103A8" w:rsidRPr="00F06D71">
        <w:rPr>
          <w:lang w:val="fr-CA"/>
        </w:rPr>
        <w:noBreakHyphen/>
      </w:r>
      <w:r w:rsidR="002C41DD" w:rsidRPr="00F06D71">
        <w:rPr>
          <w:lang w:val="fr-CA"/>
        </w:rPr>
        <w:t>50781009, qui a confirmé une décision de la juge Grenier, 2010 QCCS 6104, [2011] R.J.Q. 122, [2011] R.J.D.T. 35, 87 C.C.P.B. 23, 17 Admin. L.R. (5th) 264, [2010] J.Q. n</w:t>
      </w:r>
      <w:r w:rsidR="002C41DD" w:rsidRPr="00F06D71">
        <w:rPr>
          <w:vertAlign w:val="superscript"/>
          <w:lang w:val="fr-CA"/>
        </w:rPr>
        <w:t>o</w:t>
      </w:r>
      <w:r w:rsidR="00071F5D" w:rsidRPr="00F06D71">
        <w:rPr>
          <w:lang w:val="fr-CA"/>
        </w:rPr>
        <w:t> </w:t>
      </w:r>
      <w:r w:rsidR="002C41DD" w:rsidRPr="00F06D71">
        <w:rPr>
          <w:lang w:val="fr-CA"/>
        </w:rPr>
        <w:t>13476 (QL), 2010 CarswellQue 13421, SOQUIJ AZ</w:t>
      </w:r>
      <w:r w:rsidR="00F103A8" w:rsidRPr="00F06D71">
        <w:rPr>
          <w:lang w:val="fr-CA"/>
        </w:rPr>
        <w:noBreakHyphen/>
      </w:r>
      <w:r w:rsidR="002C41DD" w:rsidRPr="00F06D71">
        <w:rPr>
          <w:lang w:val="fr-CA"/>
        </w:rPr>
        <w:t xml:space="preserve">50699375, qui a </w:t>
      </w:r>
      <w:r w:rsidR="002A499D" w:rsidRPr="00F06D71">
        <w:rPr>
          <w:lang w:val="fr-CA"/>
        </w:rPr>
        <w:t>annulé</w:t>
      </w:r>
      <w:r w:rsidR="002C41DD" w:rsidRPr="00F06D71">
        <w:rPr>
          <w:lang w:val="fr-CA"/>
        </w:rPr>
        <w:t xml:space="preserve"> une décision du Tribunal administratif du Québec, 2010 QCTAQ 04423, [2010] R.J.D.T. 796, 83 C.C.P.B. 111, 2010 LNQCTAQ 5 (QL), 2010 CarswellQue 3608, SOQUIJ AZ</w:t>
      </w:r>
      <w:r w:rsidR="00F103A8" w:rsidRPr="00F06D71">
        <w:rPr>
          <w:lang w:val="fr-CA"/>
        </w:rPr>
        <w:noBreakHyphen/>
      </w:r>
      <w:r w:rsidR="002C41DD" w:rsidRPr="00F06D71">
        <w:rPr>
          <w:lang w:val="fr-CA"/>
        </w:rPr>
        <w:t xml:space="preserve">50632060.  </w:t>
      </w:r>
      <w:r w:rsidR="00D96BD4" w:rsidRPr="00F06D71">
        <w:rPr>
          <w:lang w:val="fr-CA"/>
        </w:rPr>
        <w:t xml:space="preserve">Pourvoi </w:t>
      </w:r>
      <w:r w:rsidR="0085323D" w:rsidRPr="00F06D71">
        <w:rPr>
          <w:lang w:val="fr-CA"/>
        </w:rPr>
        <w:t>accueilli</w:t>
      </w:r>
      <w:r w:rsidR="00D96BD4" w:rsidRPr="00F06D71">
        <w:rPr>
          <w:lang w:val="fr-CA"/>
        </w:rPr>
        <w:t xml:space="preserve">, la juge en chef McLachlin </w:t>
      </w:r>
      <w:r w:rsidR="0085323D" w:rsidRPr="00F06D71">
        <w:rPr>
          <w:lang w:val="fr-CA"/>
        </w:rPr>
        <w:t>et le juge Fish sont</w:t>
      </w:r>
      <w:r w:rsidR="00D96BD4" w:rsidRPr="00F06D71">
        <w:rPr>
          <w:lang w:val="fr-CA"/>
        </w:rPr>
        <w:t xml:space="preserve"> dissident</w:t>
      </w:r>
      <w:r w:rsidR="0085323D" w:rsidRPr="00F06D71">
        <w:rPr>
          <w:lang w:val="fr-CA"/>
        </w:rPr>
        <w:t>s</w:t>
      </w:r>
      <w:r w:rsidR="00D96BD4" w:rsidRPr="00F06D71">
        <w:rPr>
          <w:lang w:val="fr-CA"/>
        </w:rPr>
        <w:t>.</w:t>
      </w:r>
    </w:p>
    <w:p w:rsidR="00296EC6" w:rsidRPr="00F06D71" w:rsidRDefault="009150A0" w:rsidP="00071F5D">
      <w:pPr>
        <w:pStyle w:val="SCCNormalDoubleSpacing"/>
        <w:spacing w:after="480"/>
        <w:rPr>
          <w:lang w:val="fr-CA"/>
        </w:rPr>
      </w:pPr>
      <w:r w:rsidRPr="00F06D71">
        <w:rPr>
          <w:i/>
          <w:lang w:val="fr-CA"/>
        </w:rPr>
        <w:tab/>
        <w:t>Sheila York</w:t>
      </w:r>
      <w:r w:rsidRPr="00F06D71">
        <w:rPr>
          <w:lang w:val="fr-CA"/>
        </w:rPr>
        <w:t xml:space="preserve"> et </w:t>
      </w:r>
      <w:r w:rsidRPr="00F06D71">
        <w:rPr>
          <w:i/>
          <w:lang w:val="fr-CA"/>
        </w:rPr>
        <w:t>Carole Arav</w:t>
      </w:r>
      <w:r w:rsidR="008D1AF7" w:rsidRPr="00F06D71">
        <w:rPr>
          <w:lang w:val="fr-CA"/>
        </w:rPr>
        <w:t>, pour l</w:t>
      </w:r>
      <w:r w:rsidR="00D96BD4" w:rsidRPr="00F06D71">
        <w:rPr>
          <w:lang w:val="fr-CA"/>
        </w:rPr>
        <w:t>’</w:t>
      </w:r>
      <w:r w:rsidR="008D1AF7" w:rsidRPr="00F06D71">
        <w:rPr>
          <w:lang w:val="fr-CA"/>
        </w:rPr>
        <w:t>appelante</w:t>
      </w:r>
      <w:r w:rsidRPr="00F06D71">
        <w:rPr>
          <w:lang w:val="fr-CA"/>
        </w:rPr>
        <w:t>.</w:t>
      </w:r>
    </w:p>
    <w:p w:rsidR="00296EC6" w:rsidRPr="00F06D71" w:rsidRDefault="009150A0" w:rsidP="00071F5D">
      <w:pPr>
        <w:pStyle w:val="SCCNormalDoubleSpacing"/>
        <w:spacing w:after="480"/>
        <w:rPr>
          <w:lang w:val="fr-CA"/>
        </w:rPr>
      </w:pPr>
      <w:r w:rsidRPr="00F06D71">
        <w:rPr>
          <w:i/>
          <w:lang w:val="fr-CA"/>
        </w:rPr>
        <w:tab/>
        <w:t>Éric Mongeau</w:t>
      </w:r>
      <w:r w:rsidRPr="00F06D71">
        <w:rPr>
          <w:lang w:val="fr-CA"/>
        </w:rPr>
        <w:t xml:space="preserve">, </w:t>
      </w:r>
      <w:r w:rsidR="00430A91" w:rsidRPr="00F06D71">
        <w:rPr>
          <w:i/>
          <w:lang w:val="fr-CA"/>
        </w:rPr>
        <w:t xml:space="preserve">Patrick Girard </w:t>
      </w:r>
      <w:r w:rsidR="00430A91" w:rsidRPr="00F06D71">
        <w:rPr>
          <w:lang w:val="fr-CA"/>
        </w:rPr>
        <w:t>et</w:t>
      </w:r>
      <w:r w:rsidR="00430A91" w:rsidRPr="00F06D71">
        <w:rPr>
          <w:i/>
          <w:lang w:val="fr-CA"/>
        </w:rPr>
        <w:t xml:space="preserve"> </w:t>
      </w:r>
      <w:r w:rsidRPr="00F06D71">
        <w:rPr>
          <w:i/>
          <w:lang w:val="fr-CA"/>
        </w:rPr>
        <w:t>Michel Legendre</w:t>
      </w:r>
      <w:r w:rsidRPr="00F06D71">
        <w:rPr>
          <w:lang w:val="fr-CA"/>
        </w:rPr>
        <w:t xml:space="preserve">, pour </w:t>
      </w:r>
      <w:r w:rsidR="008D1AF7" w:rsidRPr="00F06D71">
        <w:rPr>
          <w:lang w:val="fr-CA"/>
        </w:rPr>
        <w:t>les intimé</w:t>
      </w:r>
      <w:r w:rsidR="002A499D" w:rsidRPr="00F06D71">
        <w:rPr>
          <w:lang w:val="fr-CA"/>
        </w:rPr>
        <w:t>e</w:t>
      </w:r>
      <w:r w:rsidR="008D1AF7" w:rsidRPr="00F06D71">
        <w:rPr>
          <w:lang w:val="fr-CA"/>
        </w:rPr>
        <w:t>s Canada Bread Company Ltd.</w:t>
      </w:r>
      <w:r w:rsidR="00770208" w:rsidRPr="00F06D71">
        <w:rPr>
          <w:lang w:val="fr-CA"/>
        </w:rPr>
        <w:t>,</w:t>
      </w:r>
      <w:r w:rsidR="008D1AF7" w:rsidRPr="00F06D71">
        <w:rPr>
          <w:lang w:val="fr-CA"/>
        </w:rPr>
        <w:t xml:space="preserve"> </w:t>
      </w:r>
      <w:r w:rsidR="00770208" w:rsidRPr="00F06D71">
        <w:rPr>
          <w:lang w:val="fr-CA"/>
        </w:rPr>
        <w:t>Multi</w:t>
      </w:r>
      <w:r w:rsidR="00F103A8" w:rsidRPr="00F06D71">
        <w:rPr>
          <w:lang w:val="fr-CA"/>
        </w:rPr>
        <w:noBreakHyphen/>
      </w:r>
      <w:r w:rsidR="00770208" w:rsidRPr="00F06D71">
        <w:rPr>
          <w:lang w:val="fr-CA"/>
        </w:rPr>
        <w:t>Marques Inc. et Multi</w:t>
      </w:r>
      <w:r w:rsidR="00F103A8" w:rsidRPr="00F06D71">
        <w:rPr>
          <w:lang w:val="fr-CA"/>
        </w:rPr>
        <w:noBreakHyphen/>
      </w:r>
      <w:r w:rsidR="00770208" w:rsidRPr="00F06D71">
        <w:rPr>
          <w:lang w:val="fr-CA"/>
        </w:rPr>
        <w:t>Marques Distribution Inc.</w:t>
      </w:r>
    </w:p>
    <w:p w:rsidR="00296EC6" w:rsidRPr="00F06D71" w:rsidRDefault="009150A0" w:rsidP="00071F5D">
      <w:pPr>
        <w:pStyle w:val="SCCNormalDoubleSpacing"/>
        <w:spacing w:after="480"/>
        <w:rPr>
          <w:lang w:val="fr-CA"/>
        </w:rPr>
      </w:pPr>
      <w:r w:rsidRPr="00F06D71">
        <w:rPr>
          <w:i/>
          <w:lang w:val="fr-CA"/>
        </w:rPr>
        <w:lastRenderedPageBreak/>
        <w:tab/>
        <w:t>Natalie Bussière</w:t>
      </w:r>
      <w:r w:rsidR="008D1AF7" w:rsidRPr="00F06D71">
        <w:rPr>
          <w:lang w:val="fr-CA"/>
        </w:rPr>
        <w:t xml:space="preserve"> et </w:t>
      </w:r>
      <w:r w:rsidR="00C76448" w:rsidRPr="00F06D71">
        <w:rPr>
          <w:i/>
          <w:lang w:val="fr-CA"/>
        </w:rPr>
        <w:t>Sophie Tremblay</w:t>
      </w:r>
      <w:r w:rsidR="00430A91" w:rsidRPr="00F06D71">
        <w:rPr>
          <w:lang w:val="fr-CA"/>
        </w:rPr>
        <w:t xml:space="preserve">, </w:t>
      </w:r>
      <w:r w:rsidRPr="00F06D71">
        <w:rPr>
          <w:lang w:val="fr-CA"/>
        </w:rPr>
        <w:t>pour l</w:t>
      </w:r>
      <w:r w:rsidR="00D96BD4" w:rsidRPr="00F06D71">
        <w:rPr>
          <w:lang w:val="fr-CA"/>
        </w:rPr>
        <w:t>’</w:t>
      </w:r>
      <w:r w:rsidRPr="00F06D71">
        <w:rPr>
          <w:lang w:val="fr-CA"/>
        </w:rPr>
        <w:t>intimé</w:t>
      </w:r>
      <w:r w:rsidR="00C76448" w:rsidRPr="00F06D71">
        <w:rPr>
          <w:lang w:val="fr-CA"/>
        </w:rPr>
        <w:t xml:space="preserve"> Sean Kelly</w:t>
      </w:r>
      <w:r w:rsidR="00430A91" w:rsidRPr="00F06D71">
        <w:rPr>
          <w:lang w:val="fr-CA"/>
        </w:rPr>
        <w:t>,</w:t>
      </w:r>
      <w:r w:rsidR="00C76448" w:rsidRPr="00F06D71">
        <w:rPr>
          <w:lang w:val="fr-CA"/>
        </w:rPr>
        <w:t xml:space="preserve"> en sa qualité de fiduciaire du Bakery and Confectionery Union and Industry Canadian Pension Fund</w:t>
      </w:r>
      <w:r w:rsidRPr="00F06D71">
        <w:rPr>
          <w:lang w:val="fr-CA"/>
        </w:rPr>
        <w:t>.</w:t>
      </w:r>
    </w:p>
    <w:p w:rsidR="00296EC6" w:rsidRPr="00F06D71" w:rsidRDefault="009150A0" w:rsidP="00071F5D">
      <w:pPr>
        <w:pStyle w:val="SCCNormalDoubleSpacing"/>
        <w:spacing w:after="480"/>
      </w:pPr>
      <w:r w:rsidRPr="00F06D71">
        <w:rPr>
          <w:lang w:val="fr-CA"/>
        </w:rPr>
        <w:tab/>
      </w:r>
      <w:r w:rsidR="00C76448" w:rsidRPr="00F06D71">
        <w:t>Personne n</w:t>
      </w:r>
      <w:r w:rsidR="00D96BD4" w:rsidRPr="00F06D71">
        <w:t>’</w:t>
      </w:r>
      <w:r w:rsidR="00C76448" w:rsidRPr="00F06D71">
        <w:t>a comparu</w:t>
      </w:r>
      <w:r w:rsidR="00C76448" w:rsidRPr="00F06D71">
        <w:rPr>
          <w:i/>
        </w:rPr>
        <w:t xml:space="preserve"> </w:t>
      </w:r>
      <w:r w:rsidRPr="00F06D71">
        <w:t>pour l</w:t>
      </w:r>
      <w:r w:rsidR="00D96BD4" w:rsidRPr="00F06D71">
        <w:t>’</w:t>
      </w:r>
      <w:r w:rsidRPr="00F06D71">
        <w:t>intimée</w:t>
      </w:r>
      <w:r w:rsidR="00C76448" w:rsidRPr="00F06D71">
        <w:t xml:space="preserve"> Bakery, Confectionery</w:t>
      </w:r>
      <w:r w:rsidR="00430A91" w:rsidRPr="00F06D71">
        <w:t>,</w:t>
      </w:r>
      <w:r w:rsidR="00C76448" w:rsidRPr="00F06D71">
        <w:t xml:space="preserve"> Tobacco Workers and Grain Millers International Union, Local 468.</w:t>
      </w:r>
    </w:p>
    <w:p w:rsidR="00430A91" w:rsidRPr="00F06D71" w:rsidRDefault="00430A91" w:rsidP="00071F5D">
      <w:pPr>
        <w:pStyle w:val="SCCNormalDoubleSpacing"/>
        <w:spacing w:after="480"/>
        <w:rPr>
          <w:lang w:val="fr-CA"/>
        </w:rPr>
      </w:pPr>
      <w:r w:rsidRPr="00F06D71">
        <w:rPr>
          <w:i/>
          <w:lang w:val="en-US"/>
        </w:rPr>
        <w:tab/>
      </w:r>
      <w:r w:rsidRPr="00F06D71">
        <w:rPr>
          <w:i/>
          <w:lang w:val="fr-CA"/>
        </w:rPr>
        <w:t>Stéphane Rochette</w:t>
      </w:r>
      <w:r w:rsidRPr="00F06D71">
        <w:rPr>
          <w:lang w:val="fr-CA"/>
        </w:rPr>
        <w:t xml:space="preserve"> et </w:t>
      </w:r>
      <w:r w:rsidRPr="00F06D71">
        <w:rPr>
          <w:i/>
          <w:lang w:val="fr-CA"/>
        </w:rPr>
        <w:t>Jean</w:t>
      </w:r>
      <w:r w:rsidR="00F103A8" w:rsidRPr="00F06D71">
        <w:rPr>
          <w:i/>
          <w:lang w:val="fr-CA"/>
        </w:rPr>
        <w:noBreakHyphen/>
      </w:r>
      <w:r w:rsidRPr="00F06D71">
        <w:rPr>
          <w:i/>
          <w:lang w:val="fr-CA"/>
        </w:rPr>
        <w:t>Yves Bernard</w:t>
      </w:r>
      <w:r w:rsidRPr="00F06D71">
        <w:rPr>
          <w:lang w:val="fr-CA"/>
        </w:rPr>
        <w:t>, pour l’intervenant le procureur général du Québec.</w:t>
      </w:r>
    </w:p>
    <w:p w:rsidR="00296EC6" w:rsidRDefault="00C76448" w:rsidP="00071F5D">
      <w:pPr>
        <w:pStyle w:val="SCCNormalDoubleSpacing"/>
        <w:spacing w:after="480"/>
        <w:rPr>
          <w:lang w:val="fr-CA"/>
        </w:rPr>
      </w:pPr>
      <w:r w:rsidRPr="00F06D71">
        <w:rPr>
          <w:lang w:val="fr-CA"/>
        </w:rPr>
        <w:tab/>
        <w:t>Personne n</w:t>
      </w:r>
      <w:r w:rsidR="00D96BD4" w:rsidRPr="00F06D71">
        <w:rPr>
          <w:lang w:val="fr-CA"/>
        </w:rPr>
        <w:t>’</w:t>
      </w:r>
      <w:r w:rsidRPr="00F06D71">
        <w:rPr>
          <w:lang w:val="fr-CA"/>
        </w:rPr>
        <w:t>a comparu</w:t>
      </w:r>
      <w:r w:rsidR="009150A0" w:rsidRPr="00F06D71">
        <w:rPr>
          <w:lang w:val="fr-CA"/>
        </w:rPr>
        <w:t xml:space="preserve"> pour l</w:t>
      </w:r>
      <w:r w:rsidR="00430A91" w:rsidRPr="00F06D71">
        <w:rPr>
          <w:lang w:val="fr-CA"/>
        </w:rPr>
        <w:t xml:space="preserve">es </w:t>
      </w:r>
      <w:r w:rsidR="009150A0" w:rsidRPr="00F06D71">
        <w:rPr>
          <w:lang w:val="fr-CA"/>
        </w:rPr>
        <w:t>intervenant</w:t>
      </w:r>
      <w:r w:rsidR="00430A91" w:rsidRPr="00F06D71">
        <w:rPr>
          <w:lang w:val="fr-CA"/>
        </w:rPr>
        <w:t>s Robert Thauvette et</w:t>
      </w:r>
      <w:r w:rsidRPr="00F06D71">
        <w:rPr>
          <w:lang w:val="fr-CA"/>
        </w:rPr>
        <w:t xml:space="preserve"> </w:t>
      </w:r>
      <w:r w:rsidR="00430A91" w:rsidRPr="00F06D71">
        <w:rPr>
          <w:lang w:val="fr-CA"/>
        </w:rPr>
        <w:t xml:space="preserve">le </w:t>
      </w:r>
      <w:r w:rsidR="009150A0" w:rsidRPr="00F06D71">
        <w:rPr>
          <w:lang w:val="fr-CA"/>
        </w:rPr>
        <w:t>Tribunal administratif du Québec.</w:t>
      </w:r>
    </w:p>
    <w:p w:rsidR="00F5517F" w:rsidRPr="00F06D71" w:rsidRDefault="00335CA9" w:rsidP="00071F5D">
      <w:pPr>
        <w:pStyle w:val="SCCNormalDoubleSpacing"/>
        <w:spacing w:after="480"/>
        <w:rPr>
          <w:lang w:val="fr-CA"/>
        </w:rPr>
      </w:pPr>
      <w:r>
        <w:rPr>
          <w:lang w:val="fr-CA"/>
        </w:rPr>
        <w:tab/>
        <w:t>Version française du jugement des juges Abella, Rothstein, Cromwell, Karakatsanis et Wagner rendu par</w:t>
      </w:r>
    </w:p>
    <w:p w:rsidR="00F5517F" w:rsidRPr="006C1161" w:rsidRDefault="00F5517F" w:rsidP="00F5517F">
      <w:pPr>
        <w:pStyle w:val="JudgeJuge"/>
        <w:spacing w:before="480"/>
        <w:rPr>
          <w:lang w:val="fr-CA"/>
        </w:rPr>
      </w:pPr>
      <w:r w:rsidRPr="006C1161">
        <w:rPr>
          <w:lang w:val="fr-CA"/>
        </w:rPr>
        <w:tab/>
        <w:t xml:space="preserve">Le juge Wagner — </w:t>
      </w:r>
    </w:p>
    <w:p w:rsidR="00F5517F" w:rsidRPr="006C1161" w:rsidRDefault="00F5517F" w:rsidP="00F5517F">
      <w:pPr>
        <w:pStyle w:val="TitleTitre-AltT"/>
        <w:tabs>
          <w:tab w:val="clear" w:pos="360"/>
          <w:tab w:val="left" w:pos="450"/>
        </w:tabs>
        <w:ind w:left="450" w:hanging="450"/>
        <w:rPr>
          <w:rFonts w:cs="Times New Roman"/>
          <w:u w:val="single"/>
          <w:lang w:val="fr-CA"/>
        </w:rPr>
      </w:pPr>
      <w:r w:rsidRPr="006C1161">
        <w:rPr>
          <w:rFonts w:cs="Times New Roman"/>
          <w:lang w:val="fr-CA"/>
        </w:rPr>
        <w:t>I.</w:t>
      </w:r>
      <w:r w:rsidRPr="006C1161">
        <w:rPr>
          <w:rFonts w:cs="Times New Roman"/>
          <w:lang w:val="fr-CA"/>
        </w:rPr>
        <w:tab/>
      </w:r>
      <w:r w:rsidRPr="006C1161">
        <w:rPr>
          <w:rFonts w:cs="Times New Roman"/>
          <w:u w:val="single"/>
          <w:lang w:val="fr-CA"/>
        </w:rPr>
        <w:t>Aperçu</w:t>
      </w:r>
    </w:p>
    <w:p w:rsidR="00F5517F" w:rsidRPr="006C1161" w:rsidRDefault="00F5517F" w:rsidP="00F5517F">
      <w:pPr>
        <w:pStyle w:val="ParaNoNdepar-AltN"/>
        <w:tabs>
          <w:tab w:val="clear" w:pos="1152"/>
          <w:tab w:val="left" w:pos="1166"/>
        </w:tabs>
        <w:rPr>
          <w:rFonts w:cs="Times New Roman"/>
          <w:lang w:val="fr-CA"/>
        </w:rPr>
      </w:pPr>
      <w:r w:rsidRPr="006C1161">
        <w:rPr>
          <w:rFonts w:cs="Times New Roman"/>
          <w:lang w:val="fr-CA"/>
        </w:rPr>
        <w:t xml:space="preserve">Les lois rétroactives attirent souvent la critique selon laquelle elles frustrent des attentes légitimes.  Le présent dossier traite des attentes liées à l’interprétation de certaines dispositions de la </w:t>
      </w:r>
      <w:r w:rsidRPr="006C1161">
        <w:rPr>
          <w:rFonts w:cs="Times New Roman"/>
          <w:i/>
          <w:lang w:val="fr-CA"/>
        </w:rPr>
        <w:t>Loi sur les régimes complémentaires de retraite</w:t>
      </w:r>
      <w:r w:rsidRPr="006C1161">
        <w:rPr>
          <w:rFonts w:cs="Times New Roman"/>
          <w:lang w:val="fr-CA"/>
        </w:rPr>
        <w:t xml:space="preserve"> du Québec,</w:t>
      </w:r>
      <w:r w:rsidRPr="006C1161">
        <w:rPr>
          <w:rFonts w:cs="Times New Roman"/>
          <w:szCs w:val="24"/>
          <w:lang w:val="fr-CA"/>
        </w:rPr>
        <w:t xml:space="preserve"> L.R.Q., ch. R</w:t>
      </w:r>
      <w:r w:rsidRPr="006C1161">
        <w:rPr>
          <w:rFonts w:cs="Times New Roman"/>
          <w:szCs w:val="24"/>
          <w:lang w:val="fr-CA"/>
        </w:rPr>
        <w:noBreakHyphen/>
        <w:t>15.1 (« </w:t>
      </w:r>
      <w:r w:rsidRPr="006C1161">
        <w:rPr>
          <w:rFonts w:cs="Times New Roman"/>
          <w:i/>
          <w:szCs w:val="24"/>
          <w:lang w:val="fr-CA"/>
        </w:rPr>
        <w:t>LRCR</w:t>
      </w:r>
      <w:r w:rsidRPr="006C1161">
        <w:rPr>
          <w:rFonts w:cs="Times New Roman"/>
          <w:szCs w:val="24"/>
          <w:lang w:val="fr-CA"/>
        </w:rPr>
        <w:t> »)</w:t>
      </w:r>
      <w:r w:rsidRPr="006C1161">
        <w:rPr>
          <w:rFonts w:cs="Times New Roman"/>
          <w:lang w:val="fr-CA"/>
        </w:rPr>
        <w:t xml:space="preserve">.  Il confirme que le législateur </w:t>
      </w:r>
      <w:r w:rsidRPr="006C1161">
        <w:rPr>
          <w:rFonts w:cs="Times New Roman"/>
          <w:lang w:val="fr-CA"/>
        </w:rPr>
        <w:lastRenderedPageBreak/>
        <w:t xml:space="preserve">peut contrecarrer ces attentes en adoptant des dispositions déclaratoires, et que ces dispositions s’appliquent à toute instance non encore tranchée au fond par un jugement définitif. </w:t>
      </w:r>
    </w:p>
    <w:p w:rsidR="00F5517F" w:rsidRPr="006C1161" w:rsidRDefault="00F5517F" w:rsidP="00F5517F">
      <w:pPr>
        <w:pStyle w:val="ParaNoNdepar-AltN"/>
        <w:tabs>
          <w:tab w:val="clear" w:pos="1152"/>
          <w:tab w:val="left" w:pos="1166"/>
        </w:tabs>
        <w:rPr>
          <w:rFonts w:cs="Times New Roman"/>
          <w:lang w:val="fr-CA"/>
        </w:rPr>
      </w:pPr>
      <w:r w:rsidRPr="006C1161">
        <w:rPr>
          <w:rFonts w:cs="Times New Roman"/>
          <w:lang w:val="fr-CA"/>
        </w:rPr>
        <w:t xml:space="preserve">Lorsque le législateur adopte une disposition déclaratoire à effet rétroactif, il est présumé avoir mesuré la nécessité de clarifier ainsi l’interprétation par rapport au bouleversement et à l’iniquité pouvant résulter de sa rétroactivité.  Les tribunaux doivent donc faire preuve de déférence à l’endroit de cette décision du législateur.  </w:t>
      </w:r>
    </w:p>
    <w:p w:rsidR="00F5517F" w:rsidRPr="006C1161" w:rsidRDefault="00F5517F" w:rsidP="00F5517F">
      <w:pPr>
        <w:pStyle w:val="ParaNoNdepar-AltN"/>
        <w:tabs>
          <w:tab w:val="clear" w:pos="1152"/>
          <w:tab w:val="left" w:pos="1166"/>
        </w:tabs>
        <w:rPr>
          <w:rFonts w:cs="Times New Roman"/>
          <w:lang w:val="fr-CA"/>
        </w:rPr>
      </w:pPr>
      <w:r w:rsidRPr="006C1161">
        <w:rPr>
          <w:rFonts w:cs="Times New Roman"/>
          <w:lang w:val="fr-CA"/>
        </w:rPr>
        <w:t xml:space="preserve">En l’espèce, aucun jugement n’avait encore établi définitivement l’étendue des droits et obligations des parties.  En conséquence, les dispositions déclaratoires adoptées par la législature du Québec pour faciliter l’interprétation de la </w:t>
      </w:r>
      <w:r w:rsidRPr="006C1161">
        <w:rPr>
          <w:rFonts w:cs="Times New Roman"/>
          <w:i/>
          <w:lang w:val="fr-CA"/>
        </w:rPr>
        <w:t>LRCR</w:t>
      </w:r>
      <w:r w:rsidRPr="006C1161">
        <w:rPr>
          <w:rFonts w:cs="Times New Roman"/>
          <w:lang w:val="fr-CA"/>
        </w:rPr>
        <w:t xml:space="preserve"> étaient applicables. </w:t>
      </w:r>
    </w:p>
    <w:p w:rsidR="00F5517F" w:rsidRPr="006C1161" w:rsidRDefault="00F5517F" w:rsidP="00F5517F">
      <w:pPr>
        <w:pStyle w:val="TitleTitre-AltT"/>
        <w:tabs>
          <w:tab w:val="clear" w:pos="360"/>
          <w:tab w:val="left" w:pos="450"/>
        </w:tabs>
        <w:ind w:left="450" w:hanging="450"/>
        <w:rPr>
          <w:rFonts w:cs="Times New Roman"/>
          <w:u w:val="single"/>
          <w:lang w:val="fr-CA"/>
        </w:rPr>
      </w:pPr>
      <w:r w:rsidRPr="006C1161">
        <w:rPr>
          <w:rFonts w:cs="Times New Roman"/>
          <w:lang w:val="fr-CA"/>
        </w:rPr>
        <w:t>II.</w:t>
      </w:r>
      <w:r w:rsidRPr="006C1161">
        <w:rPr>
          <w:rFonts w:cs="Times New Roman"/>
          <w:lang w:val="fr-CA"/>
        </w:rPr>
        <w:tab/>
      </w:r>
      <w:r w:rsidRPr="006C1161">
        <w:rPr>
          <w:rFonts w:cs="Times New Roman"/>
          <w:u w:val="single"/>
          <w:lang w:val="fr-CA"/>
        </w:rPr>
        <w:t>Faits</w:t>
      </w:r>
    </w:p>
    <w:p w:rsidR="00F5517F" w:rsidRPr="006C1161" w:rsidRDefault="00F5517F" w:rsidP="00F5517F">
      <w:pPr>
        <w:pStyle w:val="ParaNoNdepar-AltN"/>
        <w:tabs>
          <w:tab w:val="clear" w:pos="1152"/>
          <w:tab w:val="num" w:pos="1242"/>
        </w:tabs>
        <w:rPr>
          <w:rFonts w:cs="Times New Roman"/>
          <w:lang w:val="fr-CA"/>
        </w:rPr>
      </w:pPr>
      <w:r w:rsidRPr="006C1161">
        <w:rPr>
          <w:rFonts w:cs="Times New Roman"/>
          <w:lang w:val="fr-CA"/>
        </w:rPr>
        <w:t xml:space="preserve">Le litige entre les parties au présent pourvoi a franchi les différents niveaux de juridiction non pas une, mais deux fois. </w:t>
      </w:r>
    </w:p>
    <w:p w:rsidR="00F5517F" w:rsidRPr="006C1161" w:rsidRDefault="00F5517F" w:rsidP="00F5517F">
      <w:pPr>
        <w:pStyle w:val="ParaNoNdepar-AltN"/>
        <w:tabs>
          <w:tab w:val="clear" w:pos="1152"/>
          <w:tab w:val="num" w:pos="1242"/>
        </w:tabs>
        <w:rPr>
          <w:rFonts w:cs="Times New Roman"/>
          <w:szCs w:val="24"/>
          <w:lang w:val="fr-CA"/>
        </w:rPr>
      </w:pPr>
      <w:r w:rsidRPr="006C1161">
        <w:rPr>
          <w:rFonts w:cs="Times New Roman"/>
          <w:szCs w:val="24"/>
          <w:lang w:val="fr-CA"/>
        </w:rPr>
        <w:t xml:space="preserve">L’appelante, la Régie des rentes du Québec (« Régie »), est l’organisme gouvernemental chargé de l’application de la </w:t>
      </w:r>
      <w:r w:rsidRPr="006C1161">
        <w:rPr>
          <w:rFonts w:cs="Times New Roman"/>
          <w:i/>
          <w:szCs w:val="24"/>
          <w:lang w:val="fr-CA"/>
        </w:rPr>
        <w:t>LRCR</w:t>
      </w:r>
      <w:r w:rsidRPr="006C1161">
        <w:rPr>
          <w:rFonts w:cs="Times New Roman"/>
          <w:szCs w:val="24"/>
          <w:lang w:val="fr-CA"/>
        </w:rPr>
        <w:t>.  Les intimées</w:t>
      </w:r>
      <w:r w:rsidR="0031129A">
        <w:rPr>
          <w:rFonts w:cs="Times New Roman"/>
          <w:szCs w:val="24"/>
          <w:lang w:val="fr-CA"/>
        </w:rPr>
        <w:t>,</w:t>
      </w:r>
      <w:r w:rsidRPr="006C1161">
        <w:rPr>
          <w:rFonts w:cs="Times New Roman"/>
          <w:szCs w:val="24"/>
          <w:lang w:val="fr-CA"/>
        </w:rPr>
        <w:t xml:space="preserve"> Multi-Marques Inc. et Multi-Marques Distribution Inc. (co</w:t>
      </w:r>
      <w:r w:rsidR="0031129A">
        <w:rPr>
          <w:rFonts w:cs="Times New Roman"/>
          <w:szCs w:val="24"/>
          <w:lang w:val="fr-CA"/>
        </w:rPr>
        <w:t>llectivement « Multi-Marques »)</w:t>
      </w:r>
      <w:r w:rsidRPr="006C1161">
        <w:rPr>
          <w:rFonts w:cs="Times New Roman"/>
          <w:szCs w:val="24"/>
          <w:lang w:val="fr-CA"/>
        </w:rPr>
        <w:t xml:space="preserve"> et Canada Bread Company Ltd.</w:t>
      </w:r>
      <w:r w:rsidR="00C877E2">
        <w:rPr>
          <w:rFonts w:cs="Times New Roman"/>
          <w:szCs w:val="24"/>
          <w:lang w:val="fr-CA"/>
        </w:rPr>
        <w:t>,</w:t>
      </w:r>
      <w:r w:rsidRPr="006C1161">
        <w:rPr>
          <w:rFonts w:cs="Times New Roman"/>
          <w:szCs w:val="24"/>
          <w:lang w:val="fr-CA"/>
        </w:rPr>
        <w:t xml:space="preserve"> sont des employeurs participants de la Bakery and </w:t>
      </w:r>
      <w:r w:rsidRPr="006C1161">
        <w:rPr>
          <w:rFonts w:cs="Times New Roman"/>
          <w:szCs w:val="24"/>
          <w:lang w:val="fr-CA"/>
        </w:rPr>
        <w:lastRenderedPageBreak/>
        <w:t>Confectionery Union and Industry Canadian Pension Fund (« </w:t>
      </w:r>
      <w:r w:rsidR="0031129A">
        <w:rPr>
          <w:rFonts w:cs="Times New Roman"/>
          <w:szCs w:val="24"/>
          <w:lang w:val="fr-CA"/>
        </w:rPr>
        <w:t>Régime</w:t>
      </w:r>
      <w:r w:rsidRPr="006C1161">
        <w:rPr>
          <w:rFonts w:cs="Times New Roman"/>
          <w:szCs w:val="24"/>
          <w:lang w:val="fr-CA"/>
        </w:rPr>
        <w:t xml:space="preserve"> »).  Sean Kelly représente les fiduciaires du </w:t>
      </w:r>
      <w:r w:rsidR="0031129A">
        <w:rPr>
          <w:rFonts w:cs="Times New Roman"/>
          <w:szCs w:val="24"/>
          <w:lang w:val="fr-CA"/>
        </w:rPr>
        <w:t>Régime</w:t>
      </w:r>
      <w:r w:rsidRPr="006C1161">
        <w:rPr>
          <w:rFonts w:cs="Times New Roman"/>
          <w:szCs w:val="24"/>
          <w:lang w:val="fr-CA"/>
        </w:rPr>
        <w:t>.</w:t>
      </w:r>
    </w:p>
    <w:p w:rsidR="00F5517F" w:rsidRPr="006C1161" w:rsidRDefault="00F5517F" w:rsidP="00F5517F">
      <w:pPr>
        <w:pStyle w:val="ParaNoNdepar-AltN"/>
        <w:tabs>
          <w:tab w:val="clear" w:pos="1152"/>
          <w:tab w:val="num" w:pos="1242"/>
        </w:tabs>
        <w:rPr>
          <w:rFonts w:cs="Times New Roman"/>
          <w:szCs w:val="24"/>
          <w:lang w:val="fr-CA"/>
        </w:rPr>
      </w:pPr>
      <w:r w:rsidRPr="006C1161">
        <w:rPr>
          <w:rFonts w:cs="Times New Roman"/>
          <w:szCs w:val="24"/>
          <w:lang w:val="fr-CA"/>
        </w:rPr>
        <w:t xml:space="preserve">En 1992 et 1994, les employés des divisions Gailuron et Durivage de Multi-Marques ont adhéré au </w:t>
      </w:r>
      <w:r w:rsidR="0031129A">
        <w:rPr>
          <w:rFonts w:cs="Times New Roman"/>
          <w:szCs w:val="24"/>
          <w:lang w:val="fr-CA"/>
        </w:rPr>
        <w:t>Régime</w:t>
      </w:r>
      <w:r w:rsidRPr="006C1161">
        <w:rPr>
          <w:rFonts w:cs="Times New Roman"/>
          <w:szCs w:val="24"/>
          <w:lang w:val="fr-CA"/>
        </w:rPr>
        <w:t xml:space="preserve">.  Les fiduciaires ont octroyé aux employés de ces deux divisions des crédits de rente afférents aux années de service qu’ils avaient accumulées avant l’adhésion de Multi-Marques au </w:t>
      </w:r>
      <w:r w:rsidR="0031129A">
        <w:rPr>
          <w:rFonts w:cs="Times New Roman"/>
          <w:szCs w:val="24"/>
          <w:lang w:val="fr-CA"/>
        </w:rPr>
        <w:t>R</w:t>
      </w:r>
      <w:r w:rsidRPr="006C1161">
        <w:rPr>
          <w:rFonts w:cs="Times New Roman"/>
          <w:szCs w:val="24"/>
          <w:lang w:val="fr-CA"/>
        </w:rPr>
        <w:t xml:space="preserve">égime.  Cet octroi a engendré un déficit que Multi-Marques devait combler au moyen de versements échelonnés sur une période de 15 ans.  Avant l’expiration de cette période, Multi-Marques a décidé de fermer les divisions Gailuron et Durivage, respectivement en 1996 et 1997.  </w:t>
      </w:r>
    </w:p>
    <w:p w:rsidR="00F5517F" w:rsidRPr="006C1161" w:rsidRDefault="00F5517F" w:rsidP="00F5517F">
      <w:pPr>
        <w:pStyle w:val="ParaNoNdepar-AltN"/>
        <w:tabs>
          <w:tab w:val="clear" w:pos="1152"/>
          <w:tab w:val="num" w:pos="1242"/>
        </w:tabs>
        <w:rPr>
          <w:rFonts w:cs="Times New Roman"/>
          <w:szCs w:val="24"/>
          <w:lang w:val="fr-CA"/>
        </w:rPr>
      </w:pPr>
      <w:r w:rsidRPr="006C1161">
        <w:rPr>
          <w:rFonts w:cs="Times New Roman"/>
          <w:szCs w:val="24"/>
          <w:lang w:val="fr-CA"/>
        </w:rPr>
        <w:t>Par suite de</w:t>
      </w:r>
      <w:r>
        <w:rPr>
          <w:rFonts w:cs="Times New Roman"/>
          <w:szCs w:val="24"/>
          <w:lang w:val="fr-CA"/>
        </w:rPr>
        <w:t xml:space="preserve"> ce</w:t>
      </w:r>
      <w:r w:rsidRPr="006C1161">
        <w:rPr>
          <w:rFonts w:cs="Times New Roman"/>
          <w:szCs w:val="24"/>
          <w:lang w:val="fr-CA"/>
        </w:rPr>
        <w:t>s fermetures, la R</w:t>
      </w:r>
      <w:r w:rsidR="0031129A">
        <w:rPr>
          <w:rFonts w:cs="Times New Roman"/>
          <w:szCs w:val="24"/>
          <w:lang w:val="fr-CA"/>
        </w:rPr>
        <w:t>égie a rendu, le 16 mai 200</w:t>
      </w:r>
      <w:r w:rsidRPr="006C1161">
        <w:rPr>
          <w:rFonts w:cs="Times New Roman"/>
          <w:szCs w:val="24"/>
          <w:lang w:val="fr-CA"/>
        </w:rPr>
        <w:t>2, deux décisions virtuellement identiques qu</w:t>
      </w:r>
      <w:r w:rsidR="0031129A">
        <w:rPr>
          <w:rFonts w:cs="Times New Roman"/>
          <w:szCs w:val="24"/>
          <w:lang w:val="fr-CA"/>
        </w:rPr>
        <w:t>i terminaient partiellement le R</w:t>
      </w:r>
      <w:r w:rsidRPr="006C1161">
        <w:rPr>
          <w:rFonts w:cs="Times New Roman"/>
          <w:szCs w:val="24"/>
          <w:lang w:val="fr-CA"/>
        </w:rPr>
        <w:t>égime à l’égard des employés des divisions Gailuron et Durivage de Multi</w:t>
      </w:r>
      <w:r w:rsidRPr="006C1161">
        <w:rPr>
          <w:rFonts w:cs="Times New Roman"/>
          <w:szCs w:val="24"/>
          <w:lang w:val="fr-CA"/>
        </w:rPr>
        <w:noBreakHyphen/>
        <w:t>Marques.  Les fermetures ont également entraîné un déficit de solvabilité d’environ 5 millions de dollars, soit la somme nécessaire pour couvrir les crédits de rente pour services passés octroyés aux employés des deux divisions.  Les deux décisions de la Régie exigeaient que les rapports actuarie</w:t>
      </w:r>
      <w:r w:rsidR="00AD654F">
        <w:rPr>
          <w:rFonts w:cs="Times New Roman"/>
          <w:szCs w:val="24"/>
          <w:lang w:val="fr-CA"/>
        </w:rPr>
        <w:t>ls déposés à la terminaison du R</w:t>
      </w:r>
      <w:r w:rsidRPr="006C1161">
        <w:rPr>
          <w:rFonts w:cs="Times New Roman"/>
          <w:szCs w:val="24"/>
          <w:lang w:val="fr-CA"/>
        </w:rPr>
        <w:t xml:space="preserve">égime indiquent les sommes que l’employeur devait acquitter pour combler le déficit de solvabilité afin que les participants touchés par la terminaison reçoivent tout ce à quoi ils avaient droit. </w:t>
      </w:r>
    </w:p>
    <w:p w:rsidR="00F5517F" w:rsidRPr="006C1161" w:rsidRDefault="00AD654F" w:rsidP="00F5517F">
      <w:pPr>
        <w:pStyle w:val="ParaNoNdepar-AltN"/>
        <w:tabs>
          <w:tab w:val="clear" w:pos="1152"/>
          <w:tab w:val="num" w:pos="1242"/>
        </w:tabs>
        <w:rPr>
          <w:rFonts w:cs="Times New Roman"/>
          <w:szCs w:val="24"/>
          <w:lang w:val="fr-CA"/>
        </w:rPr>
      </w:pPr>
      <w:r>
        <w:rPr>
          <w:rFonts w:cs="Times New Roman"/>
          <w:szCs w:val="24"/>
          <w:lang w:val="fr-CA"/>
        </w:rPr>
        <w:t>La terminaison partielle du R</w:t>
      </w:r>
      <w:r w:rsidR="00F5517F" w:rsidRPr="006C1161">
        <w:rPr>
          <w:rFonts w:cs="Times New Roman"/>
          <w:szCs w:val="24"/>
          <w:lang w:val="fr-CA"/>
        </w:rPr>
        <w:t>égime n’a suscité aucune contestation, mais l’employeur a contesté la façon dont elle avait été exécutée.  Multi</w:t>
      </w:r>
      <w:r w:rsidR="00F5517F" w:rsidRPr="006C1161">
        <w:rPr>
          <w:rFonts w:cs="Times New Roman"/>
          <w:szCs w:val="24"/>
          <w:lang w:val="fr-CA"/>
        </w:rPr>
        <w:noBreakHyphen/>
        <w:t xml:space="preserve">Marques a fait valoir que les art. 9.12 et 9.13 des </w:t>
      </w:r>
      <w:r w:rsidR="00F5517F" w:rsidRPr="006C1161">
        <w:rPr>
          <w:rFonts w:cs="Times New Roman"/>
          <w:i/>
          <w:szCs w:val="24"/>
          <w:lang w:val="fr-CA"/>
        </w:rPr>
        <w:t>Rules and Regulations</w:t>
      </w:r>
      <w:r>
        <w:rPr>
          <w:rFonts w:cs="Times New Roman"/>
          <w:szCs w:val="24"/>
          <w:lang w:val="fr-CA"/>
        </w:rPr>
        <w:t xml:space="preserve"> (</w:t>
      </w:r>
      <w:r w:rsidR="005C3088">
        <w:rPr>
          <w:rFonts w:cs="Times New Roman"/>
          <w:szCs w:val="24"/>
          <w:lang w:val="fr-CA"/>
        </w:rPr>
        <w:t xml:space="preserve">les </w:t>
      </w:r>
      <w:r>
        <w:rPr>
          <w:rFonts w:cs="Times New Roman"/>
          <w:szCs w:val="24"/>
          <w:lang w:val="fr-CA"/>
        </w:rPr>
        <w:t>« Règles ») du R</w:t>
      </w:r>
      <w:r w:rsidR="00F5517F" w:rsidRPr="006C1161">
        <w:rPr>
          <w:rFonts w:cs="Times New Roman"/>
          <w:szCs w:val="24"/>
          <w:lang w:val="fr-CA"/>
        </w:rPr>
        <w:t xml:space="preserve">égime </w:t>
      </w:r>
      <w:r w:rsidR="00F5517F" w:rsidRPr="006C1161">
        <w:rPr>
          <w:rFonts w:cs="Times New Roman"/>
          <w:szCs w:val="24"/>
          <w:lang w:val="fr-CA"/>
        </w:rPr>
        <w:lastRenderedPageBreak/>
        <w:t>prévoient que des facteurs extrinsèques pouvaient entraîner la réduction des droits des employés et qu’il y avait lieu, en conséquence, de réduire ces droits si les cotisations de l’employeur étaient insuffisan</w:t>
      </w:r>
      <w:r>
        <w:rPr>
          <w:rFonts w:cs="Times New Roman"/>
          <w:szCs w:val="24"/>
          <w:lang w:val="fr-CA"/>
        </w:rPr>
        <w:t>tes pour éponger le déficit du R</w:t>
      </w:r>
      <w:r w:rsidR="00F5517F" w:rsidRPr="006C1161">
        <w:rPr>
          <w:rFonts w:cs="Times New Roman"/>
          <w:szCs w:val="24"/>
          <w:lang w:val="fr-CA"/>
        </w:rPr>
        <w:t xml:space="preserve">égime.  Ainsi, selon les </w:t>
      </w:r>
      <w:r>
        <w:rPr>
          <w:rFonts w:cs="Times New Roman"/>
          <w:szCs w:val="24"/>
          <w:lang w:val="fr-CA"/>
        </w:rPr>
        <w:t>R</w:t>
      </w:r>
      <w:r w:rsidR="00F5517F" w:rsidRPr="006C1161">
        <w:rPr>
          <w:rFonts w:cs="Times New Roman"/>
          <w:szCs w:val="24"/>
          <w:lang w:val="fr-CA"/>
        </w:rPr>
        <w:t>ègles, les obligations de l’employeur en matière de financement se limitaient aux paiements déjà effectués.  En réponse à cette contestation, la Régie a soumis à un comité de révision la question de la compatibi</w:t>
      </w:r>
      <w:r>
        <w:rPr>
          <w:rFonts w:cs="Times New Roman"/>
          <w:szCs w:val="24"/>
          <w:lang w:val="fr-CA"/>
        </w:rPr>
        <w:t>lité des art. 9.12 et 9.13 des R</w:t>
      </w:r>
      <w:r w:rsidR="00F5517F" w:rsidRPr="006C1161">
        <w:rPr>
          <w:rFonts w:cs="Times New Roman"/>
          <w:szCs w:val="24"/>
          <w:lang w:val="fr-CA"/>
        </w:rPr>
        <w:t xml:space="preserve">ègles avec la </w:t>
      </w:r>
      <w:r w:rsidR="00F5517F" w:rsidRPr="006C1161">
        <w:rPr>
          <w:rFonts w:cs="Times New Roman"/>
          <w:i/>
          <w:szCs w:val="24"/>
          <w:lang w:val="fr-CA"/>
        </w:rPr>
        <w:t>LRCR</w:t>
      </w:r>
      <w:r w:rsidR="00F5517F" w:rsidRPr="006C1161">
        <w:rPr>
          <w:rFonts w:cs="Times New Roman"/>
          <w:szCs w:val="24"/>
          <w:lang w:val="fr-CA"/>
        </w:rPr>
        <w:t xml:space="preserve">. </w:t>
      </w:r>
    </w:p>
    <w:p w:rsidR="00F5517F" w:rsidRPr="006C1161" w:rsidRDefault="00F5517F" w:rsidP="00F5517F">
      <w:pPr>
        <w:pStyle w:val="ParaNoNdepar-AltN"/>
        <w:rPr>
          <w:rFonts w:cs="Times New Roman"/>
          <w:lang w:val="fr-CA"/>
        </w:rPr>
      </w:pPr>
      <w:r w:rsidRPr="006C1161">
        <w:rPr>
          <w:rFonts w:cs="Times New Roman"/>
          <w:lang w:val="fr-CA"/>
        </w:rPr>
        <w:t>Les art</w:t>
      </w:r>
      <w:r w:rsidR="00AD654F">
        <w:rPr>
          <w:rFonts w:cs="Times New Roman"/>
          <w:lang w:val="fr-CA"/>
        </w:rPr>
        <w:t>icles</w:t>
      </w:r>
      <w:r w:rsidRPr="006C1161">
        <w:rPr>
          <w:rFonts w:cs="Times New Roman"/>
          <w:lang w:val="fr-CA"/>
        </w:rPr>
        <w:t xml:space="preserve"> 9.12 et 9.13 des </w:t>
      </w:r>
      <w:r w:rsidR="00C877E2">
        <w:rPr>
          <w:rFonts w:cs="Times New Roman"/>
          <w:lang w:val="fr-CA"/>
        </w:rPr>
        <w:t>R</w:t>
      </w:r>
      <w:r w:rsidRPr="006C1161">
        <w:rPr>
          <w:rFonts w:cs="Times New Roman"/>
          <w:lang w:val="fr-CA"/>
        </w:rPr>
        <w:t xml:space="preserve">ègles prévoient ce qui suit : </w:t>
      </w:r>
    </w:p>
    <w:p w:rsidR="00AD654F" w:rsidRDefault="00AD654F" w:rsidP="00F5517F">
      <w:pPr>
        <w:pStyle w:val="Citation-AltC"/>
        <w:tabs>
          <w:tab w:val="left" w:pos="1530"/>
        </w:tabs>
        <w:spacing w:after="240"/>
        <w:ind w:hanging="1166"/>
        <w:contextualSpacing w:val="0"/>
        <w:rPr>
          <w:lang w:val="fr-CA"/>
        </w:rPr>
      </w:pPr>
      <w:r>
        <w:rPr>
          <w:lang w:val="fr-CA"/>
        </w:rPr>
        <w:tab/>
      </w:r>
      <w:r w:rsidRPr="006C1161">
        <w:rPr>
          <w:lang w:val="fr-CA"/>
        </w:rPr>
        <w:t>[</w:t>
      </w:r>
      <w:r w:rsidRPr="006C1161">
        <w:rPr>
          <w:smallCaps/>
          <w:lang w:val="fr-CA"/>
        </w:rPr>
        <w:t>traduction</w:t>
      </w:r>
      <w:r w:rsidRPr="006C1161">
        <w:rPr>
          <w:lang w:val="fr-CA"/>
        </w:rPr>
        <w:t xml:space="preserve">]  </w:t>
      </w:r>
    </w:p>
    <w:p w:rsidR="00F5517F" w:rsidRPr="006C1161" w:rsidRDefault="00F5517F" w:rsidP="00F5517F">
      <w:pPr>
        <w:pStyle w:val="Citation-AltC"/>
        <w:tabs>
          <w:tab w:val="left" w:pos="1530"/>
        </w:tabs>
        <w:spacing w:after="240"/>
        <w:ind w:hanging="1166"/>
        <w:contextualSpacing w:val="0"/>
        <w:rPr>
          <w:b/>
          <w:lang w:val="fr-CA"/>
        </w:rPr>
      </w:pPr>
      <w:r w:rsidRPr="006C1161">
        <w:rPr>
          <w:lang w:val="fr-CA"/>
        </w:rPr>
        <w:tab/>
      </w:r>
      <w:r w:rsidRPr="006C1161">
        <w:rPr>
          <w:b/>
          <w:lang w:val="fr-CA"/>
        </w:rPr>
        <w:t>Article 9.12 — Limitation de responsabilité</w:t>
      </w:r>
    </w:p>
    <w:p w:rsidR="00F5517F" w:rsidRPr="006C1161" w:rsidRDefault="00C877E2" w:rsidP="00F5517F">
      <w:pPr>
        <w:pStyle w:val="Citation-AltC"/>
        <w:tabs>
          <w:tab w:val="left" w:pos="1530"/>
        </w:tabs>
        <w:spacing w:after="240"/>
        <w:ind w:hanging="1166"/>
        <w:contextualSpacing w:val="0"/>
        <w:rPr>
          <w:lang w:val="fr-CA"/>
        </w:rPr>
      </w:pPr>
      <w:r>
        <w:rPr>
          <w:lang w:val="fr-CA"/>
        </w:rPr>
        <w:tab/>
        <w:t>Le r</w:t>
      </w:r>
      <w:r w:rsidR="00F5517F" w:rsidRPr="006C1161">
        <w:rPr>
          <w:lang w:val="fr-CA"/>
        </w:rPr>
        <w:t>égime est fondé sur des calculs actuariels ayant établi, autant que faire se peut, que les cotisations, si elles continuent d’être versées, seront suffisantes</w:t>
      </w:r>
      <w:r>
        <w:rPr>
          <w:lang w:val="fr-CA"/>
        </w:rPr>
        <w:t xml:space="preserve"> pour assurer la permanence du r</w:t>
      </w:r>
      <w:r w:rsidR="00F5517F" w:rsidRPr="006C1161">
        <w:rPr>
          <w:lang w:val="fr-CA"/>
        </w:rPr>
        <w:t>égime et satisfaire aux exigences de capitalisation énoncées à la Loi.  Exception faite des obligations pouvant résulter</w:t>
      </w:r>
      <w:r>
        <w:rPr>
          <w:lang w:val="fr-CA"/>
        </w:rPr>
        <w:t xml:space="preserve"> de dispositions de la Loi, le r</w:t>
      </w:r>
      <w:r w:rsidR="00F5517F" w:rsidRPr="006C1161">
        <w:rPr>
          <w:lang w:val="fr-CA"/>
        </w:rPr>
        <w:t>égime n’a pas pour effet d’obliger l’employeur participant à verser des cotisations excédant celles qui sont prévues à la convention collective conclue avec le syndicat ou la section locale.</w:t>
      </w:r>
    </w:p>
    <w:p w:rsidR="00F5517F" w:rsidRPr="006C1161" w:rsidRDefault="00F5517F" w:rsidP="00F5517F">
      <w:pPr>
        <w:pStyle w:val="Citation-AltC"/>
        <w:tabs>
          <w:tab w:val="left" w:pos="1530"/>
        </w:tabs>
        <w:spacing w:after="240"/>
        <w:ind w:hanging="1166"/>
        <w:contextualSpacing w:val="0"/>
        <w:rPr>
          <w:lang w:val="fr-CA"/>
        </w:rPr>
      </w:pPr>
      <w:r w:rsidRPr="006C1161">
        <w:rPr>
          <w:lang w:val="fr-CA"/>
        </w:rPr>
        <w:tab/>
        <w:t>Ni les fiduciaires, individuellement ou collectivement, ni le syndicat ou la section locale ne sont tenus de ver</w:t>
      </w:r>
      <w:r w:rsidR="00C877E2">
        <w:rPr>
          <w:lang w:val="fr-CA"/>
        </w:rPr>
        <w:t>ser les prestations prévues au r</w:t>
      </w:r>
      <w:r w:rsidRPr="006C1161">
        <w:rPr>
          <w:lang w:val="fr-CA"/>
        </w:rPr>
        <w:t xml:space="preserve">égime si la caisse ne dispose pas de l’actif suffisant pour ces paiements. </w:t>
      </w:r>
    </w:p>
    <w:p w:rsidR="00F5517F" w:rsidRPr="006C1161" w:rsidRDefault="00F5517F" w:rsidP="00F5517F">
      <w:pPr>
        <w:pStyle w:val="Citation-AltC"/>
        <w:tabs>
          <w:tab w:val="left" w:pos="1530"/>
        </w:tabs>
        <w:spacing w:after="240"/>
        <w:ind w:hanging="1166"/>
        <w:contextualSpacing w:val="0"/>
        <w:rPr>
          <w:b/>
          <w:lang w:val="fr-CA"/>
        </w:rPr>
      </w:pPr>
      <w:r w:rsidRPr="006C1161">
        <w:rPr>
          <w:b/>
          <w:lang w:val="fr-CA"/>
        </w:rPr>
        <w:tab/>
        <w:t>Article 9.13 — Limitation de responsabilité relativement aux prestations</w:t>
      </w:r>
    </w:p>
    <w:p w:rsidR="00F5517F" w:rsidRPr="006C1161" w:rsidRDefault="00AD654F" w:rsidP="00F5517F">
      <w:pPr>
        <w:pStyle w:val="Citation-AltC"/>
        <w:spacing w:after="240"/>
        <w:ind w:left="1560" w:hanging="426"/>
        <w:contextualSpacing w:val="0"/>
        <w:rPr>
          <w:lang w:val="fr-CA"/>
        </w:rPr>
      </w:pPr>
      <w:r>
        <w:rPr>
          <w:lang w:val="fr-CA"/>
        </w:rPr>
        <w:t>(</w:t>
      </w:r>
      <w:r w:rsidR="00F5517F" w:rsidRPr="006C1161">
        <w:rPr>
          <w:lang w:val="fr-CA"/>
        </w:rPr>
        <w:t>a)</w:t>
      </w:r>
      <w:r w:rsidR="00F5517F" w:rsidRPr="006C1161">
        <w:rPr>
          <w:lang w:val="fr-CA"/>
        </w:rPr>
        <w:tab/>
        <w:t xml:space="preserve">Nonobstant </w:t>
      </w:r>
      <w:r w:rsidR="00C877E2">
        <w:rPr>
          <w:lang w:val="fr-CA"/>
        </w:rPr>
        <w:t>toute disposition contraire du r</w:t>
      </w:r>
      <w:r w:rsidR="00F5517F" w:rsidRPr="006C1161">
        <w:rPr>
          <w:lang w:val="fr-CA"/>
        </w:rPr>
        <w:t>égime, lorsqu’un employeur participant met fin à sa participation (ci</w:t>
      </w:r>
      <w:r w:rsidR="00F5517F" w:rsidRPr="006C1161">
        <w:rPr>
          <w:lang w:val="fr-CA"/>
        </w:rPr>
        <w:noBreakHyphen/>
        <w:t>après appelé l’employeur sortant) pour quelque raison que ce soit, l’actif correspondant à cet employeur, soit les cotisations totales que celui</w:t>
      </w:r>
      <w:r w:rsidR="00F5517F" w:rsidRPr="006C1161">
        <w:rPr>
          <w:lang w:val="fr-CA"/>
        </w:rPr>
        <w:noBreakHyphen/>
        <w:t>ci a versées et l’intérêt y affér</w:t>
      </w:r>
      <w:r w:rsidR="005C3088">
        <w:rPr>
          <w:lang w:val="fr-CA"/>
        </w:rPr>
        <w:t>a</w:t>
      </w:r>
      <w:r w:rsidR="00F5517F" w:rsidRPr="006C1161">
        <w:rPr>
          <w:lang w:val="fr-CA"/>
        </w:rPr>
        <w:t xml:space="preserve">nt en sus des prestations déjà versées, est affecté, dans la mesure où les fonds le permettent, au versement des </w:t>
      </w:r>
      <w:r w:rsidR="00F5517F" w:rsidRPr="006C1161">
        <w:rPr>
          <w:lang w:val="fr-CA"/>
        </w:rPr>
        <w:lastRenderedPageBreak/>
        <w:t>prestations afférentes aux années de service auprès de cet employeur, sous réserve des modalités suivantes :</w:t>
      </w:r>
    </w:p>
    <w:p w:rsidR="00F5517F" w:rsidRPr="006C1161" w:rsidRDefault="00F5517F" w:rsidP="00F5517F">
      <w:pPr>
        <w:pStyle w:val="Citation-AltC"/>
        <w:spacing w:after="240"/>
        <w:ind w:left="2552" w:hanging="567"/>
        <w:contextualSpacing w:val="0"/>
        <w:rPr>
          <w:lang w:val="fr-CA"/>
        </w:rPr>
      </w:pPr>
      <w:r w:rsidRPr="006C1161">
        <w:rPr>
          <w:lang w:val="fr-CA"/>
        </w:rPr>
        <w:t>(i)</w:t>
      </w:r>
      <w:r w:rsidRPr="006C1161">
        <w:rPr>
          <w:lang w:val="fr-CA"/>
        </w:rPr>
        <w:tab/>
        <w:t xml:space="preserve">Pour l’application du présent article uniquement, les prestations acquises par chaque participant sont établies en tenant pour acquis que le participant satisfait aux conditions d’admissibilité. </w:t>
      </w:r>
    </w:p>
    <w:p w:rsidR="00F5517F" w:rsidRPr="006C1161" w:rsidRDefault="00AD654F" w:rsidP="00F5517F">
      <w:pPr>
        <w:pStyle w:val="Citation-AltC"/>
        <w:spacing w:after="240"/>
        <w:ind w:left="2552" w:hanging="567"/>
        <w:contextualSpacing w:val="0"/>
        <w:rPr>
          <w:lang w:val="fr-CA"/>
        </w:rPr>
      </w:pPr>
      <w:r>
        <w:rPr>
          <w:lang w:val="fr-CA"/>
        </w:rPr>
        <w:t>(ii)</w:t>
      </w:r>
      <w:r>
        <w:rPr>
          <w:lang w:val="fr-CA"/>
        </w:rPr>
        <w:tab/>
        <w:t xml:space="preserve">Si le </w:t>
      </w:r>
      <w:r w:rsidR="00C877E2">
        <w:rPr>
          <w:lang w:val="fr-CA"/>
        </w:rPr>
        <w:t>r</w:t>
      </w:r>
      <w:r w:rsidR="00F5517F" w:rsidRPr="006C1161">
        <w:rPr>
          <w:lang w:val="fr-CA"/>
        </w:rPr>
        <w:t>égime est entièrement capitalisé selon l’approche de la continuité à la date où l’employeur sortant met fin à sa participation, les prestations sont réduites dans la seule mesure où l’actif de l’employeur sortant ne couvre pas le passif actuariel établi à l’égard des prestations afférentes aux crédits pour services passés.</w:t>
      </w:r>
    </w:p>
    <w:p w:rsidR="00F5517F" w:rsidRPr="006C1161" w:rsidRDefault="00C877E2" w:rsidP="00F5517F">
      <w:pPr>
        <w:pStyle w:val="Citation-AltC"/>
        <w:spacing w:after="240"/>
        <w:ind w:left="2552" w:hanging="567"/>
        <w:contextualSpacing w:val="0"/>
        <w:rPr>
          <w:lang w:val="fr-CA"/>
        </w:rPr>
      </w:pPr>
      <w:r>
        <w:rPr>
          <w:lang w:val="fr-CA"/>
        </w:rPr>
        <w:t>(iii)</w:t>
      </w:r>
      <w:r>
        <w:rPr>
          <w:lang w:val="fr-CA"/>
        </w:rPr>
        <w:tab/>
        <w:t>Si le r</w:t>
      </w:r>
      <w:r w:rsidR="00F5517F" w:rsidRPr="006C1161">
        <w:rPr>
          <w:lang w:val="fr-CA"/>
        </w:rPr>
        <w:t>égime n’est pas entièrement capitalisé selon l’approche de la continuité à la date où l’employeur sortant met fin à sa participation, les prestations sont réduites dans la mesure du déficit et, en tout état de cause, les prestations afférentes aux crédits pour services passés sont réduites dans la mesure où elles ne sont pas entièrement couvertes par l’actif de l’employeur sortant.</w:t>
      </w:r>
    </w:p>
    <w:p w:rsidR="00F5517F" w:rsidRPr="006C1161" w:rsidRDefault="00F5517F" w:rsidP="00F5517F">
      <w:pPr>
        <w:pStyle w:val="Citation-AltC"/>
        <w:spacing w:after="240"/>
        <w:ind w:left="2552" w:hanging="567"/>
        <w:contextualSpacing w:val="0"/>
        <w:rPr>
          <w:lang w:val="fr-CA"/>
        </w:rPr>
      </w:pPr>
      <w:r w:rsidRPr="006C1161">
        <w:rPr>
          <w:lang w:val="fr-CA"/>
        </w:rPr>
        <w:t>(iv)</w:t>
      </w:r>
      <w:r w:rsidRPr="006C1161">
        <w:rPr>
          <w:lang w:val="fr-CA"/>
        </w:rPr>
        <w:tab/>
        <w:t>Nonobstant toute disposition contraire du présent article, l’actif de l’employeur sortant est affecté conformément à la loi applicable.</w:t>
      </w:r>
    </w:p>
    <w:p w:rsidR="00F5517F" w:rsidRPr="006C1161" w:rsidRDefault="00CF495E" w:rsidP="00F5517F">
      <w:pPr>
        <w:pStyle w:val="Citation-AltC"/>
        <w:ind w:left="1559" w:hanging="425"/>
        <w:contextualSpacing w:val="0"/>
        <w:rPr>
          <w:szCs w:val="24"/>
          <w:lang w:val="fr-CA"/>
        </w:rPr>
      </w:pPr>
      <w:r>
        <w:rPr>
          <w:lang w:val="fr-CA"/>
        </w:rPr>
        <w:t>(</w:t>
      </w:r>
      <w:r w:rsidR="00F5517F" w:rsidRPr="006C1161">
        <w:rPr>
          <w:lang w:val="fr-CA"/>
        </w:rPr>
        <w:t>b)</w:t>
      </w:r>
      <w:r w:rsidR="00F5517F" w:rsidRPr="006C1161">
        <w:rPr>
          <w:lang w:val="fr-CA"/>
        </w:rPr>
        <w:tab/>
        <w:t>Si un groupe d’employeurs participants liés par convention collective à une section locale met fin à sa participation pour ce qui concerne les membres de cette section locale à la même date approximativement, les fiduciaires peuvent appliquer l’alinéa (a) ci</w:t>
      </w:r>
      <w:r w:rsidR="00F5517F" w:rsidRPr="006C1161">
        <w:rPr>
          <w:lang w:val="fr-CA"/>
        </w:rPr>
        <w:noBreakHyphen/>
        <w:t>dessus comme si ces employeurs constituaient un employeur participant unique.  Dans un tel cas, les calculs viseront tous les employeurs participants du groupe qui ont été liés par convention collective avec cette section locale.  [</w:t>
      </w:r>
      <w:r>
        <w:rPr>
          <w:lang w:val="fr-CA"/>
        </w:rPr>
        <w:t>d.a., vol.</w:t>
      </w:r>
      <w:r w:rsidR="00C877E2">
        <w:rPr>
          <w:lang w:val="fr-CA"/>
        </w:rPr>
        <w:t xml:space="preserve"> </w:t>
      </w:r>
      <w:r>
        <w:rPr>
          <w:lang w:val="fr-CA"/>
        </w:rPr>
        <w:t>I</w:t>
      </w:r>
      <w:r w:rsidR="00F5517F" w:rsidRPr="006C1161">
        <w:rPr>
          <w:lang w:val="fr-CA"/>
        </w:rPr>
        <w:t>, p. 160-</w:t>
      </w:r>
      <w:r>
        <w:rPr>
          <w:lang w:val="fr-CA"/>
        </w:rPr>
        <w:t>1</w:t>
      </w:r>
      <w:r w:rsidR="00F5517F" w:rsidRPr="006C1161">
        <w:rPr>
          <w:lang w:val="fr-CA"/>
        </w:rPr>
        <w:t>62]</w:t>
      </w:r>
    </w:p>
    <w:p w:rsidR="00F5517F" w:rsidRPr="006C1161" w:rsidRDefault="00F5517F" w:rsidP="00F5517F">
      <w:pPr>
        <w:pStyle w:val="ParaNoNdepar-AltN"/>
        <w:tabs>
          <w:tab w:val="clear" w:pos="1152"/>
          <w:tab w:val="num" w:pos="1242"/>
        </w:tabs>
        <w:rPr>
          <w:rFonts w:cs="Times New Roman"/>
          <w:szCs w:val="24"/>
          <w:lang w:val="fr-CA"/>
        </w:rPr>
      </w:pPr>
      <w:r w:rsidRPr="006C1161">
        <w:rPr>
          <w:rFonts w:cs="Times New Roman"/>
          <w:szCs w:val="24"/>
          <w:lang w:val="fr-CA"/>
        </w:rPr>
        <w:t xml:space="preserve">Dans sa décision du 14 avril 2003, le comité de révision a conclu que les art. 9.12 et 9.13 des </w:t>
      </w:r>
      <w:r w:rsidR="00CF495E">
        <w:rPr>
          <w:rFonts w:cs="Times New Roman"/>
          <w:szCs w:val="24"/>
          <w:lang w:val="fr-CA"/>
        </w:rPr>
        <w:t>R</w:t>
      </w:r>
      <w:r w:rsidRPr="006C1161">
        <w:rPr>
          <w:rFonts w:cs="Times New Roman"/>
          <w:szCs w:val="24"/>
          <w:lang w:val="fr-CA"/>
        </w:rPr>
        <w:t xml:space="preserve">ègles étaient incompatibles avec l’art. 211 de la </w:t>
      </w:r>
      <w:r w:rsidRPr="006C1161">
        <w:rPr>
          <w:rFonts w:cs="Times New Roman"/>
          <w:i/>
          <w:szCs w:val="24"/>
          <w:lang w:val="fr-CA"/>
        </w:rPr>
        <w:t>LRCR</w:t>
      </w:r>
      <w:r w:rsidRPr="006C1161">
        <w:rPr>
          <w:rFonts w:cs="Times New Roman"/>
          <w:szCs w:val="24"/>
          <w:lang w:val="fr-CA"/>
        </w:rPr>
        <w:t xml:space="preserve"> — en vertu duquel les participants au régime ont droit à la pleine valeur de leur rente — et avec l’art. 228 de la même loi — aux termes duquel le manque d’actifs d’un régime de pension nécessaires à l’acquittement des droits des participants et des bénéficiaires </w:t>
      </w:r>
      <w:r w:rsidRPr="006C1161">
        <w:rPr>
          <w:rFonts w:cs="Times New Roman"/>
          <w:szCs w:val="24"/>
          <w:lang w:val="fr-CA"/>
        </w:rPr>
        <w:lastRenderedPageBreak/>
        <w:t xml:space="preserve">constitue une dette de l’employeur.  Parce que les art. 9.12 et 9.13 des </w:t>
      </w:r>
      <w:r w:rsidR="00CF495E">
        <w:rPr>
          <w:rFonts w:cs="Times New Roman"/>
          <w:szCs w:val="24"/>
          <w:lang w:val="fr-CA"/>
        </w:rPr>
        <w:t>R</w:t>
      </w:r>
      <w:r w:rsidRPr="006C1161">
        <w:rPr>
          <w:rFonts w:cs="Times New Roman"/>
          <w:szCs w:val="24"/>
          <w:lang w:val="fr-CA"/>
        </w:rPr>
        <w:t xml:space="preserve">ègles étaient incompatibles avec la </w:t>
      </w:r>
      <w:r w:rsidRPr="006C1161">
        <w:rPr>
          <w:rFonts w:cs="Times New Roman"/>
          <w:i/>
          <w:szCs w:val="24"/>
          <w:lang w:val="fr-CA"/>
        </w:rPr>
        <w:t>LRCR</w:t>
      </w:r>
      <w:r w:rsidRPr="006C1161">
        <w:rPr>
          <w:rFonts w:cs="Times New Roman"/>
          <w:szCs w:val="24"/>
          <w:lang w:val="fr-CA"/>
        </w:rPr>
        <w:t>, aux termes de l’art. 5 de cette dernière, ils n’avaient pas d’effet.  Ils ne pouvaient donc être appliqués dans les rapports actuariels exigés po</w:t>
      </w:r>
      <w:r w:rsidR="00C877E2">
        <w:rPr>
          <w:rFonts w:cs="Times New Roman"/>
          <w:szCs w:val="24"/>
          <w:lang w:val="fr-CA"/>
        </w:rPr>
        <w:t>ur la terminaison partielle du R</w:t>
      </w:r>
      <w:r w:rsidRPr="006C1161">
        <w:rPr>
          <w:rFonts w:cs="Times New Roman"/>
          <w:szCs w:val="24"/>
          <w:lang w:val="fr-CA"/>
        </w:rPr>
        <w:t>égime.  Le 15 juin 2004, cette décision a été confirmée par le Tribunal administratif du Québec (« TAQ ») et, à l’issue d’une révision judiciaire, par la Cour supérieure du Québec le 20 juillet 2006.  Multi</w:t>
      </w:r>
      <w:r w:rsidRPr="006C1161">
        <w:rPr>
          <w:rFonts w:cs="Times New Roman"/>
          <w:szCs w:val="24"/>
          <w:lang w:val="fr-CA"/>
        </w:rPr>
        <w:noBreakHyphen/>
        <w:t>Marques</w:t>
      </w:r>
      <w:r>
        <w:rPr>
          <w:rFonts w:cs="Times New Roman"/>
          <w:szCs w:val="24"/>
          <w:lang w:val="fr-CA"/>
        </w:rPr>
        <w:t xml:space="preserve">, Sean Kelly et Canada Bread Company </w:t>
      </w:r>
      <w:r w:rsidR="00CF495E">
        <w:rPr>
          <w:rFonts w:cs="Times New Roman"/>
          <w:szCs w:val="24"/>
          <w:lang w:val="fr-CA"/>
        </w:rPr>
        <w:t xml:space="preserve">Ltd. </w:t>
      </w:r>
      <w:r>
        <w:rPr>
          <w:rFonts w:cs="Times New Roman"/>
          <w:szCs w:val="24"/>
          <w:lang w:val="fr-CA"/>
        </w:rPr>
        <w:t>ont</w:t>
      </w:r>
      <w:r w:rsidRPr="006C1161">
        <w:rPr>
          <w:rFonts w:cs="Times New Roman"/>
          <w:szCs w:val="24"/>
          <w:lang w:val="fr-CA"/>
        </w:rPr>
        <w:t xml:space="preserve"> porté la décision de la Cour supérieure en appel devant la Cour d’appel du Québec. </w:t>
      </w:r>
    </w:p>
    <w:p w:rsidR="00F5517F" w:rsidRPr="006C1161" w:rsidRDefault="00F5517F" w:rsidP="00F5517F">
      <w:pPr>
        <w:pStyle w:val="ParaNoNdepar-AltN"/>
        <w:rPr>
          <w:rFonts w:cs="Times New Roman"/>
          <w:szCs w:val="24"/>
          <w:lang w:val="fr-CA"/>
        </w:rPr>
      </w:pPr>
      <w:r w:rsidRPr="006C1161">
        <w:rPr>
          <w:rFonts w:cs="Times New Roman"/>
          <w:szCs w:val="24"/>
          <w:lang w:val="fr-CA"/>
        </w:rPr>
        <w:t xml:space="preserve">Le 2 avril 2008, la Cour d’appel a accueilli </w:t>
      </w:r>
      <w:r>
        <w:rPr>
          <w:rFonts w:cs="Times New Roman"/>
          <w:szCs w:val="24"/>
          <w:lang w:val="fr-CA"/>
        </w:rPr>
        <w:t>les appels</w:t>
      </w:r>
      <w:r w:rsidRPr="006C1161">
        <w:rPr>
          <w:rFonts w:cs="Times New Roman"/>
          <w:szCs w:val="24"/>
          <w:lang w:val="fr-CA"/>
        </w:rPr>
        <w:t xml:space="preserve"> : 2008 QCCA 597, [2008] R.J.Q. 853.  Elle a conclu que les art. 9.12 et 9.13 n’étaient pas incompatibles avec la </w:t>
      </w:r>
      <w:r w:rsidRPr="006C1161">
        <w:rPr>
          <w:rFonts w:cs="Times New Roman"/>
          <w:i/>
          <w:szCs w:val="24"/>
          <w:lang w:val="fr-CA"/>
        </w:rPr>
        <w:t>LRCR</w:t>
      </w:r>
      <w:r w:rsidRPr="006C1161">
        <w:rPr>
          <w:rFonts w:cs="Times New Roman"/>
          <w:szCs w:val="24"/>
          <w:lang w:val="fr-CA"/>
        </w:rPr>
        <w:t xml:space="preserve"> et qu’il fallait donc leur donner plein effet dans les rapports actuariels préparés dans le cadre </w:t>
      </w:r>
      <w:r w:rsidR="00CF495E">
        <w:rPr>
          <w:rFonts w:cs="Times New Roman"/>
          <w:szCs w:val="24"/>
          <w:lang w:val="fr-CA"/>
        </w:rPr>
        <w:t>de la terminaison partielle du R</w:t>
      </w:r>
      <w:r w:rsidRPr="006C1161">
        <w:rPr>
          <w:rFonts w:cs="Times New Roman"/>
          <w:szCs w:val="24"/>
          <w:lang w:val="fr-CA"/>
        </w:rPr>
        <w:t>égime.  Elle a donc infirmé les décisions de la Cour supérieure, du TAQ et du comité de révision de la Régie, et elle a renvoyé l’affaire à la Régie en lui enjoignant de réviser ses décisions initiales en tenant compte des principes se dégageant de son jugement.  Pour plus de commodité, je reproduis ci</w:t>
      </w:r>
      <w:r w:rsidRPr="006C1161">
        <w:rPr>
          <w:rFonts w:cs="Times New Roman"/>
          <w:szCs w:val="24"/>
          <w:lang w:val="fr-CA"/>
        </w:rPr>
        <w:noBreakHyphen/>
        <w:t xml:space="preserve">après l’ordonnance de la Cour d’appel : </w:t>
      </w:r>
      <w:bookmarkStart w:id="0" w:name="OLE_LINK1"/>
      <w:bookmarkStart w:id="1" w:name="OLE_LINK2"/>
    </w:p>
    <w:p w:rsidR="00F5517F" w:rsidRPr="006C1161" w:rsidRDefault="00F5517F" w:rsidP="00F5517F">
      <w:pPr>
        <w:pStyle w:val="Citation-AltC"/>
        <w:spacing w:after="240"/>
        <w:ind w:hanging="1166"/>
        <w:contextualSpacing w:val="0"/>
        <w:rPr>
          <w:lang w:val="fr-CA"/>
        </w:rPr>
      </w:pPr>
      <w:r w:rsidRPr="006C1161">
        <w:rPr>
          <w:bCs/>
          <w:lang w:val="fr-CA"/>
        </w:rPr>
        <w:tab/>
      </w:r>
      <w:r w:rsidRPr="006C1161">
        <w:rPr>
          <w:bCs/>
          <w:lang w:val="fr-CA"/>
        </w:rPr>
        <w:tab/>
        <w:t>Accueille</w:t>
      </w:r>
      <w:r w:rsidRPr="006C1161">
        <w:rPr>
          <w:lang w:val="fr-CA"/>
        </w:rPr>
        <w:t xml:space="preserve"> les appels, avec dépens tant en Cour supérieure qu’en Cour d’appel;</w:t>
      </w:r>
    </w:p>
    <w:p w:rsidR="00F5517F" w:rsidRPr="006C1161" w:rsidRDefault="00F5517F" w:rsidP="00F5517F">
      <w:pPr>
        <w:pStyle w:val="Citation-AltC"/>
        <w:spacing w:after="240"/>
        <w:ind w:hanging="1166"/>
        <w:contextualSpacing w:val="0"/>
        <w:rPr>
          <w:lang w:val="fr-CA"/>
        </w:rPr>
      </w:pPr>
      <w:r w:rsidRPr="006C1161">
        <w:rPr>
          <w:bCs/>
          <w:lang w:val="fr-CA"/>
        </w:rPr>
        <w:tab/>
      </w:r>
      <w:r w:rsidRPr="006C1161">
        <w:rPr>
          <w:bCs/>
          <w:lang w:val="fr-CA"/>
        </w:rPr>
        <w:tab/>
        <w:t>Infirme</w:t>
      </w:r>
      <w:r w:rsidRPr="006C1161">
        <w:rPr>
          <w:lang w:val="fr-CA"/>
        </w:rPr>
        <w:t xml:space="preserve"> la décision de la Cour supérieure du 20 juillet 2006;</w:t>
      </w:r>
    </w:p>
    <w:p w:rsidR="00F5517F" w:rsidRPr="006C1161" w:rsidRDefault="00F5517F" w:rsidP="00F5517F">
      <w:pPr>
        <w:pStyle w:val="Citation-AltC"/>
        <w:spacing w:after="240"/>
        <w:ind w:hanging="1166"/>
        <w:contextualSpacing w:val="0"/>
        <w:rPr>
          <w:lang w:val="fr-CA"/>
        </w:rPr>
      </w:pPr>
      <w:r w:rsidRPr="006C1161">
        <w:rPr>
          <w:bCs/>
          <w:lang w:val="fr-CA"/>
        </w:rPr>
        <w:tab/>
      </w:r>
      <w:r w:rsidRPr="006C1161">
        <w:rPr>
          <w:bCs/>
          <w:lang w:val="fr-CA"/>
        </w:rPr>
        <w:tab/>
        <w:t>Infirme</w:t>
      </w:r>
      <w:r w:rsidRPr="006C1161">
        <w:rPr>
          <w:lang w:val="fr-CA"/>
        </w:rPr>
        <w:t xml:space="preserve"> la décision du Tribunal administratif du Québec du 15 juin 2004;</w:t>
      </w:r>
    </w:p>
    <w:p w:rsidR="00F5517F" w:rsidRPr="006C1161" w:rsidRDefault="00F5517F" w:rsidP="00F5517F">
      <w:pPr>
        <w:pStyle w:val="Citation-AltC"/>
        <w:spacing w:after="240"/>
        <w:ind w:hanging="1166"/>
        <w:contextualSpacing w:val="0"/>
        <w:rPr>
          <w:lang w:val="fr-CA"/>
        </w:rPr>
      </w:pPr>
      <w:r w:rsidRPr="006C1161">
        <w:rPr>
          <w:bCs/>
          <w:lang w:val="fr-CA"/>
        </w:rPr>
        <w:tab/>
      </w:r>
      <w:r w:rsidRPr="006C1161">
        <w:rPr>
          <w:bCs/>
          <w:lang w:val="fr-CA"/>
        </w:rPr>
        <w:tab/>
        <w:t>Infirme</w:t>
      </w:r>
      <w:r w:rsidRPr="006C1161">
        <w:rPr>
          <w:lang w:val="fr-CA"/>
        </w:rPr>
        <w:t xml:space="preserve"> la décision du comité de révision de la Régie des rentes du Québec datée du 14 avril 2003;</w:t>
      </w:r>
    </w:p>
    <w:p w:rsidR="00F5517F" w:rsidRPr="006C1161" w:rsidRDefault="00F5517F" w:rsidP="00F5517F">
      <w:pPr>
        <w:pStyle w:val="Citation-AltC"/>
        <w:spacing w:after="240"/>
        <w:ind w:hanging="1166"/>
        <w:contextualSpacing w:val="0"/>
        <w:rPr>
          <w:lang w:val="fr-CA"/>
        </w:rPr>
      </w:pPr>
      <w:r w:rsidRPr="006C1161">
        <w:rPr>
          <w:bCs/>
          <w:lang w:val="fr-CA"/>
        </w:rPr>
        <w:lastRenderedPageBreak/>
        <w:tab/>
      </w:r>
      <w:r w:rsidRPr="006C1161">
        <w:rPr>
          <w:bCs/>
          <w:lang w:val="fr-CA"/>
        </w:rPr>
        <w:tab/>
      </w:r>
      <w:r w:rsidRPr="006C1161">
        <w:rPr>
          <w:bCs/>
          <w:u w:val="single"/>
          <w:lang w:val="fr-CA"/>
        </w:rPr>
        <w:t>Retourne</w:t>
      </w:r>
      <w:r w:rsidRPr="006C1161">
        <w:rPr>
          <w:b/>
          <w:bCs/>
          <w:u w:val="single"/>
          <w:lang w:val="fr-CA"/>
        </w:rPr>
        <w:t xml:space="preserve"> </w:t>
      </w:r>
      <w:r w:rsidRPr="006C1161">
        <w:rPr>
          <w:u w:val="single"/>
          <w:lang w:val="fr-CA"/>
        </w:rPr>
        <w:t>le dossier à la Régie des rentes du Québec pour qu’elle révise ses décisions D</w:t>
      </w:r>
      <w:r w:rsidRPr="006C1161">
        <w:rPr>
          <w:u w:val="single"/>
          <w:lang w:val="fr-CA"/>
        </w:rPr>
        <w:noBreakHyphen/>
        <w:t>41130</w:t>
      </w:r>
      <w:r w:rsidRPr="006C1161">
        <w:rPr>
          <w:u w:val="single"/>
          <w:lang w:val="fr-CA"/>
        </w:rPr>
        <w:noBreakHyphen/>
        <w:t>001 et D</w:t>
      </w:r>
      <w:r w:rsidRPr="006C1161">
        <w:rPr>
          <w:u w:val="single"/>
          <w:lang w:val="fr-CA"/>
        </w:rPr>
        <w:noBreakHyphen/>
        <w:t>41130</w:t>
      </w:r>
      <w:r w:rsidRPr="006C1161">
        <w:rPr>
          <w:u w:val="single"/>
          <w:lang w:val="fr-CA"/>
        </w:rPr>
        <w:noBreakHyphen/>
        <w:t>02 du 16 mai 2002 en se conformant au présent arrêt</w:t>
      </w:r>
      <w:r w:rsidRPr="006C1161">
        <w:rPr>
          <w:lang w:val="fr-CA"/>
        </w:rPr>
        <w:t xml:space="preserve">; </w:t>
      </w:r>
    </w:p>
    <w:p w:rsidR="00F5517F" w:rsidRPr="006C1161" w:rsidRDefault="00F5517F" w:rsidP="00CF495E">
      <w:pPr>
        <w:pStyle w:val="Citation-AltC"/>
        <w:ind w:hanging="1166"/>
        <w:contextualSpacing w:val="0"/>
        <w:rPr>
          <w:lang w:val="fr-CA"/>
        </w:rPr>
      </w:pPr>
      <w:r w:rsidRPr="006C1161">
        <w:rPr>
          <w:bCs/>
          <w:lang w:val="fr-CA"/>
        </w:rPr>
        <w:tab/>
      </w:r>
      <w:r w:rsidRPr="006C1161">
        <w:rPr>
          <w:bCs/>
          <w:lang w:val="fr-CA"/>
        </w:rPr>
        <w:tab/>
      </w:r>
      <w:r w:rsidRPr="006C1161">
        <w:rPr>
          <w:bCs/>
          <w:u w:val="single"/>
          <w:lang w:val="fr-CA"/>
        </w:rPr>
        <w:t>Autorise</w:t>
      </w:r>
      <w:r w:rsidRPr="006C1161">
        <w:rPr>
          <w:u w:val="single"/>
          <w:lang w:val="fr-CA"/>
        </w:rPr>
        <w:t xml:space="preserve"> Kelly à déposer des rapports actuariels de terminaison qui appliquent les clauses 9.12 et 9.13 du régime de retraite</w:t>
      </w:r>
      <w:r w:rsidRPr="006C1161">
        <w:rPr>
          <w:lang w:val="fr-CA"/>
        </w:rPr>
        <w:t>,</w:t>
      </w:r>
      <w:r w:rsidRPr="006C1161">
        <w:rPr>
          <w:i/>
          <w:iCs/>
          <w:lang w:val="fr-CA"/>
        </w:rPr>
        <w:t xml:space="preserve"> </w:t>
      </w:r>
      <w:r w:rsidRPr="006C1161">
        <w:rPr>
          <w:lang w:val="fr-CA"/>
        </w:rPr>
        <w:t>eu égard aux terminaisons partielles résultant du retrait du régime de retraite des employés des divisions Gailuron et Durivage de Multi</w:t>
      </w:r>
      <w:r w:rsidRPr="006C1161">
        <w:rPr>
          <w:lang w:val="fr-CA"/>
        </w:rPr>
        <w:noBreakHyphen/>
        <w:t xml:space="preserve">Marques. </w:t>
      </w:r>
      <w:r w:rsidR="00CF495E">
        <w:rPr>
          <w:lang w:val="fr-CA"/>
        </w:rPr>
        <w:t xml:space="preserve"> </w:t>
      </w:r>
      <w:r w:rsidR="00CF495E">
        <w:rPr>
          <w:szCs w:val="24"/>
          <w:lang w:val="fr-CA"/>
        </w:rPr>
        <w:t>[Je souligne;</w:t>
      </w:r>
      <w:r w:rsidR="00CF495E" w:rsidRPr="006C1161">
        <w:rPr>
          <w:szCs w:val="24"/>
          <w:lang w:val="fr-CA"/>
        </w:rPr>
        <w:t xml:space="preserve"> par. 104-</w:t>
      </w:r>
      <w:r w:rsidR="00CF495E">
        <w:rPr>
          <w:szCs w:val="24"/>
          <w:lang w:val="fr-CA"/>
        </w:rPr>
        <w:t>10</w:t>
      </w:r>
      <w:r w:rsidR="00CF495E" w:rsidRPr="006C1161">
        <w:rPr>
          <w:szCs w:val="24"/>
          <w:lang w:val="fr-CA"/>
        </w:rPr>
        <w:t>9</w:t>
      </w:r>
      <w:r w:rsidR="00C877E2">
        <w:rPr>
          <w:szCs w:val="24"/>
          <w:lang w:val="fr-CA"/>
        </w:rPr>
        <w:t>.</w:t>
      </w:r>
      <w:r w:rsidR="00CF495E" w:rsidRPr="006C1161">
        <w:rPr>
          <w:szCs w:val="24"/>
          <w:lang w:val="fr-CA"/>
        </w:rPr>
        <w:t>]</w:t>
      </w:r>
    </w:p>
    <w:p w:rsidR="00F5517F" w:rsidRPr="006C1161" w:rsidRDefault="00F5517F" w:rsidP="00F5517F">
      <w:pPr>
        <w:pStyle w:val="ParaNoNdepar-AltN"/>
        <w:rPr>
          <w:rFonts w:cs="Times New Roman"/>
          <w:lang w:val="fr-CA"/>
        </w:rPr>
      </w:pPr>
      <w:r w:rsidRPr="006C1161">
        <w:rPr>
          <w:rFonts w:cs="Times New Roman"/>
          <w:lang w:val="fr-CA"/>
        </w:rPr>
        <w:t xml:space="preserve">Le 29 mai 2008, la Régie a demandé l’autorisation de se pourvoir devant notre Cour. </w:t>
      </w:r>
    </w:p>
    <w:p w:rsidR="00F5517F" w:rsidRPr="006C1161" w:rsidRDefault="00F5517F" w:rsidP="00F5517F">
      <w:pPr>
        <w:pStyle w:val="ParaNoNdepar-AltN"/>
        <w:rPr>
          <w:rFonts w:cs="Times New Roman"/>
          <w:lang w:val="fr-CA"/>
        </w:rPr>
      </w:pPr>
      <w:r w:rsidRPr="006C1161">
        <w:rPr>
          <w:rFonts w:cs="Times New Roman"/>
          <w:lang w:val="fr-CA"/>
        </w:rPr>
        <w:t>Le jour même où la Cour d’appel rendait son arrêt, le projet de loi n</w:t>
      </w:r>
      <w:r w:rsidRPr="006C1161">
        <w:rPr>
          <w:rFonts w:cs="Times New Roman"/>
          <w:vertAlign w:val="superscript"/>
          <w:lang w:val="fr-CA"/>
        </w:rPr>
        <w:t>o</w:t>
      </w:r>
      <w:r w:rsidRPr="006C1161">
        <w:rPr>
          <w:rFonts w:cs="Times New Roman"/>
          <w:lang w:val="fr-CA"/>
        </w:rPr>
        <w:t xml:space="preserve"> 68 — </w:t>
      </w:r>
      <w:r w:rsidRPr="006C1161">
        <w:rPr>
          <w:rFonts w:cs="Times New Roman"/>
          <w:i/>
          <w:lang w:val="fr-CA"/>
        </w:rPr>
        <w:t>Loi modifiant la Loi sur les régimes complémentaires de retraite, la Loi sur le régime de rentes du Québec et d’autres dispositions législatives</w:t>
      </w:r>
      <w:r w:rsidRPr="006C1161">
        <w:rPr>
          <w:rFonts w:cs="Times New Roman"/>
          <w:lang w:val="fr-CA"/>
        </w:rPr>
        <w:t xml:space="preserve"> (</w:t>
      </w:r>
      <w:r w:rsidRPr="006C1161">
        <w:rPr>
          <w:rFonts w:cs="Times New Roman"/>
          <w:i/>
          <w:lang w:val="fr-CA"/>
        </w:rPr>
        <w:t>Journal des débats</w:t>
      </w:r>
      <w:r w:rsidRPr="006C1161">
        <w:rPr>
          <w:rFonts w:cs="Times New Roman"/>
          <w:lang w:val="fr-CA"/>
        </w:rPr>
        <w:t xml:space="preserve">, vol. 40, </w:t>
      </w:r>
      <w:r w:rsidR="00CF495E">
        <w:rPr>
          <w:rFonts w:cs="Times New Roman"/>
          <w:lang w:val="fr-CA"/>
        </w:rPr>
        <w:t>n</w:t>
      </w:r>
      <w:r w:rsidR="00CF495E" w:rsidRPr="00CF495E">
        <w:rPr>
          <w:rFonts w:cs="Times New Roman"/>
          <w:vertAlign w:val="superscript"/>
          <w:lang w:val="fr-CA"/>
        </w:rPr>
        <w:t>o</w:t>
      </w:r>
      <w:r w:rsidRPr="00CF495E">
        <w:rPr>
          <w:rFonts w:cs="Times New Roman"/>
          <w:vertAlign w:val="superscript"/>
          <w:lang w:val="fr-CA"/>
        </w:rPr>
        <w:t> </w:t>
      </w:r>
      <w:r w:rsidRPr="006C1161">
        <w:rPr>
          <w:rFonts w:cs="Times New Roman"/>
          <w:lang w:val="fr-CA"/>
        </w:rPr>
        <w:t>65, 1</w:t>
      </w:r>
      <w:r w:rsidR="00CF495E" w:rsidRPr="00CF495E">
        <w:rPr>
          <w:rFonts w:cs="Times New Roman"/>
          <w:vertAlign w:val="superscript"/>
          <w:lang w:val="fr-CA"/>
        </w:rPr>
        <w:t>r</w:t>
      </w:r>
      <w:r w:rsidRPr="006C1161">
        <w:rPr>
          <w:rFonts w:cs="Times New Roman"/>
          <w:vertAlign w:val="superscript"/>
          <w:lang w:val="fr-CA"/>
        </w:rPr>
        <w:t>e</w:t>
      </w:r>
      <w:r w:rsidR="00CF495E">
        <w:rPr>
          <w:rFonts w:cs="Times New Roman"/>
          <w:lang w:val="fr-CA"/>
        </w:rPr>
        <w:t xml:space="preserve"> s</w:t>
      </w:r>
      <w:r w:rsidRPr="006C1161">
        <w:rPr>
          <w:rFonts w:cs="Times New Roman"/>
          <w:lang w:val="fr-CA"/>
        </w:rPr>
        <w:t>ess., 38</w:t>
      </w:r>
      <w:r w:rsidRPr="006C1161">
        <w:rPr>
          <w:rFonts w:cs="Times New Roman"/>
          <w:vertAlign w:val="superscript"/>
          <w:lang w:val="fr-CA"/>
        </w:rPr>
        <w:t>e</w:t>
      </w:r>
      <w:r w:rsidR="00CF495E">
        <w:rPr>
          <w:rFonts w:cs="Times New Roman"/>
          <w:lang w:val="fr-CA"/>
        </w:rPr>
        <w:t xml:space="preserve"> l</w:t>
      </w:r>
      <w:r w:rsidRPr="006C1161">
        <w:rPr>
          <w:rFonts w:cs="Times New Roman"/>
          <w:lang w:val="fr-CA"/>
        </w:rPr>
        <w:t>ég., 2 avril 2008) — était présenté à l’Assemblée nationale du Québec.  Lors des débats en commission parlementaire, le ministre de l’Emploi et de la Solidarité sociale, M. Sam Hamad, a clairement indiqué que les modifications législatives étaient proposées par suite de l’arrêt de la Cour d’appel et visaient à protéger les retraités de Multi</w:t>
      </w:r>
      <w:r w:rsidRPr="006C1161">
        <w:rPr>
          <w:rFonts w:cs="Times New Roman"/>
          <w:lang w:val="fr-CA"/>
        </w:rPr>
        <w:noBreakHyphen/>
        <w:t>Marques :</w:t>
      </w:r>
    </w:p>
    <w:p w:rsidR="00F5517F" w:rsidRPr="006C1161" w:rsidRDefault="00F5517F" w:rsidP="00F5517F">
      <w:pPr>
        <w:pStyle w:val="Citation-AltC"/>
        <w:spacing w:after="240"/>
        <w:ind w:hanging="1166"/>
        <w:contextualSpacing w:val="0"/>
        <w:rPr>
          <w:lang w:val="fr-CA"/>
        </w:rPr>
      </w:pPr>
      <w:r w:rsidRPr="006C1161">
        <w:rPr>
          <w:lang w:val="fr-CA" w:eastAsia="fr-CA"/>
        </w:rPr>
        <w:tab/>
        <w:t xml:space="preserve">Alors, </w:t>
      </w:r>
      <w:r w:rsidRPr="006C1161">
        <w:rPr>
          <w:u w:val="single"/>
          <w:lang w:val="fr-CA" w:eastAsia="fr-CA"/>
        </w:rPr>
        <w:t>cet amendement vise à contrer les effets du jugement que la Cour d’appel du Québec a rendu</w:t>
      </w:r>
      <w:r w:rsidRPr="006C1161">
        <w:rPr>
          <w:lang w:val="fr-CA" w:eastAsia="fr-CA"/>
        </w:rPr>
        <w:t xml:space="preserve"> le 2 avril 2008 dans l’affaire </w:t>
      </w:r>
      <w:r w:rsidRPr="006C1161">
        <w:rPr>
          <w:i/>
          <w:lang w:val="fr-CA" w:eastAsia="fr-CA"/>
        </w:rPr>
        <w:t>Multi</w:t>
      </w:r>
      <w:r w:rsidRPr="006C1161">
        <w:rPr>
          <w:i/>
          <w:lang w:val="fr-CA" w:eastAsia="fr-CA"/>
        </w:rPr>
        <w:noBreakHyphen/>
        <w:t>marques Distribution inc. c. Régie des rentes du Québec</w:t>
      </w:r>
      <w:r w:rsidRPr="006C1161">
        <w:rPr>
          <w:lang w:val="fr-CA" w:eastAsia="fr-CA"/>
        </w:rPr>
        <w:t xml:space="preserve">.  [. . .] Avec respect pour la cour, ce jugement repose sur une interprétation de la </w:t>
      </w:r>
      <w:r w:rsidRPr="006C1161">
        <w:rPr>
          <w:i/>
          <w:lang w:val="fr-CA" w:eastAsia="fr-CA"/>
        </w:rPr>
        <w:t>Loi sur les régimes complémentaires de retraite</w:t>
      </w:r>
      <w:r w:rsidRPr="006C1161">
        <w:rPr>
          <w:lang w:val="fr-CA" w:eastAsia="fr-CA"/>
        </w:rPr>
        <w:t xml:space="preserve"> qui va à l’encontre des objectifs qu’elle vise.  [Je souligne.]</w:t>
      </w:r>
      <w:r w:rsidRPr="006C1161">
        <w:rPr>
          <w:lang w:val="fr-CA"/>
        </w:rPr>
        <w:t xml:space="preserve"> </w:t>
      </w:r>
    </w:p>
    <w:p w:rsidR="00F5517F" w:rsidRPr="006C1161" w:rsidRDefault="00F5517F" w:rsidP="00CF495E">
      <w:pPr>
        <w:pStyle w:val="Citation-AltC"/>
        <w:tabs>
          <w:tab w:val="left" w:pos="0"/>
        </w:tabs>
        <w:ind w:left="0"/>
        <w:contextualSpacing w:val="0"/>
        <w:rPr>
          <w:lang w:val="fr-CA"/>
        </w:rPr>
      </w:pPr>
      <w:r w:rsidRPr="006C1161">
        <w:rPr>
          <w:lang w:val="fr-CA"/>
        </w:rPr>
        <w:t xml:space="preserve">(Assemblée nationale, </w:t>
      </w:r>
      <w:r w:rsidRPr="006C1161">
        <w:rPr>
          <w:i/>
          <w:lang w:val="fr-CA"/>
        </w:rPr>
        <w:t>Journal des débats de la Commission des affaires sociales</w:t>
      </w:r>
      <w:r w:rsidRPr="00CF495E">
        <w:rPr>
          <w:lang w:val="fr-CA"/>
        </w:rPr>
        <w:t xml:space="preserve">, </w:t>
      </w:r>
      <w:r w:rsidRPr="006C1161">
        <w:rPr>
          <w:lang w:val="fr-CA"/>
        </w:rPr>
        <w:t xml:space="preserve">vol. 40, </w:t>
      </w:r>
      <w:r w:rsidR="00CF495E">
        <w:rPr>
          <w:lang w:val="fr-CA"/>
        </w:rPr>
        <w:t>n</w:t>
      </w:r>
      <w:r w:rsidR="00CF495E" w:rsidRPr="00CF495E">
        <w:rPr>
          <w:vertAlign w:val="superscript"/>
          <w:lang w:val="fr-CA"/>
        </w:rPr>
        <w:t>o</w:t>
      </w:r>
      <w:r w:rsidR="00CF495E">
        <w:rPr>
          <w:lang w:val="fr-CA"/>
        </w:rPr>
        <w:t xml:space="preserve"> </w:t>
      </w:r>
      <w:r w:rsidRPr="006C1161">
        <w:rPr>
          <w:lang w:val="fr-CA"/>
        </w:rPr>
        <w:t>52, 1</w:t>
      </w:r>
      <w:r w:rsidRPr="006C1161">
        <w:rPr>
          <w:vertAlign w:val="superscript"/>
          <w:lang w:val="fr-CA"/>
        </w:rPr>
        <w:t>re</w:t>
      </w:r>
      <w:r w:rsidR="00CF495E">
        <w:rPr>
          <w:lang w:val="fr-CA"/>
        </w:rPr>
        <w:t xml:space="preserve"> s</w:t>
      </w:r>
      <w:r w:rsidRPr="006C1161">
        <w:rPr>
          <w:lang w:val="fr-CA"/>
        </w:rPr>
        <w:t>ess., 38</w:t>
      </w:r>
      <w:r w:rsidRPr="006C1161">
        <w:rPr>
          <w:vertAlign w:val="superscript"/>
          <w:lang w:val="fr-CA"/>
        </w:rPr>
        <w:t>e</w:t>
      </w:r>
      <w:r w:rsidR="00CF495E">
        <w:rPr>
          <w:lang w:val="fr-CA"/>
        </w:rPr>
        <w:t xml:space="preserve"> l</w:t>
      </w:r>
      <w:r w:rsidRPr="006C1161">
        <w:rPr>
          <w:lang w:val="fr-CA"/>
        </w:rPr>
        <w:t>ég., 3 juin 2008)</w:t>
      </w:r>
    </w:p>
    <w:p w:rsidR="00F5517F" w:rsidRPr="006C1161" w:rsidRDefault="00F5517F" w:rsidP="00F5517F">
      <w:pPr>
        <w:pStyle w:val="ParaNoNdepar-AltN"/>
        <w:rPr>
          <w:rFonts w:cs="Times New Roman"/>
          <w:lang w:val="fr-CA"/>
        </w:rPr>
      </w:pPr>
      <w:r w:rsidRPr="006C1161">
        <w:rPr>
          <w:rFonts w:cs="Times New Roman"/>
          <w:lang w:val="fr-CA"/>
        </w:rPr>
        <w:lastRenderedPageBreak/>
        <w:t xml:space="preserve">Ce projet de loi ajoutait à la </w:t>
      </w:r>
      <w:r w:rsidRPr="006C1161">
        <w:rPr>
          <w:rFonts w:cs="Times New Roman"/>
          <w:i/>
          <w:lang w:val="fr-CA"/>
        </w:rPr>
        <w:t>LRCR</w:t>
      </w:r>
      <w:r w:rsidRPr="006C1161">
        <w:rPr>
          <w:rFonts w:cs="Times New Roman"/>
          <w:lang w:val="fr-CA"/>
        </w:rPr>
        <w:t xml:space="preserve"> les art. 14.1 et 228.1, qui consacraient essentiellement le point de vue de la Régie relativement à l’applica</w:t>
      </w:r>
      <w:r w:rsidR="00BE37F7">
        <w:rPr>
          <w:rFonts w:cs="Times New Roman"/>
          <w:lang w:val="fr-CA"/>
        </w:rPr>
        <w:t>tion des art. 9.12 et 9.13 des R</w:t>
      </w:r>
      <w:r w:rsidRPr="006C1161">
        <w:rPr>
          <w:rFonts w:cs="Times New Roman"/>
          <w:lang w:val="fr-CA"/>
        </w:rPr>
        <w:t xml:space="preserve">ègles et rejetaient l’interprétation de la Cour d’appel.  Ces modifications ont fait en sorte qu’aucune disposition d’un régime de retraite ne peut faire dépendre la valeur de droits accumulés d’un facteur extrinsèque de façon à limiter ou réduire les obligations d’un employeur envers le régime.  En outre, le législateur énonce expressément, à l’art. 319.1, que ces nouveaux articles de la </w:t>
      </w:r>
      <w:r w:rsidRPr="006C1161">
        <w:rPr>
          <w:rFonts w:cs="Times New Roman"/>
          <w:i/>
          <w:lang w:val="fr-CA"/>
        </w:rPr>
        <w:t>LRCR</w:t>
      </w:r>
      <w:r w:rsidRPr="006C1161">
        <w:rPr>
          <w:rFonts w:cs="Times New Roman"/>
          <w:lang w:val="fr-CA"/>
        </w:rPr>
        <w:t xml:space="preserve"> sont de nature déclaratoire. </w:t>
      </w:r>
    </w:p>
    <w:p w:rsidR="00F5517F" w:rsidRPr="006C1161" w:rsidRDefault="00F5517F" w:rsidP="00F5517F">
      <w:pPr>
        <w:pStyle w:val="ParaNoNdepar-AltN"/>
        <w:rPr>
          <w:rFonts w:cs="Times New Roman"/>
          <w:lang w:val="fr-CA"/>
        </w:rPr>
      </w:pPr>
      <w:r w:rsidRPr="006C1161">
        <w:rPr>
          <w:rFonts w:cs="Times New Roman"/>
          <w:lang w:val="fr-CA"/>
        </w:rPr>
        <w:t>L’Assemblée nationale a adopté le projet de loi n</w:t>
      </w:r>
      <w:r w:rsidRPr="006C1161">
        <w:rPr>
          <w:rFonts w:cs="Times New Roman"/>
          <w:vertAlign w:val="superscript"/>
          <w:lang w:val="fr-CA"/>
        </w:rPr>
        <w:t>o</w:t>
      </w:r>
      <w:r w:rsidRPr="006C1161">
        <w:rPr>
          <w:rFonts w:cs="Times New Roman"/>
          <w:lang w:val="fr-CA"/>
        </w:rPr>
        <w:t> 68 le 18 juin 2008 (L.Q. 2008, ch. 21), et notre Cour a rejeté la demande d’autorisation d’appel de la Régie le 16 octobre 2008</w:t>
      </w:r>
      <w:r>
        <w:rPr>
          <w:rFonts w:cs="Times New Roman"/>
          <w:lang w:val="fr-CA"/>
        </w:rPr>
        <w:t> :</w:t>
      </w:r>
      <w:r w:rsidRPr="006C1161">
        <w:rPr>
          <w:rFonts w:cs="Times New Roman"/>
          <w:lang w:val="fr-CA"/>
        </w:rPr>
        <w:t xml:space="preserve"> [2008] 3 R.C.S. ix. </w:t>
      </w:r>
    </w:p>
    <w:p w:rsidR="00F5517F" w:rsidRPr="006C1161" w:rsidRDefault="00F5517F" w:rsidP="00F5517F">
      <w:pPr>
        <w:pStyle w:val="ParaNoNdepar-AltN"/>
        <w:rPr>
          <w:rFonts w:cs="Times New Roman"/>
          <w:lang w:val="fr-CA"/>
        </w:rPr>
      </w:pPr>
      <w:r w:rsidRPr="006C1161">
        <w:rPr>
          <w:rFonts w:cs="Times New Roman"/>
          <w:lang w:val="fr-CA"/>
        </w:rPr>
        <w:t>Par suite de cette décision de notre Cour, la Régie a entrepris la mise en œuvre de l’arrêt de la Cour d’appel du 2 avril 2008 afin de mener à ter</w:t>
      </w:r>
      <w:r w:rsidR="00226EEA">
        <w:rPr>
          <w:rFonts w:cs="Times New Roman"/>
          <w:lang w:val="fr-CA"/>
        </w:rPr>
        <w:t>me la terminaison partielle du R</w:t>
      </w:r>
      <w:r w:rsidRPr="006C1161">
        <w:rPr>
          <w:rFonts w:cs="Times New Roman"/>
          <w:lang w:val="fr-CA"/>
        </w:rPr>
        <w:t xml:space="preserve">égime.  Au mois de novembre 2008, elle a informé les avocats des parties qu’un comité de révision avait été chargé de cette mise en œuvre et les a invités à présenter des observations.  Le 14 août 2009, le comité de révision de la Régie a rendu la décision qui fait l’objet du présent pourvoi.  </w:t>
      </w:r>
    </w:p>
    <w:p w:rsidR="00F5517F" w:rsidRPr="006C1161" w:rsidRDefault="00F5517F" w:rsidP="00F5517F">
      <w:pPr>
        <w:pStyle w:val="ParaNoNdepar-AltN"/>
        <w:rPr>
          <w:rFonts w:cs="Times New Roman"/>
          <w:lang w:val="fr-CA"/>
        </w:rPr>
      </w:pPr>
      <w:r w:rsidRPr="006C1161">
        <w:rPr>
          <w:rFonts w:cs="Times New Roman"/>
          <w:lang w:val="fr-CA"/>
        </w:rPr>
        <w:t>Au lieu de suivre l’interprétation de la Cour d’appel, selon laquelle il fallait prendre en compte les art</w:t>
      </w:r>
      <w:r w:rsidR="00226EEA">
        <w:rPr>
          <w:rFonts w:cs="Times New Roman"/>
          <w:lang w:val="fr-CA"/>
        </w:rPr>
        <w:t>.</w:t>
      </w:r>
      <w:r w:rsidRPr="006C1161">
        <w:rPr>
          <w:rFonts w:cs="Times New Roman"/>
          <w:lang w:val="fr-CA"/>
        </w:rPr>
        <w:t> 9.12 et 9.1</w:t>
      </w:r>
      <w:r w:rsidR="00226EEA">
        <w:rPr>
          <w:rFonts w:cs="Times New Roman"/>
          <w:lang w:val="fr-CA"/>
        </w:rPr>
        <w:t>3 des R</w:t>
      </w:r>
      <w:r w:rsidRPr="006C1161">
        <w:rPr>
          <w:rFonts w:cs="Times New Roman"/>
          <w:lang w:val="fr-CA"/>
        </w:rPr>
        <w:t>ègles pour établir les obligations de Multi</w:t>
      </w:r>
      <w:r w:rsidRPr="006C1161">
        <w:rPr>
          <w:rFonts w:cs="Times New Roman"/>
          <w:lang w:val="fr-CA"/>
        </w:rPr>
        <w:noBreakHyphen/>
        <w:t xml:space="preserve">Marques résultant de la terminaison partielle, la Régie a appliqué les nouvelles dispositions de la </w:t>
      </w:r>
      <w:r w:rsidRPr="006C1161">
        <w:rPr>
          <w:rFonts w:cs="Times New Roman"/>
          <w:i/>
          <w:lang w:val="fr-CA"/>
        </w:rPr>
        <w:t>LRCR</w:t>
      </w:r>
      <w:r w:rsidRPr="006C1161">
        <w:rPr>
          <w:rFonts w:cs="Times New Roman"/>
          <w:lang w:val="fr-CA"/>
        </w:rPr>
        <w:t>.  Elle a donc refusé de</w:t>
      </w:r>
      <w:r w:rsidR="00226EEA">
        <w:rPr>
          <w:rFonts w:cs="Times New Roman"/>
          <w:lang w:val="fr-CA"/>
        </w:rPr>
        <w:t xml:space="preserve"> donner effet aux articles des </w:t>
      </w:r>
      <w:r w:rsidR="00226EEA">
        <w:rPr>
          <w:rFonts w:cs="Times New Roman"/>
          <w:lang w:val="fr-CA"/>
        </w:rPr>
        <w:lastRenderedPageBreak/>
        <w:t>R</w:t>
      </w:r>
      <w:r w:rsidRPr="006C1161">
        <w:rPr>
          <w:rFonts w:cs="Times New Roman"/>
          <w:lang w:val="fr-CA"/>
        </w:rPr>
        <w:t>ègles qui permettaient de réduire les droits payables aux partic</w:t>
      </w:r>
      <w:r w:rsidR="008C1FC8">
        <w:rPr>
          <w:rFonts w:cs="Times New Roman"/>
          <w:lang w:val="fr-CA"/>
        </w:rPr>
        <w:t>ipants et aux bénéficiaires du R</w:t>
      </w:r>
      <w:r w:rsidRPr="006C1161">
        <w:rPr>
          <w:rFonts w:cs="Times New Roman"/>
          <w:lang w:val="fr-CA"/>
        </w:rPr>
        <w:t xml:space="preserve">égime, et elle a confirmé ses décisions initiales du 16 mai 2002.  </w:t>
      </w:r>
      <w:r>
        <w:rPr>
          <w:rFonts w:cs="Times New Roman"/>
          <w:lang w:val="fr-CA"/>
        </w:rPr>
        <w:t xml:space="preserve">Sean Kelly, Canada Bread Company </w:t>
      </w:r>
      <w:r w:rsidR="00912332">
        <w:rPr>
          <w:rFonts w:cs="Times New Roman"/>
          <w:lang w:val="fr-CA"/>
        </w:rPr>
        <w:t>Ltd. et</w:t>
      </w:r>
      <w:r>
        <w:rPr>
          <w:rFonts w:cs="Times New Roman"/>
          <w:lang w:val="fr-CA"/>
        </w:rPr>
        <w:t xml:space="preserve"> Multi</w:t>
      </w:r>
      <w:r>
        <w:rPr>
          <w:rFonts w:cs="Times New Roman"/>
          <w:lang w:val="fr-CA"/>
        </w:rPr>
        <w:noBreakHyphen/>
        <w:t>Marques ont</w:t>
      </w:r>
      <w:r w:rsidRPr="006C1161">
        <w:rPr>
          <w:rFonts w:cs="Times New Roman"/>
          <w:lang w:val="fr-CA"/>
        </w:rPr>
        <w:t xml:space="preserve"> contesté la décision de la Régie devant le TAQ.  </w:t>
      </w:r>
    </w:p>
    <w:bookmarkEnd w:id="0"/>
    <w:bookmarkEnd w:id="1"/>
    <w:p w:rsidR="00F5517F" w:rsidRPr="006C1161" w:rsidRDefault="00F5517F" w:rsidP="00F5517F">
      <w:pPr>
        <w:pStyle w:val="TitleTitre-AltT"/>
        <w:keepLines/>
        <w:tabs>
          <w:tab w:val="clear" w:pos="360"/>
        </w:tabs>
        <w:ind w:left="450" w:hanging="450"/>
        <w:rPr>
          <w:rFonts w:cs="Times New Roman"/>
          <w:u w:val="single"/>
          <w:lang w:val="fr-CA"/>
        </w:rPr>
      </w:pPr>
      <w:r w:rsidRPr="006C1161">
        <w:rPr>
          <w:rFonts w:cs="Times New Roman"/>
          <w:lang w:val="fr-CA"/>
        </w:rPr>
        <w:t>III.</w:t>
      </w:r>
      <w:r w:rsidRPr="006C1161">
        <w:rPr>
          <w:rFonts w:cs="Times New Roman"/>
          <w:lang w:val="fr-CA"/>
        </w:rPr>
        <w:tab/>
      </w:r>
      <w:r w:rsidRPr="006C1161">
        <w:rPr>
          <w:rFonts w:cs="Times New Roman"/>
          <w:u w:val="single"/>
          <w:lang w:val="fr-CA"/>
        </w:rPr>
        <w:t>Historique judiciaire</w:t>
      </w:r>
    </w:p>
    <w:p w:rsidR="00F5517F" w:rsidRPr="006C1161" w:rsidRDefault="00F5517F" w:rsidP="00F5517F">
      <w:pPr>
        <w:pStyle w:val="TitleTitre-AltT"/>
        <w:keepLines/>
        <w:tabs>
          <w:tab w:val="clear" w:pos="360"/>
        </w:tabs>
        <w:ind w:left="450" w:hanging="450"/>
        <w:rPr>
          <w:rFonts w:cs="Times New Roman"/>
          <w:i/>
          <w:u w:val="single"/>
          <w:lang w:val="fr-CA"/>
        </w:rPr>
      </w:pPr>
      <w:bookmarkStart w:id="2" w:name="_Toc353812960"/>
      <w:r w:rsidRPr="006C1161">
        <w:rPr>
          <w:rFonts w:cs="Times New Roman"/>
          <w:lang w:val="fr-CA"/>
        </w:rPr>
        <w:t>A.</w:t>
      </w:r>
      <w:r w:rsidRPr="006C1161">
        <w:rPr>
          <w:rFonts w:cs="Times New Roman"/>
          <w:lang w:val="fr-CA"/>
        </w:rPr>
        <w:tab/>
      </w:r>
      <w:r w:rsidRPr="006C1161">
        <w:rPr>
          <w:rFonts w:cs="Times New Roman"/>
          <w:i/>
          <w:lang w:val="fr-CA"/>
        </w:rPr>
        <w:t xml:space="preserve">Tribunal administratif du Québec, 2010 QCTAQ 04423, [2010] R.J.D.T. </w:t>
      </w:r>
      <w:r w:rsidRPr="005C3088">
        <w:rPr>
          <w:rFonts w:cs="Times New Roman"/>
          <w:i/>
          <w:lang w:val="fr-CA"/>
        </w:rPr>
        <w:t xml:space="preserve">796 </w:t>
      </w:r>
      <w:r w:rsidRPr="005C3088">
        <w:rPr>
          <w:rStyle w:val="SCCLowerCourtJudge"/>
          <w:rFonts w:cs="Times New Roman"/>
          <w:i/>
          <w:lang w:val="fr-CA"/>
        </w:rPr>
        <w:t xml:space="preserve">(les juges </w:t>
      </w:r>
      <w:r w:rsidRPr="006C1161">
        <w:rPr>
          <w:rFonts w:cs="Times New Roman"/>
          <w:i/>
          <w:lang w:val="fr-CA"/>
        </w:rPr>
        <w:t>Cormier et Lévesque)</w:t>
      </w:r>
      <w:bookmarkEnd w:id="2"/>
    </w:p>
    <w:p w:rsidR="00F5517F" w:rsidRPr="006C1161" w:rsidRDefault="00F5517F" w:rsidP="00F5517F">
      <w:pPr>
        <w:pStyle w:val="ParaNoNdepar-AltN"/>
        <w:widowControl w:val="0"/>
        <w:rPr>
          <w:rFonts w:cs="Times New Roman"/>
          <w:lang w:val="fr-CA"/>
        </w:rPr>
      </w:pPr>
      <w:r w:rsidRPr="006C1161">
        <w:rPr>
          <w:rFonts w:cs="Times New Roman"/>
          <w:lang w:val="fr-CA"/>
        </w:rPr>
        <w:t>Dans sa décision, le TAQ a examiné trois questions</w:t>
      </w:r>
      <w:r w:rsidR="005C3088">
        <w:rPr>
          <w:rFonts w:cs="Times New Roman"/>
          <w:lang w:val="fr-CA"/>
        </w:rPr>
        <w:t> :</w:t>
      </w:r>
      <w:r w:rsidR="00A770FF">
        <w:rPr>
          <w:rFonts w:cs="Times New Roman"/>
          <w:lang w:val="fr-CA"/>
        </w:rPr>
        <w:t xml:space="preserve"> (1) L</w:t>
      </w:r>
      <w:r w:rsidRPr="006C1161">
        <w:rPr>
          <w:rFonts w:cs="Times New Roman"/>
          <w:lang w:val="fr-CA"/>
        </w:rPr>
        <w:t>a Régie a</w:t>
      </w:r>
      <w:r w:rsidRPr="006C1161">
        <w:rPr>
          <w:rFonts w:cs="Times New Roman"/>
          <w:lang w:val="fr-CA"/>
        </w:rPr>
        <w:noBreakHyphen/>
        <w:t>t</w:t>
      </w:r>
      <w:r w:rsidRPr="006C1161">
        <w:rPr>
          <w:rFonts w:cs="Times New Roman"/>
          <w:lang w:val="fr-CA"/>
        </w:rPr>
        <w:noBreakHyphen/>
        <w:t>elle commis une erreur de droit en constituant un comité chargé de revoir s</w:t>
      </w:r>
      <w:r>
        <w:rPr>
          <w:rFonts w:cs="Times New Roman"/>
          <w:lang w:val="fr-CA"/>
        </w:rPr>
        <w:t>es</w:t>
      </w:r>
      <w:r w:rsidRPr="006C1161">
        <w:rPr>
          <w:rFonts w:cs="Times New Roman"/>
          <w:lang w:val="fr-CA"/>
        </w:rPr>
        <w:t xml:space="preserve"> décision</w:t>
      </w:r>
      <w:r>
        <w:rPr>
          <w:rFonts w:cs="Times New Roman"/>
          <w:lang w:val="fr-CA"/>
        </w:rPr>
        <w:t>s initiales</w:t>
      </w:r>
      <w:r w:rsidRPr="006C1161">
        <w:rPr>
          <w:rFonts w:cs="Times New Roman"/>
          <w:lang w:val="fr-CA"/>
        </w:rPr>
        <w:t xml:space="preserve">? </w:t>
      </w:r>
      <w:r>
        <w:rPr>
          <w:rFonts w:cs="Times New Roman"/>
          <w:lang w:val="fr-CA"/>
        </w:rPr>
        <w:t xml:space="preserve"> </w:t>
      </w:r>
      <w:r w:rsidRPr="006C1161">
        <w:rPr>
          <w:rFonts w:cs="Times New Roman"/>
          <w:lang w:val="fr-CA"/>
        </w:rPr>
        <w:t>(2) Le comité de révision a</w:t>
      </w:r>
      <w:r w:rsidRPr="006C1161">
        <w:rPr>
          <w:rFonts w:cs="Times New Roman"/>
          <w:lang w:val="fr-CA"/>
        </w:rPr>
        <w:noBreakHyphen/>
        <w:t>t</w:t>
      </w:r>
      <w:r w:rsidRPr="006C1161">
        <w:rPr>
          <w:rFonts w:cs="Times New Roman"/>
          <w:lang w:val="fr-CA"/>
        </w:rPr>
        <w:noBreakHyphen/>
        <w:t xml:space="preserve">il contrevenu aux règles de justice naturelle en ne donnant pas de préavis de sa décision et en n’informant pas les parties qu’il envisageait d’appliquer les modifications apportées à la </w:t>
      </w:r>
      <w:r w:rsidRPr="006C1161">
        <w:rPr>
          <w:rFonts w:cs="Times New Roman"/>
          <w:i/>
          <w:lang w:val="fr-CA"/>
        </w:rPr>
        <w:t>LRCR</w:t>
      </w:r>
      <w:r w:rsidRPr="006C1161">
        <w:rPr>
          <w:rFonts w:cs="Times New Roman"/>
          <w:lang w:val="fr-CA"/>
        </w:rPr>
        <w:t xml:space="preserve"> postérieurement à l’arrêt de la Cour d’appel?</w:t>
      </w:r>
      <w:r>
        <w:rPr>
          <w:rFonts w:cs="Times New Roman"/>
          <w:lang w:val="fr-CA"/>
        </w:rPr>
        <w:t xml:space="preserve"> </w:t>
      </w:r>
      <w:r w:rsidRPr="006C1161">
        <w:rPr>
          <w:rFonts w:cs="Times New Roman"/>
          <w:lang w:val="fr-CA"/>
        </w:rPr>
        <w:t xml:space="preserve"> (3) En l’espèce, le comité de révision a</w:t>
      </w:r>
      <w:r w:rsidRPr="006C1161">
        <w:rPr>
          <w:rFonts w:cs="Times New Roman"/>
          <w:lang w:val="fr-CA"/>
        </w:rPr>
        <w:noBreakHyphen/>
        <w:t>t</w:t>
      </w:r>
      <w:r w:rsidRPr="006C1161">
        <w:rPr>
          <w:rFonts w:cs="Times New Roman"/>
          <w:lang w:val="fr-CA"/>
        </w:rPr>
        <w:noBreakHyphen/>
        <w:t xml:space="preserve">il appliqué à tort les dispositions déclaratoires de la </w:t>
      </w:r>
      <w:r w:rsidRPr="006C1161">
        <w:rPr>
          <w:rFonts w:cs="Times New Roman"/>
          <w:i/>
          <w:lang w:val="fr-CA"/>
        </w:rPr>
        <w:t>LRCR</w:t>
      </w:r>
      <w:r w:rsidRPr="006C1161">
        <w:rPr>
          <w:rFonts w:cs="Times New Roman"/>
          <w:lang w:val="fr-CA"/>
        </w:rPr>
        <w:t>?  Seule la troisième question demeure pertinente pour le présent pourvoi.</w:t>
      </w:r>
    </w:p>
    <w:p w:rsidR="00F5517F" w:rsidRPr="006C1161" w:rsidRDefault="00F5517F" w:rsidP="00F5517F">
      <w:pPr>
        <w:pStyle w:val="ParaNoNdepar-AltN"/>
        <w:rPr>
          <w:rFonts w:cs="Times New Roman"/>
          <w:lang w:val="fr-CA"/>
        </w:rPr>
      </w:pPr>
      <w:r w:rsidRPr="006C1161">
        <w:rPr>
          <w:rFonts w:cs="Times New Roman"/>
          <w:lang w:val="fr-CA"/>
        </w:rPr>
        <w:t xml:space="preserve">À l’issue de l’examen de cette question, le TAQ a confirmé la position de la Régie.  Il lui a donné raison d’avoir appliqué les dispositions déclaratoires, puisque l’affaire était encore pendante lors de l’entrée en vigueur de ces dispositions le 20 juin 2008. </w:t>
      </w:r>
    </w:p>
    <w:p w:rsidR="00F5517F" w:rsidRPr="006C1161" w:rsidRDefault="00F5517F" w:rsidP="00F5517F">
      <w:pPr>
        <w:pStyle w:val="TitleTitre-AltT"/>
        <w:keepLines/>
        <w:tabs>
          <w:tab w:val="clear" w:pos="360"/>
        </w:tabs>
        <w:ind w:left="450" w:hanging="450"/>
        <w:rPr>
          <w:rFonts w:cs="Times New Roman"/>
          <w:i/>
          <w:lang w:val="fr-CA"/>
        </w:rPr>
      </w:pPr>
      <w:bookmarkStart w:id="3" w:name="_Toc353812964"/>
      <w:r w:rsidRPr="006C1161">
        <w:rPr>
          <w:rFonts w:cs="Times New Roman"/>
          <w:lang w:val="fr-CA"/>
        </w:rPr>
        <w:lastRenderedPageBreak/>
        <w:t>B.</w:t>
      </w:r>
      <w:r w:rsidRPr="006C1161">
        <w:rPr>
          <w:rFonts w:cs="Times New Roman"/>
          <w:lang w:val="fr-CA"/>
        </w:rPr>
        <w:tab/>
      </w:r>
      <w:r w:rsidRPr="005C3088">
        <w:rPr>
          <w:rFonts w:cs="Times New Roman"/>
          <w:i/>
          <w:lang w:val="fr-CA"/>
        </w:rPr>
        <w:t xml:space="preserve">Cour supérieure du Québec, 2010 QCCS 6104, [2011] R.J.Q. 122 </w:t>
      </w:r>
      <w:r w:rsidRPr="005C3088">
        <w:rPr>
          <w:rStyle w:val="SCCLowerCourtJudge"/>
          <w:rFonts w:eastAsiaTheme="minorEastAsia" w:cs="Times New Roman"/>
          <w:i/>
          <w:lang w:val="fr-CA"/>
        </w:rPr>
        <w:t xml:space="preserve">(la juge </w:t>
      </w:r>
      <w:r w:rsidRPr="005C3088">
        <w:rPr>
          <w:rFonts w:cs="Times New Roman"/>
          <w:i/>
          <w:lang w:val="fr-CA"/>
        </w:rPr>
        <w:t>Grenier)</w:t>
      </w:r>
      <w:bookmarkEnd w:id="3"/>
    </w:p>
    <w:p w:rsidR="00F5517F" w:rsidRPr="006C1161" w:rsidRDefault="00F5517F" w:rsidP="00F5517F">
      <w:pPr>
        <w:pStyle w:val="ParaNoNdepar-AltN"/>
        <w:rPr>
          <w:rFonts w:cs="Times New Roman"/>
          <w:lang w:val="fr-CA"/>
        </w:rPr>
      </w:pPr>
      <w:r w:rsidRPr="006C1161">
        <w:rPr>
          <w:rFonts w:cs="Times New Roman"/>
          <w:lang w:val="fr-CA"/>
        </w:rPr>
        <w:t xml:space="preserve">Les employeurs et le représentant des fiduciaires ont demandé à la Cour supérieure du Québec la révision judiciaire de la décision du TAQ.  La Cour supérieure a accueilli leur requête. </w:t>
      </w:r>
    </w:p>
    <w:p w:rsidR="00F5517F" w:rsidRPr="006C1161" w:rsidRDefault="00F5517F" w:rsidP="00F5517F">
      <w:pPr>
        <w:pStyle w:val="ParaNoNdepar-AltN"/>
        <w:rPr>
          <w:rFonts w:cs="Times New Roman"/>
          <w:lang w:val="fr-CA"/>
        </w:rPr>
      </w:pPr>
      <w:r w:rsidRPr="006C1161">
        <w:rPr>
          <w:rFonts w:cs="Times New Roman"/>
          <w:lang w:val="fr-CA"/>
        </w:rPr>
        <w:t xml:space="preserve">Après avoir décidé que la norme de contrôle applicable était celle de la décision correcte, la juge a indiqué qu’il fallait déterminer si la Régie avait le pouvoir de rendre la décision qu’elle avait rendue compte tenu de l’arrêt de la Cour d’appel.  Elle a jugé que, dans le contexte particulier de l’affaire, le TAQ avait conclu à tort que la Régie pouvait appliquer les dispositions déclaratoires.  Elle a expliqué que l’affaire ne pouvait avoir été « pendante » au mois de juin 2008 et que, lorsque la Régie a rendu sa nouvelle décision en 2009, l’arrêt de la Cour d’appel avait acquis l’autorité de la chose jugée, de sorte que les dispositions déclaratoires de la </w:t>
      </w:r>
      <w:r w:rsidRPr="006C1161">
        <w:rPr>
          <w:rFonts w:cs="Times New Roman"/>
          <w:i/>
          <w:lang w:val="fr-CA"/>
        </w:rPr>
        <w:t>LRCR</w:t>
      </w:r>
      <w:r w:rsidRPr="006C1161">
        <w:rPr>
          <w:rFonts w:cs="Times New Roman"/>
          <w:lang w:val="fr-CA"/>
        </w:rPr>
        <w:t xml:space="preserve"> ne pouvaient s’appliquer au litige opposant les parties.  Les ordonnances de la Régie relatives aux calculs actuariels à effectuer par suite de la terminaison devaient donc prendre en co</w:t>
      </w:r>
      <w:r w:rsidR="00A770FF">
        <w:rPr>
          <w:rFonts w:cs="Times New Roman"/>
          <w:lang w:val="fr-CA"/>
        </w:rPr>
        <w:t>mpte les art. 9.12 et 9.13 des R</w:t>
      </w:r>
      <w:r w:rsidRPr="006C1161">
        <w:rPr>
          <w:rFonts w:cs="Times New Roman"/>
          <w:lang w:val="fr-CA"/>
        </w:rPr>
        <w:t xml:space="preserve">ègles. </w:t>
      </w:r>
    </w:p>
    <w:p w:rsidR="00F5517F" w:rsidRPr="006C1161" w:rsidRDefault="00F5517F" w:rsidP="00F5517F">
      <w:pPr>
        <w:pStyle w:val="TitleTitre-AltT"/>
        <w:keepLines/>
        <w:tabs>
          <w:tab w:val="clear" w:pos="360"/>
        </w:tabs>
        <w:ind w:left="450" w:hanging="450"/>
        <w:rPr>
          <w:rFonts w:cs="Times New Roman"/>
          <w:i/>
          <w:lang w:val="fr-CA"/>
        </w:rPr>
      </w:pPr>
      <w:bookmarkStart w:id="4" w:name="_Toc353812965"/>
      <w:r w:rsidRPr="006C1161">
        <w:rPr>
          <w:rFonts w:cs="Times New Roman"/>
          <w:lang w:val="fr-CA"/>
        </w:rPr>
        <w:t>C.</w:t>
      </w:r>
      <w:r w:rsidRPr="006C1161">
        <w:rPr>
          <w:rFonts w:cs="Times New Roman"/>
          <w:lang w:val="fr-CA"/>
        </w:rPr>
        <w:tab/>
      </w:r>
      <w:r w:rsidRPr="006C1161">
        <w:rPr>
          <w:rFonts w:cs="Times New Roman"/>
          <w:i/>
          <w:lang w:val="fr-CA"/>
        </w:rPr>
        <w:t>Cour d’appel du Québec, 2011 QCCA 1518, [2011] R.J.Q. 1540 (les juges Thibault, Rochette et Kasirer)</w:t>
      </w:r>
      <w:bookmarkEnd w:id="4"/>
    </w:p>
    <w:p w:rsidR="00F5517F" w:rsidRPr="006C1161" w:rsidRDefault="00F5517F" w:rsidP="00F5517F">
      <w:pPr>
        <w:pStyle w:val="ParaNoNdepar-AltN"/>
        <w:rPr>
          <w:rFonts w:cs="Times New Roman"/>
          <w:lang w:val="fr-CA"/>
        </w:rPr>
      </w:pPr>
      <w:r w:rsidRPr="006C1161">
        <w:rPr>
          <w:rFonts w:cs="Times New Roman"/>
          <w:lang w:val="fr-CA"/>
        </w:rPr>
        <w:t xml:space="preserve">La Cour d’appel a elle aussi jugé que la Régie avait appliqué à tort les dispositions déclaratoires.  S’exprimant au nom de la cour, la juge Thibault a souligné qu’au moment où la demande d’autorisation d’appel était pendante devant notre Cour, </w:t>
      </w:r>
      <w:r w:rsidRPr="006C1161">
        <w:rPr>
          <w:rFonts w:cs="Times New Roman"/>
          <w:lang w:val="fr-CA"/>
        </w:rPr>
        <w:lastRenderedPageBreak/>
        <w:t xml:space="preserve">l’arrêt de la Cour d’appel n’avait pas encore l’autorité de la chose jugée.  Toutefois, seule notre Cour aurait pu appliquer les dispositions déclaratoires si elle avait décidé d’entendre le pourvoi.  L’arrêt de la Cour d’appel est passé en force de chose jugée lorsque notre Cour a rejeté la demande d’autorisation d’appel, et la Régie aurait dû s’y conformer.  La Cour d’appel a jugé que, bien que la Régie dispose du pouvoir de réviser ses décisions, en vertu de l’art. 26 de la </w:t>
      </w:r>
      <w:r w:rsidRPr="006C1161">
        <w:rPr>
          <w:rFonts w:cs="Times New Roman"/>
          <w:i/>
          <w:lang w:val="fr-CA"/>
        </w:rPr>
        <w:t>Loi sur le régime de rentes du Québec</w:t>
      </w:r>
      <w:r w:rsidRPr="006C1161">
        <w:rPr>
          <w:rFonts w:cs="Times New Roman"/>
          <w:lang w:val="fr-CA"/>
        </w:rPr>
        <w:t>, L.R.Q., ch. R</w:t>
      </w:r>
      <w:r w:rsidRPr="006C1161">
        <w:rPr>
          <w:rFonts w:cs="Times New Roman"/>
          <w:lang w:val="fr-CA"/>
        </w:rPr>
        <w:noBreakHyphen/>
        <w:t xml:space="preserve">9, elle n’est pas habilitée pour autant à passer outre à un jugement définitif de la Cour d’appel. </w:t>
      </w:r>
    </w:p>
    <w:p w:rsidR="00F5517F" w:rsidRPr="006C1161" w:rsidRDefault="00F5517F" w:rsidP="00F5517F">
      <w:pPr>
        <w:pStyle w:val="TitleTitre-AltT"/>
        <w:keepLines/>
        <w:tabs>
          <w:tab w:val="clear" w:pos="360"/>
        </w:tabs>
        <w:ind w:left="450" w:hanging="450"/>
        <w:rPr>
          <w:rFonts w:cs="Times New Roman"/>
          <w:u w:val="single"/>
          <w:lang w:val="fr-CA"/>
        </w:rPr>
      </w:pPr>
      <w:r w:rsidRPr="006C1161">
        <w:rPr>
          <w:rFonts w:cs="Times New Roman"/>
          <w:lang w:val="fr-CA"/>
        </w:rPr>
        <w:t>IV.</w:t>
      </w:r>
      <w:r w:rsidRPr="006C1161">
        <w:rPr>
          <w:rFonts w:cs="Times New Roman"/>
          <w:lang w:val="fr-CA"/>
        </w:rPr>
        <w:tab/>
      </w:r>
      <w:r w:rsidR="001913DF">
        <w:rPr>
          <w:rFonts w:cs="Times New Roman"/>
          <w:u w:val="single"/>
          <w:lang w:val="fr-CA"/>
        </w:rPr>
        <w:t>Q</w:t>
      </w:r>
      <w:r w:rsidRPr="006C1161">
        <w:rPr>
          <w:rFonts w:cs="Times New Roman"/>
          <w:u w:val="single"/>
          <w:lang w:val="fr-CA"/>
        </w:rPr>
        <w:t>uestions en litige</w:t>
      </w:r>
    </w:p>
    <w:p w:rsidR="00F5517F" w:rsidRPr="006C1161" w:rsidRDefault="00F5517F" w:rsidP="00F5517F">
      <w:pPr>
        <w:pStyle w:val="ParaNoNdepar-AltN"/>
        <w:spacing w:before="0"/>
        <w:rPr>
          <w:rFonts w:cs="Times New Roman"/>
          <w:lang w:val="fr-CA"/>
        </w:rPr>
      </w:pPr>
      <w:r w:rsidRPr="006C1161">
        <w:rPr>
          <w:rFonts w:cs="Times New Roman"/>
          <w:lang w:val="fr-CA"/>
        </w:rPr>
        <w:t>Le pourvoi soulève les questions suivantes :</w:t>
      </w:r>
    </w:p>
    <w:p w:rsidR="00F5517F" w:rsidRPr="006C1161" w:rsidRDefault="00F5517F" w:rsidP="001913DF">
      <w:pPr>
        <w:pStyle w:val="Citation-AltC"/>
        <w:tabs>
          <w:tab w:val="left" w:pos="1530"/>
        </w:tabs>
        <w:spacing w:before="480" w:after="480" w:line="480" w:lineRule="auto"/>
        <w:ind w:left="720" w:hanging="720"/>
        <w:contextualSpacing w:val="0"/>
        <w:rPr>
          <w:lang w:val="fr-CA"/>
        </w:rPr>
      </w:pPr>
      <w:r w:rsidRPr="006C1161">
        <w:rPr>
          <w:lang w:val="fr-CA"/>
        </w:rPr>
        <w:t>1.</w:t>
      </w:r>
      <w:r w:rsidRPr="006C1161">
        <w:rPr>
          <w:lang w:val="fr-CA"/>
        </w:rPr>
        <w:tab/>
        <w:t>Quel est l’effet d’une loi déclaratoire?</w:t>
      </w:r>
    </w:p>
    <w:p w:rsidR="00F5517F" w:rsidRPr="006C1161" w:rsidRDefault="00F5517F" w:rsidP="001913DF">
      <w:pPr>
        <w:pStyle w:val="Citation-AltC"/>
        <w:tabs>
          <w:tab w:val="left" w:pos="1530"/>
        </w:tabs>
        <w:spacing w:before="480" w:after="480" w:line="480" w:lineRule="auto"/>
        <w:ind w:left="720" w:hanging="720"/>
        <w:contextualSpacing w:val="0"/>
        <w:rPr>
          <w:lang w:val="fr-CA"/>
        </w:rPr>
      </w:pPr>
      <w:r w:rsidRPr="006C1161">
        <w:rPr>
          <w:lang w:val="fr-CA"/>
        </w:rPr>
        <w:t>2.</w:t>
      </w:r>
      <w:r w:rsidRPr="006C1161">
        <w:rPr>
          <w:lang w:val="fr-CA"/>
        </w:rPr>
        <w:tab/>
        <w:t>La Régie a</w:t>
      </w:r>
      <w:r w:rsidRPr="006C1161">
        <w:rPr>
          <w:lang w:val="fr-CA"/>
        </w:rPr>
        <w:noBreakHyphen/>
        <w:t>t</w:t>
      </w:r>
      <w:r w:rsidRPr="006C1161">
        <w:rPr>
          <w:lang w:val="fr-CA"/>
        </w:rPr>
        <w:noBreakHyphen/>
        <w:t xml:space="preserve">elle commis une erreur en appliquant la loi déclaratoire pour statuer sur les droits et obligations des parties? </w:t>
      </w:r>
    </w:p>
    <w:p w:rsidR="00F5517F" w:rsidRPr="006C1161" w:rsidRDefault="00F5517F" w:rsidP="00F5517F">
      <w:pPr>
        <w:pStyle w:val="TitleTitre-AltT"/>
        <w:keepLines/>
        <w:tabs>
          <w:tab w:val="clear" w:pos="360"/>
        </w:tabs>
        <w:ind w:left="450" w:hanging="450"/>
        <w:rPr>
          <w:rFonts w:cs="Times New Roman"/>
          <w:lang w:val="fr-CA"/>
        </w:rPr>
      </w:pPr>
      <w:r w:rsidRPr="006C1161">
        <w:rPr>
          <w:rFonts w:cs="Times New Roman"/>
          <w:lang w:val="fr-CA"/>
        </w:rPr>
        <w:t>V.</w:t>
      </w:r>
      <w:r w:rsidRPr="006C1161">
        <w:rPr>
          <w:rFonts w:cs="Times New Roman"/>
          <w:lang w:val="fr-CA"/>
        </w:rPr>
        <w:tab/>
      </w:r>
      <w:r w:rsidRPr="006C1161">
        <w:rPr>
          <w:rFonts w:cs="Times New Roman"/>
          <w:u w:val="single"/>
          <w:lang w:val="fr-CA"/>
        </w:rPr>
        <w:t>Analyse</w:t>
      </w:r>
    </w:p>
    <w:p w:rsidR="00F5517F" w:rsidRPr="006C1161" w:rsidRDefault="00F5517F" w:rsidP="00F5517F">
      <w:pPr>
        <w:pStyle w:val="ParaNoNdepar-AltN"/>
        <w:rPr>
          <w:rFonts w:cs="Times New Roman"/>
          <w:lang w:val="fr-CA"/>
        </w:rPr>
      </w:pPr>
      <w:r w:rsidRPr="006C1161">
        <w:rPr>
          <w:rFonts w:cs="Times New Roman"/>
          <w:lang w:val="fr-CA"/>
        </w:rPr>
        <w:t xml:space="preserve">Le principe de la chose jugée empêche les parties de soumettre à nouveau aux tribunaux une question qui a fait l’objet d’un jugement définitif à leur égard : </w:t>
      </w:r>
      <w:r w:rsidRPr="006C1161">
        <w:rPr>
          <w:rFonts w:cs="Times New Roman"/>
          <w:i/>
          <w:lang w:val="fr-CA"/>
        </w:rPr>
        <w:t>Danyluk c. Ainsworth Technologies Inc.</w:t>
      </w:r>
      <w:r w:rsidRPr="006C1161">
        <w:rPr>
          <w:rFonts w:cs="Times New Roman"/>
          <w:lang w:val="fr-CA"/>
        </w:rPr>
        <w:t>,</w:t>
      </w:r>
      <w:r w:rsidRPr="006C1161">
        <w:rPr>
          <w:rFonts w:cs="Times New Roman"/>
          <w:i/>
          <w:lang w:val="fr-CA"/>
        </w:rPr>
        <w:t xml:space="preserve"> </w:t>
      </w:r>
      <w:r w:rsidRPr="006C1161">
        <w:rPr>
          <w:rFonts w:cs="Times New Roman"/>
          <w:lang w:val="fr-CA"/>
        </w:rPr>
        <w:t xml:space="preserve">2001 CSC 44, [2001] 2 R.C.S. 460, par. 18.  Cela ne signifie pas pour autant que le législateur ne peut pas intervenir pour annuler </w:t>
      </w:r>
      <w:r w:rsidRPr="006C1161">
        <w:rPr>
          <w:rFonts w:cs="Times New Roman"/>
          <w:lang w:val="fr-CA"/>
        </w:rPr>
        <w:lastRenderedPageBreak/>
        <w:t xml:space="preserve">les effets d’un tel jugement.  En l’espèce, il est évident que le législateur entendait non seulement priver le jugement de la Cour d’appel de sa valeur de précédent, mais il voulait également annuler son autorité de chose jugée entre les parties.  J’estime qu’il a atteint ces deux objectifs. </w:t>
      </w:r>
    </w:p>
    <w:p w:rsidR="00F5517F" w:rsidRPr="006C1161" w:rsidRDefault="00F5517F" w:rsidP="00F5517F">
      <w:pPr>
        <w:pStyle w:val="ParaNoNdepar-AltN"/>
        <w:rPr>
          <w:rFonts w:cs="Times New Roman"/>
          <w:lang w:val="fr-CA"/>
        </w:rPr>
      </w:pPr>
      <w:r w:rsidRPr="006C1161">
        <w:rPr>
          <w:rFonts w:cs="Times New Roman"/>
          <w:lang w:val="fr-CA"/>
        </w:rPr>
        <w:t xml:space="preserve">J’ai lu les motifs de dissidence de ma collègue.  Avec respect et malgré l’accent qu’elle fait porter sur la juridiction de la Régie, je crois fermement que la nature et l’effet de la disposition législative déclaratoire demeurent, en l’espèce, la principale question en litige. </w:t>
      </w:r>
    </w:p>
    <w:p w:rsidR="00F5517F" w:rsidRPr="006C1161" w:rsidRDefault="00F5517F" w:rsidP="00F5517F">
      <w:pPr>
        <w:pStyle w:val="TitleTitre-AltT"/>
        <w:keepLines/>
        <w:tabs>
          <w:tab w:val="clear" w:pos="360"/>
        </w:tabs>
        <w:ind w:left="450" w:hanging="450"/>
        <w:rPr>
          <w:rFonts w:cs="Times New Roman"/>
          <w:i/>
          <w:lang w:val="fr-CA"/>
        </w:rPr>
      </w:pPr>
      <w:r w:rsidRPr="006C1161">
        <w:rPr>
          <w:rFonts w:cs="Times New Roman"/>
          <w:lang w:val="fr-CA"/>
        </w:rPr>
        <w:t>A.</w:t>
      </w:r>
      <w:r w:rsidRPr="006C1161">
        <w:rPr>
          <w:rFonts w:cs="Times New Roman"/>
          <w:lang w:val="fr-CA"/>
        </w:rPr>
        <w:tab/>
      </w:r>
      <w:r w:rsidRPr="006C1161">
        <w:rPr>
          <w:rFonts w:cs="Times New Roman"/>
          <w:i/>
          <w:lang w:val="fr-CA"/>
        </w:rPr>
        <w:t>Quel est l’effet d</w:t>
      </w:r>
      <w:r>
        <w:rPr>
          <w:rFonts w:cs="Times New Roman"/>
          <w:i/>
          <w:lang w:val="fr-CA"/>
        </w:rPr>
        <w:t>’une loi</w:t>
      </w:r>
      <w:r w:rsidR="001913DF">
        <w:rPr>
          <w:rFonts w:cs="Times New Roman"/>
          <w:i/>
          <w:lang w:val="fr-CA"/>
        </w:rPr>
        <w:t xml:space="preserve"> déclaratoire</w:t>
      </w:r>
      <w:r w:rsidRPr="006C1161">
        <w:rPr>
          <w:rFonts w:cs="Times New Roman"/>
          <w:i/>
          <w:lang w:val="fr-CA"/>
        </w:rPr>
        <w:t xml:space="preserve">? </w:t>
      </w:r>
    </w:p>
    <w:p w:rsidR="00F5517F" w:rsidRPr="006C1161" w:rsidRDefault="00F5517F" w:rsidP="00F5517F">
      <w:pPr>
        <w:pStyle w:val="ParaNoNdepar-AltN"/>
        <w:rPr>
          <w:rFonts w:cs="Times New Roman"/>
          <w:lang w:val="fr-CA" w:bidi="en-US"/>
        </w:rPr>
      </w:pPr>
      <w:r w:rsidRPr="006C1161">
        <w:rPr>
          <w:rFonts w:cs="Times New Roman"/>
          <w:lang w:val="fr-CA" w:bidi="en-US"/>
        </w:rPr>
        <w:t xml:space="preserve">Le droit canadien reconnaît qu’il entre dans la prérogative du législateur de jouer un rôle judiciaire et de déterminer par une loi déclaratoire l’interprétation que doivent recevoir ses lois : </w:t>
      </w:r>
      <w:r w:rsidRPr="006C1161">
        <w:rPr>
          <w:rFonts w:cs="Times New Roman"/>
          <w:lang w:val="fr-CA"/>
        </w:rPr>
        <w:t>L.</w:t>
      </w:r>
      <w:r w:rsidRPr="006C1161">
        <w:rPr>
          <w:rFonts w:cs="Times New Roman"/>
          <w:lang w:val="fr-CA"/>
        </w:rPr>
        <w:noBreakHyphen/>
        <w:t xml:space="preserve">P. Pigeon, </w:t>
      </w:r>
      <w:r w:rsidRPr="006C1161">
        <w:rPr>
          <w:rFonts w:cs="Times New Roman"/>
          <w:i/>
          <w:lang w:val="fr-CA"/>
        </w:rPr>
        <w:t xml:space="preserve">Rédaction et interprétation des lois </w:t>
      </w:r>
      <w:r w:rsidRPr="006C1161">
        <w:rPr>
          <w:rFonts w:cs="Times New Roman"/>
          <w:lang w:val="fr-CA"/>
        </w:rPr>
        <w:t>(</w:t>
      </w:r>
      <w:r w:rsidR="005C3088">
        <w:rPr>
          <w:rFonts w:cs="Times New Roman"/>
          <w:lang w:val="fr-CA"/>
        </w:rPr>
        <w:t>3</w:t>
      </w:r>
      <w:r w:rsidR="005C3088" w:rsidRPr="005C3088">
        <w:rPr>
          <w:rFonts w:cs="Times New Roman"/>
          <w:vertAlign w:val="superscript"/>
          <w:lang w:val="fr-CA"/>
        </w:rPr>
        <w:t>e</w:t>
      </w:r>
      <w:r w:rsidR="005C3088">
        <w:rPr>
          <w:rFonts w:cs="Times New Roman"/>
          <w:lang w:val="fr-CA"/>
        </w:rPr>
        <w:t xml:space="preserve"> éd. </w:t>
      </w:r>
      <w:r w:rsidRPr="006C1161">
        <w:rPr>
          <w:rFonts w:cs="Times New Roman"/>
          <w:lang w:val="fr-CA"/>
        </w:rPr>
        <w:t>1986), p. 132-133</w:t>
      </w:r>
      <w:r w:rsidRPr="006C1161">
        <w:rPr>
          <w:rFonts w:cs="Times New Roman"/>
          <w:lang w:val="fr-CA" w:bidi="en-US"/>
        </w:rPr>
        <w:t xml:space="preserve">.  Comme notre Cour l’a indiqué dans </w:t>
      </w:r>
      <w:r w:rsidRPr="006C1161">
        <w:rPr>
          <w:rFonts w:cs="Times New Roman"/>
          <w:i/>
          <w:lang w:val="fr-CA" w:bidi="en-US"/>
        </w:rPr>
        <w:t>Western Minerals Ltd. c. Gaumont</w:t>
      </w:r>
      <w:r w:rsidRPr="006C1161">
        <w:rPr>
          <w:rFonts w:cs="Times New Roman"/>
          <w:lang w:val="fr-CA" w:bidi="en-US"/>
        </w:rPr>
        <w:t xml:space="preserve">, [1953] 1 R.C.S. 345, le législateur intervient habituellement ainsi lorsqu’il veut corriger une interprétation judiciaire qu’il estime erronée. </w:t>
      </w:r>
    </w:p>
    <w:p w:rsidR="00F5517F" w:rsidRPr="006C1161" w:rsidRDefault="00F5517F" w:rsidP="00F5517F">
      <w:pPr>
        <w:pStyle w:val="ParaNoNdepar-AltN"/>
        <w:rPr>
          <w:rFonts w:cs="Times New Roman"/>
          <w:lang w:val="fr-CA"/>
        </w:rPr>
      </w:pPr>
      <w:r w:rsidRPr="006C1161">
        <w:rPr>
          <w:rFonts w:cs="Times New Roman"/>
          <w:lang w:val="fr-CA"/>
        </w:rPr>
        <w:t>Lorsqu’il adopte une loi déclaratoire, le législateur joue le rôle d’un juge et dicte l’interprétation à donner à ses propres lois : P.</w:t>
      </w:r>
      <w:r w:rsidRPr="006C1161">
        <w:rPr>
          <w:rFonts w:cs="Times New Roman"/>
          <w:lang w:val="fr-CA"/>
        </w:rPr>
        <w:noBreakHyphen/>
        <w:t xml:space="preserve">A. Côté, en collaboration avec S. Beaulac et M. Devinat, </w:t>
      </w:r>
      <w:r w:rsidRPr="006C1161">
        <w:rPr>
          <w:rFonts w:cs="Times New Roman"/>
          <w:i/>
          <w:lang w:val="fr-CA"/>
        </w:rPr>
        <w:t>Interprétation des lois</w:t>
      </w:r>
      <w:r w:rsidRPr="006C1161">
        <w:rPr>
          <w:rFonts w:cs="Times New Roman"/>
          <w:lang w:val="fr-CA"/>
        </w:rPr>
        <w:t xml:space="preserve"> (4</w:t>
      </w:r>
      <w:r w:rsidRPr="00EB5609">
        <w:rPr>
          <w:rFonts w:cs="Times New Roman"/>
          <w:vertAlign w:val="superscript"/>
          <w:lang w:val="fr-CA"/>
        </w:rPr>
        <w:t>e</w:t>
      </w:r>
      <w:r w:rsidR="00EB5609">
        <w:rPr>
          <w:rFonts w:cs="Times New Roman"/>
          <w:lang w:val="fr-CA"/>
        </w:rPr>
        <w:t xml:space="preserve"> éd.</w:t>
      </w:r>
      <w:r w:rsidRPr="006C1161">
        <w:rPr>
          <w:rFonts w:cs="Times New Roman"/>
          <w:lang w:val="fr-CA"/>
        </w:rPr>
        <w:t xml:space="preserve"> 20</w:t>
      </w:r>
      <w:r w:rsidR="00EB5609">
        <w:rPr>
          <w:rFonts w:cs="Times New Roman"/>
          <w:lang w:val="fr-CA"/>
        </w:rPr>
        <w:t>09</w:t>
      </w:r>
      <w:r w:rsidRPr="006C1161">
        <w:rPr>
          <w:rFonts w:cs="Times New Roman"/>
          <w:lang w:val="fr-CA"/>
        </w:rPr>
        <w:t>), p. 609</w:t>
      </w:r>
      <w:r w:rsidRPr="006C1161">
        <w:rPr>
          <w:rFonts w:cs="Times New Roman"/>
          <w:lang w:val="fr-CA"/>
        </w:rPr>
        <w:noBreakHyphen/>
        <w:t xml:space="preserve">610.  Pour cette raison, les dispositions déclaratoires relèvent davantage de la jurisprudence que de la législation.  Elles s’apparentent à des précédents ayant force obligatoire, telles les </w:t>
      </w:r>
      <w:r w:rsidRPr="006C1161">
        <w:rPr>
          <w:rFonts w:cs="Times New Roman"/>
          <w:lang w:val="fr-CA"/>
        </w:rPr>
        <w:lastRenderedPageBreak/>
        <w:t>décisions judiciaires :</w:t>
      </w:r>
      <w:r w:rsidRPr="006C1161">
        <w:rPr>
          <w:rFonts w:cs="Times New Roman"/>
          <w:lang w:val="fr-CA" w:bidi="en-US"/>
        </w:rPr>
        <w:t xml:space="preserve"> P. Roubier, </w:t>
      </w:r>
      <w:r w:rsidRPr="006C1161">
        <w:rPr>
          <w:rFonts w:cs="Times New Roman"/>
          <w:i/>
          <w:lang w:val="fr-CA" w:bidi="en-US"/>
        </w:rPr>
        <w:t>Le droit transitoire : conflits des lois dans le temps</w:t>
      </w:r>
      <w:r w:rsidRPr="006C1161">
        <w:rPr>
          <w:rFonts w:cs="Times New Roman"/>
          <w:lang w:val="fr-CA" w:bidi="en-US"/>
        </w:rPr>
        <w:t xml:space="preserve"> (2</w:t>
      </w:r>
      <w:r w:rsidRPr="00EB5609">
        <w:rPr>
          <w:rFonts w:cs="Times New Roman"/>
          <w:vertAlign w:val="superscript"/>
          <w:lang w:val="fr-CA" w:bidi="en-US"/>
        </w:rPr>
        <w:t>e</w:t>
      </w:r>
      <w:r w:rsidRPr="006C1161">
        <w:rPr>
          <w:rFonts w:cs="Times New Roman"/>
          <w:lang w:val="fr-CA" w:bidi="en-US"/>
        </w:rPr>
        <w:t xml:space="preserve"> éd. 1993), p. 248.  Elles peuvent infirmer une décision judiciaire de la même façon qu’un arrêt de notre Cour prévaut sur la jurisprudence de juridictions inférieures sur un point de droit donné. </w:t>
      </w:r>
    </w:p>
    <w:p w:rsidR="00F5517F" w:rsidRPr="006C1161" w:rsidRDefault="00F5517F" w:rsidP="00F5517F">
      <w:pPr>
        <w:pStyle w:val="ParaNoNdepar-AltN"/>
        <w:rPr>
          <w:rFonts w:cs="Times New Roman"/>
          <w:lang w:val="fr-CA"/>
        </w:rPr>
      </w:pPr>
      <w:r w:rsidRPr="006C1161">
        <w:rPr>
          <w:rFonts w:cs="Times New Roman"/>
          <w:lang w:val="fr-CA"/>
        </w:rPr>
        <w:t xml:space="preserve">Il est tout aussi reconnu en droit que les dispositions déclaratoires ont un effet immédiat sur les affaires pendantes et qu’elles font donc exception à la règle générale du caractère prospectif de la loi.  L’interprétation imposée par une disposition déclaratoire remonte dans le temps jusqu’à la date d’entrée en vigueur du texte de loi qu’elle interprète, faisant en sorte que ce texte de loi est réputé avoir toujours inclus cette disposition.  Cette interprétation est donc considérée comme ayant toujours été la loi : R. Sullivan, </w:t>
      </w:r>
      <w:r w:rsidRPr="006C1161">
        <w:rPr>
          <w:rFonts w:cs="Times New Roman"/>
          <w:i/>
          <w:lang w:val="fr-CA"/>
        </w:rPr>
        <w:t>Sullivan on the Construction of Statutes</w:t>
      </w:r>
      <w:r w:rsidRPr="006C1161">
        <w:rPr>
          <w:rFonts w:cs="Times New Roman"/>
          <w:lang w:val="fr-CA"/>
        </w:rPr>
        <w:t xml:space="preserve"> (5</w:t>
      </w:r>
      <w:r w:rsidRPr="00EB5609">
        <w:rPr>
          <w:rFonts w:cs="Times New Roman"/>
          <w:vertAlign w:val="superscript"/>
          <w:lang w:val="fr-CA"/>
        </w:rPr>
        <w:t>e</w:t>
      </w:r>
      <w:r w:rsidRPr="006C1161">
        <w:rPr>
          <w:rFonts w:cs="Times New Roman"/>
          <w:lang w:val="fr-CA"/>
        </w:rPr>
        <w:t xml:space="preserve"> éd. 2008), p. 682</w:t>
      </w:r>
      <w:r w:rsidR="00EB5609">
        <w:rPr>
          <w:rFonts w:cs="Times New Roman"/>
          <w:lang w:val="fr-CA"/>
        </w:rPr>
        <w:t>-6</w:t>
      </w:r>
      <w:r w:rsidRPr="006C1161">
        <w:rPr>
          <w:rFonts w:cs="Times New Roman"/>
          <w:lang w:val="fr-CA"/>
        </w:rPr>
        <w:t>83.</w:t>
      </w:r>
    </w:p>
    <w:p w:rsidR="00F5517F" w:rsidRPr="006C1161" w:rsidRDefault="00F5517F" w:rsidP="00F5517F">
      <w:pPr>
        <w:pStyle w:val="ParaNoNdepar-AltN"/>
        <w:rPr>
          <w:rFonts w:cs="Times New Roman"/>
          <w:lang w:val="fr-CA"/>
        </w:rPr>
      </w:pPr>
      <w:r w:rsidRPr="006C1161">
        <w:rPr>
          <w:rFonts w:cs="Times New Roman"/>
          <w:lang w:val="fr-CA"/>
        </w:rPr>
        <w:t xml:space="preserve">Toutefois, des limites s’appliquent à l’effet immédiat d’une loi déclaratoire.  En 1953, notre Cour a fait sien, dans </w:t>
      </w:r>
      <w:r w:rsidRPr="006C1161">
        <w:rPr>
          <w:rFonts w:cs="Times New Roman"/>
          <w:i/>
          <w:lang w:val="fr-CA"/>
        </w:rPr>
        <w:t>Western Minerals</w:t>
      </w:r>
      <w:r w:rsidRPr="006C1161">
        <w:rPr>
          <w:rFonts w:cs="Times New Roman"/>
          <w:lang w:val="fr-CA"/>
        </w:rPr>
        <w:t xml:space="preserve">, l’énoncé de W. F. Craies, </w:t>
      </w:r>
      <w:r w:rsidR="005C3088">
        <w:rPr>
          <w:rFonts w:cs="Times New Roman"/>
          <w:i/>
          <w:lang w:val="fr-CA"/>
        </w:rPr>
        <w:t>A T</w:t>
      </w:r>
      <w:r w:rsidRPr="006C1161">
        <w:rPr>
          <w:rFonts w:cs="Times New Roman"/>
          <w:i/>
          <w:lang w:val="fr-CA"/>
        </w:rPr>
        <w:t>reatise on Statute Law</w:t>
      </w:r>
      <w:r w:rsidRPr="006C1161">
        <w:rPr>
          <w:rFonts w:cs="Times New Roman"/>
          <w:lang w:val="fr-CA"/>
        </w:rPr>
        <w:t xml:space="preserve"> (4</w:t>
      </w:r>
      <w:r w:rsidRPr="00EB5609">
        <w:rPr>
          <w:rFonts w:cs="Times New Roman"/>
          <w:vertAlign w:val="superscript"/>
          <w:lang w:val="fr-CA"/>
        </w:rPr>
        <w:t>e</w:t>
      </w:r>
      <w:r w:rsidRPr="006C1161">
        <w:rPr>
          <w:rFonts w:cs="Times New Roman"/>
          <w:lang w:val="fr-CA"/>
        </w:rPr>
        <w:t xml:space="preserve"> éd. 1936), selon lequel les lois déclaratoires [</w:t>
      </w:r>
      <w:r w:rsidRPr="006C1161">
        <w:rPr>
          <w:rFonts w:cs="Times New Roman"/>
          <w:smallCaps/>
          <w:lang w:val="fr-CA"/>
        </w:rPr>
        <w:t>traduction</w:t>
      </w:r>
      <w:r w:rsidRPr="006C1161">
        <w:rPr>
          <w:rFonts w:cs="Times New Roman"/>
          <w:lang w:val="fr-CA"/>
        </w:rPr>
        <w:t xml:space="preserve">] « statuent sur les affaires semblables qui sont pendantes à la date du jugement, mais elles n’opèrent pas la réouverture d’affaires déjà jugées » : p. 370, citant </w:t>
      </w:r>
      <w:r w:rsidRPr="006C1161">
        <w:rPr>
          <w:rFonts w:cs="Times New Roman"/>
          <w:szCs w:val="20"/>
          <w:lang w:val="fr-CA"/>
        </w:rPr>
        <w:t>Craies</w:t>
      </w:r>
      <w:r w:rsidRPr="006C1161">
        <w:rPr>
          <w:rFonts w:eastAsia="Times New Roman" w:cs="Times New Roman"/>
          <w:szCs w:val="20"/>
          <w:lang w:val="fr-CA" w:eastAsia="en-CA"/>
        </w:rPr>
        <w:t>, p. 341</w:t>
      </w:r>
      <w:r w:rsidRPr="006C1161">
        <w:rPr>
          <w:rFonts w:eastAsia="Times New Roman" w:cs="Times New Roman"/>
          <w:szCs w:val="20"/>
          <w:lang w:val="fr-CA" w:eastAsia="en-CA"/>
        </w:rPr>
        <w:noBreakHyphen/>
      </w:r>
      <w:r w:rsidR="00EB5609">
        <w:rPr>
          <w:rFonts w:eastAsia="Times New Roman" w:cs="Times New Roman"/>
          <w:szCs w:val="20"/>
          <w:lang w:val="fr-CA" w:eastAsia="en-CA"/>
        </w:rPr>
        <w:t>3</w:t>
      </w:r>
      <w:r w:rsidRPr="006C1161">
        <w:rPr>
          <w:rFonts w:eastAsia="Times New Roman" w:cs="Times New Roman"/>
          <w:szCs w:val="20"/>
          <w:lang w:val="fr-CA" w:eastAsia="en-CA"/>
        </w:rPr>
        <w:t>42</w:t>
      </w:r>
      <w:r w:rsidRPr="006C1161">
        <w:rPr>
          <w:rFonts w:cs="Times New Roman"/>
          <w:lang w:val="fr-CA"/>
        </w:rPr>
        <w:t xml:space="preserve">.  Tout comme un précédent ayant force de loi, l’interprétation adoptée par le législateur au moyen d’une disposition déclaratoire s’applique à toutes les causes futures et à celles pendantes au moment de l’entrée en vigueur de la disposition, même si les faits générateurs du litige sont antérieurs à </w:t>
      </w:r>
      <w:r w:rsidRPr="006C1161">
        <w:rPr>
          <w:rFonts w:cs="Times New Roman"/>
          <w:lang w:val="fr-CA"/>
        </w:rPr>
        <w:lastRenderedPageBreak/>
        <w:t xml:space="preserve">l’adoption de cette dernière.  Toutefois, les dispositions déclaratoires n’ont pas pour effet de rouvrir des causes tranchées par un jugement définitif. </w:t>
      </w:r>
    </w:p>
    <w:p w:rsidR="00F5517F" w:rsidRPr="006C1161" w:rsidRDefault="00F5517F" w:rsidP="00F5517F">
      <w:pPr>
        <w:pStyle w:val="ParaNoNdepar-AltN"/>
        <w:rPr>
          <w:rFonts w:cs="Times New Roman"/>
          <w:lang w:val="fr-CA"/>
        </w:rPr>
      </w:pPr>
      <w:r w:rsidRPr="006C1161">
        <w:rPr>
          <w:rFonts w:cs="Times New Roman"/>
          <w:szCs w:val="24"/>
          <w:lang w:val="fr-FR"/>
        </w:rPr>
        <w:t xml:space="preserve">Avant de poursuivre mon analyse, je dois faire ressortir une distinction entre deux notions dont l’importance est cruciale pour l’issue du présent pourvoi : la notion de </w:t>
      </w:r>
      <w:r w:rsidRPr="006C1161">
        <w:rPr>
          <w:rFonts w:cs="Times New Roman"/>
          <w:lang w:val="fr-CA"/>
        </w:rPr>
        <w:t>« </w:t>
      </w:r>
      <w:r w:rsidRPr="006C1161">
        <w:rPr>
          <w:rFonts w:cs="Times New Roman"/>
          <w:szCs w:val="24"/>
          <w:lang w:val="fr-FR"/>
        </w:rPr>
        <w:t>jugement définitif</w:t>
      </w:r>
      <w:r w:rsidRPr="006C1161">
        <w:rPr>
          <w:rFonts w:cs="Times New Roman"/>
          <w:lang w:val="fr-CA"/>
        </w:rPr>
        <w:t xml:space="preserve"> » </w:t>
      </w:r>
      <w:r w:rsidRPr="006C1161">
        <w:rPr>
          <w:rFonts w:cs="Times New Roman"/>
          <w:szCs w:val="24"/>
          <w:lang w:val="fr-FR"/>
        </w:rPr>
        <w:t xml:space="preserve">et celle de </w:t>
      </w:r>
      <w:r w:rsidRPr="006C1161">
        <w:rPr>
          <w:rFonts w:cs="Times New Roman"/>
          <w:lang w:val="fr-CA"/>
        </w:rPr>
        <w:t>« </w:t>
      </w:r>
      <w:r w:rsidRPr="006C1161">
        <w:rPr>
          <w:rFonts w:cs="Times New Roman"/>
          <w:szCs w:val="24"/>
          <w:lang w:val="fr-FR"/>
        </w:rPr>
        <w:t>jugement définitif qui statue ultimement sur les droits et obligations des parties</w:t>
      </w:r>
      <w:r w:rsidRPr="006C1161">
        <w:rPr>
          <w:rFonts w:cs="Times New Roman"/>
          <w:lang w:val="fr-CA"/>
        </w:rPr>
        <w:t> »</w:t>
      </w:r>
      <w:r w:rsidRPr="006C1161">
        <w:rPr>
          <w:rFonts w:cs="Times New Roman"/>
          <w:szCs w:val="24"/>
          <w:lang w:val="fr-FR"/>
        </w:rPr>
        <w:t>.  Un jugement n’a pas à statuer sur le</w:t>
      </w:r>
      <w:r w:rsidRPr="006C1161">
        <w:rPr>
          <w:rFonts w:cs="Times New Roman"/>
          <w:szCs w:val="24"/>
          <w:lang w:val="fr-CA"/>
        </w:rPr>
        <w:t xml:space="preserve"> litige en entier pour être définitif.  S’il statue sur toute </w:t>
      </w:r>
      <w:r w:rsidRPr="006C1161">
        <w:rPr>
          <w:rFonts w:cs="Times New Roman"/>
          <w:i/>
          <w:szCs w:val="24"/>
          <w:lang w:val="fr-CA"/>
        </w:rPr>
        <w:t>question</w:t>
      </w:r>
      <w:r w:rsidRPr="006C1161">
        <w:rPr>
          <w:rFonts w:cs="Times New Roman"/>
          <w:szCs w:val="24"/>
          <w:lang w:val="fr-CA"/>
        </w:rPr>
        <w:t xml:space="preserve"> de fond interlocutoire, il acquerra l’autorité de la chose jugée.  Par contre, un </w:t>
      </w:r>
      <w:r w:rsidRPr="006C1161">
        <w:rPr>
          <w:rFonts w:cs="Times New Roman"/>
          <w:szCs w:val="24"/>
          <w:lang w:val="fr-FR"/>
        </w:rPr>
        <w:t>jugement définitif qui statue ultimement sur les droits et obligations des parties</w:t>
      </w:r>
      <w:r w:rsidRPr="006C1161">
        <w:rPr>
          <w:rFonts w:cs="Times New Roman"/>
          <w:lang w:val="fr-CA"/>
        </w:rPr>
        <w:t xml:space="preserve"> </w:t>
      </w:r>
      <w:r w:rsidRPr="006C1161">
        <w:rPr>
          <w:rFonts w:cs="Times New Roman"/>
          <w:szCs w:val="24"/>
          <w:lang w:val="fr-CA"/>
        </w:rPr>
        <w:t xml:space="preserve">acquiert aussi l’autorité de la chose jugée, mais il tranche le </w:t>
      </w:r>
      <w:r w:rsidRPr="006C1161">
        <w:rPr>
          <w:rFonts w:cs="Times New Roman"/>
          <w:i/>
          <w:szCs w:val="24"/>
          <w:lang w:val="fr-CA"/>
        </w:rPr>
        <w:t>litige</w:t>
      </w:r>
      <w:r w:rsidRPr="006C1161">
        <w:rPr>
          <w:rFonts w:cs="Times New Roman"/>
          <w:szCs w:val="24"/>
          <w:lang w:val="fr-CA"/>
        </w:rPr>
        <w:t xml:space="preserve"> en entier et rend inutile la prise de toute autre mesure dans l’instance.</w:t>
      </w:r>
    </w:p>
    <w:p w:rsidR="00F5517F" w:rsidRPr="006C1161" w:rsidRDefault="00F5517F" w:rsidP="00F5517F">
      <w:pPr>
        <w:pStyle w:val="ParaNoNdepar-AltN"/>
        <w:rPr>
          <w:rFonts w:cs="Times New Roman"/>
          <w:lang w:val="fr-CA"/>
        </w:rPr>
      </w:pPr>
      <w:r w:rsidRPr="006C1161">
        <w:rPr>
          <w:rFonts w:cs="Times New Roman"/>
          <w:szCs w:val="24"/>
          <w:lang w:val="fr-CA"/>
        </w:rPr>
        <w:t xml:space="preserve">Cette distinction est importante parce que, dans l’arrêt </w:t>
      </w:r>
      <w:r w:rsidRPr="006C1161">
        <w:rPr>
          <w:rFonts w:cs="Times New Roman"/>
          <w:i/>
          <w:szCs w:val="24"/>
          <w:lang w:val="fr-CA"/>
        </w:rPr>
        <w:t>Western Minerals</w:t>
      </w:r>
      <w:r w:rsidRPr="006C1161">
        <w:rPr>
          <w:rFonts w:cs="Times New Roman"/>
          <w:szCs w:val="24"/>
          <w:lang w:val="fr-CA"/>
        </w:rPr>
        <w:t xml:space="preserve">, la Cour a fait sienne la thèse selon laquelle les lois déclaratoires n’opèrent pas la réouverture des </w:t>
      </w:r>
      <w:r w:rsidRPr="006C1161">
        <w:rPr>
          <w:rFonts w:cs="Times New Roman"/>
          <w:i/>
          <w:szCs w:val="24"/>
          <w:lang w:val="fr-CA"/>
        </w:rPr>
        <w:t>causes</w:t>
      </w:r>
      <w:r w:rsidRPr="006C1161">
        <w:rPr>
          <w:rFonts w:cs="Times New Roman"/>
          <w:szCs w:val="24"/>
          <w:lang w:val="fr-CA"/>
        </w:rPr>
        <w:t xml:space="preserve"> déjà jugées, mais elle ne mentionne pas l’effet de telles lois sur les </w:t>
      </w:r>
      <w:r w:rsidRPr="006C1161">
        <w:rPr>
          <w:rFonts w:cs="Times New Roman"/>
          <w:i/>
          <w:szCs w:val="24"/>
          <w:lang w:val="fr-CA"/>
        </w:rPr>
        <w:t>questions</w:t>
      </w:r>
      <w:r w:rsidRPr="006C1161">
        <w:rPr>
          <w:rFonts w:cs="Times New Roman"/>
          <w:szCs w:val="24"/>
          <w:lang w:val="fr-CA"/>
        </w:rPr>
        <w:t xml:space="preserve"> tranchées.  Au Canada, il n’existe aucune jurisprudence définitive quant à l’effet des lois déclaratoires sur les questions tranchées.  En conséquence, je ne peux supposer que les lois déclaratoires qui visent manifestement à annuler des jugemen</w:t>
      </w:r>
      <w:r w:rsidRPr="006C1161">
        <w:rPr>
          <w:rFonts w:cs="Times New Roman"/>
          <w:szCs w:val="24"/>
          <w:lang w:val="fr-FR"/>
        </w:rPr>
        <w:t xml:space="preserve">ts définitifs qui ne statuent pas ultimement sur les droits et obligations des parties </w:t>
      </w:r>
      <w:r w:rsidRPr="006C1161">
        <w:rPr>
          <w:rFonts w:cs="Times New Roman"/>
          <w:szCs w:val="24"/>
          <w:lang w:val="fr-CA"/>
        </w:rPr>
        <w:t>ne s’appliquent pas à de tels jugements.  Cette conclusion est la seule que je peux tirer à la lumière de la jurisprudence et des principes de droit pertinents.</w:t>
      </w:r>
    </w:p>
    <w:p w:rsidR="00F5517F" w:rsidRPr="006C1161" w:rsidRDefault="00F5517F" w:rsidP="00F5517F">
      <w:pPr>
        <w:pStyle w:val="ParaNoNdepar-AltN"/>
        <w:rPr>
          <w:rFonts w:cs="Times New Roman"/>
          <w:lang w:val="fr-CA"/>
        </w:rPr>
      </w:pPr>
      <w:r w:rsidRPr="006C1161">
        <w:rPr>
          <w:rFonts w:cs="Times New Roman"/>
          <w:szCs w:val="24"/>
          <w:lang w:val="fr-CA"/>
        </w:rPr>
        <w:lastRenderedPageBreak/>
        <w:t xml:space="preserve">Le concept de </w:t>
      </w:r>
      <w:r w:rsidRPr="006C1161">
        <w:rPr>
          <w:rFonts w:cs="Times New Roman"/>
          <w:szCs w:val="24"/>
          <w:lang w:val="fr-FR"/>
        </w:rPr>
        <w:t xml:space="preserve">jugement définitif qui ne statue pas ultimement sur les droits et obligations des parties est celui qui permet de distinguer les affaires pendantes des affaires non pendantes.  </w:t>
      </w:r>
      <w:r w:rsidRPr="006C1161">
        <w:rPr>
          <w:rFonts w:cs="Times New Roman"/>
          <w:lang w:val="fr-CA" w:bidi="en-US"/>
        </w:rPr>
        <w:t xml:space="preserve">Les affaires pendantes sont celles dont sont présentement saisis des tribunaux compétents et qui sont en attente d’un jugement définitif et irrévocable sur le fond.  Comme le juge Cartwright l’a expliqué dans </w:t>
      </w:r>
      <w:r w:rsidRPr="006C1161">
        <w:rPr>
          <w:rFonts w:cs="Times New Roman"/>
          <w:i/>
          <w:lang w:val="fr-CA" w:bidi="en-US"/>
        </w:rPr>
        <w:t>Western Minerals</w:t>
      </w:r>
      <w:r w:rsidRPr="006C1161">
        <w:rPr>
          <w:rFonts w:cs="Times New Roman"/>
          <w:lang w:val="fr-CA" w:bidi="en-US"/>
        </w:rPr>
        <w:t>, elles englobent [</w:t>
      </w:r>
      <w:r w:rsidRPr="006C1161">
        <w:rPr>
          <w:rFonts w:cs="Times New Roman"/>
          <w:smallCaps/>
          <w:lang w:val="fr-CA" w:bidi="en-US"/>
        </w:rPr>
        <w:t>traduction</w:t>
      </w:r>
      <w:r w:rsidRPr="006C1161">
        <w:rPr>
          <w:rFonts w:cs="Times New Roman"/>
          <w:lang w:val="fr-CA" w:bidi="en-US"/>
        </w:rPr>
        <w:t>] « les affaires jugées, mais dont le jugement a fait l’objet d’un appel qui est pendant au moment de l’entrée en vigueur de la loi déclaratoire » :</w:t>
      </w:r>
      <w:r w:rsidRPr="006C1161">
        <w:rPr>
          <w:rFonts w:cs="Times New Roman"/>
          <w:szCs w:val="24"/>
          <w:lang w:val="fr-CA"/>
        </w:rPr>
        <w:t xml:space="preserve"> </w:t>
      </w:r>
      <w:r w:rsidRPr="006C1161">
        <w:rPr>
          <w:rFonts w:cs="Times New Roman"/>
          <w:lang w:val="fr-CA"/>
        </w:rPr>
        <w:t>p. 370.  En conséquence, seules les affaires ayant abouti à un jugement statuant définitivement sur les droits et obligations des parties ne sont plus pendantes</w:t>
      </w:r>
      <w:r w:rsidRPr="006C1161">
        <w:rPr>
          <w:rFonts w:cs="Times New Roman"/>
          <w:lang w:val="fr-CA" w:bidi="en-US"/>
        </w:rPr>
        <w:t xml:space="preserve">. </w:t>
      </w:r>
    </w:p>
    <w:p w:rsidR="00F5517F" w:rsidRPr="006C1161" w:rsidRDefault="00F5517F" w:rsidP="00F5517F">
      <w:pPr>
        <w:pStyle w:val="ParaNoNdepar-AltN"/>
        <w:rPr>
          <w:rFonts w:cs="Times New Roman"/>
          <w:lang w:val="fr-CA"/>
        </w:rPr>
      </w:pPr>
      <w:r w:rsidRPr="006C1161">
        <w:rPr>
          <w:rFonts w:cs="Times New Roman"/>
          <w:lang w:val="fr-CA" w:bidi="en-US"/>
        </w:rPr>
        <w:t xml:space="preserve">En l’espèce, la loi déclaratoire s’appliquera, à moins qu’une </w:t>
      </w:r>
      <w:r w:rsidRPr="006C1161">
        <w:rPr>
          <w:rFonts w:cs="Times New Roman"/>
          <w:i/>
          <w:lang w:val="fr-CA" w:bidi="en-US"/>
        </w:rPr>
        <w:t>cause</w:t>
      </w:r>
      <w:r w:rsidRPr="006C1161">
        <w:rPr>
          <w:rFonts w:cs="Times New Roman"/>
          <w:lang w:val="fr-CA" w:bidi="en-US"/>
        </w:rPr>
        <w:t xml:space="preserve">, et non une simple </w:t>
      </w:r>
      <w:r w:rsidRPr="006C1161">
        <w:rPr>
          <w:rFonts w:cs="Times New Roman"/>
          <w:i/>
          <w:lang w:val="fr-CA" w:bidi="en-US"/>
        </w:rPr>
        <w:t>question</w:t>
      </w:r>
      <w:r w:rsidRPr="006C1161">
        <w:rPr>
          <w:rFonts w:cs="Times New Roman"/>
          <w:lang w:val="fr-CA" w:bidi="en-US"/>
        </w:rPr>
        <w:t xml:space="preserve">, n’ait été tranchée.  </w:t>
      </w:r>
    </w:p>
    <w:p w:rsidR="00F5517F" w:rsidRPr="006C1161" w:rsidRDefault="00F5517F" w:rsidP="00F5517F">
      <w:pPr>
        <w:pStyle w:val="ParaNoNdepar-AltN"/>
        <w:rPr>
          <w:rFonts w:cs="Times New Roman"/>
          <w:lang w:val="fr-CA"/>
        </w:rPr>
      </w:pPr>
      <w:r w:rsidRPr="006C1161">
        <w:rPr>
          <w:rFonts w:cs="Times New Roman"/>
          <w:lang w:val="fr-CA" w:bidi="en-US"/>
        </w:rPr>
        <w:t xml:space="preserve">Contrairement à moi, la Juge en chef est d’avis que lorsque le législateur entend supprimer les effets d’un jugement définitif qui tranche une question, il doit l’exprimer clairement (par. 62, 64 et 71).  Avec égards, aucune décision de la Cour ne permet d’étayer une telle affirmation.  La Juge en chef se fonde uniquement sur la décision </w:t>
      </w:r>
      <w:r w:rsidRPr="006C1161">
        <w:rPr>
          <w:rFonts w:cs="Times New Roman"/>
          <w:i/>
          <w:lang w:val="fr-CA" w:bidi="en-US"/>
        </w:rPr>
        <w:t xml:space="preserve">Zadvorny c. Saskatchewan Government Insurance </w:t>
      </w:r>
      <w:r w:rsidR="00EB5609">
        <w:rPr>
          <w:rFonts w:cs="Times New Roman"/>
          <w:lang w:val="fr-CA" w:bidi="en-US"/>
        </w:rPr>
        <w:t>(1985), 3</w:t>
      </w:r>
      <w:r w:rsidRPr="006C1161">
        <w:rPr>
          <w:rFonts w:cs="Times New Roman"/>
          <w:lang w:val="fr-CA" w:bidi="en-US"/>
        </w:rPr>
        <w:t>8 Sask. R.</w:t>
      </w:r>
      <w:r>
        <w:rPr>
          <w:rFonts w:cs="Times New Roman"/>
          <w:lang w:val="fr-CA" w:bidi="en-US"/>
        </w:rPr>
        <w:t> </w:t>
      </w:r>
      <w:r w:rsidRPr="006C1161">
        <w:rPr>
          <w:rFonts w:cs="Times New Roman"/>
          <w:lang w:val="fr-CA" w:bidi="en-US"/>
        </w:rPr>
        <w:t>59</w:t>
      </w:r>
      <w:r>
        <w:rPr>
          <w:rFonts w:cs="Times New Roman"/>
          <w:lang w:val="fr-CA" w:bidi="en-US"/>
        </w:rPr>
        <w:t>,</w:t>
      </w:r>
      <w:r w:rsidRPr="006C1161">
        <w:rPr>
          <w:rFonts w:cs="Times New Roman"/>
          <w:lang w:val="fr-CA" w:bidi="en-US"/>
        </w:rPr>
        <w:t xml:space="preserve"> de la Cour d’appel de la Saskatchewan pour appuyer le principe qu’elle énonce.  Or, pour les motifs que j’exprime dans la présente décision, je ne suis ni lié ni convaincu par cet arrêt.  Selon moi, la jurisprudence canadienne et les principes juridiques pertinents empruntent plutôt la direction contraire. </w:t>
      </w:r>
    </w:p>
    <w:p w:rsidR="00F5517F" w:rsidRPr="006C1161" w:rsidRDefault="00F5517F" w:rsidP="00F5517F">
      <w:pPr>
        <w:pStyle w:val="ParaNoNdepar-AltN"/>
        <w:rPr>
          <w:rFonts w:cs="Times New Roman"/>
          <w:lang w:val="fr-CA"/>
        </w:rPr>
      </w:pPr>
      <w:r w:rsidRPr="006C1161">
        <w:rPr>
          <w:rFonts w:cs="Times New Roman"/>
          <w:lang w:val="fr-CA" w:bidi="en-US"/>
        </w:rPr>
        <w:lastRenderedPageBreak/>
        <w:t>En outre, j’estime qu’il est inutile d’insister sur la clarté du libellé de la loi dans une affaire comme celle-ci alors que personne ne conteste que le législateur avait l’intention de supprimer les effets du jugement entre les parties.  Non seulement cette proposition en faveur du langage clair n’est-elle pas soutenue par la jurisprudence de la Cour, mais elle contredit en fait l’objectif de la loi.  Grâce à la transcription des débats législatifs, il n’a jamais fait de doute que, lorsqu’il a adopté les dispositions déclaratoires, le législateur visait à contrer les effets du jugement de la Cour d’appel du 2 avril 2008 de manière à protéger les retraités.  En tout respect pour l’opinion contraire, une approche qui ignorerait cette intention manifeste et ne chercherait qu’un libellé clair constituerait une approche, selon moi, trop formaliste, et limiterait d’une manière injustifiée la preuve qui peut être examinée pour apprécier les effets d’une loi déclaratoire.</w:t>
      </w:r>
    </w:p>
    <w:p w:rsidR="00F5517F" w:rsidRPr="006C1161" w:rsidRDefault="00F5517F" w:rsidP="00F5517F">
      <w:pPr>
        <w:pStyle w:val="TitleTitre-AltT"/>
        <w:keepLines/>
        <w:tabs>
          <w:tab w:val="clear" w:pos="360"/>
        </w:tabs>
        <w:ind w:left="450" w:hanging="450"/>
        <w:rPr>
          <w:rFonts w:cs="Times New Roman"/>
          <w:i/>
          <w:lang w:val="fr-CA"/>
        </w:rPr>
      </w:pPr>
      <w:r w:rsidRPr="006C1161">
        <w:rPr>
          <w:rFonts w:cs="Times New Roman"/>
          <w:lang w:val="fr-CA"/>
        </w:rPr>
        <w:t>B.</w:t>
      </w:r>
      <w:r w:rsidRPr="006C1161">
        <w:rPr>
          <w:rFonts w:cs="Times New Roman"/>
          <w:lang w:val="fr-CA"/>
        </w:rPr>
        <w:tab/>
      </w:r>
      <w:r w:rsidRPr="006C1161">
        <w:rPr>
          <w:rFonts w:cs="Times New Roman"/>
          <w:i/>
          <w:lang w:val="fr-CA"/>
        </w:rPr>
        <w:t>La Régie a</w:t>
      </w:r>
      <w:r w:rsidRPr="006C1161">
        <w:rPr>
          <w:rFonts w:cs="Times New Roman"/>
          <w:i/>
          <w:lang w:val="fr-CA"/>
        </w:rPr>
        <w:noBreakHyphen/>
        <w:t>t</w:t>
      </w:r>
      <w:r w:rsidRPr="006C1161">
        <w:rPr>
          <w:rFonts w:cs="Times New Roman"/>
          <w:i/>
          <w:lang w:val="fr-CA"/>
        </w:rPr>
        <w:noBreakHyphen/>
        <w:t xml:space="preserve">elle commis une erreur en appliquant la loi déclaratoire? </w:t>
      </w:r>
    </w:p>
    <w:p w:rsidR="00F5517F" w:rsidRPr="006C1161" w:rsidRDefault="00F5517F" w:rsidP="00F5517F">
      <w:pPr>
        <w:pStyle w:val="TitleTitre-AltT"/>
        <w:keepLines/>
        <w:tabs>
          <w:tab w:val="clear" w:pos="360"/>
          <w:tab w:val="left" w:pos="1170"/>
        </w:tabs>
        <w:ind w:left="1620" w:hanging="1620"/>
        <w:rPr>
          <w:rFonts w:cs="Times New Roman"/>
          <w:lang w:val="fr-CA"/>
        </w:rPr>
      </w:pPr>
      <w:r w:rsidRPr="006C1161">
        <w:rPr>
          <w:rFonts w:cs="Times New Roman"/>
          <w:lang w:val="fr-CA"/>
        </w:rPr>
        <w:tab/>
      </w:r>
      <w:r w:rsidR="00D540F8">
        <w:rPr>
          <w:rFonts w:cs="Times New Roman"/>
          <w:lang w:val="fr-CA"/>
        </w:rPr>
        <w:t>(</w:t>
      </w:r>
      <w:r w:rsidRPr="006C1161">
        <w:rPr>
          <w:rFonts w:cs="Times New Roman"/>
          <w:lang w:val="fr-CA"/>
        </w:rPr>
        <w:t>1)</w:t>
      </w:r>
      <w:r w:rsidRPr="006C1161">
        <w:rPr>
          <w:rFonts w:cs="Times New Roman"/>
          <w:lang w:val="fr-CA"/>
        </w:rPr>
        <w:tab/>
      </w:r>
      <w:r w:rsidRPr="006C1161">
        <w:rPr>
          <w:rFonts w:cs="Times New Roman"/>
          <w:u w:val="single"/>
          <w:lang w:val="fr-CA"/>
        </w:rPr>
        <w:t>Application de la loi déclaratoire au litige</w:t>
      </w:r>
    </w:p>
    <w:p w:rsidR="00F5517F" w:rsidRPr="006C1161" w:rsidRDefault="00F5517F" w:rsidP="00F5517F">
      <w:pPr>
        <w:pStyle w:val="ParaNoNdepar-AltN"/>
        <w:widowControl w:val="0"/>
        <w:rPr>
          <w:rFonts w:cs="Times New Roman"/>
          <w:lang w:val="fr-CA"/>
        </w:rPr>
      </w:pPr>
      <w:r w:rsidRPr="006C1161">
        <w:rPr>
          <w:rFonts w:cs="Times New Roman"/>
          <w:lang w:val="fr-CA"/>
        </w:rPr>
        <w:t xml:space="preserve">En l’espèce, nul ne conteste la nature déclaratoire des dispositions introduites dans la </w:t>
      </w:r>
      <w:r w:rsidRPr="006C1161">
        <w:rPr>
          <w:rFonts w:cs="Times New Roman"/>
          <w:i/>
          <w:lang w:val="fr-CA"/>
        </w:rPr>
        <w:t>LRCR</w:t>
      </w:r>
      <w:r w:rsidRPr="006C1161">
        <w:rPr>
          <w:rFonts w:cs="Times New Roman"/>
          <w:lang w:val="fr-CA"/>
        </w:rPr>
        <w:t xml:space="preserve"> par le projet de loi 68.  L’article 319.1 de la </w:t>
      </w:r>
      <w:r w:rsidRPr="006C1161">
        <w:rPr>
          <w:rFonts w:cs="Times New Roman"/>
          <w:i/>
          <w:lang w:val="fr-CA"/>
        </w:rPr>
        <w:t>LRCR</w:t>
      </w:r>
      <w:r w:rsidRPr="006C1161">
        <w:rPr>
          <w:rFonts w:cs="Times New Roman"/>
          <w:lang w:val="fr-CA"/>
        </w:rPr>
        <w:t>, adopté en même temps que les art. </w:t>
      </w:r>
      <w:r w:rsidRPr="006C1161">
        <w:rPr>
          <w:rFonts w:cs="Times New Roman"/>
          <w:szCs w:val="24"/>
          <w:lang w:val="fr-CA"/>
        </w:rPr>
        <w:t xml:space="preserve">14.1 et 228.1, énonce expressément que ces dispositions sont déclaratoires.  Au libellé sans équivoque de cette disposition s’ajoutent les circonstances de leur adoption, qui témoignent de l’intention du législateur qu’elles soient déclaratoires.  Il ressort des délibérations ayant mené à leur adoption que le législateur voulait infirmer l’arrêt de la Cour d’appel afin de protéger les participants </w:t>
      </w:r>
      <w:r w:rsidRPr="006C1161">
        <w:rPr>
          <w:rFonts w:cs="Times New Roman"/>
          <w:szCs w:val="24"/>
          <w:lang w:val="fr-CA"/>
        </w:rPr>
        <w:lastRenderedPageBreak/>
        <w:t xml:space="preserve">et bénéficiaires du </w:t>
      </w:r>
      <w:r w:rsidR="00D540F8">
        <w:rPr>
          <w:rFonts w:cs="Times New Roman"/>
          <w:szCs w:val="24"/>
          <w:lang w:val="fr-CA"/>
        </w:rPr>
        <w:t>R</w:t>
      </w:r>
      <w:r w:rsidRPr="006C1161">
        <w:rPr>
          <w:rFonts w:cs="Times New Roman"/>
          <w:szCs w:val="24"/>
          <w:lang w:val="fr-CA"/>
        </w:rPr>
        <w:t xml:space="preserve">égime et d’empêcher que la décision n’acquière valeur de précédent et ne lie les tribunaux dans les affaires pendantes ou futures. </w:t>
      </w:r>
    </w:p>
    <w:p w:rsidR="00F5517F" w:rsidRPr="006C1161" w:rsidRDefault="00F5517F" w:rsidP="00F5517F">
      <w:pPr>
        <w:pStyle w:val="ParaNoNdepar-AltN"/>
        <w:rPr>
          <w:rFonts w:cs="Times New Roman"/>
          <w:lang w:val="fr-CA"/>
        </w:rPr>
      </w:pPr>
      <w:r w:rsidRPr="006C1161">
        <w:rPr>
          <w:rFonts w:cs="Times New Roman"/>
          <w:lang w:val="fr-CA"/>
        </w:rPr>
        <w:t>Puisque ni le caractère déclaratoire des dispositions en cause ni les effets de ce caractère déclaratoire ne sont contestés, l’enjeu de l’applicabilité de ces dispositions en l’espèce dépend de la question de savoir si le différend était pendant lorsqu’elles ont été adoptées.  Plus simplement, il nous faut déterminer si l’appel concerne en l’espèce une affaire jugée ou simplement une question tranchée.</w:t>
      </w:r>
    </w:p>
    <w:p w:rsidR="00F5517F" w:rsidRPr="006C1161" w:rsidRDefault="00F5517F" w:rsidP="00F5517F">
      <w:pPr>
        <w:pStyle w:val="ParaNoNdepar-AltN"/>
        <w:rPr>
          <w:rFonts w:cs="Times New Roman"/>
          <w:lang w:val="fr-CA"/>
        </w:rPr>
      </w:pPr>
      <w:r w:rsidRPr="006C1161">
        <w:rPr>
          <w:rFonts w:cs="Times New Roman"/>
          <w:lang w:val="fr-CA"/>
        </w:rPr>
        <w:t xml:space="preserve">La Régie et le procureur général du Québec fondent leur argumentation sur le fait que l’affaire était pendante, puisque la Régie avait présenté en 2008 une demande d’autorisation d’appel à notre Cour.  Je tiens donc à préciser que ma conclusion selon laquelle l’affaire était pendante à l’époque pertinente ne dépend pas de l’existence de cette demande d’autorisation d’appel.  Bien que l’arrêt </w:t>
      </w:r>
      <w:r w:rsidRPr="006C1161">
        <w:rPr>
          <w:rFonts w:cs="Times New Roman"/>
          <w:i/>
          <w:lang w:val="fr-CA"/>
        </w:rPr>
        <w:t>Western Minerals</w:t>
      </w:r>
      <w:r w:rsidRPr="006C1161">
        <w:rPr>
          <w:rFonts w:cs="Times New Roman"/>
          <w:lang w:val="fr-CA"/>
        </w:rPr>
        <w:t xml:space="preserve"> de notre Cour pose clairement que, pour l’application d’une loi déclaratoire, est pendante une affaire tranchée par un jugement définitif dont l’appel est pendant, il ne s’agit pas là du seul facteur qui détermine si une affaire peut être considérée comme pendante.  Ainsi que je l’ai expliqué, le facteur déterminant à cet égard est plutôt l’absence d’un jugement définitif statuant sur les droits et obligations des parties.  Tout comme les causes qui font l’objet d’un appel, les affaires renvoyées devant un tribunal d’instance inférieure sont aussi pendantes.  </w:t>
      </w:r>
    </w:p>
    <w:p w:rsidR="00F5517F" w:rsidRPr="006C1161" w:rsidRDefault="00F5517F" w:rsidP="00F5517F">
      <w:pPr>
        <w:pStyle w:val="ParaNoNdepar-AltN"/>
        <w:rPr>
          <w:rFonts w:cs="Times New Roman"/>
          <w:lang w:val="fr-CA" w:bidi="en-US"/>
        </w:rPr>
      </w:pPr>
      <w:r w:rsidRPr="006C1161">
        <w:rPr>
          <w:rFonts w:cs="Times New Roman"/>
          <w:lang w:val="fr-CA"/>
        </w:rPr>
        <w:t xml:space="preserve">Le 20 juin 2008, à l’entrée en vigueur des dispositions déclaratoires, le litige entre les parties était pendant.  Bien que l’arrêt du 2 avril 2008 de la Cour </w:t>
      </w:r>
      <w:r w:rsidRPr="006C1161">
        <w:rPr>
          <w:rFonts w:cs="Times New Roman"/>
          <w:lang w:val="fr-CA"/>
        </w:rPr>
        <w:lastRenderedPageBreak/>
        <w:t>d’appel eût acquis « [l]’autorité de la chose jugée » au sens de l’art</w:t>
      </w:r>
      <w:r>
        <w:rPr>
          <w:rFonts w:cs="Times New Roman"/>
          <w:lang w:val="fr-CA"/>
        </w:rPr>
        <w:t>. </w:t>
      </w:r>
      <w:r w:rsidRPr="006C1161">
        <w:rPr>
          <w:rFonts w:cs="Times New Roman"/>
          <w:lang w:val="fr-CA" w:bidi="en-US"/>
        </w:rPr>
        <w:t xml:space="preserve">2848 du </w:t>
      </w:r>
      <w:r w:rsidRPr="006C1161">
        <w:rPr>
          <w:rFonts w:cs="Times New Roman"/>
          <w:i/>
          <w:lang w:val="fr-CA" w:bidi="en-US"/>
        </w:rPr>
        <w:t>Code civil du Québec</w:t>
      </w:r>
      <w:r w:rsidRPr="006C1161">
        <w:rPr>
          <w:rFonts w:cs="Times New Roman"/>
          <w:lang w:val="fr-CA" w:bidi="en-US"/>
        </w:rPr>
        <w:t xml:space="preserve">, L.Q. 1991, ch. 64, il ne statuait pas entièrement et définitivement sur les droits et obligations des parties découlant des deux terminaisons partielles.  </w:t>
      </w:r>
      <w:r w:rsidRPr="006C1161">
        <w:rPr>
          <w:rFonts w:cs="Times New Roman"/>
          <w:lang w:val="fr-CA"/>
        </w:rPr>
        <w:t xml:space="preserve">Je le répète, est pendante une affaire qui n’a pas été tranchée par un jugement définitif et irrévocable statuant sur les droits et obligations des parties.  </w:t>
      </w:r>
      <w:r w:rsidRPr="006C1161">
        <w:rPr>
          <w:rFonts w:cs="Times New Roman"/>
          <w:lang w:val="fr-CA" w:bidi="en-US"/>
        </w:rPr>
        <w:t xml:space="preserve">Un jugement définitif qui tranche une question sans résoudre le litige au fond n’empêche pas le décideur de qui relève la décision définitive sur les droits et obligations des parties d’appliquer une loi déclaratoire adoptée postérieurement à ce jugement.  </w:t>
      </w:r>
    </w:p>
    <w:p w:rsidR="00F5517F" w:rsidRPr="006C1161" w:rsidRDefault="00F5517F" w:rsidP="00F5517F">
      <w:pPr>
        <w:pStyle w:val="ParaNoNdepar-AltN"/>
        <w:rPr>
          <w:rFonts w:cs="Times New Roman"/>
          <w:lang w:val="fr-CA" w:bidi="en-US"/>
        </w:rPr>
      </w:pPr>
      <w:r w:rsidRPr="006C1161">
        <w:rPr>
          <w:rFonts w:cs="Times New Roman"/>
          <w:lang w:val="fr-CA" w:bidi="en-US"/>
        </w:rPr>
        <w:t xml:space="preserve">En concluant de la sorte, je ne souhaite pas remettre en question l’importance capitale, pour l’administration de la justice, de la doctrine de l’autorité de la chose jugée.  Cette doctrine vise à éviter la réouverture des affaires déjà jugées par un tribunal compétent.  Toutefois, j’estime qu’étendre la portée de cette doctrine et l’appliquer aux circonstances particulières de l’espèce empiéterait indûment sur la prérogative du législateur d’écarter les effets d’un jugement définitif qui lierait par ailleurs les parties.  En termes plus simples, alors que l’autorité de la chose jugée peut empêcher une partie de demander à un tribunal d’annuler les effets d’une décision qui tranche une question, elle empêche seulement le </w:t>
      </w:r>
      <w:r w:rsidRPr="006C1161">
        <w:rPr>
          <w:rFonts w:cs="Times New Roman"/>
          <w:i/>
          <w:lang w:val="fr-CA" w:bidi="en-US"/>
        </w:rPr>
        <w:t>législateur</w:t>
      </w:r>
      <w:r w:rsidRPr="006C1161">
        <w:rPr>
          <w:rFonts w:cs="Times New Roman"/>
          <w:lang w:val="fr-CA" w:bidi="en-US"/>
        </w:rPr>
        <w:t xml:space="preserve"> d’annuler l’effet d’une décision qui tranche une affaire.</w:t>
      </w:r>
    </w:p>
    <w:p w:rsidR="00F5517F" w:rsidRPr="006C1161" w:rsidRDefault="00F5517F" w:rsidP="00F5517F">
      <w:pPr>
        <w:pStyle w:val="ParaNoNdepar-AltN"/>
        <w:rPr>
          <w:rFonts w:cs="Times New Roman"/>
          <w:lang w:val="fr-CA" w:bidi="en-US"/>
        </w:rPr>
      </w:pPr>
      <w:r w:rsidRPr="006C1161">
        <w:rPr>
          <w:rFonts w:cs="Times New Roman"/>
          <w:lang w:val="fr-CA" w:bidi="en-US"/>
        </w:rPr>
        <w:t xml:space="preserve">Selon la jurisprudence de la Cour, seul un jugement définitif rendu sur le fond de l’affaire ferait obstacle à l’application d’une interprétation formulée dans une loi déclaratoire. </w:t>
      </w:r>
    </w:p>
    <w:p w:rsidR="00F5517F" w:rsidRPr="006C1161" w:rsidRDefault="00F5517F" w:rsidP="00F5517F">
      <w:pPr>
        <w:pStyle w:val="ParaNoNdepar-AltN"/>
        <w:rPr>
          <w:rFonts w:cs="Times New Roman"/>
          <w:lang w:val="fr-CA"/>
        </w:rPr>
      </w:pPr>
      <w:r w:rsidRPr="006C1161">
        <w:rPr>
          <w:rFonts w:cs="Times New Roman"/>
          <w:lang w:val="fr-CA"/>
        </w:rPr>
        <w:lastRenderedPageBreak/>
        <w:t>L’arrêt de la Cour d’appel n’a statué définitivement que sur une question de droit relative à l’interprétation de certaines disposit</w:t>
      </w:r>
      <w:r w:rsidR="00592C48">
        <w:rPr>
          <w:rFonts w:cs="Times New Roman"/>
          <w:lang w:val="fr-CA"/>
        </w:rPr>
        <w:t>ions des R</w:t>
      </w:r>
      <w:r w:rsidRPr="006C1161">
        <w:rPr>
          <w:rFonts w:cs="Times New Roman"/>
          <w:lang w:val="fr-CA"/>
        </w:rPr>
        <w:t xml:space="preserve">ègles et à leur compatibilité avec la </w:t>
      </w:r>
      <w:r w:rsidRPr="006C1161">
        <w:rPr>
          <w:rFonts w:cs="Times New Roman"/>
          <w:i/>
          <w:lang w:val="fr-CA"/>
        </w:rPr>
        <w:t>LRCR</w:t>
      </w:r>
      <w:r w:rsidRPr="006C1161">
        <w:rPr>
          <w:rFonts w:cs="Times New Roman"/>
          <w:lang w:val="fr-CA"/>
        </w:rPr>
        <w:t xml:space="preserve">.  La cour a renvoyé à la Régie la question des droits substantiels des parties pour qu’elle en décide en tenant compte de cette interprétation.  Le 20 juin 2008, le litige entre les parties n’avait donc pas connu de résolution définitive.  Les modalités </w:t>
      </w:r>
      <w:r w:rsidR="00592C48">
        <w:rPr>
          <w:rFonts w:cs="Times New Roman"/>
          <w:lang w:val="fr-CA"/>
        </w:rPr>
        <w:t>des terminaisons partielles du R</w:t>
      </w:r>
      <w:r w:rsidRPr="006C1161">
        <w:rPr>
          <w:rFonts w:cs="Times New Roman"/>
          <w:lang w:val="fr-CA"/>
        </w:rPr>
        <w:t xml:space="preserve">égime n’avaient pas encore été établies.  Le litige entre les parties était donc toujours pendant lorsque les dispositions déclaratoires sont entrées en vigueur, et l’autorité compétente à qui il appartenait de résoudre le litige entre les parties pouvait alors donner effet aux dispositions déclaratoires. </w:t>
      </w:r>
    </w:p>
    <w:p w:rsidR="00F5517F" w:rsidRPr="006C1161" w:rsidRDefault="00F5517F" w:rsidP="00F5517F">
      <w:pPr>
        <w:pStyle w:val="ParaNoNdepar-AltN"/>
        <w:rPr>
          <w:rFonts w:cs="Times New Roman"/>
          <w:lang w:val="fr-CA"/>
        </w:rPr>
      </w:pPr>
      <w:r w:rsidRPr="006C1161">
        <w:rPr>
          <w:rFonts w:cs="Times New Roman"/>
          <w:lang w:val="fr-CA"/>
        </w:rPr>
        <w:t xml:space="preserve">La Cour d’appel lui ayant renvoyé la cause, la Régie était une autorité compétente à qui il appartenait de trancher une affaire qui était pendante à l’entrée en vigueur des dispositions déclaratoires.  Elle pouvait donc tenir compte de ces dispositions pour statuer sur l’affaire. </w:t>
      </w:r>
    </w:p>
    <w:p w:rsidR="00F5517F" w:rsidRPr="006C1161" w:rsidRDefault="00F5517F" w:rsidP="00F5517F">
      <w:pPr>
        <w:pStyle w:val="TitleTitre-AltT"/>
        <w:keepLines/>
        <w:tabs>
          <w:tab w:val="clear" w:pos="360"/>
          <w:tab w:val="left" w:pos="1170"/>
        </w:tabs>
        <w:ind w:left="1620" w:hanging="1620"/>
        <w:rPr>
          <w:rFonts w:cs="Times New Roman"/>
          <w:u w:val="single"/>
          <w:lang w:val="fr-CA"/>
        </w:rPr>
      </w:pPr>
      <w:r w:rsidRPr="006C1161">
        <w:rPr>
          <w:rFonts w:cs="Times New Roman"/>
          <w:lang w:val="fr-CA"/>
        </w:rPr>
        <w:tab/>
      </w:r>
      <w:r w:rsidR="00D6795A">
        <w:rPr>
          <w:rFonts w:cs="Times New Roman"/>
          <w:lang w:val="fr-CA"/>
        </w:rPr>
        <w:t>(</w:t>
      </w:r>
      <w:r w:rsidRPr="006C1161">
        <w:rPr>
          <w:rFonts w:cs="Times New Roman"/>
          <w:lang w:val="fr-CA"/>
        </w:rPr>
        <w:t>2)</w:t>
      </w:r>
      <w:r w:rsidRPr="006C1161">
        <w:rPr>
          <w:rFonts w:cs="Times New Roman"/>
          <w:i/>
          <w:lang w:val="fr-CA"/>
        </w:rPr>
        <w:tab/>
      </w:r>
      <w:r w:rsidRPr="006C1161">
        <w:rPr>
          <w:rFonts w:cs="Times New Roman"/>
          <w:u w:val="single"/>
          <w:lang w:val="fr-CA"/>
        </w:rPr>
        <w:t>Portée d’une décision portant renvoi d’une affaire et assortie de directives</w:t>
      </w:r>
    </w:p>
    <w:p w:rsidR="00F5517F" w:rsidRPr="006C1161" w:rsidRDefault="00F5517F" w:rsidP="00F5517F">
      <w:pPr>
        <w:pStyle w:val="ParaNoNdepar-AltN"/>
        <w:rPr>
          <w:rFonts w:cs="Times New Roman"/>
          <w:lang w:val="fr-CA"/>
        </w:rPr>
      </w:pPr>
      <w:r w:rsidRPr="006C1161">
        <w:rPr>
          <w:rFonts w:cs="Times New Roman"/>
          <w:lang w:val="fr-CA"/>
        </w:rPr>
        <w:t xml:space="preserve">Dans sa décision du 2 avril 2008, la Cour d’appel a renvoyé l’affaire à la Régie en lui ordonnant de réviser ses décisions conformément aux motifs de l’arrêt.  Ayant statué sur la question de l’autorité de la chose jugée qui a découlé de la décision de la Cour d’appel, je vais maintenant traiter de la question du </w:t>
      </w:r>
      <w:r w:rsidRPr="006C1161">
        <w:rPr>
          <w:rFonts w:cs="Times New Roman"/>
          <w:i/>
          <w:lang w:val="fr-CA"/>
        </w:rPr>
        <w:t>stare decisis</w:t>
      </w:r>
      <w:r w:rsidRPr="006C1161">
        <w:rPr>
          <w:rFonts w:cs="Times New Roman"/>
          <w:lang w:val="fr-CA"/>
        </w:rPr>
        <w:t>.</w:t>
      </w:r>
    </w:p>
    <w:p w:rsidR="00F5517F" w:rsidRPr="006C1161" w:rsidRDefault="00F5517F" w:rsidP="00F5517F">
      <w:pPr>
        <w:pStyle w:val="ParaNoNdepar-AltN"/>
        <w:rPr>
          <w:rFonts w:cs="Times New Roman"/>
          <w:lang w:val="fr-CA"/>
        </w:rPr>
      </w:pPr>
      <w:r w:rsidRPr="006C1161">
        <w:rPr>
          <w:rFonts w:cs="Times New Roman"/>
          <w:lang w:val="fr-CA"/>
        </w:rPr>
        <w:lastRenderedPageBreak/>
        <w:t>Multi</w:t>
      </w:r>
      <w:r w:rsidRPr="006C1161">
        <w:rPr>
          <w:rFonts w:cs="Times New Roman"/>
          <w:lang w:val="fr-CA"/>
        </w:rPr>
        <w:noBreakHyphen/>
        <w:t xml:space="preserve">Marques et Sean Kelly soutiennent que, parce que la Cour d’appel avait ordonné le renvoi en donnant des directives, la Régie n’exerçait qu’une compétence limitée et devait appliquer la loi telle que la Cour d’appel l’avait interprétée, sans tenir compte des changements postérieurs à l’arrêt. </w:t>
      </w:r>
    </w:p>
    <w:p w:rsidR="00F5517F" w:rsidRPr="006C1161" w:rsidRDefault="00F5517F" w:rsidP="00F5517F">
      <w:pPr>
        <w:pStyle w:val="ParaNoNdepar-AltN"/>
        <w:rPr>
          <w:rFonts w:cs="Times New Roman"/>
          <w:lang w:val="fr-CA"/>
        </w:rPr>
      </w:pPr>
      <w:r w:rsidRPr="006C1161">
        <w:rPr>
          <w:rFonts w:cs="Times New Roman"/>
          <w:lang w:val="fr-CA"/>
        </w:rPr>
        <w:t xml:space="preserve">Ce raisonnement est erroné parce qu’il se méprend sur la raison d’être du principe du </w:t>
      </w:r>
      <w:r w:rsidRPr="006C1161">
        <w:rPr>
          <w:rFonts w:cs="Times New Roman"/>
          <w:i/>
          <w:lang w:val="fr-CA"/>
        </w:rPr>
        <w:t>stare decisis</w:t>
      </w:r>
      <w:r w:rsidRPr="006C1161">
        <w:rPr>
          <w:rFonts w:cs="Times New Roman"/>
          <w:lang w:val="fr-CA"/>
        </w:rPr>
        <w:t xml:space="preserve">. </w:t>
      </w:r>
      <w:r w:rsidRPr="006C1161">
        <w:rPr>
          <w:rFonts w:cs="Times New Roman"/>
          <w:i/>
          <w:lang w:val="fr-CA"/>
        </w:rPr>
        <w:t xml:space="preserve"> </w:t>
      </w:r>
      <w:r w:rsidRPr="006C1161">
        <w:rPr>
          <w:rFonts w:cs="Times New Roman"/>
          <w:lang w:val="fr-CA"/>
        </w:rPr>
        <w:t xml:space="preserve">Lorsqu’il revient à un décideur administratif de suivre les directives d’une cour de révision, c’est en application du principe du </w:t>
      </w:r>
      <w:r w:rsidRPr="006C1161">
        <w:rPr>
          <w:rFonts w:cs="Times New Roman"/>
          <w:i/>
          <w:lang w:val="fr-CA"/>
        </w:rPr>
        <w:t>stare decisis</w:t>
      </w:r>
      <w:r w:rsidRPr="006C1161">
        <w:rPr>
          <w:rFonts w:cs="Times New Roman"/>
          <w:lang w:val="fr-CA"/>
        </w:rPr>
        <w:t xml:space="preserve"> : </w:t>
      </w:r>
      <w:r w:rsidRPr="006C1161">
        <w:rPr>
          <w:rFonts w:cs="Times New Roman"/>
          <w:i/>
          <w:lang w:val="fr-CA"/>
        </w:rPr>
        <w:t>Canada (Commissaire de la concurrence)</w:t>
      </w:r>
      <w:r w:rsidRPr="006C1161">
        <w:rPr>
          <w:rFonts w:cs="Times New Roman"/>
          <w:lang w:val="fr-CA"/>
        </w:rPr>
        <w:t xml:space="preserve"> </w:t>
      </w:r>
      <w:r w:rsidRPr="006C1161">
        <w:rPr>
          <w:rFonts w:cs="Times New Roman"/>
          <w:i/>
          <w:lang w:val="fr-CA"/>
        </w:rPr>
        <w:t>c. Supérieur Propane Inc.</w:t>
      </w:r>
      <w:r w:rsidRPr="006C1161">
        <w:rPr>
          <w:rFonts w:cs="Times New Roman"/>
          <w:lang w:val="fr-CA"/>
        </w:rPr>
        <w:t xml:space="preserve">, 2003 CAF 53, [2003] 3 C.F. 529, par. 54.  Le décideur est donc tenu de suivre ces directives dans la seule mesure où elles demeurent juridiquement valables. </w:t>
      </w:r>
    </w:p>
    <w:p w:rsidR="00F5517F" w:rsidRPr="006C1161" w:rsidRDefault="00F5517F" w:rsidP="00F5517F">
      <w:pPr>
        <w:pStyle w:val="ParaNoNdepar-AltN"/>
        <w:rPr>
          <w:rFonts w:cs="Times New Roman"/>
          <w:lang w:val="fr-CA"/>
        </w:rPr>
      </w:pPr>
      <w:r w:rsidRPr="006C1161">
        <w:rPr>
          <w:rFonts w:cs="Times New Roman"/>
          <w:lang w:val="fr-CA"/>
        </w:rPr>
        <w:t xml:space="preserve">En l’espèce, la compétence de la Régie, une fois que l’affaire lui a été renvoyée, n’était limitée que par le principe du </w:t>
      </w:r>
      <w:r w:rsidRPr="006C1161">
        <w:rPr>
          <w:rFonts w:cs="Times New Roman"/>
          <w:i/>
          <w:lang w:val="fr-CA"/>
        </w:rPr>
        <w:t>stare decisis</w:t>
      </w:r>
      <w:r w:rsidRPr="006C1161">
        <w:rPr>
          <w:rFonts w:cs="Times New Roman"/>
          <w:lang w:val="fr-CA"/>
        </w:rPr>
        <w:t xml:space="preserve">.  C’est ce principe qui obligeait la Régie à appliquer à l’affaire dont elle était saisie l’interprétation établie par la Cour d’appel.  Toutefois, lorsqu’elle est entrée en vigueur, la loi déclaratoire a pris valeur jurisprudentielle et a infirmé l’interprétation de la Cour d’appel.  Cette loi est alors devenue le nouveau précédent obligatoire relativement à l’interprétation de certaines dispositions de la </w:t>
      </w:r>
      <w:r w:rsidRPr="006C1161">
        <w:rPr>
          <w:rFonts w:cs="Times New Roman"/>
          <w:i/>
          <w:lang w:val="fr-CA"/>
        </w:rPr>
        <w:t>LRCR</w:t>
      </w:r>
      <w:r w:rsidRPr="006C1161">
        <w:rPr>
          <w:rFonts w:cs="Times New Roman"/>
          <w:lang w:val="fr-CA"/>
        </w:rPr>
        <w:t xml:space="preserve">.  Ainsi, suivant le principe du </w:t>
      </w:r>
      <w:r w:rsidRPr="006C1161">
        <w:rPr>
          <w:rFonts w:cs="Times New Roman"/>
          <w:i/>
          <w:lang w:val="fr-CA"/>
        </w:rPr>
        <w:t>stare decisis</w:t>
      </w:r>
      <w:r w:rsidRPr="006C1161">
        <w:rPr>
          <w:rFonts w:cs="Times New Roman"/>
          <w:lang w:val="fr-CA"/>
        </w:rPr>
        <w:t xml:space="preserve">, les modifications juridiques opérées par une loi déclaratoire avant le règlement définitif d’un litige annulent la valeur de précédent des directives d’une cour de révision qui sont contraires.  Si un nouveau précédent de notre Cour avait modifié entre-temps le droit relatif à la question litigieuse, la Régie aurait été liée par l’arrêt de notre Cour </w:t>
      </w:r>
      <w:r w:rsidRPr="006C1161">
        <w:rPr>
          <w:rFonts w:cs="Times New Roman"/>
          <w:lang w:val="fr-CA"/>
        </w:rPr>
        <w:lastRenderedPageBreak/>
        <w:t xml:space="preserve">tout comme elle est liée par la loi en question.  En l’espèce, la loi déclaratoire n’est pas ambiguë et l’Assemblée nationale a décidé unanimement de contrer l’effet de la décision de la Cour d’appel en permettant à la Régie d’interpréter la </w:t>
      </w:r>
      <w:r w:rsidRPr="006C1161">
        <w:rPr>
          <w:rFonts w:cs="Times New Roman"/>
          <w:i/>
          <w:lang w:val="fr-CA"/>
        </w:rPr>
        <w:t>LRCR</w:t>
      </w:r>
      <w:r w:rsidRPr="006C1161">
        <w:rPr>
          <w:rFonts w:cs="Times New Roman"/>
          <w:lang w:val="fr-CA"/>
        </w:rPr>
        <w:t xml:space="preserve"> conformément à ce que le législateur considérait être les véritables objectifs de cette loi.  L’intervention du législateur a donc privé les directives de la Cour d’appel de leur validité juridique.  En conséquence, la Régie n’était pas seulement habilitée à interpréter la </w:t>
      </w:r>
      <w:r w:rsidRPr="006C1161">
        <w:rPr>
          <w:rFonts w:cs="Times New Roman"/>
          <w:i/>
          <w:lang w:val="fr-CA"/>
        </w:rPr>
        <w:t>LRCR</w:t>
      </w:r>
      <w:r w:rsidRPr="006C1161">
        <w:rPr>
          <w:rFonts w:cs="Times New Roman"/>
          <w:lang w:val="fr-CA"/>
        </w:rPr>
        <w:t xml:space="preserve"> en fonction des dispositions déclaratoires, elle en avait l’obligation. </w:t>
      </w:r>
    </w:p>
    <w:p w:rsidR="00F5517F" w:rsidRPr="006C1161" w:rsidRDefault="00F5517F" w:rsidP="00F5517F">
      <w:pPr>
        <w:pStyle w:val="ParaNoNdepar-AltN"/>
        <w:rPr>
          <w:rFonts w:cs="Times New Roman"/>
          <w:lang w:val="fr-CA"/>
        </w:rPr>
      </w:pPr>
      <w:r w:rsidRPr="006C1161">
        <w:rPr>
          <w:rFonts w:cs="Times New Roman"/>
          <w:lang w:val="fr-CA"/>
        </w:rPr>
        <w:t xml:space="preserve">Enfin, il faut signaler qu’il incombait à la Régie, aux termes de la </w:t>
      </w:r>
      <w:r w:rsidRPr="006C1161">
        <w:rPr>
          <w:rFonts w:cs="Times New Roman"/>
          <w:i/>
          <w:lang w:val="fr-CA"/>
        </w:rPr>
        <w:t>LRCR</w:t>
      </w:r>
      <w:r w:rsidRPr="006C1161">
        <w:rPr>
          <w:rFonts w:cs="Times New Roman"/>
          <w:lang w:val="fr-CA"/>
        </w:rPr>
        <w:t xml:space="preserve">, de donner effet au droit applicable, et elle devait donc attribuer à la </w:t>
      </w:r>
      <w:r w:rsidRPr="006C1161">
        <w:rPr>
          <w:rFonts w:cs="Times New Roman"/>
          <w:i/>
          <w:lang w:val="fr-CA"/>
        </w:rPr>
        <w:t>LRCR</w:t>
      </w:r>
      <w:r w:rsidRPr="006C1161">
        <w:rPr>
          <w:rFonts w:cs="Times New Roman"/>
          <w:lang w:val="fr-CA"/>
        </w:rPr>
        <w:t xml:space="preserve"> le sens que celle</w:t>
      </w:r>
      <w:r w:rsidRPr="006C1161">
        <w:rPr>
          <w:rFonts w:cs="Times New Roman"/>
          <w:lang w:val="fr-CA"/>
        </w:rPr>
        <w:noBreakHyphen/>
        <w:t xml:space="preserve">ci avait toujours eu, selon la loi déclaratoire.  Les lois déclaratoires ayant une portée rétroactive, la </w:t>
      </w:r>
      <w:r w:rsidRPr="006C1161">
        <w:rPr>
          <w:rFonts w:cs="Times New Roman"/>
          <w:i/>
          <w:lang w:val="fr-CA"/>
        </w:rPr>
        <w:t>LRCR</w:t>
      </w:r>
      <w:r w:rsidRPr="006C1161">
        <w:rPr>
          <w:rFonts w:cs="Times New Roman"/>
          <w:lang w:val="fr-CA"/>
        </w:rPr>
        <w:t xml:space="preserve"> est réputée avoir inclus les dispositions en cause depuis son adoption.  Selon l’art. 202 de la </w:t>
      </w:r>
      <w:r w:rsidRPr="006C1161">
        <w:rPr>
          <w:rFonts w:cs="Times New Roman"/>
          <w:i/>
          <w:lang w:val="fr-CA"/>
        </w:rPr>
        <w:t>LRCR</w:t>
      </w:r>
      <w:r w:rsidRPr="006C1161">
        <w:rPr>
          <w:rFonts w:cs="Times New Roman"/>
          <w:lang w:val="fr-CA"/>
        </w:rPr>
        <w:t xml:space="preserve">, lorsqu’un employeur se retire d’un régime de retraite interentreprises, le comité de retraite doit transmettre à la Régie « un rapport établissant les droits de chacun des participants et bénéficiaires visés ainsi que leur valeur ».  Selon l’art. 203 de la même loi, la Régie ne peut autoriser le retrait si le rapport n’est pas conforme à la </w:t>
      </w:r>
      <w:r w:rsidRPr="006C1161">
        <w:rPr>
          <w:rFonts w:cs="Times New Roman"/>
          <w:i/>
          <w:lang w:val="fr-CA"/>
        </w:rPr>
        <w:t>LRCR</w:t>
      </w:r>
      <w:r w:rsidRPr="006C1161">
        <w:rPr>
          <w:rFonts w:cs="Times New Roman"/>
          <w:lang w:val="fr-CA"/>
        </w:rPr>
        <w:t>.  Bien que l’obligation légale de la Régie de délivrer un certificat conformément à la loi ne soit pas ce qui l’habilite principalement à passer outre à la décision de la Cour d’appel, cette obligation permet certainement d’affirmer que la Régie ne peut appliquer une règle de droit invalide.</w:t>
      </w:r>
    </w:p>
    <w:p w:rsidR="00F5517F" w:rsidRPr="006C1161" w:rsidRDefault="00F5517F" w:rsidP="00F5517F">
      <w:pPr>
        <w:pStyle w:val="TitleTitre-AltT"/>
        <w:tabs>
          <w:tab w:val="clear" w:pos="360"/>
          <w:tab w:val="left" w:pos="450"/>
        </w:tabs>
        <w:ind w:left="450" w:hanging="450"/>
        <w:rPr>
          <w:rFonts w:cs="Times New Roman"/>
          <w:lang w:val="fr-CA"/>
        </w:rPr>
      </w:pPr>
      <w:r w:rsidRPr="006C1161">
        <w:rPr>
          <w:rFonts w:cs="Times New Roman"/>
          <w:lang w:val="fr-CA"/>
        </w:rPr>
        <w:lastRenderedPageBreak/>
        <w:t>VI.</w:t>
      </w:r>
      <w:r w:rsidRPr="006C1161">
        <w:rPr>
          <w:rFonts w:cs="Times New Roman"/>
          <w:lang w:val="fr-CA"/>
        </w:rPr>
        <w:tab/>
      </w:r>
      <w:r w:rsidRPr="006C1161">
        <w:rPr>
          <w:rFonts w:cs="Times New Roman"/>
          <w:u w:val="single"/>
          <w:lang w:val="fr-CA"/>
        </w:rPr>
        <w:t>Conclusion</w:t>
      </w:r>
    </w:p>
    <w:p w:rsidR="00F5517F" w:rsidRPr="006C1161" w:rsidRDefault="00F5517F" w:rsidP="00F5517F">
      <w:pPr>
        <w:pStyle w:val="ParaNoNdepar-AltN"/>
        <w:rPr>
          <w:rFonts w:cs="Times New Roman"/>
          <w:lang w:val="fr-CA"/>
        </w:rPr>
      </w:pPr>
      <w:r w:rsidRPr="006C1161">
        <w:rPr>
          <w:rFonts w:cs="Times New Roman"/>
          <w:lang w:val="fr-CA"/>
        </w:rPr>
        <w:t>Pour ces motifs, je suis d’avis d’accueillir le pourvoi avec dépens dans toutes les cours.</w:t>
      </w:r>
    </w:p>
    <w:p w:rsidR="00F5517F" w:rsidRPr="00D6795A" w:rsidRDefault="00D6795A" w:rsidP="00F5517F">
      <w:pPr>
        <w:pStyle w:val="JudgeJuge"/>
        <w:spacing w:before="480"/>
        <w:rPr>
          <w:smallCaps w:val="0"/>
          <w:lang w:val="fr-CA"/>
        </w:rPr>
      </w:pPr>
      <w:r w:rsidRPr="00D6795A">
        <w:rPr>
          <w:smallCaps w:val="0"/>
          <w:lang w:val="fr-CA"/>
        </w:rPr>
        <w:tab/>
        <w:t>Version f</w:t>
      </w:r>
      <w:r>
        <w:rPr>
          <w:smallCaps w:val="0"/>
          <w:lang w:val="fr-CA"/>
        </w:rPr>
        <w:t>rançaise des motifs de la juge en chef McLachlin et du juge Fish</w:t>
      </w:r>
      <w:r w:rsidR="00E75B84">
        <w:rPr>
          <w:smallCaps w:val="0"/>
          <w:lang w:val="fr-CA"/>
        </w:rPr>
        <w:t xml:space="preserve"> rendus par</w:t>
      </w:r>
    </w:p>
    <w:p w:rsidR="00F5517F" w:rsidRPr="00415D8B" w:rsidRDefault="00F5517F" w:rsidP="00F5517F">
      <w:pPr>
        <w:pStyle w:val="JudgeJuge"/>
        <w:spacing w:before="480"/>
        <w:rPr>
          <w:lang w:val="fr-CA"/>
        </w:rPr>
      </w:pPr>
      <w:r w:rsidRPr="00415D8B">
        <w:rPr>
          <w:lang w:val="fr-CA"/>
        </w:rPr>
        <w:tab/>
        <w:t>La Juge en chef</w:t>
      </w:r>
      <w:r w:rsidR="00D6795A">
        <w:rPr>
          <w:lang w:val="fr-CA"/>
        </w:rPr>
        <w:t xml:space="preserve"> </w:t>
      </w:r>
      <w:r w:rsidR="00D6795A" w:rsidRPr="00D6795A">
        <w:rPr>
          <w:smallCaps w:val="0"/>
          <w:lang w:val="fr-CA"/>
        </w:rPr>
        <w:t>(dissidente)</w:t>
      </w:r>
      <w:r w:rsidR="00D6795A">
        <w:rPr>
          <w:lang w:val="fr-CA"/>
        </w:rPr>
        <w:t xml:space="preserve"> </w:t>
      </w:r>
      <w:r w:rsidRPr="00415D8B">
        <w:rPr>
          <w:lang w:val="fr-CA"/>
        </w:rPr>
        <w:t xml:space="preserve"> — </w:t>
      </w:r>
    </w:p>
    <w:p w:rsidR="00F5517F" w:rsidRPr="00415D8B" w:rsidRDefault="00F5517F" w:rsidP="00F5517F">
      <w:pPr>
        <w:pStyle w:val="TitleTitre-AltT"/>
        <w:tabs>
          <w:tab w:val="clear" w:pos="360"/>
          <w:tab w:val="left" w:pos="450"/>
        </w:tabs>
        <w:ind w:left="450" w:hanging="450"/>
        <w:rPr>
          <w:rFonts w:cs="Times New Roman"/>
          <w:lang w:val="fr-CA"/>
        </w:rPr>
      </w:pPr>
      <w:r w:rsidRPr="00415D8B">
        <w:rPr>
          <w:rFonts w:cs="Times New Roman"/>
          <w:lang w:val="fr-CA"/>
        </w:rPr>
        <w:t>I.</w:t>
      </w:r>
      <w:r w:rsidRPr="00415D8B">
        <w:rPr>
          <w:rFonts w:cs="Times New Roman"/>
          <w:lang w:val="fr-CA"/>
        </w:rPr>
        <w:tab/>
      </w:r>
      <w:r w:rsidRPr="00415D8B">
        <w:rPr>
          <w:rFonts w:cs="Times New Roman"/>
          <w:u w:val="single"/>
          <w:lang w:val="fr-CA"/>
        </w:rPr>
        <w:t>Introduction</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Conformément au principe de la primauté du droit, toutes les décisions administratives sont assujetties au contrôle des cours de compétence inhérente.  « Le contrôle judiciaire [. . .] vise à assurer la légalité, la rationalité et l</w:t>
      </w:r>
      <w:r>
        <w:rPr>
          <w:rFonts w:cs="Times New Roman"/>
          <w:lang w:val="fr-CA"/>
        </w:rPr>
        <w:t>’</w:t>
      </w:r>
      <w:r w:rsidRPr="00415D8B">
        <w:rPr>
          <w:rFonts w:cs="Times New Roman"/>
          <w:lang w:val="fr-CA"/>
        </w:rPr>
        <w:t>équité du processus administratif et de la décision rendue »  (</w:t>
      </w:r>
      <w:r w:rsidRPr="00415D8B">
        <w:rPr>
          <w:rFonts w:cs="Times New Roman"/>
          <w:i/>
          <w:lang w:val="fr-CA"/>
        </w:rPr>
        <w:t>Dunsmuir c. Nouveau</w:t>
      </w:r>
      <w:r w:rsidRPr="00415D8B">
        <w:rPr>
          <w:rFonts w:cs="Times New Roman"/>
          <w:i/>
          <w:lang w:val="fr-CA"/>
        </w:rPr>
        <w:noBreakHyphen/>
        <w:t>Brunswick</w:t>
      </w:r>
      <w:r w:rsidRPr="00415D8B">
        <w:rPr>
          <w:rFonts w:cs="Times New Roman"/>
          <w:lang w:val="fr-CA"/>
        </w:rPr>
        <w:t>, 2008 CSC 9, [2008] 1 R.C.S. 190, par. 28).  Les décideurs administratifs n</w:t>
      </w:r>
      <w:r>
        <w:rPr>
          <w:rFonts w:cs="Times New Roman"/>
          <w:lang w:val="fr-CA"/>
        </w:rPr>
        <w:t>’</w:t>
      </w:r>
      <w:r w:rsidRPr="00415D8B">
        <w:rPr>
          <w:rFonts w:cs="Times New Roman"/>
          <w:lang w:val="fr-CA"/>
        </w:rPr>
        <w:t>ont pas le pouvoir de remettre en question le jugement définitif rendu sur la légalité de leurs décisions par une cour de compétence inhérente, car le processus de contrôle judiciaire s</w:t>
      </w:r>
      <w:r>
        <w:rPr>
          <w:rFonts w:cs="Times New Roman"/>
          <w:lang w:val="fr-CA"/>
        </w:rPr>
        <w:t>’</w:t>
      </w:r>
      <w:r w:rsidRPr="00415D8B">
        <w:rPr>
          <w:rFonts w:cs="Times New Roman"/>
          <w:lang w:val="fr-CA"/>
        </w:rPr>
        <w:t>en trouverait alors compromis et la primauté du droit menacée.  Je crains que les motifs de la majorité en l</w:t>
      </w:r>
      <w:r>
        <w:rPr>
          <w:rFonts w:cs="Times New Roman"/>
          <w:lang w:val="fr-CA"/>
        </w:rPr>
        <w:t>’</w:t>
      </w:r>
      <w:r w:rsidRPr="00415D8B">
        <w:rPr>
          <w:rFonts w:cs="Times New Roman"/>
          <w:lang w:val="fr-CA"/>
        </w:rPr>
        <w:t>espèce n</w:t>
      </w:r>
      <w:r>
        <w:rPr>
          <w:rFonts w:cs="Times New Roman"/>
          <w:lang w:val="fr-CA"/>
        </w:rPr>
        <w:t>’</w:t>
      </w:r>
      <w:r w:rsidRPr="00415D8B">
        <w:rPr>
          <w:rFonts w:cs="Times New Roman"/>
          <w:lang w:val="fr-CA"/>
        </w:rPr>
        <w:t>aient exactement cet effet.  Ils permettent en effet à la Régie des rentes du Québec (« Régie ») de passer outre aux directives claires de la Cour d</w:t>
      </w:r>
      <w:r>
        <w:rPr>
          <w:rFonts w:cs="Times New Roman"/>
          <w:lang w:val="fr-CA"/>
        </w:rPr>
        <w:t>’</w:t>
      </w:r>
      <w:r w:rsidRPr="00415D8B">
        <w:rPr>
          <w:rFonts w:cs="Times New Roman"/>
          <w:lang w:val="fr-CA"/>
        </w:rPr>
        <w:t xml:space="preserve">appel du Québec et de rouvrir une question qui, pour les parties au présent pourvoi, a été définitivement tranchée par les tribunaux judiciaires.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lastRenderedPageBreak/>
        <w:t>Comme mon collègue le juge Wagner, je suis d</w:t>
      </w:r>
      <w:r>
        <w:rPr>
          <w:rFonts w:cs="Times New Roman"/>
          <w:lang w:val="fr-CA"/>
        </w:rPr>
        <w:t>’</w:t>
      </w:r>
      <w:r w:rsidRPr="00415D8B">
        <w:rPr>
          <w:rFonts w:cs="Times New Roman"/>
          <w:lang w:val="fr-CA"/>
        </w:rPr>
        <w:t>avis que le législateur a le pouvoir d</w:t>
      </w:r>
      <w:r>
        <w:rPr>
          <w:rFonts w:cs="Times New Roman"/>
          <w:lang w:val="fr-CA"/>
        </w:rPr>
        <w:t>’</w:t>
      </w:r>
      <w:r w:rsidRPr="00415D8B">
        <w:rPr>
          <w:rFonts w:cs="Times New Roman"/>
          <w:lang w:val="fr-CA"/>
        </w:rPr>
        <w:t>édicter des dispositions déclaratoires de portée rétroactive et que de telles dispositions s</w:t>
      </w:r>
      <w:r>
        <w:rPr>
          <w:rFonts w:cs="Times New Roman"/>
          <w:lang w:val="fr-CA"/>
        </w:rPr>
        <w:t>’</w:t>
      </w:r>
      <w:r w:rsidRPr="00415D8B">
        <w:rPr>
          <w:rFonts w:cs="Times New Roman"/>
          <w:lang w:val="fr-CA"/>
        </w:rPr>
        <w:t>appliquent à toutes les affaires pendantes.  Mais, en tout respect pour l</w:t>
      </w:r>
      <w:r>
        <w:rPr>
          <w:rFonts w:cs="Times New Roman"/>
          <w:lang w:val="fr-CA"/>
        </w:rPr>
        <w:t>’</w:t>
      </w:r>
      <w:r w:rsidRPr="00415D8B">
        <w:rPr>
          <w:rFonts w:cs="Times New Roman"/>
          <w:lang w:val="fr-CA"/>
        </w:rPr>
        <w:t>opinion contraire, j</w:t>
      </w:r>
      <w:r>
        <w:rPr>
          <w:rFonts w:cs="Times New Roman"/>
          <w:lang w:val="fr-CA"/>
        </w:rPr>
        <w:t>’</w:t>
      </w:r>
      <w:r w:rsidRPr="00415D8B">
        <w:rPr>
          <w:rFonts w:cs="Times New Roman"/>
          <w:lang w:val="fr-CA"/>
        </w:rPr>
        <w:t>estime que ces principes ne suffisent pas pour décider du présent pourvoi.  La question fondamentale qui se pose en l</w:t>
      </w:r>
      <w:r>
        <w:rPr>
          <w:rFonts w:cs="Times New Roman"/>
          <w:lang w:val="fr-CA"/>
        </w:rPr>
        <w:t>’</w:t>
      </w:r>
      <w:r w:rsidRPr="00415D8B">
        <w:rPr>
          <w:rFonts w:cs="Times New Roman"/>
          <w:lang w:val="fr-CA"/>
        </w:rPr>
        <w:t>espèce est celle de savoir si un décideur administratif peut faire abstraction des directives d</w:t>
      </w:r>
      <w:r>
        <w:rPr>
          <w:rFonts w:cs="Times New Roman"/>
          <w:lang w:val="fr-CA"/>
        </w:rPr>
        <w:t>’</w:t>
      </w:r>
      <w:r w:rsidRPr="00415D8B">
        <w:rPr>
          <w:rFonts w:cs="Times New Roman"/>
          <w:lang w:val="fr-CA"/>
        </w:rPr>
        <w:t>une cour exerçant sur lui un pouvoir de surveillance et rétablir en substance sa décision initiale annulée à l</w:t>
      </w:r>
      <w:r>
        <w:rPr>
          <w:rFonts w:cs="Times New Roman"/>
          <w:lang w:val="fr-CA"/>
        </w:rPr>
        <w:t>’</w:t>
      </w:r>
      <w:r w:rsidRPr="00415D8B">
        <w:rPr>
          <w:rFonts w:cs="Times New Roman"/>
          <w:lang w:val="fr-CA"/>
        </w:rPr>
        <w:t>issue du contrôle judiciaire.  J</w:t>
      </w:r>
      <w:r>
        <w:rPr>
          <w:rFonts w:cs="Times New Roman"/>
          <w:lang w:val="fr-CA"/>
        </w:rPr>
        <w:t>’</w:t>
      </w:r>
      <w:r w:rsidRPr="00415D8B">
        <w:rPr>
          <w:rFonts w:cs="Times New Roman"/>
          <w:lang w:val="fr-CA"/>
        </w:rPr>
        <w:t>estime qu</w:t>
      </w:r>
      <w:r>
        <w:rPr>
          <w:rFonts w:cs="Times New Roman"/>
          <w:lang w:val="fr-CA"/>
        </w:rPr>
        <w:t>’</w:t>
      </w:r>
      <w:r w:rsidRPr="00415D8B">
        <w:rPr>
          <w:rFonts w:cs="Times New Roman"/>
          <w:lang w:val="fr-CA"/>
        </w:rPr>
        <w:t>il faut y répondre par la négative.</w:t>
      </w:r>
    </w:p>
    <w:p w:rsidR="00F5517F" w:rsidRPr="00415D8B" w:rsidRDefault="00F5517F" w:rsidP="00F5517F">
      <w:pPr>
        <w:pStyle w:val="TitleTitre-AltT"/>
        <w:tabs>
          <w:tab w:val="clear" w:pos="360"/>
          <w:tab w:val="left" w:pos="450"/>
        </w:tabs>
        <w:ind w:left="450" w:hanging="450"/>
        <w:rPr>
          <w:rFonts w:cs="Times New Roman"/>
          <w:lang w:val="fr-CA"/>
        </w:rPr>
      </w:pPr>
      <w:r w:rsidRPr="00415D8B">
        <w:rPr>
          <w:rFonts w:cs="Times New Roman"/>
          <w:lang w:val="fr-CA"/>
        </w:rPr>
        <w:t>II.</w:t>
      </w:r>
      <w:r w:rsidRPr="00415D8B">
        <w:rPr>
          <w:rFonts w:cs="Times New Roman"/>
          <w:lang w:val="fr-CA"/>
        </w:rPr>
        <w:tab/>
      </w:r>
      <w:r w:rsidRPr="00415D8B">
        <w:rPr>
          <w:rFonts w:cs="Times New Roman"/>
          <w:u w:val="single"/>
          <w:lang w:val="fr-CA"/>
        </w:rPr>
        <w:t>Faits et historique judiciaire</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Je m</w:t>
      </w:r>
      <w:r>
        <w:rPr>
          <w:rFonts w:cs="Times New Roman"/>
          <w:lang w:val="fr-CA"/>
        </w:rPr>
        <w:t>’</w:t>
      </w:r>
      <w:r w:rsidRPr="00415D8B">
        <w:rPr>
          <w:rFonts w:cs="Times New Roman"/>
          <w:lang w:val="fr-CA"/>
        </w:rPr>
        <w:t>en tiendrai à l</w:t>
      </w:r>
      <w:r>
        <w:rPr>
          <w:rFonts w:cs="Times New Roman"/>
          <w:lang w:val="fr-CA"/>
        </w:rPr>
        <w:t>’</w:t>
      </w:r>
      <w:r w:rsidRPr="00415D8B">
        <w:rPr>
          <w:rFonts w:cs="Times New Roman"/>
          <w:lang w:val="fr-CA"/>
        </w:rPr>
        <w:t>excellent exposé des faits et de l</w:t>
      </w:r>
      <w:r>
        <w:rPr>
          <w:rFonts w:cs="Times New Roman"/>
          <w:lang w:val="fr-CA"/>
        </w:rPr>
        <w:t>’</w:t>
      </w:r>
      <w:r w:rsidRPr="00415D8B">
        <w:rPr>
          <w:rFonts w:cs="Times New Roman"/>
          <w:lang w:val="fr-CA"/>
        </w:rPr>
        <w:t xml:space="preserve">historique judiciaire formulé par mon collègue. </w:t>
      </w:r>
    </w:p>
    <w:p w:rsidR="00F5517F" w:rsidRPr="00415D8B" w:rsidRDefault="00F5517F" w:rsidP="00F5517F">
      <w:pPr>
        <w:pStyle w:val="TitleTitre-AltT"/>
        <w:tabs>
          <w:tab w:val="clear" w:pos="360"/>
          <w:tab w:val="left" w:pos="450"/>
        </w:tabs>
        <w:ind w:left="450" w:hanging="450"/>
        <w:rPr>
          <w:rFonts w:cs="Times New Roman"/>
          <w:lang w:val="fr-CA"/>
        </w:rPr>
      </w:pPr>
      <w:r w:rsidRPr="00415D8B">
        <w:rPr>
          <w:rFonts w:cs="Times New Roman"/>
          <w:lang w:val="fr-CA"/>
        </w:rPr>
        <w:t>III.</w:t>
      </w:r>
      <w:r w:rsidRPr="00415D8B">
        <w:rPr>
          <w:rFonts w:cs="Times New Roman"/>
          <w:lang w:val="fr-CA"/>
        </w:rPr>
        <w:tab/>
      </w:r>
      <w:r w:rsidRPr="00415D8B">
        <w:rPr>
          <w:rFonts w:cs="Times New Roman"/>
          <w:u w:val="single"/>
          <w:lang w:val="fr-CA"/>
        </w:rPr>
        <w:t>Analyse</w:t>
      </w:r>
    </w:p>
    <w:p w:rsidR="00F5517F" w:rsidRPr="00415D8B" w:rsidRDefault="00F5517F" w:rsidP="00F5517F">
      <w:pPr>
        <w:pStyle w:val="TitleTitre-AltT"/>
        <w:tabs>
          <w:tab w:val="clear" w:pos="360"/>
          <w:tab w:val="left" w:pos="450"/>
        </w:tabs>
        <w:ind w:left="450" w:hanging="450"/>
        <w:rPr>
          <w:rFonts w:cs="Times New Roman"/>
          <w:lang w:val="fr-CA"/>
        </w:rPr>
      </w:pPr>
      <w:r w:rsidRPr="00415D8B">
        <w:rPr>
          <w:rFonts w:cs="Times New Roman"/>
          <w:lang w:val="fr-CA"/>
        </w:rPr>
        <w:t>A.</w:t>
      </w:r>
      <w:r w:rsidRPr="00415D8B">
        <w:rPr>
          <w:rFonts w:cs="Times New Roman"/>
          <w:lang w:val="fr-CA"/>
        </w:rPr>
        <w:tab/>
      </w:r>
      <w:r w:rsidRPr="00415D8B">
        <w:rPr>
          <w:rFonts w:cs="Times New Roman"/>
          <w:i/>
          <w:lang w:val="fr-CA"/>
        </w:rPr>
        <w:t>La Cour d</w:t>
      </w:r>
      <w:r>
        <w:rPr>
          <w:rFonts w:cs="Times New Roman"/>
          <w:i/>
          <w:lang w:val="fr-CA"/>
        </w:rPr>
        <w:t>’</w:t>
      </w:r>
      <w:r w:rsidRPr="00415D8B">
        <w:rPr>
          <w:rFonts w:cs="Times New Roman"/>
          <w:i/>
          <w:lang w:val="fr-CA"/>
        </w:rPr>
        <w:t>appel du Québec a statué définitivement sur la question de droit en litige</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Il est de droit constant qu</w:t>
      </w:r>
      <w:r>
        <w:rPr>
          <w:rFonts w:cs="Times New Roman"/>
          <w:lang w:val="fr-CA"/>
        </w:rPr>
        <w:t>’</w:t>
      </w:r>
      <w:r w:rsidRPr="00415D8B">
        <w:rPr>
          <w:rFonts w:cs="Times New Roman"/>
          <w:lang w:val="fr-CA"/>
        </w:rPr>
        <w:t xml:space="preserve">une loi puisse rétroagir si le législateur a clairement exprimé cette intention dans la loi.  Ainsi, le législateur peut, en édictant des dispositions applicables à une </w:t>
      </w:r>
      <w:r w:rsidRPr="00415D8B">
        <w:rPr>
          <w:rFonts w:cs="Times New Roman"/>
          <w:i/>
          <w:lang w:val="fr-CA"/>
        </w:rPr>
        <w:t>affaire pendante</w:t>
      </w:r>
      <w:r w:rsidRPr="00415D8B">
        <w:rPr>
          <w:rFonts w:cs="Times New Roman"/>
          <w:lang w:val="fr-CA"/>
        </w:rPr>
        <w:t>, modifier l</w:t>
      </w:r>
      <w:r>
        <w:rPr>
          <w:rFonts w:cs="Times New Roman"/>
          <w:lang w:val="fr-CA"/>
        </w:rPr>
        <w:t>’</w:t>
      </w:r>
      <w:r w:rsidRPr="00415D8B">
        <w:rPr>
          <w:rFonts w:cs="Times New Roman"/>
          <w:lang w:val="fr-CA"/>
        </w:rPr>
        <w:t>issue d</w:t>
      </w:r>
      <w:r>
        <w:rPr>
          <w:rFonts w:cs="Times New Roman"/>
          <w:lang w:val="fr-CA"/>
        </w:rPr>
        <w:t>’</w:t>
      </w:r>
      <w:r w:rsidRPr="00415D8B">
        <w:rPr>
          <w:rFonts w:cs="Times New Roman"/>
          <w:lang w:val="fr-CA"/>
        </w:rPr>
        <w:t>un litige.  Comme la Cour d</w:t>
      </w:r>
      <w:r>
        <w:rPr>
          <w:rFonts w:cs="Times New Roman"/>
          <w:lang w:val="fr-CA"/>
        </w:rPr>
        <w:t>’</w:t>
      </w:r>
      <w:r w:rsidRPr="00415D8B">
        <w:rPr>
          <w:rFonts w:cs="Times New Roman"/>
          <w:lang w:val="fr-CA"/>
        </w:rPr>
        <w:t>appel de la Colombie</w:t>
      </w:r>
      <w:r w:rsidRPr="00415D8B">
        <w:rPr>
          <w:rFonts w:cs="Times New Roman"/>
          <w:lang w:val="fr-CA"/>
        </w:rPr>
        <w:noBreakHyphen/>
        <w:t>Britannique l</w:t>
      </w:r>
      <w:r>
        <w:rPr>
          <w:rFonts w:cs="Times New Roman"/>
          <w:lang w:val="fr-CA"/>
        </w:rPr>
        <w:t>’</w:t>
      </w:r>
      <w:r w:rsidRPr="00415D8B">
        <w:rPr>
          <w:rFonts w:cs="Times New Roman"/>
          <w:lang w:val="fr-CA"/>
        </w:rPr>
        <w:t xml:space="preserve">a affirmé dans </w:t>
      </w:r>
      <w:r w:rsidRPr="00415D8B">
        <w:rPr>
          <w:rFonts w:cs="Times New Roman"/>
          <w:i/>
          <w:lang w:val="fr-CA"/>
        </w:rPr>
        <w:t xml:space="preserve">Barbour c. </w:t>
      </w:r>
      <w:r w:rsidRPr="00415D8B">
        <w:rPr>
          <w:rFonts w:cs="Times New Roman"/>
          <w:i/>
          <w:lang w:val="fr-CA"/>
        </w:rPr>
        <w:lastRenderedPageBreak/>
        <w:t>University of British Columbia</w:t>
      </w:r>
      <w:r w:rsidRPr="00415D8B">
        <w:rPr>
          <w:rFonts w:cs="Times New Roman"/>
          <w:lang w:val="fr-CA"/>
        </w:rPr>
        <w:t>, 2010 BCCA 63, 282 B.C.A.C. 270, autorisation d</w:t>
      </w:r>
      <w:r>
        <w:rPr>
          <w:rFonts w:cs="Times New Roman"/>
          <w:lang w:val="fr-CA"/>
        </w:rPr>
        <w:t>’</w:t>
      </w:r>
      <w:r w:rsidRPr="00415D8B">
        <w:rPr>
          <w:rFonts w:cs="Times New Roman"/>
          <w:lang w:val="fr-CA"/>
        </w:rPr>
        <w:t xml:space="preserve">appel refusée, [2010] 1 R.C.S. vi : </w:t>
      </w:r>
    </w:p>
    <w:p w:rsidR="00F5517F" w:rsidRPr="00415D8B" w:rsidRDefault="00F5517F" w:rsidP="00F5517F">
      <w:pPr>
        <w:pStyle w:val="Citation-AltC"/>
        <w:spacing w:after="240"/>
        <w:ind w:hanging="1166"/>
        <w:contextualSpacing w:val="0"/>
        <w:rPr>
          <w:lang w:val="fr-CA"/>
        </w:rPr>
      </w:pPr>
      <w:r w:rsidRPr="00415D8B">
        <w:rPr>
          <w:lang w:val="fr-CA"/>
        </w:rPr>
        <w:tab/>
      </w:r>
      <w:r w:rsidR="00D6795A">
        <w:rPr>
          <w:lang w:val="fr-CA"/>
        </w:rPr>
        <w:tab/>
      </w:r>
      <w:r w:rsidRPr="00415D8B">
        <w:rPr>
          <w:lang w:val="fr-CA"/>
        </w:rPr>
        <w:t>[</w:t>
      </w:r>
      <w:r w:rsidRPr="00415D8B">
        <w:rPr>
          <w:smallCaps/>
          <w:lang w:val="fr-CA"/>
        </w:rPr>
        <w:t>traduction</w:t>
      </w:r>
      <w:r w:rsidR="00C877E2">
        <w:rPr>
          <w:lang w:val="fr-CA"/>
        </w:rPr>
        <w:t>]</w:t>
      </w:r>
      <w:r w:rsidRPr="00415D8B">
        <w:rPr>
          <w:lang w:val="fr-CA"/>
        </w:rPr>
        <w:t xml:space="preserve"> Nous estimons qu</w:t>
      </w:r>
      <w:r>
        <w:rPr>
          <w:lang w:val="fr-CA"/>
        </w:rPr>
        <w:t>’</w:t>
      </w:r>
      <w:r w:rsidRPr="00415D8B">
        <w:rPr>
          <w:lang w:val="fr-CA"/>
        </w:rPr>
        <w:t>il est clair, au Canada, que le législateur peut édicter des lois ayant pour effet de modifier rétroactivement le droit applicable à un litige.  Le législateur, bien qu</w:t>
      </w:r>
      <w:r>
        <w:rPr>
          <w:lang w:val="fr-CA"/>
        </w:rPr>
        <w:t>’</w:t>
      </w:r>
      <w:r w:rsidRPr="00415D8B">
        <w:rPr>
          <w:lang w:val="fr-CA"/>
        </w:rPr>
        <w:t>il ne puisse s</w:t>
      </w:r>
      <w:r>
        <w:rPr>
          <w:lang w:val="fr-CA"/>
        </w:rPr>
        <w:t>’</w:t>
      </w:r>
      <w:r w:rsidRPr="00415D8B">
        <w:rPr>
          <w:lang w:val="fr-CA"/>
        </w:rPr>
        <w:t>immiscer dans le rôle de la Cour de trancher des litiges, peut modifier la loi que la Cour doit appliquer dans l</w:t>
      </w:r>
      <w:r>
        <w:rPr>
          <w:lang w:val="fr-CA"/>
        </w:rPr>
        <w:t>’</w:t>
      </w:r>
      <w:r w:rsidRPr="00415D8B">
        <w:rPr>
          <w:lang w:val="fr-CA"/>
        </w:rPr>
        <w:t>exercice de cette fonction.  [par. 32]</w:t>
      </w:r>
    </w:p>
    <w:p w:rsidR="00F5517F" w:rsidRPr="00415D8B" w:rsidRDefault="00F5517F" w:rsidP="00D6795A">
      <w:pPr>
        <w:pStyle w:val="Citation-AltC"/>
        <w:ind w:left="0"/>
        <w:rPr>
          <w:lang w:val="fr-CA"/>
        </w:rPr>
      </w:pPr>
      <w:r w:rsidRPr="00415D8B">
        <w:rPr>
          <w:lang w:val="fr-CA"/>
        </w:rPr>
        <w:t xml:space="preserve">(Voir aussi </w:t>
      </w:r>
      <w:r w:rsidRPr="00415D8B">
        <w:rPr>
          <w:i/>
          <w:lang w:val="fr-CA"/>
        </w:rPr>
        <w:t>Colombie</w:t>
      </w:r>
      <w:r w:rsidRPr="00415D8B">
        <w:rPr>
          <w:i/>
          <w:lang w:val="fr-CA"/>
        </w:rPr>
        <w:noBreakHyphen/>
        <w:t>Britannique c. Imperial Tobacco Canada Ltée</w:t>
      </w:r>
      <w:r w:rsidRPr="00415D8B">
        <w:rPr>
          <w:lang w:val="fr-CA"/>
        </w:rPr>
        <w:t xml:space="preserve">, 2005 CSC 49, [2005] 2 R.C.S. 473, par. 69-72; </w:t>
      </w:r>
      <w:r w:rsidRPr="00415D8B">
        <w:rPr>
          <w:i/>
          <w:lang w:val="fr-CA"/>
        </w:rPr>
        <w:t>Société canadienne de métaux Reynolds ltée</w:t>
      </w:r>
      <w:r w:rsidRPr="00415D8B">
        <w:rPr>
          <w:lang w:val="fr-CA"/>
        </w:rPr>
        <w:t xml:space="preserve"> </w:t>
      </w:r>
      <w:r w:rsidRPr="00415D8B">
        <w:rPr>
          <w:i/>
          <w:lang w:val="fr-CA"/>
        </w:rPr>
        <w:t>c. Québec (Sous</w:t>
      </w:r>
      <w:r w:rsidRPr="00415D8B">
        <w:rPr>
          <w:i/>
          <w:lang w:val="fr-CA"/>
        </w:rPr>
        <w:noBreakHyphen/>
        <w:t>ministre du Revenu)</w:t>
      </w:r>
      <w:r w:rsidRPr="00415D8B">
        <w:rPr>
          <w:lang w:val="fr-CA"/>
        </w:rPr>
        <w:t>, [2004] R.D.F.Q. 45 (C.A.), par. 16</w:t>
      </w:r>
      <w:r w:rsidRPr="00415D8B">
        <w:rPr>
          <w:lang w:val="fr-CA"/>
        </w:rPr>
        <w:noBreakHyphen/>
        <w:t>17.)</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Toutefois, les lois rétroactives ne s</w:t>
      </w:r>
      <w:r>
        <w:rPr>
          <w:rFonts w:cs="Times New Roman"/>
          <w:lang w:val="fr-CA"/>
        </w:rPr>
        <w:t>’</w:t>
      </w:r>
      <w:r w:rsidRPr="00415D8B">
        <w:rPr>
          <w:rFonts w:cs="Times New Roman"/>
          <w:lang w:val="fr-CA"/>
        </w:rPr>
        <w:t>appliquent pas d</w:t>
      </w:r>
      <w:r>
        <w:rPr>
          <w:rFonts w:cs="Times New Roman"/>
          <w:lang w:val="fr-CA"/>
        </w:rPr>
        <w:t>’</w:t>
      </w:r>
      <w:r w:rsidRPr="00415D8B">
        <w:rPr>
          <w:rFonts w:cs="Times New Roman"/>
          <w:lang w:val="fr-CA"/>
        </w:rPr>
        <w:t>elles</w:t>
      </w:r>
      <w:r w:rsidRPr="00415D8B">
        <w:rPr>
          <w:rFonts w:cs="Times New Roman"/>
          <w:lang w:val="fr-CA"/>
        </w:rPr>
        <w:noBreakHyphen/>
        <w:t>mêmes aux litiges pendants.  Elles doivent être appliquées par les tribunaux administratifs ou judiciaires ayant compétence pour statuer sur les points en litige.  Lorsqu</w:t>
      </w:r>
      <w:r>
        <w:rPr>
          <w:rFonts w:cs="Times New Roman"/>
          <w:lang w:val="fr-CA"/>
        </w:rPr>
        <w:t>’</w:t>
      </w:r>
      <w:r w:rsidRPr="00415D8B">
        <w:rPr>
          <w:rFonts w:cs="Times New Roman"/>
          <w:lang w:val="fr-CA"/>
        </w:rPr>
        <w:t>une loi rétroactive entre en vigueur pendant qu</w:t>
      </w:r>
      <w:r>
        <w:rPr>
          <w:rFonts w:cs="Times New Roman"/>
          <w:lang w:val="fr-CA"/>
        </w:rPr>
        <w:t>’</w:t>
      </w:r>
      <w:r w:rsidRPr="00415D8B">
        <w:rPr>
          <w:rFonts w:cs="Times New Roman"/>
          <w:lang w:val="fr-CA"/>
        </w:rPr>
        <w:t>une cause est portée en appel, il appartient à la juridiction d</w:t>
      </w:r>
      <w:r>
        <w:rPr>
          <w:rFonts w:cs="Times New Roman"/>
          <w:lang w:val="fr-CA"/>
        </w:rPr>
        <w:t>’</w:t>
      </w:r>
      <w:r w:rsidRPr="00415D8B">
        <w:rPr>
          <w:rFonts w:cs="Times New Roman"/>
          <w:lang w:val="fr-CA"/>
        </w:rPr>
        <w:t>appel alors saisie de l</w:t>
      </w:r>
      <w:r>
        <w:rPr>
          <w:rFonts w:cs="Times New Roman"/>
          <w:lang w:val="fr-CA"/>
        </w:rPr>
        <w:t>’</w:t>
      </w:r>
      <w:r w:rsidRPr="00415D8B">
        <w:rPr>
          <w:rFonts w:cs="Times New Roman"/>
          <w:lang w:val="fr-CA"/>
        </w:rPr>
        <w:t xml:space="preserve">appliquer.  Ce principe a été reconnu dans </w:t>
      </w:r>
      <w:r w:rsidRPr="00415D8B">
        <w:rPr>
          <w:rFonts w:cs="Times New Roman"/>
          <w:i/>
          <w:lang w:val="fr-CA"/>
        </w:rPr>
        <w:t>Western Minerals Ltd. c. Gaumont</w:t>
      </w:r>
      <w:r w:rsidRPr="00415D8B">
        <w:rPr>
          <w:rFonts w:cs="Times New Roman"/>
          <w:lang w:val="fr-CA"/>
        </w:rPr>
        <w:t>, [1953] 1 R.C.S. 345, où le juge Cartwright a indiqué ce qui suit :</w:t>
      </w:r>
    </w:p>
    <w:p w:rsidR="00F5517F" w:rsidRPr="00415D8B" w:rsidRDefault="00F5517F" w:rsidP="00F5517F">
      <w:pPr>
        <w:pStyle w:val="Citation-AltC"/>
        <w:ind w:hanging="1166"/>
        <w:rPr>
          <w:lang w:val="fr-CA"/>
        </w:rPr>
      </w:pPr>
      <w:r w:rsidRPr="00415D8B">
        <w:rPr>
          <w:lang w:val="fr-CA"/>
        </w:rPr>
        <w:tab/>
      </w:r>
      <w:r w:rsidR="00066848">
        <w:rPr>
          <w:lang w:val="fr-CA"/>
        </w:rPr>
        <w:tab/>
      </w:r>
      <w:r w:rsidRPr="00415D8B">
        <w:rPr>
          <w:lang w:val="fr-CA"/>
        </w:rPr>
        <w:t>[</w:t>
      </w:r>
      <w:r w:rsidRPr="00415D8B">
        <w:rPr>
          <w:smallCaps/>
          <w:lang w:val="fr-CA"/>
        </w:rPr>
        <w:t>traduction</w:t>
      </w:r>
      <w:r w:rsidRPr="00415D8B">
        <w:rPr>
          <w:lang w:val="fr-CA"/>
        </w:rPr>
        <w:t>]</w:t>
      </w:r>
      <w:r w:rsidR="00066848">
        <w:rPr>
          <w:lang w:val="fr-CA"/>
        </w:rPr>
        <w:t xml:space="preserve"> . . .</w:t>
      </w:r>
      <w:r w:rsidRPr="00415D8B">
        <w:rPr>
          <w:lang w:val="fr-CA"/>
        </w:rPr>
        <w:t xml:space="preserve"> je crois que </w:t>
      </w:r>
      <w:r w:rsidRPr="005C3088">
        <w:rPr>
          <w:u w:val="single"/>
          <w:lang w:val="fr-CA"/>
        </w:rPr>
        <w:t xml:space="preserve">la </w:t>
      </w:r>
      <w:r w:rsidRPr="00415D8B">
        <w:rPr>
          <w:u w:val="single"/>
          <w:lang w:val="fr-CA"/>
        </w:rPr>
        <w:t>Division d</w:t>
      </w:r>
      <w:r>
        <w:rPr>
          <w:u w:val="single"/>
          <w:lang w:val="fr-CA"/>
        </w:rPr>
        <w:t>’</w:t>
      </w:r>
      <w:r w:rsidRPr="00415D8B">
        <w:rPr>
          <w:u w:val="single"/>
          <w:lang w:val="fr-CA"/>
        </w:rPr>
        <w:t>appel</w:t>
      </w:r>
      <w:r w:rsidRPr="00415D8B">
        <w:rPr>
          <w:lang w:val="fr-CA"/>
        </w:rPr>
        <w:t xml:space="preserve"> serait clairement tenue de donner effet à une loi, adoptée postérieurement à la date du jugement porté en appel, mais avant l</w:t>
      </w:r>
      <w:r>
        <w:rPr>
          <w:lang w:val="fr-CA"/>
        </w:rPr>
        <w:t>’</w:t>
      </w:r>
      <w:r w:rsidRPr="00415D8B">
        <w:rPr>
          <w:lang w:val="fr-CA"/>
        </w:rPr>
        <w:t>audition de l</w:t>
      </w:r>
      <w:r>
        <w:rPr>
          <w:lang w:val="fr-CA"/>
        </w:rPr>
        <w:t>’</w:t>
      </w:r>
      <w:r w:rsidRPr="00415D8B">
        <w:rPr>
          <w:lang w:val="fr-CA"/>
        </w:rPr>
        <w:t>appel ou la décision d</w:t>
      </w:r>
      <w:r>
        <w:rPr>
          <w:lang w:val="fr-CA"/>
        </w:rPr>
        <w:t>’</w:t>
      </w:r>
      <w:r w:rsidRPr="00415D8B">
        <w:rPr>
          <w:lang w:val="fr-CA"/>
        </w:rPr>
        <w:t>appel, qui déclarerait ce qu</w:t>
      </w:r>
      <w:r>
        <w:rPr>
          <w:lang w:val="fr-CA"/>
        </w:rPr>
        <w:t>’</w:t>
      </w:r>
      <w:r w:rsidRPr="00415D8B">
        <w:rPr>
          <w:lang w:val="fr-CA"/>
        </w:rPr>
        <w:t>est et a toujours été le droit et, par voie de conséquence, ce qu</w:t>
      </w:r>
      <w:r>
        <w:rPr>
          <w:lang w:val="fr-CA"/>
        </w:rPr>
        <w:t>’</w:t>
      </w:r>
      <w:r w:rsidRPr="00415D8B">
        <w:rPr>
          <w:lang w:val="fr-CA"/>
        </w:rPr>
        <w:t>il était au moment du procès.  [Je souligne; p. 369.]</w:t>
      </w:r>
    </w:p>
    <w:p w:rsidR="00F5517F" w:rsidRPr="00415D8B" w:rsidRDefault="00F5517F" w:rsidP="00F5517F">
      <w:pPr>
        <w:pStyle w:val="ContinueParaSuitedupar-AltP"/>
        <w:rPr>
          <w:rFonts w:cs="Times New Roman"/>
          <w:lang w:val="fr-CA"/>
        </w:rPr>
      </w:pPr>
      <w:r w:rsidRPr="00415D8B">
        <w:rPr>
          <w:rFonts w:cs="Times New Roman"/>
          <w:lang w:val="fr-CA"/>
        </w:rPr>
        <w:t>La Cour d</w:t>
      </w:r>
      <w:r>
        <w:rPr>
          <w:rFonts w:cs="Times New Roman"/>
          <w:lang w:val="fr-CA"/>
        </w:rPr>
        <w:t>’</w:t>
      </w:r>
      <w:r w:rsidRPr="00415D8B">
        <w:rPr>
          <w:rFonts w:cs="Times New Roman"/>
          <w:lang w:val="fr-CA"/>
        </w:rPr>
        <w:t>appel de l</w:t>
      </w:r>
      <w:r>
        <w:rPr>
          <w:rFonts w:cs="Times New Roman"/>
          <w:lang w:val="fr-CA"/>
        </w:rPr>
        <w:t>’</w:t>
      </w:r>
      <w:r w:rsidRPr="00415D8B">
        <w:rPr>
          <w:rFonts w:cs="Times New Roman"/>
          <w:lang w:val="fr-CA"/>
        </w:rPr>
        <w:t xml:space="preserve">Alberta a réitéré ce principe dans </w:t>
      </w:r>
      <w:r w:rsidRPr="00415D8B">
        <w:rPr>
          <w:rFonts w:cs="Times New Roman"/>
          <w:i/>
          <w:lang w:val="fr-CA"/>
        </w:rPr>
        <w:t>CNG Producing Co. c. Alberta (Provincial Treasurer)</w:t>
      </w:r>
      <w:r w:rsidRPr="00415D8B">
        <w:rPr>
          <w:rFonts w:cs="Times New Roman"/>
          <w:lang w:val="fr-CA"/>
        </w:rPr>
        <w:t>, 2002 ABCA 207, 317 A.R. 171 :</w:t>
      </w:r>
    </w:p>
    <w:p w:rsidR="00F5517F" w:rsidRPr="00415D8B" w:rsidRDefault="00F5517F" w:rsidP="00F5517F">
      <w:pPr>
        <w:pStyle w:val="Citation-AltC"/>
        <w:ind w:hanging="1166"/>
        <w:rPr>
          <w:lang w:val="fr-CA"/>
        </w:rPr>
      </w:pPr>
      <w:r w:rsidRPr="00415D8B">
        <w:rPr>
          <w:lang w:val="fr-CA"/>
        </w:rPr>
        <w:lastRenderedPageBreak/>
        <w:tab/>
      </w:r>
      <w:r w:rsidR="00066848">
        <w:rPr>
          <w:lang w:val="fr-CA"/>
        </w:rPr>
        <w:tab/>
      </w:r>
      <w:r w:rsidRPr="00415D8B">
        <w:rPr>
          <w:lang w:val="fr-CA"/>
        </w:rPr>
        <w:t>[</w:t>
      </w:r>
      <w:r w:rsidRPr="00415D8B">
        <w:rPr>
          <w:smallCaps/>
          <w:lang w:val="fr-CA"/>
        </w:rPr>
        <w:t>traduction</w:t>
      </w:r>
      <w:r w:rsidR="00066848">
        <w:rPr>
          <w:lang w:val="fr-CA"/>
        </w:rPr>
        <w:t>]</w:t>
      </w:r>
      <w:r w:rsidRPr="00415D8B">
        <w:rPr>
          <w:lang w:val="fr-CA"/>
        </w:rPr>
        <w:t xml:space="preserve"> Une loi rétroactive s</w:t>
      </w:r>
      <w:r>
        <w:rPr>
          <w:lang w:val="fr-CA"/>
        </w:rPr>
        <w:t>’</w:t>
      </w:r>
      <w:r w:rsidRPr="00415D8B">
        <w:rPr>
          <w:lang w:val="fr-CA"/>
        </w:rPr>
        <w:t>applique aux affaires pendantes, mais non aux affaires ayant franchi l</w:t>
      </w:r>
      <w:r>
        <w:rPr>
          <w:lang w:val="fr-CA"/>
        </w:rPr>
        <w:t>’</w:t>
      </w:r>
      <w:r w:rsidRPr="00415D8B">
        <w:rPr>
          <w:lang w:val="fr-CA"/>
        </w:rPr>
        <w:t>étape du jugement.  Toutefois, si une affaire a été instruite et jugée et si une loi rétroactive est édictée avant l</w:t>
      </w:r>
      <w:r>
        <w:rPr>
          <w:lang w:val="fr-CA"/>
        </w:rPr>
        <w:t>’</w:t>
      </w:r>
      <w:r w:rsidRPr="00415D8B">
        <w:rPr>
          <w:lang w:val="fr-CA"/>
        </w:rPr>
        <w:t>instruction d</w:t>
      </w:r>
      <w:r>
        <w:rPr>
          <w:lang w:val="fr-CA"/>
        </w:rPr>
        <w:t>’</w:t>
      </w:r>
      <w:r w:rsidRPr="00415D8B">
        <w:rPr>
          <w:lang w:val="fr-CA"/>
        </w:rPr>
        <w:t xml:space="preserve">un appel, </w:t>
      </w:r>
      <w:r w:rsidRPr="00415D8B">
        <w:rPr>
          <w:u w:val="single"/>
          <w:lang w:val="fr-CA"/>
        </w:rPr>
        <w:t>l</w:t>
      </w:r>
      <w:r>
        <w:rPr>
          <w:u w:val="single"/>
          <w:lang w:val="fr-CA"/>
        </w:rPr>
        <w:t>’</w:t>
      </w:r>
      <w:r w:rsidRPr="00415D8B">
        <w:rPr>
          <w:u w:val="single"/>
          <w:lang w:val="fr-CA"/>
        </w:rPr>
        <w:t>issue de l</w:t>
      </w:r>
      <w:r>
        <w:rPr>
          <w:u w:val="single"/>
          <w:lang w:val="fr-CA"/>
        </w:rPr>
        <w:t>’</w:t>
      </w:r>
      <w:r w:rsidRPr="00415D8B">
        <w:rPr>
          <w:u w:val="single"/>
          <w:lang w:val="fr-CA"/>
        </w:rPr>
        <w:t>appel</w:t>
      </w:r>
      <w:r w:rsidRPr="00415D8B">
        <w:rPr>
          <w:lang w:val="fr-CA"/>
        </w:rPr>
        <w:t xml:space="preserve"> peut alors dépendre de la nouvelle loi</w:t>
      </w:r>
      <w:r w:rsidR="00954768">
        <w:rPr>
          <w:lang w:val="fr-CA"/>
        </w:rPr>
        <w:t xml:space="preserve"> </w:t>
      </w:r>
      <w:r w:rsidRPr="00415D8B">
        <w:rPr>
          <w:lang w:val="fr-CA"/>
        </w:rPr>
        <w:t>.</w:t>
      </w:r>
      <w:r w:rsidR="00954768">
        <w:rPr>
          <w:lang w:val="fr-CA"/>
        </w:rPr>
        <w:t xml:space="preserve"> . .</w:t>
      </w:r>
      <w:r w:rsidRPr="00415D8B">
        <w:rPr>
          <w:lang w:val="fr-CA"/>
        </w:rPr>
        <w:t xml:space="preserve">  [Je souligne; par. 48.]</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Lorsque toutes les voies d</w:t>
      </w:r>
      <w:r>
        <w:rPr>
          <w:rFonts w:cs="Times New Roman"/>
          <w:lang w:val="fr-CA"/>
        </w:rPr>
        <w:t>’</w:t>
      </w:r>
      <w:r w:rsidRPr="00415D8B">
        <w:rPr>
          <w:rFonts w:cs="Times New Roman"/>
          <w:lang w:val="fr-CA"/>
        </w:rPr>
        <w:t>appel sont épuisées, le principe de l</w:t>
      </w:r>
      <w:r>
        <w:rPr>
          <w:rFonts w:cs="Times New Roman"/>
          <w:lang w:val="fr-CA"/>
        </w:rPr>
        <w:t>’</w:t>
      </w:r>
      <w:r w:rsidRPr="00415D8B">
        <w:rPr>
          <w:rFonts w:cs="Times New Roman"/>
          <w:lang w:val="fr-CA"/>
        </w:rPr>
        <w:t>autorité de la chose jugée s</w:t>
      </w:r>
      <w:r>
        <w:rPr>
          <w:rFonts w:cs="Times New Roman"/>
          <w:lang w:val="fr-CA"/>
        </w:rPr>
        <w:t>’</w:t>
      </w:r>
      <w:r w:rsidRPr="00415D8B">
        <w:rPr>
          <w:rFonts w:cs="Times New Roman"/>
          <w:lang w:val="fr-CA"/>
        </w:rPr>
        <w:t>applique et empêche les parties de remettre en cause une question qui a été tranchée au fond.  Il en est ainsi même si le législateur a modifié la loi rétroactivement, de sorte que le jugement définitif renferme alors une erreur de droit.  En effet, « </w:t>
      </w:r>
      <w:r w:rsidRPr="00415D8B">
        <w:rPr>
          <w:rFonts w:cs="Times New Roman"/>
          <w:spacing w:val="-3"/>
          <w:lang w:val="fr-CA"/>
        </w:rPr>
        <w:t>l</w:t>
      </w:r>
      <w:r>
        <w:rPr>
          <w:rFonts w:cs="Times New Roman"/>
          <w:spacing w:val="-3"/>
          <w:lang w:val="fr-CA"/>
        </w:rPr>
        <w:t>’</w:t>
      </w:r>
      <w:r w:rsidRPr="00415D8B">
        <w:rPr>
          <w:rFonts w:cs="Times New Roman"/>
          <w:spacing w:val="-3"/>
          <w:lang w:val="fr-CA"/>
        </w:rPr>
        <w:t>autorité de la chose jugée existe même dans le cas où le jugement est entaché d</w:t>
      </w:r>
      <w:r>
        <w:rPr>
          <w:rFonts w:cs="Times New Roman"/>
          <w:spacing w:val="-3"/>
          <w:lang w:val="fr-CA"/>
        </w:rPr>
        <w:t>’</w:t>
      </w:r>
      <w:r w:rsidRPr="00415D8B">
        <w:rPr>
          <w:rFonts w:cs="Times New Roman"/>
          <w:spacing w:val="-3"/>
          <w:lang w:val="fr-CA"/>
        </w:rPr>
        <w:t>erreur » (</w:t>
      </w:r>
      <w:r w:rsidRPr="00415D8B">
        <w:rPr>
          <w:rFonts w:cs="Times New Roman"/>
          <w:i/>
          <w:lang w:val="fr-CA"/>
        </w:rPr>
        <w:t>Roberge c. Bolduc</w:t>
      </w:r>
      <w:r w:rsidRPr="00415D8B">
        <w:rPr>
          <w:rFonts w:cs="Times New Roman"/>
          <w:lang w:val="fr-CA"/>
        </w:rPr>
        <w:t xml:space="preserve">, [1991] 1 R.C.S. 374, p. 403).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En l</w:t>
      </w:r>
      <w:r>
        <w:rPr>
          <w:rFonts w:cs="Times New Roman"/>
          <w:lang w:val="fr-CA"/>
        </w:rPr>
        <w:t>’</w:t>
      </w:r>
      <w:r w:rsidRPr="00415D8B">
        <w:rPr>
          <w:rFonts w:cs="Times New Roman"/>
          <w:lang w:val="fr-CA"/>
        </w:rPr>
        <w:t>espèce, seule la Cour suprême du Canada, qui était saisie d</w:t>
      </w:r>
      <w:r>
        <w:rPr>
          <w:rFonts w:cs="Times New Roman"/>
          <w:lang w:val="fr-CA"/>
        </w:rPr>
        <w:t>’</w:t>
      </w:r>
      <w:r w:rsidRPr="00415D8B">
        <w:rPr>
          <w:rFonts w:cs="Times New Roman"/>
          <w:lang w:val="fr-CA"/>
        </w:rPr>
        <w:t>une demande d</w:t>
      </w:r>
      <w:r>
        <w:rPr>
          <w:rFonts w:cs="Times New Roman"/>
          <w:lang w:val="fr-CA"/>
        </w:rPr>
        <w:t>’</w:t>
      </w:r>
      <w:r w:rsidRPr="00415D8B">
        <w:rPr>
          <w:rFonts w:cs="Times New Roman"/>
          <w:lang w:val="fr-CA"/>
        </w:rPr>
        <w:t>autorisation d</w:t>
      </w:r>
      <w:r>
        <w:rPr>
          <w:rFonts w:cs="Times New Roman"/>
          <w:lang w:val="fr-CA"/>
        </w:rPr>
        <w:t>’</w:t>
      </w:r>
      <w:r w:rsidRPr="00415D8B">
        <w:rPr>
          <w:rFonts w:cs="Times New Roman"/>
          <w:lang w:val="fr-CA"/>
        </w:rPr>
        <w:t>appel à la date où les dispositions rétroactives sont entrées en vigueur, avait compétence pour appliquer les dispositions en vue de trancher le différend opposant Multi</w:t>
      </w:r>
      <w:r w:rsidRPr="00415D8B">
        <w:rPr>
          <w:rFonts w:cs="Times New Roman"/>
          <w:lang w:val="fr-CA"/>
        </w:rPr>
        <w:noBreakHyphen/>
        <w:t>Marques aux bénéficiaires du régime de retraite.  Le rejet de cette demande a épuisé toutes les voies d</w:t>
      </w:r>
      <w:r>
        <w:rPr>
          <w:rFonts w:cs="Times New Roman"/>
          <w:lang w:val="fr-CA"/>
        </w:rPr>
        <w:t>’</w:t>
      </w:r>
      <w:r w:rsidRPr="00415D8B">
        <w:rPr>
          <w:rFonts w:cs="Times New Roman"/>
          <w:lang w:val="fr-CA"/>
        </w:rPr>
        <w:t>appel.  Le jugement de la Cour d</w:t>
      </w:r>
      <w:r>
        <w:rPr>
          <w:rFonts w:cs="Times New Roman"/>
          <w:lang w:val="fr-CA"/>
        </w:rPr>
        <w:t>’</w:t>
      </w:r>
      <w:r w:rsidRPr="00415D8B">
        <w:rPr>
          <w:rFonts w:cs="Times New Roman"/>
          <w:lang w:val="fr-CA"/>
        </w:rPr>
        <w:t>appel du Québec a donc acquis l</w:t>
      </w:r>
      <w:r>
        <w:rPr>
          <w:rFonts w:cs="Times New Roman"/>
          <w:lang w:val="fr-CA"/>
        </w:rPr>
        <w:t>’</w:t>
      </w:r>
      <w:r w:rsidRPr="00415D8B">
        <w:rPr>
          <w:rFonts w:cs="Times New Roman"/>
          <w:lang w:val="fr-CA"/>
        </w:rPr>
        <w:t xml:space="preserve">autorité de la chose jugée entre les parties concernant la question de savoir si les art. 9.12 et 9.13 des </w:t>
      </w:r>
      <w:r w:rsidR="00954768">
        <w:rPr>
          <w:rFonts w:cs="Times New Roman"/>
          <w:lang w:val="fr-CA"/>
        </w:rPr>
        <w:t>r</w:t>
      </w:r>
      <w:r w:rsidRPr="00415D8B">
        <w:rPr>
          <w:rFonts w:cs="Times New Roman"/>
          <w:lang w:val="fr-CA"/>
        </w:rPr>
        <w:t>ègles du Bakery and Confection</w:t>
      </w:r>
      <w:r w:rsidR="00954768">
        <w:rPr>
          <w:rFonts w:cs="Times New Roman"/>
          <w:lang w:val="fr-CA"/>
        </w:rPr>
        <w:t>e</w:t>
      </w:r>
      <w:r w:rsidRPr="00415D8B">
        <w:rPr>
          <w:rFonts w:cs="Times New Roman"/>
          <w:lang w:val="fr-CA"/>
        </w:rPr>
        <w:t>ry Union and Industry Canadian Pension Fund (</w:t>
      </w:r>
      <w:r w:rsidR="005C3088">
        <w:rPr>
          <w:rFonts w:cs="Times New Roman"/>
          <w:lang w:val="fr-CA"/>
        </w:rPr>
        <w:t xml:space="preserve">les </w:t>
      </w:r>
      <w:r w:rsidRPr="00415D8B">
        <w:rPr>
          <w:rFonts w:cs="Times New Roman"/>
          <w:lang w:val="fr-CA"/>
        </w:rPr>
        <w:t>« Règles ») pouvaient restreindre les obligations de l</w:t>
      </w:r>
      <w:r>
        <w:rPr>
          <w:rFonts w:cs="Times New Roman"/>
          <w:lang w:val="fr-CA"/>
        </w:rPr>
        <w:t>’</w:t>
      </w:r>
      <w:r w:rsidRPr="00415D8B">
        <w:rPr>
          <w:rFonts w:cs="Times New Roman"/>
          <w:lang w:val="fr-CA"/>
        </w:rPr>
        <w:t xml:space="preserve">employeur en matière de financement </w:t>
      </w:r>
      <w:r w:rsidR="005C3088">
        <w:rPr>
          <w:rFonts w:cs="Times New Roman"/>
          <w:lang w:val="fr-CA"/>
        </w:rPr>
        <w:t>(</w:t>
      </w:r>
      <w:r w:rsidRPr="00415D8B">
        <w:rPr>
          <w:rFonts w:cs="Times New Roman"/>
          <w:lang w:val="fr-CA"/>
        </w:rPr>
        <w:t>2008 QCCA 597, [2008] R.J.Q. 853, demande d</w:t>
      </w:r>
      <w:r>
        <w:rPr>
          <w:rFonts w:cs="Times New Roman"/>
          <w:lang w:val="fr-CA"/>
        </w:rPr>
        <w:t>’</w:t>
      </w:r>
      <w:r w:rsidRPr="00415D8B">
        <w:rPr>
          <w:rFonts w:cs="Times New Roman"/>
          <w:lang w:val="fr-CA"/>
        </w:rPr>
        <w:t>autorisation d</w:t>
      </w:r>
      <w:r>
        <w:rPr>
          <w:rFonts w:cs="Times New Roman"/>
          <w:lang w:val="fr-CA"/>
        </w:rPr>
        <w:t>’</w:t>
      </w:r>
      <w:r w:rsidR="00954768">
        <w:rPr>
          <w:rFonts w:cs="Times New Roman"/>
          <w:lang w:val="fr-CA"/>
        </w:rPr>
        <w:t>appel rejetée, [2008] 3</w:t>
      </w:r>
      <w:r w:rsidRPr="00415D8B">
        <w:rPr>
          <w:rFonts w:cs="Times New Roman"/>
          <w:lang w:val="fr-CA"/>
        </w:rPr>
        <w:t xml:space="preserve"> R.C.S. ix</w:t>
      </w:r>
      <w:r w:rsidR="005C3088">
        <w:rPr>
          <w:rFonts w:cs="Times New Roman"/>
          <w:lang w:val="fr-CA"/>
        </w:rPr>
        <w:t>)</w:t>
      </w:r>
      <w:r w:rsidRPr="00415D8B">
        <w:rPr>
          <w:rFonts w:cs="Times New Roman"/>
          <w:lang w:val="fr-CA"/>
        </w:rPr>
        <w:t xml:space="preserve">.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Selon mon collègue le juge Wagner, les dispositions déclaratoires s</w:t>
      </w:r>
      <w:r>
        <w:rPr>
          <w:rFonts w:cs="Times New Roman"/>
          <w:lang w:val="fr-CA"/>
        </w:rPr>
        <w:t>’</w:t>
      </w:r>
      <w:r w:rsidRPr="00415D8B">
        <w:rPr>
          <w:rFonts w:cs="Times New Roman"/>
          <w:lang w:val="fr-CA"/>
        </w:rPr>
        <w:t>appliquaient à ce litige parce qu</w:t>
      </w:r>
      <w:r>
        <w:rPr>
          <w:rFonts w:cs="Times New Roman"/>
          <w:lang w:val="fr-CA"/>
        </w:rPr>
        <w:t>’</w:t>
      </w:r>
      <w:r w:rsidRPr="00415D8B">
        <w:rPr>
          <w:rFonts w:cs="Times New Roman"/>
          <w:lang w:val="fr-CA"/>
        </w:rPr>
        <w:t>il s</w:t>
      </w:r>
      <w:r>
        <w:rPr>
          <w:rFonts w:cs="Times New Roman"/>
          <w:lang w:val="fr-CA"/>
        </w:rPr>
        <w:t>’</w:t>
      </w:r>
      <w:r w:rsidRPr="00415D8B">
        <w:rPr>
          <w:rFonts w:cs="Times New Roman"/>
          <w:lang w:val="fr-CA"/>
        </w:rPr>
        <w:t>agissait d</w:t>
      </w:r>
      <w:r>
        <w:rPr>
          <w:rFonts w:cs="Times New Roman"/>
          <w:lang w:val="fr-CA"/>
        </w:rPr>
        <w:t>’</w:t>
      </w:r>
      <w:r w:rsidRPr="00415D8B">
        <w:rPr>
          <w:rFonts w:cs="Times New Roman"/>
          <w:lang w:val="fr-CA"/>
        </w:rPr>
        <w:t xml:space="preserve">une « affaire pendante ».  Il reconnaît </w:t>
      </w:r>
      <w:r w:rsidRPr="00415D8B">
        <w:rPr>
          <w:rFonts w:cs="Times New Roman"/>
          <w:lang w:val="fr-CA"/>
        </w:rPr>
        <w:lastRenderedPageBreak/>
        <w:t>que les dispositions déclaratoires ne peuvent s</w:t>
      </w:r>
      <w:r>
        <w:rPr>
          <w:rFonts w:cs="Times New Roman"/>
          <w:lang w:val="fr-CA"/>
        </w:rPr>
        <w:t>’</w:t>
      </w:r>
      <w:r w:rsidRPr="00415D8B">
        <w:rPr>
          <w:rFonts w:cs="Times New Roman"/>
          <w:lang w:val="fr-CA"/>
        </w:rPr>
        <w:t xml:space="preserve">appliquer aux litiges dans lesquels une cour a statué définitivement sur </w:t>
      </w:r>
      <w:r w:rsidRPr="00415D8B">
        <w:rPr>
          <w:rFonts w:cs="Times New Roman"/>
          <w:i/>
          <w:lang w:val="fr-CA"/>
        </w:rPr>
        <w:t>tous</w:t>
      </w:r>
      <w:r w:rsidRPr="00415D8B">
        <w:rPr>
          <w:rFonts w:cs="Times New Roman"/>
          <w:lang w:val="fr-CA"/>
        </w:rPr>
        <w:t xml:space="preserve"> les droits et les obligations des parties.  Il affirme toutefois que dès lors qu</w:t>
      </w:r>
      <w:r>
        <w:rPr>
          <w:rFonts w:cs="Times New Roman"/>
          <w:lang w:val="fr-CA"/>
        </w:rPr>
        <w:t>’</w:t>
      </w:r>
      <w:r w:rsidRPr="00415D8B">
        <w:rPr>
          <w:rFonts w:cs="Times New Roman"/>
          <w:lang w:val="fr-CA"/>
        </w:rPr>
        <w:t>il reste des questions à trancher — quelle que soit leur nature — les dispositions déclaratoires s</w:t>
      </w:r>
      <w:r>
        <w:rPr>
          <w:rFonts w:cs="Times New Roman"/>
          <w:lang w:val="fr-CA"/>
        </w:rPr>
        <w:t>’</w:t>
      </w:r>
      <w:r w:rsidRPr="00415D8B">
        <w:rPr>
          <w:rFonts w:cs="Times New Roman"/>
          <w:lang w:val="fr-CA"/>
        </w:rPr>
        <w:t xml:space="preserve">appliquent au litige et peuvent écarter tout jugement qui a statué définitivement sur certaines des questions juridiques en cause.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En l</w:t>
      </w:r>
      <w:r>
        <w:rPr>
          <w:rFonts w:cs="Times New Roman"/>
          <w:lang w:val="fr-CA"/>
        </w:rPr>
        <w:t>’</w:t>
      </w:r>
      <w:r w:rsidRPr="00415D8B">
        <w:rPr>
          <w:rFonts w:cs="Times New Roman"/>
          <w:lang w:val="fr-CA"/>
        </w:rPr>
        <w:t>espèce, la décision de la Cour d</w:t>
      </w:r>
      <w:r>
        <w:rPr>
          <w:rFonts w:cs="Times New Roman"/>
          <w:lang w:val="fr-CA"/>
        </w:rPr>
        <w:t>’</w:t>
      </w:r>
      <w:r w:rsidRPr="00415D8B">
        <w:rPr>
          <w:rFonts w:cs="Times New Roman"/>
          <w:lang w:val="fr-CA"/>
        </w:rPr>
        <w:t>appel n</w:t>
      </w:r>
      <w:r>
        <w:rPr>
          <w:rFonts w:cs="Times New Roman"/>
          <w:lang w:val="fr-CA"/>
        </w:rPr>
        <w:t>’</w:t>
      </w:r>
      <w:r w:rsidRPr="00415D8B">
        <w:rPr>
          <w:rFonts w:cs="Times New Roman"/>
          <w:lang w:val="fr-CA"/>
        </w:rPr>
        <w:t>a pas établi à combien se chiffre précisément l</w:t>
      </w:r>
      <w:r>
        <w:rPr>
          <w:rFonts w:cs="Times New Roman"/>
          <w:lang w:val="fr-CA"/>
        </w:rPr>
        <w:t>’</w:t>
      </w:r>
      <w:r w:rsidRPr="00415D8B">
        <w:rPr>
          <w:rFonts w:cs="Times New Roman"/>
          <w:lang w:val="fr-CA"/>
        </w:rPr>
        <w:t>obligation pécuniaire de l</w:t>
      </w:r>
      <w:r>
        <w:rPr>
          <w:rFonts w:cs="Times New Roman"/>
          <w:lang w:val="fr-CA"/>
        </w:rPr>
        <w:t>’</w:t>
      </w:r>
      <w:r w:rsidRPr="00415D8B">
        <w:rPr>
          <w:rFonts w:cs="Times New Roman"/>
          <w:lang w:val="fr-CA"/>
        </w:rPr>
        <w:t>employeur, et la cour a renvoyé l</w:t>
      </w:r>
      <w:r>
        <w:rPr>
          <w:rFonts w:cs="Times New Roman"/>
          <w:lang w:val="fr-CA"/>
        </w:rPr>
        <w:t>’</w:t>
      </w:r>
      <w:r w:rsidRPr="00415D8B">
        <w:rPr>
          <w:rFonts w:cs="Times New Roman"/>
          <w:lang w:val="fr-CA"/>
        </w:rPr>
        <w:t>affaire à la Régie pour qu</w:t>
      </w:r>
      <w:r>
        <w:rPr>
          <w:rFonts w:cs="Times New Roman"/>
          <w:lang w:val="fr-CA"/>
        </w:rPr>
        <w:t>’</w:t>
      </w:r>
      <w:r w:rsidRPr="00415D8B">
        <w:rPr>
          <w:rFonts w:cs="Times New Roman"/>
          <w:lang w:val="fr-CA"/>
        </w:rPr>
        <w:t>elle le fasse.  De l</w:t>
      </w:r>
      <w:r>
        <w:rPr>
          <w:rFonts w:cs="Times New Roman"/>
          <w:lang w:val="fr-CA"/>
        </w:rPr>
        <w:t>’</w:t>
      </w:r>
      <w:r w:rsidRPr="00415D8B">
        <w:rPr>
          <w:rFonts w:cs="Times New Roman"/>
          <w:lang w:val="fr-CA"/>
        </w:rPr>
        <w:t>avis de mon collègue, cela suffisait pour que le litige reste une « affaire pendante » et pour que s</w:t>
      </w:r>
      <w:r>
        <w:rPr>
          <w:rFonts w:cs="Times New Roman"/>
          <w:lang w:val="fr-CA"/>
        </w:rPr>
        <w:t>’</w:t>
      </w:r>
      <w:r w:rsidRPr="00415D8B">
        <w:rPr>
          <w:rFonts w:cs="Times New Roman"/>
          <w:lang w:val="fr-CA"/>
        </w:rPr>
        <w:t xml:space="preserve">appliquent les dispositions déclaratoires.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Je ne saurais être d</w:t>
      </w:r>
      <w:r>
        <w:rPr>
          <w:rFonts w:cs="Times New Roman"/>
          <w:lang w:val="fr-CA"/>
        </w:rPr>
        <w:t>’</w:t>
      </w:r>
      <w:r w:rsidRPr="00415D8B">
        <w:rPr>
          <w:rFonts w:cs="Times New Roman"/>
          <w:lang w:val="fr-CA"/>
        </w:rPr>
        <w:t>accord.  Les tribunaux interprètent et appliquent de façon restrictive les lois déclaratoires.  Ces lois s</w:t>
      </w:r>
      <w:r>
        <w:rPr>
          <w:rFonts w:cs="Times New Roman"/>
          <w:lang w:val="fr-CA"/>
        </w:rPr>
        <w:t>’</w:t>
      </w:r>
      <w:r w:rsidRPr="00415D8B">
        <w:rPr>
          <w:rFonts w:cs="Times New Roman"/>
          <w:lang w:val="fr-CA"/>
        </w:rPr>
        <w:t xml:space="preserve">appliquent aux affaires pendantes, mais </w:t>
      </w:r>
      <w:r w:rsidRPr="00415D8B">
        <w:rPr>
          <w:rFonts w:cs="Times New Roman"/>
          <w:szCs w:val="24"/>
          <w:lang w:val="fr-CA"/>
        </w:rPr>
        <w:t>n</w:t>
      </w:r>
      <w:r>
        <w:rPr>
          <w:rFonts w:cs="Times New Roman"/>
          <w:szCs w:val="24"/>
          <w:lang w:val="fr-CA"/>
        </w:rPr>
        <w:t>’</w:t>
      </w:r>
      <w:r w:rsidRPr="00415D8B">
        <w:rPr>
          <w:rFonts w:cs="Times New Roman"/>
          <w:szCs w:val="24"/>
          <w:lang w:val="fr-CA"/>
        </w:rPr>
        <w:t>opèrent pas la réouverture des affaires déjà jugées (</w:t>
      </w:r>
      <w:r w:rsidRPr="00415D8B">
        <w:rPr>
          <w:rFonts w:cs="Times New Roman"/>
          <w:i/>
          <w:szCs w:val="24"/>
          <w:lang w:val="fr-CA"/>
        </w:rPr>
        <w:t>Western Minerals</w:t>
      </w:r>
      <w:r w:rsidRPr="00415D8B">
        <w:rPr>
          <w:rFonts w:cs="Times New Roman"/>
          <w:szCs w:val="24"/>
          <w:lang w:val="fr-CA"/>
        </w:rPr>
        <w:t>, p. 370).  L</w:t>
      </w:r>
      <w:r>
        <w:rPr>
          <w:rFonts w:cs="Times New Roman"/>
          <w:szCs w:val="24"/>
          <w:lang w:val="fr-CA"/>
        </w:rPr>
        <w:t>’</w:t>
      </w:r>
      <w:r w:rsidRPr="00415D8B">
        <w:rPr>
          <w:rFonts w:cs="Times New Roman"/>
          <w:szCs w:val="24"/>
          <w:lang w:val="fr-CA"/>
        </w:rPr>
        <w:t>application des lois déclaratoires est étroitement liée au processus d</w:t>
      </w:r>
      <w:r>
        <w:rPr>
          <w:rFonts w:cs="Times New Roman"/>
          <w:szCs w:val="24"/>
          <w:lang w:val="fr-CA"/>
        </w:rPr>
        <w:t>’</w:t>
      </w:r>
      <w:r w:rsidRPr="00415D8B">
        <w:rPr>
          <w:rFonts w:cs="Times New Roman"/>
          <w:szCs w:val="24"/>
          <w:lang w:val="fr-CA"/>
        </w:rPr>
        <w:t>appel — ces lois ne s</w:t>
      </w:r>
      <w:r>
        <w:rPr>
          <w:rFonts w:cs="Times New Roman"/>
          <w:szCs w:val="24"/>
          <w:lang w:val="fr-CA"/>
        </w:rPr>
        <w:t>’</w:t>
      </w:r>
      <w:r w:rsidRPr="00415D8B">
        <w:rPr>
          <w:rFonts w:cs="Times New Roman"/>
          <w:szCs w:val="24"/>
          <w:lang w:val="fr-CA"/>
        </w:rPr>
        <w:t>appliquent pas à un litige lorsque toutes les voies d</w:t>
      </w:r>
      <w:r>
        <w:rPr>
          <w:rFonts w:cs="Times New Roman"/>
          <w:szCs w:val="24"/>
          <w:lang w:val="fr-CA"/>
        </w:rPr>
        <w:t>’</w:t>
      </w:r>
      <w:r w:rsidRPr="00415D8B">
        <w:rPr>
          <w:rFonts w:cs="Times New Roman"/>
          <w:szCs w:val="24"/>
          <w:lang w:val="fr-CA"/>
        </w:rPr>
        <w:t>appel sont épuisées.  Le principe de l</w:t>
      </w:r>
      <w:r>
        <w:rPr>
          <w:rFonts w:cs="Times New Roman"/>
          <w:szCs w:val="24"/>
          <w:lang w:val="fr-CA"/>
        </w:rPr>
        <w:t>’</w:t>
      </w:r>
      <w:r w:rsidRPr="00415D8B">
        <w:rPr>
          <w:rFonts w:cs="Times New Roman"/>
          <w:szCs w:val="24"/>
          <w:lang w:val="fr-CA"/>
        </w:rPr>
        <w:t>interprétation et de l</w:t>
      </w:r>
      <w:r>
        <w:rPr>
          <w:rFonts w:cs="Times New Roman"/>
          <w:szCs w:val="24"/>
          <w:lang w:val="fr-CA"/>
        </w:rPr>
        <w:t>’</w:t>
      </w:r>
      <w:r w:rsidRPr="00415D8B">
        <w:rPr>
          <w:rFonts w:cs="Times New Roman"/>
          <w:szCs w:val="24"/>
          <w:lang w:val="fr-CA"/>
        </w:rPr>
        <w:t>application restrictives des lois déclaratoires vise à préserver la stabilité et la certitude au sein du système juridique.  Il indique qu</w:t>
      </w:r>
      <w:r>
        <w:rPr>
          <w:rFonts w:cs="Times New Roman"/>
          <w:szCs w:val="24"/>
          <w:lang w:val="fr-CA"/>
        </w:rPr>
        <w:t>’</w:t>
      </w:r>
      <w:r w:rsidRPr="00415D8B">
        <w:rPr>
          <w:rFonts w:cs="Times New Roman"/>
          <w:szCs w:val="24"/>
          <w:lang w:val="fr-CA"/>
        </w:rPr>
        <w:t>il ne faut pas modifier à la légère les décisions judiciaires qu</w:t>
      </w:r>
      <w:r>
        <w:rPr>
          <w:rFonts w:cs="Times New Roman"/>
          <w:szCs w:val="24"/>
          <w:lang w:val="fr-CA"/>
        </w:rPr>
        <w:t>’</w:t>
      </w:r>
      <w:r w:rsidRPr="00415D8B">
        <w:rPr>
          <w:rFonts w:cs="Times New Roman"/>
          <w:szCs w:val="24"/>
          <w:lang w:val="fr-CA"/>
        </w:rPr>
        <w:t>ont obtenues les parties à l</w:t>
      </w:r>
      <w:r>
        <w:rPr>
          <w:rFonts w:cs="Times New Roman"/>
          <w:szCs w:val="24"/>
          <w:lang w:val="fr-CA"/>
        </w:rPr>
        <w:t>’</w:t>
      </w:r>
      <w:r w:rsidRPr="00415D8B">
        <w:rPr>
          <w:rFonts w:cs="Times New Roman"/>
          <w:szCs w:val="24"/>
          <w:lang w:val="fr-CA"/>
        </w:rPr>
        <w:t>issue de tous les recours d</w:t>
      </w:r>
      <w:r>
        <w:rPr>
          <w:rFonts w:cs="Times New Roman"/>
          <w:szCs w:val="24"/>
          <w:lang w:val="fr-CA"/>
        </w:rPr>
        <w:t>’</w:t>
      </w:r>
      <w:r w:rsidRPr="00415D8B">
        <w:rPr>
          <w:rFonts w:cs="Times New Roman"/>
          <w:szCs w:val="24"/>
          <w:lang w:val="fr-CA"/>
        </w:rPr>
        <w:t>appel.</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szCs w:val="24"/>
          <w:lang w:val="fr-CA"/>
        </w:rPr>
        <w:t>À mon avis, la raison d</w:t>
      </w:r>
      <w:r>
        <w:rPr>
          <w:rFonts w:cs="Times New Roman"/>
          <w:szCs w:val="24"/>
          <w:lang w:val="fr-CA"/>
        </w:rPr>
        <w:t>’</w:t>
      </w:r>
      <w:r w:rsidRPr="00415D8B">
        <w:rPr>
          <w:rFonts w:cs="Times New Roman"/>
          <w:szCs w:val="24"/>
          <w:lang w:val="fr-CA"/>
        </w:rPr>
        <w:t>être de l</w:t>
      </w:r>
      <w:r>
        <w:rPr>
          <w:rFonts w:cs="Times New Roman"/>
          <w:szCs w:val="24"/>
          <w:lang w:val="fr-CA"/>
        </w:rPr>
        <w:t>’</w:t>
      </w:r>
      <w:r w:rsidRPr="00415D8B">
        <w:rPr>
          <w:rFonts w:cs="Times New Roman"/>
          <w:szCs w:val="24"/>
          <w:lang w:val="fr-CA"/>
        </w:rPr>
        <w:t xml:space="preserve">application restrictive des lois déclaratoires porte à croire que la distinction que fait mon collègue entre (i) un </w:t>
      </w:r>
      <w:r w:rsidRPr="00415D8B">
        <w:rPr>
          <w:rFonts w:cs="Times New Roman"/>
          <w:szCs w:val="24"/>
          <w:lang w:val="fr-CA"/>
        </w:rPr>
        <w:lastRenderedPageBreak/>
        <w:t>jugement définitif et (ii) </w:t>
      </w:r>
      <w:r w:rsidRPr="00415D8B">
        <w:rPr>
          <w:rFonts w:cs="Times New Roman"/>
          <w:lang w:val="fr-CA"/>
        </w:rPr>
        <w:t xml:space="preserve">un jugement statuant définitivement sur </w:t>
      </w:r>
      <w:r w:rsidRPr="00415D8B">
        <w:rPr>
          <w:rFonts w:cs="Times New Roman"/>
          <w:i/>
          <w:lang w:val="fr-CA"/>
        </w:rPr>
        <w:t>tous</w:t>
      </w:r>
      <w:r w:rsidRPr="00415D8B">
        <w:rPr>
          <w:rFonts w:cs="Times New Roman"/>
          <w:lang w:val="fr-CA"/>
        </w:rPr>
        <w:t xml:space="preserve"> les droits et obligations des parties (motifs du juge Wagner, par. 30) est inopportune dans ce contexte.  Et, à mon humble avis, aucun fondement légal n</w:t>
      </w:r>
      <w:r>
        <w:rPr>
          <w:rFonts w:cs="Times New Roman"/>
          <w:lang w:val="fr-CA"/>
        </w:rPr>
        <w:t>’</w:t>
      </w:r>
      <w:r w:rsidRPr="00415D8B">
        <w:rPr>
          <w:rFonts w:cs="Times New Roman"/>
          <w:lang w:val="fr-CA"/>
        </w:rPr>
        <w:t>appuie cette distinction que fait mon collègue.  Un jugement qui tranche définitivement un point de droit sur lequel les parties s</w:t>
      </w:r>
      <w:r>
        <w:rPr>
          <w:rFonts w:cs="Times New Roman"/>
          <w:lang w:val="fr-CA"/>
        </w:rPr>
        <w:t>’</w:t>
      </w:r>
      <w:r w:rsidRPr="00415D8B">
        <w:rPr>
          <w:rFonts w:cs="Times New Roman"/>
          <w:lang w:val="fr-CA"/>
        </w:rPr>
        <w:t>opposent ne mérite pas moins d</w:t>
      </w:r>
      <w:r>
        <w:rPr>
          <w:rFonts w:cs="Times New Roman"/>
          <w:lang w:val="fr-CA"/>
        </w:rPr>
        <w:t>’</w:t>
      </w:r>
      <w:r w:rsidRPr="00415D8B">
        <w:rPr>
          <w:rFonts w:cs="Times New Roman"/>
          <w:lang w:val="fr-CA"/>
        </w:rPr>
        <w:t>être soustrait aux effets rétroactifs d</w:t>
      </w:r>
      <w:r>
        <w:rPr>
          <w:rFonts w:cs="Times New Roman"/>
          <w:lang w:val="fr-CA"/>
        </w:rPr>
        <w:t>’</w:t>
      </w:r>
      <w:r w:rsidRPr="00415D8B">
        <w:rPr>
          <w:rFonts w:cs="Times New Roman"/>
          <w:lang w:val="fr-CA"/>
        </w:rPr>
        <w:t>une loi déclaratoire qu</w:t>
      </w:r>
      <w:r>
        <w:rPr>
          <w:rFonts w:cs="Times New Roman"/>
          <w:lang w:val="fr-CA"/>
        </w:rPr>
        <w:t>’</w:t>
      </w:r>
      <w:r w:rsidRPr="00415D8B">
        <w:rPr>
          <w:rFonts w:cs="Times New Roman"/>
          <w:lang w:val="fr-CA"/>
        </w:rPr>
        <w:t>un jugement statuant sur tous les droits et les obligations en litige.</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C</w:t>
      </w:r>
      <w:r>
        <w:rPr>
          <w:rFonts w:cs="Times New Roman"/>
          <w:lang w:val="fr-CA"/>
        </w:rPr>
        <w:t>’</w:t>
      </w:r>
      <w:r w:rsidRPr="00415D8B">
        <w:rPr>
          <w:rFonts w:cs="Times New Roman"/>
          <w:lang w:val="fr-CA"/>
        </w:rPr>
        <w:t>est ce qu</w:t>
      </w:r>
      <w:r>
        <w:rPr>
          <w:rFonts w:cs="Times New Roman"/>
          <w:lang w:val="fr-CA"/>
        </w:rPr>
        <w:t>’</w:t>
      </w:r>
      <w:r w:rsidRPr="00415D8B">
        <w:rPr>
          <w:rFonts w:cs="Times New Roman"/>
          <w:lang w:val="fr-CA"/>
        </w:rPr>
        <w:t>illustre le présent pourvoi.  La Cour d</w:t>
      </w:r>
      <w:r>
        <w:rPr>
          <w:rFonts w:cs="Times New Roman"/>
          <w:lang w:val="fr-CA"/>
        </w:rPr>
        <w:t>’</w:t>
      </w:r>
      <w:r w:rsidRPr="00415D8B">
        <w:rPr>
          <w:rFonts w:cs="Times New Roman"/>
          <w:lang w:val="fr-CA"/>
        </w:rPr>
        <w:t>appel du Québec a conclu que les Règles du régime de pension limitaient effectivement les obligations de l</w:t>
      </w:r>
      <w:r>
        <w:rPr>
          <w:rFonts w:cs="Times New Roman"/>
          <w:lang w:val="fr-CA"/>
        </w:rPr>
        <w:t>’</w:t>
      </w:r>
      <w:r w:rsidRPr="00415D8B">
        <w:rPr>
          <w:rFonts w:cs="Times New Roman"/>
          <w:lang w:val="fr-CA"/>
        </w:rPr>
        <w:t>employeur en matière de financement, et la Cour suprême du Canada n</w:t>
      </w:r>
      <w:r>
        <w:rPr>
          <w:rFonts w:cs="Times New Roman"/>
          <w:lang w:val="fr-CA"/>
        </w:rPr>
        <w:t>’</w:t>
      </w:r>
      <w:r w:rsidRPr="00415D8B">
        <w:rPr>
          <w:rFonts w:cs="Times New Roman"/>
          <w:lang w:val="fr-CA"/>
        </w:rPr>
        <w:t>a pas jugé bon d</w:t>
      </w:r>
      <w:r>
        <w:rPr>
          <w:rFonts w:cs="Times New Roman"/>
          <w:lang w:val="fr-CA"/>
        </w:rPr>
        <w:t>’</w:t>
      </w:r>
      <w:r w:rsidRPr="00415D8B">
        <w:rPr>
          <w:rFonts w:cs="Times New Roman"/>
          <w:lang w:val="fr-CA"/>
        </w:rPr>
        <w:t>intervenir dans cette décision.  Après ce jugement décisif, seules demeuraient les tâches plutôt administratives de réunir les rapports actuariels et de calculer le montant exact de l</w:t>
      </w:r>
      <w:r>
        <w:rPr>
          <w:rFonts w:cs="Times New Roman"/>
          <w:lang w:val="fr-CA"/>
        </w:rPr>
        <w:t>’</w:t>
      </w:r>
      <w:r w:rsidRPr="00415D8B">
        <w:rPr>
          <w:rFonts w:cs="Times New Roman"/>
          <w:lang w:val="fr-CA"/>
        </w:rPr>
        <w:t>obligation pécuniaire de l</w:t>
      </w:r>
      <w:r>
        <w:rPr>
          <w:rFonts w:cs="Times New Roman"/>
          <w:lang w:val="fr-CA"/>
        </w:rPr>
        <w:t>’</w:t>
      </w:r>
      <w:r w:rsidRPr="00415D8B">
        <w:rPr>
          <w:rFonts w:cs="Times New Roman"/>
          <w:lang w:val="fr-CA"/>
        </w:rPr>
        <w:t>employeur — des tâches qui relevaient du domaine de spécialisation de la Régie et que la cour a laissées à cette dernière.  Il n</w:t>
      </w:r>
      <w:r>
        <w:rPr>
          <w:rFonts w:cs="Times New Roman"/>
          <w:lang w:val="fr-CA"/>
        </w:rPr>
        <w:t>’</w:t>
      </w:r>
      <w:r w:rsidRPr="00415D8B">
        <w:rPr>
          <w:rFonts w:cs="Times New Roman"/>
          <w:lang w:val="fr-CA"/>
        </w:rPr>
        <w:t>existait plus aucune voie d</w:t>
      </w:r>
      <w:r>
        <w:rPr>
          <w:rFonts w:cs="Times New Roman"/>
          <w:lang w:val="fr-CA"/>
        </w:rPr>
        <w:t>’</w:t>
      </w:r>
      <w:r w:rsidRPr="00415D8B">
        <w:rPr>
          <w:rFonts w:cs="Times New Roman"/>
          <w:lang w:val="fr-CA"/>
        </w:rPr>
        <w:t>appel permettant de contester les conclusions de la Cour d</w:t>
      </w:r>
      <w:r>
        <w:rPr>
          <w:rFonts w:cs="Times New Roman"/>
          <w:lang w:val="fr-CA"/>
        </w:rPr>
        <w:t>’</w:t>
      </w:r>
      <w:r w:rsidRPr="00415D8B">
        <w:rPr>
          <w:rFonts w:cs="Times New Roman"/>
          <w:lang w:val="fr-CA"/>
        </w:rPr>
        <w:t>appel du Québec relatives aux obligations de l</w:t>
      </w:r>
      <w:r>
        <w:rPr>
          <w:rFonts w:cs="Times New Roman"/>
          <w:lang w:val="fr-CA"/>
        </w:rPr>
        <w:t>’</w:t>
      </w:r>
      <w:r w:rsidRPr="00415D8B">
        <w:rPr>
          <w:rFonts w:cs="Times New Roman"/>
          <w:lang w:val="fr-CA"/>
        </w:rPr>
        <w:t>employeur en matière de financement.  Les parties avaient demandé et obtenu une décision définitive sur la question, en se rendant jusqu</w:t>
      </w:r>
      <w:r>
        <w:rPr>
          <w:rFonts w:cs="Times New Roman"/>
          <w:lang w:val="fr-CA"/>
        </w:rPr>
        <w:t>’</w:t>
      </w:r>
      <w:r w:rsidRPr="00415D8B">
        <w:rPr>
          <w:rFonts w:cs="Times New Roman"/>
          <w:lang w:val="fr-CA"/>
        </w:rPr>
        <w:t>au tribunal de dernier recours.  Pourtant, l</w:t>
      </w:r>
      <w:r>
        <w:rPr>
          <w:rFonts w:cs="Times New Roman"/>
          <w:lang w:val="fr-CA"/>
        </w:rPr>
        <w:t>’</w:t>
      </w:r>
      <w:r w:rsidRPr="00415D8B">
        <w:rPr>
          <w:rFonts w:cs="Times New Roman"/>
          <w:lang w:val="fr-CA"/>
        </w:rPr>
        <w:t>application des dispositions déclaratoires a rouvert l</w:t>
      </w:r>
      <w:r>
        <w:rPr>
          <w:rFonts w:cs="Times New Roman"/>
          <w:lang w:val="fr-CA"/>
        </w:rPr>
        <w:t>’</w:t>
      </w:r>
      <w:r w:rsidRPr="00415D8B">
        <w:rPr>
          <w:rFonts w:cs="Times New Roman"/>
          <w:lang w:val="fr-CA"/>
        </w:rPr>
        <w:t>examen d</w:t>
      </w:r>
      <w:r>
        <w:rPr>
          <w:rFonts w:cs="Times New Roman"/>
          <w:lang w:val="fr-CA"/>
        </w:rPr>
        <w:t>’</w:t>
      </w:r>
      <w:r w:rsidRPr="00415D8B">
        <w:rPr>
          <w:rFonts w:cs="Times New Roman"/>
          <w:lang w:val="fr-CA"/>
        </w:rPr>
        <w:t>un litige dont les principales questions avaient été définitivement résolues et a ramené les parties à gravir tous les échelons des recours d</w:t>
      </w:r>
      <w:r>
        <w:rPr>
          <w:rFonts w:cs="Times New Roman"/>
          <w:lang w:val="fr-CA"/>
        </w:rPr>
        <w:t>’</w:t>
      </w:r>
      <w:r w:rsidRPr="00415D8B">
        <w:rPr>
          <w:rFonts w:cs="Times New Roman"/>
          <w:lang w:val="fr-CA"/>
        </w:rPr>
        <w:t>appel.  C</w:t>
      </w:r>
      <w:r>
        <w:rPr>
          <w:rFonts w:cs="Times New Roman"/>
          <w:lang w:val="fr-CA"/>
        </w:rPr>
        <w:t>’</w:t>
      </w:r>
      <w:r w:rsidRPr="00415D8B">
        <w:rPr>
          <w:rFonts w:cs="Times New Roman"/>
          <w:lang w:val="fr-CA"/>
        </w:rPr>
        <w:t>est précisément ce que vise à prévenir le principe bien établi de l</w:t>
      </w:r>
      <w:r>
        <w:rPr>
          <w:rFonts w:cs="Times New Roman"/>
          <w:lang w:val="fr-CA"/>
        </w:rPr>
        <w:t>’</w:t>
      </w:r>
      <w:r w:rsidRPr="00415D8B">
        <w:rPr>
          <w:rFonts w:cs="Times New Roman"/>
          <w:lang w:val="fr-CA"/>
        </w:rPr>
        <w:t>interprétation restrictive des lois déclaratoires.</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lastRenderedPageBreak/>
        <w:t>En outre, mon collègue s</w:t>
      </w:r>
      <w:r>
        <w:rPr>
          <w:rFonts w:cs="Times New Roman"/>
          <w:lang w:val="fr-CA"/>
        </w:rPr>
        <w:t>’</w:t>
      </w:r>
      <w:r w:rsidRPr="00415D8B">
        <w:rPr>
          <w:rFonts w:cs="Times New Roman"/>
          <w:lang w:val="fr-CA"/>
        </w:rPr>
        <w:t>appuie fortement sur l</w:t>
      </w:r>
      <w:r>
        <w:rPr>
          <w:rFonts w:cs="Times New Roman"/>
          <w:lang w:val="fr-CA"/>
        </w:rPr>
        <w:t>’</w:t>
      </w:r>
      <w:r w:rsidRPr="00415D8B">
        <w:rPr>
          <w:rFonts w:cs="Times New Roman"/>
          <w:lang w:val="fr-CA"/>
        </w:rPr>
        <w:t>intention du législateur qui, selon lui, voulait spécifiquement annuler les effets du jugement de la Cour d</w:t>
      </w:r>
      <w:r>
        <w:rPr>
          <w:rFonts w:cs="Times New Roman"/>
          <w:lang w:val="fr-CA"/>
        </w:rPr>
        <w:t>’</w:t>
      </w:r>
      <w:r w:rsidRPr="00415D8B">
        <w:rPr>
          <w:rFonts w:cs="Times New Roman"/>
          <w:lang w:val="fr-CA"/>
        </w:rPr>
        <w:t>appel à l</w:t>
      </w:r>
      <w:r>
        <w:rPr>
          <w:rFonts w:cs="Times New Roman"/>
          <w:lang w:val="fr-CA"/>
        </w:rPr>
        <w:t>’</w:t>
      </w:r>
      <w:r w:rsidRPr="00415D8B">
        <w:rPr>
          <w:rFonts w:cs="Times New Roman"/>
          <w:lang w:val="fr-CA"/>
        </w:rPr>
        <w:t>égard des parties.  Je suis d</w:t>
      </w:r>
      <w:r>
        <w:rPr>
          <w:rFonts w:cs="Times New Roman"/>
          <w:lang w:val="fr-CA"/>
        </w:rPr>
        <w:t>’</w:t>
      </w:r>
      <w:r w:rsidRPr="00415D8B">
        <w:rPr>
          <w:rFonts w:cs="Times New Roman"/>
          <w:lang w:val="fr-CA"/>
        </w:rPr>
        <w:t>accord pour dire qu</w:t>
      </w:r>
      <w:r>
        <w:rPr>
          <w:rFonts w:cs="Times New Roman"/>
          <w:lang w:val="fr-CA"/>
        </w:rPr>
        <w:t>’</w:t>
      </w:r>
      <w:r w:rsidRPr="00415D8B">
        <w:rPr>
          <w:rFonts w:cs="Times New Roman"/>
          <w:lang w:val="fr-CA"/>
        </w:rPr>
        <w:t>en théorie, le législateur a le pouvoir d</w:t>
      </w:r>
      <w:r>
        <w:rPr>
          <w:rFonts w:cs="Times New Roman"/>
          <w:lang w:val="fr-CA"/>
        </w:rPr>
        <w:t>’</w:t>
      </w:r>
      <w:r w:rsidRPr="00415D8B">
        <w:rPr>
          <w:rFonts w:cs="Times New Roman"/>
          <w:lang w:val="fr-CA"/>
        </w:rPr>
        <w:t>annuler tous les effets d</w:t>
      </w:r>
      <w:r>
        <w:rPr>
          <w:rFonts w:cs="Times New Roman"/>
          <w:lang w:val="fr-CA"/>
        </w:rPr>
        <w:t>’</w:t>
      </w:r>
      <w:r w:rsidRPr="00415D8B">
        <w:rPr>
          <w:rFonts w:cs="Times New Roman"/>
          <w:lang w:val="fr-CA"/>
        </w:rPr>
        <w:t>un jugement.  Toutefois, pour inférer que le législateur voulait annuler les effets d</w:t>
      </w:r>
      <w:r>
        <w:rPr>
          <w:rFonts w:cs="Times New Roman"/>
          <w:lang w:val="fr-CA"/>
        </w:rPr>
        <w:t>’</w:t>
      </w:r>
      <w:r w:rsidRPr="00415D8B">
        <w:rPr>
          <w:rFonts w:cs="Times New Roman"/>
          <w:lang w:val="fr-CA"/>
        </w:rPr>
        <w:t>un jugement à l</w:t>
      </w:r>
      <w:r>
        <w:rPr>
          <w:rFonts w:cs="Times New Roman"/>
          <w:lang w:val="fr-CA"/>
        </w:rPr>
        <w:t>’</w:t>
      </w:r>
      <w:r w:rsidRPr="00415D8B">
        <w:rPr>
          <w:rFonts w:cs="Times New Roman"/>
          <w:lang w:val="fr-CA"/>
        </w:rPr>
        <w:t>égard des parties — une mesure extraordinaire — son intention doit être exprimée clairement dans la loi.  Or, les termes de la loi déclaratoire en l</w:t>
      </w:r>
      <w:r>
        <w:rPr>
          <w:rFonts w:cs="Times New Roman"/>
          <w:lang w:val="fr-CA"/>
        </w:rPr>
        <w:t>’</w:t>
      </w:r>
      <w:r w:rsidRPr="00415D8B">
        <w:rPr>
          <w:rFonts w:cs="Times New Roman"/>
          <w:lang w:val="fr-CA"/>
        </w:rPr>
        <w:t>espèce n</w:t>
      </w:r>
      <w:r>
        <w:rPr>
          <w:rFonts w:cs="Times New Roman"/>
          <w:lang w:val="fr-CA"/>
        </w:rPr>
        <w:t>’</w:t>
      </w:r>
      <w:r w:rsidRPr="00415D8B">
        <w:rPr>
          <w:rFonts w:cs="Times New Roman"/>
          <w:lang w:val="fr-CA"/>
        </w:rPr>
        <w:t>expriment pas clairement cette intention.</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Il est utile de faire une distinction entre les différents effets que produit un jugement.  Un jugement définitif a notamment pour effet de créer un précédent que doivent suivre les tribunaux judiciaires ou administratifs.  C</w:t>
      </w:r>
      <w:r>
        <w:rPr>
          <w:rFonts w:cs="Times New Roman"/>
          <w:lang w:val="fr-CA"/>
        </w:rPr>
        <w:t>’</w:t>
      </w:r>
      <w:r w:rsidRPr="00415D8B">
        <w:rPr>
          <w:rFonts w:cs="Times New Roman"/>
          <w:lang w:val="fr-CA"/>
        </w:rPr>
        <w:t>est l</w:t>
      </w:r>
      <w:r>
        <w:rPr>
          <w:rFonts w:cs="Times New Roman"/>
          <w:lang w:val="fr-CA"/>
        </w:rPr>
        <w:t>’</w:t>
      </w:r>
      <w:r w:rsidRPr="00415D8B">
        <w:rPr>
          <w:rFonts w:cs="Times New Roman"/>
          <w:lang w:val="fr-CA"/>
        </w:rPr>
        <w:t>effet que l</w:t>
      </w:r>
      <w:r>
        <w:rPr>
          <w:rFonts w:cs="Times New Roman"/>
          <w:lang w:val="fr-CA"/>
        </w:rPr>
        <w:t>’</w:t>
      </w:r>
      <w:r w:rsidRPr="00415D8B">
        <w:rPr>
          <w:rFonts w:cs="Times New Roman"/>
          <w:lang w:val="fr-CA"/>
        </w:rPr>
        <w:t xml:space="preserve">on appelle le </w:t>
      </w:r>
      <w:r w:rsidRPr="00415D8B">
        <w:rPr>
          <w:rFonts w:cs="Times New Roman"/>
          <w:i/>
          <w:lang w:val="fr-CA"/>
        </w:rPr>
        <w:t>stare decisis</w:t>
      </w:r>
      <w:r w:rsidRPr="00415D8B">
        <w:rPr>
          <w:rFonts w:cs="Times New Roman"/>
          <w:lang w:val="fr-CA"/>
        </w:rPr>
        <w:t> : [</w:t>
      </w:r>
      <w:r w:rsidRPr="00415D8B">
        <w:rPr>
          <w:rFonts w:cs="Times New Roman"/>
          <w:smallCaps/>
          <w:lang w:val="fr-CA"/>
        </w:rPr>
        <w:t>traduction</w:t>
      </w:r>
      <w:r w:rsidRPr="00415D8B">
        <w:rPr>
          <w:rFonts w:cs="Times New Roman"/>
          <w:lang w:val="fr-CA"/>
        </w:rPr>
        <w:t>] « . . . les tribunaux saisis de nouveau d</w:t>
      </w:r>
      <w:r>
        <w:rPr>
          <w:rFonts w:cs="Times New Roman"/>
          <w:lang w:val="fr-CA"/>
        </w:rPr>
        <w:t>’</w:t>
      </w:r>
      <w:r w:rsidRPr="00415D8B">
        <w:rPr>
          <w:rFonts w:cs="Times New Roman"/>
          <w:lang w:val="fr-CA"/>
        </w:rPr>
        <w:t>une question donnée doivent rendre des décisions conformes à celles qu</w:t>
      </w:r>
      <w:r>
        <w:rPr>
          <w:rFonts w:cs="Times New Roman"/>
          <w:lang w:val="fr-CA"/>
        </w:rPr>
        <w:t>’</w:t>
      </w:r>
      <w:r w:rsidRPr="00415D8B">
        <w:rPr>
          <w:rFonts w:cs="Times New Roman"/>
          <w:lang w:val="fr-CA"/>
        </w:rPr>
        <w:t>ils ont déjà rendues », jusqu</w:t>
      </w:r>
      <w:r>
        <w:rPr>
          <w:rFonts w:cs="Times New Roman"/>
          <w:lang w:val="fr-CA"/>
        </w:rPr>
        <w:t>’</w:t>
      </w:r>
      <w:r w:rsidRPr="00415D8B">
        <w:rPr>
          <w:rFonts w:cs="Times New Roman"/>
          <w:lang w:val="fr-CA"/>
        </w:rPr>
        <w:t>à ce que les décisions soient réexaminées ou infirmées par un tribunal supérieur (</w:t>
      </w:r>
      <w:r w:rsidRPr="00415D8B">
        <w:rPr>
          <w:rFonts w:cs="Times New Roman"/>
          <w:i/>
          <w:lang w:val="fr-CA"/>
        </w:rPr>
        <w:t>Black</w:t>
      </w:r>
      <w:r>
        <w:rPr>
          <w:rFonts w:cs="Times New Roman"/>
          <w:i/>
          <w:lang w:val="fr-CA"/>
        </w:rPr>
        <w:t>’</w:t>
      </w:r>
      <w:r w:rsidRPr="00415D8B">
        <w:rPr>
          <w:rFonts w:cs="Times New Roman"/>
          <w:i/>
          <w:lang w:val="fr-CA"/>
        </w:rPr>
        <w:t>s Law Dictionary</w:t>
      </w:r>
      <w:r w:rsidRPr="00415D8B">
        <w:rPr>
          <w:rFonts w:cs="Times New Roman"/>
          <w:lang w:val="fr-CA"/>
        </w:rPr>
        <w:t xml:space="preserve"> (9</w:t>
      </w:r>
      <w:r w:rsidRPr="00415D8B">
        <w:rPr>
          <w:rFonts w:cs="Times New Roman"/>
          <w:vertAlign w:val="superscript"/>
          <w:lang w:val="fr-CA"/>
        </w:rPr>
        <w:t>e</w:t>
      </w:r>
      <w:r w:rsidRPr="00415D8B">
        <w:rPr>
          <w:rFonts w:cs="Times New Roman"/>
          <w:lang w:val="fr-CA"/>
        </w:rPr>
        <w:t xml:space="preserve"> éd. 2009); </w:t>
      </w:r>
      <w:r w:rsidRPr="00415D8B">
        <w:rPr>
          <w:rFonts w:cs="Times New Roman"/>
          <w:i/>
          <w:lang w:val="fr-CA"/>
        </w:rPr>
        <w:t>Woods Manufacturing Co. c. The King</w:t>
      </w:r>
      <w:r w:rsidRPr="00415D8B">
        <w:rPr>
          <w:rFonts w:cs="Times New Roman"/>
          <w:lang w:val="fr-CA"/>
        </w:rPr>
        <w:t>, [1951] R.C.S. 504, p. 515).  Un jugement définitif a aussi pour effet d</w:t>
      </w:r>
      <w:r>
        <w:rPr>
          <w:rFonts w:cs="Times New Roman"/>
          <w:lang w:val="fr-CA"/>
        </w:rPr>
        <w:t>’</w:t>
      </w:r>
      <w:r w:rsidRPr="00415D8B">
        <w:rPr>
          <w:rFonts w:cs="Times New Roman"/>
          <w:lang w:val="fr-CA"/>
        </w:rPr>
        <w:t>établir les droits et obligations des parties, ce qui confère à la question en litige l</w:t>
      </w:r>
      <w:r>
        <w:rPr>
          <w:rFonts w:cs="Times New Roman"/>
          <w:lang w:val="fr-CA"/>
        </w:rPr>
        <w:t>’</w:t>
      </w:r>
      <w:r w:rsidRPr="00415D8B">
        <w:rPr>
          <w:rFonts w:cs="Times New Roman"/>
          <w:lang w:val="fr-CA"/>
        </w:rPr>
        <w:t>autorité de la chose jugée.</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Il suffit pour le législateur de dire qu</w:t>
      </w:r>
      <w:r>
        <w:rPr>
          <w:rFonts w:cs="Times New Roman"/>
          <w:lang w:val="fr-CA"/>
        </w:rPr>
        <w:t>’</w:t>
      </w:r>
      <w:r w:rsidRPr="00415D8B">
        <w:rPr>
          <w:rFonts w:cs="Times New Roman"/>
          <w:lang w:val="fr-CA"/>
        </w:rPr>
        <w:t>une loi est « déclaratoire » pour priver de sa valeur précédentielle une jurisprudence contraire.  Cependant, il faut un libellé plus explicite pour inférer que le législateur a voulu priver de l</w:t>
      </w:r>
      <w:r>
        <w:rPr>
          <w:rFonts w:cs="Times New Roman"/>
          <w:lang w:val="fr-CA"/>
        </w:rPr>
        <w:t>’</w:t>
      </w:r>
      <w:r w:rsidRPr="00415D8B">
        <w:rPr>
          <w:rFonts w:cs="Times New Roman"/>
          <w:lang w:val="fr-CA"/>
        </w:rPr>
        <w:t xml:space="preserve">autorité de la </w:t>
      </w:r>
      <w:r w:rsidRPr="00415D8B">
        <w:rPr>
          <w:rFonts w:cs="Times New Roman"/>
          <w:lang w:val="fr-CA"/>
        </w:rPr>
        <w:lastRenderedPageBreak/>
        <w:t>chose jugée un jugement définitif à l</w:t>
      </w:r>
      <w:r>
        <w:rPr>
          <w:rFonts w:cs="Times New Roman"/>
          <w:lang w:val="fr-CA"/>
        </w:rPr>
        <w:t>’</w:t>
      </w:r>
      <w:r w:rsidRPr="00415D8B">
        <w:rPr>
          <w:rFonts w:cs="Times New Roman"/>
          <w:lang w:val="fr-CA"/>
        </w:rPr>
        <w:t>égard des parties à un litige lorsque toutes les voies d</w:t>
      </w:r>
      <w:r>
        <w:rPr>
          <w:rFonts w:cs="Times New Roman"/>
          <w:lang w:val="fr-CA"/>
        </w:rPr>
        <w:t>’</w:t>
      </w:r>
      <w:r w:rsidRPr="00415D8B">
        <w:rPr>
          <w:rFonts w:cs="Times New Roman"/>
          <w:lang w:val="fr-CA"/>
        </w:rPr>
        <w:t>appel ont été épuisées.  Comme la Cour d</w:t>
      </w:r>
      <w:r>
        <w:rPr>
          <w:rFonts w:cs="Times New Roman"/>
          <w:lang w:val="fr-CA"/>
        </w:rPr>
        <w:t>’</w:t>
      </w:r>
      <w:r w:rsidRPr="00415D8B">
        <w:rPr>
          <w:rFonts w:cs="Times New Roman"/>
          <w:lang w:val="fr-CA"/>
        </w:rPr>
        <w:t>appel de la Saskatchewan l</w:t>
      </w:r>
      <w:r>
        <w:rPr>
          <w:rFonts w:cs="Times New Roman"/>
          <w:lang w:val="fr-CA"/>
        </w:rPr>
        <w:t>’</w:t>
      </w:r>
      <w:r w:rsidRPr="00415D8B">
        <w:rPr>
          <w:rFonts w:cs="Times New Roman"/>
          <w:lang w:val="fr-CA"/>
        </w:rPr>
        <w:t xml:space="preserve">a affirmé dans </w:t>
      </w:r>
      <w:r w:rsidRPr="00415D8B">
        <w:rPr>
          <w:rFonts w:cs="Times New Roman"/>
          <w:i/>
          <w:lang w:val="fr-CA"/>
        </w:rPr>
        <w:t xml:space="preserve">Zadvorny c. Saskatchewan Government Insurance </w:t>
      </w:r>
      <w:r w:rsidRPr="00415D8B">
        <w:rPr>
          <w:rFonts w:cs="Times New Roman"/>
          <w:lang w:val="fr-CA"/>
        </w:rPr>
        <w:t xml:space="preserve">(1985), 38 Sask. R. 59 : </w:t>
      </w:r>
    </w:p>
    <w:p w:rsidR="00F5517F" w:rsidRPr="00415D8B" w:rsidRDefault="00F5517F" w:rsidP="00F5517F">
      <w:pPr>
        <w:pStyle w:val="Citation-AltC"/>
        <w:spacing w:after="240"/>
        <w:ind w:left="1168" w:hanging="1168"/>
        <w:contextualSpacing w:val="0"/>
        <w:rPr>
          <w:lang w:val="fr-CA"/>
        </w:rPr>
      </w:pPr>
      <w:r w:rsidRPr="00415D8B">
        <w:rPr>
          <w:lang w:val="fr-CA"/>
        </w:rPr>
        <w:tab/>
        <w:t>[</w:t>
      </w:r>
      <w:r w:rsidRPr="00415D8B">
        <w:rPr>
          <w:smallCaps/>
          <w:lang w:val="fr-CA"/>
        </w:rPr>
        <w:t>traduction</w:t>
      </w:r>
      <w:r w:rsidRPr="00415D8B">
        <w:rPr>
          <w:lang w:val="fr-CA"/>
        </w:rPr>
        <w:t>]  Modifier rétroactivement une loi d</w:t>
      </w:r>
      <w:r>
        <w:rPr>
          <w:lang w:val="fr-CA"/>
        </w:rPr>
        <w:t>’</w:t>
      </w:r>
      <w:r w:rsidRPr="00415D8B">
        <w:rPr>
          <w:lang w:val="fr-CA"/>
        </w:rPr>
        <w:t>application générale est une chose; annuler un jugement par voie législative en est une autre.  Pour nous convaincre que le législateur entendait priver l</w:t>
      </w:r>
      <w:r>
        <w:rPr>
          <w:lang w:val="fr-CA"/>
        </w:rPr>
        <w:t>’</w:t>
      </w:r>
      <w:r w:rsidRPr="00415D8B">
        <w:rPr>
          <w:lang w:val="fr-CA"/>
        </w:rPr>
        <w:t>intimé de son jugement, [. . .] il faudrait qu</w:t>
      </w:r>
      <w:r>
        <w:rPr>
          <w:lang w:val="fr-CA"/>
        </w:rPr>
        <w:t>’</w:t>
      </w:r>
      <w:r w:rsidRPr="00415D8B">
        <w:rPr>
          <w:lang w:val="fr-CA"/>
        </w:rPr>
        <w:t>il l</w:t>
      </w:r>
      <w:r>
        <w:rPr>
          <w:lang w:val="fr-CA"/>
        </w:rPr>
        <w:t>’</w:t>
      </w:r>
      <w:r w:rsidRPr="00415D8B">
        <w:rPr>
          <w:lang w:val="fr-CA"/>
        </w:rPr>
        <w:t>eût exprimé dans les termes les plus clairs.  [par. 9]</w:t>
      </w:r>
    </w:p>
    <w:p w:rsidR="00F5517F" w:rsidRPr="00415D8B" w:rsidRDefault="00F5517F" w:rsidP="00EC01E9">
      <w:pPr>
        <w:pStyle w:val="Citation-AltC"/>
        <w:ind w:left="0"/>
        <w:rPr>
          <w:lang w:val="fr-CA"/>
        </w:rPr>
      </w:pPr>
      <w:r w:rsidRPr="00415D8B">
        <w:rPr>
          <w:lang w:val="fr-CA"/>
        </w:rPr>
        <w:t xml:space="preserve">(Cité avec approbation dans </w:t>
      </w:r>
      <w:r w:rsidRPr="00415D8B">
        <w:rPr>
          <w:i/>
          <w:lang w:val="fr-CA"/>
        </w:rPr>
        <w:t>Hornby Island Trust Ctee. c. Stormwell</w:t>
      </w:r>
      <w:r w:rsidRPr="00415D8B">
        <w:rPr>
          <w:lang w:val="fr-CA"/>
        </w:rPr>
        <w:t xml:space="preserve"> (1988), 30 B.C.L.R. (2d) 383, p. 392.)</w:t>
      </w:r>
    </w:p>
    <w:p w:rsidR="00F5517F" w:rsidRPr="00415D8B" w:rsidRDefault="00F5517F" w:rsidP="00F5517F">
      <w:pPr>
        <w:pStyle w:val="ContinueParaSuitedupar-AltP"/>
        <w:rPr>
          <w:rFonts w:cs="Times New Roman"/>
          <w:lang w:val="fr-CA"/>
        </w:rPr>
      </w:pPr>
      <w:r w:rsidRPr="00415D8B">
        <w:rPr>
          <w:rFonts w:cs="Times New Roman"/>
          <w:lang w:val="fr-CA"/>
        </w:rPr>
        <w:t>En l</w:t>
      </w:r>
      <w:r>
        <w:rPr>
          <w:rFonts w:cs="Times New Roman"/>
          <w:lang w:val="fr-CA"/>
        </w:rPr>
        <w:t>’</w:t>
      </w:r>
      <w:r w:rsidRPr="00415D8B">
        <w:rPr>
          <w:rFonts w:cs="Times New Roman"/>
          <w:lang w:val="fr-CA"/>
        </w:rPr>
        <w:t>espèce, le législateur a choisi de ne pas employer des termes indiquant spécifiquement qu</w:t>
      </w:r>
      <w:r>
        <w:rPr>
          <w:rFonts w:cs="Times New Roman"/>
          <w:lang w:val="fr-CA"/>
        </w:rPr>
        <w:t>’</w:t>
      </w:r>
      <w:r w:rsidRPr="00415D8B">
        <w:rPr>
          <w:rFonts w:cs="Times New Roman"/>
          <w:lang w:val="fr-CA"/>
        </w:rPr>
        <w:t>il annulait le jugement de la Cour d</w:t>
      </w:r>
      <w:r>
        <w:rPr>
          <w:rFonts w:cs="Times New Roman"/>
          <w:lang w:val="fr-CA"/>
        </w:rPr>
        <w:t>’</w:t>
      </w:r>
      <w:r w:rsidRPr="00415D8B">
        <w:rPr>
          <w:rFonts w:cs="Times New Roman"/>
          <w:lang w:val="fr-CA"/>
        </w:rPr>
        <w:t>appel.  En l</w:t>
      </w:r>
      <w:r>
        <w:rPr>
          <w:rFonts w:cs="Times New Roman"/>
          <w:lang w:val="fr-CA"/>
        </w:rPr>
        <w:t>’</w:t>
      </w:r>
      <w:r w:rsidRPr="00415D8B">
        <w:rPr>
          <w:rFonts w:cs="Times New Roman"/>
          <w:lang w:val="fr-CA"/>
        </w:rPr>
        <w:t>absence de tels termes, il convient d</w:t>
      </w:r>
      <w:r>
        <w:rPr>
          <w:rFonts w:cs="Times New Roman"/>
          <w:lang w:val="fr-CA"/>
        </w:rPr>
        <w:t>’</w:t>
      </w:r>
      <w:r w:rsidRPr="00415D8B">
        <w:rPr>
          <w:rFonts w:cs="Times New Roman"/>
          <w:lang w:val="fr-CA"/>
        </w:rPr>
        <w:t>interpréter les dispositions restrictivement et de conclure qu</w:t>
      </w:r>
      <w:r>
        <w:rPr>
          <w:rFonts w:cs="Times New Roman"/>
          <w:lang w:val="fr-CA"/>
        </w:rPr>
        <w:t>’</w:t>
      </w:r>
      <w:r w:rsidRPr="00415D8B">
        <w:rPr>
          <w:rFonts w:cs="Times New Roman"/>
          <w:lang w:val="fr-CA"/>
        </w:rPr>
        <w:t>elles ne privent le jugement que de sa valeur de précédent.</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En résumé, je suis d</w:t>
      </w:r>
      <w:r>
        <w:rPr>
          <w:rFonts w:cs="Times New Roman"/>
          <w:lang w:val="fr-CA"/>
        </w:rPr>
        <w:t>’</w:t>
      </w:r>
      <w:r w:rsidRPr="00415D8B">
        <w:rPr>
          <w:rFonts w:cs="Times New Roman"/>
          <w:lang w:val="fr-CA"/>
        </w:rPr>
        <w:t>avis qu</w:t>
      </w:r>
      <w:r>
        <w:rPr>
          <w:rFonts w:cs="Times New Roman"/>
          <w:lang w:val="fr-CA"/>
        </w:rPr>
        <w:t>’</w:t>
      </w:r>
      <w:r w:rsidRPr="00415D8B">
        <w:rPr>
          <w:rFonts w:cs="Times New Roman"/>
          <w:lang w:val="fr-CA"/>
        </w:rPr>
        <w:t>aucun principe de droit ne permet de conclure que les lois déclaratoires s</w:t>
      </w:r>
      <w:r>
        <w:rPr>
          <w:rFonts w:cs="Times New Roman"/>
          <w:lang w:val="fr-CA"/>
        </w:rPr>
        <w:t>’</w:t>
      </w:r>
      <w:r w:rsidRPr="00415D8B">
        <w:rPr>
          <w:rFonts w:cs="Times New Roman"/>
          <w:lang w:val="fr-CA"/>
        </w:rPr>
        <w:t>appliquent aux décisions judiciaires pour lesquelles toutes les voies d</w:t>
      </w:r>
      <w:r>
        <w:rPr>
          <w:rFonts w:cs="Times New Roman"/>
          <w:lang w:val="fr-CA"/>
        </w:rPr>
        <w:t>’</w:t>
      </w:r>
      <w:r w:rsidRPr="00415D8B">
        <w:rPr>
          <w:rFonts w:cs="Times New Roman"/>
          <w:lang w:val="fr-CA"/>
        </w:rPr>
        <w:t>appel ont été épuisées, mais qui ne statuent pas sur toutes les questions en litige.  Une telle conclusion irait à l</w:t>
      </w:r>
      <w:r>
        <w:rPr>
          <w:rFonts w:cs="Times New Roman"/>
          <w:lang w:val="fr-CA"/>
        </w:rPr>
        <w:t>’</w:t>
      </w:r>
      <w:r w:rsidRPr="00415D8B">
        <w:rPr>
          <w:rFonts w:cs="Times New Roman"/>
          <w:lang w:val="fr-CA"/>
        </w:rPr>
        <w:t>encontre du principe voulant que les dispositions déclaratoires doivent recevoir une interprétation et une application restrictives, et à l</w:t>
      </w:r>
      <w:r>
        <w:rPr>
          <w:rFonts w:cs="Times New Roman"/>
          <w:lang w:val="fr-CA"/>
        </w:rPr>
        <w:t>’</w:t>
      </w:r>
      <w:r w:rsidRPr="00415D8B">
        <w:rPr>
          <w:rFonts w:cs="Times New Roman"/>
          <w:lang w:val="fr-CA"/>
        </w:rPr>
        <w:t>encontre du principe corrélatif suivant lequel un texte législatif clair est nécessaire pour annuler les effets d</w:t>
      </w:r>
      <w:r>
        <w:rPr>
          <w:rFonts w:cs="Times New Roman"/>
          <w:lang w:val="fr-CA"/>
        </w:rPr>
        <w:t>’</w:t>
      </w:r>
      <w:r w:rsidRPr="00415D8B">
        <w:rPr>
          <w:rFonts w:cs="Times New Roman"/>
          <w:lang w:val="fr-CA"/>
        </w:rPr>
        <w:t>un jugement à l</w:t>
      </w:r>
      <w:r>
        <w:rPr>
          <w:rFonts w:cs="Times New Roman"/>
          <w:lang w:val="fr-CA"/>
        </w:rPr>
        <w:t>’</w:t>
      </w:r>
      <w:r w:rsidRPr="00415D8B">
        <w:rPr>
          <w:rFonts w:cs="Times New Roman"/>
          <w:lang w:val="fr-CA"/>
        </w:rPr>
        <w:t>égard des parties.  Il s</w:t>
      </w:r>
      <w:r>
        <w:rPr>
          <w:rFonts w:cs="Times New Roman"/>
          <w:lang w:val="fr-CA"/>
        </w:rPr>
        <w:t>’</w:t>
      </w:r>
      <w:r w:rsidRPr="00415D8B">
        <w:rPr>
          <w:rFonts w:cs="Times New Roman"/>
          <w:lang w:val="fr-CA"/>
        </w:rPr>
        <w:t>ensuit que le jugement de la Cour d</w:t>
      </w:r>
      <w:r>
        <w:rPr>
          <w:rFonts w:cs="Times New Roman"/>
          <w:lang w:val="fr-CA"/>
        </w:rPr>
        <w:t>’</w:t>
      </w:r>
      <w:r w:rsidRPr="00415D8B">
        <w:rPr>
          <w:rFonts w:cs="Times New Roman"/>
          <w:lang w:val="fr-CA"/>
        </w:rPr>
        <w:t xml:space="preserve">appel était définitif et exécutoire : il fallait que la Régie </w:t>
      </w:r>
      <w:r w:rsidRPr="00415D8B">
        <w:rPr>
          <w:rFonts w:cs="Times New Roman"/>
          <w:lang w:val="fr-CA"/>
        </w:rPr>
        <w:lastRenderedPageBreak/>
        <w:t>« révise ses décisions [. . .] en se conformant » à la décision de la Cour d</w:t>
      </w:r>
      <w:r>
        <w:rPr>
          <w:rFonts w:cs="Times New Roman"/>
          <w:lang w:val="fr-CA"/>
        </w:rPr>
        <w:t>’</w:t>
      </w:r>
      <w:r w:rsidRPr="00415D8B">
        <w:rPr>
          <w:rFonts w:cs="Times New Roman"/>
          <w:lang w:val="fr-CA"/>
        </w:rPr>
        <w:t>appel selon laquelle les art. 9.12 et 9.13 des Règles limitaient les obligations de l</w:t>
      </w:r>
      <w:r>
        <w:rPr>
          <w:rFonts w:cs="Times New Roman"/>
          <w:lang w:val="fr-CA"/>
        </w:rPr>
        <w:t>’</w:t>
      </w:r>
      <w:r w:rsidRPr="00415D8B">
        <w:rPr>
          <w:rFonts w:cs="Times New Roman"/>
          <w:lang w:val="fr-CA"/>
        </w:rPr>
        <w:t>employeur en matière de financement (voir les motifs de la Cour d</w:t>
      </w:r>
      <w:r>
        <w:rPr>
          <w:rFonts w:cs="Times New Roman"/>
          <w:lang w:val="fr-CA"/>
        </w:rPr>
        <w:t>’</w:t>
      </w:r>
      <w:r w:rsidRPr="00415D8B">
        <w:rPr>
          <w:rFonts w:cs="Times New Roman"/>
          <w:lang w:val="fr-CA"/>
        </w:rPr>
        <w:t>appel, par. 108).</w:t>
      </w:r>
    </w:p>
    <w:p w:rsidR="00F5517F" w:rsidRPr="00415D8B" w:rsidRDefault="00F5517F" w:rsidP="00F5517F">
      <w:pPr>
        <w:pStyle w:val="TitleTitre-AltT"/>
        <w:tabs>
          <w:tab w:val="clear" w:pos="360"/>
          <w:tab w:val="left" w:pos="450"/>
        </w:tabs>
        <w:ind w:left="450" w:hanging="450"/>
        <w:rPr>
          <w:rFonts w:cs="Times New Roman"/>
          <w:lang w:val="fr-CA"/>
        </w:rPr>
      </w:pPr>
      <w:r w:rsidRPr="00415D8B">
        <w:rPr>
          <w:rFonts w:cs="Times New Roman"/>
          <w:lang w:val="fr-CA"/>
        </w:rPr>
        <w:t>B.</w:t>
      </w:r>
      <w:r w:rsidRPr="00415D8B">
        <w:rPr>
          <w:rFonts w:cs="Times New Roman"/>
          <w:lang w:val="fr-CA"/>
        </w:rPr>
        <w:tab/>
      </w:r>
      <w:r w:rsidRPr="00415D8B">
        <w:rPr>
          <w:rFonts w:cs="Times New Roman"/>
          <w:i/>
          <w:lang w:val="fr-CA"/>
        </w:rPr>
        <w:t>La Régie n</w:t>
      </w:r>
      <w:r>
        <w:rPr>
          <w:rFonts w:cs="Times New Roman"/>
          <w:i/>
          <w:lang w:val="fr-CA"/>
        </w:rPr>
        <w:t>’</w:t>
      </w:r>
      <w:r w:rsidRPr="00415D8B">
        <w:rPr>
          <w:rFonts w:cs="Times New Roman"/>
          <w:i/>
          <w:lang w:val="fr-CA"/>
        </w:rPr>
        <w:t>avait pas compétence pour infirmer le jugement définitif de la Cour d</w:t>
      </w:r>
      <w:r>
        <w:rPr>
          <w:rFonts w:cs="Times New Roman"/>
          <w:i/>
          <w:lang w:val="fr-CA"/>
        </w:rPr>
        <w:t>’</w:t>
      </w:r>
      <w:r w:rsidRPr="00415D8B">
        <w:rPr>
          <w:rFonts w:cs="Times New Roman"/>
          <w:i/>
          <w:lang w:val="fr-CA"/>
        </w:rPr>
        <w:t>appel</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La Régie n</w:t>
      </w:r>
      <w:r>
        <w:rPr>
          <w:rFonts w:cs="Times New Roman"/>
          <w:lang w:val="fr-CA"/>
        </w:rPr>
        <w:t>’</w:t>
      </w:r>
      <w:r w:rsidRPr="00415D8B">
        <w:rPr>
          <w:rFonts w:cs="Times New Roman"/>
          <w:lang w:val="fr-CA"/>
        </w:rPr>
        <w:t>avait pas compétence pour réviser la décision de la Cour d</w:t>
      </w:r>
      <w:r>
        <w:rPr>
          <w:rFonts w:cs="Times New Roman"/>
          <w:lang w:val="fr-CA"/>
        </w:rPr>
        <w:t>’</w:t>
      </w:r>
      <w:r w:rsidRPr="00415D8B">
        <w:rPr>
          <w:rFonts w:cs="Times New Roman"/>
          <w:lang w:val="fr-CA"/>
        </w:rPr>
        <w:t>appel et formuler une conclusion différente en appliquant des dispositions législatives plus récentes.  Elle n</w:t>
      </w:r>
      <w:r>
        <w:rPr>
          <w:rFonts w:cs="Times New Roman"/>
          <w:lang w:val="fr-CA"/>
        </w:rPr>
        <w:t>’</w:t>
      </w:r>
      <w:r w:rsidRPr="00415D8B">
        <w:rPr>
          <w:rFonts w:cs="Times New Roman"/>
          <w:lang w:val="fr-CA"/>
        </w:rPr>
        <w:t>était saisie de nouveau de l</w:t>
      </w:r>
      <w:r>
        <w:rPr>
          <w:rFonts w:cs="Times New Roman"/>
          <w:lang w:val="fr-CA"/>
        </w:rPr>
        <w:t>’</w:t>
      </w:r>
      <w:r w:rsidRPr="00415D8B">
        <w:rPr>
          <w:rFonts w:cs="Times New Roman"/>
          <w:lang w:val="fr-CA"/>
        </w:rPr>
        <w:t>affaire que parce que la Cour d</w:t>
      </w:r>
      <w:r>
        <w:rPr>
          <w:rFonts w:cs="Times New Roman"/>
          <w:lang w:val="fr-CA"/>
        </w:rPr>
        <w:t>’</w:t>
      </w:r>
      <w:r w:rsidRPr="00415D8B">
        <w:rPr>
          <w:rFonts w:cs="Times New Roman"/>
          <w:lang w:val="fr-CA"/>
        </w:rPr>
        <w:t>appel la lui avait renvoyée avec des directives.  Je suis prête à reconnaître — comme semble l</w:t>
      </w:r>
      <w:r>
        <w:rPr>
          <w:rFonts w:cs="Times New Roman"/>
          <w:lang w:val="fr-CA"/>
        </w:rPr>
        <w:t>’</w:t>
      </w:r>
      <w:r w:rsidRPr="00415D8B">
        <w:rPr>
          <w:rFonts w:cs="Times New Roman"/>
          <w:lang w:val="fr-CA"/>
        </w:rPr>
        <w:t>affirmer mon collègue le juge Wagner — que le renvoi d</w:t>
      </w:r>
      <w:r>
        <w:rPr>
          <w:rFonts w:cs="Times New Roman"/>
          <w:lang w:val="fr-CA"/>
        </w:rPr>
        <w:t>’</w:t>
      </w:r>
      <w:r w:rsidRPr="00415D8B">
        <w:rPr>
          <w:rFonts w:cs="Times New Roman"/>
          <w:lang w:val="fr-CA"/>
        </w:rPr>
        <w:t>une affaire au décideur administratif accompagné de directives puisse parfois faire renaître la compétence initiale de ce dernier, ce qui lui permettrait de reprendre du début l</w:t>
      </w:r>
      <w:r>
        <w:rPr>
          <w:rFonts w:cs="Times New Roman"/>
          <w:lang w:val="fr-CA"/>
        </w:rPr>
        <w:t>’</w:t>
      </w:r>
      <w:r w:rsidRPr="00415D8B">
        <w:rPr>
          <w:rFonts w:cs="Times New Roman"/>
          <w:lang w:val="fr-CA"/>
        </w:rPr>
        <w:t xml:space="preserve">examen des questions juridiques en litige.  Toutefois, cela ne se produit, selon moi, que si les directives </w:t>
      </w:r>
      <w:r w:rsidRPr="00415D8B">
        <w:rPr>
          <w:rFonts w:cs="Times New Roman"/>
          <w:i/>
          <w:lang w:val="fr-CA"/>
        </w:rPr>
        <w:t>obligent</w:t>
      </w:r>
      <w:r w:rsidRPr="00415D8B">
        <w:rPr>
          <w:rFonts w:cs="Times New Roman"/>
          <w:lang w:val="fr-CA"/>
        </w:rPr>
        <w:t xml:space="preserve"> le tribunal administratif à reprendre l</w:t>
      </w:r>
      <w:r>
        <w:rPr>
          <w:rFonts w:cs="Times New Roman"/>
          <w:lang w:val="fr-CA"/>
        </w:rPr>
        <w:t>’</w:t>
      </w:r>
      <w:r w:rsidRPr="00415D8B">
        <w:rPr>
          <w:rFonts w:cs="Times New Roman"/>
          <w:lang w:val="fr-CA"/>
        </w:rPr>
        <w:t>examen de ces questions.  En l</w:t>
      </w:r>
      <w:r>
        <w:rPr>
          <w:rFonts w:cs="Times New Roman"/>
          <w:lang w:val="fr-CA"/>
        </w:rPr>
        <w:t>’</w:t>
      </w:r>
      <w:r w:rsidRPr="00415D8B">
        <w:rPr>
          <w:rFonts w:cs="Times New Roman"/>
          <w:lang w:val="fr-CA"/>
        </w:rPr>
        <w:t>espèce, la Cour d</w:t>
      </w:r>
      <w:r>
        <w:rPr>
          <w:rFonts w:cs="Times New Roman"/>
          <w:lang w:val="fr-CA"/>
        </w:rPr>
        <w:t>’</w:t>
      </w:r>
      <w:r w:rsidRPr="00415D8B">
        <w:rPr>
          <w:rFonts w:cs="Times New Roman"/>
          <w:lang w:val="fr-CA"/>
        </w:rPr>
        <w:t>appel donnait essentiellement instruction à la Régie de chiffrer précisément l</w:t>
      </w:r>
      <w:r>
        <w:rPr>
          <w:rFonts w:cs="Times New Roman"/>
          <w:lang w:val="fr-CA"/>
        </w:rPr>
        <w:t>’</w:t>
      </w:r>
      <w:r w:rsidRPr="00415D8B">
        <w:rPr>
          <w:rFonts w:cs="Times New Roman"/>
          <w:lang w:val="fr-CA"/>
        </w:rPr>
        <w:t>obligation pécuniaire de l</w:t>
      </w:r>
      <w:r>
        <w:rPr>
          <w:rFonts w:cs="Times New Roman"/>
          <w:lang w:val="fr-CA"/>
        </w:rPr>
        <w:t>’</w:t>
      </w:r>
      <w:r w:rsidRPr="00415D8B">
        <w:rPr>
          <w:rFonts w:cs="Times New Roman"/>
          <w:lang w:val="fr-CA"/>
        </w:rPr>
        <w:t>employeur en tenant pour acquis que les art. 9.12 et 9.13 des Règles limitaient l</w:t>
      </w:r>
      <w:r>
        <w:rPr>
          <w:rFonts w:cs="Times New Roman"/>
          <w:lang w:val="fr-CA"/>
        </w:rPr>
        <w:t>’</w:t>
      </w:r>
      <w:r w:rsidRPr="00415D8B">
        <w:rPr>
          <w:rFonts w:cs="Times New Roman"/>
          <w:lang w:val="fr-CA"/>
        </w:rPr>
        <w:t>obligation de l</w:t>
      </w:r>
      <w:r>
        <w:rPr>
          <w:rFonts w:cs="Times New Roman"/>
          <w:lang w:val="fr-CA"/>
        </w:rPr>
        <w:t>’</w:t>
      </w:r>
      <w:r w:rsidRPr="00415D8B">
        <w:rPr>
          <w:rFonts w:cs="Times New Roman"/>
          <w:lang w:val="fr-CA"/>
        </w:rPr>
        <w:t>employeur en matière de financement.  Les directives n</w:t>
      </w:r>
      <w:r>
        <w:rPr>
          <w:rFonts w:cs="Times New Roman"/>
          <w:lang w:val="fr-CA"/>
        </w:rPr>
        <w:t>’</w:t>
      </w:r>
      <w:r w:rsidRPr="00415D8B">
        <w:rPr>
          <w:rFonts w:cs="Times New Roman"/>
          <w:lang w:val="fr-CA"/>
        </w:rPr>
        <w:t>exigeaient pas que la Régie se prononce de nouveau sur les droits et obligations substantiels de l</w:t>
      </w:r>
      <w:r>
        <w:rPr>
          <w:rFonts w:cs="Times New Roman"/>
          <w:lang w:val="fr-CA"/>
        </w:rPr>
        <w:t>’</w:t>
      </w:r>
      <w:r w:rsidRPr="00415D8B">
        <w:rPr>
          <w:rFonts w:cs="Times New Roman"/>
          <w:lang w:val="fr-CA"/>
        </w:rPr>
        <w:t xml:space="preserve">employeur et des bénéficiaires du régime et, en le faisant, la Régie a agi sans compétence.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lastRenderedPageBreak/>
        <w:t>Les ordonnances portant renvoi d</w:t>
      </w:r>
      <w:r>
        <w:rPr>
          <w:rFonts w:cs="Times New Roman"/>
          <w:lang w:val="fr-CA"/>
        </w:rPr>
        <w:t>’</w:t>
      </w:r>
      <w:r w:rsidRPr="00415D8B">
        <w:rPr>
          <w:rFonts w:cs="Times New Roman"/>
          <w:lang w:val="fr-CA"/>
        </w:rPr>
        <w:t>une affaire à un décideur administratif et comportant des directives peuvent prendre diverses formes.  Les directives judiciaires doivent être interprétées au regard de tout leur contenu et du contexte dans lequel elles sont données (</w:t>
      </w:r>
      <w:r w:rsidRPr="00415D8B">
        <w:rPr>
          <w:rFonts w:cs="Times New Roman"/>
          <w:i/>
          <w:lang w:val="fr-CA"/>
        </w:rPr>
        <w:t>Shuchuk c. Workers</w:t>
      </w:r>
      <w:r>
        <w:rPr>
          <w:rFonts w:cs="Times New Roman"/>
          <w:i/>
          <w:lang w:val="fr-CA"/>
        </w:rPr>
        <w:t>’</w:t>
      </w:r>
      <w:r w:rsidRPr="00415D8B">
        <w:rPr>
          <w:rFonts w:cs="Times New Roman"/>
          <w:i/>
          <w:lang w:val="fr-CA"/>
        </w:rPr>
        <w:t xml:space="preserve"> Compensation Board Appeals Commission (Alta.)</w:t>
      </w:r>
      <w:r w:rsidRPr="00415D8B">
        <w:rPr>
          <w:rFonts w:cs="Times New Roman"/>
          <w:lang w:val="fr-CA"/>
        </w:rPr>
        <w:t xml:space="preserve">, 2012 ABCA 50, 522 A.R. 336, par. 23).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Dans l</w:t>
      </w:r>
      <w:r>
        <w:rPr>
          <w:rFonts w:cs="Times New Roman"/>
          <w:lang w:val="fr-CA"/>
        </w:rPr>
        <w:t>’</w:t>
      </w:r>
      <w:r w:rsidRPr="00415D8B">
        <w:rPr>
          <w:rFonts w:cs="Times New Roman"/>
          <w:lang w:val="fr-CA"/>
        </w:rPr>
        <w:t xml:space="preserve">arrêt </w:t>
      </w:r>
      <w:r w:rsidRPr="00415D8B">
        <w:rPr>
          <w:rFonts w:cs="Times New Roman"/>
          <w:i/>
          <w:lang w:val="fr-CA"/>
        </w:rPr>
        <w:t>Canada (Commissaire de la concurrence) c. Supérieur Propane Inc.</w:t>
      </w:r>
      <w:r w:rsidRPr="00415D8B">
        <w:rPr>
          <w:rFonts w:cs="Times New Roman"/>
          <w:lang w:val="fr-CA"/>
        </w:rPr>
        <w:t>, 2003 CAF 53, [2003] 3 C.F. 529, par. 54, le juge Rothstein (maintenant juge de notre Cour) a indiqué qu</w:t>
      </w:r>
      <w:r>
        <w:rPr>
          <w:rFonts w:cs="Times New Roman"/>
          <w:lang w:val="fr-CA"/>
        </w:rPr>
        <w:t>’</w:t>
      </w:r>
      <w:r w:rsidRPr="00415D8B">
        <w:rPr>
          <w:rFonts w:cs="Times New Roman"/>
          <w:lang w:val="fr-CA"/>
        </w:rPr>
        <w:t xml:space="preserve">en application du principe du </w:t>
      </w:r>
      <w:r w:rsidRPr="00415D8B">
        <w:rPr>
          <w:rFonts w:cs="Times New Roman"/>
          <w:i/>
          <w:lang w:val="fr-CA"/>
        </w:rPr>
        <w:t>stare decisis</w:t>
      </w:r>
      <w:r w:rsidRPr="00415D8B">
        <w:rPr>
          <w:rFonts w:cs="Times New Roman"/>
          <w:lang w:val="fr-CA"/>
        </w:rPr>
        <w:t xml:space="preserve">, les clarifications juridiques figurant dans des directives judiciaires lient les juridictions inférieures et les tribunaux administratifs.  Autrement dit, les directives ont valeur de précédent.  Mon collègue le juge Wagner infère de ce principe que les directives peuvent devenir sans effet par suite de tout changement du droit les rendant juridiquement erronées.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À mon avis, il tire une conclusion trop large qui ne s</w:t>
      </w:r>
      <w:r>
        <w:rPr>
          <w:rFonts w:cs="Times New Roman"/>
          <w:lang w:val="fr-CA"/>
        </w:rPr>
        <w:t>’</w:t>
      </w:r>
      <w:r w:rsidRPr="00415D8B">
        <w:rPr>
          <w:rFonts w:cs="Times New Roman"/>
          <w:lang w:val="fr-CA"/>
        </w:rPr>
        <w:t>applique pas à tous les cas de renvoi assorti de directives.  Il est important de tenir compte de la teneur des directives.  Dans certains cas, les directives clarifient simplement le droit et exigent du tribunal administratif qu</w:t>
      </w:r>
      <w:r>
        <w:rPr>
          <w:rFonts w:cs="Times New Roman"/>
          <w:lang w:val="fr-CA"/>
        </w:rPr>
        <w:t>’</w:t>
      </w:r>
      <w:r w:rsidRPr="00415D8B">
        <w:rPr>
          <w:rFonts w:cs="Times New Roman"/>
          <w:lang w:val="fr-CA"/>
        </w:rPr>
        <w:t>il pose un nouveau regard sur les questions juridiques en fonction de ces clarifications (D. J. M. Brown et J. M. Evans,</w:t>
      </w:r>
      <w:r w:rsidR="00EC01E9">
        <w:rPr>
          <w:rFonts w:cs="Times New Roman"/>
          <w:lang w:val="fr-CA"/>
        </w:rPr>
        <w:t xml:space="preserve"> avec la collaboration de C. E. Deacon,</w:t>
      </w:r>
      <w:r w:rsidRPr="00415D8B">
        <w:rPr>
          <w:rFonts w:cs="Times New Roman"/>
          <w:lang w:val="fr-CA"/>
        </w:rPr>
        <w:t xml:space="preserve"> </w:t>
      </w:r>
      <w:r w:rsidRPr="00415D8B">
        <w:rPr>
          <w:rFonts w:cs="Times New Roman"/>
          <w:i/>
          <w:lang w:val="fr-CA"/>
        </w:rPr>
        <w:t>Judicial Review of Administrative Action in Canada</w:t>
      </w:r>
      <w:r w:rsidRPr="00415D8B">
        <w:rPr>
          <w:rFonts w:cs="Times New Roman"/>
          <w:lang w:val="fr-CA"/>
        </w:rPr>
        <w:t xml:space="preserve"> (feuilles mobiles), p. 5</w:t>
      </w:r>
      <w:r w:rsidRPr="00415D8B">
        <w:rPr>
          <w:rFonts w:cs="Times New Roman"/>
          <w:lang w:val="fr-CA"/>
        </w:rPr>
        <w:noBreakHyphen/>
        <w:t>36 à 5</w:t>
      </w:r>
      <w:r w:rsidRPr="00415D8B">
        <w:rPr>
          <w:rFonts w:cs="Times New Roman"/>
          <w:lang w:val="fr-CA"/>
        </w:rPr>
        <w:noBreakHyphen/>
        <w:t>41</w:t>
      </w:r>
      <w:r w:rsidR="00EC01E9">
        <w:rPr>
          <w:rFonts w:cs="Times New Roman"/>
          <w:lang w:val="fr-CA"/>
        </w:rPr>
        <w:t>)</w:t>
      </w:r>
      <w:r w:rsidRPr="00415D8B">
        <w:rPr>
          <w:rFonts w:cs="Times New Roman"/>
          <w:lang w:val="fr-CA"/>
        </w:rPr>
        <w:t>.  C</w:t>
      </w:r>
      <w:r>
        <w:rPr>
          <w:rFonts w:cs="Times New Roman"/>
          <w:lang w:val="fr-CA"/>
        </w:rPr>
        <w:t>’</w:t>
      </w:r>
      <w:r w:rsidRPr="00415D8B">
        <w:rPr>
          <w:rFonts w:cs="Times New Roman"/>
          <w:lang w:val="fr-CA"/>
        </w:rPr>
        <w:t>était le cas dans l</w:t>
      </w:r>
      <w:r>
        <w:rPr>
          <w:rFonts w:cs="Times New Roman"/>
          <w:lang w:val="fr-CA"/>
        </w:rPr>
        <w:t>’</w:t>
      </w:r>
      <w:r w:rsidRPr="00415D8B">
        <w:rPr>
          <w:rFonts w:cs="Times New Roman"/>
          <w:lang w:val="fr-CA"/>
        </w:rPr>
        <w:t xml:space="preserve">affaire </w:t>
      </w:r>
      <w:r w:rsidRPr="00415D8B">
        <w:rPr>
          <w:rFonts w:cs="Times New Roman"/>
          <w:i/>
          <w:lang w:val="fr-CA"/>
        </w:rPr>
        <w:t>Supérieur Propane</w:t>
      </w:r>
      <w:r w:rsidRPr="00415D8B">
        <w:rPr>
          <w:rFonts w:cs="Times New Roman"/>
          <w:lang w:val="fr-CA"/>
        </w:rPr>
        <w:t>, dans laquelle la Cour d</w:t>
      </w:r>
      <w:r>
        <w:rPr>
          <w:rFonts w:cs="Times New Roman"/>
          <w:lang w:val="fr-CA"/>
        </w:rPr>
        <w:t>’</w:t>
      </w:r>
      <w:r w:rsidRPr="00415D8B">
        <w:rPr>
          <w:rFonts w:cs="Times New Roman"/>
          <w:lang w:val="fr-CA"/>
        </w:rPr>
        <w:t xml:space="preserve">appel fédérale avait précisé la méthodologie que le Tribunal </w:t>
      </w:r>
      <w:r w:rsidRPr="00415D8B">
        <w:rPr>
          <w:rFonts w:cs="Times New Roman"/>
          <w:lang w:val="fr-CA"/>
        </w:rPr>
        <w:lastRenderedPageBreak/>
        <w:t>de la concurrence devait suivre pour déterminer si un fusionnement empêcherait ou diminuerait sensiblement la concurrence, et elle avait renvoyé au Tribunal la question juridique de savoir si le fusionnement en cause empêchait ou diminuait effectivement la concurrence.  Dans de tels cas, les directives ont valeur de précédent — il est bien possible que des changements subséquents dans l</w:t>
      </w:r>
      <w:r>
        <w:rPr>
          <w:rFonts w:cs="Times New Roman"/>
          <w:lang w:val="fr-CA"/>
        </w:rPr>
        <w:t>’</w:t>
      </w:r>
      <w:r w:rsidRPr="00415D8B">
        <w:rPr>
          <w:rFonts w:cs="Times New Roman"/>
          <w:lang w:val="fr-CA"/>
        </w:rPr>
        <w:t xml:space="preserve">état du droit rendent les clarifications erronées et que les directives cessent de lier le décideur administratif.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Dans d</w:t>
      </w:r>
      <w:r>
        <w:rPr>
          <w:rFonts w:cs="Times New Roman"/>
          <w:lang w:val="fr-CA"/>
        </w:rPr>
        <w:t>’</w:t>
      </w:r>
      <w:r w:rsidRPr="00415D8B">
        <w:rPr>
          <w:rFonts w:cs="Times New Roman"/>
          <w:lang w:val="fr-CA"/>
        </w:rPr>
        <w:t>autres cas, toutefois, les directives peuvent effectivement renfermer des conclusions de fond sur les droits et obligations des parties et obliger le décideur administratif à donner effet à ces droits et obligations.  Ces conclusions du tribunal judiciaire acquièrent alors force de chose jugée.  Conclure autrement prive le processus de contrôle judiciaire de son caractère définitif et place le décideur administratif sur le même pied que les tribunaux judiciaires investis du pouvoir de le surveiller.</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En l</w:t>
      </w:r>
      <w:r>
        <w:rPr>
          <w:rFonts w:cs="Times New Roman"/>
          <w:lang w:val="fr-CA"/>
        </w:rPr>
        <w:t>’</w:t>
      </w:r>
      <w:r w:rsidRPr="00415D8B">
        <w:rPr>
          <w:rFonts w:cs="Times New Roman"/>
          <w:lang w:val="fr-CA"/>
        </w:rPr>
        <w:t>espèce, rien ne fondait la compétence dont se réclamait la Régie pour examiner à nouveau si les art. 9.12 et 9.13 des Règles limitaient les obligations de Multi</w:t>
      </w:r>
      <w:r w:rsidRPr="00415D8B">
        <w:rPr>
          <w:rFonts w:cs="Times New Roman"/>
          <w:lang w:val="fr-CA"/>
        </w:rPr>
        <w:noBreakHyphen/>
        <w:t>Marques en matière de financement.  Comme il en a été fait mention, les directives de la Cour d</w:t>
      </w:r>
      <w:r>
        <w:rPr>
          <w:rFonts w:cs="Times New Roman"/>
          <w:lang w:val="fr-CA"/>
        </w:rPr>
        <w:t>’</w:t>
      </w:r>
      <w:r w:rsidRPr="00415D8B">
        <w:rPr>
          <w:rFonts w:cs="Times New Roman"/>
          <w:lang w:val="fr-CA"/>
        </w:rPr>
        <w:t>appel n</w:t>
      </w:r>
      <w:r>
        <w:rPr>
          <w:rFonts w:cs="Times New Roman"/>
          <w:lang w:val="fr-CA"/>
        </w:rPr>
        <w:t>’</w:t>
      </w:r>
      <w:r w:rsidRPr="00415D8B">
        <w:rPr>
          <w:rFonts w:cs="Times New Roman"/>
          <w:lang w:val="fr-CA"/>
        </w:rPr>
        <w:t>obligeaient pas la Régie à reprendre l</w:t>
      </w:r>
      <w:r>
        <w:rPr>
          <w:rFonts w:cs="Times New Roman"/>
          <w:lang w:val="fr-CA"/>
        </w:rPr>
        <w:t>’</w:t>
      </w:r>
      <w:r w:rsidRPr="00415D8B">
        <w:rPr>
          <w:rFonts w:cs="Times New Roman"/>
          <w:lang w:val="fr-CA"/>
        </w:rPr>
        <w:t>examen du début.  En outre, aucune disposition de la loi créant la Régie ne lui permettait d</w:t>
      </w:r>
      <w:r>
        <w:rPr>
          <w:rFonts w:cs="Times New Roman"/>
          <w:lang w:val="fr-CA"/>
        </w:rPr>
        <w:t>’</w:t>
      </w:r>
      <w:r w:rsidRPr="00415D8B">
        <w:rPr>
          <w:rFonts w:cs="Times New Roman"/>
          <w:lang w:val="fr-CA"/>
        </w:rPr>
        <w:t>examiner une question sur laquelle une cour de juridiction supérieure s</w:t>
      </w:r>
      <w:r>
        <w:rPr>
          <w:rFonts w:cs="Times New Roman"/>
          <w:lang w:val="fr-CA"/>
        </w:rPr>
        <w:t>’</w:t>
      </w:r>
      <w:r w:rsidRPr="00415D8B">
        <w:rPr>
          <w:rFonts w:cs="Times New Roman"/>
          <w:lang w:val="fr-CA"/>
        </w:rPr>
        <w:t>était prononcée.  La Régie invoque l</w:t>
      </w:r>
      <w:r>
        <w:rPr>
          <w:rFonts w:cs="Times New Roman"/>
          <w:lang w:val="fr-CA"/>
        </w:rPr>
        <w:t>’</w:t>
      </w:r>
      <w:r w:rsidRPr="00415D8B">
        <w:rPr>
          <w:rFonts w:cs="Times New Roman"/>
          <w:lang w:val="fr-CA"/>
        </w:rPr>
        <w:t>art. 26 de sa loi habilitante, lequel énonce qu</w:t>
      </w:r>
      <w:r>
        <w:rPr>
          <w:rFonts w:cs="Times New Roman"/>
          <w:lang w:val="fr-CA"/>
        </w:rPr>
        <w:t>’</w:t>
      </w:r>
      <w:r w:rsidRPr="00415D8B">
        <w:rPr>
          <w:rFonts w:cs="Times New Roman"/>
          <w:lang w:val="fr-CA"/>
        </w:rPr>
        <w:t>elle « peut, d</w:t>
      </w:r>
      <w:r>
        <w:rPr>
          <w:rFonts w:cs="Times New Roman"/>
          <w:lang w:val="fr-CA"/>
        </w:rPr>
        <w:t>’</w:t>
      </w:r>
      <w:r w:rsidRPr="00415D8B">
        <w:rPr>
          <w:rFonts w:cs="Times New Roman"/>
          <w:lang w:val="fr-CA"/>
        </w:rPr>
        <w:t>office, réviser ou révoquer toute décision » (</w:t>
      </w:r>
      <w:r w:rsidRPr="00415D8B">
        <w:rPr>
          <w:rFonts w:cs="Times New Roman"/>
          <w:i/>
          <w:lang w:val="fr-CA"/>
        </w:rPr>
        <w:t xml:space="preserve">Loi sur le régime de rentes du </w:t>
      </w:r>
      <w:r w:rsidRPr="00415D8B">
        <w:rPr>
          <w:rFonts w:cs="Times New Roman"/>
          <w:i/>
          <w:lang w:val="fr-CA"/>
        </w:rPr>
        <w:lastRenderedPageBreak/>
        <w:t>Québec</w:t>
      </w:r>
      <w:r w:rsidRPr="00415D8B">
        <w:rPr>
          <w:rFonts w:cs="Times New Roman"/>
          <w:lang w:val="fr-CA"/>
        </w:rPr>
        <w:t>, L.R.Q.</w:t>
      </w:r>
      <w:r w:rsidR="005C3088">
        <w:rPr>
          <w:rFonts w:cs="Times New Roman"/>
          <w:lang w:val="fr-CA"/>
        </w:rPr>
        <w:t>,</w:t>
      </w:r>
      <w:r w:rsidRPr="00415D8B">
        <w:rPr>
          <w:rFonts w:cs="Times New Roman"/>
          <w:lang w:val="fr-CA"/>
        </w:rPr>
        <w:t xml:space="preserve"> ch. R</w:t>
      </w:r>
      <w:r w:rsidRPr="00415D8B">
        <w:rPr>
          <w:rFonts w:cs="Times New Roman"/>
          <w:lang w:val="fr-CA"/>
        </w:rPr>
        <w:noBreakHyphen/>
        <w:t>9).  Cette disposition, toutefois, confère simplement une pleine compétence à la Régie, et en l</w:t>
      </w:r>
      <w:r>
        <w:rPr>
          <w:rFonts w:cs="Times New Roman"/>
          <w:lang w:val="fr-CA"/>
        </w:rPr>
        <w:t>’</w:t>
      </w:r>
      <w:r w:rsidRPr="00415D8B">
        <w:rPr>
          <w:rFonts w:cs="Times New Roman"/>
          <w:lang w:val="fr-CA"/>
        </w:rPr>
        <w:t>absence d</w:t>
      </w:r>
      <w:r>
        <w:rPr>
          <w:rFonts w:cs="Times New Roman"/>
          <w:lang w:val="fr-CA"/>
        </w:rPr>
        <w:t>’</w:t>
      </w:r>
      <w:r w:rsidRPr="00415D8B">
        <w:rPr>
          <w:rFonts w:cs="Times New Roman"/>
          <w:lang w:val="fr-CA"/>
        </w:rPr>
        <w:t>un texte législatif clair, elle ne peut exprimer l</w:t>
      </w:r>
      <w:r>
        <w:rPr>
          <w:rFonts w:cs="Times New Roman"/>
          <w:lang w:val="fr-CA"/>
        </w:rPr>
        <w:t>’</w:t>
      </w:r>
      <w:r w:rsidRPr="00415D8B">
        <w:rPr>
          <w:rFonts w:cs="Times New Roman"/>
          <w:lang w:val="fr-CA"/>
        </w:rPr>
        <w:t>intention de permettre à la Régie de contourner le processus de contrôle judiciaire et de faire abstraction des directives d</w:t>
      </w:r>
      <w:r>
        <w:rPr>
          <w:rFonts w:cs="Times New Roman"/>
          <w:lang w:val="fr-CA"/>
        </w:rPr>
        <w:t>’</w:t>
      </w:r>
      <w:r w:rsidRPr="00415D8B">
        <w:rPr>
          <w:rFonts w:cs="Times New Roman"/>
          <w:lang w:val="fr-CA"/>
        </w:rPr>
        <w:t>une cour de juridiction supérieure (</w:t>
      </w:r>
      <w:r w:rsidRPr="00415D8B">
        <w:rPr>
          <w:rFonts w:cs="Times New Roman"/>
          <w:i/>
          <w:lang w:val="fr-CA"/>
        </w:rPr>
        <w:t>Shuchuk</w:t>
      </w:r>
      <w:r w:rsidRPr="00415D8B">
        <w:rPr>
          <w:rFonts w:cs="Times New Roman"/>
          <w:lang w:val="fr-CA"/>
        </w:rPr>
        <w:t xml:space="preserve">, par. 37). </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Comme nous l</w:t>
      </w:r>
      <w:r>
        <w:rPr>
          <w:rFonts w:cs="Times New Roman"/>
          <w:lang w:val="fr-CA"/>
        </w:rPr>
        <w:t>’</w:t>
      </w:r>
      <w:r w:rsidRPr="00415D8B">
        <w:rPr>
          <w:rFonts w:cs="Times New Roman"/>
          <w:lang w:val="fr-CA"/>
        </w:rPr>
        <w:t>avons vu, la décision de la Cour d</w:t>
      </w:r>
      <w:r>
        <w:rPr>
          <w:rFonts w:cs="Times New Roman"/>
          <w:lang w:val="fr-CA"/>
        </w:rPr>
        <w:t>’</w:t>
      </w:r>
      <w:r w:rsidRPr="00415D8B">
        <w:rPr>
          <w:rFonts w:cs="Times New Roman"/>
          <w:lang w:val="fr-CA"/>
        </w:rPr>
        <w:t>appel a conservé son caractère obligatoire.  La décision avait perdu sa valeur de précédent par l</w:t>
      </w:r>
      <w:r>
        <w:rPr>
          <w:rFonts w:cs="Times New Roman"/>
          <w:lang w:val="fr-CA"/>
        </w:rPr>
        <w:t>’</w:t>
      </w:r>
      <w:r w:rsidRPr="00415D8B">
        <w:rPr>
          <w:rFonts w:cs="Times New Roman"/>
          <w:lang w:val="fr-CA"/>
        </w:rPr>
        <w:t>effet des dispositions déclaratoires : dans les litiges futurs, la Régie ne serait plus liée par l</w:t>
      </w:r>
      <w:r>
        <w:rPr>
          <w:rFonts w:cs="Times New Roman"/>
          <w:lang w:val="fr-CA"/>
        </w:rPr>
        <w:t>’</w:t>
      </w:r>
      <w:r w:rsidRPr="00415D8B">
        <w:rPr>
          <w:rFonts w:cs="Times New Roman"/>
          <w:lang w:val="fr-CA"/>
        </w:rPr>
        <w:t>interprétation de la loi dictée par la Cour d</w:t>
      </w:r>
      <w:r>
        <w:rPr>
          <w:rFonts w:cs="Times New Roman"/>
          <w:lang w:val="fr-CA"/>
        </w:rPr>
        <w:t>’</w:t>
      </w:r>
      <w:r w:rsidRPr="00415D8B">
        <w:rPr>
          <w:rFonts w:cs="Times New Roman"/>
          <w:lang w:val="fr-CA"/>
        </w:rPr>
        <w:t>appel.  Toutefois, la décision de cette dernière conservait l</w:t>
      </w:r>
      <w:r>
        <w:rPr>
          <w:rFonts w:cs="Times New Roman"/>
          <w:lang w:val="fr-CA"/>
        </w:rPr>
        <w:t>’</w:t>
      </w:r>
      <w:r w:rsidRPr="00415D8B">
        <w:rPr>
          <w:rFonts w:cs="Times New Roman"/>
          <w:lang w:val="fr-CA"/>
        </w:rPr>
        <w:t>autorité de la chose jugée et la Régie ne pouvait pas modifier cette décision définitive qui tranchait les questions juridiques à l</w:t>
      </w:r>
      <w:r>
        <w:rPr>
          <w:rFonts w:cs="Times New Roman"/>
          <w:lang w:val="fr-CA"/>
        </w:rPr>
        <w:t>’</w:t>
      </w:r>
      <w:r w:rsidRPr="00415D8B">
        <w:rPr>
          <w:rFonts w:cs="Times New Roman"/>
          <w:lang w:val="fr-CA"/>
        </w:rPr>
        <w:t>égard des parties.  Elle devait accomplir la tâche pour laquelle l</w:t>
      </w:r>
      <w:r>
        <w:rPr>
          <w:rFonts w:cs="Times New Roman"/>
          <w:lang w:val="fr-CA"/>
        </w:rPr>
        <w:t>’</w:t>
      </w:r>
      <w:r w:rsidRPr="00415D8B">
        <w:rPr>
          <w:rFonts w:cs="Times New Roman"/>
          <w:lang w:val="fr-CA"/>
        </w:rPr>
        <w:t>affaire lui avait été renvoyée, soit calculer à combien se chiffrait l</w:t>
      </w:r>
      <w:r>
        <w:rPr>
          <w:rFonts w:cs="Times New Roman"/>
          <w:lang w:val="fr-CA"/>
        </w:rPr>
        <w:t>’</w:t>
      </w:r>
      <w:r w:rsidRPr="00415D8B">
        <w:rPr>
          <w:rFonts w:cs="Times New Roman"/>
          <w:lang w:val="fr-CA"/>
        </w:rPr>
        <w:t>obligation monétaire précise résultant des droits et obligations substantiels tel</w:t>
      </w:r>
      <w:r w:rsidR="00F249F7">
        <w:rPr>
          <w:rFonts w:cs="Times New Roman"/>
          <w:lang w:val="fr-CA"/>
        </w:rPr>
        <w:t>s</w:t>
      </w:r>
      <w:r w:rsidRPr="00415D8B">
        <w:rPr>
          <w:rFonts w:cs="Times New Roman"/>
          <w:lang w:val="fr-CA"/>
        </w:rPr>
        <w:t xml:space="preserve"> qu</w:t>
      </w:r>
      <w:r>
        <w:rPr>
          <w:rFonts w:cs="Times New Roman"/>
          <w:lang w:val="fr-CA"/>
        </w:rPr>
        <w:t>’</w:t>
      </w:r>
      <w:r w:rsidRPr="00415D8B">
        <w:rPr>
          <w:rFonts w:cs="Times New Roman"/>
          <w:lang w:val="fr-CA"/>
        </w:rPr>
        <w:t>ils avaient été circonscrits par la Cour d</w:t>
      </w:r>
      <w:r>
        <w:rPr>
          <w:rFonts w:cs="Times New Roman"/>
          <w:lang w:val="fr-CA"/>
        </w:rPr>
        <w:t>’</w:t>
      </w:r>
      <w:r w:rsidRPr="00415D8B">
        <w:rPr>
          <w:rFonts w:cs="Times New Roman"/>
          <w:lang w:val="fr-CA"/>
        </w:rPr>
        <w:t>appel.  En se dérobant à cette tâche, la Régie a effectivement contourné le processus de contrôle judiciaire et elle a rétabli sa décision initiale alors qu</w:t>
      </w:r>
      <w:r>
        <w:rPr>
          <w:rFonts w:cs="Times New Roman"/>
          <w:lang w:val="fr-CA"/>
        </w:rPr>
        <w:t>’</w:t>
      </w:r>
      <w:r w:rsidRPr="00415D8B">
        <w:rPr>
          <w:rFonts w:cs="Times New Roman"/>
          <w:lang w:val="fr-CA"/>
        </w:rPr>
        <w:t>elle n</w:t>
      </w:r>
      <w:r>
        <w:rPr>
          <w:rFonts w:cs="Times New Roman"/>
          <w:lang w:val="fr-CA"/>
        </w:rPr>
        <w:t>’</w:t>
      </w:r>
      <w:r w:rsidRPr="00415D8B">
        <w:rPr>
          <w:rFonts w:cs="Times New Roman"/>
          <w:lang w:val="fr-CA"/>
        </w:rPr>
        <w:t>avait pas compétence pour ce faire.  Les motifs des juges majoritaires approuvent cette conduite et compromettent le caractère définitif de tous les jugements concluant au renvoi d</w:t>
      </w:r>
      <w:r>
        <w:rPr>
          <w:rFonts w:cs="Times New Roman"/>
          <w:lang w:val="fr-CA"/>
        </w:rPr>
        <w:t>’</w:t>
      </w:r>
      <w:r w:rsidRPr="00415D8B">
        <w:rPr>
          <w:rFonts w:cs="Times New Roman"/>
          <w:lang w:val="fr-CA"/>
        </w:rPr>
        <w:t xml:space="preserve">une affaire devant un décideur administratif et comportant des directives. </w:t>
      </w:r>
    </w:p>
    <w:p w:rsidR="00F5517F" w:rsidRPr="00415D8B" w:rsidRDefault="00F5517F" w:rsidP="00F5517F">
      <w:pPr>
        <w:pStyle w:val="TitleTitre-AltT"/>
        <w:tabs>
          <w:tab w:val="clear" w:pos="360"/>
          <w:tab w:val="left" w:pos="450"/>
        </w:tabs>
        <w:ind w:left="450" w:hanging="450"/>
        <w:rPr>
          <w:rFonts w:cs="Times New Roman"/>
          <w:lang w:val="fr-CA"/>
        </w:rPr>
      </w:pPr>
      <w:r w:rsidRPr="00415D8B">
        <w:rPr>
          <w:rFonts w:cs="Times New Roman"/>
          <w:lang w:val="fr-CA"/>
        </w:rPr>
        <w:lastRenderedPageBreak/>
        <w:t>IV.</w:t>
      </w:r>
      <w:r w:rsidRPr="00415D8B">
        <w:rPr>
          <w:rFonts w:cs="Times New Roman"/>
          <w:lang w:val="fr-CA"/>
        </w:rPr>
        <w:tab/>
      </w:r>
      <w:r w:rsidRPr="00415D8B">
        <w:rPr>
          <w:rFonts w:cs="Times New Roman"/>
          <w:u w:val="single"/>
          <w:lang w:val="fr-CA"/>
        </w:rPr>
        <w:t>Conclusion</w:t>
      </w:r>
    </w:p>
    <w:p w:rsidR="00F5517F" w:rsidRPr="00415D8B" w:rsidRDefault="00F5517F" w:rsidP="00F5517F">
      <w:pPr>
        <w:pStyle w:val="ParaNoNdepar-AltN"/>
        <w:tabs>
          <w:tab w:val="clear" w:pos="1152"/>
          <w:tab w:val="num" w:pos="1242"/>
        </w:tabs>
        <w:rPr>
          <w:rFonts w:cs="Times New Roman"/>
          <w:lang w:val="fr-CA"/>
        </w:rPr>
      </w:pPr>
      <w:r w:rsidRPr="00415D8B">
        <w:rPr>
          <w:rFonts w:cs="Times New Roman"/>
          <w:lang w:val="fr-CA"/>
        </w:rPr>
        <w:t>Pour ces motifs, je suis d</w:t>
      </w:r>
      <w:r>
        <w:rPr>
          <w:rFonts w:cs="Times New Roman"/>
          <w:lang w:val="fr-CA"/>
        </w:rPr>
        <w:t>’</w:t>
      </w:r>
      <w:r w:rsidRPr="00415D8B">
        <w:rPr>
          <w:rFonts w:cs="Times New Roman"/>
          <w:lang w:val="fr-CA"/>
        </w:rPr>
        <w:t>avis de rejeter le pourvoi et d</w:t>
      </w:r>
      <w:r>
        <w:rPr>
          <w:rFonts w:cs="Times New Roman"/>
          <w:lang w:val="fr-CA"/>
        </w:rPr>
        <w:t>’</w:t>
      </w:r>
      <w:r w:rsidRPr="00415D8B">
        <w:rPr>
          <w:rFonts w:cs="Times New Roman"/>
          <w:lang w:val="fr-CA"/>
        </w:rPr>
        <w:t xml:space="preserve">accorder les dépens aux intimés. </w:t>
      </w:r>
    </w:p>
    <w:p w:rsidR="004D7D95" w:rsidRPr="00F06D71" w:rsidRDefault="004D7D95" w:rsidP="00071F5D">
      <w:pPr>
        <w:pStyle w:val="SCCNormalDoubleSpacing"/>
        <w:spacing w:after="480"/>
        <w:rPr>
          <w:lang w:val="fr-CA"/>
        </w:rPr>
      </w:pPr>
      <w:r w:rsidRPr="00F06D71">
        <w:rPr>
          <w:lang w:val="fr-CA"/>
        </w:rPr>
        <w:tab/>
      </w:r>
      <w:r w:rsidR="00D96BD4" w:rsidRPr="00F06D71">
        <w:rPr>
          <w:i/>
          <w:lang w:val="fr-CA"/>
        </w:rPr>
        <w:t xml:space="preserve">Pourvoi </w:t>
      </w:r>
      <w:r w:rsidR="0085323D" w:rsidRPr="00F06D71">
        <w:rPr>
          <w:i/>
          <w:lang w:val="fr-CA"/>
        </w:rPr>
        <w:t>accueilli</w:t>
      </w:r>
      <w:r w:rsidR="00D96BD4" w:rsidRPr="00F06D71">
        <w:rPr>
          <w:i/>
          <w:lang w:val="fr-CA"/>
        </w:rPr>
        <w:t xml:space="preserve"> avec dépens</w:t>
      </w:r>
      <w:r w:rsidR="002A0830">
        <w:rPr>
          <w:i/>
          <w:lang w:val="fr-CA"/>
        </w:rPr>
        <w:t xml:space="preserve"> devant toutes les cours</w:t>
      </w:r>
      <w:r w:rsidR="00D96BD4" w:rsidRPr="00F06D71">
        <w:rPr>
          <w:i/>
          <w:lang w:val="fr-CA"/>
        </w:rPr>
        <w:t xml:space="preserve">, la juge en chef </w:t>
      </w:r>
      <w:r w:rsidR="00D96BD4" w:rsidRPr="00F06D71">
        <w:rPr>
          <w:smallCaps/>
          <w:lang w:val="fr-CA"/>
        </w:rPr>
        <w:t>McLachlin</w:t>
      </w:r>
      <w:r w:rsidR="00D96BD4" w:rsidRPr="00F06D71">
        <w:rPr>
          <w:i/>
          <w:lang w:val="fr-CA"/>
        </w:rPr>
        <w:t xml:space="preserve"> </w:t>
      </w:r>
      <w:r w:rsidR="0085323D" w:rsidRPr="00F06D71">
        <w:rPr>
          <w:i/>
          <w:lang w:val="fr-CA"/>
        </w:rPr>
        <w:t xml:space="preserve">et le juge </w:t>
      </w:r>
      <w:r w:rsidR="0085323D" w:rsidRPr="00F06D71">
        <w:rPr>
          <w:smallCaps/>
          <w:lang w:val="fr-CA"/>
        </w:rPr>
        <w:t>Fish</w:t>
      </w:r>
      <w:r w:rsidR="0085323D" w:rsidRPr="00F06D71">
        <w:rPr>
          <w:i/>
          <w:lang w:val="fr-CA"/>
        </w:rPr>
        <w:t xml:space="preserve"> sont</w:t>
      </w:r>
      <w:r w:rsidR="00D96BD4" w:rsidRPr="00F06D71">
        <w:rPr>
          <w:i/>
          <w:lang w:val="fr-CA"/>
        </w:rPr>
        <w:t xml:space="preserve"> dissident</w:t>
      </w:r>
      <w:r w:rsidR="0085323D" w:rsidRPr="00F06D71">
        <w:rPr>
          <w:i/>
          <w:lang w:val="fr-CA"/>
        </w:rPr>
        <w:t>s</w:t>
      </w:r>
      <w:r w:rsidR="00D96BD4" w:rsidRPr="00F06D71">
        <w:rPr>
          <w:i/>
          <w:lang w:val="fr-CA"/>
        </w:rPr>
        <w:t>.</w:t>
      </w:r>
    </w:p>
    <w:p w:rsidR="00430A91" w:rsidRPr="00F06D71" w:rsidRDefault="00430A91" w:rsidP="00071F5D">
      <w:pPr>
        <w:pStyle w:val="SCCLawFirm"/>
        <w:spacing w:after="480"/>
        <w:rPr>
          <w:lang w:val="fr-CA"/>
        </w:rPr>
      </w:pPr>
      <w:r w:rsidRPr="00F06D71">
        <w:rPr>
          <w:lang w:val="fr-CA"/>
        </w:rPr>
        <w:tab/>
        <w:t>Procureur de l’appelante</w:t>
      </w:r>
      <w:r w:rsidR="00F103A8" w:rsidRPr="00F06D71">
        <w:rPr>
          <w:lang w:val="fr-CA"/>
        </w:rPr>
        <w:t> :</w:t>
      </w:r>
      <w:r w:rsidR="00071F5D" w:rsidRPr="00F06D71">
        <w:rPr>
          <w:lang w:val="fr-CA"/>
        </w:rPr>
        <w:t> </w:t>
      </w:r>
      <w:r w:rsidRPr="00F06D71">
        <w:rPr>
          <w:lang w:val="fr-CA"/>
        </w:rPr>
        <w:t>Régie des rentes du Québec, Québec.</w:t>
      </w:r>
    </w:p>
    <w:p w:rsidR="00430A91" w:rsidRPr="00F06D71" w:rsidRDefault="00430A91" w:rsidP="00071F5D">
      <w:pPr>
        <w:pStyle w:val="SCCLawFirm"/>
        <w:spacing w:after="480"/>
        <w:rPr>
          <w:lang w:val="fr-CA"/>
        </w:rPr>
      </w:pPr>
      <w:r w:rsidRPr="00F06D71">
        <w:rPr>
          <w:lang w:val="fr-CA"/>
        </w:rPr>
        <w:tab/>
        <w:t>Procureurs des intimées Canada Bread Company Ltd., Multi</w:t>
      </w:r>
      <w:r w:rsidR="00F103A8" w:rsidRPr="00F06D71">
        <w:rPr>
          <w:lang w:val="fr-CA"/>
        </w:rPr>
        <w:noBreakHyphen/>
      </w:r>
      <w:r w:rsidRPr="00F06D71">
        <w:rPr>
          <w:lang w:val="fr-CA"/>
        </w:rPr>
        <w:t>Marques Inc. et Multi</w:t>
      </w:r>
      <w:r w:rsidR="00F103A8" w:rsidRPr="00F06D71">
        <w:rPr>
          <w:lang w:val="fr-CA"/>
        </w:rPr>
        <w:noBreakHyphen/>
      </w:r>
      <w:r w:rsidRPr="00F06D71">
        <w:rPr>
          <w:lang w:val="fr-CA"/>
        </w:rPr>
        <w:t>Marques Distribution Inc.</w:t>
      </w:r>
      <w:r w:rsidR="00F103A8" w:rsidRPr="00F06D71">
        <w:rPr>
          <w:lang w:val="fr-CA"/>
        </w:rPr>
        <w:t> :</w:t>
      </w:r>
      <w:r w:rsidR="00071F5D" w:rsidRPr="00F06D71">
        <w:rPr>
          <w:lang w:val="fr-CA"/>
        </w:rPr>
        <w:t> </w:t>
      </w:r>
      <w:r w:rsidRPr="00F06D71">
        <w:rPr>
          <w:lang w:val="fr-CA"/>
        </w:rPr>
        <w:t>Stikeman Elliott, Montréal.</w:t>
      </w:r>
    </w:p>
    <w:p w:rsidR="00430A91" w:rsidRPr="00F06D71" w:rsidRDefault="00430A91" w:rsidP="00071F5D">
      <w:pPr>
        <w:pStyle w:val="SCCLawFirm"/>
        <w:spacing w:after="480"/>
        <w:rPr>
          <w:lang w:val="fr-CA"/>
        </w:rPr>
      </w:pPr>
      <w:r w:rsidRPr="00F06D71">
        <w:rPr>
          <w:lang w:val="fr-CA"/>
        </w:rPr>
        <w:tab/>
        <w:t>Procureurs de l’intimé Sean Kelly, en sa qualité de fiduciaire du Bakery and Confectionery Union and Industry Canadian Pension Fund</w:t>
      </w:r>
      <w:r w:rsidR="00F103A8" w:rsidRPr="00F06D71">
        <w:rPr>
          <w:lang w:val="fr-CA"/>
        </w:rPr>
        <w:t> :</w:t>
      </w:r>
      <w:r w:rsidR="00071F5D" w:rsidRPr="00F06D71">
        <w:rPr>
          <w:lang w:val="fr-CA"/>
        </w:rPr>
        <w:t> </w:t>
      </w:r>
      <w:r w:rsidRPr="00F06D71">
        <w:rPr>
          <w:lang w:val="fr-CA"/>
        </w:rPr>
        <w:t>Blake, Cassels &amp; Graydon, Montréal.</w:t>
      </w:r>
    </w:p>
    <w:p w:rsidR="009B57B3" w:rsidRDefault="00430A91" w:rsidP="00F5517F">
      <w:pPr>
        <w:pStyle w:val="SCCItalic"/>
        <w:rPr>
          <w:b/>
          <w:i w:val="0"/>
          <w:lang w:val="fr-CA"/>
        </w:rPr>
      </w:pPr>
      <w:r w:rsidRPr="00F06D71">
        <w:rPr>
          <w:lang w:val="fr-CA"/>
        </w:rPr>
        <w:tab/>
        <w:t>Procureur de l’intervenant le procureur général du Québec</w:t>
      </w:r>
      <w:r w:rsidR="00F103A8" w:rsidRPr="00F06D71">
        <w:rPr>
          <w:lang w:val="fr-CA"/>
        </w:rPr>
        <w:t> :</w:t>
      </w:r>
      <w:r w:rsidR="00071F5D" w:rsidRPr="00F06D71">
        <w:rPr>
          <w:lang w:val="fr-CA"/>
        </w:rPr>
        <w:t> </w:t>
      </w:r>
      <w:r w:rsidRPr="00F06D71">
        <w:rPr>
          <w:lang w:val="fr-CA"/>
        </w:rPr>
        <w:t>Procureur général du Québec, Québec.</w:t>
      </w:r>
    </w:p>
    <w:p w:rsidR="00F5517F" w:rsidRPr="00F5517F" w:rsidRDefault="00F5517F" w:rsidP="00F5517F">
      <w:pPr>
        <w:pStyle w:val="SCCNormalDoubleSpacing"/>
        <w:rPr>
          <w:lang w:val="fr-CA"/>
        </w:rPr>
      </w:pPr>
    </w:p>
    <w:sectPr w:rsidR="00F5517F" w:rsidRPr="00F5517F" w:rsidSect="00C877E2">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5E" w:rsidRDefault="00CF495E">
      <w:r>
        <w:separator/>
      </w:r>
    </w:p>
  </w:endnote>
  <w:endnote w:type="continuationSeparator" w:id="0">
    <w:p w:rsidR="00CF495E" w:rsidRDefault="00CF4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5E" w:rsidRDefault="00CF495E">
      <w:r>
        <w:separator/>
      </w:r>
    </w:p>
  </w:footnote>
  <w:footnote w:type="continuationSeparator" w:id="0">
    <w:p w:rsidR="00CF495E" w:rsidRDefault="00CF4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0391"/>
      <w:docPartObj>
        <w:docPartGallery w:val="Page Numbers (Top of Page)"/>
        <w:docPartUnique/>
      </w:docPartObj>
    </w:sdtPr>
    <w:sdtContent>
      <w:p w:rsidR="00C877E2" w:rsidRDefault="00C877E2">
        <w:pPr>
          <w:pStyle w:val="Header"/>
          <w:jc w:val="center"/>
        </w:pPr>
        <w:r>
          <w:t xml:space="preserve">- </w:t>
        </w:r>
        <w:fldSimple w:instr=" PAGE   \* MERGEFORMAT ">
          <w:r w:rsidR="005257B4">
            <w:rPr>
              <w:noProof/>
            </w:rPr>
            <w:t>2</w:t>
          </w:r>
        </w:fldSimple>
        <w:r>
          <w:t xml:space="preserve"> -</w:t>
        </w:r>
      </w:p>
    </w:sdtContent>
  </w:sdt>
  <w:p w:rsidR="00CF495E" w:rsidRPr="00450352" w:rsidRDefault="00CF495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8D5882"/>
    <w:multiLevelType w:val="hybridMultilevel"/>
    <w:tmpl w:val="336E54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CBEA7B5C">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D0C2459"/>
    <w:multiLevelType w:val="hybridMultilevel"/>
    <w:tmpl w:val="2864F70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rsids>
    <w:rsidRoot w:val="0031414C"/>
    <w:rsid w:val="00000ED4"/>
    <w:rsid w:val="00023FC7"/>
    <w:rsid w:val="00025198"/>
    <w:rsid w:val="000578A3"/>
    <w:rsid w:val="00061336"/>
    <w:rsid w:val="000648CC"/>
    <w:rsid w:val="00066848"/>
    <w:rsid w:val="00071F5D"/>
    <w:rsid w:val="000C59B8"/>
    <w:rsid w:val="000C6AF0"/>
    <w:rsid w:val="000D0A77"/>
    <w:rsid w:val="000E4171"/>
    <w:rsid w:val="000F7993"/>
    <w:rsid w:val="00104F33"/>
    <w:rsid w:val="00105AA0"/>
    <w:rsid w:val="00111DE2"/>
    <w:rsid w:val="00116B38"/>
    <w:rsid w:val="001276D3"/>
    <w:rsid w:val="00135406"/>
    <w:rsid w:val="00135972"/>
    <w:rsid w:val="00141EC0"/>
    <w:rsid w:val="001426A9"/>
    <w:rsid w:val="00154D7C"/>
    <w:rsid w:val="00154F95"/>
    <w:rsid w:val="001570B0"/>
    <w:rsid w:val="0015752C"/>
    <w:rsid w:val="00157737"/>
    <w:rsid w:val="001636D8"/>
    <w:rsid w:val="00165277"/>
    <w:rsid w:val="00170592"/>
    <w:rsid w:val="00170D51"/>
    <w:rsid w:val="001720F7"/>
    <w:rsid w:val="00184507"/>
    <w:rsid w:val="001852F1"/>
    <w:rsid w:val="001913DF"/>
    <w:rsid w:val="00195D83"/>
    <w:rsid w:val="001A00C1"/>
    <w:rsid w:val="001B33E0"/>
    <w:rsid w:val="001B4573"/>
    <w:rsid w:val="001C779F"/>
    <w:rsid w:val="001D2AC1"/>
    <w:rsid w:val="001D4E88"/>
    <w:rsid w:val="00220FC2"/>
    <w:rsid w:val="002222F4"/>
    <w:rsid w:val="00224FC0"/>
    <w:rsid w:val="00225EA4"/>
    <w:rsid w:val="00226EAF"/>
    <w:rsid w:val="00226EEA"/>
    <w:rsid w:val="00231F3A"/>
    <w:rsid w:val="00235CFD"/>
    <w:rsid w:val="002406EE"/>
    <w:rsid w:val="00243EC8"/>
    <w:rsid w:val="00270677"/>
    <w:rsid w:val="00270D93"/>
    <w:rsid w:val="0027400E"/>
    <w:rsid w:val="002745CC"/>
    <w:rsid w:val="0029657A"/>
    <w:rsid w:val="00296EC6"/>
    <w:rsid w:val="002A0830"/>
    <w:rsid w:val="002A499D"/>
    <w:rsid w:val="002A75A0"/>
    <w:rsid w:val="002B26A0"/>
    <w:rsid w:val="002B6FBE"/>
    <w:rsid w:val="002B7924"/>
    <w:rsid w:val="002C10A6"/>
    <w:rsid w:val="002C41DD"/>
    <w:rsid w:val="002D28C3"/>
    <w:rsid w:val="002D39A4"/>
    <w:rsid w:val="002E6705"/>
    <w:rsid w:val="0030062F"/>
    <w:rsid w:val="0030329A"/>
    <w:rsid w:val="0031086F"/>
    <w:rsid w:val="0031129A"/>
    <w:rsid w:val="00311531"/>
    <w:rsid w:val="0031414C"/>
    <w:rsid w:val="00314E01"/>
    <w:rsid w:val="0032089D"/>
    <w:rsid w:val="003310DE"/>
    <w:rsid w:val="003323B0"/>
    <w:rsid w:val="00335CA9"/>
    <w:rsid w:val="00340A49"/>
    <w:rsid w:val="0035169A"/>
    <w:rsid w:val="0035259D"/>
    <w:rsid w:val="0036189F"/>
    <w:rsid w:val="00364B18"/>
    <w:rsid w:val="00386EDE"/>
    <w:rsid w:val="003A125D"/>
    <w:rsid w:val="003A4C70"/>
    <w:rsid w:val="003B215F"/>
    <w:rsid w:val="003C799C"/>
    <w:rsid w:val="003D0399"/>
    <w:rsid w:val="003E1C71"/>
    <w:rsid w:val="003F327B"/>
    <w:rsid w:val="00406166"/>
    <w:rsid w:val="0040704B"/>
    <w:rsid w:val="00410A55"/>
    <w:rsid w:val="00411300"/>
    <w:rsid w:val="00413F17"/>
    <w:rsid w:val="00415417"/>
    <w:rsid w:val="00425E69"/>
    <w:rsid w:val="00426659"/>
    <w:rsid w:val="00430A91"/>
    <w:rsid w:val="00450352"/>
    <w:rsid w:val="00454BDB"/>
    <w:rsid w:val="004648FF"/>
    <w:rsid w:val="00465132"/>
    <w:rsid w:val="004749BD"/>
    <w:rsid w:val="00480C90"/>
    <w:rsid w:val="0048396F"/>
    <w:rsid w:val="00493C18"/>
    <w:rsid w:val="004A2A3A"/>
    <w:rsid w:val="004A600C"/>
    <w:rsid w:val="004A6118"/>
    <w:rsid w:val="004C478D"/>
    <w:rsid w:val="004D7D95"/>
    <w:rsid w:val="004E2C26"/>
    <w:rsid w:val="005125A8"/>
    <w:rsid w:val="00517549"/>
    <w:rsid w:val="0051771A"/>
    <w:rsid w:val="00520ABC"/>
    <w:rsid w:val="00521AE8"/>
    <w:rsid w:val="005257B4"/>
    <w:rsid w:val="00527180"/>
    <w:rsid w:val="0053633F"/>
    <w:rsid w:val="0054529F"/>
    <w:rsid w:val="00555291"/>
    <w:rsid w:val="00564C49"/>
    <w:rsid w:val="00566AD1"/>
    <w:rsid w:val="00573FE1"/>
    <w:rsid w:val="00583EDE"/>
    <w:rsid w:val="005915B5"/>
    <w:rsid w:val="00592C48"/>
    <w:rsid w:val="005A2917"/>
    <w:rsid w:val="005A6079"/>
    <w:rsid w:val="005C3088"/>
    <w:rsid w:val="005D2EFC"/>
    <w:rsid w:val="005E4698"/>
    <w:rsid w:val="005F2CA5"/>
    <w:rsid w:val="00603924"/>
    <w:rsid w:val="00610539"/>
    <w:rsid w:val="00613969"/>
    <w:rsid w:val="006201E4"/>
    <w:rsid w:val="00625C35"/>
    <w:rsid w:val="006318D3"/>
    <w:rsid w:val="0064693D"/>
    <w:rsid w:val="00647E49"/>
    <w:rsid w:val="00656313"/>
    <w:rsid w:val="006565F4"/>
    <w:rsid w:val="00673C09"/>
    <w:rsid w:val="00684EEA"/>
    <w:rsid w:val="0069689B"/>
    <w:rsid w:val="006A010B"/>
    <w:rsid w:val="006A5BE7"/>
    <w:rsid w:val="006B524F"/>
    <w:rsid w:val="006B5FF5"/>
    <w:rsid w:val="006D7C38"/>
    <w:rsid w:val="006F30AF"/>
    <w:rsid w:val="00701759"/>
    <w:rsid w:val="00705C15"/>
    <w:rsid w:val="007110F6"/>
    <w:rsid w:val="007208D1"/>
    <w:rsid w:val="007219B1"/>
    <w:rsid w:val="00744518"/>
    <w:rsid w:val="00744DE8"/>
    <w:rsid w:val="00747288"/>
    <w:rsid w:val="00747DD3"/>
    <w:rsid w:val="007549C8"/>
    <w:rsid w:val="00766D14"/>
    <w:rsid w:val="00767A0F"/>
    <w:rsid w:val="00770208"/>
    <w:rsid w:val="00791272"/>
    <w:rsid w:val="00792DFE"/>
    <w:rsid w:val="007A05F6"/>
    <w:rsid w:val="007B6F4A"/>
    <w:rsid w:val="007C6D54"/>
    <w:rsid w:val="007E1C47"/>
    <w:rsid w:val="007E337A"/>
    <w:rsid w:val="007E5C70"/>
    <w:rsid w:val="007F2FF5"/>
    <w:rsid w:val="007F3F08"/>
    <w:rsid w:val="00804CC6"/>
    <w:rsid w:val="00817190"/>
    <w:rsid w:val="008260E2"/>
    <w:rsid w:val="008322BD"/>
    <w:rsid w:val="00834F73"/>
    <w:rsid w:val="0085323D"/>
    <w:rsid w:val="00864C8A"/>
    <w:rsid w:val="00864CF8"/>
    <w:rsid w:val="0087226F"/>
    <w:rsid w:val="00874914"/>
    <w:rsid w:val="00891422"/>
    <w:rsid w:val="00892E1A"/>
    <w:rsid w:val="008B660A"/>
    <w:rsid w:val="008C01DA"/>
    <w:rsid w:val="008C1FC8"/>
    <w:rsid w:val="008D1AF7"/>
    <w:rsid w:val="008D64CF"/>
    <w:rsid w:val="008D7EF5"/>
    <w:rsid w:val="008F2674"/>
    <w:rsid w:val="008F78E9"/>
    <w:rsid w:val="00912332"/>
    <w:rsid w:val="00912F90"/>
    <w:rsid w:val="009150A0"/>
    <w:rsid w:val="009179F9"/>
    <w:rsid w:val="00917C7A"/>
    <w:rsid w:val="00933E5E"/>
    <w:rsid w:val="00935218"/>
    <w:rsid w:val="00937C52"/>
    <w:rsid w:val="009403F3"/>
    <w:rsid w:val="00954768"/>
    <w:rsid w:val="009555B7"/>
    <w:rsid w:val="009567AA"/>
    <w:rsid w:val="009602C9"/>
    <w:rsid w:val="00967374"/>
    <w:rsid w:val="009A343A"/>
    <w:rsid w:val="009B2F23"/>
    <w:rsid w:val="009B57B3"/>
    <w:rsid w:val="009C7989"/>
    <w:rsid w:val="009D2920"/>
    <w:rsid w:val="009D488F"/>
    <w:rsid w:val="009D5AEB"/>
    <w:rsid w:val="009F0E33"/>
    <w:rsid w:val="009F3982"/>
    <w:rsid w:val="009F3BB7"/>
    <w:rsid w:val="009F477C"/>
    <w:rsid w:val="00A149DF"/>
    <w:rsid w:val="00A16D1A"/>
    <w:rsid w:val="00A1755C"/>
    <w:rsid w:val="00A21B90"/>
    <w:rsid w:val="00A22AAC"/>
    <w:rsid w:val="00A41805"/>
    <w:rsid w:val="00A41CC3"/>
    <w:rsid w:val="00A51882"/>
    <w:rsid w:val="00A52AFB"/>
    <w:rsid w:val="00A548CB"/>
    <w:rsid w:val="00A5521C"/>
    <w:rsid w:val="00A643E7"/>
    <w:rsid w:val="00A73C38"/>
    <w:rsid w:val="00A75524"/>
    <w:rsid w:val="00A770FF"/>
    <w:rsid w:val="00AB39C2"/>
    <w:rsid w:val="00AB670D"/>
    <w:rsid w:val="00AD654F"/>
    <w:rsid w:val="00AF03C5"/>
    <w:rsid w:val="00AF175A"/>
    <w:rsid w:val="00B000D8"/>
    <w:rsid w:val="00B00F75"/>
    <w:rsid w:val="00B0560C"/>
    <w:rsid w:val="00B145B6"/>
    <w:rsid w:val="00B2362A"/>
    <w:rsid w:val="00B279EB"/>
    <w:rsid w:val="00B50C81"/>
    <w:rsid w:val="00B557F8"/>
    <w:rsid w:val="00B815FC"/>
    <w:rsid w:val="00B85911"/>
    <w:rsid w:val="00B93FBC"/>
    <w:rsid w:val="00B943C2"/>
    <w:rsid w:val="00BA7DA0"/>
    <w:rsid w:val="00BB2EE4"/>
    <w:rsid w:val="00BB4C92"/>
    <w:rsid w:val="00BC2108"/>
    <w:rsid w:val="00BD0E9E"/>
    <w:rsid w:val="00BD1BEC"/>
    <w:rsid w:val="00BD32FF"/>
    <w:rsid w:val="00BE37F7"/>
    <w:rsid w:val="00BF3A14"/>
    <w:rsid w:val="00BF6FE9"/>
    <w:rsid w:val="00C02092"/>
    <w:rsid w:val="00C24D91"/>
    <w:rsid w:val="00C26DB2"/>
    <w:rsid w:val="00C37F84"/>
    <w:rsid w:val="00C50FE3"/>
    <w:rsid w:val="00C53F14"/>
    <w:rsid w:val="00C600CF"/>
    <w:rsid w:val="00C6084F"/>
    <w:rsid w:val="00C62A66"/>
    <w:rsid w:val="00C64FA4"/>
    <w:rsid w:val="00C66359"/>
    <w:rsid w:val="00C71458"/>
    <w:rsid w:val="00C76448"/>
    <w:rsid w:val="00C76EC5"/>
    <w:rsid w:val="00C77613"/>
    <w:rsid w:val="00C828E7"/>
    <w:rsid w:val="00C86719"/>
    <w:rsid w:val="00C877E2"/>
    <w:rsid w:val="00C921DD"/>
    <w:rsid w:val="00C957B2"/>
    <w:rsid w:val="00CA5950"/>
    <w:rsid w:val="00CA6391"/>
    <w:rsid w:val="00CE036E"/>
    <w:rsid w:val="00CE3171"/>
    <w:rsid w:val="00CE4409"/>
    <w:rsid w:val="00CF1601"/>
    <w:rsid w:val="00CF495E"/>
    <w:rsid w:val="00D0172F"/>
    <w:rsid w:val="00D01E33"/>
    <w:rsid w:val="00D068A7"/>
    <w:rsid w:val="00D17476"/>
    <w:rsid w:val="00D32086"/>
    <w:rsid w:val="00D37A3F"/>
    <w:rsid w:val="00D4431D"/>
    <w:rsid w:val="00D4667A"/>
    <w:rsid w:val="00D540F8"/>
    <w:rsid w:val="00D63A1C"/>
    <w:rsid w:val="00D6795A"/>
    <w:rsid w:val="00D7516F"/>
    <w:rsid w:val="00D95F8E"/>
    <w:rsid w:val="00D96BD4"/>
    <w:rsid w:val="00DA0590"/>
    <w:rsid w:val="00DC1739"/>
    <w:rsid w:val="00DC1788"/>
    <w:rsid w:val="00DE319C"/>
    <w:rsid w:val="00DF0CA8"/>
    <w:rsid w:val="00DF2B48"/>
    <w:rsid w:val="00DF49A7"/>
    <w:rsid w:val="00E049B7"/>
    <w:rsid w:val="00E07EE2"/>
    <w:rsid w:val="00E07FD1"/>
    <w:rsid w:val="00E13599"/>
    <w:rsid w:val="00E2160F"/>
    <w:rsid w:val="00E23C76"/>
    <w:rsid w:val="00E24573"/>
    <w:rsid w:val="00E254C2"/>
    <w:rsid w:val="00E25E1E"/>
    <w:rsid w:val="00E27EE7"/>
    <w:rsid w:val="00E35404"/>
    <w:rsid w:val="00E45109"/>
    <w:rsid w:val="00E47B7A"/>
    <w:rsid w:val="00E56A44"/>
    <w:rsid w:val="00E60269"/>
    <w:rsid w:val="00E7266F"/>
    <w:rsid w:val="00E75B84"/>
    <w:rsid w:val="00E91B1D"/>
    <w:rsid w:val="00E95A4C"/>
    <w:rsid w:val="00E97830"/>
    <w:rsid w:val="00EA5018"/>
    <w:rsid w:val="00EA70FC"/>
    <w:rsid w:val="00EB5609"/>
    <w:rsid w:val="00EC01E9"/>
    <w:rsid w:val="00EE0830"/>
    <w:rsid w:val="00EE6CB8"/>
    <w:rsid w:val="00EF0683"/>
    <w:rsid w:val="00EF29FD"/>
    <w:rsid w:val="00F0070C"/>
    <w:rsid w:val="00F00EB7"/>
    <w:rsid w:val="00F06D71"/>
    <w:rsid w:val="00F103A8"/>
    <w:rsid w:val="00F249F7"/>
    <w:rsid w:val="00F36AB6"/>
    <w:rsid w:val="00F37A09"/>
    <w:rsid w:val="00F409CE"/>
    <w:rsid w:val="00F4379D"/>
    <w:rsid w:val="00F50D2D"/>
    <w:rsid w:val="00F5517F"/>
    <w:rsid w:val="00F553F4"/>
    <w:rsid w:val="00F56C8B"/>
    <w:rsid w:val="00F62639"/>
    <w:rsid w:val="00F66810"/>
    <w:rsid w:val="00F77E65"/>
    <w:rsid w:val="00F84DF4"/>
    <w:rsid w:val="00F85C97"/>
    <w:rsid w:val="00FA276C"/>
    <w:rsid w:val="00FB137F"/>
    <w:rsid w:val="00FB37D2"/>
    <w:rsid w:val="00FC4EFB"/>
    <w:rsid w:val="00FD068D"/>
    <w:rsid w:val="00FD4F28"/>
    <w:rsid w:val="00FE6784"/>
    <w:rsid w:val="00FE7A8B"/>
    <w:rsid w:val="00FF1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Citation-AltC">
    <w:name w:val="Citation - Alt C"/>
    <w:uiPriority w:val="2"/>
    <w:qFormat/>
    <w:rsid w:val="006A5BE7"/>
    <w:pPr>
      <w:spacing w:after="720"/>
      <w:ind w:left="1166"/>
      <w:contextualSpacing/>
      <w:jc w:val="both"/>
    </w:pPr>
    <w:rPr>
      <w:sz w:val="24"/>
    </w:rPr>
  </w:style>
  <w:style w:type="character" w:customStyle="1" w:styleId="reference1">
    <w:name w:val="reference1"/>
    <w:basedOn w:val="DefaultParagraphFont"/>
    <w:rsid w:val="00311531"/>
  </w:style>
  <w:style w:type="paragraph" w:customStyle="1" w:styleId="SCCLsocOtherPartyRoleSeparator">
    <w:name w:val="SCC.Lsoc.OtherPartyRoleSeparator"/>
    <w:basedOn w:val="Normal"/>
    <w:next w:val="Normal"/>
    <w:link w:val="SCCLsocOtherPartyRoleSeparatorChar"/>
    <w:rsid w:val="00F5517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5517F"/>
    <w:rPr>
      <w:rFonts w:eastAsiaTheme="minorHAnsi" w:cstheme="minorBidi"/>
      <w:sz w:val="24"/>
      <w:szCs w:val="22"/>
      <w:lang w:eastAsia="en-US"/>
    </w:rPr>
  </w:style>
  <w:style w:type="character" w:customStyle="1" w:styleId="SCCBanSummaryChar">
    <w:name w:val="SCC.BanSummary Char"/>
    <w:basedOn w:val="DefaultParagraphFont"/>
    <w:link w:val="SCCBanSummary"/>
    <w:rsid w:val="00F5517F"/>
    <w:rPr>
      <w:b/>
      <w:sz w:val="24"/>
    </w:rPr>
  </w:style>
  <w:style w:type="table" w:styleId="TableGrid">
    <w:name w:val="Table Grid"/>
    <w:basedOn w:val="TableNormal"/>
    <w:uiPriority w:val="59"/>
    <w:rsid w:val="00F551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F5517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5517F"/>
    <w:pPr>
      <w:tabs>
        <w:tab w:val="left" w:pos="1166"/>
      </w:tabs>
      <w:spacing w:after="480" w:line="480" w:lineRule="auto"/>
    </w:pPr>
    <w:rPr>
      <w:smallCaps/>
      <w:sz w:val="24"/>
    </w:rPr>
  </w:style>
  <w:style w:type="paragraph" w:customStyle="1" w:styleId="ParaNoNdepar-AltN">
    <w:name w:val="Para. No. / Nº de par. - Alt N"/>
    <w:qFormat/>
    <w:rsid w:val="00F5517F"/>
    <w:pPr>
      <w:numPr>
        <w:numId w:val="6"/>
      </w:numPr>
      <w:tabs>
        <w:tab w:val="clear" w:pos="1242"/>
        <w:tab w:val="num" w:pos="1152"/>
      </w:tabs>
      <w:spacing w:before="480" w:after="480" w:line="480" w:lineRule="auto"/>
      <w:ind w:left="0"/>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F5517F"/>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F5517F"/>
    <w:pPr>
      <w:ind w:left="720" w:hanging="720"/>
      <w:contextualSpacing/>
    </w:pPr>
    <w:rPr>
      <w:rFonts w:eastAsiaTheme="minorHAnsi" w:cstheme="minorBidi"/>
      <w:szCs w:val="22"/>
      <w:lang w:eastAsia="en-US"/>
    </w:rPr>
  </w:style>
  <w:style w:type="paragraph" w:customStyle="1" w:styleId="Default">
    <w:name w:val="Default"/>
    <w:rsid w:val="00F5517F"/>
    <w:pPr>
      <w:autoSpaceDE w:val="0"/>
      <w:autoSpaceDN w:val="0"/>
      <w:adjustRightInd w:val="0"/>
    </w:pPr>
    <w:rPr>
      <w:rFonts w:ascii="Arial" w:eastAsiaTheme="minorHAnsi" w:hAnsi="Arial" w:cs="Arial"/>
      <w:color w:val="000000"/>
      <w:sz w:val="24"/>
      <w:szCs w:val="24"/>
      <w:lang w:eastAsia="en-US"/>
    </w:rPr>
  </w:style>
  <w:style w:type="paragraph" w:customStyle="1" w:styleId="paragraphe1">
    <w:name w:val="paragraphe1"/>
    <w:basedOn w:val="Normal"/>
    <w:rsid w:val="00F5517F"/>
    <w:pPr>
      <w:spacing w:before="120" w:after="120"/>
      <w:jc w:val="both"/>
    </w:pPr>
    <w:rPr>
      <w:rFonts w:ascii="Arial" w:hAnsi="Arial" w:cs="Arial"/>
      <w:szCs w:val="24"/>
    </w:rPr>
  </w:style>
  <w:style w:type="character" w:customStyle="1" w:styleId="SCCLowerCourtJudge">
    <w:name w:val="SCC.LowerCourtJudge"/>
    <w:basedOn w:val="DefaultParagraphFont"/>
    <w:uiPriority w:val="1"/>
    <w:qFormat/>
    <w:rsid w:val="00F5517F"/>
  </w:style>
  <w:style w:type="table" w:customStyle="1" w:styleId="TableGrid1">
    <w:name w:val="Table Grid1"/>
    <w:basedOn w:val="TableNormal"/>
    <w:next w:val="TableGrid"/>
    <w:uiPriority w:val="59"/>
    <w:rsid w:val="005257B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7F05B-3CF8-4DA6-BD29-F009F311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10910</Words>
  <Characters>58049</Characters>
  <Application>Microsoft Office Word</Application>
  <DocSecurity>4</DocSecurity>
  <Lines>483</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2014-04-03T15:17:00Z</dcterms:created>
  <dcterms:modified xsi:type="dcterms:W3CDTF">2014-04-03T15:17:00Z</dcterms:modified>
</cp:coreProperties>
</file>