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E6" w:rsidRPr="00117237" w:rsidRDefault="00C06DE6" w:rsidP="00C06DE6">
      <w:pPr>
        <w:tabs>
          <w:tab w:val="center" w:pos="4680"/>
          <w:tab w:val="right" w:pos="9360"/>
        </w:tabs>
        <w:jc w:val="center"/>
        <w:rPr>
          <w:rFonts w:eastAsiaTheme="minorHAnsi" w:cstheme="minorBidi"/>
          <w:szCs w:val="24"/>
          <w:lang w:val="fr-CA" w:eastAsia="en-US"/>
        </w:rPr>
      </w:pPr>
      <w:r w:rsidRPr="00117237">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0168" r:id="rId9"/>
        </w:object>
      </w:r>
    </w:p>
    <w:p w:rsidR="00C06DE6" w:rsidRPr="00117237" w:rsidRDefault="00C06DE6" w:rsidP="00C06DE6">
      <w:pPr>
        <w:tabs>
          <w:tab w:val="center" w:pos="4680"/>
          <w:tab w:val="right" w:pos="9360"/>
        </w:tabs>
        <w:rPr>
          <w:rFonts w:eastAsiaTheme="minorHAnsi" w:cstheme="minorBidi"/>
          <w:szCs w:val="24"/>
          <w:lang w:val="fr-CA" w:eastAsia="en-US"/>
        </w:rPr>
      </w:pPr>
    </w:p>
    <w:p w:rsidR="00C06DE6" w:rsidRPr="00117237" w:rsidRDefault="00C06DE6" w:rsidP="00C06DE6">
      <w:pPr>
        <w:jc w:val="center"/>
        <w:rPr>
          <w:rFonts w:eastAsiaTheme="minorHAnsi" w:cstheme="minorBidi"/>
          <w:b/>
          <w:szCs w:val="24"/>
          <w:lang w:val="fr-CA" w:eastAsia="en-US"/>
        </w:rPr>
      </w:pPr>
      <w:r w:rsidRPr="00117237">
        <w:rPr>
          <w:rFonts w:eastAsiaTheme="minorHAnsi" w:cstheme="minorBidi"/>
          <w:b/>
          <w:szCs w:val="24"/>
          <w:lang w:val="fr-CA" w:eastAsia="en-US"/>
        </w:rPr>
        <w:t>COUR SUPRÊME DU CANADA</w:t>
      </w:r>
    </w:p>
    <w:p w:rsidR="00C06DE6" w:rsidRPr="00117237" w:rsidRDefault="00C06DE6" w:rsidP="00C06DE6">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06DE6" w:rsidRPr="00117237" w:rsidTr="00A91E19">
        <w:trPr>
          <w:cantSplit/>
        </w:trPr>
        <w:tc>
          <w:tcPr>
            <w:tcW w:w="6768" w:type="dxa"/>
          </w:tcPr>
          <w:p w:rsidR="00C06DE6" w:rsidRPr="00117237" w:rsidRDefault="00C06DE6" w:rsidP="00A91E19">
            <w:pPr>
              <w:rPr>
                <w:lang w:val="fr-CA"/>
              </w:rPr>
            </w:pPr>
            <w:r w:rsidRPr="00117237">
              <w:rPr>
                <w:b/>
                <w:smallCaps/>
                <w:lang w:val="fr-CA"/>
              </w:rPr>
              <w:t>Référence :</w:t>
            </w:r>
            <w:r w:rsidRPr="00117237">
              <w:rPr>
                <w:lang w:val="fr-CA"/>
              </w:rPr>
              <w:t xml:space="preserve"> Castonguay Blasting Ltd.</w:t>
            </w:r>
            <w:r w:rsidRPr="00117237">
              <w:rPr>
                <w:i/>
                <w:iCs/>
                <w:color w:val="000000" w:themeColor="text1"/>
                <w:lang w:val="fr-CA"/>
              </w:rPr>
              <w:t xml:space="preserve"> c.</w:t>
            </w:r>
            <w:r w:rsidRPr="00117237">
              <w:rPr>
                <w:iCs/>
                <w:color w:val="000000" w:themeColor="text1"/>
                <w:lang w:val="fr-CA"/>
              </w:rPr>
              <w:t xml:space="preserve"> Ontario (Environnement),</w:t>
            </w:r>
            <w:r w:rsidRPr="00117237">
              <w:rPr>
                <w:lang w:val="fr-CA"/>
              </w:rPr>
              <w:t xml:space="preserve"> 2013 CSC 52</w:t>
            </w:r>
            <w:r>
              <w:rPr>
                <w:lang w:val="fr-CA"/>
              </w:rPr>
              <w:t>, [2013] 3 R.C.S. 323</w:t>
            </w:r>
          </w:p>
        </w:tc>
        <w:tc>
          <w:tcPr>
            <w:tcW w:w="2808" w:type="dxa"/>
          </w:tcPr>
          <w:p w:rsidR="00C06DE6" w:rsidRPr="00117237" w:rsidRDefault="00C06DE6" w:rsidP="00A91E19">
            <w:pPr>
              <w:rPr>
                <w:lang w:val="fr-CA"/>
              </w:rPr>
            </w:pPr>
            <w:r w:rsidRPr="00117237">
              <w:rPr>
                <w:b/>
                <w:smallCaps/>
                <w:lang w:val="fr-CA"/>
              </w:rPr>
              <w:t>Date :</w:t>
            </w:r>
            <w:r w:rsidRPr="00117237">
              <w:rPr>
                <w:lang w:val="fr-CA"/>
              </w:rPr>
              <w:t xml:space="preserve"> 20131017</w:t>
            </w:r>
          </w:p>
          <w:p w:rsidR="00C06DE6" w:rsidRPr="00117237" w:rsidRDefault="00C06DE6" w:rsidP="00A91E19">
            <w:pPr>
              <w:rPr>
                <w:lang w:val="fr-CA"/>
              </w:rPr>
            </w:pPr>
            <w:r w:rsidRPr="00117237">
              <w:rPr>
                <w:b/>
                <w:smallCaps/>
                <w:lang w:val="fr-CA"/>
              </w:rPr>
              <w:t>Dossier :</w:t>
            </w:r>
            <w:r w:rsidRPr="00117237">
              <w:rPr>
                <w:lang w:val="fr-CA"/>
              </w:rPr>
              <w:t xml:space="preserve"> 34816</w:t>
            </w:r>
          </w:p>
        </w:tc>
      </w:tr>
    </w:tbl>
    <w:p w:rsidR="00C06DE6" w:rsidRPr="00117237" w:rsidRDefault="00C06DE6" w:rsidP="00C06DE6">
      <w:pPr>
        <w:rPr>
          <w:rFonts w:eastAsiaTheme="minorHAnsi" w:cstheme="minorBidi"/>
          <w:szCs w:val="24"/>
          <w:lang w:val="fr-CA" w:eastAsia="en-US"/>
        </w:rPr>
      </w:pPr>
    </w:p>
    <w:p w:rsidR="00C06DE6" w:rsidRPr="00117237" w:rsidRDefault="00C06DE6" w:rsidP="00C06DE6">
      <w:pPr>
        <w:rPr>
          <w:rFonts w:eastAsiaTheme="minorHAnsi" w:cstheme="minorBidi"/>
          <w:b/>
          <w:smallCaps/>
          <w:szCs w:val="24"/>
          <w:lang w:val="fr-CA" w:eastAsia="en-US"/>
        </w:rPr>
      </w:pPr>
      <w:r w:rsidRPr="00117237">
        <w:rPr>
          <w:rFonts w:eastAsiaTheme="minorHAnsi" w:cstheme="minorBidi"/>
          <w:b/>
          <w:smallCaps/>
          <w:szCs w:val="24"/>
          <w:lang w:val="fr-CA" w:eastAsia="en-US"/>
        </w:rPr>
        <w:t>Entre :</w:t>
      </w:r>
    </w:p>
    <w:p w:rsidR="00C06DE6" w:rsidRPr="00117237" w:rsidRDefault="00C06DE6" w:rsidP="00C06DE6">
      <w:pPr>
        <w:jc w:val="center"/>
        <w:rPr>
          <w:rFonts w:eastAsiaTheme="minorHAnsi" w:cstheme="minorBidi"/>
          <w:b/>
          <w:szCs w:val="24"/>
          <w:lang w:val="fr-CA" w:eastAsia="en-US"/>
        </w:rPr>
      </w:pPr>
      <w:r w:rsidRPr="00117237">
        <w:rPr>
          <w:rFonts w:eastAsiaTheme="minorHAnsi" w:cstheme="minorBidi"/>
          <w:b/>
          <w:szCs w:val="24"/>
          <w:lang w:val="fr-CA" w:eastAsia="en-US"/>
        </w:rPr>
        <w:t>Castonguay Blasting Ltd.</w:t>
      </w:r>
    </w:p>
    <w:p w:rsidR="00C06DE6" w:rsidRPr="00117237" w:rsidRDefault="00C06DE6" w:rsidP="00C06DE6">
      <w:pPr>
        <w:jc w:val="center"/>
        <w:rPr>
          <w:rFonts w:eastAsiaTheme="minorHAnsi" w:cstheme="minorBidi"/>
          <w:szCs w:val="24"/>
          <w:lang w:val="fr-CA" w:eastAsia="en-US"/>
        </w:rPr>
      </w:pPr>
      <w:r w:rsidRPr="00117237">
        <w:rPr>
          <w:rFonts w:eastAsiaTheme="minorHAnsi" w:cstheme="minorBidi"/>
          <w:szCs w:val="24"/>
          <w:lang w:val="fr-CA" w:eastAsia="en-US"/>
        </w:rPr>
        <w:t>Appelante</w:t>
      </w:r>
    </w:p>
    <w:p w:rsidR="00C06DE6" w:rsidRPr="00117237" w:rsidRDefault="00C06DE6" w:rsidP="00C06DE6">
      <w:pPr>
        <w:jc w:val="center"/>
        <w:rPr>
          <w:rFonts w:eastAsiaTheme="minorHAnsi" w:cstheme="minorBidi"/>
          <w:szCs w:val="24"/>
          <w:lang w:val="fr-CA" w:eastAsia="en-US"/>
        </w:rPr>
      </w:pPr>
      <w:r w:rsidRPr="00117237">
        <w:rPr>
          <w:rFonts w:eastAsiaTheme="minorHAnsi" w:cstheme="minorBidi"/>
          <w:szCs w:val="24"/>
          <w:lang w:val="fr-CA" w:eastAsia="en-US"/>
        </w:rPr>
        <w:t>et</w:t>
      </w:r>
    </w:p>
    <w:p w:rsidR="00C06DE6" w:rsidRPr="00117237" w:rsidRDefault="00C06DE6" w:rsidP="00C06DE6">
      <w:pPr>
        <w:jc w:val="center"/>
        <w:rPr>
          <w:rFonts w:eastAsiaTheme="minorHAnsi" w:cstheme="minorBidi"/>
          <w:b/>
          <w:szCs w:val="24"/>
          <w:lang w:val="fr-CA" w:eastAsia="en-US"/>
        </w:rPr>
      </w:pPr>
      <w:r w:rsidRPr="00117237">
        <w:rPr>
          <w:rFonts w:eastAsiaTheme="minorHAnsi" w:cstheme="minorBidi"/>
          <w:b/>
          <w:szCs w:val="24"/>
          <w:lang w:val="fr-CA" w:eastAsia="en-US"/>
        </w:rPr>
        <w:t xml:space="preserve">Sa Majesté la Reine du chef de la province de l’Ontario, </w:t>
      </w:r>
    </w:p>
    <w:p w:rsidR="00C06DE6" w:rsidRPr="00117237" w:rsidRDefault="00C06DE6" w:rsidP="00C06DE6">
      <w:pPr>
        <w:jc w:val="center"/>
        <w:rPr>
          <w:rFonts w:eastAsiaTheme="minorHAnsi" w:cstheme="minorBidi"/>
          <w:b/>
          <w:szCs w:val="24"/>
          <w:lang w:val="fr-CA" w:eastAsia="en-US"/>
        </w:rPr>
      </w:pPr>
      <w:r w:rsidRPr="00117237">
        <w:rPr>
          <w:rFonts w:eastAsiaTheme="minorHAnsi" w:cstheme="minorBidi"/>
          <w:b/>
          <w:szCs w:val="24"/>
          <w:lang w:val="fr-CA" w:eastAsia="en-US"/>
        </w:rPr>
        <w:t>représentée par le ministre de l’Environnement</w:t>
      </w:r>
    </w:p>
    <w:p w:rsidR="00C06DE6" w:rsidRPr="00117237" w:rsidRDefault="00C06DE6" w:rsidP="00C06DE6">
      <w:pPr>
        <w:jc w:val="center"/>
        <w:rPr>
          <w:rFonts w:eastAsiaTheme="minorHAnsi" w:cstheme="minorBidi"/>
          <w:szCs w:val="24"/>
          <w:lang w:val="fr-CA" w:eastAsia="en-US"/>
        </w:rPr>
      </w:pPr>
      <w:r w:rsidRPr="00117237">
        <w:rPr>
          <w:rFonts w:eastAsiaTheme="minorHAnsi" w:cstheme="minorBidi"/>
          <w:szCs w:val="24"/>
          <w:lang w:val="fr-CA" w:eastAsia="en-US"/>
        </w:rPr>
        <w:t>Intimée</w:t>
      </w:r>
    </w:p>
    <w:p w:rsidR="00C06DE6" w:rsidRPr="00117237" w:rsidRDefault="00C06DE6" w:rsidP="00C06DE6">
      <w:pPr>
        <w:jc w:val="center"/>
        <w:rPr>
          <w:rFonts w:eastAsiaTheme="minorHAnsi" w:cstheme="minorBidi"/>
          <w:szCs w:val="24"/>
          <w:lang w:val="fr-CA" w:eastAsia="en-US"/>
        </w:rPr>
      </w:pPr>
      <w:r w:rsidRPr="00117237">
        <w:rPr>
          <w:rFonts w:eastAsiaTheme="minorHAnsi" w:cstheme="minorBidi"/>
          <w:szCs w:val="24"/>
          <w:lang w:val="fr-CA" w:eastAsia="en-US"/>
        </w:rPr>
        <w:t>- et -</w:t>
      </w:r>
    </w:p>
    <w:p w:rsidR="00C06DE6" w:rsidRPr="00117237" w:rsidRDefault="00C06DE6" w:rsidP="00C06DE6">
      <w:pPr>
        <w:jc w:val="center"/>
        <w:rPr>
          <w:rFonts w:eastAsiaTheme="minorHAnsi" w:cstheme="minorBidi"/>
          <w:b/>
          <w:szCs w:val="24"/>
          <w:lang w:val="fr-CA" w:eastAsia="en-US"/>
        </w:rPr>
      </w:pPr>
      <w:r w:rsidRPr="00117237">
        <w:rPr>
          <w:rFonts w:eastAsiaTheme="minorHAnsi" w:cstheme="minorBidi"/>
          <w:b/>
          <w:szCs w:val="24"/>
          <w:lang w:val="fr-CA" w:eastAsia="en-US"/>
        </w:rPr>
        <w:t>Association canadienne du droit de l’environnement et Lake Ontario Waterkeeper</w:t>
      </w:r>
    </w:p>
    <w:p w:rsidR="00C06DE6" w:rsidRPr="00117237" w:rsidRDefault="00C06DE6" w:rsidP="00C06DE6">
      <w:pPr>
        <w:jc w:val="center"/>
        <w:rPr>
          <w:rFonts w:eastAsiaTheme="minorHAnsi" w:cstheme="minorBidi"/>
          <w:szCs w:val="24"/>
          <w:lang w:val="fr-CA" w:eastAsia="en-US"/>
        </w:rPr>
      </w:pPr>
      <w:r w:rsidRPr="00117237">
        <w:rPr>
          <w:rFonts w:eastAsiaTheme="minorHAnsi" w:cstheme="minorBidi"/>
          <w:szCs w:val="24"/>
          <w:lang w:val="fr-CA" w:eastAsia="en-US"/>
        </w:rPr>
        <w:t>Intervenantes</w:t>
      </w:r>
    </w:p>
    <w:p w:rsidR="00C06DE6" w:rsidRPr="00117237" w:rsidRDefault="00C06DE6" w:rsidP="00C06DE6">
      <w:pPr>
        <w:rPr>
          <w:rFonts w:eastAsiaTheme="minorHAnsi" w:cstheme="minorBidi"/>
          <w:szCs w:val="24"/>
          <w:lang w:val="fr-CA" w:eastAsia="en-US"/>
        </w:rPr>
      </w:pPr>
    </w:p>
    <w:p w:rsidR="00C06DE6" w:rsidRPr="00117237" w:rsidRDefault="00C06DE6" w:rsidP="00C06DE6">
      <w:pPr>
        <w:jc w:val="center"/>
        <w:rPr>
          <w:rFonts w:eastAsiaTheme="minorHAnsi" w:cstheme="minorBidi"/>
          <w:b/>
          <w:smallCaps/>
          <w:szCs w:val="24"/>
          <w:lang w:val="fr-CA" w:eastAsia="en-US"/>
        </w:rPr>
      </w:pPr>
      <w:r w:rsidRPr="00117237">
        <w:rPr>
          <w:rFonts w:eastAsiaTheme="minorHAnsi" w:cstheme="minorBidi"/>
          <w:b/>
          <w:smallCaps/>
          <w:szCs w:val="24"/>
          <w:lang w:val="fr-CA" w:eastAsia="en-US"/>
        </w:rPr>
        <w:t>Traduction française officielle</w:t>
      </w:r>
    </w:p>
    <w:p w:rsidR="00C06DE6" w:rsidRPr="00117237" w:rsidRDefault="00C06DE6" w:rsidP="00C06DE6">
      <w:pPr>
        <w:rPr>
          <w:rFonts w:eastAsiaTheme="minorHAnsi" w:cstheme="minorBidi"/>
          <w:szCs w:val="24"/>
          <w:lang w:val="fr-CA" w:eastAsia="en-US"/>
        </w:rPr>
      </w:pPr>
    </w:p>
    <w:p w:rsidR="00C06DE6" w:rsidRPr="00117237" w:rsidRDefault="00C06DE6" w:rsidP="00C06DE6">
      <w:pPr>
        <w:rPr>
          <w:rFonts w:eastAsiaTheme="minorHAnsi" w:cstheme="minorBidi"/>
          <w:szCs w:val="24"/>
          <w:lang w:val="fr-CA" w:eastAsia="en-US"/>
        </w:rPr>
      </w:pPr>
      <w:r w:rsidRPr="00117237">
        <w:rPr>
          <w:rFonts w:eastAsiaTheme="minorHAnsi" w:cstheme="minorBidi"/>
          <w:b/>
          <w:smallCaps/>
          <w:szCs w:val="24"/>
          <w:lang w:val="fr-CA" w:eastAsia="en-US"/>
        </w:rPr>
        <w:t>Coram :</w:t>
      </w:r>
      <w:r w:rsidRPr="00117237">
        <w:rPr>
          <w:rFonts w:eastAsiaTheme="minorHAnsi" w:cstheme="minorBidi"/>
          <w:szCs w:val="24"/>
          <w:lang w:val="fr-CA" w:eastAsia="en-US"/>
        </w:rPr>
        <w:t xml:space="preserve"> La juge en chef McLachlin et les juges LeBel, Abella, Rothstein, Cromwell, Karakatsanis et Wagner</w:t>
      </w:r>
    </w:p>
    <w:p w:rsidR="00C06DE6" w:rsidRPr="00117237" w:rsidRDefault="00C06DE6" w:rsidP="00C06DE6">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06DE6" w:rsidRPr="00117237" w:rsidTr="00A91E19">
        <w:trPr>
          <w:cantSplit/>
        </w:trPr>
        <w:tc>
          <w:tcPr>
            <w:tcW w:w="3618" w:type="dxa"/>
          </w:tcPr>
          <w:p w:rsidR="00C06DE6" w:rsidRPr="00117237" w:rsidRDefault="00C06DE6" w:rsidP="00A91E19">
            <w:pPr>
              <w:rPr>
                <w:b/>
                <w:smallCaps/>
                <w:lang w:val="fr-CA"/>
              </w:rPr>
            </w:pPr>
            <w:r w:rsidRPr="00117237">
              <w:rPr>
                <w:b/>
                <w:smallCaps/>
                <w:lang w:val="fr-CA"/>
              </w:rPr>
              <w:t>Motifs de jugement :</w:t>
            </w:r>
          </w:p>
          <w:p w:rsidR="00C06DE6" w:rsidRPr="00117237" w:rsidRDefault="00C06DE6" w:rsidP="00A91E19">
            <w:pPr>
              <w:rPr>
                <w:lang w:val="fr-CA"/>
              </w:rPr>
            </w:pPr>
            <w:r w:rsidRPr="00117237">
              <w:rPr>
                <w:lang w:val="fr-CA"/>
              </w:rPr>
              <w:t>(par. 1 à 41)</w:t>
            </w:r>
          </w:p>
        </w:tc>
        <w:tc>
          <w:tcPr>
            <w:tcW w:w="5958" w:type="dxa"/>
          </w:tcPr>
          <w:p w:rsidR="00C06DE6" w:rsidRPr="00117237" w:rsidRDefault="00C06DE6" w:rsidP="00A91E19">
            <w:pPr>
              <w:rPr>
                <w:lang w:val="fr-CA"/>
              </w:rPr>
            </w:pPr>
            <w:r w:rsidRPr="00117237">
              <w:rPr>
                <w:lang w:val="fr-CA"/>
              </w:rPr>
              <w:t>La juge Abella (avec l’accord de la juge en chef McLachlin et des juges LeBel, Rothstein, Cromwell, Karakatsanis et Wagner)</w:t>
            </w:r>
          </w:p>
        </w:tc>
      </w:tr>
    </w:tbl>
    <w:p w:rsidR="00C06DE6" w:rsidRPr="00117237" w:rsidRDefault="00C06DE6" w:rsidP="00C06DE6">
      <w:pPr>
        <w:rPr>
          <w:rFonts w:eastAsiaTheme="minorHAnsi" w:cstheme="minorBidi"/>
          <w:szCs w:val="24"/>
          <w:lang w:val="fr-CA" w:eastAsia="en-US"/>
        </w:rPr>
      </w:pPr>
      <w:r w:rsidRPr="008E12A3">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C06DE6" w:rsidRDefault="00C06DE6" w:rsidP="00C06DE6">
      <w:pPr>
        <w:rPr>
          <w:smallCaps/>
          <w:lang w:val="fr-CA"/>
        </w:rPr>
      </w:pPr>
      <w:r>
        <w:rPr>
          <w:smallCaps/>
          <w:lang w:val="fr-CA"/>
        </w:rPr>
        <w:br w:type="page"/>
      </w:r>
    </w:p>
    <w:p w:rsidR="00A22250" w:rsidRPr="00B9218D" w:rsidRDefault="00B9218D" w:rsidP="00A22250">
      <w:pPr>
        <w:spacing w:after="720"/>
        <w:jc w:val="both"/>
        <w:rPr>
          <w:lang w:val="fr-CA"/>
        </w:rPr>
      </w:pPr>
      <w:r w:rsidRPr="00B9218D">
        <w:rPr>
          <w:lang w:val="fr-CA"/>
        </w:rPr>
        <w:lastRenderedPageBreak/>
        <w:t xml:space="preserve">Dynamitage Castonguay Ltée </w:t>
      </w:r>
      <w:r w:rsidRPr="00B9218D">
        <w:rPr>
          <w:i/>
          <w:lang w:val="fr-CA"/>
        </w:rPr>
        <w:t>c.</w:t>
      </w:r>
      <w:r w:rsidRPr="00B9218D">
        <w:rPr>
          <w:lang w:val="fr-CA"/>
        </w:rPr>
        <w:t xml:space="preserve"> Ontario (Environnement)</w:t>
      </w:r>
      <w:r>
        <w:rPr>
          <w:lang w:val="fr-CA"/>
        </w:rPr>
        <w:t>, 2013 CSC 52, [2013] 3 R.C.S. 323</w:t>
      </w:r>
    </w:p>
    <w:p w:rsidR="00A22250" w:rsidRPr="00C779D1" w:rsidRDefault="0051181C" w:rsidP="00A22250">
      <w:pPr>
        <w:pStyle w:val="SCCLsocLastPartyInRole"/>
        <w:rPr>
          <w:lang w:val="fr-CA"/>
        </w:rPr>
      </w:pPr>
      <w:r>
        <w:rPr>
          <w:lang w:val="fr-CA"/>
        </w:rPr>
        <w:t>Dynamitage Castonguay Ltée</w:t>
      </w:r>
      <w:r w:rsidR="00A22250" w:rsidRPr="00C779D1">
        <w:rPr>
          <w:rStyle w:val="SCCLsocPartyRole"/>
          <w:lang w:val="fr-CA"/>
        </w:rPr>
        <w:tab/>
        <w:t>Appelante</w:t>
      </w:r>
    </w:p>
    <w:p w:rsidR="00A22250" w:rsidRPr="00C779D1" w:rsidRDefault="00A22250" w:rsidP="00A22250">
      <w:pPr>
        <w:pStyle w:val="SCCLsocVersus"/>
        <w:rPr>
          <w:lang w:val="fr-CA"/>
        </w:rPr>
      </w:pPr>
      <w:r w:rsidRPr="00C779D1">
        <w:rPr>
          <w:lang w:val="fr-CA"/>
        </w:rPr>
        <w:t>c.</w:t>
      </w:r>
    </w:p>
    <w:p w:rsidR="00A22250" w:rsidRPr="00C779D1" w:rsidRDefault="00A22250" w:rsidP="00A22250">
      <w:pPr>
        <w:pStyle w:val="SCCLsocLastPartyInRole"/>
        <w:spacing w:after="0"/>
        <w:rPr>
          <w:lang w:val="fr-CA"/>
        </w:rPr>
      </w:pPr>
      <w:r w:rsidRPr="00C779D1">
        <w:rPr>
          <w:lang w:val="fr-CA"/>
        </w:rPr>
        <w:t xml:space="preserve">Sa Majesté la Reine du chef de la province de l’Ontario, </w:t>
      </w:r>
    </w:p>
    <w:p w:rsidR="00A22250" w:rsidRPr="00C779D1" w:rsidRDefault="00A22250" w:rsidP="00A22250">
      <w:pPr>
        <w:pStyle w:val="SCCLsocLastPartyInRole"/>
        <w:rPr>
          <w:lang w:val="fr-CA"/>
        </w:rPr>
      </w:pPr>
      <w:r w:rsidRPr="00C779D1">
        <w:rPr>
          <w:lang w:val="fr-CA"/>
        </w:rPr>
        <w:t>représentée par le ministre de l’Environnement</w:t>
      </w:r>
      <w:r w:rsidRPr="00C779D1">
        <w:rPr>
          <w:rStyle w:val="SCCLsocPartyRole"/>
          <w:lang w:val="fr-CA"/>
        </w:rPr>
        <w:tab/>
        <w:t>Intimée</w:t>
      </w:r>
    </w:p>
    <w:p w:rsidR="00A22250" w:rsidRPr="00C779D1" w:rsidRDefault="00A22250" w:rsidP="00A22250">
      <w:pPr>
        <w:pStyle w:val="SCCLsocOtherPartySeparator"/>
        <w:rPr>
          <w:lang w:val="fr-CA"/>
        </w:rPr>
      </w:pPr>
      <w:r w:rsidRPr="00C779D1">
        <w:rPr>
          <w:lang w:val="fr-CA"/>
        </w:rPr>
        <w:t>et</w:t>
      </w:r>
    </w:p>
    <w:p w:rsidR="00A22250" w:rsidRPr="00C779D1" w:rsidRDefault="00A22250" w:rsidP="00A22250">
      <w:pPr>
        <w:pStyle w:val="SCCLsocLastPartyInRole"/>
        <w:spacing w:after="0"/>
        <w:rPr>
          <w:lang w:val="fr-CA"/>
        </w:rPr>
      </w:pPr>
      <w:r w:rsidRPr="00C779D1">
        <w:rPr>
          <w:lang w:val="fr-CA"/>
        </w:rPr>
        <w:t xml:space="preserve">Association canadienne du droit de l’environnement et </w:t>
      </w:r>
    </w:p>
    <w:p w:rsidR="00A22250" w:rsidRPr="00C779D1" w:rsidRDefault="00A22250" w:rsidP="00A22250">
      <w:pPr>
        <w:pStyle w:val="SCCLsocLastPartyInRole"/>
        <w:rPr>
          <w:lang w:val="fr-CA"/>
        </w:rPr>
      </w:pPr>
      <w:r w:rsidRPr="00C779D1">
        <w:rPr>
          <w:lang w:val="fr-CA"/>
        </w:rPr>
        <w:t>Lake Ontario Waterkeeper</w:t>
      </w:r>
      <w:r w:rsidRPr="00C779D1">
        <w:rPr>
          <w:rStyle w:val="SCCLsocPartyRole"/>
          <w:lang w:val="fr-CA"/>
        </w:rPr>
        <w:tab/>
        <w:t>Intervenantes</w:t>
      </w:r>
    </w:p>
    <w:p w:rsidR="00A22250" w:rsidRPr="00C779D1" w:rsidRDefault="00A22250" w:rsidP="00A22250">
      <w:pPr>
        <w:spacing w:after="720" w:line="480" w:lineRule="auto"/>
        <w:jc w:val="both"/>
        <w:rPr>
          <w:b/>
          <w:lang w:val="fr-CA"/>
        </w:rPr>
      </w:pPr>
      <w:r w:rsidRPr="00C779D1">
        <w:rPr>
          <w:b/>
          <w:lang w:val="fr-CA"/>
        </w:rPr>
        <w:t>Répertorié</w:t>
      </w:r>
      <w:r>
        <w:rPr>
          <w:b/>
          <w:lang w:val="fr-CA"/>
        </w:rPr>
        <w:t> :</w:t>
      </w:r>
      <w:r w:rsidRPr="00C779D1">
        <w:rPr>
          <w:b/>
          <w:lang w:val="fr-CA"/>
        </w:rPr>
        <w:t> </w:t>
      </w:r>
      <w:r w:rsidR="0051181C">
        <w:rPr>
          <w:b/>
          <w:lang w:val="fr-CA"/>
        </w:rPr>
        <w:t>Dynamitage Castonguay Ltée</w:t>
      </w:r>
      <w:r w:rsidRPr="00C779D1">
        <w:rPr>
          <w:b/>
          <w:lang w:val="fr-CA"/>
        </w:rPr>
        <w:t xml:space="preserve"> </w:t>
      </w:r>
      <w:r w:rsidRPr="00C779D1">
        <w:rPr>
          <w:b/>
          <w:i/>
          <w:lang w:val="fr-CA"/>
        </w:rPr>
        <w:t>c.</w:t>
      </w:r>
      <w:r w:rsidRPr="00C779D1">
        <w:rPr>
          <w:b/>
          <w:lang w:val="fr-CA"/>
        </w:rPr>
        <w:t xml:space="preserve"> Ontario (Environnement)</w:t>
      </w:r>
    </w:p>
    <w:p w:rsidR="00A22250" w:rsidRPr="00C779D1" w:rsidRDefault="00A22250" w:rsidP="00A22250">
      <w:pPr>
        <w:pStyle w:val="SCCSystemYear"/>
        <w:spacing w:after="720" w:line="480" w:lineRule="auto"/>
        <w:jc w:val="both"/>
        <w:rPr>
          <w:lang w:val="fr-CA"/>
        </w:rPr>
      </w:pPr>
      <w:r w:rsidRPr="00C779D1">
        <w:rPr>
          <w:lang w:val="fr-CA"/>
        </w:rPr>
        <w:t>2013 CSC 52</w:t>
      </w:r>
    </w:p>
    <w:p w:rsidR="00A22250" w:rsidRPr="00C779D1" w:rsidRDefault="00A22250" w:rsidP="00A22250">
      <w:pPr>
        <w:spacing w:after="720" w:line="480" w:lineRule="auto"/>
        <w:jc w:val="both"/>
        <w:rPr>
          <w:lang w:val="fr-CA"/>
        </w:rPr>
      </w:pPr>
      <w:r w:rsidRPr="00C779D1">
        <w:rPr>
          <w:lang w:val="fr-CA"/>
        </w:rPr>
        <w:t>N</w:t>
      </w:r>
      <w:r w:rsidRPr="00C779D1">
        <w:rPr>
          <w:vertAlign w:val="superscript"/>
          <w:lang w:val="fr-CA"/>
        </w:rPr>
        <w:t>o</w:t>
      </w:r>
      <w:r w:rsidRPr="00C779D1">
        <w:rPr>
          <w:lang w:val="fr-CA"/>
        </w:rPr>
        <w:t xml:space="preserve"> du greffe</w:t>
      </w:r>
      <w:r>
        <w:rPr>
          <w:lang w:val="fr-CA"/>
        </w:rPr>
        <w:t> :</w:t>
      </w:r>
      <w:r w:rsidRPr="00C779D1">
        <w:rPr>
          <w:lang w:val="fr-CA"/>
        </w:rPr>
        <w:t> 34816.</w:t>
      </w:r>
    </w:p>
    <w:p w:rsidR="00A22250" w:rsidRPr="00C779D1" w:rsidRDefault="00A22250" w:rsidP="00A22250">
      <w:pPr>
        <w:spacing w:after="720" w:line="480" w:lineRule="auto"/>
        <w:jc w:val="both"/>
        <w:rPr>
          <w:lang w:val="fr-CA"/>
        </w:rPr>
      </w:pPr>
      <w:r w:rsidRPr="00C779D1">
        <w:rPr>
          <w:lang w:val="fr-CA"/>
        </w:rPr>
        <w:t>2013</w:t>
      </w:r>
      <w:r>
        <w:rPr>
          <w:lang w:val="fr-CA"/>
        </w:rPr>
        <w:t> :</w:t>
      </w:r>
      <w:r w:rsidRPr="00C779D1">
        <w:rPr>
          <w:lang w:val="fr-CA"/>
        </w:rPr>
        <w:t> 17 mai; 2013</w:t>
      </w:r>
      <w:r>
        <w:rPr>
          <w:lang w:val="fr-CA"/>
        </w:rPr>
        <w:t> :</w:t>
      </w:r>
      <w:r w:rsidRPr="00C779D1">
        <w:rPr>
          <w:lang w:val="fr-CA"/>
        </w:rPr>
        <w:t> 17 octobre.</w:t>
      </w:r>
    </w:p>
    <w:p w:rsidR="00A22250" w:rsidRPr="00C779D1" w:rsidRDefault="00A22250" w:rsidP="00A22250">
      <w:pPr>
        <w:spacing w:after="720"/>
        <w:jc w:val="both"/>
        <w:rPr>
          <w:lang w:val="fr-CA"/>
        </w:rPr>
      </w:pPr>
      <w:r w:rsidRPr="00C779D1">
        <w:rPr>
          <w:lang w:val="fr-CA"/>
        </w:rPr>
        <w:t>Présents</w:t>
      </w:r>
      <w:r>
        <w:rPr>
          <w:lang w:val="fr-CA"/>
        </w:rPr>
        <w:t> :</w:t>
      </w:r>
      <w:r w:rsidRPr="00C779D1">
        <w:rPr>
          <w:lang w:val="fr-CA"/>
        </w:rPr>
        <w:t> La juge en chef McLachlin et les juges LeBel, Abella, Rothstein, Cromwell, Karakatsanis et Wagner.</w:t>
      </w:r>
    </w:p>
    <w:p w:rsidR="00A22250" w:rsidRPr="00C779D1" w:rsidRDefault="00A22250" w:rsidP="00A22250">
      <w:pPr>
        <w:spacing w:after="720" w:line="480" w:lineRule="auto"/>
        <w:jc w:val="both"/>
        <w:rPr>
          <w:smallCaps/>
          <w:lang w:val="fr-CA"/>
        </w:rPr>
      </w:pPr>
      <w:r w:rsidRPr="00C779D1">
        <w:rPr>
          <w:smallCaps/>
          <w:lang w:val="fr-CA"/>
        </w:rPr>
        <w:lastRenderedPageBreak/>
        <w:t>en appel de la cour d’appel de l’ontario</w:t>
      </w:r>
    </w:p>
    <w:p w:rsidR="00A22250" w:rsidRPr="00C779D1" w:rsidRDefault="00A22250" w:rsidP="00A22250">
      <w:pPr>
        <w:pStyle w:val="SCCNormalDoubleSpacing"/>
        <w:spacing w:after="480"/>
        <w:rPr>
          <w:i/>
          <w:lang w:val="fr-CA"/>
        </w:rPr>
      </w:pPr>
      <w:r w:rsidRPr="00C779D1">
        <w:rPr>
          <w:lang w:val="fr-CA"/>
        </w:rPr>
        <w:tab/>
      </w:r>
      <w:r w:rsidRPr="00C779D1">
        <w:rPr>
          <w:i/>
          <w:lang w:val="fr-CA"/>
        </w:rPr>
        <w:t xml:space="preserve">Droit de l’environnement </w:t>
      </w:r>
      <w:r w:rsidRPr="00C779D1">
        <w:rPr>
          <w:i/>
          <w:smallCaps/>
          <w:lang w:val="fr-CA"/>
        </w:rPr>
        <w:t>—</w:t>
      </w:r>
      <w:r w:rsidRPr="00C779D1">
        <w:rPr>
          <w:i/>
          <w:lang w:val="fr-CA"/>
        </w:rPr>
        <w:t xml:space="preserve"> Infractions </w:t>
      </w:r>
      <w:r w:rsidRPr="00C779D1">
        <w:rPr>
          <w:i/>
          <w:smallCaps/>
          <w:lang w:val="fr-CA"/>
        </w:rPr>
        <w:t>—</w:t>
      </w:r>
      <w:r w:rsidRPr="00C779D1">
        <w:rPr>
          <w:i/>
          <w:lang w:val="fr-CA"/>
        </w:rPr>
        <w:t xml:space="preserve"> Obligation d’aviser le ministère de l’Environnement du rejet d’un contaminant dans l’environnement naturel </w:t>
      </w:r>
      <w:r w:rsidRPr="00C779D1">
        <w:rPr>
          <w:i/>
          <w:smallCaps/>
          <w:lang w:val="fr-CA"/>
        </w:rPr>
        <w:t>—</w:t>
      </w:r>
      <w:r w:rsidRPr="00C779D1">
        <w:rPr>
          <w:i/>
          <w:lang w:val="fr-CA"/>
        </w:rPr>
        <w:t xml:space="preserve"> Opérations de dynamitage d’un sous</w:t>
      </w:r>
      <w:r>
        <w:rPr>
          <w:i/>
          <w:lang w:val="fr-CA"/>
        </w:rPr>
        <w:noBreakHyphen/>
      </w:r>
      <w:r w:rsidRPr="00C779D1">
        <w:rPr>
          <w:i/>
          <w:lang w:val="fr-CA"/>
        </w:rPr>
        <w:t>traitant entraîne</w:t>
      </w:r>
      <w:r>
        <w:rPr>
          <w:i/>
          <w:lang w:val="fr-CA"/>
        </w:rPr>
        <w:t>nt</w:t>
      </w:r>
      <w:r w:rsidRPr="00C779D1">
        <w:rPr>
          <w:i/>
          <w:lang w:val="fr-CA"/>
        </w:rPr>
        <w:t xml:space="preserve"> la projection dans les airs d’éclats de roc, endommageant une demeure et une voiture </w:t>
      </w:r>
      <w:r w:rsidRPr="00C779D1">
        <w:rPr>
          <w:i/>
          <w:smallCaps/>
          <w:lang w:val="fr-CA"/>
        </w:rPr>
        <w:t>—</w:t>
      </w:r>
      <w:r w:rsidRPr="00C779D1">
        <w:rPr>
          <w:i/>
          <w:lang w:val="fr-CA"/>
        </w:rPr>
        <w:t xml:space="preserve"> Omission par le sous</w:t>
      </w:r>
      <w:r>
        <w:rPr>
          <w:i/>
          <w:lang w:val="fr-CA"/>
        </w:rPr>
        <w:noBreakHyphen/>
      </w:r>
      <w:r w:rsidRPr="00C779D1">
        <w:rPr>
          <w:i/>
          <w:lang w:val="fr-CA"/>
        </w:rPr>
        <w:t xml:space="preserve">traitant d’aviser le ministère de l’Environnement du rejet du contaminant </w:t>
      </w:r>
      <w:r w:rsidRPr="00C779D1">
        <w:rPr>
          <w:i/>
          <w:smallCaps/>
          <w:lang w:val="fr-CA"/>
        </w:rPr>
        <w:t>—</w:t>
      </w:r>
      <w:r w:rsidRPr="00C779D1">
        <w:rPr>
          <w:i/>
          <w:lang w:val="fr-CA"/>
        </w:rPr>
        <w:t xml:space="preserve"> L’obligation d’aviser est</w:t>
      </w:r>
      <w:r>
        <w:rPr>
          <w:i/>
          <w:lang w:val="fr-CA"/>
        </w:rPr>
        <w:noBreakHyphen/>
      </w:r>
      <w:r w:rsidR="00CC1423">
        <w:rPr>
          <w:i/>
          <w:lang w:val="fr-CA"/>
        </w:rPr>
        <w:t>elle entrée en jeu en l’espèce</w:t>
      </w:r>
      <w:r w:rsidRPr="00C779D1">
        <w:rPr>
          <w:i/>
          <w:lang w:val="fr-CA"/>
        </w:rPr>
        <w:t xml:space="preserve">? </w:t>
      </w:r>
      <w:r w:rsidRPr="00C779D1">
        <w:rPr>
          <w:i/>
          <w:smallCaps/>
          <w:lang w:val="fr-CA"/>
        </w:rPr>
        <w:t>—</w:t>
      </w:r>
      <w:r w:rsidRPr="00C779D1">
        <w:rPr>
          <w:i/>
          <w:lang w:val="fr-CA"/>
        </w:rPr>
        <w:t xml:space="preserve"> Loi sur la protection de l’environnement, L.R.O. 1990, </w:t>
      </w:r>
      <w:r>
        <w:rPr>
          <w:i/>
          <w:lang w:val="fr-CA"/>
        </w:rPr>
        <w:t>ch. </w:t>
      </w:r>
      <w:r w:rsidRPr="00C779D1">
        <w:rPr>
          <w:i/>
          <w:lang w:val="fr-CA"/>
        </w:rPr>
        <w:t xml:space="preserve">E.19, </w:t>
      </w:r>
      <w:r>
        <w:rPr>
          <w:i/>
          <w:lang w:val="fr-CA"/>
        </w:rPr>
        <w:t>art. </w:t>
      </w:r>
      <w:r w:rsidRPr="00C779D1">
        <w:rPr>
          <w:i/>
          <w:lang w:val="fr-CA"/>
        </w:rPr>
        <w:t>15(1).</w:t>
      </w:r>
    </w:p>
    <w:p w:rsidR="00A22250" w:rsidRPr="00C779D1" w:rsidRDefault="00A22250" w:rsidP="00A22250">
      <w:pPr>
        <w:pStyle w:val="SCCNormalDoubleSpacing"/>
        <w:spacing w:after="480"/>
        <w:rPr>
          <w:lang w:val="fr-CA"/>
        </w:rPr>
      </w:pPr>
      <w:r w:rsidRPr="00C779D1">
        <w:rPr>
          <w:lang w:val="fr-CA"/>
        </w:rPr>
        <w:tab/>
        <w:t>L’appelante C effectuait des opérations de dynamitage dans le cadre de travaux d’élargissement d’une route lorsque l’opération a mal tourné et que des « éclats de roc</w:t>
      </w:r>
      <w:r w:rsidRPr="00C779D1">
        <w:rPr>
          <w:i/>
          <w:lang w:val="fr-CA"/>
        </w:rPr>
        <w:t> </w:t>
      </w:r>
      <w:r w:rsidRPr="00C779D1">
        <w:rPr>
          <w:lang w:val="fr-CA"/>
        </w:rPr>
        <w:t xml:space="preserve">» ont été projetés dans les airs par la force d’une explosion.  Les éclats de roc ont été propulsés dans les airs sur une distance approximative de 90 mètres et ont endommagé une demeure et une voiture.  Une quantité importante d’éclats sont aussi tombés dans la cour.  C n’a pas signalé l’incident au ministère de l’Environnement (« ministère ») et, par la suite, a été accusée d’avoir omis, en violation du </w:t>
      </w:r>
      <w:r>
        <w:rPr>
          <w:lang w:val="fr-CA"/>
        </w:rPr>
        <w:t>par. </w:t>
      </w:r>
      <w:r w:rsidRPr="00C779D1">
        <w:rPr>
          <w:lang w:val="fr-CA"/>
        </w:rPr>
        <w:t xml:space="preserve">15(1) de la </w:t>
      </w:r>
      <w:r w:rsidRPr="00C779D1">
        <w:rPr>
          <w:i/>
          <w:lang w:val="fr-CA"/>
        </w:rPr>
        <w:t>Loi sur la protection de l’environnement</w:t>
      </w:r>
      <w:r w:rsidRPr="00C779D1">
        <w:rPr>
          <w:lang w:val="fr-CA"/>
        </w:rPr>
        <w:t xml:space="preserve"> (« </w:t>
      </w:r>
      <w:r w:rsidRPr="00C779D1">
        <w:rPr>
          <w:i/>
          <w:lang w:val="fr-CA"/>
        </w:rPr>
        <w:t>LPE </w:t>
      </w:r>
      <w:r w:rsidRPr="00CC1423">
        <w:rPr>
          <w:lang w:val="fr-CA"/>
        </w:rPr>
        <w:t>»)</w:t>
      </w:r>
      <w:r w:rsidRPr="00C779D1">
        <w:rPr>
          <w:lang w:val="fr-CA"/>
        </w:rPr>
        <w:t>, d’aviser le ministère qu’elle avait rejeté un contaminant dans l’environnement naturel.  C a été acquittée par la Cour de justice de l’Ontario, mais la Cour supérieure de justice de l’Ontario a annulé l’acquittement et inscrit une déclaration de culpabilité.  Les juges majoritaires de la Cour d’appel ont rejeté l’appel de C.</w:t>
      </w:r>
    </w:p>
    <w:p w:rsidR="00A22250" w:rsidRPr="00C779D1" w:rsidRDefault="00A22250" w:rsidP="00A22250">
      <w:pPr>
        <w:pStyle w:val="SCCNormalDoubleSpacing"/>
        <w:spacing w:after="480"/>
        <w:rPr>
          <w:lang w:val="fr-CA"/>
        </w:rPr>
      </w:pPr>
      <w:r w:rsidRPr="00C779D1">
        <w:rPr>
          <w:lang w:val="fr-CA"/>
        </w:rPr>
        <w:lastRenderedPageBreak/>
        <w:tab/>
      </w:r>
      <w:r w:rsidRPr="00C779D1">
        <w:rPr>
          <w:i/>
          <w:lang w:val="fr-CA"/>
        </w:rPr>
        <w:t>Arrêt</w:t>
      </w:r>
      <w:r>
        <w:rPr>
          <w:lang w:val="fr-CA"/>
        </w:rPr>
        <w:t> :</w:t>
      </w:r>
      <w:r w:rsidRPr="00C779D1">
        <w:rPr>
          <w:lang w:val="fr-CA"/>
        </w:rPr>
        <w:t xml:space="preserve"> </w:t>
      </w:r>
      <w:r>
        <w:rPr>
          <w:lang w:val="fr-CA"/>
        </w:rPr>
        <w:t>Le pourvoi</w:t>
      </w:r>
      <w:r w:rsidRPr="00C779D1">
        <w:rPr>
          <w:lang w:val="fr-CA"/>
        </w:rPr>
        <w:t xml:space="preserve"> est rejeté.</w:t>
      </w:r>
    </w:p>
    <w:p w:rsidR="00A22250" w:rsidRPr="00C779D1" w:rsidRDefault="00A22250" w:rsidP="00A22250">
      <w:pPr>
        <w:pStyle w:val="SCCNormalDoubleSpacing"/>
        <w:spacing w:after="480"/>
        <w:rPr>
          <w:lang w:val="fr-CA"/>
        </w:rPr>
      </w:pPr>
      <w:r w:rsidRPr="00C779D1">
        <w:rPr>
          <w:lang w:val="fr-CA"/>
        </w:rPr>
        <w:tab/>
        <w:t xml:space="preserve">La </w:t>
      </w:r>
      <w:r w:rsidRPr="00C779D1">
        <w:rPr>
          <w:i/>
          <w:lang w:val="fr-CA"/>
        </w:rPr>
        <w:t>LPE</w:t>
      </w:r>
      <w:r w:rsidRPr="00C779D1">
        <w:rPr>
          <w:lang w:val="fr-CA"/>
        </w:rPr>
        <w:t xml:space="preserve"> exige que le ministère de l’Environnement soit avisé sans délai </w:t>
      </w:r>
      <w:r>
        <w:rPr>
          <w:lang w:val="fr-CA"/>
        </w:rPr>
        <w:t>lorsqu</w:t>
      </w:r>
      <w:r w:rsidRPr="00C779D1">
        <w:rPr>
          <w:lang w:val="fr-CA"/>
        </w:rPr>
        <w:t>’un contaminant</w:t>
      </w:r>
      <w:r>
        <w:rPr>
          <w:lang w:val="fr-CA"/>
        </w:rPr>
        <w:t xml:space="preserve"> a été rejeté</w:t>
      </w:r>
      <w:r w:rsidRPr="00C779D1">
        <w:rPr>
          <w:lang w:val="fr-CA"/>
        </w:rPr>
        <w:t xml:space="preserve"> dans l’environnement.  Cette obligation de signalement est assujettie à deux conditions préalables — il doit s’agir d’un rejet accompli en dehors du cours normal des événements, et qui cause — ou causera vraisemblablement — une conséquence préjudiciable sur l’environnement.  L’obligation en question a pour but d’informer le ministère des dommages possibles à l’environnement, afin que puissent être prises en temps utile les mesures correctives qui s’imposent.</w:t>
      </w:r>
    </w:p>
    <w:p w:rsidR="00A22250" w:rsidRPr="00C779D1" w:rsidRDefault="00A22250" w:rsidP="00A22250">
      <w:pPr>
        <w:pStyle w:val="SCCNormalDoubleSpacing"/>
        <w:spacing w:after="480"/>
        <w:rPr>
          <w:lang w:val="fr-CA"/>
        </w:rPr>
      </w:pPr>
      <w:r w:rsidRPr="00C779D1">
        <w:rPr>
          <w:lang w:val="fr-CA"/>
        </w:rPr>
        <w:tab/>
        <w:t>La</w:t>
      </w:r>
      <w:r w:rsidRPr="00C779D1">
        <w:rPr>
          <w:i/>
          <w:lang w:val="fr-CA"/>
        </w:rPr>
        <w:t xml:space="preserve"> LPE</w:t>
      </w:r>
      <w:r w:rsidRPr="00C779D1">
        <w:rPr>
          <w:lang w:val="fr-CA"/>
        </w:rPr>
        <w:t xml:space="preserve"> est la principale loi ontarienne en matière de protection de l’environnement.  Comme elle constitue une loi réparatrice, elle doit recevoir une interprétation généreuse.  La protection de l’environnement est un sujet complexe — en effet, l’environnement lui</w:t>
      </w:r>
      <w:r>
        <w:rPr>
          <w:lang w:val="fr-CA"/>
        </w:rPr>
        <w:noBreakHyphen/>
      </w:r>
      <w:r w:rsidRPr="00C779D1">
        <w:rPr>
          <w:lang w:val="fr-CA"/>
        </w:rPr>
        <w:t>même et la vaste gamme d’activités susceptibles d’en causer la dégradation ne se prêtent pas aisément à une codification précise.  Par conséquent, les lois protégeant l’environnement reposent sur l’application d’une approche générale, qui permet de réagir adéquatement</w:t>
      </w:r>
      <w:r>
        <w:rPr>
          <w:lang w:val="fr-CA"/>
        </w:rPr>
        <w:t xml:space="preserve"> à</w:t>
      </w:r>
      <w:r w:rsidRPr="00C779D1">
        <w:rPr>
          <w:lang w:val="fr-CA"/>
        </w:rPr>
        <w:t xml:space="preserve"> une gamme d’atteintes environnementales, y compris celles qui n’ont peut</w:t>
      </w:r>
      <w:r>
        <w:rPr>
          <w:lang w:val="fr-CA"/>
        </w:rPr>
        <w:noBreakHyphen/>
      </w:r>
      <w:r w:rsidRPr="00C779D1">
        <w:rPr>
          <w:lang w:val="fr-CA"/>
        </w:rPr>
        <w:t>être même pas été envisagées par leurs rédacteurs.  Parce que l’objectif poursuivi par le législateur est la protection de l’environnement, la portée voulue de ces lois est large et profonde.</w:t>
      </w:r>
    </w:p>
    <w:p w:rsidR="00A22250" w:rsidRPr="00C779D1" w:rsidRDefault="00A22250" w:rsidP="00A22250">
      <w:pPr>
        <w:pStyle w:val="SCCNormalDoubleSpacing"/>
        <w:spacing w:after="480"/>
        <w:rPr>
          <w:lang w:val="fr-CA"/>
        </w:rPr>
      </w:pPr>
      <w:r w:rsidRPr="00C779D1">
        <w:rPr>
          <w:lang w:val="fr-CA"/>
        </w:rPr>
        <w:t> </w:t>
      </w:r>
      <w:r w:rsidRPr="00C779D1">
        <w:rPr>
          <w:lang w:val="fr-CA"/>
        </w:rPr>
        <w:tab/>
        <w:t xml:space="preserve">L’objectif général de la </w:t>
      </w:r>
      <w:r w:rsidRPr="00C779D1">
        <w:rPr>
          <w:i/>
          <w:lang w:val="fr-CA"/>
        </w:rPr>
        <w:t>LPE</w:t>
      </w:r>
      <w:r w:rsidRPr="00C779D1">
        <w:rPr>
          <w:lang w:val="fr-CA"/>
        </w:rPr>
        <w:t xml:space="preserve"> est énoncé à l’</w:t>
      </w:r>
      <w:r>
        <w:rPr>
          <w:lang w:val="fr-CA"/>
        </w:rPr>
        <w:t>art. </w:t>
      </w:r>
      <w:r w:rsidRPr="00C779D1">
        <w:rPr>
          <w:lang w:val="fr-CA"/>
        </w:rPr>
        <w:t>3</w:t>
      </w:r>
      <w:r>
        <w:rPr>
          <w:lang w:val="fr-CA"/>
        </w:rPr>
        <w:t> :</w:t>
      </w:r>
      <w:r w:rsidRPr="00C779D1">
        <w:rPr>
          <w:lang w:val="fr-CA"/>
        </w:rPr>
        <w:t xml:space="preserve"> « La présente loi a pour objet d’assurer la protection et la conservation de l’environnement naturel</w:t>
      </w:r>
      <w:r w:rsidR="00CE5221">
        <w:rPr>
          <w:lang w:val="fr-CA"/>
        </w:rPr>
        <w:t>.</w:t>
      </w:r>
      <w:r w:rsidRPr="00C779D1">
        <w:rPr>
          <w:lang w:val="fr-CA"/>
        </w:rPr>
        <w:t xml:space="preserve"> »  La </w:t>
      </w:r>
      <w:r w:rsidRPr="00C779D1">
        <w:rPr>
          <w:i/>
          <w:lang w:val="fr-CA"/>
        </w:rPr>
        <w:lastRenderedPageBreak/>
        <w:t>LPE</w:t>
      </w:r>
      <w:r w:rsidRPr="00C779D1">
        <w:rPr>
          <w:lang w:val="fr-CA"/>
        </w:rPr>
        <w:t xml:space="preserve"> protège également les personnes qui</w:t>
      </w:r>
      <w:r w:rsidRPr="00C779D1">
        <w:rPr>
          <w:i/>
          <w:lang w:val="fr-CA"/>
        </w:rPr>
        <w:t xml:space="preserve"> utilisent</w:t>
      </w:r>
      <w:r w:rsidRPr="00C779D1">
        <w:rPr>
          <w:lang w:val="fr-CA"/>
        </w:rPr>
        <w:t xml:space="preserve"> l’environnement naturel en protégeant la santé des humains, les végétaux, les animaux et les biens.  La </w:t>
      </w:r>
      <w:r w:rsidRPr="00C779D1">
        <w:rPr>
          <w:i/>
          <w:lang w:val="fr-CA"/>
        </w:rPr>
        <w:t>LPE</w:t>
      </w:r>
      <w:r w:rsidRPr="00C779D1">
        <w:rPr>
          <w:lang w:val="fr-CA"/>
        </w:rPr>
        <w:t xml:space="preserve"> cherche à réaliser son objectif de protection de l’environnement naturel et des personnes qui l’utilisent au moyen d’un ensemble de règlements, d’interdictions et d’obligations de signalement.  Elle prévoit également un large éventail de pouvoirs en matière d’inspection, de mise en application de la loi, de prévention et de réparation.</w:t>
      </w:r>
    </w:p>
    <w:p w:rsidR="00A22250" w:rsidRPr="00C779D1" w:rsidRDefault="00A22250" w:rsidP="00A22250">
      <w:pPr>
        <w:pStyle w:val="SCCNormalDoubleSpacing"/>
        <w:spacing w:after="480"/>
        <w:rPr>
          <w:lang w:val="fr-CA"/>
        </w:rPr>
      </w:pPr>
      <w:r w:rsidRPr="00C779D1">
        <w:rPr>
          <w:lang w:val="fr-CA"/>
        </w:rPr>
        <w:tab/>
        <w:t xml:space="preserve">L’un des moyens par lesquels la </w:t>
      </w:r>
      <w:r w:rsidRPr="00C779D1">
        <w:rPr>
          <w:i/>
          <w:lang w:val="fr-CA"/>
        </w:rPr>
        <w:t>LPE</w:t>
      </w:r>
      <w:r w:rsidRPr="00C779D1">
        <w:rPr>
          <w:lang w:val="fr-CA"/>
        </w:rPr>
        <w:t xml:space="preserve"> tend à l’atteinte de ses objectifs de protection et de prévention réside dans l’interdiction, énoncée au </w:t>
      </w:r>
      <w:r>
        <w:rPr>
          <w:lang w:val="fr-CA"/>
        </w:rPr>
        <w:t>par. </w:t>
      </w:r>
      <w:r w:rsidRPr="00C779D1">
        <w:rPr>
          <w:lang w:val="fr-CA"/>
        </w:rPr>
        <w:t>14(1), de rejeter dans l’environnement naturel un contaminant qui causera vraisemblablement une « conséquence préjudiciable</w:t>
      </w:r>
      <w:r>
        <w:rPr>
          <w:lang w:val="fr-CA"/>
        </w:rPr>
        <w:t> </w:t>
      </w:r>
      <w:r w:rsidRPr="00C779D1">
        <w:rPr>
          <w:lang w:val="fr-CA"/>
        </w:rPr>
        <w:t xml:space="preserve">».  Cet objectif est renforcé par l’obligation connexe, prévue au </w:t>
      </w:r>
      <w:r>
        <w:rPr>
          <w:lang w:val="fr-CA"/>
        </w:rPr>
        <w:t>par. </w:t>
      </w:r>
      <w:r w:rsidRPr="00C779D1">
        <w:rPr>
          <w:lang w:val="fr-CA"/>
        </w:rPr>
        <w:t>15(1), d’aviser le ministère de l’Environnement d’un tel rejet s’il est accompli en dehors du cours normal des événements.</w:t>
      </w:r>
    </w:p>
    <w:p w:rsidR="00A22250" w:rsidRPr="00C779D1" w:rsidRDefault="00A22250" w:rsidP="00A22250">
      <w:pPr>
        <w:pStyle w:val="SCCNormalDoubleSpacing"/>
        <w:spacing w:after="480"/>
        <w:rPr>
          <w:lang w:val="fr-CA"/>
        </w:rPr>
      </w:pPr>
      <w:r w:rsidRPr="00C779D1">
        <w:rPr>
          <w:lang w:val="fr-CA"/>
        </w:rPr>
        <w:tab/>
        <w:t xml:space="preserve">Lors du rejet d’un contaminant, il est possible que l’auteur ne connaisse pas toute l’ampleur des dommages qui sont causés ou qui peuvent vraisemblablement être causés.  L’obligation de signalement prescrite par le </w:t>
      </w:r>
      <w:r>
        <w:rPr>
          <w:lang w:val="fr-CA"/>
        </w:rPr>
        <w:t>par. </w:t>
      </w:r>
      <w:r w:rsidRPr="00C779D1">
        <w:rPr>
          <w:lang w:val="fr-CA"/>
        </w:rPr>
        <w:t xml:space="preserve">15(1) a pour but de faire en sorte que ce soit le ministère, et non l’auteur du rejet, qui décide si des mesures supplémentaires sont requises et, dans l’affirmative, lesquelles.  En outre, de nombreuses nuisances éventuelles peuvent être difficiles à détecter sans l’expertise et les ressources dont dispose le ministère.  En conséquence, la loi confère au ministère, et non à l’auteur du rejet, l’obligation d’enquêter ainsi que le pouvoir de décider des mesures supplémentaires qui sont nécessaires.  La réception de l’avis prescrit donne </w:t>
      </w:r>
      <w:r w:rsidRPr="00C779D1">
        <w:rPr>
          <w:lang w:val="fr-CA"/>
        </w:rPr>
        <w:lastRenderedPageBreak/>
        <w:t>au ministère la possibilité de procéder aussi rapidement que possible à une inspection et d’obtenir des renseignements en vue de prendre toutes les mesures réparatrices nécessaires et de s’acquitter du mandat que lui confie la loi.  Ce processus lui permet également de réagir en temps utile au rejet d’un contaminant dans l’environnement naturel et de participer à la détermination, s’il y a lieu, des mesures préventives ou réparatrices appropriées.</w:t>
      </w:r>
    </w:p>
    <w:p w:rsidR="00A22250" w:rsidRPr="00C779D1" w:rsidRDefault="00A22250" w:rsidP="00A22250">
      <w:pPr>
        <w:pStyle w:val="SCCNormalDoubleSpacing"/>
        <w:spacing w:after="480"/>
        <w:rPr>
          <w:lang w:val="fr-CA"/>
        </w:rPr>
      </w:pPr>
      <w:r w:rsidRPr="00C779D1">
        <w:rPr>
          <w:lang w:val="fr-CA"/>
        </w:rPr>
        <w:t xml:space="preserve"> </w:t>
      </w:r>
      <w:r w:rsidRPr="00C779D1">
        <w:rPr>
          <w:lang w:val="fr-CA"/>
        </w:rPr>
        <w:tab/>
        <w:t xml:space="preserve">La définition du terme « conséquence préjudiciable » est énoncée au </w:t>
      </w:r>
      <w:r>
        <w:rPr>
          <w:lang w:val="fr-CA"/>
        </w:rPr>
        <w:t>par. </w:t>
      </w:r>
      <w:r w:rsidRPr="00C779D1">
        <w:rPr>
          <w:lang w:val="fr-CA"/>
        </w:rPr>
        <w:t xml:space="preserve">1(1) de la </w:t>
      </w:r>
      <w:r w:rsidRPr="00C779D1">
        <w:rPr>
          <w:i/>
          <w:lang w:val="fr-CA"/>
        </w:rPr>
        <w:t xml:space="preserve">LPE </w:t>
      </w:r>
      <w:r w:rsidRPr="00C779D1">
        <w:rPr>
          <w:lang w:val="fr-CA"/>
        </w:rPr>
        <w:t>et comporte huit éléments.  Ceux</w:t>
      </w:r>
      <w:r>
        <w:rPr>
          <w:lang w:val="fr-CA"/>
        </w:rPr>
        <w:noBreakHyphen/>
      </w:r>
      <w:r w:rsidRPr="00C779D1">
        <w:rPr>
          <w:lang w:val="fr-CA"/>
        </w:rPr>
        <w:t>ci montrent que la loi reconnaît que la protection de l’environnement naturel exige, entre autres stratégies, de maximiser l’éventail des circonstances dans lesquelles le ministère de l’Environnement peut enquêter sur les nuisances environnementales et y remédier.  Chacune des huit formes de la notion de « conséquence préjudiciable » constitue une source autonome de responsabilité.</w:t>
      </w:r>
    </w:p>
    <w:p w:rsidR="00A22250" w:rsidRPr="00C779D1" w:rsidRDefault="00A22250" w:rsidP="00A22250">
      <w:pPr>
        <w:pStyle w:val="SCCNormalDoubleSpacing"/>
        <w:spacing w:after="480"/>
        <w:rPr>
          <w:lang w:val="fr-CA"/>
        </w:rPr>
      </w:pPr>
      <w:r w:rsidRPr="00C779D1">
        <w:rPr>
          <w:lang w:val="fr-CA"/>
        </w:rPr>
        <w:tab/>
        <w:t xml:space="preserve">Le </w:t>
      </w:r>
      <w:r>
        <w:rPr>
          <w:lang w:val="fr-CA"/>
        </w:rPr>
        <w:t>par</w:t>
      </w:r>
      <w:r w:rsidR="0010759E">
        <w:rPr>
          <w:lang w:val="fr-CA"/>
        </w:rPr>
        <w:t>agraphe</w:t>
      </w:r>
      <w:r>
        <w:rPr>
          <w:lang w:val="fr-CA"/>
        </w:rPr>
        <w:t> </w:t>
      </w:r>
      <w:r w:rsidRPr="00C779D1">
        <w:rPr>
          <w:lang w:val="fr-CA"/>
        </w:rPr>
        <w:t xml:space="preserve">15(1) entrait manifestement en jeu dans les circonstances de la présente espèce et C était tenue de signaler sans délai au ministère de l’Environnement le rejet des éclats de roc.  C « a rejeté » dans « l’environnement naturel » des éclats de roc et il ne fait aucun doute que ces éclats de roc sont visés par la définition de « contaminant ».  Le rejet a été accompli « en dehors du cours normal des événements » et a causé une « conséquence préjudiciable » au sens de la définition de ce terme énoncée au </w:t>
      </w:r>
      <w:r>
        <w:rPr>
          <w:lang w:val="fr-CA"/>
        </w:rPr>
        <w:t>par. </w:t>
      </w:r>
      <w:r w:rsidRPr="00C779D1">
        <w:rPr>
          <w:lang w:val="fr-CA"/>
        </w:rPr>
        <w:t>1(1), c’est</w:t>
      </w:r>
      <w:r>
        <w:rPr>
          <w:lang w:val="fr-CA"/>
        </w:rPr>
        <w:noBreakHyphen/>
      </w:r>
      <w:r w:rsidRPr="00C779D1">
        <w:rPr>
          <w:lang w:val="fr-CA"/>
        </w:rPr>
        <w:t>à</w:t>
      </w:r>
      <w:r>
        <w:rPr>
          <w:lang w:val="fr-CA"/>
        </w:rPr>
        <w:noBreakHyphen/>
      </w:r>
      <w:r w:rsidRPr="00C779D1">
        <w:rPr>
          <w:lang w:val="fr-CA"/>
        </w:rPr>
        <w:t xml:space="preserve">dire qu’il a causé un tort ou des dommages à des biens et la perte de jouissance de l’usage normal de ces biens.  Les </w:t>
      </w:r>
      <w:r w:rsidRPr="00C779D1">
        <w:rPr>
          <w:lang w:val="fr-CA"/>
        </w:rPr>
        <w:lastRenderedPageBreak/>
        <w:t xml:space="preserve">conséquences préjudiciables n’étaient pas négligeables. La force de l’explosion et les éclats de roc qu’elle a produits étaient si puissants que d’importants dommages aux biens ont été causés, les éclats ayant en effet traversé le toit d’une résidence et fini leur course dans la cuisine.  En outre, un véhicule a été gravement endommagé.  Les éclats de roc auraient pu facilement blesser sérieusement une personne ou la tuer.  En conséquence, en application du </w:t>
      </w:r>
      <w:r>
        <w:rPr>
          <w:lang w:val="fr-CA"/>
        </w:rPr>
        <w:t>par. </w:t>
      </w:r>
      <w:r w:rsidRPr="00C779D1">
        <w:rPr>
          <w:lang w:val="fr-CA"/>
        </w:rPr>
        <w:t xml:space="preserve">15(1) de la </w:t>
      </w:r>
      <w:r w:rsidRPr="00C779D1">
        <w:rPr>
          <w:i/>
          <w:lang w:val="fr-CA"/>
        </w:rPr>
        <w:t>LPE</w:t>
      </w:r>
      <w:r w:rsidRPr="00C779D1">
        <w:rPr>
          <w:lang w:val="fr-CA"/>
        </w:rPr>
        <w:t>, C était tenue de signaler le rejet des éclats de roc sans délai au ministère de l’Environnement.</w:t>
      </w:r>
    </w:p>
    <w:p w:rsidR="00A22250" w:rsidRPr="00C779D1" w:rsidRDefault="00A22250" w:rsidP="00A22250">
      <w:pPr>
        <w:pStyle w:val="SCCNormalDoubleSpacing"/>
        <w:keepNext/>
        <w:keepLines/>
        <w:spacing w:after="720" w:line="240" w:lineRule="auto"/>
        <w:rPr>
          <w:b/>
          <w:lang w:val="fr-CA"/>
        </w:rPr>
      </w:pPr>
      <w:r w:rsidRPr="00C779D1">
        <w:rPr>
          <w:b/>
          <w:lang w:val="fr-CA"/>
        </w:rPr>
        <w:t>Jurisprudence</w:t>
      </w:r>
    </w:p>
    <w:p w:rsidR="00A22250" w:rsidRPr="00C779D1" w:rsidRDefault="00A22250" w:rsidP="00A22250">
      <w:pPr>
        <w:pStyle w:val="SCCNormalDoubleSpacing"/>
        <w:spacing w:after="480"/>
        <w:rPr>
          <w:lang w:val="fr-CA"/>
        </w:rPr>
      </w:pPr>
      <w:r w:rsidRPr="00C779D1">
        <w:rPr>
          <w:lang w:val="fr-CA"/>
        </w:rPr>
        <w:tab/>
      </w:r>
      <w:r w:rsidRPr="00C779D1">
        <w:rPr>
          <w:b/>
          <w:lang w:val="fr-CA"/>
        </w:rPr>
        <w:t>Arrêts mentionnés</w:t>
      </w:r>
      <w:r>
        <w:rPr>
          <w:b/>
          <w:lang w:val="fr-CA"/>
        </w:rPr>
        <w:t> :</w:t>
      </w:r>
      <w:r w:rsidRPr="00C779D1">
        <w:rPr>
          <w:lang w:val="fr-CA"/>
        </w:rPr>
        <w:t xml:space="preserve"> </w:t>
      </w:r>
      <w:r w:rsidRPr="00C779D1">
        <w:rPr>
          <w:i/>
          <w:lang w:val="fr-CA"/>
        </w:rPr>
        <w:t>Ontario c. Canadien Pacifique Ltée</w:t>
      </w:r>
      <w:r w:rsidRPr="00C779D1">
        <w:rPr>
          <w:lang w:val="fr-CA"/>
        </w:rPr>
        <w:t xml:space="preserve">, [1995] 2 R.C.S. 1031; </w:t>
      </w:r>
      <w:r w:rsidRPr="00C779D1">
        <w:rPr>
          <w:i/>
          <w:lang w:val="fr-CA"/>
        </w:rPr>
        <w:t>R. c. Dow Chemical Canada Inc.</w:t>
      </w:r>
      <w:r w:rsidRPr="00C779D1">
        <w:rPr>
          <w:lang w:val="fr-CA"/>
        </w:rPr>
        <w:t xml:space="preserve"> (2000), 47 O.R. (3d) 577; </w:t>
      </w:r>
      <w:r w:rsidRPr="00C779D1">
        <w:rPr>
          <w:i/>
          <w:lang w:val="fr-CA"/>
        </w:rPr>
        <w:t>114957</w:t>
      </w:r>
      <w:r w:rsidRPr="00C779D1">
        <w:rPr>
          <w:lang w:val="fr-CA"/>
        </w:rPr>
        <w:t xml:space="preserve"> </w:t>
      </w:r>
      <w:r w:rsidRPr="00C779D1">
        <w:rPr>
          <w:i/>
          <w:lang w:val="fr-CA"/>
        </w:rPr>
        <w:t>Canada Ltée (Spraytech, Société d’arrosage) c. Hudson (Ville)</w:t>
      </w:r>
      <w:r w:rsidRPr="00C779D1">
        <w:rPr>
          <w:lang w:val="fr-CA"/>
        </w:rPr>
        <w:t xml:space="preserve">, </w:t>
      </w:r>
      <w:bookmarkStart w:id="0" w:name="reflex-caselaw-87183227"/>
      <w:bookmarkEnd w:id="0"/>
      <w:r w:rsidRPr="00C779D1">
        <w:rPr>
          <w:lang w:val="fr-CA"/>
        </w:rPr>
        <w:t>2001 CSC 40, [2001] 2 R.C.S. 241.</w:t>
      </w:r>
    </w:p>
    <w:p w:rsidR="00A22250" w:rsidRPr="00C779D1" w:rsidRDefault="00A22250" w:rsidP="00A22250">
      <w:pPr>
        <w:pStyle w:val="SCCNormalDoubleSpacing"/>
        <w:keepNext/>
        <w:keepLines/>
        <w:spacing w:after="720" w:line="240" w:lineRule="auto"/>
        <w:rPr>
          <w:b/>
          <w:lang w:val="fr-CA"/>
        </w:rPr>
      </w:pPr>
      <w:r w:rsidRPr="00C779D1">
        <w:rPr>
          <w:b/>
          <w:lang w:val="fr-CA"/>
        </w:rPr>
        <w:t>Lois et règlements cités</w:t>
      </w:r>
    </w:p>
    <w:p w:rsidR="00A22250" w:rsidRPr="00C779D1" w:rsidRDefault="00A22250" w:rsidP="00A22250">
      <w:pPr>
        <w:pStyle w:val="SCCNormalDoubleSpacing"/>
        <w:spacing w:after="240" w:line="240" w:lineRule="auto"/>
        <w:ind w:left="547" w:hanging="547"/>
        <w:rPr>
          <w:lang w:val="fr-CA"/>
        </w:rPr>
      </w:pPr>
      <w:r w:rsidRPr="00C779D1">
        <w:rPr>
          <w:i/>
          <w:lang w:val="fr-CA"/>
        </w:rPr>
        <w:t>Loi de 2006 sur la législation</w:t>
      </w:r>
      <w:r w:rsidRPr="00C779D1">
        <w:rPr>
          <w:lang w:val="fr-CA"/>
        </w:rPr>
        <w:t>,</w:t>
      </w:r>
      <w:r w:rsidRPr="00C779D1">
        <w:rPr>
          <w:i/>
          <w:lang w:val="fr-CA"/>
        </w:rPr>
        <w:t xml:space="preserve"> </w:t>
      </w:r>
      <w:r w:rsidRPr="00C779D1">
        <w:rPr>
          <w:lang w:val="fr-CA"/>
        </w:rPr>
        <w:t xml:space="preserve">L.O. 2006, </w:t>
      </w:r>
      <w:r>
        <w:rPr>
          <w:lang w:val="fr-CA"/>
        </w:rPr>
        <w:t>ch. </w:t>
      </w:r>
      <w:r w:rsidRPr="00C779D1">
        <w:rPr>
          <w:lang w:val="fr-CA"/>
        </w:rPr>
        <w:t xml:space="preserve">21, ann. F, </w:t>
      </w:r>
      <w:r>
        <w:rPr>
          <w:lang w:val="fr-CA"/>
        </w:rPr>
        <w:t>art. </w:t>
      </w:r>
      <w:r w:rsidRPr="00C779D1">
        <w:rPr>
          <w:lang w:val="fr-CA"/>
        </w:rPr>
        <w:t>64.</w:t>
      </w:r>
    </w:p>
    <w:p w:rsidR="00A22250" w:rsidRPr="00C779D1" w:rsidRDefault="00A22250" w:rsidP="00A22250">
      <w:pPr>
        <w:pStyle w:val="SCCNormalDoubleSpacing"/>
        <w:spacing w:after="240" w:line="240" w:lineRule="auto"/>
        <w:ind w:left="547" w:hanging="547"/>
        <w:rPr>
          <w:lang w:val="fr-CA"/>
        </w:rPr>
      </w:pPr>
      <w:r w:rsidRPr="00C779D1">
        <w:rPr>
          <w:i/>
          <w:lang w:val="fr-CA"/>
        </w:rPr>
        <w:t>Loi sur la protection de l’environnement</w:t>
      </w:r>
      <w:r w:rsidRPr="00C779D1">
        <w:rPr>
          <w:lang w:val="fr-CA"/>
        </w:rPr>
        <w:t xml:space="preserve">, L.R.O. 1980, </w:t>
      </w:r>
      <w:r>
        <w:rPr>
          <w:lang w:val="fr-CA"/>
        </w:rPr>
        <w:t>ch. </w:t>
      </w:r>
      <w:r w:rsidRPr="00C779D1">
        <w:rPr>
          <w:lang w:val="fr-CA"/>
        </w:rPr>
        <w:t xml:space="preserve">141, </w:t>
      </w:r>
      <w:r>
        <w:rPr>
          <w:lang w:val="fr-CA"/>
        </w:rPr>
        <w:t>art. </w:t>
      </w:r>
      <w:r w:rsidRPr="00C779D1">
        <w:rPr>
          <w:lang w:val="fr-CA"/>
        </w:rPr>
        <w:t>13(1).</w:t>
      </w:r>
    </w:p>
    <w:p w:rsidR="00A22250" w:rsidRPr="00C779D1" w:rsidRDefault="00A22250" w:rsidP="00A22250">
      <w:pPr>
        <w:pStyle w:val="SCCNormalDoubleSpacing"/>
        <w:spacing w:after="240" w:line="240" w:lineRule="auto"/>
        <w:ind w:left="547" w:hanging="547"/>
        <w:rPr>
          <w:lang w:val="fr-CA"/>
        </w:rPr>
      </w:pPr>
      <w:r w:rsidRPr="00C779D1">
        <w:rPr>
          <w:i/>
          <w:lang w:val="fr-CA"/>
        </w:rPr>
        <w:t>Loi sur la protection de l’environnement</w:t>
      </w:r>
      <w:r w:rsidRPr="00C779D1">
        <w:rPr>
          <w:lang w:val="fr-CA"/>
        </w:rPr>
        <w:t xml:space="preserve">, L.R.O. 1990, </w:t>
      </w:r>
      <w:r>
        <w:rPr>
          <w:lang w:val="fr-CA"/>
        </w:rPr>
        <w:t>ch. </w:t>
      </w:r>
      <w:r w:rsidRPr="00C779D1">
        <w:rPr>
          <w:lang w:val="fr-CA"/>
        </w:rPr>
        <w:t>E</w:t>
      </w:r>
      <w:r w:rsidR="0010759E">
        <w:rPr>
          <w:lang w:val="fr-CA"/>
        </w:rPr>
        <w:t>.</w:t>
      </w:r>
      <w:r w:rsidRPr="00C779D1">
        <w:rPr>
          <w:lang w:val="fr-CA"/>
        </w:rPr>
        <w:t xml:space="preserve">19, </w:t>
      </w:r>
      <w:r>
        <w:rPr>
          <w:lang w:val="fr-CA"/>
        </w:rPr>
        <w:t>art. </w:t>
      </w:r>
      <w:r w:rsidRPr="00C779D1">
        <w:rPr>
          <w:lang w:val="fr-CA"/>
        </w:rPr>
        <w:t>1(1) « conséquence préjudiciable », « contaminant », « environnement naturel », « rejet », « rejeter », 3, 6, 7, 8, 14, 15(1), 17, 18, 91.1, 92, 93, 94, 97, 132, 156, 157, 157.1</w:t>
      </w:r>
      <w:r w:rsidR="0010759E">
        <w:rPr>
          <w:lang w:val="fr-CA"/>
        </w:rPr>
        <w:t>, 188.1</w:t>
      </w:r>
      <w:r w:rsidRPr="00C779D1">
        <w:rPr>
          <w:lang w:val="fr-CA"/>
        </w:rPr>
        <w:t>.</w:t>
      </w:r>
    </w:p>
    <w:p w:rsidR="00A22250" w:rsidRPr="00C779D1" w:rsidRDefault="00A22250" w:rsidP="00A22250">
      <w:pPr>
        <w:pStyle w:val="SCCNormalDoubleSpacing"/>
        <w:spacing w:after="720" w:line="240" w:lineRule="auto"/>
        <w:ind w:left="547" w:hanging="547"/>
        <w:rPr>
          <w:lang w:val="fr-CA"/>
        </w:rPr>
      </w:pPr>
      <w:r w:rsidRPr="00C779D1">
        <w:rPr>
          <w:i/>
          <w:iCs/>
          <w:lang w:val="fr-CA"/>
        </w:rPr>
        <w:t>Loi sur la santé et la sécurité au travail</w:t>
      </w:r>
      <w:r w:rsidRPr="00C779D1">
        <w:rPr>
          <w:lang w:val="fr-CA"/>
        </w:rPr>
        <w:t xml:space="preserve">, L.R.O. 1990, </w:t>
      </w:r>
      <w:r>
        <w:rPr>
          <w:lang w:val="fr-CA"/>
        </w:rPr>
        <w:t>ch. </w:t>
      </w:r>
      <w:r w:rsidRPr="00C779D1">
        <w:rPr>
          <w:lang w:val="fr-CA"/>
        </w:rPr>
        <w:t xml:space="preserve">O.1, </w:t>
      </w:r>
      <w:r>
        <w:rPr>
          <w:lang w:val="fr-CA"/>
        </w:rPr>
        <w:t>art. </w:t>
      </w:r>
      <w:r w:rsidRPr="00C779D1">
        <w:rPr>
          <w:lang w:val="fr-CA"/>
        </w:rPr>
        <w:t>53.</w:t>
      </w:r>
    </w:p>
    <w:p w:rsidR="00A22250" w:rsidRPr="00C779D1" w:rsidRDefault="00A22250" w:rsidP="00A22250">
      <w:pPr>
        <w:pStyle w:val="SCCNormalDoubleSpacing"/>
        <w:keepNext/>
        <w:keepLines/>
        <w:spacing w:after="720" w:line="240" w:lineRule="auto"/>
        <w:rPr>
          <w:b/>
          <w:lang w:val="fr-CA"/>
        </w:rPr>
      </w:pPr>
      <w:r w:rsidRPr="00C779D1">
        <w:rPr>
          <w:b/>
          <w:lang w:val="fr-CA"/>
        </w:rPr>
        <w:lastRenderedPageBreak/>
        <w:t>Doctrine et autres documents cités</w:t>
      </w:r>
    </w:p>
    <w:p w:rsidR="00A22250" w:rsidRPr="00C779D1" w:rsidRDefault="00A22250" w:rsidP="00A22250">
      <w:pPr>
        <w:pStyle w:val="SCCNormalDoubleSpacing"/>
        <w:spacing w:after="720" w:line="240" w:lineRule="auto"/>
        <w:ind w:left="547" w:hanging="547"/>
        <w:rPr>
          <w:lang w:val="fr-CA"/>
        </w:rPr>
      </w:pPr>
      <w:r w:rsidRPr="00C779D1">
        <w:rPr>
          <w:lang w:val="en-US"/>
        </w:rPr>
        <w:t xml:space="preserve">McIntyre, Owen, and Thomas Mosedale.  </w:t>
      </w:r>
      <w:r w:rsidRPr="00C779D1">
        <w:t xml:space="preserve">« The Precautionary Principle as a Norm of Customary International Law » (1997), 9 </w:t>
      </w:r>
      <w:r w:rsidRPr="00C779D1">
        <w:rPr>
          <w:i/>
        </w:rPr>
        <w:t xml:space="preserve">J. Envtl. </w:t>
      </w:r>
      <w:r w:rsidRPr="00C779D1">
        <w:rPr>
          <w:i/>
          <w:lang w:val="fr-CA"/>
        </w:rPr>
        <w:t>L.</w:t>
      </w:r>
      <w:r w:rsidRPr="00C779D1">
        <w:rPr>
          <w:lang w:val="fr-CA"/>
        </w:rPr>
        <w:t xml:space="preserve"> 221.</w:t>
      </w:r>
    </w:p>
    <w:p w:rsidR="00A22250" w:rsidRPr="00C779D1" w:rsidRDefault="00A22250" w:rsidP="00A22250">
      <w:pPr>
        <w:pStyle w:val="SCCNormalDoubleSpacing"/>
        <w:spacing w:after="480"/>
        <w:rPr>
          <w:lang w:val="fr-CA"/>
        </w:rPr>
      </w:pPr>
      <w:r w:rsidRPr="00C779D1">
        <w:rPr>
          <w:lang w:val="fr-CA"/>
        </w:rPr>
        <w:tab/>
        <w:t xml:space="preserve">POURVOI contre un arrêt de la Cour d’appel de l’Ontario (les juges MacPherson, Simmons et Blair), 2012 ONCA 165, 109 O.R. (3d) 401, 289 O.A.C. 146, 65 C.E.L.R. (3d) 1, 10 C.L.R. (4th) 165, [2012] O.J. </w:t>
      </w:r>
      <w:r>
        <w:rPr>
          <w:lang w:val="fr-CA"/>
        </w:rPr>
        <w:t>No. </w:t>
      </w:r>
      <w:r w:rsidRPr="00C779D1">
        <w:rPr>
          <w:lang w:val="fr-CA"/>
        </w:rPr>
        <w:t xml:space="preserve">1161 (QL), 2012 CarswellOnt 2199, qui a confirmé une décision du juge Ray, 2011 ONSC 767, 57 C.E.L.R. (3d) 142, 226 C.R.R. (2d) 180, [2011] O.J. </w:t>
      </w:r>
      <w:r>
        <w:rPr>
          <w:lang w:val="fr-CA"/>
        </w:rPr>
        <w:t>No. </w:t>
      </w:r>
      <w:r w:rsidRPr="00C779D1">
        <w:rPr>
          <w:lang w:val="fr-CA"/>
        </w:rPr>
        <w:t xml:space="preserve">364 (QL), 2011 CarswellOnt 467, qui avait annulé une décision du juge Hunter, 53 C.E.L.R. (3d) 140, [2010] O.J. </w:t>
      </w:r>
      <w:r>
        <w:rPr>
          <w:lang w:val="fr-CA"/>
        </w:rPr>
        <w:t>No. </w:t>
      </w:r>
      <w:r w:rsidRPr="00C779D1">
        <w:rPr>
          <w:lang w:val="fr-CA"/>
        </w:rPr>
        <w:t>5713 (QL), 2010 CarswellOnt 6245.  Pourvoi rejeté.</w:t>
      </w:r>
    </w:p>
    <w:p w:rsidR="00A22250" w:rsidRPr="00C779D1" w:rsidRDefault="00A22250" w:rsidP="00A22250">
      <w:pPr>
        <w:pStyle w:val="SCCNormalDoubleSpacing"/>
        <w:spacing w:after="480"/>
        <w:rPr>
          <w:lang w:val="fr-CA"/>
        </w:rPr>
      </w:pPr>
      <w:r w:rsidRPr="00C779D1">
        <w:rPr>
          <w:i/>
          <w:lang w:val="fr-CA"/>
        </w:rPr>
        <w:tab/>
        <w:t>J. Bruce McMeekin</w:t>
      </w:r>
      <w:r w:rsidRPr="00C779D1">
        <w:rPr>
          <w:lang w:val="fr-CA"/>
        </w:rPr>
        <w:t xml:space="preserve">, </w:t>
      </w:r>
      <w:r w:rsidRPr="00C779D1">
        <w:rPr>
          <w:i/>
          <w:lang w:val="fr-CA"/>
        </w:rPr>
        <w:t>Andrea Farkouh</w:t>
      </w:r>
      <w:r w:rsidRPr="002D0DEC">
        <w:rPr>
          <w:lang w:val="fr-CA"/>
        </w:rPr>
        <w:t xml:space="preserve"> et</w:t>
      </w:r>
      <w:r w:rsidRPr="00C779D1">
        <w:rPr>
          <w:i/>
          <w:lang w:val="fr-CA"/>
        </w:rPr>
        <w:t xml:space="preserve"> Marie</w:t>
      </w:r>
      <w:r>
        <w:rPr>
          <w:i/>
          <w:lang w:val="fr-CA"/>
        </w:rPr>
        <w:noBreakHyphen/>
      </w:r>
      <w:r w:rsidRPr="00C779D1">
        <w:rPr>
          <w:i/>
          <w:lang w:val="fr-CA"/>
        </w:rPr>
        <w:t>France Major</w:t>
      </w:r>
      <w:r w:rsidRPr="00C779D1">
        <w:rPr>
          <w:lang w:val="fr-CA"/>
        </w:rPr>
        <w:t>, pour l’appelante.</w:t>
      </w:r>
    </w:p>
    <w:p w:rsidR="00A22250" w:rsidRPr="00C779D1" w:rsidRDefault="00A22250" w:rsidP="00A22250">
      <w:pPr>
        <w:pStyle w:val="SCCNormalDoubleSpacing"/>
        <w:spacing w:after="480"/>
        <w:rPr>
          <w:lang w:val="fr-CA"/>
        </w:rPr>
      </w:pPr>
      <w:r w:rsidRPr="00C779D1">
        <w:rPr>
          <w:i/>
          <w:lang w:val="fr-CA"/>
        </w:rPr>
        <w:tab/>
        <w:t>Sara Blake</w:t>
      </w:r>
      <w:r w:rsidRPr="00C779D1">
        <w:rPr>
          <w:lang w:val="fr-CA"/>
        </w:rPr>
        <w:t xml:space="preserve">, </w:t>
      </w:r>
      <w:r w:rsidRPr="00C779D1">
        <w:rPr>
          <w:i/>
          <w:lang w:val="fr-CA"/>
        </w:rPr>
        <w:t>Paul McCulloch</w:t>
      </w:r>
      <w:r w:rsidRPr="00C779D1">
        <w:rPr>
          <w:lang w:val="fr-CA"/>
        </w:rPr>
        <w:t xml:space="preserve"> et </w:t>
      </w:r>
      <w:r w:rsidRPr="00C779D1">
        <w:rPr>
          <w:i/>
          <w:lang w:val="fr-CA"/>
        </w:rPr>
        <w:t>Danielle Meuleman</w:t>
      </w:r>
      <w:r w:rsidRPr="00C779D1">
        <w:rPr>
          <w:lang w:val="fr-CA"/>
        </w:rPr>
        <w:t>, pour l’intimée.</w:t>
      </w:r>
    </w:p>
    <w:p w:rsidR="00A22250" w:rsidRDefault="00A22250" w:rsidP="00A22250">
      <w:pPr>
        <w:pStyle w:val="SCCNormalDoubleSpacing"/>
        <w:spacing w:after="480"/>
        <w:rPr>
          <w:lang w:val="fr-CA"/>
        </w:rPr>
      </w:pPr>
      <w:r w:rsidRPr="00C779D1">
        <w:rPr>
          <w:i/>
          <w:lang w:val="fr-CA"/>
        </w:rPr>
        <w:tab/>
        <w:t>Joseph F. Castrilli</w:t>
      </w:r>
      <w:r w:rsidRPr="00C779D1">
        <w:rPr>
          <w:lang w:val="fr-CA"/>
        </w:rPr>
        <w:t xml:space="preserve"> et </w:t>
      </w:r>
      <w:r w:rsidRPr="00C779D1">
        <w:rPr>
          <w:i/>
          <w:lang w:val="fr-CA"/>
        </w:rPr>
        <w:t>Ramani Nadarajah</w:t>
      </w:r>
      <w:r w:rsidRPr="00C779D1">
        <w:rPr>
          <w:lang w:val="fr-CA"/>
        </w:rPr>
        <w:t>, pour les intervenantes.</w:t>
      </w:r>
    </w:p>
    <w:p w:rsidR="00A22250" w:rsidRPr="002D0DEC" w:rsidRDefault="00A22250" w:rsidP="00A22250">
      <w:pPr>
        <w:pStyle w:val="JudgeJuge"/>
        <w:spacing w:before="480"/>
        <w:rPr>
          <w:smallCaps w:val="0"/>
          <w:lang w:val="fr-CA"/>
        </w:rPr>
      </w:pPr>
      <w:r w:rsidRPr="00731D63">
        <w:rPr>
          <w:lang w:val="fr-CA"/>
        </w:rPr>
        <w:tab/>
      </w:r>
      <w:r w:rsidR="002D0DEC" w:rsidRPr="002D0DEC">
        <w:rPr>
          <w:smallCaps w:val="0"/>
          <w:lang w:val="fr-CA"/>
        </w:rPr>
        <w:t>Version française du jugement de la Cour rendu par</w:t>
      </w:r>
    </w:p>
    <w:p w:rsidR="00A22250" w:rsidRPr="00731D63" w:rsidRDefault="002D0DEC" w:rsidP="00B026BA">
      <w:pPr>
        <w:pStyle w:val="ParaNoNdepar-AltN"/>
        <w:ind w:left="0"/>
        <w:rPr>
          <w:rFonts w:cs="Times New Roman"/>
          <w:lang w:val="fr-CA"/>
        </w:rPr>
      </w:pPr>
      <w:r w:rsidRPr="002D0DEC">
        <w:rPr>
          <w:smallCaps/>
          <w:szCs w:val="24"/>
          <w:lang w:val="fr-CA"/>
        </w:rPr>
        <w:t>La juge</w:t>
      </w:r>
      <w:r w:rsidRPr="002D0DEC">
        <w:rPr>
          <w:smallCaps/>
          <w:lang w:val="fr-CA"/>
        </w:rPr>
        <w:t xml:space="preserve"> Abella</w:t>
      </w:r>
      <w:r w:rsidRPr="002D0DEC">
        <w:rPr>
          <w:lang w:val="fr-CA"/>
        </w:rPr>
        <w:t xml:space="preserve"> — </w:t>
      </w:r>
      <w:r w:rsidR="00A22250" w:rsidRPr="00731D63">
        <w:rPr>
          <w:rFonts w:cs="Times New Roman"/>
          <w:lang w:val="fr-CA"/>
        </w:rPr>
        <w:t xml:space="preserve">La </w:t>
      </w:r>
      <w:r w:rsidR="00A22250" w:rsidRPr="00731D63">
        <w:rPr>
          <w:rFonts w:cs="Times New Roman"/>
          <w:i/>
          <w:lang w:val="fr-CA"/>
        </w:rPr>
        <w:t xml:space="preserve">Loi sur la protection de l’environnement </w:t>
      </w:r>
      <w:r w:rsidR="00A22250" w:rsidRPr="00731D63">
        <w:rPr>
          <w:rFonts w:cs="Times New Roman"/>
          <w:lang w:val="fr-CA"/>
        </w:rPr>
        <w:t>de l’Ontario, L.R.O. 1990, ch. E</w:t>
      </w:r>
      <w:r>
        <w:rPr>
          <w:rFonts w:cs="Times New Roman"/>
          <w:lang w:val="fr-CA"/>
        </w:rPr>
        <w:t>.</w:t>
      </w:r>
      <w:r w:rsidR="00A22250" w:rsidRPr="00731D63">
        <w:rPr>
          <w:rFonts w:cs="Times New Roman"/>
          <w:lang w:val="fr-CA"/>
        </w:rPr>
        <w:t>19 (« </w:t>
      </w:r>
      <w:r w:rsidR="00A22250" w:rsidRPr="00731D63">
        <w:rPr>
          <w:rFonts w:cs="Times New Roman"/>
          <w:i/>
          <w:lang w:val="fr-CA"/>
        </w:rPr>
        <w:t>LPE </w:t>
      </w:r>
      <w:r w:rsidR="00A22250" w:rsidRPr="00731D63">
        <w:rPr>
          <w:rFonts w:cs="Times New Roman"/>
          <w:lang w:val="fr-CA"/>
        </w:rPr>
        <w:t>»)</w:t>
      </w:r>
      <w:r w:rsidR="007C2B43">
        <w:rPr>
          <w:rFonts w:cs="Times New Roman"/>
          <w:lang w:val="fr-CA"/>
        </w:rPr>
        <w:t>,</w:t>
      </w:r>
      <w:r w:rsidR="00A22250" w:rsidRPr="00731D63">
        <w:rPr>
          <w:rFonts w:cs="Times New Roman"/>
          <w:lang w:val="fr-CA"/>
        </w:rPr>
        <w:t xml:space="preserve"> exige que le ministère de l’Environnement soit avisé sans délai de tout rejet d’un contaminant dans </w:t>
      </w:r>
      <w:r w:rsidR="00A22250" w:rsidRPr="00731D63">
        <w:rPr>
          <w:rFonts w:cs="Times New Roman"/>
          <w:lang w:val="fr-CA"/>
        </w:rPr>
        <w:lastRenderedPageBreak/>
        <w:t xml:space="preserve">l’environnement.  Cette obligation de signalement est assujettie à deux conditions préalables — il doit s’agir d’un rejet accompli en dehors du cours normal des événements, et qui cause — ou causera vraisemblablement — une conséquence préjudiciable sur l’environnement.  L’obligation en question a pour but d’informer le ministère des dommages possibles à l’environnement, afin que puissent </w:t>
      </w:r>
      <w:r w:rsidR="00A22250" w:rsidRPr="00B026BA">
        <w:rPr>
          <w:lang w:val="fr-CA"/>
        </w:rPr>
        <w:t>être</w:t>
      </w:r>
      <w:r w:rsidR="00A22250" w:rsidRPr="00731D63">
        <w:rPr>
          <w:rFonts w:cs="Times New Roman"/>
          <w:lang w:val="fr-CA"/>
        </w:rPr>
        <w:t xml:space="preserve"> prises en temps utile les mesures correctives qui s’imposent. </w:t>
      </w:r>
    </w:p>
    <w:p w:rsidR="00A22250" w:rsidRPr="00731D63" w:rsidRDefault="00A22250" w:rsidP="00B026BA">
      <w:pPr>
        <w:pStyle w:val="ParaNoNdepar-AltN"/>
        <w:ind w:left="0"/>
        <w:rPr>
          <w:rFonts w:cs="Times New Roman"/>
          <w:lang w:val="fr-CA"/>
        </w:rPr>
      </w:pPr>
      <w:r w:rsidRPr="00731D63">
        <w:rPr>
          <w:rFonts w:cs="Times New Roman"/>
          <w:lang w:val="fr-CA"/>
        </w:rPr>
        <w:t xml:space="preserve">L’exercice d’interprétation que requiert le présent pourvoi consiste à déterminer à quel moment entre en jeu l’obligation de donner l’avis en question.  Selon moi, tant le texte de la </w:t>
      </w:r>
      <w:r w:rsidRPr="00731D63">
        <w:rPr>
          <w:rFonts w:cs="Times New Roman"/>
          <w:i/>
          <w:lang w:val="fr-CA"/>
        </w:rPr>
        <w:t>LPE</w:t>
      </w:r>
      <w:r w:rsidRPr="00731D63">
        <w:rPr>
          <w:rFonts w:cs="Times New Roman"/>
          <w:lang w:val="fr-CA"/>
        </w:rPr>
        <w:t xml:space="preserve"> que son objet sont clairs : le ministère de l’Environnement doit être avisé </w:t>
      </w:r>
      <w:r>
        <w:rPr>
          <w:rFonts w:cs="Times New Roman"/>
          <w:lang w:val="fr-CA"/>
        </w:rPr>
        <w:t>lorsqu’un</w:t>
      </w:r>
      <w:r w:rsidRPr="00731D63">
        <w:rPr>
          <w:rFonts w:cs="Times New Roman"/>
          <w:lang w:val="fr-CA"/>
        </w:rPr>
        <w:t xml:space="preserve"> contaminant</w:t>
      </w:r>
      <w:r>
        <w:rPr>
          <w:rFonts w:cs="Times New Roman"/>
          <w:lang w:val="fr-CA"/>
        </w:rPr>
        <w:t xml:space="preserve"> a été rejeté</w:t>
      </w:r>
      <w:r w:rsidRPr="00731D63">
        <w:rPr>
          <w:rFonts w:cs="Times New Roman"/>
          <w:lang w:val="fr-CA"/>
        </w:rPr>
        <w:t xml:space="preserve"> en dehors du cours normal des événements, sans qu’il soit nécessaire d’attendre la preuve </w:t>
      </w:r>
      <w:r>
        <w:rPr>
          <w:rFonts w:cs="Times New Roman"/>
          <w:lang w:val="fr-CA"/>
        </w:rPr>
        <w:t>que</w:t>
      </w:r>
      <w:r w:rsidRPr="00731D63">
        <w:rPr>
          <w:rFonts w:cs="Times New Roman"/>
          <w:lang w:val="fr-CA"/>
        </w:rPr>
        <w:t xml:space="preserve"> l’environnement naturel</w:t>
      </w:r>
      <w:r>
        <w:rPr>
          <w:rFonts w:cs="Times New Roman"/>
          <w:lang w:val="fr-CA"/>
        </w:rPr>
        <w:t xml:space="preserve"> a bel et bien été dégradé</w:t>
      </w:r>
      <w:r w:rsidRPr="00731D63">
        <w:rPr>
          <w:rFonts w:cs="Times New Roman"/>
          <w:lang w:val="fr-CA"/>
        </w:rPr>
        <w:t xml:space="preserve">.  Autrement dit : quand on doute, on signale. </w:t>
      </w:r>
    </w:p>
    <w:p w:rsidR="00A22250" w:rsidRPr="00731D63" w:rsidRDefault="00A22250" w:rsidP="00A22250">
      <w:pPr>
        <w:pStyle w:val="TitleTitre-AltT"/>
        <w:keepNext/>
        <w:rPr>
          <w:rFonts w:cs="Times New Roman"/>
          <w:u w:val="single"/>
        </w:rPr>
      </w:pPr>
      <w:r w:rsidRPr="00731D63">
        <w:rPr>
          <w:rFonts w:cs="Times New Roman"/>
          <w:u w:val="single"/>
          <w:lang w:val="fr-CA"/>
        </w:rPr>
        <w:t>Contexte</w:t>
      </w:r>
    </w:p>
    <w:p w:rsidR="00A22250" w:rsidRPr="00731D63" w:rsidRDefault="00A22250" w:rsidP="00B026BA">
      <w:pPr>
        <w:pStyle w:val="ParaNoNdepar-AltN"/>
        <w:ind w:left="0"/>
        <w:rPr>
          <w:rFonts w:cs="Times New Roman"/>
          <w:lang w:val="fr-CA"/>
        </w:rPr>
      </w:pPr>
      <w:r w:rsidRPr="00731D63">
        <w:rPr>
          <w:rFonts w:cs="Times New Roman"/>
          <w:lang w:val="fr-CA"/>
        </w:rPr>
        <w:t xml:space="preserve">En 2007, </w:t>
      </w:r>
      <w:r w:rsidRPr="00B026BA">
        <w:rPr>
          <w:lang w:val="fr-CA"/>
        </w:rPr>
        <w:t>Dynamitage</w:t>
      </w:r>
      <w:r w:rsidRPr="00731D63">
        <w:rPr>
          <w:rFonts w:cs="Times New Roman"/>
          <w:lang w:val="fr-CA"/>
        </w:rPr>
        <w:t xml:space="preserve"> Castonguay Ltée a été engagée comme sous</w:t>
      </w:r>
      <w:r w:rsidRPr="00731D63">
        <w:rPr>
          <w:rFonts w:cs="Times New Roman"/>
          <w:lang w:val="fr-CA"/>
        </w:rPr>
        <w:noBreakHyphen/>
        <w:t>traitant pour effectuer des opérations de dynamitage dans le cadre de travaux d’élargissement d’une route commandés par le ministère des Transports de l’Ontario.</w:t>
      </w:r>
    </w:p>
    <w:p w:rsidR="00A22250" w:rsidRPr="00731D63" w:rsidRDefault="00A22250" w:rsidP="00B026BA">
      <w:pPr>
        <w:pStyle w:val="ParaNoNdepar-AltN"/>
        <w:ind w:left="0"/>
        <w:rPr>
          <w:rFonts w:cs="Times New Roman"/>
          <w:lang w:val="fr-CA"/>
        </w:rPr>
      </w:pPr>
      <w:r w:rsidRPr="00731D63">
        <w:rPr>
          <w:rFonts w:cs="Times New Roman"/>
          <w:lang w:val="fr-CA"/>
        </w:rPr>
        <w:t>Le 26 novembre 2007, Castonguay dynamitait un rocher lorsque l’opération a mal tourné et que des « éclats de roc</w:t>
      </w:r>
      <w:r w:rsidRPr="00731D63">
        <w:rPr>
          <w:rFonts w:cs="Times New Roman"/>
          <w:i/>
          <w:lang w:val="fr-CA"/>
        </w:rPr>
        <w:t> </w:t>
      </w:r>
      <w:r w:rsidRPr="00731D63">
        <w:rPr>
          <w:rFonts w:cs="Times New Roman"/>
          <w:lang w:val="fr-CA"/>
        </w:rPr>
        <w:t xml:space="preserve">» ont été projetés dans les airs par la force d’une explosion.  Si le dynamitage avait été effectué comme prévu, la force </w:t>
      </w:r>
      <w:r w:rsidRPr="00731D63">
        <w:rPr>
          <w:rFonts w:cs="Times New Roman"/>
          <w:lang w:val="fr-CA"/>
        </w:rPr>
        <w:lastRenderedPageBreak/>
        <w:t xml:space="preserve">de l’explosion aurait été circonscrite et concentrée vers l’intérieur, ce qui aurait diminué le risque de voir des éclats de roc s’envoler.  Dans le cas qui nous intéresse toutefois, les éclats de roc ont été propulsés dans les airs et, après avoir franchi approximativement 90 mètres, ils ont traversé le toit </w:t>
      </w:r>
      <w:r w:rsidRPr="00B026BA">
        <w:rPr>
          <w:lang w:val="fr-CA"/>
        </w:rPr>
        <w:t>d’une</w:t>
      </w:r>
      <w:r w:rsidRPr="00731D63">
        <w:rPr>
          <w:rFonts w:cs="Times New Roman"/>
          <w:lang w:val="fr-CA"/>
        </w:rPr>
        <w:t xml:space="preserve"> demeure, endommageant le plafond de la cuisine, le revêtement mural extérieur et les gouttières.  Certains éclats ont frappé une auto, fracassant le pare</w:t>
      </w:r>
      <w:r w:rsidRPr="00731D63">
        <w:rPr>
          <w:rFonts w:cs="Times New Roman"/>
          <w:lang w:val="fr-CA"/>
        </w:rPr>
        <w:noBreakHyphen/>
        <w:t>brise et endommageant le capot.  En outre, une quantité importante d’éclats sont tombés dans la cour.</w:t>
      </w:r>
    </w:p>
    <w:p w:rsidR="00A22250" w:rsidRPr="00731D63" w:rsidRDefault="00A22250" w:rsidP="00B026BA">
      <w:pPr>
        <w:pStyle w:val="ParaNoNdepar-AltN"/>
        <w:ind w:left="0"/>
        <w:rPr>
          <w:rFonts w:cs="Times New Roman"/>
          <w:lang w:val="fr-CA"/>
        </w:rPr>
      </w:pPr>
      <w:r w:rsidRPr="00731D63">
        <w:rPr>
          <w:rFonts w:cs="Times New Roman"/>
          <w:lang w:val="fr-CA"/>
        </w:rPr>
        <w:t xml:space="preserve">Castonguay a immédiatement signalé l’incident à l’administrateur du contrat qui, à son tour, en a avisé le ministère des Transports (qui avait commandé les travaux) ainsi que le ministère du Travail provincial, conformément </w:t>
      </w:r>
      <w:r w:rsidRPr="00B026BA">
        <w:rPr>
          <w:lang w:val="fr-CA"/>
        </w:rPr>
        <w:t>aux</w:t>
      </w:r>
      <w:r w:rsidRPr="00731D63">
        <w:rPr>
          <w:rFonts w:cs="Times New Roman"/>
          <w:lang w:val="fr-CA"/>
        </w:rPr>
        <w:t xml:space="preserve"> exigences prescrites par l’art. 53 de la </w:t>
      </w:r>
      <w:r w:rsidRPr="00731D63">
        <w:rPr>
          <w:rFonts w:cs="Times New Roman"/>
          <w:i/>
          <w:lang w:val="fr-CA"/>
        </w:rPr>
        <w:t>Loi sur la santé et la sécurité au travail</w:t>
      </w:r>
      <w:r w:rsidRPr="00731D63">
        <w:rPr>
          <w:rFonts w:cs="Times New Roman"/>
          <w:lang w:val="fr-CA"/>
        </w:rPr>
        <w:t>, L.R.O. 1990, ch. O.1.  Les opérations de dynamitage sur le chantier ont alors cessé jusqu’à ce que le site ait été inspecté et des mesures correctives convenues avec le ministère du Travail.</w:t>
      </w:r>
    </w:p>
    <w:p w:rsidR="00A22250" w:rsidRPr="00731D63" w:rsidRDefault="00A22250" w:rsidP="00B026BA">
      <w:pPr>
        <w:pStyle w:val="ParaNoNdepar-AltN"/>
        <w:ind w:left="0"/>
        <w:rPr>
          <w:rFonts w:cs="Times New Roman"/>
          <w:lang w:val="fr-CA"/>
        </w:rPr>
      </w:pPr>
      <w:r w:rsidRPr="00731D63">
        <w:rPr>
          <w:rFonts w:cs="Times New Roman"/>
          <w:lang w:val="fr-CA"/>
        </w:rPr>
        <w:t xml:space="preserve">Castonguay n’a </w:t>
      </w:r>
      <w:r w:rsidRPr="00B026BA">
        <w:rPr>
          <w:lang w:val="fr-CA"/>
        </w:rPr>
        <w:t>pas</w:t>
      </w:r>
      <w:r w:rsidRPr="00731D63">
        <w:rPr>
          <w:rFonts w:cs="Times New Roman"/>
          <w:lang w:val="fr-CA"/>
        </w:rPr>
        <w:t xml:space="preserve"> signalé l’incident au ministère de l’Environnement.  Ce ministère n’en a été avisé qu’en mai 2008, lorsque le ministère des Transports l’a informé de ce qui s’était passé. </w:t>
      </w:r>
    </w:p>
    <w:p w:rsidR="00A22250" w:rsidRPr="00731D63" w:rsidRDefault="00A22250" w:rsidP="00B026BA">
      <w:pPr>
        <w:pStyle w:val="ParaNoNdepar-AltN"/>
        <w:ind w:left="0"/>
        <w:rPr>
          <w:rFonts w:cs="Times New Roman"/>
          <w:lang w:val="fr-CA"/>
        </w:rPr>
      </w:pPr>
      <w:r w:rsidRPr="00731D63">
        <w:rPr>
          <w:rFonts w:cs="Times New Roman"/>
          <w:lang w:val="fr-CA"/>
        </w:rPr>
        <w:t xml:space="preserve">En septembre 2009, Castonguay a été accusée d’avoir omis, en violation du par. 15(1) de la </w:t>
      </w:r>
      <w:r w:rsidRPr="00731D63">
        <w:rPr>
          <w:rFonts w:cs="Times New Roman"/>
          <w:i/>
          <w:lang w:val="fr-CA"/>
        </w:rPr>
        <w:t>LPE</w:t>
      </w:r>
      <w:r w:rsidRPr="00731D63">
        <w:rPr>
          <w:rFonts w:cs="Times New Roman"/>
          <w:lang w:val="fr-CA"/>
        </w:rPr>
        <w:t xml:space="preserve">, d’aviser le ministère de l’Environnement qu’elle avait « rejet[é] un contaminant dans l’environnement naturel ».  L’entreprise a été acquittée par la </w:t>
      </w:r>
      <w:r w:rsidRPr="00B026BA">
        <w:rPr>
          <w:lang w:val="fr-CA"/>
        </w:rPr>
        <w:t>Cour</w:t>
      </w:r>
      <w:r w:rsidRPr="00731D63">
        <w:rPr>
          <w:rFonts w:cs="Times New Roman"/>
          <w:lang w:val="fr-CA"/>
        </w:rPr>
        <w:t xml:space="preserve"> de justice de l’Ontario, mais la Cour supérieure de justice de l’Ontario a </w:t>
      </w:r>
      <w:r w:rsidRPr="00731D63">
        <w:rPr>
          <w:rFonts w:cs="Times New Roman"/>
          <w:lang w:val="fr-CA"/>
        </w:rPr>
        <w:lastRenderedPageBreak/>
        <w:t>annulé l’acquittement et inscrit une déclaration de culpabilité (2011 ONSC</w:t>
      </w:r>
      <w:r>
        <w:rPr>
          <w:rFonts w:cs="Times New Roman"/>
          <w:lang w:val="fr-CA"/>
        </w:rPr>
        <w:t xml:space="preserve"> </w:t>
      </w:r>
      <w:r w:rsidRPr="00731D63">
        <w:rPr>
          <w:rFonts w:cs="Times New Roman"/>
          <w:lang w:val="fr-CA"/>
        </w:rPr>
        <w:t>767, 57 C.E.L.R. (3d) 142).  Castonguay a ensuite interjeté appel, au motif que les circonstances de l’espèce n’avaient pas déclenché l’application du par. 15(1).</w:t>
      </w:r>
    </w:p>
    <w:p w:rsidR="00A22250" w:rsidRPr="00731D63" w:rsidRDefault="00A22250" w:rsidP="00B026BA">
      <w:pPr>
        <w:pStyle w:val="ParaNoNdepar-AltN"/>
        <w:ind w:left="0"/>
        <w:rPr>
          <w:rFonts w:cs="Times New Roman"/>
          <w:lang w:val="fr-CA"/>
        </w:rPr>
      </w:pPr>
      <w:r w:rsidRPr="00731D63">
        <w:rPr>
          <w:rFonts w:cs="Times New Roman"/>
          <w:lang w:val="fr-CA"/>
        </w:rPr>
        <w:t xml:space="preserve">En Cour d’appel (2012 ONCA 165, 109 O.R. (3d) 401), le juge MacPherson a conclu, au nom des juges majoritaires, que le sens ordinaire des dispositions pertinentes de la </w:t>
      </w:r>
      <w:r w:rsidRPr="00731D63">
        <w:rPr>
          <w:rFonts w:cs="Times New Roman"/>
          <w:i/>
          <w:lang w:val="fr-CA"/>
        </w:rPr>
        <w:t>LPE</w:t>
      </w:r>
      <w:r w:rsidRPr="00731D63">
        <w:rPr>
          <w:rFonts w:cs="Times New Roman"/>
          <w:lang w:val="fr-CA"/>
        </w:rPr>
        <w:t xml:space="preserve">, la jurisprudence applicable et l’interprétation adéquate des objectifs généraux de la </w:t>
      </w:r>
      <w:r w:rsidRPr="00731D63">
        <w:rPr>
          <w:rFonts w:cs="Times New Roman"/>
          <w:i/>
          <w:lang w:val="fr-CA"/>
        </w:rPr>
        <w:t>LPE</w:t>
      </w:r>
      <w:r w:rsidRPr="00731D63">
        <w:rPr>
          <w:rFonts w:cs="Times New Roman"/>
          <w:lang w:val="fr-CA"/>
        </w:rPr>
        <w:t xml:space="preserve"> confirmaient que le rejet des éclats de roc survenu en l’espèce était une situation visée par le par. 15(1) de la </w:t>
      </w:r>
      <w:r w:rsidRPr="00731D63">
        <w:rPr>
          <w:rFonts w:cs="Times New Roman"/>
          <w:i/>
          <w:lang w:val="fr-CA"/>
        </w:rPr>
        <w:t>LPE</w:t>
      </w:r>
      <w:r w:rsidRPr="00731D63">
        <w:rPr>
          <w:rFonts w:cs="Times New Roman"/>
          <w:lang w:val="fr-CA"/>
        </w:rPr>
        <w:t xml:space="preserve"> et que Castonguay avait en conséquence l’obligation de signaler </w:t>
      </w:r>
      <w:r w:rsidRPr="00B026BA">
        <w:rPr>
          <w:lang w:val="fr-CA"/>
        </w:rPr>
        <w:t>l’incident</w:t>
      </w:r>
      <w:r w:rsidRPr="00731D63">
        <w:rPr>
          <w:rFonts w:cs="Times New Roman"/>
          <w:lang w:val="fr-CA"/>
        </w:rPr>
        <w:t xml:space="preserve"> au ministère de l’Environnement.  Le juge Blair, dissident, n’a constaté aucune violation du par. 15(1) dans les circonstances de la présente affaire.  Je suis d’accord avec les juges majoritaires pour dire que Castonguay était tenue de signaler l’incident.</w:t>
      </w:r>
    </w:p>
    <w:p w:rsidR="00A22250" w:rsidRPr="00731D63" w:rsidRDefault="00A22250" w:rsidP="00A22250">
      <w:pPr>
        <w:pStyle w:val="TitleTitre-AltT"/>
        <w:keepNext/>
        <w:rPr>
          <w:rFonts w:cs="Times New Roman"/>
          <w:u w:val="single"/>
        </w:rPr>
      </w:pPr>
      <w:r w:rsidRPr="00731D63">
        <w:rPr>
          <w:rFonts w:cs="Times New Roman"/>
          <w:u w:val="single"/>
        </w:rPr>
        <w:t>Analyse</w:t>
      </w:r>
    </w:p>
    <w:p w:rsidR="00A22250" w:rsidRPr="00731D63" w:rsidRDefault="00A22250" w:rsidP="00B026BA">
      <w:pPr>
        <w:pStyle w:val="ParaNoNdepar-AltN"/>
        <w:ind w:left="0"/>
        <w:rPr>
          <w:rFonts w:cs="Times New Roman"/>
          <w:lang w:val="fr-CA"/>
        </w:rPr>
      </w:pPr>
      <w:r w:rsidRPr="00731D63">
        <w:rPr>
          <w:rFonts w:cs="Times New Roman"/>
          <w:lang w:val="fr-CA"/>
        </w:rPr>
        <w:t>La</w:t>
      </w:r>
      <w:r w:rsidRPr="00731D63">
        <w:rPr>
          <w:rFonts w:cs="Times New Roman"/>
          <w:i/>
          <w:lang w:val="fr-CA"/>
        </w:rPr>
        <w:t xml:space="preserve"> LPE</w:t>
      </w:r>
      <w:r w:rsidRPr="00731D63">
        <w:rPr>
          <w:rFonts w:cs="Times New Roman"/>
          <w:lang w:val="fr-CA"/>
        </w:rPr>
        <w:t xml:space="preserve"> est la principale loi ontarienne en matière de protection de l’environnement.  Comme elle constitue une loi réparatrice, elle doit recevoir une interprétation généreuse </w:t>
      </w:r>
      <w:r w:rsidR="002D0DEC">
        <w:rPr>
          <w:rFonts w:cs="Times New Roman"/>
          <w:lang w:val="fr-CA"/>
        </w:rPr>
        <w:t>(</w:t>
      </w:r>
      <w:r w:rsidRPr="00731D63">
        <w:rPr>
          <w:rFonts w:cs="Times New Roman"/>
          <w:i/>
          <w:lang w:val="fr-CA"/>
        </w:rPr>
        <w:t>Loi de 2006 sur la législation</w:t>
      </w:r>
      <w:r w:rsidRPr="00731D63">
        <w:rPr>
          <w:rFonts w:cs="Times New Roman"/>
          <w:lang w:val="fr-CA"/>
        </w:rPr>
        <w:t>, L.O. 2006, ch. 21, ann</w:t>
      </w:r>
      <w:r w:rsidR="002D0DEC">
        <w:rPr>
          <w:rFonts w:cs="Times New Roman"/>
          <w:lang w:val="fr-CA"/>
        </w:rPr>
        <w:t>.</w:t>
      </w:r>
      <w:r w:rsidRPr="00731D63">
        <w:rPr>
          <w:rFonts w:cs="Times New Roman"/>
          <w:lang w:val="fr-CA"/>
        </w:rPr>
        <w:t xml:space="preserve"> F, art. 64; </w:t>
      </w:r>
      <w:r w:rsidRPr="00731D63">
        <w:rPr>
          <w:rFonts w:cs="Times New Roman"/>
          <w:i/>
          <w:lang w:val="fr-CA"/>
        </w:rPr>
        <w:t>Ontario c. Canadien Pacifique Ltée</w:t>
      </w:r>
      <w:r w:rsidRPr="00731D63">
        <w:rPr>
          <w:rFonts w:cs="Times New Roman"/>
          <w:lang w:val="fr-CA"/>
        </w:rPr>
        <w:t>,</w:t>
      </w:r>
      <w:r w:rsidRPr="00731D63">
        <w:rPr>
          <w:rFonts w:cs="Times New Roman"/>
          <w:i/>
          <w:lang w:val="fr-CA"/>
        </w:rPr>
        <w:t xml:space="preserve"> </w:t>
      </w:r>
      <w:r w:rsidRPr="00731D63">
        <w:rPr>
          <w:rFonts w:cs="Times New Roman"/>
          <w:lang w:val="fr-CA"/>
        </w:rPr>
        <w:t>[1995] 2 R.C.S. 1031, par. 84</w:t>
      </w:r>
      <w:r w:rsidR="002D0DEC">
        <w:rPr>
          <w:rFonts w:cs="Times New Roman"/>
          <w:lang w:val="fr-CA"/>
        </w:rPr>
        <w:t>)</w:t>
      </w:r>
      <w:r w:rsidRPr="00731D63">
        <w:rPr>
          <w:rFonts w:cs="Times New Roman"/>
          <w:lang w:val="fr-CA"/>
        </w:rPr>
        <w:t xml:space="preserve">.  En outre, </w:t>
      </w:r>
      <w:r w:rsidRPr="00B026BA">
        <w:rPr>
          <w:lang w:val="fr-CA"/>
        </w:rPr>
        <w:t>comme</w:t>
      </w:r>
      <w:r w:rsidRPr="00731D63">
        <w:rPr>
          <w:rFonts w:cs="Times New Roman"/>
          <w:lang w:val="fr-CA"/>
        </w:rPr>
        <w:t xml:space="preserve"> notre Cour l’a établi dans l’affaire </w:t>
      </w:r>
      <w:r w:rsidRPr="00731D63">
        <w:rPr>
          <w:rFonts w:cs="Times New Roman"/>
          <w:i/>
          <w:lang w:val="fr-CA"/>
        </w:rPr>
        <w:t>Canadien Pacifique</w:t>
      </w:r>
      <w:r w:rsidRPr="00731D63">
        <w:rPr>
          <w:rFonts w:cs="Times New Roman"/>
          <w:lang w:val="fr-CA"/>
        </w:rPr>
        <w:t>, la protection de l’environnement est un sujet complexe — en effet, l’environnement lui</w:t>
      </w:r>
      <w:r w:rsidRPr="00731D63">
        <w:rPr>
          <w:rFonts w:cs="Times New Roman"/>
          <w:lang w:val="fr-CA"/>
        </w:rPr>
        <w:noBreakHyphen/>
        <w:t xml:space="preserve">même et la vaste gamme d’activités susceptibles d’en causer la dégradation ne se prêtent pas aisément à une codification précise (par. 43).  Par conséquent, les lois protégeant </w:t>
      </w:r>
      <w:r w:rsidRPr="00731D63">
        <w:rPr>
          <w:rFonts w:cs="Times New Roman"/>
          <w:lang w:val="fr-CA"/>
        </w:rPr>
        <w:lastRenderedPageBreak/>
        <w:t>l’environnement reposent sur l’application d’une approche générale, qui permet de réagir adéquatement « à une vaste gamme d’atteintes environnementales, y compris celles qui n’ont peut</w:t>
      </w:r>
      <w:r w:rsidRPr="00731D63">
        <w:rPr>
          <w:rFonts w:cs="Times New Roman"/>
          <w:lang w:val="fr-CA"/>
        </w:rPr>
        <w:noBreakHyphen/>
        <w:t>être même pas été envisagées par leurs rédacteurs</w:t>
      </w:r>
      <w:r w:rsidRPr="00731D63">
        <w:rPr>
          <w:rFonts w:cs="Times New Roman"/>
          <w:i/>
          <w:lang w:val="fr-CA"/>
        </w:rPr>
        <w:t> </w:t>
      </w:r>
      <w:r w:rsidRPr="00731D63">
        <w:rPr>
          <w:rFonts w:cs="Times New Roman"/>
          <w:lang w:val="fr-CA"/>
        </w:rPr>
        <w:t>»</w:t>
      </w:r>
      <w:r>
        <w:rPr>
          <w:rFonts w:cs="Times New Roman"/>
          <w:lang w:val="fr-CA"/>
        </w:rPr>
        <w:t xml:space="preserve"> </w:t>
      </w:r>
      <w:r w:rsidRPr="00731D63">
        <w:rPr>
          <w:rFonts w:cs="Times New Roman"/>
          <w:lang w:val="fr-CA"/>
        </w:rPr>
        <w:t>(par. 43).  Parce que l’objectif poursuivi par le législateur est la protection de l’environnement, la portée voulue de ces lois est large et profonde (par. 84).</w:t>
      </w:r>
    </w:p>
    <w:p w:rsidR="00A22250" w:rsidRPr="00731D63" w:rsidRDefault="00A22250" w:rsidP="00B026BA">
      <w:pPr>
        <w:pStyle w:val="ParaNoNdepar-AltN"/>
        <w:ind w:left="0"/>
        <w:rPr>
          <w:rFonts w:cs="Times New Roman"/>
          <w:lang w:val="fr-CA"/>
        </w:rPr>
      </w:pPr>
      <w:r w:rsidRPr="00731D63">
        <w:rPr>
          <w:rFonts w:cs="Times New Roman"/>
          <w:lang w:val="fr-CA"/>
        </w:rPr>
        <w:t xml:space="preserve">L’objectif général de la </w:t>
      </w:r>
      <w:r w:rsidRPr="00731D63">
        <w:rPr>
          <w:rFonts w:cs="Times New Roman"/>
          <w:i/>
          <w:lang w:val="fr-CA"/>
        </w:rPr>
        <w:t>LPE</w:t>
      </w:r>
      <w:r w:rsidRPr="00731D63">
        <w:rPr>
          <w:rFonts w:cs="Times New Roman"/>
          <w:lang w:val="fr-CA"/>
        </w:rPr>
        <w:t xml:space="preserve"> est énoncé à l’art. 3 : « La présente loi a pour objet d’assurer la protection et la conservation de l’environnement naturel</w:t>
      </w:r>
      <w:r w:rsidR="002D0DEC">
        <w:rPr>
          <w:rFonts w:cs="Times New Roman"/>
          <w:lang w:val="fr-CA"/>
        </w:rPr>
        <w:t>.</w:t>
      </w:r>
      <w:r w:rsidRPr="00731D63">
        <w:rPr>
          <w:rFonts w:cs="Times New Roman"/>
          <w:lang w:val="fr-CA"/>
        </w:rPr>
        <w:t> »  La notion d’« environnement naturel » est définie ainsi au par. 1(1) : « Air, terrain et eau ou toute combinaison ou partie de ces éléments qui sont compris dans la province de l’Ontario</w:t>
      </w:r>
      <w:r w:rsidR="002D0DEC">
        <w:rPr>
          <w:rFonts w:cs="Times New Roman"/>
          <w:lang w:val="fr-CA"/>
        </w:rPr>
        <w:t>.</w:t>
      </w:r>
      <w:r w:rsidRPr="00731D63">
        <w:rPr>
          <w:rFonts w:cs="Times New Roman"/>
          <w:lang w:val="fr-CA"/>
        </w:rPr>
        <w:t xml:space="preserve"> »  La </w:t>
      </w:r>
      <w:r w:rsidRPr="00731D63">
        <w:rPr>
          <w:rFonts w:cs="Times New Roman"/>
          <w:i/>
          <w:lang w:val="fr-CA"/>
        </w:rPr>
        <w:t>LPE</w:t>
      </w:r>
      <w:r w:rsidRPr="00731D63">
        <w:rPr>
          <w:rFonts w:cs="Times New Roman"/>
          <w:lang w:val="fr-CA"/>
        </w:rPr>
        <w:t xml:space="preserve"> protège également les personnes qui</w:t>
      </w:r>
      <w:r w:rsidRPr="00731D63">
        <w:rPr>
          <w:rFonts w:cs="Times New Roman"/>
          <w:i/>
          <w:lang w:val="fr-CA"/>
        </w:rPr>
        <w:t xml:space="preserve"> utilisent</w:t>
      </w:r>
      <w:r w:rsidRPr="00731D63">
        <w:rPr>
          <w:rFonts w:cs="Times New Roman"/>
          <w:lang w:val="fr-CA"/>
        </w:rPr>
        <w:t xml:space="preserve"> l’environnement naturel en protégeant la santé des humains, les végétaux, les animaux et les biens.  Dans </w:t>
      </w:r>
      <w:r w:rsidRPr="00731D63">
        <w:rPr>
          <w:rFonts w:cs="Times New Roman"/>
          <w:i/>
          <w:lang w:val="fr-CA"/>
        </w:rPr>
        <w:t xml:space="preserve">R. c. Dow Chemical Canada Inc. </w:t>
      </w:r>
      <w:r w:rsidRPr="00731D63">
        <w:rPr>
          <w:rFonts w:cs="Times New Roman"/>
          <w:lang w:val="fr-CA"/>
        </w:rPr>
        <w:t>(2000), 47 O.R. (3d) 577 (C.A.), le juge MacPherson a d’ailleurs bien résumé cet objectif comme étant [</w:t>
      </w:r>
      <w:r w:rsidRPr="00731D63">
        <w:rPr>
          <w:rFonts w:cs="Times New Roman"/>
          <w:smallCaps/>
          <w:lang w:val="fr-CA"/>
        </w:rPr>
        <w:t>traduction</w:t>
      </w:r>
      <w:r>
        <w:rPr>
          <w:rFonts w:cs="Times New Roman"/>
          <w:lang w:val="fr-CA"/>
        </w:rPr>
        <w:t xml:space="preserve">] </w:t>
      </w:r>
      <w:r w:rsidRPr="00731D63">
        <w:rPr>
          <w:rFonts w:cs="Times New Roman"/>
          <w:lang w:val="fr-CA"/>
        </w:rPr>
        <w:t>« la protection de l’environnement naturel et des personnes qui y vivent, travaillent et jouent » (par. 49).</w:t>
      </w:r>
    </w:p>
    <w:p w:rsidR="00A22250" w:rsidRPr="00731D63" w:rsidRDefault="00A22250" w:rsidP="00B026BA">
      <w:pPr>
        <w:pStyle w:val="ParaNoNdepar-AltN"/>
        <w:ind w:left="0"/>
        <w:rPr>
          <w:rFonts w:cs="Times New Roman"/>
          <w:lang w:val="fr-CA"/>
        </w:rPr>
      </w:pPr>
      <w:r w:rsidRPr="00731D63">
        <w:rPr>
          <w:rFonts w:cs="Times New Roman"/>
          <w:lang w:val="fr-CA"/>
        </w:rPr>
        <w:t xml:space="preserve">La </w:t>
      </w:r>
      <w:r w:rsidRPr="00731D63">
        <w:rPr>
          <w:rFonts w:cs="Times New Roman"/>
          <w:i/>
          <w:lang w:val="fr-CA"/>
        </w:rPr>
        <w:t>LPE</w:t>
      </w:r>
      <w:r w:rsidRPr="00731D63">
        <w:rPr>
          <w:rFonts w:cs="Times New Roman"/>
          <w:lang w:val="fr-CA"/>
        </w:rPr>
        <w:t xml:space="preserve"> cherche à réaliser son objectif de protection de l’environnement naturel et des personnes qui l’utilisent au moyen d’un ensemble de règlements, d’interdictions et d’obligations de signalement.  Elle prévoit également un large éventail de pouvoirs en matière d’inspection, de mise en application de la loi, de prévention et de réparation, comme le pouvoir de prendre des arrêtés d’intervention (art. 7), de suspension immédiate (art. 8), des ordonnances de réparation des </w:t>
      </w:r>
      <w:r w:rsidRPr="00731D63">
        <w:rPr>
          <w:rFonts w:cs="Times New Roman"/>
          <w:lang w:val="fr-CA"/>
        </w:rPr>
        <w:lastRenderedPageBreak/>
        <w:t xml:space="preserve">dommages (art. 17), de prise de mesures préventives </w:t>
      </w:r>
      <w:r w:rsidRPr="00B026BA">
        <w:rPr>
          <w:lang w:val="fr-CA"/>
        </w:rPr>
        <w:t>précisant</w:t>
      </w:r>
      <w:r w:rsidRPr="00731D63">
        <w:rPr>
          <w:rFonts w:cs="Times New Roman"/>
          <w:lang w:val="fr-CA"/>
        </w:rPr>
        <w:t xml:space="preserve"> celles qui doivent être appliquées pour empêcher qu’un rejet ne se produise ou ne se produise de nouveau (art. 18), ou des arrêtés constatant une violation de la loi et ordonnant à l’auteur de la violation de prendre des mesures pour se conformer à la loi (art. 157).</w:t>
      </w:r>
    </w:p>
    <w:p w:rsidR="00A22250" w:rsidRPr="00731D63" w:rsidRDefault="00A22250" w:rsidP="00B026BA">
      <w:pPr>
        <w:pStyle w:val="ParaNoNdepar-AltN"/>
        <w:ind w:left="0"/>
        <w:rPr>
          <w:rFonts w:cs="Times New Roman"/>
          <w:lang w:val="fr-CA"/>
        </w:rPr>
      </w:pPr>
      <w:r w:rsidRPr="00731D63">
        <w:rPr>
          <w:rFonts w:cs="Times New Roman"/>
          <w:lang w:val="fr-CA"/>
        </w:rPr>
        <w:t xml:space="preserve">L’un des moyens par lesquels la </w:t>
      </w:r>
      <w:r w:rsidRPr="00731D63">
        <w:rPr>
          <w:rFonts w:cs="Times New Roman"/>
          <w:i/>
          <w:lang w:val="fr-CA"/>
        </w:rPr>
        <w:t>LPE</w:t>
      </w:r>
      <w:r w:rsidRPr="00731D63">
        <w:rPr>
          <w:rFonts w:cs="Times New Roman"/>
          <w:lang w:val="fr-CA"/>
        </w:rPr>
        <w:t xml:space="preserve"> tend à l’atteinte de ses objectifs de protection et de prévention réside dans l’interdiction, énoncée au par. 14(1), de rejeter dans l’environnement naturel un contaminant qui causera vraisemblablement une conséquence préjudiciable, et dans l’obligation connexe, prévue au par. 15(1), d’aviser le ministère de l’Environnement d’un tel rejet s’il est accompli en dehors du cours normal des événements.</w:t>
      </w:r>
    </w:p>
    <w:p w:rsidR="00A22250" w:rsidRPr="00731D63" w:rsidRDefault="00A22250" w:rsidP="00B026BA">
      <w:pPr>
        <w:pStyle w:val="ParaNoNdepar-AltN"/>
        <w:ind w:left="0"/>
        <w:rPr>
          <w:rFonts w:cs="Times New Roman"/>
          <w:lang w:val="fr-FR"/>
        </w:rPr>
      </w:pPr>
      <w:r w:rsidRPr="00731D63">
        <w:rPr>
          <w:rFonts w:cs="Times New Roman"/>
          <w:lang w:val="fr-CA"/>
        </w:rPr>
        <w:t>La question soulevée dans le présent pourvoi concerne l’interprétation qu’il convient de donner à l’obligation de signalement que prévoit le par. 15(1). Cette</w:t>
      </w:r>
      <w:r w:rsidRPr="00731D63">
        <w:rPr>
          <w:rFonts w:cs="Times New Roman"/>
          <w:lang w:val="fr-FR"/>
        </w:rPr>
        <w:t xml:space="preserve"> disposition</w:t>
      </w:r>
      <w:r w:rsidRPr="00731D63">
        <w:rPr>
          <w:rFonts w:cs="Times New Roman"/>
          <w:lang w:val="fr-CA"/>
        </w:rPr>
        <w:t xml:space="preserve"> est rédigée comme</w:t>
      </w:r>
      <w:r w:rsidRPr="00731D63">
        <w:rPr>
          <w:rFonts w:cs="Times New Roman"/>
          <w:lang w:val="fr-FR"/>
        </w:rPr>
        <w:t xml:space="preserve"> suit : </w:t>
      </w:r>
    </w:p>
    <w:p w:rsidR="00A22250" w:rsidRPr="00731D63" w:rsidRDefault="00A22250" w:rsidP="00A22250">
      <w:pPr>
        <w:pStyle w:val="Citation-AltC"/>
        <w:tabs>
          <w:tab w:val="left" w:pos="1620"/>
        </w:tabs>
        <w:ind w:hanging="1166"/>
        <w:contextualSpacing w:val="0"/>
        <w:rPr>
          <w:lang w:val="fr-CA"/>
        </w:rPr>
      </w:pPr>
      <w:r w:rsidRPr="00731D63">
        <w:rPr>
          <w:b/>
          <w:lang w:val="fr-CA"/>
        </w:rPr>
        <w:tab/>
      </w:r>
      <w:r w:rsidRPr="00731D63">
        <w:rPr>
          <w:b/>
          <w:lang w:val="fr-CA"/>
        </w:rPr>
        <w:tab/>
        <w:t>15.</w:t>
      </w:r>
      <w:r w:rsidRPr="00731D63">
        <w:rPr>
          <w:lang w:val="fr-CA"/>
        </w:rPr>
        <w:t>—</w:t>
      </w:r>
      <w:r w:rsidR="00E167E1">
        <w:rPr>
          <w:lang w:val="fr-CA"/>
        </w:rPr>
        <w:t>(</w:t>
      </w:r>
      <w:r w:rsidRPr="00731D63">
        <w:rPr>
          <w:lang w:val="fr-CA"/>
        </w:rPr>
        <w:t>1)  Quiconque rejette un contaminant dans l’environnement naturel, ou permet ou fait en sorte que cela se fasse, en avise sans délai le ministère si un tel acte est accompli en dehors du cours normal des événements, s’il cause ou causera vraisemblablement une conséquence préjudiciable et si la personne qui l’accomplit n’est pas tenue par ailleurs d’aviser le ministère aux termes de l’article 92.</w:t>
      </w:r>
    </w:p>
    <w:p w:rsidR="00A22250" w:rsidRPr="00731D63" w:rsidRDefault="00A22250" w:rsidP="00B026BA">
      <w:pPr>
        <w:pStyle w:val="ParaNoNdepar-AltN"/>
        <w:ind w:left="0"/>
        <w:rPr>
          <w:rFonts w:cs="Times New Roman"/>
          <w:lang w:val="fr-CA"/>
        </w:rPr>
      </w:pPr>
      <w:r w:rsidRPr="00731D63">
        <w:rPr>
          <w:rFonts w:cs="Times New Roman"/>
          <w:lang w:val="fr-CA"/>
        </w:rPr>
        <w:t xml:space="preserve">Les termes </w:t>
      </w:r>
      <w:r w:rsidRPr="00B026BA">
        <w:rPr>
          <w:lang w:val="fr-CA"/>
        </w:rPr>
        <w:t>«</w:t>
      </w:r>
      <w:r w:rsidRPr="00731D63">
        <w:rPr>
          <w:rFonts w:cs="Times New Roman"/>
          <w:lang w:val="fr-CA"/>
        </w:rPr>
        <w:t xml:space="preserve"> rejet », </w:t>
      </w:r>
      <w:r w:rsidR="00574C2D">
        <w:rPr>
          <w:rFonts w:cs="Times New Roman"/>
          <w:lang w:val="fr-CA"/>
        </w:rPr>
        <w:t xml:space="preserve">« rejeter », </w:t>
      </w:r>
      <w:r w:rsidRPr="00731D63">
        <w:rPr>
          <w:rFonts w:cs="Times New Roman"/>
          <w:lang w:val="fr-CA"/>
        </w:rPr>
        <w:t>« contaminant », « environnement naturel » et « conséquence préjudiciable » sont définis comme suit au par. 1(1) de la</w:t>
      </w:r>
      <w:r w:rsidRPr="00731D63">
        <w:rPr>
          <w:rFonts w:cs="Times New Roman"/>
          <w:i/>
          <w:lang w:val="fr-CA"/>
        </w:rPr>
        <w:t xml:space="preserve"> LPE</w:t>
      </w:r>
      <w:r w:rsidRPr="00731D63">
        <w:rPr>
          <w:rFonts w:cs="Times New Roman"/>
          <w:lang w:val="fr-CA"/>
        </w:rPr>
        <w:t> :</w:t>
      </w:r>
    </w:p>
    <w:p w:rsidR="00A22250" w:rsidRDefault="00574C2D" w:rsidP="00574C2D">
      <w:pPr>
        <w:pStyle w:val="SCCNormalDoubleSpacing"/>
        <w:spacing w:after="240" w:line="240" w:lineRule="auto"/>
        <w:ind w:left="1620" w:hanging="1620"/>
        <w:rPr>
          <w:lang w:val="fr-CA"/>
        </w:rPr>
      </w:pPr>
      <w:r>
        <w:rPr>
          <w:lang w:val="fr-CA"/>
        </w:rPr>
        <w:lastRenderedPageBreak/>
        <w:tab/>
      </w:r>
      <w:r w:rsidR="00A22250" w:rsidRPr="00731D63">
        <w:rPr>
          <w:lang w:val="fr-CA"/>
        </w:rPr>
        <w:t>« </w:t>
      </w:r>
      <w:r w:rsidR="00A22250" w:rsidRPr="00731D63">
        <w:rPr>
          <w:b/>
          <w:lang w:val="fr-CA"/>
        </w:rPr>
        <w:t>environnement naturel</w:t>
      </w:r>
      <w:r w:rsidR="00A22250" w:rsidRPr="00731D63">
        <w:rPr>
          <w:lang w:val="fr-CA"/>
        </w:rPr>
        <w:t xml:space="preserve"> » Air, </w:t>
      </w:r>
      <w:r w:rsidR="00A22250" w:rsidRPr="00574C2D">
        <w:rPr>
          <w:lang w:val="fr-CA"/>
        </w:rPr>
        <w:t>terrain</w:t>
      </w:r>
      <w:r w:rsidR="00A22250" w:rsidRPr="00731D63">
        <w:rPr>
          <w:lang w:val="fr-CA"/>
        </w:rPr>
        <w:t xml:space="preserve"> et eau ou toute combinaison ou</w:t>
      </w:r>
      <w:r w:rsidR="00A22250">
        <w:rPr>
          <w:lang w:val="fr-CA"/>
        </w:rPr>
        <w:t xml:space="preserve"> </w:t>
      </w:r>
      <w:r w:rsidR="00A22250" w:rsidRPr="00731D63">
        <w:rPr>
          <w:lang w:val="fr-CA"/>
        </w:rPr>
        <w:t xml:space="preserve">partie de ces éléments qui sont </w:t>
      </w:r>
      <w:r w:rsidR="00A22250" w:rsidRPr="00574C2D">
        <w:rPr>
          <w:lang w:val="fr-CA"/>
        </w:rPr>
        <w:t>compris</w:t>
      </w:r>
      <w:r w:rsidR="00A22250" w:rsidRPr="00731D63">
        <w:rPr>
          <w:lang w:val="fr-CA"/>
        </w:rPr>
        <w:t xml:space="preserve"> </w:t>
      </w:r>
      <w:r w:rsidR="004B1E4A">
        <w:rPr>
          <w:lang w:val="fr-CA"/>
        </w:rPr>
        <w:t xml:space="preserve">dans la province de l’Ontario. </w:t>
      </w:r>
    </w:p>
    <w:p w:rsidR="00A22250" w:rsidRDefault="00A22250" w:rsidP="00574C2D">
      <w:pPr>
        <w:pStyle w:val="SCCNormalDoubleSpacing"/>
        <w:spacing w:after="240" w:line="240" w:lineRule="auto"/>
        <w:ind w:left="1620" w:hanging="1620"/>
        <w:rPr>
          <w:lang w:val="fr-CA"/>
        </w:rPr>
      </w:pPr>
      <w:r w:rsidRPr="00731D63">
        <w:rPr>
          <w:lang w:val="fr-CA"/>
        </w:rPr>
        <w:tab/>
        <w:t>«</w:t>
      </w:r>
      <w:r w:rsidRPr="00731D63">
        <w:rPr>
          <w:b/>
          <w:lang w:val="fr-CA"/>
        </w:rPr>
        <w:t> rejet</w:t>
      </w:r>
      <w:r w:rsidRPr="00731D63">
        <w:rPr>
          <w:lang w:val="fr-CA"/>
        </w:rPr>
        <w:t xml:space="preserve"> » S’entend en </w:t>
      </w:r>
      <w:r w:rsidRPr="00B026BA">
        <w:rPr>
          <w:lang w:val="fr-CA"/>
        </w:rPr>
        <w:t>outre</w:t>
      </w:r>
      <w:r w:rsidRPr="00731D63">
        <w:rPr>
          <w:lang w:val="fr-CA"/>
        </w:rPr>
        <w:t xml:space="preserve"> d’un </w:t>
      </w:r>
      <w:r w:rsidRPr="00B026BA">
        <w:rPr>
          <w:lang w:val="fr-CA"/>
        </w:rPr>
        <w:t>ajout</w:t>
      </w:r>
      <w:r w:rsidRPr="00731D63">
        <w:rPr>
          <w:lang w:val="fr-CA"/>
        </w:rPr>
        <w:t>, d’un dépôt, d’une perte ou d’une émission; le verbe « </w:t>
      </w:r>
      <w:r w:rsidRPr="00574C2D">
        <w:rPr>
          <w:b/>
          <w:lang w:val="fr-CA"/>
        </w:rPr>
        <w:t>rejeter</w:t>
      </w:r>
      <w:r w:rsidRPr="00731D63">
        <w:rPr>
          <w:lang w:val="fr-CA"/>
        </w:rPr>
        <w:t> » s’entend en outre d’ajouter, de déposer, de perdre ou d’émettre.</w:t>
      </w:r>
    </w:p>
    <w:p w:rsidR="00A22250" w:rsidRPr="00731D63" w:rsidRDefault="00A22250" w:rsidP="00574C2D">
      <w:pPr>
        <w:pStyle w:val="SCCNormalDoubleSpacing"/>
        <w:spacing w:after="240" w:line="240" w:lineRule="auto"/>
        <w:ind w:left="1620" w:hanging="1620"/>
        <w:rPr>
          <w:lang w:val="fr-CA"/>
        </w:rPr>
      </w:pPr>
      <w:r w:rsidRPr="00731D63">
        <w:rPr>
          <w:lang w:val="fr-CA"/>
        </w:rPr>
        <w:tab/>
        <w:t>« </w:t>
      </w:r>
      <w:r w:rsidRPr="00731D63">
        <w:rPr>
          <w:b/>
          <w:lang w:val="fr-CA"/>
        </w:rPr>
        <w:t>contaminant</w:t>
      </w:r>
      <w:r w:rsidRPr="00731D63">
        <w:rPr>
          <w:lang w:val="fr-CA"/>
        </w:rPr>
        <w:t xml:space="preserve"> » Solide, </w:t>
      </w:r>
      <w:r w:rsidRPr="00B026BA">
        <w:rPr>
          <w:lang w:val="fr-CA"/>
        </w:rPr>
        <w:t>liquide</w:t>
      </w:r>
      <w:r w:rsidRPr="00731D63">
        <w:rPr>
          <w:lang w:val="fr-CA"/>
        </w:rPr>
        <w:t>, gaz, son, odeur, chaleur, vibration, radiation ou combinaison de ces éléments qui proviennent, directement ou indirectement, des activités humaines et qui ont ou peuvent avoir une conséquence préjudiciable.</w:t>
      </w:r>
    </w:p>
    <w:p w:rsidR="00A22250" w:rsidRPr="00731D63" w:rsidRDefault="00A22250" w:rsidP="00574C2D">
      <w:pPr>
        <w:pStyle w:val="SCCNormalDoubleSpacing"/>
        <w:spacing w:after="240" w:line="240" w:lineRule="auto"/>
        <w:ind w:left="1620" w:hanging="1620"/>
        <w:rPr>
          <w:lang w:val="fr-CA"/>
        </w:rPr>
      </w:pPr>
      <w:r w:rsidRPr="00731D63">
        <w:rPr>
          <w:lang w:val="fr-CA"/>
        </w:rPr>
        <w:tab/>
        <w:t>« </w:t>
      </w:r>
      <w:r w:rsidRPr="00731D63">
        <w:rPr>
          <w:b/>
          <w:lang w:val="fr-CA"/>
        </w:rPr>
        <w:t>conséquence préjudiciable</w:t>
      </w:r>
      <w:r w:rsidRPr="00731D63">
        <w:rPr>
          <w:lang w:val="fr-CA"/>
        </w:rPr>
        <w:t xml:space="preserve"> » L’une </w:t>
      </w:r>
      <w:r w:rsidRPr="00B026BA">
        <w:rPr>
          <w:lang w:val="fr-CA"/>
        </w:rPr>
        <w:t>ou</w:t>
      </w:r>
      <w:r w:rsidRPr="00731D63">
        <w:rPr>
          <w:lang w:val="fr-CA"/>
        </w:rPr>
        <w:t xml:space="preserve"> plusieurs des conséquences suivantes :</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a)</w:t>
      </w:r>
      <w:r w:rsidRPr="00731D63">
        <w:rPr>
          <w:lang w:val="fr-CA"/>
        </w:rPr>
        <w:tab/>
        <w:t xml:space="preserve">la </w:t>
      </w:r>
      <w:r w:rsidRPr="00B026BA">
        <w:rPr>
          <w:lang w:val="fr-CA"/>
        </w:rPr>
        <w:t>dégradation</w:t>
      </w:r>
      <w:r w:rsidRPr="00731D63">
        <w:rPr>
          <w:lang w:val="fr-CA"/>
        </w:rPr>
        <w:t xml:space="preserve"> de la qualité de l’environnement naturel relativement à tout usage qui peut en être fait;</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b)</w:t>
      </w:r>
      <w:r w:rsidRPr="00731D63">
        <w:rPr>
          <w:lang w:val="fr-CA"/>
        </w:rPr>
        <w:tab/>
        <w:t xml:space="preserve">le tort ou </w:t>
      </w:r>
      <w:r w:rsidRPr="00B026BA">
        <w:rPr>
          <w:lang w:val="fr-CA"/>
        </w:rPr>
        <w:t>les</w:t>
      </w:r>
      <w:r w:rsidRPr="00731D63">
        <w:rPr>
          <w:lang w:val="fr-CA"/>
        </w:rPr>
        <w:t xml:space="preserve"> dommages causés à des biens, des végétaux ou des animaux;</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c)</w:t>
      </w:r>
      <w:r w:rsidRPr="00731D63">
        <w:rPr>
          <w:lang w:val="fr-CA"/>
        </w:rPr>
        <w:tab/>
        <w:t xml:space="preserve">la nuisance ou </w:t>
      </w:r>
      <w:r w:rsidRPr="00B026BA">
        <w:rPr>
          <w:lang w:val="fr-CA"/>
        </w:rPr>
        <w:t>les</w:t>
      </w:r>
      <w:r w:rsidRPr="00731D63">
        <w:rPr>
          <w:lang w:val="fr-CA"/>
        </w:rPr>
        <w:t xml:space="preserve"> malaises sensibles causés à quiconque;</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d)</w:t>
      </w:r>
      <w:r w:rsidRPr="00731D63">
        <w:rPr>
          <w:lang w:val="fr-CA"/>
        </w:rPr>
        <w:tab/>
        <w:t>l’altération de la santé de quiconque;</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e)</w:t>
      </w:r>
      <w:r w:rsidRPr="00731D63">
        <w:rPr>
          <w:lang w:val="fr-CA"/>
        </w:rPr>
        <w:tab/>
        <w:t xml:space="preserve">l’atteinte à la </w:t>
      </w:r>
      <w:r w:rsidRPr="00B026BA">
        <w:rPr>
          <w:lang w:val="fr-CA"/>
        </w:rPr>
        <w:t>sécurité</w:t>
      </w:r>
      <w:r w:rsidRPr="00731D63">
        <w:rPr>
          <w:lang w:val="fr-CA"/>
        </w:rPr>
        <w:t xml:space="preserve"> de quiconque;</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f)</w:t>
      </w:r>
      <w:r w:rsidRPr="00731D63">
        <w:rPr>
          <w:lang w:val="fr-CA"/>
        </w:rPr>
        <w:tab/>
        <w:t>le fait de rendre des biens, des végétaux ou des animaux impropres à l’usage des êtres humains;</w:t>
      </w:r>
    </w:p>
    <w:p w:rsidR="00A22250" w:rsidRPr="00731D63" w:rsidRDefault="00A22250" w:rsidP="00574C2D">
      <w:pPr>
        <w:pStyle w:val="Citation-AltC"/>
        <w:tabs>
          <w:tab w:val="left" w:pos="1620"/>
          <w:tab w:val="left" w:pos="2160"/>
        </w:tabs>
        <w:spacing w:after="240"/>
        <w:ind w:left="2160" w:hanging="2070"/>
        <w:contextualSpacing w:val="0"/>
        <w:rPr>
          <w:lang w:val="fr-CA"/>
        </w:rPr>
      </w:pPr>
      <w:r w:rsidRPr="00731D63">
        <w:rPr>
          <w:lang w:val="fr-CA"/>
        </w:rPr>
        <w:tab/>
        <w:t>g)</w:t>
      </w:r>
      <w:r w:rsidRPr="00731D63">
        <w:rPr>
          <w:lang w:val="fr-CA"/>
        </w:rPr>
        <w:tab/>
        <w:t xml:space="preserve">la perte de </w:t>
      </w:r>
      <w:r w:rsidRPr="00B026BA">
        <w:rPr>
          <w:lang w:val="fr-CA"/>
        </w:rPr>
        <w:t>jouissance</w:t>
      </w:r>
      <w:r w:rsidRPr="00731D63">
        <w:rPr>
          <w:lang w:val="fr-CA"/>
        </w:rPr>
        <w:t xml:space="preserve"> de l’usage normal d’un bien;</w:t>
      </w:r>
    </w:p>
    <w:p w:rsidR="00A22250" w:rsidRPr="00731D63" w:rsidRDefault="00A22250" w:rsidP="00574C2D">
      <w:pPr>
        <w:pStyle w:val="Citation-AltC"/>
        <w:tabs>
          <w:tab w:val="left" w:pos="1620"/>
          <w:tab w:val="left" w:pos="2160"/>
        </w:tabs>
        <w:ind w:left="2160" w:hanging="2074"/>
        <w:contextualSpacing w:val="0"/>
        <w:rPr>
          <w:lang w:val="fr-CA"/>
        </w:rPr>
      </w:pPr>
      <w:r w:rsidRPr="00731D63">
        <w:rPr>
          <w:lang w:val="fr-CA"/>
        </w:rPr>
        <w:tab/>
        <w:t>h)</w:t>
      </w:r>
      <w:r w:rsidRPr="00731D63">
        <w:rPr>
          <w:lang w:val="fr-CA"/>
        </w:rPr>
        <w:tab/>
        <w:t xml:space="preserve">le fait </w:t>
      </w:r>
      <w:r w:rsidRPr="00B026BA">
        <w:rPr>
          <w:lang w:val="fr-CA"/>
        </w:rPr>
        <w:t>d’entraver</w:t>
      </w:r>
      <w:r w:rsidRPr="00731D63">
        <w:rPr>
          <w:lang w:val="fr-CA"/>
        </w:rPr>
        <w:t xml:space="preserve"> la marche normale des affaires. </w:t>
      </w:r>
    </w:p>
    <w:p w:rsidR="00A22250" w:rsidRPr="00731D63" w:rsidRDefault="00A22250" w:rsidP="00B026BA">
      <w:pPr>
        <w:pStyle w:val="ParaNoNdepar-AltN"/>
        <w:ind w:left="0"/>
        <w:rPr>
          <w:rFonts w:cs="Times New Roman"/>
          <w:lang w:val="fr-CA"/>
        </w:rPr>
      </w:pPr>
      <w:r w:rsidRPr="00731D63">
        <w:rPr>
          <w:rFonts w:cs="Times New Roman"/>
          <w:lang w:val="fr-CA"/>
        </w:rPr>
        <w:t xml:space="preserve">Castonguay a concédé que le rejet des éclats de roc avait causé des dommages à des biens, </w:t>
      </w:r>
      <w:r w:rsidRPr="00B026BA">
        <w:rPr>
          <w:lang w:val="fr-CA"/>
        </w:rPr>
        <w:t>mais</w:t>
      </w:r>
      <w:r w:rsidRPr="00731D63">
        <w:rPr>
          <w:rFonts w:cs="Times New Roman"/>
          <w:lang w:val="fr-CA"/>
        </w:rPr>
        <w:t xml:space="preserve"> a plaidé que le tort ou les dommages causés à une propriété privée ne suffisent pas à eux seuls à déclencher l’application de l’obligation de signalement.  Et donc, que comme le rejet n’a pas dégradé l’environnement naturel — à savoir l’air, le terrain ou l’eau —, elle n’était pas tenue de signaler l’incident au ministère.</w:t>
      </w:r>
    </w:p>
    <w:p w:rsidR="00A22250" w:rsidRPr="00731D63" w:rsidRDefault="00A22250" w:rsidP="00B026BA">
      <w:pPr>
        <w:pStyle w:val="ParaNoNdepar-AltN"/>
        <w:ind w:left="0"/>
        <w:rPr>
          <w:rFonts w:cs="Times New Roman"/>
          <w:lang w:val="fr-CA"/>
        </w:rPr>
      </w:pPr>
      <w:r w:rsidRPr="00731D63">
        <w:rPr>
          <w:rFonts w:cs="Times New Roman"/>
          <w:lang w:val="fr-CA"/>
        </w:rPr>
        <w:lastRenderedPageBreak/>
        <w:t xml:space="preserve">Essentiellement, l’argument de Castonguay consiste à dire que, quoique la définition de « conséquence préjudiciable » comporte huit éléments — </w:t>
      </w:r>
      <w:r w:rsidR="00574C2D">
        <w:rPr>
          <w:rFonts w:cs="Times New Roman"/>
          <w:lang w:val="fr-CA"/>
        </w:rPr>
        <w:t xml:space="preserve">les al. </w:t>
      </w:r>
      <w:r w:rsidRPr="00731D63">
        <w:rPr>
          <w:rFonts w:cs="Times New Roman"/>
          <w:lang w:val="fr-CA"/>
        </w:rPr>
        <w:t xml:space="preserve">a) à h) — l’al. a) constitue une exigence applicable dans tous les cas.  En d’autres mots, il </w:t>
      </w:r>
      <w:r w:rsidRPr="00731D63">
        <w:rPr>
          <w:rFonts w:cs="Times New Roman"/>
          <w:i/>
          <w:lang w:val="fr-CA"/>
        </w:rPr>
        <w:t>doit</w:t>
      </w:r>
      <w:r w:rsidRPr="00731D63">
        <w:rPr>
          <w:rFonts w:cs="Times New Roman"/>
          <w:lang w:val="fr-CA"/>
        </w:rPr>
        <w:t xml:space="preserve"> exister, comme le prévoit cet alinéa, une « dégradation de la qualité de l’environnement naturel relativement à tout usage qui peut en être fait » avant que l’un des sept autres éléments puisse entrer en jeu.  Ceux</w:t>
      </w:r>
      <w:r w:rsidRPr="00731D63">
        <w:rPr>
          <w:rFonts w:cs="Times New Roman"/>
          <w:lang w:val="fr-CA"/>
        </w:rPr>
        <w:noBreakHyphen/>
        <w:t xml:space="preserve">ci ne seraient pas des éléments indépendants et ils ne constitueraient une « conséquence préjudiciable » que s’ils s’accompagnent d’une dégradation de la qualité de l’environnement naturel prévue à l’al. a).  Pour cette raison, une conséquence préjudiciable définie aux al. b) à h), </w:t>
      </w:r>
      <w:r w:rsidRPr="00731D63">
        <w:rPr>
          <w:rFonts w:cs="Times New Roman"/>
          <w:i/>
          <w:lang w:val="fr-CA"/>
        </w:rPr>
        <w:t>qui ne serait pas</w:t>
      </w:r>
      <w:r w:rsidRPr="00731D63">
        <w:rPr>
          <w:rFonts w:cs="Times New Roman"/>
          <w:lang w:val="fr-CA"/>
        </w:rPr>
        <w:t xml:space="preserve"> accompagnée de la </w:t>
      </w:r>
      <w:r w:rsidRPr="00B026BA">
        <w:rPr>
          <w:lang w:val="fr-CA"/>
        </w:rPr>
        <w:t>dégradation</w:t>
      </w:r>
      <w:r w:rsidRPr="00731D63">
        <w:rPr>
          <w:rFonts w:cs="Times New Roman"/>
          <w:lang w:val="fr-CA"/>
        </w:rPr>
        <w:t xml:space="preserve"> de la qualité de l’environnement naturel visée à l’al. a), ne suffirait pas pour déclencher l’application du par. 15(1).</w:t>
      </w:r>
    </w:p>
    <w:p w:rsidR="00A22250" w:rsidRPr="00731D63" w:rsidRDefault="00A22250" w:rsidP="00B026BA">
      <w:pPr>
        <w:pStyle w:val="ParaNoNdepar-AltN"/>
        <w:ind w:left="0"/>
        <w:rPr>
          <w:rFonts w:cs="Times New Roman"/>
          <w:lang w:val="fr-CA"/>
        </w:rPr>
      </w:pPr>
      <w:r w:rsidRPr="00731D63">
        <w:rPr>
          <w:rFonts w:cs="Times New Roman"/>
          <w:lang w:val="fr-CA"/>
        </w:rPr>
        <w:t xml:space="preserve">Le ministre de l’Environnement a pour sa part plaidé que, si un rejet cause ou peut vraisemblablement causer </w:t>
      </w:r>
      <w:r w:rsidRPr="00731D63">
        <w:rPr>
          <w:rFonts w:cs="Times New Roman"/>
          <w:i/>
          <w:lang w:val="fr-CA"/>
        </w:rPr>
        <w:t>une ou plusieurs des</w:t>
      </w:r>
      <w:r w:rsidRPr="00731D63">
        <w:rPr>
          <w:rFonts w:cs="Times New Roman"/>
          <w:lang w:val="fr-CA"/>
        </w:rPr>
        <w:t xml:space="preserve"> conséquences préjudiciables énumérées aux al. a) à h) de la définition énoncée dans la loi, l’obligation que fait le par. 15(1) de signaler le rejet d’un contaminant se matérialise alors.  Chacun des huit éléments du paragraphe constitue une conséquence distincte, susceptible </w:t>
      </w:r>
      <w:r w:rsidR="003E754F">
        <w:rPr>
          <w:rFonts w:cs="Times New Roman"/>
          <w:lang w:val="fr-CA"/>
        </w:rPr>
        <w:t xml:space="preserve">de </w:t>
      </w:r>
      <w:r w:rsidRPr="00731D63">
        <w:rPr>
          <w:rFonts w:cs="Times New Roman"/>
          <w:lang w:val="fr-CA"/>
        </w:rPr>
        <w:t>faire naître l’obligation de signalement.</w:t>
      </w:r>
    </w:p>
    <w:p w:rsidR="00A22250" w:rsidRPr="00731D63" w:rsidRDefault="00A22250" w:rsidP="00B026BA">
      <w:pPr>
        <w:pStyle w:val="ParaNoNdepar-AltN"/>
        <w:ind w:left="0"/>
        <w:rPr>
          <w:rFonts w:cs="Times New Roman"/>
          <w:lang w:val="fr-CA"/>
        </w:rPr>
      </w:pPr>
      <w:r w:rsidRPr="00731D63">
        <w:rPr>
          <w:rFonts w:cs="Times New Roman"/>
          <w:lang w:val="fr-CA"/>
        </w:rPr>
        <w:t xml:space="preserve">Le texte du par. 15(1) et les définitions pertinentes de la </w:t>
      </w:r>
      <w:r w:rsidRPr="00731D63">
        <w:rPr>
          <w:rFonts w:cs="Times New Roman"/>
          <w:i/>
          <w:lang w:val="fr-CA"/>
        </w:rPr>
        <w:t>LPE</w:t>
      </w:r>
      <w:r w:rsidRPr="00731D63">
        <w:rPr>
          <w:rFonts w:cs="Times New Roman"/>
          <w:lang w:val="fr-CA"/>
        </w:rPr>
        <w:t xml:space="preserve"> appuient manifestement la thèse du ministre.  L’obligation de signalement prescrite par le par. 15(1) a pour but de faire en sorte que ce soit le ministère de l’Environnement, et non l’auteur du rejet, qui décide si des mesures supplémentaires sont requises et, dans </w:t>
      </w:r>
      <w:r w:rsidRPr="00731D63">
        <w:rPr>
          <w:rFonts w:cs="Times New Roman"/>
          <w:lang w:val="fr-CA"/>
        </w:rPr>
        <w:lastRenderedPageBreak/>
        <w:t xml:space="preserve">l’affirmative, lesquelles.  Lors du rejet d’un contaminant, il </w:t>
      </w:r>
      <w:r w:rsidRPr="00B026BA">
        <w:rPr>
          <w:lang w:val="fr-CA"/>
        </w:rPr>
        <w:t>est</w:t>
      </w:r>
      <w:r w:rsidRPr="00731D63">
        <w:rPr>
          <w:rFonts w:cs="Times New Roman"/>
          <w:lang w:val="fr-CA"/>
        </w:rPr>
        <w:t xml:space="preserve"> possible que l’auteur ne connaisse pas toute l’ampleur des dommages qui sont causés ou qui, comme le dit le par. 15(1), peuvent vraisemblablement être causés.  En outre, de nombreuses nuisances éventuelles, par exemple des atteintes à la santé humaine ou le tort aux végétaux ou aux animaux, et même la dégradation de l’environnement naturel, peuvent être difficiles à détecter sans l’expertise et les ressources dont dispose le ministère.  En conséquence, la loi confère au ministère, et non à l’auteur du rejet, l’obligation d’enquêter ainsi que le pouvoir de décider des mesures supplémentaires qui sont nécessaires.</w:t>
      </w:r>
    </w:p>
    <w:p w:rsidR="00A22250" w:rsidRPr="00731D63" w:rsidRDefault="00A22250" w:rsidP="00B026BA">
      <w:pPr>
        <w:pStyle w:val="ParaNoNdepar-AltN"/>
        <w:ind w:left="0"/>
        <w:rPr>
          <w:rFonts w:cs="Times New Roman"/>
          <w:lang w:val="fr-CA"/>
        </w:rPr>
      </w:pPr>
      <w:r w:rsidRPr="00731D63">
        <w:rPr>
          <w:rFonts w:cs="Times New Roman"/>
          <w:lang w:val="fr-CA"/>
        </w:rPr>
        <w:t xml:space="preserve">La réception </w:t>
      </w:r>
      <w:r w:rsidRPr="00B026BA">
        <w:rPr>
          <w:lang w:val="fr-CA"/>
        </w:rPr>
        <w:t>de</w:t>
      </w:r>
      <w:r w:rsidRPr="00731D63">
        <w:rPr>
          <w:rFonts w:cs="Times New Roman"/>
          <w:lang w:val="fr-CA"/>
        </w:rPr>
        <w:t xml:space="preserve"> l’avis prescrit donne au ministère la possibilité de procéder aussi rapidement que possible à une inspection et d’obtenir des renseignements en vue de prendre toutes les mesures réparatrices nécessaires et de s’acquitter du mandat que lui confie la loi.  Ce processus lui permet également de réagir en temps utile au rejet d’un contaminant dans l’environnement naturel et de participer à la détermination, s’il y a lieu, des mesures préventives ou réparatrices appropriées.</w:t>
      </w:r>
    </w:p>
    <w:p w:rsidR="00A22250" w:rsidRPr="00731D63" w:rsidRDefault="00A22250" w:rsidP="00B026BA">
      <w:pPr>
        <w:pStyle w:val="ParaNoNdepar-AltN"/>
        <w:ind w:left="0"/>
        <w:rPr>
          <w:rFonts w:cs="Times New Roman"/>
          <w:lang w:val="fr-CA"/>
        </w:rPr>
      </w:pPr>
      <w:r w:rsidRPr="00731D63">
        <w:rPr>
          <w:rFonts w:cs="Times New Roman"/>
          <w:lang w:val="fr-CA"/>
        </w:rPr>
        <w:t xml:space="preserve">Comme le soulignent dans leur mémoire conjoint les intervenantes l’Association canadienne du droit de l’environnement et Lake Ontario Waterkeeper, le par. 15(1) est également compatible avec le principe de précaution.  Ce principe émergent en droit international reconnaît en effet que, parce qu’il est intrinsèquement difficile de déterminer et de prédire avec une certitude scientifique les répercussions </w:t>
      </w:r>
      <w:r w:rsidRPr="00731D63">
        <w:rPr>
          <w:rFonts w:cs="Times New Roman"/>
          <w:lang w:val="fr-CA"/>
        </w:rPr>
        <w:lastRenderedPageBreak/>
        <w:t>environnementales, les politiques en la matière doivent anticiper et prévenir les dégradations environnementales </w:t>
      </w:r>
      <w:r w:rsidR="00506206">
        <w:rPr>
          <w:rFonts w:cs="Times New Roman"/>
          <w:lang w:val="fr-CA"/>
        </w:rPr>
        <w:t>(</w:t>
      </w:r>
      <w:r w:rsidRPr="00731D63">
        <w:rPr>
          <w:rFonts w:cs="Times New Roman"/>
          <w:lang w:val="fr-CA"/>
        </w:rPr>
        <w:t xml:space="preserve">O. McIntyre et T. Mosedale, « The Precautionary Principle as a Norm of Customary International Law » (1997), 9 </w:t>
      </w:r>
      <w:r w:rsidRPr="00731D63">
        <w:rPr>
          <w:rFonts w:cs="Times New Roman"/>
          <w:i/>
          <w:lang w:val="fr-CA"/>
        </w:rPr>
        <w:t>J. Env</w:t>
      </w:r>
      <w:r w:rsidR="00506206">
        <w:rPr>
          <w:rFonts w:cs="Times New Roman"/>
          <w:i/>
          <w:lang w:val="fr-CA"/>
        </w:rPr>
        <w:t>tl</w:t>
      </w:r>
      <w:r w:rsidRPr="00731D63">
        <w:rPr>
          <w:rFonts w:cs="Times New Roman"/>
          <w:i/>
          <w:lang w:val="fr-CA"/>
        </w:rPr>
        <w:t>. L.</w:t>
      </w:r>
      <w:r w:rsidRPr="00731D63">
        <w:rPr>
          <w:rFonts w:cs="Times New Roman"/>
          <w:lang w:val="fr-CA"/>
        </w:rPr>
        <w:t xml:space="preserve"> 221, p. 221</w:t>
      </w:r>
      <w:r w:rsidRPr="00731D63">
        <w:rPr>
          <w:rFonts w:cs="Times New Roman"/>
          <w:lang w:val="fr-CA"/>
        </w:rPr>
        <w:noBreakHyphen/>
        <w:t xml:space="preserve">222; </w:t>
      </w:r>
      <w:r w:rsidRPr="00731D63">
        <w:rPr>
          <w:rFonts w:cs="Times New Roman"/>
          <w:i/>
          <w:lang w:val="fr-CA"/>
        </w:rPr>
        <w:t>114957</w:t>
      </w:r>
      <w:r w:rsidRPr="00731D63">
        <w:rPr>
          <w:rFonts w:cs="Times New Roman"/>
          <w:lang w:val="fr-CA"/>
        </w:rPr>
        <w:t xml:space="preserve"> </w:t>
      </w:r>
      <w:r w:rsidRPr="00731D63">
        <w:rPr>
          <w:rFonts w:cs="Times New Roman"/>
          <w:i/>
          <w:lang w:val="fr-CA"/>
        </w:rPr>
        <w:t xml:space="preserve">Canada Ltée (Spraytech, Société d’arrosage) </w:t>
      </w:r>
      <w:r w:rsidRPr="00731D63">
        <w:rPr>
          <w:rFonts w:cs="Times New Roman"/>
          <w:i/>
          <w:iCs/>
          <w:lang w:val="fr-CA"/>
        </w:rPr>
        <w:t>c</w:t>
      </w:r>
      <w:r w:rsidRPr="00731D63">
        <w:rPr>
          <w:rFonts w:cs="Times New Roman"/>
          <w:i/>
          <w:lang w:val="fr-CA"/>
        </w:rPr>
        <w:t>. Hudson (Ville)</w:t>
      </w:r>
      <w:r w:rsidRPr="00731D63">
        <w:rPr>
          <w:rFonts w:cs="Times New Roman"/>
          <w:lang w:val="fr-CA"/>
        </w:rPr>
        <w:t>, 2001 CSC 40, [2001] 2 R.C.S. 241, par. 30</w:t>
      </w:r>
      <w:r w:rsidRPr="00731D63">
        <w:rPr>
          <w:rFonts w:cs="Times New Roman"/>
          <w:lang w:val="fr-CA"/>
        </w:rPr>
        <w:noBreakHyphen/>
        <w:t>32</w:t>
      </w:r>
      <w:r w:rsidR="00506206">
        <w:rPr>
          <w:rFonts w:cs="Times New Roman"/>
          <w:lang w:val="fr-CA"/>
        </w:rPr>
        <w:t>)</w:t>
      </w:r>
      <w:r w:rsidRPr="00731D63">
        <w:rPr>
          <w:rFonts w:cs="Times New Roman"/>
          <w:lang w:val="fr-CA"/>
        </w:rPr>
        <w:t>.  Le paragraphe 15(1) répond aux préoccupations à la base du principe de précaution en faisant en sorte que le ministère de l’Environnement soit avisé et ait la possibilité de réagir dès qu’il y a eu rejet de contaminants en dehors du cours normal des événements, sans qu’il soit nécessaire d’attendre la preuve d’une dégradation effective de l’environnement naturel.</w:t>
      </w:r>
    </w:p>
    <w:p w:rsidR="00A22250" w:rsidRPr="00731D63" w:rsidRDefault="00A22250" w:rsidP="00B026BA">
      <w:pPr>
        <w:pStyle w:val="ParaNoNdepar-AltN"/>
        <w:ind w:left="0"/>
        <w:rPr>
          <w:rFonts w:cs="Times New Roman"/>
          <w:lang w:val="fr-CA"/>
        </w:rPr>
      </w:pPr>
      <w:r w:rsidRPr="00731D63">
        <w:rPr>
          <w:rFonts w:cs="Times New Roman"/>
          <w:lang w:val="fr-CA"/>
        </w:rPr>
        <w:t xml:space="preserve">L’analyse grammaticale du texte du par. 15(1) fait bien ressortir les objectifs limpides de prévention et de protection qu’il vise.  En premier lieu, il faut qu’une personne rejette un </w:t>
      </w:r>
      <w:r w:rsidRPr="00731D63">
        <w:rPr>
          <w:rFonts w:cs="Times New Roman"/>
          <w:i/>
          <w:lang w:val="fr-CA"/>
        </w:rPr>
        <w:t>contaminant</w:t>
      </w:r>
      <w:r w:rsidRPr="00731D63">
        <w:rPr>
          <w:rFonts w:cs="Times New Roman"/>
          <w:lang w:val="fr-CA"/>
        </w:rPr>
        <w:t xml:space="preserve">.  Deuxièmement, ce contaminant doit être rejeté </w:t>
      </w:r>
      <w:r w:rsidRPr="00731D63">
        <w:rPr>
          <w:rFonts w:cs="Times New Roman"/>
          <w:i/>
          <w:lang w:val="fr-CA"/>
        </w:rPr>
        <w:t>dans l’environnement naturel</w:t>
      </w:r>
      <w:r w:rsidRPr="00731D63">
        <w:rPr>
          <w:rFonts w:cs="Times New Roman"/>
          <w:lang w:val="fr-CA"/>
        </w:rPr>
        <w:t xml:space="preserve">.  Troisièmement, le rejet doit être accompli </w:t>
      </w:r>
      <w:r w:rsidRPr="00731D63">
        <w:rPr>
          <w:rFonts w:cs="Times New Roman"/>
          <w:i/>
          <w:lang w:val="fr-CA"/>
        </w:rPr>
        <w:t>en dehors du cours normal des événements</w:t>
      </w:r>
      <w:r w:rsidRPr="00731D63">
        <w:rPr>
          <w:rFonts w:cs="Times New Roman"/>
          <w:lang w:val="fr-CA"/>
        </w:rPr>
        <w:t xml:space="preserve">.  Quatrièmement, il faut que ce soit un rejet qui </w:t>
      </w:r>
      <w:r w:rsidRPr="00731D63">
        <w:rPr>
          <w:rFonts w:cs="Times New Roman"/>
          <w:i/>
          <w:lang w:val="fr-CA"/>
        </w:rPr>
        <w:t>cause ou causera vraisemblablement une conséquence préjudiciable</w:t>
      </w:r>
      <w:r w:rsidRPr="00731D63">
        <w:rPr>
          <w:rFonts w:cs="Times New Roman"/>
          <w:lang w:val="fr-CA"/>
        </w:rPr>
        <w:t xml:space="preserve">.  Enfin, </w:t>
      </w:r>
      <w:r w:rsidRPr="00B026BA">
        <w:rPr>
          <w:lang w:val="fr-CA"/>
        </w:rPr>
        <w:t>l’auteur</w:t>
      </w:r>
      <w:r w:rsidRPr="00731D63">
        <w:rPr>
          <w:rFonts w:cs="Times New Roman"/>
          <w:lang w:val="fr-CA"/>
        </w:rPr>
        <w:t xml:space="preserve"> du rejet ne doit pas être par ailleurs tenu d’aviser le ministère conformément à l’art. 92; cet article vise le déversement de polluants à partir d’un ouvrage, d’un véhicule ou d’un contenant, et il ne s’applique donc pas dans les circonstances de l’espèce.</w:t>
      </w:r>
    </w:p>
    <w:p w:rsidR="00A22250" w:rsidRPr="00731D63" w:rsidRDefault="00A22250" w:rsidP="00B026BA">
      <w:pPr>
        <w:pStyle w:val="ParaNoNdepar-AltN"/>
        <w:ind w:left="0"/>
        <w:rPr>
          <w:rFonts w:cs="Times New Roman"/>
          <w:lang w:val="fr-CA"/>
        </w:rPr>
      </w:pPr>
      <w:r w:rsidRPr="00731D63">
        <w:rPr>
          <w:rFonts w:cs="Times New Roman"/>
          <w:lang w:val="fr-CA"/>
        </w:rPr>
        <w:t xml:space="preserve">L’examen de chacune de ces expressions à tour de rôle révèle toute la portée de l’obligation de signalement.  Le paragraphe 15(1) s’applique au rejet de </w:t>
      </w:r>
      <w:r w:rsidRPr="00731D63">
        <w:rPr>
          <w:rFonts w:cs="Times New Roman"/>
          <w:lang w:val="fr-CA"/>
        </w:rPr>
        <w:lastRenderedPageBreak/>
        <w:t>« contaminant</w:t>
      </w:r>
      <w:r w:rsidR="000440CC">
        <w:rPr>
          <w:rFonts w:cs="Times New Roman"/>
          <w:lang w:val="fr-CA"/>
        </w:rPr>
        <w:t>[</w:t>
      </w:r>
      <w:r w:rsidRPr="00731D63">
        <w:rPr>
          <w:rFonts w:cs="Times New Roman"/>
          <w:lang w:val="fr-CA"/>
        </w:rPr>
        <w:t>s</w:t>
      </w:r>
      <w:r w:rsidR="000440CC">
        <w:rPr>
          <w:rFonts w:cs="Times New Roman"/>
          <w:lang w:val="fr-CA"/>
        </w:rPr>
        <w:t>]</w:t>
      </w:r>
      <w:r w:rsidRPr="00731D63">
        <w:rPr>
          <w:rFonts w:cs="Times New Roman"/>
          <w:lang w:val="fr-CA"/>
        </w:rPr>
        <w:t xml:space="preserve"> » au sens de la </w:t>
      </w:r>
      <w:r w:rsidRPr="00731D63">
        <w:rPr>
          <w:rFonts w:cs="Times New Roman"/>
          <w:i/>
          <w:lang w:val="fr-CA"/>
        </w:rPr>
        <w:t>LPE</w:t>
      </w:r>
      <w:r w:rsidRPr="00731D63">
        <w:rPr>
          <w:rFonts w:cs="Times New Roman"/>
          <w:lang w:val="fr-CA"/>
        </w:rPr>
        <w:t xml:space="preserve">.  Le mot « contaminant » est défini ainsi au par. 1(1) de la </w:t>
      </w:r>
      <w:r w:rsidRPr="00731D63">
        <w:rPr>
          <w:rFonts w:cs="Times New Roman"/>
          <w:i/>
          <w:lang w:val="fr-CA"/>
        </w:rPr>
        <w:t>LPE </w:t>
      </w:r>
      <w:r w:rsidRPr="000440CC">
        <w:rPr>
          <w:rFonts w:cs="Times New Roman"/>
          <w:lang w:val="fr-CA"/>
        </w:rPr>
        <w:t xml:space="preserve">: </w:t>
      </w:r>
      <w:r w:rsidRPr="00731D63">
        <w:rPr>
          <w:rFonts w:cs="Times New Roman"/>
          <w:lang w:val="fr-CA"/>
        </w:rPr>
        <w:t xml:space="preserve">« [s]olide, liquide, gaz, son, odeur, chaleur, vibration, </w:t>
      </w:r>
      <w:r w:rsidRPr="00B026BA">
        <w:rPr>
          <w:lang w:val="fr-CA"/>
        </w:rPr>
        <w:t>radiation</w:t>
      </w:r>
      <w:r w:rsidRPr="00731D63">
        <w:rPr>
          <w:rFonts w:cs="Times New Roman"/>
          <w:lang w:val="fr-CA"/>
        </w:rPr>
        <w:t xml:space="preserve"> ou combinaison de ces éléments qui proviennent, directement ou indirectement, des activités humaines et qui ont ou peuvent avoir une conséquence préjudiciable</w:t>
      </w:r>
      <w:r w:rsidR="000440CC">
        <w:rPr>
          <w:rFonts w:cs="Times New Roman"/>
          <w:lang w:val="fr-CA"/>
        </w:rPr>
        <w:t>.</w:t>
      </w:r>
      <w:r w:rsidRPr="00731D63">
        <w:rPr>
          <w:rFonts w:cs="Times New Roman"/>
          <w:lang w:val="fr-CA"/>
        </w:rPr>
        <w:t xml:space="preserve"> »  La mention de l’expression activités humaines dans la définition de contaminant, lorsqu’elle est considérée dans le contexte de l’art. 15 et de la </w:t>
      </w:r>
      <w:r w:rsidRPr="00731D63">
        <w:rPr>
          <w:rFonts w:cs="Times New Roman"/>
          <w:i/>
          <w:lang w:val="fr-CA"/>
        </w:rPr>
        <w:t>LPE</w:t>
      </w:r>
      <w:r w:rsidRPr="00731D63">
        <w:rPr>
          <w:rFonts w:cs="Times New Roman"/>
          <w:lang w:val="fr-CA"/>
        </w:rPr>
        <w:t xml:space="preserve"> dans son ensemble, indique que la</w:t>
      </w:r>
      <w:r w:rsidRPr="00731D63">
        <w:rPr>
          <w:rFonts w:cs="Times New Roman"/>
          <w:i/>
          <w:lang w:val="fr-CA"/>
        </w:rPr>
        <w:t xml:space="preserve"> LPE</w:t>
      </w:r>
      <w:r w:rsidRPr="00731D63">
        <w:rPr>
          <w:rFonts w:cs="Times New Roman"/>
          <w:lang w:val="fr-CA"/>
        </w:rPr>
        <w:t xml:space="preserve"> ne s’applique qu’aux activités touchant l’environnement naturel — l’air, le terrain et l’eau dans la province.  Cela permet de</w:t>
      </w:r>
      <w:r>
        <w:rPr>
          <w:rFonts w:cs="Times New Roman"/>
          <w:lang w:val="fr-CA"/>
        </w:rPr>
        <w:t xml:space="preserve"> </w:t>
      </w:r>
      <w:r w:rsidRPr="00731D63">
        <w:rPr>
          <w:rFonts w:cs="Times New Roman"/>
          <w:lang w:val="fr-CA"/>
        </w:rPr>
        <w:t xml:space="preserve">rattacher la définition de contaminant et l’art. 15 de la </w:t>
      </w:r>
      <w:r w:rsidRPr="00731D63">
        <w:rPr>
          <w:rFonts w:cs="Times New Roman"/>
          <w:i/>
          <w:lang w:val="fr-CA"/>
        </w:rPr>
        <w:t>LPE</w:t>
      </w:r>
      <w:r w:rsidRPr="00731D63">
        <w:rPr>
          <w:rFonts w:cs="Times New Roman"/>
          <w:lang w:val="fr-CA"/>
        </w:rPr>
        <w:t xml:space="preserve"> à l’objectif de la loi, c’est</w:t>
      </w:r>
      <w:r w:rsidRPr="00731D63">
        <w:rPr>
          <w:rFonts w:cs="Times New Roman"/>
          <w:lang w:val="fr-CA"/>
        </w:rPr>
        <w:noBreakHyphen/>
        <w:t>à</w:t>
      </w:r>
      <w:r w:rsidRPr="00731D63">
        <w:rPr>
          <w:rFonts w:cs="Times New Roman"/>
          <w:lang w:val="fr-CA"/>
        </w:rPr>
        <w:noBreakHyphen/>
        <w:t>dire la protection de l’environnement.</w:t>
      </w:r>
    </w:p>
    <w:p w:rsidR="00A22250" w:rsidRPr="00731D63" w:rsidRDefault="00A22250" w:rsidP="00B026BA">
      <w:pPr>
        <w:pStyle w:val="ParaNoNdepar-AltN"/>
        <w:ind w:left="0"/>
        <w:rPr>
          <w:rFonts w:cs="Times New Roman"/>
          <w:lang w:val="fr-CA"/>
        </w:rPr>
      </w:pPr>
      <w:r w:rsidRPr="00731D63">
        <w:rPr>
          <w:rFonts w:cs="Times New Roman"/>
          <w:lang w:val="fr-CA"/>
        </w:rPr>
        <w:t xml:space="preserve">Il doit s’agir d’un rejet </w:t>
      </w:r>
      <w:r w:rsidRPr="00731D63">
        <w:rPr>
          <w:rFonts w:cs="Times New Roman"/>
          <w:i/>
          <w:lang w:val="fr-CA"/>
        </w:rPr>
        <w:t>dans l’environnement naturel</w:t>
      </w:r>
      <w:r w:rsidRPr="00731D63">
        <w:rPr>
          <w:rFonts w:cs="Times New Roman"/>
          <w:lang w:val="fr-CA"/>
        </w:rPr>
        <w:t>, expression définie comme étant l’air, le terrain et l’eau en Ontario.  Le paragraphe 15(1) n’impose aucune restriction quant à la durée de la présence du contaminant dans l’environnement naturel et il n’exige pas non plus que le contaminant s’y intègre.</w:t>
      </w:r>
    </w:p>
    <w:p w:rsidR="00A22250" w:rsidRPr="00731D63" w:rsidRDefault="00A22250" w:rsidP="00B026BA">
      <w:pPr>
        <w:pStyle w:val="ParaNoNdepar-AltN"/>
        <w:ind w:left="0"/>
        <w:rPr>
          <w:rFonts w:cs="Times New Roman"/>
          <w:lang w:val="fr-CA"/>
        </w:rPr>
      </w:pPr>
      <w:r w:rsidRPr="00731D63">
        <w:rPr>
          <w:rFonts w:cs="Times New Roman"/>
          <w:lang w:val="fr-CA"/>
        </w:rPr>
        <w:t xml:space="preserve">L’obligation de </w:t>
      </w:r>
      <w:r w:rsidRPr="00B026BA">
        <w:rPr>
          <w:lang w:val="fr-CA"/>
        </w:rPr>
        <w:t>signaler</w:t>
      </w:r>
      <w:r w:rsidRPr="00731D63">
        <w:rPr>
          <w:rFonts w:cs="Times New Roman"/>
          <w:lang w:val="fr-CA"/>
        </w:rPr>
        <w:t xml:space="preserve"> un rejet au ministère vise seulement les rejets accomplis </w:t>
      </w:r>
      <w:r w:rsidRPr="00731D63">
        <w:rPr>
          <w:rFonts w:cs="Times New Roman"/>
          <w:i/>
          <w:lang w:val="fr-CA"/>
        </w:rPr>
        <w:t>en dehors du cours normal des événements</w:t>
      </w:r>
      <w:r w:rsidRPr="00731D63">
        <w:rPr>
          <w:rFonts w:cs="Times New Roman"/>
          <w:lang w:val="fr-CA"/>
        </w:rPr>
        <w:t>.  Cette précision a pour effet de restreindre le champ de l’application du par. 15(1) du fait qu’elle exclut de celui</w:t>
      </w:r>
      <w:r w:rsidRPr="00731D63">
        <w:rPr>
          <w:rFonts w:cs="Times New Roman"/>
          <w:lang w:val="fr-CA"/>
        </w:rPr>
        <w:noBreakHyphen/>
        <w:t>ci de nombreuses activités courantes de la vie quotidienne.  Par exemple, bien que la conduite d’une automobile entraîne le rejet de gaz d’échappement dans l’environnement naturel, un tel rejet n’est pas accompli en dehors du cours normal des événements et, en conséquence, aucun avis au ministère n’est requis à cet égard.</w:t>
      </w:r>
    </w:p>
    <w:p w:rsidR="00A22250" w:rsidRPr="00731D63" w:rsidRDefault="00A22250" w:rsidP="00B026BA">
      <w:pPr>
        <w:pStyle w:val="ParaNoNdepar-AltN"/>
        <w:ind w:left="0"/>
        <w:rPr>
          <w:rFonts w:cs="Times New Roman"/>
          <w:lang w:val="fr-CA"/>
        </w:rPr>
      </w:pPr>
      <w:r w:rsidRPr="00731D63">
        <w:rPr>
          <w:rFonts w:cs="Times New Roman"/>
          <w:lang w:val="fr-CA"/>
        </w:rPr>
        <w:lastRenderedPageBreak/>
        <w:t xml:space="preserve">Selon moi, le </w:t>
      </w:r>
      <w:r w:rsidRPr="00B026BA">
        <w:rPr>
          <w:lang w:val="fr-CA"/>
        </w:rPr>
        <w:t>facteur</w:t>
      </w:r>
      <w:r w:rsidRPr="00731D63">
        <w:rPr>
          <w:rFonts w:cs="Times New Roman"/>
          <w:lang w:val="fr-CA"/>
        </w:rPr>
        <w:t xml:space="preserve"> clé pour bien comprendre le par. 15(1) est la condition requérant que le rejet du contaminant ait causé ou causerait vraisemblablement une « conséquence préjudiciable ».  Comme je l’ai souligné précédemment, l’expression conséquence préjudiciable est définie ainsi :</w:t>
      </w:r>
    </w:p>
    <w:p w:rsidR="00A22250" w:rsidRPr="00731D63" w:rsidRDefault="00A22250" w:rsidP="002F6943">
      <w:pPr>
        <w:pStyle w:val="SCCNormalDoubleSpacing"/>
        <w:spacing w:after="240" w:line="240" w:lineRule="auto"/>
        <w:ind w:left="1620" w:hanging="1620"/>
        <w:rPr>
          <w:lang w:val="fr-CA"/>
        </w:rPr>
      </w:pPr>
      <w:r w:rsidRPr="00731D63">
        <w:rPr>
          <w:lang w:val="fr-CA"/>
        </w:rPr>
        <w:tab/>
        <w:t>« </w:t>
      </w:r>
      <w:r w:rsidRPr="00731D63">
        <w:rPr>
          <w:b/>
          <w:lang w:val="fr-CA"/>
        </w:rPr>
        <w:t>conséquence préjudiciable</w:t>
      </w:r>
      <w:r w:rsidRPr="00731D63">
        <w:rPr>
          <w:lang w:val="fr-CA"/>
        </w:rPr>
        <w:t xml:space="preserve"> » </w:t>
      </w:r>
      <w:r w:rsidRPr="00731D63">
        <w:rPr>
          <w:i/>
          <w:lang w:val="fr-CA"/>
        </w:rPr>
        <w:t>L’une ou plusieurs des conséquences suivantes</w:t>
      </w:r>
      <w:r w:rsidRPr="00731D63">
        <w:rPr>
          <w:lang w:val="fr-CA"/>
        </w:rPr>
        <w:t> :</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a)</w:t>
      </w:r>
      <w:r w:rsidRPr="00731D63">
        <w:rPr>
          <w:lang w:val="fr-CA"/>
        </w:rPr>
        <w:tab/>
        <w:t>la dégradation de la qualité de l’environnement naturel relativement à tout usage qui peut en être fait;</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b)</w:t>
      </w:r>
      <w:r w:rsidRPr="00731D63">
        <w:rPr>
          <w:lang w:val="fr-CA"/>
        </w:rPr>
        <w:tab/>
        <w:t>le tort ou les dommages causés à des biens, des végétaux ou des animaux;</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c)</w:t>
      </w:r>
      <w:r w:rsidRPr="00731D63">
        <w:rPr>
          <w:lang w:val="fr-CA"/>
        </w:rPr>
        <w:tab/>
        <w:t>la nuisance ou les malaises sensibles causés à quiconque;</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d)</w:t>
      </w:r>
      <w:r w:rsidRPr="00731D63">
        <w:rPr>
          <w:lang w:val="fr-CA"/>
        </w:rPr>
        <w:tab/>
        <w:t>l’altération de la santé de quiconque;</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e)</w:t>
      </w:r>
      <w:r w:rsidRPr="00731D63">
        <w:rPr>
          <w:lang w:val="fr-CA"/>
        </w:rPr>
        <w:tab/>
        <w:t>l’atteinte à la sécurité de quiconque;</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f)</w:t>
      </w:r>
      <w:r w:rsidRPr="00731D63">
        <w:rPr>
          <w:lang w:val="fr-CA"/>
        </w:rPr>
        <w:tab/>
        <w:t>le fait de rendre des biens, des végétaux ou des animaux impropres à l’usage des êtres humains;</w:t>
      </w:r>
    </w:p>
    <w:p w:rsidR="00A22250" w:rsidRPr="00731D63" w:rsidRDefault="00A22250" w:rsidP="00C27C87">
      <w:pPr>
        <w:pStyle w:val="Citation-AltC"/>
        <w:tabs>
          <w:tab w:val="left" w:pos="1620"/>
          <w:tab w:val="left" w:pos="2160"/>
        </w:tabs>
        <w:spacing w:after="240"/>
        <w:ind w:left="2160" w:hanging="2070"/>
        <w:contextualSpacing w:val="0"/>
        <w:rPr>
          <w:lang w:val="fr-CA"/>
        </w:rPr>
      </w:pPr>
      <w:r w:rsidRPr="00731D63">
        <w:rPr>
          <w:lang w:val="fr-CA"/>
        </w:rPr>
        <w:tab/>
        <w:t>g)</w:t>
      </w:r>
      <w:r w:rsidRPr="00731D63">
        <w:rPr>
          <w:lang w:val="fr-CA"/>
        </w:rPr>
        <w:tab/>
        <w:t>la perte de jouissance de l’usage normal d’un bien;</w:t>
      </w:r>
    </w:p>
    <w:p w:rsidR="00A22250" w:rsidRPr="00731D63" w:rsidRDefault="00A22250" w:rsidP="00C27C87">
      <w:pPr>
        <w:pStyle w:val="Citation-AltC"/>
        <w:tabs>
          <w:tab w:val="left" w:pos="1620"/>
          <w:tab w:val="left" w:pos="2160"/>
        </w:tabs>
        <w:ind w:left="2160" w:hanging="2074"/>
        <w:contextualSpacing w:val="0"/>
        <w:rPr>
          <w:lang w:val="fr-CA"/>
        </w:rPr>
      </w:pPr>
      <w:r w:rsidRPr="00731D63">
        <w:rPr>
          <w:lang w:val="fr-CA"/>
        </w:rPr>
        <w:tab/>
        <w:t>h)</w:t>
      </w:r>
      <w:r w:rsidRPr="00731D63">
        <w:rPr>
          <w:lang w:val="fr-CA"/>
        </w:rPr>
        <w:tab/>
        <w:t xml:space="preserve">le fait d’entraver la marche normale des affaires. </w:t>
      </w:r>
    </w:p>
    <w:p w:rsidR="00A22250" w:rsidRPr="00731D63" w:rsidRDefault="00A22250" w:rsidP="00B026BA">
      <w:pPr>
        <w:pStyle w:val="ParaNoNdepar-AltN"/>
        <w:ind w:left="0"/>
        <w:rPr>
          <w:rFonts w:cs="Times New Roman"/>
          <w:lang w:val="fr-CA"/>
        </w:rPr>
      </w:pPr>
      <w:r w:rsidRPr="00731D63">
        <w:rPr>
          <w:rFonts w:cs="Times New Roman"/>
          <w:lang w:val="fr-CA"/>
        </w:rPr>
        <w:t xml:space="preserve">Il existe déjà un certain nombre de décisions de notre Cour et de la Cour d’appel de l’Ontario susceptibles de guider notre interprétation.  Ainsi, dans l’arrêt </w:t>
      </w:r>
      <w:r w:rsidRPr="00731D63">
        <w:rPr>
          <w:rFonts w:cs="Times New Roman"/>
          <w:i/>
          <w:lang w:val="fr-CA"/>
        </w:rPr>
        <w:t>Canadien Pacifique</w:t>
      </w:r>
      <w:r w:rsidRPr="00C27C87">
        <w:rPr>
          <w:rFonts w:cs="Times New Roman"/>
          <w:lang w:val="fr-CA"/>
        </w:rPr>
        <w:t xml:space="preserve">, </w:t>
      </w:r>
      <w:r w:rsidRPr="00731D63">
        <w:rPr>
          <w:rFonts w:cs="Times New Roman"/>
          <w:lang w:val="fr-CA"/>
        </w:rPr>
        <w:t xml:space="preserve">notre Cour a examiné une version antérieure de la </w:t>
      </w:r>
      <w:r w:rsidRPr="00731D63">
        <w:rPr>
          <w:rFonts w:cs="Times New Roman"/>
          <w:i/>
          <w:lang w:val="fr-CA"/>
        </w:rPr>
        <w:t>LPE</w:t>
      </w:r>
      <w:r w:rsidRPr="00731D63">
        <w:rPr>
          <w:rFonts w:cs="Times New Roman"/>
          <w:lang w:val="fr-CA"/>
        </w:rPr>
        <w:t xml:space="preserve">, qui ne comportait pas expressément l’expression « conséquence préjudiciable ».  Le pourvoi portait principalement sur l’ancien par. 13(1) de la </w:t>
      </w:r>
      <w:r w:rsidRPr="00731D63">
        <w:rPr>
          <w:rFonts w:cs="Times New Roman"/>
          <w:i/>
          <w:lang w:val="fr-CA"/>
        </w:rPr>
        <w:t>LPE</w:t>
      </w:r>
      <w:r w:rsidRPr="00731D63">
        <w:rPr>
          <w:rFonts w:cs="Times New Roman"/>
          <w:lang w:val="fr-CA"/>
        </w:rPr>
        <w:t>, L.R.O. 1980, ch. 141, qui était rédigé en ces termes :</w:t>
      </w:r>
    </w:p>
    <w:p w:rsidR="00A22250" w:rsidRPr="00731D63" w:rsidRDefault="00A22250" w:rsidP="00A22250">
      <w:pPr>
        <w:pStyle w:val="Citation-AltC"/>
        <w:spacing w:after="240"/>
        <w:ind w:hanging="1166"/>
        <w:contextualSpacing w:val="0"/>
        <w:rPr>
          <w:lang w:val="fr-CA"/>
        </w:rPr>
      </w:pPr>
      <w:r w:rsidRPr="00731D63">
        <w:rPr>
          <w:lang w:val="fr-CA"/>
        </w:rPr>
        <w:lastRenderedPageBreak/>
        <w:tab/>
        <w:t>[</w:t>
      </w:r>
      <w:r w:rsidRPr="00731D63">
        <w:rPr>
          <w:smallCaps/>
          <w:lang w:val="fr-CA"/>
        </w:rPr>
        <w:t>traduction</w:t>
      </w:r>
      <w:r w:rsidRPr="00731D63">
        <w:rPr>
          <w:lang w:val="fr-CA"/>
        </w:rPr>
        <w:t>]</w:t>
      </w:r>
    </w:p>
    <w:p w:rsidR="00A22250" w:rsidRPr="00731D63" w:rsidRDefault="00A22250" w:rsidP="00C27C87">
      <w:pPr>
        <w:pStyle w:val="Citation-AltC"/>
        <w:tabs>
          <w:tab w:val="left" w:pos="1440"/>
        </w:tabs>
        <w:spacing w:after="240"/>
        <w:ind w:hanging="1166"/>
        <w:contextualSpacing w:val="0"/>
        <w:rPr>
          <w:lang w:val="fr-CA"/>
        </w:rPr>
      </w:pPr>
      <w:r w:rsidRPr="00731D63">
        <w:rPr>
          <w:b/>
          <w:lang w:val="fr-CA"/>
        </w:rPr>
        <w:tab/>
      </w:r>
      <w:r w:rsidRPr="00731D63">
        <w:rPr>
          <w:b/>
          <w:lang w:val="fr-CA"/>
        </w:rPr>
        <w:tab/>
        <w:t>13.</w:t>
      </w:r>
      <w:r w:rsidRPr="00731D63">
        <w:rPr>
          <w:lang w:val="fr-CA"/>
        </w:rPr>
        <w:t>—(1)  Malgré toute autre disposition de la présente loi et des règlements, nul ne doit déposer, ajouter, émettre ou rejeter un contaminant, ou causer ou permettre le dépôt, l’ajout, l’émission ou le rejet dans l’environnement naturel d’un contaminant qui</w:t>
      </w:r>
    </w:p>
    <w:p w:rsidR="00A22250" w:rsidRPr="00731D63" w:rsidRDefault="00A22250" w:rsidP="00C27C87">
      <w:pPr>
        <w:pStyle w:val="Citation-AltC"/>
        <w:tabs>
          <w:tab w:val="left" w:pos="1440"/>
        </w:tabs>
        <w:spacing w:after="240"/>
        <w:ind w:left="1980" w:hanging="1800"/>
        <w:contextualSpacing w:val="0"/>
        <w:rPr>
          <w:lang w:val="fr-CA"/>
        </w:rPr>
      </w:pPr>
      <w:r w:rsidRPr="00731D63">
        <w:rPr>
          <w:lang w:val="fr-CA"/>
        </w:rPr>
        <w:tab/>
      </w:r>
      <w:r w:rsidR="00C27C87">
        <w:rPr>
          <w:lang w:val="fr-CA"/>
        </w:rPr>
        <w:t>(</w:t>
      </w:r>
      <w:r w:rsidRPr="00731D63">
        <w:rPr>
          <w:i/>
          <w:lang w:val="fr-CA"/>
        </w:rPr>
        <w:t>a</w:t>
      </w:r>
      <w:r w:rsidRPr="00731D63">
        <w:rPr>
          <w:lang w:val="fr-CA"/>
        </w:rPr>
        <w:t>)</w:t>
      </w:r>
      <w:r w:rsidRPr="00731D63">
        <w:rPr>
          <w:lang w:val="fr-CA"/>
        </w:rPr>
        <w:tab/>
        <w:t>cause ou risque de causer la dégradation de la qualité de l’environnement naturel relativement à tout usage qui peut en être fait;</w:t>
      </w:r>
    </w:p>
    <w:p w:rsidR="00A22250" w:rsidRPr="00731D63" w:rsidRDefault="00A22250" w:rsidP="00C27C87">
      <w:pPr>
        <w:pStyle w:val="Citation-AltC"/>
        <w:tabs>
          <w:tab w:val="left" w:pos="1440"/>
        </w:tabs>
        <w:spacing w:after="240"/>
        <w:ind w:left="1980" w:hanging="1800"/>
        <w:contextualSpacing w:val="0"/>
        <w:rPr>
          <w:spacing w:val="-3"/>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b</w:t>
      </w:r>
      <w:r w:rsidRPr="00731D63">
        <w:rPr>
          <w:spacing w:val="-3"/>
          <w:szCs w:val="24"/>
          <w:lang w:val="fr-CA"/>
        </w:rPr>
        <w:t>)</w:t>
      </w:r>
      <w:r w:rsidRPr="00731D63">
        <w:rPr>
          <w:spacing w:val="-3"/>
          <w:szCs w:val="24"/>
          <w:lang w:val="fr-CA"/>
        </w:rPr>
        <w:tab/>
        <w:t>cause ou risque de causer du tort ou des dommages à des biens, des végétaux ou des animaux;</w:t>
      </w:r>
    </w:p>
    <w:p w:rsidR="00A22250" w:rsidRPr="00731D63" w:rsidRDefault="00A22250" w:rsidP="00C27C87">
      <w:pPr>
        <w:pStyle w:val="Citation-AltC"/>
        <w:tabs>
          <w:tab w:val="left" w:pos="1440"/>
        </w:tabs>
        <w:spacing w:after="240"/>
        <w:ind w:left="1980" w:hanging="1800"/>
        <w:contextualSpacing w:val="0"/>
        <w:rPr>
          <w:spacing w:val="-3"/>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c</w:t>
      </w:r>
      <w:r w:rsidRPr="00731D63">
        <w:rPr>
          <w:spacing w:val="-3"/>
          <w:szCs w:val="24"/>
          <w:lang w:val="fr-CA"/>
        </w:rPr>
        <w:t>)</w:t>
      </w:r>
      <w:r w:rsidRPr="00731D63">
        <w:rPr>
          <w:spacing w:val="-3"/>
          <w:szCs w:val="24"/>
          <w:lang w:val="fr-CA"/>
        </w:rPr>
        <w:tab/>
        <w:t xml:space="preserve">cause ou </w:t>
      </w:r>
      <w:r w:rsidRPr="00C27C87">
        <w:rPr>
          <w:lang w:val="fr-CA"/>
        </w:rPr>
        <w:t>risque</w:t>
      </w:r>
      <w:r w:rsidRPr="00731D63">
        <w:rPr>
          <w:spacing w:val="-3"/>
          <w:szCs w:val="24"/>
          <w:lang w:val="fr-CA"/>
        </w:rPr>
        <w:t xml:space="preserve"> de causer de la nuisance ou des malaises sensibles à quiconque;</w:t>
      </w:r>
    </w:p>
    <w:p w:rsidR="00A22250" w:rsidRPr="00731D63" w:rsidRDefault="00A22250" w:rsidP="00C27C87">
      <w:pPr>
        <w:pStyle w:val="Citation-AltC"/>
        <w:tabs>
          <w:tab w:val="left" w:pos="1440"/>
        </w:tabs>
        <w:spacing w:after="240"/>
        <w:ind w:left="1980" w:hanging="1800"/>
        <w:contextualSpacing w:val="0"/>
        <w:rPr>
          <w:spacing w:val="-3"/>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d</w:t>
      </w:r>
      <w:r w:rsidRPr="00731D63">
        <w:rPr>
          <w:spacing w:val="-3"/>
          <w:szCs w:val="24"/>
          <w:lang w:val="fr-CA"/>
        </w:rPr>
        <w:t>)</w:t>
      </w:r>
      <w:r w:rsidRPr="00731D63">
        <w:rPr>
          <w:spacing w:val="-3"/>
          <w:szCs w:val="24"/>
          <w:lang w:val="fr-CA"/>
        </w:rPr>
        <w:tab/>
        <w:t>cause ou risque de causer l’altération de la santé de quiconque;</w:t>
      </w:r>
    </w:p>
    <w:p w:rsidR="00A22250" w:rsidRPr="00731D63" w:rsidRDefault="00A22250" w:rsidP="00C27C87">
      <w:pPr>
        <w:pStyle w:val="Citation-AltC"/>
        <w:tabs>
          <w:tab w:val="left" w:pos="1440"/>
        </w:tabs>
        <w:spacing w:after="240"/>
        <w:ind w:left="1980" w:hanging="1800"/>
        <w:contextualSpacing w:val="0"/>
        <w:rPr>
          <w:spacing w:val="-3"/>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e</w:t>
      </w:r>
      <w:r w:rsidRPr="00731D63">
        <w:rPr>
          <w:spacing w:val="-3"/>
          <w:szCs w:val="24"/>
          <w:lang w:val="fr-CA"/>
        </w:rPr>
        <w:t>)</w:t>
      </w:r>
      <w:r w:rsidRPr="00731D63">
        <w:rPr>
          <w:spacing w:val="-3"/>
          <w:szCs w:val="24"/>
          <w:lang w:val="fr-CA"/>
        </w:rPr>
        <w:tab/>
        <w:t xml:space="preserve">cause ou risque de </w:t>
      </w:r>
      <w:r w:rsidRPr="00C27C87">
        <w:rPr>
          <w:lang w:val="fr-CA"/>
        </w:rPr>
        <w:t>causer</w:t>
      </w:r>
      <w:r w:rsidRPr="00731D63">
        <w:rPr>
          <w:spacing w:val="-3"/>
          <w:szCs w:val="24"/>
          <w:lang w:val="fr-CA"/>
        </w:rPr>
        <w:t xml:space="preserve"> l’atteinte à la sécurité de quiconque;</w:t>
      </w:r>
    </w:p>
    <w:p w:rsidR="00A22250" w:rsidRPr="00731D63" w:rsidRDefault="00A22250" w:rsidP="00C27C87">
      <w:pPr>
        <w:pStyle w:val="Citation-AltC"/>
        <w:tabs>
          <w:tab w:val="left" w:pos="1440"/>
        </w:tabs>
        <w:spacing w:after="240"/>
        <w:ind w:left="1980" w:hanging="1800"/>
        <w:contextualSpacing w:val="0"/>
        <w:rPr>
          <w:spacing w:val="-3"/>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f</w:t>
      </w:r>
      <w:r w:rsidRPr="00731D63">
        <w:rPr>
          <w:spacing w:val="-3"/>
          <w:szCs w:val="24"/>
          <w:lang w:val="fr-CA"/>
        </w:rPr>
        <w:t>)</w:t>
      </w:r>
      <w:r w:rsidRPr="00731D63">
        <w:rPr>
          <w:spacing w:val="-3"/>
          <w:szCs w:val="24"/>
          <w:lang w:val="fr-CA"/>
        </w:rPr>
        <w:tab/>
        <w:t xml:space="preserve">rend ou risque de </w:t>
      </w:r>
      <w:r w:rsidRPr="00C27C87">
        <w:rPr>
          <w:lang w:val="fr-CA"/>
        </w:rPr>
        <w:t>rendre</w:t>
      </w:r>
      <w:r w:rsidRPr="00731D63">
        <w:rPr>
          <w:spacing w:val="-3"/>
          <w:szCs w:val="24"/>
          <w:lang w:val="fr-CA"/>
        </w:rPr>
        <w:t xml:space="preserve"> des biens, des végétaux ou des animaux impropres à l’usage des êtres humains;</w:t>
      </w:r>
    </w:p>
    <w:p w:rsidR="00A22250" w:rsidRPr="00731D63" w:rsidRDefault="00A22250" w:rsidP="00C27C87">
      <w:pPr>
        <w:pStyle w:val="Citation-AltC"/>
        <w:tabs>
          <w:tab w:val="left" w:pos="1440"/>
        </w:tabs>
        <w:spacing w:after="240"/>
        <w:ind w:left="1980" w:hanging="1800"/>
        <w:contextualSpacing w:val="0"/>
        <w:rPr>
          <w:spacing w:val="-3"/>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g</w:t>
      </w:r>
      <w:r w:rsidRPr="00731D63">
        <w:rPr>
          <w:spacing w:val="-3"/>
          <w:szCs w:val="24"/>
          <w:lang w:val="fr-CA"/>
        </w:rPr>
        <w:t>)</w:t>
      </w:r>
      <w:r w:rsidRPr="00731D63">
        <w:rPr>
          <w:spacing w:val="-3"/>
          <w:szCs w:val="24"/>
          <w:lang w:val="fr-CA"/>
        </w:rPr>
        <w:tab/>
        <w:t xml:space="preserve">cause ou risque de </w:t>
      </w:r>
      <w:r w:rsidRPr="00C27C87">
        <w:rPr>
          <w:lang w:val="fr-CA"/>
        </w:rPr>
        <w:t>causer</w:t>
      </w:r>
      <w:r w:rsidRPr="00731D63">
        <w:rPr>
          <w:spacing w:val="-3"/>
          <w:szCs w:val="24"/>
          <w:lang w:val="fr-CA"/>
        </w:rPr>
        <w:t xml:space="preserve"> la perte de jouissance de l’usage normal d’un bien;</w:t>
      </w:r>
    </w:p>
    <w:p w:rsidR="00A22250" w:rsidRPr="00731D63" w:rsidRDefault="00A22250" w:rsidP="00C27C87">
      <w:pPr>
        <w:pStyle w:val="Citation-AltC"/>
        <w:tabs>
          <w:tab w:val="left" w:pos="1440"/>
        </w:tabs>
        <w:ind w:left="1987" w:hanging="1800"/>
        <w:contextualSpacing w:val="0"/>
        <w:rPr>
          <w:szCs w:val="24"/>
          <w:lang w:val="fr-CA"/>
        </w:rPr>
      </w:pPr>
      <w:r w:rsidRPr="00731D63">
        <w:rPr>
          <w:iCs/>
          <w:spacing w:val="-3"/>
          <w:szCs w:val="24"/>
          <w:lang w:val="fr-CA"/>
        </w:rPr>
        <w:tab/>
      </w:r>
      <w:r w:rsidR="00C27C87">
        <w:rPr>
          <w:iCs/>
          <w:spacing w:val="-3"/>
          <w:szCs w:val="24"/>
          <w:lang w:val="fr-CA"/>
        </w:rPr>
        <w:t>(</w:t>
      </w:r>
      <w:r w:rsidRPr="00731D63">
        <w:rPr>
          <w:i/>
          <w:iCs/>
          <w:spacing w:val="-3"/>
          <w:szCs w:val="24"/>
          <w:lang w:val="fr-CA"/>
        </w:rPr>
        <w:t>h</w:t>
      </w:r>
      <w:r w:rsidRPr="00731D63">
        <w:rPr>
          <w:spacing w:val="-3"/>
          <w:szCs w:val="24"/>
          <w:lang w:val="fr-CA"/>
        </w:rPr>
        <w:t>)</w:t>
      </w:r>
      <w:r w:rsidRPr="00731D63">
        <w:rPr>
          <w:spacing w:val="-3"/>
          <w:szCs w:val="24"/>
          <w:lang w:val="fr-CA"/>
        </w:rPr>
        <w:tab/>
        <w:t xml:space="preserve">entrave ou risque </w:t>
      </w:r>
      <w:r w:rsidRPr="00C27C87">
        <w:rPr>
          <w:lang w:val="fr-CA"/>
        </w:rPr>
        <w:t>d’entraver</w:t>
      </w:r>
      <w:r w:rsidRPr="00731D63">
        <w:rPr>
          <w:spacing w:val="-3"/>
          <w:szCs w:val="24"/>
          <w:lang w:val="fr-CA"/>
        </w:rPr>
        <w:t xml:space="preserve"> la marche normale des affaires.</w:t>
      </w:r>
    </w:p>
    <w:p w:rsidR="00A22250" w:rsidRPr="00731D63" w:rsidRDefault="00A22250" w:rsidP="00B026BA">
      <w:pPr>
        <w:pStyle w:val="ParaNoNdepar-AltN"/>
        <w:ind w:left="0"/>
        <w:rPr>
          <w:rFonts w:cs="Times New Roman"/>
          <w:lang w:val="fr-CA"/>
        </w:rPr>
      </w:pPr>
      <w:r w:rsidRPr="00731D63">
        <w:rPr>
          <w:rFonts w:cs="Times New Roman"/>
          <w:lang w:val="fr-CA"/>
        </w:rPr>
        <w:t>La première partie du par. 13(1) constitue maintenant le par. 14(1)</w:t>
      </w:r>
      <w:r w:rsidRPr="00731D63">
        <w:rPr>
          <w:rStyle w:val="FootnoteReference"/>
          <w:rFonts w:cs="Times New Roman"/>
          <w:lang w:val="en-US"/>
        </w:rPr>
        <w:footnoteReference w:id="1"/>
      </w:r>
      <w:r w:rsidRPr="00731D63">
        <w:rPr>
          <w:rFonts w:cs="Times New Roman"/>
          <w:lang w:val="fr-CA"/>
        </w:rPr>
        <w:t>.  Quant aux al. </w:t>
      </w:r>
      <w:r w:rsidR="00C27C87">
        <w:rPr>
          <w:rFonts w:cs="Times New Roman"/>
          <w:lang w:val="fr-CA"/>
        </w:rPr>
        <w:t>(</w:t>
      </w:r>
      <w:r w:rsidRPr="00731D63">
        <w:rPr>
          <w:rFonts w:cs="Times New Roman"/>
          <w:lang w:val="fr-CA"/>
        </w:rPr>
        <w:t xml:space="preserve">a) à </w:t>
      </w:r>
      <w:r w:rsidR="00C27C87">
        <w:rPr>
          <w:rFonts w:cs="Times New Roman"/>
          <w:lang w:val="fr-CA"/>
        </w:rPr>
        <w:t>(</w:t>
      </w:r>
      <w:r w:rsidRPr="00731D63">
        <w:rPr>
          <w:rFonts w:cs="Times New Roman"/>
          <w:lang w:val="fr-CA"/>
        </w:rPr>
        <w:t xml:space="preserve">h), ils sont maintenant intégrés à la définition de « conséquence préjudiciable » figurant au par. 1(1) de la </w:t>
      </w:r>
      <w:r w:rsidRPr="00731D63">
        <w:rPr>
          <w:rFonts w:cs="Times New Roman"/>
          <w:i/>
          <w:lang w:val="fr-CA"/>
        </w:rPr>
        <w:t>LPE</w:t>
      </w:r>
      <w:r w:rsidRPr="00731D63">
        <w:rPr>
          <w:rFonts w:cs="Times New Roman"/>
          <w:lang w:val="fr-CA"/>
        </w:rPr>
        <w:t xml:space="preserve">. </w:t>
      </w:r>
    </w:p>
    <w:p w:rsidR="00A22250" w:rsidRPr="00731D63" w:rsidRDefault="00A22250" w:rsidP="00B026BA">
      <w:pPr>
        <w:pStyle w:val="ParaNoNdepar-AltN"/>
        <w:ind w:left="0"/>
        <w:rPr>
          <w:rFonts w:cs="Times New Roman"/>
          <w:lang w:val="fr-CA"/>
        </w:rPr>
      </w:pPr>
      <w:r w:rsidRPr="00731D63">
        <w:rPr>
          <w:rFonts w:cs="Times New Roman"/>
          <w:lang w:val="fr-CA"/>
        </w:rPr>
        <w:lastRenderedPageBreak/>
        <w:t xml:space="preserve">La question </w:t>
      </w:r>
      <w:r w:rsidRPr="00B026BA">
        <w:rPr>
          <w:lang w:val="fr-CA"/>
        </w:rPr>
        <w:t>qui</w:t>
      </w:r>
      <w:r w:rsidRPr="00731D63">
        <w:rPr>
          <w:rFonts w:cs="Times New Roman"/>
          <w:lang w:val="fr-CA"/>
        </w:rPr>
        <w:t xml:space="preserve"> se posait dans l’arrêt </w:t>
      </w:r>
      <w:r w:rsidRPr="00731D63">
        <w:rPr>
          <w:rFonts w:cs="Times New Roman"/>
          <w:i/>
          <w:lang w:val="fr-CA"/>
        </w:rPr>
        <w:t>Canadien Pacifique</w:t>
      </w:r>
      <w:r w:rsidRPr="00731D63">
        <w:rPr>
          <w:rFonts w:cs="Times New Roman"/>
          <w:lang w:val="fr-CA"/>
        </w:rPr>
        <w:t xml:space="preserve"> était de savoir si les mots « relativement à tout usage qui peut en être fait » utilisés à l’al. 13(1)</w:t>
      </w:r>
      <w:r w:rsidR="00C27C87">
        <w:rPr>
          <w:rFonts w:cs="Times New Roman"/>
          <w:lang w:val="fr-CA"/>
        </w:rPr>
        <w:t>(</w:t>
      </w:r>
      <w:r w:rsidRPr="00731D63">
        <w:rPr>
          <w:rFonts w:cs="Times New Roman"/>
          <w:i/>
          <w:lang w:val="fr-CA"/>
        </w:rPr>
        <w:t>a</w:t>
      </w:r>
      <w:r w:rsidRPr="00731D63">
        <w:rPr>
          <w:rFonts w:cs="Times New Roman"/>
          <w:lang w:val="fr-CA"/>
        </w:rPr>
        <w:t>) étaient imprécis ou de portée excessive sur le plan constitutionnel.  Bien que, dans son raisonnement, la Cour se soit attachée aux questions constitutionnelles que soulevait cette affaire, elle a tout de même formulé plusieurs observations concernant l’interprétation de l’al. 13(1)</w:t>
      </w:r>
      <w:r w:rsidR="00C27C87" w:rsidRPr="00C27C87">
        <w:rPr>
          <w:rFonts w:cs="Times New Roman"/>
          <w:lang w:val="fr-CA"/>
        </w:rPr>
        <w:t>(</w:t>
      </w:r>
      <w:r w:rsidRPr="00731D63">
        <w:rPr>
          <w:rFonts w:cs="Times New Roman"/>
          <w:i/>
          <w:lang w:val="fr-CA"/>
        </w:rPr>
        <w:t>a</w:t>
      </w:r>
      <w:r w:rsidRPr="00731D63">
        <w:rPr>
          <w:rFonts w:cs="Times New Roman"/>
          <w:lang w:val="fr-CA"/>
        </w:rPr>
        <w:t xml:space="preserve">) de la </w:t>
      </w:r>
      <w:r w:rsidRPr="00731D63">
        <w:rPr>
          <w:rFonts w:cs="Times New Roman"/>
          <w:i/>
          <w:lang w:val="fr-CA"/>
        </w:rPr>
        <w:t>LPE</w:t>
      </w:r>
      <w:r w:rsidRPr="00731D63">
        <w:rPr>
          <w:rFonts w:cs="Times New Roman"/>
          <w:lang w:val="fr-CA"/>
        </w:rPr>
        <w:t xml:space="preserve"> qui sont utiles pour résoudre les questions d’interprétation du présent pourvoi.  En particulier, en décidant que cette disposition n’était ni imprécise ni de portée excessive, le juge Gonthier, qui a rédigé les motifs de la majorité, a conclu que l’application de l’al. 13(1)</w:t>
      </w:r>
      <w:r w:rsidR="00C27C87">
        <w:rPr>
          <w:rFonts w:cs="Times New Roman"/>
          <w:lang w:val="fr-CA"/>
        </w:rPr>
        <w:t>(</w:t>
      </w:r>
      <w:r w:rsidRPr="00731D63">
        <w:rPr>
          <w:rFonts w:cs="Times New Roman"/>
          <w:i/>
          <w:lang w:val="fr-CA"/>
        </w:rPr>
        <w:t>a</w:t>
      </w:r>
      <w:r w:rsidRPr="00731D63">
        <w:rPr>
          <w:rFonts w:cs="Times New Roman"/>
          <w:lang w:val="fr-CA"/>
        </w:rPr>
        <w:t xml:space="preserve">) ne visait que le rejet de contaminants causant ou risquant de causer une dégradation </w:t>
      </w:r>
      <w:r w:rsidRPr="00731D63">
        <w:rPr>
          <w:rFonts w:cs="Times New Roman"/>
          <w:i/>
          <w:lang w:val="fr-CA"/>
        </w:rPr>
        <w:t>non négligeable</w:t>
      </w:r>
      <w:r w:rsidRPr="00731D63">
        <w:rPr>
          <w:rFonts w:cs="Times New Roman"/>
          <w:lang w:val="fr-CA"/>
        </w:rPr>
        <w:t xml:space="preserve"> de la qualité de l’environnement naturel relativement à tout usage qui peut en être fait.</w:t>
      </w:r>
    </w:p>
    <w:p w:rsidR="00A22250" w:rsidRPr="00731D63" w:rsidRDefault="00A22250" w:rsidP="00B026BA">
      <w:pPr>
        <w:pStyle w:val="ParaNoNdepar-AltN"/>
        <w:ind w:left="0"/>
        <w:rPr>
          <w:rFonts w:cs="Times New Roman"/>
          <w:lang w:val="fr-CA"/>
        </w:rPr>
      </w:pPr>
      <w:r w:rsidRPr="00731D63">
        <w:rPr>
          <w:rFonts w:cs="Times New Roman"/>
          <w:lang w:val="fr-CA"/>
        </w:rPr>
        <w:t xml:space="preserve">Dans des </w:t>
      </w:r>
      <w:r w:rsidRPr="00B026BA">
        <w:rPr>
          <w:lang w:val="fr-CA"/>
        </w:rPr>
        <w:t>motifs</w:t>
      </w:r>
      <w:r w:rsidRPr="00731D63">
        <w:rPr>
          <w:rFonts w:cs="Times New Roman"/>
          <w:lang w:val="fr-CA"/>
        </w:rPr>
        <w:t xml:space="preserve"> concordants auxquels n’a toutefois pas souscrit la majorité, le juge en chef Lamer a conclu que l’al. </w:t>
      </w:r>
      <w:r w:rsidR="006D0B5D">
        <w:rPr>
          <w:rFonts w:cs="Times New Roman"/>
          <w:lang w:val="fr-CA"/>
        </w:rPr>
        <w:t>(</w:t>
      </w:r>
      <w:r w:rsidRPr="00731D63">
        <w:rPr>
          <w:rFonts w:cs="Times New Roman"/>
          <w:i/>
          <w:lang w:val="fr-CA"/>
        </w:rPr>
        <w:t>a</w:t>
      </w:r>
      <w:r w:rsidRPr="00731D63">
        <w:rPr>
          <w:rFonts w:cs="Times New Roman"/>
          <w:lang w:val="fr-CA"/>
        </w:rPr>
        <w:t>) devait être considéré comme une exigence applicable dans tous les cas, de telle sorte qu’il fallait d’abord conclure, de façon indépendante, à l’existence d’un préjudice causé à la qualité de l’environnement naturel avant de pouvoir prendre compte les autres dispositions, soit les al. </w:t>
      </w:r>
      <w:r w:rsidR="00C27C87">
        <w:rPr>
          <w:rFonts w:cs="Times New Roman"/>
          <w:lang w:val="fr-CA"/>
        </w:rPr>
        <w:t>(</w:t>
      </w:r>
      <w:r w:rsidRPr="00731D63">
        <w:rPr>
          <w:rFonts w:cs="Times New Roman"/>
          <w:i/>
          <w:lang w:val="fr-CA"/>
        </w:rPr>
        <w:t>b</w:t>
      </w:r>
      <w:r w:rsidRPr="00731D63">
        <w:rPr>
          <w:rFonts w:cs="Times New Roman"/>
          <w:lang w:val="fr-CA"/>
        </w:rPr>
        <w:t xml:space="preserve">) à </w:t>
      </w:r>
      <w:r w:rsidR="00C27C87">
        <w:rPr>
          <w:rFonts w:cs="Times New Roman"/>
          <w:lang w:val="fr-CA"/>
        </w:rPr>
        <w:t>(</w:t>
      </w:r>
      <w:r w:rsidRPr="00731D63">
        <w:rPr>
          <w:rFonts w:cs="Times New Roman"/>
          <w:i/>
          <w:lang w:val="fr-CA"/>
        </w:rPr>
        <w:t>h</w:t>
      </w:r>
      <w:r w:rsidRPr="00731D63">
        <w:rPr>
          <w:rFonts w:cs="Times New Roman"/>
          <w:lang w:val="fr-CA"/>
        </w:rPr>
        <w:t>) du par. 13(1).</w:t>
      </w:r>
    </w:p>
    <w:p w:rsidR="00A22250" w:rsidRPr="00731D63" w:rsidRDefault="00A22250" w:rsidP="00B026BA">
      <w:pPr>
        <w:pStyle w:val="ParaNoNdepar-AltN"/>
        <w:ind w:left="0"/>
        <w:rPr>
          <w:rFonts w:cs="Times New Roman"/>
          <w:lang w:val="fr-CA"/>
        </w:rPr>
      </w:pPr>
      <w:r w:rsidRPr="00731D63">
        <w:rPr>
          <w:rFonts w:cs="Times New Roman"/>
          <w:lang w:val="fr-CA"/>
        </w:rPr>
        <w:t xml:space="preserve">Pour sa </w:t>
      </w:r>
      <w:r w:rsidRPr="00B026BA">
        <w:rPr>
          <w:lang w:val="fr-CA"/>
        </w:rPr>
        <w:t>part</w:t>
      </w:r>
      <w:r w:rsidRPr="00731D63">
        <w:rPr>
          <w:rFonts w:cs="Times New Roman"/>
          <w:lang w:val="fr-CA"/>
        </w:rPr>
        <w:t xml:space="preserve">, Castonguay nous demande de retenir la démarche de la minorité, qu’a formulée le juge en chef Lamer dans </w:t>
      </w:r>
      <w:r w:rsidRPr="00731D63">
        <w:rPr>
          <w:rFonts w:cs="Times New Roman"/>
          <w:i/>
          <w:lang w:val="fr-CA"/>
        </w:rPr>
        <w:t>Canadien Pacifique</w:t>
      </w:r>
      <w:r w:rsidRPr="00731D63">
        <w:rPr>
          <w:rFonts w:cs="Times New Roman"/>
          <w:lang w:val="fr-CA"/>
        </w:rPr>
        <w:t>.  Avec égards, cet argument ne saurait être adopté compte tenu des modifications apportées au libellé de la</w:t>
      </w:r>
      <w:r w:rsidRPr="00731D63">
        <w:rPr>
          <w:rFonts w:cs="Times New Roman"/>
          <w:i/>
          <w:lang w:val="fr-CA"/>
        </w:rPr>
        <w:t xml:space="preserve"> LPE</w:t>
      </w:r>
      <w:r w:rsidRPr="00731D63">
        <w:rPr>
          <w:rFonts w:cs="Times New Roman"/>
          <w:lang w:val="fr-CA"/>
        </w:rPr>
        <w:t xml:space="preserve"> postérieurement à l’arrêt </w:t>
      </w:r>
      <w:r w:rsidRPr="00731D63">
        <w:rPr>
          <w:rFonts w:cs="Times New Roman"/>
          <w:i/>
          <w:lang w:val="fr-CA"/>
        </w:rPr>
        <w:t>Canadien Pacifique</w:t>
      </w:r>
      <w:r w:rsidRPr="00731D63">
        <w:rPr>
          <w:rFonts w:cs="Times New Roman"/>
          <w:lang w:val="fr-CA"/>
        </w:rPr>
        <w:t xml:space="preserve">.  La modification la </w:t>
      </w:r>
      <w:r w:rsidRPr="00731D63">
        <w:rPr>
          <w:rFonts w:cs="Times New Roman"/>
          <w:lang w:val="fr-CA"/>
        </w:rPr>
        <w:lastRenderedPageBreak/>
        <w:t xml:space="preserve">plus importante au texte de la </w:t>
      </w:r>
      <w:r w:rsidRPr="00731D63">
        <w:rPr>
          <w:rFonts w:cs="Times New Roman"/>
          <w:i/>
          <w:lang w:val="fr-CA"/>
        </w:rPr>
        <w:t>LPE</w:t>
      </w:r>
      <w:r w:rsidRPr="00731D63">
        <w:rPr>
          <w:rFonts w:cs="Times New Roman"/>
          <w:lang w:val="fr-CA"/>
        </w:rPr>
        <w:t xml:space="preserve"> fut la création d’une définition législative particulière du terme « conséquence préjudiciable ».  Cette définition comportait les mots « </w:t>
      </w:r>
      <w:r w:rsidR="00E167E1" w:rsidRPr="00E167E1">
        <w:rPr>
          <w:rFonts w:cs="Times New Roman"/>
          <w:i/>
          <w:lang w:val="fr-CA"/>
        </w:rPr>
        <w:t>[l]</w:t>
      </w:r>
      <w:r w:rsidRPr="00731D63">
        <w:rPr>
          <w:rFonts w:cs="Times New Roman"/>
          <w:i/>
          <w:lang w:val="fr-CA"/>
        </w:rPr>
        <w:t>’une ou plusieurs des</w:t>
      </w:r>
      <w:r w:rsidRPr="00731D63">
        <w:rPr>
          <w:rFonts w:cs="Times New Roman"/>
          <w:lang w:val="fr-CA"/>
        </w:rPr>
        <w:t xml:space="preserve"> » avant l’énumération des huit situations décrites aux al. a) à h).  Rien ne précise que l’une d’elles représente une exigence impérative, et chacune est présentée comme étant une conséquence préjudiciable.  Par conséquent, chacune des huit formes de la notion de « conséquence préjudiciable » constitue une source autonome de responsabilité.  L’interprétation préconisée par Castonguay fait abstraction de ces directives cruciales du législateur selon lesquelles </w:t>
      </w:r>
      <w:r w:rsidRPr="00731D63">
        <w:rPr>
          <w:rFonts w:cs="Times New Roman"/>
          <w:i/>
          <w:lang w:val="fr-CA"/>
        </w:rPr>
        <w:t xml:space="preserve">chaque </w:t>
      </w:r>
      <w:r w:rsidRPr="00731D63">
        <w:rPr>
          <w:rFonts w:cs="Times New Roman"/>
          <w:lang w:val="fr-CA"/>
        </w:rPr>
        <w:t>conséquence est réputée préjudiciable.</w:t>
      </w:r>
    </w:p>
    <w:p w:rsidR="00A22250" w:rsidRPr="00731D63" w:rsidRDefault="00A22250" w:rsidP="00B026BA">
      <w:pPr>
        <w:pStyle w:val="ParaNoNdepar-AltN"/>
        <w:ind w:left="0"/>
        <w:rPr>
          <w:rFonts w:cs="Times New Roman"/>
          <w:lang w:val="fr-CA"/>
        </w:rPr>
      </w:pPr>
      <w:r w:rsidRPr="00731D63">
        <w:rPr>
          <w:rFonts w:cs="Times New Roman"/>
          <w:lang w:val="fr-CA"/>
        </w:rPr>
        <w:t xml:space="preserve">Le fait </w:t>
      </w:r>
      <w:r w:rsidRPr="00B026BA">
        <w:rPr>
          <w:lang w:val="fr-CA"/>
        </w:rPr>
        <w:t>d’interpréter</w:t>
      </w:r>
      <w:r w:rsidRPr="00731D63">
        <w:rPr>
          <w:rFonts w:cs="Times New Roman"/>
          <w:lang w:val="fr-CA"/>
        </w:rPr>
        <w:t xml:space="preserve"> restrictivement l’expression « conséquence préjudiciable » a non seulement pour effet d’écarter le sens évident et manifeste de la définition, mais également de restreindre la portée de l’obligation de signalement, limitant en conséquence la capacité réparatrice de cette obligation ainsi que la capacité du ministère de s’acquitter du mandat que lui confie la loi. </w:t>
      </w:r>
    </w:p>
    <w:p w:rsidR="00A22250" w:rsidRPr="00731D63" w:rsidRDefault="00A22250" w:rsidP="00B026BA">
      <w:pPr>
        <w:pStyle w:val="ParaNoNdepar-AltN"/>
        <w:ind w:left="0"/>
        <w:rPr>
          <w:rFonts w:cs="Times New Roman"/>
          <w:lang w:val="fr-CA"/>
        </w:rPr>
      </w:pPr>
      <w:r w:rsidRPr="00B026BA">
        <w:rPr>
          <w:lang w:val="fr-CA"/>
        </w:rPr>
        <w:t>Dans</w:t>
      </w:r>
      <w:r w:rsidRPr="00731D63">
        <w:rPr>
          <w:rFonts w:cs="Times New Roman"/>
          <w:lang w:val="fr-CA"/>
        </w:rPr>
        <w:t xml:space="preserve"> </w:t>
      </w:r>
      <w:r w:rsidRPr="00731D63">
        <w:rPr>
          <w:rFonts w:cs="Times New Roman"/>
          <w:i/>
          <w:lang w:val="fr-CA"/>
        </w:rPr>
        <w:t>Dow Chemical</w:t>
      </w:r>
      <w:r w:rsidRPr="00731D63">
        <w:rPr>
          <w:rFonts w:cs="Times New Roman"/>
          <w:lang w:val="fr-CA"/>
        </w:rPr>
        <w:t xml:space="preserve">, la Cour d’appel de l’Ontario a interprété et appliqué l’arrêt </w:t>
      </w:r>
      <w:r w:rsidRPr="00731D63">
        <w:rPr>
          <w:rFonts w:cs="Times New Roman"/>
          <w:i/>
          <w:lang w:val="fr-CA"/>
        </w:rPr>
        <w:t>Canadien Pacifique</w:t>
      </w:r>
      <w:r w:rsidRPr="00731D63">
        <w:rPr>
          <w:rFonts w:cs="Times New Roman"/>
          <w:lang w:val="fr-CA"/>
        </w:rPr>
        <w:t xml:space="preserve">.  À l’instar de Castonguay, Dow Chemical prétendait que, pour démontrer l’existence d’une conséquence préjudiciable sous le régime de la </w:t>
      </w:r>
      <w:r w:rsidRPr="00731D63">
        <w:rPr>
          <w:rFonts w:cs="Times New Roman"/>
          <w:i/>
          <w:lang w:val="fr-CA"/>
        </w:rPr>
        <w:t>LPE</w:t>
      </w:r>
      <w:r w:rsidRPr="00731D63">
        <w:rPr>
          <w:rFonts w:cs="Times New Roman"/>
          <w:lang w:val="fr-CA"/>
        </w:rPr>
        <w:t xml:space="preserve">, il était </w:t>
      </w:r>
      <w:r w:rsidRPr="00731D63">
        <w:rPr>
          <w:rFonts w:cs="Times New Roman"/>
          <w:i/>
          <w:lang w:val="fr-CA"/>
        </w:rPr>
        <w:t xml:space="preserve">nécessaire </w:t>
      </w:r>
      <w:r w:rsidRPr="00731D63">
        <w:rPr>
          <w:rFonts w:cs="Times New Roman"/>
          <w:lang w:val="fr-CA"/>
        </w:rPr>
        <w:t xml:space="preserve">d’établir « la dégradation de la qualité de l’environnement naturel » prévue à l’al. a), </w:t>
      </w:r>
      <w:r w:rsidRPr="00731D63">
        <w:rPr>
          <w:rFonts w:cs="Times New Roman"/>
          <w:i/>
          <w:lang w:val="fr-CA"/>
        </w:rPr>
        <w:t>en plus</w:t>
      </w:r>
      <w:r w:rsidRPr="00731D63">
        <w:rPr>
          <w:rFonts w:cs="Times New Roman"/>
          <w:lang w:val="fr-CA"/>
        </w:rPr>
        <w:t xml:space="preserve"> de l’une ou l’autre des conséquences énoncées aux al. b) à h). Le juge MacPherson a rejeté cette thèse, concluant plutôt ainsi :</w:t>
      </w:r>
    </w:p>
    <w:p w:rsidR="00A22250" w:rsidRPr="00731D63" w:rsidRDefault="00A22250" w:rsidP="00A22250">
      <w:pPr>
        <w:pStyle w:val="Citation-AltC"/>
        <w:tabs>
          <w:tab w:val="left" w:pos="1530"/>
        </w:tabs>
        <w:ind w:hanging="1166"/>
        <w:contextualSpacing w:val="0"/>
        <w:rPr>
          <w:lang w:val="fr-CA"/>
        </w:rPr>
      </w:pPr>
      <w:r w:rsidRPr="00731D63">
        <w:rPr>
          <w:lang w:val="fr-CA"/>
        </w:rPr>
        <w:lastRenderedPageBreak/>
        <w:tab/>
      </w:r>
      <w:r w:rsidRPr="00731D63">
        <w:rPr>
          <w:lang w:val="fr-CA"/>
        </w:rPr>
        <w:tab/>
        <w:t>[</w:t>
      </w:r>
      <w:r w:rsidRPr="00731D63">
        <w:rPr>
          <w:smallCaps/>
          <w:lang w:val="fr-CA"/>
        </w:rPr>
        <w:t>traduction</w:t>
      </w:r>
      <w:r w:rsidRPr="00731D63">
        <w:rPr>
          <w:lang w:val="fr-CA"/>
        </w:rPr>
        <w:t>]  L’alinéa </w:t>
      </w:r>
      <w:r w:rsidR="00C27C87">
        <w:rPr>
          <w:lang w:val="fr-CA"/>
        </w:rPr>
        <w:t>(</w:t>
      </w:r>
      <w:r w:rsidRPr="00731D63">
        <w:rPr>
          <w:i/>
          <w:lang w:val="fr-CA"/>
        </w:rPr>
        <w:t>a</w:t>
      </w:r>
      <w:r w:rsidRPr="00731D63">
        <w:rPr>
          <w:lang w:val="fr-CA"/>
        </w:rPr>
        <w:t>) ne constitue que l’une des huit conséquences préjudiciables définies.  Il porte sur l’environnement naturel, qui est défini dans la Loi comme étant « [l’]air, [le] terrain et [l’]eau » (par. 1(1)).  Les sept autres alinéas précisent d’autres formes de conséquences préjudiciables.  Certaines ont trait aux végétaux et aux animaux (al. </w:t>
      </w:r>
      <w:r w:rsidR="00C27C87">
        <w:rPr>
          <w:lang w:val="fr-CA"/>
        </w:rPr>
        <w:t>(</w:t>
      </w:r>
      <w:r w:rsidRPr="00731D63">
        <w:rPr>
          <w:i/>
          <w:lang w:val="fr-CA"/>
        </w:rPr>
        <w:t>b</w:t>
      </w:r>
      <w:r w:rsidRPr="00731D63">
        <w:rPr>
          <w:lang w:val="fr-CA"/>
        </w:rPr>
        <w:t xml:space="preserve">) et </w:t>
      </w:r>
      <w:r w:rsidR="00C27C87">
        <w:rPr>
          <w:lang w:val="fr-CA"/>
        </w:rPr>
        <w:t>(</w:t>
      </w:r>
      <w:r w:rsidRPr="00731D63">
        <w:rPr>
          <w:i/>
          <w:lang w:val="fr-CA"/>
        </w:rPr>
        <w:t>f</w:t>
      </w:r>
      <w:r w:rsidRPr="00731D63">
        <w:rPr>
          <w:lang w:val="fr-CA"/>
        </w:rPr>
        <w:t>)), alors que d’autres concernent les personnes (al. </w:t>
      </w:r>
      <w:r w:rsidR="00C27C87">
        <w:rPr>
          <w:lang w:val="fr-CA"/>
        </w:rPr>
        <w:t>(</w:t>
      </w:r>
      <w:r w:rsidRPr="00731D63">
        <w:rPr>
          <w:i/>
          <w:lang w:val="fr-CA"/>
        </w:rPr>
        <w:t>c</w:t>
      </w:r>
      <w:r w:rsidRPr="00731D63">
        <w:rPr>
          <w:lang w:val="fr-CA"/>
        </w:rPr>
        <w:t xml:space="preserve">), </w:t>
      </w:r>
      <w:r w:rsidR="00C27C87">
        <w:rPr>
          <w:lang w:val="fr-CA"/>
        </w:rPr>
        <w:t>(</w:t>
      </w:r>
      <w:r w:rsidRPr="00731D63">
        <w:rPr>
          <w:i/>
          <w:lang w:val="fr-CA"/>
        </w:rPr>
        <w:t>d</w:t>
      </w:r>
      <w:r w:rsidRPr="00731D63">
        <w:rPr>
          <w:lang w:val="fr-CA"/>
        </w:rPr>
        <w:t xml:space="preserve">) et </w:t>
      </w:r>
      <w:r w:rsidR="00C27C87">
        <w:rPr>
          <w:lang w:val="fr-CA"/>
        </w:rPr>
        <w:t>(</w:t>
      </w:r>
      <w:r w:rsidRPr="00731D63">
        <w:rPr>
          <w:i/>
          <w:lang w:val="fr-CA"/>
        </w:rPr>
        <w:t>f</w:t>
      </w:r>
      <w:r w:rsidRPr="00731D63">
        <w:rPr>
          <w:lang w:val="fr-CA"/>
        </w:rPr>
        <w:t>)), leurs biens (al. </w:t>
      </w:r>
      <w:r w:rsidR="00C27C87">
        <w:rPr>
          <w:lang w:val="fr-CA"/>
        </w:rPr>
        <w:t>(</w:t>
      </w:r>
      <w:r w:rsidRPr="00731D63">
        <w:rPr>
          <w:i/>
          <w:lang w:val="fr-CA"/>
        </w:rPr>
        <w:t>g</w:t>
      </w:r>
      <w:r w:rsidRPr="00731D63">
        <w:rPr>
          <w:lang w:val="fr-CA"/>
        </w:rPr>
        <w:t>)) et leurs affaires (al. </w:t>
      </w:r>
      <w:r w:rsidR="00C27C87">
        <w:rPr>
          <w:lang w:val="fr-CA"/>
        </w:rPr>
        <w:t>(</w:t>
      </w:r>
      <w:r w:rsidRPr="00731D63">
        <w:rPr>
          <w:i/>
          <w:lang w:val="fr-CA"/>
        </w:rPr>
        <w:t>h</w:t>
      </w:r>
      <w:r w:rsidRPr="00731D63">
        <w:rPr>
          <w:lang w:val="fr-CA"/>
        </w:rPr>
        <w:t>))</w:t>
      </w:r>
      <w:r w:rsidR="00C27C87">
        <w:rPr>
          <w:lang w:val="fr-CA"/>
        </w:rPr>
        <w:t>.</w:t>
      </w:r>
      <w:r w:rsidR="00E15F14">
        <w:rPr>
          <w:lang w:val="fr-CA"/>
        </w:rPr>
        <w:t xml:space="preserve"> [par. 29]</w:t>
      </w:r>
    </w:p>
    <w:p w:rsidR="00A22250" w:rsidRPr="00731D63" w:rsidRDefault="00A22250" w:rsidP="00B026BA">
      <w:pPr>
        <w:pStyle w:val="ParaNoNdepar-AltN"/>
        <w:ind w:left="0"/>
        <w:rPr>
          <w:rFonts w:cs="Times New Roman"/>
          <w:lang w:val="fr-CA"/>
        </w:rPr>
      </w:pPr>
      <w:r w:rsidRPr="00B026BA">
        <w:rPr>
          <w:lang w:val="fr-CA"/>
        </w:rPr>
        <w:t>Appliquant</w:t>
      </w:r>
      <w:r w:rsidRPr="00731D63">
        <w:rPr>
          <w:rFonts w:cs="Times New Roman"/>
          <w:lang w:val="fr-CA"/>
        </w:rPr>
        <w:t xml:space="preserve"> les propos du juge Gonthier dans l’arrêt </w:t>
      </w:r>
      <w:r w:rsidRPr="00731D63">
        <w:rPr>
          <w:rFonts w:cs="Times New Roman"/>
          <w:i/>
          <w:lang w:val="fr-CA"/>
        </w:rPr>
        <w:t>Canadien Pacifique</w:t>
      </w:r>
      <w:r w:rsidRPr="00731D63">
        <w:rPr>
          <w:rFonts w:cs="Times New Roman"/>
          <w:lang w:val="fr-CA"/>
        </w:rPr>
        <w:t>, le juge MacPherson a reconnu que chacune des huit conséquences préjudiciables devait être plus que négligeable, mais par ailleurs que l’existence de n’importe laquelle de ces conséquences suffisait pour satisfaire à la définition (par. 30).</w:t>
      </w:r>
    </w:p>
    <w:p w:rsidR="00A22250" w:rsidRPr="00731D63" w:rsidRDefault="00A22250" w:rsidP="00B026BA">
      <w:pPr>
        <w:pStyle w:val="ParaNoNdepar-AltN"/>
        <w:ind w:left="0"/>
        <w:rPr>
          <w:rFonts w:cs="Times New Roman"/>
          <w:lang w:val="fr-CA"/>
        </w:rPr>
      </w:pPr>
      <w:r w:rsidRPr="00731D63">
        <w:rPr>
          <w:rFonts w:cs="Times New Roman"/>
          <w:lang w:val="fr-CA"/>
        </w:rPr>
        <w:t xml:space="preserve">Les conséquences </w:t>
      </w:r>
      <w:r w:rsidRPr="00B026BA">
        <w:rPr>
          <w:lang w:val="fr-CA"/>
        </w:rPr>
        <w:t>énoncées</w:t>
      </w:r>
      <w:r w:rsidRPr="00731D63">
        <w:rPr>
          <w:rFonts w:cs="Times New Roman"/>
          <w:lang w:val="fr-CA"/>
        </w:rPr>
        <w:t xml:space="preserve"> aux al. a) à h) visent à couvrir un large éventail de répercussions.  Certaines se limitent aux répercussions sur les animaux, les personnes ou les biens et ne requièrent pas de dégradation de l’air, du terrain ou de l’eau en Ontario.  Comme la </w:t>
      </w:r>
      <w:r w:rsidRPr="00731D63">
        <w:rPr>
          <w:rFonts w:cs="Times New Roman"/>
          <w:i/>
          <w:lang w:val="fr-CA"/>
        </w:rPr>
        <w:t>LPE</w:t>
      </w:r>
      <w:r w:rsidRPr="00731D63">
        <w:rPr>
          <w:rFonts w:cs="Times New Roman"/>
          <w:lang w:val="fr-CA"/>
        </w:rPr>
        <w:t xml:space="preserve"> protège l’environnement naturel </w:t>
      </w:r>
      <w:r w:rsidRPr="00731D63">
        <w:rPr>
          <w:rFonts w:cs="Times New Roman"/>
          <w:i/>
          <w:lang w:val="fr-CA"/>
        </w:rPr>
        <w:t>et quiconque en fait usage</w:t>
      </w:r>
      <w:r w:rsidRPr="00731D63">
        <w:rPr>
          <w:rFonts w:cs="Times New Roman"/>
          <w:lang w:val="fr-CA"/>
        </w:rPr>
        <w:t>, tout cela est compatible avec les mesures de protection plus étendues qu’elle a pour but d’offrir.  Les al</w:t>
      </w:r>
      <w:r w:rsidR="00C27C87">
        <w:rPr>
          <w:rFonts w:cs="Times New Roman"/>
          <w:lang w:val="fr-CA"/>
        </w:rPr>
        <w:t>inéas</w:t>
      </w:r>
      <w:r w:rsidRPr="00731D63">
        <w:rPr>
          <w:rFonts w:cs="Times New Roman"/>
          <w:lang w:val="fr-CA"/>
        </w:rPr>
        <w:t xml:space="preserve"> a) à h) montrent également que la loi reconnaît que la protection de l’environnement naturel exige, entre autres stratégies, de maximiser l’éventail des circonstances dans lesquelles le ministère de l’Environnement peut enquêter sur les nuisances environnementales et y remédier, notamment celles précisées aux al. a) à h). </w:t>
      </w:r>
    </w:p>
    <w:p w:rsidR="00A22250" w:rsidRPr="00731D63" w:rsidRDefault="00A22250" w:rsidP="00B026BA">
      <w:pPr>
        <w:pStyle w:val="ParaNoNdepar-AltN"/>
        <w:ind w:left="0"/>
        <w:rPr>
          <w:rFonts w:cs="Times New Roman"/>
          <w:lang w:val="fr-CA"/>
        </w:rPr>
      </w:pPr>
      <w:r w:rsidRPr="00731D63">
        <w:rPr>
          <w:rFonts w:cs="Times New Roman"/>
          <w:lang w:val="fr-CA"/>
        </w:rPr>
        <w:t xml:space="preserve">Qui plus est, il </w:t>
      </w:r>
      <w:r w:rsidRPr="00B026BA">
        <w:rPr>
          <w:lang w:val="fr-CA"/>
        </w:rPr>
        <w:t>importe</w:t>
      </w:r>
      <w:r w:rsidRPr="00731D63">
        <w:rPr>
          <w:rFonts w:cs="Times New Roman"/>
          <w:lang w:val="fr-CA"/>
        </w:rPr>
        <w:t xml:space="preserve"> de signaler que l’expression « conséquence préjudiciable » figure dans un grand nombre de dispositions de la </w:t>
      </w:r>
      <w:r w:rsidRPr="00731D63">
        <w:rPr>
          <w:rFonts w:cs="Times New Roman"/>
          <w:i/>
          <w:lang w:val="fr-CA"/>
        </w:rPr>
        <w:t>LPE</w:t>
      </w:r>
      <w:r w:rsidRPr="00731D63">
        <w:rPr>
          <w:rFonts w:cs="Times New Roman"/>
          <w:lang w:val="fr-CA"/>
        </w:rPr>
        <w:t xml:space="preserve">.  Ainsi, les art. 6, 14, 18, 91.1, 93, 94, 97, 132, 156, 157.1 et 188.1 traitent d’une gamme de </w:t>
      </w:r>
      <w:r w:rsidRPr="00731D63">
        <w:rPr>
          <w:rFonts w:cs="Times New Roman"/>
          <w:lang w:val="fr-CA"/>
        </w:rPr>
        <w:lastRenderedPageBreak/>
        <w:t xml:space="preserve">préoccupations environnementales, par exemple les circonstances dans lesquelles peut être pris un arrêté ordonnant la mise en place de mesures préventives, ou encore l’élaboration de plans de prévention et de plans d’urgence en matière de déversements.  Limiter la portée de la définition de « conséquence préjudiciable » aurait donc aussi pour effet de restreindre la portée des moyens dont la </w:t>
      </w:r>
      <w:r w:rsidRPr="00731D63">
        <w:rPr>
          <w:rFonts w:cs="Times New Roman"/>
          <w:i/>
          <w:lang w:val="fr-CA"/>
        </w:rPr>
        <w:t>LPE</w:t>
      </w:r>
      <w:r w:rsidRPr="00731D63">
        <w:rPr>
          <w:rFonts w:cs="Times New Roman"/>
          <w:lang w:val="fr-CA"/>
        </w:rPr>
        <w:t xml:space="preserve"> permet la mise en œuvre en matière de prévention et de protection et, par conséquent, la capacité du ministère de réaliser les objectifs généraux de la loi.</w:t>
      </w:r>
    </w:p>
    <w:p w:rsidR="00A22250" w:rsidRPr="00731D63" w:rsidRDefault="00A22250" w:rsidP="00B026BA">
      <w:pPr>
        <w:pStyle w:val="ParaNoNdepar-AltN"/>
        <w:ind w:left="0"/>
        <w:rPr>
          <w:rFonts w:cs="Times New Roman"/>
          <w:lang w:val="fr-CA"/>
        </w:rPr>
      </w:pPr>
      <w:r w:rsidRPr="00731D63">
        <w:rPr>
          <w:rFonts w:cs="Times New Roman"/>
          <w:lang w:val="fr-CA"/>
        </w:rPr>
        <w:t xml:space="preserve">En résumé, </w:t>
      </w:r>
      <w:r w:rsidRPr="00B026BA">
        <w:rPr>
          <w:lang w:val="fr-CA"/>
        </w:rPr>
        <w:t>l’obligation</w:t>
      </w:r>
      <w:r w:rsidRPr="00731D63">
        <w:rPr>
          <w:rFonts w:cs="Times New Roman"/>
          <w:lang w:val="fr-CA"/>
        </w:rPr>
        <w:t xml:space="preserve"> de donner « sans délai » l’avis prescrit par le par. 15(1) de la </w:t>
      </w:r>
      <w:r w:rsidRPr="00731D63">
        <w:rPr>
          <w:rFonts w:cs="Times New Roman"/>
          <w:i/>
          <w:lang w:val="fr-CA"/>
        </w:rPr>
        <w:t>LPE</w:t>
      </w:r>
      <w:r w:rsidRPr="00731D63">
        <w:rPr>
          <w:rFonts w:cs="Times New Roman"/>
          <w:lang w:val="fr-CA"/>
        </w:rPr>
        <w:t xml:space="preserve"> entre en jeu lorsque les éléments suivants sont établis :</w:t>
      </w:r>
    </w:p>
    <w:p w:rsidR="00A22250" w:rsidRPr="00731D63" w:rsidRDefault="00A22250" w:rsidP="00C27C87">
      <w:pPr>
        <w:pStyle w:val="ContinueParaSuitedupar-AltP"/>
        <w:tabs>
          <w:tab w:val="left" w:pos="720"/>
        </w:tabs>
        <w:ind w:left="720" w:hanging="720"/>
        <w:rPr>
          <w:lang w:val="fr-CA"/>
        </w:rPr>
      </w:pPr>
      <w:r w:rsidRPr="00731D63">
        <w:rPr>
          <w:lang w:val="fr-CA"/>
        </w:rPr>
        <w:t>i.</w:t>
      </w:r>
      <w:r w:rsidRPr="00731D63">
        <w:rPr>
          <w:lang w:val="fr-CA"/>
        </w:rPr>
        <w:tab/>
        <w:t>un « </w:t>
      </w:r>
      <w:r w:rsidRPr="00C27C87">
        <w:rPr>
          <w:rFonts w:cs="Times New Roman"/>
          <w:lang w:val="fr-CA"/>
        </w:rPr>
        <w:t>contaminant</w:t>
      </w:r>
      <w:r w:rsidRPr="00731D63">
        <w:rPr>
          <w:lang w:val="fr-CA"/>
        </w:rPr>
        <w:t> » est rejeté;</w:t>
      </w:r>
    </w:p>
    <w:p w:rsidR="00A22250" w:rsidRPr="00731D63" w:rsidRDefault="00A22250" w:rsidP="00C27C87">
      <w:pPr>
        <w:pStyle w:val="ContinueParaSuitedupar-AltP"/>
        <w:tabs>
          <w:tab w:val="left" w:pos="720"/>
        </w:tabs>
        <w:ind w:left="720" w:hanging="720"/>
        <w:rPr>
          <w:lang w:val="fr-CA"/>
        </w:rPr>
      </w:pPr>
      <w:r w:rsidRPr="00731D63">
        <w:rPr>
          <w:lang w:val="fr-CA"/>
        </w:rPr>
        <w:t>ii.</w:t>
      </w:r>
      <w:r w:rsidRPr="00731D63">
        <w:rPr>
          <w:lang w:val="fr-CA"/>
        </w:rPr>
        <w:tab/>
        <w:t xml:space="preserve">le </w:t>
      </w:r>
      <w:r w:rsidRPr="00C27C87">
        <w:rPr>
          <w:rFonts w:cs="Times New Roman"/>
          <w:lang w:val="fr-CA"/>
        </w:rPr>
        <w:t>contaminant</w:t>
      </w:r>
      <w:r w:rsidRPr="00731D63">
        <w:rPr>
          <w:lang w:val="fr-CA"/>
        </w:rPr>
        <w:t xml:space="preserve"> est rejeté dans l’environnement naturel (l’air, le terrain et l’eau, ou toute combinaison ou partie de ces éléments qui sont compris dans la province de l’Ontario); </w:t>
      </w:r>
    </w:p>
    <w:p w:rsidR="00A22250" w:rsidRPr="00731D63" w:rsidRDefault="00A22250" w:rsidP="00C27C87">
      <w:pPr>
        <w:pStyle w:val="ContinueParaSuitedupar-AltP"/>
        <w:tabs>
          <w:tab w:val="left" w:pos="720"/>
        </w:tabs>
        <w:ind w:left="720" w:hanging="720"/>
        <w:rPr>
          <w:lang w:val="fr-CA"/>
        </w:rPr>
      </w:pPr>
      <w:r w:rsidRPr="00731D63">
        <w:rPr>
          <w:lang w:val="fr-CA"/>
        </w:rPr>
        <w:t>iii.</w:t>
      </w:r>
      <w:r w:rsidRPr="00731D63">
        <w:rPr>
          <w:lang w:val="fr-CA"/>
        </w:rPr>
        <w:tab/>
        <w:t xml:space="preserve">le rejet est </w:t>
      </w:r>
      <w:r w:rsidRPr="00C27C87">
        <w:rPr>
          <w:rFonts w:cs="Times New Roman"/>
          <w:lang w:val="fr-CA"/>
        </w:rPr>
        <w:t>accompli</w:t>
      </w:r>
      <w:r w:rsidRPr="00731D63">
        <w:rPr>
          <w:lang w:val="fr-CA"/>
        </w:rPr>
        <w:t xml:space="preserve"> en dehors du cours normal des événements;</w:t>
      </w:r>
    </w:p>
    <w:p w:rsidR="00A22250" w:rsidRPr="00731D63" w:rsidRDefault="00A22250" w:rsidP="00C27C87">
      <w:pPr>
        <w:pStyle w:val="ContinueParaSuitedupar-AltP"/>
        <w:tabs>
          <w:tab w:val="left" w:pos="720"/>
        </w:tabs>
        <w:ind w:left="720" w:hanging="720"/>
        <w:rPr>
          <w:lang w:val="fr-CA"/>
        </w:rPr>
      </w:pPr>
      <w:r w:rsidRPr="00731D63">
        <w:rPr>
          <w:lang w:val="fr-CA"/>
        </w:rPr>
        <w:t>iv.</w:t>
      </w:r>
      <w:r w:rsidRPr="00731D63">
        <w:rPr>
          <w:lang w:val="fr-CA"/>
        </w:rPr>
        <w:tab/>
        <w:t xml:space="preserve">le </w:t>
      </w:r>
      <w:r w:rsidRPr="00C27C87">
        <w:rPr>
          <w:rFonts w:cs="Times New Roman"/>
          <w:lang w:val="fr-CA"/>
        </w:rPr>
        <w:t>rejet</w:t>
      </w:r>
      <w:r w:rsidRPr="00731D63">
        <w:rPr>
          <w:lang w:val="fr-CA"/>
        </w:rPr>
        <w:t xml:space="preserve"> cause </w:t>
      </w:r>
      <w:r w:rsidRPr="00731D63">
        <w:rPr>
          <w:i/>
          <w:lang w:val="fr-CA"/>
        </w:rPr>
        <w:t>ou causera vraisemblablement</w:t>
      </w:r>
      <w:r w:rsidRPr="00731D63">
        <w:rPr>
          <w:lang w:val="fr-CA"/>
        </w:rPr>
        <w:t xml:space="preserve"> une conséquence préjudiciable, à savoir une ou plusieurs des conséquences énoncées aux al. a) à h) de la définition; </w:t>
      </w:r>
    </w:p>
    <w:p w:rsidR="00A22250" w:rsidRPr="00731D63" w:rsidRDefault="00A22250" w:rsidP="00C27C87">
      <w:pPr>
        <w:pStyle w:val="ContinueParaSuitedupar-AltP"/>
        <w:tabs>
          <w:tab w:val="left" w:pos="720"/>
        </w:tabs>
        <w:ind w:left="720" w:hanging="720"/>
        <w:rPr>
          <w:lang w:val="fr-CA"/>
        </w:rPr>
      </w:pPr>
      <w:r w:rsidRPr="00731D63">
        <w:rPr>
          <w:lang w:val="fr-CA"/>
        </w:rPr>
        <w:t>v.</w:t>
      </w:r>
      <w:r w:rsidRPr="00731D63">
        <w:rPr>
          <w:lang w:val="fr-CA"/>
        </w:rPr>
        <w:tab/>
        <w:t xml:space="preserve">la ou les </w:t>
      </w:r>
      <w:r w:rsidRPr="00C27C87">
        <w:rPr>
          <w:rFonts w:cs="Times New Roman"/>
          <w:lang w:val="fr-CA"/>
        </w:rPr>
        <w:t>conséquences</w:t>
      </w:r>
      <w:r w:rsidRPr="00731D63">
        <w:rPr>
          <w:lang w:val="fr-CA"/>
        </w:rPr>
        <w:t xml:space="preserve"> préjudiciables ne sont ni négligeables ni minimes;</w:t>
      </w:r>
    </w:p>
    <w:p w:rsidR="00A22250" w:rsidRPr="00731D63" w:rsidRDefault="00A22250" w:rsidP="00C27C87">
      <w:pPr>
        <w:pStyle w:val="ContinueParaSuitedupar-AltP"/>
        <w:tabs>
          <w:tab w:val="left" w:pos="720"/>
        </w:tabs>
        <w:ind w:left="720" w:hanging="720"/>
        <w:rPr>
          <w:lang w:val="fr-CA"/>
        </w:rPr>
      </w:pPr>
      <w:r w:rsidRPr="00731D63">
        <w:rPr>
          <w:lang w:val="fr-CA"/>
        </w:rPr>
        <w:lastRenderedPageBreak/>
        <w:t>vi.</w:t>
      </w:r>
      <w:r w:rsidRPr="00731D63">
        <w:rPr>
          <w:lang w:val="fr-CA"/>
        </w:rPr>
        <w:tab/>
        <w:t xml:space="preserve">la personne </w:t>
      </w:r>
      <w:r w:rsidRPr="00C27C87">
        <w:rPr>
          <w:rFonts w:cs="Times New Roman"/>
          <w:lang w:val="fr-CA"/>
        </w:rPr>
        <w:t>concernée</w:t>
      </w:r>
      <w:r w:rsidRPr="00731D63">
        <w:rPr>
          <w:lang w:val="fr-CA"/>
        </w:rPr>
        <w:t xml:space="preserve"> n’est pas tenue par ailleurs d’aviser le ministère conformément à l’art. 92, lequel vise le déversement de polluants.</w:t>
      </w:r>
    </w:p>
    <w:p w:rsidR="00A22250" w:rsidRPr="00731D63" w:rsidRDefault="00A22250" w:rsidP="00B026BA">
      <w:pPr>
        <w:pStyle w:val="ParaNoNdepar-AltN"/>
        <w:ind w:left="0"/>
        <w:rPr>
          <w:rFonts w:cs="Times New Roman"/>
          <w:lang w:val="fr-CA"/>
        </w:rPr>
      </w:pPr>
      <w:r w:rsidRPr="00731D63">
        <w:rPr>
          <w:rFonts w:cs="Times New Roman"/>
          <w:lang w:val="fr-CA"/>
        </w:rPr>
        <w:t xml:space="preserve">Il ressort de </w:t>
      </w:r>
      <w:r w:rsidRPr="00B026BA">
        <w:rPr>
          <w:lang w:val="fr-CA"/>
        </w:rPr>
        <w:t>l’application</w:t>
      </w:r>
      <w:r w:rsidRPr="00731D63">
        <w:rPr>
          <w:rFonts w:cs="Times New Roman"/>
          <w:lang w:val="fr-CA"/>
        </w:rPr>
        <w:t xml:space="preserve"> de ces éléments à la présente affaire que le par. 15(1) entrait manifestement en jeu en l’espèce.  Castonguay « a rejeté » dans « l’environnement naturel » des éclats de roc, soit de gros morceaux de roc créés par la force d’une explosion.  Il ne fait aucun doute que ces éclats de roc sont visés par la définition de « contaminant ».  En l’espèce, le rejet a été accompli « en dehors du cours normal des événements » — il s’agissait d’une conséquence accidentelle des activités de dynamitage menées par Castonguay.  Si le dynamitage s’était déroulé de façon routinière, les éclats de roc n’auraient pas été projetés dans l’air.</w:t>
      </w:r>
    </w:p>
    <w:p w:rsidR="00A22250" w:rsidRPr="00731D63" w:rsidRDefault="00A22250" w:rsidP="00B026BA">
      <w:pPr>
        <w:pStyle w:val="ParaNoNdepar-AltN"/>
        <w:ind w:left="0"/>
        <w:rPr>
          <w:rFonts w:cs="Times New Roman"/>
          <w:lang w:val="fr-CA"/>
        </w:rPr>
      </w:pPr>
      <w:r w:rsidRPr="00731D63">
        <w:rPr>
          <w:rFonts w:cs="Times New Roman"/>
          <w:lang w:val="fr-CA"/>
        </w:rPr>
        <w:t xml:space="preserve">Enfin, le rejet </w:t>
      </w:r>
      <w:r w:rsidRPr="00B026BA">
        <w:rPr>
          <w:lang w:val="fr-CA"/>
        </w:rPr>
        <w:t>d’éclats</w:t>
      </w:r>
      <w:r w:rsidRPr="00731D63">
        <w:rPr>
          <w:rFonts w:cs="Times New Roman"/>
          <w:lang w:val="fr-CA"/>
        </w:rPr>
        <w:t xml:space="preserve"> de roc a causé une « conséquence préjudiciable » au sens des al. b) et g) de la définition, c’est</w:t>
      </w:r>
      <w:r w:rsidRPr="00731D63">
        <w:rPr>
          <w:rFonts w:cs="Times New Roman"/>
          <w:lang w:val="fr-CA"/>
        </w:rPr>
        <w:noBreakHyphen/>
        <w:t>à</w:t>
      </w:r>
      <w:r w:rsidRPr="00731D63">
        <w:rPr>
          <w:rFonts w:cs="Times New Roman"/>
          <w:lang w:val="fr-CA"/>
        </w:rPr>
        <w:noBreakHyphen/>
        <w:t>dire qu’il a causé un tort ou des dommages à des biens et la perte de jouissance de l’usage normal de ces biens.  Comme l’obligation de signalement entre également en jeu lorsque le rejet « causera vraisemblablement une conséquence préjudiciable », l’al. e) est lui aussi applicable, puisqu’il existait une possibilité d’« atteinte à la sécurité de quiconque ».</w:t>
      </w:r>
    </w:p>
    <w:p w:rsidR="00A22250" w:rsidRPr="00731D63" w:rsidRDefault="00A22250" w:rsidP="00B026BA">
      <w:pPr>
        <w:pStyle w:val="ParaNoNdepar-AltN"/>
        <w:ind w:left="0"/>
        <w:rPr>
          <w:rFonts w:cs="Times New Roman"/>
          <w:lang w:val="fr-CA"/>
        </w:rPr>
      </w:pPr>
      <w:r w:rsidRPr="00731D63">
        <w:rPr>
          <w:rFonts w:cs="Times New Roman"/>
          <w:lang w:val="fr-CA"/>
        </w:rPr>
        <w:t xml:space="preserve">Les </w:t>
      </w:r>
      <w:r w:rsidRPr="00B026BA">
        <w:rPr>
          <w:lang w:val="fr-CA"/>
        </w:rPr>
        <w:t>conséquences</w:t>
      </w:r>
      <w:r w:rsidRPr="00731D63">
        <w:rPr>
          <w:rFonts w:cs="Times New Roman"/>
          <w:lang w:val="fr-CA"/>
        </w:rPr>
        <w:t xml:space="preserve"> préjudiciables n’étaient pas négligeables. La force de l’explosion et les éclats de roc qu’elle a produits étaient si puissants que d’importants dommages aux biens ont été causés, les éclats ayant en effet traversé le toit d’une résidence et fini leur course dans la cuisine.  Un véhicule en outre a été gravement </w:t>
      </w:r>
      <w:r w:rsidRPr="00731D63">
        <w:rPr>
          <w:rFonts w:cs="Times New Roman"/>
          <w:lang w:val="fr-CA"/>
        </w:rPr>
        <w:lastRenderedPageBreak/>
        <w:t>endommagé.  Les éclats de roc auraient pu facilement blesser sérieusement une personne ou la tuer.</w:t>
      </w:r>
    </w:p>
    <w:p w:rsidR="00A22250" w:rsidRPr="00731D63" w:rsidRDefault="00A22250" w:rsidP="00B026BA">
      <w:pPr>
        <w:pStyle w:val="ParaNoNdepar-AltN"/>
        <w:ind w:left="0"/>
        <w:rPr>
          <w:rFonts w:cs="Times New Roman"/>
          <w:lang w:val="fr-CA"/>
        </w:rPr>
      </w:pPr>
      <w:r w:rsidRPr="00731D63">
        <w:rPr>
          <w:rFonts w:cs="Times New Roman"/>
          <w:lang w:val="fr-CA"/>
        </w:rPr>
        <w:t xml:space="preserve">En </w:t>
      </w:r>
      <w:r w:rsidRPr="00B026BA">
        <w:rPr>
          <w:lang w:val="fr-CA"/>
        </w:rPr>
        <w:t>conséquence</w:t>
      </w:r>
      <w:r w:rsidRPr="00731D63">
        <w:rPr>
          <w:rFonts w:cs="Times New Roman"/>
          <w:lang w:val="fr-CA"/>
        </w:rPr>
        <w:t xml:space="preserve">, le par. 15(1) de la </w:t>
      </w:r>
      <w:r w:rsidRPr="00731D63">
        <w:rPr>
          <w:rFonts w:cs="Times New Roman"/>
          <w:i/>
          <w:lang w:val="fr-CA"/>
        </w:rPr>
        <w:t>LPE</w:t>
      </w:r>
      <w:r w:rsidRPr="00731D63">
        <w:rPr>
          <w:rFonts w:cs="Times New Roman"/>
          <w:lang w:val="fr-CA"/>
        </w:rPr>
        <w:t xml:space="preserve"> s’appliquait et Castonguay était tenue de signaler sans délai au ministère de l’Environnement le rejet des éclats de roc.</w:t>
      </w:r>
    </w:p>
    <w:p w:rsidR="00A22250" w:rsidRDefault="00A22250" w:rsidP="00B026BA">
      <w:pPr>
        <w:pStyle w:val="ParaNoNdepar-AltN"/>
        <w:ind w:left="0"/>
        <w:rPr>
          <w:lang w:val="fr-CA"/>
        </w:rPr>
      </w:pPr>
      <w:r w:rsidRPr="00731D63">
        <w:rPr>
          <w:lang w:val="fr-CA"/>
        </w:rPr>
        <w:t>Je suis donc d’avis de rejeter le pourvoi. Conformément à la demande du ministre de l’Environnement, aucune ordonnance n’est rendue</w:t>
      </w:r>
    </w:p>
    <w:p w:rsidR="00A22250" w:rsidRPr="00C779D1" w:rsidRDefault="00A22250" w:rsidP="00A22250">
      <w:pPr>
        <w:pStyle w:val="SCCNormalDoubleSpacing"/>
        <w:spacing w:after="480"/>
        <w:rPr>
          <w:lang w:val="fr-CA"/>
        </w:rPr>
      </w:pPr>
      <w:r w:rsidRPr="00C779D1">
        <w:rPr>
          <w:lang w:val="fr-CA"/>
        </w:rPr>
        <w:tab/>
      </w:r>
      <w:r w:rsidRPr="00C779D1">
        <w:rPr>
          <w:i/>
          <w:lang w:val="fr-CA"/>
        </w:rPr>
        <w:t>Pourvoi rejeté.</w:t>
      </w:r>
      <w:r w:rsidRPr="00C779D1">
        <w:rPr>
          <w:lang w:val="fr-CA"/>
        </w:rPr>
        <w:t xml:space="preserve"> </w:t>
      </w:r>
    </w:p>
    <w:p w:rsidR="00A22250" w:rsidRPr="00C779D1" w:rsidRDefault="00A22250" w:rsidP="00A22250">
      <w:pPr>
        <w:pStyle w:val="SCCLawFirm"/>
        <w:spacing w:after="480"/>
        <w:rPr>
          <w:lang w:val="fr-CA"/>
        </w:rPr>
      </w:pPr>
      <w:r w:rsidRPr="00C779D1">
        <w:rPr>
          <w:lang w:val="fr-CA"/>
        </w:rPr>
        <w:tab/>
        <w:t>Procureurs de l’appelante</w:t>
      </w:r>
      <w:r>
        <w:rPr>
          <w:lang w:val="fr-CA"/>
        </w:rPr>
        <w:t> :</w:t>
      </w:r>
      <w:r w:rsidRPr="00C779D1">
        <w:rPr>
          <w:lang w:val="fr-CA"/>
        </w:rPr>
        <w:t> Miller Thomson, Markham; Supreme Advocacy, Ottawa.</w:t>
      </w:r>
    </w:p>
    <w:p w:rsidR="00A22250" w:rsidRPr="00C779D1" w:rsidRDefault="00A22250" w:rsidP="00A22250">
      <w:pPr>
        <w:pStyle w:val="SCCLawFirm"/>
        <w:spacing w:after="480"/>
        <w:rPr>
          <w:lang w:val="fr-CA"/>
        </w:rPr>
      </w:pPr>
      <w:r w:rsidRPr="00C779D1">
        <w:rPr>
          <w:lang w:val="fr-CA"/>
        </w:rPr>
        <w:tab/>
        <w:t>Procureur de l’intimée</w:t>
      </w:r>
      <w:r>
        <w:rPr>
          <w:lang w:val="fr-CA"/>
        </w:rPr>
        <w:t> :</w:t>
      </w:r>
      <w:r w:rsidRPr="00C779D1">
        <w:rPr>
          <w:lang w:val="fr-CA"/>
        </w:rPr>
        <w:t> Procureur général de l’Ontario, Toronto.</w:t>
      </w:r>
    </w:p>
    <w:p w:rsidR="00A22250" w:rsidRPr="00C779D1" w:rsidRDefault="00A22250" w:rsidP="00A22250">
      <w:pPr>
        <w:pStyle w:val="SCCLawFirm"/>
        <w:spacing w:after="480"/>
        <w:rPr>
          <w:lang w:val="fr-CA"/>
        </w:rPr>
      </w:pPr>
      <w:r w:rsidRPr="00C779D1">
        <w:rPr>
          <w:lang w:val="fr-CA"/>
        </w:rPr>
        <w:tab/>
        <w:t>Procureur des intervenantes</w:t>
      </w:r>
      <w:r>
        <w:rPr>
          <w:lang w:val="fr-CA"/>
        </w:rPr>
        <w:t> :</w:t>
      </w:r>
      <w:r w:rsidRPr="00C779D1">
        <w:rPr>
          <w:lang w:val="fr-CA"/>
        </w:rPr>
        <w:t> Association canadienne du droit de l'environnement, Toronto.</w:t>
      </w:r>
    </w:p>
    <w:sectPr w:rsidR="00A22250" w:rsidRPr="00C779D1" w:rsidSect="006D0B5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CC" w:rsidRDefault="00A64DCC" w:rsidP="00A22250">
      <w:r>
        <w:separator/>
      </w:r>
    </w:p>
  </w:endnote>
  <w:endnote w:type="continuationSeparator" w:id="0">
    <w:p w:rsidR="00A64DCC" w:rsidRDefault="00A64DCC" w:rsidP="00A2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CC" w:rsidRDefault="00A64DCC" w:rsidP="00A22250">
      <w:r>
        <w:separator/>
      </w:r>
    </w:p>
  </w:footnote>
  <w:footnote w:type="continuationSeparator" w:id="0">
    <w:p w:rsidR="00A64DCC" w:rsidRDefault="00A64DCC" w:rsidP="00A22250">
      <w:r>
        <w:continuationSeparator/>
      </w:r>
    </w:p>
  </w:footnote>
  <w:footnote w:id="1">
    <w:p w:rsidR="00A64DCC" w:rsidRPr="007C0CA0" w:rsidRDefault="00A64DCC" w:rsidP="00A22250">
      <w:pPr>
        <w:pStyle w:val="ParaNoNdepar-AltN"/>
        <w:numPr>
          <w:ilvl w:val="0"/>
          <w:numId w:val="0"/>
        </w:numPr>
        <w:spacing w:before="240" w:after="240" w:line="240" w:lineRule="auto"/>
        <w:rPr>
          <w:sz w:val="20"/>
          <w:szCs w:val="20"/>
          <w:lang w:val="fr-CA"/>
        </w:rPr>
      </w:pPr>
      <w:r w:rsidRPr="00734558">
        <w:rPr>
          <w:rStyle w:val="FootnoteReference"/>
          <w:sz w:val="20"/>
          <w:szCs w:val="20"/>
        </w:rPr>
        <w:footnoteRef/>
      </w:r>
      <w:r w:rsidRPr="007C0CA0">
        <w:rPr>
          <w:sz w:val="20"/>
          <w:szCs w:val="20"/>
          <w:lang w:val="fr-CA"/>
        </w:rPr>
        <w:t xml:space="preserve">  Le paragraphe</w:t>
      </w:r>
      <w:r>
        <w:rPr>
          <w:sz w:val="20"/>
          <w:szCs w:val="20"/>
          <w:lang w:val="fr-CA"/>
        </w:rPr>
        <w:t> </w:t>
      </w:r>
      <w:r w:rsidRPr="007C0CA0">
        <w:rPr>
          <w:sz w:val="20"/>
          <w:szCs w:val="20"/>
          <w:lang w:val="fr-CA"/>
        </w:rPr>
        <w:t xml:space="preserve">14(1) de la </w:t>
      </w:r>
      <w:r w:rsidRPr="00786BFE">
        <w:rPr>
          <w:i/>
          <w:sz w:val="20"/>
          <w:szCs w:val="20"/>
          <w:lang w:val="fr-CA"/>
        </w:rPr>
        <w:t>LPE</w:t>
      </w:r>
      <w:r w:rsidRPr="007C0CA0">
        <w:rPr>
          <w:sz w:val="20"/>
          <w:szCs w:val="20"/>
          <w:lang w:val="fr-CA"/>
        </w:rPr>
        <w:t xml:space="preserve"> est libellé comme suit :</w:t>
      </w:r>
    </w:p>
    <w:p w:rsidR="00A64DCC" w:rsidRPr="007C0CA0" w:rsidRDefault="00A64DCC" w:rsidP="00C27C87">
      <w:pPr>
        <w:pStyle w:val="Citation-AltC"/>
        <w:tabs>
          <w:tab w:val="left" w:pos="990"/>
        </w:tabs>
        <w:spacing w:before="240" w:after="240"/>
        <w:ind w:left="630" w:hanging="630"/>
        <w:contextualSpacing w:val="0"/>
        <w:rPr>
          <w:sz w:val="20"/>
          <w:lang w:val="fr-CA"/>
        </w:rPr>
      </w:pPr>
      <w:r>
        <w:rPr>
          <w:b/>
          <w:bCs/>
          <w:sz w:val="20"/>
          <w:lang w:val="fr-CA"/>
        </w:rPr>
        <w:tab/>
      </w:r>
      <w:r>
        <w:rPr>
          <w:b/>
          <w:bCs/>
          <w:sz w:val="20"/>
          <w:lang w:val="fr-CA"/>
        </w:rPr>
        <w:tab/>
      </w:r>
      <w:r w:rsidRPr="007C0CA0">
        <w:rPr>
          <w:b/>
          <w:bCs/>
          <w:sz w:val="20"/>
          <w:lang w:val="fr-CA"/>
        </w:rPr>
        <w:t>14.</w:t>
      </w:r>
      <w:r>
        <w:rPr>
          <w:sz w:val="20"/>
          <w:lang w:val="fr-CA"/>
        </w:rPr>
        <w:t xml:space="preserve"> (1) Sous réserve du paragraphe </w:t>
      </w:r>
      <w:r w:rsidRPr="007C0CA0">
        <w:rPr>
          <w:sz w:val="20"/>
          <w:lang w:val="fr-CA"/>
        </w:rPr>
        <w:t>(2), mais malgré toute autre di</w:t>
      </w:r>
      <w:r>
        <w:rPr>
          <w:sz w:val="20"/>
          <w:lang w:val="fr-CA"/>
        </w:rPr>
        <w:t>s</w:t>
      </w:r>
      <w:r w:rsidRPr="007C0CA0">
        <w:rPr>
          <w:sz w:val="20"/>
          <w:lang w:val="fr-CA"/>
        </w:rPr>
        <w:t>position de la présente loi ou des règlements, nul ne doit rejeter un contaminant dans l’environnement naturel ou permettre ou faire en sorte que cela se fasse si le rejet cause ou peut causer une conséquence pr</w:t>
      </w:r>
      <w:r>
        <w:rPr>
          <w:sz w:val="20"/>
          <w:lang w:val="fr-CA"/>
        </w:rPr>
        <w:t xml:space="preserve">éjudiciable. </w:t>
      </w:r>
      <w:r w:rsidRPr="007C0CA0">
        <w:rPr>
          <w:sz w:val="20"/>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88"/>
      <w:docPartObj>
        <w:docPartGallery w:val="Page Numbers (Top of Page)"/>
        <w:docPartUnique/>
      </w:docPartObj>
    </w:sdtPr>
    <w:sdtContent>
      <w:p w:rsidR="006D0B5D" w:rsidRDefault="006D0B5D">
        <w:pPr>
          <w:pStyle w:val="Header"/>
          <w:jc w:val="center"/>
        </w:pPr>
        <w:r>
          <w:t xml:space="preserve">- </w:t>
        </w:r>
        <w:fldSimple w:instr=" PAGE   \* MERGEFORMAT ">
          <w:r w:rsidR="00C06DE6">
            <w:rPr>
              <w:noProof/>
            </w:rPr>
            <w:t>2</w:t>
          </w:r>
        </w:fldSimple>
        <w:r>
          <w:t xml:space="preserve"> -</w:t>
        </w:r>
      </w:p>
    </w:sdtContent>
  </w:sdt>
  <w:p w:rsidR="006D0B5D" w:rsidRDefault="006D0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4B20CE4"/>
    <w:lvl w:ilvl="0">
      <w:start w:val="1"/>
      <w:numFmt w:val="decimal"/>
      <w:pStyle w:val="ParaNoNdepar-AltN"/>
      <w:lvlText w:val="[%1]"/>
      <w:lvlJc w:val="left"/>
      <w:pPr>
        <w:tabs>
          <w:tab w:val="num" w:pos="1872"/>
        </w:tabs>
        <w:ind w:left="72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22250"/>
    <w:rsid w:val="000219E9"/>
    <w:rsid w:val="000440CC"/>
    <w:rsid w:val="0010759E"/>
    <w:rsid w:val="0013481D"/>
    <w:rsid w:val="00145655"/>
    <w:rsid w:val="00150E8F"/>
    <w:rsid w:val="00160E84"/>
    <w:rsid w:val="00193028"/>
    <w:rsid w:val="00217496"/>
    <w:rsid w:val="00242E70"/>
    <w:rsid w:val="00293A64"/>
    <w:rsid w:val="00295F78"/>
    <w:rsid w:val="002A0198"/>
    <w:rsid w:val="002D0DEC"/>
    <w:rsid w:val="002F6943"/>
    <w:rsid w:val="0030585A"/>
    <w:rsid w:val="003A4604"/>
    <w:rsid w:val="003C07B6"/>
    <w:rsid w:val="003E754F"/>
    <w:rsid w:val="003F772B"/>
    <w:rsid w:val="00406986"/>
    <w:rsid w:val="00454B53"/>
    <w:rsid w:val="00455EF0"/>
    <w:rsid w:val="004B1E4A"/>
    <w:rsid w:val="00506206"/>
    <w:rsid w:val="0051181C"/>
    <w:rsid w:val="00550AEF"/>
    <w:rsid w:val="0055276C"/>
    <w:rsid w:val="00566FEE"/>
    <w:rsid w:val="00574C2D"/>
    <w:rsid w:val="005C73DF"/>
    <w:rsid w:val="005E5420"/>
    <w:rsid w:val="00682E6A"/>
    <w:rsid w:val="00697D41"/>
    <w:rsid w:val="006B20A1"/>
    <w:rsid w:val="006D0B5D"/>
    <w:rsid w:val="00711618"/>
    <w:rsid w:val="007C2B43"/>
    <w:rsid w:val="00825940"/>
    <w:rsid w:val="008A660E"/>
    <w:rsid w:val="008E6D14"/>
    <w:rsid w:val="00927D8D"/>
    <w:rsid w:val="009A2859"/>
    <w:rsid w:val="00A22250"/>
    <w:rsid w:val="00A51AE0"/>
    <w:rsid w:val="00A643D4"/>
    <w:rsid w:val="00A64DCC"/>
    <w:rsid w:val="00A939C6"/>
    <w:rsid w:val="00B026BA"/>
    <w:rsid w:val="00B60F6B"/>
    <w:rsid w:val="00B71B15"/>
    <w:rsid w:val="00B9218D"/>
    <w:rsid w:val="00C06DE6"/>
    <w:rsid w:val="00C078BF"/>
    <w:rsid w:val="00C27C87"/>
    <w:rsid w:val="00C334D8"/>
    <w:rsid w:val="00CB54FB"/>
    <w:rsid w:val="00CC1423"/>
    <w:rsid w:val="00CE5221"/>
    <w:rsid w:val="00D27696"/>
    <w:rsid w:val="00D90537"/>
    <w:rsid w:val="00E005E9"/>
    <w:rsid w:val="00E15F14"/>
    <w:rsid w:val="00E167E1"/>
    <w:rsid w:val="00E23DE9"/>
    <w:rsid w:val="00EE3FC6"/>
    <w:rsid w:val="00F0532D"/>
    <w:rsid w:val="00F1312C"/>
    <w:rsid w:val="00F43573"/>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50"/>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222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A2225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22250"/>
    <w:rPr>
      <w:sz w:val="24"/>
    </w:rPr>
  </w:style>
  <w:style w:type="paragraph" w:styleId="Header">
    <w:name w:val="header"/>
    <w:basedOn w:val="Normal"/>
    <w:link w:val="HeaderChar"/>
    <w:uiPriority w:val="99"/>
    <w:unhideWhenUsed/>
    <w:rsid w:val="00A22250"/>
    <w:pPr>
      <w:tabs>
        <w:tab w:val="center" w:pos="4680"/>
        <w:tab w:val="right" w:pos="9360"/>
      </w:tabs>
    </w:pPr>
  </w:style>
  <w:style w:type="character" w:customStyle="1" w:styleId="HeaderChar">
    <w:name w:val="Header Char"/>
    <w:basedOn w:val="DefaultParagraphFont"/>
    <w:link w:val="Header"/>
    <w:uiPriority w:val="99"/>
    <w:rsid w:val="00A22250"/>
    <w:rPr>
      <w:sz w:val="24"/>
    </w:rPr>
  </w:style>
  <w:style w:type="paragraph" w:styleId="Footer">
    <w:name w:val="footer"/>
    <w:basedOn w:val="Normal"/>
    <w:link w:val="FooterChar"/>
    <w:uiPriority w:val="99"/>
    <w:semiHidden/>
    <w:unhideWhenUsed/>
    <w:rsid w:val="00A22250"/>
    <w:pPr>
      <w:tabs>
        <w:tab w:val="center" w:pos="4680"/>
        <w:tab w:val="right" w:pos="9360"/>
      </w:tabs>
    </w:pPr>
  </w:style>
  <w:style w:type="character" w:customStyle="1" w:styleId="FooterChar">
    <w:name w:val="Footer Char"/>
    <w:basedOn w:val="DefaultParagraphFont"/>
    <w:link w:val="Footer"/>
    <w:uiPriority w:val="99"/>
    <w:semiHidden/>
    <w:rsid w:val="00A22250"/>
    <w:rPr>
      <w:sz w:val="24"/>
    </w:rPr>
  </w:style>
  <w:style w:type="paragraph" w:customStyle="1" w:styleId="SCCLsocVersus">
    <w:name w:val="SCC.Lsoc.Versus"/>
    <w:basedOn w:val="Normal"/>
    <w:next w:val="Normal"/>
    <w:link w:val="SCCLsocVersusChar"/>
    <w:rsid w:val="00A22250"/>
    <w:pPr>
      <w:spacing w:after="720"/>
    </w:pPr>
    <w:rPr>
      <w:i/>
    </w:rPr>
  </w:style>
  <w:style w:type="character" w:customStyle="1" w:styleId="SCCLsocVersusChar">
    <w:name w:val="SCC.Lsoc.Versus Char"/>
    <w:basedOn w:val="DefaultParagraphFont"/>
    <w:link w:val="SCCLsocVersus"/>
    <w:rsid w:val="00A22250"/>
    <w:rPr>
      <w:i/>
      <w:sz w:val="24"/>
    </w:rPr>
  </w:style>
  <w:style w:type="character" w:customStyle="1" w:styleId="SCCLsocPartyRole">
    <w:name w:val="SCC.Lsoc.PartyRole"/>
    <w:basedOn w:val="SCCLsocLastPartyInRoleChar"/>
    <w:uiPriority w:val="1"/>
    <w:rsid w:val="00A22250"/>
    <w:rPr>
      <w:i/>
    </w:rPr>
  </w:style>
  <w:style w:type="paragraph" w:customStyle="1" w:styleId="SCCLsocOtherPartySeparator">
    <w:name w:val="SCC.Lsoc.OtherPartySeparator"/>
    <w:basedOn w:val="Normal"/>
    <w:next w:val="Normal"/>
    <w:link w:val="SCCLsocOtherPartySeparatorChar"/>
    <w:rsid w:val="00A22250"/>
    <w:pPr>
      <w:spacing w:after="720"/>
    </w:pPr>
  </w:style>
  <w:style w:type="character" w:customStyle="1" w:styleId="SCCLsocOtherPartySeparatorChar">
    <w:name w:val="SCC.Lsoc.OtherPartySeparator Char"/>
    <w:basedOn w:val="DefaultParagraphFont"/>
    <w:link w:val="SCCLsocOtherPartySeparator"/>
    <w:rsid w:val="00A22250"/>
    <w:rPr>
      <w:sz w:val="24"/>
    </w:rPr>
  </w:style>
  <w:style w:type="paragraph" w:customStyle="1" w:styleId="SCCSystemYear">
    <w:name w:val="SCC.SystemYear"/>
    <w:basedOn w:val="Normal"/>
    <w:next w:val="Normal"/>
    <w:link w:val="SCCSystemYearChar"/>
    <w:rsid w:val="00A22250"/>
    <w:rPr>
      <w:b/>
    </w:rPr>
  </w:style>
  <w:style w:type="character" w:customStyle="1" w:styleId="SCCSystemYearChar">
    <w:name w:val="SCC.SystemYear Char"/>
    <w:basedOn w:val="DefaultParagraphFont"/>
    <w:link w:val="SCCSystemYear"/>
    <w:rsid w:val="00A22250"/>
    <w:rPr>
      <w:b/>
      <w:sz w:val="24"/>
    </w:rPr>
  </w:style>
  <w:style w:type="paragraph" w:customStyle="1" w:styleId="SCCLawFirm">
    <w:name w:val="SCC.LawFirm"/>
    <w:basedOn w:val="SCCNormalDoubleSpacing"/>
    <w:next w:val="SCCNormalDoubleSpacing"/>
    <w:link w:val="SCCLawFirmChar"/>
    <w:rsid w:val="00A22250"/>
    <w:rPr>
      <w:i/>
    </w:rPr>
  </w:style>
  <w:style w:type="character" w:customStyle="1" w:styleId="SCCLawFirmChar">
    <w:name w:val="SCC.LawFirm Char"/>
    <w:basedOn w:val="SCCNormalDoubleSpacingChar"/>
    <w:link w:val="SCCLawFirm"/>
    <w:rsid w:val="00A22250"/>
    <w:rPr>
      <w:i/>
    </w:rPr>
  </w:style>
  <w:style w:type="paragraph" w:customStyle="1" w:styleId="SCCLsocLastPartyInRole">
    <w:name w:val="SCC.Lsoc.LastPartyInRole"/>
    <w:basedOn w:val="Normal"/>
    <w:next w:val="Normal"/>
    <w:link w:val="SCCLsocLastPartyInRoleChar"/>
    <w:qFormat/>
    <w:rsid w:val="00A22250"/>
    <w:pPr>
      <w:tabs>
        <w:tab w:val="right" w:pos="8222"/>
      </w:tabs>
      <w:spacing w:after="720"/>
    </w:pPr>
    <w:rPr>
      <w:b/>
    </w:rPr>
  </w:style>
  <w:style w:type="character" w:customStyle="1" w:styleId="SCCLsocLastPartyInRoleChar">
    <w:name w:val="SCC.Lsoc.LastPartyInRole Char"/>
    <w:basedOn w:val="DefaultParagraphFont"/>
    <w:link w:val="SCCLsocLastPartyInRole"/>
    <w:rsid w:val="00A22250"/>
    <w:rPr>
      <w:b/>
      <w:sz w:val="24"/>
    </w:rPr>
  </w:style>
  <w:style w:type="character" w:customStyle="1" w:styleId="Heading2Char">
    <w:name w:val="Heading 2 Char"/>
    <w:basedOn w:val="DefaultParagraphFont"/>
    <w:link w:val="Heading2"/>
    <w:uiPriority w:val="9"/>
    <w:semiHidden/>
    <w:rsid w:val="00A22250"/>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A22250"/>
    <w:pPr>
      <w:spacing w:after="480"/>
    </w:pPr>
    <w:rPr>
      <w:rFonts w:eastAsiaTheme="minorHAnsi" w:cstheme="minorBidi"/>
      <w:szCs w:val="22"/>
      <w:lang w:eastAsia="en-US"/>
    </w:rPr>
  </w:style>
  <w:style w:type="paragraph" w:customStyle="1" w:styleId="SCCLsocParty">
    <w:name w:val="SCC.Lsoc.Party"/>
    <w:basedOn w:val="Normal"/>
    <w:next w:val="Normal"/>
    <w:link w:val="SCCLsocPartyChar"/>
    <w:rsid w:val="00A22250"/>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2225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22250"/>
    <w:rPr>
      <w:rFonts w:eastAsiaTheme="minorHAnsi" w:cstheme="minorBidi"/>
      <w:sz w:val="24"/>
      <w:szCs w:val="22"/>
      <w:lang w:eastAsia="en-US"/>
    </w:rPr>
  </w:style>
  <w:style w:type="character" w:customStyle="1" w:styleId="SCCLsocPartyChar">
    <w:name w:val="SCC.Lsoc.Party Char"/>
    <w:basedOn w:val="DefaultParagraphFont"/>
    <w:link w:val="SCCLsocParty"/>
    <w:rsid w:val="00A22250"/>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A22250"/>
    <w:rPr>
      <w:rFonts w:eastAsiaTheme="minorHAnsi" w:cstheme="minorBidi"/>
      <w:sz w:val="24"/>
      <w:szCs w:val="22"/>
      <w:lang w:eastAsia="en-US"/>
    </w:rPr>
  </w:style>
  <w:style w:type="paragraph" w:customStyle="1" w:styleId="SCCBanSummary">
    <w:name w:val="SCC.BanSummary"/>
    <w:basedOn w:val="Normal"/>
    <w:next w:val="Normal"/>
    <w:link w:val="SCCBanSummaryChar"/>
    <w:rsid w:val="00A22250"/>
    <w:pPr>
      <w:jc w:val="right"/>
    </w:pPr>
    <w:rPr>
      <w:rFonts w:eastAsiaTheme="minorEastAsia"/>
      <w:b/>
      <w:szCs w:val="24"/>
    </w:rPr>
  </w:style>
  <w:style w:type="character" w:customStyle="1" w:styleId="SCCBanSummaryChar">
    <w:name w:val="SCC.BanSummary Char"/>
    <w:basedOn w:val="DefaultParagraphFont"/>
    <w:link w:val="SCCBanSummary"/>
    <w:rsid w:val="00A22250"/>
    <w:rPr>
      <w:rFonts w:eastAsiaTheme="minorEastAsia"/>
      <w:b/>
      <w:sz w:val="24"/>
      <w:szCs w:val="24"/>
    </w:rPr>
  </w:style>
  <w:style w:type="character" w:styleId="PlaceholderText">
    <w:name w:val="Placeholder Text"/>
    <w:basedOn w:val="DefaultParagraphFont"/>
    <w:uiPriority w:val="99"/>
    <w:semiHidden/>
    <w:rsid w:val="00A22250"/>
    <w:rPr>
      <w:color w:val="808080"/>
    </w:rPr>
  </w:style>
  <w:style w:type="paragraph" w:styleId="BalloonText">
    <w:name w:val="Balloon Text"/>
    <w:basedOn w:val="Normal"/>
    <w:link w:val="BalloonTextChar"/>
    <w:uiPriority w:val="99"/>
    <w:semiHidden/>
    <w:unhideWhenUsed/>
    <w:rsid w:val="00A22250"/>
    <w:rPr>
      <w:rFonts w:ascii="Tahoma" w:hAnsi="Tahoma" w:cs="Tahoma"/>
      <w:sz w:val="16"/>
      <w:szCs w:val="16"/>
    </w:rPr>
  </w:style>
  <w:style w:type="character" w:customStyle="1" w:styleId="BalloonTextChar">
    <w:name w:val="Balloon Text Char"/>
    <w:basedOn w:val="DefaultParagraphFont"/>
    <w:link w:val="BalloonText"/>
    <w:uiPriority w:val="99"/>
    <w:semiHidden/>
    <w:rsid w:val="00A22250"/>
    <w:rPr>
      <w:rFonts w:ascii="Tahoma" w:hAnsi="Tahoma" w:cs="Tahoma"/>
      <w:sz w:val="16"/>
      <w:szCs w:val="16"/>
    </w:rPr>
  </w:style>
  <w:style w:type="table" w:styleId="TableGrid">
    <w:name w:val="Table Grid"/>
    <w:basedOn w:val="TableNormal"/>
    <w:uiPriority w:val="59"/>
    <w:rsid w:val="00A222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2225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2225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22250"/>
    <w:pPr>
      <w:tabs>
        <w:tab w:val="left" w:pos="1166"/>
      </w:tabs>
      <w:spacing w:after="480" w:line="480" w:lineRule="auto"/>
    </w:pPr>
    <w:rPr>
      <w:smallCaps/>
      <w:sz w:val="24"/>
    </w:rPr>
  </w:style>
  <w:style w:type="paragraph" w:customStyle="1" w:styleId="ParaNoNdepar-AltN">
    <w:name w:val="Para. No. / Nº de par. - Alt N"/>
    <w:qFormat/>
    <w:rsid w:val="00A22250"/>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A22250"/>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uiPriority w:val="19"/>
    <w:qFormat/>
    <w:rsid w:val="00A22250"/>
    <w:rPr>
      <w:i/>
      <w:iCs/>
    </w:rPr>
  </w:style>
  <w:style w:type="paragraph" w:styleId="ListParagraph">
    <w:name w:val="List Paragraph"/>
    <w:basedOn w:val="Normal"/>
    <w:uiPriority w:val="34"/>
    <w:qFormat/>
    <w:rsid w:val="00A22250"/>
    <w:pPr>
      <w:ind w:left="720"/>
      <w:contextualSpacing/>
    </w:pPr>
    <w:rPr>
      <w:rFonts w:eastAsiaTheme="minorHAnsi" w:cstheme="minorBidi"/>
      <w:szCs w:val="24"/>
      <w:lang w:eastAsia="en-US"/>
    </w:rPr>
  </w:style>
  <w:style w:type="paragraph" w:styleId="FootnoteText">
    <w:name w:val="footnote text"/>
    <w:basedOn w:val="Normal"/>
    <w:link w:val="FootnoteTextChar"/>
    <w:uiPriority w:val="99"/>
    <w:unhideWhenUsed/>
    <w:rsid w:val="00A22250"/>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A22250"/>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A22250"/>
    <w:rPr>
      <w:vertAlign w:val="superscript"/>
    </w:rPr>
  </w:style>
  <w:style w:type="character" w:styleId="Hyperlink">
    <w:name w:val="Hyperlink"/>
    <w:basedOn w:val="DefaultParagraphFont"/>
    <w:uiPriority w:val="99"/>
    <w:unhideWhenUsed/>
    <w:rsid w:val="00A22250"/>
    <w:rPr>
      <w:color w:val="0000FF" w:themeColor="hyperlink"/>
      <w:u w:val="single"/>
    </w:rPr>
  </w:style>
  <w:style w:type="paragraph" w:customStyle="1" w:styleId="clause-e">
    <w:name w:val="clause-e"/>
    <w:basedOn w:val="Normal"/>
    <w:rsid w:val="00A22250"/>
    <w:pPr>
      <w:snapToGrid w:val="0"/>
      <w:spacing w:after="120"/>
      <w:ind w:left="1111" w:hanging="400"/>
    </w:pPr>
    <w:rPr>
      <w:color w:val="000000"/>
      <w:sz w:val="26"/>
      <w:szCs w:val="26"/>
    </w:rPr>
  </w:style>
  <w:style w:type="paragraph" w:customStyle="1" w:styleId="section-e">
    <w:name w:val="section-e"/>
    <w:basedOn w:val="Normal"/>
    <w:rsid w:val="00A22250"/>
    <w:pPr>
      <w:snapToGrid w:val="0"/>
      <w:spacing w:after="120"/>
      <w:ind w:firstLine="600"/>
    </w:pPr>
    <w:rPr>
      <w:color w:val="000000"/>
      <w:sz w:val="26"/>
      <w:szCs w:val="26"/>
    </w:rPr>
  </w:style>
  <w:style w:type="paragraph" w:customStyle="1" w:styleId="defclause-e">
    <w:name w:val="defclause-e"/>
    <w:basedOn w:val="Normal"/>
    <w:rsid w:val="00A22250"/>
    <w:pPr>
      <w:snapToGrid w:val="0"/>
      <w:spacing w:after="120"/>
      <w:ind w:left="1111" w:hanging="400"/>
    </w:pPr>
    <w:rPr>
      <w:color w:val="000000"/>
      <w:sz w:val="26"/>
      <w:szCs w:val="26"/>
    </w:rPr>
  </w:style>
  <w:style w:type="paragraph" w:customStyle="1" w:styleId="definition-e">
    <w:name w:val="definition-e"/>
    <w:basedOn w:val="Normal"/>
    <w:rsid w:val="00A22250"/>
    <w:pPr>
      <w:snapToGrid w:val="0"/>
      <w:spacing w:after="120"/>
      <w:ind w:left="652" w:hanging="400"/>
    </w:pPr>
    <w:rPr>
      <w:color w:val="000000"/>
      <w:sz w:val="26"/>
      <w:szCs w:val="26"/>
    </w:rPr>
  </w:style>
  <w:style w:type="paragraph" w:customStyle="1" w:styleId="sdefinition-e">
    <w:name w:val="sdefinition-e"/>
    <w:basedOn w:val="Normal"/>
    <w:rsid w:val="00A22250"/>
    <w:pPr>
      <w:snapToGrid w:val="0"/>
      <w:spacing w:after="120"/>
      <w:ind w:left="527"/>
    </w:pPr>
    <w:rPr>
      <w:color w:val="000000"/>
      <w:sz w:val="26"/>
      <w:szCs w:val="26"/>
    </w:rPr>
  </w:style>
  <w:style w:type="paragraph" w:styleId="EndnoteText">
    <w:name w:val="endnote text"/>
    <w:basedOn w:val="Normal"/>
    <w:link w:val="EndnoteTextChar"/>
    <w:uiPriority w:val="99"/>
    <w:semiHidden/>
    <w:unhideWhenUsed/>
    <w:rsid w:val="00A22250"/>
    <w:rPr>
      <w:sz w:val="20"/>
    </w:rPr>
  </w:style>
  <w:style w:type="character" w:customStyle="1" w:styleId="EndnoteTextChar">
    <w:name w:val="Endnote Text Char"/>
    <w:basedOn w:val="DefaultParagraphFont"/>
    <w:link w:val="EndnoteText"/>
    <w:uiPriority w:val="99"/>
    <w:semiHidden/>
    <w:rsid w:val="00A22250"/>
  </w:style>
  <w:style w:type="character" w:styleId="EndnoteReference">
    <w:name w:val="endnote reference"/>
    <w:basedOn w:val="DefaultParagraphFont"/>
    <w:uiPriority w:val="99"/>
    <w:semiHidden/>
    <w:unhideWhenUsed/>
    <w:rsid w:val="00A22250"/>
    <w:rPr>
      <w:vertAlign w:val="superscript"/>
    </w:rPr>
  </w:style>
  <w:style w:type="table" w:customStyle="1" w:styleId="TableGrid1">
    <w:name w:val="Table Grid1"/>
    <w:basedOn w:val="TableNormal"/>
    <w:next w:val="TableGrid"/>
    <w:uiPriority w:val="59"/>
    <w:rsid w:val="00C06DE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E643-2A75-4F32-90DC-B7CCD42D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5584</Words>
  <Characters>31833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37343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dcterms:created xsi:type="dcterms:W3CDTF">2014-04-03T15:34:00Z</dcterms:created>
  <dcterms:modified xsi:type="dcterms:W3CDTF">2014-04-03T15:34:00Z</dcterms:modified>
</cp:coreProperties>
</file>