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37A" w:rsidRDefault="00B6037A" w:rsidP="00B6037A">
      <w:pPr>
        <w:pStyle w:val="Header"/>
        <w:jc w:val="center"/>
      </w:pP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8" o:title=""/>
          </v:shape>
          <o:OLEObject Type="Embed" ProgID="Presentations.Drawing.13" ShapeID="_x0000_i1025" DrawAspect="Content" ObjectID="_1458030892" r:id="rId9"/>
        </w:object>
      </w:r>
    </w:p>
    <w:p w:rsidR="00B6037A" w:rsidRDefault="00B6037A" w:rsidP="00B6037A">
      <w:pPr>
        <w:pStyle w:val="Header"/>
      </w:pPr>
    </w:p>
    <w:p w:rsidR="00B6037A" w:rsidRPr="001E12E2" w:rsidRDefault="00B6037A" w:rsidP="00B6037A">
      <w:pPr>
        <w:jc w:val="center"/>
        <w:rPr>
          <w:b/>
        </w:rPr>
      </w:pPr>
      <w:r w:rsidRPr="001E12E2">
        <w:rPr>
          <w:b/>
        </w:rPr>
        <w:t>COUR SUPRÊME DU CANADA</w:t>
      </w:r>
    </w:p>
    <w:p w:rsidR="00B6037A" w:rsidRDefault="00B6037A" w:rsidP="00B6037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6037A" w:rsidRPr="001E12E2" w:rsidTr="00A91E19">
        <w:trPr>
          <w:cantSplit/>
        </w:trPr>
        <w:tc>
          <w:tcPr>
            <w:tcW w:w="6768" w:type="dxa"/>
          </w:tcPr>
          <w:p w:rsidR="00B6037A" w:rsidRPr="001E12E2" w:rsidRDefault="00B6037A" w:rsidP="00A91E19">
            <w:r>
              <w:rPr>
                <w:b/>
                <w:smallCaps/>
              </w:rPr>
              <w:t>Référence :</w:t>
            </w:r>
            <w:r w:rsidRPr="001E12E2">
              <w:t xml:space="preserve"> </w:t>
            </w:r>
            <w:r w:rsidRPr="00BC19C6">
              <w:t xml:space="preserve">Sun-Rype Products Ltd. </w:t>
            </w:r>
            <w:r w:rsidRPr="00BC19C6">
              <w:rPr>
                <w:i/>
              </w:rPr>
              <w:t>c.</w:t>
            </w:r>
            <w:r w:rsidRPr="00BC19C6">
              <w:t xml:space="preserve"> Archer Daniels Midland Company</w:t>
            </w:r>
            <w:r>
              <w:t>, 2013 CSC 58, [2013] 3 R.C.S. 545</w:t>
            </w:r>
          </w:p>
        </w:tc>
        <w:tc>
          <w:tcPr>
            <w:tcW w:w="2808" w:type="dxa"/>
          </w:tcPr>
          <w:p w:rsidR="00B6037A" w:rsidRPr="001E12E2" w:rsidRDefault="00B6037A" w:rsidP="00A91E19">
            <w:r w:rsidRPr="001E12E2">
              <w:rPr>
                <w:b/>
                <w:smallCaps/>
              </w:rPr>
              <w:t>Date</w:t>
            </w:r>
            <w:r>
              <w:rPr>
                <w:b/>
                <w:smallCaps/>
              </w:rPr>
              <w:t> :</w:t>
            </w:r>
            <w:r w:rsidRPr="001E12E2">
              <w:t xml:space="preserve"> </w:t>
            </w:r>
            <w:r>
              <w:t>20131031</w:t>
            </w:r>
          </w:p>
          <w:p w:rsidR="00B6037A" w:rsidRPr="001E12E2" w:rsidRDefault="00B6037A" w:rsidP="00A91E19">
            <w:r w:rsidRPr="001E12E2">
              <w:rPr>
                <w:b/>
                <w:smallCaps/>
              </w:rPr>
              <w:t>Do</w:t>
            </w:r>
            <w:r>
              <w:rPr>
                <w:b/>
                <w:smallCaps/>
              </w:rPr>
              <w:t>ssier :</w:t>
            </w:r>
            <w:r w:rsidRPr="001E12E2">
              <w:t xml:space="preserve"> </w:t>
            </w:r>
            <w:r>
              <w:t>34283</w:t>
            </w:r>
          </w:p>
        </w:tc>
      </w:tr>
    </w:tbl>
    <w:p w:rsidR="00B6037A" w:rsidRPr="001E12E2" w:rsidRDefault="00B6037A" w:rsidP="00B6037A"/>
    <w:p w:rsidR="00B6037A" w:rsidRDefault="00B6037A" w:rsidP="00B6037A">
      <w:pPr>
        <w:pStyle w:val="SCCLsocPrefix"/>
      </w:pPr>
      <w:r>
        <w:t>Entre :</w:t>
      </w:r>
    </w:p>
    <w:p w:rsidR="00B6037A" w:rsidRDefault="00B6037A" w:rsidP="00B6037A">
      <w:pPr>
        <w:pStyle w:val="SCCLsocParty"/>
        <w:jc w:val="center"/>
      </w:pPr>
      <w:r>
        <w:t>Sun-Rype Products Ltd. et Wendy Weberg</w:t>
      </w:r>
    </w:p>
    <w:p w:rsidR="00B6037A" w:rsidRDefault="00B6037A" w:rsidP="00B6037A">
      <w:pPr>
        <w:jc w:val="center"/>
      </w:pPr>
      <w:r>
        <w:t>Appelantes/Intimées au pourvoi incident</w:t>
      </w:r>
    </w:p>
    <w:p w:rsidR="00B6037A" w:rsidRPr="00A508F3" w:rsidRDefault="00B6037A" w:rsidP="00B6037A">
      <w:pPr>
        <w:pStyle w:val="SCCLsocVersus"/>
        <w:spacing w:after="0"/>
        <w:jc w:val="center"/>
        <w:rPr>
          <w:i w:val="0"/>
        </w:rPr>
      </w:pPr>
      <w:r w:rsidRPr="00A508F3">
        <w:rPr>
          <w:i w:val="0"/>
        </w:rPr>
        <w:t>et</w:t>
      </w:r>
    </w:p>
    <w:p w:rsidR="00B6037A" w:rsidRPr="00A508F3" w:rsidRDefault="00B6037A" w:rsidP="00B6037A">
      <w:pPr>
        <w:pStyle w:val="SCCLsocParty"/>
        <w:tabs>
          <w:tab w:val="clear" w:pos="8222"/>
          <w:tab w:val="right" w:pos="9450"/>
        </w:tabs>
        <w:jc w:val="center"/>
        <w:rPr>
          <w:lang w:val="fr-CA"/>
        </w:rPr>
      </w:pPr>
      <w:r w:rsidRPr="00A508F3">
        <w:rPr>
          <w:lang w:val="fr-CA"/>
        </w:rPr>
        <w:t>Archer Daniels Midland Company, Cargill, Incorporated, Cerestar USA, Inc., auparavant connue sous le nom d’American Maize-Products Company, Corn Products International, Inc., Bestfoods, Inc., auparavant connue sous le nom de CPC International, Inc., ADM Agri-Industries Company, Cargill Limitée, Casco Inc. et Unilever PLC faisant affaire sous la dénomination d’Unilever Bestfoods North America</w:t>
      </w:r>
    </w:p>
    <w:p w:rsidR="00B6037A" w:rsidRPr="00A508F3" w:rsidRDefault="00B6037A" w:rsidP="00B6037A">
      <w:pPr>
        <w:jc w:val="center"/>
        <w:rPr>
          <w:lang w:val="fr-CA"/>
        </w:rPr>
      </w:pPr>
      <w:r w:rsidRPr="00A508F3">
        <w:rPr>
          <w:lang w:val="fr-CA"/>
        </w:rPr>
        <w:t>Intimées/Appelantes au pourvoi incident</w:t>
      </w:r>
    </w:p>
    <w:p w:rsidR="00B6037A" w:rsidRPr="00A508F3" w:rsidRDefault="00B6037A" w:rsidP="00B6037A">
      <w:pPr>
        <w:pStyle w:val="SCCLsocOtherPartySeparator"/>
        <w:spacing w:after="0"/>
        <w:jc w:val="center"/>
        <w:rPr>
          <w:lang w:val="fr-CA"/>
        </w:rPr>
      </w:pPr>
      <w:r w:rsidRPr="00A508F3">
        <w:rPr>
          <w:lang w:val="fr-CA"/>
        </w:rPr>
        <w:t>- et -</w:t>
      </w:r>
    </w:p>
    <w:p w:rsidR="00B6037A" w:rsidRPr="00A508F3" w:rsidRDefault="00B6037A" w:rsidP="00B6037A">
      <w:pPr>
        <w:pStyle w:val="SCCLsocParty"/>
        <w:jc w:val="center"/>
        <w:rPr>
          <w:lang w:val="fr-CA"/>
        </w:rPr>
      </w:pPr>
      <w:r w:rsidRPr="00A508F3">
        <w:rPr>
          <w:lang w:val="fr-CA"/>
        </w:rPr>
        <w:t>Procureur général du Canada et Chambre de commerce du Canada</w:t>
      </w:r>
    </w:p>
    <w:p w:rsidR="00B6037A" w:rsidRPr="00A508F3" w:rsidRDefault="00B6037A" w:rsidP="00B6037A">
      <w:pPr>
        <w:jc w:val="center"/>
        <w:rPr>
          <w:lang w:val="fr-CA"/>
        </w:rPr>
      </w:pPr>
      <w:r w:rsidRPr="00A508F3">
        <w:rPr>
          <w:lang w:val="fr-CA"/>
        </w:rPr>
        <w:t>Intervenants</w:t>
      </w:r>
    </w:p>
    <w:p w:rsidR="00B6037A" w:rsidRPr="00A508F3" w:rsidRDefault="00B6037A" w:rsidP="00B6037A">
      <w:pPr>
        <w:rPr>
          <w:lang w:val="fr-CA"/>
        </w:rPr>
      </w:pPr>
    </w:p>
    <w:p w:rsidR="00B6037A" w:rsidRPr="00A508F3" w:rsidRDefault="00B6037A" w:rsidP="00B6037A">
      <w:pPr>
        <w:rPr>
          <w:lang w:val="fr-CA"/>
        </w:rPr>
      </w:pPr>
    </w:p>
    <w:p w:rsidR="00B6037A" w:rsidRPr="00A508F3" w:rsidRDefault="00B6037A" w:rsidP="00B6037A">
      <w:pPr>
        <w:jc w:val="center"/>
        <w:rPr>
          <w:b/>
          <w:smallCaps/>
          <w:lang w:val="fr-CA"/>
        </w:rPr>
      </w:pPr>
      <w:r w:rsidRPr="00A508F3">
        <w:rPr>
          <w:b/>
          <w:smallCaps/>
          <w:lang w:val="fr-CA"/>
        </w:rPr>
        <w:t>Traduction française officielle</w:t>
      </w:r>
    </w:p>
    <w:p w:rsidR="00B6037A" w:rsidRPr="00A508F3" w:rsidRDefault="00B6037A" w:rsidP="00B6037A">
      <w:pPr>
        <w:rPr>
          <w:lang w:val="fr-CA"/>
        </w:rPr>
      </w:pPr>
    </w:p>
    <w:p w:rsidR="00B6037A" w:rsidRPr="00A508F3" w:rsidRDefault="00B6037A" w:rsidP="00B6037A">
      <w:pPr>
        <w:rPr>
          <w:lang w:val="fr-CA"/>
        </w:rPr>
      </w:pPr>
      <w:r w:rsidRPr="00A508F3">
        <w:rPr>
          <w:b/>
          <w:smallCaps/>
          <w:lang w:val="fr-CA"/>
        </w:rPr>
        <w:t>Coram :</w:t>
      </w:r>
      <w:r w:rsidRPr="00A508F3">
        <w:rPr>
          <w:lang w:val="fr-CA"/>
        </w:rPr>
        <w:t xml:space="preserve"> La juge en chef McLachlin et les juges LeBel, Fish, Abella, Rothstein, Cromwell, Moldaver, Karakatsanis et Wagner</w:t>
      </w:r>
    </w:p>
    <w:p w:rsidR="00B6037A" w:rsidRPr="00A508F3" w:rsidRDefault="00B6037A" w:rsidP="00B6037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6037A" w:rsidRPr="007828A3" w:rsidTr="00A91E19">
        <w:trPr>
          <w:cantSplit/>
        </w:trPr>
        <w:tc>
          <w:tcPr>
            <w:tcW w:w="3618" w:type="dxa"/>
          </w:tcPr>
          <w:p w:rsidR="00B6037A" w:rsidRPr="00A508F3" w:rsidRDefault="00B6037A" w:rsidP="00A91E19">
            <w:pPr>
              <w:rPr>
                <w:b/>
                <w:smallCaps/>
                <w:lang w:val="fr-CA"/>
              </w:rPr>
            </w:pPr>
            <w:r w:rsidRPr="00A508F3">
              <w:rPr>
                <w:b/>
                <w:smallCaps/>
                <w:lang w:val="fr-CA"/>
              </w:rPr>
              <w:t>Motifs de jugement :</w:t>
            </w:r>
          </w:p>
          <w:p w:rsidR="00B6037A" w:rsidRPr="00A508F3" w:rsidRDefault="00B6037A" w:rsidP="00A91E19">
            <w:pPr>
              <w:rPr>
                <w:b/>
                <w:smallCaps/>
                <w:lang w:val="fr-CA"/>
              </w:rPr>
            </w:pPr>
            <w:r w:rsidRPr="00A508F3">
              <w:rPr>
                <w:lang w:val="fr-CA"/>
              </w:rPr>
              <w:t>(par. 1 à 80)</w:t>
            </w:r>
          </w:p>
          <w:p w:rsidR="00B6037A" w:rsidRPr="00A508F3" w:rsidRDefault="00B6037A" w:rsidP="00A91E19">
            <w:pPr>
              <w:rPr>
                <w:b/>
                <w:smallCaps/>
                <w:lang w:val="fr-CA"/>
              </w:rPr>
            </w:pPr>
          </w:p>
          <w:p w:rsidR="00B6037A" w:rsidRDefault="00B6037A" w:rsidP="00A91E19">
            <w:pPr>
              <w:rPr>
                <w:b/>
                <w:smallCaps/>
              </w:rPr>
            </w:pPr>
            <w:r>
              <w:rPr>
                <w:b/>
                <w:smallCaps/>
              </w:rPr>
              <w:t>Motifs dissidents :</w:t>
            </w:r>
          </w:p>
          <w:p w:rsidR="00B6037A" w:rsidRPr="001E12E2" w:rsidRDefault="00B6037A" w:rsidP="00A91E19">
            <w:r>
              <w:t>(par. 81 à 122)</w:t>
            </w:r>
          </w:p>
        </w:tc>
        <w:tc>
          <w:tcPr>
            <w:tcW w:w="5958" w:type="dxa"/>
          </w:tcPr>
          <w:p w:rsidR="00B6037A" w:rsidRPr="00A508F3" w:rsidRDefault="00B6037A" w:rsidP="00A91E19">
            <w:pPr>
              <w:rPr>
                <w:lang w:val="fr-CA"/>
              </w:rPr>
            </w:pPr>
            <w:r w:rsidRPr="00A508F3">
              <w:rPr>
                <w:lang w:val="fr-CA"/>
              </w:rPr>
              <w:t>Le juge Rothstein (avec l’accord de la juge en chef McLachlin et des juges LeBel, Fish, Abella, Moldaver et Wagner)</w:t>
            </w:r>
          </w:p>
          <w:p w:rsidR="00B6037A" w:rsidRPr="00A508F3" w:rsidRDefault="00B6037A" w:rsidP="00A91E19">
            <w:pPr>
              <w:rPr>
                <w:lang w:val="fr-CA"/>
              </w:rPr>
            </w:pPr>
          </w:p>
          <w:p w:rsidR="00B6037A" w:rsidRPr="00A508F3" w:rsidRDefault="00B6037A" w:rsidP="00A91E19">
            <w:pPr>
              <w:rPr>
                <w:lang w:val="fr-CA"/>
              </w:rPr>
            </w:pPr>
            <w:r w:rsidRPr="00A508F3">
              <w:rPr>
                <w:lang w:val="fr-CA"/>
              </w:rPr>
              <w:t>La juge Karakatsanis (avec l’accord du juge Cromwell)</w:t>
            </w:r>
          </w:p>
        </w:tc>
      </w:tr>
    </w:tbl>
    <w:p w:rsidR="00B6037A" w:rsidRPr="00A508F3" w:rsidRDefault="00B6037A" w:rsidP="00B6037A">
      <w:pPr>
        <w:rPr>
          <w:lang w:val="fr-CA"/>
        </w:rPr>
      </w:pPr>
      <w:r w:rsidRPr="004D77D6">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B6037A" w:rsidRDefault="00B6037A" w:rsidP="00B6037A">
      <w:pPr>
        <w:rPr>
          <w:smallCaps/>
          <w:lang w:val="fr-CA"/>
        </w:rPr>
      </w:pPr>
      <w:r>
        <w:rPr>
          <w:smallCaps/>
          <w:lang w:val="fr-CA"/>
        </w:rPr>
        <w:br w:type="page"/>
      </w:r>
    </w:p>
    <w:p w:rsidR="00B40814" w:rsidRPr="009B05B5" w:rsidRDefault="00B40814" w:rsidP="00B40814">
      <w:pPr>
        <w:spacing w:after="720"/>
        <w:jc w:val="both"/>
      </w:pPr>
      <w:r>
        <w:lastRenderedPageBreak/>
        <w:t>Sun-</w:t>
      </w:r>
      <w:r w:rsidRPr="009B05B5">
        <w:t xml:space="preserve">Rype Products Ltd. </w:t>
      </w:r>
      <w:r>
        <w:rPr>
          <w:i/>
        </w:rPr>
        <w:t>c</w:t>
      </w:r>
      <w:r w:rsidRPr="009B05B5">
        <w:rPr>
          <w:i/>
        </w:rPr>
        <w:t>.</w:t>
      </w:r>
      <w:r w:rsidRPr="009B05B5">
        <w:t xml:space="preserve"> Archer Daniels Midland Company</w:t>
      </w:r>
      <w:r>
        <w:t>, 2013 CSC 58, [2013] 3 R.C.S. 545</w:t>
      </w:r>
    </w:p>
    <w:p w:rsidR="009400EA" w:rsidRPr="002E5797" w:rsidRDefault="002A77F8">
      <w:pPr>
        <w:pStyle w:val="SCCLsocParty"/>
        <w:rPr>
          <w:lang w:val="fr-CA"/>
        </w:rPr>
      </w:pPr>
      <w:r w:rsidRPr="002E5797">
        <w:rPr>
          <w:lang w:val="fr-CA"/>
        </w:rPr>
        <w:t>Sun</w:t>
      </w:r>
      <w:r w:rsidR="00BD4DEB" w:rsidRPr="002E5797">
        <w:rPr>
          <w:lang w:val="fr-CA"/>
        </w:rPr>
        <w:noBreakHyphen/>
      </w:r>
      <w:r w:rsidRPr="002E5797">
        <w:rPr>
          <w:lang w:val="fr-CA"/>
        </w:rPr>
        <w:t>Rype Products Ltd.</w:t>
      </w:r>
      <w:r w:rsidR="00DE5C83" w:rsidRPr="002E5797">
        <w:rPr>
          <w:lang w:val="fr-CA"/>
        </w:rPr>
        <w:t xml:space="preserve"> et </w:t>
      </w:r>
    </w:p>
    <w:p w:rsidR="009400EA" w:rsidRPr="002E5797" w:rsidRDefault="002A77F8">
      <w:pPr>
        <w:pStyle w:val="SCCLsocLastPartyInRole"/>
        <w:rPr>
          <w:lang w:val="fr-CA"/>
        </w:rPr>
      </w:pPr>
      <w:r w:rsidRPr="002E5797">
        <w:rPr>
          <w:lang w:val="fr-CA"/>
        </w:rPr>
        <w:t>Wendy Weberg</w:t>
      </w:r>
      <w:r w:rsidR="00F3538F" w:rsidRPr="002E5797">
        <w:rPr>
          <w:lang w:val="fr-CA"/>
        </w:rPr>
        <w:t xml:space="preserve"> </w:t>
      </w:r>
      <w:r w:rsidR="009C6ABA" w:rsidRPr="002E5797">
        <w:rPr>
          <w:rStyle w:val="SCCLsocPartyRole"/>
          <w:lang w:val="fr-CA"/>
        </w:rPr>
        <w:tab/>
        <w:t>Appelantes/I</w:t>
      </w:r>
      <w:r w:rsidRPr="002E5797">
        <w:rPr>
          <w:rStyle w:val="SCCLsocPartyRole"/>
          <w:lang w:val="fr-CA"/>
        </w:rPr>
        <w:t xml:space="preserve">ntimées </w:t>
      </w:r>
      <w:r w:rsidR="009C6ABA" w:rsidRPr="002E5797">
        <w:rPr>
          <w:rStyle w:val="SCCLsocPartyRole"/>
          <w:lang w:val="fr-CA"/>
        </w:rPr>
        <w:t>au pourvoi</w:t>
      </w:r>
      <w:r w:rsidRPr="002E5797">
        <w:rPr>
          <w:rStyle w:val="SCCLsocPartyRole"/>
          <w:lang w:val="fr-CA"/>
        </w:rPr>
        <w:t xml:space="preserve"> incident</w:t>
      </w:r>
    </w:p>
    <w:p w:rsidR="009400EA" w:rsidRPr="002E5797" w:rsidRDefault="002A77F8">
      <w:pPr>
        <w:pStyle w:val="SCCLsocVersus"/>
      </w:pPr>
      <w:r w:rsidRPr="002E5797">
        <w:t>c.</w:t>
      </w:r>
    </w:p>
    <w:p w:rsidR="009400EA" w:rsidRPr="002E5797" w:rsidRDefault="002A77F8">
      <w:pPr>
        <w:pStyle w:val="SCCLsocParty"/>
      </w:pPr>
      <w:r w:rsidRPr="002E5797">
        <w:t>Archer Daniels Midland Company,</w:t>
      </w:r>
      <w:r w:rsidR="00F3538F" w:rsidRPr="002E5797">
        <w:t xml:space="preserve"> </w:t>
      </w:r>
    </w:p>
    <w:p w:rsidR="00BF5764" w:rsidRPr="002E5797" w:rsidRDefault="002A77F8">
      <w:pPr>
        <w:pStyle w:val="SCCLsocParty"/>
        <w:rPr>
          <w:lang w:val="fr-CA"/>
        </w:rPr>
      </w:pPr>
      <w:r w:rsidRPr="002E5797">
        <w:rPr>
          <w:lang w:val="fr-CA"/>
        </w:rPr>
        <w:t>Cargill</w:t>
      </w:r>
      <w:r w:rsidR="009B77AB" w:rsidRPr="002E5797">
        <w:rPr>
          <w:lang w:val="fr-CA"/>
        </w:rPr>
        <w:t>,</w:t>
      </w:r>
      <w:r w:rsidRPr="002E5797">
        <w:rPr>
          <w:lang w:val="fr-CA"/>
        </w:rPr>
        <w:t xml:space="preserve"> Incorporated, </w:t>
      </w:r>
    </w:p>
    <w:p w:rsidR="009F0465" w:rsidRPr="002E5797" w:rsidRDefault="002A77F8">
      <w:pPr>
        <w:pStyle w:val="SCCLsocParty"/>
        <w:rPr>
          <w:lang w:val="fr-CA"/>
        </w:rPr>
      </w:pPr>
      <w:r w:rsidRPr="002E5797">
        <w:rPr>
          <w:lang w:val="fr-CA"/>
        </w:rPr>
        <w:t>Cerestar USA</w:t>
      </w:r>
      <w:r w:rsidR="00BF5764" w:rsidRPr="002E5797">
        <w:rPr>
          <w:lang w:val="fr-CA"/>
        </w:rPr>
        <w:t>,</w:t>
      </w:r>
      <w:r w:rsidRPr="002E5797">
        <w:rPr>
          <w:lang w:val="fr-CA"/>
        </w:rPr>
        <w:t xml:space="preserve"> Inc., auparavant connue sous le nom</w:t>
      </w:r>
      <w:r w:rsidR="009F0465" w:rsidRPr="002E5797">
        <w:rPr>
          <w:lang w:val="fr-CA"/>
        </w:rPr>
        <w:t xml:space="preserve"> </w:t>
      </w:r>
    </w:p>
    <w:p w:rsidR="009400EA" w:rsidRPr="002E5797" w:rsidRDefault="002A77F8">
      <w:pPr>
        <w:pStyle w:val="SCCLsocParty"/>
        <w:rPr>
          <w:lang w:val="en-US"/>
        </w:rPr>
      </w:pPr>
      <w:r w:rsidRPr="002E5797">
        <w:rPr>
          <w:lang w:val="en-US"/>
        </w:rPr>
        <w:t>d</w:t>
      </w:r>
      <w:r w:rsidR="00DE5C83" w:rsidRPr="002E5797">
        <w:rPr>
          <w:lang w:val="en-US"/>
        </w:rPr>
        <w:t>’</w:t>
      </w:r>
      <w:r w:rsidRPr="002E5797">
        <w:rPr>
          <w:lang w:val="en-US"/>
        </w:rPr>
        <w:t>America</w:t>
      </w:r>
      <w:r w:rsidR="009B77AB" w:rsidRPr="002E5797">
        <w:rPr>
          <w:lang w:val="en-US"/>
        </w:rPr>
        <w:t>n</w:t>
      </w:r>
      <w:r w:rsidRPr="002E5797">
        <w:rPr>
          <w:lang w:val="en-US"/>
        </w:rPr>
        <w:t xml:space="preserve"> Maize</w:t>
      </w:r>
      <w:r w:rsidR="00BD4DEB" w:rsidRPr="002E5797">
        <w:rPr>
          <w:lang w:val="en-US"/>
        </w:rPr>
        <w:noBreakHyphen/>
      </w:r>
      <w:r w:rsidRPr="002E5797">
        <w:rPr>
          <w:lang w:val="en-US"/>
        </w:rPr>
        <w:t>Products Company,</w:t>
      </w:r>
      <w:r w:rsidR="00F3538F" w:rsidRPr="002E5797">
        <w:rPr>
          <w:lang w:val="en-US"/>
        </w:rPr>
        <w:t xml:space="preserve"> </w:t>
      </w:r>
    </w:p>
    <w:p w:rsidR="00DE5C83" w:rsidRPr="002E5797" w:rsidRDefault="002A77F8">
      <w:pPr>
        <w:pStyle w:val="SCCLsocParty"/>
        <w:rPr>
          <w:lang w:val="en-US"/>
        </w:rPr>
      </w:pPr>
      <w:r w:rsidRPr="002E5797">
        <w:rPr>
          <w:lang w:val="en-US"/>
        </w:rPr>
        <w:t>Corn Products International</w:t>
      </w:r>
      <w:r w:rsidR="00BF5764" w:rsidRPr="002E5797">
        <w:rPr>
          <w:lang w:val="en-US"/>
        </w:rPr>
        <w:t>,</w:t>
      </w:r>
      <w:r w:rsidRPr="002E5797">
        <w:rPr>
          <w:lang w:val="en-US"/>
        </w:rPr>
        <w:t xml:space="preserve"> Inc., </w:t>
      </w:r>
    </w:p>
    <w:p w:rsidR="009400EA" w:rsidRPr="002E5797" w:rsidRDefault="002A77F8">
      <w:pPr>
        <w:pStyle w:val="SCCLsocParty"/>
        <w:rPr>
          <w:lang w:val="fr-CA"/>
        </w:rPr>
      </w:pPr>
      <w:r w:rsidRPr="002E5797">
        <w:rPr>
          <w:lang w:val="fr-CA"/>
        </w:rPr>
        <w:t>Bestfoods</w:t>
      </w:r>
      <w:r w:rsidR="00BF5764" w:rsidRPr="002E5797">
        <w:rPr>
          <w:lang w:val="fr-CA"/>
        </w:rPr>
        <w:t>,</w:t>
      </w:r>
      <w:r w:rsidRPr="002E5797">
        <w:rPr>
          <w:lang w:val="fr-CA"/>
        </w:rPr>
        <w:t xml:space="preserve"> Inc., auparavant connue sous le nom</w:t>
      </w:r>
      <w:r w:rsidR="00F3538F" w:rsidRPr="002E5797">
        <w:rPr>
          <w:lang w:val="fr-CA"/>
        </w:rPr>
        <w:t xml:space="preserve"> </w:t>
      </w:r>
      <w:r w:rsidRPr="002E5797">
        <w:rPr>
          <w:lang w:val="fr-CA"/>
        </w:rPr>
        <w:t>de CPC International</w:t>
      </w:r>
      <w:r w:rsidR="00BF5764" w:rsidRPr="002E5797">
        <w:rPr>
          <w:lang w:val="fr-CA"/>
        </w:rPr>
        <w:t>,</w:t>
      </w:r>
      <w:r w:rsidRPr="002E5797">
        <w:rPr>
          <w:lang w:val="fr-CA"/>
        </w:rPr>
        <w:t xml:space="preserve"> Inc.,</w:t>
      </w:r>
      <w:r w:rsidR="00F3538F" w:rsidRPr="002E5797">
        <w:rPr>
          <w:lang w:val="fr-CA"/>
        </w:rPr>
        <w:t xml:space="preserve"> </w:t>
      </w:r>
    </w:p>
    <w:p w:rsidR="009400EA" w:rsidRPr="002E5797" w:rsidRDefault="002A77F8">
      <w:pPr>
        <w:pStyle w:val="SCCLsocParty"/>
        <w:rPr>
          <w:lang w:val="fr-CA"/>
        </w:rPr>
      </w:pPr>
      <w:r w:rsidRPr="002E5797">
        <w:rPr>
          <w:lang w:val="fr-CA"/>
        </w:rPr>
        <w:t>ADM Agri</w:t>
      </w:r>
      <w:r w:rsidR="00BD4DEB" w:rsidRPr="002E5797">
        <w:rPr>
          <w:lang w:val="fr-CA"/>
        </w:rPr>
        <w:noBreakHyphen/>
      </w:r>
      <w:r w:rsidRPr="002E5797">
        <w:rPr>
          <w:lang w:val="fr-CA"/>
        </w:rPr>
        <w:t>Industries Company,</w:t>
      </w:r>
      <w:r w:rsidR="00F3538F" w:rsidRPr="002E5797">
        <w:rPr>
          <w:lang w:val="fr-CA"/>
        </w:rPr>
        <w:t xml:space="preserve"> </w:t>
      </w:r>
    </w:p>
    <w:p w:rsidR="00BF5764" w:rsidRPr="002E5797" w:rsidRDefault="002A77F8" w:rsidP="00DE5C83">
      <w:pPr>
        <w:pStyle w:val="SCCLsocParty"/>
        <w:rPr>
          <w:lang w:val="fr-CA"/>
        </w:rPr>
      </w:pPr>
      <w:r w:rsidRPr="002E5797">
        <w:rPr>
          <w:lang w:val="fr-CA"/>
        </w:rPr>
        <w:t>Cargill Limitée,</w:t>
      </w:r>
      <w:r w:rsidR="00DE5C83" w:rsidRPr="002E5797">
        <w:rPr>
          <w:lang w:val="fr-CA"/>
        </w:rPr>
        <w:t xml:space="preserve"> </w:t>
      </w:r>
    </w:p>
    <w:p w:rsidR="00DE5C83" w:rsidRPr="002E5797" w:rsidRDefault="002A77F8" w:rsidP="00DE5C83">
      <w:pPr>
        <w:pStyle w:val="SCCLsocParty"/>
        <w:rPr>
          <w:lang w:val="fr-CA"/>
        </w:rPr>
      </w:pPr>
      <w:r w:rsidRPr="002E5797">
        <w:rPr>
          <w:lang w:val="fr-CA"/>
        </w:rPr>
        <w:t xml:space="preserve">Casco Inc. et </w:t>
      </w:r>
    </w:p>
    <w:p w:rsidR="00A92C47" w:rsidRPr="002E5797" w:rsidRDefault="002A77F8" w:rsidP="00A92C47">
      <w:pPr>
        <w:pStyle w:val="SCCLsocLastPartyInRole"/>
        <w:spacing w:after="0"/>
        <w:rPr>
          <w:lang w:val="fr-CA"/>
        </w:rPr>
      </w:pPr>
      <w:r w:rsidRPr="002E5797">
        <w:rPr>
          <w:lang w:val="fr-CA"/>
        </w:rPr>
        <w:t>Unilever PLC faisant affaire</w:t>
      </w:r>
      <w:r w:rsidR="00F3538F" w:rsidRPr="002E5797">
        <w:rPr>
          <w:lang w:val="fr-CA"/>
        </w:rPr>
        <w:t xml:space="preserve"> </w:t>
      </w:r>
    </w:p>
    <w:p w:rsidR="00A92C47" w:rsidRPr="002E5797" w:rsidRDefault="002A77F8" w:rsidP="00A92C47">
      <w:pPr>
        <w:pStyle w:val="SCCLsocLastPartyInRole"/>
        <w:spacing w:after="0"/>
        <w:rPr>
          <w:lang w:val="fr-CA"/>
        </w:rPr>
      </w:pPr>
      <w:r w:rsidRPr="002E5797">
        <w:rPr>
          <w:lang w:val="fr-CA"/>
        </w:rPr>
        <w:t>sous la dénomination</w:t>
      </w:r>
      <w:r w:rsidR="00F3538F" w:rsidRPr="002E5797">
        <w:rPr>
          <w:lang w:val="fr-CA"/>
        </w:rPr>
        <w:t xml:space="preserve"> </w:t>
      </w:r>
    </w:p>
    <w:p w:rsidR="009400EA" w:rsidRPr="002E5797" w:rsidRDefault="002A77F8" w:rsidP="00DE5C83">
      <w:pPr>
        <w:pStyle w:val="SCCLsocLastPartyInRole"/>
        <w:rPr>
          <w:lang w:val="fr-CA"/>
        </w:rPr>
      </w:pPr>
      <w:r w:rsidRPr="002E5797">
        <w:rPr>
          <w:lang w:val="fr-CA"/>
        </w:rPr>
        <w:t>d</w:t>
      </w:r>
      <w:r w:rsidR="00DE5C83" w:rsidRPr="002E5797">
        <w:rPr>
          <w:lang w:val="fr-CA"/>
        </w:rPr>
        <w:t>’</w:t>
      </w:r>
      <w:r w:rsidRPr="002E5797">
        <w:rPr>
          <w:lang w:val="fr-CA"/>
        </w:rPr>
        <w:t>Unilever Bestfoods North America</w:t>
      </w:r>
      <w:r w:rsidR="00F3538F" w:rsidRPr="002E5797">
        <w:rPr>
          <w:lang w:val="fr-CA"/>
        </w:rPr>
        <w:t xml:space="preserve"> </w:t>
      </w:r>
      <w:r w:rsidR="009C6ABA" w:rsidRPr="002E5797">
        <w:rPr>
          <w:rStyle w:val="SCCLsocPartyRole"/>
          <w:lang w:val="fr-CA"/>
        </w:rPr>
        <w:tab/>
        <w:t>Intimées/A</w:t>
      </w:r>
      <w:r w:rsidRPr="002E5797">
        <w:rPr>
          <w:rStyle w:val="SCCLsocPartyRole"/>
          <w:lang w:val="fr-CA"/>
        </w:rPr>
        <w:t xml:space="preserve">ppelantes </w:t>
      </w:r>
      <w:r w:rsidR="009C6ABA" w:rsidRPr="002E5797">
        <w:rPr>
          <w:rStyle w:val="SCCLsocPartyRole"/>
          <w:lang w:val="fr-CA"/>
        </w:rPr>
        <w:t>au pourvoi</w:t>
      </w:r>
      <w:r w:rsidRPr="002E5797">
        <w:rPr>
          <w:rStyle w:val="SCCLsocPartyRole"/>
          <w:lang w:val="fr-CA"/>
        </w:rPr>
        <w:t xml:space="preserve"> incident</w:t>
      </w:r>
    </w:p>
    <w:p w:rsidR="009400EA" w:rsidRPr="002E5797" w:rsidRDefault="002A77F8">
      <w:pPr>
        <w:pStyle w:val="SCCLsocOtherPartySeparator"/>
        <w:rPr>
          <w:lang w:val="fr-CA"/>
        </w:rPr>
      </w:pPr>
      <w:r w:rsidRPr="002E5797">
        <w:rPr>
          <w:lang w:val="fr-CA"/>
        </w:rPr>
        <w:t>et</w:t>
      </w:r>
    </w:p>
    <w:p w:rsidR="009400EA" w:rsidRPr="002E5797" w:rsidRDefault="002A77F8">
      <w:pPr>
        <w:pStyle w:val="SCCLsocParty"/>
        <w:rPr>
          <w:lang w:val="fr-CA"/>
        </w:rPr>
      </w:pPr>
      <w:r w:rsidRPr="002E5797">
        <w:rPr>
          <w:lang w:val="fr-CA"/>
        </w:rPr>
        <w:t>Procureur général du Canada</w:t>
      </w:r>
      <w:r w:rsidR="00DE5C83" w:rsidRPr="002E5797">
        <w:rPr>
          <w:lang w:val="fr-CA"/>
        </w:rPr>
        <w:t xml:space="preserve"> et </w:t>
      </w:r>
    </w:p>
    <w:p w:rsidR="009400EA" w:rsidRPr="002E5797" w:rsidRDefault="002A77F8">
      <w:pPr>
        <w:pStyle w:val="SCCLsocLastPartyInRole"/>
        <w:rPr>
          <w:lang w:val="fr-CA"/>
        </w:rPr>
      </w:pPr>
      <w:r w:rsidRPr="002E5797">
        <w:rPr>
          <w:lang w:val="fr-CA"/>
        </w:rPr>
        <w:t>Chambre de commerce du Canada</w:t>
      </w:r>
      <w:r w:rsidR="00F3538F" w:rsidRPr="002E5797">
        <w:rPr>
          <w:lang w:val="fr-CA"/>
        </w:rPr>
        <w:t xml:space="preserve"> </w:t>
      </w:r>
      <w:r w:rsidRPr="002E5797">
        <w:rPr>
          <w:rStyle w:val="SCCLsocPartyRole"/>
          <w:lang w:val="fr-CA"/>
        </w:rPr>
        <w:tab/>
        <w:t>Intervenants</w:t>
      </w:r>
    </w:p>
    <w:p w:rsidR="004D7D95" w:rsidRPr="002E5797" w:rsidRDefault="004D7D95" w:rsidP="00A92C47">
      <w:pPr>
        <w:spacing w:after="720"/>
        <w:jc w:val="both"/>
        <w:rPr>
          <w:b/>
          <w:lang w:val="en-US"/>
        </w:rPr>
      </w:pPr>
      <w:r w:rsidRPr="002E5797">
        <w:rPr>
          <w:b/>
          <w:lang w:val="en-US"/>
        </w:rPr>
        <w:t>Répertorié</w:t>
      </w:r>
      <w:r w:rsidR="00BD4DEB" w:rsidRPr="002E5797">
        <w:rPr>
          <w:b/>
          <w:lang w:val="en-US"/>
        </w:rPr>
        <w:t> :</w:t>
      </w:r>
      <w:r w:rsidRPr="002E5797">
        <w:rPr>
          <w:b/>
          <w:lang w:val="en-US"/>
        </w:rPr>
        <w:t> </w:t>
      </w:r>
      <w:r w:rsidRPr="004D5F19">
        <w:rPr>
          <w:b/>
        </w:rPr>
        <w:t>Sun</w:t>
      </w:r>
      <w:r w:rsidR="00BD4DEB" w:rsidRPr="004D5F19">
        <w:rPr>
          <w:b/>
        </w:rPr>
        <w:noBreakHyphen/>
      </w:r>
      <w:r w:rsidRPr="004D5F19">
        <w:rPr>
          <w:b/>
        </w:rPr>
        <w:t>Rype Products Ltd.</w:t>
      </w:r>
      <w:r w:rsidRPr="002E5797">
        <w:rPr>
          <w:b/>
          <w:lang w:val="en-US"/>
        </w:rPr>
        <w:t xml:space="preserve"> </w:t>
      </w:r>
      <w:r w:rsidRPr="002E5797">
        <w:rPr>
          <w:b/>
          <w:i/>
          <w:lang w:val="en-US"/>
        </w:rPr>
        <w:t>c.</w:t>
      </w:r>
      <w:r w:rsidRPr="002E5797">
        <w:rPr>
          <w:b/>
          <w:lang w:val="en-US"/>
        </w:rPr>
        <w:t xml:space="preserve"> </w:t>
      </w:r>
      <w:r w:rsidRPr="004D5F19">
        <w:rPr>
          <w:b/>
        </w:rPr>
        <w:t>Archer Daniels Midl</w:t>
      </w:r>
      <w:r w:rsidR="00DE5C83" w:rsidRPr="004D5F19">
        <w:rPr>
          <w:b/>
        </w:rPr>
        <w:t>and Co</w:t>
      </w:r>
      <w:r w:rsidR="00CB165D" w:rsidRPr="004D5F19">
        <w:rPr>
          <w:b/>
        </w:rPr>
        <w:t>mpany</w:t>
      </w:r>
    </w:p>
    <w:p w:rsidR="004D7D95" w:rsidRPr="002E5797" w:rsidRDefault="00F62639" w:rsidP="00A92C47">
      <w:pPr>
        <w:spacing w:after="720"/>
        <w:jc w:val="both"/>
        <w:rPr>
          <w:b/>
          <w:lang w:val="en-US"/>
        </w:rPr>
      </w:pPr>
      <w:r w:rsidRPr="002E5797">
        <w:rPr>
          <w:b/>
        </w:rPr>
        <w:t>2013</w:t>
      </w:r>
      <w:r w:rsidR="004D7D95" w:rsidRPr="002E5797">
        <w:rPr>
          <w:b/>
          <w:lang w:val="en-US"/>
        </w:rPr>
        <w:t xml:space="preserve"> CSC </w:t>
      </w:r>
      <w:r w:rsidR="0058146B" w:rsidRPr="002E5797">
        <w:rPr>
          <w:b/>
          <w:lang w:val="en-US"/>
        </w:rPr>
        <w:t>58</w:t>
      </w:r>
    </w:p>
    <w:p w:rsidR="004D7D95" w:rsidRPr="002E5797" w:rsidRDefault="004D7D95" w:rsidP="00A92C47">
      <w:pPr>
        <w:spacing w:after="720"/>
        <w:jc w:val="both"/>
        <w:rPr>
          <w:lang w:val="fr-CA"/>
        </w:rPr>
      </w:pPr>
      <w:r w:rsidRPr="002E5797">
        <w:rPr>
          <w:lang w:val="fr-CA"/>
        </w:rPr>
        <w:t>N</w:t>
      </w:r>
      <w:r w:rsidRPr="002E5797">
        <w:rPr>
          <w:vertAlign w:val="superscript"/>
          <w:lang w:val="fr-CA"/>
        </w:rPr>
        <w:t>o</w:t>
      </w:r>
      <w:r w:rsidRPr="002E5797">
        <w:rPr>
          <w:lang w:val="fr-CA"/>
        </w:rPr>
        <w:t xml:space="preserve"> du greffe</w:t>
      </w:r>
      <w:r w:rsidR="00BD4DEB" w:rsidRPr="002E5797">
        <w:rPr>
          <w:lang w:val="fr-CA"/>
        </w:rPr>
        <w:t> :</w:t>
      </w:r>
      <w:r w:rsidRPr="002E5797">
        <w:rPr>
          <w:lang w:val="fr-CA"/>
        </w:rPr>
        <w:t> 34283.</w:t>
      </w:r>
    </w:p>
    <w:p w:rsidR="004D7D95" w:rsidRPr="002E5797" w:rsidRDefault="00F62639" w:rsidP="00A92C47">
      <w:pPr>
        <w:spacing w:after="720"/>
        <w:jc w:val="both"/>
        <w:rPr>
          <w:lang w:val="fr-CA"/>
        </w:rPr>
      </w:pPr>
      <w:r w:rsidRPr="002E5797">
        <w:rPr>
          <w:lang w:val="fr-CA"/>
        </w:rPr>
        <w:lastRenderedPageBreak/>
        <w:t>2012</w:t>
      </w:r>
      <w:r w:rsidR="00BD4DEB" w:rsidRPr="002E5797">
        <w:rPr>
          <w:lang w:val="fr-CA"/>
        </w:rPr>
        <w:t> :</w:t>
      </w:r>
      <w:r w:rsidR="00DE5C83" w:rsidRPr="002E5797">
        <w:rPr>
          <w:lang w:val="fr-CA"/>
        </w:rPr>
        <w:t> </w:t>
      </w:r>
      <w:r w:rsidR="003A318B" w:rsidRPr="002E5797">
        <w:rPr>
          <w:lang w:val="fr-CA"/>
        </w:rPr>
        <w:t>17 </w:t>
      </w:r>
      <w:r w:rsidRPr="002E5797">
        <w:rPr>
          <w:lang w:val="fr-CA"/>
        </w:rPr>
        <w:t>octobre</w:t>
      </w:r>
      <w:r w:rsidR="003A318B" w:rsidRPr="002E5797">
        <w:rPr>
          <w:lang w:val="fr-CA"/>
        </w:rPr>
        <w:t>; 2013</w:t>
      </w:r>
      <w:r w:rsidR="00BD4DEB" w:rsidRPr="002E5797">
        <w:rPr>
          <w:lang w:val="fr-CA"/>
        </w:rPr>
        <w:t> :</w:t>
      </w:r>
      <w:r w:rsidR="003A318B" w:rsidRPr="002E5797">
        <w:rPr>
          <w:lang w:val="fr-CA"/>
        </w:rPr>
        <w:t> 31 octobre</w:t>
      </w:r>
      <w:r w:rsidR="004D7D95" w:rsidRPr="002E5797">
        <w:rPr>
          <w:lang w:val="fr-CA"/>
        </w:rPr>
        <w:t>.</w:t>
      </w:r>
    </w:p>
    <w:p w:rsidR="004D7D95" w:rsidRPr="002E5797" w:rsidRDefault="004D7D95" w:rsidP="00A92C47">
      <w:pPr>
        <w:spacing w:after="720"/>
        <w:jc w:val="both"/>
        <w:rPr>
          <w:lang w:val="fr-CA"/>
        </w:rPr>
      </w:pPr>
      <w:r w:rsidRPr="002E5797">
        <w:rPr>
          <w:lang w:val="fr-CA"/>
        </w:rPr>
        <w:t>Présents</w:t>
      </w:r>
      <w:r w:rsidR="00BD4DEB" w:rsidRPr="002E5797">
        <w:rPr>
          <w:lang w:val="fr-CA"/>
        </w:rPr>
        <w:t> :</w:t>
      </w:r>
      <w:r w:rsidRPr="002E5797">
        <w:rPr>
          <w:lang w:val="fr-CA"/>
        </w:rPr>
        <w:t> La juge en chef McLachlin et les juges LeBel, Fish, Abella, Rothstein, Cromwell, Moldaver, Karakatsanis et Wagner.</w:t>
      </w:r>
    </w:p>
    <w:p w:rsidR="004D7D95" w:rsidRPr="002E5797" w:rsidRDefault="004D7D95" w:rsidP="00A92C47">
      <w:pPr>
        <w:spacing w:after="720"/>
        <w:jc w:val="both"/>
        <w:rPr>
          <w:smallCaps/>
          <w:lang w:val="fr-CA"/>
        </w:rPr>
      </w:pPr>
      <w:r w:rsidRPr="002E5797">
        <w:rPr>
          <w:smallCaps/>
          <w:lang w:val="fr-CA"/>
        </w:rPr>
        <w:t>en appel de la cour d</w:t>
      </w:r>
      <w:r w:rsidR="00DE5C83" w:rsidRPr="002E5797">
        <w:rPr>
          <w:smallCaps/>
          <w:lang w:val="fr-CA"/>
        </w:rPr>
        <w:t>’</w:t>
      </w:r>
      <w:r w:rsidRPr="002E5797">
        <w:rPr>
          <w:smallCaps/>
          <w:lang w:val="fr-CA"/>
        </w:rPr>
        <w:t>appel de la colombie</w:t>
      </w:r>
      <w:r w:rsidR="00BD4DEB" w:rsidRPr="002E5797">
        <w:rPr>
          <w:smallCaps/>
          <w:lang w:val="fr-CA"/>
        </w:rPr>
        <w:noBreakHyphen/>
      </w:r>
      <w:r w:rsidRPr="002E5797">
        <w:rPr>
          <w:smallCaps/>
          <w:lang w:val="fr-CA"/>
        </w:rPr>
        <w:t>britannique</w:t>
      </w:r>
    </w:p>
    <w:p w:rsidR="00874EB3" w:rsidRPr="002E5797" w:rsidRDefault="004D7D95" w:rsidP="00874EB3">
      <w:pPr>
        <w:pStyle w:val="SCCNormalDoubleSpacing"/>
        <w:spacing w:before="480" w:after="480"/>
        <w:rPr>
          <w:i/>
          <w:lang w:val="fr-CA"/>
        </w:rPr>
      </w:pPr>
      <w:r w:rsidRPr="002E5797">
        <w:rPr>
          <w:lang w:val="fr-CA"/>
        </w:rPr>
        <w:tab/>
      </w:r>
      <w:r w:rsidR="00874EB3" w:rsidRPr="002E5797">
        <w:rPr>
          <w:i/>
          <w:lang w:val="fr-CA"/>
        </w:rPr>
        <w:t>Procédure civile — Recours collectifs — Certification — Acheteurs directs et indirects — Allégations des demanderesses selon lesquelles le prix du sirop de maïs à haute teneur en fructose aurait été fixé par les défenderesses, qui auraient vendu cet édulcorant aux acheteurs directs à un prix majoré, et la majoration aurait été transférée aux acheteurs indirects — Les acheteurs indirects ont-ils un droit de recours contre l’auteur présumé de la majoration? — La composition du groupe proposé, formé à la fois d’acheteurs directs et d’acheteurs indirects, justifie-t-elle le rejet du recours? — Est-il satisfait en l’espèce au critère de certification relatif à l’existence d’un groupe identifiable d’acheteurs indirects? — Les acheteurs directs ont-ils un droit de recours en imposition d’une fiducie par interprétation? — Class Proceedings Act, R.S.B.C. 1996, ch. 50, art. 4(1).</w:t>
      </w:r>
    </w:p>
    <w:p w:rsidR="00874EB3" w:rsidRPr="002E5797" w:rsidRDefault="00874EB3" w:rsidP="00874EB3">
      <w:pPr>
        <w:pStyle w:val="SCCNormalDoubleSpacing"/>
        <w:spacing w:before="480" w:after="480"/>
        <w:rPr>
          <w:lang w:val="fr-CA"/>
        </w:rPr>
      </w:pPr>
      <w:r w:rsidRPr="002E5797">
        <w:rPr>
          <w:lang w:val="fr-CA"/>
        </w:rPr>
        <w:tab/>
        <w:t xml:space="preserve">Les appelantes, des acheteurs directs et indirects, ont intenté un recours collectif, faisant valoir que </w:t>
      </w:r>
      <w:r w:rsidRPr="002E5797">
        <w:rPr>
          <w:szCs w:val="24"/>
          <w:lang w:val="fr-CA"/>
        </w:rPr>
        <w:t>les intimées ont participé à un complot illégal pour fixer le prix du sirop de maïs à haute teneur en fructose (« SMHTF »), ce qui a porté préjudice à des fabricants</w:t>
      </w:r>
      <w:r w:rsidRPr="002E5797">
        <w:rPr>
          <w:lang w:val="fr-CA"/>
        </w:rPr>
        <w:t xml:space="preserve">, grossistes, détaillants et consommateurs.  Cet édulcorant entre dans la confection de diverses denrées alimentaires, dont les boissons gazeuses </w:t>
      </w:r>
      <w:r w:rsidRPr="002E5797">
        <w:rPr>
          <w:lang w:val="fr-CA"/>
        </w:rPr>
        <w:lastRenderedPageBreak/>
        <w:t xml:space="preserve">et les produits de boulangerie.  Les intimées sont les principaux fabricants de SMHTF en Amérique du Nord.  Il a été décidé à l’instruction de la demande de certification que les actes de procédure révèlent des causes d’action, pour les acheteurs directs, en imposition d’une fiducie par interprétation, et, pour les acheteurs indirects, en vertu de l’art. 36 de la </w:t>
      </w:r>
      <w:r w:rsidRPr="002E5797">
        <w:rPr>
          <w:i/>
          <w:lang w:val="fr-CA"/>
        </w:rPr>
        <w:t>Loi sur la concurrence</w:t>
      </w:r>
      <w:r w:rsidRPr="002E5797">
        <w:rPr>
          <w:lang w:val="fr-CA"/>
        </w:rPr>
        <w:t>, en responsabilité délictuelle et en restitution. Le recours collectif a été certifié.  Les juges majoritaires de la Cour d’appel ont accueilli l’appel en ce qui concerne les acheteurs indirects et conclu qu’il était « manifeste » que ces derniers n’avaient aucune cause d’action.  L’appel a été rejeté en ce qui concerne les acheteurs directs.  L’affaire a été renvoyée à la Cour suprême de la Colombie-Britannique pour qu’elle réexamine seulement la certification du recours collectif des acheteurs directs. Les appelantes contestent en l’espèce la décision de ne reconnaître aux acheteurs indirects aucune cause d’action.  Dans l’appel incident, les intimées sollicitent le rejet de la demande des acheteurs directs visant l’imposition d’une fiducie par interprétation.</w:t>
      </w:r>
    </w:p>
    <w:p w:rsidR="00874EB3" w:rsidRPr="002E5797" w:rsidRDefault="00874EB3" w:rsidP="00874EB3">
      <w:pPr>
        <w:pStyle w:val="SCCNormalDoubleSpacing"/>
        <w:spacing w:before="480" w:after="480"/>
        <w:rPr>
          <w:lang w:val="fr-CA"/>
        </w:rPr>
      </w:pPr>
      <w:r w:rsidRPr="002E5797">
        <w:rPr>
          <w:i/>
          <w:lang w:val="fr-CA"/>
        </w:rPr>
        <w:tab/>
        <w:t xml:space="preserve">Arrêt </w:t>
      </w:r>
      <w:r w:rsidRPr="002E5797">
        <w:rPr>
          <w:lang w:val="fr-CA"/>
        </w:rPr>
        <w:t>(les juges Cromwell et Karakatsanis sont dissidents</w:t>
      </w:r>
      <w:r w:rsidR="003104B2">
        <w:rPr>
          <w:lang w:val="fr-CA"/>
        </w:rPr>
        <w:t xml:space="preserve"> quant au pourvoi</w:t>
      </w:r>
      <w:r w:rsidRPr="002E5797">
        <w:rPr>
          <w:lang w:val="fr-CA"/>
        </w:rPr>
        <w:t xml:space="preserve">) : Le pourvoi </w:t>
      </w:r>
      <w:r w:rsidR="00F20D1E" w:rsidRPr="002E5797">
        <w:rPr>
          <w:lang w:val="fr-CA"/>
        </w:rPr>
        <w:t>est rejeté et le pourvoi incident est accueilli</w:t>
      </w:r>
      <w:r w:rsidRPr="002E5797">
        <w:rPr>
          <w:lang w:val="fr-CA"/>
        </w:rPr>
        <w:t>.</w:t>
      </w:r>
    </w:p>
    <w:p w:rsidR="00874EB3" w:rsidRPr="002E5797" w:rsidRDefault="00874EB3" w:rsidP="00874EB3">
      <w:pPr>
        <w:pStyle w:val="SCCNormalDoubleSpacing"/>
        <w:spacing w:before="480" w:after="480"/>
        <w:rPr>
          <w:lang w:val="fr-CA"/>
        </w:rPr>
      </w:pPr>
      <w:r w:rsidRPr="002E5797">
        <w:rPr>
          <w:i/>
          <w:lang w:val="fr-CA"/>
        </w:rPr>
        <w:tab/>
        <w:t>L</w:t>
      </w:r>
      <w:r w:rsidR="00F20D1E" w:rsidRPr="002E5797">
        <w:rPr>
          <w:i/>
          <w:lang w:val="fr-CA"/>
        </w:rPr>
        <w:t>a</w:t>
      </w:r>
      <w:r w:rsidR="00F20D1E" w:rsidRPr="002E5797">
        <w:rPr>
          <w:lang w:val="fr-CA"/>
        </w:rPr>
        <w:t xml:space="preserve"> juge en chef McLachlin et l</w:t>
      </w:r>
      <w:r w:rsidRPr="002E5797">
        <w:rPr>
          <w:lang w:val="fr-CA"/>
        </w:rPr>
        <w:t xml:space="preserve">es juges LeBel, Fish, Abella, </w:t>
      </w:r>
      <w:r w:rsidRPr="00396357">
        <w:rPr>
          <w:lang w:val="fr-CA"/>
        </w:rPr>
        <w:t>Rothstein</w:t>
      </w:r>
      <w:r w:rsidR="00F20D1E" w:rsidRPr="002E5797">
        <w:rPr>
          <w:lang w:val="fr-CA"/>
        </w:rPr>
        <w:t>,</w:t>
      </w:r>
      <w:r w:rsidRPr="002E5797">
        <w:rPr>
          <w:lang w:val="fr-CA"/>
        </w:rPr>
        <w:t xml:space="preserve"> Moldaver</w:t>
      </w:r>
      <w:r w:rsidR="00F20D1E" w:rsidRPr="002E5797">
        <w:rPr>
          <w:lang w:val="fr-CA"/>
        </w:rPr>
        <w:t xml:space="preserve"> et Wagner</w:t>
      </w:r>
      <w:r w:rsidRPr="002E5797">
        <w:rPr>
          <w:lang w:val="fr-CA"/>
        </w:rPr>
        <w:t xml:space="preserve"> : </w:t>
      </w:r>
      <w:r w:rsidRPr="002E5797">
        <w:rPr>
          <w:rFonts w:eastAsiaTheme="minorHAnsi"/>
          <w:lang w:val="fr-CA"/>
        </w:rPr>
        <w:t xml:space="preserve">Puisque la Cour a décidé dans </w:t>
      </w:r>
      <w:r w:rsidRPr="002E5797">
        <w:rPr>
          <w:rFonts w:eastAsiaTheme="minorHAnsi"/>
          <w:i/>
          <w:lang w:val="fr-CA"/>
        </w:rPr>
        <w:t>Pro-Sys Consultants Ltd. c. Microsoft Corporation</w:t>
      </w:r>
      <w:r w:rsidRPr="002E5797">
        <w:rPr>
          <w:rFonts w:eastAsiaTheme="minorHAnsi"/>
          <w:lang w:val="fr-CA"/>
        </w:rPr>
        <w:t>,</w:t>
      </w:r>
      <w:r w:rsidRPr="002E5797">
        <w:rPr>
          <w:rFonts w:eastAsiaTheme="minorHAnsi"/>
          <w:i/>
          <w:lang w:val="fr-CA"/>
        </w:rPr>
        <w:t xml:space="preserve"> </w:t>
      </w:r>
      <w:r w:rsidRPr="002E5797">
        <w:rPr>
          <w:rFonts w:eastAsiaTheme="minorHAnsi"/>
          <w:lang w:val="fr-CA"/>
        </w:rPr>
        <w:t>2013 CSC 57</w:t>
      </w:r>
      <w:r w:rsidR="00345115" w:rsidRPr="00345115">
        <w:rPr>
          <w:lang w:val="fr-CA"/>
        </w:rPr>
        <w:t>, [2013] 3 R</w:t>
      </w:r>
      <w:r w:rsidR="00345115">
        <w:rPr>
          <w:lang w:val="fr-CA"/>
        </w:rPr>
        <w:t>.C.</w:t>
      </w:r>
      <w:r w:rsidR="00345115" w:rsidRPr="00345115">
        <w:rPr>
          <w:lang w:val="fr-CA"/>
        </w:rPr>
        <w:t xml:space="preserve">S. </w:t>
      </w:r>
      <w:r w:rsidR="00B831E0">
        <w:rPr>
          <w:lang w:val="fr-CA"/>
        </w:rPr>
        <w:t>477</w:t>
      </w:r>
      <w:r w:rsidR="008B283B" w:rsidRPr="002E5797">
        <w:rPr>
          <w:rFonts w:eastAsiaTheme="minorHAnsi"/>
          <w:lang w:val="fr-CA"/>
        </w:rPr>
        <w:t>,</w:t>
      </w:r>
      <w:r w:rsidRPr="002E5797">
        <w:rPr>
          <w:rFonts w:eastAsiaTheme="minorHAnsi"/>
          <w:lang w:val="fr-CA"/>
        </w:rPr>
        <w:t xml:space="preserve"> que les acheteurs indirects ont le droit de se pourvoir en justice, la question à trancher est celle de savoir si les défis supplémentaires que pose un groupe composé à la fois d’acheteurs </w:t>
      </w:r>
      <w:r w:rsidRPr="002E5797">
        <w:rPr>
          <w:rFonts w:eastAsiaTheme="minorHAnsi"/>
          <w:lang w:val="fr-CA"/>
        </w:rPr>
        <w:lastRenderedPageBreak/>
        <w:t>indirects et d’acheteurs directs sont suffisants pour justifier le rejet du recours.</w:t>
      </w:r>
      <w:r w:rsidR="00B23F7E" w:rsidRPr="002E5797">
        <w:rPr>
          <w:rFonts w:eastAsiaTheme="minorHAnsi"/>
          <w:lang w:val="fr-CA"/>
        </w:rPr>
        <w:t xml:space="preserve"> </w:t>
      </w:r>
      <w:r w:rsidRPr="002E5797">
        <w:rPr>
          <w:rFonts w:eastAsiaTheme="minorHAnsi"/>
          <w:lang w:val="fr-CA"/>
        </w:rPr>
        <w:t xml:space="preserve"> Ce n’est pas le cas.</w:t>
      </w:r>
      <w:r w:rsidRPr="002E5797">
        <w:rPr>
          <w:lang w:val="fr-CA"/>
        </w:rPr>
        <w:t xml:space="preserve">  Lorsque le groupe est composé d’acheteurs indirects et directs et que la preuve des experts lors de l’examen au fond des questions communes permet d’établir le montant global de la majoration, il n’y a pas de recouvrement double ou multiple.  En outre, les tribunaux disposent du pouvoir de modifier un règlement et les dommages-intérêts octroyés en fonction de ceux déjà obtenus dans d’autres ressorts si les intimés réussissent à les convaincre qu’il y a risque de recouvrement double. </w:t>
      </w:r>
    </w:p>
    <w:p w:rsidR="00874EB3" w:rsidRPr="002E5797" w:rsidRDefault="00874EB3" w:rsidP="00874EB3">
      <w:pPr>
        <w:pStyle w:val="SCCNormalDoubleSpacing"/>
        <w:spacing w:before="480" w:after="480"/>
        <w:rPr>
          <w:lang w:val="fr-CA"/>
        </w:rPr>
      </w:pPr>
      <w:r w:rsidRPr="002E5797">
        <w:rPr>
          <w:lang w:val="fr-CA"/>
        </w:rPr>
        <w:tab/>
        <w:t xml:space="preserve">À supposer que tous les faits invoqués soient vrais, il est satisfait à l’exigence selon laquelle les actes de procédure doivent révéler une cause d’action à moins qu’il ne soit manifeste que la demande ne peut être accueillie.  Quant aux causes d’action en restitution des acheteurs indirects, il n’est pas établi qu’un lien direct entre le défendeur et le demandeur constitue une condition préalable à une action pour enrichissement injustifié.  La jurisprudence </w:t>
      </w:r>
      <w:r w:rsidRPr="002E5797">
        <w:rPr>
          <w:szCs w:val="24"/>
          <w:lang w:val="fr-CA"/>
        </w:rPr>
        <w:t>ne semble pas exclure nécessairement une action opposant des parties unies par un lien indirect.</w:t>
      </w:r>
      <w:r w:rsidRPr="002E5797">
        <w:rPr>
          <w:lang w:val="fr-CA"/>
        </w:rPr>
        <w:t xml:space="preserve">  I</w:t>
      </w:r>
      <w:r w:rsidRPr="002E5797">
        <w:rPr>
          <w:szCs w:val="24"/>
          <w:lang w:val="fr-CA"/>
        </w:rPr>
        <w:t>l n’est pas manifeste qu’une action pour enrichissement injustifié doit être rejetée à l’étape de la certification pour ce seul motif</w:t>
      </w:r>
      <w:r w:rsidRPr="002E5797">
        <w:rPr>
          <w:lang w:val="fr-CA"/>
        </w:rPr>
        <w:t xml:space="preserve">. Quant au transfert de la perte, le préjudice subi par les acheteurs indirects est reconnu en droit, tout comme leur droit d’exercer des recours pour recouvrer le montant de ces pertes.  Le fait de permettre la présentation de la demande en restitution ne pose aucun obstacle insurmontable.  Il n’est pas manifeste non plus que la cause d’action des acheteurs indirects fondée sur l’art. 36 de la </w:t>
      </w:r>
      <w:r w:rsidRPr="002E5797">
        <w:rPr>
          <w:i/>
          <w:lang w:val="fr-CA"/>
        </w:rPr>
        <w:t>Loi sur la concurrence</w:t>
      </w:r>
      <w:r w:rsidRPr="002E5797">
        <w:rPr>
          <w:lang w:val="fr-CA"/>
        </w:rPr>
        <w:t xml:space="preserve"> est vouée à l’échec et, par conséquent, elle ne doit pas être radiée.</w:t>
      </w:r>
    </w:p>
    <w:p w:rsidR="00874EB3" w:rsidRPr="002E5797" w:rsidRDefault="00874EB3" w:rsidP="00874EB3">
      <w:pPr>
        <w:pStyle w:val="SCCNormalDoubleSpacing"/>
        <w:spacing w:before="480" w:after="480"/>
        <w:rPr>
          <w:lang w:val="fr-CA"/>
        </w:rPr>
      </w:pPr>
      <w:r w:rsidRPr="002E5797">
        <w:rPr>
          <w:lang w:val="fr-CA"/>
        </w:rPr>
        <w:lastRenderedPageBreak/>
        <w:tab/>
        <w:t xml:space="preserve">Le tribunal </w:t>
      </w:r>
      <w:r w:rsidR="000841BC">
        <w:rPr>
          <w:lang w:val="fr-CA"/>
        </w:rPr>
        <w:t xml:space="preserve">doit </w:t>
      </w:r>
      <w:r w:rsidRPr="002E5797">
        <w:rPr>
          <w:lang w:val="fr-CA"/>
        </w:rPr>
        <w:t>certifie</w:t>
      </w:r>
      <w:r w:rsidR="000841BC">
        <w:rPr>
          <w:lang w:val="fr-CA"/>
        </w:rPr>
        <w:t>r</w:t>
      </w:r>
      <w:r w:rsidRPr="002E5797">
        <w:rPr>
          <w:lang w:val="fr-CA"/>
        </w:rPr>
        <w:t xml:space="preserve"> qu’il s’agit d’un recours collectif s’il existe, notamment, un groupe identifiable de deux personnes ou plus.  Or,</w:t>
      </w:r>
      <w:r w:rsidR="000841BC">
        <w:rPr>
          <w:lang w:val="fr-CA"/>
        </w:rPr>
        <w:t xml:space="preserve"> lorsque</w:t>
      </w:r>
      <w:r w:rsidRPr="002E5797">
        <w:rPr>
          <w:lang w:val="fr-CA"/>
        </w:rPr>
        <w:t xml:space="preserve"> la preuve ne permet pas de conclure qu’un certain fondement factuel établit qu’au moins deux personnes sauront si elles appartiennent ou non au groupe, c’est là où le bât blesse.  Certifier un recours collectif sans connaître au moins deux personnes qui seront en mesure de prouver les pertes que leur ont fait subir les auteurs présumés de la majoration contrecarre l’objectif des recours collectifs, qui est d’offrir une voie de recours plus efficace aux demandeurs ayant subi un préjudice mais pour qui il serait irréaliste d’exercer un recours individuel ou qui n’ont pas les moyens de le faire.</w:t>
      </w:r>
      <w:r w:rsidR="000841BC">
        <w:rPr>
          <w:lang w:val="fr-CA"/>
        </w:rPr>
        <w:t xml:space="preserve"> </w:t>
      </w:r>
      <w:r w:rsidRPr="002E5797">
        <w:rPr>
          <w:lang w:val="fr-CA"/>
        </w:rPr>
        <w:t xml:space="preserve"> </w:t>
      </w:r>
      <w:r w:rsidR="000841BC">
        <w:rPr>
          <w:lang w:val="fr-CA"/>
        </w:rPr>
        <w:t>En espèce, a</w:t>
      </w:r>
      <w:r w:rsidRPr="002E5797">
        <w:rPr>
          <w:lang w:val="fr-CA"/>
        </w:rPr>
        <w:t>ucun fondement factuel ne permet d’établir qu’un seul des membres du groupe proposé dispose des renseignements nécessaires pour déterminer s’il appartient ou non au groupe.  Les appelantes n’ont pas établi qu’un certain fondement factuel permet de conclure qu’au moins deux membres pourraient démontrer l’achat au cours de la période visée par le recours d’un produit contenant bel et bien du SMHTF, et par le fait même leur appartenance à un groupe identifiable.  Le problème en l’espèce tient au fait que les acheteurs indirects ne seront pas en mesure de savoir si l’article qu’ils ont acheté contenait ou non du SMHTF même s’ils connaissent le nom des produits en cause.  Bien que la fixation des prix reprochée ait peut-être porté préjudice à des acheteurs indirects, ils ne peuvent démontrer qu’ils font partie du groupe à la lumière de la définition proposée.</w:t>
      </w:r>
      <w:r w:rsidR="00B23F7E" w:rsidRPr="002E5797">
        <w:rPr>
          <w:lang w:val="fr-CA"/>
        </w:rPr>
        <w:t xml:space="preserve"> </w:t>
      </w:r>
      <w:r w:rsidRPr="002E5797">
        <w:rPr>
          <w:lang w:val="fr-CA"/>
        </w:rPr>
        <w:t xml:space="preserve"> Le fondement sur lequel reposerait le recours individuel doit pouvoir se transposer au recours collectif. </w:t>
      </w:r>
      <w:r w:rsidR="00B23F7E" w:rsidRPr="002E5797">
        <w:rPr>
          <w:lang w:val="fr-CA"/>
        </w:rPr>
        <w:t xml:space="preserve"> </w:t>
      </w:r>
      <w:r w:rsidRPr="002E5797">
        <w:rPr>
          <w:lang w:val="fr-CA"/>
        </w:rPr>
        <w:t xml:space="preserve">Or, ce fondement fait défaut en l’espèce.  En définitive, puisqu’il est conclu à l’impossibilité d’établir </w:t>
      </w:r>
      <w:r w:rsidRPr="002E5797">
        <w:rPr>
          <w:lang w:val="fr-CA"/>
        </w:rPr>
        <w:lastRenderedPageBreak/>
        <w:t xml:space="preserve">l’existence d’un groupe identifiable composé des acheteurs indirects, le recours collectif dans leur cas ne peut être certifié.  </w:t>
      </w:r>
    </w:p>
    <w:p w:rsidR="00874EB3" w:rsidRPr="002E5797" w:rsidRDefault="00874EB3" w:rsidP="00874EB3">
      <w:pPr>
        <w:pStyle w:val="SCCNormalDoubleSpacing"/>
        <w:spacing w:before="480" w:after="480"/>
        <w:rPr>
          <w:lang w:val="fr-CA"/>
        </w:rPr>
      </w:pPr>
      <w:r w:rsidRPr="002E5797">
        <w:rPr>
          <w:lang w:val="fr-CA"/>
        </w:rPr>
        <w:tab/>
        <w:t>Quant aux acheteurs directs, la seule cause d’action qui leur est reconnue, en imposition d’une fiducie par interprétation, doit être rejetée.  Il n’est pas satisfait en l’espèce à la condition d’un lien avec un bien, ni à celle voulant que la fiducie par interprétation soit imposée uniquement si une réparation pécuniaire est jugée inadéquate.  Il est donc manifeste que la demande des acheteurs directs visant l’imposition de ce type de fiducie est vouée à l’échec.</w:t>
      </w:r>
    </w:p>
    <w:p w:rsidR="00874EB3" w:rsidRPr="002E5797" w:rsidRDefault="00874EB3" w:rsidP="004D5F19">
      <w:pPr>
        <w:pStyle w:val="SCCNormalDoubleSpacing"/>
        <w:spacing w:before="480" w:after="480"/>
        <w:rPr>
          <w:lang w:val="fr-CA"/>
        </w:rPr>
      </w:pPr>
      <w:r w:rsidRPr="002E5797">
        <w:rPr>
          <w:i/>
          <w:lang w:val="fr-CA"/>
        </w:rPr>
        <w:tab/>
        <w:t>Les</w:t>
      </w:r>
      <w:r w:rsidRPr="002E5797">
        <w:rPr>
          <w:lang w:val="fr-CA"/>
        </w:rPr>
        <w:t xml:space="preserve"> juges Cromwell et</w:t>
      </w:r>
      <w:r w:rsidRPr="003104B2">
        <w:rPr>
          <w:lang w:val="fr-CA"/>
        </w:rPr>
        <w:t xml:space="preserve"> Karakatsanis</w:t>
      </w:r>
      <w:r w:rsidRPr="002E5797">
        <w:rPr>
          <w:lang w:val="fr-CA"/>
        </w:rPr>
        <w:t xml:space="preserve"> (dissidents</w:t>
      </w:r>
      <w:r w:rsidR="003104B2">
        <w:rPr>
          <w:lang w:val="fr-CA"/>
        </w:rPr>
        <w:t xml:space="preserve"> quant au pourvoi</w:t>
      </w:r>
      <w:r w:rsidRPr="002E5797">
        <w:rPr>
          <w:lang w:val="fr-CA"/>
        </w:rPr>
        <w:t xml:space="preserve">) : En l’espèce, un certain fondement factuel permet de conclure à l’existence d’un groupe identifiable de deux personnes ou plus auquel appartiennent les acheteurs indirects.  </w:t>
      </w:r>
    </w:p>
    <w:p w:rsidR="00874EB3" w:rsidRPr="002E5797" w:rsidRDefault="00874EB3" w:rsidP="00874EB3">
      <w:pPr>
        <w:pStyle w:val="SCCNormalDoubleSpacing"/>
        <w:spacing w:before="480" w:after="480"/>
        <w:rPr>
          <w:lang w:val="fr-CA"/>
        </w:rPr>
      </w:pPr>
      <w:r w:rsidRPr="002E5797">
        <w:rPr>
          <w:lang w:val="fr-CA"/>
        </w:rPr>
        <w:tab/>
        <w:t xml:space="preserve">Pour qu’il y ait un groupe identifiable, il ne faut pas que chacun des membres du groupe soit en mesure d’établir une perte individuelle.  La </w:t>
      </w:r>
      <w:r w:rsidRPr="002E5797">
        <w:rPr>
          <w:i/>
          <w:lang w:val="fr-CA"/>
        </w:rPr>
        <w:t>Class Proceedings Act</w:t>
      </w:r>
      <w:r w:rsidRPr="002E5797">
        <w:rPr>
          <w:lang w:val="fr-CA"/>
        </w:rPr>
        <w:t xml:space="preserve"> (« </w:t>
      </w:r>
      <w:r w:rsidRPr="002E5797">
        <w:rPr>
          <w:i/>
          <w:lang w:val="fr-CA"/>
        </w:rPr>
        <w:t>CPA</w:t>
      </w:r>
      <w:r w:rsidRPr="002E5797">
        <w:rPr>
          <w:lang w:val="fr-CA"/>
        </w:rPr>
        <w:t xml:space="preserve"> ») est conçue de manière à donner un recours au groupe dans son ensemble, sans qu’il soit nécessaire de prouver une perte individuelle, même s’il est difficile d’établir l’appartenance au groupe.  En conséquence, si personne ne cherche à obtenir une réparation individuelle, il ne sera pas nécessaire de prouver une perte individuelle.  De tels recours collectifs permettent la restitution de gains provenant d’activités illégales et répondent non seulement aux objectifs d’accès à la justice et d’économie des ressources judiciaires, mais aussi à l’objectif général de modification des comportements.  En outre, les dispositions autorisant l’octroi de </w:t>
      </w:r>
      <w:r w:rsidRPr="002E5797">
        <w:rPr>
          <w:lang w:val="fr-CA"/>
        </w:rPr>
        <w:lastRenderedPageBreak/>
        <w:t>dommages</w:t>
      </w:r>
      <w:r w:rsidRPr="002E5797">
        <w:rPr>
          <w:lang w:val="fr-CA"/>
        </w:rPr>
        <w:noBreakHyphen/>
        <w:t xml:space="preserve">intérêts globaux prévues à la </w:t>
      </w:r>
      <w:r w:rsidRPr="002E5797">
        <w:rPr>
          <w:i/>
          <w:lang w:val="fr-CA"/>
        </w:rPr>
        <w:t>CPA</w:t>
      </w:r>
      <w:r w:rsidRPr="002E5797">
        <w:rPr>
          <w:lang w:val="fr-CA"/>
        </w:rPr>
        <w:t xml:space="preserve"> favorisent l’accès à la justice et la modification des comportements dans les cas où la responsabilité envers le groupe a été démontrée, mais où l’appartenance au groupe est difficile ou impossible à établir. </w:t>
      </w:r>
      <w:r w:rsidR="00B23F7E" w:rsidRPr="002E5797">
        <w:rPr>
          <w:lang w:val="fr-CA"/>
        </w:rPr>
        <w:t xml:space="preserve"> </w:t>
      </w:r>
      <w:r w:rsidRPr="002E5797">
        <w:rPr>
          <w:lang w:val="fr-CA"/>
        </w:rPr>
        <w:t xml:space="preserve">La loi prévoit expressément la possibilité qu’il soit difficile, voire impossible, pour certaines personnes de s’estimer visées. De telles difficultés n’ont pas été jugées fatales à la certification sous le régime de la </w:t>
      </w:r>
      <w:r w:rsidRPr="002E5797">
        <w:rPr>
          <w:i/>
          <w:lang w:val="fr-CA"/>
        </w:rPr>
        <w:t>CPA</w:t>
      </w:r>
      <w:r w:rsidRPr="002E5797">
        <w:rPr>
          <w:lang w:val="fr-CA"/>
        </w:rPr>
        <w:t xml:space="preserve"> dans la mesure où l’existence d’un groupe repose sur un certain fondement factuel.</w:t>
      </w:r>
      <w:r w:rsidR="00B23F7E" w:rsidRPr="002E5797">
        <w:rPr>
          <w:lang w:val="fr-CA"/>
        </w:rPr>
        <w:t xml:space="preserve"> </w:t>
      </w:r>
      <w:r w:rsidRPr="002E5797">
        <w:rPr>
          <w:lang w:val="fr-CA"/>
        </w:rPr>
        <w:t xml:space="preserve"> Les critères d’appartenance au groupe doivent être clairement définis — et non la faculté d’une personne donnée de prouver qu’elle y satisfait.  Que les demandeurs puissent ou non établir le bien</w:t>
      </w:r>
      <w:r w:rsidRPr="002E5797">
        <w:rPr>
          <w:lang w:val="fr-CA"/>
        </w:rPr>
        <w:noBreakHyphen/>
        <w:t xml:space="preserve">fondé de leur demande de réparation individuelle est une question distincte n’ayant pas à être tranchée à l’étape de la certification.  </w:t>
      </w:r>
    </w:p>
    <w:p w:rsidR="00874EB3" w:rsidRPr="002E5797" w:rsidRDefault="00874EB3" w:rsidP="00874EB3">
      <w:pPr>
        <w:pStyle w:val="SCCNormalDoubleSpacing"/>
        <w:spacing w:before="480" w:after="480"/>
        <w:rPr>
          <w:lang w:val="fr-CA"/>
        </w:rPr>
      </w:pPr>
      <w:r w:rsidRPr="002E5797">
        <w:rPr>
          <w:lang w:val="fr-CA"/>
        </w:rPr>
        <w:tab/>
      </w:r>
      <w:r w:rsidRPr="002E5797">
        <w:rPr>
          <w:iCs/>
          <w:szCs w:val="24"/>
          <w:lang w:val="fr-CA"/>
        </w:rPr>
        <w:t xml:space="preserve">Le dossier permet de conclure que le groupe </w:t>
      </w:r>
      <w:r w:rsidRPr="002E5797">
        <w:rPr>
          <w:lang w:val="fr-CA"/>
        </w:rPr>
        <w:t>existe et que les membres du groupe ont subi un préjudice.  Il ne sera peut</w:t>
      </w:r>
      <w:r w:rsidRPr="002E5797">
        <w:rPr>
          <w:lang w:val="fr-CA"/>
        </w:rPr>
        <w:noBreakHyphen/>
        <w:t xml:space="preserve">être jamais nécessaire ni impératif en droit que les membres individuels du groupe soient connus.  La </w:t>
      </w:r>
      <w:r w:rsidRPr="002E5797">
        <w:rPr>
          <w:i/>
          <w:lang w:val="fr-CA"/>
        </w:rPr>
        <w:t>CPA</w:t>
      </w:r>
      <w:r w:rsidRPr="002E5797">
        <w:rPr>
          <w:lang w:val="fr-CA"/>
        </w:rPr>
        <w:t>, une loi à caractère principalement procédural, crée également une réparation qui reconnaît que les préjudices causés au groupe dans son ensemble peuvent être prouvés, même si la preuve des préjudices individuels est irréaliste, et qui peut être ordonnée même si elle est susceptible de profiter à des non</w:t>
      </w:r>
      <w:r w:rsidRPr="002E5797">
        <w:rPr>
          <w:lang w:val="fr-CA"/>
        </w:rPr>
        <w:noBreakHyphen/>
        <w:t>membres.  Cette loi doit être interprétée libéralement pour donner effet à l’objectif du législateur, à savoir favoriser l’économie des ressources judiciaires, l’accès à la justice et la modification du comportement des malfaiteurs.</w:t>
      </w:r>
    </w:p>
    <w:p w:rsidR="00874EB3" w:rsidRPr="002E5797" w:rsidRDefault="00874EB3" w:rsidP="00874EB3">
      <w:pPr>
        <w:pStyle w:val="SCCNormalDoubleSpacing"/>
        <w:spacing w:before="480" w:after="480"/>
        <w:rPr>
          <w:lang w:val="fr-CA"/>
        </w:rPr>
      </w:pPr>
      <w:r w:rsidRPr="002E5797">
        <w:rPr>
          <w:lang w:val="fr-CA"/>
        </w:rPr>
        <w:lastRenderedPageBreak/>
        <w:tab/>
        <w:t xml:space="preserve">Même s’il n’est pas nécessaire à l’étape de la certification d’établir que chacun des membres du groupe aurait la capacité pour agir seul, </w:t>
      </w:r>
      <w:r w:rsidRPr="002E5797">
        <w:rPr>
          <w:iCs/>
          <w:szCs w:val="24"/>
          <w:lang w:val="fr-CA"/>
        </w:rPr>
        <w:t xml:space="preserve">le dossier en l’espèce étaye suffisamment </w:t>
      </w:r>
      <w:r w:rsidRPr="002E5797">
        <w:rPr>
          <w:lang w:val="fr-CA"/>
        </w:rPr>
        <w:t xml:space="preserve">l’existence d’un groupe identifiable de deux personnes ou plus. </w:t>
      </w:r>
      <w:r w:rsidR="00B23F7E" w:rsidRPr="002E5797">
        <w:rPr>
          <w:lang w:val="fr-CA"/>
        </w:rPr>
        <w:t xml:space="preserve"> </w:t>
      </w:r>
      <w:r w:rsidRPr="002E5797">
        <w:rPr>
          <w:iCs/>
          <w:szCs w:val="24"/>
          <w:lang w:val="fr-CA"/>
        </w:rPr>
        <w:t xml:space="preserve">Les acheteurs directs de </w:t>
      </w:r>
      <w:r w:rsidR="005A7DB6">
        <w:rPr>
          <w:iCs/>
          <w:szCs w:val="24"/>
          <w:lang w:val="fr-CA"/>
        </w:rPr>
        <w:t xml:space="preserve">SMHTF </w:t>
      </w:r>
      <w:r w:rsidRPr="002E5797">
        <w:rPr>
          <w:iCs/>
          <w:szCs w:val="24"/>
          <w:lang w:val="fr-CA"/>
        </w:rPr>
        <w:t xml:space="preserve">ont utilisé largement cet édulcorant dans la confection de produits qui ont été vendus à grande échelle aux détaillants et consommateurs.  En matière de fixation des prix, la perte découle directement de l’achat du SMHTF, ou dans le cas des acheteurs indirects, de produits en contenant.  </w:t>
      </w:r>
      <w:r w:rsidRPr="002E5797">
        <w:rPr>
          <w:lang w:val="fr-CA"/>
        </w:rPr>
        <w:t>Les demandeurs n’auront pas à démontrer, preuves à l’appui, avoir acheté un certain produit</w:t>
      </w:r>
      <w:r w:rsidRPr="002E5797">
        <w:rPr>
          <w:i/>
          <w:lang w:val="fr-CA"/>
        </w:rPr>
        <w:t xml:space="preserve"> </w:t>
      </w:r>
      <w:r w:rsidRPr="002E5797">
        <w:rPr>
          <w:lang w:val="fr-CA"/>
        </w:rPr>
        <w:t>contenant du SMHTF.  Il suffira que le juge de première instance soit convaincu, à la lumière de la preuve, notamment d’expert, qu’un demandeur donné a probablement acheté un produit contenant l’édulcorant en question.</w:t>
      </w:r>
      <w:r w:rsidRPr="002E5797">
        <w:rPr>
          <w:iCs/>
          <w:szCs w:val="24"/>
          <w:lang w:val="fr-CA"/>
        </w:rPr>
        <w:t xml:space="preserve"> </w:t>
      </w:r>
      <w:r w:rsidR="000841BC">
        <w:rPr>
          <w:iCs/>
          <w:szCs w:val="24"/>
          <w:lang w:val="fr-CA"/>
        </w:rPr>
        <w:t xml:space="preserve"> </w:t>
      </w:r>
      <w:r w:rsidRPr="002E5797">
        <w:rPr>
          <w:lang w:val="fr-CA"/>
        </w:rPr>
        <w:t xml:space="preserve">L’exigence que chacun des critères de certification repose sur un certain fondement factuel n’emporte pas d’examen sommaire au fond du recours et n’exige pas l’énumération des éléments à l’appui de la demande. </w:t>
      </w:r>
      <w:r w:rsidR="00B23F7E" w:rsidRPr="002E5797">
        <w:rPr>
          <w:lang w:val="fr-CA"/>
        </w:rPr>
        <w:t xml:space="preserve"> </w:t>
      </w:r>
      <w:r w:rsidRPr="002E5797">
        <w:rPr>
          <w:lang w:val="fr-CA"/>
        </w:rPr>
        <w:t>La question à cette étape n’est pas s’il est vraisemblable que la demande aboutisse, mais s’il convient de procéder par recours collectif</w:t>
      </w:r>
      <w:r w:rsidRPr="002E5797">
        <w:rPr>
          <w:iCs/>
          <w:szCs w:val="24"/>
          <w:lang w:val="fr-CA"/>
        </w:rPr>
        <w:t xml:space="preserve">. </w:t>
      </w:r>
      <w:r w:rsidR="00B23F7E" w:rsidRPr="002E5797">
        <w:rPr>
          <w:iCs/>
          <w:szCs w:val="24"/>
          <w:lang w:val="fr-CA"/>
        </w:rPr>
        <w:t xml:space="preserve"> </w:t>
      </w:r>
      <w:r w:rsidRPr="002E5797">
        <w:rPr>
          <w:iCs/>
          <w:szCs w:val="24"/>
          <w:lang w:val="fr-CA"/>
        </w:rPr>
        <w:t>En l’espèce, l</w:t>
      </w:r>
      <w:r w:rsidRPr="002E5797">
        <w:rPr>
          <w:szCs w:val="24"/>
          <w:lang w:val="fr-CA"/>
        </w:rPr>
        <w:t>es appelantes ont établi un certain fondement factuel permettant de conclure que le groupe proposé est identifiable et que chacun des membres du groupe pourrait être en mesure d’établir, suivant la prépondérance des probabilités, une perte individuelle.</w:t>
      </w:r>
      <w:r w:rsidR="00B23F7E" w:rsidRPr="002E5797">
        <w:rPr>
          <w:szCs w:val="24"/>
          <w:lang w:val="fr-CA"/>
        </w:rPr>
        <w:t xml:space="preserve"> </w:t>
      </w:r>
      <w:r w:rsidRPr="002E5797">
        <w:rPr>
          <w:szCs w:val="24"/>
          <w:lang w:val="fr-CA"/>
        </w:rPr>
        <w:t xml:space="preserve"> Des demandeurs, dont des acheteurs indirects, pourraient s’estimer membres éventuels s’ils savaient les produits dans la composition desquels il a été reconnu qu’e</w:t>
      </w:r>
      <w:r w:rsidR="00F20D1E" w:rsidRPr="002E5797">
        <w:rPr>
          <w:szCs w:val="24"/>
          <w:lang w:val="fr-CA"/>
        </w:rPr>
        <w:t xml:space="preserve">ntrait régulièrement du SMHTF. </w:t>
      </w:r>
    </w:p>
    <w:p w:rsidR="004D7D95" w:rsidRPr="002E5797" w:rsidRDefault="004D7D95" w:rsidP="00BD4DEB">
      <w:pPr>
        <w:pStyle w:val="SCCNormalDoubleSpacing"/>
        <w:keepNext/>
        <w:spacing w:after="720" w:line="240" w:lineRule="auto"/>
        <w:rPr>
          <w:b/>
          <w:lang w:val="fr-CA"/>
        </w:rPr>
      </w:pPr>
      <w:r w:rsidRPr="002E5797">
        <w:rPr>
          <w:b/>
          <w:lang w:val="fr-CA"/>
        </w:rPr>
        <w:lastRenderedPageBreak/>
        <w:t>Jurisprudence</w:t>
      </w:r>
    </w:p>
    <w:p w:rsidR="00CB26E1" w:rsidRPr="002E5797" w:rsidRDefault="00CB26E1" w:rsidP="00BD4DEB">
      <w:pPr>
        <w:pStyle w:val="SCCNormalDoubleSpacing"/>
        <w:keepNext/>
        <w:spacing w:after="720" w:line="240" w:lineRule="auto"/>
        <w:rPr>
          <w:lang w:val="fr-CA"/>
        </w:rPr>
      </w:pPr>
      <w:r w:rsidRPr="002E5797">
        <w:rPr>
          <w:lang w:val="fr-CA"/>
        </w:rPr>
        <w:t>Citée par le juge Rothstein</w:t>
      </w:r>
    </w:p>
    <w:p w:rsidR="004D7D95" w:rsidRPr="00396357" w:rsidRDefault="004D7D95" w:rsidP="00BD4DEB">
      <w:pPr>
        <w:pStyle w:val="SCCNormalDoubleSpacing"/>
        <w:spacing w:after="480"/>
        <w:rPr>
          <w:lang w:val="fr-CA"/>
        </w:rPr>
      </w:pPr>
      <w:r w:rsidRPr="002E5797">
        <w:rPr>
          <w:lang w:val="fr-CA"/>
        </w:rPr>
        <w:tab/>
      </w:r>
      <w:r w:rsidR="000841BC" w:rsidRPr="000841BC">
        <w:rPr>
          <w:b/>
          <w:lang w:val="fr-CA"/>
        </w:rPr>
        <w:t>Arrêt appliqué :</w:t>
      </w:r>
      <w:r w:rsidR="000841BC">
        <w:rPr>
          <w:lang w:val="fr-CA"/>
        </w:rPr>
        <w:t xml:space="preserve"> </w:t>
      </w:r>
      <w:r w:rsidR="00982984" w:rsidRPr="002E5797">
        <w:rPr>
          <w:i/>
          <w:lang w:val="fr-CA"/>
        </w:rPr>
        <w:t>Pro</w:t>
      </w:r>
      <w:r w:rsidR="00BD4DEB" w:rsidRPr="002E5797">
        <w:rPr>
          <w:i/>
          <w:lang w:val="fr-CA"/>
        </w:rPr>
        <w:noBreakHyphen/>
      </w:r>
      <w:r w:rsidR="00982984" w:rsidRPr="002E5797">
        <w:rPr>
          <w:i/>
          <w:lang w:val="fr-CA"/>
        </w:rPr>
        <w:t>Sys Consultants Ltd. c. Microsoft Corp</w:t>
      </w:r>
      <w:r w:rsidR="00CB165D" w:rsidRPr="002E5797">
        <w:rPr>
          <w:i/>
          <w:lang w:val="fr-CA"/>
        </w:rPr>
        <w:t>oration</w:t>
      </w:r>
      <w:r w:rsidR="00982984" w:rsidRPr="002E5797">
        <w:rPr>
          <w:lang w:val="fr-CA"/>
        </w:rPr>
        <w:t xml:space="preserve">, 2013 CSC </w:t>
      </w:r>
      <w:r w:rsidR="0058146B" w:rsidRPr="002E5797">
        <w:rPr>
          <w:lang w:val="fr-CA"/>
        </w:rPr>
        <w:t>57</w:t>
      </w:r>
      <w:r w:rsidR="00345115" w:rsidRPr="00345115">
        <w:rPr>
          <w:lang w:val="fr-CA"/>
        </w:rPr>
        <w:t>, [2013] 3 R</w:t>
      </w:r>
      <w:r w:rsidR="00345115">
        <w:rPr>
          <w:lang w:val="fr-CA"/>
        </w:rPr>
        <w:t>.C.</w:t>
      </w:r>
      <w:r w:rsidR="00345115" w:rsidRPr="00345115">
        <w:rPr>
          <w:lang w:val="fr-CA"/>
        </w:rPr>
        <w:t xml:space="preserve">S. </w:t>
      </w:r>
      <w:r w:rsidR="00A55697">
        <w:rPr>
          <w:lang w:val="fr-CA"/>
        </w:rPr>
        <w:t>477</w:t>
      </w:r>
      <w:r w:rsidR="00896C04" w:rsidRPr="002E5797">
        <w:rPr>
          <w:lang w:val="fr-CA"/>
        </w:rPr>
        <w:t>, inf. 2011 BCCA 186, 304 B.C.A.C. 90</w:t>
      </w:r>
      <w:r w:rsidR="00982984" w:rsidRPr="002E5797">
        <w:rPr>
          <w:lang w:val="fr-CA"/>
        </w:rPr>
        <w:t xml:space="preserve">; </w:t>
      </w:r>
      <w:r w:rsidR="00605940">
        <w:rPr>
          <w:b/>
          <w:lang w:val="fr-CA"/>
        </w:rPr>
        <w:t>a</w:t>
      </w:r>
      <w:r w:rsidR="000841BC" w:rsidRPr="002E5797">
        <w:rPr>
          <w:b/>
          <w:lang w:val="fr-CA"/>
        </w:rPr>
        <w:t>rrêts mentionnés :</w:t>
      </w:r>
      <w:r w:rsidR="000841BC" w:rsidRPr="002E5797">
        <w:rPr>
          <w:lang w:val="fr-CA"/>
        </w:rPr>
        <w:t xml:space="preserve"> </w:t>
      </w:r>
      <w:r w:rsidR="00982984" w:rsidRPr="002E5797">
        <w:rPr>
          <w:i/>
          <w:lang w:val="fr-CA"/>
        </w:rPr>
        <w:t>Pro</w:t>
      </w:r>
      <w:r w:rsidR="00BD4DEB" w:rsidRPr="002E5797">
        <w:rPr>
          <w:i/>
          <w:lang w:val="fr-CA"/>
        </w:rPr>
        <w:noBreakHyphen/>
      </w:r>
      <w:r w:rsidR="00982984" w:rsidRPr="002E5797">
        <w:rPr>
          <w:i/>
          <w:lang w:val="fr-CA"/>
        </w:rPr>
        <w:t>Sys Consultants Ltd. c. Infineon Technologies AG</w:t>
      </w:r>
      <w:r w:rsidR="00982984" w:rsidRPr="002E5797">
        <w:rPr>
          <w:lang w:val="fr-CA"/>
        </w:rPr>
        <w:t xml:space="preserve">, 2009 BCCA 503, 98 B.C.L.R. (4th) 272; </w:t>
      </w:r>
      <w:r w:rsidR="00982984" w:rsidRPr="002E5797">
        <w:rPr>
          <w:i/>
          <w:lang w:val="fr-CA"/>
        </w:rPr>
        <w:t xml:space="preserve">Option </w:t>
      </w:r>
      <w:r w:rsidR="00DD045F" w:rsidRPr="002E5797">
        <w:rPr>
          <w:i/>
          <w:lang w:val="fr-CA"/>
        </w:rPr>
        <w:t>c</w:t>
      </w:r>
      <w:r w:rsidR="00982984" w:rsidRPr="002E5797">
        <w:rPr>
          <w:i/>
          <w:lang w:val="fr-CA"/>
        </w:rPr>
        <w:t>onsommateurs c. Infineon Technologies</w:t>
      </w:r>
      <w:r w:rsidR="00873363" w:rsidRPr="002E5797">
        <w:rPr>
          <w:i/>
          <w:lang w:val="fr-CA"/>
        </w:rPr>
        <w:t xml:space="preserve"> AG</w:t>
      </w:r>
      <w:r w:rsidR="00982984" w:rsidRPr="002E5797">
        <w:rPr>
          <w:lang w:val="fr-CA"/>
        </w:rPr>
        <w:t>, 2011 QCCA 2116</w:t>
      </w:r>
      <w:r w:rsidR="00873363" w:rsidRPr="002E5797">
        <w:rPr>
          <w:lang w:val="fr-CA"/>
        </w:rPr>
        <w:t xml:space="preserve"> (CanLII)</w:t>
      </w:r>
      <w:r w:rsidR="00DD045F" w:rsidRPr="002E5797">
        <w:rPr>
          <w:lang w:val="fr-CA"/>
        </w:rPr>
        <w:t>, conf. par 2013 CSC 59</w:t>
      </w:r>
      <w:r w:rsidR="00345115" w:rsidRPr="00345115">
        <w:rPr>
          <w:lang w:val="fr-CA"/>
        </w:rPr>
        <w:t>, [2013] 3 R</w:t>
      </w:r>
      <w:r w:rsidR="00345115">
        <w:rPr>
          <w:lang w:val="fr-CA"/>
        </w:rPr>
        <w:t>.C.</w:t>
      </w:r>
      <w:r w:rsidR="00345115" w:rsidRPr="00345115">
        <w:rPr>
          <w:lang w:val="fr-CA"/>
        </w:rPr>
        <w:t xml:space="preserve">S. </w:t>
      </w:r>
      <w:r w:rsidR="00A55697">
        <w:rPr>
          <w:lang w:val="fr-CA"/>
        </w:rPr>
        <w:t>600</w:t>
      </w:r>
      <w:r w:rsidR="00982984" w:rsidRPr="002E5797">
        <w:rPr>
          <w:lang w:val="fr-CA"/>
        </w:rPr>
        <w:t xml:space="preserve">; </w:t>
      </w:r>
      <w:r w:rsidR="00982984" w:rsidRPr="002E5797">
        <w:rPr>
          <w:i/>
          <w:lang w:val="fr-CA"/>
        </w:rPr>
        <w:t>Kingstreet Investments Ltd. c. Nouveau</w:t>
      </w:r>
      <w:r w:rsidR="00BD4DEB" w:rsidRPr="002E5797">
        <w:rPr>
          <w:i/>
          <w:lang w:val="fr-CA"/>
        </w:rPr>
        <w:noBreakHyphen/>
      </w:r>
      <w:r w:rsidR="00982984" w:rsidRPr="002E5797">
        <w:rPr>
          <w:i/>
          <w:lang w:val="fr-CA"/>
        </w:rPr>
        <w:t>Brunswick (Finances)</w:t>
      </w:r>
      <w:r w:rsidR="00982984" w:rsidRPr="002E5797">
        <w:rPr>
          <w:lang w:val="fr-CA"/>
        </w:rPr>
        <w:t xml:space="preserve">, 2007 CSC 1, [2007] 1 R.C.S. 3; </w:t>
      </w:r>
      <w:r w:rsidR="00982984" w:rsidRPr="002E5797">
        <w:rPr>
          <w:i/>
          <w:lang w:val="fr-CA"/>
        </w:rPr>
        <w:t>Hunt c. Carey Canada Inc.</w:t>
      </w:r>
      <w:r w:rsidR="00982984" w:rsidRPr="002E5797">
        <w:rPr>
          <w:lang w:val="fr-CA"/>
        </w:rPr>
        <w:t xml:space="preserve">, [1990] 2 R.C.S. 959; </w:t>
      </w:r>
      <w:r w:rsidR="00982984" w:rsidRPr="002E5797">
        <w:rPr>
          <w:i/>
          <w:lang w:val="fr-CA"/>
        </w:rPr>
        <w:t>Alberta c. Elder Advocates of Alberta Society</w:t>
      </w:r>
      <w:r w:rsidR="00982984" w:rsidRPr="002E5797">
        <w:rPr>
          <w:lang w:val="fr-CA"/>
        </w:rPr>
        <w:t xml:space="preserve">, 2011 CSC 24, [2011] 2 R.C.S. 261; </w:t>
      </w:r>
      <w:r w:rsidR="00982984" w:rsidRPr="002E5797">
        <w:rPr>
          <w:i/>
          <w:lang w:val="fr-CA"/>
        </w:rPr>
        <w:t>Hollick c. Toronto (Ville)</w:t>
      </w:r>
      <w:r w:rsidR="00982984" w:rsidRPr="002E5797">
        <w:rPr>
          <w:lang w:val="fr-CA"/>
        </w:rPr>
        <w:t xml:space="preserve">, 2001 CSC 68, [2001] 3 R.C.S. 158; </w:t>
      </w:r>
      <w:r w:rsidR="00982984" w:rsidRPr="002E5797">
        <w:rPr>
          <w:i/>
          <w:lang w:val="fr-CA"/>
        </w:rPr>
        <w:t>Peel (Municipalité régionale) c. Canada</w:t>
      </w:r>
      <w:r w:rsidR="00982984" w:rsidRPr="002E5797">
        <w:rPr>
          <w:lang w:val="fr-CA"/>
        </w:rPr>
        <w:t xml:space="preserve">, [1992] 3 R.C.S. 762; </w:t>
      </w:r>
      <w:r w:rsidR="00873363" w:rsidRPr="002E5797">
        <w:rPr>
          <w:i/>
          <w:lang w:val="fr-CA"/>
        </w:rPr>
        <w:t>Tracy (Guardian ad litem of) c. Instaloans Financial Solutions Centres (B.C.) Ltd.</w:t>
      </w:r>
      <w:r w:rsidR="00873363" w:rsidRPr="002E5797">
        <w:rPr>
          <w:lang w:val="fr-CA"/>
        </w:rPr>
        <w:t xml:space="preserve">, </w:t>
      </w:r>
      <w:r w:rsidR="00982984" w:rsidRPr="002E5797">
        <w:rPr>
          <w:lang w:val="fr-CA"/>
        </w:rPr>
        <w:t xml:space="preserve">2010 BCCA 357, </w:t>
      </w:r>
      <w:r w:rsidR="00DD045F" w:rsidRPr="002E5797">
        <w:rPr>
          <w:lang w:val="fr-CA"/>
        </w:rPr>
        <w:t>320 D.L.R. (4th) 577</w:t>
      </w:r>
      <w:r w:rsidR="00982984" w:rsidRPr="002E5797">
        <w:rPr>
          <w:lang w:val="fr-CA"/>
        </w:rPr>
        <w:t xml:space="preserve">; </w:t>
      </w:r>
      <w:r w:rsidR="00E9533C" w:rsidRPr="002E5797">
        <w:rPr>
          <w:i/>
          <w:lang w:val="fr-CA"/>
        </w:rPr>
        <w:t>Kerr c. Baranow</w:t>
      </w:r>
      <w:r w:rsidR="00E9533C" w:rsidRPr="002E5797">
        <w:rPr>
          <w:lang w:val="fr-CA"/>
        </w:rPr>
        <w:t xml:space="preserve">, 2011 CSC 10, [2011] 1 R.C.S. 269; </w:t>
      </w:r>
      <w:r w:rsidR="00982984" w:rsidRPr="002E5797">
        <w:rPr>
          <w:i/>
          <w:lang w:val="fr-CA"/>
        </w:rPr>
        <w:t>Club Resorts Ltd. c. Van Breda</w:t>
      </w:r>
      <w:r w:rsidR="00982984" w:rsidRPr="002E5797">
        <w:rPr>
          <w:lang w:val="fr-CA"/>
        </w:rPr>
        <w:t xml:space="preserve">, 2012 CSC 17, [2012] 1 R.C.S. 572; </w:t>
      </w:r>
      <w:r w:rsidR="00873363" w:rsidRPr="002E5797">
        <w:rPr>
          <w:i/>
          <w:lang w:val="fr-CA"/>
        </w:rPr>
        <w:t>VitaPharm Canada Ltd. c. F. Hoffmann</w:t>
      </w:r>
      <w:r w:rsidR="00BD4DEB" w:rsidRPr="002E5797">
        <w:rPr>
          <w:i/>
          <w:lang w:val="fr-CA"/>
        </w:rPr>
        <w:noBreakHyphen/>
      </w:r>
      <w:r w:rsidR="00873363" w:rsidRPr="002E5797">
        <w:rPr>
          <w:i/>
          <w:lang w:val="fr-CA"/>
        </w:rPr>
        <w:t>LaRoche Ltd.</w:t>
      </w:r>
      <w:r w:rsidR="00873363" w:rsidRPr="002E5797">
        <w:rPr>
          <w:lang w:val="fr-CA"/>
        </w:rPr>
        <w:t xml:space="preserve"> </w:t>
      </w:r>
      <w:r w:rsidR="00982984" w:rsidRPr="002E5797">
        <w:t xml:space="preserve">(2002), 20 C.P.C. (5th) 351; </w:t>
      </w:r>
      <w:r w:rsidR="00873363" w:rsidRPr="002E5797">
        <w:rPr>
          <w:i/>
        </w:rPr>
        <w:t>Fairhurst c. Anglo American PLC</w:t>
      </w:r>
      <w:r w:rsidR="00873363" w:rsidRPr="002E5797">
        <w:t xml:space="preserve">, 2012 BCCA 257, 35 B.C.L.R. (5th) 45; </w:t>
      </w:r>
      <w:r w:rsidR="00873363" w:rsidRPr="002E5797">
        <w:rPr>
          <w:i/>
        </w:rPr>
        <w:t>British Columbia c. Imperial Tobacco Canada Ltd.</w:t>
      </w:r>
      <w:r w:rsidR="00873363" w:rsidRPr="002E5797">
        <w:t>, 2006 BCCA 398, 56 B.C.L.R. (4th) 263</w:t>
      </w:r>
      <w:r w:rsidR="00982984" w:rsidRPr="002E5797">
        <w:t xml:space="preserve">; </w:t>
      </w:r>
      <w:r w:rsidR="00982984" w:rsidRPr="002E5797">
        <w:rPr>
          <w:i/>
        </w:rPr>
        <w:t>Western Canadian Shopping Centres Inc. c. Dutton</w:t>
      </w:r>
      <w:r w:rsidR="00982984" w:rsidRPr="002E5797">
        <w:t xml:space="preserve">, 2001 CSC 46, [2001] 2 R.C.S. 534; </w:t>
      </w:r>
      <w:r w:rsidR="00873363" w:rsidRPr="002E5797">
        <w:rPr>
          <w:i/>
        </w:rPr>
        <w:t>Lau c. Bayview Landmark Inc.</w:t>
      </w:r>
      <w:r w:rsidR="00873363" w:rsidRPr="002E5797">
        <w:t xml:space="preserve"> </w:t>
      </w:r>
      <w:r w:rsidR="00982984" w:rsidRPr="002E5797">
        <w:t xml:space="preserve">(1999), 40 C.P.C. (4th) 301; </w:t>
      </w:r>
      <w:r w:rsidR="00873363" w:rsidRPr="002E5797">
        <w:rPr>
          <w:i/>
        </w:rPr>
        <w:t>Bywater c. Toronto Transit Commission</w:t>
      </w:r>
      <w:r w:rsidR="00873363" w:rsidRPr="002E5797">
        <w:t xml:space="preserve"> (1998), 27 C.P.C. (4th) 172</w:t>
      </w:r>
      <w:r w:rsidR="00982984" w:rsidRPr="002E5797">
        <w:t xml:space="preserve">; </w:t>
      </w:r>
      <w:r w:rsidR="00873363" w:rsidRPr="002E5797">
        <w:rPr>
          <w:i/>
        </w:rPr>
        <w:t>Sauer c. Canada (Agriculture)</w:t>
      </w:r>
      <w:r w:rsidR="00873363" w:rsidRPr="002E5797">
        <w:t>, 2008 CanLII 43774</w:t>
      </w:r>
      <w:r w:rsidR="00982984" w:rsidRPr="002E5797">
        <w:t xml:space="preserve">; </w:t>
      </w:r>
      <w:r w:rsidR="00982984" w:rsidRPr="002E5797">
        <w:rPr>
          <w:i/>
        </w:rPr>
        <w:t>Taub c. Manufacturers Life Insurance Co.</w:t>
      </w:r>
      <w:r w:rsidR="00982984" w:rsidRPr="002E5797">
        <w:t xml:space="preserve"> </w:t>
      </w:r>
      <w:r w:rsidR="00982984" w:rsidRPr="00396357">
        <w:rPr>
          <w:lang w:val="fr-CA"/>
        </w:rPr>
        <w:t>(1998), 40 O.R. (3d) 379.</w:t>
      </w:r>
    </w:p>
    <w:p w:rsidR="00CB26E1" w:rsidRPr="002E5797" w:rsidRDefault="00CB26E1" w:rsidP="00BD4DEB">
      <w:pPr>
        <w:pStyle w:val="SCCNormalDoubleSpacing"/>
        <w:keepNext/>
        <w:spacing w:after="720" w:line="240" w:lineRule="auto"/>
        <w:rPr>
          <w:lang w:val="fr-CA"/>
        </w:rPr>
      </w:pPr>
      <w:r w:rsidRPr="002E5797">
        <w:rPr>
          <w:lang w:val="fr-CA"/>
        </w:rPr>
        <w:lastRenderedPageBreak/>
        <w:t>Citée par la juge Karakatsanis (dissidente</w:t>
      </w:r>
      <w:r w:rsidR="003104B2">
        <w:rPr>
          <w:lang w:val="fr-CA"/>
        </w:rPr>
        <w:t xml:space="preserve"> quant au pourvoi</w:t>
      </w:r>
      <w:r w:rsidRPr="002E5797">
        <w:rPr>
          <w:lang w:val="fr-CA"/>
        </w:rPr>
        <w:t>)</w:t>
      </w:r>
    </w:p>
    <w:p w:rsidR="00CB26E1" w:rsidRPr="002E5797" w:rsidRDefault="00CB26E1" w:rsidP="00BD4DEB">
      <w:pPr>
        <w:pStyle w:val="SCCNormalDoubleSpacing"/>
        <w:spacing w:after="480"/>
        <w:rPr>
          <w:lang w:val="en-US"/>
        </w:rPr>
      </w:pPr>
      <w:r w:rsidRPr="002E5797">
        <w:rPr>
          <w:lang w:val="fr-CA"/>
        </w:rPr>
        <w:tab/>
      </w:r>
      <w:r w:rsidRPr="002E5797">
        <w:rPr>
          <w:i/>
        </w:rPr>
        <w:t>Western Canadian Shopping Centres Inc. c. Dutton</w:t>
      </w:r>
      <w:r w:rsidRPr="002E5797">
        <w:t xml:space="preserve">, 2001 CSC 46, [2001] 2 R.C.S. 534; </w:t>
      </w:r>
      <w:r w:rsidRPr="002E5797">
        <w:rPr>
          <w:i/>
        </w:rPr>
        <w:t>Lau c. Bayview Landmark Inc.</w:t>
      </w:r>
      <w:r w:rsidRPr="002E5797">
        <w:t xml:space="preserve"> (1999), 40 C.P.C. (4th) 301; </w:t>
      </w:r>
      <w:r w:rsidRPr="002E5797">
        <w:rPr>
          <w:i/>
        </w:rPr>
        <w:t>Hollick c. Toronto (Ville)</w:t>
      </w:r>
      <w:r w:rsidRPr="002E5797">
        <w:t xml:space="preserve">, 2001 CSC 68, [2001] 3 R.C.S. 158; </w:t>
      </w:r>
      <w:r w:rsidRPr="002E5797">
        <w:rPr>
          <w:i/>
        </w:rPr>
        <w:t>Pro</w:t>
      </w:r>
      <w:r w:rsidR="00BD4DEB" w:rsidRPr="002E5797">
        <w:rPr>
          <w:i/>
        </w:rPr>
        <w:noBreakHyphen/>
      </w:r>
      <w:r w:rsidRPr="002E5797">
        <w:rPr>
          <w:i/>
        </w:rPr>
        <w:t>Sys Consultants Ltd. c. Microsoft Corporation</w:t>
      </w:r>
      <w:r w:rsidRPr="002E5797">
        <w:t xml:space="preserve">, 2013 CSC </w:t>
      </w:r>
      <w:r w:rsidR="0058146B" w:rsidRPr="002E5797">
        <w:t>57</w:t>
      </w:r>
      <w:r w:rsidR="00345115" w:rsidRPr="00345115">
        <w:rPr>
          <w:lang w:val="en-US"/>
        </w:rPr>
        <w:t xml:space="preserve">, [2013] 3 R.C.S. </w:t>
      </w:r>
      <w:r w:rsidR="00B0578A">
        <w:rPr>
          <w:lang w:val="en-US"/>
        </w:rPr>
        <w:t>477</w:t>
      </w:r>
      <w:r w:rsidRPr="002E5797">
        <w:t xml:space="preserve">; </w:t>
      </w:r>
      <w:r w:rsidR="00572A19" w:rsidRPr="002E5797">
        <w:rPr>
          <w:i/>
        </w:rPr>
        <w:t>Steele c. Toyota Canada Inc.</w:t>
      </w:r>
      <w:r w:rsidR="00572A19" w:rsidRPr="002E5797">
        <w:t xml:space="preserve">, 2011 BCCA 98, 14 B.C.L.R. (5th) 271; </w:t>
      </w:r>
      <w:r w:rsidRPr="002E5797">
        <w:rPr>
          <w:i/>
        </w:rPr>
        <w:t>Risorto c. State Farm Mutual Automobile Insurance Co.</w:t>
      </w:r>
      <w:r w:rsidRPr="002E5797">
        <w:t xml:space="preserve"> (2007), 38 C.P.C. (6th) 373; </w:t>
      </w:r>
      <w:r w:rsidRPr="002E5797">
        <w:rPr>
          <w:i/>
        </w:rPr>
        <w:t>Sauer c. Canada (Agriculture)</w:t>
      </w:r>
      <w:r w:rsidRPr="002E5797">
        <w:t xml:space="preserve">, 2008 CanLII 43774; </w:t>
      </w:r>
      <w:r w:rsidRPr="002E5797">
        <w:rPr>
          <w:i/>
        </w:rPr>
        <w:t>Gilbert c. Canadian Imperial Bank of Commerce</w:t>
      </w:r>
      <w:r w:rsidRPr="002E5797">
        <w:t xml:space="preserve"> (2004), 3 C.P.C. (6th) 35; </w:t>
      </w:r>
      <w:r w:rsidRPr="002E5797">
        <w:rPr>
          <w:i/>
        </w:rPr>
        <w:t>Cassano c. Toronto</w:t>
      </w:r>
      <w:r w:rsidR="00BD4DEB" w:rsidRPr="002E5797">
        <w:rPr>
          <w:i/>
        </w:rPr>
        <w:noBreakHyphen/>
      </w:r>
      <w:r w:rsidRPr="002E5797">
        <w:rPr>
          <w:i/>
        </w:rPr>
        <w:t>Dominion Bank</w:t>
      </w:r>
      <w:r w:rsidRPr="002E5797">
        <w:t xml:space="preserve"> (2009), 98 O.R. (3d) 543; </w:t>
      </w:r>
      <w:r w:rsidRPr="002E5797">
        <w:rPr>
          <w:i/>
        </w:rPr>
        <w:t>Ford c. F. Hoffmann</w:t>
      </w:r>
      <w:r w:rsidR="00BD4DEB" w:rsidRPr="002E5797">
        <w:rPr>
          <w:i/>
        </w:rPr>
        <w:noBreakHyphen/>
      </w:r>
      <w:r w:rsidRPr="002E5797">
        <w:rPr>
          <w:i/>
        </w:rPr>
        <w:t>La Roche Ltd.</w:t>
      </w:r>
      <w:r w:rsidRPr="002E5797">
        <w:t xml:space="preserve"> (2005), 74 O.R. (3d) 758; </w:t>
      </w:r>
      <w:r w:rsidRPr="002E5797">
        <w:rPr>
          <w:i/>
        </w:rPr>
        <w:t>Alfresh Beverages Canada Cor</w:t>
      </w:r>
      <w:r w:rsidR="00BD4DEB" w:rsidRPr="002E5797">
        <w:rPr>
          <w:i/>
        </w:rPr>
        <w:t>p. </w:t>
      </w:r>
      <w:r w:rsidRPr="002E5797">
        <w:rPr>
          <w:i/>
        </w:rPr>
        <w:t>c. Hoechst AG</w:t>
      </w:r>
      <w:r w:rsidRPr="002E5797">
        <w:t xml:space="preserve"> (2002), 16 C.P.C. (5th) 301; </w:t>
      </w:r>
      <w:r w:rsidRPr="002E5797">
        <w:rPr>
          <w:i/>
        </w:rPr>
        <w:t>MacKinnon c. National Money Mart Co.</w:t>
      </w:r>
      <w:r w:rsidRPr="002E5797">
        <w:t>, 2006 BCCA 148, 265 D.L.R. (4th) 214.</w:t>
      </w:r>
    </w:p>
    <w:p w:rsidR="004D7D95" w:rsidRPr="002E5797" w:rsidRDefault="004D7D95" w:rsidP="00BD4DEB">
      <w:pPr>
        <w:pStyle w:val="SCCNormalDoubleSpacing"/>
        <w:keepNext/>
        <w:spacing w:after="720" w:line="240" w:lineRule="auto"/>
        <w:rPr>
          <w:b/>
          <w:lang w:val="fr-CA"/>
        </w:rPr>
      </w:pPr>
      <w:r w:rsidRPr="002E5797">
        <w:rPr>
          <w:b/>
          <w:lang w:val="fr-CA"/>
        </w:rPr>
        <w:t>Lois et règlements cités</w:t>
      </w:r>
    </w:p>
    <w:p w:rsidR="00982984" w:rsidRPr="002E5797" w:rsidRDefault="00982984" w:rsidP="00BD4DEB">
      <w:pPr>
        <w:pStyle w:val="SCCNormalDoubleSpacing"/>
        <w:spacing w:after="240" w:line="240" w:lineRule="auto"/>
        <w:ind w:left="547" w:hanging="547"/>
        <w:rPr>
          <w:lang w:val="fr-CA"/>
        </w:rPr>
      </w:pPr>
      <w:r w:rsidRPr="002E5797">
        <w:rPr>
          <w:i/>
          <w:lang w:val="fr-CA"/>
        </w:rPr>
        <w:t>Class Proceedings Act</w:t>
      </w:r>
      <w:r w:rsidRPr="002E5797">
        <w:rPr>
          <w:lang w:val="fr-CA"/>
        </w:rPr>
        <w:t xml:space="preserve">, R.S.B.C. 1996, </w:t>
      </w:r>
      <w:r w:rsidR="00BD4DEB" w:rsidRPr="002E5797">
        <w:rPr>
          <w:lang w:val="fr-CA"/>
        </w:rPr>
        <w:t>ch. </w:t>
      </w:r>
      <w:r w:rsidRPr="002E5797">
        <w:rPr>
          <w:lang w:val="fr-CA"/>
        </w:rPr>
        <w:t xml:space="preserve">50, </w:t>
      </w:r>
      <w:r w:rsidR="00BD4DEB" w:rsidRPr="002E5797">
        <w:rPr>
          <w:lang w:val="fr-CA"/>
        </w:rPr>
        <w:t>art. </w:t>
      </w:r>
      <w:r w:rsidRPr="002E5797">
        <w:rPr>
          <w:lang w:val="fr-CA"/>
        </w:rPr>
        <w:t xml:space="preserve">4(1), </w:t>
      </w:r>
      <w:r w:rsidR="006C01B6" w:rsidRPr="002E5797">
        <w:rPr>
          <w:lang w:val="fr-CA"/>
        </w:rPr>
        <w:t xml:space="preserve">29, 31(1), </w:t>
      </w:r>
      <w:r w:rsidRPr="002E5797">
        <w:rPr>
          <w:lang w:val="fr-CA"/>
        </w:rPr>
        <w:t>34.</w:t>
      </w:r>
    </w:p>
    <w:p w:rsidR="00982984" w:rsidRPr="002E5797" w:rsidRDefault="009E1C63" w:rsidP="004021E6">
      <w:pPr>
        <w:pStyle w:val="SCCNormalDoubleSpacing"/>
        <w:spacing w:after="720" w:line="240" w:lineRule="auto"/>
        <w:ind w:left="547" w:hanging="547"/>
        <w:rPr>
          <w:lang w:val="fr-CA"/>
        </w:rPr>
      </w:pPr>
      <w:r w:rsidRPr="002E5797">
        <w:rPr>
          <w:i/>
          <w:lang w:val="fr-CA"/>
        </w:rPr>
        <w:t>Loi sur la concurrence</w:t>
      </w:r>
      <w:r w:rsidR="00982984" w:rsidRPr="002E5797">
        <w:rPr>
          <w:lang w:val="fr-CA"/>
        </w:rPr>
        <w:t xml:space="preserve">, </w:t>
      </w:r>
      <w:r w:rsidRPr="002E5797">
        <w:rPr>
          <w:lang w:val="fr-CA"/>
        </w:rPr>
        <w:t>L.</w:t>
      </w:r>
      <w:r w:rsidR="00982984" w:rsidRPr="002E5797">
        <w:rPr>
          <w:lang w:val="fr-CA"/>
        </w:rPr>
        <w:t xml:space="preserve">R.C. 1985, </w:t>
      </w:r>
      <w:r w:rsidR="00BD4DEB" w:rsidRPr="002E5797">
        <w:rPr>
          <w:lang w:val="fr-CA"/>
        </w:rPr>
        <w:t>ch. </w:t>
      </w:r>
      <w:r w:rsidR="00982984" w:rsidRPr="002E5797">
        <w:rPr>
          <w:lang w:val="fr-CA"/>
        </w:rPr>
        <w:t>C</w:t>
      </w:r>
      <w:r w:rsidR="00BD4DEB" w:rsidRPr="002E5797">
        <w:rPr>
          <w:lang w:val="fr-CA"/>
        </w:rPr>
        <w:noBreakHyphen/>
      </w:r>
      <w:r w:rsidR="00982984" w:rsidRPr="002E5797">
        <w:rPr>
          <w:lang w:val="fr-CA"/>
        </w:rPr>
        <w:t xml:space="preserve">34, </w:t>
      </w:r>
      <w:r w:rsidR="00BD4DEB" w:rsidRPr="002E5797">
        <w:rPr>
          <w:lang w:val="fr-CA"/>
        </w:rPr>
        <w:t>art. </w:t>
      </w:r>
      <w:r w:rsidR="00982984" w:rsidRPr="002E5797">
        <w:rPr>
          <w:lang w:val="fr-CA"/>
        </w:rPr>
        <w:t xml:space="preserve">36, </w:t>
      </w:r>
      <w:r w:rsidRPr="002E5797">
        <w:rPr>
          <w:lang w:val="fr-CA"/>
        </w:rPr>
        <w:t>p</w:t>
      </w:r>
      <w:r w:rsidR="00BD4DEB" w:rsidRPr="002E5797">
        <w:rPr>
          <w:lang w:val="fr-CA"/>
        </w:rPr>
        <w:t>art</w:t>
      </w:r>
      <w:r w:rsidRPr="002E5797">
        <w:rPr>
          <w:lang w:val="fr-CA"/>
        </w:rPr>
        <w:t>ie</w:t>
      </w:r>
      <w:r w:rsidR="00BD4DEB" w:rsidRPr="002E5797">
        <w:rPr>
          <w:lang w:val="fr-CA"/>
        </w:rPr>
        <w:t> </w:t>
      </w:r>
      <w:r w:rsidR="00982984" w:rsidRPr="002E5797">
        <w:rPr>
          <w:lang w:val="fr-CA"/>
        </w:rPr>
        <w:t>VI.</w:t>
      </w:r>
    </w:p>
    <w:p w:rsidR="004D7D95" w:rsidRPr="002E5797" w:rsidRDefault="004D7D95" w:rsidP="00BD4DEB">
      <w:pPr>
        <w:pStyle w:val="SCCNormalDoubleSpacing"/>
        <w:keepNext/>
        <w:spacing w:after="720" w:line="240" w:lineRule="auto"/>
        <w:rPr>
          <w:b/>
          <w:lang w:val="fr-CA"/>
        </w:rPr>
      </w:pPr>
      <w:r w:rsidRPr="002E5797">
        <w:rPr>
          <w:b/>
          <w:lang w:val="fr-CA"/>
        </w:rPr>
        <w:t>Doctrine et autres documents cités</w:t>
      </w:r>
    </w:p>
    <w:p w:rsidR="00982984" w:rsidRPr="002E5797" w:rsidRDefault="00982984" w:rsidP="00BD4DEB">
      <w:pPr>
        <w:pStyle w:val="SCCNormalDoubleSpacing"/>
        <w:spacing w:after="240" w:line="240" w:lineRule="auto"/>
        <w:ind w:left="547" w:hanging="547"/>
      </w:pPr>
      <w:r w:rsidRPr="002E5797">
        <w:rPr>
          <w:lang w:val="en-US"/>
        </w:rPr>
        <w:t xml:space="preserve">Blynn, Daniel.  </w:t>
      </w:r>
      <w:r w:rsidRPr="002E5797">
        <w:t>« Cy Pres Distributions</w:t>
      </w:r>
      <w:r w:rsidR="00BD4DEB" w:rsidRPr="002E5797">
        <w:t> :</w:t>
      </w:r>
      <w:r w:rsidRPr="002E5797">
        <w:t xml:space="preserve"> Ethics &amp; Reform » (2012), 25 </w:t>
      </w:r>
      <w:r w:rsidRPr="002E5797">
        <w:rPr>
          <w:i/>
        </w:rPr>
        <w:t>Geo. J. Legal Ethics</w:t>
      </w:r>
      <w:r w:rsidRPr="002E5797">
        <w:t xml:space="preserve"> 435.</w:t>
      </w:r>
    </w:p>
    <w:p w:rsidR="00982984" w:rsidRPr="002E5797" w:rsidRDefault="00982984" w:rsidP="00BD4DEB">
      <w:pPr>
        <w:pStyle w:val="SCCNormalDoubleSpacing"/>
        <w:spacing w:after="240" w:line="240" w:lineRule="auto"/>
        <w:ind w:left="547" w:hanging="547"/>
      </w:pPr>
      <w:r w:rsidRPr="002E5797">
        <w:rPr>
          <w:lang w:val="fr-CA"/>
        </w:rPr>
        <w:t xml:space="preserve">Eizenga, Michael A., et </w:t>
      </w:r>
      <w:r w:rsidR="00BD4DEB" w:rsidRPr="002E5797">
        <w:rPr>
          <w:lang w:val="fr-CA"/>
        </w:rPr>
        <w:t>al. </w:t>
      </w:r>
      <w:r w:rsidRPr="002E5797">
        <w:rPr>
          <w:lang w:val="fr-CA"/>
        </w:rPr>
        <w:t xml:space="preserve"> </w:t>
      </w:r>
      <w:r w:rsidRPr="002E5797">
        <w:rPr>
          <w:i/>
        </w:rPr>
        <w:t>Class Actions Law and Practice</w:t>
      </w:r>
      <w:r w:rsidRPr="002E5797">
        <w:t>, 2nd ed.  Markham, Ont.</w:t>
      </w:r>
      <w:r w:rsidR="00BD4DEB" w:rsidRPr="002E5797">
        <w:t> :</w:t>
      </w:r>
      <w:r w:rsidRPr="002E5797">
        <w:t xml:space="preserve"> LexisNexis, 2009 (loose</w:t>
      </w:r>
      <w:r w:rsidR="00BD4DEB" w:rsidRPr="002E5797">
        <w:noBreakHyphen/>
      </w:r>
      <w:r w:rsidRPr="002E5797">
        <w:t>leaf updated May 2013, release 22).</w:t>
      </w:r>
    </w:p>
    <w:p w:rsidR="00982984" w:rsidRPr="002E5797" w:rsidRDefault="00982984" w:rsidP="004021E6">
      <w:pPr>
        <w:pStyle w:val="SCCNormalDoubleSpacing"/>
        <w:spacing w:after="720" w:line="240" w:lineRule="auto"/>
        <w:ind w:left="547" w:hanging="547"/>
      </w:pPr>
      <w:r w:rsidRPr="002E5797">
        <w:lastRenderedPageBreak/>
        <w:t>Maddaugh, Peter</w:t>
      </w:r>
      <w:r w:rsidR="00BD4DEB" w:rsidRPr="002E5797">
        <w:t> </w:t>
      </w:r>
      <w:r w:rsidRPr="002E5797">
        <w:t>D., and John</w:t>
      </w:r>
      <w:r w:rsidR="00BD4DEB" w:rsidRPr="002E5797">
        <w:t> </w:t>
      </w:r>
      <w:r w:rsidRPr="002E5797">
        <w:t xml:space="preserve">D. McCamus.  </w:t>
      </w:r>
      <w:r w:rsidRPr="002E5797">
        <w:rPr>
          <w:i/>
        </w:rPr>
        <w:t>The Law of Restitution</w:t>
      </w:r>
      <w:r w:rsidR="00347CA0">
        <w:t>, vol. I</w:t>
      </w:r>
      <w:r w:rsidRPr="002E5797">
        <w:t>.  Toronto</w:t>
      </w:r>
      <w:r w:rsidR="00BD4DEB" w:rsidRPr="002E5797">
        <w:t> :</w:t>
      </w:r>
      <w:r w:rsidRPr="002E5797">
        <w:t xml:space="preserve"> Canada Law Book, 2013 (loose</w:t>
      </w:r>
      <w:r w:rsidR="00BD4DEB" w:rsidRPr="002E5797">
        <w:noBreakHyphen/>
      </w:r>
      <w:r w:rsidRPr="002E5797">
        <w:t>leaf updated May 2013, release 10).</w:t>
      </w:r>
    </w:p>
    <w:p w:rsidR="004D7D95" w:rsidRPr="002E5797" w:rsidRDefault="004D7D95" w:rsidP="00BD4DEB">
      <w:pPr>
        <w:pStyle w:val="SCCNormalDoubleSpacing"/>
        <w:spacing w:before="480" w:after="480"/>
        <w:rPr>
          <w:lang w:val="fr-CA"/>
        </w:rPr>
      </w:pPr>
      <w:r w:rsidRPr="002E5797">
        <w:rPr>
          <w:lang w:val="en-US"/>
        </w:rPr>
        <w:tab/>
      </w:r>
      <w:r w:rsidRPr="00EA599A">
        <w:rPr>
          <w:lang w:val="fr-CA"/>
        </w:rPr>
        <w:t xml:space="preserve">POURVOI </w:t>
      </w:r>
      <w:r w:rsidR="007F2828" w:rsidRPr="00EA599A">
        <w:rPr>
          <w:lang w:val="fr-CA"/>
        </w:rPr>
        <w:t xml:space="preserve">et POURVOI INCIDENT </w:t>
      </w:r>
      <w:r w:rsidRPr="00EA599A">
        <w:rPr>
          <w:lang w:val="fr-CA"/>
        </w:rPr>
        <w:t>contre un arrêt de la Cour d</w:t>
      </w:r>
      <w:r w:rsidR="00DE5C83" w:rsidRPr="00EA599A">
        <w:rPr>
          <w:lang w:val="fr-CA"/>
        </w:rPr>
        <w:t>’</w:t>
      </w:r>
      <w:r w:rsidRPr="00EA599A">
        <w:rPr>
          <w:lang w:val="fr-CA"/>
        </w:rPr>
        <w:t xml:space="preserve">appel de la </w:t>
      </w:r>
      <w:r w:rsidR="00DE5C83" w:rsidRPr="00EA599A">
        <w:rPr>
          <w:lang w:val="fr-CA"/>
        </w:rPr>
        <w:t>Colombie</w:t>
      </w:r>
      <w:r w:rsidR="00BD4DEB" w:rsidRPr="00EA599A">
        <w:rPr>
          <w:lang w:val="fr-CA"/>
        </w:rPr>
        <w:noBreakHyphen/>
      </w:r>
      <w:r w:rsidR="00DE5C83" w:rsidRPr="00EA599A">
        <w:rPr>
          <w:lang w:val="fr-CA"/>
        </w:rPr>
        <w:t>Britannique</w:t>
      </w:r>
      <w:r w:rsidR="003A318B" w:rsidRPr="00EA599A">
        <w:rPr>
          <w:lang w:val="fr-CA"/>
        </w:rPr>
        <w:t xml:space="preserve"> (les juges Donald, Lowry et Frankel), 2011 BCCA 187, 305 B.C.A.C. 55, </w:t>
      </w:r>
      <w:r w:rsidR="00347CA0" w:rsidRPr="00EA599A">
        <w:rPr>
          <w:lang w:val="fr-CA"/>
        </w:rPr>
        <w:t xml:space="preserve">515 W.A.C. 55, </w:t>
      </w:r>
      <w:r w:rsidR="003A318B" w:rsidRPr="00EA599A">
        <w:rPr>
          <w:lang w:val="fr-CA"/>
        </w:rPr>
        <w:t xml:space="preserve">331 D.L.R. (4th) 631, [2011] B.C.J. </w:t>
      </w:r>
      <w:r w:rsidR="00BD4DEB" w:rsidRPr="00EA599A">
        <w:rPr>
          <w:lang w:val="fr-CA"/>
        </w:rPr>
        <w:t>No. </w:t>
      </w:r>
      <w:r w:rsidR="003A318B" w:rsidRPr="00EA599A">
        <w:rPr>
          <w:lang w:val="fr-CA"/>
        </w:rPr>
        <w:t>689 (QL), 2011 CarswellBC 931, qui a infirmé une décision du j</w:t>
      </w:r>
      <w:r w:rsidR="00347CA0" w:rsidRPr="00EA599A">
        <w:rPr>
          <w:lang w:val="fr-CA"/>
        </w:rPr>
        <w:t>uge Rice, 2010 BCSC 922</w:t>
      </w:r>
      <w:r w:rsidR="003A318B" w:rsidRPr="00EA599A">
        <w:rPr>
          <w:lang w:val="fr-CA"/>
        </w:rPr>
        <w:t xml:space="preserve">, [2010] B.C.J. </w:t>
      </w:r>
      <w:r w:rsidR="00BD4DEB" w:rsidRPr="00EA599A">
        <w:rPr>
          <w:lang w:val="fr-CA"/>
        </w:rPr>
        <w:t>No. </w:t>
      </w:r>
      <w:r w:rsidR="003A318B" w:rsidRPr="00EA599A">
        <w:rPr>
          <w:lang w:val="fr-CA"/>
        </w:rPr>
        <w:t xml:space="preserve">1308 (QL), 2010 CarswellBC 1749.  </w:t>
      </w:r>
      <w:r w:rsidR="003A318B" w:rsidRPr="002E5797">
        <w:rPr>
          <w:lang w:val="fr-CA"/>
        </w:rPr>
        <w:t xml:space="preserve">Pourvoi </w:t>
      </w:r>
      <w:r w:rsidR="00B97A07" w:rsidRPr="002E5797">
        <w:rPr>
          <w:lang w:val="fr-CA"/>
        </w:rPr>
        <w:t>rejeté</w:t>
      </w:r>
      <w:r w:rsidR="003A318B" w:rsidRPr="002E5797">
        <w:rPr>
          <w:lang w:val="fr-CA"/>
        </w:rPr>
        <w:t>, les juges Cromwell et Karakatsanis sont dissidents</w:t>
      </w:r>
      <w:r w:rsidR="00025A7C" w:rsidRPr="002E5797">
        <w:rPr>
          <w:lang w:val="fr-CA"/>
        </w:rPr>
        <w:t xml:space="preserve">. </w:t>
      </w:r>
      <w:r w:rsidR="00CC4387" w:rsidRPr="002E5797">
        <w:rPr>
          <w:lang w:val="fr-CA"/>
        </w:rPr>
        <w:t xml:space="preserve"> </w:t>
      </w:r>
      <w:r w:rsidR="00025A7C" w:rsidRPr="002E5797">
        <w:rPr>
          <w:lang w:val="fr-CA"/>
        </w:rPr>
        <w:t>P</w:t>
      </w:r>
      <w:r w:rsidR="00CC4387" w:rsidRPr="002E5797">
        <w:rPr>
          <w:lang w:val="fr-CA"/>
        </w:rPr>
        <w:t>ourvoi incident accueilli</w:t>
      </w:r>
      <w:r w:rsidR="00DE5C83" w:rsidRPr="002E5797">
        <w:rPr>
          <w:lang w:val="fr-CA"/>
        </w:rPr>
        <w:t>.</w:t>
      </w:r>
    </w:p>
    <w:p w:rsidR="009400EA" w:rsidRPr="002E5797" w:rsidRDefault="002A77F8" w:rsidP="00BD4DEB">
      <w:pPr>
        <w:pStyle w:val="SCCNormalDoubleSpacing"/>
        <w:spacing w:before="480" w:after="480"/>
        <w:rPr>
          <w:lang w:val="fr-CA"/>
        </w:rPr>
      </w:pPr>
      <w:r w:rsidRPr="004D5F19">
        <w:rPr>
          <w:i/>
          <w:lang w:val="fr-CA"/>
        </w:rPr>
        <w:tab/>
        <w:t>J.</w:t>
      </w:r>
      <w:r w:rsidR="00DE5C83" w:rsidRPr="004D5F19">
        <w:rPr>
          <w:i/>
          <w:lang w:val="fr-CA"/>
        </w:rPr>
        <w:t> </w:t>
      </w:r>
      <w:r w:rsidR="002C1053" w:rsidRPr="004D5F19">
        <w:rPr>
          <w:i/>
          <w:lang w:val="fr-CA"/>
        </w:rPr>
        <w:t>J. </w:t>
      </w:r>
      <w:r w:rsidRPr="004D5F19">
        <w:rPr>
          <w:i/>
          <w:lang w:val="fr-CA"/>
        </w:rPr>
        <w:t>Camp</w:t>
      </w:r>
      <w:r w:rsidRPr="00272FDE">
        <w:rPr>
          <w:lang w:val="fr-CA"/>
        </w:rPr>
        <w:t xml:space="preserve">, </w:t>
      </w:r>
      <w:r w:rsidR="00DE5C83" w:rsidRPr="004D5F19">
        <w:rPr>
          <w:i/>
          <w:lang w:val="fr-CA"/>
        </w:rPr>
        <w:t>c.r.</w:t>
      </w:r>
      <w:r w:rsidR="00DE5C83" w:rsidRPr="00272FDE">
        <w:rPr>
          <w:lang w:val="fr-CA"/>
        </w:rPr>
        <w:t>,</w:t>
      </w:r>
      <w:r w:rsidRPr="00272FDE">
        <w:rPr>
          <w:lang w:val="fr-CA"/>
        </w:rPr>
        <w:t xml:space="preserve"> </w:t>
      </w:r>
      <w:r w:rsidR="00830DFB" w:rsidRPr="004D5F19">
        <w:rPr>
          <w:i/>
          <w:lang w:val="fr-CA"/>
        </w:rPr>
        <w:t>Reidar Mogerman</w:t>
      </w:r>
      <w:r w:rsidR="00830DFB" w:rsidRPr="002E5797">
        <w:rPr>
          <w:lang w:val="fr-CA"/>
        </w:rPr>
        <w:t xml:space="preserve">, </w:t>
      </w:r>
      <w:r w:rsidR="00830DFB" w:rsidRPr="002E5797">
        <w:rPr>
          <w:i/>
          <w:lang w:val="fr-CA"/>
        </w:rPr>
        <w:t>Melina Buckley</w:t>
      </w:r>
      <w:r w:rsidR="00830DFB" w:rsidRPr="002E5797">
        <w:rPr>
          <w:lang w:val="fr-CA"/>
        </w:rPr>
        <w:t xml:space="preserve"> et </w:t>
      </w:r>
      <w:r w:rsidR="00830DFB" w:rsidRPr="002E5797">
        <w:rPr>
          <w:i/>
          <w:lang w:val="fr-CA"/>
        </w:rPr>
        <w:t>Michael Sobkin</w:t>
      </w:r>
      <w:r w:rsidRPr="002E5797">
        <w:rPr>
          <w:lang w:val="fr-CA"/>
        </w:rPr>
        <w:t>, pour l</w:t>
      </w:r>
      <w:r w:rsidR="00DE5C83" w:rsidRPr="002E5797">
        <w:rPr>
          <w:lang w:val="fr-CA"/>
        </w:rPr>
        <w:t xml:space="preserve">es </w:t>
      </w:r>
      <w:r w:rsidRPr="002E5797">
        <w:rPr>
          <w:lang w:val="fr-CA"/>
        </w:rPr>
        <w:t>appelante</w:t>
      </w:r>
      <w:r w:rsidR="00DE5C83" w:rsidRPr="002E5797">
        <w:rPr>
          <w:lang w:val="fr-CA"/>
        </w:rPr>
        <w:t>s</w:t>
      </w:r>
      <w:r w:rsidRPr="002E5797">
        <w:rPr>
          <w:lang w:val="fr-CA"/>
        </w:rPr>
        <w:t>/intimée</w:t>
      </w:r>
      <w:r w:rsidR="00DE5C83" w:rsidRPr="002E5797">
        <w:rPr>
          <w:lang w:val="fr-CA"/>
        </w:rPr>
        <w:t>s</w:t>
      </w:r>
      <w:r w:rsidRPr="002E5797">
        <w:rPr>
          <w:lang w:val="fr-CA"/>
        </w:rPr>
        <w:t xml:space="preserve"> </w:t>
      </w:r>
      <w:r w:rsidR="009C6ABA" w:rsidRPr="002E5797">
        <w:rPr>
          <w:lang w:val="fr-CA"/>
        </w:rPr>
        <w:t>au pourvoi</w:t>
      </w:r>
      <w:r w:rsidRPr="002E5797">
        <w:rPr>
          <w:lang w:val="fr-CA"/>
        </w:rPr>
        <w:t xml:space="preserve"> incident.</w:t>
      </w:r>
    </w:p>
    <w:p w:rsidR="009400EA" w:rsidRPr="002E5797" w:rsidRDefault="002A77F8" w:rsidP="00BD4DEB">
      <w:pPr>
        <w:pStyle w:val="SCCNormalDoubleSpacing"/>
        <w:spacing w:before="480" w:after="480"/>
        <w:rPr>
          <w:lang w:val="fr-CA"/>
        </w:rPr>
      </w:pPr>
      <w:r w:rsidRPr="004D5F19">
        <w:rPr>
          <w:i/>
          <w:lang w:val="fr-CA"/>
        </w:rPr>
        <w:tab/>
      </w:r>
      <w:r w:rsidR="00830DFB" w:rsidRPr="004D5F19">
        <w:rPr>
          <w:i/>
          <w:lang w:val="fr-CA"/>
        </w:rPr>
        <w:t>D. Michael Brown</w:t>
      </w:r>
      <w:r w:rsidR="00830DFB" w:rsidRPr="002E5797">
        <w:rPr>
          <w:lang w:val="fr-CA"/>
        </w:rPr>
        <w:t xml:space="preserve">, </w:t>
      </w:r>
      <w:r w:rsidR="00830DFB" w:rsidRPr="004D5F19">
        <w:rPr>
          <w:i/>
          <w:lang w:val="fr-CA"/>
        </w:rPr>
        <w:t>Gregory J. Nash</w:t>
      </w:r>
      <w:r w:rsidR="00830DFB" w:rsidRPr="002E5797">
        <w:rPr>
          <w:lang w:val="fr-CA"/>
        </w:rPr>
        <w:t xml:space="preserve"> et </w:t>
      </w:r>
      <w:r w:rsidR="00830DFB" w:rsidRPr="004D5F19">
        <w:rPr>
          <w:i/>
          <w:lang w:val="fr-CA"/>
        </w:rPr>
        <w:t>David K. Yule</w:t>
      </w:r>
      <w:r w:rsidRPr="002E5797">
        <w:rPr>
          <w:lang w:val="fr-CA"/>
        </w:rPr>
        <w:t>, pour l</w:t>
      </w:r>
      <w:r w:rsidR="00830DFB" w:rsidRPr="002E5797">
        <w:rPr>
          <w:lang w:val="fr-CA"/>
        </w:rPr>
        <w:t xml:space="preserve">es </w:t>
      </w:r>
      <w:r w:rsidRPr="002E5797">
        <w:rPr>
          <w:lang w:val="fr-CA"/>
        </w:rPr>
        <w:t>intimée</w:t>
      </w:r>
      <w:r w:rsidR="00830DFB" w:rsidRPr="002E5797">
        <w:rPr>
          <w:lang w:val="fr-CA"/>
        </w:rPr>
        <w:t>s</w:t>
      </w:r>
      <w:r w:rsidRPr="002E5797">
        <w:rPr>
          <w:lang w:val="fr-CA"/>
        </w:rPr>
        <w:t>/appelante</w:t>
      </w:r>
      <w:r w:rsidR="00830DFB" w:rsidRPr="002E5797">
        <w:rPr>
          <w:lang w:val="fr-CA"/>
        </w:rPr>
        <w:t>s</w:t>
      </w:r>
      <w:r w:rsidRPr="002E5797">
        <w:rPr>
          <w:lang w:val="fr-CA"/>
        </w:rPr>
        <w:t xml:space="preserve"> </w:t>
      </w:r>
      <w:r w:rsidR="009C6ABA" w:rsidRPr="002E5797">
        <w:rPr>
          <w:lang w:val="fr-CA"/>
        </w:rPr>
        <w:t xml:space="preserve">au pourvoi </w:t>
      </w:r>
      <w:r w:rsidRPr="002E5797">
        <w:rPr>
          <w:lang w:val="fr-CA"/>
        </w:rPr>
        <w:t>incident</w:t>
      </w:r>
      <w:r w:rsidR="00830DFB" w:rsidRPr="002E5797">
        <w:rPr>
          <w:lang w:val="fr-CA"/>
        </w:rPr>
        <w:t xml:space="preserve"> Archer Daniels Midland Co</w:t>
      </w:r>
      <w:r w:rsidR="00BF5764" w:rsidRPr="002E5797">
        <w:rPr>
          <w:lang w:val="fr-CA"/>
        </w:rPr>
        <w:t>mpany</w:t>
      </w:r>
      <w:r w:rsidR="00830DFB" w:rsidRPr="002E5797">
        <w:rPr>
          <w:lang w:val="fr-CA"/>
        </w:rPr>
        <w:t xml:space="preserve"> et ADM Agri</w:t>
      </w:r>
      <w:r w:rsidR="00BD4DEB" w:rsidRPr="002E5797">
        <w:rPr>
          <w:lang w:val="fr-CA"/>
        </w:rPr>
        <w:noBreakHyphen/>
      </w:r>
      <w:r w:rsidR="00830DFB" w:rsidRPr="002E5797">
        <w:rPr>
          <w:lang w:val="fr-CA"/>
        </w:rPr>
        <w:t>Industries Co</w:t>
      </w:r>
      <w:r w:rsidR="00BF5764" w:rsidRPr="002E5797">
        <w:rPr>
          <w:lang w:val="fr-CA"/>
        </w:rPr>
        <w:t>mpany</w:t>
      </w:r>
      <w:r w:rsidRPr="002E5797">
        <w:rPr>
          <w:lang w:val="fr-CA"/>
        </w:rPr>
        <w:t>.</w:t>
      </w:r>
    </w:p>
    <w:p w:rsidR="009400EA" w:rsidRPr="002E5797" w:rsidRDefault="002A77F8" w:rsidP="00BD4DEB">
      <w:pPr>
        <w:pStyle w:val="SCCNormalDoubleSpacing"/>
        <w:spacing w:before="480" w:after="480"/>
        <w:rPr>
          <w:lang w:val="fr-CA"/>
        </w:rPr>
      </w:pPr>
      <w:r w:rsidRPr="004D5F19">
        <w:rPr>
          <w:i/>
          <w:lang w:val="fr-CA"/>
        </w:rPr>
        <w:tab/>
      </w:r>
      <w:r w:rsidR="00F976E2" w:rsidRPr="004D5F19">
        <w:rPr>
          <w:i/>
          <w:lang w:val="fr-CA"/>
        </w:rPr>
        <w:t>J. Kenneth McEwan</w:t>
      </w:r>
      <w:r w:rsidR="00F976E2" w:rsidRPr="00272FDE">
        <w:rPr>
          <w:lang w:val="fr-CA"/>
        </w:rPr>
        <w:t xml:space="preserve">, </w:t>
      </w:r>
      <w:r w:rsidR="00F976E2" w:rsidRPr="004D5F19">
        <w:rPr>
          <w:i/>
          <w:lang w:val="fr-CA"/>
        </w:rPr>
        <w:t>c.r.</w:t>
      </w:r>
      <w:r w:rsidR="00F976E2" w:rsidRPr="002E5797">
        <w:rPr>
          <w:lang w:val="fr-CA"/>
        </w:rPr>
        <w:t xml:space="preserve">, et </w:t>
      </w:r>
      <w:r w:rsidR="00F976E2" w:rsidRPr="004D5F19">
        <w:rPr>
          <w:i/>
          <w:lang w:val="fr-CA"/>
        </w:rPr>
        <w:t>Eileen M. Patel</w:t>
      </w:r>
      <w:r w:rsidRPr="002E5797">
        <w:rPr>
          <w:lang w:val="fr-CA"/>
        </w:rPr>
        <w:t>, pour l</w:t>
      </w:r>
      <w:r w:rsidR="00F976E2" w:rsidRPr="002E5797">
        <w:rPr>
          <w:lang w:val="fr-CA"/>
        </w:rPr>
        <w:t xml:space="preserve">es </w:t>
      </w:r>
      <w:r w:rsidRPr="002E5797">
        <w:rPr>
          <w:lang w:val="fr-CA"/>
        </w:rPr>
        <w:t>intimée</w:t>
      </w:r>
      <w:r w:rsidR="00F976E2" w:rsidRPr="002E5797">
        <w:rPr>
          <w:lang w:val="fr-CA"/>
        </w:rPr>
        <w:t>s</w:t>
      </w:r>
      <w:r w:rsidRPr="002E5797">
        <w:rPr>
          <w:lang w:val="fr-CA"/>
        </w:rPr>
        <w:t>/appelante</w:t>
      </w:r>
      <w:r w:rsidR="00F976E2" w:rsidRPr="002E5797">
        <w:rPr>
          <w:lang w:val="fr-CA"/>
        </w:rPr>
        <w:t>s</w:t>
      </w:r>
      <w:r w:rsidRPr="002E5797">
        <w:rPr>
          <w:lang w:val="fr-CA"/>
        </w:rPr>
        <w:t xml:space="preserve"> </w:t>
      </w:r>
      <w:r w:rsidR="009C6ABA" w:rsidRPr="002E5797">
        <w:rPr>
          <w:lang w:val="fr-CA"/>
        </w:rPr>
        <w:t xml:space="preserve">au pourvoi </w:t>
      </w:r>
      <w:r w:rsidRPr="002E5797">
        <w:rPr>
          <w:lang w:val="fr-CA"/>
        </w:rPr>
        <w:t>incident</w:t>
      </w:r>
      <w:r w:rsidR="00F976E2" w:rsidRPr="002E5797">
        <w:rPr>
          <w:lang w:val="fr-CA"/>
        </w:rPr>
        <w:t xml:space="preserve"> Cargill</w:t>
      </w:r>
      <w:r w:rsidR="00BF5764" w:rsidRPr="002E5797">
        <w:rPr>
          <w:lang w:val="fr-CA"/>
        </w:rPr>
        <w:t>,</w:t>
      </w:r>
      <w:r w:rsidR="00F976E2" w:rsidRPr="002E5797">
        <w:rPr>
          <w:lang w:val="fr-CA"/>
        </w:rPr>
        <w:t xml:space="preserve"> Inc</w:t>
      </w:r>
      <w:r w:rsidR="00BF5764" w:rsidRPr="002E5797">
        <w:rPr>
          <w:lang w:val="fr-CA"/>
        </w:rPr>
        <w:t>orporated</w:t>
      </w:r>
      <w:r w:rsidR="00F976E2" w:rsidRPr="002E5797">
        <w:rPr>
          <w:lang w:val="fr-CA"/>
        </w:rPr>
        <w:t>, Cerestar USA</w:t>
      </w:r>
      <w:r w:rsidR="00BF5764" w:rsidRPr="002E5797">
        <w:rPr>
          <w:lang w:val="fr-CA"/>
        </w:rPr>
        <w:t>,</w:t>
      </w:r>
      <w:r w:rsidR="00F976E2" w:rsidRPr="002E5797">
        <w:rPr>
          <w:lang w:val="fr-CA"/>
        </w:rPr>
        <w:t xml:space="preserve"> Inc., auparavant connue sous le nom d’America</w:t>
      </w:r>
      <w:r w:rsidR="009B77AB" w:rsidRPr="002E5797">
        <w:rPr>
          <w:lang w:val="fr-CA"/>
        </w:rPr>
        <w:t>n</w:t>
      </w:r>
      <w:r w:rsidR="00F976E2" w:rsidRPr="002E5797">
        <w:rPr>
          <w:lang w:val="fr-CA"/>
        </w:rPr>
        <w:t xml:space="preserve"> Maize</w:t>
      </w:r>
      <w:r w:rsidR="00BD4DEB" w:rsidRPr="002E5797">
        <w:rPr>
          <w:lang w:val="fr-CA"/>
        </w:rPr>
        <w:noBreakHyphen/>
      </w:r>
      <w:r w:rsidR="00F976E2" w:rsidRPr="002E5797">
        <w:rPr>
          <w:lang w:val="fr-CA"/>
        </w:rPr>
        <w:t>Products Co</w:t>
      </w:r>
      <w:r w:rsidR="00BF5764" w:rsidRPr="002E5797">
        <w:rPr>
          <w:lang w:val="fr-CA"/>
        </w:rPr>
        <w:t>mpany</w:t>
      </w:r>
      <w:r w:rsidR="00F976E2" w:rsidRPr="002E5797">
        <w:rPr>
          <w:lang w:val="fr-CA"/>
        </w:rPr>
        <w:t xml:space="preserve"> et Cargill L</w:t>
      </w:r>
      <w:r w:rsidR="00BF5764" w:rsidRPr="002E5797">
        <w:rPr>
          <w:lang w:val="fr-CA"/>
        </w:rPr>
        <w:t>imi</w:t>
      </w:r>
      <w:r w:rsidR="00F976E2" w:rsidRPr="002E5797">
        <w:rPr>
          <w:lang w:val="fr-CA"/>
        </w:rPr>
        <w:t>tée</w:t>
      </w:r>
      <w:r w:rsidRPr="002E5797">
        <w:rPr>
          <w:lang w:val="fr-CA"/>
        </w:rPr>
        <w:t>.</w:t>
      </w:r>
    </w:p>
    <w:p w:rsidR="009400EA" w:rsidRPr="002E5797" w:rsidRDefault="002A77F8" w:rsidP="00BD4DEB">
      <w:pPr>
        <w:pStyle w:val="SCCNormalDoubleSpacing"/>
        <w:spacing w:before="480" w:after="480"/>
        <w:rPr>
          <w:lang w:val="fr-CA"/>
        </w:rPr>
      </w:pPr>
      <w:r w:rsidRPr="004D5F19">
        <w:rPr>
          <w:i/>
          <w:lang w:val="fr-CA"/>
        </w:rPr>
        <w:tab/>
      </w:r>
      <w:r w:rsidR="00F976E2" w:rsidRPr="004D5F19">
        <w:rPr>
          <w:i/>
          <w:lang w:val="fr-CA"/>
        </w:rPr>
        <w:t>Stephen R. Schachter</w:t>
      </w:r>
      <w:r w:rsidR="00F976E2" w:rsidRPr="00272FDE">
        <w:rPr>
          <w:lang w:val="fr-CA"/>
        </w:rPr>
        <w:t xml:space="preserve">, </w:t>
      </w:r>
      <w:r w:rsidR="00F976E2" w:rsidRPr="004D5F19">
        <w:rPr>
          <w:i/>
          <w:lang w:val="fr-CA"/>
        </w:rPr>
        <w:t>c.r.</w:t>
      </w:r>
      <w:r w:rsidR="00F976E2" w:rsidRPr="002E5797">
        <w:rPr>
          <w:lang w:val="fr-CA"/>
        </w:rPr>
        <w:t xml:space="preserve">, </w:t>
      </w:r>
      <w:r w:rsidR="00F976E2" w:rsidRPr="004D5F19">
        <w:rPr>
          <w:i/>
          <w:lang w:val="fr-CA"/>
        </w:rPr>
        <w:t>Geoffrey B. Gomery</w:t>
      </w:r>
      <w:r w:rsidR="00F976E2" w:rsidRPr="00272FDE">
        <w:rPr>
          <w:lang w:val="fr-CA"/>
        </w:rPr>
        <w:t xml:space="preserve">, </w:t>
      </w:r>
      <w:r w:rsidR="00F976E2" w:rsidRPr="004D5F19">
        <w:rPr>
          <w:i/>
          <w:lang w:val="fr-CA"/>
        </w:rPr>
        <w:t>c.r.</w:t>
      </w:r>
      <w:r w:rsidR="00F976E2" w:rsidRPr="002E5797">
        <w:rPr>
          <w:lang w:val="fr-CA"/>
        </w:rPr>
        <w:t xml:space="preserve">, et </w:t>
      </w:r>
      <w:r w:rsidR="00F976E2" w:rsidRPr="002E5797">
        <w:rPr>
          <w:i/>
          <w:lang w:val="fr-CA"/>
        </w:rPr>
        <w:t>Peter R. Senkpiel</w:t>
      </w:r>
      <w:r w:rsidRPr="002E5797">
        <w:rPr>
          <w:lang w:val="fr-CA"/>
        </w:rPr>
        <w:t>, pour l</w:t>
      </w:r>
      <w:r w:rsidR="00F976E2" w:rsidRPr="002E5797">
        <w:rPr>
          <w:lang w:val="fr-CA"/>
        </w:rPr>
        <w:t>es intimé</w:t>
      </w:r>
      <w:r w:rsidRPr="002E5797">
        <w:rPr>
          <w:lang w:val="fr-CA"/>
        </w:rPr>
        <w:t>e</w:t>
      </w:r>
      <w:r w:rsidR="00F976E2" w:rsidRPr="002E5797">
        <w:rPr>
          <w:lang w:val="fr-CA"/>
        </w:rPr>
        <w:t>s</w:t>
      </w:r>
      <w:r w:rsidRPr="002E5797">
        <w:rPr>
          <w:lang w:val="fr-CA"/>
        </w:rPr>
        <w:t>/appelante</w:t>
      </w:r>
      <w:r w:rsidR="00F976E2" w:rsidRPr="002E5797">
        <w:rPr>
          <w:lang w:val="fr-CA"/>
        </w:rPr>
        <w:t>s</w:t>
      </w:r>
      <w:r w:rsidRPr="002E5797">
        <w:rPr>
          <w:lang w:val="fr-CA"/>
        </w:rPr>
        <w:t xml:space="preserve"> </w:t>
      </w:r>
      <w:r w:rsidR="009C6ABA" w:rsidRPr="002E5797">
        <w:rPr>
          <w:lang w:val="fr-CA"/>
        </w:rPr>
        <w:t xml:space="preserve">au pourvoi </w:t>
      </w:r>
      <w:r w:rsidRPr="002E5797">
        <w:rPr>
          <w:lang w:val="fr-CA"/>
        </w:rPr>
        <w:t>incident</w:t>
      </w:r>
      <w:r w:rsidR="00F976E2" w:rsidRPr="002E5797">
        <w:rPr>
          <w:lang w:val="fr-CA"/>
        </w:rPr>
        <w:t xml:space="preserve"> Corn Products International</w:t>
      </w:r>
      <w:r w:rsidR="00BF5764" w:rsidRPr="002E5797">
        <w:rPr>
          <w:lang w:val="fr-CA"/>
        </w:rPr>
        <w:t>,</w:t>
      </w:r>
      <w:r w:rsidR="00F976E2" w:rsidRPr="002E5797">
        <w:rPr>
          <w:lang w:val="fr-CA"/>
        </w:rPr>
        <w:t xml:space="preserve"> Inc., Bestfoods</w:t>
      </w:r>
      <w:r w:rsidR="00BF5764" w:rsidRPr="002E5797">
        <w:rPr>
          <w:lang w:val="fr-CA"/>
        </w:rPr>
        <w:t>,</w:t>
      </w:r>
      <w:r w:rsidR="00F976E2" w:rsidRPr="002E5797">
        <w:rPr>
          <w:lang w:val="fr-CA"/>
        </w:rPr>
        <w:t xml:space="preserve"> Inc., auparavant connue sous le nom de CPC International</w:t>
      </w:r>
      <w:r w:rsidR="00BF5764" w:rsidRPr="002E5797">
        <w:rPr>
          <w:lang w:val="fr-CA"/>
        </w:rPr>
        <w:t>,</w:t>
      </w:r>
      <w:r w:rsidR="00F976E2" w:rsidRPr="002E5797">
        <w:rPr>
          <w:lang w:val="fr-CA"/>
        </w:rPr>
        <w:t xml:space="preserve"> Inc., Casco </w:t>
      </w:r>
      <w:r w:rsidR="00F976E2" w:rsidRPr="002E5797">
        <w:rPr>
          <w:lang w:val="fr-CA"/>
        </w:rPr>
        <w:lastRenderedPageBreak/>
        <w:t>Inc. et Unilever PLC faisant affaire sous la dénomination d’Unilever Bestfoods North America</w:t>
      </w:r>
      <w:r w:rsidRPr="002E5797">
        <w:rPr>
          <w:lang w:val="fr-CA"/>
        </w:rPr>
        <w:t>.</w:t>
      </w:r>
    </w:p>
    <w:p w:rsidR="009400EA" w:rsidRPr="002E5797" w:rsidRDefault="00DE5C83" w:rsidP="00BD4DEB">
      <w:pPr>
        <w:pStyle w:val="SCCNormalDoubleSpacing"/>
        <w:spacing w:before="480" w:after="480"/>
        <w:rPr>
          <w:lang w:val="fr-CA"/>
        </w:rPr>
      </w:pPr>
      <w:r w:rsidRPr="004D5F19">
        <w:rPr>
          <w:i/>
          <w:lang w:val="fr-CA"/>
        </w:rPr>
        <w:tab/>
        <w:t>John </w:t>
      </w:r>
      <w:r w:rsidR="002A77F8" w:rsidRPr="004D5F19">
        <w:rPr>
          <w:i/>
          <w:lang w:val="fr-CA"/>
        </w:rPr>
        <w:t>S. Tyhurst</w:t>
      </w:r>
      <w:r w:rsidR="002A77F8" w:rsidRPr="002E5797">
        <w:rPr>
          <w:lang w:val="fr-CA"/>
        </w:rPr>
        <w:t>, pour l</w:t>
      </w:r>
      <w:r w:rsidRPr="002E5797">
        <w:rPr>
          <w:lang w:val="fr-CA"/>
        </w:rPr>
        <w:t>’</w:t>
      </w:r>
      <w:r w:rsidR="002A77F8" w:rsidRPr="002E5797">
        <w:rPr>
          <w:lang w:val="fr-CA"/>
        </w:rPr>
        <w:t xml:space="preserve">intervenant </w:t>
      </w:r>
      <w:r w:rsidRPr="002E5797">
        <w:rPr>
          <w:lang w:val="fr-CA"/>
        </w:rPr>
        <w:t>le p</w:t>
      </w:r>
      <w:r w:rsidR="002A77F8" w:rsidRPr="002E5797">
        <w:rPr>
          <w:lang w:val="fr-CA"/>
        </w:rPr>
        <w:t>rocureur général du Canada.</w:t>
      </w:r>
    </w:p>
    <w:p w:rsidR="009400EA" w:rsidRPr="002E5797" w:rsidRDefault="002A77F8" w:rsidP="00BD4DEB">
      <w:pPr>
        <w:pStyle w:val="SCCNormalDoubleSpacing"/>
        <w:spacing w:before="480" w:after="480"/>
        <w:rPr>
          <w:lang w:val="fr-CA"/>
        </w:rPr>
      </w:pPr>
      <w:r w:rsidRPr="004D5F19">
        <w:rPr>
          <w:i/>
          <w:lang w:val="fr-CA"/>
        </w:rPr>
        <w:tab/>
      </w:r>
      <w:r w:rsidR="00F976E2" w:rsidRPr="004D5F19">
        <w:rPr>
          <w:i/>
          <w:lang w:val="fr-CA"/>
        </w:rPr>
        <w:t>Davit D. Akman</w:t>
      </w:r>
      <w:r w:rsidR="00F976E2" w:rsidRPr="002E5797">
        <w:rPr>
          <w:lang w:val="fr-CA"/>
        </w:rPr>
        <w:t xml:space="preserve"> et </w:t>
      </w:r>
      <w:r w:rsidR="00F976E2" w:rsidRPr="004D5F19">
        <w:rPr>
          <w:i/>
          <w:lang w:val="fr-CA"/>
        </w:rPr>
        <w:t>Adam Fanaki</w:t>
      </w:r>
      <w:r w:rsidRPr="002E5797">
        <w:rPr>
          <w:lang w:val="fr-CA"/>
        </w:rPr>
        <w:t>, pour l</w:t>
      </w:r>
      <w:r w:rsidR="00DE5C83" w:rsidRPr="002E5797">
        <w:rPr>
          <w:lang w:val="fr-CA"/>
        </w:rPr>
        <w:t>’</w:t>
      </w:r>
      <w:r w:rsidRPr="002E5797">
        <w:rPr>
          <w:lang w:val="fr-CA"/>
        </w:rPr>
        <w:t xml:space="preserve">intervenante </w:t>
      </w:r>
      <w:r w:rsidR="00DE5C83" w:rsidRPr="002E5797">
        <w:rPr>
          <w:lang w:val="fr-CA"/>
        </w:rPr>
        <w:t xml:space="preserve">la </w:t>
      </w:r>
      <w:r w:rsidRPr="002E5797">
        <w:rPr>
          <w:lang w:val="fr-CA"/>
        </w:rPr>
        <w:t>Chambre de commerce du Canada.</w:t>
      </w:r>
    </w:p>
    <w:p w:rsidR="00F62D69" w:rsidRDefault="00F62D69" w:rsidP="00BD4DEB">
      <w:pPr>
        <w:pStyle w:val="SCCNormalDoubleSpacing"/>
        <w:spacing w:before="480" w:after="480"/>
        <w:rPr>
          <w:lang w:val="fr-CA"/>
        </w:rPr>
      </w:pPr>
    </w:p>
    <w:tbl>
      <w:tblPr>
        <w:tblStyle w:val="TableGrid1"/>
        <w:tblW w:w="8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7740"/>
        <w:gridCol w:w="720"/>
      </w:tblGrid>
      <w:tr w:rsidR="00741557" w:rsidRPr="00B91514" w:rsidTr="00396357">
        <w:tc>
          <w:tcPr>
            <w:tcW w:w="8460" w:type="dxa"/>
            <w:gridSpan w:val="2"/>
          </w:tcPr>
          <w:p w:rsidR="00741557" w:rsidRPr="00B91514" w:rsidRDefault="00741557" w:rsidP="00396357">
            <w:pPr>
              <w:jc w:val="center"/>
              <w:rPr>
                <w:b/>
                <w:lang w:val="fr-CA"/>
              </w:rPr>
            </w:pPr>
            <w:r w:rsidRPr="00B91514">
              <w:rPr>
                <w:b/>
                <w:lang w:val="fr-CA"/>
              </w:rPr>
              <w:t>TABLE DES MATIÈRES</w:t>
            </w:r>
          </w:p>
        </w:tc>
      </w:tr>
      <w:tr w:rsidR="00741557" w:rsidRPr="00B91514" w:rsidTr="00396357">
        <w:tc>
          <w:tcPr>
            <w:tcW w:w="8460" w:type="dxa"/>
            <w:gridSpan w:val="2"/>
          </w:tcPr>
          <w:p w:rsidR="00741557" w:rsidRPr="00B91514" w:rsidRDefault="00741557" w:rsidP="00396357">
            <w:pPr>
              <w:tabs>
                <w:tab w:val="right" w:pos="8460"/>
              </w:tabs>
              <w:rPr>
                <w:lang w:val="fr-CA"/>
              </w:rPr>
            </w:pPr>
            <w:r w:rsidRPr="00B91514">
              <w:rPr>
                <w:lang w:val="fr-CA"/>
              </w:rPr>
              <w:tab/>
              <w:t>Paragraphe</w:t>
            </w:r>
          </w:p>
        </w:tc>
      </w:tr>
      <w:tr w:rsidR="00741557" w:rsidRPr="00666F61" w:rsidTr="00396357">
        <w:tc>
          <w:tcPr>
            <w:tcW w:w="7740" w:type="dxa"/>
          </w:tcPr>
          <w:p w:rsidR="00741557" w:rsidRPr="00B616AE" w:rsidRDefault="00741557" w:rsidP="00396357">
            <w:pPr>
              <w:tabs>
                <w:tab w:val="left" w:pos="720"/>
                <w:tab w:val="right" w:leader="dot" w:pos="8266"/>
              </w:tabs>
              <w:spacing w:before="120" w:after="120"/>
              <w:ind w:left="720" w:hanging="720"/>
              <w:rPr>
                <w:b/>
                <w:lang w:val="fr-CA"/>
              </w:rPr>
            </w:pPr>
            <w:r w:rsidRPr="00B616AE">
              <w:rPr>
                <w:b/>
                <w:lang w:val="fr-CA"/>
              </w:rPr>
              <w:t>Motifs du juge Rothstein</w:t>
            </w:r>
          </w:p>
          <w:p w:rsidR="00741557" w:rsidRPr="003E5C4E" w:rsidRDefault="00741557" w:rsidP="00396357">
            <w:pPr>
              <w:pStyle w:val="TOC1"/>
              <w:rPr>
                <w:rFonts w:eastAsiaTheme="minorEastAsia"/>
                <w:lang w:val="fr-CA"/>
              </w:rPr>
            </w:pPr>
            <w:r w:rsidRPr="003E5C4E">
              <w:rPr>
                <w:lang w:val="fr-CA"/>
              </w:rPr>
              <w:t>I.</w:t>
            </w:r>
            <w:r w:rsidRPr="003E5C4E">
              <w:rPr>
                <w:rFonts w:eastAsiaTheme="minorEastAsia"/>
                <w:lang w:val="fr-CA"/>
              </w:rPr>
              <w:tab/>
            </w:r>
            <w:r w:rsidRPr="003E5C4E">
              <w:rPr>
                <w:lang w:val="fr-CA"/>
              </w:rPr>
              <w:t>Introduction</w:t>
            </w:r>
            <w:r w:rsidRPr="003E5C4E">
              <w:rPr>
                <w:webHidden/>
                <w:lang w:val="fr-CA"/>
              </w:rPr>
              <w:tab/>
            </w:r>
          </w:p>
          <w:p w:rsidR="00741557" w:rsidRPr="003E5C4E" w:rsidRDefault="00741557" w:rsidP="00396357">
            <w:pPr>
              <w:pStyle w:val="TOC1"/>
              <w:rPr>
                <w:rFonts w:eastAsiaTheme="minorEastAsia"/>
                <w:lang w:val="fr-CA"/>
              </w:rPr>
            </w:pPr>
            <w:r w:rsidRPr="003E5C4E">
              <w:rPr>
                <w:lang w:val="fr-CA"/>
              </w:rPr>
              <w:t>II.</w:t>
            </w:r>
            <w:r w:rsidRPr="003E5C4E">
              <w:rPr>
                <w:rFonts w:eastAsiaTheme="minorEastAsia"/>
                <w:lang w:val="fr-CA"/>
              </w:rPr>
              <w:tab/>
            </w:r>
            <w:r w:rsidRPr="003E5C4E">
              <w:rPr>
                <w:lang w:val="fr-CA"/>
              </w:rPr>
              <w:t>Contexte</w:t>
            </w:r>
            <w:r w:rsidRPr="003E5C4E">
              <w:rPr>
                <w:webHidden/>
                <w:lang w:val="fr-CA"/>
              </w:rPr>
              <w:tab/>
            </w:r>
          </w:p>
          <w:p w:rsidR="00741557" w:rsidRPr="003E5C4E" w:rsidRDefault="00741557" w:rsidP="00396357">
            <w:pPr>
              <w:pStyle w:val="TOC1"/>
              <w:rPr>
                <w:rFonts w:eastAsiaTheme="minorEastAsia"/>
                <w:lang w:val="fr-CA"/>
              </w:rPr>
            </w:pPr>
            <w:r w:rsidRPr="003E5C4E">
              <w:rPr>
                <w:lang w:val="fr-FR"/>
              </w:rPr>
              <w:t>III.</w:t>
            </w:r>
            <w:r w:rsidRPr="003E5C4E">
              <w:rPr>
                <w:rFonts w:eastAsiaTheme="minorEastAsia"/>
                <w:lang w:val="fr-CA"/>
              </w:rPr>
              <w:tab/>
            </w:r>
            <w:r w:rsidRPr="003E5C4E">
              <w:rPr>
                <w:lang w:val="fr-CA"/>
              </w:rPr>
              <w:t>Résumé des instances devant les juridictions inférieures</w:t>
            </w:r>
            <w:r w:rsidRPr="003E5C4E">
              <w:rPr>
                <w:webHidden/>
                <w:lang w:val="fr-CA"/>
              </w:rPr>
              <w:tab/>
            </w:r>
          </w:p>
          <w:p w:rsidR="00741557" w:rsidRPr="003E5C4E" w:rsidRDefault="00741557" w:rsidP="00396357">
            <w:pPr>
              <w:pStyle w:val="TOC1"/>
              <w:rPr>
                <w:rFonts w:eastAsiaTheme="minorEastAsia"/>
                <w:lang w:val="fr-CA"/>
              </w:rPr>
            </w:pPr>
            <w:r w:rsidRPr="003E5C4E">
              <w:rPr>
                <w:lang w:val="fr-CA"/>
              </w:rPr>
              <w:t>A.</w:t>
            </w:r>
            <w:r w:rsidRPr="003E5C4E">
              <w:rPr>
                <w:rFonts w:eastAsiaTheme="minorEastAsia"/>
                <w:lang w:val="fr-CA"/>
              </w:rPr>
              <w:tab/>
            </w:r>
            <w:r w:rsidRPr="003E5C4E">
              <w:rPr>
                <w:lang w:val="fr-CA"/>
              </w:rPr>
              <w:t>Genèse de l’instance</w:t>
            </w:r>
            <w:r w:rsidRPr="003E5C4E">
              <w:rPr>
                <w:webHidden/>
                <w:lang w:val="fr-CA"/>
              </w:rPr>
              <w:tab/>
            </w:r>
          </w:p>
          <w:p w:rsidR="00741557" w:rsidRPr="003E5C4E" w:rsidRDefault="00741557" w:rsidP="00396357">
            <w:pPr>
              <w:pStyle w:val="TOC1"/>
              <w:rPr>
                <w:rFonts w:eastAsiaTheme="minorEastAsia"/>
                <w:lang w:val="fr-CA"/>
              </w:rPr>
            </w:pPr>
            <w:r w:rsidRPr="003E5C4E">
              <w:rPr>
                <w:lang w:val="fr-CA"/>
              </w:rPr>
              <w:t>B.</w:t>
            </w:r>
            <w:r w:rsidRPr="003E5C4E">
              <w:rPr>
                <w:rFonts w:eastAsiaTheme="minorEastAsia"/>
                <w:lang w:val="fr-CA"/>
              </w:rPr>
              <w:tab/>
            </w:r>
            <w:r w:rsidRPr="003E5C4E">
              <w:rPr>
                <w:lang w:val="fr-CA"/>
              </w:rPr>
              <w:t xml:space="preserve">Requête en radiation présentée avant la certification du </w:t>
            </w:r>
            <w:r w:rsidRPr="003E5C4E">
              <w:rPr>
                <w:lang w:val="fr-CA"/>
              </w:rPr>
              <w:br/>
              <w:t>recours collectif</w:t>
            </w:r>
            <w:r w:rsidRPr="003E5C4E">
              <w:rPr>
                <w:webHidden/>
                <w:lang w:val="fr-CA"/>
              </w:rPr>
              <w:tab/>
            </w:r>
          </w:p>
          <w:p w:rsidR="00741557" w:rsidRPr="003E5C4E" w:rsidRDefault="00741557" w:rsidP="00396357">
            <w:pPr>
              <w:pStyle w:val="TOC1"/>
              <w:rPr>
                <w:rFonts w:eastAsiaTheme="minorEastAsia"/>
                <w:lang w:val="fr-CA"/>
              </w:rPr>
            </w:pPr>
            <w:r w:rsidRPr="003E5C4E">
              <w:rPr>
                <w:lang w:val="fr-CA"/>
              </w:rPr>
              <w:t>C.</w:t>
            </w:r>
            <w:r w:rsidRPr="003E5C4E">
              <w:rPr>
                <w:rFonts w:eastAsiaTheme="minorEastAsia"/>
                <w:lang w:val="fr-CA"/>
              </w:rPr>
              <w:tab/>
            </w:r>
            <w:r w:rsidRPr="003E5C4E">
              <w:rPr>
                <w:lang w:val="fr-CA"/>
              </w:rPr>
              <w:t>Procédure de certification devant la Cour suprême de la Colombie</w:t>
            </w:r>
            <w:r w:rsidRPr="003E5C4E">
              <w:rPr>
                <w:lang w:val="fr-CA"/>
              </w:rPr>
              <w:noBreakHyphen/>
              <w:t>Britannique</w:t>
            </w:r>
            <w:r w:rsidRPr="003E5C4E">
              <w:rPr>
                <w:webHidden/>
                <w:lang w:val="fr-CA"/>
              </w:rPr>
              <w:tab/>
            </w:r>
          </w:p>
          <w:p w:rsidR="00741557" w:rsidRPr="003E5C4E" w:rsidRDefault="00741557" w:rsidP="00396357">
            <w:pPr>
              <w:pStyle w:val="TOC1"/>
              <w:rPr>
                <w:rFonts w:eastAsiaTheme="minorEastAsia"/>
                <w:lang w:val="fr-CA"/>
              </w:rPr>
            </w:pPr>
            <w:r w:rsidRPr="003E5C4E">
              <w:rPr>
                <w:lang w:val="fr-CA"/>
              </w:rPr>
              <w:t>D.</w:t>
            </w:r>
            <w:r w:rsidRPr="003E5C4E">
              <w:rPr>
                <w:rFonts w:eastAsiaTheme="minorEastAsia"/>
                <w:lang w:val="fr-CA"/>
              </w:rPr>
              <w:tab/>
            </w:r>
            <w:r w:rsidRPr="003E5C4E">
              <w:rPr>
                <w:lang w:val="fr-CA"/>
              </w:rPr>
              <w:t>Appel de la certification à la Cour d’appel de la Colombie</w:t>
            </w:r>
            <w:r w:rsidRPr="003E5C4E">
              <w:rPr>
                <w:lang w:val="fr-CA"/>
              </w:rPr>
              <w:noBreakHyphen/>
              <w:t>Britannique</w:t>
            </w:r>
            <w:r w:rsidRPr="003E5C4E">
              <w:rPr>
                <w:webHidden/>
                <w:lang w:val="fr-CA"/>
              </w:rPr>
              <w:tab/>
            </w:r>
          </w:p>
          <w:p w:rsidR="00741557" w:rsidRPr="003E5C4E" w:rsidRDefault="00741557" w:rsidP="00396357">
            <w:pPr>
              <w:pStyle w:val="TOC1"/>
              <w:rPr>
                <w:rFonts w:eastAsiaTheme="minorEastAsia"/>
                <w:lang w:val="fr-CA"/>
              </w:rPr>
            </w:pPr>
            <w:r w:rsidRPr="003E5C4E">
              <w:rPr>
                <w:lang w:val="fr-CA"/>
              </w:rPr>
              <w:t>IV.</w:t>
            </w:r>
            <w:r w:rsidRPr="003E5C4E">
              <w:rPr>
                <w:rFonts w:eastAsiaTheme="minorEastAsia"/>
                <w:lang w:val="fr-CA"/>
              </w:rPr>
              <w:tab/>
            </w:r>
            <w:r w:rsidRPr="003E5C4E">
              <w:rPr>
                <w:lang w:val="fr-CA"/>
              </w:rPr>
              <w:t>Analyse</w:t>
            </w:r>
            <w:r w:rsidRPr="003E5C4E">
              <w:rPr>
                <w:webHidden/>
                <w:lang w:val="fr-CA"/>
              </w:rPr>
              <w:tab/>
            </w:r>
          </w:p>
          <w:p w:rsidR="00741557" w:rsidRPr="003E5C4E" w:rsidRDefault="00741557" w:rsidP="00396357">
            <w:pPr>
              <w:pStyle w:val="TOC1"/>
              <w:rPr>
                <w:rFonts w:eastAsiaTheme="minorEastAsia"/>
                <w:lang w:val="fr-CA"/>
              </w:rPr>
            </w:pPr>
            <w:r w:rsidRPr="003E5C4E">
              <w:rPr>
                <w:lang w:val="fr-CA"/>
              </w:rPr>
              <w:t>A.</w:t>
            </w:r>
            <w:r w:rsidRPr="003E5C4E">
              <w:rPr>
                <w:rFonts w:eastAsiaTheme="minorEastAsia"/>
                <w:lang w:val="fr-CA"/>
              </w:rPr>
              <w:tab/>
            </w:r>
            <w:r w:rsidRPr="003E5C4E">
              <w:rPr>
                <w:lang w:val="fr-CA"/>
              </w:rPr>
              <w:t>Recours collectif intenté par les acheteurs indirects (la question du « transfert de la perte »)</w:t>
            </w:r>
            <w:r w:rsidRPr="003E5C4E">
              <w:rPr>
                <w:webHidden/>
                <w:lang w:val="fr-CA"/>
              </w:rPr>
              <w:tab/>
            </w:r>
          </w:p>
          <w:p w:rsidR="00741557" w:rsidRPr="003E5C4E" w:rsidRDefault="00741557" w:rsidP="00396357">
            <w:pPr>
              <w:pStyle w:val="TOC3"/>
              <w:rPr>
                <w:rFonts w:cs="Times New Roman"/>
                <w:szCs w:val="24"/>
                <w:lang w:val="fr-CA"/>
              </w:rPr>
            </w:pPr>
            <w:r w:rsidRPr="003E5C4E">
              <w:rPr>
                <w:rFonts w:cs="Times New Roman"/>
                <w:szCs w:val="24"/>
                <w:lang w:val="fr-CA"/>
              </w:rPr>
              <w:t>(1)</w:t>
            </w:r>
            <w:r w:rsidRPr="003E5C4E">
              <w:rPr>
                <w:rFonts w:cs="Times New Roman"/>
                <w:szCs w:val="24"/>
                <w:lang w:val="fr-CA"/>
              </w:rPr>
              <w:tab/>
              <w:t>Recouvrement double ou multiple par les acheteurs indirects et les acheteurs directs</w:t>
            </w:r>
            <w:r w:rsidRPr="003E5C4E">
              <w:rPr>
                <w:rFonts w:cs="Times New Roman"/>
                <w:webHidden/>
                <w:szCs w:val="24"/>
              </w:rPr>
              <w:tab/>
            </w:r>
          </w:p>
          <w:p w:rsidR="00741557" w:rsidRPr="003E5C4E" w:rsidRDefault="00741557" w:rsidP="00396357">
            <w:pPr>
              <w:pStyle w:val="TOC3"/>
              <w:rPr>
                <w:rFonts w:cs="Times New Roman"/>
                <w:szCs w:val="24"/>
                <w:lang w:val="fr-CA"/>
              </w:rPr>
            </w:pPr>
            <w:r w:rsidRPr="003E5C4E">
              <w:rPr>
                <w:rFonts w:cs="Times New Roman"/>
                <w:szCs w:val="24"/>
                <w:lang w:val="fr-CA"/>
              </w:rPr>
              <w:t>(2)</w:t>
            </w:r>
            <w:r w:rsidRPr="003E5C4E">
              <w:rPr>
                <w:rFonts w:cs="Times New Roman"/>
                <w:szCs w:val="24"/>
                <w:lang w:val="fr-CA"/>
              </w:rPr>
              <w:tab/>
              <w:t>Trop</w:t>
            </w:r>
            <w:r w:rsidRPr="003E5C4E">
              <w:rPr>
                <w:rFonts w:cs="Times New Roman"/>
                <w:szCs w:val="24"/>
                <w:lang w:val="fr-CA"/>
              </w:rPr>
              <w:noBreakHyphen/>
              <w:t>perçu découlant de recours exercés dans plusieurs ressorts</w:t>
            </w:r>
            <w:r w:rsidRPr="003E5C4E">
              <w:rPr>
                <w:rFonts w:cs="Times New Roman"/>
                <w:webHidden/>
                <w:szCs w:val="24"/>
              </w:rPr>
              <w:tab/>
            </w:r>
          </w:p>
          <w:p w:rsidR="00741557" w:rsidRPr="003E5C4E" w:rsidRDefault="00741557" w:rsidP="00396357">
            <w:pPr>
              <w:pStyle w:val="TOC3"/>
              <w:rPr>
                <w:rFonts w:cs="Times New Roman"/>
                <w:szCs w:val="24"/>
                <w:lang w:val="fr-CA"/>
              </w:rPr>
            </w:pPr>
            <w:r w:rsidRPr="003E5C4E">
              <w:rPr>
                <w:rFonts w:cs="Times New Roman"/>
                <w:szCs w:val="24"/>
              </w:rPr>
              <w:t>(3)</w:t>
            </w:r>
            <w:r w:rsidRPr="003E5C4E">
              <w:rPr>
                <w:rFonts w:cs="Times New Roman"/>
                <w:szCs w:val="24"/>
                <w:lang w:val="fr-CA"/>
              </w:rPr>
              <w:tab/>
              <w:t>Principes du droit de la restitution</w:t>
            </w:r>
            <w:r w:rsidRPr="003E5C4E">
              <w:rPr>
                <w:rFonts w:cs="Times New Roman"/>
                <w:webHidden/>
                <w:szCs w:val="24"/>
              </w:rPr>
              <w:tab/>
            </w:r>
          </w:p>
          <w:p w:rsidR="00741557" w:rsidRPr="003E5C4E" w:rsidRDefault="00741557" w:rsidP="00396357">
            <w:pPr>
              <w:pStyle w:val="TOC3"/>
              <w:rPr>
                <w:rFonts w:cs="Times New Roman"/>
                <w:szCs w:val="24"/>
                <w:lang w:val="fr-CA"/>
              </w:rPr>
            </w:pPr>
            <w:r w:rsidRPr="003E5C4E">
              <w:rPr>
                <w:rFonts w:cs="Times New Roman"/>
                <w:szCs w:val="24"/>
                <w:lang w:val="fr-CA"/>
              </w:rPr>
              <w:t>(4)</w:t>
            </w:r>
            <w:r w:rsidRPr="003E5C4E">
              <w:rPr>
                <w:rFonts w:cs="Times New Roman"/>
                <w:szCs w:val="24"/>
                <w:lang w:val="fr-CA"/>
              </w:rPr>
              <w:tab/>
              <w:t>Dissuasion et indemnisation</w:t>
            </w:r>
            <w:r w:rsidRPr="003E5C4E">
              <w:rPr>
                <w:rFonts w:cs="Times New Roman"/>
                <w:webHidden/>
                <w:szCs w:val="24"/>
              </w:rPr>
              <w:tab/>
            </w:r>
          </w:p>
          <w:p w:rsidR="00741557" w:rsidRPr="003E5C4E" w:rsidRDefault="00741557" w:rsidP="0017121A">
            <w:pPr>
              <w:pStyle w:val="TOC2"/>
              <w:rPr>
                <w:rFonts w:eastAsiaTheme="minorEastAsia"/>
                <w:noProof/>
              </w:rPr>
            </w:pPr>
            <w:r w:rsidRPr="003E5C4E">
              <w:rPr>
                <w:noProof/>
              </w:rPr>
              <w:lastRenderedPageBreak/>
              <w:t>B.</w:t>
            </w:r>
            <w:r w:rsidRPr="003E5C4E">
              <w:rPr>
                <w:rFonts w:eastAsiaTheme="minorEastAsia"/>
                <w:noProof/>
              </w:rPr>
              <w:tab/>
            </w:r>
            <w:r w:rsidRPr="003E5C4E">
              <w:rPr>
                <w:noProof/>
              </w:rPr>
              <w:t>La certification du recours collectif</w:t>
            </w:r>
            <w:r w:rsidRPr="003E5C4E">
              <w:rPr>
                <w:noProof/>
                <w:webHidden/>
              </w:rPr>
              <w:tab/>
            </w:r>
          </w:p>
          <w:p w:rsidR="00741557" w:rsidRPr="003E5C4E" w:rsidRDefault="00741557" w:rsidP="00396357">
            <w:pPr>
              <w:pStyle w:val="TOC3"/>
              <w:rPr>
                <w:rFonts w:cs="Times New Roman"/>
                <w:szCs w:val="24"/>
                <w:lang w:val="fr-CA"/>
              </w:rPr>
            </w:pPr>
            <w:r w:rsidRPr="003E5C4E">
              <w:rPr>
                <w:rFonts w:cs="Times New Roman"/>
                <w:szCs w:val="24"/>
                <w:lang w:val="fr-CA"/>
              </w:rPr>
              <w:t>(1)</w:t>
            </w:r>
            <w:r w:rsidRPr="003E5C4E">
              <w:rPr>
                <w:rFonts w:cs="Times New Roman"/>
                <w:szCs w:val="24"/>
                <w:lang w:val="fr-CA"/>
              </w:rPr>
              <w:tab/>
              <w:t>Les actes de procédure révèlent</w:t>
            </w:r>
            <w:r w:rsidRPr="003E5C4E">
              <w:rPr>
                <w:rFonts w:cs="Times New Roman"/>
                <w:szCs w:val="24"/>
                <w:lang w:val="fr-CA"/>
              </w:rPr>
              <w:noBreakHyphen/>
              <w:t>ils une cause d’action?</w:t>
            </w:r>
            <w:r w:rsidRPr="003E5C4E">
              <w:rPr>
                <w:rFonts w:cs="Times New Roman"/>
                <w:webHidden/>
                <w:szCs w:val="24"/>
              </w:rPr>
              <w:tab/>
            </w:r>
          </w:p>
          <w:p w:rsidR="00741557" w:rsidRPr="003E5C4E" w:rsidRDefault="00741557" w:rsidP="00396357">
            <w:pPr>
              <w:pStyle w:val="TOC4"/>
              <w:rPr>
                <w:rFonts w:cs="Times New Roman"/>
                <w:szCs w:val="24"/>
                <w:lang w:val="fr-CA"/>
              </w:rPr>
            </w:pPr>
            <w:r w:rsidRPr="003E5C4E">
              <w:rPr>
                <w:rFonts w:cs="Times New Roman"/>
                <w:szCs w:val="24"/>
                <w:lang w:val="fr-CA"/>
              </w:rPr>
              <w:t>a)</w:t>
            </w:r>
            <w:r w:rsidRPr="003E5C4E">
              <w:rPr>
                <w:rFonts w:cs="Times New Roman"/>
                <w:szCs w:val="24"/>
                <w:lang w:val="fr-CA"/>
              </w:rPr>
              <w:tab/>
              <w:t>Restitution — Acheteurs indirects</w:t>
            </w:r>
            <w:r w:rsidRPr="003E5C4E">
              <w:rPr>
                <w:rFonts w:cs="Times New Roman"/>
                <w:webHidden/>
                <w:szCs w:val="24"/>
              </w:rPr>
              <w:tab/>
            </w:r>
          </w:p>
          <w:p w:rsidR="00741557" w:rsidRPr="003E5C4E" w:rsidRDefault="00741557" w:rsidP="00396357">
            <w:pPr>
              <w:pStyle w:val="TOC4"/>
              <w:rPr>
                <w:rFonts w:cs="Times New Roman"/>
                <w:szCs w:val="24"/>
                <w:lang w:val="fr-CA"/>
              </w:rPr>
            </w:pPr>
            <w:r w:rsidRPr="003E5C4E">
              <w:rPr>
                <w:rFonts w:cs="Times New Roman"/>
                <w:szCs w:val="24"/>
                <w:lang w:val="fr-CA"/>
              </w:rPr>
              <w:t>b)</w:t>
            </w:r>
            <w:r w:rsidRPr="003E5C4E">
              <w:rPr>
                <w:rFonts w:cs="Times New Roman"/>
                <w:szCs w:val="24"/>
                <w:lang w:val="fr-CA"/>
              </w:rPr>
              <w:tab/>
              <w:t>Fiducie par interprétation — Acheteurs directs</w:t>
            </w:r>
            <w:r w:rsidRPr="003E5C4E">
              <w:rPr>
                <w:rFonts w:cs="Times New Roman"/>
                <w:webHidden/>
                <w:szCs w:val="24"/>
              </w:rPr>
              <w:tab/>
            </w:r>
          </w:p>
          <w:p w:rsidR="00741557" w:rsidRPr="003E5C4E" w:rsidRDefault="00741557" w:rsidP="00396357">
            <w:pPr>
              <w:pStyle w:val="TOC4"/>
              <w:rPr>
                <w:rFonts w:cs="Times New Roman"/>
                <w:szCs w:val="24"/>
                <w:lang w:val="fr-CA"/>
              </w:rPr>
            </w:pPr>
            <w:r w:rsidRPr="003E5C4E">
              <w:rPr>
                <w:rFonts w:cs="Times New Roman"/>
                <w:szCs w:val="24"/>
                <w:lang w:val="fr-CA"/>
              </w:rPr>
              <w:t>c)</w:t>
            </w:r>
            <w:r w:rsidRPr="003E5C4E">
              <w:rPr>
                <w:rFonts w:cs="Times New Roman"/>
                <w:szCs w:val="24"/>
                <w:lang w:val="fr-CA"/>
              </w:rPr>
              <w:tab/>
              <w:t xml:space="preserve">Article 36 de la </w:t>
            </w:r>
            <w:r w:rsidRPr="0017121A">
              <w:rPr>
                <w:rFonts w:cs="Times New Roman"/>
                <w:i/>
                <w:szCs w:val="24"/>
                <w:lang w:val="fr-CA"/>
              </w:rPr>
              <w:t>Loi sur la concurrence</w:t>
            </w:r>
            <w:r w:rsidRPr="003E5C4E">
              <w:rPr>
                <w:rFonts w:cs="Times New Roman"/>
                <w:szCs w:val="24"/>
                <w:lang w:val="fr-CA"/>
              </w:rPr>
              <w:t xml:space="preserve"> — Acheteurs indirects</w:t>
            </w:r>
            <w:r w:rsidRPr="003E5C4E">
              <w:rPr>
                <w:rFonts w:cs="Times New Roman"/>
                <w:webHidden/>
                <w:szCs w:val="24"/>
              </w:rPr>
              <w:tab/>
            </w:r>
          </w:p>
          <w:p w:rsidR="00741557" w:rsidRPr="003E5C4E" w:rsidRDefault="00741557" w:rsidP="00396357">
            <w:pPr>
              <w:pStyle w:val="TOC5"/>
              <w:rPr>
                <w:rFonts w:cs="Times New Roman"/>
                <w:szCs w:val="24"/>
                <w:lang w:val="fr-CA"/>
              </w:rPr>
            </w:pPr>
            <w:r w:rsidRPr="003E5C4E">
              <w:rPr>
                <w:rFonts w:cs="Times New Roman"/>
                <w:szCs w:val="24"/>
                <w:lang w:val="fr-CA"/>
              </w:rPr>
              <w:t>(i)</w:t>
            </w:r>
            <w:r w:rsidRPr="003E5C4E">
              <w:rPr>
                <w:rFonts w:cs="Times New Roman"/>
                <w:szCs w:val="24"/>
                <w:lang w:val="fr-CA"/>
              </w:rPr>
              <w:tab/>
              <w:t>Transfert de la perte reconnu en droit</w:t>
            </w:r>
            <w:r w:rsidRPr="003E5C4E">
              <w:rPr>
                <w:rFonts w:cs="Times New Roman"/>
                <w:webHidden/>
                <w:szCs w:val="24"/>
              </w:rPr>
              <w:tab/>
            </w:r>
          </w:p>
          <w:p w:rsidR="00741557" w:rsidRPr="003E5C4E" w:rsidRDefault="00741557" w:rsidP="00396357">
            <w:pPr>
              <w:pStyle w:val="TOC5"/>
              <w:rPr>
                <w:rFonts w:cs="Times New Roman"/>
                <w:szCs w:val="24"/>
                <w:lang w:val="fr-CA"/>
              </w:rPr>
            </w:pPr>
            <w:r w:rsidRPr="003E5C4E">
              <w:rPr>
                <w:rFonts w:cs="Times New Roman"/>
                <w:szCs w:val="24"/>
                <w:lang w:val="fr-CA"/>
              </w:rPr>
              <w:t>(ii)</w:t>
            </w:r>
            <w:r w:rsidRPr="003E5C4E">
              <w:rPr>
                <w:rFonts w:cs="Times New Roman"/>
                <w:szCs w:val="24"/>
                <w:lang w:val="fr-CA"/>
              </w:rPr>
              <w:tab/>
              <w:t>Compétence sur les actes commis à l’étranger</w:t>
            </w:r>
            <w:r w:rsidRPr="003E5C4E">
              <w:rPr>
                <w:rFonts w:cs="Times New Roman"/>
                <w:webHidden/>
                <w:szCs w:val="24"/>
              </w:rPr>
              <w:tab/>
            </w:r>
          </w:p>
          <w:p w:rsidR="00741557" w:rsidRPr="003E5C4E" w:rsidRDefault="00741557" w:rsidP="00396357">
            <w:pPr>
              <w:pStyle w:val="TOC3"/>
              <w:rPr>
                <w:rFonts w:cs="Times New Roman"/>
                <w:szCs w:val="24"/>
                <w:lang w:val="fr-CA"/>
              </w:rPr>
            </w:pPr>
            <w:r w:rsidRPr="003E5C4E">
              <w:rPr>
                <w:rFonts w:cs="Times New Roman"/>
                <w:szCs w:val="24"/>
                <w:lang w:val="fr-CA"/>
              </w:rPr>
              <w:t>(2)</w:t>
            </w:r>
            <w:r w:rsidRPr="003E5C4E">
              <w:rPr>
                <w:rFonts w:cs="Times New Roman"/>
                <w:szCs w:val="24"/>
                <w:lang w:val="fr-CA"/>
              </w:rPr>
              <w:tab/>
              <w:t>Existe</w:t>
            </w:r>
            <w:r w:rsidRPr="003E5C4E">
              <w:rPr>
                <w:rFonts w:cs="Times New Roman"/>
                <w:szCs w:val="24"/>
                <w:lang w:val="fr-CA"/>
              </w:rPr>
              <w:noBreakHyphen/>
              <w:t>t</w:t>
            </w:r>
            <w:r w:rsidRPr="003E5C4E">
              <w:rPr>
                <w:rFonts w:cs="Times New Roman"/>
                <w:szCs w:val="24"/>
                <w:lang w:val="fr-CA"/>
              </w:rPr>
              <w:noBreakHyphen/>
              <w:t>il une question commune?</w:t>
            </w:r>
            <w:r w:rsidRPr="003E5C4E">
              <w:rPr>
                <w:rFonts w:cs="Times New Roman"/>
                <w:webHidden/>
                <w:szCs w:val="24"/>
              </w:rPr>
              <w:tab/>
            </w:r>
          </w:p>
          <w:p w:rsidR="00741557" w:rsidRPr="003E5C4E" w:rsidRDefault="00741557" w:rsidP="00396357">
            <w:pPr>
              <w:pStyle w:val="TOC3"/>
              <w:rPr>
                <w:rFonts w:cs="Times New Roman"/>
                <w:szCs w:val="24"/>
                <w:lang w:val="fr-CA"/>
              </w:rPr>
            </w:pPr>
            <w:r w:rsidRPr="003E5C4E">
              <w:rPr>
                <w:rFonts w:cs="Times New Roman"/>
                <w:szCs w:val="24"/>
                <w:lang w:val="fr-CA"/>
              </w:rPr>
              <w:t>(3)</w:t>
            </w:r>
            <w:r w:rsidRPr="003E5C4E">
              <w:rPr>
                <w:rFonts w:cs="Times New Roman"/>
                <w:szCs w:val="24"/>
                <w:lang w:val="fr-CA"/>
              </w:rPr>
              <w:tab/>
              <w:t>Existe</w:t>
            </w:r>
            <w:r w:rsidRPr="003E5C4E">
              <w:rPr>
                <w:rFonts w:cs="Times New Roman"/>
                <w:szCs w:val="24"/>
                <w:lang w:val="fr-CA"/>
              </w:rPr>
              <w:noBreakHyphen/>
              <w:t>t</w:t>
            </w:r>
            <w:r w:rsidRPr="003E5C4E">
              <w:rPr>
                <w:rFonts w:cs="Times New Roman"/>
                <w:szCs w:val="24"/>
                <w:lang w:val="fr-CA"/>
              </w:rPr>
              <w:noBreakHyphen/>
              <w:t>il un groupe identifiable?</w:t>
            </w:r>
            <w:r w:rsidRPr="003E5C4E">
              <w:rPr>
                <w:rFonts w:cs="Times New Roman"/>
                <w:webHidden/>
                <w:szCs w:val="24"/>
              </w:rPr>
              <w:tab/>
            </w:r>
          </w:p>
          <w:p w:rsidR="00741557" w:rsidRPr="003E5C4E" w:rsidRDefault="00741557" w:rsidP="00396357">
            <w:pPr>
              <w:pStyle w:val="TOC3"/>
              <w:rPr>
                <w:rFonts w:cs="Times New Roman"/>
                <w:szCs w:val="24"/>
                <w:lang w:val="fr-CA"/>
              </w:rPr>
            </w:pPr>
            <w:r w:rsidRPr="003E5C4E">
              <w:rPr>
                <w:rFonts w:cs="Times New Roman"/>
                <w:szCs w:val="24"/>
                <w:lang w:val="fr-CA"/>
              </w:rPr>
              <w:t>(4)</w:t>
            </w:r>
            <w:r w:rsidRPr="003E5C4E">
              <w:rPr>
                <w:rFonts w:cs="Times New Roman"/>
                <w:szCs w:val="24"/>
                <w:lang w:val="fr-CA"/>
              </w:rPr>
              <w:tab/>
              <w:t>Conclusion sur la question du groupe identifiable</w:t>
            </w:r>
            <w:r w:rsidRPr="003E5C4E">
              <w:rPr>
                <w:rFonts w:cs="Times New Roman"/>
                <w:webHidden/>
                <w:szCs w:val="24"/>
              </w:rPr>
              <w:tab/>
            </w:r>
          </w:p>
          <w:p w:rsidR="00741557" w:rsidRPr="003E5C4E" w:rsidRDefault="00741557" w:rsidP="00396357">
            <w:pPr>
              <w:pStyle w:val="TOC1"/>
              <w:rPr>
                <w:rFonts w:eastAsiaTheme="minorEastAsia"/>
                <w:lang w:val="fr-CA"/>
              </w:rPr>
            </w:pPr>
            <w:r w:rsidRPr="003E5C4E">
              <w:rPr>
                <w:lang w:val="fr-CA"/>
              </w:rPr>
              <w:t>V.</w:t>
            </w:r>
            <w:r w:rsidRPr="003E5C4E">
              <w:rPr>
                <w:rFonts w:eastAsiaTheme="minorEastAsia"/>
                <w:lang w:val="fr-CA"/>
              </w:rPr>
              <w:tab/>
            </w:r>
            <w:r w:rsidRPr="003E5C4E">
              <w:rPr>
                <w:lang w:val="fr-CA"/>
              </w:rPr>
              <w:t>Conclusion</w:t>
            </w:r>
            <w:r w:rsidRPr="003E5C4E">
              <w:rPr>
                <w:webHidden/>
                <w:lang w:val="fr-CA"/>
              </w:rPr>
              <w:tab/>
            </w:r>
          </w:p>
          <w:p w:rsidR="00741557" w:rsidRPr="003E5C4E" w:rsidRDefault="00741557" w:rsidP="00396357">
            <w:pPr>
              <w:tabs>
                <w:tab w:val="left" w:pos="720"/>
                <w:tab w:val="right" w:leader="dot" w:pos="8266"/>
              </w:tabs>
              <w:spacing w:before="120" w:after="120"/>
              <w:ind w:left="720" w:hanging="720"/>
              <w:rPr>
                <w:b/>
                <w:szCs w:val="24"/>
                <w:lang w:val="fr-CA"/>
              </w:rPr>
            </w:pPr>
            <w:r w:rsidRPr="003E5C4E">
              <w:rPr>
                <w:b/>
                <w:szCs w:val="24"/>
                <w:lang w:val="fr-CA"/>
              </w:rPr>
              <w:t>Motifs de la juge Karakatsanis</w:t>
            </w:r>
          </w:p>
          <w:p w:rsidR="00741557" w:rsidRPr="003E5C4E" w:rsidRDefault="00741557" w:rsidP="00396357">
            <w:pPr>
              <w:pStyle w:val="TOC1"/>
              <w:rPr>
                <w:rFonts w:eastAsiaTheme="minorEastAsia"/>
                <w:lang w:val="fr-CA"/>
              </w:rPr>
            </w:pPr>
            <w:r w:rsidRPr="003E5C4E">
              <w:rPr>
                <w:lang w:val="fr-CA"/>
              </w:rPr>
              <w:t>I.</w:t>
            </w:r>
            <w:r w:rsidRPr="003E5C4E">
              <w:rPr>
                <w:rFonts w:eastAsiaTheme="minorEastAsia"/>
                <w:lang w:val="fr-CA"/>
              </w:rPr>
              <w:tab/>
            </w:r>
            <w:r w:rsidRPr="003E5C4E">
              <w:rPr>
                <w:lang w:val="fr-CA"/>
              </w:rPr>
              <w:t>Aperçu</w:t>
            </w:r>
            <w:r w:rsidRPr="003E5C4E">
              <w:rPr>
                <w:webHidden/>
                <w:lang w:val="fr-CA"/>
              </w:rPr>
              <w:tab/>
            </w:r>
          </w:p>
          <w:p w:rsidR="00741557" w:rsidRPr="003E5C4E" w:rsidRDefault="003571D4" w:rsidP="00396357">
            <w:pPr>
              <w:pStyle w:val="TOC1"/>
              <w:rPr>
                <w:rFonts w:eastAsiaTheme="minorEastAsia"/>
                <w:lang w:val="fr-CA"/>
              </w:rPr>
            </w:pPr>
            <w:r>
              <w:rPr>
                <w:lang w:val="fr-CA"/>
              </w:rPr>
              <w:t>I</w:t>
            </w:r>
            <w:r w:rsidR="00741557" w:rsidRPr="003E5C4E">
              <w:rPr>
                <w:lang w:val="fr-CA"/>
              </w:rPr>
              <w:t>I.</w:t>
            </w:r>
            <w:r w:rsidR="00741557" w:rsidRPr="003E5C4E">
              <w:rPr>
                <w:rFonts w:eastAsiaTheme="minorEastAsia"/>
                <w:lang w:val="fr-CA"/>
              </w:rPr>
              <w:tab/>
            </w:r>
            <w:r w:rsidR="00741557" w:rsidRPr="003E5C4E">
              <w:rPr>
                <w:lang w:val="fr-CA"/>
              </w:rPr>
              <w:t>Conditions préalables à la reconnaissance du groupe — principes généraux</w:t>
            </w:r>
            <w:r w:rsidR="00741557" w:rsidRPr="003E5C4E">
              <w:rPr>
                <w:webHidden/>
                <w:lang w:val="fr-CA"/>
              </w:rPr>
              <w:tab/>
            </w:r>
          </w:p>
          <w:p w:rsidR="00741557" w:rsidRPr="003E5C4E" w:rsidRDefault="00741557" w:rsidP="00396357">
            <w:pPr>
              <w:pStyle w:val="TOC1"/>
              <w:rPr>
                <w:rFonts w:eastAsiaTheme="minorEastAsia"/>
                <w:lang w:val="fr-CA"/>
              </w:rPr>
            </w:pPr>
            <w:r w:rsidRPr="003E5C4E">
              <w:rPr>
                <w:lang w:val="fr-CA"/>
              </w:rPr>
              <w:t>III.</w:t>
            </w:r>
            <w:r w:rsidRPr="003E5C4E">
              <w:rPr>
                <w:rFonts w:eastAsiaTheme="minorEastAsia"/>
                <w:lang w:val="fr-CA"/>
              </w:rPr>
              <w:tab/>
            </w:r>
            <w:r w:rsidRPr="003E5C4E">
              <w:rPr>
                <w:lang w:val="fr-CA"/>
              </w:rPr>
              <w:t>Application à la présente affaire</w:t>
            </w:r>
            <w:r w:rsidRPr="003E5C4E">
              <w:rPr>
                <w:webHidden/>
                <w:lang w:val="fr-CA"/>
              </w:rPr>
              <w:tab/>
            </w:r>
          </w:p>
          <w:p w:rsidR="00741557" w:rsidRPr="003E5C4E" w:rsidRDefault="00741557" w:rsidP="0017121A">
            <w:pPr>
              <w:pStyle w:val="TOC2"/>
              <w:rPr>
                <w:rFonts w:eastAsiaTheme="minorEastAsia"/>
                <w:noProof/>
              </w:rPr>
            </w:pPr>
            <w:r w:rsidRPr="003E5C4E">
              <w:rPr>
                <w:noProof/>
              </w:rPr>
              <w:t>A.</w:t>
            </w:r>
            <w:r w:rsidRPr="003E5C4E">
              <w:rPr>
                <w:rFonts w:eastAsiaTheme="minorEastAsia"/>
                <w:noProof/>
              </w:rPr>
              <w:tab/>
            </w:r>
            <w:r w:rsidRPr="003E5C4E">
              <w:rPr>
                <w:noProof/>
              </w:rPr>
              <w:t>Le dossier et la position des parties</w:t>
            </w:r>
            <w:r w:rsidRPr="003E5C4E">
              <w:rPr>
                <w:noProof/>
                <w:webHidden/>
              </w:rPr>
              <w:tab/>
            </w:r>
          </w:p>
          <w:p w:rsidR="00741557" w:rsidRPr="003E5C4E" w:rsidRDefault="00741557" w:rsidP="0017121A">
            <w:pPr>
              <w:pStyle w:val="TOC2"/>
              <w:rPr>
                <w:rFonts w:eastAsiaTheme="minorEastAsia"/>
                <w:noProof/>
              </w:rPr>
            </w:pPr>
            <w:r w:rsidRPr="003E5C4E">
              <w:rPr>
                <w:noProof/>
              </w:rPr>
              <w:t>B.</w:t>
            </w:r>
            <w:r w:rsidRPr="003E5C4E">
              <w:rPr>
                <w:rFonts w:eastAsiaTheme="minorEastAsia"/>
                <w:noProof/>
              </w:rPr>
              <w:tab/>
            </w:r>
            <w:r w:rsidRPr="003E5C4E">
              <w:rPr>
                <w:noProof/>
              </w:rPr>
              <w:t>La détermination de l’appartenance au groupe n’exige pas que chacun des membres soit en mesure d’établir une perte individuelle</w:t>
            </w:r>
            <w:r w:rsidRPr="003E5C4E">
              <w:rPr>
                <w:noProof/>
                <w:webHidden/>
              </w:rPr>
              <w:tab/>
            </w:r>
          </w:p>
          <w:p w:rsidR="00741557" w:rsidRPr="003E5C4E" w:rsidRDefault="00741557" w:rsidP="0017121A">
            <w:pPr>
              <w:pStyle w:val="TOC2"/>
              <w:rPr>
                <w:rFonts w:eastAsiaTheme="minorEastAsia"/>
                <w:noProof/>
              </w:rPr>
            </w:pPr>
            <w:r w:rsidRPr="003E5C4E">
              <w:rPr>
                <w:noProof/>
              </w:rPr>
              <w:t>C.</w:t>
            </w:r>
            <w:r w:rsidRPr="003E5C4E">
              <w:rPr>
                <w:rFonts w:eastAsiaTheme="minorEastAsia"/>
                <w:noProof/>
              </w:rPr>
              <w:tab/>
            </w:r>
            <w:r w:rsidRPr="003E5C4E">
              <w:rPr>
                <w:noProof/>
              </w:rPr>
              <w:t>Un certain fondement factuel permet d’établir que chacun des membres pourrait prouver une perte individuelle et donc que l’appartenance au groupe est déterminable</w:t>
            </w:r>
            <w:r w:rsidRPr="003E5C4E">
              <w:rPr>
                <w:noProof/>
                <w:webHidden/>
              </w:rPr>
              <w:tab/>
            </w:r>
          </w:p>
          <w:p w:rsidR="00741557" w:rsidRPr="003E5C4E" w:rsidRDefault="00741557" w:rsidP="0017121A">
            <w:pPr>
              <w:pStyle w:val="TOC2"/>
              <w:rPr>
                <w:webHidden/>
              </w:rPr>
            </w:pPr>
            <w:r>
              <w:t>I</w:t>
            </w:r>
            <w:r w:rsidRPr="003E5C4E">
              <w:t>V.</w:t>
            </w:r>
            <w:r w:rsidRPr="003E5C4E">
              <w:rPr>
                <w:rFonts w:eastAsiaTheme="minorEastAsia"/>
              </w:rPr>
              <w:tab/>
            </w:r>
            <w:r w:rsidRPr="003E5C4E">
              <w:t>Conclusion</w:t>
            </w:r>
            <w:r w:rsidRPr="003E5C4E">
              <w:rPr>
                <w:webHidden/>
              </w:rPr>
              <w:tab/>
            </w:r>
            <w:r w:rsidRPr="003E5C4E">
              <w:rPr>
                <w:webHidden/>
              </w:rPr>
              <w:tab/>
            </w:r>
          </w:p>
          <w:p w:rsidR="00741557" w:rsidRPr="0017121A" w:rsidRDefault="00741557" w:rsidP="0017121A">
            <w:pPr>
              <w:pStyle w:val="TOC2"/>
              <w:rPr>
                <w:rFonts w:asciiTheme="minorHAnsi" w:eastAsiaTheme="minorEastAsia" w:hAnsiTheme="minorHAnsi"/>
                <w:sz w:val="22"/>
              </w:rPr>
            </w:pPr>
            <w:r w:rsidRPr="0017121A">
              <w:rPr>
                <w:webHidden/>
              </w:rPr>
              <w:t>ANNEXE : Questions communes certifiées par le juge Rice</w:t>
            </w:r>
          </w:p>
        </w:tc>
        <w:tc>
          <w:tcPr>
            <w:tcW w:w="720" w:type="dxa"/>
          </w:tcPr>
          <w:p w:rsidR="00741557" w:rsidRDefault="00741557" w:rsidP="00396357">
            <w:pPr>
              <w:spacing w:before="120" w:after="120"/>
              <w:rPr>
                <w:lang w:val="fr-CA"/>
              </w:rPr>
            </w:pPr>
          </w:p>
          <w:p w:rsidR="00741557" w:rsidRPr="00666F61" w:rsidRDefault="00741557" w:rsidP="00396357">
            <w:pPr>
              <w:spacing w:before="120" w:after="120"/>
              <w:rPr>
                <w:lang w:val="fr-CA"/>
              </w:rPr>
            </w:pPr>
            <w:r w:rsidRPr="00666F61">
              <w:rPr>
                <w:lang w:val="fr-CA"/>
              </w:rPr>
              <w:t>1</w:t>
            </w:r>
          </w:p>
          <w:p w:rsidR="00741557" w:rsidRPr="00666F61" w:rsidRDefault="00741557" w:rsidP="00396357">
            <w:pPr>
              <w:spacing w:before="120" w:after="120"/>
              <w:rPr>
                <w:lang w:val="fr-CA"/>
              </w:rPr>
            </w:pPr>
            <w:r w:rsidRPr="00666F61">
              <w:rPr>
                <w:lang w:val="fr-CA"/>
              </w:rPr>
              <w:t>4</w:t>
            </w:r>
          </w:p>
          <w:p w:rsidR="00741557" w:rsidRPr="00666F61" w:rsidRDefault="00741557" w:rsidP="00396357">
            <w:pPr>
              <w:spacing w:before="120" w:after="120"/>
              <w:rPr>
                <w:lang w:val="fr-CA"/>
              </w:rPr>
            </w:pPr>
            <w:r w:rsidRPr="00666F61">
              <w:rPr>
                <w:lang w:val="fr-CA"/>
              </w:rPr>
              <w:t>6</w:t>
            </w:r>
          </w:p>
          <w:p w:rsidR="00741557" w:rsidRPr="00666F61" w:rsidRDefault="00741557" w:rsidP="00396357">
            <w:pPr>
              <w:spacing w:before="120" w:after="120"/>
              <w:rPr>
                <w:lang w:val="fr-CA"/>
              </w:rPr>
            </w:pPr>
            <w:r w:rsidRPr="00666F61">
              <w:rPr>
                <w:lang w:val="fr-CA"/>
              </w:rPr>
              <w:t>6</w:t>
            </w:r>
          </w:p>
          <w:p w:rsidR="00741557" w:rsidRPr="00666F61" w:rsidRDefault="00741557" w:rsidP="00396357">
            <w:pPr>
              <w:spacing w:before="120" w:after="120"/>
              <w:rPr>
                <w:lang w:val="fr-CA"/>
              </w:rPr>
            </w:pPr>
            <w:r w:rsidRPr="00666F61">
              <w:rPr>
                <w:lang w:val="fr-CA"/>
              </w:rPr>
              <w:br/>
              <w:t>7</w:t>
            </w:r>
          </w:p>
          <w:p w:rsidR="00741557" w:rsidRPr="00666F61" w:rsidRDefault="00741557" w:rsidP="00396357">
            <w:pPr>
              <w:spacing w:before="120" w:after="120"/>
              <w:rPr>
                <w:lang w:val="fr-CA"/>
              </w:rPr>
            </w:pPr>
            <w:r w:rsidRPr="00666F61">
              <w:rPr>
                <w:lang w:val="fr-CA"/>
              </w:rPr>
              <w:br/>
              <w:t>8</w:t>
            </w:r>
          </w:p>
          <w:p w:rsidR="00741557" w:rsidRPr="00666F61" w:rsidRDefault="00741557" w:rsidP="00396357">
            <w:pPr>
              <w:spacing w:before="120" w:after="120"/>
              <w:rPr>
                <w:lang w:val="fr-CA"/>
              </w:rPr>
            </w:pPr>
            <w:r w:rsidRPr="00666F61">
              <w:rPr>
                <w:lang w:val="fr-CA"/>
              </w:rPr>
              <w:t>10</w:t>
            </w:r>
          </w:p>
          <w:p w:rsidR="00741557" w:rsidRPr="00666F61" w:rsidRDefault="00741557" w:rsidP="00396357">
            <w:pPr>
              <w:spacing w:before="120" w:after="120"/>
              <w:rPr>
                <w:lang w:val="fr-CA"/>
              </w:rPr>
            </w:pPr>
            <w:r w:rsidRPr="00666F61">
              <w:rPr>
                <w:lang w:val="fr-CA"/>
              </w:rPr>
              <w:t>13</w:t>
            </w:r>
          </w:p>
          <w:p w:rsidR="00741557" w:rsidRPr="00666F61" w:rsidRDefault="00741557" w:rsidP="00396357">
            <w:pPr>
              <w:spacing w:before="120" w:after="120"/>
              <w:rPr>
                <w:lang w:val="fr-CA"/>
              </w:rPr>
            </w:pPr>
            <w:r w:rsidRPr="00666F61">
              <w:rPr>
                <w:lang w:val="fr-CA"/>
              </w:rPr>
              <w:br/>
              <w:t>16</w:t>
            </w:r>
          </w:p>
          <w:p w:rsidR="00741557" w:rsidRPr="00666F61" w:rsidRDefault="00741557" w:rsidP="00396357">
            <w:pPr>
              <w:spacing w:before="120" w:after="120"/>
              <w:rPr>
                <w:lang w:val="fr-CA"/>
              </w:rPr>
            </w:pPr>
            <w:r w:rsidRPr="00666F61">
              <w:rPr>
                <w:lang w:val="fr-CA"/>
              </w:rPr>
              <w:br/>
              <w:t>17</w:t>
            </w:r>
          </w:p>
          <w:p w:rsidR="00741557" w:rsidRPr="00666F61" w:rsidRDefault="00741557" w:rsidP="00396357">
            <w:pPr>
              <w:spacing w:before="120" w:after="120"/>
              <w:rPr>
                <w:lang w:val="fr-CA"/>
              </w:rPr>
            </w:pPr>
            <w:r w:rsidRPr="00666F61">
              <w:rPr>
                <w:lang w:val="fr-CA"/>
              </w:rPr>
              <w:t>21</w:t>
            </w:r>
          </w:p>
          <w:p w:rsidR="00741557" w:rsidRPr="00666F61" w:rsidRDefault="00741557" w:rsidP="00396357">
            <w:pPr>
              <w:spacing w:before="120" w:after="120"/>
              <w:rPr>
                <w:lang w:val="fr-CA"/>
              </w:rPr>
            </w:pPr>
            <w:r w:rsidRPr="00666F61">
              <w:rPr>
                <w:lang w:val="fr-CA"/>
              </w:rPr>
              <w:t>22</w:t>
            </w:r>
          </w:p>
          <w:p w:rsidR="00741557" w:rsidRPr="00666F61" w:rsidRDefault="00741557" w:rsidP="00396357">
            <w:pPr>
              <w:spacing w:before="120" w:after="120"/>
              <w:rPr>
                <w:lang w:val="fr-CA"/>
              </w:rPr>
            </w:pPr>
            <w:r w:rsidRPr="00666F61">
              <w:rPr>
                <w:lang w:val="fr-CA"/>
              </w:rPr>
              <w:t>24</w:t>
            </w:r>
            <w:r w:rsidRPr="00666F61">
              <w:rPr>
                <w:lang w:val="fr-CA"/>
              </w:rPr>
              <w:br/>
            </w:r>
            <w:r w:rsidRPr="00666F61">
              <w:rPr>
                <w:lang w:val="fr-CA"/>
              </w:rPr>
              <w:lastRenderedPageBreak/>
              <w:t>28</w:t>
            </w:r>
          </w:p>
          <w:p w:rsidR="00741557" w:rsidRPr="00666F61" w:rsidRDefault="00741557" w:rsidP="00396357">
            <w:pPr>
              <w:spacing w:before="120" w:after="120"/>
              <w:rPr>
                <w:lang w:val="fr-CA"/>
              </w:rPr>
            </w:pPr>
            <w:r w:rsidRPr="00666F61">
              <w:rPr>
                <w:lang w:val="fr-CA"/>
              </w:rPr>
              <w:t>31</w:t>
            </w:r>
          </w:p>
          <w:p w:rsidR="00741557" w:rsidRPr="00666F61" w:rsidRDefault="00741557" w:rsidP="00396357">
            <w:pPr>
              <w:spacing w:before="120" w:after="120"/>
              <w:rPr>
                <w:lang w:val="fr-CA"/>
              </w:rPr>
            </w:pPr>
            <w:r w:rsidRPr="00666F61">
              <w:rPr>
                <w:lang w:val="fr-CA"/>
              </w:rPr>
              <w:t>33</w:t>
            </w:r>
          </w:p>
          <w:p w:rsidR="00741557" w:rsidRPr="00666F61" w:rsidRDefault="00741557" w:rsidP="00396357">
            <w:pPr>
              <w:spacing w:before="120" w:after="120"/>
              <w:rPr>
                <w:lang w:val="fr-CA"/>
              </w:rPr>
            </w:pPr>
            <w:r w:rsidRPr="00666F61">
              <w:rPr>
                <w:lang w:val="fr-CA"/>
              </w:rPr>
              <w:t>39</w:t>
            </w:r>
          </w:p>
          <w:p w:rsidR="00741557" w:rsidRPr="00666F61" w:rsidRDefault="00741557" w:rsidP="00396357">
            <w:pPr>
              <w:spacing w:before="120" w:after="120"/>
              <w:rPr>
                <w:lang w:val="fr-CA"/>
              </w:rPr>
            </w:pPr>
            <w:r w:rsidRPr="00666F61">
              <w:rPr>
                <w:lang w:val="fr-CA"/>
              </w:rPr>
              <w:t>42</w:t>
            </w:r>
          </w:p>
          <w:p w:rsidR="00666F61" w:rsidRPr="00666F61" w:rsidRDefault="00741557" w:rsidP="00396357">
            <w:pPr>
              <w:spacing w:before="120" w:after="120"/>
              <w:rPr>
                <w:lang w:val="fr-CA"/>
              </w:rPr>
            </w:pPr>
            <w:r w:rsidRPr="00666F61">
              <w:rPr>
                <w:lang w:val="fr-CA"/>
              </w:rPr>
              <w:t>42</w:t>
            </w:r>
          </w:p>
          <w:p w:rsidR="00741557" w:rsidRPr="00666F61" w:rsidRDefault="00741557" w:rsidP="00396357">
            <w:pPr>
              <w:spacing w:before="120" w:after="120"/>
              <w:rPr>
                <w:lang w:val="fr-CA"/>
              </w:rPr>
            </w:pPr>
            <w:r w:rsidRPr="00666F61">
              <w:rPr>
                <w:lang w:val="fr-CA"/>
              </w:rPr>
              <w:t>44</w:t>
            </w:r>
            <w:r w:rsidR="00666F61" w:rsidRPr="00666F61">
              <w:rPr>
                <w:lang w:val="fr-CA"/>
              </w:rPr>
              <w:br/>
            </w:r>
            <w:r w:rsidR="00666F61">
              <w:rPr>
                <w:lang w:val="fr-CA"/>
              </w:rPr>
              <w:t>48</w:t>
            </w:r>
          </w:p>
          <w:p w:rsidR="00741557" w:rsidRPr="00666F61" w:rsidRDefault="00666F61" w:rsidP="00396357">
            <w:pPr>
              <w:spacing w:before="120" w:after="120"/>
              <w:rPr>
                <w:lang w:val="fr-CA"/>
              </w:rPr>
            </w:pPr>
            <w:r>
              <w:rPr>
                <w:lang w:val="fr-CA"/>
              </w:rPr>
              <w:t>52</w:t>
            </w:r>
          </w:p>
          <w:p w:rsidR="00741557" w:rsidRPr="00666F61" w:rsidRDefault="00666F61" w:rsidP="00396357">
            <w:pPr>
              <w:spacing w:before="120" w:after="120"/>
              <w:rPr>
                <w:lang w:val="fr-CA"/>
              </w:rPr>
            </w:pPr>
            <w:r>
              <w:rPr>
                <w:lang w:val="fr-CA"/>
              </w:rPr>
              <w:t>77</w:t>
            </w:r>
          </w:p>
          <w:p w:rsidR="00741557" w:rsidRPr="00666F61" w:rsidRDefault="00666F61" w:rsidP="00396357">
            <w:pPr>
              <w:spacing w:before="120" w:after="120"/>
              <w:rPr>
                <w:lang w:val="fr-CA"/>
              </w:rPr>
            </w:pPr>
            <w:r>
              <w:rPr>
                <w:lang w:val="fr-CA"/>
              </w:rPr>
              <w:t>80</w:t>
            </w:r>
          </w:p>
          <w:p w:rsidR="00741557" w:rsidRPr="00666F61" w:rsidRDefault="00741557" w:rsidP="00396357">
            <w:pPr>
              <w:spacing w:before="120" w:after="120"/>
              <w:rPr>
                <w:lang w:val="fr-CA"/>
              </w:rPr>
            </w:pPr>
          </w:p>
          <w:p w:rsidR="00741557" w:rsidRPr="00666F61" w:rsidRDefault="00666F61" w:rsidP="00396357">
            <w:pPr>
              <w:spacing w:before="120" w:after="120"/>
              <w:rPr>
                <w:lang w:val="fr-CA"/>
              </w:rPr>
            </w:pPr>
            <w:r>
              <w:rPr>
                <w:lang w:val="fr-CA"/>
              </w:rPr>
              <w:t>81</w:t>
            </w:r>
          </w:p>
          <w:p w:rsidR="00741557" w:rsidRPr="00666F61" w:rsidRDefault="00741557" w:rsidP="00396357">
            <w:pPr>
              <w:spacing w:before="120" w:after="120"/>
              <w:rPr>
                <w:lang w:val="fr-CA"/>
              </w:rPr>
            </w:pPr>
            <w:r w:rsidRPr="00666F61">
              <w:rPr>
                <w:lang w:val="fr-CA"/>
              </w:rPr>
              <w:br/>
            </w:r>
            <w:r w:rsidR="00666F61">
              <w:rPr>
                <w:lang w:val="fr-CA"/>
              </w:rPr>
              <w:t>89</w:t>
            </w:r>
          </w:p>
          <w:p w:rsidR="00741557" w:rsidRPr="00666F61" w:rsidRDefault="00666F61" w:rsidP="00396357">
            <w:pPr>
              <w:spacing w:before="120" w:after="120"/>
              <w:rPr>
                <w:lang w:val="fr-CA"/>
              </w:rPr>
            </w:pPr>
            <w:r>
              <w:rPr>
                <w:lang w:val="fr-CA"/>
              </w:rPr>
              <w:t>92</w:t>
            </w:r>
          </w:p>
          <w:p w:rsidR="00741557" w:rsidRPr="00666F61" w:rsidRDefault="00741557" w:rsidP="00396357">
            <w:pPr>
              <w:spacing w:before="120" w:after="120"/>
              <w:rPr>
                <w:lang w:val="fr-CA"/>
              </w:rPr>
            </w:pPr>
            <w:r w:rsidRPr="00666F61">
              <w:rPr>
                <w:lang w:val="fr-CA"/>
              </w:rPr>
              <w:t>92</w:t>
            </w:r>
          </w:p>
          <w:p w:rsidR="00741557" w:rsidRPr="00666F61" w:rsidRDefault="00741557" w:rsidP="00396357">
            <w:pPr>
              <w:spacing w:before="120" w:after="120"/>
              <w:rPr>
                <w:lang w:val="fr-CA"/>
              </w:rPr>
            </w:pPr>
            <w:r w:rsidRPr="00666F61">
              <w:rPr>
                <w:lang w:val="fr-CA"/>
              </w:rPr>
              <w:br/>
              <w:t>96</w:t>
            </w:r>
          </w:p>
          <w:p w:rsidR="00741557" w:rsidRPr="00666F61" w:rsidRDefault="00741557" w:rsidP="00396357">
            <w:pPr>
              <w:spacing w:before="120" w:after="120"/>
              <w:rPr>
                <w:lang w:val="fr-CA"/>
              </w:rPr>
            </w:pPr>
            <w:r w:rsidRPr="00666F61">
              <w:rPr>
                <w:lang w:val="fr-CA"/>
              </w:rPr>
              <w:br/>
            </w:r>
            <w:r w:rsidRPr="00666F61">
              <w:rPr>
                <w:lang w:val="fr-CA"/>
              </w:rPr>
              <w:br/>
              <w:t>110</w:t>
            </w:r>
          </w:p>
          <w:p w:rsidR="00741557" w:rsidRPr="00666F61" w:rsidRDefault="00741557" w:rsidP="00396357">
            <w:pPr>
              <w:spacing w:before="120" w:after="120"/>
              <w:rPr>
                <w:lang w:val="fr-CA"/>
              </w:rPr>
            </w:pPr>
            <w:r w:rsidRPr="00666F61">
              <w:rPr>
                <w:lang w:val="fr-CA"/>
              </w:rPr>
              <w:t>121</w:t>
            </w:r>
          </w:p>
          <w:p w:rsidR="00741557" w:rsidRPr="00666F61" w:rsidRDefault="00741557" w:rsidP="00396357">
            <w:pPr>
              <w:spacing w:before="120" w:after="120"/>
              <w:rPr>
                <w:lang w:val="fr-CA"/>
              </w:rPr>
            </w:pPr>
          </w:p>
          <w:p w:rsidR="00741557" w:rsidRPr="00666F61" w:rsidRDefault="00741557" w:rsidP="00396357">
            <w:pPr>
              <w:spacing w:before="120" w:after="120"/>
              <w:rPr>
                <w:lang w:val="fr-CA"/>
              </w:rPr>
            </w:pPr>
          </w:p>
        </w:tc>
      </w:tr>
    </w:tbl>
    <w:p w:rsidR="00281819" w:rsidRPr="00666F61" w:rsidRDefault="00281819">
      <w:pPr>
        <w:rPr>
          <w:lang w:val="fr-CA"/>
        </w:rPr>
      </w:pPr>
    </w:p>
    <w:p w:rsidR="00281819" w:rsidRPr="00281819" w:rsidRDefault="00741557" w:rsidP="00741557">
      <w:pPr>
        <w:pStyle w:val="JudgeJuge"/>
        <w:spacing w:before="480"/>
        <w:rPr>
          <w:smallCaps w:val="0"/>
          <w:lang w:val="fr-CA"/>
        </w:rPr>
      </w:pPr>
      <w:r w:rsidRPr="00737F76">
        <w:rPr>
          <w:lang w:val="fr-CA"/>
        </w:rPr>
        <w:tab/>
      </w:r>
      <w:r w:rsidR="00281819" w:rsidRPr="00281819">
        <w:rPr>
          <w:smallCaps w:val="0"/>
          <w:lang w:val="fr-CA"/>
        </w:rPr>
        <w:t>Version française du jugement de la juge en chef McLachlin et des juges LeBel, Fish, Abella, Rothstein, Moldaver et Wagner rendu par</w:t>
      </w:r>
    </w:p>
    <w:p w:rsidR="00741557" w:rsidRPr="00737F76" w:rsidRDefault="00281819" w:rsidP="00741557">
      <w:pPr>
        <w:pStyle w:val="JudgeJuge"/>
        <w:spacing w:before="480"/>
        <w:rPr>
          <w:lang w:val="fr-CA"/>
        </w:rPr>
      </w:pPr>
      <w:r>
        <w:rPr>
          <w:lang w:val="fr-CA"/>
        </w:rPr>
        <w:tab/>
      </w:r>
      <w:r w:rsidR="00741557" w:rsidRPr="00737F76">
        <w:rPr>
          <w:lang w:val="fr-CA"/>
        </w:rPr>
        <w:t xml:space="preserve">Le juge Rothstein — </w:t>
      </w:r>
    </w:p>
    <w:p w:rsidR="00741557" w:rsidRPr="00737F76" w:rsidRDefault="00741557" w:rsidP="00741557">
      <w:pPr>
        <w:pStyle w:val="Title1LevelTitre1Niveau-AltL"/>
      </w:pPr>
      <w:bookmarkStart w:id="0" w:name="_Toc360612036"/>
      <w:bookmarkStart w:id="1" w:name="_Toc370805245"/>
      <w:r w:rsidRPr="00737F76">
        <w:lastRenderedPageBreak/>
        <w:t>Introduction</w:t>
      </w:r>
      <w:bookmarkEnd w:id="0"/>
      <w:bookmarkEnd w:id="1"/>
    </w:p>
    <w:p w:rsidR="00741557" w:rsidRPr="00737F76" w:rsidRDefault="00741557" w:rsidP="00741557">
      <w:pPr>
        <w:pStyle w:val="ParaNoNdepar-AltN"/>
        <w:rPr>
          <w:rFonts w:eastAsiaTheme="minorHAnsi" w:cs="Times New Roman"/>
          <w:lang w:val="fr-CA"/>
        </w:rPr>
      </w:pPr>
      <w:r w:rsidRPr="00737F76">
        <w:rPr>
          <w:rFonts w:eastAsiaTheme="minorHAnsi" w:cs="Times New Roman"/>
          <w:lang w:val="fr-CA"/>
        </w:rPr>
        <w:t xml:space="preserve">Dans les affaires de fixation des prix, l’acheteur indirect est celui qui s’est procuré un produit, non pas directement auprès de la personne à qui on reproche d’en avoir fixé le prix (l’auteur de la majoration), mais auprès d’une partie intervenant à une autre étape de la chaîne de distribution.  Les personnes qui préconisent l’irrecevabilité au Canada des recours des acheteurs indirects contre l’auteur de la majoration invoquent la difficulté de suivre la majoration d’un maillon à l’autre de cette chaîne, le risque de recouvrement double ou multiple et l’omission de décourager le comportement anticoncurrentiel comme autant de raisons justifiant leur argument.  Il s’agit de certaines des questions dont est saisie la Cour dans l’affaire connexe </w:t>
      </w:r>
      <w:r w:rsidRPr="00737F76">
        <w:rPr>
          <w:rFonts w:cs="Times New Roman"/>
          <w:i/>
          <w:lang w:val="fr-CA"/>
        </w:rPr>
        <w:t>Pro</w:t>
      </w:r>
      <w:r w:rsidRPr="00737F76">
        <w:rPr>
          <w:rFonts w:cs="Times New Roman"/>
          <w:i/>
          <w:lang w:val="fr-CA"/>
        </w:rPr>
        <w:noBreakHyphen/>
        <w:t>Sys Consultants Ltd. c. Microsoft Corporation</w:t>
      </w:r>
      <w:r>
        <w:rPr>
          <w:rFonts w:cs="Times New Roman"/>
          <w:lang w:val="fr-CA"/>
        </w:rPr>
        <w:t>,</w:t>
      </w:r>
      <w:r w:rsidRPr="00737F76">
        <w:rPr>
          <w:rFonts w:cs="Times New Roman"/>
          <w:lang w:val="fr-CA"/>
        </w:rPr>
        <w:t xml:space="preserve"> 2013 CSC 57</w:t>
      </w:r>
      <w:r w:rsidR="00345115" w:rsidRPr="00345115">
        <w:rPr>
          <w:lang w:val="fr-CA"/>
        </w:rPr>
        <w:t>, [2013] 3 R</w:t>
      </w:r>
      <w:r w:rsidR="00345115">
        <w:rPr>
          <w:lang w:val="fr-CA"/>
        </w:rPr>
        <w:t>.C.</w:t>
      </w:r>
      <w:r w:rsidR="00345115" w:rsidRPr="00345115">
        <w:rPr>
          <w:lang w:val="fr-CA"/>
        </w:rPr>
        <w:t xml:space="preserve">S. </w:t>
      </w:r>
      <w:r w:rsidR="0017121A">
        <w:rPr>
          <w:lang w:val="fr-CA"/>
        </w:rPr>
        <w:t>477</w:t>
      </w:r>
      <w:r w:rsidRPr="00737F76">
        <w:rPr>
          <w:rFonts w:cs="Times New Roman"/>
          <w:lang w:val="fr-CA"/>
        </w:rPr>
        <w:t xml:space="preserve"> (« </w:t>
      </w:r>
      <w:r w:rsidRPr="00737F76">
        <w:rPr>
          <w:rFonts w:cs="Times New Roman"/>
          <w:i/>
          <w:lang w:val="fr-CA"/>
        </w:rPr>
        <w:t>Pro</w:t>
      </w:r>
      <w:r w:rsidRPr="00737F76">
        <w:rPr>
          <w:rFonts w:cs="Times New Roman"/>
          <w:lang w:val="fr-CA"/>
        </w:rPr>
        <w:noBreakHyphen/>
      </w:r>
      <w:r w:rsidRPr="00737F76">
        <w:rPr>
          <w:rFonts w:cs="Times New Roman"/>
          <w:i/>
          <w:lang w:val="fr-CA"/>
        </w:rPr>
        <w:t>Sys</w:t>
      </w:r>
      <w:r w:rsidRPr="00737F76">
        <w:rPr>
          <w:rFonts w:cs="Times New Roman"/>
          <w:lang w:val="fr-CA"/>
        </w:rPr>
        <w:t xml:space="preserve"> »).  Dans cette dernière, un recours collectif projeté formé par des acheteurs indirects, les arguments mentionnés précédemment ont été jugés insuffisants pour refuser à ces acheteurs le droit de poursuivre en justice l’auteur présumé de la majoration. </w:t>
      </w:r>
      <w:r w:rsidRPr="00737F76">
        <w:rPr>
          <w:rFonts w:eastAsiaTheme="minorHAnsi" w:cs="Times New Roman"/>
          <w:lang w:val="fr-CA"/>
        </w:rPr>
        <w:t xml:space="preserve"> </w:t>
      </w:r>
    </w:p>
    <w:p w:rsidR="00741557" w:rsidRPr="00737F76" w:rsidRDefault="00741557" w:rsidP="00741557">
      <w:pPr>
        <w:pStyle w:val="ParaNoNdepar-AltN"/>
        <w:rPr>
          <w:rFonts w:eastAsiaTheme="minorHAnsi" w:cs="Times New Roman"/>
          <w:lang w:val="fr-CA"/>
        </w:rPr>
      </w:pPr>
      <w:r w:rsidRPr="00737F76">
        <w:rPr>
          <w:rFonts w:eastAsiaTheme="minorHAnsi" w:cs="Times New Roman"/>
          <w:lang w:val="fr-CA"/>
        </w:rPr>
        <w:t xml:space="preserve">En l’espèce, le groupe est formé à la fois des acheteurs indirects et des acheteurs directs.  Puisque la Cour a décidé dans </w:t>
      </w:r>
      <w:r w:rsidRPr="00737F76">
        <w:rPr>
          <w:rFonts w:eastAsiaTheme="minorHAnsi" w:cs="Times New Roman"/>
          <w:i/>
          <w:lang w:val="fr-CA"/>
        </w:rPr>
        <w:t>Pro</w:t>
      </w:r>
      <w:r w:rsidRPr="00737F76">
        <w:rPr>
          <w:rFonts w:eastAsiaTheme="minorHAnsi" w:cs="Times New Roman"/>
          <w:i/>
          <w:lang w:val="fr-CA"/>
        </w:rPr>
        <w:noBreakHyphen/>
        <w:t xml:space="preserve">Sys </w:t>
      </w:r>
      <w:r w:rsidRPr="00737F76">
        <w:rPr>
          <w:rFonts w:eastAsiaTheme="minorHAnsi" w:cs="Times New Roman"/>
          <w:lang w:val="fr-CA"/>
        </w:rPr>
        <w:t xml:space="preserve">que les acheteurs indirects ont le droit de se pourvoir en justice, la question à trancher est celle de savoir si les défis supplémentaires que pose un groupe composé à la fois d’acheteurs indirects et d’acheteurs directs sont suffisants pour justifier le rejet du recours.  Si la Cour conclut </w:t>
      </w:r>
      <w:r w:rsidRPr="00737F76">
        <w:rPr>
          <w:rFonts w:eastAsiaTheme="minorHAnsi" w:cs="Times New Roman"/>
          <w:lang w:val="fr-CA"/>
        </w:rPr>
        <w:lastRenderedPageBreak/>
        <w:t xml:space="preserve">que le recours collectif peut suivre son cours, elle doit alors se demander si le juge saisi de la demande aurait dû le certifier ou non. </w:t>
      </w:r>
    </w:p>
    <w:p w:rsidR="00741557" w:rsidRPr="00737F76" w:rsidRDefault="00CF713F" w:rsidP="00741557">
      <w:pPr>
        <w:pStyle w:val="ParaNoNdepar-AltN"/>
        <w:rPr>
          <w:rFonts w:eastAsiaTheme="minorHAnsi" w:cs="Times New Roman"/>
          <w:lang w:val="fr-CA"/>
        </w:rPr>
      </w:pPr>
      <w:r>
        <w:rPr>
          <w:rFonts w:eastAsiaTheme="minorHAnsi" w:cs="Times New Roman"/>
          <w:lang w:val="fr-CA"/>
        </w:rPr>
        <w:t>Pour les motifs exposés ci-</w:t>
      </w:r>
      <w:r w:rsidR="00741557" w:rsidRPr="00737F76">
        <w:rPr>
          <w:rFonts w:eastAsiaTheme="minorHAnsi" w:cs="Times New Roman"/>
          <w:lang w:val="fr-CA"/>
        </w:rPr>
        <w:t xml:space="preserve">après, j’estime que la composition du groupe projeté — formé d’acheteurs indirects et directs — n’engendre pas de difficultés justifiant le rejet du recours collectif.  Par contre, je conclus que la présente instance ne respecte pas les critères de certification prévus à la </w:t>
      </w:r>
      <w:r w:rsidR="00741557" w:rsidRPr="00737F76">
        <w:rPr>
          <w:rFonts w:eastAsiaTheme="minorHAnsi" w:cs="Times New Roman"/>
          <w:i/>
          <w:lang w:val="fr-CA"/>
        </w:rPr>
        <w:t>Class Proceedings Act</w:t>
      </w:r>
      <w:r w:rsidR="00741557" w:rsidRPr="00737F76">
        <w:rPr>
          <w:rFonts w:eastAsiaTheme="minorHAnsi" w:cs="Times New Roman"/>
          <w:lang w:val="fr-CA"/>
        </w:rPr>
        <w:t>, R.S.B.C. 1996, ch. 50 (« </w:t>
      </w:r>
      <w:r w:rsidR="00741557" w:rsidRPr="00737F76">
        <w:rPr>
          <w:rFonts w:eastAsiaTheme="minorHAnsi" w:cs="Times New Roman"/>
          <w:i/>
          <w:lang w:val="fr-CA"/>
        </w:rPr>
        <w:t>CPA</w:t>
      </w:r>
      <w:r w:rsidR="00741557" w:rsidRPr="00737F76">
        <w:rPr>
          <w:rFonts w:eastAsiaTheme="minorHAnsi" w:cs="Times New Roman"/>
          <w:lang w:val="fr-CA"/>
        </w:rPr>
        <w:t> »),</w:t>
      </w:r>
      <w:r w:rsidR="00741557" w:rsidRPr="00737F76">
        <w:rPr>
          <w:rFonts w:eastAsiaTheme="minorHAnsi" w:cs="Times New Roman"/>
          <w:i/>
          <w:lang w:val="fr-CA"/>
        </w:rPr>
        <w:t xml:space="preserve"> </w:t>
      </w:r>
      <w:r w:rsidR="00741557" w:rsidRPr="00737F76">
        <w:rPr>
          <w:rFonts w:eastAsiaTheme="minorHAnsi" w:cs="Times New Roman"/>
          <w:lang w:val="fr-CA"/>
        </w:rPr>
        <w:t>de la Colombie</w:t>
      </w:r>
      <w:r w:rsidR="00741557" w:rsidRPr="00737F76">
        <w:rPr>
          <w:rFonts w:eastAsiaTheme="minorHAnsi" w:cs="Times New Roman"/>
          <w:lang w:val="fr-CA"/>
        </w:rPr>
        <w:noBreakHyphen/>
        <w:t xml:space="preserve">Britannique, vu l’absence de groupe identifiable d’acheteurs indirects. Je suis d’avis de rejeter le pourvoi pour cette raison.  L’unique action des acheteurs directs, en imposition d’une fiducie par interprétation, est rejetée, faute de cause d’action.  Par conséquent, l’appel incident est accueilli. </w:t>
      </w:r>
    </w:p>
    <w:p w:rsidR="00741557" w:rsidRPr="00737F76" w:rsidRDefault="00741557" w:rsidP="00741557">
      <w:pPr>
        <w:pStyle w:val="Title1LevelTitre1Niveau-AltL"/>
        <w:keepNext/>
        <w:rPr>
          <w:rFonts w:cs="Times New Roman"/>
          <w:lang w:val="fr-CA"/>
        </w:rPr>
      </w:pPr>
      <w:bookmarkStart w:id="2" w:name="_Toc360612037"/>
      <w:bookmarkStart w:id="3" w:name="_Toc370805246"/>
      <w:r w:rsidRPr="00737F76">
        <w:rPr>
          <w:rFonts w:cs="Times New Roman"/>
          <w:lang w:val="fr-CA"/>
        </w:rPr>
        <w:t>Contexte</w:t>
      </w:r>
      <w:bookmarkEnd w:id="2"/>
      <w:bookmarkEnd w:id="3"/>
    </w:p>
    <w:p w:rsidR="00741557" w:rsidRPr="00737F76" w:rsidRDefault="00741557" w:rsidP="00741557">
      <w:pPr>
        <w:pStyle w:val="ParaNoNdepar-AltN"/>
        <w:rPr>
          <w:rFonts w:cs="Times New Roman"/>
          <w:lang w:val="fr-CA"/>
        </w:rPr>
      </w:pPr>
      <w:r w:rsidRPr="00737F76">
        <w:rPr>
          <w:rFonts w:cs="Times New Roman"/>
          <w:lang w:val="fr-CA"/>
        </w:rPr>
        <w:t>Sun</w:t>
      </w:r>
      <w:r w:rsidRPr="00737F76">
        <w:rPr>
          <w:rFonts w:cs="Times New Roman"/>
          <w:lang w:val="fr-CA"/>
        </w:rPr>
        <w:noBreakHyphen/>
        <w:t>Rype Products Ltd., un fabricant de jus, est la demanderesse</w:t>
      </w:r>
      <w:r w:rsidRPr="00737F76">
        <w:rPr>
          <w:rFonts w:cs="Times New Roman"/>
          <w:lang w:val="fr-CA"/>
        </w:rPr>
        <w:noBreakHyphen/>
        <w:t xml:space="preserve">représentante des acheteurs directs, et Wendy Bredin </w:t>
      </w:r>
      <w:r w:rsidRPr="00737F76">
        <w:rPr>
          <w:rFonts w:cs="Times New Roman"/>
          <w:szCs w:val="24"/>
          <w:lang w:val="fr-CA"/>
        </w:rPr>
        <w:t>(auparavant Weberg) remplit le même rôle au nom des acheteurs indirects en l’espèce. Les demanderesses</w:t>
      </w:r>
      <w:r w:rsidRPr="00737F76">
        <w:rPr>
          <w:rFonts w:cs="Times New Roman"/>
          <w:szCs w:val="24"/>
          <w:lang w:val="fr-CA"/>
        </w:rPr>
        <w:noBreakHyphen/>
        <w:t>représentantes (collectivement les « appelantes »</w:t>
      </w:r>
      <w:r w:rsidRPr="00737F76">
        <w:rPr>
          <w:rFonts w:cs="Times New Roman"/>
          <w:lang w:val="fr-CA"/>
        </w:rPr>
        <w:t xml:space="preserve">) ont intenté le recours collectif en vertu de la </w:t>
      </w:r>
      <w:r w:rsidRPr="00737F76">
        <w:rPr>
          <w:rFonts w:cs="Times New Roman"/>
          <w:i/>
          <w:lang w:val="fr-CA"/>
        </w:rPr>
        <w:t>CPA</w:t>
      </w:r>
      <w:r w:rsidRPr="00737F76">
        <w:rPr>
          <w:rFonts w:cs="Times New Roman"/>
          <w:lang w:val="fr-CA"/>
        </w:rPr>
        <w:t>. Selon elles, Archer Daniels Midland Company et ADM Agri</w:t>
      </w:r>
      <w:r w:rsidRPr="00737F76">
        <w:rPr>
          <w:rFonts w:cs="Times New Roman"/>
          <w:lang w:val="fr-CA"/>
        </w:rPr>
        <w:noBreakHyphen/>
        <w:t>Industries Company (les « intimées ADM »), Cargill, Incorporated, Cerestar USA, Inc., auparavant connue sous le nom d’American Maize</w:t>
      </w:r>
      <w:r w:rsidRPr="00737F76">
        <w:rPr>
          <w:rFonts w:cs="Times New Roman"/>
          <w:lang w:val="fr-CA"/>
        </w:rPr>
        <w:noBreakHyphen/>
        <w:t xml:space="preserve">Products Company et Cargill </w:t>
      </w:r>
      <w:r w:rsidR="00DC51F1">
        <w:rPr>
          <w:rFonts w:cs="Times New Roman"/>
          <w:lang w:val="fr-CA"/>
        </w:rPr>
        <w:t>Limitée</w:t>
      </w:r>
      <w:r w:rsidRPr="00737F76">
        <w:rPr>
          <w:rFonts w:cs="Times New Roman"/>
          <w:lang w:val="fr-CA"/>
        </w:rPr>
        <w:t xml:space="preserve"> (les « intimées Cargill ») ainsi que </w:t>
      </w:r>
      <w:r w:rsidRPr="00737F76">
        <w:rPr>
          <w:rFonts w:cs="Times New Roman"/>
          <w:szCs w:val="24"/>
          <w:lang w:val="fr-CA"/>
        </w:rPr>
        <w:t xml:space="preserve">Corn Products International, Inc., Bestfoods, Inc., auparavant connue sous le nom de CPC International, Inc., Casco Inc. et Unilever PLC, </w:t>
      </w:r>
      <w:r w:rsidRPr="00737F76">
        <w:rPr>
          <w:rFonts w:cs="Times New Roman"/>
          <w:lang w:val="fr-CA"/>
        </w:rPr>
        <w:t xml:space="preserve">faisant affaire sous la dénomination </w:t>
      </w:r>
      <w:r w:rsidRPr="00737F76">
        <w:rPr>
          <w:rFonts w:cs="Times New Roman"/>
          <w:lang w:val="fr-CA"/>
        </w:rPr>
        <w:lastRenderedPageBreak/>
        <w:t xml:space="preserve">d’Unilever Bestfoods North America </w:t>
      </w:r>
      <w:r w:rsidRPr="00737F76">
        <w:rPr>
          <w:rFonts w:cs="Times New Roman"/>
          <w:szCs w:val="24"/>
          <w:lang w:val="fr-CA"/>
        </w:rPr>
        <w:t>(les « intimées Casco ») (collectivement les « intimées »), ont participé à un complot illégal pour fixer le prix du sirop de maïs à haute teneur en fructose (« SMHTF »), ce qui a porté préjudice à des fabricants</w:t>
      </w:r>
      <w:r w:rsidRPr="00737F76">
        <w:rPr>
          <w:rFonts w:cs="Times New Roman"/>
          <w:lang w:val="fr-CA"/>
        </w:rPr>
        <w:t>, grossistes, détaillants et consommateurs.</w:t>
      </w:r>
    </w:p>
    <w:p w:rsidR="00741557" w:rsidRPr="00737F76" w:rsidRDefault="00741557" w:rsidP="00741557">
      <w:pPr>
        <w:pStyle w:val="ParaNoNdepar-AltN"/>
        <w:rPr>
          <w:rFonts w:cs="Times New Roman"/>
          <w:lang w:val="fr-CA"/>
        </w:rPr>
      </w:pPr>
      <w:r w:rsidRPr="00737F76">
        <w:rPr>
          <w:rFonts w:cs="Times New Roman"/>
          <w:lang w:val="fr-CA"/>
        </w:rPr>
        <w:t>Le SMHTF est un édulcorant utilisé dans la fabrication de diverses denrées alimentaires, dont les boissons gazeuses et les produits de boulangerie.  Les intimées sont les principaux fabricants de SMHTF en Amérique du Nord.  Les appelantes prétendent que, du 1</w:t>
      </w:r>
      <w:r w:rsidRPr="00737F76">
        <w:rPr>
          <w:rFonts w:cs="Times New Roman"/>
          <w:vertAlign w:val="superscript"/>
          <w:lang w:val="fr-CA"/>
        </w:rPr>
        <w:t>er</w:t>
      </w:r>
      <w:r w:rsidRPr="00737F76">
        <w:rPr>
          <w:rFonts w:cs="Times New Roman"/>
          <w:lang w:val="fr-CA"/>
        </w:rPr>
        <w:t> janvier 1988 au 30 juin 1995, les intimées ont participé à un [</w:t>
      </w:r>
      <w:r w:rsidRPr="00737F76">
        <w:rPr>
          <w:rFonts w:cs="Times New Roman"/>
          <w:smallCaps/>
          <w:lang w:val="fr-CA"/>
        </w:rPr>
        <w:t>traduction</w:t>
      </w:r>
      <w:r w:rsidRPr="00737F76">
        <w:rPr>
          <w:rFonts w:cs="Times New Roman"/>
          <w:lang w:val="fr-CA"/>
        </w:rPr>
        <w:t xml:space="preserve">] « complot intentionnel, secret et illégal en vue de fixer le prix du SMHTF », ce qui leur a permis de faire payer aux membres du groupe un prix plus élevé pour le SMHTF que celui qu’elles auraient établi, n’eussent été les actes illégaux qu’on leur reproche (m.a., par. 9 et 11).  </w:t>
      </w:r>
    </w:p>
    <w:p w:rsidR="00741557" w:rsidRPr="00737F76" w:rsidRDefault="00741557" w:rsidP="00741557">
      <w:pPr>
        <w:pStyle w:val="Title1LevelTitre1Niveau-AltL"/>
        <w:keepNext/>
        <w:rPr>
          <w:rFonts w:cs="Times New Roman"/>
          <w:lang w:val="fr-FR"/>
        </w:rPr>
      </w:pPr>
      <w:bookmarkStart w:id="4" w:name="_Toc354481705"/>
      <w:bookmarkStart w:id="5" w:name="_Toc360612038"/>
      <w:bookmarkStart w:id="6" w:name="_Toc370805247"/>
      <w:r w:rsidRPr="00737F76">
        <w:rPr>
          <w:rFonts w:cs="Times New Roman"/>
          <w:lang w:val="fr-CA"/>
        </w:rPr>
        <w:t>Résumé des instances devant les juridictions inférieures</w:t>
      </w:r>
      <w:bookmarkEnd w:id="4"/>
      <w:bookmarkEnd w:id="5"/>
      <w:bookmarkEnd w:id="6"/>
    </w:p>
    <w:p w:rsidR="00741557" w:rsidRPr="00737F76" w:rsidRDefault="00741557" w:rsidP="00741557">
      <w:pPr>
        <w:pStyle w:val="Title2LevelTitre2Niveau"/>
      </w:pPr>
      <w:bookmarkStart w:id="7" w:name="_Toc360612039"/>
      <w:bookmarkStart w:id="8" w:name="_Toc370805248"/>
      <w:r w:rsidRPr="00737F76">
        <w:t>Genèse de l’instance</w:t>
      </w:r>
      <w:bookmarkEnd w:id="7"/>
      <w:bookmarkEnd w:id="8"/>
    </w:p>
    <w:p w:rsidR="00741557" w:rsidRPr="00737F76" w:rsidRDefault="00741557" w:rsidP="00741557">
      <w:pPr>
        <w:pStyle w:val="ParaNoNdepar-AltN"/>
        <w:rPr>
          <w:rFonts w:cs="Times New Roman"/>
          <w:lang w:val="fr-CA"/>
        </w:rPr>
      </w:pPr>
      <w:r w:rsidRPr="00737F76">
        <w:rPr>
          <w:rFonts w:cs="Times New Roman"/>
          <w:lang w:val="fr-CA"/>
        </w:rPr>
        <w:t>Les appelantes ont intenté le recours collectif en juin 2005 au nom de [</w:t>
      </w:r>
      <w:r w:rsidRPr="00737F76">
        <w:rPr>
          <w:rFonts w:cs="Times New Roman"/>
          <w:smallCaps/>
          <w:lang w:val="fr-CA"/>
        </w:rPr>
        <w:t>traduction</w:t>
      </w:r>
      <w:r w:rsidRPr="00737F76">
        <w:rPr>
          <w:rFonts w:cs="Times New Roman"/>
          <w:lang w:val="fr-CA"/>
        </w:rPr>
        <w:t>] « tous les résidants de la Colombie</w:t>
      </w:r>
      <w:r w:rsidRPr="00737F76">
        <w:rPr>
          <w:rFonts w:cs="Times New Roman"/>
          <w:lang w:val="fr-CA"/>
        </w:rPr>
        <w:noBreakHyphen/>
        <w:t>Britannique et d’ailleurs au Canada qui ont acheté du SMHTF fabriqué par les [intimées] ou des produits en contenant (collectivement le “</w:t>
      </w:r>
      <w:r w:rsidR="007375FE">
        <w:rPr>
          <w:rFonts w:cs="Times New Roman"/>
          <w:lang w:val="fr-CA"/>
        </w:rPr>
        <w:t>groupe</w:t>
      </w:r>
      <w:r w:rsidRPr="00737F76">
        <w:rPr>
          <w:rFonts w:cs="Times New Roman"/>
          <w:lang w:val="fr-CA"/>
        </w:rPr>
        <w:t>”) entre le 1</w:t>
      </w:r>
      <w:r w:rsidRPr="00737F76">
        <w:rPr>
          <w:rFonts w:cs="Times New Roman"/>
          <w:vertAlign w:val="superscript"/>
          <w:lang w:val="fr-CA"/>
        </w:rPr>
        <w:t>er</w:t>
      </w:r>
      <w:r w:rsidRPr="00737F76">
        <w:rPr>
          <w:rFonts w:cs="Times New Roman"/>
          <w:lang w:val="fr-CA"/>
        </w:rPr>
        <w:t> janvier 1988 et le 30 juin 1995 (la “période visée par le recours”) » (2010 BCSC 922 (CanLII), par. 2).  Le groupe a fait valoir les causes d’action suivantes (</w:t>
      </w:r>
      <w:r w:rsidRPr="00737F76">
        <w:rPr>
          <w:rFonts w:cs="Times New Roman"/>
          <w:i/>
          <w:lang w:val="fr-CA"/>
        </w:rPr>
        <w:t>ibid</w:t>
      </w:r>
      <w:r w:rsidRPr="00737F76">
        <w:rPr>
          <w:rFonts w:cs="Times New Roman"/>
          <w:lang w:val="fr-CA"/>
        </w:rPr>
        <w:t>., par. </w:t>
      </w:r>
      <w:r w:rsidRPr="00737F76">
        <w:rPr>
          <w:rFonts w:cs="Times New Roman"/>
          <w:szCs w:val="24"/>
          <w:lang w:val="fr-CA"/>
        </w:rPr>
        <w:t>27) :</w:t>
      </w:r>
    </w:p>
    <w:p w:rsidR="00741557" w:rsidRPr="00737F76" w:rsidRDefault="00741557" w:rsidP="00741557">
      <w:pPr>
        <w:pStyle w:val="Citation-AltC"/>
        <w:numPr>
          <w:ilvl w:val="0"/>
          <w:numId w:val="13"/>
        </w:numPr>
        <w:spacing w:after="240"/>
        <w:ind w:left="1680" w:hanging="480"/>
        <w:contextualSpacing w:val="0"/>
        <w:rPr>
          <w:lang w:val="fr-CA"/>
        </w:rPr>
      </w:pPr>
      <w:r w:rsidRPr="00737F76">
        <w:rPr>
          <w:lang w:val="fr-CA"/>
        </w:rPr>
        <w:lastRenderedPageBreak/>
        <w:t xml:space="preserve">infraction au par. 45(1) de la partie VI de la </w:t>
      </w:r>
      <w:r w:rsidRPr="00737F76">
        <w:rPr>
          <w:i/>
          <w:lang w:val="fr-CA"/>
        </w:rPr>
        <w:t>Loi sur la concurrence</w:t>
      </w:r>
      <w:r w:rsidRPr="00737F76">
        <w:rPr>
          <w:lang w:val="fr-CA"/>
        </w:rPr>
        <w:t xml:space="preserve"> ouvrant droit à des dommages</w:t>
      </w:r>
      <w:r w:rsidRPr="00737F76">
        <w:rPr>
          <w:lang w:val="fr-CA"/>
        </w:rPr>
        <w:noBreakHyphen/>
        <w:t>intérêts au titre du par. 36(1) de cette loi;</w:t>
      </w:r>
    </w:p>
    <w:p w:rsidR="00741557" w:rsidRPr="00737F76" w:rsidRDefault="00741557" w:rsidP="00741557">
      <w:pPr>
        <w:pStyle w:val="Citation-AltC"/>
        <w:numPr>
          <w:ilvl w:val="0"/>
          <w:numId w:val="13"/>
        </w:numPr>
        <w:spacing w:after="240"/>
        <w:ind w:left="1680" w:hanging="480"/>
        <w:contextualSpacing w:val="0"/>
        <w:rPr>
          <w:szCs w:val="24"/>
          <w:lang w:val="fr-CA"/>
        </w:rPr>
      </w:pPr>
      <w:r w:rsidRPr="00737F76">
        <w:rPr>
          <w:szCs w:val="24"/>
          <w:lang w:val="fr-CA"/>
        </w:rPr>
        <w:t>délit civil de complot et atteinte intentionnelle à des intérêts financiers;</w:t>
      </w:r>
    </w:p>
    <w:p w:rsidR="00741557" w:rsidRPr="00737F76" w:rsidRDefault="00741557" w:rsidP="00741557">
      <w:pPr>
        <w:pStyle w:val="Citation-AltC"/>
        <w:numPr>
          <w:ilvl w:val="0"/>
          <w:numId w:val="13"/>
        </w:numPr>
        <w:spacing w:after="240"/>
        <w:ind w:left="1670" w:hanging="475"/>
        <w:contextualSpacing w:val="0"/>
        <w:rPr>
          <w:szCs w:val="24"/>
          <w:lang w:val="fr-CA"/>
        </w:rPr>
      </w:pPr>
      <w:r w:rsidRPr="00737F76">
        <w:rPr>
          <w:szCs w:val="24"/>
          <w:lang w:val="fr-CA"/>
        </w:rPr>
        <w:t>enrichissement injustifié, renonciation à un recours délictuel et fiducie par interprétation;</w:t>
      </w:r>
    </w:p>
    <w:p w:rsidR="00741557" w:rsidRPr="00737F76" w:rsidRDefault="00741557" w:rsidP="00741557">
      <w:pPr>
        <w:pStyle w:val="Citation-AltC"/>
        <w:numPr>
          <w:ilvl w:val="0"/>
          <w:numId w:val="13"/>
        </w:numPr>
        <w:ind w:left="1670" w:hanging="475"/>
        <w:contextualSpacing w:val="0"/>
        <w:rPr>
          <w:szCs w:val="24"/>
          <w:lang w:val="fr-CA"/>
        </w:rPr>
      </w:pPr>
      <w:r w:rsidRPr="00737F76">
        <w:rPr>
          <w:szCs w:val="24"/>
          <w:lang w:val="fr-CA"/>
        </w:rPr>
        <w:t>dommages</w:t>
      </w:r>
      <w:r w:rsidRPr="00737F76">
        <w:rPr>
          <w:szCs w:val="24"/>
          <w:lang w:val="fr-CA"/>
        </w:rPr>
        <w:noBreakHyphen/>
        <w:t>intérêts punitifs.</w:t>
      </w:r>
    </w:p>
    <w:p w:rsidR="00741557" w:rsidRPr="00737F76" w:rsidRDefault="00741557" w:rsidP="00741557">
      <w:pPr>
        <w:pStyle w:val="Title2LevelTitre2Niveau"/>
        <w:keepNext/>
        <w:rPr>
          <w:rFonts w:cs="Times New Roman"/>
          <w:lang w:val="fr-CA"/>
        </w:rPr>
      </w:pPr>
      <w:bookmarkStart w:id="9" w:name="_Toc370805249"/>
      <w:bookmarkStart w:id="10" w:name="_Toc360612040"/>
      <w:r w:rsidRPr="00737F76">
        <w:rPr>
          <w:rFonts w:cs="Times New Roman"/>
          <w:noProof/>
          <w:lang w:val="fr-CA"/>
        </w:rPr>
        <w:t>Requête en radiation présentée avant la certification du recours collectif</w:t>
      </w:r>
      <w:bookmarkEnd w:id="9"/>
      <w:r w:rsidRPr="00737F76">
        <w:rPr>
          <w:rFonts w:cs="Times New Roman"/>
          <w:lang w:val="fr-CA"/>
        </w:rPr>
        <w:t xml:space="preserve"> </w:t>
      </w:r>
      <w:bookmarkEnd w:id="10"/>
    </w:p>
    <w:p w:rsidR="00741557" w:rsidRPr="00737F76" w:rsidRDefault="00741557" w:rsidP="00741557">
      <w:pPr>
        <w:pStyle w:val="ParaNoNdepar-AltN"/>
        <w:rPr>
          <w:rFonts w:cs="Times New Roman"/>
          <w:lang w:val="fr-CA"/>
        </w:rPr>
      </w:pPr>
      <w:r w:rsidRPr="00737F76">
        <w:rPr>
          <w:rFonts w:cs="Times New Roman"/>
          <w:lang w:val="fr-CA"/>
        </w:rPr>
        <w:t>Avant la certification du recours collectif, les intimées ont présenté une requête en radiation des demandes des appelantes pour cause de prescription.  Par ordonnance datée du 10 mai 2007, le juge des requêtes a accueilli uniquement la demande relative à l’imposition d’une fiducie par interprétation à titre de réparation parce qu’elle était assujettie à un délai de prescription plus long (10 ans) que les autres</w:t>
      </w:r>
      <w:r w:rsidRPr="00737F76">
        <w:rPr>
          <w:rFonts w:cs="Times New Roman"/>
          <w:szCs w:val="24"/>
          <w:lang w:val="fr-CA"/>
        </w:rPr>
        <w:t xml:space="preserve"> (2007 BCSC 640, 72 B.C.L.R. (4th) 163).  Les intimées ont interjeté appel de l’ordonnance à la Cour d’appel de la Colombie</w:t>
      </w:r>
      <w:r w:rsidRPr="00737F76">
        <w:rPr>
          <w:rFonts w:cs="Times New Roman"/>
          <w:szCs w:val="24"/>
          <w:lang w:val="fr-CA"/>
        </w:rPr>
        <w:noBreakHyphen/>
        <w:t>Britannique</w:t>
      </w:r>
      <w:r w:rsidR="005B172B">
        <w:rPr>
          <w:rFonts w:cs="Times New Roman"/>
          <w:szCs w:val="24"/>
          <w:lang w:val="fr-CA"/>
        </w:rPr>
        <w:t xml:space="preserve"> (« C.A.C.-B. »)</w:t>
      </w:r>
      <w:r w:rsidRPr="00737F76">
        <w:rPr>
          <w:rFonts w:cs="Times New Roman"/>
          <w:szCs w:val="24"/>
          <w:lang w:val="fr-CA"/>
        </w:rPr>
        <w:t>, et les appelantes ont formé un appel incident (2008 BCCA 278, 81 B.C.L.R. (4th) 199).  La Cour d’appel a conclu que la demanderesse</w:t>
      </w:r>
      <w:r w:rsidRPr="00737F76">
        <w:rPr>
          <w:rFonts w:cs="Times New Roman"/>
          <w:szCs w:val="24"/>
          <w:lang w:val="fr-CA"/>
        </w:rPr>
        <w:noBreakHyphen/>
        <w:t xml:space="preserve">représentante des acheteurs directs, </w:t>
      </w:r>
      <w:r w:rsidRPr="00737F76">
        <w:rPr>
          <w:rFonts w:cs="Times New Roman"/>
          <w:lang w:val="fr-CA"/>
        </w:rPr>
        <w:t>Sun</w:t>
      </w:r>
      <w:r w:rsidRPr="00737F76">
        <w:rPr>
          <w:rFonts w:cs="Times New Roman"/>
          <w:lang w:val="fr-CA"/>
        </w:rPr>
        <w:noBreakHyphen/>
        <w:t>Rype, pouvait maintenir uniquement sa demande en imposition d’une fiducie par interprétation à titre de réparation, et que ses demandes en dommages</w:t>
      </w:r>
      <w:r w:rsidRPr="00737F76">
        <w:rPr>
          <w:rFonts w:cs="Times New Roman"/>
          <w:lang w:val="fr-CA"/>
        </w:rPr>
        <w:noBreakHyphen/>
        <w:t xml:space="preserve">intérêts, notamment celles présentées en vertu de la </w:t>
      </w:r>
      <w:r w:rsidRPr="00737F76">
        <w:rPr>
          <w:rFonts w:cs="Times New Roman"/>
          <w:i/>
          <w:lang w:val="fr-CA"/>
        </w:rPr>
        <w:t>Loi sur la concurrence</w:t>
      </w:r>
      <w:r w:rsidRPr="00737F76">
        <w:rPr>
          <w:rFonts w:cs="Times New Roman"/>
          <w:lang w:val="fr-CA"/>
        </w:rPr>
        <w:t>, L.R.C. 1985, ch. C</w:t>
      </w:r>
      <w:r w:rsidRPr="00737F76">
        <w:rPr>
          <w:rFonts w:cs="Times New Roman"/>
          <w:lang w:val="fr-CA"/>
        </w:rPr>
        <w:noBreakHyphen/>
        <w:t>34, étaient prescrites.  Quant à la demanderesse</w:t>
      </w:r>
      <w:r w:rsidRPr="00737F76">
        <w:rPr>
          <w:rFonts w:cs="Times New Roman"/>
          <w:lang w:val="fr-CA"/>
        </w:rPr>
        <w:noBreakHyphen/>
        <w:t xml:space="preserve">représentante des acheteurs indirects, Wendy Bredin, la Cour d’appel a conclu qu’elle pouvait continuer à faire valoir toutes ses causes d’action parce que le délai de prescription applicable à ses </w:t>
      </w:r>
      <w:r w:rsidRPr="00737F76">
        <w:rPr>
          <w:rFonts w:cs="Times New Roman"/>
          <w:lang w:val="fr-CA"/>
        </w:rPr>
        <w:lastRenderedPageBreak/>
        <w:t>demandes n’avait commencé à courir qu’au moment où [</w:t>
      </w:r>
      <w:r w:rsidRPr="00737F76">
        <w:rPr>
          <w:rFonts w:cs="Times New Roman"/>
          <w:smallCaps/>
          <w:lang w:val="fr-CA"/>
        </w:rPr>
        <w:t>traduction</w:t>
      </w:r>
      <w:r w:rsidRPr="00737F76">
        <w:rPr>
          <w:rFonts w:cs="Times New Roman"/>
          <w:lang w:val="fr-CA"/>
        </w:rPr>
        <w:t xml:space="preserve">] « elle a reçu l’appel de son avocat qui l’a avisée de l’existence du recours collectif projeté » (par. 138). </w:t>
      </w:r>
      <w:bookmarkStart w:id="11" w:name="_Toc354481706"/>
    </w:p>
    <w:p w:rsidR="00741557" w:rsidRPr="00737F76" w:rsidRDefault="00741557" w:rsidP="00741557">
      <w:pPr>
        <w:pStyle w:val="Title2LevelTitre2Niveau"/>
        <w:keepNext/>
        <w:rPr>
          <w:rFonts w:cs="Times New Roman"/>
          <w:lang w:val="fr-CA"/>
        </w:rPr>
      </w:pPr>
      <w:bookmarkStart w:id="12" w:name="_Toc360612041"/>
      <w:bookmarkStart w:id="13" w:name="_Toc370805250"/>
      <w:r w:rsidRPr="00737F76">
        <w:rPr>
          <w:rFonts w:cs="Times New Roman"/>
          <w:lang w:val="fr-CA"/>
        </w:rPr>
        <w:t>Procédure de certification devant la Cour suprême de la Colombie</w:t>
      </w:r>
      <w:r w:rsidRPr="00737F76">
        <w:rPr>
          <w:rFonts w:cs="Times New Roman"/>
          <w:lang w:val="fr-CA"/>
        </w:rPr>
        <w:noBreakHyphen/>
        <w:t>Britannique</w:t>
      </w:r>
      <w:bookmarkEnd w:id="11"/>
      <w:bookmarkEnd w:id="12"/>
      <w:r w:rsidRPr="00737F76">
        <w:rPr>
          <w:rFonts w:cs="Times New Roman"/>
          <w:lang w:val="fr-CA"/>
        </w:rPr>
        <w:t>, 2010 BCSC 922 (CanLII)</w:t>
      </w:r>
      <w:bookmarkEnd w:id="13"/>
    </w:p>
    <w:p w:rsidR="00741557" w:rsidRPr="00737F76" w:rsidRDefault="00741557" w:rsidP="00741557">
      <w:pPr>
        <w:pStyle w:val="ParaNoNdepar-AltN"/>
        <w:rPr>
          <w:rFonts w:cs="Times New Roman"/>
          <w:lang w:val="fr-CA"/>
        </w:rPr>
      </w:pPr>
      <w:r w:rsidRPr="00737F76">
        <w:rPr>
          <w:rFonts w:cs="Times New Roman"/>
          <w:lang w:val="fr-CA"/>
        </w:rPr>
        <w:t>La Cour suprême de la Colombie</w:t>
      </w:r>
      <w:r w:rsidRPr="00737F76">
        <w:rPr>
          <w:rFonts w:cs="Times New Roman"/>
          <w:lang w:val="fr-CA"/>
        </w:rPr>
        <w:noBreakHyphen/>
        <w:t xml:space="preserve">Britannique </w:t>
      </w:r>
      <w:r w:rsidR="005B172B">
        <w:rPr>
          <w:rFonts w:cs="Times New Roman"/>
          <w:lang w:val="fr-CA"/>
        </w:rPr>
        <w:t xml:space="preserve">(« C.S.C.-B. ») </w:t>
      </w:r>
      <w:r w:rsidRPr="00737F76">
        <w:rPr>
          <w:rFonts w:cs="Times New Roman"/>
          <w:lang w:val="fr-CA"/>
        </w:rPr>
        <w:t>tranche la demande des appelantes visant la certification d’un recours collectif le 30 juin 2010.  Pour ce qui est de savoir si les acheteurs indirects peuvent poursuivre l’auteur présumé de la majoration, le juge Rice conclut qu’il [</w:t>
      </w:r>
      <w:r w:rsidRPr="00737F76">
        <w:rPr>
          <w:rFonts w:cs="Times New Roman"/>
          <w:smallCaps/>
          <w:lang w:val="fr-CA"/>
        </w:rPr>
        <w:t>traduction</w:t>
      </w:r>
      <w:r w:rsidRPr="00737F76">
        <w:rPr>
          <w:rFonts w:cs="Times New Roman"/>
          <w:lang w:val="fr-CA"/>
        </w:rPr>
        <w:t xml:space="preserve">] « n’est pas manifeste » que les demandes d’acheteurs indirects sont irrecevables en droit au Canada (par. 58). </w:t>
      </w:r>
    </w:p>
    <w:p w:rsidR="00741557" w:rsidRPr="00737F76" w:rsidRDefault="00741557" w:rsidP="00741557">
      <w:pPr>
        <w:pStyle w:val="ParaNoNdepar-AltN"/>
        <w:rPr>
          <w:rFonts w:cs="Times New Roman"/>
          <w:szCs w:val="24"/>
          <w:lang w:val="fr-CA"/>
        </w:rPr>
      </w:pPr>
      <w:r w:rsidRPr="00737F76">
        <w:rPr>
          <w:rFonts w:cs="Times New Roman"/>
          <w:lang w:val="fr-CA"/>
        </w:rPr>
        <w:t>Le juge Rice analyse ensuite la condition prévue à l’al. 4(1)</w:t>
      </w:r>
      <w:r w:rsidR="009F7F33">
        <w:rPr>
          <w:rFonts w:cs="Times New Roman"/>
          <w:lang w:val="fr-CA"/>
        </w:rPr>
        <w:t>(</w:t>
      </w:r>
      <w:r w:rsidRPr="00737F76">
        <w:rPr>
          <w:rFonts w:cs="Times New Roman"/>
          <w:lang w:val="fr-CA"/>
        </w:rPr>
        <w:t xml:space="preserve">a) de la </w:t>
      </w:r>
      <w:r w:rsidRPr="00737F76">
        <w:rPr>
          <w:rFonts w:cs="Times New Roman"/>
          <w:i/>
          <w:lang w:val="fr-CA"/>
        </w:rPr>
        <w:t xml:space="preserve">CPA </w:t>
      </w:r>
      <w:r w:rsidRPr="00737F76">
        <w:rPr>
          <w:rFonts w:cs="Times New Roman"/>
          <w:lang w:val="fr-CA"/>
        </w:rPr>
        <w:t xml:space="preserve">voulant que les actes de procédure révèlent une cause d’action.  Faisant fi des éléments de l’action radiés par suite de la décision sur les délais de prescription rendue avant la certification du recours collectif, le juge Rice arrive à la conclusion que les actes de procédure révèlent des causes d’action, pour les acheteurs directs, en imposition d’une fiducie par interprétation, et pour les acheteurs indirects, en vertu de l’art. 36 de la </w:t>
      </w:r>
      <w:r w:rsidRPr="00737F76">
        <w:rPr>
          <w:rFonts w:cs="Times New Roman"/>
          <w:i/>
          <w:lang w:val="fr-CA"/>
        </w:rPr>
        <w:t>Loi sur la concurrence</w:t>
      </w:r>
      <w:r w:rsidRPr="00737F76">
        <w:rPr>
          <w:rFonts w:cs="Times New Roman"/>
          <w:lang w:val="fr-CA"/>
        </w:rPr>
        <w:t>, en responsabilité délictuelle et en restitution.  Selon lui, les autres conditions de certification d’un recours collectif sont réunies, à savoir i) l’existence d’une question commune; ii) l’existence d’un groupe identifiable; iii) le recours collectif est la meilleure procédure; iv) Sun</w:t>
      </w:r>
      <w:r w:rsidRPr="00737F76">
        <w:rPr>
          <w:rFonts w:cs="Times New Roman"/>
          <w:lang w:val="fr-CA"/>
        </w:rPr>
        <w:noBreakHyphen/>
        <w:t xml:space="preserve">Rype et Wendy Bredin </w:t>
      </w:r>
      <w:r w:rsidRPr="00737F76">
        <w:rPr>
          <w:rFonts w:cs="Times New Roman"/>
          <w:lang w:val="fr-CA"/>
        </w:rPr>
        <w:lastRenderedPageBreak/>
        <w:t>peuvent représenter le groupe de manière appropriée.  Il certifie le recours collectif, sur la foi d’allégations de complot international et illégal par les intimées en vue de fixer le prix du SMHTF au cours de la période visée par le recours, et détermine les questions communes des acheteurs indirects intéressant leurs demandes en restitution et en dommages</w:t>
      </w:r>
      <w:r w:rsidRPr="00737F76">
        <w:rPr>
          <w:rFonts w:cs="Times New Roman"/>
          <w:lang w:val="fr-CA"/>
        </w:rPr>
        <w:noBreakHyphen/>
        <w:t xml:space="preserve">intérêts légaux, de common law et </w:t>
      </w:r>
      <w:r w:rsidRPr="00B45DFB">
        <w:rPr>
          <w:rFonts w:cs="Times New Roman"/>
          <w:lang w:val="fr-CA"/>
        </w:rPr>
        <w:t>d’equity.</w:t>
      </w:r>
      <w:r w:rsidRPr="00737F76">
        <w:rPr>
          <w:rFonts w:cs="Times New Roman"/>
          <w:lang w:val="fr-CA"/>
        </w:rPr>
        <w:t xml:space="preserve">  Les questions communes certifiées par le juge Rice sont énumérées à l’annexe.</w:t>
      </w:r>
    </w:p>
    <w:p w:rsidR="00741557" w:rsidRPr="00737F76" w:rsidRDefault="00741557" w:rsidP="00741557">
      <w:pPr>
        <w:pStyle w:val="Title2LevelTitre2Niveau"/>
        <w:keepNext/>
        <w:rPr>
          <w:rFonts w:cs="Times New Roman"/>
          <w:lang w:val="fr-CA"/>
        </w:rPr>
      </w:pPr>
      <w:bookmarkStart w:id="14" w:name="_Toc354481707"/>
      <w:bookmarkStart w:id="15" w:name="_Toc360612042"/>
      <w:bookmarkStart w:id="16" w:name="_Toc370805251"/>
      <w:r w:rsidRPr="00737F76">
        <w:rPr>
          <w:rFonts w:cs="Times New Roman"/>
          <w:lang w:val="fr-CA"/>
        </w:rPr>
        <w:t>Appel de la certification à la Cour d’appel de la Colombie</w:t>
      </w:r>
      <w:r w:rsidRPr="00737F76">
        <w:rPr>
          <w:rFonts w:cs="Times New Roman"/>
          <w:lang w:val="fr-CA"/>
        </w:rPr>
        <w:noBreakHyphen/>
        <w:t>Britannique</w:t>
      </w:r>
      <w:bookmarkEnd w:id="14"/>
      <w:bookmarkEnd w:id="15"/>
      <w:r w:rsidRPr="00737F76">
        <w:rPr>
          <w:rFonts w:cs="Times New Roman"/>
          <w:lang w:val="fr-CA"/>
        </w:rPr>
        <w:t>, 2011 BCCA 187, 305 B.C.A.C. 55</w:t>
      </w:r>
      <w:bookmarkEnd w:id="16"/>
    </w:p>
    <w:p w:rsidR="00741557" w:rsidRPr="00737F76" w:rsidRDefault="00741557" w:rsidP="00741557">
      <w:pPr>
        <w:pStyle w:val="ParaNoNdepar-AltN"/>
        <w:autoSpaceDE w:val="0"/>
        <w:autoSpaceDN w:val="0"/>
        <w:adjustRightInd w:val="0"/>
        <w:rPr>
          <w:rFonts w:cs="Times New Roman"/>
          <w:szCs w:val="24"/>
          <w:lang w:val="fr-CA"/>
        </w:rPr>
      </w:pPr>
      <w:r w:rsidRPr="00737F76">
        <w:rPr>
          <w:rFonts w:cs="Times New Roman"/>
          <w:lang w:val="fr-CA"/>
        </w:rPr>
        <w:t xml:space="preserve">Les juges majoritaires de la </w:t>
      </w:r>
      <w:r w:rsidR="00492AB3">
        <w:rPr>
          <w:rFonts w:cs="Times New Roman"/>
          <w:lang w:val="fr-CA"/>
        </w:rPr>
        <w:t>C.A.C.-B.</w:t>
      </w:r>
      <w:r w:rsidRPr="00737F76">
        <w:rPr>
          <w:rFonts w:cs="Times New Roman"/>
          <w:lang w:val="fr-CA"/>
        </w:rPr>
        <w:t xml:space="preserve"> (le juge Lowry, avec l’accord du juge Frankel) concluent qu’il est [</w:t>
      </w:r>
      <w:r w:rsidRPr="00737F76">
        <w:rPr>
          <w:rFonts w:cs="Times New Roman"/>
          <w:smallCaps/>
          <w:lang w:val="fr-CA"/>
        </w:rPr>
        <w:t>traduction</w:t>
      </w:r>
      <w:r w:rsidRPr="00737F76">
        <w:rPr>
          <w:rFonts w:cs="Times New Roman"/>
          <w:lang w:val="fr-CA"/>
        </w:rPr>
        <w:t xml:space="preserve">] « manifeste » que les acheteurs indirects n’ont aucune cause d’action (par. 97).  Ils parviennent à cette conclusion pour les mêmes motifs que dans leur arrêt </w:t>
      </w:r>
      <w:r w:rsidRPr="00737F76">
        <w:rPr>
          <w:rFonts w:cs="Times New Roman"/>
          <w:i/>
          <w:lang w:val="fr-CA"/>
        </w:rPr>
        <w:t>Pro</w:t>
      </w:r>
      <w:r w:rsidRPr="00737F76">
        <w:rPr>
          <w:rFonts w:cs="Times New Roman"/>
          <w:i/>
          <w:lang w:val="fr-CA"/>
        </w:rPr>
        <w:noBreakHyphen/>
        <w:t>Sys Consultants Ltd. c. Microsoft Corp.</w:t>
      </w:r>
      <w:r w:rsidRPr="00737F76">
        <w:rPr>
          <w:rFonts w:cs="Times New Roman"/>
          <w:lang w:val="fr-CA"/>
        </w:rPr>
        <w:t>, 2011 BCCA 186, 304 B.C.A.C. 90</w:t>
      </w:r>
      <w:r w:rsidRPr="00984004">
        <w:rPr>
          <w:rFonts w:cs="Times New Roman"/>
          <w:lang w:val="fr-CA"/>
        </w:rPr>
        <w:t> :</w:t>
      </w:r>
      <w:r w:rsidRPr="00737F76">
        <w:rPr>
          <w:rFonts w:cs="Times New Roman"/>
          <w:lang w:val="fr-CA"/>
        </w:rPr>
        <w:t xml:space="preserve"> selon eux, le rejet de la défense de transfert de la perte au Canada emporte nécessairement le rejet du transfert de la perte comme cause d’action, c’est</w:t>
      </w:r>
      <w:r w:rsidRPr="00737F76">
        <w:rPr>
          <w:rFonts w:cs="Times New Roman"/>
          <w:lang w:val="fr-CA"/>
        </w:rPr>
        <w:noBreakHyphen/>
        <w:t>à</w:t>
      </w:r>
      <w:r w:rsidRPr="00737F76">
        <w:rPr>
          <w:rFonts w:cs="Times New Roman"/>
          <w:lang w:val="fr-CA"/>
        </w:rPr>
        <w:noBreakHyphen/>
        <w:t>dire de l’action intentée par les acheteurs indirects.  Les juges majoritaires estiment que le droit canadien [</w:t>
      </w:r>
      <w:r w:rsidRPr="00737F76">
        <w:rPr>
          <w:rFonts w:cs="Times New Roman"/>
          <w:smallCaps/>
          <w:lang w:val="fr-CA"/>
        </w:rPr>
        <w:t>traduction</w:t>
      </w:r>
      <w:r w:rsidRPr="00737F76">
        <w:rPr>
          <w:rFonts w:cs="Times New Roman"/>
          <w:lang w:val="fr-CA"/>
        </w:rPr>
        <w:t>] « s’accorde avec le droit fédéral américain, tel qu’il a été établi par la Cour suprême des États</w:t>
      </w:r>
      <w:r w:rsidRPr="00737F76">
        <w:rPr>
          <w:rFonts w:cs="Times New Roman"/>
          <w:lang w:val="fr-CA"/>
        </w:rPr>
        <w:noBreakHyphen/>
        <w:t xml:space="preserve">Unis dans </w:t>
      </w:r>
      <w:r w:rsidRPr="00737F76">
        <w:rPr>
          <w:rFonts w:cs="Times New Roman"/>
          <w:i/>
          <w:lang w:val="fr-CA"/>
        </w:rPr>
        <w:t>Hanover Shoe</w:t>
      </w:r>
      <w:r w:rsidRPr="00737F76">
        <w:rPr>
          <w:rFonts w:cs="Times New Roman"/>
          <w:lang w:val="fr-CA"/>
        </w:rPr>
        <w:t xml:space="preserve"> [. . .] et </w:t>
      </w:r>
      <w:r w:rsidRPr="00737F76">
        <w:rPr>
          <w:rFonts w:cs="Times New Roman"/>
          <w:i/>
          <w:lang w:val="fr-CA"/>
        </w:rPr>
        <w:t>Illinois Brick</w:t>
      </w:r>
      <w:r w:rsidRPr="00737F76">
        <w:rPr>
          <w:rFonts w:cs="Times New Roman"/>
          <w:lang w:val="fr-CA"/>
        </w:rPr>
        <w:t> » (</w:t>
      </w:r>
      <w:r w:rsidRPr="00737F76">
        <w:rPr>
          <w:rFonts w:cs="Times New Roman"/>
          <w:i/>
          <w:lang w:val="fr-CA"/>
        </w:rPr>
        <w:t>Pro</w:t>
      </w:r>
      <w:r w:rsidRPr="00737F76">
        <w:rPr>
          <w:rFonts w:cs="Times New Roman"/>
          <w:i/>
          <w:lang w:val="fr-CA"/>
        </w:rPr>
        <w:noBreakHyphen/>
        <w:t>Sys</w:t>
      </w:r>
      <w:r w:rsidR="002A0AB0">
        <w:rPr>
          <w:rFonts w:cs="Times New Roman"/>
          <w:i/>
          <w:lang w:val="fr-CA"/>
        </w:rPr>
        <w:t xml:space="preserve"> </w:t>
      </w:r>
      <w:r w:rsidR="002A0AB0" w:rsidRPr="002A0AB0">
        <w:rPr>
          <w:rFonts w:cs="Times New Roman"/>
          <w:lang w:val="fr-CA"/>
        </w:rPr>
        <w:t>(C.A.)</w:t>
      </w:r>
      <w:r w:rsidRPr="00737F76">
        <w:rPr>
          <w:rFonts w:cs="Times New Roman"/>
          <w:lang w:val="fr-CA"/>
        </w:rPr>
        <w:t xml:space="preserve">, par. 74). </w:t>
      </w:r>
    </w:p>
    <w:p w:rsidR="00741557" w:rsidRPr="00737F76" w:rsidRDefault="00741557" w:rsidP="00741557">
      <w:pPr>
        <w:pStyle w:val="ParaNoNdepar-AltN"/>
        <w:autoSpaceDE w:val="0"/>
        <w:autoSpaceDN w:val="0"/>
        <w:adjustRightInd w:val="0"/>
        <w:rPr>
          <w:rFonts w:cs="Times New Roman"/>
          <w:szCs w:val="24"/>
          <w:lang w:val="fr-CA"/>
        </w:rPr>
      </w:pPr>
      <w:r w:rsidRPr="00737F76">
        <w:rPr>
          <w:rFonts w:cs="Times New Roman"/>
          <w:lang w:val="fr-CA"/>
        </w:rPr>
        <w:t xml:space="preserve">Quant aux acheteurs indirects, les juges majoritaires accueillent l’appel et concluent que les actes de procédure ne révèlent aucune cause d’action (par. 98).  Quant aux acheteurs directs cependant, les juges majoritaires sont d’avis de rejeter </w:t>
      </w:r>
      <w:r w:rsidRPr="00737F76">
        <w:rPr>
          <w:rFonts w:cs="Times New Roman"/>
          <w:lang w:val="fr-CA"/>
        </w:rPr>
        <w:lastRenderedPageBreak/>
        <w:t xml:space="preserve">l’appel (par. 74). Ils annulent l’ordonnance de certification du juge Rice et renvoient l’affaire à la </w:t>
      </w:r>
      <w:r w:rsidR="00492AB3">
        <w:rPr>
          <w:rFonts w:cs="Times New Roman"/>
          <w:lang w:val="fr-CA"/>
        </w:rPr>
        <w:t>C.S.C.-B.</w:t>
      </w:r>
      <w:r w:rsidRPr="00737F76">
        <w:rPr>
          <w:rFonts w:cs="Times New Roman"/>
          <w:lang w:val="fr-CA"/>
        </w:rPr>
        <w:t xml:space="preserve"> pour qu’elle réexamine seulement la certification du recours collectif des acheteurs directs.  </w:t>
      </w:r>
    </w:p>
    <w:p w:rsidR="00741557" w:rsidRPr="00737F76" w:rsidRDefault="00741557" w:rsidP="00741557">
      <w:pPr>
        <w:pStyle w:val="ParaNoNdepar-AltN"/>
        <w:autoSpaceDE w:val="0"/>
        <w:autoSpaceDN w:val="0"/>
        <w:adjustRightInd w:val="0"/>
        <w:rPr>
          <w:rFonts w:cs="Times New Roman"/>
          <w:szCs w:val="24"/>
          <w:lang w:val="fr-CA"/>
        </w:rPr>
      </w:pPr>
      <w:r w:rsidRPr="00737F76">
        <w:rPr>
          <w:rFonts w:cs="Times New Roman"/>
          <w:lang w:val="fr-CA"/>
        </w:rPr>
        <w:t xml:space="preserve">Le juge Donald, dissident en l’espèce tout comme il l’est dans </w:t>
      </w:r>
      <w:r w:rsidRPr="00737F76">
        <w:rPr>
          <w:rFonts w:cs="Times New Roman"/>
          <w:i/>
          <w:lang w:val="fr-CA"/>
        </w:rPr>
        <w:t>Pro</w:t>
      </w:r>
      <w:r w:rsidRPr="00737F76">
        <w:rPr>
          <w:rFonts w:cs="Times New Roman"/>
          <w:i/>
          <w:lang w:val="fr-CA"/>
        </w:rPr>
        <w:noBreakHyphen/>
        <w:t>Sys</w:t>
      </w:r>
      <w:r w:rsidRPr="00737F76">
        <w:rPr>
          <w:rFonts w:cs="Times New Roman"/>
          <w:lang w:val="fr-CA"/>
        </w:rPr>
        <w:t xml:space="preserve">, estime que les recours des acheteurs indirects sont recevables en droit au Canada, et il est d’avis de certifier le recours collectif des acheteurs directs et des acheteurs indirects, estimant que toutes les conditions prévues au par. 4(1) de la </w:t>
      </w:r>
      <w:r w:rsidRPr="00737F76">
        <w:rPr>
          <w:rFonts w:cs="Times New Roman"/>
          <w:i/>
          <w:lang w:val="fr-CA"/>
        </w:rPr>
        <w:t xml:space="preserve">CPA </w:t>
      </w:r>
      <w:r w:rsidRPr="00737F76">
        <w:rPr>
          <w:rFonts w:cs="Times New Roman"/>
          <w:lang w:val="fr-CA"/>
        </w:rPr>
        <w:t xml:space="preserve">sont réunies. </w:t>
      </w:r>
    </w:p>
    <w:p w:rsidR="00741557" w:rsidRPr="00737F76" w:rsidRDefault="00741557" w:rsidP="00CF713F">
      <w:pPr>
        <w:pStyle w:val="Title1LevelTitre1Niveau-AltL"/>
        <w:keepNext/>
        <w:tabs>
          <w:tab w:val="clear" w:pos="432"/>
          <w:tab w:val="num" w:pos="540"/>
        </w:tabs>
        <w:ind w:left="540" w:hanging="540"/>
        <w:rPr>
          <w:rFonts w:cs="Times New Roman"/>
          <w:lang w:val="fr-CA"/>
        </w:rPr>
      </w:pPr>
      <w:bookmarkStart w:id="17" w:name="_Toc360612043"/>
      <w:bookmarkStart w:id="18" w:name="_Toc370805252"/>
      <w:r w:rsidRPr="00737F76">
        <w:rPr>
          <w:rFonts w:cs="Times New Roman"/>
          <w:lang w:val="fr-CA"/>
        </w:rPr>
        <w:t>Analyse</w:t>
      </w:r>
      <w:bookmarkEnd w:id="17"/>
      <w:bookmarkEnd w:id="18"/>
    </w:p>
    <w:p w:rsidR="00741557" w:rsidRPr="00737F76" w:rsidRDefault="00741557" w:rsidP="00741557">
      <w:pPr>
        <w:pStyle w:val="ParaNoNdepar-AltN"/>
        <w:rPr>
          <w:rFonts w:cs="Times New Roman"/>
          <w:lang w:val="fr-CA"/>
        </w:rPr>
      </w:pPr>
      <w:r w:rsidRPr="00737F76">
        <w:rPr>
          <w:rFonts w:cs="Times New Roman"/>
          <w:lang w:val="fr-CA"/>
        </w:rPr>
        <w:t xml:space="preserve">Le présent pourvoi a été interjeté en même temps que celui dans l’affaire connexe </w:t>
      </w:r>
      <w:r w:rsidRPr="00737F76">
        <w:rPr>
          <w:rFonts w:cs="Times New Roman"/>
          <w:i/>
          <w:lang w:val="fr-CA"/>
        </w:rPr>
        <w:t>Pro</w:t>
      </w:r>
      <w:r w:rsidRPr="00737F76">
        <w:rPr>
          <w:rFonts w:cs="Times New Roman"/>
          <w:i/>
          <w:lang w:val="fr-CA"/>
        </w:rPr>
        <w:noBreakHyphen/>
        <w:t>Sys</w:t>
      </w:r>
      <w:r w:rsidRPr="00737F76">
        <w:rPr>
          <w:rFonts w:cs="Times New Roman"/>
          <w:lang w:val="fr-CA"/>
        </w:rPr>
        <w:t xml:space="preserve">.  Les avocats des appelants sont les mêmes dans ces deux dossiers, et les appelantes en l’espèce fondent en bonne partie leurs arguments sur ceux des appelants dans </w:t>
      </w:r>
      <w:r w:rsidRPr="00737F76">
        <w:rPr>
          <w:rFonts w:cs="Times New Roman"/>
          <w:i/>
          <w:lang w:val="fr-CA"/>
        </w:rPr>
        <w:t>Pro</w:t>
      </w:r>
      <w:r w:rsidRPr="00737F76">
        <w:rPr>
          <w:rFonts w:cs="Times New Roman"/>
          <w:i/>
          <w:lang w:val="fr-CA"/>
        </w:rPr>
        <w:noBreakHyphen/>
        <w:t>Sys</w:t>
      </w:r>
      <w:r w:rsidRPr="00737F76">
        <w:rPr>
          <w:rFonts w:cs="Times New Roman"/>
          <w:lang w:val="fr-CA"/>
        </w:rPr>
        <w:t xml:space="preserve">.  Vu l’important chevauchement des questions, les présents motifs renvoient souvent à ceux de l’arrêt </w:t>
      </w:r>
      <w:r w:rsidRPr="00737F76">
        <w:rPr>
          <w:rFonts w:cs="Times New Roman"/>
          <w:i/>
          <w:lang w:val="fr-CA"/>
        </w:rPr>
        <w:t>Pro</w:t>
      </w:r>
      <w:r w:rsidRPr="00737F76">
        <w:rPr>
          <w:rFonts w:cs="Times New Roman"/>
          <w:i/>
          <w:lang w:val="fr-CA"/>
        </w:rPr>
        <w:noBreakHyphen/>
        <w:t>Sys</w:t>
      </w:r>
      <w:r w:rsidRPr="00737F76">
        <w:rPr>
          <w:rFonts w:cs="Times New Roman"/>
          <w:lang w:val="fr-CA"/>
        </w:rPr>
        <w:t>.</w:t>
      </w:r>
    </w:p>
    <w:p w:rsidR="00741557" w:rsidRPr="00737F76" w:rsidRDefault="00741557" w:rsidP="00741557">
      <w:pPr>
        <w:pStyle w:val="ParaNoNdepar-AltN"/>
        <w:rPr>
          <w:rFonts w:cs="Times New Roman"/>
          <w:lang w:val="fr-CA"/>
        </w:rPr>
      </w:pPr>
      <w:r w:rsidRPr="00737F76">
        <w:rPr>
          <w:rFonts w:cs="Times New Roman"/>
          <w:lang w:val="fr-CA"/>
        </w:rPr>
        <w:t>Les trois groupes d’intimées ont déposé des mémoires distincts à la Cour, mais chacun de ces groupes fait siens les actes de procédure des autres dans l’appel et l’appel incident.  En appel, les intimées soutiennent d’abord et avant tout que les acheteurs indirects sont dépourvus de cause d’action.  Elles ajoutent qu’il faut annuler la certification du recours collectif à l’égard des acheteurs indirects parce qu’ils ne forment pas un groupe ide</w:t>
      </w:r>
      <w:r w:rsidR="00FD7251">
        <w:rPr>
          <w:rFonts w:cs="Times New Roman"/>
          <w:lang w:val="fr-CA"/>
        </w:rPr>
        <w:t>ntifiable, comme l’exige l’al. 4</w:t>
      </w:r>
      <w:r w:rsidRPr="00737F76">
        <w:rPr>
          <w:rFonts w:cs="Times New Roman"/>
          <w:lang w:val="fr-CA"/>
        </w:rPr>
        <w:t>(1)</w:t>
      </w:r>
      <w:r w:rsidR="00504D4F">
        <w:rPr>
          <w:rFonts w:cs="Times New Roman"/>
          <w:lang w:val="fr-CA"/>
        </w:rPr>
        <w:t>(</w:t>
      </w:r>
      <w:r w:rsidRPr="00737F76">
        <w:rPr>
          <w:rFonts w:cs="Times New Roman"/>
          <w:lang w:val="fr-CA"/>
        </w:rPr>
        <w:t xml:space="preserve">b) de la </w:t>
      </w:r>
      <w:r w:rsidRPr="00737F76">
        <w:rPr>
          <w:rFonts w:cs="Times New Roman"/>
          <w:i/>
          <w:lang w:val="fr-CA"/>
        </w:rPr>
        <w:t>CPA</w:t>
      </w:r>
      <w:r w:rsidRPr="00737F76">
        <w:rPr>
          <w:rFonts w:cs="Times New Roman"/>
          <w:lang w:val="fr-CA"/>
        </w:rPr>
        <w:t xml:space="preserve">.  Dans </w:t>
      </w:r>
      <w:r w:rsidRPr="00737F76">
        <w:rPr>
          <w:rFonts w:cs="Times New Roman"/>
          <w:lang w:val="fr-CA"/>
        </w:rPr>
        <w:lastRenderedPageBreak/>
        <w:t>l’appel incident, elles sollicitent le rejet de la demande des acheteurs directs visant l’imposition d’une fiducie par interprétation, plaidant l’absence des éléments requis pour l’établir.  Elles sollicitent également l’annulation de la certification du recours collectif parce que le juge Rice aurait appliqué la mauvaise norme de preuve dans son analyse des conditions de certification.</w:t>
      </w:r>
    </w:p>
    <w:p w:rsidR="00741557" w:rsidRPr="00737F76" w:rsidRDefault="00741557" w:rsidP="00741557">
      <w:pPr>
        <w:pStyle w:val="ParaNoNdepar-AltN"/>
        <w:rPr>
          <w:rFonts w:cs="Times New Roman"/>
          <w:lang w:val="fr-CA"/>
        </w:rPr>
      </w:pPr>
      <w:r w:rsidRPr="00737F76">
        <w:rPr>
          <w:rFonts w:cs="Times New Roman"/>
          <w:lang w:val="fr-CA"/>
        </w:rPr>
        <w:t xml:space="preserve">Comme je le mentionne précédemment, selon moi les acheteurs indirects ne forment pas un groupe identifiable, et je suis d’avis de rejeter le pourvoi pour cette raison. </w:t>
      </w:r>
      <w:r>
        <w:rPr>
          <w:rFonts w:cs="Times New Roman"/>
          <w:lang w:val="fr-CA"/>
        </w:rPr>
        <w:t xml:space="preserve"> </w:t>
      </w:r>
      <w:r w:rsidRPr="00737F76">
        <w:rPr>
          <w:rFonts w:cs="Times New Roman"/>
          <w:lang w:val="fr-CA"/>
        </w:rPr>
        <w:t xml:space="preserve">Néanmoins, par souci d’exhaustivité, j’analyse les divers arguments avancés dans la présente affaire.  Je me penche sur la question des acheteurs indirects avant d’examiner les arguments relatifs à la certification du recours collectif. </w:t>
      </w:r>
    </w:p>
    <w:p w:rsidR="00741557" w:rsidRPr="00B45DFB" w:rsidRDefault="00741557" w:rsidP="00741557">
      <w:pPr>
        <w:pStyle w:val="Title2LevelTitre2Niveau"/>
        <w:rPr>
          <w:lang w:val="fr-CA"/>
        </w:rPr>
      </w:pPr>
      <w:bookmarkStart w:id="19" w:name="_Toc370805253"/>
      <w:bookmarkStart w:id="20" w:name="_Toc354481709"/>
      <w:bookmarkStart w:id="21" w:name="_Toc360612044"/>
      <w:r w:rsidRPr="00B45DFB">
        <w:rPr>
          <w:noProof/>
          <w:lang w:val="fr-CA"/>
        </w:rPr>
        <w:t>Recours collectif intenté par les acheteurs indirects (la question du « transfert de la perte »)</w:t>
      </w:r>
      <w:bookmarkEnd w:id="19"/>
      <w:r w:rsidRPr="00B45DFB">
        <w:rPr>
          <w:noProof/>
          <w:lang w:val="fr-CA"/>
        </w:rPr>
        <w:t xml:space="preserve"> </w:t>
      </w:r>
      <w:bookmarkEnd w:id="20"/>
      <w:bookmarkEnd w:id="21"/>
    </w:p>
    <w:p w:rsidR="00741557" w:rsidRPr="00737F76" w:rsidRDefault="00741557" w:rsidP="00741557">
      <w:pPr>
        <w:pStyle w:val="ParaNoNdepar-AltN"/>
        <w:rPr>
          <w:rFonts w:cs="Times New Roman"/>
          <w:lang w:val="fr-CA"/>
        </w:rPr>
      </w:pPr>
      <w:r w:rsidRPr="00737F76">
        <w:rPr>
          <w:rFonts w:cs="Times New Roman"/>
          <w:lang w:val="fr-CA"/>
        </w:rPr>
        <w:t>Les appelantes souscrivent en bonne partie aux arguments de Pro</w:t>
      </w:r>
      <w:r w:rsidRPr="00737F76">
        <w:rPr>
          <w:rFonts w:cs="Times New Roman"/>
          <w:lang w:val="fr-CA"/>
        </w:rPr>
        <w:noBreakHyphen/>
        <w:t xml:space="preserve">Sys Consultants Ltd. sur la question du transfert de la perte.  Vu que le transfert de la perte comme cause d’action a été analysé dans les motifs de l’arrêt </w:t>
      </w:r>
      <w:r w:rsidRPr="00737F76">
        <w:rPr>
          <w:rFonts w:cs="Times New Roman"/>
          <w:i/>
          <w:lang w:val="fr-CA"/>
        </w:rPr>
        <w:t>Pro</w:t>
      </w:r>
      <w:r w:rsidRPr="00737F76">
        <w:rPr>
          <w:rFonts w:cs="Times New Roman"/>
          <w:i/>
          <w:lang w:val="fr-CA"/>
        </w:rPr>
        <w:noBreakHyphen/>
        <w:t>Sys</w:t>
      </w:r>
      <w:r w:rsidRPr="00737F76">
        <w:rPr>
          <w:rFonts w:cs="Times New Roman"/>
          <w:lang w:val="fr-CA"/>
        </w:rPr>
        <w:t>,</w:t>
      </w:r>
      <w:r w:rsidRPr="00737F76">
        <w:rPr>
          <w:rFonts w:cs="Times New Roman"/>
          <w:i/>
          <w:lang w:val="fr-CA"/>
        </w:rPr>
        <w:t xml:space="preserve"> </w:t>
      </w:r>
      <w:r w:rsidRPr="00737F76">
        <w:rPr>
          <w:rFonts w:cs="Times New Roman"/>
          <w:lang w:val="fr-CA"/>
        </w:rPr>
        <w:t xml:space="preserve">point n’est besoin de refaire toute cette analyse.  Je n’ajoute les remarques suivantes que dans la mesure où elles sont nécessaires pour traiter des distinctions engendrées lorsque le groupe est composé à la fois d’acheteurs indirects et directs. </w:t>
      </w:r>
    </w:p>
    <w:p w:rsidR="00741557" w:rsidRPr="00737F76" w:rsidRDefault="00741557" w:rsidP="00741557">
      <w:pPr>
        <w:pStyle w:val="Title3LevelTitre3Niveau"/>
        <w:keepNext/>
        <w:tabs>
          <w:tab w:val="clear" w:pos="864"/>
          <w:tab w:val="num" w:pos="1680"/>
        </w:tabs>
        <w:ind w:left="1670" w:hanging="475"/>
        <w:rPr>
          <w:rFonts w:cs="Times New Roman"/>
          <w:lang w:val="fr-CA"/>
        </w:rPr>
      </w:pPr>
      <w:bookmarkStart w:id="22" w:name="_Toc360612045"/>
      <w:bookmarkStart w:id="23" w:name="_Toc370805254"/>
      <w:r w:rsidRPr="00737F76">
        <w:rPr>
          <w:rFonts w:cs="Times New Roman"/>
          <w:lang w:val="fr-CA"/>
        </w:rPr>
        <w:lastRenderedPageBreak/>
        <w:t>Recouvrement double ou multiple par les acheteurs indirects et les acheteurs directs</w:t>
      </w:r>
      <w:bookmarkEnd w:id="22"/>
      <w:bookmarkEnd w:id="23"/>
    </w:p>
    <w:p w:rsidR="00741557" w:rsidRPr="00737F76" w:rsidRDefault="00741557" w:rsidP="00741557">
      <w:pPr>
        <w:pStyle w:val="ParaNoNdepar-AltN"/>
        <w:rPr>
          <w:rFonts w:cs="Times New Roman"/>
          <w:lang w:val="fr-CA"/>
        </w:rPr>
      </w:pPr>
      <w:r w:rsidRPr="00737F76">
        <w:rPr>
          <w:rFonts w:cs="Times New Roman"/>
          <w:lang w:val="fr-CA"/>
        </w:rPr>
        <w:t>Les intimées font valoir que la [</w:t>
      </w:r>
      <w:r w:rsidRPr="00737F76">
        <w:rPr>
          <w:rFonts w:cs="Times New Roman"/>
          <w:smallCaps/>
          <w:lang w:val="fr-CA"/>
        </w:rPr>
        <w:t>traduction</w:t>
      </w:r>
      <w:r w:rsidRPr="00737F76">
        <w:rPr>
          <w:rFonts w:cs="Times New Roman"/>
          <w:lang w:val="fr-CA"/>
        </w:rPr>
        <w:t xml:space="preserve">] « difficulté fondamentale que présente le dossier des acheteurs indirects tient à ce qu’ils cherchent à obtenir le recouvrement de sommes d’argent que les acheteurs directs peuvent valablement réclamer.  Ainsi, en reconnaissant le droit d’action des acheteurs indirects, on reconnaît un autre droit d’action sur une somme d’argent unique et la possibilité d’un recouvrement double » (mémoire de Cargill, par. 54).  Selon elles, comme la défense de transfert de la perte a été écartée au Canada, les acheteurs directs ont le droit de recouvrer la totalité de la majoration.  Elles disent donc que la demande des acheteurs indirects en recouvrement du montant de la majoration « télescope celle des acheteurs directs, qui y ont droit en vertu de principes établis » (par. 61).  </w:t>
      </w:r>
    </w:p>
    <w:p w:rsidR="00741557" w:rsidRPr="00737F76" w:rsidRDefault="00741557" w:rsidP="00741557">
      <w:pPr>
        <w:pStyle w:val="ParaNoNdepar-AltN"/>
        <w:rPr>
          <w:rFonts w:cs="Times New Roman"/>
          <w:lang w:val="fr-CA"/>
        </w:rPr>
      </w:pPr>
      <w:r w:rsidRPr="00737F76">
        <w:rPr>
          <w:rFonts w:cs="Times New Roman"/>
          <w:lang w:val="fr-CA"/>
        </w:rPr>
        <w:t xml:space="preserve">Pour les motifs exposés dans </w:t>
      </w:r>
      <w:r w:rsidRPr="00737F76">
        <w:rPr>
          <w:rFonts w:cs="Times New Roman"/>
          <w:i/>
          <w:lang w:val="fr-CA"/>
        </w:rPr>
        <w:t>Pro</w:t>
      </w:r>
      <w:r w:rsidRPr="00737F76">
        <w:rPr>
          <w:rFonts w:cs="Times New Roman"/>
          <w:i/>
          <w:lang w:val="fr-CA"/>
        </w:rPr>
        <w:noBreakHyphen/>
        <w:t>Sys</w:t>
      </w:r>
      <w:r w:rsidRPr="00737F76">
        <w:rPr>
          <w:rFonts w:cs="Times New Roman"/>
          <w:lang w:val="fr-CA"/>
        </w:rPr>
        <w:t>, cet argument ne suffit pas à refuser aux acheteurs indirects le droit de participer au recours collectif.  Je conviens avec le juge Rice que si le groupe est formé des acheteurs directs et des acheteurs indirects et si des méthodes économiques servent à établir le montant global de la perte, les intimées ne seront pas tenues de verser une indemnité supérieure au montan</w:t>
      </w:r>
      <w:r w:rsidR="00492AB3">
        <w:rPr>
          <w:rFonts w:cs="Times New Roman"/>
          <w:lang w:val="fr-CA"/>
        </w:rPr>
        <w:t>t global de la majoration (C.S.</w:t>
      </w:r>
      <w:r w:rsidRPr="00737F76">
        <w:rPr>
          <w:rFonts w:cs="Times New Roman"/>
          <w:lang w:val="fr-CA"/>
        </w:rPr>
        <w:t>C.</w:t>
      </w:r>
      <w:r w:rsidR="00CF713F">
        <w:rPr>
          <w:rFonts w:cs="Times New Roman"/>
          <w:lang w:val="fr-CA"/>
        </w:rPr>
        <w:t>-</w:t>
      </w:r>
      <w:r w:rsidRPr="00737F76">
        <w:rPr>
          <w:rFonts w:cs="Times New Roman"/>
          <w:lang w:val="fr-CA"/>
        </w:rPr>
        <w:t xml:space="preserve">B., par. 53). </w:t>
      </w:r>
    </w:p>
    <w:p w:rsidR="00741557" w:rsidRPr="00737F76" w:rsidRDefault="00741557" w:rsidP="00741557">
      <w:pPr>
        <w:pStyle w:val="ParaNoNdepar-AltN"/>
        <w:rPr>
          <w:rFonts w:cs="Times New Roman"/>
          <w:lang w:val="fr-FR"/>
        </w:rPr>
      </w:pPr>
      <w:r w:rsidRPr="00737F76">
        <w:rPr>
          <w:rFonts w:cs="Times New Roman"/>
          <w:lang w:val="fr-CA"/>
        </w:rPr>
        <w:t xml:space="preserve">Dans la présente affaire, les appelantes demandent le recouvrement d’une somme précise équivalente au montant global de la majoration.  Lorsque le groupe est composé d’acheteurs indirects et directs et que le témoignage des experts lors de </w:t>
      </w:r>
      <w:r w:rsidRPr="00737F76">
        <w:rPr>
          <w:rFonts w:cs="Times New Roman"/>
          <w:lang w:val="fr-CA"/>
        </w:rPr>
        <w:lastRenderedPageBreak/>
        <w:t xml:space="preserve">l’examen au procès des questions communes permet d’établir le montant global de la majoration, il n’y a pas de recouvrement double ou multiple.  Le recouvrement intégral est limité à cette somme, peu importe comment elle sera finalement répartie entre les acheteurs directs et les acheteurs indirects.  C’est l’avis exprimé par la </w:t>
      </w:r>
      <w:r w:rsidR="009B4301">
        <w:rPr>
          <w:rFonts w:cs="Times New Roman"/>
          <w:lang w:val="fr-CA"/>
        </w:rPr>
        <w:t xml:space="preserve">C.A.C.-B. </w:t>
      </w:r>
      <w:r w:rsidRPr="00737F76">
        <w:rPr>
          <w:rFonts w:cs="Times New Roman"/>
          <w:lang w:val="fr-CA"/>
        </w:rPr>
        <w:t xml:space="preserve">dans </w:t>
      </w:r>
      <w:r w:rsidRPr="00737F76">
        <w:rPr>
          <w:rFonts w:cs="Times New Roman"/>
          <w:i/>
          <w:iCs/>
          <w:szCs w:val="24"/>
          <w:lang w:val="fr-CA"/>
        </w:rPr>
        <w:t>Pro</w:t>
      </w:r>
      <w:r w:rsidRPr="00737F76">
        <w:rPr>
          <w:rFonts w:cs="Times New Roman"/>
          <w:i/>
          <w:iCs/>
          <w:szCs w:val="24"/>
          <w:lang w:val="fr-CA"/>
        </w:rPr>
        <w:noBreakHyphen/>
        <w:t>Sys Consultants Ltd. c. Infineon Technologies AG</w:t>
      </w:r>
      <w:r w:rsidRPr="00737F76">
        <w:rPr>
          <w:rFonts w:cs="Times New Roman"/>
          <w:szCs w:val="24"/>
          <w:lang w:val="fr-CA"/>
        </w:rPr>
        <w:t>, 2009 BCCA 503, 98 B.C.L.R. (4th) 272 (« </w:t>
      </w:r>
      <w:r w:rsidRPr="00737F76">
        <w:rPr>
          <w:rFonts w:cs="Times New Roman"/>
          <w:i/>
          <w:lang w:val="fr-CA"/>
        </w:rPr>
        <w:t>Infineon</w:t>
      </w:r>
      <w:r w:rsidRPr="00737F76">
        <w:rPr>
          <w:rFonts w:cs="Times New Roman"/>
          <w:lang w:val="fr-CA"/>
        </w:rPr>
        <w:t xml:space="preserve"> »), par. 78, et par la Cour d’appel du Québec dans </w:t>
      </w:r>
      <w:r w:rsidRPr="00737F76">
        <w:rPr>
          <w:rFonts w:cs="Times New Roman"/>
          <w:bCs/>
          <w:i/>
          <w:szCs w:val="24"/>
          <w:lang w:val="fr-CA"/>
        </w:rPr>
        <w:t>Option consommateurs c. Infineon Technologies</w:t>
      </w:r>
      <w:r w:rsidRPr="00737F76">
        <w:rPr>
          <w:rFonts w:cs="Times New Roman"/>
          <w:bCs/>
          <w:szCs w:val="24"/>
          <w:lang w:val="fr-CA"/>
        </w:rPr>
        <w:t xml:space="preserve"> </w:t>
      </w:r>
      <w:r w:rsidRPr="00737F76">
        <w:rPr>
          <w:rFonts w:cs="Times New Roman"/>
          <w:bCs/>
          <w:i/>
          <w:szCs w:val="24"/>
          <w:lang w:val="fr-CA"/>
        </w:rPr>
        <w:t>AG</w:t>
      </w:r>
      <w:r w:rsidRPr="00737F76">
        <w:rPr>
          <w:rFonts w:cs="Times New Roman"/>
          <w:bCs/>
          <w:szCs w:val="24"/>
          <w:lang w:val="fr-CA"/>
        </w:rPr>
        <w:t>, 2011 QCCA 2116 (CanLII)</w:t>
      </w:r>
      <w:r w:rsidR="009B4301">
        <w:rPr>
          <w:rFonts w:cs="Times New Roman"/>
          <w:lang w:val="fr-CA"/>
        </w:rPr>
        <w:t xml:space="preserve">, </w:t>
      </w:r>
      <w:r w:rsidRPr="00737F76">
        <w:rPr>
          <w:rFonts w:cs="Times New Roman"/>
          <w:lang w:val="fr-CA"/>
        </w:rPr>
        <w:t xml:space="preserve">par. 114.  L’appel dans cette dernière affaire a été entendu en même temps que celui dans l’affaire </w:t>
      </w:r>
      <w:r w:rsidRPr="00737F76">
        <w:rPr>
          <w:rFonts w:cs="Times New Roman"/>
          <w:i/>
          <w:lang w:val="fr-CA"/>
        </w:rPr>
        <w:t>Pro</w:t>
      </w:r>
      <w:r w:rsidRPr="00737F76">
        <w:rPr>
          <w:rFonts w:cs="Times New Roman"/>
          <w:i/>
          <w:lang w:val="fr-CA"/>
        </w:rPr>
        <w:noBreakHyphen/>
        <w:t>Sys</w:t>
      </w:r>
      <w:r w:rsidRPr="00737F76">
        <w:rPr>
          <w:rFonts w:cs="Times New Roman"/>
          <w:lang w:val="fr-CA"/>
        </w:rPr>
        <w:t xml:space="preserve"> et le présent pourvoi.  Voir </w:t>
      </w:r>
      <w:r w:rsidRPr="00737F76">
        <w:rPr>
          <w:rFonts w:cs="Times New Roman"/>
          <w:i/>
          <w:lang w:val="fr-CA"/>
        </w:rPr>
        <w:t>Infineon Technologies AG c. Option consommateurs</w:t>
      </w:r>
      <w:r w:rsidRPr="00737F76">
        <w:rPr>
          <w:rFonts w:cs="Times New Roman"/>
          <w:lang w:val="fr-CA"/>
        </w:rPr>
        <w:t>, 2013 CSC 59</w:t>
      </w:r>
      <w:r w:rsidR="00345115" w:rsidRPr="00345115">
        <w:rPr>
          <w:lang w:val="fr-CA"/>
        </w:rPr>
        <w:t>, [2013] 3 R</w:t>
      </w:r>
      <w:r w:rsidR="00345115">
        <w:rPr>
          <w:lang w:val="fr-CA"/>
        </w:rPr>
        <w:t>.C.</w:t>
      </w:r>
      <w:r w:rsidR="00345115" w:rsidRPr="00345115">
        <w:rPr>
          <w:lang w:val="fr-CA"/>
        </w:rPr>
        <w:t xml:space="preserve">S. </w:t>
      </w:r>
      <w:r w:rsidR="00F13ADC">
        <w:rPr>
          <w:lang w:val="fr-CA"/>
        </w:rPr>
        <w:t>600</w:t>
      </w:r>
      <w:r w:rsidRPr="00737F76">
        <w:rPr>
          <w:rFonts w:cs="Times New Roman"/>
          <w:lang w:val="fr-CA"/>
        </w:rPr>
        <w:t>.</w:t>
      </w:r>
    </w:p>
    <w:p w:rsidR="00741557" w:rsidRPr="00737F76" w:rsidRDefault="00741557" w:rsidP="00741557">
      <w:pPr>
        <w:pStyle w:val="ParaNoNdepar-AltN"/>
        <w:rPr>
          <w:rFonts w:cs="Times New Roman"/>
          <w:lang w:val="fr-CA"/>
        </w:rPr>
      </w:pPr>
      <w:r w:rsidRPr="00737F76">
        <w:rPr>
          <w:rFonts w:cs="Times New Roman"/>
          <w:lang w:val="fr-CA"/>
        </w:rPr>
        <w:t>Même si les membres du groupe ne s’entendaient pas sur la répartition de la somme globale dans l’éventualité d’un règlement ou d’un gain de cause, ce problème ne regarde pas les intimées et ne justifie pas que l’on refuse aux acheteurs indirects le droit de p</w:t>
      </w:r>
      <w:r>
        <w:rPr>
          <w:rFonts w:cs="Times New Roman"/>
          <w:lang w:val="fr-CA"/>
        </w:rPr>
        <w:t>articiper au recours collectif.</w:t>
      </w:r>
    </w:p>
    <w:p w:rsidR="00741557" w:rsidRPr="00737F76" w:rsidRDefault="00741557" w:rsidP="00741557">
      <w:pPr>
        <w:pStyle w:val="Title3LevelTitre3Niveau"/>
        <w:keepNext/>
        <w:tabs>
          <w:tab w:val="clear" w:pos="864"/>
          <w:tab w:val="num" w:pos="1680"/>
        </w:tabs>
        <w:ind w:left="1670" w:hanging="475"/>
        <w:rPr>
          <w:rFonts w:cs="Times New Roman"/>
          <w:lang w:val="fr-CA"/>
        </w:rPr>
      </w:pPr>
      <w:bookmarkStart w:id="24" w:name="_Toc360612046"/>
      <w:bookmarkStart w:id="25" w:name="_Toc370805255"/>
      <w:r w:rsidRPr="00737F76">
        <w:rPr>
          <w:rFonts w:cs="Times New Roman"/>
          <w:lang w:val="fr-CA"/>
        </w:rPr>
        <w:t>Trop</w:t>
      </w:r>
      <w:r w:rsidRPr="00737F76">
        <w:rPr>
          <w:rFonts w:cs="Times New Roman"/>
          <w:lang w:val="fr-CA"/>
        </w:rPr>
        <w:noBreakHyphen/>
        <w:t>perçu découlant de recours exercés dans plusieurs ressorts</w:t>
      </w:r>
      <w:bookmarkEnd w:id="24"/>
      <w:bookmarkEnd w:id="25"/>
    </w:p>
    <w:p w:rsidR="00741557" w:rsidRPr="00737F76" w:rsidRDefault="00741557" w:rsidP="00741557">
      <w:pPr>
        <w:pStyle w:val="ParaNoNdepar-AltN"/>
        <w:rPr>
          <w:rFonts w:cs="Times New Roman"/>
          <w:lang w:val="fr-CA"/>
        </w:rPr>
      </w:pPr>
      <w:r w:rsidRPr="00737F76">
        <w:rPr>
          <w:rFonts w:cs="Times New Roman"/>
          <w:lang w:val="fr-CA"/>
        </w:rPr>
        <w:t>En plus du recouvrement double par les acheteurs indirects d’une part et les acheteurs directs d’autre part, les intimées disent craindre un trop</w:t>
      </w:r>
      <w:r w:rsidRPr="00737F76">
        <w:rPr>
          <w:rFonts w:cs="Times New Roman"/>
          <w:lang w:val="fr-CA"/>
        </w:rPr>
        <w:noBreakHyphen/>
        <w:t>perçu résultant de la combinaison du présent recours et de ceux exercés aux États</w:t>
      </w:r>
      <w:r w:rsidRPr="00737F76">
        <w:rPr>
          <w:rFonts w:cs="Times New Roman"/>
          <w:lang w:val="fr-CA"/>
        </w:rPr>
        <w:noBreakHyphen/>
        <w:t xml:space="preserve">Unis.  Plus précisément, les intimées affirment que les acheteurs directs américains ont déjà conclu un règlement avec elles à propos du montant intégral de la majoration.  Elles prétendent que, si le droit des acheteurs indirects d’exercer un recours est reconnu au </w:t>
      </w:r>
      <w:r w:rsidRPr="00737F76">
        <w:rPr>
          <w:rFonts w:cs="Times New Roman"/>
          <w:lang w:val="fr-CA"/>
        </w:rPr>
        <w:lastRenderedPageBreak/>
        <w:t>Canada, [</w:t>
      </w:r>
      <w:r w:rsidRPr="00737F76">
        <w:rPr>
          <w:rFonts w:cs="Times New Roman"/>
          <w:smallCaps/>
          <w:lang w:val="fr-CA"/>
        </w:rPr>
        <w:t>traduction</w:t>
      </w:r>
      <w:r w:rsidRPr="00737F76">
        <w:rPr>
          <w:rFonts w:cs="Times New Roman"/>
          <w:lang w:val="fr-CA"/>
        </w:rPr>
        <w:t>] « les demandes des acheteurs indirects de la Colombie</w:t>
      </w:r>
      <w:r w:rsidRPr="00737F76">
        <w:rPr>
          <w:rFonts w:cs="Times New Roman"/>
          <w:lang w:val="fr-CA"/>
        </w:rPr>
        <w:noBreakHyphen/>
        <w:t>Britannique télescoperont celles des acheteurs directs américains à l’égard de la même pert</w:t>
      </w:r>
      <w:r w:rsidR="009B4301">
        <w:rPr>
          <w:rFonts w:cs="Times New Roman"/>
          <w:lang w:val="fr-CA"/>
        </w:rPr>
        <w:t>e » (mémoire de Cargill, par. 71</w:t>
      </w:r>
      <w:r w:rsidRPr="00737F76">
        <w:rPr>
          <w:rFonts w:cs="Times New Roman"/>
          <w:lang w:val="fr-CA"/>
        </w:rPr>
        <w:t>)</w:t>
      </w:r>
      <w:r w:rsidRPr="00737F76">
        <w:rPr>
          <w:rFonts w:cs="Times New Roman"/>
          <w:i/>
          <w:lang w:val="fr-CA"/>
        </w:rPr>
        <w:t xml:space="preserve">.  </w:t>
      </w:r>
      <w:r w:rsidRPr="00737F76">
        <w:rPr>
          <w:rFonts w:cs="Times New Roman"/>
          <w:lang w:val="fr-CA"/>
        </w:rPr>
        <w:t xml:space="preserve">Comme il est mentionné dans les motifs de l’arrêt </w:t>
      </w:r>
      <w:r w:rsidRPr="00737F76">
        <w:rPr>
          <w:rFonts w:cs="Times New Roman"/>
          <w:i/>
          <w:lang w:val="fr-CA"/>
        </w:rPr>
        <w:t>Pro</w:t>
      </w:r>
      <w:r w:rsidRPr="00737F76">
        <w:rPr>
          <w:rFonts w:cs="Times New Roman"/>
          <w:i/>
          <w:lang w:val="fr-CA"/>
        </w:rPr>
        <w:noBreakHyphen/>
        <w:t>Sys</w:t>
      </w:r>
      <w:r w:rsidRPr="00737F76">
        <w:rPr>
          <w:rFonts w:cs="Times New Roman"/>
          <w:lang w:val="fr-CA"/>
        </w:rPr>
        <w:t>, les tribunaux peuvent gérer ces risques.  Ils disposent du pouvoir de modifier un règlement et les dommages</w:t>
      </w:r>
      <w:r w:rsidRPr="00737F76">
        <w:rPr>
          <w:rFonts w:cs="Times New Roman"/>
          <w:lang w:val="fr-CA"/>
        </w:rPr>
        <w:noBreakHyphen/>
        <w:t>intérêts octroyés en fonction de ceux déjà obtenus par les demandeurs dans d’autres ressorts si les intimés réussissent à leur prouver qu’il y a risque de recouvrement double.  Si les intimés présentent des éléments de preuve pertinents à cet égard, le tribunal sera en mesure de leur éviter pareille situation.</w:t>
      </w:r>
    </w:p>
    <w:p w:rsidR="00741557" w:rsidRPr="00737F76" w:rsidRDefault="00741557" w:rsidP="00741557">
      <w:pPr>
        <w:pStyle w:val="Title3LevelTitre3Niveau"/>
        <w:keepNext/>
        <w:tabs>
          <w:tab w:val="clear" w:pos="864"/>
          <w:tab w:val="num" w:pos="1680"/>
        </w:tabs>
        <w:ind w:left="1670" w:hanging="475"/>
        <w:rPr>
          <w:rFonts w:cs="Times New Roman"/>
          <w:lang w:val="fr-FR"/>
        </w:rPr>
      </w:pPr>
      <w:bookmarkStart w:id="26" w:name="_Toc360612047"/>
      <w:bookmarkStart w:id="27" w:name="_Toc370805256"/>
      <w:r w:rsidRPr="00737F76">
        <w:rPr>
          <w:rFonts w:cs="Times New Roman"/>
          <w:lang w:val="fr-CA"/>
        </w:rPr>
        <w:t>Principes</w:t>
      </w:r>
      <w:bookmarkEnd w:id="26"/>
      <w:r w:rsidRPr="00737F76">
        <w:rPr>
          <w:rFonts w:cs="Times New Roman"/>
          <w:lang w:val="fr-CA"/>
        </w:rPr>
        <w:t xml:space="preserve"> du droit de la restitution</w:t>
      </w:r>
      <w:bookmarkEnd w:id="27"/>
    </w:p>
    <w:p w:rsidR="00741557" w:rsidRPr="00737F76" w:rsidRDefault="00741557" w:rsidP="00741557">
      <w:pPr>
        <w:pStyle w:val="ParaNoNdepar-AltN"/>
        <w:rPr>
          <w:rFonts w:cs="Times New Roman"/>
          <w:lang w:val="fr-CA"/>
        </w:rPr>
      </w:pPr>
      <w:r w:rsidRPr="00737F76">
        <w:rPr>
          <w:rFonts w:cs="Times New Roman"/>
          <w:lang w:val="fr-CA"/>
        </w:rPr>
        <w:t xml:space="preserve">Les juges majoritaires de la </w:t>
      </w:r>
      <w:r w:rsidR="009B4301">
        <w:rPr>
          <w:rFonts w:cs="Times New Roman"/>
          <w:lang w:val="fr-CA"/>
        </w:rPr>
        <w:t>C.A.C.-B.</w:t>
      </w:r>
      <w:r w:rsidRPr="00737F76">
        <w:rPr>
          <w:rFonts w:cs="Times New Roman"/>
          <w:lang w:val="fr-CA"/>
        </w:rPr>
        <w:t xml:space="preserve"> ont refusé le transfert de la perte comme cause d’action suivant le principe que dès lors que cette </w:t>
      </w:r>
      <w:r w:rsidRPr="00737F76">
        <w:rPr>
          <w:rFonts w:cs="Times New Roman"/>
          <w:i/>
          <w:lang w:val="fr-CA"/>
        </w:rPr>
        <w:t xml:space="preserve">défense </w:t>
      </w:r>
      <w:r w:rsidRPr="00737F76">
        <w:rPr>
          <w:rFonts w:cs="Times New Roman"/>
          <w:lang w:val="fr-CA"/>
        </w:rPr>
        <w:t xml:space="preserve">est rejetée, les acheteurs directs ont droit au recouvrement intégral du montant de la majoration : </w:t>
      </w:r>
    </w:p>
    <w:p w:rsidR="00741557" w:rsidRPr="00737F76" w:rsidRDefault="00741557" w:rsidP="00741557">
      <w:pPr>
        <w:pStyle w:val="Citation-AltC"/>
        <w:ind w:hanging="1166"/>
        <w:rPr>
          <w:lang w:val="fr-CA"/>
        </w:rPr>
      </w:pPr>
      <w:r w:rsidRPr="00737F76">
        <w:rPr>
          <w:lang w:val="fr-CA"/>
        </w:rPr>
        <w:tab/>
        <w:t>[</w:t>
      </w:r>
      <w:r w:rsidRPr="00737F76">
        <w:rPr>
          <w:smallCaps/>
          <w:lang w:val="fr-CA"/>
        </w:rPr>
        <w:t>traduction]</w:t>
      </w:r>
      <w:r w:rsidR="00CF713F">
        <w:rPr>
          <w:smallCaps/>
          <w:lang w:val="fr-CA"/>
        </w:rPr>
        <w:t xml:space="preserve"> </w:t>
      </w:r>
      <w:r w:rsidR="00074224">
        <w:rPr>
          <w:lang w:val="fr-CA"/>
        </w:rPr>
        <w:t>. . . j</w:t>
      </w:r>
      <w:r w:rsidRPr="00737F76">
        <w:rPr>
          <w:lang w:val="fr-CA"/>
        </w:rPr>
        <w:t>e n’arrive pas à voir pourquoi en droit les [acheteurs directs] ne pourraient pas recouvrer l’intégralité du montant de la majoration, peu importe le surcoût potentiellement transféré aux [acheteurs indirects], comme s’ils étaient les seuls demandeurs.  Leur accorder moins les défavoriserait compte tenu de la nature de l’instance, de sorte qu’ils seraient privés de ce qu’ils sont en droit de recouvrer.  [par. 84]</w:t>
      </w:r>
    </w:p>
    <w:p w:rsidR="00741557" w:rsidRPr="00737F76" w:rsidRDefault="00741557" w:rsidP="00741557">
      <w:pPr>
        <w:pStyle w:val="ParaNoNdepar-AltN"/>
        <w:rPr>
          <w:rFonts w:cs="Times New Roman"/>
          <w:szCs w:val="24"/>
          <w:lang w:val="fr-CA"/>
        </w:rPr>
      </w:pPr>
      <w:r w:rsidRPr="00737F76">
        <w:rPr>
          <w:rFonts w:cs="Times New Roman"/>
          <w:lang w:val="fr-CA"/>
        </w:rPr>
        <w:t xml:space="preserve">Je conviens que, si les acheteurs indirects n’exercent aucun recours, seuls ou avec les acheteurs directs, ces derniers seraient à même de recouvrer le montant intégral de la majoration vu l’impossibilité pour l’auteur de cette dernière d’invoquer </w:t>
      </w:r>
      <w:r w:rsidRPr="00737F76">
        <w:rPr>
          <w:rFonts w:cs="Times New Roman"/>
          <w:lang w:val="fr-CA"/>
        </w:rPr>
        <w:lastRenderedPageBreak/>
        <w:t xml:space="preserve">le transfert de la perte en défense.  Or, cela ne revient pas à dire que les acheteurs directs ont </w:t>
      </w:r>
      <w:r w:rsidRPr="00737F76">
        <w:rPr>
          <w:rFonts w:cs="Times New Roman"/>
          <w:i/>
          <w:lang w:val="fr-CA"/>
        </w:rPr>
        <w:t>droit</w:t>
      </w:r>
      <w:r w:rsidRPr="00737F76">
        <w:rPr>
          <w:rFonts w:cs="Times New Roman"/>
          <w:lang w:val="fr-CA"/>
        </w:rPr>
        <w:t xml:space="preserve"> à l’intégralité de cette somme d’argent.  La remise des biens mal acquis constitue l’une des pierres angulaires du droit de la restitution (P.</w:t>
      </w:r>
      <w:r w:rsidR="009B4301">
        <w:rPr>
          <w:rFonts w:cs="Times New Roman"/>
          <w:lang w:val="fr-CA"/>
        </w:rPr>
        <w:t> </w:t>
      </w:r>
      <w:r w:rsidRPr="00737F76">
        <w:rPr>
          <w:rFonts w:cs="Times New Roman"/>
          <w:lang w:val="fr-CA"/>
        </w:rPr>
        <w:t>D. Maddaugh et J.</w:t>
      </w:r>
      <w:r w:rsidR="009B4301">
        <w:rPr>
          <w:rFonts w:cs="Times New Roman"/>
          <w:lang w:val="fr-CA"/>
        </w:rPr>
        <w:t> </w:t>
      </w:r>
      <w:r w:rsidRPr="00737F76">
        <w:rPr>
          <w:rFonts w:cs="Times New Roman"/>
          <w:lang w:val="fr-CA"/>
        </w:rPr>
        <w:t xml:space="preserve">D. McCamus, </w:t>
      </w:r>
      <w:r w:rsidRPr="00737F76">
        <w:rPr>
          <w:rFonts w:cs="Times New Roman"/>
          <w:i/>
          <w:lang w:val="fr-CA"/>
        </w:rPr>
        <w:t>The Law of Restitution</w:t>
      </w:r>
      <w:r w:rsidR="009B4301">
        <w:rPr>
          <w:rFonts w:cs="Times New Roman"/>
          <w:lang w:val="fr-CA"/>
        </w:rPr>
        <w:t xml:space="preserve"> (</w:t>
      </w:r>
      <w:r w:rsidR="00B66F95">
        <w:rPr>
          <w:rFonts w:cs="Times New Roman"/>
          <w:lang w:val="fr-CA"/>
        </w:rPr>
        <w:t xml:space="preserve">éd. à </w:t>
      </w:r>
      <w:r w:rsidRPr="00737F76">
        <w:rPr>
          <w:rFonts w:cs="Times New Roman"/>
          <w:lang w:val="fr-CA"/>
        </w:rPr>
        <w:t xml:space="preserve">feuilles mobiles), </w:t>
      </w:r>
      <w:r w:rsidR="00B66F95">
        <w:rPr>
          <w:rFonts w:cs="Times New Roman"/>
          <w:lang w:val="fr-CA"/>
        </w:rPr>
        <w:t xml:space="preserve">vol. I, </w:t>
      </w:r>
      <w:r w:rsidRPr="00737F76">
        <w:rPr>
          <w:rFonts w:cs="Times New Roman"/>
          <w:lang w:val="fr-CA"/>
        </w:rPr>
        <w:t>p. 3</w:t>
      </w:r>
      <w:r w:rsidRPr="00737F76">
        <w:rPr>
          <w:rFonts w:cs="Times New Roman"/>
          <w:lang w:val="fr-CA"/>
        </w:rPr>
        <w:noBreakHyphen/>
        <w:t>1).  Le droit de la restitution constitue « </w:t>
      </w:r>
      <w:r w:rsidRPr="00737F76">
        <w:rPr>
          <w:rFonts w:cs="Times New Roman"/>
          <w:lang w:val="fr-FR"/>
        </w:rPr>
        <w:t>un outil de la justice corrective » qui cherche à reprendre à la partie qui a acquis injustement des fonds pour les rendre à celle qui les a perdus injustement (</w:t>
      </w:r>
      <w:r w:rsidRPr="00737F76">
        <w:rPr>
          <w:rFonts w:cs="Times New Roman"/>
          <w:i/>
          <w:lang w:val="fr-FR"/>
        </w:rPr>
        <w:t>Kingstreet Investments Ltd. c. Nouveau</w:t>
      </w:r>
      <w:r w:rsidRPr="00737F76">
        <w:rPr>
          <w:rFonts w:cs="Times New Roman"/>
          <w:i/>
          <w:lang w:val="fr-FR"/>
        </w:rPr>
        <w:noBreakHyphen/>
        <w:t>Brunswick (Finances)</w:t>
      </w:r>
      <w:r w:rsidRPr="00737F76">
        <w:rPr>
          <w:rFonts w:cs="Times New Roman"/>
          <w:lang w:val="fr-FR"/>
        </w:rPr>
        <w:t>,</w:t>
      </w:r>
      <w:r w:rsidRPr="00737F76">
        <w:rPr>
          <w:rFonts w:cs="Times New Roman"/>
          <w:i/>
          <w:lang w:val="fr-FR"/>
        </w:rPr>
        <w:t xml:space="preserve"> </w:t>
      </w:r>
      <w:r w:rsidRPr="00737F76">
        <w:rPr>
          <w:rFonts w:cs="Times New Roman"/>
          <w:lang w:val="fr-FR"/>
        </w:rPr>
        <w:t>2007 CSC 1, [2007] 1 R.C.S. 3, par. 32 et 47).</w:t>
      </w:r>
      <w:r w:rsidRPr="00737F76">
        <w:rPr>
          <w:rFonts w:cs="Times New Roman"/>
          <w:lang w:val="fr-CA"/>
        </w:rPr>
        <w:t xml:space="preserve">  Si un défendeur ne peut invoquer le transfert de la perte en défense, les acheteurs directs ne peuvent nier avoir refilé la majoration aux acheteurs indirects.  Dans les cas o</w:t>
      </w:r>
      <w:r w:rsidRPr="00737F76">
        <w:rPr>
          <w:rFonts w:cs="Times New Roman"/>
          <w:szCs w:val="24"/>
          <w:lang w:val="fr-CA"/>
        </w:rPr>
        <w:t>ù</w:t>
      </w:r>
      <w:r w:rsidRPr="00737F76">
        <w:rPr>
          <w:rFonts w:cs="Times New Roman"/>
          <w:lang w:val="fr-CA"/>
        </w:rPr>
        <w:t xml:space="preserve"> les acheteurs indirects peuvent le démontrer, ils ont le droit de demander le remboursement du montant de la majoration. </w:t>
      </w:r>
    </w:p>
    <w:p w:rsidR="00741557" w:rsidRPr="00737F76" w:rsidRDefault="00741557" w:rsidP="00741557">
      <w:pPr>
        <w:pStyle w:val="Title3LevelTitre3Niveau"/>
        <w:keepNext/>
        <w:tabs>
          <w:tab w:val="clear" w:pos="864"/>
          <w:tab w:val="num" w:pos="1680"/>
        </w:tabs>
        <w:ind w:left="1670" w:hanging="475"/>
        <w:rPr>
          <w:rFonts w:cs="Times New Roman"/>
          <w:lang w:val="fr-CA"/>
        </w:rPr>
      </w:pPr>
      <w:bookmarkStart w:id="28" w:name="_Toc360612048"/>
      <w:bookmarkStart w:id="29" w:name="_Toc370805257"/>
      <w:r w:rsidRPr="00737F76">
        <w:rPr>
          <w:rFonts w:cs="Times New Roman"/>
          <w:lang w:val="fr-CA"/>
        </w:rPr>
        <w:t>Dissuasion et indemnisation</w:t>
      </w:r>
      <w:bookmarkEnd w:id="28"/>
      <w:bookmarkEnd w:id="29"/>
    </w:p>
    <w:p w:rsidR="00741557" w:rsidRPr="00737F76" w:rsidRDefault="00741557" w:rsidP="00741557">
      <w:pPr>
        <w:pStyle w:val="ParaNoNdepar-AltN"/>
        <w:rPr>
          <w:rFonts w:cs="Times New Roman"/>
          <w:lang w:val="fr-CA"/>
        </w:rPr>
      </w:pPr>
      <w:r w:rsidRPr="00737F76">
        <w:rPr>
          <w:rFonts w:cs="Times New Roman"/>
          <w:lang w:val="fr-CA"/>
        </w:rPr>
        <w:t>À l’appui de leur argument selon lequel le recours des acheteurs indirects doit être rejeté, les intimées font tout particulièrement valoir que, dans nombre d’autres affaires de fixation des prix au Canada, l’indemnité accordée à ce type d’acheteurs a été versée</w:t>
      </w:r>
      <w:r w:rsidR="002F1C40">
        <w:rPr>
          <w:rFonts w:cs="Times New Roman"/>
          <w:lang w:val="fr-CA"/>
        </w:rPr>
        <w:t xml:space="preserve"> suivant le principe de l’aussi-</w:t>
      </w:r>
      <w:r w:rsidRPr="00737F76">
        <w:rPr>
          <w:rFonts w:cs="Times New Roman"/>
          <w:lang w:val="fr-CA"/>
        </w:rPr>
        <w:t>près (</w:t>
      </w:r>
      <w:r w:rsidR="00B66F95">
        <w:rPr>
          <w:rFonts w:cs="Times New Roman"/>
          <w:i/>
          <w:lang w:val="fr-CA"/>
        </w:rPr>
        <w:t>cy-</w:t>
      </w:r>
      <w:r w:rsidRPr="00737F76">
        <w:rPr>
          <w:rFonts w:cs="Times New Roman"/>
          <w:i/>
          <w:lang w:val="fr-CA"/>
        </w:rPr>
        <w:t>près doctrine</w:t>
      </w:r>
      <w:r w:rsidRPr="00737F76">
        <w:rPr>
          <w:rFonts w:cs="Times New Roman"/>
          <w:lang w:val="fr-CA"/>
        </w:rPr>
        <w:t xml:space="preserve">) parce que le montant de l’indemnité individuelle adjugée était si faible qu’il aurait été irréaliste de dénicher tous les membres du groupe pour la leur verser.  Toujours selon les intimées, une indemnité versée suivant ce principe ne sert pas l’objectif de dissuasion des lois canadiennes sur la concurrence parce qu’une demande présentée </w:t>
      </w:r>
      <w:r w:rsidRPr="00737F76">
        <w:rPr>
          <w:rFonts w:cs="Times New Roman"/>
          <w:lang w:val="fr-CA"/>
        </w:rPr>
        <w:lastRenderedPageBreak/>
        <w:t xml:space="preserve">uniquement par les acheteurs directs serait tout aussi dissuasive.  Elles ajoutent qu’elle ne sert pas non plus l’objectif d’indemnisation, car elle serait versée à un organisme à but non lucratif plutôt qu’aux membres du groupe.  </w:t>
      </w:r>
    </w:p>
    <w:p w:rsidR="00741557" w:rsidRPr="00737F76" w:rsidRDefault="00741557" w:rsidP="00741557">
      <w:pPr>
        <w:pStyle w:val="ParaNoNdepar-AltN"/>
        <w:rPr>
          <w:rFonts w:cs="Times New Roman"/>
          <w:lang w:val="fr-CA"/>
        </w:rPr>
      </w:pPr>
      <w:r w:rsidRPr="00737F76">
        <w:rPr>
          <w:rFonts w:cs="Times New Roman"/>
          <w:lang w:val="fr-CA"/>
        </w:rPr>
        <w:t>Ces arguments sont valables, mais la jurisprudence en matière de versement suivant le principe de l’aussi</w:t>
      </w:r>
      <w:r w:rsidRPr="00737F76">
        <w:rPr>
          <w:rFonts w:cs="Times New Roman"/>
          <w:lang w:val="fr-CA"/>
        </w:rPr>
        <w:noBreakHyphen/>
        <w:t>près est bien établie (voir M.</w:t>
      </w:r>
      <w:r w:rsidR="00B66F95">
        <w:rPr>
          <w:rFonts w:cs="Times New Roman"/>
          <w:lang w:val="fr-CA"/>
        </w:rPr>
        <w:t> </w:t>
      </w:r>
      <w:r w:rsidRPr="00737F76">
        <w:rPr>
          <w:rFonts w:cs="Times New Roman"/>
          <w:lang w:val="fr-CA"/>
        </w:rPr>
        <w:t xml:space="preserve">A. Eizenga et autres, </w:t>
      </w:r>
      <w:r w:rsidRPr="00737F76">
        <w:rPr>
          <w:rFonts w:cs="Times New Roman"/>
          <w:i/>
          <w:lang w:val="fr-CA"/>
        </w:rPr>
        <w:t>Class Actions Law and Practice</w:t>
      </w:r>
      <w:r w:rsidRPr="00737F76">
        <w:rPr>
          <w:rFonts w:cs="Times New Roman"/>
          <w:lang w:val="fr-CA"/>
        </w:rPr>
        <w:t xml:space="preserve"> (feuilles mobiles), § 9.19).  Bien qu’il puisse ne pas plaire à certains pour des raisons de principe, ce mode de distribution de l’indemnité accordée par suite d’un règlement ou des dommages</w:t>
      </w:r>
      <w:r w:rsidRPr="00737F76">
        <w:rPr>
          <w:rFonts w:cs="Times New Roman"/>
          <w:lang w:val="fr-CA"/>
        </w:rPr>
        <w:noBreakHyphen/>
        <w:t xml:space="preserve">intérêts adjugés est prévu au par. 34(1) de la </w:t>
      </w:r>
      <w:r w:rsidRPr="00737F76">
        <w:rPr>
          <w:rFonts w:cs="Times New Roman"/>
          <w:i/>
          <w:lang w:val="fr-CA"/>
        </w:rPr>
        <w:t>CPA</w:t>
      </w:r>
      <w:r w:rsidRPr="00936E6C">
        <w:rPr>
          <w:rFonts w:cs="Times New Roman"/>
          <w:lang w:val="fr-CA"/>
        </w:rPr>
        <w:t> :</w:t>
      </w:r>
      <w:r w:rsidRPr="00737F76">
        <w:rPr>
          <w:rFonts w:cs="Times New Roman"/>
          <w:lang w:val="fr-CA"/>
        </w:rPr>
        <w:t xml:space="preserve"> </w:t>
      </w:r>
    </w:p>
    <w:p w:rsidR="00741557" w:rsidRDefault="00741557" w:rsidP="00741557">
      <w:pPr>
        <w:pStyle w:val="Citation-AltC"/>
        <w:ind w:hanging="1166"/>
        <w:rPr>
          <w:lang w:val="fr-CA"/>
        </w:rPr>
      </w:pPr>
      <w:r w:rsidRPr="00737F76">
        <w:rPr>
          <w:lang w:val="fr-CA"/>
        </w:rPr>
        <w:tab/>
        <w:t>[</w:t>
      </w:r>
      <w:r w:rsidRPr="00737F76">
        <w:rPr>
          <w:smallCaps/>
          <w:lang w:val="fr-CA"/>
        </w:rPr>
        <w:t>traduction</w:t>
      </w:r>
      <w:r w:rsidRPr="00737F76">
        <w:rPr>
          <w:lang w:val="fr-CA"/>
        </w:rPr>
        <w:t>]</w:t>
      </w:r>
    </w:p>
    <w:p w:rsidR="00281D03" w:rsidRPr="00737F76" w:rsidRDefault="00281D03" w:rsidP="00741557">
      <w:pPr>
        <w:pStyle w:val="Citation-AltC"/>
        <w:ind w:hanging="1166"/>
        <w:rPr>
          <w:lang w:val="fr-CA"/>
        </w:rPr>
      </w:pPr>
    </w:p>
    <w:p w:rsidR="00741557" w:rsidRPr="00737F76" w:rsidRDefault="00741557" w:rsidP="00741557">
      <w:pPr>
        <w:pStyle w:val="Citation-AltC"/>
        <w:tabs>
          <w:tab w:val="left" w:pos="1920"/>
        </w:tabs>
        <w:ind w:left="1920" w:hanging="720"/>
        <w:rPr>
          <w:lang w:val="fr-CA"/>
        </w:rPr>
      </w:pPr>
      <w:r w:rsidRPr="00737F76">
        <w:rPr>
          <w:b/>
          <w:lang w:val="fr-CA"/>
        </w:rPr>
        <w:t>34</w:t>
      </w:r>
      <w:r w:rsidR="00A045EC">
        <w:rPr>
          <w:b/>
          <w:lang w:val="fr-CA"/>
        </w:rPr>
        <w:t> </w:t>
      </w:r>
      <w:r w:rsidRPr="00737F76">
        <w:rPr>
          <w:lang w:val="fr-CA"/>
        </w:rPr>
        <w:t>(1)</w:t>
      </w:r>
      <w:r w:rsidRPr="00737F76">
        <w:rPr>
          <w:lang w:val="fr-CA"/>
        </w:rPr>
        <w:tab/>
        <w:t>Le tribunal peut ordonner que la totalité ou une partie du montant adjugé en vertu de la présente section qui n’a pas été répartie dans le délai qu’il a fixé soit affectée d’une façon dont il est raisonnable de s’attendre qu’elle profite aux membres du groupe ou du sous</w:t>
      </w:r>
      <w:r w:rsidRPr="00737F76">
        <w:rPr>
          <w:lang w:val="fr-CA"/>
        </w:rPr>
        <w:noBreakHyphen/>
        <w:t>groupe même si l’ordonnance ne prévoit pas de mesures de redressement pécuniaire pour les membres du groupe ou du sous</w:t>
      </w:r>
      <w:r w:rsidRPr="00737F76">
        <w:rPr>
          <w:lang w:val="fr-CA"/>
        </w:rPr>
        <w:noBreakHyphen/>
        <w:t xml:space="preserve">groupe. </w:t>
      </w:r>
    </w:p>
    <w:p w:rsidR="00741557" w:rsidRPr="00737F76" w:rsidRDefault="00741557" w:rsidP="00741557">
      <w:pPr>
        <w:pStyle w:val="ParaNoNdepar-AltN"/>
        <w:rPr>
          <w:rFonts w:cs="Times New Roman"/>
          <w:lang w:val="fr-CA"/>
        </w:rPr>
      </w:pPr>
      <w:r w:rsidRPr="00737F76">
        <w:rPr>
          <w:rFonts w:cs="Times New Roman"/>
          <w:lang w:val="fr-CA"/>
        </w:rPr>
        <w:t>Ce mode de distribution a également été employé par les tribunaux dans les affaires de fixation des prix intéressant des acheteurs indirects, comme le démontre le résumé que les intimées ont présenté de neuf affaires où il avait été ordonné.  Et, bien qu’il ressorte de son propre nom, dérivé de l’expression</w:t>
      </w:r>
      <w:r w:rsidR="00A045EC">
        <w:rPr>
          <w:rFonts w:cs="Times New Roman"/>
          <w:lang w:val="fr-CA"/>
        </w:rPr>
        <w:t xml:space="preserve"> </w:t>
      </w:r>
      <w:r w:rsidR="00A045EC" w:rsidRPr="00737F76">
        <w:rPr>
          <w:lang w:val="fr-CA"/>
        </w:rPr>
        <w:t>[</w:t>
      </w:r>
      <w:r w:rsidR="00A045EC" w:rsidRPr="00737F76">
        <w:rPr>
          <w:smallCaps/>
          <w:lang w:val="fr-CA"/>
        </w:rPr>
        <w:t>traduction</w:t>
      </w:r>
      <w:r w:rsidR="00A045EC" w:rsidRPr="00737F76">
        <w:rPr>
          <w:lang w:val="fr-CA"/>
        </w:rPr>
        <w:t>]</w:t>
      </w:r>
      <w:r w:rsidRPr="00737F76">
        <w:rPr>
          <w:rFonts w:cs="Times New Roman"/>
          <w:lang w:val="fr-CA"/>
        </w:rPr>
        <w:t xml:space="preserve"> « aussi près que possible », qu’il ne s’agit pas du mode de distribution idéal, il permet au tribunal de verser l’argent à un substitut convenable du groupe </w:t>
      </w:r>
      <w:r w:rsidRPr="00737F76">
        <w:rPr>
          <w:rFonts w:cs="Times New Roman"/>
          <w:lang w:val="fr-CA"/>
        </w:rPr>
        <w:lastRenderedPageBreak/>
        <w:t>(v</w:t>
      </w:r>
      <w:r w:rsidRPr="00737F76">
        <w:rPr>
          <w:rFonts w:cs="Times New Roman"/>
          <w:szCs w:val="24"/>
          <w:lang w:val="fr-CA"/>
        </w:rPr>
        <w:t>oir D. Blynn, « Cy Pres Distributions</w:t>
      </w:r>
      <w:r>
        <w:rPr>
          <w:rFonts w:cs="Times New Roman"/>
          <w:szCs w:val="24"/>
          <w:lang w:val="fr-CA"/>
        </w:rPr>
        <w:t> </w:t>
      </w:r>
      <w:r w:rsidRPr="00737F76">
        <w:rPr>
          <w:rFonts w:cs="Times New Roman"/>
          <w:szCs w:val="24"/>
          <w:lang w:val="fr-CA"/>
        </w:rPr>
        <w:t xml:space="preserve">: Ethics &amp; Reform » (2012), 25 </w:t>
      </w:r>
      <w:r w:rsidRPr="00737F76">
        <w:rPr>
          <w:rFonts w:cs="Times New Roman"/>
          <w:i/>
          <w:szCs w:val="24"/>
          <w:lang w:val="fr-CA"/>
        </w:rPr>
        <w:t>Geo. J. Legal Ethics</w:t>
      </w:r>
      <w:r w:rsidRPr="00737F76">
        <w:rPr>
          <w:rFonts w:cs="Times New Roman"/>
          <w:szCs w:val="24"/>
          <w:lang w:val="fr-CA"/>
        </w:rPr>
        <w:t xml:space="preserve"> 435, p. 435). </w:t>
      </w:r>
      <w:r w:rsidRPr="00737F76">
        <w:rPr>
          <w:rFonts w:cs="Times New Roman"/>
          <w:lang w:val="fr-CA"/>
        </w:rPr>
        <w:t xml:space="preserve"> </w:t>
      </w:r>
    </w:p>
    <w:p w:rsidR="00741557" w:rsidRPr="00737F76" w:rsidRDefault="00741557" w:rsidP="00741557">
      <w:pPr>
        <w:pStyle w:val="ParaNoNdepar-AltN"/>
        <w:rPr>
          <w:rFonts w:cs="Times New Roman"/>
          <w:lang w:val="fr-CA"/>
        </w:rPr>
      </w:pPr>
      <w:r w:rsidRPr="00737F76">
        <w:rPr>
          <w:rFonts w:cs="Times New Roman"/>
          <w:lang w:val="fr-CA"/>
        </w:rPr>
        <w:t>Par conséquent, même si le versement suivant le principe de l’aussi</w:t>
      </w:r>
      <w:r w:rsidRPr="00737F76">
        <w:rPr>
          <w:rFonts w:cs="Times New Roman"/>
          <w:lang w:val="fr-CA"/>
        </w:rPr>
        <w:noBreakHyphen/>
        <w:t xml:space="preserve">près de l’indemnité accordée par suite d’un règlement ne sert pas l’objectif d’indemnisation, on ne saurait dire qu’il desserve l’objectif de dissuasion.  Ces considérations n’empêchent pas les acheteurs indirects d’exercer un recours ou de faire partie du groupe.  </w:t>
      </w:r>
    </w:p>
    <w:p w:rsidR="00741557" w:rsidRPr="00737F76" w:rsidRDefault="00741557" w:rsidP="00741557">
      <w:pPr>
        <w:pStyle w:val="Title2LevelTitre2Niveau"/>
        <w:keepNext/>
        <w:rPr>
          <w:rFonts w:cs="Times New Roman"/>
        </w:rPr>
      </w:pPr>
      <w:bookmarkStart w:id="30" w:name="_Toc370805258"/>
      <w:r w:rsidRPr="00737F76">
        <w:rPr>
          <w:rFonts w:cs="Times New Roman"/>
        </w:rPr>
        <w:t>La certification du recours collectif</w:t>
      </w:r>
      <w:bookmarkEnd w:id="30"/>
    </w:p>
    <w:p w:rsidR="00741557" w:rsidRPr="00737F76" w:rsidRDefault="00741557" w:rsidP="00741557">
      <w:pPr>
        <w:pStyle w:val="ParaNoNdepar-AltN"/>
        <w:rPr>
          <w:rFonts w:cs="Times New Roman"/>
          <w:lang w:val="fr-CA"/>
        </w:rPr>
      </w:pPr>
      <w:r w:rsidRPr="00737F76">
        <w:rPr>
          <w:rFonts w:cs="Times New Roman"/>
          <w:lang w:val="fr-CA"/>
        </w:rPr>
        <w:t xml:space="preserve">Ayant conclu que les acheteurs indirects ont un droit de recours contre l’auteur présumé de la majoration, je dois maintenant décider s’il y a lieu de certifier le présent recours collectif.  Les conditions de certification ont été analysées par le juge saisi de la demande, le juge Rice, mais les juges majoritaires de la </w:t>
      </w:r>
      <w:r w:rsidR="00A045EC">
        <w:rPr>
          <w:rFonts w:cs="Times New Roman"/>
          <w:lang w:val="fr-CA"/>
        </w:rPr>
        <w:t xml:space="preserve">C.A.C.-B. </w:t>
      </w:r>
      <w:r w:rsidRPr="00737F76">
        <w:rPr>
          <w:rFonts w:cs="Times New Roman"/>
          <w:lang w:val="fr-CA"/>
        </w:rPr>
        <w:t>n’en ont pas traité.  Ils ont tranché le recours uniquement sur le fondement de leur conclusion que le transfert de la perte ne constitue pas une cause d’action, de sorte que les acheteurs indirects se trouvent privés de recours</w:t>
      </w:r>
      <w:r>
        <w:rPr>
          <w:rFonts w:cs="Times New Roman"/>
          <w:lang w:val="fr-CA"/>
        </w:rPr>
        <w:t>.</w:t>
      </w:r>
    </w:p>
    <w:p w:rsidR="00741557" w:rsidRPr="00737F76" w:rsidRDefault="00741557" w:rsidP="00741557">
      <w:pPr>
        <w:pStyle w:val="ParaNoNdepar-AltN"/>
        <w:rPr>
          <w:rFonts w:cs="Times New Roman"/>
          <w:lang w:val="fr-CA"/>
        </w:rPr>
      </w:pPr>
      <w:r w:rsidRPr="00737F76">
        <w:rPr>
          <w:rFonts w:cs="Times New Roman"/>
          <w:lang w:val="fr-CA"/>
        </w:rPr>
        <w:t xml:space="preserve">Les conditions de certification prévues à la </w:t>
      </w:r>
      <w:r w:rsidRPr="00737F76">
        <w:rPr>
          <w:rFonts w:cs="Times New Roman"/>
          <w:i/>
          <w:lang w:val="fr-CA"/>
        </w:rPr>
        <w:t>CPA</w:t>
      </w:r>
      <w:r w:rsidRPr="00737F76">
        <w:rPr>
          <w:rFonts w:cs="Times New Roman"/>
          <w:lang w:val="fr-CA"/>
        </w:rPr>
        <w:t xml:space="preserve"> sont énoncées en son par. 4(1) : </w:t>
      </w:r>
    </w:p>
    <w:p w:rsidR="00741557" w:rsidRPr="00737F76" w:rsidRDefault="00741557" w:rsidP="00741557">
      <w:pPr>
        <w:pStyle w:val="Citation-AltC"/>
        <w:rPr>
          <w:lang w:val="fr-CA"/>
        </w:rPr>
      </w:pPr>
      <w:r w:rsidRPr="00737F76">
        <w:rPr>
          <w:lang w:val="fr-CA"/>
        </w:rPr>
        <w:t>[</w:t>
      </w:r>
      <w:r w:rsidRPr="00737F76">
        <w:rPr>
          <w:smallCaps/>
          <w:lang w:val="fr-CA"/>
        </w:rPr>
        <w:t>traduction</w:t>
      </w:r>
      <w:r w:rsidRPr="00737F76">
        <w:rPr>
          <w:lang w:val="fr-CA"/>
        </w:rPr>
        <w:t>]</w:t>
      </w:r>
    </w:p>
    <w:p w:rsidR="00741557" w:rsidRPr="00737F76" w:rsidRDefault="00741557" w:rsidP="00741557">
      <w:pPr>
        <w:pStyle w:val="Citation-AltC"/>
        <w:spacing w:after="240"/>
        <w:ind w:left="1701" w:hanging="567"/>
        <w:contextualSpacing w:val="0"/>
        <w:rPr>
          <w:lang w:val="fr-FR"/>
        </w:rPr>
      </w:pPr>
      <w:r w:rsidRPr="00737F76">
        <w:rPr>
          <w:b/>
          <w:bCs/>
          <w:lang w:val="fr-FR"/>
        </w:rPr>
        <w:lastRenderedPageBreak/>
        <w:t>4</w:t>
      </w:r>
      <w:r w:rsidR="00080791">
        <w:rPr>
          <w:b/>
          <w:bCs/>
          <w:lang w:val="fr-FR"/>
        </w:rPr>
        <w:t xml:space="preserve"> </w:t>
      </w:r>
      <w:r w:rsidRPr="00737F76">
        <w:rPr>
          <w:lang w:val="fr-FR"/>
        </w:rPr>
        <w:t>(1) </w:t>
      </w:r>
      <w:r w:rsidRPr="00737F76">
        <w:rPr>
          <w:lang w:val="fr-FR"/>
        </w:rPr>
        <w:tab/>
        <w:t>Le tribunal saisi d’une demande visée à l’article 2 ou 3 certifie une instance à titre de recours collectif lorsque les conditions suivantes sont réunies :</w:t>
      </w:r>
    </w:p>
    <w:p w:rsidR="00741557" w:rsidRPr="00737F76" w:rsidRDefault="00080791" w:rsidP="00B15039">
      <w:pPr>
        <w:pStyle w:val="Citation-AltC"/>
        <w:tabs>
          <w:tab w:val="left" w:pos="1710"/>
        </w:tabs>
        <w:spacing w:after="240"/>
        <w:ind w:left="2160" w:hanging="994"/>
        <w:contextualSpacing w:val="0"/>
        <w:rPr>
          <w:lang w:val="fr-FR"/>
        </w:rPr>
      </w:pPr>
      <w:r>
        <w:rPr>
          <w:lang w:val="fr-FR"/>
        </w:rPr>
        <w:tab/>
        <w:t>(a)</w:t>
      </w:r>
      <w:r>
        <w:rPr>
          <w:lang w:val="fr-FR"/>
        </w:rPr>
        <w:tab/>
      </w:r>
      <w:r w:rsidR="00741557" w:rsidRPr="00737F76">
        <w:rPr>
          <w:lang w:val="fr-FR"/>
        </w:rPr>
        <w:t>les actes de procédure révèlent une cause d’action;</w:t>
      </w:r>
    </w:p>
    <w:p w:rsidR="00741557" w:rsidRPr="00737F76" w:rsidRDefault="00B15039" w:rsidP="00080791">
      <w:pPr>
        <w:pStyle w:val="Citation-AltC"/>
        <w:tabs>
          <w:tab w:val="left" w:pos="1710"/>
        </w:tabs>
        <w:spacing w:after="240"/>
        <w:contextualSpacing w:val="0"/>
        <w:rPr>
          <w:lang w:val="fr-CA"/>
        </w:rPr>
      </w:pPr>
      <w:r>
        <w:rPr>
          <w:lang w:val="fr-CA"/>
        </w:rPr>
        <w:tab/>
        <w:t>(b)</w:t>
      </w:r>
      <w:r>
        <w:rPr>
          <w:lang w:val="fr-CA"/>
        </w:rPr>
        <w:tab/>
      </w:r>
      <w:r w:rsidR="00741557" w:rsidRPr="00737F76">
        <w:rPr>
          <w:lang w:val="fr-CA"/>
        </w:rPr>
        <w:t xml:space="preserve">il existe un </w:t>
      </w:r>
      <w:r w:rsidR="00741557" w:rsidRPr="00080791">
        <w:rPr>
          <w:lang w:val="fr-FR"/>
        </w:rPr>
        <w:t>groupe</w:t>
      </w:r>
      <w:r w:rsidR="00741557" w:rsidRPr="00737F76">
        <w:rPr>
          <w:lang w:val="fr-CA"/>
        </w:rPr>
        <w:t xml:space="preserve"> identifiable de </w:t>
      </w:r>
      <w:r w:rsidR="00A045EC">
        <w:rPr>
          <w:lang w:val="fr-CA"/>
        </w:rPr>
        <w:t>2</w:t>
      </w:r>
      <w:r w:rsidR="00741557" w:rsidRPr="00737F76">
        <w:rPr>
          <w:lang w:val="fr-CA"/>
        </w:rPr>
        <w:t xml:space="preserve"> personnes ou plus;</w:t>
      </w:r>
    </w:p>
    <w:p w:rsidR="00741557" w:rsidRPr="00737F76" w:rsidRDefault="00B15039" w:rsidP="00B15039">
      <w:pPr>
        <w:pStyle w:val="Citation-AltC"/>
        <w:tabs>
          <w:tab w:val="left" w:pos="1710"/>
          <w:tab w:val="left" w:pos="2160"/>
        </w:tabs>
        <w:spacing w:after="240"/>
        <w:ind w:left="2160" w:hanging="994"/>
        <w:contextualSpacing w:val="0"/>
        <w:rPr>
          <w:lang w:val="fr-CA"/>
        </w:rPr>
      </w:pPr>
      <w:r>
        <w:rPr>
          <w:lang w:val="fr-CA"/>
        </w:rPr>
        <w:tab/>
        <w:t>(c)</w:t>
      </w:r>
      <w:r>
        <w:rPr>
          <w:lang w:val="fr-CA"/>
        </w:rPr>
        <w:tab/>
      </w:r>
      <w:r w:rsidR="00741557" w:rsidRPr="00737F76">
        <w:rPr>
          <w:lang w:val="fr-CA"/>
        </w:rPr>
        <w:t>les demandes des membres du groupe soulèvent une question commune, que celle</w:t>
      </w:r>
      <w:r w:rsidR="00741557" w:rsidRPr="00737F76">
        <w:rPr>
          <w:lang w:val="fr-CA"/>
        </w:rPr>
        <w:noBreakHyphen/>
        <w:t>ci l’emporte ou non sur les questions qui touchent uniquement les membres individuels;</w:t>
      </w:r>
    </w:p>
    <w:p w:rsidR="00741557" w:rsidRPr="00737F76" w:rsidRDefault="00B15039" w:rsidP="00B15039">
      <w:pPr>
        <w:pStyle w:val="Citation-AltC"/>
        <w:tabs>
          <w:tab w:val="left" w:pos="1710"/>
          <w:tab w:val="left" w:pos="2160"/>
        </w:tabs>
        <w:spacing w:after="240"/>
        <w:ind w:left="2160" w:hanging="994"/>
        <w:contextualSpacing w:val="0"/>
        <w:rPr>
          <w:lang w:val="fr-CA"/>
        </w:rPr>
      </w:pPr>
      <w:r>
        <w:rPr>
          <w:lang w:val="fr-CA"/>
        </w:rPr>
        <w:tab/>
        <w:t>(d)</w:t>
      </w:r>
      <w:r>
        <w:rPr>
          <w:lang w:val="fr-CA"/>
        </w:rPr>
        <w:tab/>
      </w:r>
      <w:r w:rsidR="00741557" w:rsidRPr="00737F76">
        <w:rPr>
          <w:lang w:val="fr-CA"/>
        </w:rPr>
        <w:t xml:space="preserve">le recours </w:t>
      </w:r>
      <w:r w:rsidR="00741557" w:rsidRPr="00080791">
        <w:rPr>
          <w:lang w:val="fr-FR"/>
        </w:rPr>
        <w:t>collectif</w:t>
      </w:r>
      <w:r w:rsidR="00741557" w:rsidRPr="00737F76">
        <w:rPr>
          <w:lang w:val="fr-CA"/>
        </w:rPr>
        <w:t xml:space="preserve"> serait la meilleure procédure pour régler la question commune de manière juste et efficace;</w:t>
      </w:r>
    </w:p>
    <w:p w:rsidR="00741557" w:rsidRPr="00737F76" w:rsidRDefault="00B15039" w:rsidP="00080791">
      <w:pPr>
        <w:pStyle w:val="Citation-AltC"/>
        <w:tabs>
          <w:tab w:val="left" w:pos="1710"/>
        </w:tabs>
        <w:spacing w:after="240"/>
        <w:contextualSpacing w:val="0"/>
        <w:rPr>
          <w:lang w:val="fr-CA"/>
        </w:rPr>
      </w:pPr>
      <w:r>
        <w:rPr>
          <w:lang w:val="fr-CA"/>
        </w:rPr>
        <w:tab/>
        <w:t>(e)</w:t>
      </w:r>
      <w:r>
        <w:rPr>
          <w:lang w:val="fr-CA"/>
        </w:rPr>
        <w:tab/>
      </w:r>
      <w:r w:rsidR="00741557" w:rsidRPr="00737F76">
        <w:rPr>
          <w:lang w:val="fr-CA"/>
        </w:rPr>
        <w:t xml:space="preserve">un </w:t>
      </w:r>
      <w:r w:rsidR="00741557" w:rsidRPr="00080791">
        <w:rPr>
          <w:lang w:val="fr-FR"/>
        </w:rPr>
        <w:t>demandeur</w:t>
      </w:r>
      <w:r w:rsidR="00741557" w:rsidRPr="00737F76">
        <w:rPr>
          <w:lang w:val="fr-CA"/>
        </w:rPr>
        <w:noBreakHyphen/>
        <w:t>représentant :</w:t>
      </w:r>
    </w:p>
    <w:p w:rsidR="00741557" w:rsidRPr="00737F76" w:rsidRDefault="00B15039" w:rsidP="00B15039">
      <w:pPr>
        <w:pStyle w:val="Citation-AltC"/>
        <w:tabs>
          <w:tab w:val="left" w:pos="2160"/>
          <w:tab w:val="left" w:pos="2700"/>
        </w:tabs>
        <w:spacing w:after="240"/>
        <w:ind w:left="2700" w:hanging="2700"/>
        <w:contextualSpacing w:val="0"/>
        <w:rPr>
          <w:lang w:val="fr-FR"/>
        </w:rPr>
      </w:pPr>
      <w:r>
        <w:rPr>
          <w:lang w:val="fr-CA"/>
        </w:rPr>
        <w:tab/>
        <w:t>(i)</w:t>
      </w:r>
      <w:r>
        <w:rPr>
          <w:lang w:val="fr-CA"/>
        </w:rPr>
        <w:tab/>
      </w:r>
      <w:r w:rsidR="00741557" w:rsidRPr="00737F76">
        <w:rPr>
          <w:lang w:val="fr-FR"/>
        </w:rPr>
        <w:t>défendrait de manière juste et appropriée les intérêts du groupe,</w:t>
      </w:r>
    </w:p>
    <w:p w:rsidR="00741557" w:rsidRPr="00737F76" w:rsidRDefault="00B15039" w:rsidP="00B15039">
      <w:pPr>
        <w:pStyle w:val="Citation-AltC"/>
        <w:tabs>
          <w:tab w:val="left" w:pos="2160"/>
          <w:tab w:val="left" w:pos="2700"/>
        </w:tabs>
        <w:spacing w:after="240"/>
        <w:ind w:left="2700" w:hanging="2700"/>
        <w:contextualSpacing w:val="0"/>
        <w:rPr>
          <w:lang w:val="fr-CA"/>
        </w:rPr>
      </w:pPr>
      <w:r>
        <w:rPr>
          <w:lang w:val="fr-CA"/>
        </w:rPr>
        <w:tab/>
        <w:t>(ii)</w:t>
      </w:r>
      <w:r>
        <w:rPr>
          <w:lang w:val="fr-CA"/>
        </w:rPr>
        <w:tab/>
      </w:r>
      <w:r w:rsidR="00741557" w:rsidRPr="00737F76">
        <w:rPr>
          <w:lang w:val="fr-CA"/>
        </w:rPr>
        <w:t xml:space="preserve">a présenté, pour le recours collectif, un plan qui établit une méthode praticable de faire progresser l’instance au nom du groupe et d’aviser les membres du groupe de l’existence du recours collectif, </w:t>
      </w:r>
    </w:p>
    <w:p w:rsidR="00741557" w:rsidRPr="00737F76" w:rsidRDefault="00B15039" w:rsidP="00B15039">
      <w:pPr>
        <w:pStyle w:val="Citation-AltC"/>
        <w:tabs>
          <w:tab w:val="left" w:pos="2160"/>
          <w:tab w:val="left" w:pos="2700"/>
        </w:tabs>
        <w:ind w:left="2707" w:hanging="2707"/>
        <w:contextualSpacing w:val="0"/>
        <w:rPr>
          <w:lang w:val="fr-CA"/>
        </w:rPr>
      </w:pPr>
      <w:r>
        <w:rPr>
          <w:lang w:val="fr-CA"/>
        </w:rPr>
        <w:tab/>
        <w:t>(iii)</w:t>
      </w:r>
      <w:r>
        <w:rPr>
          <w:lang w:val="fr-CA"/>
        </w:rPr>
        <w:tab/>
      </w:r>
      <w:r w:rsidR="00741557" w:rsidRPr="00737F76">
        <w:rPr>
          <w:lang w:val="fr-CA"/>
        </w:rPr>
        <w:t xml:space="preserve">n’a pas de </w:t>
      </w:r>
      <w:r w:rsidR="00741557" w:rsidRPr="00B15039">
        <w:rPr>
          <w:lang w:val="fr-FR"/>
        </w:rPr>
        <w:t>conflit</w:t>
      </w:r>
      <w:r w:rsidR="00741557" w:rsidRPr="00737F76">
        <w:rPr>
          <w:lang w:val="fr-CA"/>
        </w:rPr>
        <w:t xml:space="preserve"> d’intérêts avec d’autres membres du groupe en ce qui concerne les questions communes.</w:t>
      </w:r>
    </w:p>
    <w:p w:rsidR="00741557" w:rsidRPr="00737F76" w:rsidRDefault="00741557" w:rsidP="00741557">
      <w:pPr>
        <w:pStyle w:val="ParaNoNdepar-AltN"/>
        <w:rPr>
          <w:rFonts w:cs="Times New Roman"/>
          <w:lang w:val="fr-CA"/>
        </w:rPr>
      </w:pPr>
      <w:r w:rsidRPr="00737F76">
        <w:rPr>
          <w:rFonts w:cs="Times New Roman"/>
          <w:lang w:val="fr-CA"/>
        </w:rPr>
        <w:t>Les intimées font valoir qu’il n’est pas satisfait à trois des conditions de certification.  Premièrement, les actes de procédure révèlent</w:t>
      </w:r>
      <w:r w:rsidRPr="00737F76">
        <w:rPr>
          <w:rFonts w:cs="Times New Roman"/>
          <w:lang w:val="fr-CA"/>
        </w:rPr>
        <w:noBreakHyphen/>
        <w:t>ils une cause d’action, comme l’exige l’al. 4(1)</w:t>
      </w:r>
      <w:r w:rsidR="009F7F33">
        <w:rPr>
          <w:rFonts w:cs="Times New Roman"/>
          <w:lang w:val="fr-CA"/>
        </w:rPr>
        <w:t>(</w:t>
      </w:r>
      <w:r w:rsidRPr="00737F76">
        <w:rPr>
          <w:rFonts w:cs="Times New Roman"/>
          <w:lang w:val="fr-CA"/>
        </w:rPr>
        <w:t xml:space="preserve">a)?  Elles soutiennent qu’il faut radier la cause d’action restante des acheteurs directs en imposition d’une fiducie par interprétation et rejeter la cause d’action des acheteurs indirects en restitution et celle fondée sur l’art. 36 de la </w:t>
      </w:r>
      <w:r w:rsidRPr="00737F76">
        <w:rPr>
          <w:rFonts w:cs="Times New Roman"/>
          <w:i/>
          <w:lang w:val="fr-CA"/>
        </w:rPr>
        <w:t>Loi</w:t>
      </w:r>
      <w:r w:rsidRPr="00737F76">
        <w:rPr>
          <w:rFonts w:cs="Times New Roman"/>
          <w:lang w:val="fr-CA"/>
        </w:rPr>
        <w:t xml:space="preserve"> </w:t>
      </w:r>
      <w:r w:rsidRPr="00737F76">
        <w:rPr>
          <w:rFonts w:cs="Times New Roman"/>
          <w:i/>
          <w:lang w:val="fr-CA"/>
        </w:rPr>
        <w:t>sur la concurrence</w:t>
      </w:r>
      <w:r w:rsidRPr="00737F76">
        <w:rPr>
          <w:rFonts w:cs="Times New Roman"/>
          <w:lang w:val="fr-CA"/>
        </w:rPr>
        <w:t>.  Elles ne contestent pas les causes d’action des acheteurs indirects en responsabilité délictuelle.  Deuxièmement, elles affirment qu’il n’est pas satisfait à la condition prévue à l’al. 4(1)</w:t>
      </w:r>
      <w:r w:rsidR="009F7F33">
        <w:rPr>
          <w:rFonts w:cs="Times New Roman"/>
          <w:lang w:val="fr-CA"/>
        </w:rPr>
        <w:t>(</w:t>
      </w:r>
      <w:r w:rsidRPr="00737F76">
        <w:rPr>
          <w:rFonts w:cs="Times New Roman"/>
          <w:lang w:val="fr-CA"/>
        </w:rPr>
        <w:t xml:space="preserve">c) voulant que les demandes soulèvent une question commune.  Troisièmement, elles font valoir que le groupe n’est pas </w:t>
      </w:r>
      <w:r w:rsidRPr="00737F76">
        <w:rPr>
          <w:rFonts w:cs="Times New Roman"/>
          <w:lang w:val="fr-CA"/>
        </w:rPr>
        <w:lastRenderedPageBreak/>
        <w:t>identifiable au sens où il faut l’entendre pour l’application de l’al. 4(1)</w:t>
      </w:r>
      <w:r w:rsidR="009F7F33">
        <w:rPr>
          <w:rFonts w:cs="Times New Roman"/>
          <w:lang w:val="fr-CA"/>
        </w:rPr>
        <w:t>(</w:t>
      </w:r>
      <w:r w:rsidRPr="00737F76">
        <w:rPr>
          <w:rFonts w:cs="Times New Roman"/>
          <w:lang w:val="fr-CA"/>
        </w:rPr>
        <w:t xml:space="preserve">b) dans la mesure où il est formé d’acheteurs indirects. </w:t>
      </w:r>
    </w:p>
    <w:p w:rsidR="00741557" w:rsidRPr="00737F76" w:rsidRDefault="00741557" w:rsidP="00741557">
      <w:pPr>
        <w:pStyle w:val="Title3LevelTitre3Niveau"/>
        <w:keepNext/>
        <w:tabs>
          <w:tab w:val="clear" w:pos="864"/>
          <w:tab w:val="num" w:pos="1680"/>
        </w:tabs>
        <w:ind w:left="1670" w:hanging="475"/>
        <w:rPr>
          <w:rFonts w:cs="Times New Roman"/>
          <w:lang w:val="fr-CA"/>
        </w:rPr>
      </w:pPr>
      <w:bookmarkStart w:id="31" w:name="_Toc360612050"/>
      <w:bookmarkStart w:id="32" w:name="_Toc370805259"/>
      <w:r w:rsidRPr="00737F76">
        <w:rPr>
          <w:rFonts w:cs="Times New Roman"/>
          <w:lang w:val="fr-CA"/>
        </w:rPr>
        <w:t>Les actes de procédure révèlent</w:t>
      </w:r>
      <w:r w:rsidRPr="00737F76">
        <w:rPr>
          <w:rFonts w:cs="Times New Roman"/>
          <w:lang w:val="fr-CA"/>
        </w:rPr>
        <w:noBreakHyphen/>
        <w:t>ils une cause d’action?</w:t>
      </w:r>
      <w:bookmarkEnd w:id="31"/>
      <w:bookmarkEnd w:id="32"/>
    </w:p>
    <w:p w:rsidR="00741557" w:rsidRPr="00737F76" w:rsidRDefault="00981601" w:rsidP="00741557">
      <w:pPr>
        <w:pStyle w:val="ParaNoNdepar-AltN"/>
        <w:rPr>
          <w:rFonts w:cs="Times New Roman"/>
          <w:lang w:val="fr-CA"/>
        </w:rPr>
      </w:pPr>
      <w:r>
        <w:rPr>
          <w:rFonts w:cs="Times New Roman"/>
          <w:lang w:val="fr-CA"/>
        </w:rPr>
        <w:t>L’alinéa</w:t>
      </w:r>
      <w:r w:rsidR="00741557" w:rsidRPr="00737F76">
        <w:rPr>
          <w:rFonts w:cs="Times New Roman"/>
          <w:lang w:val="fr-CA"/>
        </w:rPr>
        <w:t> 4(1)</w:t>
      </w:r>
      <w:r w:rsidR="009F7F33">
        <w:rPr>
          <w:rFonts w:cs="Times New Roman"/>
          <w:lang w:val="fr-CA"/>
        </w:rPr>
        <w:t>(</w:t>
      </w:r>
      <w:r w:rsidR="00741557" w:rsidRPr="00737F76">
        <w:rPr>
          <w:rFonts w:cs="Times New Roman"/>
          <w:lang w:val="fr-CA"/>
        </w:rPr>
        <w:t xml:space="preserve">a) de la </w:t>
      </w:r>
      <w:r w:rsidR="00741557" w:rsidRPr="00737F76">
        <w:rPr>
          <w:rFonts w:cs="Times New Roman"/>
          <w:i/>
          <w:lang w:val="fr-CA"/>
        </w:rPr>
        <w:t xml:space="preserve">CPA </w:t>
      </w:r>
      <w:r w:rsidR="00741557" w:rsidRPr="00737F76">
        <w:rPr>
          <w:rFonts w:cs="Times New Roman"/>
          <w:lang w:val="fr-CA"/>
        </w:rPr>
        <w:t xml:space="preserve">exige que les actes de procédure révèlent une cause d’action.  Cette analyse s’effectue selon la norme de preuve appliquée dans </w:t>
      </w:r>
      <w:r w:rsidR="00741557" w:rsidRPr="00737F76">
        <w:rPr>
          <w:rFonts w:cs="Times New Roman"/>
          <w:i/>
          <w:lang w:val="fr-CA"/>
        </w:rPr>
        <w:t>Hunt c. Carey Canada Inc.</w:t>
      </w:r>
      <w:r w:rsidR="009A1B84">
        <w:rPr>
          <w:rFonts w:cs="Times New Roman"/>
          <w:lang w:val="fr-CA"/>
        </w:rPr>
        <w:t xml:space="preserve">, [1990] 2 R.C.S. 959, </w:t>
      </w:r>
      <w:r w:rsidR="00741557" w:rsidRPr="00737F76">
        <w:rPr>
          <w:rFonts w:cs="Times New Roman"/>
          <w:lang w:val="fr-CA"/>
        </w:rPr>
        <w:t>p. 980, à savoir que le demandeur répond à l’exigence à moins qu’il ne soit manifeste que sa demande ne peut être accueillie, à supposer que tous les faits invoqués soient vrais (</w:t>
      </w:r>
      <w:r w:rsidR="00741557" w:rsidRPr="00737F76">
        <w:rPr>
          <w:rFonts w:cs="Times New Roman"/>
          <w:i/>
          <w:lang w:val="fr-CA"/>
        </w:rPr>
        <w:t>Alberta c. Elder Advocates of Alberta Society</w:t>
      </w:r>
      <w:r w:rsidR="00741557" w:rsidRPr="00737F76">
        <w:rPr>
          <w:rFonts w:cs="Times New Roman"/>
          <w:lang w:val="fr-CA"/>
        </w:rPr>
        <w:t>, 2011 CSC 24, [2011] 2 R.C.S. 261</w:t>
      </w:r>
      <w:r w:rsidR="009A1B84">
        <w:rPr>
          <w:rFonts w:cs="Times New Roman"/>
          <w:lang w:val="fr-CA"/>
        </w:rPr>
        <w:t xml:space="preserve"> </w:t>
      </w:r>
      <w:r w:rsidR="009A1B84" w:rsidRPr="00737F76">
        <w:rPr>
          <w:rFonts w:cs="Times New Roman"/>
          <w:lang w:val="fr-CA"/>
        </w:rPr>
        <w:t>(« </w:t>
      </w:r>
      <w:r w:rsidR="009A1B84" w:rsidRPr="00737F76">
        <w:rPr>
          <w:rFonts w:cs="Times New Roman"/>
          <w:i/>
          <w:lang w:val="fr-CA"/>
        </w:rPr>
        <w:t>Alberta Elders</w:t>
      </w:r>
      <w:r w:rsidR="009A1B84" w:rsidRPr="00737F76">
        <w:rPr>
          <w:rFonts w:cs="Times New Roman"/>
          <w:lang w:val="fr-CA"/>
        </w:rPr>
        <w:t> »)</w:t>
      </w:r>
      <w:r w:rsidR="00741557" w:rsidRPr="00737F76">
        <w:rPr>
          <w:rFonts w:cs="Times New Roman"/>
          <w:lang w:val="fr-CA"/>
        </w:rPr>
        <w:t xml:space="preserve">, par. 20; </w:t>
      </w:r>
      <w:r w:rsidR="00741557" w:rsidRPr="00737F76">
        <w:rPr>
          <w:rFonts w:cs="Times New Roman"/>
          <w:i/>
          <w:iCs/>
          <w:lang w:val="fr-CA"/>
        </w:rPr>
        <w:t>Hollick c. Toronto (Ville)</w:t>
      </w:r>
      <w:r w:rsidR="00741557" w:rsidRPr="00737F76">
        <w:rPr>
          <w:rFonts w:cs="Times New Roman"/>
          <w:lang w:val="fr-CA"/>
        </w:rPr>
        <w:t xml:space="preserve">, 2001 CSC 68, [2001] 3 R.C.S. 158, par. 25). </w:t>
      </w:r>
    </w:p>
    <w:p w:rsidR="00741557" w:rsidRPr="00737F76" w:rsidRDefault="00741557" w:rsidP="00741557">
      <w:pPr>
        <w:pStyle w:val="ParaNoNdepar-AltN"/>
        <w:rPr>
          <w:rFonts w:cs="Times New Roman"/>
          <w:lang w:val="fr-CA"/>
        </w:rPr>
      </w:pPr>
      <w:r w:rsidRPr="00737F76">
        <w:rPr>
          <w:rFonts w:cs="Times New Roman"/>
          <w:lang w:val="fr-CA"/>
        </w:rPr>
        <w:t xml:space="preserve">Je vais d’abord examiner les arguments des intimées relatifs aux causes d’action en restitution des acheteurs indirects et des acheteurs directs (imposition d’une fiducie par interprétation à titre de réparation) avant de me pencher sur les arguments qu’elles invoquent à l’encontre de la cause d’action des acheteurs indirects fondée sur l’art. 36 de la </w:t>
      </w:r>
      <w:r w:rsidRPr="00737F76">
        <w:rPr>
          <w:rFonts w:cs="Times New Roman"/>
          <w:i/>
          <w:lang w:val="fr-CA"/>
        </w:rPr>
        <w:t xml:space="preserve">Loi sur la concurrence. </w:t>
      </w:r>
    </w:p>
    <w:p w:rsidR="00741557" w:rsidRPr="00737F76" w:rsidRDefault="00B15039" w:rsidP="00B15039">
      <w:pPr>
        <w:pStyle w:val="Title4LevelTitre4Niveau"/>
        <w:keepNext/>
        <w:numPr>
          <w:ilvl w:val="0"/>
          <w:numId w:val="0"/>
        </w:numPr>
        <w:tabs>
          <w:tab w:val="left" w:pos="1260"/>
          <w:tab w:val="left" w:pos="1980"/>
        </w:tabs>
        <w:ind w:left="1980" w:hanging="1980"/>
        <w:rPr>
          <w:rFonts w:cs="Times New Roman"/>
          <w:lang w:val="fr-CA"/>
        </w:rPr>
      </w:pPr>
      <w:bookmarkStart w:id="33" w:name="_Toc360612051"/>
      <w:bookmarkStart w:id="34" w:name="_Toc370805260"/>
      <w:r>
        <w:rPr>
          <w:rFonts w:cs="Times New Roman"/>
          <w:lang w:val="fr-CA"/>
        </w:rPr>
        <w:tab/>
      </w:r>
      <w:r w:rsidRPr="00B15039">
        <w:rPr>
          <w:rFonts w:cs="Times New Roman"/>
          <w:i w:val="0"/>
          <w:lang w:val="fr-CA"/>
        </w:rPr>
        <w:t>a)</w:t>
      </w:r>
      <w:r w:rsidRPr="00B15039">
        <w:rPr>
          <w:rFonts w:cs="Times New Roman"/>
          <w:i w:val="0"/>
          <w:lang w:val="fr-CA"/>
        </w:rPr>
        <w:tab/>
      </w:r>
      <w:r w:rsidR="00741557" w:rsidRPr="00737F76">
        <w:rPr>
          <w:rFonts w:cs="Times New Roman"/>
          <w:lang w:val="fr-CA"/>
        </w:rPr>
        <w:t>Restitution — Acheteurs indirects</w:t>
      </w:r>
      <w:bookmarkEnd w:id="33"/>
      <w:bookmarkEnd w:id="34"/>
    </w:p>
    <w:p w:rsidR="00741557" w:rsidRPr="00737F76" w:rsidRDefault="00741557" w:rsidP="00741557">
      <w:pPr>
        <w:pStyle w:val="ParaNoNdepar-AltN"/>
        <w:rPr>
          <w:rFonts w:cs="Times New Roman"/>
          <w:lang w:val="fr-CA"/>
        </w:rPr>
      </w:pPr>
      <w:r w:rsidRPr="00737F76">
        <w:rPr>
          <w:rFonts w:cs="Times New Roman"/>
          <w:lang w:val="fr-CA"/>
        </w:rPr>
        <w:t xml:space="preserve">Subsidiairement, les appelantes prétendent que les intimées se sont injustement enrichies, car elles auraient majoré le prix du SMHTF, et que les membres du groupe ont subi un appauvrissement correspondant au montant du </w:t>
      </w:r>
      <w:r w:rsidRPr="00737F76">
        <w:rPr>
          <w:rFonts w:cs="Times New Roman"/>
          <w:lang w:val="fr-CA"/>
        </w:rPr>
        <w:lastRenderedPageBreak/>
        <w:t>surcoût découlant de la vente du SMHTF en C.</w:t>
      </w:r>
      <w:r w:rsidRPr="00737F76">
        <w:rPr>
          <w:rFonts w:cs="Times New Roman"/>
          <w:lang w:val="fr-CA"/>
        </w:rPr>
        <w:noBreakHyphen/>
        <w:t>B. et ailleurs au Canada.  Selon elles, cette majoration est imputable à des actes fautifs ou illicites et aucun motif juridique ne saurait donc justifier l’enrichissement.  Les appelantes réclament la restitution du surcoût que les membres du groupe auraient payé aux intimées.</w:t>
      </w:r>
    </w:p>
    <w:p w:rsidR="00741557" w:rsidRPr="00737F76" w:rsidRDefault="00741557" w:rsidP="00741557">
      <w:pPr>
        <w:pStyle w:val="ParaNoNdepar-AltN"/>
        <w:rPr>
          <w:rFonts w:cs="Times New Roman"/>
          <w:lang w:val="fr-CA"/>
        </w:rPr>
      </w:pPr>
      <w:r w:rsidRPr="00737F76">
        <w:rPr>
          <w:rFonts w:cs="Times New Roman"/>
          <w:lang w:val="fr-CA"/>
        </w:rPr>
        <w:t>Les intimées affirment que [</w:t>
      </w:r>
      <w:r w:rsidRPr="00737F76">
        <w:rPr>
          <w:rFonts w:cs="Times New Roman"/>
          <w:smallCaps/>
          <w:lang w:val="fr-CA"/>
        </w:rPr>
        <w:t>traduction</w:t>
      </w:r>
      <w:r w:rsidRPr="00737F76">
        <w:rPr>
          <w:rFonts w:cs="Times New Roman"/>
          <w:lang w:val="fr-CA"/>
        </w:rPr>
        <w:t xml:space="preserve">] « tant l’avantage conféré que l’appauvrissement subi (la perte) touche exclusivement les acheteurs directs » et ainsi ils sont les seuls à pouvoir présenter une demande en restitution pour des actes fautifs.  Elles prétendent que l’acheteur indirect n’a conféré directement aucun avantage à l’auteur de la majoration et que l’appauvrissement en question a été subi par les acheteurs directs, et </w:t>
      </w:r>
      <w:r w:rsidRPr="00737F76">
        <w:rPr>
          <w:rFonts w:cs="Times New Roman"/>
          <w:i/>
          <w:lang w:val="fr-CA"/>
        </w:rPr>
        <w:t>non</w:t>
      </w:r>
      <w:r w:rsidRPr="00737F76">
        <w:rPr>
          <w:rFonts w:cs="Times New Roman"/>
          <w:lang w:val="fr-CA"/>
        </w:rPr>
        <w:t xml:space="preserve"> par les acheteurs indirects, vu que le transfert de la perte n’est pas reconnu en droit (mémoire de Cargill, par. 30). </w:t>
      </w:r>
    </w:p>
    <w:p w:rsidR="00741557" w:rsidRPr="00737F76" w:rsidRDefault="00741557" w:rsidP="00741557">
      <w:pPr>
        <w:pStyle w:val="ParaNoNdepar-AltN"/>
        <w:rPr>
          <w:rFonts w:cs="Times New Roman"/>
          <w:lang w:val="fr-CA"/>
        </w:rPr>
      </w:pPr>
      <w:r w:rsidRPr="00737F76">
        <w:rPr>
          <w:rFonts w:cs="Times New Roman"/>
          <w:lang w:val="fr-CA"/>
        </w:rPr>
        <w:t xml:space="preserve">Je crois comprendre que les intimées avancent deux arguments distincts : premièrement, pour fonder une action pour enrichissement injustifié, il doit y avoir un lien direct entre le demandeur et le défendeur; deuxièmement, puisque les acheteurs indirects ne peuvent invoquer le transfert de la perte en demande, ils n’ont aucune cause d’action pour enrichissement injustifié.  Ces deux arguments sont examinés dans les motifs de l’arrêt </w:t>
      </w:r>
      <w:r w:rsidRPr="00737F76">
        <w:rPr>
          <w:rFonts w:cs="Times New Roman"/>
          <w:i/>
          <w:lang w:val="fr-CA"/>
        </w:rPr>
        <w:t>Pro</w:t>
      </w:r>
      <w:r w:rsidRPr="00737F76">
        <w:rPr>
          <w:rFonts w:cs="Times New Roman"/>
          <w:i/>
          <w:lang w:val="fr-CA"/>
        </w:rPr>
        <w:noBreakHyphen/>
        <w:t>Sys</w:t>
      </w:r>
      <w:r w:rsidRPr="00737F76">
        <w:rPr>
          <w:rFonts w:cs="Times New Roman"/>
          <w:lang w:val="fr-CA"/>
        </w:rPr>
        <w:t xml:space="preserve">. </w:t>
      </w:r>
    </w:p>
    <w:p w:rsidR="00741557" w:rsidRPr="00737F76" w:rsidRDefault="00741557" w:rsidP="00741557">
      <w:pPr>
        <w:pStyle w:val="ParaNoNdepar-AltN"/>
        <w:rPr>
          <w:rFonts w:cs="Times New Roman"/>
          <w:lang w:val="fr-CA"/>
        </w:rPr>
      </w:pPr>
      <w:r w:rsidRPr="00737F76">
        <w:rPr>
          <w:rFonts w:cs="Times New Roman"/>
          <w:lang w:val="fr-CA"/>
        </w:rPr>
        <w:t xml:space="preserve">Il n’est pas établi qu’un lien direct entre le défendeur et le demandeur constitue une condition préalable à une action pour enrichissement injustifié.  Comme il est indiqué dans les motifs de l’arrêt </w:t>
      </w:r>
      <w:r w:rsidRPr="00737F76">
        <w:rPr>
          <w:rFonts w:cs="Times New Roman"/>
          <w:i/>
          <w:lang w:val="fr-CA"/>
        </w:rPr>
        <w:t>Pro</w:t>
      </w:r>
      <w:r w:rsidRPr="00737F76">
        <w:rPr>
          <w:rFonts w:cs="Times New Roman"/>
          <w:i/>
          <w:lang w:val="fr-CA"/>
        </w:rPr>
        <w:noBreakHyphen/>
        <w:t>Sys</w:t>
      </w:r>
      <w:r w:rsidRPr="00737F76">
        <w:rPr>
          <w:rFonts w:cs="Times New Roman"/>
          <w:lang w:val="fr-CA"/>
        </w:rPr>
        <w:t xml:space="preserve">, la Cour affirme seulement dans </w:t>
      </w:r>
      <w:r w:rsidRPr="00737F76">
        <w:rPr>
          <w:rFonts w:cs="Times New Roman"/>
          <w:i/>
          <w:lang w:val="fr-CA"/>
        </w:rPr>
        <w:t>Peel (Municipalité régionale) c. Canada</w:t>
      </w:r>
      <w:r w:rsidRPr="00737F76">
        <w:rPr>
          <w:rFonts w:cs="Times New Roman"/>
          <w:lang w:val="fr-CA"/>
        </w:rPr>
        <w:t>,</w:t>
      </w:r>
      <w:r w:rsidRPr="00737F76">
        <w:rPr>
          <w:rFonts w:cs="Times New Roman"/>
          <w:i/>
          <w:lang w:val="fr-CA"/>
        </w:rPr>
        <w:t xml:space="preserve"> </w:t>
      </w:r>
      <w:r w:rsidRPr="00737F76">
        <w:rPr>
          <w:rFonts w:cs="Times New Roman"/>
          <w:lang w:val="fr-CA"/>
        </w:rPr>
        <w:t xml:space="preserve">[1992] 3 R.C.S. 762, que « [l]es affaires dans </w:t>
      </w:r>
      <w:r w:rsidRPr="00737F76">
        <w:rPr>
          <w:rFonts w:cs="Times New Roman"/>
          <w:lang w:val="fr-CA"/>
        </w:rPr>
        <w:lastRenderedPageBreak/>
        <w:t xml:space="preserve">lesquelles l’enrichissement sans cause a été établi concernent </w:t>
      </w:r>
      <w:r w:rsidRPr="00737F76">
        <w:rPr>
          <w:rFonts w:cs="Times New Roman"/>
          <w:u w:val="single"/>
          <w:lang w:val="fr-CA"/>
        </w:rPr>
        <w:t>généralement</w:t>
      </w:r>
      <w:r w:rsidRPr="00737F76">
        <w:rPr>
          <w:rFonts w:cs="Times New Roman"/>
          <w:lang w:val="fr-CA"/>
        </w:rPr>
        <w:t xml:space="preserve"> des avantages conférés directement et expressément au défendeur » (</w:t>
      </w:r>
      <w:r w:rsidRPr="00737F76">
        <w:rPr>
          <w:rFonts w:cs="Times New Roman"/>
          <w:szCs w:val="24"/>
          <w:lang w:val="fr-CA"/>
        </w:rPr>
        <w:t xml:space="preserve">p. 797 (je souligne)).  </w:t>
      </w:r>
      <w:r w:rsidRPr="00737F76">
        <w:rPr>
          <w:rFonts w:cs="Times New Roman"/>
          <w:i/>
          <w:szCs w:val="24"/>
          <w:lang w:val="fr-CA"/>
        </w:rPr>
        <w:t xml:space="preserve">Peel </w:t>
      </w:r>
      <w:r w:rsidRPr="00737F76">
        <w:rPr>
          <w:rFonts w:cs="Times New Roman"/>
          <w:szCs w:val="24"/>
          <w:lang w:val="fr-CA"/>
        </w:rPr>
        <w:t xml:space="preserve">vient établir uniquement que le fondement d’une action pour enrichissement sans cause ne doit pas revêtir « qu’un caractère purement incident » et qu’« [u]n avantage secondaire et accessoire ne suffit pas » (p. 797).  Ces propos ne semblent pas exclure nécessairement une action opposant des parties unies par un lien indirect.  Toutefois, tout comme dans l’affaire </w:t>
      </w:r>
      <w:r w:rsidRPr="00737F76">
        <w:rPr>
          <w:rFonts w:cs="Times New Roman"/>
          <w:i/>
          <w:szCs w:val="24"/>
          <w:lang w:val="fr-CA"/>
        </w:rPr>
        <w:t>Pro</w:t>
      </w:r>
      <w:r w:rsidRPr="00737F76">
        <w:rPr>
          <w:rFonts w:cs="Times New Roman"/>
          <w:i/>
          <w:szCs w:val="24"/>
          <w:lang w:val="fr-CA"/>
        </w:rPr>
        <w:noBreakHyphen/>
        <w:t>Sys</w:t>
      </w:r>
      <w:r w:rsidRPr="00737F76">
        <w:rPr>
          <w:rFonts w:cs="Times New Roman"/>
          <w:szCs w:val="24"/>
          <w:lang w:val="fr-CA"/>
        </w:rPr>
        <w:t>, cela ne règle pas la question.  Premièrement, il n’est pas évident en l’espèce que l’avantage obtenu par les intimées ne revêtait qu’un « caractère purement incident » ou n’était que « secondaire ».</w:t>
      </w:r>
      <w:r w:rsidRPr="00737F76">
        <w:rPr>
          <w:rFonts w:cs="Times New Roman"/>
          <w:lang w:val="fr-CA"/>
        </w:rPr>
        <w:t xml:space="preserve">  Deuxièmement, les appelants dans l’affaire </w:t>
      </w:r>
      <w:r w:rsidRPr="00737F76">
        <w:rPr>
          <w:rFonts w:cs="Times New Roman"/>
          <w:i/>
          <w:szCs w:val="24"/>
          <w:lang w:val="fr-CA"/>
        </w:rPr>
        <w:t>Pro</w:t>
      </w:r>
      <w:r w:rsidRPr="00737F76">
        <w:rPr>
          <w:rFonts w:cs="Times New Roman"/>
          <w:i/>
          <w:szCs w:val="24"/>
          <w:lang w:val="fr-CA"/>
        </w:rPr>
        <w:noBreakHyphen/>
        <w:t xml:space="preserve">Sys </w:t>
      </w:r>
      <w:r w:rsidRPr="00737F76">
        <w:rPr>
          <w:rFonts w:cs="Times New Roman"/>
          <w:szCs w:val="24"/>
          <w:lang w:val="fr-CA"/>
        </w:rPr>
        <w:t>soutiennent qu’</w:t>
      </w:r>
      <w:r w:rsidRPr="00737F76">
        <w:rPr>
          <w:rFonts w:cs="Times New Roman"/>
          <w:i/>
          <w:szCs w:val="24"/>
          <w:lang w:val="fr-CA"/>
        </w:rPr>
        <w:t xml:space="preserve">Alberta Elders </w:t>
      </w:r>
      <w:r w:rsidRPr="00737F76">
        <w:rPr>
          <w:rFonts w:cs="Times New Roman"/>
          <w:szCs w:val="24"/>
          <w:lang w:val="fr-CA"/>
        </w:rPr>
        <w:t>est un exemple d’arrêt où la Cour a conclu à l’enrichissement injustifié malgré l’absence d’un lien direct, ce qui soulève un doute sur le caractère impératif de cette condition.  On ne saurait donc dire qu’il est manifeste qu’une action pour enrichissement injustifié doit être rejetée à l’étape de la certification pour ce seul motif</w:t>
      </w:r>
      <w:r w:rsidRPr="00737F76">
        <w:rPr>
          <w:rFonts w:cs="Times New Roman"/>
          <w:lang w:val="fr-CA"/>
        </w:rPr>
        <w:t xml:space="preserve">. </w:t>
      </w:r>
    </w:p>
    <w:p w:rsidR="00741557" w:rsidRPr="00737F76" w:rsidRDefault="00741557" w:rsidP="00741557">
      <w:pPr>
        <w:pStyle w:val="ParaNoNdepar-AltN"/>
        <w:rPr>
          <w:rFonts w:cs="Times New Roman"/>
          <w:lang w:val="fr-CA"/>
        </w:rPr>
      </w:pPr>
      <w:r w:rsidRPr="00737F76">
        <w:rPr>
          <w:rFonts w:cs="Times New Roman"/>
          <w:lang w:val="fr-CA"/>
        </w:rPr>
        <w:t xml:space="preserve">Quant au transfert de la perte, la Cour répond de façon concluante à cette question : le préjudice subi par les acheteurs indirects est reconnu en droit, tout comme leur droit d’exercer des recours pour recouvrer le montant de ces pertes. </w:t>
      </w:r>
      <w:r>
        <w:rPr>
          <w:rFonts w:cs="Times New Roman"/>
          <w:lang w:val="fr-CA"/>
        </w:rPr>
        <w:t xml:space="preserve"> </w:t>
      </w:r>
      <w:r w:rsidRPr="00737F76">
        <w:rPr>
          <w:rFonts w:cs="Times New Roman"/>
          <w:lang w:val="fr-CA"/>
        </w:rPr>
        <w:t>Pour les motifs énoncés précédemment, le fait de permettre à un groupe formé à la fois d’acheteurs directs et d’acheteurs indirects de présenter une demande en restitution ne pose aucun obstacle insurmontable.  Il est possible de recouvrer les fonds mal acquis parce qu’ils l’ont été au détriment des demandeurs (Maddaugh et McCamus, p. 3</w:t>
      </w:r>
      <w:r w:rsidRPr="00737F76">
        <w:rPr>
          <w:rFonts w:cs="Times New Roman"/>
          <w:lang w:val="fr-CA"/>
        </w:rPr>
        <w:noBreakHyphen/>
        <w:t xml:space="preserve">9).  C’est ce qui serait arrivé en l’espèce.  Les appelantes prétendent que les intimées ont </w:t>
      </w:r>
      <w:r w:rsidRPr="00737F76">
        <w:rPr>
          <w:rFonts w:cs="Times New Roman"/>
          <w:lang w:val="fr-CA"/>
        </w:rPr>
        <w:lastRenderedPageBreak/>
        <w:t xml:space="preserve">commis des actes fautifs à l’endroit des acheteurs directs </w:t>
      </w:r>
      <w:r w:rsidRPr="00737F76">
        <w:rPr>
          <w:rFonts w:cs="Times New Roman"/>
          <w:i/>
          <w:lang w:val="fr-CA"/>
        </w:rPr>
        <w:t>et des acheteurs indirects</w:t>
      </w:r>
      <w:r w:rsidRPr="00737F76">
        <w:rPr>
          <w:rFonts w:cs="Times New Roman"/>
          <w:lang w:val="fr-CA"/>
        </w:rPr>
        <w:t xml:space="preserve"> et soutiennent que les deux groupes devraient avoir le droit de recouvrer le montant de leurs pertes.</w:t>
      </w:r>
    </w:p>
    <w:p w:rsidR="00741557" w:rsidRPr="00737F76" w:rsidRDefault="00741557" w:rsidP="00741557">
      <w:pPr>
        <w:pStyle w:val="ParaNoNdepar-AltN"/>
        <w:rPr>
          <w:rFonts w:cs="Times New Roman"/>
          <w:lang w:val="fr-CA"/>
        </w:rPr>
      </w:pPr>
      <w:r w:rsidRPr="00737F76">
        <w:rPr>
          <w:rFonts w:cs="Times New Roman"/>
          <w:lang w:val="fr-CA"/>
        </w:rPr>
        <w:t>Certes, s’il est fait abstraction des acheteurs indirects, l’impossibilité d’invoquer en défense le transfert de la perte se traduit pour les</w:t>
      </w:r>
      <w:r>
        <w:rPr>
          <w:rFonts w:cs="Times New Roman"/>
          <w:lang w:val="fr-CA"/>
        </w:rPr>
        <w:t xml:space="preserve"> </w:t>
      </w:r>
      <w:r w:rsidRPr="00737F76">
        <w:rPr>
          <w:rFonts w:cs="Times New Roman"/>
          <w:lang w:val="fr-CA"/>
        </w:rPr>
        <w:t xml:space="preserve">acheteurs directs par un droit à la totalité de la majoration.  Cependant, la participation d’acheteurs indirects au recours altère ce droit.  Comme je l’explique précédemment, cela ne signifie pas, tel que les intimées le laissent entendre, que le fait de permettre aux acheteurs indirects de participer au recours reviendrait à </w:t>
      </w:r>
      <w:r w:rsidR="009A1B84" w:rsidRPr="00737F76">
        <w:rPr>
          <w:rFonts w:cs="Times New Roman"/>
          <w:lang w:val="fr-CA"/>
        </w:rPr>
        <w:t>[</w:t>
      </w:r>
      <w:r w:rsidR="009A1B84" w:rsidRPr="00737F76">
        <w:rPr>
          <w:rFonts w:cs="Times New Roman"/>
          <w:smallCaps/>
          <w:lang w:val="fr-CA"/>
        </w:rPr>
        <w:t>traduction</w:t>
      </w:r>
      <w:r w:rsidR="009A1B84" w:rsidRPr="00737F76">
        <w:rPr>
          <w:rFonts w:cs="Times New Roman"/>
          <w:lang w:val="fr-CA"/>
        </w:rPr>
        <w:t xml:space="preserve">] </w:t>
      </w:r>
      <w:r w:rsidRPr="00737F76">
        <w:rPr>
          <w:rFonts w:cs="Times New Roman"/>
          <w:lang w:val="fr-CA"/>
        </w:rPr>
        <w:t>« admettre la possibilité d’un double recouvrement par le demandeur</w:t>
      </w:r>
      <w:r w:rsidR="00EA599A">
        <w:rPr>
          <w:rFonts w:cs="Times New Roman"/>
          <w:lang w:val="fr-CA"/>
        </w:rPr>
        <w:t xml:space="preserve"> </w:t>
      </w:r>
      <w:r w:rsidRPr="00737F76">
        <w:rPr>
          <w:rFonts w:cs="Times New Roman"/>
          <w:lang w:val="fr-CA"/>
        </w:rPr>
        <w:t>—</w:t>
      </w:r>
      <w:r w:rsidR="00981601">
        <w:rPr>
          <w:rFonts w:cs="Times New Roman"/>
          <w:lang w:val="fr-CA"/>
        </w:rPr>
        <w:t xml:space="preserve"> </w:t>
      </w:r>
      <w:r w:rsidRPr="00737F76">
        <w:rPr>
          <w:rFonts w:cs="Times New Roman"/>
          <w:lang w:val="fr-CA"/>
        </w:rPr>
        <w:t>d’abord, de la personne qui bénéficie immédiatement du paiement ou de l’avantage [</w:t>
      </w:r>
      <w:r w:rsidRPr="00737F76">
        <w:rPr>
          <w:rFonts w:cs="Times New Roman"/>
          <w:spacing w:val="-3"/>
          <w:lang w:val="fr-CA"/>
        </w:rPr>
        <w:t xml:space="preserve">. . .] et ensuite, de la personne qui en a tiré un avantage incident »  (mémoire de Cargill, par. 32, citant l’arrêt </w:t>
      </w:r>
      <w:r w:rsidRPr="00737F76">
        <w:rPr>
          <w:rFonts w:cs="Times New Roman"/>
          <w:i/>
          <w:spacing w:val="-3"/>
          <w:lang w:val="fr-CA"/>
        </w:rPr>
        <w:t>Peel</w:t>
      </w:r>
      <w:r w:rsidR="0025209F">
        <w:rPr>
          <w:rFonts w:cs="Times New Roman"/>
          <w:spacing w:val="-3"/>
          <w:lang w:val="fr-CA"/>
        </w:rPr>
        <w:t xml:space="preserve">, </w:t>
      </w:r>
      <w:r w:rsidRPr="00737F76">
        <w:rPr>
          <w:rFonts w:cs="Times New Roman"/>
          <w:spacing w:val="-3"/>
          <w:lang w:val="fr-CA"/>
        </w:rPr>
        <w:t>p. 797)</w:t>
      </w:r>
      <w:r w:rsidRPr="00737F76">
        <w:rPr>
          <w:rFonts w:cs="Times New Roman"/>
          <w:lang w:val="fr-CA"/>
        </w:rPr>
        <w:t>.  Cela signifie plutôt que les acheteurs indirects et les acheteurs directs se partageront la somme globale recouvrée s’ils ont gain de cause.  Dans l’éventualité où les acheteurs directs et les acheteurs indirects présentent des demandes concurrentes, je partage l’avis du juge Rice qu’il est possible de régler ce point plus tard au cours de l’instance (</w:t>
      </w:r>
      <w:r w:rsidR="0025209F">
        <w:rPr>
          <w:rFonts w:cs="Times New Roman"/>
          <w:lang w:val="fr-CA"/>
        </w:rPr>
        <w:t>C.S.C.-B.</w:t>
      </w:r>
      <w:r w:rsidRPr="00737F76">
        <w:rPr>
          <w:rFonts w:cs="Times New Roman"/>
          <w:lang w:val="fr-CA"/>
        </w:rPr>
        <w:t xml:space="preserve">, par. 195).  À ce stade, les deux groupes ont en commun l’intérêt à récupérer la somme d’argent la plus élevée possible auprès des intimées. En conséquence, il ne faut pas radier la cause d’action en restitution des acheteurs indirects. </w:t>
      </w:r>
    </w:p>
    <w:p w:rsidR="00741557" w:rsidRPr="00737F76" w:rsidRDefault="00B15039" w:rsidP="00B15039">
      <w:pPr>
        <w:pStyle w:val="Title4LevelTitre4Niveau"/>
        <w:keepNext/>
        <w:numPr>
          <w:ilvl w:val="0"/>
          <w:numId w:val="0"/>
        </w:numPr>
        <w:tabs>
          <w:tab w:val="left" w:pos="1170"/>
        </w:tabs>
        <w:ind w:left="1670" w:hanging="1670"/>
        <w:rPr>
          <w:rFonts w:cs="Times New Roman"/>
          <w:lang w:val="fr-CA"/>
        </w:rPr>
      </w:pPr>
      <w:bookmarkStart w:id="35" w:name="_Toc360612052"/>
      <w:bookmarkStart w:id="36" w:name="_Toc370805261"/>
      <w:r>
        <w:rPr>
          <w:rFonts w:cs="Times New Roman"/>
          <w:lang w:val="fr-CA"/>
        </w:rPr>
        <w:lastRenderedPageBreak/>
        <w:tab/>
      </w:r>
      <w:r w:rsidRPr="00B15039">
        <w:rPr>
          <w:rFonts w:cs="Times New Roman"/>
          <w:i w:val="0"/>
          <w:lang w:val="fr-CA"/>
        </w:rPr>
        <w:t>b)</w:t>
      </w:r>
      <w:r w:rsidRPr="00B15039">
        <w:rPr>
          <w:rFonts w:cs="Times New Roman"/>
          <w:i w:val="0"/>
          <w:lang w:val="fr-CA"/>
        </w:rPr>
        <w:tab/>
      </w:r>
      <w:r w:rsidR="00741557" w:rsidRPr="00737F76">
        <w:rPr>
          <w:rFonts w:cs="Times New Roman"/>
          <w:lang w:val="fr-CA"/>
        </w:rPr>
        <w:t>Fiducie par interprétation — Acheteurs directs</w:t>
      </w:r>
      <w:bookmarkEnd w:id="35"/>
      <w:bookmarkEnd w:id="36"/>
    </w:p>
    <w:p w:rsidR="00741557" w:rsidRPr="00737F76" w:rsidRDefault="00741557" w:rsidP="00741557">
      <w:pPr>
        <w:pStyle w:val="ParaNoNdepar-AltN"/>
        <w:rPr>
          <w:rFonts w:cs="Times New Roman"/>
          <w:lang w:val="fr-CA"/>
        </w:rPr>
      </w:pPr>
      <w:r w:rsidRPr="00737F76">
        <w:rPr>
          <w:rFonts w:cs="Times New Roman"/>
          <w:lang w:val="fr-CA"/>
        </w:rPr>
        <w:t xml:space="preserve">Dans l’appel incident, les intimées soutiennent que la seule cause d’action reconnue aux acheteurs directs, en imposition d’une fiducie par interprétation, doit être rejetée. </w:t>
      </w:r>
    </w:p>
    <w:p w:rsidR="00741557" w:rsidRPr="00737F76" w:rsidRDefault="00741557" w:rsidP="00741557">
      <w:pPr>
        <w:pStyle w:val="ParaNoNdepar-AltN"/>
        <w:rPr>
          <w:rFonts w:cs="Times New Roman"/>
          <w:lang w:val="fr-CA"/>
        </w:rPr>
      </w:pPr>
      <w:r w:rsidRPr="00737F76">
        <w:rPr>
          <w:rFonts w:cs="Times New Roman"/>
          <w:lang w:val="fr-CA"/>
        </w:rPr>
        <w:t>Les intimées prétendent qu’il n’est pas satisfait en l’espèce à la condition d’un [</w:t>
      </w:r>
      <w:r w:rsidRPr="00737F76">
        <w:rPr>
          <w:rFonts w:cs="Times New Roman"/>
          <w:smallCaps/>
          <w:lang w:val="fr-CA"/>
        </w:rPr>
        <w:t>traduction</w:t>
      </w:r>
      <w:r w:rsidRPr="00737F76">
        <w:rPr>
          <w:rFonts w:cs="Times New Roman"/>
          <w:lang w:val="fr-CA"/>
        </w:rPr>
        <w:t xml:space="preserve">] « lien avec un bien », ni à celle voulant que la fiducie par interprétation soit imposée uniquement si une réparation pécuniaire est jugée inadéquate.  Il est donc manifeste que la demande des acheteurs directs visant l’imposition de ce type de fiducie est vouée à l’échec (voir mémoire d’appel incident de Casco, par. 28, citant </w:t>
      </w:r>
      <w:r w:rsidRPr="00737F76">
        <w:rPr>
          <w:rFonts w:cs="Times New Roman"/>
          <w:i/>
          <w:lang w:val="fr-CA"/>
        </w:rPr>
        <w:t xml:space="preserve">Tracy (Guardian ad </w:t>
      </w:r>
      <w:r w:rsidR="00F73241">
        <w:rPr>
          <w:rFonts w:cs="Times New Roman"/>
          <w:i/>
          <w:lang w:val="fr-CA"/>
        </w:rPr>
        <w:t>l</w:t>
      </w:r>
      <w:r w:rsidRPr="00737F76">
        <w:rPr>
          <w:rFonts w:cs="Times New Roman"/>
          <w:i/>
          <w:lang w:val="fr-CA"/>
        </w:rPr>
        <w:t>item of) c. Instaloans Financial Solution Centres (B.C.) Ltd.</w:t>
      </w:r>
      <w:r w:rsidRPr="00737F76">
        <w:rPr>
          <w:rFonts w:cs="Times New Roman"/>
          <w:lang w:val="fr-CA"/>
        </w:rPr>
        <w:t>, 2010 BCCA 357, 320 D.L.R. (4th) 577, à propos des conditions d’une fiducie par interprétation).  Je suis d’accord.</w:t>
      </w:r>
    </w:p>
    <w:p w:rsidR="00741557" w:rsidRPr="00737F76" w:rsidRDefault="00741557" w:rsidP="00741557">
      <w:pPr>
        <w:pStyle w:val="ParaNoNdepar-AltN"/>
        <w:rPr>
          <w:rFonts w:cs="Times New Roman"/>
          <w:lang w:val="fr-CA"/>
        </w:rPr>
      </w:pPr>
      <w:r w:rsidRPr="00737F76">
        <w:rPr>
          <w:rFonts w:cs="Times New Roman"/>
          <w:lang w:val="fr-CA"/>
        </w:rPr>
        <w:t xml:space="preserve">Concluant dans l’arrêt </w:t>
      </w:r>
      <w:r w:rsidRPr="00737F76">
        <w:rPr>
          <w:rFonts w:cs="Times New Roman"/>
          <w:i/>
          <w:lang w:val="fr-CA"/>
        </w:rPr>
        <w:t>Pro</w:t>
      </w:r>
      <w:r w:rsidRPr="00737F76">
        <w:rPr>
          <w:rFonts w:cs="Times New Roman"/>
          <w:i/>
          <w:lang w:val="fr-CA"/>
        </w:rPr>
        <w:noBreakHyphen/>
        <w:t>Sys</w:t>
      </w:r>
      <w:r w:rsidRPr="00737F76">
        <w:rPr>
          <w:rFonts w:cs="Times New Roman"/>
          <w:lang w:val="fr-CA"/>
        </w:rPr>
        <w:t xml:space="preserve"> que </w:t>
      </w:r>
      <w:r w:rsidRPr="00737F76">
        <w:rPr>
          <w:rFonts w:cs="Times New Roman"/>
          <w:i/>
          <w:lang w:val="fr-CA"/>
        </w:rPr>
        <w:t>Kerr c. Baranow</w:t>
      </w:r>
      <w:r w:rsidRPr="00737F76">
        <w:rPr>
          <w:rFonts w:cs="Times New Roman"/>
          <w:lang w:val="fr-CA"/>
        </w:rPr>
        <w:t>, 2011 CSC 10, [2011] 1 R.C.S. 269, constitue l’arrêt de principe en la matière, j’estime dans la première que les allégations relatives à l’existence d’une fiducie par interprétation doivent être rejetées étant donné qu’aucun bien n’est en cause et que les appelantes ne précisent pas en quoi une réparation pécuniaire est inappropriée ou insuffisante.  Pour les mêmes motifs, il est manifeste à mon avis que la demande de Sun</w:t>
      </w:r>
      <w:r w:rsidRPr="00737F76">
        <w:rPr>
          <w:rFonts w:cs="Times New Roman"/>
          <w:lang w:val="fr-CA"/>
        </w:rPr>
        <w:noBreakHyphen/>
        <w:t xml:space="preserve">Rype visant à faire reconnaître l’existence d’une fiducie par interprétation est vouée à l’échec et doit être radiée. </w:t>
      </w:r>
    </w:p>
    <w:p w:rsidR="00741557" w:rsidRPr="00737F76" w:rsidRDefault="00B15039" w:rsidP="00B15039">
      <w:pPr>
        <w:pStyle w:val="Title4LevelTitre4Niveau"/>
        <w:keepNext/>
        <w:numPr>
          <w:ilvl w:val="0"/>
          <w:numId w:val="0"/>
        </w:numPr>
        <w:tabs>
          <w:tab w:val="left" w:pos="1170"/>
        </w:tabs>
        <w:ind w:left="1800" w:hanging="1800"/>
        <w:rPr>
          <w:rFonts w:cs="Times New Roman"/>
          <w:lang w:val="fr-CA"/>
        </w:rPr>
      </w:pPr>
      <w:bookmarkStart w:id="37" w:name="_Toc360612055"/>
      <w:bookmarkStart w:id="38" w:name="_Toc370805262"/>
      <w:r>
        <w:rPr>
          <w:rFonts w:cs="Times New Roman"/>
          <w:lang w:val="fr-CA"/>
        </w:rPr>
        <w:lastRenderedPageBreak/>
        <w:tab/>
      </w:r>
      <w:r w:rsidRPr="00B15039">
        <w:rPr>
          <w:rFonts w:cs="Times New Roman"/>
          <w:i w:val="0"/>
          <w:lang w:val="fr-CA"/>
        </w:rPr>
        <w:t>c)</w:t>
      </w:r>
      <w:r>
        <w:rPr>
          <w:rFonts w:cs="Times New Roman"/>
          <w:lang w:val="fr-CA"/>
        </w:rPr>
        <w:tab/>
      </w:r>
      <w:r w:rsidR="00741557" w:rsidRPr="00737F76">
        <w:rPr>
          <w:rFonts w:cs="Times New Roman"/>
          <w:lang w:val="fr-CA"/>
        </w:rPr>
        <w:t xml:space="preserve">Article 36 de la </w:t>
      </w:r>
      <w:r w:rsidR="00741557" w:rsidRPr="0025209F">
        <w:rPr>
          <w:rFonts w:cs="Times New Roman"/>
          <w:lang w:val="fr-CA"/>
        </w:rPr>
        <w:t>Loi sur la concurrence</w:t>
      </w:r>
      <w:r w:rsidR="00741557" w:rsidRPr="00737F76">
        <w:rPr>
          <w:rFonts w:cs="Times New Roman"/>
          <w:lang w:val="fr-CA"/>
        </w:rPr>
        <w:t xml:space="preserve"> — Acheteurs indirects</w:t>
      </w:r>
      <w:bookmarkEnd w:id="37"/>
      <w:bookmarkEnd w:id="38"/>
    </w:p>
    <w:p w:rsidR="00741557" w:rsidRPr="00737F76" w:rsidRDefault="00741557" w:rsidP="00741557">
      <w:pPr>
        <w:pStyle w:val="Title5LevelTitre5Niveau"/>
        <w:keepNext/>
        <w:tabs>
          <w:tab w:val="clear" w:pos="1728"/>
          <w:tab w:val="num" w:pos="1680"/>
        </w:tabs>
        <w:ind w:left="1685" w:hanging="485"/>
        <w:rPr>
          <w:rFonts w:cs="Times New Roman"/>
          <w:lang w:val="fr-CA"/>
        </w:rPr>
      </w:pPr>
      <w:bookmarkStart w:id="39" w:name="_Toc360612056"/>
      <w:bookmarkStart w:id="40" w:name="_Toc370805263"/>
      <w:r w:rsidRPr="00737F76">
        <w:rPr>
          <w:rFonts w:cs="Times New Roman"/>
          <w:lang w:val="fr-CA"/>
        </w:rPr>
        <w:t>Transfert de la perte reconnu en dro</w:t>
      </w:r>
      <w:bookmarkEnd w:id="39"/>
      <w:r w:rsidRPr="00737F76">
        <w:rPr>
          <w:rFonts w:cs="Times New Roman"/>
          <w:lang w:val="fr-CA"/>
        </w:rPr>
        <w:t>it</w:t>
      </w:r>
      <w:bookmarkEnd w:id="40"/>
    </w:p>
    <w:p w:rsidR="00741557" w:rsidRPr="00737F76" w:rsidRDefault="00741557" w:rsidP="00741557">
      <w:pPr>
        <w:pStyle w:val="ParaNoNdepar-AltN"/>
        <w:rPr>
          <w:rFonts w:cs="Times New Roman"/>
          <w:lang w:val="fr-CA"/>
        </w:rPr>
      </w:pPr>
      <w:r w:rsidRPr="00737F76">
        <w:rPr>
          <w:rFonts w:cs="Times New Roman"/>
          <w:lang w:val="fr-CA"/>
        </w:rPr>
        <w:t xml:space="preserve">L’article 36 de la </w:t>
      </w:r>
      <w:r w:rsidRPr="00737F76">
        <w:rPr>
          <w:rFonts w:cs="Times New Roman"/>
          <w:i/>
          <w:lang w:val="fr-CA"/>
        </w:rPr>
        <w:t xml:space="preserve">Loi sur la concurrence </w:t>
      </w:r>
      <w:r w:rsidRPr="00737F76">
        <w:rPr>
          <w:rFonts w:cs="Times New Roman"/>
          <w:lang w:val="fr-CA"/>
        </w:rPr>
        <w:t xml:space="preserve">confère une cause d’action à « [t]oute personne qui a subi une perte ou des dommages par suite : </w:t>
      </w:r>
      <w:r w:rsidRPr="00737F76">
        <w:rPr>
          <w:rFonts w:cs="Times New Roman"/>
          <w:i/>
          <w:lang w:val="fr-CA"/>
        </w:rPr>
        <w:t>a</w:t>
      </w:r>
      <w:r w:rsidRPr="00737F76">
        <w:rPr>
          <w:rFonts w:cs="Times New Roman"/>
          <w:lang w:val="fr-CA"/>
        </w:rPr>
        <w:t>) soit d’un comportement allant à l’encontre d’une disposition de la partie VI ». S’appuyant sur leur position fondamentale selon laquelle le transfert de la perte n’est pas reconnu en droit, les intimées affirment que l’objet de l’art. 36 ne saurait être d’accorder un droit d’action aux acheteurs indirects.</w:t>
      </w:r>
    </w:p>
    <w:p w:rsidR="00741557" w:rsidRPr="00737F76" w:rsidRDefault="00741557" w:rsidP="00741557">
      <w:pPr>
        <w:pStyle w:val="ParaNoNdepar-AltN"/>
        <w:rPr>
          <w:rFonts w:cs="Times New Roman"/>
          <w:lang w:val="fr-CA"/>
        </w:rPr>
      </w:pPr>
      <w:r w:rsidRPr="00737F76">
        <w:rPr>
          <w:rFonts w:cs="Times New Roman"/>
          <w:lang w:val="fr-CA"/>
        </w:rPr>
        <w:t xml:space="preserve">Pour les motifs donnés dans </w:t>
      </w:r>
      <w:r w:rsidRPr="00737F76">
        <w:rPr>
          <w:rFonts w:cs="Times New Roman"/>
          <w:i/>
          <w:lang w:val="fr-CA"/>
        </w:rPr>
        <w:t>Pro</w:t>
      </w:r>
      <w:r w:rsidRPr="00737F76">
        <w:rPr>
          <w:rFonts w:cs="Times New Roman"/>
          <w:i/>
          <w:lang w:val="fr-CA"/>
        </w:rPr>
        <w:noBreakHyphen/>
        <w:t>Sys</w:t>
      </w:r>
      <w:r w:rsidRPr="00737F76">
        <w:rPr>
          <w:rFonts w:cs="Times New Roman"/>
          <w:lang w:val="fr-CA"/>
        </w:rPr>
        <w:t xml:space="preserve">, cet argument est rejeté.  Il n’est pas manifeste que la cause d’action des acheteurs indirects fondée sur l’art. 36 de la </w:t>
      </w:r>
      <w:r w:rsidRPr="00737F76">
        <w:rPr>
          <w:rFonts w:cs="Times New Roman"/>
          <w:i/>
          <w:lang w:val="fr-CA"/>
        </w:rPr>
        <w:t>Loi sur la concurrence</w:t>
      </w:r>
      <w:r w:rsidRPr="00737F76">
        <w:rPr>
          <w:rFonts w:cs="Times New Roman"/>
          <w:lang w:val="fr-CA"/>
        </w:rPr>
        <w:t xml:space="preserve"> est vouée à l’échec</w:t>
      </w:r>
      <w:r w:rsidRPr="00737F76">
        <w:rPr>
          <w:rFonts w:cs="Times New Roman"/>
          <w:i/>
          <w:lang w:val="fr-CA"/>
        </w:rPr>
        <w:t>.</w:t>
      </w:r>
    </w:p>
    <w:p w:rsidR="00741557" w:rsidRPr="00737F76" w:rsidRDefault="00741557" w:rsidP="00741557">
      <w:pPr>
        <w:pStyle w:val="Title5LevelTitre5Niveau"/>
        <w:keepNext/>
        <w:tabs>
          <w:tab w:val="clear" w:pos="1728"/>
          <w:tab w:val="num" w:pos="1680"/>
        </w:tabs>
        <w:ind w:left="1685" w:hanging="485"/>
        <w:rPr>
          <w:rFonts w:cs="Times New Roman"/>
          <w:lang w:val="fr-CA"/>
        </w:rPr>
      </w:pPr>
      <w:bookmarkStart w:id="41" w:name="_Toc360612057"/>
      <w:bookmarkStart w:id="42" w:name="_Toc370805264"/>
      <w:r w:rsidRPr="00737F76">
        <w:rPr>
          <w:rFonts w:cs="Times New Roman"/>
          <w:lang w:val="fr-CA"/>
        </w:rPr>
        <w:t>Compétence sur les actes commis à l’étranger</w:t>
      </w:r>
      <w:bookmarkEnd w:id="41"/>
      <w:bookmarkEnd w:id="42"/>
    </w:p>
    <w:p w:rsidR="00741557" w:rsidRPr="00737F76" w:rsidRDefault="00741557" w:rsidP="00741557">
      <w:pPr>
        <w:pStyle w:val="ParaNoNdepar-AltN"/>
        <w:rPr>
          <w:rFonts w:cs="Times New Roman"/>
          <w:lang w:val="fr-CA"/>
        </w:rPr>
      </w:pPr>
      <w:r w:rsidRPr="00737F76">
        <w:rPr>
          <w:rFonts w:cs="Times New Roman"/>
          <w:lang w:val="fr-CA"/>
        </w:rPr>
        <w:t>Les intimées soutiennent qu’[</w:t>
      </w:r>
      <w:r w:rsidRPr="00737F76">
        <w:rPr>
          <w:rFonts w:cs="Times New Roman"/>
          <w:smallCaps/>
          <w:lang w:val="fr-CA"/>
        </w:rPr>
        <w:t>traduction</w:t>
      </w:r>
      <w:r w:rsidRPr="00737F76">
        <w:rPr>
          <w:rFonts w:cs="Times New Roman"/>
          <w:lang w:val="fr-CA"/>
        </w:rPr>
        <w:t xml:space="preserve">] « un complot prétendument noué à l’extérieur du Canada par des défendeurs étrangers pour fixer le prix de produits vendus à des acheteurs directs étrangers ne constitue pas une infraction prévue par la </w:t>
      </w:r>
      <w:r w:rsidRPr="00737F76">
        <w:rPr>
          <w:rFonts w:cs="Times New Roman"/>
          <w:i/>
          <w:lang w:val="fr-CA"/>
        </w:rPr>
        <w:t>Loi sur la concurrence</w:t>
      </w:r>
      <w:r w:rsidRPr="00737F76">
        <w:rPr>
          <w:rFonts w:cs="Times New Roman"/>
          <w:lang w:val="fr-CA"/>
        </w:rPr>
        <w:t xml:space="preserve"> qui fait naître un droit d’action au civil » (mémoire d’ADM, par. 54).  Selon elles, la compétence des tribunaux canadiens à l’égard des infractions à la </w:t>
      </w:r>
      <w:r w:rsidRPr="00737F76">
        <w:rPr>
          <w:rFonts w:cs="Times New Roman"/>
          <w:i/>
          <w:lang w:val="fr-CA"/>
        </w:rPr>
        <w:t>Loi sur la concurrence</w:t>
      </w:r>
      <w:r w:rsidRPr="00737F76">
        <w:rPr>
          <w:rFonts w:cs="Times New Roman"/>
          <w:lang w:val="fr-CA"/>
        </w:rPr>
        <w:t xml:space="preserve"> perpétrées par des défendeurs étrangers « doit être établie à l’aune des facteurs de rattachement créant une </w:t>
      </w:r>
      <w:r w:rsidRPr="00737F76">
        <w:rPr>
          <w:rFonts w:cs="Times New Roman"/>
          <w:lang w:val="fr-CA"/>
        </w:rPr>
        <w:lastRenderedPageBreak/>
        <w:t xml:space="preserve">présomption qui sont énumérés dans </w:t>
      </w:r>
      <w:r w:rsidRPr="00737F76">
        <w:rPr>
          <w:rFonts w:cs="Times New Roman"/>
          <w:i/>
          <w:lang w:val="fr-CA"/>
        </w:rPr>
        <w:t>Club Resorts</w:t>
      </w:r>
      <w:r w:rsidRPr="0025209F">
        <w:rPr>
          <w:rFonts w:cs="Times New Roman"/>
          <w:lang w:val="fr-CA"/>
        </w:rPr>
        <w:t>,</w:t>
      </w:r>
      <w:r w:rsidRPr="00737F76">
        <w:rPr>
          <w:rFonts w:cs="Times New Roman"/>
          <w:lang w:val="fr-CA"/>
        </w:rPr>
        <w:t xml:space="preserve"> ce qui déborde le cadre du pr</w:t>
      </w:r>
      <w:r w:rsidR="0025209F">
        <w:rPr>
          <w:rFonts w:cs="Times New Roman"/>
          <w:lang w:val="fr-CA"/>
        </w:rPr>
        <w:t>ésent pourvoi » (</w:t>
      </w:r>
      <w:r w:rsidRPr="00737F76">
        <w:rPr>
          <w:rFonts w:cs="Times New Roman"/>
          <w:lang w:val="fr-CA"/>
        </w:rPr>
        <w:t xml:space="preserve">par. 53).  Elles font valoir également qu’un comportement ne peut aller à l’encontre de la partie VI de la </w:t>
      </w:r>
      <w:r w:rsidRPr="00737F76">
        <w:rPr>
          <w:rFonts w:cs="Times New Roman"/>
          <w:i/>
          <w:lang w:val="fr-CA"/>
        </w:rPr>
        <w:t>Loi sur la concurrence</w:t>
      </w:r>
      <w:r w:rsidRPr="00737F76">
        <w:rPr>
          <w:rFonts w:cs="Times New Roman"/>
          <w:lang w:val="fr-CA"/>
        </w:rPr>
        <w:t xml:space="preserve"> « à moins qu’il n’existe un lien réel et substantiel entre ce comportement et le Canada » (par. 60).</w:t>
      </w:r>
    </w:p>
    <w:p w:rsidR="00741557" w:rsidRPr="00737F76" w:rsidRDefault="00741557" w:rsidP="00741557">
      <w:pPr>
        <w:pStyle w:val="ParaNoNdepar-AltN"/>
        <w:rPr>
          <w:rFonts w:cs="Times New Roman"/>
          <w:lang w:val="fr-CA"/>
        </w:rPr>
      </w:pPr>
      <w:r w:rsidRPr="00737F76">
        <w:rPr>
          <w:rFonts w:cs="Times New Roman"/>
          <w:lang w:val="fr-CA"/>
        </w:rPr>
        <w:t xml:space="preserve">Je partage l’opinion des intimées qu’il faut appliquer le cadre proposé dans </w:t>
      </w:r>
      <w:r w:rsidRPr="00737F76">
        <w:rPr>
          <w:rFonts w:cs="Times New Roman"/>
          <w:i/>
          <w:lang w:val="fr-CA"/>
        </w:rPr>
        <w:t>Club Resorts Ltd. c. Van Breda</w:t>
      </w:r>
      <w:r w:rsidRPr="00737F76">
        <w:rPr>
          <w:rFonts w:cs="Times New Roman"/>
          <w:lang w:val="fr-CA"/>
        </w:rPr>
        <w:t>, 2012 CSC 17, [2012] 1 R.C.S. 572,</w:t>
      </w:r>
      <w:r w:rsidRPr="00737F76">
        <w:rPr>
          <w:rFonts w:cs="Times New Roman"/>
          <w:i/>
          <w:lang w:val="fr-CA"/>
        </w:rPr>
        <w:t xml:space="preserve"> </w:t>
      </w:r>
      <w:r w:rsidRPr="00737F76">
        <w:rPr>
          <w:rFonts w:cs="Times New Roman"/>
          <w:lang w:val="fr-CA"/>
        </w:rPr>
        <w:t>pour déterminer s’il existe un « lien réel et substantiel » suffisant pour conclure à la compétence des tribunaux canadiens en l’espèce.  J’ai toutefois des doutes quant à la perspective des intimées quant aux faits.</w:t>
      </w:r>
    </w:p>
    <w:p w:rsidR="00741557" w:rsidRPr="00737F76" w:rsidRDefault="00741557" w:rsidP="00741557">
      <w:pPr>
        <w:pStyle w:val="ParaNoNdepar-AltN"/>
        <w:rPr>
          <w:rFonts w:cs="Times New Roman"/>
          <w:lang w:val="fr-CA"/>
        </w:rPr>
      </w:pPr>
      <w:r w:rsidRPr="00737F76">
        <w:rPr>
          <w:rFonts w:cs="Times New Roman"/>
          <w:lang w:val="fr-CA"/>
        </w:rPr>
        <w:t xml:space="preserve">Bien qu’ils aient été commis par des défendeurs étrangers, les actes reprochés impliquent la filiale canadienne de chacune des intimées agissant à titre de mandataire de ces dernières.  Les ventes ont été réalisées au Canada auprès de clients canadiens et, au dernier maillon de la chaîne de distribution, de consommateurs canadiens.  Selon un certain courant jurisprudentiel, les tribunaux canadiens sont compétents à l’égard des instances mettant en cause des défendeurs faisant affaire au Canada, y réalisant des ventes et complotant en vue de fixer les prix de produits vendus au Canada (voir </w:t>
      </w:r>
      <w:r w:rsidRPr="00737F76">
        <w:rPr>
          <w:rFonts w:cs="Times New Roman"/>
          <w:i/>
          <w:lang w:val="fr-CA"/>
        </w:rPr>
        <w:t>VitaPharm Canada Ltd. c. F. Hoffmann</w:t>
      </w:r>
      <w:r w:rsidRPr="00737F76">
        <w:rPr>
          <w:rFonts w:cs="Times New Roman"/>
          <w:i/>
          <w:lang w:val="fr-CA"/>
        </w:rPr>
        <w:noBreakHyphen/>
        <w:t xml:space="preserve">LaRoche Ltd. </w:t>
      </w:r>
      <w:r w:rsidRPr="00737F76">
        <w:rPr>
          <w:rFonts w:cs="Times New Roman"/>
          <w:lang w:val="fr-CA"/>
        </w:rPr>
        <w:t>(2002), 20 C.P.C. (5th) 351 (C.S.J. Ont.)</w:t>
      </w:r>
      <w:r>
        <w:rPr>
          <w:rFonts w:cs="Times New Roman"/>
          <w:lang w:val="fr-CA"/>
        </w:rPr>
        <w:t>,</w:t>
      </w:r>
      <w:r w:rsidRPr="00737F76">
        <w:rPr>
          <w:rFonts w:cs="Times New Roman"/>
          <w:lang w:val="fr-CA"/>
        </w:rPr>
        <w:t xml:space="preserve"> par. 58, 63</w:t>
      </w:r>
      <w:r w:rsidRPr="00737F76">
        <w:rPr>
          <w:rFonts w:cs="Times New Roman"/>
          <w:lang w:val="fr-CA"/>
        </w:rPr>
        <w:noBreakHyphen/>
        <w:t>86 et 101</w:t>
      </w:r>
      <w:r w:rsidRPr="00737F76">
        <w:rPr>
          <w:rFonts w:cs="Times New Roman"/>
          <w:lang w:val="fr-CA"/>
        </w:rPr>
        <w:noBreakHyphen/>
        <w:t>102 ([</w:t>
      </w:r>
      <w:r w:rsidRPr="00737F76">
        <w:rPr>
          <w:rFonts w:cs="Times New Roman"/>
          <w:smallCaps/>
          <w:lang w:val="fr-CA"/>
        </w:rPr>
        <w:t>traduction</w:t>
      </w:r>
      <w:r w:rsidRPr="00737F76">
        <w:rPr>
          <w:rFonts w:cs="Times New Roman"/>
          <w:lang w:val="fr-CA"/>
        </w:rPr>
        <w:t xml:space="preserve">] « Il est possible de soutenir qu’un complot portant préjudice à des Canadiens engage la responsabilité de ses auteurs au Canada même s’il a été ourdi à l’étranger » (par. 58)); </w:t>
      </w:r>
      <w:r w:rsidRPr="00737F76">
        <w:rPr>
          <w:rFonts w:cs="Times New Roman"/>
          <w:i/>
          <w:lang w:val="fr-CA"/>
        </w:rPr>
        <w:t>Fairhurst c. Anglo American PLC</w:t>
      </w:r>
      <w:r w:rsidRPr="00737F76">
        <w:rPr>
          <w:rFonts w:cs="Times New Roman"/>
          <w:lang w:val="fr-CA"/>
        </w:rPr>
        <w:t xml:space="preserve">, 2012 BCCA 257, 35 B.C.L.R. (5th) 45, </w:t>
      </w:r>
      <w:r w:rsidRPr="00737F76">
        <w:rPr>
          <w:rFonts w:cs="Times New Roman"/>
          <w:lang w:val="fr-CA"/>
        </w:rPr>
        <w:lastRenderedPageBreak/>
        <w:t xml:space="preserve">par. 32 (la </w:t>
      </w:r>
      <w:r w:rsidR="009F053B">
        <w:rPr>
          <w:rFonts w:cs="Times New Roman"/>
          <w:lang w:val="fr-CA"/>
        </w:rPr>
        <w:t>C.A.C.-B.</w:t>
      </w:r>
      <w:r w:rsidRPr="00737F76">
        <w:rPr>
          <w:rFonts w:cs="Times New Roman"/>
          <w:lang w:val="fr-CA"/>
        </w:rPr>
        <w:t xml:space="preserve"> a refusé d’infirmer la certification d’un recours collectif contestée au motif que les infractions à la </w:t>
      </w:r>
      <w:r w:rsidRPr="00737F76">
        <w:rPr>
          <w:rFonts w:cs="Times New Roman"/>
          <w:i/>
          <w:lang w:val="fr-CA"/>
        </w:rPr>
        <w:t>Loi sur la concurrence</w:t>
      </w:r>
      <w:r w:rsidRPr="00737F76">
        <w:rPr>
          <w:rFonts w:cs="Times New Roman"/>
          <w:lang w:val="fr-CA"/>
        </w:rPr>
        <w:t xml:space="preserve"> perpétrées à l’étranger ne ressortissent pas aux tribunaux canadiens</w:t>
      </w:r>
      <w:r w:rsidR="00A11A9C">
        <w:rPr>
          <w:rFonts w:cs="Times New Roman"/>
          <w:lang w:val="fr-CA"/>
        </w:rPr>
        <w:t>)</w:t>
      </w:r>
      <w:r w:rsidRPr="00737F76">
        <w:rPr>
          <w:rFonts w:cs="Times New Roman"/>
          <w:lang w:val="fr-CA"/>
        </w:rPr>
        <w:t xml:space="preserve">; </w:t>
      </w:r>
      <w:r w:rsidRPr="00737F76">
        <w:rPr>
          <w:rFonts w:cs="Times New Roman"/>
          <w:i/>
          <w:lang w:val="fr-CA"/>
        </w:rPr>
        <w:t>British Columbia c. Imperial Tobacco Canada Ltd.</w:t>
      </w:r>
      <w:r w:rsidRPr="00737F76">
        <w:rPr>
          <w:rFonts w:cs="Times New Roman"/>
          <w:lang w:val="fr-CA"/>
        </w:rPr>
        <w:t>, 2006 BCCA 398, 56 B.C.L.R. (4th) 263, par. 32</w:t>
      </w:r>
      <w:r w:rsidRPr="00737F76">
        <w:rPr>
          <w:rFonts w:cs="Times New Roman"/>
          <w:lang w:val="fr-CA"/>
        </w:rPr>
        <w:noBreakHyphen/>
        <w:t>45 ([</w:t>
      </w:r>
      <w:r w:rsidRPr="00737F76">
        <w:rPr>
          <w:rFonts w:cs="Times New Roman"/>
          <w:smallCaps/>
          <w:lang w:val="fr-CA"/>
        </w:rPr>
        <w:t>traduction</w:t>
      </w:r>
      <w:r w:rsidRPr="00737F76">
        <w:rPr>
          <w:rFonts w:cs="Times New Roman"/>
          <w:lang w:val="fr-CA"/>
        </w:rPr>
        <w:t>] « Il y a complot en Colombie</w:t>
      </w:r>
      <w:r w:rsidRPr="00737F76">
        <w:rPr>
          <w:rFonts w:cs="Times New Roman"/>
          <w:lang w:val="fr-CA"/>
        </w:rPr>
        <w:noBreakHyphen/>
        <w:t xml:space="preserve">Britannique si le préjudice y est subi, quel que soit l’endroit où l’“acte fautif” a été commis.  Par conséquent, la cour a compétence à l’égard des défendeurs </w:t>
      </w:r>
      <w:r w:rsidRPr="00737F76">
        <w:rPr>
          <w:rFonts w:cs="Times New Roman"/>
          <w:iCs/>
          <w:lang w:val="fr-CA"/>
        </w:rPr>
        <w:t>d’un autre ressort</w:t>
      </w:r>
      <w:r w:rsidRPr="00737F76">
        <w:rPr>
          <w:rFonts w:cs="Times New Roman"/>
          <w:lang w:val="fr-CA"/>
        </w:rPr>
        <w:t xml:space="preserve"> à qui l’on reproche de participer au complot » (par. 41)).</w:t>
      </w:r>
    </w:p>
    <w:p w:rsidR="00741557" w:rsidRPr="00737F76" w:rsidRDefault="00741557" w:rsidP="00741557">
      <w:pPr>
        <w:pStyle w:val="ParaNoNdepar-AltN"/>
        <w:rPr>
          <w:rFonts w:cs="Times New Roman"/>
          <w:lang w:val="fr-CA"/>
        </w:rPr>
      </w:pPr>
      <w:r w:rsidRPr="00737F76">
        <w:rPr>
          <w:rFonts w:cs="Times New Roman"/>
          <w:lang w:val="fr-CA"/>
        </w:rPr>
        <w:t>Les intimées n’ont pas démontré qu’il est man</w:t>
      </w:r>
      <w:r w:rsidR="00BC1C37">
        <w:rPr>
          <w:rFonts w:cs="Times New Roman"/>
          <w:lang w:val="fr-CA"/>
        </w:rPr>
        <w:t>ifeste que les agissements anti</w:t>
      </w:r>
      <w:r w:rsidRPr="00737F76">
        <w:rPr>
          <w:rFonts w:cs="Times New Roman"/>
          <w:lang w:val="fr-CA"/>
        </w:rPr>
        <w:t xml:space="preserve">concurrentiels qui auraient été commis en l’espèce ne sont pas du ressort des tribunaux canadiens.  La cause d’action fondée sur l’art. 36 de la </w:t>
      </w:r>
      <w:r w:rsidRPr="00737F76">
        <w:rPr>
          <w:rFonts w:cs="Times New Roman"/>
          <w:i/>
          <w:lang w:val="fr-CA"/>
        </w:rPr>
        <w:t xml:space="preserve">Loi sur la concurrence </w:t>
      </w:r>
      <w:r w:rsidRPr="00737F76">
        <w:rPr>
          <w:rFonts w:cs="Times New Roman"/>
          <w:lang w:val="fr-CA"/>
        </w:rPr>
        <w:t xml:space="preserve">ne doit pas être radiée.  </w:t>
      </w:r>
    </w:p>
    <w:p w:rsidR="00741557" w:rsidRPr="00737F76" w:rsidRDefault="00741557" w:rsidP="00741557">
      <w:pPr>
        <w:pStyle w:val="Title3LevelTitre3Niveau"/>
        <w:keepNext/>
        <w:tabs>
          <w:tab w:val="clear" w:pos="864"/>
          <w:tab w:val="num" w:pos="1680"/>
        </w:tabs>
        <w:ind w:left="1670" w:hanging="475"/>
        <w:rPr>
          <w:rFonts w:cs="Times New Roman"/>
          <w:lang w:val="fr-CA"/>
        </w:rPr>
      </w:pPr>
      <w:bookmarkStart w:id="43" w:name="_Toc360612058"/>
      <w:bookmarkStart w:id="44" w:name="_Toc370805265"/>
      <w:r w:rsidRPr="00737F76">
        <w:rPr>
          <w:rFonts w:cs="Times New Roman"/>
          <w:lang w:val="fr-CA"/>
        </w:rPr>
        <w:t>Existe</w:t>
      </w:r>
      <w:r w:rsidRPr="00737F76">
        <w:rPr>
          <w:rFonts w:cs="Times New Roman"/>
          <w:lang w:val="fr-CA"/>
        </w:rPr>
        <w:noBreakHyphen/>
        <w:t>t</w:t>
      </w:r>
      <w:r w:rsidRPr="00737F76">
        <w:rPr>
          <w:rFonts w:cs="Times New Roman"/>
          <w:lang w:val="fr-CA"/>
        </w:rPr>
        <w:noBreakHyphen/>
        <w:t>il une question commune?</w:t>
      </w:r>
      <w:bookmarkEnd w:id="43"/>
      <w:bookmarkEnd w:id="44"/>
    </w:p>
    <w:p w:rsidR="00741557" w:rsidRPr="00737F76" w:rsidRDefault="00741557" w:rsidP="00741557">
      <w:pPr>
        <w:pStyle w:val="ParaNoNdepar-AltN"/>
        <w:rPr>
          <w:rFonts w:cs="Times New Roman"/>
          <w:lang w:val="fr-CA"/>
        </w:rPr>
      </w:pPr>
      <w:r w:rsidRPr="00737F76">
        <w:rPr>
          <w:rFonts w:cs="Times New Roman"/>
          <w:lang w:val="fr-CA"/>
        </w:rPr>
        <w:t>Aux termes de l’al. 4(1)</w:t>
      </w:r>
      <w:r w:rsidR="009F7F33">
        <w:rPr>
          <w:rFonts w:cs="Times New Roman"/>
          <w:lang w:val="fr-CA"/>
        </w:rPr>
        <w:t>(</w:t>
      </w:r>
      <w:r w:rsidRPr="00737F76">
        <w:rPr>
          <w:rFonts w:cs="Times New Roman"/>
          <w:lang w:val="fr-CA"/>
        </w:rPr>
        <w:t xml:space="preserve">c) de la </w:t>
      </w:r>
      <w:r w:rsidRPr="00737F76">
        <w:rPr>
          <w:rFonts w:cs="Times New Roman"/>
          <w:i/>
          <w:lang w:val="fr-CA"/>
        </w:rPr>
        <w:t>CPA</w:t>
      </w:r>
      <w:r w:rsidRPr="00737F76">
        <w:rPr>
          <w:rFonts w:cs="Times New Roman"/>
          <w:lang w:val="fr-CA"/>
        </w:rPr>
        <w:t xml:space="preserve">, les demandes des membres du groupe doivent soulever une question commune.  Les arguments des intimées à ce sujet sont axés sur la norme de preuve qu’il convient d’appliquer aux conditions de certification, sauf à celle relative à la cause d’action.  Tout comme dans </w:t>
      </w:r>
      <w:r w:rsidRPr="00737F76">
        <w:rPr>
          <w:rFonts w:cs="Times New Roman"/>
          <w:i/>
          <w:lang w:val="fr-CA"/>
        </w:rPr>
        <w:t>Pro</w:t>
      </w:r>
      <w:r w:rsidRPr="00737F76">
        <w:rPr>
          <w:rFonts w:cs="Times New Roman"/>
          <w:i/>
          <w:lang w:val="fr-CA"/>
        </w:rPr>
        <w:noBreakHyphen/>
        <w:t>Sys</w:t>
      </w:r>
      <w:r w:rsidRPr="00737F76">
        <w:rPr>
          <w:rFonts w:cs="Times New Roman"/>
          <w:lang w:val="fr-CA"/>
        </w:rPr>
        <w:t xml:space="preserve">, les intimées en l’espèce exhortent la Cour à statuer sur ces conditions de certification selon la prépondérance des probabilités.  Selon elles, la Cour doit suivre l’exemple des tribunaux américains, qui soupèsent les éléments de preuve contradictoires à l’étape de la certification.  Pour les motifs exposés dans </w:t>
      </w:r>
      <w:r w:rsidRPr="00737F76">
        <w:rPr>
          <w:rFonts w:cs="Times New Roman"/>
          <w:i/>
          <w:lang w:val="fr-CA"/>
        </w:rPr>
        <w:t>Pro</w:t>
      </w:r>
      <w:r w:rsidRPr="00737F76">
        <w:rPr>
          <w:rFonts w:cs="Times New Roman"/>
          <w:i/>
          <w:lang w:val="fr-CA"/>
        </w:rPr>
        <w:noBreakHyphen/>
        <w:t>Sys</w:t>
      </w:r>
      <w:r w:rsidRPr="00737F76">
        <w:rPr>
          <w:rFonts w:cs="Times New Roman"/>
          <w:lang w:val="fr-CA"/>
        </w:rPr>
        <w:t xml:space="preserve">, la norme de preuve </w:t>
      </w:r>
      <w:r w:rsidRPr="00737F76">
        <w:rPr>
          <w:rFonts w:cs="Times New Roman"/>
          <w:lang w:val="fr-CA"/>
        </w:rPr>
        <w:lastRenderedPageBreak/>
        <w:t xml:space="preserve">applicable en l’espèce est celle d’un « certain fondement factuel », et non celle de la prépondérance des probabilités. </w:t>
      </w:r>
    </w:p>
    <w:p w:rsidR="00741557" w:rsidRPr="00737F76" w:rsidRDefault="00741557" w:rsidP="00741557">
      <w:pPr>
        <w:pStyle w:val="ParaNoNdepar-AltN"/>
        <w:rPr>
          <w:rFonts w:cs="Times New Roman"/>
          <w:lang w:val="fr-CA"/>
        </w:rPr>
      </w:pPr>
      <w:r w:rsidRPr="00737F76">
        <w:rPr>
          <w:rFonts w:cs="Times New Roman"/>
          <w:lang w:val="fr-CA"/>
        </w:rPr>
        <w:t xml:space="preserve">Quant à la norme applicable à la preuve d’expert, les intimées ne soutiennent pas qu’il ne suffit pas d’établir la communauté.  Elles font plutôt valoir que le juge Rice a appliqué la mauvaise norme à la preuve relative aux méthodes d’experts qu’il a examinées.  </w:t>
      </w:r>
    </w:p>
    <w:p w:rsidR="00741557" w:rsidRPr="00737F76" w:rsidRDefault="00741557" w:rsidP="00741557">
      <w:pPr>
        <w:pStyle w:val="ParaNoNdepar-AltN"/>
        <w:rPr>
          <w:rFonts w:cs="Times New Roman"/>
          <w:lang w:val="fr-CA"/>
        </w:rPr>
      </w:pPr>
      <w:r w:rsidRPr="00737F76">
        <w:rPr>
          <w:rFonts w:cs="Times New Roman"/>
          <w:lang w:val="fr-CA"/>
        </w:rPr>
        <w:t xml:space="preserve">Dans </w:t>
      </w:r>
      <w:r w:rsidRPr="00737F76">
        <w:rPr>
          <w:rFonts w:cs="Times New Roman"/>
          <w:i/>
          <w:lang w:val="fr-CA"/>
        </w:rPr>
        <w:t>Pro</w:t>
      </w:r>
      <w:r w:rsidRPr="00737F76">
        <w:rPr>
          <w:rFonts w:cs="Times New Roman"/>
          <w:i/>
          <w:lang w:val="fr-CA"/>
        </w:rPr>
        <w:noBreakHyphen/>
        <w:t>Sys</w:t>
      </w:r>
      <w:r w:rsidRPr="00737F76">
        <w:rPr>
          <w:rFonts w:cs="Times New Roman"/>
          <w:lang w:val="fr-CA"/>
        </w:rPr>
        <w:t>, il est établi que la norme qui s’applique à la preuve d’expert est celle de la méthode valable et acceptable permettant de prouver le préjudice à l’échelle du groupe.</w:t>
      </w:r>
    </w:p>
    <w:p w:rsidR="00741557" w:rsidRPr="00737F76" w:rsidRDefault="00741557" w:rsidP="00741557">
      <w:pPr>
        <w:pStyle w:val="ParaNoNdepar-AltN"/>
        <w:rPr>
          <w:rFonts w:cs="Times New Roman"/>
          <w:lang w:val="fr-CA"/>
        </w:rPr>
      </w:pPr>
      <w:r w:rsidRPr="00737F76">
        <w:rPr>
          <w:rFonts w:cs="Times New Roman"/>
          <w:lang w:val="fr-CA"/>
        </w:rPr>
        <w:t>Il ressort à l’évidence que, lors de l’instruction de la demande visant la certification, le juge Rice a analysé la preuve d’expert volumineuse dont il disposait et qu’il a appliqué la bonne norme tant aux conditions de certification (celle du caractère</w:t>
      </w:r>
      <w:r w:rsidR="009F053B">
        <w:rPr>
          <w:rFonts w:cs="Times New Roman"/>
          <w:lang w:val="fr-CA"/>
        </w:rPr>
        <w:t xml:space="preserve"> </w:t>
      </w:r>
      <w:r w:rsidR="009F053B" w:rsidRPr="00737F76">
        <w:rPr>
          <w:rFonts w:cs="Times New Roman"/>
          <w:lang w:val="fr-CA"/>
        </w:rPr>
        <w:t>[</w:t>
      </w:r>
      <w:r w:rsidR="009F053B" w:rsidRPr="00737F76">
        <w:rPr>
          <w:rFonts w:cs="Times New Roman"/>
          <w:smallCaps/>
          <w:lang w:val="fr-CA"/>
        </w:rPr>
        <w:t>traduction</w:t>
      </w:r>
      <w:r w:rsidR="009F053B" w:rsidRPr="00737F76">
        <w:rPr>
          <w:rFonts w:cs="Times New Roman"/>
          <w:lang w:val="fr-CA"/>
        </w:rPr>
        <w:t>]</w:t>
      </w:r>
      <w:r w:rsidRPr="00737F76">
        <w:rPr>
          <w:rFonts w:cs="Times New Roman"/>
          <w:lang w:val="fr-CA"/>
        </w:rPr>
        <w:t xml:space="preserve"> « manifeste » pour l’al. 4(1)</w:t>
      </w:r>
      <w:r w:rsidR="009F7F33">
        <w:rPr>
          <w:rFonts w:cs="Times New Roman"/>
          <w:lang w:val="fr-CA"/>
        </w:rPr>
        <w:t>(</w:t>
      </w:r>
      <w:r w:rsidRPr="00737F76">
        <w:rPr>
          <w:rFonts w:cs="Times New Roman"/>
          <w:lang w:val="fr-CA"/>
        </w:rPr>
        <w:t>a) et celle du « certain fondement factuel » pour les al. 4(1)</w:t>
      </w:r>
      <w:r w:rsidR="009F7F33">
        <w:rPr>
          <w:rFonts w:cs="Times New Roman"/>
          <w:lang w:val="fr-CA"/>
        </w:rPr>
        <w:t>(</w:t>
      </w:r>
      <w:r w:rsidRPr="00737F76">
        <w:rPr>
          <w:rFonts w:cs="Times New Roman"/>
          <w:lang w:val="fr-CA"/>
        </w:rPr>
        <w:t xml:space="preserve">b) à </w:t>
      </w:r>
      <w:r w:rsidR="009F7F33">
        <w:rPr>
          <w:rFonts w:cs="Times New Roman"/>
          <w:lang w:val="fr-CA"/>
        </w:rPr>
        <w:t>(</w:t>
      </w:r>
      <w:r w:rsidRPr="00737F76">
        <w:rPr>
          <w:rFonts w:cs="Times New Roman"/>
          <w:lang w:val="fr-CA"/>
        </w:rPr>
        <w:t>e)) qu’à la méthode d’expert employée pour établir l’existence d’un certain fondement factuel (celle de la méthode valable et acceptable permettant de prouver qu’un préjudice a été causé à l’échelle du groupe).  Il n’y a aucune raison de modifier sa conclusion sur les questions communes.</w:t>
      </w:r>
    </w:p>
    <w:p w:rsidR="00741557" w:rsidRPr="00737F76" w:rsidRDefault="00741557" w:rsidP="00741557">
      <w:pPr>
        <w:pStyle w:val="Title3LevelTitre3Niveau"/>
        <w:keepNext/>
        <w:tabs>
          <w:tab w:val="clear" w:pos="864"/>
          <w:tab w:val="num" w:pos="1680"/>
        </w:tabs>
        <w:ind w:left="1670" w:hanging="475"/>
        <w:rPr>
          <w:rFonts w:cs="Times New Roman"/>
          <w:lang w:val="fr-CA"/>
        </w:rPr>
      </w:pPr>
      <w:bookmarkStart w:id="45" w:name="_Toc360612059"/>
      <w:bookmarkStart w:id="46" w:name="_Toc370805266"/>
      <w:r w:rsidRPr="00737F76">
        <w:rPr>
          <w:rFonts w:cs="Times New Roman"/>
          <w:lang w:val="fr-CA"/>
        </w:rPr>
        <w:lastRenderedPageBreak/>
        <w:t>Existe</w:t>
      </w:r>
      <w:r w:rsidRPr="00737F76">
        <w:rPr>
          <w:rFonts w:cs="Times New Roman"/>
          <w:lang w:val="fr-CA"/>
        </w:rPr>
        <w:noBreakHyphen/>
        <w:t>t</w:t>
      </w:r>
      <w:r w:rsidRPr="00737F76">
        <w:rPr>
          <w:rFonts w:cs="Times New Roman"/>
          <w:lang w:val="fr-CA"/>
        </w:rPr>
        <w:noBreakHyphen/>
        <w:t>il un groupe identifiable?</w:t>
      </w:r>
      <w:bookmarkEnd w:id="45"/>
      <w:bookmarkEnd w:id="46"/>
    </w:p>
    <w:p w:rsidR="00741557" w:rsidRPr="00737F76" w:rsidRDefault="00741557" w:rsidP="00741557">
      <w:pPr>
        <w:pStyle w:val="ParaNoNdepar-AltN"/>
        <w:rPr>
          <w:rFonts w:cs="Times New Roman"/>
          <w:lang w:val="fr-CA"/>
        </w:rPr>
      </w:pPr>
      <w:r w:rsidRPr="00737F76">
        <w:rPr>
          <w:rFonts w:cs="Times New Roman"/>
          <w:lang w:val="fr-CA"/>
        </w:rPr>
        <w:t>L’alinéa 4(1)</w:t>
      </w:r>
      <w:r w:rsidR="009F7F33">
        <w:rPr>
          <w:rFonts w:cs="Times New Roman"/>
          <w:lang w:val="fr-CA"/>
        </w:rPr>
        <w:t>(</w:t>
      </w:r>
      <w:r w:rsidRPr="00737F76">
        <w:rPr>
          <w:rFonts w:cs="Times New Roman"/>
          <w:lang w:val="fr-CA"/>
        </w:rPr>
        <w:t xml:space="preserve">b) de la </w:t>
      </w:r>
      <w:r w:rsidRPr="00737F76">
        <w:rPr>
          <w:rFonts w:cs="Times New Roman"/>
          <w:i/>
          <w:lang w:val="fr-CA"/>
        </w:rPr>
        <w:t>CPA</w:t>
      </w:r>
      <w:r w:rsidRPr="00737F76">
        <w:rPr>
          <w:rFonts w:cs="Times New Roman"/>
          <w:lang w:val="fr-CA"/>
        </w:rPr>
        <w:t xml:space="preserve"> prévoit l’une des conditions préalables à la certification d’un recours collectif, à savoir l’existence d’un groupe identifiable de deux personnes ou plus.  Il ressort de l’arrêt </w:t>
      </w:r>
      <w:r w:rsidRPr="00737F76">
        <w:rPr>
          <w:rFonts w:cs="Times New Roman"/>
          <w:i/>
          <w:lang w:val="fr-CA"/>
        </w:rPr>
        <w:t xml:space="preserve">Hollick </w:t>
      </w:r>
      <w:r w:rsidRPr="00737F76">
        <w:rPr>
          <w:rFonts w:cs="Times New Roman"/>
          <w:lang w:val="fr-CA"/>
        </w:rPr>
        <w:t xml:space="preserve">qu’il est satisfait à cette condition dès lors qu’un « certain fondement factuel » est établi (par. 25). </w:t>
      </w:r>
    </w:p>
    <w:p w:rsidR="00741557" w:rsidRPr="00737F76" w:rsidRDefault="00741557" w:rsidP="00741557">
      <w:pPr>
        <w:pStyle w:val="ParaNoNdepar-AltN"/>
        <w:rPr>
          <w:rFonts w:cs="Times New Roman"/>
          <w:lang w:val="fr-CA"/>
        </w:rPr>
      </w:pPr>
      <w:r w:rsidRPr="00737F76">
        <w:rPr>
          <w:rFonts w:cs="Times New Roman"/>
          <w:lang w:val="fr-CA"/>
        </w:rPr>
        <w:t>La définition du groupe proposée par les appelantes est la suivante : [</w:t>
      </w:r>
      <w:r w:rsidRPr="00737F76">
        <w:rPr>
          <w:rFonts w:cs="Times New Roman"/>
          <w:smallCaps/>
          <w:lang w:val="fr-CA"/>
        </w:rPr>
        <w:t>traduction</w:t>
      </w:r>
      <w:r w:rsidRPr="00737F76">
        <w:rPr>
          <w:rFonts w:cs="Times New Roman"/>
          <w:lang w:val="fr-CA"/>
        </w:rPr>
        <w:t>] « </w:t>
      </w:r>
      <w:r w:rsidR="00B27DD4">
        <w:rPr>
          <w:rFonts w:cs="Times New Roman"/>
          <w:lang w:val="fr-CA"/>
        </w:rPr>
        <w:t xml:space="preserve">. . . </w:t>
      </w:r>
      <w:r w:rsidRPr="00737F76">
        <w:rPr>
          <w:rFonts w:cs="Times New Roman"/>
          <w:lang w:val="fr-CA"/>
        </w:rPr>
        <w:t>tous les résidants de la Colombie</w:t>
      </w:r>
      <w:r w:rsidRPr="00737F76">
        <w:rPr>
          <w:rFonts w:cs="Times New Roman"/>
          <w:lang w:val="fr-CA"/>
        </w:rPr>
        <w:noBreakHyphen/>
        <w:t>Britannique et d’ailleurs au Canada qui ont acheté du SMHTF fabriqué par les défenderesses ou des produits en contenant (collectivement le “groupe”) entre le 1</w:t>
      </w:r>
      <w:r w:rsidRPr="00737F76">
        <w:rPr>
          <w:rFonts w:cs="Times New Roman"/>
          <w:vertAlign w:val="superscript"/>
          <w:lang w:val="fr-CA"/>
        </w:rPr>
        <w:t>er</w:t>
      </w:r>
      <w:r w:rsidRPr="00737F76">
        <w:rPr>
          <w:rFonts w:cs="Times New Roman"/>
          <w:lang w:val="fr-CA"/>
        </w:rPr>
        <w:t> janvier 1988 et le 30 juin 1995 (la “période visée par le recours”) » (</w:t>
      </w:r>
      <w:r w:rsidR="009F053B">
        <w:rPr>
          <w:rFonts w:cs="Times New Roman"/>
          <w:lang w:val="fr-CA"/>
        </w:rPr>
        <w:t>C.S.C.-B.</w:t>
      </w:r>
      <w:r w:rsidRPr="00737F76">
        <w:rPr>
          <w:rFonts w:cs="Times New Roman"/>
          <w:lang w:val="fr-CA"/>
        </w:rPr>
        <w:t>, par. 2).</w:t>
      </w:r>
    </w:p>
    <w:p w:rsidR="00741557" w:rsidRPr="00737F76" w:rsidRDefault="00741557" w:rsidP="00741557">
      <w:pPr>
        <w:pStyle w:val="ParaNoNdepar-AltN"/>
        <w:rPr>
          <w:rFonts w:cs="Times New Roman"/>
          <w:lang w:val="fr-CA"/>
        </w:rPr>
      </w:pPr>
      <w:r w:rsidRPr="00737F76">
        <w:rPr>
          <w:rFonts w:cs="Times New Roman"/>
          <w:lang w:val="fr-CA"/>
        </w:rPr>
        <w:t>Les intimées contestent l’inclusion des acheteurs indirects dans le groupe. Elles reconnaissent que la distribution impossible ou irréaliste aux acheteurs indirects des indemnités accordées à l’issue du recours collectif n’empêche pas nécessairement de conclure à l’existence d’un [</w:t>
      </w:r>
      <w:r w:rsidRPr="00737F76">
        <w:rPr>
          <w:rFonts w:cs="Times New Roman"/>
          <w:smallCaps/>
          <w:lang w:val="fr-CA"/>
        </w:rPr>
        <w:t>traduction</w:t>
      </w:r>
      <w:r w:rsidRPr="00737F76">
        <w:rPr>
          <w:rFonts w:cs="Times New Roman"/>
          <w:lang w:val="fr-CA"/>
        </w:rPr>
        <w:t>] « groupe identifiable ».  Elles estiment toutefois que, vu les faits de l’espè</w:t>
      </w:r>
      <w:r w:rsidR="00E6030E">
        <w:rPr>
          <w:rFonts w:cs="Times New Roman"/>
          <w:lang w:val="fr-CA"/>
        </w:rPr>
        <w:t>ce, le groupe ne peut être jugé</w:t>
      </w:r>
      <w:r w:rsidRPr="00737F76">
        <w:rPr>
          <w:rFonts w:cs="Times New Roman"/>
          <w:lang w:val="fr-CA"/>
        </w:rPr>
        <w:t xml:space="preserve"> « identifiable » dans la mesure où il comprend les acheteurs indirects (mémoire d’ADM, par. 85</w:t>
      </w:r>
      <w:r w:rsidR="002B4A57">
        <w:rPr>
          <w:rFonts w:cs="Times New Roman"/>
          <w:lang w:val="fr-CA"/>
        </w:rPr>
        <w:t>)</w:t>
      </w:r>
      <w:r w:rsidRPr="00737F76">
        <w:rPr>
          <w:rFonts w:cs="Times New Roman"/>
          <w:lang w:val="fr-CA"/>
        </w:rPr>
        <w:t>.  Selon elles, l’appartenance de ces acheteurs au groupe en l’espèce ne respecte pas la conditi</w:t>
      </w:r>
      <w:r w:rsidR="00E6030E">
        <w:rPr>
          <w:rFonts w:cs="Times New Roman"/>
          <w:lang w:val="fr-CA"/>
        </w:rPr>
        <w:t xml:space="preserve">on relative à l’existence d’un </w:t>
      </w:r>
      <w:r w:rsidRPr="00737F76">
        <w:rPr>
          <w:rFonts w:cs="Times New Roman"/>
          <w:lang w:val="fr-CA"/>
        </w:rPr>
        <w:t xml:space="preserve">« groupe identifiable » parce qu’ils ne sont pas en mesure, d’après la définition du groupe, de déterminer s’ils en font partie ou non.  Invoquant </w:t>
      </w:r>
      <w:r w:rsidRPr="00737F76">
        <w:rPr>
          <w:rFonts w:cs="Times New Roman"/>
          <w:i/>
          <w:lang w:val="fr-CA"/>
        </w:rPr>
        <w:t>Western Canadian Shopping Centres Inc. c. Dutton</w:t>
      </w:r>
      <w:r w:rsidRPr="00737F76">
        <w:rPr>
          <w:rFonts w:cs="Times New Roman"/>
          <w:lang w:val="fr-CA"/>
        </w:rPr>
        <w:t xml:space="preserve">, 2001 CSC 46, [2001] </w:t>
      </w:r>
      <w:r w:rsidRPr="00737F76">
        <w:rPr>
          <w:rFonts w:cs="Times New Roman"/>
          <w:lang w:val="fr-CA"/>
        </w:rPr>
        <w:lastRenderedPageBreak/>
        <w:t>2 R.C.S. 534, les intimées soutiennent que, pour qu’il soit satisfait à cette condition, l’appartenance au groupe devrait être déterminable.</w:t>
      </w:r>
    </w:p>
    <w:p w:rsidR="00741557" w:rsidRPr="00737F76" w:rsidRDefault="00741557" w:rsidP="00741557">
      <w:pPr>
        <w:pStyle w:val="ParaNoNdepar-AltN"/>
        <w:rPr>
          <w:rFonts w:cs="Times New Roman"/>
          <w:lang w:val="fr-CA"/>
        </w:rPr>
      </w:pPr>
      <w:r w:rsidRPr="00737F76">
        <w:rPr>
          <w:rFonts w:cs="Times New Roman"/>
          <w:lang w:val="fr-CA"/>
        </w:rPr>
        <w:t xml:space="preserve">De l’avis des intimées, la définition du groupe proposée ne permet pas aux acheteurs indirects d’établir s’ils appartiennent ou non au groupe.  À la différence des affaires </w:t>
      </w:r>
      <w:r w:rsidRPr="00737F76">
        <w:rPr>
          <w:rFonts w:cs="Times New Roman"/>
          <w:i/>
          <w:lang w:val="fr-CA"/>
        </w:rPr>
        <w:t xml:space="preserve">Infineon </w:t>
      </w:r>
      <w:r w:rsidRPr="00737F76">
        <w:rPr>
          <w:rFonts w:cs="Times New Roman"/>
          <w:lang w:val="fr-CA"/>
        </w:rPr>
        <w:t xml:space="preserve">et </w:t>
      </w:r>
      <w:r w:rsidRPr="00737F76">
        <w:rPr>
          <w:rFonts w:cs="Times New Roman"/>
          <w:i/>
          <w:lang w:val="fr-CA"/>
        </w:rPr>
        <w:t>Pro</w:t>
      </w:r>
      <w:r w:rsidRPr="00737F76">
        <w:rPr>
          <w:rFonts w:cs="Times New Roman"/>
          <w:i/>
          <w:lang w:val="fr-CA"/>
        </w:rPr>
        <w:noBreakHyphen/>
        <w:t>Sys</w:t>
      </w:r>
      <w:r w:rsidRPr="00737F76">
        <w:rPr>
          <w:rFonts w:cs="Times New Roman"/>
          <w:lang w:val="fr-CA"/>
        </w:rPr>
        <w:t>,</w:t>
      </w:r>
      <w:r w:rsidRPr="00737F76">
        <w:rPr>
          <w:rFonts w:cs="Times New Roman"/>
          <w:i/>
          <w:lang w:val="fr-CA"/>
        </w:rPr>
        <w:t xml:space="preserve"> </w:t>
      </w:r>
      <w:r w:rsidRPr="00737F76">
        <w:rPr>
          <w:rFonts w:cs="Times New Roman"/>
          <w:lang w:val="fr-CA"/>
        </w:rPr>
        <w:t>où la preuve montrait que l’appartenance au groupe était vraisemblablement déterminable, la présente affaire est un cas où [</w:t>
      </w:r>
      <w:r w:rsidRPr="00737F76">
        <w:rPr>
          <w:rFonts w:cs="Times New Roman"/>
          <w:smallCaps/>
          <w:lang w:val="fr-CA"/>
        </w:rPr>
        <w:t>traduction</w:t>
      </w:r>
      <w:r w:rsidRPr="00737F76">
        <w:rPr>
          <w:rFonts w:cs="Times New Roman"/>
          <w:lang w:val="fr-CA"/>
        </w:rPr>
        <w:t>] « il est tout simplement impossible de confirmer la présence ou l’absence de SMHTF dans les produits qu’un consommateur de la Colombie</w:t>
      </w:r>
      <w:r w:rsidRPr="00737F76">
        <w:rPr>
          <w:rFonts w:cs="Times New Roman"/>
          <w:lang w:val="fr-CA"/>
        </w:rPr>
        <w:noBreakHyphen/>
        <w:t>Britannique aurait achetés entre 1988 et 1995 » (mémoire d’ADM, par. 97).  Elles font valoir que des acheteurs directs importants comme Coke, Pepsi, Vitality Foodservice Canada Inc., Ocean Spray Cranberries et George Weston limitée ont utilisé tantôt du SMHTF tantôt du sucre liquide dans leurs produits.  Dans bien des cas, les étiquettes des produits vendus au Canada par ces acheteurs directs n’indiquaient pas l’édulcorant utilisé.  Les intimées soulignent également que, lorsqu’elle a été contre</w:t>
      </w:r>
      <w:r w:rsidRPr="00737F76">
        <w:rPr>
          <w:rFonts w:cs="Times New Roman"/>
          <w:lang w:val="fr-CA"/>
        </w:rPr>
        <w:noBreakHyphen/>
        <w:t>interrogée sur son affidavit, la demanderesse</w:t>
      </w:r>
      <w:r w:rsidRPr="00737F76">
        <w:rPr>
          <w:rFonts w:cs="Times New Roman"/>
          <w:lang w:val="fr-CA"/>
        </w:rPr>
        <w:noBreakHyphen/>
        <w:t>rep</w:t>
      </w:r>
      <w:r w:rsidR="00A815A1">
        <w:rPr>
          <w:rFonts w:cs="Times New Roman"/>
          <w:lang w:val="fr-CA"/>
        </w:rPr>
        <w:t>résentante, Wendy Bredin, a dit</w:t>
      </w:r>
      <w:r w:rsidRPr="00737F76">
        <w:rPr>
          <w:rFonts w:cs="Times New Roman"/>
          <w:lang w:val="fr-CA"/>
        </w:rPr>
        <w:t xml:space="preserve"> « ignorer si elle avait acheté au cours de la période visée par le recours un seul produit </w:t>
      </w:r>
      <w:r w:rsidR="002B4A57">
        <w:rPr>
          <w:rFonts w:cs="Times New Roman"/>
          <w:lang w:val="fr-CA"/>
        </w:rPr>
        <w:t>contenant du SMHTF » (</w:t>
      </w:r>
      <w:r w:rsidRPr="00737F76">
        <w:rPr>
          <w:rFonts w:cs="Times New Roman"/>
          <w:lang w:val="fr-CA" w:eastAsia="fr-FR"/>
        </w:rPr>
        <w:t>par. 18</w:t>
      </w:r>
      <w:r w:rsidRPr="00737F76">
        <w:rPr>
          <w:rFonts w:cs="Times New Roman"/>
          <w:lang w:val="fr-CA"/>
        </w:rPr>
        <w:t>).  Elles notent que « [s]i la personne disposée à agir à titre de demanderesse</w:t>
      </w:r>
      <w:r w:rsidRPr="00737F76">
        <w:rPr>
          <w:rFonts w:cs="Times New Roman"/>
          <w:lang w:val="fr-CA"/>
        </w:rPr>
        <w:noBreakHyphen/>
        <w:t>représentante en l’espèce n’est pas en mesure de savoir si elle a acheté un seul produit contenant du SMHTF au cours de cette période, on voit mal comment un autre membre éventuel du group</w:t>
      </w:r>
      <w:r w:rsidR="002B4A57">
        <w:rPr>
          <w:rFonts w:cs="Times New Roman"/>
          <w:lang w:val="fr-CA"/>
        </w:rPr>
        <w:t>e le pourrait » (</w:t>
      </w:r>
      <w:r w:rsidRPr="00737F76">
        <w:rPr>
          <w:rFonts w:cs="Times New Roman"/>
          <w:lang w:val="fr-CA"/>
        </w:rPr>
        <w:t>par. 103).</w:t>
      </w:r>
    </w:p>
    <w:p w:rsidR="00741557" w:rsidRPr="00737F76" w:rsidRDefault="00741557" w:rsidP="00741557">
      <w:pPr>
        <w:pStyle w:val="ParaNoNdepar-AltN"/>
        <w:rPr>
          <w:rFonts w:cs="Times New Roman"/>
          <w:lang w:val="fr-CA"/>
        </w:rPr>
      </w:pPr>
      <w:r w:rsidRPr="00737F76">
        <w:rPr>
          <w:rFonts w:cs="Times New Roman"/>
          <w:lang w:val="fr-CA"/>
        </w:rPr>
        <w:lastRenderedPageBreak/>
        <w:t>Il ne s’agit pas d’un motif habituellement invoqué pour contester l’existence d’un [</w:t>
      </w:r>
      <w:r w:rsidRPr="00737F76">
        <w:rPr>
          <w:rFonts w:cs="Times New Roman"/>
          <w:smallCaps/>
          <w:lang w:val="fr-CA"/>
        </w:rPr>
        <w:t>traduction</w:t>
      </w:r>
      <w:r w:rsidRPr="00737F76">
        <w:rPr>
          <w:rFonts w:cs="Times New Roman"/>
          <w:lang w:val="fr-CA"/>
        </w:rPr>
        <w:t>] « groupe identifiable ».  Il n’est pas question de déterminer si la définition du groupe est trop étroite ou trop large, si elle repose sur des critères subjectifs ou si elle emporte un examen du bien</w:t>
      </w:r>
      <w:r w:rsidRPr="00737F76">
        <w:rPr>
          <w:rFonts w:cs="Times New Roman"/>
          <w:lang w:val="fr-CA"/>
        </w:rPr>
        <w:noBreakHyphen/>
        <w:t xml:space="preserve">fondé du recours.  Par contre, les problèmes qui grèvent la cause des appelantes apparaissent clairement dès lors qu’on analyse les objets visés par la condition relative au « groupe identifiable ». </w:t>
      </w:r>
    </w:p>
    <w:p w:rsidR="00741557" w:rsidRPr="00737F76" w:rsidRDefault="00741557" w:rsidP="00741557">
      <w:pPr>
        <w:pStyle w:val="ParaNoNdepar-AltN"/>
        <w:rPr>
          <w:rFonts w:cs="Times New Roman"/>
          <w:lang w:val="fr-CA"/>
        </w:rPr>
      </w:pPr>
      <w:r w:rsidRPr="00737F76">
        <w:rPr>
          <w:rFonts w:cs="Times New Roman"/>
          <w:lang w:val="fr-CA"/>
        </w:rPr>
        <w:t>Je suis d’accord avec les tribunaux qui sont arrivés à la conclusion que la définition du groupe a les objets suivants : i) recenser les personnes susceptibles d’avoir un droit de réparation contre les défendeurs</w:t>
      </w:r>
      <w:r w:rsidRPr="00737F76">
        <w:rPr>
          <w:rFonts w:cs="Times New Roman"/>
          <w:szCs w:val="24"/>
          <w:lang w:val="fr-CA"/>
        </w:rPr>
        <w:t>; ii) établir les paramètres de la poursuite afin de circonscrire les personnes liées par son issue; iii) déterminer les personnes ayant le droit d’être av</w:t>
      </w:r>
      <w:r w:rsidR="002B4A57">
        <w:rPr>
          <w:rFonts w:cs="Times New Roman"/>
          <w:szCs w:val="24"/>
          <w:lang w:val="fr-CA"/>
        </w:rPr>
        <w:t>isées de l’existence du recours</w:t>
      </w:r>
      <w:r w:rsidRPr="00737F76">
        <w:rPr>
          <w:rFonts w:cs="Times New Roman"/>
          <w:szCs w:val="24"/>
          <w:lang w:val="fr-CA"/>
        </w:rPr>
        <w:t xml:space="preserve">  </w:t>
      </w:r>
      <w:r w:rsidR="002B4A57">
        <w:rPr>
          <w:rFonts w:cs="Times New Roman"/>
          <w:szCs w:val="24"/>
          <w:lang w:val="fr-CA"/>
        </w:rPr>
        <w:t>(</w:t>
      </w:r>
      <w:r w:rsidRPr="002B4A57">
        <w:rPr>
          <w:rFonts w:cs="Times New Roman"/>
          <w:i/>
          <w:iCs/>
          <w:szCs w:val="24"/>
          <w:lang w:val="fr-CA"/>
        </w:rPr>
        <w:t xml:space="preserve">Lau c. Bayview Landmark Inc. </w:t>
      </w:r>
      <w:r w:rsidRPr="003571D4">
        <w:rPr>
          <w:rFonts w:cs="Times New Roman"/>
          <w:iCs/>
          <w:szCs w:val="24"/>
          <w:lang w:val="fr-CA"/>
        </w:rPr>
        <w:t xml:space="preserve">(1999), 40 C.P.C. (4th) 301 (C.S.J. Ont.), par. 26 et 30; </w:t>
      </w:r>
      <w:r w:rsidRPr="003571D4">
        <w:rPr>
          <w:rFonts w:cs="Times New Roman"/>
          <w:i/>
          <w:iCs/>
          <w:szCs w:val="24"/>
          <w:lang w:val="fr-CA"/>
        </w:rPr>
        <w:t>Bywater c. Toronto Transit Commission</w:t>
      </w:r>
      <w:r w:rsidRPr="003571D4">
        <w:rPr>
          <w:rFonts w:cs="Times New Roman"/>
          <w:szCs w:val="24"/>
          <w:lang w:val="fr-CA"/>
        </w:rPr>
        <w:t xml:space="preserve"> (1998), 27 C.P.C. (4th) 172 (C.J. Ont. </w:t>
      </w:r>
      <w:r w:rsidRPr="00737F76">
        <w:rPr>
          <w:rFonts w:cs="Times New Roman"/>
          <w:szCs w:val="24"/>
          <w:lang w:val="fr-CA"/>
        </w:rPr>
        <w:t>(Div. gén.)</w:t>
      </w:r>
      <w:r w:rsidR="002B4A57">
        <w:rPr>
          <w:rFonts w:cs="Times New Roman"/>
          <w:szCs w:val="24"/>
          <w:lang w:val="fr-CA"/>
        </w:rPr>
        <w:t>)</w:t>
      </w:r>
      <w:r w:rsidRPr="00737F76">
        <w:rPr>
          <w:rFonts w:cs="Times New Roman"/>
          <w:szCs w:val="24"/>
          <w:lang w:val="fr-CA"/>
        </w:rPr>
        <w:t>, par. </w:t>
      </w:r>
      <w:r w:rsidRPr="00737F76">
        <w:rPr>
          <w:rFonts w:cs="Times New Roman"/>
          <w:iCs/>
          <w:szCs w:val="24"/>
          <w:lang w:val="fr-CA"/>
        </w:rPr>
        <w:t>10; Eizenga et autres, § 3.31).</w:t>
      </w:r>
      <w:r w:rsidRPr="00737F76">
        <w:rPr>
          <w:rFonts w:cs="Times New Roman"/>
          <w:i/>
          <w:szCs w:val="24"/>
          <w:lang w:val="fr-CA"/>
        </w:rPr>
        <w:t xml:space="preserve">  </w:t>
      </w:r>
      <w:r w:rsidRPr="00737F76">
        <w:rPr>
          <w:rFonts w:cs="Times New Roman"/>
          <w:szCs w:val="24"/>
          <w:lang w:val="fr-CA"/>
        </w:rPr>
        <w:t xml:space="preserve">Pour citer l’arrêt </w:t>
      </w:r>
      <w:r w:rsidRPr="00737F76">
        <w:rPr>
          <w:rFonts w:cs="Times New Roman"/>
          <w:i/>
          <w:szCs w:val="24"/>
          <w:lang w:val="fr-CA"/>
        </w:rPr>
        <w:t>Dutton</w:t>
      </w:r>
      <w:r w:rsidRPr="00737F76">
        <w:rPr>
          <w:rFonts w:cs="Times New Roman"/>
          <w:szCs w:val="24"/>
          <w:lang w:val="fr-CA"/>
        </w:rPr>
        <w:t xml:space="preserve">, « [i]l est [. . .] nécessaire que l’appartenance d’une personne au groupe puisse être déterminée sur des critères explicites et </w:t>
      </w:r>
      <w:r w:rsidRPr="00737F76">
        <w:rPr>
          <w:rFonts w:cs="Times New Roman"/>
          <w:lang w:val="fr-CA"/>
        </w:rPr>
        <w:t>objectifs » (par. 38).  Selon Eizenga et autres, [</w:t>
      </w:r>
      <w:r w:rsidRPr="00737F76">
        <w:rPr>
          <w:rFonts w:cs="Times New Roman"/>
          <w:smallCaps/>
          <w:lang w:val="fr-CA"/>
        </w:rPr>
        <w:t>traduction</w:t>
      </w:r>
      <w:r w:rsidRPr="00737F76">
        <w:rPr>
          <w:rFonts w:cs="Times New Roman"/>
          <w:lang w:val="fr-CA"/>
        </w:rPr>
        <w:t>] « [l]e principe général veut que le groupe soit tout simplement défini de manière à permettre de déterminer par la suite qui en fait partie » (§ 3.33).</w:t>
      </w:r>
    </w:p>
    <w:p w:rsidR="00741557" w:rsidRPr="00737F76" w:rsidRDefault="00741557" w:rsidP="00741557">
      <w:pPr>
        <w:pStyle w:val="ParaNoNdepar-AltN"/>
        <w:rPr>
          <w:rFonts w:cs="Times New Roman"/>
          <w:lang w:val="fr-CA"/>
        </w:rPr>
      </w:pPr>
      <w:r w:rsidRPr="00737F76">
        <w:rPr>
          <w:rFonts w:cs="Times New Roman"/>
          <w:lang w:val="fr-CA"/>
        </w:rPr>
        <w:t>La définition du groupe ne me pose pas problème a priori.  Elle repose sur des critères objectifs, n’est pas fonction du bien</w:t>
      </w:r>
      <w:r w:rsidRPr="00737F76">
        <w:rPr>
          <w:rFonts w:cs="Times New Roman"/>
          <w:lang w:val="fr-CA"/>
        </w:rPr>
        <w:noBreakHyphen/>
        <w:t xml:space="preserve">fondé de la demande et ne peut être restreinte sans que soient exclus des membres susceptibles d’avoir un droit de recours </w:t>
      </w:r>
      <w:r w:rsidRPr="00737F76">
        <w:rPr>
          <w:rFonts w:cs="Times New Roman"/>
          <w:lang w:val="fr-CA"/>
        </w:rPr>
        <w:lastRenderedPageBreak/>
        <w:t xml:space="preserve">valable.  Or, la preuve ne permet pas de conclure qu’un certain fondement factuel établit que deux personnes ou plus sauront si elles appartiennent ou non au groupe, et c’est là où le bât blesse.  </w:t>
      </w:r>
    </w:p>
    <w:p w:rsidR="00741557" w:rsidRPr="00737F76" w:rsidRDefault="00741557" w:rsidP="00741557">
      <w:pPr>
        <w:pStyle w:val="ParaNoNdepar-AltN"/>
        <w:rPr>
          <w:rFonts w:cs="Times New Roman"/>
          <w:lang w:val="fr-CA"/>
        </w:rPr>
      </w:pPr>
      <w:r w:rsidRPr="00737F76">
        <w:rPr>
          <w:rFonts w:cs="Times New Roman"/>
          <w:lang w:val="fr-CA"/>
        </w:rPr>
        <w:t>Les appelantes prétendent que les intimées [</w:t>
      </w:r>
      <w:r w:rsidRPr="00737F76">
        <w:rPr>
          <w:rFonts w:cs="Times New Roman"/>
          <w:smallCaps/>
          <w:lang w:val="fr-CA"/>
        </w:rPr>
        <w:t>traduction</w:t>
      </w:r>
      <w:r w:rsidRPr="00737F76">
        <w:rPr>
          <w:rFonts w:cs="Times New Roman"/>
          <w:lang w:val="fr-CA"/>
        </w:rPr>
        <w:t>] « tentent d’exciper de la complexité inhérente aux demandes résultant d’un complot de fixation des prix à grande échelle pour priver de recours judiciaire les personnes lésées par les actes reprochés » et que « les tribunaux ont jugé adéquates des définitions de groupe semblables ou identiques à ce</w:t>
      </w:r>
      <w:r w:rsidR="006F5896">
        <w:rPr>
          <w:rFonts w:cs="Times New Roman"/>
          <w:lang w:val="fr-CA"/>
        </w:rPr>
        <w:t>lle proposée en l’espèce » (mémoire en réponse</w:t>
      </w:r>
      <w:r w:rsidRPr="00737F76">
        <w:rPr>
          <w:rFonts w:cs="Times New Roman"/>
          <w:lang w:val="fr-CA"/>
        </w:rPr>
        <w:t xml:space="preserve">, par. 58 et 61).  Les appelantes invoquent la directive donnée dans </w:t>
      </w:r>
      <w:r w:rsidRPr="00737F76">
        <w:rPr>
          <w:rFonts w:cs="Times New Roman"/>
          <w:i/>
          <w:lang w:val="fr-CA"/>
        </w:rPr>
        <w:t>Dutton</w:t>
      </w:r>
      <w:r w:rsidRPr="00737F76">
        <w:rPr>
          <w:rFonts w:cs="Times New Roman"/>
          <w:lang w:val="fr-CA"/>
        </w:rPr>
        <w:t xml:space="preserve"> selon laquelle « [i]l n’est pas nécessaire que tous les membres du groupe soient nommés ou connus » (par. 38).  Elles citent </w:t>
      </w:r>
      <w:r w:rsidRPr="00737F76">
        <w:rPr>
          <w:rFonts w:cs="Times New Roman"/>
          <w:i/>
          <w:lang w:val="fr-CA"/>
        </w:rPr>
        <w:t>Sauer c. Canada (Agriculture)</w:t>
      </w:r>
      <w:r w:rsidRPr="00737F76">
        <w:rPr>
          <w:rFonts w:cs="Times New Roman"/>
          <w:lang w:val="fr-CA"/>
        </w:rPr>
        <w:t>, 2008 CanLII 43774 (C.S.J. Ont.)</w:t>
      </w:r>
      <w:r w:rsidR="00D64956">
        <w:rPr>
          <w:rFonts w:cs="Times New Roman"/>
          <w:lang w:val="fr-CA"/>
        </w:rPr>
        <w:t>,</w:t>
      </w:r>
      <w:r w:rsidRPr="00737F76">
        <w:rPr>
          <w:rFonts w:cs="Times New Roman"/>
          <w:lang w:val="fr-CA"/>
        </w:rPr>
        <w:t xml:space="preserve"> qui dit que les tribunaux peuvent se livrer à une [</w:t>
      </w:r>
      <w:r w:rsidRPr="00737F76">
        <w:rPr>
          <w:rFonts w:cs="Times New Roman"/>
          <w:smallCaps/>
          <w:lang w:val="fr-CA"/>
        </w:rPr>
        <w:t>traduction</w:t>
      </w:r>
      <w:r w:rsidRPr="00737F76">
        <w:rPr>
          <w:rFonts w:cs="Times New Roman"/>
          <w:lang w:val="fr-CA"/>
        </w:rPr>
        <w:t xml:space="preserve">] « analyse assez approfondie des faits en vue d’établir l’appartenance au groupe » et qu’« [i]l arrive souvent dans un recours collectif que certaines personnes aient du mal à prouver qu’elles satisfont aux conditions d’appartenance, ce qui ne permet pas en soi de conclure que le groupe </w:t>
      </w:r>
      <w:r w:rsidR="00D64956">
        <w:rPr>
          <w:rFonts w:cs="Times New Roman"/>
          <w:lang w:val="fr-CA"/>
        </w:rPr>
        <w:t>n’est pas identifiable » (</w:t>
      </w:r>
      <w:r w:rsidRPr="00737F76">
        <w:rPr>
          <w:rFonts w:cs="Times New Roman"/>
          <w:lang w:val="fr-CA"/>
        </w:rPr>
        <w:t xml:space="preserve">par. 67, citant </w:t>
      </w:r>
      <w:r w:rsidRPr="00737F76">
        <w:rPr>
          <w:rFonts w:cs="Times New Roman"/>
          <w:i/>
          <w:lang w:val="fr-CA"/>
        </w:rPr>
        <w:t>Sauer</w:t>
      </w:r>
      <w:r w:rsidR="00D64956">
        <w:rPr>
          <w:rFonts w:cs="Times New Roman"/>
          <w:lang w:val="fr-CA"/>
        </w:rPr>
        <w:t xml:space="preserve">, </w:t>
      </w:r>
      <w:r w:rsidRPr="00737F76">
        <w:rPr>
          <w:rFonts w:cs="Times New Roman"/>
          <w:lang w:val="fr-CA"/>
        </w:rPr>
        <w:t>par. 28).</w:t>
      </w:r>
    </w:p>
    <w:p w:rsidR="00741557" w:rsidRPr="00737F76" w:rsidRDefault="00741557" w:rsidP="00741557">
      <w:pPr>
        <w:pStyle w:val="ParaNoNdepar-AltN"/>
        <w:rPr>
          <w:rFonts w:cs="Times New Roman"/>
          <w:szCs w:val="24"/>
          <w:lang w:val="fr-CA"/>
        </w:rPr>
      </w:pPr>
      <w:r w:rsidRPr="00737F76">
        <w:rPr>
          <w:rFonts w:cs="Times New Roman"/>
          <w:lang w:val="fr-CA"/>
        </w:rPr>
        <w:t xml:space="preserve">Par contre, l’extrait de la décision </w:t>
      </w:r>
      <w:r w:rsidRPr="00737F76">
        <w:rPr>
          <w:rFonts w:cs="Times New Roman"/>
          <w:i/>
          <w:lang w:val="fr-CA"/>
        </w:rPr>
        <w:t xml:space="preserve">Sauer </w:t>
      </w:r>
      <w:r w:rsidRPr="00737F76">
        <w:rPr>
          <w:rFonts w:cs="Times New Roman"/>
          <w:lang w:val="fr-CA"/>
        </w:rPr>
        <w:t>invoqué par les appelantes porte sur l’objectivité des critères qui figurent dans la définition du groupe.  Dans cette affaire, un recours collectif concernant des vaches atteintes d’encéphalopathie</w:t>
      </w:r>
      <w:r w:rsidRPr="00737F76">
        <w:rPr>
          <w:rFonts w:cs="Times New Roman"/>
          <w:b/>
          <w:lang w:val="fr-CA"/>
        </w:rPr>
        <w:t xml:space="preserve"> </w:t>
      </w:r>
      <w:r w:rsidRPr="00737F76">
        <w:rPr>
          <w:rFonts w:cs="Times New Roman"/>
          <w:lang w:val="fr-CA"/>
        </w:rPr>
        <w:t xml:space="preserve">spongiforme bovine </w:t>
      </w:r>
      <w:r w:rsidRPr="00737F76">
        <w:rPr>
          <w:rFonts w:cs="Times New Roman"/>
          <w:szCs w:val="24"/>
          <w:lang w:val="fr-CA"/>
        </w:rPr>
        <w:t xml:space="preserve">(« ESB ») ou « maladie de la vache folle », le groupe s’entendait de </w:t>
      </w:r>
      <w:r w:rsidRPr="00737F76">
        <w:rPr>
          <w:rFonts w:cs="Times New Roman"/>
          <w:lang w:val="fr-CA"/>
        </w:rPr>
        <w:t>[</w:t>
      </w:r>
      <w:r w:rsidRPr="00737F76">
        <w:rPr>
          <w:rFonts w:cs="Times New Roman"/>
          <w:smallCaps/>
          <w:lang w:val="fr-CA"/>
        </w:rPr>
        <w:t>traduction</w:t>
      </w:r>
      <w:r w:rsidRPr="00737F76">
        <w:rPr>
          <w:rFonts w:cs="Times New Roman"/>
          <w:lang w:val="fr-CA"/>
        </w:rPr>
        <w:t>]</w:t>
      </w:r>
      <w:r w:rsidRPr="00737F76">
        <w:rPr>
          <w:rFonts w:cs="Times New Roman"/>
          <w:szCs w:val="24"/>
          <w:lang w:val="fr-CA"/>
        </w:rPr>
        <w:t xml:space="preserve"> « tous les éleveurs de bovins au Canada », outre ceux du Québec </w:t>
      </w:r>
      <w:r w:rsidRPr="00737F76">
        <w:rPr>
          <w:rFonts w:cs="Times New Roman"/>
          <w:szCs w:val="24"/>
          <w:lang w:val="fr-CA"/>
        </w:rPr>
        <w:lastRenderedPageBreak/>
        <w:t>(par. 11).  L</w:t>
      </w:r>
      <w:r w:rsidRPr="00737F76">
        <w:rPr>
          <w:rFonts w:cs="Times New Roman"/>
          <w:lang w:val="fr-CA"/>
        </w:rPr>
        <w:t>e demandeur</w:t>
      </w:r>
      <w:r w:rsidRPr="00737F76">
        <w:rPr>
          <w:rFonts w:cs="Times New Roman"/>
          <w:lang w:val="fr-CA"/>
        </w:rPr>
        <w:noBreakHyphen/>
        <w:t xml:space="preserve">représentant avait produit la preuve des pertes que lui et des confrères avaient essuyées par suite de la crise de l’ESB.  </w:t>
      </w:r>
      <w:r w:rsidRPr="00737F76">
        <w:rPr>
          <w:rFonts w:cs="Times New Roman"/>
          <w:szCs w:val="24"/>
          <w:lang w:val="fr-CA"/>
        </w:rPr>
        <w:t xml:space="preserve">Selon les défendeurs, le terme « éleveurs de bovins » était trop large et posait problème aux agriculteurs cherchant à être reconnus comme membres du groupe.  La juge </w:t>
      </w:r>
      <w:r w:rsidRPr="00737F76">
        <w:rPr>
          <w:rFonts w:cs="Times New Roman"/>
          <w:lang w:val="fr-CA"/>
        </w:rPr>
        <w:t xml:space="preserve">Lax, de la Cour supérieure de justice de l’Ontario, a conclu que dans de telles situations, le tribunal peut examiner les faits pour déterminer l’appartenance au groupe.  </w:t>
      </w:r>
    </w:p>
    <w:p w:rsidR="00741557" w:rsidRPr="00737F76" w:rsidRDefault="00741557" w:rsidP="00741557">
      <w:pPr>
        <w:pStyle w:val="ParaNoNdepar-AltN"/>
        <w:rPr>
          <w:rFonts w:cs="Times New Roman"/>
          <w:szCs w:val="24"/>
          <w:lang w:val="fr-CA"/>
        </w:rPr>
      </w:pPr>
      <w:r w:rsidRPr="00737F76">
        <w:rPr>
          <w:rFonts w:cs="Times New Roman"/>
          <w:lang w:val="fr-CA"/>
        </w:rPr>
        <w:t xml:space="preserve">Or, ce n’est pas le cas en l’espèce.  Aucun fondement factuel ne permet d’établir qu’un seul des membres du groupe proposé dispose des renseignements nécessaires pour déterminer s’il appartient ou non au groupe.  Les appelantes ont l’obligation, à l’étape de la certification, de démontrer l’existence d’un certain fondement factuel permettant de conclure qu’au moins deux membres pourront être connus.  Elles n’ont même pas satisfait à cette norme de preuve relativement peu exigeante. </w:t>
      </w:r>
      <w:r w:rsidRPr="00737F76">
        <w:rPr>
          <w:rFonts w:cs="Times New Roman"/>
          <w:szCs w:val="24"/>
          <w:lang w:val="fr-CA"/>
        </w:rPr>
        <w:t xml:space="preserve"> </w:t>
      </w:r>
    </w:p>
    <w:p w:rsidR="00741557" w:rsidRPr="00737F76" w:rsidRDefault="00741557" w:rsidP="00741557">
      <w:pPr>
        <w:pStyle w:val="ParaNoNdepar-AltN"/>
        <w:rPr>
          <w:rFonts w:cs="Times New Roman"/>
          <w:lang w:val="fr-CA"/>
        </w:rPr>
      </w:pPr>
      <w:r w:rsidRPr="00737F76">
        <w:rPr>
          <w:rFonts w:cs="Times New Roman"/>
          <w:lang w:val="fr-CA"/>
        </w:rPr>
        <w:t xml:space="preserve">Il ne s’agit pas en l’espèce d’un cas où il est simplement difficile d’établir l’appartenance à un groupe défini.  C’est ce qui différencie la présente affaire de l’affaire </w:t>
      </w:r>
      <w:r w:rsidRPr="00737F76">
        <w:rPr>
          <w:rFonts w:cs="Times New Roman"/>
          <w:i/>
          <w:lang w:val="fr-CA"/>
        </w:rPr>
        <w:t>Pro</w:t>
      </w:r>
      <w:r w:rsidRPr="00737F76">
        <w:rPr>
          <w:rFonts w:cs="Times New Roman"/>
          <w:i/>
          <w:lang w:val="fr-CA"/>
        </w:rPr>
        <w:noBreakHyphen/>
        <w:t>Sys</w:t>
      </w:r>
      <w:r w:rsidRPr="00737F76">
        <w:rPr>
          <w:rFonts w:cs="Times New Roman"/>
          <w:lang w:val="fr-CA"/>
        </w:rPr>
        <w:t>.  Dans cette dernière, même si l’appartenance au groupe ne paraît pas évidente à première vue aux éventuels membres du groupe à la lumière de la définition de celui</w:t>
      </w:r>
      <w:r w:rsidRPr="00737F76">
        <w:rPr>
          <w:rFonts w:cs="Times New Roman"/>
          <w:lang w:val="fr-CA"/>
        </w:rPr>
        <w:noBreakHyphen/>
        <w:t xml:space="preserve">ci, des reçus d’achat ou la présence dans l’ordinateur du membre du groupe proposé du logiciel d’application ou d’un système d’exploitation visé par l’appel permettraient de conclure à l’appartenance au groupe.  De plus, dans </w:t>
      </w:r>
      <w:r w:rsidRPr="00737F76">
        <w:rPr>
          <w:rFonts w:cs="Times New Roman"/>
          <w:i/>
          <w:lang w:val="fr-CA"/>
        </w:rPr>
        <w:t>Pro</w:t>
      </w:r>
      <w:r w:rsidRPr="00737F76">
        <w:rPr>
          <w:rFonts w:cs="Times New Roman"/>
          <w:i/>
          <w:lang w:val="fr-CA"/>
        </w:rPr>
        <w:noBreakHyphen/>
        <w:t>Sys</w:t>
      </w:r>
      <w:r w:rsidRPr="00737F76">
        <w:rPr>
          <w:rFonts w:cs="Times New Roman"/>
          <w:lang w:val="fr-CA"/>
        </w:rPr>
        <w:t>, Sam Leung, président</w:t>
      </w:r>
      <w:r w:rsidRPr="00737F76">
        <w:rPr>
          <w:rFonts w:cs="Times New Roman"/>
          <w:lang w:val="fr-CA"/>
        </w:rPr>
        <w:noBreakHyphen/>
        <w:t>directeur de Pro</w:t>
      </w:r>
      <w:r w:rsidRPr="00737F76">
        <w:rPr>
          <w:rFonts w:cs="Times New Roman"/>
          <w:lang w:val="fr-CA"/>
        </w:rPr>
        <w:noBreakHyphen/>
        <w:t xml:space="preserve">Sys Consultants Ltd., l’un des </w:t>
      </w:r>
      <w:r w:rsidRPr="00737F76">
        <w:rPr>
          <w:rFonts w:cs="Times New Roman"/>
          <w:lang w:val="fr-CA"/>
        </w:rPr>
        <w:lastRenderedPageBreak/>
        <w:t>demandeurs</w:t>
      </w:r>
      <w:r w:rsidRPr="00737F76">
        <w:rPr>
          <w:rFonts w:cs="Times New Roman"/>
          <w:lang w:val="fr-CA"/>
        </w:rPr>
        <w:noBreakHyphen/>
        <w:t xml:space="preserve">représentants, a prouvé qu’il avait acheté le produit en question, en produisant la facture constatant l’achat de l’ordinateur.  Cette preuve démontrait qu’il était possible de déterminer l’appartenance au groupe et que l’existence d’un groupe identifiable reposait sur un certain fondement factuel.  </w:t>
      </w:r>
    </w:p>
    <w:p w:rsidR="00741557" w:rsidRPr="00737F76" w:rsidRDefault="00741557" w:rsidP="00741557">
      <w:pPr>
        <w:pStyle w:val="ParaNoNdepar-AltN"/>
        <w:rPr>
          <w:rFonts w:cs="Times New Roman"/>
          <w:lang w:val="fr-CA"/>
        </w:rPr>
      </w:pPr>
      <w:r w:rsidRPr="00737F76">
        <w:rPr>
          <w:rFonts w:cs="Times New Roman"/>
          <w:lang w:val="fr-CA"/>
        </w:rPr>
        <w:t>À l’inverse, dans la présente affaire, la preuve des intimées montre que les acheteurs directs ont utilisé de façon interchangeable le SMHTF et le sucre liquide au cours de la période visée par le recours.  En outr</w:t>
      </w:r>
      <w:r w:rsidR="00D64956">
        <w:rPr>
          <w:rFonts w:cs="Times New Roman"/>
          <w:lang w:val="fr-CA"/>
        </w:rPr>
        <w:t>e, les intimées prétendent que</w:t>
      </w:r>
      <w:r w:rsidRPr="00737F76">
        <w:rPr>
          <w:rFonts w:cs="Times New Roman"/>
          <w:lang w:val="fr-CA"/>
        </w:rPr>
        <w:t xml:space="preserve">  </w:t>
      </w:r>
    </w:p>
    <w:p w:rsidR="00741557" w:rsidRPr="00737F76" w:rsidRDefault="00741557" w:rsidP="00741557">
      <w:pPr>
        <w:pStyle w:val="Citation-AltC"/>
        <w:ind w:hanging="1166"/>
        <w:rPr>
          <w:lang w:val="fr-CA"/>
        </w:rPr>
      </w:pPr>
      <w:r w:rsidRPr="00737F76">
        <w:rPr>
          <w:lang w:val="fr-CA"/>
        </w:rPr>
        <w:tab/>
        <w:t>[</w:t>
      </w:r>
      <w:r w:rsidRPr="00737F76">
        <w:rPr>
          <w:smallCaps/>
          <w:lang w:val="fr-CA"/>
        </w:rPr>
        <w:t>traduction</w:t>
      </w:r>
      <w:r w:rsidR="00D64956">
        <w:rPr>
          <w:lang w:val="fr-CA"/>
        </w:rPr>
        <w:t>] . . . l</w:t>
      </w:r>
      <w:r w:rsidRPr="00737F76">
        <w:rPr>
          <w:lang w:val="fr-CA"/>
        </w:rPr>
        <w:t>es règles canadiennes d’étiquetage en vigueur au cours de la période visée par le recours n’obligeaient pas les fabricants d’aliments et de boissons à indiquer lequel des deux édulcorants entrait dans la composition de leurs produits.  Elles permettaient que le terme générique « sucre/glucose</w:t>
      </w:r>
      <w:r w:rsidRPr="00737F76">
        <w:rPr>
          <w:lang w:val="fr-CA"/>
        </w:rPr>
        <w:noBreakHyphen/>
        <w:t>fructose » désigne tantôt le sucre liquide, tantôt le SMHTF sur l’étiquette.  Il s’ensuit que le consommateur ayant acheté un tel produit au cours de la période visée par le recours n’aurait pu dire s’il contenait du SMHTF même s’il s’était donné la peine de lire l’étiquette. [mémoire d’ADM, par. 100]</w:t>
      </w:r>
    </w:p>
    <w:p w:rsidR="00741557" w:rsidRPr="00737F76" w:rsidRDefault="00741557" w:rsidP="00741557">
      <w:pPr>
        <w:pStyle w:val="ParaNoNdepar-AltN"/>
        <w:rPr>
          <w:rFonts w:cs="Times New Roman"/>
          <w:lang w:val="fr-CA"/>
        </w:rPr>
      </w:pPr>
      <w:r w:rsidRPr="00737F76">
        <w:rPr>
          <w:rFonts w:cs="Times New Roman"/>
          <w:lang w:val="fr-CA"/>
        </w:rPr>
        <w:t>Les appelantes affirment seulement que [</w:t>
      </w:r>
      <w:r w:rsidRPr="00737F76">
        <w:rPr>
          <w:rFonts w:cs="Times New Roman"/>
          <w:smallCaps/>
          <w:lang w:val="fr-CA"/>
        </w:rPr>
        <w:t>traduction</w:t>
      </w:r>
      <w:r w:rsidRPr="00737F76">
        <w:rPr>
          <w:rFonts w:cs="Times New Roman"/>
          <w:lang w:val="fr-CA"/>
        </w:rPr>
        <w:t xml:space="preserve">] « les ventes de SMHTF aux acheteurs directs canadiens représentaient des centaines de millions de dollars au cours de la période visée par le recours » et que ce SMHTF entrait dans la fabrication de « denrées alimentaires comme les boissons gazeuses et les produits de boulangerie achetées par des restaurants, grossistes, supermarchés, dépanneurs, cinémas </w:t>
      </w:r>
      <w:r w:rsidR="00D64956">
        <w:rPr>
          <w:rFonts w:cs="Times New Roman"/>
          <w:lang w:val="fr-CA"/>
        </w:rPr>
        <w:t>et autres établissements » (mémoire en réponse</w:t>
      </w:r>
      <w:r w:rsidRPr="00737F76">
        <w:rPr>
          <w:rFonts w:cs="Times New Roman"/>
          <w:lang w:val="fr-CA"/>
        </w:rPr>
        <w:t>, par. 69).  Selon leur expert, il est possible d’établir la quantité de SMHTF utilisé et de déterminer les produits précis qui en contenaient (par. 69, citant l</w:t>
      </w:r>
      <w:r w:rsidR="00CB60FB">
        <w:rPr>
          <w:rFonts w:cs="Times New Roman"/>
          <w:lang w:val="fr-CA"/>
        </w:rPr>
        <w:t xml:space="preserve">e rapport de M. Leitzinger, </w:t>
      </w:r>
      <w:r w:rsidRPr="00737F76">
        <w:rPr>
          <w:rFonts w:cs="Times New Roman"/>
          <w:lang w:val="fr-CA"/>
        </w:rPr>
        <w:t>par. 10</w:t>
      </w:r>
      <w:r w:rsidRPr="00737F76">
        <w:rPr>
          <w:rFonts w:cs="Times New Roman"/>
          <w:lang w:val="fr-CA"/>
        </w:rPr>
        <w:noBreakHyphen/>
        <w:t>11, 18</w:t>
      </w:r>
      <w:r w:rsidRPr="00737F76">
        <w:rPr>
          <w:rFonts w:cs="Times New Roman"/>
          <w:lang w:val="fr-CA"/>
        </w:rPr>
        <w:noBreakHyphen/>
        <w:t>20 et 27 (d.a., vol. II, p. 85</w:t>
      </w:r>
      <w:r w:rsidRPr="00737F76">
        <w:rPr>
          <w:rFonts w:cs="Times New Roman"/>
          <w:lang w:val="fr-CA"/>
        </w:rPr>
        <w:noBreakHyphen/>
        <w:t>86, 89</w:t>
      </w:r>
      <w:r w:rsidRPr="00737F76">
        <w:rPr>
          <w:rFonts w:cs="Times New Roman"/>
          <w:lang w:val="fr-CA"/>
        </w:rPr>
        <w:noBreakHyphen/>
        <w:t>91 et 95</w:t>
      </w:r>
      <w:r w:rsidRPr="00737F76">
        <w:rPr>
          <w:rFonts w:cs="Times New Roman"/>
          <w:lang w:val="fr-CA"/>
        </w:rPr>
        <w:noBreakHyphen/>
        <w:t>96)).</w:t>
      </w:r>
    </w:p>
    <w:p w:rsidR="00741557" w:rsidRPr="00737F76" w:rsidRDefault="00741557" w:rsidP="00741557">
      <w:pPr>
        <w:pStyle w:val="ParaNoNdepar-AltN"/>
        <w:rPr>
          <w:rFonts w:cs="Times New Roman"/>
          <w:lang w:val="fr-CA"/>
        </w:rPr>
      </w:pPr>
      <w:r w:rsidRPr="00737F76">
        <w:rPr>
          <w:rFonts w:cs="Times New Roman"/>
          <w:lang w:val="fr-CA"/>
        </w:rPr>
        <w:lastRenderedPageBreak/>
        <w:t xml:space="preserve">Par contre, il ne s’agit pas de déterminer si certains produits contenaient du SMHTF ou encore si la majoration a été refilée aux acheteurs indirects (autrement dit, s’il y a eu transfert de la perte).  Le problème en l’espèce tient au fait que les acheteurs indirects ne seront pas en mesure de savoir si l’article qu’ils ont acheté contenait ou non du SMHTF même s’ils connaissent le nom des produits en cause.  Les appelantes n’ont pas fourni de preuve susceptible de remédier au problème relatif à l’appartenance que soulève l’interchangeabilité du SMHTF et du sucre liquide.  </w:t>
      </w:r>
    </w:p>
    <w:p w:rsidR="00741557" w:rsidRPr="00737F76" w:rsidRDefault="00741557" w:rsidP="00741557">
      <w:pPr>
        <w:pStyle w:val="ParaNoNdepar-AltN"/>
        <w:rPr>
          <w:rFonts w:cs="Times New Roman"/>
          <w:lang w:val="fr-CA"/>
        </w:rPr>
      </w:pPr>
      <w:r w:rsidRPr="00737F76">
        <w:rPr>
          <w:rFonts w:cs="Times New Roman"/>
          <w:lang w:val="fr-CA"/>
        </w:rPr>
        <w:t>M</w:t>
      </w:r>
      <w:r w:rsidRPr="00737F76">
        <w:rPr>
          <w:rFonts w:cs="Times New Roman"/>
          <w:vertAlign w:val="superscript"/>
          <w:lang w:val="fr-CA"/>
        </w:rPr>
        <w:t>me</w:t>
      </w:r>
      <w:r w:rsidRPr="00737F76">
        <w:rPr>
          <w:rFonts w:cs="Times New Roman"/>
          <w:lang w:val="fr-CA"/>
        </w:rPr>
        <w:t> Bredin elle</w:t>
      </w:r>
      <w:r w:rsidRPr="00737F76">
        <w:rPr>
          <w:rFonts w:cs="Times New Roman"/>
          <w:lang w:val="fr-CA"/>
        </w:rPr>
        <w:noBreakHyphen/>
        <w:t>même a affirmé ne pas être en mesure de dire si les produits qu’elle avait achetés contenaient du SMHTF.  Cet état de fait ne changera pas parce que, répétons</w:t>
      </w:r>
      <w:r w:rsidRPr="00737F76">
        <w:rPr>
          <w:rFonts w:cs="Times New Roman"/>
          <w:lang w:val="fr-CA"/>
        </w:rPr>
        <w:noBreakHyphen/>
        <w:t>le, le sucre liquide et le SMHTF étaient utilisés de façon interchangeable et qu’une étiquette portant seulement le générique « sucre/glucose</w:t>
      </w:r>
      <w:r w:rsidRPr="00737F76">
        <w:rPr>
          <w:rFonts w:cs="Times New Roman"/>
          <w:lang w:val="fr-CA"/>
        </w:rPr>
        <w:noBreakHyphen/>
        <w:t>fructose » était susceptible d’indiquer la présence de l’un ou l’autre édulcorant.  M</w:t>
      </w:r>
      <w:r w:rsidRPr="00737F76">
        <w:rPr>
          <w:rFonts w:cs="Times New Roman"/>
          <w:vertAlign w:val="superscript"/>
          <w:lang w:val="fr-CA"/>
        </w:rPr>
        <w:t>me </w:t>
      </w:r>
      <w:r w:rsidRPr="00737F76">
        <w:rPr>
          <w:rFonts w:cs="Times New Roman"/>
          <w:lang w:val="fr-CA"/>
        </w:rPr>
        <w:t xml:space="preserve">Bredin n’a pas démontré qu’un certain fondement factuel permet de conclure qu’elle pourra répondre à cette question.  Vu la preuve produite dans le cadre de la demande de certification, il paraît impossible de déterminer l’appartenance au groupe. </w:t>
      </w:r>
    </w:p>
    <w:p w:rsidR="00741557" w:rsidRPr="00737F76" w:rsidRDefault="00741557" w:rsidP="00741557">
      <w:pPr>
        <w:pStyle w:val="ParaNoNdepar-AltN"/>
        <w:rPr>
          <w:rFonts w:cs="Times New Roman"/>
          <w:lang w:val="fr-CA"/>
        </w:rPr>
      </w:pPr>
      <w:r w:rsidRPr="00737F76">
        <w:rPr>
          <w:rFonts w:cs="Times New Roman"/>
          <w:lang w:val="fr-CA"/>
        </w:rPr>
        <w:t>La prétention des appelantes que, [</w:t>
      </w:r>
      <w:r w:rsidRPr="00737F76">
        <w:rPr>
          <w:rFonts w:cs="Times New Roman"/>
          <w:smallCaps/>
          <w:lang w:val="fr-CA"/>
        </w:rPr>
        <w:t>traduction</w:t>
      </w:r>
      <w:r w:rsidRPr="00737F76">
        <w:rPr>
          <w:rFonts w:cs="Times New Roman"/>
          <w:lang w:val="fr-CA"/>
        </w:rPr>
        <w:t>] « même s’il est possible que certains membres ne puissent se reconnaître comme tels, l’appartenance au groupe peut s’établir eu égard à la nature des achats réalisés par chaque personne et à la quantité de SMHTF contenue d</w:t>
      </w:r>
      <w:r w:rsidR="00CB60FB">
        <w:rPr>
          <w:rFonts w:cs="Times New Roman"/>
          <w:lang w:val="fr-CA"/>
        </w:rPr>
        <w:t>ans les produits achetés » (mémoire en réponse</w:t>
      </w:r>
      <w:r w:rsidRPr="00737F76">
        <w:rPr>
          <w:rFonts w:cs="Times New Roman"/>
          <w:lang w:val="fr-CA"/>
        </w:rPr>
        <w:t xml:space="preserve">, par. 71).  Or, ce n’est pas une solution au problème qu’éprouveront les membres </w:t>
      </w:r>
      <w:r w:rsidRPr="00737F76">
        <w:rPr>
          <w:rFonts w:cs="Times New Roman"/>
          <w:lang w:val="fr-CA"/>
        </w:rPr>
        <w:lastRenderedPageBreak/>
        <w:t>éventuels à se reconnaître comme tels.  Bien que la fixation des prix reprochée ait peut</w:t>
      </w:r>
      <w:r w:rsidRPr="00737F76">
        <w:rPr>
          <w:rFonts w:cs="Times New Roman"/>
          <w:lang w:val="fr-CA"/>
        </w:rPr>
        <w:noBreakHyphen/>
        <w:t xml:space="preserve">être porté préjudice à des acheteurs indirects, ils ne peuvent démontrer qu’ils font partie du groupe à la lumière de la définition proposée.  Certifier un recours collectif sans connaître au moins deux personnes qui seront en mesure de prouver les pertes que leur ont fait subir les auteurs présumés de la majoration contrecarre l’objectif des recours collectifs, qui est d’offrir une voie de recours plus efficace aux demandeurs </w:t>
      </w:r>
      <w:r w:rsidRPr="00737F76">
        <w:rPr>
          <w:rFonts w:cs="Times New Roman"/>
          <w:i/>
          <w:lang w:val="fr-CA"/>
        </w:rPr>
        <w:t>ayant subi un préjudice</w:t>
      </w:r>
      <w:r w:rsidRPr="00737F76">
        <w:rPr>
          <w:rFonts w:cs="Times New Roman"/>
          <w:lang w:val="fr-CA"/>
        </w:rPr>
        <w:t xml:space="preserve"> mais pour qui il serait irréaliste d’exercer un recours individuel ou qui n’ont pas les moyens de le faire.  Il est impossible de déterminer l’appartenance au groupe en l’espèce. </w:t>
      </w:r>
    </w:p>
    <w:p w:rsidR="00741557" w:rsidRPr="00737F76" w:rsidRDefault="00741557" w:rsidP="00741557">
      <w:pPr>
        <w:pStyle w:val="ParaNoNdepar-AltN"/>
        <w:rPr>
          <w:rFonts w:cs="Times New Roman"/>
          <w:lang w:val="fr-CA"/>
        </w:rPr>
      </w:pPr>
      <w:r w:rsidRPr="00737F76">
        <w:rPr>
          <w:rFonts w:cs="Times New Roman"/>
          <w:lang w:val="fr-CA"/>
        </w:rPr>
        <w:t>Le cadre de certification des recours collectifs oblige le représentant du groupe à présenter une preuve suffisante à l’appui de la certification et permet à la partie adverse de produire à son tour sa propre preuve (</w:t>
      </w:r>
      <w:r w:rsidRPr="00737F76">
        <w:rPr>
          <w:rFonts w:cs="Times New Roman"/>
          <w:i/>
          <w:lang w:val="fr-CA"/>
        </w:rPr>
        <w:t>Hollick</w:t>
      </w:r>
      <w:r w:rsidRPr="00737F76">
        <w:rPr>
          <w:rFonts w:cs="Times New Roman"/>
          <w:lang w:val="fr-CA"/>
        </w:rPr>
        <w:t>, par. 22).  À l’étape de la certification, l’objet consiste à vérifier que le litige se prête bien au recours collectif (</w:t>
      </w:r>
      <w:r w:rsidRPr="00737F76">
        <w:rPr>
          <w:rFonts w:cs="Times New Roman"/>
          <w:i/>
          <w:lang w:val="fr-CA"/>
        </w:rPr>
        <w:t>Pro</w:t>
      </w:r>
      <w:r w:rsidRPr="00737F76">
        <w:rPr>
          <w:rFonts w:cs="Times New Roman"/>
          <w:i/>
          <w:lang w:val="fr-CA"/>
        </w:rPr>
        <w:noBreakHyphen/>
        <w:t>Sys</w:t>
      </w:r>
      <w:r w:rsidRPr="00737F76">
        <w:rPr>
          <w:rFonts w:cs="Times New Roman"/>
          <w:lang w:val="fr-CA"/>
        </w:rPr>
        <w:t>, par. 104).  Et bien que l’instruction de la demande de certification ne constitue pas un procès préliminaire sur le bien</w:t>
      </w:r>
      <w:r w:rsidRPr="00737F76">
        <w:rPr>
          <w:rFonts w:cs="Times New Roman"/>
          <w:lang w:val="fr-CA"/>
        </w:rPr>
        <w:noBreakHyphen/>
        <w:t>fondé du recours, [</w:t>
      </w:r>
      <w:r w:rsidRPr="00737F76">
        <w:rPr>
          <w:rFonts w:cs="Times New Roman"/>
          <w:smallCaps/>
          <w:lang w:val="fr-CA"/>
        </w:rPr>
        <w:t>traduction</w:t>
      </w:r>
      <w:r w:rsidRPr="00737F76">
        <w:rPr>
          <w:rFonts w:cs="Times New Roman"/>
          <w:lang w:val="fr-CA"/>
        </w:rPr>
        <w:t xml:space="preserve">] « le juge doit être convaincu de l’existence de certains faits élémentaires qui, aux termes de [la </w:t>
      </w:r>
      <w:r w:rsidRPr="00737F76">
        <w:rPr>
          <w:rFonts w:cs="Times New Roman"/>
          <w:i/>
          <w:lang w:val="fr-CA"/>
        </w:rPr>
        <w:t>C</w:t>
      </w:r>
      <w:r w:rsidR="00042480">
        <w:rPr>
          <w:rFonts w:cs="Times New Roman"/>
          <w:i/>
          <w:lang w:val="fr-CA"/>
        </w:rPr>
        <w:t>lass Proceedings Act, 1992</w:t>
      </w:r>
      <w:r w:rsidR="00042480" w:rsidRPr="00042480">
        <w:rPr>
          <w:rFonts w:cs="Times New Roman"/>
          <w:lang w:val="fr-CA"/>
        </w:rPr>
        <w:t>, L.O. 1992, ch. 6</w:t>
      </w:r>
      <w:r w:rsidRPr="00737F76">
        <w:rPr>
          <w:rFonts w:cs="Times New Roman"/>
          <w:lang w:val="fr-CA"/>
        </w:rPr>
        <w:t>], constituent le fondement obligatoire d’une ordonnance de certification » (</w:t>
      </w:r>
      <w:r w:rsidRPr="00737F76">
        <w:rPr>
          <w:rFonts w:cs="Times New Roman"/>
          <w:i/>
          <w:iCs/>
          <w:lang w:val="fr-CA"/>
        </w:rPr>
        <w:t xml:space="preserve">Taub c. Manufacturers Life Insurance Co. </w:t>
      </w:r>
      <w:r w:rsidRPr="00737F76">
        <w:rPr>
          <w:rFonts w:cs="Times New Roman"/>
          <w:lang w:val="fr-CA"/>
        </w:rPr>
        <w:t>(1998), 40 O.R. (3d) 379 (Div. gén.), p. 381).</w:t>
      </w:r>
    </w:p>
    <w:p w:rsidR="00741557" w:rsidRPr="00737F76" w:rsidRDefault="00741557" w:rsidP="00741557">
      <w:pPr>
        <w:pStyle w:val="ParaNoNdepar-AltN"/>
        <w:rPr>
          <w:rFonts w:cs="Times New Roman"/>
          <w:lang w:val="fr-CA"/>
        </w:rPr>
      </w:pPr>
      <w:r w:rsidRPr="00737F76">
        <w:rPr>
          <w:rFonts w:cs="Times New Roman"/>
          <w:lang w:val="fr-CA"/>
        </w:rPr>
        <w:t xml:space="preserve">En l’espèce, selon les appelantes, refuser de reconnaître l’existence d’un groupe identifiable c’est confondre la possibilité de déterminer le groupe et la </w:t>
      </w:r>
      <w:r w:rsidRPr="00737F76">
        <w:rPr>
          <w:rFonts w:cs="Times New Roman"/>
          <w:lang w:val="fr-CA"/>
        </w:rPr>
        <w:lastRenderedPageBreak/>
        <w:t>possibilité d’en dét</w:t>
      </w:r>
      <w:r w:rsidR="00CB60FB">
        <w:rPr>
          <w:rFonts w:cs="Times New Roman"/>
          <w:lang w:val="fr-CA"/>
        </w:rPr>
        <w:t>erminer chacun des membres (mémoire en réponse</w:t>
      </w:r>
      <w:r w:rsidRPr="00737F76">
        <w:rPr>
          <w:rFonts w:cs="Times New Roman"/>
          <w:lang w:val="fr-CA"/>
        </w:rPr>
        <w:t xml:space="preserve">, par. 72).  Je conviens qu’il n’est pas nécessaire que chaque membre soit connu au début de l’instance pour que le recours puisse être certifié.  Toutefois, aux termes de la Loi, le tribunal ne certifie le recours que s’il </w:t>
      </w:r>
      <w:r w:rsidR="00CB60FB" w:rsidRPr="00737F76">
        <w:rPr>
          <w:rFonts w:cs="Times New Roman"/>
          <w:lang w:val="fr-CA"/>
        </w:rPr>
        <w:t>[</w:t>
      </w:r>
      <w:r w:rsidR="00CB60FB" w:rsidRPr="00737F76">
        <w:rPr>
          <w:rFonts w:cs="Times New Roman"/>
          <w:smallCaps/>
          <w:lang w:val="fr-CA"/>
        </w:rPr>
        <w:t>traduction</w:t>
      </w:r>
      <w:r w:rsidR="00CB60FB" w:rsidRPr="00737F76">
        <w:rPr>
          <w:rFonts w:cs="Times New Roman"/>
          <w:lang w:val="fr-CA"/>
        </w:rPr>
        <w:t xml:space="preserve">] </w:t>
      </w:r>
      <w:r w:rsidRPr="00737F76">
        <w:rPr>
          <w:rFonts w:cs="Times New Roman"/>
          <w:lang w:val="fr-CA"/>
        </w:rPr>
        <w:t xml:space="preserve">« existe un groupe identifiable de </w:t>
      </w:r>
      <w:r w:rsidR="009D6558">
        <w:rPr>
          <w:rFonts w:cs="Times New Roman"/>
          <w:lang w:val="fr-CA"/>
        </w:rPr>
        <w:t>2</w:t>
      </w:r>
      <w:r w:rsidRPr="00737F76">
        <w:rPr>
          <w:rFonts w:cs="Times New Roman"/>
          <w:lang w:val="fr-CA"/>
        </w:rPr>
        <w:t xml:space="preserve"> personnes ou plus » (al. 4(1)</w:t>
      </w:r>
      <w:r w:rsidR="009F7F33">
        <w:rPr>
          <w:rFonts w:cs="Times New Roman"/>
          <w:lang w:val="fr-CA"/>
        </w:rPr>
        <w:t>(</w:t>
      </w:r>
      <w:r w:rsidRPr="00737F76">
        <w:rPr>
          <w:rFonts w:cs="Times New Roman"/>
          <w:lang w:val="fr-CA"/>
        </w:rPr>
        <w:t>b)), entre autres conditions.  En l’espèce, le problème est le suivant.  La représentante des acheteurs indirects n’a produit aucune preuve qu’un certain fondement factuel sous</w:t>
      </w:r>
      <w:r w:rsidRPr="00737F76">
        <w:rPr>
          <w:rFonts w:cs="Times New Roman"/>
          <w:lang w:val="fr-CA"/>
        </w:rPr>
        <w:noBreakHyphen/>
        <w:t>tend l’hypothèse selon laquelle deux personnes ou plus pourraient démontrer l’achat au cours de la période visée par le recours d’un produit contenant bel et bien du SMHTF, et démontrer ainsi leur appartenance à un groupe identifiable.</w:t>
      </w:r>
    </w:p>
    <w:p w:rsidR="00741557" w:rsidRPr="00737F76" w:rsidRDefault="00741557" w:rsidP="00741557">
      <w:pPr>
        <w:pStyle w:val="ParaNoNdepar-AltN"/>
        <w:rPr>
          <w:rFonts w:cs="Times New Roman"/>
          <w:lang w:val="fr-CA"/>
        </w:rPr>
      </w:pPr>
      <w:r w:rsidRPr="00737F76">
        <w:rPr>
          <w:rFonts w:cs="Times New Roman"/>
          <w:lang w:val="fr-CA"/>
        </w:rPr>
        <w:t>La juge Karakatsanis est d’avis qu’un certain fondement factuel permet de conclure que des acheteurs indirects pourraient prouver avoir probablement acquis des produits contenant du SMHTF (par. 115).  Malgré tout le respect que je porte à ma collègue, je constate qu’aucun fondement factuel ne démontre qu’un seul des acheteurs indirects le pourrait.  Permettre la certification du recours dans de telles circonstances équivaudrait à substituer à la norme de preuve applicable aux critères de certification, c’est</w:t>
      </w:r>
      <w:r w:rsidRPr="00737F76">
        <w:rPr>
          <w:rFonts w:cs="Times New Roman"/>
          <w:lang w:val="fr-CA"/>
        </w:rPr>
        <w:noBreakHyphen/>
        <w:t>à</w:t>
      </w:r>
      <w:r w:rsidRPr="00737F76">
        <w:rPr>
          <w:rFonts w:cs="Times New Roman"/>
          <w:lang w:val="fr-CA"/>
        </w:rPr>
        <w:noBreakHyphen/>
        <w:t>dire celle d’un certain fondement factuel, celle des simples conjectures.</w:t>
      </w:r>
    </w:p>
    <w:p w:rsidR="00741557" w:rsidRPr="00737F76" w:rsidRDefault="00741557" w:rsidP="00741557">
      <w:pPr>
        <w:pStyle w:val="ParaNoNdepar-AltN"/>
        <w:rPr>
          <w:rFonts w:cs="Times New Roman"/>
          <w:lang w:val="fr-CA"/>
        </w:rPr>
      </w:pPr>
      <w:r w:rsidRPr="00737F76">
        <w:rPr>
          <w:rFonts w:cs="Times New Roman"/>
          <w:lang w:val="fr-CA"/>
        </w:rPr>
        <w:t xml:space="preserve">Pour reprendre les propos de ma collègue, « la preuve d’expert peut présenter une méthode valable et acceptable offrant une possibilité réaliste d’établir la perte pour l’ensemble du groupe » (par. 108).  Cependant, même si le juge saisi de la </w:t>
      </w:r>
      <w:r w:rsidRPr="00737F76">
        <w:rPr>
          <w:rFonts w:cs="Times New Roman"/>
          <w:lang w:val="fr-CA"/>
        </w:rPr>
        <w:lastRenderedPageBreak/>
        <w:t>demande de certification est convaincu, à la lumière de la preuve d’expert, que le groupe en entier a subi le préjudice, cela n’empêche pas qu’il doive être convaincu de même qu’un certain fondement factuel établit qu’au moins deux personnes sont en mesure de prouver la perte.</w:t>
      </w:r>
    </w:p>
    <w:p w:rsidR="00741557" w:rsidRPr="00737F76" w:rsidRDefault="00741557" w:rsidP="00741557">
      <w:pPr>
        <w:pStyle w:val="ParaNoNdepar-AltN"/>
        <w:rPr>
          <w:rFonts w:cs="Times New Roman"/>
          <w:lang w:val="fr-CA"/>
        </w:rPr>
      </w:pPr>
      <w:r w:rsidRPr="00737F76">
        <w:rPr>
          <w:rFonts w:cs="Times New Roman"/>
          <w:lang w:val="fr-CA"/>
        </w:rPr>
        <w:t>Un élément essentiel de tout recours collectif est la nécessité pour deux personnes ou plus d’être visées par la définition.  Si, comme en l’espèce, aucun fondement factuel ne permet de démontrer que c’est le cas, le recours ne peut être certifié puisqu’il n’est pas satisfait au critère relatif à l’existence d’</w:t>
      </w:r>
      <w:r w:rsidR="009D6558" w:rsidRPr="00737F76">
        <w:rPr>
          <w:rFonts w:cs="Times New Roman"/>
          <w:lang w:val="fr-CA"/>
        </w:rPr>
        <w:t>[</w:t>
      </w:r>
      <w:r w:rsidR="009D6558" w:rsidRPr="00737F76">
        <w:rPr>
          <w:rFonts w:cs="Times New Roman"/>
          <w:smallCaps/>
          <w:lang w:val="fr-CA"/>
        </w:rPr>
        <w:t>traduction</w:t>
      </w:r>
      <w:r w:rsidR="009D6558" w:rsidRPr="00737F76">
        <w:rPr>
          <w:rFonts w:cs="Times New Roman"/>
          <w:lang w:val="fr-CA"/>
        </w:rPr>
        <w:t xml:space="preserve">] </w:t>
      </w:r>
      <w:r w:rsidRPr="00737F76">
        <w:rPr>
          <w:rFonts w:cs="Times New Roman"/>
          <w:lang w:val="fr-CA"/>
        </w:rPr>
        <w:t xml:space="preserve">« un groupe identifiable de </w:t>
      </w:r>
      <w:r w:rsidR="009D6558">
        <w:rPr>
          <w:rFonts w:cs="Times New Roman"/>
          <w:lang w:val="fr-CA"/>
        </w:rPr>
        <w:t>2</w:t>
      </w:r>
      <w:r w:rsidRPr="00737F76">
        <w:rPr>
          <w:rFonts w:cs="Times New Roman"/>
          <w:lang w:val="fr-CA"/>
        </w:rPr>
        <w:t> personnes ou plus ».  Aucune preuve d’expert établissant le préjudice causé par les défenderesses au groupe en entier, si abondante soit</w:t>
      </w:r>
      <w:r w:rsidRPr="00737F76">
        <w:rPr>
          <w:rFonts w:cs="Times New Roman"/>
          <w:lang w:val="fr-CA"/>
        </w:rPr>
        <w:noBreakHyphen/>
        <w:t xml:space="preserve">elle, ne pourrait faire disparaître cette exigence. </w:t>
      </w:r>
    </w:p>
    <w:p w:rsidR="00741557" w:rsidRPr="00737F76" w:rsidRDefault="00741557" w:rsidP="00741557">
      <w:pPr>
        <w:pStyle w:val="ParaNoNdepar-AltN"/>
        <w:rPr>
          <w:rFonts w:cs="Times New Roman"/>
          <w:lang w:val="fr-CA"/>
        </w:rPr>
      </w:pPr>
      <w:r w:rsidRPr="00737F76">
        <w:rPr>
          <w:rFonts w:cs="Times New Roman"/>
          <w:lang w:val="fr-CA"/>
        </w:rPr>
        <w:t xml:space="preserve">Il ne s’ensuit pas qu’il sera toujours impossible de conclure à l’existence d’un groupe identifiable dans des circonstances semblables à celles de la présente affaire.  Un tribunal pourrait déterminer qu’il existe un groupe identifiable au vu de preuves établissant qu’un certain fondement factuel permet de croire qu’au moins deux personnes pourraient démontrer avoir subi un préjudice individuel.  Ce qui pose problème en l’espèce, c’est l’absence d’une telle preuve. </w:t>
      </w:r>
    </w:p>
    <w:p w:rsidR="00741557" w:rsidRPr="00737F76" w:rsidRDefault="00741557" w:rsidP="00741557">
      <w:pPr>
        <w:pStyle w:val="ParaNoNdepar-AltN"/>
        <w:rPr>
          <w:rFonts w:cs="Times New Roman"/>
          <w:lang w:val="fr-CA"/>
        </w:rPr>
      </w:pPr>
      <w:r w:rsidRPr="00737F76">
        <w:rPr>
          <w:rFonts w:cs="Times New Roman"/>
          <w:lang w:val="fr-CA"/>
        </w:rPr>
        <w:t xml:space="preserve">Selon ma collègue, « si personne ne cherche à obtenir une réparation individuelle, il ne sera pas nécessaire de prouver une perte individuelle » (par. 97) et les dispositions de la </w:t>
      </w:r>
      <w:r w:rsidRPr="00737F76">
        <w:rPr>
          <w:rFonts w:cs="Times New Roman"/>
          <w:i/>
          <w:lang w:val="fr-CA"/>
        </w:rPr>
        <w:t>CPA</w:t>
      </w:r>
      <w:r w:rsidRPr="00737F76">
        <w:rPr>
          <w:rFonts w:cs="Times New Roman"/>
          <w:lang w:val="fr-CA"/>
        </w:rPr>
        <w:t xml:space="preserve"> autorisant l’octroi de dommages</w:t>
      </w:r>
      <w:r w:rsidRPr="00737F76">
        <w:rPr>
          <w:rFonts w:cs="Times New Roman"/>
          <w:lang w:val="fr-CA"/>
        </w:rPr>
        <w:noBreakHyphen/>
        <w:t>intérêts globaux permettent que soit intenté un r</w:t>
      </w:r>
      <w:r w:rsidR="009D6558">
        <w:rPr>
          <w:rFonts w:cs="Times New Roman"/>
          <w:lang w:val="fr-CA"/>
        </w:rPr>
        <w:t xml:space="preserve">ecours collectif dans le cas </w:t>
      </w:r>
      <w:r w:rsidRPr="00737F76">
        <w:rPr>
          <w:rFonts w:cs="Times New Roman"/>
          <w:lang w:val="fr-CA"/>
        </w:rPr>
        <w:t>« </w:t>
      </w:r>
      <w:r w:rsidR="009D6558">
        <w:rPr>
          <w:rFonts w:cs="Times New Roman"/>
          <w:lang w:val="fr-CA"/>
        </w:rPr>
        <w:t xml:space="preserve">où </w:t>
      </w:r>
      <w:r w:rsidRPr="00737F76">
        <w:rPr>
          <w:rFonts w:cs="Times New Roman"/>
          <w:lang w:val="fr-CA"/>
        </w:rPr>
        <w:t xml:space="preserve">la </w:t>
      </w:r>
      <w:r w:rsidRPr="00737F76">
        <w:rPr>
          <w:rFonts w:cs="Times New Roman"/>
          <w:i/>
          <w:lang w:val="fr-CA"/>
        </w:rPr>
        <w:t xml:space="preserve">responsabilité </w:t>
      </w:r>
      <w:r w:rsidRPr="00737F76">
        <w:rPr>
          <w:rFonts w:cs="Times New Roman"/>
          <w:i/>
          <w:lang w:val="fr-CA"/>
        </w:rPr>
        <w:lastRenderedPageBreak/>
        <w:t>envers le groupe</w:t>
      </w:r>
      <w:r w:rsidRPr="00737F76">
        <w:rPr>
          <w:rFonts w:cs="Times New Roman"/>
          <w:lang w:val="fr-CA"/>
        </w:rPr>
        <w:t xml:space="preserve"> a été démontrée, mais où l’appartenance au groupe est difficile ou impossible à établir » (par. 102 (en italique dans l’original)). </w:t>
      </w:r>
    </w:p>
    <w:p w:rsidR="00741557" w:rsidRPr="00737F76" w:rsidRDefault="00741557" w:rsidP="00741557">
      <w:pPr>
        <w:pStyle w:val="ParaNoNdepar-AltN"/>
        <w:rPr>
          <w:rFonts w:cs="Times New Roman"/>
          <w:lang w:val="fr-CA"/>
        </w:rPr>
      </w:pPr>
      <w:r w:rsidRPr="00737F76">
        <w:rPr>
          <w:rFonts w:cs="Times New Roman"/>
          <w:lang w:val="fr-CA"/>
        </w:rPr>
        <w:t xml:space="preserve">Si je comprends bien l’argument de ma collègue, dès lors que la responsabilité envers le groupe est démontrée, il n’est pas nécessaire de démontrer que quiconque appartient au groupe ou a subi un préjudice individuel.  Il découlerait nécessairement de ce qui précède que la législation régissant les recours collectifs agit sur la cause d’action.  Par exemple, l’art. 36 de la </w:t>
      </w:r>
      <w:r w:rsidRPr="00737F76">
        <w:rPr>
          <w:rFonts w:cs="Times New Roman"/>
          <w:i/>
          <w:lang w:val="fr-CA"/>
        </w:rPr>
        <w:t>Loi sur la concurrence</w:t>
      </w:r>
      <w:r w:rsidRPr="00737F76">
        <w:rPr>
          <w:rFonts w:cs="Times New Roman"/>
          <w:lang w:val="fr-CA"/>
        </w:rPr>
        <w:t xml:space="preserve"> donne un droit de recours à « [t]oute personne qui a subi une perte ou des dommages ».  Suivant la thèse de ma collègue, il pourrait y avoir recours collectif fondé sur l’art. 36 sans que qui que ce soit n’établisse avoir subi une perte ou des dommages.  Or, la </w:t>
      </w:r>
      <w:r w:rsidRPr="00737F76">
        <w:rPr>
          <w:rFonts w:cs="Times New Roman"/>
          <w:i/>
          <w:lang w:val="fr-CA"/>
        </w:rPr>
        <w:t>CPA</w:t>
      </w:r>
      <w:r w:rsidRPr="00737F76">
        <w:rPr>
          <w:rFonts w:cs="Times New Roman"/>
          <w:lang w:val="fr-CA"/>
        </w:rPr>
        <w:t xml:space="preserve"> n’a pas pour effet de modifier le fondement d’une cause d’action ni d’en créer de nouvelles; elle habilite les demandeurs ayant en commun une cause d’action à s’unir pour la faire valoir collectivement.  </w:t>
      </w:r>
    </w:p>
    <w:p w:rsidR="00741557" w:rsidRPr="00737F76" w:rsidRDefault="00741557" w:rsidP="00741557">
      <w:pPr>
        <w:pStyle w:val="ParaNoNdepar-AltN"/>
        <w:rPr>
          <w:rFonts w:cs="Times New Roman"/>
          <w:lang w:val="fr-CA"/>
        </w:rPr>
      </w:pPr>
      <w:r w:rsidRPr="00737F76">
        <w:rPr>
          <w:rFonts w:cs="Times New Roman"/>
          <w:lang w:val="fr-CA"/>
        </w:rPr>
        <w:t xml:space="preserve">Les dispositions de la </w:t>
      </w:r>
      <w:r w:rsidRPr="00FD337C">
        <w:rPr>
          <w:rFonts w:cs="Times New Roman"/>
          <w:i/>
          <w:lang w:val="fr-CA"/>
        </w:rPr>
        <w:t>CPA</w:t>
      </w:r>
      <w:r w:rsidRPr="00737F76">
        <w:rPr>
          <w:rFonts w:cs="Times New Roman"/>
          <w:lang w:val="fr-CA"/>
        </w:rPr>
        <w:t xml:space="preserve"> autorisant l’octroi de dommages</w:t>
      </w:r>
      <w:r w:rsidRPr="00737F76">
        <w:rPr>
          <w:rFonts w:cs="Times New Roman"/>
          <w:lang w:val="fr-CA"/>
        </w:rPr>
        <w:noBreakHyphen/>
        <w:t>intérêts globaux évitent au tribunal le calcul des dommages</w:t>
      </w:r>
      <w:r w:rsidRPr="00737F76">
        <w:rPr>
          <w:rFonts w:cs="Times New Roman"/>
          <w:lang w:val="fr-CA"/>
        </w:rPr>
        <w:noBreakHyphen/>
        <w:t>intérêts individuels et en permettent le versement suivant le principe de l’aussi</w:t>
      </w:r>
      <w:r w:rsidRPr="00737F76">
        <w:rPr>
          <w:rFonts w:cs="Times New Roman"/>
          <w:lang w:val="fr-CA"/>
        </w:rPr>
        <w:noBreakHyphen/>
        <w:t xml:space="preserve">près, plutôt qu’aux membres du groupe.  Cependant, dans les cas où les causes d’action proposées assujettissent la preuve de la responsabilité notamment à celle de la perte, le juge saisi de la demande de certification doit être convaincu qu’il existe un certain fondement factuel pour dire qu’au moins deux personnes sont en mesure de démontrer avoir essuyé une perte.  </w:t>
      </w:r>
      <w:r w:rsidRPr="00737F76">
        <w:rPr>
          <w:rFonts w:cs="Times New Roman"/>
          <w:lang w:val="fr-CA"/>
        </w:rPr>
        <w:lastRenderedPageBreak/>
        <w:t xml:space="preserve">Démontrer que le groupe en entier a subi le préjudice ne permet pas d’éliminer pareille exigence.  </w:t>
      </w:r>
    </w:p>
    <w:p w:rsidR="00741557" w:rsidRPr="00737F76" w:rsidRDefault="00741557" w:rsidP="00741557">
      <w:pPr>
        <w:pStyle w:val="Title3LevelTitre3Niveau"/>
        <w:keepNext/>
        <w:tabs>
          <w:tab w:val="clear" w:pos="864"/>
          <w:tab w:val="num" w:pos="1680"/>
        </w:tabs>
        <w:ind w:left="1670" w:hanging="475"/>
        <w:rPr>
          <w:rFonts w:cs="Times New Roman"/>
          <w:lang w:val="fr-CA"/>
        </w:rPr>
      </w:pPr>
      <w:bookmarkStart w:id="47" w:name="_Toc360612060"/>
      <w:bookmarkStart w:id="48" w:name="_Toc370805267"/>
      <w:r w:rsidRPr="00737F76">
        <w:rPr>
          <w:rFonts w:cs="Times New Roman"/>
          <w:lang w:val="fr-CA"/>
        </w:rPr>
        <w:t>Conclusion sur la question du groupe identifiable</w:t>
      </w:r>
      <w:bookmarkEnd w:id="47"/>
      <w:bookmarkEnd w:id="48"/>
    </w:p>
    <w:p w:rsidR="00741557" w:rsidRPr="00737F76" w:rsidRDefault="00741557" w:rsidP="00741557">
      <w:pPr>
        <w:pStyle w:val="ParaNoNdepar-AltN"/>
        <w:rPr>
          <w:rFonts w:cs="Times New Roman"/>
          <w:lang w:val="fr-CA"/>
        </w:rPr>
      </w:pPr>
      <w:r w:rsidRPr="00737F76">
        <w:rPr>
          <w:rFonts w:cs="Times New Roman"/>
          <w:lang w:val="fr-CA"/>
        </w:rPr>
        <w:t xml:space="preserve">Comme le mentionne la juge en chef McLachlin dans </w:t>
      </w:r>
      <w:r w:rsidRPr="00737F76">
        <w:rPr>
          <w:rFonts w:cs="Times New Roman"/>
          <w:i/>
          <w:lang w:val="fr-CA"/>
        </w:rPr>
        <w:t>Hollick</w:t>
      </w:r>
      <w:r w:rsidRPr="00737F76">
        <w:rPr>
          <w:rFonts w:cs="Times New Roman"/>
          <w:lang w:val="fr-CA"/>
        </w:rPr>
        <w:t xml:space="preserve">, l’étape de la certification vise à déterminer si, </w:t>
      </w:r>
      <w:r w:rsidR="004F1185">
        <w:rPr>
          <w:rFonts w:cs="Times New Roman"/>
          <w:lang w:val="fr-CA"/>
        </w:rPr>
        <w:t xml:space="preserve">sur le </w:t>
      </w:r>
      <w:r w:rsidRPr="00737F76">
        <w:rPr>
          <w:rFonts w:cs="Times New Roman"/>
          <w:lang w:val="fr-CA"/>
        </w:rPr>
        <w:t xml:space="preserve">plan de la forme, il vaut mieux procéder par recours collectif (par. 16).  En l’espèce, étant donné que les appelantes n’ont pas établi qu’un certain fondement factuel permettait de croire qu’au moins deux personnes peuvent démontrer qu’elles sont membres du groupe, j’estime ne pas pouvoir répondre à cette question par l’affirmative. </w:t>
      </w:r>
    </w:p>
    <w:p w:rsidR="00741557" w:rsidRPr="00737F76" w:rsidRDefault="00741557" w:rsidP="00741557">
      <w:pPr>
        <w:pStyle w:val="ParaNoNdepar-AltN"/>
        <w:rPr>
          <w:rFonts w:cs="Times New Roman"/>
          <w:lang w:val="fr-CA"/>
        </w:rPr>
      </w:pPr>
      <w:r w:rsidRPr="00737F76">
        <w:rPr>
          <w:rFonts w:cs="Times New Roman"/>
          <w:lang w:val="fr-CA"/>
        </w:rPr>
        <w:t>L’un des avantages du recours collectif est qu’il favorise l’économie des ressources</w:t>
      </w:r>
      <w:r w:rsidR="004F1185">
        <w:rPr>
          <w:rFonts w:cs="Times New Roman"/>
          <w:lang w:val="fr-CA"/>
        </w:rPr>
        <w:t xml:space="preserve"> judiciaires</w:t>
      </w:r>
      <w:r w:rsidRPr="00737F76">
        <w:rPr>
          <w:rFonts w:cs="Times New Roman"/>
          <w:lang w:val="fr-CA"/>
        </w:rPr>
        <w:t xml:space="preserve"> par le regroupement d’actions individuelles semblables (</w:t>
      </w:r>
      <w:r w:rsidRPr="00737F76">
        <w:rPr>
          <w:rFonts w:cs="Times New Roman"/>
          <w:i/>
          <w:lang w:val="fr-CA"/>
        </w:rPr>
        <w:t>Hollick</w:t>
      </w:r>
      <w:r w:rsidRPr="00737F76">
        <w:rPr>
          <w:rFonts w:cs="Times New Roman"/>
          <w:lang w:val="fr-CA"/>
        </w:rPr>
        <w:t xml:space="preserve">, par. 15; </w:t>
      </w:r>
      <w:r w:rsidRPr="00737F76">
        <w:rPr>
          <w:rFonts w:cs="Times New Roman"/>
          <w:i/>
          <w:lang w:val="fr-CA"/>
        </w:rPr>
        <w:t>Dutton</w:t>
      </w:r>
      <w:r w:rsidRPr="00737F76">
        <w:rPr>
          <w:rFonts w:cs="Times New Roman"/>
          <w:lang w:val="fr-CA"/>
        </w:rPr>
        <w:t>, par. 27).  À mon sens, cet objectif implique que le fondement sur lequel reposerait le recours individuel doit pouvoir se transposer au recours collectif.  Or, ce fondement fait défaut en l’espèce.</w:t>
      </w:r>
    </w:p>
    <w:p w:rsidR="00741557" w:rsidRPr="00737F76" w:rsidRDefault="00741557" w:rsidP="00741557">
      <w:pPr>
        <w:pStyle w:val="ParaNoNdepar-AltN"/>
        <w:rPr>
          <w:rFonts w:cs="Times New Roman"/>
          <w:lang w:val="fr-CA"/>
        </w:rPr>
      </w:pPr>
      <w:r w:rsidRPr="00737F76">
        <w:rPr>
          <w:rFonts w:cs="Times New Roman"/>
          <w:lang w:val="fr-CA"/>
        </w:rPr>
        <w:t xml:space="preserve">Je ne suis pas en désaccord avec la juge Karakatsanis selon qui la modification des comportements peut constituer un objectif des recours collectifs.  Or, la présente situation démontre qu’il ne convient pas toujours de procéder par recours collectif pour obtenir un tel résultat.  S’il se révèle impossible d’établir la perte ou les dommages attribuables à la fixation des prix, il peut être opportun pour le commissaire de la concurrence de porter des accusations contre les défendeurs en </w:t>
      </w:r>
      <w:r w:rsidRPr="00737F76">
        <w:rPr>
          <w:rFonts w:cs="Times New Roman"/>
          <w:lang w:val="fr-CA"/>
        </w:rPr>
        <w:lastRenderedPageBreak/>
        <w:t xml:space="preserve">vertu de sa loi habilitante.  Lorsqu’il intente une poursuite, le commissaire n’a qu’à établir la fixation des prix.  Point n’est besoin de démontrer le transfert de la perte ou de prouver qu’un consommateur donné a payé trop cher un certain produit.  On ne sait pas si le Bureau de la concurrence poursuivra les intimées en l’espèce.  Quoi qu’il en soit, cela ne change rien au fait que, dans un cas comme celui qui nous occupe, où il n’est pas satisfait aux critères de certification, il pourrait falloir envisager de telles poursuites si l’objectif recherché est la modification des comportements. </w:t>
      </w:r>
    </w:p>
    <w:p w:rsidR="00741557" w:rsidRPr="00737F76" w:rsidRDefault="00741557" w:rsidP="00741557">
      <w:pPr>
        <w:pStyle w:val="Title1LevelTitre1Niveau-AltL"/>
        <w:keepNext/>
        <w:rPr>
          <w:rFonts w:cs="Times New Roman"/>
          <w:lang w:val="fr-CA"/>
        </w:rPr>
      </w:pPr>
      <w:bookmarkStart w:id="49" w:name="_Toc360612061"/>
      <w:bookmarkStart w:id="50" w:name="_Toc370805268"/>
      <w:r w:rsidRPr="00737F76">
        <w:rPr>
          <w:rFonts w:cs="Times New Roman"/>
          <w:lang w:val="fr-CA"/>
        </w:rPr>
        <w:t>Conclusion</w:t>
      </w:r>
      <w:bookmarkEnd w:id="49"/>
      <w:bookmarkEnd w:id="50"/>
    </w:p>
    <w:p w:rsidR="00741557" w:rsidRPr="00D81841" w:rsidRDefault="00741557" w:rsidP="00741557">
      <w:pPr>
        <w:pStyle w:val="ParaNoNdepar-AltN"/>
        <w:rPr>
          <w:rFonts w:cs="Times New Roman"/>
          <w:lang w:val="fr-CA"/>
        </w:rPr>
      </w:pPr>
      <w:r w:rsidRPr="00737F76">
        <w:rPr>
          <w:rFonts w:cs="Times New Roman"/>
          <w:lang w:val="fr-CA"/>
        </w:rPr>
        <w:t>Puisqu’il est conclu à l’impossibilité d’établir l’existence d’un groupe identifiable composé des acheteurs indirects, le recours collectif dans leur cas ne peut être certifié.  Je suis d’avis de rejeter le pourvoi avec dépens.  Vu ma conclusion que les actes de procédure ne révèlent pas de cause d’action relative à la reconnaissance d’une fiducie par interprétation, la demande des acheteurs directs est vouée à l’échec et doit être rejetée.  Le recours collectif, quant aux acheteurs directs, ne peut être certifié.  L’appel incident est accueilli avec dépens.</w:t>
      </w:r>
    </w:p>
    <w:p w:rsidR="00923AE6" w:rsidRPr="00923AE6" w:rsidRDefault="00741557" w:rsidP="006E36ED">
      <w:pPr>
        <w:pStyle w:val="JudgeJuge"/>
        <w:spacing w:before="480"/>
        <w:rPr>
          <w:smallCaps w:val="0"/>
          <w:lang w:val="fr-CA"/>
        </w:rPr>
      </w:pPr>
      <w:r w:rsidRPr="00297869">
        <w:rPr>
          <w:lang w:val="fr-CA"/>
        </w:rPr>
        <w:tab/>
      </w:r>
      <w:r w:rsidR="00923AE6" w:rsidRPr="00923AE6">
        <w:rPr>
          <w:smallCaps w:val="0"/>
          <w:lang w:val="fr-CA"/>
        </w:rPr>
        <w:t>Version française des motifs des juges Cromwell et Karakatsanis rendus par</w:t>
      </w:r>
    </w:p>
    <w:p w:rsidR="00741557" w:rsidRPr="00297869" w:rsidRDefault="00923AE6" w:rsidP="00741557">
      <w:pPr>
        <w:pStyle w:val="JudgeJuge"/>
        <w:spacing w:before="480" w:line="240" w:lineRule="auto"/>
        <w:rPr>
          <w:lang w:val="fr-CA"/>
        </w:rPr>
      </w:pPr>
      <w:r>
        <w:rPr>
          <w:lang w:val="fr-CA"/>
        </w:rPr>
        <w:tab/>
      </w:r>
      <w:r w:rsidR="006E36ED">
        <w:rPr>
          <w:lang w:val="fr-CA"/>
        </w:rPr>
        <w:t>La juge Karakatsanis</w:t>
      </w:r>
      <w:r w:rsidR="00E174CD">
        <w:rPr>
          <w:lang w:val="fr-CA"/>
        </w:rPr>
        <w:t xml:space="preserve"> </w:t>
      </w:r>
      <w:r w:rsidR="00E174CD" w:rsidRPr="00E174CD">
        <w:rPr>
          <w:smallCaps w:val="0"/>
          <w:lang w:val="fr-CA"/>
        </w:rPr>
        <w:t>(dissidente quant au pourvoi)</w:t>
      </w:r>
      <w:r w:rsidR="00E174CD">
        <w:rPr>
          <w:lang w:val="fr-CA"/>
        </w:rPr>
        <w:t xml:space="preserve"> </w:t>
      </w:r>
      <w:r w:rsidR="006E36ED">
        <w:rPr>
          <w:lang w:val="fr-CA"/>
        </w:rPr>
        <w:t xml:space="preserve"> </w:t>
      </w:r>
      <w:r w:rsidR="00741557" w:rsidRPr="00297869">
        <w:rPr>
          <w:lang w:val="fr-CA"/>
        </w:rPr>
        <w:t xml:space="preserve">— </w:t>
      </w:r>
    </w:p>
    <w:p w:rsidR="00741557" w:rsidRPr="00582D9A" w:rsidRDefault="00741557" w:rsidP="00582D9A">
      <w:pPr>
        <w:pStyle w:val="Title1LevelTitre1Niveau-AltL"/>
        <w:keepNext/>
        <w:numPr>
          <w:ilvl w:val="0"/>
          <w:numId w:val="38"/>
        </w:numPr>
        <w:rPr>
          <w:rFonts w:cs="Times New Roman"/>
        </w:rPr>
      </w:pPr>
      <w:r w:rsidRPr="00582D9A">
        <w:rPr>
          <w:rFonts w:cs="Times New Roman"/>
        </w:rPr>
        <w:lastRenderedPageBreak/>
        <w:t>Aperçu</w:t>
      </w:r>
    </w:p>
    <w:p w:rsidR="00741557" w:rsidRPr="00297869" w:rsidRDefault="00741557" w:rsidP="00741557">
      <w:pPr>
        <w:pStyle w:val="ParaNoNdepar-AltN"/>
        <w:rPr>
          <w:rFonts w:cs="Times New Roman"/>
          <w:lang w:val="fr-CA"/>
        </w:rPr>
      </w:pPr>
      <w:r w:rsidRPr="00297869">
        <w:rPr>
          <w:rFonts w:cs="Times New Roman"/>
          <w:lang w:val="fr-CA"/>
        </w:rPr>
        <w:t>Je ne souscris pas à la conclusion de mon collègue selon laquelle le recours des acheteurs indirects ne satisfait pas à la condition de certification prévue à l’al. 4(1)</w:t>
      </w:r>
      <w:r w:rsidR="009F7F33">
        <w:rPr>
          <w:rFonts w:cs="Times New Roman"/>
          <w:lang w:val="fr-CA"/>
        </w:rPr>
        <w:t>(</w:t>
      </w:r>
      <w:r w:rsidRPr="00297869">
        <w:rPr>
          <w:rFonts w:cs="Times New Roman"/>
          <w:lang w:val="fr-CA"/>
        </w:rPr>
        <w:t xml:space="preserve">b) de la </w:t>
      </w:r>
      <w:r w:rsidRPr="00297869">
        <w:rPr>
          <w:rFonts w:cs="Times New Roman"/>
          <w:i/>
          <w:lang w:val="fr-CA"/>
        </w:rPr>
        <w:t>Class Proceedings Act</w:t>
      </w:r>
      <w:r w:rsidRPr="00297869">
        <w:rPr>
          <w:rFonts w:cs="Times New Roman"/>
          <w:lang w:val="fr-CA"/>
        </w:rPr>
        <w:t>, R.S.B.C. 1996, ch. 50 (</w:t>
      </w:r>
      <w:r w:rsidRPr="00297869">
        <w:rPr>
          <w:rFonts w:cs="Times New Roman"/>
          <w:i/>
          <w:lang w:val="fr-CA"/>
        </w:rPr>
        <w:t>CPA</w:t>
      </w:r>
      <w:r w:rsidRPr="00297869">
        <w:rPr>
          <w:rFonts w:cs="Times New Roman"/>
          <w:lang w:val="fr-CA"/>
        </w:rPr>
        <w:t xml:space="preserve">).  Selon moi, un « certain fondement factuel » permet de conclure à l’existence d’un </w:t>
      </w:r>
      <w:r w:rsidR="003512C1" w:rsidRPr="00737F76">
        <w:rPr>
          <w:rFonts w:cs="Times New Roman"/>
          <w:lang w:val="fr-CA"/>
        </w:rPr>
        <w:t>[</w:t>
      </w:r>
      <w:r w:rsidR="003512C1" w:rsidRPr="00737F76">
        <w:rPr>
          <w:rFonts w:cs="Times New Roman"/>
          <w:smallCaps/>
          <w:lang w:val="fr-CA"/>
        </w:rPr>
        <w:t>traduction</w:t>
      </w:r>
      <w:r w:rsidR="003512C1" w:rsidRPr="00737F76">
        <w:rPr>
          <w:rFonts w:cs="Times New Roman"/>
          <w:lang w:val="fr-CA"/>
        </w:rPr>
        <w:t>]</w:t>
      </w:r>
      <w:r w:rsidR="003512C1" w:rsidRPr="00297869">
        <w:rPr>
          <w:rFonts w:cs="Times New Roman"/>
          <w:lang w:val="fr-CA"/>
        </w:rPr>
        <w:t xml:space="preserve"> </w:t>
      </w:r>
      <w:r w:rsidRPr="00297869">
        <w:rPr>
          <w:rFonts w:cs="Times New Roman"/>
          <w:lang w:val="fr-CA"/>
        </w:rPr>
        <w:t xml:space="preserve">« groupe identifiable de </w:t>
      </w:r>
      <w:r w:rsidR="001C1B5E">
        <w:rPr>
          <w:rFonts w:cs="Times New Roman"/>
          <w:lang w:val="fr-CA"/>
        </w:rPr>
        <w:t xml:space="preserve">2 </w:t>
      </w:r>
      <w:r w:rsidRPr="00297869">
        <w:rPr>
          <w:rFonts w:cs="Times New Roman"/>
          <w:lang w:val="fr-CA"/>
        </w:rPr>
        <w:t>personnes ou plus ».  Je suis donc d’avis d’accueillir le pourvoi et de renvoyer l’affaire à la Cour suprême de la Colombie</w:t>
      </w:r>
      <w:r w:rsidRPr="00297869">
        <w:rPr>
          <w:rFonts w:cs="Times New Roman"/>
          <w:lang w:val="fr-CA"/>
        </w:rPr>
        <w:noBreakHyphen/>
        <w:t>Britannique pour instruction.</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La définition du groupe proposée par les appelantes comprend [</w:t>
      </w:r>
      <w:r w:rsidRPr="00297869">
        <w:rPr>
          <w:rFonts w:cs="Times New Roman"/>
          <w:smallCaps/>
          <w:lang w:val="fr-CA"/>
        </w:rPr>
        <w:t>traduction</w:t>
      </w:r>
      <w:r w:rsidRPr="00297869">
        <w:rPr>
          <w:rFonts w:cs="Times New Roman"/>
          <w:lang w:val="fr-CA"/>
        </w:rPr>
        <w:t>] « tous les résidants de la Colombie</w:t>
      </w:r>
      <w:r w:rsidRPr="00297869">
        <w:rPr>
          <w:rFonts w:cs="Times New Roman"/>
          <w:lang w:val="fr-CA"/>
        </w:rPr>
        <w:noBreakHyphen/>
        <w:t>Britannique et d’ailleurs au Canada qui ont acheté du SMHTF fabriqué par les défenderesses ou des produits en contenant (collectivement le “groupe”) entre le 1</w:t>
      </w:r>
      <w:r w:rsidRPr="00297869">
        <w:rPr>
          <w:rFonts w:cs="Times New Roman"/>
          <w:vertAlign w:val="superscript"/>
          <w:lang w:val="fr-CA"/>
        </w:rPr>
        <w:t>er</w:t>
      </w:r>
      <w:r w:rsidRPr="00297869">
        <w:rPr>
          <w:rFonts w:cs="Times New Roman"/>
          <w:lang w:val="fr-CA"/>
        </w:rPr>
        <w:t> janvier 1988 et le 30 juin 1995 (la “période visée par le recours”) » (2010 BCSC 922 (CanLII), par. 2).</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Ce groupe comprend à la fois les acheteurs directs et les acheteurs indirects du sirop de maïs à haute teneur en fructose (SMHTF) dont on aurait fixé le prix.  Il faut se demander en l’espèce si un groupe qui comprendrait les acheteurs indirects, à savoir les détaillants et les consommateurs ayant acquis des produits contenant du SMHTF, peut être reconnu comme étant identifiable.</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 xml:space="preserve">Le juge Rothstein fait remarquer que cette définition du groupe semble a priori satisfaire aux exigences d’un groupe identifiable.  Elle repose sur des critères </w:t>
      </w:r>
      <w:r w:rsidRPr="00297869">
        <w:rPr>
          <w:rFonts w:cs="Times New Roman"/>
          <w:lang w:val="fr-CA"/>
        </w:rPr>
        <w:lastRenderedPageBreak/>
        <w:t>objectifs, n’est pas fonction du bien</w:t>
      </w:r>
      <w:r w:rsidRPr="00297869">
        <w:rPr>
          <w:rFonts w:cs="Times New Roman"/>
          <w:lang w:val="fr-CA"/>
        </w:rPr>
        <w:noBreakHyphen/>
        <w:t>fondé du recours et ne peut être restreinte sans que soient exclus des membres susceptibles d’avoir un droit de recours valable (</w:t>
      </w:r>
      <w:r w:rsidRPr="00297869">
        <w:rPr>
          <w:rFonts w:cs="Times New Roman"/>
          <w:i/>
          <w:iCs/>
          <w:lang w:val="fr-CA"/>
        </w:rPr>
        <w:t>Western Canadian Shopping Centres Inc. c. Dutton</w:t>
      </w:r>
      <w:r w:rsidRPr="00297869">
        <w:rPr>
          <w:rFonts w:cs="Times New Roman"/>
          <w:lang w:val="fr-CA"/>
        </w:rPr>
        <w:t>, 2001 CSC 46, [2001] 2 R.C.S. 534, par. 38).  Cependant, un groupe incluant les acheteurs indirects est contesté au motif qu’il ne sera possible pour aucun d’eux de déterminer s’il a acheté un produit contenant du SMHTF et s’il est donc membre du groupe.  La Cour n’est pas appelée à trancher la question de savoir si le choix de la représentante des demandeurs est convenable.</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Selon le juge Rothstein, aucun fondement factuel ne permet de reconnaître l’existence du groupe, parce que la preuve ne montre guère que les membres du groupe pourront être déterminés ou</w:t>
      </w:r>
      <w:r w:rsidR="00275BF0">
        <w:rPr>
          <w:rFonts w:cs="Times New Roman"/>
          <w:lang w:val="fr-CA"/>
        </w:rPr>
        <w:t xml:space="preserve"> se reconnaître comme tels (</w:t>
      </w:r>
      <w:r w:rsidRPr="00297869">
        <w:rPr>
          <w:rFonts w:cs="Times New Roman"/>
          <w:lang w:val="fr-CA"/>
        </w:rPr>
        <w:t>par. 58 et 65</w:t>
      </w:r>
      <w:r w:rsidRPr="00297869">
        <w:rPr>
          <w:rFonts w:cs="Times New Roman"/>
          <w:lang w:val="fr-CA"/>
        </w:rPr>
        <w:noBreakHyphen/>
        <w:t>67).  Il conclut qu’il est impossible pour les acheteurs indirects de prouver qu’ils ont acheté un produit contenant du SMHTF et qu’ils ont donc subi une perte.</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 xml:space="preserve">Je ne souscris pas à cette conclusion pour deux motifs.  Premièrement, je ne suis pas convaincue que pour qu’il y ait un groupe identifiable, il faut que chacun des membres du groupe soit en mesure d’établir une perte individuelle.  En fait, comme nous le verrons, la </w:t>
      </w:r>
      <w:r w:rsidRPr="00297869">
        <w:rPr>
          <w:rFonts w:cs="Times New Roman"/>
          <w:i/>
          <w:lang w:val="fr-CA"/>
        </w:rPr>
        <w:t>CPA</w:t>
      </w:r>
      <w:r w:rsidRPr="00297869">
        <w:rPr>
          <w:rFonts w:cs="Times New Roman"/>
          <w:lang w:val="fr-CA"/>
        </w:rPr>
        <w:t xml:space="preserve"> prévoit que des mesures de réparation peuvent être accordées lorsque le </w:t>
      </w:r>
      <w:r w:rsidRPr="00297869">
        <w:rPr>
          <w:rFonts w:cs="Times New Roman"/>
          <w:i/>
          <w:lang w:val="fr-CA"/>
        </w:rPr>
        <w:t>groupe</w:t>
      </w:r>
      <w:r w:rsidRPr="00297869">
        <w:rPr>
          <w:rFonts w:cs="Times New Roman"/>
          <w:lang w:val="fr-CA"/>
        </w:rPr>
        <w:t xml:space="preserve"> a subi un préjudice, sans qu’il soit nécessaire d’établir une perte individuelle.  C’est là l’approche qui répond le mieux aux objectifs des recours collectifs, lesquels visent à favoriser non seulement l’accès à la justice et l’économie des ressources judiciaires, mais aussi la modification des comportements.</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lastRenderedPageBreak/>
        <w:t xml:space="preserve">Deuxièmement, même si la preuve d’une perte individuelle était nécessaire pour que soit établie l’existence d’un groupe identifiable sous le régime de la </w:t>
      </w:r>
      <w:r w:rsidRPr="00297869">
        <w:rPr>
          <w:rFonts w:cs="Times New Roman"/>
          <w:i/>
          <w:lang w:val="fr-CA"/>
        </w:rPr>
        <w:t>CPA</w:t>
      </w:r>
      <w:r w:rsidRPr="00297869">
        <w:rPr>
          <w:rFonts w:cs="Times New Roman"/>
          <w:lang w:val="fr-CA"/>
        </w:rPr>
        <w:t>, je ne crois pas, au vu du dossier, qu’il sera impossible de déterminer l’appartenance d’une personne donnée au groupe.</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Le juge saisi de la demande, le juge Rice, a conclu que les appelantes avaient satisfait à l’exigence relative à l’existence d’un groupe ident</w:t>
      </w:r>
      <w:r w:rsidR="00AD29A9">
        <w:rPr>
          <w:rFonts w:cs="Times New Roman"/>
          <w:lang w:val="fr-CA"/>
        </w:rPr>
        <w:t>ifiable</w:t>
      </w:r>
      <w:r w:rsidRPr="00297869">
        <w:rPr>
          <w:rFonts w:cs="Times New Roman"/>
          <w:i/>
          <w:lang w:val="fr-CA"/>
        </w:rPr>
        <w:t xml:space="preserve">. </w:t>
      </w:r>
      <w:r w:rsidRPr="00297869">
        <w:rPr>
          <w:rFonts w:cs="Times New Roman"/>
          <w:lang w:val="fr-CA"/>
        </w:rPr>
        <w:t xml:space="preserve"> La Cour d’appel n’a pas examiné cette question (2011 BCCA 187, 305 B.C.A.C. 55).  Pour les motifs qui suivent, j’estime que rien ne permet d’annuler la décision du premier.</w:t>
      </w:r>
    </w:p>
    <w:p w:rsidR="00741557" w:rsidRPr="00297869" w:rsidRDefault="00741557" w:rsidP="006E36ED">
      <w:pPr>
        <w:pStyle w:val="Title1LevelTitre1Niveau-AltL"/>
        <w:keepNext/>
        <w:tabs>
          <w:tab w:val="clear" w:pos="432"/>
          <w:tab w:val="num" w:pos="540"/>
        </w:tabs>
        <w:ind w:left="540" w:hanging="540"/>
        <w:rPr>
          <w:rFonts w:cs="Times New Roman"/>
          <w:lang w:val="fr-CA"/>
        </w:rPr>
      </w:pPr>
      <w:r w:rsidRPr="00297869">
        <w:rPr>
          <w:rFonts w:cs="Times New Roman"/>
          <w:lang w:val="fr-CA"/>
        </w:rPr>
        <w:t>Conditions préalables à la reconnaissance du groupe — principes généraux</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Aux termes de l’al. 4(1)</w:t>
      </w:r>
      <w:r w:rsidR="009F7F33">
        <w:rPr>
          <w:rFonts w:cs="Times New Roman"/>
          <w:lang w:val="fr-CA"/>
        </w:rPr>
        <w:t>(</w:t>
      </w:r>
      <w:r w:rsidRPr="00297869">
        <w:rPr>
          <w:rFonts w:cs="Times New Roman"/>
          <w:lang w:val="fr-CA"/>
        </w:rPr>
        <w:t xml:space="preserve">b) de la </w:t>
      </w:r>
      <w:r w:rsidRPr="00297869">
        <w:rPr>
          <w:rFonts w:cs="Times New Roman"/>
          <w:i/>
          <w:lang w:val="fr-CA"/>
        </w:rPr>
        <w:t>CPA</w:t>
      </w:r>
      <w:r w:rsidRPr="00297869">
        <w:rPr>
          <w:rFonts w:cs="Times New Roman"/>
          <w:lang w:val="fr-CA"/>
        </w:rPr>
        <w:t xml:space="preserve">, il doit y avoir </w:t>
      </w:r>
      <w:r w:rsidR="00AD29A9" w:rsidRPr="00737F76">
        <w:rPr>
          <w:rFonts w:cs="Times New Roman"/>
          <w:lang w:val="fr-CA"/>
        </w:rPr>
        <w:t>[</w:t>
      </w:r>
      <w:r w:rsidR="00AD29A9" w:rsidRPr="00737F76">
        <w:rPr>
          <w:rFonts w:cs="Times New Roman"/>
          <w:smallCaps/>
          <w:lang w:val="fr-CA"/>
        </w:rPr>
        <w:t>traduction</w:t>
      </w:r>
      <w:r w:rsidR="00AD29A9" w:rsidRPr="00737F76">
        <w:rPr>
          <w:rFonts w:cs="Times New Roman"/>
          <w:lang w:val="fr-CA"/>
        </w:rPr>
        <w:t>]</w:t>
      </w:r>
      <w:r w:rsidR="00AD29A9" w:rsidRPr="00297869">
        <w:rPr>
          <w:rFonts w:cs="Times New Roman"/>
          <w:lang w:val="fr-CA"/>
        </w:rPr>
        <w:t xml:space="preserve"> </w:t>
      </w:r>
      <w:r w:rsidRPr="00297869">
        <w:rPr>
          <w:rFonts w:cs="Times New Roman"/>
          <w:lang w:val="fr-CA"/>
        </w:rPr>
        <w:t xml:space="preserve">« un groupe identifiable de </w:t>
      </w:r>
      <w:r w:rsidR="00AD29A9">
        <w:rPr>
          <w:rFonts w:cs="Times New Roman"/>
          <w:lang w:val="fr-CA"/>
        </w:rPr>
        <w:t>2</w:t>
      </w:r>
      <w:r w:rsidRPr="00297869">
        <w:rPr>
          <w:rFonts w:cs="Times New Roman"/>
          <w:lang w:val="fr-CA"/>
        </w:rPr>
        <w:t xml:space="preserve"> personnes ou plus ».</w:t>
      </w:r>
    </w:p>
    <w:p w:rsidR="00741557" w:rsidRPr="00297869" w:rsidRDefault="00741557" w:rsidP="00741557">
      <w:pPr>
        <w:pStyle w:val="ParaNoNdepar-AltN"/>
        <w:tabs>
          <w:tab w:val="clear" w:pos="1152"/>
          <w:tab w:val="left" w:pos="1166"/>
        </w:tabs>
        <w:rPr>
          <w:rFonts w:eastAsia="Times New Roman" w:cs="Times New Roman"/>
          <w:lang w:val="fr-CA"/>
        </w:rPr>
      </w:pPr>
      <w:r w:rsidRPr="00297869">
        <w:rPr>
          <w:rFonts w:eastAsia="Times New Roman" w:cs="Times New Roman"/>
          <w:lang w:val="fr-CA"/>
        </w:rPr>
        <w:t>Dans l’arrêt</w:t>
      </w:r>
      <w:r w:rsidRPr="00297869">
        <w:rPr>
          <w:rFonts w:cs="Times New Roman"/>
          <w:lang w:val="fr-CA"/>
        </w:rPr>
        <w:t xml:space="preserve"> </w:t>
      </w:r>
      <w:r w:rsidRPr="00297869">
        <w:rPr>
          <w:rFonts w:cs="Times New Roman"/>
          <w:i/>
          <w:iCs/>
          <w:lang w:val="fr-CA"/>
        </w:rPr>
        <w:t>Dutton</w:t>
      </w:r>
      <w:r w:rsidRPr="00297869">
        <w:rPr>
          <w:rFonts w:eastAsia="Times New Roman" w:cs="Times New Roman"/>
          <w:lang w:val="fr-CA"/>
        </w:rPr>
        <w:t>, la Cour examine la condition de certification relative à l’existence d’un groupe identifiable</w:t>
      </w:r>
      <w:r w:rsidRPr="00297869">
        <w:rPr>
          <w:rFonts w:cs="Times New Roman"/>
          <w:lang w:val="fr-CA"/>
        </w:rPr>
        <w:t xml:space="preserve"> (par. 38) :</w:t>
      </w:r>
    </w:p>
    <w:p w:rsidR="00741557" w:rsidRPr="00297869" w:rsidRDefault="00741557" w:rsidP="00741557">
      <w:pPr>
        <w:pStyle w:val="Citation-AltC"/>
        <w:ind w:hanging="1166"/>
        <w:rPr>
          <w:lang w:val="fr-CA"/>
        </w:rPr>
      </w:pPr>
      <w:r w:rsidRPr="00297869">
        <w:rPr>
          <w:lang w:val="fr-CA"/>
        </w:rPr>
        <w:tab/>
        <w:t xml:space="preserve">Premièrement, le groupe doit pouvoir être clairement défini.  La définition du groupe est essentielle parce qu’elle précise qui a droit aux avis, qui a droit à la réparation (si une réparation est accordée), et qui est lié par le jugement.  Il est donc primordial que le groupe puisse être clairement défini au début du litige.  La définition devrait énoncer des critères objectifs permettant d’identifier les membres du groupe.  Les critères devraient avoir un rapport rationnel avec les revendications communes à tous les membres du groupe mais ne devraient pas dépendre de l’issue du litige.  Il n’est pas nécessaire que tous les membres du groupe soient nommés ou connus.  Il est toutefois nécessaire que </w:t>
      </w:r>
      <w:r w:rsidRPr="00297869">
        <w:rPr>
          <w:lang w:val="fr-CA"/>
        </w:rPr>
        <w:lastRenderedPageBreak/>
        <w:t>l’appartenance d’une personne au groupe puisse être déterminée sur des cr</w:t>
      </w:r>
      <w:r w:rsidR="00AD29A9">
        <w:rPr>
          <w:lang w:val="fr-CA"/>
        </w:rPr>
        <w:t xml:space="preserve">itères explicites et objectifs </w:t>
      </w:r>
      <w:r w:rsidRPr="00297869">
        <w:rPr>
          <w:lang w:val="fr-CA"/>
        </w:rPr>
        <w:t>. . .</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De toute évidence, il ne suffit pas de simplement affirmer qu’un groupe existe.  Le dossier doit étayer suffisamment la déclaration (</w:t>
      </w:r>
      <w:r w:rsidRPr="00297869">
        <w:rPr>
          <w:rFonts w:cs="Times New Roman"/>
          <w:i/>
          <w:iCs/>
          <w:szCs w:val="24"/>
          <w:lang w:val="fr-CA"/>
        </w:rPr>
        <w:t xml:space="preserve">Lau c. Bayview Landmark Inc. </w:t>
      </w:r>
      <w:r w:rsidRPr="00297869">
        <w:rPr>
          <w:rFonts w:cs="Times New Roman"/>
          <w:iCs/>
          <w:szCs w:val="24"/>
          <w:lang w:val="fr-CA"/>
        </w:rPr>
        <w:t>(1999), 40 C.P</w:t>
      </w:r>
      <w:r w:rsidR="00AD29A9">
        <w:rPr>
          <w:rFonts w:cs="Times New Roman"/>
          <w:iCs/>
          <w:szCs w:val="24"/>
          <w:lang w:val="fr-CA"/>
        </w:rPr>
        <w:t xml:space="preserve">.C. (4th) 301 (C.S.J. Ont.), </w:t>
      </w:r>
      <w:r w:rsidRPr="00297869">
        <w:rPr>
          <w:rFonts w:cs="Times New Roman"/>
          <w:iCs/>
          <w:szCs w:val="24"/>
          <w:lang w:val="fr-CA"/>
        </w:rPr>
        <w:t>par. 23).  La norme de preuve applicable à l’étape de la certification n’est toutefois pas exigeante</w:t>
      </w:r>
      <w:r w:rsidRPr="00297869">
        <w:rPr>
          <w:rFonts w:cs="Times New Roman"/>
          <w:lang w:val="fr-CA"/>
        </w:rPr>
        <w:t> : le demandeur doit établir qu’« un certain fondement factuel » sous</w:t>
      </w:r>
      <w:r w:rsidRPr="00297869">
        <w:rPr>
          <w:rFonts w:cs="Times New Roman"/>
          <w:lang w:val="fr-CA"/>
        </w:rPr>
        <w:noBreakHyphen/>
        <w:t>tend chacune des conditions (</w:t>
      </w:r>
      <w:r w:rsidRPr="00297869">
        <w:rPr>
          <w:rFonts w:cs="Times New Roman"/>
          <w:i/>
          <w:lang w:val="fr-CA"/>
        </w:rPr>
        <w:t>Hollick c. Toronto</w:t>
      </w:r>
      <w:r w:rsidRPr="00297869">
        <w:rPr>
          <w:rFonts w:cs="Times New Roman"/>
          <w:lang w:val="fr-CA"/>
        </w:rPr>
        <w:t xml:space="preserve"> </w:t>
      </w:r>
      <w:r w:rsidRPr="00297869">
        <w:rPr>
          <w:rFonts w:cs="Times New Roman"/>
          <w:i/>
          <w:lang w:val="fr-CA"/>
        </w:rPr>
        <w:t>(Ville)</w:t>
      </w:r>
      <w:r w:rsidRPr="00297869">
        <w:rPr>
          <w:rFonts w:cs="Times New Roman"/>
          <w:lang w:val="fr-CA"/>
        </w:rPr>
        <w:t>, 2001 CSC 68, [2001] 3 R.C.S. 158, par. 25).  Cette norme est moins rigoureuse que celle qui s’applique aux États</w:t>
      </w:r>
      <w:r w:rsidRPr="00297869">
        <w:rPr>
          <w:rFonts w:cs="Times New Roman"/>
          <w:lang w:val="fr-CA"/>
        </w:rPr>
        <w:noBreakHyphen/>
        <w:t xml:space="preserve">Unis, et vise expressément à éviter un examen au fond à l’étape de la certification.  Voir </w:t>
      </w:r>
      <w:r w:rsidRPr="00297869">
        <w:rPr>
          <w:rFonts w:cs="Times New Roman"/>
          <w:i/>
          <w:lang w:val="fr-CA"/>
        </w:rPr>
        <w:t>Pro</w:t>
      </w:r>
      <w:r w:rsidRPr="00297869">
        <w:rPr>
          <w:rFonts w:cs="Times New Roman"/>
          <w:i/>
          <w:lang w:val="fr-CA"/>
        </w:rPr>
        <w:noBreakHyphen/>
        <w:t>Sys Consultants Ltd. c. Microsoft Corporation</w:t>
      </w:r>
      <w:r w:rsidR="00AD29A9">
        <w:rPr>
          <w:rFonts w:cs="Times New Roman"/>
          <w:lang w:val="fr-CA"/>
        </w:rPr>
        <w:t>, 2013 CSC 57</w:t>
      </w:r>
      <w:r w:rsidR="00345115" w:rsidRPr="00345115">
        <w:rPr>
          <w:lang w:val="fr-CA"/>
        </w:rPr>
        <w:t>, [2013] 3 R</w:t>
      </w:r>
      <w:r w:rsidR="00345115">
        <w:rPr>
          <w:lang w:val="fr-CA"/>
        </w:rPr>
        <w:t>.C.</w:t>
      </w:r>
      <w:r w:rsidR="00345115" w:rsidRPr="00345115">
        <w:rPr>
          <w:lang w:val="fr-CA"/>
        </w:rPr>
        <w:t xml:space="preserve">S. </w:t>
      </w:r>
      <w:r w:rsidR="00587FAF">
        <w:rPr>
          <w:lang w:val="fr-CA"/>
        </w:rPr>
        <w:t>477</w:t>
      </w:r>
      <w:r w:rsidR="00AD29A9">
        <w:rPr>
          <w:rFonts w:cs="Times New Roman"/>
          <w:lang w:val="fr-CA"/>
        </w:rPr>
        <w:t xml:space="preserve">, </w:t>
      </w:r>
      <w:r w:rsidRPr="00297869">
        <w:rPr>
          <w:rFonts w:cs="Times New Roman"/>
          <w:lang w:val="fr-CA"/>
        </w:rPr>
        <w:t>par. 102.</w:t>
      </w:r>
    </w:p>
    <w:p w:rsidR="00741557" w:rsidRPr="00297869" w:rsidRDefault="00741557" w:rsidP="006E36ED">
      <w:pPr>
        <w:pStyle w:val="Title1LevelTitre1Niveau-AltL"/>
        <w:keepNext/>
        <w:tabs>
          <w:tab w:val="clear" w:pos="432"/>
          <w:tab w:val="num" w:pos="540"/>
        </w:tabs>
        <w:ind w:left="540" w:hanging="540"/>
        <w:rPr>
          <w:rFonts w:cs="Times New Roman"/>
        </w:rPr>
      </w:pPr>
      <w:r w:rsidRPr="00297869">
        <w:rPr>
          <w:rFonts w:cs="Times New Roman"/>
        </w:rPr>
        <w:t>Application à la présente affaire</w:t>
      </w:r>
    </w:p>
    <w:p w:rsidR="00741557" w:rsidRPr="00297869" w:rsidRDefault="00741557" w:rsidP="006E36ED">
      <w:pPr>
        <w:pStyle w:val="Title2LevelTitre2Niveau"/>
        <w:keepNext/>
        <w:tabs>
          <w:tab w:val="clear" w:pos="432"/>
          <w:tab w:val="num" w:pos="540"/>
        </w:tabs>
        <w:ind w:left="540" w:hanging="522"/>
        <w:rPr>
          <w:rFonts w:cs="Times New Roman"/>
          <w:lang w:val="fr-CA"/>
        </w:rPr>
      </w:pPr>
      <w:r w:rsidRPr="00297869">
        <w:rPr>
          <w:rFonts w:cs="Times New Roman"/>
          <w:lang w:val="fr-CA"/>
        </w:rPr>
        <w:t xml:space="preserve">Le dossier et la position des parties </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 xml:space="preserve">Les intimées ont produit une preuve établissant que d’importants acheteurs directs comme Coke, Pepsi, Vitality Foodservice Canada Inc., Ocean Spray Cranberries et George Weston </w:t>
      </w:r>
      <w:r w:rsidR="00587FAF">
        <w:rPr>
          <w:rFonts w:cs="Times New Roman"/>
          <w:lang w:val="fr-CA"/>
        </w:rPr>
        <w:t>l</w:t>
      </w:r>
      <w:r w:rsidRPr="00297869">
        <w:rPr>
          <w:rFonts w:cs="Times New Roman"/>
          <w:lang w:val="fr-CA"/>
        </w:rPr>
        <w:t>imitée ont utilisé tantôt du SMHTF tantôt du sucre liquide dans la confection de leurs produits.  À l’époque, les lois applicables permettaient que le terme générique « sucre/glucose</w:t>
      </w:r>
      <w:r w:rsidRPr="00297869">
        <w:rPr>
          <w:rFonts w:cs="Times New Roman"/>
          <w:lang w:val="fr-CA"/>
        </w:rPr>
        <w:noBreakHyphen/>
        <w:t xml:space="preserve">fructose » désigne l’un ou l’autre édulcorant sur l’étiquette.  Dans bien des cas, l’étiquette de produits vendus au Canada par ces acheteurs directs n’indiquait pas lequel des deux ingrédients avait été </w:t>
      </w:r>
      <w:r w:rsidRPr="00297869">
        <w:rPr>
          <w:rFonts w:cs="Times New Roman"/>
          <w:lang w:val="fr-CA"/>
        </w:rPr>
        <w:lastRenderedPageBreak/>
        <w:t>utilisé.  En fait, en contre</w:t>
      </w:r>
      <w:r w:rsidRPr="00297869">
        <w:rPr>
          <w:rFonts w:cs="Times New Roman"/>
          <w:lang w:val="fr-CA"/>
        </w:rPr>
        <w:noBreakHyphen/>
        <w:t>interrogatoire, la demanderesse</w:t>
      </w:r>
      <w:r w:rsidRPr="00297869">
        <w:rPr>
          <w:rFonts w:cs="Times New Roman"/>
          <w:lang w:val="fr-CA"/>
        </w:rPr>
        <w:noBreakHyphen/>
        <w:t>représentante a dit ignorer si elle avait acheté un seul produit qui contenait bel et bien du SMHTF au cours de la période visée par le recours.</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 xml:space="preserve">Le SMHTF entrait dans la fabrication de </w:t>
      </w:r>
      <w:r w:rsidR="00AD29A9" w:rsidRPr="00737F76">
        <w:rPr>
          <w:rFonts w:cs="Times New Roman"/>
          <w:lang w:val="fr-CA"/>
        </w:rPr>
        <w:t>[</w:t>
      </w:r>
      <w:r w:rsidR="00AD29A9" w:rsidRPr="00737F76">
        <w:rPr>
          <w:rFonts w:cs="Times New Roman"/>
          <w:smallCaps/>
          <w:lang w:val="fr-CA"/>
        </w:rPr>
        <w:t>traduction</w:t>
      </w:r>
      <w:r w:rsidR="00AD29A9" w:rsidRPr="00737F76">
        <w:rPr>
          <w:rFonts w:cs="Times New Roman"/>
          <w:lang w:val="fr-CA"/>
        </w:rPr>
        <w:t>]</w:t>
      </w:r>
      <w:r w:rsidR="00AD29A9" w:rsidRPr="00297869">
        <w:rPr>
          <w:rFonts w:cs="Times New Roman"/>
          <w:lang w:val="fr-CA"/>
        </w:rPr>
        <w:t xml:space="preserve"> </w:t>
      </w:r>
      <w:r w:rsidRPr="00297869">
        <w:rPr>
          <w:rFonts w:cs="Times New Roman"/>
          <w:lang w:val="fr-CA"/>
        </w:rPr>
        <w:t>« denrées alimentaires comme les boissons gazeuses et les produits de boulangerie achetées par des restaurants, grossistes, supermarchés, dépanneurs, cinémas et autres établissements »</w:t>
      </w:r>
      <w:r w:rsidR="003D55B0">
        <w:rPr>
          <w:rFonts w:cs="Times New Roman"/>
          <w:lang w:val="fr-CA"/>
        </w:rPr>
        <w:t xml:space="preserve"> (mémoire en réponse des appelantes, par. 69)</w:t>
      </w:r>
      <w:r w:rsidRPr="00297869">
        <w:rPr>
          <w:rFonts w:cs="Times New Roman"/>
          <w:lang w:val="fr-CA"/>
        </w:rPr>
        <w:t>.  Les appelantes ont déposé une preuve d’expert et proposé une méthode pour démontrer qu’il est possible d’établir la quantité de SMHTF utilisée et de déterminer les produits précis q</w:t>
      </w:r>
      <w:r w:rsidR="003D55B0">
        <w:rPr>
          <w:rFonts w:cs="Times New Roman"/>
          <w:lang w:val="fr-CA"/>
        </w:rPr>
        <w:t>ui en contenaient (</w:t>
      </w:r>
      <w:r w:rsidR="003D55B0">
        <w:rPr>
          <w:rFonts w:cs="Times New Roman"/>
          <w:i/>
          <w:lang w:val="fr-CA"/>
        </w:rPr>
        <w:t>ibid</w:t>
      </w:r>
      <w:r w:rsidR="001C1B5E">
        <w:rPr>
          <w:rFonts w:cs="Times New Roman"/>
          <w:i/>
          <w:lang w:val="fr-CA"/>
        </w:rPr>
        <w:t>.</w:t>
      </w:r>
      <w:r w:rsidRPr="00297869">
        <w:rPr>
          <w:rFonts w:cs="Times New Roman"/>
          <w:lang w:val="fr-CA"/>
        </w:rPr>
        <w:t>, citant l</w:t>
      </w:r>
      <w:r w:rsidR="003D55B0">
        <w:rPr>
          <w:rFonts w:cs="Times New Roman"/>
          <w:lang w:val="fr-CA"/>
        </w:rPr>
        <w:t xml:space="preserve">e rapport de M. Leitzinger, </w:t>
      </w:r>
      <w:r w:rsidRPr="00297869">
        <w:rPr>
          <w:rFonts w:cs="Times New Roman"/>
          <w:lang w:val="fr-CA"/>
        </w:rPr>
        <w:t>par. 10</w:t>
      </w:r>
      <w:r w:rsidRPr="00297869">
        <w:rPr>
          <w:rFonts w:cs="Times New Roman"/>
          <w:lang w:val="fr-CA"/>
        </w:rPr>
        <w:noBreakHyphen/>
        <w:t>11, 18</w:t>
      </w:r>
      <w:r w:rsidRPr="00297869">
        <w:rPr>
          <w:rFonts w:cs="Times New Roman"/>
          <w:lang w:val="fr-CA"/>
        </w:rPr>
        <w:noBreakHyphen/>
        <w:t>20 et 27).  La preuve d’expert fait également état de travaux de recherche portant sur l’industrie des boissons gazeuses, lesquels confirment que l’utilisation du SMHTF était à la hausse depuis quelques années et que, deux ans après le début de la période visée par le recours, cette substance avait déjà largement remplacé le sucre liquide (d.a., vol. II, p. 94; rapport de M. Leitzinger, par. 24).</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 xml:space="preserve">Parce que le SMHTF et le sucre liquide étaient utilisés de façon interchangeable et que les règles d’étiquetage en vigueur au cours de la période visée par le recours n’obligeaient pas les fabricants d’aliments et de boissons à indiquer lequel des deux édulcorants entrait dans la confection de leurs produits, les intimées font valoir que les acheteurs indirects (détaillants et consommateurs) n’auraient pu dire s’ils avaient acheté un produit contenant du SMHTF, même s’ils avaient vérifié </w:t>
      </w:r>
      <w:r w:rsidRPr="00297869">
        <w:rPr>
          <w:rFonts w:cs="Times New Roman"/>
          <w:lang w:val="fr-CA"/>
        </w:rPr>
        <w:lastRenderedPageBreak/>
        <w:t>l’étiquette (mémoire d’Archer Daniels Midland Company et</w:t>
      </w:r>
      <w:r w:rsidR="003D55B0">
        <w:rPr>
          <w:rFonts w:cs="Times New Roman"/>
          <w:lang w:val="fr-CA"/>
        </w:rPr>
        <w:t xml:space="preserve"> d’ADM Agri</w:t>
      </w:r>
      <w:r w:rsidR="003D55B0">
        <w:rPr>
          <w:rFonts w:cs="Times New Roman"/>
          <w:lang w:val="fr-CA"/>
        </w:rPr>
        <w:noBreakHyphen/>
        <w:t>Industries Company</w:t>
      </w:r>
      <w:r w:rsidRPr="00297869">
        <w:rPr>
          <w:rFonts w:cs="Times New Roman"/>
          <w:lang w:val="fr-CA"/>
        </w:rPr>
        <w:t>, par. 99</w:t>
      </w:r>
      <w:r w:rsidRPr="00297869">
        <w:rPr>
          <w:rFonts w:cs="Times New Roman"/>
          <w:lang w:val="fr-CA"/>
        </w:rPr>
        <w:noBreakHyphen/>
        <w:t>100).</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Les appelantes soutiennent que [</w:t>
      </w:r>
      <w:r w:rsidRPr="00297869">
        <w:rPr>
          <w:rFonts w:cs="Times New Roman"/>
          <w:smallCaps/>
          <w:lang w:val="fr-CA"/>
        </w:rPr>
        <w:t>traduction</w:t>
      </w:r>
      <w:r w:rsidRPr="00297869">
        <w:rPr>
          <w:rFonts w:cs="Times New Roman"/>
          <w:lang w:val="fr-CA"/>
        </w:rPr>
        <w:t>] « même s’il est possible que certains membres ne puisse</w:t>
      </w:r>
      <w:r w:rsidR="00984184">
        <w:rPr>
          <w:rFonts w:cs="Times New Roman"/>
          <w:lang w:val="fr-CA"/>
        </w:rPr>
        <w:t>nt</w:t>
      </w:r>
      <w:r w:rsidRPr="00297869">
        <w:rPr>
          <w:rFonts w:cs="Times New Roman"/>
          <w:lang w:val="fr-CA"/>
        </w:rPr>
        <w:t xml:space="preserve"> se reconnaître comme tels, l’appartenance au groupe peut s’établir eu égard à la nature des achats réalisés par chaque personne et à la quantité de SMHTF contenue d</w:t>
      </w:r>
      <w:r w:rsidR="003D55B0">
        <w:rPr>
          <w:rFonts w:cs="Times New Roman"/>
          <w:lang w:val="fr-CA"/>
        </w:rPr>
        <w:t>ans les produits achetés » (mémoire en réponse</w:t>
      </w:r>
      <w:r w:rsidRPr="00297869">
        <w:rPr>
          <w:rFonts w:cs="Times New Roman"/>
          <w:lang w:val="fr-CA"/>
        </w:rPr>
        <w:t>, par. 71).  En fait, selon des recherches sur cette industrie, ce genre de renseignements pourrait s’obtenir plus facilement pour les acheteurs indirects qui sont des commerçants au détail, habitués de ce fait à une tenue de livres rigoureuse, que pour les autres.</w:t>
      </w:r>
    </w:p>
    <w:p w:rsidR="00741557" w:rsidRPr="00297869" w:rsidRDefault="00741557" w:rsidP="006E36ED">
      <w:pPr>
        <w:pStyle w:val="Title2LevelTitre2Niveau"/>
        <w:keepNext/>
        <w:tabs>
          <w:tab w:val="clear" w:pos="432"/>
          <w:tab w:val="num" w:pos="540"/>
        </w:tabs>
        <w:ind w:left="540" w:hanging="540"/>
        <w:jc w:val="both"/>
        <w:rPr>
          <w:rFonts w:cs="Times New Roman"/>
          <w:lang w:val="fr-CA"/>
        </w:rPr>
      </w:pPr>
      <w:r w:rsidRPr="00297869">
        <w:rPr>
          <w:rFonts w:cs="Times New Roman"/>
          <w:lang w:val="fr-CA"/>
        </w:rPr>
        <w:t>La détermination de l’appartenance au groupe n’exige pas que chacun des membres soit en mesure d’établir une perte individuelle</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 xml:space="preserve">Le juge Rothstein reconnaît que la définition du groupe satisfait a priori aux critères établis dans </w:t>
      </w:r>
      <w:r w:rsidRPr="00297869">
        <w:rPr>
          <w:rFonts w:cs="Times New Roman"/>
          <w:i/>
          <w:lang w:val="fr-CA"/>
        </w:rPr>
        <w:t>Dutton</w:t>
      </w:r>
      <w:r w:rsidRPr="00297869">
        <w:rPr>
          <w:rFonts w:cs="Times New Roman"/>
          <w:lang w:val="fr-CA"/>
        </w:rPr>
        <w:t xml:space="preserve">.  Il conclut toutefois que la preuve ne suffit pas à démontrer qu’il sera possible pour quiconque de savoir s’il a acheté un produit contenant du SMHTF et s’il appartient donc au groupe.  De l’avis de mon collègue, l’impossibilité pour des membres du groupe d’établir une perte individuelle « contrecarre l’objectif des recours collectifs, qui est d’offrir une voie de recours plus efficace aux demandeurs </w:t>
      </w:r>
      <w:r w:rsidRPr="00297869">
        <w:rPr>
          <w:rFonts w:cs="Times New Roman"/>
          <w:i/>
          <w:lang w:val="fr-CA"/>
        </w:rPr>
        <w:t>ayant subi un préjudice</w:t>
      </w:r>
      <w:r w:rsidRPr="00297869">
        <w:rPr>
          <w:rFonts w:cs="Times New Roman"/>
          <w:lang w:val="fr-CA"/>
        </w:rPr>
        <w:t xml:space="preserve"> mais pour qui il serait irréaliste d’exercer un recours individuel ou qui n’ont pas les moyens de le faire » (par. 67 (en italique dans l’original)).</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lastRenderedPageBreak/>
        <w:t xml:space="preserve">Il ne s’agit pas là du seul objectif des recours collectifs.  La modification des comportements en constitue un objet important, tout particulièrement en matière de fixation des prix.  Si ce type d’action vise manifestement à offrir une voie de recours plus efficace aux demandeurs ayant subi un préjudice, il y a des raisons sérieuses de conclure que les recours collectifs ne se limitent pas à de tels effets.  Comme nous le verrons en détail, la </w:t>
      </w:r>
      <w:r w:rsidRPr="00297869">
        <w:rPr>
          <w:rFonts w:cs="Times New Roman"/>
          <w:i/>
          <w:lang w:val="fr-CA"/>
        </w:rPr>
        <w:t>CPA</w:t>
      </w:r>
      <w:r w:rsidRPr="00297869">
        <w:rPr>
          <w:rFonts w:cs="Times New Roman"/>
          <w:lang w:val="fr-CA"/>
        </w:rPr>
        <w:t xml:space="preserve"> est conçue de manière à donner un recours au groupe dans son ensemble, sans qu’il soit nécessaire de prouver une perte individuelle, même s’il est difficile d’établir l’appartenance au groupe.  En conséquence, si personne ne cherche à obtenir une réparation individuelle, il ne sera pas nécessaire de prouver une perte individuelle.  De tels recours collectifs permettent la restitution de gains provenant d’activités illégales et répondent non seulement aux objectifs d’accès à la justice et d’économie des ressources judiciaires, mais aussi à l’objectif général de modification des comportements.  Je ne suis donc pas convaincue qu’il faut que chaque membre du groupe puisse, à terme, prouver un préjudice individuel. Voir</w:t>
      </w:r>
      <w:r w:rsidR="00DF4350">
        <w:rPr>
          <w:rFonts w:cs="Times New Roman"/>
          <w:lang w:val="fr-CA"/>
        </w:rPr>
        <w:t>,</w:t>
      </w:r>
      <w:r w:rsidRPr="00297869">
        <w:rPr>
          <w:rFonts w:cs="Times New Roman"/>
          <w:lang w:val="fr-CA"/>
        </w:rPr>
        <w:t xml:space="preserve"> par exemple</w:t>
      </w:r>
      <w:r w:rsidR="00DF4350">
        <w:rPr>
          <w:rFonts w:cs="Times New Roman"/>
          <w:lang w:val="fr-CA"/>
        </w:rPr>
        <w:t>,</w:t>
      </w:r>
      <w:r w:rsidRPr="00297869">
        <w:rPr>
          <w:rFonts w:cs="Times New Roman"/>
          <w:lang w:val="fr-CA"/>
        </w:rPr>
        <w:t xml:space="preserve"> </w:t>
      </w:r>
      <w:r w:rsidRPr="00297869">
        <w:rPr>
          <w:rFonts w:cs="Times New Roman"/>
          <w:i/>
          <w:lang w:val="fr-CA"/>
        </w:rPr>
        <w:t>Steele c. Toyota Canada Inc.</w:t>
      </w:r>
      <w:r w:rsidRPr="00297869">
        <w:rPr>
          <w:rFonts w:cs="Times New Roman"/>
          <w:lang w:val="fr-CA"/>
        </w:rPr>
        <w:t>, 2011 BCCA 98, 14 B.C.L.R. (5th) 271.</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szCs w:val="24"/>
          <w:lang w:val="fr-CA"/>
        </w:rPr>
        <w:t>La condition relative au groupe identifiable a pour objet d’informer les membres éventuels et ainsi leur permettre d’exprimer leur volonté</w:t>
      </w:r>
      <w:r w:rsidRPr="00297869">
        <w:rPr>
          <w:rFonts w:cs="Times New Roman"/>
          <w:lang w:val="fr-CA"/>
        </w:rPr>
        <w:t xml:space="preserve"> d’appartenir au groupe et de demander réparation.  Quoi qu’il en soit, il sera souvent difficile pour certaines personnes de s’estimer membres du groupe à la lumière de cette définition.</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lastRenderedPageBreak/>
        <w:t xml:space="preserve">Dans l’arrêt </w:t>
      </w:r>
      <w:r w:rsidRPr="00297869">
        <w:rPr>
          <w:rFonts w:cs="Times New Roman"/>
          <w:i/>
          <w:lang w:val="fr-CA"/>
        </w:rPr>
        <w:t>Dutton</w:t>
      </w:r>
      <w:r w:rsidRPr="00297869">
        <w:rPr>
          <w:rFonts w:cs="Times New Roman"/>
          <w:lang w:val="fr-CA"/>
        </w:rPr>
        <w:t>, la juge en chef McLachlin tient les propos suivants</w:t>
      </w:r>
      <w:r w:rsidR="00DF4350">
        <w:rPr>
          <w:rFonts w:cs="Times New Roman"/>
          <w:lang w:val="fr-CA"/>
        </w:rPr>
        <w:t>,</w:t>
      </w:r>
      <w:r w:rsidRPr="00297869">
        <w:rPr>
          <w:rFonts w:cs="Times New Roman"/>
          <w:lang w:val="fr-CA"/>
        </w:rPr>
        <w:t xml:space="preserve"> au par. 38 : « Il n’est pas nécessaire que tous les membres du groupe soient nommés ou connus. »  Dans </w:t>
      </w:r>
      <w:r w:rsidRPr="00297869">
        <w:rPr>
          <w:rFonts w:cs="Times New Roman"/>
          <w:i/>
          <w:lang w:val="fr-CA"/>
        </w:rPr>
        <w:t>Risorto c. State Farm Mutual Automobile Insurance Co</w:t>
      </w:r>
      <w:r w:rsidRPr="00297869">
        <w:rPr>
          <w:rFonts w:cs="Times New Roman"/>
          <w:lang w:val="fr-CA"/>
        </w:rPr>
        <w:t>. (2007), 38 C.P.C. (6th) 373 (C.S.J. Ont.), le juge Cullity s’est exprimé en ces termes</w:t>
      </w:r>
      <w:r w:rsidR="00DF4350">
        <w:rPr>
          <w:rFonts w:cs="Times New Roman"/>
          <w:lang w:val="fr-CA"/>
        </w:rPr>
        <w:t>,</w:t>
      </w:r>
      <w:r w:rsidRPr="00297869">
        <w:rPr>
          <w:rFonts w:cs="Times New Roman"/>
          <w:lang w:val="fr-CA"/>
        </w:rPr>
        <w:t xml:space="preserve"> au par. 31 : [</w:t>
      </w:r>
      <w:r w:rsidRPr="00297869">
        <w:rPr>
          <w:rFonts w:cs="Times New Roman"/>
          <w:smallCaps/>
          <w:lang w:val="fr-CA"/>
        </w:rPr>
        <w:t>traduction</w:t>
      </w:r>
      <w:r w:rsidRPr="00297869">
        <w:rPr>
          <w:rFonts w:cs="Times New Roman"/>
          <w:lang w:val="fr-CA"/>
        </w:rPr>
        <w:t xml:space="preserve">] « Il arrive souvent dans un recours collectif que certaines personnes aient du mal à prouver qu’elles satisfont aux conditions d’appartenance et cela ne permet pas en soi de conclure que le groupe n’est pas identifiable. »  Voir aussi </w:t>
      </w:r>
      <w:r w:rsidRPr="00297869">
        <w:rPr>
          <w:rFonts w:cs="Times New Roman"/>
          <w:i/>
          <w:lang w:val="fr-CA"/>
        </w:rPr>
        <w:t>Sauer c. Canada (Agriculture)</w:t>
      </w:r>
      <w:r w:rsidRPr="00297869">
        <w:rPr>
          <w:rFonts w:cs="Times New Roman"/>
          <w:lang w:val="fr-CA"/>
        </w:rPr>
        <w:t xml:space="preserve">, 2008 CanLII 43774 </w:t>
      </w:r>
      <w:r w:rsidRPr="00297869">
        <w:rPr>
          <w:rFonts w:cs="Times New Roman"/>
          <w:iCs/>
          <w:szCs w:val="24"/>
          <w:lang w:val="fr-CA"/>
        </w:rPr>
        <w:t>(C.S.J. Ont.)</w:t>
      </w:r>
      <w:r w:rsidR="00DF4350">
        <w:rPr>
          <w:rFonts w:cs="Times New Roman"/>
          <w:lang w:val="fr-CA"/>
        </w:rPr>
        <w:t xml:space="preserve">, </w:t>
      </w:r>
      <w:r w:rsidRPr="00297869">
        <w:rPr>
          <w:rFonts w:cs="Times New Roman"/>
          <w:lang w:val="fr-CA"/>
        </w:rPr>
        <w:t>par. 28.</w:t>
      </w:r>
    </w:p>
    <w:p w:rsidR="00741557" w:rsidRPr="00297869" w:rsidRDefault="00984184" w:rsidP="00741557">
      <w:pPr>
        <w:pStyle w:val="ParaNoNdepar-AltN"/>
        <w:tabs>
          <w:tab w:val="clear" w:pos="1152"/>
          <w:tab w:val="left" w:pos="1166"/>
        </w:tabs>
        <w:rPr>
          <w:rFonts w:cs="Times New Roman"/>
          <w:szCs w:val="24"/>
          <w:lang w:val="fr-CA"/>
        </w:rPr>
      </w:pPr>
      <w:r>
        <w:rPr>
          <w:rFonts w:cs="Times New Roman"/>
          <w:lang w:val="fr-CA"/>
        </w:rPr>
        <w:t>Comme nous l’avons vu, la L</w:t>
      </w:r>
      <w:r w:rsidR="00741557" w:rsidRPr="00297869">
        <w:rPr>
          <w:rFonts w:cs="Times New Roman"/>
          <w:lang w:val="fr-CA"/>
        </w:rPr>
        <w:t>oi prévoit la possibilité d’accorder des dommages</w:t>
      </w:r>
      <w:r w:rsidR="00741557" w:rsidRPr="00297869">
        <w:rPr>
          <w:rFonts w:cs="Times New Roman"/>
          <w:lang w:val="fr-CA"/>
        </w:rPr>
        <w:noBreakHyphen/>
        <w:t>intérêts globaux et de verser une indemnité suivant le principe de l’aussi</w:t>
      </w:r>
      <w:r w:rsidR="00741557" w:rsidRPr="00297869">
        <w:rPr>
          <w:rFonts w:cs="Times New Roman"/>
          <w:lang w:val="fr-CA"/>
        </w:rPr>
        <w:noBreakHyphen/>
        <w:t>près (</w:t>
      </w:r>
      <w:r w:rsidR="00DF4350">
        <w:rPr>
          <w:rFonts w:cs="Times New Roman"/>
          <w:i/>
          <w:lang w:val="fr-CA"/>
        </w:rPr>
        <w:t>cy-</w:t>
      </w:r>
      <w:r w:rsidR="00741557" w:rsidRPr="00297869">
        <w:rPr>
          <w:rFonts w:cs="Times New Roman"/>
          <w:i/>
          <w:lang w:val="fr-CA"/>
        </w:rPr>
        <w:t>près doctrine</w:t>
      </w:r>
      <w:r w:rsidR="00741557" w:rsidRPr="00297869">
        <w:rPr>
          <w:rFonts w:cs="Times New Roman"/>
          <w:lang w:val="fr-CA"/>
        </w:rPr>
        <w:t>), qui permettent le recouvrement et la restitution de gains mal acquis, sans qu’il soit nécessaire de prouver une perte individuelle et même lorsque l’identité de certains membres ne peut être connue.  En effet, suivant l’art. </w:t>
      </w:r>
      <w:r w:rsidR="00741557" w:rsidRPr="00297869">
        <w:rPr>
          <w:rFonts w:cs="Times New Roman"/>
          <w:szCs w:val="24"/>
          <w:lang w:val="fr-CA"/>
        </w:rPr>
        <w:t xml:space="preserve">29 de la </w:t>
      </w:r>
      <w:r w:rsidR="00741557" w:rsidRPr="00297869">
        <w:rPr>
          <w:rFonts w:cs="Times New Roman"/>
          <w:i/>
          <w:szCs w:val="24"/>
          <w:lang w:val="fr-CA"/>
        </w:rPr>
        <w:t>CPA</w:t>
      </w:r>
      <w:r w:rsidR="00741557" w:rsidRPr="00297869">
        <w:rPr>
          <w:rFonts w:cs="Times New Roman"/>
          <w:szCs w:val="24"/>
          <w:lang w:val="fr-CA"/>
        </w:rPr>
        <w:t>,</w:t>
      </w:r>
      <w:r w:rsidR="00DF4350" w:rsidRPr="00DF4350">
        <w:rPr>
          <w:rFonts w:cs="Times New Roman"/>
          <w:lang w:val="fr-CA"/>
        </w:rPr>
        <w:t xml:space="preserve"> </w:t>
      </w:r>
      <w:r w:rsidR="00DF4350" w:rsidRPr="00737F76">
        <w:rPr>
          <w:rFonts w:cs="Times New Roman"/>
          <w:lang w:val="fr-CA"/>
        </w:rPr>
        <w:t>[</w:t>
      </w:r>
      <w:r w:rsidR="00DF4350" w:rsidRPr="00737F76">
        <w:rPr>
          <w:rFonts w:cs="Times New Roman"/>
          <w:smallCaps/>
          <w:lang w:val="fr-CA"/>
        </w:rPr>
        <w:t>traduction</w:t>
      </w:r>
      <w:r w:rsidR="00DF4350" w:rsidRPr="00737F76">
        <w:rPr>
          <w:rFonts w:cs="Times New Roman"/>
          <w:lang w:val="fr-CA"/>
        </w:rPr>
        <w:t>]</w:t>
      </w:r>
      <w:r w:rsidR="00741557" w:rsidRPr="00297869">
        <w:rPr>
          <w:rFonts w:cs="Times New Roman"/>
          <w:szCs w:val="24"/>
          <w:lang w:val="fr-CA"/>
        </w:rPr>
        <w:t xml:space="preserve"> « [l]e tribunal peut fixer par ordonnance le montant global des dommages</w:t>
      </w:r>
      <w:r w:rsidR="00741557" w:rsidRPr="00297869">
        <w:rPr>
          <w:rFonts w:cs="Times New Roman"/>
          <w:szCs w:val="24"/>
          <w:lang w:val="fr-CA"/>
        </w:rPr>
        <w:noBreakHyphen/>
        <w:t>intérêts quant à la totalité ou à une partie de la responsabilité pécuniaire d’un défendeur envers les membres du groupe, et rendre jugement en conséquence » si certaines conditions sont remplies, et notamment si :</w:t>
      </w:r>
    </w:p>
    <w:p w:rsidR="00741557" w:rsidRPr="00297869" w:rsidRDefault="00741557" w:rsidP="00741557">
      <w:pPr>
        <w:pStyle w:val="Citation-AltC"/>
        <w:spacing w:after="240"/>
        <w:ind w:hanging="1166"/>
        <w:contextualSpacing w:val="0"/>
        <w:rPr>
          <w:lang w:val="fr-CA"/>
        </w:rPr>
      </w:pPr>
      <w:r w:rsidRPr="00297869">
        <w:rPr>
          <w:lang w:val="fr-CA"/>
        </w:rPr>
        <w:tab/>
        <w:t>[</w:t>
      </w:r>
      <w:r w:rsidRPr="00297869">
        <w:rPr>
          <w:smallCaps/>
          <w:lang w:val="fr-CA"/>
        </w:rPr>
        <w:t>traduction</w:t>
      </w:r>
      <w:r w:rsidRPr="00297869">
        <w:rPr>
          <w:lang w:val="fr-CA"/>
        </w:rPr>
        <w:t>]</w:t>
      </w:r>
    </w:p>
    <w:p w:rsidR="00741557" w:rsidRPr="00297869" w:rsidRDefault="00741557" w:rsidP="001602DA">
      <w:pPr>
        <w:pStyle w:val="Citation-AltC"/>
        <w:tabs>
          <w:tab w:val="left" w:pos="1710"/>
        </w:tabs>
        <w:ind w:left="2160" w:hanging="994"/>
        <w:rPr>
          <w:i/>
          <w:lang w:val="fr-CA"/>
        </w:rPr>
      </w:pPr>
      <w:r w:rsidRPr="00297869">
        <w:rPr>
          <w:i/>
          <w:lang w:val="fr-CA"/>
        </w:rPr>
        <w:tab/>
      </w:r>
      <w:r w:rsidR="00984184" w:rsidRPr="00984184">
        <w:rPr>
          <w:lang w:val="fr-CA"/>
        </w:rPr>
        <w:t>(</w:t>
      </w:r>
      <w:r w:rsidRPr="00C753B0">
        <w:rPr>
          <w:lang w:val="fr-CA"/>
        </w:rPr>
        <w:t>c</w:t>
      </w:r>
      <w:r w:rsidRPr="00297869">
        <w:rPr>
          <w:lang w:val="fr-CA"/>
        </w:rPr>
        <w:t>)</w:t>
      </w:r>
      <w:r w:rsidRPr="00297869">
        <w:rPr>
          <w:lang w:val="fr-CA"/>
        </w:rPr>
        <w:tab/>
        <w:t>la totalité ou une partie de la responsabilité du défendeur envers tous les membres du groupe ou certains d’entre eux peut raisonnablement être établie sans que des membres n’aient à en faire la preuve individuellement.</w:t>
      </w:r>
    </w:p>
    <w:p w:rsidR="00741557" w:rsidRPr="00297869" w:rsidRDefault="00741557" w:rsidP="00741557">
      <w:pPr>
        <w:pStyle w:val="ContinueParaSuitedupar-AltP"/>
        <w:rPr>
          <w:rFonts w:cs="Times New Roman"/>
          <w:lang w:val="fr-CA"/>
        </w:rPr>
      </w:pPr>
      <w:r w:rsidRPr="00297869">
        <w:rPr>
          <w:rFonts w:cs="Times New Roman"/>
          <w:lang w:val="fr-CA"/>
        </w:rPr>
        <w:lastRenderedPageBreak/>
        <w:t xml:space="preserve">Le paragraphe 31(1) de la </w:t>
      </w:r>
      <w:r w:rsidRPr="00297869">
        <w:rPr>
          <w:rFonts w:cs="Times New Roman"/>
          <w:i/>
          <w:lang w:val="fr-CA"/>
        </w:rPr>
        <w:t>CPA</w:t>
      </w:r>
      <w:r w:rsidRPr="00297869">
        <w:rPr>
          <w:rFonts w:cs="Times New Roman"/>
          <w:lang w:val="fr-CA"/>
        </w:rPr>
        <w:t xml:space="preserve"> prévoit :</w:t>
      </w:r>
    </w:p>
    <w:p w:rsidR="00741557" w:rsidRPr="00297869" w:rsidRDefault="00741557" w:rsidP="008940CB">
      <w:pPr>
        <w:pStyle w:val="Citation-AltC"/>
        <w:spacing w:after="240"/>
        <w:ind w:left="1080" w:hanging="1080"/>
        <w:contextualSpacing w:val="0"/>
        <w:rPr>
          <w:lang w:val="fr-CA"/>
        </w:rPr>
      </w:pPr>
      <w:r w:rsidRPr="00297869">
        <w:rPr>
          <w:lang w:val="fr-CA"/>
        </w:rPr>
        <w:tab/>
        <w:t>[</w:t>
      </w:r>
      <w:r w:rsidRPr="00297869">
        <w:rPr>
          <w:smallCaps/>
          <w:lang w:val="fr-CA"/>
        </w:rPr>
        <w:t>traduction</w:t>
      </w:r>
      <w:r w:rsidRPr="00297869">
        <w:rPr>
          <w:lang w:val="fr-CA"/>
        </w:rPr>
        <w:t>]</w:t>
      </w:r>
    </w:p>
    <w:p w:rsidR="00741557" w:rsidRDefault="001602DA" w:rsidP="00984184">
      <w:pPr>
        <w:pStyle w:val="Citation-AltC"/>
        <w:tabs>
          <w:tab w:val="left" w:pos="1080"/>
        </w:tabs>
        <w:spacing w:line="276" w:lineRule="auto"/>
        <w:ind w:left="1710" w:hanging="1710"/>
        <w:rPr>
          <w:lang w:val="fr-CA"/>
        </w:rPr>
      </w:pPr>
      <w:r>
        <w:rPr>
          <w:lang w:val="fr-CA"/>
        </w:rPr>
        <w:tab/>
      </w:r>
      <w:r w:rsidR="00984184" w:rsidRPr="00984184">
        <w:rPr>
          <w:b/>
          <w:lang w:val="fr-CA"/>
        </w:rPr>
        <w:t>31</w:t>
      </w:r>
      <w:r>
        <w:rPr>
          <w:lang w:val="fr-CA"/>
        </w:rPr>
        <w:t>(1)</w:t>
      </w:r>
      <w:r>
        <w:rPr>
          <w:lang w:val="fr-CA"/>
        </w:rPr>
        <w:tab/>
      </w:r>
      <w:r w:rsidR="00741557" w:rsidRPr="00297869">
        <w:rPr>
          <w:lang w:val="fr-CA"/>
        </w:rPr>
        <w:t xml:space="preserve">S’il rend une </w:t>
      </w:r>
      <w:r w:rsidR="00741557" w:rsidRPr="001602DA">
        <w:rPr>
          <w:lang w:val="fr-CA"/>
        </w:rPr>
        <w:t>ordonnance</w:t>
      </w:r>
      <w:r w:rsidR="00741557" w:rsidRPr="00297869">
        <w:rPr>
          <w:lang w:val="fr-CA"/>
        </w:rPr>
        <w:t xml:space="preserve"> en vertu de l’article 29 [ordonnance fixant le montant </w:t>
      </w:r>
      <w:r w:rsidR="00741557" w:rsidRPr="001602DA">
        <w:rPr>
          <w:lang w:val="fr-CA"/>
        </w:rPr>
        <w:t>global</w:t>
      </w:r>
      <w:r w:rsidR="00741557" w:rsidRPr="00297869">
        <w:rPr>
          <w:lang w:val="fr-CA"/>
        </w:rPr>
        <w:t xml:space="preserve"> des dommages</w:t>
      </w:r>
      <w:r w:rsidR="00741557" w:rsidRPr="00297869">
        <w:rPr>
          <w:lang w:val="fr-CA"/>
        </w:rPr>
        <w:noBreakHyphen/>
        <w:t>intérêts], le tribunal peut également ordonner que la totalité ou une partie du montant global des dommages</w:t>
      </w:r>
      <w:r w:rsidR="00741557" w:rsidRPr="00297869">
        <w:rPr>
          <w:lang w:val="fr-CA"/>
        </w:rPr>
        <w:noBreakHyphen/>
        <w:t>intérêts soit affectée de façon que tous les membres du groupe ou du sous</w:t>
      </w:r>
      <w:r w:rsidR="00741557" w:rsidRPr="00297869">
        <w:rPr>
          <w:lang w:val="fr-CA"/>
        </w:rPr>
        <w:noBreakHyphen/>
        <w:t>groupe ou certains d’entre eux se partagent les dommages</w:t>
      </w:r>
      <w:r w:rsidR="00741557" w:rsidRPr="00297869">
        <w:rPr>
          <w:lang w:val="fr-CA"/>
        </w:rPr>
        <w:noBreakHyphen/>
        <w:t xml:space="preserve">intérêts selon la règle de la moyenne ou selon celle de la proportionnalité s’il estime à la </w:t>
      </w:r>
      <w:r w:rsidR="008940CB">
        <w:rPr>
          <w:lang w:val="fr-CA"/>
        </w:rPr>
        <w:t>fois </w:t>
      </w:r>
      <w:r w:rsidR="00741557" w:rsidRPr="00297869">
        <w:rPr>
          <w:lang w:val="fr-CA"/>
        </w:rPr>
        <w:t xml:space="preserve"> </w:t>
      </w:r>
    </w:p>
    <w:p w:rsidR="001602DA" w:rsidRDefault="001602DA" w:rsidP="001602DA">
      <w:pPr>
        <w:pStyle w:val="Citation-AltC"/>
        <w:tabs>
          <w:tab w:val="left" w:pos="1170"/>
        </w:tabs>
        <w:spacing w:line="276" w:lineRule="auto"/>
        <w:ind w:left="1710" w:hanging="1710"/>
        <w:rPr>
          <w:lang w:val="fr-CA"/>
        </w:rPr>
      </w:pPr>
    </w:p>
    <w:p w:rsidR="00741557" w:rsidRPr="00297869" w:rsidRDefault="008940CB" w:rsidP="001602DA">
      <w:pPr>
        <w:pStyle w:val="Citation-AltC"/>
        <w:tabs>
          <w:tab w:val="left" w:pos="1710"/>
        </w:tabs>
        <w:spacing w:after="240"/>
        <w:ind w:left="2160" w:hanging="994"/>
        <w:contextualSpacing w:val="0"/>
        <w:rPr>
          <w:lang w:val="fr-CA"/>
        </w:rPr>
      </w:pPr>
      <w:r>
        <w:rPr>
          <w:lang w:val="fr-CA"/>
        </w:rPr>
        <w:tab/>
      </w:r>
      <w:r w:rsidR="00984184">
        <w:rPr>
          <w:lang w:val="fr-CA"/>
        </w:rPr>
        <w:t>(</w:t>
      </w:r>
      <w:r w:rsidR="00741557" w:rsidRPr="00297869">
        <w:rPr>
          <w:lang w:val="fr-CA"/>
        </w:rPr>
        <w:t>a)</w:t>
      </w:r>
      <w:r w:rsidR="00741557" w:rsidRPr="00297869">
        <w:rPr>
          <w:lang w:val="fr-CA"/>
        </w:rPr>
        <w:tab/>
      </w:r>
      <w:r>
        <w:rPr>
          <w:lang w:val="fr-CA"/>
        </w:rPr>
        <w:t>q</w:t>
      </w:r>
      <w:r w:rsidR="00741557" w:rsidRPr="00297869">
        <w:rPr>
          <w:lang w:val="fr-CA"/>
        </w:rPr>
        <w:t>u’il serait irréaliste ou inefficace </w:t>
      </w:r>
    </w:p>
    <w:p w:rsidR="00741557" w:rsidRPr="00297869" w:rsidRDefault="001602DA" w:rsidP="001602DA">
      <w:pPr>
        <w:pStyle w:val="Citation-AltC"/>
        <w:tabs>
          <w:tab w:val="left" w:pos="2160"/>
        </w:tabs>
        <w:ind w:left="2610" w:hanging="2880"/>
        <w:rPr>
          <w:u w:val="single"/>
          <w:lang w:val="fr-CA"/>
        </w:rPr>
      </w:pPr>
      <w:r>
        <w:rPr>
          <w:lang w:val="fr-CA"/>
        </w:rPr>
        <w:tab/>
      </w:r>
      <w:r w:rsidR="00741557" w:rsidRPr="00297869">
        <w:rPr>
          <w:lang w:val="fr-CA"/>
        </w:rPr>
        <w:t>(i)</w:t>
      </w:r>
      <w:r w:rsidR="00741557" w:rsidRPr="00297869">
        <w:rPr>
          <w:lang w:val="fr-CA"/>
        </w:rPr>
        <w:tab/>
      </w:r>
      <w:r w:rsidR="00741557" w:rsidRPr="00297869">
        <w:rPr>
          <w:u w:val="single"/>
          <w:lang w:val="fr-CA"/>
        </w:rPr>
        <w:t>soit d’identifier les membres du groupe ou du sous</w:t>
      </w:r>
      <w:r w:rsidR="00741557" w:rsidRPr="00297869">
        <w:rPr>
          <w:u w:val="single"/>
          <w:lang w:val="fr-CA"/>
        </w:rPr>
        <w:noBreakHyphen/>
        <w:t>groupe qui ont droit à une part du montant globa</w:t>
      </w:r>
      <w:r w:rsidR="00C753B0">
        <w:rPr>
          <w:u w:val="single"/>
          <w:lang w:val="fr-CA"/>
        </w:rPr>
        <w:t>l des dommages</w:t>
      </w:r>
      <w:r w:rsidR="00C753B0">
        <w:rPr>
          <w:u w:val="single"/>
          <w:lang w:val="fr-CA"/>
        </w:rPr>
        <w:noBreakHyphen/>
        <w:t>intérêts adjugés</w:t>
      </w:r>
      <w:r w:rsidR="00B74063" w:rsidRPr="00B74063">
        <w:rPr>
          <w:lang w:val="fr-CA"/>
        </w:rPr>
        <w:t> . . .</w:t>
      </w:r>
    </w:p>
    <w:p w:rsidR="00741557" w:rsidRPr="00297869" w:rsidRDefault="00741557" w:rsidP="00741557">
      <w:pPr>
        <w:pStyle w:val="ParaNoNdepar-AltN"/>
        <w:numPr>
          <w:ilvl w:val="0"/>
          <w:numId w:val="0"/>
        </w:numPr>
        <w:tabs>
          <w:tab w:val="left" w:pos="1166"/>
        </w:tabs>
        <w:rPr>
          <w:rFonts w:cs="Times New Roman"/>
          <w:szCs w:val="24"/>
          <w:lang w:val="fr-CA"/>
        </w:rPr>
      </w:pPr>
      <w:r w:rsidRPr="00297869">
        <w:rPr>
          <w:rFonts w:cs="Times New Roman"/>
          <w:szCs w:val="24"/>
          <w:lang w:val="fr-CA"/>
        </w:rPr>
        <w:t xml:space="preserve">Et l’art. 34 de la </w:t>
      </w:r>
      <w:r w:rsidRPr="00297869">
        <w:rPr>
          <w:rFonts w:cs="Times New Roman"/>
          <w:i/>
          <w:szCs w:val="24"/>
          <w:lang w:val="fr-CA"/>
        </w:rPr>
        <w:t>CPA</w:t>
      </w:r>
      <w:r w:rsidRPr="00297869">
        <w:rPr>
          <w:rFonts w:cs="Times New Roman"/>
          <w:szCs w:val="24"/>
          <w:lang w:val="fr-CA"/>
        </w:rPr>
        <w:t xml:space="preserve"> prévoit :</w:t>
      </w:r>
    </w:p>
    <w:p w:rsidR="00741557" w:rsidRDefault="00741557" w:rsidP="00741557">
      <w:pPr>
        <w:pStyle w:val="Citation-AltC"/>
        <w:spacing w:after="240"/>
        <w:ind w:hanging="1166"/>
        <w:contextualSpacing w:val="0"/>
        <w:rPr>
          <w:lang w:val="fr-CA"/>
        </w:rPr>
      </w:pPr>
      <w:r w:rsidRPr="00297869">
        <w:rPr>
          <w:lang w:val="fr-CA"/>
        </w:rPr>
        <w:tab/>
        <w:t>[</w:t>
      </w:r>
      <w:r w:rsidRPr="00297869">
        <w:rPr>
          <w:smallCaps/>
          <w:lang w:val="fr-CA"/>
        </w:rPr>
        <w:t>traduction</w:t>
      </w:r>
      <w:r w:rsidRPr="00297869">
        <w:rPr>
          <w:lang w:val="fr-CA"/>
        </w:rPr>
        <w:t>]</w:t>
      </w:r>
    </w:p>
    <w:p w:rsidR="00B74063" w:rsidRPr="00B74063" w:rsidRDefault="00B74063" w:rsidP="00741557">
      <w:pPr>
        <w:pStyle w:val="Citation-AltC"/>
        <w:spacing w:after="240"/>
        <w:ind w:hanging="1166"/>
        <w:contextualSpacing w:val="0"/>
        <w:rPr>
          <w:lang w:val="fr-CA"/>
        </w:rPr>
      </w:pPr>
      <w:r>
        <w:rPr>
          <w:lang w:val="fr-CA"/>
        </w:rPr>
        <w:tab/>
      </w:r>
      <w:r>
        <w:rPr>
          <w:b/>
          <w:lang w:val="fr-CA"/>
        </w:rPr>
        <w:t>34 </w:t>
      </w:r>
      <w:r>
        <w:rPr>
          <w:lang w:val="fr-CA"/>
        </w:rPr>
        <w:t>. . . </w:t>
      </w:r>
    </w:p>
    <w:p w:rsidR="00741557" w:rsidRDefault="001602DA" w:rsidP="00984184">
      <w:pPr>
        <w:pStyle w:val="Citation-AltC"/>
        <w:tabs>
          <w:tab w:val="left" w:pos="1440"/>
        </w:tabs>
        <w:spacing w:line="276" w:lineRule="auto"/>
        <w:ind w:left="1980" w:hanging="1980"/>
        <w:rPr>
          <w:lang w:val="fr-CA"/>
        </w:rPr>
      </w:pPr>
      <w:r>
        <w:rPr>
          <w:lang w:val="fr-CA"/>
        </w:rPr>
        <w:tab/>
      </w:r>
      <w:r w:rsidR="00741557" w:rsidRPr="00297869">
        <w:rPr>
          <w:lang w:val="fr-CA"/>
        </w:rPr>
        <w:t>(3)</w:t>
      </w:r>
      <w:r w:rsidR="00741557" w:rsidRPr="00297869">
        <w:rPr>
          <w:lang w:val="fr-CA"/>
        </w:rPr>
        <w:tab/>
        <w:t xml:space="preserve">Le </w:t>
      </w:r>
      <w:r w:rsidR="00741557" w:rsidRPr="008940CB">
        <w:rPr>
          <w:lang w:val="fr-CA"/>
        </w:rPr>
        <w:t>tribunal</w:t>
      </w:r>
      <w:r w:rsidR="00741557" w:rsidRPr="00297869">
        <w:rPr>
          <w:lang w:val="fr-CA"/>
        </w:rPr>
        <w:t xml:space="preserve"> peut rendre une ordonnance en vertu du paragraphe (1), </w:t>
      </w:r>
      <w:r w:rsidR="00741557" w:rsidRPr="00297869">
        <w:rPr>
          <w:u w:val="single"/>
          <w:lang w:val="fr-CA"/>
        </w:rPr>
        <w:t>que tous les membres du groupe ou du sous</w:t>
      </w:r>
      <w:r w:rsidR="00741557" w:rsidRPr="00297869">
        <w:rPr>
          <w:u w:val="single"/>
          <w:lang w:val="fr-CA"/>
        </w:rPr>
        <w:noBreakHyphen/>
        <w:t>groupe soient identifiables ou non</w:t>
      </w:r>
      <w:r w:rsidR="00741557" w:rsidRPr="00297869">
        <w:rPr>
          <w:lang w:val="fr-CA"/>
        </w:rPr>
        <w:t>, ou que la part de chacun d’eux puisse être ou non établie exactement.</w:t>
      </w:r>
    </w:p>
    <w:p w:rsidR="00984184" w:rsidRDefault="00984184" w:rsidP="00984184">
      <w:pPr>
        <w:pStyle w:val="Citation-AltC"/>
        <w:tabs>
          <w:tab w:val="left" w:pos="1440"/>
        </w:tabs>
        <w:spacing w:line="276" w:lineRule="auto"/>
        <w:ind w:left="1980" w:hanging="1980"/>
        <w:rPr>
          <w:lang w:val="fr-CA"/>
        </w:rPr>
      </w:pPr>
    </w:p>
    <w:p w:rsidR="00741557" w:rsidRDefault="00741557" w:rsidP="00984184">
      <w:pPr>
        <w:pStyle w:val="Citation-AltC"/>
        <w:tabs>
          <w:tab w:val="left" w:pos="1440"/>
        </w:tabs>
        <w:spacing w:line="276" w:lineRule="auto"/>
        <w:ind w:left="1980" w:hanging="1980"/>
        <w:rPr>
          <w:lang w:val="fr-CA"/>
        </w:rPr>
      </w:pPr>
      <w:r w:rsidRPr="00297869">
        <w:rPr>
          <w:lang w:val="fr-CA"/>
        </w:rPr>
        <w:tab/>
        <w:t>(4)</w:t>
      </w:r>
      <w:r w:rsidRPr="00297869">
        <w:rPr>
          <w:lang w:val="fr-CA"/>
        </w:rPr>
        <w:tab/>
        <w:t xml:space="preserve">Le </w:t>
      </w:r>
      <w:r w:rsidRPr="008940CB">
        <w:rPr>
          <w:lang w:val="fr-CA"/>
        </w:rPr>
        <w:t>tribunal</w:t>
      </w:r>
      <w:r w:rsidRPr="00297869">
        <w:rPr>
          <w:lang w:val="fr-CA"/>
        </w:rPr>
        <w:t xml:space="preserve"> peut rendre une ordonnance en vertu du paragraphe (1), même s</w:t>
      </w:r>
      <w:r w:rsidR="00B74063">
        <w:rPr>
          <w:lang w:val="fr-CA"/>
        </w:rPr>
        <w:t>i cette ordonnance profiterait</w:t>
      </w:r>
    </w:p>
    <w:p w:rsidR="007171C4" w:rsidRPr="00297869" w:rsidRDefault="007171C4" w:rsidP="007171C4">
      <w:pPr>
        <w:pStyle w:val="Citation-AltC"/>
        <w:tabs>
          <w:tab w:val="left" w:pos="1620"/>
        </w:tabs>
        <w:spacing w:line="276" w:lineRule="auto"/>
        <w:ind w:left="2070" w:hanging="900"/>
        <w:rPr>
          <w:lang w:val="fr-CA"/>
        </w:rPr>
      </w:pPr>
    </w:p>
    <w:p w:rsidR="00741557" w:rsidRPr="00297869" w:rsidRDefault="00984184" w:rsidP="00984184">
      <w:pPr>
        <w:pStyle w:val="Citation-AltC"/>
        <w:tabs>
          <w:tab w:val="left" w:pos="1980"/>
        </w:tabs>
        <w:ind w:left="2340" w:hanging="2340"/>
        <w:rPr>
          <w:lang w:val="fr-CA"/>
        </w:rPr>
      </w:pPr>
      <w:r>
        <w:rPr>
          <w:lang w:val="fr-CA"/>
        </w:rPr>
        <w:tab/>
        <w:t>(</w:t>
      </w:r>
      <w:r w:rsidR="00741557" w:rsidRPr="00297869">
        <w:rPr>
          <w:lang w:val="fr-CA"/>
        </w:rPr>
        <w:t>a)</w:t>
      </w:r>
      <w:r w:rsidR="00741557" w:rsidRPr="00297869">
        <w:rPr>
          <w:lang w:val="fr-CA"/>
        </w:rPr>
        <w:tab/>
      </w:r>
      <w:r w:rsidR="00741557" w:rsidRPr="00297869">
        <w:rPr>
          <w:u w:val="single"/>
          <w:lang w:val="fr-CA"/>
        </w:rPr>
        <w:t xml:space="preserve">à des </w:t>
      </w:r>
      <w:r w:rsidR="00741557" w:rsidRPr="001602DA">
        <w:rPr>
          <w:u w:val="single"/>
          <w:lang w:val="fr-CA"/>
        </w:rPr>
        <w:t>personnes</w:t>
      </w:r>
      <w:r w:rsidR="00741557" w:rsidRPr="00297869">
        <w:rPr>
          <w:u w:val="single"/>
          <w:lang w:val="fr-CA"/>
        </w:rPr>
        <w:t xml:space="preserve"> qui ne sont pas membres du groupe ou du sous</w:t>
      </w:r>
      <w:r w:rsidR="00741557" w:rsidRPr="00297869">
        <w:rPr>
          <w:u w:val="single"/>
          <w:lang w:val="fr-CA"/>
        </w:rPr>
        <w:noBreakHyphen/>
        <w:t>groupe</w:t>
      </w:r>
      <w:r w:rsidR="00741557" w:rsidRPr="00297869" w:rsidDel="00F36171">
        <w:rPr>
          <w:lang w:val="fr-CA"/>
        </w:rPr>
        <w:t xml:space="preserve"> </w:t>
      </w:r>
      <w:r w:rsidR="00B74063">
        <w:rPr>
          <w:lang w:val="fr-CA"/>
        </w:rPr>
        <w:t>. . .</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lastRenderedPageBreak/>
        <w:t>Selon l’interprétatio</w:t>
      </w:r>
      <w:r w:rsidR="0018716D">
        <w:rPr>
          <w:rFonts w:cs="Times New Roman"/>
          <w:lang w:val="fr-CA"/>
        </w:rPr>
        <w:t>n qui en a été donnée, l’art.</w:t>
      </w:r>
      <w:r w:rsidRPr="00297869">
        <w:rPr>
          <w:rFonts w:cs="Times New Roman"/>
          <w:lang w:val="fr-CA"/>
        </w:rPr>
        <w:t> 34 autorise le versement selon le principe de l’aussi</w:t>
      </w:r>
      <w:r w:rsidRPr="00297869">
        <w:rPr>
          <w:rFonts w:cs="Times New Roman"/>
          <w:lang w:val="fr-CA"/>
        </w:rPr>
        <w:noBreakHyphen/>
        <w:t>près</w:t>
      </w:r>
      <w:r w:rsidRPr="00297869">
        <w:rPr>
          <w:rFonts w:cs="Times New Roman"/>
          <w:i/>
          <w:lang w:val="fr-CA"/>
        </w:rPr>
        <w:t xml:space="preserve"> </w:t>
      </w:r>
      <w:r w:rsidRPr="00297869">
        <w:rPr>
          <w:rFonts w:cs="Times New Roman"/>
          <w:lang w:val="fr-CA"/>
        </w:rPr>
        <w:t>— c’est</w:t>
      </w:r>
      <w:r w:rsidRPr="00297869">
        <w:rPr>
          <w:rFonts w:cs="Times New Roman"/>
          <w:lang w:val="fr-CA"/>
        </w:rPr>
        <w:noBreakHyphen/>
        <w:t>à</w:t>
      </w:r>
      <w:r w:rsidRPr="00297869">
        <w:rPr>
          <w:rFonts w:cs="Times New Roman"/>
          <w:lang w:val="fr-CA"/>
        </w:rPr>
        <w:noBreakHyphen/>
        <w:t xml:space="preserve">dire à des organismes de bienfaisance dans les situations où certains membres du groupe ne peuvent être connus.  Le juge Winkler fait remarquer à propos de l’art. 26 de la </w:t>
      </w:r>
      <w:r w:rsidRPr="00297869">
        <w:rPr>
          <w:rFonts w:cs="Times New Roman"/>
          <w:i/>
          <w:lang w:val="fr-CA"/>
        </w:rPr>
        <w:t>Class Proceedings Act, 1992</w:t>
      </w:r>
      <w:r w:rsidRPr="00297869">
        <w:rPr>
          <w:rFonts w:cs="Times New Roman"/>
          <w:lang w:val="fr-CA"/>
        </w:rPr>
        <w:t>, L.O. 1992, ch. 6, la disposition équivalente en Ontario, que cette conception du groupe permettait que soit ordonné [</w:t>
      </w:r>
      <w:r w:rsidRPr="00297869">
        <w:rPr>
          <w:rFonts w:cs="Times New Roman"/>
          <w:smallCaps/>
          <w:lang w:val="fr-CA"/>
        </w:rPr>
        <w:t>traduction</w:t>
      </w:r>
      <w:r w:rsidRPr="00297869">
        <w:rPr>
          <w:rFonts w:cs="Times New Roman"/>
          <w:lang w:val="fr-CA"/>
        </w:rPr>
        <w:t>] « un règlement par versement suivant le principe de l’aussi</w:t>
      </w:r>
      <w:r w:rsidRPr="00297869">
        <w:rPr>
          <w:rFonts w:cs="Times New Roman"/>
          <w:lang w:val="fr-CA"/>
        </w:rPr>
        <w:noBreakHyphen/>
        <w:t xml:space="preserve">près </w:t>
      </w:r>
      <w:r w:rsidRPr="00297869">
        <w:rPr>
          <w:rFonts w:cs="Times New Roman"/>
          <w:u w:val="single"/>
          <w:lang w:val="fr-CA"/>
        </w:rPr>
        <w:t>exclusivement</w:t>
      </w:r>
      <w:r w:rsidRPr="00297869">
        <w:rPr>
          <w:rFonts w:cs="Times New Roman"/>
          <w:lang w:val="fr-CA"/>
        </w:rPr>
        <w:t> » (</w:t>
      </w:r>
      <w:r w:rsidRPr="00297869">
        <w:rPr>
          <w:rFonts w:cs="Times New Roman"/>
          <w:i/>
          <w:lang w:val="fr-CA"/>
        </w:rPr>
        <w:t>Gilbert c. Canadian Imperial Bank of Commerce</w:t>
      </w:r>
      <w:r w:rsidRPr="00297869">
        <w:rPr>
          <w:rFonts w:cs="Times New Roman"/>
          <w:lang w:val="fr-CA"/>
        </w:rPr>
        <w:t xml:space="preserve"> (2004), 3 C.P.C. (6th) 35 (C.S.J. Ont.), par. 15 (je souligne)).  Voir aussi</w:t>
      </w:r>
      <w:r w:rsidRPr="00297869">
        <w:rPr>
          <w:rFonts w:cs="Times New Roman"/>
          <w:szCs w:val="24"/>
          <w:lang w:val="fr-CA"/>
        </w:rPr>
        <w:t xml:space="preserve"> </w:t>
      </w:r>
      <w:r w:rsidRPr="00297869">
        <w:rPr>
          <w:rFonts w:cs="Times New Roman"/>
          <w:i/>
          <w:lang w:val="fr-CA"/>
        </w:rPr>
        <w:t>Cassano c. Toronto</w:t>
      </w:r>
      <w:r w:rsidRPr="00297869">
        <w:rPr>
          <w:rFonts w:cs="Times New Roman"/>
          <w:i/>
          <w:lang w:val="fr-CA"/>
        </w:rPr>
        <w:noBreakHyphen/>
        <w:t>Dominion Bank</w:t>
      </w:r>
      <w:r w:rsidRPr="00297869">
        <w:rPr>
          <w:rFonts w:cs="Times New Roman"/>
          <w:lang w:val="fr-CA"/>
        </w:rPr>
        <w:t xml:space="preserve"> (2009),</w:t>
      </w:r>
      <w:r w:rsidR="0018716D">
        <w:rPr>
          <w:rFonts w:cs="Times New Roman"/>
          <w:lang w:val="fr-CA"/>
        </w:rPr>
        <w:t xml:space="preserve"> 98 O.R. (3d) 543 (C.S.J.), </w:t>
      </w:r>
      <w:r w:rsidR="000708B1">
        <w:rPr>
          <w:rFonts w:cs="Times New Roman"/>
          <w:lang w:val="fr-CA"/>
        </w:rPr>
        <w:t>par. 15 et 17</w:t>
      </w:r>
      <w:r w:rsidRPr="00297869">
        <w:rPr>
          <w:rFonts w:cs="Times New Roman"/>
          <w:lang w:val="fr-CA"/>
        </w:rPr>
        <w:t>.</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Et, bien que leur application soit subordonnée à une conclusion préalable de responsabilité (</w:t>
      </w:r>
      <w:r w:rsidR="0018716D">
        <w:rPr>
          <w:rFonts w:cs="Times New Roman"/>
          <w:lang w:val="fr-CA"/>
        </w:rPr>
        <w:t xml:space="preserve">voir </w:t>
      </w:r>
      <w:r w:rsidRPr="00297869">
        <w:rPr>
          <w:rFonts w:cs="Times New Roman"/>
          <w:i/>
          <w:lang w:val="fr-CA"/>
        </w:rPr>
        <w:t>Pro</w:t>
      </w:r>
      <w:r w:rsidRPr="00297869">
        <w:rPr>
          <w:rFonts w:cs="Times New Roman"/>
          <w:i/>
          <w:lang w:val="fr-CA"/>
        </w:rPr>
        <w:noBreakHyphen/>
        <w:t>Sys</w:t>
      </w:r>
      <w:r w:rsidRPr="00297869">
        <w:rPr>
          <w:rFonts w:cs="Times New Roman"/>
          <w:lang w:val="fr-CA"/>
        </w:rPr>
        <w:t>, par. 131), les dispositions autorisant l’octroi de dommages</w:t>
      </w:r>
      <w:r w:rsidRPr="00297869">
        <w:rPr>
          <w:rFonts w:cs="Times New Roman"/>
          <w:lang w:val="fr-CA"/>
        </w:rPr>
        <w:noBreakHyphen/>
        <w:t xml:space="preserve">intérêts globaux favorisent néanmoins l’accès à la justice et la modification des comportements dans les cas où la </w:t>
      </w:r>
      <w:r w:rsidRPr="00297869">
        <w:rPr>
          <w:rFonts w:cs="Times New Roman"/>
          <w:i/>
          <w:lang w:val="fr-CA"/>
        </w:rPr>
        <w:t>responsabilité envers le groupe</w:t>
      </w:r>
      <w:r w:rsidRPr="00297869">
        <w:rPr>
          <w:rFonts w:cs="Times New Roman"/>
          <w:lang w:val="fr-CA"/>
        </w:rPr>
        <w:t xml:space="preserve"> a été démontrée, mais où l’appartenance au groupe est difficile ou impossible à établir.  L’évaluation globale des dommages</w:t>
      </w:r>
      <w:r w:rsidRPr="00297869">
        <w:rPr>
          <w:rFonts w:cs="Times New Roman"/>
          <w:lang w:val="fr-CA"/>
        </w:rPr>
        <w:noBreakHyphen/>
        <w:t>intérêts constitue une question commune importante qui touche directement à l’objectif de modification des comportements des recours collectifs.  Il s’agit d’un outil puissant en la matière.</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 xml:space="preserve">En conséquence, la loi prévoit expressément la possibilité qu’il soit difficile, voire impossible, pour certaines personnes de s’estimer visées par le mécanisme procédural du recours collectif.  De telles difficultés n’ont pas été jugées fatales à la certification sous le régime de la </w:t>
      </w:r>
      <w:r w:rsidRPr="00297869">
        <w:rPr>
          <w:rFonts w:cs="Times New Roman"/>
          <w:i/>
          <w:lang w:val="fr-CA"/>
        </w:rPr>
        <w:t>CPA</w:t>
      </w:r>
      <w:r w:rsidRPr="00297869">
        <w:rPr>
          <w:rFonts w:cs="Times New Roman"/>
          <w:lang w:val="fr-CA"/>
        </w:rPr>
        <w:t xml:space="preserve"> (en C.</w:t>
      </w:r>
      <w:r w:rsidRPr="00297869">
        <w:rPr>
          <w:rFonts w:cs="Times New Roman"/>
          <w:lang w:val="fr-CA"/>
        </w:rPr>
        <w:noBreakHyphen/>
        <w:t xml:space="preserve">B. et en Ontario), dans la </w:t>
      </w:r>
      <w:r w:rsidRPr="00297869">
        <w:rPr>
          <w:rFonts w:cs="Times New Roman"/>
          <w:lang w:val="fr-CA"/>
        </w:rPr>
        <w:lastRenderedPageBreak/>
        <w:t xml:space="preserve">mesure où l’existence d’un groupe repose sur un « certain fondement factuel » et où un lien rationnel entre le groupe et les questions communes est établi.  Voir, par exemple, </w:t>
      </w:r>
      <w:r w:rsidRPr="00297869">
        <w:rPr>
          <w:rFonts w:cs="Times New Roman"/>
          <w:i/>
          <w:lang w:val="fr-CA"/>
        </w:rPr>
        <w:t>Lau</w:t>
      </w:r>
      <w:r w:rsidR="0018716D">
        <w:rPr>
          <w:rFonts w:cs="Times New Roman"/>
          <w:lang w:val="fr-CA"/>
        </w:rPr>
        <w:t xml:space="preserve">, </w:t>
      </w:r>
      <w:r w:rsidRPr="00297869">
        <w:rPr>
          <w:rFonts w:cs="Times New Roman"/>
          <w:lang w:val="fr-CA"/>
        </w:rPr>
        <w:t>par. 21</w:t>
      </w:r>
      <w:r w:rsidR="00FA2BEE">
        <w:rPr>
          <w:rFonts w:cs="Times New Roman"/>
          <w:lang w:val="fr-CA"/>
        </w:rPr>
        <w:t>-</w:t>
      </w:r>
      <w:r w:rsidRPr="00297869">
        <w:rPr>
          <w:rFonts w:cs="Times New Roman"/>
          <w:lang w:val="fr-CA"/>
        </w:rPr>
        <w:t>22</w:t>
      </w:r>
      <w:r w:rsidR="0018716D">
        <w:rPr>
          <w:rFonts w:cs="Times New Roman"/>
          <w:lang w:val="fr-CA"/>
        </w:rPr>
        <w:t>,</w:t>
      </w:r>
      <w:r w:rsidRPr="00297869">
        <w:rPr>
          <w:rFonts w:cs="Times New Roman"/>
          <w:lang w:val="fr-CA"/>
        </w:rPr>
        <w:t xml:space="preserve"> et</w:t>
      </w:r>
      <w:r w:rsidRPr="00297869">
        <w:rPr>
          <w:rFonts w:cs="Times New Roman"/>
          <w:szCs w:val="24"/>
          <w:lang w:val="fr-CA"/>
        </w:rPr>
        <w:t xml:space="preserve"> </w:t>
      </w:r>
      <w:r w:rsidRPr="00297869">
        <w:rPr>
          <w:rFonts w:cs="Times New Roman"/>
          <w:i/>
          <w:szCs w:val="24"/>
          <w:lang w:val="fr-CA"/>
        </w:rPr>
        <w:t>Steele</w:t>
      </w:r>
      <w:r w:rsidRPr="00297869">
        <w:rPr>
          <w:rFonts w:cs="Times New Roman"/>
          <w:szCs w:val="24"/>
          <w:lang w:val="fr-CA"/>
        </w:rPr>
        <w:t xml:space="preserve">. </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La Cour souligne dans</w:t>
      </w:r>
      <w:r w:rsidRPr="00297869">
        <w:rPr>
          <w:rFonts w:cs="Times New Roman"/>
          <w:i/>
          <w:lang w:val="fr-CA"/>
        </w:rPr>
        <w:t xml:space="preserve"> Dutton </w:t>
      </w:r>
      <w:r w:rsidRPr="00297869">
        <w:rPr>
          <w:rFonts w:cs="Times New Roman"/>
          <w:lang w:val="fr-CA"/>
        </w:rPr>
        <w:t xml:space="preserve">que « l’appartenance d’une personne au groupe [devrait pouvoir] être déterminée sur des critères explicites et objectifs » (par. 38). </w:t>
      </w:r>
      <w:r w:rsidRPr="00297869">
        <w:rPr>
          <w:rFonts w:cs="Times New Roman"/>
          <w:iCs/>
          <w:szCs w:val="24"/>
          <w:lang w:val="fr-CA"/>
        </w:rPr>
        <w:t xml:space="preserve"> Cette exigence a trait à la nécessité de définir clairement les critères d’appartenance au groupe — et non à la capacité d’une personne donnée de prouver qu’elle y satisfait. </w:t>
      </w:r>
      <w:r w:rsidRPr="00297869">
        <w:rPr>
          <w:rFonts w:cs="Times New Roman"/>
          <w:lang w:val="fr-CA"/>
        </w:rPr>
        <w:t xml:space="preserve"> Que les demandeurs puissent ou non établir le bien</w:t>
      </w:r>
      <w:r w:rsidRPr="00297869">
        <w:rPr>
          <w:rFonts w:cs="Times New Roman"/>
          <w:lang w:val="fr-CA"/>
        </w:rPr>
        <w:noBreakHyphen/>
        <w:t>fondé de leur demande de réparation individuelle est une question distincte n’ayant pas à être tranchée à l’étape de la certification.</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iCs/>
          <w:szCs w:val="24"/>
          <w:lang w:val="fr-CA"/>
        </w:rPr>
        <w:t xml:space="preserve">Le dossier en l’espèce étaye suffisamment </w:t>
      </w:r>
      <w:r w:rsidRPr="00297869">
        <w:rPr>
          <w:rFonts w:cs="Times New Roman"/>
          <w:lang w:val="fr-CA"/>
        </w:rPr>
        <w:t>l’</w:t>
      </w:r>
      <w:r w:rsidRPr="00297869">
        <w:rPr>
          <w:rFonts w:cs="Times New Roman"/>
          <w:i/>
          <w:lang w:val="fr-CA"/>
        </w:rPr>
        <w:t>existence</w:t>
      </w:r>
      <w:r w:rsidRPr="00297869">
        <w:rPr>
          <w:rFonts w:cs="Times New Roman"/>
          <w:lang w:val="fr-CA"/>
        </w:rPr>
        <w:t xml:space="preserve"> du groupe (</w:t>
      </w:r>
      <w:r w:rsidRPr="00297869">
        <w:rPr>
          <w:rFonts w:cs="Times New Roman"/>
          <w:i/>
          <w:iCs/>
          <w:szCs w:val="24"/>
          <w:lang w:val="fr-CA"/>
        </w:rPr>
        <w:t>Lau</w:t>
      </w:r>
      <w:r w:rsidRPr="00297869">
        <w:rPr>
          <w:rFonts w:cs="Times New Roman"/>
          <w:iCs/>
          <w:szCs w:val="24"/>
          <w:lang w:val="fr-CA"/>
        </w:rPr>
        <w:t>, par. 23).  Les acheteurs directs de SMHTF ont utilisé largement cet édulcorant dans la confection de produits qui ont été vendus à grande échelle aux détaillants et consommateurs.  En matière de fixation des prix, la perte découle directement de l’achat du SMHTF, ou, dans le cas des acheteurs indirects, de produits en contenant.  La personne ayant acheté un tel produit durant la période pertinente serait fondée à intenter une poursuite en son propre nom.  Les acheteurs indirects ont en commun ce fondement pour établir le préjudice.  Il existe un lien rationnel entre le groupe tel qu’il est défini et les questions communes énoncées.  Voir</w:t>
      </w:r>
      <w:r w:rsidRPr="00297869">
        <w:rPr>
          <w:rFonts w:cs="Times New Roman"/>
          <w:i/>
          <w:szCs w:val="24"/>
          <w:lang w:val="fr-CA"/>
        </w:rPr>
        <w:t xml:space="preserve"> Ford c. F. Hoffmann</w:t>
      </w:r>
      <w:r w:rsidRPr="00297869">
        <w:rPr>
          <w:rFonts w:cs="Times New Roman"/>
          <w:i/>
          <w:szCs w:val="24"/>
          <w:lang w:val="fr-CA"/>
        </w:rPr>
        <w:noBreakHyphen/>
        <w:t>La Roche Ltd.</w:t>
      </w:r>
      <w:r w:rsidRPr="00297869">
        <w:rPr>
          <w:rFonts w:cs="Times New Roman"/>
          <w:szCs w:val="24"/>
          <w:lang w:val="fr-CA"/>
        </w:rPr>
        <w:t xml:space="preserve"> (2005),</w:t>
      </w:r>
      <w:r w:rsidR="0018716D">
        <w:rPr>
          <w:rFonts w:cs="Times New Roman"/>
          <w:szCs w:val="24"/>
          <w:lang w:val="fr-CA"/>
        </w:rPr>
        <w:t xml:space="preserve"> 74 O.R. (3d) 758 (C.S.J.), </w:t>
      </w:r>
      <w:r w:rsidRPr="00297869">
        <w:rPr>
          <w:rFonts w:cs="Times New Roman"/>
          <w:szCs w:val="24"/>
          <w:lang w:val="fr-CA"/>
        </w:rPr>
        <w:t>par. 22</w:t>
      </w:r>
      <w:r w:rsidRPr="00297869">
        <w:rPr>
          <w:rFonts w:cs="Times New Roman"/>
          <w:szCs w:val="24"/>
          <w:lang w:val="fr-CA"/>
        </w:rPr>
        <w:noBreakHyphen/>
        <w:t xml:space="preserve">23; </w:t>
      </w:r>
      <w:r w:rsidRPr="00297869">
        <w:rPr>
          <w:rFonts w:cs="Times New Roman"/>
          <w:i/>
          <w:szCs w:val="24"/>
          <w:lang w:val="fr-CA"/>
        </w:rPr>
        <w:t>Alfresh Beverages Canada Corp. c. Hoechst AG</w:t>
      </w:r>
      <w:r w:rsidRPr="00297869">
        <w:rPr>
          <w:rFonts w:cs="Times New Roman"/>
          <w:iCs/>
          <w:szCs w:val="24"/>
          <w:lang w:val="fr-CA"/>
        </w:rPr>
        <w:t xml:space="preserve"> (2002), 16 C.P.C. (5th) </w:t>
      </w:r>
      <w:r w:rsidR="00FA2BEE">
        <w:rPr>
          <w:rFonts w:cs="Times New Roman"/>
          <w:iCs/>
          <w:lang w:val="fr-CA"/>
        </w:rPr>
        <w:t>301</w:t>
      </w:r>
      <w:r w:rsidR="0018716D">
        <w:rPr>
          <w:rFonts w:cs="Times New Roman"/>
          <w:iCs/>
          <w:lang w:val="fr-CA"/>
        </w:rPr>
        <w:t xml:space="preserve"> (C.S.J. Ont.)</w:t>
      </w:r>
      <w:r w:rsidR="00282AF4">
        <w:rPr>
          <w:rFonts w:cs="Times New Roman"/>
          <w:iCs/>
          <w:lang w:val="fr-CA"/>
        </w:rPr>
        <w:t>,</w:t>
      </w:r>
      <w:r w:rsidR="0018716D">
        <w:rPr>
          <w:rFonts w:cs="Times New Roman"/>
          <w:iCs/>
          <w:lang w:val="fr-CA"/>
        </w:rPr>
        <w:t xml:space="preserve"> </w:t>
      </w:r>
      <w:r w:rsidRPr="00297869">
        <w:rPr>
          <w:rFonts w:cs="Times New Roman"/>
          <w:iCs/>
          <w:lang w:val="fr-CA"/>
        </w:rPr>
        <w:t>par. 11.</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lastRenderedPageBreak/>
        <w:t>Il n’est pas non plus contesté sérieusement qu’un certain fondement factuel permet de conclure que la fixation des prix reprochée a porté préjudice aux acheteurs indirects collectivement et donc que les membres du groupe ont subi un dommage.  La méthode proposée pour démontrer le préjudice causé aux membres du groupe vise à établir le montant global du surcoût.  En fait, comme le conclut le juge Rothstein, cette méthode repose sur un certain fondement factuel, et il est fort probable que le versement de toute indemnité ordonnée à l’issue de la présente instance sera effectué suivant le principe de l’aussi</w:t>
      </w:r>
      <w:r w:rsidRPr="00297869">
        <w:rPr>
          <w:rFonts w:cs="Times New Roman"/>
          <w:lang w:val="fr-CA"/>
        </w:rPr>
        <w:noBreakHyphen/>
        <w:t>près.  Ainsi, il ne sera peut</w:t>
      </w:r>
      <w:r w:rsidRPr="00297869">
        <w:rPr>
          <w:rFonts w:cs="Times New Roman"/>
          <w:lang w:val="fr-CA"/>
        </w:rPr>
        <w:noBreakHyphen/>
        <w:t>être jamais nécessaire ni impératif en droit que les membres individuels du groupe soient connus.</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 xml:space="preserve">Pour ces motifs, je ne suis pas convaincue qu’il faut à l’étape de la certification se demander s’il sera possible de prouver une perte individuelle.  En somme, bien qu’ils constituent un mécanisme procédural, les recours collectifs ne ressortissent pas </w:t>
      </w:r>
      <w:r w:rsidRPr="00297869">
        <w:rPr>
          <w:rFonts w:cs="Times New Roman"/>
          <w:i/>
          <w:lang w:val="fr-CA"/>
        </w:rPr>
        <w:t>simplement</w:t>
      </w:r>
      <w:r w:rsidRPr="00297869">
        <w:rPr>
          <w:rFonts w:cs="Times New Roman"/>
          <w:lang w:val="fr-CA"/>
        </w:rPr>
        <w:t xml:space="preserve"> à la procédure.  Ils rendent possibles des réclamations très complexes ou hors de portée d’un justiciable seul, non seulement parce qu’une telle procédure se révélerait inefficace ou inabordable, mais aussi parce qu’il peut être extrêmement difficile de prouver les réclamations individuelles.  La </w:t>
      </w:r>
      <w:r w:rsidRPr="00297869">
        <w:rPr>
          <w:rFonts w:cs="Times New Roman"/>
          <w:i/>
          <w:lang w:val="fr-CA"/>
        </w:rPr>
        <w:t>CPA</w:t>
      </w:r>
      <w:r w:rsidRPr="00297869">
        <w:rPr>
          <w:rFonts w:cs="Times New Roman"/>
          <w:lang w:val="fr-CA"/>
        </w:rPr>
        <w:t xml:space="preserve"> a bel et bien des répercussions sur le fond : elle crée une réparation qui reconnaît que les préjudices causés au groupe dans son ensemble peuvent être prouvés, même si la preuve des préjudices individuels est irréaliste, et qui peut être ordonnée même si elle est susceptible de profiter à des non</w:t>
      </w:r>
      <w:r w:rsidRPr="00297869">
        <w:rPr>
          <w:rFonts w:cs="Times New Roman"/>
          <w:lang w:val="fr-CA"/>
        </w:rPr>
        <w:noBreakHyphen/>
        <w:t>membres.</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lastRenderedPageBreak/>
        <w:t>Je suis d’accord avec le juge Rothstein pour dire que les dispositions autorisant l’octroi de dommages</w:t>
      </w:r>
      <w:r w:rsidRPr="00297869">
        <w:rPr>
          <w:rFonts w:cs="Times New Roman"/>
          <w:lang w:val="fr-CA"/>
        </w:rPr>
        <w:noBreakHyphen/>
        <w:t>intérêts globaux se rapportent à l’évaluation de la réparation et ne peuvent servir à établir la responsabilité.  Cependant, lorsque celle</w:t>
      </w:r>
      <w:r w:rsidRPr="00297869">
        <w:rPr>
          <w:rFonts w:cs="Times New Roman"/>
          <w:lang w:val="fr-CA"/>
        </w:rPr>
        <w:noBreakHyphen/>
        <w:t xml:space="preserve">ci est subordonnée à la preuve de la perte ou des dommages, par exemple dans une action fondée sur l’art. 36 de la </w:t>
      </w:r>
      <w:r w:rsidRPr="00297869">
        <w:rPr>
          <w:rFonts w:cs="Times New Roman"/>
          <w:i/>
          <w:lang w:val="fr-CA"/>
        </w:rPr>
        <w:t>Loi sur la concurrence</w:t>
      </w:r>
      <w:r w:rsidRPr="00297869">
        <w:rPr>
          <w:rFonts w:cs="Times New Roman"/>
          <w:lang w:val="fr-CA"/>
        </w:rPr>
        <w:t xml:space="preserve"> ou une action en responsabilité délictuelle, la preuve d’expert peut présenter une méthode valable et acceptable offrant une possibilité réaliste d’établir la perte pour l’ensemble du groupe.  Voir </w:t>
      </w:r>
      <w:r w:rsidRPr="00297869">
        <w:rPr>
          <w:rFonts w:cs="Times New Roman"/>
          <w:i/>
          <w:lang w:val="fr-CA"/>
        </w:rPr>
        <w:t>Pro</w:t>
      </w:r>
      <w:r w:rsidRPr="00297869">
        <w:rPr>
          <w:rFonts w:cs="Times New Roman"/>
          <w:i/>
          <w:lang w:val="fr-CA"/>
        </w:rPr>
        <w:noBreakHyphen/>
        <w:t>Sys</w:t>
      </w:r>
      <w:r w:rsidRPr="00297869">
        <w:rPr>
          <w:rFonts w:cs="Times New Roman"/>
          <w:lang w:val="fr-CA"/>
        </w:rPr>
        <w:t>, par. 120 et 140.  Bien qu’elles ne créent pas de nouvelles causes d’action, ces dispositions permettent à chaque membre du groupe d’obtenir des réparations qui lui seraient éventuellement refusées à l’issue d’une poursuite individuelle en raison des difficultés qu’il aurait à prouver l’étendue de sa propre perte.  Les dispositions autorisant l’octroi de dommages</w:t>
      </w:r>
      <w:r w:rsidRPr="00297869">
        <w:rPr>
          <w:rFonts w:cs="Times New Roman"/>
          <w:lang w:val="fr-CA"/>
        </w:rPr>
        <w:noBreakHyphen/>
        <w:t>intérêts globaux et les versements suivant le principe de l’aussi</w:t>
      </w:r>
      <w:r w:rsidRPr="00297869">
        <w:rPr>
          <w:rFonts w:cs="Times New Roman"/>
          <w:lang w:val="fr-CA"/>
        </w:rPr>
        <w:noBreakHyphen/>
        <w:t>près favorisent la modification des comportements et l’accès à la justice dans les cas où ces objectifs pourraient par ailleurs se révéler difficiles à atteindre.</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 xml:space="preserve">La Cour souligne dans l’arrêt </w:t>
      </w:r>
      <w:r w:rsidRPr="00297869">
        <w:rPr>
          <w:rFonts w:cs="Times New Roman"/>
          <w:i/>
          <w:lang w:val="fr-CA"/>
        </w:rPr>
        <w:t>Hollick</w:t>
      </w:r>
      <w:r w:rsidRPr="00297869">
        <w:rPr>
          <w:rFonts w:cs="Times New Roman"/>
          <w:lang w:val="fr-CA"/>
        </w:rPr>
        <w:t xml:space="preserve"> que les lois sur les recours collectifs doivent être interprétées libéralement, et non restrictivement, pour donner effet à l’objectif du législateur, à savoir favoriser l’économie des ressources judiciaires, l’accès à la justice et la modification du comportement des malfaiteurs (par. 14</w:t>
      </w:r>
      <w:r w:rsidRPr="00297869">
        <w:rPr>
          <w:rFonts w:cs="Times New Roman"/>
          <w:lang w:val="fr-CA"/>
        </w:rPr>
        <w:noBreakHyphen/>
        <w:t>15)</w:t>
      </w:r>
      <w:r w:rsidRPr="00297869">
        <w:rPr>
          <w:rStyle w:val="FootnoteReference"/>
          <w:rFonts w:cs="Times New Roman"/>
          <w:lang w:val="fr-CA"/>
        </w:rPr>
        <w:footnoteReference w:id="1"/>
      </w:r>
      <w:r w:rsidRPr="00297869">
        <w:rPr>
          <w:rFonts w:cs="Times New Roman"/>
          <w:lang w:val="fr-CA"/>
        </w:rPr>
        <w:t>.</w:t>
      </w:r>
    </w:p>
    <w:p w:rsidR="00741557" w:rsidRPr="00297869" w:rsidRDefault="00741557" w:rsidP="001B2FE4">
      <w:pPr>
        <w:pStyle w:val="Title2LevelTitre2Niveau"/>
        <w:rPr>
          <w:lang w:val="fr-CA"/>
        </w:rPr>
      </w:pPr>
      <w:r w:rsidRPr="00297869">
        <w:rPr>
          <w:lang w:val="fr-CA"/>
        </w:rPr>
        <w:t>Un certain fondement factuel permet d’établir que chacun des membres pourrait prouver une perte individuelle et donc que l’appartenance au groupe est déterminable</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lastRenderedPageBreak/>
        <w:t>Le juge Rothstein accepte la position des intimées et conclut que les appelantes n’ont pas produit de preuve susceptible de remédier au problème relatif à l’appartenance au groupe découlant de l’interchangeabilité des deux édulcorants pendant la période visée par le recours et du fait que les étiquettes à l’époque ne les distinguaient pas.  Selon lui, il paraît impossible d’établir qu’un acheteur indirect avait bel et bien acquis un produit donné contenant du SMHTF (par. 66).  Il a conclu que ce problème portait un coup fatal à la demande de certification.</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Le dossier ne mène pas à mon avis à la conclusion qu’il sera impossible de prouver l’appartenance au groupe — ou l’impossibilité pour les membres du groupe d’agir individuellement à titre de demandeurs.  Comme je l’ai expliqué, je ne crois pas qu’il soit nécessaire de répondre à cette question à l’étape de la certification.  Cela étant dit, je suis d’accord avec le juge de première instance pour dire qu’</w:t>
      </w:r>
      <w:r w:rsidR="00967CE7" w:rsidRPr="00737F76">
        <w:rPr>
          <w:rFonts w:cs="Times New Roman"/>
          <w:lang w:val="fr-CA"/>
        </w:rPr>
        <w:t>[</w:t>
      </w:r>
      <w:r w:rsidR="00967CE7" w:rsidRPr="00737F76">
        <w:rPr>
          <w:rFonts w:cs="Times New Roman"/>
          <w:smallCaps/>
          <w:lang w:val="fr-CA"/>
        </w:rPr>
        <w:t>traduction</w:t>
      </w:r>
      <w:r w:rsidR="00967CE7" w:rsidRPr="00737F76">
        <w:rPr>
          <w:rFonts w:cs="Times New Roman"/>
          <w:lang w:val="fr-CA"/>
        </w:rPr>
        <w:t>]</w:t>
      </w:r>
      <w:r w:rsidR="00967CE7" w:rsidRPr="00297869">
        <w:rPr>
          <w:rFonts w:cs="Times New Roman"/>
          <w:lang w:val="fr-CA"/>
        </w:rPr>
        <w:t xml:space="preserve"> </w:t>
      </w:r>
      <w:r w:rsidRPr="00297869">
        <w:rPr>
          <w:rFonts w:cs="Times New Roman"/>
          <w:lang w:val="fr-CA"/>
        </w:rPr>
        <w:t>« un certain fondement factuel » permet d’établir qu’une perte individuelle peut être prouvée.</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En fait, le juge Rothstein met l’accent sur les difficultés qu’auront les demandeurs à faire la preuve d’une perte individuelle.  Il convient que la preuve d’expert en l’espèce satisfait à la norme du « certain fondement factuel » et propose une méthode valable et acceptable d’établir qu’un préjudice a été causé à l’échelle du groupe.  Il n’est toutefois pas convaincu qu’« un certain fondement factuel » permet d’établir qu’une perte individuelle pourra être prouvée.</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lastRenderedPageBreak/>
        <w:t xml:space="preserve">Le juge Rothstein établit une norme de preuve trop exigeante.  Dans la présente affaire, la perte individuelle sera démontrée si les acheteurs indirects sont en mesure de prouver avoir acquis un produit contenant du SMHTF.  Néanmoins, même à l’étape de l’examen au fond, les demandeurs n’auront pas à démontrer, </w:t>
      </w:r>
      <w:r w:rsidRPr="00297869">
        <w:rPr>
          <w:rFonts w:cs="Times New Roman"/>
          <w:i/>
          <w:lang w:val="fr-CA"/>
        </w:rPr>
        <w:t>preuves à l’appui</w:t>
      </w:r>
      <w:r w:rsidRPr="00297869">
        <w:rPr>
          <w:rFonts w:cs="Times New Roman"/>
          <w:lang w:val="fr-CA"/>
        </w:rPr>
        <w:t xml:space="preserve">, avoir acheté un </w:t>
      </w:r>
      <w:r w:rsidRPr="00297869">
        <w:rPr>
          <w:rFonts w:cs="Times New Roman"/>
          <w:i/>
          <w:lang w:val="fr-CA"/>
        </w:rPr>
        <w:t>certain</w:t>
      </w:r>
      <w:r w:rsidRPr="00297869">
        <w:rPr>
          <w:rFonts w:cs="Times New Roman"/>
          <w:lang w:val="fr-CA"/>
        </w:rPr>
        <w:t xml:space="preserve"> produit</w:t>
      </w:r>
      <w:r w:rsidRPr="00297869">
        <w:rPr>
          <w:rFonts w:cs="Times New Roman"/>
          <w:i/>
          <w:lang w:val="fr-CA"/>
        </w:rPr>
        <w:t xml:space="preserve"> </w:t>
      </w:r>
      <w:r w:rsidRPr="00297869">
        <w:rPr>
          <w:rFonts w:cs="Times New Roman"/>
          <w:lang w:val="fr-CA"/>
        </w:rPr>
        <w:t xml:space="preserve">contenant du SMHTF.  L’étiquette — si effectivement le terme générique figurait sur l’étiquette au cours de toute la période — n’est pas le seul moyen de prouver qu’une perte individuelle a été subie.  Il suffira que le juge de première instance soit convaincu, à la lumière de la preuve, notamment d’expert, qu’un demandeur donné a </w:t>
      </w:r>
      <w:r w:rsidRPr="00297869">
        <w:rPr>
          <w:rFonts w:cs="Times New Roman"/>
          <w:i/>
          <w:lang w:val="fr-CA"/>
        </w:rPr>
        <w:t>probablement</w:t>
      </w:r>
      <w:r w:rsidRPr="00297869">
        <w:rPr>
          <w:rFonts w:cs="Times New Roman"/>
          <w:lang w:val="fr-CA"/>
        </w:rPr>
        <w:t xml:space="preserve"> acheté un produit contenant l’édulcorant en question.</w:t>
      </w:r>
    </w:p>
    <w:p w:rsidR="00741557" w:rsidRPr="00297869" w:rsidRDefault="00741557" w:rsidP="00741557">
      <w:pPr>
        <w:pStyle w:val="ParaNoNdepar-AltN"/>
        <w:tabs>
          <w:tab w:val="clear" w:pos="1152"/>
          <w:tab w:val="left" w:pos="1166"/>
        </w:tabs>
        <w:rPr>
          <w:rFonts w:cs="Times New Roman"/>
          <w:szCs w:val="24"/>
          <w:lang w:val="fr-CA"/>
        </w:rPr>
      </w:pPr>
      <w:r w:rsidRPr="00297869">
        <w:rPr>
          <w:rFonts w:cs="Times New Roman"/>
          <w:lang w:val="fr-CA"/>
        </w:rPr>
        <w:t xml:space="preserve">L’exigence que chacun des critères de certification repose sur un certain fondement factuel n’emporte pas d’examen sommaire au fond du recours et n’exige pas l’énumération des éléments que les demandeurs présenteront à l’appui de la demande.  « La question à cette étape n’est pas s’il est vraisemblable que la demande aboutisse, mais s’il convient de </w:t>
      </w:r>
      <w:r w:rsidR="00EF1441">
        <w:rPr>
          <w:rFonts w:cs="Times New Roman"/>
          <w:lang w:val="fr-CA"/>
        </w:rPr>
        <w:t>procéder par recours collectif (</w:t>
      </w:r>
      <w:r w:rsidRPr="00297869">
        <w:rPr>
          <w:rFonts w:cs="Times New Roman"/>
          <w:lang w:val="fr-CA"/>
        </w:rPr>
        <w:t xml:space="preserve">voir </w:t>
      </w:r>
      <w:r w:rsidRPr="00297869">
        <w:rPr>
          <w:rFonts w:cs="Times New Roman"/>
          <w:i/>
          <w:iCs/>
          <w:lang w:val="fr-CA"/>
        </w:rPr>
        <w:t>Hollick</w:t>
      </w:r>
      <w:r w:rsidRPr="00297869">
        <w:rPr>
          <w:rFonts w:cs="Times New Roman"/>
          <w:lang w:val="fr-CA"/>
        </w:rPr>
        <w:t>, par. 16 et 25</w:t>
      </w:r>
      <w:r w:rsidR="00EF1441">
        <w:rPr>
          <w:rFonts w:cs="Times New Roman"/>
          <w:lang w:val="fr-CA"/>
        </w:rPr>
        <w:t>)</w:t>
      </w:r>
      <w:r w:rsidRPr="00297869">
        <w:rPr>
          <w:rFonts w:cs="Times New Roman"/>
          <w:lang w:val="fr-CA"/>
        </w:rPr>
        <w:t>.</w:t>
      </w:r>
    </w:p>
    <w:p w:rsidR="00741557" w:rsidRPr="00297869" w:rsidRDefault="00741557" w:rsidP="00741557">
      <w:pPr>
        <w:pStyle w:val="ParaNoNdepar-AltN"/>
        <w:tabs>
          <w:tab w:val="clear" w:pos="1152"/>
          <w:tab w:val="left" w:pos="1166"/>
        </w:tabs>
        <w:rPr>
          <w:rFonts w:cs="Times New Roman"/>
          <w:szCs w:val="24"/>
          <w:lang w:val="fr-CA"/>
        </w:rPr>
      </w:pPr>
      <w:r w:rsidRPr="00297869">
        <w:rPr>
          <w:rFonts w:cs="Times New Roman"/>
          <w:lang w:val="fr-CA"/>
        </w:rPr>
        <w:t xml:space="preserve">Une demande fondée sur l’art. 36 de la </w:t>
      </w:r>
      <w:r w:rsidRPr="00297869">
        <w:rPr>
          <w:rFonts w:cs="Times New Roman"/>
          <w:i/>
          <w:lang w:val="fr-CA"/>
        </w:rPr>
        <w:t xml:space="preserve">Loi sur la concurrence </w:t>
      </w:r>
      <w:r w:rsidRPr="00297869">
        <w:rPr>
          <w:rFonts w:cs="Times New Roman"/>
          <w:lang w:val="fr-CA"/>
        </w:rPr>
        <w:t>exige la preuve de la perte — et non celle du montant de la perte — pour l’établissement de la responsabilité.  Le juge Rothstein convient que la preuve d’expert en l’espèce permet d’établir que le groupe a effectivement subi une perte.</w:t>
      </w:r>
      <w:r w:rsidRPr="00297869">
        <w:rPr>
          <w:rFonts w:cs="Times New Roman"/>
          <w:szCs w:val="24"/>
          <w:lang w:val="fr-CA"/>
        </w:rPr>
        <w:t xml:space="preserve">  </w:t>
      </w:r>
      <w:r w:rsidRPr="00297869">
        <w:rPr>
          <w:rFonts w:cs="Times New Roman"/>
          <w:lang w:val="fr-CA"/>
        </w:rPr>
        <w:t xml:space="preserve">Les appelantes ont produit des éléments de preuve et un cadre permettant de démontrer — selon la prépondérance </w:t>
      </w:r>
      <w:r w:rsidRPr="00297869">
        <w:rPr>
          <w:rFonts w:cs="Times New Roman"/>
          <w:lang w:val="fr-CA"/>
        </w:rPr>
        <w:lastRenderedPageBreak/>
        <w:t xml:space="preserve">des probabilités — l’achat de produits contenant du SMHTF. </w:t>
      </w:r>
      <w:r w:rsidRPr="00297869">
        <w:rPr>
          <w:rFonts w:cs="Times New Roman"/>
          <w:szCs w:val="24"/>
          <w:lang w:val="fr-CA"/>
        </w:rPr>
        <w:t xml:space="preserve"> Bien qu’une telle preuve puisse être difficile à faire, « un certain fondement factuel » permet de conclure que des acheteurs indirects pourraient établir qu’ils ont</w:t>
      </w:r>
      <w:r w:rsidRPr="00297869">
        <w:rPr>
          <w:rFonts w:cs="Times New Roman"/>
          <w:i/>
          <w:iCs/>
          <w:szCs w:val="24"/>
          <w:lang w:val="fr-CA"/>
        </w:rPr>
        <w:t xml:space="preserve"> pr</w:t>
      </w:r>
      <w:r w:rsidRPr="00297869">
        <w:rPr>
          <w:rFonts w:cs="Times New Roman"/>
          <w:i/>
          <w:szCs w:val="24"/>
          <w:lang w:val="fr-CA"/>
        </w:rPr>
        <w:t xml:space="preserve">obablement </w:t>
      </w:r>
      <w:r w:rsidRPr="00297869">
        <w:rPr>
          <w:rFonts w:cs="Times New Roman"/>
          <w:szCs w:val="24"/>
          <w:lang w:val="fr-CA"/>
        </w:rPr>
        <w:t>acheté durant la période pertinente des produits contenant du SMHTF dont le prix a été fixé.</w:t>
      </w:r>
      <w:r w:rsidRPr="00297869">
        <w:rPr>
          <w:rFonts w:cs="Times New Roman"/>
          <w:lang w:val="fr-CA"/>
        </w:rPr>
        <w:t xml:space="preserve">  La preuve des pratiques commerciales, de la forte présence de cet ingrédient et de la nature des achats pourrait suffire au juge de première instance pour tirer les conclusions nécessaires. </w:t>
      </w:r>
    </w:p>
    <w:p w:rsidR="00741557" w:rsidRPr="00297869" w:rsidRDefault="00741557" w:rsidP="00741557">
      <w:pPr>
        <w:pStyle w:val="ParaNoNdepar-AltN"/>
        <w:tabs>
          <w:tab w:val="clear" w:pos="1152"/>
          <w:tab w:val="left" w:pos="1166"/>
        </w:tabs>
        <w:rPr>
          <w:rFonts w:cs="Times New Roman"/>
          <w:szCs w:val="24"/>
          <w:lang w:val="fr-CA"/>
        </w:rPr>
      </w:pPr>
      <w:r w:rsidRPr="00297869">
        <w:rPr>
          <w:rFonts w:cs="Times New Roman"/>
          <w:szCs w:val="24"/>
          <w:lang w:val="fr-CA"/>
        </w:rPr>
        <w:t>À titre d’exemple, le rapport d’expert produit par les appelan</w:t>
      </w:r>
      <w:r w:rsidR="00967CE7">
        <w:rPr>
          <w:rFonts w:cs="Times New Roman"/>
          <w:szCs w:val="24"/>
          <w:lang w:val="fr-CA"/>
        </w:rPr>
        <w:t>tes et établi par M. Leitzinger</w:t>
      </w:r>
      <w:r w:rsidRPr="00297869">
        <w:rPr>
          <w:rFonts w:cs="Times New Roman"/>
          <w:szCs w:val="24"/>
          <w:lang w:val="fr-CA"/>
        </w:rPr>
        <w:t xml:space="preserve"> renfermait les renseignements suivants.  Les intimées contrôlaient conjointement la [</w:t>
      </w:r>
      <w:r w:rsidRPr="00297869">
        <w:rPr>
          <w:rFonts w:cs="Times New Roman"/>
          <w:smallCaps/>
          <w:szCs w:val="24"/>
          <w:lang w:val="fr-CA"/>
        </w:rPr>
        <w:t>traduction</w:t>
      </w:r>
      <w:r w:rsidRPr="00297869">
        <w:rPr>
          <w:rFonts w:cs="Times New Roman"/>
          <w:szCs w:val="24"/>
          <w:lang w:val="fr-CA"/>
        </w:rPr>
        <w:t xml:space="preserve">] « majeure partie de la production » de </w:t>
      </w:r>
      <w:r w:rsidRPr="00297869">
        <w:rPr>
          <w:rFonts w:cs="Times New Roman"/>
          <w:lang w:val="fr-CA"/>
        </w:rPr>
        <w:t>SMHTF</w:t>
      </w:r>
      <w:r w:rsidRPr="00297869">
        <w:rPr>
          <w:rFonts w:cs="Times New Roman"/>
          <w:szCs w:val="24"/>
          <w:lang w:val="fr-CA"/>
        </w:rPr>
        <w:t xml:space="preserve"> et détenaient donc vraisemblablement un monopole (</w:t>
      </w:r>
      <w:r w:rsidR="00967CE7">
        <w:rPr>
          <w:rFonts w:cs="Times New Roman"/>
          <w:szCs w:val="24"/>
          <w:lang w:val="fr-CA"/>
        </w:rPr>
        <w:t xml:space="preserve">d.a., vol. II, p. 81; </w:t>
      </w:r>
      <w:r w:rsidRPr="00297869">
        <w:rPr>
          <w:rFonts w:cs="Times New Roman"/>
          <w:szCs w:val="24"/>
          <w:lang w:val="fr-CA"/>
        </w:rPr>
        <w:t xml:space="preserve">rapport de M. Leitzinger, par. 6).  Les fabricants de boissons gazeuses représentent les premiers acheteurs de SMHTF, et </w:t>
      </w:r>
      <w:r w:rsidRPr="00297869">
        <w:rPr>
          <w:rFonts w:cs="Times New Roman"/>
          <w:lang w:val="fr-CA"/>
        </w:rPr>
        <w:t>les restaurants, grossistes en denrées alimentaires, supermarchés et dépanneurs, cinémas et autres établissements achètent les produits contenant cet édulcorant (par. 10</w:t>
      </w:r>
      <w:r w:rsidRPr="00297869">
        <w:rPr>
          <w:rFonts w:cs="Times New Roman"/>
          <w:lang w:val="fr-CA"/>
        </w:rPr>
        <w:noBreakHyphen/>
        <w:t>11).  L’industrie canadienne des boissons gazeuses « utilise environ 20 fois plus de SMHTF que de sucre » (par. 27), et la valeur de la majoration du prix du SMHTF transférée aux acheteurs indirects pourrait être évaluée suivant les techniques actuelles de modélisation économique (par. 56</w:t>
      </w:r>
      <w:r w:rsidRPr="00297869">
        <w:rPr>
          <w:rFonts w:cs="Times New Roman"/>
          <w:lang w:val="fr-CA"/>
        </w:rPr>
        <w:noBreakHyphen/>
        <w:t>57).  Selon M. Leitzinger, au moins une partie de la majoration aura été refilée aux acheteurs indirects, et sa valeur pourrait être calculée à l’aide de données tombées dans le domaine public de même que de celles divulguées à l’enquête préalable (par. 58</w:t>
      </w:r>
      <w:r w:rsidRPr="00297869">
        <w:rPr>
          <w:rFonts w:cs="Times New Roman"/>
          <w:lang w:val="fr-CA"/>
        </w:rPr>
        <w:noBreakHyphen/>
        <w:t>64 et 75</w:t>
      </w:r>
      <w:r w:rsidRPr="00297869">
        <w:rPr>
          <w:rFonts w:cs="Times New Roman"/>
          <w:lang w:val="fr-CA"/>
        </w:rPr>
        <w:noBreakHyphen/>
        <w:t>77).</w:t>
      </w:r>
    </w:p>
    <w:p w:rsidR="00741557" w:rsidRPr="00297869" w:rsidRDefault="00741557" w:rsidP="00741557">
      <w:pPr>
        <w:pStyle w:val="ParaNoNdepar-AltN"/>
        <w:tabs>
          <w:tab w:val="clear" w:pos="1152"/>
          <w:tab w:val="left" w:pos="1166"/>
        </w:tabs>
        <w:rPr>
          <w:rFonts w:cs="Times New Roman"/>
          <w:szCs w:val="24"/>
          <w:lang w:val="fr-CA"/>
        </w:rPr>
      </w:pPr>
      <w:r w:rsidRPr="00297869">
        <w:rPr>
          <w:rFonts w:cs="Times New Roman"/>
          <w:lang w:val="fr-CA"/>
        </w:rPr>
        <w:lastRenderedPageBreak/>
        <w:t xml:space="preserve">Par exemple, puisqu’une proportion appréciable de boissons gazeuses contient du SMHTF, un juge de première instance n’aurait éventuellement aucune difficulté à conclure que des grossistes, des épiceries ou même des particuliers — qui sont tous des acheteurs indirects éventuels de SMHTF — ont </w:t>
      </w:r>
      <w:r w:rsidRPr="00297869">
        <w:rPr>
          <w:rFonts w:cs="Times New Roman"/>
          <w:i/>
          <w:lang w:val="fr-CA"/>
        </w:rPr>
        <w:t>probablement</w:t>
      </w:r>
      <w:r w:rsidRPr="00297869">
        <w:rPr>
          <w:rFonts w:cs="Times New Roman"/>
          <w:lang w:val="fr-CA"/>
        </w:rPr>
        <w:t xml:space="preserve"> acheté certains produits contenant du SMHTF et à déterminer la perte subie, compte tenu du pourcentage des produits achetés contenant l’édulcorant en question.</w:t>
      </w:r>
    </w:p>
    <w:p w:rsidR="00741557" w:rsidRPr="00297869" w:rsidRDefault="00741557" w:rsidP="00741557">
      <w:pPr>
        <w:pStyle w:val="ParaNoNdepar-AltN"/>
        <w:tabs>
          <w:tab w:val="clear" w:pos="1152"/>
          <w:tab w:val="left" w:pos="1166"/>
        </w:tabs>
        <w:rPr>
          <w:rFonts w:cs="Times New Roman"/>
          <w:szCs w:val="24"/>
          <w:lang w:val="fr-CA"/>
        </w:rPr>
      </w:pPr>
      <w:r w:rsidRPr="00297869">
        <w:rPr>
          <w:rFonts w:cs="Times New Roman"/>
          <w:szCs w:val="24"/>
          <w:lang w:val="fr-CA"/>
        </w:rPr>
        <w:t>Les témoins experts des appelantes et des intimées ont débattu la réalité, la valeur et l’appréciabilité de la majoration du prix du SMHTF et de son transfert aux acheteurs indirects.  Cependant, l’évaluation de la preuve d’expert relève du juge chargé de l’instruction sur le fond.  Tout simplement, l’important c’est que les appelantes ont établi un certain fondement factuel permettant de conclure que le groupe proposé est identifiable et que chacun des membres du groupe pourrait être en mesure d’établir, suivant la prépondérance des probabilités, une perte individuelle, ce qui remédierait au problème relatif à l’appartenance dont parle le juge Rothstein (par. 65)</w:t>
      </w:r>
      <w:r w:rsidR="006D6171">
        <w:rPr>
          <w:rFonts w:cs="Times New Roman"/>
          <w:szCs w:val="24"/>
          <w:lang w:val="fr-CA"/>
        </w:rPr>
        <w:t>.</w:t>
      </w:r>
    </w:p>
    <w:p w:rsidR="00741557" w:rsidRPr="00297869" w:rsidRDefault="00741557" w:rsidP="00741557">
      <w:pPr>
        <w:pStyle w:val="ParaNoNdepar-AltN"/>
        <w:tabs>
          <w:tab w:val="clear" w:pos="1152"/>
          <w:tab w:val="left" w:pos="1166"/>
        </w:tabs>
        <w:rPr>
          <w:rFonts w:cs="Times New Roman"/>
          <w:szCs w:val="24"/>
          <w:lang w:val="fr-CA"/>
        </w:rPr>
      </w:pPr>
      <w:r w:rsidRPr="00297869">
        <w:rPr>
          <w:rFonts w:cs="Times New Roman"/>
          <w:szCs w:val="24"/>
          <w:lang w:val="fr-CA"/>
        </w:rPr>
        <w:t>Et bien que la demanderesse</w:t>
      </w:r>
      <w:r w:rsidRPr="00297869">
        <w:rPr>
          <w:rFonts w:cs="Times New Roman"/>
          <w:szCs w:val="24"/>
          <w:lang w:val="fr-CA"/>
        </w:rPr>
        <w:noBreakHyphen/>
        <w:t xml:space="preserve">représentante, Wendy Bredin (auparavant Weberg), n’était pas certaine d’avoir acheté des produits contenant du SMHTF, elle et d’autres personnes pourront s’estimer membres éventuels </w:t>
      </w:r>
      <w:r w:rsidR="006D6171">
        <w:rPr>
          <w:rFonts w:cs="Times New Roman"/>
          <w:szCs w:val="24"/>
          <w:lang w:val="fr-CA"/>
        </w:rPr>
        <w:t>si elles</w:t>
      </w:r>
      <w:r w:rsidRPr="00297869">
        <w:rPr>
          <w:rFonts w:cs="Times New Roman"/>
          <w:szCs w:val="24"/>
          <w:lang w:val="fr-CA"/>
        </w:rPr>
        <w:t xml:space="preserve"> savent les produits dans la composition desquels il a été reconnu qu’entrait régulièrement du SMHTF.  Pour les acheteurs indirects comme les grossistes et les supermarchés, l’enquête serait </w:t>
      </w:r>
      <w:r w:rsidRPr="00297869">
        <w:rPr>
          <w:rFonts w:cs="Times New Roman"/>
          <w:szCs w:val="24"/>
          <w:lang w:val="fr-CA"/>
        </w:rPr>
        <w:lastRenderedPageBreak/>
        <w:t>sans doute plus simple encore, leurs livres constatant leurs achats de produits contenant vraisemblablement du SMHTF.</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szCs w:val="24"/>
          <w:lang w:val="fr-CA"/>
        </w:rPr>
        <w:t>À mon avis, les difficultés de preuve invoquées par mon collègue et les intimées ne portent donc pas un coup fatal à la demande de certification en l’espèce.</w:t>
      </w:r>
    </w:p>
    <w:p w:rsidR="00741557" w:rsidRPr="00297869" w:rsidRDefault="00741557" w:rsidP="00741557">
      <w:pPr>
        <w:pStyle w:val="Title1LevelTitre1Niveau-AltL"/>
        <w:keepNext/>
        <w:rPr>
          <w:rFonts w:cs="Times New Roman"/>
        </w:rPr>
      </w:pPr>
      <w:r w:rsidRPr="00297869">
        <w:rPr>
          <w:rFonts w:cs="Times New Roman"/>
        </w:rPr>
        <w:t>Conclusion</w:t>
      </w:r>
      <w:r w:rsidRPr="00297869">
        <w:rPr>
          <w:rFonts w:cs="Times New Roman"/>
          <w:b/>
          <w:iCs/>
          <w:szCs w:val="24"/>
        </w:rPr>
        <w:t xml:space="preserve"> </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Pour ces motifs, je conviens avec le juge Rice, saisi de la demande, que les appelantes ont établi que l’existence d’un groupe identifiable, au sens où il faut entendre ce terme pour l’application de l’al. 4(1)</w:t>
      </w:r>
      <w:r w:rsidR="009F7F33">
        <w:rPr>
          <w:rFonts w:cs="Times New Roman"/>
          <w:lang w:val="fr-CA"/>
        </w:rPr>
        <w:t>(</w:t>
      </w:r>
      <w:r w:rsidRPr="00297869">
        <w:rPr>
          <w:rFonts w:cs="Times New Roman"/>
          <w:lang w:val="fr-CA"/>
        </w:rPr>
        <w:t xml:space="preserve">b) de la </w:t>
      </w:r>
      <w:r w:rsidRPr="00297869">
        <w:rPr>
          <w:rFonts w:cs="Times New Roman"/>
          <w:i/>
          <w:lang w:val="fr-CA"/>
        </w:rPr>
        <w:t>CPA</w:t>
      </w:r>
      <w:r w:rsidRPr="00297869">
        <w:rPr>
          <w:rFonts w:cs="Times New Roman"/>
          <w:lang w:val="fr-CA"/>
        </w:rPr>
        <w:t>, repose sur un certain fondement factuel</w:t>
      </w:r>
      <w:r w:rsidRPr="00297869">
        <w:rPr>
          <w:rFonts w:cs="Times New Roman"/>
          <w:i/>
          <w:lang w:val="fr-CA"/>
        </w:rPr>
        <w:t>.</w:t>
      </w:r>
      <w:r w:rsidRPr="00297869">
        <w:rPr>
          <w:rFonts w:cs="Times New Roman"/>
          <w:lang w:val="fr-CA"/>
        </w:rPr>
        <w:t xml:space="preserve">  Quant aux autres critères de certification analysés par le juge Rothstein, je souscris aux motifs de ce dernier.</w:t>
      </w:r>
    </w:p>
    <w:p w:rsidR="00741557" w:rsidRPr="00297869" w:rsidRDefault="00741557" w:rsidP="00741557">
      <w:pPr>
        <w:pStyle w:val="ParaNoNdepar-AltN"/>
        <w:tabs>
          <w:tab w:val="clear" w:pos="1152"/>
          <w:tab w:val="left" w:pos="1166"/>
        </w:tabs>
        <w:rPr>
          <w:rFonts w:cs="Times New Roman"/>
          <w:lang w:val="fr-CA"/>
        </w:rPr>
      </w:pPr>
      <w:r w:rsidRPr="00297869">
        <w:rPr>
          <w:rFonts w:cs="Times New Roman"/>
          <w:lang w:val="fr-CA"/>
        </w:rPr>
        <w:t>Je suis d’avis d’accueillir le pourvoi avec dépens et de renvoyer l’affaire à la Cour suprême de la Colombie</w:t>
      </w:r>
      <w:r w:rsidRPr="00297869">
        <w:rPr>
          <w:rFonts w:cs="Times New Roman"/>
          <w:lang w:val="fr-CA"/>
        </w:rPr>
        <w:noBreakHyphen/>
        <w:t xml:space="preserve">Britannique pour instruction.  Je souscris au dispositif proposé par le juge Rothstein dans l’appel incident. </w:t>
      </w:r>
    </w:p>
    <w:p w:rsidR="00741557" w:rsidRPr="00C972D0" w:rsidRDefault="00741557" w:rsidP="00741557">
      <w:pPr>
        <w:pStyle w:val="TitleTitre-AltT"/>
        <w:jc w:val="center"/>
        <w:rPr>
          <w:rFonts w:cs="Times New Roman"/>
          <w:lang w:val="fr-FR"/>
        </w:rPr>
      </w:pPr>
      <w:bookmarkStart w:id="51" w:name="_Toc360611933"/>
      <w:bookmarkStart w:id="52" w:name="_Toc370805269"/>
      <w:r w:rsidRPr="00C972D0">
        <w:rPr>
          <w:rFonts w:cs="Times New Roman"/>
          <w:lang w:val="fr-FR"/>
        </w:rPr>
        <w:t xml:space="preserve">ANNEXE : Questions communes certifiées par le juge </w:t>
      </w:r>
      <w:bookmarkEnd w:id="51"/>
      <w:r w:rsidRPr="00C972D0">
        <w:rPr>
          <w:rFonts w:cs="Times New Roman"/>
          <w:lang w:val="fr-FR"/>
        </w:rPr>
        <w:t>Rice</w:t>
      </w:r>
      <w:bookmarkEnd w:id="52"/>
    </w:p>
    <w:p w:rsidR="00741557" w:rsidRPr="00737F76" w:rsidRDefault="00741557" w:rsidP="00741557">
      <w:pPr>
        <w:spacing w:before="240" w:after="240"/>
        <w:ind w:left="720"/>
        <w:rPr>
          <w:u w:val="single"/>
          <w:lang w:val="fr-CA"/>
        </w:rPr>
      </w:pPr>
      <w:r w:rsidRPr="00737F76">
        <w:rPr>
          <w:u w:val="single"/>
          <w:lang w:val="fr-CA"/>
        </w:rPr>
        <w:t xml:space="preserve">Violation de la </w:t>
      </w:r>
      <w:r w:rsidRPr="00737F76">
        <w:rPr>
          <w:i/>
          <w:u w:val="single"/>
          <w:lang w:val="fr-CA"/>
        </w:rPr>
        <w:t>Loi sur la concurrence</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Les défenderesses, ou l’une d’elles, se sont</w:t>
      </w:r>
      <w:r w:rsidRPr="00737F76">
        <w:rPr>
          <w:rFonts w:cs="Times New Roman"/>
          <w:lang w:val="fr-CA"/>
        </w:rPr>
        <w:noBreakHyphen/>
        <w:t xml:space="preserve">elles livrées à un comportement allant à l’encontre de l’art. 45 de la </w:t>
      </w:r>
      <w:r w:rsidRPr="00737F76">
        <w:rPr>
          <w:rFonts w:cs="Times New Roman"/>
          <w:i/>
          <w:lang w:val="fr-CA"/>
        </w:rPr>
        <w:t>Loi sur la concurrence</w:t>
      </w:r>
      <w:r w:rsidRPr="00737F76">
        <w:rPr>
          <w:rFonts w:cs="Times New Roman"/>
          <w:lang w:val="fr-CA"/>
        </w:rPr>
        <w:t>?  Dans l’affirmative, pendant combien de temps?</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À combien s’établit le montant des dommages</w:t>
      </w:r>
      <w:r w:rsidRPr="00737F76">
        <w:rPr>
          <w:rFonts w:cs="Times New Roman"/>
          <w:lang w:val="fr-CA"/>
        </w:rPr>
        <w:noBreakHyphen/>
        <w:t xml:space="preserve">intérêts que les défenderesses non parties aux règlements doivent verser, s’il y a lieu, </w:t>
      </w:r>
      <w:r w:rsidRPr="00737F76">
        <w:rPr>
          <w:rFonts w:cs="Times New Roman"/>
          <w:lang w:val="fr-CA"/>
        </w:rPr>
        <w:lastRenderedPageBreak/>
        <w:t>aux membres</w:t>
      </w:r>
      <w:r w:rsidR="00453E85">
        <w:rPr>
          <w:rFonts w:cs="Times New Roman"/>
          <w:lang w:val="fr-CA"/>
        </w:rPr>
        <w:t xml:space="preserve"> du groupe en vertu de l’art.</w:t>
      </w:r>
      <w:r w:rsidRPr="00737F76">
        <w:rPr>
          <w:rFonts w:cs="Times New Roman"/>
          <w:lang w:val="fr-CA"/>
        </w:rPr>
        <w:t xml:space="preserve"> 36 de la </w:t>
      </w:r>
      <w:r w:rsidRPr="00737F76">
        <w:rPr>
          <w:rFonts w:cs="Times New Roman"/>
          <w:i/>
          <w:lang w:val="fr-CA"/>
        </w:rPr>
        <w:t>Loi sur la concurrence</w:t>
      </w:r>
      <w:r w:rsidRPr="00737F76">
        <w:rPr>
          <w:rFonts w:cs="Times New Roman"/>
          <w:lang w:val="fr-CA"/>
        </w:rPr>
        <w:t>?</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Les défenderesses non parties aux règlements, ou l’une d’elles, sont</w:t>
      </w:r>
      <w:r w:rsidRPr="00737F76">
        <w:rPr>
          <w:rFonts w:cs="Times New Roman"/>
          <w:lang w:val="fr-CA"/>
        </w:rPr>
        <w:noBreakHyphen/>
        <w:t xml:space="preserve">elles tenues d’assumer le coût en totalité ou en partie de l’enquête relativement à l’affaire aux termes de l’art. 36 de la </w:t>
      </w:r>
      <w:r w:rsidRPr="00737F76">
        <w:rPr>
          <w:rFonts w:cs="Times New Roman"/>
          <w:i/>
          <w:lang w:val="fr-CA"/>
        </w:rPr>
        <w:t>Loi sur la concurrence</w:t>
      </w:r>
      <w:r w:rsidRPr="00737F76">
        <w:rPr>
          <w:rFonts w:cs="Times New Roman"/>
          <w:lang w:val="fr-CA"/>
        </w:rPr>
        <w:t>?</w:t>
      </w:r>
    </w:p>
    <w:p w:rsidR="00741557" w:rsidRPr="00737F76" w:rsidRDefault="00741557" w:rsidP="00741557">
      <w:pPr>
        <w:spacing w:before="240" w:after="240"/>
        <w:ind w:left="720"/>
        <w:jc w:val="both"/>
        <w:rPr>
          <w:u w:val="single"/>
          <w:lang w:val="fr-CA"/>
        </w:rPr>
      </w:pPr>
      <w:r w:rsidRPr="00737F76">
        <w:rPr>
          <w:u w:val="single"/>
          <w:lang w:val="fr-CA"/>
        </w:rPr>
        <w:t>Complot</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Les défenderesses, ou l’une d’elles, ont</w:t>
      </w:r>
      <w:r w:rsidRPr="00737F76">
        <w:rPr>
          <w:rFonts w:cs="Times New Roman"/>
          <w:lang w:val="fr-CA"/>
        </w:rPr>
        <w:noBreakHyphen/>
        <w:t>elles participé à un complot visant à causer un préjudice aux membres du groupe?</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Les défenderesses, ou l’une d’elles, ont</w:t>
      </w:r>
      <w:r w:rsidRPr="00737F76">
        <w:rPr>
          <w:rFonts w:cs="Times New Roman"/>
          <w:lang w:val="fr-CA"/>
        </w:rPr>
        <w:noBreakHyphen/>
        <w:t>elles agi en vue de la réalisation du complot?</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 complot visait</w:t>
      </w:r>
      <w:r w:rsidRPr="00737F76">
        <w:rPr>
          <w:rFonts w:cs="Times New Roman"/>
          <w:lang w:val="fr-CA"/>
        </w:rPr>
        <w:noBreakHyphen/>
        <w:t>il principalement à causer un préjudice aux membres du groupe?</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Les auteurs du complot ont</w:t>
      </w:r>
      <w:r w:rsidRPr="00737F76">
        <w:rPr>
          <w:rFonts w:cs="Times New Roman"/>
          <w:lang w:val="fr-CA"/>
        </w:rPr>
        <w:noBreakHyphen/>
        <w:t>ils eu recours à des actes illégaux?</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Les défenderesses, ou l’une d’elles, savaient</w:t>
      </w:r>
      <w:r w:rsidRPr="00737F76">
        <w:rPr>
          <w:rFonts w:cs="Times New Roman"/>
          <w:lang w:val="fr-CA"/>
        </w:rPr>
        <w:noBreakHyphen/>
        <w:t>elles que le complot causerait vraisemblablement un préjudice aux membres du groupe?</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Les membres du groupe ont</w:t>
      </w:r>
      <w:r w:rsidRPr="00737F76">
        <w:rPr>
          <w:rFonts w:cs="Times New Roman"/>
          <w:lang w:val="fr-CA"/>
        </w:rPr>
        <w:noBreakHyphen/>
        <w:t>ils subi une perte financière? Dans l’affirmative, pendant combien de temps?</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Quel est le montant des dommages</w:t>
      </w:r>
      <w:r w:rsidRPr="00737F76">
        <w:rPr>
          <w:rFonts w:cs="Times New Roman"/>
          <w:lang w:val="fr-CA"/>
        </w:rPr>
        <w:noBreakHyphen/>
        <w:t>intérêts, s’il en est, payables par les défenderesses non parties aux règlements, ou l’une d’elles, aux membres du groupe?</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 montant des dommages</w:t>
      </w:r>
      <w:r w:rsidRPr="00737F76">
        <w:rPr>
          <w:rFonts w:cs="Times New Roman"/>
          <w:lang w:val="fr-CA"/>
        </w:rPr>
        <w:noBreakHyphen/>
        <w:t>intérêts peut</w:t>
      </w:r>
      <w:r w:rsidRPr="00737F76">
        <w:rPr>
          <w:rFonts w:cs="Times New Roman"/>
          <w:lang w:val="fr-CA"/>
        </w:rPr>
        <w:noBreakHyphen/>
        <w:t>il être établi globalement et, dans l’affirmative, quel est</w:t>
      </w:r>
      <w:r w:rsidRPr="00737F76">
        <w:rPr>
          <w:rFonts w:cs="Times New Roman"/>
          <w:lang w:val="fr-CA"/>
        </w:rPr>
        <w:noBreakHyphen/>
        <w:t>il?</w:t>
      </w:r>
    </w:p>
    <w:p w:rsidR="00741557" w:rsidRPr="00737F76" w:rsidRDefault="00741557" w:rsidP="00741557">
      <w:pPr>
        <w:spacing w:before="240" w:after="240"/>
        <w:ind w:left="720"/>
        <w:jc w:val="both"/>
        <w:rPr>
          <w:u w:val="single"/>
          <w:lang w:val="fr-CA"/>
        </w:rPr>
      </w:pPr>
      <w:r w:rsidRPr="00737F76">
        <w:rPr>
          <w:u w:val="single"/>
          <w:lang w:val="fr-CA"/>
        </w:rPr>
        <w:t xml:space="preserve">Atteinte </w:t>
      </w:r>
      <w:r w:rsidRPr="00737F76">
        <w:rPr>
          <w:szCs w:val="24"/>
          <w:u w:val="single"/>
          <w:lang w:val="fr-CA"/>
        </w:rPr>
        <w:t>délictuelle à des intérêts financiers</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Les défenderesses, ou l’une d’elles, ont</w:t>
      </w:r>
      <w:r w:rsidRPr="00737F76">
        <w:rPr>
          <w:rFonts w:cs="Times New Roman"/>
          <w:lang w:val="fr-CA"/>
        </w:rPr>
        <w:noBreakHyphen/>
        <w:t>elles eu l’intention de nuire aux membres du groupe?</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Les défenderesses, ou l’une d’elles, ont</w:t>
      </w:r>
      <w:r w:rsidRPr="00737F76">
        <w:rPr>
          <w:rFonts w:cs="Times New Roman"/>
          <w:lang w:val="fr-CA"/>
        </w:rPr>
        <w:noBreakHyphen/>
        <w:t>elles porté atteinte aux intérêts financiers des membres du groupe par des moyens illégaux?</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Les membres du groupe ont</w:t>
      </w:r>
      <w:r w:rsidRPr="00737F76">
        <w:rPr>
          <w:rFonts w:cs="Times New Roman"/>
          <w:lang w:val="fr-CA"/>
        </w:rPr>
        <w:noBreakHyphen/>
        <w:t>ils subi une perte financière par suite de cette atteinte? Dans l’affirmative, pendant combien de temps?</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Quel est le montant des dommages</w:t>
      </w:r>
      <w:r w:rsidRPr="00737F76">
        <w:rPr>
          <w:rFonts w:cs="Times New Roman"/>
          <w:lang w:val="fr-CA"/>
        </w:rPr>
        <w:noBreakHyphen/>
        <w:t>intérêts, s’il en est, payables par les défenderesses non parties aux règlements, ou l’une d’elles, aux membres du groupe?</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lastRenderedPageBreak/>
        <w:t>Le montant des dommages</w:t>
      </w:r>
      <w:r w:rsidRPr="00737F76">
        <w:rPr>
          <w:rFonts w:cs="Times New Roman"/>
          <w:lang w:val="fr-CA"/>
        </w:rPr>
        <w:noBreakHyphen/>
        <w:t>intérêts peut</w:t>
      </w:r>
      <w:r w:rsidRPr="00737F76">
        <w:rPr>
          <w:rFonts w:cs="Times New Roman"/>
          <w:lang w:val="fr-CA"/>
        </w:rPr>
        <w:noBreakHyphen/>
        <w:t>il être établi globalement et, dans l’affirmative, quel est</w:t>
      </w:r>
      <w:r w:rsidRPr="00737F76">
        <w:rPr>
          <w:rFonts w:cs="Times New Roman"/>
          <w:lang w:val="fr-CA"/>
        </w:rPr>
        <w:noBreakHyphen/>
        <w:t>il?</w:t>
      </w:r>
    </w:p>
    <w:p w:rsidR="00741557" w:rsidRPr="00737F76" w:rsidRDefault="00741557" w:rsidP="00741557">
      <w:pPr>
        <w:spacing w:before="240" w:after="240"/>
        <w:ind w:left="720"/>
        <w:jc w:val="both"/>
        <w:rPr>
          <w:u w:val="single"/>
          <w:lang w:val="fr-CA"/>
        </w:rPr>
      </w:pPr>
      <w:r w:rsidRPr="00737F76">
        <w:rPr>
          <w:u w:val="single"/>
          <w:lang w:val="fr-CA"/>
        </w:rPr>
        <w:t>Enrichissement sans cause, renonciation au recours délictuel et fiducie par interprétation</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Les défenderesses non parties aux règlements, ou l’une d’elles, se sont</w:t>
      </w:r>
      <w:r w:rsidRPr="00737F76">
        <w:rPr>
          <w:rFonts w:cs="Times New Roman"/>
          <w:lang w:val="fr-CA"/>
        </w:rPr>
        <w:noBreakHyphen/>
        <w:t>elles enrichies sans cause par suite de la majoration du prix du SMHTF?</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Les membres du groupe se sont</w:t>
      </w:r>
      <w:r w:rsidRPr="00737F76">
        <w:rPr>
          <w:rFonts w:cs="Times New Roman"/>
          <w:lang w:val="fr-CA"/>
        </w:rPr>
        <w:noBreakHyphen/>
        <w:t>ils appauvris d’un montant égal à celui de la majoration du prix du SMHTF?</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Une cause juridique justifie</w:t>
      </w:r>
      <w:r w:rsidRPr="00737F76">
        <w:rPr>
          <w:rFonts w:cs="Times New Roman"/>
          <w:lang w:val="fr-CA"/>
        </w:rPr>
        <w:noBreakHyphen/>
        <w:t>t</w:t>
      </w:r>
      <w:r w:rsidRPr="00737F76">
        <w:rPr>
          <w:rFonts w:cs="Times New Roman"/>
          <w:lang w:val="fr-CA"/>
        </w:rPr>
        <w:noBreakHyphen/>
        <w:t>elle les défenderesses non parties aux règlements</w:t>
      </w:r>
      <w:r w:rsidR="00453E85">
        <w:rPr>
          <w:rFonts w:cs="Times New Roman"/>
          <w:lang w:val="fr-CA"/>
        </w:rPr>
        <w:t>,</w:t>
      </w:r>
      <w:r w:rsidRPr="00737F76">
        <w:rPr>
          <w:rFonts w:cs="Times New Roman"/>
          <w:lang w:val="fr-CA"/>
        </w:rPr>
        <w:t xml:space="preserve"> ou l’une d’elles</w:t>
      </w:r>
      <w:r w:rsidR="00453E85">
        <w:rPr>
          <w:rFonts w:cs="Times New Roman"/>
          <w:lang w:val="fr-CA"/>
        </w:rPr>
        <w:t>,</w:t>
      </w:r>
      <w:r w:rsidRPr="00737F76">
        <w:rPr>
          <w:rFonts w:cs="Times New Roman"/>
          <w:lang w:val="fr-CA"/>
        </w:rPr>
        <w:t xml:space="preserve"> de conserver le fruit de la majoration du prix du SMHTF?</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Quelle somme les défenderesses non parties au règlement, ou l’une d’elles, doivent</w:t>
      </w:r>
      <w:r w:rsidRPr="00737F76">
        <w:rPr>
          <w:rFonts w:cs="Times New Roman"/>
          <w:lang w:val="fr-CA"/>
        </w:rPr>
        <w:noBreakHyphen/>
        <w:t>elles restituer aux membres du groupe, le cas échéant, sur le fondement de l’enrichissement sans cause?</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Les défenderesses non parties aux règlements, ou l’une d’elles, doivent</w:t>
      </w:r>
      <w:r w:rsidRPr="00737F76">
        <w:rPr>
          <w:rFonts w:cs="Times New Roman"/>
          <w:lang w:val="fr-CA"/>
        </w:rPr>
        <w:noBreakHyphen/>
        <w:t>elles être constituées fiduciaires par interprétation au bénéfice des membres du groupe quant à la totalité de la majoration du prix du SMHTF?</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À combien se monte la majoration, s’il en est, que les défenderesses non parties aux règlements, ou l’une d’elles, détiennent en fiducie pour les membres du groupe?</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Quelle somme, s’il en est, les défenderesses non parties aux règlements doivent</w:t>
      </w:r>
      <w:r w:rsidRPr="00737F76">
        <w:rPr>
          <w:rFonts w:cs="Times New Roman"/>
          <w:lang w:val="fr-CA"/>
        </w:rPr>
        <w:noBreakHyphen/>
        <w:t>elles restituer aux membres du groupe sur le fondement de la renonciation au recours délictuel?</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Les défenderesses non parties aux règlements, ou l’une d’elles, sont</w:t>
      </w:r>
      <w:r w:rsidRPr="00737F76">
        <w:rPr>
          <w:rFonts w:cs="Times New Roman"/>
          <w:lang w:val="fr-CA"/>
        </w:rPr>
        <w:noBreakHyphen/>
        <w:t>elles tenues de comptabiliser à l’intention des membres du groupe les profits illégitimes réalisés par la vente du SMHTF aux membres du groupe sur le fondement de la renonciation au recours délictuel?</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 montant de la restitution peut</w:t>
      </w:r>
      <w:r w:rsidRPr="00737F76">
        <w:rPr>
          <w:rFonts w:cs="Times New Roman"/>
          <w:lang w:val="fr-CA"/>
        </w:rPr>
        <w:noBreakHyphen/>
        <w:t>il être établi globalement et, dans l’affirmative, quel est</w:t>
      </w:r>
      <w:r w:rsidRPr="00737F76">
        <w:rPr>
          <w:rFonts w:cs="Times New Roman"/>
          <w:lang w:val="fr-CA"/>
        </w:rPr>
        <w:noBreakHyphen/>
        <w:t>il?</w:t>
      </w:r>
    </w:p>
    <w:p w:rsidR="00741557" w:rsidRPr="00737F76" w:rsidRDefault="00741557" w:rsidP="00741557">
      <w:pPr>
        <w:spacing w:before="240" w:after="240"/>
        <w:ind w:left="720"/>
        <w:jc w:val="both"/>
        <w:rPr>
          <w:u w:val="single"/>
          <w:lang w:val="fr-CA"/>
        </w:rPr>
      </w:pPr>
      <w:r w:rsidRPr="00737F76">
        <w:rPr>
          <w:u w:val="single"/>
          <w:lang w:val="fr-CA"/>
        </w:rPr>
        <w:t>Dommages</w:t>
      </w:r>
      <w:r w:rsidRPr="00737F76">
        <w:rPr>
          <w:u w:val="single"/>
          <w:lang w:val="fr-CA"/>
        </w:rPr>
        <w:noBreakHyphen/>
        <w:t>intérêts punitifs</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Les défenderesses non parties aux règlements, ou l’une d’elles, sont</w:t>
      </w:r>
      <w:r w:rsidRPr="00737F76">
        <w:rPr>
          <w:rFonts w:cs="Times New Roman"/>
          <w:lang w:val="fr-CA"/>
        </w:rPr>
        <w:noBreakHyphen/>
        <w:t>elles tenues de verser des dommages</w:t>
      </w:r>
      <w:r w:rsidRPr="00737F76">
        <w:rPr>
          <w:rFonts w:cs="Times New Roman"/>
          <w:lang w:val="fr-CA"/>
        </w:rPr>
        <w:noBreakHyphen/>
        <w:t xml:space="preserve">intérêts punitifs ou </w:t>
      </w:r>
      <w:r w:rsidRPr="00737F76">
        <w:rPr>
          <w:rFonts w:cs="Times New Roman"/>
          <w:lang w:val="fr-CA"/>
        </w:rPr>
        <w:lastRenderedPageBreak/>
        <w:t>exemplaires eu égard à la nature de leur comportement et, dans l’affirmative, quel est ce montant et qui en sont les bénéficiaires?</w:t>
      </w:r>
    </w:p>
    <w:p w:rsidR="00741557" w:rsidRPr="00737F76" w:rsidRDefault="00741557" w:rsidP="00741557">
      <w:pPr>
        <w:spacing w:before="240" w:after="240"/>
        <w:ind w:left="1560" w:hanging="840"/>
        <w:jc w:val="both"/>
        <w:rPr>
          <w:lang w:val="fr-CA"/>
        </w:rPr>
      </w:pPr>
      <w:r w:rsidRPr="00737F76">
        <w:rPr>
          <w:u w:val="single"/>
          <w:lang w:val="fr-CA"/>
        </w:rPr>
        <w:t>Intérêts</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Quelle obligation, s’il en est, les défenderesses non parties aux règlements, ou l’une d’elles, ont</w:t>
      </w:r>
      <w:r w:rsidRPr="00737F76">
        <w:rPr>
          <w:rFonts w:cs="Times New Roman"/>
          <w:lang w:val="fr-CA"/>
        </w:rPr>
        <w:noBreakHyphen/>
        <w:t>elles de verser l’intérêt dont le paiement est ordonné par le tribunal?</w:t>
      </w:r>
    </w:p>
    <w:p w:rsidR="00741557" w:rsidRPr="00737F76" w:rsidRDefault="00741557" w:rsidP="00741557">
      <w:pPr>
        <w:spacing w:before="240" w:after="240"/>
        <w:ind w:left="720"/>
        <w:jc w:val="both"/>
        <w:rPr>
          <w:u w:val="single"/>
          <w:lang w:val="fr-CA"/>
        </w:rPr>
      </w:pPr>
      <w:r w:rsidRPr="00737F76">
        <w:rPr>
          <w:u w:val="single"/>
          <w:lang w:val="fr-CA"/>
        </w:rPr>
        <w:t>Possibilité d’invoquer le transfert de la perte en défense</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Dans quelle mesure, le cas échéant, les défenderesses non parties aux règlements peuvent</w:t>
      </w:r>
      <w:r w:rsidRPr="00737F76">
        <w:rPr>
          <w:rFonts w:cs="Times New Roman"/>
          <w:lang w:val="fr-CA"/>
        </w:rPr>
        <w:noBreakHyphen/>
        <w:t>elles opposer le transfert de la perte aux causes d’action des membres du groupe?</w:t>
      </w:r>
    </w:p>
    <w:p w:rsidR="00741557" w:rsidRPr="00737F76" w:rsidRDefault="00741557" w:rsidP="00741557">
      <w:pPr>
        <w:spacing w:before="240" w:after="240"/>
        <w:ind w:left="720"/>
        <w:jc w:val="both"/>
        <w:rPr>
          <w:u w:val="single"/>
          <w:lang w:val="fr-CA"/>
        </w:rPr>
      </w:pPr>
      <w:r w:rsidRPr="00737F76">
        <w:rPr>
          <w:u w:val="single"/>
          <w:lang w:val="fr-CA"/>
        </w:rPr>
        <w:t>Distribution des dommages</w:t>
      </w:r>
      <w:r w:rsidRPr="00737F76">
        <w:rPr>
          <w:u w:val="single"/>
          <w:lang w:val="fr-CA"/>
        </w:rPr>
        <w:noBreakHyphen/>
        <w:t>intérêts ou des fonds détenus en fiducie</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FR"/>
        </w:rPr>
      </w:pPr>
      <w:r w:rsidRPr="00737F76">
        <w:rPr>
          <w:rFonts w:cs="Times New Roman"/>
          <w:lang w:val="fr-CA"/>
        </w:rPr>
        <w:t>Quel est le bon mode de distribution aux membres du groupe des dommages</w:t>
      </w:r>
      <w:r w:rsidRPr="00737F76">
        <w:rPr>
          <w:rFonts w:cs="Times New Roman"/>
          <w:lang w:val="fr-CA"/>
        </w:rPr>
        <w:noBreakHyphen/>
        <w:t>intérêts ou des fonds détenus en fiducie et de l’intérêt, et qui doit assumer le coût de cette distribution?</w:t>
      </w:r>
    </w:p>
    <w:p w:rsidR="00741557" w:rsidRPr="00737F76" w:rsidRDefault="00741557" w:rsidP="00741557">
      <w:pPr>
        <w:pStyle w:val="ListParagraph"/>
        <w:numPr>
          <w:ilvl w:val="0"/>
          <w:numId w:val="16"/>
        </w:numPr>
        <w:spacing w:before="240" w:after="240"/>
        <w:ind w:left="1620" w:hanging="450"/>
        <w:contextualSpacing w:val="0"/>
        <w:jc w:val="both"/>
        <w:rPr>
          <w:rFonts w:cs="Times New Roman"/>
          <w:lang w:val="fr-CA"/>
        </w:rPr>
      </w:pPr>
      <w:r w:rsidRPr="00737F76">
        <w:rPr>
          <w:rFonts w:cs="Times New Roman"/>
          <w:lang w:val="fr-CA"/>
        </w:rPr>
        <w:t>Les défenderesses non parties aux règlements, ou l’une d’elles, sont</w:t>
      </w:r>
      <w:r w:rsidRPr="00737F76">
        <w:rPr>
          <w:rFonts w:cs="Times New Roman"/>
          <w:lang w:val="fr-CA"/>
        </w:rPr>
        <w:noBreakHyphen/>
        <w:t>elles tenues de comptabiliser pour les membres du groupe les profits illégitimes réalisés par la vente du SMHTF aux membres du groupe sur le fondement de la renonciation au recours délictuel?</w:t>
      </w:r>
    </w:p>
    <w:p w:rsidR="00741557" w:rsidRPr="008D7261" w:rsidRDefault="00741557" w:rsidP="007171C4">
      <w:pPr>
        <w:pStyle w:val="ListParagraph"/>
        <w:numPr>
          <w:ilvl w:val="0"/>
          <w:numId w:val="16"/>
        </w:numPr>
        <w:spacing w:before="120" w:after="720"/>
        <w:ind w:left="1612" w:hanging="446"/>
        <w:contextualSpacing w:val="0"/>
        <w:jc w:val="both"/>
        <w:rPr>
          <w:rFonts w:cs="Times New Roman"/>
          <w:lang w:val="fr-CA"/>
        </w:rPr>
      </w:pPr>
      <w:r w:rsidRPr="00737F76">
        <w:rPr>
          <w:rFonts w:cs="Times New Roman"/>
          <w:lang w:val="fr-CA"/>
        </w:rPr>
        <w:t>Le</w:t>
      </w:r>
      <w:r>
        <w:rPr>
          <w:rFonts w:cs="Times New Roman"/>
          <w:lang w:val="fr-CA"/>
        </w:rPr>
        <w:t xml:space="preserve"> </w:t>
      </w:r>
      <w:r w:rsidRPr="00737F76">
        <w:rPr>
          <w:rFonts w:cs="Times New Roman"/>
          <w:lang w:val="fr-CA"/>
        </w:rPr>
        <w:t>montant de la restitution peut</w:t>
      </w:r>
      <w:r w:rsidRPr="00737F76">
        <w:rPr>
          <w:rFonts w:cs="Times New Roman"/>
          <w:lang w:val="fr-CA"/>
        </w:rPr>
        <w:noBreakHyphen/>
        <w:t>il être établi globalement et, dans l’affirmative, quel est</w:t>
      </w:r>
      <w:r w:rsidRPr="00737F76">
        <w:rPr>
          <w:rFonts w:cs="Times New Roman"/>
          <w:lang w:val="fr-CA"/>
        </w:rPr>
        <w:noBreakHyphen/>
        <w:t>il? [</w:t>
      </w:r>
      <w:r w:rsidR="006E36ED">
        <w:rPr>
          <w:rFonts w:cs="Times New Roman"/>
          <w:lang w:val="fr-CA"/>
        </w:rPr>
        <w:t>d.a</w:t>
      </w:r>
      <w:r w:rsidRPr="00737F76">
        <w:rPr>
          <w:rFonts w:cs="Times New Roman"/>
          <w:lang w:val="fr-CA"/>
        </w:rPr>
        <w:t>., vol. I, p. 69</w:t>
      </w:r>
      <w:r w:rsidRPr="00737F76">
        <w:rPr>
          <w:rFonts w:cs="Times New Roman"/>
          <w:lang w:val="fr-CA"/>
        </w:rPr>
        <w:noBreakHyphen/>
        <w:t>71]</w:t>
      </w:r>
    </w:p>
    <w:p w:rsidR="004D7D95" w:rsidRPr="002E5797" w:rsidRDefault="004D7D95" w:rsidP="00BD4DEB">
      <w:pPr>
        <w:pStyle w:val="SCCNormalDoubleSpacing"/>
        <w:spacing w:before="480" w:after="480"/>
        <w:rPr>
          <w:lang w:val="fr-CA"/>
        </w:rPr>
      </w:pPr>
      <w:r w:rsidRPr="002E5797">
        <w:rPr>
          <w:lang w:val="fr-CA"/>
        </w:rPr>
        <w:tab/>
      </w:r>
      <w:r w:rsidR="00DE5C83" w:rsidRPr="002E5797">
        <w:rPr>
          <w:i/>
          <w:lang w:val="fr-CA"/>
        </w:rPr>
        <w:t xml:space="preserve">Pourvoi </w:t>
      </w:r>
      <w:r w:rsidR="00495183" w:rsidRPr="002E5797">
        <w:rPr>
          <w:i/>
          <w:lang w:val="fr-CA"/>
        </w:rPr>
        <w:t>rejeté avec dépens</w:t>
      </w:r>
      <w:r w:rsidR="009C6ABA" w:rsidRPr="002E5797">
        <w:rPr>
          <w:i/>
          <w:lang w:val="fr-CA"/>
        </w:rPr>
        <w:t xml:space="preserve">, les juges </w:t>
      </w:r>
      <w:r w:rsidR="009C6ABA" w:rsidRPr="002E5797">
        <w:rPr>
          <w:smallCaps/>
          <w:lang w:val="fr-CA"/>
        </w:rPr>
        <w:t>Cromwell</w:t>
      </w:r>
      <w:r w:rsidR="009C6ABA" w:rsidRPr="002E5797">
        <w:rPr>
          <w:i/>
          <w:lang w:val="fr-CA"/>
        </w:rPr>
        <w:t xml:space="preserve"> et </w:t>
      </w:r>
      <w:r w:rsidR="009C6ABA" w:rsidRPr="002E5797">
        <w:rPr>
          <w:smallCaps/>
          <w:lang w:val="fr-CA"/>
        </w:rPr>
        <w:t>Karakatsanis</w:t>
      </w:r>
      <w:r w:rsidR="009C6ABA" w:rsidRPr="002E5797">
        <w:rPr>
          <w:i/>
          <w:lang w:val="fr-CA"/>
        </w:rPr>
        <w:t xml:space="preserve"> sont dissidents</w:t>
      </w:r>
      <w:r w:rsidR="00025A7C" w:rsidRPr="002E5797">
        <w:rPr>
          <w:i/>
          <w:lang w:val="fr-CA"/>
        </w:rPr>
        <w:t xml:space="preserve">. </w:t>
      </w:r>
      <w:r w:rsidR="00CC4387" w:rsidRPr="002E5797">
        <w:rPr>
          <w:i/>
          <w:lang w:val="fr-CA"/>
        </w:rPr>
        <w:t xml:space="preserve"> </w:t>
      </w:r>
      <w:r w:rsidR="00025A7C" w:rsidRPr="002E5797">
        <w:rPr>
          <w:i/>
          <w:lang w:val="fr-CA"/>
        </w:rPr>
        <w:t>P</w:t>
      </w:r>
      <w:r w:rsidR="00CC4387" w:rsidRPr="002E5797">
        <w:rPr>
          <w:i/>
          <w:lang w:val="fr-CA"/>
        </w:rPr>
        <w:t>ourvoi incident accueilli avec dépens</w:t>
      </w:r>
      <w:r w:rsidR="00DE5C83" w:rsidRPr="002E5797">
        <w:rPr>
          <w:i/>
          <w:lang w:val="fr-CA"/>
        </w:rPr>
        <w:t>.</w:t>
      </w:r>
    </w:p>
    <w:p w:rsidR="00BF5764" w:rsidRPr="002E5797" w:rsidRDefault="00BF5764" w:rsidP="00BD4DEB">
      <w:pPr>
        <w:pStyle w:val="SCCLawFirm"/>
        <w:spacing w:before="480" w:after="480"/>
        <w:rPr>
          <w:lang w:val="fr-CA"/>
        </w:rPr>
      </w:pPr>
      <w:r w:rsidRPr="002E5797">
        <w:rPr>
          <w:lang w:val="fr-CA"/>
        </w:rPr>
        <w:tab/>
        <w:t xml:space="preserve">Procureurs des appelantes/intimées </w:t>
      </w:r>
      <w:r w:rsidR="009C6ABA" w:rsidRPr="002E5797">
        <w:rPr>
          <w:lang w:val="fr-CA"/>
        </w:rPr>
        <w:t xml:space="preserve">au pourvoi </w:t>
      </w:r>
      <w:r w:rsidRPr="002E5797">
        <w:rPr>
          <w:lang w:val="fr-CA"/>
        </w:rPr>
        <w:t>incident</w:t>
      </w:r>
      <w:r w:rsidR="002C1053" w:rsidRPr="002E5797">
        <w:rPr>
          <w:lang w:val="fr-CA"/>
        </w:rPr>
        <w:t> : </w:t>
      </w:r>
      <w:r w:rsidRPr="002E5797">
        <w:rPr>
          <w:lang w:val="fr-CA"/>
        </w:rPr>
        <w:t>Camp Fiorante Matthews Mogerman, Vancouver</w:t>
      </w:r>
      <w:r w:rsidR="00C972D0">
        <w:rPr>
          <w:lang w:val="fr-CA"/>
        </w:rPr>
        <w:t>; Michael S</w:t>
      </w:r>
      <w:r w:rsidR="009B0C56">
        <w:rPr>
          <w:lang w:val="fr-CA"/>
        </w:rPr>
        <w:t>obkin, Ottawa</w:t>
      </w:r>
      <w:r w:rsidRPr="002E5797">
        <w:rPr>
          <w:lang w:val="fr-CA"/>
        </w:rPr>
        <w:t>.</w:t>
      </w:r>
    </w:p>
    <w:p w:rsidR="00BF5764" w:rsidRPr="002E5797" w:rsidRDefault="00BF5764" w:rsidP="00BD4DEB">
      <w:pPr>
        <w:pStyle w:val="SCCLawFirm"/>
        <w:spacing w:before="480" w:after="480"/>
        <w:rPr>
          <w:lang w:val="fr-CA"/>
        </w:rPr>
      </w:pPr>
      <w:r w:rsidRPr="002E5797">
        <w:rPr>
          <w:lang w:val="fr-CA"/>
        </w:rPr>
        <w:tab/>
        <w:t xml:space="preserve">Procureurs des intimées/appelantes </w:t>
      </w:r>
      <w:r w:rsidR="009C6ABA" w:rsidRPr="002E5797">
        <w:rPr>
          <w:lang w:val="fr-CA"/>
        </w:rPr>
        <w:t xml:space="preserve">au pourvoi </w:t>
      </w:r>
      <w:r w:rsidRPr="002E5797">
        <w:rPr>
          <w:lang w:val="fr-CA"/>
        </w:rPr>
        <w:t>incident Archer Daniels Midland Company et ADM Agri</w:t>
      </w:r>
      <w:r w:rsidR="00BD4DEB" w:rsidRPr="002E5797">
        <w:rPr>
          <w:lang w:val="fr-CA"/>
        </w:rPr>
        <w:noBreakHyphen/>
      </w:r>
      <w:r w:rsidRPr="002E5797">
        <w:rPr>
          <w:lang w:val="fr-CA"/>
        </w:rPr>
        <w:t>Industries Company</w:t>
      </w:r>
      <w:r w:rsidR="002C1053" w:rsidRPr="002E5797">
        <w:rPr>
          <w:lang w:val="fr-CA"/>
        </w:rPr>
        <w:t> : </w:t>
      </w:r>
      <w:r w:rsidRPr="002E5797">
        <w:rPr>
          <w:lang w:val="fr-CA"/>
        </w:rPr>
        <w:t xml:space="preserve">Norton Rose </w:t>
      </w:r>
      <w:r w:rsidR="008B283B" w:rsidRPr="002E5797">
        <w:rPr>
          <w:lang w:val="fr-CA"/>
        </w:rPr>
        <w:t>Fulbright</w:t>
      </w:r>
      <w:r w:rsidRPr="002E5797">
        <w:rPr>
          <w:lang w:val="fr-CA"/>
        </w:rPr>
        <w:t>, Toronto; Nash &amp; Company, Vancouver.</w:t>
      </w:r>
    </w:p>
    <w:p w:rsidR="00BF5764" w:rsidRPr="002E5797" w:rsidRDefault="00BF5764" w:rsidP="00BD4DEB">
      <w:pPr>
        <w:pStyle w:val="SCCLawFirm"/>
        <w:spacing w:before="480" w:after="480"/>
        <w:rPr>
          <w:lang w:val="fr-CA"/>
        </w:rPr>
      </w:pPr>
      <w:r w:rsidRPr="002E5797">
        <w:rPr>
          <w:lang w:val="fr-CA"/>
        </w:rPr>
        <w:lastRenderedPageBreak/>
        <w:tab/>
        <w:t xml:space="preserve">Procureurs des intimées/appelantes </w:t>
      </w:r>
      <w:r w:rsidR="009C6ABA" w:rsidRPr="002E5797">
        <w:rPr>
          <w:lang w:val="fr-CA"/>
        </w:rPr>
        <w:t xml:space="preserve">au pourvoi </w:t>
      </w:r>
      <w:r w:rsidRPr="002E5797">
        <w:rPr>
          <w:lang w:val="fr-CA"/>
        </w:rPr>
        <w:t>incident Cargill, Incorporated, Cerestar USA, Inc., auparavant connue sous le nom d’American Maize</w:t>
      </w:r>
      <w:r w:rsidR="00BD4DEB" w:rsidRPr="002E5797">
        <w:rPr>
          <w:lang w:val="fr-CA"/>
        </w:rPr>
        <w:noBreakHyphen/>
      </w:r>
      <w:r w:rsidRPr="002E5797">
        <w:rPr>
          <w:lang w:val="fr-CA"/>
        </w:rPr>
        <w:t>Products Company et Cargill Limitée</w:t>
      </w:r>
      <w:r w:rsidR="002C1053" w:rsidRPr="002E5797">
        <w:rPr>
          <w:lang w:val="fr-CA"/>
        </w:rPr>
        <w:t> : </w:t>
      </w:r>
      <w:r w:rsidRPr="002E5797">
        <w:rPr>
          <w:lang w:val="fr-CA"/>
        </w:rPr>
        <w:t>Hunter Litigation Chambers, Vancouver.</w:t>
      </w:r>
    </w:p>
    <w:p w:rsidR="00BF5764" w:rsidRPr="002E5797" w:rsidRDefault="00BF5764" w:rsidP="00BD4DEB">
      <w:pPr>
        <w:pStyle w:val="SCCLawFirm"/>
        <w:spacing w:before="480" w:after="480"/>
        <w:rPr>
          <w:lang w:val="fr-CA"/>
        </w:rPr>
      </w:pPr>
      <w:r w:rsidRPr="002E5797">
        <w:rPr>
          <w:lang w:val="fr-CA"/>
        </w:rPr>
        <w:tab/>
        <w:t xml:space="preserve">Procureurs des intimées/appelantes </w:t>
      </w:r>
      <w:r w:rsidR="009C6ABA" w:rsidRPr="002E5797">
        <w:rPr>
          <w:lang w:val="fr-CA"/>
        </w:rPr>
        <w:t xml:space="preserve">au pourvoi </w:t>
      </w:r>
      <w:r w:rsidRPr="002E5797">
        <w:rPr>
          <w:lang w:val="fr-CA"/>
        </w:rPr>
        <w:t>incident Corn Products International, Inc., Bestfoods, Inc., auparavant connue sous le nom de CPC International, Inc., Casco Inc. et Unilever PLC faisant affaire sous la dénomination d’Unilever Bestfoods North America</w:t>
      </w:r>
      <w:r w:rsidR="002C1053" w:rsidRPr="002E5797">
        <w:rPr>
          <w:lang w:val="fr-CA"/>
        </w:rPr>
        <w:t> : </w:t>
      </w:r>
      <w:r w:rsidRPr="002E5797">
        <w:rPr>
          <w:lang w:val="fr-CA"/>
        </w:rPr>
        <w:t>Nathanson, Schachter &amp; Thompson, Vancouver.</w:t>
      </w:r>
    </w:p>
    <w:p w:rsidR="00BF5764" w:rsidRPr="002E5797" w:rsidRDefault="00BF5764" w:rsidP="00BD4DEB">
      <w:pPr>
        <w:pStyle w:val="SCCLawFirm"/>
        <w:spacing w:before="480" w:after="480"/>
        <w:rPr>
          <w:lang w:val="fr-CA"/>
        </w:rPr>
      </w:pPr>
      <w:r w:rsidRPr="002E5797">
        <w:rPr>
          <w:lang w:val="fr-CA"/>
        </w:rPr>
        <w:tab/>
        <w:t>Procureur de l’intervenant le procureur général du Canada</w:t>
      </w:r>
      <w:r w:rsidR="002C1053" w:rsidRPr="002E5797">
        <w:rPr>
          <w:lang w:val="fr-CA"/>
        </w:rPr>
        <w:t> : </w:t>
      </w:r>
      <w:r w:rsidRPr="002E5797">
        <w:rPr>
          <w:lang w:val="fr-CA"/>
        </w:rPr>
        <w:t>Procureur général du Canada, Ottawa.</w:t>
      </w:r>
    </w:p>
    <w:p w:rsidR="00F62D69" w:rsidRPr="00817AA1" w:rsidRDefault="00BF5764" w:rsidP="00F62D69">
      <w:pPr>
        <w:pStyle w:val="SCCItalic"/>
        <w:rPr>
          <w:lang w:val="fr-FR"/>
        </w:rPr>
      </w:pPr>
      <w:r w:rsidRPr="002E5797">
        <w:rPr>
          <w:lang w:val="fr-CA"/>
        </w:rPr>
        <w:tab/>
        <w:t>Procureurs de l’intervenante la Chambre de commerce du Canada</w:t>
      </w:r>
      <w:r w:rsidR="002C1053" w:rsidRPr="002E5797">
        <w:rPr>
          <w:lang w:val="fr-CA"/>
        </w:rPr>
        <w:t> : </w:t>
      </w:r>
      <w:r w:rsidRPr="002E5797">
        <w:rPr>
          <w:lang w:val="fr-CA"/>
        </w:rPr>
        <w:t>Davies Ward Phillips &amp; Vineberg, Toronto</w:t>
      </w:r>
      <w:r w:rsidR="00F62D69">
        <w:rPr>
          <w:lang w:val="fr-CA"/>
        </w:rPr>
        <w:t>.</w:t>
      </w:r>
    </w:p>
    <w:p w:rsidR="00F62D69" w:rsidRDefault="00F62D69" w:rsidP="00F62D69">
      <w:pPr>
        <w:pStyle w:val="SCCItalic"/>
        <w:rPr>
          <w:lang w:val="fr-CA"/>
        </w:rPr>
      </w:pPr>
    </w:p>
    <w:sectPr w:rsidR="00F62D69" w:rsidSect="00C74DEA">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04" w:rsidRDefault="00984004">
      <w:r>
        <w:separator/>
      </w:r>
    </w:p>
  </w:endnote>
  <w:endnote w:type="continuationSeparator" w:id="0">
    <w:p w:rsidR="00984004" w:rsidRDefault="00984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04" w:rsidRDefault="00984004">
      <w:r>
        <w:separator/>
      </w:r>
    </w:p>
  </w:footnote>
  <w:footnote w:type="continuationSeparator" w:id="0">
    <w:p w:rsidR="00984004" w:rsidRDefault="00984004">
      <w:r>
        <w:continuationSeparator/>
      </w:r>
    </w:p>
  </w:footnote>
  <w:footnote w:id="1">
    <w:p w:rsidR="00984004" w:rsidRPr="006E36ED" w:rsidRDefault="00984004" w:rsidP="00741557">
      <w:pPr>
        <w:pStyle w:val="FootnoteText"/>
        <w:jc w:val="both"/>
        <w:rPr>
          <w:rFonts w:cs="Times New Roman"/>
          <w:lang w:val="fr-CA"/>
        </w:rPr>
      </w:pPr>
      <w:r w:rsidRPr="00CA7E29">
        <w:rPr>
          <w:rStyle w:val="FootnoteReference"/>
          <w:rFonts w:cs="Times New Roman"/>
          <w:lang w:val="fr-CA"/>
        </w:rPr>
        <w:footnoteRef/>
      </w:r>
      <w:r w:rsidRPr="00CA7E29">
        <w:rPr>
          <w:rFonts w:cs="Times New Roman"/>
          <w:lang w:val="fr-CA"/>
        </w:rPr>
        <w:t xml:space="preserve">  </w:t>
      </w:r>
      <w:r>
        <w:rPr>
          <w:rFonts w:cs="Times New Roman"/>
          <w:lang w:val="fr-CA"/>
        </w:rPr>
        <w:t>Bien que la Cour dans</w:t>
      </w:r>
      <w:r w:rsidRPr="00CA7E29">
        <w:rPr>
          <w:rFonts w:cs="Times New Roman"/>
          <w:lang w:val="fr-CA"/>
        </w:rPr>
        <w:t xml:space="preserve"> </w:t>
      </w:r>
      <w:r w:rsidRPr="00CA7E29">
        <w:rPr>
          <w:rFonts w:cs="Times New Roman"/>
          <w:i/>
          <w:iCs/>
          <w:lang w:val="fr-CA"/>
        </w:rPr>
        <w:t>Hollick</w:t>
      </w:r>
      <w:r>
        <w:rPr>
          <w:rFonts w:cs="Times New Roman"/>
          <w:lang w:val="fr-CA"/>
        </w:rPr>
        <w:t xml:space="preserve"> se soit penchée sur la loi ontarienne sur les recours collectifs</w:t>
      </w:r>
      <w:r w:rsidRPr="00CA7E29">
        <w:rPr>
          <w:rFonts w:cs="Times New Roman"/>
          <w:lang w:val="fr-CA"/>
        </w:rPr>
        <w:t>, un raisonnement se</w:t>
      </w:r>
      <w:r>
        <w:rPr>
          <w:rFonts w:cs="Times New Roman"/>
          <w:lang w:val="fr-CA"/>
        </w:rPr>
        <w:t>mblable a été adopté à l’égard de la loi équivalente de la Colombie</w:t>
      </w:r>
      <w:r>
        <w:rPr>
          <w:rFonts w:cs="Times New Roman"/>
          <w:lang w:val="fr-CA"/>
        </w:rPr>
        <w:noBreakHyphen/>
        <w:t>Britannique</w:t>
      </w:r>
      <w:r w:rsidRPr="00CA7E29">
        <w:rPr>
          <w:rFonts w:cs="Times New Roman"/>
          <w:lang w:val="fr-CA"/>
        </w:rPr>
        <w:t xml:space="preserve"> (</w:t>
      </w:r>
      <w:r>
        <w:rPr>
          <w:rFonts w:cs="Times New Roman"/>
          <w:lang w:val="fr-CA"/>
        </w:rPr>
        <w:t>voir, p. ex.,</w:t>
      </w:r>
      <w:r w:rsidRPr="00CA7E29">
        <w:rPr>
          <w:rFonts w:cs="Times New Roman"/>
          <w:lang w:val="fr-CA"/>
        </w:rPr>
        <w:t xml:space="preserve"> </w:t>
      </w:r>
      <w:r w:rsidRPr="006E36ED">
        <w:rPr>
          <w:rFonts w:cs="Times New Roman"/>
          <w:i/>
          <w:iCs/>
          <w:lang w:val="fr-CA"/>
        </w:rPr>
        <w:t>MacKinnon c. National Money Mart Co.</w:t>
      </w:r>
      <w:r w:rsidRPr="006E36ED">
        <w:rPr>
          <w:rFonts w:cs="Times New Roman"/>
          <w:lang w:val="fr-CA"/>
        </w:rPr>
        <w:t>, 2006 BCCA 148, 265 D.L.R. (4th) 214, par.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2771"/>
      <w:docPartObj>
        <w:docPartGallery w:val="Page Numbers (Top of Page)"/>
        <w:docPartUnique/>
      </w:docPartObj>
    </w:sdtPr>
    <w:sdtContent>
      <w:p w:rsidR="00984004" w:rsidRDefault="00984004">
        <w:pPr>
          <w:pStyle w:val="Header"/>
          <w:jc w:val="center"/>
        </w:pPr>
        <w:r>
          <w:t xml:space="preserve">- </w:t>
        </w:r>
        <w:fldSimple w:instr=" PAGE   \* MERGEFORMAT ">
          <w:r w:rsidR="00B6037A">
            <w:rPr>
              <w:noProof/>
            </w:rPr>
            <w:t>2</w:t>
          </w:r>
        </w:fldSimple>
        <w:r>
          <w:t xml:space="preserve"> -</w:t>
        </w:r>
      </w:p>
    </w:sdtContent>
  </w:sdt>
  <w:p w:rsidR="00984004" w:rsidRPr="00450352" w:rsidRDefault="00984004"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5905AE"/>
    <w:multiLevelType w:val="hybridMultilevel"/>
    <w:tmpl w:val="528E8988"/>
    <w:lvl w:ilvl="0" w:tplc="62444340">
      <w:start w:val="1"/>
      <w:numFmt w:val="lowerLetter"/>
      <w:lvlText w:val="(%1)"/>
      <w:lvlJc w:val="left"/>
      <w:pPr>
        <w:ind w:left="1886" w:hanging="360"/>
      </w:pPr>
      <w:rPr>
        <w:rFonts w:hint="default"/>
      </w:r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1EA3A28"/>
    <w:multiLevelType w:val="hybridMultilevel"/>
    <w:tmpl w:val="4AECBE9E"/>
    <w:lvl w:ilvl="0" w:tplc="3EB2819E">
      <w:start w:val="1"/>
      <w:numFmt w:val="upperRoman"/>
      <w:lvlText w:val="%1."/>
      <w:lvlJc w:val="right"/>
      <w:pPr>
        <w:ind w:left="720" w:hanging="360"/>
      </w:pPr>
    </w:lvl>
    <w:lvl w:ilvl="1" w:tplc="8F121544">
      <w:start w:val="1"/>
      <w:numFmt w:val="upperLetter"/>
      <w:lvlText w:val="%2."/>
      <w:lvlJc w:val="left"/>
      <w:pPr>
        <w:ind w:left="1440" w:hanging="360"/>
      </w:pPr>
      <w:rPr>
        <w:rFonts w:hint="default"/>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2D61221"/>
    <w:multiLevelType w:val="hybridMultilevel"/>
    <w:tmpl w:val="4D6443FA"/>
    <w:lvl w:ilvl="0" w:tplc="10090017">
      <w:start w:val="1"/>
      <w:numFmt w:val="lowerLetter"/>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5">
    <w:nsid w:val="23510F55"/>
    <w:multiLevelType w:val="hybridMultilevel"/>
    <w:tmpl w:val="DCB46D96"/>
    <w:lvl w:ilvl="0" w:tplc="10090017">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FCF861D6">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3019598E"/>
    <w:multiLevelType w:val="multilevel"/>
    <w:tmpl w:val="AA9C9DEE"/>
    <w:lvl w:ilvl="0">
      <w:start w:val="1"/>
      <w:numFmt w:val="decimal"/>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Roman"/>
      <w:lvlText w:val="(%6)"/>
      <w:lvlJc w:val="left"/>
      <w:pPr>
        <w:tabs>
          <w:tab w:val="num" w:pos="4320"/>
        </w:tabs>
        <w:ind w:left="4320" w:hanging="720"/>
      </w:pPr>
      <w:rPr>
        <w:rFonts w:hint="default"/>
        <w:u w:val="none"/>
      </w:rPr>
    </w:lvl>
    <w:lvl w:ilvl="6">
      <w:start w:val="1"/>
      <w:numFmt w:val="decimal"/>
      <w:lvlText w:val="%7."/>
      <w:lvlJc w:val="left"/>
      <w:pPr>
        <w:tabs>
          <w:tab w:val="num" w:pos="5040"/>
        </w:tabs>
        <w:ind w:left="5040" w:hanging="720"/>
      </w:pPr>
      <w:rPr>
        <w:rFonts w:hint="default"/>
        <w:u w:val="none"/>
      </w:rPr>
    </w:lvl>
    <w:lvl w:ilvl="7">
      <w:start w:val="1"/>
      <w:numFmt w:val="lowerLetter"/>
      <w:lvlText w:val="%8."/>
      <w:lvlJc w:val="left"/>
      <w:pPr>
        <w:tabs>
          <w:tab w:val="num" w:pos="5760"/>
        </w:tabs>
        <w:ind w:left="5760" w:hanging="720"/>
      </w:pPr>
      <w:rPr>
        <w:rFonts w:hint="default"/>
        <w:u w:val="none"/>
      </w:rPr>
    </w:lvl>
    <w:lvl w:ilvl="8">
      <w:start w:val="1"/>
      <w:numFmt w:val="lowerRoman"/>
      <w:lvlText w:val="%9."/>
      <w:lvlJc w:val="left"/>
      <w:pPr>
        <w:tabs>
          <w:tab w:val="num" w:pos="6480"/>
        </w:tabs>
        <w:ind w:left="6480" w:hanging="720"/>
      </w:pPr>
      <w:rPr>
        <w:rFonts w:hint="default"/>
        <w:u w:val="none"/>
      </w:rPr>
    </w:lvl>
  </w:abstractNum>
  <w:abstractNum w:abstractNumId="17">
    <w:nsid w:val="31BF2F56"/>
    <w:multiLevelType w:val="hybridMultilevel"/>
    <w:tmpl w:val="6470A48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56B629B"/>
    <w:multiLevelType w:val="multilevel"/>
    <w:tmpl w:val="CDF607A6"/>
    <w:name w:val="zzmpPleading2||Pleading2|2|1|1|4|0|45||1|0|37||1|0|0||1|0|0||1|0|0||1|0|0||1|0|0||1|0|0||1|0|0||"/>
    <w:lvl w:ilvl="0">
      <w:start w:val="1"/>
      <w:numFmt w:val="decimal"/>
      <w:lvlRestart w:val="0"/>
      <w:suff w:val="nothing"/>
      <w:lvlText w:val="PART %1"/>
      <w:lvlJc w:val="left"/>
      <w:pPr>
        <w:tabs>
          <w:tab w:val="num" w:pos="0"/>
        </w:tabs>
      </w:pPr>
      <w:rPr>
        <w:rFonts w:ascii="Times New Roman" w:eastAsia="Times New Roman" w:hAnsi="Times New Roman" w:cs="Times New Roman"/>
        <w:b/>
        <w:i w:val="0"/>
        <w:caps w:val="0"/>
        <w:smallCaps w:val="0"/>
        <w:strike w:val="0"/>
        <w:dstrike w:val="0"/>
        <w:outline w:val="0"/>
        <w:shadow w:val="0"/>
        <w:emboss w:val="0"/>
        <w:imprint w:val="0"/>
        <w:vanish w:val="0"/>
        <w:color w:val="auto"/>
        <w:u w:val="none"/>
        <w:vertAlign w:val="baseline"/>
      </w:rPr>
    </w:lvl>
    <w:lvl w:ilvl="1">
      <w:start w:val="1"/>
      <w:numFmt w:val="upperLetter"/>
      <w:lvlText w:val="%2."/>
      <w:lvlJc w:val="left"/>
      <w:pPr>
        <w:tabs>
          <w:tab w:val="num" w:pos="900"/>
        </w:tabs>
        <w:ind w:left="900" w:hanging="720"/>
      </w:pPr>
      <w:rPr>
        <w:rFonts w:eastAsia="Times New Roman" w:cs="Times New Roman"/>
        <w:b/>
        <w:i w:val="0"/>
        <w:caps w:val="0"/>
        <w:smallCaps w:val="0"/>
        <w:strike w:val="0"/>
        <w:dstrike w:val="0"/>
        <w:outline w:val="0"/>
        <w:shadow w:val="0"/>
        <w:emboss w:val="0"/>
        <w:imprint w:val="0"/>
        <w:vanish w:val="0"/>
        <w:color w:val="auto"/>
        <w:u w:val="none"/>
        <w:vertAlign w:val="baseline"/>
      </w:rPr>
    </w:lvl>
    <w:lvl w:ilvl="2">
      <w:start w:val="1"/>
      <w:numFmt w:val="decimal"/>
      <w:lvlText w:val="%3."/>
      <w:lvlJc w:val="left"/>
      <w:pPr>
        <w:tabs>
          <w:tab w:val="num" w:pos="1440"/>
        </w:tabs>
        <w:ind w:left="1440" w:hanging="720"/>
      </w:pPr>
      <w:rPr>
        <w:rFonts w:ascii="Times New Roman" w:eastAsia="Times New Roman" w:hAnsi="Times New Roman" w:cs="Times New Roman"/>
        <w:b w:val="0"/>
        <w:i w:val="0"/>
        <w:caps w:val="0"/>
        <w:smallCaps w:val="0"/>
        <w:strike w:val="0"/>
        <w:dstrike w:val="0"/>
        <w:outline w:val="0"/>
        <w:shadow w:val="0"/>
        <w:emboss w:val="0"/>
        <w:imprint w:val="0"/>
        <w:vanish w:val="0"/>
        <w:color w:val="auto"/>
        <w:u w:val="none"/>
        <w:vertAlign w:val="baseline"/>
      </w:rPr>
    </w:lvl>
    <w:lvl w:ilvl="3">
      <w:start w:val="1"/>
      <w:numFmt w:val="lowerLetter"/>
      <w:lvlText w:val="%4."/>
      <w:lvlJc w:val="left"/>
      <w:pPr>
        <w:tabs>
          <w:tab w:val="num" w:pos="2160"/>
        </w:tabs>
        <w:ind w:left="2160" w:hanging="720"/>
      </w:pPr>
      <w:rPr>
        <w:rFonts w:ascii="Times New Roman" w:eastAsia="Times New Roman" w:hAnsi="Times New Roman" w:cs="Times New Roman"/>
        <w:b w:val="0"/>
        <w:i w:val="0"/>
        <w:caps w:val="0"/>
        <w:smallCaps w:val="0"/>
        <w:strike w:val="0"/>
        <w:dstrike w:val="0"/>
        <w:outline w:val="0"/>
        <w:shadow w:val="0"/>
        <w:emboss w:val="0"/>
        <w:imprint w:val="0"/>
        <w:vanish w:val="0"/>
        <w:color w:val="auto"/>
        <w:u w:val="none"/>
        <w:vertAlign w:val="baseline"/>
      </w:rPr>
    </w:lvl>
    <w:lvl w:ilvl="4">
      <w:start w:val="1"/>
      <w:numFmt w:val="decimal"/>
      <w:lvlText w:val="(%5)"/>
      <w:lvlJc w:val="left"/>
      <w:pPr>
        <w:tabs>
          <w:tab w:val="num" w:pos="2880"/>
        </w:tabs>
        <w:ind w:left="2880" w:hanging="720"/>
      </w:pPr>
      <w:rPr>
        <w:rFonts w:ascii="Times New Roman" w:eastAsia="Times New Roman" w:hAnsi="Times New Roman" w:cs="Times New Roman"/>
        <w:caps w:val="0"/>
        <w:smallCaps w:val="0"/>
        <w:strike w:val="0"/>
        <w:dstrike w:val="0"/>
        <w:outline w:val="0"/>
        <w:shadow w:val="0"/>
        <w:emboss w:val="0"/>
        <w:imprint w:val="0"/>
        <w:vanish w:val="0"/>
        <w:color w:val="auto"/>
        <w:u w:val="none"/>
        <w:vertAlign w:val="baseline"/>
      </w:rPr>
    </w:lvl>
    <w:lvl w:ilvl="5">
      <w:start w:val="1"/>
      <w:numFmt w:val="lowerLetter"/>
      <w:lvlText w:val="(%6)"/>
      <w:lvlJc w:val="left"/>
      <w:pPr>
        <w:tabs>
          <w:tab w:val="num" w:pos="3600"/>
        </w:tabs>
        <w:ind w:left="3600" w:hanging="720"/>
      </w:pPr>
      <w:rPr>
        <w:rFonts w:ascii="Times New Roman" w:eastAsia="Times New Roman" w:hAnsi="Times New Roman" w:cs="Times New Roman"/>
        <w:b w:val="0"/>
        <w:i w:val="0"/>
        <w:caps w:val="0"/>
        <w:smallCaps w:val="0"/>
        <w:strike w:val="0"/>
        <w:dstrike w:val="0"/>
        <w:outline w:val="0"/>
        <w:shadow w:val="0"/>
        <w:emboss w:val="0"/>
        <w:imprint w:val="0"/>
        <w:vanish w:val="0"/>
        <w:color w:val="auto"/>
        <w:u w:val="none"/>
        <w:vertAlign w:val="baseline"/>
      </w:rPr>
    </w:lvl>
    <w:lvl w:ilvl="6">
      <w:start w:val="1"/>
      <w:numFmt w:val="lowerRoman"/>
      <w:lvlText w:val="(%7)"/>
      <w:lvlJc w:val="left"/>
      <w:pPr>
        <w:tabs>
          <w:tab w:val="num" w:pos="4320"/>
        </w:tabs>
        <w:ind w:left="4320" w:hanging="720"/>
      </w:pPr>
      <w:rPr>
        <w:rFonts w:ascii="Times New Roman" w:eastAsia="Times New Roman" w:hAnsi="Times New Roman" w:cs="Times New Roman"/>
        <w:b w:val="0"/>
        <w:i w:val="0"/>
        <w:caps w:val="0"/>
        <w:smallCaps w:val="0"/>
        <w:strike w:val="0"/>
        <w:dstrike w:val="0"/>
        <w:outline w:val="0"/>
        <w:shadow w:val="0"/>
        <w:emboss w:val="0"/>
        <w:imprint w:val="0"/>
        <w:vanish w:val="0"/>
        <w:color w:val="auto"/>
        <w:u w:val="none"/>
        <w:vertAlign w:val="baseline"/>
      </w:rPr>
    </w:lvl>
    <w:lvl w:ilvl="7">
      <w:start w:val="1"/>
      <w:numFmt w:val="lowerLetter"/>
      <w:lvlText w:val="%8)"/>
      <w:lvlJc w:val="left"/>
      <w:pPr>
        <w:tabs>
          <w:tab w:val="num" w:pos="5040"/>
        </w:tabs>
        <w:ind w:left="5040" w:hanging="720"/>
      </w:pPr>
      <w:rPr>
        <w:rFonts w:ascii="Times New Roman" w:eastAsia="Times New Roman" w:hAnsi="Times New Roman" w:cs="Times New Roman"/>
        <w:b w:val="0"/>
        <w:i w:val="0"/>
        <w:caps w:val="0"/>
        <w:smallCaps w:val="0"/>
        <w:strike w:val="0"/>
        <w:dstrike w:val="0"/>
        <w:outline w:val="0"/>
        <w:shadow w:val="0"/>
        <w:emboss w:val="0"/>
        <w:imprint w:val="0"/>
        <w:vanish w:val="0"/>
        <w:color w:val="auto"/>
        <w:u w:val="none"/>
        <w:vertAlign w:val="baseline"/>
      </w:rPr>
    </w:lvl>
    <w:lvl w:ilvl="8">
      <w:start w:val="1"/>
      <w:numFmt w:val="lowerRoman"/>
      <w:lvlText w:val="%9)"/>
      <w:lvlJc w:val="left"/>
      <w:pPr>
        <w:tabs>
          <w:tab w:val="num" w:pos="5760"/>
        </w:tabs>
        <w:ind w:left="5760" w:hanging="720"/>
      </w:pPr>
      <w:rPr>
        <w:rFonts w:ascii="Times New Roman" w:eastAsia="Times New Roman" w:hAnsi="Times New Roman" w:cs="Times New Roman"/>
        <w:b w:val="0"/>
        <w:i w:val="0"/>
        <w:caps w:val="0"/>
        <w:smallCaps w:val="0"/>
        <w:strike w:val="0"/>
        <w:dstrike w:val="0"/>
        <w:outline w:val="0"/>
        <w:shadow w:val="0"/>
        <w:emboss w:val="0"/>
        <w:imprint w:val="0"/>
        <w:vanish w:val="0"/>
        <w:color w:val="auto"/>
        <w:u w:val="none"/>
        <w:vertAlign w:val="baseline"/>
      </w:rPr>
    </w:lvl>
  </w:abstractNum>
  <w:abstractNum w:abstractNumId="20">
    <w:nsid w:val="4603130A"/>
    <w:multiLevelType w:val="multilevel"/>
    <w:tmpl w:val="BB8A51D8"/>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1">
    <w:nsid w:val="47F54A7D"/>
    <w:multiLevelType w:val="hybridMultilevel"/>
    <w:tmpl w:val="8E304AEA"/>
    <w:lvl w:ilvl="0" w:tplc="5A247A68">
      <w:start w:val="1"/>
      <w:numFmt w:val="decimal"/>
      <w:lvlText w:val="(%1)"/>
      <w:lvlJc w:val="left"/>
      <w:pPr>
        <w:ind w:left="1440" w:hanging="360"/>
      </w:pPr>
      <w:rPr>
        <w:rFonts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F8A1815"/>
    <w:multiLevelType w:val="hybridMultilevel"/>
    <w:tmpl w:val="2ACACC80"/>
    <w:lvl w:ilvl="0" w:tplc="0646201E">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4FA4202"/>
    <w:multiLevelType w:val="multilevel"/>
    <w:tmpl w:val="DCD4459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7C56025"/>
    <w:multiLevelType w:val="hybridMultilevel"/>
    <w:tmpl w:val="52FABA5A"/>
    <w:lvl w:ilvl="0" w:tplc="10090015">
      <w:start w:val="1"/>
      <w:numFmt w:val="upperLetter"/>
      <w:lvlText w:val="%1."/>
      <w:lvlJc w:val="left"/>
      <w:pPr>
        <w:ind w:left="720" w:hanging="360"/>
      </w:pPr>
    </w:lvl>
    <w:lvl w:ilvl="1" w:tplc="77FA3B46">
      <w:start w:val="1"/>
      <w:numFmt w:val="upperLetter"/>
      <w:lvlText w:val="%2."/>
      <w:lvlJc w:val="left"/>
      <w:pPr>
        <w:ind w:left="1440" w:hanging="360"/>
      </w:pPr>
      <w:rPr>
        <w:rFonts w:hint="default"/>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4A3B57"/>
    <w:multiLevelType w:val="hybridMultilevel"/>
    <w:tmpl w:val="96A4A65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0">
    <w:nsid w:val="5D6D68CD"/>
    <w:multiLevelType w:val="multilevel"/>
    <w:tmpl w:val="E7846B7A"/>
    <w:name w:val="zzmpStandard||Standard|2|3|1|1|4|0||1|4|0||1|4|0||1|4|0||1|4|0||1|4|0||1|4|0||1|4|0||1|4|0||"/>
    <w:lvl w:ilvl="0">
      <w:numFmt w:val="decimal"/>
      <w:lvlRestart w:val="0"/>
      <w:lvlText w:val="%1."/>
      <w:lvlJc w:val="left"/>
      <w:pPr>
        <w:tabs>
          <w:tab w:val="num" w:pos="1620"/>
        </w:tabs>
        <w:ind w:left="0" w:firstLine="0"/>
      </w:pPr>
      <w:rPr>
        <w:rFonts w:ascii="Calibri" w:eastAsia="Times New Roman" w:hAnsi="Calibri" w:cs="Times New Roman" w:hint="default"/>
        <w:b w:val="0"/>
        <w:i w:val="0"/>
        <w:caps w:val="0"/>
        <w:smallCaps w:val="0"/>
        <w:color w:val="auto"/>
        <w:u w:val="none"/>
      </w:rPr>
    </w:lvl>
    <w:lvl w:ilvl="1">
      <w:start w:val="1"/>
      <w:numFmt w:val="lowerLetter"/>
      <w:lvlText w:val="(%2)"/>
      <w:lvlJc w:val="left"/>
      <w:pPr>
        <w:tabs>
          <w:tab w:val="num" w:pos="1440"/>
        </w:tabs>
        <w:ind w:left="1440" w:hanging="720"/>
      </w:pPr>
      <w:rPr>
        <w:rFonts w:ascii="Calibri" w:eastAsia="Times New Roman" w:hAnsi="Calibri" w:cs="Times New Roman" w:hint="default"/>
        <w:b w:val="0"/>
        <w:i w:val="0"/>
        <w:caps w:val="0"/>
        <w:smallCaps w:val="0"/>
        <w:color w:val="auto"/>
        <w:u w:val="none"/>
      </w:rPr>
    </w:lvl>
    <w:lvl w:ilvl="2">
      <w:start w:val="1"/>
      <w:numFmt w:val="lowerRoman"/>
      <w:lvlText w:val="(%3)"/>
      <w:lvlJc w:val="left"/>
      <w:pPr>
        <w:tabs>
          <w:tab w:val="num" w:pos="2160"/>
        </w:tabs>
        <w:ind w:left="2160" w:hanging="720"/>
      </w:pPr>
      <w:rPr>
        <w:rFonts w:ascii="Calibri" w:eastAsia="Times New Roman" w:hAnsi="Calibri" w:cs="Times New Roman" w:hint="default"/>
        <w:b w:val="0"/>
        <w:i w:val="0"/>
        <w:caps w:val="0"/>
        <w:smallCaps w:val="0"/>
        <w:color w:val="auto"/>
        <w:u w:val="none"/>
      </w:rPr>
    </w:lvl>
    <w:lvl w:ilvl="3">
      <w:start w:val="1"/>
      <w:numFmt w:val="upperLetter"/>
      <w:lvlText w:val="(%4)"/>
      <w:lvlJc w:val="left"/>
      <w:pPr>
        <w:tabs>
          <w:tab w:val="num" w:pos="2880"/>
        </w:tabs>
        <w:ind w:left="2880" w:hanging="720"/>
      </w:pPr>
      <w:rPr>
        <w:rFonts w:ascii="Calibri" w:eastAsia="Times New Roman" w:hAnsi="Calibri" w:cs="Times New Roman" w:hint="default"/>
        <w:b w:val="0"/>
        <w:i w:val="0"/>
        <w:caps w:val="0"/>
        <w:smallCaps w:val="0"/>
        <w:color w:val="auto"/>
        <w:u w:val="none"/>
      </w:rPr>
    </w:lvl>
    <w:lvl w:ilvl="4">
      <w:start w:val="1"/>
      <w:numFmt w:val="upperRoman"/>
      <w:lvlText w:val="%5."/>
      <w:lvlJc w:val="left"/>
      <w:pPr>
        <w:tabs>
          <w:tab w:val="num" w:pos="3600"/>
        </w:tabs>
        <w:ind w:left="3600" w:hanging="720"/>
      </w:pPr>
      <w:rPr>
        <w:rFonts w:ascii="Calibri" w:eastAsia="Times New Roman" w:hAnsi="Calibri" w:cs="Times New Roman" w:hint="default"/>
        <w:b w:val="0"/>
        <w:i w:val="0"/>
        <w:caps w:val="0"/>
        <w:smallCaps w:val="0"/>
        <w:color w:val="auto"/>
        <w:u w:val="none"/>
      </w:rPr>
    </w:lvl>
    <w:lvl w:ilvl="5">
      <w:start w:val="1"/>
      <w:numFmt w:val="decimal"/>
      <w:lvlText w:val="(%6)"/>
      <w:lvlJc w:val="left"/>
      <w:pPr>
        <w:tabs>
          <w:tab w:val="num" w:pos="4320"/>
        </w:tabs>
        <w:ind w:left="4320" w:hanging="720"/>
      </w:pPr>
      <w:rPr>
        <w:rFonts w:ascii="Calibri" w:eastAsia="Times New Roman" w:hAnsi="Calibri" w:cs="Times New Roman" w:hint="default"/>
        <w:b w:val="0"/>
        <w:i w:val="0"/>
        <w:caps w:val="0"/>
        <w:smallCaps w:val="0"/>
        <w:color w:val="auto"/>
        <w:u w:val="none"/>
      </w:rPr>
    </w:lvl>
    <w:lvl w:ilvl="6">
      <w:start w:val="1"/>
      <w:numFmt w:val="lowerLetter"/>
      <w:lvlText w:val="%7."/>
      <w:lvlJc w:val="left"/>
      <w:pPr>
        <w:tabs>
          <w:tab w:val="num" w:pos="5040"/>
        </w:tabs>
        <w:ind w:left="5040" w:hanging="720"/>
      </w:pPr>
      <w:rPr>
        <w:rFonts w:ascii="Calibri" w:eastAsia="Times New Roman" w:hAnsi="Calibri" w:cs="Times New Roman" w:hint="default"/>
        <w:b w:val="0"/>
        <w:i w:val="0"/>
        <w:caps w:val="0"/>
        <w:smallCaps w:val="0"/>
        <w:color w:val="auto"/>
        <w:u w:val="none"/>
      </w:rPr>
    </w:lvl>
    <w:lvl w:ilvl="7">
      <w:start w:val="1"/>
      <w:numFmt w:val="lowerRoman"/>
      <w:lvlText w:val="%8."/>
      <w:lvlJc w:val="left"/>
      <w:pPr>
        <w:tabs>
          <w:tab w:val="num" w:pos="5760"/>
        </w:tabs>
        <w:ind w:left="5760" w:hanging="720"/>
      </w:pPr>
      <w:rPr>
        <w:rFonts w:ascii="Calibri" w:eastAsia="Times New Roman" w:hAnsi="Calibri" w:cs="Times New Roman" w:hint="default"/>
        <w:b w:val="0"/>
        <w:i w:val="0"/>
        <w:caps w:val="0"/>
        <w:smallCaps w:val="0"/>
        <w:color w:val="auto"/>
        <w:u w:val="none"/>
      </w:rPr>
    </w:lvl>
    <w:lvl w:ilvl="8">
      <w:start w:val="1"/>
      <w:numFmt w:val="decimal"/>
      <w:lvlText w:val="%9."/>
      <w:lvlJc w:val="left"/>
      <w:pPr>
        <w:tabs>
          <w:tab w:val="num" w:pos="6480"/>
        </w:tabs>
        <w:ind w:left="6480" w:hanging="720"/>
      </w:pPr>
      <w:rPr>
        <w:rFonts w:ascii="Calibri" w:eastAsia="Times New Roman" w:hAnsi="Calibri" w:cs="Times New Roman" w:hint="default"/>
        <w:b w:val="0"/>
        <w:i w:val="0"/>
        <w:caps w:val="0"/>
        <w:smallCaps w:val="0"/>
        <w:color w:val="auto"/>
        <w:u w:val="none"/>
      </w:rPr>
    </w:lvl>
  </w:abstractNum>
  <w:abstractNum w:abstractNumId="31">
    <w:nsid w:val="5FED6490"/>
    <w:multiLevelType w:val="multilevel"/>
    <w:tmpl w:val="984AB922"/>
    <w:lvl w:ilvl="0">
      <w:start w:val="1"/>
      <w:numFmt w:val="decimal"/>
      <w:lvlText w:val="%1."/>
      <w:lvlJc w:val="left"/>
      <w:pPr>
        <w:tabs>
          <w:tab w:val="num" w:pos="72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rPr>
    </w:lvl>
    <w:lvl w:ilvl="1">
      <w:start w:val="1"/>
      <w:numFmt w:val="decimal"/>
      <w:lvlText w:val="%2)"/>
      <w:lvlJc w:val="left"/>
      <w:pPr>
        <w:tabs>
          <w:tab w:val="num" w:pos="1530"/>
        </w:tabs>
        <w:ind w:left="810" w:firstLine="0"/>
      </w:pPr>
      <w:rPr>
        <w:rFonts w:hint="default"/>
        <w:color w:val="auto"/>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32">
    <w:nsid w:val="64C23533"/>
    <w:multiLevelType w:val="hybridMultilevel"/>
    <w:tmpl w:val="9DE282FC"/>
    <w:lvl w:ilvl="0" w:tplc="8336411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13"/>
  </w:num>
  <w:num w:numId="3">
    <w:abstractNumId w:val="28"/>
  </w:num>
  <w:num w:numId="4">
    <w:abstractNumId w:val="15"/>
  </w:num>
  <w:num w:numId="5">
    <w:abstractNumId w:val="21"/>
  </w:num>
  <w:num w:numId="6">
    <w:abstractNumId w:val="31"/>
  </w:num>
  <w:num w:numId="7">
    <w:abstractNumId w:val="30"/>
  </w:num>
  <w:num w:numId="8">
    <w:abstractNumId w:val="16"/>
  </w:num>
  <w:num w:numId="9">
    <w:abstractNumId w:val="19"/>
  </w:num>
  <w:num w:numId="10">
    <w:abstractNumId w:val="29"/>
  </w:num>
  <w:num w:numId="11">
    <w:abstractNumId w:val="25"/>
  </w:num>
  <w:num w:numId="12">
    <w:abstractNumId w:val="20"/>
  </w:num>
  <w:num w:numId="13">
    <w:abstractNumId w:val="14"/>
  </w:num>
  <w:num w:numId="14">
    <w:abstractNumId w:val="11"/>
  </w:num>
  <w:num w:numId="15">
    <w:abstractNumId w:val="27"/>
  </w:num>
  <w:num w:numId="16">
    <w:abstractNumId w:val="17"/>
  </w:num>
  <w:num w:numId="1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2"/>
  </w:num>
  <w:num w:numId="21">
    <w:abstractNumId w:val="10"/>
  </w:num>
  <w:num w:numId="22">
    <w:abstractNumId w:val="23"/>
  </w:num>
  <w:num w:numId="23">
    <w:abstractNumId w:val="24"/>
  </w:num>
  <w:num w:numId="24">
    <w:abstractNumId w:val="32"/>
  </w:num>
  <w:num w:numId="25">
    <w:abstractNumId w:val="2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8"/>
  </w:num>
  <w:num w:numId="37">
    <w:abstractNumId w:val="2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0225"/>
  </w:hdrShapeDefaults>
  <w:footnotePr>
    <w:footnote w:id="-1"/>
    <w:footnote w:id="0"/>
  </w:footnotePr>
  <w:endnotePr>
    <w:endnote w:id="-1"/>
    <w:endnote w:id="0"/>
  </w:endnotePr>
  <w:compat/>
  <w:rsids>
    <w:rsidRoot w:val="0031414C"/>
    <w:rsid w:val="00000ED4"/>
    <w:rsid w:val="00023FC7"/>
    <w:rsid w:val="00025198"/>
    <w:rsid w:val="00025A7C"/>
    <w:rsid w:val="00042480"/>
    <w:rsid w:val="000578A3"/>
    <w:rsid w:val="000648CC"/>
    <w:rsid w:val="000708B1"/>
    <w:rsid w:val="00074224"/>
    <w:rsid w:val="00080791"/>
    <w:rsid w:val="000841BC"/>
    <w:rsid w:val="00084DEE"/>
    <w:rsid w:val="000C59B8"/>
    <w:rsid w:val="000C6AF0"/>
    <w:rsid w:val="000D0A77"/>
    <w:rsid w:val="000D1059"/>
    <w:rsid w:val="000F7993"/>
    <w:rsid w:val="00104F33"/>
    <w:rsid w:val="00111DE2"/>
    <w:rsid w:val="00114797"/>
    <w:rsid w:val="00116B38"/>
    <w:rsid w:val="00120258"/>
    <w:rsid w:val="00135406"/>
    <w:rsid w:val="00135972"/>
    <w:rsid w:val="001426A9"/>
    <w:rsid w:val="00154D7C"/>
    <w:rsid w:val="001570B0"/>
    <w:rsid w:val="0015752C"/>
    <w:rsid w:val="00157737"/>
    <w:rsid w:val="001602DA"/>
    <w:rsid w:val="00165277"/>
    <w:rsid w:val="00166F9B"/>
    <w:rsid w:val="00170592"/>
    <w:rsid w:val="0017121A"/>
    <w:rsid w:val="001720F7"/>
    <w:rsid w:val="0018716D"/>
    <w:rsid w:val="00195D83"/>
    <w:rsid w:val="001A00C1"/>
    <w:rsid w:val="001B2FE4"/>
    <w:rsid w:val="001B33E0"/>
    <w:rsid w:val="001B4573"/>
    <w:rsid w:val="001C1B5E"/>
    <w:rsid w:val="001C779F"/>
    <w:rsid w:val="001D2AC1"/>
    <w:rsid w:val="001D4E88"/>
    <w:rsid w:val="00210D85"/>
    <w:rsid w:val="00220FC2"/>
    <w:rsid w:val="002222F4"/>
    <w:rsid w:val="00224FC0"/>
    <w:rsid w:val="00225EA4"/>
    <w:rsid w:val="00226EAF"/>
    <w:rsid w:val="00231F3A"/>
    <w:rsid w:val="002406EE"/>
    <w:rsid w:val="00243EC8"/>
    <w:rsid w:val="002515FF"/>
    <w:rsid w:val="0025209F"/>
    <w:rsid w:val="00253974"/>
    <w:rsid w:val="00270D93"/>
    <w:rsid w:val="00272FDE"/>
    <w:rsid w:val="002745CC"/>
    <w:rsid w:val="00275BF0"/>
    <w:rsid w:val="00281819"/>
    <w:rsid w:val="00281D03"/>
    <w:rsid w:val="00282AF4"/>
    <w:rsid w:val="002A0AB0"/>
    <w:rsid w:val="002A77F8"/>
    <w:rsid w:val="002B4A57"/>
    <w:rsid w:val="002B6FBE"/>
    <w:rsid w:val="002B7924"/>
    <w:rsid w:val="002C1053"/>
    <w:rsid w:val="002C10A6"/>
    <w:rsid w:val="002D28C3"/>
    <w:rsid w:val="002D39A4"/>
    <w:rsid w:val="002E49B5"/>
    <w:rsid w:val="002E5797"/>
    <w:rsid w:val="002E6705"/>
    <w:rsid w:val="002F1C40"/>
    <w:rsid w:val="0030329A"/>
    <w:rsid w:val="003104B2"/>
    <w:rsid w:val="0031086F"/>
    <w:rsid w:val="003125B6"/>
    <w:rsid w:val="0031414C"/>
    <w:rsid w:val="00314E01"/>
    <w:rsid w:val="0032089D"/>
    <w:rsid w:val="003310DE"/>
    <w:rsid w:val="003323B0"/>
    <w:rsid w:val="00340A49"/>
    <w:rsid w:val="00345115"/>
    <w:rsid w:val="00347CA0"/>
    <w:rsid w:val="003512C1"/>
    <w:rsid w:val="0035169A"/>
    <w:rsid w:val="0035259D"/>
    <w:rsid w:val="003571D4"/>
    <w:rsid w:val="00364B18"/>
    <w:rsid w:val="00396357"/>
    <w:rsid w:val="003A125D"/>
    <w:rsid w:val="003A318B"/>
    <w:rsid w:val="003A4C70"/>
    <w:rsid w:val="003B215F"/>
    <w:rsid w:val="003C799C"/>
    <w:rsid w:val="003D0399"/>
    <w:rsid w:val="003D55B0"/>
    <w:rsid w:val="003E0F9C"/>
    <w:rsid w:val="003E1C71"/>
    <w:rsid w:val="003F327B"/>
    <w:rsid w:val="004021E6"/>
    <w:rsid w:val="004059DB"/>
    <w:rsid w:val="00406166"/>
    <w:rsid w:val="0040704B"/>
    <w:rsid w:val="00410A55"/>
    <w:rsid w:val="00411300"/>
    <w:rsid w:val="00413F17"/>
    <w:rsid w:val="00415417"/>
    <w:rsid w:val="00426659"/>
    <w:rsid w:val="00450352"/>
    <w:rsid w:val="00453E85"/>
    <w:rsid w:val="00454BDB"/>
    <w:rsid w:val="00465132"/>
    <w:rsid w:val="00472102"/>
    <w:rsid w:val="00480C90"/>
    <w:rsid w:val="0048396F"/>
    <w:rsid w:val="00490155"/>
    <w:rsid w:val="00492AB3"/>
    <w:rsid w:val="00493C18"/>
    <w:rsid w:val="00495183"/>
    <w:rsid w:val="004A600C"/>
    <w:rsid w:val="004A6118"/>
    <w:rsid w:val="004C478D"/>
    <w:rsid w:val="004D5F19"/>
    <w:rsid w:val="004D7D95"/>
    <w:rsid w:val="004E2C26"/>
    <w:rsid w:val="004F1185"/>
    <w:rsid w:val="00504D4F"/>
    <w:rsid w:val="005125A8"/>
    <w:rsid w:val="00516A4A"/>
    <w:rsid w:val="00517549"/>
    <w:rsid w:val="00520ABC"/>
    <w:rsid w:val="00521AE8"/>
    <w:rsid w:val="00527180"/>
    <w:rsid w:val="00555291"/>
    <w:rsid w:val="00566AD1"/>
    <w:rsid w:val="00572A19"/>
    <w:rsid w:val="0058146B"/>
    <w:rsid w:val="00582D9A"/>
    <w:rsid w:val="00583EDE"/>
    <w:rsid w:val="00587FAF"/>
    <w:rsid w:val="0059290A"/>
    <w:rsid w:val="005A4457"/>
    <w:rsid w:val="005A6079"/>
    <w:rsid w:val="005A7DB6"/>
    <w:rsid w:val="005B172B"/>
    <w:rsid w:val="005E4698"/>
    <w:rsid w:val="00603924"/>
    <w:rsid w:val="00605940"/>
    <w:rsid w:val="00610539"/>
    <w:rsid w:val="0061201B"/>
    <w:rsid w:val="00613969"/>
    <w:rsid w:val="00625C35"/>
    <w:rsid w:val="00646828"/>
    <w:rsid w:val="00647E49"/>
    <w:rsid w:val="00656313"/>
    <w:rsid w:val="006565F4"/>
    <w:rsid w:val="00665887"/>
    <w:rsid w:val="00666F61"/>
    <w:rsid w:val="00684EEA"/>
    <w:rsid w:val="006930BD"/>
    <w:rsid w:val="0069681D"/>
    <w:rsid w:val="0069689B"/>
    <w:rsid w:val="006B5FF5"/>
    <w:rsid w:val="006C01B6"/>
    <w:rsid w:val="006C52D2"/>
    <w:rsid w:val="006D6171"/>
    <w:rsid w:val="006E36ED"/>
    <w:rsid w:val="006F30AF"/>
    <w:rsid w:val="006F5896"/>
    <w:rsid w:val="00701759"/>
    <w:rsid w:val="00705C15"/>
    <w:rsid w:val="00710C88"/>
    <w:rsid w:val="007110F6"/>
    <w:rsid w:val="00714D60"/>
    <w:rsid w:val="007171C4"/>
    <w:rsid w:val="007208D1"/>
    <w:rsid w:val="00726F0F"/>
    <w:rsid w:val="007338FD"/>
    <w:rsid w:val="007375FE"/>
    <w:rsid w:val="00741557"/>
    <w:rsid w:val="00744518"/>
    <w:rsid w:val="00747288"/>
    <w:rsid w:val="00747DD3"/>
    <w:rsid w:val="007549C8"/>
    <w:rsid w:val="00766D14"/>
    <w:rsid w:val="00767A0F"/>
    <w:rsid w:val="00781AAD"/>
    <w:rsid w:val="00785858"/>
    <w:rsid w:val="00791272"/>
    <w:rsid w:val="007A05F6"/>
    <w:rsid w:val="007B6F4A"/>
    <w:rsid w:val="007C6337"/>
    <w:rsid w:val="007D6F78"/>
    <w:rsid w:val="007E1C47"/>
    <w:rsid w:val="007E337A"/>
    <w:rsid w:val="007E5C70"/>
    <w:rsid w:val="007F1741"/>
    <w:rsid w:val="007F2828"/>
    <w:rsid w:val="007F2FF5"/>
    <w:rsid w:val="007F3F08"/>
    <w:rsid w:val="00804CC6"/>
    <w:rsid w:val="00817190"/>
    <w:rsid w:val="00817AA1"/>
    <w:rsid w:val="008260E2"/>
    <w:rsid w:val="00830DFB"/>
    <w:rsid w:val="008322BD"/>
    <w:rsid w:val="00834F73"/>
    <w:rsid w:val="00864C8A"/>
    <w:rsid w:val="00864CF8"/>
    <w:rsid w:val="00873363"/>
    <w:rsid w:val="00874914"/>
    <w:rsid w:val="00874EB3"/>
    <w:rsid w:val="00891422"/>
    <w:rsid w:val="00892E1A"/>
    <w:rsid w:val="008940CB"/>
    <w:rsid w:val="00896C04"/>
    <w:rsid w:val="008975F4"/>
    <w:rsid w:val="008B283B"/>
    <w:rsid w:val="008B660A"/>
    <w:rsid w:val="008C01DA"/>
    <w:rsid w:val="008C2FC2"/>
    <w:rsid w:val="008C3F35"/>
    <w:rsid w:val="008D1D74"/>
    <w:rsid w:val="008E57A1"/>
    <w:rsid w:val="008F2674"/>
    <w:rsid w:val="008F78E9"/>
    <w:rsid w:val="00901B39"/>
    <w:rsid w:val="00903CD4"/>
    <w:rsid w:val="009179F9"/>
    <w:rsid w:val="00917C7A"/>
    <w:rsid w:val="00923AE6"/>
    <w:rsid w:val="00925F83"/>
    <w:rsid w:val="00933E5E"/>
    <w:rsid w:val="00935218"/>
    <w:rsid w:val="00936E6C"/>
    <w:rsid w:val="009378C3"/>
    <w:rsid w:val="00937C52"/>
    <w:rsid w:val="009400EA"/>
    <w:rsid w:val="009403F3"/>
    <w:rsid w:val="00945C5A"/>
    <w:rsid w:val="009555B7"/>
    <w:rsid w:val="009567AA"/>
    <w:rsid w:val="009602C9"/>
    <w:rsid w:val="009661D3"/>
    <w:rsid w:val="00967374"/>
    <w:rsid w:val="00967CE7"/>
    <w:rsid w:val="00981601"/>
    <w:rsid w:val="00982984"/>
    <w:rsid w:val="00984004"/>
    <w:rsid w:val="00984184"/>
    <w:rsid w:val="009A180C"/>
    <w:rsid w:val="009A1B84"/>
    <w:rsid w:val="009A1C71"/>
    <w:rsid w:val="009A343A"/>
    <w:rsid w:val="009B00D1"/>
    <w:rsid w:val="009B0C56"/>
    <w:rsid w:val="009B2F23"/>
    <w:rsid w:val="009B4301"/>
    <w:rsid w:val="009B57B3"/>
    <w:rsid w:val="009B77AB"/>
    <w:rsid w:val="009C6ABA"/>
    <w:rsid w:val="009D2920"/>
    <w:rsid w:val="009D5AEB"/>
    <w:rsid w:val="009D6558"/>
    <w:rsid w:val="009D6D24"/>
    <w:rsid w:val="009E1C63"/>
    <w:rsid w:val="009E303B"/>
    <w:rsid w:val="009F0465"/>
    <w:rsid w:val="009F053B"/>
    <w:rsid w:val="009F0E33"/>
    <w:rsid w:val="009F7F33"/>
    <w:rsid w:val="00A045EC"/>
    <w:rsid w:val="00A11A9C"/>
    <w:rsid w:val="00A13797"/>
    <w:rsid w:val="00A149DF"/>
    <w:rsid w:val="00A1755C"/>
    <w:rsid w:val="00A21B90"/>
    <w:rsid w:val="00A22AAC"/>
    <w:rsid w:val="00A41805"/>
    <w:rsid w:val="00A45563"/>
    <w:rsid w:val="00A51882"/>
    <w:rsid w:val="00A52963"/>
    <w:rsid w:val="00A52AFB"/>
    <w:rsid w:val="00A548CB"/>
    <w:rsid w:val="00A5521C"/>
    <w:rsid w:val="00A55697"/>
    <w:rsid w:val="00A643E7"/>
    <w:rsid w:val="00A7139F"/>
    <w:rsid w:val="00A73C38"/>
    <w:rsid w:val="00A815A1"/>
    <w:rsid w:val="00A92C47"/>
    <w:rsid w:val="00A95B67"/>
    <w:rsid w:val="00A97130"/>
    <w:rsid w:val="00AA4DB1"/>
    <w:rsid w:val="00AB670D"/>
    <w:rsid w:val="00AD0C0C"/>
    <w:rsid w:val="00AD29A9"/>
    <w:rsid w:val="00AF03C5"/>
    <w:rsid w:val="00AF170E"/>
    <w:rsid w:val="00B000D8"/>
    <w:rsid w:val="00B00F75"/>
    <w:rsid w:val="00B0578A"/>
    <w:rsid w:val="00B13F82"/>
    <w:rsid w:val="00B145B6"/>
    <w:rsid w:val="00B15039"/>
    <w:rsid w:val="00B238C1"/>
    <w:rsid w:val="00B23F7E"/>
    <w:rsid w:val="00B279EB"/>
    <w:rsid w:val="00B27DD4"/>
    <w:rsid w:val="00B40814"/>
    <w:rsid w:val="00B50C81"/>
    <w:rsid w:val="00B557F8"/>
    <w:rsid w:val="00B6037A"/>
    <w:rsid w:val="00B66F95"/>
    <w:rsid w:val="00B74063"/>
    <w:rsid w:val="00B815FC"/>
    <w:rsid w:val="00B831E0"/>
    <w:rsid w:val="00B93FBC"/>
    <w:rsid w:val="00B96C01"/>
    <w:rsid w:val="00B97A07"/>
    <w:rsid w:val="00BA7DA0"/>
    <w:rsid w:val="00BB2EE4"/>
    <w:rsid w:val="00BB4C92"/>
    <w:rsid w:val="00BC1C37"/>
    <w:rsid w:val="00BC2108"/>
    <w:rsid w:val="00BD0E9E"/>
    <w:rsid w:val="00BD1BEC"/>
    <w:rsid w:val="00BD32FF"/>
    <w:rsid w:val="00BD4DEB"/>
    <w:rsid w:val="00BF4A71"/>
    <w:rsid w:val="00BF5764"/>
    <w:rsid w:val="00BF6FE9"/>
    <w:rsid w:val="00C02092"/>
    <w:rsid w:val="00C24D91"/>
    <w:rsid w:val="00C26DB2"/>
    <w:rsid w:val="00C53F14"/>
    <w:rsid w:val="00C600CF"/>
    <w:rsid w:val="00C6084F"/>
    <w:rsid w:val="00C62A66"/>
    <w:rsid w:val="00C66359"/>
    <w:rsid w:val="00C71458"/>
    <w:rsid w:val="00C74DEA"/>
    <w:rsid w:val="00C753B0"/>
    <w:rsid w:val="00C77613"/>
    <w:rsid w:val="00C828E7"/>
    <w:rsid w:val="00C86719"/>
    <w:rsid w:val="00C921DD"/>
    <w:rsid w:val="00C972D0"/>
    <w:rsid w:val="00CA6391"/>
    <w:rsid w:val="00CB165D"/>
    <w:rsid w:val="00CB26E1"/>
    <w:rsid w:val="00CB60FB"/>
    <w:rsid w:val="00CC4387"/>
    <w:rsid w:val="00CC6DBC"/>
    <w:rsid w:val="00CE036E"/>
    <w:rsid w:val="00CE3171"/>
    <w:rsid w:val="00CF1601"/>
    <w:rsid w:val="00CF713F"/>
    <w:rsid w:val="00D0172F"/>
    <w:rsid w:val="00D01E33"/>
    <w:rsid w:val="00D068A7"/>
    <w:rsid w:val="00D17476"/>
    <w:rsid w:val="00D32086"/>
    <w:rsid w:val="00D37A3F"/>
    <w:rsid w:val="00D4431D"/>
    <w:rsid w:val="00D4667A"/>
    <w:rsid w:val="00D6360E"/>
    <w:rsid w:val="00D63A1C"/>
    <w:rsid w:val="00D64956"/>
    <w:rsid w:val="00D7516F"/>
    <w:rsid w:val="00D91A68"/>
    <w:rsid w:val="00D95F8E"/>
    <w:rsid w:val="00DA0590"/>
    <w:rsid w:val="00DB32C8"/>
    <w:rsid w:val="00DC1739"/>
    <w:rsid w:val="00DC1788"/>
    <w:rsid w:val="00DC47C3"/>
    <w:rsid w:val="00DC51F1"/>
    <w:rsid w:val="00DD045F"/>
    <w:rsid w:val="00DE319C"/>
    <w:rsid w:val="00DE5C83"/>
    <w:rsid w:val="00DF0CA8"/>
    <w:rsid w:val="00DF2B48"/>
    <w:rsid w:val="00DF4350"/>
    <w:rsid w:val="00DF49A7"/>
    <w:rsid w:val="00E07EE2"/>
    <w:rsid w:val="00E07FD1"/>
    <w:rsid w:val="00E174CD"/>
    <w:rsid w:val="00E24573"/>
    <w:rsid w:val="00E25E1E"/>
    <w:rsid w:val="00E27EE7"/>
    <w:rsid w:val="00E35404"/>
    <w:rsid w:val="00E45109"/>
    <w:rsid w:val="00E47B7A"/>
    <w:rsid w:val="00E56A44"/>
    <w:rsid w:val="00E60269"/>
    <w:rsid w:val="00E6030E"/>
    <w:rsid w:val="00E72858"/>
    <w:rsid w:val="00E87457"/>
    <w:rsid w:val="00E9533C"/>
    <w:rsid w:val="00E97830"/>
    <w:rsid w:val="00EA599A"/>
    <w:rsid w:val="00EC77E8"/>
    <w:rsid w:val="00EE0830"/>
    <w:rsid w:val="00EE0F50"/>
    <w:rsid w:val="00EE6CB8"/>
    <w:rsid w:val="00EF0683"/>
    <w:rsid w:val="00EF1441"/>
    <w:rsid w:val="00EF5916"/>
    <w:rsid w:val="00F0070C"/>
    <w:rsid w:val="00F00EB7"/>
    <w:rsid w:val="00F13ADC"/>
    <w:rsid w:val="00F17B77"/>
    <w:rsid w:val="00F20D1E"/>
    <w:rsid w:val="00F3538F"/>
    <w:rsid w:val="00F36AB6"/>
    <w:rsid w:val="00F37A09"/>
    <w:rsid w:val="00F409CE"/>
    <w:rsid w:val="00F4328A"/>
    <w:rsid w:val="00F4379D"/>
    <w:rsid w:val="00F441EF"/>
    <w:rsid w:val="00F50D2D"/>
    <w:rsid w:val="00F54947"/>
    <w:rsid w:val="00F56C8B"/>
    <w:rsid w:val="00F62639"/>
    <w:rsid w:val="00F62D69"/>
    <w:rsid w:val="00F66810"/>
    <w:rsid w:val="00F73241"/>
    <w:rsid w:val="00F84DF4"/>
    <w:rsid w:val="00F85C97"/>
    <w:rsid w:val="00F976E2"/>
    <w:rsid w:val="00FA2BEE"/>
    <w:rsid w:val="00FB3218"/>
    <w:rsid w:val="00FB37D2"/>
    <w:rsid w:val="00FC4EFB"/>
    <w:rsid w:val="00FD068D"/>
    <w:rsid w:val="00FD337C"/>
    <w:rsid w:val="00FD4F28"/>
    <w:rsid w:val="00FD7251"/>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1557"/>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41557"/>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41557"/>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41557"/>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41557"/>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41557"/>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41557"/>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styleId="TOC1">
    <w:name w:val="toc 1"/>
    <w:basedOn w:val="Normal"/>
    <w:next w:val="Normal"/>
    <w:autoRedefine/>
    <w:uiPriority w:val="39"/>
    <w:unhideWhenUsed/>
    <w:qFormat/>
    <w:rsid w:val="00741557"/>
    <w:pPr>
      <w:tabs>
        <w:tab w:val="left" w:pos="720"/>
        <w:tab w:val="right" w:leader="dot" w:pos="8270"/>
      </w:tabs>
      <w:spacing w:before="120" w:after="120"/>
      <w:ind w:left="720" w:hanging="720"/>
    </w:pPr>
    <w:rPr>
      <w:noProof/>
      <w:szCs w:val="24"/>
    </w:rPr>
  </w:style>
  <w:style w:type="table" w:customStyle="1" w:styleId="TableGrid1">
    <w:name w:val="Table Grid1"/>
    <w:basedOn w:val="TableNormal"/>
    <w:uiPriority w:val="59"/>
    <w:rsid w:val="00741557"/>
    <w:rPr>
      <w:rFonts w:eastAsiaTheme="minorHAnsi" w:cstheme="minorBidi"/>
      <w:sz w:val="24"/>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17121A"/>
    <w:pPr>
      <w:tabs>
        <w:tab w:val="right" w:leader="dot" w:pos="9350"/>
      </w:tabs>
      <w:spacing w:after="100"/>
      <w:ind w:left="720" w:hanging="720"/>
    </w:pPr>
    <w:rPr>
      <w:rFonts w:eastAsiaTheme="minorHAnsi" w:cstheme="minorBidi"/>
      <w:szCs w:val="24"/>
      <w:lang w:val="fr-CA" w:eastAsia="en-US"/>
    </w:rPr>
  </w:style>
  <w:style w:type="paragraph" w:styleId="TOC3">
    <w:name w:val="toc 3"/>
    <w:basedOn w:val="Normal"/>
    <w:next w:val="Normal"/>
    <w:autoRedefine/>
    <w:uiPriority w:val="39"/>
    <w:unhideWhenUsed/>
    <w:qFormat/>
    <w:rsid w:val="00741557"/>
    <w:pPr>
      <w:tabs>
        <w:tab w:val="left" w:pos="1260"/>
        <w:tab w:val="right" w:leader="dot" w:pos="9350"/>
      </w:tabs>
      <w:spacing w:after="100"/>
      <w:ind w:left="1260" w:hanging="540"/>
    </w:pPr>
    <w:rPr>
      <w:rFonts w:eastAsiaTheme="minorEastAsia" w:cstheme="minorBidi"/>
      <w:noProof/>
      <w:szCs w:val="22"/>
      <w:lang w:val="fr-FR"/>
    </w:rPr>
  </w:style>
  <w:style w:type="paragraph" w:styleId="TOC4">
    <w:name w:val="toc 4"/>
    <w:basedOn w:val="Normal"/>
    <w:next w:val="Normal"/>
    <w:autoRedefine/>
    <w:uiPriority w:val="39"/>
    <w:unhideWhenUsed/>
    <w:rsid w:val="00741557"/>
    <w:pPr>
      <w:tabs>
        <w:tab w:val="left" w:pos="1260"/>
        <w:tab w:val="right" w:leader="dot" w:pos="9350"/>
      </w:tabs>
      <w:spacing w:after="100"/>
      <w:ind w:left="1260" w:hanging="540"/>
    </w:pPr>
    <w:rPr>
      <w:rFonts w:eastAsiaTheme="minorEastAsia" w:cstheme="minorBidi"/>
      <w:noProof/>
      <w:szCs w:val="22"/>
      <w:lang w:val="fr-FR"/>
    </w:rPr>
  </w:style>
  <w:style w:type="paragraph" w:styleId="TOC5">
    <w:name w:val="toc 5"/>
    <w:basedOn w:val="Normal"/>
    <w:next w:val="Normal"/>
    <w:autoRedefine/>
    <w:uiPriority w:val="39"/>
    <w:unhideWhenUsed/>
    <w:rsid w:val="00741557"/>
    <w:pPr>
      <w:tabs>
        <w:tab w:val="left" w:pos="1800"/>
        <w:tab w:val="right" w:leader="dot" w:pos="9350"/>
      </w:tabs>
      <w:spacing w:after="100"/>
      <w:ind w:left="1800" w:hanging="540"/>
    </w:pPr>
    <w:rPr>
      <w:rFonts w:eastAsiaTheme="minorEastAsia" w:cstheme="minorBidi"/>
      <w:noProof/>
      <w:szCs w:val="22"/>
      <w:lang w:val="fr-FR"/>
    </w:rPr>
  </w:style>
  <w:style w:type="character" w:customStyle="1" w:styleId="Heading3Char">
    <w:name w:val="Heading 3 Char"/>
    <w:basedOn w:val="DefaultParagraphFont"/>
    <w:link w:val="Heading3"/>
    <w:uiPriority w:val="9"/>
    <w:rsid w:val="00741557"/>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41557"/>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41557"/>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41557"/>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41557"/>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41557"/>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41557"/>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741557"/>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741557"/>
    <w:rPr>
      <w:rFonts w:eastAsiaTheme="minorHAnsi" w:cstheme="minorBidi"/>
      <w:sz w:val="24"/>
      <w:szCs w:val="22"/>
      <w:lang w:val="en-US" w:eastAsia="en-US" w:bidi="en-US"/>
    </w:rPr>
  </w:style>
  <w:style w:type="paragraph" w:customStyle="1" w:styleId="SCCCoram">
    <w:name w:val="SCC.Coram"/>
    <w:basedOn w:val="Normal"/>
    <w:next w:val="Normal"/>
    <w:link w:val="SCCCoramChar"/>
    <w:rsid w:val="00741557"/>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741557"/>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741557"/>
    <w:rPr>
      <w:b/>
      <w:sz w:val="24"/>
    </w:rPr>
  </w:style>
  <w:style w:type="table" w:styleId="TableGrid">
    <w:name w:val="Table Grid"/>
    <w:basedOn w:val="TableNormal"/>
    <w:uiPriority w:val="59"/>
    <w:rsid w:val="007415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41557"/>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41557"/>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741557"/>
    <w:pPr>
      <w:numPr>
        <w:numId w:val="1"/>
      </w:numPr>
      <w:spacing w:before="480" w:after="480" w:line="480" w:lineRule="auto"/>
      <w:jc w:val="both"/>
    </w:pPr>
    <w:rPr>
      <w:rFonts w:eastAsiaTheme="minorEastAsia" w:cstheme="minorBidi"/>
      <w:sz w:val="24"/>
      <w:szCs w:val="22"/>
      <w:lang w:eastAsia="en-US"/>
    </w:rPr>
  </w:style>
  <w:style w:type="paragraph" w:customStyle="1" w:styleId="JudgeJuge">
    <w:name w:val="Judge / Juge"/>
    <w:link w:val="JudgeJugeChar"/>
    <w:uiPriority w:val="3"/>
    <w:rsid w:val="00741557"/>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741557"/>
    <w:rPr>
      <w:smallCaps/>
      <w:sz w:val="24"/>
    </w:rPr>
  </w:style>
  <w:style w:type="paragraph" w:customStyle="1" w:styleId="TitleTitre-AltT">
    <w:name w:val="Title / Titre - Alt T"/>
    <w:next w:val="ParaNoNdepar-AltN"/>
    <w:uiPriority w:val="3"/>
    <w:qFormat/>
    <w:rsid w:val="00741557"/>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rsid w:val="00741557"/>
    <w:pPr>
      <w:ind w:left="720"/>
      <w:contextualSpacing/>
    </w:pPr>
    <w:rPr>
      <w:rFonts w:eastAsiaTheme="minorHAnsi" w:cstheme="minorBidi"/>
      <w:szCs w:val="22"/>
      <w:lang w:val="en-US" w:eastAsia="en-US" w:bidi="en-US"/>
    </w:rPr>
  </w:style>
  <w:style w:type="paragraph" w:styleId="FootnoteText">
    <w:name w:val="footnote text"/>
    <w:aliases w:val="Car,Footnote Text Char2,Footnote Text Char1 Char,Footnote Text Char Char Char,Footnote Text Char Char1,Footnote Text Char1 Char1 Char,Footnote Text Char Char Char1 Char,Footnote Text Char1 Char Char Char"/>
    <w:basedOn w:val="Normal"/>
    <w:link w:val="FootnoteTextChar"/>
    <w:unhideWhenUsed/>
    <w:qFormat/>
    <w:rsid w:val="00741557"/>
    <w:rPr>
      <w:rFonts w:eastAsiaTheme="minorHAnsi" w:cstheme="minorBidi"/>
      <w:sz w:val="20"/>
      <w:szCs w:val="24"/>
      <w:lang w:val="en-US" w:eastAsia="en-US" w:bidi="en-US"/>
    </w:rPr>
  </w:style>
  <w:style w:type="character" w:customStyle="1" w:styleId="FootnoteTextChar">
    <w:name w:val="Footnote Text Char"/>
    <w:aliases w:val="Car Char,Footnote Text Char2 Char,Footnote Text Char1 Char Char,Footnote Text Char Char Char Char,Footnote Text Char Char1 Char,Footnote Text Char1 Char1 Char Char,Footnote Text Char Char Char1 Char Char"/>
    <w:basedOn w:val="DefaultParagraphFont"/>
    <w:link w:val="FootnoteText"/>
    <w:rsid w:val="00741557"/>
    <w:rPr>
      <w:rFonts w:eastAsiaTheme="minorHAnsi" w:cstheme="minorBidi"/>
      <w:szCs w:val="24"/>
      <w:lang w:val="en-US" w:eastAsia="en-US" w:bidi="en-US"/>
    </w:rPr>
  </w:style>
  <w:style w:type="character" w:styleId="FootnoteReference">
    <w:name w:val="footnote reference"/>
    <w:basedOn w:val="DefaultParagraphFont"/>
    <w:unhideWhenUsed/>
    <w:rsid w:val="00741557"/>
    <w:rPr>
      <w:vertAlign w:val="superscript"/>
    </w:rPr>
  </w:style>
  <w:style w:type="paragraph" w:styleId="E-mailSignature">
    <w:name w:val="E-mail Signature"/>
    <w:basedOn w:val="Normal"/>
    <w:link w:val="E-mailSignatureChar"/>
    <w:semiHidden/>
    <w:rsid w:val="00741557"/>
    <w:rPr>
      <w:rFonts w:eastAsiaTheme="minorHAnsi" w:cstheme="minorBidi"/>
      <w:szCs w:val="24"/>
      <w:lang w:val="en-US" w:eastAsia="en-US" w:bidi="en-US"/>
    </w:rPr>
  </w:style>
  <w:style w:type="character" w:customStyle="1" w:styleId="E-mailSignatureChar">
    <w:name w:val="E-mail Signature Char"/>
    <w:basedOn w:val="DefaultParagraphFont"/>
    <w:link w:val="E-mailSignature"/>
    <w:semiHidden/>
    <w:rsid w:val="00741557"/>
    <w:rPr>
      <w:rFonts w:eastAsiaTheme="minorHAnsi" w:cstheme="minorBidi"/>
      <w:sz w:val="24"/>
      <w:szCs w:val="24"/>
      <w:lang w:val="en-US" w:eastAsia="en-US" w:bidi="en-US"/>
    </w:rPr>
  </w:style>
  <w:style w:type="paragraph" w:styleId="BodyText">
    <w:name w:val="Body Text"/>
    <w:basedOn w:val="Normal"/>
    <w:link w:val="BodyTextChar"/>
    <w:uiPriority w:val="99"/>
    <w:semiHidden/>
    <w:unhideWhenUsed/>
    <w:rsid w:val="00741557"/>
    <w:pPr>
      <w:spacing w:after="120"/>
    </w:pPr>
    <w:rPr>
      <w:rFonts w:eastAsiaTheme="minorHAnsi" w:cstheme="minorBidi"/>
      <w:szCs w:val="22"/>
      <w:lang w:val="en-US" w:eastAsia="en-US" w:bidi="en-US"/>
    </w:rPr>
  </w:style>
  <w:style w:type="character" w:customStyle="1" w:styleId="BodyTextChar">
    <w:name w:val="Body Text Char"/>
    <w:basedOn w:val="DefaultParagraphFont"/>
    <w:link w:val="BodyText"/>
    <w:uiPriority w:val="99"/>
    <w:semiHidden/>
    <w:rsid w:val="00741557"/>
    <w:rPr>
      <w:rFonts w:eastAsiaTheme="minorHAnsi" w:cstheme="minorBidi"/>
      <w:sz w:val="24"/>
      <w:szCs w:val="22"/>
      <w:lang w:val="en-US" w:eastAsia="en-US" w:bidi="en-US"/>
    </w:rPr>
  </w:style>
  <w:style w:type="character" w:styleId="CommentReference">
    <w:name w:val="annotation reference"/>
    <w:basedOn w:val="DefaultParagraphFont"/>
    <w:uiPriority w:val="99"/>
    <w:semiHidden/>
    <w:unhideWhenUsed/>
    <w:rsid w:val="00741557"/>
    <w:rPr>
      <w:sz w:val="16"/>
      <w:szCs w:val="16"/>
    </w:rPr>
  </w:style>
  <w:style w:type="paragraph" w:styleId="CommentText">
    <w:name w:val="annotation text"/>
    <w:basedOn w:val="Normal"/>
    <w:link w:val="CommentTextChar"/>
    <w:uiPriority w:val="99"/>
    <w:semiHidden/>
    <w:unhideWhenUsed/>
    <w:rsid w:val="00741557"/>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741557"/>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741557"/>
    <w:rPr>
      <w:b/>
      <w:bCs/>
    </w:rPr>
  </w:style>
  <w:style w:type="character" w:customStyle="1" w:styleId="CommentSubjectChar">
    <w:name w:val="Comment Subject Char"/>
    <w:basedOn w:val="CommentTextChar"/>
    <w:link w:val="CommentSubject"/>
    <w:uiPriority w:val="99"/>
    <w:semiHidden/>
    <w:rsid w:val="00741557"/>
    <w:rPr>
      <w:b/>
      <w:bCs/>
    </w:rPr>
  </w:style>
  <w:style w:type="paragraph" w:customStyle="1" w:styleId="Title1LevelTitre1Niveau-AltL">
    <w:name w:val="Title 1 Level / Titre 1 Niveau - Alt L"/>
    <w:next w:val="ParaNoNdepar-AltN"/>
    <w:uiPriority w:val="4"/>
    <w:qFormat/>
    <w:rsid w:val="00741557"/>
    <w:pPr>
      <w:numPr>
        <w:numId w:val="12"/>
      </w:numPr>
      <w:spacing w:before="480" w:after="720"/>
    </w:pPr>
    <w:rPr>
      <w:rFonts w:eastAsiaTheme="minorHAnsi" w:cstheme="minorBidi"/>
      <w:sz w:val="24"/>
      <w:szCs w:val="22"/>
      <w:u w:val="single"/>
      <w:lang w:eastAsia="en-US"/>
    </w:rPr>
  </w:style>
  <w:style w:type="paragraph" w:styleId="NoSpacing">
    <w:name w:val="No Spacing"/>
    <w:uiPriority w:val="1"/>
    <w:rsid w:val="00741557"/>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741557"/>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741557"/>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7415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4155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41557"/>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41557"/>
    <w:rPr>
      <w:rFonts w:asciiTheme="majorHAnsi" w:eastAsiaTheme="majorEastAsia" w:hAnsiTheme="majorHAnsi" w:cstheme="majorBidi"/>
      <w:i/>
      <w:iCs/>
      <w:color w:val="4F81BD" w:themeColor="accent1"/>
      <w:spacing w:val="15"/>
      <w:sz w:val="24"/>
      <w:szCs w:val="24"/>
      <w:lang w:val="en-US" w:eastAsia="en-US" w:bidi="en-US"/>
    </w:rPr>
  </w:style>
  <w:style w:type="paragraph" w:styleId="Quote">
    <w:name w:val="Quote"/>
    <w:basedOn w:val="Normal"/>
    <w:next w:val="Normal"/>
    <w:link w:val="QuoteChar"/>
    <w:uiPriority w:val="29"/>
    <w:rsid w:val="00741557"/>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741557"/>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rsid w:val="00741557"/>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41557"/>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741557"/>
    <w:rPr>
      <w:i/>
      <w:iCs/>
      <w:color w:val="808080" w:themeColor="text1" w:themeTint="7F"/>
    </w:rPr>
  </w:style>
  <w:style w:type="character" w:styleId="IntenseEmphasis">
    <w:name w:val="Intense Emphasis"/>
    <w:basedOn w:val="DefaultParagraphFont"/>
    <w:uiPriority w:val="21"/>
    <w:rsid w:val="00741557"/>
    <w:rPr>
      <w:b/>
      <w:bCs/>
      <w:i/>
      <w:iCs/>
      <w:color w:val="4F81BD" w:themeColor="accent1"/>
    </w:rPr>
  </w:style>
  <w:style w:type="character" w:styleId="SubtleReference">
    <w:name w:val="Subtle Reference"/>
    <w:basedOn w:val="DefaultParagraphFont"/>
    <w:uiPriority w:val="31"/>
    <w:rsid w:val="00741557"/>
    <w:rPr>
      <w:smallCaps/>
      <w:color w:val="C0504D" w:themeColor="accent2"/>
      <w:u w:val="single"/>
    </w:rPr>
  </w:style>
  <w:style w:type="character" w:styleId="IntenseReference">
    <w:name w:val="Intense Reference"/>
    <w:basedOn w:val="DefaultParagraphFont"/>
    <w:uiPriority w:val="32"/>
    <w:rsid w:val="00741557"/>
    <w:rPr>
      <w:b/>
      <w:bCs/>
      <w:smallCaps/>
      <w:color w:val="C0504D" w:themeColor="accent2"/>
      <w:spacing w:val="5"/>
      <w:u w:val="single"/>
    </w:rPr>
  </w:style>
  <w:style w:type="character" w:styleId="BookTitle">
    <w:name w:val="Book Title"/>
    <w:basedOn w:val="DefaultParagraphFont"/>
    <w:uiPriority w:val="33"/>
    <w:rsid w:val="00741557"/>
    <w:rPr>
      <w:b/>
      <w:bCs/>
      <w:smallCaps/>
      <w:spacing w:val="5"/>
    </w:rPr>
  </w:style>
  <w:style w:type="paragraph" w:styleId="Revision">
    <w:name w:val="Revision"/>
    <w:hidden/>
    <w:uiPriority w:val="99"/>
    <w:semiHidden/>
    <w:rsid w:val="00741557"/>
    <w:rPr>
      <w:rFonts w:eastAsiaTheme="minorHAnsi" w:cstheme="minorBidi"/>
      <w:sz w:val="24"/>
      <w:szCs w:val="22"/>
      <w:lang w:val="en-US" w:eastAsia="en-US" w:bidi="en-US"/>
    </w:rPr>
  </w:style>
  <w:style w:type="character" w:styleId="Hyperlink">
    <w:name w:val="Hyperlink"/>
    <w:basedOn w:val="DefaultParagraphFont"/>
    <w:uiPriority w:val="99"/>
    <w:unhideWhenUsed/>
    <w:rsid w:val="00741557"/>
    <w:rPr>
      <w:color w:val="0000FF" w:themeColor="hyperlink"/>
      <w:u w:val="single"/>
    </w:rPr>
  </w:style>
  <w:style w:type="paragraph" w:customStyle="1" w:styleId="Title2LevelTitre2Niveau">
    <w:name w:val="Title 2 Level / Titre 2 Niveau"/>
    <w:basedOn w:val="Title1LevelTitre1Niveau-AltL"/>
    <w:next w:val="ParaNoNdepar-AltN"/>
    <w:uiPriority w:val="4"/>
    <w:qFormat/>
    <w:rsid w:val="00741557"/>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41557"/>
    <w:pPr>
      <w:numPr>
        <w:ilvl w:val="2"/>
      </w:numPr>
    </w:pPr>
  </w:style>
  <w:style w:type="paragraph" w:customStyle="1" w:styleId="Title4LevelTitre4Niveau">
    <w:name w:val="Title 4 Level / Titre 4 Niveau"/>
    <w:basedOn w:val="Title3LevelTitre3Niveau"/>
    <w:next w:val="ParaNoNdepar-AltN"/>
    <w:uiPriority w:val="4"/>
    <w:qFormat/>
    <w:rsid w:val="00741557"/>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741557"/>
    <w:pPr>
      <w:numPr>
        <w:ilvl w:val="4"/>
      </w:numPr>
    </w:pPr>
  </w:style>
  <w:style w:type="paragraph" w:styleId="TOC6">
    <w:name w:val="toc 6"/>
    <w:basedOn w:val="Normal"/>
    <w:next w:val="Normal"/>
    <w:autoRedefine/>
    <w:uiPriority w:val="39"/>
    <w:unhideWhenUsed/>
    <w:rsid w:val="00741557"/>
    <w:pPr>
      <w:tabs>
        <w:tab w:val="left" w:pos="2160"/>
        <w:tab w:val="right" w:leader="dot" w:pos="8270"/>
      </w:tabs>
      <w:spacing w:after="100"/>
      <w:ind w:left="1800"/>
    </w:pPr>
    <w:rPr>
      <w:rFonts w:eastAsiaTheme="minorHAnsi" w:cstheme="minorBidi"/>
      <w:noProof/>
      <w:lang w:val="en-US" w:eastAsia="en-US" w:bidi="en-US"/>
    </w:rPr>
  </w:style>
  <w:style w:type="paragraph" w:customStyle="1" w:styleId="HeadingTitre-AltH">
    <w:name w:val="Heading / Titre - Alt H"/>
    <w:next w:val="Normal"/>
    <w:uiPriority w:val="3"/>
    <w:rsid w:val="00741557"/>
    <w:pPr>
      <w:tabs>
        <w:tab w:val="left" w:pos="360"/>
      </w:tabs>
      <w:spacing w:before="480" w:after="480"/>
      <w:ind w:left="360" w:hanging="360"/>
      <w:jc w:val="both"/>
    </w:pPr>
    <w:rPr>
      <w:rFonts w:eastAsiaTheme="minorHAnsi" w:cstheme="minorBidi"/>
      <w:sz w:val="24"/>
      <w:szCs w:val="22"/>
      <w:lang w:eastAsia="en-US"/>
    </w:rPr>
  </w:style>
  <w:style w:type="character" w:styleId="Emphasis">
    <w:name w:val="Emphasis"/>
    <w:basedOn w:val="DefaultParagraphFont"/>
    <w:uiPriority w:val="20"/>
    <w:rsid w:val="00741557"/>
    <w:rPr>
      <w:i/>
      <w:iCs/>
    </w:rPr>
  </w:style>
  <w:style w:type="paragraph" w:customStyle="1" w:styleId="SCCLsocPrefix">
    <w:name w:val="SCC.Lsoc.Prefix"/>
    <w:basedOn w:val="Normal"/>
    <w:next w:val="Normal"/>
    <w:link w:val="SCCLsocPrefixChar"/>
    <w:rsid w:val="00B6037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B6037A"/>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24426-BFF2-4D0F-BD97-3D29E0BE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17694</Words>
  <Characters>94628</Characters>
  <Application>Microsoft Office Word</Application>
  <DocSecurity>4</DocSecurity>
  <Lines>788</Lines>
  <Paragraphs>224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2014-04-03T15:45:00Z</dcterms:created>
  <dcterms:modified xsi:type="dcterms:W3CDTF">2014-04-03T15:45:00Z</dcterms:modified>
</cp:coreProperties>
</file>