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D7" w:rsidRDefault="00FD2FD7" w:rsidP="00FD2FD7">
      <w:pPr>
        <w:pStyle w:val="Header"/>
      </w:pPr>
      <w:r>
        <w:ptab w:relativeTo="margin" w:alignment="center" w:leader="none"/>
      </w:r>
      <w:r w:rsidRPr="00F72014">
        <w:t xml:space="preserve"> </w:t>
      </w:r>
      <w:r>
        <w:object w:dxaOrig="1365" w:dyaOrig="1440">
          <v:shape id="_x0000_i1027" type="#_x0000_t75" style="width:61.5pt;height:64.7pt" o:ole="">
            <v:imagedata r:id="rId8" o:title=""/>
          </v:shape>
          <o:OLEObject Type="Embed" ProgID="Presentations.Drawing.13" ShapeID="_x0000_i1027" DrawAspect="Content" ObjectID="_1472560953" r:id="rId9"/>
        </w:object>
      </w:r>
      <w:r>
        <w:t xml:space="preserve"> </w:t>
      </w:r>
      <w:r>
        <w:ptab w:relativeTo="margin" w:alignment="right" w:leader="none"/>
      </w:r>
    </w:p>
    <w:p w:rsidR="00FD2FD7" w:rsidRDefault="00FD2FD7" w:rsidP="00FD2FD7">
      <w:pPr>
        <w:pStyle w:val="Header"/>
      </w:pPr>
    </w:p>
    <w:p w:rsidR="00FD2FD7" w:rsidRPr="001E12E2" w:rsidRDefault="00FD2FD7" w:rsidP="00FD2FD7">
      <w:pPr>
        <w:jc w:val="center"/>
        <w:rPr>
          <w:b/>
        </w:rPr>
      </w:pPr>
      <w:r w:rsidRPr="001E12E2">
        <w:rPr>
          <w:b/>
        </w:rPr>
        <w:t>COUR SUPRÊME DU CANADA</w:t>
      </w:r>
    </w:p>
    <w:p w:rsidR="00FD2FD7" w:rsidRDefault="00FD2FD7" w:rsidP="00FD2FD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D2FD7" w:rsidRPr="001E12E2" w:rsidTr="0051112B">
        <w:trPr>
          <w:cantSplit/>
        </w:trPr>
        <w:tc>
          <w:tcPr>
            <w:tcW w:w="6768" w:type="dxa"/>
          </w:tcPr>
          <w:p w:rsidR="00FD2FD7" w:rsidRPr="00FD2FD7" w:rsidRDefault="00FD2FD7" w:rsidP="0051112B">
            <w:pPr>
              <w:rPr>
                <w:lang w:val="fr-CA"/>
              </w:rPr>
            </w:pPr>
            <w:r w:rsidRPr="00FD2FD7">
              <w:rPr>
                <w:b/>
                <w:smallCaps/>
                <w:lang w:val="fr-CA"/>
              </w:rPr>
              <w:t>Référence :</w:t>
            </w:r>
            <w:r w:rsidRPr="00FD2FD7">
              <w:rPr>
                <w:lang w:val="fr-CA"/>
              </w:rPr>
              <w:t xml:space="preserve"> R. </w:t>
            </w:r>
            <w:r w:rsidRPr="00FD2FD7">
              <w:rPr>
                <w:i/>
                <w:lang w:val="fr-CA"/>
              </w:rPr>
              <w:t>c.</w:t>
            </w:r>
            <w:r w:rsidRPr="00FD2FD7">
              <w:rPr>
                <w:lang w:val="fr-CA"/>
              </w:rPr>
              <w:t xml:space="preserve"> </w:t>
            </w:r>
            <w:proofErr w:type="spellStart"/>
            <w:r w:rsidRPr="00FD2FD7">
              <w:rPr>
                <w:lang w:val="fr-CA"/>
              </w:rPr>
              <w:t>Summers</w:t>
            </w:r>
            <w:proofErr w:type="spellEnd"/>
            <w:r w:rsidRPr="00FD2FD7">
              <w:rPr>
                <w:lang w:val="fr-CA"/>
              </w:rPr>
              <w:t>, 2014 CSC 26</w:t>
            </w:r>
            <w:r w:rsidR="00271033">
              <w:rPr>
                <w:lang w:val="fr-CA"/>
              </w:rPr>
              <w:t>, [2014] 1 R.C.S. 575</w:t>
            </w:r>
          </w:p>
        </w:tc>
        <w:tc>
          <w:tcPr>
            <w:tcW w:w="2808" w:type="dxa"/>
          </w:tcPr>
          <w:p w:rsidR="00FD2FD7" w:rsidRPr="001E12E2" w:rsidRDefault="00FD2FD7" w:rsidP="0051112B">
            <w:r w:rsidRPr="001E12E2">
              <w:rPr>
                <w:b/>
                <w:smallCaps/>
              </w:rPr>
              <w:t>Date</w:t>
            </w:r>
            <w:r>
              <w:rPr>
                <w:b/>
                <w:smallCaps/>
              </w:rPr>
              <w:t> :</w:t>
            </w:r>
            <w:r w:rsidRPr="001E12E2">
              <w:t xml:space="preserve"> </w:t>
            </w:r>
            <w:r>
              <w:t>20140411</w:t>
            </w:r>
          </w:p>
          <w:p w:rsidR="00FD2FD7" w:rsidRPr="001E12E2" w:rsidRDefault="00FD2FD7" w:rsidP="0051112B">
            <w:r w:rsidRPr="001E12E2">
              <w:rPr>
                <w:b/>
                <w:smallCaps/>
              </w:rPr>
              <w:t>Do</w:t>
            </w:r>
            <w:r>
              <w:rPr>
                <w:b/>
                <w:smallCaps/>
              </w:rPr>
              <w:t>ssier :</w:t>
            </w:r>
            <w:r w:rsidRPr="001E12E2">
              <w:t xml:space="preserve"> </w:t>
            </w:r>
            <w:r>
              <w:t>35339</w:t>
            </w:r>
          </w:p>
        </w:tc>
      </w:tr>
    </w:tbl>
    <w:p w:rsidR="00FD2FD7" w:rsidRPr="001E12E2" w:rsidRDefault="00FD2FD7" w:rsidP="00FD2FD7"/>
    <w:p w:rsidR="00FD2FD7" w:rsidRDefault="00FD2FD7" w:rsidP="00FD2FD7">
      <w:pPr>
        <w:pStyle w:val="SCCLsocPrefix"/>
      </w:pPr>
      <w:r>
        <w:t>Entre :</w:t>
      </w:r>
    </w:p>
    <w:p w:rsidR="00FD2FD7" w:rsidRDefault="00FD2FD7" w:rsidP="00FD2FD7">
      <w:pPr>
        <w:pStyle w:val="SCCLsocParty"/>
        <w:jc w:val="center"/>
      </w:pPr>
      <w:r>
        <w:t xml:space="preserve">Sa </w:t>
      </w:r>
      <w:proofErr w:type="spellStart"/>
      <w:r>
        <w:t>Majesté</w:t>
      </w:r>
      <w:proofErr w:type="spellEnd"/>
      <w:r>
        <w:t xml:space="preserve"> la </w:t>
      </w:r>
      <w:proofErr w:type="spellStart"/>
      <w:r>
        <w:t>Reine</w:t>
      </w:r>
      <w:proofErr w:type="spellEnd"/>
    </w:p>
    <w:p w:rsidR="00FD2FD7" w:rsidRDefault="00FD2FD7" w:rsidP="00FD2FD7">
      <w:pPr>
        <w:jc w:val="center"/>
      </w:pPr>
      <w:proofErr w:type="spellStart"/>
      <w:r>
        <w:t>Appelante</w:t>
      </w:r>
      <w:proofErr w:type="spellEnd"/>
    </w:p>
    <w:p w:rsidR="00FD2FD7" w:rsidRPr="00C93340" w:rsidRDefault="00FD2FD7" w:rsidP="00FD2FD7">
      <w:pPr>
        <w:jc w:val="center"/>
      </w:pPr>
    </w:p>
    <w:p w:rsidR="00FD2FD7" w:rsidRDefault="00FD2FD7" w:rsidP="00FD2FD7">
      <w:pPr>
        <w:pStyle w:val="SCCLsocVersus"/>
        <w:jc w:val="center"/>
      </w:pPr>
      <w:proofErr w:type="gramStart"/>
      <w:r>
        <w:t>et</w:t>
      </w:r>
      <w:proofErr w:type="gramEnd"/>
    </w:p>
    <w:p w:rsidR="00FD2FD7" w:rsidRDefault="00FD2FD7" w:rsidP="00FD2FD7">
      <w:pPr>
        <w:pStyle w:val="SCCLsocParty"/>
        <w:jc w:val="center"/>
      </w:pPr>
    </w:p>
    <w:p w:rsidR="00FD2FD7" w:rsidRDefault="00FD2FD7" w:rsidP="00FD2FD7">
      <w:pPr>
        <w:pStyle w:val="SCCLsocParty"/>
        <w:jc w:val="center"/>
      </w:pPr>
      <w:r>
        <w:t xml:space="preserve">Sean </w:t>
      </w:r>
      <w:proofErr w:type="gramStart"/>
      <w:r>
        <w:t>Summers</w:t>
      </w:r>
      <w:proofErr w:type="gramEnd"/>
    </w:p>
    <w:p w:rsidR="00FD2FD7" w:rsidRDefault="00FD2FD7" w:rsidP="00FD2FD7">
      <w:pPr>
        <w:jc w:val="center"/>
      </w:pPr>
      <w:proofErr w:type="spellStart"/>
      <w:r>
        <w:t>Intimé</w:t>
      </w:r>
      <w:proofErr w:type="spellEnd"/>
    </w:p>
    <w:p w:rsidR="00FD2FD7" w:rsidRDefault="00FD2FD7" w:rsidP="00FD2FD7">
      <w:pPr>
        <w:jc w:val="center"/>
      </w:pPr>
    </w:p>
    <w:p w:rsidR="00FD2FD7" w:rsidRPr="00C16A41" w:rsidRDefault="00FD2FD7" w:rsidP="00FD2FD7">
      <w:pPr>
        <w:jc w:val="center"/>
        <w:rPr>
          <w:lang w:val="fr-CA"/>
        </w:rPr>
      </w:pPr>
      <w:r w:rsidRPr="00C16A41">
        <w:rPr>
          <w:lang w:val="fr-CA"/>
        </w:rPr>
        <w:t>-et-</w:t>
      </w:r>
    </w:p>
    <w:p w:rsidR="00FD2FD7" w:rsidRPr="00C16A41" w:rsidRDefault="00FD2FD7" w:rsidP="00FD2FD7">
      <w:pPr>
        <w:rPr>
          <w:lang w:val="fr-CA"/>
        </w:rPr>
      </w:pPr>
    </w:p>
    <w:p w:rsidR="00FD2FD7" w:rsidRPr="00FD2FD7" w:rsidRDefault="00FD2FD7" w:rsidP="00FD2FD7">
      <w:pPr>
        <w:jc w:val="center"/>
        <w:rPr>
          <w:b/>
          <w:lang w:val="fr-CA"/>
        </w:rPr>
      </w:pPr>
      <w:r w:rsidRPr="00FD2FD7">
        <w:rPr>
          <w:b/>
          <w:lang w:val="fr-CA"/>
        </w:rPr>
        <w:t xml:space="preserve">Directeur des poursuites criminelles et pénales du Québec, </w:t>
      </w:r>
    </w:p>
    <w:p w:rsidR="00FD2FD7" w:rsidRPr="00FD2FD7" w:rsidRDefault="00FD2FD7" w:rsidP="00FD2FD7">
      <w:pPr>
        <w:jc w:val="center"/>
        <w:rPr>
          <w:b/>
          <w:lang w:val="fr-CA"/>
        </w:rPr>
      </w:pPr>
      <w:r w:rsidRPr="00FD2FD7">
        <w:rPr>
          <w:b/>
          <w:lang w:val="fr-CA"/>
        </w:rPr>
        <w:t xml:space="preserve">Association des libertés civiles de la Colombie-Britannique, </w:t>
      </w:r>
    </w:p>
    <w:p w:rsidR="00FD2FD7" w:rsidRPr="00C93340" w:rsidRDefault="00FD2FD7" w:rsidP="00FD2FD7">
      <w:pPr>
        <w:jc w:val="center"/>
        <w:rPr>
          <w:b/>
        </w:rPr>
      </w:pPr>
      <w:r w:rsidRPr="00C93340">
        <w:rPr>
          <w:b/>
        </w:rPr>
        <w:t xml:space="preserve">Criminal Lawyers’ </w:t>
      </w:r>
      <w:proofErr w:type="spellStart"/>
      <w:r w:rsidRPr="00C93340">
        <w:rPr>
          <w:b/>
        </w:rPr>
        <w:t>Assocation</w:t>
      </w:r>
      <w:proofErr w:type="spellEnd"/>
      <w:r w:rsidRPr="00C93340">
        <w:rPr>
          <w:b/>
        </w:rPr>
        <w:t xml:space="preserve"> of Ontario, </w:t>
      </w:r>
    </w:p>
    <w:p w:rsidR="00FD2FD7" w:rsidRPr="00FD2FD7" w:rsidRDefault="00FD2FD7" w:rsidP="00FD2FD7">
      <w:pPr>
        <w:jc w:val="center"/>
        <w:rPr>
          <w:b/>
          <w:lang w:val="fr-CA"/>
        </w:rPr>
      </w:pPr>
      <w:r w:rsidRPr="00FD2FD7">
        <w:rPr>
          <w:b/>
          <w:lang w:val="fr-CA"/>
        </w:rPr>
        <w:t xml:space="preserve">Société John Howard du Canada et </w:t>
      </w:r>
    </w:p>
    <w:p w:rsidR="00FD2FD7" w:rsidRPr="00FD2FD7" w:rsidRDefault="00FD2FD7" w:rsidP="00FD2FD7">
      <w:pPr>
        <w:jc w:val="center"/>
        <w:rPr>
          <w:b/>
          <w:lang w:val="fr-CA"/>
        </w:rPr>
      </w:pPr>
      <w:r w:rsidRPr="00FD2FD7">
        <w:rPr>
          <w:b/>
          <w:lang w:val="fr-CA"/>
        </w:rPr>
        <w:t>Association canadienne des libertés civiles</w:t>
      </w:r>
    </w:p>
    <w:p w:rsidR="00FD2FD7" w:rsidRPr="00FD2FD7" w:rsidRDefault="00FD2FD7" w:rsidP="00FD2FD7">
      <w:pPr>
        <w:jc w:val="center"/>
        <w:rPr>
          <w:lang w:val="fr-CA"/>
        </w:rPr>
      </w:pPr>
      <w:r w:rsidRPr="00FD2FD7">
        <w:rPr>
          <w:lang w:val="fr-CA"/>
        </w:rPr>
        <w:t>Intervenants</w:t>
      </w:r>
    </w:p>
    <w:p w:rsidR="00FD2FD7" w:rsidRPr="00FD2FD7" w:rsidRDefault="00FD2FD7" w:rsidP="00FD2FD7">
      <w:pPr>
        <w:rPr>
          <w:lang w:val="fr-CA"/>
        </w:rPr>
      </w:pPr>
    </w:p>
    <w:p w:rsidR="00FD2FD7" w:rsidRPr="00FD2FD7" w:rsidRDefault="00FD2FD7" w:rsidP="00FD2FD7">
      <w:pPr>
        <w:rPr>
          <w:lang w:val="fr-CA"/>
        </w:rPr>
      </w:pPr>
    </w:p>
    <w:p w:rsidR="00FD2FD7" w:rsidRPr="00FD2FD7" w:rsidRDefault="00FD2FD7" w:rsidP="00FD2FD7">
      <w:pPr>
        <w:rPr>
          <w:lang w:val="fr-CA"/>
        </w:rPr>
      </w:pPr>
    </w:p>
    <w:p w:rsidR="00FD2FD7" w:rsidRPr="00C16A41" w:rsidRDefault="00FD2FD7" w:rsidP="00FD2FD7">
      <w:pPr>
        <w:jc w:val="center"/>
        <w:rPr>
          <w:b/>
          <w:smallCaps/>
          <w:lang w:val="fr-CA"/>
        </w:rPr>
      </w:pPr>
      <w:r w:rsidRPr="00C16A41">
        <w:rPr>
          <w:b/>
          <w:smallCaps/>
          <w:lang w:val="fr-CA"/>
        </w:rPr>
        <w:t>Traduction française officielle</w:t>
      </w:r>
    </w:p>
    <w:p w:rsidR="00FD2FD7" w:rsidRPr="00C16A41" w:rsidRDefault="00FD2FD7" w:rsidP="00FD2FD7">
      <w:pPr>
        <w:rPr>
          <w:lang w:val="fr-CA"/>
        </w:rPr>
      </w:pPr>
    </w:p>
    <w:p w:rsidR="00FD2FD7" w:rsidRPr="00FD2FD7" w:rsidRDefault="00FD2FD7" w:rsidP="00271033">
      <w:pPr>
        <w:jc w:val="both"/>
        <w:rPr>
          <w:lang w:val="fr-CA"/>
        </w:rPr>
      </w:pPr>
      <w:r w:rsidRPr="00FD2FD7">
        <w:rPr>
          <w:b/>
          <w:smallCaps/>
          <w:lang w:val="fr-CA"/>
        </w:rPr>
        <w:t>Coram :</w:t>
      </w:r>
      <w:r w:rsidRPr="00FD2FD7">
        <w:rPr>
          <w:lang w:val="fr-CA"/>
        </w:rPr>
        <w:t xml:space="preserve"> La juge en chef </w:t>
      </w:r>
      <w:proofErr w:type="spellStart"/>
      <w:r w:rsidRPr="00FD2FD7">
        <w:rPr>
          <w:lang w:val="fr-CA"/>
        </w:rPr>
        <w:t>McLachlin</w:t>
      </w:r>
      <w:proofErr w:type="spellEnd"/>
      <w:r w:rsidRPr="00FD2FD7">
        <w:rPr>
          <w:lang w:val="fr-CA"/>
        </w:rPr>
        <w:t xml:space="preserve"> et les juges </w:t>
      </w:r>
      <w:proofErr w:type="spellStart"/>
      <w:r w:rsidRPr="00FD2FD7">
        <w:rPr>
          <w:lang w:val="fr-CA"/>
        </w:rPr>
        <w:t>LeBel</w:t>
      </w:r>
      <w:proofErr w:type="spellEnd"/>
      <w:r w:rsidRPr="00FD2FD7">
        <w:rPr>
          <w:lang w:val="fr-CA"/>
        </w:rPr>
        <w:t xml:space="preserve">, Abella, </w:t>
      </w:r>
      <w:proofErr w:type="spellStart"/>
      <w:r w:rsidRPr="00FD2FD7">
        <w:rPr>
          <w:lang w:val="fr-CA"/>
        </w:rPr>
        <w:t>Rothstein</w:t>
      </w:r>
      <w:proofErr w:type="spellEnd"/>
      <w:r w:rsidRPr="00FD2FD7">
        <w:rPr>
          <w:lang w:val="fr-CA"/>
        </w:rPr>
        <w:t xml:space="preserve">, Cromwell, </w:t>
      </w:r>
      <w:proofErr w:type="spellStart"/>
      <w:r w:rsidRPr="00FD2FD7">
        <w:rPr>
          <w:lang w:val="fr-CA"/>
        </w:rPr>
        <w:t>Karakatsanis</w:t>
      </w:r>
      <w:proofErr w:type="spellEnd"/>
      <w:r w:rsidRPr="00FD2FD7">
        <w:rPr>
          <w:lang w:val="fr-CA"/>
        </w:rPr>
        <w:t xml:space="preserve"> et Wagner</w:t>
      </w:r>
    </w:p>
    <w:p w:rsidR="00FD2FD7" w:rsidRPr="00FD2FD7" w:rsidRDefault="00FD2FD7" w:rsidP="00FD2FD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D2FD7" w:rsidRPr="00271033" w:rsidTr="0051112B">
        <w:trPr>
          <w:cantSplit/>
        </w:trPr>
        <w:tc>
          <w:tcPr>
            <w:tcW w:w="3618" w:type="dxa"/>
          </w:tcPr>
          <w:p w:rsidR="00FD2FD7" w:rsidRPr="00FD2FD7" w:rsidRDefault="00FD2FD7" w:rsidP="0051112B">
            <w:pPr>
              <w:rPr>
                <w:b/>
                <w:smallCaps/>
                <w:lang w:val="fr-CA"/>
              </w:rPr>
            </w:pPr>
            <w:r w:rsidRPr="00FD2FD7">
              <w:rPr>
                <w:b/>
                <w:smallCaps/>
                <w:lang w:val="fr-CA"/>
              </w:rPr>
              <w:t>Motifs de jugement :</w:t>
            </w:r>
          </w:p>
          <w:p w:rsidR="00FD2FD7" w:rsidRPr="00FD2FD7" w:rsidRDefault="00FD2FD7" w:rsidP="0051112B">
            <w:pPr>
              <w:rPr>
                <w:lang w:val="fr-CA"/>
              </w:rPr>
            </w:pPr>
            <w:r w:rsidRPr="00FD2FD7">
              <w:rPr>
                <w:lang w:val="fr-CA"/>
              </w:rPr>
              <w:t>(par. 1 à 89)</w:t>
            </w:r>
          </w:p>
        </w:tc>
        <w:tc>
          <w:tcPr>
            <w:tcW w:w="5958" w:type="dxa"/>
          </w:tcPr>
          <w:p w:rsidR="00FD2FD7" w:rsidRPr="00FD2FD7" w:rsidRDefault="00FD2FD7" w:rsidP="0051112B">
            <w:pPr>
              <w:rPr>
                <w:lang w:val="fr-CA"/>
              </w:rPr>
            </w:pPr>
            <w:r w:rsidRPr="00FD2FD7">
              <w:rPr>
                <w:lang w:val="fr-CA"/>
              </w:rPr>
              <w:t xml:space="preserve">La juge </w:t>
            </w:r>
            <w:proofErr w:type="spellStart"/>
            <w:r w:rsidRPr="00FD2FD7">
              <w:rPr>
                <w:lang w:val="fr-CA"/>
              </w:rPr>
              <w:t>Karakatsanis</w:t>
            </w:r>
            <w:proofErr w:type="spellEnd"/>
            <w:r w:rsidRPr="00FD2FD7">
              <w:rPr>
                <w:lang w:val="fr-CA"/>
              </w:rPr>
              <w:t xml:space="preserve"> (avec l’accord de la juge en chef </w:t>
            </w:r>
            <w:proofErr w:type="spellStart"/>
            <w:r w:rsidRPr="00FD2FD7">
              <w:rPr>
                <w:lang w:val="fr-CA"/>
              </w:rPr>
              <w:t>McLachlin</w:t>
            </w:r>
            <w:proofErr w:type="spellEnd"/>
            <w:r w:rsidRPr="00FD2FD7">
              <w:rPr>
                <w:lang w:val="fr-CA"/>
              </w:rPr>
              <w:t xml:space="preserve"> et des juges </w:t>
            </w:r>
            <w:proofErr w:type="spellStart"/>
            <w:r w:rsidRPr="00FD2FD7">
              <w:rPr>
                <w:lang w:val="fr-CA"/>
              </w:rPr>
              <w:t>LeBel</w:t>
            </w:r>
            <w:proofErr w:type="spellEnd"/>
            <w:r w:rsidRPr="00FD2FD7">
              <w:rPr>
                <w:lang w:val="fr-CA"/>
              </w:rPr>
              <w:t xml:space="preserve">, Abella, </w:t>
            </w:r>
            <w:proofErr w:type="spellStart"/>
            <w:r w:rsidRPr="00FD2FD7">
              <w:rPr>
                <w:lang w:val="fr-CA"/>
              </w:rPr>
              <w:t>Rothstein</w:t>
            </w:r>
            <w:proofErr w:type="spellEnd"/>
            <w:r w:rsidRPr="00FD2FD7">
              <w:rPr>
                <w:lang w:val="fr-CA"/>
              </w:rPr>
              <w:t>, Cromwell et Wagner)</w:t>
            </w:r>
          </w:p>
        </w:tc>
      </w:tr>
    </w:tbl>
    <w:p w:rsidR="00FD2FD7" w:rsidRPr="00FD2FD7" w:rsidRDefault="0001724D" w:rsidP="00FD2FD7">
      <w:pPr>
        <w:rPr>
          <w:lang w:val="fr-CA"/>
        </w:rPr>
      </w:pPr>
      <w:r w:rsidRPr="0001724D">
        <w:rPr>
          <w:noProof/>
          <w:lang w:val="fr-CA"/>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C16A41" w:rsidRPr="00271033" w:rsidRDefault="00C16A41" w:rsidP="00A17E02">
      <w:pPr>
        <w:spacing w:after="720"/>
        <w:jc w:val="both"/>
        <w:rPr>
          <w:lang w:val="fr-CA"/>
        </w:rPr>
      </w:pPr>
    </w:p>
    <w:p w:rsidR="004D7D95" w:rsidRPr="00FD2FD7" w:rsidRDefault="0079521A" w:rsidP="00A17E02">
      <w:pPr>
        <w:spacing w:after="720"/>
        <w:jc w:val="both"/>
        <w:rPr>
          <w:lang w:val="en-US"/>
        </w:rPr>
      </w:pPr>
      <w:r w:rsidRPr="00FD2FD7">
        <w:rPr>
          <w:lang w:val="en-US"/>
        </w:rPr>
        <w:lastRenderedPageBreak/>
        <w:t>R</w:t>
      </w:r>
      <w:r w:rsidR="004D7D95" w:rsidRPr="00FD2FD7">
        <w:rPr>
          <w:lang w:val="en-US"/>
        </w:rPr>
        <w:t xml:space="preserve">. </w:t>
      </w:r>
      <w:r w:rsidR="004D7D95" w:rsidRPr="00FD2FD7">
        <w:rPr>
          <w:i/>
          <w:lang w:val="en-US"/>
        </w:rPr>
        <w:t>c.</w:t>
      </w:r>
      <w:r w:rsidR="004D7D95" w:rsidRPr="00FD2FD7">
        <w:rPr>
          <w:lang w:val="en-US"/>
        </w:rPr>
        <w:t xml:space="preserve"> </w:t>
      </w:r>
      <w:proofErr w:type="gramStart"/>
      <w:r w:rsidRPr="00FD2FD7">
        <w:rPr>
          <w:lang w:val="en-US"/>
        </w:rPr>
        <w:t>S</w:t>
      </w:r>
      <w:r w:rsidR="004D7D95" w:rsidRPr="00FD2FD7">
        <w:rPr>
          <w:lang w:val="en-US"/>
        </w:rPr>
        <w:t>ummers</w:t>
      </w:r>
      <w:proofErr w:type="gramEnd"/>
      <w:r w:rsidRPr="00FD2FD7">
        <w:rPr>
          <w:lang w:val="en-US"/>
        </w:rPr>
        <w:t>, 2014 CSC 26, [2014] 1 R.C.S. 575</w:t>
      </w:r>
    </w:p>
    <w:p w:rsidR="00F104E7" w:rsidRPr="002B0484" w:rsidRDefault="00524F46" w:rsidP="00A17E02">
      <w:pPr>
        <w:pStyle w:val="SCCLsocLastPartyInRole"/>
        <w:rPr>
          <w:lang w:val="fr-CA"/>
        </w:rPr>
      </w:pPr>
      <w:r w:rsidRPr="002B0484">
        <w:rPr>
          <w:lang w:val="fr-CA"/>
        </w:rPr>
        <w:t>Sa Majesté la Reine</w:t>
      </w:r>
      <w:r w:rsidR="00EE0C77" w:rsidRPr="002B0484">
        <w:rPr>
          <w:rStyle w:val="SCCLsocPartyRole"/>
          <w:lang w:val="fr-CA"/>
        </w:rPr>
        <w:tab/>
        <w:t>Appelant</w:t>
      </w:r>
      <w:r w:rsidRPr="002B0484">
        <w:rPr>
          <w:rStyle w:val="SCCLsocPartyRole"/>
          <w:lang w:val="fr-CA"/>
        </w:rPr>
        <w:t>e</w:t>
      </w:r>
    </w:p>
    <w:p w:rsidR="00F104E7" w:rsidRPr="002B0484" w:rsidRDefault="00524F46" w:rsidP="00A17E02">
      <w:pPr>
        <w:pStyle w:val="SCCLsocVersus"/>
        <w:rPr>
          <w:lang w:val="fr-CA"/>
        </w:rPr>
      </w:pPr>
      <w:proofErr w:type="gramStart"/>
      <w:r w:rsidRPr="002B0484">
        <w:rPr>
          <w:lang w:val="fr-CA"/>
        </w:rPr>
        <w:t>c</w:t>
      </w:r>
      <w:proofErr w:type="gramEnd"/>
      <w:r w:rsidRPr="002B0484">
        <w:rPr>
          <w:lang w:val="fr-CA"/>
        </w:rPr>
        <w:t>.</w:t>
      </w:r>
    </w:p>
    <w:p w:rsidR="00F104E7" w:rsidRPr="002B0484" w:rsidRDefault="00524F46" w:rsidP="00A17E02">
      <w:pPr>
        <w:pStyle w:val="SCCLsocLastPartyInRole"/>
        <w:rPr>
          <w:lang w:val="fr-CA"/>
        </w:rPr>
      </w:pPr>
      <w:r w:rsidRPr="002B0484">
        <w:rPr>
          <w:lang w:val="fr-CA"/>
        </w:rPr>
        <w:t xml:space="preserve">Sean </w:t>
      </w:r>
      <w:proofErr w:type="spellStart"/>
      <w:r w:rsidRPr="002B0484">
        <w:rPr>
          <w:lang w:val="fr-CA"/>
        </w:rPr>
        <w:t>Summers</w:t>
      </w:r>
      <w:proofErr w:type="spellEnd"/>
      <w:r w:rsidRPr="002B0484">
        <w:rPr>
          <w:rStyle w:val="SCCLsocPartyRole"/>
          <w:lang w:val="fr-CA"/>
        </w:rPr>
        <w:tab/>
        <w:t>Intimé</w:t>
      </w:r>
    </w:p>
    <w:p w:rsidR="00F104E7" w:rsidRPr="002B0484" w:rsidRDefault="00524F46" w:rsidP="00A17E02">
      <w:pPr>
        <w:pStyle w:val="SCCLsocOtherPartySeparator"/>
        <w:rPr>
          <w:lang w:val="fr-CA"/>
        </w:rPr>
      </w:pPr>
      <w:proofErr w:type="gramStart"/>
      <w:r w:rsidRPr="002B0484">
        <w:rPr>
          <w:lang w:val="fr-CA"/>
        </w:rPr>
        <w:t>et</w:t>
      </w:r>
      <w:proofErr w:type="gramEnd"/>
    </w:p>
    <w:p w:rsidR="00EE0C77" w:rsidRPr="002B0484" w:rsidRDefault="00524F46" w:rsidP="00A17E02">
      <w:pPr>
        <w:pStyle w:val="SCCLsocParty"/>
        <w:rPr>
          <w:lang w:val="fr-CA"/>
        </w:rPr>
      </w:pPr>
      <w:r w:rsidRPr="002B0484">
        <w:rPr>
          <w:lang w:val="fr-CA"/>
        </w:rPr>
        <w:t xml:space="preserve">Directeur des poursuites criminelles et pénales du </w:t>
      </w:r>
    </w:p>
    <w:p w:rsidR="00EE0C77" w:rsidRPr="002B0484" w:rsidRDefault="00524F46" w:rsidP="00A17E02">
      <w:pPr>
        <w:pStyle w:val="SCCLsocParty"/>
        <w:rPr>
          <w:lang w:val="fr-CA"/>
        </w:rPr>
      </w:pPr>
      <w:r w:rsidRPr="002B0484">
        <w:rPr>
          <w:lang w:val="fr-CA"/>
        </w:rPr>
        <w:t>Québec,</w:t>
      </w:r>
      <w:r w:rsidR="00EE0C77" w:rsidRPr="002B0484">
        <w:rPr>
          <w:lang w:val="fr-CA"/>
        </w:rPr>
        <w:t xml:space="preserve"> Association des libertés civiles de la</w:t>
      </w:r>
    </w:p>
    <w:p w:rsidR="00EE0C77" w:rsidRPr="002B0484" w:rsidRDefault="00EE0C77" w:rsidP="00A17E02">
      <w:pPr>
        <w:pStyle w:val="SCCLsocParty"/>
        <w:rPr>
          <w:lang w:val="fr-CA"/>
        </w:rPr>
      </w:pPr>
      <w:r w:rsidRPr="002B0484">
        <w:rPr>
          <w:lang w:val="fr-CA"/>
        </w:rPr>
        <w:t>Colombie</w:t>
      </w:r>
      <w:r w:rsidR="008E77B2">
        <w:rPr>
          <w:lang w:val="fr-CA"/>
        </w:rPr>
        <w:t>-</w:t>
      </w:r>
      <w:r w:rsidRPr="002B0484">
        <w:rPr>
          <w:lang w:val="fr-CA"/>
        </w:rPr>
        <w:t xml:space="preserve">Britannique, </w:t>
      </w:r>
      <w:proofErr w:type="spellStart"/>
      <w:r w:rsidRPr="002B0484">
        <w:rPr>
          <w:lang w:val="fr-CA"/>
        </w:rPr>
        <w:t>Criminal</w:t>
      </w:r>
      <w:proofErr w:type="spellEnd"/>
      <w:r w:rsidRPr="002B0484">
        <w:rPr>
          <w:lang w:val="fr-CA"/>
        </w:rPr>
        <w:t xml:space="preserve"> </w:t>
      </w:r>
      <w:proofErr w:type="spellStart"/>
      <w:r w:rsidRPr="002B0484">
        <w:rPr>
          <w:lang w:val="fr-CA"/>
        </w:rPr>
        <w:t>Lawyers</w:t>
      </w:r>
      <w:proofErr w:type="spellEnd"/>
      <w:r w:rsidRPr="002B0484">
        <w:rPr>
          <w:lang w:val="fr-CA"/>
        </w:rPr>
        <w:t>’</w:t>
      </w:r>
      <w:r w:rsidR="00524F46" w:rsidRPr="002B0484">
        <w:rPr>
          <w:lang w:val="fr-CA"/>
        </w:rPr>
        <w:t xml:space="preserve"> Association </w:t>
      </w:r>
    </w:p>
    <w:p w:rsidR="00F104E7" w:rsidRPr="002B0484" w:rsidRDefault="00524F46" w:rsidP="00A17E02">
      <w:pPr>
        <w:pStyle w:val="SCCLsocParty"/>
        <w:rPr>
          <w:lang w:val="fr-CA"/>
        </w:rPr>
      </w:pPr>
      <w:proofErr w:type="gramStart"/>
      <w:r w:rsidRPr="002B0484">
        <w:rPr>
          <w:lang w:val="fr-CA"/>
        </w:rPr>
        <w:t>of</w:t>
      </w:r>
      <w:proofErr w:type="gramEnd"/>
      <w:r w:rsidRPr="002B0484">
        <w:rPr>
          <w:lang w:val="fr-CA"/>
        </w:rPr>
        <w:t xml:space="preserve"> Ontario,</w:t>
      </w:r>
      <w:r w:rsidR="00EE0C77" w:rsidRPr="002B0484">
        <w:rPr>
          <w:lang w:val="fr-CA"/>
        </w:rPr>
        <w:t xml:space="preserve"> </w:t>
      </w:r>
      <w:r w:rsidR="007379D8" w:rsidRPr="002B0484">
        <w:rPr>
          <w:lang w:val="fr-CA"/>
        </w:rPr>
        <w:t>Société John Howard du</w:t>
      </w:r>
      <w:r w:rsidRPr="002B0484">
        <w:rPr>
          <w:lang w:val="fr-CA"/>
        </w:rPr>
        <w:t xml:space="preserve"> Canada</w:t>
      </w:r>
      <w:r w:rsidR="007379D8" w:rsidRPr="002B0484">
        <w:rPr>
          <w:lang w:val="fr-CA"/>
        </w:rPr>
        <w:t xml:space="preserve"> et </w:t>
      </w:r>
    </w:p>
    <w:p w:rsidR="00F104E7" w:rsidRPr="002B0484" w:rsidRDefault="00524F46" w:rsidP="00A17E02">
      <w:pPr>
        <w:pStyle w:val="SCCLsocLastPartyInRole"/>
        <w:rPr>
          <w:lang w:val="fr-CA"/>
        </w:rPr>
      </w:pPr>
      <w:r w:rsidRPr="002B0484">
        <w:rPr>
          <w:lang w:val="fr-CA"/>
        </w:rPr>
        <w:t>Association canadienne des libertés civiles</w:t>
      </w:r>
      <w:r w:rsidR="007379D8" w:rsidRPr="002B0484">
        <w:rPr>
          <w:rStyle w:val="SCCLsocPartyRole"/>
          <w:lang w:val="fr-CA"/>
        </w:rPr>
        <w:tab/>
        <w:t>Intervenant</w:t>
      </w:r>
      <w:r w:rsidRPr="002B0484">
        <w:rPr>
          <w:rStyle w:val="SCCLsocPartyRole"/>
          <w:lang w:val="fr-CA"/>
        </w:rPr>
        <w:t>s</w:t>
      </w:r>
    </w:p>
    <w:p w:rsidR="004D7D95" w:rsidRPr="002B0484" w:rsidRDefault="004D7D95" w:rsidP="00A17E02">
      <w:pPr>
        <w:spacing w:after="720"/>
        <w:jc w:val="both"/>
        <w:rPr>
          <w:b/>
          <w:lang w:val="fr-CA"/>
        </w:rPr>
      </w:pPr>
      <w:r w:rsidRPr="002B0484">
        <w:rPr>
          <w:b/>
          <w:lang w:val="fr-CA"/>
        </w:rPr>
        <w:t>Répertorié</w:t>
      </w:r>
      <w:r w:rsidR="003E69A0" w:rsidRPr="002B0484">
        <w:rPr>
          <w:b/>
          <w:lang w:val="fr-CA"/>
        </w:rPr>
        <w:t> :</w:t>
      </w:r>
      <w:r w:rsidRPr="002B0484">
        <w:rPr>
          <w:b/>
          <w:lang w:val="fr-CA"/>
        </w:rPr>
        <w:t xml:space="preserve"> R. </w:t>
      </w:r>
      <w:r w:rsidRPr="002B0484">
        <w:rPr>
          <w:b/>
          <w:i/>
          <w:lang w:val="fr-CA"/>
        </w:rPr>
        <w:t>c.</w:t>
      </w:r>
      <w:r w:rsidRPr="002B0484">
        <w:rPr>
          <w:b/>
          <w:lang w:val="fr-CA"/>
        </w:rPr>
        <w:t xml:space="preserve"> </w:t>
      </w:r>
      <w:proofErr w:type="spellStart"/>
      <w:r w:rsidRPr="002B0484">
        <w:rPr>
          <w:b/>
          <w:lang w:val="fr-CA"/>
        </w:rPr>
        <w:t>Summers</w:t>
      </w:r>
      <w:proofErr w:type="spellEnd"/>
    </w:p>
    <w:p w:rsidR="004D7D95" w:rsidRPr="002B0484" w:rsidRDefault="00F62639" w:rsidP="00A17E02">
      <w:pPr>
        <w:pStyle w:val="SCCSystemYear"/>
        <w:spacing w:after="720"/>
        <w:jc w:val="both"/>
        <w:rPr>
          <w:lang w:val="fr-CA"/>
        </w:rPr>
      </w:pPr>
      <w:r w:rsidRPr="002B0484">
        <w:rPr>
          <w:lang w:val="fr-CA"/>
        </w:rPr>
        <w:t>2014</w:t>
      </w:r>
      <w:r w:rsidR="00471B7A" w:rsidRPr="002B0484">
        <w:rPr>
          <w:lang w:val="fr-CA"/>
        </w:rPr>
        <w:t xml:space="preserve"> CSC 26</w:t>
      </w:r>
    </w:p>
    <w:p w:rsidR="004D7D95" w:rsidRPr="002B0484" w:rsidRDefault="004D7D95" w:rsidP="00A17E02">
      <w:pPr>
        <w:spacing w:after="720"/>
        <w:jc w:val="both"/>
        <w:rPr>
          <w:lang w:val="fr-CA"/>
        </w:rPr>
      </w:pPr>
      <w:r w:rsidRPr="002B0484">
        <w:rPr>
          <w:lang w:val="fr-CA"/>
        </w:rPr>
        <w:t>N</w:t>
      </w:r>
      <w:r w:rsidRPr="002B0484">
        <w:rPr>
          <w:vertAlign w:val="superscript"/>
          <w:lang w:val="fr-CA"/>
        </w:rPr>
        <w:t>o</w:t>
      </w:r>
      <w:r w:rsidRPr="002B0484">
        <w:rPr>
          <w:lang w:val="fr-CA"/>
        </w:rPr>
        <w:t xml:space="preserve"> du greffe</w:t>
      </w:r>
      <w:r w:rsidR="003E69A0" w:rsidRPr="002B0484">
        <w:rPr>
          <w:lang w:val="fr-CA"/>
        </w:rPr>
        <w:t> :</w:t>
      </w:r>
      <w:r w:rsidRPr="002B0484">
        <w:rPr>
          <w:lang w:val="fr-CA"/>
        </w:rPr>
        <w:t> 35339.</w:t>
      </w:r>
    </w:p>
    <w:p w:rsidR="004D7D95" w:rsidRPr="002B0484" w:rsidRDefault="00F62639" w:rsidP="00A17E02">
      <w:pPr>
        <w:spacing w:after="720"/>
        <w:jc w:val="both"/>
        <w:rPr>
          <w:lang w:val="fr-CA"/>
        </w:rPr>
      </w:pPr>
      <w:r w:rsidRPr="002B0484">
        <w:rPr>
          <w:lang w:val="fr-CA"/>
        </w:rPr>
        <w:t>2014</w:t>
      </w:r>
      <w:r w:rsidR="003E69A0" w:rsidRPr="002B0484">
        <w:rPr>
          <w:lang w:val="fr-CA"/>
        </w:rPr>
        <w:t> : 23 </w:t>
      </w:r>
      <w:r w:rsidRPr="002B0484">
        <w:rPr>
          <w:lang w:val="fr-CA"/>
        </w:rPr>
        <w:t>janvier</w:t>
      </w:r>
      <w:r w:rsidR="004D7D95" w:rsidRPr="002B0484">
        <w:rPr>
          <w:lang w:val="fr-CA"/>
        </w:rPr>
        <w:t xml:space="preserve">; </w:t>
      </w:r>
      <w:r w:rsidR="007379D8" w:rsidRPr="002B0484">
        <w:rPr>
          <w:lang w:val="fr-CA"/>
        </w:rPr>
        <w:t>2014</w:t>
      </w:r>
      <w:r w:rsidR="003E69A0" w:rsidRPr="002B0484">
        <w:rPr>
          <w:lang w:val="fr-CA"/>
        </w:rPr>
        <w:t> :</w:t>
      </w:r>
      <w:r w:rsidR="007379D8" w:rsidRPr="002B0484">
        <w:rPr>
          <w:lang w:val="fr-CA"/>
        </w:rPr>
        <w:t xml:space="preserve"> </w:t>
      </w:r>
      <w:r w:rsidR="00471B7A" w:rsidRPr="002B0484">
        <w:rPr>
          <w:lang w:val="fr-CA"/>
        </w:rPr>
        <w:t>11</w:t>
      </w:r>
      <w:r w:rsidR="00DC6788" w:rsidRPr="002B0484">
        <w:rPr>
          <w:lang w:val="fr-CA"/>
        </w:rPr>
        <w:t> </w:t>
      </w:r>
      <w:r w:rsidR="00471B7A" w:rsidRPr="002B0484">
        <w:rPr>
          <w:lang w:val="fr-CA"/>
        </w:rPr>
        <w:t>avril</w:t>
      </w:r>
      <w:r w:rsidR="004D7D95" w:rsidRPr="002B0484">
        <w:rPr>
          <w:lang w:val="fr-CA"/>
        </w:rPr>
        <w:t>.</w:t>
      </w:r>
    </w:p>
    <w:p w:rsidR="004D7D95" w:rsidRPr="002B0484" w:rsidRDefault="004D7D95" w:rsidP="00A17E02">
      <w:pPr>
        <w:spacing w:after="720"/>
        <w:jc w:val="both"/>
        <w:rPr>
          <w:lang w:val="fr-CA"/>
        </w:rPr>
      </w:pPr>
      <w:r w:rsidRPr="002B0484">
        <w:rPr>
          <w:lang w:val="fr-CA"/>
        </w:rPr>
        <w:t>Présents</w:t>
      </w:r>
      <w:r w:rsidR="003E69A0" w:rsidRPr="002B0484">
        <w:rPr>
          <w:lang w:val="fr-CA"/>
        </w:rPr>
        <w:t> :</w:t>
      </w:r>
      <w:r w:rsidRPr="002B0484">
        <w:rPr>
          <w:lang w:val="fr-CA"/>
        </w:rPr>
        <w:t xml:space="preserve"> La juge en chef </w:t>
      </w:r>
      <w:proofErr w:type="spellStart"/>
      <w:r w:rsidRPr="002B0484">
        <w:rPr>
          <w:lang w:val="fr-CA"/>
        </w:rPr>
        <w:t>McLachlin</w:t>
      </w:r>
      <w:proofErr w:type="spellEnd"/>
      <w:r w:rsidRPr="002B0484">
        <w:rPr>
          <w:lang w:val="fr-CA"/>
        </w:rPr>
        <w:t xml:space="preserve"> et les juges </w:t>
      </w:r>
      <w:proofErr w:type="spellStart"/>
      <w:r w:rsidRPr="002B0484">
        <w:rPr>
          <w:lang w:val="fr-CA"/>
        </w:rPr>
        <w:t>LeBel</w:t>
      </w:r>
      <w:proofErr w:type="spellEnd"/>
      <w:r w:rsidRPr="002B0484">
        <w:rPr>
          <w:lang w:val="fr-CA"/>
        </w:rPr>
        <w:t xml:space="preserve">, Abella, </w:t>
      </w:r>
      <w:proofErr w:type="spellStart"/>
      <w:r w:rsidRPr="002B0484">
        <w:rPr>
          <w:lang w:val="fr-CA"/>
        </w:rPr>
        <w:t>Rothstein</w:t>
      </w:r>
      <w:proofErr w:type="spellEnd"/>
      <w:r w:rsidRPr="002B0484">
        <w:rPr>
          <w:lang w:val="fr-CA"/>
        </w:rPr>
        <w:t xml:space="preserve">, Cromwell, </w:t>
      </w:r>
      <w:proofErr w:type="spellStart"/>
      <w:r w:rsidRPr="002B0484">
        <w:rPr>
          <w:lang w:val="fr-CA"/>
        </w:rPr>
        <w:t>Karakatsanis</w:t>
      </w:r>
      <w:proofErr w:type="spellEnd"/>
      <w:r w:rsidRPr="002B0484">
        <w:rPr>
          <w:lang w:val="fr-CA"/>
        </w:rPr>
        <w:t xml:space="preserve"> et Wagner.</w:t>
      </w:r>
    </w:p>
    <w:p w:rsidR="004D7D95" w:rsidRPr="002B0484" w:rsidRDefault="004D7D95" w:rsidP="00A17E02">
      <w:pPr>
        <w:spacing w:after="720"/>
        <w:jc w:val="both"/>
        <w:rPr>
          <w:smallCaps/>
          <w:lang w:val="fr-CA"/>
        </w:rPr>
      </w:pPr>
      <w:r w:rsidRPr="002B0484">
        <w:rPr>
          <w:smallCaps/>
          <w:lang w:val="fr-CA"/>
        </w:rPr>
        <w:t>en appel de la cour d’appel de l’</w:t>
      </w:r>
      <w:proofErr w:type="spellStart"/>
      <w:r w:rsidRPr="002B0484">
        <w:rPr>
          <w:smallCaps/>
          <w:lang w:val="fr-CA"/>
        </w:rPr>
        <w:t>ontario</w:t>
      </w:r>
      <w:proofErr w:type="spellEnd"/>
    </w:p>
    <w:p w:rsidR="00E54D0B" w:rsidRPr="002B0484" w:rsidRDefault="004D7D95" w:rsidP="00A17E02">
      <w:pPr>
        <w:pStyle w:val="SCCNormalDoubleSpacing"/>
        <w:spacing w:after="480"/>
        <w:rPr>
          <w:lang w:val="fr-CA"/>
        </w:rPr>
      </w:pPr>
      <w:r w:rsidRPr="002B0484">
        <w:rPr>
          <w:lang w:val="fr-CA"/>
        </w:rPr>
        <w:lastRenderedPageBreak/>
        <w:tab/>
      </w:r>
      <w:r w:rsidR="00E54D0B" w:rsidRPr="002B0484">
        <w:rPr>
          <w:i/>
          <w:lang w:val="fr-CA"/>
        </w:rPr>
        <w:t xml:space="preserve">Droit criminel </w:t>
      </w:r>
      <w:r w:rsidR="00E54D0B" w:rsidRPr="002B0484">
        <w:rPr>
          <w:lang w:val="fr-CA"/>
        </w:rPr>
        <w:t xml:space="preserve">— </w:t>
      </w:r>
      <w:r w:rsidR="00E54D0B" w:rsidRPr="002B0484">
        <w:rPr>
          <w:i/>
          <w:lang w:val="fr-CA"/>
        </w:rPr>
        <w:t xml:space="preserve">Détermination de la peine </w:t>
      </w:r>
      <w:r w:rsidR="00E54D0B" w:rsidRPr="002B0484">
        <w:rPr>
          <w:lang w:val="fr-CA"/>
        </w:rPr>
        <w:t xml:space="preserve">— </w:t>
      </w:r>
      <w:r w:rsidR="00BD43AB" w:rsidRPr="002B0484">
        <w:rPr>
          <w:i/>
          <w:lang w:val="fr-CA"/>
        </w:rPr>
        <w:t>Considérations</w:t>
      </w:r>
      <w:r w:rsidR="00E54D0B" w:rsidRPr="002B0484">
        <w:rPr>
          <w:lang w:val="fr-CA"/>
        </w:rPr>
        <w:t xml:space="preserve"> — </w:t>
      </w:r>
      <w:r w:rsidR="001420D2" w:rsidRPr="002B0484">
        <w:rPr>
          <w:i/>
          <w:lang w:val="fr-CA"/>
        </w:rPr>
        <w:t xml:space="preserve">Crédit pour détention </w:t>
      </w:r>
      <w:proofErr w:type="spellStart"/>
      <w:r w:rsidR="001420D2" w:rsidRPr="002B0484">
        <w:rPr>
          <w:i/>
          <w:lang w:val="fr-CA"/>
        </w:rPr>
        <w:t>présentencielle</w:t>
      </w:r>
      <w:proofErr w:type="spellEnd"/>
      <w:r w:rsidR="001420D2" w:rsidRPr="002B0484">
        <w:rPr>
          <w:i/>
          <w:lang w:val="fr-CA"/>
        </w:rPr>
        <w:t xml:space="preserve"> — </w:t>
      </w:r>
      <w:r w:rsidR="00E54D0B" w:rsidRPr="002B0484">
        <w:rPr>
          <w:i/>
          <w:lang w:val="fr-CA"/>
        </w:rPr>
        <w:t xml:space="preserve">Disposition du Code criminel </w:t>
      </w:r>
      <w:r w:rsidR="00BD43AB" w:rsidRPr="002B0484">
        <w:rPr>
          <w:i/>
          <w:lang w:val="fr-CA"/>
        </w:rPr>
        <w:t>permet</w:t>
      </w:r>
      <w:r w:rsidR="00E54D0B" w:rsidRPr="002B0484">
        <w:rPr>
          <w:i/>
          <w:lang w:val="fr-CA"/>
        </w:rPr>
        <w:t xml:space="preserve">tant </w:t>
      </w:r>
      <w:r w:rsidR="00BD43AB" w:rsidRPr="002B0484">
        <w:rPr>
          <w:i/>
          <w:lang w:val="fr-CA"/>
        </w:rPr>
        <w:t>l’octroi d’un crédit majoré d’au plus</w:t>
      </w:r>
      <w:r w:rsidR="00E54D0B" w:rsidRPr="002B0484">
        <w:rPr>
          <w:i/>
          <w:lang w:val="fr-CA"/>
        </w:rPr>
        <w:t xml:space="preserve"> un jour et demi pour chaque jour </w:t>
      </w:r>
      <w:r w:rsidR="001420D2" w:rsidRPr="002B0484">
        <w:rPr>
          <w:i/>
          <w:lang w:val="fr-CA"/>
        </w:rPr>
        <w:t xml:space="preserve">de détention </w:t>
      </w:r>
      <w:proofErr w:type="spellStart"/>
      <w:r w:rsidR="001420D2" w:rsidRPr="002B0484">
        <w:rPr>
          <w:i/>
          <w:lang w:val="fr-CA"/>
        </w:rPr>
        <w:t>présentencielle</w:t>
      </w:r>
      <w:proofErr w:type="spellEnd"/>
      <w:r w:rsidR="00E54D0B" w:rsidRPr="002B0484">
        <w:rPr>
          <w:i/>
          <w:lang w:val="fr-CA"/>
        </w:rPr>
        <w:t xml:space="preserve"> « si les circonstances le justifient » </w:t>
      </w:r>
      <w:r w:rsidR="00E54D0B" w:rsidRPr="002B0484">
        <w:rPr>
          <w:lang w:val="fr-CA"/>
        </w:rPr>
        <w:t xml:space="preserve">— </w:t>
      </w:r>
      <w:r w:rsidR="001420D2" w:rsidRPr="002B0484">
        <w:rPr>
          <w:i/>
          <w:lang w:val="fr-CA"/>
        </w:rPr>
        <w:t xml:space="preserve">Octroi </w:t>
      </w:r>
      <w:r w:rsidR="00E63514" w:rsidRPr="002B0484">
        <w:rPr>
          <w:i/>
          <w:lang w:val="fr-CA"/>
        </w:rPr>
        <w:t xml:space="preserve">d’un tel crédit </w:t>
      </w:r>
      <w:r w:rsidR="001420D2" w:rsidRPr="002B0484">
        <w:rPr>
          <w:i/>
          <w:lang w:val="fr-CA"/>
        </w:rPr>
        <w:t>par le</w:t>
      </w:r>
      <w:r w:rsidR="00E54D0B" w:rsidRPr="002B0484">
        <w:rPr>
          <w:i/>
          <w:lang w:val="fr-CA"/>
        </w:rPr>
        <w:t xml:space="preserve"> juge chargé de la détermination de la peine </w:t>
      </w:r>
      <w:r w:rsidR="00F50E7A" w:rsidRPr="002B0484">
        <w:rPr>
          <w:i/>
          <w:lang w:val="fr-CA"/>
        </w:rPr>
        <w:t>en raison de</w:t>
      </w:r>
      <w:r w:rsidR="00E54D0B" w:rsidRPr="002B0484">
        <w:rPr>
          <w:i/>
          <w:lang w:val="fr-CA"/>
        </w:rPr>
        <w:t xml:space="preserve"> la perte </w:t>
      </w:r>
      <w:r w:rsidR="00F50E7A" w:rsidRPr="002B0484">
        <w:rPr>
          <w:i/>
          <w:lang w:val="fr-CA"/>
        </w:rPr>
        <w:t xml:space="preserve">liée à </w:t>
      </w:r>
      <w:r w:rsidR="00E54D0B" w:rsidRPr="002B0484">
        <w:rPr>
          <w:i/>
          <w:lang w:val="fr-CA"/>
        </w:rPr>
        <w:t xml:space="preserve">l’admissibilité à la libération anticipée et à la libération conditionnelle </w:t>
      </w:r>
      <w:r w:rsidR="00E54D0B" w:rsidRPr="002B0484">
        <w:rPr>
          <w:lang w:val="fr-CA"/>
        </w:rPr>
        <w:t>—</w:t>
      </w:r>
      <w:r w:rsidR="00E54D0B" w:rsidRPr="002B0484">
        <w:rPr>
          <w:i/>
          <w:lang w:val="fr-CA"/>
        </w:rPr>
        <w:t xml:space="preserve"> </w:t>
      </w:r>
      <w:r w:rsidR="001420D2" w:rsidRPr="002B0484">
        <w:rPr>
          <w:i/>
          <w:lang w:val="fr-CA"/>
        </w:rPr>
        <w:t>Cette</w:t>
      </w:r>
      <w:r w:rsidR="00E54D0B" w:rsidRPr="002B0484">
        <w:rPr>
          <w:i/>
          <w:lang w:val="fr-CA"/>
        </w:rPr>
        <w:t xml:space="preserve"> perte </w:t>
      </w:r>
      <w:r w:rsidR="001420D2" w:rsidRPr="002B0484">
        <w:rPr>
          <w:i/>
          <w:lang w:val="fr-CA"/>
        </w:rPr>
        <w:t>subie</w:t>
      </w:r>
      <w:r w:rsidR="00E54D0B" w:rsidRPr="002B0484">
        <w:rPr>
          <w:i/>
          <w:lang w:val="fr-CA"/>
        </w:rPr>
        <w:t xml:space="preserve"> pendant la détention </w:t>
      </w:r>
      <w:proofErr w:type="spellStart"/>
      <w:r w:rsidR="00E54D0B" w:rsidRPr="002B0484">
        <w:rPr>
          <w:i/>
          <w:lang w:val="fr-CA"/>
        </w:rPr>
        <w:t>présentencielle</w:t>
      </w:r>
      <w:proofErr w:type="spellEnd"/>
      <w:r w:rsidR="00E54D0B" w:rsidRPr="002B0484">
        <w:rPr>
          <w:i/>
          <w:lang w:val="fr-CA"/>
        </w:rPr>
        <w:t xml:space="preserve"> peut</w:t>
      </w:r>
      <w:r w:rsidR="008E77B2">
        <w:rPr>
          <w:i/>
          <w:lang w:val="fr-CA"/>
        </w:rPr>
        <w:t>-</w:t>
      </w:r>
      <w:r w:rsidR="001420D2" w:rsidRPr="002B0484">
        <w:rPr>
          <w:i/>
          <w:lang w:val="fr-CA"/>
        </w:rPr>
        <w:t>elle</w:t>
      </w:r>
      <w:r w:rsidR="00E54D0B" w:rsidRPr="002B0484">
        <w:rPr>
          <w:i/>
          <w:lang w:val="fr-CA"/>
        </w:rPr>
        <w:t xml:space="preserve"> constituer une circonstance susceptible de justifier un crédit majoré selon un ratio d’un jour et demi contre un?</w:t>
      </w:r>
      <w:r w:rsidR="00E54D0B" w:rsidRPr="002B0484">
        <w:rPr>
          <w:lang w:val="fr-CA"/>
        </w:rPr>
        <w:t xml:space="preserve"> — </w:t>
      </w:r>
      <w:r w:rsidR="005E2BD7" w:rsidRPr="002B0484">
        <w:rPr>
          <w:i/>
          <w:lang w:val="fr-CA"/>
        </w:rPr>
        <w:t xml:space="preserve">Code criminel, L.R.C. </w:t>
      </w:r>
      <w:r w:rsidR="00E54D0B" w:rsidRPr="002B0484">
        <w:rPr>
          <w:i/>
          <w:lang w:val="fr-CA"/>
        </w:rPr>
        <w:t>1985, ch. C</w:t>
      </w:r>
      <w:r w:rsidR="008E77B2">
        <w:rPr>
          <w:i/>
          <w:lang w:val="fr-CA"/>
        </w:rPr>
        <w:t>-</w:t>
      </w:r>
      <w:r w:rsidR="008046D1">
        <w:rPr>
          <w:i/>
          <w:lang w:val="fr-CA"/>
        </w:rPr>
        <w:t>46</w:t>
      </w:r>
      <w:r w:rsidR="00E54D0B" w:rsidRPr="002B0484">
        <w:rPr>
          <w:i/>
          <w:lang w:val="fr-CA"/>
        </w:rPr>
        <w:t>, art. 719(3)</w:t>
      </w:r>
      <w:r w:rsidR="008046D1">
        <w:rPr>
          <w:i/>
          <w:lang w:val="fr-CA"/>
        </w:rPr>
        <w:t>,</w:t>
      </w:r>
      <w:r w:rsidR="00E54D0B" w:rsidRPr="002B0484">
        <w:rPr>
          <w:i/>
          <w:lang w:val="fr-CA"/>
        </w:rPr>
        <w:t xml:space="preserve"> 719(3.1).</w:t>
      </w:r>
    </w:p>
    <w:p w:rsidR="00E54D0B" w:rsidRPr="002B0484" w:rsidRDefault="004D7D95" w:rsidP="00A17E02">
      <w:pPr>
        <w:pStyle w:val="SCCNormalDoubleSpacing"/>
        <w:spacing w:after="480"/>
        <w:rPr>
          <w:lang w:val="fr-CA"/>
        </w:rPr>
      </w:pPr>
      <w:r w:rsidRPr="002B0484">
        <w:rPr>
          <w:lang w:val="fr-CA"/>
        </w:rPr>
        <w:tab/>
      </w:r>
      <w:r w:rsidR="00E54D0B" w:rsidRPr="002B0484">
        <w:rPr>
          <w:lang w:val="fr-CA"/>
        </w:rPr>
        <w:t xml:space="preserve">Adoptée en 2009, la </w:t>
      </w:r>
      <w:r w:rsidR="00E54D0B" w:rsidRPr="002B0484">
        <w:rPr>
          <w:i/>
          <w:lang w:val="fr-CA"/>
        </w:rPr>
        <w:t>Loi sur l’adéquation de la peine et du crime</w:t>
      </w:r>
      <w:r w:rsidR="00E54D0B" w:rsidRPr="002B0484">
        <w:rPr>
          <w:lang w:val="fr-CA"/>
        </w:rPr>
        <w:t xml:space="preserve"> a modifié le régime législatif du crédit accordé pour </w:t>
      </w:r>
      <w:r w:rsidR="001420D2" w:rsidRPr="002B0484">
        <w:rPr>
          <w:lang w:val="fr-CA"/>
        </w:rPr>
        <w:t xml:space="preserve">la </w:t>
      </w:r>
      <w:r w:rsidR="00E54D0B" w:rsidRPr="002B0484">
        <w:rPr>
          <w:lang w:val="fr-CA"/>
        </w:rPr>
        <w:t xml:space="preserve">détention </w:t>
      </w:r>
      <w:proofErr w:type="spellStart"/>
      <w:r w:rsidR="00E54D0B" w:rsidRPr="002B0484">
        <w:rPr>
          <w:lang w:val="fr-CA"/>
        </w:rPr>
        <w:t>présentencielle</w:t>
      </w:r>
      <w:proofErr w:type="spellEnd"/>
      <w:r w:rsidR="00E54D0B" w:rsidRPr="002B0484">
        <w:rPr>
          <w:lang w:val="fr-CA"/>
        </w:rPr>
        <w:t xml:space="preserve">. </w:t>
      </w:r>
      <w:r w:rsidR="001420D2" w:rsidRPr="002B0484">
        <w:rPr>
          <w:lang w:val="fr-CA"/>
        </w:rPr>
        <w:t xml:space="preserve"> Le législateur a </w:t>
      </w:r>
      <w:r w:rsidR="00E54D0B" w:rsidRPr="002B0484">
        <w:rPr>
          <w:lang w:val="fr-CA"/>
        </w:rPr>
        <w:t xml:space="preserve">modifié </w:t>
      </w:r>
      <w:r w:rsidR="001420D2" w:rsidRPr="002B0484">
        <w:rPr>
          <w:lang w:val="fr-CA"/>
        </w:rPr>
        <w:t>le par</w:t>
      </w:r>
      <w:r w:rsidR="00B32FA2">
        <w:rPr>
          <w:lang w:val="fr-CA"/>
        </w:rPr>
        <w:t>. 719</w:t>
      </w:r>
      <w:r w:rsidR="001420D2" w:rsidRPr="002B0484">
        <w:rPr>
          <w:lang w:val="fr-CA"/>
        </w:rPr>
        <w:t xml:space="preserve">(3) </w:t>
      </w:r>
      <w:r w:rsidR="00E54D0B" w:rsidRPr="002B0484">
        <w:rPr>
          <w:lang w:val="fr-CA"/>
        </w:rPr>
        <w:t xml:space="preserve">du </w:t>
      </w:r>
      <w:r w:rsidR="00E54D0B" w:rsidRPr="002B0484">
        <w:rPr>
          <w:i/>
          <w:lang w:val="fr-CA"/>
        </w:rPr>
        <w:t>Code criminel</w:t>
      </w:r>
      <w:r w:rsidR="00E54D0B" w:rsidRPr="002B0484">
        <w:rPr>
          <w:lang w:val="fr-CA"/>
        </w:rPr>
        <w:t xml:space="preserve"> </w:t>
      </w:r>
      <w:r w:rsidR="001420D2" w:rsidRPr="002B0484">
        <w:rPr>
          <w:lang w:val="fr-CA"/>
        </w:rPr>
        <w:t>pour limiter</w:t>
      </w:r>
      <w:r w:rsidR="00E54D0B" w:rsidRPr="002B0484">
        <w:rPr>
          <w:lang w:val="fr-CA"/>
        </w:rPr>
        <w:t xml:space="preserve"> le temps alloué pour la détention </w:t>
      </w:r>
      <w:proofErr w:type="spellStart"/>
      <w:r w:rsidR="00E54D0B" w:rsidRPr="002B0484">
        <w:rPr>
          <w:lang w:val="fr-CA"/>
        </w:rPr>
        <w:t>présentencielle</w:t>
      </w:r>
      <w:proofErr w:type="spellEnd"/>
      <w:r w:rsidR="00E54D0B" w:rsidRPr="002B0484">
        <w:rPr>
          <w:lang w:val="fr-CA"/>
        </w:rPr>
        <w:t xml:space="preserve"> « à un maximum d’un jour pour chaque jour passé sous garde ».  </w:t>
      </w:r>
      <w:r w:rsidR="001420D2" w:rsidRPr="002B0484">
        <w:rPr>
          <w:lang w:val="fr-CA"/>
        </w:rPr>
        <w:t>Il a également prévu, au</w:t>
      </w:r>
      <w:r w:rsidR="00E54D0B" w:rsidRPr="002B0484">
        <w:rPr>
          <w:lang w:val="fr-CA"/>
        </w:rPr>
        <w:t xml:space="preserve"> par. 719(3.1)</w:t>
      </w:r>
      <w:r w:rsidR="001420D2" w:rsidRPr="002B0484">
        <w:rPr>
          <w:lang w:val="fr-CA"/>
        </w:rPr>
        <w:t>,</w:t>
      </w:r>
      <w:r w:rsidR="00E54D0B" w:rsidRPr="002B0484">
        <w:rPr>
          <w:lang w:val="fr-CA"/>
        </w:rPr>
        <w:t xml:space="preserve"> que « si les circonstances le justifient, le maximum est d’un jour et demi pour chaque jour passé sous garde »</w:t>
      </w:r>
      <w:r w:rsidR="001420D2" w:rsidRPr="002B0484">
        <w:rPr>
          <w:lang w:val="fr-CA"/>
        </w:rPr>
        <w:t>.</w:t>
      </w:r>
    </w:p>
    <w:p w:rsidR="008C242F" w:rsidRPr="002B0484" w:rsidRDefault="008C242F" w:rsidP="00A17E02">
      <w:pPr>
        <w:pStyle w:val="SCCNormalDoubleSpacing"/>
        <w:spacing w:after="480"/>
        <w:rPr>
          <w:lang w:val="fr-CA"/>
        </w:rPr>
      </w:pPr>
      <w:r w:rsidRPr="002B0484">
        <w:rPr>
          <w:lang w:val="fr-CA"/>
        </w:rPr>
        <w:tab/>
        <w:t xml:space="preserve">En l’espèce, l’accusé a passé </w:t>
      </w:r>
      <w:r w:rsidR="00B32FA2">
        <w:rPr>
          <w:lang w:val="fr-CA"/>
        </w:rPr>
        <w:t>10</w:t>
      </w:r>
      <w:r w:rsidRPr="002B0484">
        <w:rPr>
          <w:lang w:val="fr-CA"/>
        </w:rPr>
        <w:t xml:space="preserve"> mois et demi sous garde.</w:t>
      </w:r>
      <w:r w:rsidR="001420D2" w:rsidRPr="002B0484">
        <w:rPr>
          <w:lang w:val="fr-CA"/>
        </w:rPr>
        <w:t xml:space="preserve">  Le juge appelé à déterminer la peine a accordé un crédit à raison d’un jour et demi contre un au motif que la détention </w:t>
      </w:r>
      <w:proofErr w:type="spellStart"/>
      <w:r w:rsidR="001420D2" w:rsidRPr="002B0484">
        <w:rPr>
          <w:lang w:val="fr-CA"/>
        </w:rPr>
        <w:t>présentencielle</w:t>
      </w:r>
      <w:proofErr w:type="spellEnd"/>
      <w:r w:rsidR="001420D2" w:rsidRPr="002B0484">
        <w:rPr>
          <w:lang w:val="fr-CA"/>
        </w:rPr>
        <w:t xml:space="preserve"> n’est pas prise en compte aux fins de l’admissibilité à la libération conditionnelle.  Il a estimé qu’il s’agissait d’une circonstance qui justifi</w:t>
      </w:r>
      <w:r w:rsidR="00F50E7A" w:rsidRPr="002B0484">
        <w:rPr>
          <w:lang w:val="fr-CA"/>
        </w:rPr>
        <w:t>e</w:t>
      </w:r>
      <w:r w:rsidR="001420D2" w:rsidRPr="002B0484">
        <w:rPr>
          <w:lang w:val="fr-CA"/>
        </w:rPr>
        <w:t xml:space="preserve"> le crédit ma</w:t>
      </w:r>
      <w:r w:rsidR="00BD43AB" w:rsidRPr="002B0484">
        <w:rPr>
          <w:lang w:val="fr-CA"/>
        </w:rPr>
        <w:t>jo</w:t>
      </w:r>
      <w:r w:rsidR="001420D2" w:rsidRPr="002B0484">
        <w:rPr>
          <w:lang w:val="fr-CA"/>
        </w:rPr>
        <w:t xml:space="preserve">ré prévu par le </w:t>
      </w:r>
      <w:r w:rsidR="001420D2" w:rsidRPr="002B0484">
        <w:rPr>
          <w:i/>
          <w:lang w:val="fr-CA"/>
        </w:rPr>
        <w:t>Code criminel</w:t>
      </w:r>
      <w:r w:rsidR="001420D2" w:rsidRPr="002B0484">
        <w:rPr>
          <w:lang w:val="fr-CA"/>
        </w:rPr>
        <w:t>.  La Cour d’appel en a convenu et a rejeté l’appel.</w:t>
      </w:r>
    </w:p>
    <w:p w:rsidR="004D7D95" w:rsidRPr="002B0484" w:rsidRDefault="004D7D95" w:rsidP="00A17E02">
      <w:pPr>
        <w:pStyle w:val="SCCNormalDoubleSpacing"/>
        <w:spacing w:after="480"/>
        <w:rPr>
          <w:lang w:val="fr-CA"/>
        </w:rPr>
      </w:pPr>
      <w:r w:rsidRPr="002B0484">
        <w:rPr>
          <w:lang w:val="fr-CA"/>
        </w:rPr>
        <w:lastRenderedPageBreak/>
        <w:tab/>
      </w:r>
      <w:r w:rsidRPr="002B0484">
        <w:rPr>
          <w:i/>
          <w:lang w:val="fr-CA"/>
        </w:rPr>
        <w:t>Arrêt</w:t>
      </w:r>
      <w:r w:rsidR="003E69A0" w:rsidRPr="002B0484">
        <w:rPr>
          <w:lang w:val="fr-CA"/>
        </w:rPr>
        <w:t> :</w:t>
      </w:r>
      <w:r w:rsidRPr="002B0484">
        <w:rPr>
          <w:lang w:val="fr-CA"/>
        </w:rPr>
        <w:t xml:space="preserve"> Le pourvoi est</w:t>
      </w:r>
      <w:r w:rsidR="008C242F" w:rsidRPr="002B0484">
        <w:rPr>
          <w:lang w:val="fr-CA"/>
        </w:rPr>
        <w:t xml:space="preserve"> rejeté</w:t>
      </w:r>
      <w:r w:rsidR="00BB301C">
        <w:rPr>
          <w:lang w:val="fr-CA"/>
        </w:rPr>
        <w:t>.</w:t>
      </w:r>
    </w:p>
    <w:p w:rsidR="008C242F" w:rsidRPr="002B0484" w:rsidRDefault="004D7D95" w:rsidP="00A17E02">
      <w:pPr>
        <w:pStyle w:val="SCCNormalDoubleSpacing"/>
        <w:spacing w:after="480"/>
        <w:rPr>
          <w:lang w:val="fr-CA"/>
        </w:rPr>
      </w:pPr>
      <w:r w:rsidRPr="002B0484">
        <w:rPr>
          <w:lang w:val="fr-CA"/>
        </w:rPr>
        <w:tab/>
      </w:r>
      <w:r w:rsidR="008C242F" w:rsidRPr="002B0484">
        <w:rPr>
          <w:lang w:val="fr-CA"/>
        </w:rPr>
        <w:t xml:space="preserve">Lorsqu’un accusé n’est pas libéré sous caution et qu’il doit </w:t>
      </w:r>
      <w:r w:rsidR="009344B1" w:rsidRPr="002B0484">
        <w:rPr>
          <w:lang w:val="fr-CA"/>
        </w:rPr>
        <w:t>demeur</w:t>
      </w:r>
      <w:r w:rsidR="008C242F" w:rsidRPr="002B0484">
        <w:rPr>
          <w:lang w:val="fr-CA"/>
        </w:rPr>
        <w:t xml:space="preserve">er en prison jusqu’au procès, le </w:t>
      </w:r>
      <w:r w:rsidR="008C242F" w:rsidRPr="002B0484">
        <w:rPr>
          <w:i/>
          <w:lang w:val="fr-CA"/>
        </w:rPr>
        <w:t>Code criminel</w:t>
      </w:r>
      <w:r w:rsidR="008C242F" w:rsidRPr="002B0484">
        <w:rPr>
          <w:lang w:val="fr-CA"/>
        </w:rPr>
        <w:t xml:space="preserve"> prévoit que la période passée sous garde est prise en compte dans la détermination de la peine d’emprisonnement. </w:t>
      </w:r>
      <w:r w:rsidR="008A4DFE" w:rsidRPr="002B0484">
        <w:rPr>
          <w:lang w:val="fr-CA"/>
        </w:rPr>
        <w:t xml:space="preserve"> </w:t>
      </w:r>
      <w:r w:rsidR="008C242F" w:rsidRPr="002B0484">
        <w:rPr>
          <w:lang w:val="fr-CA"/>
        </w:rPr>
        <w:t xml:space="preserve">Le </w:t>
      </w:r>
      <w:r w:rsidR="008C242F" w:rsidRPr="002B0484" w:rsidDel="00264A5E">
        <w:rPr>
          <w:i/>
          <w:lang w:val="fr-CA"/>
        </w:rPr>
        <w:t>Code</w:t>
      </w:r>
      <w:r w:rsidR="008C242F" w:rsidRPr="002B0484" w:rsidDel="00264A5E">
        <w:rPr>
          <w:lang w:val="fr-CA"/>
        </w:rPr>
        <w:t xml:space="preserve"> </w:t>
      </w:r>
      <w:r w:rsidR="008C242F" w:rsidRPr="002B0484">
        <w:rPr>
          <w:lang w:val="fr-CA"/>
        </w:rPr>
        <w:t xml:space="preserve">n’a jamais limité les raisons pour lesquelles il pouvait y avoir octroi d’un crédit, non plus que le </w:t>
      </w:r>
      <w:r w:rsidR="00BD43AB" w:rsidRPr="002B0484">
        <w:rPr>
          <w:lang w:val="fr-CA"/>
        </w:rPr>
        <w:t>ratio du crédit</w:t>
      </w:r>
      <w:r w:rsidR="008C242F" w:rsidRPr="002B0484">
        <w:rPr>
          <w:lang w:val="fr-CA"/>
        </w:rPr>
        <w:t xml:space="preserve">. </w:t>
      </w:r>
    </w:p>
    <w:p w:rsidR="004D7D95" w:rsidRPr="002B0484" w:rsidRDefault="008C242F" w:rsidP="00A17E02">
      <w:pPr>
        <w:pStyle w:val="SCCNormalDoubleSpacing"/>
        <w:spacing w:after="480"/>
        <w:rPr>
          <w:lang w:val="fr-CA"/>
        </w:rPr>
      </w:pPr>
      <w:r w:rsidRPr="002B0484">
        <w:rPr>
          <w:lang w:val="fr-CA"/>
        </w:rPr>
        <w:tab/>
      </w:r>
      <w:r w:rsidR="00BD43AB" w:rsidRPr="002B0484">
        <w:rPr>
          <w:lang w:val="fr-CA"/>
        </w:rPr>
        <w:t xml:space="preserve">Deux raisons expliquent </w:t>
      </w:r>
      <w:r w:rsidR="00F50E7A" w:rsidRPr="002B0484">
        <w:rPr>
          <w:lang w:val="fr-CA"/>
        </w:rPr>
        <w:t xml:space="preserve">que </w:t>
      </w:r>
      <w:r w:rsidR="00BD43AB" w:rsidRPr="002B0484">
        <w:rPr>
          <w:lang w:val="fr-CA"/>
        </w:rPr>
        <w:t>l</w:t>
      </w:r>
      <w:r w:rsidR="009344B1" w:rsidRPr="002B0484">
        <w:rPr>
          <w:lang w:val="fr-CA"/>
        </w:rPr>
        <w:t xml:space="preserve">es tribunaux ont généralement </w:t>
      </w:r>
      <w:r w:rsidR="00F50E7A" w:rsidRPr="002B0484">
        <w:rPr>
          <w:lang w:val="fr-CA"/>
        </w:rPr>
        <w:t>alloué plus d’</w:t>
      </w:r>
      <w:r w:rsidR="009344B1" w:rsidRPr="002B0484">
        <w:rPr>
          <w:lang w:val="fr-CA"/>
        </w:rPr>
        <w:t xml:space="preserve">un jour pour chaque jour de détention.  </w:t>
      </w:r>
      <w:r w:rsidRPr="002B0484">
        <w:rPr>
          <w:lang w:val="fr-CA"/>
        </w:rPr>
        <w:t xml:space="preserve">Premièrement, les règles établies par la loi pour l’admissibilité à la libération conditionnelle et à la libération anticipée ne tiennent pas compte de la détention </w:t>
      </w:r>
      <w:proofErr w:type="spellStart"/>
      <w:r w:rsidRPr="002B0484">
        <w:rPr>
          <w:lang w:val="fr-CA"/>
        </w:rPr>
        <w:t>présentencielle</w:t>
      </w:r>
      <w:proofErr w:type="spellEnd"/>
      <w:r w:rsidRPr="002B0484">
        <w:rPr>
          <w:lang w:val="fr-CA"/>
        </w:rPr>
        <w:t xml:space="preserve">. </w:t>
      </w:r>
      <w:r w:rsidR="009344B1" w:rsidRPr="002B0484">
        <w:rPr>
          <w:lang w:val="fr-CA"/>
        </w:rPr>
        <w:t xml:space="preserve"> </w:t>
      </w:r>
      <w:r w:rsidR="00BD43AB" w:rsidRPr="002B0484">
        <w:rPr>
          <w:lang w:val="fr-CA"/>
        </w:rPr>
        <w:t xml:space="preserve">Par conséquent, la </w:t>
      </w:r>
      <w:r w:rsidR="009344B1" w:rsidRPr="002B0484">
        <w:rPr>
          <w:lang w:val="fr-CA"/>
        </w:rPr>
        <w:t xml:space="preserve">raison d’être d’ordre </w:t>
      </w:r>
      <w:r w:rsidR="009344B1" w:rsidRPr="002B0484">
        <w:rPr>
          <w:i/>
          <w:lang w:val="fr-CA"/>
        </w:rPr>
        <w:t>quantitatif</w:t>
      </w:r>
      <w:r w:rsidR="009344B1" w:rsidRPr="002B0484">
        <w:rPr>
          <w:lang w:val="fr-CA"/>
        </w:rPr>
        <w:t xml:space="preserve"> du crédit </w:t>
      </w:r>
      <w:r w:rsidR="00F50E7A" w:rsidRPr="002B0484">
        <w:rPr>
          <w:lang w:val="fr-CA"/>
        </w:rPr>
        <w:t xml:space="preserve">majoré </w:t>
      </w:r>
      <w:r w:rsidR="009344B1" w:rsidRPr="002B0484">
        <w:rPr>
          <w:lang w:val="fr-CA"/>
        </w:rPr>
        <w:t xml:space="preserve">reconnaît que la durée de la détention </w:t>
      </w:r>
      <w:proofErr w:type="spellStart"/>
      <w:r w:rsidR="009344B1" w:rsidRPr="002B0484">
        <w:rPr>
          <w:lang w:val="fr-CA"/>
        </w:rPr>
        <w:t>présentencielle</w:t>
      </w:r>
      <w:proofErr w:type="spellEnd"/>
      <w:r w:rsidR="009344B1" w:rsidRPr="002B0484">
        <w:rPr>
          <w:lang w:val="fr-CA"/>
        </w:rPr>
        <w:t xml:space="preserve"> </w:t>
      </w:r>
      <w:r w:rsidRPr="002B0484">
        <w:rPr>
          <w:lang w:val="fr-CA"/>
        </w:rPr>
        <w:t xml:space="preserve">doit presque toujours être retranchée de celle de la peine à raison de plus d’un jour contre un afin que le délinquant qui est libéré aux deux tiers de sa peine </w:t>
      </w:r>
      <w:r w:rsidR="009344B1" w:rsidRPr="002B0484">
        <w:rPr>
          <w:lang w:val="fr-CA"/>
        </w:rPr>
        <w:t>soi</w:t>
      </w:r>
      <w:r w:rsidRPr="002B0484">
        <w:rPr>
          <w:lang w:val="fr-CA"/>
        </w:rPr>
        <w:t>t emprisonné pendant la même durée</w:t>
      </w:r>
      <w:r w:rsidR="00F50E7A" w:rsidRPr="002B0484">
        <w:rPr>
          <w:lang w:val="fr-CA"/>
        </w:rPr>
        <w:t>,</w:t>
      </w:r>
      <w:r w:rsidRPr="002B0484">
        <w:rPr>
          <w:lang w:val="fr-CA"/>
        </w:rPr>
        <w:t xml:space="preserve"> qu’il </w:t>
      </w:r>
      <w:r w:rsidR="00BD43AB" w:rsidRPr="002B0484">
        <w:rPr>
          <w:lang w:val="fr-CA"/>
        </w:rPr>
        <w:t>ait été libéré sous caution</w:t>
      </w:r>
      <w:r w:rsidRPr="002B0484">
        <w:rPr>
          <w:lang w:val="fr-CA"/>
        </w:rPr>
        <w:t xml:space="preserve"> ou non. </w:t>
      </w:r>
      <w:r w:rsidR="009344B1" w:rsidRPr="002B0484">
        <w:rPr>
          <w:lang w:val="fr-CA"/>
        </w:rPr>
        <w:t xml:space="preserve"> Deuxièmement,</w:t>
      </w:r>
      <w:r w:rsidR="00F375BF" w:rsidRPr="002B0484">
        <w:rPr>
          <w:lang w:val="fr-CA"/>
        </w:rPr>
        <w:t xml:space="preserve"> </w:t>
      </w:r>
      <w:r w:rsidR="009344B1" w:rsidRPr="002B0484">
        <w:rPr>
          <w:lang w:val="fr-CA"/>
        </w:rPr>
        <w:t xml:space="preserve">la raison d’être d’ordre </w:t>
      </w:r>
      <w:r w:rsidR="009344B1" w:rsidRPr="002B0484">
        <w:rPr>
          <w:i/>
          <w:lang w:val="fr-CA"/>
        </w:rPr>
        <w:t>quali</w:t>
      </w:r>
      <w:r w:rsidR="00BB301C">
        <w:rPr>
          <w:i/>
          <w:lang w:val="fr-CA"/>
        </w:rPr>
        <w:t>t</w:t>
      </w:r>
      <w:r w:rsidR="009344B1" w:rsidRPr="002B0484">
        <w:rPr>
          <w:i/>
          <w:lang w:val="fr-CA"/>
        </w:rPr>
        <w:t>atif</w:t>
      </w:r>
      <w:r w:rsidR="009344B1" w:rsidRPr="002B0484">
        <w:rPr>
          <w:lang w:val="fr-CA"/>
        </w:rPr>
        <w:t xml:space="preserve"> </w:t>
      </w:r>
      <w:r w:rsidR="00F375BF" w:rsidRPr="002B0484">
        <w:rPr>
          <w:lang w:val="fr-CA"/>
        </w:rPr>
        <w:t xml:space="preserve">du crédit majoré </w:t>
      </w:r>
      <w:r w:rsidR="0043144F" w:rsidRPr="002B0484">
        <w:rPr>
          <w:lang w:val="fr-CA"/>
        </w:rPr>
        <w:t>reconnaît que, dans l</w:t>
      </w:r>
      <w:r w:rsidR="00F375BF" w:rsidRPr="002B0484">
        <w:rPr>
          <w:lang w:val="fr-CA"/>
        </w:rPr>
        <w:t>es centres de détention pr</w:t>
      </w:r>
      <w:r w:rsidR="00F50085" w:rsidRPr="002B0484">
        <w:rPr>
          <w:lang w:val="fr-CA"/>
        </w:rPr>
        <w:t>éventiv</w:t>
      </w:r>
      <w:r w:rsidR="00F375BF" w:rsidRPr="002B0484">
        <w:rPr>
          <w:lang w:val="fr-CA"/>
        </w:rPr>
        <w:t>e</w:t>
      </w:r>
      <w:r w:rsidR="0043144F" w:rsidRPr="002B0484">
        <w:rPr>
          <w:lang w:val="fr-CA"/>
        </w:rPr>
        <w:t xml:space="preserve">, les conditions sont habituellement plus dures que </w:t>
      </w:r>
      <w:r w:rsidR="00F375BF" w:rsidRPr="002B0484">
        <w:rPr>
          <w:lang w:val="fr-CA"/>
        </w:rPr>
        <w:t xml:space="preserve">dans les établissements correctionnels.  Au vu de ces deux raisons d’être, les tribunaux en sont arrivés à créditer deux jours par jour de détention </w:t>
      </w:r>
      <w:proofErr w:type="spellStart"/>
      <w:r w:rsidR="00F375BF" w:rsidRPr="002B0484">
        <w:rPr>
          <w:lang w:val="fr-CA"/>
        </w:rPr>
        <w:t>présentencielle</w:t>
      </w:r>
      <w:proofErr w:type="spellEnd"/>
      <w:r w:rsidR="00F375BF" w:rsidRPr="002B0484">
        <w:rPr>
          <w:lang w:val="fr-CA"/>
        </w:rPr>
        <w:t xml:space="preserve">. </w:t>
      </w:r>
    </w:p>
    <w:p w:rsidR="00F375BF" w:rsidRPr="002B0484" w:rsidRDefault="00F375BF" w:rsidP="00A17E02">
      <w:pPr>
        <w:pStyle w:val="SCCNormalDoubleSpacing"/>
        <w:spacing w:after="480"/>
        <w:rPr>
          <w:lang w:val="fr-CA"/>
        </w:rPr>
      </w:pPr>
      <w:r w:rsidRPr="002B0484">
        <w:rPr>
          <w:lang w:val="fr-CA"/>
        </w:rPr>
        <w:tab/>
        <w:t xml:space="preserve">La </w:t>
      </w:r>
      <w:r w:rsidRPr="002B0484">
        <w:rPr>
          <w:i/>
          <w:lang w:val="fr-CA"/>
        </w:rPr>
        <w:t>Loi sur l’adéquation de la peine et du crime</w:t>
      </w:r>
      <w:r w:rsidRPr="002B0484">
        <w:rPr>
          <w:lang w:val="fr-CA"/>
        </w:rPr>
        <w:t xml:space="preserve"> plafonne le crédit </w:t>
      </w:r>
      <w:r w:rsidR="0043144F" w:rsidRPr="002B0484">
        <w:rPr>
          <w:lang w:val="fr-CA"/>
        </w:rPr>
        <w:t>p</w:t>
      </w:r>
      <w:r w:rsidRPr="002B0484">
        <w:rPr>
          <w:lang w:val="fr-CA"/>
        </w:rPr>
        <w:t xml:space="preserve">our détention </w:t>
      </w:r>
      <w:proofErr w:type="spellStart"/>
      <w:r w:rsidRPr="002B0484">
        <w:rPr>
          <w:lang w:val="fr-CA"/>
        </w:rPr>
        <w:t>présentencielle</w:t>
      </w:r>
      <w:proofErr w:type="spellEnd"/>
      <w:r w:rsidRPr="002B0484">
        <w:rPr>
          <w:lang w:val="fr-CA"/>
        </w:rPr>
        <w:t xml:space="preserve">, mais ne limite pas les </w:t>
      </w:r>
      <w:r w:rsidR="0043144F" w:rsidRPr="002B0484">
        <w:rPr>
          <w:lang w:val="fr-CA"/>
        </w:rPr>
        <w:t xml:space="preserve">raisons de son </w:t>
      </w:r>
      <w:r w:rsidRPr="002B0484">
        <w:rPr>
          <w:lang w:val="fr-CA"/>
        </w:rPr>
        <w:t>octroi</w:t>
      </w:r>
      <w:r w:rsidR="0043144F" w:rsidRPr="002B0484">
        <w:rPr>
          <w:lang w:val="fr-CA"/>
        </w:rPr>
        <w:t>.</w:t>
      </w:r>
      <w:r w:rsidRPr="002B0484">
        <w:rPr>
          <w:lang w:val="fr-CA"/>
        </w:rPr>
        <w:t xml:space="preserve"> </w:t>
      </w:r>
      <w:r w:rsidR="0043144F" w:rsidRPr="002B0484">
        <w:rPr>
          <w:lang w:val="fr-CA"/>
        </w:rPr>
        <w:t xml:space="preserve"> </w:t>
      </w:r>
      <w:r w:rsidRPr="002B0484">
        <w:rPr>
          <w:lang w:val="fr-CA"/>
        </w:rPr>
        <w:t>Le libellé d</w:t>
      </w:r>
      <w:r w:rsidR="0043144F" w:rsidRPr="002B0484">
        <w:rPr>
          <w:lang w:val="fr-CA"/>
        </w:rPr>
        <w:t>u par. 719(3.1)</w:t>
      </w:r>
      <w:r w:rsidRPr="002B0484">
        <w:rPr>
          <w:lang w:val="fr-CA"/>
        </w:rPr>
        <w:t xml:space="preserve"> n’est pas limitatif quant </w:t>
      </w:r>
      <w:r w:rsidR="0043144F" w:rsidRPr="002B0484">
        <w:rPr>
          <w:lang w:val="fr-CA"/>
        </w:rPr>
        <w:t>à ce</w:t>
      </w:r>
      <w:r w:rsidRPr="002B0484">
        <w:rPr>
          <w:lang w:val="fr-CA"/>
        </w:rPr>
        <w:t xml:space="preserve"> qui peut constituer des « circonstances »</w:t>
      </w:r>
      <w:r w:rsidR="0043144F" w:rsidRPr="002B0484">
        <w:rPr>
          <w:lang w:val="fr-CA"/>
        </w:rPr>
        <w:t xml:space="preserve"> </w:t>
      </w:r>
      <w:r w:rsidR="0043144F" w:rsidRPr="002B0484">
        <w:rPr>
          <w:lang w:val="fr-CA"/>
        </w:rPr>
        <w:lastRenderedPageBreak/>
        <w:t>qui justifient la majoration du crédit</w:t>
      </w:r>
      <w:r w:rsidRPr="002B0484">
        <w:rPr>
          <w:lang w:val="fr-CA"/>
        </w:rPr>
        <w:t xml:space="preserve">. </w:t>
      </w:r>
      <w:r w:rsidR="0043144F" w:rsidRPr="002B0484">
        <w:rPr>
          <w:lang w:val="fr-CA"/>
        </w:rPr>
        <w:t xml:space="preserve"> </w:t>
      </w:r>
      <w:r w:rsidRPr="002B0484">
        <w:rPr>
          <w:lang w:val="fr-CA"/>
        </w:rPr>
        <w:t>Le législateur a clairement considéré les circonstances dans lesquelles le par. 719(3.1) ne devait pas s’appliquer, mais nul élément de la disposition n’appuie la thèse selon laquelle les « circonstances » découlant de l’application de la loi</w:t>
      </w:r>
      <w:r w:rsidR="00BD43AB" w:rsidRPr="002B0484">
        <w:rPr>
          <w:lang w:val="fr-CA"/>
        </w:rPr>
        <w:t>,</w:t>
      </w:r>
      <w:r w:rsidRPr="002B0484">
        <w:rPr>
          <w:lang w:val="fr-CA"/>
        </w:rPr>
        <w:t xml:space="preserve"> et </w:t>
      </w:r>
      <w:r w:rsidR="00061DD6" w:rsidRPr="002B0484">
        <w:rPr>
          <w:lang w:val="fr-CA"/>
        </w:rPr>
        <w:t>en</w:t>
      </w:r>
      <w:r w:rsidRPr="002B0484">
        <w:rPr>
          <w:lang w:val="fr-CA"/>
        </w:rPr>
        <w:t xml:space="preserve"> particuli</w:t>
      </w:r>
      <w:r w:rsidR="00061DD6" w:rsidRPr="002B0484">
        <w:rPr>
          <w:lang w:val="fr-CA"/>
        </w:rPr>
        <w:t>e</w:t>
      </w:r>
      <w:r w:rsidRPr="002B0484">
        <w:rPr>
          <w:lang w:val="fr-CA"/>
        </w:rPr>
        <w:t>r la perte liée à l’admissibilité à la libération anticipée et à la libération conditionnelle, ne peuvent justifier un crédit majoré.</w:t>
      </w:r>
    </w:p>
    <w:p w:rsidR="00331EE1" w:rsidRPr="002B0484" w:rsidRDefault="00F375BF" w:rsidP="00A17E02">
      <w:pPr>
        <w:pStyle w:val="SCCNormalDoubleSpacing"/>
        <w:spacing w:after="480"/>
        <w:rPr>
          <w:lang w:val="fr-CA"/>
        </w:rPr>
      </w:pPr>
      <w:r w:rsidRPr="002B0484">
        <w:rPr>
          <w:lang w:val="fr-CA"/>
        </w:rPr>
        <w:tab/>
        <w:t>Le par</w:t>
      </w:r>
      <w:r w:rsidR="004A508A">
        <w:rPr>
          <w:lang w:val="fr-CA"/>
        </w:rPr>
        <w:t>agraphe</w:t>
      </w:r>
      <w:r w:rsidRPr="002B0484">
        <w:rPr>
          <w:lang w:val="fr-CA"/>
        </w:rPr>
        <w:t> 719(3.1) est conçu comme une exception à l’application du par. 719(3)</w:t>
      </w:r>
      <w:r w:rsidR="00331EE1" w:rsidRPr="002B0484">
        <w:rPr>
          <w:lang w:val="fr-CA"/>
        </w:rPr>
        <w:t xml:space="preserve">, mais il n’existe pas de règle générale d’interprétation législative selon laquelle les circonstances qui relèvent d’une exception doivent être moins nombreuses que celles qui relèvent de la règle générale. </w:t>
      </w:r>
      <w:r w:rsidR="0043144F" w:rsidRPr="002B0484">
        <w:rPr>
          <w:lang w:val="fr-CA"/>
        </w:rPr>
        <w:t xml:space="preserve"> </w:t>
      </w:r>
      <w:r w:rsidR="00331EE1" w:rsidRPr="002B0484">
        <w:rPr>
          <w:lang w:val="fr-CA"/>
        </w:rPr>
        <w:t>Il n’est donc pas problématique que presque tous les délinquants détenus pr</w:t>
      </w:r>
      <w:r w:rsidR="00061DD6" w:rsidRPr="002B0484">
        <w:rPr>
          <w:lang w:val="fr-CA"/>
        </w:rPr>
        <w:t>é</w:t>
      </w:r>
      <w:r w:rsidR="00331EE1" w:rsidRPr="002B0484">
        <w:rPr>
          <w:lang w:val="fr-CA"/>
        </w:rPr>
        <w:t>v</w:t>
      </w:r>
      <w:r w:rsidR="00061DD6" w:rsidRPr="002B0484">
        <w:rPr>
          <w:lang w:val="fr-CA"/>
        </w:rPr>
        <w:t>ent</w:t>
      </w:r>
      <w:r w:rsidR="00331EE1" w:rsidRPr="002B0484">
        <w:rPr>
          <w:lang w:val="fr-CA"/>
        </w:rPr>
        <w:t>i</w:t>
      </w:r>
      <w:r w:rsidR="00061DD6" w:rsidRPr="002B0484">
        <w:rPr>
          <w:lang w:val="fr-CA"/>
        </w:rPr>
        <w:t>v</w:t>
      </w:r>
      <w:r w:rsidR="00331EE1" w:rsidRPr="002B0484">
        <w:rPr>
          <w:lang w:val="fr-CA"/>
        </w:rPr>
        <w:t xml:space="preserve">ement </w:t>
      </w:r>
      <w:r w:rsidR="00DB1A7D" w:rsidRPr="002B0484">
        <w:rPr>
          <w:lang w:val="fr-CA"/>
        </w:rPr>
        <w:t>puissent avoir</w:t>
      </w:r>
      <w:r w:rsidR="00331EE1" w:rsidRPr="002B0484">
        <w:rPr>
          <w:lang w:val="fr-CA"/>
        </w:rPr>
        <w:t xml:space="preserve"> droit</w:t>
      </w:r>
      <w:r w:rsidRPr="002B0484">
        <w:rPr>
          <w:lang w:val="fr-CA"/>
        </w:rPr>
        <w:t xml:space="preserve"> </w:t>
      </w:r>
      <w:r w:rsidR="00331EE1" w:rsidRPr="002B0484">
        <w:rPr>
          <w:lang w:val="fr-CA"/>
        </w:rPr>
        <w:t xml:space="preserve">au crédit majoré en raison de la perte subie aux fins de l’admissibilité à la libération anticipée ou à la libération conditionnelle. </w:t>
      </w:r>
      <w:r w:rsidR="0043144F" w:rsidRPr="002B0484">
        <w:rPr>
          <w:lang w:val="fr-CA"/>
        </w:rPr>
        <w:t xml:space="preserve"> </w:t>
      </w:r>
      <w:r w:rsidR="00331EE1" w:rsidRPr="002B0484">
        <w:rPr>
          <w:lang w:val="fr-CA"/>
        </w:rPr>
        <w:t>En outre, interpréter le mot « circonstances » en y assimilant la perte liée à l’admissibilité à la libération conditionnelle et à la libération anticipée ne rend pas le par</w:t>
      </w:r>
      <w:r w:rsidR="00B975E0">
        <w:rPr>
          <w:lang w:val="fr-CA"/>
        </w:rPr>
        <w:t>.</w:t>
      </w:r>
      <w:r w:rsidR="00331EE1" w:rsidRPr="002B0484">
        <w:rPr>
          <w:lang w:val="fr-CA"/>
        </w:rPr>
        <w:t> 719(3) superflu.  Lorsque l’accusé est visé par une exception expresse au par. 719(3.1), le plafond d’un jour contre un prévu au par. 719(3) s’applique.</w:t>
      </w:r>
      <w:r w:rsidR="0043144F" w:rsidRPr="002B0484">
        <w:rPr>
          <w:lang w:val="fr-CA"/>
        </w:rPr>
        <w:t xml:space="preserve"> </w:t>
      </w:r>
      <w:r w:rsidR="00331EE1" w:rsidRPr="002B0484">
        <w:rPr>
          <w:lang w:val="fr-CA"/>
        </w:rPr>
        <w:t xml:space="preserve"> De plus, la construction de l’art. 719 s’harmonise avec les raisons d’être du crédit pour détention </w:t>
      </w:r>
      <w:proofErr w:type="spellStart"/>
      <w:r w:rsidR="00331EE1" w:rsidRPr="002B0484">
        <w:rPr>
          <w:lang w:val="fr-CA"/>
        </w:rPr>
        <w:t>présentencielle</w:t>
      </w:r>
      <w:proofErr w:type="spellEnd"/>
      <w:r w:rsidR="00331EE1" w:rsidRPr="002B0484">
        <w:rPr>
          <w:lang w:val="fr-CA"/>
        </w:rPr>
        <w:t>.  Le paragraphe 719(3) reflète la raison d’être générale de l’octroi du crédit</w:t>
      </w:r>
      <w:r w:rsidR="00BD43AB" w:rsidRPr="002B0484">
        <w:rPr>
          <w:lang w:val="fr-CA"/>
        </w:rPr>
        <w:t>; u</w:t>
      </w:r>
      <w:r w:rsidR="00331EE1" w:rsidRPr="002B0484">
        <w:rPr>
          <w:lang w:val="fr-CA"/>
        </w:rPr>
        <w:t>n jour d</w:t>
      </w:r>
      <w:r w:rsidR="00BD43AB" w:rsidRPr="002B0484">
        <w:rPr>
          <w:lang w:val="fr-CA"/>
        </w:rPr>
        <w:t>evra</w:t>
      </w:r>
      <w:r w:rsidR="00331EE1" w:rsidRPr="002B0484">
        <w:rPr>
          <w:lang w:val="fr-CA"/>
        </w:rPr>
        <w:t>it habituellement être a</w:t>
      </w:r>
      <w:r w:rsidR="00DB1A7D" w:rsidRPr="002B0484">
        <w:rPr>
          <w:lang w:val="fr-CA"/>
        </w:rPr>
        <w:t>llou</w:t>
      </w:r>
      <w:r w:rsidR="00331EE1" w:rsidRPr="002B0484">
        <w:rPr>
          <w:lang w:val="fr-CA"/>
        </w:rPr>
        <w:t xml:space="preserve">é pour chaque jour passé en prison.  En revanche, le par. 719(3.1) reflète la raison d’être du crédit majoré.  Il ne suffit pas d’accorder une journée par jour de détention </w:t>
      </w:r>
      <w:proofErr w:type="spellStart"/>
      <w:r w:rsidR="00331EE1" w:rsidRPr="002B0484">
        <w:rPr>
          <w:lang w:val="fr-CA"/>
        </w:rPr>
        <w:t>présentencielle</w:t>
      </w:r>
      <w:proofErr w:type="spellEnd"/>
      <w:r w:rsidR="00331EE1" w:rsidRPr="002B0484">
        <w:rPr>
          <w:lang w:val="fr-CA"/>
        </w:rPr>
        <w:t xml:space="preserve"> pour tenir compte </w:t>
      </w:r>
      <w:r w:rsidR="00DB1A7D" w:rsidRPr="002B0484">
        <w:rPr>
          <w:lang w:val="fr-CA"/>
        </w:rPr>
        <w:t xml:space="preserve">à la fois de </w:t>
      </w:r>
      <w:r w:rsidR="00331EE1" w:rsidRPr="002B0484">
        <w:rPr>
          <w:lang w:val="fr-CA"/>
        </w:rPr>
        <w:t xml:space="preserve">la perte </w:t>
      </w:r>
      <w:r w:rsidR="00331EE1" w:rsidRPr="002B0484">
        <w:rPr>
          <w:lang w:val="fr-CA"/>
        </w:rPr>
        <w:lastRenderedPageBreak/>
        <w:t>subie aux fins de l’admissibilité à la libération conditionnelle et à la libération anticipée (</w:t>
      </w:r>
      <w:r w:rsidR="00F50E7A" w:rsidRPr="002B0484">
        <w:rPr>
          <w:lang w:val="fr-CA"/>
        </w:rPr>
        <w:t xml:space="preserve">conséquences d’ordre </w:t>
      </w:r>
      <w:r w:rsidR="00331EE1" w:rsidRPr="002B0484">
        <w:rPr>
          <w:lang w:val="fr-CA"/>
        </w:rPr>
        <w:t xml:space="preserve">quantitatif) </w:t>
      </w:r>
      <w:r w:rsidR="00DB1A7D" w:rsidRPr="002B0484">
        <w:rPr>
          <w:lang w:val="fr-CA"/>
        </w:rPr>
        <w:t xml:space="preserve">et de </w:t>
      </w:r>
      <w:r w:rsidR="00331EE1" w:rsidRPr="002B0484">
        <w:rPr>
          <w:lang w:val="fr-CA"/>
        </w:rPr>
        <w:t>la sévérité des conditions de détention (</w:t>
      </w:r>
      <w:r w:rsidR="00F50E7A" w:rsidRPr="002B0484">
        <w:rPr>
          <w:lang w:val="fr-CA"/>
        </w:rPr>
        <w:t>conséquences d’ordre</w:t>
      </w:r>
      <w:r w:rsidR="00331EE1" w:rsidRPr="002B0484">
        <w:rPr>
          <w:lang w:val="fr-CA"/>
        </w:rPr>
        <w:t xml:space="preserve"> qualitatif).</w:t>
      </w:r>
    </w:p>
    <w:p w:rsidR="0039706A" w:rsidRPr="002B0484" w:rsidRDefault="00331EE1" w:rsidP="00A17E02">
      <w:pPr>
        <w:pStyle w:val="SCCNormalDoubleSpacing"/>
        <w:spacing w:after="480"/>
        <w:rPr>
          <w:lang w:val="fr-CA"/>
        </w:rPr>
      </w:pPr>
      <w:r w:rsidRPr="002B0484">
        <w:rPr>
          <w:lang w:val="fr-CA"/>
        </w:rPr>
        <w:tab/>
      </w:r>
      <w:r w:rsidR="0039706A" w:rsidRPr="002B0484">
        <w:rPr>
          <w:lang w:val="fr-CA"/>
        </w:rPr>
        <w:t xml:space="preserve">Le recours à l’ancien par. 719(3) pour accorder un crédit majoré afin de tenir compte des conséquences quantitatives et qualitatives de la détention </w:t>
      </w:r>
      <w:proofErr w:type="spellStart"/>
      <w:r w:rsidR="0039706A" w:rsidRPr="002B0484">
        <w:rPr>
          <w:lang w:val="fr-CA"/>
        </w:rPr>
        <w:t>présentencielle</w:t>
      </w:r>
      <w:proofErr w:type="spellEnd"/>
      <w:r w:rsidR="0039706A" w:rsidRPr="002B0484">
        <w:rPr>
          <w:lang w:val="fr-CA"/>
        </w:rPr>
        <w:t xml:space="preserve"> s’inscrivait profondément dans notre régime de détermination de la peine. </w:t>
      </w:r>
      <w:r w:rsidR="00DB1A7D" w:rsidRPr="002B0484">
        <w:rPr>
          <w:lang w:val="fr-CA"/>
        </w:rPr>
        <w:t xml:space="preserve"> </w:t>
      </w:r>
      <w:r w:rsidR="0039706A" w:rsidRPr="002B0484">
        <w:rPr>
          <w:lang w:val="fr-CA"/>
        </w:rPr>
        <w:t xml:space="preserve">Il </w:t>
      </w:r>
      <w:r w:rsidR="00DB1A7D" w:rsidRPr="002B0484">
        <w:rPr>
          <w:lang w:val="fr-CA"/>
        </w:rPr>
        <w:t>est</w:t>
      </w:r>
      <w:r w:rsidR="0039706A" w:rsidRPr="002B0484">
        <w:rPr>
          <w:lang w:val="fr-CA"/>
        </w:rPr>
        <w:t xml:space="preserve"> inconcevable que le législateur ait voulu écarter une pratique rationnelle ayant cours depuis longtemps en matière de détermination de la peine, mais qu’il ne l’ait pas fait de manière explicite, s’en remettant plutôt à des inférences susceptibles d’être tirées de l’ordre d’apparition de certaines dispositions dans le </w:t>
      </w:r>
      <w:r w:rsidR="0039706A" w:rsidRPr="002B0484">
        <w:rPr>
          <w:i/>
          <w:lang w:val="fr-CA"/>
        </w:rPr>
        <w:t>Code criminel</w:t>
      </w:r>
      <w:r w:rsidR="0039706A" w:rsidRPr="002B0484">
        <w:rPr>
          <w:lang w:val="fr-CA"/>
        </w:rPr>
        <w:t xml:space="preserve">. </w:t>
      </w:r>
      <w:r w:rsidR="00DB1A7D" w:rsidRPr="002B0484">
        <w:rPr>
          <w:lang w:val="fr-CA"/>
        </w:rPr>
        <w:t xml:space="preserve"> En fait, i</w:t>
      </w:r>
      <w:r w:rsidR="0039706A" w:rsidRPr="002B0484">
        <w:rPr>
          <w:lang w:val="fr-CA"/>
        </w:rPr>
        <w:t>l semble plus vraisemblable que le législateur ait eu l’intention de faire ce qu’il a fait explicitement.  Les modifications établissent clairement un ratio maximum, à savoir un jour et demi contre un.  Après avoir manifesté son intention si clairement sur ce point, le législateur n’a pas indiqué qu’il voulait modifier les raisons pour lesquelles il pouvait y avoir majoration du crédit.</w:t>
      </w:r>
      <w:r w:rsidR="00DB1A7D" w:rsidRPr="002B0484">
        <w:rPr>
          <w:lang w:val="fr-CA"/>
        </w:rPr>
        <w:t xml:space="preserve">  </w:t>
      </w:r>
      <w:r w:rsidR="0039706A" w:rsidRPr="002B0484">
        <w:rPr>
          <w:lang w:val="fr-CA"/>
        </w:rPr>
        <w:t>Ni le libellé de la disposition</w:t>
      </w:r>
      <w:r w:rsidR="00BD43AB" w:rsidRPr="002B0484">
        <w:rPr>
          <w:lang w:val="fr-CA"/>
        </w:rPr>
        <w:t>,</w:t>
      </w:r>
      <w:r w:rsidR="0039706A" w:rsidRPr="002B0484">
        <w:rPr>
          <w:lang w:val="fr-CA"/>
        </w:rPr>
        <w:t xml:space="preserve"> ni la preuve externe ne démontrent l’intention claire d’abolir l’une des raisons d’être rationnelles de l</w:t>
      </w:r>
      <w:r w:rsidR="002B0484" w:rsidRPr="002B0484">
        <w:rPr>
          <w:lang w:val="fr-CA"/>
        </w:rPr>
        <w:t>a</w:t>
      </w:r>
      <w:r w:rsidR="002B0484">
        <w:rPr>
          <w:lang w:val="fr-CA"/>
        </w:rPr>
        <w:t xml:space="preserve"> </w:t>
      </w:r>
      <w:r w:rsidR="002B0484" w:rsidRPr="002B0484">
        <w:rPr>
          <w:lang w:val="fr-CA"/>
        </w:rPr>
        <w:t>m</w:t>
      </w:r>
      <w:r w:rsidR="0039706A" w:rsidRPr="002B0484">
        <w:rPr>
          <w:lang w:val="fr-CA"/>
        </w:rPr>
        <w:t>ajoration du crédit.</w:t>
      </w:r>
    </w:p>
    <w:p w:rsidR="0039706A" w:rsidRPr="002B0484" w:rsidRDefault="005E2BD7" w:rsidP="00A17E02">
      <w:pPr>
        <w:pStyle w:val="SCCNormalDoubleSpacing"/>
        <w:spacing w:after="480"/>
        <w:rPr>
          <w:lang w:val="fr-CA"/>
        </w:rPr>
      </w:pPr>
      <w:r w:rsidRPr="002B0484">
        <w:rPr>
          <w:lang w:val="fr-CA"/>
        </w:rPr>
        <w:tab/>
      </w:r>
      <w:r w:rsidR="0039706A" w:rsidRPr="002B0484">
        <w:rPr>
          <w:lang w:val="fr-CA"/>
        </w:rPr>
        <w:t xml:space="preserve">Comme le législateur est présumé avoir créé un régime législatif cohérent, uniforme et harmonieux, l’art. 719 doit être interprété conformément aux principes et aux objectifs de </w:t>
      </w:r>
      <w:r w:rsidR="00BD43AB" w:rsidRPr="002B0484">
        <w:rPr>
          <w:lang w:val="fr-CA"/>
        </w:rPr>
        <w:t xml:space="preserve">la </w:t>
      </w:r>
      <w:r w:rsidR="0039706A" w:rsidRPr="002B0484">
        <w:rPr>
          <w:lang w:val="fr-CA"/>
        </w:rPr>
        <w:t xml:space="preserve">détermination de la peine énoncés </w:t>
      </w:r>
      <w:r w:rsidR="00DB1A7D" w:rsidRPr="002B0484">
        <w:rPr>
          <w:lang w:val="fr-CA"/>
        </w:rPr>
        <w:t>dans le</w:t>
      </w:r>
      <w:r w:rsidR="0039706A" w:rsidRPr="002B0484">
        <w:rPr>
          <w:lang w:val="fr-CA"/>
        </w:rPr>
        <w:t xml:space="preserve"> </w:t>
      </w:r>
      <w:r w:rsidR="0039706A" w:rsidRPr="002B0484">
        <w:rPr>
          <w:i/>
          <w:lang w:val="fr-CA"/>
        </w:rPr>
        <w:t>Code criminel</w:t>
      </w:r>
      <w:r w:rsidR="0039706A" w:rsidRPr="002B0484">
        <w:rPr>
          <w:lang w:val="fr-CA"/>
        </w:rPr>
        <w:t xml:space="preserve">. </w:t>
      </w:r>
      <w:r w:rsidR="00DB1A7D" w:rsidRPr="002B0484">
        <w:rPr>
          <w:lang w:val="fr-CA"/>
        </w:rPr>
        <w:t xml:space="preserve"> </w:t>
      </w:r>
      <w:r w:rsidR="0039706A" w:rsidRPr="002B0484">
        <w:rPr>
          <w:lang w:val="fr-CA"/>
        </w:rPr>
        <w:t xml:space="preserve">La règle dont l’application entraîne une peine plus longue pour le </w:t>
      </w:r>
      <w:r w:rsidR="0039706A" w:rsidRPr="002B0484">
        <w:rPr>
          <w:lang w:val="fr-CA"/>
        </w:rPr>
        <w:lastRenderedPageBreak/>
        <w:t>délinquant qui n’obtient pas de libération sous caution, comparativement à un délinquant dont la situation est par ailleurs identique, heurte les principes d</w:t>
      </w:r>
      <w:r w:rsidR="00DB1A7D" w:rsidRPr="002B0484">
        <w:rPr>
          <w:lang w:val="fr-CA"/>
        </w:rPr>
        <w:t xml:space="preserve">e </w:t>
      </w:r>
      <w:r w:rsidR="00BD43AB" w:rsidRPr="002B0484">
        <w:rPr>
          <w:lang w:val="fr-CA"/>
        </w:rPr>
        <w:t xml:space="preserve">la </w:t>
      </w:r>
      <w:r w:rsidR="00DB1A7D" w:rsidRPr="002B0484">
        <w:rPr>
          <w:lang w:val="fr-CA"/>
        </w:rPr>
        <w:t>détermination de la peine que sont la</w:t>
      </w:r>
      <w:r w:rsidR="0039706A" w:rsidRPr="002B0484">
        <w:rPr>
          <w:lang w:val="fr-CA"/>
        </w:rPr>
        <w:t xml:space="preserve"> parité et la proportionnalité.</w:t>
      </w:r>
      <w:r w:rsidR="00DB1A7D" w:rsidRPr="002B0484">
        <w:rPr>
          <w:lang w:val="fr-CA"/>
        </w:rPr>
        <w:t xml:space="preserve">  </w:t>
      </w:r>
      <w:r w:rsidR="00BD43AB" w:rsidRPr="002B0484">
        <w:rPr>
          <w:lang w:val="fr-CA"/>
        </w:rPr>
        <w:t>L</w:t>
      </w:r>
      <w:r w:rsidR="00DB1A7D" w:rsidRPr="002B0484">
        <w:rPr>
          <w:lang w:val="fr-CA"/>
        </w:rPr>
        <w:t xml:space="preserve">e cas </w:t>
      </w:r>
      <w:r w:rsidR="00BD43AB" w:rsidRPr="002B0484">
        <w:rPr>
          <w:lang w:val="fr-CA"/>
        </w:rPr>
        <w:t>d</w:t>
      </w:r>
      <w:r w:rsidR="0039706A" w:rsidRPr="002B0484">
        <w:rPr>
          <w:lang w:val="fr-CA"/>
        </w:rPr>
        <w:t xml:space="preserve">es délinquants vulnérables et démunis </w:t>
      </w:r>
      <w:r w:rsidR="00BD43AB" w:rsidRPr="002B0484">
        <w:rPr>
          <w:lang w:val="fr-CA"/>
        </w:rPr>
        <w:t xml:space="preserve">qui </w:t>
      </w:r>
      <w:r w:rsidR="0039706A" w:rsidRPr="002B0484">
        <w:rPr>
          <w:lang w:val="fr-CA"/>
        </w:rPr>
        <w:t>ont moins accès à la libération sous caution</w:t>
      </w:r>
      <w:r w:rsidR="00BD43AB" w:rsidRPr="002B0484">
        <w:rPr>
          <w:lang w:val="fr-CA"/>
        </w:rPr>
        <w:t xml:space="preserve"> illustre tout particulièrement cette incompatibilité</w:t>
      </w:r>
      <w:r w:rsidR="0039706A" w:rsidRPr="002B0484">
        <w:rPr>
          <w:lang w:val="fr-CA"/>
        </w:rPr>
        <w:t>.</w:t>
      </w:r>
    </w:p>
    <w:p w:rsidR="00E339D6" w:rsidRPr="002B0484" w:rsidRDefault="005E2BD7" w:rsidP="00A17E02">
      <w:pPr>
        <w:pStyle w:val="SCCNormalDoubleSpacing"/>
        <w:spacing w:after="480"/>
        <w:rPr>
          <w:lang w:val="fr-CA"/>
        </w:rPr>
      </w:pPr>
      <w:r w:rsidRPr="002B0484">
        <w:rPr>
          <w:lang w:val="fr-CA"/>
        </w:rPr>
        <w:tab/>
      </w:r>
      <w:r w:rsidR="00E339D6" w:rsidRPr="002B0484">
        <w:rPr>
          <w:lang w:val="fr-CA"/>
        </w:rPr>
        <w:t xml:space="preserve">À elle seule, la perte subie aux fins de l’admissibilité à la libération anticipée suffit habituellement à justifier l’octroi d’un crédit à raison d’un jour et demi contre un, même lorsque les conditions de détention n’ont pas été spécialement dures et que la libération conditionnelle est peu probable. </w:t>
      </w:r>
      <w:r w:rsidR="00DB1A7D" w:rsidRPr="002B0484">
        <w:rPr>
          <w:lang w:val="fr-CA"/>
        </w:rPr>
        <w:t xml:space="preserve"> </w:t>
      </w:r>
      <w:r w:rsidR="00E339D6" w:rsidRPr="002B0484">
        <w:rPr>
          <w:lang w:val="fr-CA"/>
        </w:rPr>
        <w:t xml:space="preserve">Toutefois, le juge chargé de </w:t>
      </w:r>
      <w:r w:rsidR="00BD43AB" w:rsidRPr="002B0484">
        <w:rPr>
          <w:lang w:val="fr-CA"/>
        </w:rPr>
        <w:t xml:space="preserve">la </w:t>
      </w:r>
      <w:r w:rsidR="00E339D6" w:rsidRPr="002B0484">
        <w:rPr>
          <w:lang w:val="fr-CA"/>
        </w:rPr>
        <w:t>détermin</w:t>
      </w:r>
      <w:r w:rsidR="00BD43AB" w:rsidRPr="002B0484">
        <w:rPr>
          <w:lang w:val="fr-CA"/>
        </w:rPr>
        <w:t>ation de</w:t>
      </w:r>
      <w:r w:rsidR="00E339D6" w:rsidRPr="002B0484">
        <w:rPr>
          <w:lang w:val="fr-CA"/>
        </w:rPr>
        <w:t xml:space="preserve"> la peine qui estime que le délinquant se verra refuser la libération anticipée n’est pas justifié d’accorder un crédit majoré pour </w:t>
      </w:r>
      <w:r w:rsidR="00357B8B" w:rsidRPr="002B0484">
        <w:rPr>
          <w:lang w:val="fr-CA"/>
        </w:rPr>
        <w:t>une</w:t>
      </w:r>
      <w:r w:rsidR="00E339D6" w:rsidRPr="002B0484">
        <w:rPr>
          <w:lang w:val="fr-CA"/>
        </w:rPr>
        <w:t xml:space="preserve"> perte sans objet.</w:t>
      </w:r>
      <w:r w:rsidR="00DB1A7D" w:rsidRPr="002B0484">
        <w:rPr>
          <w:lang w:val="fr-CA"/>
        </w:rPr>
        <w:t xml:space="preserve"> </w:t>
      </w:r>
      <w:r w:rsidR="00E339D6" w:rsidRPr="002B0484">
        <w:rPr>
          <w:lang w:val="fr-CA"/>
        </w:rPr>
        <w:t xml:space="preserve"> Le délinquant doit établir que sa détention </w:t>
      </w:r>
      <w:proofErr w:type="spellStart"/>
      <w:r w:rsidR="00E339D6" w:rsidRPr="002B0484">
        <w:rPr>
          <w:lang w:val="fr-CA"/>
        </w:rPr>
        <w:t>présentencielle</w:t>
      </w:r>
      <w:proofErr w:type="spellEnd"/>
      <w:r w:rsidR="00E339D6" w:rsidRPr="002B0484">
        <w:rPr>
          <w:lang w:val="fr-CA"/>
        </w:rPr>
        <w:t xml:space="preserve"> lui vaut un crédit majoré.</w:t>
      </w:r>
      <w:r w:rsidR="00DB1A7D" w:rsidRPr="002B0484">
        <w:rPr>
          <w:lang w:val="fr-CA"/>
        </w:rPr>
        <w:t xml:space="preserve"> </w:t>
      </w:r>
      <w:r w:rsidR="00E339D6" w:rsidRPr="002B0484">
        <w:rPr>
          <w:lang w:val="fr-CA"/>
        </w:rPr>
        <w:t xml:space="preserve"> Évidemment, le ministère public peut contester l’inférence </w:t>
      </w:r>
      <w:r w:rsidR="00BD43AB" w:rsidRPr="002B0484">
        <w:rPr>
          <w:lang w:val="fr-CA"/>
        </w:rPr>
        <w:t>selon la</w:t>
      </w:r>
      <w:r w:rsidR="00E339D6" w:rsidRPr="002B0484">
        <w:rPr>
          <w:lang w:val="fr-CA"/>
        </w:rPr>
        <w:t>que</w:t>
      </w:r>
      <w:r w:rsidR="00BD43AB" w:rsidRPr="002B0484">
        <w:rPr>
          <w:lang w:val="fr-CA"/>
        </w:rPr>
        <w:t>lle</w:t>
      </w:r>
      <w:r w:rsidR="00E339D6" w:rsidRPr="002B0484">
        <w:rPr>
          <w:lang w:val="fr-CA"/>
        </w:rPr>
        <w:t xml:space="preserve"> le délinquant a subi une perte aux fins de l’admissibilité à la libération conditionnelle ou à la libération anticipée,</w:t>
      </w:r>
      <w:r w:rsidR="00FA30D9" w:rsidRPr="002B0484">
        <w:rPr>
          <w:lang w:val="fr-CA"/>
        </w:rPr>
        <w:t xml:space="preserve"> de sorte qu’il a</w:t>
      </w:r>
      <w:r w:rsidR="00F50E7A" w:rsidRPr="002B0484">
        <w:rPr>
          <w:lang w:val="fr-CA"/>
        </w:rPr>
        <w:t>urait</w:t>
      </w:r>
      <w:r w:rsidR="00FA30D9" w:rsidRPr="002B0484">
        <w:rPr>
          <w:lang w:val="fr-CA"/>
        </w:rPr>
        <w:t xml:space="preserve"> droit à</w:t>
      </w:r>
      <w:r w:rsidR="00E339D6" w:rsidRPr="002B0484">
        <w:rPr>
          <w:lang w:val="fr-CA"/>
        </w:rPr>
        <w:t xml:space="preserve"> un crédit majoré. </w:t>
      </w:r>
      <w:r w:rsidR="00DB1A7D" w:rsidRPr="002B0484">
        <w:rPr>
          <w:lang w:val="fr-CA"/>
        </w:rPr>
        <w:t xml:space="preserve"> </w:t>
      </w:r>
      <w:r w:rsidR="00E339D6" w:rsidRPr="002B0484">
        <w:rPr>
          <w:lang w:val="fr-CA"/>
        </w:rPr>
        <w:t>Il est rarement nécessaire d’offrir à l’appui une preuve très étoffée.  Concrètement, il ne faut pas compliquer le processus de détermination de la peine, ni a</w:t>
      </w:r>
      <w:r w:rsidR="00FA30D9" w:rsidRPr="002B0484">
        <w:rPr>
          <w:lang w:val="fr-CA"/>
        </w:rPr>
        <w:t>ccroître</w:t>
      </w:r>
      <w:r w:rsidR="00E339D6" w:rsidRPr="002B0484">
        <w:rPr>
          <w:lang w:val="fr-CA"/>
        </w:rPr>
        <w:t xml:space="preserve"> sa durée.</w:t>
      </w:r>
    </w:p>
    <w:p w:rsidR="0039706A" w:rsidRPr="002B0484" w:rsidRDefault="005E2BD7" w:rsidP="00A17E02">
      <w:pPr>
        <w:pStyle w:val="SCCNormalDoubleSpacing"/>
        <w:spacing w:after="480"/>
        <w:rPr>
          <w:lang w:val="fr-CA"/>
        </w:rPr>
      </w:pPr>
      <w:r w:rsidRPr="002B0484">
        <w:rPr>
          <w:lang w:val="fr-CA"/>
        </w:rPr>
        <w:tab/>
      </w:r>
      <w:r w:rsidR="00E339D6" w:rsidRPr="002B0484">
        <w:rPr>
          <w:lang w:val="fr-CA"/>
        </w:rPr>
        <w:t>Dans la présente affaire, le juge qui a déterminé la peine n’a pas commis d’erreur de droit en accordant un crédit majoré sur le fondement du par. 719(3.1) au motif que l’</w:t>
      </w:r>
      <w:r w:rsidR="00BD43AB" w:rsidRPr="002B0484">
        <w:rPr>
          <w:lang w:val="fr-CA"/>
        </w:rPr>
        <w:t>accus</w:t>
      </w:r>
      <w:r w:rsidR="00E339D6" w:rsidRPr="002B0484">
        <w:rPr>
          <w:lang w:val="fr-CA"/>
        </w:rPr>
        <w:t xml:space="preserve">é avait subi une perte aux fins de l’admissibilité à la libération anticipée et à la libération conditionnelle. </w:t>
      </w:r>
      <w:r w:rsidR="00FA30D9" w:rsidRPr="002B0484">
        <w:rPr>
          <w:lang w:val="fr-CA"/>
        </w:rPr>
        <w:t xml:space="preserve"> L</w:t>
      </w:r>
      <w:r w:rsidR="00E339D6" w:rsidRPr="002B0484">
        <w:rPr>
          <w:lang w:val="fr-CA"/>
        </w:rPr>
        <w:t>a conclusion selon laquelle l’</w:t>
      </w:r>
      <w:r w:rsidR="00FA30D9" w:rsidRPr="002B0484">
        <w:rPr>
          <w:lang w:val="fr-CA"/>
        </w:rPr>
        <w:t>accus</w:t>
      </w:r>
      <w:r w:rsidR="00E339D6" w:rsidRPr="002B0484">
        <w:rPr>
          <w:lang w:val="fr-CA"/>
        </w:rPr>
        <w:t xml:space="preserve">é </w:t>
      </w:r>
      <w:r w:rsidR="00E339D6" w:rsidRPr="002B0484">
        <w:rPr>
          <w:lang w:val="fr-CA"/>
        </w:rPr>
        <w:lastRenderedPageBreak/>
        <w:t xml:space="preserve">aurait obtenu sa libération anticipée n’a pas été sérieusement contestée. </w:t>
      </w:r>
      <w:r w:rsidR="00FA30D9" w:rsidRPr="002B0484">
        <w:rPr>
          <w:lang w:val="fr-CA"/>
        </w:rPr>
        <w:t xml:space="preserve"> </w:t>
      </w:r>
      <w:r w:rsidR="00E339D6" w:rsidRPr="002B0484">
        <w:rPr>
          <w:lang w:val="fr-CA"/>
        </w:rPr>
        <w:t>Par conséquent, il convenait d’a</w:t>
      </w:r>
      <w:r w:rsidR="00FA30D9" w:rsidRPr="002B0484">
        <w:rPr>
          <w:lang w:val="fr-CA"/>
        </w:rPr>
        <w:t>llou</w:t>
      </w:r>
      <w:r w:rsidR="00E339D6" w:rsidRPr="002B0484">
        <w:rPr>
          <w:lang w:val="fr-CA"/>
        </w:rPr>
        <w:t>er un jour et demi pour chaque jour passé sous garde sur le fondement de la ra</w:t>
      </w:r>
      <w:r w:rsidR="00FA30D9" w:rsidRPr="002B0484">
        <w:rPr>
          <w:lang w:val="fr-CA"/>
        </w:rPr>
        <w:t xml:space="preserve">ison d’être </w:t>
      </w:r>
      <w:r w:rsidR="00F50E7A" w:rsidRPr="002B0484">
        <w:rPr>
          <w:lang w:val="fr-CA"/>
        </w:rPr>
        <w:t xml:space="preserve">d’ordre quantitatif </w:t>
      </w:r>
      <w:r w:rsidR="00FA30D9" w:rsidRPr="002B0484">
        <w:rPr>
          <w:lang w:val="fr-CA"/>
        </w:rPr>
        <w:t>du crédit majoré.</w:t>
      </w:r>
    </w:p>
    <w:p w:rsidR="004D7D95" w:rsidRPr="002B0484" w:rsidRDefault="004D7D95" w:rsidP="00A17E02">
      <w:pPr>
        <w:pStyle w:val="SCCNormalDoubleSpacing"/>
        <w:spacing w:after="720" w:line="240" w:lineRule="auto"/>
        <w:rPr>
          <w:b/>
          <w:lang w:val="fr-CA"/>
        </w:rPr>
      </w:pPr>
      <w:r w:rsidRPr="002B0484">
        <w:rPr>
          <w:b/>
          <w:lang w:val="fr-CA"/>
        </w:rPr>
        <w:t>Jurisprudence</w:t>
      </w:r>
    </w:p>
    <w:p w:rsidR="00E810AD" w:rsidRPr="002B0484" w:rsidRDefault="004D7D95" w:rsidP="00A17E02">
      <w:pPr>
        <w:pStyle w:val="SCCNormalDoubleSpacing"/>
        <w:widowControl w:val="0"/>
        <w:spacing w:after="480"/>
        <w:rPr>
          <w:lang w:val="en-US"/>
        </w:rPr>
      </w:pPr>
      <w:r w:rsidRPr="002B0484">
        <w:rPr>
          <w:lang w:val="fr-CA"/>
        </w:rPr>
        <w:tab/>
      </w:r>
      <w:r w:rsidRPr="002B0484">
        <w:rPr>
          <w:b/>
          <w:lang w:val="fr-CA"/>
        </w:rPr>
        <w:t>Arrêts mentionnés</w:t>
      </w:r>
      <w:r w:rsidR="003E69A0" w:rsidRPr="002B0484">
        <w:rPr>
          <w:b/>
          <w:lang w:val="fr-CA"/>
        </w:rPr>
        <w:t> :</w:t>
      </w:r>
      <w:r w:rsidRPr="002B0484">
        <w:rPr>
          <w:lang w:val="fr-CA"/>
        </w:rPr>
        <w:t xml:space="preserve"> </w:t>
      </w:r>
      <w:r w:rsidR="00E810AD" w:rsidRPr="002B0484">
        <w:rPr>
          <w:i/>
          <w:lang w:val="fr-CA"/>
        </w:rPr>
        <w:t xml:space="preserve">R. c. </w:t>
      </w:r>
      <w:proofErr w:type="spellStart"/>
      <w:r w:rsidR="00E810AD" w:rsidRPr="002B0484">
        <w:rPr>
          <w:i/>
          <w:lang w:val="fr-CA"/>
        </w:rPr>
        <w:t>Wust</w:t>
      </w:r>
      <w:proofErr w:type="spellEnd"/>
      <w:r w:rsidR="00E810AD" w:rsidRPr="002B0484">
        <w:rPr>
          <w:lang w:val="fr-CA"/>
        </w:rPr>
        <w:t>, 2000 CSC 18, [2000] 1 R.C.S. 455</w:t>
      </w:r>
      <w:r w:rsidR="00A10DEF" w:rsidRPr="002B0484">
        <w:rPr>
          <w:lang w:val="fr-CA"/>
        </w:rPr>
        <w:t xml:space="preserve">; </w:t>
      </w:r>
      <w:r w:rsidR="00A10DEF" w:rsidRPr="002B0484">
        <w:rPr>
          <w:i/>
          <w:lang w:val="fr-CA"/>
        </w:rPr>
        <w:t>R. c. Bradbury</w:t>
      </w:r>
      <w:r w:rsidR="00A10DEF" w:rsidRPr="002B0484">
        <w:rPr>
          <w:lang w:val="fr-CA"/>
        </w:rPr>
        <w:t xml:space="preserve">, 2013 BCCA 280, 339 B.C.A.C. 169; </w:t>
      </w:r>
      <w:r w:rsidR="00A10DEF" w:rsidRPr="002B0484">
        <w:rPr>
          <w:i/>
          <w:lang w:val="fr-CA"/>
        </w:rPr>
        <w:t xml:space="preserve">R. c. </w:t>
      </w:r>
      <w:proofErr w:type="spellStart"/>
      <w:r w:rsidR="00A10DEF" w:rsidRPr="002B0484">
        <w:rPr>
          <w:i/>
          <w:lang w:val="fr-CA"/>
        </w:rPr>
        <w:t>Carvery</w:t>
      </w:r>
      <w:proofErr w:type="spellEnd"/>
      <w:r w:rsidR="00A10DEF" w:rsidRPr="002B0484">
        <w:rPr>
          <w:lang w:val="fr-CA"/>
        </w:rPr>
        <w:t xml:space="preserve">, 2012 NSCA 107, 321 N.S.R. (2d) 321; </w:t>
      </w:r>
      <w:r w:rsidR="00A10DEF" w:rsidRPr="002B0484">
        <w:rPr>
          <w:i/>
          <w:lang w:val="fr-CA"/>
        </w:rPr>
        <w:t xml:space="preserve">R. c. </w:t>
      </w:r>
      <w:proofErr w:type="spellStart"/>
      <w:r w:rsidR="00A10DEF" w:rsidRPr="002B0484">
        <w:rPr>
          <w:i/>
          <w:lang w:val="fr-CA"/>
        </w:rPr>
        <w:t>Stonefish</w:t>
      </w:r>
      <w:proofErr w:type="spellEnd"/>
      <w:r w:rsidR="00A10DEF" w:rsidRPr="002B0484">
        <w:rPr>
          <w:lang w:val="fr-CA"/>
        </w:rPr>
        <w:t>, 2012 MBCA 116, 288 Man. R. (2d) 103;</w:t>
      </w:r>
      <w:r w:rsidR="003F68EC" w:rsidRPr="002B0484">
        <w:rPr>
          <w:lang w:val="fr-CA"/>
        </w:rPr>
        <w:t xml:space="preserve"> </w:t>
      </w:r>
      <w:r w:rsidR="003F68EC" w:rsidRPr="002B0484">
        <w:rPr>
          <w:i/>
          <w:lang w:val="fr-CA"/>
        </w:rPr>
        <w:t>R. c. Johnson</w:t>
      </w:r>
      <w:r w:rsidR="003F68EC" w:rsidRPr="002B0484">
        <w:rPr>
          <w:lang w:val="fr-CA"/>
        </w:rPr>
        <w:t>, 2013 ABCA 190, 85 Alta. L.R. (5th) 320</w:t>
      </w:r>
      <w:r w:rsidR="00A10DEF" w:rsidRPr="002B0484">
        <w:rPr>
          <w:lang w:val="fr-CA"/>
        </w:rPr>
        <w:t xml:space="preserve">; </w:t>
      </w:r>
      <w:r w:rsidR="00A10DEF" w:rsidRPr="002B0484">
        <w:rPr>
          <w:i/>
          <w:lang w:val="fr-CA"/>
        </w:rPr>
        <w:t xml:space="preserve">R. c. </w:t>
      </w:r>
      <w:proofErr w:type="spellStart"/>
      <w:r w:rsidR="00A10DEF" w:rsidRPr="002B0484">
        <w:rPr>
          <w:i/>
          <w:lang w:val="fr-CA"/>
        </w:rPr>
        <w:t>Cluney</w:t>
      </w:r>
      <w:proofErr w:type="spellEnd"/>
      <w:r w:rsidR="00A10DEF" w:rsidRPr="002B0484">
        <w:rPr>
          <w:lang w:val="fr-CA"/>
        </w:rPr>
        <w:t xml:space="preserve">, 2013 NLCA 46, 338 Nfld. &amp; P.E.I.R. 57; </w:t>
      </w:r>
      <w:r w:rsidR="00A10DEF" w:rsidRPr="002B0484">
        <w:rPr>
          <w:i/>
          <w:lang w:val="fr-CA"/>
        </w:rPr>
        <w:t xml:space="preserve">R. c. </w:t>
      </w:r>
      <w:proofErr w:type="spellStart"/>
      <w:r w:rsidR="00A10DEF" w:rsidRPr="002B0484">
        <w:rPr>
          <w:i/>
          <w:lang w:val="fr-CA"/>
        </w:rPr>
        <w:t>Henrico</w:t>
      </w:r>
      <w:proofErr w:type="spellEnd"/>
      <w:r w:rsidR="00A10DEF" w:rsidRPr="002B0484">
        <w:rPr>
          <w:lang w:val="fr-CA"/>
        </w:rPr>
        <w:t>, 2013 QCCA 1431, [2013] R.J.Q. 1349</w:t>
      </w:r>
      <w:r w:rsidR="00C711B5" w:rsidRPr="002B0484">
        <w:rPr>
          <w:lang w:val="fr-CA"/>
        </w:rPr>
        <w:t xml:space="preserve">; </w:t>
      </w:r>
      <w:r w:rsidR="00C711B5" w:rsidRPr="002B0484">
        <w:rPr>
          <w:i/>
          <w:lang w:val="fr-CA"/>
        </w:rPr>
        <w:t xml:space="preserve">R. c. </w:t>
      </w:r>
      <w:proofErr w:type="spellStart"/>
      <w:r w:rsidR="00C711B5" w:rsidRPr="002B0484">
        <w:rPr>
          <w:i/>
          <w:lang w:val="fr-CA"/>
        </w:rPr>
        <w:t>Rezaie</w:t>
      </w:r>
      <w:proofErr w:type="spellEnd"/>
      <w:r w:rsidR="00C711B5" w:rsidRPr="002B0484">
        <w:rPr>
          <w:lang w:val="fr-CA"/>
        </w:rPr>
        <w:t xml:space="preserve"> (1996), 31 O.R. (3d) 713</w:t>
      </w:r>
      <w:r w:rsidR="00DE6337" w:rsidRPr="002B0484">
        <w:rPr>
          <w:lang w:val="fr-CA"/>
        </w:rPr>
        <w:t xml:space="preserve">; </w:t>
      </w:r>
      <w:proofErr w:type="spellStart"/>
      <w:r w:rsidR="00DE6337" w:rsidRPr="002B0484">
        <w:rPr>
          <w:i/>
          <w:lang w:val="fr-CA"/>
        </w:rPr>
        <w:t>Rizzo</w:t>
      </w:r>
      <w:proofErr w:type="spellEnd"/>
      <w:r w:rsidR="00DE6337" w:rsidRPr="002B0484">
        <w:rPr>
          <w:i/>
          <w:lang w:val="fr-CA"/>
        </w:rPr>
        <w:t xml:space="preserve"> &amp; </w:t>
      </w:r>
      <w:proofErr w:type="spellStart"/>
      <w:r w:rsidR="00DE6337" w:rsidRPr="002B0484">
        <w:rPr>
          <w:i/>
          <w:lang w:val="fr-CA"/>
        </w:rPr>
        <w:t>Rizzo</w:t>
      </w:r>
      <w:proofErr w:type="spellEnd"/>
      <w:r w:rsidR="00DE6337" w:rsidRPr="002B0484">
        <w:rPr>
          <w:i/>
          <w:lang w:val="fr-CA"/>
        </w:rPr>
        <w:t xml:space="preserve"> </w:t>
      </w:r>
      <w:proofErr w:type="spellStart"/>
      <w:r w:rsidR="00DE6337" w:rsidRPr="002B0484">
        <w:rPr>
          <w:i/>
          <w:lang w:val="fr-CA"/>
        </w:rPr>
        <w:t>Shoes</w:t>
      </w:r>
      <w:proofErr w:type="spellEnd"/>
      <w:r w:rsidR="00DE6337" w:rsidRPr="002B0484">
        <w:rPr>
          <w:i/>
          <w:lang w:val="fr-CA"/>
        </w:rPr>
        <w:t xml:space="preserve"> Ltd. </w:t>
      </w:r>
      <w:r w:rsidR="009A58A4" w:rsidRPr="002B0484">
        <w:rPr>
          <w:i/>
          <w:lang w:val="en-US"/>
        </w:rPr>
        <w:t>(</w:t>
      </w:r>
      <w:r w:rsidR="00DE6337" w:rsidRPr="002B0484">
        <w:rPr>
          <w:i/>
          <w:lang w:val="en-US"/>
        </w:rPr>
        <w:t>Re)</w:t>
      </w:r>
      <w:r w:rsidR="00DE6337" w:rsidRPr="002B0484">
        <w:rPr>
          <w:lang w:val="en-US"/>
        </w:rPr>
        <w:t>, [1998] 1 R.C.S. 27</w:t>
      </w:r>
      <w:r w:rsidR="009A58A4" w:rsidRPr="002B0484">
        <w:rPr>
          <w:lang w:val="en-US"/>
        </w:rPr>
        <w:t xml:space="preserve">; </w:t>
      </w:r>
      <w:r w:rsidR="009A58A4" w:rsidRPr="002B0484">
        <w:rPr>
          <w:i/>
          <w:lang w:val="en-US"/>
        </w:rPr>
        <w:t xml:space="preserve">Bell </w:t>
      </w:r>
      <w:proofErr w:type="spellStart"/>
      <w:r w:rsidR="009A58A4" w:rsidRPr="002B0484">
        <w:rPr>
          <w:i/>
          <w:lang w:val="en-US"/>
        </w:rPr>
        <w:t>ExpressVu</w:t>
      </w:r>
      <w:proofErr w:type="spellEnd"/>
      <w:r w:rsidR="009A58A4" w:rsidRPr="002B0484">
        <w:rPr>
          <w:i/>
          <w:lang w:val="en-US"/>
        </w:rPr>
        <w:t xml:space="preserve"> Limited Partnership c. Rex</w:t>
      </w:r>
      <w:r w:rsidR="009A58A4" w:rsidRPr="002B0484">
        <w:rPr>
          <w:lang w:val="en-US"/>
        </w:rPr>
        <w:t>,</w:t>
      </w:r>
      <w:r w:rsidR="009A58A4" w:rsidRPr="002B0484">
        <w:rPr>
          <w:i/>
          <w:lang w:val="en-US"/>
        </w:rPr>
        <w:t xml:space="preserve"> </w:t>
      </w:r>
      <w:r w:rsidR="009A58A4" w:rsidRPr="002B0484">
        <w:rPr>
          <w:lang w:val="en-US"/>
        </w:rPr>
        <w:t>2002 CSC 42, [2002] 2 R.C.S. 559</w:t>
      </w:r>
      <w:r w:rsidR="00EE51E5" w:rsidRPr="002B0484">
        <w:rPr>
          <w:lang w:val="en-US"/>
        </w:rPr>
        <w:t xml:space="preserve">; </w:t>
      </w:r>
      <w:r w:rsidR="00EE51E5" w:rsidRPr="002B0484">
        <w:rPr>
          <w:i/>
          <w:lang w:val="en-US"/>
        </w:rPr>
        <w:t xml:space="preserve">Townsend c. </w:t>
      </w:r>
      <w:proofErr w:type="spellStart"/>
      <w:r w:rsidR="00EE51E5" w:rsidRPr="002B0484">
        <w:rPr>
          <w:i/>
          <w:lang w:val="en-US"/>
        </w:rPr>
        <w:t>Kroppmanns</w:t>
      </w:r>
      <w:proofErr w:type="spellEnd"/>
      <w:r w:rsidR="00EE51E5" w:rsidRPr="002B0484">
        <w:rPr>
          <w:lang w:val="en-US"/>
        </w:rPr>
        <w:t>, 2004 CSC 10, [2004] 1 R.C.S. 315</w:t>
      </w:r>
      <w:r w:rsidR="00E810AD" w:rsidRPr="002B0484">
        <w:rPr>
          <w:lang w:val="en-US"/>
        </w:rPr>
        <w:t>.</w:t>
      </w:r>
    </w:p>
    <w:p w:rsidR="004D7D95" w:rsidRPr="002B0484" w:rsidRDefault="004D7D95" w:rsidP="00A17E02">
      <w:pPr>
        <w:pStyle w:val="SCCNormalDoubleSpacing"/>
        <w:spacing w:after="720" w:line="240" w:lineRule="auto"/>
        <w:rPr>
          <w:b/>
          <w:lang w:val="fr-CA"/>
        </w:rPr>
      </w:pPr>
      <w:r w:rsidRPr="002B0484">
        <w:rPr>
          <w:b/>
          <w:lang w:val="fr-CA"/>
        </w:rPr>
        <w:t>Lois et règlements cités</w:t>
      </w:r>
    </w:p>
    <w:p w:rsidR="00AF6986" w:rsidRPr="002B0484" w:rsidRDefault="00AF6986" w:rsidP="00A17E02">
      <w:pPr>
        <w:pStyle w:val="SCCNormalDoubleSpacing"/>
        <w:spacing w:after="240" w:line="240" w:lineRule="auto"/>
        <w:ind w:left="539" w:hanging="539"/>
        <w:rPr>
          <w:lang w:val="fr-CA"/>
        </w:rPr>
      </w:pPr>
      <w:r w:rsidRPr="002B0484">
        <w:rPr>
          <w:i/>
          <w:lang w:val="fr-CA"/>
        </w:rPr>
        <w:t>Charte canadienne des droits et libertés</w:t>
      </w:r>
      <w:r w:rsidR="00B341AE" w:rsidRPr="002B0484">
        <w:rPr>
          <w:lang w:val="fr-CA"/>
        </w:rPr>
        <w:t xml:space="preserve">, </w:t>
      </w:r>
      <w:r w:rsidR="003E69A0" w:rsidRPr="002B0484">
        <w:rPr>
          <w:lang w:val="fr-CA"/>
        </w:rPr>
        <w:t>art. </w:t>
      </w:r>
      <w:r w:rsidR="003869A2" w:rsidRPr="002B0484">
        <w:rPr>
          <w:lang w:val="fr-CA"/>
        </w:rPr>
        <w:t>24(1)</w:t>
      </w:r>
      <w:r w:rsidR="00B341AE" w:rsidRPr="002B0484">
        <w:rPr>
          <w:lang w:val="fr-CA"/>
        </w:rPr>
        <w:t>.</w:t>
      </w:r>
    </w:p>
    <w:p w:rsidR="00817111" w:rsidRPr="002B0484" w:rsidRDefault="00817111" w:rsidP="00A17E02">
      <w:pPr>
        <w:pStyle w:val="SCCNormalDoubleSpacing"/>
        <w:spacing w:after="240" w:line="240" w:lineRule="auto"/>
        <w:ind w:left="539" w:hanging="539"/>
        <w:rPr>
          <w:lang w:val="fr-CA"/>
        </w:rPr>
      </w:pPr>
      <w:r w:rsidRPr="002B0484">
        <w:rPr>
          <w:i/>
          <w:lang w:val="fr-CA"/>
        </w:rPr>
        <w:t>Code criminel</w:t>
      </w:r>
      <w:r w:rsidRPr="002B0484">
        <w:rPr>
          <w:lang w:val="fr-CA"/>
        </w:rPr>
        <w:t xml:space="preserve">, L.R.C. 1985, </w:t>
      </w:r>
      <w:r w:rsidR="003E69A0" w:rsidRPr="002B0484">
        <w:rPr>
          <w:lang w:val="fr-CA"/>
        </w:rPr>
        <w:t>ch. </w:t>
      </w:r>
      <w:r w:rsidRPr="002B0484">
        <w:rPr>
          <w:lang w:val="fr-CA"/>
        </w:rPr>
        <w:t>C</w:t>
      </w:r>
      <w:r w:rsidR="008E77B2">
        <w:rPr>
          <w:lang w:val="fr-CA"/>
        </w:rPr>
        <w:t>-</w:t>
      </w:r>
      <w:r w:rsidRPr="002B0484">
        <w:rPr>
          <w:lang w:val="fr-CA"/>
        </w:rPr>
        <w:t>46</w:t>
      </w:r>
      <w:r w:rsidR="00F05674" w:rsidRPr="002B0484">
        <w:rPr>
          <w:lang w:val="fr-CA"/>
        </w:rPr>
        <w:t xml:space="preserve">, </w:t>
      </w:r>
      <w:r w:rsidR="003E69A0" w:rsidRPr="002B0484">
        <w:rPr>
          <w:lang w:val="fr-CA"/>
        </w:rPr>
        <w:t>art. </w:t>
      </w:r>
      <w:r w:rsidR="00DA76C5" w:rsidRPr="002B0484">
        <w:rPr>
          <w:lang w:val="fr-CA"/>
        </w:rPr>
        <w:t xml:space="preserve">457(1), (2), </w:t>
      </w:r>
      <w:r w:rsidR="00BF697D" w:rsidRPr="002B0484">
        <w:rPr>
          <w:lang w:val="fr-CA"/>
        </w:rPr>
        <w:t>515(9.1), 524(4), (8)</w:t>
      </w:r>
      <w:r w:rsidR="00F05674" w:rsidRPr="002B0484">
        <w:rPr>
          <w:lang w:val="fr-CA"/>
        </w:rPr>
        <w:t>, 672.14(3), 672.47(2)</w:t>
      </w:r>
      <w:r w:rsidR="00DC6788" w:rsidRPr="002B0484">
        <w:rPr>
          <w:lang w:val="fr-CA"/>
        </w:rPr>
        <w:t>, partie </w:t>
      </w:r>
      <w:r w:rsidR="00D5031B" w:rsidRPr="002B0484">
        <w:rPr>
          <w:lang w:val="fr-CA"/>
        </w:rPr>
        <w:t>XXIII, 718, 718.1, 718.2,</w:t>
      </w:r>
      <w:r w:rsidR="00F05674" w:rsidRPr="002B0484">
        <w:rPr>
          <w:lang w:val="fr-CA"/>
        </w:rPr>
        <w:t xml:space="preserve"> 719</w:t>
      </w:r>
      <w:r w:rsidR="00B975E0">
        <w:rPr>
          <w:lang w:val="fr-CA"/>
        </w:rPr>
        <w:t>(1), (</w:t>
      </w:r>
      <w:r w:rsidR="00F05674" w:rsidRPr="002B0484">
        <w:rPr>
          <w:lang w:val="fr-CA"/>
        </w:rPr>
        <w:t xml:space="preserve">3), (3.1), </w:t>
      </w:r>
      <w:r w:rsidR="00011D28" w:rsidRPr="002B0484">
        <w:rPr>
          <w:lang w:val="fr-CA"/>
        </w:rPr>
        <w:t xml:space="preserve">(3.2), (3.3), </w:t>
      </w:r>
      <w:r w:rsidR="00F05674" w:rsidRPr="002B0484">
        <w:rPr>
          <w:lang w:val="fr-CA"/>
        </w:rPr>
        <w:t>742.6(16)</w:t>
      </w:r>
      <w:r w:rsidR="003F0188" w:rsidRPr="002B0484">
        <w:rPr>
          <w:lang w:val="fr-CA"/>
        </w:rPr>
        <w:t>, 745</w:t>
      </w:r>
      <w:r w:rsidR="00F05674" w:rsidRPr="002B0484">
        <w:rPr>
          <w:lang w:val="fr-CA"/>
        </w:rPr>
        <w:t>.</w:t>
      </w:r>
    </w:p>
    <w:p w:rsidR="00FD09BB" w:rsidRPr="002B0484" w:rsidRDefault="00FD09BB" w:rsidP="00A17E02">
      <w:pPr>
        <w:pStyle w:val="SCCNormalDoubleSpacing"/>
        <w:spacing w:after="240" w:line="240" w:lineRule="auto"/>
        <w:ind w:left="539" w:hanging="539"/>
        <w:rPr>
          <w:lang w:val="fr-CA"/>
        </w:rPr>
      </w:pPr>
      <w:r w:rsidRPr="002B0484">
        <w:rPr>
          <w:i/>
          <w:lang w:val="fr-CA"/>
        </w:rPr>
        <w:t>Loi d’interprétation</w:t>
      </w:r>
      <w:r w:rsidRPr="002B0484">
        <w:rPr>
          <w:lang w:val="fr-CA"/>
        </w:rPr>
        <w:t xml:space="preserve">, L.R.C. 1985, </w:t>
      </w:r>
      <w:r w:rsidR="003E69A0" w:rsidRPr="002B0484">
        <w:rPr>
          <w:lang w:val="fr-CA"/>
        </w:rPr>
        <w:t>ch. </w:t>
      </w:r>
      <w:r w:rsidRPr="002B0484">
        <w:rPr>
          <w:lang w:val="fr-CA"/>
        </w:rPr>
        <w:t>I</w:t>
      </w:r>
      <w:r w:rsidR="008E77B2">
        <w:rPr>
          <w:lang w:val="fr-CA"/>
        </w:rPr>
        <w:t>-</w:t>
      </w:r>
      <w:r w:rsidRPr="002B0484">
        <w:rPr>
          <w:lang w:val="fr-CA"/>
        </w:rPr>
        <w:t xml:space="preserve">21, </w:t>
      </w:r>
      <w:r w:rsidR="003E69A0" w:rsidRPr="002B0484">
        <w:rPr>
          <w:lang w:val="fr-CA"/>
        </w:rPr>
        <w:t>art. </w:t>
      </w:r>
      <w:r w:rsidRPr="002B0484">
        <w:rPr>
          <w:lang w:val="fr-CA"/>
        </w:rPr>
        <w:t>14.</w:t>
      </w:r>
    </w:p>
    <w:p w:rsidR="00E810AD" w:rsidRPr="002B0484" w:rsidRDefault="00E810AD" w:rsidP="00A17E02">
      <w:pPr>
        <w:pStyle w:val="SCCNormalDoubleSpacing"/>
        <w:spacing w:after="240" w:line="240" w:lineRule="auto"/>
        <w:ind w:left="539" w:hanging="539"/>
        <w:rPr>
          <w:lang w:val="fr-CA"/>
        </w:rPr>
      </w:pPr>
      <w:r w:rsidRPr="002B0484">
        <w:rPr>
          <w:i/>
          <w:lang w:val="fr-CA"/>
        </w:rPr>
        <w:t>Loi sur l’adéquation de la peine et du crime</w:t>
      </w:r>
      <w:r w:rsidRPr="002B0484">
        <w:rPr>
          <w:lang w:val="fr-CA"/>
        </w:rPr>
        <w:t xml:space="preserve">, L.C. 2009, </w:t>
      </w:r>
      <w:r w:rsidR="003E69A0" w:rsidRPr="002B0484">
        <w:rPr>
          <w:lang w:val="fr-CA"/>
        </w:rPr>
        <w:t>ch. </w:t>
      </w:r>
      <w:r w:rsidRPr="002B0484">
        <w:rPr>
          <w:lang w:val="fr-CA"/>
        </w:rPr>
        <w:t xml:space="preserve">29.  </w:t>
      </w:r>
    </w:p>
    <w:p w:rsidR="007C0B95" w:rsidRPr="002B0484" w:rsidRDefault="007C0B95" w:rsidP="00A17E02">
      <w:pPr>
        <w:pStyle w:val="SCCNormalDoubleSpacing"/>
        <w:spacing w:after="240" w:line="240" w:lineRule="auto"/>
        <w:ind w:left="539" w:hanging="539"/>
        <w:rPr>
          <w:lang w:val="fr-CA"/>
        </w:rPr>
      </w:pPr>
      <w:r w:rsidRPr="002B0484">
        <w:rPr>
          <w:i/>
          <w:lang w:val="fr-CA"/>
        </w:rPr>
        <w:t xml:space="preserve">Loi sur le </w:t>
      </w:r>
      <w:r w:rsidR="001A535C" w:rsidRPr="002B0484">
        <w:rPr>
          <w:i/>
          <w:lang w:val="fr-CA"/>
        </w:rPr>
        <w:t>m</w:t>
      </w:r>
      <w:r w:rsidRPr="002B0484">
        <w:rPr>
          <w:i/>
          <w:lang w:val="fr-CA"/>
        </w:rPr>
        <w:t xml:space="preserve">inistère des </w:t>
      </w:r>
      <w:r w:rsidR="001A535C" w:rsidRPr="002B0484">
        <w:rPr>
          <w:i/>
          <w:lang w:val="fr-CA"/>
        </w:rPr>
        <w:t>S</w:t>
      </w:r>
      <w:r w:rsidRPr="002B0484">
        <w:rPr>
          <w:i/>
          <w:lang w:val="fr-CA"/>
        </w:rPr>
        <w:t>ervices correctionnels</w:t>
      </w:r>
      <w:r w:rsidRPr="002B0484">
        <w:rPr>
          <w:lang w:val="fr-CA"/>
        </w:rPr>
        <w:t xml:space="preserve">, L.R.O. 1990, </w:t>
      </w:r>
      <w:r w:rsidR="003E69A0" w:rsidRPr="002B0484">
        <w:rPr>
          <w:lang w:val="fr-CA"/>
        </w:rPr>
        <w:t>ch. </w:t>
      </w:r>
      <w:r w:rsidRPr="002B0484">
        <w:rPr>
          <w:lang w:val="fr-CA"/>
        </w:rPr>
        <w:t xml:space="preserve">M.22, </w:t>
      </w:r>
      <w:r w:rsidR="003E69A0" w:rsidRPr="002B0484">
        <w:rPr>
          <w:lang w:val="fr-CA"/>
        </w:rPr>
        <w:t>art. </w:t>
      </w:r>
      <w:r w:rsidRPr="002B0484">
        <w:rPr>
          <w:lang w:val="fr-CA"/>
        </w:rPr>
        <w:t>28, 28.1.</w:t>
      </w:r>
    </w:p>
    <w:p w:rsidR="00275FC0" w:rsidRPr="002B0484" w:rsidRDefault="00275FC0" w:rsidP="00A17E02">
      <w:pPr>
        <w:pStyle w:val="SCCNormalDoubleSpacing"/>
        <w:spacing w:after="240" w:line="240" w:lineRule="auto"/>
        <w:ind w:left="539" w:hanging="539"/>
        <w:rPr>
          <w:lang w:val="fr-CA"/>
        </w:rPr>
      </w:pPr>
      <w:r w:rsidRPr="002B0484">
        <w:rPr>
          <w:i/>
          <w:lang w:val="fr-CA"/>
        </w:rPr>
        <w:t>Loi sur le système correctionnel et la mise en liberté sous condition</w:t>
      </w:r>
      <w:r w:rsidRPr="002B0484">
        <w:rPr>
          <w:lang w:val="fr-CA"/>
        </w:rPr>
        <w:t xml:space="preserve">, L.C. 1992, </w:t>
      </w:r>
      <w:r w:rsidR="003E69A0" w:rsidRPr="002B0484">
        <w:rPr>
          <w:lang w:val="fr-CA"/>
        </w:rPr>
        <w:t>ch. </w:t>
      </w:r>
      <w:r w:rsidRPr="002B0484">
        <w:rPr>
          <w:lang w:val="fr-CA"/>
        </w:rPr>
        <w:t>20</w:t>
      </w:r>
      <w:r w:rsidR="00E56995" w:rsidRPr="002B0484">
        <w:rPr>
          <w:lang w:val="fr-CA"/>
        </w:rPr>
        <w:t>, art. 120, 127(3)</w:t>
      </w:r>
      <w:r w:rsidRPr="002B0484">
        <w:rPr>
          <w:lang w:val="fr-CA"/>
        </w:rPr>
        <w:t>.</w:t>
      </w:r>
    </w:p>
    <w:p w:rsidR="004D7D95" w:rsidRPr="002B0484" w:rsidRDefault="00AD1114" w:rsidP="00A17E02">
      <w:pPr>
        <w:pStyle w:val="SCCNormalDoubleSpacing"/>
        <w:spacing w:after="720" w:line="240" w:lineRule="auto"/>
        <w:ind w:left="540" w:hanging="540"/>
        <w:rPr>
          <w:lang w:val="fr-CA"/>
        </w:rPr>
      </w:pPr>
      <w:r w:rsidRPr="002B0484">
        <w:rPr>
          <w:i/>
          <w:lang w:val="fr-CA"/>
        </w:rPr>
        <w:lastRenderedPageBreak/>
        <w:t>Loi sur les prisons et les maisons de correction</w:t>
      </w:r>
      <w:r w:rsidRPr="002B0484">
        <w:rPr>
          <w:lang w:val="fr-CA"/>
        </w:rPr>
        <w:t xml:space="preserve">, </w:t>
      </w:r>
      <w:r w:rsidR="007C0B95" w:rsidRPr="002B0484">
        <w:rPr>
          <w:lang w:val="fr-CA"/>
        </w:rPr>
        <w:t xml:space="preserve">L.R.C. 1985, </w:t>
      </w:r>
      <w:r w:rsidR="003E69A0" w:rsidRPr="002B0484">
        <w:rPr>
          <w:lang w:val="fr-CA"/>
        </w:rPr>
        <w:t>ch. </w:t>
      </w:r>
      <w:r w:rsidR="007C0B95" w:rsidRPr="002B0484">
        <w:rPr>
          <w:lang w:val="fr-CA"/>
        </w:rPr>
        <w:t>P</w:t>
      </w:r>
      <w:r w:rsidR="008E77B2">
        <w:rPr>
          <w:lang w:val="fr-CA"/>
        </w:rPr>
        <w:t>-</w:t>
      </w:r>
      <w:r w:rsidR="007C0B95" w:rsidRPr="002B0484">
        <w:rPr>
          <w:lang w:val="fr-CA"/>
        </w:rPr>
        <w:t xml:space="preserve">20, </w:t>
      </w:r>
      <w:r w:rsidR="003E69A0" w:rsidRPr="002B0484">
        <w:rPr>
          <w:lang w:val="fr-CA"/>
        </w:rPr>
        <w:t>art. </w:t>
      </w:r>
      <w:r w:rsidR="007C0B95" w:rsidRPr="002B0484">
        <w:rPr>
          <w:lang w:val="fr-CA"/>
        </w:rPr>
        <w:t>6.</w:t>
      </w:r>
    </w:p>
    <w:p w:rsidR="004D7D95" w:rsidRPr="002B0484" w:rsidRDefault="004D7D95" w:rsidP="00A17E02">
      <w:pPr>
        <w:pStyle w:val="SCCNormalDoubleSpacing"/>
        <w:spacing w:after="720" w:line="240" w:lineRule="auto"/>
        <w:rPr>
          <w:b/>
          <w:lang w:val="fr-CA"/>
        </w:rPr>
      </w:pPr>
      <w:r w:rsidRPr="002B0484">
        <w:rPr>
          <w:b/>
          <w:lang w:val="fr-CA"/>
        </w:rPr>
        <w:t>Doctrine et autres documents cités</w:t>
      </w:r>
    </w:p>
    <w:p w:rsidR="000807FC" w:rsidRDefault="000807FC" w:rsidP="00C25AFB">
      <w:pPr>
        <w:pStyle w:val="SCCNormalDoubleSpacing"/>
        <w:spacing w:line="240" w:lineRule="auto"/>
        <w:ind w:left="533" w:hanging="533"/>
        <w:rPr>
          <w:lang w:val="fr-CA"/>
        </w:rPr>
      </w:pPr>
      <w:proofErr w:type="spellStart"/>
      <w:r w:rsidRPr="002B0484">
        <w:rPr>
          <w:lang w:val="fr-CA"/>
        </w:rPr>
        <w:t>Babooram</w:t>
      </w:r>
      <w:proofErr w:type="spellEnd"/>
      <w:r w:rsidRPr="002B0484">
        <w:rPr>
          <w:lang w:val="fr-CA"/>
        </w:rPr>
        <w:t xml:space="preserve">, </w:t>
      </w:r>
      <w:proofErr w:type="spellStart"/>
      <w:r w:rsidRPr="002B0484">
        <w:rPr>
          <w:lang w:val="fr-CA"/>
        </w:rPr>
        <w:t>Avani</w:t>
      </w:r>
      <w:proofErr w:type="spellEnd"/>
      <w:r w:rsidRPr="002B0484">
        <w:rPr>
          <w:lang w:val="fr-CA"/>
        </w:rPr>
        <w:t xml:space="preserve">.  « Évolution du profil des </w:t>
      </w:r>
      <w:r w:rsidR="00697C43">
        <w:rPr>
          <w:lang w:val="fr-CA"/>
        </w:rPr>
        <w:t>adultes placés sous garde, 2006-</w:t>
      </w:r>
      <w:r w:rsidRPr="002B0484">
        <w:rPr>
          <w:lang w:val="fr-CA"/>
        </w:rPr>
        <w:t xml:space="preserve">2007 » (2008), </w:t>
      </w:r>
      <w:r w:rsidR="00C25AFB">
        <w:rPr>
          <w:lang w:val="fr-CA"/>
        </w:rPr>
        <w:t>28:10</w:t>
      </w:r>
      <w:r w:rsidRPr="002B0484">
        <w:rPr>
          <w:lang w:val="fr-CA"/>
        </w:rPr>
        <w:t xml:space="preserve"> </w:t>
      </w:r>
      <w:proofErr w:type="spellStart"/>
      <w:r w:rsidR="00B44A7F" w:rsidRPr="002B0484">
        <w:rPr>
          <w:i/>
          <w:lang w:val="fr-CA"/>
        </w:rPr>
        <w:t>Juristat</w:t>
      </w:r>
      <w:proofErr w:type="spellEnd"/>
      <w:r w:rsidR="00B44A7F" w:rsidRPr="002B0484">
        <w:rPr>
          <w:i/>
          <w:lang w:val="fr-CA"/>
        </w:rPr>
        <w:t xml:space="preserve"> </w:t>
      </w:r>
      <w:r w:rsidR="00697C43" w:rsidRPr="00697C43">
        <w:rPr>
          <w:lang w:val="fr-CA"/>
        </w:rPr>
        <w:t>1</w:t>
      </w:r>
      <w:r w:rsidR="00697C43">
        <w:rPr>
          <w:i/>
          <w:lang w:val="fr-CA"/>
        </w:rPr>
        <w:t xml:space="preserve"> </w:t>
      </w:r>
      <w:r w:rsidRPr="002B0484">
        <w:rPr>
          <w:lang w:val="fr-CA"/>
        </w:rPr>
        <w:t>(en ligne</w:t>
      </w:r>
      <w:r w:rsidR="003E69A0" w:rsidRPr="002B0484">
        <w:rPr>
          <w:lang w:val="fr-CA"/>
        </w:rPr>
        <w:t> :</w:t>
      </w:r>
      <w:r w:rsidRPr="002B0484">
        <w:rPr>
          <w:lang w:val="fr-CA"/>
        </w:rPr>
        <w:t xml:space="preserve"> </w:t>
      </w:r>
      <w:r w:rsidR="00C25AFB" w:rsidRPr="00C25AFB">
        <w:rPr>
          <w:lang w:val="fr-CA"/>
        </w:rPr>
        <w:t>http://www.statcan.gc.ca/pub/85-002-x/2008010/article/10732-fra.pdf</w:t>
      </w:r>
      <w:r w:rsidRPr="002B0484">
        <w:rPr>
          <w:lang w:val="fr-CA"/>
        </w:rPr>
        <w:t>).</w:t>
      </w:r>
    </w:p>
    <w:p w:rsidR="00C25AFB" w:rsidRPr="002B0484" w:rsidRDefault="00C25AFB" w:rsidP="00C25AFB">
      <w:pPr>
        <w:pStyle w:val="SCCNormalDoubleSpacing"/>
        <w:spacing w:line="240" w:lineRule="auto"/>
        <w:ind w:left="533" w:hanging="533"/>
        <w:rPr>
          <w:lang w:val="fr-CA"/>
        </w:rPr>
      </w:pPr>
    </w:p>
    <w:p w:rsidR="00E86ACD" w:rsidRPr="002B0484" w:rsidRDefault="00E86ACD" w:rsidP="00A17E02">
      <w:pPr>
        <w:pStyle w:val="SCCNormalDoubleSpacing"/>
        <w:spacing w:after="240" w:line="240" w:lineRule="auto"/>
        <w:ind w:left="539" w:hanging="539"/>
        <w:rPr>
          <w:lang w:val="fr-CA"/>
        </w:rPr>
      </w:pPr>
      <w:r w:rsidRPr="002B0484">
        <w:rPr>
          <w:lang w:val="fr-CA"/>
        </w:rPr>
        <w:t xml:space="preserve">Canada.  </w:t>
      </w:r>
      <w:r w:rsidR="005A7C9C" w:rsidRPr="002B0484">
        <w:rPr>
          <w:lang w:val="fr-CA"/>
        </w:rPr>
        <w:t xml:space="preserve">Chambre des communes.  </w:t>
      </w:r>
      <w:r w:rsidRPr="002B0484">
        <w:rPr>
          <w:lang w:val="fr-CA"/>
        </w:rPr>
        <w:t xml:space="preserve">Comité permanent de la justice et des droits de la personne.  </w:t>
      </w:r>
      <w:r w:rsidRPr="002B0484">
        <w:rPr>
          <w:i/>
          <w:lang w:val="fr-CA"/>
        </w:rPr>
        <w:t>Témoignages</w:t>
      </w:r>
      <w:r w:rsidRPr="002B0484">
        <w:rPr>
          <w:lang w:val="fr-CA"/>
        </w:rPr>
        <w:t>, n</w:t>
      </w:r>
      <w:r w:rsidRPr="002B0484">
        <w:rPr>
          <w:vertAlign w:val="superscript"/>
          <w:lang w:val="fr-CA"/>
        </w:rPr>
        <w:t>o</w:t>
      </w:r>
      <w:r w:rsidR="00E34B43" w:rsidRPr="002B0484">
        <w:rPr>
          <w:lang w:val="fr-CA"/>
        </w:rPr>
        <w:t> </w:t>
      </w:r>
      <w:r w:rsidRPr="002B0484">
        <w:rPr>
          <w:lang w:val="fr-CA"/>
        </w:rPr>
        <w:t>20, 2</w:t>
      </w:r>
      <w:r w:rsidRPr="002B0484">
        <w:rPr>
          <w:vertAlign w:val="superscript"/>
          <w:lang w:val="fr-CA"/>
        </w:rPr>
        <w:t>e</w:t>
      </w:r>
      <w:r w:rsidRPr="002B0484">
        <w:rPr>
          <w:lang w:val="fr-CA"/>
        </w:rPr>
        <w:t xml:space="preserve"> </w:t>
      </w:r>
      <w:proofErr w:type="spellStart"/>
      <w:proofErr w:type="gramStart"/>
      <w:r w:rsidRPr="002B0484">
        <w:rPr>
          <w:lang w:val="fr-CA"/>
        </w:rPr>
        <w:t>sess</w:t>
      </w:r>
      <w:proofErr w:type="spellEnd"/>
      <w:r w:rsidRPr="002B0484">
        <w:rPr>
          <w:lang w:val="fr-CA"/>
        </w:rPr>
        <w:t>.,</w:t>
      </w:r>
      <w:proofErr w:type="gramEnd"/>
      <w:r w:rsidRPr="002B0484">
        <w:rPr>
          <w:lang w:val="fr-CA"/>
        </w:rPr>
        <w:t xml:space="preserve"> 40</w:t>
      </w:r>
      <w:r w:rsidRPr="002B0484">
        <w:rPr>
          <w:vertAlign w:val="superscript"/>
          <w:lang w:val="fr-CA"/>
        </w:rPr>
        <w:t>e</w:t>
      </w:r>
      <w:r w:rsidRPr="002B0484">
        <w:rPr>
          <w:lang w:val="fr-CA"/>
        </w:rPr>
        <w:t xml:space="preserve"> </w:t>
      </w:r>
      <w:proofErr w:type="spellStart"/>
      <w:r w:rsidRPr="002B0484">
        <w:rPr>
          <w:lang w:val="fr-CA"/>
        </w:rPr>
        <w:t>lég</w:t>
      </w:r>
      <w:proofErr w:type="spellEnd"/>
      <w:r w:rsidRPr="002B0484">
        <w:rPr>
          <w:lang w:val="fr-CA"/>
        </w:rPr>
        <w:t>., 6</w:t>
      </w:r>
      <w:r w:rsidR="00E34B43" w:rsidRPr="002B0484">
        <w:rPr>
          <w:lang w:val="fr-CA"/>
        </w:rPr>
        <w:t> </w:t>
      </w:r>
      <w:r w:rsidRPr="002B0484">
        <w:rPr>
          <w:lang w:val="fr-CA"/>
        </w:rPr>
        <w:t xml:space="preserve">mai 2009, </w:t>
      </w:r>
      <w:r w:rsidR="003E69A0" w:rsidRPr="002B0484">
        <w:rPr>
          <w:lang w:val="fr-CA"/>
        </w:rPr>
        <w:t>p. </w:t>
      </w:r>
      <w:r w:rsidRPr="002B0484">
        <w:rPr>
          <w:lang w:val="fr-CA"/>
        </w:rPr>
        <w:t>11.</w:t>
      </w:r>
    </w:p>
    <w:p w:rsidR="008C3FE3" w:rsidRPr="002B0484" w:rsidRDefault="008C3FE3" w:rsidP="00A17E02">
      <w:pPr>
        <w:pStyle w:val="SCCNormalDoubleSpacing"/>
        <w:spacing w:after="240" w:line="240" w:lineRule="auto"/>
        <w:ind w:left="539" w:hanging="539"/>
        <w:rPr>
          <w:lang w:val="fr-CA"/>
        </w:rPr>
      </w:pPr>
      <w:r w:rsidRPr="002B0484">
        <w:rPr>
          <w:lang w:val="fr-CA"/>
        </w:rPr>
        <w:t xml:space="preserve">Canada.  Sénat.  </w:t>
      </w:r>
      <w:r w:rsidR="003F16CD" w:rsidRPr="002B0484">
        <w:rPr>
          <w:i/>
          <w:lang w:val="fr-CA"/>
        </w:rPr>
        <w:t>Délibérations du Comité sénatorial permanent des Affaires juridiques et constitutionnelles</w:t>
      </w:r>
      <w:r w:rsidRPr="002B0484">
        <w:rPr>
          <w:lang w:val="fr-CA"/>
        </w:rPr>
        <w:t xml:space="preserve">, </w:t>
      </w:r>
      <w:r w:rsidR="003F16CD" w:rsidRPr="002B0484">
        <w:rPr>
          <w:lang w:val="fr-CA"/>
        </w:rPr>
        <w:t>n</w:t>
      </w:r>
      <w:r w:rsidR="003F16CD" w:rsidRPr="002B0484">
        <w:rPr>
          <w:vertAlign w:val="superscript"/>
          <w:lang w:val="fr-CA"/>
        </w:rPr>
        <w:t>o</w:t>
      </w:r>
      <w:r w:rsidR="00DC6788" w:rsidRPr="002B0484">
        <w:rPr>
          <w:lang w:val="fr-CA"/>
        </w:rPr>
        <w:t> </w:t>
      </w:r>
      <w:r w:rsidRPr="002B0484">
        <w:rPr>
          <w:lang w:val="fr-CA"/>
        </w:rPr>
        <w:t xml:space="preserve">14, </w:t>
      </w:r>
      <w:r w:rsidR="003F16CD" w:rsidRPr="002B0484">
        <w:rPr>
          <w:lang w:val="fr-CA"/>
        </w:rPr>
        <w:t>2</w:t>
      </w:r>
      <w:r w:rsidR="003F16CD" w:rsidRPr="002B0484">
        <w:rPr>
          <w:vertAlign w:val="superscript"/>
          <w:lang w:val="fr-CA"/>
        </w:rPr>
        <w:t>e</w:t>
      </w:r>
      <w:r w:rsidR="00DC6788" w:rsidRPr="002B0484">
        <w:rPr>
          <w:lang w:val="fr-CA"/>
        </w:rPr>
        <w:t> </w:t>
      </w:r>
      <w:proofErr w:type="spellStart"/>
      <w:proofErr w:type="gramStart"/>
      <w:r w:rsidR="003F16CD" w:rsidRPr="002B0484">
        <w:rPr>
          <w:lang w:val="fr-CA"/>
        </w:rPr>
        <w:t>sess</w:t>
      </w:r>
      <w:proofErr w:type="spellEnd"/>
      <w:r w:rsidR="003F16CD" w:rsidRPr="002B0484">
        <w:rPr>
          <w:lang w:val="fr-CA"/>
        </w:rPr>
        <w:t>.,</w:t>
      </w:r>
      <w:proofErr w:type="gramEnd"/>
      <w:r w:rsidR="003F16CD" w:rsidRPr="002B0484">
        <w:rPr>
          <w:lang w:val="fr-CA"/>
        </w:rPr>
        <w:t xml:space="preserve"> 40</w:t>
      </w:r>
      <w:r w:rsidR="003F16CD" w:rsidRPr="002B0484">
        <w:rPr>
          <w:vertAlign w:val="superscript"/>
          <w:lang w:val="fr-CA"/>
        </w:rPr>
        <w:t>e</w:t>
      </w:r>
      <w:r w:rsidR="00DC6788" w:rsidRPr="002B0484">
        <w:rPr>
          <w:lang w:val="fr-CA"/>
        </w:rPr>
        <w:t> </w:t>
      </w:r>
      <w:proofErr w:type="spellStart"/>
      <w:r w:rsidR="003F16CD" w:rsidRPr="002B0484">
        <w:rPr>
          <w:lang w:val="fr-CA"/>
        </w:rPr>
        <w:t>lég</w:t>
      </w:r>
      <w:proofErr w:type="spellEnd"/>
      <w:r w:rsidR="003F16CD" w:rsidRPr="002B0484">
        <w:rPr>
          <w:lang w:val="fr-CA"/>
        </w:rPr>
        <w:t xml:space="preserve">., </w:t>
      </w:r>
      <w:r w:rsidR="00C25AFB">
        <w:rPr>
          <w:lang w:val="fr-CA"/>
        </w:rPr>
        <w:t>30 septembre</w:t>
      </w:r>
      <w:r w:rsidRPr="002B0484">
        <w:rPr>
          <w:lang w:val="fr-CA"/>
        </w:rPr>
        <w:t xml:space="preserve"> 2009, </w:t>
      </w:r>
      <w:r w:rsidR="003E69A0" w:rsidRPr="002B0484">
        <w:rPr>
          <w:lang w:val="fr-CA"/>
        </w:rPr>
        <w:t>p. </w:t>
      </w:r>
      <w:r w:rsidRPr="002B0484">
        <w:rPr>
          <w:lang w:val="fr-CA"/>
        </w:rPr>
        <w:t>27</w:t>
      </w:r>
      <w:r w:rsidR="008E77B2">
        <w:rPr>
          <w:lang w:val="fr-CA"/>
        </w:rPr>
        <w:t>-</w:t>
      </w:r>
      <w:r w:rsidRPr="002B0484">
        <w:rPr>
          <w:lang w:val="fr-CA"/>
        </w:rPr>
        <w:t>30.</w:t>
      </w:r>
    </w:p>
    <w:p w:rsidR="00275FC0" w:rsidRPr="002B0484" w:rsidRDefault="00DC6788" w:rsidP="00A17E02">
      <w:pPr>
        <w:pStyle w:val="SCCNormalDoubleSpacing"/>
        <w:spacing w:after="240" w:line="240" w:lineRule="auto"/>
        <w:ind w:left="539" w:hanging="539"/>
        <w:rPr>
          <w:lang w:val="en-US"/>
        </w:rPr>
      </w:pPr>
      <w:proofErr w:type="gramStart"/>
      <w:r w:rsidRPr="002B0484">
        <w:t>Ruby, Clayton C., Gerald J. Chan and Nader </w:t>
      </w:r>
      <w:r w:rsidR="00275FC0" w:rsidRPr="002B0484">
        <w:t xml:space="preserve">R. </w:t>
      </w:r>
      <w:proofErr w:type="spellStart"/>
      <w:r w:rsidR="00275FC0" w:rsidRPr="002B0484">
        <w:t>Hasan</w:t>
      </w:r>
      <w:proofErr w:type="spellEnd"/>
      <w:r w:rsidR="00275FC0" w:rsidRPr="002B0484">
        <w:t>.</w:t>
      </w:r>
      <w:proofErr w:type="gramEnd"/>
      <w:r w:rsidR="00275FC0" w:rsidRPr="002B0484">
        <w:t xml:space="preserve">  </w:t>
      </w:r>
      <w:r w:rsidR="00275FC0" w:rsidRPr="002B0484">
        <w:rPr>
          <w:i/>
        </w:rPr>
        <w:t>Sentencing</w:t>
      </w:r>
      <w:r w:rsidR="00275FC0" w:rsidRPr="002B0484">
        <w:t xml:space="preserve">, 8th </w:t>
      </w:r>
      <w:proofErr w:type="gramStart"/>
      <w:r w:rsidR="00275FC0" w:rsidRPr="002B0484">
        <w:t>ed</w:t>
      </w:r>
      <w:proofErr w:type="gramEnd"/>
      <w:r w:rsidR="00275FC0" w:rsidRPr="002B0484">
        <w:t xml:space="preserve">.  </w:t>
      </w:r>
      <w:r w:rsidR="00275FC0" w:rsidRPr="002B0484">
        <w:rPr>
          <w:lang w:val="en-US"/>
        </w:rPr>
        <w:t>Markham, Ont</w:t>
      </w:r>
      <w:proofErr w:type="gramStart"/>
      <w:r w:rsidR="00275FC0" w:rsidRPr="002B0484">
        <w:rPr>
          <w:lang w:val="en-US"/>
        </w:rPr>
        <w:t>.</w:t>
      </w:r>
      <w:r w:rsidR="003E69A0" w:rsidRPr="002B0484">
        <w:rPr>
          <w:lang w:val="en-US"/>
        </w:rPr>
        <w:t> :</w:t>
      </w:r>
      <w:proofErr w:type="gramEnd"/>
      <w:r w:rsidR="00275FC0" w:rsidRPr="002B0484">
        <w:rPr>
          <w:lang w:val="en-US"/>
        </w:rPr>
        <w:t xml:space="preserve"> LexisNexis, 2012.</w:t>
      </w:r>
    </w:p>
    <w:p w:rsidR="00121A8C" w:rsidRPr="002B0484" w:rsidRDefault="00121A8C" w:rsidP="00A17E02">
      <w:pPr>
        <w:pStyle w:val="SCCNormalDoubleSpacing"/>
        <w:spacing w:after="720" w:line="240" w:lineRule="auto"/>
        <w:ind w:left="540" w:hanging="540"/>
        <w:rPr>
          <w:lang w:val="fr-CA"/>
        </w:rPr>
      </w:pPr>
      <w:r w:rsidRPr="002B0484">
        <w:t xml:space="preserve">Sullivan, Ruth.  </w:t>
      </w:r>
      <w:r w:rsidRPr="002B0484">
        <w:rPr>
          <w:i/>
        </w:rPr>
        <w:t>Sullivan on the Construction of Statutes</w:t>
      </w:r>
      <w:r w:rsidRPr="002B0484">
        <w:t xml:space="preserve">, 5th </w:t>
      </w:r>
      <w:proofErr w:type="gramStart"/>
      <w:r w:rsidRPr="002B0484">
        <w:t>ed</w:t>
      </w:r>
      <w:proofErr w:type="gramEnd"/>
      <w:r w:rsidRPr="002B0484">
        <w:t xml:space="preserve">.  </w:t>
      </w:r>
      <w:r w:rsidRPr="002B0484">
        <w:rPr>
          <w:lang w:val="fr-CA"/>
        </w:rPr>
        <w:t>Markham, Ont.</w:t>
      </w:r>
      <w:r w:rsidR="003E69A0" w:rsidRPr="002B0484">
        <w:rPr>
          <w:lang w:val="fr-CA"/>
        </w:rPr>
        <w:t> :</w:t>
      </w:r>
      <w:r w:rsidRPr="002B0484">
        <w:rPr>
          <w:lang w:val="fr-CA"/>
        </w:rPr>
        <w:t xml:space="preserve"> </w:t>
      </w:r>
      <w:proofErr w:type="spellStart"/>
      <w:r w:rsidRPr="002B0484">
        <w:rPr>
          <w:lang w:val="fr-CA"/>
        </w:rPr>
        <w:t>LexisNexis</w:t>
      </w:r>
      <w:proofErr w:type="spellEnd"/>
      <w:r w:rsidRPr="002B0484">
        <w:rPr>
          <w:lang w:val="fr-CA"/>
        </w:rPr>
        <w:t>, 2008.</w:t>
      </w:r>
    </w:p>
    <w:p w:rsidR="00AD4960" w:rsidRPr="002B0484" w:rsidRDefault="00AD4960" w:rsidP="00A17E02">
      <w:pPr>
        <w:pStyle w:val="SCCNormalDoubleSpacing"/>
        <w:spacing w:after="480"/>
        <w:rPr>
          <w:lang w:val="fr-CA"/>
        </w:rPr>
      </w:pPr>
      <w:r w:rsidRPr="002B0484">
        <w:rPr>
          <w:lang w:val="fr-CA"/>
        </w:rPr>
        <w:tab/>
      </w:r>
      <w:r w:rsidR="004D7D95" w:rsidRPr="002B0484">
        <w:rPr>
          <w:lang w:val="fr-CA"/>
        </w:rPr>
        <w:t>POURVOI contre un arrêt de la Cour d’appel de l’Ontario</w:t>
      </w:r>
      <w:r w:rsidRPr="002B0484">
        <w:rPr>
          <w:lang w:val="fr-CA"/>
        </w:rPr>
        <w:t xml:space="preserve"> (les juges </w:t>
      </w:r>
      <w:proofErr w:type="spellStart"/>
      <w:r w:rsidRPr="002B0484">
        <w:rPr>
          <w:lang w:val="fr-CA"/>
        </w:rPr>
        <w:t>Cronk</w:t>
      </w:r>
      <w:proofErr w:type="spellEnd"/>
      <w:r w:rsidRPr="002B0484">
        <w:rPr>
          <w:lang w:val="fr-CA"/>
        </w:rPr>
        <w:t xml:space="preserve">, </w:t>
      </w:r>
      <w:proofErr w:type="spellStart"/>
      <w:r w:rsidRPr="002B0484">
        <w:rPr>
          <w:lang w:val="fr-CA"/>
        </w:rPr>
        <w:t>Pepall</w:t>
      </w:r>
      <w:proofErr w:type="spellEnd"/>
      <w:r w:rsidRPr="002B0484">
        <w:rPr>
          <w:lang w:val="fr-CA"/>
        </w:rPr>
        <w:t xml:space="preserve"> et </w:t>
      </w:r>
      <w:proofErr w:type="spellStart"/>
      <w:r w:rsidRPr="002B0484">
        <w:rPr>
          <w:lang w:val="fr-CA"/>
        </w:rPr>
        <w:t>Tulloch</w:t>
      </w:r>
      <w:proofErr w:type="spellEnd"/>
      <w:r w:rsidRPr="002B0484">
        <w:rPr>
          <w:lang w:val="fr-CA"/>
        </w:rPr>
        <w:t>), 2013 ONCA 147, 114 O.R. (3d) 641, 304 O.A.C. 322, 297 C.C.C. (3d) 166, 279 C.R.R. (2d) 289, 3 C.R.</w:t>
      </w:r>
      <w:r w:rsidR="00F4535F" w:rsidRPr="002B0484">
        <w:rPr>
          <w:lang w:val="fr-CA"/>
        </w:rPr>
        <w:t xml:space="preserve"> </w:t>
      </w:r>
      <w:r w:rsidRPr="002B0484">
        <w:rPr>
          <w:lang w:val="fr-CA"/>
        </w:rPr>
        <w:t xml:space="preserve">(7th) 125, [2013] O.J. </w:t>
      </w:r>
      <w:r w:rsidR="003E69A0" w:rsidRPr="002B0484">
        <w:rPr>
          <w:lang w:val="fr-CA"/>
        </w:rPr>
        <w:t>No. </w:t>
      </w:r>
      <w:r w:rsidRPr="002B0484">
        <w:rPr>
          <w:lang w:val="fr-CA"/>
        </w:rPr>
        <w:t xml:space="preserve">1068 (QL), 2013 </w:t>
      </w:r>
      <w:proofErr w:type="spellStart"/>
      <w:r w:rsidRPr="002B0484">
        <w:rPr>
          <w:lang w:val="fr-CA"/>
        </w:rPr>
        <w:t>CarswellOnt</w:t>
      </w:r>
      <w:proofErr w:type="spellEnd"/>
      <w:r w:rsidRPr="002B0484">
        <w:rPr>
          <w:lang w:val="fr-CA"/>
        </w:rPr>
        <w:t xml:space="preserve"> 2626, qui a confirmé une décision </w:t>
      </w:r>
      <w:r w:rsidR="008C0708">
        <w:rPr>
          <w:lang w:val="fr-CA"/>
        </w:rPr>
        <w:t xml:space="preserve">relative à la </w:t>
      </w:r>
      <w:r w:rsidR="003C4CC4">
        <w:rPr>
          <w:lang w:val="fr-CA"/>
        </w:rPr>
        <w:t xml:space="preserve">détermination de la </w:t>
      </w:r>
      <w:r w:rsidR="008C0708">
        <w:rPr>
          <w:lang w:val="fr-CA"/>
        </w:rPr>
        <w:t xml:space="preserve">peine </w:t>
      </w:r>
      <w:r w:rsidRPr="002B0484">
        <w:rPr>
          <w:lang w:val="fr-CA"/>
        </w:rPr>
        <w:t xml:space="preserve">du juge </w:t>
      </w:r>
      <w:proofErr w:type="spellStart"/>
      <w:r w:rsidRPr="002B0484">
        <w:rPr>
          <w:lang w:val="fr-CA"/>
        </w:rPr>
        <w:t>Glithero</w:t>
      </w:r>
      <w:proofErr w:type="spellEnd"/>
      <w:r w:rsidRPr="002B0484">
        <w:rPr>
          <w:lang w:val="fr-CA"/>
        </w:rPr>
        <w:t xml:space="preserve">, [2011] O.J. </w:t>
      </w:r>
      <w:r w:rsidR="003E69A0" w:rsidRPr="002B0484">
        <w:rPr>
          <w:lang w:val="fr-CA"/>
        </w:rPr>
        <w:t>No. </w:t>
      </w:r>
      <w:r w:rsidRPr="002B0484">
        <w:rPr>
          <w:lang w:val="fr-CA"/>
        </w:rPr>
        <w:t xml:space="preserve">6377 (QL), 2011 </w:t>
      </w:r>
      <w:proofErr w:type="spellStart"/>
      <w:r w:rsidRPr="002B0484">
        <w:rPr>
          <w:lang w:val="fr-CA"/>
        </w:rPr>
        <w:t>CarswellOnt</w:t>
      </w:r>
      <w:proofErr w:type="spellEnd"/>
      <w:r w:rsidRPr="002B0484">
        <w:rPr>
          <w:lang w:val="fr-CA"/>
        </w:rPr>
        <w:t xml:space="preserve"> 16080.  Pourvoi rejeté. </w:t>
      </w:r>
    </w:p>
    <w:p w:rsidR="00F104E7" w:rsidRPr="002B0484" w:rsidRDefault="00524F46" w:rsidP="00A17E02">
      <w:pPr>
        <w:pStyle w:val="SCCNormalDoubleSpacing"/>
        <w:spacing w:after="480"/>
        <w:rPr>
          <w:lang w:val="fr-CA"/>
        </w:rPr>
      </w:pPr>
      <w:r w:rsidRPr="002B0484">
        <w:rPr>
          <w:i/>
          <w:lang w:val="fr-CA"/>
        </w:rPr>
        <w:tab/>
        <w:t>Gregory</w:t>
      </w:r>
      <w:r w:rsidR="003E69A0" w:rsidRPr="002B0484">
        <w:rPr>
          <w:i/>
          <w:lang w:val="fr-CA"/>
        </w:rPr>
        <w:t> </w:t>
      </w:r>
      <w:r w:rsidRPr="002B0484">
        <w:rPr>
          <w:i/>
          <w:lang w:val="fr-CA"/>
        </w:rPr>
        <w:t xml:space="preserve">J. </w:t>
      </w:r>
      <w:proofErr w:type="spellStart"/>
      <w:r w:rsidRPr="002B0484">
        <w:rPr>
          <w:i/>
          <w:lang w:val="fr-CA"/>
        </w:rPr>
        <w:t>Tweney</w:t>
      </w:r>
      <w:proofErr w:type="spellEnd"/>
      <w:r w:rsidRPr="002B0484">
        <w:rPr>
          <w:lang w:val="fr-CA"/>
        </w:rPr>
        <w:t xml:space="preserve"> et </w:t>
      </w:r>
      <w:proofErr w:type="spellStart"/>
      <w:r w:rsidRPr="002B0484">
        <w:rPr>
          <w:i/>
          <w:lang w:val="fr-CA"/>
        </w:rPr>
        <w:t>Molly</w:t>
      </w:r>
      <w:proofErr w:type="spellEnd"/>
      <w:r w:rsidRPr="002B0484">
        <w:rPr>
          <w:i/>
          <w:lang w:val="fr-CA"/>
        </w:rPr>
        <w:t xml:space="preserve"> Flanagan</w:t>
      </w:r>
      <w:r w:rsidR="00A47EE8" w:rsidRPr="002B0484">
        <w:rPr>
          <w:lang w:val="fr-CA"/>
        </w:rPr>
        <w:t>, pour l’</w:t>
      </w:r>
      <w:r w:rsidRPr="002B0484">
        <w:rPr>
          <w:lang w:val="fr-CA"/>
        </w:rPr>
        <w:t>appelante.</w:t>
      </w:r>
    </w:p>
    <w:p w:rsidR="00F104E7" w:rsidRPr="002B0484" w:rsidRDefault="00524F46" w:rsidP="00A17E02">
      <w:pPr>
        <w:pStyle w:val="SCCNormalDoubleSpacing"/>
        <w:spacing w:after="480"/>
        <w:rPr>
          <w:lang w:val="fr-CA"/>
        </w:rPr>
      </w:pPr>
      <w:r w:rsidRPr="002B0484">
        <w:rPr>
          <w:i/>
          <w:lang w:val="fr-CA"/>
        </w:rPr>
        <w:tab/>
      </w:r>
      <w:r w:rsidR="00145633">
        <w:rPr>
          <w:i/>
          <w:lang w:val="fr-CA"/>
        </w:rPr>
        <w:t xml:space="preserve">J. </w:t>
      </w:r>
      <w:proofErr w:type="spellStart"/>
      <w:r w:rsidRPr="002B0484">
        <w:rPr>
          <w:i/>
          <w:lang w:val="fr-CA"/>
        </w:rPr>
        <w:t>Brennan</w:t>
      </w:r>
      <w:proofErr w:type="spellEnd"/>
      <w:r w:rsidRPr="002B0484">
        <w:rPr>
          <w:i/>
          <w:lang w:val="fr-CA"/>
        </w:rPr>
        <w:t xml:space="preserve"> Smart</w:t>
      </w:r>
      <w:r w:rsidRPr="002B0484">
        <w:rPr>
          <w:lang w:val="fr-CA"/>
        </w:rPr>
        <w:t xml:space="preserve"> et </w:t>
      </w:r>
      <w:r w:rsidRPr="002B0484">
        <w:rPr>
          <w:i/>
          <w:lang w:val="fr-CA"/>
        </w:rPr>
        <w:t xml:space="preserve">Russell </w:t>
      </w:r>
      <w:proofErr w:type="spellStart"/>
      <w:r w:rsidRPr="002B0484">
        <w:rPr>
          <w:i/>
          <w:lang w:val="fr-CA"/>
        </w:rPr>
        <w:t>Silverstein</w:t>
      </w:r>
      <w:proofErr w:type="spellEnd"/>
      <w:r w:rsidRPr="002B0484">
        <w:rPr>
          <w:lang w:val="fr-CA"/>
        </w:rPr>
        <w:t>, pour l</w:t>
      </w:r>
      <w:r w:rsidR="00A47EE8" w:rsidRPr="002B0484">
        <w:rPr>
          <w:lang w:val="fr-CA"/>
        </w:rPr>
        <w:t>’</w:t>
      </w:r>
      <w:r w:rsidRPr="002B0484">
        <w:rPr>
          <w:lang w:val="fr-CA"/>
        </w:rPr>
        <w:t>intimé.</w:t>
      </w:r>
    </w:p>
    <w:p w:rsidR="00A47EE8" w:rsidRPr="002B0484" w:rsidRDefault="00A47EE8" w:rsidP="00A17E02">
      <w:pPr>
        <w:pStyle w:val="SCCNormalDoubleSpacing"/>
        <w:spacing w:after="480"/>
        <w:rPr>
          <w:lang w:val="fr-CA"/>
        </w:rPr>
      </w:pPr>
      <w:r w:rsidRPr="002B0484">
        <w:rPr>
          <w:i/>
          <w:lang w:val="fr-CA"/>
        </w:rPr>
        <w:lastRenderedPageBreak/>
        <w:tab/>
        <w:t xml:space="preserve">Dennis </w:t>
      </w:r>
      <w:proofErr w:type="spellStart"/>
      <w:r w:rsidRPr="002B0484">
        <w:rPr>
          <w:i/>
          <w:lang w:val="fr-CA"/>
        </w:rPr>
        <w:t>Galiatsatos</w:t>
      </w:r>
      <w:proofErr w:type="spellEnd"/>
      <w:r w:rsidRPr="002B0484">
        <w:rPr>
          <w:lang w:val="fr-CA"/>
        </w:rPr>
        <w:t>, pour l’intervenant le directeur des poursuites criminelles et pénales du Québec.</w:t>
      </w:r>
    </w:p>
    <w:p w:rsidR="00A47EE8" w:rsidRPr="002B0484" w:rsidRDefault="003E69A0" w:rsidP="00A17E02">
      <w:pPr>
        <w:pStyle w:val="SCCNormalDoubleSpacing"/>
        <w:spacing w:after="480"/>
        <w:rPr>
          <w:lang w:val="fr-CA"/>
        </w:rPr>
      </w:pPr>
      <w:r w:rsidRPr="002B0484">
        <w:rPr>
          <w:i/>
          <w:lang w:val="fr-CA"/>
        </w:rPr>
        <w:tab/>
        <w:t>Ryan </w:t>
      </w:r>
      <w:r w:rsidR="00A47EE8" w:rsidRPr="002B0484">
        <w:rPr>
          <w:i/>
          <w:lang w:val="fr-CA"/>
        </w:rPr>
        <w:t>D.</w:t>
      </w:r>
      <w:r w:rsidRPr="002B0484">
        <w:rPr>
          <w:i/>
          <w:lang w:val="fr-CA"/>
        </w:rPr>
        <w:t> </w:t>
      </w:r>
      <w:r w:rsidR="00A47EE8" w:rsidRPr="002B0484">
        <w:rPr>
          <w:i/>
          <w:lang w:val="fr-CA"/>
        </w:rPr>
        <w:t>W. Dalziel</w:t>
      </w:r>
      <w:r w:rsidR="00A47EE8" w:rsidRPr="002B0484">
        <w:rPr>
          <w:lang w:val="fr-CA"/>
        </w:rPr>
        <w:t xml:space="preserve"> et </w:t>
      </w:r>
      <w:r w:rsidR="00A47EE8" w:rsidRPr="002B0484">
        <w:rPr>
          <w:i/>
          <w:lang w:val="fr-CA"/>
        </w:rPr>
        <w:t>Anne Amos</w:t>
      </w:r>
      <w:r w:rsidR="008E77B2">
        <w:rPr>
          <w:i/>
          <w:lang w:val="fr-CA"/>
        </w:rPr>
        <w:t>-</w:t>
      </w:r>
      <w:r w:rsidR="00A47EE8" w:rsidRPr="002B0484">
        <w:rPr>
          <w:i/>
          <w:lang w:val="fr-CA"/>
        </w:rPr>
        <w:t>Stewart</w:t>
      </w:r>
      <w:r w:rsidR="00A47EE8" w:rsidRPr="002B0484">
        <w:rPr>
          <w:lang w:val="fr-CA"/>
        </w:rPr>
        <w:t>, pour l’intervenante l’Association des libertés civiles de la Colombie</w:t>
      </w:r>
      <w:r w:rsidR="008E77B2">
        <w:rPr>
          <w:lang w:val="fr-CA"/>
        </w:rPr>
        <w:t>-</w:t>
      </w:r>
      <w:r w:rsidR="00A47EE8" w:rsidRPr="002B0484">
        <w:rPr>
          <w:lang w:val="fr-CA"/>
        </w:rPr>
        <w:t>Britannique.</w:t>
      </w:r>
    </w:p>
    <w:p w:rsidR="00F104E7" w:rsidRPr="002B0484" w:rsidRDefault="00524F46" w:rsidP="00A17E02">
      <w:pPr>
        <w:pStyle w:val="SCCNormalDoubleSpacing"/>
        <w:spacing w:after="480"/>
        <w:rPr>
          <w:lang w:val="fr-CA"/>
        </w:rPr>
      </w:pPr>
      <w:r w:rsidRPr="002B0484">
        <w:rPr>
          <w:i/>
          <w:lang w:val="fr-CA"/>
        </w:rPr>
        <w:tab/>
        <w:t>Ingrid Grant</w:t>
      </w:r>
      <w:r w:rsidRPr="002B0484">
        <w:rPr>
          <w:lang w:val="fr-CA"/>
        </w:rPr>
        <w:t>, pour l</w:t>
      </w:r>
      <w:r w:rsidR="00703F0C" w:rsidRPr="002B0484">
        <w:rPr>
          <w:lang w:val="fr-CA"/>
        </w:rPr>
        <w:t>’</w:t>
      </w:r>
      <w:r w:rsidRPr="002B0484">
        <w:rPr>
          <w:lang w:val="fr-CA"/>
        </w:rPr>
        <w:t>intervenant</w:t>
      </w:r>
      <w:r w:rsidR="00703F0C" w:rsidRPr="002B0484">
        <w:rPr>
          <w:lang w:val="fr-CA"/>
        </w:rPr>
        <w:t>e</w:t>
      </w:r>
      <w:r w:rsidRPr="002B0484">
        <w:rPr>
          <w:lang w:val="fr-CA"/>
        </w:rPr>
        <w:t xml:space="preserve"> </w:t>
      </w:r>
      <w:proofErr w:type="spellStart"/>
      <w:r w:rsidRPr="002B0484">
        <w:rPr>
          <w:lang w:val="fr-CA"/>
        </w:rPr>
        <w:t>Criminal</w:t>
      </w:r>
      <w:proofErr w:type="spellEnd"/>
      <w:r w:rsidRPr="002B0484">
        <w:rPr>
          <w:lang w:val="fr-CA"/>
        </w:rPr>
        <w:t xml:space="preserve"> </w:t>
      </w:r>
      <w:proofErr w:type="spellStart"/>
      <w:r w:rsidRPr="002B0484">
        <w:rPr>
          <w:lang w:val="fr-CA"/>
        </w:rPr>
        <w:t>Lawyers</w:t>
      </w:r>
      <w:proofErr w:type="spellEnd"/>
      <w:r w:rsidR="00703F0C" w:rsidRPr="002B0484">
        <w:rPr>
          <w:lang w:val="fr-CA"/>
        </w:rPr>
        <w:t>’</w:t>
      </w:r>
      <w:r w:rsidRPr="002B0484">
        <w:rPr>
          <w:lang w:val="fr-CA"/>
        </w:rPr>
        <w:t xml:space="preserve"> Association of Ontario.</w:t>
      </w:r>
    </w:p>
    <w:p w:rsidR="00F104E7" w:rsidRPr="002B0484" w:rsidRDefault="00524F46" w:rsidP="00A17E02">
      <w:pPr>
        <w:pStyle w:val="SCCNormalDoubleSpacing"/>
        <w:spacing w:after="480"/>
        <w:rPr>
          <w:lang w:val="fr-CA"/>
        </w:rPr>
      </w:pPr>
      <w:r w:rsidRPr="002B0484">
        <w:rPr>
          <w:i/>
          <w:lang w:val="fr-CA"/>
        </w:rPr>
        <w:tab/>
      </w:r>
      <w:r w:rsidR="003E69A0" w:rsidRPr="002B0484">
        <w:rPr>
          <w:i/>
          <w:lang w:val="fr-CA"/>
        </w:rPr>
        <w:t>Andrew </w:t>
      </w:r>
      <w:r w:rsidRPr="002B0484">
        <w:rPr>
          <w:i/>
          <w:lang w:val="fr-CA"/>
        </w:rPr>
        <w:t xml:space="preserve">S. </w:t>
      </w:r>
      <w:proofErr w:type="spellStart"/>
      <w:r w:rsidRPr="002B0484">
        <w:rPr>
          <w:i/>
          <w:lang w:val="fr-CA"/>
        </w:rPr>
        <w:t>Faith</w:t>
      </w:r>
      <w:proofErr w:type="spellEnd"/>
      <w:r w:rsidRPr="002B0484">
        <w:rPr>
          <w:lang w:val="fr-CA"/>
        </w:rPr>
        <w:t xml:space="preserve"> et </w:t>
      </w:r>
      <w:r w:rsidRPr="002B0484">
        <w:rPr>
          <w:i/>
          <w:lang w:val="fr-CA"/>
        </w:rPr>
        <w:t xml:space="preserve">Jeffrey </w:t>
      </w:r>
      <w:proofErr w:type="spellStart"/>
      <w:r w:rsidRPr="002B0484">
        <w:rPr>
          <w:i/>
          <w:lang w:val="fr-CA"/>
        </w:rPr>
        <w:t>Haylock</w:t>
      </w:r>
      <w:proofErr w:type="spellEnd"/>
      <w:r w:rsidRPr="002B0484">
        <w:rPr>
          <w:lang w:val="fr-CA"/>
        </w:rPr>
        <w:t>, pour l</w:t>
      </w:r>
      <w:r w:rsidR="00FB59B3" w:rsidRPr="002B0484">
        <w:rPr>
          <w:lang w:val="fr-CA"/>
        </w:rPr>
        <w:t>’</w:t>
      </w:r>
      <w:r w:rsidRPr="002B0484">
        <w:rPr>
          <w:lang w:val="fr-CA"/>
        </w:rPr>
        <w:t>intervenant</w:t>
      </w:r>
      <w:r w:rsidR="00FB59B3" w:rsidRPr="002B0484">
        <w:rPr>
          <w:lang w:val="fr-CA"/>
        </w:rPr>
        <w:t xml:space="preserve">e la Société </w:t>
      </w:r>
      <w:r w:rsidRPr="002B0484">
        <w:rPr>
          <w:lang w:val="fr-CA"/>
        </w:rPr>
        <w:t xml:space="preserve">John Howard </w:t>
      </w:r>
      <w:r w:rsidR="00FB59B3" w:rsidRPr="002B0484">
        <w:rPr>
          <w:lang w:val="fr-CA"/>
        </w:rPr>
        <w:t>du</w:t>
      </w:r>
      <w:r w:rsidRPr="002B0484">
        <w:rPr>
          <w:lang w:val="fr-CA"/>
        </w:rPr>
        <w:t xml:space="preserve"> Canada.</w:t>
      </w:r>
    </w:p>
    <w:p w:rsidR="00F104E7" w:rsidRPr="002B0484" w:rsidRDefault="00524F46" w:rsidP="00A17E02">
      <w:pPr>
        <w:pStyle w:val="SCCNormalDoubleSpacing"/>
        <w:spacing w:after="480"/>
        <w:rPr>
          <w:lang w:val="fr-CA"/>
        </w:rPr>
      </w:pPr>
      <w:r w:rsidRPr="002B0484">
        <w:rPr>
          <w:i/>
          <w:lang w:val="fr-CA"/>
        </w:rPr>
        <w:tab/>
      </w:r>
      <w:r w:rsidR="003E69A0" w:rsidRPr="002B0484">
        <w:rPr>
          <w:i/>
          <w:lang w:val="fr-CA"/>
        </w:rPr>
        <w:t>Jasmine </w:t>
      </w:r>
      <w:r w:rsidRPr="002B0484">
        <w:rPr>
          <w:i/>
          <w:lang w:val="fr-CA"/>
        </w:rPr>
        <w:t xml:space="preserve">T. </w:t>
      </w:r>
      <w:proofErr w:type="spellStart"/>
      <w:r w:rsidRPr="002B0484">
        <w:rPr>
          <w:i/>
          <w:lang w:val="fr-CA"/>
        </w:rPr>
        <w:t>Akbarali</w:t>
      </w:r>
      <w:proofErr w:type="spellEnd"/>
      <w:r w:rsidRPr="002B0484">
        <w:rPr>
          <w:lang w:val="fr-CA"/>
        </w:rPr>
        <w:t xml:space="preserve"> et </w:t>
      </w:r>
      <w:r w:rsidRPr="002B0484">
        <w:rPr>
          <w:i/>
          <w:lang w:val="fr-CA"/>
        </w:rPr>
        <w:t xml:space="preserve">Josh </w:t>
      </w:r>
      <w:proofErr w:type="spellStart"/>
      <w:r w:rsidRPr="002B0484">
        <w:rPr>
          <w:i/>
          <w:lang w:val="fr-CA"/>
        </w:rPr>
        <w:t>Koziebrocki</w:t>
      </w:r>
      <w:proofErr w:type="spellEnd"/>
      <w:r w:rsidRPr="002B0484">
        <w:rPr>
          <w:lang w:val="fr-CA"/>
        </w:rPr>
        <w:t>, pour l</w:t>
      </w:r>
      <w:r w:rsidR="00FB59B3" w:rsidRPr="002B0484">
        <w:rPr>
          <w:lang w:val="fr-CA"/>
        </w:rPr>
        <w:t>’</w:t>
      </w:r>
      <w:r w:rsidRPr="002B0484">
        <w:rPr>
          <w:lang w:val="fr-CA"/>
        </w:rPr>
        <w:t>intervenant</w:t>
      </w:r>
      <w:r w:rsidR="00FB59B3" w:rsidRPr="002B0484">
        <w:rPr>
          <w:lang w:val="fr-CA"/>
        </w:rPr>
        <w:t>e l’</w:t>
      </w:r>
      <w:r w:rsidRPr="002B0484">
        <w:rPr>
          <w:lang w:val="fr-CA"/>
        </w:rPr>
        <w:t>Association canadienne des libertés civiles.</w:t>
      </w:r>
    </w:p>
    <w:p w:rsidR="003966E1" w:rsidRPr="0013024D" w:rsidRDefault="008B182B" w:rsidP="008B182B">
      <w:pPr>
        <w:pStyle w:val="SCCNormalDoubleSpacing"/>
        <w:spacing w:after="480"/>
        <w:rPr>
          <w:i/>
          <w:szCs w:val="24"/>
          <w:lang w:val="fr-CA"/>
        </w:rPr>
      </w:pPr>
      <w:r>
        <w:rPr>
          <w:szCs w:val="24"/>
          <w:lang w:val="fr-CA"/>
        </w:rPr>
        <w:tab/>
      </w:r>
      <w:r w:rsidR="003966E1" w:rsidRPr="0013024D">
        <w:rPr>
          <w:szCs w:val="24"/>
          <w:lang w:val="fr-CA"/>
        </w:rPr>
        <w:t>Version française du jugement de la Cour rendu par</w:t>
      </w:r>
    </w:p>
    <w:p w:rsidR="003966E1" w:rsidRPr="00AC3DC3" w:rsidRDefault="003966E1" w:rsidP="00A17E02">
      <w:pPr>
        <w:pStyle w:val="JudgeJuge"/>
        <w:rPr>
          <w:lang w:val="fr-CA"/>
        </w:rPr>
      </w:pPr>
      <w:r>
        <w:rPr>
          <w:lang w:val="fr-CA"/>
        </w:rPr>
        <w:tab/>
      </w:r>
      <w:r w:rsidRPr="00AC3DC3">
        <w:rPr>
          <w:lang w:val="fr-CA"/>
        </w:rPr>
        <w:t xml:space="preserve">La juge </w:t>
      </w:r>
      <w:proofErr w:type="spellStart"/>
      <w:r w:rsidRPr="00AC3DC3">
        <w:rPr>
          <w:lang w:val="fr-CA"/>
        </w:rPr>
        <w:t>Karakatsanis</w:t>
      </w:r>
      <w:proofErr w:type="spellEnd"/>
      <w:r w:rsidRPr="00AC3DC3">
        <w:rPr>
          <w:lang w:val="fr-CA"/>
        </w:rPr>
        <w:t xml:space="preserve"> — </w:t>
      </w:r>
    </w:p>
    <w:p w:rsidR="003966E1" w:rsidRPr="00AC3DC3" w:rsidRDefault="003966E1" w:rsidP="00A17E02">
      <w:pPr>
        <w:pStyle w:val="Title1LevelTitre1Niveau-AltL"/>
        <w:keepNext w:val="0"/>
        <w:rPr>
          <w:rFonts w:cs="Times New Roman"/>
          <w:lang w:val="fr-CA"/>
        </w:rPr>
      </w:pPr>
      <w:r w:rsidRPr="00AC3DC3">
        <w:rPr>
          <w:rFonts w:cs="Times New Roman"/>
          <w:lang w:val="fr-CA"/>
        </w:rPr>
        <w:t>Introduction</w:t>
      </w:r>
    </w:p>
    <w:p w:rsidR="003966E1" w:rsidRPr="00AC3DC3" w:rsidRDefault="003966E1" w:rsidP="00A17E02">
      <w:pPr>
        <w:pStyle w:val="ParaNoNdepar-AltN"/>
        <w:rPr>
          <w:rFonts w:cs="Times New Roman"/>
          <w:lang w:val="fr-CA"/>
        </w:rPr>
      </w:pPr>
      <w:r w:rsidRPr="00AC3DC3">
        <w:rPr>
          <w:rFonts w:cs="Times New Roman"/>
          <w:lang w:val="fr-CA"/>
        </w:rPr>
        <w:t xml:space="preserve">Lorsqu’un accusé n’est pas libéré sous caution et qu’il doit rester en prison jusqu’au procès, le </w:t>
      </w:r>
      <w:r w:rsidRPr="00AC3DC3">
        <w:rPr>
          <w:rFonts w:cs="Times New Roman"/>
          <w:i/>
          <w:lang w:val="fr-CA"/>
        </w:rPr>
        <w:t>Code criminel</w:t>
      </w:r>
      <w:r w:rsidRPr="00AC3DC3">
        <w:rPr>
          <w:rFonts w:cs="Times New Roman"/>
          <w:lang w:val="fr-CA"/>
        </w:rPr>
        <w:t>, L.R.C. 1985, ch. C</w:t>
      </w:r>
      <w:r w:rsidR="008E77B2">
        <w:rPr>
          <w:rFonts w:cs="Times New Roman"/>
          <w:lang w:val="fr-CA"/>
        </w:rPr>
        <w:t>-</w:t>
      </w:r>
      <w:r w:rsidRPr="00AC3DC3">
        <w:rPr>
          <w:rFonts w:cs="Times New Roman"/>
          <w:lang w:val="fr-CA"/>
        </w:rPr>
        <w:t xml:space="preserve">46, prévoit que la période passée sous garde est prise en compte dans la détermination de la peine </w:t>
      </w:r>
      <w:r w:rsidRPr="00AC3DC3">
        <w:rPr>
          <w:rFonts w:cs="Times New Roman"/>
          <w:lang w:val="fr-CA"/>
        </w:rPr>
        <w:lastRenderedPageBreak/>
        <w:t xml:space="preserve">d’emprisonnement.  Un jour passé en prison devrait compter pour un jour d’emprisonnement. </w:t>
      </w:r>
    </w:p>
    <w:p w:rsidR="003966E1" w:rsidRPr="00AC3DC3" w:rsidRDefault="003966E1" w:rsidP="00A17E02">
      <w:pPr>
        <w:pStyle w:val="ParaNoNdepar-AltN"/>
        <w:rPr>
          <w:rFonts w:cs="Times New Roman"/>
          <w:lang w:val="fr-CA"/>
        </w:rPr>
      </w:pPr>
      <w:r w:rsidRPr="00AC3DC3">
        <w:rPr>
          <w:rFonts w:cs="Times New Roman"/>
          <w:lang w:val="fr-CA"/>
        </w:rPr>
        <w:t xml:space="preserve">Cependant, accorder un crédit d’une seule journée pour chaque jour passé dans un centre de détention préventive suffit rarement à compenser toutes les répercussions de cette détention, sur les plans quantitatif et qualitatif.  On ne tient pas compte du temps passé dans un centre de détention préventive pour déterminer l’admissibilité à la libération conditionnelle, à la réduction méritée de peine ou à la libération d’office, de sorte que le délinquant qui n’est pas libéré sous caution peut finalement passer plus de temps en prison que celui qui l’est.  De plus, les conditions sont particulièrement dures dans les centres de détention préventive, lesquels sont souvent surpeuplés, dangereux et dépourvus de programmes de réinsertion sociale. </w:t>
      </w:r>
    </w:p>
    <w:p w:rsidR="003966E1" w:rsidRPr="00AC3DC3" w:rsidRDefault="003966E1" w:rsidP="00A17E02">
      <w:pPr>
        <w:pStyle w:val="ParaNoNdepar-AltN"/>
        <w:rPr>
          <w:rFonts w:cs="Times New Roman"/>
          <w:lang w:val="fr-CA"/>
        </w:rPr>
      </w:pPr>
      <w:r w:rsidRPr="00AC3DC3">
        <w:rPr>
          <w:rFonts w:cs="Times New Roman"/>
          <w:lang w:val="fr-CA"/>
        </w:rPr>
        <w:t xml:space="preserve">C’est pourquoi, pendant de nombreuses années, les tribunaux ont souvent accordé un crédit « majoré » de deux jours par jour de détention </w:t>
      </w:r>
      <w:proofErr w:type="spellStart"/>
      <w:r w:rsidRPr="00AC3DC3">
        <w:rPr>
          <w:rFonts w:cs="Times New Roman"/>
          <w:lang w:val="fr-CA"/>
        </w:rPr>
        <w:t>présentencielle</w:t>
      </w:r>
      <w:proofErr w:type="spellEnd"/>
      <w:r w:rsidRPr="00AC3DC3">
        <w:rPr>
          <w:rFonts w:cs="Times New Roman"/>
          <w:lang w:val="fr-CA"/>
        </w:rPr>
        <w:t xml:space="preserve">, une mesure approuvée par la Cour dans l’arrêt </w:t>
      </w:r>
      <w:r w:rsidRPr="00AC3DC3">
        <w:rPr>
          <w:rFonts w:cs="Times New Roman"/>
          <w:i/>
          <w:lang w:val="fr-CA"/>
        </w:rPr>
        <w:t xml:space="preserve">R. c. </w:t>
      </w:r>
      <w:proofErr w:type="spellStart"/>
      <w:r w:rsidRPr="00AC3DC3">
        <w:rPr>
          <w:rFonts w:cs="Times New Roman"/>
          <w:i/>
          <w:lang w:val="fr-CA"/>
        </w:rPr>
        <w:t>Wust</w:t>
      </w:r>
      <w:proofErr w:type="spellEnd"/>
      <w:r w:rsidRPr="00AC3DC3">
        <w:rPr>
          <w:rFonts w:cs="Times New Roman"/>
          <w:lang w:val="fr-CA"/>
        </w:rPr>
        <w:t>, 2000 CSC 18, [200</w:t>
      </w:r>
      <w:r w:rsidR="008B182B">
        <w:rPr>
          <w:rFonts w:cs="Times New Roman"/>
          <w:lang w:val="fr-CA"/>
        </w:rPr>
        <w:t>0</w:t>
      </w:r>
      <w:r w:rsidRPr="00AC3DC3">
        <w:rPr>
          <w:rFonts w:cs="Times New Roman"/>
          <w:lang w:val="fr-CA"/>
        </w:rPr>
        <w:t xml:space="preserve">] 1 R.C.S. 455.  Lorsque les conditions étaient exceptionnellement difficiles, les tribunaux accordaient </w:t>
      </w:r>
      <w:r w:rsidR="008B182B">
        <w:rPr>
          <w:rFonts w:cs="Times New Roman"/>
          <w:lang w:val="fr-CA"/>
        </w:rPr>
        <w:t>trois</w:t>
      </w:r>
      <w:r w:rsidR="0082297D">
        <w:rPr>
          <w:rFonts w:cs="Times New Roman"/>
          <w:lang w:val="fr-CA"/>
        </w:rPr>
        <w:t xml:space="preserve"> </w:t>
      </w:r>
      <w:r w:rsidRPr="00AC3DC3">
        <w:rPr>
          <w:rFonts w:cs="Times New Roman"/>
          <w:lang w:val="fr-CA"/>
        </w:rPr>
        <w:t xml:space="preserve">jours de crédit ou plus pour chaque jour de détention </w:t>
      </w:r>
      <w:proofErr w:type="spellStart"/>
      <w:r w:rsidRPr="00AC3DC3">
        <w:rPr>
          <w:rFonts w:cs="Times New Roman"/>
          <w:lang w:val="fr-CA"/>
        </w:rPr>
        <w:t>présentencielle</w:t>
      </w:r>
      <w:proofErr w:type="spellEnd"/>
      <w:r w:rsidRPr="00AC3DC3">
        <w:rPr>
          <w:rFonts w:cs="Times New Roman"/>
          <w:lang w:val="fr-CA"/>
        </w:rPr>
        <w:t xml:space="preserve">. </w:t>
      </w:r>
    </w:p>
    <w:p w:rsidR="003966E1" w:rsidRPr="00AC3DC3" w:rsidRDefault="003966E1" w:rsidP="00A17E02">
      <w:pPr>
        <w:pStyle w:val="ParaNoNdepar-AltN"/>
        <w:rPr>
          <w:rFonts w:cs="Times New Roman"/>
          <w:lang w:val="fr-CA"/>
        </w:rPr>
      </w:pPr>
      <w:r w:rsidRPr="00AC3DC3">
        <w:rPr>
          <w:rFonts w:cs="Times New Roman"/>
          <w:lang w:val="fr-CA"/>
        </w:rPr>
        <w:t xml:space="preserve">En 2009, la </w:t>
      </w:r>
      <w:r w:rsidRPr="00AC3DC3">
        <w:rPr>
          <w:rFonts w:cs="Times New Roman"/>
          <w:i/>
          <w:lang w:val="fr-CA"/>
        </w:rPr>
        <w:t>Loi sur l’adéquation de la peine et du crime</w:t>
      </w:r>
      <w:r w:rsidRPr="00AC3DC3">
        <w:rPr>
          <w:rFonts w:cs="Times New Roman"/>
          <w:lang w:val="fr-CA"/>
        </w:rPr>
        <w:t>, L.C. 2009, ch. 29 (</w:t>
      </w:r>
      <w:r w:rsidRPr="00AC3DC3">
        <w:rPr>
          <w:rFonts w:cs="Times New Roman"/>
          <w:i/>
          <w:lang w:val="fr-CA"/>
        </w:rPr>
        <w:t>LAPC</w:t>
      </w:r>
      <w:r w:rsidRPr="00AC3DC3">
        <w:rPr>
          <w:rFonts w:cs="Times New Roman"/>
          <w:lang w:val="fr-CA"/>
        </w:rPr>
        <w:t>)</w:t>
      </w:r>
      <w:r w:rsidR="0082297D">
        <w:rPr>
          <w:rFonts w:cs="Times New Roman"/>
          <w:lang w:val="fr-CA"/>
        </w:rPr>
        <w:t>,</w:t>
      </w:r>
      <w:r w:rsidRPr="00AC3DC3">
        <w:rPr>
          <w:rFonts w:cs="Times New Roman"/>
          <w:lang w:val="fr-CA"/>
        </w:rPr>
        <w:t xml:space="preserve"> a modifié le </w:t>
      </w:r>
      <w:r w:rsidRPr="00AC3DC3">
        <w:rPr>
          <w:rFonts w:cs="Times New Roman"/>
          <w:i/>
          <w:lang w:val="fr-CA"/>
        </w:rPr>
        <w:t xml:space="preserve">Code criminel </w:t>
      </w:r>
      <w:r w:rsidRPr="00AC3DC3">
        <w:rPr>
          <w:rFonts w:cs="Times New Roman"/>
          <w:lang w:val="fr-CA"/>
        </w:rPr>
        <w:t>de manière à limiter le crédit accordé à un jour et demi par jour passé sous garde avant la sentence.  L’objectif était de dissuader l’accusé de prolonger la détention préventive, ainsi que d’assurer la transparence vis</w:t>
      </w:r>
      <w:r w:rsidR="008E77B2">
        <w:rPr>
          <w:rFonts w:cs="Times New Roman"/>
          <w:lang w:val="fr-CA"/>
        </w:rPr>
        <w:t>-</w:t>
      </w:r>
      <w:r w:rsidRPr="00AC3DC3">
        <w:rPr>
          <w:rFonts w:cs="Times New Roman"/>
          <w:lang w:val="fr-CA"/>
        </w:rPr>
        <w:t>à</w:t>
      </w:r>
      <w:r w:rsidR="008E77B2">
        <w:rPr>
          <w:rFonts w:cs="Times New Roman"/>
          <w:lang w:val="fr-CA"/>
        </w:rPr>
        <w:t>-</w:t>
      </w:r>
      <w:r w:rsidRPr="00AC3DC3">
        <w:rPr>
          <w:rFonts w:cs="Times New Roman"/>
          <w:lang w:val="fr-CA"/>
        </w:rPr>
        <w:t>vis du public quant à la juste sanction, au crédit accordé et aux motifs sous</w:t>
      </w:r>
      <w:r w:rsidR="008E77B2">
        <w:rPr>
          <w:rFonts w:cs="Times New Roman"/>
          <w:lang w:val="fr-CA"/>
        </w:rPr>
        <w:t>-</w:t>
      </w:r>
      <w:r w:rsidRPr="00AC3DC3">
        <w:rPr>
          <w:rFonts w:cs="Times New Roman"/>
          <w:lang w:val="fr-CA"/>
        </w:rPr>
        <w:t>jacents.</w:t>
      </w:r>
    </w:p>
    <w:p w:rsidR="003966E1" w:rsidRPr="00AC3DC3" w:rsidRDefault="003966E1" w:rsidP="00A17E02">
      <w:pPr>
        <w:pStyle w:val="ParaNoNdepar-AltN"/>
        <w:rPr>
          <w:rFonts w:cs="Times New Roman"/>
          <w:lang w:val="fr-CA"/>
        </w:rPr>
      </w:pPr>
      <w:r w:rsidRPr="00AC3DC3">
        <w:rPr>
          <w:rFonts w:cs="Times New Roman"/>
          <w:lang w:val="fr-CA"/>
        </w:rPr>
        <w:lastRenderedPageBreak/>
        <w:t xml:space="preserve">Dans le présent pourvoi, la Cour doit interpréter cette modification.  Nul ne conteste que le législateur </w:t>
      </w:r>
      <w:proofErr w:type="gramStart"/>
      <w:r w:rsidRPr="00AC3DC3">
        <w:rPr>
          <w:rFonts w:cs="Times New Roman"/>
          <w:lang w:val="fr-CA"/>
        </w:rPr>
        <w:t>a</w:t>
      </w:r>
      <w:proofErr w:type="gramEnd"/>
      <w:r w:rsidRPr="00AC3DC3">
        <w:rPr>
          <w:rFonts w:cs="Times New Roman"/>
          <w:lang w:val="fr-CA"/>
        </w:rPr>
        <w:t xml:space="preserve"> ramené le crédit majoré à un jour et demi pour chaque jour passé sous garde.  Or, des tribunaux inférieurs ont rendu des décisions contradictoires sur les conditions auxquelles il peut y avoir crédit « majoré ». </w:t>
      </w:r>
    </w:p>
    <w:p w:rsidR="003966E1" w:rsidRPr="00AC3DC3" w:rsidRDefault="003966E1" w:rsidP="00A17E02">
      <w:pPr>
        <w:pStyle w:val="ParaNoNdepar-AltN"/>
        <w:rPr>
          <w:rFonts w:cs="Times New Roman"/>
          <w:lang w:val="fr-CA"/>
        </w:rPr>
      </w:pPr>
      <w:r w:rsidRPr="00AC3DC3">
        <w:rPr>
          <w:rFonts w:cs="Times New Roman"/>
          <w:lang w:val="fr-CA"/>
        </w:rPr>
        <w:t>La loi ne tranche pas vraiment la question, car elle prévoit seulement qu’il est possible d’accorder un crédit majoré lorsque « les circonst</w:t>
      </w:r>
      <w:r w:rsidR="0082297D">
        <w:rPr>
          <w:rFonts w:cs="Times New Roman"/>
          <w:lang w:val="fr-CA"/>
        </w:rPr>
        <w:t>ances le justifient » (par. 719</w:t>
      </w:r>
      <w:r w:rsidRPr="00AC3DC3">
        <w:rPr>
          <w:rFonts w:cs="Times New Roman"/>
          <w:lang w:val="fr-CA"/>
        </w:rPr>
        <w:t xml:space="preserve">(3.1)).  L’historique législatif est contradictoire et non concluant.  Nous devons interpréter les dispositions afin de déterminer les « circonstances » qui justifient l’octroi d’un crédit à raison d’au plus un jour et demi pour chaque jour passé sous garde.  L’appelant, le procureur général de l’Ontario, prétend que la perte subie aux fins de l’admissibilité à la libération conditionnelle et à la libération d’office ne peut constituer l’une des « circonstances » qui justifient l’octroi d’un crédit majoré en application du nouveau par. 719(3.1) du </w:t>
      </w:r>
      <w:r w:rsidRPr="00AC3DC3">
        <w:rPr>
          <w:rFonts w:cs="Times New Roman"/>
          <w:i/>
          <w:lang w:val="fr-CA"/>
        </w:rPr>
        <w:t>Code criminel</w:t>
      </w:r>
      <w:r w:rsidRPr="0082297D">
        <w:rPr>
          <w:rStyle w:val="Hyperlink"/>
          <w:u w:val="none"/>
          <w:vertAlign w:val="superscript"/>
        </w:rPr>
        <w:footnoteReference w:id="1"/>
      </w:r>
      <w:r w:rsidRPr="00AC3DC3">
        <w:rPr>
          <w:rFonts w:cs="Times New Roman"/>
          <w:lang w:val="fr-CA"/>
        </w:rPr>
        <w:t>.  La Cour d’appel de l’Ontario, dans la présente affaire, et la Cour d’appel de la Nouvelle</w:t>
      </w:r>
      <w:r w:rsidR="008E77B2">
        <w:rPr>
          <w:rFonts w:cs="Times New Roman"/>
          <w:lang w:val="fr-CA"/>
        </w:rPr>
        <w:t>-</w:t>
      </w:r>
      <w:r w:rsidRPr="00AC3DC3">
        <w:rPr>
          <w:rFonts w:cs="Times New Roman"/>
          <w:lang w:val="fr-CA"/>
        </w:rPr>
        <w:t xml:space="preserve">Écosse, dans le dossier connexe </w:t>
      </w:r>
      <w:r w:rsidRPr="00AC3DC3">
        <w:rPr>
          <w:rFonts w:cs="Times New Roman"/>
          <w:i/>
          <w:lang w:val="fr-CA"/>
        </w:rPr>
        <w:t xml:space="preserve">R. c. </w:t>
      </w:r>
      <w:proofErr w:type="spellStart"/>
      <w:r w:rsidRPr="00AC3DC3">
        <w:rPr>
          <w:rFonts w:cs="Times New Roman"/>
          <w:i/>
          <w:lang w:val="fr-CA"/>
        </w:rPr>
        <w:t>Carvery</w:t>
      </w:r>
      <w:proofErr w:type="spellEnd"/>
      <w:r w:rsidRPr="00AC3DC3">
        <w:rPr>
          <w:rFonts w:cs="Times New Roman"/>
          <w:lang w:val="fr-CA"/>
        </w:rPr>
        <w:t>, 2012 NSCA 107, 321 N.S.R. (2d) 321, concluent le contraire</w:t>
      </w:r>
      <w:r w:rsidRPr="00EB36E1">
        <w:rPr>
          <w:rStyle w:val="Hyperlink"/>
          <w:u w:val="none"/>
          <w:vertAlign w:val="superscript"/>
        </w:rPr>
        <w:footnoteReference w:id="2"/>
      </w:r>
      <w:r w:rsidRPr="00AC3DC3">
        <w:rPr>
          <w:rFonts w:cs="Times New Roman"/>
          <w:lang w:val="fr-CA"/>
        </w:rPr>
        <w:t>, à savoir que la perte subie aux fins de l’admissibilité à la libération conditionnelle et à la libération d’office constitue l’une des « circonstances » pouvant justifier un crédit majoré.</w:t>
      </w:r>
    </w:p>
    <w:p w:rsidR="003966E1" w:rsidRPr="00AC3DC3" w:rsidRDefault="003966E1" w:rsidP="00A17E02">
      <w:pPr>
        <w:pStyle w:val="ParaNoNdepar-AltN"/>
        <w:rPr>
          <w:rFonts w:cs="Times New Roman"/>
          <w:lang w:val="fr-CA"/>
        </w:rPr>
      </w:pPr>
      <w:r w:rsidRPr="00AC3DC3">
        <w:rPr>
          <w:rFonts w:cs="Times New Roman"/>
          <w:lang w:val="fr-CA"/>
        </w:rPr>
        <w:lastRenderedPageBreak/>
        <w:t xml:space="preserve">À mon avis, bien que la </w:t>
      </w:r>
      <w:r w:rsidRPr="00AC3DC3">
        <w:rPr>
          <w:rFonts w:cs="Times New Roman"/>
          <w:i/>
          <w:lang w:val="fr-CA"/>
        </w:rPr>
        <w:t>Loi sur l’adéquation de la peine et du crime</w:t>
      </w:r>
      <w:r w:rsidRPr="00AC3DC3">
        <w:rPr>
          <w:rFonts w:cs="Times New Roman"/>
          <w:lang w:val="fr-CA"/>
        </w:rPr>
        <w:t xml:space="preserve"> plafonne le crédit susceptible d’être accordé pour la détention </w:t>
      </w:r>
      <w:proofErr w:type="spellStart"/>
      <w:r w:rsidRPr="00AC3DC3">
        <w:rPr>
          <w:rFonts w:cs="Times New Roman"/>
          <w:lang w:val="fr-CA"/>
        </w:rPr>
        <w:t>présentencielle</w:t>
      </w:r>
      <w:proofErr w:type="spellEnd"/>
      <w:r w:rsidRPr="00AC3DC3">
        <w:rPr>
          <w:rFonts w:cs="Times New Roman"/>
          <w:lang w:val="fr-CA"/>
        </w:rPr>
        <w:t xml:space="preserve">, elle ne limite pas les « circonstances » qui justifient l’octroi du crédit majoré.  Lorsque le législateur a voulu modifier une pratique courante, comme dans le cas du temps maximum alloué pour la période passée sous garde, il l’a fait expressément.  Or, la loi n’exclut aucune « circonstance » particulière.  Si le législateur avait voulu modifier la règle bien établie de la majoration du crédit accordé pour compenser la perte subie aux fins de l’admissibilité à la libération anticipée, il l’aurait fait expressément. </w:t>
      </w:r>
    </w:p>
    <w:p w:rsidR="003966E1" w:rsidRPr="00AC3DC3" w:rsidRDefault="003966E1" w:rsidP="00A17E02">
      <w:pPr>
        <w:pStyle w:val="Title1LevelTitre1Niveau-AltL"/>
        <w:keepNext w:val="0"/>
        <w:rPr>
          <w:rFonts w:cs="Times New Roman"/>
          <w:lang w:val="fr-CA"/>
        </w:rPr>
      </w:pPr>
      <w:r w:rsidRPr="00AC3DC3">
        <w:rPr>
          <w:rFonts w:cs="Times New Roman"/>
          <w:lang w:val="fr-CA"/>
        </w:rPr>
        <w:t xml:space="preserve">Dispositions législatives </w:t>
      </w:r>
    </w:p>
    <w:p w:rsidR="003966E1" w:rsidRPr="00AC3DC3" w:rsidRDefault="003966E1" w:rsidP="00A17E02">
      <w:pPr>
        <w:pStyle w:val="ParaNoNdepar-AltN"/>
        <w:rPr>
          <w:rFonts w:cs="Times New Roman"/>
          <w:lang w:val="fr-CA"/>
        </w:rPr>
      </w:pPr>
      <w:r w:rsidRPr="00AC3DC3">
        <w:rPr>
          <w:rFonts w:cs="Times New Roman"/>
          <w:lang w:val="fr-CA"/>
        </w:rPr>
        <w:t xml:space="preserve">Le pourvoi porte sur les modifications apportées au par. 719(3) du </w:t>
      </w:r>
      <w:r w:rsidRPr="00AC3DC3">
        <w:rPr>
          <w:rFonts w:cs="Times New Roman"/>
          <w:i/>
          <w:lang w:val="fr-CA"/>
        </w:rPr>
        <w:t>Code criminel</w:t>
      </w:r>
      <w:r w:rsidRPr="00AC3DC3">
        <w:rPr>
          <w:rFonts w:cs="Times New Roman"/>
          <w:lang w:val="fr-CA"/>
        </w:rPr>
        <w:t xml:space="preserve"> par la </w:t>
      </w:r>
      <w:r w:rsidRPr="00AC3DC3">
        <w:rPr>
          <w:rFonts w:cs="Times New Roman"/>
          <w:i/>
          <w:lang w:val="fr-CA"/>
        </w:rPr>
        <w:t>LAPC</w:t>
      </w:r>
      <w:r w:rsidRPr="00AC3DC3">
        <w:rPr>
          <w:rFonts w:cs="Times New Roman"/>
          <w:lang w:val="fr-CA"/>
        </w:rPr>
        <w:t xml:space="preserve">.  Les paragraphes 719(3) et </w:t>
      </w:r>
      <w:r w:rsidR="00EB36E1">
        <w:rPr>
          <w:rFonts w:cs="Times New Roman"/>
          <w:lang w:val="fr-CA"/>
        </w:rPr>
        <w:t>719</w:t>
      </w:r>
      <w:r w:rsidRPr="00AC3DC3">
        <w:rPr>
          <w:rFonts w:cs="Times New Roman"/>
          <w:lang w:val="fr-CA"/>
        </w:rPr>
        <w:t xml:space="preserve">(3.1) disposent désormais ce qui suit (nouveau libellé souligné) : </w:t>
      </w:r>
    </w:p>
    <w:p w:rsidR="003966E1" w:rsidRPr="00AC3DC3" w:rsidRDefault="003966E1" w:rsidP="00A17E02">
      <w:pPr>
        <w:pStyle w:val="Citation-AltC"/>
        <w:tabs>
          <w:tab w:val="left" w:pos="1440"/>
        </w:tabs>
        <w:spacing w:after="240"/>
        <w:ind w:left="1168" w:hanging="1168"/>
        <w:contextualSpacing w:val="0"/>
        <w:rPr>
          <w:lang w:val="fr-CA"/>
        </w:rPr>
      </w:pPr>
      <w:r w:rsidRPr="00AC3DC3">
        <w:rPr>
          <w:lang w:val="fr-CA"/>
        </w:rPr>
        <w:tab/>
      </w:r>
      <w:r w:rsidRPr="00AC3DC3">
        <w:rPr>
          <w:lang w:val="fr-CA"/>
        </w:rPr>
        <w:tab/>
        <w:t xml:space="preserve">(3)  Pour fixer la peine à infliger à une personne déclarée coupable d’une infraction, le tribunal peut prendre en compte toute période que la personne a passée sous garde par suite de l’infraction; </w:t>
      </w:r>
      <w:r w:rsidRPr="00AC3DC3">
        <w:rPr>
          <w:u w:val="single"/>
          <w:lang w:val="fr-CA"/>
        </w:rPr>
        <w:t>il doit, le cas échéant, restreindre le temps alloué pour cette période à un maximum d’un jour pour chaque jour passé sous garde</w:t>
      </w:r>
      <w:r w:rsidRPr="00AC3DC3">
        <w:rPr>
          <w:lang w:val="fr-CA"/>
        </w:rPr>
        <w:t>.</w:t>
      </w:r>
    </w:p>
    <w:p w:rsidR="003966E1" w:rsidRPr="00AC3DC3" w:rsidRDefault="003966E1" w:rsidP="00A17E02">
      <w:pPr>
        <w:pStyle w:val="Citation-AltC"/>
        <w:tabs>
          <w:tab w:val="left" w:pos="1440"/>
        </w:tabs>
        <w:ind w:hanging="1166"/>
        <w:rPr>
          <w:b/>
          <w:lang w:val="fr-CA"/>
        </w:rPr>
      </w:pPr>
      <w:r w:rsidRPr="00AC3DC3">
        <w:rPr>
          <w:lang w:val="fr-CA"/>
        </w:rPr>
        <w:tab/>
      </w:r>
      <w:r w:rsidRPr="00AC3DC3">
        <w:rPr>
          <w:lang w:val="fr-CA"/>
        </w:rPr>
        <w:tab/>
      </w:r>
      <w:r w:rsidRPr="00670EC4">
        <w:rPr>
          <w:lang w:val="fr-CA"/>
        </w:rPr>
        <w:t>(3.1)  </w:t>
      </w:r>
      <w:r w:rsidRPr="00AC3DC3">
        <w:rPr>
          <w:u w:val="single"/>
          <w:lang w:val="fr-CA"/>
        </w:rPr>
        <w:t>Malgré le paragraphe (3), si les circonstances le justifient, le maximum est d’un jour et demi pour chaque jour passé sous garde, sauf dans le cas où la personne a été détenue pour le motif inscrit au dossier de l’instance en application du paragraphe 515(9.1) ou au titre de l’ordonnance rendue en application des paragraphes 524(4) ou (8)</w:t>
      </w:r>
      <w:r w:rsidRPr="00670EC4">
        <w:rPr>
          <w:u w:val="single"/>
          <w:lang w:val="fr-CA"/>
        </w:rPr>
        <w:t>.</w:t>
      </w:r>
    </w:p>
    <w:p w:rsidR="003966E1" w:rsidRPr="00AC3DC3" w:rsidRDefault="003966E1" w:rsidP="00A17E02">
      <w:pPr>
        <w:pStyle w:val="Title1LevelTitre1Niveau-AltL"/>
        <w:keepNext w:val="0"/>
        <w:rPr>
          <w:rFonts w:cs="Times New Roman"/>
          <w:lang w:val="fr-CA"/>
        </w:rPr>
      </w:pPr>
      <w:r w:rsidRPr="00AC3DC3">
        <w:rPr>
          <w:rFonts w:cs="Times New Roman"/>
          <w:lang w:val="fr-CA"/>
        </w:rPr>
        <w:t>Contexte</w:t>
      </w:r>
    </w:p>
    <w:p w:rsidR="003966E1" w:rsidRPr="00AC3DC3" w:rsidRDefault="003966E1" w:rsidP="00A17E02">
      <w:pPr>
        <w:pStyle w:val="Title2LevelTitre2Niveau"/>
        <w:keepNext w:val="0"/>
        <w:rPr>
          <w:rFonts w:cs="Times New Roman"/>
          <w:lang w:val="fr-CA"/>
        </w:rPr>
      </w:pPr>
      <w:r w:rsidRPr="00AC3DC3">
        <w:rPr>
          <w:rFonts w:cs="Times New Roman"/>
          <w:lang w:val="fr-CA"/>
        </w:rPr>
        <w:lastRenderedPageBreak/>
        <w:t>Faits</w:t>
      </w:r>
    </w:p>
    <w:p w:rsidR="003966E1" w:rsidRPr="00AC3DC3" w:rsidRDefault="003966E1" w:rsidP="00A17E02">
      <w:pPr>
        <w:pStyle w:val="ParaNoNdepar-AltN"/>
        <w:rPr>
          <w:rFonts w:cs="Times New Roman"/>
          <w:lang w:val="fr-CA"/>
        </w:rPr>
      </w:pPr>
      <w:r w:rsidRPr="00AC3DC3">
        <w:rPr>
          <w:rFonts w:cs="Times New Roman"/>
          <w:lang w:val="fr-CA"/>
        </w:rPr>
        <w:t xml:space="preserve">Le 9 juillet 2010, l’intimé, Sean </w:t>
      </w:r>
      <w:proofErr w:type="spellStart"/>
      <w:r w:rsidRPr="00AC3DC3">
        <w:rPr>
          <w:rFonts w:cs="Times New Roman"/>
          <w:lang w:val="fr-CA"/>
        </w:rPr>
        <w:t>Summers</w:t>
      </w:r>
      <w:proofErr w:type="spellEnd"/>
      <w:r w:rsidR="00A67408">
        <w:rPr>
          <w:rFonts w:cs="Times New Roman"/>
          <w:lang w:val="fr-CA"/>
        </w:rPr>
        <w:t>,</w:t>
      </w:r>
      <w:r w:rsidRPr="00AC3DC3">
        <w:rPr>
          <w:rFonts w:cs="Times New Roman"/>
          <w:lang w:val="fr-CA"/>
        </w:rPr>
        <w:t xml:space="preserve"> a violemment secoué sa fille, encore nourrisson, qui en est morte trois jours plus tard.  Il a initialement été </w:t>
      </w:r>
      <w:proofErr w:type="gramStart"/>
      <w:r w:rsidRPr="00AC3DC3">
        <w:rPr>
          <w:rFonts w:cs="Times New Roman"/>
          <w:lang w:val="fr-CA"/>
        </w:rPr>
        <w:t>arrêté</w:t>
      </w:r>
      <w:proofErr w:type="gramEnd"/>
      <w:r w:rsidRPr="00AC3DC3">
        <w:rPr>
          <w:rFonts w:cs="Times New Roman"/>
          <w:lang w:val="fr-CA"/>
        </w:rPr>
        <w:t xml:space="preserve"> puis accusé de meurtre au deuxième degré, mais en avril 2011, l’accusation a été retirée et remplacée par celle d’homicide involontaire coupable.  Le 30 mai 2011, il a plaidé coupable à cette accusation.</w:t>
      </w:r>
    </w:p>
    <w:p w:rsidR="003966E1" w:rsidRPr="00AC3DC3" w:rsidRDefault="003966E1" w:rsidP="00A17E02">
      <w:pPr>
        <w:pStyle w:val="ParaNoNdepar-AltN"/>
        <w:rPr>
          <w:rFonts w:cs="Times New Roman"/>
          <w:lang w:val="fr-CA"/>
        </w:rPr>
      </w:pPr>
      <w:r w:rsidRPr="00AC3DC3">
        <w:rPr>
          <w:rFonts w:cs="Times New Roman"/>
          <w:lang w:val="fr-CA"/>
        </w:rPr>
        <w:t xml:space="preserve">L’intimé a passé </w:t>
      </w:r>
      <w:r w:rsidR="00670EC4">
        <w:rPr>
          <w:rFonts w:cs="Times New Roman"/>
          <w:lang w:val="fr-CA"/>
        </w:rPr>
        <w:t>10</w:t>
      </w:r>
      <w:r w:rsidRPr="00AC3DC3">
        <w:rPr>
          <w:rFonts w:cs="Times New Roman"/>
          <w:lang w:val="fr-CA"/>
        </w:rPr>
        <w:t xml:space="preserve"> mois et demi sous garde, de l’arrestation en juillet 2010 à l’inscription du plaidoyer de culpabilité et à l’infliction de la peine en mai 2011.  Rien ne donne à penser que ses conditions de détention ont été particulièrement dures. </w:t>
      </w:r>
    </w:p>
    <w:p w:rsidR="003966E1" w:rsidRPr="00AC3DC3" w:rsidRDefault="003966E1" w:rsidP="00A17E02">
      <w:pPr>
        <w:pStyle w:val="Title2LevelTitre2Niveau"/>
        <w:keepNext w:val="0"/>
        <w:rPr>
          <w:rFonts w:cs="Times New Roman"/>
          <w:lang w:val="fr-CA"/>
        </w:rPr>
      </w:pPr>
      <w:r w:rsidRPr="00AC3DC3">
        <w:rPr>
          <w:rFonts w:cs="Times New Roman"/>
          <w:lang w:val="fr-CA"/>
        </w:rPr>
        <w:t xml:space="preserve">Détermination de la peine, [2011] O.J. No. 6377 (QL) </w:t>
      </w:r>
      <w:r w:rsidR="003049A5">
        <w:rPr>
          <w:rFonts w:cs="Times New Roman"/>
          <w:lang w:val="fr-CA"/>
        </w:rPr>
        <w:t>(C.S.J.)</w:t>
      </w:r>
    </w:p>
    <w:p w:rsidR="003966E1" w:rsidRPr="00AC3DC3" w:rsidRDefault="003966E1" w:rsidP="00A17E02">
      <w:pPr>
        <w:pStyle w:val="ParaNoNdepar-AltN"/>
        <w:rPr>
          <w:rFonts w:cs="Times New Roman"/>
          <w:lang w:val="fr-CA"/>
        </w:rPr>
      </w:pPr>
      <w:r w:rsidRPr="00AC3DC3">
        <w:rPr>
          <w:rFonts w:cs="Times New Roman"/>
          <w:lang w:val="fr-CA"/>
        </w:rPr>
        <w:t xml:space="preserve">Les avocats ont convenu que la peine indiquée se situait entre huit et dix ans d’emprisonnement. </w:t>
      </w:r>
    </w:p>
    <w:p w:rsidR="003966E1" w:rsidRPr="00AC3DC3" w:rsidRDefault="003966E1" w:rsidP="00A17E02">
      <w:pPr>
        <w:pStyle w:val="ParaNoNdepar-AltN"/>
        <w:rPr>
          <w:rFonts w:cs="Times New Roman"/>
          <w:lang w:val="fr-CA"/>
        </w:rPr>
      </w:pPr>
      <w:r w:rsidRPr="00AC3DC3">
        <w:rPr>
          <w:rFonts w:cs="Times New Roman"/>
          <w:lang w:val="fr-CA"/>
        </w:rPr>
        <w:t xml:space="preserve">L’avocat de la défense a soutenu que l’intimé devait se voir allouer un jour et demi pour chaque jour passé sous garde.  La perte subie aux fins de l’admissibilité à la libération anticipée et à la libération conditionnelle pendant la détention préventive constituait une circonstance qui justifiait l’application du par. 719(3.1) du </w:t>
      </w:r>
      <w:r w:rsidRPr="00AC3DC3">
        <w:rPr>
          <w:rFonts w:cs="Times New Roman"/>
          <w:i/>
          <w:lang w:val="fr-CA"/>
        </w:rPr>
        <w:t>Code</w:t>
      </w:r>
      <w:r w:rsidRPr="00AC3DC3">
        <w:rPr>
          <w:rFonts w:cs="Times New Roman"/>
          <w:lang w:val="fr-CA"/>
        </w:rPr>
        <w:t xml:space="preserve">.  Le ministère public ne s’est pas opposé à un crédit majoré pour les six premiers mois de détention, période pendant laquelle l’accusé attendait la </w:t>
      </w:r>
      <w:r w:rsidRPr="00AC3DC3">
        <w:rPr>
          <w:rFonts w:cs="Times New Roman"/>
          <w:lang w:val="fr-CA"/>
        </w:rPr>
        <w:lastRenderedPageBreak/>
        <w:t>communication du rapport post</w:t>
      </w:r>
      <w:r w:rsidR="008E77B2">
        <w:rPr>
          <w:rFonts w:cs="Times New Roman"/>
          <w:lang w:val="fr-CA"/>
        </w:rPr>
        <w:t>-</w:t>
      </w:r>
      <w:r w:rsidRPr="00AC3DC3">
        <w:rPr>
          <w:rFonts w:cs="Times New Roman"/>
          <w:lang w:val="fr-CA"/>
        </w:rPr>
        <w:t>mortem.  Quant à la durée résiduelle, le ministère public a invité le juge à exercer son pouvoir discrétionnaire pour décider du crédit à accorder.</w:t>
      </w:r>
    </w:p>
    <w:p w:rsidR="003966E1" w:rsidRPr="00AC3DC3" w:rsidRDefault="003966E1" w:rsidP="00A17E02">
      <w:pPr>
        <w:pStyle w:val="ParaNoNdepar-AltN"/>
        <w:rPr>
          <w:rFonts w:cs="Times New Roman"/>
          <w:lang w:val="fr-CA"/>
        </w:rPr>
      </w:pPr>
      <w:r w:rsidRPr="00AC3DC3">
        <w:rPr>
          <w:rFonts w:cs="Times New Roman"/>
          <w:lang w:val="fr-CA"/>
        </w:rPr>
        <w:t xml:space="preserve">Chargé de la détermination de la peine, le juge </w:t>
      </w:r>
      <w:proofErr w:type="spellStart"/>
      <w:r w:rsidRPr="00AC3DC3">
        <w:rPr>
          <w:rFonts w:cs="Times New Roman"/>
          <w:lang w:val="fr-CA"/>
        </w:rPr>
        <w:t>Glithero</w:t>
      </w:r>
      <w:proofErr w:type="spellEnd"/>
      <w:r w:rsidRPr="00AC3DC3">
        <w:rPr>
          <w:rFonts w:cs="Times New Roman"/>
          <w:lang w:val="fr-CA"/>
        </w:rPr>
        <w:t xml:space="preserve">, de la Cour supérieure de justice de l’Ontario, a affirmé que la pratique usuelle consistant à accorder deux jours de crédit pour chaque jour de détention était justifiée par le fait que la durée de la détention préventive n’était pas prise en considération aux fins de l’admissibilité à la libération conditionnelle.  Comme la plupart des délinquants sont libérés conditionnellement après avoir purgé entre le tiers et les deux tiers de leur peine, il ne serait pas équitable de leur refuser un crédit majoré pour tenir compte de la détention </w:t>
      </w:r>
      <w:proofErr w:type="spellStart"/>
      <w:r w:rsidRPr="00AC3DC3">
        <w:rPr>
          <w:rFonts w:cs="Times New Roman"/>
          <w:lang w:val="fr-CA"/>
        </w:rPr>
        <w:t>présentencielle</w:t>
      </w:r>
      <w:proofErr w:type="spellEnd"/>
      <w:r w:rsidRPr="00AC3DC3">
        <w:rPr>
          <w:rFonts w:cs="Times New Roman"/>
          <w:lang w:val="fr-CA"/>
        </w:rPr>
        <w:t>.  Le fait que celle</w:t>
      </w:r>
      <w:r w:rsidR="008E77B2">
        <w:rPr>
          <w:rFonts w:cs="Times New Roman"/>
          <w:lang w:val="fr-CA"/>
        </w:rPr>
        <w:t>-</w:t>
      </w:r>
      <w:r w:rsidRPr="00AC3DC3">
        <w:rPr>
          <w:rFonts w:cs="Times New Roman"/>
          <w:lang w:val="fr-CA"/>
        </w:rPr>
        <w:t xml:space="preserve">ci n’était pas prise en considération aux fins de l’admissibilité à la libération conditionnelle de l’intimé constituait une circonstance qui justifiait l’octroi d’un crédit à raison d’un jour et demi par jour passé sous garde conformément au par. 719(3.1) du </w:t>
      </w:r>
      <w:r w:rsidRPr="00AC3DC3">
        <w:rPr>
          <w:rFonts w:cs="Times New Roman"/>
          <w:i/>
          <w:lang w:val="fr-CA"/>
        </w:rPr>
        <w:t>Code</w:t>
      </w:r>
      <w:r w:rsidRPr="00AC3DC3">
        <w:rPr>
          <w:rFonts w:cs="Times New Roman"/>
          <w:lang w:val="fr-CA"/>
        </w:rPr>
        <w:t xml:space="preserve">. </w:t>
      </w:r>
    </w:p>
    <w:p w:rsidR="003966E1" w:rsidRPr="00AC3DC3" w:rsidRDefault="003966E1" w:rsidP="00A17E02">
      <w:pPr>
        <w:pStyle w:val="ParaNoNdepar-AltN"/>
        <w:rPr>
          <w:rFonts w:cs="Times New Roman"/>
          <w:lang w:val="fr-CA"/>
        </w:rPr>
      </w:pPr>
      <w:r w:rsidRPr="00AC3DC3">
        <w:rPr>
          <w:rFonts w:cs="Times New Roman"/>
          <w:lang w:val="fr-CA"/>
        </w:rPr>
        <w:t xml:space="preserve">Le juge a condamné l’intimé à 8 ans d’emprisonnement, dont il a retranché 16 mois pour les </w:t>
      </w:r>
      <w:r w:rsidR="00A946BD">
        <w:rPr>
          <w:rFonts w:cs="Times New Roman"/>
          <w:lang w:val="fr-CA"/>
        </w:rPr>
        <w:t>10,5</w:t>
      </w:r>
      <w:r w:rsidRPr="00AC3DC3">
        <w:rPr>
          <w:rFonts w:cs="Times New Roman"/>
          <w:lang w:val="fr-CA"/>
        </w:rPr>
        <w:t xml:space="preserve"> mois de détention </w:t>
      </w:r>
      <w:proofErr w:type="spellStart"/>
      <w:r w:rsidRPr="00AC3DC3">
        <w:rPr>
          <w:rFonts w:cs="Times New Roman"/>
          <w:lang w:val="fr-CA"/>
        </w:rPr>
        <w:t>présentencielle</w:t>
      </w:r>
      <w:proofErr w:type="spellEnd"/>
      <w:r w:rsidRPr="00AC3DC3">
        <w:rPr>
          <w:rFonts w:cs="Times New Roman"/>
          <w:lang w:val="fr-CA"/>
        </w:rPr>
        <w:t xml:space="preserve">.  La peine réelle </w:t>
      </w:r>
      <w:r w:rsidR="00A946BD">
        <w:rPr>
          <w:rFonts w:cs="Times New Roman"/>
          <w:lang w:val="fr-CA"/>
        </w:rPr>
        <w:t xml:space="preserve">à </w:t>
      </w:r>
      <w:r w:rsidRPr="00AC3DC3">
        <w:rPr>
          <w:rFonts w:cs="Times New Roman"/>
          <w:lang w:val="fr-CA"/>
        </w:rPr>
        <w:t xml:space="preserve">purger était donc de 6 ans et 8 mois. </w:t>
      </w:r>
    </w:p>
    <w:p w:rsidR="003966E1" w:rsidRPr="00AC3DC3" w:rsidRDefault="003966E1" w:rsidP="00A17E02">
      <w:pPr>
        <w:pStyle w:val="Title2LevelTitre2Niveau"/>
        <w:keepNext w:val="0"/>
        <w:rPr>
          <w:rFonts w:cs="Times New Roman"/>
          <w:lang w:val="fr-CA"/>
        </w:rPr>
      </w:pPr>
      <w:r w:rsidRPr="00AC3DC3">
        <w:rPr>
          <w:rFonts w:cs="Times New Roman"/>
          <w:lang w:val="fr-CA"/>
        </w:rPr>
        <w:t>Cour d’appel de l’Ontario</w:t>
      </w:r>
      <w:r w:rsidRPr="00DF7B79">
        <w:rPr>
          <w:rFonts w:cs="Times New Roman"/>
          <w:lang w:val="fr-CA"/>
        </w:rPr>
        <w:t>,</w:t>
      </w:r>
      <w:r w:rsidRPr="00AC3DC3">
        <w:rPr>
          <w:rFonts w:cs="Times New Roman"/>
          <w:i w:val="0"/>
          <w:lang w:val="fr-CA"/>
        </w:rPr>
        <w:t xml:space="preserve"> </w:t>
      </w:r>
      <w:r w:rsidRPr="00AC3DC3">
        <w:rPr>
          <w:rFonts w:cs="Times New Roman"/>
          <w:lang w:val="fr-CA"/>
        </w:rPr>
        <w:t>2013 ONCA 147, 114 O.R. (3d) 641</w:t>
      </w:r>
    </w:p>
    <w:p w:rsidR="003966E1" w:rsidRPr="00AC3DC3" w:rsidRDefault="003966E1" w:rsidP="00A17E02">
      <w:pPr>
        <w:pStyle w:val="ParaNoNdepar-AltN"/>
        <w:rPr>
          <w:rFonts w:cs="Times New Roman"/>
          <w:lang w:val="fr-CA"/>
        </w:rPr>
      </w:pPr>
      <w:r w:rsidRPr="00AC3DC3">
        <w:rPr>
          <w:rFonts w:cs="Times New Roman"/>
          <w:lang w:val="fr-CA"/>
        </w:rPr>
        <w:lastRenderedPageBreak/>
        <w:t xml:space="preserve">Le ministère public a interjeté appel au motif </w:t>
      </w:r>
      <w:r w:rsidR="00DF7B79">
        <w:rPr>
          <w:rFonts w:cs="Times New Roman"/>
          <w:lang w:val="fr-CA"/>
        </w:rPr>
        <w:t xml:space="preserve">que </w:t>
      </w:r>
      <w:r w:rsidRPr="00AC3DC3">
        <w:rPr>
          <w:rFonts w:cs="Times New Roman"/>
          <w:lang w:val="fr-CA"/>
        </w:rPr>
        <w:t xml:space="preserve">le par. 719(3.1) ne permet pas l’octroi d’un crédit majoré seulement pour compenser la perte subie aux fins de l’admissibilité à la libération anticipée et à la libération conditionnelle. </w:t>
      </w:r>
    </w:p>
    <w:p w:rsidR="003966E1" w:rsidRPr="00AC3DC3" w:rsidRDefault="003966E1" w:rsidP="00A17E02">
      <w:pPr>
        <w:pStyle w:val="ParaNoNdepar-AltN"/>
        <w:rPr>
          <w:rFonts w:cs="Times New Roman"/>
          <w:lang w:val="fr-CA"/>
        </w:rPr>
      </w:pPr>
      <w:r w:rsidRPr="00AC3DC3">
        <w:rPr>
          <w:rFonts w:cs="Times New Roman"/>
          <w:lang w:val="fr-CA"/>
        </w:rPr>
        <w:t xml:space="preserve">Au nom de la Cour d’appel, la juge </w:t>
      </w:r>
      <w:proofErr w:type="spellStart"/>
      <w:r w:rsidRPr="00AC3DC3">
        <w:rPr>
          <w:rFonts w:cs="Times New Roman"/>
          <w:lang w:val="fr-CA"/>
        </w:rPr>
        <w:t>Cronk</w:t>
      </w:r>
      <w:proofErr w:type="spellEnd"/>
      <w:r w:rsidRPr="00AC3DC3">
        <w:rPr>
          <w:rFonts w:cs="Times New Roman"/>
          <w:lang w:val="fr-CA"/>
        </w:rPr>
        <w:t xml:space="preserve"> conclut que le crédit majoré prévu au par. 719(3.1) ne s’applique pas seulement dans des circonstances exceptionnelles et que la perte liée à l’admissibilité à la libération anticipée et à la libération conditionnelle peut le justifier.  Elle se livre à une interprétation réfléchie et approfondie du par. 719(3.1) en examinant le libellé de la </w:t>
      </w:r>
      <w:r w:rsidRPr="00AC3DC3">
        <w:rPr>
          <w:rFonts w:cs="Times New Roman"/>
          <w:i/>
          <w:lang w:val="fr-CA"/>
        </w:rPr>
        <w:t>LAPC</w:t>
      </w:r>
      <w:r w:rsidRPr="00AC3DC3">
        <w:rPr>
          <w:rFonts w:cs="Times New Roman"/>
          <w:lang w:val="fr-CA"/>
        </w:rPr>
        <w:t>, son historique législatif et les principes qui sous</w:t>
      </w:r>
      <w:r w:rsidR="008E77B2">
        <w:rPr>
          <w:rFonts w:cs="Times New Roman"/>
          <w:lang w:val="fr-CA"/>
        </w:rPr>
        <w:t>-</w:t>
      </w:r>
      <w:r w:rsidRPr="00AC3DC3">
        <w:rPr>
          <w:rFonts w:cs="Times New Roman"/>
          <w:lang w:val="fr-CA"/>
        </w:rPr>
        <w:t xml:space="preserve">tendent le régime de détermination de la peine établi par le </w:t>
      </w:r>
      <w:r w:rsidRPr="00AC3DC3">
        <w:rPr>
          <w:rFonts w:cs="Times New Roman"/>
          <w:i/>
          <w:lang w:val="fr-CA"/>
        </w:rPr>
        <w:t>Code criminel</w:t>
      </w:r>
      <w:r w:rsidRPr="00AC3DC3">
        <w:rPr>
          <w:rFonts w:cs="Times New Roman"/>
          <w:lang w:val="fr-CA"/>
        </w:rPr>
        <w:t>.</w:t>
      </w:r>
    </w:p>
    <w:p w:rsidR="003966E1" w:rsidRPr="00AC3DC3" w:rsidRDefault="003966E1" w:rsidP="00A17E02">
      <w:pPr>
        <w:pStyle w:val="ParaNoNdepar-AltN"/>
        <w:rPr>
          <w:rFonts w:cs="Times New Roman"/>
          <w:lang w:val="fr-CA"/>
        </w:rPr>
      </w:pPr>
      <w:r w:rsidRPr="00AC3DC3">
        <w:rPr>
          <w:rFonts w:cs="Times New Roman"/>
          <w:lang w:val="fr-CA"/>
        </w:rPr>
        <w:t xml:space="preserve">La Cour d’appel précise que tous les délinquants qui ont été détenus avant le prononcé de leur peine n’obtiennent pas le crédit majoré prévu au par. 719(3.1) en raison de la perte subie aux fins de l’admissibilité à la libération anticipée et à la libération conditionnelle.  La détention préventive constitue une circonstance susceptible de justifier ce crédit, mais seulement lorsque l’accusé aurait probablement obtenu une libération anticipée ou conditionnelle.  Le tribunal peut exercer son pouvoir discrétionnaire pour refuser la majoration du crédit lorsque, par exemple, l’accusé retarde délibérément le déroulement de l’instance.  L’application du par. 719(3.1) est expressément exclue dans le cas de certains délinquants, qui ne peuvent donc pas obtenir plus d’un jour de crédit par jour de détention </w:t>
      </w:r>
      <w:proofErr w:type="spellStart"/>
      <w:r w:rsidRPr="00AC3DC3">
        <w:rPr>
          <w:rFonts w:cs="Times New Roman"/>
          <w:lang w:val="fr-CA"/>
        </w:rPr>
        <w:t>présentencielle</w:t>
      </w:r>
      <w:proofErr w:type="spellEnd"/>
      <w:r w:rsidRPr="00AC3DC3">
        <w:rPr>
          <w:rFonts w:cs="Times New Roman"/>
          <w:lang w:val="fr-CA"/>
        </w:rPr>
        <w:t>.</w:t>
      </w:r>
    </w:p>
    <w:p w:rsidR="003966E1" w:rsidRPr="00AC3DC3" w:rsidRDefault="003966E1" w:rsidP="00A17E02">
      <w:pPr>
        <w:pStyle w:val="ParaNoNdepar-AltN"/>
        <w:rPr>
          <w:rFonts w:cs="Times New Roman"/>
          <w:lang w:val="fr-CA"/>
        </w:rPr>
      </w:pPr>
      <w:r w:rsidRPr="00AC3DC3">
        <w:rPr>
          <w:rFonts w:cs="Times New Roman"/>
          <w:lang w:val="fr-CA"/>
        </w:rPr>
        <w:lastRenderedPageBreak/>
        <w:t>Étant donné que rien ne permettait de conclure que l’intimé se serait vu refuser la libération conditionnelle ou une libération anticipée, il n’était pas erroné d’accorder un crédit majoré à raison d’un jour et demi contre un pour tenir compte de la perte liée à l’admissibilité à ces mesures.</w:t>
      </w:r>
    </w:p>
    <w:p w:rsidR="003966E1" w:rsidRPr="00AC3DC3" w:rsidRDefault="003966E1" w:rsidP="00A17E02">
      <w:pPr>
        <w:pStyle w:val="Title1LevelTitre1Niveau-AltL"/>
        <w:keepNext w:val="0"/>
        <w:rPr>
          <w:rFonts w:cs="Times New Roman"/>
          <w:lang w:val="fr-CA"/>
        </w:rPr>
      </w:pPr>
      <w:r w:rsidRPr="00AC3DC3">
        <w:rPr>
          <w:rFonts w:cs="Times New Roman"/>
          <w:lang w:val="fr-CA"/>
        </w:rPr>
        <w:t>Question en litige</w:t>
      </w:r>
    </w:p>
    <w:p w:rsidR="003966E1" w:rsidRPr="00AC3DC3" w:rsidRDefault="003966E1" w:rsidP="00A17E02">
      <w:pPr>
        <w:pStyle w:val="ParaNoNdepar-AltN"/>
        <w:rPr>
          <w:rFonts w:cs="Times New Roman"/>
          <w:lang w:val="fr-CA"/>
        </w:rPr>
      </w:pPr>
      <w:r w:rsidRPr="00AC3DC3">
        <w:rPr>
          <w:rFonts w:cs="Times New Roman"/>
          <w:lang w:val="fr-CA"/>
        </w:rPr>
        <w:t>La perte subie aux fins de l’admissibilité à la libération anticipée et à la libération conditionnelle pendant la détention préventive constitue</w:t>
      </w:r>
      <w:r w:rsidR="008E77B2">
        <w:rPr>
          <w:rFonts w:cs="Times New Roman"/>
          <w:lang w:val="fr-CA"/>
        </w:rPr>
        <w:t>-</w:t>
      </w:r>
      <w:r w:rsidRPr="00AC3DC3">
        <w:rPr>
          <w:rFonts w:cs="Times New Roman"/>
          <w:lang w:val="fr-CA"/>
        </w:rPr>
        <w:t>t</w:t>
      </w:r>
      <w:r w:rsidR="008E77B2">
        <w:rPr>
          <w:rFonts w:cs="Times New Roman"/>
          <w:lang w:val="fr-CA"/>
        </w:rPr>
        <w:t>-</w:t>
      </w:r>
      <w:r w:rsidRPr="00AC3DC3">
        <w:rPr>
          <w:rFonts w:cs="Times New Roman"/>
          <w:lang w:val="fr-CA"/>
        </w:rPr>
        <w:t xml:space="preserve">elle, pour les besoins du par. 719(3.1) du </w:t>
      </w:r>
      <w:r w:rsidRPr="00AC3DC3">
        <w:rPr>
          <w:rFonts w:cs="Times New Roman"/>
          <w:i/>
          <w:lang w:val="fr-CA"/>
        </w:rPr>
        <w:t>Code criminel</w:t>
      </w:r>
      <w:r w:rsidRPr="00AC3DC3">
        <w:rPr>
          <w:rFonts w:cs="Times New Roman"/>
          <w:lang w:val="fr-CA"/>
        </w:rPr>
        <w:t>,</w:t>
      </w:r>
      <w:r w:rsidRPr="00AC3DC3">
        <w:rPr>
          <w:rFonts w:cs="Times New Roman"/>
          <w:i/>
          <w:lang w:val="fr-CA"/>
        </w:rPr>
        <w:t xml:space="preserve"> </w:t>
      </w:r>
      <w:r w:rsidRPr="00AC3DC3">
        <w:rPr>
          <w:rFonts w:cs="Times New Roman"/>
          <w:lang w:val="fr-CA"/>
        </w:rPr>
        <w:t>l’une des « circonstances » qui justifient un crédit majoré po</w:t>
      </w:r>
      <w:r w:rsidR="00DF7B79">
        <w:rPr>
          <w:rFonts w:cs="Times New Roman"/>
          <w:lang w:val="fr-CA"/>
        </w:rPr>
        <w:t>ur la période passée sous garde?</w:t>
      </w:r>
    </w:p>
    <w:p w:rsidR="003966E1" w:rsidRPr="00AC3DC3" w:rsidRDefault="003966E1" w:rsidP="00A17E02">
      <w:pPr>
        <w:pStyle w:val="Title1LevelTitre1Niveau-AltL"/>
        <w:keepNext w:val="0"/>
        <w:rPr>
          <w:rFonts w:cs="Times New Roman"/>
          <w:lang w:val="fr-CA"/>
        </w:rPr>
      </w:pPr>
      <w:r w:rsidRPr="00AC3DC3">
        <w:rPr>
          <w:rFonts w:cs="Times New Roman"/>
          <w:lang w:val="fr-CA"/>
        </w:rPr>
        <w:t>Analyse</w:t>
      </w:r>
    </w:p>
    <w:p w:rsidR="003966E1" w:rsidRPr="00AC3DC3" w:rsidRDefault="003966E1" w:rsidP="00A17E02">
      <w:pPr>
        <w:pStyle w:val="Title2LevelTitre2Niveau"/>
        <w:keepNext w:val="0"/>
        <w:rPr>
          <w:rFonts w:cs="Times New Roman"/>
          <w:lang w:val="fr-CA"/>
        </w:rPr>
      </w:pPr>
      <w:r w:rsidRPr="00AC3DC3">
        <w:rPr>
          <w:rFonts w:cs="Times New Roman"/>
          <w:lang w:val="fr-CA"/>
        </w:rPr>
        <w:t>Régime antérieur</w:t>
      </w:r>
    </w:p>
    <w:p w:rsidR="003966E1" w:rsidRPr="00AC3DC3" w:rsidRDefault="003966E1" w:rsidP="00A17E02">
      <w:pPr>
        <w:pStyle w:val="ParaNoNdepar-AltN"/>
        <w:rPr>
          <w:rFonts w:cs="Times New Roman"/>
          <w:lang w:val="fr-CA"/>
        </w:rPr>
      </w:pPr>
      <w:r w:rsidRPr="00AC3DC3">
        <w:rPr>
          <w:rFonts w:cs="Times New Roman"/>
          <w:lang w:val="fr-CA"/>
        </w:rPr>
        <w:t xml:space="preserve">Avant l’adoption de la </w:t>
      </w:r>
      <w:r w:rsidRPr="00AC3DC3">
        <w:rPr>
          <w:rFonts w:cs="Times New Roman"/>
          <w:i/>
          <w:lang w:val="fr-CA"/>
        </w:rPr>
        <w:t>LAPC</w:t>
      </w:r>
      <w:r w:rsidRPr="00AC3DC3">
        <w:rPr>
          <w:rFonts w:cs="Times New Roman"/>
          <w:lang w:val="fr-CA"/>
        </w:rPr>
        <w:t xml:space="preserve"> en 2009, le par. 719(3) du </w:t>
      </w:r>
      <w:r w:rsidRPr="00AC3DC3">
        <w:rPr>
          <w:rFonts w:cs="Times New Roman"/>
          <w:i/>
          <w:lang w:val="fr-CA"/>
        </w:rPr>
        <w:t xml:space="preserve">Code criminel </w:t>
      </w:r>
      <w:r w:rsidRPr="00AC3DC3">
        <w:rPr>
          <w:rFonts w:cs="Times New Roman"/>
          <w:lang w:val="fr-CA"/>
        </w:rPr>
        <w:t xml:space="preserve">prévoyait seulement que le tribunal chargé de la détermination de la peine </w:t>
      </w:r>
      <w:r w:rsidR="00DF7B79">
        <w:rPr>
          <w:rFonts w:cs="Times New Roman"/>
          <w:lang w:val="fr-CA"/>
        </w:rPr>
        <w:t>« </w:t>
      </w:r>
      <w:proofErr w:type="gramStart"/>
      <w:r w:rsidRPr="00AC3DC3">
        <w:rPr>
          <w:rFonts w:cs="Times New Roman"/>
          <w:lang w:val="fr-CA"/>
        </w:rPr>
        <w:t>p</w:t>
      </w:r>
      <w:r w:rsidR="00DF7B79">
        <w:rPr>
          <w:rFonts w:cs="Times New Roman"/>
          <w:lang w:val="fr-CA"/>
        </w:rPr>
        <w:t>[</w:t>
      </w:r>
      <w:proofErr w:type="spellStart"/>
      <w:proofErr w:type="gramEnd"/>
      <w:r w:rsidR="00DF7B79">
        <w:rPr>
          <w:rFonts w:cs="Times New Roman"/>
          <w:lang w:val="fr-CA"/>
        </w:rPr>
        <w:t>ouvait</w:t>
      </w:r>
      <w:proofErr w:type="spellEnd"/>
      <w:r w:rsidR="00DF7B79">
        <w:rPr>
          <w:rFonts w:cs="Times New Roman"/>
          <w:lang w:val="fr-CA"/>
        </w:rPr>
        <w:t xml:space="preserve">] </w:t>
      </w:r>
      <w:r w:rsidRPr="00AC3DC3">
        <w:rPr>
          <w:rFonts w:cs="Times New Roman"/>
          <w:lang w:val="fr-CA"/>
        </w:rPr>
        <w:t>prendre en compte toute période que la personne a[</w:t>
      </w:r>
      <w:proofErr w:type="spellStart"/>
      <w:r w:rsidRPr="00AC3DC3">
        <w:rPr>
          <w:rFonts w:cs="Times New Roman"/>
          <w:lang w:val="fr-CA"/>
        </w:rPr>
        <w:t>vait</w:t>
      </w:r>
      <w:proofErr w:type="spellEnd"/>
      <w:r w:rsidRPr="00AC3DC3">
        <w:rPr>
          <w:rFonts w:cs="Times New Roman"/>
          <w:lang w:val="fr-CA"/>
        </w:rPr>
        <w:t xml:space="preserve">] passée sous garde par suite de l’infraction ».  Le </w:t>
      </w:r>
      <w:r w:rsidRPr="00AC3DC3" w:rsidDel="00264A5E">
        <w:rPr>
          <w:rFonts w:cs="Times New Roman"/>
          <w:i/>
          <w:lang w:val="fr-CA"/>
        </w:rPr>
        <w:t>Code</w:t>
      </w:r>
      <w:r w:rsidRPr="00AC3DC3" w:rsidDel="00264A5E">
        <w:rPr>
          <w:rFonts w:cs="Times New Roman"/>
          <w:lang w:val="fr-CA"/>
        </w:rPr>
        <w:t xml:space="preserve"> </w:t>
      </w:r>
      <w:r w:rsidRPr="00AC3DC3">
        <w:rPr>
          <w:rFonts w:cs="Times New Roman"/>
          <w:lang w:val="fr-CA"/>
        </w:rPr>
        <w:t xml:space="preserve">ne limitait pas les raisons pour lesquelles il pouvait y avoir octroi d’un crédit, non plus que le nombre de jours qui pouvait être accordé pour chaque jour de détention </w:t>
      </w:r>
      <w:proofErr w:type="spellStart"/>
      <w:r w:rsidRPr="00AC3DC3">
        <w:rPr>
          <w:rFonts w:cs="Times New Roman"/>
          <w:lang w:val="fr-CA"/>
        </w:rPr>
        <w:t>présentencielle</w:t>
      </w:r>
      <w:proofErr w:type="spellEnd"/>
      <w:r w:rsidRPr="00AC3DC3">
        <w:rPr>
          <w:rFonts w:cs="Times New Roman"/>
          <w:lang w:val="fr-CA"/>
        </w:rPr>
        <w:t xml:space="preserve">.  Dans </w:t>
      </w:r>
      <w:r w:rsidRPr="00AC3DC3">
        <w:rPr>
          <w:rFonts w:cs="Times New Roman"/>
          <w:i/>
          <w:lang w:val="fr-CA"/>
        </w:rPr>
        <w:t xml:space="preserve">R. c. </w:t>
      </w:r>
      <w:proofErr w:type="spellStart"/>
      <w:r w:rsidRPr="00AC3DC3">
        <w:rPr>
          <w:rFonts w:cs="Times New Roman"/>
          <w:i/>
          <w:lang w:val="fr-CA"/>
        </w:rPr>
        <w:t>Rezaie</w:t>
      </w:r>
      <w:proofErr w:type="spellEnd"/>
      <w:r w:rsidRPr="00AC3DC3">
        <w:rPr>
          <w:rFonts w:cs="Times New Roman"/>
          <w:lang w:val="fr-CA"/>
        </w:rPr>
        <w:t xml:space="preserve"> (1996), 31 O.R. (3d) 713, le juge </w:t>
      </w:r>
      <w:proofErr w:type="spellStart"/>
      <w:r w:rsidRPr="00AC3DC3">
        <w:rPr>
          <w:rFonts w:cs="Times New Roman"/>
          <w:lang w:val="fr-CA"/>
        </w:rPr>
        <w:t>Laskin</w:t>
      </w:r>
      <w:proofErr w:type="spellEnd"/>
      <w:r w:rsidRPr="00AC3DC3">
        <w:rPr>
          <w:rFonts w:cs="Times New Roman"/>
          <w:lang w:val="fr-CA"/>
        </w:rPr>
        <w:t xml:space="preserve">, de la Cour d’appel de l’Ontario, explique la raison d’être de l’octroi d’un crédit.  Il fait remarquer ce qui suit : </w:t>
      </w:r>
    </w:p>
    <w:p w:rsidR="003966E1" w:rsidRPr="00AC3DC3" w:rsidRDefault="003966E1" w:rsidP="00A17E02">
      <w:pPr>
        <w:pStyle w:val="Citation-AltC"/>
        <w:ind w:hanging="1166"/>
        <w:rPr>
          <w:lang w:val="fr-CA"/>
        </w:rPr>
      </w:pPr>
      <w:r w:rsidRPr="00AC3DC3">
        <w:rPr>
          <w:lang w:val="fr-CA"/>
        </w:rPr>
        <w:lastRenderedPageBreak/>
        <w:tab/>
        <w:t>[</w:t>
      </w:r>
      <w:r w:rsidRPr="00AC3DC3">
        <w:rPr>
          <w:smallCaps/>
          <w:lang w:val="fr-CA"/>
        </w:rPr>
        <w:t>traduction</w:t>
      </w:r>
      <w:proofErr w:type="gramStart"/>
      <w:r w:rsidR="00DF7B79">
        <w:rPr>
          <w:lang w:val="fr-CA"/>
        </w:rPr>
        <w:t>] .</w:t>
      </w:r>
      <w:proofErr w:type="gramEnd"/>
      <w:r w:rsidR="00DF7B79">
        <w:rPr>
          <w:lang w:val="fr-CA"/>
        </w:rPr>
        <w:t> . .</w:t>
      </w:r>
      <w:r w:rsidRPr="00AC3DC3">
        <w:rPr>
          <w:lang w:val="fr-CA"/>
        </w:rPr>
        <w:t xml:space="preserve"> le juge ne doit pas refuser un crédit sans motif valable, car ce serait inéquitable.  L’emprisonnement à quelque étape du processus criminel est une privation de liberté pour l’accusé.  [p. 721] </w:t>
      </w:r>
    </w:p>
    <w:p w:rsidR="003966E1" w:rsidRPr="00AC3DC3" w:rsidRDefault="003966E1" w:rsidP="00A17E02">
      <w:pPr>
        <w:pStyle w:val="ParaNoNdepar-AltN"/>
        <w:rPr>
          <w:rFonts w:cs="Times New Roman"/>
          <w:lang w:val="fr-CA"/>
        </w:rPr>
      </w:pPr>
      <w:r w:rsidRPr="00AC3DC3">
        <w:rPr>
          <w:rFonts w:cs="Times New Roman"/>
          <w:lang w:val="fr-CA"/>
        </w:rPr>
        <w:t xml:space="preserve">Dès lors, il était inéquitable qu’un jour passé sous garde avant le prononcé de la sentence ne soit pas pris en compte pour l’infliction de la peine.  En effet, le délinquant détenu jusqu’à la détermination de sa peine purgerait une peine plus longue que le délinquant qui aurait commis la même infraction, mais qui aurait été libéré sous caution.  Par conséquent, un jour d’emprisonnement commandait au moins un jour de crédit. </w:t>
      </w:r>
    </w:p>
    <w:p w:rsidR="003966E1" w:rsidRPr="00AC3DC3" w:rsidRDefault="003966E1" w:rsidP="00A17E02">
      <w:pPr>
        <w:pStyle w:val="ParaNoNdepar-AltN"/>
        <w:rPr>
          <w:rFonts w:cs="Times New Roman"/>
          <w:lang w:val="fr-CA"/>
        </w:rPr>
      </w:pPr>
      <w:r w:rsidRPr="00AC3DC3">
        <w:rPr>
          <w:rFonts w:cs="Times New Roman"/>
          <w:lang w:val="fr-CA"/>
        </w:rPr>
        <w:t>En général, les tribunaux accordaient un crédit majoré au motif que, [</w:t>
      </w:r>
      <w:r w:rsidRPr="00AC3DC3">
        <w:rPr>
          <w:rFonts w:cs="Times New Roman"/>
          <w:smallCaps/>
          <w:lang w:val="fr-CA"/>
        </w:rPr>
        <w:t>traduction</w:t>
      </w:r>
      <w:r w:rsidRPr="00AC3DC3">
        <w:rPr>
          <w:rFonts w:cs="Times New Roman"/>
          <w:lang w:val="fr-CA"/>
        </w:rPr>
        <w:t xml:space="preserve">] « sous deux rapports, la détention </w:t>
      </w:r>
      <w:proofErr w:type="spellStart"/>
      <w:r w:rsidRPr="00AC3DC3">
        <w:rPr>
          <w:rFonts w:cs="Times New Roman"/>
          <w:lang w:val="fr-CA"/>
        </w:rPr>
        <w:t>présentencielle</w:t>
      </w:r>
      <w:proofErr w:type="spellEnd"/>
      <w:r w:rsidRPr="00AC3DC3">
        <w:rPr>
          <w:rFonts w:cs="Times New Roman"/>
          <w:lang w:val="fr-CA"/>
        </w:rPr>
        <w:t xml:space="preserve"> est encore plus pénible que la détention </w:t>
      </w:r>
      <w:proofErr w:type="spellStart"/>
      <w:r w:rsidRPr="00AC3DC3">
        <w:rPr>
          <w:rFonts w:cs="Times New Roman"/>
          <w:lang w:val="fr-CA"/>
        </w:rPr>
        <w:t>postsentencielle</w:t>
      </w:r>
      <w:proofErr w:type="spellEnd"/>
      <w:r w:rsidRPr="00AC3DC3">
        <w:rPr>
          <w:rFonts w:cs="Times New Roman"/>
          <w:lang w:val="fr-CA"/>
        </w:rPr>
        <w:t> » (</w:t>
      </w:r>
      <w:proofErr w:type="spellStart"/>
      <w:r w:rsidRPr="00AC3DC3">
        <w:rPr>
          <w:rFonts w:cs="Times New Roman"/>
          <w:i/>
          <w:lang w:val="fr-CA"/>
        </w:rPr>
        <w:t>Rezaie</w:t>
      </w:r>
      <w:proofErr w:type="spellEnd"/>
      <w:r w:rsidRPr="00AC3DC3">
        <w:rPr>
          <w:rFonts w:cs="Times New Roman"/>
          <w:lang w:val="fr-CA"/>
        </w:rPr>
        <w:t xml:space="preserve">, p. 721).  Le juge </w:t>
      </w:r>
      <w:proofErr w:type="spellStart"/>
      <w:r w:rsidRPr="00AC3DC3">
        <w:rPr>
          <w:rFonts w:cs="Times New Roman"/>
          <w:lang w:val="fr-CA"/>
        </w:rPr>
        <w:t>Laskin</w:t>
      </w:r>
      <w:proofErr w:type="spellEnd"/>
      <w:r w:rsidRPr="00AC3DC3">
        <w:rPr>
          <w:rFonts w:cs="Times New Roman"/>
          <w:lang w:val="fr-CA"/>
        </w:rPr>
        <w:t xml:space="preserve"> explique :</w:t>
      </w:r>
    </w:p>
    <w:p w:rsidR="003966E1" w:rsidRPr="00AC3DC3" w:rsidRDefault="003966E1" w:rsidP="00A17E02">
      <w:pPr>
        <w:pStyle w:val="Citation-AltC"/>
        <w:ind w:hanging="1166"/>
        <w:contextualSpacing w:val="0"/>
        <w:rPr>
          <w:lang w:val="fr-CA"/>
        </w:rPr>
      </w:pPr>
      <w:r w:rsidRPr="00AC3DC3">
        <w:rPr>
          <w:lang w:val="fr-CA"/>
        </w:rPr>
        <w:tab/>
        <w:t>[</w:t>
      </w:r>
      <w:r w:rsidRPr="00AC3DC3">
        <w:rPr>
          <w:smallCaps/>
          <w:lang w:val="fr-CA"/>
        </w:rPr>
        <w:t>traduction</w:t>
      </w:r>
      <w:r w:rsidRPr="00AC3DC3">
        <w:rPr>
          <w:lang w:val="fr-CA"/>
        </w:rPr>
        <w:t>]  Premièrement, sauf dans le cas de l’emprisonnement à perpétuité, les dispositions législatives sur l’admissibilité à la libération conditionnelle et la libération d’office ne prennent pas en compte la période passée sous garde avant le procès (ou avant le prononcé de la peine).  Deuxièmement, les centres de détention locaux n’offrent habituellement pas à l’accusé qui attend son procès de programmes d’enseignement, de recyclage ou de réinsertion sociale.  [</w:t>
      </w:r>
      <w:proofErr w:type="gramStart"/>
      <w:r w:rsidR="0026586E">
        <w:rPr>
          <w:i/>
          <w:lang w:val="fr-CA"/>
        </w:rPr>
        <w:t>i</w:t>
      </w:r>
      <w:r w:rsidRPr="00AC3DC3">
        <w:rPr>
          <w:i/>
          <w:lang w:val="fr-CA"/>
        </w:rPr>
        <w:t>bid</w:t>
      </w:r>
      <w:proofErr w:type="gramEnd"/>
      <w:r w:rsidRPr="00AC3DC3">
        <w:rPr>
          <w:i/>
          <w:lang w:val="fr-CA"/>
        </w:rPr>
        <w:t>.</w:t>
      </w:r>
      <w:r w:rsidRPr="00AC3DC3">
        <w:rPr>
          <w:lang w:val="fr-CA"/>
        </w:rPr>
        <w:t>]</w:t>
      </w:r>
    </w:p>
    <w:p w:rsidR="003966E1" w:rsidRPr="00AC3DC3" w:rsidRDefault="003966E1" w:rsidP="00A17E02">
      <w:pPr>
        <w:pStyle w:val="ParaNoNdepar-AltN"/>
        <w:rPr>
          <w:rFonts w:cs="Times New Roman"/>
          <w:lang w:val="fr-CA"/>
        </w:rPr>
      </w:pPr>
      <w:r w:rsidRPr="00AC3DC3">
        <w:rPr>
          <w:rFonts w:cs="Times New Roman"/>
          <w:lang w:val="fr-CA"/>
        </w:rPr>
        <w:t xml:space="preserve">Premièrement, la raison d’être du crédit majoré sur le plan </w:t>
      </w:r>
      <w:r w:rsidRPr="00AC3DC3">
        <w:rPr>
          <w:rFonts w:cs="Times New Roman"/>
          <w:i/>
          <w:lang w:val="fr-CA"/>
        </w:rPr>
        <w:t>quantitatif</w:t>
      </w:r>
      <w:r w:rsidRPr="00AC3DC3">
        <w:rPr>
          <w:rFonts w:cs="Times New Roman"/>
          <w:lang w:val="fr-CA"/>
        </w:rPr>
        <w:t xml:space="preserve"> est de faire en sorte que le délinquant ne passe pas plus de temps derrière les barreaux que s’il avait été libéré sous caution. </w:t>
      </w:r>
    </w:p>
    <w:p w:rsidR="003966E1" w:rsidRPr="00AC3DC3" w:rsidRDefault="003966E1" w:rsidP="00A17E02">
      <w:pPr>
        <w:pStyle w:val="ParaNoNdepar-AltN"/>
        <w:rPr>
          <w:rFonts w:cs="Times New Roman"/>
          <w:lang w:val="fr-CA"/>
        </w:rPr>
      </w:pPr>
      <w:r w:rsidRPr="00AC3DC3">
        <w:rPr>
          <w:rFonts w:cs="Times New Roman"/>
          <w:lang w:val="fr-CA"/>
        </w:rPr>
        <w:lastRenderedPageBreak/>
        <w:t xml:space="preserve">Suivant la </w:t>
      </w:r>
      <w:r w:rsidRPr="00AC3DC3">
        <w:rPr>
          <w:rFonts w:cs="Times New Roman"/>
          <w:i/>
          <w:lang w:val="fr-CA"/>
        </w:rPr>
        <w:t xml:space="preserve">Loi sur le système correctionnel et la mise en liberté sous </w:t>
      </w:r>
      <w:r w:rsidR="009200C8">
        <w:rPr>
          <w:rFonts w:cs="Times New Roman"/>
          <w:i/>
          <w:lang w:val="fr-CA"/>
        </w:rPr>
        <w:t>condit</w:t>
      </w:r>
      <w:r w:rsidRPr="00AC3DC3">
        <w:rPr>
          <w:rFonts w:cs="Times New Roman"/>
          <w:i/>
          <w:lang w:val="fr-CA"/>
        </w:rPr>
        <w:t>ion</w:t>
      </w:r>
      <w:r w:rsidRPr="00AC3DC3">
        <w:rPr>
          <w:rFonts w:cs="Times New Roman"/>
          <w:lang w:val="fr-CA"/>
        </w:rPr>
        <w:t>, L.C. 1992, ch. 20 (</w:t>
      </w:r>
      <w:r w:rsidRPr="00AC3DC3">
        <w:rPr>
          <w:rFonts w:cs="Times New Roman"/>
          <w:i/>
          <w:lang w:val="fr-CA"/>
        </w:rPr>
        <w:t>LSCMLSC</w:t>
      </w:r>
      <w:r w:rsidRPr="00AC3DC3">
        <w:rPr>
          <w:rFonts w:cs="Times New Roman"/>
          <w:lang w:val="fr-CA"/>
        </w:rPr>
        <w:t xml:space="preserve">), le détenu sous responsabilité fédérale </w:t>
      </w:r>
      <w:proofErr w:type="gramStart"/>
      <w:r w:rsidRPr="00AC3DC3">
        <w:rPr>
          <w:rFonts w:cs="Times New Roman"/>
          <w:lang w:val="fr-CA"/>
        </w:rPr>
        <w:t>a</w:t>
      </w:r>
      <w:proofErr w:type="gramEnd"/>
      <w:r w:rsidRPr="00AC3DC3">
        <w:rPr>
          <w:rFonts w:cs="Times New Roman"/>
          <w:lang w:val="fr-CA"/>
        </w:rPr>
        <w:t xml:space="preserve"> droit à la libération conditionnelle au tiers de sa peine (art. 120), et à la libération d’office aux deux tiers (par. 127(3)).  Le détenu sous responsabilité provinciale a droit, sauf mauvaise conduite, à la réduction méritée de peine à raison de 15 jours par mois, selon le calcul prévu au palier fédéral par la </w:t>
      </w:r>
      <w:r w:rsidRPr="00AC3DC3">
        <w:rPr>
          <w:rFonts w:cs="Times New Roman"/>
          <w:i/>
          <w:lang w:val="fr-CA"/>
        </w:rPr>
        <w:t xml:space="preserve">Loi sur les prisons et </w:t>
      </w:r>
      <w:r w:rsidR="000A2249">
        <w:rPr>
          <w:rFonts w:cs="Times New Roman"/>
          <w:i/>
          <w:lang w:val="fr-CA"/>
        </w:rPr>
        <w:t xml:space="preserve">les </w:t>
      </w:r>
      <w:r w:rsidRPr="00AC3DC3">
        <w:rPr>
          <w:rFonts w:cs="Times New Roman"/>
          <w:i/>
          <w:lang w:val="fr-CA"/>
        </w:rPr>
        <w:t>maisons de correction</w:t>
      </w:r>
      <w:r w:rsidRPr="00AC3DC3">
        <w:rPr>
          <w:rFonts w:cs="Times New Roman"/>
          <w:lang w:val="fr-CA"/>
        </w:rPr>
        <w:t>, L.R.C. 1985, ch. P</w:t>
      </w:r>
      <w:r w:rsidR="008E77B2">
        <w:rPr>
          <w:rFonts w:cs="Times New Roman"/>
          <w:lang w:val="fr-CA"/>
        </w:rPr>
        <w:t>-</w:t>
      </w:r>
      <w:r w:rsidRPr="00AC3DC3">
        <w:rPr>
          <w:rFonts w:cs="Times New Roman"/>
          <w:lang w:val="fr-CA"/>
        </w:rPr>
        <w:t>20, art. 6</w:t>
      </w:r>
      <w:r w:rsidRPr="000A2249">
        <w:rPr>
          <w:rStyle w:val="Hyperlink"/>
          <w:u w:val="none"/>
          <w:vertAlign w:val="superscript"/>
        </w:rPr>
        <w:footnoteReference w:id="3"/>
      </w:r>
      <w:r w:rsidRPr="00AC3DC3">
        <w:rPr>
          <w:rFonts w:cs="Times New Roman"/>
          <w:lang w:val="fr-CA"/>
        </w:rPr>
        <w:t>.  Ci</w:t>
      </w:r>
      <w:r w:rsidR="008E77B2">
        <w:rPr>
          <w:rFonts w:cs="Times New Roman"/>
          <w:lang w:val="fr-CA"/>
        </w:rPr>
        <w:t>-</w:t>
      </w:r>
      <w:r w:rsidRPr="00AC3DC3">
        <w:rPr>
          <w:rFonts w:cs="Times New Roman"/>
          <w:lang w:val="fr-CA"/>
        </w:rPr>
        <w:t>après, l’expression « libération anticipée » englobe la libération d’office et la réduction méritée de peine.</w:t>
      </w:r>
    </w:p>
    <w:p w:rsidR="003966E1" w:rsidRPr="00AC3DC3" w:rsidRDefault="003966E1" w:rsidP="00A17E02">
      <w:pPr>
        <w:pStyle w:val="ParaNoNdepar-AltN"/>
        <w:rPr>
          <w:rFonts w:cs="Times New Roman"/>
          <w:lang w:val="fr-CA"/>
        </w:rPr>
      </w:pPr>
      <w:r w:rsidRPr="00AC3DC3">
        <w:rPr>
          <w:rFonts w:cs="Times New Roman"/>
          <w:lang w:val="fr-CA"/>
        </w:rPr>
        <w:t xml:space="preserve">Dans les faits, </w:t>
      </w:r>
      <w:r w:rsidR="000A2249" w:rsidRPr="00AC3DC3">
        <w:rPr>
          <w:rFonts w:cs="Times New Roman"/>
          <w:lang w:val="fr-CA"/>
        </w:rPr>
        <w:t>la</w:t>
      </w:r>
      <w:r w:rsidR="000A2249">
        <w:rPr>
          <w:rFonts w:cs="Times New Roman"/>
          <w:lang w:val="fr-CA"/>
        </w:rPr>
        <w:t xml:space="preserve"> </w:t>
      </w:r>
      <w:r w:rsidRPr="00AC3DC3">
        <w:rPr>
          <w:rFonts w:cs="Times New Roman"/>
          <w:lang w:val="fr-CA"/>
        </w:rPr>
        <w:t>[</w:t>
      </w:r>
      <w:r w:rsidRPr="00AC3DC3">
        <w:rPr>
          <w:rFonts w:cs="Times New Roman"/>
          <w:smallCaps/>
          <w:lang w:val="fr-CA"/>
        </w:rPr>
        <w:t>traduction</w:t>
      </w:r>
      <w:r w:rsidRPr="00AC3DC3">
        <w:rPr>
          <w:rFonts w:cs="Times New Roman"/>
          <w:lang w:val="fr-CA"/>
        </w:rPr>
        <w:t>] « grande majorité des délinquants qui purgent leur peine dans une maison de correction sont libérés, au titre de la réduction méritée [. . .] aux deux tiers de leur peine environ</w:t>
      </w:r>
      <w:r w:rsidR="000A2249" w:rsidRPr="00AC3DC3">
        <w:rPr>
          <w:rFonts w:cs="Times New Roman"/>
          <w:lang w:val="fr-CA"/>
        </w:rPr>
        <w:t> »</w:t>
      </w:r>
      <w:r w:rsidRPr="00AC3DC3">
        <w:rPr>
          <w:rFonts w:cs="Times New Roman"/>
          <w:lang w:val="fr-CA"/>
        </w:rPr>
        <w:t>,</w:t>
      </w:r>
      <w:r w:rsidR="000A2249">
        <w:rPr>
          <w:rFonts w:cs="Times New Roman"/>
          <w:lang w:val="fr-CA"/>
        </w:rPr>
        <w:t xml:space="preserve"> alors que deux à trois pour cent</w:t>
      </w:r>
      <w:r w:rsidRPr="00AC3DC3">
        <w:rPr>
          <w:rFonts w:cs="Times New Roman"/>
          <w:lang w:val="fr-CA"/>
        </w:rPr>
        <w:t xml:space="preserve"> des détenus sous responsabilité fédérale ne sont libérés ni conditionnellement, ni d’office (C. C. Ruby, G. J. Chan et N. R. Hasan, </w:t>
      </w:r>
      <w:proofErr w:type="spellStart"/>
      <w:r w:rsidRPr="00AC3DC3">
        <w:rPr>
          <w:rFonts w:cs="Times New Roman"/>
          <w:i/>
          <w:lang w:val="fr-CA"/>
        </w:rPr>
        <w:t>Sentencing</w:t>
      </w:r>
      <w:proofErr w:type="spellEnd"/>
      <w:r w:rsidRPr="00AC3DC3">
        <w:rPr>
          <w:rFonts w:cs="Times New Roman"/>
          <w:lang w:val="fr-CA"/>
        </w:rPr>
        <w:t xml:space="preserve"> (8</w:t>
      </w:r>
      <w:r w:rsidRPr="00AC3DC3">
        <w:rPr>
          <w:rFonts w:cs="Times New Roman"/>
          <w:vertAlign w:val="superscript"/>
          <w:lang w:val="fr-CA"/>
        </w:rPr>
        <w:t>e</w:t>
      </w:r>
      <w:r w:rsidRPr="00AC3DC3">
        <w:rPr>
          <w:rFonts w:cs="Times New Roman"/>
          <w:lang w:val="fr-CA"/>
        </w:rPr>
        <w:t xml:space="preserve"> éd. 2012), </w:t>
      </w:r>
      <w:r>
        <w:rPr>
          <w:rFonts w:cs="Times New Roman"/>
          <w:lang w:val="fr-CA"/>
        </w:rPr>
        <w:t>§</w:t>
      </w:r>
      <w:r w:rsidRPr="00AC3DC3">
        <w:rPr>
          <w:rFonts w:cs="Times New Roman"/>
          <w:lang w:val="fr-CA"/>
        </w:rPr>
        <w:t>13.38 et 13.39).</w:t>
      </w:r>
    </w:p>
    <w:p w:rsidR="003966E1" w:rsidRPr="00AC3DC3" w:rsidRDefault="003966E1" w:rsidP="00A17E02">
      <w:pPr>
        <w:pStyle w:val="ParaNoNdepar-AltN"/>
        <w:rPr>
          <w:rFonts w:cs="Times New Roman"/>
          <w:lang w:val="fr-CA"/>
        </w:rPr>
      </w:pPr>
      <w:r w:rsidRPr="00AC3DC3">
        <w:rPr>
          <w:rFonts w:cs="Times New Roman"/>
          <w:lang w:val="fr-CA"/>
        </w:rPr>
        <w:t xml:space="preserve">Comme la peine débute au moment de son prononcé (par. 719(1)) et que les règles établies par la loi pour l’admissibilité à la libération conditionnelle et à la libération anticipée ne tiennent pas compte de la détention </w:t>
      </w:r>
      <w:proofErr w:type="spellStart"/>
      <w:r w:rsidRPr="00AC3DC3">
        <w:rPr>
          <w:rFonts w:cs="Times New Roman"/>
          <w:lang w:val="fr-CA"/>
        </w:rPr>
        <w:t>présentencielle</w:t>
      </w:r>
      <w:proofErr w:type="spellEnd"/>
      <w:r w:rsidRPr="00AC3DC3">
        <w:rPr>
          <w:rFonts w:cs="Times New Roman"/>
          <w:lang w:val="fr-CA"/>
        </w:rPr>
        <w:t xml:space="preserve">, la durée de </w:t>
      </w:r>
      <w:proofErr w:type="gramStart"/>
      <w:r w:rsidRPr="00AC3DC3">
        <w:rPr>
          <w:rFonts w:cs="Times New Roman"/>
          <w:lang w:val="fr-CA"/>
        </w:rPr>
        <w:t>cette dernière</w:t>
      </w:r>
      <w:proofErr w:type="gramEnd"/>
      <w:r w:rsidRPr="00AC3DC3">
        <w:rPr>
          <w:rFonts w:cs="Times New Roman"/>
          <w:lang w:val="fr-CA"/>
        </w:rPr>
        <w:t xml:space="preserve"> doit presque toujours être retranchée de celle de la peine à raison de plus d’un jour contre un afin que le délinquant ne subisse pas un préjudice. </w:t>
      </w:r>
    </w:p>
    <w:p w:rsidR="003966E1" w:rsidRPr="00AC3DC3" w:rsidRDefault="003966E1" w:rsidP="00A17E02">
      <w:pPr>
        <w:pStyle w:val="ParaNoNdepar-AltN"/>
        <w:rPr>
          <w:rFonts w:cs="Times New Roman"/>
          <w:lang w:val="fr-CA"/>
        </w:rPr>
      </w:pPr>
      <w:r w:rsidRPr="00AC3DC3">
        <w:rPr>
          <w:rFonts w:cs="Times New Roman"/>
          <w:lang w:val="fr-CA"/>
        </w:rPr>
        <w:lastRenderedPageBreak/>
        <w:t>Le ratio d’un jour et demi contre un garantit que le délinquant libéré aux deux tiers de sa peine est emprisonné pendant la même durée qu’il ait été détenu ou non avant le prononcé de la sentence.  Un ratio plus élevé servait donc souvent à tenir compte d’autres éléments, dont la perte liée à l’admissibilité à la libération conditionnelle (c’est</w:t>
      </w:r>
      <w:r w:rsidR="008E77B2">
        <w:rPr>
          <w:rFonts w:cs="Times New Roman"/>
          <w:lang w:val="fr-CA"/>
        </w:rPr>
        <w:t>-</w:t>
      </w:r>
      <w:r w:rsidRPr="00AC3DC3">
        <w:rPr>
          <w:rFonts w:cs="Times New Roman"/>
          <w:lang w:val="fr-CA"/>
        </w:rPr>
        <w:t>à</w:t>
      </w:r>
      <w:r w:rsidR="008E77B2">
        <w:rPr>
          <w:rFonts w:cs="Times New Roman"/>
          <w:lang w:val="fr-CA"/>
        </w:rPr>
        <w:t>-</w:t>
      </w:r>
      <w:r w:rsidRPr="00AC3DC3">
        <w:rPr>
          <w:rFonts w:cs="Times New Roman"/>
          <w:lang w:val="fr-CA"/>
        </w:rPr>
        <w:t xml:space="preserve">dire la possibilité perdue d’être libéré au tiers de la peine). </w:t>
      </w:r>
    </w:p>
    <w:p w:rsidR="003966E1" w:rsidRPr="00AC3DC3" w:rsidRDefault="003966E1" w:rsidP="00A17E02">
      <w:pPr>
        <w:pStyle w:val="ParaNoNdepar-AltN"/>
        <w:rPr>
          <w:rFonts w:cs="Times New Roman"/>
          <w:lang w:val="fr-CA"/>
        </w:rPr>
      </w:pPr>
      <w:r w:rsidRPr="00AC3DC3">
        <w:rPr>
          <w:rFonts w:cs="Times New Roman"/>
          <w:lang w:val="fr-CA"/>
        </w:rPr>
        <w:t xml:space="preserve">La deuxième raison d’être du crédit majoré est de nature </w:t>
      </w:r>
      <w:r w:rsidRPr="00AC3DC3">
        <w:rPr>
          <w:rFonts w:cs="Times New Roman"/>
          <w:i/>
          <w:lang w:val="fr-CA"/>
        </w:rPr>
        <w:t>qualitative</w:t>
      </w:r>
      <w:r w:rsidRPr="00AC3DC3">
        <w:rPr>
          <w:rFonts w:cs="Times New Roman"/>
          <w:lang w:val="fr-CA"/>
        </w:rPr>
        <w:t xml:space="preserve">.  Les centres de détention préventive n’offrent généralement pas les programmes d’enseignement, de recyclage ou de réinsertion sociale qui sont habituellement accessibles dans les établissements correctionnels.  Par conséquent, la détention avant sentence est souvent plus pénible que l’emprisonnement après sentence.  Comme le dit la juge </w:t>
      </w:r>
      <w:proofErr w:type="spellStart"/>
      <w:r w:rsidRPr="00AC3DC3">
        <w:rPr>
          <w:rFonts w:cs="Times New Roman"/>
          <w:lang w:val="fr-CA"/>
        </w:rPr>
        <w:t>Cronk</w:t>
      </w:r>
      <w:proofErr w:type="spellEnd"/>
      <w:r w:rsidRPr="00AC3DC3">
        <w:rPr>
          <w:rFonts w:cs="Times New Roman"/>
          <w:lang w:val="fr-CA"/>
        </w:rPr>
        <w:t xml:space="preserve"> dans la présente affaire, la surpopulation, le renouvellement constant des détenus, les conflits de travail et d’autres éléments tendent à rendre la détention </w:t>
      </w:r>
      <w:proofErr w:type="spellStart"/>
      <w:r w:rsidRPr="00AC3DC3">
        <w:rPr>
          <w:rFonts w:cs="Times New Roman"/>
          <w:lang w:val="fr-CA"/>
        </w:rPr>
        <w:t>présentencielle</w:t>
      </w:r>
      <w:proofErr w:type="spellEnd"/>
      <w:r w:rsidRPr="00AC3DC3">
        <w:rPr>
          <w:rFonts w:cs="Times New Roman"/>
          <w:lang w:val="fr-CA"/>
        </w:rPr>
        <w:t xml:space="preserve"> plus pénible. </w:t>
      </w:r>
    </w:p>
    <w:p w:rsidR="003966E1" w:rsidRPr="00AC3DC3" w:rsidRDefault="003966E1" w:rsidP="00A17E02">
      <w:pPr>
        <w:pStyle w:val="ParaNoNdepar-AltN"/>
        <w:rPr>
          <w:rFonts w:cs="Times New Roman"/>
          <w:lang w:val="fr-CA"/>
        </w:rPr>
      </w:pPr>
      <w:r w:rsidRPr="00AC3DC3">
        <w:rPr>
          <w:rFonts w:cs="Times New Roman"/>
          <w:lang w:val="fr-CA"/>
        </w:rPr>
        <w:t>Les conséquences de la surpopulation ou de l’absence de programmes d’enseignement varient selon les besoins du délinquant, sa moralité et sa prédisposition.  Le crédit majoré accordé pour ces motifs constitue une mesure à la fois qualitative et discrétionnaire qui tient aux faits de l’espèce.</w:t>
      </w:r>
    </w:p>
    <w:p w:rsidR="003966E1" w:rsidRPr="00AC3DC3" w:rsidRDefault="003966E1" w:rsidP="00A17E02">
      <w:pPr>
        <w:pStyle w:val="ParaNoNdepar-AltN"/>
        <w:rPr>
          <w:rFonts w:cs="Times New Roman"/>
          <w:lang w:val="fr-CA"/>
        </w:rPr>
      </w:pPr>
      <w:r w:rsidRPr="00AC3DC3">
        <w:rPr>
          <w:rFonts w:cs="Times New Roman"/>
          <w:lang w:val="fr-CA"/>
        </w:rPr>
        <w:t xml:space="preserve">Au vu de ces deux raisons d’être, les tribunaux en sont arrivés à créditer deux jours par jour de détention </w:t>
      </w:r>
      <w:proofErr w:type="spellStart"/>
      <w:r w:rsidRPr="00AC3DC3">
        <w:rPr>
          <w:rFonts w:cs="Times New Roman"/>
          <w:lang w:val="fr-CA"/>
        </w:rPr>
        <w:t>présentencielle</w:t>
      </w:r>
      <w:proofErr w:type="spellEnd"/>
      <w:r w:rsidRPr="00AC3DC3">
        <w:rPr>
          <w:rFonts w:cs="Times New Roman"/>
          <w:lang w:val="fr-CA"/>
        </w:rPr>
        <w:t xml:space="preserve">.  Dans l’arrêt </w:t>
      </w:r>
      <w:proofErr w:type="spellStart"/>
      <w:r w:rsidRPr="00AC3DC3">
        <w:rPr>
          <w:rFonts w:cs="Times New Roman"/>
          <w:i/>
          <w:lang w:val="fr-CA"/>
        </w:rPr>
        <w:t>Wust</w:t>
      </w:r>
      <w:proofErr w:type="spellEnd"/>
      <w:r w:rsidRPr="00AC3DC3">
        <w:rPr>
          <w:rFonts w:cs="Times New Roman"/>
          <w:lang w:val="fr-CA"/>
        </w:rPr>
        <w:t>, notre Cour a approuvé cette pratique, mai</w:t>
      </w:r>
      <w:r w:rsidR="000A2249">
        <w:rPr>
          <w:rFonts w:cs="Times New Roman"/>
          <w:lang w:val="fr-CA"/>
        </w:rPr>
        <w:t>s a signalé que le juste ratio n</w:t>
      </w:r>
      <w:r w:rsidRPr="00AC3DC3">
        <w:rPr>
          <w:rFonts w:cs="Times New Roman"/>
          <w:lang w:val="fr-CA"/>
        </w:rPr>
        <w:t xml:space="preserve">e saurait découler de </w:t>
      </w:r>
      <w:r w:rsidRPr="00AC3DC3">
        <w:rPr>
          <w:rFonts w:cs="Times New Roman"/>
          <w:lang w:val="fr-CA"/>
        </w:rPr>
        <w:lastRenderedPageBreak/>
        <w:t xml:space="preserve">l’application d’une formule rigide et qu’il est préférable de laisser au juge qui détermine la peine le soin d’en décider. </w:t>
      </w:r>
    </w:p>
    <w:p w:rsidR="003966E1" w:rsidRPr="00AC3DC3" w:rsidRDefault="003966E1" w:rsidP="00A17E02">
      <w:pPr>
        <w:pStyle w:val="ParaNoNdepar-AltN"/>
        <w:rPr>
          <w:rFonts w:cs="Times New Roman"/>
          <w:lang w:val="fr-CA"/>
        </w:rPr>
      </w:pPr>
      <w:r w:rsidRPr="00AC3DC3">
        <w:rPr>
          <w:rFonts w:cs="Times New Roman"/>
          <w:lang w:val="fr-CA"/>
        </w:rPr>
        <w:t xml:space="preserve">Par exemple, lorsque l’accusé avait été détenu dans un centre de détention préventive où il avait pu profiter de programmes d’enseignement et de réinsertion sociale, un crédit de moins de deux jours était parfois indiqué (même si un crédit quelque peu majoré pouvait tout de même être justifié du point de vue quantitatif).  Aussi, dans le cas où la longue détention </w:t>
      </w:r>
      <w:proofErr w:type="spellStart"/>
      <w:r w:rsidRPr="00AC3DC3">
        <w:rPr>
          <w:rFonts w:cs="Times New Roman"/>
          <w:lang w:val="fr-CA"/>
        </w:rPr>
        <w:t>présentencielle</w:t>
      </w:r>
      <w:proofErr w:type="spellEnd"/>
      <w:r w:rsidRPr="00AC3DC3">
        <w:rPr>
          <w:rFonts w:cs="Times New Roman"/>
          <w:lang w:val="fr-CA"/>
        </w:rPr>
        <w:t xml:space="preserve"> pouvait être attribuable à la mauvaise conduite de l’accusé (comme le non</w:t>
      </w:r>
      <w:r w:rsidR="008E77B2">
        <w:rPr>
          <w:rFonts w:cs="Times New Roman"/>
          <w:lang w:val="fr-CA"/>
        </w:rPr>
        <w:t>-</w:t>
      </w:r>
      <w:r w:rsidRPr="00AC3DC3">
        <w:rPr>
          <w:rFonts w:cs="Times New Roman"/>
          <w:lang w:val="fr-CA"/>
        </w:rPr>
        <w:t>respect de ses conditions de mise en liberté sous caution), le crédit majoré n’était pas indiqué (</w:t>
      </w:r>
      <w:proofErr w:type="spellStart"/>
      <w:r w:rsidRPr="00AC3DC3">
        <w:rPr>
          <w:rFonts w:cs="Times New Roman"/>
          <w:i/>
          <w:lang w:val="fr-CA"/>
        </w:rPr>
        <w:t>Rezaie</w:t>
      </w:r>
      <w:proofErr w:type="spellEnd"/>
      <w:r w:rsidRPr="00AC3DC3">
        <w:rPr>
          <w:rFonts w:cs="Times New Roman"/>
          <w:lang w:val="fr-CA"/>
        </w:rPr>
        <w:t xml:space="preserve">).  En revanche, le délinquant dont les conditions de détention avaient été particulièrement dures avait droit à un ratio de trois contre un, voire (rarement) de quatre contre un. </w:t>
      </w:r>
    </w:p>
    <w:p w:rsidR="003966E1" w:rsidRPr="00AC3DC3" w:rsidRDefault="003966E1" w:rsidP="00A17E02">
      <w:pPr>
        <w:pStyle w:val="Title2LevelTitre2Niveau"/>
        <w:keepNext w:val="0"/>
        <w:rPr>
          <w:rFonts w:cs="Times New Roman"/>
          <w:lang w:val="fr-CA"/>
        </w:rPr>
      </w:pPr>
      <w:r w:rsidRPr="00AC3DC3">
        <w:rPr>
          <w:rFonts w:cs="Times New Roman"/>
          <w:lang w:val="fr-CA"/>
        </w:rPr>
        <w:t>Interprétation du par</w:t>
      </w:r>
      <w:r w:rsidR="006637D3">
        <w:rPr>
          <w:rFonts w:cs="Times New Roman"/>
          <w:lang w:val="fr-CA"/>
        </w:rPr>
        <w:t>.</w:t>
      </w:r>
      <w:r w:rsidRPr="00AC3DC3">
        <w:rPr>
          <w:rFonts w:cs="Times New Roman"/>
          <w:lang w:val="fr-CA"/>
        </w:rPr>
        <w:t> 719(3.1)</w:t>
      </w:r>
    </w:p>
    <w:p w:rsidR="003966E1" w:rsidRPr="00AC3DC3" w:rsidRDefault="003966E1" w:rsidP="00A17E02">
      <w:pPr>
        <w:pStyle w:val="ParaNoNdepar-AltN"/>
        <w:rPr>
          <w:rFonts w:cs="Times New Roman"/>
          <w:lang w:val="fr-CA"/>
        </w:rPr>
      </w:pPr>
      <w:r w:rsidRPr="00AC3DC3">
        <w:rPr>
          <w:rFonts w:cs="Times New Roman"/>
          <w:lang w:val="fr-CA"/>
        </w:rPr>
        <w:t xml:space="preserve">En 2009, le législateur a modifié le régime législatif du crédit accordé pour détention </w:t>
      </w:r>
      <w:proofErr w:type="spellStart"/>
      <w:r w:rsidRPr="00AC3DC3">
        <w:rPr>
          <w:rFonts w:cs="Times New Roman"/>
          <w:lang w:val="fr-CA"/>
        </w:rPr>
        <w:t>présentencielle</w:t>
      </w:r>
      <w:proofErr w:type="spellEnd"/>
      <w:r w:rsidRPr="00AC3DC3">
        <w:rPr>
          <w:rFonts w:cs="Times New Roman"/>
          <w:lang w:val="fr-CA"/>
        </w:rPr>
        <w:t xml:space="preserve">. Je le rappelle, la </w:t>
      </w:r>
      <w:r w:rsidRPr="00AC3DC3">
        <w:rPr>
          <w:rFonts w:cs="Times New Roman"/>
          <w:i/>
          <w:lang w:val="fr-CA"/>
        </w:rPr>
        <w:t>LAPC</w:t>
      </w:r>
      <w:r w:rsidRPr="00AC3DC3">
        <w:rPr>
          <w:rFonts w:cs="Times New Roman"/>
          <w:lang w:val="fr-CA"/>
        </w:rPr>
        <w:t xml:space="preserve"> a modifié l’art. 719 du </w:t>
      </w:r>
      <w:r w:rsidRPr="00AC3DC3">
        <w:rPr>
          <w:rFonts w:cs="Times New Roman"/>
          <w:i/>
          <w:lang w:val="fr-CA"/>
        </w:rPr>
        <w:t>Code criminel</w:t>
      </w:r>
      <w:r w:rsidRPr="00AC3DC3">
        <w:rPr>
          <w:rFonts w:cs="Times New Roman"/>
          <w:lang w:val="fr-CA"/>
        </w:rPr>
        <w:t xml:space="preserve"> sous deux rapports. Premièrement, le par. 719(3) limitait désormais le temps alloué pour la détention </w:t>
      </w:r>
      <w:proofErr w:type="spellStart"/>
      <w:r w:rsidRPr="00AC3DC3">
        <w:rPr>
          <w:rFonts w:cs="Times New Roman"/>
          <w:lang w:val="fr-CA"/>
        </w:rPr>
        <w:t>présentencielle</w:t>
      </w:r>
      <w:proofErr w:type="spellEnd"/>
      <w:r w:rsidRPr="00AC3DC3">
        <w:rPr>
          <w:rFonts w:cs="Times New Roman"/>
          <w:lang w:val="fr-CA"/>
        </w:rPr>
        <w:t xml:space="preserve"> « à un maximum d’un jour pour chaque jour passé sous garde ».  Deuxièmement, malgré cette limite, le par. 719(3.1) disposait que, « si les circonstances le justifient, le maximum est d’un jour et demi pour chaque jour passé sous garde », sauf dans le cas où l’accusé est détenu dans l’attente de son </w:t>
      </w:r>
      <w:r w:rsidRPr="00AC3DC3">
        <w:rPr>
          <w:rFonts w:cs="Times New Roman"/>
          <w:lang w:val="fr-CA"/>
        </w:rPr>
        <w:lastRenderedPageBreak/>
        <w:t>procès pour un motif précis comme l’inobservation des conditions de sa mise en liberté sous caution.</w:t>
      </w:r>
    </w:p>
    <w:p w:rsidR="003966E1" w:rsidRPr="00AC3DC3" w:rsidRDefault="003966E1" w:rsidP="00A17E02">
      <w:pPr>
        <w:pStyle w:val="ParaNoNdepar-AltN"/>
        <w:rPr>
          <w:rFonts w:cs="Times New Roman"/>
          <w:lang w:val="fr-CA"/>
        </w:rPr>
      </w:pPr>
      <w:r w:rsidRPr="00AC3DC3">
        <w:rPr>
          <w:rFonts w:cs="Times New Roman"/>
          <w:lang w:val="fr-CA"/>
        </w:rPr>
        <w:t xml:space="preserve">La Cour est aujourd’hui appelée à interpréter ces dispositions. Plus particulièrement, elle doit définir les « circonstances » visées au par. 719(3.1) et décider si la perte liée à l’admissibilité à la libération anticipée et à la libération conditionnelle pendant la détention </w:t>
      </w:r>
      <w:proofErr w:type="spellStart"/>
      <w:r w:rsidRPr="00AC3DC3">
        <w:rPr>
          <w:rFonts w:cs="Times New Roman"/>
          <w:lang w:val="fr-CA"/>
        </w:rPr>
        <w:t>présentencielle</w:t>
      </w:r>
      <w:proofErr w:type="spellEnd"/>
      <w:r w:rsidRPr="00AC3DC3">
        <w:rPr>
          <w:rFonts w:cs="Times New Roman"/>
          <w:lang w:val="fr-CA"/>
        </w:rPr>
        <w:t xml:space="preserve"> peut constituer une circonstance susceptible de justifier un crédit majoré selon un ratio d’un jour et demi contre un.</w:t>
      </w:r>
    </w:p>
    <w:p w:rsidR="003966E1" w:rsidRPr="00AC3DC3" w:rsidRDefault="003966E1" w:rsidP="00A17E02">
      <w:pPr>
        <w:pStyle w:val="ParaNoNdepar-AltN"/>
        <w:rPr>
          <w:rFonts w:cs="Times New Roman"/>
          <w:lang w:val="fr-CA"/>
        </w:rPr>
      </w:pPr>
      <w:r w:rsidRPr="00AC3DC3">
        <w:rPr>
          <w:rFonts w:cs="Times New Roman"/>
          <w:lang w:val="fr-CA"/>
        </w:rPr>
        <w:t xml:space="preserve">Je conclus que cette perte constitue une « circonstance » susceptible de justifier l’octroi d’un crédit majoré.  Sur ce point, je souscris pour l’essentiel aux motifs exemplaires tant de la juge </w:t>
      </w:r>
      <w:proofErr w:type="spellStart"/>
      <w:r w:rsidRPr="00AC3DC3">
        <w:rPr>
          <w:rFonts w:cs="Times New Roman"/>
          <w:lang w:val="fr-CA"/>
        </w:rPr>
        <w:t>Cronk</w:t>
      </w:r>
      <w:proofErr w:type="spellEnd"/>
      <w:r w:rsidRPr="00AC3DC3">
        <w:rPr>
          <w:rFonts w:cs="Times New Roman"/>
          <w:lang w:val="fr-CA"/>
        </w:rPr>
        <w:t xml:space="preserve"> en l’espèce que du juge Beveridge dans le dossier connexe </w:t>
      </w:r>
      <w:proofErr w:type="spellStart"/>
      <w:r w:rsidRPr="00AC3DC3">
        <w:rPr>
          <w:rFonts w:cs="Times New Roman"/>
          <w:i/>
          <w:lang w:val="fr-CA"/>
        </w:rPr>
        <w:t>Carvery</w:t>
      </w:r>
      <w:proofErr w:type="spellEnd"/>
      <w:r w:rsidRPr="00AC3DC3">
        <w:rPr>
          <w:rFonts w:cs="Times New Roman"/>
          <w:lang w:val="fr-CA"/>
        </w:rPr>
        <w:t xml:space="preserve">. </w:t>
      </w:r>
    </w:p>
    <w:p w:rsidR="003966E1" w:rsidRPr="00AC3DC3" w:rsidRDefault="003966E1" w:rsidP="00A17E02">
      <w:pPr>
        <w:pStyle w:val="ParaNoNdepar-AltN"/>
        <w:rPr>
          <w:rFonts w:cs="Times New Roman"/>
          <w:lang w:val="fr-CA"/>
        </w:rPr>
      </w:pPr>
      <w:r w:rsidRPr="00AC3DC3">
        <w:rPr>
          <w:rFonts w:cs="Times New Roman"/>
          <w:lang w:val="fr-CA"/>
        </w:rPr>
        <w:t xml:space="preserve">Dans les motifs qui suivent, je me penche sur (1) le libellé de la disposition, (2) la construction de l’article, (3) l’intention du législateur et (4) l’économie du </w:t>
      </w:r>
      <w:r w:rsidRPr="00AC3DC3">
        <w:rPr>
          <w:rFonts w:cs="Times New Roman"/>
          <w:i/>
          <w:lang w:val="fr-CA"/>
        </w:rPr>
        <w:t>Code criminel</w:t>
      </w:r>
      <w:r w:rsidRPr="00AC3DC3">
        <w:rPr>
          <w:rFonts w:cs="Times New Roman"/>
          <w:lang w:val="fr-CA"/>
        </w:rPr>
        <w:t xml:space="preserve"> (voir </w:t>
      </w:r>
      <w:proofErr w:type="spellStart"/>
      <w:r w:rsidRPr="00AC3DC3">
        <w:rPr>
          <w:rFonts w:cs="Times New Roman"/>
          <w:i/>
          <w:lang w:val="fr-CA"/>
        </w:rPr>
        <w:t>Rizzo</w:t>
      </w:r>
      <w:proofErr w:type="spellEnd"/>
      <w:r w:rsidRPr="00AC3DC3">
        <w:rPr>
          <w:rFonts w:cs="Times New Roman"/>
          <w:i/>
          <w:lang w:val="fr-CA"/>
        </w:rPr>
        <w:t xml:space="preserve"> &amp; </w:t>
      </w:r>
      <w:proofErr w:type="spellStart"/>
      <w:r w:rsidRPr="00AC3DC3">
        <w:rPr>
          <w:rFonts w:cs="Times New Roman"/>
          <w:i/>
          <w:lang w:val="fr-CA"/>
        </w:rPr>
        <w:t>Rizzo</w:t>
      </w:r>
      <w:proofErr w:type="spellEnd"/>
      <w:r w:rsidRPr="00AC3DC3">
        <w:rPr>
          <w:rFonts w:cs="Times New Roman"/>
          <w:i/>
          <w:lang w:val="fr-CA"/>
        </w:rPr>
        <w:t xml:space="preserve"> </w:t>
      </w:r>
      <w:proofErr w:type="spellStart"/>
      <w:r w:rsidRPr="00AC3DC3">
        <w:rPr>
          <w:rFonts w:cs="Times New Roman"/>
          <w:i/>
          <w:lang w:val="fr-CA"/>
        </w:rPr>
        <w:t>Shoes</w:t>
      </w:r>
      <w:proofErr w:type="spellEnd"/>
      <w:r w:rsidRPr="00AC3DC3">
        <w:rPr>
          <w:rFonts w:cs="Times New Roman"/>
          <w:i/>
          <w:lang w:val="fr-CA"/>
        </w:rPr>
        <w:t xml:space="preserve"> Ltd</w:t>
      </w:r>
      <w:r w:rsidRPr="009D01BF">
        <w:rPr>
          <w:rFonts w:cs="Times New Roman"/>
          <w:i/>
          <w:lang w:val="fr-CA"/>
        </w:rPr>
        <w:t>.</w:t>
      </w:r>
      <w:r w:rsidRPr="00AC3DC3">
        <w:rPr>
          <w:rFonts w:cs="Times New Roman"/>
          <w:lang w:val="fr-CA"/>
        </w:rPr>
        <w:t xml:space="preserve"> </w:t>
      </w:r>
      <w:r w:rsidRPr="009D01BF">
        <w:rPr>
          <w:rFonts w:cs="Times New Roman"/>
          <w:i/>
          <w:lang w:val="fr-CA"/>
        </w:rPr>
        <w:t>(</w:t>
      </w:r>
      <w:proofErr w:type="spellStart"/>
      <w:r w:rsidRPr="00AC3DC3">
        <w:rPr>
          <w:rFonts w:cs="Times New Roman"/>
          <w:i/>
          <w:lang w:val="fr-CA"/>
        </w:rPr>
        <w:t>Re</w:t>
      </w:r>
      <w:proofErr w:type="spellEnd"/>
      <w:r w:rsidRPr="009D01BF">
        <w:rPr>
          <w:rFonts w:cs="Times New Roman"/>
          <w:i/>
          <w:lang w:val="fr-CA"/>
        </w:rPr>
        <w:t>)</w:t>
      </w:r>
      <w:r w:rsidRPr="00AC3DC3">
        <w:rPr>
          <w:rFonts w:cs="Times New Roman"/>
          <w:lang w:val="fr-CA"/>
        </w:rPr>
        <w:t xml:space="preserve">, [1998] 1 R.C.S. 27).  À mon avis, la portée de la disposition est claire selon les principes traditionnels d’interprétation des lois; il n’est donc ni indiqué, ni nécessaire de recourir à la présomption de conformité à la </w:t>
      </w:r>
      <w:r w:rsidRPr="00AC3DC3">
        <w:rPr>
          <w:rFonts w:cs="Times New Roman"/>
          <w:i/>
          <w:lang w:val="fr-CA"/>
        </w:rPr>
        <w:t xml:space="preserve">Charte canadienne des droits et libertés </w:t>
      </w:r>
      <w:r w:rsidRPr="00AC3DC3">
        <w:rPr>
          <w:rFonts w:cs="Times New Roman"/>
          <w:lang w:val="fr-CA"/>
        </w:rPr>
        <w:t xml:space="preserve">(voir </w:t>
      </w:r>
      <w:r w:rsidRPr="00AC3DC3">
        <w:rPr>
          <w:rFonts w:cs="Times New Roman"/>
          <w:i/>
          <w:lang w:val="fr-CA"/>
        </w:rPr>
        <w:t xml:space="preserve">Bell </w:t>
      </w:r>
      <w:proofErr w:type="spellStart"/>
      <w:r w:rsidRPr="00AC3DC3">
        <w:rPr>
          <w:rFonts w:cs="Times New Roman"/>
          <w:i/>
          <w:lang w:val="fr-CA"/>
        </w:rPr>
        <w:t>ExpressVu</w:t>
      </w:r>
      <w:proofErr w:type="spellEnd"/>
      <w:r w:rsidRPr="00AC3DC3">
        <w:rPr>
          <w:rFonts w:cs="Times New Roman"/>
          <w:i/>
          <w:lang w:val="fr-CA"/>
        </w:rPr>
        <w:t xml:space="preserve"> Limited </w:t>
      </w:r>
      <w:proofErr w:type="spellStart"/>
      <w:r w:rsidRPr="00AC3DC3">
        <w:rPr>
          <w:rFonts w:cs="Times New Roman"/>
          <w:i/>
          <w:lang w:val="fr-CA"/>
        </w:rPr>
        <w:t>Partnership</w:t>
      </w:r>
      <w:proofErr w:type="spellEnd"/>
      <w:r w:rsidRPr="00AC3DC3">
        <w:rPr>
          <w:rFonts w:cs="Times New Roman"/>
          <w:i/>
          <w:lang w:val="fr-CA"/>
        </w:rPr>
        <w:t xml:space="preserve"> c. Rex</w:t>
      </w:r>
      <w:r w:rsidRPr="009D01BF">
        <w:rPr>
          <w:rFonts w:cs="Times New Roman"/>
          <w:lang w:val="fr-CA"/>
        </w:rPr>
        <w:t>,</w:t>
      </w:r>
      <w:r w:rsidRPr="00AC3DC3">
        <w:rPr>
          <w:rFonts w:cs="Times New Roman"/>
          <w:i/>
          <w:lang w:val="fr-CA"/>
        </w:rPr>
        <w:t xml:space="preserve"> </w:t>
      </w:r>
      <w:r w:rsidRPr="00AC3DC3">
        <w:rPr>
          <w:rFonts w:cs="Times New Roman"/>
          <w:lang w:val="fr-CA"/>
        </w:rPr>
        <w:t>2002 CSC 42, [2002] 2 R.C.</w:t>
      </w:r>
      <w:r w:rsidR="009D01BF" w:rsidRPr="00AC3DC3">
        <w:rPr>
          <w:rFonts w:cs="Times New Roman"/>
          <w:lang w:val="fr-CA"/>
        </w:rPr>
        <w:t>S.</w:t>
      </w:r>
      <w:r w:rsidRPr="00AC3DC3">
        <w:rPr>
          <w:rFonts w:cs="Times New Roman"/>
          <w:lang w:val="fr-CA"/>
        </w:rPr>
        <w:t xml:space="preserve"> 559, par. 28</w:t>
      </w:r>
      <w:r w:rsidR="008E77B2">
        <w:rPr>
          <w:rFonts w:cs="Times New Roman"/>
          <w:lang w:val="fr-CA"/>
        </w:rPr>
        <w:t>-</w:t>
      </w:r>
      <w:r w:rsidRPr="00AC3DC3">
        <w:rPr>
          <w:rFonts w:cs="Times New Roman"/>
          <w:lang w:val="fr-CA"/>
        </w:rPr>
        <w:t>30 et 61</w:t>
      </w:r>
      <w:r w:rsidR="008E77B2">
        <w:rPr>
          <w:rFonts w:cs="Times New Roman"/>
          <w:lang w:val="fr-CA"/>
        </w:rPr>
        <w:t>-</w:t>
      </w:r>
      <w:r w:rsidRPr="00AC3DC3">
        <w:rPr>
          <w:rFonts w:cs="Times New Roman"/>
          <w:lang w:val="fr-CA"/>
        </w:rPr>
        <w:t>66).</w:t>
      </w:r>
    </w:p>
    <w:p w:rsidR="003966E1" w:rsidRPr="00AC3DC3" w:rsidRDefault="003966E1" w:rsidP="00A17E02">
      <w:pPr>
        <w:pStyle w:val="Title3LevelTitre3Niveau"/>
        <w:keepNext w:val="0"/>
        <w:ind w:left="1094" w:hanging="547"/>
        <w:rPr>
          <w:rFonts w:cs="Times New Roman"/>
          <w:lang w:val="fr-CA"/>
        </w:rPr>
      </w:pPr>
      <w:r w:rsidRPr="00AC3DC3">
        <w:rPr>
          <w:rFonts w:cs="Times New Roman"/>
          <w:lang w:val="fr-CA"/>
        </w:rPr>
        <w:t xml:space="preserve">Libellé de la disposition </w:t>
      </w:r>
    </w:p>
    <w:p w:rsidR="003966E1" w:rsidRPr="00AC3DC3" w:rsidRDefault="003966E1" w:rsidP="00A17E02">
      <w:pPr>
        <w:pStyle w:val="ParaNoNdepar-AltN"/>
        <w:rPr>
          <w:rFonts w:cs="Times New Roman"/>
          <w:lang w:val="fr-CA"/>
        </w:rPr>
      </w:pPr>
      <w:r w:rsidRPr="00AC3DC3">
        <w:rPr>
          <w:rFonts w:cs="Times New Roman"/>
          <w:lang w:val="fr-CA"/>
        </w:rPr>
        <w:lastRenderedPageBreak/>
        <w:t xml:space="preserve">Le paragraphe 719(3.1) est rédigé comme suit : </w:t>
      </w:r>
    </w:p>
    <w:p w:rsidR="003966E1" w:rsidRPr="00AC3DC3" w:rsidRDefault="00A67408" w:rsidP="00A17E02">
      <w:pPr>
        <w:pStyle w:val="Citation-AltC"/>
        <w:ind w:hanging="1166"/>
        <w:rPr>
          <w:lang w:val="fr-CA"/>
        </w:rPr>
      </w:pPr>
      <w:r>
        <w:rPr>
          <w:lang w:val="fr-CA"/>
        </w:rPr>
        <w:tab/>
      </w:r>
      <w:r>
        <w:rPr>
          <w:lang w:val="fr-CA"/>
        </w:rPr>
        <w:tab/>
        <w:t xml:space="preserve">(3.1)  Malgré le paragraphe </w:t>
      </w:r>
      <w:r w:rsidR="003966E1" w:rsidRPr="00AC3DC3">
        <w:rPr>
          <w:lang w:val="fr-CA"/>
        </w:rPr>
        <w:t>(3), si les circonstances le justifient, le maximum est d’un jour et demi pour chaque jour passé sous garde, sauf dans le cas où la personne a été détenue pour le motif inscrit au dossier de l’instan</w:t>
      </w:r>
      <w:r>
        <w:rPr>
          <w:lang w:val="fr-CA"/>
        </w:rPr>
        <w:t xml:space="preserve">ce en application du paragraphe </w:t>
      </w:r>
      <w:r w:rsidR="003966E1" w:rsidRPr="00AC3DC3">
        <w:rPr>
          <w:lang w:val="fr-CA"/>
        </w:rPr>
        <w:t>515(9.1) ou au titre de l’ordonnance rendue en applica</w:t>
      </w:r>
      <w:r>
        <w:rPr>
          <w:lang w:val="fr-CA"/>
        </w:rPr>
        <w:t xml:space="preserve">tion des paragraphes </w:t>
      </w:r>
      <w:r w:rsidR="003966E1" w:rsidRPr="00AC3DC3">
        <w:rPr>
          <w:lang w:val="fr-CA"/>
        </w:rPr>
        <w:t>524(4) ou (8).</w:t>
      </w:r>
    </w:p>
    <w:p w:rsidR="003966E1" w:rsidRPr="00AC3DC3" w:rsidRDefault="003966E1" w:rsidP="00A17E02">
      <w:pPr>
        <w:pStyle w:val="ParaNoNdepar-AltN"/>
        <w:rPr>
          <w:rFonts w:cs="Times New Roman"/>
          <w:lang w:val="fr-CA"/>
        </w:rPr>
      </w:pPr>
      <w:r w:rsidRPr="00AC3DC3">
        <w:rPr>
          <w:rFonts w:cs="Times New Roman"/>
          <w:lang w:val="fr-CA"/>
        </w:rPr>
        <w:t>Comme le font observer les juges</w:t>
      </w:r>
      <w:r w:rsidR="009D01BF">
        <w:rPr>
          <w:rFonts w:cs="Times New Roman"/>
          <w:lang w:val="fr-CA"/>
        </w:rPr>
        <w:t xml:space="preserve"> d’appel</w:t>
      </w:r>
      <w:r w:rsidRPr="00AC3DC3">
        <w:rPr>
          <w:rFonts w:cs="Times New Roman"/>
          <w:lang w:val="fr-CA"/>
        </w:rPr>
        <w:t xml:space="preserve"> Beveridge et </w:t>
      </w:r>
      <w:proofErr w:type="spellStart"/>
      <w:r w:rsidRPr="00AC3DC3">
        <w:rPr>
          <w:rFonts w:cs="Times New Roman"/>
          <w:lang w:val="fr-CA"/>
        </w:rPr>
        <w:t>Cronk</w:t>
      </w:r>
      <w:proofErr w:type="spellEnd"/>
      <w:r w:rsidRPr="00AC3DC3">
        <w:rPr>
          <w:rFonts w:cs="Times New Roman"/>
          <w:lang w:val="fr-CA"/>
        </w:rPr>
        <w:t xml:space="preserve">, le libellé de cette disposition n’est pas limitatif quant aux données qui peuvent constituer des « circonstances ». Il aurait été facile pour le législateur de préciser que seules des « circonstances exceptionnelles » ou d’« autres circonstances que la perte liée à l’admissibilité à la libération anticipée et à la libération conditionnelle » justifient l’octroi d’un crédit majoré. </w:t>
      </w:r>
    </w:p>
    <w:p w:rsidR="003966E1" w:rsidRPr="00AC3DC3" w:rsidRDefault="003966E1" w:rsidP="00A17E02">
      <w:pPr>
        <w:pStyle w:val="ParaNoNdepar-AltN"/>
        <w:rPr>
          <w:rFonts w:cs="Times New Roman"/>
          <w:lang w:val="fr-CA"/>
        </w:rPr>
      </w:pPr>
      <w:r w:rsidRPr="00AC3DC3">
        <w:rPr>
          <w:rFonts w:cs="Times New Roman"/>
          <w:lang w:val="fr-CA"/>
        </w:rPr>
        <w:t xml:space="preserve">La juge </w:t>
      </w:r>
      <w:proofErr w:type="spellStart"/>
      <w:r w:rsidRPr="00AC3DC3">
        <w:rPr>
          <w:rFonts w:cs="Times New Roman"/>
          <w:lang w:val="fr-CA"/>
        </w:rPr>
        <w:t>Cronk</w:t>
      </w:r>
      <w:proofErr w:type="spellEnd"/>
      <w:r w:rsidRPr="00AC3DC3">
        <w:rPr>
          <w:rFonts w:cs="Times New Roman"/>
          <w:lang w:val="fr-CA"/>
        </w:rPr>
        <w:t xml:space="preserve"> signale que, ailleurs dans le </w:t>
      </w:r>
      <w:r w:rsidRPr="00AC3DC3">
        <w:rPr>
          <w:rFonts w:cs="Times New Roman"/>
          <w:i/>
          <w:lang w:val="fr-CA"/>
        </w:rPr>
        <w:t>Code criminel</w:t>
      </w:r>
      <w:r w:rsidRPr="00AC3DC3">
        <w:rPr>
          <w:rFonts w:cs="Times New Roman"/>
          <w:lang w:val="fr-CA"/>
        </w:rPr>
        <w:t>, le législateur emploie un libellé qui restreint la portée du mot « circonstances ».  Par exemple, il renvoie à des « circonstances exceptionnelles » au par. 672.14(3) (une ordonnance d’évaluation de l’aptitude de l’accusé à subir son procès n’est en vigueur que pendant 30 jours, mais elle peut valoir pour une période 60 jours si des « circonstances exceptionnelles » l’exigent), au par. 672.47(2) (lorsqu’un accusé est jugé inapte à subir son procès, une décision doit être rendue dans les 45 jours, sauf « circonstances exceptionnelles », auquel cas le délai peut être prolongé jusqu’à un maximum de 90 jours) et au par. 742.6(16) (lorsqu’un délinquant enfreint une ordonnance de sursis, une partie de la période de suspension peut, dans les « </w:t>
      </w:r>
      <w:r>
        <w:rPr>
          <w:rFonts w:cs="Times New Roman"/>
          <w:lang w:val="fr-CA"/>
        </w:rPr>
        <w:t>cas</w:t>
      </w:r>
      <w:r w:rsidRPr="00AC3DC3">
        <w:rPr>
          <w:rFonts w:cs="Times New Roman"/>
          <w:lang w:val="fr-CA"/>
        </w:rPr>
        <w:t xml:space="preserve"> exceptionnel</w:t>
      </w:r>
      <w:r>
        <w:rPr>
          <w:rFonts w:cs="Times New Roman"/>
          <w:lang w:val="fr-CA"/>
        </w:rPr>
        <w:t>s</w:t>
      </w:r>
      <w:r w:rsidRPr="00AC3DC3">
        <w:rPr>
          <w:rFonts w:cs="Times New Roman"/>
          <w:lang w:val="fr-CA"/>
        </w:rPr>
        <w:t xml:space="preserve"> », être réputée valoir comme temps écoulé). </w:t>
      </w:r>
    </w:p>
    <w:p w:rsidR="003966E1" w:rsidRPr="00AC3DC3" w:rsidRDefault="003966E1" w:rsidP="00A17E02">
      <w:pPr>
        <w:pStyle w:val="ParaNoNdepar-AltN"/>
        <w:rPr>
          <w:rFonts w:cs="Times New Roman"/>
          <w:lang w:val="fr-CA"/>
        </w:rPr>
      </w:pPr>
      <w:r w:rsidRPr="00AC3DC3">
        <w:rPr>
          <w:rFonts w:cs="Times New Roman"/>
          <w:lang w:val="fr-CA"/>
        </w:rPr>
        <w:lastRenderedPageBreak/>
        <w:t>L’absence de délimitation des « circo</w:t>
      </w:r>
      <w:r w:rsidR="00713254">
        <w:rPr>
          <w:rFonts w:cs="Times New Roman"/>
          <w:lang w:val="fr-CA"/>
        </w:rPr>
        <w:t>nstances » visées au par. 719(3</w:t>
      </w:r>
      <w:r w:rsidR="008A3492">
        <w:rPr>
          <w:rFonts w:cs="Times New Roman"/>
          <w:lang w:val="fr-CA"/>
        </w:rPr>
        <w:t>.1</w:t>
      </w:r>
      <w:r w:rsidR="00713254">
        <w:rPr>
          <w:rFonts w:cs="Times New Roman"/>
          <w:lang w:val="fr-CA"/>
        </w:rPr>
        <w:t>)</w:t>
      </w:r>
      <w:r w:rsidRPr="00AC3DC3">
        <w:rPr>
          <w:rFonts w:cs="Times New Roman"/>
          <w:lang w:val="fr-CA"/>
        </w:rPr>
        <w:t xml:space="preserve"> est révélatrice, car le législateur </w:t>
      </w:r>
      <w:r w:rsidRPr="00AC3DC3">
        <w:rPr>
          <w:rFonts w:cs="Times New Roman"/>
          <w:i/>
          <w:lang w:val="fr-CA"/>
        </w:rPr>
        <w:t xml:space="preserve">limite </w:t>
      </w:r>
      <w:r w:rsidRPr="00AC3DC3">
        <w:rPr>
          <w:rFonts w:cs="Times New Roman"/>
          <w:lang w:val="fr-CA"/>
        </w:rPr>
        <w:t>l’accès au crédit majoré et le refuse au délinquant qui n’a pas été libéré sous caution principalement à cause d’une condamnation antérieure (par. 515(9.1)), à celui qui a violé les conditions de sa mise en liberté sous caution (al. 524(4)</w:t>
      </w:r>
      <w:r w:rsidRPr="00AC3DC3">
        <w:rPr>
          <w:rFonts w:cs="Times New Roman"/>
          <w:i/>
          <w:lang w:val="fr-CA"/>
        </w:rPr>
        <w:t>a</w:t>
      </w:r>
      <w:r w:rsidRPr="00AC3DC3">
        <w:rPr>
          <w:rFonts w:cs="Times New Roman"/>
          <w:lang w:val="fr-CA"/>
        </w:rPr>
        <w:t>) et 524(8)</w:t>
      </w:r>
      <w:r w:rsidRPr="00AC3DC3">
        <w:rPr>
          <w:rFonts w:cs="Times New Roman"/>
          <w:i/>
          <w:lang w:val="fr-CA"/>
        </w:rPr>
        <w:t>a</w:t>
      </w:r>
      <w:r w:rsidRPr="00713254">
        <w:rPr>
          <w:rFonts w:cs="Times New Roman"/>
          <w:lang w:val="fr-CA"/>
        </w:rPr>
        <w:t>)</w:t>
      </w:r>
      <w:r w:rsidRPr="00AC3DC3">
        <w:rPr>
          <w:rFonts w:cs="Times New Roman"/>
          <w:lang w:val="fr-CA"/>
        </w:rPr>
        <w:t>) et à celui qui a commis un acte criminel lorsqu’il était en liberté sous caution (al. 524(4)</w:t>
      </w:r>
      <w:r w:rsidRPr="00AC3DC3">
        <w:rPr>
          <w:rFonts w:cs="Times New Roman"/>
          <w:i/>
          <w:lang w:val="fr-CA"/>
        </w:rPr>
        <w:t>b</w:t>
      </w:r>
      <w:r w:rsidRPr="00AC3DC3">
        <w:rPr>
          <w:rFonts w:cs="Times New Roman"/>
          <w:lang w:val="fr-CA"/>
        </w:rPr>
        <w:t>) et 524(8)</w:t>
      </w:r>
      <w:r w:rsidRPr="00AC3DC3">
        <w:rPr>
          <w:rFonts w:cs="Times New Roman"/>
          <w:i/>
          <w:lang w:val="fr-CA"/>
        </w:rPr>
        <w:t>b</w:t>
      </w:r>
      <w:r w:rsidRPr="00AC3DC3">
        <w:rPr>
          <w:rFonts w:cs="Times New Roman"/>
          <w:lang w:val="fr-CA"/>
        </w:rPr>
        <w:t xml:space="preserve">)).  Le législateur a clairement considéré les circonstances dans lesquelles le par. 719(3.1) </w:t>
      </w:r>
      <w:r w:rsidRPr="0079503A">
        <w:rPr>
          <w:rFonts w:cs="Times New Roman"/>
          <w:i/>
          <w:lang w:val="fr-CA"/>
        </w:rPr>
        <w:t>ne</w:t>
      </w:r>
      <w:r w:rsidRPr="00AC3DC3">
        <w:rPr>
          <w:rFonts w:cs="Times New Roman"/>
          <w:lang w:val="fr-CA"/>
        </w:rPr>
        <w:t xml:space="preserve"> devait </w:t>
      </w:r>
      <w:r w:rsidRPr="00AC3DC3">
        <w:rPr>
          <w:rFonts w:cs="Times New Roman"/>
          <w:i/>
          <w:lang w:val="fr-CA"/>
        </w:rPr>
        <w:t>pas</w:t>
      </w:r>
      <w:r w:rsidRPr="00AC3DC3">
        <w:rPr>
          <w:rFonts w:cs="Times New Roman"/>
          <w:lang w:val="fr-CA"/>
        </w:rPr>
        <w:t xml:space="preserve"> s’appliquer, mais il n’a pas limité les « circonstances » qui justifient son application. </w:t>
      </w:r>
    </w:p>
    <w:p w:rsidR="003966E1" w:rsidRPr="00AC3DC3" w:rsidRDefault="003966E1" w:rsidP="00A17E02">
      <w:pPr>
        <w:pStyle w:val="ParaNoNdepar-AltN"/>
        <w:rPr>
          <w:rFonts w:cs="Times New Roman"/>
          <w:lang w:val="fr-CA"/>
        </w:rPr>
      </w:pPr>
      <w:r w:rsidRPr="00AC3DC3">
        <w:rPr>
          <w:rFonts w:cs="Times New Roman"/>
          <w:lang w:val="fr-CA"/>
        </w:rPr>
        <w:t>Par conséquent, à l’audience devant notre Cour, le ministère public a reconnu que les circonstances visées au par. 719(3.1) n’ont pas à être exceptionnelles.  Il a soutenu que les « circonstances » découlant de l’application de la loi, et en particulier la perte liée à l’admissibilité à la libération anticipée et à la libération conditionnelle, ne peuvent justifier un crédit majoré.  Il prétend que les « circonstances » s’entendent de faits qui sont propres au délinquant et non des circonstances qui sont universelles et inhérentes au régime législatif.</w:t>
      </w:r>
    </w:p>
    <w:p w:rsidR="003966E1" w:rsidRPr="00AC3DC3" w:rsidRDefault="003966E1" w:rsidP="00A17E02">
      <w:pPr>
        <w:pStyle w:val="ParaNoNdepar-AltN"/>
        <w:rPr>
          <w:rFonts w:cs="Times New Roman"/>
          <w:lang w:val="fr-CA"/>
        </w:rPr>
      </w:pPr>
      <w:r w:rsidRPr="00AC3DC3">
        <w:rPr>
          <w:rFonts w:cs="Times New Roman"/>
          <w:lang w:val="fr-CA"/>
        </w:rPr>
        <w:t xml:space="preserve">Or, nul élément de la disposition n’appuie cette interprétation. Qui plus est, les </w:t>
      </w:r>
      <w:r w:rsidRPr="00AC3DC3">
        <w:rPr>
          <w:rFonts w:cs="Times New Roman"/>
          <w:i/>
          <w:lang w:val="fr-CA"/>
        </w:rPr>
        <w:t>répercussions</w:t>
      </w:r>
      <w:r w:rsidRPr="00AC3DC3">
        <w:rPr>
          <w:rFonts w:cs="Times New Roman"/>
          <w:lang w:val="fr-CA"/>
        </w:rPr>
        <w:t xml:space="preserve"> du régime législatif constituent des circonstances propres aux délinquants, car la loi touche chacun d’eux différemment.  Par exemple, la perte liée à l’admissibilité à la libération conditionnelle ou à la libération anticipée n’a pas d’incidence sur certains délinquants qui, de toute manière, n’aurai</w:t>
      </w:r>
      <w:r w:rsidR="0079503A">
        <w:rPr>
          <w:rFonts w:cs="Times New Roman"/>
          <w:lang w:val="fr-CA"/>
        </w:rPr>
        <w:t>en</w:t>
      </w:r>
      <w:r w:rsidRPr="00AC3DC3">
        <w:rPr>
          <w:rFonts w:cs="Times New Roman"/>
          <w:lang w:val="fr-CA"/>
        </w:rPr>
        <w:t xml:space="preserve">t pas obtenu de </w:t>
      </w:r>
      <w:r w:rsidRPr="00AC3DC3">
        <w:rPr>
          <w:rFonts w:cs="Times New Roman"/>
          <w:lang w:val="fr-CA"/>
        </w:rPr>
        <w:lastRenderedPageBreak/>
        <w:t>telles mesures.  De plus, la loi est susceptible d’évoluer avec le temps de manière à compromettre l’uniformité de ses répercussions sur les délinquants.</w:t>
      </w:r>
    </w:p>
    <w:p w:rsidR="003966E1" w:rsidRPr="00AC3DC3" w:rsidRDefault="003966E1" w:rsidP="00A17E02">
      <w:pPr>
        <w:pStyle w:val="Title3LevelTitre3Niveau"/>
        <w:keepNext w:val="0"/>
        <w:ind w:left="1094" w:hanging="547"/>
        <w:rPr>
          <w:rFonts w:cs="Times New Roman"/>
          <w:lang w:val="fr-CA"/>
        </w:rPr>
      </w:pPr>
      <w:r w:rsidRPr="00AC3DC3">
        <w:rPr>
          <w:rFonts w:cs="Times New Roman"/>
          <w:lang w:val="fr-CA"/>
        </w:rPr>
        <w:t>Construction de l’article</w:t>
      </w:r>
    </w:p>
    <w:p w:rsidR="003966E1" w:rsidRPr="00AC3DC3" w:rsidRDefault="003966E1" w:rsidP="00A17E02">
      <w:pPr>
        <w:pStyle w:val="ParaNoNdepar-AltN"/>
        <w:rPr>
          <w:rFonts w:cs="Times New Roman"/>
          <w:lang w:val="fr-CA"/>
        </w:rPr>
      </w:pPr>
      <w:r w:rsidRPr="00AC3DC3">
        <w:rPr>
          <w:rFonts w:cs="Times New Roman"/>
          <w:lang w:val="fr-CA"/>
        </w:rPr>
        <w:t xml:space="preserve">Le ministère public prétend que le par. 719(3) crée une règle générale d’octroi d’un crédit à raison d’un jour contre un et que le par. 719(3.1) constitue une exception à l’application de cette règle.  Si la perte subie aux fins de l’admissibilité à la libération anticipée ou à la libération conditionnelle pendant la détention </w:t>
      </w:r>
      <w:proofErr w:type="spellStart"/>
      <w:r w:rsidRPr="00AC3DC3">
        <w:rPr>
          <w:rFonts w:cs="Times New Roman"/>
          <w:lang w:val="fr-CA"/>
        </w:rPr>
        <w:t>présentencielle</w:t>
      </w:r>
      <w:proofErr w:type="spellEnd"/>
      <w:r w:rsidRPr="00AC3DC3">
        <w:rPr>
          <w:rFonts w:cs="Times New Roman"/>
          <w:lang w:val="fr-CA"/>
        </w:rPr>
        <w:t xml:space="preserve"> constitue l’une des « circonstances » qui justifient l’octroi d’un crédit majoré, soit à raison d’un jour et demi contre un, presque tous les délinquants détenus préventivement auront droit à celui</w:t>
      </w:r>
      <w:r w:rsidR="008E77B2">
        <w:rPr>
          <w:rFonts w:cs="Times New Roman"/>
          <w:lang w:val="fr-CA"/>
        </w:rPr>
        <w:t>-</w:t>
      </w:r>
      <w:r w:rsidRPr="00AC3DC3">
        <w:rPr>
          <w:rFonts w:cs="Times New Roman"/>
          <w:lang w:val="fr-CA"/>
        </w:rPr>
        <w:t>ci.  L’« exception » deviendrait ainsi la nouvelle « règle générale », de sorte que le par. 719(3) n’aurait plus d’utilité, ce qui serait absurde.</w:t>
      </w:r>
    </w:p>
    <w:p w:rsidR="003966E1" w:rsidRPr="00AC3DC3" w:rsidRDefault="003966E1" w:rsidP="00A17E02">
      <w:pPr>
        <w:pStyle w:val="ParaNoNdepar-AltN"/>
        <w:rPr>
          <w:rFonts w:cs="Times New Roman"/>
          <w:lang w:val="fr-CA"/>
        </w:rPr>
      </w:pPr>
      <w:r w:rsidRPr="00AC3DC3">
        <w:rPr>
          <w:rFonts w:cs="Times New Roman"/>
          <w:lang w:val="fr-CA"/>
        </w:rPr>
        <w:t>Je conviens que le par. 719(3.1) est conçu comme une exception à l’application du par. 719(3).  Son texte s’amorce sur les mots « [m]</w:t>
      </w:r>
      <w:proofErr w:type="spellStart"/>
      <w:r w:rsidRPr="00AC3DC3">
        <w:rPr>
          <w:rFonts w:cs="Times New Roman"/>
          <w:lang w:val="fr-CA"/>
        </w:rPr>
        <w:t>algré</w:t>
      </w:r>
      <w:proofErr w:type="spellEnd"/>
      <w:r w:rsidRPr="00AC3DC3">
        <w:rPr>
          <w:rFonts w:cs="Times New Roman"/>
          <w:lang w:val="fr-CA"/>
        </w:rPr>
        <w:t xml:space="preserve"> le paragraphe (3) », et il ne s’applique que lorsque les « circonstances le justifient », ce qui tend à indiquer qu’il s’agit d’une exception à la règle générale.  Bien que la note marginale ne fasse pas partie du texte et qu’elle ait peu d’importance pour l’interprétation de la disposition (</w:t>
      </w:r>
      <w:r w:rsidRPr="00AC3DC3">
        <w:rPr>
          <w:rFonts w:cs="Times New Roman"/>
          <w:i/>
          <w:lang w:val="fr-CA"/>
        </w:rPr>
        <w:t>Loi d’interprétation</w:t>
      </w:r>
      <w:r w:rsidRPr="00AC3DC3">
        <w:rPr>
          <w:rFonts w:cs="Times New Roman"/>
          <w:lang w:val="fr-CA"/>
        </w:rPr>
        <w:t>, L.R.C. 1985, ch. I</w:t>
      </w:r>
      <w:r w:rsidR="008E77B2">
        <w:rPr>
          <w:rFonts w:cs="Times New Roman"/>
          <w:lang w:val="fr-CA"/>
        </w:rPr>
        <w:t>-</w:t>
      </w:r>
      <w:r w:rsidRPr="00AC3DC3">
        <w:rPr>
          <w:rFonts w:cs="Times New Roman"/>
          <w:lang w:val="fr-CA"/>
        </w:rPr>
        <w:t>21, art. 14), le fait qu’elle correspond en l’occurrence à « [e]</w:t>
      </w:r>
      <w:proofErr w:type="spellStart"/>
      <w:r w:rsidRPr="00AC3DC3">
        <w:rPr>
          <w:rFonts w:cs="Times New Roman"/>
          <w:lang w:val="fr-CA"/>
        </w:rPr>
        <w:t>xception</w:t>
      </w:r>
      <w:proofErr w:type="spellEnd"/>
      <w:r w:rsidRPr="00AC3DC3">
        <w:rPr>
          <w:rFonts w:cs="Times New Roman"/>
          <w:lang w:val="fr-CA"/>
        </w:rPr>
        <w:t xml:space="preserve"> » va dans le même sens. </w:t>
      </w:r>
    </w:p>
    <w:p w:rsidR="003966E1" w:rsidRPr="00AC3DC3" w:rsidRDefault="003966E1" w:rsidP="00A17E02">
      <w:pPr>
        <w:pStyle w:val="ParaNoNdepar-AltN"/>
        <w:rPr>
          <w:rFonts w:cs="Times New Roman"/>
          <w:lang w:val="fr-CA"/>
        </w:rPr>
      </w:pPr>
      <w:r w:rsidRPr="00AC3DC3">
        <w:rPr>
          <w:rFonts w:cs="Times New Roman"/>
          <w:lang w:val="fr-CA"/>
        </w:rPr>
        <w:lastRenderedPageBreak/>
        <w:t>Je conviens également avec le ministère public qu’il est quelque peu singulier de créer une exception qui s’applique plus souvent que la règle générale.  Cependant, l’argument ne me convainc pas pour trois raisons.</w:t>
      </w:r>
    </w:p>
    <w:p w:rsidR="003966E1" w:rsidRPr="00AC3DC3" w:rsidRDefault="003966E1" w:rsidP="00A17E02">
      <w:pPr>
        <w:pStyle w:val="ParaNoNdepar-AltN"/>
        <w:rPr>
          <w:rFonts w:cs="Times New Roman"/>
          <w:lang w:val="fr-CA"/>
        </w:rPr>
      </w:pPr>
      <w:r w:rsidRPr="00AC3DC3">
        <w:rPr>
          <w:rFonts w:cs="Times New Roman"/>
          <w:lang w:val="fr-CA"/>
        </w:rPr>
        <w:t>Premièrement, il n’existe pas de règle générale d’interprétation législative selon laquelle les circonstances qui relèvent d’une exception doivent être moins nombreuses que celles qui relèvent de la règle générale.  Si les critères qui permettent de déroger à la règle générale sont respectés, peu importe le nombre d’applications de l’exception par rapport au nombre d’applications de la règle.</w:t>
      </w:r>
    </w:p>
    <w:p w:rsidR="003966E1" w:rsidRPr="00AC3DC3" w:rsidRDefault="003966E1" w:rsidP="00A17E02">
      <w:pPr>
        <w:pStyle w:val="ParaNoNdepar-AltN"/>
        <w:rPr>
          <w:rFonts w:cs="Times New Roman"/>
          <w:lang w:val="fr-CA"/>
        </w:rPr>
      </w:pPr>
      <w:r w:rsidRPr="00AC3DC3">
        <w:rPr>
          <w:rFonts w:cs="Times New Roman"/>
          <w:lang w:val="fr-CA"/>
        </w:rPr>
        <w:t xml:space="preserve">Par exemple, le par. 457(1) </w:t>
      </w:r>
      <w:r w:rsidR="00713254">
        <w:rPr>
          <w:rFonts w:cs="Times New Roman"/>
          <w:lang w:val="fr-CA"/>
        </w:rPr>
        <w:t xml:space="preserve">du </w:t>
      </w:r>
      <w:r w:rsidR="00713254" w:rsidRPr="00713254">
        <w:rPr>
          <w:rFonts w:cs="Times New Roman"/>
          <w:i/>
          <w:lang w:val="fr-CA"/>
        </w:rPr>
        <w:t>Code</w:t>
      </w:r>
      <w:r w:rsidR="00713254">
        <w:rPr>
          <w:rFonts w:cs="Times New Roman"/>
          <w:lang w:val="fr-CA"/>
        </w:rPr>
        <w:t xml:space="preserve"> </w:t>
      </w:r>
      <w:r w:rsidRPr="00AC3DC3">
        <w:rPr>
          <w:rFonts w:cs="Times New Roman"/>
          <w:lang w:val="fr-CA"/>
        </w:rPr>
        <w:t>interdit de fabriquer, de publier, d’imprimer, d’exécuter, d’émettre, de distribuer ou de faire circuler une chose ayant l’apparence d’un billet de banque courant.  Cependant, le par. 457(2) prévoit quelques exceptions, y compris au bénéfice de la Banque du Canada, de ses employés dans le cadre de leurs fonctions et de toute personne agissant au nom de la Banque du Canada au titre d’un contrat.  Vraisemblablement, la quasi</w:t>
      </w:r>
      <w:r w:rsidR="008E77B2">
        <w:rPr>
          <w:rFonts w:cs="Times New Roman"/>
          <w:lang w:val="fr-CA"/>
        </w:rPr>
        <w:t>-</w:t>
      </w:r>
      <w:r w:rsidRPr="00AC3DC3">
        <w:rPr>
          <w:rFonts w:cs="Times New Roman"/>
          <w:lang w:val="fr-CA"/>
        </w:rPr>
        <w:t>totalité des billets de banque sont produits par la Banque du Canada, ses employés et ses entrepreneurs, lesquels tombent sous le coup de l’exception.</w:t>
      </w:r>
    </w:p>
    <w:p w:rsidR="003966E1" w:rsidRPr="00AC3DC3" w:rsidRDefault="003966E1" w:rsidP="00A17E02">
      <w:pPr>
        <w:pStyle w:val="ParaNoNdepar-AltN"/>
        <w:rPr>
          <w:rFonts w:cs="Times New Roman"/>
          <w:lang w:val="fr-CA"/>
        </w:rPr>
      </w:pPr>
      <w:r w:rsidRPr="00AC3DC3">
        <w:rPr>
          <w:rFonts w:cs="Times New Roman"/>
          <w:lang w:val="fr-CA"/>
        </w:rPr>
        <w:t>Certes, l</w:t>
      </w:r>
      <w:r w:rsidR="00713254">
        <w:rPr>
          <w:rFonts w:cs="Times New Roman"/>
          <w:lang w:val="fr-CA"/>
        </w:rPr>
        <w:t>’avocat</w:t>
      </w:r>
      <w:r w:rsidRPr="00AC3DC3">
        <w:rPr>
          <w:rFonts w:cs="Times New Roman"/>
          <w:lang w:val="fr-CA"/>
        </w:rPr>
        <w:t xml:space="preserve"> du ministère public reconnaît que l’absence de programmes dans les centres de détention et la surpopulation qui y sévit sont des problèmes courants et qu’elles pourraient faire en sorte que l’exception prévue au par. 719(3.1) s’applique plus souvent que la règle énoncée au par. 719(3).  </w:t>
      </w:r>
    </w:p>
    <w:p w:rsidR="003966E1" w:rsidRPr="00AC3DC3" w:rsidRDefault="003966E1" w:rsidP="00A17E02">
      <w:pPr>
        <w:pStyle w:val="ParaNoNdepar-AltN"/>
        <w:rPr>
          <w:rFonts w:cs="Times New Roman"/>
          <w:lang w:val="fr-CA"/>
        </w:rPr>
      </w:pPr>
      <w:r w:rsidRPr="00AC3DC3">
        <w:rPr>
          <w:rFonts w:cs="Times New Roman"/>
          <w:lang w:val="fr-CA"/>
        </w:rPr>
        <w:lastRenderedPageBreak/>
        <w:t>Deuxièmement, interpréter le mot « circonstances » en y assimilant la perte liée à l’admissibilité à la libération conditionnelle et à la libération anticipée ne rend pas le par</w:t>
      </w:r>
      <w:r w:rsidR="00713254">
        <w:rPr>
          <w:rFonts w:cs="Times New Roman"/>
          <w:lang w:val="fr-CA"/>
        </w:rPr>
        <w:t>.</w:t>
      </w:r>
      <w:r w:rsidRPr="00AC3DC3">
        <w:rPr>
          <w:rFonts w:cs="Times New Roman"/>
          <w:lang w:val="fr-CA"/>
        </w:rPr>
        <w:t> 719(3) superflu.  Lorsque l’accusé est visé par une</w:t>
      </w:r>
      <w:r w:rsidR="00713254">
        <w:rPr>
          <w:rFonts w:cs="Times New Roman"/>
          <w:lang w:val="fr-CA"/>
        </w:rPr>
        <w:t xml:space="preserve"> exception expresse au par. 719</w:t>
      </w:r>
      <w:r w:rsidRPr="00AC3DC3">
        <w:rPr>
          <w:rFonts w:cs="Times New Roman"/>
          <w:lang w:val="fr-CA"/>
        </w:rPr>
        <w:t xml:space="preserve">(3.1) (p. ex., il a été détenu pour inobservation des conditions de sa libération sous caution), le plafond d’un jour contre un prévu au par. 719(3) s’applique.  En outre, il n’y aura pas majoration du crédit dans tous les cas.  Par exemple, lorsque la longue détention </w:t>
      </w:r>
      <w:proofErr w:type="spellStart"/>
      <w:r w:rsidRPr="00AC3DC3">
        <w:rPr>
          <w:rFonts w:cs="Times New Roman"/>
          <w:lang w:val="fr-CA"/>
        </w:rPr>
        <w:t>présentencielle</w:t>
      </w:r>
      <w:proofErr w:type="spellEnd"/>
      <w:r w:rsidRPr="00AC3DC3">
        <w:rPr>
          <w:rFonts w:cs="Times New Roman"/>
          <w:lang w:val="fr-CA"/>
        </w:rPr>
        <w:t xml:space="preserve"> est attribuable à la mauvaise conduite du délinquant, la majoration se révélera souvent inopportune.  Le paragraphe 719(3) continue de s’appliquer dans ces cas.</w:t>
      </w:r>
    </w:p>
    <w:p w:rsidR="003966E1" w:rsidRPr="00AC3DC3" w:rsidRDefault="003966E1" w:rsidP="00A17E02">
      <w:pPr>
        <w:pStyle w:val="ParaNoNdepar-AltN"/>
        <w:rPr>
          <w:rFonts w:cs="Times New Roman"/>
          <w:lang w:val="fr-CA"/>
        </w:rPr>
      </w:pPr>
      <w:r w:rsidRPr="00AC3DC3">
        <w:rPr>
          <w:rFonts w:cs="Times New Roman"/>
          <w:lang w:val="fr-CA"/>
        </w:rPr>
        <w:t xml:space="preserve">Troisièmement, la construction de l’art. 719 s’harmonise avec les raisons d’être du crédit accordé pour compenser la détention </w:t>
      </w:r>
      <w:proofErr w:type="spellStart"/>
      <w:r w:rsidRPr="00AC3DC3">
        <w:rPr>
          <w:rFonts w:cs="Times New Roman"/>
          <w:lang w:val="fr-CA"/>
        </w:rPr>
        <w:t>présentencielle</w:t>
      </w:r>
      <w:proofErr w:type="spellEnd"/>
      <w:r w:rsidRPr="00AC3DC3">
        <w:rPr>
          <w:rFonts w:cs="Times New Roman"/>
          <w:lang w:val="fr-CA"/>
        </w:rPr>
        <w:t xml:space="preserve">.  Le paragraphe 719(3) reflète la raison d’être générale de l’octroi du crédit.  Comme le dit le juge </w:t>
      </w:r>
      <w:proofErr w:type="spellStart"/>
      <w:r w:rsidRPr="00AC3DC3">
        <w:rPr>
          <w:rFonts w:cs="Times New Roman"/>
          <w:lang w:val="fr-CA"/>
        </w:rPr>
        <w:t>Laskin</w:t>
      </w:r>
      <w:proofErr w:type="spellEnd"/>
      <w:r w:rsidRPr="00AC3DC3">
        <w:rPr>
          <w:rFonts w:cs="Times New Roman"/>
          <w:lang w:val="fr-CA"/>
        </w:rPr>
        <w:t xml:space="preserve">, dans l’arrêt </w:t>
      </w:r>
      <w:proofErr w:type="spellStart"/>
      <w:r w:rsidRPr="00AC3DC3">
        <w:rPr>
          <w:rFonts w:cs="Times New Roman"/>
          <w:i/>
          <w:lang w:val="fr-CA"/>
        </w:rPr>
        <w:t>Rezaie</w:t>
      </w:r>
      <w:proofErr w:type="spellEnd"/>
      <w:r w:rsidRPr="00AC3DC3">
        <w:rPr>
          <w:rFonts w:cs="Times New Roman"/>
          <w:lang w:val="fr-CA"/>
        </w:rPr>
        <w:t xml:space="preserve"> — [</w:t>
      </w:r>
      <w:r w:rsidRPr="00AC3DC3">
        <w:rPr>
          <w:rFonts w:cs="Times New Roman"/>
          <w:smallCaps/>
          <w:lang w:val="fr-CA"/>
        </w:rPr>
        <w:t>traduction</w:t>
      </w:r>
      <w:r w:rsidRPr="00AC3DC3">
        <w:rPr>
          <w:rFonts w:cs="Times New Roman"/>
          <w:lang w:val="fr-CA"/>
        </w:rPr>
        <w:t xml:space="preserve">] « [l]’emprisonnement à quelque étape du processus criminel est une privation de liberté pour l’accusé » (p. 721) —, un crédit d’un jour devrait habituellement être accordé pour chaque jour passé en prison.  En revanche, le par. 719(3.1) reflète la raison d’être du crédit </w:t>
      </w:r>
      <w:r w:rsidRPr="00AC3DC3">
        <w:rPr>
          <w:rFonts w:cs="Times New Roman"/>
          <w:i/>
          <w:lang w:val="fr-CA"/>
        </w:rPr>
        <w:t>majoré</w:t>
      </w:r>
      <w:r w:rsidRPr="00AC3DC3">
        <w:rPr>
          <w:rFonts w:cs="Times New Roman"/>
          <w:lang w:val="fr-CA"/>
        </w:rPr>
        <w:t xml:space="preserve">.  Il ne suffit pas d’accorder une journée par jour de détention </w:t>
      </w:r>
      <w:proofErr w:type="spellStart"/>
      <w:r w:rsidRPr="00AC3DC3">
        <w:rPr>
          <w:rFonts w:cs="Times New Roman"/>
          <w:lang w:val="fr-CA"/>
        </w:rPr>
        <w:t>présentencielle</w:t>
      </w:r>
      <w:proofErr w:type="spellEnd"/>
      <w:r w:rsidRPr="00AC3DC3">
        <w:rPr>
          <w:rFonts w:cs="Times New Roman"/>
          <w:lang w:val="fr-CA"/>
        </w:rPr>
        <w:t xml:space="preserve"> pour tenir compte de toutes les circonstances préjudiciables de la détention préventive; le crédit majoré compense la perte subie aux fins de l’admissibilité à la libération conditionnelle et à la libération anticipée (volet quantitatif), ainsi que la sévérité des conditions de détention (volet qualitatif).  Par conséquent, la séparation des </w:t>
      </w:r>
      <w:r w:rsidRPr="00AC3DC3">
        <w:rPr>
          <w:rFonts w:cs="Times New Roman"/>
          <w:lang w:val="fr-CA"/>
        </w:rPr>
        <w:lastRenderedPageBreak/>
        <w:t xml:space="preserve">paragraphes montre que le crédit et le crédit majoré ont des assises théoriques différentes. </w:t>
      </w:r>
    </w:p>
    <w:p w:rsidR="003966E1" w:rsidRPr="00AC3DC3" w:rsidRDefault="003966E1" w:rsidP="00A17E02">
      <w:pPr>
        <w:pStyle w:val="ParaNoNdepar-AltN"/>
        <w:rPr>
          <w:rFonts w:cs="Times New Roman"/>
          <w:lang w:val="fr-CA"/>
        </w:rPr>
      </w:pPr>
      <w:r w:rsidRPr="00AC3DC3">
        <w:rPr>
          <w:rFonts w:cs="Times New Roman"/>
          <w:lang w:val="fr-CA"/>
        </w:rPr>
        <w:t xml:space="preserve">De plus, cette construction confère de l’élasticité au régime législatif.  Par exemple, si le législateur devait modifier la </w:t>
      </w:r>
      <w:r w:rsidRPr="00AC3DC3">
        <w:rPr>
          <w:rFonts w:cs="Times New Roman"/>
          <w:i/>
          <w:lang w:val="fr-CA"/>
        </w:rPr>
        <w:t>Loi sur le système correctionnel et la mise en liberté sous condition</w:t>
      </w:r>
      <w:r w:rsidRPr="00AC3DC3">
        <w:rPr>
          <w:rFonts w:cs="Times New Roman"/>
          <w:lang w:val="fr-CA"/>
        </w:rPr>
        <w:t xml:space="preserve">, de sorte que la détention </w:t>
      </w:r>
      <w:proofErr w:type="spellStart"/>
      <w:r w:rsidRPr="00AC3DC3">
        <w:rPr>
          <w:rFonts w:cs="Times New Roman"/>
          <w:lang w:val="fr-CA"/>
        </w:rPr>
        <w:t>présentencielle</w:t>
      </w:r>
      <w:proofErr w:type="spellEnd"/>
      <w:r w:rsidRPr="00AC3DC3">
        <w:rPr>
          <w:rFonts w:cs="Times New Roman"/>
          <w:lang w:val="fr-CA"/>
        </w:rPr>
        <w:t xml:space="preserve"> soit prise en compte pour déterminer l’admissibilité à la libération conditionnelle et à la libération anticipée</w:t>
      </w:r>
      <w:r w:rsidRPr="00713254">
        <w:rPr>
          <w:rStyle w:val="Hyperlink"/>
          <w:u w:val="none"/>
          <w:vertAlign w:val="superscript"/>
        </w:rPr>
        <w:footnoteReference w:id="4"/>
      </w:r>
      <w:r w:rsidRPr="00AC3DC3">
        <w:rPr>
          <w:rFonts w:cs="Times New Roman"/>
          <w:lang w:val="fr-CA"/>
        </w:rPr>
        <w:t xml:space="preserve">, le par. 719(3.1) ne s’appliquerait qu’en cas de préjudice </w:t>
      </w:r>
      <w:r w:rsidRPr="00AC3DC3">
        <w:rPr>
          <w:rFonts w:cs="Times New Roman"/>
          <w:i/>
          <w:lang w:val="fr-CA"/>
        </w:rPr>
        <w:t>qualitatif</w:t>
      </w:r>
      <w:r w:rsidRPr="00AC3DC3">
        <w:rPr>
          <w:rFonts w:cs="Times New Roman"/>
          <w:lang w:val="fr-CA"/>
        </w:rPr>
        <w:t>, et un nombre accru de situations ne relèveraient que du par. 719(3).  La construction de la disposition reflète, en tout</w:t>
      </w:r>
      <w:r>
        <w:rPr>
          <w:rFonts w:cs="Times New Roman"/>
          <w:lang w:val="fr-CA"/>
        </w:rPr>
        <w:t>e</w:t>
      </w:r>
      <w:r w:rsidRPr="00AC3DC3">
        <w:rPr>
          <w:rFonts w:cs="Times New Roman"/>
          <w:lang w:val="fr-CA"/>
        </w:rPr>
        <w:t xml:space="preserve"> logique, les raisons d’être du crédit et du crédit majoré.</w:t>
      </w:r>
    </w:p>
    <w:p w:rsidR="003966E1" w:rsidRPr="00AC3DC3" w:rsidRDefault="003966E1" w:rsidP="00A17E02">
      <w:pPr>
        <w:pStyle w:val="Title3LevelTitre3Niveau"/>
        <w:keepNext w:val="0"/>
        <w:ind w:left="1094" w:hanging="547"/>
        <w:rPr>
          <w:rFonts w:cs="Times New Roman"/>
          <w:lang w:val="fr-CA"/>
        </w:rPr>
      </w:pPr>
      <w:r w:rsidRPr="00AC3DC3">
        <w:rPr>
          <w:rFonts w:cs="Times New Roman"/>
          <w:lang w:val="fr-CA"/>
        </w:rPr>
        <w:t>Intention du législateur</w:t>
      </w:r>
    </w:p>
    <w:p w:rsidR="003966E1" w:rsidRPr="00AC3DC3" w:rsidRDefault="003966E1" w:rsidP="00A17E02">
      <w:pPr>
        <w:pStyle w:val="ParaNoNdepar-AltN"/>
        <w:rPr>
          <w:rFonts w:cs="Times New Roman"/>
          <w:lang w:val="fr-CA"/>
        </w:rPr>
      </w:pPr>
      <w:r w:rsidRPr="00AC3DC3">
        <w:rPr>
          <w:rFonts w:cs="Times New Roman"/>
          <w:lang w:val="fr-CA"/>
        </w:rPr>
        <w:t xml:space="preserve">L’intention du législateur peut être dégagée à la lumière de l’historique législatif, y compris la transcription des débats parlementaires et en comité, mais le tribunal doit se rappeler la fiabilité et l’importance limitées de ces éléments de preuve (R. Sullivan, </w:t>
      </w:r>
      <w:r w:rsidRPr="00AC3DC3">
        <w:rPr>
          <w:rFonts w:cs="Times New Roman"/>
          <w:i/>
          <w:lang w:val="fr-CA"/>
        </w:rPr>
        <w:t xml:space="preserve">Sullivan on the Construction of </w:t>
      </w:r>
      <w:proofErr w:type="spellStart"/>
      <w:r w:rsidRPr="00AC3DC3">
        <w:rPr>
          <w:rFonts w:cs="Times New Roman"/>
          <w:i/>
          <w:lang w:val="fr-CA"/>
        </w:rPr>
        <w:t>Statutes</w:t>
      </w:r>
      <w:proofErr w:type="spellEnd"/>
      <w:r w:rsidRPr="00AC3DC3">
        <w:rPr>
          <w:rFonts w:cs="Times New Roman"/>
          <w:lang w:val="fr-CA"/>
        </w:rPr>
        <w:t xml:space="preserve"> (5</w:t>
      </w:r>
      <w:r w:rsidRPr="00AC3DC3">
        <w:rPr>
          <w:rFonts w:cs="Times New Roman"/>
          <w:vertAlign w:val="superscript"/>
          <w:lang w:val="fr-CA"/>
        </w:rPr>
        <w:t>e</w:t>
      </w:r>
      <w:r w:rsidRPr="00AC3DC3">
        <w:rPr>
          <w:rFonts w:cs="Times New Roman"/>
          <w:lang w:val="fr-CA"/>
        </w:rPr>
        <w:t> éd. 2008), p. 593</w:t>
      </w:r>
      <w:r w:rsidR="00713254">
        <w:rPr>
          <w:rFonts w:cs="Times New Roman"/>
          <w:lang w:val="fr-CA"/>
        </w:rPr>
        <w:t>-</w:t>
      </w:r>
      <w:r w:rsidRPr="00AC3DC3">
        <w:rPr>
          <w:rFonts w:cs="Times New Roman"/>
          <w:lang w:val="fr-CA"/>
        </w:rPr>
        <w:t>594 et 609).</w:t>
      </w:r>
    </w:p>
    <w:p w:rsidR="003966E1" w:rsidRPr="00AC3DC3" w:rsidRDefault="003966E1" w:rsidP="00A17E02">
      <w:pPr>
        <w:pStyle w:val="ParaNoNdepar-AltN"/>
        <w:rPr>
          <w:rFonts w:cs="Times New Roman"/>
          <w:lang w:val="fr-CA"/>
        </w:rPr>
      </w:pPr>
      <w:r w:rsidRPr="00AC3DC3">
        <w:rPr>
          <w:rFonts w:cs="Times New Roman"/>
          <w:lang w:val="fr-CA"/>
        </w:rPr>
        <w:t xml:space="preserve">Le législateur a clairement voulu restreindre le temps alloué pour la détention </w:t>
      </w:r>
      <w:proofErr w:type="spellStart"/>
      <w:r w:rsidRPr="00AC3DC3">
        <w:rPr>
          <w:rFonts w:cs="Times New Roman"/>
          <w:lang w:val="fr-CA"/>
        </w:rPr>
        <w:t>présentencielle</w:t>
      </w:r>
      <w:proofErr w:type="spellEnd"/>
      <w:r w:rsidRPr="00AC3DC3">
        <w:rPr>
          <w:rFonts w:cs="Times New Roman"/>
          <w:lang w:val="fr-CA"/>
        </w:rPr>
        <w:t xml:space="preserve">, comme l’atteste l’établissement du maximum d’un jour et demi de crédit pour chaque jour de détention.  Vont également dans ce sens les </w:t>
      </w:r>
      <w:r w:rsidRPr="00AC3DC3">
        <w:rPr>
          <w:rFonts w:cs="Times New Roman"/>
          <w:lang w:val="fr-CA"/>
        </w:rPr>
        <w:lastRenderedPageBreak/>
        <w:t xml:space="preserve">propos tenus par le ministre de la Justice d’alors devant le Comité permanent de la justice et des droits de la personne, le 6 mai 2009 : </w:t>
      </w:r>
    </w:p>
    <w:p w:rsidR="003966E1" w:rsidRPr="00AC3DC3" w:rsidRDefault="003966E1" w:rsidP="00A17E02">
      <w:pPr>
        <w:pStyle w:val="Citation-AltC"/>
        <w:ind w:hanging="1166"/>
        <w:rPr>
          <w:lang w:val="fr-CA"/>
        </w:rPr>
      </w:pPr>
      <w:r w:rsidRPr="00AC3DC3">
        <w:rPr>
          <w:lang w:val="fr-CA"/>
        </w:rPr>
        <w:tab/>
      </w:r>
      <w:r w:rsidR="00713254">
        <w:rPr>
          <w:lang w:val="fr-CA"/>
        </w:rPr>
        <w:tab/>
      </w:r>
      <w:r w:rsidRPr="00AC3DC3">
        <w:rPr>
          <w:lang w:val="fr-CA"/>
        </w:rPr>
        <w:t xml:space="preserve">De même, la pratique consistant à accorder un crédit trop généreux pour la détention provisoire peut déconsidérer l’administration de la justice en créant l’impression que les délinquants bénéficient de peines d’emprisonnement moins lourdes que celles qu’ils méritent de purger.  Le public comprend mal l’adéquation de la peine infligée et de la gravité du crime.  Pour toutes ces raisons, la pratique actuelle consistant à accorder systématiquement un crédit double doit être restreinte.  </w:t>
      </w:r>
    </w:p>
    <w:p w:rsidR="003966E1" w:rsidRPr="00AC3DC3" w:rsidRDefault="003966E1" w:rsidP="00A17E02">
      <w:pPr>
        <w:pStyle w:val="ContinueParaSuitedupar-AltP"/>
        <w:spacing w:before="0" w:after="720" w:line="240" w:lineRule="auto"/>
        <w:rPr>
          <w:rFonts w:cs="Times New Roman"/>
          <w:lang w:val="fr-CA"/>
        </w:rPr>
      </w:pPr>
      <w:r w:rsidRPr="00AC3DC3">
        <w:rPr>
          <w:rFonts w:cs="Times New Roman"/>
          <w:lang w:val="fr-CA"/>
        </w:rPr>
        <w:t>(</w:t>
      </w:r>
      <w:r w:rsidRPr="00713254">
        <w:rPr>
          <w:rFonts w:cs="Times New Roman"/>
          <w:i/>
          <w:lang w:val="fr-CA"/>
        </w:rPr>
        <w:t>Témoignages</w:t>
      </w:r>
      <w:r w:rsidRPr="00AC3DC3">
        <w:rPr>
          <w:rFonts w:cs="Times New Roman"/>
          <w:lang w:val="fr-CA"/>
        </w:rPr>
        <w:t>, n</w:t>
      </w:r>
      <w:r w:rsidRPr="00AC3DC3">
        <w:rPr>
          <w:rFonts w:cs="Times New Roman"/>
          <w:vertAlign w:val="superscript"/>
          <w:lang w:val="fr-CA"/>
        </w:rPr>
        <w:t>o </w:t>
      </w:r>
      <w:r w:rsidRPr="00AC3DC3">
        <w:rPr>
          <w:rFonts w:cs="Times New Roman"/>
          <w:lang w:val="fr-CA"/>
        </w:rPr>
        <w:t>20, 2</w:t>
      </w:r>
      <w:r w:rsidRPr="00AC3DC3">
        <w:rPr>
          <w:rFonts w:cs="Times New Roman"/>
          <w:vertAlign w:val="superscript"/>
          <w:lang w:val="fr-CA"/>
        </w:rPr>
        <w:t>e</w:t>
      </w:r>
      <w:r w:rsidRPr="00AC3DC3">
        <w:rPr>
          <w:rFonts w:cs="Times New Roman"/>
          <w:lang w:val="fr-CA"/>
        </w:rPr>
        <w:t> </w:t>
      </w:r>
      <w:proofErr w:type="spellStart"/>
      <w:proofErr w:type="gramStart"/>
      <w:r w:rsidRPr="00AC3DC3">
        <w:rPr>
          <w:rFonts w:cs="Times New Roman"/>
          <w:lang w:val="fr-CA"/>
        </w:rPr>
        <w:t>sess</w:t>
      </w:r>
      <w:proofErr w:type="spellEnd"/>
      <w:r w:rsidRPr="00AC3DC3">
        <w:rPr>
          <w:rFonts w:cs="Times New Roman"/>
          <w:lang w:val="fr-CA"/>
        </w:rPr>
        <w:t>.,</w:t>
      </w:r>
      <w:proofErr w:type="gramEnd"/>
      <w:r w:rsidRPr="00AC3DC3">
        <w:rPr>
          <w:rFonts w:cs="Times New Roman"/>
          <w:lang w:val="fr-CA"/>
        </w:rPr>
        <w:t xml:space="preserve"> 40</w:t>
      </w:r>
      <w:r w:rsidRPr="00AC3DC3">
        <w:rPr>
          <w:rFonts w:cs="Times New Roman"/>
          <w:vertAlign w:val="superscript"/>
          <w:lang w:val="fr-CA"/>
        </w:rPr>
        <w:t>e</w:t>
      </w:r>
      <w:r w:rsidRPr="00AC3DC3">
        <w:rPr>
          <w:rFonts w:cs="Times New Roman"/>
          <w:lang w:val="fr-CA"/>
        </w:rPr>
        <w:t> </w:t>
      </w:r>
      <w:proofErr w:type="spellStart"/>
      <w:r w:rsidRPr="00AC3DC3">
        <w:rPr>
          <w:rFonts w:cs="Times New Roman"/>
          <w:lang w:val="fr-CA"/>
        </w:rPr>
        <w:t>lég</w:t>
      </w:r>
      <w:proofErr w:type="spellEnd"/>
      <w:r w:rsidRPr="00AC3DC3">
        <w:rPr>
          <w:rFonts w:cs="Times New Roman"/>
          <w:lang w:val="fr-CA"/>
        </w:rPr>
        <w:t>.</w:t>
      </w:r>
      <w:r w:rsidR="00713254">
        <w:rPr>
          <w:rFonts w:cs="Times New Roman"/>
          <w:lang w:val="fr-CA"/>
        </w:rPr>
        <w:t>, p. 11</w:t>
      </w:r>
      <w:r w:rsidRPr="00AC3DC3">
        <w:rPr>
          <w:rFonts w:cs="Times New Roman"/>
          <w:lang w:val="fr-CA"/>
        </w:rPr>
        <w:t>)</w:t>
      </w:r>
    </w:p>
    <w:p w:rsidR="003966E1" w:rsidRPr="00AC3DC3" w:rsidRDefault="003966E1" w:rsidP="00A17E02">
      <w:pPr>
        <w:pStyle w:val="ContinueParaSuitedupar-AltP"/>
        <w:rPr>
          <w:rFonts w:cs="Times New Roman"/>
          <w:lang w:val="fr-CA"/>
        </w:rPr>
      </w:pPr>
      <w:r w:rsidRPr="00AC3DC3">
        <w:rPr>
          <w:rFonts w:cs="Times New Roman"/>
          <w:lang w:val="fr-CA"/>
        </w:rPr>
        <w:t xml:space="preserve">Cet objectif est atteint, peu importe quelles circonstances justifient l’octroi du crédit majoré prévu au par. 719(3.1). </w:t>
      </w:r>
    </w:p>
    <w:p w:rsidR="003966E1" w:rsidRPr="00AC3DC3" w:rsidRDefault="003966E1" w:rsidP="00A17E02">
      <w:pPr>
        <w:pStyle w:val="ParaNoNdepar-AltN"/>
        <w:rPr>
          <w:rFonts w:cs="Times New Roman"/>
          <w:lang w:val="fr-CA"/>
        </w:rPr>
      </w:pPr>
      <w:r w:rsidRPr="00AC3DC3">
        <w:rPr>
          <w:rFonts w:cs="Times New Roman"/>
          <w:lang w:val="fr-CA"/>
        </w:rPr>
        <w:t xml:space="preserve">Le législateur a aussi voulu accroître la transparence et l’intelligibilité, pour le public, du processus d’octroi d’un crédit sur le fondement de l’art. 719.  Il y est arrivé par l’adjonction des par. 719(3.2) et 719(3.3), qui obligent le tribunal à motiver toute décision d’allouer du temps et à préciser la juste peine et le temps alloué.   </w:t>
      </w:r>
    </w:p>
    <w:p w:rsidR="003966E1" w:rsidRPr="00AC3DC3" w:rsidRDefault="003966E1" w:rsidP="00A17E02">
      <w:pPr>
        <w:pStyle w:val="ParaNoNdepar-AltN"/>
        <w:rPr>
          <w:rFonts w:cs="Times New Roman"/>
          <w:lang w:val="fr-CA"/>
        </w:rPr>
      </w:pPr>
      <w:r w:rsidRPr="00AC3DC3">
        <w:rPr>
          <w:rFonts w:cs="Times New Roman"/>
          <w:lang w:val="fr-CA"/>
        </w:rPr>
        <w:t xml:space="preserve">Je conviens toutefois avec les juges </w:t>
      </w:r>
      <w:r w:rsidR="00713254">
        <w:rPr>
          <w:rFonts w:cs="Times New Roman"/>
          <w:lang w:val="fr-CA"/>
        </w:rPr>
        <w:t xml:space="preserve">d’appel </w:t>
      </w:r>
      <w:r w:rsidRPr="00AC3DC3">
        <w:rPr>
          <w:rFonts w:cs="Times New Roman"/>
          <w:lang w:val="fr-CA"/>
        </w:rPr>
        <w:t xml:space="preserve">Beveridge et </w:t>
      </w:r>
      <w:proofErr w:type="spellStart"/>
      <w:r w:rsidRPr="00AC3DC3">
        <w:rPr>
          <w:rFonts w:cs="Times New Roman"/>
          <w:lang w:val="fr-CA"/>
        </w:rPr>
        <w:t>Cronk</w:t>
      </w:r>
      <w:proofErr w:type="spellEnd"/>
      <w:r w:rsidRPr="00AC3DC3">
        <w:rPr>
          <w:rFonts w:cs="Times New Roman"/>
          <w:lang w:val="fr-CA"/>
        </w:rPr>
        <w:t xml:space="preserve"> que l’intention du législateur en ce qui concerne les « circonstances » qui justifient l’octroi d’un crédit majoré en application du par. 719(3.1) est beaucoup moins claire et est même contradictoire (</w:t>
      </w:r>
      <w:proofErr w:type="spellStart"/>
      <w:r w:rsidRPr="00AC3DC3">
        <w:rPr>
          <w:rFonts w:cs="Times New Roman"/>
          <w:i/>
          <w:lang w:val="fr-CA"/>
        </w:rPr>
        <w:t>Carvery</w:t>
      </w:r>
      <w:proofErr w:type="spellEnd"/>
      <w:r w:rsidRPr="00AC3DC3">
        <w:rPr>
          <w:rFonts w:cs="Times New Roman"/>
          <w:lang w:val="fr-CA"/>
        </w:rPr>
        <w:t>, par. 79</w:t>
      </w:r>
      <w:r w:rsidR="00713254">
        <w:rPr>
          <w:rFonts w:cs="Times New Roman"/>
          <w:lang w:val="fr-CA"/>
        </w:rPr>
        <w:t>-</w:t>
      </w:r>
      <w:r w:rsidRPr="00AC3DC3">
        <w:rPr>
          <w:rFonts w:cs="Times New Roman"/>
          <w:lang w:val="fr-CA"/>
        </w:rPr>
        <w:t xml:space="preserve">82; </w:t>
      </w:r>
      <w:proofErr w:type="spellStart"/>
      <w:r w:rsidRPr="00AC3DC3">
        <w:rPr>
          <w:rFonts w:cs="Times New Roman"/>
          <w:i/>
          <w:lang w:val="fr-CA"/>
        </w:rPr>
        <w:t>Summers</w:t>
      </w:r>
      <w:proofErr w:type="spellEnd"/>
      <w:r w:rsidRPr="00AC3DC3">
        <w:rPr>
          <w:rFonts w:cs="Times New Roman"/>
          <w:lang w:val="fr-CA"/>
        </w:rPr>
        <w:t>, par. 82</w:t>
      </w:r>
      <w:r w:rsidR="00713254">
        <w:rPr>
          <w:rFonts w:cs="Times New Roman"/>
          <w:lang w:val="fr-CA"/>
        </w:rPr>
        <w:t>-</w:t>
      </w:r>
      <w:r w:rsidRPr="00AC3DC3">
        <w:rPr>
          <w:rFonts w:cs="Times New Roman"/>
          <w:lang w:val="fr-CA"/>
        </w:rPr>
        <w:t xml:space="preserve">88).  L’historique législatif n’est donc d’aucun secours à cet égard. </w:t>
      </w:r>
    </w:p>
    <w:p w:rsidR="003966E1" w:rsidRPr="00AC3DC3" w:rsidRDefault="003966E1" w:rsidP="00A17E02">
      <w:pPr>
        <w:pStyle w:val="ParaNoNdepar-AltN"/>
        <w:rPr>
          <w:rFonts w:cs="Times New Roman"/>
          <w:lang w:val="fr-CA"/>
        </w:rPr>
      </w:pPr>
      <w:r w:rsidRPr="00AC3DC3">
        <w:rPr>
          <w:rFonts w:cs="Times New Roman"/>
          <w:lang w:val="fr-CA"/>
        </w:rPr>
        <w:lastRenderedPageBreak/>
        <w:t>Le législateur est présumé connaître le contexte juridique dans lequel il légifère</w:t>
      </w:r>
      <w:r w:rsidRPr="007565A6">
        <w:rPr>
          <w:rStyle w:val="Hyperlink"/>
          <w:u w:val="none"/>
          <w:vertAlign w:val="superscript"/>
        </w:rPr>
        <w:footnoteReference w:id="5"/>
      </w:r>
      <w:r w:rsidRPr="00AC3DC3">
        <w:rPr>
          <w:rFonts w:cs="Times New Roman"/>
          <w:lang w:val="fr-CA"/>
        </w:rPr>
        <w:t xml:space="preserve">.  Le recours à l’ancien par. 719(3) pour accorder un crédit majoré afin de tenir compte des conséquences quantitatives et qualitatives de la détention </w:t>
      </w:r>
      <w:proofErr w:type="spellStart"/>
      <w:r w:rsidRPr="00AC3DC3">
        <w:rPr>
          <w:rFonts w:cs="Times New Roman"/>
          <w:lang w:val="fr-CA"/>
        </w:rPr>
        <w:t>présentencielle</w:t>
      </w:r>
      <w:proofErr w:type="spellEnd"/>
      <w:r w:rsidRPr="00AC3DC3">
        <w:rPr>
          <w:rFonts w:cs="Times New Roman"/>
          <w:lang w:val="fr-CA"/>
        </w:rPr>
        <w:t xml:space="preserve"> s’inscrivait profondément dans notre régime de détermination de la peine.  Notre Cour l’a expressément approuvé dans l’arrêt </w:t>
      </w:r>
      <w:proofErr w:type="spellStart"/>
      <w:r w:rsidRPr="00AC3DC3">
        <w:rPr>
          <w:rFonts w:cs="Times New Roman"/>
          <w:i/>
          <w:lang w:val="fr-CA"/>
        </w:rPr>
        <w:t>Wust</w:t>
      </w:r>
      <w:proofErr w:type="spellEnd"/>
      <w:r w:rsidRPr="00AC3DC3">
        <w:rPr>
          <w:rFonts w:cs="Times New Roman"/>
          <w:lang w:val="fr-CA"/>
        </w:rPr>
        <w:t xml:space="preserve">, où elle a expliqué que la perte subie aux fins de l’admissibilité à la libération anticipée et à la libération conditionnelle justifie l’octroi d’un crédit majoré.  </w:t>
      </w:r>
    </w:p>
    <w:p w:rsidR="003966E1" w:rsidRPr="00AC3DC3" w:rsidRDefault="003966E1" w:rsidP="00A17E02">
      <w:pPr>
        <w:pStyle w:val="ParaNoNdepar-AltN"/>
        <w:rPr>
          <w:rFonts w:cs="Times New Roman"/>
          <w:lang w:val="fr-CA"/>
        </w:rPr>
      </w:pPr>
      <w:r w:rsidRPr="00AC3DC3">
        <w:rPr>
          <w:rFonts w:cs="Times New Roman"/>
          <w:lang w:val="fr-CA"/>
        </w:rPr>
        <w:t xml:space="preserve">Le législateur a évidemment le pouvoir d’écarter la prise en compte de ces circonstances (sauf contestation constitutionnelle).  Il me paraît toutefois inconcevable que le législateur ait voulu écarter une pratique rationnelle ayant cours depuis longtemps en matière de détermination de la peine, mais qu’il ne l’ait pas fait de manière explicite, s’en remettant plutôt à des inférences susceptibles d’être tirées de l’ordre d’apparition de certaines dispositions dans le </w:t>
      </w:r>
      <w:r w:rsidRPr="00AC3DC3">
        <w:rPr>
          <w:rFonts w:cs="Times New Roman"/>
          <w:i/>
          <w:lang w:val="fr-CA"/>
        </w:rPr>
        <w:t>Code criminel</w:t>
      </w:r>
      <w:r w:rsidRPr="00AC3DC3">
        <w:rPr>
          <w:rFonts w:cs="Times New Roman"/>
          <w:lang w:val="fr-CA"/>
        </w:rPr>
        <w:t>.</w:t>
      </w:r>
    </w:p>
    <w:p w:rsidR="003966E1" w:rsidRPr="00AC3DC3" w:rsidRDefault="003966E1" w:rsidP="00A17E02">
      <w:pPr>
        <w:pStyle w:val="ParaNoNdepar-AltN"/>
        <w:rPr>
          <w:rFonts w:cs="Times New Roman"/>
          <w:lang w:val="fr-CA"/>
        </w:rPr>
      </w:pPr>
      <w:r w:rsidRPr="00AC3DC3">
        <w:rPr>
          <w:rFonts w:cs="Times New Roman"/>
          <w:lang w:val="fr-CA"/>
        </w:rPr>
        <w:t xml:space="preserve">Il semble plus vraisemblable que le législateur ait eu l’intention de faire ce qu’il a fait explicitement.  Les modifications établissent clairement un ratio </w:t>
      </w:r>
      <w:r w:rsidRPr="00AC3DC3">
        <w:rPr>
          <w:rFonts w:cs="Times New Roman"/>
          <w:i/>
          <w:lang w:val="fr-CA"/>
        </w:rPr>
        <w:t>maximum</w:t>
      </w:r>
      <w:r w:rsidRPr="00AC3DC3">
        <w:rPr>
          <w:rFonts w:cs="Times New Roman"/>
          <w:lang w:val="fr-CA"/>
        </w:rPr>
        <w:t xml:space="preserve">, à savoir un jour et demi contre un.  Il s’agit d’un écart clair et important par rapport à la pratique antérieure à la </w:t>
      </w:r>
      <w:r w:rsidRPr="00AC3DC3">
        <w:rPr>
          <w:rFonts w:cs="Times New Roman"/>
          <w:i/>
          <w:lang w:val="fr-CA"/>
        </w:rPr>
        <w:t>LAPC</w:t>
      </w:r>
      <w:r w:rsidRPr="00AC3DC3">
        <w:rPr>
          <w:rFonts w:cs="Times New Roman"/>
          <w:lang w:val="fr-CA"/>
        </w:rPr>
        <w:t xml:space="preserve">.  Après avoir manifesté son intention si clairement sur ce point, le législateur n’a pas indiqué qu’il voulait modifier les raisons pour lesquelles il pouvait y avoir majoration du crédit. </w:t>
      </w:r>
    </w:p>
    <w:p w:rsidR="003966E1" w:rsidRPr="00AC3DC3" w:rsidRDefault="003966E1" w:rsidP="00A17E02">
      <w:pPr>
        <w:pStyle w:val="ParaNoNdepar-AltN"/>
        <w:rPr>
          <w:rFonts w:cs="Times New Roman"/>
          <w:lang w:val="fr-CA"/>
        </w:rPr>
      </w:pPr>
      <w:r w:rsidRPr="00AC3DC3">
        <w:rPr>
          <w:rFonts w:cs="Times New Roman"/>
          <w:lang w:val="fr-CA"/>
        </w:rPr>
        <w:lastRenderedPageBreak/>
        <w:t>À mon avis, ni le libellé de la disposition ni la preuve externe ne démontrent l’intention claire d’abolir l’une des raisons d’être rationnelles de la</w:t>
      </w:r>
      <w:r>
        <w:rPr>
          <w:rFonts w:cs="Times New Roman"/>
          <w:lang w:val="fr-CA"/>
        </w:rPr>
        <w:t xml:space="preserve"> </w:t>
      </w:r>
      <w:r w:rsidRPr="00AC3DC3">
        <w:rPr>
          <w:rFonts w:cs="Times New Roman"/>
          <w:lang w:val="fr-CA"/>
        </w:rPr>
        <w:t>majoration du crédit.</w:t>
      </w:r>
    </w:p>
    <w:p w:rsidR="003966E1" w:rsidRPr="00AC3DC3" w:rsidRDefault="003966E1" w:rsidP="00A17E02">
      <w:pPr>
        <w:pStyle w:val="Title3LevelTitre3Niveau"/>
        <w:keepNext w:val="0"/>
        <w:rPr>
          <w:rFonts w:cs="Times New Roman"/>
          <w:lang w:val="fr-CA"/>
        </w:rPr>
      </w:pPr>
      <w:r w:rsidRPr="00AC3DC3">
        <w:rPr>
          <w:rFonts w:cs="Times New Roman"/>
          <w:lang w:val="fr-CA"/>
        </w:rPr>
        <w:t xml:space="preserve">Économie du régime de détermination de la peine  </w:t>
      </w:r>
    </w:p>
    <w:p w:rsidR="003966E1" w:rsidRPr="00AC3DC3" w:rsidRDefault="003966E1" w:rsidP="003F6F94">
      <w:pPr>
        <w:pStyle w:val="ParaNoNdepar-AltN"/>
        <w:widowControl w:val="0"/>
        <w:tabs>
          <w:tab w:val="clear" w:pos="1166"/>
          <w:tab w:val="left" w:pos="1170"/>
        </w:tabs>
        <w:rPr>
          <w:rFonts w:cs="Times New Roman"/>
          <w:lang w:val="fr-CA"/>
        </w:rPr>
      </w:pPr>
      <w:r w:rsidRPr="00AC3DC3">
        <w:rPr>
          <w:rFonts w:cs="Times New Roman"/>
          <w:lang w:val="fr-CA"/>
        </w:rPr>
        <w:t xml:space="preserve">Bien que les motifs qui précèdent permettent de statuer sur le pourvoi, je reconnais que les par. 719(3) et 719(3.1) ne s’appliquent pas en vase clos, mais font partie du régime général de détermination de la peine qu’établit le </w:t>
      </w:r>
      <w:r w:rsidRPr="00AC3DC3">
        <w:rPr>
          <w:rFonts w:cs="Times New Roman"/>
          <w:i/>
          <w:lang w:val="fr-CA"/>
        </w:rPr>
        <w:t>Code criminel</w:t>
      </w:r>
      <w:r w:rsidRPr="00AC3DC3">
        <w:rPr>
          <w:rFonts w:cs="Times New Roman"/>
          <w:lang w:val="fr-CA"/>
        </w:rPr>
        <w:t xml:space="preserve">.  Comme le législateur est présumé avoir créé un régime législatif cohérent, uniforme et harmonieux, l’art. 719 doit être interprété conformément aux principes et aux objectifs de détermination de la peine énoncés à la partie XXIII du </w:t>
      </w:r>
      <w:r w:rsidRPr="00AC3DC3">
        <w:rPr>
          <w:rFonts w:cs="Times New Roman"/>
          <w:i/>
          <w:lang w:val="fr-CA"/>
        </w:rPr>
        <w:t>Code criminel</w:t>
      </w:r>
      <w:r w:rsidRPr="00AC3DC3">
        <w:rPr>
          <w:rFonts w:cs="Times New Roman"/>
          <w:lang w:val="fr-CA"/>
        </w:rPr>
        <w:t xml:space="preserve">.  Voici ce que prévoient les </w:t>
      </w:r>
      <w:proofErr w:type="gramStart"/>
      <w:r w:rsidRPr="00AC3DC3">
        <w:rPr>
          <w:rFonts w:cs="Times New Roman"/>
          <w:lang w:val="fr-CA"/>
        </w:rPr>
        <w:t>art</w:t>
      </w:r>
      <w:proofErr w:type="gramEnd"/>
      <w:r w:rsidRPr="00AC3DC3">
        <w:rPr>
          <w:rFonts w:cs="Times New Roman"/>
          <w:lang w:val="fr-CA"/>
        </w:rPr>
        <w:t xml:space="preserve">. 718, 718.1 et 718.2 du </w:t>
      </w:r>
      <w:r w:rsidRPr="00AC3DC3">
        <w:rPr>
          <w:rFonts w:cs="Times New Roman"/>
          <w:i/>
          <w:lang w:val="fr-CA"/>
        </w:rPr>
        <w:t>Code</w:t>
      </w:r>
      <w:r w:rsidRPr="00AC3DC3">
        <w:rPr>
          <w:rFonts w:cs="Times New Roman"/>
          <w:lang w:val="fr-CA"/>
        </w:rPr>
        <w:t> :</w:t>
      </w:r>
    </w:p>
    <w:p w:rsidR="003966E1" w:rsidRDefault="003966E1" w:rsidP="00670910">
      <w:pPr>
        <w:pStyle w:val="Citation-AltC"/>
        <w:tabs>
          <w:tab w:val="left" w:pos="1710"/>
        </w:tabs>
        <w:ind w:firstLine="4"/>
        <w:rPr>
          <w:lang w:val="fr-CA"/>
        </w:rPr>
      </w:pPr>
      <w:r w:rsidRPr="00AC3DC3">
        <w:rPr>
          <w:rStyle w:val="sectionlabel"/>
          <w:lang w:val="fr-CA"/>
        </w:rPr>
        <w:tab/>
        <w:t>718.</w:t>
      </w:r>
      <w:r w:rsidRPr="00AC3DC3">
        <w:rPr>
          <w:lang w:val="fr-CA"/>
        </w:rPr>
        <w:t>  Le prononcé des peines a pour objectif essentiel de contribuer, parallèlement à d’autres initiatives de prévention du crime, au respect de la loi et au maintien d’une société juste, paisible et sûre par l’infliction de sanctions justes visant un ou plusi</w:t>
      </w:r>
      <w:r w:rsidR="00670910">
        <w:rPr>
          <w:lang w:val="fr-CA"/>
        </w:rPr>
        <w:t xml:space="preserve">eurs des objectifs suivants : </w:t>
      </w:r>
    </w:p>
    <w:p w:rsidR="00670910" w:rsidRPr="00AC3DC3" w:rsidRDefault="00670910" w:rsidP="00A17E02">
      <w:pPr>
        <w:pStyle w:val="Citation-AltC"/>
        <w:ind w:hanging="1166"/>
        <w:rPr>
          <w:lang w:val="fr-CA"/>
        </w:rPr>
      </w:pPr>
    </w:p>
    <w:p w:rsidR="003966E1" w:rsidRDefault="003966E1" w:rsidP="00670910">
      <w:pPr>
        <w:pStyle w:val="Citation-AltC"/>
        <w:ind w:left="1710" w:firstLine="4"/>
        <w:rPr>
          <w:lang w:val="fr-CA"/>
        </w:rPr>
      </w:pPr>
      <w:r w:rsidRPr="00AC3DC3">
        <w:rPr>
          <w:i/>
          <w:lang w:val="fr-CA"/>
        </w:rPr>
        <w:t>a</w:t>
      </w:r>
      <w:r w:rsidR="00670910">
        <w:rPr>
          <w:lang w:val="fr-CA"/>
        </w:rPr>
        <w:t xml:space="preserve">) </w:t>
      </w:r>
      <w:r w:rsidRPr="00AC3DC3">
        <w:rPr>
          <w:lang w:val="fr-CA"/>
        </w:rPr>
        <w:t>dénoncer le comportement illégal;</w:t>
      </w:r>
    </w:p>
    <w:p w:rsidR="00670910" w:rsidRPr="00AC3DC3" w:rsidRDefault="00670910" w:rsidP="00A17E02">
      <w:pPr>
        <w:pStyle w:val="Citation-AltC"/>
        <w:tabs>
          <w:tab w:val="left" w:pos="1440"/>
          <w:tab w:val="left" w:pos="2040"/>
        </w:tabs>
        <w:ind w:left="2040" w:hanging="2040"/>
        <w:rPr>
          <w:lang w:val="fr-CA"/>
        </w:rPr>
      </w:pPr>
    </w:p>
    <w:p w:rsidR="003966E1" w:rsidRDefault="003966E1" w:rsidP="00670910">
      <w:pPr>
        <w:pStyle w:val="Citation-AltC"/>
        <w:ind w:left="1710" w:firstLine="4"/>
        <w:rPr>
          <w:lang w:val="fr-CA"/>
        </w:rPr>
      </w:pPr>
      <w:r w:rsidRPr="00AC3DC3">
        <w:rPr>
          <w:i/>
          <w:lang w:val="fr-CA"/>
        </w:rPr>
        <w:t>b</w:t>
      </w:r>
      <w:r w:rsidR="00670910">
        <w:rPr>
          <w:lang w:val="fr-CA"/>
        </w:rPr>
        <w:t xml:space="preserve">) </w:t>
      </w:r>
      <w:r w:rsidRPr="00AC3DC3">
        <w:rPr>
          <w:lang w:val="fr-CA"/>
        </w:rPr>
        <w:t>dissuader les délinquants, et quiconque, de commettre des infractions;</w:t>
      </w:r>
    </w:p>
    <w:p w:rsidR="00670910" w:rsidRPr="00AC3DC3" w:rsidRDefault="00670910" w:rsidP="00A17E02">
      <w:pPr>
        <w:pStyle w:val="Citation-AltC"/>
        <w:tabs>
          <w:tab w:val="left" w:pos="1440"/>
          <w:tab w:val="left" w:pos="2040"/>
        </w:tabs>
        <w:ind w:left="2040" w:hanging="2040"/>
        <w:rPr>
          <w:lang w:val="fr-CA"/>
        </w:rPr>
      </w:pPr>
    </w:p>
    <w:p w:rsidR="003966E1" w:rsidRDefault="003966E1" w:rsidP="00670910">
      <w:pPr>
        <w:pStyle w:val="Citation-AltC"/>
        <w:ind w:left="1710" w:firstLine="4"/>
        <w:rPr>
          <w:lang w:val="fr-CA"/>
        </w:rPr>
      </w:pPr>
      <w:r w:rsidRPr="00AC3DC3">
        <w:rPr>
          <w:i/>
          <w:lang w:val="fr-CA"/>
        </w:rPr>
        <w:t>c</w:t>
      </w:r>
      <w:r w:rsidR="00670910">
        <w:rPr>
          <w:lang w:val="fr-CA"/>
        </w:rPr>
        <w:t xml:space="preserve">) </w:t>
      </w:r>
      <w:r w:rsidRPr="00AC3DC3">
        <w:rPr>
          <w:lang w:val="fr-CA"/>
        </w:rPr>
        <w:t>isoler, au besoin, les délinquants du reste de la société;</w:t>
      </w:r>
    </w:p>
    <w:p w:rsidR="00670910" w:rsidRPr="00AC3DC3" w:rsidRDefault="00670910" w:rsidP="00A17E02">
      <w:pPr>
        <w:pStyle w:val="Citation-AltC"/>
        <w:tabs>
          <w:tab w:val="left" w:pos="1440"/>
          <w:tab w:val="left" w:pos="2040"/>
        </w:tabs>
        <w:ind w:left="2040" w:hanging="2040"/>
        <w:rPr>
          <w:lang w:val="fr-CA"/>
        </w:rPr>
      </w:pPr>
    </w:p>
    <w:p w:rsidR="003966E1" w:rsidRDefault="003966E1" w:rsidP="00670910">
      <w:pPr>
        <w:pStyle w:val="Citation-AltC"/>
        <w:ind w:left="1710" w:firstLine="4"/>
        <w:rPr>
          <w:lang w:val="fr-CA"/>
        </w:rPr>
      </w:pPr>
      <w:r w:rsidRPr="00AC3DC3">
        <w:rPr>
          <w:i/>
          <w:lang w:val="fr-CA"/>
        </w:rPr>
        <w:t>d</w:t>
      </w:r>
      <w:r w:rsidR="00670910">
        <w:rPr>
          <w:lang w:val="fr-CA"/>
        </w:rPr>
        <w:t xml:space="preserve">) </w:t>
      </w:r>
      <w:r w:rsidRPr="00AC3DC3">
        <w:rPr>
          <w:lang w:val="fr-CA"/>
        </w:rPr>
        <w:t>favoriser la réinsertion sociale des délinquants;</w:t>
      </w:r>
    </w:p>
    <w:p w:rsidR="00670910" w:rsidRPr="00AC3DC3" w:rsidRDefault="00670910" w:rsidP="00A17E02">
      <w:pPr>
        <w:pStyle w:val="Citation-AltC"/>
        <w:tabs>
          <w:tab w:val="left" w:pos="1440"/>
          <w:tab w:val="left" w:pos="2040"/>
        </w:tabs>
        <w:ind w:left="2040" w:hanging="2040"/>
        <w:rPr>
          <w:lang w:val="fr-CA"/>
        </w:rPr>
      </w:pPr>
    </w:p>
    <w:p w:rsidR="003966E1" w:rsidRDefault="003966E1" w:rsidP="00670910">
      <w:pPr>
        <w:pStyle w:val="Citation-AltC"/>
        <w:ind w:left="1710" w:firstLine="4"/>
        <w:rPr>
          <w:lang w:val="fr-CA"/>
        </w:rPr>
      </w:pPr>
      <w:r w:rsidRPr="00AC3DC3">
        <w:rPr>
          <w:i/>
          <w:lang w:val="fr-CA"/>
        </w:rPr>
        <w:t>e</w:t>
      </w:r>
      <w:r w:rsidR="00670910">
        <w:rPr>
          <w:lang w:val="fr-CA"/>
        </w:rPr>
        <w:t xml:space="preserve">) </w:t>
      </w:r>
      <w:r w:rsidRPr="00AC3DC3">
        <w:rPr>
          <w:lang w:val="fr-CA"/>
        </w:rPr>
        <w:t xml:space="preserve">assurer la réparation des torts causés aux victimes ou à la collectivité; </w:t>
      </w:r>
    </w:p>
    <w:p w:rsidR="00670910" w:rsidRPr="00AC3DC3" w:rsidRDefault="00670910" w:rsidP="00A17E02">
      <w:pPr>
        <w:pStyle w:val="Citation-AltC"/>
        <w:tabs>
          <w:tab w:val="left" w:pos="1440"/>
          <w:tab w:val="left" w:pos="2040"/>
        </w:tabs>
        <w:ind w:left="2040" w:hanging="2040"/>
        <w:rPr>
          <w:lang w:val="fr-CA"/>
        </w:rPr>
      </w:pPr>
    </w:p>
    <w:p w:rsidR="003966E1" w:rsidRDefault="003966E1" w:rsidP="00670910">
      <w:pPr>
        <w:pStyle w:val="Citation-AltC"/>
        <w:ind w:left="1710" w:firstLine="4"/>
        <w:rPr>
          <w:lang w:val="fr-CA"/>
        </w:rPr>
      </w:pPr>
      <w:r w:rsidRPr="00AC3DC3">
        <w:rPr>
          <w:i/>
          <w:lang w:val="fr-CA"/>
        </w:rPr>
        <w:lastRenderedPageBreak/>
        <w:t>f</w:t>
      </w:r>
      <w:r w:rsidR="00670910">
        <w:rPr>
          <w:lang w:val="fr-CA"/>
        </w:rPr>
        <w:t xml:space="preserve">) </w:t>
      </w:r>
      <w:r w:rsidRPr="00AC3DC3">
        <w:rPr>
          <w:lang w:val="fr-CA"/>
        </w:rPr>
        <w:t xml:space="preserve">susciter la conscience de leurs responsabilités chez les délinquants, notamment par la reconnaissance du tort qu’ils ont causé aux victimes et à la collectivité. </w:t>
      </w:r>
    </w:p>
    <w:p w:rsidR="00670910" w:rsidRPr="00AC3DC3" w:rsidRDefault="00670910" w:rsidP="00670910">
      <w:pPr>
        <w:pStyle w:val="Citation-AltC"/>
        <w:ind w:left="1710" w:firstLine="4"/>
        <w:rPr>
          <w:lang w:val="fr-CA"/>
        </w:rPr>
      </w:pPr>
    </w:p>
    <w:p w:rsidR="003966E1" w:rsidRDefault="003966E1" w:rsidP="00670910">
      <w:pPr>
        <w:pStyle w:val="Citation-AltC"/>
        <w:tabs>
          <w:tab w:val="left" w:pos="1710"/>
        </w:tabs>
        <w:ind w:firstLine="4"/>
        <w:rPr>
          <w:lang w:val="fr-CA"/>
        </w:rPr>
      </w:pPr>
      <w:r w:rsidRPr="00AC3DC3">
        <w:rPr>
          <w:rStyle w:val="sectionlabel"/>
          <w:lang w:val="fr-CA"/>
        </w:rPr>
        <w:tab/>
        <w:t>718.1</w:t>
      </w:r>
      <w:r w:rsidRPr="00AC3DC3">
        <w:rPr>
          <w:lang w:val="fr-CA"/>
        </w:rPr>
        <w:t xml:space="preserve">  La peine est proportionnelle à la gravité de l’infraction et au degré de responsabilité du délinquant. </w:t>
      </w:r>
    </w:p>
    <w:p w:rsidR="00670910" w:rsidRPr="00AC3DC3" w:rsidRDefault="00670910" w:rsidP="00670910">
      <w:pPr>
        <w:pStyle w:val="Citation-AltC"/>
        <w:tabs>
          <w:tab w:val="left" w:pos="1710"/>
        </w:tabs>
        <w:ind w:firstLine="4"/>
        <w:rPr>
          <w:lang w:val="fr-CA"/>
        </w:rPr>
      </w:pPr>
    </w:p>
    <w:p w:rsidR="003966E1" w:rsidRDefault="003966E1" w:rsidP="00670910">
      <w:pPr>
        <w:pStyle w:val="Citation-AltC"/>
        <w:tabs>
          <w:tab w:val="left" w:pos="1710"/>
        </w:tabs>
        <w:ind w:firstLine="4"/>
        <w:rPr>
          <w:lang w:val="fr-CA"/>
        </w:rPr>
      </w:pPr>
      <w:r w:rsidRPr="00AC3DC3">
        <w:rPr>
          <w:rStyle w:val="sectionlabel"/>
          <w:lang w:val="fr-CA"/>
        </w:rPr>
        <w:tab/>
        <w:t>718.2</w:t>
      </w:r>
      <w:r w:rsidRPr="00AC3DC3">
        <w:rPr>
          <w:lang w:val="fr-CA"/>
        </w:rPr>
        <w:t xml:space="preserve">  Le tribunal détermine la peine à infliger compte tenu également des principes suivants : </w:t>
      </w:r>
    </w:p>
    <w:p w:rsidR="00670910" w:rsidRPr="00AC3DC3" w:rsidRDefault="00670910" w:rsidP="00670910">
      <w:pPr>
        <w:pStyle w:val="Citation-AltC"/>
        <w:tabs>
          <w:tab w:val="left" w:pos="1710"/>
        </w:tabs>
        <w:ind w:firstLine="4"/>
        <w:rPr>
          <w:lang w:val="fr-CA"/>
        </w:rPr>
      </w:pPr>
    </w:p>
    <w:p w:rsidR="003966E1" w:rsidRPr="00AC3DC3" w:rsidRDefault="00670910" w:rsidP="00670910">
      <w:pPr>
        <w:pStyle w:val="Citation-AltC"/>
        <w:spacing w:after="240"/>
        <w:ind w:firstLine="4"/>
        <w:contextualSpacing w:val="0"/>
        <w:jc w:val="center"/>
        <w:rPr>
          <w:lang w:val="fr-CA"/>
        </w:rPr>
      </w:pPr>
      <w:r>
        <w:rPr>
          <w:lang w:val="fr-CA"/>
        </w:rPr>
        <w:t>. . .</w:t>
      </w:r>
    </w:p>
    <w:p w:rsidR="003966E1" w:rsidRPr="00AC3DC3" w:rsidRDefault="003966E1" w:rsidP="00670910">
      <w:pPr>
        <w:pStyle w:val="Citation-AltC"/>
        <w:ind w:left="1710" w:firstLine="4"/>
        <w:rPr>
          <w:lang w:val="fr-CA"/>
        </w:rPr>
      </w:pPr>
      <w:r w:rsidRPr="00AC3DC3">
        <w:rPr>
          <w:i/>
          <w:lang w:val="fr-CA"/>
        </w:rPr>
        <w:t>b</w:t>
      </w:r>
      <w:r w:rsidR="00670910">
        <w:rPr>
          <w:lang w:val="fr-CA"/>
        </w:rPr>
        <w:t xml:space="preserve">) </w:t>
      </w:r>
      <w:r w:rsidRPr="00AC3DC3">
        <w:rPr>
          <w:lang w:val="fr-CA"/>
        </w:rPr>
        <w:t>l’harmonisation des peines, c’est</w:t>
      </w:r>
      <w:r w:rsidR="008E77B2">
        <w:rPr>
          <w:lang w:val="fr-CA"/>
        </w:rPr>
        <w:t>-</w:t>
      </w:r>
      <w:r w:rsidRPr="00AC3DC3">
        <w:rPr>
          <w:lang w:val="fr-CA"/>
        </w:rPr>
        <w:t>à</w:t>
      </w:r>
      <w:r w:rsidR="008E77B2">
        <w:rPr>
          <w:lang w:val="fr-CA"/>
        </w:rPr>
        <w:t>-</w:t>
      </w:r>
      <w:r w:rsidRPr="00AC3DC3">
        <w:rPr>
          <w:lang w:val="fr-CA"/>
        </w:rPr>
        <w:t>dire l’infliction de peines semblables à celles infligées à des délinquants pour des infractions semblables commises dans des circonstances semblables;</w:t>
      </w:r>
    </w:p>
    <w:p w:rsidR="003966E1" w:rsidRPr="00AC3DC3" w:rsidRDefault="003966E1" w:rsidP="00A17E02">
      <w:pPr>
        <w:pStyle w:val="ParaNoNdepar-AltN"/>
        <w:rPr>
          <w:rFonts w:cs="Times New Roman"/>
          <w:lang w:val="fr-CA"/>
        </w:rPr>
      </w:pPr>
      <w:r w:rsidRPr="00AC3DC3">
        <w:rPr>
          <w:rFonts w:cs="Times New Roman"/>
          <w:lang w:val="fr-CA"/>
        </w:rPr>
        <w:t xml:space="preserve">Comme le reconnaissent les juges </w:t>
      </w:r>
      <w:r w:rsidR="00354D1A">
        <w:rPr>
          <w:rFonts w:cs="Times New Roman"/>
          <w:lang w:val="fr-CA"/>
        </w:rPr>
        <w:t xml:space="preserve">d’appel </w:t>
      </w:r>
      <w:r w:rsidRPr="00AC3DC3">
        <w:rPr>
          <w:rFonts w:cs="Times New Roman"/>
          <w:lang w:val="fr-CA"/>
        </w:rPr>
        <w:t xml:space="preserve">Beveridge et </w:t>
      </w:r>
      <w:proofErr w:type="spellStart"/>
      <w:r w:rsidRPr="00AC3DC3">
        <w:rPr>
          <w:rFonts w:cs="Times New Roman"/>
          <w:lang w:val="fr-CA"/>
        </w:rPr>
        <w:t>Cronk</w:t>
      </w:r>
      <w:proofErr w:type="spellEnd"/>
      <w:r w:rsidRPr="00AC3DC3">
        <w:rPr>
          <w:rFonts w:cs="Times New Roman"/>
          <w:lang w:val="fr-CA"/>
        </w:rPr>
        <w:t xml:space="preserve">, lorsque l’interprétation du par. 719(3.1) ne tient pas compte de la perte subie aux fins de l’admissibilité à la libération anticipée et à la libération conditionnelle pendant la détention préventive, le délinquant qui n’est pas libéré sous caution purge une peine plus longue que celui qui l’est. </w:t>
      </w:r>
    </w:p>
    <w:p w:rsidR="003966E1" w:rsidRPr="00AC3DC3" w:rsidRDefault="003966E1" w:rsidP="00A17E02">
      <w:pPr>
        <w:pStyle w:val="ParaNoNdepar-AltN"/>
        <w:rPr>
          <w:rFonts w:cs="Times New Roman"/>
          <w:lang w:val="fr-CA"/>
        </w:rPr>
      </w:pPr>
      <w:r w:rsidRPr="00AC3DC3">
        <w:rPr>
          <w:rFonts w:cs="Times New Roman"/>
          <w:lang w:val="fr-CA"/>
        </w:rPr>
        <w:t>Ce résultat heurte le principe de la parité.  La règle dont l’application entraîne une peine plus longue pour le délinquant qui n’obtient pas de libération sous caution, comparativement à un délinquant dont la situation est par ailleurs identique, ne donne pas lieu à l’infliction « de peines semblables à celles infligées à des délinquants pour des infractions semblables commises dans des circonstances semblables » (al. 718.2</w:t>
      </w:r>
      <w:r w:rsidRPr="00AC3DC3">
        <w:rPr>
          <w:rFonts w:cs="Times New Roman"/>
          <w:i/>
          <w:lang w:val="fr-CA"/>
        </w:rPr>
        <w:t>b</w:t>
      </w:r>
      <w:r w:rsidRPr="00AC3DC3">
        <w:rPr>
          <w:rFonts w:cs="Times New Roman"/>
          <w:lang w:val="fr-CA"/>
        </w:rPr>
        <w:t>)</w:t>
      </w:r>
      <w:r w:rsidR="00354D1A">
        <w:rPr>
          <w:rFonts w:cs="Times New Roman"/>
          <w:lang w:val="fr-CA"/>
        </w:rPr>
        <w:t>)</w:t>
      </w:r>
      <w:r w:rsidRPr="00AC3DC3">
        <w:rPr>
          <w:rFonts w:cs="Times New Roman"/>
          <w:lang w:val="fr-CA"/>
        </w:rPr>
        <w:t xml:space="preserve">.  </w:t>
      </w:r>
    </w:p>
    <w:p w:rsidR="003966E1" w:rsidRPr="00AC3DC3" w:rsidRDefault="003966E1" w:rsidP="00A17E02">
      <w:pPr>
        <w:pStyle w:val="ParaNoNdepar-AltN"/>
        <w:rPr>
          <w:rFonts w:cs="Times New Roman"/>
          <w:lang w:val="fr-CA"/>
        </w:rPr>
      </w:pPr>
      <w:r w:rsidRPr="00AC3DC3">
        <w:rPr>
          <w:rFonts w:cs="Times New Roman"/>
          <w:lang w:val="fr-CA"/>
        </w:rPr>
        <w:t xml:space="preserve">Le ministère public soutient que la parité n’exige pas l’égalité absolue et que, quoi qu’il en soit, la majoration du crédit n’assure pas l’égalité entre les </w:t>
      </w:r>
      <w:r w:rsidRPr="00AC3DC3">
        <w:rPr>
          <w:rFonts w:cs="Times New Roman"/>
          <w:lang w:val="fr-CA"/>
        </w:rPr>
        <w:lastRenderedPageBreak/>
        <w:t xml:space="preserve">délinquants puisqu’elle suppose que les deux délinquants seront libérés à la date prévue de libération </w:t>
      </w:r>
      <w:r w:rsidR="00354D1A">
        <w:rPr>
          <w:rFonts w:cs="Times New Roman"/>
          <w:lang w:val="fr-CA"/>
        </w:rPr>
        <w:t>d’office</w:t>
      </w:r>
      <w:r w:rsidRPr="00AC3DC3">
        <w:rPr>
          <w:rFonts w:cs="Times New Roman"/>
          <w:lang w:val="fr-CA"/>
        </w:rPr>
        <w:t xml:space="preserve"> (soit aux deux tiers de leur peine).  En fait, certains sont libérés conditionnellement au tiers de leur peine, alors que d’autres ne sont jamais libérés avant le terme de celle</w:t>
      </w:r>
      <w:r w:rsidR="008E77B2">
        <w:rPr>
          <w:rFonts w:cs="Times New Roman"/>
          <w:lang w:val="fr-CA"/>
        </w:rPr>
        <w:t>-</w:t>
      </w:r>
      <w:r w:rsidRPr="00AC3DC3">
        <w:rPr>
          <w:rFonts w:cs="Times New Roman"/>
          <w:lang w:val="fr-CA"/>
        </w:rPr>
        <w:t xml:space="preserve">ci. </w:t>
      </w:r>
    </w:p>
    <w:p w:rsidR="003966E1" w:rsidRPr="00AC3DC3" w:rsidRDefault="003966E1" w:rsidP="00A17E02">
      <w:pPr>
        <w:pStyle w:val="ParaNoNdepar-AltN"/>
        <w:rPr>
          <w:rFonts w:cs="Times New Roman"/>
          <w:lang w:val="fr-CA"/>
        </w:rPr>
      </w:pPr>
      <w:r w:rsidRPr="00AC3DC3">
        <w:rPr>
          <w:rFonts w:cs="Times New Roman"/>
          <w:lang w:val="fr-CA"/>
        </w:rPr>
        <w:t>De toute évidence, l’importance de la disparité varie selon que le délinquant est libéré ou non, et selon le moment où il l’est, le cas échéant.  Néanmoins, la règle qui, sur le fondement de critères étrangers à la détermination de la peine, emporte des différences structurelles entre les peines heurte le principe de la parité.</w:t>
      </w:r>
    </w:p>
    <w:p w:rsidR="003966E1" w:rsidRPr="00AC3DC3" w:rsidRDefault="003966E1" w:rsidP="00A17E02">
      <w:pPr>
        <w:pStyle w:val="ParaNoNdepar-AltN"/>
        <w:rPr>
          <w:rFonts w:cs="Times New Roman"/>
          <w:lang w:val="fr-CA"/>
        </w:rPr>
      </w:pPr>
      <w:r w:rsidRPr="00AC3DC3">
        <w:rPr>
          <w:rFonts w:cs="Times New Roman"/>
          <w:lang w:val="fr-CA"/>
        </w:rPr>
        <w:t xml:space="preserve">Le ministère public ajoute que la Cour d’appel s’appuie à tort sur le principe de la proportionnalité, qui ne vaut que pour l’imposition d’une sanction juste dans un cas donné.  Il ne serait donc pas pertinent de comparer la situation d’un délinquant à celle d’autres délinquants dont la situation est semblable. </w:t>
      </w:r>
    </w:p>
    <w:p w:rsidR="003966E1" w:rsidRPr="00AC3DC3" w:rsidRDefault="003966E1" w:rsidP="00A17E02">
      <w:pPr>
        <w:pStyle w:val="ParaNoNdepar-AltN"/>
        <w:rPr>
          <w:rFonts w:cs="Times New Roman"/>
          <w:lang w:val="fr-CA"/>
        </w:rPr>
      </w:pPr>
      <w:r w:rsidRPr="00AC3DC3">
        <w:rPr>
          <w:rFonts w:cs="Times New Roman"/>
          <w:lang w:val="fr-CA"/>
        </w:rPr>
        <w:t xml:space="preserve">Or, une peine peut difficilement être sans conteste « proportionnelle à la gravité de l’infraction et au degré de responsabilité du délinquant » (art. 718.1) lorsque la durée de l’emprisonnement dépend aussi de la possibilité que le délinquant obtienne une mise en liberté sous caution, ce qui tient souvent à des considérations totalement étrangères. </w:t>
      </w:r>
    </w:p>
    <w:p w:rsidR="003966E1" w:rsidRPr="00AC3DC3" w:rsidRDefault="003966E1" w:rsidP="00A17E02">
      <w:pPr>
        <w:pStyle w:val="ParaNoNdepar-AltN"/>
        <w:rPr>
          <w:rFonts w:cs="Times New Roman"/>
          <w:lang w:val="fr-CA"/>
        </w:rPr>
      </w:pPr>
      <w:r w:rsidRPr="00AC3DC3">
        <w:rPr>
          <w:rFonts w:cs="Times New Roman"/>
          <w:lang w:val="fr-CA"/>
        </w:rPr>
        <w:t xml:space="preserve">Pour ordonner la mise en liberté provisoire, le tribunal doit notamment avoir l’assurance que l’accusé ne se soustraira pas à la justice, ni ne récidivera s’il est </w:t>
      </w:r>
      <w:r w:rsidRPr="00AC3DC3">
        <w:rPr>
          <w:rFonts w:cs="Times New Roman"/>
          <w:lang w:val="fr-CA"/>
        </w:rPr>
        <w:lastRenderedPageBreak/>
        <w:t>libéré sous caution.  Cette assurance peut résider dans le dépôt d’une somme par l’accusé ou dans l’engagement de proches qui se portent garants de la conduite de l’accusé et de sa présence au procès (souvent par le dépôt d’une somme).  Malheureusement, celui ou celle qui ne bénéficie pas de telles ressources financières ou d’un tel appui ne peut offrir pareille assurance.  C’est pourquoi l’intervenante Société John Howard du Canada fait valoir que les délinquants vulnérables et démunis ont de ce fait moins accès à la libération sous caution.</w:t>
      </w:r>
    </w:p>
    <w:p w:rsidR="003966E1" w:rsidRPr="00AC3DC3" w:rsidRDefault="003966E1" w:rsidP="00A17E02">
      <w:pPr>
        <w:pStyle w:val="ParaNoNdepar-AltN"/>
        <w:rPr>
          <w:rFonts w:cs="Times New Roman"/>
          <w:lang w:val="fr-CA"/>
        </w:rPr>
      </w:pPr>
      <w:r w:rsidRPr="00AC3DC3">
        <w:rPr>
          <w:rFonts w:cs="Times New Roman"/>
          <w:lang w:val="fr-CA"/>
        </w:rPr>
        <w:t>Mentionnons le cas des Autochtones, qui risquent davantage que les autres Canadiens de se voir refuser la mise en liberté sous caution et qui forment une partie disproportionnée des délinquants en détention préventive</w:t>
      </w:r>
      <w:r w:rsidRPr="00354D1A">
        <w:rPr>
          <w:rStyle w:val="Hyperlink"/>
          <w:u w:val="none"/>
          <w:vertAlign w:val="superscript"/>
        </w:rPr>
        <w:footnoteReference w:id="6"/>
      </w:r>
      <w:r w:rsidRPr="00AC3DC3">
        <w:rPr>
          <w:rFonts w:cs="Times New Roman"/>
          <w:lang w:val="fr-CA"/>
        </w:rPr>
        <w:t xml:space="preserve">.  Le système qui inflige des peines toujours plus longues et plus sévères aux membres vulnérables de la société, non pas à cause du caractère répréhensible de leur conduite, mais à cause de leur isolement et de leurs maigres ressources financières, peut difficilement infliger des peines conformes aux principes de la parité et de la proportionnalité.  La prise en compte de la perte subie aux fins de l’admissibilité à la libération anticipée par l’octroi d’un crédit majoré répond à cette préoccupation. </w:t>
      </w:r>
    </w:p>
    <w:p w:rsidR="003966E1" w:rsidRPr="00AC3DC3" w:rsidRDefault="003966E1" w:rsidP="00A17E02">
      <w:pPr>
        <w:pStyle w:val="Title3LevelTitre3Niveau"/>
        <w:keepNext w:val="0"/>
        <w:rPr>
          <w:rFonts w:cs="Times New Roman"/>
          <w:lang w:val="fr-CA"/>
        </w:rPr>
      </w:pPr>
      <w:r w:rsidRPr="00AC3DC3">
        <w:rPr>
          <w:rFonts w:cs="Times New Roman"/>
          <w:lang w:val="fr-CA"/>
        </w:rPr>
        <w:t>Conclusion</w:t>
      </w:r>
    </w:p>
    <w:p w:rsidR="003966E1" w:rsidRPr="00AC3DC3" w:rsidRDefault="003966E1" w:rsidP="00A17E02">
      <w:pPr>
        <w:pStyle w:val="ParaNoNdepar-AltN"/>
        <w:widowControl w:val="0"/>
        <w:rPr>
          <w:rFonts w:cs="Times New Roman"/>
          <w:lang w:val="fr-CA"/>
        </w:rPr>
      </w:pPr>
      <w:r w:rsidRPr="00AC3DC3">
        <w:rPr>
          <w:rFonts w:cs="Times New Roman"/>
          <w:lang w:val="fr-CA"/>
        </w:rPr>
        <w:t xml:space="preserve">Pour ces motifs, je conclus que les « circonstances » qui justifient l’octroi </w:t>
      </w:r>
      <w:r w:rsidRPr="00AC3DC3">
        <w:rPr>
          <w:rFonts w:cs="Times New Roman"/>
          <w:lang w:val="fr-CA"/>
        </w:rPr>
        <w:lastRenderedPageBreak/>
        <w:t xml:space="preserve">d’un crédit majoré en application du par. 719(3.1) peuvent s’entendre de la perte liée à l’admissibilité à la libération anticipée et à la libération conditionnelle. </w:t>
      </w:r>
    </w:p>
    <w:p w:rsidR="003966E1" w:rsidRPr="00AC3DC3" w:rsidRDefault="003966E1" w:rsidP="00A17E02">
      <w:pPr>
        <w:pStyle w:val="ParaNoNdepar-AltN"/>
        <w:rPr>
          <w:rFonts w:cs="Times New Roman"/>
          <w:lang w:val="fr-CA"/>
        </w:rPr>
      </w:pPr>
      <w:r w:rsidRPr="00AC3DC3">
        <w:rPr>
          <w:rFonts w:cs="Times New Roman"/>
          <w:lang w:val="fr-CA"/>
        </w:rPr>
        <w:t xml:space="preserve">Pour arriver à une autre conclusion, le tribunal devrait conclure que le par. 719(3.1) emploie un libellé restrictif, alors que ce n’est pas le cas.  Une telle interprétation entraînerait des peines incompatibles avec l’énoncé de principes du </w:t>
      </w:r>
      <w:r w:rsidRPr="00AC3DC3">
        <w:rPr>
          <w:rFonts w:cs="Times New Roman"/>
          <w:i/>
          <w:lang w:val="fr-CA"/>
        </w:rPr>
        <w:t xml:space="preserve">Code </w:t>
      </w:r>
      <w:r w:rsidRPr="00AC3DC3">
        <w:rPr>
          <w:rFonts w:cs="Times New Roman"/>
          <w:lang w:val="fr-CA"/>
        </w:rPr>
        <w:t xml:space="preserve">et supposerait que le législateur a voulu supprimer la raison d’être quantitative du crédit majoré — à savoir que le délinquant ne doit pas voir la sévérité de sa peine accrue parce qu’il </w:t>
      </w:r>
      <w:r w:rsidR="009C1769">
        <w:rPr>
          <w:rFonts w:cs="Times New Roman"/>
          <w:lang w:val="fr-CA"/>
        </w:rPr>
        <w:t>n’</w:t>
      </w:r>
      <w:r w:rsidRPr="00AC3DC3">
        <w:rPr>
          <w:rFonts w:cs="Times New Roman"/>
          <w:lang w:val="fr-CA"/>
        </w:rPr>
        <w:t xml:space="preserve">a pas été libéré sous caution —, sauf disposition contraire expresse.  Mentionnons en outre la pratique bien établie — avalisée par notre Cour dans </w:t>
      </w:r>
      <w:proofErr w:type="spellStart"/>
      <w:r w:rsidRPr="00AC3DC3">
        <w:rPr>
          <w:rFonts w:cs="Times New Roman"/>
          <w:i/>
          <w:lang w:val="fr-CA"/>
        </w:rPr>
        <w:t>Wust</w:t>
      </w:r>
      <w:proofErr w:type="spellEnd"/>
      <w:r w:rsidRPr="00AC3DC3">
        <w:rPr>
          <w:rFonts w:cs="Times New Roman"/>
          <w:i/>
          <w:lang w:val="fr-CA"/>
        </w:rPr>
        <w:t xml:space="preserve"> </w:t>
      </w:r>
      <w:r w:rsidRPr="00AC3DC3">
        <w:rPr>
          <w:rFonts w:cs="Times New Roman"/>
          <w:lang w:val="fr-CA"/>
        </w:rPr>
        <w:t>en 2000 — selon laquelle l’octroi d’un crédit majoré peut se justifier par la perte subie aux fins de l’admissibilité à la libération conditionnelle et à la libération anticipée.  Une telle conclusion n’est pas plausible.</w:t>
      </w:r>
    </w:p>
    <w:p w:rsidR="003966E1" w:rsidRPr="00AC3DC3" w:rsidRDefault="003966E1" w:rsidP="00A17E02">
      <w:pPr>
        <w:pStyle w:val="Title2LevelTitre2Niveau"/>
        <w:keepNext w:val="0"/>
        <w:rPr>
          <w:rFonts w:cs="Times New Roman"/>
          <w:lang w:val="fr-CA"/>
        </w:rPr>
      </w:pPr>
      <w:r w:rsidRPr="00AC3DC3">
        <w:rPr>
          <w:rFonts w:cs="Times New Roman"/>
          <w:lang w:val="fr-CA"/>
        </w:rPr>
        <w:t xml:space="preserve">Calcul du crédit pour détention </w:t>
      </w:r>
      <w:proofErr w:type="spellStart"/>
      <w:r w:rsidRPr="00AC3DC3">
        <w:rPr>
          <w:rFonts w:cs="Times New Roman"/>
          <w:lang w:val="fr-CA"/>
        </w:rPr>
        <w:t>présentencielle</w:t>
      </w:r>
      <w:proofErr w:type="spellEnd"/>
      <w:r w:rsidRPr="00AC3DC3">
        <w:rPr>
          <w:rFonts w:cs="Times New Roman"/>
          <w:lang w:val="fr-CA"/>
        </w:rPr>
        <w:t xml:space="preserve"> </w:t>
      </w:r>
    </w:p>
    <w:p w:rsidR="003966E1" w:rsidRPr="00AC3DC3" w:rsidRDefault="003966E1" w:rsidP="00A17E02">
      <w:pPr>
        <w:pStyle w:val="Title3LevelTitre3Niveau"/>
        <w:keepNext w:val="0"/>
        <w:ind w:left="1094" w:hanging="547"/>
        <w:rPr>
          <w:rFonts w:cs="Times New Roman"/>
          <w:lang w:val="fr-CA"/>
        </w:rPr>
      </w:pPr>
      <w:r w:rsidRPr="00AC3DC3">
        <w:rPr>
          <w:rFonts w:cs="Times New Roman"/>
          <w:lang w:val="fr-CA"/>
        </w:rPr>
        <w:t>Démarche analytique</w:t>
      </w:r>
    </w:p>
    <w:p w:rsidR="003966E1" w:rsidRPr="00AC3DC3" w:rsidRDefault="003966E1" w:rsidP="00A17E02">
      <w:pPr>
        <w:pStyle w:val="ParaNoNdepar-AltN"/>
        <w:rPr>
          <w:rFonts w:cs="Times New Roman"/>
          <w:lang w:val="fr-CA"/>
        </w:rPr>
      </w:pPr>
      <w:r w:rsidRPr="00AC3DC3">
        <w:rPr>
          <w:rFonts w:cs="Times New Roman"/>
          <w:lang w:val="fr-CA"/>
        </w:rPr>
        <w:t xml:space="preserve">Pour calculer le crédit que justifie la détention </w:t>
      </w:r>
      <w:proofErr w:type="spellStart"/>
      <w:r w:rsidRPr="00AC3DC3">
        <w:rPr>
          <w:rFonts w:cs="Times New Roman"/>
          <w:lang w:val="fr-CA"/>
        </w:rPr>
        <w:t>présentencielle</w:t>
      </w:r>
      <w:proofErr w:type="spellEnd"/>
      <w:r w:rsidRPr="00AC3DC3">
        <w:rPr>
          <w:rFonts w:cs="Times New Roman"/>
          <w:lang w:val="fr-CA"/>
        </w:rPr>
        <w:t xml:space="preserve">, le tribunal peut allouer au plus un jour et demi par jour passé sous garde si les circonstances le justifient.  La loi établit désormais un maximum, mais la démarche analytique de la Cour dans </w:t>
      </w:r>
      <w:proofErr w:type="spellStart"/>
      <w:r w:rsidRPr="00AC3DC3">
        <w:rPr>
          <w:rFonts w:cs="Times New Roman"/>
          <w:i/>
          <w:lang w:val="fr-CA"/>
        </w:rPr>
        <w:t>Wust</w:t>
      </w:r>
      <w:proofErr w:type="spellEnd"/>
      <w:r w:rsidRPr="00AC3DC3">
        <w:rPr>
          <w:rFonts w:cs="Times New Roman"/>
          <w:lang w:val="fr-CA"/>
        </w:rPr>
        <w:t xml:space="preserve"> demeure par ailleurs valable.  Le tribunal doit continuer d’accorder un crédit du point de vue quantitatif afin de refléter la perte subie aux fins de l’admissibilité à la libération anticipée et à la libération conditionnelle pendant la </w:t>
      </w:r>
      <w:r w:rsidRPr="00AC3DC3">
        <w:rPr>
          <w:rFonts w:cs="Times New Roman"/>
          <w:lang w:val="fr-CA"/>
        </w:rPr>
        <w:lastRenderedPageBreak/>
        <w:t xml:space="preserve">détention </w:t>
      </w:r>
      <w:proofErr w:type="spellStart"/>
      <w:r w:rsidRPr="00AC3DC3">
        <w:rPr>
          <w:rFonts w:cs="Times New Roman"/>
          <w:lang w:val="fr-CA"/>
        </w:rPr>
        <w:t>présentencielle</w:t>
      </w:r>
      <w:proofErr w:type="spellEnd"/>
      <w:r w:rsidRPr="00AC3DC3">
        <w:rPr>
          <w:rFonts w:cs="Times New Roman"/>
          <w:lang w:val="fr-CA"/>
        </w:rPr>
        <w:t xml:space="preserve">, ainsi que du point de vue qualitatif afin de compenser la dureté relative des conditions de détention. </w:t>
      </w:r>
    </w:p>
    <w:p w:rsidR="003966E1" w:rsidRPr="00AC3DC3" w:rsidRDefault="003966E1" w:rsidP="00A17E02">
      <w:pPr>
        <w:pStyle w:val="ParaNoNdepar-AltN"/>
        <w:rPr>
          <w:rFonts w:cs="Times New Roman"/>
          <w:lang w:val="fr-CA"/>
        </w:rPr>
      </w:pPr>
      <w:r w:rsidRPr="00AC3DC3">
        <w:rPr>
          <w:rFonts w:cs="Times New Roman"/>
          <w:lang w:val="fr-CA"/>
        </w:rPr>
        <w:t xml:space="preserve">À elle seule, la perte subie aux fins de l’admissibilité à la libération anticipée suffit habituellement à justifier l’octroi d’un crédit à raison d’un jour et demi contre un, même lorsque les conditions de détention n’ont pas été spécialement dures et que la libération conditionnelle est peu probable.  Certes, un ratio inférieur peut être indiqué lorsque la détention résulte de l’inconduite du délinquant, ou qu’il est peu probable que ce dernier soit libéré avant terme ou conditionnellement.  Lorsque les exceptions prévues au par. 719(3.1) écartent son application, le ratio ne peut être que d’un jour contre un.  De plus, l’art. 719 n’entre en jeu que dans le cas où la détention </w:t>
      </w:r>
      <w:proofErr w:type="spellStart"/>
      <w:r w:rsidRPr="00AC3DC3">
        <w:rPr>
          <w:rFonts w:cs="Times New Roman"/>
          <w:lang w:val="fr-CA"/>
        </w:rPr>
        <w:t>présentencielle</w:t>
      </w:r>
      <w:proofErr w:type="spellEnd"/>
      <w:r w:rsidRPr="00AC3DC3">
        <w:rPr>
          <w:rFonts w:cs="Times New Roman"/>
          <w:lang w:val="fr-CA"/>
        </w:rPr>
        <w:t xml:space="preserve"> résulte de l’infraction pour laquelle le délinquant est condamné à une peine.</w:t>
      </w:r>
    </w:p>
    <w:p w:rsidR="003966E1" w:rsidRPr="00AC3DC3" w:rsidRDefault="003966E1" w:rsidP="00A17E02">
      <w:pPr>
        <w:pStyle w:val="ParaNoNdepar-AltN"/>
        <w:rPr>
          <w:rFonts w:cs="Times New Roman"/>
          <w:lang w:val="fr-CA"/>
        </w:rPr>
      </w:pPr>
      <w:r w:rsidRPr="00AC3DC3">
        <w:rPr>
          <w:rFonts w:cs="Times New Roman"/>
          <w:lang w:val="fr-CA"/>
        </w:rPr>
        <w:t xml:space="preserve">Dès lors, deux délinquants, l’un ayant subi une perte aux fins de l’admissibilité à la libération anticipée et à la libération conditionnelle, l’autre ayant non seulement subi une telle perte, mais ayant aussi connu des conditions de détention extrêmement difficiles, bénéficieront probablement tous deux d’un crédit selon un ratio d’un jour et demi contre un.  Il va de soi que le maximum ainsi établi aux fins l’octroi d’un crédit majoré pour la période passée sous garde ne permet pas </w:t>
      </w:r>
      <w:r w:rsidRPr="00AC3DC3">
        <w:rPr>
          <w:rFonts w:cs="Times New Roman"/>
          <w:i/>
          <w:lang w:val="fr-CA"/>
        </w:rPr>
        <w:t>toujours</w:t>
      </w:r>
      <w:r w:rsidRPr="00AC3DC3">
        <w:rPr>
          <w:rFonts w:cs="Times New Roman"/>
          <w:lang w:val="fr-CA"/>
        </w:rPr>
        <w:t xml:space="preserve"> de compenser la rigueur de la détention </w:t>
      </w:r>
      <w:proofErr w:type="spellStart"/>
      <w:r w:rsidRPr="00AC3DC3">
        <w:rPr>
          <w:rFonts w:cs="Times New Roman"/>
          <w:lang w:val="fr-CA"/>
        </w:rPr>
        <w:t>présentencielle</w:t>
      </w:r>
      <w:proofErr w:type="spellEnd"/>
      <w:r w:rsidRPr="00AC3DC3">
        <w:rPr>
          <w:rFonts w:cs="Times New Roman"/>
          <w:lang w:val="fr-CA"/>
        </w:rPr>
        <w:t xml:space="preserve">.  Toutefois, il ne faut pas pour autant réduire le temps alloué afin de conserver une certaine marge de manœuvre pour les cas les plus intolérables.  Établir un maximum équivaut à tracer </w:t>
      </w:r>
      <w:r w:rsidRPr="00AC3DC3">
        <w:rPr>
          <w:rFonts w:cs="Times New Roman"/>
          <w:lang w:val="fr-CA"/>
        </w:rPr>
        <w:lastRenderedPageBreak/>
        <w:t>une ligne et fait seulement en sorte que la limite supérieure sera atteinte dans un plus grand nombre de cas.  Cela ne devrait pas amener les tribunaux à refuser le crédit ou à le restreindre lorsqu’il est légitime.</w:t>
      </w:r>
    </w:p>
    <w:p w:rsidR="003966E1" w:rsidRPr="00AC3DC3" w:rsidRDefault="003966E1" w:rsidP="00A17E02">
      <w:pPr>
        <w:pStyle w:val="ParaNoNdepar-AltN"/>
        <w:rPr>
          <w:rFonts w:cs="Times New Roman"/>
          <w:lang w:val="fr-CA"/>
        </w:rPr>
      </w:pPr>
      <w:r w:rsidRPr="00AC3DC3">
        <w:rPr>
          <w:rFonts w:cs="Times New Roman"/>
          <w:lang w:val="fr-CA"/>
        </w:rPr>
        <w:t xml:space="preserve">Certes, les personnes qui, lors de leur détention, ont fait l’objet d’actes particulièrement graves — telles des agressions — peuvent souvent demander d’autres réparations, y compris sous le régime du par. 24(1) de la </w:t>
      </w:r>
      <w:r w:rsidRPr="00AC3DC3">
        <w:rPr>
          <w:rFonts w:cs="Times New Roman"/>
          <w:i/>
          <w:lang w:val="fr-CA"/>
        </w:rPr>
        <w:t>Charte</w:t>
      </w:r>
      <w:r w:rsidRPr="00AC3DC3">
        <w:rPr>
          <w:rFonts w:cs="Times New Roman"/>
          <w:lang w:val="fr-CA"/>
        </w:rPr>
        <w:t xml:space="preserve">. </w:t>
      </w:r>
    </w:p>
    <w:p w:rsidR="003966E1" w:rsidRPr="00AC3DC3" w:rsidRDefault="003966E1" w:rsidP="00A17E02">
      <w:pPr>
        <w:pStyle w:val="ParaNoNdepar-AltN"/>
        <w:rPr>
          <w:rFonts w:cs="Times New Roman"/>
          <w:lang w:val="fr-CA"/>
        </w:rPr>
      </w:pPr>
      <w:r w:rsidRPr="00AC3DC3">
        <w:rPr>
          <w:rFonts w:cs="Times New Roman"/>
          <w:lang w:val="fr-CA"/>
        </w:rPr>
        <w:t>Le juge appelé à déterminer la peine doit aussi motive</w:t>
      </w:r>
      <w:r w:rsidR="009C1769">
        <w:rPr>
          <w:rFonts w:cs="Times New Roman"/>
          <w:lang w:val="fr-CA"/>
        </w:rPr>
        <w:t>r tout crédit accordé (par. 719</w:t>
      </w:r>
      <w:r w:rsidRPr="00AC3DC3">
        <w:rPr>
          <w:rFonts w:cs="Times New Roman"/>
          <w:lang w:val="fr-CA"/>
        </w:rPr>
        <w:t>(3.2)) et indiquer « le temps passé sous garde, la période d’emprisonnement qui aurait été infligée n’eût été tout temps alloué, le temps alloué, le cas échéant, et la peine infligée » (par. 719(3.3)).  Ce n’est pas particulièrement ardu pour le juge, et ces données remplissent une fonction importante lorsqu’il s’agit d’expliquer au citoyen en quoi consiste la détermination de la peine et quelle est la raison d’être de l’octroi d’un crédit.</w:t>
      </w:r>
    </w:p>
    <w:p w:rsidR="003966E1" w:rsidRPr="00AC3DC3" w:rsidRDefault="003966E1" w:rsidP="00A17E02">
      <w:pPr>
        <w:pStyle w:val="Title3LevelTitre3Niveau"/>
        <w:keepNext w:val="0"/>
        <w:ind w:left="1094" w:hanging="547"/>
        <w:rPr>
          <w:rFonts w:cs="Times New Roman"/>
          <w:lang w:val="fr-CA"/>
        </w:rPr>
      </w:pPr>
      <w:r w:rsidRPr="00AC3DC3">
        <w:rPr>
          <w:rFonts w:cs="Times New Roman"/>
          <w:lang w:val="fr-CA"/>
        </w:rPr>
        <w:t xml:space="preserve">Possibilité de libération anticipée d’un délinquant en particulier </w:t>
      </w:r>
    </w:p>
    <w:p w:rsidR="003966E1" w:rsidRPr="00AC3DC3" w:rsidRDefault="003966E1" w:rsidP="00A17E02">
      <w:pPr>
        <w:pStyle w:val="ParaNoNdepar-AltN"/>
        <w:widowControl w:val="0"/>
        <w:rPr>
          <w:rFonts w:cs="Times New Roman"/>
          <w:lang w:val="fr-CA"/>
        </w:rPr>
      </w:pPr>
      <w:r w:rsidRPr="00AC3DC3">
        <w:rPr>
          <w:rFonts w:cs="Times New Roman"/>
          <w:lang w:val="fr-CA"/>
        </w:rPr>
        <w:t>Dans de nombreux cas, la perte subie aux fins de l’admissibilité à la libération anticipée et à la libération conditionnelle justifie l’octroi d’un crédit majoré à raison d’un jour et demi contre un.  Cependant, comme le conclut le juge Beveridge, il n’est [</w:t>
      </w:r>
      <w:r w:rsidRPr="00AC3DC3">
        <w:rPr>
          <w:rFonts w:cs="Times New Roman"/>
          <w:smallCaps/>
          <w:lang w:val="fr-CA"/>
        </w:rPr>
        <w:t>traduction</w:t>
      </w:r>
      <w:r w:rsidRPr="00AC3DC3">
        <w:rPr>
          <w:rFonts w:cs="Times New Roman"/>
          <w:lang w:val="fr-CA"/>
        </w:rPr>
        <w:t>] « ni automatique, ni acquis que le juge accordera un crédit à raison de plus d’un jour par jour passé sous garde à cause de la perte liée à l’admissibilité à la réduction de peine ou à la libération conditionnelle » (</w:t>
      </w:r>
      <w:proofErr w:type="spellStart"/>
      <w:r w:rsidR="009C1769" w:rsidRPr="001A132B">
        <w:rPr>
          <w:rFonts w:cs="Times New Roman"/>
          <w:i/>
          <w:lang w:val="fr-CA"/>
        </w:rPr>
        <w:t>Carvery</w:t>
      </w:r>
      <w:proofErr w:type="spellEnd"/>
      <w:r w:rsidR="009C1769">
        <w:rPr>
          <w:rFonts w:cs="Times New Roman"/>
          <w:lang w:val="fr-CA"/>
        </w:rPr>
        <w:t xml:space="preserve">, </w:t>
      </w:r>
      <w:r w:rsidRPr="00AC3DC3">
        <w:rPr>
          <w:rFonts w:cs="Times New Roman"/>
          <w:lang w:val="fr-CA"/>
        </w:rPr>
        <w:lastRenderedPageBreak/>
        <w:t xml:space="preserve">par. 60).  Le juge chargé de la détermination de la peine qui estime que le délinquant se verra refuser la libération anticipée n’est pas justifié d’accorder un crédit majoré pour la perte sans objet. </w:t>
      </w:r>
    </w:p>
    <w:p w:rsidR="003966E1" w:rsidRPr="00AC3DC3" w:rsidRDefault="003966E1" w:rsidP="00A17E02">
      <w:pPr>
        <w:pStyle w:val="ParaNoNdepar-AltN"/>
        <w:rPr>
          <w:rFonts w:cs="Times New Roman"/>
          <w:lang w:val="fr-CA"/>
        </w:rPr>
      </w:pPr>
      <w:r w:rsidRPr="00AC3DC3">
        <w:rPr>
          <w:rFonts w:cs="Times New Roman"/>
          <w:lang w:val="fr-CA"/>
        </w:rPr>
        <w:t>Le juge Beveridge ajoute :</w:t>
      </w:r>
    </w:p>
    <w:p w:rsidR="003966E1" w:rsidRPr="00AC3DC3" w:rsidRDefault="003966E1" w:rsidP="00A17E02">
      <w:pPr>
        <w:pStyle w:val="Citation-AltC"/>
        <w:ind w:hanging="1166"/>
        <w:rPr>
          <w:lang w:val="fr-CA"/>
        </w:rPr>
      </w:pPr>
      <w:r w:rsidRPr="00AC3DC3">
        <w:rPr>
          <w:lang w:val="fr-CA"/>
        </w:rPr>
        <w:tab/>
      </w:r>
      <w:r w:rsidR="009C1769">
        <w:rPr>
          <w:lang w:val="fr-CA"/>
        </w:rPr>
        <w:tab/>
      </w:r>
      <w:r w:rsidRPr="00AC3DC3">
        <w:rPr>
          <w:lang w:val="fr-CA"/>
        </w:rPr>
        <w:t>[</w:t>
      </w:r>
      <w:r w:rsidRPr="00AC3DC3">
        <w:rPr>
          <w:smallCaps/>
          <w:lang w:val="fr-CA"/>
        </w:rPr>
        <w:t>traduction</w:t>
      </w:r>
      <w:proofErr w:type="gramStart"/>
      <w:r w:rsidR="009C1769">
        <w:rPr>
          <w:lang w:val="fr-CA"/>
        </w:rPr>
        <w:t xml:space="preserve">]  </w:t>
      </w:r>
      <w:r w:rsidRPr="00AC3DC3">
        <w:rPr>
          <w:lang w:val="fr-CA"/>
        </w:rPr>
        <w:t>.</w:t>
      </w:r>
      <w:proofErr w:type="gramEnd"/>
      <w:r w:rsidRPr="00AC3DC3">
        <w:rPr>
          <w:lang w:val="fr-CA"/>
        </w:rPr>
        <w:t> . .</w:t>
      </w:r>
      <w:r w:rsidR="009C1769">
        <w:rPr>
          <w:lang w:val="fr-CA"/>
        </w:rPr>
        <w:t xml:space="preserve"> i</w:t>
      </w:r>
      <w:r w:rsidRPr="00AC3DC3">
        <w:rPr>
          <w:lang w:val="fr-CA"/>
        </w:rPr>
        <w:t>l ne serait pas ardu pour la plupart des délinquants de prouver qu’ils auraient eu droit à une réduction de peine ou qu’ils auraient été libérés conditionnellement, de sorte qu’il ne devrait pas être rare qu’un délinquant ait droit à un crédit de plus d’un jour pour chaque jour passé sous garde</w:t>
      </w:r>
      <w:r w:rsidR="009C1769">
        <w:rPr>
          <w:lang w:val="fr-CA"/>
        </w:rPr>
        <w:t>.</w:t>
      </w:r>
      <w:r w:rsidRPr="00AC3DC3">
        <w:rPr>
          <w:lang w:val="fr-CA"/>
        </w:rPr>
        <w:t xml:space="preserve"> [</w:t>
      </w:r>
      <w:proofErr w:type="gramStart"/>
      <w:r w:rsidRPr="00AC3DC3">
        <w:rPr>
          <w:lang w:val="fr-CA"/>
        </w:rPr>
        <w:t>par</w:t>
      </w:r>
      <w:proofErr w:type="gramEnd"/>
      <w:r w:rsidRPr="00AC3DC3">
        <w:rPr>
          <w:lang w:val="fr-CA"/>
        </w:rPr>
        <w:t xml:space="preserve">. 66] </w:t>
      </w:r>
    </w:p>
    <w:p w:rsidR="003966E1" w:rsidRPr="00AC3DC3" w:rsidRDefault="003966E1" w:rsidP="00A17E02">
      <w:pPr>
        <w:pStyle w:val="ParaNoNdepar-AltN"/>
        <w:rPr>
          <w:rFonts w:cs="Times New Roman"/>
          <w:lang w:val="fr-CA"/>
        </w:rPr>
      </w:pPr>
      <w:r w:rsidRPr="00AC3DC3">
        <w:rPr>
          <w:rFonts w:cs="Times New Roman"/>
          <w:lang w:val="fr-CA"/>
        </w:rPr>
        <w:t>Le ministère public prétend qu’il ne convient pas que le tribunal chargé de la détermination de la peine s’enquiert des possibilités de libération conditionnelle, car les considérations liées à l’administration de la peine ne valent pas aux fins de la détermination de la peine.  En outre, il ne convient pas d’accorder un crédit majoré sur la foi d’hypothèses quant au moment auquel le délinquant pourrait être libéré.</w:t>
      </w:r>
    </w:p>
    <w:p w:rsidR="003966E1" w:rsidRPr="00AC3DC3" w:rsidRDefault="003966E1" w:rsidP="00A17E02">
      <w:pPr>
        <w:pStyle w:val="ParaNoNdepar-AltN"/>
        <w:rPr>
          <w:rFonts w:cs="Times New Roman"/>
          <w:lang w:val="fr-CA"/>
        </w:rPr>
      </w:pPr>
      <w:r w:rsidRPr="00AC3DC3">
        <w:rPr>
          <w:rFonts w:cs="Times New Roman"/>
          <w:lang w:val="fr-CA"/>
        </w:rPr>
        <w:t xml:space="preserve">Or, les tribunaux sont souvent appelés à se prononcer sur le parcours ultérieur d’un délinquant, notamment lors de l’examen des possibilités de réadaptation.  Je ne vois rien qui les empêche de conjecturer sur le comportement ultérieur du délinquant en prison et sur la probabilité qu’il obtienne une libération conditionnelle ou une libération anticipée. </w:t>
      </w:r>
    </w:p>
    <w:p w:rsidR="003966E1" w:rsidRPr="00AC3DC3" w:rsidRDefault="003966E1" w:rsidP="00A17E02">
      <w:pPr>
        <w:pStyle w:val="ParaNoNdepar-AltN"/>
        <w:rPr>
          <w:rFonts w:cs="Times New Roman"/>
          <w:lang w:val="fr-CA"/>
        </w:rPr>
      </w:pPr>
      <w:r w:rsidRPr="00AC3DC3">
        <w:rPr>
          <w:rFonts w:cs="Times New Roman"/>
          <w:lang w:val="fr-CA"/>
        </w:rPr>
        <w:t xml:space="preserve">Le processus n’a pas à être élaboré.  Le délinquant doit établir que sa détention </w:t>
      </w:r>
      <w:proofErr w:type="spellStart"/>
      <w:r w:rsidRPr="00AC3DC3">
        <w:rPr>
          <w:rFonts w:cs="Times New Roman"/>
          <w:lang w:val="fr-CA"/>
        </w:rPr>
        <w:t>présentencielle</w:t>
      </w:r>
      <w:proofErr w:type="spellEnd"/>
      <w:r w:rsidRPr="00AC3DC3">
        <w:rPr>
          <w:rFonts w:cs="Times New Roman"/>
          <w:lang w:val="fr-CA"/>
        </w:rPr>
        <w:t xml:space="preserve"> lui vaut un crédit majoré.  En général, la seule détention </w:t>
      </w:r>
      <w:proofErr w:type="spellStart"/>
      <w:r w:rsidRPr="00AC3DC3">
        <w:rPr>
          <w:rFonts w:cs="Times New Roman"/>
          <w:lang w:val="fr-CA"/>
        </w:rPr>
        <w:lastRenderedPageBreak/>
        <w:t>présentencielle</w:t>
      </w:r>
      <w:proofErr w:type="spellEnd"/>
      <w:r w:rsidRPr="00AC3DC3">
        <w:rPr>
          <w:rFonts w:cs="Times New Roman"/>
          <w:lang w:val="fr-CA"/>
        </w:rPr>
        <w:t xml:space="preserve"> permet d’inférer que le délinquant a subi une perte aux fins de l’admissibilité à la libération conditionnelle ou à la libération anticipée, ce qui justifie un crédit majoré.  Évidemment, le ministère public peut contester l’inférence.  Certains délinquants particulièrement dangereux, auteurs d’infractions graves, n’ont tout simplement pas droit à la libération anticipée ou conditionnelle</w:t>
      </w:r>
      <w:r w:rsidRPr="009C1769">
        <w:rPr>
          <w:rStyle w:val="Hyperlink"/>
          <w:u w:val="none"/>
          <w:vertAlign w:val="superscript"/>
        </w:rPr>
        <w:footnoteReference w:id="7"/>
      </w:r>
      <w:r w:rsidRPr="00AC3DC3">
        <w:rPr>
          <w:rFonts w:cs="Times New Roman"/>
          <w:lang w:val="fr-CA"/>
        </w:rPr>
        <w:t>.  De même, lorsque la conduite de l’accusé en prison donne à penser qu’il ne sera pas libéré par anticipation ou conditionnellement, le juge peut être justifié de refuser la majoration du crédit.  Il est rarement nécessaire d’offrir à l’appui une preuve très étoffée.  Concrètement, il ne faut pas compliquer le processus de détermination de la peine, ni augmenter sa durée.</w:t>
      </w:r>
    </w:p>
    <w:p w:rsidR="003966E1" w:rsidRPr="00AC3DC3" w:rsidRDefault="003966E1" w:rsidP="00A17E02">
      <w:pPr>
        <w:pStyle w:val="ParaNoNdepar-AltN"/>
        <w:rPr>
          <w:rFonts w:cs="Times New Roman"/>
          <w:lang w:val="fr-CA"/>
        </w:rPr>
      </w:pPr>
      <w:r w:rsidRPr="00AC3DC3">
        <w:rPr>
          <w:rFonts w:cs="Times New Roman"/>
          <w:lang w:val="fr-CA"/>
        </w:rPr>
        <w:t>Aussi, s’agissant de la raison d’être qualitative du crédit majoré, le délinquant a le fardeau de la preuve, mais il ne lui incombe généralement pas de présenter une preuve très étoffée.  Les tribunaux statuent sur des demandes de crédit majoré depuis de nombreuses années.  Les conditions des centres de détention préventive et leur surpopulation sont généralement bien connues et il y a souvent accord entre les parties à leur sujet</w:t>
      </w:r>
      <w:r w:rsidR="009C1769">
        <w:rPr>
          <w:rFonts w:cs="Times New Roman"/>
          <w:lang w:val="fr-CA"/>
        </w:rPr>
        <w:t>; rien ne justifie la cessation de cette démarche utile</w:t>
      </w:r>
      <w:r w:rsidRPr="00AC3DC3">
        <w:rPr>
          <w:rFonts w:cs="Times New Roman"/>
          <w:lang w:val="fr-CA"/>
        </w:rPr>
        <w:t xml:space="preserve">.  Il n’est pas nécessaire d’établir un processus nouveau et élaboré — la </w:t>
      </w:r>
      <w:r w:rsidRPr="00AC3DC3">
        <w:rPr>
          <w:rFonts w:cs="Times New Roman"/>
          <w:i/>
          <w:lang w:val="fr-CA"/>
        </w:rPr>
        <w:t>LAPC</w:t>
      </w:r>
      <w:r w:rsidRPr="00AC3DC3">
        <w:rPr>
          <w:rFonts w:cs="Times New Roman"/>
          <w:lang w:val="fr-CA"/>
        </w:rPr>
        <w:t xml:space="preserve"> limite le nombre de jours pouvant être accordés, mais elle ne modifie pas le processus de détermination du crédit qu’il convient d’accorder.</w:t>
      </w:r>
    </w:p>
    <w:p w:rsidR="003966E1" w:rsidRPr="00AC3DC3" w:rsidRDefault="003966E1" w:rsidP="00A17E02">
      <w:pPr>
        <w:pStyle w:val="Title3LevelTitre3Niveau"/>
        <w:keepNext w:val="0"/>
        <w:ind w:left="1094" w:hanging="547"/>
        <w:rPr>
          <w:rFonts w:cs="Times New Roman"/>
          <w:lang w:val="fr-CA"/>
        </w:rPr>
      </w:pPr>
      <w:r w:rsidRPr="00AC3DC3">
        <w:rPr>
          <w:rFonts w:cs="Times New Roman"/>
          <w:lang w:val="fr-CA"/>
        </w:rPr>
        <w:lastRenderedPageBreak/>
        <w:t xml:space="preserve">Exclusion de la double prise en compte </w:t>
      </w:r>
    </w:p>
    <w:p w:rsidR="003966E1" w:rsidRPr="00AC3DC3" w:rsidRDefault="003966E1" w:rsidP="00A17E02">
      <w:pPr>
        <w:pStyle w:val="ParaNoNdepar-AltN"/>
        <w:rPr>
          <w:rFonts w:cs="Times New Roman"/>
          <w:lang w:val="fr-CA"/>
        </w:rPr>
      </w:pPr>
      <w:r w:rsidRPr="00AC3DC3">
        <w:rPr>
          <w:rFonts w:cs="Times New Roman"/>
          <w:lang w:val="fr-CA"/>
        </w:rPr>
        <w:t xml:space="preserve">Partie intervenante, le </w:t>
      </w:r>
      <w:r w:rsidR="009C1769">
        <w:rPr>
          <w:rFonts w:cs="Times New Roman"/>
          <w:lang w:val="fr-CA"/>
        </w:rPr>
        <w:t>d</w:t>
      </w:r>
      <w:r w:rsidRPr="00AC3DC3">
        <w:rPr>
          <w:rFonts w:cs="Times New Roman"/>
          <w:lang w:val="fr-CA"/>
        </w:rPr>
        <w:t>irecteur des poursuites criminelles et pénales du Québec soutient que les considérations liées à la situation personnelle d’un détenu, mais étrangères aux conditions de sa détention, ne peuvent justifier l’octroi d’un crédit majoré sur le fondement du par. 719(3.1).</w:t>
      </w:r>
    </w:p>
    <w:p w:rsidR="003966E1" w:rsidRPr="00AC3DC3" w:rsidRDefault="003966E1" w:rsidP="00A17E02">
      <w:pPr>
        <w:pStyle w:val="ParaNoNdepar-AltN"/>
        <w:rPr>
          <w:rFonts w:cs="Times New Roman"/>
          <w:lang w:val="fr-CA"/>
        </w:rPr>
      </w:pPr>
      <w:r w:rsidRPr="00AC3DC3">
        <w:rPr>
          <w:rFonts w:cs="Times New Roman"/>
          <w:lang w:val="fr-CA"/>
        </w:rPr>
        <w:t xml:space="preserve">Il est depuis longtemps reconnu que le crédit pour détention </w:t>
      </w:r>
      <w:proofErr w:type="spellStart"/>
      <w:r w:rsidRPr="00AC3DC3">
        <w:rPr>
          <w:rFonts w:cs="Times New Roman"/>
          <w:lang w:val="fr-CA"/>
        </w:rPr>
        <w:t>présentencielle</w:t>
      </w:r>
      <w:proofErr w:type="spellEnd"/>
      <w:r w:rsidRPr="00AC3DC3">
        <w:rPr>
          <w:rFonts w:cs="Times New Roman"/>
          <w:lang w:val="fr-CA"/>
        </w:rPr>
        <w:t xml:space="preserve"> vise à garantir l’égalité des sanctions infligées à tous les délinquants, qu’ils soient libérés sous caution ou détenus jusqu’au procès.  Par conséquent, toute circonstance liée à la sévérité de la détention </w:t>
      </w:r>
      <w:proofErr w:type="spellStart"/>
      <w:r w:rsidRPr="00AC3DC3">
        <w:rPr>
          <w:rFonts w:cs="Times New Roman"/>
          <w:lang w:val="fr-CA"/>
        </w:rPr>
        <w:t>présentencielle</w:t>
      </w:r>
      <w:proofErr w:type="spellEnd"/>
      <w:r w:rsidRPr="00AC3DC3">
        <w:rPr>
          <w:rFonts w:cs="Times New Roman"/>
          <w:lang w:val="fr-CA"/>
        </w:rPr>
        <w:t xml:space="preserve">, par opposition à l’exécution de la peine, est prise en compte. </w:t>
      </w:r>
    </w:p>
    <w:p w:rsidR="003966E1" w:rsidRPr="00AC3DC3" w:rsidRDefault="003966E1" w:rsidP="00A17E02">
      <w:pPr>
        <w:pStyle w:val="ParaNoNdepar-AltN"/>
        <w:rPr>
          <w:rFonts w:cs="Times New Roman"/>
          <w:lang w:val="fr-CA"/>
        </w:rPr>
      </w:pPr>
      <w:r w:rsidRPr="00AC3DC3">
        <w:rPr>
          <w:rFonts w:cs="Times New Roman"/>
          <w:lang w:val="fr-CA"/>
        </w:rPr>
        <w:t xml:space="preserve">Dès lors, il est difficile de voir en quoi certaines considérations comme la culpabilité morale moindre du délinquant ou le fait qu’il s’agissait d’une première infraction pourraient constituer des circonstances pertinentes en ce qui concerne la rigueur </w:t>
      </w:r>
      <w:r w:rsidRPr="00AC3DC3">
        <w:rPr>
          <w:rFonts w:cs="Times New Roman"/>
          <w:i/>
          <w:lang w:val="fr-CA"/>
        </w:rPr>
        <w:t>relative</w:t>
      </w:r>
      <w:r w:rsidRPr="00AC3DC3">
        <w:rPr>
          <w:rFonts w:cs="Times New Roman"/>
          <w:lang w:val="fr-CA"/>
        </w:rPr>
        <w:t xml:space="preserve"> de la détention avant le procès.  Le fait que l’intimé a rapidement plaidé coupable, a reconnu la responsabilité de ses actes et a exprimé des remords sincères n’est habituellement pertinent que pour la détermination de la juste peine, et non pour l’octroi d’un crédit suivant les par. 719(3) ou (3.1).  En tenir compte une deuxième fois emporte ce qu’on appelle une « double prise en compte ».  </w:t>
      </w:r>
    </w:p>
    <w:p w:rsidR="003966E1" w:rsidRPr="00AC3DC3" w:rsidRDefault="003966E1" w:rsidP="00A17E02">
      <w:pPr>
        <w:pStyle w:val="Title1LevelTitre1Niveau-AltL"/>
        <w:keepNext w:val="0"/>
        <w:rPr>
          <w:rFonts w:cs="Times New Roman"/>
          <w:lang w:val="fr-CA"/>
        </w:rPr>
      </w:pPr>
      <w:r w:rsidRPr="00AC3DC3">
        <w:rPr>
          <w:rFonts w:cs="Times New Roman"/>
          <w:lang w:val="fr-CA"/>
        </w:rPr>
        <w:t>Application aux faits</w:t>
      </w:r>
    </w:p>
    <w:p w:rsidR="003966E1" w:rsidRPr="00AC3DC3" w:rsidRDefault="003966E1" w:rsidP="00A17E02">
      <w:pPr>
        <w:pStyle w:val="ParaNoNdepar-AltN"/>
        <w:rPr>
          <w:rFonts w:cs="Times New Roman"/>
          <w:lang w:val="fr-CA"/>
        </w:rPr>
      </w:pPr>
      <w:r w:rsidRPr="00AC3DC3">
        <w:rPr>
          <w:rFonts w:cs="Times New Roman"/>
          <w:lang w:val="fr-CA"/>
        </w:rPr>
        <w:lastRenderedPageBreak/>
        <w:t xml:space="preserve">Le juge qui a déterminé la peine en l’espèce n’a pas commis d’erreur de droit en accordant un crédit majoré sur le fondement du par. 719(3.1) au motif que l’intimé avait subi une perte aux fins de l’admissibilité à la libération anticipée et à la libération conditionnelle.  </w:t>
      </w:r>
    </w:p>
    <w:p w:rsidR="003966E1" w:rsidRPr="00AC3DC3" w:rsidRDefault="003966E1" w:rsidP="00A17E02">
      <w:pPr>
        <w:pStyle w:val="ParaNoNdepar-AltN"/>
        <w:rPr>
          <w:rFonts w:cs="Times New Roman"/>
          <w:lang w:val="fr-CA"/>
        </w:rPr>
      </w:pPr>
      <w:r w:rsidRPr="00AC3DC3">
        <w:rPr>
          <w:rFonts w:cs="Times New Roman"/>
          <w:lang w:val="fr-CA"/>
        </w:rPr>
        <w:t>Il n’a pas tenu compte de considérations inappropriées pour déterminer le crédit qu’il convenait d’accorder pour la détention avant le procès.  Dans son analyse, il s’attache au non</w:t>
      </w:r>
      <w:r w:rsidR="008E77B2">
        <w:rPr>
          <w:rFonts w:cs="Times New Roman"/>
          <w:lang w:val="fr-CA"/>
        </w:rPr>
        <w:t>-</w:t>
      </w:r>
      <w:r w:rsidRPr="00AC3DC3">
        <w:rPr>
          <w:rFonts w:cs="Times New Roman"/>
          <w:lang w:val="fr-CA"/>
        </w:rPr>
        <w:t>accès à la libération conditionnelle, et non au plaidoyer de culpabilité et aux remords de l’intimé (par. 39</w:t>
      </w:r>
      <w:r w:rsidR="008E77B2">
        <w:rPr>
          <w:rFonts w:cs="Times New Roman"/>
          <w:lang w:val="fr-CA"/>
        </w:rPr>
        <w:t>-</w:t>
      </w:r>
      <w:r w:rsidRPr="00AC3DC3">
        <w:rPr>
          <w:rFonts w:cs="Times New Roman"/>
          <w:lang w:val="fr-CA"/>
        </w:rPr>
        <w:t>43).  Son examen de ces dernières considérations a pour objet la détermination de la peine en général. </w:t>
      </w:r>
    </w:p>
    <w:p w:rsidR="003966E1" w:rsidRPr="00AC3DC3" w:rsidRDefault="003966E1" w:rsidP="00A17E02">
      <w:pPr>
        <w:pStyle w:val="ParaNoNdepar-AltN"/>
        <w:rPr>
          <w:rFonts w:cs="Times New Roman"/>
          <w:lang w:val="fr-CA"/>
        </w:rPr>
      </w:pPr>
      <w:r w:rsidRPr="00AC3DC3">
        <w:rPr>
          <w:rFonts w:cs="Times New Roman"/>
          <w:lang w:val="fr-CA"/>
        </w:rPr>
        <w:t xml:space="preserve">Dans la mesure où la juge </w:t>
      </w:r>
      <w:proofErr w:type="spellStart"/>
      <w:r w:rsidRPr="00AC3DC3">
        <w:rPr>
          <w:rFonts w:cs="Times New Roman"/>
          <w:lang w:val="fr-CA"/>
        </w:rPr>
        <w:t>Cronk</w:t>
      </w:r>
      <w:proofErr w:type="spellEnd"/>
      <w:r w:rsidRPr="00AC3DC3">
        <w:rPr>
          <w:rFonts w:cs="Times New Roman"/>
          <w:lang w:val="fr-CA"/>
        </w:rPr>
        <w:t xml:space="preserve"> invoque ces considérations au par. 124 de ses motifs, je conclus qu’elle les tient pour pertinents aux fins de déterminer très précisément si l’intimé obtiendrait probablement une libération conditionnelle (ce qui importe quant à savoir si l’intimé a, en fait, subi une perte aux fins de l’admissibilité à la libération conditionnelle et à la libération anticipée).  Elle ne les assimile pas à des circonstances indépendantes qui justifient un crédit majoré. </w:t>
      </w:r>
    </w:p>
    <w:p w:rsidR="003966E1" w:rsidRPr="00AC3DC3" w:rsidRDefault="003966E1" w:rsidP="00A17E02">
      <w:pPr>
        <w:pStyle w:val="ParaNoNdepar-AltN"/>
        <w:rPr>
          <w:rFonts w:cs="Times New Roman"/>
          <w:lang w:val="fr-CA"/>
        </w:rPr>
      </w:pPr>
      <w:r w:rsidRPr="00AC3DC3">
        <w:rPr>
          <w:rFonts w:cs="Times New Roman"/>
          <w:lang w:val="fr-CA"/>
        </w:rPr>
        <w:t xml:space="preserve">Je conviens avec la juge </w:t>
      </w:r>
      <w:proofErr w:type="spellStart"/>
      <w:r w:rsidRPr="00AC3DC3">
        <w:rPr>
          <w:rFonts w:cs="Times New Roman"/>
          <w:lang w:val="fr-CA"/>
        </w:rPr>
        <w:t>Cronk</w:t>
      </w:r>
      <w:proofErr w:type="spellEnd"/>
      <w:r w:rsidRPr="00AC3DC3">
        <w:rPr>
          <w:rFonts w:cs="Times New Roman"/>
          <w:lang w:val="fr-CA"/>
        </w:rPr>
        <w:t xml:space="preserve"> qu’il n’y a aucune raison de penser que l’intimé se serait vu refuser la libération conditionnelle ou la libération anticipée.  Elle dit ce qui suit au sujet de l’avocate du ministère public au procès : </w:t>
      </w:r>
    </w:p>
    <w:p w:rsidR="003966E1" w:rsidRPr="00AC3DC3" w:rsidRDefault="003966E1" w:rsidP="00A17E02">
      <w:pPr>
        <w:pStyle w:val="Citation-AltC"/>
        <w:ind w:hanging="1166"/>
        <w:rPr>
          <w:lang w:val="fr-CA"/>
        </w:rPr>
      </w:pPr>
      <w:r w:rsidRPr="00AC3DC3">
        <w:rPr>
          <w:lang w:val="fr-CA"/>
        </w:rPr>
        <w:tab/>
        <w:t>[</w:t>
      </w:r>
      <w:r w:rsidRPr="00AC3DC3">
        <w:rPr>
          <w:smallCaps/>
          <w:lang w:val="fr-CA"/>
        </w:rPr>
        <w:t>traduction</w:t>
      </w:r>
      <w:r w:rsidRPr="00AC3DC3">
        <w:rPr>
          <w:lang w:val="fr-CA"/>
        </w:rPr>
        <w:t xml:space="preserve">]  Lorsqu’elle a fait état de la probabilité de libération conditionnelle anticipée de l’intimé, elle a aussi reconnu la bonne conduite de l’intimé pendant sa détention préventive.  Certes, elle n’a pas </w:t>
      </w:r>
      <w:r w:rsidRPr="00AC3DC3">
        <w:rPr>
          <w:lang w:val="fr-CA"/>
        </w:rPr>
        <w:lastRenderedPageBreak/>
        <w:t>laissé entendre que la conduite de l’intimé lui ferait perdre le droit à une réduction méritée de peine, ni qu’elle aurait des conséquences néfastes sur son admissibilité à la libération d’office et à la libération conditionnelle.  [</w:t>
      </w:r>
      <w:proofErr w:type="gramStart"/>
      <w:r w:rsidRPr="00AC3DC3">
        <w:rPr>
          <w:lang w:val="fr-CA"/>
        </w:rPr>
        <w:t>par</w:t>
      </w:r>
      <w:proofErr w:type="gramEnd"/>
      <w:r w:rsidRPr="00AC3DC3">
        <w:rPr>
          <w:lang w:val="fr-CA"/>
        </w:rPr>
        <w:t>. 125]</w:t>
      </w:r>
    </w:p>
    <w:p w:rsidR="003966E1" w:rsidRPr="00AC3DC3" w:rsidRDefault="003966E1" w:rsidP="00A17E02">
      <w:pPr>
        <w:pStyle w:val="ParaNoNdepar-AltN"/>
        <w:rPr>
          <w:rFonts w:cs="Times New Roman"/>
          <w:lang w:val="fr-CA"/>
        </w:rPr>
      </w:pPr>
      <w:r w:rsidRPr="00AC3DC3">
        <w:rPr>
          <w:rFonts w:cs="Times New Roman"/>
          <w:lang w:val="fr-CA"/>
        </w:rPr>
        <w:t xml:space="preserve">Les éléments de preuve susceptibles d’être présentés sur ce point étaient peu nombreux, mais la conclusion selon laquelle l’intimé aurait obtenu sa libération conditionnelle et sa libération anticipée n’a pas été sérieusement contestée.  Par conséquent, il convenait d’accorder un jour et demi pour chaque jour passé sous garde sur le fondement de la raison d’être d’ordre quantitatif du crédit majoré. </w:t>
      </w:r>
    </w:p>
    <w:p w:rsidR="003966E1" w:rsidRPr="00AC3DC3" w:rsidRDefault="003966E1" w:rsidP="00A17E02">
      <w:pPr>
        <w:pStyle w:val="ParaNoNdepar-AltN"/>
        <w:rPr>
          <w:rFonts w:cs="Times New Roman"/>
          <w:lang w:val="fr-CA"/>
        </w:rPr>
      </w:pPr>
      <w:r w:rsidRPr="00AC3DC3">
        <w:rPr>
          <w:rFonts w:cs="Times New Roman"/>
          <w:lang w:val="fr-CA"/>
        </w:rPr>
        <w:t>Je suis d’avis de rejeter le pourvoi.</w:t>
      </w:r>
    </w:p>
    <w:p w:rsidR="004D7D95" w:rsidRPr="002B0484" w:rsidRDefault="004D7D95" w:rsidP="00A17E02">
      <w:pPr>
        <w:pStyle w:val="SCCNormalDoubleSpacing"/>
        <w:spacing w:after="480"/>
        <w:rPr>
          <w:lang w:val="fr-CA"/>
        </w:rPr>
      </w:pPr>
      <w:r w:rsidRPr="002B0484">
        <w:rPr>
          <w:lang w:val="fr-CA"/>
        </w:rPr>
        <w:tab/>
      </w:r>
      <w:r w:rsidR="00DB0717" w:rsidRPr="002B0484">
        <w:rPr>
          <w:i/>
          <w:lang w:val="fr-CA"/>
        </w:rPr>
        <w:t>Pourvoi rejeté.</w:t>
      </w:r>
    </w:p>
    <w:p w:rsidR="00DB0717" w:rsidRPr="002B0484" w:rsidRDefault="00DB0717" w:rsidP="00A17E02">
      <w:pPr>
        <w:pStyle w:val="SCCLawFirm"/>
        <w:spacing w:after="480"/>
        <w:rPr>
          <w:lang w:val="fr-CA"/>
        </w:rPr>
      </w:pPr>
      <w:r w:rsidRPr="002B0484">
        <w:rPr>
          <w:lang w:val="fr-CA"/>
        </w:rPr>
        <w:tab/>
        <w:t>Procureur de l’appelante</w:t>
      </w:r>
      <w:r w:rsidR="003E69A0" w:rsidRPr="002B0484">
        <w:rPr>
          <w:lang w:val="fr-CA"/>
        </w:rPr>
        <w:t> :</w:t>
      </w:r>
      <w:r w:rsidR="00FE75EA" w:rsidRPr="002B0484">
        <w:rPr>
          <w:lang w:val="fr-CA"/>
        </w:rPr>
        <w:t> </w:t>
      </w:r>
      <w:r w:rsidRPr="002B0484">
        <w:rPr>
          <w:lang w:val="fr-CA"/>
        </w:rPr>
        <w:t>Procureur général de l’Ontario, Toronto.</w:t>
      </w:r>
    </w:p>
    <w:p w:rsidR="00DB0717" w:rsidRPr="002B0484" w:rsidRDefault="00DB0717" w:rsidP="00A17E02">
      <w:pPr>
        <w:pStyle w:val="SCCLawFirm"/>
        <w:spacing w:after="480"/>
        <w:rPr>
          <w:lang w:val="fr-CA"/>
        </w:rPr>
      </w:pPr>
      <w:r w:rsidRPr="002B0484">
        <w:rPr>
          <w:lang w:val="fr-CA"/>
        </w:rPr>
        <w:tab/>
        <w:t>Procureurs de l’intimé</w:t>
      </w:r>
      <w:r w:rsidR="003E69A0" w:rsidRPr="002B0484">
        <w:rPr>
          <w:lang w:val="fr-CA"/>
        </w:rPr>
        <w:t> :</w:t>
      </w:r>
      <w:r w:rsidR="00FE75EA" w:rsidRPr="002B0484">
        <w:rPr>
          <w:lang w:val="fr-CA"/>
        </w:rPr>
        <w:t> </w:t>
      </w:r>
      <w:proofErr w:type="spellStart"/>
      <w:r w:rsidRPr="002B0484">
        <w:rPr>
          <w:lang w:val="fr-CA"/>
        </w:rPr>
        <w:t>Brennan</w:t>
      </w:r>
      <w:proofErr w:type="spellEnd"/>
      <w:r w:rsidRPr="002B0484">
        <w:rPr>
          <w:lang w:val="fr-CA"/>
        </w:rPr>
        <w:t xml:space="preserve"> Smart Law Office, Kitchener; Russe</w:t>
      </w:r>
      <w:r w:rsidR="001D114B" w:rsidRPr="002B0484">
        <w:rPr>
          <w:lang w:val="fr-CA"/>
        </w:rPr>
        <w:t>l</w:t>
      </w:r>
      <w:r w:rsidRPr="002B0484">
        <w:rPr>
          <w:lang w:val="fr-CA"/>
        </w:rPr>
        <w:t xml:space="preserve">l </w:t>
      </w:r>
      <w:proofErr w:type="spellStart"/>
      <w:r w:rsidRPr="002B0484">
        <w:rPr>
          <w:lang w:val="fr-CA"/>
        </w:rPr>
        <w:t>Silverstein</w:t>
      </w:r>
      <w:proofErr w:type="spellEnd"/>
      <w:r w:rsidRPr="002B0484">
        <w:rPr>
          <w:lang w:val="fr-CA"/>
        </w:rPr>
        <w:t xml:space="preserve"> &amp; </w:t>
      </w:r>
      <w:proofErr w:type="spellStart"/>
      <w:r w:rsidRPr="002B0484">
        <w:rPr>
          <w:lang w:val="fr-CA"/>
        </w:rPr>
        <w:t>Associate</w:t>
      </w:r>
      <w:proofErr w:type="spellEnd"/>
      <w:r w:rsidRPr="002B0484">
        <w:rPr>
          <w:lang w:val="fr-CA"/>
        </w:rPr>
        <w:t>, Toronto.</w:t>
      </w:r>
    </w:p>
    <w:p w:rsidR="00DB0717" w:rsidRPr="002B0484" w:rsidRDefault="00DB0717" w:rsidP="00A17E02">
      <w:pPr>
        <w:pStyle w:val="SCCLawFirm"/>
        <w:spacing w:after="480"/>
        <w:rPr>
          <w:lang w:val="fr-CA"/>
        </w:rPr>
      </w:pPr>
      <w:r w:rsidRPr="002B0484">
        <w:rPr>
          <w:lang w:val="fr-CA"/>
        </w:rPr>
        <w:tab/>
        <w:t>Procureur de l’intervenant le directeur des poursuites criminelles et pénales du Québec</w:t>
      </w:r>
      <w:r w:rsidR="003E69A0" w:rsidRPr="002B0484">
        <w:rPr>
          <w:lang w:val="fr-CA"/>
        </w:rPr>
        <w:t> :</w:t>
      </w:r>
      <w:r w:rsidR="00FE75EA" w:rsidRPr="002B0484">
        <w:rPr>
          <w:lang w:val="fr-CA"/>
        </w:rPr>
        <w:t> </w:t>
      </w:r>
      <w:r w:rsidRPr="002B0484">
        <w:rPr>
          <w:lang w:val="fr-CA"/>
        </w:rPr>
        <w:t>Directeur des poursuites criminelles et pénales du Québec, Montréal.</w:t>
      </w:r>
    </w:p>
    <w:p w:rsidR="00DB0717" w:rsidRPr="002B0484" w:rsidRDefault="00DB0717" w:rsidP="00A17E02">
      <w:pPr>
        <w:pStyle w:val="SCCLawFirm"/>
        <w:spacing w:after="480"/>
        <w:rPr>
          <w:lang w:val="fr-CA"/>
        </w:rPr>
      </w:pPr>
      <w:r w:rsidRPr="002B0484">
        <w:rPr>
          <w:lang w:val="fr-CA"/>
        </w:rPr>
        <w:tab/>
        <w:t>Procureurs de l’intervenante l’Association des libertés civiles de la Colombie</w:t>
      </w:r>
      <w:r w:rsidR="008E77B2">
        <w:rPr>
          <w:lang w:val="fr-CA"/>
        </w:rPr>
        <w:t>-</w:t>
      </w:r>
      <w:r w:rsidRPr="002B0484">
        <w:rPr>
          <w:lang w:val="fr-CA"/>
        </w:rPr>
        <w:t>Britannique</w:t>
      </w:r>
      <w:r w:rsidR="003E69A0" w:rsidRPr="002B0484">
        <w:rPr>
          <w:lang w:val="fr-CA"/>
        </w:rPr>
        <w:t> :</w:t>
      </w:r>
      <w:r w:rsidR="00FE75EA" w:rsidRPr="002B0484">
        <w:rPr>
          <w:lang w:val="fr-CA"/>
        </w:rPr>
        <w:t> </w:t>
      </w:r>
      <w:r w:rsidRPr="002B0484">
        <w:rPr>
          <w:lang w:val="fr-CA"/>
        </w:rPr>
        <w:t xml:space="preserve">Bull, Housser &amp; </w:t>
      </w:r>
      <w:proofErr w:type="spellStart"/>
      <w:r w:rsidRPr="002B0484">
        <w:rPr>
          <w:lang w:val="fr-CA"/>
        </w:rPr>
        <w:t>Tupper</w:t>
      </w:r>
      <w:proofErr w:type="spellEnd"/>
      <w:r w:rsidRPr="002B0484">
        <w:rPr>
          <w:lang w:val="fr-CA"/>
        </w:rPr>
        <w:t>, Vancouver.</w:t>
      </w:r>
    </w:p>
    <w:p w:rsidR="00DB0717" w:rsidRPr="002B0484" w:rsidRDefault="00DB0717" w:rsidP="00A17E02">
      <w:pPr>
        <w:pStyle w:val="SCCLawFirm"/>
        <w:spacing w:after="480"/>
        <w:rPr>
          <w:lang w:val="fr-CA"/>
        </w:rPr>
      </w:pPr>
      <w:r w:rsidRPr="002B0484">
        <w:rPr>
          <w:lang w:val="fr-CA"/>
        </w:rPr>
        <w:lastRenderedPageBreak/>
        <w:tab/>
        <w:t xml:space="preserve">Procureurs de l’intervenante </w:t>
      </w:r>
      <w:proofErr w:type="spellStart"/>
      <w:r w:rsidRPr="002B0484">
        <w:rPr>
          <w:lang w:val="fr-CA"/>
        </w:rPr>
        <w:t>Criminal</w:t>
      </w:r>
      <w:proofErr w:type="spellEnd"/>
      <w:r w:rsidRPr="002B0484">
        <w:rPr>
          <w:lang w:val="fr-CA"/>
        </w:rPr>
        <w:t xml:space="preserve"> </w:t>
      </w:r>
      <w:proofErr w:type="spellStart"/>
      <w:r w:rsidRPr="002B0484">
        <w:rPr>
          <w:lang w:val="fr-CA"/>
        </w:rPr>
        <w:t>Lawyers</w:t>
      </w:r>
      <w:proofErr w:type="spellEnd"/>
      <w:r w:rsidRPr="002B0484">
        <w:rPr>
          <w:lang w:val="fr-CA"/>
        </w:rPr>
        <w:t>’ Association of Ontario</w:t>
      </w:r>
      <w:r w:rsidR="003E69A0" w:rsidRPr="002B0484">
        <w:rPr>
          <w:lang w:val="fr-CA"/>
        </w:rPr>
        <w:t> :</w:t>
      </w:r>
      <w:r w:rsidR="00FE75EA" w:rsidRPr="002B0484">
        <w:rPr>
          <w:lang w:val="fr-CA"/>
        </w:rPr>
        <w:t> </w:t>
      </w:r>
      <w:r w:rsidRPr="002B0484">
        <w:rPr>
          <w:lang w:val="fr-CA"/>
        </w:rPr>
        <w:t>Russe</w:t>
      </w:r>
      <w:r w:rsidR="001D114B" w:rsidRPr="002B0484">
        <w:rPr>
          <w:lang w:val="fr-CA"/>
        </w:rPr>
        <w:t>l</w:t>
      </w:r>
      <w:r w:rsidRPr="002B0484">
        <w:rPr>
          <w:lang w:val="fr-CA"/>
        </w:rPr>
        <w:t xml:space="preserve">l </w:t>
      </w:r>
      <w:proofErr w:type="spellStart"/>
      <w:r w:rsidRPr="002B0484">
        <w:rPr>
          <w:lang w:val="fr-CA"/>
        </w:rPr>
        <w:t>Silverstein</w:t>
      </w:r>
      <w:proofErr w:type="spellEnd"/>
      <w:r w:rsidRPr="002B0484">
        <w:rPr>
          <w:lang w:val="fr-CA"/>
        </w:rPr>
        <w:t xml:space="preserve"> &amp; </w:t>
      </w:r>
      <w:proofErr w:type="spellStart"/>
      <w:r w:rsidRPr="002B0484">
        <w:rPr>
          <w:lang w:val="fr-CA"/>
        </w:rPr>
        <w:t>Associate</w:t>
      </w:r>
      <w:proofErr w:type="spellEnd"/>
      <w:r w:rsidRPr="002B0484">
        <w:rPr>
          <w:lang w:val="fr-CA"/>
        </w:rPr>
        <w:t>, Toronto.</w:t>
      </w:r>
    </w:p>
    <w:p w:rsidR="00DB0717" w:rsidRPr="002B0484" w:rsidRDefault="00DB0717" w:rsidP="00A17E02">
      <w:pPr>
        <w:pStyle w:val="SCCLawFirm"/>
        <w:spacing w:after="480"/>
        <w:rPr>
          <w:lang w:val="fr-CA"/>
        </w:rPr>
      </w:pPr>
      <w:r w:rsidRPr="002B0484">
        <w:rPr>
          <w:lang w:val="fr-CA"/>
        </w:rPr>
        <w:tab/>
        <w:t>Procureurs de l’intervenante la Société John Howard du Canada</w:t>
      </w:r>
      <w:r w:rsidR="003E69A0" w:rsidRPr="002B0484">
        <w:rPr>
          <w:lang w:val="fr-CA"/>
        </w:rPr>
        <w:t> :</w:t>
      </w:r>
      <w:r w:rsidR="00FE75EA" w:rsidRPr="002B0484">
        <w:rPr>
          <w:lang w:val="fr-CA"/>
        </w:rPr>
        <w:t> </w:t>
      </w:r>
      <w:proofErr w:type="spellStart"/>
      <w:r w:rsidRPr="002B0484">
        <w:rPr>
          <w:lang w:val="fr-CA"/>
        </w:rPr>
        <w:t>Polley</w:t>
      </w:r>
      <w:proofErr w:type="spellEnd"/>
      <w:r w:rsidRPr="002B0484">
        <w:rPr>
          <w:lang w:val="fr-CA"/>
        </w:rPr>
        <w:t xml:space="preserve"> </w:t>
      </w:r>
      <w:proofErr w:type="spellStart"/>
      <w:r w:rsidRPr="002B0484">
        <w:rPr>
          <w:lang w:val="fr-CA"/>
        </w:rPr>
        <w:t>Faith</w:t>
      </w:r>
      <w:proofErr w:type="spellEnd"/>
      <w:r w:rsidRPr="002B0484">
        <w:rPr>
          <w:lang w:val="fr-CA"/>
        </w:rPr>
        <w:t>, Toronto.</w:t>
      </w:r>
    </w:p>
    <w:p w:rsidR="00DB0717" w:rsidRPr="002B0484" w:rsidRDefault="00DB0717" w:rsidP="00A17E02">
      <w:pPr>
        <w:pStyle w:val="SCCLawFirm"/>
        <w:rPr>
          <w:lang w:val="fr-CA"/>
        </w:rPr>
      </w:pPr>
      <w:r w:rsidRPr="002B0484">
        <w:rPr>
          <w:lang w:val="fr-CA"/>
        </w:rPr>
        <w:tab/>
        <w:t>Procureurs de l’intervenante l’Association canadienne des libertés civiles</w:t>
      </w:r>
      <w:r w:rsidR="003E69A0" w:rsidRPr="002B0484">
        <w:rPr>
          <w:lang w:val="fr-CA"/>
        </w:rPr>
        <w:t> :</w:t>
      </w:r>
      <w:r w:rsidR="00FE75EA" w:rsidRPr="002B0484">
        <w:rPr>
          <w:lang w:val="fr-CA"/>
        </w:rPr>
        <w:t> </w:t>
      </w:r>
      <w:proofErr w:type="spellStart"/>
      <w:r w:rsidRPr="002B0484">
        <w:rPr>
          <w:lang w:val="fr-CA"/>
        </w:rPr>
        <w:t>Lerners</w:t>
      </w:r>
      <w:proofErr w:type="spellEnd"/>
      <w:r w:rsidRPr="002B0484">
        <w:rPr>
          <w:lang w:val="fr-CA"/>
        </w:rPr>
        <w:t>, Toronto.</w:t>
      </w:r>
    </w:p>
    <w:p w:rsidR="004D7D95" w:rsidRPr="002B0484" w:rsidRDefault="004D7D95" w:rsidP="00A17E02">
      <w:pPr>
        <w:pStyle w:val="SCCItalic"/>
        <w:rPr>
          <w:lang w:val="fr-CA"/>
        </w:rPr>
      </w:pPr>
    </w:p>
    <w:sectPr w:rsidR="004D7D95" w:rsidRPr="002B048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C43" w:rsidRDefault="00697C43">
      <w:r>
        <w:separator/>
      </w:r>
    </w:p>
  </w:endnote>
  <w:endnote w:type="continuationSeparator" w:id="0">
    <w:p w:rsidR="00697C43" w:rsidRDefault="0069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43" w:rsidRDefault="00697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43" w:rsidRDefault="00697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43" w:rsidRDefault="00697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C43" w:rsidRDefault="00697C43">
      <w:r>
        <w:separator/>
      </w:r>
    </w:p>
  </w:footnote>
  <w:footnote w:type="continuationSeparator" w:id="0">
    <w:p w:rsidR="00697C43" w:rsidRDefault="00697C43">
      <w:r>
        <w:continuationSeparator/>
      </w:r>
    </w:p>
  </w:footnote>
  <w:footnote w:id="1">
    <w:p w:rsidR="00697C43" w:rsidRPr="00AF3558" w:rsidRDefault="00697C43" w:rsidP="003966E1">
      <w:pPr>
        <w:pStyle w:val="FootnoteText"/>
        <w:spacing w:before="240"/>
        <w:jc w:val="both"/>
        <w:rPr>
          <w:lang w:val="fr-CA"/>
        </w:rPr>
      </w:pPr>
      <w:r w:rsidRPr="00AF3558">
        <w:rPr>
          <w:rStyle w:val="FootnoteReference"/>
          <w:lang w:val="fr-CA"/>
        </w:rPr>
        <w:footnoteRef/>
      </w:r>
      <w:r w:rsidRPr="00AF3558">
        <w:rPr>
          <w:lang w:val="fr-CA"/>
        </w:rPr>
        <w:t xml:space="preserve"> Voir aussi </w:t>
      </w:r>
      <w:r w:rsidRPr="00AF3558">
        <w:rPr>
          <w:i/>
          <w:lang w:val="fr-CA"/>
        </w:rPr>
        <w:t>R</w:t>
      </w:r>
      <w:r>
        <w:rPr>
          <w:i/>
          <w:lang w:val="fr-CA"/>
        </w:rPr>
        <w:t>.</w:t>
      </w:r>
      <w:r w:rsidRPr="00AF3558">
        <w:rPr>
          <w:i/>
          <w:lang w:val="fr-CA"/>
        </w:rPr>
        <w:t xml:space="preserve"> c. Bradbury</w:t>
      </w:r>
      <w:r w:rsidRPr="00AF3558">
        <w:rPr>
          <w:lang w:val="fr-CA"/>
        </w:rPr>
        <w:t>, 2013 BCCA 280</w:t>
      </w:r>
      <w:r>
        <w:rPr>
          <w:lang w:val="fr-CA"/>
        </w:rPr>
        <w:t>, 339 B.C.A.C. 169.</w:t>
      </w:r>
    </w:p>
  </w:footnote>
  <w:footnote w:id="2">
    <w:p w:rsidR="00697C43" w:rsidRPr="00670EC4" w:rsidRDefault="00697C43" w:rsidP="003966E1">
      <w:pPr>
        <w:pStyle w:val="FootnoteText"/>
        <w:spacing w:before="240"/>
        <w:jc w:val="both"/>
      </w:pPr>
      <w:r w:rsidRPr="00AF3558">
        <w:rPr>
          <w:rStyle w:val="FootnoteReference"/>
          <w:lang w:val="fr-CA"/>
        </w:rPr>
        <w:footnoteRef/>
      </w:r>
      <w:r w:rsidRPr="00422423">
        <w:t xml:space="preserve"> </w:t>
      </w:r>
      <w:proofErr w:type="spellStart"/>
      <w:r w:rsidRPr="00422423">
        <w:t>Voir</w:t>
      </w:r>
      <w:proofErr w:type="spellEnd"/>
      <w:r w:rsidRPr="00422423">
        <w:t xml:space="preserve"> </w:t>
      </w:r>
      <w:proofErr w:type="spellStart"/>
      <w:r w:rsidRPr="00422423">
        <w:t>aussi</w:t>
      </w:r>
      <w:proofErr w:type="spellEnd"/>
      <w:r w:rsidRPr="00422423">
        <w:t xml:space="preserve"> </w:t>
      </w:r>
      <w:r w:rsidRPr="00422423">
        <w:rPr>
          <w:i/>
        </w:rPr>
        <w:t>R. c. Stonefish</w:t>
      </w:r>
      <w:r w:rsidRPr="00422423">
        <w:t xml:space="preserve">, 2012 MBCA 116, 288 Man. R. (2d) 103; </w:t>
      </w:r>
      <w:r w:rsidRPr="00422423">
        <w:rPr>
          <w:i/>
        </w:rPr>
        <w:t>R</w:t>
      </w:r>
      <w:r>
        <w:rPr>
          <w:i/>
        </w:rPr>
        <w:t>.</w:t>
      </w:r>
      <w:r w:rsidRPr="00422423">
        <w:rPr>
          <w:i/>
        </w:rPr>
        <w:t xml:space="preserve"> c. Johnson</w:t>
      </w:r>
      <w:r w:rsidRPr="00422423">
        <w:t xml:space="preserve">, 2013 ABCA 190, 85 Alta. L.R. (5th) 320; </w:t>
      </w:r>
      <w:r w:rsidRPr="00422423">
        <w:rPr>
          <w:i/>
        </w:rPr>
        <w:t xml:space="preserve">R. c. </w:t>
      </w:r>
      <w:proofErr w:type="spellStart"/>
      <w:r w:rsidRPr="00422423">
        <w:rPr>
          <w:i/>
        </w:rPr>
        <w:t>Cluney</w:t>
      </w:r>
      <w:proofErr w:type="spellEnd"/>
      <w:r w:rsidRPr="00422423">
        <w:t xml:space="preserve">, 2013 NLCA 46, 338 Nfld. </w:t>
      </w:r>
      <w:r w:rsidRPr="00670EC4">
        <w:t>&amp;</w:t>
      </w:r>
      <w:r>
        <w:t xml:space="preserve"> P.E.I.</w:t>
      </w:r>
      <w:r w:rsidRPr="00670EC4">
        <w:t xml:space="preserve">R. 57; </w:t>
      </w:r>
      <w:r w:rsidRPr="00670EC4">
        <w:rPr>
          <w:i/>
        </w:rPr>
        <w:t xml:space="preserve">R. c. </w:t>
      </w:r>
      <w:proofErr w:type="spellStart"/>
      <w:r w:rsidRPr="00670EC4">
        <w:rPr>
          <w:i/>
        </w:rPr>
        <w:t>Henrico</w:t>
      </w:r>
      <w:proofErr w:type="spellEnd"/>
      <w:r w:rsidRPr="00670EC4">
        <w:t>, 2013 QCCA 1431, [2013] R.J.Q</w:t>
      </w:r>
      <w:r>
        <w:t>.</w:t>
      </w:r>
      <w:r w:rsidRPr="00670EC4">
        <w:t xml:space="preserve"> 1349.</w:t>
      </w:r>
    </w:p>
  </w:footnote>
  <w:footnote w:id="3">
    <w:p w:rsidR="00697C43" w:rsidRPr="00A143A5" w:rsidRDefault="00697C43" w:rsidP="003966E1">
      <w:pPr>
        <w:pStyle w:val="FootnoteText"/>
        <w:spacing w:before="240"/>
        <w:jc w:val="both"/>
        <w:rPr>
          <w:lang w:val="fr-CA"/>
        </w:rPr>
      </w:pPr>
      <w:r>
        <w:rPr>
          <w:rStyle w:val="FootnoteReference"/>
        </w:rPr>
        <w:footnoteRef/>
      </w:r>
      <w:r w:rsidRPr="00A143A5">
        <w:rPr>
          <w:lang w:val="fr-CA"/>
        </w:rPr>
        <w:t xml:space="preserve"> </w:t>
      </w:r>
      <w:r>
        <w:rPr>
          <w:lang w:val="fr-CA"/>
        </w:rPr>
        <w:t>Incorporée par renvoi à la loi ontarienne (</w:t>
      </w:r>
      <w:r>
        <w:rPr>
          <w:i/>
          <w:lang w:val="fr-CA"/>
        </w:rPr>
        <w:t>Loi sur le ministère des Services correctionnels</w:t>
      </w:r>
      <w:r w:rsidRPr="00AF3558">
        <w:rPr>
          <w:lang w:val="fr-CA"/>
        </w:rPr>
        <w:t xml:space="preserve">, </w:t>
      </w:r>
      <w:r>
        <w:rPr>
          <w:lang w:val="fr-CA"/>
        </w:rPr>
        <w:t>L.R.O.</w:t>
      </w:r>
      <w:r w:rsidRPr="00AF3558">
        <w:rPr>
          <w:lang w:val="fr-CA"/>
        </w:rPr>
        <w:t xml:space="preserve"> 1990, c</w:t>
      </w:r>
      <w:r>
        <w:rPr>
          <w:lang w:val="fr-CA"/>
        </w:rPr>
        <w:t>h. </w:t>
      </w:r>
      <w:r w:rsidRPr="00AF3558">
        <w:rPr>
          <w:lang w:val="fr-CA"/>
        </w:rPr>
        <w:t>M</w:t>
      </w:r>
      <w:r>
        <w:rPr>
          <w:lang w:val="fr-CA"/>
        </w:rPr>
        <w:t>.</w:t>
      </w:r>
      <w:r w:rsidRPr="00AF3558">
        <w:rPr>
          <w:lang w:val="fr-CA"/>
        </w:rPr>
        <w:t>22,</w:t>
      </w:r>
      <w:r>
        <w:rPr>
          <w:lang w:val="fr-CA"/>
        </w:rPr>
        <w:t xml:space="preserve"> art. </w:t>
      </w:r>
      <w:r w:rsidRPr="00AF3558">
        <w:rPr>
          <w:lang w:val="fr-CA"/>
        </w:rPr>
        <w:t xml:space="preserve">28 </w:t>
      </w:r>
      <w:r>
        <w:rPr>
          <w:lang w:val="fr-CA"/>
        </w:rPr>
        <w:t>et</w:t>
      </w:r>
      <w:r w:rsidRPr="00AF3558">
        <w:rPr>
          <w:lang w:val="fr-CA"/>
        </w:rPr>
        <w:t xml:space="preserve"> 28.1</w:t>
      </w:r>
      <w:r>
        <w:rPr>
          <w:lang w:val="fr-CA"/>
        </w:rPr>
        <w:t>).</w:t>
      </w:r>
    </w:p>
  </w:footnote>
  <w:footnote w:id="4">
    <w:p w:rsidR="00697C43" w:rsidRPr="00AF3558" w:rsidRDefault="00697C43" w:rsidP="003966E1">
      <w:pPr>
        <w:pStyle w:val="FootnoteText"/>
        <w:spacing w:before="240"/>
        <w:jc w:val="both"/>
        <w:rPr>
          <w:lang w:val="fr-CA"/>
        </w:rPr>
      </w:pPr>
      <w:r w:rsidRPr="00AF3558">
        <w:rPr>
          <w:rStyle w:val="FootnoteReference"/>
          <w:lang w:val="fr-CA"/>
        </w:rPr>
        <w:footnoteRef/>
      </w:r>
      <w:r>
        <w:rPr>
          <w:lang w:val="fr-CA"/>
        </w:rPr>
        <w:t xml:space="preserve"> Par exemple, lorsqu’une peine d’emprisonnement à perpétuité a été infligée, le temps d’épreuve pour l’admissibilité à la libération conditionnelle est déterminé à partir du jour de l’arrestation pour l’infraction en cause</w:t>
      </w:r>
      <w:r w:rsidRPr="00AF3558">
        <w:rPr>
          <w:lang w:val="fr-CA"/>
        </w:rPr>
        <w:t xml:space="preserve"> </w:t>
      </w:r>
      <w:r>
        <w:rPr>
          <w:lang w:val="fr-CA"/>
        </w:rPr>
        <w:t>(</w:t>
      </w:r>
      <w:r>
        <w:rPr>
          <w:i/>
          <w:lang w:val="fr-CA"/>
        </w:rPr>
        <w:t>LSCMLSC</w:t>
      </w:r>
      <w:r w:rsidRPr="00AF3558">
        <w:rPr>
          <w:lang w:val="fr-CA"/>
        </w:rPr>
        <w:t xml:space="preserve">, </w:t>
      </w:r>
      <w:r>
        <w:rPr>
          <w:lang w:val="fr-CA"/>
        </w:rPr>
        <w:t>par. </w:t>
      </w:r>
      <w:r w:rsidRPr="00AF3558">
        <w:rPr>
          <w:lang w:val="fr-CA"/>
        </w:rPr>
        <w:t>120(2)</w:t>
      </w:r>
      <w:r>
        <w:rPr>
          <w:lang w:val="fr-CA"/>
        </w:rPr>
        <w:t>).</w:t>
      </w:r>
    </w:p>
  </w:footnote>
  <w:footnote w:id="5">
    <w:p w:rsidR="00697C43" w:rsidRPr="00F27387" w:rsidRDefault="00697C43" w:rsidP="003966E1">
      <w:pPr>
        <w:pStyle w:val="FootnoteText"/>
        <w:spacing w:before="240"/>
        <w:jc w:val="both"/>
      </w:pPr>
      <w:r w:rsidRPr="00AF3558">
        <w:rPr>
          <w:rStyle w:val="FootnoteReference"/>
          <w:lang w:val="fr-CA"/>
        </w:rPr>
        <w:footnoteRef/>
      </w:r>
      <w:r w:rsidRPr="00F27387">
        <w:t xml:space="preserve"> </w:t>
      </w:r>
      <w:proofErr w:type="gramStart"/>
      <w:r w:rsidRPr="00F27387">
        <w:t>Sullivan</w:t>
      </w:r>
      <w:r>
        <w:t>, p. </w:t>
      </w:r>
      <w:r w:rsidRPr="00F27387">
        <w:t xml:space="preserve">205; </w:t>
      </w:r>
      <w:r w:rsidRPr="00F27387">
        <w:rPr>
          <w:i/>
        </w:rPr>
        <w:t xml:space="preserve">Townsend c. </w:t>
      </w:r>
      <w:proofErr w:type="spellStart"/>
      <w:r w:rsidRPr="00F27387">
        <w:rPr>
          <w:i/>
        </w:rPr>
        <w:t>Kroppmanns</w:t>
      </w:r>
      <w:proofErr w:type="spellEnd"/>
      <w:r>
        <w:t>, 2004 CSC 10, [2004] 1 R.</w:t>
      </w:r>
      <w:r w:rsidRPr="00F27387">
        <w:t>C.</w:t>
      </w:r>
      <w:r>
        <w:t>S.</w:t>
      </w:r>
      <w:r w:rsidRPr="00F27387">
        <w:t xml:space="preserve"> 315, par. 9.</w:t>
      </w:r>
      <w:proofErr w:type="gramEnd"/>
    </w:p>
  </w:footnote>
  <w:footnote w:id="6">
    <w:p w:rsidR="00697C43" w:rsidRPr="00367AFF" w:rsidRDefault="00697C43" w:rsidP="003966E1">
      <w:pPr>
        <w:pStyle w:val="FootnoteText"/>
        <w:spacing w:before="240" w:after="240"/>
        <w:jc w:val="both"/>
        <w:rPr>
          <w:lang w:val="fr-CA"/>
        </w:rPr>
      </w:pPr>
      <w:r w:rsidRPr="00AF3558">
        <w:rPr>
          <w:rStyle w:val="FootnoteReference"/>
          <w:lang w:val="fr-CA"/>
        </w:rPr>
        <w:footnoteRef/>
      </w:r>
      <w:r>
        <w:rPr>
          <w:lang w:val="fr-CA"/>
        </w:rPr>
        <w:t xml:space="preserve"> A. </w:t>
      </w:r>
      <w:proofErr w:type="spellStart"/>
      <w:r>
        <w:rPr>
          <w:lang w:val="fr-CA"/>
        </w:rPr>
        <w:t>Babooram</w:t>
      </w:r>
      <w:proofErr w:type="spellEnd"/>
      <w:r>
        <w:rPr>
          <w:lang w:val="fr-CA"/>
        </w:rPr>
        <w:t>, « Évolution du profil des adultes placés sous garde, 2006-</w:t>
      </w:r>
      <w:r w:rsidRPr="00AF3558">
        <w:rPr>
          <w:lang w:val="fr-CA"/>
        </w:rPr>
        <w:t>2007</w:t>
      </w:r>
      <w:r>
        <w:rPr>
          <w:lang w:val="fr-CA"/>
        </w:rPr>
        <w:t> »</w:t>
      </w:r>
      <w:r w:rsidRPr="00AF3558">
        <w:rPr>
          <w:lang w:val="fr-CA"/>
        </w:rPr>
        <w:t xml:space="preserve"> (2008)</w:t>
      </w:r>
      <w:r>
        <w:rPr>
          <w:lang w:val="fr-CA"/>
        </w:rPr>
        <w:t>, 28:10</w:t>
      </w:r>
      <w:r w:rsidRPr="00AF3558">
        <w:rPr>
          <w:lang w:val="fr-CA"/>
        </w:rPr>
        <w:t xml:space="preserve"> </w:t>
      </w:r>
      <w:proofErr w:type="spellStart"/>
      <w:r w:rsidRPr="00AF3558">
        <w:rPr>
          <w:i/>
          <w:lang w:val="fr-CA"/>
        </w:rPr>
        <w:t>Juristat</w:t>
      </w:r>
      <w:proofErr w:type="spellEnd"/>
      <w:r>
        <w:rPr>
          <w:lang w:val="fr-CA"/>
        </w:rPr>
        <w:t xml:space="preserve"> 1 (en ligne); </w:t>
      </w:r>
      <w:r w:rsidRPr="00AC3DC3">
        <w:rPr>
          <w:lang w:val="fr-CA"/>
        </w:rPr>
        <w:t xml:space="preserve">Canada, Sénat, </w:t>
      </w:r>
      <w:r w:rsidRPr="00AC3DC3">
        <w:rPr>
          <w:i/>
          <w:lang w:val="fr-CA"/>
        </w:rPr>
        <w:t xml:space="preserve">Délibérations du Comité sénatorial permanent des </w:t>
      </w:r>
      <w:r>
        <w:rPr>
          <w:i/>
          <w:lang w:val="fr-CA"/>
        </w:rPr>
        <w:t>A</w:t>
      </w:r>
      <w:r w:rsidRPr="00AC3DC3">
        <w:rPr>
          <w:i/>
          <w:lang w:val="fr-CA"/>
        </w:rPr>
        <w:t>ffaires juridiques et constitutionnelles</w:t>
      </w:r>
      <w:r w:rsidRPr="00AC3DC3">
        <w:rPr>
          <w:lang w:val="fr-CA"/>
        </w:rPr>
        <w:t>, n</w:t>
      </w:r>
      <w:r w:rsidRPr="00AC3DC3">
        <w:rPr>
          <w:vertAlign w:val="superscript"/>
          <w:lang w:val="fr-CA"/>
        </w:rPr>
        <w:t>o </w:t>
      </w:r>
      <w:r w:rsidRPr="00AC3DC3">
        <w:rPr>
          <w:lang w:val="fr-CA"/>
        </w:rPr>
        <w:t>14, 2</w:t>
      </w:r>
      <w:r w:rsidRPr="00AC3DC3">
        <w:rPr>
          <w:vertAlign w:val="superscript"/>
          <w:lang w:val="fr-CA"/>
        </w:rPr>
        <w:t>e</w:t>
      </w:r>
      <w:r w:rsidRPr="00AC3DC3">
        <w:rPr>
          <w:lang w:val="fr-CA"/>
        </w:rPr>
        <w:t xml:space="preserve"> </w:t>
      </w:r>
      <w:proofErr w:type="spellStart"/>
      <w:proofErr w:type="gramStart"/>
      <w:r w:rsidRPr="00AC3DC3">
        <w:rPr>
          <w:lang w:val="fr-CA"/>
        </w:rPr>
        <w:t>sess</w:t>
      </w:r>
      <w:proofErr w:type="spellEnd"/>
      <w:r w:rsidRPr="00AC3DC3">
        <w:rPr>
          <w:lang w:val="fr-CA"/>
        </w:rPr>
        <w:t>.,</w:t>
      </w:r>
      <w:proofErr w:type="gramEnd"/>
      <w:r w:rsidRPr="00AC3DC3">
        <w:rPr>
          <w:lang w:val="fr-CA"/>
        </w:rPr>
        <w:t xml:space="preserve"> 40</w:t>
      </w:r>
      <w:r w:rsidRPr="00AC3DC3">
        <w:rPr>
          <w:vertAlign w:val="superscript"/>
          <w:lang w:val="fr-CA"/>
        </w:rPr>
        <w:t>e</w:t>
      </w:r>
      <w:r w:rsidRPr="00AC3DC3">
        <w:rPr>
          <w:lang w:val="fr-CA"/>
        </w:rPr>
        <w:t xml:space="preserve"> </w:t>
      </w:r>
      <w:proofErr w:type="spellStart"/>
      <w:r w:rsidRPr="00AC3DC3">
        <w:rPr>
          <w:lang w:val="fr-CA"/>
        </w:rPr>
        <w:t>lég</w:t>
      </w:r>
      <w:proofErr w:type="spellEnd"/>
      <w:r w:rsidR="00C367E1">
        <w:rPr>
          <w:lang w:val="fr-CA"/>
        </w:rPr>
        <w:t>.</w:t>
      </w:r>
      <w:r w:rsidRPr="00AC3DC3">
        <w:rPr>
          <w:lang w:val="fr-CA"/>
        </w:rPr>
        <w:t xml:space="preserve">, </w:t>
      </w:r>
      <w:r>
        <w:rPr>
          <w:lang w:val="fr-CA"/>
        </w:rPr>
        <w:t>30 septembre 200</w:t>
      </w:r>
      <w:r w:rsidRPr="00AC3DC3">
        <w:rPr>
          <w:lang w:val="fr-CA"/>
        </w:rPr>
        <w:t>9, p. 27</w:t>
      </w:r>
      <w:r w:rsidR="008E77B2">
        <w:rPr>
          <w:lang w:val="fr-CA"/>
        </w:rPr>
        <w:t>-</w:t>
      </w:r>
      <w:r w:rsidRPr="00AC3DC3">
        <w:rPr>
          <w:lang w:val="fr-CA"/>
        </w:rPr>
        <w:t>30.</w:t>
      </w:r>
    </w:p>
  </w:footnote>
  <w:footnote w:id="7">
    <w:p w:rsidR="00697C43" w:rsidRPr="00AF3558" w:rsidRDefault="00697C43" w:rsidP="003966E1">
      <w:pPr>
        <w:pStyle w:val="FootnoteText"/>
        <w:spacing w:before="240" w:after="240"/>
        <w:jc w:val="both"/>
        <w:rPr>
          <w:lang w:val="fr-CA"/>
        </w:rPr>
      </w:pPr>
      <w:r w:rsidRPr="00AF3558">
        <w:rPr>
          <w:rStyle w:val="FootnoteReference"/>
          <w:lang w:val="fr-CA"/>
        </w:rPr>
        <w:footnoteRef/>
      </w:r>
      <w:r>
        <w:rPr>
          <w:lang w:val="fr-CA"/>
        </w:rPr>
        <w:t xml:space="preserve"> Par </w:t>
      </w:r>
      <w:r w:rsidRPr="00AF3558">
        <w:rPr>
          <w:lang w:val="fr-CA"/>
        </w:rPr>
        <w:t>ex</w:t>
      </w:r>
      <w:r>
        <w:rPr>
          <w:lang w:val="fr-CA"/>
        </w:rPr>
        <w:t>emple, la personne déclarée coupable de meurtre au premier degré et condamnée à l’emprisonnement à perpétuité ne peut bénéficier de la libération conditionnelle avant d’avoir purgé 25 ans de la peine (art. </w:t>
      </w:r>
      <w:r w:rsidRPr="00AF3558">
        <w:rPr>
          <w:lang w:val="fr-CA"/>
        </w:rPr>
        <w:t>745</w:t>
      </w:r>
      <w:r>
        <w:rPr>
          <w:lang w:val="fr-CA"/>
        </w:rPr>
        <w:t xml:space="preserve"> du </w:t>
      </w:r>
      <w:r w:rsidRPr="009C1769">
        <w:rPr>
          <w:i/>
          <w:lang w:val="fr-CA"/>
        </w:rPr>
        <w:t>Code criminel</w:t>
      </w:r>
      <w:r w:rsidRPr="00AF3558">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43" w:rsidRDefault="00697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43" w:rsidRDefault="00697C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43" w:rsidRDefault="00697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in;height:3in" o:bullet="t"/>
    </w:pict>
  </w:numPicBullet>
  <w:numPicBullet w:numPicBulletId="1">
    <w:pict>
      <v:shape id="_x0000_i1168" type="#_x0000_t75" style="width:3in;height:3in" o:bullet="t"/>
    </w:pict>
  </w:numPicBullet>
  <w:abstractNum w:abstractNumId="0">
    <w:nsid w:val="FFFFB1CA"/>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1">
    <w:nsid w:val="03143F05"/>
    <w:multiLevelType w:val="multilevel"/>
    <w:tmpl w:val="A516AD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C6239"/>
    <w:multiLevelType w:val="hybridMultilevel"/>
    <w:tmpl w:val="AD844484"/>
    <w:lvl w:ilvl="0" w:tplc="E9306B1E">
      <w:start w:val="1"/>
      <w:numFmt w:val="lowerLetter"/>
      <w:lvlText w:val="%1"/>
      <w:lvlJc w:val="left"/>
      <w:pPr>
        <w:ind w:left="1778" w:hanging="360"/>
      </w:pPr>
      <w:rPr>
        <w:rFonts w:ascii="Times New Roman" w:hAnsi="Times New Roman" w:cs="Times New Roman" w:hint="default"/>
        <w:b w:val="0"/>
        <w:i/>
        <w:sz w:val="24"/>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nsid w:val="0AF63CE5"/>
    <w:multiLevelType w:val="multilevel"/>
    <w:tmpl w:val="DE88B2A4"/>
    <w:lvl w:ilvl="0">
      <w:start w:val="1"/>
      <w:numFmt w:val="lowerLetter"/>
      <w:lvlText w:val="%1)"/>
      <w:lvlJc w:val="left"/>
      <w:pPr>
        <w:ind w:left="1778" w:hanging="360"/>
      </w:pPr>
      <w:rPr>
        <w:rFonts w:ascii="Times New Roman" w:eastAsia="Times New Roman" w:hAnsi="Times New Roman" w:cs="Times New Roman"/>
        <w:b w:val="0"/>
        <w:i w:val="0"/>
        <w:sz w:val="24"/>
      </w:rPr>
    </w:lvl>
    <w:lvl w:ilvl="1">
      <w:start w:val="1"/>
      <w:numFmt w:val="lowerLetter"/>
      <w:lvlText w:val="%2."/>
      <w:lvlJc w:val="left"/>
      <w:pPr>
        <w:ind w:left="2606" w:hanging="360"/>
      </w:pPr>
    </w:lvl>
    <w:lvl w:ilvl="2">
      <w:start w:val="1"/>
      <w:numFmt w:val="lowerRoman"/>
      <w:lvlText w:val="%3."/>
      <w:lvlJc w:val="right"/>
      <w:pPr>
        <w:ind w:left="3326" w:hanging="180"/>
      </w:pPr>
    </w:lvl>
    <w:lvl w:ilvl="3">
      <w:start w:val="1"/>
      <w:numFmt w:val="decimal"/>
      <w:lvlText w:val="%4."/>
      <w:lvlJc w:val="left"/>
      <w:pPr>
        <w:ind w:left="4046" w:hanging="360"/>
      </w:pPr>
    </w:lvl>
    <w:lvl w:ilvl="4">
      <w:start w:val="1"/>
      <w:numFmt w:val="lowerLetter"/>
      <w:lvlText w:val="%5."/>
      <w:lvlJc w:val="left"/>
      <w:pPr>
        <w:ind w:left="4766" w:hanging="360"/>
      </w:pPr>
    </w:lvl>
    <w:lvl w:ilvl="5">
      <w:start w:val="1"/>
      <w:numFmt w:val="lowerRoman"/>
      <w:lvlText w:val="%6."/>
      <w:lvlJc w:val="right"/>
      <w:pPr>
        <w:ind w:left="5486" w:hanging="180"/>
      </w:pPr>
    </w:lvl>
    <w:lvl w:ilvl="6">
      <w:start w:val="1"/>
      <w:numFmt w:val="decimal"/>
      <w:lvlText w:val="%7."/>
      <w:lvlJc w:val="left"/>
      <w:pPr>
        <w:ind w:left="6206" w:hanging="360"/>
      </w:pPr>
    </w:lvl>
    <w:lvl w:ilvl="7">
      <w:start w:val="1"/>
      <w:numFmt w:val="lowerLetter"/>
      <w:lvlText w:val="%8."/>
      <w:lvlJc w:val="left"/>
      <w:pPr>
        <w:ind w:left="6926" w:hanging="360"/>
      </w:pPr>
    </w:lvl>
    <w:lvl w:ilvl="8">
      <w:start w:val="1"/>
      <w:numFmt w:val="lowerRoman"/>
      <w:lvlText w:val="%9."/>
      <w:lvlJc w:val="right"/>
      <w:pPr>
        <w:ind w:left="7646" w:hanging="180"/>
      </w:pPr>
    </w:lvl>
  </w:abstractNum>
  <w:abstractNum w:abstractNumId="4">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nsid w:val="46B26881"/>
    <w:multiLevelType w:val="hybridMultilevel"/>
    <w:tmpl w:val="B4F00796"/>
    <w:lvl w:ilvl="0" w:tplc="66AE8E66">
      <w:start w:val="1"/>
      <w:numFmt w:val="lowerLetter"/>
      <w:lvlText w:val="%1)"/>
      <w:lvlJc w:val="left"/>
      <w:pPr>
        <w:ind w:left="1886" w:hanging="360"/>
      </w:pPr>
      <w:rPr>
        <w:rFonts w:ascii="Times New Roman" w:hAnsi="Times New Roman" w:hint="default"/>
        <w:b w:val="0"/>
        <w:i w:val="0"/>
        <w:sz w:val="24"/>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DA0365D"/>
    <w:multiLevelType w:val="multilevel"/>
    <w:tmpl w:val="95C2CCA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04C51"/>
    <w:multiLevelType w:val="hybridMultilevel"/>
    <w:tmpl w:val="F5C2D004"/>
    <w:lvl w:ilvl="0" w:tplc="DA3A69D4">
      <w:start w:val="1"/>
      <w:numFmt w:val="lowerLetter"/>
      <w:lvlText w:val="%1)"/>
      <w:lvlJc w:val="left"/>
      <w:pPr>
        <w:ind w:left="1778" w:hanging="360"/>
      </w:pPr>
      <w:rPr>
        <w:rFonts w:ascii="Times New Roman" w:eastAsia="Times New Roman" w:hAnsi="Times New Roman" w:cs="Times New Roman"/>
        <w:b w:val="0"/>
        <w:i/>
        <w:sz w:val="24"/>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6B046EF"/>
    <w:multiLevelType w:val="hybridMultilevel"/>
    <w:tmpl w:val="F8A09CF8"/>
    <w:lvl w:ilvl="0" w:tplc="9800D3B8">
      <w:start w:val="2"/>
      <w:numFmt w:val="lowerLetter"/>
      <w:lvlText w:val="%1)"/>
      <w:lvlJc w:val="left"/>
      <w:pPr>
        <w:ind w:left="188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22089"/>
    <w:multiLevelType w:val="multilevel"/>
    <w:tmpl w:val="50A06A72"/>
    <w:lvl w:ilvl="0">
      <w:start w:val="1"/>
      <w:numFmt w:val="lowerLetter"/>
      <w:lvlText w:val="%1)"/>
      <w:lvlJc w:val="left"/>
      <w:pPr>
        <w:ind w:left="1778" w:hanging="360"/>
      </w:pPr>
      <w:rPr>
        <w:rFonts w:ascii="Times New Roman" w:eastAsia="Times New Roman" w:hAnsi="Times New Roman" w:cs="Times New Roman"/>
        <w:b w:val="0"/>
        <w:i w:val="0"/>
        <w:sz w:val="24"/>
      </w:rPr>
    </w:lvl>
    <w:lvl w:ilvl="1">
      <w:start w:val="1"/>
      <w:numFmt w:val="lowerLetter"/>
      <w:lvlText w:val="%2."/>
      <w:lvlJc w:val="left"/>
      <w:pPr>
        <w:ind w:left="2606" w:hanging="360"/>
      </w:pPr>
    </w:lvl>
    <w:lvl w:ilvl="2">
      <w:start w:val="1"/>
      <w:numFmt w:val="lowerRoman"/>
      <w:lvlText w:val="%3."/>
      <w:lvlJc w:val="right"/>
      <w:pPr>
        <w:ind w:left="3326" w:hanging="180"/>
      </w:pPr>
    </w:lvl>
    <w:lvl w:ilvl="3">
      <w:start w:val="1"/>
      <w:numFmt w:val="decimal"/>
      <w:lvlText w:val="%4."/>
      <w:lvlJc w:val="left"/>
      <w:pPr>
        <w:ind w:left="4046" w:hanging="360"/>
      </w:pPr>
    </w:lvl>
    <w:lvl w:ilvl="4">
      <w:start w:val="1"/>
      <w:numFmt w:val="lowerLetter"/>
      <w:lvlText w:val="%5."/>
      <w:lvlJc w:val="left"/>
      <w:pPr>
        <w:ind w:left="4766" w:hanging="360"/>
      </w:pPr>
    </w:lvl>
    <w:lvl w:ilvl="5">
      <w:start w:val="1"/>
      <w:numFmt w:val="lowerRoman"/>
      <w:lvlText w:val="%6."/>
      <w:lvlJc w:val="right"/>
      <w:pPr>
        <w:ind w:left="5486" w:hanging="180"/>
      </w:pPr>
    </w:lvl>
    <w:lvl w:ilvl="6">
      <w:start w:val="1"/>
      <w:numFmt w:val="decimal"/>
      <w:lvlText w:val="%7."/>
      <w:lvlJc w:val="left"/>
      <w:pPr>
        <w:ind w:left="6206" w:hanging="360"/>
      </w:pPr>
    </w:lvl>
    <w:lvl w:ilvl="7">
      <w:start w:val="1"/>
      <w:numFmt w:val="lowerLetter"/>
      <w:lvlText w:val="%8."/>
      <w:lvlJc w:val="left"/>
      <w:pPr>
        <w:ind w:left="6926" w:hanging="360"/>
      </w:pPr>
    </w:lvl>
    <w:lvl w:ilvl="8">
      <w:start w:val="1"/>
      <w:numFmt w:val="lowerRoman"/>
      <w:lvlText w:val="%9."/>
      <w:lvlJc w:val="right"/>
      <w:pPr>
        <w:ind w:left="7646" w:hanging="180"/>
      </w:pPr>
    </w:lvl>
  </w:abstractNum>
  <w:num w:numId="1">
    <w:abstractNumId w:val="12"/>
  </w:num>
  <w:num w:numId="2">
    <w:abstractNumId w:val="13"/>
  </w:num>
  <w:num w:numId="3">
    <w:abstractNumId w:val="5"/>
  </w:num>
  <w:num w:numId="4">
    <w:abstractNumId w:val="4"/>
  </w:num>
  <w:num w:numId="5">
    <w:abstractNumId w:val="8"/>
  </w:num>
  <w:num w:numId="6">
    <w:abstractNumId w:val="9"/>
  </w:num>
  <w:num w:numId="7">
    <w:abstractNumId w:val="6"/>
  </w:num>
  <w:num w:numId="8">
    <w:abstractNumId w:val="0"/>
  </w:num>
  <w:num w:numId="9">
    <w:abstractNumId w:val="1"/>
  </w:num>
  <w:num w:numId="10">
    <w:abstractNumId w:val="11"/>
  </w:num>
  <w:num w:numId="11">
    <w:abstractNumId w:val="7"/>
  </w:num>
  <w:num w:numId="12">
    <w:abstractNumId w:val="14"/>
  </w:num>
  <w:num w:numId="13">
    <w:abstractNumId w:val="10"/>
  </w:num>
  <w:num w:numId="14">
    <w:abstractNumId w:val="3"/>
  </w:num>
  <w:num w:numId="15">
    <w:abstractNumId w:val="15"/>
  </w:num>
  <w:num w:numId="16">
    <w:abstractNumId w:val="2"/>
  </w:num>
  <w:num w:numId="17">
    <w:abstractNumId w:val="12"/>
    <w:lvlOverride w:ilvl="0">
      <w:startOverride w:val="1"/>
    </w:lvlOverride>
    <w:lvlOverride w:ilvl="1">
      <w:startOverride w:val="2"/>
    </w:lvlOverride>
  </w:num>
  <w:num w:numId="18">
    <w:abstractNumId w:val="12"/>
    <w:lvlOverride w:ilvl="0">
      <w:startOverride w:val="1"/>
    </w:lvlOverride>
    <w:lvlOverride w:ilvl="1">
      <w:startOverride w:val="2"/>
    </w:lvlOverride>
  </w:num>
  <w:num w:numId="19">
    <w:abstractNumId w:val="12"/>
    <w:lvlOverride w:ilvl="0">
      <w:startOverride w:val="1"/>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1D28"/>
    <w:rsid w:val="0001724D"/>
    <w:rsid w:val="00023FC7"/>
    <w:rsid w:val="00025198"/>
    <w:rsid w:val="000503E2"/>
    <w:rsid w:val="00056587"/>
    <w:rsid w:val="000578A3"/>
    <w:rsid w:val="00061DD6"/>
    <w:rsid w:val="000648CC"/>
    <w:rsid w:val="000807FC"/>
    <w:rsid w:val="000A2249"/>
    <w:rsid w:val="000C59B8"/>
    <w:rsid w:val="000C6AF0"/>
    <w:rsid w:val="000D0A77"/>
    <w:rsid w:val="000F7993"/>
    <w:rsid w:val="00104F33"/>
    <w:rsid w:val="00111DE2"/>
    <w:rsid w:val="00116B38"/>
    <w:rsid w:val="00121A8C"/>
    <w:rsid w:val="0013024D"/>
    <w:rsid w:val="00135406"/>
    <w:rsid w:val="00135972"/>
    <w:rsid w:val="001420D2"/>
    <w:rsid w:val="001426A9"/>
    <w:rsid w:val="001428E4"/>
    <w:rsid w:val="00145633"/>
    <w:rsid w:val="00154D7C"/>
    <w:rsid w:val="001570B0"/>
    <w:rsid w:val="0015752C"/>
    <w:rsid w:val="00157737"/>
    <w:rsid w:val="00165277"/>
    <w:rsid w:val="00170592"/>
    <w:rsid w:val="001720F7"/>
    <w:rsid w:val="00195D83"/>
    <w:rsid w:val="001A00C1"/>
    <w:rsid w:val="001A132B"/>
    <w:rsid w:val="001A535C"/>
    <w:rsid w:val="001B33E0"/>
    <w:rsid w:val="001B4573"/>
    <w:rsid w:val="001C779F"/>
    <w:rsid w:val="001D114B"/>
    <w:rsid w:val="001D2AC1"/>
    <w:rsid w:val="001D4E88"/>
    <w:rsid w:val="00220FC2"/>
    <w:rsid w:val="002222F4"/>
    <w:rsid w:val="00224FC0"/>
    <w:rsid w:val="00225EA4"/>
    <w:rsid w:val="00226EAF"/>
    <w:rsid w:val="00231F3A"/>
    <w:rsid w:val="002406EE"/>
    <w:rsid w:val="00243EC8"/>
    <w:rsid w:val="00261481"/>
    <w:rsid w:val="0026586E"/>
    <w:rsid w:val="00270D93"/>
    <w:rsid w:val="00271033"/>
    <w:rsid w:val="002745CC"/>
    <w:rsid w:val="00275FC0"/>
    <w:rsid w:val="002A5605"/>
    <w:rsid w:val="002B0484"/>
    <w:rsid w:val="002B6FBE"/>
    <w:rsid w:val="002B7924"/>
    <w:rsid w:val="002C10A6"/>
    <w:rsid w:val="002D28C3"/>
    <w:rsid w:val="002D39A4"/>
    <w:rsid w:val="002E6705"/>
    <w:rsid w:val="0030329A"/>
    <w:rsid w:val="003049A5"/>
    <w:rsid w:val="0031086F"/>
    <w:rsid w:val="0031414C"/>
    <w:rsid w:val="00314E01"/>
    <w:rsid w:val="0032089D"/>
    <w:rsid w:val="003243E1"/>
    <w:rsid w:val="003310DE"/>
    <w:rsid w:val="00331EE1"/>
    <w:rsid w:val="003323B0"/>
    <w:rsid w:val="00340A49"/>
    <w:rsid w:val="0035169A"/>
    <w:rsid w:val="0035259D"/>
    <w:rsid w:val="00354D1A"/>
    <w:rsid w:val="00357B8B"/>
    <w:rsid w:val="00364B18"/>
    <w:rsid w:val="0037014B"/>
    <w:rsid w:val="003869A2"/>
    <w:rsid w:val="003966E1"/>
    <w:rsid w:val="0039706A"/>
    <w:rsid w:val="003A0031"/>
    <w:rsid w:val="003A125D"/>
    <w:rsid w:val="003A4C70"/>
    <w:rsid w:val="003B215F"/>
    <w:rsid w:val="003C1175"/>
    <w:rsid w:val="003C4CC4"/>
    <w:rsid w:val="003C799C"/>
    <w:rsid w:val="003D0399"/>
    <w:rsid w:val="003E1C71"/>
    <w:rsid w:val="003E33CC"/>
    <w:rsid w:val="003E69A0"/>
    <w:rsid w:val="003F0188"/>
    <w:rsid w:val="003F16CD"/>
    <w:rsid w:val="003F2281"/>
    <w:rsid w:val="003F327B"/>
    <w:rsid w:val="003F68EC"/>
    <w:rsid w:val="003F6F94"/>
    <w:rsid w:val="00406166"/>
    <w:rsid w:val="0040704B"/>
    <w:rsid w:val="00410A55"/>
    <w:rsid w:val="00411300"/>
    <w:rsid w:val="00413F17"/>
    <w:rsid w:val="00415417"/>
    <w:rsid w:val="00426659"/>
    <w:rsid w:val="0043144F"/>
    <w:rsid w:val="00450352"/>
    <w:rsid w:val="00454BDB"/>
    <w:rsid w:val="00465132"/>
    <w:rsid w:val="00471B7A"/>
    <w:rsid w:val="004734D3"/>
    <w:rsid w:val="00480C90"/>
    <w:rsid w:val="0048309F"/>
    <w:rsid w:val="0048396F"/>
    <w:rsid w:val="00493C18"/>
    <w:rsid w:val="004A508A"/>
    <w:rsid w:val="004A600C"/>
    <w:rsid w:val="004A6118"/>
    <w:rsid w:val="004C478D"/>
    <w:rsid w:val="004D7D95"/>
    <w:rsid w:val="004E2C26"/>
    <w:rsid w:val="005125A8"/>
    <w:rsid w:val="00517549"/>
    <w:rsid w:val="00520ABC"/>
    <w:rsid w:val="00521AE8"/>
    <w:rsid w:val="00524F46"/>
    <w:rsid w:val="00527180"/>
    <w:rsid w:val="00535B9C"/>
    <w:rsid w:val="005456F5"/>
    <w:rsid w:val="00551838"/>
    <w:rsid w:val="00555291"/>
    <w:rsid w:val="00566AD1"/>
    <w:rsid w:val="00583EDE"/>
    <w:rsid w:val="005A6079"/>
    <w:rsid w:val="005A7C9C"/>
    <w:rsid w:val="005E2BD7"/>
    <w:rsid w:val="005E4698"/>
    <w:rsid w:val="00603924"/>
    <w:rsid w:val="006070C5"/>
    <w:rsid w:val="00610539"/>
    <w:rsid w:val="00613969"/>
    <w:rsid w:val="00625C35"/>
    <w:rsid w:val="00647E49"/>
    <w:rsid w:val="00655606"/>
    <w:rsid w:val="00656313"/>
    <w:rsid w:val="006565F4"/>
    <w:rsid w:val="006637D3"/>
    <w:rsid w:val="00670910"/>
    <w:rsid w:val="00670EC4"/>
    <w:rsid w:val="00684EEA"/>
    <w:rsid w:val="0069689B"/>
    <w:rsid w:val="00697C43"/>
    <w:rsid w:val="006B5FF5"/>
    <w:rsid w:val="006D05B7"/>
    <w:rsid w:val="006E7D16"/>
    <w:rsid w:val="006F30AF"/>
    <w:rsid w:val="006F396E"/>
    <w:rsid w:val="007012B3"/>
    <w:rsid w:val="00701759"/>
    <w:rsid w:val="00703F0C"/>
    <w:rsid w:val="00705C15"/>
    <w:rsid w:val="00710FDD"/>
    <w:rsid w:val="007110F6"/>
    <w:rsid w:val="00713254"/>
    <w:rsid w:val="007208D1"/>
    <w:rsid w:val="00722B93"/>
    <w:rsid w:val="007374DB"/>
    <w:rsid w:val="007379D8"/>
    <w:rsid w:val="00744518"/>
    <w:rsid w:val="00747288"/>
    <w:rsid w:val="00747DD3"/>
    <w:rsid w:val="00751DFA"/>
    <w:rsid w:val="007549C8"/>
    <w:rsid w:val="007565A6"/>
    <w:rsid w:val="00766D14"/>
    <w:rsid w:val="00767A0F"/>
    <w:rsid w:val="00791272"/>
    <w:rsid w:val="0079503A"/>
    <w:rsid w:val="0079521A"/>
    <w:rsid w:val="007A05F6"/>
    <w:rsid w:val="007B6F4A"/>
    <w:rsid w:val="007C0B95"/>
    <w:rsid w:val="007E1C47"/>
    <w:rsid w:val="007E337A"/>
    <w:rsid w:val="007E5C70"/>
    <w:rsid w:val="007F2FF5"/>
    <w:rsid w:val="007F3F08"/>
    <w:rsid w:val="007F4191"/>
    <w:rsid w:val="007F6D75"/>
    <w:rsid w:val="008046D1"/>
    <w:rsid w:val="00804CC6"/>
    <w:rsid w:val="00817111"/>
    <w:rsid w:val="00817190"/>
    <w:rsid w:val="0082297D"/>
    <w:rsid w:val="008260E2"/>
    <w:rsid w:val="0082716B"/>
    <w:rsid w:val="008322BD"/>
    <w:rsid w:val="00834F73"/>
    <w:rsid w:val="00843292"/>
    <w:rsid w:val="00853A2B"/>
    <w:rsid w:val="00855425"/>
    <w:rsid w:val="008576F7"/>
    <w:rsid w:val="00864C8A"/>
    <w:rsid w:val="00864CF8"/>
    <w:rsid w:val="00874914"/>
    <w:rsid w:val="00891422"/>
    <w:rsid w:val="00892E1A"/>
    <w:rsid w:val="008A3492"/>
    <w:rsid w:val="008A4DFE"/>
    <w:rsid w:val="008B182B"/>
    <w:rsid w:val="008B660A"/>
    <w:rsid w:val="008C01DA"/>
    <w:rsid w:val="008C0708"/>
    <w:rsid w:val="008C242F"/>
    <w:rsid w:val="008C3FE3"/>
    <w:rsid w:val="008E77B2"/>
    <w:rsid w:val="008F2674"/>
    <w:rsid w:val="008F78E9"/>
    <w:rsid w:val="00911F1F"/>
    <w:rsid w:val="009179F9"/>
    <w:rsid w:val="00917C7A"/>
    <w:rsid w:val="009200C8"/>
    <w:rsid w:val="00933E5E"/>
    <w:rsid w:val="009344B1"/>
    <w:rsid w:val="00935218"/>
    <w:rsid w:val="00937C52"/>
    <w:rsid w:val="009403F3"/>
    <w:rsid w:val="009555B7"/>
    <w:rsid w:val="009567AA"/>
    <w:rsid w:val="009602C9"/>
    <w:rsid w:val="00967374"/>
    <w:rsid w:val="00967EB1"/>
    <w:rsid w:val="009A343A"/>
    <w:rsid w:val="009A58A4"/>
    <w:rsid w:val="009B2F23"/>
    <w:rsid w:val="009B57B3"/>
    <w:rsid w:val="009C1769"/>
    <w:rsid w:val="009D01BF"/>
    <w:rsid w:val="009D2920"/>
    <w:rsid w:val="009D5AEB"/>
    <w:rsid w:val="009F0E33"/>
    <w:rsid w:val="00A10DEF"/>
    <w:rsid w:val="00A149DF"/>
    <w:rsid w:val="00A1755C"/>
    <w:rsid w:val="00A178F2"/>
    <w:rsid w:val="00A17E02"/>
    <w:rsid w:val="00A21B90"/>
    <w:rsid w:val="00A22AAC"/>
    <w:rsid w:val="00A41805"/>
    <w:rsid w:val="00A47EE8"/>
    <w:rsid w:val="00A51882"/>
    <w:rsid w:val="00A52AFB"/>
    <w:rsid w:val="00A548CB"/>
    <w:rsid w:val="00A54A93"/>
    <w:rsid w:val="00A5521C"/>
    <w:rsid w:val="00A643E7"/>
    <w:rsid w:val="00A67408"/>
    <w:rsid w:val="00A73C38"/>
    <w:rsid w:val="00A86435"/>
    <w:rsid w:val="00A86FB7"/>
    <w:rsid w:val="00A946BD"/>
    <w:rsid w:val="00AB3FBC"/>
    <w:rsid w:val="00AB670D"/>
    <w:rsid w:val="00AD1114"/>
    <w:rsid w:val="00AD3CB0"/>
    <w:rsid w:val="00AD4960"/>
    <w:rsid w:val="00AF03C5"/>
    <w:rsid w:val="00AF6986"/>
    <w:rsid w:val="00B000D8"/>
    <w:rsid w:val="00B00F75"/>
    <w:rsid w:val="00B145B6"/>
    <w:rsid w:val="00B228E6"/>
    <w:rsid w:val="00B279EB"/>
    <w:rsid w:val="00B32FA2"/>
    <w:rsid w:val="00B341AE"/>
    <w:rsid w:val="00B34C32"/>
    <w:rsid w:val="00B44A7F"/>
    <w:rsid w:val="00B50C81"/>
    <w:rsid w:val="00B557F8"/>
    <w:rsid w:val="00B815FC"/>
    <w:rsid w:val="00B93FBC"/>
    <w:rsid w:val="00B975E0"/>
    <w:rsid w:val="00BA7DA0"/>
    <w:rsid w:val="00BB2EE4"/>
    <w:rsid w:val="00BB301C"/>
    <w:rsid w:val="00BB4C92"/>
    <w:rsid w:val="00BC1A77"/>
    <w:rsid w:val="00BC2108"/>
    <w:rsid w:val="00BD0E9E"/>
    <w:rsid w:val="00BD1BEC"/>
    <w:rsid w:val="00BD32FF"/>
    <w:rsid w:val="00BD43AB"/>
    <w:rsid w:val="00BF697D"/>
    <w:rsid w:val="00BF6FE9"/>
    <w:rsid w:val="00C02092"/>
    <w:rsid w:val="00C16A41"/>
    <w:rsid w:val="00C24D91"/>
    <w:rsid w:val="00C25AFB"/>
    <w:rsid w:val="00C26DB2"/>
    <w:rsid w:val="00C367E1"/>
    <w:rsid w:val="00C53F14"/>
    <w:rsid w:val="00C600CF"/>
    <w:rsid w:val="00C6084F"/>
    <w:rsid w:val="00C62A66"/>
    <w:rsid w:val="00C66359"/>
    <w:rsid w:val="00C711B5"/>
    <w:rsid w:val="00C71458"/>
    <w:rsid w:val="00C75CEB"/>
    <w:rsid w:val="00C77613"/>
    <w:rsid w:val="00C828E7"/>
    <w:rsid w:val="00C84472"/>
    <w:rsid w:val="00C86719"/>
    <w:rsid w:val="00C921DD"/>
    <w:rsid w:val="00CA6391"/>
    <w:rsid w:val="00CE036E"/>
    <w:rsid w:val="00CE3171"/>
    <w:rsid w:val="00CF1601"/>
    <w:rsid w:val="00D0172F"/>
    <w:rsid w:val="00D01E33"/>
    <w:rsid w:val="00D068A7"/>
    <w:rsid w:val="00D17476"/>
    <w:rsid w:val="00D32086"/>
    <w:rsid w:val="00D37912"/>
    <w:rsid w:val="00D37A3F"/>
    <w:rsid w:val="00D43213"/>
    <w:rsid w:val="00D4431D"/>
    <w:rsid w:val="00D4667A"/>
    <w:rsid w:val="00D5031B"/>
    <w:rsid w:val="00D63A1C"/>
    <w:rsid w:val="00D7516F"/>
    <w:rsid w:val="00D921F4"/>
    <w:rsid w:val="00D95F8E"/>
    <w:rsid w:val="00DA0590"/>
    <w:rsid w:val="00DA76C5"/>
    <w:rsid w:val="00DB0717"/>
    <w:rsid w:val="00DB1A7D"/>
    <w:rsid w:val="00DC1739"/>
    <w:rsid w:val="00DC1788"/>
    <w:rsid w:val="00DC6788"/>
    <w:rsid w:val="00DE319C"/>
    <w:rsid w:val="00DE6337"/>
    <w:rsid w:val="00DF0CA8"/>
    <w:rsid w:val="00DF2B48"/>
    <w:rsid w:val="00DF49A7"/>
    <w:rsid w:val="00DF7B79"/>
    <w:rsid w:val="00E07EE2"/>
    <w:rsid w:val="00E07FD1"/>
    <w:rsid w:val="00E24573"/>
    <w:rsid w:val="00E25E1E"/>
    <w:rsid w:val="00E27EE7"/>
    <w:rsid w:val="00E339D6"/>
    <w:rsid w:val="00E34B43"/>
    <w:rsid w:val="00E35404"/>
    <w:rsid w:val="00E45109"/>
    <w:rsid w:val="00E47B7A"/>
    <w:rsid w:val="00E50500"/>
    <w:rsid w:val="00E54D0B"/>
    <w:rsid w:val="00E56995"/>
    <w:rsid w:val="00E56A44"/>
    <w:rsid w:val="00E60269"/>
    <w:rsid w:val="00E63514"/>
    <w:rsid w:val="00E810AD"/>
    <w:rsid w:val="00E82EA4"/>
    <w:rsid w:val="00E86ACD"/>
    <w:rsid w:val="00E97830"/>
    <w:rsid w:val="00EB36E1"/>
    <w:rsid w:val="00EE0830"/>
    <w:rsid w:val="00EE0C77"/>
    <w:rsid w:val="00EE51E5"/>
    <w:rsid w:val="00EE6CB8"/>
    <w:rsid w:val="00EF0683"/>
    <w:rsid w:val="00F0070C"/>
    <w:rsid w:val="00F00EB7"/>
    <w:rsid w:val="00F05674"/>
    <w:rsid w:val="00F104E7"/>
    <w:rsid w:val="00F36324"/>
    <w:rsid w:val="00F36AB6"/>
    <w:rsid w:val="00F375BF"/>
    <w:rsid w:val="00F37A09"/>
    <w:rsid w:val="00F409CE"/>
    <w:rsid w:val="00F4379D"/>
    <w:rsid w:val="00F4535F"/>
    <w:rsid w:val="00F50085"/>
    <w:rsid w:val="00F50D2D"/>
    <w:rsid w:val="00F50E7A"/>
    <w:rsid w:val="00F56C8B"/>
    <w:rsid w:val="00F62639"/>
    <w:rsid w:val="00F66810"/>
    <w:rsid w:val="00F84DF4"/>
    <w:rsid w:val="00F85C97"/>
    <w:rsid w:val="00F87DE9"/>
    <w:rsid w:val="00F95A35"/>
    <w:rsid w:val="00FA004D"/>
    <w:rsid w:val="00FA30D9"/>
    <w:rsid w:val="00FB37D2"/>
    <w:rsid w:val="00FB59B3"/>
    <w:rsid w:val="00FC4EFB"/>
    <w:rsid w:val="00FD068D"/>
    <w:rsid w:val="00FD09BB"/>
    <w:rsid w:val="00FD2FD7"/>
    <w:rsid w:val="00FD4F28"/>
    <w:rsid w:val="00FE089F"/>
    <w:rsid w:val="00FE6784"/>
    <w:rsid w:val="00FE75EA"/>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E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styleId="Hyperlink">
    <w:name w:val="Hyperlink"/>
    <w:basedOn w:val="DefaultParagraphFont"/>
    <w:uiPriority w:val="99"/>
    <w:unhideWhenUsed/>
    <w:rsid w:val="005456F5"/>
    <w:rPr>
      <w:color w:val="0000FF" w:themeColor="hyperlink"/>
      <w:u w:val="single"/>
    </w:rPr>
  </w:style>
  <w:style w:type="paragraph" w:customStyle="1" w:styleId="ParaNoNdepar-AltN">
    <w:name w:val="Para. No. / Nº de par. - Alt N"/>
    <w:qFormat/>
    <w:rsid w:val="00E54D0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966E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966E1"/>
    <w:rPr>
      <w:rFonts w:eastAsiaTheme="minorHAnsi" w:cstheme="minorBidi"/>
      <w:sz w:val="24"/>
      <w:szCs w:val="22"/>
      <w:lang w:eastAsia="en-US"/>
    </w:rPr>
  </w:style>
  <w:style w:type="character" w:customStyle="1" w:styleId="SCCBanSummaryChar">
    <w:name w:val="SCC.BanSummary Char"/>
    <w:basedOn w:val="DefaultParagraphFont"/>
    <w:link w:val="SCCBanSummary"/>
    <w:rsid w:val="003966E1"/>
    <w:rPr>
      <w:b/>
      <w:sz w:val="24"/>
    </w:rPr>
  </w:style>
  <w:style w:type="table" w:styleId="TableGrid">
    <w:name w:val="Table Grid"/>
    <w:basedOn w:val="TableNormal"/>
    <w:uiPriority w:val="59"/>
    <w:rsid w:val="003966E1"/>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966E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966E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966E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966E1"/>
    <w:pPr>
      <w:keepNext/>
      <w:numPr>
        <w:numId w:val="7"/>
      </w:numPr>
      <w:tabs>
        <w:tab w:val="left" w:pos="576"/>
      </w:tabs>
      <w:spacing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966E1"/>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3966E1"/>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3966E1"/>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3966E1"/>
    <w:pPr>
      <w:numPr>
        <w:ilvl w:val="4"/>
      </w:numPr>
      <w:tabs>
        <w:tab w:val="clear" w:pos="576"/>
        <w:tab w:val="left" w:pos="1620"/>
      </w:tabs>
      <w:ind w:left="1620" w:hanging="540"/>
    </w:pPr>
  </w:style>
  <w:style w:type="paragraph" w:styleId="TOC1">
    <w:name w:val="toc 1"/>
    <w:basedOn w:val="Normal"/>
    <w:next w:val="Normal"/>
    <w:autoRedefine/>
    <w:uiPriority w:val="39"/>
    <w:unhideWhenUsed/>
    <w:rsid w:val="003966E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966E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966E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966E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966E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966E1"/>
    <w:pPr>
      <w:tabs>
        <w:tab w:val="left" w:pos="2160"/>
        <w:tab w:val="right" w:leader="dot" w:pos="8270"/>
      </w:tabs>
      <w:spacing w:after="100"/>
      <w:ind w:left="1800"/>
    </w:pPr>
    <w:rPr>
      <w:noProof/>
    </w:rPr>
  </w:style>
  <w:style w:type="table" w:customStyle="1" w:styleId="TableGrid1">
    <w:name w:val="Table Grid1"/>
    <w:basedOn w:val="TableNormal"/>
    <w:uiPriority w:val="59"/>
    <w:rsid w:val="003966E1"/>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3966E1"/>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3966E1"/>
    <w:rPr>
      <w:sz w:val="16"/>
      <w:szCs w:val="16"/>
    </w:rPr>
  </w:style>
  <w:style w:type="paragraph" w:styleId="CommentText">
    <w:name w:val="annotation text"/>
    <w:basedOn w:val="Normal"/>
    <w:link w:val="CommentTextChar"/>
    <w:uiPriority w:val="99"/>
    <w:semiHidden/>
    <w:unhideWhenUsed/>
    <w:rsid w:val="003966E1"/>
    <w:rPr>
      <w:sz w:val="20"/>
    </w:rPr>
  </w:style>
  <w:style w:type="character" w:customStyle="1" w:styleId="CommentTextChar">
    <w:name w:val="Comment Text Char"/>
    <w:basedOn w:val="DefaultParagraphFont"/>
    <w:link w:val="CommentText"/>
    <w:uiPriority w:val="99"/>
    <w:semiHidden/>
    <w:rsid w:val="003966E1"/>
  </w:style>
  <w:style w:type="paragraph" w:styleId="CommentSubject">
    <w:name w:val="annotation subject"/>
    <w:basedOn w:val="CommentText"/>
    <w:next w:val="CommentText"/>
    <w:link w:val="CommentSubjectChar"/>
    <w:uiPriority w:val="99"/>
    <w:semiHidden/>
    <w:unhideWhenUsed/>
    <w:rsid w:val="003966E1"/>
    <w:rPr>
      <w:b/>
      <w:bCs/>
    </w:rPr>
  </w:style>
  <w:style w:type="character" w:customStyle="1" w:styleId="CommentSubjectChar">
    <w:name w:val="Comment Subject Char"/>
    <w:basedOn w:val="CommentTextChar"/>
    <w:link w:val="CommentSubject"/>
    <w:uiPriority w:val="99"/>
    <w:semiHidden/>
    <w:rsid w:val="003966E1"/>
    <w:rPr>
      <w:b/>
      <w:bCs/>
    </w:rPr>
  </w:style>
  <w:style w:type="paragraph" w:customStyle="1" w:styleId="section">
    <w:name w:val="section"/>
    <w:basedOn w:val="Normal"/>
    <w:rsid w:val="003966E1"/>
    <w:pPr>
      <w:spacing w:before="168" w:after="120"/>
      <w:ind w:firstLine="360"/>
    </w:pPr>
    <w:rPr>
      <w:szCs w:val="24"/>
      <w:lang w:val="en-US" w:eastAsia="en-US"/>
    </w:rPr>
  </w:style>
  <w:style w:type="paragraph" w:customStyle="1" w:styleId="paragraph">
    <w:name w:val="paragraph"/>
    <w:basedOn w:val="Normal"/>
    <w:rsid w:val="003966E1"/>
    <w:pPr>
      <w:spacing w:before="168" w:after="120"/>
      <w:ind w:left="360"/>
    </w:pPr>
    <w:rPr>
      <w:szCs w:val="24"/>
      <w:lang w:val="en-US" w:eastAsia="en-US"/>
    </w:rPr>
  </w:style>
  <w:style w:type="character" w:customStyle="1" w:styleId="sectionlabel">
    <w:name w:val="sectionlabel"/>
    <w:basedOn w:val="DefaultParagraphFont"/>
    <w:rsid w:val="003966E1"/>
    <w:rPr>
      <w:b/>
      <w:bCs/>
    </w:rPr>
  </w:style>
  <w:style w:type="character" w:styleId="Emphasis">
    <w:name w:val="Emphasis"/>
    <w:basedOn w:val="DefaultParagraphFont"/>
    <w:uiPriority w:val="20"/>
    <w:qFormat/>
    <w:rsid w:val="003966E1"/>
    <w:rPr>
      <w:i/>
      <w:iCs/>
    </w:rPr>
  </w:style>
  <w:style w:type="paragraph" w:styleId="FootnoteText">
    <w:name w:val="footnote text"/>
    <w:basedOn w:val="Normal"/>
    <w:link w:val="FootnoteTextChar"/>
    <w:uiPriority w:val="99"/>
    <w:semiHidden/>
    <w:unhideWhenUsed/>
    <w:rsid w:val="003966E1"/>
    <w:rPr>
      <w:sz w:val="20"/>
    </w:rPr>
  </w:style>
  <w:style w:type="character" w:customStyle="1" w:styleId="FootnoteTextChar">
    <w:name w:val="Footnote Text Char"/>
    <w:basedOn w:val="DefaultParagraphFont"/>
    <w:link w:val="FootnoteText"/>
    <w:uiPriority w:val="99"/>
    <w:semiHidden/>
    <w:rsid w:val="003966E1"/>
  </w:style>
  <w:style w:type="character" w:styleId="FootnoteReference">
    <w:name w:val="footnote reference"/>
    <w:basedOn w:val="DefaultParagraphFont"/>
    <w:uiPriority w:val="99"/>
    <w:semiHidden/>
    <w:unhideWhenUsed/>
    <w:rsid w:val="003966E1"/>
    <w:rPr>
      <w:vertAlign w:val="superscript"/>
    </w:rPr>
  </w:style>
  <w:style w:type="paragraph" w:styleId="Revision">
    <w:name w:val="Revision"/>
    <w:hidden/>
    <w:uiPriority w:val="99"/>
    <w:semiHidden/>
    <w:rsid w:val="003966E1"/>
    <w:rPr>
      <w:sz w:val="24"/>
      <w:szCs w:val="24"/>
    </w:rPr>
  </w:style>
  <w:style w:type="character" w:styleId="FollowedHyperlink">
    <w:name w:val="FollowedHyperlink"/>
    <w:basedOn w:val="DefaultParagraphFont"/>
    <w:uiPriority w:val="99"/>
    <w:semiHidden/>
    <w:unhideWhenUsed/>
    <w:rsid w:val="003966E1"/>
    <w:rPr>
      <w:color w:val="800080" w:themeColor="followedHyperlink"/>
      <w:u w:val="single"/>
    </w:rPr>
  </w:style>
  <w:style w:type="paragraph" w:styleId="EndnoteText">
    <w:name w:val="endnote text"/>
    <w:basedOn w:val="Normal"/>
    <w:link w:val="EndnoteTextChar"/>
    <w:uiPriority w:val="99"/>
    <w:semiHidden/>
    <w:unhideWhenUsed/>
    <w:rsid w:val="003966E1"/>
    <w:rPr>
      <w:sz w:val="20"/>
    </w:rPr>
  </w:style>
  <w:style w:type="character" w:customStyle="1" w:styleId="EndnoteTextChar">
    <w:name w:val="Endnote Text Char"/>
    <w:basedOn w:val="DefaultParagraphFont"/>
    <w:link w:val="EndnoteText"/>
    <w:uiPriority w:val="99"/>
    <w:semiHidden/>
    <w:rsid w:val="003966E1"/>
  </w:style>
  <w:style w:type="character" w:styleId="EndnoteReference">
    <w:name w:val="endnote reference"/>
    <w:basedOn w:val="DefaultParagraphFont"/>
    <w:uiPriority w:val="99"/>
    <w:semiHidden/>
    <w:unhideWhenUsed/>
    <w:rsid w:val="003966E1"/>
    <w:rPr>
      <w:vertAlign w:val="superscript"/>
    </w:rPr>
  </w:style>
  <w:style w:type="table" w:customStyle="1" w:styleId="TableGrid2">
    <w:name w:val="Table Grid2"/>
    <w:basedOn w:val="TableNormal"/>
    <w:next w:val="TableGrid"/>
    <w:uiPriority w:val="59"/>
    <w:rsid w:val="003966E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FD2FD7"/>
    <w:rPr>
      <w:lang w:val="fr-CA"/>
    </w:rPr>
  </w:style>
  <w:style w:type="paragraph" w:customStyle="1" w:styleId="SCCLsocPrefix">
    <w:name w:val="SCC.Lsoc.Prefix"/>
    <w:basedOn w:val="Normal"/>
    <w:next w:val="Normal"/>
    <w:link w:val="SCCLsocPrefixChar"/>
    <w:rsid w:val="00FD2FD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D2FD7"/>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369AD-EADB-4BCD-8CBA-A3CF5AD2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9755</Words>
  <Characters>51652</Characters>
  <Application>Microsoft Office Word</Application>
  <DocSecurity>0</DocSecurity>
  <Lines>430</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2014-04-14T20:49:00Z</dcterms:created>
  <dcterms:modified xsi:type="dcterms:W3CDTF">2014-09-18T19:52:00Z</dcterms:modified>
</cp:coreProperties>
</file>