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11" w:rsidRDefault="00346A11" w:rsidP="00346A11">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5pt" o:ole="">
            <v:imagedata r:id="rId8" o:title=""/>
          </v:shape>
          <o:OLEObject Type="Embed" ProgID="Presentations.Drawing.13" ShapeID="_x0000_i1025" DrawAspect="Content" ObjectID="_1472628485" r:id="rId9"/>
        </w:object>
      </w:r>
      <w:r>
        <w:t xml:space="preserve"> </w:t>
      </w:r>
      <w:r>
        <w:ptab w:relativeTo="margin" w:alignment="right" w:leader="none"/>
      </w:r>
    </w:p>
    <w:p w:rsidR="00346A11" w:rsidRDefault="00346A11" w:rsidP="00346A11">
      <w:pPr>
        <w:pStyle w:val="Header"/>
      </w:pPr>
    </w:p>
    <w:p w:rsidR="00346A11" w:rsidRPr="001E12E2" w:rsidRDefault="00346A11" w:rsidP="00346A11">
      <w:pPr>
        <w:jc w:val="center"/>
        <w:rPr>
          <w:b/>
        </w:rPr>
      </w:pPr>
      <w:r w:rsidRPr="001E12E2">
        <w:rPr>
          <w:b/>
        </w:rPr>
        <w:t>COUR SUPRÊME DU CANADA</w:t>
      </w:r>
    </w:p>
    <w:p w:rsidR="00346A11" w:rsidRDefault="00346A11" w:rsidP="00346A11"/>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46A11" w:rsidRPr="001E12E2" w:rsidTr="0051112B">
        <w:trPr>
          <w:cantSplit/>
        </w:trPr>
        <w:tc>
          <w:tcPr>
            <w:tcW w:w="6768" w:type="dxa"/>
          </w:tcPr>
          <w:p w:rsidR="00346A11" w:rsidRPr="00346A11" w:rsidRDefault="00346A11" w:rsidP="0051112B">
            <w:pPr>
              <w:rPr>
                <w:lang w:val="fr-CA"/>
              </w:rPr>
            </w:pPr>
            <w:r w:rsidRPr="00346A11">
              <w:rPr>
                <w:b/>
                <w:smallCaps/>
                <w:lang w:val="fr-CA"/>
              </w:rPr>
              <w:t>Référence :</w:t>
            </w:r>
            <w:r w:rsidRPr="00346A11">
              <w:rPr>
                <w:lang w:val="fr-CA"/>
              </w:rPr>
              <w:t xml:space="preserve"> R. </w:t>
            </w:r>
            <w:r w:rsidRPr="00346A11">
              <w:rPr>
                <w:i/>
                <w:lang w:val="fr-CA"/>
              </w:rPr>
              <w:t>c.</w:t>
            </w:r>
            <w:r w:rsidRPr="00346A11">
              <w:rPr>
                <w:lang w:val="fr-CA"/>
              </w:rPr>
              <w:t xml:space="preserve"> Clarke, 2014 CSC 28</w:t>
            </w:r>
            <w:r w:rsidR="00901B3C">
              <w:rPr>
                <w:lang w:val="fr-CA"/>
              </w:rPr>
              <w:t>, [2014] 1 R.C.S. 612</w:t>
            </w:r>
          </w:p>
        </w:tc>
        <w:tc>
          <w:tcPr>
            <w:tcW w:w="2808" w:type="dxa"/>
          </w:tcPr>
          <w:p w:rsidR="00346A11" w:rsidRPr="001E12E2" w:rsidRDefault="00346A11" w:rsidP="0051112B">
            <w:r w:rsidRPr="001E12E2">
              <w:rPr>
                <w:b/>
                <w:smallCaps/>
              </w:rPr>
              <w:t>Date</w:t>
            </w:r>
            <w:r>
              <w:rPr>
                <w:b/>
                <w:smallCaps/>
              </w:rPr>
              <w:t> :</w:t>
            </w:r>
            <w:r w:rsidRPr="001E12E2">
              <w:t xml:space="preserve"> </w:t>
            </w:r>
            <w:r>
              <w:t>20140411</w:t>
            </w:r>
          </w:p>
          <w:p w:rsidR="00346A11" w:rsidRPr="001E12E2" w:rsidRDefault="00346A11" w:rsidP="0051112B">
            <w:r w:rsidRPr="001E12E2">
              <w:rPr>
                <w:b/>
                <w:smallCaps/>
              </w:rPr>
              <w:t>Do</w:t>
            </w:r>
            <w:r>
              <w:rPr>
                <w:b/>
                <w:smallCaps/>
              </w:rPr>
              <w:t>ssier :</w:t>
            </w:r>
            <w:r w:rsidRPr="001E12E2">
              <w:t xml:space="preserve"> </w:t>
            </w:r>
            <w:r>
              <w:t>35487</w:t>
            </w:r>
          </w:p>
        </w:tc>
      </w:tr>
    </w:tbl>
    <w:p w:rsidR="00346A11" w:rsidRDefault="00346A11" w:rsidP="00346A11">
      <w:pPr>
        <w:pStyle w:val="SCCLsocPrefix"/>
      </w:pPr>
      <w:r>
        <w:t>Entre :</w:t>
      </w:r>
    </w:p>
    <w:p w:rsidR="00346A11" w:rsidRDefault="00346A11" w:rsidP="00346A11">
      <w:pPr>
        <w:pStyle w:val="SCCLsocParty"/>
        <w:jc w:val="center"/>
      </w:pPr>
      <w:r>
        <w:t>Calvin Clarke</w:t>
      </w:r>
    </w:p>
    <w:p w:rsidR="00346A11" w:rsidRDefault="00346A11" w:rsidP="00346A11">
      <w:pPr>
        <w:jc w:val="center"/>
      </w:pPr>
      <w:proofErr w:type="spellStart"/>
      <w:r>
        <w:t>Appelant</w:t>
      </w:r>
      <w:proofErr w:type="spellEnd"/>
    </w:p>
    <w:p w:rsidR="00346A11" w:rsidRPr="007753DA" w:rsidRDefault="00346A11" w:rsidP="00346A11">
      <w:pPr>
        <w:jc w:val="center"/>
      </w:pPr>
    </w:p>
    <w:p w:rsidR="00346A11" w:rsidRDefault="00346A11" w:rsidP="00346A11">
      <w:pPr>
        <w:pStyle w:val="SCCLsocVersus"/>
        <w:jc w:val="center"/>
      </w:pPr>
      <w:proofErr w:type="gramStart"/>
      <w:r>
        <w:t>et</w:t>
      </w:r>
      <w:proofErr w:type="gramEnd"/>
    </w:p>
    <w:p w:rsidR="00346A11" w:rsidRDefault="00346A11" w:rsidP="00346A11">
      <w:pPr>
        <w:pStyle w:val="SCCLsocParty"/>
        <w:jc w:val="center"/>
      </w:pPr>
    </w:p>
    <w:p w:rsidR="00346A11" w:rsidRDefault="00346A11" w:rsidP="00346A11">
      <w:pPr>
        <w:pStyle w:val="SCCLsocParty"/>
        <w:jc w:val="center"/>
      </w:pPr>
      <w:r>
        <w:t xml:space="preserve">Sa </w:t>
      </w:r>
      <w:proofErr w:type="spellStart"/>
      <w:r>
        <w:t>Majesté</w:t>
      </w:r>
      <w:proofErr w:type="spellEnd"/>
      <w:r>
        <w:t xml:space="preserve"> la </w:t>
      </w:r>
      <w:proofErr w:type="spellStart"/>
      <w:r>
        <w:t>Reine</w:t>
      </w:r>
      <w:proofErr w:type="spellEnd"/>
    </w:p>
    <w:p w:rsidR="00346A11" w:rsidRPr="00346A11" w:rsidRDefault="00346A11" w:rsidP="00346A11">
      <w:pPr>
        <w:jc w:val="center"/>
        <w:rPr>
          <w:lang w:val="fr-CA"/>
        </w:rPr>
      </w:pPr>
      <w:r w:rsidRPr="00346A11">
        <w:rPr>
          <w:lang w:val="fr-CA"/>
        </w:rPr>
        <w:t>Intimée</w:t>
      </w:r>
    </w:p>
    <w:p w:rsidR="00346A11" w:rsidRPr="00346A11" w:rsidRDefault="00346A11" w:rsidP="00346A11">
      <w:pPr>
        <w:jc w:val="center"/>
        <w:rPr>
          <w:lang w:val="fr-CA"/>
        </w:rPr>
      </w:pPr>
    </w:p>
    <w:p w:rsidR="00346A11" w:rsidRPr="00346A11" w:rsidRDefault="00346A11" w:rsidP="00346A11">
      <w:pPr>
        <w:rPr>
          <w:lang w:val="fr-CA"/>
        </w:rPr>
      </w:pPr>
    </w:p>
    <w:p w:rsidR="00346A11" w:rsidRPr="00346A11" w:rsidRDefault="00346A11" w:rsidP="00346A11">
      <w:pPr>
        <w:jc w:val="center"/>
        <w:rPr>
          <w:b/>
          <w:smallCaps/>
          <w:lang w:val="fr-CA"/>
        </w:rPr>
      </w:pPr>
      <w:r w:rsidRPr="00346A11">
        <w:rPr>
          <w:b/>
          <w:smallCaps/>
          <w:lang w:val="fr-CA"/>
        </w:rPr>
        <w:t>Traduction française officielle</w:t>
      </w:r>
    </w:p>
    <w:p w:rsidR="00346A11" w:rsidRPr="00346A11" w:rsidRDefault="00346A11" w:rsidP="00346A11">
      <w:pPr>
        <w:rPr>
          <w:lang w:val="fr-CA"/>
        </w:rPr>
      </w:pPr>
    </w:p>
    <w:p w:rsidR="00346A11" w:rsidRPr="00346A11" w:rsidRDefault="00346A11" w:rsidP="00346A11">
      <w:pPr>
        <w:rPr>
          <w:b/>
          <w:smallCaps/>
          <w:lang w:val="fr-CA"/>
        </w:rPr>
      </w:pPr>
    </w:p>
    <w:p w:rsidR="00346A11" w:rsidRPr="00346A11" w:rsidRDefault="00346A11" w:rsidP="00346A11">
      <w:pPr>
        <w:rPr>
          <w:lang w:val="fr-CA"/>
        </w:rPr>
      </w:pPr>
      <w:r w:rsidRPr="00346A11">
        <w:rPr>
          <w:b/>
          <w:smallCaps/>
          <w:lang w:val="fr-CA"/>
        </w:rPr>
        <w:t>Coram :</w:t>
      </w:r>
      <w:r w:rsidRPr="00346A11">
        <w:rPr>
          <w:lang w:val="fr-CA"/>
        </w:rPr>
        <w:t xml:space="preserve"> La juge en chef </w:t>
      </w:r>
      <w:proofErr w:type="spellStart"/>
      <w:r w:rsidRPr="00346A11">
        <w:rPr>
          <w:lang w:val="fr-CA"/>
        </w:rPr>
        <w:t>McLachlin</w:t>
      </w:r>
      <w:proofErr w:type="spellEnd"/>
      <w:r w:rsidRPr="00346A11">
        <w:rPr>
          <w:lang w:val="fr-CA"/>
        </w:rPr>
        <w:t xml:space="preserve"> et les juges </w:t>
      </w:r>
      <w:proofErr w:type="spellStart"/>
      <w:r w:rsidRPr="00346A11">
        <w:rPr>
          <w:lang w:val="fr-CA"/>
        </w:rPr>
        <w:t>LeBel</w:t>
      </w:r>
      <w:proofErr w:type="spellEnd"/>
      <w:r w:rsidRPr="00346A11">
        <w:rPr>
          <w:lang w:val="fr-CA"/>
        </w:rPr>
        <w:t xml:space="preserve">, Abella, </w:t>
      </w:r>
      <w:proofErr w:type="spellStart"/>
      <w:r w:rsidRPr="00346A11">
        <w:rPr>
          <w:lang w:val="fr-CA"/>
        </w:rPr>
        <w:t>Rothstein</w:t>
      </w:r>
      <w:proofErr w:type="spellEnd"/>
      <w:r w:rsidRPr="00346A11">
        <w:rPr>
          <w:lang w:val="fr-CA"/>
        </w:rPr>
        <w:t xml:space="preserve">, Cromwell, </w:t>
      </w:r>
      <w:proofErr w:type="spellStart"/>
      <w:r w:rsidRPr="00346A11">
        <w:rPr>
          <w:lang w:val="fr-CA"/>
        </w:rPr>
        <w:t>Karakatsanis</w:t>
      </w:r>
      <w:proofErr w:type="spellEnd"/>
      <w:r w:rsidRPr="00346A11">
        <w:rPr>
          <w:lang w:val="fr-CA"/>
        </w:rPr>
        <w:t xml:space="preserve"> et Wagner</w:t>
      </w:r>
    </w:p>
    <w:p w:rsidR="00346A11" w:rsidRPr="00346A11" w:rsidRDefault="00346A11" w:rsidP="00346A11">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46A11" w:rsidRPr="00753055" w:rsidTr="0051112B">
        <w:trPr>
          <w:cantSplit/>
        </w:trPr>
        <w:tc>
          <w:tcPr>
            <w:tcW w:w="3618" w:type="dxa"/>
          </w:tcPr>
          <w:p w:rsidR="00346A11" w:rsidRPr="00346A11" w:rsidRDefault="00346A11" w:rsidP="0051112B">
            <w:pPr>
              <w:rPr>
                <w:b/>
                <w:smallCaps/>
                <w:lang w:val="fr-CA"/>
              </w:rPr>
            </w:pPr>
            <w:r w:rsidRPr="00346A11">
              <w:rPr>
                <w:b/>
                <w:smallCaps/>
                <w:lang w:val="fr-CA"/>
              </w:rPr>
              <w:t>Motifs de jugement :</w:t>
            </w:r>
          </w:p>
          <w:p w:rsidR="00346A11" w:rsidRPr="00346A11" w:rsidRDefault="00346A11" w:rsidP="0051112B">
            <w:pPr>
              <w:rPr>
                <w:lang w:val="fr-CA"/>
              </w:rPr>
            </w:pPr>
            <w:r w:rsidRPr="00346A11">
              <w:rPr>
                <w:lang w:val="fr-CA"/>
              </w:rPr>
              <w:t>(par. 1 à 19)</w:t>
            </w:r>
          </w:p>
        </w:tc>
        <w:tc>
          <w:tcPr>
            <w:tcW w:w="5958" w:type="dxa"/>
          </w:tcPr>
          <w:p w:rsidR="00346A11" w:rsidRPr="00346A11" w:rsidRDefault="00346A11" w:rsidP="0051112B">
            <w:pPr>
              <w:rPr>
                <w:lang w:val="fr-CA"/>
              </w:rPr>
            </w:pPr>
            <w:r w:rsidRPr="00346A11">
              <w:rPr>
                <w:lang w:val="fr-CA"/>
              </w:rPr>
              <w:t xml:space="preserve">La juge Abella (avec l’accord de la juge en chef </w:t>
            </w:r>
            <w:proofErr w:type="spellStart"/>
            <w:r w:rsidRPr="00346A11">
              <w:rPr>
                <w:lang w:val="fr-CA"/>
              </w:rPr>
              <w:t>McLachlin</w:t>
            </w:r>
            <w:proofErr w:type="spellEnd"/>
            <w:r w:rsidRPr="00346A11">
              <w:rPr>
                <w:lang w:val="fr-CA"/>
              </w:rPr>
              <w:t xml:space="preserve"> et des juges </w:t>
            </w:r>
            <w:proofErr w:type="spellStart"/>
            <w:r w:rsidRPr="00346A11">
              <w:rPr>
                <w:lang w:val="fr-CA"/>
              </w:rPr>
              <w:t>LeBel</w:t>
            </w:r>
            <w:proofErr w:type="spellEnd"/>
            <w:r w:rsidRPr="00346A11">
              <w:rPr>
                <w:lang w:val="fr-CA"/>
              </w:rPr>
              <w:t xml:space="preserve">, </w:t>
            </w:r>
            <w:proofErr w:type="spellStart"/>
            <w:r w:rsidRPr="00346A11">
              <w:rPr>
                <w:lang w:val="fr-CA"/>
              </w:rPr>
              <w:t>Rothstein</w:t>
            </w:r>
            <w:proofErr w:type="spellEnd"/>
            <w:r w:rsidRPr="00346A11">
              <w:rPr>
                <w:lang w:val="fr-CA"/>
              </w:rPr>
              <w:t xml:space="preserve">, Cromwell, </w:t>
            </w:r>
            <w:proofErr w:type="spellStart"/>
            <w:r w:rsidRPr="00346A11">
              <w:rPr>
                <w:lang w:val="fr-CA"/>
              </w:rPr>
              <w:t>Karakatsanis</w:t>
            </w:r>
            <w:proofErr w:type="spellEnd"/>
            <w:r w:rsidRPr="00346A11">
              <w:rPr>
                <w:lang w:val="fr-CA"/>
              </w:rPr>
              <w:t xml:space="preserve"> et Wagner)</w:t>
            </w:r>
          </w:p>
          <w:p w:rsidR="00346A11" w:rsidRPr="00346A11" w:rsidRDefault="00346A11" w:rsidP="0051112B">
            <w:pPr>
              <w:rPr>
                <w:lang w:val="fr-CA"/>
              </w:rPr>
            </w:pPr>
          </w:p>
        </w:tc>
      </w:tr>
    </w:tbl>
    <w:p w:rsidR="00346A11" w:rsidRDefault="00346A11" w:rsidP="00346A11">
      <w:pPr>
        <w:rPr>
          <w:rStyle w:val="SCCHearingJudgmentDatesTitleChar"/>
        </w:rPr>
      </w:pPr>
    </w:p>
    <w:p w:rsidR="00346A11" w:rsidRDefault="00346A11" w:rsidP="00346A11">
      <w:pPr>
        <w:rPr>
          <w:rStyle w:val="SCCHearingJudgmentDatesTextChar"/>
        </w:rPr>
      </w:pPr>
      <w:r w:rsidRPr="007F7714">
        <w:rPr>
          <w:rStyle w:val="SCCHearingJudgmentDatesTitleChar"/>
        </w:rPr>
        <w:t xml:space="preserve">Appel entendu et jugement rendu : </w:t>
      </w:r>
      <w:r w:rsidRPr="007F7714">
        <w:rPr>
          <w:rStyle w:val="SCCHearingJudgmentDatesTextChar"/>
        </w:rPr>
        <w:t>Le 24 janvier 2014</w:t>
      </w:r>
    </w:p>
    <w:p w:rsidR="00346A11" w:rsidRPr="00346A11" w:rsidRDefault="00346A11" w:rsidP="00346A11">
      <w:pPr>
        <w:rPr>
          <w:lang w:val="fr-CA"/>
        </w:rPr>
      </w:pPr>
    </w:p>
    <w:p w:rsidR="00346A11" w:rsidRPr="00346A11" w:rsidRDefault="00346A11" w:rsidP="00346A11">
      <w:pPr>
        <w:rPr>
          <w:lang w:val="fr-CA"/>
        </w:rPr>
      </w:pPr>
      <w:r w:rsidRPr="007F7714">
        <w:rPr>
          <w:rStyle w:val="SCCHearingJudgmentDatesTitleChar"/>
        </w:rPr>
        <w:t xml:space="preserve">Motifs déposés : </w:t>
      </w:r>
      <w:r w:rsidRPr="007F7714">
        <w:rPr>
          <w:rStyle w:val="SCCHearingJudgmentDatesTextChar"/>
        </w:rPr>
        <w:t>Le 11 avril 2014</w:t>
      </w:r>
    </w:p>
    <w:p w:rsidR="00346A11" w:rsidRPr="00346A11" w:rsidRDefault="00346A11" w:rsidP="00346A11">
      <w:pPr>
        <w:rPr>
          <w:lang w:val="fr-CA"/>
        </w:rPr>
      </w:pPr>
    </w:p>
    <w:p w:rsidR="00346A11" w:rsidRPr="00346A11" w:rsidRDefault="003C2D3F" w:rsidP="00346A11">
      <w:pPr>
        <w:rPr>
          <w:lang w:val="fr-CA"/>
        </w:rPr>
      </w:pPr>
      <w:r w:rsidRPr="003C2D3F">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346A11" w:rsidRPr="00346A11" w:rsidRDefault="00346A11" w:rsidP="00384361">
      <w:pPr>
        <w:spacing w:after="720"/>
        <w:jc w:val="both"/>
        <w:rPr>
          <w:rStyle w:val="SCCAppellantForRunningHeadChar"/>
          <w:smallCaps w:val="0"/>
          <w:lang w:val="fr-CA"/>
        </w:rPr>
      </w:pPr>
    </w:p>
    <w:p w:rsidR="00AD2738" w:rsidRPr="00346A11" w:rsidRDefault="0001419D" w:rsidP="00384361">
      <w:pPr>
        <w:spacing w:after="720"/>
        <w:jc w:val="both"/>
        <w:rPr>
          <w:smallCaps/>
          <w:lang w:val="fr-CA"/>
        </w:rPr>
      </w:pPr>
      <w:r w:rsidRPr="00346A11">
        <w:rPr>
          <w:rStyle w:val="SCCAppellantForRunningHeadChar"/>
          <w:smallCaps w:val="0"/>
          <w:lang w:val="fr-CA"/>
        </w:rPr>
        <w:t>R</w:t>
      </w:r>
      <w:r w:rsidR="00AD2738" w:rsidRPr="00346A11">
        <w:rPr>
          <w:rStyle w:val="SCCAppellantForRunningHeadChar"/>
          <w:smallCaps w:val="0"/>
          <w:lang w:val="fr-CA"/>
        </w:rPr>
        <w:t xml:space="preserve">. </w:t>
      </w:r>
      <w:r w:rsidR="00AD2738" w:rsidRPr="00346A11">
        <w:rPr>
          <w:i/>
          <w:lang w:val="fr-CA"/>
        </w:rPr>
        <w:t>c.</w:t>
      </w:r>
      <w:r w:rsidR="00AD2738" w:rsidRPr="00346A11">
        <w:rPr>
          <w:smallCaps/>
          <w:lang w:val="fr-CA"/>
        </w:rPr>
        <w:t xml:space="preserve"> </w:t>
      </w:r>
      <w:r w:rsidRPr="00346A11">
        <w:rPr>
          <w:rStyle w:val="SCCAppellantForRunningHeadChar"/>
          <w:smallCaps w:val="0"/>
          <w:lang w:val="fr-CA"/>
        </w:rPr>
        <w:t>C</w:t>
      </w:r>
      <w:r w:rsidR="00AD2738" w:rsidRPr="00346A11">
        <w:rPr>
          <w:rStyle w:val="SCCAppellantForRunningHeadChar"/>
          <w:smallCaps w:val="0"/>
          <w:lang w:val="fr-CA"/>
        </w:rPr>
        <w:t>larke</w:t>
      </w:r>
      <w:r w:rsidRPr="00346A11">
        <w:rPr>
          <w:rStyle w:val="SCCAppellantForRunningHeadChar"/>
          <w:smallCaps w:val="0"/>
          <w:lang w:val="fr-CA"/>
        </w:rPr>
        <w:t>, 2014 CSC 28, [2014] 1 R.C.S. 612</w:t>
      </w:r>
    </w:p>
    <w:p w:rsidR="00AD2738" w:rsidRPr="00581365" w:rsidRDefault="00AD2738" w:rsidP="00384361">
      <w:pPr>
        <w:pStyle w:val="SCCLsocLastPartyInRole"/>
        <w:rPr>
          <w:lang w:val="fr-CA"/>
        </w:rPr>
      </w:pPr>
      <w:r w:rsidRPr="00581365">
        <w:rPr>
          <w:lang w:val="fr-CA"/>
        </w:rPr>
        <w:lastRenderedPageBreak/>
        <w:t>Calvin Clarke</w:t>
      </w:r>
      <w:r w:rsidRPr="00581365">
        <w:rPr>
          <w:rStyle w:val="SCCLsocPartyRole"/>
          <w:lang w:val="fr-CA"/>
        </w:rPr>
        <w:tab/>
        <w:t>Appelant</w:t>
      </w:r>
    </w:p>
    <w:p w:rsidR="00AD2738" w:rsidRPr="00581365" w:rsidRDefault="00AD2738" w:rsidP="00384361">
      <w:pPr>
        <w:pStyle w:val="SCCLsocVersus"/>
        <w:rPr>
          <w:lang w:val="fr-CA"/>
        </w:rPr>
      </w:pPr>
      <w:proofErr w:type="gramStart"/>
      <w:r w:rsidRPr="00581365">
        <w:rPr>
          <w:lang w:val="fr-CA"/>
        </w:rPr>
        <w:t>c</w:t>
      </w:r>
      <w:proofErr w:type="gramEnd"/>
      <w:r w:rsidRPr="00581365">
        <w:rPr>
          <w:lang w:val="fr-CA"/>
        </w:rPr>
        <w:t>.</w:t>
      </w:r>
    </w:p>
    <w:p w:rsidR="00AD2738" w:rsidRPr="00581365" w:rsidRDefault="00AD2738" w:rsidP="00384361">
      <w:pPr>
        <w:pStyle w:val="SCCLsocLastPartyInRole"/>
        <w:rPr>
          <w:lang w:val="fr-CA"/>
        </w:rPr>
      </w:pPr>
      <w:r w:rsidRPr="00581365">
        <w:rPr>
          <w:lang w:val="fr-CA"/>
        </w:rPr>
        <w:t>Sa Majesté la Reine</w:t>
      </w:r>
      <w:r w:rsidRPr="00581365">
        <w:rPr>
          <w:rStyle w:val="SCCLsocPartyRole"/>
          <w:lang w:val="fr-CA"/>
        </w:rPr>
        <w:tab/>
        <w:t>Intimée</w:t>
      </w:r>
    </w:p>
    <w:p w:rsidR="00AD2738" w:rsidRPr="00581365" w:rsidRDefault="00AD2738" w:rsidP="00384361">
      <w:pPr>
        <w:spacing w:after="720"/>
        <w:jc w:val="both"/>
        <w:rPr>
          <w:b/>
          <w:lang w:val="fr-CA"/>
        </w:rPr>
      </w:pPr>
      <w:r w:rsidRPr="00581365">
        <w:rPr>
          <w:b/>
          <w:lang w:val="fr-CA"/>
        </w:rPr>
        <w:t>Répertorié</w:t>
      </w:r>
      <w:r w:rsidR="00157FEF" w:rsidRPr="00581365">
        <w:rPr>
          <w:b/>
          <w:lang w:val="fr-CA"/>
        </w:rPr>
        <w:t> :</w:t>
      </w:r>
      <w:r w:rsidRPr="00581365">
        <w:rPr>
          <w:b/>
          <w:lang w:val="fr-CA"/>
        </w:rPr>
        <w:t xml:space="preserve"> R. </w:t>
      </w:r>
      <w:r w:rsidRPr="00581365">
        <w:rPr>
          <w:b/>
          <w:i/>
          <w:lang w:val="fr-CA"/>
        </w:rPr>
        <w:t>c.</w:t>
      </w:r>
      <w:r w:rsidRPr="00581365">
        <w:rPr>
          <w:b/>
          <w:lang w:val="fr-CA"/>
        </w:rPr>
        <w:t xml:space="preserve"> </w:t>
      </w:r>
      <w:r w:rsidRPr="00581365">
        <w:rPr>
          <w:rStyle w:val="SCCAppellantForIndexChar"/>
          <w:lang w:val="fr-CA"/>
        </w:rPr>
        <w:t>Clarke</w:t>
      </w:r>
    </w:p>
    <w:p w:rsidR="00AD2738" w:rsidRPr="00581365" w:rsidRDefault="00AD2738" w:rsidP="00384361">
      <w:pPr>
        <w:pStyle w:val="SCCSystemYear"/>
        <w:spacing w:after="720"/>
        <w:jc w:val="both"/>
        <w:rPr>
          <w:lang w:val="fr-CA"/>
        </w:rPr>
      </w:pPr>
      <w:r w:rsidRPr="00581365">
        <w:rPr>
          <w:lang w:val="fr-CA"/>
        </w:rPr>
        <w:t>2014</w:t>
      </w:r>
      <w:r w:rsidR="00F626BD" w:rsidRPr="00581365">
        <w:rPr>
          <w:lang w:val="fr-CA"/>
        </w:rPr>
        <w:t xml:space="preserve"> CSC 28</w:t>
      </w:r>
    </w:p>
    <w:p w:rsidR="00AD2738" w:rsidRPr="00581365" w:rsidRDefault="00AD2738" w:rsidP="00384361">
      <w:pPr>
        <w:spacing w:after="720"/>
        <w:jc w:val="both"/>
        <w:rPr>
          <w:lang w:val="fr-CA"/>
        </w:rPr>
      </w:pPr>
      <w:r w:rsidRPr="00581365">
        <w:rPr>
          <w:lang w:val="fr-CA"/>
        </w:rPr>
        <w:t>N</w:t>
      </w:r>
      <w:r w:rsidRPr="00581365">
        <w:rPr>
          <w:vertAlign w:val="superscript"/>
          <w:lang w:val="fr-CA"/>
        </w:rPr>
        <w:t>o</w:t>
      </w:r>
      <w:r w:rsidRPr="00581365">
        <w:rPr>
          <w:lang w:val="fr-CA"/>
        </w:rPr>
        <w:t xml:space="preserve"> du greffe</w:t>
      </w:r>
      <w:r w:rsidR="00157FEF" w:rsidRPr="00581365">
        <w:rPr>
          <w:lang w:val="fr-CA"/>
        </w:rPr>
        <w:t> :</w:t>
      </w:r>
      <w:r w:rsidRPr="00581365">
        <w:rPr>
          <w:lang w:val="fr-CA"/>
        </w:rPr>
        <w:t> 35487.</w:t>
      </w:r>
    </w:p>
    <w:p w:rsidR="00AD2738" w:rsidRPr="00581365" w:rsidRDefault="00AD2738" w:rsidP="00384361">
      <w:pPr>
        <w:spacing w:after="720"/>
        <w:jc w:val="both"/>
        <w:rPr>
          <w:lang w:val="fr-CA"/>
        </w:rPr>
      </w:pPr>
      <w:r w:rsidRPr="00581365">
        <w:rPr>
          <w:lang w:val="fr-CA"/>
        </w:rPr>
        <w:t>Audition et jugement</w:t>
      </w:r>
      <w:r w:rsidR="00157FEF" w:rsidRPr="00581365">
        <w:rPr>
          <w:lang w:val="fr-CA"/>
        </w:rPr>
        <w:t> :</w:t>
      </w:r>
      <w:r w:rsidRPr="00581365">
        <w:rPr>
          <w:lang w:val="fr-CA"/>
        </w:rPr>
        <w:t> 24</w:t>
      </w:r>
      <w:r w:rsidR="00F626BD" w:rsidRPr="00581365">
        <w:rPr>
          <w:lang w:val="fr-CA"/>
        </w:rPr>
        <w:t> </w:t>
      </w:r>
      <w:r w:rsidRPr="00581365">
        <w:rPr>
          <w:lang w:val="fr-CA"/>
        </w:rPr>
        <w:t>janvier</w:t>
      </w:r>
      <w:r w:rsidR="00F626BD" w:rsidRPr="00581365">
        <w:rPr>
          <w:lang w:val="fr-CA"/>
        </w:rPr>
        <w:t> </w:t>
      </w:r>
      <w:r w:rsidRPr="00581365">
        <w:rPr>
          <w:lang w:val="fr-CA"/>
        </w:rPr>
        <w:t>2014.</w:t>
      </w:r>
    </w:p>
    <w:p w:rsidR="00AD2738" w:rsidRPr="00581365" w:rsidRDefault="00AD2738" w:rsidP="00384361">
      <w:pPr>
        <w:spacing w:after="720"/>
        <w:jc w:val="both"/>
        <w:rPr>
          <w:lang w:val="fr-CA"/>
        </w:rPr>
      </w:pPr>
      <w:r w:rsidRPr="00581365">
        <w:rPr>
          <w:lang w:val="fr-CA"/>
        </w:rPr>
        <w:t>Motifs déposés</w:t>
      </w:r>
      <w:r w:rsidR="00157FEF" w:rsidRPr="00581365">
        <w:rPr>
          <w:lang w:val="fr-CA"/>
        </w:rPr>
        <w:t> :</w:t>
      </w:r>
      <w:r w:rsidRPr="00581365">
        <w:rPr>
          <w:lang w:val="fr-CA"/>
        </w:rPr>
        <w:t> </w:t>
      </w:r>
      <w:r w:rsidR="00F626BD" w:rsidRPr="00581365">
        <w:rPr>
          <w:lang w:val="fr-CA"/>
        </w:rPr>
        <w:t>11 avril </w:t>
      </w:r>
      <w:r w:rsidRPr="00581365">
        <w:rPr>
          <w:lang w:val="fr-CA"/>
        </w:rPr>
        <w:t>2014.</w:t>
      </w:r>
    </w:p>
    <w:p w:rsidR="00AD2738" w:rsidRPr="00581365" w:rsidRDefault="00AD2738" w:rsidP="00384361">
      <w:pPr>
        <w:spacing w:after="720"/>
        <w:jc w:val="both"/>
        <w:rPr>
          <w:lang w:val="fr-CA"/>
        </w:rPr>
      </w:pPr>
      <w:r w:rsidRPr="00581365">
        <w:rPr>
          <w:lang w:val="fr-CA"/>
        </w:rPr>
        <w:t>Présents</w:t>
      </w:r>
      <w:r w:rsidR="00157FEF" w:rsidRPr="00581365">
        <w:rPr>
          <w:lang w:val="fr-CA"/>
        </w:rPr>
        <w:t> :</w:t>
      </w:r>
      <w:r w:rsidRPr="00581365">
        <w:rPr>
          <w:lang w:val="fr-CA"/>
        </w:rPr>
        <w:t xml:space="preserve"> La juge en chef McLachlin et les juges </w:t>
      </w:r>
      <w:proofErr w:type="spellStart"/>
      <w:r w:rsidRPr="00581365">
        <w:rPr>
          <w:lang w:val="fr-CA"/>
        </w:rPr>
        <w:t>LeBel</w:t>
      </w:r>
      <w:proofErr w:type="spellEnd"/>
      <w:r w:rsidRPr="00581365">
        <w:rPr>
          <w:lang w:val="fr-CA"/>
        </w:rPr>
        <w:t xml:space="preserve">, Abella, </w:t>
      </w:r>
      <w:proofErr w:type="spellStart"/>
      <w:r w:rsidRPr="00581365">
        <w:rPr>
          <w:lang w:val="fr-CA"/>
        </w:rPr>
        <w:t>Rothstein</w:t>
      </w:r>
      <w:proofErr w:type="spellEnd"/>
      <w:r w:rsidRPr="00581365">
        <w:rPr>
          <w:lang w:val="fr-CA"/>
        </w:rPr>
        <w:t xml:space="preserve">, Cromwell, </w:t>
      </w:r>
      <w:proofErr w:type="spellStart"/>
      <w:r w:rsidRPr="00581365">
        <w:rPr>
          <w:lang w:val="fr-CA"/>
        </w:rPr>
        <w:t>Karakatsanis</w:t>
      </w:r>
      <w:proofErr w:type="spellEnd"/>
      <w:r w:rsidRPr="00581365">
        <w:rPr>
          <w:lang w:val="fr-CA"/>
        </w:rPr>
        <w:t xml:space="preserve"> et Wagner.</w:t>
      </w:r>
    </w:p>
    <w:p w:rsidR="00AD2738" w:rsidRPr="00581365" w:rsidRDefault="00AD2738" w:rsidP="00384361">
      <w:pPr>
        <w:spacing w:after="720"/>
        <w:jc w:val="both"/>
        <w:rPr>
          <w:smallCaps/>
          <w:lang w:val="fr-CA"/>
        </w:rPr>
      </w:pPr>
      <w:r w:rsidRPr="00581365">
        <w:rPr>
          <w:smallCaps/>
          <w:lang w:val="fr-CA"/>
        </w:rPr>
        <w:t>en appel de la cour d’appel de l’</w:t>
      </w:r>
      <w:proofErr w:type="spellStart"/>
      <w:r w:rsidRPr="00581365">
        <w:rPr>
          <w:smallCaps/>
          <w:lang w:val="fr-CA"/>
        </w:rPr>
        <w:t>ontario</w:t>
      </w:r>
      <w:proofErr w:type="spellEnd"/>
    </w:p>
    <w:p w:rsidR="00AD2738" w:rsidRPr="00581365" w:rsidRDefault="00AD2738" w:rsidP="00384361">
      <w:pPr>
        <w:pStyle w:val="SCCNormalDoubleSpacing"/>
        <w:spacing w:before="480" w:after="480"/>
        <w:rPr>
          <w:i/>
          <w:lang w:val="fr-CA"/>
        </w:rPr>
      </w:pPr>
      <w:r w:rsidRPr="00581365">
        <w:rPr>
          <w:lang w:val="fr-CA"/>
        </w:rPr>
        <w:tab/>
      </w:r>
      <w:r w:rsidR="00D82E42" w:rsidRPr="00581365">
        <w:rPr>
          <w:i/>
          <w:lang w:val="fr-CA"/>
        </w:rPr>
        <w:t>Droit criminel</w:t>
      </w:r>
      <w:r w:rsidR="0058121B" w:rsidRPr="00581365">
        <w:rPr>
          <w:i/>
          <w:lang w:val="fr-CA"/>
        </w:rPr>
        <w:t xml:space="preserve"> </w:t>
      </w:r>
      <w:r w:rsidR="00D82E42" w:rsidRPr="00581365">
        <w:rPr>
          <w:lang w:val="fr-CA"/>
        </w:rPr>
        <w:t>—</w:t>
      </w:r>
      <w:r w:rsidR="0058121B" w:rsidRPr="00581365">
        <w:rPr>
          <w:lang w:val="fr-CA"/>
        </w:rPr>
        <w:t xml:space="preserve"> </w:t>
      </w:r>
      <w:r w:rsidR="00D82E42" w:rsidRPr="00581365">
        <w:rPr>
          <w:i/>
          <w:lang w:val="fr-CA"/>
        </w:rPr>
        <w:t xml:space="preserve">Détermination de la peine </w:t>
      </w:r>
      <w:r w:rsidR="00D82E42" w:rsidRPr="00581365">
        <w:rPr>
          <w:lang w:val="fr-CA"/>
        </w:rPr>
        <w:t>—</w:t>
      </w:r>
      <w:r w:rsidR="005D5562" w:rsidRPr="00581365">
        <w:rPr>
          <w:lang w:val="fr-CA"/>
        </w:rPr>
        <w:t xml:space="preserve"> </w:t>
      </w:r>
      <w:r w:rsidR="005D5562" w:rsidRPr="00581365">
        <w:rPr>
          <w:i/>
          <w:lang w:val="fr-CA"/>
        </w:rPr>
        <w:t xml:space="preserve">Législation </w:t>
      </w:r>
      <w:r w:rsidR="00D82E42" w:rsidRPr="00581365">
        <w:rPr>
          <w:lang w:val="fr-CA"/>
        </w:rPr>
        <w:t xml:space="preserve">— </w:t>
      </w:r>
      <w:r w:rsidR="005D5562" w:rsidRPr="00581365">
        <w:rPr>
          <w:i/>
          <w:lang w:val="fr-CA"/>
        </w:rPr>
        <w:t>Interprétation</w:t>
      </w:r>
      <w:r w:rsidR="005D5562" w:rsidRPr="00581365">
        <w:rPr>
          <w:lang w:val="fr-CA"/>
        </w:rPr>
        <w:t xml:space="preserve"> — </w:t>
      </w:r>
      <w:r w:rsidR="00D82E42" w:rsidRPr="00581365">
        <w:rPr>
          <w:i/>
          <w:lang w:val="fr-CA"/>
        </w:rPr>
        <w:t xml:space="preserve">Disposition de la Loi sur l’adéquation de la peine et du crime selon laquelle les modifications apportées au crédit susceptible d’être accordé pour la </w:t>
      </w:r>
      <w:r w:rsidR="003804BD" w:rsidRPr="00581365">
        <w:rPr>
          <w:i/>
          <w:lang w:val="fr-CA"/>
        </w:rPr>
        <w:t xml:space="preserve">détention </w:t>
      </w:r>
      <w:proofErr w:type="spellStart"/>
      <w:r w:rsidR="003804BD" w:rsidRPr="00581365">
        <w:rPr>
          <w:i/>
          <w:lang w:val="fr-CA"/>
        </w:rPr>
        <w:t>présentencielle</w:t>
      </w:r>
      <w:proofErr w:type="spellEnd"/>
      <w:r w:rsidR="003804BD" w:rsidRPr="00581365">
        <w:rPr>
          <w:i/>
          <w:lang w:val="fr-CA"/>
        </w:rPr>
        <w:t xml:space="preserve"> </w:t>
      </w:r>
      <w:r w:rsidR="00D82E42" w:rsidRPr="00581365">
        <w:rPr>
          <w:i/>
          <w:lang w:val="fr-CA"/>
        </w:rPr>
        <w:t xml:space="preserve">« ne s’appliquent qu’à l’égard des personnes inculpées après » l’entrée en vigueur de la </w:t>
      </w:r>
      <w:r w:rsidR="00DA4ECA" w:rsidRPr="00581365">
        <w:rPr>
          <w:i/>
          <w:lang w:val="fr-CA"/>
        </w:rPr>
        <w:t>L</w:t>
      </w:r>
      <w:r w:rsidR="00D82E42" w:rsidRPr="00581365">
        <w:rPr>
          <w:i/>
          <w:lang w:val="fr-CA"/>
        </w:rPr>
        <w:t xml:space="preserve">oi </w:t>
      </w:r>
      <w:r w:rsidR="00D82E42" w:rsidRPr="00581365">
        <w:rPr>
          <w:lang w:val="fr-CA"/>
        </w:rPr>
        <w:t>—</w:t>
      </w:r>
      <w:r w:rsidR="00890636" w:rsidRPr="00581365">
        <w:rPr>
          <w:lang w:val="fr-CA"/>
        </w:rPr>
        <w:t xml:space="preserve"> </w:t>
      </w:r>
      <w:r w:rsidR="006B0A8C" w:rsidRPr="00581365">
        <w:rPr>
          <w:i/>
          <w:lang w:val="fr-CA"/>
        </w:rPr>
        <w:t>I</w:t>
      </w:r>
      <w:r w:rsidR="00D82E42" w:rsidRPr="00581365">
        <w:rPr>
          <w:i/>
          <w:lang w:val="fr-CA"/>
        </w:rPr>
        <w:t xml:space="preserve">nfractions </w:t>
      </w:r>
      <w:r w:rsidR="006B0A8C" w:rsidRPr="00581365">
        <w:rPr>
          <w:i/>
          <w:lang w:val="fr-CA"/>
        </w:rPr>
        <w:t>perpétrées avant</w:t>
      </w:r>
      <w:r w:rsidR="005D5562" w:rsidRPr="00581365">
        <w:rPr>
          <w:i/>
          <w:lang w:val="fr-CA"/>
        </w:rPr>
        <w:t xml:space="preserve"> </w:t>
      </w:r>
      <w:r w:rsidR="00D82E42" w:rsidRPr="00581365">
        <w:rPr>
          <w:i/>
          <w:lang w:val="fr-CA"/>
        </w:rPr>
        <w:t xml:space="preserve">l’entrée en </w:t>
      </w:r>
      <w:r w:rsidR="00D82E42" w:rsidRPr="00581365">
        <w:rPr>
          <w:i/>
          <w:lang w:val="fr-CA"/>
        </w:rPr>
        <w:lastRenderedPageBreak/>
        <w:t xml:space="preserve">vigueur de la Loi, mais </w:t>
      </w:r>
      <w:r w:rsidR="006B0A8C" w:rsidRPr="00581365">
        <w:rPr>
          <w:i/>
          <w:lang w:val="fr-CA"/>
        </w:rPr>
        <w:t xml:space="preserve">accusé </w:t>
      </w:r>
      <w:r w:rsidR="00D82E42" w:rsidRPr="00581365">
        <w:rPr>
          <w:i/>
          <w:lang w:val="fr-CA"/>
        </w:rPr>
        <w:t>inculp</w:t>
      </w:r>
      <w:r w:rsidR="006B0A8C" w:rsidRPr="00581365">
        <w:rPr>
          <w:i/>
          <w:lang w:val="fr-CA"/>
        </w:rPr>
        <w:t xml:space="preserve">é après </w:t>
      </w:r>
      <w:r w:rsidR="001D2880" w:rsidRPr="00581365">
        <w:rPr>
          <w:i/>
          <w:lang w:val="fr-CA"/>
        </w:rPr>
        <w:t>celle-ci</w:t>
      </w:r>
      <w:r w:rsidR="00D82E42" w:rsidRPr="00581365">
        <w:rPr>
          <w:i/>
          <w:lang w:val="fr-CA"/>
        </w:rPr>
        <w:t xml:space="preserve"> </w:t>
      </w:r>
      <w:r w:rsidR="00D82E42" w:rsidRPr="00581365">
        <w:rPr>
          <w:lang w:val="fr-CA"/>
        </w:rPr>
        <w:t>—</w:t>
      </w:r>
      <w:r w:rsidR="00890636" w:rsidRPr="00581365">
        <w:rPr>
          <w:lang w:val="fr-CA"/>
        </w:rPr>
        <w:t xml:space="preserve"> </w:t>
      </w:r>
      <w:r w:rsidR="00157FEF" w:rsidRPr="00581365">
        <w:rPr>
          <w:i/>
          <w:lang w:val="fr-CA"/>
        </w:rPr>
        <w:t>L’article </w:t>
      </w:r>
      <w:r w:rsidR="002B6562" w:rsidRPr="00581365">
        <w:rPr>
          <w:i/>
          <w:lang w:val="fr-CA"/>
        </w:rPr>
        <w:t>5 de la Loi s’applique</w:t>
      </w:r>
      <w:r w:rsidR="001D2880">
        <w:rPr>
          <w:i/>
          <w:lang w:val="fr-CA"/>
        </w:rPr>
        <w:t>-</w:t>
      </w:r>
      <w:r w:rsidR="002B6562" w:rsidRPr="00581365">
        <w:rPr>
          <w:i/>
          <w:lang w:val="fr-CA"/>
        </w:rPr>
        <w:t>t</w:t>
      </w:r>
      <w:r w:rsidR="001D2880">
        <w:rPr>
          <w:i/>
          <w:lang w:val="fr-CA"/>
        </w:rPr>
        <w:t>-</w:t>
      </w:r>
      <w:r w:rsidR="002B6562" w:rsidRPr="00581365">
        <w:rPr>
          <w:i/>
          <w:lang w:val="fr-CA"/>
        </w:rPr>
        <w:t>il seulement aux délinquants inculpés après l’entrée en vigueur des modifications peu importe le moment auquel les infractions ont été commises?</w:t>
      </w:r>
      <w:r w:rsidR="002B6562" w:rsidRPr="00581365">
        <w:rPr>
          <w:lang w:val="fr-CA"/>
        </w:rPr>
        <w:t xml:space="preserve"> — </w:t>
      </w:r>
      <w:r w:rsidR="002B6562" w:rsidRPr="00581365">
        <w:rPr>
          <w:i/>
          <w:lang w:val="fr-CA"/>
        </w:rPr>
        <w:t xml:space="preserve">Loi sur l’adéquation de la peine et du crime, L.C. 2009, </w:t>
      </w:r>
      <w:r w:rsidR="00157FEF" w:rsidRPr="00581365">
        <w:rPr>
          <w:i/>
          <w:lang w:val="fr-CA"/>
        </w:rPr>
        <w:t>ch. </w:t>
      </w:r>
      <w:r w:rsidR="002B6562" w:rsidRPr="00581365">
        <w:rPr>
          <w:i/>
          <w:lang w:val="fr-CA"/>
        </w:rPr>
        <w:t xml:space="preserve">29, </w:t>
      </w:r>
      <w:r w:rsidR="00157FEF" w:rsidRPr="00581365">
        <w:rPr>
          <w:i/>
          <w:lang w:val="fr-CA"/>
        </w:rPr>
        <w:t>art. </w:t>
      </w:r>
      <w:r w:rsidR="002B6562" w:rsidRPr="00581365">
        <w:rPr>
          <w:i/>
          <w:lang w:val="fr-CA"/>
        </w:rPr>
        <w:t>5.</w:t>
      </w:r>
    </w:p>
    <w:p w:rsidR="002B6562" w:rsidRPr="00581365" w:rsidRDefault="00AD2738" w:rsidP="00384361">
      <w:pPr>
        <w:pStyle w:val="SCCNormalDoubleSpacing"/>
        <w:spacing w:before="480" w:after="480"/>
        <w:rPr>
          <w:lang w:val="fr-CA"/>
        </w:rPr>
      </w:pPr>
      <w:r w:rsidRPr="00581365">
        <w:rPr>
          <w:lang w:val="fr-CA"/>
        </w:rPr>
        <w:tab/>
      </w:r>
      <w:r w:rsidR="002B6562" w:rsidRPr="00581365">
        <w:rPr>
          <w:lang w:val="fr-CA"/>
        </w:rPr>
        <w:t xml:space="preserve">L’article 5 de la </w:t>
      </w:r>
      <w:r w:rsidR="002B6562" w:rsidRPr="00581365">
        <w:rPr>
          <w:i/>
          <w:lang w:val="fr-CA"/>
        </w:rPr>
        <w:t>Loi sur l’adéquation de la peine et du crime</w:t>
      </w:r>
      <w:r w:rsidR="002B6562" w:rsidRPr="00581365">
        <w:rPr>
          <w:lang w:val="fr-CA"/>
        </w:rPr>
        <w:t xml:space="preserve"> précise que les limites apportées à l’octroi d’un crédit pour la détention </w:t>
      </w:r>
      <w:proofErr w:type="spellStart"/>
      <w:r w:rsidR="002B6562" w:rsidRPr="00581365">
        <w:rPr>
          <w:lang w:val="fr-CA"/>
        </w:rPr>
        <w:t>présentencielle</w:t>
      </w:r>
      <w:proofErr w:type="spellEnd"/>
      <w:r w:rsidR="002B6562" w:rsidRPr="00581365">
        <w:rPr>
          <w:lang w:val="fr-CA"/>
        </w:rPr>
        <w:t xml:space="preserve"> « ne s’appliquent qu’à l’égard des personnes inculpées après » l’entrée en vigueur de la </w:t>
      </w:r>
      <w:r w:rsidR="002B6562" w:rsidRPr="00BA35C6">
        <w:rPr>
          <w:i/>
          <w:lang w:val="fr-CA"/>
        </w:rPr>
        <w:t>Loi</w:t>
      </w:r>
      <w:r w:rsidR="002B6562" w:rsidRPr="00581365">
        <w:rPr>
          <w:lang w:val="fr-CA"/>
        </w:rPr>
        <w:t>.</w:t>
      </w:r>
      <w:r w:rsidR="002E3974" w:rsidRPr="00581365">
        <w:rPr>
          <w:lang w:val="fr-CA"/>
        </w:rPr>
        <w:t xml:space="preserve"> </w:t>
      </w:r>
      <w:r w:rsidR="002B6562" w:rsidRPr="00581365">
        <w:rPr>
          <w:lang w:val="fr-CA"/>
        </w:rPr>
        <w:t xml:space="preserve"> L’accusé a commis les infractions </w:t>
      </w:r>
      <w:r w:rsidR="00DA4ECA" w:rsidRPr="00581365">
        <w:rPr>
          <w:lang w:val="fr-CA"/>
        </w:rPr>
        <w:t xml:space="preserve">dont il a par la suite été reconnu coupable </w:t>
      </w:r>
      <w:r w:rsidR="002B6562" w:rsidRPr="00581365">
        <w:rPr>
          <w:lang w:val="fr-CA"/>
        </w:rPr>
        <w:t xml:space="preserve">avant l’entrée en vigueur de la </w:t>
      </w:r>
      <w:r w:rsidR="002B6562" w:rsidRPr="00BA35C6">
        <w:rPr>
          <w:i/>
          <w:lang w:val="fr-CA"/>
        </w:rPr>
        <w:t>Loi</w:t>
      </w:r>
      <w:r w:rsidR="002B6562" w:rsidRPr="00581365">
        <w:rPr>
          <w:lang w:val="fr-CA"/>
        </w:rPr>
        <w:t>, mais il a été inculpé</w:t>
      </w:r>
      <w:r w:rsidR="004421E5" w:rsidRPr="00581365">
        <w:rPr>
          <w:lang w:val="fr-CA"/>
        </w:rPr>
        <w:t xml:space="preserve"> après </w:t>
      </w:r>
      <w:r w:rsidR="005D5562" w:rsidRPr="00581365">
        <w:rPr>
          <w:lang w:val="fr-CA"/>
        </w:rPr>
        <w:t>celle-ci</w:t>
      </w:r>
      <w:r w:rsidR="004421E5" w:rsidRPr="00581365">
        <w:rPr>
          <w:lang w:val="fr-CA"/>
        </w:rPr>
        <w:t>.</w:t>
      </w:r>
      <w:r w:rsidR="00157FEF" w:rsidRPr="00581365">
        <w:rPr>
          <w:lang w:val="fr-CA"/>
        </w:rPr>
        <w:t xml:space="preserve"> </w:t>
      </w:r>
      <w:r w:rsidR="004421E5" w:rsidRPr="00581365">
        <w:rPr>
          <w:lang w:val="fr-CA"/>
        </w:rPr>
        <w:t xml:space="preserve"> </w:t>
      </w:r>
      <w:r w:rsidR="005D5562" w:rsidRPr="00581365">
        <w:rPr>
          <w:lang w:val="fr-CA"/>
        </w:rPr>
        <w:t>Il a soutenu que l</w:t>
      </w:r>
      <w:r w:rsidR="003804BD" w:rsidRPr="00581365">
        <w:rPr>
          <w:lang w:val="fr-CA"/>
        </w:rPr>
        <w:t>es</w:t>
      </w:r>
      <w:r w:rsidR="005D5562" w:rsidRPr="00581365">
        <w:rPr>
          <w:lang w:val="fr-CA"/>
        </w:rPr>
        <w:t xml:space="preserve"> limit</w:t>
      </w:r>
      <w:r w:rsidR="003804BD" w:rsidRPr="00581365">
        <w:rPr>
          <w:lang w:val="fr-CA"/>
        </w:rPr>
        <w:t>es</w:t>
      </w:r>
      <w:r w:rsidR="005D5562" w:rsidRPr="00581365">
        <w:rPr>
          <w:lang w:val="fr-CA"/>
        </w:rPr>
        <w:t xml:space="preserve"> ne valai</w:t>
      </w:r>
      <w:r w:rsidR="003804BD" w:rsidRPr="00581365">
        <w:rPr>
          <w:lang w:val="fr-CA"/>
        </w:rPr>
        <w:t>en</w:t>
      </w:r>
      <w:r w:rsidR="005D5562" w:rsidRPr="00581365">
        <w:rPr>
          <w:lang w:val="fr-CA"/>
        </w:rPr>
        <w:t xml:space="preserve">t pas à son égard car les infractions avaient été commises avant l’entrée en vigueur de la </w:t>
      </w:r>
      <w:r w:rsidR="005D5562" w:rsidRPr="00BA35C6">
        <w:rPr>
          <w:i/>
          <w:lang w:val="fr-CA"/>
        </w:rPr>
        <w:t>Loi</w:t>
      </w:r>
      <w:r w:rsidR="005D5562" w:rsidRPr="00581365">
        <w:rPr>
          <w:lang w:val="fr-CA"/>
        </w:rPr>
        <w:t xml:space="preserve">. </w:t>
      </w:r>
      <w:r w:rsidR="002E3974" w:rsidRPr="00581365">
        <w:rPr>
          <w:lang w:val="fr-CA"/>
        </w:rPr>
        <w:t xml:space="preserve"> </w:t>
      </w:r>
      <w:r w:rsidR="005D5562" w:rsidRPr="00581365">
        <w:rPr>
          <w:lang w:val="fr-CA"/>
        </w:rPr>
        <w:t xml:space="preserve">Il n’a pas </w:t>
      </w:r>
      <w:r w:rsidR="00DA4ECA" w:rsidRPr="00581365">
        <w:rPr>
          <w:lang w:val="fr-CA"/>
        </w:rPr>
        <w:t>allégué</w:t>
      </w:r>
      <w:r w:rsidR="005D5562" w:rsidRPr="00581365">
        <w:rPr>
          <w:lang w:val="fr-CA"/>
        </w:rPr>
        <w:t xml:space="preserve"> </w:t>
      </w:r>
      <w:r w:rsidR="00DA4ECA" w:rsidRPr="00581365">
        <w:rPr>
          <w:lang w:val="fr-CA"/>
        </w:rPr>
        <w:t>l’in</w:t>
      </w:r>
      <w:r w:rsidR="005D5562" w:rsidRPr="00581365">
        <w:rPr>
          <w:lang w:val="fr-CA"/>
        </w:rPr>
        <w:t>constitutionnalité</w:t>
      </w:r>
      <w:r w:rsidR="00771E55" w:rsidRPr="00581365">
        <w:rPr>
          <w:lang w:val="fr-CA"/>
        </w:rPr>
        <w:t xml:space="preserve"> de la disposition en cause</w:t>
      </w:r>
      <w:r w:rsidR="005D5562" w:rsidRPr="00581365">
        <w:rPr>
          <w:lang w:val="fr-CA"/>
        </w:rPr>
        <w:t>.</w:t>
      </w:r>
      <w:r w:rsidR="002E3974" w:rsidRPr="00581365">
        <w:rPr>
          <w:lang w:val="fr-CA"/>
        </w:rPr>
        <w:t xml:space="preserve"> </w:t>
      </w:r>
      <w:r w:rsidR="005D5562" w:rsidRPr="00581365">
        <w:rPr>
          <w:lang w:val="fr-CA"/>
        </w:rPr>
        <w:t xml:space="preserve"> </w:t>
      </w:r>
      <w:r w:rsidR="004421E5" w:rsidRPr="00581365">
        <w:rPr>
          <w:lang w:val="fr-CA"/>
        </w:rPr>
        <w:t xml:space="preserve">Le juge de première instance et la Cour d’appel ont statué que </w:t>
      </w:r>
      <w:r w:rsidR="00771E55" w:rsidRPr="00581365">
        <w:rPr>
          <w:lang w:val="fr-CA"/>
        </w:rPr>
        <w:t xml:space="preserve">cette dernière </w:t>
      </w:r>
      <w:r w:rsidR="004421E5" w:rsidRPr="00581365">
        <w:rPr>
          <w:lang w:val="fr-CA"/>
        </w:rPr>
        <w:t xml:space="preserve">s’appliquait </w:t>
      </w:r>
      <w:r w:rsidR="003804BD" w:rsidRPr="00581365">
        <w:rPr>
          <w:lang w:val="fr-CA"/>
        </w:rPr>
        <w:t xml:space="preserve">de manière non </w:t>
      </w:r>
      <w:r w:rsidR="004421E5" w:rsidRPr="00581365">
        <w:rPr>
          <w:lang w:val="fr-CA"/>
        </w:rPr>
        <w:t>équivoque.</w:t>
      </w:r>
    </w:p>
    <w:p w:rsidR="00AD2738" w:rsidRPr="00581365" w:rsidRDefault="00AD2738" w:rsidP="00384361">
      <w:pPr>
        <w:pStyle w:val="SCCNormalDoubleSpacing"/>
        <w:spacing w:before="480" w:after="480"/>
        <w:rPr>
          <w:lang w:val="fr-CA"/>
        </w:rPr>
      </w:pPr>
      <w:r w:rsidRPr="00581365">
        <w:rPr>
          <w:lang w:val="fr-CA"/>
        </w:rPr>
        <w:tab/>
      </w:r>
      <w:r w:rsidRPr="00581365">
        <w:rPr>
          <w:i/>
          <w:lang w:val="fr-CA"/>
        </w:rPr>
        <w:t>Arrêt</w:t>
      </w:r>
      <w:r w:rsidR="00157FEF" w:rsidRPr="00581365">
        <w:rPr>
          <w:lang w:val="fr-CA"/>
        </w:rPr>
        <w:t> :</w:t>
      </w:r>
      <w:r w:rsidRPr="00581365">
        <w:rPr>
          <w:lang w:val="fr-CA"/>
        </w:rPr>
        <w:t xml:space="preserve"> Le pourvoi est</w:t>
      </w:r>
      <w:r w:rsidR="002B6562" w:rsidRPr="00581365">
        <w:rPr>
          <w:lang w:val="fr-CA"/>
        </w:rPr>
        <w:t xml:space="preserve"> rejeté.</w:t>
      </w:r>
    </w:p>
    <w:p w:rsidR="00DD7209" w:rsidRPr="00581365" w:rsidRDefault="00AD2738" w:rsidP="00384361">
      <w:pPr>
        <w:pStyle w:val="SCCNormalDoubleSpacing"/>
        <w:spacing w:before="480" w:after="480"/>
        <w:rPr>
          <w:lang w:val="fr-CA"/>
        </w:rPr>
      </w:pPr>
      <w:r w:rsidRPr="00581365">
        <w:rPr>
          <w:lang w:val="fr-CA"/>
        </w:rPr>
        <w:tab/>
      </w:r>
      <w:r w:rsidR="00DD7209" w:rsidRPr="00581365">
        <w:rPr>
          <w:lang w:val="fr-CA"/>
        </w:rPr>
        <w:t xml:space="preserve">Il est vrai qu’une disposition nouvelle sur la détermination de la peine </w:t>
      </w:r>
      <w:r w:rsidR="00DA4ECA" w:rsidRPr="00581365">
        <w:rPr>
          <w:lang w:val="fr-CA"/>
        </w:rPr>
        <w:t xml:space="preserve">est </w:t>
      </w:r>
      <w:r w:rsidR="00DD7209" w:rsidRPr="00581365">
        <w:rPr>
          <w:lang w:val="fr-CA"/>
        </w:rPr>
        <w:t xml:space="preserve">présumée ne pas s’appliquer rétrospectivement, mais </w:t>
      </w:r>
      <w:r w:rsidR="00DA4ECA" w:rsidRPr="00581365">
        <w:rPr>
          <w:lang w:val="fr-CA"/>
        </w:rPr>
        <w:t xml:space="preserve">à défaut d’une contestation constitutionnelle, </w:t>
      </w:r>
      <w:r w:rsidR="00DD7209" w:rsidRPr="00581365">
        <w:rPr>
          <w:lang w:val="fr-CA"/>
        </w:rPr>
        <w:t xml:space="preserve">la présomption peut être écartée par </w:t>
      </w:r>
      <w:r w:rsidR="003804BD" w:rsidRPr="00581365">
        <w:rPr>
          <w:lang w:val="fr-CA"/>
        </w:rPr>
        <w:t xml:space="preserve">la </w:t>
      </w:r>
      <w:r w:rsidR="00DD7209" w:rsidRPr="00581365">
        <w:rPr>
          <w:lang w:val="fr-CA"/>
        </w:rPr>
        <w:t>manifestation claire de l’intention du législateur de conférer un effet rétrospectif à la disposition.</w:t>
      </w:r>
      <w:r w:rsidR="002E3974" w:rsidRPr="00581365">
        <w:rPr>
          <w:lang w:val="fr-CA"/>
        </w:rPr>
        <w:t xml:space="preserve"> </w:t>
      </w:r>
      <w:r w:rsidR="00DD7209" w:rsidRPr="00581365">
        <w:rPr>
          <w:lang w:val="fr-CA"/>
        </w:rPr>
        <w:t xml:space="preserve"> En l’espèce, le libellé </w:t>
      </w:r>
      <w:r w:rsidR="00DA4ECA" w:rsidRPr="00581365">
        <w:rPr>
          <w:lang w:val="fr-CA"/>
        </w:rPr>
        <w:t xml:space="preserve">de l’art. 5 de la </w:t>
      </w:r>
      <w:r w:rsidR="00DA4ECA" w:rsidRPr="00581365">
        <w:rPr>
          <w:i/>
          <w:lang w:val="fr-CA"/>
        </w:rPr>
        <w:t>Loi sur l’adéquation de la peine et du crime</w:t>
      </w:r>
      <w:r w:rsidR="00DA4ECA" w:rsidRPr="00581365">
        <w:rPr>
          <w:lang w:val="fr-CA"/>
        </w:rPr>
        <w:t xml:space="preserve"> n’</w:t>
      </w:r>
      <w:r w:rsidR="00DD7209" w:rsidRPr="00581365">
        <w:rPr>
          <w:lang w:val="fr-CA"/>
        </w:rPr>
        <w:t>est</w:t>
      </w:r>
      <w:r w:rsidR="00DA4ECA" w:rsidRPr="00581365">
        <w:rPr>
          <w:lang w:val="fr-CA"/>
        </w:rPr>
        <w:t xml:space="preserve"> pas ambigu</w:t>
      </w:r>
      <w:r w:rsidR="00DD7209" w:rsidRPr="00581365">
        <w:rPr>
          <w:lang w:val="fr-CA"/>
        </w:rPr>
        <w:t xml:space="preserve">. </w:t>
      </w:r>
      <w:r w:rsidR="002E3974" w:rsidRPr="00581365">
        <w:rPr>
          <w:lang w:val="fr-CA"/>
        </w:rPr>
        <w:t xml:space="preserve"> </w:t>
      </w:r>
      <w:r w:rsidR="00DD7209" w:rsidRPr="00581365">
        <w:rPr>
          <w:lang w:val="fr-CA"/>
        </w:rPr>
        <w:t xml:space="preserve">Lorsque la mesure législative est </w:t>
      </w:r>
      <w:r w:rsidR="003804BD" w:rsidRPr="00581365">
        <w:rPr>
          <w:lang w:val="fr-CA"/>
        </w:rPr>
        <w:t>non</w:t>
      </w:r>
      <w:r w:rsidR="00DD7209" w:rsidRPr="00581365">
        <w:rPr>
          <w:lang w:val="fr-CA"/>
        </w:rPr>
        <w:t xml:space="preserve"> équivoque, le tribunal doit donner effet à l’intention manifeste du législateur.</w:t>
      </w:r>
      <w:r w:rsidR="002E3974" w:rsidRPr="00581365">
        <w:rPr>
          <w:lang w:val="fr-CA"/>
        </w:rPr>
        <w:t xml:space="preserve"> </w:t>
      </w:r>
      <w:r w:rsidR="00DD7209" w:rsidRPr="00581365">
        <w:rPr>
          <w:lang w:val="fr-CA"/>
        </w:rPr>
        <w:t xml:space="preserve"> </w:t>
      </w:r>
      <w:r w:rsidR="00DA4ECA" w:rsidRPr="00581365">
        <w:rPr>
          <w:lang w:val="fr-CA"/>
        </w:rPr>
        <w:t xml:space="preserve">L’absence d’ambiguïté fait obstacle au </w:t>
      </w:r>
      <w:r w:rsidR="00DA4ECA" w:rsidRPr="00581365">
        <w:rPr>
          <w:lang w:val="fr-CA"/>
        </w:rPr>
        <w:lastRenderedPageBreak/>
        <w:t xml:space="preserve">recours aux valeurs de la </w:t>
      </w:r>
      <w:r w:rsidR="00DA4ECA" w:rsidRPr="00581365">
        <w:rPr>
          <w:i/>
          <w:lang w:val="fr-CA"/>
        </w:rPr>
        <w:t>Charte</w:t>
      </w:r>
      <w:r w:rsidR="00DA4ECA" w:rsidRPr="00581365">
        <w:rPr>
          <w:lang w:val="fr-CA"/>
        </w:rPr>
        <w:t xml:space="preserve"> pour interpréter </w:t>
      </w:r>
      <w:r w:rsidR="002A2F4D" w:rsidRPr="00581365">
        <w:rPr>
          <w:lang w:val="fr-CA"/>
        </w:rPr>
        <w:t>l</w:t>
      </w:r>
      <w:r w:rsidR="00DA4ECA" w:rsidRPr="00581365">
        <w:rPr>
          <w:lang w:val="fr-CA"/>
        </w:rPr>
        <w:t>’art</w:t>
      </w:r>
      <w:r w:rsidR="0066538B">
        <w:rPr>
          <w:lang w:val="fr-CA"/>
        </w:rPr>
        <w:t>.</w:t>
      </w:r>
      <w:r w:rsidR="002A2F4D" w:rsidRPr="00581365">
        <w:rPr>
          <w:lang w:val="fr-CA"/>
        </w:rPr>
        <w:t> </w:t>
      </w:r>
      <w:r w:rsidR="00DA4ECA" w:rsidRPr="00581365">
        <w:rPr>
          <w:lang w:val="fr-CA"/>
        </w:rPr>
        <w:t>5</w:t>
      </w:r>
      <w:r w:rsidR="002A2F4D" w:rsidRPr="00581365">
        <w:rPr>
          <w:lang w:val="fr-CA"/>
        </w:rPr>
        <w:t>.</w:t>
      </w:r>
      <w:r w:rsidR="002E3974" w:rsidRPr="00581365">
        <w:rPr>
          <w:lang w:val="fr-CA"/>
        </w:rPr>
        <w:t xml:space="preserve"> </w:t>
      </w:r>
      <w:r w:rsidR="002A2F4D" w:rsidRPr="00581365">
        <w:rPr>
          <w:lang w:val="fr-CA"/>
        </w:rPr>
        <w:t xml:space="preserve"> Ce dernier</w:t>
      </w:r>
      <w:r w:rsidR="00DA4ECA" w:rsidRPr="00581365">
        <w:rPr>
          <w:lang w:val="fr-CA"/>
        </w:rPr>
        <w:t xml:space="preserve"> </w:t>
      </w:r>
      <w:r w:rsidR="00DD7209" w:rsidRPr="00581365">
        <w:rPr>
          <w:lang w:val="fr-CA"/>
        </w:rPr>
        <w:t xml:space="preserve">prévoit clairement que les nouvelles dispositions s’appliquent aux personnes inculpées après l’entrée en vigueur de la </w:t>
      </w:r>
      <w:r w:rsidR="00DD7209" w:rsidRPr="008C18D4">
        <w:rPr>
          <w:i/>
          <w:lang w:val="fr-CA"/>
        </w:rPr>
        <w:t>Loi</w:t>
      </w:r>
      <w:r w:rsidR="00DD7209" w:rsidRPr="00581365">
        <w:rPr>
          <w:lang w:val="fr-CA"/>
        </w:rPr>
        <w:t>.  Le seul moment déterminant est celui de l’inculpation, peu importe celui de la perpétration des infractions</w:t>
      </w:r>
      <w:r w:rsidR="00346F20" w:rsidRPr="00581365">
        <w:rPr>
          <w:lang w:val="fr-CA"/>
        </w:rPr>
        <w:t xml:space="preserve">.  </w:t>
      </w:r>
      <w:r w:rsidR="00DD7209" w:rsidRPr="00581365">
        <w:rPr>
          <w:lang w:val="fr-CA"/>
        </w:rPr>
        <w:t>La présomption est donc réfutée.</w:t>
      </w:r>
    </w:p>
    <w:p w:rsidR="00DD7209" w:rsidRPr="00581365" w:rsidRDefault="00890636" w:rsidP="00384361">
      <w:pPr>
        <w:pStyle w:val="SCCNormalDoubleSpacing"/>
        <w:spacing w:before="480" w:after="480"/>
        <w:rPr>
          <w:lang w:val="fr-CA"/>
        </w:rPr>
      </w:pPr>
      <w:r w:rsidRPr="00581365">
        <w:rPr>
          <w:lang w:val="fr-CA"/>
        </w:rPr>
        <w:tab/>
      </w:r>
      <w:r w:rsidR="00DD7209" w:rsidRPr="00581365">
        <w:rPr>
          <w:lang w:val="fr-CA"/>
        </w:rPr>
        <w:t xml:space="preserve">Dans la présente affaire, l’accusé a été inculpé après l’entrée en vigueur </w:t>
      </w:r>
      <w:r w:rsidR="00DA4ECA" w:rsidRPr="00581365">
        <w:rPr>
          <w:lang w:val="fr-CA"/>
        </w:rPr>
        <w:t xml:space="preserve">de la </w:t>
      </w:r>
      <w:r w:rsidR="00DA4ECA" w:rsidRPr="00581365">
        <w:rPr>
          <w:i/>
          <w:lang w:val="fr-CA"/>
        </w:rPr>
        <w:t>Loi sur l’adéquation de la peine et du crime</w:t>
      </w:r>
      <w:r w:rsidR="00DD7209" w:rsidRPr="00581365">
        <w:rPr>
          <w:lang w:val="fr-CA"/>
        </w:rPr>
        <w:t xml:space="preserve">.  Il était donc assujetti </w:t>
      </w:r>
      <w:r w:rsidR="003804BD" w:rsidRPr="00581365">
        <w:rPr>
          <w:lang w:val="fr-CA"/>
        </w:rPr>
        <w:t>aux limites apportées au crédit</w:t>
      </w:r>
      <w:r w:rsidR="00DD7209" w:rsidRPr="00581365">
        <w:rPr>
          <w:lang w:val="fr-CA"/>
        </w:rPr>
        <w:t xml:space="preserve"> pour détention </w:t>
      </w:r>
      <w:proofErr w:type="spellStart"/>
      <w:r w:rsidR="00DD7209" w:rsidRPr="00581365">
        <w:rPr>
          <w:lang w:val="fr-CA"/>
        </w:rPr>
        <w:t>présentencielle</w:t>
      </w:r>
      <w:proofErr w:type="spellEnd"/>
      <w:r w:rsidR="00DD7209" w:rsidRPr="00581365">
        <w:rPr>
          <w:lang w:val="fr-CA"/>
        </w:rPr>
        <w:t xml:space="preserve"> conformément à l’art. 5.</w:t>
      </w:r>
    </w:p>
    <w:p w:rsidR="00AD2738" w:rsidRPr="00581365" w:rsidRDefault="00AD2738" w:rsidP="00384361">
      <w:pPr>
        <w:pStyle w:val="SCCNormalDoubleSpacing"/>
        <w:spacing w:after="720" w:line="240" w:lineRule="auto"/>
        <w:rPr>
          <w:b/>
          <w:lang w:val="fr-CA"/>
        </w:rPr>
      </w:pPr>
      <w:r w:rsidRPr="00581365">
        <w:rPr>
          <w:b/>
          <w:lang w:val="fr-CA"/>
        </w:rPr>
        <w:t>Jurisprudence</w:t>
      </w:r>
    </w:p>
    <w:p w:rsidR="00AD2738" w:rsidRPr="00581365" w:rsidRDefault="00AD2738" w:rsidP="00384361">
      <w:pPr>
        <w:pStyle w:val="SCCNormalDoubleSpacing"/>
        <w:spacing w:before="480" w:after="480"/>
        <w:rPr>
          <w:b/>
          <w:lang w:val="fr-CA"/>
        </w:rPr>
      </w:pPr>
      <w:r w:rsidRPr="00581365">
        <w:rPr>
          <w:lang w:val="fr-CA"/>
        </w:rPr>
        <w:tab/>
      </w:r>
      <w:r w:rsidRPr="00581365">
        <w:rPr>
          <w:b/>
          <w:lang w:val="fr-CA"/>
        </w:rPr>
        <w:t>Arrêts mentionnés</w:t>
      </w:r>
      <w:r w:rsidR="00157FEF" w:rsidRPr="00581365">
        <w:rPr>
          <w:b/>
          <w:lang w:val="fr-CA"/>
        </w:rPr>
        <w:t> :</w:t>
      </w:r>
      <w:r w:rsidRPr="00581365">
        <w:rPr>
          <w:lang w:val="fr-CA"/>
        </w:rPr>
        <w:t xml:space="preserve"> </w:t>
      </w:r>
      <w:r w:rsidR="00C869FB" w:rsidRPr="00581365">
        <w:rPr>
          <w:i/>
          <w:lang w:val="fr-CA"/>
        </w:rPr>
        <w:t xml:space="preserve">R. c. </w:t>
      </w:r>
      <w:proofErr w:type="spellStart"/>
      <w:r w:rsidR="00C869FB" w:rsidRPr="00581365">
        <w:rPr>
          <w:i/>
          <w:lang w:val="fr-CA"/>
        </w:rPr>
        <w:t>Serdyuk</w:t>
      </w:r>
      <w:proofErr w:type="spellEnd"/>
      <w:r w:rsidR="00C869FB" w:rsidRPr="00581365">
        <w:rPr>
          <w:lang w:val="fr-CA"/>
        </w:rPr>
        <w:t xml:space="preserve">, 2012 ABCA 205, 68 Alta. L.R. (5th) 152; </w:t>
      </w:r>
      <w:r w:rsidR="00C869FB" w:rsidRPr="00581365">
        <w:rPr>
          <w:i/>
          <w:lang w:val="fr-CA"/>
        </w:rPr>
        <w:t>R. c. A.A.M.</w:t>
      </w:r>
      <w:r w:rsidR="00C869FB" w:rsidRPr="00581365">
        <w:rPr>
          <w:lang w:val="fr-CA"/>
        </w:rPr>
        <w:t xml:space="preserve">, 2013 NLCA 26, 335 Nfld. &amp; P.E.I.R. 199; </w:t>
      </w:r>
      <w:r w:rsidR="00C869FB" w:rsidRPr="00581365">
        <w:rPr>
          <w:i/>
          <w:lang w:val="fr-CA"/>
        </w:rPr>
        <w:t xml:space="preserve">R. c. </w:t>
      </w:r>
      <w:proofErr w:type="spellStart"/>
      <w:r w:rsidR="00C869FB" w:rsidRPr="00581365">
        <w:rPr>
          <w:i/>
          <w:lang w:val="fr-CA"/>
        </w:rPr>
        <w:t>Wust</w:t>
      </w:r>
      <w:proofErr w:type="spellEnd"/>
      <w:r w:rsidR="00C869FB" w:rsidRPr="00581365">
        <w:rPr>
          <w:lang w:val="fr-CA"/>
        </w:rPr>
        <w:t xml:space="preserve">, 2000 CSC 18, [2000] 1 R.C.S. 455; </w:t>
      </w:r>
      <w:r w:rsidR="00C869FB" w:rsidRPr="00581365">
        <w:rPr>
          <w:i/>
          <w:lang w:val="fr-CA"/>
        </w:rPr>
        <w:t xml:space="preserve">R. c. </w:t>
      </w:r>
      <w:proofErr w:type="spellStart"/>
      <w:r w:rsidR="00C869FB" w:rsidRPr="00581365">
        <w:rPr>
          <w:i/>
          <w:lang w:val="fr-CA"/>
        </w:rPr>
        <w:t>Summers</w:t>
      </w:r>
      <w:proofErr w:type="spellEnd"/>
      <w:r w:rsidR="00C869FB" w:rsidRPr="00581365">
        <w:rPr>
          <w:lang w:val="fr-CA"/>
        </w:rPr>
        <w:t>, 2014 CSC 26</w:t>
      </w:r>
      <w:r w:rsidR="004527C2">
        <w:rPr>
          <w:lang w:val="fr-CA"/>
        </w:rPr>
        <w:t>, [2014</w:t>
      </w:r>
      <w:r w:rsidR="001D2880">
        <w:rPr>
          <w:lang w:val="fr-CA"/>
        </w:rPr>
        <w:t xml:space="preserve">] 1 R.C.S. </w:t>
      </w:r>
      <w:r w:rsidR="007207DD">
        <w:rPr>
          <w:lang w:val="fr-CA"/>
        </w:rPr>
        <w:t>575</w:t>
      </w:r>
      <w:r w:rsidR="00C869FB" w:rsidRPr="00581365">
        <w:rPr>
          <w:lang w:val="fr-CA"/>
        </w:rPr>
        <w:t xml:space="preserve">; </w:t>
      </w:r>
      <w:r w:rsidR="00C869FB" w:rsidRPr="00581365">
        <w:rPr>
          <w:i/>
          <w:lang w:val="fr-CA"/>
        </w:rPr>
        <w:t xml:space="preserve">R. c. </w:t>
      </w:r>
      <w:proofErr w:type="spellStart"/>
      <w:r w:rsidR="00C869FB" w:rsidRPr="00581365">
        <w:rPr>
          <w:i/>
          <w:lang w:val="fr-CA"/>
        </w:rPr>
        <w:t>Carvery</w:t>
      </w:r>
      <w:proofErr w:type="spellEnd"/>
      <w:r w:rsidR="00C869FB" w:rsidRPr="00581365">
        <w:rPr>
          <w:lang w:val="fr-CA"/>
        </w:rPr>
        <w:t>, 2014 CSC 27</w:t>
      </w:r>
      <w:r w:rsidR="001D2880">
        <w:rPr>
          <w:lang w:val="fr-CA"/>
        </w:rPr>
        <w:t xml:space="preserve">, </w:t>
      </w:r>
      <w:r w:rsidR="004527C2">
        <w:rPr>
          <w:lang w:val="fr-CA"/>
        </w:rPr>
        <w:t>[2014</w:t>
      </w:r>
      <w:r w:rsidR="001D2880">
        <w:rPr>
          <w:lang w:val="fr-CA"/>
        </w:rPr>
        <w:t xml:space="preserve">] 1 R.C.S. </w:t>
      </w:r>
      <w:r w:rsidR="007207DD">
        <w:rPr>
          <w:lang w:val="fr-CA"/>
        </w:rPr>
        <w:t>605</w:t>
      </w:r>
      <w:r w:rsidR="00C869FB" w:rsidRPr="00581365">
        <w:rPr>
          <w:lang w:val="fr-CA"/>
        </w:rPr>
        <w:t xml:space="preserve">; </w:t>
      </w:r>
      <w:r w:rsidR="00C869FB" w:rsidRPr="00581365">
        <w:rPr>
          <w:i/>
          <w:lang w:val="fr-CA"/>
        </w:rPr>
        <w:t xml:space="preserve">R. c. </w:t>
      </w:r>
      <w:proofErr w:type="spellStart"/>
      <w:r w:rsidR="00C869FB" w:rsidRPr="00581365">
        <w:rPr>
          <w:i/>
          <w:lang w:val="fr-CA"/>
        </w:rPr>
        <w:t>Dineley</w:t>
      </w:r>
      <w:proofErr w:type="spellEnd"/>
      <w:r w:rsidR="00C869FB" w:rsidRPr="00581365">
        <w:rPr>
          <w:lang w:val="fr-CA"/>
        </w:rPr>
        <w:t xml:space="preserve">, 2012 CSC 58, [2012] 3 R.C.S. 272; </w:t>
      </w:r>
      <w:r w:rsidR="00C869FB" w:rsidRPr="00581365">
        <w:rPr>
          <w:i/>
          <w:lang w:val="fr-CA"/>
        </w:rPr>
        <w:t xml:space="preserve">Bell </w:t>
      </w:r>
      <w:proofErr w:type="spellStart"/>
      <w:r w:rsidR="00C869FB" w:rsidRPr="00581365">
        <w:rPr>
          <w:i/>
          <w:lang w:val="fr-CA"/>
        </w:rPr>
        <w:t>ExpressVu</w:t>
      </w:r>
      <w:proofErr w:type="spellEnd"/>
      <w:r w:rsidR="00C869FB" w:rsidRPr="00581365">
        <w:rPr>
          <w:i/>
          <w:lang w:val="fr-CA"/>
        </w:rPr>
        <w:t xml:space="preserve"> Limited </w:t>
      </w:r>
      <w:proofErr w:type="spellStart"/>
      <w:r w:rsidR="00C869FB" w:rsidRPr="00581365">
        <w:rPr>
          <w:i/>
          <w:lang w:val="fr-CA"/>
        </w:rPr>
        <w:t>Partnership</w:t>
      </w:r>
      <w:proofErr w:type="spellEnd"/>
      <w:r w:rsidR="00C869FB" w:rsidRPr="00581365">
        <w:rPr>
          <w:i/>
          <w:lang w:val="fr-CA"/>
        </w:rPr>
        <w:t xml:space="preserve"> c. Rex</w:t>
      </w:r>
      <w:r w:rsidR="00C869FB" w:rsidRPr="00581365">
        <w:rPr>
          <w:lang w:val="fr-CA"/>
        </w:rPr>
        <w:t xml:space="preserve">, 2002 CSC 42, [2002] 2 R.C.S. 559; </w:t>
      </w:r>
      <w:r w:rsidR="00C869FB" w:rsidRPr="00581365">
        <w:rPr>
          <w:i/>
          <w:lang w:val="fr-CA"/>
        </w:rPr>
        <w:t>R. c. Rodgers</w:t>
      </w:r>
      <w:r w:rsidR="00C869FB" w:rsidRPr="00581365">
        <w:rPr>
          <w:lang w:val="fr-CA"/>
        </w:rPr>
        <w:t xml:space="preserve">, 2006 CSC 15, [2006] 1 R.C.S. 554; </w:t>
      </w:r>
      <w:r w:rsidR="00C869FB" w:rsidRPr="00581365">
        <w:rPr>
          <w:i/>
          <w:lang w:val="fr-CA"/>
        </w:rPr>
        <w:t xml:space="preserve">R. c. </w:t>
      </w:r>
      <w:proofErr w:type="spellStart"/>
      <w:r w:rsidR="00C869FB" w:rsidRPr="00581365">
        <w:rPr>
          <w:i/>
          <w:lang w:val="fr-CA"/>
        </w:rPr>
        <w:t>Mabior</w:t>
      </w:r>
      <w:proofErr w:type="spellEnd"/>
      <w:r w:rsidR="00C869FB" w:rsidRPr="00581365">
        <w:rPr>
          <w:lang w:val="fr-CA"/>
        </w:rPr>
        <w:t xml:space="preserve">, 2012 CSC 47, [2012] 2 R.C.S. 584; </w:t>
      </w:r>
      <w:r w:rsidR="00C869FB" w:rsidRPr="00581365">
        <w:rPr>
          <w:i/>
          <w:lang w:val="fr-CA"/>
        </w:rPr>
        <w:t>R. c. Sharpe</w:t>
      </w:r>
      <w:r w:rsidR="00C869FB" w:rsidRPr="00581365">
        <w:rPr>
          <w:lang w:val="fr-CA"/>
        </w:rPr>
        <w:t xml:space="preserve">, 2001 CSC 2, [2001] 1 R.C.S. 45; </w:t>
      </w:r>
      <w:r w:rsidR="00C869FB" w:rsidRPr="00581365">
        <w:rPr>
          <w:i/>
          <w:lang w:val="fr-CA"/>
        </w:rPr>
        <w:t>Demande fondée sur l’</w:t>
      </w:r>
      <w:r w:rsidR="00157FEF" w:rsidRPr="00581365">
        <w:rPr>
          <w:i/>
          <w:lang w:val="fr-CA"/>
        </w:rPr>
        <w:t>art. </w:t>
      </w:r>
      <w:r w:rsidR="00C869FB" w:rsidRPr="00581365">
        <w:rPr>
          <w:i/>
          <w:lang w:val="fr-CA"/>
        </w:rPr>
        <w:t xml:space="preserve">83.28 </w:t>
      </w:r>
      <w:proofErr w:type="gramStart"/>
      <w:r w:rsidR="00C869FB" w:rsidRPr="00581365">
        <w:rPr>
          <w:i/>
          <w:lang w:val="fr-CA"/>
        </w:rPr>
        <w:t>du</w:t>
      </w:r>
      <w:proofErr w:type="gramEnd"/>
      <w:r w:rsidR="00C869FB" w:rsidRPr="00581365">
        <w:rPr>
          <w:i/>
          <w:lang w:val="fr-CA"/>
        </w:rPr>
        <w:t xml:space="preserve"> Code criminel (</w:t>
      </w:r>
      <w:proofErr w:type="spellStart"/>
      <w:r w:rsidR="00C869FB" w:rsidRPr="00581365">
        <w:rPr>
          <w:i/>
          <w:lang w:val="fr-CA"/>
        </w:rPr>
        <w:t>Re</w:t>
      </w:r>
      <w:proofErr w:type="spellEnd"/>
      <w:r w:rsidR="00C869FB" w:rsidRPr="00581365">
        <w:rPr>
          <w:i/>
          <w:lang w:val="fr-CA"/>
        </w:rPr>
        <w:t>)</w:t>
      </w:r>
      <w:r w:rsidR="00C869FB" w:rsidRPr="00581365">
        <w:rPr>
          <w:lang w:val="fr-CA"/>
        </w:rPr>
        <w:t xml:space="preserve">, 2004 CSC 42, [2004] 2 R.C.S. 248; </w:t>
      </w:r>
      <w:r w:rsidR="00C869FB" w:rsidRPr="00581365">
        <w:rPr>
          <w:i/>
          <w:lang w:val="fr-CA"/>
        </w:rPr>
        <w:t>Doré c. Barreau du Québec</w:t>
      </w:r>
      <w:r w:rsidR="00C869FB" w:rsidRPr="00581365">
        <w:rPr>
          <w:lang w:val="fr-CA"/>
        </w:rPr>
        <w:t>, 2012 CSC 12, [2012] 1 R.C.S. 395.</w:t>
      </w:r>
    </w:p>
    <w:p w:rsidR="00AD2738" w:rsidRPr="00581365" w:rsidRDefault="00AD2738" w:rsidP="00384361">
      <w:pPr>
        <w:pStyle w:val="SCCNormalDoubleSpacing"/>
        <w:spacing w:after="720" w:line="240" w:lineRule="auto"/>
        <w:rPr>
          <w:b/>
          <w:lang w:val="fr-CA"/>
        </w:rPr>
      </w:pPr>
      <w:r w:rsidRPr="00581365">
        <w:rPr>
          <w:b/>
          <w:lang w:val="fr-CA"/>
        </w:rPr>
        <w:t>Lois et règlements cités</w:t>
      </w:r>
    </w:p>
    <w:p w:rsidR="005327D5" w:rsidRPr="00581365" w:rsidRDefault="005327D5" w:rsidP="00384361">
      <w:pPr>
        <w:pStyle w:val="SCCNormalDoubleSpacing"/>
        <w:spacing w:after="240" w:line="240" w:lineRule="auto"/>
        <w:ind w:left="547" w:hanging="547"/>
        <w:rPr>
          <w:lang w:val="fr-CA"/>
        </w:rPr>
      </w:pPr>
      <w:r w:rsidRPr="00581365">
        <w:rPr>
          <w:i/>
          <w:lang w:val="fr-CA"/>
        </w:rPr>
        <w:t>Charte canadienne des droits et libertés</w:t>
      </w:r>
      <w:r w:rsidRPr="00581365">
        <w:rPr>
          <w:lang w:val="fr-CA"/>
        </w:rPr>
        <w:t>.</w:t>
      </w:r>
    </w:p>
    <w:p w:rsidR="001673D5" w:rsidRPr="00581365" w:rsidRDefault="001673D5" w:rsidP="00384361">
      <w:pPr>
        <w:pStyle w:val="SCCNormalDoubleSpacing"/>
        <w:spacing w:after="240" w:line="240" w:lineRule="auto"/>
        <w:ind w:left="547" w:hanging="547"/>
        <w:rPr>
          <w:lang w:val="fr-CA"/>
        </w:rPr>
      </w:pPr>
      <w:r w:rsidRPr="00581365">
        <w:rPr>
          <w:i/>
          <w:lang w:val="fr-CA"/>
        </w:rPr>
        <w:lastRenderedPageBreak/>
        <w:t>Code criminel</w:t>
      </w:r>
      <w:r w:rsidRPr="00581365">
        <w:rPr>
          <w:lang w:val="fr-CA"/>
        </w:rPr>
        <w:t xml:space="preserve">, L.R.C. 1985, </w:t>
      </w:r>
      <w:r w:rsidR="00157FEF" w:rsidRPr="00581365">
        <w:rPr>
          <w:lang w:val="fr-CA"/>
        </w:rPr>
        <w:t>ch. </w:t>
      </w:r>
      <w:r w:rsidRPr="00581365">
        <w:rPr>
          <w:lang w:val="fr-CA"/>
        </w:rPr>
        <w:t>C</w:t>
      </w:r>
      <w:r w:rsidR="001D2880">
        <w:rPr>
          <w:lang w:val="fr-CA"/>
        </w:rPr>
        <w:t>-</w:t>
      </w:r>
      <w:r w:rsidRPr="00581365">
        <w:rPr>
          <w:lang w:val="fr-CA"/>
        </w:rPr>
        <w:t xml:space="preserve">46, </w:t>
      </w:r>
      <w:r w:rsidR="00157FEF" w:rsidRPr="00581365">
        <w:rPr>
          <w:lang w:val="fr-CA"/>
        </w:rPr>
        <w:t>art. </w:t>
      </w:r>
      <w:r w:rsidRPr="00581365">
        <w:rPr>
          <w:lang w:val="fr-CA"/>
        </w:rPr>
        <w:t>719(3), (3.1).</w:t>
      </w:r>
    </w:p>
    <w:p w:rsidR="001673D5" w:rsidRPr="00581365" w:rsidRDefault="001673D5" w:rsidP="00384361">
      <w:pPr>
        <w:pStyle w:val="SCCNormalDoubleSpacing"/>
        <w:spacing w:after="720" w:line="240" w:lineRule="auto"/>
        <w:ind w:left="547" w:hanging="547"/>
        <w:rPr>
          <w:lang w:val="fr-CA"/>
        </w:rPr>
      </w:pPr>
      <w:r w:rsidRPr="00581365">
        <w:rPr>
          <w:i/>
          <w:lang w:val="fr-CA"/>
        </w:rPr>
        <w:t>Loi sur l’adéquation de la peine et du crime</w:t>
      </w:r>
      <w:r w:rsidRPr="00581365">
        <w:rPr>
          <w:lang w:val="fr-CA"/>
        </w:rPr>
        <w:t xml:space="preserve">, L.C. 2009, </w:t>
      </w:r>
      <w:r w:rsidR="00157FEF" w:rsidRPr="00581365">
        <w:rPr>
          <w:lang w:val="fr-CA"/>
        </w:rPr>
        <w:t>ch. </w:t>
      </w:r>
      <w:r w:rsidRPr="00581365">
        <w:rPr>
          <w:lang w:val="fr-CA"/>
        </w:rPr>
        <w:t xml:space="preserve">29, </w:t>
      </w:r>
      <w:r w:rsidR="00157FEF" w:rsidRPr="00581365">
        <w:rPr>
          <w:lang w:val="fr-CA"/>
        </w:rPr>
        <w:t>art. </w:t>
      </w:r>
      <w:r w:rsidRPr="00581365">
        <w:rPr>
          <w:lang w:val="fr-CA"/>
        </w:rPr>
        <w:t>3, 5.</w:t>
      </w:r>
    </w:p>
    <w:p w:rsidR="00AD2738" w:rsidRPr="00581365" w:rsidRDefault="00AD2738" w:rsidP="00384361">
      <w:pPr>
        <w:pStyle w:val="SCCNormalDoubleSpacing"/>
        <w:spacing w:before="480" w:after="480"/>
        <w:rPr>
          <w:lang w:val="fr-CA"/>
        </w:rPr>
      </w:pPr>
      <w:r w:rsidRPr="00581365">
        <w:rPr>
          <w:lang w:val="fr-CA"/>
        </w:rPr>
        <w:tab/>
        <w:t xml:space="preserve">POURVOI contre un arrêt de la Cour d’appel de l’Ontario (les juges </w:t>
      </w:r>
      <w:proofErr w:type="spellStart"/>
      <w:r w:rsidRPr="00581365">
        <w:rPr>
          <w:lang w:val="fr-CA"/>
        </w:rPr>
        <w:t>Laskin</w:t>
      </w:r>
      <w:proofErr w:type="spellEnd"/>
      <w:r w:rsidRPr="00581365">
        <w:rPr>
          <w:lang w:val="fr-CA"/>
        </w:rPr>
        <w:t xml:space="preserve">, </w:t>
      </w:r>
      <w:proofErr w:type="spellStart"/>
      <w:r w:rsidRPr="00581365">
        <w:rPr>
          <w:lang w:val="fr-CA"/>
        </w:rPr>
        <w:t>Goudge</w:t>
      </w:r>
      <w:proofErr w:type="spellEnd"/>
      <w:r w:rsidRPr="00581365">
        <w:rPr>
          <w:lang w:val="fr-CA"/>
        </w:rPr>
        <w:t xml:space="preserve"> et </w:t>
      </w:r>
      <w:proofErr w:type="spellStart"/>
      <w:r w:rsidRPr="00581365">
        <w:rPr>
          <w:lang w:val="fr-CA"/>
        </w:rPr>
        <w:t>Gillese</w:t>
      </w:r>
      <w:proofErr w:type="spellEnd"/>
      <w:r w:rsidRPr="00581365">
        <w:rPr>
          <w:lang w:val="fr-CA"/>
        </w:rPr>
        <w:t xml:space="preserve">), 2013 ONCA 7, 115 O.R. (3d) 75, 302 O.A.C. 40, 293 C.C.C. (3d) 369, 274 C.R.R. (2d) 370, [2013] O.J. </w:t>
      </w:r>
      <w:r w:rsidR="00157FEF" w:rsidRPr="00581365">
        <w:rPr>
          <w:lang w:val="fr-CA"/>
        </w:rPr>
        <w:t>No. </w:t>
      </w:r>
      <w:r w:rsidRPr="00581365">
        <w:rPr>
          <w:lang w:val="fr-CA"/>
        </w:rPr>
        <w:t xml:space="preserve">94 (QL), 2013 </w:t>
      </w:r>
      <w:proofErr w:type="spellStart"/>
      <w:r w:rsidRPr="00581365">
        <w:rPr>
          <w:lang w:val="fr-CA"/>
        </w:rPr>
        <w:t>CarswellOnt</w:t>
      </w:r>
      <w:proofErr w:type="spellEnd"/>
      <w:r w:rsidRPr="00581365">
        <w:rPr>
          <w:lang w:val="fr-CA"/>
        </w:rPr>
        <w:t xml:space="preserve"> 263, qui a confirmé </w:t>
      </w:r>
      <w:r w:rsidR="008C18D4">
        <w:rPr>
          <w:lang w:val="fr-CA"/>
        </w:rPr>
        <w:t>une</w:t>
      </w:r>
      <w:r w:rsidRPr="00581365">
        <w:rPr>
          <w:lang w:val="fr-CA"/>
        </w:rPr>
        <w:t xml:space="preserve"> décision relative à la détermination de la peine du juge </w:t>
      </w:r>
      <w:proofErr w:type="spellStart"/>
      <w:r w:rsidRPr="00581365">
        <w:rPr>
          <w:lang w:val="fr-CA"/>
        </w:rPr>
        <w:t>O’Donnell</w:t>
      </w:r>
      <w:proofErr w:type="spellEnd"/>
      <w:r w:rsidRPr="00581365">
        <w:rPr>
          <w:lang w:val="fr-CA"/>
        </w:rPr>
        <w:t>.  Pourvoi rejeté.</w:t>
      </w:r>
    </w:p>
    <w:p w:rsidR="00AD2738" w:rsidRPr="00581365" w:rsidRDefault="00AD2738" w:rsidP="00384361">
      <w:pPr>
        <w:pStyle w:val="SCCNormalDoubleSpacing"/>
        <w:spacing w:before="480" w:after="480"/>
        <w:rPr>
          <w:lang w:val="fr-CA"/>
        </w:rPr>
      </w:pPr>
      <w:r w:rsidRPr="00581365">
        <w:rPr>
          <w:rStyle w:val="SCCCounselNameChar"/>
          <w:lang w:val="fr-CA"/>
        </w:rPr>
        <w:tab/>
        <w:t xml:space="preserve">Diana </w:t>
      </w:r>
      <w:proofErr w:type="spellStart"/>
      <w:r w:rsidRPr="00581365">
        <w:rPr>
          <w:rStyle w:val="SCCCounselNameChar"/>
          <w:lang w:val="fr-CA"/>
        </w:rPr>
        <w:t>Lumba</w:t>
      </w:r>
      <w:proofErr w:type="spellEnd"/>
      <w:r w:rsidRPr="00581365">
        <w:rPr>
          <w:rStyle w:val="SCCCounselPartyRoleChar"/>
          <w:lang w:val="fr-CA"/>
        </w:rPr>
        <w:t>, pour l’appelant.</w:t>
      </w:r>
    </w:p>
    <w:p w:rsidR="00AD2738" w:rsidRPr="00581365" w:rsidRDefault="00AD2738" w:rsidP="00384361">
      <w:pPr>
        <w:pStyle w:val="SCCNormalDoubleSpacing"/>
        <w:spacing w:before="480" w:after="480"/>
        <w:rPr>
          <w:lang w:val="fr-CA"/>
        </w:rPr>
      </w:pPr>
      <w:r w:rsidRPr="00581365">
        <w:rPr>
          <w:rStyle w:val="SCCCounselNameChar"/>
          <w:lang w:val="fr-CA"/>
        </w:rPr>
        <w:tab/>
      </w:r>
      <w:proofErr w:type="spellStart"/>
      <w:r w:rsidRPr="00581365">
        <w:rPr>
          <w:rStyle w:val="SCCCounselNameChar"/>
          <w:lang w:val="fr-CA"/>
        </w:rPr>
        <w:t>Mabel</w:t>
      </w:r>
      <w:proofErr w:type="spellEnd"/>
      <w:r w:rsidRPr="00581365">
        <w:rPr>
          <w:rStyle w:val="SCCCounselNameChar"/>
          <w:lang w:val="fr-CA"/>
        </w:rPr>
        <w:t xml:space="preserve"> Lai</w:t>
      </w:r>
      <w:r w:rsidRPr="00581365">
        <w:rPr>
          <w:rStyle w:val="SCCCounselPartyRoleChar"/>
          <w:lang w:val="fr-CA"/>
        </w:rPr>
        <w:t>, pour l’intimée.</w:t>
      </w:r>
    </w:p>
    <w:p w:rsidR="00672A65" w:rsidRDefault="00705728" w:rsidP="00384361">
      <w:pPr>
        <w:pStyle w:val="SCCNormalDoubleSpacing"/>
        <w:spacing w:before="480" w:after="480"/>
        <w:rPr>
          <w:szCs w:val="24"/>
          <w:lang w:val="fr-CA"/>
        </w:rPr>
      </w:pPr>
      <w:r>
        <w:rPr>
          <w:rStyle w:val="SCCCounselNameChar"/>
          <w:i w:val="0"/>
          <w:lang w:val="fr-CA"/>
        </w:rPr>
        <w:tab/>
      </w:r>
      <w:r w:rsidR="00672A65" w:rsidRPr="00BA35C6">
        <w:rPr>
          <w:rStyle w:val="SCCCounselNameChar"/>
          <w:i w:val="0"/>
          <w:lang w:val="fr-CA"/>
        </w:rPr>
        <w:t>Version</w:t>
      </w:r>
      <w:r w:rsidR="00672A65" w:rsidRPr="001D2880">
        <w:rPr>
          <w:i/>
          <w:szCs w:val="24"/>
          <w:lang w:val="fr-CA"/>
        </w:rPr>
        <w:t xml:space="preserve"> </w:t>
      </w:r>
      <w:r w:rsidR="00672A65" w:rsidRPr="00B6619D">
        <w:rPr>
          <w:szCs w:val="24"/>
          <w:lang w:val="fr-CA"/>
        </w:rPr>
        <w:t xml:space="preserve">française du jugement </w:t>
      </w:r>
      <w:r w:rsidR="00672A65">
        <w:rPr>
          <w:szCs w:val="24"/>
          <w:lang w:val="fr-CA"/>
        </w:rPr>
        <w:t>de la Cour r</w:t>
      </w:r>
      <w:r w:rsidR="00672A65" w:rsidRPr="00B6619D">
        <w:rPr>
          <w:szCs w:val="24"/>
          <w:lang w:val="fr-CA"/>
        </w:rPr>
        <w:t>endu par</w:t>
      </w:r>
    </w:p>
    <w:p w:rsidR="00672A65" w:rsidRPr="0090495F" w:rsidRDefault="001D2880" w:rsidP="00384361">
      <w:pPr>
        <w:pStyle w:val="ParaNoNdepar-AltN"/>
        <w:rPr>
          <w:rFonts w:cs="Times New Roman"/>
          <w:lang w:val="fr-CA"/>
        </w:rPr>
      </w:pPr>
      <w:r w:rsidRPr="001D2880">
        <w:rPr>
          <w:smallCaps/>
          <w:lang w:val="fr-CA"/>
        </w:rPr>
        <w:t xml:space="preserve">La juge </w:t>
      </w:r>
      <w:r w:rsidRPr="00BA35C6">
        <w:rPr>
          <w:smallCaps/>
          <w:lang w:val="fr-CA"/>
        </w:rPr>
        <w:t>Abella</w:t>
      </w:r>
      <w:r w:rsidRPr="00BA35C6">
        <w:rPr>
          <w:lang w:val="fr-CA"/>
        </w:rPr>
        <w:t xml:space="preserve"> — </w:t>
      </w:r>
      <w:r w:rsidR="00672A65" w:rsidRPr="0090495F">
        <w:rPr>
          <w:rFonts w:cs="Times New Roman"/>
          <w:lang w:val="fr-CA"/>
        </w:rPr>
        <w:t xml:space="preserve">Les lois concernant la détermination de la peine n’ont un effet rétrospectif que si elles le prévoient de manière non équivoque.  Cela ne les « immunise » pas pour autant contre une contestation fondée sur la </w:t>
      </w:r>
      <w:r w:rsidR="00672A65" w:rsidRPr="0090495F">
        <w:rPr>
          <w:rFonts w:cs="Times New Roman"/>
          <w:i/>
          <w:lang w:val="fr-CA"/>
        </w:rPr>
        <w:t>Charte</w:t>
      </w:r>
      <w:r w:rsidR="00672A65" w:rsidRPr="0090495F">
        <w:rPr>
          <w:rFonts w:cs="Times New Roman"/>
          <w:lang w:val="fr-CA"/>
        </w:rPr>
        <w:t xml:space="preserve">, mais à défaut d’une telle contestation, les règles ordinaires d’interprétation législative s’appliquent.  Ces règles n’excluent pas la prise en compte des valeurs de la </w:t>
      </w:r>
      <w:r w:rsidR="00672A65" w:rsidRPr="0090495F">
        <w:rPr>
          <w:rFonts w:cs="Times New Roman"/>
          <w:i/>
          <w:lang w:val="fr-CA"/>
        </w:rPr>
        <w:t>Charte</w:t>
      </w:r>
      <w:r w:rsidR="00672A65" w:rsidRPr="0090495F">
        <w:rPr>
          <w:rFonts w:cs="Times New Roman"/>
          <w:lang w:val="fr-CA"/>
        </w:rPr>
        <w:t xml:space="preserve"> dans le contexte interprétatif général que posent nos « règles d’interprétation modernes », mais cette prise en compte ne saurait servir à créer une ambiguïté alors qu’il n’en existe aucune.</w:t>
      </w:r>
    </w:p>
    <w:p w:rsidR="00672A65" w:rsidRPr="0090495F" w:rsidRDefault="00672A65" w:rsidP="00384361">
      <w:pPr>
        <w:pStyle w:val="ParaNoNdepar-AltN"/>
        <w:rPr>
          <w:rFonts w:cs="Times New Roman"/>
          <w:lang w:val="fr-CA"/>
        </w:rPr>
      </w:pPr>
      <w:r w:rsidRPr="0090495F">
        <w:rPr>
          <w:rFonts w:cs="Times New Roman"/>
          <w:lang w:val="fr-CA"/>
        </w:rPr>
        <w:lastRenderedPageBreak/>
        <w:t xml:space="preserve">Le pourvoi porte sur l’art. 5 de la </w:t>
      </w:r>
      <w:r w:rsidRPr="0090495F">
        <w:rPr>
          <w:rFonts w:cs="Times New Roman"/>
          <w:i/>
          <w:lang w:val="fr-CA"/>
        </w:rPr>
        <w:t>Loi sur l’adéquation de la peine et du crime</w:t>
      </w:r>
      <w:r w:rsidRPr="00E10FA7">
        <w:rPr>
          <w:rStyle w:val="Hyperlink"/>
          <w:u w:val="none"/>
          <w:vertAlign w:val="superscript"/>
        </w:rPr>
        <w:footnoteReference w:id="1"/>
      </w:r>
      <w:r w:rsidRPr="0090495F">
        <w:rPr>
          <w:rFonts w:cs="Times New Roman"/>
          <w:lang w:val="fr-CA"/>
        </w:rPr>
        <w:t xml:space="preserve">, une courte disposition qui précise que les limites apportées à l’octroi d’un crédit pour compenser la détention </w:t>
      </w:r>
      <w:proofErr w:type="spellStart"/>
      <w:r w:rsidRPr="0090495F">
        <w:rPr>
          <w:rFonts w:cs="Times New Roman"/>
          <w:lang w:val="fr-CA"/>
        </w:rPr>
        <w:t>présentencielle</w:t>
      </w:r>
      <w:proofErr w:type="spellEnd"/>
      <w:r w:rsidRPr="0090495F">
        <w:rPr>
          <w:rFonts w:cs="Times New Roman"/>
          <w:lang w:val="fr-CA"/>
        </w:rPr>
        <w:t xml:space="preserve"> « ne s’appliquent qu’à l’égard des personnes inculpées apr</w:t>
      </w:r>
      <w:r w:rsidR="00E10FA7">
        <w:rPr>
          <w:rFonts w:cs="Times New Roman"/>
          <w:lang w:val="fr-CA"/>
        </w:rPr>
        <w:t xml:space="preserve">ès » l’entrée en vigueur de la </w:t>
      </w:r>
      <w:r w:rsidR="00E10FA7" w:rsidRPr="00E10FA7">
        <w:rPr>
          <w:rFonts w:cs="Times New Roman"/>
          <w:i/>
          <w:lang w:val="fr-CA"/>
        </w:rPr>
        <w:t>L</w:t>
      </w:r>
      <w:r w:rsidRPr="00E10FA7">
        <w:rPr>
          <w:rFonts w:cs="Times New Roman"/>
          <w:i/>
          <w:lang w:val="fr-CA"/>
        </w:rPr>
        <w:t>oi</w:t>
      </w:r>
      <w:r w:rsidRPr="0090495F">
        <w:rPr>
          <w:rFonts w:cs="Times New Roman"/>
          <w:lang w:val="fr-CA"/>
        </w:rPr>
        <w:t xml:space="preserve">.  Le texte de la note marginale qui accompagne l’art. 5 est le suivant : « Application : personnes inculpées après l’entrée en vigueur ». </w:t>
      </w:r>
    </w:p>
    <w:p w:rsidR="00672A65" w:rsidRPr="0090495F" w:rsidRDefault="00672A65" w:rsidP="00384361">
      <w:pPr>
        <w:pStyle w:val="ParaNoNdepar-AltN"/>
        <w:rPr>
          <w:rFonts w:cs="Times New Roman"/>
          <w:lang w:val="fr-CA"/>
        </w:rPr>
      </w:pPr>
      <w:r w:rsidRPr="0090495F">
        <w:rPr>
          <w:rFonts w:cs="Times New Roman"/>
          <w:lang w:val="fr-CA"/>
        </w:rPr>
        <w:t xml:space="preserve">Dans la présente affaire, l’accusé, Calvin Clarke, n’a pas contesté la constitutionnalité de l’art. 5.  Il n’a pas non plus plaidé l’abus de procédure.  Il a plutôt soutenu que la disposition est équivoque et que sa juste interprétation commande l’application des valeurs de la </w:t>
      </w:r>
      <w:r w:rsidRPr="0090495F">
        <w:rPr>
          <w:rFonts w:cs="Times New Roman"/>
          <w:i/>
          <w:lang w:val="fr-CA"/>
        </w:rPr>
        <w:t>Charte</w:t>
      </w:r>
      <w:r w:rsidRPr="0090495F">
        <w:rPr>
          <w:rFonts w:cs="Times New Roman"/>
          <w:lang w:val="fr-CA"/>
        </w:rPr>
        <w:t xml:space="preserve">. </w:t>
      </w:r>
    </w:p>
    <w:p w:rsidR="00672A65" w:rsidRPr="0090495F" w:rsidRDefault="00672A65" w:rsidP="00384361">
      <w:pPr>
        <w:pStyle w:val="ParaNoNdepar-AltN"/>
        <w:rPr>
          <w:rFonts w:cs="Times New Roman"/>
          <w:lang w:val="fr-CA"/>
        </w:rPr>
      </w:pPr>
      <w:r w:rsidRPr="0090495F">
        <w:rPr>
          <w:rFonts w:cs="Times New Roman"/>
          <w:lang w:val="fr-CA"/>
        </w:rPr>
        <w:t>Soit dit en tout respect pour les tenants de l’avis contraire (</w:t>
      </w:r>
      <w:r w:rsidRPr="0090495F">
        <w:rPr>
          <w:rFonts w:cs="Times New Roman"/>
          <w:bCs/>
          <w:i/>
          <w:szCs w:val="24"/>
          <w:lang w:val="fr-CA"/>
        </w:rPr>
        <w:t xml:space="preserve">R. c. </w:t>
      </w:r>
      <w:proofErr w:type="spellStart"/>
      <w:r w:rsidRPr="0090495F">
        <w:rPr>
          <w:rFonts w:cs="Times New Roman"/>
          <w:bCs/>
          <w:i/>
          <w:szCs w:val="24"/>
          <w:lang w:val="fr-CA"/>
        </w:rPr>
        <w:t>Serdyuk</w:t>
      </w:r>
      <w:proofErr w:type="spellEnd"/>
      <w:r w:rsidRPr="0090495F">
        <w:rPr>
          <w:rFonts w:cs="Times New Roman"/>
          <w:bCs/>
          <w:szCs w:val="24"/>
          <w:lang w:val="fr-CA"/>
        </w:rPr>
        <w:t xml:space="preserve"> (2012), 68 Alta. L.R. (5th) 152 (C.A.)</w:t>
      </w:r>
      <w:r w:rsidR="00E91823">
        <w:rPr>
          <w:rFonts w:cs="Times New Roman"/>
          <w:bCs/>
          <w:szCs w:val="24"/>
          <w:lang w:val="fr-CA"/>
        </w:rPr>
        <w:t>,</w:t>
      </w:r>
      <w:r w:rsidRPr="0090495F">
        <w:rPr>
          <w:rFonts w:cs="Times New Roman"/>
          <w:bCs/>
          <w:szCs w:val="24"/>
          <w:lang w:val="fr-CA"/>
        </w:rPr>
        <w:t xml:space="preserve"> et </w:t>
      </w:r>
      <w:r w:rsidRPr="0090495F">
        <w:rPr>
          <w:rFonts w:cs="Times New Roman"/>
          <w:i/>
          <w:iCs/>
          <w:szCs w:val="24"/>
          <w:lang w:val="fr-CA"/>
        </w:rPr>
        <w:t xml:space="preserve">R. c. A.A.M. </w:t>
      </w:r>
      <w:r w:rsidRPr="0090495F">
        <w:rPr>
          <w:rFonts w:cs="Times New Roman"/>
          <w:iCs/>
          <w:szCs w:val="24"/>
          <w:lang w:val="fr-CA"/>
        </w:rPr>
        <w:t>(2013), 335 Nfld. &amp; P.E.I.R. 199 (C.A.T.-N.-L.)</w:t>
      </w:r>
      <w:r w:rsidRPr="0090495F">
        <w:rPr>
          <w:rFonts w:cs="Times New Roman"/>
          <w:szCs w:val="24"/>
          <w:lang w:val="fr-CA"/>
        </w:rPr>
        <w:t>),</w:t>
      </w:r>
      <w:r w:rsidRPr="0090495F">
        <w:rPr>
          <w:rFonts w:cs="Times New Roman"/>
          <w:b/>
          <w:bCs/>
          <w:szCs w:val="24"/>
          <w:lang w:val="fr-CA"/>
        </w:rPr>
        <w:t xml:space="preserve"> </w:t>
      </w:r>
      <w:r w:rsidRPr="0090495F">
        <w:rPr>
          <w:rFonts w:cs="Times New Roman"/>
          <w:bCs/>
          <w:szCs w:val="24"/>
          <w:lang w:val="fr-CA"/>
        </w:rPr>
        <w:t xml:space="preserve">je conviens avec le juge de première instance et la Cour d’appel de l’Ontario que, de manière non équivoque, la disposition en cause s’applique seulement aux délinquants </w:t>
      </w:r>
      <w:r w:rsidRPr="0090495F">
        <w:rPr>
          <w:rFonts w:cs="Times New Roman"/>
          <w:bCs/>
          <w:i/>
          <w:szCs w:val="24"/>
          <w:lang w:val="fr-CA"/>
        </w:rPr>
        <w:t>inculpés</w:t>
      </w:r>
      <w:r w:rsidRPr="0090495F">
        <w:rPr>
          <w:rFonts w:cs="Times New Roman"/>
          <w:bCs/>
          <w:szCs w:val="24"/>
          <w:lang w:val="fr-CA"/>
        </w:rPr>
        <w:t xml:space="preserve"> après l’entrée en vigueur des modifications, peu importe le moment où les infractions ont été commises.  Faute d’une contestation fondée sur la </w:t>
      </w:r>
      <w:r w:rsidRPr="0090495F">
        <w:rPr>
          <w:rFonts w:cs="Times New Roman"/>
          <w:bCs/>
          <w:i/>
          <w:szCs w:val="24"/>
          <w:lang w:val="fr-CA"/>
        </w:rPr>
        <w:t>Charte</w:t>
      </w:r>
      <w:r w:rsidRPr="0090495F">
        <w:rPr>
          <w:rFonts w:cs="Times New Roman"/>
          <w:bCs/>
          <w:szCs w:val="24"/>
          <w:lang w:val="fr-CA"/>
        </w:rPr>
        <w:t>, la démarche interprétative prend dès lors fin</w:t>
      </w:r>
      <w:r w:rsidRPr="0090495F">
        <w:rPr>
          <w:rFonts w:cs="Times New Roman"/>
          <w:lang w:val="fr-CA"/>
        </w:rPr>
        <w:t>.</w:t>
      </w:r>
    </w:p>
    <w:p w:rsidR="00672A65" w:rsidRPr="00E10FA7" w:rsidRDefault="00672A65" w:rsidP="00384361">
      <w:pPr>
        <w:pStyle w:val="Title1LevelTitre1Niveau-AltL"/>
        <w:keepNext w:val="0"/>
        <w:numPr>
          <w:ilvl w:val="0"/>
          <w:numId w:val="0"/>
        </w:numPr>
        <w:ind w:left="576" w:hanging="576"/>
        <w:rPr>
          <w:rFonts w:cs="Times New Roman"/>
        </w:rPr>
      </w:pPr>
      <w:r w:rsidRPr="00E10FA7">
        <w:rPr>
          <w:rFonts w:cs="Times New Roman"/>
        </w:rPr>
        <w:t>Analyse</w:t>
      </w:r>
    </w:p>
    <w:p w:rsidR="00672A65" w:rsidRPr="0090495F" w:rsidRDefault="00672A65" w:rsidP="00384361">
      <w:pPr>
        <w:pStyle w:val="ParaNoNdepar-AltN"/>
        <w:rPr>
          <w:rFonts w:cs="Times New Roman"/>
          <w:lang w:val="fr-CA"/>
        </w:rPr>
      </w:pPr>
      <w:r w:rsidRPr="0090495F">
        <w:rPr>
          <w:rFonts w:cs="Times New Roman"/>
          <w:lang w:val="fr-CA"/>
        </w:rPr>
        <w:lastRenderedPageBreak/>
        <w:t xml:space="preserve">Avant l’adoption de la </w:t>
      </w:r>
      <w:r w:rsidRPr="0090495F">
        <w:rPr>
          <w:rFonts w:cs="Times New Roman"/>
          <w:i/>
          <w:lang w:val="fr-CA"/>
        </w:rPr>
        <w:t>Loi sur l’adéquation de la peine et du crime</w:t>
      </w:r>
      <w:r w:rsidRPr="0090495F">
        <w:rPr>
          <w:rFonts w:cs="Times New Roman"/>
          <w:lang w:val="fr-CA"/>
        </w:rPr>
        <w:t xml:space="preserve">, les tribunaux exerçaient couramment leur pouvoir discrétionnaire en accordant au délinquant un crédit de plus d’un jour pour chaque jour passé sous garde avant la détermination de la peine.  La mesure se justifiait par le fait que les conditions de la détention </w:t>
      </w:r>
      <w:proofErr w:type="spellStart"/>
      <w:r w:rsidRPr="0090495F">
        <w:rPr>
          <w:rFonts w:cs="Times New Roman"/>
          <w:lang w:val="fr-CA"/>
        </w:rPr>
        <w:t>présentencielle</w:t>
      </w:r>
      <w:proofErr w:type="spellEnd"/>
      <w:r w:rsidRPr="0090495F">
        <w:rPr>
          <w:rFonts w:cs="Times New Roman"/>
          <w:lang w:val="fr-CA"/>
        </w:rPr>
        <w:t xml:space="preserve"> étaient souvent plus dures que celles de l’exécution de la peine d’emprisonnement, que nul programme d’aide n’était offert et que le temps passé sous garde ne comptait pas aux fins de la libération anticipée (libération d’office ou réduction légale de peine) (</w:t>
      </w:r>
      <w:r w:rsidRPr="0090495F">
        <w:rPr>
          <w:rFonts w:cs="Times New Roman"/>
          <w:i/>
          <w:lang w:val="fr-CA"/>
        </w:rPr>
        <w:t xml:space="preserve">R. c. </w:t>
      </w:r>
      <w:proofErr w:type="spellStart"/>
      <w:r w:rsidRPr="0090495F">
        <w:rPr>
          <w:rFonts w:cs="Times New Roman"/>
          <w:i/>
          <w:lang w:val="fr-CA"/>
        </w:rPr>
        <w:t>Wust</w:t>
      </w:r>
      <w:proofErr w:type="spellEnd"/>
      <w:r w:rsidRPr="0090495F">
        <w:rPr>
          <w:rFonts w:cs="Times New Roman"/>
          <w:lang w:val="fr-CA"/>
        </w:rPr>
        <w:t xml:space="preserve">, [2000] 1 R.C.S. 455).  Les tribunaux accordaient généralement un crédit de deux jours pour chaque jour de détention </w:t>
      </w:r>
      <w:proofErr w:type="spellStart"/>
      <w:r w:rsidRPr="0090495F">
        <w:rPr>
          <w:rFonts w:cs="Times New Roman"/>
          <w:lang w:val="fr-CA"/>
        </w:rPr>
        <w:t>présentencielle</w:t>
      </w:r>
      <w:proofErr w:type="spellEnd"/>
      <w:r w:rsidRPr="0090495F">
        <w:rPr>
          <w:rFonts w:cs="Times New Roman"/>
          <w:lang w:val="fr-CA"/>
        </w:rPr>
        <w:t xml:space="preserve">, mais ils pouvaient accroître ce ratio en fonction des conditions de cette détention. </w:t>
      </w:r>
    </w:p>
    <w:p w:rsidR="00672A65" w:rsidRPr="0090495F" w:rsidRDefault="00672A65" w:rsidP="00384361">
      <w:pPr>
        <w:pStyle w:val="ParaNoNdepar-AltN"/>
        <w:rPr>
          <w:rFonts w:cs="Times New Roman"/>
          <w:lang w:val="fr-CA"/>
        </w:rPr>
      </w:pPr>
      <w:r w:rsidRPr="0090495F">
        <w:rPr>
          <w:rFonts w:cs="Times New Roman"/>
          <w:lang w:val="fr-CA"/>
        </w:rPr>
        <w:t xml:space="preserve">L’article 3 de la </w:t>
      </w:r>
      <w:r w:rsidRPr="00E10FA7">
        <w:rPr>
          <w:rFonts w:cs="Times New Roman"/>
          <w:i/>
          <w:lang w:val="fr-CA"/>
        </w:rPr>
        <w:t>Loi</w:t>
      </w:r>
      <w:r w:rsidRPr="0090495F">
        <w:rPr>
          <w:rFonts w:cs="Times New Roman"/>
          <w:lang w:val="fr-CA"/>
        </w:rPr>
        <w:t xml:space="preserve"> a circonscrit ce pouvoir discrétionnaire de manière que le tribunal ne puisse accorder qu’« un maximum d’un jour pour chaque jour passé sous garde » (</w:t>
      </w:r>
      <w:r w:rsidRPr="0090495F">
        <w:rPr>
          <w:rFonts w:cs="Times New Roman"/>
          <w:i/>
          <w:lang w:val="fr-CA"/>
        </w:rPr>
        <w:t>Code</w:t>
      </w:r>
      <w:r w:rsidRPr="0090495F">
        <w:rPr>
          <w:rFonts w:cs="Times New Roman"/>
          <w:lang w:val="fr-CA"/>
        </w:rPr>
        <w:t xml:space="preserve"> </w:t>
      </w:r>
      <w:r w:rsidRPr="0090495F">
        <w:rPr>
          <w:rFonts w:cs="Times New Roman"/>
          <w:i/>
          <w:lang w:val="fr-CA"/>
        </w:rPr>
        <w:t>criminel</w:t>
      </w:r>
      <w:r w:rsidRPr="0090495F">
        <w:rPr>
          <w:rFonts w:cs="Times New Roman"/>
          <w:lang w:val="fr-CA"/>
        </w:rPr>
        <w:t>, L.R.C. 1985, ch. C</w:t>
      </w:r>
      <w:r w:rsidR="00384361">
        <w:rPr>
          <w:rFonts w:cs="Times New Roman"/>
          <w:lang w:val="fr-CA"/>
        </w:rPr>
        <w:t>-</w:t>
      </w:r>
      <w:r w:rsidRPr="0090495F">
        <w:rPr>
          <w:rFonts w:cs="Times New Roman"/>
          <w:lang w:val="fr-CA"/>
        </w:rPr>
        <w:t>46</w:t>
      </w:r>
      <w:r w:rsidR="00E10FA7">
        <w:rPr>
          <w:rFonts w:cs="Times New Roman"/>
          <w:lang w:val="fr-CA"/>
        </w:rPr>
        <w:t xml:space="preserve">, </w:t>
      </w:r>
      <w:r w:rsidR="00E10FA7" w:rsidRPr="0090495F">
        <w:rPr>
          <w:rFonts w:cs="Times New Roman"/>
          <w:lang w:val="fr-CA"/>
        </w:rPr>
        <w:t>par. 719(3)</w:t>
      </w:r>
      <w:r w:rsidRPr="0090495F">
        <w:rPr>
          <w:rFonts w:cs="Times New Roman"/>
          <w:lang w:val="fr-CA"/>
        </w:rPr>
        <w:t>), sauf si « les circonstances » justifient l’octroi d’un crédit majoré à raison d’au plus un jour et demi par jour passé sous garde (par. 719(3.1)).  Ces dispositions font l’objet de deux arrêts rendus simultanément (</w:t>
      </w:r>
      <w:r w:rsidRPr="0090495F">
        <w:rPr>
          <w:rFonts w:cs="Times New Roman"/>
          <w:i/>
          <w:lang w:val="fr-CA"/>
        </w:rPr>
        <w:t>R. c.</w:t>
      </w:r>
      <w:r w:rsidRPr="00B6553F">
        <w:rPr>
          <w:rFonts w:cs="Times New Roman"/>
          <w:i/>
          <w:lang w:val="fr-CA"/>
        </w:rPr>
        <w:t xml:space="preserve"> </w:t>
      </w:r>
      <w:proofErr w:type="spellStart"/>
      <w:r w:rsidRPr="0090495F">
        <w:rPr>
          <w:rFonts w:cs="Times New Roman"/>
          <w:i/>
          <w:lang w:val="fr-CA"/>
        </w:rPr>
        <w:t>Summers</w:t>
      </w:r>
      <w:proofErr w:type="spellEnd"/>
      <w:r w:rsidRPr="0090495F">
        <w:rPr>
          <w:rFonts w:cs="Times New Roman"/>
          <w:lang w:val="fr-CA"/>
        </w:rPr>
        <w:t xml:space="preserve">, </w:t>
      </w:r>
      <w:r w:rsidR="00F307A8">
        <w:rPr>
          <w:rFonts w:cs="Times New Roman"/>
          <w:lang w:val="fr-CA"/>
        </w:rPr>
        <w:t>[2014] 1 R.C.S. 575</w:t>
      </w:r>
      <w:r w:rsidR="001D2880">
        <w:rPr>
          <w:rFonts w:cs="Times New Roman"/>
          <w:lang w:val="fr-CA"/>
        </w:rPr>
        <w:t>,</w:t>
      </w:r>
      <w:r w:rsidRPr="0090495F">
        <w:rPr>
          <w:rFonts w:cs="Times New Roman"/>
          <w:lang w:val="fr-CA"/>
        </w:rPr>
        <w:t xml:space="preserve"> et </w:t>
      </w:r>
      <w:r w:rsidRPr="0090495F">
        <w:rPr>
          <w:rFonts w:cs="Times New Roman"/>
          <w:i/>
          <w:lang w:val="fr-CA"/>
        </w:rPr>
        <w:t>R. c.</w:t>
      </w:r>
      <w:r w:rsidRPr="0090495F">
        <w:rPr>
          <w:rFonts w:cs="Times New Roman"/>
          <w:lang w:val="fr-CA"/>
        </w:rPr>
        <w:t xml:space="preserve"> </w:t>
      </w:r>
      <w:proofErr w:type="spellStart"/>
      <w:r w:rsidRPr="0090495F">
        <w:rPr>
          <w:rFonts w:cs="Times New Roman"/>
          <w:i/>
          <w:lang w:val="fr-CA"/>
        </w:rPr>
        <w:t>Carvery</w:t>
      </w:r>
      <w:proofErr w:type="spellEnd"/>
      <w:r w:rsidRPr="0090495F">
        <w:rPr>
          <w:rFonts w:cs="Times New Roman"/>
          <w:lang w:val="fr-CA"/>
        </w:rPr>
        <w:t>,</w:t>
      </w:r>
      <w:r w:rsidR="00F307A8">
        <w:rPr>
          <w:rFonts w:cs="Times New Roman"/>
          <w:lang w:val="fr-CA"/>
        </w:rPr>
        <w:t xml:space="preserve"> [2014] 1 R.C.S. </w:t>
      </w:r>
      <w:r w:rsidR="00753055">
        <w:rPr>
          <w:rFonts w:cs="Times New Roman"/>
          <w:lang w:val="fr-CA"/>
        </w:rPr>
        <w:t>605</w:t>
      </w:r>
      <w:r w:rsidRPr="0090495F">
        <w:rPr>
          <w:rFonts w:cs="Times New Roman"/>
          <w:lang w:val="fr-CA"/>
        </w:rPr>
        <w:t>) où notre Cour se prononce plus précisément sur les « circonstances » qui justifient l’octroi d’un crédit majoré.</w:t>
      </w:r>
      <w:r w:rsidRPr="0090495F">
        <w:rPr>
          <w:rFonts w:cs="Times New Roman"/>
          <w:b/>
          <w:lang w:val="fr-CA"/>
        </w:rPr>
        <w:t xml:space="preserve"> </w:t>
      </w:r>
    </w:p>
    <w:p w:rsidR="00672A65" w:rsidRPr="0090495F" w:rsidRDefault="00672A65" w:rsidP="00384361">
      <w:pPr>
        <w:pStyle w:val="ParaNoNdepar-AltN"/>
        <w:rPr>
          <w:rFonts w:cs="Times New Roman"/>
          <w:lang w:val="fr-CA"/>
        </w:rPr>
      </w:pPr>
      <w:r w:rsidRPr="0090495F">
        <w:rPr>
          <w:rFonts w:cs="Times New Roman"/>
          <w:lang w:val="fr-CA"/>
        </w:rPr>
        <w:lastRenderedPageBreak/>
        <w:t xml:space="preserve">Les 20 et 21 février 2010, M. Clarke a commis un certain nombre d’infractions, dont celle d’introduction par effraction.  Les dispositions modificatives de la </w:t>
      </w:r>
      <w:r w:rsidRPr="00C22A00">
        <w:rPr>
          <w:rFonts w:cs="Times New Roman"/>
          <w:i/>
          <w:lang w:val="fr-CA"/>
        </w:rPr>
        <w:t>Loi</w:t>
      </w:r>
      <w:r w:rsidRPr="0090495F">
        <w:rPr>
          <w:rFonts w:cs="Times New Roman"/>
          <w:lang w:val="fr-CA"/>
        </w:rPr>
        <w:t xml:space="preserve"> ont été adoptées le 22 février 2010.  L’inculpation a eu lieu en mars 2010. </w:t>
      </w:r>
    </w:p>
    <w:p w:rsidR="00672A65" w:rsidRPr="0090495F" w:rsidRDefault="00672A65" w:rsidP="00384361">
      <w:pPr>
        <w:pStyle w:val="ParaNoNdepar-AltN"/>
        <w:rPr>
          <w:rFonts w:cs="Times New Roman"/>
          <w:lang w:val="fr-CA"/>
        </w:rPr>
      </w:pPr>
      <w:r w:rsidRPr="0090495F">
        <w:rPr>
          <w:rFonts w:cs="Times New Roman"/>
          <w:lang w:val="fr-CA"/>
        </w:rPr>
        <w:t xml:space="preserve">M. Clarke a inscrit un plaidoyer de culpabilité le 10 novembre 2010 et il a été condamné à 10 ans d’emprisonnement.  Le juge de première instance lui a accordé le crédit maximal d’un jour et demi par jour de détention </w:t>
      </w:r>
      <w:proofErr w:type="spellStart"/>
      <w:r w:rsidRPr="0090495F">
        <w:rPr>
          <w:rFonts w:cs="Times New Roman"/>
          <w:lang w:val="fr-CA"/>
        </w:rPr>
        <w:t>présentencielle</w:t>
      </w:r>
      <w:proofErr w:type="spellEnd"/>
      <w:r w:rsidRPr="0090495F">
        <w:rPr>
          <w:rFonts w:cs="Times New Roman"/>
          <w:lang w:val="fr-CA"/>
        </w:rPr>
        <w:t xml:space="preserve">, conformément aux nouvelles dispositions.  Sa peine a donc été réduite de 17 mois. </w:t>
      </w:r>
    </w:p>
    <w:p w:rsidR="00672A65" w:rsidRPr="0090495F" w:rsidRDefault="00672A65" w:rsidP="00384361">
      <w:pPr>
        <w:pStyle w:val="ParaNoNdepar-AltN"/>
        <w:rPr>
          <w:rFonts w:cs="Times New Roman"/>
          <w:b/>
          <w:lang w:val="fr-CA"/>
        </w:rPr>
      </w:pPr>
      <w:r w:rsidRPr="0090495F">
        <w:rPr>
          <w:rFonts w:cs="Times New Roman"/>
          <w:lang w:val="fr-CA"/>
        </w:rPr>
        <w:t xml:space="preserve">M. Clarke a fait valoir en vain, en première instance et en Cour d’appel, que suivant une interprétation juste de son art. 5, la </w:t>
      </w:r>
      <w:r w:rsidRPr="00C22A00">
        <w:rPr>
          <w:rFonts w:cs="Times New Roman"/>
          <w:i/>
          <w:lang w:val="fr-CA"/>
        </w:rPr>
        <w:t>Loi</w:t>
      </w:r>
      <w:r w:rsidRPr="0090495F">
        <w:rPr>
          <w:rFonts w:cs="Times New Roman"/>
          <w:lang w:val="fr-CA"/>
        </w:rPr>
        <w:t xml:space="preserve"> ne s’appliquait pas à sa situation puisque les </w:t>
      </w:r>
      <w:r w:rsidRPr="0090495F">
        <w:rPr>
          <w:rFonts w:cs="Times New Roman"/>
          <w:i/>
          <w:lang w:val="fr-CA"/>
        </w:rPr>
        <w:t>infractions</w:t>
      </w:r>
      <w:r w:rsidRPr="0090495F">
        <w:rPr>
          <w:rFonts w:cs="Times New Roman"/>
          <w:lang w:val="fr-CA"/>
        </w:rPr>
        <w:t xml:space="preserve"> avaient été commises avant l’entrée en vigueur des dispositions, de sorte qu’il avait droit au crédit de deux ou trois jours susceptible d’être accordé au moment de la perpétration des infractions.  Au lieu de contester la disposition directement sur le fondement de la </w:t>
      </w:r>
      <w:r w:rsidRPr="0090495F">
        <w:rPr>
          <w:rFonts w:cs="Times New Roman"/>
          <w:i/>
          <w:lang w:val="fr-CA"/>
        </w:rPr>
        <w:t>Charte</w:t>
      </w:r>
      <w:r w:rsidRPr="0090495F">
        <w:rPr>
          <w:rFonts w:cs="Times New Roman"/>
          <w:lang w:val="fr-CA"/>
        </w:rPr>
        <w:t xml:space="preserve">, il a soutenu qu’elle était équivoque et que les valeurs de la </w:t>
      </w:r>
      <w:r w:rsidRPr="0090495F">
        <w:rPr>
          <w:rFonts w:cs="Times New Roman"/>
          <w:i/>
          <w:lang w:val="fr-CA"/>
        </w:rPr>
        <w:t>Charte</w:t>
      </w:r>
      <w:r w:rsidRPr="0090495F">
        <w:rPr>
          <w:rFonts w:cs="Times New Roman"/>
          <w:lang w:val="fr-CA"/>
        </w:rPr>
        <w:t xml:space="preserve"> devaient donc s’appliquer de manière à donner un effet prospectif à l’art. 5. </w:t>
      </w:r>
    </w:p>
    <w:p w:rsidR="00672A65" w:rsidRPr="0090495F" w:rsidRDefault="00672A65" w:rsidP="00384361">
      <w:pPr>
        <w:pStyle w:val="ParaNoNdepar-AltN"/>
        <w:rPr>
          <w:rFonts w:cs="Times New Roman"/>
          <w:lang w:val="fr-CA"/>
        </w:rPr>
      </w:pPr>
      <w:r w:rsidRPr="0090495F">
        <w:rPr>
          <w:rFonts w:cs="Times New Roman"/>
          <w:lang w:val="fr-CA"/>
        </w:rPr>
        <w:t>Il est vrai qu’une disposition nouvelle sur la détermination de la peine devrait être présumée ne pas s’appliquer rétrospectivement (</w:t>
      </w:r>
      <w:r w:rsidRPr="0090495F">
        <w:rPr>
          <w:rFonts w:cs="Times New Roman"/>
          <w:i/>
          <w:lang w:val="fr-CA"/>
        </w:rPr>
        <w:t xml:space="preserve">R. c. </w:t>
      </w:r>
      <w:proofErr w:type="spellStart"/>
      <w:r w:rsidRPr="0090495F">
        <w:rPr>
          <w:rFonts w:cs="Times New Roman"/>
          <w:i/>
          <w:lang w:val="fr-CA"/>
        </w:rPr>
        <w:t>Dineley</w:t>
      </w:r>
      <w:proofErr w:type="spellEnd"/>
      <w:r w:rsidRPr="0090495F">
        <w:rPr>
          <w:rFonts w:cs="Times New Roman"/>
          <w:lang w:val="fr-CA"/>
        </w:rPr>
        <w:t xml:space="preserve">, [2012] 3 R.C.S. 272).  La présomption peut cependant être écartée par une manifestation claire de l’intention du législateur de conférer un effet rétrospectif à la disposition.  Dans </w:t>
      </w:r>
      <w:proofErr w:type="spellStart"/>
      <w:r w:rsidRPr="0090495F">
        <w:rPr>
          <w:rFonts w:cs="Times New Roman"/>
          <w:i/>
          <w:lang w:val="fr-CA"/>
        </w:rPr>
        <w:t>Dineley</w:t>
      </w:r>
      <w:proofErr w:type="spellEnd"/>
      <w:r w:rsidRPr="0090495F">
        <w:rPr>
          <w:rFonts w:cs="Times New Roman"/>
          <w:lang w:val="fr-CA"/>
        </w:rPr>
        <w:t>, la juge Deschamps dit de l’exigence de la clarté qu’elle assure</w:t>
      </w:r>
    </w:p>
    <w:p w:rsidR="00672A65" w:rsidRPr="0090495F" w:rsidRDefault="00672A65" w:rsidP="00384361">
      <w:pPr>
        <w:pStyle w:val="Citation-AltC"/>
        <w:ind w:hanging="1166"/>
        <w:contextualSpacing w:val="0"/>
        <w:rPr>
          <w:lang w:val="fr-CA"/>
        </w:rPr>
      </w:pPr>
      <w:r w:rsidRPr="0090495F">
        <w:rPr>
          <w:lang w:val="fr-CA"/>
        </w:rPr>
        <w:lastRenderedPageBreak/>
        <w:tab/>
      </w:r>
      <w:proofErr w:type="gramStart"/>
      <w:r w:rsidRPr="0090495F">
        <w:rPr>
          <w:lang w:val="fr-CA"/>
        </w:rPr>
        <w:t>le</w:t>
      </w:r>
      <w:proofErr w:type="gramEnd"/>
      <w:r w:rsidRPr="0090495F">
        <w:rPr>
          <w:lang w:val="fr-CA"/>
        </w:rPr>
        <w:t xml:space="preserve"> caractère exceptionnel des mesures législatives applicables rétrospectivement</w:t>
      </w:r>
      <w:r w:rsidR="00C22A00">
        <w:rPr>
          <w:lang w:val="fr-CA"/>
        </w:rPr>
        <w:t>.</w:t>
      </w:r>
      <w:r w:rsidRPr="0090495F">
        <w:rPr>
          <w:lang w:val="fr-CA"/>
        </w:rPr>
        <w:t xml:space="preserve"> [. . .]  Ainsi, une nouvelle mesure législative qui porte atteinte à de tels droits est présumée n’avoir d’effet que pour l’avenir, à moins qu’il soit possible de discerner une intention claire du législateur qu’ell</w:t>
      </w:r>
      <w:r w:rsidR="00C22A00">
        <w:rPr>
          <w:lang w:val="fr-CA"/>
        </w:rPr>
        <w:t xml:space="preserve">e s’applique </w:t>
      </w:r>
      <w:proofErr w:type="gramStart"/>
      <w:r w:rsidR="00C22A00">
        <w:rPr>
          <w:lang w:val="fr-CA"/>
        </w:rPr>
        <w:t>rétrospectivement .</w:t>
      </w:r>
      <w:proofErr w:type="gramEnd"/>
      <w:r w:rsidR="00C22A00">
        <w:rPr>
          <w:lang w:val="fr-CA"/>
        </w:rPr>
        <w:t> . .</w:t>
      </w:r>
      <w:r w:rsidRPr="0090495F">
        <w:rPr>
          <w:lang w:val="fr-CA"/>
        </w:rPr>
        <w:t xml:space="preserve">  [par. 10]</w:t>
      </w:r>
    </w:p>
    <w:p w:rsidR="00672A65" w:rsidRPr="0090495F" w:rsidRDefault="00672A65" w:rsidP="00384361">
      <w:pPr>
        <w:pStyle w:val="ParaNoNdepar-AltN"/>
        <w:rPr>
          <w:rFonts w:cs="Times New Roman"/>
          <w:lang w:val="fr-CA"/>
        </w:rPr>
      </w:pPr>
      <w:r w:rsidRPr="0090495F">
        <w:rPr>
          <w:rFonts w:cs="Times New Roman"/>
          <w:lang w:val="fr-CA"/>
        </w:rPr>
        <w:t xml:space="preserve">En l’espèce, le libellé est suffisamment clair pour écarter la présomption.  Soit dit en tout respect, il est difficile d’imaginer une expression moins ambiguë de l’intention du législateur que celle qui correspond au texte simple de l’art. 5.  La loi prévoit clairement que les nouvelles dispositions s’appliquent aux personnes inculpées après l’entrée en vigueur de la </w:t>
      </w:r>
      <w:r w:rsidRPr="00521A6C">
        <w:rPr>
          <w:rFonts w:cs="Times New Roman"/>
          <w:i/>
          <w:lang w:val="fr-CA"/>
        </w:rPr>
        <w:t>Loi</w:t>
      </w:r>
      <w:r w:rsidRPr="0090495F">
        <w:rPr>
          <w:rFonts w:cs="Times New Roman"/>
          <w:lang w:val="fr-CA"/>
        </w:rPr>
        <w:t xml:space="preserve">.  Le seul moment déterminant est celui de l’inculpation, peu importe celui de la perpétration des infractions.  </w:t>
      </w:r>
    </w:p>
    <w:p w:rsidR="00672A65" w:rsidRPr="0090495F" w:rsidRDefault="00672A65" w:rsidP="00384361">
      <w:pPr>
        <w:pStyle w:val="ParaNoNdepar-AltN"/>
        <w:rPr>
          <w:rFonts w:cs="Times New Roman"/>
          <w:lang w:val="fr-CA"/>
        </w:rPr>
      </w:pPr>
      <w:r w:rsidRPr="0090495F">
        <w:rPr>
          <w:rFonts w:cs="Times New Roman"/>
          <w:lang w:val="fr-CA"/>
        </w:rPr>
        <w:t xml:space="preserve">L’absence d’ambiguïté fait également obstacle au recours aux valeurs de la </w:t>
      </w:r>
      <w:r w:rsidRPr="0090495F">
        <w:rPr>
          <w:rFonts w:cs="Times New Roman"/>
          <w:i/>
          <w:lang w:val="fr-CA"/>
        </w:rPr>
        <w:t>Charte</w:t>
      </w:r>
      <w:r w:rsidRPr="0090495F">
        <w:rPr>
          <w:rFonts w:cs="Times New Roman"/>
          <w:lang w:val="fr-CA"/>
        </w:rPr>
        <w:t xml:space="preserve"> pour interpréter la disposition, ces valeurs ne jouant un rôle qu’en cas d’ambiguïté véritable (</w:t>
      </w:r>
      <w:r w:rsidRPr="0090495F">
        <w:rPr>
          <w:rFonts w:cs="Times New Roman"/>
          <w:i/>
          <w:lang w:val="fr-CA"/>
        </w:rPr>
        <w:t xml:space="preserve">Bell </w:t>
      </w:r>
      <w:proofErr w:type="spellStart"/>
      <w:r w:rsidRPr="0090495F">
        <w:rPr>
          <w:rFonts w:cs="Times New Roman"/>
          <w:i/>
          <w:lang w:val="fr-CA"/>
        </w:rPr>
        <w:t>ExpressVu</w:t>
      </w:r>
      <w:proofErr w:type="spellEnd"/>
      <w:r w:rsidRPr="0090495F">
        <w:rPr>
          <w:rFonts w:cs="Times New Roman"/>
          <w:i/>
          <w:lang w:val="fr-CA"/>
        </w:rPr>
        <w:t xml:space="preserve"> Limited </w:t>
      </w:r>
      <w:proofErr w:type="spellStart"/>
      <w:r w:rsidRPr="0090495F">
        <w:rPr>
          <w:rFonts w:cs="Times New Roman"/>
          <w:i/>
          <w:lang w:val="fr-CA"/>
        </w:rPr>
        <w:t>Partnership</w:t>
      </w:r>
      <w:proofErr w:type="spellEnd"/>
      <w:r w:rsidRPr="0090495F">
        <w:rPr>
          <w:rFonts w:cs="Times New Roman"/>
          <w:i/>
          <w:lang w:val="fr-CA"/>
        </w:rPr>
        <w:t xml:space="preserve"> c. Rex</w:t>
      </w:r>
      <w:r w:rsidRPr="00361C7A">
        <w:rPr>
          <w:rFonts w:cs="Times New Roman"/>
          <w:lang w:val="fr-CA"/>
        </w:rPr>
        <w:t>,</w:t>
      </w:r>
      <w:r w:rsidRPr="0090495F">
        <w:rPr>
          <w:rFonts w:cs="Times New Roman"/>
          <w:i/>
          <w:lang w:val="fr-CA"/>
        </w:rPr>
        <w:t xml:space="preserve"> </w:t>
      </w:r>
      <w:r w:rsidRPr="0090495F">
        <w:rPr>
          <w:rFonts w:cs="Times New Roman"/>
          <w:lang w:val="fr-CA"/>
        </w:rPr>
        <w:t>[2002] 2 R.C.S. 559</w:t>
      </w:r>
      <w:r w:rsidR="00521A6C">
        <w:rPr>
          <w:rFonts w:cs="Times New Roman"/>
          <w:lang w:val="fr-CA"/>
        </w:rPr>
        <w:t>,</w:t>
      </w:r>
      <w:r w:rsidRPr="0090495F">
        <w:rPr>
          <w:rFonts w:cs="Times New Roman"/>
          <w:lang w:val="fr-CA"/>
        </w:rPr>
        <w:t xml:space="preserve"> et </w:t>
      </w:r>
      <w:r w:rsidRPr="0090495F">
        <w:rPr>
          <w:rFonts w:cs="Times New Roman"/>
          <w:i/>
          <w:lang w:val="fr-CA"/>
        </w:rPr>
        <w:t>R. c.</w:t>
      </w:r>
      <w:r w:rsidRPr="0090495F">
        <w:rPr>
          <w:rFonts w:cs="Times New Roman"/>
          <w:lang w:val="fr-CA"/>
        </w:rPr>
        <w:t xml:space="preserve"> </w:t>
      </w:r>
      <w:r w:rsidRPr="0090495F">
        <w:rPr>
          <w:rFonts w:cs="Times New Roman"/>
          <w:i/>
          <w:lang w:val="fr-CA"/>
        </w:rPr>
        <w:t>Rodgers</w:t>
      </w:r>
      <w:r w:rsidRPr="00361C7A">
        <w:rPr>
          <w:rFonts w:cs="Times New Roman"/>
          <w:lang w:val="fr-CA"/>
        </w:rPr>
        <w:t>,</w:t>
      </w:r>
      <w:r w:rsidRPr="0090495F">
        <w:rPr>
          <w:rFonts w:cs="Times New Roman"/>
          <w:lang w:val="fr-CA"/>
        </w:rPr>
        <w:t xml:space="preserve"> [2006] 1 </w:t>
      </w:r>
      <w:r w:rsidR="00E10AD5">
        <w:rPr>
          <w:rFonts w:cs="Times New Roman"/>
          <w:lang w:val="fr-CA"/>
        </w:rPr>
        <w:t>R.C.S.</w:t>
      </w:r>
      <w:r w:rsidRPr="0090495F">
        <w:rPr>
          <w:rFonts w:cs="Times New Roman"/>
          <w:lang w:val="fr-CA"/>
        </w:rPr>
        <w:t xml:space="preserve"> 554).  Lorsque la mesure législative est sans équivoque, le tribunal doit donner effet à l’intention manifeste du législateur. </w:t>
      </w:r>
    </w:p>
    <w:p w:rsidR="00672A65" w:rsidRPr="0090495F" w:rsidRDefault="00672A65" w:rsidP="00384361">
      <w:pPr>
        <w:pStyle w:val="ParaNoNdepar-AltN"/>
        <w:rPr>
          <w:rFonts w:cs="Times New Roman"/>
          <w:lang w:val="fr-CA"/>
        </w:rPr>
      </w:pPr>
      <w:r w:rsidRPr="0090495F">
        <w:rPr>
          <w:rFonts w:cs="Times New Roman"/>
          <w:lang w:val="fr-CA"/>
        </w:rPr>
        <w:t xml:space="preserve">Dans </w:t>
      </w:r>
      <w:r w:rsidRPr="0090495F">
        <w:rPr>
          <w:rFonts w:cs="Times New Roman"/>
          <w:i/>
          <w:lang w:val="fr-CA"/>
        </w:rPr>
        <w:t xml:space="preserve">Bell </w:t>
      </w:r>
      <w:proofErr w:type="spellStart"/>
      <w:r w:rsidRPr="0090495F">
        <w:rPr>
          <w:rFonts w:cs="Times New Roman"/>
          <w:i/>
          <w:lang w:val="fr-CA"/>
        </w:rPr>
        <w:t>ExpressVu</w:t>
      </w:r>
      <w:proofErr w:type="spellEnd"/>
      <w:r w:rsidRPr="0090495F">
        <w:rPr>
          <w:rFonts w:cs="Times New Roman"/>
          <w:lang w:val="fr-CA"/>
        </w:rPr>
        <w:t xml:space="preserve">, le juge </w:t>
      </w:r>
      <w:proofErr w:type="spellStart"/>
      <w:r w:rsidRPr="0090495F">
        <w:rPr>
          <w:rFonts w:cs="Times New Roman"/>
          <w:lang w:val="fr-CA"/>
        </w:rPr>
        <w:t>Iacobucci</w:t>
      </w:r>
      <w:proofErr w:type="spellEnd"/>
      <w:r w:rsidRPr="0090495F">
        <w:rPr>
          <w:rFonts w:cs="Times New Roman"/>
          <w:lang w:val="fr-CA"/>
        </w:rPr>
        <w:t xml:space="preserve"> explique comme suit la fonction des valeurs de la </w:t>
      </w:r>
      <w:r w:rsidRPr="0090495F">
        <w:rPr>
          <w:rFonts w:cs="Times New Roman"/>
          <w:i/>
          <w:lang w:val="fr-CA"/>
        </w:rPr>
        <w:t>Charte</w:t>
      </w:r>
      <w:r w:rsidRPr="0090495F">
        <w:rPr>
          <w:rFonts w:cs="Times New Roman"/>
          <w:lang w:val="fr-CA"/>
        </w:rPr>
        <w:t xml:space="preserve"> dans l’interprétation des lois : </w:t>
      </w:r>
    </w:p>
    <w:p w:rsidR="00672A65" w:rsidRPr="0090495F" w:rsidRDefault="00672A65" w:rsidP="00384361">
      <w:pPr>
        <w:pStyle w:val="Citation-AltC"/>
        <w:spacing w:after="240"/>
        <w:ind w:hanging="1166"/>
        <w:contextualSpacing w:val="0"/>
        <w:rPr>
          <w:lang w:val="fr-CA"/>
        </w:rPr>
      </w:pPr>
      <w:r w:rsidRPr="0090495F">
        <w:rPr>
          <w:lang w:val="fr-CA"/>
        </w:rPr>
        <w:tab/>
      </w:r>
      <w:r w:rsidR="00DE1D99">
        <w:rPr>
          <w:lang w:val="fr-CA"/>
        </w:rPr>
        <w:tab/>
      </w:r>
      <w:r w:rsidRPr="0090495F">
        <w:rPr>
          <w:lang w:val="fr-CA"/>
        </w:rPr>
        <w:t xml:space="preserve">. . . dans la mesure où notre Cour a reconnu un principe d’interprétation fondé sur le respect des « valeurs de la </w:t>
      </w:r>
      <w:r w:rsidRPr="0090495F">
        <w:rPr>
          <w:i/>
          <w:lang w:val="fr-CA"/>
        </w:rPr>
        <w:t>Charte</w:t>
      </w:r>
      <w:r w:rsidRPr="0090495F">
        <w:rPr>
          <w:lang w:val="fr-CA"/>
        </w:rPr>
        <w:t xml:space="preserve"> », ce principe ne s’applique </w:t>
      </w:r>
      <w:r w:rsidRPr="0090495F">
        <w:rPr>
          <w:i/>
          <w:lang w:val="fr-CA"/>
        </w:rPr>
        <w:t>uniquement</w:t>
      </w:r>
      <w:r w:rsidRPr="0090495F">
        <w:rPr>
          <w:lang w:val="fr-CA"/>
        </w:rPr>
        <w:t xml:space="preserve"> qu’en cas d’ambiguïté véritable, c’est</w:t>
      </w:r>
      <w:r w:rsidR="00521A6C">
        <w:rPr>
          <w:rFonts w:eastAsia="MS Mincho"/>
          <w:lang w:val="fr-CA"/>
        </w:rPr>
        <w:t>-</w:t>
      </w:r>
      <w:r w:rsidRPr="0090495F">
        <w:rPr>
          <w:lang w:val="fr-CA"/>
        </w:rPr>
        <w:t>à</w:t>
      </w:r>
      <w:r w:rsidR="00521A6C">
        <w:rPr>
          <w:rFonts w:eastAsia="MS Mincho"/>
          <w:lang w:val="fr-CA"/>
        </w:rPr>
        <w:t>-</w:t>
      </w:r>
      <w:r w:rsidRPr="0090495F">
        <w:rPr>
          <w:lang w:val="fr-CA"/>
        </w:rPr>
        <w:t>dire lorsqu’une disposition législative se prête à des interprétations divergentes mais par ailleurs tout aussi plausibles l’une que l’autre.  [Souligné dans l’original</w:t>
      </w:r>
      <w:r w:rsidR="00DE1D99">
        <w:rPr>
          <w:lang w:val="fr-CA"/>
        </w:rPr>
        <w:t>; par. 62</w:t>
      </w:r>
      <w:r w:rsidRPr="0090495F">
        <w:rPr>
          <w:lang w:val="fr-CA"/>
        </w:rPr>
        <w:t>.]</w:t>
      </w:r>
    </w:p>
    <w:p w:rsidR="00672A65" w:rsidRPr="0090495F" w:rsidRDefault="00672A65" w:rsidP="00384361">
      <w:pPr>
        <w:pStyle w:val="Citation-AltC"/>
        <w:spacing w:after="240"/>
        <w:ind w:hanging="1166"/>
        <w:contextualSpacing w:val="0"/>
        <w:jc w:val="center"/>
        <w:rPr>
          <w:lang w:val="fr-CA"/>
        </w:rPr>
      </w:pPr>
      <w:r w:rsidRPr="0090495F">
        <w:rPr>
          <w:lang w:val="fr-CA"/>
        </w:rPr>
        <w:lastRenderedPageBreak/>
        <w:t>. . .</w:t>
      </w:r>
    </w:p>
    <w:p w:rsidR="00672A65" w:rsidRPr="0090495F" w:rsidRDefault="00672A65" w:rsidP="00384361">
      <w:pPr>
        <w:pStyle w:val="Citation-AltC"/>
        <w:spacing w:after="240"/>
        <w:ind w:hanging="1166"/>
        <w:contextualSpacing w:val="0"/>
        <w:rPr>
          <w:lang w:val="fr-CA"/>
        </w:rPr>
      </w:pPr>
      <w:r w:rsidRPr="0090495F">
        <w:rPr>
          <w:lang w:val="fr-CA"/>
        </w:rPr>
        <w:tab/>
      </w:r>
      <w:r w:rsidR="00DE1D99">
        <w:rPr>
          <w:lang w:val="fr-CA"/>
        </w:rPr>
        <w:tab/>
      </w:r>
      <w:r w:rsidRPr="0090495F">
        <w:rPr>
          <w:lang w:val="fr-CA"/>
        </w:rPr>
        <w:t xml:space="preserve">. . . appliquer une présomption générale de conformité à la </w:t>
      </w:r>
      <w:r w:rsidRPr="0090495F">
        <w:rPr>
          <w:i/>
          <w:lang w:val="fr-CA"/>
        </w:rPr>
        <w:t>Charte</w:t>
      </w:r>
      <w:r w:rsidRPr="0090495F">
        <w:rPr>
          <w:lang w:val="fr-CA"/>
        </w:rPr>
        <w:t xml:space="preserve"> pourrait parfois contrecarrer le respect de l’intention véritable du législateur, contrairement à ce que prescrit la démarche privilégiée en matière d’interprétation législative. </w:t>
      </w:r>
      <w:r w:rsidR="00DE1D99">
        <w:rPr>
          <w:lang w:val="fr-CA"/>
        </w:rPr>
        <w:t>. .  [</w:t>
      </w:r>
      <w:proofErr w:type="gramStart"/>
      <w:r w:rsidR="00DE1D99">
        <w:rPr>
          <w:lang w:val="fr-CA"/>
        </w:rPr>
        <w:t>par</w:t>
      </w:r>
      <w:proofErr w:type="gramEnd"/>
      <w:r w:rsidR="00DE1D99">
        <w:rPr>
          <w:lang w:val="fr-CA"/>
        </w:rPr>
        <w:t>. 64]</w:t>
      </w:r>
    </w:p>
    <w:p w:rsidR="00672A65" w:rsidRPr="0090495F" w:rsidRDefault="00672A65" w:rsidP="00384361">
      <w:pPr>
        <w:pStyle w:val="Citation-AltC"/>
        <w:spacing w:after="240"/>
        <w:ind w:hanging="1166"/>
        <w:contextualSpacing w:val="0"/>
        <w:jc w:val="center"/>
        <w:rPr>
          <w:lang w:val="fr-CA"/>
        </w:rPr>
      </w:pPr>
      <w:r w:rsidRPr="0090495F">
        <w:rPr>
          <w:lang w:val="fr-CA"/>
        </w:rPr>
        <w:t>. . .</w:t>
      </w:r>
    </w:p>
    <w:p w:rsidR="00672A65" w:rsidRPr="0090495F" w:rsidRDefault="00672A65" w:rsidP="00384361">
      <w:pPr>
        <w:pStyle w:val="Citation-AltC"/>
        <w:ind w:hanging="1166"/>
        <w:contextualSpacing w:val="0"/>
        <w:rPr>
          <w:lang w:val="fr-CA"/>
        </w:rPr>
      </w:pPr>
      <w:r w:rsidRPr="0090495F">
        <w:rPr>
          <w:lang w:val="fr-CA"/>
        </w:rPr>
        <w:tab/>
      </w:r>
      <w:r w:rsidR="00905A03">
        <w:rPr>
          <w:lang w:val="fr-CA"/>
        </w:rPr>
        <w:tab/>
      </w:r>
      <w:r w:rsidRPr="0090495F">
        <w:rPr>
          <w:lang w:val="fr-CA"/>
        </w:rPr>
        <w:t xml:space="preserve">. . . si les tribunaux devaient interpréter toutes les lois de manière à faire en sorte qu’elles soient conformes à la </w:t>
      </w:r>
      <w:r w:rsidRPr="0090495F">
        <w:rPr>
          <w:i/>
          <w:lang w:val="fr-CA"/>
        </w:rPr>
        <w:t>Charte</w:t>
      </w:r>
      <w:r w:rsidRPr="0090495F">
        <w:rPr>
          <w:lang w:val="fr-CA"/>
        </w:rPr>
        <w:t xml:space="preserve">, cela perturberait à tort l’équilibre dialogique.  Chaque fois que ce principe serait appliqué, il préviendrait tout contrôle judiciaire fondé sur des motifs prévus par la </w:t>
      </w:r>
      <w:r w:rsidRPr="0090495F">
        <w:rPr>
          <w:i/>
          <w:lang w:val="fr-CA"/>
        </w:rPr>
        <w:t>Charte</w:t>
      </w:r>
      <w:r w:rsidRPr="0090495F">
        <w:rPr>
          <w:lang w:val="fr-CA"/>
        </w:rPr>
        <w:t xml:space="preserve">, recours qui permet de profiter des mécanismes internes de pondération que comporte l’article premier.  Ainsi, les législateurs seraient en grande partie dépouillés du pouvoir que leur reconnaît la Constitution d’apporter, par voie législative, des restrictions raisonnables aux droits et libertés garantis par la </w:t>
      </w:r>
      <w:r w:rsidRPr="0090495F">
        <w:rPr>
          <w:i/>
          <w:lang w:val="fr-CA"/>
        </w:rPr>
        <w:t>Charte</w:t>
      </w:r>
      <w:r w:rsidR="00905A03">
        <w:rPr>
          <w:lang w:val="fr-CA"/>
        </w:rPr>
        <w:t>, lesquels possé</w:t>
      </w:r>
      <w:r w:rsidRPr="0090495F">
        <w:rPr>
          <w:lang w:val="fr-CA"/>
        </w:rPr>
        <w:t xml:space="preserve">deraient dès lors un caractère quasi absolu.  En fait, le législateur qui ne voudrait pas se retrouver dans une telle situation devrait, d’une manière ou d’une autre, justifier expressément dans le texte législatif la limitation du droit garanti par la </w:t>
      </w:r>
      <w:r w:rsidRPr="0090495F">
        <w:rPr>
          <w:i/>
          <w:lang w:val="fr-CA"/>
        </w:rPr>
        <w:t>Charte</w:t>
      </w:r>
      <w:r w:rsidRPr="0090495F">
        <w:rPr>
          <w:lang w:val="fr-CA"/>
        </w:rPr>
        <w:t xml:space="preserve">, sans bénéficier des avantages d’un débat devant les tribunaux relativement aux restrictions qui sont acceptables dans une société libre et démocratique.  Avant longtemps, les tribunaux seraient appelés à interpréter </w:t>
      </w:r>
      <w:r w:rsidRPr="00521A6C">
        <w:rPr>
          <w:i/>
          <w:lang w:val="fr-CA"/>
        </w:rPr>
        <w:t>ce</w:t>
      </w:r>
      <w:r w:rsidRPr="0090495F">
        <w:rPr>
          <w:lang w:val="fr-CA"/>
        </w:rPr>
        <w:t xml:space="preserve"> genre de texte de loi à la lumière des principes consacrés par la </w:t>
      </w:r>
      <w:r w:rsidRPr="0090495F">
        <w:rPr>
          <w:i/>
          <w:lang w:val="fr-CA"/>
        </w:rPr>
        <w:t>Charte</w:t>
      </w:r>
      <w:r w:rsidRPr="0090495F">
        <w:rPr>
          <w:lang w:val="fr-CA"/>
        </w:rPr>
        <w:t xml:space="preserve">.  Le caractère manifestement impraticable d’une telle façon de faire met en évidence l’importance de maintenir le dialogue entre les pouvoirs composant l’État.  </w:t>
      </w:r>
      <w:r w:rsidRPr="0090495F">
        <w:rPr>
          <w:i/>
          <w:lang w:val="fr-CA"/>
        </w:rPr>
        <w:t>Par conséquent, lorsqu’une loi n’est pas ambiguë, les tribunaux doivent donner effet à l’intention clairement exprimée par le législateur et éviter d’utiliser la Charte pour arriver à un résultat différent</w:t>
      </w:r>
      <w:r w:rsidRPr="0090495F">
        <w:rPr>
          <w:lang w:val="fr-CA"/>
        </w:rPr>
        <w:t>.  [Italiques ajoutés</w:t>
      </w:r>
      <w:r w:rsidR="00905A03">
        <w:rPr>
          <w:lang w:val="fr-CA"/>
        </w:rPr>
        <w:t>; par. 66</w:t>
      </w:r>
      <w:r w:rsidRPr="0090495F">
        <w:rPr>
          <w:lang w:val="fr-CA"/>
        </w:rPr>
        <w:t>.]</w:t>
      </w:r>
    </w:p>
    <w:p w:rsidR="00672A65" w:rsidRPr="0090495F" w:rsidRDefault="00672A65" w:rsidP="00384361">
      <w:pPr>
        <w:pStyle w:val="ParaNoNdepar-AltN"/>
        <w:rPr>
          <w:rFonts w:cs="Times New Roman"/>
          <w:lang w:val="fr-CA"/>
        </w:rPr>
      </w:pPr>
      <w:r w:rsidRPr="0090495F">
        <w:rPr>
          <w:rFonts w:cs="Times New Roman"/>
          <w:lang w:val="fr-CA"/>
        </w:rPr>
        <w:t xml:space="preserve">Dans </w:t>
      </w:r>
      <w:r w:rsidRPr="0090495F">
        <w:rPr>
          <w:rFonts w:cs="Times New Roman"/>
          <w:i/>
          <w:lang w:val="fr-CA"/>
        </w:rPr>
        <w:t>Rodgers</w:t>
      </w:r>
      <w:r w:rsidRPr="0090495F">
        <w:rPr>
          <w:rFonts w:cs="Times New Roman"/>
          <w:lang w:val="fr-CA"/>
        </w:rPr>
        <w:t xml:space="preserve">, la juge Charron confirme ce balisage de l’interprétation en matière criminelle : </w:t>
      </w:r>
    </w:p>
    <w:p w:rsidR="00672A65" w:rsidRPr="0090495F" w:rsidRDefault="00672A65" w:rsidP="00384361">
      <w:pPr>
        <w:pStyle w:val="Citation-AltC"/>
        <w:spacing w:after="240"/>
        <w:ind w:hanging="1166"/>
        <w:contextualSpacing w:val="0"/>
        <w:rPr>
          <w:lang w:val="fr-CA"/>
        </w:rPr>
      </w:pPr>
      <w:r w:rsidRPr="0090495F">
        <w:rPr>
          <w:lang w:val="fr-CA"/>
        </w:rPr>
        <w:tab/>
      </w:r>
      <w:r w:rsidR="00905A03">
        <w:rPr>
          <w:lang w:val="fr-CA"/>
        </w:rPr>
        <w:tab/>
      </w:r>
      <w:r w:rsidRPr="0090495F">
        <w:rPr>
          <w:lang w:val="fr-CA"/>
        </w:rPr>
        <w:t xml:space="preserve">. . . </w:t>
      </w:r>
      <w:r w:rsidR="00521A6C">
        <w:rPr>
          <w:lang w:val="fr-CA"/>
        </w:rPr>
        <w:t>I</w:t>
      </w:r>
      <w:r w:rsidRPr="0090495F">
        <w:rPr>
          <w:lang w:val="fr-CA"/>
        </w:rPr>
        <w:t xml:space="preserve">l est depuis longtemps admis que les tribunaux doivent appliquer et faire évoluer les règles de </w:t>
      </w:r>
      <w:proofErr w:type="spellStart"/>
      <w:r w:rsidRPr="0090495F">
        <w:rPr>
          <w:lang w:val="fr-CA"/>
        </w:rPr>
        <w:t>common</w:t>
      </w:r>
      <w:proofErr w:type="spellEnd"/>
      <w:r w:rsidRPr="0090495F">
        <w:rPr>
          <w:lang w:val="fr-CA"/>
        </w:rPr>
        <w:t xml:space="preserve"> </w:t>
      </w:r>
      <w:proofErr w:type="spellStart"/>
      <w:r w:rsidRPr="0090495F">
        <w:rPr>
          <w:lang w:val="fr-CA"/>
        </w:rPr>
        <w:t>law</w:t>
      </w:r>
      <w:proofErr w:type="spellEnd"/>
      <w:r w:rsidRPr="0090495F">
        <w:rPr>
          <w:lang w:val="fr-CA"/>
        </w:rPr>
        <w:t xml:space="preserve"> en conformité avec les valeurs et les principes consacrés par la </w:t>
      </w:r>
      <w:r w:rsidRPr="0090495F">
        <w:rPr>
          <w:i/>
          <w:lang w:val="fr-CA"/>
        </w:rPr>
        <w:t>Charte</w:t>
      </w:r>
      <w:r w:rsidRPr="0090495F">
        <w:rPr>
          <w:lang w:val="fr-CA"/>
        </w:rPr>
        <w:t xml:space="preserve"> [. </w:t>
      </w:r>
      <w:r w:rsidR="00905A03">
        <w:rPr>
          <w:lang w:val="fr-CA"/>
        </w:rPr>
        <w:t>. .]</w:t>
      </w:r>
      <w:r w:rsidRPr="0090495F">
        <w:rPr>
          <w:lang w:val="fr-CA"/>
        </w:rPr>
        <w:t xml:space="preserve">  Cependant, il est également bien établi qu’une disposition législative ne peut être interprétée au regard des valeurs de la </w:t>
      </w:r>
      <w:r w:rsidRPr="0090495F">
        <w:rPr>
          <w:i/>
          <w:lang w:val="fr-CA"/>
        </w:rPr>
        <w:t>Charte</w:t>
      </w:r>
      <w:r w:rsidRPr="0090495F">
        <w:rPr>
          <w:lang w:val="fr-CA"/>
        </w:rPr>
        <w:t xml:space="preserve"> que si elle comporte une ambiguïté véritable.  En d’autres termes, lorsque la disposition législative se prête à deux interprétations différentes, mais également plausibles et compatibles </w:t>
      </w:r>
      <w:r w:rsidRPr="0090495F">
        <w:rPr>
          <w:lang w:val="fr-CA"/>
        </w:rPr>
        <w:lastRenderedPageBreak/>
        <w:t xml:space="preserve">avec l’objet apparent de la loi, </w:t>
      </w:r>
      <w:r w:rsidRPr="0090495F">
        <w:rPr>
          <w:i/>
          <w:lang w:val="fr-CA"/>
        </w:rPr>
        <w:t>il convient de préférer l’interprétation qui s’harmonise avec les principes de la Charte.  Toutefois, lorsque la disposition n’est pas ambiguë, le tribunal doit donner effet à l’intention manifeste du législateur et s’abstenir de recourir à la Charte pour arriver à un résultat différent</w:t>
      </w:r>
      <w:r w:rsidRPr="0090495F">
        <w:rPr>
          <w:lang w:val="fr-CA"/>
        </w:rPr>
        <w:t xml:space="preserve">. </w:t>
      </w:r>
      <w:r w:rsidR="00EC224B">
        <w:rPr>
          <w:lang w:val="fr-CA"/>
        </w:rPr>
        <w:t>. .</w:t>
      </w:r>
      <w:r w:rsidRPr="0090495F">
        <w:rPr>
          <w:lang w:val="fr-CA"/>
        </w:rPr>
        <w:t xml:space="preserve"> [Italiques ajoutés</w:t>
      </w:r>
      <w:r w:rsidR="00905A03">
        <w:rPr>
          <w:lang w:val="fr-CA"/>
        </w:rPr>
        <w:t>; par. 18</w:t>
      </w:r>
      <w:r w:rsidRPr="0090495F">
        <w:rPr>
          <w:lang w:val="fr-CA"/>
        </w:rPr>
        <w:t>.]</w:t>
      </w:r>
    </w:p>
    <w:p w:rsidR="00672A65" w:rsidRPr="0090495F" w:rsidRDefault="00672A65" w:rsidP="00384361">
      <w:pPr>
        <w:pStyle w:val="Citation-AltC"/>
        <w:ind w:hanging="1166"/>
        <w:contextualSpacing w:val="0"/>
        <w:rPr>
          <w:lang w:val="fr-CA"/>
        </w:rPr>
      </w:pPr>
      <w:r w:rsidRPr="0090495F">
        <w:rPr>
          <w:lang w:val="fr-CA"/>
        </w:rPr>
        <w:tab/>
      </w:r>
      <w:r w:rsidR="00905A03">
        <w:rPr>
          <w:lang w:val="fr-CA"/>
        </w:rPr>
        <w:tab/>
      </w:r>
      <w:r w:rsidRPr="0090495F">
        <w:rPr>
          <w:lang w:val="fr-CA"/>
        </w:rPr>
        <w:t xml:space="preserve">Si le recours à la </w:t>
      </w:r>
      <w:r w:rsidRPr="0090495F">
        <w:rPr>
          <w:i/>
          <w:lang w:val="fr-CA"/>
        </w:rPr>
        <w:t>Charte</w:t>
      </w:r>
      <w:r w:rsidRPr="0090495F">
        <w:rPr>
          <w:lang w:val="fr-CA"/>
        </w:rPr>
        <w:t xml:space="preserve"> comme outil d’interprétation n’était pas ainsi restreint, l’application des principes qu’elle consacre, comme règle générale d’interprétation législative, pourrait bien contrecarrer l’intention du législateur.  En outre, elle priverait la </w:t>
      </w:r>
      <w:r w:rsidRPr="0090495F">
        <w:rPr>
          <w:i/>
          <w:lang w:val="fr-CA"/>
        </w:rPr>
        <w:t>Charte</w:t>
      </w:r>
      <w:r w:rsidRPr="0090495F">
        <w:rPr>
          <w:lang w:val="fr-CA"/>
        </w:rPr>
        <w:t xml:space="preserve"> de sa raison d’être plus fondamentale — la détermination de l</w:t>
      </w:r>
      <w:r w:rsidR="00EC224B">
        <w:rPr>
          <w:lang w:val="fr-CA"/>
        </w:rPr>
        <w:t xml:space="preserve">a constitutionnalité de la </w:t>
      </w:r>
      <w:proofErr w:type="gramStart"/>
      <w:r w:rsidR="00EC224B">
        <w:rPr>
          <w:lang w:val="fr-CA"/>
        </w:rPr>
        <w:t>loi .</w:t>
      </w:r>
      <w:proofErr w:type="gramEnd"/>
      <w:r w:rsidR="00EC224B">
        <w:rPr>
          <w:lang w:val="fr-CA"/>
        </w:rPr>
        <w:t> . .</w:t>
      </w:r>
      <w:r w:rsidRPr="0090495F">
        <w:rPr>
          <w:lang w:val="fr-CA"/>
        </w:rPr>
        <w:t xml:space="preserve"> </w:t>
      </w:r>
      <w:r w:rsidR="00905A03">
        <w:rPr>
          <w:lang w:val="fr-CA"/>
        </w:rPr>
        <w:t>[par. 19]</w:t>
      </w:r>
    </w:p>
    <w:p w:rsidR="00672A65" w:rsidRPr="0090495F" w:rsidRDefault="00672A65" w:rsidP="00384361">
      <w:pPr>
        <w:pStyle w:val="ParaNoNdepar-AltN"/>
        <w:rPr>
          <w:rFonts w:cs="Times New Roman"/>
          <w:lang w:val="fr-CA"/>
        </w:rPr>
      </w:pPr>
      <w:r w:rsidRPr="0090495F">
        <w:rPr>
          <w:rFonts w:cs="Times New Roman"/>
          <w:lang w:val="fr-CA"/>
        </w:rPr>
        <w:t xml:space="preserve">Plus récemment, dans </w:t>
      </w:r>
      <w:r w:rsidRPr="0090495F">
        <w:rPr>
          <w:rFonts w:cs="Times New Roman"/>
          <w:i/>
          <w:lang w:val="fr-CA"/>
        </w:rPr>
        <w:t>R. c.</w:t>
      </w:r>
      <w:r w:rsidRPr="0090495F">
        <w:rPr>
          <w:rFonts w:cs="Times New Roman"/>
          <w:lang w:val="fr-CA"/>
        </w:rPr>
        <w:t xml:space="preserve"> </w:t>
      </w:r>
      <w:proofErr w:type="spellStart"/>
      <w:r w:rsidRPr="0090495F">
        <w:rPr>
          <w:rFonts w:cs="Times New Roman"/>
          <w:i/>
          <w:lang w:val="fr-CA"/>
        </w:rPr>
        <w:t>Mabior</w:t>
      </w:r>
      <w:proofErr w:type="spellEnd"/>
      <w:r w:rsidRPr="0090495F">
        <w:rPr>
          <w:rFonts w:cs="Times New Roman"/>
          <w:lang w:val="fr-CA"/>
        </w:rPr>
        <w:t xml:space="preserve">, [2012] 2 R.C.S. 584, notre Cour a reconnu l’exigence d’une ambiguïté législative pour que puissent s’appliquer les valeurs de la </w:t>
      </w:r>
      <w:r w:rsidRPr="0090495F">
        <w:rPr>
          <w:rFonts w:cs="Times New Roman"/>
          <w:i/>
          <w:lang w:val="fr-CA"/>
        </w:rPr>
        <w:t>Charte</w:t>
      </w:r>
      <w:r w:rsidRPr="0090495F">
        <w:rPr>
          <w:rFonts w:cs="Times New Roman"/>
          <w:lang w:val="fr-CA"/>
        </w:rPr>
        <w:t xml:space="preserve">; la Juge en chef y affirme que ces valeurs « ont toujours leur place » dans l’interprétation d’une disposition « contestée » du </w:t>
      </w:r>
      <w:r w:rsidRPr="0090495F">
        <w:rPr>
          <w:rFonts w:cs="Times New Roman"/>
          <w:i/>
          <w:lang w:val="fr-CA"/>
        </w:rPr>
        <w:t xml:space="preserve">Code criminel </w:t>
      </w:r>
      <w:r w:rsidRPr="0090495F">
        <w:rPr>
          <w:rFonts w:cs="Times New Roman"/>
          <w:lang w:val="fr-CA"/>
        </w:rPr>
        <w:t xml:space="preserve">(par. 44).  Selon deux arrêts invoqués à l’appui par la Juge en chef — </w:t>
      </w:r>
      <w:r w:rsidRPr="0090495F">
        <w:rPr>
          <w:rFonts w:cs="Times New Roman"/>
          <w:i/>
          <w:iCs/>
          <w:lang w:val="fr-CA"/>
        </w:rPr>
        <w:t>R. c. Sharpe</w:t>
      </w:r>
      <w:r w:rsidRPr="0090495F">
        <w:rPr>
          <w:rFonts w:cs="Times New Roman"/>
          <w:lang w:val="fr-CA"/>
        </w:rPr>
        <w:t>,</w:t>
      </w:r>
      <w:r w:rsidRPr="0090495F">
        <w:rPr>
          <w:rFonts w:cs="Times New Roman"/>
          <w:i/>
          <w:iCs/>
          <w:lang w:val="fr-CA"/>
        </w:rPr>
        <w:t xml:space="preserve"> </w:t>
      </w:r>
      <w:r w:rsidRPr="0090495F">
        <w:rPr>
          <w:rFonts w:cs="Times New Roman"/>
          <w:lang w:val="fr-CA"/>
        </w:rPr>
        <w:t>[2001] 1 R.C.S. 45, par. 33</w:t>
      </w:r>
      <w:r w:rsidR="00905A03">
        <w:rPr>
          <w:rFonts w:cs="Times New Roman"/>
          <w:lang w:val="fr-CA"/>
        </w:rPr>
        <w:t>,</w:t>
      </w:r>
      <w:r w:rsidRPr="0090495F">
        <w:rPr>
          <w:rFonts w:cs="Times New Roman"/>
          <w:lang w:val="fr-CA"/>
        </w:rPr>
        <w:t xml:space="preserve"> et </w:t>
      </w:r>
      <w:r w:rsidRPr="0090495F">
        <w:rPr>
          <w:rFonts w:cs="Times New Roman"/>
          <w:i/>
          <w:lang w:val="fr-CA"/>
        </w:rPr>
        <w:t>Demande fondée sur l’art. </w:t>
      </w:r>
      <w:r w:rsidRPr="0090495F">
        <w:rPr>
          <w:rFonts w:cs="Times New Roman"/>
          <w:i/>
          <w:iCs/>
          <w:lang w:val="fr-CA"/>
        </w:rPr>
        <w:t>83.28 du Code criminel</w:t>
      </w:r>
      <w:r w:rsidR="004505E2">
        <w:rPr>
          <w:rFonts w:cs="Times New Roman"/>
          <w:i/>
          <w:iCs/>
          <w:lang w:val="fr-CA"/>
        </w:rPr>
        <w:t xml:space="preserve"> (</w:t>
      </w:r>
      <w:proofErr w:type="spellStart"/>
      <w:r w:rsidR="004505E2">
        <w:rPr>
          <w:rFonts w:cs="Times New Roman"/>
          <w:i/>
          <w:iCs/>
          <w:lang w:val="fr-CA"/>
        </w:rPr>
        <w:t>Re</w:t>
      </w:r>
      <w:proofErr w:type="spellEnd"/>
      <w:r w:rsidR="004505E2">
        <w:rPr>
          <w:rFonts w:cs="Times New Roman"/>
          <w:i/>
          <w:iCs/>
          <w:lang w:val="fr-CA"/>
        </w:rPr>
        <w:t>)</w:t>
      </w:r>
      <w:r w:rsidRPr="0090495F">
        <w:rPr>
          <w:rFonts w:cs="Times New Roman"/>
          <w:iCs/>
          <w:lang w:val="fr-CA"/>
        </w:rPr>
        <w:t>,</w:t>
      </w:r>
      <w:r w:rsidRPr="0090495F">
        <w:rPr>
          <w:rFonts w:cs="Times New Roman"/>
          <w:lang w:val="fr-CA"/>
        </w:rPr>
        <w:t xml:space="preserve"> [2004] 2 R.</w:t>
      </w:r>
      <w:r w:rsidR="00905A03">
        <w:rPr>
          <w:rFonts w:cs="Times New Roman"/>
          <w:lang w:val="fr-CA"/>
        </w:rPr>
        <w:t>C.S.</w:t>
      </w:r>
      <w:r w:rsidRPr="0090495F">
        <w:rPr>
          <w:rFonts w:cs="Times New Roman"/>
          <w:lang w:val="fr-CA"/>
        </w:rPr>
        <w:t xml:space="preserve"> 248, par. 35 —, lorsqu’une disposition peut être interprétée de deux manières également plausibles, il convient de recourir aux valeurs de la </w:t>
      </w:r>
      <w:r w:rsidRPr="0090495F">
        <w:rPr>
          <w:rFonts w:cs="Times New Roman"/>
          <w:i/>
          <w:lang w:val="fr-CA"/>
        </w:rPr>
        <w:t>Charte</w:t>
      </w:r>
      <w:r w:rsidRPr="0090495F">
        <w:rPr>
          <w:rFonts w:cs="Times New Roman"/>
          <w:lang w:val="fr-CA"/>
        </w:rPr>
        <w:t xml:space="preserve"> pour déterminer laquelle des deux respecte la Constitution.</w:t>
      </w:r>
    </w:p>
    <w:p w:rsidR="00672A65" w:rsidRPr="0090495F" w:rsidRDefault="00672A65" w:rsidP="00384361">
      <w:pPr>
        <w:pStyle w:val="ParaNoNdepar-AltN"/>
        <w:rPr>
          <w:rFonts w:cs="Times New Roman"/>
          <w:lang w:val="fr-CA"/>
        </w:rPr>
      </w:pPr>
      <w:r w:rsidRPr="0090495F">
        <w:rPr>
          <w:rFonts w:cs="Times New Roman"/>
          <w:lang w:val="fr-CA"/>
        </w:rPr>
        <w:t xml:space="preserve">L’arrêt </w:t>
      </w:r>
      <w:r w:rsidRPr="0090495F">
        <w:rPr>
          <w:rFonts w:cs="Times New Roman"/>
          <w:i/>
          <w:lang w:val="fr-CA"/>
        </w:rPr>
        <w:t>Doré c. Barreau du Québec</w:t>
      </w:r>
      <w:r w:rsidRPr="0090495F">
        <w:rPr>
          <w:rFonts w:cs="Times New Roman"/>
          <w:lang w:val="fr-CA"/>
        </w:rPr>
        <w:t xml:space="preserve">, [2012] 1 </w:t>
      </w:r>
      <w:r w:rsidR="0068746D">
        <w:rPr>
          <w:rFonts w:cs="Times New Roman"/>
          <w:lang w:val="fr-CA"/>
        </w:rPr>
        <w:t>R.C.S.</w:t>
      </w:r>
      <w:r w:rsidRPr="0090495F">
        <w:rPr>
          <w:rFonts w:cs="Times New Roman"/>
          <w:lang w:val="fr-CA"/>
        </w:rPr>
        <w:t xml:space="preserve"> 395, auquel renvoie la Cour d’appel de l’Alberta dans </w:t>
      </w:r>
      <w:proofErr w:type="spellStart"/>
      <w:r w:rsidRPr="0090495F">
        <w:rPr>
          <w:rFonts w:cs="Times New Roman"/>
          <w:i/>
          <w:lang w:val="fr-CA"/>
        </w:rPr>
        <w:t>Serdyuk</w:t>
      </w:r>
      <w:proofErr w:type="spellEnd"/>
      <w:r w:rsidRPr="0090495F">
        <w:rPr>
          <w:rFonts w:cs="Times New Roman"/>
          <w:lang w:val="fr-CA"/>
        </w:rPr>
        <w:t xml:space="preserve">, n’étaye pas non plus la thèse de M. Clarke.  Ce n’est qu’en droit administratif que l’ambiguïté ne constitue pas l’élément déclencheur pour l’application des valeurs de la </w:t>
      </w:r>
      <w:r w:rsidRPr="0090495F">
        <w:rPr>
          <w:rFonts w:cs="Times New Roman"/>
          <w:i/>
          <w:lang w:val="fr-CA"/>
        </w:rPr>
        <w:t>Charte</w:t>
      </w:r>
      <w:r w:rsidRPr="0090495F">
        <w:rPr>
          <w:rFonts w:cs="Times New Roman"/>
          <w:lang w:val="fr-CA"/>
        </w:rPr>
        <w:t xml:space="preserve">.  En fait, le décideur administratif « </w:t>
      </w:r>
      <w:proofErr w:type="spellStart"/>
      <w:r w:rsidRPr="0090495F">
        <w:rPr>
          <w:rFonts w:cs="Times New Roman"/>
          <w:lang w:val="fr-CA"/>
        </w:rPr>
        <w:t>doi</w:t>
      </w:r>
      <w:proofErr w:type="spellEnd"/>
      <w:r w:rsidRPr="0090495F">
        <w:rPr>
          <w:rFonts w:cs="Times New Roman"/>
          <w:lang w:val="fr-CA"/>
        </w:rPr>
        <w:t>[t] agir de manière compatible avec les valeurs sous</w:t>
      </w:r>
      <w:r w:rsidR="00384361">
        <w:rPr>
          <w:rFonts w:cs="Times New Roman"/>
          <w:lang w:val="fr-CA"/>
        </w:rPr>
        <w:t>-</w:t>
      </w:r>
      <w:r w:rsidRPr="0090495F">
        <w:rPr>
          <w:rFonts w:cs="Times New Roman"/>
          <w:lang w:val="fr-CA"/>
        </w:rPr>
        <w:t>jacentes à l’octroi d’un pouvoir discrétionnaire » (</w:t>
      </w:r>
      <w:r w:rsidRPr="0090495F">
        <w:rPr>
          <w:rFonts w:cs="Times New Roman"/>
          <w:i/>
          <w:lang w:val="fr-CA"/>
        </w:rPr>
        <w:t>Doré</w:t>
      </w:r>
      <w:r w:rsidRPr="0090495F">
        <w:rPr>
          <w:rFonts w:cs="Times New Roman"/>
          <w:lang w:val="fr-CA"/>
        </w:rPr>
        <w:t xml:space="preserve">, par. 24).  Dans le contexte </w:t>
      </w:r>
      <w:r w:rsidRPr="0090495F">
        <w:rPr>
          <w:rFonts w:cs="Times New Roman"/>
          <w:lang w:val="fr-CA"/>
        </w:rPr>
        <w:lastRenderedPageBreak/>
        <w:t xml:space="preserve">administratif, la question n’est donc pas celle de savoir si le texte de la mesure législative est ambigu au point d’emporter l’application des valeurs de la </w:t>
      </w:r>
      <w:r w:rsidRPr="0090495F">
        <w:rPr>
          <w:rFonts w:cs="Times New Roman"/>
          <w:i/>
          <w:lang w:val="fr-CA"/>
        </w:rPr>
        <w:t>Charte</w:t>
      </w:r>
      <w:r w:rsidRPr="0090495F">
        <w:rPr>
          <w:rFonts w:cs="Times New Roman"/>
          <w:lang w:val="fr-CA"/>
        </w:rPr>
        <w:t xml:space="preserve">, mais bien si l’exercice du pouvoir discrétionnaire du décideur administratif restreint déraisonnablement les garanties de la </w:t>
      </w:r>
      <w:r w:rsidRPr="0090495F">
        <w:rPr>
          <w:rFonts w:cs="Times New Roman"/>
          <w:i/>
          <w:lang w:val="fr-CA"/>
        </w:rPr>
        <w:t>Charte</w:t>
      </w:r>
      <w:r w:rsidRPr="0090495F">
        <w:rPr>
          <w:rFonts w:cs="Times New Roman"/>
          <w:lang w:val="fr-CA"/>
        </w:rPr>
        <w:t xml:space="preserve"> eu égard à l’objectif qui sous</w:t>
      </w:r>
      <w:r w:rsidR="00384361">
        <w:rPr>
          <w:rFonts w:cs="Times New Roman"/>
          <w:lang w:val="fr-CA"/>
        </w:rPr>
        <w:t>-</w:t>
      </w:r>
      <w:r w:rsidRPr="0090495F">
        <w:rPr>
          <w:rFonts w:cs="Times New Roman"/>
          <w:lang w:val="fr-CA"/>
        </w:rPr>
        <w:t xml:space="preserve">tend le régime législatif. </w:t>
      </w:r>
    </w:p>
    <w:p w:rsidR="00672A65" w:rsidRPr="0090495F" w:rsidRDefault="00672A65" w:rsidP="00384361">
      <w:pPr>
        <w:pStyle w:val="ParaNoNdepar-AltN"/>
        <w:rPr>
          <w:rFonts w:cs="Times New Roman"/>
          <w:lang w:val="fr-CA"/>
        </w:rPr>
      </w:pPr>
      <w:r w:rsidRPr="0090495F">
        <w:rPr>
          <w:rFonts w:cs="Times New Roman"/>
          <w:lang w:val="fr-CA"/>
        </w:rPr>
        <w:t xml:space="preserve">Dans la présente affaire, le juge </w:t>
      </w:r>
      <w:proofErr w:type="spellStart"/>
      <w:r w:rsidRPr="0090495F">
        <w:rPr>
          <w:rFonts w:cs="Times New Roman"/>
          <w:lang w:val="fr-CA"/>
        </w:rPr>
        <w:t>Laskin</w:t>
      </w:r>
      <w:proofErr w:type="spellEnd"/>
      <w:r w:rsidRPr="0090495F">
        <w:rPr>
          <w:rFonts w:cs="Times New Roman"/>
          <w:lang w:val="fr-CA"/>
        </w:rPr>
        <w:t>, de la Cour d’appel de l’Ontario, fait observer dans ses motifs inattaquables que [</w:t>
      </w:r>
      <w:r w:rsidRPr="0090495F">
        <w:rPr>
          <w:rFonts w:cs="Times New Roman"/>
          <w:smallCaps/>
          <w:lang w:val="fr-CA"/>
        </w:rPr>
        <w:t>traduction</w:t>
      </w:r>
      <w:r w:rsidRPr="0090495F">
        <w:rPr>
          <w:rFonts w:cs="Times New Roman"/>
          <w:lang w:val="fr-CA"/>
        </w:rPr>
        <w:t>] « </w:t>
      </w:r>
      <w:r w:rsidR="0036715A">
        <w:rPr>
          <w:rFonts w:cs="Times New Roman"/>
          <w:lang w:val="fr-CA"/>
        </w:rPr>
        <w:t>[</w:t>
      </w:r>
      <w:r w:rsidRPr="0090495F">
        <w:rPr>
          <w:rFonts w:cs="Times New Roman"/>
          <w:lang w:val="fr-CA"/>
        </w:rPr>
        <w:t>l</w:t>
      </w:r>
      <w:r w:rsidR="0036715A">
        <w:rPr>
          <w:rFonts w:cs="Times New Roman"/>
          <w:lang w:val="fr-CA"/>
        </w:rPr>
        <w:t>]</w:t>
      </w:r>
      <w:r w:rsidRPr="0090495F">
        <w:rPr>
          <w:rFonts w:cs="Times New Roman"/>
          <w:lang w:val="fr-CA"/>
        </w:rPr>
        <w:t>e libellé de l’art. 5 est clair et ne permet qu’un</w:t>
      </w:r>
      <w:r w:rsidR="001D2880">
        <w:rPr>
          <w:rFonts w:cs="Times New Roman"/>
          <w:lang w:val="fr-CA"/>
        </w:rPr>
        <w:t>e seule interprétation », c’est-à-</w:t>
      </w:r>
      <w:r w:rsidRPr="0090495F">
        <w:rPr>
          <w:rFonts w:cs="Times New Roman"/>
          <w:lang w:val="fr-CA"/>
        </w:rPr>
        <w:t xml:space="preserve">dire : </w:t>
      </w:r>
    </w:p>
    <w:p w:rsidR="00672A65" w:rsidRPr="0090495F" w:rsidRDefault="00672A65" w:rsidP="00384361">
      <w:pPr>
        <w:pStyle w:val="Citation-AltC"/>
        <w:spacing w:after="240"/>
        <w:ind w:hanging="1166"/>
        <w:contextualSpacing w:val="0"/>
        <w:rPr>
          <w:lang w:val="fr-CA"/>
        </w:rPr>
      </w:pPr>
      <w:r w:rsidRPr="0090495F">
        <w:rPr>
          <w:lang w:val="fr-CA"/>
        </w:rPr>
        <w:tab/>
      </w:r>
      <w:r w:rsidR="007B182C">
        <w:rPr>
          <w:lang w:val="fr-CA"/>
        </w:rPr>
        <w:tab/>
      </w:r>
      <w:r w:rsidRPr="0090495F">
        <w:rPr>
          <w:lang w:val="fr-CA"/>
        </w:rPr>
        <w:t>[</w:t>
      </w:r>
      <w:r w:rsidRPr="0090495F">
        <w:rPr>
          <w:smallCaps/>
          <w:lang w:val="fr-CA"/>
        </w:rPr>
        <w:t>traduction</w:t>
      </w:r>
      <w:r w:rsidR="007B182C">
        <w:rPr>
          <w:lang w:val="fr-CA"/>
        </w:rPr>
        <w:t xml:space="preserve">] </w:t>
      </w:r>
      <w:r w:rsidR="0036715A">
        <w:rPr>
          <w:lang w:val="fr-CA"/>
        </w:rPr>
        <w:t xml:space="preserve">. . . Les </w:t>
      </w:r>
      <w:r w:rsidRPr="0090495F">
        <w:rPr>
          <w:lang w:val="fr-CA"/>
        </w:rPr>
        <w:t xml:space="preserve">nouvelles dispositions s’appliquent à la détermination de la peine de toute personne inculpée après leur entrée en vigueur, quel que soit le moment où l’infraction a été perpétrée.  [. . .] [F]aire droit à la thèse de l’appelant exige d’intégrer à l’art. 5 les mots soulignés suivants : </w:t>
      </w:r>
    </w:p>
    <w:p w:rsidR="00672A65" w:rsidRPr="0090495F" w:rsidRDefault="00672A65" w:rsidP="00384361">
      <w:pPr>
        <w:pStyle w:val="Citation-AltC"/>
        <w:spacing w:after="240"/>
        <w:ind w:left="1800" w:hanging="1920"/>
        <w:contextualSpacing w:val="0"/>
        <w:rPr>
          <w:lang w:val="fr-CA"/>
        </w:rPr>
      </w:pPr>
      <w:r w:rsidRPr="0090495F">
        <w:rPr>
          <w:lang w:val="fr-CA"/>
        </w:rPr>
        <w:tab/>
        <w:t>[Les nouvelles dispositions] édicté[e]s par l’art</w:t>
      </w:r>
      <w:r w:rsidR="00595582">
        <w:rPr>
          <w:lang w:val="fr-CA"/>
        </w:rPr>
        <w:t>.</w:t>
      </w:r>
      <w:r w:rsidRPr="0090495F">
        <w:rPr>
          <w:lang w:val="fr-CA"/>
        </w:rPr>
        <w:t xml:space="preserve"> 3 de la présente loi, ne s’appliquent qu’à l’égard des personnes inculpées </w:t>
      </w:r>
      <w:r w:rsidRPr="0090495F">
        <w:rPr>
          <w:u w:val="single"/>
          <w:lang w:val="fr-CA"/>
        </w:rPr>
        <w:t>d’une infraction commise</w:t>
      </w:r>
      <w:r w:rsidRPr="0090495F">
        <w:rPr>
          <w:lang w:val="fr-CA"/>
        </w:rPr>
        <w:t xml:space="preserve"> après [l’</w:t>
      </w:r>
      <w:proofErr w:type="gramStart"/>
      <w:r w:rsidRPr="0090495F">
        <w:rPr>
          <w:lang w:val="fr-CA"/>
        </w:rPr>
        <w:t>]entrée</w:t>
      </w:r>
      <w:proofErr w:type="gramEnd"/>
      <w:r w:rsidRPr="0090495F">
        <w:rPr>
          <w:lang w:val="fr-CA"/>
        </w:rPr>
        <w:t xml:space="preserve"> en vigueur [de ces dispositions].</w:t>
      </w:r>
      <w:r w:rsidR="007B182C">
        <w:rPr>
          <w:lang w:val="fr-CA"/>
        </w:rPr>
        <w:t xml:space="preserve"> [</w:t>
      </w:r>
      <w:proofErr w:type="gramStart"/>
      <w:r w:rsidR="007B182C">
        <w:rPr>
          <w:lang w:val="fr-CA"/>
        </w:rPr>
        <w:t>par</w:t>
      </w:r>
      <w:proofErr w:type="gramEnd"/>
      <w:r w:rsidR="007B182C">
        <w:rPr>
          <w:lang w:val="fr-CA"/>
        </w:rPr>
        <w:t>. 19]</w:t>
      </w:r>
    </w:p>
    <w:p w:rsidR="00672A65" w:rsidRPr="0090495F" w:rsidRDefault="00672A65" w:rsidP="00384361">
      <w:pPr>
        <w:pStyle w:val="Citation-AltC"/>
        <w:spacing w:after="240"/>
        <w:ind w:hanging="1166"/>
        <w:contextualSpacing w:val="0"/>
        <w:rPr>
          <w:lang w:val="fr-CA"/>
        </w:rPr>
      </w:pPr>
      <w:r w:rsidRPr="0090495F">
        <w:rPr>
          <w:lang w:val="fr-CA"/>
        </w:rPr>
        <w:tab/>
      </w:r>
      <w:r w:rsidR="00E0282E">
        <w:rPr>
          <w:lang w:val="fr-CA"/>
        </w:rPr>
        <w:tab/>
      </w:r>
      <w:r w:rsidRPr="0090495F">
        <w:rPr>
          <w:lang w:val="fr-CA"/>
        </w:rPr>
        <w:t xml:space="preserve">Il faut présumer que le législateur sait distinguer entre le moment où l’infraction a lieu et celui où la personne est inculpée de l’infraction.  L’ajout des mots soulignés modifierait l’intention du législateur quant à l’applicabilité de la </w:t>
      </w:r>
      <w:r w:rsidRPr="0090495F">
        <w:rPr>
          <w:i/>
          <w:lang w:val="fr-CA"/>
        </w:rPr>
        <w:t>Loi sur l’adéquation de la peine et du crime</w:t>
      </w:r>
      <w:r w:rsidR="001D2880">
        <w:rPr>
          <w:lang w:val="fr-CA"/>
        </w:rPr>
        <w:t>.  L’interprétation de celle-</w:t>
      </w:r>
      <w:r w:rsidRPr="0090495F">
        <w:rPr>
          <w:lang w:val="fr-CA"/>
        </w:rPr>
        <w:t xml:space="preserve">ci en première instance prend donc appui sur les termes clairs de la disposition. </w:t>
      </w:r>
      <w:r w:rsidR="00E0282E">
        <w:rPr>
          <w:lang w:val="fr-CA"/>
        </w:rPr>
        <w:t>[</w:t>
      </w:r>
      <w:proofErr w:type="gramStart"/>
      <w:r w:rsidR="00E0282E">
        <w:rPr>
          <w:lang w:val="fr-CA"/>
        </w:rPr>
        <w:t>par</w:t>
      </w:r>
      <w:proofErr w:type="gramEnd"/>
      <w:r w:rsidR="00E0282E">
        <w:rPr>
          <w:lang w:val="fr-CA"/>
        </w:rPr>
        <w:t>. 20]</w:t>
      </w:r>
    </w:p>
    <w:p w:rsidR="00672A65" w:rsidRPr="0090495F" w:rsidRDefault="00672A65" w:rsidP="00384361">
      <w:pPr>
        <w:pStyle w:val="Citation-AltC"/>
        <w:spacing w:after="240"/>
        <w:contextualSpacing w:val="0"/>
        <w:jc w:val="center"/>
        <w:rPr>
          <w:lang w:val="fr-CA"/>
        </w:rPr>
      </w:pPr>
      <w:r w:rsidRPr="0090495F">
        <w:rPr>
          <w:lang w:val="fr-CA"/>
        </w:rPr>
        <w:t>. . .</w:t>
      </w:r>
    </w:p>
    <w:p w:rsidR="00672A65" w:rsidRPr="0090495F" w:rsidRDefault="00672A65" w:rsidP="00384361">
      <w:pPr>
        <w:pStyle w:val="Citation-AltC"/>
        <w:ind w:hanging="1166"/>
        <w:contextualSpacing w:val="0"/>
        <w:rPr>
          <w:lang w:val="fr-CA"/>
        </w:rPr>
      </w:pPr>
      <w:r w:rsidRPr="0090495F">
        <w:rPr>
          <w:lang w:val="fr-CA"/>
        </w:rPr>
        <w:tab/>
      </w:r>
      <w:r w:rsidR="00E0282E">
        <w:rPr>
          <w:lang w:val="fr-CA"/>
        </w:rPr>
        <w:tab/>
      </w:r>
      <w:r w:rsidRPr="0090495F">
        <w:rPr>
          <w:lang w:val="fr-CA"/>
        </w:rPr>
        <w:t xml:space="preserve">L’une des raisons d’être manifestes de la </w:t>
      </w:r>
      <w:r w:rsidRPr="0090495F">
        <w:rPr>
          <w:i/>
          <w:lang w:val="fr-CA"/>
        </w:rPr>
        <w:t>Loi sur l’adéquation de la peine et du crime</w:t>
      </w:r>
      <w:r w:rsidRPr="0090495F">
        <w:rPr>
          <w:lang w:val="fr-CA"/>
        </w:rPr>
        <w:t xml:space="preserve"> est de réduire le nombre de jours accordés aux délinquants pour compenser la détention </w:t>
      </w:r>
      <w:proofErr w:type="spellStart"/>
      <w:r w:rsidRPr="0090495F">
        <w:rPr>
          <w:lang w:val="fr-CA"/>
        </w:rPr>
        <w:t>présentencielle</w:t>
      </w:r>
      <w:proofErr w:type="spellEnd"/>
      <w:r w:rsidRPr="0090495F">
        <w:rPr>
          <w:lang w:val="fr-CA"/>
        </w:rPr>
        <w:t xml:space="preserve">.  Le moment déclencheur pour le calcul de la durée de cette détention correspond au jour où la personne est inculpée et placée sous garde jusqu’à l’audition de sa demande de mise en liberté sous caution.  Le jour où la personne </w:t>
      </w:r>
      <w:r w:rsidRPr="0090495F">
        <w:rPr>
          <w:lang w:val="fr-CA"/>
        </w:rPr>
        <w:lastRenderedPageBreak/>
        <w:t xml:space="preserve">commet l’infraction n’importe pas aux fins de cette raison d’être de la </w:t>
      </w:r>
      <w:r w:rsidRPr="000D361E">
        <w:rPr>
          <w:i/>
          <w:lang w:val="fr-CA"/>
        </w:rPr>
        <w:t>Loi</w:t>
      </w:r>
      <w:r w:rsidRPr="0090495F">
        <w:rPr>
          <w:lang w:val="fr-CA"/>
        </w:rPr>
        <w:t xml:space="preserve">. </w:t>
      </w:r>
      <w:r w:rsidR="00E0282E">
        <w:rPr>
          <w:lang w:val="fr-CA"/>
        </w:rPr>
        <w:t xml:space="preserve">. . </w:t>
      </w:r>
      <w:r w:rsidRPr="0090495F">
        <w:rPr>
          <w:lang w:val="fr-CA"/>
        </w:rPr>
        <w:t xml:space="preserve"> [Texte entre crochets dans l’original</w:t>
      </w:r>
      <w:r w:rsidR="00E0282E">
        <w:rPr>
          <w:lang w:val="fr-CA"/>
        </w:rPr>
        <w:t>; par. 22</w:t>
      </w:r>
      <w:r w:rsidRPr="0090495F">
        <w:rPr>
          <w:lang w:val="fr-CA"/>
        </w:rPr>
        <w:t>.]</w:t>
      </w:r>
    </w:p>
    <w:p w:rsidR="00672A65" w:rsidRPr="0090495F" w:rsidRDefault="00672A65" w:rsidP="00384361">
      <w:pPr>
        <w:pStyle w:val="ParaNoNdepar-AltN"/>
        <w:rPr>
          <w:rFonts w:cs="Times New Roman"/>
          <w:lang w:val="fr-CA"/>
        </w:rPr>
      </w:pPr>
      <w:r w:rsidRPr="0090495F">
        <w:rPr>
          <w:rFonts w:cs="Times New Roman"/>
          <w:lang w:val="fr-CA"/>
        </w:rPr>
        <w:t xml:space="preserve">M. Clarke a été inculpé après l’entrée en vigueur de la </w:t>
      </w:r>
      <w:r w:rsidRPr="000D361E">
        <w:rPr>
          <w:rFonts w:cs="Times New Roman"/>
          <w:i/>
          <w:lang w:val="fr-CA"/>
        </w:rPr>
        <w:t>Loi</w:t>
      </w:r>
      <w:r w:rsidRPr="0090495F">
        <w:rPr>
          <w:rFonts w:cs="Times New Roman"/>
          <w:lang w:val="fr-CA"/>
        </w:rPr>
        <w:t xml:space="preserve">.  Il était donc assujetti aux limites apportées au crédit pour détention </w:t>
      </w:r>
      <w:proofErr w:type="spellStart"/>
      <w:r w:rsidRPr="0090495F">
        <w:rPr>
          <w:rFonts w:cs="Times New Roman"/>
          <w:lang w:val="fr-CA"/>
        </w:rPr>
        <w:t>présentencielle</w:t>
      </w:r>
      <w:proofErr w:type="spellEnd"/>
      <w:r w:rsidRPr="0090495F">
        <w:rPr>
          <w:rFonts w:cs="Times New Roman"/>
          <w:lang w:val="fr-CA"/>
        </w:rPr>
        <w:t xml:space="preserve"> conformément à l’art. 5.</w:t>
      </w:r>
    </w:p>
    <w:p w:rsidR="00672A65" w:rsidRPr="0090495F" w:rsidRDefault="00672A65" w:rsidP="00384361">
      <w:pPr>
        <w:pStyle w:val="ParaNoNdepar-AltN"/>
        <w:rPr>
          <w:rFonts w:cs="Times New Roman"/>
        </w:rPr>
      </w:pPr>
      <w:r w:rsidRPr="0090495F">
        <w:rPr>
          <w:rFonts w:cs="Times New Roman"/>
        </w:rPr>
        <w:t xml:space="preserve">Le </w:t>
      </w:r>
      <w:proofErr w:type="spellStart"/>
      <w:r w:rsidRPr="0090495F">
        <w:rPr>
          <w:rFonts w:cs="Times New Roman"/>
        </w:rPr>
        <w:t>pourvoi</w:t>
      </w:r>
      <w:proofErr w:type="spellEnd"/>
      <w:r w:rsidRPr="0090495F">
        <w:rPr>
          <w:rFonts w:cs="Times New Roman"/>
        </w:rPr>
        <w:t xml:space="preserve"> </w:t>
      </w:r>
      <w:proofErr w:type="spellStart"/>
      <w:proofErr w:type="gramStart"/>
      <w:r w:rsidRPr="0090495F">
        <w:rPr>
          <w:rFonts w:cs="Times New Roman"/>
        </w:rPr>
        <w:t>est</w:t>
      </w:r>
      <w:proofErr w:type="spellEnd"/>
      <w:proofErr w:type="gramEnd"/>
      <w:r w:rsidRPr="0090495F">
        <w:rPr>
          <w:rFonts w:cs="Times New Roman"/>
        </w:rPr>
        <w:t xml:space="preserve"> </w:t>
      </w:r>
      <w:proofErr w:type="spellStart"/>
      <w:r w:rsidRPr="0090495F">
        <w:rPr>
          <w:rFonts w:cs="Times New Roman"/>
        </w:rPr>
        <w:t>rejeté</w:t>
      </w:r>
      <w:proofErr w:type="spellEnd"/>
      <w:r w:rsidRPr="0090495F">
        <w:rPr>
          <w:rFonts w:cs="Times New Roman"/>
        </w:rPr>
        <w:t>.</w:t>
      </w:r>
    </w:p>
    <w:p w:rsidR="00AD2738" w:rsidRPr="00581365" w:rsidRDefault="00AD2738" w:rsidP="00384361">
      <w:pPr>
        <w:pStyle w:val="SCCNormalDoubleSpacing"/>
        <w:spacing w:before="480" w:after="480"/>
        <w:rPr>
          <w:i/>
          <w:lang w:val="fr-CA"/>
        </w:rPr>
      </w:pPr>
      <w:r w:rsidRPr="00581365">
        <w:rPr>
          <w:i/>
          <w:lang w:val="fr-CA"/>
        </w:rPr>
        <w:tab/>
        <w:t>Pourvoi rejeté.</w:t>
      </w:r>
    </w:p>
    <w:p w:rsidR="00AD2738" w:rsidRPr="00581365" w:rsidRDefault="00AD2738" w:rsidP="00384361">
      <w:pPr>
        <w:pStyle w:val="SCCLawFirm"/>
        <w:spacing w:before="480" w:after="480"/>
        <w:rPr>
          <w:lang w:val="fr-CA"/>
        </w:rPr>
      </w:pPr>
      <w:r w:rsidRPr="00581365">
        <w:rPr>
          <w:lang w:val="fr-CA"/>
        </w:rPr>
        <w:tab/>
        <w:t>Procureurs de l’appelant</w:t>
      </w:r>
      <w:r w:rsidR="00157FEF" w:rsidRPr="00581365">
        <w:rPr>
          <w:lang w:val="fr-CA"/>
        </w:rPr>
        <w:t> : </w:t>
      </w:r>
      <w:r w:rsidRPr="00581365">
        <w:rPr>
          <w:lang w:val="fr-CA"/>
        </w:rPr>
        <w:t xml:space="preserve">Lockyer Campbell </w:t>
      </w:r>
      <w:proofErr w:type="spellStart"/>
      <w:r w:rsidRPr="00581365">
        <w:rPr>
          <w:lang w:val="fr-CA"/>
        </w:rPr>
        <w:t>Posner</w:t>
      </w:r>
      <w:proofErr w:type="spellEnd"/>
      <w:r w:rsidRPr="00581365">
        <w:rPr>
          <w:lang w:val="fr-CA"/>
        </w:rPr>
        <w:t>, Toronto.</w:t>
      </w:r>
    </w:p>
    <w:p w:rsidR="00AD2738" w:rsidRPr="00581365" w:rsidRDefault="00AD2738" w:rsidP="00384361">
      <w:pPr>
        <w:pStyle w:val="SCCLawFirm"/>
        <w:rPr>
          <w:lang w:val="fr-CA"/>
        </w:rPr>
      </w:pPr>
      <w:r w:rsidRPr="00581365">
        <w:rPr>
          <w:lang w:val="fr-CA"/>
        </w:rPr>
        <w:tab/>
        <w:t>Procureur de l’intimée</w:t>
      </w:r>
      <w:r w:rsidR="00157FEF" w:rsidRPr="00581365">
        <w:rPr>
          <w:lang w:val="fr-CA"/>
        </w:rPr>
        <w:t> : </w:t>
      </w:r>
      <w:r w:rsidRPr="00581365">
        <w:rPr>
          <w:lang w:val="fr-CA"/>
        </w:rPr>
        <w:t>Procureur général de l’Ontario, Toronto.</w:t>
      </w:r>
    </w:p>
    <w:sectPr w:rsidR="00AD2738" w:rsidRPr="00581365"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82C" w:rsidRDefault="007B182C">
      <w:r>
        <w:separator/>
      </w:r>
    </w:p>
  </w:endnote>
  <w:endnote w:type="continuationSeparator" w:id="0">
    <w:p w:rsidR="007B182C" w:rsidRDefault="007B1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2C" w:rsidRDefault="007B18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2C" w:rsidRDefault="007B18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2C" w:rsidRDefault="007B18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82C" w:rsidRDefault="007B182C">
      <w:r>
        <w:separator/>
      </w:r>
    </w:p>
  </w:footnote>
  <w:footnote w:type="continuationSeparator" w:id="0">
    <w:p w:rsidR="007B182C" w:rsidRDefault="007B182C">
      <w:r>
        <w:continuationSeparator/>
      </w:r>
    </w:p>
  </w:footnote>
  <w:footnote w:id="1">
    <w:p w:rsidR="007B182C" w:rsidRPr="000E28E9" w:rsidRDefault="007B182C" w:rsidP="00672A65">
      <w:pPr>
        <w:pStyle w:val="FootnoteText"/>
        <w:rPr>
          <w:lang w:val="fr-CA"/>
        </w:rPr>
      </w:pPr>
      <w:r>
        <w:rPr>
          <w:rStyle w:val="FootnoteReference"/>
        </w:rPr>
        <w:footnoteRef/>
      </w:r>
      <w:r>
        <w:t xml:space="preserve"> </w:t>
      </w:r>
      <w:r>
        <w:rPr>
          <w:lang w:val="fr-CA"/>
        </w:rPr>
        <w:t xml:space="preserve"> L.C. 2009, ch. 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2C" w:rsidRDefault="007B18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2C" w:rsidRPr="00450352" w:rsidRDefault="007B182C" w:rsidP="004503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2C" w:rsidRDefault="007B18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nsid w:val="54283EE8"/>
    <w:multiLevelType w:val="multilevel"/>
    <w:tmpl w:val="3E8622D4"/>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stylePaneFormatFilter w:val="1024"/>
  <w:stylePaneSortMethod w:val="0004"/>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3121"/>
  </w:hdrShapeDefaults>
  <w:footnotePr>
    <w:footnote w:id="-1"/>
    <w:footnote w:id="0"/>
  </w:footnotePr>
  <w:endnotePr>
    <w:endnote w:id="-1"/>
    <w:endnote w:id="0"/>
  </w:endnotePr>
  <w:compat/>
  <w:rsids>
    <w:rsidRoot w:val="0031414C"/>
    <w:rsid w:val="00000ED4"/>
    <w:rsid w:val="0001419D"/>
    <w:rsid w:val="00023FC7"/>
    <w:rsid w:val="00025198"/>
    <w:rsid w:val="00040D41"/>
    <w:rsid w:val="00053649"/>
    <w:rsid w:val="000578A3"/>
    <w:rsid w:val="000648CC"/>
    <w:rsid w:val="000C59B8"/>
    <w:rsid w:val="000C6AF0"/>
    <w:rsid w:val="000D0A77"/>
    <w:rsid w:val="000D361E"/>
    <w:rsid w:val="000F7993"/>
    <w:rsid w:val="00104F33"/>
    <w:rsid w:val="00111DE2"/>
    <w:rsid w:val="00116B38"/>
    <w:rsid w:val="00135406"/>
    <w:rsid w:val="00135972"/>
    <w:rsid w:val="001426A9"/>
    <w:rsid w:val="00154D7C"/>
    <w:rsid w:val="001570B0"/>
    <w:rsid w:val="0015752C"/>
    <w:rsid w:val="00157737"/>
    <w:rsid w:val="00157FEF"/>
    <w:rsid w:val="00165277"/>
    <w:rsid w:val="001673D5"/>
    <w:rsid w:val="00170592"/>
    <w:rsid w:val="001720F7"/>
    <w:rsid w:val="00176801"/>
    <w:rsid w:val="00195D83"/>
    <w:rsid w:val="001A00C1"/>
    <w:rsid w:val="001B33E0"/>
    <w:rsid w:val="001B4573"/>
    <w:rsid w:val="001C779F"/>
    <w:rsid w:val="001D2880"/>
    <w:rsid w:val="001D2AC1"/>
    <w:rsid w:val="001D4E88"/>
    <w:rsid w:val="00220FC2"/>
    <w:rsid w:val="002222F4"/>
    <w:rsid w:val="00224FC0"/>
    <w:rsid w:val="00225EA4"/>
    <w:rsid w:val="00226EAF"/>
    <w:rsid w:val="00231F3A"/>
    <w:rsid w:val="002406EE"/>
    <w:rsid w:val="00243EC8"/>
    <w:rsid w:val="00270D93"/>
    <w:rsid w:val="002745CC"/>
    <w:rsid w:val="00280BF7"/>
    <w:rsid w:val="00297C66"/>
    <w:rsid w:val="002A2F4D"/>
    <w:rsid w:val="002A36C1"/>
    <w:rsid w:val="002B6562"/>
    <w:rsid w:val="002B6FBE"/>
    <w:rsid w:val="002B7924"/>
    <w:rsid w:val="002C10A6"/>
    <w:rsid w:val="002D28C3"/>
    <w:rsid w:val="002D39A4"/>
    <w:rsid w:val="002E3974"/>
    <w:rsid w:val="002E6705"/>
    <w:rsid w:val="0030329A"/>
    <w:rsid w:val="0031086F"/>
    <w:rsid w:val="0031414C"/>
    <w:rsid w:val="00314E01"/>
    <w:rsid w:val="0032089D"/>
    <w:rsid w:val="003310DE"/>
    <w:rsid w:val="003323B0"/>
    <w:rsid w:val="00340A49"/>
    <w:rsid w:val="0034207A"/>
    <w:rsid w:val="00346A11"/>
    <w:rsid w:val="00346F20"/>
    <w:rsid w:val="0035169A"/>
    <w:rsid w:val="0035259D"/>
    <w:rsid w:val="00364B18"/>
    <w:rsid w:val="0036715A"/>
    <w:rsid w:val="003804BD"/>
    <w:rsid w:val="00384361"/>
    <w:rsid w:val="003A125D"/>
    <w:rsid w:val="003A4C70"/>
    <w:rsid w:val="003B215F"/>
    <w:rsid w:val="003C2D3F"/>
    <w:rsid w:val="003C799C"/>
    <w:rsid w:val="003D0099"/>
    <w:rsid w:val="003D0399"/>
    <w:rsid w:val="003E1C71"/>
    <w:rsid w:val="003F327B"/>
    <w:rsid w:val="00404D9E"/>
    <w:rsid w:val="00406166"/>
    <w:rsid w:val="0040704B"/>
    <w:rsid w:val="00410A55"/>
    <w:rsid w:val="00411300"/>
    <w:rsid w:val="00413F17"/>
    <w:rsid w:val="00415417"/>
    <w:rsid w:val="00426659"/>
    <w:rsid w:val="00426CBB"/>
    <w:rsid w:val="004421E5"/>
    <w:rsid w:val="00450352"/>
    <w:rsid w:val="004505E2"/>
    <w:rsid w:val="004527C2"/>
    <w:rsid w:val="00454BDB"/>
    <w:rsid w:val="00465132"/>
    <w:rsid w:val="00480C90"/>
    <w:rsid w:val="0048396F"/>
    <w:rsid w:val="00493C18"/>
    <w:rsid w:val="004A600C"/>
    <w:rsid w:val="004A6118"/>
    <w:rsid w:val="004C1A27"/>
    <w:rsid w:val="004C478D"/>
    <w:rsid w:val="004D66F3"/>
    <w:rsid w:val="004D7D95"/>
    <w:rsid w:val="004E2C26"/>
    <w:rsid w:val="005125A8"/>
    <w:rsid w:val="00517549"/>
    <w:rsid w:val="00520ABC"/>
    <w:rsid w:val="00521A6C"/>
    <w:rsid w:val="00521AE8"/>
    <w:rsid w:val="00527180"/>
    <w:rsid w:val="005327D5"/>
    <w:rsid w:val="00555291"/>
    <w:rsid w:val="00566AD1"/>
    <w:rsid w:val="00573DEB"/>
    <w:rsid w:val="0058121B"/>
    <w:rsid w:val="00581365"/>
    <w:rsid w:val="00583EDE"/>
    <w:rsid w:val="00595582"/>
    <w:rsid w:val="005A6079"/>
    <w:rsid w:val="005D0556"/>
    <w:rsid w:val="005D5562"/>
    <w:rsid w:val="005E4698"/>
    <w:rsid w:val="00603924"/>
    <w:rsid w:val="006103AE"/>
    <w:rsid w:val="00610539"/>
    <w:rsid w:val="00613969"/>
    <w:rsid w:val="00625C35"/>
    <w:rsid w:val="00647E49"/>
    <w:rsid w:val="00656313"/>
    <w:rsid w:val="006565F4"/>
    <w:rsid w:val="0066538B"/>
    <w:rsid w:val="00672A65"/>
    <w:rsid w:val="00684EEA"/>
    <w:rsid w:val="0068746D"/>
    <w:rsid w:val="0069689B"/>
    <w:rsid w:val="006B0A8C"/>
    <w:rsid w:val="006B5FF5"/>
    <w:rsid w:val="006E0B4C"/>
    <w:rsid w:val="006F30AF"/>
    <w:rsid w:val="00701759"/>
    <w:rsid w:val="00705728"/>
    <w:rsid w:val="00705C15"/>
    <w:rsid w:val="007110F6"/>
    <w:rsid w:val="007207DD"/>
    <w:rsid w:val="007208D1"/>
    <w:rsid w:val="00744518"/>
    <w:rsid w:val="00747288"/>
    <w:rsid w:val="00747DD3"/>
    <w:rsid w:val="00753055"/>
    <w:rsid w:val="007549C8"/>
    <w:rsid w:val="00766D14"/>
    <w:rsid w:val="00767A0F"/>
    <w:rsid w:val="00771E55"/>
    <w:rsid w:val="00773072"/>
    <w:rsid w:val="00791272"/>
    <w:rsid w:val="007A05F6"/>
    <w:rsid w:val="007B182C"/>
    <w:rsid w:val="007B6F4A"/>
    <w:rsid w:val="007E1C47"/>
    <w:rsid w:val="007E337A"/>
    <w:rsid w:val="007E5C70"/>
    <w:rsid w:val="007F2FF5"/>
    <w:rsid w:val="007F3F08"/>
    <w:rsid w:val="008042D9"/>
    <w:rsid w:val="00804CC6"/>
    <w:rsid w:val="00817190"/>
    <w:rsid w:val="008260E2"/>
    <w:rsid w:val="008322BD"/>
    <w:rsid w:val="00834F73"/>
    <w:rsid w:val="00864C8A"/>
    <w:rsid w:val="00864CF8"/>
    <w:rsid w:val="008666D0"/>
    <w:rsid w:val="00874914"/>
    <w:rsid w:val="00890636"/>
    <w:rsid w:val="00891422"/>
    <w:rsid w:val="00892E1A"/>
    <w:rsid w:val="008B1198"/>
    <w:rsid w:val="008B660A"/>
    <w:rsid w:val="008C01DA"/>
    <w:rsid w:val="008C18D4"/>
    <w:rsid w:val="008E5516"/>
    <w:rsid w:val="008E79C0"/>
    <w:rsid w:val="008F2674"/>
    <w:rsid w:val="008F78E9"/>
    <w:rsid w:val="00901B3C"/>
    <w:rsid w:val="00905A03"/>
    <w:rsid w:val="009179F9"/>
    <w:rsid w:val="00917C7A"/>
    <w:rsid w:val="00922F0F"/>
    <w:rsid w:val="00933E5E"/>
    <w:rsid w:val="00935218"/>
    <w:rsid w:val="00937C52"/>
    <w:rsid w:val="009403F3"/>
    <w:rsid w:val="009555B7"/>
    <w:rsid w:val="009567AA"/>
    <w:rsid w:val="009602C9"/>
    <w:rsid w:val="00967374"/>
    <w:rsid w:val="009A343A"/>
    <w:rsid w:val="009B2F23"/>
    <w:rsid w:val="009B57B3"/>
    <w:rsid w:val="009D2920"/>
    <w:rsid w:val="009D5AEB"/>
    <w:rsid w:val="009F0E33"/>
    <w:rsid w:val="00A149DF"/>
    <w:rsid w:val="00A1755C"/>
    <w:rsid w:val="00A21B90"/>
    <w:rsid w:val="00A22AAC"/>
    <w:rsid w:val="00A31A3F"/>
    <w:rsid w:val="00A41805"/>
    <w:rsid w:val="00A51882"/>
    <w:rsid w:val="00A52AFB"/>
    <w:rsid w:val="00A548CB"/>
    <w:rsid w:val="00A5521C"/>
    <w:rsid w:val="00A643E7"/>
    <w:rsid w:val="00A73C38"/>
    <w:rsid w:val="00AB670D"/>
    <w:rsid w:val="00AD2738"/>
    <w:rsid w:val="00AF03C5"/>
    <w:rsid w:val="00B000D8"/>
    <w:rsid w:val="00B00F75"/>
    <w:rsid w:val="00B145B6"/>
    <w:rsid w:val="00B279EB"/>
    <w:rsid w:val="00B50C81"/>
    <w:rsid w:val="00B557F8"/>
    <w:rsid w:val="00B815FC"/>
    <w:rsid w:val="00B93FBC"/>
    <w:rsid w:val="00BA35C6"/>
    <w:rsid w:val="00BA360F"/>
    <w:rsid w:val="00BA7DA0"/>
    <w:rsid w:val="00BB2EE4"/>
    <w:rsid w:val="00BB4C92"/>
    <w:rsid w:val="00BC2108"/>
    <w:rsid w:val="00BD0E9E"/>
    <w:rsid w:val="00BD1BEC"/>
    <w:rsid w:val="00BD32FF"/>
    <w:rsid w:val="00BE7EF0"/>
    <w:rsid w:val="00BF6FE9"/>
    <w:rsid w:val="00C02092"/>
    <w:rsid w:val="00C04F3B"/>
    <w:rsid w:val="00C22A00"/>
    <w:rsid w:val="00C24D91"/>
    <w:rsid w:val="00C26DB2"/>
    <w:rsid w:val="00C53F14"/>
    <w:rsid w:val="00C600CF"/>
    <w:rsid w:val="00C6084F"/>
    <w:rsid w:val="00C62A66"/>
    <w:rsid w:val="00C66359"/>
    <w:rsid w:val="00C71458"/>
    <w:rsid w:val="00C77613"/>
    <w:rsid w:val="00C828E7"/>
    <w:rsid w:val="00C86719"/>
    <w:rsid w:val="00C869FB"/>
    <w:rsid w:val="00C921DD"/>
    <w:rsid w:val="00CA6391"/>
    <w:rsid w:val="00CE036E"/>
    <w:rsid w:val="00CE3171"/>
    <w:rsid w:val="00CF1601"/>
    <w:rsid w:val="00D0172F"/>
    <w:rsid w:val="00D01E33"/>
    <w:rsid w:val="00D068A7"/>
    <w:rsid w:val="00D17476"/>
    <w:rsid w:val="00D32086"/>
    <w:rsid w:val="00D37A3F"/>
    <w:rsid w:val="00D4431D"/>
    <w:rsid w:val="00D4667A"/>
    <w:rsid w:val="00D52D03"/>
    <w:rsid w:val="00D63A1C"/>
    <w:rsid w:val="00D7516F"/>
    <w:rsid w:val="00D82E42"/>
    <w:rsid w:val="00D95F8E"/>
    <w:rsid w:val="00DA0590"/>
    <w:rsid w:val="00DA4ECA"/>
    <w:rsid w:val="00DC1739"/>
    <w:rsid w:val="00DC1788"/>
    <w:rsid w:val="00DD7209"/>
    <w:rsid w:val="00DE1D99"/>
    <w:rsid w:val="00DE319C"/>
    <w:rsid w:val="00DF0CA8"/>
    <w:rsid w:val="00DF2B48"/>
    <w:rsid w:val="00DF49A7"/>
    <w:rsid w:val="00E0282E"/>
    <w:rsid w:val="00E07EE2"/>
    <w:rsid w:val="00E07FD1"/>
    <w:rsid w:val="00E10AD5"/>
    <w:rsid w:val="00E10FA7"/>
    <w:rsid w:val="00E11F5B"/>
    <w:rsid w:val="00E24573"/>
    <w:rsid w:val="00E25E1E"/>
    <w:rsid w:val="00E27EE7"/>
    <w:rsid w:val="00E35404"/>
    <w:rsid w:val="00E4387E"/>
    <w:rsid w:val="00E45109"/>
    <w:rsid w:val="00E47B7A"/>
    <w:rsid w:val="00E56A44"/>
    <w:rsid w:val="00E60269"/>
    <w:rsid w:val="00E91823"/>
    <w:rsid w:val="00E97830"/>
    <w:rsid w:val="00EC224B"/>
    <w:rsid w:val="00EE0830"/>
    <w:rsid w:val="00EE6CB8"/>
    <w:rsid w:val="00EF0683"/>
    <w:rsid w:val="00F0070C"/>
    <w:rsid w:val="00F00EB7"/>
    <w:rsid w:val="00F307A8"/>
    <w:rsid w:val="00F36AB6"/>
    <w:rsid w:val="00F37A09"/>
    <w:rsid w:val="00F409CE"/>
    <w:rsid w:val="00F4379D"/>
    <w:rsid w:val="00F50D2D"/>
    <w:rsid w:val="00F53457"/>
    <w:rsid w:val="00F56C8B"/>
    <w:rsid w:val="00F62639"/>
    <w:rsid w:val="00F626BD"/>
    <w:rsid w:val="00F66810"/>
    <w:rsid w:val="00F84DF4"/>
    <w:rsid w:val="00F85C97"/>
    <w:rsid w:val="00FB37D2"/>
    <w:rsid w:val="00FC1F0B"/>
    <w:rsid w:val="00FC4EFB"/>
    <w:rsid w:val="00FD068D"/>
    <w:rsid w:val="00FD4F2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A65"/>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styleId="FootnoteText">
    <w:name w:val="footnote text"/>
    <w:basedOn w:val="Normal"/>
    <w:link w:val="FootnoteTextChar"/>
    <w:uiPriority w:val="99"/>
    <w:semiHidden/>
    <w:unhideWhenUsed/>
    <w:rsid w:val="002B6562"/>
    <w:rPr>
      <w:sz w:val="20"/>
    </w:rPr>
  </w:style>
  <w:style w:type="character" w:customStyle="1" w:styleId="FootnoteTextChar">
    <w:name w:val="Footnote Text Char"/>
    <w:basedOn w:val="DefaultParagraphFont"/>
    <w:link w:val="FootnoteText"/>
    <w:uiPriority w:val="99"/>
    <w:semiHidden/>
    <w:rsid w:val="002B6562"/>
  </w:style>
  <w:style w:type="character" w:styleId="FootnoteReference">
    <w:name w:val="footnote reference"/>
    <w:basedOn w:val="DefaultParagraphFont"/>
    <w:uiPriority w:val="99"/>
    <w:semiHidden/>
    <w:unhideWhenUsed/>
    <w:rsid w:val="002B6562"/>
    <w:rPr>
      <w:vertAlign w:val="superscript"/>
    </w:rPr>
  </w:style>
  <w:style w:type="paragraph" w:customStyle="1" w:styleId="ParaNoNdepar-AltN">
    <w:name w:val="Para. No. / Nº de par. - Alt N"/>
    <w:qFormat/>
    <w:rsid w:val="00DD7209"/>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Citation-AltC">
    <w:name w:val="Citation - Alt C"/>
    <w:uiPriority w:val="2"/>
    <w:qFormat/>
    <w:rsid w:val="00672A65"/>
    <w:pPr>
      <w:spacing w:after="720"/>
      <w:ind w:left="1166"/>
      <w:contextualSpacing/>
      <w:jc w:val="both"/>
    </w:pPr>
    <w:rPr>
      <w:sz w:val="24"/>
      <w:szCs w:val="24"/>
    </w:rPr>
  </w:style>
  <w:style w:type="paragraph" w:customStyle="1" w:styleId="JudgeJuge">
    <w:name w:val="Judge / Juge"/>
    <w:uiPriority w:val="3"/>
    <w:rsid w:val="00672A65"/>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672A65"/>
    <w:pPr>
      <w:keepNext/>
      <w:numPr>
        <w:numId w:val="2"/>
      </w:numPr>
      <w:tabs>
        <w:tab w:val="left" w:pos="576"/>
      </w:tabs>
      <w:spacing w:after="720"/>
      <w:ind w:left="576" w:hanging="576"/>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672A65"/>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672A65"/>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672A65"/>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672A65"/>
    <w:pPr>
      <w:numPr>
        <w:ilvl w:val="4"/>
      </w:numPr>
      <w:tabs>
        <w:tab w:val="clear" w:pos="576"/>
        <w:tab w:val="left" w:pos="1620"/>
      </w:tabs>
      <w:ind w:left="1620" w:hanging="540"/>
    </w:pPr>
  </w:style>
  <w:style w:type="character" w:styleId="Hyperlink">
    <w:name w:val="Hyperlink"/>
    <w:basedOn w:val="DefaultParagraphFont"/>
    <w:uiPriority w:val="99"/>
    <w:unhideWhenUsed/>
    <w:rsid w:val="00672A65"/>
    <w:rPr>
      <w:color w:val="0000FF" w:themeColor="hyperlink"/>
      <w:u w:val="single"/>
    </w:rPr>
  </w:style>
  <w:style w:type="table" w:styleId="TableGrid">
    <w:name w:val="Table Grid"/>
    <w:basedOn w:val="TableNormal"/>
    <w:uiPriority w:val="59"/>
    <w:rsid w:val="00672A65"/>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CCLsocPartyRoleChar">
    <w:name w:val="SCC.Lsoc.PartyRole Char"/>
    <w:basedOn w:val="DefaultParagraphFont"/>
    <w:rsid w:val="00346A11"/>
    <w:rPr>
      <w:lang w:val="fr-CA"/>
    </w:rPr>
  </w:style>
  <w:style w:type="paragraph" w:customStyle="1" w:styleId="SCCLsocPrefix">
    <w:name w:val="SCC.Lsoc.Prefix"/>
    <w:basedOn w:val="Normal"/>
    <w:next w:val="Normal"/>
    <w:link w:val="SCCLsocPrefixChar"/>
    <w:rsid w:val="00346A11"/>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346A11"/>
    <w:rPr>
      <w:rFonts w:eastAsiaTheme="minorHAnsi" w:cstheme="minorBidi"/>
      <w:b/>
      <w:smallCaps/>
      <w:sz w:val="24"/>
      <w:szCs w:val="24"/>
      <w:lang w:val="fr-CA" w:eastAsia="en-US"/>
    </w:rPr>
  </w:style>
  <w:style w:type="paragraph" w:customStyle="1" w:styleId="SCCHearingJudgmentDatesText">
    <w:name w:val="SCC.HearingJudgmentDatesText"/>
    <w:basedOn w:val="Normal"/>
    <w:next w:val="Normal"/>
    <w:link w:val="SCCHearingJudgmentDatesTextChar"/>
    <w:rsid w:val="00346A11"/>
    <w:rPr>
      <w:rFonts w:eastAsiaTheme="minorHAnsi" w:cstheme="minorBidi"/>
      <w:szCs w:val="24"/>
      <w:lang w:val="fr-CA" w:eastAsia="en-US"/>
    </w:rPr>
  </w:style>
  <w:style w:type="character" w:customStyle="1" w:styleId="SCCHearingJudgmentDatesTextChar">
    <w:name w:val="SCC.HearingJudgmentDatesText Char"/>
    <w:basedOn w:val="DefaultParagraphFont"/>
    <w:link w:val="SCCHearingJudgmentDatesText"/>
    <w:rsid w:val="00346A11"/>
    <w:rPr>
      <w:rFonts w:eastAsiaTheme="minorHAnsi" w:cstheme="minorBidi"/>
      <w:sz w:val="24"/>
      <w:szCs w:val="24"/>
      <w:lang w:val="fr-CA" w:eastAsia="en-US"/>
    </w:rPr>
  </w:style>
  <w:style w:type="paragraph" w:customStyle="1" w:styleId="SCCHearingJudgmentDatesTitle">
    <w:name w:val="SCC.HearingJudgmentDatesTitle"/>
    <w:basedOn w:val="Normal"/>
    <w:next w:val="Normal"/>
    <w:link w:val="SCCHearingJudgmentDatesTitleChar"/>
    <w:rsid w:val="00346A11"/>
    <w:rPr>
      <w:rFonts w:eastAsiaTheme="minorHAnsi" w:cstheme="minorBidi"/>
      <w:b/>
      <w:smallCaps/>
      <w:szCs w:val="24"/>
      <w:lang w:val="fr-CA" w:eastAsia="en-US"/>
    </w:rPr>
  </w:style>
  <w:style w:type="character" w:customStyle="1" w:styleId="SCCHearingJudgmentDatesTitleChar">
    <w:name w:val="SCC.HearingJudgmentDatesTitle Char"/>
    <w:basedOn w:val="DefaultParagraphFont"/>
    <w:link w:val="SCCHearingJudgmentDatesTitle"/>
    <w:rsid w:val="00346A11"/>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CE9E3-E4BE-48CD-A476-82DB37ECD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2973</Words>
  <Characters>15540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2014-04-15T15:07:00Z</dcterms:created>
  <dcterms:modified xsi:type="dcterms:W3CDTF">2014-09-19T14:42:00Z</dcterms:modified>
</cp:coreProperties>
</file>