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64" w:rsidRPr="00FB5975" w:rsidRDefault="004D4B64" w:rsidP="004D4B64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  <w:r w:rsidRPr="00FB5975">
        <w:rPr>
          <w:rFonts w:eastAsiaTheme="minorHAnsi" w:cstheme="minorBidi"/>
          <w:szCs w:val="24"/>
          <w:lang w:val="fr-CA" w:eastAsia="en-US"/>
        </w:rPr>
        <w:ptab w:relativeTo="margin" w:alignment="center" w:leader="none"/>
      </w:r>
      <w:r w:rsidRPr="00FB5975">
        <w:rPr>
          <w:rFonts w:eastAsiaTheme="minorHAnsi" w:cstheme="minorBidi"/>
          <w:szCs w:val="24"/>
          <w:lang w:val="fr-CA" w:eastAsia="en-US"/>
        </w:rPr>
        <w:t xml:space="preserve"> </w:t>
      </w:r>
      <w:r w:rsidRPr="00FB5975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64.5pt" o:ole="">
            <v:imagedata r:id="rId7" o:title=""/>
          </v:shape>
          <o:OLEObject Type="Embed" ProgID="Presentations.Drawing.13" ShapeID="_x0000_i1025" DrawAspect="Content" ObjectID="_1472556780" r:id="rId8"/>
        </w:object>
      </w:r>
      <w:r w:rsidRPr="00FB5975">
        <w:rPr>
          <w:rFonts w:eastAsiaTheme="minorHAnsi" w:cstheme="minorBidi"/>
          <w:szCs w:val="24"/>
          <w:lang w:val="fr-CA" w:eastAsia="en-US"/>
        </w:rPr>
        <w:t xml:space="preserve"> </w:t>
      </w:r>
      <w:r w:rsidRPr="00FB5975">
        <w:rPr>
          <w:rFonts w:eastAsiaTheme="minorHAnsi" w:cstheme="minorBidi"/>
          <w:szCs w:val="24"/>
          <w:lang w:val="fr-CA" w:eastAsia="en-US"/>
        </w:rPr>
        <w:ptab w:relativeTo="margin" w:alignment="right" w:leader="none"/>
      </w:r>
    </w:p>
    <w:p w:rsidR="004D4B64" w:rsidRPr="00FB5975" w:rsidRDefault="004D4B64" w:rsidP="004D4B64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4D4B64" w:rsidRPr="00FB5975" w:rsidRDefault="004D4B64" w:rsidP="004D4B64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FB5975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4D4B64" w:rsidRPr="00FB5975" w:rsidTr="0051112B">
        <w:trPr>
          <w:cantSplit/>
        </w:trPr>
        <w:tc>
          <w:tcPr>
            <w:tcW w:w="6768" w:type="dxa"/>
          </w:tcPr>
          <w:p w:rsidR="004D4B64" w:rsidRPr="00FB5975" w:rsidRDefault="004D4B64" w:rsidP="0051112B">
            <w:pPr>
              <w:rPr>
                <w:lang w:val="fr-CA"/>
              </w:rPr>
            </w:pPr>
            <w:r w:rsidRPr="00FB5975">
              <w:rPr>
                <w:b/>
                <w:smallCaps/>
                <w:lang w:val="fr-CA"/>
              </w:rPr>
              <w:t>Référence :</w:t>
            </w:r>
            <w:r w:rsidRPr="00FB5975">
              <w:rPr>
                <w:lang w:val="fr-CA"/>
              </w:rPr>
              <w:t xml:space="preserve"> R. </w:t>
            </w:r>
            <w:r w:rsidRPr="00FB5975">
              <w:rPr>
                <w:i/>
                <w:lang w:val="fr-CA"/>
              </w:rPr>
              <w:t>c.</w:t>
            </w:r>
            <w:r w:rsidRPr="00FB5975">
              <w:rPr>
                <w:lang w:val="fr-CA"/>
              </w:rPr>
              <w:t xml:space="preserve"> </w:t>
            </w:r>
            <w:r>
              <w:rPr>
                <w:lang w:val="fr-CA"/>
              </w:rPr>
              <w:t>Jackson</w:t>
            </w:r>
            <w:r w:rsidRPr="001B71B7">
              <w:rPr>
                <w:lang w:val="fr-CA"/>
              </w:rPr>
              <w:t xml:space="preserve">, 2014 CSC </w:t>
            </w:r>
            <w:r>
              <w:rPr>
                <w:lang w:val="fr-CA"/>
              </w:rPr>
              <w:t>30</w:t>
            </w:r>
            <w:r w:rsidRPr="001B71B7">
              <w:rPr>
                <w:lang w:val="fr-CA"/>
              </w:rPr>
              <w:t xml:space="preserve">, [2014] 1 R.C.S. </w:t>
            </w:r>
            <w:r>
              <w:rPr>
                <w:lang w:val="fr-CA"/>
              </w:rPr>
              <w:t>672</w:t>
            </w:r>
          </w:p>
        </w:tc>
        <w:tc>
          <w:tcPr>
            <w:tcW w:w="2808" w:type="dxa"/>
          </w:tcPr>
          <w:p w:rsidR="004D4B64" w:rsidRPr="00FB5975" w:rsidRDefault="004D4B64" w:rsidP="0051112B">
            <w:pPr>
              <w:rPr>
                <w:lang w:val="fr-CA"/>
              </w:rPr>
            </w:pPr>
            <w:r w:rsidRPr="00FB5975">
              <w:rPr>
                <w:b/>
                <w:smallCaps/>
                <w:lang w:val="fr-CA"/>
              </w:rPr>
              <w:t>Date :</w:t>
            </w:r>
            <w:r w:rsidRPr="00FB5975">
              <w:rPr>
                <w:lang w:val="fr-CA"/>
              </w:rPr>
              <w:t xml:space="preserve"> 20140</w:t>
            </w:r>
            <w:r>
              <w:rPr>
                <w:lang w:val="fr-CA"/>
              </w:rPr>
              <w:t>4</w:t>
            </w:r>
            <w:r w:rsidRPr="00FB5975">
              <w:rPr>
                <w:lang w:val="fr-CA"/>
              </w:rPr>
              <w:t>2</w:t>
            </w:r>
            <w:r>
              <w:rPr>
                <w:lang w:val="fr-CA"/>
              </w:rPr>
              <w:t>3</w:t>
            </w:r>
          </w:p>
          <w:p w:rsidR="004D4B64" w:rsidRPr="00FB5975" w:rsidRDefault="004D4B64" w:rsidP="0051112B">
            <w:pPr>
              <w:rPr>
                <w:lang w:val="fr-CA"/>
              </w:rPr>
            </w:pPr>
            <w:r w:rsidRPr="00FB5975">
              <w:rPr>
                <w:b/>
                <w:smallCaps/>
                <w:lang w:val="fr-CA"/>
              </w:rPr>
              <w:t>Dossier :</w:t>
            </w:r>
            <w:r w:rsidRPr="00FB5975">
              <w:rPr>
                <w:lang w:val="fr-CA"/>
              </w:rPr>
              <w:t xml:space="preserve"> </w:t>
            </w:r>
            <w:r>
              <w:rPr>
                <w:lang w:val="fr-CA"/>
              </w:rPr>
              <w:t>35622</w:t>
            </w:r>
          </w:p>
        </w:tc>
      </w:tr>
    </w:tbl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p w:rsidR="004D4B64" w:rsidRPr="00FB5975" w:rsidRDefault="004D4B64" w:rsidP="004D4B64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FB5975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4D4B64" w:rsidRPr="00FB5975" w:rsidRDefault="004D4B64" w:rsidP="004D4B64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>
        <w:rPr>
          <w:rFonts w:eastAsiaTheme="minorHAnsi" w:cstheme="minorBidi"/>
          <w:b/>
          <w:szCs w:val="24"/>
          <w:lang w:val="fr-CA" w:eastAsia="en-US"/>
        </w:rPr>
        <w:t>Douglas Jackson</w:t>
      </w:r>
    </w:p>
    <w:p w:rsidR="004D4B64" w:rsidRPr="00FB5975" w:rsidRDefault="004D4B64" w:rsidP="004D4B64">
      <w:pPr>
        <w:jc w:val="center"/>
        <w:rPr>
          <w:rFonts w:eastAsiaTheme="minorHAnsi" w:cstheme="minorBidi"/>
          <w:szCs w:val="24"/>
          <w:lang w:val="fr-CA" w:eastAsia="en-US"/>
        </w:rPr>
      </w:pPr>
      <w:r>
        <w:rPr>
          <w:rFonts w:eastAsiaTheme="minorHAnsi" w:cstheme="minorBidi"/>
          <w:szCs w:val="24"/>
          <w:lang w:val="fr-CA" w:eastAsia="en-US"/>
        </w:rPr>
        <w:t>Appelant</w:t>
      </w:r>
    </w:p>
    <w:p w:rsidR="004D4B64" w:rsidRPr="00FB5975" w:rsidRDefault="004D4B64" w:rsidP="004D4B64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FB5975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4D4B64" w:rsidRPr="00FB5975" w:rsidRDefault="004D4B64" w:rsidP="004D4B64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4D4B64" w:rsidRPr="00FB5975" w:rsidRDefault="004D4B64" w:rsidP="004D4B64">
      <w:pPr>
        <w:jc w:val="center"/>
        <w:rPr>
          <w:rFonts w:eastAsiaTheme="minorHAnsi" w:cstheme="minorBidi"/>
          <w:szCs w:val="24"/>
          <w:lang w:val="fr-CA" w:eastAsia="en-US"/>
        </w:rPr>
      </w:pPr>
      <w:r w:rsidRPr="00FB5975">
        <w:rPr>
          <w:rFonts w:eastAsiaTheme="minorHAnsi" w:cstheme="minorBidi"/>
          <w:szCs w:val="24"/>
          <w:lang w:val="fr-CA" w:eastAsia="en-US"/>
        </w:rPr>
        <w:t>Intimé</w:t>
      </w:r>
      <w:r>
        <w:rPr>
          <w:rFonts w:eastAsiaTheme="minorHAnsi" w:cstheme="minorBidi"/>
          <w:szCs w:val="24"/>
          <w:lang w:val="fr-CA" w:eastAsia="en-US"/>
        </w:rPr>
        <w:t>e</w:t>
      </w: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p w:rsidR="004D4B64" w:rsidRPr="00FB5975" w:rsidRDefault="004D4B64" w:rsidP="004D4B64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FB5975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  <w:r w:rsidRPr="00FB5975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FB5975">
        <w:rPr>
          <w:rFonts w:eastAsiaTheme="minorHAnsi" w:cstheme="minorBidi"/>
          <w:szCs w:val="24"/>
          <w:lang w:val="fr-CA" w:eastAsia="en-US"/>
        </w:rPr>
        <w:t xml:space="preserve"> L</w:t>
      </w:r>
      <w:r>
        <w:rPr>
          <w:rFonts w:eastAsiaTheme="minorHAnsi" w:cstheme="minorBidi"/>
          <w:szCs w:val="24"/>
          <w:lang w:val="fr-CA" w:eastAsia="en-US"/>
        </w:rPr>
        <w:t>es</w:t>
      </w:r>
      <w:r w:rsidRPr="00FB5975">
        <w:rPr>
          <w:rFonts w:eastAsiaTheme="minorHAnsi" w:cstheme="minorBidi"/>
          <w:szCs w:val="24"/>
          <w:lang w:val="fr-CA" w:eastAsia="en-US"/>
        </w:rPr>
        <w:t xml:space="preserve"> juge</w:t>
      </w:r>
      <w:r>
        <w:rPr>
          <w:rFonts w:eastAsiaTheme="minorHAnsi" w:cstheme="minorBidi"/>
          <w:szCs w:val="24"/>
          <w:lang w:val="fr-CA" w:eastAsia="en-US"/>
        </w:rPr>
        <w:t>s</w:t>
      </w:r>
      <w:r w:rsidRPr="00FB5975">
        <w:rPr>
          <w:rFonts w:eastAsiaTheme="minorHAnsi" w:cstheme="minorBidi"/>
          <w:szCs w:val="24"/>
          <w:lang w:val="fr-CA" w:eastAsia="en-US"/>
        </w:rPr>
        <w:t xml:space="preserve"> </w:t>
      </w:r>
      <w:r>
        <w:rPr>
          <w:rFonts w:eastAsiaTheme="minorHAnsi" w:cstheme="minorBidi"/>
          <w:szCs w:val="24"/>
          <w:lang w:val="fr-CA" w:eastAsia="en-US"/>
        </w:rPr>
        <w:t xml:space="preserve">Abella, </w:t>
      </w:r>
      <w:proofErr w:type="spellStart"/>
      <w:r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>
        <w:rPr>
          <w:rFonts w:eastAsiaTheme="minorHAnsi" w:cstheme="minorBidi"/>
          <w:szCs w:val="24"/>
          <w:lang w:val="fr-CA" w:eastAsia="en-US"/>
        </w:rPr>
        <w:t>,</w:t>
      </w:r>
      <w:r w:rsidRPr="00FB5975">
        <w:rPr>
          <w:rFonts w:eastAsiaTheme="minorHAnsi" w:cstheme="minorBidi"/>
          <w:szCs w:val="24"/>
          <w:lang w:val="fr-CA" w:eastAsia="en-US"/>
        </w:rPr>
        <w:t xml:space="preserve"> </w:t>
      </w:r>
      <w:proofErr w:type="spellStart"/>
      <w:r w:rsidRPr="00FB5975">
        <w:rPr>
          <w:rFonts w:eastAsiaTheme="minorHAnsi" w:cstheme="minorBidi"/>
          <w:szCs w:val="24"/>
          <w:lang w:val="fr-CA" w:eastAsia="en-US"/>
        </w:rPr>
        <w:t>Moldaver</w:t>
      </w:r>
      <w:proofErr w:type="spellEnd"/>
      <w:r w:rsidRPr="00FB5975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FB5975">
        <w:rPr>
          <w:rFonts w:eastAsiaTheme="minorHAnsi" w:cstheme="minorBidi"/>
          <w:szCs w:val="24"/>
          <w:lang w:val="fr-CA" w:eastAsia="en-US"/>
        </w:rPr>
        <w:t>Karakatsanis</w:t>
      </w:r>
      <w:proofErr w:type="spellEnd"/>
      <w:r w:rsidRPr="00FB5975">
        <w:rPr>
          <w:rFonts w:eastAsiaTheme="minorHAnsi" w:cstheme="minorBidi"/>
          <w:szCs w:val="24"/>
          <w:lang w:val="fr-CA" w:eastAsia="en-US"/>
        </w:rPr>
        <w:t xml:space="preserve"> et Wagner</w:t>
      </w:r>
    </w:p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4D4B64" w:rsidRPr="001B71B7" w:rsidTr="0051112B">
        <w:trPr>
          <w:cantSplit/>
        </w:trPr>
        <w:tc>
          <w:tcPr>
            <w:tcW w:w="3618" w:type="dxa"/>
          </w:tcPr>
          <w:p w:rsidR="004D4B64" w:rsidRPr="00FB5975" w:rsidRDefault="004D4B64" w:rsidP="0051112B">
            <w:pPr>
              <w:rPr>
                <w:b/>
                <w:smallCaps/>
                <w:lang w:val="fr-CA"/>
              </w:rPr>
            </w:pPr>
            <w:r w:rsidRPr="00FB5975">
              <w:rPr>
                <w:b/>
                <w:smallCaps/>
                <w:lang w:val="fr-CA"/>
              </w:rPr>
              <w:t>Motifs de jugement :</w:t>
            </w:r>
          </w:p>
          <w:p w:rsidR="004D4B64" w:rsidRPr="00FB5975" w:rsidRDefault="004D4B64" w:rsidP="0051112B">
            <w:pPr>
              <w:rPr>
                <w:lang w:val="fr-CA"/>
              </w:rPr>
            </w:pPr>
            <w:r w:rsidRPr="00FB5975">
              <w:rPr>
                <w:lang w:val="fr-CA"/>
              </w:rPr>
              <w:t>(par. 1</w:t>
            </w:r>
            <w:r>
              <w:rPr>
                <w:lang w:val="fr-CA"/>
              </w:rPr>
              <w:t xml:space="preserve"> à 2</w:t>
            </w:r>
            <w:r w:rsidRPr="00FB5975">
              <w:rPr>
                <w:lang w:val="fr-CA"/>
              </w:rPr>
              <w:t>)</w:t>
            </w:r>
          </w:p>
        </w:tc>
        <w:tc>
          <w:tcPr>
            <w:tcW w:w="5958" w:type="dxa"/>
          </w:tcPr>
          <w:p w:rsidR="004D4B64" w:rsidRPr="00FB5975" w:rsidRDefault="004D4B64" w:rsidP="0051112B">
            <w:pPr>
              <w:rPr>
                <w:lang w:val="fr-CA"/>
              </w:rPr>
            </w:pPr>
            <w:r w:rsidRPr="00FB5975">
              <w:rPr>
                <w:lang w:val="fr-CA"/>
              </w:rPr>
              <w:t xml:space="preserve">La juge </w:t>
            </w:r>
            <w:r>
              <w:rPr>
                <w:lang w:val="fr-CA"/>
              </w:rPr>
              <w:t>Abella</w:t>
            </w:r>
            <w:r w:rsidRPr="00FB5975">
              <w:rPr>
                <w:lang w:val="fr-CA"/>
              </w:rPr>
              <w:t xml:space="preserve"> (avec l’accord des juges </w:t>
            </w:r>
            <w:proofErr w:type="spellStart"/>
            <w:r>
              <w:rPr>
                <w:lang w:val="fr-CA"/>
              </w:rPr>
              <w:t>Rothstein</w:t>
            </w:r>
            <w:proofErr w:type="spellEnd"/>
            <w:r w:rsidRPr="00FB5975">
              <w:rPr>
                <w:lang w:val="fr-CA"/>
              </w:rPr>
              <w:t xml:space="preserve">, </w:t>
            </w:r>
            <w:proofErr w:type="spellStart"/>
            <w:r w:rsidRPr="00FB5975">
              <w:rPr>
                <w:lang w:val="fr-CA"/>
              </w:rPr>
              <w:t>Moldaver</w:t>
            </w:r>
            <w:proofErr w:type="spellEnd"/>
            <w:r w:rsidRPr="00FB5975">
              <w:rPr>
                <w:lang w:val="fr-CA"/>
              </w:rPr>
              <w:t xml:space="preserve">, </w:t>
            </w:r>
            <w:proofErr w:type="spellStart"/>
            <w:r w:rsidRPr="00FB5975">
              <w:rPr>
                <w:lang w:val="fr-CA"/>
              </w:rPr>
              <w:t>Karakatsanis</w:t>
            </w:r>
            <w:proofErr w:type="spellEnd"/>
            <w:r w:rsidRPr="00FB5975">
              <w:rPr>
                <w:lang w:val="fr-CA"/>
              </w:rPr>
              <w:t xml:space="preserve"> et Wagner)</w:t>
            </w:r>
          </w:p>
        </w:tc>
      </w:tr>
    </w:tbl>
    <w:p w:rsidR="004D4B64" w:rsidRPr="00FB5975" w:rsidRDefault="004D4B64" w:rsidP="004D4B64">
      <w:pPr>
        <w:rPr>
          <w:rFonts w:eastAsiaTheme="minorHAnsi" w:cstheme="minorBidi"/>
          <w:szCs w:val="24"/>
          <w:lang w:val="fr-CA" w:eastAsia="en-US"/>
        </w:rPr>
      </w:pPr>
      <w:r w:rsidRPr="0007788F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4D4B64" w:rsidRDefault="004D4B64" w:rsidP="004D4B64">
      <w:pPr>
        <w:rPr>
          <w:rStyle w:val="SCCAppellantForRunningHeadChar"/>
          <w:smallCaps w:val="0"/>
          <w:lang w:val="fr-CA"/>
        </w:rPr>
      </w:pPr>
    </w:p>
    <w:p w:rsidR="004D4B64" w:rsidRPr="004D4B64" w:rsidRDefault="004D4B64" w:rsidP="004D7D95">
      <w:pPr>
        <w:spacing w:line="480" w:lineRule="auto"/>
        <w:jc w:val="both"/>
        <w:rPr>
          <w:lang w:val="fr-CA"/>
        </w:rPr>
      </w:pPr>
    </w:p>
    <w:p w:rsidR="004D7D95" w:rsidRPr="004D4B64" w:rsidRDefault="00E77838" w:rsidP="004D7D95">
      <w:pPr>
        <w:spacing w:line="480" w:lineRule="auto"/>
        <w:jc w:val="both"/>
        <w:rPr>
          <w:lang w:val="fr-CA"/>
        </w:rPr>
      </w:pPr>
      <w:r w:rsidRPr="004D4B64">
        <w:rPr>
          <w:lang w:val="fr-CA"/>
        </w:rPr>
        <w:t>R</w:t>
      </w:r>
      <w:r w:rsidR="00016AC6" w:rsidRPr="004D4B64">
        <w:rPr>
          <w:lang w:val="fr-CA"/>
        </w:rPr>
        <w:t xml:space="preserve">. </w:t>
      </w:r>
      <w:r w:rsidR="00016AC6" w:rsidRPr="004D4B64">
        <w:rPr>
          <w:i/>
          <w:lang w:val="fr-CA"/>
        </w:rPr>
        <w:t>c.</w:t>
      </w:r>
      <w:r w:rsidRPr="004D4B64">
        <w:rPr>
          <w:lang w:val="fr-CA"/>
        </w:rPr>
        <w:t xml:space="preserve"> J</w:t>
      </w:r>
      <w:r w:rsidR="00016AC6" w:rsidRPr="004D4B64">
        <w:rPr>
          <w:lang w:val="fr-CA"/>
        </w:rPr>
        <w:t>ackson</w:t>
      </w:r>
      <w:r w:rsidRPr="004D4B64">
        <w:rPr>
          <w:lang w:val="fr-CA"/>
        </w:rPr>
        <w:t>, 2014 CSC 30, [2014] 1 R.C.S. 672</w:t>
      </w:r>
    </w:p>
    <w:p w:rsidR="004D7D95" w:rsidRPr="004D4B64" w:rsidRDefault="004D7D95" w:rsidP="004D7D95">
      <w:pPr>
        <w:jc w:val="both"/>
        <w:rPr>
          <w:lang w:val="fr-CA"/>
        </w:rPr>
      </w:pPr>
    </w:p>
    <w:p w:rsidR="004D7D95" w:rsidRPr="004D4B64" w:rsidRDefault="004D7D95" w:rsidP="004D7D95">
      <w:pPr>
        <w:jc w:val="both"/>
        <w:rPr>
          <w:lang w:val="fr-CA"/>
        </w:rPr>
      </w:pPr>
    </w:p>
    <w:p w:rsidR="004D7D95" w:rsidRPr="004D4B64" w:rsidRDefault="004D7D95" w:rsidP="004D7D95">
      <w:pPr>
        <w:jc w:val="both"/>
        <w:rPr>
          <w:lang w:val="fr-CA"/>
        </w:rPr>
      </w:pPr>
    </w:p>
    <w:p w:rsidR="00263040" w:rsidRPr="00460290" w:rsidRDefault="00016AC6">
      <w:pPr>
        <w:pStyle w:val="SCCLsocLastPartyInRole"/>
        <w:rPr>
          <w:lang w:val="fr-CA"/>
        </w:rPr>
      </w:pPr>
      <w:r w:rsidRPr="00460290">
        <w:rPr>
          <w:lang w:val="fr-CA"/>
        </w:rPr>
        <w:t>Douglas Jackson</w:t>
      </w:r>
      <w:r w:rsidRPr="00460290">
        <w:rPr>
          <w:rStyle w:val="SCCLsocPartyRole"/>
          <w:lang w:val="fr-CA"/>
        </w:rPr>
        <w:tab/>
        <w:t>Appelant</w:t>
      </w:r>
    </w:p>
    <w:p w:rsidR="00263040" w:rsidRPr="00460290" w:rsidRDefault="00016AC6">
      <w:pPr>
        <w:pStyle w:val="SCCLsocVersus"/>
        <w:rPr>
          <w:lang w:val="fr-CA"/>
        </w:rPr>
      </w:pPr>
      <w:proofErr w:type="gramStart"/>
      <w:r w:rsidRPr="00460290">
        <w:rPr>
          <w:lang w:val="fr-CA"/>
        </w:rPr>
        <w:t>c</w:t>
      </w:r>
      <w:proofErr w:type="gramEnd"/>
      <w:r w:rsidRPr="00460290">
        <w:rPr>
          <w:lang w:val="fr-CA"/>
        </w:rPr>
        <w:t>.</w:t>
      </w:r>
    </w:p>
    <w:p w:rsidR="00263040" w:rsidRPr="00460290" w:rsidRDefault="00016AC6">
      <w:pPr>
        <w:pStyle w:val="SCCLsocLastPartyInRole"/>
        <w:rPr>
          <w:lang w:val="fr-CA"/>
        </w:rPr>
      </w:pPr>
      <w:r w:rsidRPr="00460290">
        <w:rPr>
          <w:lang w:val="fr-CA"/>
        </w:rPr>
        <w:t>Sa Majesté la Reine</w:t>
      </w:r>
      <w:r w:rsidRPr="00460290">
        <w:rPr>
          <w:rStyle w:val="SCCLsocPartyRole"/>
          <w:lang w:val="fr-CA"/>
        </w:rPr>
        <w:tab/>
        <w:t>Intimée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b/>
          <w:lang w:val="fr-CA"/>
        </w:rPr>
      </w:pPr>
      <w:r w:rsidRPr="00460290">
        <w:rPr>
          <w:b/>
          <w:lang w:val="fr-CA"/>
        </w:rPr>
        <w:t>Répertorié : </w:t>
      </w:r>
      <w:r w:rsidR="00016AC6" w:rsidRPr="00460290">
        <w:rPr>
          <w:b/>
          <w:lang w:val="fr-CA"/>
        </w:rPr>
        <w:t xml:space="preserve">R. </w:t>
      </w:r>
      <w:r w:rsidR="00016AC6" w:rsidRPr="00460290">
        <w:rPr>
          <w:b/>
          <w:i/>
          <w:lang w:val="fr-CA"/>
        </w:rPr>
        <w:t xml:space="preserve">c. </w:t>
      </w:r>
      <w:r w:rsidR="00016AC6" w:rsidRPr="00460290">
        <w:rPr>
          <w:b/>
          <w:lang w:val="fr-CA"/>
        </w:rPr>
        <w:t>Jackson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F62639" w:rsidP="004D7D95">
      <w:pPr>
        <w:pStyle w:val="SCCSystemYear"/>
        <w:jc w:val="both"/>
        <w:rPr>
          <w:lang w:val="fr-CA"/>
        </w:rPr>
      </w:pPr>
      <w:r w:rsidRPr="00460290">
        <w:rPr>
          <w:lang w:val="fr-CA"/>
        </w:rPr>
        <w:t>2014</w:t>
      </w:r>
      <w:r w:rsidR="004D7D95" w:rsidRPr="00460290">
        <w:rPr>
          <w:lang w:val="fr-CA"/>
        </w:rPr>
        <w:t xml:space="preserve"> CSC </w:t>
      </w:r>
      <w:r w:rsidR="00016AC6" w:rsidRPr="00460290">
        <w:rPr>
          <w:lang w:val="fr-CA"/>
        </w:rPr>
        <w:t>30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  <w:r w:rsidRPr="00460290">
        <w:rPr>
          <w:lang w:val="fr-CA"/>
        </w:rPr>
        <w:t>N</w:t>
      </w:r>
      <w:r w:rsidRPr="00460290">
        <w:rPr>
          <w:vertAlign w:val="superscript"/>
          <w:lang w:val="fr-CA"/>
        </w:rPr>
        <w:t>o</w:t>
      </w:r>
      <w:r w:rsidRPr="00460290">
        <w:rPr>
          <w:lang w:val="fr-CA"/>
        </w:rPr>
        <w:t xml:space="preserve"> du greffe : 35622.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F62639" w:rsidP="004D7D95">
      <w:pPr>
        <w:jc w:val="both"/>
        <w:rPr>
          <w:lang w:val="fr-CA"/>
        </w:rPr>
      </w:pPr>
      <w:r w:rsidRPr="00460290">
        <w:rPr>
          <w:lang w:val="fr-CA"/>
        </w:rPr>
        <w:t>2014 : 23 avril</w:t>
      </w:r>
      <w:r w:rsidR="00016AC6" w:rsidRPr="00460290">
        <w:rPr>
          <w:lang w:val="fr-CA"/>
        </w:rPr>
        <w:t>.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</w:p>
    <w:p w:rsidR="004D7D95" w:rsidRPr="00460290" w:rsidRDefault="004D7D95" w:rsidP="004D7D95">
      <w:pPr>
        <w:jc w:val="both"/>
        <w:rPr>
          <w:lang w:val="fr-CA"/>
        </w:rPr>
      </w:pPr>
      <w:r w:rsidRPr="00460290">
        <w:rPr>
          <w:lang w:val="fr-CA"/>
        </w:rPr>
        <w:t xml:space="preserve">Présents : Les juges Abella, </w:t>
      </w:r>
      <w:proofErr w:type="spellStart"/>
      <w:r w:rsidRPr="00460290">
        <w:rPr>
          <w:lang w:val="fr-CA"/>
        </w:rPr>
        <w:t>Rothstein</w:t>
      </w:r>
      <w:proofErr w:type="spellEnd"/>
      <w:r w:rsidRPr="00460290">
        <w:rPr>
          <w:lang w:val="fr-CA"/>
        </w:rPr>
        <w:t xml:space="preserve">, </w:t>
      </w:r>
      <w:proofErr w:type="spellStart"/>
      <w:r w:rsidRPr="00460290">
        <w:rPr>
          <w:lang w:val="fr-CA"/>
        </w:rPr>
        <w:t>Moldaver</w:t>
      </w:r>
      <w:proofErr w:type="spellEnd"/>
      <w:r w:rsidRPr="00460290">
        <w:rPr>
          <w:lang w:val="fr-CA"/>
        </w:rPr>
        <w:t xml:space="preserve">, </w:t>
      </w:r>
      <w:proofErr w:type="spellStart"/>
      <w:r w:rsidRPr="00460290">
        <w:rPr>
          <w:lang w:val="fr-CA"/>
        </w:rPr>
        <w:t>Karakatsanis</w:t>
      </w:r>
      <w:proofErr w:type="spellEnd"/>
      <w:r w:rsidRPr="00460290">
        <w:rPr>
          <w:lang w:val="fr-CA"/>
        </w:rPr>
        <w:t xml:space="preserve"> et Wagner.</w:t>
      </w:r>
    </w:p>
    <w:p w:rsidR="004D7D95" w:rsidRPr="00460290" w:rsidRDefault="004D7D95" w:rsidP="004D7D95">
      <w:pPr>
        <w:jc w:val="both"/>
        <w:rPr>
          <w:lang w:val="fr-CA"/>
        </w:rPr>
      </w:pPr>
    </w:p>
    <w:p w:rsidR="00EE0830" w:rsidRPr="00460290" w:rsidRDefault="00EE0830" w:rsidP="004D7D95">
      <w:pPr>
        <w:jc w:val="both"/>
        <w:rPr>
          <w:lang w:val="fr-CA"/>
        </w:rPr>
      </w:pPr>
    </w:p>
    <w:p w:rsidR="00263040" w:rsidRPr="00460290" w:rsidRDefault="00263040">
      <w:pPr>
        <w:rPr>
          <w:lang w:val="fr-CA"/>
        </w:rPr>
      </w:pPr>
    </w:p>
    <w:p w:rsidR="004D7D95" w:rsidRPr="00460290" w:rsidRDefault="004D7D95" w:rsidP="000F7993">
      <w:pPr>
        <w:jc w:val="both"/>
        <w:rPr>
          <w:smallCaps/>
          <w:lang w:val="fr-CA"/>
        </w:rPr>
      </w:pPr>
      <w:r w:rsidRPr="00460290">
        <w:rPr>
          <w:smallCaps/>
          <w:lang w:val="fr-CA"/>
        </w:rPr>
        <w:t>en appel de la cour d’appel de l’</w:t>
      </w:r>
      <w:proofErr w:type="spellStart"/>
      <w:r w:rsidRPr="00460290">
        <w:rPr>
          <w:smallCaps/>
          <w:lang w:val="fr-CA"/>
        </w:rPr>
        <w:t>ontario</w:t>
      </w:r>
      <w:proofErr w:type="spellEnd"/>
    </w:p>
    <w:p w:rsidR="004D7D95" w:rsidRPr="00460290" w:rsidRDefault="004D7D95" w:rsidP="004D7D95">
      <w:pPr>
        <w:pStyle w:val="SCCNormalDoubleSpacing"/>
        <w:rPr>
          <w:smallCaps/>
          <w:lang w:val="fr-CA"/>
        </w:rPr>
      </w:pPr>
    </w:p>
    <w:p w:rsidR="00252739" w:rsidRPr="00460290" w:rsidRDefault="00252739" w:rsidP="00252739">
      <w:pPr>
        <w:pStyle w:val="SCCNormalDoubleSpacing"/>
        <w:rPr>
          <w:lang w:val="fr-CA"/>
        </w:rPr>
      </w:pPr>
    </w:p>
    <w:p w:rsidR="004D7D95" w:rsidRPr="00460290" w:rsidRDefault="00252739" w:rsidP="004D7D95">
      <w:pPr>
        <w:pStyle w:val="SCCNormalDoubleSpacing"/>
        <w:rPr>
          <w:lang w:val="fr-CA"/>
        </w:rPr>
      </w:pPr>
      <w:r w:rsidRPr="00460290">
        <w:rPr>
          <w:lang w:val="fr-CA"/>
        </w:rPr>
        <w:tab/>
      </w:r>
      <w:r w:rsidRPr="00460290">
        <w:rPr>
          <w:i/>
          <w:lang w:val="fr-CA"/>
        </w:rPr>
        <w:t xml:space="preserve">Droit criminel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Preuve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Admissibilité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Preuve à décharge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Accusé inculpé de meurtre au premier degré</w:t>
      </w:r>
      <w:r w:rsidR="00460290" w:rsidRPr="00460290">
        <w:rPr>
          <w:i/>
          <w:lang w:val="fr-CA"/>
        </w:rPr>
        <w:t xml:space="preserve"> </w:t>
      </w:r>
      <w:r w:rsidR="00F23356">
        <w:rPr>
          <w:i/>
          <w:lang w:val="fr-CA"/>
        </w:rPr>
        <w:t>—</w:t>
      </w:r>
      <w:r w:rsidR="00460290" w:rsidRPr="00460290">
        <w:rPr>
          <w:i/>
          <w:lang w:val="fr-CA"/>
        </w:rPr>
        <w:t xml:space="preserve"> Présentation par l’accusé avant le procès d’une demande en vue de déposer le </w:t>
      </w:r>
      <w:r w:rsidRPr="00460290">
        <w:rPr>
          <w:i/>
          <w:lang w:val="fr-CA"/>
        </w:rPr>
        <w:t>c</w:t>
      </w:r>
      <w:r w:rsidR="00460290" w:rsidRPr="00460290">
        <w:rPr>
          <w:i/>
          <w:lang w:val="fr-CA"/>
        </w:rPr>
        <w:t xml:space="preserve">asier </w:t>
      </w:r>
      <w:r w:rsidR="00460290">
        <w:rPr>
          <w:i/>
          <w:lang w:val="fr-CA"/>
        </w:rPr>
        <w:t xml:space="preserve">judiciaire du défunt qui </w:t>
      </w:r>
      <w:r w:rsidR="0085157E">
        <w:rPr>
          <w:i/>
          <w:lang w:val="fr-CA"/>
        </w:rPr>
        <w:t>se composait de trois infractions liées aux armes à feu</w:t>
      </w:r>
      <w:r w:rsidRPr="00460290">
        <w:rPr>
          <w:i/>
          <w:lang w:val="fr-CA"/>
        </w:rPr>
        <w:t xml:space="preserve">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</w:t>
      </w:r>
      <w:r w:rsidR="0085157E">
        <w:rPr>
          <w:i/>
          <w:lang w:val="fr-CA"/>
        </w:rPr>
        <w:t>Rejet de la demande par le juge du procès au motif que l’effet préjudiciable de cet élément de preuve s’il était admis dépasserait considérablement sa valeur probante</w:t>
      </w:r>
      <w:r w:rsidRPr="00460290">
        <w:rPr>
          <w:i/>
          <w:lang w:val="fr-CA"/>
        </w:rPr>
        <w:t xml:space="preserve">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Accus</w:t>
      </w:r>
      <w:r w:rsidR="0085157E">
        <w:rPr>
          <w:i/>
          <w:lang w:val="fr-CA"/>
        </w:rPr>
        <w:t>é déclaré coupable de meurtre a</w:t>
      </w:r>
      <w:r w:rsidR="00F717F0">
        <w:rPr>
          <w:i/>
          <w:lang w:val="fr-CA"/>
        </w:rPr>
        <w:t>u deuxième</w:t>
      </w:r>
      <w:r w:rsidR="0085157E">
        <w:rPr>
          <w:i/>
          <w:lang w:val="fr-CA"/>
        </w:rPr>
        <w:t xml:space="preserve"> degré</w:t>
      </w:r>
      <w:r w:rsidRPr="00460290">
        <w:rPr>
          <w:i/>
          <w:lang w:val="fr-CA"/>
        </w:rPr>
        <w:t xml:space="preserve"> </w:t>
      </w:r>
      <w:r w:rsidR="00F23356">
        <w:rPr>
          <w:i/>
          <w:lang w:val="fr-CA"/>
        </w:rPr>
        <w:t>—</w:t>
      </w:r>
      <w:r w:rsidRPr="00460290">
        <w:rPr>
          <w:i/>
          <w:lang w:val="fr-CA"/>
        </w:rPr>
        <w:t xml:space="preserve"> </w:t>
      </w:r>
      <w:r w:rsidR="0085157E">
        <w:rPr>
          <w:i/>
          <w:lang w:val="fr-CA"/>
        </w:rPr>
        <w:t>Le juge du procès n’a commis aucune erreur en excluant cette preuve</w:t>
      </w:r>
      <w:r w:rsidRPr="00460290">
        <w:rPr>
          <w:i/>
          <w:lang w:val="fr-CA"/>
        </w:rPr>
        <w:t>.</w:t>
      </w:r>
    </w:p>
    <w:p w:rsidR="00252739" w:rsidRPr="00460290" w:rsidRDefault="00252739" w:rsidP="004D7D95">
      <w:pPr>
        <w:pStyle w:val="SCCNormalDoubleSpacing"/>
        <w:rPr>
          <w:lang w:val="fr-CA"/>
        </w:rPr>
      </w:pPr>
    </w:p>
    <w:p w:rsidR="004D7D95" w:rsidRPr="00460290" w:rsidRDefault="004D7D95" w:rsidP="004D7D95">
      <w:pPr>
        <w:pStyle w:val="SCCNormalDoubleSpacing"/>
        <w:rPr>
          <w:lang w:val="fr-CA"/>
        </w:rPr>
      </w:pPr>
      <w:r w:rsidRPr="00460290">
        <w:rPr>
          <w:lang w:val="fr-CA"/>
        </w:rPr>
        <w:lastRenderedPageBreak/>
        <w:tab/>
      </w:r>
      <w:r w:rsidR="00016AC6" w:rsidRPr="00460290">
        <w:rPr>
          <w:lang w:val="fr-CA"/>
        </w:rPr>
        <w:tab/>
      </w:r>
      <w:r w:rsidRPr="00460290">
        <w:rPr>
          <w:lang w:val="fr-CA"/>
        </w:rPr>
        <w:t>POURVOI contre un arrêt de la Cour d’appel de l’Ontario</w:t>
      </w:r>
      <w:r w:rsidR="00016AC6" w:rsidRPr="00460290">
        <w:rPr>
          <w:lang w:val="fr-CA"/>
        </w:rPr>
        <w:t xml:space="preserve"> (</w:t>
      </w:r>
      <w:r w:rsidR="00216BB5" w:rsidRPr="00460290">
        <w:rPr>
          <w:lang w:val="fr-CA"/>
        </w:rPr>
        <w:t xml:space="preserve">les juges Rosenberg, Sharpe et </w:t>
      </w:r>
      <w:proofErr w:type="spellStart"/>
      <w:r w:rsidR="00216BB5" w:rsidRPr="00460290">
        <w:rPr>
          <w:lang w:val="fr-CA"/>
        </w:rPr>
        <w:t>Gillese</w:t>
      </w:r>
      <w:proofErr w:type="spellEnd"/>
      <w:r w:rsidR="0021480E" w:rsidRPr="00460290">
        <w:rPr>
          <w:lang w:val="fr-CA"/>
        </w:rPr>
        <w:t>), 2013 ONCA 632,</w:t>
      </w:r>
      <w:r w:rsidR="00A87883" w:rsidRPr="00460290">
        <w:rPr>
          <w:lang w:val="fr-CA"/>
        </w:rPr>
        <w:t xml:space="preserve"> 301 C.C.C. (3d) 358, 311 O.A.C. 121,</w:t>
      </w:r>
      <w:r w:rsidR="00BF2B7B" w:rsidRPr="00460290">
        <w:rPr>
          <w:lang w:val="fr-CA"/>
        </w:rPr>
        <w:t xml:space="preserve"> [2013] O.J. No. 4677 (QL),</w:t>
      </w:r>
      <w:r w:rsidR="00A87883" w:rsidRPr="00460290">
        <w:rPr>
          <w:lang w:val="fr-CA"/>
        </w:rPr>
        <w:t xml:space="preserve"> </w:t>
      </w:r>
      <w:r w:rsidR="00BF2B7B" w:rsidRPr="00460290">
        <w:rPr>
          <w:lang w:val="fr-CA"/>
        </w:rPr>
        <w:t xml:space="preserve">2013 </w:t>
      </w:r>
      <w:proofErr w:type="spellStart"/>
      <w:r w:rsidR="00BF2B7B" w:rsidRPr="00460290">
        <w:rPr>
          <w:lang w:val="fr-CA"/>
        </w:rPr>
        <w:t>CarswellOnt</w:t>
      </w:r>
      <w:proofErr w:type="spellEnd"/>
      <w:r w:rsidR="00BF2B7B" w:rsidRPr="00460290">
        <w:rPr>
          <w:lang w:val="fr-CA"/>
        </w:rPr>
        <w:t xml:space="preserve"> 14119,</w:t>
      </w:r>
      <w:r w:rsidR="0021480E" w:rsidRPr="00460290">
        <w:rPr>
          <w:lang w:val="fr-CA"/>
        </w:rPr>
        <w:t xml:space="preserve"> </w:t>
      </w:r>
      <w:r w:rsidR="0021480E" w:rsidRPr="00F717F0">
        <w:rPr>
          <w:lang w:val="fr-CA"/>
        </w:rPr>
        <w:t>qui a confirmé la déclaration</w:t>
      </w:r>
      <w:r w:rsidR="004A2E1B" w:rsidRPr="00F717F0">
        <w:rPr>
          <w:lang w:val="fr-CA"/>
        </w:rPr>
        <w:t xml:space="preserve"> de culpabilité</w:t>
      </w:r>
      <w:r w:rsidR="0021480E" w:rsidRPr="00F717F0">
        <w:rPr>
          <w:lang w:val="fr-CA"/>
        </w:rPr>
        <w:t xml:space="preserve"> </w:t>
      </w:r>
      <w:r w:rsidR="00265A9F" w:rsidRPr="00F717F0">
        <w:rPr>
          <w:lang w:val="fr-CA"/>
        </w:rPr>
        <w:t xml:space="preserve">pour </w:t>
      </w:r>
      <w:r w:rsidR="0021480E" w:rsidRPr="00F717F0">
        <w:rPr>
          <w:lang w:val="fr-CA"/>
        </w:rPr>
        <w:t xml:space="preserve">meurtre </w:t>
      </w:r>
      <w:r w:rsidR="004A2E1B" w:rsidRPr="00F717F0">
        <w:rPr>
          <w:lang w:val="fr-CA"/>
        </w:rPr>
        <w:t>au</w:t>
      </w:r>
      <w:r w:rsidR="0021480E" w:rsidRPr="00F717F0">
        <w:rPr>
          <w:lang w:val="fr-CA"/>
        </w:rPr>
        <w:t xml:space="preserve"> deuxième degré prononcée contre l’accusé</w:t>
      </w:r>
      <w:r w:rsidR="0021480E" w:rsidRPr="00460290">
        <w:rPr>
          <w:lang w:val="fr-CA"/>
        </w:rPr>
        <w:t>.  Pourvoi</w:t>
      </w:r>
      <w:r w:rsidR="00F723AD" w:rsidRPr="00460290">
        <w:rPr>
          <w:lang w:val="fr-CA"/>
        </w:rPr>
        <w:t xml:space="preserve"> rejeté</w:t>
      </w:r>
      <w:r w:rsidR="009338A5" w:rsidRPr="00460290">
        <w:rPr>
          <w:lang w:val="fr-CA"/>
        </w:rPr>
        <w:t>.</w:t>
      </w:r>
    </w:p>
    <w:p w:rsidR="0021480E" w:rsidRPr="00460290" w:rsidRDefault="0021480E" w:rsidP="004D7D95">
      <w:pPr>
        <w:pStyle w:val="SCCNormalDoubleSpacing"/>
        <w:rPr>
          <w:lang w:val="fr-CA"/>
        </w:rPr>
      </w:pPr>
    </w:p>
    <w:p w:rsidR="00263040" w:rsidRPr="00460290" w:rsidRDefault="00016AC6">
      <w:pPr>
        <w:pStyle w:val="SCCNormalDoubleSpacing"/>
        <w:rPr>
          <w:lang w:val="fr-CA"/>
        </w:rPr>
      </w:pPr>
      <w:r w:rsidRPr="00460290">
        <w:rPr>
          <w:rStyle w:val="SCCCounselNameChar"/>
          <w:lang w:val="fr-CA"/>
        </w:rPr>
        <w:tab/>
        <w:t xml:space="preserve">Catriona </w:t>
      </w:r>
      <w:proofErr w:type="spellStart"/>
      <w:r w:rsidRPr="00460290">
        <w:rPr>
          <w:rStyle w:val="SCCCounselNameChar"/>
          <w:lang w:val="fr-CA"/>
        </w:rPr>
        <w:t>Verner</w:t>
      </w:r>
      <w:proofErr w:type="spellEnd"/>
      <w:r w:rsidR="00006B56" w:rsidRPr="00460290">
        <w:rPr>
          <w:rStyle w:val="SCCCounselSeparatorChar"/>
          <w:lang w:val="fr-CA"/>
        </w:rPr>
        <w:t xml:space="preserve"> et </w:t>
      </w:r>
      <w:r w:rsidRPr="00460290">
        <w:rPr>
          <w:rStyle w:val="SCCCounselNameChar"/>
          <w:lang w:val="fr-CA"/>
        </w:rPr>
        <w:t xml:space="preserve">Corbin </w:t>
      </w:r>
      <w:proofErr w:type="spellStart"/>
      <w:r w:rsidRPr="00460290">
        <w:rPr>
          <w:rStyle w:val="SCCCounselNameChar"/>
          <w:lang w:val="fr-CA"/>
        </w:rPr>
        <w:t>Cawkell</w:t>
      </w:r>
      <w:proofErr w:type="spellEnd"/>
      <w:r w:rsidR="00006B56" w:rsidRPr="00460290">
        <w:rPr>
          <w:rStyle w:val="SCCCounselPartyRoleChar"/>
          <w:lang w:val="fr-CA"/>
        </w:rPr>
        <w:t>, pour l’</w:t>
      </w:r>
      <w:r w:rsidRPr="00460290">
        <w:rPr>
          <w:rStyle w:val="SCCCounselPartyRoleChar"/>
          <w:lang w:val="fr-CA"/>
        </w:rPr>
        <w:t>appelant.</w:t>
      </w:r>
    </w:p>
    <w:p w:rsidR="00263040" w:rsidRPr="00460290" w:rsidRDefault="00263040">
      <w:pPr>
        <w:pStyle w:val="SCCNormalDoubleSpacing"/>
        <w:rPr>
          <w:lang w:val="fr-CA"/>
        </w:rPr>
      </w:pPr>
    </w:p>
    <w:p w:rsidR="00263040" w:rsidRPr="00460290" w:rsidRDefault="00016AC6">
      <w:pPr>
        <w:pStyle w:val="SCCNormalDoubleSpacing"/>
        <w:rPr>
          <w:rStyle w:val="SCCCounselPartyRoleChar"/>
          <w:lang w:val="fr-CA"/>
        </w:rPr>
      </w:pPr>
      <w:r w:rsidRPr="00460290">
        <w:rPr>
          <w:rStyle w:val="SCCCounselNameChar"/>
          <w:lang w:val="fr-CA"/>
        </w:rPr>
        <w:tab/>
        <w:t xml:space="preserve">M. David </w:t>
      </w:r>
      <w:proofErr w:type="spellStart"/>
      <w:r w:rsidRPr="00460290">
        <w:rPr>
          <w:rStyle w:val="SCCCounselNameChar"/>
          <w:lang w:val="fr-CA"/>
        </w:rPr>
        <w:t>Lepofsky</w:t>
      </w:r>
      <w:proofErr w:type="spellEnd"/>
      <w:r w:rsidR="00006B56" w:rsidRPr="00460290">
        <w:rPr>
          <w:rStyle w:val="SCCCounselPartyRoleChar"/>
          <w:lang w:val="fr-CA"/>
        </w:rPr>
        <w:t>, pour l’intimé</w:t>
      </w:r>
      <w:r w:rsidRPr="00460290">
        <w:rPr>
          <w:rStyle w:val="SCCCounselPartyRoleChar"/>
          <w:lang w:val="fr-CA"/>
        </w:rPr>
        <w:t>e.</w:t>
      </w:r>
    </w:p>
    <w:p w:rsidR="00F723AD" w:rsidRPr="00460290" w:rsidRDefault="00F723AD">
      <w:pPr>
        <w:pStyle w:val="SCCNormalDoubleSpacing"/>
        <w:rPr>
          <w:rStyle w:val="SCCCounselPartyRoleChar"/>
          <w:lang w:val="fr-CA"/>
        </w:rPr>
      </w:pPr>
    </w:p>
    <w:p w:rsidR="00F723AD" w:rsidRPr="00460290" w:rsidRDefault="00F723AD" w:rsidP="00F723AD">
      <w:pPr>
        <w:pStyle w:val="SCCNormalDoubleSpacing"/>
        <w:rPr>
          <w:lang w:val="fr-CA"/>
        </w:rPr>
      </w:pPr>
      <w:r w:rsidRPr="00460290">
        <w:rPr>
          <w:rStyle w:val="SCCCounselPartyRoleChar"/>
          <w:lang w:val="fr-CA"/>
        </w:rPr>
        <w:tab/>
      </w:r>
      <w:r w:rsidRPr="00460290">
        <w:rPr>
          <w:lang w:val="fr-CA"/>
        </w:rPr>
        <w:t>Version française du jugement de la Cour rendu oralement par</w:t>
      </w:r>
    </w:p>
    <w:p w:rsidR="00F723AD" w:rsidRPr="00460290" w:rsidRDefault="00F723AD" w:rsidP="00F723AD">
      <w:pPr>
        <w:pStyle w:val="ParaNoNdepar-AltN"/>
        <w:tabs>
          <w:tab w:val="clear" w:pos="1152"/>
          <w:tab w:val="left" w:pos="1166"/>
        </w:tabs>
        <w:rPr>
          <w:lang w:val="fr-CA"/>
        </w:rPr>
      </w:pPr>
      <w:r w:rsidRPr="00460290">
        <w:rPr>
          <w:smallCaps/>
          <w:lang w:val="fr-CA"/>
        </w:rPr>
        <w:t xml:space="preserve">La juge Abella </w:t>
      </w:r>
      <w:r w:rsidRPr="00460290">
        <w:rPr>
          <w:rFonts w:cs="Times New Roman"/>
          <w:smallCaps/>
          <w:lang w:val="fr-CA"/>
        </w:rPr>
        <w:t>—</w:t>
      </w:r>
      <w:r w:rsidRPr="00460290">
        <w:rPr>
          <w:smallCaps/>
          <w:lang w:val="fr-CA"/>
        </w:rPr>
        <w:t xml:space="preserve"> </w:t>
      </w:r>
      <w:r w:rsidRPr="00460290">
        <w:rPr>
          <w:szCs w:val="24"/>
          <w:lang w:val="fr-CA"/>
        </w:rPr>
        <w:t xml:space="preserve">Avec </w:t>
      </w:r>
      <w:r w:rsidRPr="00460290">
        <w:rPr>
          <w:lang w:val="fr-CA"/>
        </w:rPr>
        <w:t>égards</w:t>
      </w:r>
      <w:r w:rsidRPr="00460290">
        <w:rPr>
          <w:szCs w:val="24"/>
          <w:lang w:val="fr-CA"/>
        </w:rPr>
        <w:t xml:space="preserve">, nous ne voyons aucune raison d’intervenir à l’égard des motifs de la juge </w:t>
      </w:r>
      <w:proofErr w:type="spellStart"/>
      <w:r w:rsidRPr="00460290">
        <w:rPr>
          <w:szCs w:val="24"/>
          <w:lang w:val="fr-CA"/>
        </w:rPr>
        <w:t>Gillese</w:t>
      </w:r>
      <w:proofErr w:type="spellEnd"/>
      <w:r w:rsidRPr="00460290">
        <w:rPr>
          <w:szCs w:val="24"/>
          <w:lang w:val="fr-CA"/>
        </w:rPr>
        <w:t xml:space="preserve"> de la Cour d’appel et particulièrement à l’égard de sa conclusion selon laquelle le juge du procès n’a commis aucune erreur en décidant que l’effet préjudiciable de l’élément de preuve proposé dépassait considérablement son infime valeur probante.</w:t>
      </w:r>
      <w:r w:rsidRPr="00460290">
        <w:rPr>
          <w:sz w:val="22"/>
          <w:lang w:val="fr-CA"/>
        </w:rPr>
        <w:t xml:space="preserve"> </w:t>
      </w:r>
    </w:p>
    <w:p w:rsidR="00263040" w:rsidRPr="00460290" w:rsidRDefault="00F723AD" w:rsidP="00F723AD">
      <w:pPr>
        <w:pStyle w:val="ParaNoNdepar-AltN"/>
        <w:tabs>
          <w:tab w:val="clear" w:pos="1152"/>
          <w:tab w:val="left" w:pos="1166"/>
        </w:tabs>
        <w:rPr>
          <w:lang w:val="fr-CA"/>
        </w:rPr>
      </w:pPr>
      <w:r w:rsidRPr="00460290">
        <w:rPr>
          <w:lang w:val="fr-CA"/>
        </w:rPr>
        <w:t>L’appel est en conséquence rejeté.</w:t>
      </w:r>
    </w:p>
    <w:p w:rsidR="00660BD1" w:rsidRPr="00460290" w:rsidRDefault="004D7D95" w:rsidP="00660BD1">
      <w:pPr>
        <w:pStyle w:val="SCCNormalDoubleSpacing"/>
        <w:rPr>
          <w:lang w:val="fr-CA"/>
        </w:rPr>
      </w:pPr>
      <w:r w:rsidRPr="00460290">
        <w:rPr>
          <w:lang w:val="fr-CA"/>
        </w:rPr>
        <w:tab/>
      </w:r>
      <w:r w:rsidR="00F723AD" w:rsidRPr="00460290">
        <w:rPr>
          <w:i/>
          <w:lang w:val="fr-CA"/>
        </w:rPr>
        <w:t>Jugement en conséquence.</w:t>
      </w:r>
    </w:p>
    <w:p w:rsidR="00660BD1" w:rsidRPr="00460290" w:rsidRDefault="00660BD1" w:rsidP="00660BD1">
      <w:pPr>
        <w:pStyle w:val="SCCNormalDoubleSpacing"/>
        <w:rPr>
          <w:lang w:val="fr-CA"/>
        </w:rPr>
      </w:pPr>
    </w:p>
    <w:p w:rsidR="00263040" w:rsidRPr="00460290" w:rsidRDefault="00016AC6" w:rsidP="00660BD1">
      <w:pPr>
        <w:pStyle w:val="SCCNormalDoubleSpacing"/>
        <w:rPr>
          <w:i/>
          <w:lang w:val="fr-CA"/>
        </w:rPr>
      </w:pPr>
      <w:r w:rsidRPr="00460290">
        <w:rPr>
          <w:lang w:val="fr-CA"/>
        </w:rPr>
        <w:tab/>
      </w:r>
      <w:r w:rsidR="00660BD1" w:rsidRPr="00460290">
        <w:rPr>
          <w:i/>
          <w:lang w:val="fr-CA"/>
        </w:rPr>
        <w:t>Procureur</w:t>
      </w:r>
      <w:r w:rsidRPr="00460290">
        <w:rPr>
          <w:i/>
          <w:lang w:val="fr-CA"/>
        </w:rPr>
        <w:t>s</w:t>
      </w:r>
      <w:r w:rsidR="00660BD1" w:rsidRPr="00460290">
        <w:rPr>
          <w:i/>
          <w:lang w:val="fr-CA"/>
        </w:rPr>
        <w:t xml:space="preserve"> de l’</w:t>
      </w:r>
      <w:r w:rsidRPr="00460290">
        <w:rPr>
          <w:i/>
          <w:lang w:val="fr-CA"/>
        </w:rPr>
        <w:t>appelant : Hicks Adams, Toronto.</w:t>
      </w:r>
    </w:p>
    <w:p w:rsidR="00263040" w:rsidRPr="00460290" w:rsidRDefault="00263040">
      <w:pPr>
        <w:pStyle w:val="SCCLawFirm"/>
        <w:rPr>
          <w:lang w:val="fr-CA"/>
        </w:rPr>
      </w:pPr>
    </w:p>
    <w:p w:rsidR="00263040" w:rsidRPr="00460290" w:rsidRDefault="00016AC6">
      <w:pPr>
        <w:pStyle w:val="SCCLawFirm"/>
        <w:rPr>
          <w:lang w:val="fr-CA"/>
        </w:rPr>
      </w:pPr>
      <w:r w:rsidRPr="00460290">
        <w:rPr>
          <w:lang w:val="fr-CA"/>
        </w:rPr>
        <w:lastRenderedPageBreak/>
        <w:tab/>
        <w:t>Procureur</w:t>
      </w:r>
      <w:r w:rsidR="00660BD1" w:rsidRPr="00460290">
        <w:rPr>
          <w:lang w:val="fr-CA"/>
        </w:rPr>
        <w:t xml:space="preserve"> de l’intimée</w:t>
      </w:r>
      <w:r w:rsidRPr="00460290">
        <w:rPr>
          <w:lang w:val="fr-CA"/>
        </w:rPr>
        <w:t xml:space="preserve"> : </w:t>
      </w:r>
      <w:r w:rsidR="00660BD1" w:rsidRPr="00460290">
        <w:rPr>
          <w:lang w:val="fr-CA"/>
        </w:rPr>
        <w:t>Procureur g</w:t>
      </w:r>
      <w:r w:rsidR="009338A5" w:rsidRPr="00460290">
        <w:rPr>
          <w:lang w:val="fr-CA"/>
        </w:rPr>
        <w:t>éné</w:t>
      </w:r>
      <w:r w:rsidR="00660BD1" w:rsidRPr="00460290">
        <w:rPr>
          <w:lang w:val="fr-CA"/>
        </w:rPr>
        <w:t>ral de l’</w:t>
      </w:r>
      <w:r w:rsidRPr="00460290">
        <w:rPr>
          <w:lang w:val="fr-CA"/>
        </w:rPr>
        <w:t>Ontario, Toronto.</w:t>
      </w:r>
    </w:p>
    <w:p w:rsidR="00263040" w:rsidRPr="00460290" w:rsidRDefault="00263040">
      <w:pPr>
        <w:pStyle w:val="SCCLawFirm"/>
        <w:rPr>
          <w:lang w:val="fr-CA"/>
        </w:rPr>
      </w:pPr>
    </w:p>
    <w:p w:rsidR="00263040" w:rsidRPr="00460290" w:rsidRDefault="00016AC6">
      <w:pPr>
        <w:pStyle w:val="SCCLawFirm"/>
        <w:rPr>
          <w:lang w:val="fr-CA"/>
        </w:rPr>
      </w:pPr>
      <w:r w:rsidRPr="00460290">
        <w:rPr>
          <w:lang w:val="fr-CA"/>
        </w:rPr>
        <w:tab/>
      </w:r>
    </w:p>
    <w:p w:rsidR="004D7D95" w:rsidRPr="00460290" w:rsidRDefault="004D7D95" w:rsidP="004D7D95">
      <w:pPr>
        <w:pStyle w:val="SCCItalic"/>
        <w:rPr>
          <w:lang w:val="fr-CA"/>
        </w:rPr>
      </w:pPr>
    </w:p>
    <w:p w:rsidR="004D7D95" w:rsidRPr="00460290" w:rsidRDefault="004D7D95" w:rsidP="004D7D95">
      <w:pPr>
        <w:pStyle w:val="SCCItalic"/>
        <w:rPr>
          <w:lang w:val="fr-CA"/>
        </w:rPr>
      </w:pPr>
    </w:p>
    <w:p w:rsidR="004D7D95" w:rsidRPr="00460290" w:rsidRDefault="004D7D95" w:rsidP="004D7D95">
      <w:pPr>
        <w:rPr>
          <w:lang w:val="fr-CA"/>
        </w:rPr>
        <w:sectPr w:rsidR="004D7D95" w:rsidRPr="00460290" w:rsidSect="000648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67" w:right="2160" w:bottom="720" w:left="1800" w:header="1802" w:footer="720" w:gutter="0"/>
          <w:cols w:space="720"/>
          <w:docGrid w:linePitch="326"/>
        </w:sectPr>
      </w:pPr>
    </w:p>
    <w:p w:rsidR="009B57B3" w:rsidRPr="00460290" w:rsidRDefault="009B57B3" w:rsidP="004D7D95">
      <w:pPr>
        <w:rPr>
          <w:lang w:val="fr-CA"/>
        </w:rPr>
      </w:pPr>
    </w:p>
    <w:sectPr w:rsidR="009B57B3" w:rsidRPr="00460290" w:rsidSect="000648CC">
      <w:headerReference w:type="defaul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7E" w:rsidRDefault="0085157E">
      <w:r>
        <w:separator/>
      </w:r>
    </w:p>
  </w:endnote>
  <w:endnote w:type="continuationSeparator" w:id="0">
    <w:p w:rsidR="0085157E" w:rsidRDefault="0085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7E" w:rsidRDefault="0085157E">
      <w:r>
        <w:separator/>
      </w:r>
    </w:p>
  </w:footnote>
  <w:footnote w:type="continuationSeparator" w:id="0">
    <w:p w:rsidR="0085157E" w:rsidRDefault="0085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 w:rsidP="000C59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Default="0085157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7E" w:rsidRPr="00450352" w:rsidRDefault="0085157E" w:rsidP="00450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06B56"/>
    <w:rsid w:val="00016AC6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1480E"/>
    <w:rsid w:val="00216BB5"/>
    <w:rsid w:val="00220FC2"/>
    <w:rsid w:val="002222F4"/>
    <w:rsid w:val="00224FC0"/>
    <w:rsid w:val="00225EA4"/>
    <w:rsid w:val="00226EAF"/>
    <w:rsid w:val="00231F3A"/>
    <w:rsid w:val="002406EE"/>
    <w:rsid w:val="00243EC8"/>
    <w:rsid w:val="00252739"/>
    <w:rsid w:val="00263040"/>
    <w:rsid w:val="00265A9F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B3E1A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0290"/>
    <w:rsid w:val="00465132"/>
    <w:rsid w:val="00480C90"/>
    <w:rsid w:val="0048396F"/>
    <w:rsid w:val="00493C18"/>
    <w:rsid w:val="004A2E1B"/>
    <w:rsid w:val="004A600C"/>
    <w:rsid w:val="004A6118"/>
    <w:rsid w:val="004C478D"/>
    <w:rsid w:val="004D4B64"/>
    <w:rsid w:val="004D7D95"/>
    <w:rsid w:val="004E2C26"/>
    <w:rsid w:val="004F131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3924"/>
    <w:rsid w:val="00610539"/>
    <w:rsid w:val="00613969"/>
    <w:rsid w:val="00625C35"/>
    <w:rsid w:val="00635979"/>
    <w:rsid w:val="00647E49"/>
    <w:rsid w:val="00656313"/>
    <w:rsid w:val="006565F4"/>
    <w:rsid w:val="00660BD1"/>
    <w:rsid w:val="00684EEA"/>
    <w:rsid w:val="0069689B"/>
    <w:rsid w:val="006B5FF5"/>
    <w:rsid w:val="006B7DC0"/>
    <w:rsid w:val="006C3A47"/>
    <w:rsid w:val="006F30AF"/>
    <w:rsid w:val="006F7BE5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5157E"/>
    <w:rsid w:val="00864C8A"/>
    <w:rsid w:val="00864CF8"/>
    <w:rsid w:val="00874914"/>
    <w:rsid w:val="00884C8B"/>
    <w:rsid w:val="00891422"/>
    <w:rsid w:val="00892E1A"/>
    <w:rsid w:val="008B660A"/>
    <w:rsid w:val="008C01DA"/>
    <w:rsid w:val="008F2674"/>
    <w:rsid w:val="008F78E9"/>
    <w:rsid w:val="009179F9"/>
    <w:rsid w:val="00917C7A"/>
    <w:rsid w:val="009338A5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87883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2B7B"/>
    <w:rsid w:val="00BF6FE9"/>
    <w:rsid w:val="00BF71B3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4431D"/>
    <w:rsid w:val="00D4667A"/>
    <w:rsid w:val="00D63A1C"/>
    <w:rsid w:val="00D664E0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7838"/>
    <w:rsid w:val="00E97830"/>
    <w:rsid w:val="00EE0830"/>
    <w:rsid w:val="00EE6CB8"/>
    <w:rsid w:val="00EF0683"/>
    <w:rsid w:val="00F0070C"/>
    <w:rsid w:val="00F00EB7"/>
    <w:rsid w:val="00F23356"/>
    <w:rsid w:val="00F36AB6"/>
    <w:rsid w:val="00F37A09"/>
    <w:rsid w:val="00F409CE"/>
    <w:rsid w:val="00F4379D"/>
    <w:rsid w:val="00F50D2D"/>
    <w:rsid w:val="00F56C8B"/>
    <w:rsid w:val="00F62639"/>
    <w:rsid w:val="00F66810"/>
    <w:rsid w:val="00F717F0"/>
    <w:rsid w:val="00F723AD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paragraph" w:customStyle="1" w:styleId="ParaNoNdepar-AltN">
    <w:name w:val="Para. No. / Nº de par. - Alt N"/>
    <w:qFormat/>
    <w:rsid w:val="00F723AD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D4B64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2014-04-24T15:07:00Z</dcterms:created>
  <dcterms:modified xsi:type="dcterms:W3CDTF">2014-09-18T18:43:00Z</dcterms:modified>
</cp:coreProperties>
</file>