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60" w:rsidRDefault="00941560" w:rsidP="0094156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4.7pt" o:ole="">
            <v:imagedata r:id="rId8" o:title=""/>
          </v:shape>
          <o:OLEObject Type="Embed" ProgID="Presentations.Drawing.13" ShapeID="_x0000_i1031" DrawAspect="Content" ObjectID="_1472625907" r:id="rId9"/>
        </w:object>
      </w:r>
      <w:r>
        <w:t xml:space="preserve"> </w:t>
      </w:r>
      <w:r>
        <w:ptab w:relativeTo="margin" w:alignment="right" w:leader="none"/>
      </w:r>
    </w:p>
    <w:p w:rsidR="00941560" w:rsidRDefault="00941560" w:rsidP="00941560">
      <w:pPr>
        <w:pStyle w:val="Header"/>
      </w:pPr>
    </w:p>
    <w:p w:rsidR="00941560" w:rsidRPr="001E12E2" w:rsidRDefault="00941560" w:rsidP="00941560">
      <w:pPr>
        <w:jc w:val="center"/>
        <w:rPr>
          <w:b/>
        </w:rPr>
      </w:pPr>
      <w:r w:rsidRPr="001E12E2">
        <w:rPr>
          <w:b/>
        </w:rPr>
        <w:t>COUR SUPRÊME DU CANADA</w:t>
      </w:r>
    </w:p>
    <w:p w:rsidR="00941560" w:rsidRDefault="00941560" w:rsidP="0094156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41560" w:rsidRPr="001E12E2" w:rsidTr="00E82000">
        <w:trPr>
          <w:cantSplit/>
        </w:trPr>
        <w:tc>
          <w:tcPr>
            <w:tcW w:w="6768" w:type="dxa"/>
          </w:tcPr>
          <w:p w:rsidR="00941560" w:rsidRPr="00941560" w:rsidRDefault="00941560" w:rsidP="00E82000">
            <w:pPr>
              <w:rPr>
                <w:lang w:val="fr-CA"/>
              </w:rPr>
            </w:pPr>
            <w:r w:rsidRPr="00941560">
              <w:rPr>
                <w:b/>
                <w:smallCaps/>
                <w:lang w:val="fr-CA"/>
              </w:rPr>
              <w:t>Référence :</w:t>
            </w:r>
            <w:r w:rsidRPr="00941560">
              <w:rPr>
                <w:lang w:val="fr-CA"/>
              </w:rPr>
              <w:t xml:space="preserve"> Union </w:t>
            </w:r>
            <w:proofErr w:type="spellStart"/>
            <w:r w:rsidRPr="00941560">
              <w:rPr>
                <w:lang w:val="fr-CA"/>
              </w:rPr>
              <w:t>Carbide</w:t>
            </w:r>
            <w:proofErr w:type="spellEnd"/>
            <w:r w:rsidRPr="00941560">
              <w:rPr>
                <w:lang w:val="fr-CA"/>
              </w:rPr>
              <w:t xml:space="preserve"> Canada Inc. </w:t>
            </w:r>
            <w:r w:rsidRPr="00941560">
              <w:rPr>
                <w:i/>
                <w:lang w:val="fr-CA"/>
              </w:rPr>
              <w:t>c.</w:t>
            </w:r>
            <w:r w:rsidRPr="00941560">
              <w:rPr>
                <w:lang w:val="fr-CA"/>
              </w:rPr>
              <w:t xml:space="preserve"> Bombardier Inc., 2014 CSC 35</w:t>
            </w:r>
            <w:r w:rsidR="00E87085">
              <w:rPr>
                <w:lang w:val="fr-CA"/>
              </w:rPr>
              <w:t>, [2014] 1 R.C.S. 800</w:t>
            </w:r>
          </w:p>
        </w:tc>
        <w:tc>
          <w:tcPr>
            <w:tcW w:w="2808" w:type="dxa"/>
          </w:tcPr>
          <w:p w:rsidR="00941560" w:rsidRPr="001E12E2" w:rsidRDefault="00941560" w:rsidP="00E82000">
            <w:r w:rsidRPr="001E12E2">
              <w:rPr>
                <w:b/>
                <w:smallCaps/>
              </w:rPr>
              <w:t>Date</w:t>
            </w:r>
            <w:r>
              <w:rPr>
                <w:b/>
                <w:smallCaps/>
              </w:rPr>
              <w:t> :</w:t>
            </w:r>
            <w:r w:rsidRPr="001E12E2">
              <w:t xml:space="preserve"> </w:t>
            </w:r>
            <w:r>
              <w:t>20140508</w:t>
            </w:r>
          </w:p>
          <w:p w:rsidR="00941560" w:rsidRPr="001E12E2" w:rsidRDefault="00941560" w:rsidP="00E82000">
            <w:r w:rsidRPr="001E12E2">
              <w:rPr>
                <w:b/>
                <w:smallCaps/>
              </w:rPr>
              <w:t>Do</w:t>
            </w:r>
            <w:r>
              <w:rPr>
                <w:b/>
                <w:smallCaps/>
              </w:rPr>
              <w:t>ssier :</w:t>
            </w:r>
            <w:r w:rsidRPr="001E12E2">
              <w:t xml:space="preserve"> </w:t>
            </w:r>
            <w:r>
              <w:t>35008</w:t>
            </w:r>
          </w:p>
        </w:tc>
      </w:tr>
    </w:tbl>
    <w:p w:rsidR="00941560" w:rsidRPr="001E12E2" w:rsidRDefault="00941560" w:rsidP="00941560"/>
    <w:p w:rsidR="00941560" w:rsidRDefault="00941560" w:rsidP="00941560">
      <w:pPr>
        <w:pStyle w:val="SCCLsocPrefix"/>
      </w:pPr>
      <w:r>
        <w:t>Entre :</w:t>
      </w:r>
    </w:p>
    <w:p w:rsidR="00941560" w:rsidRDefault="00941560" w:rsidP="00941560">
      <w:pPr>
        <w:pStyle w:val="SCCLsocParty"/>
        <w:jc w:val="center"/>
      </w:pPr>
      <w:r>
        <w:t xml:space="preserve">Union Carbide Canada Inc. </w:t>
      </w:r>
      <w:proofErr w:type="gramStart"/>
      <w:r>
        <w:t>et</w:t>
      </w:r>
      <w:proofErr w:type="gramEnd"/>
      <w:r>
        <w:t xml:space="preserve"> Dow Chemical Canada Inc.</w:t>
      </w:r>
    </w:p>
    <w:p w:rsidR="00941560" w:rsidRPr="00941560" w:rsidRDefault="00941560" w:rsidP="00941560">
      <w:pPr>
        <w:pStyle w:val="SCCLsocParty"/>
        <w:jc w:val="center"/>
        <w:rPr>
          <w:lang w:val="fr-CA"/>
        </w:rPr>
      </w:pPr>
      <w:r w:rsidRPr="00941560">
        <w:rPr>
          <w:lang w:val="fr-CA"/>
        </w:rPr>
        <w:t>(</w:t>
      </w:r>
      <w:proofErr w:type="gramStart"/>
      <w:r w:rsidRPr="00941560">
        <w:rPr>
          <w:lang w:val="fr-CA"/>
        </w:rPr>
        <w:t>maintenant</w:t>
      </w:r>
      <w:proofErr w:type="gramEnd"/>
      <w:r w:rsidRPr="00941560">
        <w:rPr>
          <w:lang w:val="fr-CA"/>
        </w:rPr>
        <w:t xml:space="preserve"> connues sous le nom de Dow </w:t>
      </w:r>
      <w:proofErr w:type="spellStart"/>
      <w:r w:rsidRPr="00941560">
        <w:rPr>
          <w:lang w:val="fr-CA"/>
        </w:rPr>
        <w:t>Chemical</w:t>
      </w:r>
      <w:proofErr w:type="spellEnd"/>
      <w:r w:rsidRPr="00941560">
        <w:rPr>
          <w:lang w:val="fr-CA"/>
        </w:rPr>
        <w:t xml:space="preserve"> Canada ULC)</w:t>
      </w:r>
    </w:p>
    <w:p w:rsidR="00941560" w:rsidRDefault="00941560" w:rsidP="00941560">
      <w:pPr>
        <w:jc w:val="center"/>
      </w:pPr>
      <w:proofErr w:type="spellStart"/>
      <w:r>
        <w:t>Appelantes</w:t>
      </w:r>
      <w:proofErr w:type="spellEnd"/>
    </w:p>
    <w:p w:rsidR="00941560" w:rsidRDefault="00941560" w:rsidP="00941560">
      <w:pPr>
        <w:pStyle w:val="SCCLsocVersus"/>
        <w:jc w:val="center"/>
      </w:pPr>
      <w:proofErr w:type="gramStart"/>
      <w:r>
        <w:t>et</w:t>
      </w:r>
      <w:proofErr w:type="gramEnd"/>
    </w:p>
    <w:p w:rsidR="00941560" w:rsidRPr="00941560" w:rsidRDefault="00941560" w:rsidP="00941560">
      <w:pPr>
        <w:pStyle w:val="SCCLsocParty"/>
        <w:jc w:val="center"/>
        <w:rPr>
          <w:lang w:val="fr-CA"/>
        </w:rPr>
      </w:pPr>
      <w:r w:rsidRPr="00941560">
        <w:rPr>
          <w:lang w:val="fr-CA"/>
        </w:rPr>
        <w:t>Bombardier Inc., Bombardier produits récréatifs Inc. et</w:t>
      </w:r>
    </w:p>
    <w:p w:rsidR="00941560" w:rsidRPr="004067EE" w:rsidRDefault="00941560" w:rsidP="00941560">
      <w:pPr>
        <w:pStyle w:val="SCCLsocParty"/>
        <w:jc w:val="center"/>
        <w:rPr>
          <w:lang w:val="en-US"/>
        </w:rPr>
      </w:pPr>
      <w:r w:rsidRPr="004067EE">
        <w:rPr>
          <w:lang w:val="en-US"/>
        </w:rPr>
        <w:t>Allianz Global Risks US Insurance Company</w:t>
      </w:r>
    </w:p>
    <w:p w:rsidR="00941560" w:rsidRPr="00941560" w:rsidRDefault="00941560" w:rsidP="00941560">
      <w:pPr>
        <w:jc w:val="center"/>
        <w:rPr>
          <w:lang w:val="fr-CA"/>
        </w:rPr>
      </w:pPr>
      <w:r w:rsidRPr="00941560">
        <w:rPr>
          <w:lang w:val="fr-CA"/>
        </w:rPr>
        <w:t>Intimées</w:t>
      </w:r>
    </w:p>
    <w:p w:rsidR="00941560" w:rsidRPr="00941560" w:rsidRDefault="00941560" w:rsidP="00941560">
      <w:pPr>
        <w:pStyle w:val="SCCLsocOtherPartySeparator"/>
        <w:jc w:val="center"/>
        <w:rPr>
          <w:lang w:val="fr-CA"/>
        </w:rPr>
      </w:pPr>
      <w:r w:rsidRPr="00941560">
        <w:rPr>
          <w:lang w:val="fr-CA"/>
        </w:rPr>
        <w:t>- et -</w:t>
      </w:r>
    </w:p>
    <w:p w:rsidR="00941560" w:rsidRPr="00941560" w:rsidRDefault="00941560" w:rsidP="00941560">
      <w:pPr>
        <w:pStyle w:val="SCCLsocParty"/>
        <w:jc w:val="center"/>
        <w:rPr>
          <w:lang w:val="fr-CA"/>
        </w:rPr>
      </w:pPr>
      <w:r w:rsidRPr="00941560">
        <w:rPr>
          <w:lang w:val="fr-CA"/>
        </w:rPr>
        <w:t>Procureur général de la Colombie-Britannique et Arbitration Place Inc.</w:t>
      </w:r>
    </w:p>
    <w:p w:rsidR="00941560" w:rsidRPr="00941560" w:rsidRDefault="00941560" w:rsidP="00941560">
      <w:pPr>
        <w:jc w:val="center"/>
        <w:rPr>
          <w:lang w:val="fr-CA"/>
        </w:rPr>
      </w:pPr>
      <w:r w:rsidRPr="00941560">
        <w:rPr>
          <w:lang w:val="fr-CA"/>
        </w:rPr>
        <w:t>Intervenants</w:t>
      </w:r>
    </w:p>
    <w:p w:rsidR="00941560" w:rsidRPr="00941560" w:rsidRDefault="00941560" w:rsidP="00941560">
      <w:pPr>
        <w:jc w:val="center"/>
        <w:rPr>
          <w:lang w:val="fr-CA"/>
        </w:rPr>
      </w:pPr>
    </w:p>
    <w:p w:rsidR="00941560" w:rsidRPr="00941560" w:rsidRDefault="00941560" w:rsidP="00941560">
      <w:pPr>
        <w:rPr>
          <w:lang w:val="fr-CA"/>
        </w:rPr>
      </w:pPr>
    </w:p>
    <w:p w:rsidR="00941560" w:rsidRPr="00941560" w:rsidRDefault="00941560" w:rsidP="00941560">
      <w:pPr>
        <w:jc w:val="center"/>
        <w:rPr>
          <w:b/>
          <w:smallCaps/>
          <w:lang w:val="fr-CA"/>
        </w:rPr>
      </w:pPr>
      <w:r w:rsidRPr="00941560">
        <w:rPr>
          <w:b/>
          <w:smallCaps/>
          <w:lang w:val="fr-CA"/>
        </w:rPr>
        <w:t>Traduction française officielle</w:t>
      </w:r>
    </w:p>
    <w:p w:rsidR="00941560" w:rsidRPr="00941560" w:rsidRDefault="00941560" w:rsidP="00941560">
      <w:pPr>
        <w:rPr>
          <w:lang w:val="fr-CA"/>
        </w:rPr>
      </w:pPr>
    </w:p>
    <w:p w:rsidR="00941560" w:rsidRPr="00941560" w:rsidRDefault="00941560" w:rsidP="00941560">
      <w:pPr>
        <w:rPr>
          <w:lang w:val="fr-CA"/>
        </w:rPr>
      </w:pPr>
      <w:r w:rsidRPr="00941560">
        <w:rPr>
          <w:b/>
          <w:smallCaps/>
          <w:lang w:val="fr-CA"/>
        </w:rPr>
        <w:t>Coram :</w:t>
      </w:r>
      <w:r w:rsidRPr="00941560">
        <w:rPr>
          <w:lang w:val="fr-CA"/>
        </w:rPr>
        <w:t xml:space="preserve"> La juge en chef </w:t>
      </w:r>
      <w:proofErr w:type="spellStart"/>
      <w:r w:rsidRPr="00941560">
        <w:rPr>
          <w:lang w:val="fr-CA"/>
        </w:rPr>
        <w:t>McLachlin</w:t>
      </w:r>
      <w:proofErr w:type="spellEnd"/>
      <w:r w:rsidRPr="00941560">
        <w:rPr>
          <w:lang w:val="fr-CA"/>
        </w:rPr>
        <w:t xml:space="preserve"> et les juges </w:t>
      </w:r>
      <w:proofErr w:type="spellStart"/>
      <w:r w:rsidRPr="00941560">
        <w:rPr>
          <w:lang w:val="fr-CA"/>
        </w:rPr>
        <w:t>LeBel</w:t>
      </w:r>
      <w:proofErr w:type="spellEnd"/>
      <w:r w:rsidRPr="00941560">
        <w:rPr>
          <w:lang w:val="fr-CA"/>
        </w:rPr>
        <w:t xml:space="preserve">, </w:t>
      </w:r>
      <w:proofErr w:type="spellStart"/>
      <w:r w:rsidRPr="00941560">
        <w:rPr>
          <w:lang w:val="fr-CA"/>
        </w:rPr>
        <w:t>Rothstein</w:t>
      </w:r>
      <w:proofErr w:type="spellEnd"/>
      <w:r w:rsidRPr="00941560">
        <w:rPr>
          <w:lang w:val="fr-CA"/>
        </w:rPr>
        <w:t xml:space="preserve">, Cromwell, </w:t>
      </w:r>
      <w:proofErr w:type="spellStart"/>
      <w:r w:rsidRPr="00941560">
        <w:rPr>
          <w:lang w:val="fr-CA"/>
        </w:rPr>
        <w:t>Moldaver</w:t>
      </w:r>
      <w:proofErr w:type="spellEnd"/>
      <w:r w:rsidRPr="00941560">
        <w:rPr>
          <w:lang w:val="fr-CA"/>
        </w:rPr>
        <w:t xml:space="preserve">, </w:t>
      </w:r>
      <w:proofErr w:type="spellStart"/>
      <w:r w:rsidRPr="00941560">
        <w:rPr>
          <w:lang w:val="fr-CA"/>
        </w:rPr>
        <w:t>Karakatsanis</w:t>
      </w:r>
      <w:proofErr w:type="spellEnd"/>
      <w:r w:rsidRPr="00941560">
        <w:rPr>
          <w:lang w:val="fr-CA"/>
        </w:rPr>
        <w:t xml:space="preserve"> et Wagner</w:t>
      </w:r>
    </w:p>
    <w:p w:rsidR="00941560" w:rsidRPr="00941560" w:rsidRDefault="00941560" w:rsidP="0094156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41560" w:rsidRPr="00941560" w:rsidTr="00E82000">
        <w:trPr>
          <w:cantSplit/>
        </w:trPr>
        <w:tc>
          <w:tcPr>
            <w:tcW w:w="3618" w:type="dxa"/>
          </w:tcPr>
          <w:p w:rsidR="00941560" w:rsidRPr="00941560" w:rsidRDefault="00941560" w:rsidP="00E82000">
            <w:pPr>
              <w:rPr>
                <w:b/>
                <w:smallCaps/>
                <w:lang w:val="fr-CA"/>
              </w:rPr>
            </w:pPr>
            <w:r w:rsidRPr="00941560">
              <w:rPr>
                <w:b/>
                <w:smallCaps/>
                <w:lang w:val="fr-CA"/>
              </w:rPr>
              <w:t>Motifs de jugement :</w:t>
            </w:r>
          </w:p>
          <w:p w:rsidR="00941560" w:rsidRPr="00941560" w:rsidRDefault="00941560" w:rsidP="00E82000">
            <w:pPr>
              <w:rPr>
                <w:lang w:val="fr-CA"/>
              </w:rPr>
            </w:pPr>
            <w:r w:rsidRPr="00941560">
              <w:rPr>
                <w:lang w:val="fr-CA"/>
              </w:rPr>
              <w:t>(par. 1 à 69)</w:t>
            </w:r>
          </w:p>
        </w:tc>
        <w:tc>
          <w:tcPr>
            <w:tcW w:w="5958" w:type="dxa"/>
          </w:tcPr>
          <w:p w:rsidR="00941560" w:rsidRPr="00941560" w:rsidRDefault="00941560" w:rsidP="00E82000">
            <w:pPr>
              <w:rPr>
                <w:lang w:val="fr-CA"/>
              </w:rPr>
            </w:pPr>
            <w:r w:rsidRPr="00941560">
              <w:rPr>
                <w:lang w:val="fr-CA"/>
              </w:rPr>
              <w:t xml:space="preserve">Le juge Wagner (avec l’accord de la juge en chef </w:t>
            </w:r>
            <w:proofErr w:type="spellStart"/>
            <w:r w:rsidRPr="00941560">
              <w:rPr>
                <w:lang w:val="fr-CA"/>
              </w:rPr>
              <w:t>McLachlin</w:t>
            </w:r>
            <w:proofErr w:type="spellEnd"/>
            <w:r w:rsidRPr="00941560">
              <w:rPr>
                <w:lang w:val="fr-CA"/>
              </w:rPr>
              <w:t xml:space="preserve"> et des juges </w:t>
            </w:r>
            <w:proofErr w:type="spellStart"/>
            <w:r w:rsidRPr="00941560">
              <w:rPr>
                <w:lang w:val="fr-CA"/>
              </w:rPr>
              <w:t>LeBel</w:t>
            </w:r>
            <w:proofErr w:type="spellEnd"/>
            <w:r w:rsidRPr="00941560">
              <w:rPr>
                <w:lang w:val="fr-CA"/>
              </w:rPr>
              <w:t xml:space="preserve">, </w:t>
            </w:r>
            <w:proofErr w:type="spellStart"/>
            <w:r w:rsidRPr="00941560">
              <w:rPr>
                <w:lang w:val="fr-CA"/>
              </w:rPr>
              <w:t>Rothstein</w:t>
            </w:r>
            <w:proofErr w:type="spellEnd"/>
            <w:r w:rsidRPr="00941560">
              <w:rPr>
                <w:lang w:val="fr-CA"/>
              </w:rPr>
              <w:t xml:space="preserve">, Cromwell, </w:t>
            </w:r>
            <w:proofErr w:type="spellStart"/>
            <w:r w:rsidRPr="00941560">
              <w:rPr>
                <w:lang w:val="fr-CA"/>
              </w:rPr>
              <w:t>Moldaver</w:t>
            </w:r>
            <w:proofErr w:type="spellEnd"/>
            <w:r w:rsidRPr="00941560">
              <w:rPr>
                <w:lang w:val="fr-CA"/>
              </w:rPr>
              <w:t xml:space="preserve"> et </w:t>
            </w:r>
            <w:proofErr w:type="spellStart"/>
            <w:r w:rsidRPr="00941560">
              <w:rPr>
                <w:lang w:val="fr-CA"/>
              </w:rPr>
              <w:t>Karakatsanis</w:t>
            </w:r>
            <w:proofErr w:type="spellEnd"/>
            <w:r w:rsidRPr="00941560">
              <w:rPr>
                <w:lang w:val="fr-CA"/>
              </w:rPr>
              <w:t>)</w:t>
            </w:r>
          </w:p>
        </w:tc>
      </w:tr>
    </w:tbl>
    <w:p w:rsidR="00941560" w:rsidRPr="00941560" w:rsidRDefault="00941560" w:rsidP="00941560">
      <w:pPr>
        <w:rPr>
          <w:lang w:val="fr-CA"/>
        </w:rPr>
      </w:pPr>
    </w:p>
    <w:p w:rsidR="00941560" w:rsidRPr="00941560" w:rsidRDefault="00941560" w:rsidP="00941560">
      <w:pPr>
        <w:rPr>
          <w:lang w:val="fr-CA"/>
        </w:rPr>
      </w:pPr>
      <w:r w:rsidRPr="00B64DD5">
        <w:rPr>
          <w:noProof/>
          <w:lang w:val="fr-CA"/>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941560" w:rsidRDefault="00941560" w:rsidP="00A0307B">
      <w:pPr>
        <w:spacing w:after="720"/>
        <w:jc w:val="both"/>
        <w:rPr>
          <w:rStyle w:val="SCCAppellantForRunningHeadChar"/>
          <w:lang w:val="fr-CA"/>
        </w:rPr>
      </w:pPr>
    </w:p>
    <w:p w:rsidR="004D7D95" w:rsidRPr="00615894" w:rsidRDefault="005B653C" w:rsidP="00A0307B">
      <w:pPr>
        <w:spacing w:after="720"/>
        <w:jc w:val="both"/>
        <w:rPr>
          <w:lang w:val="fr-CA"/>
        </w:rPr>
      </w:pPr>
      <w:r w:rsidRPr="00615894">
        <w:rPr>
          <w:rStyle w:val="SCCAppellantForRunningHeadChar"/>
          <w:lang w:val="fr-CA"/>
        </w:rPr>
        <w:t xml:space="preserve">union </w:t>
      </w:r>
      <w:proofErr w:type="spellStart"/>
      <w:r w:rsidRPr="00615894">
        <w:rPr>
          <w:rStyle w:val="SCCAppellantForRunningHeadChar"/>
          <w:lang w:val="fr-CA"/>
        </w:rPr>
        <w:t>carbide</w:t>
      </w:r>
      <w:proofErr w:type="spellEnd"/>
      <w:r w:rsidRPr="00615894">
        <w:rPr>
          <w:rStyle w:val="SCCAppellantForRunningHeadChar"/>
          <w:lang w:val="fr-CA"/>
        </w:rPr>
        <w:t xml:space="preserve"> canada </w:t>
      </w:r>
      <w:proofErr w:type="spellStart"/>
      <w:r w:rsidRPr="00615894">
        <w:rPr>
          <w:rStyle w:val="SCCAppellantForRunningHeadChar"/>
          <w:lang w:val="fr-CA"/>
        </w:rPr>
        <w:t>i</w:t>
      </w:r>
      <w:r w:rsidR="004D7D95" w:rsidRPr="00615894">
        <w:rPr>
          <w:rStyle w:val="SCCAppellantForRunningHeadChar"/>
          <w:lang w:val="fr-CA"/>
        </w:rPr>
        <w:t>nc</w:t>
      </w:r>
      <w:proofErr w:type="spellEnd"/>
      <w:r w:rsidR="004D7D95" w:rsidRPr="00615894">
        <w:rPr>
          <w:rStyle w:val="SCCAppellantForRunningHeadChar"/>
          <w:lang w:val="fr-CA"/>
        </w:rPr>
        <w:t xml:space="preserve">. </w:t>
      </w:r>
      <w:r w:rsidR="004D7D95" w:rsidRPr="00615894">
        <w:rPr>
          <w:i/>
          <w:lang w:val="fr-CA"/>
        </w:rPr>
        <w:t>c.</w:t>
      </w:r>
      <w:r w:rsidR="004D7D95" w:rsidRPr="00615894">
        <w:rPr>
          <w:lang w:val="fr-CA"/>
        </w:rPr>
        <w:t xml:space="preserve"> </w:t>
      </w:r>
      <w:r w:rsidRPr="00615894">
        <w:rPr>
          <w:rStyle w:val="SCCRespondentForRunningHeadChar"/>
          <w:lang w:val="fr-CA"/>
        </w:rPr>
        <w:t xml:space="preserve">bombardier </w:t>
      </w:r>
      <w:proofErr w:type="spellStart"/>
      <w:r w:rsidRPr="00615894">
        <w:rPr>
          <w:rStyle w:val="SCCRespondentForRunningHeadChar"/>
          <w:lang w:val="fr-CA"/>
        </w:rPr>
        <w:t>i</w:t>
      </w:r>
      <w:r w:rsidR="004D7D95" w:rsidRPr="00615894">
        <w:rPr>
          <w:rStyle w:val="SCCRespondentForRunningHeadChar"/>
          <w:lang w:val="fr-CA"/>
        </w:rPr>
        <w:t>nc</w:t>
      </w:r>
      <w:proofErr w:type="spellEnd"/>
      <w:r w:rsidR="004D7D95" w:rsidRPr="00615894">
        <w:rPr>
          <w:rStyle w:val="SCCRespondentForRunningHeadChar"/>
          <w:lang w:val="fr-CA"/>
        </w:rPr>
        <w:t>.</w:t>
      </w:r>
      <w:r w:rsidR="00EE47F0">
        <w:rPr>
          <w:rStyle w:val="SCCRespondentForRunningHeadChar"/>
          <w:lang w:val="fr-CA"/>
        </w:rPr>
        <w:t>, 2014 CSC 35, [2014] 1 R.C.S. 800</w:t>
      </w:r>
    </w:p>
    <w:p w:rsidR="005B653C" w:rsidRPr="00615894" w:rsidRDefault="005B653C" w:rsidP="00A0307B">
      <w:pPr>
        <w:pStyle w:val="SCCLsocParty"/>
        <w:rPr>
          <w:lang w:val="fr-CA"/>
        </w:rPr>
      </w:pPr>
      <w:r w:rsidRPr="00615894">
        <w:rPr>
          <w:lang w:val="fr-CA"/>
        </w:rPr>
        <w:lastRenderedPageBreak/>
        <w:t xml:space="preserve">Union </w:t>
      </w:r>
      <w:proofErr w:type="spellStart"/>
      <w:r w:rsidRPr="00615894">
        <w:rPr>
          <w:lang w:val="fr-CA"/>
        </w:rPr>
        <w:t>Carbide</w:t>
      </w:r>
      <w:proofErr w:type="spellEnd"/>
      <w:r w:rsidRPr="00615894">
        <w:rPr>
          <w:lang w:val="fr-CA"/>
        </w:rPr>
        <w:t xml:space="preserve"> Canada Inc. et Dow </w:t>
      </w:r>
      <w:proofErr w:type="spellStart"/>
      <w:r w:rsidRPr="00615894">
        <w:rPr>
          <w:lang w:val="fr-CA"/>
        </w:rPr>
        <w:t>Chemical</w:t>
      </w:r>
      <w:proofErr w:type="spellEnd"/>
      <w:r w:rsidRPr="00615894">
        <w:rPr>
          <w:lang w:val="fr-CA"/>
        </w:rPr>
        <w:t xml:space="preserve"> Canada Inc. </w:t>
      </w:r>
    </w:p>
    <w:p w:rsidR="00D54F9B" w:rsidRPr="00615894" w:rsidRDefault="005B653C" w:rsidP="00A0307B">
      <w:pPr>
        <w:pStyle w:val="SCCLsocParty"/>
        <w:spacing w:after="720"/>
        <w:rPr>
          <w:rStyle w:val="SCCLsocPartyRole"/>
          <w:lang w:val="fr-CA"/>
        </w:rPr>
      </w:pPr>
      <w:r w:rsidRPr="00615894">
        <w:rPr>
          <w:lang w:val="fr-CA"/>
        </w:rPr>
        <w:t>(</w:t>
      </w:r>
      <w:proofErr w:type="gramStart"/>
      <w:r w:rsidRPr="00615894">
        <w:rPr>
          <w:lang w:val="fr-CA"/>
        </w:rPr>
        <w:t>maintenant</w:t>
      </w:r>
      <w:proofErr w:type="gramEnd"/>
      <w:r w:rsidRPr="00615894">
        <w:rPr>
          <w:lang w:val="fr-CA"/>
        </w:rPr>
        <w:t xml:space="preserve"> connues </w:t>
      </w:r>
      <w:r w:rsidR="000264A2" w:rsidRPr="00615894">
        <w:rPr>
          <w:lang w:val="fr-CA"/>
        </w:rPr>
        <w:t>sous le nom de</w:t>
      </w:r>
      <w:r w:rsidRPr="00615894">
        <w:rPr>
          <w:lang w:val="fr-CA"/>
        </w:rPr>
        <w:t xml:space="preserve"> Dow </w:t>
      </w:r>
      <w:proofErr w:type="spellStart"/>
      <w:r w:rsidRPr="00615894">
        <w:rPr>
          <w:lang w:val="fr-CA"/>
        </w:rPr>
        <w:t>Chemical</w:t>
      </w:r>
      <w:proofErr w:type="spellEnd"/>
      <w:r w:rsidRPr="00615894">
        <w:rPr>
          <w:lang w:val="fr-CA"/>
        </w:rPr>
        <w:t xml:space="preserve"> Canada ULC)</w:t>
      </w:r>
      <w:r w:rsidRPr="00615894">
        <w:rPr>
          <w:rStyle w:val="SCCLsocPartyRole"/>
          <w:lang w:val="fr-CA"/>
        </w:rPr>
        <w:tab/>
        <w:t>Appelantes</w:t>
      </w:r>
    </w:p>
    <w:p w:rsidR="00D54F9B" w:rsidRPr="00615894" w:rsidRDefault="005B653C" w:rsidP="00A0307B">
      <w:pPr>
        <w:pStyle w:val="SCCLsocVersus"/>
        <w:rPr>
          <w:lang w:val="fr-CA"/>
        </w:rPr>
      </w:pPr>
      <w:proofErr w:type="gramStart"/>
      <w:r w:rsidRPr="00615894">
        <w:rPr>
          <w:lang w:val="fr-CA"/>
        </w:rPr>
        <w:t>c</w:t>
      </w:r>
      <w:proofErr w:type="gramEnd"/>
      <w:r w:rsidRPr="00615894">
        <w:rPr>
          <w:lang w:val="fr-CA"/>
        </w:rPr>
        <w:t>.</w:t>
      </w:r>
    </w:p>
    <w:p w:rsidR="00584C6B" w:rsidRPr="00615894" w:rsidRDefault="005B653C" w:rsidP="00A0307B">
      <w:pPr>
        <w:pStyle w:val="SCCLsocParty"/>
        <w:rPr>
          <w:lang w:val="fr-CA"/>
        </w:rPr>
      </w:pPr>
      <w:r w:rsidRPr="00615894">
        <w:rPr>
          <w:lang w:val="fr-CA"/>
        </w:rPr>
        <w:t>Bombardier Inc.</w:t>
      </w:r>
      <w:r w:rsidR="00584C6B" w:rsidRPr="00615894">
        <w:rPr>
          <w:lang w:val="fr-CA"/>
        </w:rPr>
        <w:t>,</w:t>
      </w:r>
      <w:r w:rsidRPr="00615894">
        <w:rPr>
          <w:lang w:val="fr-CA"/>
        </w:rPr>
        <w:t xml:space="preserve"> Bombardier produits récréatifs Inc. et </w:t>
      </w:r>
    </w:p>
    <w:p w:rsidR="00D54F9B" w:rsidRPr="00615894" w:rsidRDefault="005B653C" w:rsidP="00A0307B">
      <w:pPr>
        <w:pStyle w:val="SCCLsocParty"/>
        <w:spacing w:after="720"/>
        <w:rPr>
          <w:rStyle w:val="SCCLsocPartyRole"/>
          <w:b/>
          <w:i w:val="0"/>
          <w:lang w:val="en-US"/>
        </w:rPr>
      </w:pPr>
      <w:r w:rsidRPr="00615894">
        <w:rPr>
          <w:lang w:val="en-US"/>
        </w:rPr>
        <w:t>Allianz Global Risks US Insurance Company</w:t>
      </w:r>
      <w:r w:rsidRPr="00615894">
        <w:rPr>
          <w:rStyle w:val="SCCLsocPartyRole"/>
          <w:lang w:val="en-US"/>
        </w:rPr>
        <w:tab/>
      </w:r>
      <w:proofErr w:type="spellStart"/>
      <w:r w:rsidRPr="00615894">
        <w:rPr>
          <w:rStyle w:val="SCCLsocPartyRole"/>
          <w:lang w:val="en-US"/>
        </w:rPr>
        <w:t>Intimées</w:t>
      </w:r>
      <w:proofErr w:type="spellEnd"/>
    </w:p>
    <w:p w:rsidR="00D54F9B" w:rsidRPr="00615894" w:rsidRDefault="005B653C" w:rsidP="00A0307B">
      <w:pPr>
        <w:pStyle w:val="SCCLsocOtherPartySeparator"/>
        <w:rPr>
          <w:lang w:val="fr-CA"/>
        </w:rPr>
      </w:pPr>
      <w:proofErr w:type="gramStart"/>
      <w:r w:rsidRPr="00615894">
        <w:rPr>
          <w:lang w:val="fr-CA"/>
        </w:rPr>
        <w:t>et</w:t>
      </w:r>
      <w:proofErr w:type="gramEnd"/>
    </w:p>
    <w:p w:rsidR="00584C6B" w:rsidRPr="00615894" w:rsidRDefault="005B653C" w:rsidP="00A0307B">
      <w:pPr>
        <w:pStyle w:val="SCCLsocParty"/>
        <w:rPr>
          <w:lang w:val="fr-CA"/>
        </w:rPr>
      </w:pPr>
      <w:r w:rsidRPr="00615894">
        <w:rPr>
          <w:lang w:val="fr-CA"/>
        </w:rPr>
        <w:t>Procureur général de la Colombie</w:t>
      </w:r>
      <w:r w:rsidR="00A0307B">
        <w:rPr>
          <w:lang w:val="fr-CA"/>
        </w:rPr>
        <w:t>-</w:t>
      </w:r>
      <w:r w:rsidRPr="00615894">
        <w:rPr>
          <w:lang w:val="fr-CA"/>
        </w:rPr>
        <w:t>Britannique</w:t>
      </w:r>
      <w:r w:rsidR="00584C6B" w:rsidRPr="00615894">
        <w:rPr>
          <w:lang w:val="fr-CA"/>
        </w:rPr>
        <w:t xml:space="preserve"> </w:t>
      </w:r>
      <w:r w:rsidRPr="00615894">
        <w:rPr>
          <w:lang w:val="fr-CA"/>
        </w:rPr>
        <w:t xml:space="preserve">et </w:t>
      </w:r>
    </w:p>
    <w:p w:rsidR="00D54F9B" w:rsidRPr="00615894" w:rsidRDefault="005B653C" w:rsidP="00A0307B">
      <w:pPr>
        <w:pStyle w:val="SCCLsocParty"/>
        <w:spacing w:after="720"/>
        <w:rPr>
          <w:lang w:val="fr-CA"/>
        </w:rPr>
      </w:pPr>
      <w:r w:rsidRPr="00615894">
        <w:rPr>
          <w:lang w:val="fr-CA"/>
        </w:rPr>
        <w:t>Arbitration Place Inc.</w:t>
      </w:r>
      <w:r w:rsidRPr="00615894">
        <w:rPr>
          <w:rStyle w:val="SCCLsocPartyRole"/>
          <w:lang w:val="fr-CA"/>
        </w:rPr>
        <w:tab/>
        <w:t>Intervenants</w:t>
      </w:r>
    </w:p>
    <w:p w:rsidR="004D7D95" w:rsidRPr="00615894" w:rsidRDefault="004D7D95" w:rsidP="00A0307B">
      <w:pPr>
        <w:spacing w:after="720"/>
        <w:jc w:val="both"/>
        <w:rPr>
          <w:rStyle w:val="SCCRespondentForIndexChar"/>
          <w:lang w:val="fr-CA"/>
        </w:rPr>
      </w:pPr>
      <w:r w:rsidRPr="00615894">
        <w:rPr>
          <w:b/>
          <w:lang w:val="fr-CA"/>
        </w:rPr>
        <w:t>Répertorié</w:t>
      </w:r>
      <w:r w:rsidR="00A40680" w:rsidRPr="00615894">
        <w:rPr>
          <w:b/>
          <w:lang w:val="fr-CA"/>
        </w:rPr>
        <w:t> </w:t>
      </w:r>
      <w:r w:rsidR="00A0307B">
        <w:rPr>
          <w:b/>
          <w:lang w:val="fr-CA"/>
        </w:rPr>
        <w:t xml:space="preserve">: </w:t>
      </w:r>
      <w:r w:rsidRPr="00615894">
        <w:rPr>
          <w:rStyle w:val="SCCAppellantForIndexChar"/>
          <w:lang w:val="fr-CA"/>
        </w:rPr>
        <w:t xml:space="preserve">Union </w:t>
      </w:r>
      <w:proofErr w:type="spellStart"/>
      <w:r w:rsidRPr="00615894">
        <w:rPr>
          <w:rStyle w:val="SCCAppellantForIndexChar"/>
          <w:lang w:val="fr-CA"/>
        </w:rPr>
        <w:t>Carbide</w:t>
      </w:r>
      <w:proofErr w:type="spellEnd"/>
      <w:r w:rsidRPr="00615894">
        <w:rPr>
          <w:rStyle w:val="SCCAppellantForIndexChar"/>
          <w:lang w:val="fr-CA"/>
        </w:rPr>
        <w:t xml:space="preserve"> Canada Inc. </w:t>
      </w:r>
      <w:r w:rsidRPr="00615894">
        <w:rPr>
          <w:b/>
          <w:i/>
          <w:lang w:val="fr-CA"/>
        </w:rPr>
        <w:t>c.</w:t>
      </w:r>
      <w:r w:rsidRPr="00615894">
        <w:rPr>
          <w:b/>
          <w:lang w:val="fr-CA"/>
        </w:rPr>
        <w:t xml:space="preserve"> </w:t>
      </w:r>
      <w:r w:rsidRPr="00615894">
        <w:rPr>
          <w:rStyle w:val="SCCRespondentForIndexChar"/>
          <w:lang w:val="fr-CA"/>
        </w:rPr>
        <w:t>Bombardier Inc.</w:t>
      </w:r>
    </w:p>
    <w:p w:rsidR="004D7D95" w:rsidRPr="00615894" w:rsidRDefault="00F62639" w:rsidP="00A0307B">
      <w:pPr>
        <w:pStyle w:val="SCCSystemYear"/>
        <w:spacing w:after="720"/>
        <w:jc w:val="both"/>
        <w:rPr>
          <w:lang w:val="fr-CA"/>
        </w:rPr>
      </w:pPr>
      <w:r w:rsidRPr="00615894">
        <w:rPr>
          <w:lang w:val="fr-CA"/>
        </w:rPr>
        <w:t>2014</w:t>
      </w:r>
      <w:r w:rsidR="00EF67DE" w:rsidRPr="00615894">
        <w:rPr>
          <w:lang w:val="fr-CA"/>
        </w:rPr>
        <w:t xml:space="preserve"> CSC 35</w:t>
      </w:r>
    </w:p>
    <w:p w:rsidR="004D7D95" w:rsidRPr="00615894" w:rsidRDefault="004D7D95" w:rsidP="00A0307B">
      <w:pPr>
        <w:spacing w:after="720"/>
        <w:jc w:val="both"/>
        <w:rPr>
          <w:lang w:val="fr-CA"/>
        </w:rPr>
      </w:pPr>
      <w:r w:rsidRPr="00615894">
        <w:rPr>
          <w:lang w:val="fr-CA"/>
        </w:rPr>
        <w:t>N</w:t>
      </w:r>
      <w:r w:rsidRPr="00615894">
        <w:rPr>
          <w:vertAlign w:val="superscript"/>
          <w:lang w:val="fr-CA"/>
        </w:rPr>
        <w:t>o</w:t>
      </w:r>
      <w:r w:rsidRPr="00615894">
        <w:rPr>
          <w:lang w:val="fr-CA"/>
        </w:rPr>
        <w:t xml:space="preserve"> du greffe</w:t>
      </w:r>
      <w:r w:rsidR="00A40680" w:rsidRPr="00615894">
        <w:rPr>
          <w:lang w:val="fr-CA"/>
        </w:rPr>
        <w:t> </w:t>
      </w:r>
      <w:r w:rsidR="00A0307B">
        <w:rPr>
          <w:lang w:val="fr-CA"/>
        </w:rPr>
        <w:t xml:space="preserve">: </w:t>
      </w:r>
      <w:r w:rsidRPr="00615894">
        <w:rPr>
          <w:lang w:val="fr-CA"/>
        </w:rPr>
        <w:t>35008.</w:t>
      </w:r>
    </w:p>
    <w:p w:rsidR="004D7D95" w:rsidRPr="00615894" w:rsidRDefault="00F62639" w:rsidP="00A0307B">
      <w:pPr>
        <w:spacing w:after="720"/>
        <w:jc w:val="both"/>
        <w:rPr>
          <w:lang w:val="fr-CA"/>
        </w:rPr>
      </w:pPr>
      <w:r w:rsidRPr="00615894">
        <w:rPr>
          <w:lang w:val="fr-CA"/>
        </w:rPr>
        <w:t>2013</w:t>
      </w:r>
      <w:r w:rsidR="00A40680" w:rsidRPr="00615894">
        <w:rPr>
          <w:lang w:val="fr-CA"/>
        </w:rPr>
        <w:t> </w:t>
      </w:r>
      <w:r w:rsidR="00A0307B">
        <w:rPr>
          <w:lang w:val="fr-CA"/>
        </w:rPr>
        <w:t xml:space="preserve">: </w:t>
      </w:r>
      <w:r w:rsidRPr="00615894">
        <w:rPr>
          <w:lang w:val="fr-CA"/>
        </w:rPr>
        <w:t>11</w:t>
      </w:r>
      <w:r w:rsidR="00584C6B" w:rsidRPr="00615894">
        <w:rPr>
          <w:lang w:val="fr-CA"/>
        </w:rPr>
        <w:t> </w:t>
      </w:r>
      <w:r w:rsidRPr="00615894">
        <w:rPr>
          <w:lang w:val="fr-CA"/>
        </w:rPr>
        <w:t>décembre</w:t>
      </w:r>
      <w:r w:rsidR="004D7D95" w:rsidRPr="00615894">
        <w:rPr>
          <w:lang w:val="fr-CA"/>
        </w:rPr>
        <w:t xml:space="preserve">; </w:t>
      </w:r>
      <w:r w:rsidR="005B653C" w:rsidRPr="00615894">
        <w:rPr>
          <w:lang w:val="fr-CA"/>
        </w:rPr>
        <w:t>2014</w:t>
      </w:r>
      <w:r w:rsidR="00A40680" w:rsidRPr="00615894">
        <w:rPr>
          <w:lang w:val="fr-CA"/>
        </w:rPr>
        <w:t> </w:t>
      </w:r>
      <w:r w:rsidR="00A0307B">
        <w:rPr>
          <w:lang w:val="fr-CA"/>
        </w:rPr>
        <w:t xml:space="preserve">: </w:t>
      </w:r>
      <w:r w:rsidR="00EF67DE" w:rsidRPr="00615894">
        <w:rPr>
          <w:lang w:val="fr-CA"/>
        </w:rPr>
        <w:t>8 mai</w:t>
      </w:r>
      <w:r w:rsidR="004D7D95" w:rsidRPr="00615894">
        <w:rPr>
          <w:lang w:val="fr-CA"/>
        </w:rPr>
        <w:t>.</w:t>
      </w:r>
    </w:p>
    <w:p w:rsidR="004D7D95" w:rsidRPr="00615894" w:rsidRDefault="004D7D95" w:rsidP="00A0307B">
      <w:pPr>
        <w:spacing w:after="720"/>
        <w:jc w:val="both"/>
        <w:rPr>
          <w:lang w:val="fr-CA"/>
        </w:rPr>
      </w:pPr>
      <w:r w:rsidRPr="00615894">
        <w:rPr>
          <w:lang w:val="fr-CA"/>
        </w:rPr>
        <w:t>Présents</w:t>
      </w:r>
      <w:r w:rsidR="00A40680" w:rsidRPr="00615894">
        <w:rPr>
          <w:lang w:val="fr-CA"/>
        </w:rPr>
        <w:t> </w:t>
      </w:r>
      <w:r w:rsidR="00A0307B">
        <w:rPr>
          <w:lang w:val="fr-CA"/>
        </w:rPr>
        <w:t xml:space="preserve">: </w:t>
      </w:r>
      <w:r w:rsidRPr="00615894">
        <w:rPr>
          <w:lang w:val="fr-CA"/>
        </w:rPr>
        <w:t xml:space="preserve">La juge en chef McLachlin et les juges </w:t>
      </w:r>
      <w:proofErr w:type="spellStart"/>
      <w:r w:rsidRPr="00615894">
        <w:rPr>
          <w:lang w:val="fr-CA"/>
        </w:rPr>
        <w:t>LeBel</w:t>
      </w:r>
      <w:proofErr w:type="spellEnd"/>
      <w:r w:rsidRPr="00615894">
        <w:rPr>
          <w:lang w:val="fr-CA"/>
        </w:rPr>
        <w:t xml:space="preserve">, </w:t>
      </w:r>
      <w:proofErr w:type="spellStart"/>
      <w:r w:rsidRPr="00615894">
        <w:rPr>
          <w:lang w:val="fr-CA"/>
        </w:rPr>
        <w:t>Rothstein</w:t>
      </w:r>
      <w:proofErr w:type="spellEnd"/>
      <w:r w:rsidRPr="00615894">
        <w:rPr>
          <w:lang w:val="fr-CA"/>
        </w:rPr>
        <w:t xml:space="preserve">, Cromwell, </w:t>
      </w:r>
      <w:proofErr w:type="spellStart"/>
      <w:r w:rsidRPr="00615894">
        <w:rPr>
          <w:lang w:val="fr-CA"/>
        </w:rPr>
        <w:t>Moldaver</w:t>
      </w:r>
      <w:proofErr w:type="spellEnd"/>
      <w:r w:rsidRPr="00615894">
        <w:rPr>
          <w:lang w:val="fr-CA"/>
        </w:rPr>
        <w:t xml:space="preserve">, </w:t>
      </w:r>
      <w:proofErr w:type="spellStart"/>
      <w:r w:rsidRPr="00615894">
        <w:rPr>
          <w:lang w:val="fr-CA"/>
        </w:rPr>
        <w:t>Karakatsanis</w:t>
      </w:r>
      <w:proofErr w:type="spellEnd"/>
      <w:r w:rsidRPr="00615894">
        <w:rPr>
          <w:lang w:val="fr-CA"/>
        </w:rPr>
        <w:t xml:space="preserve"> et Wagner.</w:t>
      </w:r>
    </w:p>
    <w:p w:rsidR="004D7D95" w:rsidRPr="00615894" w:rsidRDefault="004D7D95" w:rsidP="00A0307B">
      <w:pPr>
        <w:spacing w:after="720"/>
        <w:jc w:val="both"/>
        <w:rPr>
          <w:smallCaps/>
          <w:lang w:val="fr-CA"/>
        </w:rPr>
      </w:pPr>
      <w:r w:rsidRPr="00615894">
        <w:rPr>
          <w:smallCaps/>
          <w:lang w:val="fr-CA"/>
        </w:rPr>
        <w:t>en appel de la c</w:t>
      </w:r>
      <w:r w:rsidR="005B653C" w:rsidRPr="00615894">
        <w:rPr>
          <w:smallCaps/>
          <w:lang w:val="fr-CA"/>
        </w:rPr>
        <w:t>our d</w:t>
      </w:r>
      <w:r w:rsidR="00602BF2">
        <w:rPr>
          <w:smallCaps/>
          <w:lang w:val="fr-CA"/>
        </w:rPr>
        <w:t>’</w:t>
      </w:r>
      <w:r w:rsidR="005B653C" w:rsidRPr="00615894">
        <w:rPr>
          <w:smallCaps/>
          <w:lang w:val="fr-CA"/>
        </w:rPr>
        <w:t xml:space="preserve">appel du </w:t>
      </w:r>
      <w:proofErr w:type="spellStart"/>
      <w:r w:rsidR="005B653C" w:rsidRPr="00615894">
        <w:rPr>
          <w:smallCaps/>
          <w:lang w:val="fr-CA"/>
        </w:rPr>
        <w:t>québec</w:t>
      </w:r>
      <w:proofErr w:type="spellEnd"/>
    </w:p>
    <w:p w:rsidR="004D7D95" w:rsidRPr="00615894" w:rsidRDefault="004D7D95" w:rsidP="00A0307B">
      <w:pPr>
        <w:pStyle w:val="SCCNormalDoubleSpacing"/>
        <w:spacing w:after="480"/>
        <w:rPr>
          <w:i/>
          <w:lang w:val="fr-CA"/>
        </w:rPr>
      </w:pPr>
      <w:r w:rsidRPr="00615894">
        <w:rPr>
          <w:i/>
          <w:lang w:val="fr-CA"/>
        </w:rPr>
        <w:lastRenderedPageBreak/>
        <w:tab/>
      </w:r>
      <w:r w:rsidR="003C051A" w:rsidRPr="00615894">
        <w:rPr>
          <w:i/>
          <w:lang w:val="fr-CA"/>
        </w:rPr>
        <w:t xml:space="preserve">Procédure civile </w:t>
      </w:r>
      <w:r w:rsidR="00A84D24" w:rsidRPr="00615894">
        <w:rPr>
          <w:i/>
          <w:lang w:val="fr-CA"/>
        </w:rPr>
        <w:t>—</w:t>
      </w:r>
      <w:r w:rsidR="002A7D41" w:rsidRPr="00615894">
        <w:rPr>
          <w:i/>
          <w:lang w:val="fr-CA"/>
        </w:rPr>
        <w:t xml:space="preserve"> O</w:t>
      </w:r>
      <w:r w:rsidR="003C051A" w:rsidRPr="00615894">
        <w:rPr>
          <w:i/>
          <w:lang w:val="fr-CA"/>
        </w:rPr>
        <w:t xml:space="preserve">ffre de règlement </w:t>
      </w:r>
      <w:r w:rsidR="00A84D24" w:rsidRPr="00615894">
        <w:rPr>
          <w:i/>
          <w:lang w:val="fr-CA"/>
        </w:rPr>
        <w:t xml:space="preserve">— </w:t>
      </w:r>
      <w:r w:rsidR="003C051A" w:rsidRPr="00615894">
        <w:rPr>
          <w:i/>
          <w:lang w:val="fr-CA"/>
        </w:rPr>
        <w:t xml:space="preserve">Privilège relatif aux règlements </w:t>
      </w:r>
      <w:r w:rsidR="00A84D24" w:rsidRPr="00615894">
        <w:rPr>
          <w:i/>
          <w:lang w:val="fr-CA"/>
        </w:rPr>
        <w:t xml:space="preserve">— </w:t>
      </w:r>
      <w:r w:rsidR="003C051A" w:rsidRPr="00615894">
        <w:rPr>
          <w:i/>
          <w:lang w:val="fr-CA"/>
        </w:rPr>
        <w:t xml:space="preserve">Exception </w:t>
      </w:r>
      <w:r w:rsidR="00A84D24" w:rsidRPr="00615894">
        <w:rPr>
          <w:i/>
          <w:lang w:val="fr-CA"/>
        </w:rPr>
        <w:t xml:space="preserve">— </w:t>
      </w:r>
      <w:r w:rsidR="003C051A" w:rsidRPr="00615894">
        <w:rPr>
          <w:i/>
          <w:lang w:val="fr-CA"/>
        </w:rPr>
        <w:t>Allégations d</w:t>
      </w:r>
      <w:r w:rsidR="00602BF2">
        <w:rPr>
          <w:i/>
          <w:lang w:val="fr-CA"/>
        </w:rPr>
        <w:t>’</w:t>
      </w:r>
      <w:r w:rsidR="003C051A" w:rsidRPr="00615894">
        <w:rPr>
          <w:i/>
          <w:lang w:val="fr-CA"/>
        </w:rPr>
        <w:t>une requête en homologation d</w:t>
      </w:r>
      <w:r w:rsidR="00602BF2">
        <w:rPr>
          <w:i/>
          <w:lang w:val="fr-CA"/>
        </w:rPr>
        <w:t>’</w:t>
      </w:r>
      <w:r w:rsidR="003C051A" w:rsidRPr="00615894">
        <w:rPr>
          <w:i/>
          <w:lang w:val="fr-CA"/>
        </w:rPr>
        <w:t xml:space="preserve">un règlement contestées au motif que le contrat de médiation empêchait les parties de faire état du déroulement de la médiation </w:t>
      </w:r>
      <w:r w:rsidR="00A84D24" w:rsidRPr="00615894">
        <w:rPr>
          <w:i/>
          <w:lang w:val="fr-CA"/>
        </w:rPr>
        <w:t xml:space="preserve">— </w:t>
      </w:r>
      <w:r w:rsidR="003C051A" w:rsidRPr="00615894">
        <w:rPr>
          <w:i/>
          <w:lang w:val="fr-CA"/>
        </w:rPr>
        <w:t>Le contrat de médiation comportant une clause de confidentialité absolue peut</w:t>
      </w:r>
      <w:r w:rsidR="00A0307B">
        <w:rPr>
          <w:i/>
          <w:lang w:val="fr-CA"/>
        </w:rPr>
        <w:t>-</w:t>
      </w:r>
      <w:r w:rsidR="003C051A" w:rsidRPr="00615894">
        <w:rPr>
          <w:i/>
          <w:lang w:val="fr-CA"/>
        </w:rPr>
        <w:t xml:space="preserve">il écarter le privilège relatif aux règlements de la </w:t>
      </w:r>
      <w:proofErr w:type="spellStart"/>
      <w:r w:rsidR="003C051A" w:rsidRPr="00615894">
        <w:rPr>
          <w:i/>
          <w:lang w:val="fr-CA"/>
        </w:rPr>
        <w:t>common</w:t>
      </w:r>
      <w:proofErr w:type="spellEnd"/>
      <w:r w:rsidR="003C051A" w:rsidRPr="00615894">
        <w:rPr>
          <w:i/>
          <w:lang w:val="fr-CA"/>
        </w:rPr>
        <w:t xml:space="preserve"> </w:t>
      </w:r>
      <w:proofErr w:type="spellStart"/>
      <w:r w:rsidR="003C051A" w:rsidRPr="00615894">
        <w:rPr>
          <w:i/>
          <w:lang w:val="fr-CA"/>
        </w:rPr>
        <w:t>law</w:t>
      </w:r>
      <w:proofErr w:type="spellEnd"/>
      <w:r w:rsidR="003C051A" w:rsidRPr="00615894">
        <w:rPr>
          <w:i/>
          <w:lang w:val="fr-CA"/>
        </w:rPr>
        <w:t>, y compris l</w:t>
      </w:r>
      <w:r w:rsidR="00602BF2">
        <w:rPr>
          <w:i/>
          <w:lang w:val="fr-CA"/>
        </w:rPr>
        <w:t>’</w:t>
      </w:r>
      <w:r w:rsidR="003C051A" w:rsidRPr="00615894">
        <w:rPr>
          <w:i/>
          <w:lang w:val="fr-CA"/>
        </w:rPr>
        <w:t>exception à ce privilège, lorsqu</w:t>
      </w:r>
      <w:r w:rsidR="00602BF2">
        <w:rPr>
          <w:i/>
          <w:lang w:val="fr-CA"/>
        </w:rPr>
        <w:t>’</w:t>
      </w:r>
      <w:r w:rsidR="003C051A" w:rsidRPr="00615894">
        <w:rPr>
          <w:i/>
          <w:lang w:val="fr-CA"/>
        </w:rPr>
        <w:t>une partie cherche à prouver l</w:t>
      </w:r>
      <w:r w:rsidR="00602BF2">
        <w:rPr>
          <w:i/>
          <w:lang w:val="fr-CA"/>
        </w:rPr>
        <w:t>’</w:t>
      </w:r>
      <w:r w:rsidR="003C051A" w:rsidRPr="00615894">
        <w:rPr>
          <w:i/>
          <w:lang w:val="fr-CA"/>
        </w:rPr>
        <w:t xml:space="preserve">existence ou la portée du règlement? </w:t>
      </w:r>
      <w:r w:rsidR="00A84D24" w:rsidRPr="00615894">
        <w:rPr>
          <w:i/>
          <w:lang w:val="fr-CA"/>
        </w:rPr>
        <w:t xml:space="preserve">— </w:t>
      </w:r>
      <w:r w:rsidR="003C051A" w:rsidRPr="00615894">
        <w:rPr>
          <w:i/>
          <w:lang w:val="fr-CA"/>
        </w:rPr>
        <w:t xml:space="preserve">La clause </w:t>
      </w:r>
      <w:r w:rsidR="003C051A" w:rsidRPr="00615894">
        <w:rPr>
          <w:i/>
          <w:noProof/>
          <w:lang w:val="fr-CA"/>
        </w:rPr>
        <w:t>permet</w:t>
      </w:r>
      <w:r w:rsidR="00A0307B">
        <w:rPr>
          <w:i/>
          <w:noProof/>
          <w:lang w:val="fr-CA"/>
        </w:rPr>
        <w:t>-</w:t>
      </w:r>
      <w:r w:rsidR="003C051A" w:rsidRPr="00615894">
        <w:rPr>
          <w:i/>
          <w:noProof/>
          <w:lang w:val="fr-CA"/>
        </w:rPr>
        <w:t>elle aux parties d</w:t>
      </w:r>
      <w:r w:rsidR="00602BF2">
        <w:rPr>
          <w:i/>
          <w:noProof/>
          <w:lang w:val="fr-CA"/>
        </w:rPr>
        <w:t>’</w:t>
      </w:r>
      <w:r w:rsidR="003C051A" w:rsidRPr="00615894">
        <w:rPr>
          <w:i/>
          <w:noProof/>
          <w:lang w:val="fr-CA"/>
        </w:rPr>
        <w:t>utiliser des renseignements confidentiels afin de faire la preuve des modalités d</w:t>
      </w:r>
      <w:r w:rsidR="00602BF2">
        <w:rPr>
          <w:i/>
          <w:noProof/>
          <w:lang w:val="fr-CA"/>
        </w:rPr>
        <w:t>’</w:t>
      </w:r>
      <w:r w:rsidR="003C051A" w:rsidRPr="00615894">
        <w:rPr>
          <w:i/>
          <w:noProof/>
          <w:lang w:val="fr-CA"/>
        </w:rPr>
        <w:t xml:space="preserve">un règlement? </w:t>
      </w:r>
      <w:r w:rsidR="00A84D24" w:rsidRPr="00615894">
        <w:rPr>
          <w:i/>
          <w:lang w:val="fr-CA"/>
        </w:rPr>
        <w:t xml:space="preserve">— </w:t>
      </w:r>
      <w:r w:rsidR="003C051A" w:rsidRPr="00615894">
        <w:rPr>
          <w:i/>
          <w:noProof/>
          <w:lang w:val="fr-CA"/>
        </w:rPr>
        <w:t xml:space="preserve">Code de procédure civile, </w:t>
      </w:r>
      <w:r w:rsidR="003C051A" w:rsidRPr="00615894">
        <w:rPr>
          <w:i/>
          <w:iCs/>
          <w:noProof/>
          <w:lang w:val="fr-CA"/>
        </w:rPr>
        <w:t xml:space="preserve">RLRQ, </w:t>
      </w:r>
      <w:r w:rsidR="00A40680" w:rsidRPr="00615894">
        <w:rPr>
          <w:i/>
          <w:iCs/>
          <w:noProof/>
          <w:lang w:val="fr-CA"/>
        </w:rPr>
        <w:t>ch</w:t>
      </w:r>
      <w:r w:rsidR="00A0307B">
        <w:rPr>
          <w:i/>
          <w:iCs/>
          <w:noProof/>
          <w:lang w:val="fr-CA"/>
        </w:rPr>
        <w:t xml:space="preserve">. </w:t>
      </w:r>
      <w:r w:rsidR="003C051A" w:rsidRPr="00615894">
        <w:rPr>
          <w:i/>
          <w:iCs/>
          <w:noProof/>
          <w:lang w:val="fr-CA"/>
        </w:rPr>
        <w:t>C</w:t>
      </w:r>
      <w:r w:rsidR="00A0307B">
        <w:rPr>
          <w:i/>
          <w:iCs/>
          <w:noProof/>
          <w:lang w:val="fr-CA"/>
        </w:rPr>
        <w:t>-</w:t>
      </w:r>
      <w:r w:rsidR="003C051A" w:rsidRPr="00615894">
        <w:rPr>
          <w:i/>
          <w:iCs/>
          <w:noProof/>
          <w:lang w:val="fr-CA"/>
        </w:rPr>
        <w:t xml:space="preserve">25, </w:t>
      </w:r>
      <w:r w:rsidR="00A40680" w:rsidRPr="00615894">
        <w:rPr>
          <w:i/>
          <w:iCs/>
          <w:noProof/>
          <w:lang w:val="fr-CA"/>
        </w:rPr>
        <w:t>art</w:t>
      </w:r>
      <w:r w:rsidR="00A0307B">
        <w:rPr>
          <w:i/>
          <w:iCs/>
          <w:noProof/>
          <w:lang w:val="fr-CA"/>
        </w:rPr>
        <w:t xml:space="preserve">. </w:t>
      </w:r>
      <w:r w:rsidR="003C051A" w:rsidRPr="00615894">
        <w:rPr>
          <w:i/>
          <w:iCs/>
          <w:noProof/>
          <w:lang w:val="fr-CA"/>
        </w:rPr>
        <w:t>151.21</w:t>
      </w:r>
      <w:r w:rsidR="00A84D24" w:rsidRPr="00615894">
        <w:rPr>
          <w:i/>
          <w:iCs/>
          <w:noProof/>
          <w:lang w:val="fr-CA"/>
        </w:rPr>
        <w:t>.</w:t>
      </w:r>
    </w:p>
    <w:p w:rsidR="004D7D95" w:rsidRPr="00615894" w:rsidRDefault="002B4BE4" w:rsidP="00A0307B">
      <w:pPr>
        <w:pStyle w:val="SCCNormalDoubleSpacing"/>
        <w:spacing w:after="480"/>
        <w:rPr>
          <w:noProof/>
          <w:lang w:val="fr-CA"/>
        </w:rPr>
      </w:pPr>
      <w:r w:rsidRPr="00615894">
        <w:rPr>
          <w:lang w:val="fr-CA"/>
        </w:rPr>
        <w:tab/>
      </w:r>
      <w:r w:rsidRPr="00615894">
        <w:rPr>
          <w:noProof/>
          <w:lang w:val="fr-CA"/>
        </w:rPr>
        <w:t>Les parties sont empêtrées depuis des décennies dans une action civile de plusieurs millions de dollars au sujet de réservoirs à carburant pour motomarines défectueux.  B affirme que des réservoirs fournis par D étaient impropres à l</w:t>
      </w:r>
      <w:r w:rsidR="00602BF2">
        <w:rPr>
          <w:noProof/>
          <w:lang w:val="fr-CA"/>
        </w:rPr>
        <w:t>’</w:t>
      </w:r>
      <w:r w:rsidRPr="00615894">
        <w:rPr>
          <w:noProof/>
          <w:lang w:val="fr-CA"/>
        </w:rPr>
        <w:t xml:space="preserve">usage auquel ils étaient destinés et elle a intenté </w:t>
      </w:r>
      <w:r w:rsidR="00882633" w:rsidRPr="00615894">
        <w:rPr>
          <w:noProof/>
          <w:lang w:val="fr-CA"/>
        </w:rPr>
        <w:t xml:space="preserve">contre D </w:t>
      </w:r>
      <w:r w:rsidRPr="00615894">
        <w:rPr>
          <w:noProof/>
          <w:lang w:val="fr-CA"/>
        </w:rPr>
        <w:t>une action en dommages</w:t>
      </w:r>
      <w:r w:rsidR="00A0307B">
        <w:rPr>
          <w:noProof/>
          <w:lang w:val="fr-CA"/>
        </w:rPr>
        <w:t>-</w:t>
      </w:r>
      <w:r w:rsidRPr="00615894">
        <w:rPr>
          <w:noProof/>
          <w:lang w:val="fr-CA"/>
        </w:rPr>
        <w:t>intérêts devant la Cour supérieure du Québec à Montré</w:t>
      </w:r>
      <w:r w:rsidR="00A40680" w:rsidRPr="00615894">
        <w:rPr>
          <w:noProof/>
          <w:lang w:val="fr-CA"/>
        </w:rPr>
        <w:t>al.</w:t>
      </w:r>
      <w:r w:rsidR="00F844C6" w:rsidRPr="00615894">
        <w:rPr>
          <w:noProof/>
          <w:lang w:val="fr-CA"/>
        </w:rPr>
        <w:t xml:space="preserve"> </w:t>
      </w:r>
      <w:r w:rsidRPr="00615894">
        <w:rPr>
          <w:noProof/>
          <w:lang w:val="fr-CA"/>
        </w:rPr>
        <w:t xml:space="preserve"> </w:t>
      </w:r>
      <w:r w:rsidR="00882633" w:rsidRPr="00615894">
        <w:rPr>
          <w:noProof/>
          <w:lang w:val="fr-CA"/>
        </w:rPr>
        <w:t>Les parties ont convenu d</w:t>
      </w:r>
      <w:r w:rsidR="00602BF2">
        <w:rPr>
          <w:noProof/>
          <w:lang w:val="fr-CA"/>
        </w:rPr>
        <w:t>’</w:t>
      </w:r>
      <w:r w:rsidR="00882633" w:rsidRPr="00615894">
        <w:rPr>
          <w:noProof/>
          <w:lang w:val="fr-CA"/>
        </w:rPr>
        <w:t>une médiation privée et ont signé une entente type de médiation, laquelle renfermait la clause suivante concernant la confidentialité du processus</w:t>
      </w:r>
      <w:r w:rsidR="00A40680" w:rsidRPr="00615894">
        <w:rPr>
          <w:noProof/>
          <w:lang w:val="fr-CA"/>
        </w:rPr>
        <w:t> :</w:t>
      </w:r>
      <w:r w:rsidR="00464440">
        <w:rPr>
          <w:noProof/>
          <w:lang w:val="fr-CA"/>
        </w:rPr>
        <w:t xml:space="preserve"> « R</w:t>
      </w:r>
      <w:r w:rsidR="00882633" w:rsidRPr="00615894">
        <w:rPr>
          <w:noProof/>
          <w:lang w:val="fr-CA"/>
        </w:rPr>
        <w:t>ien de ce qui pourra être dit ou écrit au cours de la médiation ne sera allégué, mentionné ou présenté en preuve dans le cadre d</w:t>
      </w:r>
      <w:r w:rsidR="00602BF2">
        <w:rPr>
          <w:noProof/>
          <w:lang w:val="fr-CA"/>
        </w:rPr>
        <w:t>’</w:t>
      </w:r>
      <w:r w:rsidR="00882633" w:rsidRPr="00615894">
        <w:rPr>
          <w:noProof/>
          <w:lang w:val="fr-CA"/>
        </w:rPr>
        <w:t>une instance ».  Le lendemain, D a soumis une offre de règlement que B a subséquemment acceptée.  Deux jours après cette acceptation, l</w:t>
      </w:r>
      <w:r w:rsidR="00602BF2">
        <w:rPr>
          <w:noProof/>
          <w:lang w:val="fr-CA"/>
        </w:rPr>
        <w:t>’</w:t>
      </w:r>
      <w:r w:rsidR="00882633" w:rsidRPr="00615894">
        <w:rPr>
          <w:noProof/>
          <w:lang w:val="fr-CA"/>
        </w:rPr>
        <w:t>avocat de D a indiqué que sa cliente considérait que le montant offert visait un règlement glob</w:t>
      </w:r>
      <w:r w:rsidR="00A40680" w:rsidRPr="00615894">
        <w:rPr>
          <w:noProof/>
          <w:lang w:val="fr-CA"/>
        </w:rPr>
        <w:t xml:space="preserve">al. </w:t>
      </w:r>
      <w:r w:rsidR="00882633" w:rsidRPr="00615894">
        <w:rPr>
          <w:noProof/>
          <w:lang w:val="fr-CA"/>
        </w:rPr>
        <w:t xml:space="preserve"> L</w:t>
      </w:r>
      <w:r w:rsidR="00602BF2">
        <w:rPr>
          <w:noProof/>
          <w:lang w:val="fr-CA"/>
        </w:rPr>
        <w:t>’</w:t>
      </w:r>
      <w:r w:rsidR="00882633" w:rsidRPr="00615894">
        <w:rPr>
          <w:noProof/>
          <w:lang w:val="fr-CA"/>
        </w:rPr>
        <w:t>avocat de B a répondu que le montant du règlement visait uniquement la poursuite engagée à Montré</w:t>
      </w:r>
      <w:r w:rsidR="00A40680" w:rsidRPr="00615894">
        <w:rPr>
          <w:noProof/>
          <w:lang w:val="fr-CA"/>
        </w:rPr>
        <w:t xml:space="preserve">al. </w:t>
      </w:r>
      <w:r w:rsidR="00882633" w:rsidRPr="00615894">
        <w:rPr>
          <w:noProof/>
          <w:lang w:val="fr-CA"/>
        </w:rPr>
        <w:t xml:space="preserve"> </w:t>
      </w:r>
      <w:r w:rsidR="00E77538" w:rsidRPr="00615894">
        <w:rPr>
          <w:noProof/>
          <w:lang w:val="fr-CA"/>
        </w:rPr>
        <w:t>D n</w:t>
      </w:r>
      <w:r w:rsidR="00602BF2">
        <w:rPr>
          <w:noProof/>
          <w:lang w:val="fr-CA"/>
        </w:rPr>
        <w:t>’</w:t>
      </w:r>
      <w:r w:rsidR="00E77538" w:rsidRPr="00615894">
        <w:rPr>
          <w:noProof/>
          <w:lang w:val="fr-CA"/>
        </w:rPr>
        <w:t xml:space="preserve">a pas envoyé le montant du </w:t>
      </w:r>
      <w:r w:rsidR="00E77538" w:rsidRPr="00615894">
        <w:rPr>
          <w:noProof/>
          <w:lang w:val="fr-CA"/>
        </w:rPr>
        <w:lastRenderedPageBreak/>
        <w:t>règlement qui avait fait l</w:t>
      </w:r>
      <w:r w:rsidR="00602BF2">
        <w:rPr>
          <w:noProof/>
          <w:lang w:val="fr-CA"/>
        </w:rPr>
        <w:t>’</w:t>
      </w:r>
      <w:r w:rsidR="00E77538" w:rsidRPr="00615894">
        <w:rPr>
          <w:noProof/>
          <w:lang w:val="fr-CA"/>
        </w:rPr>
        <w:t xml:space="preserve">objet de discussions et B a alors déposé devant la </w:t>
      </w:r>
      <w:r w:rsidR="008F0696">
        <w:rPr>
          <w:noProof/>
          <w:lang w:val="fr-CA"/>
        </w:rPr>
        <w:t>C</w:t>
      </w:r>
      <w:r w:rsidR="00E77538" w:rsidRPr="00615894">
        <w:rPr>
          <w:noProof/>
          <w:lang w:val="fr-CA"/>
        </w:rPr>
        <w:t>our supérieure une requête en homologation du règlement.  D a demandé par requête la radiation des allégations contenues dans six paragraphes de la requête en homologation au motif qu</w:t>
      </w:r>
      <w:r w:rsidR="00602BF2">
        <w:rPr>
          <w:noProof/>
          <w:lang w:val="fr-CA"/>
        </w:rPr>
        <w:t>’</w:t>
      </w:r>
      <w:r w:rsidR="00E77538" w:rsidRPr="00615894">
        <w:rPr>
          <w:noProof/>
          <w:lang w:val="fr-CA"/>
        </w:rPr>
        <w:t>elles faisaient état du déroulement de la médiation.</w:t>
      </w:r>
    </w:p>
    <w:p w:rsidR="00E77538" w:rsidRPr="00615894" w:rsidRDefault="00E77538" w:rsidP="00A0307B">
      <w:pPr>
        <w:pStyle w:val="SCCNormalDoubleSpacing"/>
        <w:spacing w:after="480"/>
        <w:rPr>
          <w:lang w:val="fr-CA"/>
        </w:rPr>
      </w:pPr>
      <w:r w:rsidRPr="00615894">
        <w:rPr>
          <w:noProof/>
          <w:lang w:val="fr-CA"/>
        </w:rPr>
        <w:tab/>
      </w:r>
      <w:r w:rsidR="003C20BC" w:rsidRPr="00615894">
        <w:rPr>
          <w:noProof/>
          <w:lang w:val="fr-CA"/>
        </w:rPr>
        <w:t xml:space="preserve">La juge </w:t>
      </w:r>
      <w:r w:rsidR="00540709" w:rsidRPr="00615894">
        <w:rPr>
          <w:noProof/>
          <w:lang w:val="fr-CA"/>
        </w:rPr>
        <w:t xml:space="preserve">saisie </w:t>
      </w:r>
      <w:r w:rsidR="003C20BC" w:rsidRPr="00615894">
        <w:rPr>
          <w:noProof/>
          <w:lang w:val="fr-CA"/>
        </w:rPr>
        <w:t>de</w:t>
      </w:r>
      <w:r w:rsidR="00540709" w:rsidRPr="00615894">
        <w:rPr>
          <w:noProof/>
          <w:lang w:val="fr-CA"/>
        </w:rPr>
        <w:t xml:space="preserve"> la requête</w:t>
      </w:r>
      <w:r w:rsidR="003C20BC" w:rsidRPr="00615894">
        <w:rPr>
          <w:noProof/>
          <w:lang w:val="fr-CA"/>
        </w:rPr>
        <w:t xml:space="preserve"> a conclu qu</w:t>
      </w:r>
      <w:r w:rsidR="00602BF2">
        <w:rPr>
          <w:noProof/>
          <w:lang w:val="fr-CA"/>
        </w:rPr>
        <w:t>’</w:t>
      </w:r>
      <w:r w:rsidR="003C20BC" w:rsidRPr="00615894">
        <w:rPr>
          <w:noProof/>
          <w:lang w:val="fr-CA"/>
        </w:rPr>
        <w:t>en raison de la clause de confidentialité figurant dans l</w:t>
      </w:r>
      <w:r w:rsidR="00602BF2">
        <w:rPr>
          <w:noProof/>
          <w:lang w:val="fr-CA"/>
        </w:rPr>
        <w:t>’</w:t>
      </w:r>
      <w:r w:rsidR="003C20BC" w:rsidRPr="00615894">
        <w:rPr>
          <w:noProof/>
          <w:lang w:val="fr-CA"/>
        </w:rPr>
        <w:t>entente de médiation, le compte</w:t>
      </w:r>
      <w:r w:rsidR="00A0307B">
        <w:rPr>
          <w:noProof/>
          <w:lang w:val="fr-CA"/>
        </w:rPr>
        <w:t>-</w:t>
      </w:r>
      <w:r w:rsidR="003C20BC" w:rsidRPr="00615894">
        <w:rPr>
          <w:noProof/>
          <w:lang w:val="fr-CA"/>
        </w:rPr>
        <w:t>rendu de la médiation était protégé par l</w:t>
      </w:r>
      <w:r w:rsidR="00602BF2">
        <w:rPr>
          <w:noProof/>
          <w:lang w:val="fr-CA"/>
        </w:rPr>
        <w:t>’</w:t>
      </w:r>
      <w:r w:rsidR="00A40680" w:rsidRPr="00615894">
        <w:rPr>
          <w:noProof/>
          <w:lang w:val="fr-CA"/>
        </w:rPr>
        <w:t>art</w:t>
      </w:r>
      <w:r w:rsidR="00A0307B">
        <w:rPr>
          <w:noProof/>
          <w:lang w:val="fr-CA"/>
        </w:rPr>
        <w:t xml:space="preserve">. </w:t>
      </w:r>
      <w:r w:rsidR="003C20BC" w:rsidRPr="00615894">
        <w:rPr>
          <w:noProof/>
          <w:lang w:val="fr-CA"/>
        </w:rPr>
        <w:t xml:space="preserve">151.21 du </w:t>
      </w:r>
      <w:r w:rsidR="003C20BC" w:rsidRPr="00615894">
        <w:rPr>
          <w:i/>
          <w:iCs/>
          <w:noProof/>
          <w:lang w:val="fr-CA"/>
        </w:rPr>
        <w:t>Code de procédure civile</w:t>
      </w:r>
      <w:r w:rsidR="003C20BC" w:rsidRPr="00615894">
        <w:rPr>
          <w:iCs/>
          <w:noProof/>
          <w:lang w:val="fr-CA"/>
        </w:rPr>
        <w:t xml:space="preserve">.  Elle </w:t>
      </w:r>
      <w:r w:rsidR="003C20BC" w:rsidRPr="00615894">
        <w:rPr>
          <w:noProof/>
          <w:lang w:val="fr-CA"/>
        </w:rPr>
        <w:t>a accueilli en partie la requête en radiation de D et a ordonné que quatre des six allégations soient radiées parce qu</w:t>
      </w:r>
      <w:r w:rsidR="00602BF2">
        <w:rPr>
          <w:noProof/>
          <w:lang w:val="fr-CA"/>
        </w:rPr>
        <w:t>’</w:t>
      </w:r>
      <w:r w:rsidR="003C20BC" w:rsidRPr="00615894">
        <w:rPr>
          <w:noProof/>
          <w:lang w:val="fr-CA"/>
        </w:rPr>
        <w:t>elles portaient sur les discussions et communications échangées dans</w:t>
      </w:r>
      <w:r w:rsidR="008F0696">
        <w:rPr>
          <w:noProof/>
          <w:lang w:val="fr-CA"/>
        </w:rPr>
        <w:t xml:space="preserve"> le cadre de la médiation.  La C</w:t>
      </w:r>
      <w:r w:rsidR="003C20BC" w:rsidRPr="00615894">
        <w:rPr>
          <w:noProof/>
          <w:lang w:val="fr-CA"/>
        </w:rPr>
        <w:t>our d</w:t>
      </w:r>
      <w:r w:rsidR="00602BF2">
        <w:rPr>
          <w:noProof/>
          <w:lang w:val="fr-CA"/>
        </w:rPr>
        <w:t>’</w:t>
      </w:r>
      <w:r w:rsidR="003C20BC" w:rsidRPr="00615894">
        <w:rPr>
          <w:noProof/>
          <w:lang w:val="fr-CA"/>
        </w:rPr>
        <w:t>appel a accueilli l</w:t>
      </w:r>
      <w:r w:rsidR="00602BF2">
        <w:rPr>
          <w:noProof/>
          <w:lang w:val="fr-CA"/>
        </w:rPr>
        <w:t>’</w:t>
      </w:r>
      <w:r w:rsidR="003C20BC" w:rsidRPr="00615894">
        <w:rPr>
          <w:noProof/>
          <w:lang w:val="fr-CA"/>
        </w:rPr>
        <w:t xml:space="preserve">appel et a conclu que les règles de confidentialité du </w:t>
      </w:r>
      <w:r w:rsidR="003C20BC" w:rsidRPr="00615894">
        <w:rPr>
          <w:i/>
          <w:iCs/>
          <w:noProof/>
          <w:lang w:val="fr-CA"/>
        </w:rPr>
        <w:t>Code de procédure civile</w:t>
      </w:r>
      <w:r w:rsidR="003C20BC" w:rsidRPr="00615894">
        <w:rPr>
          <w:noProof/>
          <w:lang w:val="fr-CA"/>
        </w:rPr>
        <w:t xml:space="preserve"> ne s</w:t>
      </w:r>
      <w:r w:rsidR="00602BF2">
        <w:rPr>
          <w:noProof/>
          <w:lang w:val="fr-CA"/>
        </w:rPr>
        <w:t>’</w:t>
      </w:r>
      <w:r w:rsidR="003C20BC" w:rsidRPr="00615894">
        <w:rPr>
          <w:noProof/>
          <w:lang w:val="fr-CA"/>
        </w:rPr>
        <w:t>appliquent pas à la médiation extrajudiciaire.  Elle a fait remarquer que les communications faites au cours de la médiation cessent d</w:t>
      </w:r>
      <w:r w:rsidR="00602BF2">
        <w:rPr>
          <w:noProof/>
          <w:lang w:val="fr-CA"/>
        </w:rPr>
        <w:t>’</w:t>
      </w:r>
      <w:r w:rsidR="003C20BC" w:rsidRPr="00615894">
        <w:rPr>
          <w:noProof/>
          <w:lang w:val="fr-CA"/>
        </w:rPr>
        <w:t>être privilégiées lorsqu</w:t>
      </w:r>
      <w:r w:rsidR="00602BF2">
        <w:rPr>
          <w:noProof/>
          <w:lang w:val="fr-CA"/>
        </w:rPr>
        <w:t>’</w:t>
      </w:r>
      <w:r w:rsidR="003C20BC" w:rsidRPr="00615894">
        <w:rPr>
          <w:noProof/>
          <w:lang w:val="fr-CA"/>
        </w:rPr>
        <w:t>elles ont conduit à une entente</w:t>
      </w:r>
      <w:r w:rsidR="00F844C6" w:rsidRPr="00615894">
        <w:rPr>
          <w:noProof/>
          <w:lang w:val="fr-CA"/>
        </w:rPr>
        <w:t xml:space="preserve">. </w:t>
      </w:r>
      <w:r w:rsidR="003C20BC" w:rsidRPr="00615894">
        <w:rPr>
          <w:noProof/>
          <w:lang w:val="fr-CA"/>
        </w:rPr>
        <w:t xml:space="preserve"> </w:t>
      </w:r>
      <w:r w:rsidR="00F844C6" w:rsidRPr="00615894">
        <w:rPr>
          <w:noProof/>
          <w:lang w:val="fr-CA"/>
        </w:rPr>
        <w:t>Elle</w:t>
      </w:r>
      <w:r w:rsidR="003C20BC" w:rsidRPr="00615894">
        <w:rPr>
          <w:noProof/>
          <w:lang w:val="fr-CA"/>
        </w:rPr>
        <w:t xml:space="preserve"> a </w:t>
      </w:r>
      <w:r w:rsidR="00F844C6" w:rsidRPr="00615894">
        <w:rPr>
          <w:noProof/>
          <w:lang w:val="fr-CA"/>
        </w:rPr>
        <w:t xml:space="preserve">donc </w:t>
      </w:r>
      <w:r w:rsidR="003C20BC" w:rsidRPr="00615894">
        <w:rPr>
          <w:noProof/>
          <w:lang w:val="fr-CA"/>
        </w:rPr>
        <w:t>conclu que le privilège relatif aux règlements n</w:t>
      </w:r>
      <w:r w:rsidR="00602BF2">
        <w:rPr>
          <w:noProof/>
          <w:lang w:val="fr-CA"/>
        </w:rPr>
        <w:t>’</w:t>
      </w:r>
      <w:r w:rsidR="003C20BC" w:rsidRPr="00615894">
        <w:rPr>
          <w:noProof/>
          <w:lang w:val="fr-CA"/>
        </w:rPr>
        <w:t xml:space="preserve">empêche pas une partie de produire des </w:t>
      </w:r>
      <w:r w:rsidR="003C20BC" w:rsidRPr="00615894">
        <w:rPr>
          <w:iCs/>
          <w:noProof/>
          <w:lang w:val="fr-CA"/>
        </w:rPr>
        <w:t>communic</w:t>
      </w:r>
      <w:r w:rsidR="003C20BC" w:rsidRPr="00615894">
        <w:rPr>
          <w:noProof/>
          <w:lang w:val="fr-CA"/>
        </w:rPr>
        <w:t>atio</w:t>
      </w:r>
      <w:r w:rsidR="003C20BC" w:rsidRPr="00615894">
        <w:rPr>
          <w:iCs/>
          <w:noProof/>
          <w:lang w:val="fr-CA"/>
        </w:rPr>
        <w:t>ns confidentielles afin de faire la preuve de l</w:t>
      </w:r>
      <w:r w:rsidR="00602BF2">
        <w:rPr>
          <w:iCs/>
          <w:noProof/>
          <w:lang w:val="fr-CA"/>
        </w:rPr>
        <w:t>’</w:t>
      </w:r>
      <w:r w:rsidR="003C20BC" w:rsidRPr="00615894">
        <w:rPr>
          <w:iCs/>
          <w:noProof/>
          <w:lang w:val="fr-CA"/>
        </w:rPr>
        <w:t xml:space="preserve">existence </w:t>
      </w:r>
      <w:r w:rsidR="003C20BC" w:rsidRPr="00615894">
        <w:rPr>
          <w:noProof/>
          <w:lang w:val="fr-CA"/>
        </w:rPr>
        <w:t>d</w:t>
      </w:r>
      <w:r w:rsidR="00602BF2">
        <w:rPr>
          <w:noProof/>
          <w:lang w:val="fr-CA"/>
        </w:rPr>
        <w:t>’</w:t>
      </w:r>
      <w:r w:rsidR="003C20BC" w:rsidRPr="00615894">
        <w:rPr>
          <w:noProof/>
          <w:lang w:val="fr-CA"/>
        </w:rPr>
        <w:t>une entente de règlement contestée découlant de la médiation</w:t>
      </w:r>
      <w:r w:rsidR="00F844C6" w:rsidRPr="00615894">
        <w:rPr>
          <w:noProof/>
          <w:lang w:val="fr-CA"/>
        </w:rPr>
        <w:t>,</w:t>
      </w:r>
      <w:r w:rsidR="003C20BC" w:rsidRPr="00615894">
        <w:rPr>
          <w:iCs/>
          <w:noProof/>
          <w:lang w:val="fr-CA"/>
        </w:rPr>
        <w:t xml:space="preserve"> ou pour en faciliter l</w:t>
      </w:r>
      <w:r w:rsidR="00602BF2">
        <w:rPr>
          <w:iCs/>
          <w:noProof/>
          <w:lang w:val="fr-CA"/>
        </w:rPr>
        <w:t>’</w:t>
      </w:r>
      <w:r w:rsidR="003C20BC" w:rsidRPr="00615894">
        <w:rPr>
          <w:iCs/>
          <w:noProof/>
          <w:lang w:val="fr-CA"/>
        </w:rPr>
        <w:t>in</w:t>
      </w:r>
      <w:r w:rsidR="003C20BC" w:rsidRPr="00615894">
        <w:rPr>
          <w:noProof/>
          <w:lang w:val="fr-CA"/>
        </w:rPr>
        <w:t xml:space="preserve">terprétation.  </w:t>
      </w:r>
      <w:r w:rsidR="00E5321A" w:rsidRPr="00615894">
        <w:rPr>
          <w:noProof/>
          <w:lang w:val="fr-CA"/>
        </w:rPr>
        <w:t>La cour a refusé de radier les allégations et a laissé au juge saisi de la requête en homologation le soin de déterminer si les paragraphes contestés permettent d</w:t>
      </w:r>
      <w:r w:rsidR="00602BF2">
        <w:rPr>
          <w:noProof/>
          <w:lang w:val="fr-CA"/>
        </w:rPr>
        <w:t>’</w:t>
      </w:r>
      <w:r w:rsidR="00E5321A" w:rsidRPr="00615894">
        <w:rPr>
          <w:noProof/>
          <w:lang w:val="fr-CA"/>
        </w:rPr>
        <w:t>établir les modalités de l</w:t>
      </w:r>
      <w:r w:rsidR="00602BF2">
        <w:rPr>
          <w:noProof/>
          <w:lang w:val="fr-CA"/>
        </w:rPr>
        <w:t>’</w:t>
      </w:r>
      <w:r w:rsidR="00E5321A" w:rsidRPr="00615894">
        <w:rPr>
          <w:noProof/>
          <w:lang w:val="fr-CA"/>
        </w:rPr>
        <w:t>entente, auquel cas l</w:t>
      </w:r>
      <w:r w:rsidR="00602BF2">
        <w:rPr>
          <w:noProof/>
          <w:lang w:val="fr-CA"/>
        </w:rPr>
        <w:t>’</w:t>
      </w:r>
      <w:r w:rsidR="00E5321A" w:rsidRPr="00615894">
        <w:rPr>
          <w:noProof/>
          <w:lang w:val="fr-CA"/>
        </w:rPr>
        <w:t>exception au privilège relatif aux règlements de la common law doit s</w:t>
      </w:r>
      <w:r w:rsidR="00602BF2">
        <w:rPr>
          <w:noProof/>
          <w:lang w:val="fr-CA"/>
        </w:rPr>
        <w:t>’</w:t>
      </w:r>
      <w:r w:rsidR="00E5321A" w:rsidRPr="00615894">
        <w:rPr>
          <w:noProof/>
          <w:lang w:val="fr-CA"/>
        </w:rPr>
        <w:t>appliquer.</w:t>
      </w:r>
    </w:p>
    <w:p w:rsidR="004D7D95" w:rsidRPr="00615894" w:rsidRDefault="00540709" w:rsidP="00A0307B">
      <w:pPr>
        <w:pStyle w:val="SCCNormalDoubleSpacing"/>
        <w:spacing w:after="480"/>
        <w:rPr>
          <w:lang w:val="fr-CA"/>
        </w:rPr>
      </w:pPr>
      <w:r w:rsidRPr="00615894">
        <w:rPr>
          <w:lang w:val="fr-CA"/>
        </w:rPr>
        <w:tab/>
      </w:r>
      <w:r w:rsidR="004D7D95" w:rsidRPr="00615894">
        <w:rPr>
          <w:i/>
          <w:lang w:val="fr-CA"/>
        </w:rPr>
        <w:t>Arrêt</w:t>
      </w:r>
      <w:r w:rsidR="00A40680" w:rsidRPr="00615894">
        <w:rPr>
          <w:lang w:val="fr-CA"/>
        </w:rPr>
        <w:t> :</w:t>
      </w:r>
      <w:r w:rsidR="004D7D95" w:rsidRPr="00615894">
        <w:rPr>
          <w:lang w:val="fr-CA"/>
        </w:rPr>
        <w:t xml:space="preserve"> Le pourvoi est</w:t>
      </w:r>
      <w:r w:rsidRPr="00615894">
        <w:rPr>
          <w:lang w:val="fr-CA"/>
        </w:rPr>
        <w:t xml:space="preserve"> rejeté.</w:t>
      </w:r>
    </w:p>
    <w:p w:rsidR="00D465BF" w:rsidRPr="00615894" w:rsidRDefault="00540709" w:rsidP="00A0307B">
      <w:pPr>
        <w:pStyle w:val="SCCNormalDoubleSpacing"/>
        <w:spacing w:after="480"/>
        <w:rPr>
          <w:noProof/>
          <w:lang w:val="fr-CA"/>
        </w:rPr>
      </w:pPr>
      <w:r w:rsidRPr="00615894">
        <w:rPr>
          <w:lang w:val="fr-CA"/>
        </w:rPr>
        <w:lastRenderedPageBreak/>
        <w:tab/>
      </w:r>
      <w:r w:rsidRPr="00615894">
        <w:rPr>
          <w:noProof/>
          <w:lang w:val="fr-CA"/>
        </w:rPr>
        <w:t>En common law, le privilège relatif aux règlements est une règle de preuve qui protège les communications échangées entre des parties qui tentent de régler un différend.  Il s</w:t>
      </w:r>
      <w:r w:rsidR="00602BF2">
        <w:rPr>
          <w:noProof/>
          <w:lang w:val="fr-CA"/>
        </w:rPr>
        <w:t>’</w:t>
      </w:r>
      <w:r w:rsidRPr="00615894">
        <w:rPr>
          <w:noProof/>
          <w:lang w:val="fr-CA"/>
        </w:rPr>
        <w:t>applique même en l</w:t>
      </w:r>
      <w:r w:rsidR="00602BF2">
        <w:rPr>
          <w:noProof/>
          <w:lang w:val="fr-CA"/>
        </w:rPr>
        <w:t>’</w:t>
      </w:r>
      <w:r w:rsidRPr="00615894">
        <w:rPr>
          <w:noProof/>
          <w:lang w:val="fr-CA"/>
        </w:rPr>
        <w:t xml:space="preserve">absence de dispositions législatives ou contractuelles concernant la confidentialité.  La règle favorise les discussions franches et ouvertes entre les parties, ce qui </w:t>
      </w:r>
      <w:r w:rsidR="005A3D32" w:rsidRPr="00615894">
        <w:rPr>
          <w:noProof/>
          <w:lang w:val="fr-CA"/>
        </w:rPr>
        <w:t xml:space="preserve">peut </w:t>
      </w:r>
      <w:r w:rsidRPr="00615894">
        <w:rPr>
          <w:noProof/>
          <w:lang w:val="fr-CA"/>
        </w:rPr>
        <w:t>facilite</w:t>
      </w:r>
      <w:r w:rsidR="005A3D32" w:rsidRPr="00615894">
        <w:rPr>
          <w:noProof/>
          <w:lang w:val="fr-CA"/>
        </w:rPr>
        <w:t>r</w:t>
      </w:r>
      <w:r w:rsidRPr="00615894">
        <w:rPr>
          <w:noProof/>
          <w:lang w:val="fr-CA"/>
        </w:rPr>
        <w:t xml:space="preserve"> le règlement du différend.  Toutefois, </w:t>
      </w:r>
      <w:r w:rsidR="00D465BF" w:rsidRPr="00615894">
        <w:rPr>
          <w:noProof/>
          <w:lang w:val="fr-CA"/>
        </w:rPr>
        <w:t xml:space="preserve">une communication </w:t>
      </w:r>
      <w:r w:rsidR="005A3D32" w:rsidRPr="00615894">
        <w:rPr>
          <w:noProof/>
          <w:lang w:val="fr-CA"/>
        </w:rPr>
        <w:t xml:space="preserve">qui a conduit à un règlement </w:t>
      </w:r>
      <w:r w:rsidR="00D465BF" w:rsidRPr="00615894">
        <w:rPr>
          <w:noProof/>
          <w:lang w:val="fr-CA"/>
        </w:rPr>
        <w:t>cesse d</w:t>
      </w:r>
      <w:r w:rsidR="00602BF2">
        <w:rPr>
          <w:noProof/>
          <w:lang w:val="fr-CA"/>
        </w:rPr>
        <w:t>’</w:t>
      </w:r>
      <w:r w:rsidR="00D465BF" w:rsidRPr="00615894">
        <w:rPr>
          <w:noProof/>
          <w:lang w:val="fr-CA"/>
        </w:rPr>
        <w:t>être privilégiée si sa divulgation est nécessaire pour prouver l</w:t>
      </w:r>
      <w:r w:rsidR="00602BF2">
        <w:rPr>
          <w:noProof/>
          <w:lang w:val="fr-CA"/>
        </w:rPr>
        <w:t>’</w:t>
      </w:r>
      <w:r w:rsidR="00D465BF" w:rsidRPr="00615894">
        <w:rPr>
          <w:noProof/>
          <w:lang w:val="fr-CA"/>
        </w:rPr>
        <w:t>existence ou la portée du règlement.  Ce privilège de la common law et son exception font partie du droit civil du Québec, lequel s</w:t>
      </w:r>
      <w:r w:rsidR="00602BF2">
        <w:rPr>
          <w:noProof/>
          <w:lang w:val="fr-CA"/>
        </w:rPr>
        <w:t>’</w:t>
      </w:r>
      <w:r w:rsidR="00D465BF" w:rsidRPr="00615894">
        <w:rPr>
          <w:noProof/>
          <w:lang w:val="fr-CA"/>
        </w:rPr>
        <w:t>applique en l</w:t>
      </w:r>
      <w:r w:rsidR="00602BF2">
        <w:rPr>
          <w:noProof/>
          <w:lang w:val="fr-CA"/>
        </w:rPr>
        <w:t>’</w:t>
      </w:r>
      <w:r w:rsidR="00D465BF" w:rsidRPr="00615894">
        <w:rPr>
          <w:noProof/>
          <w:lang w:val="fr-CA"/>
        </w:rPr>
        <w:t xml:space="preserve">espèce. </w:t>
      </w:r>
    </w:p>
    <w:p w:rsidR="004D7D95" w:rsidRPr="00615894" w:rsidRDefault="00D465BF" w:rsidP="00A0307B">
      <w:pPr>
        <w:pStyle w:val="SCCNormalDoubleSpacing"/>
        <w:spacing w:after="480"/>
        <w:rPr>
          <w:noProof/>
          <w:lang w:val="fr-CA"/>
        </w:rPr>
      </w:pPr>
      <w:r w:rsidRPr="00615894">
        <w:rPr>
          <w:noProof/>
          <w:lang w:val="fr-CA"/>
        </w:rPr>
        <w:tab/>
        <w:t xml:space="preserve">La confidentialité constitue un aspect intrinsèque de la médiation en ce que les parties à ce processus discutent généralement de possibilités de règlement.  Pour cette raison, leurs communications sont protégées par le privilège relatif aux règlements de la common law.  Cependant, </w:t>
      </w:r>
      <w:r w:rsidR="00540709" w:rsidRPr="00615894">
        <w:rPr>
          <w:noProof/>
          <w:lang w:val="fr-CA"/>
        </w:rPr>
        <w:t>les parties peuvent par contrat se doter, en matière de confidentialité, d</w:t>
      </w:r>
      <w:r w:rsidR="00602BF2">
        <w:rPr>
          <w:noProof/>
          <w:lang w:val="fr-CA"/>
        </w:rPr>
        <w:t>’</w:t>
      </w:r>
      <w:r w:rsidR="00540709" w:rsidRPr="00615894">
        <w:rPr>
          <w:noProof/>
          <w:lang w:val="fr-CA"/>
        </w:rPr>
        <w:t>exigences supérieures à celles que l</w:t>
      </w:r>
      <w:r w:rsidRPr="00615894">
        <w:rPr>
          <w:noProof/>
          <w:lang w:val="fr-CA"/>
        </w:rPr>
        <w:t>eur offre c</w:t>
      </w:r>
      <w:r w:rsidR="00540709" w:rsidRPr="00615894">
        <w:rPr>
          <w:noProof/>
          <w:lang w:val="fr-CA"/>
        </w:rPr>
        <w:t>e privilège</w:t>
      </w:r>
      <w:r w:rsidRPr="00615894">
        <w:rPr>
          <w:noProof/>
          <w:lang w:val="fr-CA"/>
        </w:rPr>
        <w:t xml:space="preserve">.  </w:t>
      </w:r>
      <w:r w:rsidR="00503AB1" w:rsidRPr="00615894">
        <w:rPr>
          <w:noProof/>
          <w:lang w:val="fr-CA"/>
        </w:rPr>
        <w:t>Le privilège relatif aux règlements et la clause de confidentialité sont différents et peuvent parfois entrer en conflit.  L</w:t>
      </w:r>
      <w:r w:rsidR="00602BF2">
        <w:rPr>
          <w:noProof/>
          <w:lang w:val="fr-CA"/>
        </w:rPr>
        <w:t>’</w:t>
      </w:r>
      <w:r w:rsidR="00503AB1" w:rsidRPr="00615894">
        <w:rPr>
          <w:noProof/>
          <w:lang w:val="fr-CA"/>
        </w:rPr>
        <w:t>un est une règle de preuve, l</w:t>
      </w:r>
      <w:r w:rsidR="00602BF2">
        <w:rPr>
          <w:noProof/>
          <w:lang w:val="fr-CA"/>
        </w:rPr>
        <w:t>’</w:t>
      </w:r>
      <w:r w:rsidR="00503AB1" w:rsidRPr="00615894">
        <w:rPr>
          <w:noProof/>
          <w:lang w:val="fr-CA"/>
        </w:rPr>
        <w:t>autre est une entente exécutoire; la portée de la protection qu</w:t>
      </w:r>
      <w:r w:rsidR="00602BF2">
        <w:rPr>
          <w:noProof/>
          <w:lang w:val="fr-CA"/>
        </w:rPr>
        <w:t>’</w:t>
      </w:r>
      <w:r w:rsidR="00503AB1" w:rsidRPr="00615894">
        <w:rPr>
          <w:noProof/>
          <w:lang w:val="fr-CA"/>
        </w:rPr>
        <w:t>ils offrent n</w:t>
      </w:r>
      <w:r w:rsidR="00602BF2">
        <w:rPr>
          <w:noProof/>
          <w:lang w:val="fr-CA"/>
        </w:rPr>
        <w:t>’</w:t>
      </w:r>
      <w:r w:rsidR="00503AB1" w:rsidRPr="00615894">
        <w:rPr>
          <w:noProof/>
          <w:lang w:val="fr-CA"/>
        </w:rPr>
        <w:t>est pas la même, et les conséquences en cas de manquement ne sont pas nécessairement les mêmes.  Même si le fait de permettre aux parties de contracter librement en vue de renforcer la protection de la confidentialité facilite la réalisation de l</w:t>
      </w:r>
      <w:r w:rsidR="00602BF2">
        <w:rPr>
          <w:noProof/>
          <w:lang w:val="fr-CA"/>
        </w:rPr>
        <w:t>’</w:t>
      </w:r>
      <w:r w:rsidR="00503AB1" w:rsidRPr="00615894">
        <w:rPr>
          <w:noProof/>
          <w:lang w:val="fr-CA"/>
        </w:rPr>
        <w:t>important objectif public qui consiste à favoriser les règlements extrajudiciaires, le fait d</w:t>
      </w:r>
      <w:r w:rsidR="00602BF2">
        <w:rPr>
          <w:noProof/>
          <w:lang w:val="fr-CA"/>
        </w:rPr>
        <w:t>’</w:t>
      </w:r>
      <w:r w:rsidR="00503AB1" w:rsidRPr="00615894">
        <w:rPr>
          <w:noProof/>
          <w:lang w:val="fr-CA"/>
        </w:rPr>
        <w:t>écarter par contrat l</w:t>
      </w:r>
      <w:r w:rsidR="00602BF2">
        <w:rPr>
          <w:noProof/>
          <w:lang w:val="fr-CA"/>
        </w:rPr>
        <w:t>’</w:t>
      </w:r>
      <w:r w:rsidR="00503AB1" w:rsidRPr="00615894">
        <w:rPr>
          <w:noProof/>
          <w:lang w:val="fr-CA"/>
        </w:rPr>
        <w:t>exception au privilège relatif aux règlements qui s</w:t>
      </w:r>
      <w:r w:rsidR="00602BF2">
        <w:rPr>
          <w:noProof/>
          <w:lang w:val="fr-CA"/>
        </w:rPr>
        <w:t>’</w:t>
      </w:r>
      <w:r w:rsidR="00503AB1" w:rsidRPr="00615894">
        <w:rPr>
          <w:noProof/>
          <w:lang w:val="fr-CA"/>
        </w:rPr>
        <w:t>applique lorsqu</w:t>
      </w:r>
      <w:r w:rsidR="00602BF2">
        <w:rPr>
          <w:noProof/>
          <w:lang w:val="fr-CA"/>
        </w:rPr>
        <w:t>’</w:t>
      </w:r>
      <w:r w:rsidR="00503AB1" w:rsidRPr="00615894">
        <w:rPr>
          <w:noProof/>
          <w:lang w:val="fr-CA"/>
        </w:rPr>
        <w:t xml:space="preserve">une personne </w:t>
      </w:r>
      <w:r w:rsidR="00503AB1" w:rsidRPr="00615894">
        <w:rPr>
          <w:noProof/>
          <w:lang w:val="fr-CA"/>
        </w:rPr>
        <w:lastRenderedPageBreak/>
        <w:t>cherche à prouver les modalités d</w:t>
      </w:r>
      <w:r w:rsidR="00602BF2">
        <w:rPr>
          <w:noProof/>
          <w:lang w:val="fr-CA"/>
        </w:rPr>
        <w:t>’</w:t>
      </w:r>
      <w:r w:rsidR="00503AB1" w:rsidRPr="00615894">
        <w:rPr>
          <w:noProof/>
          <w:lang w:val="fr-CA"/>
        </w:rPr>
        <w:t>un règlement</w:t>
      </w:r>
      <w:r w:rsidR="0052194A" w:rsidRPr="00615894">
        <w:rPr>
          <w:noProof/>
          <w:lang w:val="fr-CA"/>
        </w:rPr>
        <w:t xml:space="preserve"> peut empêcher les parties d</w:t>
      </w:r>
      <w:r w:rsidR="00602BF2">
        <w:rPr>
          <w:noProof/>
          <w:lang w:val="fr-CA"/>
        </w:rPr>
        <w:t>’</w:t>
      </w:r>
      <w:r w:rsidR="0052194A" w:rsidRPr="00615894">
        <w:rPr>
          <w:noProof/>
          <w:lang w:val="fr-CA"/>
        </w:rPr>
        <w:t>exiger le respect des modalités d</w:t>
      </w:r>
      <w:r w:rsidR="00602BF2">
        <w:rPr>
          <w:noProof/>
          <w:lang w:val="fr-CA"/>
        </w:rPr>
        <w:t>’</w:t>
      </w:r>
      <w:r w:rsidR="0052194A" w:rsidRPr="00615894">
        <w:rPr>
          <w:noProof/>
          <w:lang w:val="fr-CA"/>
        </w:rPr>
        <w:t>un règlement négocié.</w:t>
      </w:r>
    </w:p>
    <w:p w:rsidR="0052194A" w:rsidRPr="00615894" w:rsidRDefault="0052194A" w:rsidP="00A0307B">
      <w:pPr>
        <w:pStyle w:val="SCCNormalDoubleSpacing"/>
        <w:spacing w:after="480"/>
        <w:rPr>
          <w:noProof/>
          <w:lang w:val="fr-CA"/>
        </w:rPr>
      </w:pPr>
      <w:r w:rsidRPr="00615894">
        <w:rPr>
          <w:noProof/>
          <w:lang w:val="fr-CA"/>
        </w:rPr>
        <w:tab/>
        <w:t>Afin de déterminer si une clause de confidentialité absolue d</w:t>
      </w:r>
      <w:r w:rsidR="00602BF2">
        <w:rPr>
          <w:noProof/>
          <w:lang w:val="fr-CA"/>
        </w:rPr>
        <w:t>’</w:t>
      </w:r>
      <w:r w:rsidRPr="00615894">
        <w:rPr>
          <w:noProof/>
          <w:lang w:val="fr-CA"/>
        </w:rPr>
        <w:t>une entente de médiation a pour effet d</w:t>
      </w:r>
      <w:r w:rsidR="00602BF2">
        <w:rPr>
          <w:noProof/>
          <w:lang w:val="fr-CA"/>
        </w:rPr>
        <w:t>’</w:t>
      </w:r>
      <w:r w:rsidRPr="00615894">
        <w:rPr>
          <w:noProof/>
          <w:lang w:val="fr-CA"/>
        </w:rPr>
        <w:t>écarter l</w:t>
      </w:r>
      <w:r w:rsidR="00602BF2">
        <w:rPr>
          <w:noProof/>
          <w:lang w:val="fr-CA"/>
        </w:rPr>
        <w:t>’</w:t>
      </w:r>
      <w:r w:rsidRPr="00615894">
        <w:rPr>
          <w:noProof/>
          <w:lang w:val="fr-CA"/>
        </w:rPr>
        <w:t>exception au privilège relatif aux règlements que prévoit la common law, l</w:t>
      </w:r>
      <w:r w:rsidR="00602BF2">
        <w:rPr>
          <w:noProof/>
          <w:lang w:val="fr-CA"/>
        </w:rPr>
        <w:t>’</w:t>
      </w:r>
      <w:r w:rsidRPr="00615894">
        <w:rPr>
          <w:noProof/>
          <w:lang w:val="fr-CA"/>
        </w:rPr>
        <w:t>analyse doit débuter par l</w:t>
      </w:r>
      <w:r w:rsidR="00602BF2">
        <w:rPr>
          <w:noProof/>
          <w:lang w:val="fr-CA"/>
        </w:rPr>
        <w:t>’</w:t>
      </w:r>
      <w:r w:rsidRPr="00615894">
        <w:rPr>
          <w:noProof/>
          <w:lang w:val="fr-CA"/>
        </w:rPr>
        <w:t xml:space="preserve">interprétation du contrat.  Il faut se demander si la clause de confidentialité entre effectivement en conflit avec le privilège relatif aux règlements ou avec ses exceptions reconnues.  Lorsque les parties concluent un contrat qui leur assure </w:t>
      </w:r>
      <w:r w:rsidR="00641539" w:rsidRPr="00615894">
        <w:rPr>
          <w:noProof/>
          <w:lang w:val="fr-CA"/>
        </w:rPr>
        <w:t xml:space="preserve">en matière de confidentialité </w:t>
      </w:r>
      <w:r w:rsidRPr="00615894">
        <w:rPr>
          <w:noProof/>
          <w:lang w:val="fr-CA"/>
        </w:rPr>
        <w:t>une protection supérieure à celle qu</w:t>
      </w:r>
      <w:r w:rsidR="00602BF2">
        <w:rPr>
          <w:noProof/>
          <w:lang w:val="fr-CA"/>
        </w:rPr>
        <w:t>’</w:t>
      </w:r>
      <w:r w:rsidRPr="00615894">
        <w:rPr>
          <w:noProof/>
          <w:lang w:val="fr-CA"/>
        </w:rPr>
        <w:t>offre la common law, il y a lieu à première vue de confirmer leur volonté, sous réserve de préoccupations concernant la fraude ou l</w:t>
      </w:r>
      <w:r w:rsidR="00602BF2">
        <w:rPr>
          <w:noProof/>
          <w:lang w:val="fr-CA"/>
        </w:rPr>
        <w:t>’</w:t>
      </w:r>
      <w:r w:rsidRPr="00615894">
        <w:rPr>
          <w:noProof/>
          <w:lang w:val="fr-CA"/>
        </w:rPr>
        <w:t xml:space="preserve">illégalité.  </w:t>
      </w:r>
      <w:r w:rsidR="00694418" w:rsidRPr="00615894">
        <w:rPr>
          <w:noProof/>
          <w:lang w:val="fr-CA"/>
        </w:rPr>
        <w:t>Cependant, le simple fait de signer une entente de médiation assortie d</w:t>
      </w:r>
      <w:r w:rsidR="00602BF2">
        <w:rPr>
          <w:noProof/>
          <w:lang w:val="fr-CA"/>
        </w:rPr>
        <w:t>’</w:t>
      </w:r>
      <w:r w:rsidR="00694418" w:rsidRPr="00615894">
        <w:rPr>
          <w:noProof/>
          <w:lang w:val="fr-CA"/>
        </w:rPr>
        <w:t>une clause de confidentialité n</w:t>
      </w:r>
      <w:r w:rsidR="00602BF2">
        <w:rPr>
          <w:noProof/>
          <w:lang w:val="fr-CA"/>
        </w:rPr>
        <w:t>’</w:t>
      </w:r>
      <w:r w:rsidR="00694418" w:rsidRPr="00615894">
        <w:rPr>
          <w:noProof/>
          <w:lang w:val="fr-CA"/>
        </w:rPr>
        <w:t>écarte pas automatiquement le privilège et ses exceptions.  Lorsqu</w:t>
      </w:r>
      <w:r w:rsidR="00602BF2">
        <w:rPr>
          <w:noProof/>
          <w:lang w:val="fr-CA"/>
        </w:rPr>
        <w:t>’</w:t>
      </w:r>
      <w:r w:rsidR="00694418" w:rsidRPr="00615894">
        <w:rPr>
          <w:noProof/>
          <w:lang w:val="fr-CA"/>
        </w:rPr>
        <w:t>une entente pourrait avoir pour effet d</w:t>
      </w:r>
      <w:r w:rsidR="00602BF2">
        <w:rPr>
          <w:noProof/>
          <w:lang w:val="fr-CA"/>
        </w:rPr>
        <w:t>’</w:t>
      </w:r>
      <w:r w:rsidR="00694418" w:rsidRPr="00615894">
        <w:rPr>
          <w:noProof/>
          <w:lang w:val="fr-CA"/>
        </w:rPr>
        <w:t>empêcher l</w:t>
      </w:r>
      <w:r w:rsidR="00602BF2">
        <w:rPr>
          <w:noProof/>
          <w:lang w:val="fr-CA"/>
        </w:rPr>
        <w:t>’</w:t>
      </w:r>
      <w:r w:rsidR="00694418" w:rsidRPr="00615894">
        <w:rPr>
          <w:noProof/>
          <w:lang w:val="fr-CA"/>
        </w:rPr>
        <w:t>application d</w:t>
      </w:r>
      <w:r w:rsidR="00602BF2">
        <w:rPr>
          <w:noProof/>
          <w:lang w:val="fr-CA"/>
        </w:rPr>
        <w:t>’</w:t>
      </w:r>
      <w:r w:rsidR="00694418" w:rsidRPr="00615894">
        <w:rPr>
          <w:noProof/>
          <w:lang w:val="fr-CA"/>
        </w:rPr>
        <w:t>une exception reconnue au privilège relatif aux règlements, elle doit l</w:t>
      </w:r>
      <w:r w:rsidR="00602BF2">
        <w:rPr>
          <w:noProof/>
          <w:lang w:val="fr-CA"/>
        </w:rPr>
        <w:t>’</w:t>
      </w:r>
      <w:r w:rsidR="00694418" w:rsidRPr="00615894">
        <w:rPr>
          <w:noProof/>
          <w:lang w:val="fr-CA"/>
        </w:rPr>
        <w:t xml:space="preserve">exprimer clairement.  </w:t>
      </w:r>
    </w:p>
    <w:p w:rsidR="00694418" w:rsidRPr="00615894" w:rsidRDefault="00694418" w:rsidP="00A0307B">
      <w:pPr>
        <w:pStyle w:val="SCCNormalDoubleSpacing"/>
        <w:spacing w:after="480"/>
        <w:rPr>
          <w:lang w:val="fr-CA"/>
        </w:rPr>
      </w:pPr>
      <w:r w:rsidRPr="00615894">
        <w:rPr>
          <w:noProof/>
          <w:lang w:val="fr-CA"/>
        </w:rPr>
        <w:tab/>
        <w:t>En l</w:t>
      </w:r>
      <w:r w:rsidR="00602BF2">
        <w:rPr>
          <w:noProof/>
          <w:lang w:val="fr-CA"/>
        </w:rPr>
        <w:t>’</w:t>
      </w:r>
      <w:r w:rsidRPr="00615894">
        <w:rPr>
          <w:noProof/>
          <w:lang w:val="fr-CA"/>
        </w:rPr>
        <w:t>espèce, le contrat de médiation montre de toute évidence une intention commune des parties de respecter le caractère confidentiel de tout ce qui peut être dit ou écrit au cours de la médiation.  Cependant, la nature du contrat, les circonstances dans lesquelles il a été concl</w:t>
      </w:r>
      <w:r w:rsidR="00641539" w:rsidRPr="00615894">
        <w:rPr>
          <w:noProof/>
          <w:lang w:val="fr-CA"/>
        </w:rPr>
        <w:t>u</w:t>
      </w:r>
      <w:r w:rsidRPr="00615894">
        <w:rPr>
          <w:noProof/>
          <w:lang w:val="fr-CA"/>
        </w:rPr>
        <w:t>, ainsi que le contrat dans son ensemble révèlent que les parties n</w:t>
      </w:r>
      <w:r w:rsidR="00602BF2">
        <w:rPr>
          <w:noProof/>
          <w:lang w:val="fr-CA"/>
        </w:rPr>
        <w:t>’</w:t>
      </w:r>
      <w:r w:rsidRPr="00615894">
        <w:rPr>
          <w:noProof/>
          <w:lang w:val="fr-CA"/>
        </w:rPr>
        <w:t>avaient pas l</w:t>
      </w:r>
      <w:r w:rsidR="00602BF2">
        <w:rPr>
          <w:noProof/>
          <w:lang w:val="fr-CA"/>
        </w:rPr>
        <w:t>’</w:t>
      </w:r>
      <w:r w:rsidRPr="00615894">
        <w:rPr>
          <w:noProof/>
          <w:lang w:val="fr-CA"/>
        </w:rPr>
        <w:t xml:space="preserve">intention de passer outre à la règle habituelle voulant que le privilège relatif aux règlements soit écarté afin de faire la preuve des </w:t>
      </w:r>
      <w:r w:rsidRPr="00615894">
        <w:rPr>
          <w:noProof/>
          <w:lang w:val="fr-CA"/>
        </w:rPr>
        <w:lastRenderedPageBreak/>
        <w:t>modalités d</w:t>
      </w:r>
      <w:r w:rsidR="00602BF2">
        <w:rPr>
          <w:noProof/>
          <w:lang w:val="fr-CA"/>
        </w:rPr>
        <w:t>’</w:t>
      </w:r>
      <w:r w:rsidRPr="00615894">
        <w:rPr>
          <w:noProof/>
          <w:lang w:val="fr-CA"/>
        </w:rPr>
        <w:t>un règlement.  L</w:t>
      </w:r>
      <w:r w:rsidR="00602BF2">
        <w:rPr>
          <w:noProof/>
          <w:lang w:val="fr-CA"/>
        </w:rPr>
        <w:t>’</w:t>
      </w:r>
      <w:r w:rsidRPr="00615894">
        <w:rPr>
          <w:noProof/>
          <w:lang w:val="fr-CA"/>
        </w:rPr>
        <w:t xml:space="preserve">entente de médiation a été signée la veille de la séance de médiation </w:t>
      </w:r>
      <w:r w:rsidR="00E85342" w:rsidRPr="00615894">
        <w:rPr>
          <w:noProof/>
          <w:lang w:val="fr-CA"/>
        </w:rPr>
        <w:t xml:space="preserve">et </w:t>
      </w:r>
      <w:r w:rsidRPr="00615894">
        <w:rPr>
          <w:noProof/>
          <w:lang w:val="fr-CA"/>
        </w:rPr>
        <w:t>visa</w:t>
      </w:r>
      <w:r w:rsidR="00E85342" w:rsidRPr="00615894">
        <w:rPr>
          <w:noProof/>
          <w:lang w:val="fr-CA"/>
        </w:rPr>
        <w:t>i</w:t>
      </w:r>
      <w:r w:rsidRPr="00615894">
        <w:rPr>
          <w:noProof/>
          <w:lang w:val="fr-CA"/>
        </w:rPr>
        <w:t xml:space="preserve">t apparemment à régler </w:t>
      </w:r>
      <w:r w:rsidR="00E85342" w:rsidRPr="00615894">
        <w:rPr>
          <w:noProof/>
          <w:lang w:val="fr-CA"/>
        </w:rPr>
        <w:t>un</w:t>
      </w:r>
      <w:r w:rsidRPr="00615894">
        <w:rPr>
          <w:noProof/>
          <w:lang w:val="fr-CA"/>
        </w:rPr>
        <w:t xml:space="preserve"> différend</w:t>
      </w:r>
      <w:r w:rsidR="00E85342" w:rsidRPr="00615894">
        <w:rPr>
          <w:noProof/>
          <w:lang w:val="fr-CA"/>
        </w:rPr>
        <w:t>.  Il s</w:t>
      </w:r>
      <w:r w:rsidR="00602BF2">
        <w:rPr>
          <w:noProof/>
          <w:lang w:val="fr-CA"/>
        </w:rPr>
        <w:t>’</w:t>
      </w:r>
      <w:r w:rsidR="00E85342" w:rsidRPr="00615894">
        <w:rPr>
          <w:noProof/>
          <w:lang w:val="fr-CA"/>
        </w:rPr>
        <w:t>agissait d</w:t>
      </w:r>
      <w:r w:rsidR="00602BF2">
        <w:rPr>
          <w:noProof/>
          <w:lang w:val="fr-CA"/>
        </w:rPr>
        <w:t>’</w:t>
      </w:r>
      <w:r w:rsidR="00E85342" w:rsidRPr="00615894">
        <w:rPr>
          <w:noProof/>
          <w:lang w:val="fr-CA"/>
        </w:rPr>
        <w:t>un contrat type fourni par le médiateur et ni l</w:t>
      </w:r>
      <w:r w:rsidR="00602BF2">
        <w:rPr>
          <w:noProof/>
          <w:lang w:val="fr-CA"/>
        </w:rPr>
        <w:t>’</w:t>
      </w:r>
      <w:r w:rsidR="00E85342" w:rsidRPr="00615894">
        <w:rPr>
          <w:noProof/>
          <w:lang w:val="fr-CA"/>
        </w:rPr>
        <w:t>une ni l</w:t>
      </w:r>
      <w:r w:rsidR="00602BF2">
        <w:rPr>
          <w:noProof/>
          <w:lang w:val="fr-CA"/>
        </w:rPr>
        <w:t>’</w:t>
      </w:r>
      <w:r w:rsidR="00E85342" w:rsidRPr="00615894">
        <w:rPr>
          <w:noProof/>
          <w:lang w:val="fr-CA"/>
        </w:rPr>
        <w:t>autre des parties ne l</w:t>
      </w:r>
      <w:r w:rsidR="00602BF2">
        <w:rPr>
          <w:noProof/>
          <w:lang w:val="fr-CA"/>
        </w:rPr>
        <w:t>’</w:t>
      </w:r>
      <w:r w:rsidR="00E85342" w:rsidRPr="00615894">
        <w:rPr>
          <w:noProof/>
          <w:lang w:val="fr-CA"/>
        </w:rPr>
        <w:t>a modifié ni n</w:t>
      </w:r>
      <w:r w:rsidR="00602BF2">
        <w:rPr>
          <w:noProof/>
          <w:lang w:val="fr-CA"/>
        </w:rPr>
        <w:t>’</w:t>
      </w:r>
      <w:r w:rsidR="00E85342" w:rsidRPr="00615894">
        <w:rPr>
          <w:noProof/>
          <w:lang w:val="fr-CA"/>
        </w:rPr>
        <w:t>y a ajouté des dispositions concernant la confidentialité.  Rien n</w:t>
      </w:r>
      <w:r w:rsidR="00602BF2">
        <w:rPr>
          <w:noProof/>
          <w:lang w:val="fr-CA"/>
        </w:rPr>
        <w:t>’</w:t>
      </w:r>
      <w:r w:rsidR="00E85342" w:rsidRPr="00615894">
        <w:rPr>
          <w:noProof/>
          <w:lang w:val="fr-CA"/>
        </w:rPr>
        <w:t>indique que les parties estimaient qu</w:t>
      </w:r>
      <w:r w:rsidR="00602BF2">
        <w:rPr>
          <w:noProof/>
          <w:lang w:val="fr-CA"/>
        </w:rPr>
        <w:t>’</w:t>
      </w:r>
      <w:r w:rsidR="00E85342" w:rsidRPr="00615894">
        <w:rPr>
          <w:noProof/>
          <w:lang w:val="fr-CA"/>
        </w:rPr>
        <w:t>elles écartaient le privilège relatif aux règlements qui s</w:t>
      </w:r>
      <w:r w:rsidR="00602BF2">
        <w:rPr>
          <w:noProof/>
          <w:lang w:val="fr-CA"/>
        </w:rPr>
        <w:t>’</w:t>
      </w:r>
      <w:r w:rsidR="00E85342" w:rsidRPr="00615894">
        <w:rPr>
          <w:noProof/>
          <w:lang w:val="fr-CA"/>
        </w:rPr>
        <w:t>applique habituellement.  En l</w:t>
      </w:r>
      <w:r w:rsidR="00602BF2">
        <w:rPr>
          <w:noProof/>
          <w:lang w:val="fr-CA"/>
        </w:rPr>
        <w:t>’</w:t>
      </w:r>
      <w:r w:rsidR="00E85342" w:rsidRPr="00615894">
        <w:rPr>
          <w:noProof/>
          <w:lang w:val="fr-CA"/>
        </w:rPr>
        <w:t>absence d</w:t>
      </w:r>
      <w:r w:rsidR="00602BF2">
        <w:rPr>
          <w:noProof/>
          <w:lang w:val="fr-CA"/>
        </w:rPr>
        <w:t>’</w:t>
      </w:r>
      <w:r w:rsidR="00E85342" w:rsidRPr="00615894">
        <w:rPr>
          <w:noProof/>
          <w:lang w:val="fr-CA"/>
        </w:rPr>
        <w:t xml:space="preserve">une disposition expresse à cet égard, il est déraisonnable de supposer que des parties qui ont consenti à une médiation dans le but de parvenir à un règlement renonceraient à leur droit de faire la preuve des modalités du règlement.  En conséquence, dans le cadre de la requête en homologation, les parties peuvent produire </w:t>
      </w:r>
      <w:r w:rsidR="007B635D" w:rsidRPr="00615894">
        <w:rPr>
          <w:noProof/>
          <w:lang w:val="fr-CA"/>
        </w:rPr>
        <w:t>des</w:t>
      </w:r>
      <w:r w:rsidR="00E85342" w:rsidRPr="00615894">
        <w:rPr>
          <w:noProof/>
          <w:lang w:val="fr-CA"/>
        </w:rPr>
        <w:t xml:space="preserve"> éléments de preuve dans la mesure où ils sont nécessaires pour prouver les modalités du règlement.  </w:t>
      </w:r>
      <w:r w:rsidR="007B635D" w:rsidRPr="00615894">
        <w:rPr>
          <w:noProof/>
          <w:lang w:val="fr-CA"/>
        </w:rPr>
        <w:t>S</w:t>
      </w:r>
      <w:r w:rsidR="00602BF2">
        <w:rPr>
          <w:noProof/>
          <w:lang w:val="fr-CA"/>
        </w:rPr>
        <w:t>’</w:t>
      </w:r>
      <w:r w:rsidR="007B635D" w:rsidRPr="00615894">
        <w:rPr>
          <w:noProof/>
          <w:lang w:val="fr-CA"/>
        </w:rPr>
        <w:t xml:space="preserve">il y a lieu de ne pas rendre accessibles au public des renseignements délicats, </w:t>
      </w:r>
      <w:r w:rsidR="00641539" w:rsidRPr="00615894">
        <w:rPr>
          <w:noProof/>
          <w:lang w:val="fr-CA"/>
        </w:rPr>
        <w:t>on pe</w:t>
      </w:r>
      <w:r w:rsidR="007B635D" w:rsidRPr="00615894">
        <w:rPr>
          <w:noProof/>
          <w:lang w:val="fr-CA"/>
        </w:rPr>
        <w:t>ut alors demander au juge saisi de la requête de prononcer une ordonnance de confidentialité et d</w:t>
      </w:r>
      <w:r w:rsidR="00602BF2">
        <w:rPr>
          <w:noProof/>
          <w:lang w:val="fr-CA"/>
        </w:rPr>
        <w:t>’</w:t>
      </w:r>
      <w:r w:rsidR="007B635D" w:rsidRPr="00615894">
        <w:rPr>
          <w:noProof/>
          <w:lang w:val="fr-CA"/>
        </w:rPr>
        <w:t>examiner ces éléments de preuve à huis clos.</w:t>
      </w:r>
    </w:p>
    <w:p w:rsidR="004D7D95" w:rsidRPr="00615894" w:rsidRDefault="004D7D95" w:rsidP="00A0307B">
      <w:pPr>
        <w:pStyle w:val="SCCNormalDoubleSpacing"/>
        <w:spacing w:after="480"/>
        <w:rPr>
          <w:b/>
          <w:lang w:val="fr-CA"/>
        </w:rPr>
      </w:pPr>
      <w:r w:rsidRPr="00615894">
        <w:rPr>
          <w:b/>
          <w:lang w:val="fr-CA"/>
        </w:rPr>
        <w:t>Jurisprudence</w:t>
      </w:r>
    </w:p>
    <w:p w:rsidR="00CF0ECD" w:rsidRPr="00615894" w:rsidRDefault="004D7D95" w:rsidP="00A0307B">
      <w:pPr>
        <w:pStyle w:val="SCCNormalDoubleSpacing"/>
        <w:spacing w:after="480"/>
        <w:rPr>
          <w:lang w:val="fr-CA"/>
        </w:rPr>
      </w:pPr>
      <w:r w:rsidRPr="00615894">
        <w:rPr>
          <w:lang w:val="fr-CA"/>
        </w:rPr>
        <w:tab/>
      </w:r>
      <w:r w:rsidR="0079529C" w:rsidRPr="00615894">
        <w:rPr>
          <w:b/>
          <w:lang w:val="fr-CA"/>
        </w:rPr>
        <w:t>A</w:t>
      </w:r>
      <w:r w:rsidR="0079529C" w:rsidRPr="00615894">
        <w:rPr>
          <w:b/>
          <w:szCs w:val="24"/>
          <w:lang w:val="fr-CA"/>
        </w:rPr>
        <w:t>rrêts appliqués</w:t>
      </w:r>
      <w:r w:rsidR="00A40680" w:rsidRPr="00615894">
        <w:rPr>
          <w:b/>
          <w:szCs w:val="24"/>
          <w:lang w:val="fr-CA"/>
        </w:rPr>
        <w:t> :</w:t>
      </w:r>
      <w:r w:rsidR="0079529C" w:rsidRPr="00615894">
        <w:rPr>
          <w:szCs w:val="24"/>
          <w:lang w:val="fr-CA"/>
        </w:rPr>
        <w:t xml:space="preserve"> </w:t>
      </w:r>
      <w:proofErr w:type="spellStart"/>
      <w:r w:rsidR="0079529C" w:rsidRPr="00615894">
        <w:rPr>
          <w:i/>
          <w:lang w:val="fr-CA"/>
        </w:rPr>
        <w:t>Sobeys</w:t>
      </w:r>
      <w:proofErr w:type="spellEnd"/>
      <w:r w:rsidR="0079529C" w:rsidRPr="00615894">
        <w:rPr>
          <w:i/>
          <w:lang w:val="fr-CA"/>
        </w:rPr>
        <w:t xml:space="preserve"> Québec </w:t>
      </w:r>
      <w:proofErr w:type="spellStart"/>
      <w:r w:rsidR="0079529C" w:rsidRPr="00615894">
        <w:rPr>
          <w:i/>
          <w:lang w:val="fr-CA"/>
        </w:rPr>
        <w:t>inc</w:t>
      </w:r>
      <w:proofErr w:type="spellEnd"/>
      <w:r w:rsidR="0079529C" w:rsidRPr="00615894">
        <w:rPr>
          <w:i/>
          <w:lang w:val="fr-CA"/>
        </w:rPr>
        <w:t>. c. Coopérative des consommateurs de Sainte</w:t>
      </w:r>
      <w:r w:rsidR="00A0307B">
        <w:rPr>
          <w:i/>
          <w:lang w:val="fr-CA"/>
        </w:rPr>
        <w:t>-</w:t>
      </w:r>
      <w:r w:rsidR="0079529C" w:rsidRPr="00615894">
        <w:rPr>
          <w:i/>
          <w:lang w:val="fr-CA"/>
        </w:rPr>
        <w:t>Foy</w:t>
      </w:r>
      <w:r w:rsidR="0079529C" w:rsidRPr="00615894">
        <w:rPr>
          <w:lang w:val="fr-CA"/>
        </w:rPr>
        <w:t xml:space="preserve">, 2005 QCCA 1172, [2006] R.J.Q. 100; </w:t>
      </w:r>
      <w:r w:rsidR="00123ECB">
        <w:rPr>
          <w:i/>
          <w:lang w:val="fr-CA"/>
        </w:rPr>
        <w:t>Qué</w:t>
      </w:r>
      <w:r w:rsidR="0079529C" w:rsidRPr="00615894">
        <w:rPr>
          <w:i/>
          <w:lang w:val="fr-CA"/>
        </w:rPr>
        <w:t xml:space="preserve">bec (Agence du revenu) c. Services Environnementaux AES </w:t>
      </w:r>
      <w:proofErr w:type="spellStart"/>
      <w:r w:rsidR="0079529C" w:rsidRPr="00615894">
        <w:rPr>
          <w:i/>
          <w:lang w:val="fr-CA"/>
        </w:rPr>
        <w:t>inc</w:t>
      </w:r>
      <w:proofErr w:type="spellEnd"/>
      <w:r w:rsidR="0079529C" w:rsidRPr="00615894">
        <w:rPr>
          <w:i/>
          <w:lang w:val="fr-CA"/>
        </w:rPr>
        <w:t>.</w:t>
      </w:r>
      <w:r w:rsidR="0079529C" w:rsidRPr="00615894">
        <w:rPr>
          <w:lang w:val="fr-CA"/>
        </w:rPr>
        <w:t xml:space="preserve">, 2013 CSC 65, [2013] 3 R.C.S. 838; </w:t>
      </w:r>
      <w:r w:rsidR="0079529C" w:rsidRPr="00615894">
        <w:rPr>
          <w:b/>
          <w:szCs w:val="24"/>
          <w:lang w:val="fr-CA"/>
        </w:rPr>
        <w:t>arrêts examinés</w:t>
      </w:r>
      <w:r w:rsidR="00A40680" w:rsidRPr="00615894">
        <w:rPr>
          <w:b/>
          <w:szCs w:val="24"/>
          <w:lang w:val="fr-CA"/>
        </w:rPr>
        <w:t> :</w:t>
      </w:r>
      <w:r w:rsidR="0079529C" w:rsidRPr="00615894">
        <w:rPr>
          <w:szCs w:val="24"/>
          <w:lang w:val="fr-CA"/>
        </w:rPr>
        <w:t xml:space="preserve"> </w:t>
      </w:r>
      <w:proofErr w:type="spellStart"/>
      <w:r w:rsidR="0079529C" w:rsidRPr="00615894">
        <w:rPr>
          <w:i/>
          <w:lang w:val="fr-CA"/>
        </w:rPr>
        <w:t>Slavutych</w:t>
      </w:r>
      <w:proofErr w:type="spellEnd"/>
      <w:r w:rsidR="0079529C" w:rsidRPr="00615894">
        <w:rPr>
          <w:i/>
          <w:lang w:val="fr-CA"/>
        </w:rPr>
        <w:t xml:space="preserve"> c. Baker</w:t>
      </w:r>
      <w:r w:rsidR="0079529C" w:rsidRPr="00615894">
        <w:rPr>
          <w:lang w:val="fr-CA"/>
        </w:rPr>
        <w:t xml:space="preserve">, [1976] 1 R.C.S. 254; </w:t>
      </w:r>
      <w:r w:rsidR="0079529C" w:rsidRPr="00615894">
        <w:rPr>
          <w:i/>
          <w:lang w:val="fr-CA"/>
        </w:rPr>
        <w:t>Sierra Club du Canada c. Canada (Ministre des Finances)</w:t>
      </w:r>
      <w:r w:rsidR="0079529C" w:rsidRPr="00615894">
        <w:rPr>
          <w:lang w:val="fr-CA"/>
        </w:rPr>
        <w:t xml:space="preserve">, 2002 CSC 41, [2002] 2 R.C.S. 522; </w:t>
      </w:r>
      <w:r w:rsidR="0079529C" w:rsidRPr="00615894">
        <w:rPr>
          <w:b/>
          <w:lang w:val="fr-CA"/>
        </w:rPr>
        <w:t>a</w:t>
      </w:r>
      <w:r w:rsidRPr="00615894">
        <w:rPr>
          <w:b/>
          <w:lang w:val="fr-CA"/>
        </w:rPr>
        <w:t>rrêts mentionnés</w:t>
      </w:r>
      <w:r w:rsidR="00A40680" w:rsidRPr="00615894">
        <w:rPr>
          <w:b/>
          <w:lang w:val="fr-CA"/>
        </w:rPr>
        <w:t> :</w:t>
      </w:r>
      <w:r w:rsidRPr="00615894">
        <w:rPr>
          <w:lang w:val="fr-CA"/>
        </w:rPr>
        <w:t xml:space="preserve"> </w:t>
      </w:r>
      <w:r w:rsidR="00CF0ECD" w:rsidRPr="00615894">
        <w:rPr>
          <w:i/>
          <w:lang w:val="fr-CA"/>
        </w:rPr>
        <w:t xml:space="preserve">Sable Offshore </w:t>
      </w:r>
      <w:proofErr w:type="spellStart"/>
      <w:r w:rsidR="00CF0ECD" w:rsidRPr="00615894">
        <w:rPr>
          <w:i/>
          <w:lang w:val="fr-CA"/>
        </w:rPr>
        <w:t>Energy</w:t>
      </w:r>
      <w:proofErr w:type="spellEnd"/>
      <w:r w:rsidR="00CF0ECD" w:rsidRPr="00615894">
        <w:rPr>
          <w:i/>
          <w:lang w:val="fr-CA"/>
        </w:rPr>
        <w:t xml:space="preserve"> Inc. c. </w:t>
      </w:r>
      <w:proofErr w:type="spellStart"/>
      <w:r w:rsidR="00CF0ECD" w:rsidRPr="00615894">
        <w:rPr>
          <w:i/>
          <w:lang w:val="fr-CA"/>
        </w:rPr>
        <w:t>Ameron</w:t>
      </w:r>
      <w:proofErr w:type="spellEnd"/>
      <w:r w:rsidR="00CF0ECD" w:rsidRPr="00615894">
        <w:rPr>
          <w:i/>
          <w:lang w:val="fr-CA"/>
        </w:rPr>
        <w:t xml:space="preserve"> International Corp.</w:t>
      </w:r>
      <w:r w:rsidR="00CF0ECD" w:rsidRPr="00615894">
        <w:rPr>
          <w:lang w:val="fr-CA"/>
        </w:rPr>
        <w:t xml:space="preserve">, 2013 </w:t>
      </w:r>
      <w:r w:rsidR="00CF0ECD" w:rsidRPr="00615894">
        <w:rPr>
          <w:lang w:val="fr-CA"/>
        </w:rPr>
        <w:lastRenderedPageBreak/>
        <w:t xml:space="preserve">CSC 37, [2013] 2 R.C.S. 623; </w:t>
      </w:r>
      <w:r w:rsidR="00CF0ECD" w:rsidRPr="00615894">
        <w:rPr>
          <w:i/>
          <w:lang w:val="fr-CA"/>
        </w:rPr>
        <w:t>Globe and Mail c. Canada (Procureur général)</w:t>
      </w:r>
      <w:r w:rsidR="00CF0ECD" w:rsidRPr="00615894">
        <w:rPr>
          <w:lang w:val="fr-CA"/>
        </w:rPr>
        <w:t xml:space="preserve">, 2010 CSC 41, [2010] 2 R.C.S. 592; </w:t>
      </w:r>
      <w:proofErr w:type="spellStart"/>
      <w:r w:rsidR="00FD523E" w:rsidRPr="00615894">
        <w:rPr>
          <w:i/>
          <w:lang w:val="fr-CA"/>
        </w:rPr>
        <w:t>Ferlatte</w:t>
      </w:r>
      <w:proofErr w:type="spellEnd"/>
      <w:r w:rsidR="00FD523E" w:rsidRPr="00615894">
        <w:rPr>
          <w:i/>
          <w:lang w:val="fr-CA"/>
        </w:rPr>
        <w:t xml:space="preserve"> c. Ventes Rudolph </w:t>
      </w:r>
      <w:proofErr w:type="spellStart"/>
      <w:r w:rsidR="00FD523E" w:rsidRPr="00615894">
        <w:rPr>
          <w:i/>
          <w:lang w:val="fr-CA"/>
        </w:rPr>
        <w:t>inc</w:t>
      </w:r>
      <w:proofErr w:type="spellEnd"/>
      <w:r w:rsidR="00FD523E" w:rsidRPr="00615894">
        <w:rPr>
          <w:i/>
          <w:lang w:val="fr-CA"/>
        </w:rPr>
        <w:t>.</w:t>
      </w:r>
      <w:r w:rsidR="00FD523E" w:rsidRPr="00615894">
        <w:rPr>
          <w:lang w:val="fr-CA"/>
        </w:rPr>
        <w:t xml:space="preserve">, [1999] Q.J. </w:t>
      </w:r>
      <w:r w:rsidR="00A40680" w:rsidRPr="00615894">
        <w:rPr>
          <w:lang w:val="fr-CA"/>
        </w:rPr>
        <w:t>No</w:t>
      </w:r>
      <w:r w:rsidR="00A0307B">
        <w:rPr>
          <w:lang w:val="fr-CA"/>
        </w:rPr>
        <w:t xml:space="preserve">. </w:t>
      </w:r>
      <w:r w:rsidR="00FD523E" w:rsidRPr="00615894">
        <w:rPr>
          <w:lang w:val="fr-CA"/>
        </w:rPr>
        <w:t xml:space="preserve">2735 (QL); </w:t>
      </w:r>
      <w:proofErr w:type="spellStart"/>
      <w:r w:rsidR="00CF0ECD" w:rsidRPr="00615894">
        <w:rPr>
          <w:i/>
          <w:lang w:val="fr-CA"/>
        </w:rPr>
        <w:t>Kosko</w:t>
      </w:r>
      <w:proofErr w:type="spellEnd"/>
      <w:r w:rsidR="00CF0ECD" w:rsidRPr="00615894">
        <w:rPr>
          <w:i/>
          <w:lang w:val="fr-CA"/>
        </w:rPr>
        <w:t xml:space="preserve"> c. </w:t>
      </w:r>
      <w:proofErr w:type="spellStart"/>
      <w:r w:rsidR="00CF0ECD" w:rsidRPr="00615894">
        <w:rPr>
          <w:i/>
          <w:lang w:val="fr-CA"/>
        </w:rPr>
        <w:t>Bijimine</w:t>
      </w:r>
      <w:proofErr w:type="spellEnd"/>
      <w:r w:rsidR="00CF0ECD" w:rsidRPr="00615894">
        <w:rPr>
          <w:lang w:val="fr-CA"/>
        </w:rPr>
        <w:t xml:space="preserve">, 2006 QCCA 671, [2006] R.J.Q. 1539; </w:t>
      </w:r>
      <w:r w:rsidR="00CF0ECD" w:rsidRPr="00615894">
        <w:rPr>
          <w:i/>
          <w:lang w:val="fr-CA"/>
        </w:rPr>
        <w:t xml:space="preserve">Kelvin </w:t>
      </w:r>
      <w:proofErr w:type="spellStart"/>
      <w:r w:rsidR="00CF0ECD" w:rsidRPr="00615894">
        <w:rPr>
          <w:i/>
          <w:lang w:val="fr-CA"/>
        </w:rPr>
        <w:t>Energy</w:t>
      </w:r>
      <w:proofErr w:type="spellEnd"/>
      <w:r w:rsidR="00CF0ECD" w:rsidRPr="00615894">
        <w:rPr>
          <w:i/>
          <w:lang w:val="fr-CA"/>
        </w:rPr>
        <w:t xml:space="preserve"> Ltd. c. Lee</w:t>
      </w:r>
      <w:r w:rsidR="00CF0ECD" w:rsidRPr="00615894">
        <w:rPr>
          <w:lang w:val="fr-CA"/>
        </w:rPr>
        <w:t xml:space="preserve">, [1992] 3 R.C.S. 235; </w:t>
      </w:r>
      <w:proofErr w:type="spellStart"/>
      <w:r w:rsidR="00CF0ECD" w:rsidRPr="00615894">
        <w:rPr>
          <w:i/>
          <w:lang w:val="fr-CA"/>
        </w:rPr>
        <w:t>Sparling</w:t>
      </w:r>
      <w:proofErr w:type="spellEnd"/>
      <w:r w:rsidR="00CF0ECD" w:rsidRPr="00615894">
        <w:rPr>
          <w:i/>
          <w:lang w:val="fr-CA"/>
        </w:rPr>
        <w:t xml:space="preserve"> c. </w:t>
      </w:r>
      <w:proofErr w:type="spellStart"/>
      <w:r w:rsidR="00CF0ECD" w:rsidRPr="00615894">
        <w:rPr>
          <w:i/>
          <w:lang w:val="fr-CA"/>
        </w:rPr>
        <w:t>Southam</w:t>
      </w:r>
      <w:proofErr w:type="spellEnd"/>
      <w:r w:rsidR="00CF0ECD" w:rsidRPr="00615894">
        <w:rPr>
          <w:i/>
          <w:lang w:val="fr-CA"/>
        </w:rPr>
        <w:t xml:space="preserve"> Inc.</w:t>
      </w:r>
      <w:r w:rsidR="00CF0ECD" w:rsidRPr="00615894">
        <w:rPr>
          <w:lang w:val="fr-CA"/>
        </w:rPr>
        <w:t xml:space="preserve"> (19</w:t>
      </w:r>
      <w:r w:rsidR="00972DE5" w:rsidRPr="00615894">
        <w:rPr>
          <w:lang w:val="fr-CA"/>
        </w:rPr>
        <w:t>8</w:t>
      </w:r>
      <w:r w:rsidR="00CF0ECD" w:rsidRPr="00615894">
        <w:rPr>
          <w:lang w:val="fr-CA"/>
        </w:rPr>
        <w:t xml:space="preserve">8), </w:t>
      </w:r>
      <w:r w:rsidR="00821F56" w:rsidRPr="00615894">
        <w:rPr>
          <w:lang w:val="fr-CA"/>
        </w:rPr>
        <w:t>41 B.L.R. 22</w:t>
      </w:r>
      <w:r w:rsidR="00CF0ECD" w:rsidRPr="00615894">
        <w:rPr>
          <w:lang w:val="fr-CA"/>
        </w:rPr>
        <w:t xml:space="preserve">; </w:t>
      </w:r>
      <w:r w:rsidR="00CF0ECD" w:rsidRPr="00615894">
        <w:rPr>
          <w:i/>
          <w:lang w:val="fr-CA"/>
        </w:rPr>
        <w:t xml:space="preserve">Luger c. Empire, </w:t>
      </w:r>
      <w:proofErr w:type="spellStart"/>
      <w:r w:rsidR="00CF0ECD" w:rsidRPr="00615894">
        <w:rPr>
          <w:i/>
          <w:lang w:val="fr-CA"/>
        </w:rPr>
        <w:t>cie</w:t>
      </w:r>
      <w:proofErr w:type="spellEnd"/>
      <w:r w:rsidR="00CF0ECD" w:rsidRPr="00615894">
        <w:rPr>
          <w:i/>
          <w:lang w:val="fr-CA"/>
        </w:rPr>
        <w:t xml:space="preserve"> d</w:t>
      </w:r>
      <w:r w:rsidR="00602BF2">
        <w:rPr>
          <w:i/>
          <w:lang w:val="fr-CA"/>
        </w:rPr>
        <w:t>’</w:t>
      </w:r>
      <w:r w:rsidR="00CF0ECD" w:rsidRPr="00615894">
        <w:rPr>
          <w:i/>
          <w:lang w:val="fr-CA"/>
        </w:rPr>
        <w:t>assurance vie</w:t>
      </w:r>
      <w:r w:rsidR="00CF0ECD" w:rsidRPr="00615894">
        <w:rPr>
          <w:lang w:val="fr-CA"/>
        </w:rPr>
        <w:t>, [1991] J.Q. n</w:t>
      </w:r>
      <w:r w:rsidR="00CF0ECD" w:rsidRPr="00615894">
        <w:rPr>
          <w:vertAlign w:val="superscript"/>
          <w:lang w:val="fr-CA"/>
        </w:rPr>
        <w:t>o</w:t>
      </w:r>
      <w:r w:rsidR="00CF0ECD" w:rsidRPr="00615894">
        <w:rPr>
          <w:lang w:val="fr-CA"/>
        </w:rPr>
        <w:t xml:space="preserve"> 2635 (QL); </w:t>
      </w:r>
      <w:r w:rsidR="00CF0ECD" w:rsidRPr="00615894">
        <w:rPr>
          <w:i/>
          <w:lang w:val="fr-CA"/>
        </w:rPr>
        <w:t xml:space="preserve">Bloom Films 1998 </w:t>
      </w:r>
      <w:proofErr w:type="spellStart"/>
      <w:r w:rsidR="00CF0ECD" w:rsidRPr="00615894">
        <w:rPr>
          <w:i/>
          <w:lang w:val="fr-CA"/>
        </w:rPr>
        <w:t>inc</w:t>
      </w:r>
      <w:proofErr w:type="spellEnd"/>
      <w:r w:rsidR="00CF0ECD" w:rsidRPr="00615894">
        <w:rPr>
          <w:i/>
          <w:lang w:val="fr-CA"/>
        </w:rPr>
        <w:t xml:space="preserve">. c. </w:t>
      </w:r>
      <w:proofErr w:type="spellStart"/>
      <w:r w:rsidR="00CF0ECD" w:rsidRPr="00615894">
        <w:rPr>
          <w:i/>
          <w:lang w:val="fr-CA"/>
        </w:rPr>
        <w:t>Christal</w:t>
      </w:r>
      <w:proofErr w:type="spellEnd"/>
      <w:r w:rsidR="00CF0ECD" w:rsidRPr="00615894">
        <w:rPr>
          <w:i/>
          <w:lang w:val="fr-CA"/>
        </w:rPr>
        <w:t xml:space="preserve"> Films productions </w:t>
      </w:r>
      <w:proofErr w:type="spellStart"/>
      <w:r w:rsidR="00CF0ECD" w:rsidRPr="00615894">
        <w:rPr>
          <w:i/>
          <w:lang w:val="fr-CA"/>
        </w:rPr>
        <w:t>inc</w:t>
      </w:r>
      <w:proofErr w:type="spellEnd"/>
      <w:r w:rsidR="00CF0ECD" w:rsidRPr="00615894">
        <w:rPr>
          <w:i/>
          <w:lang w:val="fr-CA"/>
        </w:rPr>
        <w:t>.</w:t>
      </w:r>
      <w:r w:rsidR="00CF0ECD" w:rsidRPr="00615894">
        <w:rPr>
          <w:lang w:val="fr-CA"/>
        </w:rPr>
        <w:t xml:space="preserve">, 2011 QCCA 1171 (CanLII); </w:t>
      </w:r>
      <w:r w:rsidR="00CF0ECD" w:rsidRPr="00615894">
        <w:rPr>
          <w:i/>
          <w:lang w:val="fr-CA"/>
        </w:rPr>
        <w:t>Stewart c. Stewart</w:t>
      </w:r>
      <w:r w:rsidR="00CF0ECD" w:rsidRPr="00615894">
        <w:rPr>
          <w:lang w:val="fr-CA"/>
        </w:rPr>
        <w:t xml:space="preserve">, 2008 ABQB 348 (CanLII); </w:t>
      </w:r>
      <w:r w:rsidR="00CF0ECD" w:rsidRPr="00615894">
        <w:rPr>
          <w:i/>
          <w:lang w:val="fr-CA"/>
        </w:rPr>
        <w:t xml:space="preserve">R. c. </w:t>
      </w:r>
      <w:proofErr w:type="spellStart"/>
      <w:r w:rsidR="00CF0ECD" w:rsidRPr="00615894">
        <w:rPr>
          <w:i/>
          <w:lang w:val="fr-CA"/>
        </w:rPr>
        <w:t>Gruenke</w:t>
      </w:r>
      <w:proofErr w:type="spellEnd"/>
      <w:r w:rsidR="00CF0ECD" w:rsidRPr="00615894">
        <w:rPr>
          <w:lang w:val="fr-CA"/>
        </w:rPr>
        <w:t>, [1991] 3 R.C.S. 263.</w:t>
      </w:r>
    </w:p>
    <w:p w:rsidR="004D7D95" w:rsidRPr="00615894" w:rsidRDefault="004D7D95" w:rsidP="00A0307B">
      <w:pPr>
        <w:pStyle w:val="SCCNormalDoubleSpacing"/>
        <w:spacing w:after="480"/>
        <w:rPr>
          <w:b/>
          <w:lang w:val="fr-CA"/>
        </w:rPr>
      </w:pPr>
      <w:r w:rsidRPr="00615894">
        <w:rPr>
          <w:b/>
          <w:lang w:val="fr-CA"/>
        </w:rPr>
        <w:t>Lois et règlements cités</w:t>
      </w:r>
    </w:p>
    <w:p w:rsidR="004853D2" w:rsidRPr="00615894" w:rsidRDefault="004853D2" w:rsidP="00A0307B">
      <w:pPr>
        <w:pStyle w:val="SCCNormalDoubleSpacing"/>
        <w:spacing w:after="240" w:line="240" w:lineRule="auto"/>
        <w:ind w:left="540" w:hanging="540"/>
        <w:rPr>
          <w:lang w:val="fr-CA"/>
        </w:rPr>
      </w:pPr>
      <w:r w:rsidRPr="00615894">
        <w:rPr>
          <w:i/>
          <w:lang w:val="fr-CA"/>
        </w:rPr>
        <w:t>Code civil du Québec</w:t>
      </w:r>
      <w:r w:rsidRPr="00615894">
        <w:rPr>
          <w:lang w:val="fr-CA"/>
        </w:rPr>
        <w:t xml:space="preserve">, </w:t>
      </w:r>
      <w:r w:rsidR="00A40680" w:rsidRPr="00615894">
        <w:rPr>
          <w:lang w:val="fr-CA"/>
        </w:rPr>
        <w:t>art</w:t>
      </w:r>
      <w:r w:rsidR="00A0307B">
        <w:rPr>
          <w:lang w:val="fr-CA"/>
        </w:rPr>
        <w:t xml:space="preserve">. </w:t>
      </w:r>
      <w:r w:rsidR="00DC679B" w:rsidRPr="00615894">
        <w:rPr>
          <w:lang w:val="fr-CA"/>
        </w:rPr>
        <w:t xml:space="preserve">1414, </w:t>
      </w:r>
      <w:r w:rsidRPr="00615894">
        <w:rPr>
          <w:lang w:val="fr-CA"/>
        </w:rPr>
        <w:t>1425, 1426, 1427, 1431.</w:t>
      </w:r>
    </w:p>
    <w:p w:rsidR="004853D2" w:rsidRPr="00615894" w:rsidRDefault="004853D2" w:rsidP="00A0307B">
      <w:pPr>
        <w:pStyle w:val="SCCNormalDoubleSpacing"/>
        <w:spacing w:after="240" w:line="240" w:lineRule="auto"/>
        <w:ind w:left="540" w:hanging="540"/>
      </w:pPr>
      <w:r w:rsidRPr="00615894">
        <w:rPr>
          <w:i/>
          <w:lang w:val="fr-CA"/>
        </w:rPr>
        <w:t>Code de procédure civile</w:t>
      </w:r>
      <w:r w:rsidRPr="00615894">
        <w:rPr>
          <w:lang w:val="fr-CA"/>
        </w:rPr>
        <w:t xml:space="preserve">, </w:t>
      </w:r>
      <w:r w:rsidR="00CF7CD9" w:rsidRPr="00615894">
        <w:rPr>
          <w:lang w:val="fr-CA"/>
        </w:rPr>
        <w:t>RLRQ</w:t>
      </w:r>
      <w:r w:rsidRPr="00615894">
        <w:rPr>
          <w:lang w:val="fr-CA"/>
        </w:rPr>
        <w:t xml:space="preserve">, </w:t>
      </w:r>
      <w:r w:rsidR="00A40680" w:rsidRPr="00615894">
        <w:rPr>
          <w:lang w:val="fr-CA"/>
        </w:rPr>
        <w:t>ch</w:t>
      </w:r>
      <w:r w:rsidR="00A0307B">
        <w:rPr>
          <w:lang w:val="fr-CA"/>
        </w:rPr>
        <w:t xml:space="preserve">. </w:t>
      </w:r>
      <w:proofErr w:type="gramStart"/>
      <w:r w:rsidRPr="00615894">
        <w:t>C</w:t>
      </w:r>
      <w:r w:rsidR="00A0307B">
        <w:t>-</w:t>
      </w:r>
      <w:r w:rsidRPr="00615894">
        <w:t xml:space="preserve">25, </w:t>
      </w:r>
      <w:r w:rsidR="00A40680" w:rsidRPr="00615894">
        <w:t>art</w:t>
      </w:r>
      <w:r w:rsidR="00A0307B">
        <w:t>.</w:t>
      </w:r>
      <w:proofErr w:type="gramEnd"/>
      <w:r w:rsidR="00A0307B">
        <w:t xml:space="preserve"> </w:t>
      </w:r>
      <w:proofErr w:type="gramStart"/>
      <w:r w:rsidRPr="00615894">
        <w:t>151.16, 151.21.</w:t>
      </w:r>
      <w:proofErr w:type="gramEnd"/>
    </w:p>
    <w:p w:rsidR="00541C64" w:rsidRPr="00615894" w:rsidRDefault="00541C64" w:rsidP="00A0307B">
      <w:pPr>
        <w:pStyle w:val="SCCNormalDoubleSpacing"/>
        <w:spacing w:after="240" w:line="240" w:lineRule="auto"/>
        <w:ind w:left="540" w:hanging="540"/>
      </w:pPr>
      <w:proofErr w:type="gramStart"/>
      <w:r w:rsidRPr="00615894">
        <w:rPr>
          <w:i/>
          <w:lang w:val="en-US"/>
        </w:rPr>
        <w:t>Commercial</w:t>
      </w:r>
      <w:r w:rsidRPr="00615894">
        <w:rPr>
          <w:i/>
        </w:rPr>
        <w:t xml:space="preserve"> Mediation Act</w:t>
      </w:r>
      <w:r w:rsidRPr="00615894">
        <w:t xml:space="preserve">, S.N.S. 2005, </w:t>
      </w:r>
      <w:proofErr w:type="spellStart"/>
      <w:r w:rsidR="00A40680" w:rsidRPr="00615894">
        <w:t>ch</w:t>
      </w:r>
      <w:proofErr w:type="spellEnd"/>
      <w:r w:rsidR="00A0307B">
        <w:t xml:space="preserve">. </w:t>
      </w:r>
      <w:r w:rsidRPr="00615894">
        <w:t>36.</w:t>
      </w:r>
      <w:proofErr w:type="gramEnd"/>
    </w:p>
    <w:p w:rsidR="00541C64" w:rsidRPr="00615894" w:rsidRDefault="00541C64" w:rsidP="00A0307B">
      <w:pPr>
        <w:pStyle w:val="SCCNormalDoubleSpacing"/>
        <w:spacing w:after="720" w:line="240" w:lineRule="auto"/>
        <w:ind w:left="539" w:hanging="539"/>
        <w:rPr>
          <w:lang w:val="fr-CA"/>
        </w:rPr>
      </w:pPr>
      <w:r w:rsidRPr="00615894">
        <w:rPr>
          <w:i/>
          <w:lang w:val="fr-CA"/>
        </w:rPr>
        <w:t>Loi de 2010 sur la médiation commerciale</w:t>
      </w:r>
      <w:r w:rsidRPr="00615894">
        <w:rPr>
          <w:lang w:val="fr-CA"/>
        </w:rPr>
        <w:t xml:space="preserve">, L.O. 2010, </w:t>
      </w:r>
      <w:r w:rsidR="00A40680" w:rsidRPr="00615894">
        <w:rPr>
          <w:lang w:val="fr-CA"/>
        </w:rPr>
        <w:t>ch</w:t>
      </w:r>
      <w:r w:rsidR="00A0307B">
        <w:rPr>
          <w:lang w:val="fr-CA"/>
        </w:rPr>
        <w:t xml:space="preserve">. </w:t>
      </w:r>
      <w:r w:rsidR="00A40680" w:rsidRPr="00615894">
        <w:rPr>
          <w:lang w:val="fr-CA"/>
        </w:rPr>
        <w:t xml:space="preserve">16, </w:t>
      </w:r>
      <w:proofErr w:type="spellStart"/>
      <w:r w:rsidR="00A40680" w:rsidRPr="00615894">
        <w:rPr>
          <w:lang w:val="fr-CA"/>
        </w:rPr>
        <w:t>ann</w:t>
      </w:r>
      <w:proofErr w:type="spellEnd"/>
      <w:r w:rsidR="00A0307B">
        <w:rPr>
          <w:lang w:val="fr-CA"/>
        </w:rPr>
        <w:t xml:space="preserve">. </w:t>
      </w:r>
      <w:r w:rsidRPr="00615894">
        <w:rPr>
          <w:lang w:val="fr-CA"/>
        </w:rPr>
        <w:t>3.</w:t>
      </w:r>
    </w:p>
    <w:p w:rsidR="004D7D95" w:rsidRPr="00615894" w:rsidRDefault="004D7D95" w:rsidP="00A0307B">
      <w:pPr>
        <w:pStyle w:val="SCCNormalDoubleSpacing"/>
        <w:spacing w:after="480"/>
        <w:rPr>
          <w:b/>
          <w:lang w:val="fr-CA"/>
        </w:rPr>
      </w:pPr>
      <w:r w:rsidRPr="00615894">
        <w:rPr>
          <w:b/>
          <w:lang w:val="fr-CA"/>
        </w:rPr>
        <w:t>Doctrine et autres documents cités</w:t>
      </w:r>
    </w:p>
    <w:p w:rsidR="00F9433B" w:rsidRPr="00615894" w:rsidRDefault="00F9433B" w:rsidP="00A0307B">
      <w:pPr>
        <w:pStyle w:val="SCCNormalDoubleSpacing"/>
        <w:spacing w:after="240" w:line="240" w:lineRule="auto"/>
        <w:ind w:left="540" w:hanging="540"/>
      </w:pPr>
      <w:r w:rsidRPr="00615894">
        <w:rPr>
          <w:lang w:val="fr-CA"/>
        </w:rPr>
        <w:t>Baudouin, Jean</w:t>
      </w:r>
      <w:r w:rsidR="00A0307B">
        <w:rPr>
          <w:lang w:val="fr-CA"/>
        </w:rPr>
        <w:t>-</w:t>
      </w:r>
      <w:r w:rsidRPr="00615894">
        <w:rPr>
          <w:lang w:val="fr-CA"/>
        </w:rPr>
        <w:t>Louis, et Pierre</w:t>
      </w:r>
      <w:r w:rsidR="00A0307B">
        <w:rPr>
          <w:lang w:val="fr-CA"/>
        </w:rPr>
        <w:t>-</w:t>
      </w:r>
      <w:r w:rsidRPr="00615894">
        <w:rPr>
          <w:lang w:val="fr-CA"/>
        </w:rPr>
        <w:t xml:space="preserve">Gabriel Jobin.  </w:t>
      </w:r>
      <w:r w:rsidRPr="00615894">
        <w:rPr>
          <w:i/>
          <w:lang w:val="fr-CA"/>
        </w:rPr>
        <w:t>Les obligations</w:t>
      </w:r>
      <w:r w:rsidRPr="00615894">
        <w:rPr>
          <w:lang w:val="fr-CA"/>
        </w:rPr>
        <w:t>, 7</w:t>
      </w:r>
      <w:r w:rsidRPr="00615894">
        <w:rPr>
          <w:vertAlign w:val="superscript"/>
          <w:lang w:val="fr-CA"/>
        </w:rPr>
        <w:t>e</w:t>
      </w:r>
      <w:r w:rsidRPr="00615894">
        <w:rPr>
          <w:lang w:val="fr-CA"/>
        </w:rPr>
        <w:t xml:space="preserve"> éd. par Pierre</w:t>
      </w:r>
      <w:r w:rsidR="00A0307B">
        <w:rPr>
          <w:lang w:val="fr-CA"/>
        </w:rPr>
        <w:t>-</w:t>
      </w:r>
      <w:r w:rsidRPr="00615894">
        <w:rPr>
          <w:lang w:val="fr-CA"/>
        </w:rPr>
        <w:t xml:space="preserve">Gabriel Jobin et Nathalie Vézina.  </w:t>
      </w:r>
      <w:proofErr w:type="spellStart"/>
      <w:r w:rsidRPr="00615894">
        <w:t>Cowansville</w:t>
      </w:r>
      <w:proofErr w:type="spellEnd"/>
      <w:r w:rsidRPr="00615894">
        <w:t xml:space="preserve">, </w:t>
      </w:r>
      <w:proofErr w:type="spellStart"/>
      <w:r w:rsidRPr="00615894">
        <w:t>Qué</w:t>
      </w:r>
      <w:proofErr w:type="spellEnd"/>
      <w:r w:rsidR="00A0307B">
        <w:t xml:space="preserve">. </w:t>
      </w:r>
      <w:r w:rsidR="00A40680" w:rsidRPr="00615894">
        <w:t>:</w:t>
      </w:r>
      <w:r w:rsidRPr="00615894">
        <w:t xml:space="preserve"> Yvon Blais, 2013.</w:t>
      </w:r>
    </w:p>
    <w:p w:rsidR="00F9433B" w:rsidRPr="00615894" w:rsidRDefault="00F9433B" w:rsidP="00A0307B">
      <w:pPr>
        <w:pStyle w:val="SCCNormalDoubleSpacing"/>
        <w:spacing w:after="240" w:line="240" w:lineRule="auto"/>
        <w:ind w:left="540" w:hanging="540"/>
      </w:pPr>
      <w:proofErr w:type="gramStart"/>
      <w:r w:rsidRPr="00615894">
        <w:t>Boulle, Laurence, and Kathleen J. Kelly.</w:t>
      </w:r>
      <w:proofErr w:type="gramEnd"/>
      <w:r w:rsidRPr="00615894">
        <w:t xml:space="preserve">  </w:t>
      </w:r>
      <w:proofErr w:type="gramStart"/>
      <w:r w:rsidRPr="00615894">
        <w:rPr>
          <w:i/>
        </w:rPr>
        <w:t>Mediation</w:t>
      </w:r>
      <w:r w:rsidR="00A40680" w:rsidRPr="00615894">
        <w:rPr>
          <w:i/>
        </w:rPr>
        <w:t> :</w:t>
      </w:r>
      <w:proofErr w:type="gramEnd"/>
      <w:r w:rsidRPr="00615894">
        <w:rPr>
          <w:i/>
        </w:rPr>
        <w:t xml:space="preserve"> Principles, Process, Practice</w:t>
      </w:r>
      <w:r w:rsidRPr="00615894">
        <w:t>.  Markham, Ont</w:t>
      </w:r>
      <w:proofErr w:type="gramStart"/>
      <w:r w:rsidR="00A0307B">
        <w:t xml:space="preserve">. </w:t>
      </w:r>
      <w:r w:rsidR="00A40680" w:rsidRPr="00615894">
        <w:t>:</w:t>
      </w:r>
      <w:proofErr w:type="gramEnd"/>
      <w:r w:rsidRPr="00615894">
        <w:t xml:space="preserve"> Butterworths, 1998.</w:t>
      </w:r>
    </w:p>
    <w:p w:rsidR="00F9433B" w:rsidRPr="00615894" w:rsidRDefault="00F9433B" w:rsidP="00A0307B">
      <w:pPr>
        <w:pStyle w:val="SCCNormalDoubleSpacing"/>
        <w:spacing w:after="240" w:line="240" w:lineRule="auto"/>
        <w:ind w:left="540" w:hanging="540"/>
      </w:pPr>
      <w:r w:rsidRPr="00615894">
        <w:t xml:space="preserve">Brown, Kent L. </w:t>
      </w:r>
      <w:r w:rsidR="00957465" w:rsidRPr="00615894">
        <w:t xml:space="preserve"> « </w:t>
      </w:r>
      <w:r w:rsidRPr="00615894">
        <w:t xml:space="preserve">Confidentiality in </w:t>
      </w:r>
      <w:proofErr w:type="gramStart"/>
      <w:r w:rsidRPr="00615894">
        <w:t>Mediation</w:t>
      </w:r>
      <w:r w:rsidR="00A40680" w:rsidRPr="00615894">
        <w:t> :</w:t>
      </w:r>
      <w:proofErr w:type="gramEnd"/>
      <w:r w:rsidRPr="00615894">
        <w:t xml:space="preserve"> Status and Implications</w:t>
      </w:r>
      <w:r w:rsidR="00957465" w:rsidRPr="00615894">
        <w:t> »</w:t>
      </w:r>
      <w:r w:rsidR="00460802" w:rsidRPr="00615894">
        <w:t>,</w:t>
      </w:r>
      <w:r w:rsidRPr="00615894">
        <w:t xml:space="preserve"> </w:t>
      </w:r>
      <w:r w:rsidR="00460802" w:rsidRPr="00615894">
        <w:t>[</w:t>
      </w:r>
      <w:r w:rsidRPr="00615894">
        <w:t>1991</w:t>
      </w:r>
      <w:r w:rsidR="00460802" w:rsidRPr="00615894">
        <w:t>]</w:t>
      </w:r>
      <w:r w:rsidRPr="00615894">
        <w:t xml:space="preserve"> </w:t>
      </w:r>
      <w:r w:rsidRPr="00615894">
        <w:rPr>
          <w:i/>
        </w:rPr>
        <w:t>J. Dis</w:t>
      </w:r>
      <w:r w:rsidR="00A40680" w:rsidRPr="00615894">
        <w:rPr>
          <w:i/>
        </w:rPr>
        <w:t>p</w:t>
      </w:r>
      <w:r w:rsidR="00A0307B">
        <w:rPr>
          <w:i/>
        </w:rPr>
        <w:t xml:space="preserve">. </w:t>
      </w:r>
      <w:r w:rsidRPr="00615894">
        <w:rPr>
          <w:i/>
        </w:rPr>
        <w:t>Resol.</w:t>
      </w:r>
      <w:r w:rsidRPr="00615894">
        <w:t xml:space="preserve"> 307.</w:t>
      </w:r>
    </w:p>
    <w:p w:rsidR="00F9433B" w:rsidRPr="00615894" w:rsidRDefault="00F9433B" w:rsidP="00A0307B">
      <w:pPr>
        <w:pStyle w:val="SCCNormalDoubleSpacing"/>
        <w:spacing w:after="240" w:line="240" w:lineRule="auto"/>
        <w:ind w:left="540" w:hanging="540"/>
      </w:pPr>
      <w:r w:rsidRPr="00615894">
        <w:t xml:space="preserve">Bryant, Alan W., Sidney N. Lederman and Michelle K. Fuerst.  </w:t>
      </w:r>
      <w:r w:rsidRPr="00615894">
        <w:rPr>
          <w:i/>
        </w:rPr>
        <w:t>The Law of Evidence in Canada</w:t>
      </w:r>
      <w:r w:rsidRPr="00615894">
        <w:t xml:space="preserve">, 3rd </w:t>
      </w:r>
      <w:proofErr w:type="gramStart"/>
      <w:r w:rsidRPr="00615894">
        <w:t>ed</w:t>
      </w:r>
      <w:proofErr w:type="gramEnd"/>
      <w:r w:rsidRPr="00615894">
        <w:t>.  Markham, Ont</w:t>
      </w:r>
      <w:proofErr w:type="gramStart"/>
      <w:r w:rsidR="00A0307B">
        <w:t xml:space="preserve">. </w:t>
      </w:r>
      <w:r w:rsidR="00A40680" w:rsidRPr="00615894">
        <w:t>:</w:t>
      </w:r>
      <w:proofErr w:type="gramEnd"/>
      <w:r w:rsidRPr="00615894">
        <w:t xml:space="preserve"> LexisNexis, 2009.</w:t>
      </w:r>
    </w:p>
    <w:p w:rsidR="00F9433B" w:rsidRPr="00615894" w:rsidRDefault="00F9433B" w:rsidP="00A0307B">
      <w:pPr>
        <w:pStyle w:val="SCCNormalDoubleSpacing"/>
        <w:spacing w:after="240" w:line="240" w:lineRule="auto"/>
        <w:ind w:left="540" w:hanging="540"/>
      </w:pPr>
      <w:r w:rsidRPr="00615894">
        <w:t xml:space="preserve">Crosbie, Fiona.  </w:t>
      </w:r>
      <w:r w:rsidR="00957465" w:rsidRPr="00615894">
        <w:t>« </w:t>
      </w:r>
      <w:r w:rsidRPr="00615894">
        <w:t xml:space="preserve">Aspects of Confidentiality in </w:t>
      </w:r>
      <w:proofErr w:type="gramStart"/>
      <w:r w:rsidRPr="00615894">
        <w:t>Mediation</w:t>
      </w:r>
      <w:r w:rsidR="00A40680" w:rsidRPr="00615894">
        <w:t> :</w:t>
      </w:r>
      <w:proofErr w:type="gramEnd"/>
      <w:r w:rsidRPr="00615894">
        <w:t xml:space="preserve"> A Matter of Balancing Competing Public Interests</w:t>
      </w:r>
      <w:r w:rsidR="00957465" w:rsidRPr="00615894">
        <w:t> »</w:t>
      </w:r>
      <w:r w:rsidRPr="00615894">
        <w:t xml:space="preserve"> (1995), 2 </w:t>
      </w:r>
      <w:r w:rsidRPr="00615894">
        <w:rPr>
          <w:i/>
        </w:rPr>
        <w:t>C.D.R.J.</w:t>
      </w:r>
      <w:r w:rsidRPr="00615894">
        <w:t xml:space="preserve"> 51.</w:t>
      </w:r>
    </w:p>
    <w:p w:rsidR="00F9433B" w:rsidRPr="00615894" w:rsidRDefault="00F9433B" w:rsidP="00A0307B">
      <w:pPr>
        <w:pStyle w:val="SCCNormalDoubleSpacing"/>
        <w:spacing w:after="240" w:line="240" w:lineRule="auto"/>
        <w:ind w:left="540" w:hanging="540"/>
      </w:pPr>
      <w:proofErr w:type="gramStart"/>
      <w:r w:rsidRPr="00615894">
        <w:lastRenderedPageBreak/>
        <w:t>Freedman, Lawrence R., and Michael L. Prigoff.</w:t>
      </w:r>
      <w:proofErr w:type="gramEnd"/>
      <w:r w:rsidRPr="00615894">
        <w:t xml:space="preserve">  </w:t>
      </w:r>
      <w:r w:rsidR="00957465" w:rsidRPr="00615894">
        <w:t>« </w:t>
      </w:r>
      <w:r w:rsidRPr="00615894">
        <w:t xml:space="preserve">Confidentiality in </w:t>
      </w:r>
      <w:proofErr w:type="gramStart"/>
      <w:r w:rsidRPr="00615894">
        <w:t>Mediation</w:t>
      </w:r>
      <w:r w:rsidR="00A40680" w:rsidRPr="00615894">
        <w:t> :</w:t>
      </w:r>
      <w:proofErr w:type="gramEnd"/>
      <w:r w:rsidRPr="00615894">
        <w:t xml:space="preserve"> The Need for Protection</w:t>
      </w:r>
      <w:r w:rsidR="00957465" w:rsidRPr="00615894">
        <w:t> »</w:t>
      </w:r>
      <w:r w:rsidRPr="00615894">
        <w:t xml:space="preserve"> (1986), 2 </w:t>
      </w:r>
      <w:r w:rsidRPr="00615894">
        <w:rPr>
          <w:i/>
        </w:rPr>
        <w:t>Ohio St. J. Dis</w:t>
      </w:r>
      <w:r w:rsidR="00A40680" w:rsidRPr="00615894">
        <w:rPr>
          <w:i/>
        </w:rPr>
        <w:t>p</w:t>
      </w:r>
      <w:r w:rsidR="00A0307B">
        <w:rPr>
          <w:i/>
        </w:rPr>
        <w:t xml:space="preserve">. </w:t>
      </w:r>
      <w:r w:rsidRPr="00615894">
        <w:rPr>
          <w:i/>
        </w:rPr>
        <w:t>Resol.</w:t>
      </w:r>
      <w:r w:rsidRPr="00615894">
        <w:t xml:space="preserve"> 37.</w:t>
      </w:r>
    </w:p>
    <w:p w:rsidR="00F9433B" w:rsidRPr="00615894" w:rsidRDefault="00F9433B" w:rsidP="00A0307B">
      <w:pPr>
        <w:pStyle w:val="SCCNormalDoubleSpacing"/>
        <w:spacing w:after="240" w:line="240" w:lineRule="auto"/>
        <w:ind w:left="540" w:hanging="540"/>
        <w:rPr>
          <w:lang w:val="fr-CA"/>
        </w:rPr>
      </w:pPr>
      <w:proofErr w:type="spellStart"/>
      <w:proofErr w:type="gramStart"/>
      <w:r w:rsidRPr="00615894">
        <w:t>Glaholt</w:t>
      </w:r>
      <w:proofErr w:type="spellEnd"/>
      <w:r w:rsidRPr="00615894">
        <w:t>, Duncan W., and Markus Rotterdam.</w:t>
      </w:r>
      <w:proofErr w:type="gramEnd"/>
      <w:r w:rsidRPr="00615894">
        <w:t xml:space="preserve">  </w:t>
      </w:r>
      <w:r w:rsidRPr="00615894">
        <w:rPr>
          <w:i/>
        </w:rPr>
        <w:t xml:space="preserve">The Law of ADR in </w:t>
      </w:r>
      <w:proofErr w:type="gramStart"/>
      <w:r w:rsidRPr="00615894">
        <w:rPr>
          <w:i/>
        </w:rPr>
        <w:t>Canada</w:t>
      </w:r>
      <w:r w:rsidR="00A40680" w:rsidRPr="00615894">
        <w:rPr>
          <w:i/>
        </w:rPr>
        <w:t> :</w:t>
      </w:r>
      <w:proofErr w:type="gramEnd"/>
      <w:r w:rsidRPr="00615894">
        <w:rPr>
          <w:i/>
        </w:rPr>
        <w:t xml:space="preserve"> An Introductory Guide</w:t>
      </w:r>
      <w:r w:rsidRPr="00615894">
        <w:t xml:space="preserve">.  </w:t>
      </w:r>
      <w:r w:rsidRPr="00615894">
        <w:rPr>
          <w:lang w:val="fr-CA"/>
        </w:rPr>
        <w:t>Markham, Ont</w:t>
      </w:r>
      <w:r w:rsidR="00A0307B">
        <w:rPr>
          <w:lang w:val="fr-CA"/>
        </w:rPr>
        <w:t xml:space="preserve">. </w:t>
      </w:r>
      <w:r w:rsidR="00A40680" w:rsidRPr="00615894">
        <w:rPr>
          <w:lang w:val="fr-CA"/>
        </w:rPr>
        <w:t>:</w:t>
      </w:r>
      <w:r w:rsidRPr="00615894">
        <w:rPr>
          <w:lang w:val="fr-CA"/>
        </w:rPr>
        <w:t xml:space="preserve"> LexisNexis, 2011.</w:t>
      </w:r>
    </w:p>
    <w:p w:rsidR="00F9433B" w:rsidRPr="00615894" w:rsidRDefault="00F9433B" w:rsidP="00A0307B">
      <w:pPr>
        <w:pStyle w:val="SCCNormalDoubleSpacing"/>
        <w:spacing w:after="240" w:line="240" w:lineRule="auto"/>
        <w:ind w:left="540" w:hanging="540"/>
      </w:pPr>
      <w:proofErr w:type="spellStart"/>
      <w:r w:rsidRPr="00615894">
        <w:rPr>
          <w:lang w:val="fr-CA"/>
        </w:rPr>
        <w:t>Grammond</w:t>
      </w:r>
      <w:proofErr w:type="spellEnd"/>
      <w:r w:rsidRPr="00615894">
        <w:rPr>
          <w:lang w:val="fr-CA"/>
        </w:rPr>
        <w:t>, Sébastien, Anne</w:t>
      </w:r>
      <w:r w:rsidR="00A0307B">
        <w:rPr>
          <w:lang w:val="fr-CA"/>
        </w:rPr>
        <w:t>-</w:t>
      </w:r>
      <w:r w:rsidRPr="00615894">
        <w:rPr>
          <w:lang w:val="fr-CA"/>
        </w:rPr>
        <w:t xml:space="preserve">Françoise </w:t>
      </w:r>
      <w:proofErr w:type="spellStart"/>
      <w:r w:rsidRPr="00615894">
        <w:rPr>
          <w:lang w:val="fr-CA"/>
        </w:rPr>
        <w:t>Debruche</w:t>
      </w:r>
      <w:proofErr w:type="spellEnd"/>
      <w:r w:rsidRPr="00615894">
        <w:rPr>
          <w:lang w:val="fr-CA"/>
        </w:rPr>
        <w:t xml:space="preserve"> and Yan </w:t>
      </w:r>
      <w:proofErr w:type="spellStart"/>
      <w:r w:rsidRPr="00615894">
        <w:rPr>
          <w:lang w:val="fr-CA"/>
        </w:rPr>
        <w:t>Campagnolo</w:t>
      </w:r>
      <w:proofErr w:type="spellEnd"/>
      <w:r w:rsidRPr="00615894">
        <w:rPr>
          <w:lang w:val="fr-CA"/>
        </w:rPr>
        <w:t xml:space="preserve">.  </w:t>
      </w:r>
      <w:proofErr w:type="gramStart"/>
      <w:r w:rsidRPr="00615894">
        <w:rPr>
          <w:i/>
        </w:rPr>
        <w:t>Quebec Contract Law</w:t>
      </w:r>
      <w:r w:rsidRPr="00615894">
        <w:t>.</w:t>
      </w:r>
      <w:proofErr w:type="gramEnd"/>
      <w:r w:rsidRPr="00615894">
        <w:t xml:space="preserve">  </w:t>
      </w:r>
      <w:proofErr w:type="gramStart"/>
      <w:r w:rsidRPr="00615894">
        <w:t>Montréal</w:t>
      </w:r>
      <w:r w:rsidR="00A40680" w:rsidRPr="00615894">
        <w:t> :</w:t>
      </w:r>
      <w:proofErr w:type="gramEnd"/>
      <w:r w:rsidRPr="00615894">
        <w:t xml:space="preserve"> Wilson &amp; Lafleur, 2011.</w:t>
      </w:r>
    </w:p>
    <w:p w:rsidR="00F9433B" w:rsidRPr="00615894" w:rsidRDefault="00F9433B" w:rsidP="00A0307B">
      <w:pPr>
        <w:pStyle w:val="SCCNormalDoubleSpacing"/>
        <w:spacing w:after="240" w:line="240" w:lineRule="auto"/>
        <w:ind w:left="540" w:hanging="540"/>
      </w:pPr>
      <w:r w:rsidRPr="00615894">
        <w:t xml:space="preserve">Gray, Owen V.  </w:t>
      </w:r>
      <w:r w:rsidR="00957465" w:rsidRPr="00615894">
        <w:t>« </w:t>
      </w:r>
      <w:r w:rsidRPr="00615894">
        <w:t>Protecting the Confidentiality of Communications in Mediation</w:t>
      </w:r>
      <w:r w:rsidR="00957465" w:rsidRPr="00615894">
        <w:t> »</w:t>
      </w:r>
      <w:r w:rsidRPr="00615894">
        <w:t xml:space="preserve"> (1998), 36 </w:t>
      </w:r>
      <w:r w:rsidRPr="00615894">
        <w:rPr>
          <w:i/>
        </w:rPr>
        <w:t>Osgoode Hall L.J.</w:t>
      </w:r>
      <w:r w:rsidRPr="00615894">
        <w:t xml:space="preserve"> 667.</w:t>
      </w:r>
    </w:p>
    <w:p w:rsidR="00F9433B" w:rsidRPr="00615894" w:rsidRDefault="00F9433B" w:rsidP="00A0307B">
      <w:pPr>
        <w:pStyle w:val="SCCNormalDoubleSpacing"/>
        <w:spacing w:after="240" w:line="240" w:lineRule="auto"/>
        <w:ind w:left="540" w:hanging="540"/>
        <w:rPr>
          <w:lang w:val="fr-CA"/>
        </w:rPr>
      </w:pPr>
      <w:r w:rsidRPr="00615894">
        <w:t xml:space="preserve">Green, Eric D.  </w:t>
      </w:r>
      <w:proofErr w:type="gramStart"/>
      <w:r w:rsidR="00957465" w:rsidRPr="00615894">
        <w:t>« </w:t>
      </w:r>
      <w:r w:rsidRPr="00615894">
        <w:t>A Heretical View of the Mediation Privilege</w:t>
      </w:r>
      <w:r w:rsidR="00957465" w:rsidRPr="00615894">
        <w:t> »</w:t>
      </w:r>
      <w:r w:rsidRPr="00615894">
        <w:t xml:space="preserve"> (1986), 2 </w:t>
      </w:r>
      <w:r w:rsidRPr="00615894">
        <w:rPr>
          <w:i/>
        </w:rPr>
        <w:t>Ohio St. J. Dis</w:t>
      </w:r>
      <w:r w:rsidR="00A40680" w:rsidRPr="00615894">
        <w:rPr>
          <w:i/>
        </w:rPr>
        <w:t>p</w:t>
      </w:r>
      <w:r w:rsidR="00A0307B">
        <w:rPr>
          <w:i/>
        </w:rPr>
        <w:t xml:space="preserve">. </w:t>
      </w:r>
      <w:proofErr w:type="spellStart"/>
      <w:r w:rsidRPr="00615894">
        <w:rPr>
          <w:i/>
          <w:lang w:val="fr-CA"/>
        </w:rPr>
        <w:t>Resol</w:t>
      </w:r>
      <w:proofErr w:type="spellEnd"/>
      <w:r w:rsidRPr="00615894">
        <w:rPr>
          <w:i/>
          <w:lang w:val="fr-CA"/>
        </w:rPr>
        <w:t>.</w:t>
      </w:r>
      <w:proofErr w:type="gramEnd"/>
      <w:r w:rsidRPr="00615894">
        <w:rPr>
          <w:lang w:val="fr-CA"/>
        </w:rPr>
        <w:t xml:space="preserve"> 1.</w:t>
      </w:r>
    </w:p>
    <w:p w:rsidR="00F9433B" w:rsidRPr="00615894" w:rsidRDefault="00F9433B" w:rsidP="00A0307B">
      <w:pPr>
        <w:pStyle w:val="SCCNormalDoubleSpacing"/>
        <w:spacing w:after="240" w:line="240" w:lineRule="auto"/>
        <w:ind w:left="540" w:hanging="540"/>
        <w:rPr>
          <w:lang w:val="fr-CA"/>
        </w:rPr>
      </w:pPr>
      <w:r w:rsidRPr="00615894">
        <w:rPr>
          <w:lang w:val="fr-CA"/>
        </w:rPr>
        <w:t xml:space="preserve">Lluelles, Didier, et Benoît Moore.  </w:t>
      </w:r>
      <w:r w:rsidRPr="00615894">
        <w:rPr>
          <w:i/>
          <w:lang w:val="fr-CA"/>
        </w:rPr>
        <w:t>Droit des obligations</w:t>
      </w:r>
      <w:r w:rsidRPr="00615894">
        <w:rPr>
          <w:lang w:val="fr-CA"/>
        </w:rPr>
        <w:t>, 2</w:t>
      </w:r>
      <w:r w:rsidRPr="00615894">
        <w:rPr>
          <w:vertAlign w:val="superscript"/>
          <w:lang w:val="fr-CA"/>
        </w:rPr>
        <w:t>e</w:t>
      </w:r>
      <w:r w:rsidRPr="00615894">
        <w:rPr>
          <w:lang w:val="fr-CA"/>
        </w:rPr>
        <w:t xml:space="preserve"> éd.  Montréal</w:t>
      </w:r>
      <w:r w:rsidR="00A40680" w:rsidRPr="00615894">
        <w:rPr>
          <w:lang w:val="fr-CA"/>
        </w:rPr>
        <w:t> :</w:t>
      </w:r>
      <w:r w:rsidRPr="00615894">
        <w:rPr>
          <w:lang w:val="fr-CA"/>
        </w:rPr>
        <w:t xml:space="preserve"> Thémis, 2012.</w:t>
      </w:r>
    </w:p>
    <w:p w:rsidR="000D2CD8" w:rsidRPr="00615894" w:rsidRDefault="000D2CD8" w:rsidP="00A0307B">
      <w:pPr>
        <w:pStyle w:val="SCCNormalDoubleSpacing"/>
        <w:spacing w:after="240" w:line="240" w:lineRule="auto"/>
        <w:ind w:left="540" w:hanging="540"/>
        <w:rPr>
          <w:lang w:val="fr-CA"/>
        </w:rPr>
      </w:pPr>
      <w:r w:rsidRPr="00615894">
        <w:rPr>
          <w:lang w:val="fr-CA"/>
        </w:rPr>
        <w:t>Nations Unies.  Commission des Nations Unies pour le droit commercial internation</w:t>
      </w:r>
      <w:r w:rsidR="00200410" w:rsidRPr="00615894">
        <w:rPr>
          <w:lang w:val="fr-CA"/>
        </w:rPr>
        <w:t xml:space="preserve">al. </w:t>
      </w:r>
      <w:r w:rsidRPr="00615894">
        <w:rPr>
          <w:lang w:val="fr-CA"/>
        </w:rPr>
        <w:t xml:space="preserve"> </w:t>
      </w:r>
      <w:r w:rsidRPr="00615894">
        <w:rPr>
          <w:i/>
          <w:lang w:val="fr-CA"/>
        </w:rPr>
        <w:t>Loi type de la CNUDCI sur la conciliation commerciale internationale et Guide pour son incorporation dans le droit interne et son utilisation 2002</w:t>
      </w:r>
      <w:r w:rsidRPr="00615894">
        <w:rPr>
          <w:lang w:val="fr-CA"/>
        </w:rPr>
        <w:t>.  New York</w:t>
      </w:r>
      <w:r w:rsidR="00A40680" w:rsidRPr="00615894">
        <w:rPr>
          <w:lang w:val="fr-CA"/>
        </w:rPr>
        <w:t> :</w:t>
      </w:r>
      <w:r w:rsidRPr="00615894">
        <w:rPr>
          <w:lang w:val="fr-CA"/>
        </w:rPr>
        <w:t xml:space="preserve"> </w:t>
      </w:r>
      <w:r w:rsidR="00A84D24" w:rsidRPr="00615894">
        <w:rPr>
          <w:lang w:val="fr-CA"/>
        </w:rPr>
        <w:t xml:space="preserve">Nations Unies, </w:t>
      </w:r>
      <w:r w:rsidRPr="00615894">
        <w:rPr>
          <w:lang w:val="fr-CA"/>
        </w:rPr>
        <w:t xml:space="preserve">2004, </w:t>
      </w:r>
      <w:r w:rsidR="00A40680" w:rsidRPr="00615894">
        <w:rPr>
          <w:lang w:val="fr-CA"/>
        </w:rPr>
        <w:t>art</w:t>
      </w:r>
      <w:r w:rsidR="00A0307B">
        <w:rPr>
          <w:lang w:val="fr-CA"/>
        </w:rPr>
        <w:t xml:space="preserve">. </w:t>
      </w:r>
      <w:r w:rsidRPr="00615894">
        <w:rPr>
          <w:lang w:val="fr-CA"/>
        </w:rPr>
        <w:t>9.</w:t>
      </w:r>
    </w:p>
    <w:p w:rsidR="00F9433B" w:rsidRPr="00615894" w:rsidRDefault="00F9433B" w:rsidP="00A0307B">
      <w:pPr>
        <w:pStyle w:val="SCCNormalDoubleSpacing"/>
        <w:spacing w:after="240" w:line="240" w:lineRule="auto"/>
        <w:ind w:left="540" w:hanging="540"/>
      </w:pPr>
      <w:r w:rsidRPr="00615894">
        <w:rPr>
          <w:lang w:val="fr-CA"/>
        </w:rPr>
        <w:t>Royer, Jean</w:t>
      </w:r>
      <w:r w:rsidR="00A0307B">
        <w:rPr>
          <w:lang w:val="fr-CA"/>
        </w:rPr>
        <w:t>-</w:t>
      </w:r>
      <w:r w:rsidRPr="00615894">
        <w:rPr>
          <w:lang w:val="fr-CA"/>
        </w:rPr>
        <w:t xml:space="preserve">Claude, et Sophie Lavallée.  </w:t>
      </w:r>
      <w:r w:rsidRPr="00615894">
        <w:rPr>
          <w:i/>
          <w:lang w:val="fr-CA"/>
        </w:rPr>
        <w:t>La preuve civile</w:t>
      </w:r>
      <w:r w:rsidRPr="00615894">
        <w:rPr>
          <w:lang w:val="fr-CA"/>
        </w:rPr>
        <w:t>, 4</w:t>
      </w:r>
      <w:r w:rsidRPr="00615894">
        <w:rPr>
          <w:vertAlign w:val="superscript"/>
          <w:lang w:val="fr-CA"/>
        </w:rPr>
        <w:t>e</w:t>
      </w:r>
      <w:r w:rsidR="00254C80">
        <w:rPr>
          <w:lang w:val="fr-CA"/>
        </w:rPr>
        <w:t xml:space="preserve"> é</w:t>
      </w:r>
      <w:r w:rsidRPr="00615894">
        <w:rPr>
          <w:lang w:val="fr-CA"/>
        </w:rPr>
        <w:t xml:space="preserve">d.  </w:t>
      </w:r>
      <w:proofErr w:type="spellStart"/>
      <w:r w:rsidRPr="00615894">
        <w:t>Cowansville</w:t>
      </w:r>
      <w:proofErr w:type="spellEnd"/>
      <w:r w:rsidRPr="00615894">
        <w:t xml:space="preserve">, </w:t>
      </w:r>
      <w:proofErr w:type="spellStart"/>
      <w:r w:rsidRPr="00615894">
        <w:t>Qué</w:t>
      </w:r>
      <w:proofErr w:type="spellEnd"/>
      <w:r w:rsidR="00A0307B">
        <w:t xml:space="preserve">. </w:t>
      </w:r>
      <w:r w:rsidR="00A40680" w:rsidRPr="00615894">
        <w:t>:</w:t>
      </w:r>
      <w:r w:rsidRPr="00615894">
        <w:t xml:space="preserve"> Yvon Blais, 2008.</w:t>
      </w:r>
    </w:p>
    <w:p w:rsidR="00F9433B" w:rsidRPr="00615894" w:rsidRDefault="00F9433B" w:rsidP="00A0307B">
      <w:pPr>
        <w:pStyle w:val="SCCNormalDoubleSpacing"/>
        <w:spacing w:after="240" w:line="240" w:lineRule="auto"/>
        <w:ind w:left="540" w:hanging="540"/>
        <w:rPr>
          <w:lang w:val="fr-CA"/>
        </w:rPr>
      </w:pPr>
      <w:r w:rsidRPr="00615894">
        <w:t>Silver, Michael </w:t>
      </w:r>
      <w:r w:rsidR="00A40680" w:rsidRPr="00615894">
        <w:t>P</w:t>
      </w:r>
      <w:r w:rsidR="00A0307B">
        <w:t xml:space="preserve">. </w:t>
      </w:r>
      <w:r w:rsidR="005A7F9D">
        <w:t xml:space="preserve"> </w:t>
      </w:r>
      <w:r w:rsidRPr="00615894">
        <w:rPr>
          <w:i/>
        </w:rPr>
        <w:t xml:space="preserve">Mediation and </w:t>
      </w:r>
      <w:proofErr w:type="gramStart"/>
      <w:r w:rsidRPr="00615894">
        <w:rPr>
          <w:i/>
        </w:rPr>
        <w:t>Negotiation</w:t>
      </w:r>
      <w:r w:rsidR="00A40680" w:rsidRPr="00615894">
        <w:rPr>
          <w:i/>
        </w:rPr>
        <w:t> :</w:t>
      </w:r>
      <w:proofErr w:type="gramEnd"/>
      <w:r w:rsidRPr="00615894">
        <w:rPr>
          <w:i/>
        </w:rPr>
        <w:t xml:space="preserve"> Representing Your Clients</w:t>
      </w:r>
      <w:r w:rsidRPr="00615894">
        <w:t xml:space="preserve">.  </w:t>
      </w:r>
      <w:r w:rsidR="00817288" w:rsidRPr="00615894">
        <w:rPr>
          <w:lang w:val="fr-CA"/>
        </w:rPr>
        <w:t>Markham, Ont</w:t>
      </w:r>
      <w:r w:rsidR="00A0307B">
        <w:rPr>
          <w:lang w:val="fr-CA"/>
        </w:rPr>
        <w:t xml:space="preserve">. </w:t>
      </w:r>
      <w:r w:rsidR="00A40680" w:rsidRPr="00615894">
        <w:rPr>
          <w:lang w:val="fr-CA"/>
        </w:rPr>
        <w:t>:</w:t>
      </w:r>
      <w:r w:rsidRPr="00615894">
        <w:rPr>
          <w:lang w:val="fr-CA"/>
        </w:rPr>
        <w:t xml:space="preserve"> Butterworths, 2001.</w:t>
      </w:r>
    </w:p>
    <w:p w:rsidR="00F9433B" w:rsidRPr="00615894" w:rsidRDefault="00F9433B" w:rsidP="00A0307B">
      <w:pPr>
        <w:pStyle w:val="SCCNormalDoubleSpacing"/>
        <w:spacing w:after="720" w:line="240" w:lineRule="auto"/>
        <w:ind w:left="540" w:hanging="540"/>
        <w:rPr>
          <w:lang w:val="fr-CA"/>
        </w:rPr>
      </w:pPr>
      <w:r w:rsidRPr="00615894">
        <w:rPr>
          <w:lang w:val="fr-CA"/>
        </w:rPr>
        <w:t xml:space="preserve">Thibault, Joëlle.  </w:t>
      </w:r>
      <w:r w:rsidRPr="00615894">
        <w:rPr>
          <w:i/>
          <w:lang w:val="fr-CA"/>
        </w:rPr>
        <w:t>Les proc</w:t>
      </w:r>
      <w:r w:rsidR="002A482D" w:rsidRPr="00615894">
        <w:rPr>
          <w:i/>
          <w:lang w:val="fr-CA"/>
        </w:rPr>
        <w:t>é</w:t>
      </w:r>
      <w:r w:rsidRPr="00615894">
        <w:rPr>
          <w:i/>
          <w:lang w:val="fr-CA"/>
        </w:rPr>
        <w:t>dures de règlement amiable des litiges au Canada</w:t>
      </w:r>
      <w:r w:rsidRPr="00615894">
        <w:rPr>
          <w:lang w:val="fr-CA"/>
        </w:rPr>
        <w:t>.  Montréal</w:t>
      </w:r>
      <w:r w:rsidR="00A40680" w:rsidRPr="00615894">
        <w:rPr>
          <w:lang w:val="fr-CA"/>
        </w:rPr>
        <w:t> :</w:t>
      </w:r>
      <w:r w:rsidRPr="00615894">
        <w:rPr>
          <w:lang w:val="fr-CA"/>
        </w:rPr>
        <w:t xml:space="preserve"> Wilson &amp; Lafleur, 2000.</w:t>
      </w:r>
    </w:p>
    <w:p w:rsidR="004D7D95" w:rsidRPr="00615894" w:rsidRDefault="004D7D95" w:rsidP="00A0307B">
      <w:pPr>
        <w:pStyle w:val="SCCNormalDoubleSpacing"/>
        <w:spacing w:after="480"/>
        <w:rPr>
          <w:lang w:val="fr-CA"/>
        </w:rPr>
      </w:pPr>
      <w:r w:rsidRPr="00615894">
        <w:rPr>
          <w:lang w:val="fr-CA"/>
        </w:rPr>
        <w:tab/>
        <w:t>POURVOI contre un arrêt de la C</w:t>
      </w:r>
      <w:r w:rsidR="005B653C" w:rsidRPr="00615894">
        <w:rPr>
          <w:lang w:val="fr-CA"/>
        </w:rPr>
        <w:t>our d</w:t>
      </w:r>
      <w:r w:rsidR="00602BF2">
        <w:rPr>
          <w:lang w:val="fr-CA"/>
        </w:rPr>
        <w:t>’</w:t>
      </w:r>
      <w:r w:rsidR="005B653C" w:rsidRPr="00615894">
        <w:rPr>
          <w:lang w:val="fr-CA"/>
        </w:rPr>
        <w:t>appel du Québec (</w:t>
      </w:r>
      <w:r w:rsidR="00B370EE" w:rsidRPr="00615894">
        <w:rPr>
          <w:lang w:val="fr-CA"/>
        </w:rPr>
        <w:t xml:space="preserve">les juges Thibault, Rochette et Morissette), 2012 QCCA 1300, </w:t>
      </w:r>
      <w:r w:rsidR="00A84D24" w:rsidRPr="00615894">
        <w:rPr>
          <w:lang w:val="fr-CA"/>
        </w:rPr>
        <w:t>SOQUIJ AZ</w:t>
      </w:r>
      <w:r w:rsidR="00A0307B">
        <w:rPr>
          <w:lang w:val="fr-CA"/>
        </w:rPr>
        <w:t>-</w:t>
      </w:r>
      <w:r w:rsidR="00A84D24" w:rsidRPr="00615894">
        <w:rPr>
          <w:lang w:val="fr-CA"/>
        </w:rPr>
        <w:t xml:space="preserve">50874424, </w:t>
      </w:r>
      <w:r w:rsidR="00B370EE" w:rsidRPr="00615894">
        <w:rPr>
          <w:lang w:val="fr-CA"/>
        </w:rPr>
        <w:t>[2012] J.Q. n</w:t>
      </w:r>
      <w:r w:rsidR="00B370EE" w:rsidRPr="00615894">
        <w:rPr>
          <w:vertAlign w:val="superscript"/>
          <w:lang w:val="fr-CA"/>
        </w:rPr>
        <w:t>o</w:t>
      </w:r>
      <w:r w:rsidR="00C6205B" w:rsidRPr="00615894">
        <w:rPr>
          <w:lang w:val="fr-CA"/>
        </w:rPr>
        <w:t> </w:t>
      </w:r>
      <w:r w:rsidR="00B370EE" w:rsidRPr="00615894">
        <w:rPr>
          <w:lang w:val="fr-CA"/>
        </w:rPr>
        <w:t xml:space="preserve">6890 (QL), 2012 </w:t>
      </w:r>
      <w:proofErr w:type="spellStart"/>
      <w:r w:rsidR="00B370EE" w:rsidRPr="00615894">
        <w:rPr>
          <w:lang w:val="fr-CA"/>
        </w:rPr>
        <w:t>CarswellQue</w:t>
      </w:r>
      <w:proofErr w:type="spellEnd"/>
      <w:r w:rsidR="00B370EE" w:rsidRPr="00615894">
        <w:rPr>
          <w:lang w:val="fr-CA"/>
        </w:rPr>
        <w:t xml:space="preserve"> 7252</w:t>
      </w:r>
      <w:r w:rsidR="00AC1C71" w:rsidRPr="00615894">
        <w:rPr>
          <w:lang w:val="fr-CA"/>
        </w:rPr>
        <w:t xml:space="preserve">, </w:t>
      </w:r>
      <w:r w:rsidR="00B370EE" w:rsidRPr="00615894">
        <w:rPr>
          <w:lang w:val="fr-CA"/>
        </w:rPr>
        <w:t>qui a infirmé une décision d</w:t>
      </w:r>
      <w:r w:rsidR="000B3F2A" w:rsidRPr="00615894">
        <w:rPr>
          <w:lang w:val="fr-CA"/>
        </w:rPr>
        <w:t>e la</w:t>
      </w:r>
      <w:r w:rsidR="00B370EE" w:rsidRPr="00615894">
        <w:rPr>
          <w:lang w:val="fr-CA"/>
        </w:rPr>
        <w:t xml:space="preserve"> juge </w:t>
      </w:r>
      <w:proofErr w:type="spellStart"/>
      <w:r w:rsidR="00B370EE" w:rsidRPr="00615894">
        <w:rPr>
          <w:lang w:val="fr-CA"/>
        </w:rPr>
        <w:t>Cor</w:t>
      </w:r>
      <w:r w:rsidR="000B3F2A" w:rsidRPr="00615894">
        <w:rPr>
          <w:lang w:val="fr-CA"/>
        </w:rPr>
        <w:t>r</w:t>
      </w:r>
      <w:r w:rsidR="00B370EE" w:rsidRPr="00615894">
        <w:rPr>
          <w:lang w:val="fr-CA"/>
        </w:rPr>
        <w:t>iveau</w:t>
      </w:r>
      <w:proofErr w:type="spellEnd"/>
      <w:r w:rsidR="00B370EE" w:rsidRPr="00615894">
        <w:rPr>
          <w:lang w:val="fr-CA"/>
        </w:rPr>
        <w:t>, 2012 QCCS 22</w:t>
      </w:r>
      <w:r w:rsidR="00A84D24" w:rsidRPr="00615894">
        <w:rPr>
          <w:lang w:val="fr-CA"/>
        </w:rPr>
        <w:t>, SOQUIJ AZ</w:t>
      </w:r>
      <w:r w:rsidR="00A0307B">
        <w:rPr>
          <w:lang w:val="fr-CA"/>
        </w:rPr>
        <w:t>-</w:t>
      </w:r>
      <w:r w:rsidR="00A84D24" w:rsidRPr="00615894">
        <w:rPr>
          <w:lang w:val="fr-CA"/>
        </w:rPr>
        <w:t>50819121</w:t>
      </w:r>
      <w:r w:rsidR="00B370EE" w:rsidRPr="00615894">
        <w:rPr>
          <w:lang w:val="fr-CA"/>
        </w:rPr>
        <w:t>, [2012] J.Q. n</w:t>
      </w:r>
      <w:r w:rsidR="00B370EE" w:rsidRPr="00615894">
        <w:rPr>
          <w:vertAlign w:val="superscript"/>
          <w:lang w:val="fr-CA"/>
        </w:rPr>
        <w:t>o</w:t>
      </w:r>
      <w:r w:rsidR="00C6205B" w:rsidRPr="00615894">
        <w:rPr>
          <w:lang w:val="fr-CA"/>
        </w:rPr>
        <w:t> </w:t>
      </w:r>
      <w:r w:rsidR="00B370EE" w:rsidRPr="00615894">
        <w:rPr>
          <w:lang w:val="fr-CA"/>
        </w:rPr>
        <w:t xml:space="preserve">39 (QL), 2012 </w:t>
      </w:r>
      <w:proofErr w:type="spellStart"/>
      <w:r w:rsidR="00B370EE" w:rsidRPr="00615894">
        <w:rPr>
          <w:lang w:val="fr-CA"/>
        </w:rPr>
        <w:t>CarswellQue</w:t>
      </w:r>
      <w:proofErr w:type="spellEnd"/>
      <w:r w:rsidR="00B370EE" w:rsidRPr="00615894">
        <w:rPr>
          <w:lang w:val="fr-CA"/>
        </w:rPr>
        <w:t xml:space="preserve"> 72.  </w:t>
      </w:r>
      <w:r w:rsidR="00565D62" w:rsidRPr="00615894">
        <w:rPr>
          <w:lang w:val="fr-CA"/>
        </w:rPr>
        <w:t>Pourvoi</w:t>
      </w:r>
      <w:r w:rsidR="00B370EE" w:rsidRPr="00615894">
        <w:rPr>
          <w:lang w:val="fr-CA"/>
        </w:rPr>
        <w:t xml:space="preserve"> </w:t>
      </w:r>
      <w:r w:rsidR="00EF67DE" w:rsidRPr="00615894">
        <w:rPr>
          <w:lang w:val="fr-CA"/>
        </w:rPr>
        <w:t>rejeté</w:t>
      </w:r>
      <w:r w:rsidR="00B370EE" w:rsidRPr="00615894">
        <w:rPr>
          <w:lang w:val="fr-CA"/>
        </w:rPr>
        <w:t>.</w:t>
      </w:r>
    </w:p>
    <w:p w:rsidR="00D54F9B" w:rsidRPr="00615894" w:rsidRDefault="00AC1C71" w:rsidP="00A0307B">
      <w:pPr>
        <w:pStyle w:val="SCCNormalDoubleSpacing"/>
        <w:spacing w:after="480"/>
        <w:rPr>
          <w:lang w:val="fr-CA"/>
        </w:rPr>
      </w:pPr>
      <w:r w:rsidRPr="00615894">
        <w:rPr>
          <w:rStyle w:val="SCCCounselNameChar"/>
          <w:lang w:val="fr-CA"/>
        </w:rPr>
        <w:lastRenderedPageBreak/>
        <w:tab/>
        <w:t>Richard </w:t>
      </w:r>
      <w:r w:rsidR="005B653C" w:rsidRPr="00615894">
        <w:rPr>
          <w:rStyle w:val="SCCCounselNameChar"/>
          <w:lang w:val="fr-CA"/>
        </w:rPr>
        <w:t xml:space="preserve">A. </w:t>
      </w:r>
      <w:proofErr w:type="spellStart"/>
      <w:r w:rsidR="005B653C" w:rsidRPr="00615894">
        <w:rPr>
          <w:rStyle w:val="SCCCounselNameChar"/>
          <w:lang w:val="fr-CA"/>
        </w:rPr>
        <w:t>Hinse</w:t>
      </w:r>
      <w:proofErr w:type="spellEnd"/>
      <w:r w:rsidR="005B653C" w:rsidRPr="00615894">
        <w:rPr>
          <w:rStyle w:val="SCCCounselSeparatorChar"/>
          <w:lang w:val="fr-CA"/>
        </w:rPr>
        <w:t xml:space="preserve">, </w:t>
      </w:r>
      <w:r w:rsidRPr="00615894">
        <w:rPr>
          <w:rStyle w:val="SCCCounselNameChar"/>
          <w:lang w:val="fr-CA"/>
        </w:rPr>
        <w:t>Robert </w:t>
      </w:r>
      <w:r w:rsidR="005B653C" w:rsidRPr="00615894">
        <w:rPr>
          <w:rStyle w:val="SCCCounselNameChar"/>
          <w:lang w:val="fr-CA"/>
        </w:rPr>
        <w:t xml:space="preserve">W. </w:t>
      </w:r>
      <w:proofErr w:type="spellStart"/>
      <w:r w:rsidR="005B653C" w:rsidRPr="00615894">
        <w:rPr>
          <w:rStyle w:val="SCCCounselNameChar"/>
          <w:lang w:val="fr-CA"/>
        </w:rPr>
        <w:t>Mason</w:t>
      </w:r>
      <w:proofErr w:type="spellEnd"/>
      <w:r w:rsidR="005B653C" w:rsidRPr="00615894">
        <w:rPr>
          <w:rStyle w:val="SCCCounselSeparatorChar"/>
          <w:lang w:val="fr-CA"/>
        </w:rPr>
        <w:t xml:space="preserve"> et </w:t>
      </w:r>
      <w:r w:rsidR="005B653C" w:rsidRPr="00615894">
        <w:rPr>
          <w:rStyle w:val="SCCCounselNameChar"/>
          <w:lang w:val="fr-CA"/>
        </w:rPr>
        <w:t xml:space="preserve">Dominique </w:t>
      </w:r>
      <w:proofErr w:type="spellStart"/>
      <w:r w:rsidR="005B653C" w:rsidRPr="00615894">
        <w:rPr>
          <w:rStyle w:val="SCCCounselNameChar"/>
          <w:lang w:val="fr-CA"/>
        </w:rPr>
        <w:t>Vallières</w:t>
      </w:r>
      <w:proofErr w:type="spellEnd"/>
      <w:r w:rsidR="005B653C" w:rsidRPr="00615894">
        <w:rPr>
          <w:rStyle w:val="SCCCounselPartyRoleChar"/>
          <w:lang w:val="fr-CA"/>
        </w:rPr>
        <w:t>, pour l</w:t>
      </w:r>
      <w:r w:rsidR="005C4C6F" w:rsidRPr="00615894">
        <w:rPr>
          <w:rStyle w:val="SCCCounselPartyRoleChar"/>
          <w:lang w:val="fr-CA"/>
        </w:rPr>
        <w:t xml:space="preserve">es </w:t>
      </w:r>
      <w:r w:rsidR="005B653C" w:rsidRPr="00615894">
        <w:rPr>
          <w:rStyle w:val="SCCCounselPartyRoleChar"/>
          <w:lang w:val="fr-CA"/>
        </w:rPr>
        <w:t>appelant</w:t>
      </w:r>
      <w:r w:rsidR="005C4C6F" w:rsidRPr="00615894">
        <w:rPr>
          <w:rStyle w:val="SCCCounselPartyRoleChar"/>
          <w:lang w:val="fr-CA"/>
        </w:rPr>
        <w:t>es</w:t>
      </w:r>
      <w:r w:rsidR="005B653C" w:rsidRPr="00615894">
        <w:rPr>
          <w:rStyle w:val="SCCCounselPartyRoleChar"/>
          <w:lang w:val="fr-CA"/>
        </w:rPr>
        <w:t>.</w:t>
      </w:r>
    </w:p>
    <w:p w:rsidR="00D54F9B" w:rsidRPr="00615894" w:rsidRDefault="00AC1C71" w:rsidP="00A0307B">
      <w:pPr>
        <w:pStyle w:val="SCCNormalDoubleSpacing"/>
        <w:spacing w:after="480"/>
        <w:rPr>
          <w:lang w:val="fr-CA"/>
        </w:rPr>
      </w:pPr>
      <w:r w:rsidRPr="00615894">
        <w:rPr>
          <w:rStyle w:val="SCCCounselNameChar"/>
          <w:lang w:val="fr-CA"/>
        </w:rPr>
        <w:tab/>
        <w:t>Martin </w:t>
      </w:r>
      <w:r w:rsidR="005C4C6F" w:rsidRPr="00615894">
        <w:rPr>
          <w:rStyle w:val="SCCCounselNameChar"/>
          <w:lang w:val="fr-CA"/>
        </w:rPr>
        <w:t xml:space="preserve">F. </w:t>
      </w:r>
      <w:proofErr w:type="spellStart"/>
      <w:r w:rsidR="005B653C" w:rsidRPr="00615894">
        <w:rPr>
          <w:rStyle w:val="SCCCounselNameChar"/>
          <w:lang w:val="fr-CA"/>
        </w:rPr>
        <w:t>Sheehan</w:t>
      </w:r>
      <w:proofErr w:type="spellEnd"/>
      <w:r w:rsidR="005B653C" w:rsidRPr="00615894">
        <w:rPr>
          <w:rStyle w:val="SCCCounselSeparatorChar"/>
          <w:lang w:val="fr-CA"/>
        </w:rPr>
        <w:t xml:space="preserve"> et </w:t>
      </w:r>
      <w:r w:rsidR="005B653C" w:rsidRPr="00615894">
        <w:rPr>
          <w:rStyle w:val="SCCCounselNameChar"/>
          <w:lang w:val="fr-CA"/>
        </w:rPr>
        <w:t xml:space="preserve">Stéphanie </w:t>
      </w:r>
      <w:proofErr w:type="spellStart"/>
      <w:r w:rsidR="005B653C" w:rsidRPr="00615894">
        <w:rPr>
          <w:rStyle w:val="SCCCounselNameChar"/>
          <w:lang w:val="fr-CA"/>
        </w:rPr>
        <w:t>Lavallée</w:t>
      </w:r>
      <w:proofErr w:type="spellEnd"/>
      <w:r w:rsidR="005B653C" w:rsidRPr="00615894">
        <w:rPr>
          <w:rStyle w:val="SCCCounselPartyRoleChar"/>
          <w:lang w:val="fr-CA"/>
        </w:rPr>
        <w:t>, pour l</w:t>
      </w:r>
      <w:r w:rsidR="005C4C6F" w:rsidRPr="00615894">
        <w:rPr>
          <w:rStyle w:val="SCCCounselPartyRoleChar"/>
          <w:lang w:val="fr-CA"/>
        </w:rPr>
        <w:t xml:space="preserve">es </w:t>
      </w:r>
      <w:r w:rsidR="005B653C" w:rsidRPr="00615894">
        <w:rPr>
          <w:rStyle w:val="SCCCounselPartyRoleChar"/>
          <w:lang w:val="fr-CA"/>
        </w:rPr>
        <w:t>intimé</w:t>
      </w:r>
      <w:r w:rsidR="005C4C6F" w:rsidRPr="00615894">
        <w:rPr>
          <w:rStyle w:val="SCCCounselPartyRoleChar"/>
          <w:lang w:val="fr-CA"/>
        </w:rPr>
        <w:t>es</w:t>
      </w:r>
      <w:r w:rsidR="005B653C" w:rsidRPr="00615894">
        <w:rPr>
          <w:rStyle w:val="SCCCounselPartyRoleChar"/>
          <w:lang w:val="fr-CA"/>
        </w:rPr>
        <w:t>.</w:t>
      </w:r>
    </w:p>
    <w:p w:rsidR="00D54F9B" w:rsidRPr="00615894" w:rsidRDefault="005B653C" w:rsidP="00A0307B">
      <w:pPr>
        <w:pStyle w:val="SCCNormalDoubleSpacing"/>
        <w:spacing w:after="480"/>
        <w:rPr>
          <w:lang w:val="fr-CA"/>
        </w:rPr>
      </w:pPr>
      <w:r w:rsidRPr="00615894">
        <w:rPr>
          <w:rStyle w:val="SCCCounselNameChar"/>
          <w:lang w:val="fr-CA"/>
        </w:rPr>
        <w:tab/>
        <w:t xml:space="preserve">Jonathan </w:t>
      </w:r>
      <w:proofErr w:type="spellStart"/>
      <w:r w:rsidRPr="00615894">
        <w:rPr>
          <w:rStyle w:val="SCCCounselNameChar"/>
          <w:lang w:val="fr-CA"/>
        </w:rPr>
        <w:t>Eades</w:t>
      </w:r>
      <w:proofErr w:type="spellEnd"/>
      <w:r w:rsidRPr="00615894">
        <w:rPr>
          <w:rStyle w:val="SCCCounselSeparatorChar"/>
          <w:lang w:val="fr-CA"/>
        </w:rPr>
        <w:t xml:space="preserve"> et </w:t>
      </w:r>
      <w:r w:rsidRPr="00615894">
        <w:rPr>
          <w:rStyle w:val="SCCCounselNameChar"/>
          <w:lang w:val="fr-CA"/>
        </w:rPr>
        <w:t>Mark Witten</w:t>
      </w:r>
      <w:r w:rsidRPr="00615894">
        <w:rPr>
          <w:rStyle w:val="SCCCounselPartyRoleChar"/>
          <w:lang w:val="fr-CA"/>
        </w:rPr>
        <w:t>, pour l</w:t>
      </w:r>
      <w:r w:rsidR="00602BF2">
        <w:rPr>
          <w:rStyle w:val="SCCCounselPartyRoleChar"/>
          <w:lang w:val="fr-CA"/>
        </w:rPr>
        <w:t>’</w:t>
      </w:r>
      <w:r w:rsidRPr="00615894">
        <w:rPr>
          <w:rStyle w:val="SCCCounselPartyRoleChar"/>
          <w:lang w:val="fr-CA"/>
        </w:rPr>
        <w:t>intervenant</w:t>
      </w:r>
      <w:r w:rsidR="005C4C6F" w:rsidRPr="00615894">
        <w:rPr>
          <w:rStyle w:val="SCCCounselPartyRoleChar"/>
          <w:lang w:val="fr-CA"/>
        </w:rPr>
        <w:t xml:space="preserve"> le p</w:t>
      </w:r>
      <w:r w:rsidRPr="00615894">
        <w:rPr>
          <w:rStyle w:val="SCCCounselPartyRoleChar"/>
          <w:lang w:val="fr-CA"/>
        </w:rPr>
        <w:t>rocureur général de la Colombie</w:t>
      </w:r>
      <w:r w:rsidR="00A0307B">
        <w:rPr>
          <w:rStyle w:val="SCCCounselPartyRoleChar"/>
          <w:lang w:val="fr-CA"/>
        </w:rPr>
        <w:t>-</w:t>
      </w:r>
      <w:r w:rsidRPr="00615894">
        <w:rPr>
          <w:rStyle w:val="SCCCounselPartyRoleChar"/>
          <w:lang w:val="fr-CA"/>
        </w:rPr>
        <w:t>Britannique.</w:t>
      </w:r>
    </w:p>
    <w:p w:rsidR="00D54F9B" w:rsidRPr="00615894" w:rsidRDefault="00AC1C71" w:rsidP="00A0307B">
      <w:pPr>
        <w:pStyle w:val="SCCNormalDoubleSpacing"/>
        <w:spacing w:after="480"/>
        <w:rPr>
          <w:lang w:val="fr-CA"/>
        </w:rPr>
      </w:pPr>
      <w:r w:rsidRPr="00615894">
        <w:rPr>
          <w:rStyle w:val="SCCCounselNameChar"/>
          <w:lang w:val="fr-CA"/>
        </w:rPr>
        <w:tab/>
        <w:t>William </w:t>
      </w:r>
      <w:r w:rsidR="005B653C" w:rsidRPr="00615894">
        <w:rPr>
          <w:rStyle w:val="SCCCounselNameChar"/>
          <w:lang w:val="fr-CA"/>
        </w:rPr>
        <w:t xml:space="preserve">C. </w:t>
      </w:r>
      <w:proofErr w:type="spellStart"/>
      <w:r w:rsidR="005B653C" w:rsidRPr="00615894">
        <w:rPr>
          <w:rStyle w:val="SCCCounselNameChar"/>
          <w:lang w:val="fr-CA"/>
        </w:rPr>
        <w:t>McDowell</w:t>
      </w:r>
      <w:proofErr w:type="spellEnd"/>
      <w:r w:rsidR="005C4C6F" w:rsidRPr="00615894">
        <w:rPr>
          <w:rStyle w:val="SCCCounselSeparatorChar"/>
          <w:lang w:val="fr-CA"/>
        </w:rPr>
        <w:t xml:space="preserve"> </w:t>
      </w:r>
      <w:r w:rsidR="005B653C" w:rsidRPr="00615894">
        <w:rPr>
          <w:rStyle w:val="SCCCounselSeparatorChar"/>
          <w:lang w:val="fr-CA"/>
        </w:rPr>
        <w:t xml:space="preserve">et </w:t>
      </w:r>
      <w:proofErr w:type="spellStart"/>
      <w:r w:rsidR="005C4C6F" w:rsidRPr="00615894">
        <w:rPr>
          <w:rStyle w:val="SCCCounselNameChar"/>
          <w:lang w:val="fr-CA"/>
        </w:rPr>
        <w:t>K</w:t>
      </w:r>
      <w:r w:rsidR="005B653C" w:rsidRPr="00615894">
        <w:rPr>
          <w:rStyle w:val="SCCCounselNameChar"/>
          <w:lang w:val="fr-CA"/>
        </w:rPr>
        <w:t>aitlyn</w:t>
      </w:r>
      <w:proofErr w:type="spellEnd"/>
      <w:r w:rsidR="005B653C" w:rsidRPr="00615894">
        <w:rPr>
          <w:rStyle w:val="SCCCounselNameChar"/>
          <w:lang w:val="fr-CA"/>
        </w:rPr>
        <w:t xml:space="preserve"> </w:t>
      </w:r>
      <w:proofErr w:type="spellStart"/>
      <w:r w:rsidR="005B653C" w:rsidRPr="00615894">
        <w:rPr>
          <w:rStyle w:val="SCCCounselNameChar"/>
          <w:lang w:val="fr-CA"/>
        </w:rPr>
        <w:t>Pentney</w:t>
      </w:r>
      <w:proofErr w:type="spellEnd"/>
      <w:r w:rsidR="005B653C" w:rsidRPr="00615894">
        <w:rPr>
          <w:rStyle w:val="SCCCounselPartyRoleChar"/>
          <w:lang w:val="fr-CA"/>
        </w:rPr>
        <w:t>, pour l</w:t>
      </w:r>
      <w:r w:rsidR="00602BF2">
        <w:rPr>
          <w:rStyle w:val="SCCCounselPartyRoleChar"/>
          <w:lang w:val="fr-CA"/>
        </w:rPr>
        <w:t>’</w:t>
      </w:r>
      <w:r w:rsidR="005B653C" w:rsidRPr="00615894">
        <w:rPr>
          <w:rStyle w:val="SCCCounselPartyRoleChar"/>
          <w:lang w:val="fr-CA"/>
        </w:rPr>
        <w:t>intervenante Arbitration Place Inc.</w:t>
      </w:r>
    </w:p>
    <w:p w:rsidR="00F3157A" w:rsidRDefault="00A0307B" w:rsidP="00A0307B">
      <w:pPr>
        <w:pStyle w:val="SCCNormalDoubleSpacing"/>
        <w:spacing w:after="480"/>
        <w:rPr>
          <w:szCs w:val="24"/>
          <w:lang w:val="fr-CA"/>
        </w:rPr>
      </w:pPr>
      <w:r>
        <w:rPr>
          <w:szCs w:val="24"/>
          <w:lang w:val="fr-CA"/>
        </w:rPr>
        <w:tab/>
      </w:r>
      <w:r w:rsidR="00F3157A">
        <w:rPr>
          <w:szCs w:val="24"/>
          <w:lang w:val="fr-CA"/>
        </w:rPr>
        <w:t>Ver</w:t>
      </w:r>
      <w:r w:rsidR="00F3157A" w:rsidRPr="00B6619D">
        <w:rPr>
          <w:szCs w:val="24"/>
          <w:lang w:val="fr-CA"/>
        </w:rPr>
        <w:t xml:space="preserve">sion française du jugement </w:t>
      </w:r>
      <w:r w:rsidR="00F3157A">
        <w:rPr>
          <w:szCs w:val="24"/>
          <w:lang w:val="fr-CA"/>
        </w:rPr>
        <w:t>de la Cour r</w:t>
      </w:r>
      <w:r w:rsidR="00F3157A" w:rsidRPr="00B6619D">
        <w:rPr>
          <w:szCs w:val="24"/>
          <w:lang w:val="fr-CA"/>
        </w:rPr>
        <w:t>endu par</w:t>
      </w:r>
    </w:p>
    <w:p w:rsidR="00F3157A" w:rsidRPr="00332A1B" w:rsidRDefault="00F3157A" w:rsidP="00A0307B">
      <w:pPr>
        <w:pStyle w:val="JudgeJuge"/>
        <w:rPr>
          <w:noProof/>
          <w:lang w:val="fr-CA"/>
        </w:rPr>
      </w:pPr>
      <w:r w:rsidRPr="00332A1B">
        <w:rPr>
          <w:noProof/>
          <w:lang w:val="fr-CA"/>
        </w:rPr>
        <w:tab/>
        <w:t xml:space="preserve">Le juge Wagner — </w:t>
      </w:r>
    </w:p>
    <w:p w:rsidR="00F3157A" w:rsidRPr="00332A1B" w:rsidRDefault="00F3157A" w:rsidP="00A0307B">
      <w:pPr>
        <w:pStyle w:val="Title1LevelTitre1Niveau-AltL"/>
        <w:keepNext w:val="0"/>
        <w:rPr>
          <w:rFonts w:cs="Times New Roman"/>
          <w:noProof/>
          <w:lang w:val="fr-CA"/>
        </w:rPr>
      </w:pPr>
      <w:r w:rsidRPr="00332A1B">
        <w:rPr>
          <w:rFonts w:cs="Times New Roman"/>
          <w:noProof/>
          <w:lang w:val="fr-CA"/>
        </w:rPr>
        <w:t>Introduction</w:t>
      </w:r>
    </w:p>
    <w:p w:rsidR="00F3157A" w:rsidRPr="00332A1B" w:rsidRDefault="00F3157A" w:rsidP="00A0307B">
      <w:pPr>
        <w:pStyle w:val="ParaNoNdepar-AltN"/>
        <w:rPr>
          <w:rFonts w:cs="Times New Roman"/>
          <w:noProof/>
          <w:lang w:val="fr-CA"/>
        </w:rPr>
      </w:pPr>
      <w:r w:rsidRPr="00332A1B">
        <w:rPr>
          <w:rFonts w:cs="Times New Roman"/>
          <w:noProof/>
          <w:lang w:val="fr-CA"/>
        </w:rPr>
        <w:t>Notre Cour a confirmé récemment l</w:t>
      </w:r>
      <w:r>
        <w:rPr>
          <w:rFonts w:cs="Times New Roman"/>
          <w:noProof/>
          <w:lang w:val="fr-CA"/>
        </w:rPr>
        <w:t>’</w:t>
      </w:r>
      <w:r w:rsidRPr="00332A1B">
        <w:rPr>
          <w:rFonts w:cs="Times New Roman"/>
          <w:noProof/>
          <w:lang w:val="fr-CA"/>
        </w:rPr>
        <w:t>importance cruciale du privilège relatif aux règlements lorsqu</w:t>
      </w:r>
      <w:r>
        <w:rPr>
          <w:rFonts w:cs="Times New Roman"/>
          <w:noProof/>
          <w:lang w:val="fr-CA"/>
        </w:rPr>
        <w:t>’</w:t>
      </w:r>
      <w:r w:rsidRPr="00332A1B">
        <w:rPr>
          <w:rFonts w:cs="Times New Roman"/>
          <w:noProof/>
          <w:lang w:val="fr-CA"/>
        </w:rPr>
        <w:t>il s</w:t>
      </w:r>
      <w:r>
        <w:rPr>
          <w:rFonts w:cs="Times New Roman"/>
          <w:noProof/>
          <w:lang w:val="fr-CA"/>
        </w:rPr>
        <w:t>’</w:t>
      </w:r>
      <w:r w:rsidRPr="00332A1B">
        <w:rPr>
          <w:rFonts w:cs="Times New Roman"/>
          <w:noProof/>
          <w:lang w:val="fr-CA"/>
        </w:rPr>
        <w:t>agit de favoriser le règlement des différends et d</w:t>
      </w:r>
      <w:r>
        <w:rPr>
          <w:rFonts w:cs="Times New Roman"/>
          <w:noProof/>
          <w:lang w:val="fr-CA"/>
        </w:rPr>
        <w:t>’</w:t>
      </w:r>
      <w:r w:rsidRPr="00332A1B">
        <w:rPr>
          <w:rFonts w:cs="Times New Roman"/>
          <w:noProof/>
          <w:lang w:val="fr-CA"/>
        </w:rPr>
        <w:t>améliorer l</w:t>
      </w:r>
      <w:r>
        <w:rPr>
          <w:rFonts w:cs="Times New Roman"/>
          <w:noProof/>
          <w:lang w:val="fr-CA"/>
        </w:rPr>
        <w:t>’</w:t>
      </w:r>
      <w:r w:rsidRPr="00332A1B">
        <w:rPr>
          <w:rFonts w:cs="Times New Roman"/>
          <w:noProof/>
          <w:lang w:val="fr-CA"/>
        </w:rPr>
        <w:t xml:space="preserve">accès à la justice : </w:t>
      </w:r>
      <w:r w:rsidRPr="00332A1B">
        <w:rPr>
          <w:rFonts w:cs="Times New Roman"/>
          <w:i/>
          <w:noProof/>
          <w:lang w:val="fr-CA"/>
        </w:rPr>
        <w:t>Sable Offshore Energy Inc. c. Ameron International Corp.</w:t>
      </w:r>
      <w:r w:rsidRPr="00332A1B">
        <w:rPr>
          <w:rFonts w:cs="Times New Roman"/>
          <w:noProof/>
          <w:lang w:val="fr-CA"/>
        </w:rPr>
        <w:t>, 2013 CSC 37, [2013] 2 R.C.S. 623.  Le privilège relatif aux règlements est une règle de preuve de la common law qui s</w:t>
      </w:r>
      <w:r>
        <w:rPr>
          <w:rFonts w:cs="Times New Roman"/>
          <w:noProof/>
          <w:lang w:val="fr-CA"/>
        </w:rPr>
        <w:t>’</w:t>
      </w:r>
      <w:r w:rsidRPr="00332A1B">
        <w:rPr>
          <w:rFonts w:cs="Times New Roman"/>
          <w:noProof/>
          <w:lang w:val="fr-CA"/>
        </w:rPr>
        <w:t>applique aux négociations en vue d</w:t>
      </w:r>
      <w:r>
        <w:rPr>
          <w:rFonts w:cs="Times New Roman"/>
          <w:noProof/>
          <w:lang w:val="fr-CA"/>
        </w:rPr>
        <w:t>’</w:t>
      </w:r>
      <w:r w:rsidRPr="00332A1B">
        <w:rPr>
          <w:rFonts w:cs="Times New Roman"/>
          <w:noProof/>
          <w:lang w:val="fr-CA"/>
        </w:rPr>
        <w:t>un règlement, même si les parties ne l</w:t>
      </w:r>
      <w:r>
        <w:rPr>
          <w:rFonts w:cs="Times New Roman"/>
          <w:noProof/>
          <w:lang w:val="fr-CA"/>
        </w:rPr>
        <w:t>’</w:t>
      </w:r>
      <w:r w:rsidRPr="00332A1B">
        <w:rPr>
          <w:rFonts w:cs="Times New Roman"/>
          <w:noProof/>
          <w:lang w:val="fr-CA"/>
        </w:rPr>
        <w:t>ont pas expressément invoqué.  Or, ce privilège n</w:t>
      </w:r>
      <w:r>
        <w:rPr>
          <w:rFonts w:cs="Times New Roman"/>
          <w:noProof/>
          <w:lang w:val="fr-CA"/>
        </w:rPr>
        <w:t>’</w:t>
      </w:r>
      <w:r w:rsidRPr="00332A1B">
        <w:rPr>
          <w:rFonts w:cs="Times New Roman"/>
          <w:noProof/>
          <w:lang w:val="fr-CA"/>
        </w:rPr>
        <w:t>est pas le seul outil à la disposition des parties.  À l</w:t>
      </w:r>
      <w:r>
        <w:rPr>
          <w:rFonts w:cs="Times New Roman"/>
          <w:noProof/>
          <w:lang w:val="fr-CA"/>
        </w:rPr>
        <w:t>’</w:t>
      </w:r>
      <w:r w:rsidRPr="00332A1B">
        <w:rPr>
          <w:rFonts w:cs="Times New Roman"/>
          <w:noProof/>
          <w:lang w:val="fr-CA"/>
        </w:rPr>
        <w:t xml:space="preserve">instar des appelantes et des </w:t>
      </w:r>
      <w:r w:rsidRPr="00332A1B">
        <w:rPr>
          <w:rFonts w:cs="Times New Roman"/>
          <w:noProof/>
          <w:lang w:val="fr-CA"/>
        </w:rPr>
        <w:lastRenderedPageBreak/>
        <w:t>intimées en l</w:t>
      </w:r>
      <w:r>
        <w:rPr>
          <w:rFonts w:cs="Times New Roman"/>
          <w:noProof/>
          <w:lang w:val="fr-CA"/>
        </w:rPr>
        <w:t>’</w:t>
      </w:r>
      <w:r w:rsidRPr="00332A1B">
        <w:rPr>
          <w:rFonts w:cs="Times New Roman"/>
          <w:noProof/>
          <w:lang w:val="fr-CA"/>
        </w:rPr>
        <w:t xml:space="preserve">espèce, les parties signent souvent des ententes de médiation prévoyant que les communications faites durant la médiation demeureront confidentielles. </w:t>
      </w:r>
    </w:p>
    <w:p w:rsidR="00F3157A" w:rsidRPr="00332A1B" w:rsidRDefault="00F3157A" w:rsidP="00A0307B">
      <w:pPr>
        <w:pStyle w:val="ParaNoNdepar-AltN"/>
        <w:rPr>
          <w:rFonts w:cs="Times New Roman"/>
          <w:noProof/>
          <w:lang w:val="fr-CA"/>
        </w:rPr>
      </w:pPr>
      <w:r w:rsidRPr="00332A1B">
        <w:rPr>
          <w:rFonts w:cs="Times New Roman"/>
          <w:noProof/>
          <w:lang w:val="fr-CA"/>
        </w:rPr>
        <w:t>Le présent pourvoi porte sur l</w:t>
      </w:r>
      <w:r>
        <w:rPr>
          <w:rFonts w:cs="Times New Roman"/>
          <w:noProof/>
          <w:lang w:val="fr-CA"/>
        </w:rPr>
        <w:t>’</w:t>
      </w:r>
      <w:r w:rsidRPr="00332A1B">
        <w:rPr>
          <w:rFonts w:cs="Times New Roman"/>
          <w:noProof/>
          <w:lang w:val="fr-CA"/>
        </w:rPr>
        <w:t>interaction entre ces deux moyens de protection : les contrats privés prévoyant le caractère confidentiel de la médiation et le privilège relatif aux règlements de la common law.  Plus particulièrement, il a trait à une exception au privilège relatif aux règlements que prévoit la common law et qui s</w:t>
      </w:r>
      <w:r>
        <w:rPr>
          <w:rFonts w:cs="Times New Roman"/>
          <w:noProof/>
          <w:lang w:val="fr-CA"/>
        </w:rPr>
        <w:t>’</w:t>
      </w:r>
      <w:r w:rsidRPr="00332A1B">
        <w:rPr>
          <w:rFonts w:cs="Times New Roman"/>
          <w:noProof/>
          <w:lang w:val="fr-CA"/>
        </w:rPr>
        <w:t>applique lorsqu</w:t>
      </w:r>
      <w:r>
        <w:rPr>
          <w:rFonts w:cs="Times New Roman"/>
          <w:noProof/>
          <w:lang w:val="fr-CA"/>
        </w:rPr>
        <w:t>’</w:t>
      </w:r>
      <w:r w:rsidRPr="00332A1B">
        <w:rPr>
          <w:rFonts w:cs="Times New Roman"/>
          <w:noProof/>
          <w:lang w:val="fr-CA"/>
        </w:rPr>
        <w:t>une partie cherche à établir l</w:t>
      </w:r>
      <w:r>
        <w:rPr>
          <w:rFonts w:cs="Times New Roman"/>
          <w:noProof/>
          <w:lang w:val="fr-CA"/>
        </w:rPr>
        <w:t>’</w:t>
      </w:r>
      <w:r w:rsidRPr="00332A1B">
        <w:rPr>
          <w:rFonts w:cs="Times New Roman"/>
          <w:noProof/>
          <w:lang w:val="fr-CA"/>
        </w:rPr>
        <w:t>existence ou la portée d</w:t>
      </w:r>
      <w:r>
        <w:rPr>
          <w:rFonts w:cs="Times New Roman"/>
          <w:noProof/>
          <w:lang w:val="fr-CA"/>
        </w:rPr>
        <w:t>’</w:t>
      </w:r>
      <w:r w:rsidRPr="00332A1B">
        <w:rPr>
          <w:rFonts w:cs="Times New Roman"/>
          <w:noProof/>
          <w:lang w:val="fr-CA"/>
        </w:rPr>
        <w:t>un règlement.  Il nous faut déterminer si un contrat de médiation qui assure une confidentialité absolue écarte le privilège relatif aux règlements de la common law, y compris cette exception, et empêche de ce fait les parties de faire la preuve des modalités d</w:t>
      </w:r>
      <w:r>
        <w:rPr>
          <w:rFonts w:cs="Times New Roman"/>
          <w:noProof/>
          <w:lang w:val="fr-CA"/>
        </w:rPr>
        <w:t>’</w:t>
      </w:r>
      <w:r w:rsidRPr="00332A1B">
        <w:rPr>
          <w:rFonts w:cs="Times New Roman"/>
          <w:noProof/>
          <w:lang w:val="fr-CA"/>
        </w:rPr>
        <w:t xml:space="preserve">un règlement. </w:t>
      </w:r>
    </w:p>
    <w:p w:rsidR="00F3157A" w:rsidRPr="00332A1B" w:rsidRDefault="00F3157A" w:rsidP="00A0307B">
      <w:pPr>
        <w:pStyle w:val="ParaNoNdepar-AltN"/>
        <w:rPr>
          <w:rFonts w:cs="Times New Roman"/>
          <w:noProof/>
          <w:lang w:val="fr-CA"/>
        </w:rPr>
      </w:pPr>
      <w:r w:rsidRPr="00332A1B">
        <w:rPr>
          <w:rFonts w:cs="Times New Roman"/>
          <w:noProof/>
          <w:lang w:val="fr-CA"/>
        </w:rPr>
        <w:t>Paradoxalement, tant les appelantes que les intimées font valoir que la décision de la Cour pourrait nuire à l</w:t>
      </w:r>
      <w:r>
        <w:rPr>
          <w:rFonts w:cs="Times New Roman"/>
          <w:noProof/>
          <w:lang w:val="fr-CA"/>
        </w:rPr>
        <w:t>’</w:t>
      </w:r>
      <w:r w:rsidRPr="00332A1B">
        <w:rPr>
          <w:rFonts w:cs="Times New Roman"/>
          <w:noProof/>
          <w:lang w:val="fr-CA"/>
        </w:rPr>
        <w:t>évolution de la médiation au Canada, soit en portant atteinte à son caractère confidentiel, soit en faisant obstacle à ses principaux objectifs</w:t>
      </w:r>
      <w:r>
        <w:rPr>
          <w:rFonts w:cs="Times New Roman"/>
          <w:noProof/>
          <w:lang w:val="fr-CA"/>
        </w:rPr>
        <w:t xml:space="preserve">.  </w:t>
      </w:r>
      <w:r w:rsidRPr="00332A1B">
        <w:rPr>
          <w:rFonts w:cs="Times New Roman"/>
          <w:noProof/>
          <w:lang w:val="fr-CA"/>
        </w:rPr>
        <w:t>Je ne suis pas d</w:t>
      </w:r>
      <w:r>
        <w:rPr>
          <w:rFonts w:cs="Times New Roman"/>
          <w:noProof/>
          <w:lang w:val="fr-CA"/>
        </w:rPr>
        <w:t>’</w:t>
      </w:r>
      <w:r w:rsidRPr="00332A1B">
        <w:rPr>
          <w:rFonts w:cs="Times New Roman"/>
          <w:noProof/>
          <w:lang w:val="fr-CA"/>
        </w:rPr>
        <w:t>accord.  Ma décision tient compte de l</w:t>
      </w:r>
      <w:r>
        <w:rPr>
          <w:rFonts w:cs="Times New Roman"/>
          <w:noProof/>
          <w:lang w:val="fr-CA"/>
        </w:rPr>
        <w:t>’</w:t>
      </w:r>
      <w:r w:rsidRPr="00332A1B">
        <w:rPr>
          <w:rFonts w:cs="Times New Roman"/>
          <w:noProof/>
          <w:lang w:val="fr-CA"/>
        </w:rPr>
        <w:t>avantage prépondérant pour le public de favoriser le règlement extrajudiciaire des différends, quels que soient les moyens juridiques mis en œuvre pour parvenir à un règlement.  Pour les motifs qui suivent, j</w:t>
      </w:r>
      <w:r>
        <w:rPr>
          <w:rFonts w:cs="Times New Roman"/>
          <w:noProof/>
          <w:lang w:val="fr-CA"/>
        </w:rPr>
        <w:t>’</w:t>
      </w:r>
      <w:r w:rsidRPr="00332A1B">
        <w:rPr>
          <w:rFonts w:cs="Times New Roman"/>
          <w:noProof/>
          <w:lang w:val="fr-CA"/>
        </w:rPr>
        <w:t>estime que les parties sont libres de signer des contrats de médiation qui assurent une protection de la confidentialité différente de celle que procure la common law.  Les parties peuvent ainsi obtenir les mesures de protection qu</w:t>
      </w:r>
      <w:r>
        <w:rPr>
          <w:rFonts w:cs="Times New Roman"/>
          <w:noProof/>
          <w:lang w:val="fr-CA"/>
        </w:rPr>
        <w:t>’</w:t>
      </w:r>
      <w:r w:rsidRPr="00332A1B">
        <w:rPr>
          <w:rFonts w:cs="Times New Roman"/>
          <w:noProof/>
          <w:lang w:val="fr-CA"/>
        </w:rPr>
        <w:t xml:space="preserve">elles jugent importantes et négocier un règlement en toute liberté et en toute </w:t>
      </w:r>
      <w:r w:rsidRPr="00332A1B">
        <w:rPr>
          <w:rFonts w:cs="Times New Roman"/>
          <w:noProof/>
          <w:lang w:val="fr-CA"/>
        </w:rPr>
        <w:lastRenderedPageBreak/>
        <w:t>franchise, réalisant de ce fait le même objectif que le privilège relatif aux règlements : favoriser les règlements.  Je rejette cependant la présomption selon laquelle toute clause de confidentialité figurant dans une entente de médiation a pour effet d</w:t>
      </w:r>
      <w:r>
        <w:rPr>
          <w:rFonts w:cs="Times New Roman"/>
          <w:noProof/>
          <w:lang w:val="fr-CA"/>
        </w:rPr>
        <w:t>’</w:t>
      </w:r>
      <w:r w:rsidRPr="00332A1B">
        <w:rPr>
          <w:rFonts w:cs="Times New Roman"/>
          <w:noProof/>
          <w:lang w:val="fr-CA"/>
        </w:rPr>
        <w:t>écarter automatiquement le privilège relatif aux règlements, et en particulier les exceptions à ce privilège reconnues par la common law.  Les exceptions au privilège ont été élaborées pour des raisons d</w:t>
      </w:r>
      <w:r>
        <w:rPr>
          <w:rFonts w:cs="Times New Roman"/>
          <w:noProof/>
          <w:lang w:val="fr-CA"/>
        </w:rPr>
        <w:t>’</w:t>
      </w:r>
      <w:r w:rsidRPr="00332A1B">
        <w:rPr>
          <w:rFonts w:cs="Times New Roman"/>
          <w:noProof/>
          <w:lang w:val="fr-CA"/>
        </w:rPr>
        <w:t>intérêt public et visent à réaliser l</w:t>
      </w:r>
      <w:r>
        <w:rPr>
          <w:rFonts w:cs="Times New Roman"/>
          <w:noProof/>
          <w:lang w:val="fr-CA"/>
        </w:rPr>
        <w:t>’</w:t>
      </w:r>
      <w:r w:rsidRPr="00332A1B">
        <w:rPr>
          <w:rFonts w:cs="Times New Roman"/>
          <w:noProof/>
          <w:lang w:val="fr-CA"/>
        </w:rPr>
        <w:t>objectif général du privilège.  Un contrat de médiation n</w:t>
      </w:r>
      <w:r>
        <w:rPr>
          <w:rFonts w:cs="Times New Roman"/>
          <w:noProof/>
          <w:lang w:val="fr-CA"/>
        </w:rPr>
        <w:t>’</w:t>
      </w:r>
      <w:r w:rsidRPr="00332A1B">
        <w:rPr>
          <w:rFonts w:cs="Times New Roman"/>
          <w:noProof/>
          <w:lang w:val="fr-CA"/>
        </w:rPr>
        <w:t>empêchera pas les parties de faire la preuve des modalités d</w:t>
      </w:r>
      <w:r>
        <w:rPr>
          <w:rFonts w:cs="Times New Roman"/>
          <w:noProof/>
          <w:lang w:val="fr-CA"/>
        </w:rPr>
        <w:t>’</w:t>
      </w:r>
      <w:r w:rsidRPr="00332A1B">
        <w:rPr>
          <w:rFonts w:cs="Times New Roman"/>
          <w:noProof/>
          <w:lang w:val="fr-CA"/>
        </w:rPr>
        <w:t>un règlement au moyen des communications faites au cours de la médiation à moins que le tribunal estime, en appliquant les règles d</w:t>
      </w:r>
      <w:r>
        <w:rPr>
          <w:rFonts w:cs="Times New Roman"/>
          <w:noProof/>
          <w:lang w:val="fr-CA"/>
        </w:rPr>
        <w:t>’</w:t>
      </w:r>
      <w:r w:rsidRPr="00332A1B">
        <w:rPr>
          <w:rFonts w:cs="Times New Roman"/>
          <w:noProof/>
          <w:lang w:val="fr-CA"/>
        </w:rPr>
        <w:t>interprétation des contrats, que tel était l</w:t>
      </w:r>
      <w:r>
        <w:rPr>
          <w:rFonts w:cs="Times New Roman"/>
          <w:noProof/>
          <w:lang w:val="fr-CA"/>
        </w:rPr>
        <w:t>’</w:t>
      </w:r>
      <w:r w:rsidRPr="00332A1B">
        <w:rPr>
          <w:rFonts w:cs="Times New Roman"/>
          <w:noProof/>
          <w:lang w:val="fr-CA"/>
        </w:rPr>
        <w:t>effet recherché à l</w:t>
      </w:r>
      <w:r>
        <w:rPr>
          <w:rFonts w:cs="Times New Roman"/>
          <w:noProof/>
          <w:lang w:val="fr-CA"/>
        </w:rPr>
        <w:t>’</w:t>
      </w:r>
      <w:r w:rsidRPr="00332A1B">
        <w:rPr>
          <w:rFonts w:cs="Times New Roman"/>
          <w:noProof/>
          <w:lang w:val="fr-CA"/>
        </w:rPr>
        <w:t xml:space="preserve">entente. </w:t>
      </w:r>
    </w:p>
    <w:p w:rsidR="00F3157A" w:rsidRPr="00332A1B" w:rsidRDefault="00F3157A" w:rsidP="00A0307B">
      <w:pPr>
        <w:pStyle w:val="ParaNoNdepar-AltN"/>
        <w:rPr>
          <w:rFonts w:cs="Times New Roman"/>
          <w:noProof/>
          <w:lang w:val="fr-CA"/>
        </w:rPr>
      </w:pPr>
      <w:r w:rsidRPr="00332A1B">
        <w:rPr>
          <w:rFonts w:cs="Times New Roman"/>
          <w:noProof/>
          <w:lang w:val="fr-CA"/>
        </w:rPr>
        <w:t>Comme le présent litige a pris naissance au Québec, le droit québécois des contrats s</w:t>
      </w:r>
      <w:r>
        <w:rPr>
          <w:rFonts w:cs="Times New Roman"/>
          <w:noProof/>
          <w:lang w:val="fr-CA"/>
        </w:rPr>
        <w:t>’</w:t>
      </w:r>
      <w:r w:rsidRPr="00332A1B">
        <w:rPr>
          <w:rFonts w:cs="Times New Roman"/>
          <w:noProof/>
          <w:lang w:val="fr-CA"/>
        </w:rPr>
        <w:t>applique.  J</w:t>
      </w:r>
      <w:r>
        <w:rPr>
          <w:rFonts w:cs="Times New Roman"/>
          <w:noProof/>
          <w:lang w:val="fr-CA"/>
        </w:rPr>
        <w:t>’</w:t>
      </w:r>
      <w:r w:rsidRPr="00332A1B">
        <w:rPr>
          <w:rFonts w:cs="Times New Roman"/>
          <w:noProof/>
          <w:lang w:val="fr-CA"/>
        </w:rPr>
        <w:t>estime que, même si les parties pouvaient se soustraire par contrat à l</w:t>
      </w:r>
      <w:r>
        <w:rPr>
          <w:rFonts w:cs="Times New Roman"/>
          <w:noProof/>
          <w:lang w:val="fr-CA"/>
        </w:rPr>
        <w:t>’</w:t>
      </w:r>
      <w:r w:rsidRPr="00332A1B">
        <w:rPr>
          <w:rFonts w:cs="Times New Roman"/>
          <w:noProof/>
          <w:lang w:val="fr-CA"/>
        </w:rPr>
        <w:t>exception au privilège relatif aux règlements, elles ne l</w:t>
      </w:r>
      <w:r>
        <w:rPr>
          <w:rFonts w:cs="Times New Roman"/>
          <w:noProof/>
          <w:lang w:val="fr-CA"/>
        </w:rPr>
        <w:t>’</w:t>
      </w:r>
      <w:r w:rsidRPr="00332A1B">
        <w:rPr>
          <w:rFonts w:cs="Times New Roman"/>
          <w:noProof/>
          <w:lang w:val="fr-CA"/>
        </w:rPr>
        <w:t>ont pas fait.  Elles conservent donc leur droit de produire les communications échangées dans le cadre de la médiation pour faire la preuve des modalités de leur règlement.  Je suis d</w:t>
      </w:r>
      <w:r>
        <w:rPr>
          <w:rFonts w:cs="Times New Roman"/>
          <w:noProof/>
          <w:lang w:val="fr-CA"/>
        </w:rPr>
        <w:t>’</w:t>
      </w:r>
      <w:r w:rsidRPr="00332A1B">
        <w:rPr>
          <w:rFonts w:cs="Times New Roman"/>
          <w:noProof/>
          <w:lang w:val="fr-CA"/>
        </w:rPr>
        <w:t xml:space="preserve">avis </w:t>
      </w:r>
      <w:r w:rsidR="008F0696">
        <w:rPr>
          <w:rFonts w:cs="Times New Roman"/>
          <w:noProof/>
          <w:lang w:val="fr-CA"/>
        </w:rPr>
        <w:t>de confirmer la décision de la C</w:t>
      </w:r>
      <w:r w:rsidRPr="00332A1B">
        <w:rPr>
          <w:rFonts w:cs="Times New Roman"/>
          <w:noProof/>
          <w:lang w:val="fr-CA"/>
        </w:rPr>
        <w:t>our d</w:t>
      </w:r>
      <w:r>
        <w:rPr>
          <w:rFonts w:cs="Times New Roman"/>
          <w:noProof/>
          <w:lang w:val="fr-CA"/>
        </w:rPr>
        <w:t>’</w:t>
      </w:r>
      <w:r w:rsidRPr="00332A1B">
        <w:rPr>
          <w:rFonts w:cs="Times New Roman"/>
          <w:noProof/>
          <w:lang w:val="fr-CA"/>
        </w:rPr>
        <w:t>appel, quoique pour des raisons différentes.</w:t>
      </w:r>
    </w:p>
    <w:p w:rsidR="00F3157A" w:rsidRPr="00332A1B" w:rsidRDefault="00F3157A" w:rsidP="00A0307B">
      <w:pPr>
        <w:pStyle w:val="Title1LevelTitre1Niveau-AltL"/>
        <w:keepNext w:val="0"/>
        <w:rPr>
          <w:rFonts w:cs="Times New Roman"/>
          <w:noProof/>
          <w:lang w:val="fr-CA"/>
        </w:rPr>
      </w:pPr>
      <w:r w:rsidRPr="00332A1B">
        <w:rPr>
          <w:rFonts w:cs="Times New Roman"/>
          <w:noProof/>
          <w:lang w:val="fr-CA"/>
        </w:rPr>
        <w:t>Les faits</w:t>
      </w:r>
    </w:p>
    <w:p w:rsidR="00F3157A" w:rsidRPr="00332A1B" w:rsidRDefault="00F3157A" w:rsidP="00A0307B">
      <w:pPr>
        <w:pStyle w:val="ParaNoNdepar-AltN"/>
        <w:rPr>
          <w:rFonts w:cs="Times New Roman"/>
          <w:noProof/>
          <w:lang w:val="fr-CA"/>
        </w:rPr>
      </w:pPr>
      <w:r w:rsidRPr="00332A1B">
        <w:rPr>
          <w:rFonts w:cs="Times New Roman"/>
          <w:noProof/>
          <w:lang w:val="fr-CA"/>
        </w:rPr>
        <w:t xml:space="preserve">Les parties sont empêtrées depuis des décennies dans une action civile de plusieurs millions de dollars au sujet de réservoirs à carburant pour motomarines défectueux.  Les appelantes, Dow Chemical Canada Inc. et Union Carbide Canada Inc., maintenant connues sous le nom de Dow Chemical Canada ULC (« Dow </w:t>
      </w:r>
      <w:r w:rsidRPr="00332A1B">
        <w:rPr>
          <w:rFonts w:cs="Times New Roman"/>
          <w:noProof/>
          <w:lang w:val="fr-CA"/>
        </w:rPr>
        <w:lastRenderedPageBreak/>
        <w:t>Chemical »), fabriquent et distribuent des réservoirs à carburant pour motomarines.  L</w:t>
      </w:r>
      <w:r>
        <w:rPr>
          <w:rFonts w:cs="Times New Roman"/>
          <w:noProof/>
          <w:lang w:val="fr-CA"/>
        </w:rPr>
        <w:t>’</w:t>
      </w:r>
      <w:r w:rsidRPr="00332A1B">
        <w:rPr>
          <w:rFonts w:cs="Times New Roman"/>
          <w:noProof/>
          <w:lang w:val="fr-CA"/>
        </w:rPr>
        <w:t>intimée Bombardier Inc. fabriquait et distribuait des motomarines avant de vendre sa division de produits récréatifs à l</w:t>
      </w:r>
      <w:r>
        <w:rPr>
          <w:rFonts w:cs="Times New Roman"/>
          <w:noProof/>
          <w:lang w:val="fr-CA"/>
        </w:rPr>
        <w:t>’</w:t>
      </w:r>
      <w:r w:rsidRPr="00332A1B">
        <w:rPr>
          <w:rFonts w:cs="Times New Roman"/>
          <w:noProof/>
          <w:lang w:val="fr-CA"/>
        </w:rPr>
        <w:t>intimée Bombardier produits récréatifs Inc. (conjointement, « Bombardier »).  Des plaintes des consommateurs sont à l</w:t>
      </w:r>
      <w:r>
        <w:rPr>
          <w:rFonts w:cs="Times New Roman"/>
          <w:noProof/>
          <w:lang w:val="fr-CA"/>
        </w:rPr>
        <w:t>’</w:t>
      </w:r>
      <w:r w:rsidRPr="00332A1B">
        <w:rPr>
          <w:rFonts w:cs="Times New Roman"/>
          <w:noProof/>
          <w:lang w:val="fr-CA"/>
        </w:rPr>
        <w:t>origine d</w:t>
      </w:r>
      <w:r>
        <w:rPr>
          <w:rFonts w:cs="Times New Roman"/>
          <w:noProof/>
          <w:lang w:val="fr-CA"/>
        </w:rPr>
        <w:t>’</w:t>
      </w:r>
      <w:r w:rsidRPr="00332A1B">
        <w:rPr>
          <w:rFonts w:cs="Times New Roman"/>
          <w:noProof/>
          <w:lang w:val="fr-CA"/>
        </w:rPr>
        <w:t xml:space="preserve">un différend au sujet du caractère approprié des réservoirs. </w:t>
      </w:r>
    </w:p>
    <w:p w:rsidR="00F3157A" w:rsidRPr="00332A1B" w:rsidRDefault="00F3157A" w:rsidP="00A0307B">
      <w:pPr>
        <w:pStyle w:val="ParaNoNdepar-AltN"/>
        <w:rPr>
          <w:rFonts w:cs="Times New Roman"/>
          <w:noProof/>
          <w:lang w:val="fr-CA"/>
        </w:rPr>
      </w:pPr>
      <w:r w:rsidRPr="00332A1B">
        <w:rPr>
          <w:rFonts w:cs="Times New Roman"/>
          <w:noProof/>
          <w:lang w:val="fr-CA"/>
        </w:rPr>
        <w:t>Le présent pourvoi découle de l</w:t>
      </w:r>
      <w:r>
        <w:rPr>
          <w:rFonts w:cs="Times New Roman"/>
          <w:noProof/>
          <w:lang w:val="fr-CA"/>
        </w:rPr>
        <w:t>’</w:t>
      </w:r>
      <w:r w:rsidRPr="00332A1B">
        <w:rPr>
          <w:rFonts w:cs="Times New Roman"/>
          <w:noProof/>
          <w:lang w:val="fr-CA"/>
        </w:rPr>
        <w:t>allégation de Bombardier selon laquelle deux modèles de réservoirs à carburant fournis par Dow Chemical étaient impropres à l</w:t>
      </w:r>
      <w:r>
        <w:rPr>
          <w:rFonts w:cs="Times New Roman"/>
          <w:noProof/>
          <w:lang w:val="fr-CA"/>
        </w:rPr>
        <w:t>’</w:t>
      </w:r>
      <w:r w:rsidRPr="00332A1B">
        <w:rPr>
          <w:rFonts w:cs="Times New Roman"/>
          <w:noProof/>
          <w:lang w:val="fr-CA"/>
        </w:rPr>
        <w:t>usage auquel ils étaient destinés.  Plus particulièrement, Bombardier a affirmé que le matériau utilisé et recommandé par Dow Chemical pour la fabrication des réservoirs à carburant fissurait, ce qui avait dans certains cas causé des explosions; les propriétaires et les utilisateurs des motomarines avaient en conséquence subi des dommages matériels et des lésions corporelles.  En 1997, 1998 et 2003, Bombardier a rappelé les motomarines équipées de réservoirs à carburant de ces modèles et a fait l</w:t>
      </w:r>
      <w:r>
        <w:rPr>
          <w:rFonts w:cs="Times New Roman"/>
          <w:noProof/>
          <w:lang w:val="fr-CA"/>
        </w:rPr>
        <w:t>’</w:t>
      </w:r>
      <w:r w:rsidRPr="00332A1B">
        <w:rPr>
          <w:rFonts w:cs="Times New Roman"/>
          <w:noProof/>
          <w:lang w:val="fr-CA"/>
        </w:rPr>
        <w:t>objet de nombreuses poursuites intentées par des consommateurs.</w:t>
      </w:r>
    </w:p>
    <w:p w:rsidR="00F3157A" w:rsidRPr="00332A1B" w:rsidRDefault="00F3157A" w:rsidP="00A0307B">
      <w:pPr>
        <w:pStyle w:val="ParaNoNdepar-AltN"/>
        <w:rPr>
          <w:rFonts w:cs="Times New Roman"/>
          <w:noProof/>
          <w:lang w:val="fr-CA"/>
        </w:rPr>
      </w:pPr>
      <w:r w:rsidRPr="00332A1B">
        <w:rPr>
          <w:rFonts w:cs="Times New Roman"/>
          <w:noProof/>
          <w:lang w:val="fr-CA"/>
        </w:rPr>
        <w:t>En mars</w:t>
      </w:r>
      <w:r>
        <w:rPr>
          <w:rFonts w:cs="Times New Roman"/>
          <w:noProof/>
          <w:lang w:val="fr-CA"/>
        </w:rPr>
        <w:t xml:space="preserve"> </w:t>
      </w:r>
      <w:r w:rsidRPr="00332A1B">
        <w:rPr>
          <w:rFonts w:cs="Times New Roman"/>
          <w:noProof/>
          <w:lang w:val="fr-CA"/>
        </w:rPr>
        <w:t xml:space="preserve">2000, Bombardier </w:t>
      </w:r>
      <w:r>
        <w:rPr>
          <w:rFonts w:cs="Times New Roman"/>
          <w:noProof/>
          <w:lang w:val="fr-CA"/>
        </w:rPr>
        <w:t xml:space="preserve">Inc. </w:t>
      </w:r>
      <w:r w:rsidRPr="00332A1B">
        <w:rPr>
          <w:rFonts w:cs="Times New Roman"/>
          <w:noProof/>
          <w:lang w:val="fr-CA"/>
        </w:rPr>
        <w:t>a intenté devant la Cour supérieure du Québec (dossier 500</w:t>
      </w:r>
      <w:r w:rsidR="00A0307B">
        <w:rPr>
          <w:rFonts w:cs="Times New Roman"/>
          <w:noProof/>
          <w:lang w:val="fr-CA"/>
        </w:rPr>
        <w:t>-</w:t>
      </w:r>
      <w:r w:rsidRPr="00332A1B">
        <w:rPr>
          <w:rFonts w:cs="Times New Roman"/>
          <w:noProof/>
          <w:lang w:val="fr-CA"/>
        </w:rPr>
        <w:t>05</w:t>
      </w:r>
      <w:r w:rsidR="00A0307B">
        <w:rPr>
          <w:rFonts w:cs="Times New Roman"/>
          <w:noProof/>
          <w:lang w:val="fr-CA"/>
        </w:rPr>
        <w:t>-</w:t>
      </w:r>
      <w:r w:rsidRPr="00332A1B">
        <w:rPr>
          <w:rFonts w:cs="Times New Roman"/>
          <w:noProof/>
          <w:lang w:val="fr-CA"/>
        </w:rPr>
        <w:t>056325</w:t>
      </w:r>
      <w:r w:rsidR="00A0307B">
        <w:rPr>
          <w:rFonts w:cs="Times New Roman"/>
          <w:noProof/>
          <w:lang w:val="fr-CA"/>
        </w:rPr>
        <w:t>-</w:t>
      </w:r>
      <w:r w:rsidRPr="00332A1B">
        <w:rPr>
          <w:rFonts w:cs="Times New Roman"/>
          <w:noProof/>
          <w:lang w:val="fr-CA"/>
        </w:rPr>
        <w:t>002) une action en dommages</w:t>
      </w:r>
      <w:r w:rsidR="00A0307B">
        <w:rPr>
          <w:rFonts w:cs="Times New Roman"/>
          <w:noProof/>
          <w:lang w:val="fr-CA"/>
        </w:rPr>
        <w:t>-</w:t>
      </w:r>
      <w:r w:rsidRPr="00332A1B">
        <w:rPr>
          <w:rFonts w:cs="Times New Roman"/>
          <w:noProof/>
          <w:lang w:val="fr-CA"/>
        </w:rPr>
        <w:t xml:space="preserve">intérêts contre Union Carbide Canada Inc. pour la somme de 9 980 612,07 $.  Subséquemment, Dow Chemical </w:t>
      </w:r>
      <w:r>
        <w:rPr>
          <w:rFonts w:cs="Times New Roman"/>
          <w:noProof/>
          <w:lang w:val="fr-CA"/>
        </w:rPr>
        <w:t xml:space="preserve">Canada Inc. </w:t>
      </w:r>
      <w:r w:rsidRPr="00332A1B">
        <w:rPr>
          <w:rFonts w:cs="Times New Roman"/>
          <w:noProof/>
          <w:lang w:val="fr-CA"/>
        </w:rPr>
        <w:t>a été ajoutée à titre de défenderesse à la suite de sa fusion avec Union Carbide.  Elles ont déposé une défense à l</w:t>
      </w:r>
      <w:r>
        <w:rPr>
          <w:rFonts w:cs="Times New Roman"/>
          <w:noProof/>
          <w:lang w:val="fr-CA"/>
        </w:rPr>
        <w:t>’</w:t>
      </w:r>
      <w:r w:rsidRPr="00332A1B">
        <w:rPr>
          <w:rFonts w:cs="Times New Roman"/>
          <w:noProof/>
          <w:lang w:val="fr-CA"/>
        </w:rPr>
        <w:t xml:space="preserve">action le 6 mai 2003.  Le </w:t>
      </w:r>
      <w:r>
        <w:rPr>
          <w:rFonts w:cs="Times New Roman"/>
          <w:noProof/>
          <w:lang w:val="fr-CA"/>
        </w:rPr>
        <w:t xml:space="preserve">29 mai </w:t>
      </w:r>
      <w:r w:rsidRPr="00332A1B">
        <w:rPr>
          <w:rFonts w:cs="Times New Roman"/>
          <w:noProof/>
          <w:lang w:val="fr-CA"/>
        </w:rPr>
        <w:t xml:space="preserve">2007, Bombardier </w:t>
      </w:r>
      <w:r>
        <w:rPr>
          <w:rFonts w:cs="Times New Roman"/>
          <w:noProof/>
          <w:lang w:val="fr-CA"/>
        </w:rPr>
        <w:t xml:space="preserve">Inc. </w:t>
      </w:r>
      <w:r w:rsidRPr="00332A1B">
        <w:rPr>
          <w:rFonts w:cs="Times New Roman"/>
          <w:noProof/>
          <w:lang w:val="fr-CA"/>
        </w:rPr>
        <w:t xml:space="preserve">a modifié sa déclaration pour ajouter Bombardier </w:t>
      </w:r>
      <w:r>
        <w:rPr>
          <w:rFonts w:cs="Times New Roman"/>
          <w:noProof/>
          <w:lang w:val="fr-CA"/>
        </w:rPr>
        <w:t>p</w:t>
      </w:r>
      <w:r w:rsidRPr="00332A1B">
        <w:rPr>
          <w:rFonts w:cs="Times New Roman"/>
          <w:noProof/>
          <w:lang w:val="fr-CA"/>
        </w:rPr>
        <w:t xml:space="preserve">roduits </w:t>
      </w:r>
      <w:r>
        <w:rPr>
          <w:rFonts w:cs="Times New Roman"/>
          <w:noProof/>
          <w:lang w:val="fr-CA"/>
        </w:rPr>
        <w:t>r</w:t>
      </w:r>
      <w:r w:rsidRPr="00332A1B">
        <w:rPr>
          <w:rFonts w:cs="Times New Roman"/>
          <w:noProof/>
          <w:lang w:val="fr-CA"/>
        </w:rPr>
        <w:t xml:space="preserve">écréatifs Inc., laquelle avait depuis acquis sa division de produits récréatifs, ainsi que </w:t>
      </w:r>
      <w:r w:rsidRPr="00332A1B">
        <w:rPr>
          <w:rFonts w:cs="Times New Roman"/>
          <w:noProof/>
          <w:lang w:val="fr-CA"/>
        </w:rPr>
        <w:lastRenderedPageBreak/>
        <w:t xml:space="preserve">Allianz Global Risks US Insurance Company à titre de codemanderesses (Allianz est également intimée dans le présent pourvoi).  Dans cette déclaration modifiée, le montant réclamé a été augmenté à 30 019 505 $ et Allianz a présenté une demande additionnelle de 1 786 445,23 $.  Enfin, le </w:t>
      </w:r>
      <w:r>
        <w:rPr>
          <w:rFonts w:cs="Times New Roman"/>
          <w:noProof/>
          <w:lang w:val="fr-CA"/>
        </w:rPr>
        <w:t xml:space="preserve">31 juillet </w:t>
      </w:r>
      <w:r w:rsidRPr="00332A1B">
        <w:rPr>
          <w:rFonts w:cs="Times New Roman"/>
          <w:noProof/>
          <w:lang w:val="fr-CA"/>
        </w:rPr>
        <w:t>2008 ou vers cette date, Dow Chemical a déposé une défense modifiée.</w:t>
      </w:r>
    </w:p>
    <w:p w:rsidR="00F3157A" w:rsidRPr="00332A1B" w:rsidRDefault="00F3157A" w:rsidP="00A0307B">
      <w:pPr>
        <w:pStyle w:val="ParaNoNdepar-AltN"/>
        <w:rPr>
          <w:rFonts w:cs="Times New Roman"/>
          <w:noProof/>
          <w:lang w:val="fr-CA"/>
        </w:rPr>
      </w:pPr>
      <w:r w:rsidRPr="00332A1B">
        <w:rPr>
          <w:rFonts w:cs="Times New Roman"/>
          <w:noProof/>
          <w:lang w:val="fr-CA"/>
        </w:rPr>
        <w:t>Bombardier a réclamé trois montants distincts :</w:t>
      </w:r>
      <w:r>
        <w:rPr>
          <w:rFonts w:cs="Times New Roman"/>
          <w:noProof/>
          <w:lang w:val="fr-CA"/>
        </w:rPr>
        <w:t xml:space="preserve"> </w:t>
      </w:r>
      <w:r w:rsidR="00B47490">
        <w:rPr>
          <w:rFonts w:cs="Times New Roman"/>
          <w:noProof/>
          <w:lang w:val="fr-CA"/>
        </w:rPr>
        <w:t>(</w:t>
      </w:r>
      <w:r>
        <w:rPr>
          <w:rFonts w:cs="Times New Roman"/>
          <w:noProof/>
          <w:lang w:val="fr-CA"/>
        </w:rPr>
        <w:t>1) </w:t>
      </w:r>
      <w:r w:rsidRPr="00332A1B">
        <w:rPr>
          <w:rFonts w:cs="Times New Roman"/>
          <w:noProof/>
          <w:lang w:val="fr-CA"/>
        </w:rPr>
        <w:t xml:space="preserve">15 153 394 $, soit le coût des campagnes de rappels sécuritaires; </w:t>
      </w:r>
      <w:r w:rsidR="00B47490">
        <w:rPr>
          <w:rFonts w:cs="Times New Roman"/>
          <w:noProof/>
          <w:lang w:val="fr-CA"/>
        </w:rPr>
        <w:t>(</w:t>
      </w:r>
      <w:r>
        <w:rPr>
          <w:rFonts w:cs="Times New Roman"/>
          <w:noProof/>
          <w:lang w:val="fr-CA"/>
        </w:rPr>
        <w:t>2) </w:t>
      </w:r>
      <w:r w:rsidRPr="00332A1B">
        <w:rPr>
          <w:rFonts w:cs="Times New Roman"/>
          <w:noProof/>
          <w:lang w:val="fr-CA"/>
        </w:rPr>
        <w:t xml:space="preserve">13 474 142 $, soit le coût des règlements intervenus avec les consommateurs et le coût des poursuites engagées par eux pour le préjudice causé par les réservoirs à carburant; et </w:t>
      </w:r>
      <w:r w:rsidR="00B47490">
        <w:rPr>
          <w:rFonts w:cs="Times New Roman"/>
          <w:noProof/>
          <w:lang w:val="fr-CA"/>
        </w:rPr>
        <w:t>(</w:t>
      </w:r>
      <w:r w:rsidRPr="00332A1B">
        <w:rPr>
          <w:rFonts w:cs="Times New Roman"/>
          <w:noProof/>
          <w:lang w:val="fr-CA"/>
        </w:rPr>
        <w:t xml:space="preserve">3) 1 391 969 $, soit les autres frais engagés par Bombardier. </w:t>
      </w:r>
    </w:p>
    <w:p w:rsidR="00F3157A" w:rsidRPr="00332A1B" w:rsidRDefault="00F3157A" w:rsidP="00A0307B">
      <w:pPr>
        <w:pStyle w:val="ParaNoNdepar-AltN"/>
        <w:rPr>
          <w:rFonts w:cs="Times New Roman"/>
          <w:noProof/>
          <w:lang w:val="fr-CA"/>
        </w:rPr>
      </w:pPr>
      <w:r w:rsidRPr="00332A1B">
        <w:rPr>
          <w:rFonts w:cs="Times New Roman"/>
          <w:noProof/>
          <w:lang w:val="fr-CA"/>
        </w:rPr>
        <w:t>Après avoir signé une liste conjointe d</w:t>
      </w:r>
      <w:r>
        <w:rPr>
          <w:rFonts w:cs="Times New Roman"/>
          <w:noProof/>
          <w:lang w:val="fr-CA"/>
        </w:rPr>
        <w:t>’</w:t>
      </w:r>
      <w:r w:rsidRPr="00332A1B">
        <w:rPr>
          <w:rFonts w:cs="Times New Roman"/>
          <w:noProof/>
          <w:lang w:val="fr-CA"/>
        </w:rPr>
        <w:t>admissions quant à la valeur des réclamations, les parties ont convenu d</w:t>
      </w:r>
      <w:r>
        <w:rPr>
          <w:rFonts w:cs="Times New Roman"/>
          <w:noProof/>
          <w:lang w:val="fr-CA"/>
        </w:rPr>
        <w:t>’</w:t>
      </w:r>
      <w:r w:rsidRPr="00332A1B">
        <w:rPr>
          <w:rFonts w:cs="Times New Roman"/>
          <w:noProof/>
          <w:lang w:val="fr-CA"/>
        </w:rPr>
        <w:t>une médiation privée qui serait présidée par M</w:t>
      </w:r>
      <w:r w:rsidRPr="00332A1B">
        <w:rPr>
          <w:rFonts w:cs="Times New Roman"/>
          <w:noProof/>
          <w:vertAlign w:val="superscript"/>
          <w:lang w:val="fr-CA"/>
        </w:rPr>
        <w:t>e</w:t>
      </w:r>
      <w:r w:rsidRPr="00332A1B">
        <w:rPr>
          <w:rFonts w:cs="Times New Roman"/>
          <w:noProof/>
          <w:lang w:val="fr-CA"/>
        </w:rPr>
        <w:t> Max Mendelsohn, à Montréal.</w:t>
      </w:r>
      <w:r>
        <w:rPr>
          <w:rFonts w:cs="Times New Roman"/>
          <w:noProof/>
          <w:lang w:val="fr-CA"/>
        </w:rPr>
        <w:t xml:space="preserve"> </w:t>
      </w:r>
      <w:r w:rsidRPr="00332A1B">
        <w:rPr>
          <w:rFonts w:cs="Times New Roman"/>
          <w:noProof/>
          <w:lang w:val="fr-CA"/>
        </w:rPr>
        <w:t xml:space="preserve"> Avant le début de la médiation, soit le 26 avril 2011, les parties ont signé une entente type de médiation, laquelle renfermait la clause suivante concernant la confidentialité du processus : </w:t>
      </w:r>
    </w:p>
    <w:p w:rsidR="005756BC" w:rsidRDefault="005756BC" w:rsidP="005756BC">
      <w:pPr>
        <w:pStyle w:val="Citation-AltC"/>
        <w:tabs>
          <w:tab w:val="left" w:pos="1170"/>
        </w:tabs>
        <w:spacing w:after="240"/>
        <w:ind w:left="1530" w:hanging="1134"/>
        <w:contextualSpacing w:val="0"/>
        <w:rPr>
          <w:smallCaps/>
          <w:noProof/>
          <w:lang w:val="fr-CA"/>
        </w:rPr>
      </w:pPr>
      <w:r>
        <w:rPr>
          <w:smallCaps/>
          <w:noProof/>
          <w:lang w:val="fr-CA"/>
        </w:rPr>
        <w:tab/>
      </w:r>
      <w:r w:rsidRPr="00332A1B">
        <w:rPr>
          <w:smallCaps/>
          <w:noProof/>
          <w:lang w:val="fr-CA"/>
        </w:rPr>
        <w:t>[traduction]</w:t>
      </w:r>
    </w:p>
    <w:p w:rsidR="00F3157A" w:rsidRPr="00332A1B" w:rsidRDefault="00F3157A" w:rsidP="005756BC">
      <w:pPr>
        <w:pStyle w:val="Citation-AltC"/>
        <w:tabs>
          <w:tab w:val="left" w:pos="1170"/>
        </w:tabs>
        <w:spacing w:after="240"/>
        <w:ind w:left="1530" w:hanging="1134"/>
        <w:contextualSpacing w:val="0"/>
        <w:rPr>
          <w:noProof/>
          <w:lang w:val="fr-CA"/>
        </w:rPr>
      </w:pPr>
      <w:r>
        <w:rPr>
          <w:smallCaps/>
          <w:noProof/>
          <w:lang w:val="fr-CA"/>
        </w:rPr>
        <w:tab/>
      </w:r>
      <w:r>
        <w:rPr>
          <w:noProof/>
          <w:lang w:val="fr-CA"/>
        </w:rPr>
        <w:t>2</w:t>
      </w:r>
      <w:r w:rsidR="005756BC">
        <w:rPr>
          <w:noProof/>
          <w:lang w:val="fr-CA"/>
        </w:rPr>
        <w:t>.</w:t>
      </w:r>
      <w:r w:rsidR="005756BC">
        <w:rPr>
          <w:noProof/>
          <w:lang w:val="fr-CA"/>
        </w:rPr>
        <w:tab/>
      </w:r>
      <w:r w:rsidRPr="00332A1B">
        <w:rPr>
          <w:noProof/>
          <w:lang w:val="fr-CA"/>
        </w:rPr>
        <w:t>Tout ce qui pourra être dit ou écrit au cours de la médiation sera confidentiel.  À cet égard, notamment :</w:t>
      </w:r>
    </w:p>
    <w:p w:rsidR="00F3157A" w:rsidRPr="00332A1B" w:rsidRDefault="00F3157A" w:rsidP="00A0307B">
      <w:pPr>
        <w:pStyle w:val="Citation-AltC"/>
        <w:numPr>
          <w:ilvl w:val="4"/>
          <w:numId w:val="6"/>
        </w:numPr>
        <w:spacing w:after="240"/>
        <w:ind w:left="1985" w:hanging="425"/>
        <w:contextualSpacing w:val="0"/>
        <w:rPr>
          <w:noProof/>
          <w:lang w:val="fr-CA"/>
        </w:rPr>
      </w:pPr>
      <w:r w:rsidRPr="00332A1B">
        <w:rPr>
          <w:noProof/>
          <w:lang w:val="fr-CA"/>
        </w:rPr>
        <w:t>Rien de ce qui pourra être dit ou écrit au cours de la médiation ne sera allégué, mentionné ou présenté en preuve dans le cadre d</w:t>
      </w:r>
      <w:r>
        <w:rPr>
          <w:noProof/>
          <w:lang w:val="fr-CA"/>
        </w:rPr>
        <w:t>’</w:t>
      </w:r>
      <w:r w:rsidRPr="00332A1B">
        <w:rPr>
          <w:noProof/>
          <w:lang w:val="fr-CA"/>
        </w:rPr>
        <w:t>une instance;</w:t>
      </w:r>
    </w:p>
    <w:p w:rsidR="00F3157A" w:rsidRPr="00332A1B" w:rsidRDefault="00F3157A" w:rsidP="00A0307B">
      <w:pPr>
        <w:pStyle w:val="Citation-AltC"/>
        <w:numPr>
          <w:ilvl w:val="4"/>
          <w:numId w:val="6"/>
        </w:numPr>
        <w:spacing w:after="240"/>
        <w:ind w:left="1985" w:hanging="425"/>
        <w:contextualSpacing w:val="0"/>
        <w:rPr>
          <w:noProof/>
          <w:lang w:val="fr-CA"/>
        </w:rPr>
      </w:pPr>
      <w:r w:rsidRPr="00332A1B">
        <w:rPr>
          <w:noProof/>
          <w:lang w:val="fr-CA"/>
        </w:rPr>
        <w:t>Aucune déclaration faite ni aucun document produit au cours du processus de médiation ne pourra faire l</w:t>
      </w:r>
      <w:r>
        <w:rPr>
          <w:noProof/>
          <w:lang w:val="fr-CA"/>
        </w:rPr>
        <w:t>’</w:t>
      </w:r>
      <w:r w:rsidRPr="00332A1B">
        <w:rPr>
          <w:noProof/>
          <w:lang w:val="fr-CA"/>
        </w:rPr>
        <w:t>objet d</w:t>
      </w:r>
      <w:r>
        <w:rPr>
          <w:noProof/>
          <w:lang w:val="fr-CA"/>
        </w:rPr>
        <w:t>’</w:t>
      </w:r>
      <w:r w:rsidRPr="00332A1B">
        <w:rPr>
          <w:noProof/>
          <w:lang w:val="fr-CA"/>
        </w:rPr>
        <w:t xml:space="preserve">une </w:t>
      </w:r>
      <w:r w:rsidRPr="00332A1B">
        <w:rPr>
          <w:noProof/>
          <w:lang w:val="fr-CA"/>
        </w:rPr>
        <w:lastRenderedPageBreak/>
        <w:t>communication préalable ou d</w:t>
      </w:r>
      <w:r>
        <w:rPr>
          <w:noProof/>
          <w:lang w:val="fr-CA"/>
        </w:rPr>
        <w:t>’</w:t>
      </w:r>
      <w:r w:rsidRPr="00332A1B">
        <w:rPr>
          <w:noProof/>
          <w:lang w:val="fr-CA"/>
        </w:rPr>
        <w:t>un témoignage contraint, ni être admissible en preuve, dans le cadre d</w:t>
      </w:r>
      <w:r>
        <w:rPr>
          <w:noProof/>
          <w:lang w:val="fr-CA"/>
        </w:rPr>
        <w:t>’</w:t>
      </w:r>
      <w:r w:rsidRPr="00332A1B">
        <w:rPr>
          <w:noProof/>
          <w:lang w:val="fr-CA"/>
        </w:rPr>
        <w:t>une instance; toutefois, rien n</w:t>
      </w:r>
      <w:r>
        <w:rPr>
          <w:noProof/>
          <w:lang w:val="fr-CA"/>
        </w:rPr>
        <w:t>’</w:t>
      </w:r>
      <w:r w:rsidRPr="00332A1B">
        <w:rPr>
          <w:noProof/>
          <w:lang w:val="fr-CA"/>
        </w:rPr>
        <w:t>empêchera une partie d</w:t>
      </w:r>
      <w:r>
        <w:rPr>
          <w:noProof/>
          <w:lang w:val="fr-CA"/>
        </w:rPr>
        <w:t>’</w:t>
      </w:r>
      <w:r w:rsidRPr="00332A1B">
        <w:rPr>
          <w:noProof/>
          <w:lang w:val="fr-CA"/>
        </w:rPr>
        <w:t>utiliser, dans le cadre d</w:t>
      </w:r>
      <w:r>
        <w:rPr>
          <w:noProof/>
          <w:lang w:val="fr-CA"/>
        </w:rPr>
        <w:t>’</w:t>
      </w:r>
      <w:r w:rsidRPr="00332A1B">
        <w:rPr>
          <w:noProof/>
          <w:lang w:val="fr-CA"/>
        </w:rPr>
        <w:t>une procédure judiciaire ou autre, un document qui a été communiqué au cours du processus de médiation et qu</w:t>
      </w:r>
      <w:r>
        <w:rPr>
          <w:noProof/>
          <w:lang w:val="fr-CA"/>
        </w:rPr>
        <w:t>’</w:t>
      </w:r>
      <w:r w:rsidRPr="00332A1B">
        <w:rPr>
          <w:noProof/>
          <w:lang w:val="fr-CA"/>
        </w:rPr>
        <w:t>elle aurait pu autrement produire;</w:t>
      </w:r>
    </w:p>
    <w:p w:rsidR="00F3157A" w:rsidRPr="00332A1B" w:rsidRDefault="00F3157A" w:rsidP="00A0307B">
      <w:pPr>
        <w:pStyle w:val="Citation-AltC"/>
        <w:numPr>
          <w:ilvl w:val="4"/>
          <w:numId w:val="6"/>
        </w:numPr>
        <w:ind w:left="1985" w:hanging="425"/>
        <w:rPr>
          <w:noProof/>
          <w:lang w:val="fr-CA"/>
        </w:rPr>
      </w:pPr>
      <w:r w:rsidRPr="00332A1B">
        <w:rPr>
          <w:noProof/>
          <w:lang w:val="fr-CA"/>
        </w:rPr>
        <w:t>Les souvenirs du médiateur, de même que les documents et les travaux produits par celui</w:t>
      </w:r>
      <w:r w:rsidR="00A0307B">
        <w:rPr>
          <w:noProof/>
          <w:lang w:val="fr-CA"/>
        </w:rPr>
        <w:t>-</w:t>
      </w:r>
      <w:r w:rsidRPr="00332A1B">
        <w:rPr>
          <w:noProof/>
          <w:lang w:val="fr-CA"/>
        </w:rPr>
        <w:t>ci, seront confidentiels et ne pourront faire l</w:t>
      </w:r>
      <w:r>
        <w:rPr>
          <w:noProof/>
          <w:lang w:val="fr-CA"/>
        </w:rPr>
        <w:t>’</w:t>
      </w:r>
      <w:r w:rsidRPr="00332A1B">
        <w:rPr>
          <w:noProof/>
          <w:lang w:val="fr-CA"/>
        </w:rPr>
        <w:t>objet d</w:t>
      </w:r>
      <w:r>
        <w:rPr>
          <w:noProof/>
          <w:lang w:val="fr-CA"/>
        </w:rPr>
        <w:t>’</w:t>
      </w:r>
      <w:r w:rsidRPr="00332A1B">
        <w:rPr>
          <w:noProof/>
          <w:lang w:val="fr-CA"/>
        </w:rPr>
        <w:t>une communication préalable ou d</w:t>
      </w:r>
      <w:r>
        <w:rPr>
          <w:noProof/>
          <w:lang w:val="fr-CA"/>
        </w:rPr>
        <w:t>’</w:t>
      </w:r>
      <w:r w:rsidRPr="00332A1B">
        <w:rPr>
          <w:noProof/>
          <w:lang w:val="fr-CA"/>
        </w:rPr>
        <w:t>un témoignage contraint dans le cadre d</w:t>
      </w:r>
      <w:r>
        <w:rPr>
          <w:noProof/>
          <w:lang w:val="fr-CA"/>
        </w:rPr>
        <w:t>’</w:t>
      </w:r>
      <w:r w:rsidRPr="00332A1B">
        <w:rPr>
          <w:noProof/>
          <w:lang w:val="fr-CA"/>
        </w:rPr>
        <w:t>une instance.</w:t>
      </w:r>
    </w:p>
    <w:p w:rsidR="00F3157A" w:rsidRPr="00332A1B" w:rsidRDefault="00F3157A" w:rsidP="00A0307B">
      <w:pPr>
        <w:pStyle w:val="ParaNoNdepar-AltN"/>
        <w:rPr>
          <w:rFonts w:cs="Times New Roman"/>
          <w:noProof/>
          <w:lang w:val="fr-CA"/>
        </w:rPr>
      </w:pPr>
      <w:r w:rsidRPr="00332A1B">
        <w:rPr>
          <w:rFonts w:cs="Times New Roman"/>
          <w:noProof/>
          <w:lang w:val="fr-CA"/>
        </w:rPr>
        <w:t>L</w:t>
      </w:r>
      <w:r>
        <w:rPr>
          <w:rFonts w:cs="Times New Roman"/>
          <w:noProof/>
          <w:lang w:val="fr-CA"/>
        </w:rPr>
        <w:t>’</w:t>
      </w:r>
      <w:r w:rsidRPr="00332A1B">
        <w:rPr>
          <w:rFonts w:cs="Times New Roman"/>
          <w:noProof/>
          <w:lang w:val="fr-CA"/>
        </w:rPr>
        <w:t>entente comprenait également la disposition suivante relative au rôle du médiateur :</w:t>
      </w:r>
    </w:p>
    <w:p w:rsidR="005756BC" w:rsidRDefault="005756BC" w:rsidP="005756BC">
      <w:pPr>
        <w:pStyle w:val="Citation-AltC"/>
        <w:tabs>
          <w:tab w:val="left" w:pos="1170"/>
        </w:tabs>
        <w:spacing w:after="240"/>
        <w:ind w:left="1530" w:hanging="1134"/>
        <w:contextualSpacing w:val="0"/>
        <w:rPr>
          <w:smallCaps/>
          <w:noProof/>
          <w:lang w:val="fr-CA"/>
        </w:rPr>
      </w:pPr>
      <w:r>
        <w:rPr>
          <w:smallCaps/>
          <w:noProof/>
          <w:lang w:val="fr-CA"/>
        </w:rPr>
        <w:tab/>
      </w:r>
      <w:r w:rsidRPr="00332A1B">
        <w:rPr>
          <w:smallCaps/>
          <w:noProof/>
          <w:lang w:val="fr-CA"/>
        </w:rPr>
        <w:t>[traduction]</w:t>
      </w:r>
      <w:r>
        <w:rPr>
          <w:smallCaps/>
          <w:noProof/>
          <w:lang w:val="fr-CA"/>
        </w:rPr>
        <w:t> </w:t>
      </w:r>
    </w:p>
    <w:p w:rsidR="00F3157A" w:rsidRPr="00332A1B" w:rsidRDefault="00F3157A" w:rsidP="00676EEA">
      <w:pPr>
        <w:pStyle w:val="Citation-AltC"/>
        <w:tabs>
          <w:tab w:val="left" w:pos="1170"/>
        </w:tabs>
        <w:ind w:left="1541" w:hanging="1138"/>
        <w:contextualSpacing w:val="0"/>
        <w:rPr>
          <w:noProof/>
          <w:lang w:val="fr-CA"/>
        </w:rPr>
      </w:pPr>
      <w:r>
        <w:rPr>
          <w:smallCaps/>
          <w:noProof/>
          <w:lang w:val="fr-CA"/>
        </w:rPr>
        <w:tab/>
      </w:r>
      <w:r>
        <w:rPr>
          <w:noProof/>
          <w:lang w:val="fr-CA"/>
        </w:rPr>
        <w:t>4</w:t>
      </w:r>
      <w:r w:rsidR="00A0307B">
        <w:rPr>
          <w:noProof/>
          <w:lang w:val="fr-CA"/>
        </w:rPr>
        <w:t xml:space="preserve">. </w:t>
      </w:r>
      <w:r>
        <w:rPr>
          <w:noProof/>
          <w:lang w:val="fr-CA"/>
        </w:rPr>
        <w:t> </w:t>
      </w:r>
      <w:r w:rsidRPr="00332A1B">
        <w:rPr>
          <w:noProof/>
          <w:lang w:val="fr-CA"/>
        </w:rPr>
        <w:t>Le médiateur n</w:t>
      </w:r>
      <w:r>
        <w:rPr>
          <w:noProof/>
          <w:lang w:val="fr-CA"/>
        </w:rPr>
        <w:t>’</w:t>
      </w:r>
      <w:r w:rsidRPr="00332A1B">
        <w:rPr>
          <w:noProof/>
          <w:lang w:val="fr-CA"/>
        </w:rPr>
        <w:t>aura aucun pouvoir décisionnel; son rôle consiste simplement à aider les parties à arriver à un règlement de leur différend.</w:t>
      </w:r>
    </w:p>
    <w:p w:rsidR="00F3157A" w:rsidRPr="00332A1B" w:rsidRDefault="00F3157A" w:rsidP="00A0307B">
      <w:pPr>
        <w:pStyle w:val="ParaNoNdepar-AltN"/>
        <w:rPr>
          <w:rFonts w:cs="Times New Roman"/>
          <w:noProof/>
          <w:lang w:val="fr-CA"/>
        </w:rPr>
      </w:pPr>
      <w:r w:rsidRPr="00332A1B">
        <w:rPr>
          <w:rFonts w:cs="Times New Roman"/>
          <w:noProof/>
          <w:lang w:val="fr-CA"/>
        </w:rPr>
        <w:t>Lors de la séance de médiation du</w:t>
      </w:r>
      <w:r>
        <w:rPr>
          <w:rFonts w:cs="Times New Roman"/>
          <w:noProof/>
          <w:lang w:val="fr-CA"/>
        </w:rPr>
        <w:t xml:space="preserve"> </w:t>
      </w:r>
      <w:r w:rsidRPr="00332A1B">
        <w:rPr>
          <w:rFonts w:cs="Times New Roman"/>
          <w:noProof/>
          <w:lang w:val="fr-CA"/>
        </w:rPr>
        <w:t>27 avril</w:t>
      </w:r>
      <w:r>
        <w:rPr>
          <w:rFonts w:cs="Times New Roman"/>
          <w:noProof/>
          <w:lang w:val="fr-CA"/>
        </w:rPr>
        <w:t xml:space="preserve"> </w:t>
      </w:r>
      <w:r w:rsidRPr="00332A1B">
        <w:rPr>
          <w:rFonts w:cs="Times New Roman"/>
          <w:noProof/>
          <w:lang w:val="fr-CA"/>
        </w:rPr>
        <w:t>2011, Dow Chemical a soumis une offre de règlement de 7 millions de dollars.  Puisqu</w:t>
      </w:r>
      <w:r>
        <w:rPr>
          <w:rFonts w:cs="Times New Roman"/>
          <w:noProof/>
          <w:lang w:val="fr-CA"/>
        </w:rPr>
        <w:t>’</w:t>
      </w:r>
      <w:r w:rsidRPr="00332A1B">
        <w:rPr>
          <w:rFonts w:cs="Times New Roman"/>
          <w:noProof/>
          <w:lang w:val="fr-CA"/>
        </w:rPr>
        <w:t>il avait besoin de consulter sa cliente à cet égard, l</w:t>
      </w:r>
      <w:r>
        <w:rPr>
          <w:rFonts w:cs="Times New Roman"/>
          <w:noProof/>
          <w:lang w:val="fr-CA"/>
        </w:rPr>
        <w:t>’</w:t>
      </w:r>
      <w:r w:rsidRPr="00332A1B">
        <w:rPr>
          <w:rFonts w:cs="Times New Roman"/>
          <w:noProof/>
          <w:lang w:val="fr-CA"/>
        </w:rPr>
        <w:t>avocat de Bombardier a demandé à celui de Dow Chemical de maintenir l</w:t>
      </w:r>
      <w:r>
        <w:rPr>
          <w:rFonts w:cs="Times New Roman"/>
          <w:noProof/>
          <w:lang w:val="fr-CA"/>
        </w:rPr>
        <w:t>’</w:t>
      </w:r>
      <w:r w:rsidRPr="00332A1B">
        <w:rPr>
          <w:rFonts w:cs="Times New Roman"/>
          <w:noProof/>
          <w:lang w:val="fr-CA"/>
        </w:rPr>
        <w:t xml:space="preserve">offre pendant </w:t>
      </w:r>
      <w:r w:rsidR="005756BC">
        <w:rPr>
          <w:rFonts w:cs="Times New Roman"/>
          <w:noProof/>
          <w:lang w:val="fr-CA"/>
        </w:rPr>
        <w:t>30</w:t>
      </w:r>
      <w:r w:rsidRPr="00332A1B">
        <w:rPr>
          <w:rFonts w:cs="Times New Roman"/>
          <w:noProof/>
          <w:lang w:val="fr-CA"/>
        </w:rPr>
        <w:t xml:space="preserve"> jours, ce que Dow Chemical a accepté.  Le</w:t>
      </w:r>
      <w:r>
        <w:rPr>
          <w:rFonts w:cs="Times New Roman"/>
          <w:noProof/>
          <w:lang w:val="fr-CA"/>
        </w:rPr>
        <w:t xml:space="preserve"> 17 mai </w:t>
      </w:r>
      <w:r w:rsidRPr="00332A1B">
        <w:rPr>
          <w:rFonts w:cs="Times New Roman"/>
          <w:noProof/>
          <w:lang w:val="fr-CA"/>
        </w:rPr>
        <w:t>2011, avant l</w:t>
      </w:r>
      <w:r>
        <w:rPr>
          <w:rFonts w:cs="Times New Roman"/>
          <w:noProof/>
          <w:lang w:val="fr-CA"/>
        </w:rPr>
        <w:t>’</w:t>
      </w:r>
      <w:r w:rsidRPr="00332A1B">
        <w:rPr>
          <w:rFonts w:cs="Times New Roman"/>
          <w:noProof/>
          <w:lang w:val="fr-CA"/>
        </w:rPr>
        <w:t xml:space="preserve">expiration du délai de </w:t>
      </w:r>
      <w:r w:rsidR="005756BC">
        <w:rPr>
          <w:rFonts w:cs="Times New Roman"/>
          <w:noProof/>
          <w:lang w:val="fr-CA"/>
        </w:rPr>
        <w:t>30</w:t>
      </w:r>
      <w:r w:rsidRPr="00332A1B">
        <w:rPr>
          <w:rFonts w:cs="Times New Roman"/>
          <w:noProof/>
          <w:lang w:val="fr-CA"/>
        </w:rPr>
        <w:t xml:space="preserve"> jours, l</w:t>
      </w:r>
      <w:r>
        <w:rPr>
          <w:rFonts w:cs="Times New Roman"/>
          <w:noProof/>
          <w:lang w:val="fr-CA"/>
        </w:rPr>
        <w:t>’</w:t>
      </w:r>
      <w:r w:rsidRPr="00332A1B">
        <w:rPr>
          <w:rFonts w:cs="Times New Roman"/>
          <w:noProof/>
          <w:lang w:val="fr-CA"/>
        </w:rPr>
        <w:t>avocat de Bombardier a communiqué en ces termes l</w:t>
      </w:r>
      <w:r>
        <w:rPr>
          <w:rFonts w:cs="Times New Roman"/>
          <w:noProof/>
          <w:lang w:val="fr-CA"/>
        </w:rPr>
        <w:t>’</w:t>
      </w:r>
      <w:r w:rsidRPr="00332A1B">
        <w:rPr>
          <w:rFonts w:cs="Times New Roman"/>
          <w:noProof/>
          <w:lang w:val="fr-CA"/>
        </w:rPr>
        <w:t>acceptation de l</w:t>
      </w:r>
      <w:r>
        <w:rPr>
          <w:rFonts w:cs="Times New Roman"/>
          <w:noProof/>
          <w:lang w:val="fr-CA"/>
        </w:rPr>
        <w:t>’</w:t>
      </w:r>
      <w:r w:rsidRPr="00332A1B">
        <w:rPr>
          <w:rFonts w:cs="Times New Roman"/>
          <w:noProof/>
          <w:lang w:val="fr-CA"/>
        </w:rPr>
        <w:t>offre de Dow Chemical :</w:t>
      </w:r>
    </w:p>
    <w:p w:rsidR="00F3157A" w:rsidRPr="00332A1B" w:rsidRDefault="00F3157A" w:rsidP="00A0307B">
      <w:pPr>
        <w:pStyle w:val="Citation-AltC"/>
        <w:spacing w:after="240"/>
        <w:ind w:left="1168" w:hanging="1168"/>
        <w:contextualSpacing w:val="0"/>
        <w:rPr>
          <w:noProof/>
          <w:lang w:val="fr-CA"/>
        </w:rPr>
      </w:pPr>
      <w:r>
        <w:rPr>
          <w:smallCaps/>
          <w:noProof/>
          <w:lang w:val="fr-CA"/>
        </w:rPr>
        <w:tab/>
      </w:r>
      <w:r w:rsidRPr="00332A1B">
        <w:rPr>
          <w:smallCaps/>
          <w:noProof/>
          <w:lang w:val="fr-CA"/>
        </w:rPr>
        <w:t>[traduction]</w:t>
      </w:r>
      <w:r>
        <w:rPr>
          <w:smallCaps/>
          <w:noProof/>
          <w:lang w:val="fr-CA"/>
        </w:rPr>
        <w:t>  </w:t>
      </w:r>
      <w:r w:rsidRPr="00332A1B">
        <w:rPr>
          <w:noProof/>
          <w:lang w:val="fr-CA"/>
        </w:rPr>
        <w:t>Mes clientes, BRP, Bombardier et Allianz m</w:t>
      </w:r>
      <w:r>
        <w:rPr>
          <w:noProof/>
          <w:lang w:val="fr-CA"/>
        </w:rPr>
        <w:t>’</w:t>
      </w:r>
      <w:r w:rsidRPr="00332A1B">
        <w:rPr>
          <w:noProof/>
          <w:lang w:val="fr-CA"/>
        </w:rPr>
        <w:t>ont demandé d</w:t>
      </w:r>
      <w:r>
        <w:rPr>
          <w:noProof/>
          <w:lang w:val="fr-CA"/>
        </w:rPr>
        <w:t>’</w:t>
      </w:r>
      <w:r w:rsidRPr="00332A1B">
        <w:rPr>
          <w:noProof/>
          <w:lang w:val="fr-CA"/>
        </w:rPr>
        <w:t>accepter l</w:t>
      </w:r>
      <w:r>
        <w:rPr>
          <w:noProof/>
          <w:lang w:val="fr-CA"/>
        </w:rPr>
        <w:t>’</w:t>
      </w:r>
      <w:r w:rsidRPr="00332A1B">
        <w:rPr>
          <w:noProof/>
          <w:lang w:val="fr-CA"/>
        </w:rPr>
        <w:t>offre présentée par Dow Chemical de régler l</w:t>
      </w:r>
      <w:r>
        <w:rPr>
          <w:noProof/>
          <w:lang w:val="fr-CA"/>
        </w:rPr>
        <w:t>’</w:t>
      </w:r>
      <w:r w:rsidRPr="00332A1B">
        <w:rPr>
          <w:noProof/>
          <w:lang w:val="fr-CA"/>
        </w:rPr>
        <w:t>affaire susmentionnée pour la somme de 7 millions $ CA, en capital, intérêts et frais.</w:t>
      </w:r>
    </w:p>
    <w:p w:rsidR="00F3157A" w:rsidRPr="00332A1B" w:rsidRDefault="00F3157A" w:rsidP="00A0307B">
      <w:pPr>
        <w:pStyle w:val="Citation-AltC"/>
        <w:spacing w:after="240"/>
        <w:ind w:left="1168" w:hanging="1168"/>
        <w:contextualSpacing w:val="0"/>
        <w:rPr>
          <w:noProof/>
          <w:lang w:val="fr-CA"/>
        </w:rPr>
      </w:pPr>
      <w:r>
        <w:rPr>
          <w:noProof/>
          <w:lang w:val="fr-CA"/>
        </w:rPr>
        <w:lastRenderedPageBreak/>
        <w:tab/>
      </w:r>
      <w:r w:rsidRPr="00332A1B">
        <w:rPr>
          <w:noProof/>
          <w:lang w:val="fr-CA"/>
        </w:rPr>
        <w:t>Veuillez demander à votre cliente de nous faire parvenir un chèque fait à l</w:t>
      </w:r>
      <w:r>
        <w:rPr>
          <w:noProof/>
          <w:lang w:val="fr-CA"/>
        </w:rPr>
        <w:t>’</w:t>
      </w:r>
      <w:r w:rsidRPr="00332A1B">
        <w:rPr>
          <w:noProof/>
          <w:lang w:val="fr-CA"/>
        </w:rPr>
        <w:t>ordre de Fasken Martineau en fiducie dans les plus brefs délais ou de virer ladite somme dans notre compte en fiducie, aux coordonnées suivantes.</w:t>
      </w:r>
    </w:p>
    <w:p w:rsidR="00F3157A" w:rsidRPr="00332A1B" w:rsidRDefault="00A0307B" w:rsidP="00A0307B">
      <w:pPr>
        <w:pStyle w:val="Citation-AltC"/>
        <w:spacing w:after="240"/>
        <w:ind w:left="1168" w:hanging="1168"/>
        <w:contextualSpacing w:val="0"/>
        <w:jc w:val="center"/>
        <w:rPr>
          <w:noProof/>
          <w:lang w:val="fr-CA"/>
        </w:rPr>
      </w:pPr>
      <w:r>
        <w:rPr>
          <w:noProof/>
          <w:lang w:val="fr-CA"/>
        </w:rPr>
        <w:t>. . </w:t>
      </w:r>
      <w:r w:rsidR="000A6B3D">
        <w:rPr>
          <w:noProof/>
          <w:lang w:val="fr-CA"/>
        </w:rPr>
        <w:t>.</w:t>
      </w:r>
    </w:p>
    <w:p w:rsidR="00F3157A" w:rsidRPr="00332A1B" w:rsidRDefault="00F3157A" w:rsidP="00A0307B">
      <w:pPr>
        <w:pStyle w:val="Citation-AltC"/>
        <w:ind w:left="1168" w:hanging="1168"/>
        <w:contextualSpacing w:val="0"/>
        <w:rPr>
          <w:noProof/>
          <w:lang w:val="fr-CA"/>
        </w:rPr>
      </w:pPr>
      <w:r>
        <w:rPr>
          <w:noProof/>
          <w:lang w:val="fr-CA"/>
        </w:rPr>
        <w:tab/>
      </w:r>
      <w:r w:rsidRPr="00332A1B">
        <w:rPr>
          <w:noProof/>
          <w:lang w:val="fr-CA"/>
        </w:rPr>
        <w:t>Entre</w:t>
      </w:r>
      <w:r w:rsidR="00A0307B">
        <w:rPr>
          <w:noProof/>
          <w:lang w:val="fr-CA"/>
        </w:rPr>
        <w:t>-</w:t>
      </w:r>
      <w:r w:rsidRPr="00332A1B">
        <w:rPr>
          <w:noProof/>
          <w:lang w:val="fr-CA"/>
        </w:rPr>
        <w:t>temps, je rédigerai un projet de quittance que je vous ferai parvenir sous peu.  Bien entendu, Fasken Martineau s</w:t>
      </w:r>
      <w:r>
        <w:rPr>
          <w:noProof/>
          <w:lang w:val="fr-CA"/>
        </w:rPr>
        <w:t>’</w:t>
      </w:r>
      <w:r w:rsidRPr="00332A1B">
        <w:rPr>
          <w:noProof/>
          <w:lang w:val="fr-CA"/>
        </w:rPr>
        <w:t>engage à retenir les sommes visées jusqu</w:t>
      </w:r>
      <w:r>
        <w:rPr>
          <w:noProof/>
          <w:lang w:val="fr-CA"/>
        </w:rPr>
        <w:t>’</w:t>
      </w:r>
      <w:r w:rsidRPr="00332A1B">
        <w:rPr>
          <w:noProof/>
          <w:lang w:val="fr-CA"/>
        </w:rPr>
        <w:t>à ce que les documents de quittance soient signés et retournés à Lavery.</w:t>
      </w:r>
    </w:p>
    <w:p w:rsidR="00F3157A" w:rsidRPr="00332A1B" w:rsidRDefault="00F3157A" w:rsidP="00A0307B">
      <w:pPr>
        <w:pStyle w:val="ParaNoNdepar-AltN"/>
        <w:rPr>
          <w:rFonts w:cs="Times New Roman"/>
          <w:noProof/>
          <w:lang w:val="fr-CA"/>
        </w:rPr>
      </w:pPr>
      <w:r w:rsidRPr="00332A1B">
        <w:rPr>
          <w:rFonts w:cs="Times New Roman"/>
          <w:noProof/>
          <w:lang w:val="fr-CA"/>
        </w:rPr>
        <w:t>Deux jours plus tard, soit le 19 mai 2011, l</w:t>
      </w:r>
      <w:r>
        <w:rPr>
          <w:rFonts w:cs="Times New Roman"/>
          <w:noProof/>
          <w:lang w:val="fr-CA"/>
        </w:rPr>
        <w:t>’</w:t>
      </w:r>
      <w:r w:rsidRPr="00332A1B">
        <w:rPr>
          <w:rFonts w:cs="Times New Roman"/>
          <w:noProof/>
          <w:lang w:val="fr-CA"/>
        </w:rPr>
        <w:t>avocat de Dow Chemical a envoyé à l</w:t>
      </w:r>
      <w:r>
        <w:rPr>
          <w:rFonts w:cs="Times New Roman"/>
          <w:noProof/>
          <w:lang w:val="fr-CA"/>
        </w:rPr>
        <w:t>’</w:t>
      </w:r>
      <w:r w:rsidRPr="00332A1B">
        <w:rPr>
          <w:rFonts w:cs="Times New Roman"/>
          <w:noProof/>
          <w:lang w:val="fr-CA"/>
        </w:rPr>
        <w:t>avocat de Bombardier un courriel dans lequel il indiquait que sa cliente considérait que le montant visait un règlement global.</w:t>
      </w:r>
      <w:r>
        <w:rPr>
          <w:rFonts w:cs="Times New Roman"/>
          <w:noProof/>
          <w:lang w:val="fr-CA"/>
        </w:rPr>
        <w:t xml:space="preserve"> </w:t>
      </w:r>
      <w:r w:rsidRPr="00332A1B">
        <w:rPr>
          <w:rFonts w:cs="Times New Roman"/>
          <w:noProof/>
          <w:lang w:val="fr-CA"/>
        </w:rPr>
        <w:t xml:space="preserve"> Dow Chemical voulait ainsi que Bombardier signe une quittance la dégageant de toute responsabilité à l</w:t>
      </w:r>
      <w:r>
        <w:rPr>
          <w:rFonts w:cs="Times New Roman"/>
          <w:noProof/>
          <w:lang w:val="fr-CA"/>
        </w:rPr>
        <w:t>’</w:t>
      </w:r>
      <w:r w:rsidRPr="00332A1B">
        <w:rPr>
          <w:rFonts w:cs="Times New Roman"/>
          <w:noProof/>
          <w:lang w:val="fr-CA"/>
        </w:rPr>
        <w:t>égard de toute poursuite future dont elle pourrait faire l</w:t>
      </w:r>
      <w:r>
        <w:rPr>
          <w:rFonts w:cs="Times New Roman"/>
          <w:noProof/>
          <w:lang w:val="fr-CA"/>
        </w:rPr>
        <w:t>’</w:t>
      </w:r>
      <w:r w:rsidRPr="00332A1B">
        <w:rPr>
          <w:rFonts w:cs="Times New Roman"/>
          <w:noProof/>
          <w:lang w:val="fr-CA"/>
        </w:rPr>
        <w:t>objet, non seulement au Québec et au sujet des deux modèles de réservoirs à carburant en cause, mais partout dans le monde et relativement à tous les modèles de réservoirs à carburant :</w:t>
      </w:r>
    </w:p>
    <w:p w:rsidR="00F3157A" w:rsidRPr="00332A1B" w:rsidRDefault="00F3157A" w:rsidP="00A0307B">
      <w:pPr>
        <w:pStyle w:val="Citation-AltC"/>
        <w:ind w:hanging="1166"/>
        <w:rPr>
          <w:noProof/>
          <w:lang w:val="fr-CA"/>
        </w:rPr>
      </w:pPr>
      <w:r>
        <w:rPr>
          <w:smallCaps/>
          <w:noProof/>
          <w:lang w:val="fr-CA"/>
        </w:rPr>
        <w:tab/>
      </w:r>
      <w:r w:rsidRPr="00332A1B">
        <w:rPr>
          <w:smallCaps/>
          <w:noProof/>
          <w:lang w:val="fr-CA"/>
        </w:rPr>
        <w:t>[traduction]</w:t>
      </w:r>
      <w:r>
        <w:rPr>
          <w:smallCaps/>
          <w:noProof/>
          <w:lang w:val="fr-CA"/>
        </w:rPr>
        <w:t>  </w:t>
      </w:r>
      <w:r w:rsidRPr="00332A1B">
        <w:rPr>
          <w:noProof/>
          <w:lang w:val="fr-CA"/>
        </w:rPr>
        <w:t>Ma cliente s</w:t>
      </w:r>
      <w:r>
        <w:rPr>
          <w:noProof/>
          <w:lang w:val="fr-CA"/>
        </w:rPr>
        <w:t>’</w:t>
      </w:r>
      <w:r w:rsidRPr="00332A1B">
        <w:rPr>
          <w:noProof/>
          <w:lang w:val="fr-CA"/>
        </w:rPr>
        <w:t>attend à ce que le présent règlement mette fin à tout litige présent et futur concernant tout réservoir à carburant fourni à Bombardier, BRP et d</w:t>
      </w:r>
      <w:r>
        <w:rPr>
          <w:noProof/>
          <w:lang w:val="fr-CA"/>
        </w:rPr>
        <w:t>’</w:t>
      </w:r>
      <w:r w:rsidRPr="00332A1B">
        <w:rPr>
          <w:noProof/>
          <w:lang w:val="fr-CA"/>
        </w:rPr>
        <w:t>autres, par Wedco, Union Carbide, Dow Chemicals et d</w:t>
      </w:r>
      <w:r>
        <w:rPr>
          <w:noProof/>
          <w:lang w:val="fr-CA"/>
        </w:rPr>
        <w:t>’</w:t>
      </w:r>
      <w:r w:rsidRPr="00332A1B">
        <w:rPr>
          <w:noProof/>
          <w:lang w:val="fr-CA"/>
        </w:rPr>
        <w:t>autres.  Ma cliente est consciente qu</w:t>
      </w:r>
      <w:r>
        <w:rPr>
          <w:noProof/>
          <w:lang w:val="fr-CA"/>
        </w:rPr>
        <w:t>’</w:t>
      </w:r>
      <w:r w:rsidRPr="00332A1B">
        <w:rPr>
          <w:noProof/>
          <w:lang w:val="fr-CA"/>
        </w:rPr>
        <w:t>elle pourrait être désignée comme codéfenderesse avec votre cliente dans des affaires liées à l</w:t>
      </w:r>
      <w:r>
        <w:rPr>
          <w:noProof/>
          <w:lang w:val="fr-CA"/>
        </w:rPr>
        <w:t>’</w:t>
      </w:r>
      <w:r w:rsidRPr="00332A1B">
        <w:rPr>
          <w:noProof/>
          <w:lang w:val="fr-CA"/>
        </w:rPr>
        <w:t>un des réservoirs à carburant livrés, mais elle s</w:t>
      </w:r>
      <w:r>
        <w:rPr>
          <w:noProof/>
          <w:lang w:val="fr-CA"/>
        </w:rPr>
        <w:t>’</w:t>
      </w:r>
      <w:r w:rsidRPr="00332A1B">
        <w:rPr>
          <w:noProof/>
          <w:lang w:val="fr-CA"/>
        </w:rPr>
        <w:t>attend à ce que le document lié au règlement soit clair de sorte qu</w:t>
      </w:r>
      <w:r>
        <w:rPr>
          <w:noProof/>
          <w:lang w:val="fr-CA"/>
        </w:rPr>
        <w:t>’</w:t>
      </w:r>
      <w:r w:rsidRPr="00332A1B">
        <w:rPr>
          <w:noProof/>
          <w:lang w:val="fr-CA"/>
        </w:rPr>
        <w:t>aucune des parties ne puisse appeler l</w:t>
      </w:r>
      <w:r>
        <w:rPr>
          <w:noProof/>
          <w:lang w:val="fr-CA"/>
        </w:rPr>
        <w:t>’</w:t>
      </w:r>
      <w:r w:rsidRPr="00332A1B">
        <w:rPr>
          <w:noProof/>
          <w:lang w:val="fr-CA"/>
        </w:rPr>
        <w:t>autre en garantie ou la mettre en cause.  Ma cliente estime que le litige concernant les réservoirs à carburant fournis par Wedco, Union Carbide, Dow Chemicals et d</w:t>
      </w:r>
      <w:r>
        <w:rPr>
          <w:noProof/>
          <w:lang w:val="fr-CA"/>
        </w:rPr>
        <w:t>’</w:t>
      </w:r>
      <w:r w:rsidRPr="00332A1B">
        <w:rPr>
          <w:noProof/>
          <w:lang w:val="fr-CA"/>
        </w:rPr>
        <w:t>autres, a assez duré et s</w:t>
      </w:r>
      <w:r>
        <w:rPr>
          <w:noProof/>
          <w:lang w:val="fr-CA"/>
        </w:rPr>
        <w:t>’</w:t>
      </w:r>
      <w:r w:rsidRPr="00332A1B">
        <w:rPr>
          <w:noProof/>
          <w:lang w:val="fr-CA"/>
        </w:rPr>
        <w:t>est révélé très coûteux pour les deux parties, et elle souhaite y mettre fin de façon définitive.</w:t>
      </w:r>
    </w:p>
    <w:p w:rsidR="00F3157A" w:rsidRPr="00332A1B" w:rsidRDefault="00F3157A" w:rsidP="00A0307B">
      <w:pPr>
        <w:pStyle w:val="ParaNoNdepar-AltN"/>
        <w:rPr>
          <w:rFonts w:cs="Times New Roman"/>
          <w:noProof/>
          <w:lang w:val="fr-CA"/>
        </w:rPr>
      </w:pPr>
      <w:r w:rsidRPr="00332A1B">
        <w:rPr>
          <w:rFonts w:cs="Times New Roman"/>
          <w:noProof/>
          <w:lang w:val="fr-CA"/>
        </w:rPr>
        <w:lastRenderedPageBreak/>
        <w:t>À la suite d</w:t>
      </w:r>
      <w:r>
        <w:rPr>
          <w:rFonts w:cs="Times New Roman"/>
          <w:noProof/>
          <w:lang w:val="fr-CA"/>
        </w:rPr>
        <w:t>’</w:t>
      </w:r>
      <w:r w:rsidRPr="00332A1B">
        <w:rPr>
          <w:rFonts w:cs="Times New Roman"/>
          <w:noProof/>
          <w:lang w:val="fr-CA"/>
        </w:rPr>
        <w:t>un bref courriel de suivi envoyé par l</w:t>
      </w:r>
      <w:r>
        <w:rPr>
          <w:rFonts w:cs="Times New Roman"/>
          <w:noProof/>
          <w:lang w:val="fr-CA"/>
        </w:rPr>
        <w:t>’</w:t>
      </w:r>
      <w:r w:rsidRPr="00332A1B">
        <w:rPr>
          <w:rFonts w:cs="Times New Roman"/>
          <w:noProof/>
          <w:lang w:val="fr-CA"/>
        </w:rPr>
        <w:t>avocat de Dow Chemical le 1</w:t>
      </w:r>
      <w:r w:rsidRPr="00332A1B">
        <w:rPr>
          <w:rFonts w:cs="Times New Roman"/>
          <w:noProof/>
          <w:vertAlign w:val="superscript"/>
          <w:lang w:val="fr-CA"/>
        </w:rPr>
        <w:t>er</w:t>
      </w:r>
      <w:r w:rsidRPr="00332A1B">
        <w:rPr>
          <w:rFonts w:cs="Times New Roman"/>
          <w:noProof/>
          <w:lang w:val="fr-CA"/>
        </w:rPr>
        <w:t> juin 2011, l</w:t>
      </w:r>
      <w:r>
        <w:rPr>
          <w:rFonts w:cs="Times New Roman"/>
          <w:noProof/>
          <w:lang w:val="fr-CA"/>
        </w:rPr>
        <w:t>’</w:t>
      </w:r>
      <w:r w:rsidRPr="00332A1B">
        <w:rPr>
          <w:rFonts w:cs="Times New Roman"/>
          <w:noProof/>
          <w:lang w:val="fr-CA"/>
        </w:rPr>
        <w:t>avocat de Bombardier a répondu, le 6 juin 2011, que le montant du règlement visait uniquement la poursuite engagée à Montréal.</w:t>
      </w:r>
      <w:r>
        <w:rPr>
          <w:rFonts w:cs="Times New Roman"/>
          <w:noProof/>
          <w:lang w:val="fr-CA"/>
        </w:rPr>
        <w:t xml:space="preserve"> </w:t>
      </w:r>
      <w:r w:rsidRPr="00332A1B">
        <w:rPr>
          <w:rFonts w:cs="Times New Roman"/>
          <w:noProof/>
          <w:lang w:val="fr-CA"/>
        </w:rPr>
        <w:t xml:space="preserve"> Ce courriel faisait également état d</w:t>
      </w:r>
      <w:r>
        <w:rPr>
          <w:rFonts w:cs="Times New Roman"/>
          <w:noProof/>
          <w:lang w:val="fr-CA"/>
        </w:rPr>
        <w:t>’</w:t>
      </w:r>
      <w:r w:rsidRPr="00332A1B">
        <w:rPr>
          <w:rFonts w:cs="Times New Roman"/>
          <w:noProof/>
          <w:lang w:val="fr-CA"/>
        </w:rPr>
        <w:t>autres démarches envisagées :</w:t>
      </w:r>
    </w:p>
    <w:p w:rsidR="00F3157A" w:rsidRPr="00332A1B" w:rsidRDefault="00F3157A" w:rsidP="00A0307B">
      <w:pPr>
        <w:pStyle w:val="Citation-AltC"/>
        <w:widowControl w:val="0"/>
        <w:spacing w:after="240"/>
        <w:ind w:left="1168" w:hanging="1168"/>
        <w:contextualSpacing w:val="0"/>
        <w:rPr>
          <w:noProof/>
          <w:lang w:val="fr-CA"/>
        </w:rPr>
      </w:pPr>
      <w:r>
        <w:rPr>
          <w:smallCaps/>
          <w:noProof/>
          <w:lang w:val="fr-CA"/>
        </w:rPr>
        <w:tab/>
      </w:r>
      <w:r w:rsidRPr="00332A1B">
        <w:rPr>
          <w:smallCaps/>
          <w:noProof/>
          <w:lang w:val="fr-CA"/>
        </w:rPr>
        <w:t>[traduction]</w:t>
      </w:r>
      <w:r>
        <w:rPr>
          <w:smallCaps/>
          <w:noProof/>
          <w:lang w:val="fr-CA"/>
        </w:rPr>
        <w:t>  </w:t>
      </w:r>
      <w:r w:rsidRPr="00332A1B">
        <w:rPr>
          <w:noProof/>
          <w:lang w:val="fr-CA"/>
        </w:rPr>
        <w:t>Comme vous le savez très bien, les discussions engagées au cours de la médiation, et l</w:t>
      </w:r>
      <w:r>
        <w:rPr>
          <w:noProof/>
          <w:lang w:val="fr-CA"/>
        </w:rPr>
        <w:t>’</w:t>
      </w:r>
      <w:r w:rsidRPr="00332A1B">
        <w:rPr>
          <w:noProof/>
          <w:lang w:val="fr-CA"/>
        </w:rPr>
        <w:t>offre présentée par Dow à cette occasion, n</w:t>
      </w:r>
      <w:r>
        <w:rPr>
          <w:noProof/>
          <w:lang w:val="fr-CA"/>
        </w:rPr>
        <w:t>’</w:t>
      </w:r>
      <w:r w:rsidRPr="00332A1B">
        <w:rPr>
          <w:noProof/>
          <w:lang w:val="fr-CA"/>
        </w:rPr>
        <w:t>ont jamais porté sur le type de quittance mentionné dans votre courriel du 19 mai.  Les chiffres dont nous avons parlé concernaient toujours l</w:t>
      </w:r>
      <w:r>
        <w:rPr>
          <w:noProof/>
          <w:lang w:val="fr-CA"/>
        </w:rPr>
        <w:t>’</w:t>
      </w:r>
      <w:r w:rsidRPr="00332A1B">
        <w:rPr>
          <w:noProof/>
          <w:lang w:val="fr-CA"/>
        </w:rPr>
        <w:t>action intentée devant la Cour supérieure du district de Montréal et les mises en cause dans cette poursuite.  Ces chiffres ne concernaient que les actions en cours au moment des admissions et rien d</w:t>
      </w:r>
      <w:r>
        <w:rPr>
          <w:noProof/>
          <w:lang w:val="fr-CA"/>
        </w:rPr>
        <w:t>’</w:t>
      </w:r>
      <w:r w:rsidR="000A6B3D">
        <w:rPr>
          <w:noProof/>
          <w:lang w:val="fr-CA"/>
        </w:rPr>
        <w:t>autre. . .</w:t>
      </w:r>
    </w:p>
    <w:p w:rsidR="00F3157A" w:rsidRPr="00332A1B" w:rsidRDefault="00F3157A" w:rsidP="00A0307B">
      <w:pPr>
        <w:pStyle w:val="Citation-AltC"/>
        <w:spacing w:after="240"/>
        <w:ind w:hanging="1166"/>
        <w:contextualSpacing w:val="0"/>
        <w:rPr>
          <w:noProof/>
          <w:lang w:val="fr-CA"/>
        </w:rPr>
      </w:pPr>
      <w:r>
        <w:rPr>
          <w:noProof/>
          <w:lang w:val="fr-CA"/>
        </w:rPr>
        <w:tab/>
      </w:r>
      <w:r w:rsidRPr="00332A1B">
        <w:rPr>
          <w:noProof/>
          <w:lang w:val="fr-CA"/>
        </w:rPr>
        <w:t>Vous trouverez donc ci</w:t>
      </w:r>
      <w:r w:rsidR="00A0307B">
        <w:rPr>
          <w:noProof/>
          <w:lang w:val="fr-CA"/>
        </w:rPr>
        <w:t>-</w:t>
      </w:r>
      <w:r w:rsidRPr="00332A1B">
        <w:rPr>
          <w:noProof/>
          <w:lang w:val="fr-CA"/>
        </w:rPr>
        <w:t>joint une quittance qui reflète l</w:t>
      </w:r>
      <w:r>
        <w:rPr>
          <w:noProof/>
          <w:lang w:val="fr-CA"/>
        </w:rPr>
        <w:t>’</w:t>
      </w:r>
      <w:r w:rsidRPr="00332A1B">
        <w:rPr>
          <w:noProof/>
          <w:lang w:val="fr-CA"/>
        </w:rPr>
        <w:t>étendue de votre offre et notre acceptation.  Pour acheter la paix, BRP a accepté d</w:t>
      </w:r>
      <w:r>
        <w:rPr>
          <w:noProof/>
          <w:lang w:val="fr-CA"/>
        </w:rPr>
        <w:t>’</w:t>
      </w:r>
      <w:r w:rsidRPr="00332A1B">
        <w:rPr>
          <w:noProof/>
          <w:lang w:val="fr-CA"/>
        </w:rPr>
        <w:t>étendre la portée de la quittance à toute action en cours ou éventuelle relative aux réservoirs 109 et 183 fabriqués par Wedco, qu</w:t>
      </w:r>
      <w:r>
        <w:rPr>
          <w:noProof/>
          <w:lang w:val="fr-CA"/>
        </w:rPr>
        <w:t>’</w:t>
      </w:r>
      <w:r w:rsidRPr="00332A1B">
        <w:rPr>
          <w:noProof/>
          <w:lang w:val="fr-CA"/>
        </w:rPr>
        <w:t>elle ait ou non été engagée au moment des admissions.  Cependant, BRP n</w:t>
      </w:r>
      <w:r>
        <w:rPr>
          <w:noProof/>
          <w:lang w:val="fr-CA"/>
        </w:rPr>
        <w:t>’</w:t>
      </w:r>
      <w:r w:rsidRPr="00332A1B">
        <w:rPr>
          <w:noProof/>
          <w:lang w:val="fr-CA"/>
        </w:rPr>
        <w:t>ira pas jusqu</w:t>
      </w:r>
      <w:r>
        <w:rPr>
          <w:noProof/>
          <w:lang w:val="fr-CA"/>
        </w:rPr>
        <w:t>’</w:t>
      </w:r>
      <w:r w:rsidRPr="00332A1B">
        <w:rPr>
          <w:noProof/>
          <w:lang w:val="fr-CA"/>
        </w:rPr>
        <w:t>à consentir au règlement des actions en cours ou éventuelles relatives aux réservoirs à carburant qui ne font pas l</w:t>
      </w:r>
      <w:r>
        <w:rPr>
          <w:noProof/>
          <w:lang w:val="fr-CA"/>
        </w:rPr>
        <w:t>’</w:t>
      </w:r>
      <w:r w:rsidRPr="00332A1B">
        <w:rPr>
          <w:noProof/>
          <w:lang w:val="fr-CA"/>
        </w:rPr>
        <w:t>objet de la poursuite intentée à Montréal.</w:t>
      </w:r>
    </w:p>
    <w:p w:rsidR="00F3157A" w:rsidRPr="00332A1B" w:rsidRDefault="00F3157A" w:rsidP="00A0307B">
      <w:pPr>
        <w:pStyle w:val="Citation-AltC"/>
        <w:spacing w:after="240"/>
        <w:ind w:hanging="1166"/>
        <w:contextualSpacing w:val="0"/>
        <w:rPr>
          <w:noProof/>
          <w:lang w:val="fr-CA"/>
        </w:rPr>
      </w:pPr>
      <w:r>
        <w:rPr>
          <w:noProof/>
          <w:lang w:val="fr-CA"/>
        </w:rPr>
        <w:tab/>
      </w:r>
      <w:r w:rsidRPr="00332A1B">
        <w:rPr>
          <w:noProof/>
          <w:lang w:val="fr-CA"/>
        </w:rPr>
        <w:t>À mon avis, trois possibilités s</w:t>
      </w:r>
      <w:r>
        <w:rPr>
          <w:noProof/>
          <w:lang w:val="fr-CA"/>
        </w:rPr>
        <w:t>’</w:t>
      </w:r>
      <w:r w:rsidRPr="00332A1B">
        <w:rPr>
          <w:noProof/>
          <w:lang w:val="fr-CA"/>
        </w:rPr>
        <w:t>offrent maintenant à nous :</w:t>
      </w:r>
    </w:p>
    <w:p w:rsidR="00F3157A" w:rsidRPr="00332A1B" w:rsidRDefault="00ED67FF" w:rsidP="00ED67FF">
      <w:pPr>
        <w:pStyle w:val="Citation-AltC"/>
        <w:tabs>
          <w:tab w:val="left" w:pos="1620"/>
        </w:tabs>
        <w:rPr>
          <w:noProof/>
          <w:lang w:val="fr-CA"/>
        </w:rPr>
      </w:pPr>
      <w:r>
        <w:rPr>
          <w:noProof/>
          <w:lang w:val="fr-CA"/>
        </w:rPr>
        <w:t>1)</w:t>
      </w:r>
      <w:r>
        <w:rPr>
          <w:noProof/>
          <w:lang w:val="fr-CA"/>
        </w:rPr>
        <w:tab/>
      </w:r>
      <w:r w:rsidR="00F3157A" w:rsidRPr="00332A1B">
        <w:rPr>
          <w:noProof/>
          <w:lang w:val="fr-CA"/>
        </w:rPr>
        <w:t xml:space="preserve">Dow augmente </w:t>
      </w:r>
      <w:r w:rsidR="00F3157A" w:rsidRPr="00332A1B">
        <w:rPr>
          <w:noProof/>
          <w:u w:val="single"/>
          <w:lang w:val="fr-CA"/>
        </w:rPr>
        <w:t>substantiellement</w:t>
      </w:r>
      <w:r w:rsidR="00F3157A" w:rsidRPr="00332A1B">
        <w:rPr>
          <w:noProof/>
          <w:lang w:val="fr-CA"/>
        </w:rPr>
        <w:t xml:space="preserve"> son offre en fonction de la quittance qu</w:t>
      </w:r>
      <w:r w:rsidR="00F3157A">
        <w:rPr>
          <w:noProof/>
          <w:lang w:val="fr-CA"/>
        </w:rPr>
        <w:t>’</w:t>
      </w:r>
      <w:r w:rsidR="00F3157A" w:rsidRPr="00332A1B">
        <w:rPr>
          <w:noProof/>
          <w:lang w:val="fr-CA"/>
        </w:rPr>
        <w:t>elle souhaite obtenir à présent;</w:t>
      </w:r>
    </w:p>
    <w:p w:rsidR="00F3157A" w:rsidRPr="00332A1B" w:rsidRDefault="00ED67FF" w:rsidP="00ED67FF">
      <w:pPr>
        <w:pStyle w:val="Citation-AltC"/>
        <w:tabs>
          <w:tab w:val="left" w:pos="1620"/>
        </w:tabs>
        <w:rPr>
          <w:noProof/>
          <w:lang w:val="fr-CA"/>
        </w:rPr>
      </w:pPr>
      <w:r>
        <w:rPr>
          <w:noProof/>
          <w:lang w:val="fr-CA"/>
        </w:rPr>
        <w:t>2)</w:t>
      </w:r>
      <w:r>
        <w:rPr>
          <w:noProof/>
          <w:lang w:val="fr-CA"/>
        </w:rPr>
        <w:tab/>
      </w:r>
      <w:r w:rsidR="00F3157A" w:rsidRPr="00332A1B">
        <w:rPr>
          <w:noProof/>
          <w:lang w:val="fr-CA"/>
        </w:rPr>
        <w:t>Nous réglons l</w:t>
      </w:r>
      <w:r w:rsidR="00F3157A">
        <w:rPr>
          <w:noProof/>
          <w:lang w:val="fr-CA"/>
        </w:rPr>
        <w:t>’</w:t>
      </w:r>
      <w:r w:rsidR="00F3157A" w:rsidRPr="00332A1B">
        <w:rPr>
          <w:noProof/>
          <w:lang w:val="fr-CA"/>
        </w:rPr>
        <w:t>action intentée à Montréal et tentons de régler les autres actions en cours et éventuelles que vous voulez régler à présent (avec ou sans l</w:t>
      </w:r>
      <w:r w:rsidR="00F3157A">
        <w:rPr>
          <w:noProof/>
          <w:lang w:val="fr-CA"/>
        </w:rPr>
        <w:t>’</w:t>
      </w:r>
      <w:r w:rsidR="00F3157A" w:rsidRPr="00332A1B">
        <w:rPr>
          <w:noProof/>
          <w:lang w:val="fr-CA"/>
        </w:rPr>
        <w:t>aide d</w:t>
      </w:r>
      <w:r w:rsidR="00F3157A">
        <w:rPr>
          <w:noProof/>
          <w:lang w:val="fr-CA"/>
        </w:rPr>
        <w:t>’</w:t>
      </w:r>
      <w:r w:rsidR="00F3157A" w:rsidRPr="00332A1B">
        <w:rPr>
          <w:noProof/>
          <w:lang w:val="fr-CA"/>
        </w:rPr>
        <w:t>un médiateur).  Si vous optez pour cette dernière solution, je propose que Dow obtienne le pouvoir de conclure un règlement avant d</w:t>
      </w:r>
      <w:r w:rsidR="00F3157A">
        <w:rPr>
          <w:noProof/>
          <w:lang w:val="fr-CA"/>
        </w:rPr>
        <w:t>’</w:t>
      </w:r>
      <w:r w:rsidR="00F3157A" w:rsidRPr="00332A1B">
        <w:rPr>
          <w:noProof/>
          <w:lang w:val="fr-CA"/>
        </w:rPr>
        <w:t>aller plus loin, de façon à éviter qu</w:t>
      </w:r>
      <w:r w:rsidR="00F3157A">
        <w:rPr>
          <w:noProof/>
          <w:lang w:val="fr-CA"/>
        </w:rPr>
        <w:t>’</w:t>
      </w:r>
      <w:r w:rsidR="00F3157A" w:rsidRPr="00332A1B">
        <w:rPr>
          <w:noProof/>
          <w:lang w:val="fr-CA"/>
        </w:rPr>
        <w:t>elle adopte une position « à prendre ou à laisser » comme cela s</w:t>
      </w:r>
      <w:r w:rsidR="00F3157A">
        <w:rPr>
          <w:noProof/>
          <w:lang w:val="fr-CA"/>
        </w:rPr>
        <w:t>’</w:t>
      </w:r>
      <w:r w:rsidR="00F3157A" w:rsidRPr="00332A1B">
        <w:rPr>
          <w:noProof/>
          <w:lang w:val="fr-CA"/>
        </w:rPr>
        <w:t>est produit la dernière fois.</w:t>
      </w:r>
    </w:p>
    <w:p w:rsidR="00F3157A" w:rsidRPr="00332A1B" w:rsidRDefault="00ED67FF" w:rsidP="00ED67FF">
      <w:pPr>
        <w:pStyle w:val="Citation-AltC"/>
        <w:tabs>
          <w:tab w:val="left" w:pos="1620"/>
        </w:tabs>
        <w:rPr>
          <w:noProof/>
          <w:lang w:val="fr-CA"/>
        </w:rPr>
      </w:pPr>
      <w:r>
        <w:rPr>
          <w:noProof/>
          <w:lang w:val="fr-CA"/>
        </w:rPr>
        <w:t>3)</w:t>
      </w:r>
      <w:r>
        <w:rPr>
          <w:noProof/>
          <w:lang w:val="fr-CA"/>
        </w:rPr>
        <w:tab/>
      </w:r>
      <w:r w:rsidR="00F3157A" w:rsidRPr="00332A1B">
        <w:rPr>
          <w:noProof/>
          <w:lang w:val="fr-CA"/>
        </w:rPr>
        <w:t>Dow refuse le règlement et BRP a) poursuit l</w:t>
      </w:r>
      <w:r w:rsidR="00F3157A">
        <w:rPr>
          <w:noProof/>
          <w:lang w:val="fr-CA"/>
        </w:rPr>
        <w:t>’</w:t>
      </w:r>
      <w:r w:rsidR="00F3157A" w:rsidRPr="00332A1B">
        <w:rPr>
          <w:noProof/>
          <w:lang w:val="fr-CA"/>
        </w:rPr>
        <w:t>instance, ou b) décide d</w:t>
      </w:r>
      <w:r w:rsidR="00F3157A">
        <w:rPr>
          <w:noProof/>
          <w:lang w:val="fr-CA"/>
        </w:rPr>
        <w:t>’</w:t>
      </w:r>
      <w:r w:rsidR="00F3157A" w:rsidRPr="00332A1B">
        <w:rPr>
          <w:noProof/>
          <w:lang w:val="fr-CA"/>
        </w:rPr>
        <w:t>introduire une demande d</w:t>
      </w:r>
      <w:r w:rsidR="00F3157A">
        <w:rPr>
          <w:noProof/>
          <w:lang w:val="fr-CA"/>
        </w:rPr>
        <w:t>’</w:t>
      </w:r>
      <w:r w:rsidR="00F3157A" w:rsidRPr="00332A1B">
        <w:rPr>
          <w:noProof/>
          <w:lang w:val="fr-CA"/>
        </w:rPr>
        <w:t>homologation.  [Souligné dans l</w:t>
      </w:r>
      <w:r w:rsidR="00F3157A">
        <w:rPr>
          <w:noProof/>
          <w:lang w:val="fr-CA"/>
        </w:rPr>
        <w:t>’</w:t>
      </w:r>
      <w:r w:rsidR="00F3157A" w:rsidRPr="00332A1B">
        <w:rPr>
          <w:noProof/>
          <w:lang w:val="fr-CA"/>
        </w:rPr>
        <w:t>original.]</w:t>
      </w:r>
    </w:p>
    <w:p w:rsidR="00F3157A" w:rsidRPr="00332A1B" w:rsidRDefault="00F3157A" w:rsidP="00A0307B">
      <w:pPr>
        <w:pStyle w:val="ParaNoNdepar-AltN"/>
        <w:rPr>
          <w:rFonts w:cs="Times New Roman"/>
          <w:noProof/>
          <w:lang w:val="fr-CA"/>
        </w:rPr>
      </w:pPr>
      <w:r w:rsidRPr="00332A1B">
        <w:rPr>
          <w:rFonts w:cs="Times New Roman"/>
          <w:noProof/>
          <w:lang w:val="fr-CA"/>
        </w:rPr>
        <w:t>Le 14 juin 2011, l</w:t>
      </w:r>
      <w:r>
        <w:rPr>
          <w:rFonts w:cs="Times New Roman"/>
          <w:noProof/>
          <w:lang w:val="fr-CA"/>
        </w:rPr>
        <w:t>’</w:t>
      </w:r>
      <w:r w:rsidRPr="00332A1B">
        <w:rPr>
          <w:rFonts w:cs="Times New Roman"/>
          <w:noProof/>
          <w:lang w:val="fr-CA"/>
        </w:rPr>
        <w:t>avocat de Bombardier a envoyé à l</w:t>
      </w:r>
      <w:r>
        <w:rPr>
          <w:rFonts w:cs="Times New Roman"/>
          <w:noProof/>
          <w:lang w:val="fr-CA"/>
        </w:rPr>
        <w:t>’</w:t>
      </w:r>
      <w:r w:rsidRPr="00332A1B">
        <w:rPr>
          <w:rFonts w:cs="Times New Roman"/>
          <w:noProof/>
          <w:lang w:val="fr-CA"/>
        </w:rPr>
        <w:t xml:space="preserve">avocat de Dow Chemical une mise en demeure exigeant le paiement de 7 millions $ correspondant au </w:t>
      </w:r>
      <w:r w:rsidRPr="00332A1B">
        <w:rPr>
          <w:rFonts w:cs="Times New Roman"/>
          <w:noProof/>
          <w:lang w:val="fr-CA"/>
        </w:rPr>
        <w:lastRenderedPageBreak/>
        <w:t>montant du règlement.  Dans sa réponse en date du 16 juin 2011, l</w:t>
      </w:r>
      <w:r>
        <w:rPr>
          <w:rFonts w:cs="Times New Roman"/>
          <w:noProof/>
          <w:lang w:val="fr-CA"/>
        </w:rPr>
        <w:t>’</w:t>
      </w:r>
      <w:r w:rsidRPr="00332A1B">
        <w:rPr>
          <w:rFonts w:cs="Times New Roman"/>
          <w:noProof/>
          <w:lang w:val="fr-CA"/>
        </w:rPr>
        <w:t>avocat de Dow Chemical a réitéré la position de sa cliente au sujet de la quittance recherchée :</w:t>
      </w:r>
    </w:p>
    <w:p w:rsidR="00F3157A" w:rsidRPr="00332A1B" w:rsidRDefault="00F3157A" w:rsidP="00A0307B">
      <w:pPr>
        <w:pStyle w:val="Citation-AltC"/>
        <w:spacing w:after="240"/>
        <w:ind w:left="1168"/>
        <w:contextualSpacing w:val="0"/>
        <w:rPr>
          <w:noProof/>
          <w:lang w:val="fr-CA"/>
        </w:rPr>
      </w:pPr>
      <w:r w:rsidRPr="00332A1B">
        <w:rPr>
          <w:smallCaps/>
          <w:noProof/>
          <w:lang w:val="fr-CA"/>
        </w:rPr>
        <w:t>[traduction]</w:t>
      </w:r>
      <w:r>
        <w:rPr>
          <w:smallCaps/>
          <w:noProof/>
          <w:lang w:val="fr-CA"/>
        </w:rPr>
        <w:t>  </w:t>
      </w:r>
      <w:r w:rsidRPr="00332A1B">
        <w:rPr>
          <w:noProof/>
          <w:lang w:val="fr-CA"/>
        </w:rPr>
        <w:t>Vos clientes étaient parfaitement au courant de la nature de la quittance que nos clientes exigeaient et n</w:t>
      </w:r>
      <w:r>
        <w:rPr>
          <w:noProof/>
          <w:lang w:val="fr-CA"/>
        </w:rPr>
        <w:t>’</w:t>
      </w:r>
      <w:r w:rsidRPr="00332A1B">
        <w:rPr>
          <w:noProof/>
          <w:lang w:val="fr-CA"/>
        </w:rPr>
        <w:t>ont jamais laissé entendre qu</w:t>
      </w:r>
      <w:r>
        <w:rPr>
          <w:noProof/>
          <w:lang w:val="fr-CA"/>
        </w:rPr>
        <w:t>’</w:t>
      </w:r>
      <w:r w:rsidRPr="00332A1B">
        <w:rPr>
          <w:noProof/>
          <w:lang w:val="fr-CA"/>
        </w:rPr>
        <w:t>elles restreindraient la portée de la quittance.  Si vos clientes ne sont pas disposées à accorder la quittance demandée, aucun paiement ne sera effectué et toute procédure judiciaire sera contestée.</w:t>
      </w:r>
    </w:p>
    <w:p w:rsidR="00F3157A" w:rsidRPr="00332A1B" w:rsidRDefault="00F3157A" w:rsidP="00A0307B">
      <w:pPr>
        <w:pStyle w:val="Citation-AltC"/>
        <w:rPr>
          <w:noProof/>
          <w:lang w:val="fr-CA"/>
        </w:rPr>
      </w:pPr>
      <w:r w:rsidRPr="00332A1B">
        <w:rPr>
          <w:noProof/>
          <w:lang w:val="fr-CA"/>
        </w:rPr>
        <w:t>Je vous rappelle les dispositions relatives au caractère confidentiel de l</w:t>
      </w:r>
      <w:r>
        <w:rPr>
          <w:noProof/>
          <w:lang w:val="fr-CA"/>
        </w:rPr>
        <w:t>’</w:t>
      </w:r>
      <w:r w:rsidRPr="00332A1B">
        <w:rPr>
          <w:noProof/>
          <w:lang w:val="fr-CA"/>
        </w:rPr>
        <w:t>entente de médiation que vous avez signée en votre nom et au nom de vos clientes,</w:t>
      </w:r>
      <w:r>
        <w:rPr>
          <w:noProof/>
          <w:lang w:val="fr-CA"/>
        </w:rPr>
        <w:t xml:space="preserve"> le 26 avril </w:t>
      </w:r>
      <w:r w:rsidRPr="00332A1B">
        <w:rPr>
          <w:noProof/>
          <w:lang w:val="fr-CA"/>
        </w:rPr>
        <w:t>2011.  Toute tentative de porter atteinte au caractère confidentiel de tout ce qui a été dit ou écrit au cours de la médiation fera l</w:t>
      </w:r>
      <w:r>
        <w:rPr>
          <w:noProof/>
          <w:lang w:val="fr-CA"/>
        </w:rPr>
        <w:t>’</w:t>
      </w:r>
      <w:r w:rsidRPr="00332A1B">
        <w:rPr>
          <w:noProof/>
          <w:lang w:val="fr-CA"/>
        </w:rPr>
        <w:t>objet des procédures appropriées.</w:t>
      </w:r>
    </w:p>
    <w:p w:rsidR="00F3157A" w:rsidRPr="00332A1B" w:rsidRDefault="00F3157A" w:rsidP="00A0307B">
      <w:pPr>
        <w:pStyle w:val="ParaNoNdepar-AltN"/>
        <w:rPr>
          <w:rFonts w:cs="Times New Roman"/>
          <w:noProof/>
          <w:lang w:val="fr-CA"/>
        </w:rPr>
      </w:pPr>
      <w:r w:rsidRPr="00332A1B">
        <w:rPr>
          <w:rFonts w:cs="Times New Roman"/>
          <w:noProof/>
          <w:lang w:val="fr-CA"/>
        </w:rPr>
        <w:t>L</w:t>
      </w:r>
      <w:r>
        <w:rPr>
          <w:rFonts w:cs="Times New Roman"/>
          <w:noProof/>
          <w:lang w:val="fr-CA"/>
        </w:rPr>
        <w:t>’</w:t>
      </w:r>
      <w:r w:rsidRPr="00332A1B">
        <w:rPr>
          <w:rFonts w:cs="Times New Roman"/>
          <w:noProof/>
          <w:lang w:val="fr-CA"/>
        </w:rPr>
        <w:t>avocat de Bombardier a répondu le 29 juin 2011, indiquant que sa cliente présenterait une requête en cas de défaut de paiement :</w:t>
      </w:r>
    </w:p>
    <w:p w:rsidR="00F3157A" w:rsidRPr="00332A1B" w:rsidRDefault="00F3157A" w:rsidP="00A0307B">
      <w:pPr>
        <w:pStyle w:val="Citation-AltC"/>
        <w:spacing w:after="240"/>
        <w:ind w:left="1168" w:hanging="1168"/>
        <w:contextualSpacing w:val="0"/>
        <w:rPr>
          <w:noProof/>
          <w:lang w:val="fr-CA"/>
        </w:rPr>
      </w:pPr>
      <w:r>
        <w:rPr>
          <w:smallCaps/>
          <w:noProof/>
          <w:lang w:val="fr-CA"/>
        </w:rPr>
        <w:tab/>
      </w:r>
      <w:r w:rsidRPr="00332A1B">
        <w:rPr>
          <w:smallCaps/>
          <w:noProof/>
          <w:lang w:val="fr-CA"/>
        </w:rPr>
        <w:t>[traduction]</w:t>
      </w:r>
      <w:r>
        <w:rPr>
          <w:smallCaps/>
          <w:noProof/>
          <w:lang w:val="fr-CA"/>
        </w:rPr>
        <w:t>  </w:t>
      </w:r>
      <w:r w:rsidRPr="00332A1B">
        <w:rPr>
          <w:noProof/>
          <w:lang w:val="fr-CA"/>
        </w:rPr>
        <w:t>Nous constatons que votre cliente n</w:t>
      </w:r>
      <w:r>
        <w:rPr>
          <w:noProof/>
          <w:lang w:val="fr-CA"/>
        </w:rPr>
        <w:t>’</w:t>
      </w:r>
      <w:r w:rsidRPr="00332A1B">
        <w:rPr>
          <w:noProof/>
          <w:lang w:val="fr-CA"/>
        </w:rPr>
        <w:t>est plus disposée à respecter l</w:t>
      </w:r>
      <w:r>
        <w:rPr>
          <w:noProof/>
          <w:lang w:val="fr-CA"/>
        </w:rPr>
        <w:t>’</w:t>
      </w:r>
      <w:r w:rsidRPr="00332A1B">
        <w:rPr>
          <w:noProof/>
          <w:lang w:val="fr-CA"/>
        </w:rPr>
        <w:t>entente conclue relativement à l</w:t>
      </w:r>
      <w:r>
        <w:rPr>
          <w:noProof/>
          <w:lang w:val="fr-CA"/>
        </w:rPr>
        <w:t>’</w:t>
      </w:r>
      <w:r w:rsidRPr="00332A1B">
        <w:rPr>
          <w:noProof/>
          <w:lang w:val="fr-CA"/>
        </w:rPr>
        <w:t>affaire susmentionnée.</w:t>
      </w:r>
    </w:p>
    <w:p w:rsidR="00F3157A" w:rsidRPr="00332A1B" w:rsidRDefault="00F3157A" w:rsidP="00A0307B">
      <w:pPr>
        <w:pStyle w:val="Citation-AltC"/>
        <w:spacing w:after="240"/>
        <w:ind w:left="1168" w:hanging="1168"/>
        <w:contextualSpacing w:val="0"/>
        <w:rPr>
          <w:noProof/>
          <w:lang w:val="fr-CA"/>
        </w:rPr>
      </w:pPr>
      <w:r>
        <w:rPr>
          <w:noProof/>
          <w:lang w:val="fr-CA"/>
        </w:rPr>
        <w:tab/>
      </w:r>
      <w:r w:rsidRPr="00332A1B">
        <w:rPr>
          <w:noProof/>
          <w:lang w:val="fr-CA"/>
        </w:rPr>
        <w:t>En conséquence, à moins que Dow Chemical ne revienne sur sa position, BRP n</w:t>
      </w:r>
      <w:r>
        <w:rPr>
          <w:noProof/>
          <w:lang w:val="fr-CA"/>
        </w:rPr>
        <w:t>’</w:t>
      </w:r>
      <w:r w:rsidRPr="00332A1B">
        <w:rPr>
          <w:noProof/>
          <w:lang w:val="fr-CA"/>
        </w:rPr>
        <w:t>aura pas d</w:t>
      </w:r>
      <w:r>
        <w:rPr>
          <w:noProof/>
          <w:lang w:val="fr-CA"/>
        </w:rPr>
        <w:t>’</w:t>
      </w:r>
      <w:r w:rsidRPr="00332A1B">
        <w:rPr>
          <w:noProof/>
          <w:lang w:val="fr-CA"/>
        </w:rPr>
        <w:t>autre choix que de déposer la requête ci</w:t>
      </w:r>
      <w:r w:rsidR="00A0307B">
        <w:rPr>
          <w:noProof/>
          <w:lang w:val="fr-CA"/>
        </w:rPr>
        <w:t>-</w:t>
      </w:r>
      <w:r w:rsidRPr="00332A1B">
        <w:rPr>
          <w:noProof/>
          <w:lang w:val="fr-CA"/>
        </w:rPr>
        <w:t>jointe.</w:t>
      </w:r>
    </w:p>
    <w:p w:rsidR="00F3157A" w:rsidRPr="00332A1B" w:rsidRDefault="00F3157A" w:rsidP="00A0307B">
      <w:pPr>
        <w:pStyle w:val="Citation-AltC"/>
        <w:spacing w:after="240"/>
        <w:ind w:left="1168" w:hanging="1168"/>
        <w:contextualSpacing w:val="0"/>
        <w:rPr>
          <w:noProof/>
          <w:lang w:val="fr-CA"/>
        </w:rPr>
      </w:pPr>
      <w:r>
        <w:rPr>
          <w:noProof/>
          <w:lang w:val="fr-CA"/>
        </w:rPr>
        <w:tab/>
      </w:r>
      <w:r w:rsidRPr="00332A1B">
        <w:rPr>
          <w:noProof/>
          <w:lang w:val="fr-CA"/>
        </w:rPr>
        <w:t>Nous avons examiné les arguments invoqués dans votre lettre au sujet du caractère confidentiel des discussions engagées au cours de la médiation.  Or, ces arguments ne sont pas fondés.</w:t>
      </w:r>
    </w:p>
    <w:p w:rsidR="00F3157A" w:rsidRPr="00332A1B" w:rsidRDefault="00F3157A" w:rsidP="00A0307B">
      <w:pPr>
        <w:pStyle w:val="Citation-AltC"/>
        <w:spacing w:after="240"/>
        <w:ind w:left="1168" w:hanging="1168"/>
        <w:contextualSpacing w:val="0"/>
        <w:rPr>
          <w:noProof/>
          <w:lang w:val="fr-CA"/>
        </w:rPr>
      </w:pPr>
      <w:r>
        <w:rPr>
          <w:noProof/>
          <w:lang w:val="fr-CA"/>
        </w:rPr>
        <w:tab/>
      </w:r>
      <w:r w:rsidRPr="00332A1B">
        <w:rPr>
          <w:noProof/>
          <w:lang w:val="fr-CA"/>
        </w:rPr>
        <w:t>Tout d</w:t>
      </w:r>
      <w:r>
        <w:rPr>
          <w:noProof/>
          <w:lang w:val="fr-CA"/>
        </w:rPr>
        <w:t>’</w:t>
      </w:r>
      <w:r w:rsidRPr="00332A1B">
        <w:rPr>
          <w:noProof/>
          <w:lang w:val="fr-CA"/>
        </w:rPr>
        <w:t>abord, vous savez sans doute qu</w:t>
      </w:r>
      <w:r>
        <w:rPr>
          <w:noProof/>
          <w:lang w:val="fr-CA"/>
        </w:rPr>
        <w:t>’</w:t>
      </w:r>
      <w:r w:rsidRPr="00332A1B">
        <w:rPr>
          <w:noProof/>
          <w:lang w:val="fr-CA"/>
        </w:rPr>
        <w:t>il existe une exception à la confidentialité lorsque les discussions ont permis de conclure une transaction.</w:t>
      </w:r>
    </w:p>
    <w:p w:rsidR="00F3157A" w:rsidRPr="00332A1B" w:rsidRDefault="00F3157A" w:rsidP="00A0307B">
      <w:pPr>
        <w:pStyle w:val="Citation-AltC"/>
        <w:ind w:hanging="1166"/>
        <w:rPr>
          <w:noProof/>
          <w:lang w:val="fr-CA"/>
        </w:rPr>
      </w:pPr>
      <w:r>
        <w:rPr>
          <w:noProof/>
          <w:lang w:val="fr-CA"/>
        </w:rPr>
        <w:tab/>
      </w:r>
      <w:r w:rsidRPr="00332A1B">
        <w:rPr>
          <w:noProof/>
          <w:lang w:val="fr-CA"/>
        </w:rPr>
        <w:t>De plus, le contrat conclu entre les parties n</w:t>
      </w:r>
      <w:r>
        <w:rPr>
          <w:noProof/>
          <w:lang w:val="fr-CA"/>
        </w:rPr>
        <w:t>’</w:t>
      </w:r>
      <w:r w:rsidRPr="00332A1B">
        <w:rPr>
          <w:noProof/>
          <w:lang w:val="fr-CA"/>
        </w:rPr>
        <w:t>est pas applicable dans la présente affaire puisque Dow Chemical a accepté de maintenir son offre pour qu</w:t>
      </w:r>
      <w:r>
        <w:rPr>
          <w:noProof/>
          <w:lang w:val="fr-CA"/>
        </w:rPr>
        <w:t>’</w:t>
      </w:r>
      <w:r w:rsidRPr="00332A1B">
        <w:rPr>
          <w:noProof/>
          <w:lang w:val="fr-CA"/>
        </w:rPr>
        <w:t>elle puisse être examinée après la médiation, et que l</w:t>
      </w:r>
      <w:r>
        <w:rPr>
          <w:noProof/>
          <w:lang w:val="fr-CA"/>
        </w:rPr>
        <w:t>’</w:t>
      </w:r>
      <w:r w:rsidRPr="00332A1B">
        <w:rPr>
          <w:noProof/>
          <w:lang w:val="fr-CA"/>
        </w:rPr>
        <w:t>acceptation de BRP n</w:t>
      </w:r>
      <w:r>
        <w:rPr>
          <w:noProof/>
          <w:lang w:val="fr-CA"/>
        </w:rPr>
        <w:t>’</w:t>
      </w:r>
      <w:r w:rsidRPr="00332A1B">
        <w:rPr>
          <w:noProof/>
          <w:lang w:val="fr-CA"/>
        </w:rPr>
        <w:t>a pas été transmise dans le cadre de la médiation.</w:t>
      </w:r>
    </w:p>
    <w:p w:rsidR="00F3157A" w:rsidRPr="00332A1B" w:rsidRDefault="00F3157A" w:rsidP="00A0307B">
      <w:pPr>
        <w:pStyle w:val="ParaNoNdepar-AltN"/>
        <w:rPr>
          <w:rFonts w:cs="Times New Roman"/>
          <w:noProof/>
          <w:lang w:val="fr-CA"/>
        </w:rPr>
      </w:pPr>
      <w:r w:rsidRPr="00332A1B">
        <w:rPr>
          <w:rFonts w:cs="Times New Roman"/>
          <w:noProof/>
          <w:lang w:val="fr-CA"/>
        </w:rPr>
        <w:lastRenderedPageBreak/>
        <w:t>Dans une autre lettre en date du 6 juillet 2011, l</w:t>
      </w:r>
      <w:r>
        <w:rPr>
          <w:rFonts w:cs="Times New Roman"/>
          <w:noProof/>
          <w:lang w:val="fr-CA"/>
        </w:rPr>
        <w:t>’</w:t>
      </w:r>
      <w:r w:rsidRPr="00332A1B">
        <w:rPr>
          <w:rFonts w:cs="Times New Roman"/>
          <w:noProof/>
          <w:lang w:val="fr-CA"/>
        </w:rPr>
        <w:t>avocat de Dow Chemical a soutenu que ni la correspondance envoyée par Bombardier ni les documents liés au projet de requête ne faisaient état de la contrepartie que devait fournir Bombardier en échange de la somme que Dow Chemical devait verser.  Là encore, l</w:t>
      </w:r>
      <w:r>
        <w:rPr>
          <w:rFonts w:cs="Times New Roman"/>
          <w:noProof/>
          <w:lang w:val="fr-CA"/>
        </w:rPr>
        <w:t>’</w:t>
      </w:r>
      <w:r w:rsidRPr="00332A1B">
        <w:rPr>
          <w:rFonts w:cs="Times New Roman"/>
          <w:noProof/>
          <w:lang w:val="fr-CA"/>
        </w:rPr>
        <w:t>avocat de Dow Chemical a rappelé que, selon sa cliente, il n</w:t>
      </w:r>
      <w:r>
        <w:rPr>
          <w:rFonts w:cs="Times New Roman"/>
          <w:noProof/>
          <w:lang w:val="fr-CA"/>
        </w:rPr>
        <w:t>’</w:t>
      </w:r>
      <w:r w:rsidRPr="00332A1B">
        <w:rPr>
          <w:rFonts w:cs="Times New Roman"/>
          <w:noProof/>
          <w:lang w:val="fr-CA"/>
        </w:rPr>
        <w:t xml:space="preserve">existait </w:t>
      </w:r>
      <w:r w:rsidRPr="00332A1B">
        <w:rPr>
          <w:rFonts w:cs="Times New Roman"/>
          <w:smallCaps/>
          <w:noProof/>
          <w:lang w:val="fr-CA"/>
        </w:rPr>
        <w:t>[traduction</w:t>
      </w:r>
      <w:r w:rsidRPr="00332A1B">
        <w:rPr>
          <w:rFonts w:cs="Times New Roman"/>
          <w:noProof/>
          <w:lang w:val="fr-CA"/>
        </w:rPr>
        <w:t>] « ni entente ni transaction ».</w:t>
      </w:r>
    </w:p>
    <w:p w:rsidR="00F3157A" w:rsidRPr="00332A1B" w:rsidRDefault="00F3157A" w:rsidP="00A0307B">
      <w:pPr>
        <w:pStyle w:val="ParaNoNdepar-AltN"/>
        <w:rPr>
          <w:rFonts w:cs="Times New Roman"/>
          <w:noProof/>
          <w:lang w:val="fr-CA"/>
        </w:rPr>
      </w:pPr>
      <w:r w:rsidRPr="00332A1B">
        <w:rPr>
          <w:rFonts w:cs="Times New Roman"/>
          <w:noProof/>
          <w:lang w:val="fr-CA"/>
        </w:rPr>
        <w:t>Dow Chemical n</w:t>
      </w:r>
      <w:r>
        <w:rPr>
          <w:rFonts w:cs="Times New Roman"/>
          <w:noProof/>
          <w:lang w:val="fr-CA"/>
        </w:rPr>
        <w:t>’</w:t>
      </w:r>
      <w:r w:rsidRPr="00332A1B">
        <w:rPr>
          <w:rFonts w:cs="Times New Roman"/>
          <w:noProof/>
          <w:lang w:val="fr-CA"/>
        </w:rPr>
        <w:t>a pas envoyé le montant du règlement qui avait fait l</w:t>
      </w:r>
      <w:r>
        <w:rPr>
          <w:rFonts w:cs="Times New Roman"/>
          <w:noProof/>
          <w:lang w:val="fr-CA"/>
        </w:rPr>
        <w:t>’</w:t>
      </w:r>
      <w:r w:rsidRPr="00332A1B">
        <w:rPr>
          <w:rFonts w:cs="Times New Roman"/>
          <w:noProof/>
          <w:lang w:val="fr-CA"/>
        </w:rPr>
        <w:t>objet de discussions et le 8 juillet 2011 Bombardier a déposé devant la Cour supérieure du district de Montréal une requête en homologation du règlement.  La requête présentait de manière détaillée l</w:t>
      </w:r>
      <w:r>
        <w:rPr>
          <w:rFonts w:cs="Times New Roman"/>
          <w:noProof/>
          <w:lang w:val="fr-CA"/>
        </w:rPr>
        <w:t>’</w:t>
      </w:r>
      <w:r w:rsidRPr="00332A1B">
        <w:rPr>
          <w:rFonts w:cs="Times New Roman"/>
          <w:noProof/>
          <w:lang w:val="fr-CA"/>
        </w:rPr>
        <w:t>historique du différend opposant les parties et faisait état de la médiation ainsi que des communications échangées par la suite en vue d</w:t>
      </w:r>
      <w:r>
        <w:rPr>
          <w:rFonts w:cs="Times New Roman"/>
          <w:noProof/>
          <w:lang w:val="fr-CA"/>
        </w:rPr>
        <w:t>’</w:t>
      </w:r>
      <w:r w:rsidRPr="00332A1B">
        <w:rPr>
          <w:rFonts w:cs="Times New Roman"/>
          <w:noProof/>
          <w:lang w:val="fr-CA"/>
        </w:rPr>
        <w:t xml:space="preserve">un règlement. </w:t>
      </w:r>
    </w:p>
    <w:p w:rsidR="00F3157A" w:rsidRPr="00332A1B" w:rsidRDefault="00F3157A" w:rsidP="00A0307B">
      <w:pPr>
        <w:pStyle w:val="ParaNoNdepar-AltN"/>
        <w:rPr>
          <w:rFonts w:cs="Times New Roman"/>
          <w:noProof/>
          <w:lang w:val="fr-CA"/>
        </w:rPr>
      </w:pPr>
      <w:r w:rsidRPr="00332A1B">
        <w:rPr>
          <w:rFonts w:cs="Times New Roman"/>
          <w:noProof/>
          <w:lang w:val="fr-CA"/>
        </w:rPr>
        <w:t>Dow Chemical a présenté une requête en radiation des allégations contenues dans six paragraphes de la requête en homologation au motif qu</w:t>
      </w:r>
      <w:r>
        <w:rPr>
          <w:rFonts w:cs="Times New Roman"/>
          <w:noProof/>
          <w:lang w:val="fr-CA"/>
        </w:rPr>
        <w:t>’</w:t>
      </w:r>
      <w:r w:rsidRPr="00332A1B">
        <w:rPr>
          <w:rFonts w:cs="Times New Roman"/>
          <w:noProof/>
          <w:lang w:val="fr-CA"/>
        </w:rPr>
        <w:t>elles faisaient état du déroulement de la médiation, en violation de la clause de confidentialité figurant dans l</w:t>
      </w:r>
      <w:r>
        <w:rPr>
          <w:rFonts w:cs="Times New Roman"/>
          <w:noProof/>
          <w:lang w:val="fr-CA"/>
        </w:rPr>
        <w:t>’</w:t>
      </w:r>
      <w:r w:rsidRPr="00332A1B">
        <w:rPr>
          <w:rFonts w:cs="Times New Roman"/>
          <w:noProof/>
          <w:lang w:val="fr-CA"/>
        </w:rPr>
        <w:t>entente de médiation.  Voici les paragraphes en question :</w:t>
      </w:r>
    </w:p>
    <w:p w:rsidR="00F3157A" w:rsidRPr="00332A1B" w:rsidRDefault="00F3157A" w:rsidP="00A0307B">
      <w:pPr>
        <w:pStyle w:val="Citation-AltC"/>
        <w:numPr>
          <w:ilvl w:val="0"/>
          <w:numId w:val="12"/>
        </w:numPr>
        <w:spacing w:after="240"/>
        <w:ind w:left="1560" w:hanging="426"/>
        <w:contextualSpacing w:val="0"/>
        <w:rPr>
          <w:noProof/>
          <w:lang w:val="fr-CA"/>
        </w:rPr>
      </w:pPr>
      <w:r w:rsidRPr="00332A1B">
        <w:rPr>
          <w:noProof/>
          <w:lang w:val="fr-CA"/>
        </w:rPr>
        <w:t>La Liste conjointe d</w:t>
      </w:r>
      <w:r>
        <w:rPr>
          <w:noProof/>
          <w:lang w:val="fr-CA"/>
        </w:rPr>
        <w:t>’</w:t>
      </w:r>
      <w:r w:rsidRPr="00332A1B">
        <w:rPr>
          <w:noProof/>
          <w:lang w:val="fr-CA"/>
        </w:rPr>
        <w:t>admission a été la seule base de discussion par les Parties lors de la séance de médiation du 27 avril 2011;</w:t>
      </w:r>
    </w:p>
    <w:p w:rsidR="00F3157A" w:rsidRPr="00332A1B" w:rsidRDefault="00F3157A" w:rsidP="00A0307B">
      <w:pPr>
        <w:pStyle w:val="Citation-AltC"/>
        <w:numPr>
          <w:ilvl w:val="0"/>
          <w:numId w:val="12"/>
        </w:numPr>
        <w:spacing w:after="240"/>
        <w:ind w:left="1560" w:hanging="426"/>
        <w:contextualSpacing w:val="0"/>
        <w:rPr>
          <w:noProof/>
          <w:lang w:val="fr-CA"/>
        </w:rPr>
      </w:pPr>
      <w:r w:rsidRPr="00332A1B">
        <w:rPr>
          <w:noProof/>
          <w:lang w:val="fr-CA"/>
        </w:rPr>
        <w:t>L</w:t>
      </w:r>
      <w:r>
        <w:rPr>
          <w:noProof/>
          <w:lang w:val="fr-CA"/>
        </w:rPr>
        <w:t>’</w:t>
      </w:r>
      <w:r w:rsidRPr="00332A1B">
        <w:rPr>
          <w:noProof/>
          <w:lang w:val="fr-CA"/>
        </w:rPr>
        <w:t>ensemble des discussions lors de la médiation a porté exclusivement sur les Réclamations couvertes et les autres frais réclamés dans l</w:t>
      </w:r>
      <w:r>
        <w:rPr>
          <w:noProof/>
          <w:lang w:val="fr-CA"/>
        </w:rPr>
        <w:t>’</w:t>
      </w:r>
      <w:r w:rsidRPr="00332A1B">
        <w:rPr>
          <w:noProof/>
          <w:lang w:val="fr-CA"/>
        </w:rPr>
        <w:t>Action ré</w:t>
      </w:r>
      <w:r w:rsidR="00A0307B">
        <w:rPr>
          <w:noProof/>
          <w:lang w:val="fr-CA"/>
        </w:rPr>
        <w:t>-</w:t>
      </w:r>
      <w:r w:rsidRPr="00332A1B">
        <w:rPr>
          <w:noProof/>
          <w:lang w:val="fr-CA"/>
        </w:rPr>
        <w:t>amendée R</w:t>
      </w:r>
      <w:r w:rsidR="00A0307B">
        <w:rPr>
          <w:noProof/>
          <w:lang w:val="fr-CA"/>
        </w:rPr>
        <w:t>-</w:t>
      </w:r>
      <w:r w:rsidRPr="00332A1B">
        <w:rPr>
          <w:noProof/>
          <w:lang w:val="fr-CA"/>
        </w:rPr>
        <w:t xml:space="preserve">4.  </w:t>
      </w:r>
      <w:r w:rsidRPr="00332A1B">
        <w:rPr>
          <w:noProof/>
          <w:szCs w:val="29"/>
          <w:lang w:val="fr-CA"/>
        </w:rPr>
        <w:t xml:space="preserve">Il </w:t>
      </w:r>
      <w:r w:rsidRPr="00332A1B">
        <w:rPr>
          <w:noProof/>
          <w:szCs w:val="22"/>
          <w:lang w:val="fr-CA"/>
        </w:rPr>
        <w:t>n</w:t>
      </w:r>
      <w:r>
        <w:rPr>
          <w:noProof/>
          <w:szCs w:val="22"/>
          <w:lang w:val="fr-CA"/>
        </w:rPr>
        <w:t>’</w:t>
      </w:r>
      <w:r w:rsidRPr="00332A1B">
        <w:rPr>
          <w:noProof/>
          <w:szCs w:val="22"/>
          <w:lang w:val="fr-CA"/>
        </w:rPr>
        <w:t xml:space="preserve">a </w:t>
      </w:r>
      <w:r w:rsidRPr="00332A1B">
        <w:rPr>
          <w:noProof/>
          <w:lang w:val="fr-CA"/>
        </w:rPr>
        <w:t xml:space="preserve">jamais été question de </w:t>
      </w:r>
      <w:r w:rsidRPr="00332A1B">
        <w:rPr>
          <w:noProof/>
          <w:lang w:val="fr-CA"/>
        </w:rPr>
        <w:lastRenderedPageBreak/>
        <w:t xml:space="preserve">réclamations visant des réservoirs autres que les réservoirs 275 500 109 </w:t>
      </w:r>
      <w:r w:rsidRPr="00332A1B">
        <w:rPr>
          <w:noProof/>
          <w:szCs w:val="22"/>
          <w:lang w:val="fr-CA"/>
        </w:rPr>
        <w:t xml:space="preserve">et </w:t>
      </w:r>
      <w:r w:rsidRPr="00332A1B">
        <w:rPr>
          <w:noProof/>
          <w:lang w:val="fr-CA"/>
        </w:rPr>
        <w:t>275 500 183;</w:t>
      </w:r>
    </w:p>
    <w:p w:rsidR="00F3157A" w:rsidRPr="00332A1B" w:rsidRDefault="00F3157A" w:rsidP="00A0307B">
      <w:pPr>
        <w:pStyle w:val="Citation-AltC"/>
        <w:numPr>
          <w:ilvl w:val="0"/>
          <w:numId w:val="12"/>
        </w:numPr>
        <w:spacing w:after="240"/>
        <w:ind w:left="1560" w:hanging="426"/>
        <w:contextualSpacing w:val="0"/>
        <w:rPr>
          <w:noProof/>
          <w:lang w:val="fr-CA"/>
        </w:rPr>
      </w:pPr>
      <w:r w:rsidRPr="00332A1B">
        <w:rPr>
          <w:noProof/>
          <w:lang w:val="fr-CA"/>
        </w:rPr>
        <w:t>D</w:t>
      </w:r>
      <w:r>
        <w:rPr>
          <w:noProof/>
          <w:lang w:val="fr-CA"/>
        </w:rPr>
        <w:t>’</w:t>
      </w:r>
      <w:r w:rsidRPr="00332A1B">
        <w:rPr>
          <w:noProof/>
          <w:lang w:val="fr-CA"/>
        </w:rPr>
        <w:t>ailleurs, la médiation portait exclusivement sur le litige existant entre les parties tel que décrit dans les Procédures, le tout tel qu</w:t>
      </w:r>
      <w:r>
        <w:rPr>
          <w:noProof/>
          <w:lang w:val="fr-CA"/>
        </w:rPr>
        <w:t>’</w:t>
      </w:r>
      <w:r w:rsidRPr="00332A1B">
        <w:rPr>
          <w:noProof/>
          <w:lang w:val="fr-CA"/>
        </w:rPr>
        <w:t>il appert d</w:t>
      </w:r>
      <w:r>
        <w:rPr>
          <w:noProof/>
          <w:lang w:val="fr-CA"/>
        </w:rPr>
        <w:t>’</w:t>
      </w:r>
      <w:r w:rsidRPr="00332A1B">
        <w:rPr>
          <w:noProof/>
          <w:lang w:val="fr-CA"/>
        </w:rPr>
        <w:t xml:space="preserve">une copie du contrat de médiation signé par les Parties le 26 avril 2011 annexée au soutien des présentes comme pièce </w:t>
      </w:r>
      <w:r w:rsidRPr="006F424C">
        <w:rPr>
          <w:noProof/>
          <w:lang w:val="fr-CA"/>
        </w:rPr>
        <w:t>R</w:t>
      </w:r>
      <w:r w:rsidR="00A0307B" w:rsidRPr="006F424C">
        <w:rPr>
          <w:noProof/>
          <w:lang w:val="fr-CA"/>
        </w:rPr>
        <w:t>-</w:t>
      </w:r>
      <w:r w:rsidRPr="006F424C">
        <w:rPr>
          <w:noProof/>
          <w:lang w:val="fr-CA"/>
        </w:rPr>
        <w:t>8</w:t>
      </w:r>
      <w:r w:rsidRPr="00332A1B">
        <w:rPr>
          <w:noProof/>
          <w:lang w:val="fr-CA"/>
        </w:rPr>
        <w:t>;</w:t>
      </w:r>
    </w:p>
    <w:p w:rsidR="00F3157A" w:rsidRPr="00332A1B" w:rsidRDefault="00F3157A" w:rsidP="00A0307B">
      <w:pPr>
        <w:pStyle w:val="Citation-AltC"/>
        <w:numPr>
          <w:ilvl w:val="0"/>
          <w:numId w:val="12"/>
        </w:numPr>
        <w:spacing w:after="240"/>
        <w:ind w:left="1560" w:hanging="426"/>
        <w:contextualSpacing w:val="0"/>
        <w:rPr>
          <w:noProof/>
          <w:lang w:val="fr-CA"/>
        </w:rPr>
      </w:pPr>
      <w:r w:rsidRPr="00332A1B">
        <w:rPr>
          <w:noProof/>
          <w:szCs w:val="22"/>
          <w:lang w:val="fr-CA"/>
        </w:rPr>
        <w:t xml:space="preserve">La </w:t>
      </w:r>
      <w:r w:rsidRPr="00332A1B">
        <w:rPr>
          <w:noProof/>
          <w:lang w:val="fr-CA"/>
        </w:rPr>
        <w:t>médiation s</w:t>
      </w:r>
      <w:r>
        <w:rPr>
          <w:noProof/>
          <w:lang w:val="fr-CA"/>
        </w:rPr>
        <w:t>’</w:t>
      </w:r>
      <w:r w:rsidRPr="00332A1B">
        <w:rPr>
          <w:noProof/>
          <w:lang w:val="fr-CA"/>
        </w:rPr>
        <w:t xml:space="preserve">est terminée sans succès le 27 avril 2011 lorsque Dow Chemical a soumis </w:t>
      </w:r>
      <w:r w:rsidRPr="00332A1B">
        <w:rPr>
          <w:noProof/>
          <w:szCs w:val="32"/>
          <w:lang w:val="fr-CA"/>
        </w:rPr>
        <w:t xml:space="preserve">à </w:t>
      </w:r>
      <w:r w:rsidRPr="00332A1B">
        <w:rPr>
          <w:noProof/>
          <w:lang w:val="fr-CA"/>
        </w:rPr>
        <w:t xml:space="preserve">BRP </w:t>
      </w:r>
      <w:r w:rsidRPr="00332A1B">
        <w:rPr>
          <w:noProof/>
          <w:szCs w:val="22"/>
          <w:lang w:val="fr-CA"/>
        </w:rPr>
        <w:t xml:space="preserve">et </w:t>
      </w:r>
      <w:r w:rsidRPr="00332A1B">
        <w:rPr>
          <w:noProof/>
          <w:lang w:val="fr-CA"/>
        </w:rPr>
        <w:t>Allianz une offre de régler l</w:t>
      </w:r>
      <w:r>
        <w:rPr>
          <w:noProof/>
          <w:lang w:val="fr-CA"/>
        </w:rPr>
        <w:t>’</w:t>
      </w:r>
      <w:r w:rsidRPr="00332A1B">
        <w:rPr>
          <w:noProof/>
          <w:lang w:val="fr-CA"/>
        </w:rPr>
        <w:t>Action ré</w:t>
      </w:r>
      <w:r w:rsidR="00A0307B">
        <w:rPr>
          <w:noProof/>
          <w:lang w:val="fr-CA"/>
        </w:rPr>
        <w:t>-</w:t>
      </w:r>
      <w:r w:rsidRPr="00332A1B">
        <w:rPr>
          <w:noProof/>
          <w:lang w:val="fr-CA"/>
        </w:rPr>
        <w:t xml:space="preserve">amendée pour un montant </w:t>
      </w:r>
      <w:r w:rsidRPr="00332A1B">
        <w:rPr>
          <w:noProof/>
          <w:szCs w:val="20"/>
          <w:lang w:val="fr-CA"/>
        </w:rPr>
        <w:t xml:space="preserve">de </w:t>
      </w:r>
      <w:r w:rsidRPr="00332A1B">
        <w:rPr>
          <w:noProof/>
          <w:szCs w:val="22"/>
          <w:lang w:val="fr-CA"/>
        </w:rPr>
        <w:t>7 000 000 $</w:t>
      </w:r>
      <w:r w:rsidRPr="00332A1B">
        <w:rPr>
          <w:noProof/>
          <w:szCs w:val="23"/>
          <w:lang w:val="fr-CA"/>
        </w:rPr>
        <w:t xml:space="preserve">, </w:t>
      </w:r>
      <w:r w:rsidRPr="00332A1B">
        <w:rPr>
          <w:noProof/>
          <w:lang w:val="fr-CA"/>
        </w:rPr>
        <w:t xml:space="preserve">en capital, intérêts et frais, tout en indiquant </w:t>
      </w:r>
      <w:r w:rsidRPr="00332A1B">
        <w:rPr>
          <w:noProof/>
          <w:szCs w:val="33"/>
          <w:lang w:val="fr-CA"/>
        </w:rPr>
        <w:t xml:space="preserve">à </w:t>
      </w:r>
      <w:r w:rsidRPr="00332A1B">
        <w:rPr>
          <w:noProof/>
          <w:lang w:val="fr-CA"/>
        </w:rPr>
        <w:t>BRP et au médiateur qu</w:t>
      </w:r>
      <w:r>
        <w:rPr>
          <w:noProof/>
          <w:lang w:val="fr-CA"/>
        </w:rPr>
        <w:t>’</w:t>
      </w:r>
      <w:r w:rsidRPr="00332A1B">
        <w:rPr>
          <w:noProof/>
          <w:lang w:val="fr-CA"/>
        </w:rPr>
        <w:t xml:space="preserve">elle </w:t>
      </w:r>
      <w:r w:rsidRPr="00332A1B">
        <w:rPr>
          <w:noProof/>
          <w:szCs w:val="22"/>
          <w:lang w:val="fr-CA"/>
        </w:rPr>
        <w:t>n</w:t>
      </w:r>
      <w:r>
        <w:rPr>
          <w:noProof/>
          <w:szCs w:val="22"/>
          <w:lang w:val="fr-CA"/>
        </w:rPr>
        <w:t>’</w:t>
      </w:r>
      <w:r w:rsidRPr="00332A1B">
        <w:rPr>
          <w:noProof/>
          <w:lang w:val="fr-CA"/>
        </w:rPr>
        <w:t>avait aucune autorité pour bonifier cette offre;</w:t>
      </w:r>
    </w:p>
    <w:p w:rsidR="00F3157A" w:rsidRPr="00332A1B" w:rsidRDefault="00F3157A" w:rsidP="00A0307B">
      <w:pPr>
        <w:pStyle w:val="Citation-AltC"/>
        <w:numPr>
          <w:ilvl w:val="0"/>
          <w:numId w:val="12"/>
        </w:numPr>
        <w:spacing w:after="240"/>
        <w:ind w:left="1560" w:hanging="426"/>
        <w:contextualSpacing w:val="0"/>
        <w:rPr>
          <w:noProof/>
          <w:lang w:val="fr-CA"/>
        </w:rPr>
      </w:pPr>
      <w:r w:rsidRPr="00332A1B">
        <w:rPr>
          <w:noProof/>
          <w:lang w:val="fr-CA"/>
        </w:rPr>
        <w:t>M</w:t>
      </w:r>
      <w:r w:rsidRPr="00332A1B">
        <w:rPr>
          <w:noProof/>
          <w:vertAlign w:val="superscript"/>
          <w:lang w:val="fr-CA"/>
        </w:rPr>
        <w:t>e</w:t>
      </w:r>
      <w:r w:rsidRPr="00332A1B">
        <w:rPr>
          <w:noProof/>
          <w:lang w:val="fr-CA"/>
        </w:rPr>
        <w:t xml:space="preserve"> Yves St</w:t>
      </w:r>
      <w:r w:rsidR="00A0307B">
        <w:rPr>
          <w:noProof/>
          <w:lang w:val="fr-CA"/>
        </w:rPr>
        <w:t>-</w:t>
      </w:r>
      <w:r w:rsidRPr="00332A1B">
        <w:rPr>
          <w:noProof/>
          <w:lang w:val="fr-CA"/>
        </w:rPr>
        <w:t xml:space="preserve">Arnaud, avocat interne pour BRP, a demandé </w:t>
      </w:r>
      <w:r w:rsidRPr="00332A1B">
        <w:rPr>
          <w:noProof/>
          <w:szCs w:val="33"/>
          <w:lang w:val="fr-CA"/>
        </w:rPr>
        <w:t xml:space="preserve">à </w:t>
      </w:r>
      <w:r w:rsidRPr="00332A1B">
        <w:rPr>
          <w:noProof/>
          <w:lang w:val="fr-CA"/>
        </w:rPr>
        <w:t>Dow Chemical de maintenir cette offre ouverte pour une période de trente (30) jours et leur a promis de leur revenir sous peu</w:t>
      </w:r>
      <w:r>
        <w:rPr>
          <w:noProof/>
          <w:lang w:val="fr-CA"/>
        </w:rPr>
        <w:t xml:space="preserve">.  </w:t>
      </w:r>
      <w:r w:rsidRPr="00332A1B">
        <w:rPr>
          <w:noProof/>
          <w:lang w:val="fr-CA"/>
        </w:rPr>
        <w:t>Dow Chemical a acquiescé à cette demande;</w:t>
      </w:r>
    </w:p>
    <w:p w:rsidR="00F3157A" w:rsidRPr="00332A1B" w:rsidRDefault="00F3157A" w:rsidP="00A0307B">
      <w:pPr>
        <w:pStyle w:val="Citation-AltC"/>
        <w:numPr>
          <w:ilvl w:val="0"/>
          <w:numId w:val="12"/>
        </w:numPr>
        <w:ind w:left="1559" w:hanging="425"/>
        <w:contextualSpacing w:val="0"/>
        <w:rPr>
          <w:noProof/>
          <w:lang w:val="fr-CA"/>
        </w:rPr>
      </w:pPr>
      <w:r>
        <w:rPr>
          <w:noProof/>
          <w:lang w:val="fr-CA"/>
        </w:rPr>
        <w:t>Le 17 </w:t>
      </w:r>
      <w:r w:rsidRPr="00332A1B">
        <w:rPr>
          <w:noProof/>
          <w:lang w:val="fr-CA"/>
        </w:rPr>
        <w:t>mai 2011, soit vingt (20) jours après la fin de la médiation, les avocats de BRP et de Allianz ont avisé les avocats d</w:t>
      </w:r>
      <w:r w:rsidR="00ED67FF">
        <w:rPr>
          <w:noProof/>
          <w:lang w:val="fr-CA"/>
        </w:rPr>
        <w:t>[e]</w:t>
      </w:r>
      <w:r w:rsidRPr="00332A1B">
        <w:rPr>
          <w:noProof/>
          <w:lang w:val="fr-CA"/>
        </w:rPr>
        <w:t xml:space="preserve"> Dow Chemical que l</w:t>
      </w:r>
      <w:r>
        <w:rPr>
          <w:noProof/>
          <w:lang w:val="fr-CA"/>
        </w:rPr>
        <w:t>’</w:t>
      </w:r>
      <w:r w:rsidRPr="00332A1B">
        <w:rPr>
          <w:noProof/>
          <w:lang w:val="fr-CA"/>
        </w:rPr>
        <w:t>offre de règlement au montant de 7 000 000 $ en règlement complet et final des réclamations soulevées dans l</w:t>
      </w:r>
      <w:r>
        <w:rPr>
          <w:noProof/>
          <w:lang w:val="fr-CA"/>
        </w:rPr>
        <w:t>’</w:t>
      </w:r>
      <w:r w:rsidRPr="00332A1B">
        <w:rPr>
          <w:noProof/>
          <w:lang w:val="fr-CA"/>
        </w:rPr>
        <w:t>instance portant le numéro de Cour 500</w:t>
      </w:r>
      <w:r w:rsidR="00A0307B">
        <w:rPr>
          <w:noProof/>
          <w:lang w:val="fr-CA"/>
        </w:rPr>
        <w:t>-</w:t>
      </w:r>
      <w:r w:rsidRPr="00332A1B">
        <w:rPr>
          <w:noProof/>
          <w:lang w:val="fr-CA"/>
        </w:rPr>
        <w:t>05</w:t>
      </w:r>
      <w:r w:rsidR="00A0307B">
        <w:rPr>
          <w:noProof/>
          <w:lang w:val="fr-CA"/>
        </w:rPr>
        <w:t>-</w:t>
      </w:r>
      <w:r w:rsidRPr="00332A1B">
        <w:rPr>
          <w:noProof/>
          <w:lang w:val="fr-CA"/>
        </w:rPr>
        <w:t>056325</w:t>
      </w:r>
      <w:r w:rsidR="00A0307B">
        <w:rPr>
          <w:noProof/>
          <w:lang w:val="fr-CA"/>
        </w:rPr>
        <w:t>-</w:t>
      </w:r>
      <w:r w:rsidRPr="00332A1B">
        <w:rPr>
          <w:noProof/>
          <w:lang w:val="fr-CA"/>
        </w:rPr>
        <w:t>002, en capital, intérêts et frais était acceptée par les requérantes (la « </w:t>
      </w:r>
      <w:r w:rsidRPr="006F424C">
        <w:rPr>
          <w:noProof/>
          <w:lang w:val="fr-CA"/>
        </w:rPr>
        <w:t>Transaction</w:t>
      </w:r>
      <w:r w:rsidRPr="00332A1B">
        <w:rPr>
          <w:noProof/>
          <w:lang w:val="fr-CA"/>
        </w:rPr>
        <w:t> »), tel qu</w:t>
      </w:r>
      <w:r>
        <w:rPr>
          <w:noProof/>
          <w:lang w:val="fr-CA"/>
        </w:rPr>
        <w:t>’</w:t>
      </w:r>
      <w:r w:rsidRPr="00332A1B">
        <w:rPr>
          <w:noProof/>
          <w:lang w:val="fr-CA"/>
        </w:rPr>
        <w:t>il appert d</w:t>
      </w:r>
      <w:r>
        <w:rPr>
          <w:noProof/>
          <w:lang w:val="fr-CA"/>
        </w:rPr>
        <w:t>’</w:t>
      </w:r>
      <w:r w:rsidRPr="00332A1B">
        <w:rPr>
          <w:noProof/>
          <w:lang w:val="fr-CA"/>
        </w:rPr>
        <w:t>une copie d</w:t>
      </w:r>
      <w:r>
        <w:rPr>
          <w:noProof/>
          <w:lang w:val="fr-CA"/>
        </w:rPr>
        <w:t>’</w:t>
      </w:r>
      <w:r w:rsidRPr="00332A1B">
        <w:rPr>
          <w:noProof/>
          <w:lang w:val="fr-CA"/>
        </w:rPr>
        <w:t xml:space="preserve">un courriel annexée au soutien des présentes comme pièce </w:t>
      </w:r>
      <w:r w:rsidRPr="006F424C">
        <w:rPr>
          <w:noProof/>
          <w:lang w:val="fr-CA"/>
        </w:rPr>
        <w:t>R</w:t>
      </w:r>
      <w:r w:rsidR="00A0307B" w:rsidRPr="006F424C">
        <w:rPr>
          <w:noProof/>
          <w:lang w:val="fr-CA"/>
        </w:rPr>
        <w:t>-</w:t>
      </w:r>
      <w:r w:rsidRPr="006F424C">
        <w:rPr>
          <w:noProof/>
          <w:lang w:val="fr-CA"/>
        </w:rPr>
        <w:t>9</w:t>
      </w:r>
      <w:r w:rsidRPr="00332A1B">
        <w:rPr>
          <w:noProof/>
          <w:lang w:val="fr-CA"/>
        </w:rPr>
        <w:t>;</w:t>
      </w:r>
    </w:p>
    <w:p w:rsidR="00F3157A" w:rsidRPr="00332A1B" w:rsidRDefault="00F3157A" w:rsidP="00A0307B">
      <w:pPr>
        <w:pStyle w:val="ParaNoNdepar-AltN"/>
        <w:rPr>
          <w:rFonts w:cs="Times New Roman"/>
          <w:noProof/>
          <w:lang w:val="fr-CA"/>
        </w:rPr>
      </w:pPr>
      <w:r w:rsidRPr="00332A1B">
        <w:rPr>
          <w:rFonts w:cs="Times New Roman"/>
          <w:noProof/>
          <w:lang w:val="fr-CA"/>
        </w:rPr>
        <w:t>Dans sa plaidoirie devant la Cour, l</w:t>
      </w:r>
      <w:r>
        <w:rPr>
          <w:rFonts w:cs="Times New Roman"/>
          <w:noProof/>
          <w:lang w:val="fr-CA"/>
        </w:rPr>
        <w:t>’</w:t>
      </w:r>
      <w:r w:rsidRPr="00332A1B">
        <w:rPr>
          <w:rFonts w:cs="Times New Roman"/>
          <w:noProof/>
          <w:lang w:val="fr-CA"/>
        </w:rPr>
        <w:t>avocat de Dow Chemical a affirmé que les parties n</w:t>
      </w:r>
      <w:r>
        <w:rPr>
          <w:rFonts w:cs="Times New Roman"/>
          <w:noProof/>
          <w:lang w:val="fr-CA"/>
        </w:rPr>
        <w:t>’</w:t>
      </w:r>
      <w:r w:rsidRPr="00332A1B">
        <w:rPr>
          <w:rFonts w:cs="Times New Roman"/>
          <w:noProof/>
          <w:lang w:val="fr-CA"/>
        </w:rPr>
        <w:t>avaient conclu aucun règlement.  Ce n</w:t>
      </w:r>
      <w:r>
        <w:rPr>
          <w:rFonts w:cs="Times New Roman"/>
          <w:noProof/>
          <w:lang w:val="fr-CA"/>
        </w:rPr>
        <w:t>’</w:t>
      </w:r>
      <w:r w:rsidRPr="00332A1B">
        <w:rPr>
          <w:rFonts w:cs="Times New Roman"/>
          <w:noProof/>
          <w:lang w:val="fr-CA"/>
        </w:rPr>
        <w:t>est pas tout à fait exact.  Le dossier des communications entre les parties révèle qu</w:t>
      </w:r>
      <w:r>
        <w:rPr>
          <w:rFonts w:cs="Times New Roman"/>
          <w:noProof/>
          <w:lang w:val="fr-CA"/>
        </w:rPr>
        <w:t>’</w:t>
      </w:r>
      <w:r w:rsidRPr="00332A1B">
        <w:rPr>
          <w:rFonts w:cs="Times New Roman"/>
          <w:noProof/>
          <w:lang w:val="fr-CA"/>
        </w:rPr>
        <w:t>il y a eu une offre de règlement et qu</w:t>
      </w:r>
      <w:r>
        <w:rPr>
          <w:rFonts w:cs="Times New Roman"/>
          <w:noProof/>
          <w:lang w:val="fr-CA"/>
        </w:rPr>
        <w:t>’</w:t>
      </w:r>
      <w:r w:rsidRPr="00332A1B">
        <w:rPr>
          <w:rFonts w:cs="Times New Roman"/>
          <w:noProof/>
          <w:lang w:val="fr-CA"/>
        </w:rPr>
        <w:t>elle a été acceptée, mais que par la suite, les parties ne se sont pas entendues sur la portée de la quittance.  En résumé, Bombardier estime que le règlement porte uniquement sur le litige en instance à Montréal, et pour lui permettre d</w:t>
      </w:r>
      <w:r>
        <w:rPr>
          <w:rFonts w:cs="Times New Roman"/>
          <w:noProof/>
          <w:lang w:val="fr-CA"/>
        </w:rPr>
        <w:t>’</w:t>
      </w:r>
      <w:r w:rsidRPr="00332A1B">
        <w:rPr>
          <w:rFonts w:cs="Times New Roman"/>
          <w:noProof/>
          <w:lang w:val="fr-CA"/>
        </w:rPr>
        <w:t>en faire la preuve, elle cherche à faire admettre des éléments de preuve provenant de la séance de médiation.  Dow Chemical n</w:t>
      </w:r>
      <w:r>
        <w:rPr>
          <w:rFonts w:cs="Times New Roman"/>
          <w:noProof/>
          <w:lang w:val="fr-CA"/>
        </w:rPr>
        <w:t>’</w:t>
      </w:r>
      <w:r w:rsidRPr="00332A1B">
        <w:rPr>
          <w:rFonts w:cs="Times New Roman"/>
          <w:noProof/>
          <w:lang w:val="fr-CA"/>
        </w:rPr>
        <w:t>est pas d</w:t>
      </w:r>
      <w:r>
        <w:rPr>
          <w:rFonts w:cs="Times New Roman"/>
          <w:noProof/>
          <w:lang w:val="fr-CA"/>
        </w:rPr>
        <w:t>’</w:t>
      </w:r>
      <w:r w:rsidRPr="00332A1B">
        <w:rPr>
          <w:rFonts w:cs="Times New Roman"/>
          <w:noProof/>
          <w:lang w:val="fr-CA"/>
        </w:rPr>
        <w:t>accord sur la portée du règlement, qu</w:t>
      </w:r>
      <w:r>
        <w:rPr>
          <w:rFonts w:cs="Times New Roman"/>
          <w:noProof/>
          <w:lang w:val="fr-CA"/>
        </w:rPr>
        <w:t>’</w:t>
      </w:r>
      <w:r w:rsidRPr="00332A1B">
        <w:rPr>
          <w:rFonts w:cs="Times New Roman"/>
          <w:noProof/>
          <w:lang w:val="fr-CA"/>
        </w:rPr>
        <w:t xml:space="preserve">elle considère être un règlement global, et elle soutient que les </w:t>
      </w:r>
      <w:r w:rsidRPr="00332A1B">
        <w:rPr>
          <w:rFonts w:cs="Times New Roman"/>
          <w:noProof/>
          <w:lang w:val="fr-CA"/>
        </w:rPr>
        <w:lastRenderedPageBreak/>
        <w:t>éléments de preuve provenant de la séance de médiation sur lesquels Bombardier veut s</w:t>
      </w:r>
      <w:r>
        <w:rPr>
          <w:rFonts w:cs="Times New Roman"/>
          <w:noProof/>
          <w:lang w:val="fr-CA"/>
        </w:rPr>
        <w:t>’</w:t>
      </w:r>
      <w:r w:rsidRPr="00332A1B">
        <w:rPr>
          <w:rFonts w:cs="Times New Roman"/>
          <w:noProof/>
          <w:lang w:val="fr-CA"/>
        </w:rPr>
        <w:t>appuyer dans sa requête en homologation ne sont pas admissibles aux termes de l</w:t>
      </w:r>
      <w:r>
        <w:rPr>
          <w:rFonts w:cs="Times New Roman"/>
          <w:noProof/>
          <w:lang w:val="fr-CA"/>
        </w:rPr>
        <w:t>’</w:t>
      </w:r>
      <w:r w:rsidRPr="00332A1B">
        <w:rPr>
          <w:rFonts w:cs="Times New Roman"/>
          <w:noProof/>
          <w:lang w:val="fr-CA"/>
        </w:rPr>
        <w:t>entente de confidentialité.</w:t>
      </w:r>
    </w:p>
    <w:p w:rsidR="00F3157A" w:rsidRPr="00332A1B" w:rsidRDefault="00F3157A" w:rsidP="00A0307B">
      <w:pPr>
        <w:pStyle w:val="Title1LevelTitre1Niveau-AltL"/>
        <w:keepNext w:val="0"/>
        <w:rPr>
          <w:rFonts w:cs="Times New Roman"/>
          <w:noProof/>
          <w:lang w:val="fr-CA"/>
        </w:rPr>
      </w:pPr>
      <w:r w:rsidRPr="00332A1B">
        <w:rPr>
          <w:rFonts w:cs="Times New Roman"/>
          <w:noProof/>
          <w:lang w:val="fr-CA"/>
        </w:rPr>
        <w:t>Historique judiciaire</w:t>
      </w:r>
    </w:p>
    <w:p w:rsidR="00F3157A" w:rsidRPr="00332A1B" w:rsidRDefault="00F3157A" w:rsidP="00A0307B">
      <w:pPr>
        <w:pStyle w:val="Title2LevelTitre2Niveau"/>
        <w:keepNext w:val="0"/>
        <w:rPr>
          <w:rFonts w:cs="Times New Roman"/>
          <w:noProof/>
          <w:lang w:val="fr-CA"/>
        </w:rPr>
      </w:pPr>
      <w:r w:rsidRPr="00332A1B">
        <w:rPr>
          <w:rFonts w:cs="Times New Roman"/>
          <w:noProof/>
          <w:lang w:val="fr-CA"/>
        </w:rPr>
        <w:t>Cour supérieure du Québec, 2012 Q</w:t>
      </w:r>
      <w:r w:rsidR="00ED67FF">
        <w:rPr>
          <w:rFonts w:cs="Times New Roman"/>
          <w:noProof/>
          <w:lang w:val="fr-CA"/>
        </w:rPr>
        <w:t>CCS</w:t>
      </w:r>
      <w:r w:rsidRPr="00332A1B">
        <w:rPr>
          <w:rFonts w:cs="Times New Roman"/>
          <w:noProof/>
          <w:lang w:val="fr-CA"/>
        </w:rPr>
        <w:t xml:space="preserve"> 22 (CanLII) </w:t>
      </w:r>
    </w:p>
    <w:p w:rsidR="00F3157A" w:rsidRPr="00332A1B" w:rsidRDefault="00F3157A" w:rsidP="00A0307B">
      <w:pPr>
        <w:pStyle w:val="ParaNoNdepar-AltN"/>
        <w:rPr>
          <w:rFonts w:cs="Times New Roman"/>
          <w:noProof/>
          <w:lang w:val="fr-CA"/>
        </w:rPr>
      </w:pPr>
      <w:r w:rsidRPr="00332A1B">
        <w:rPr>
          <w:rFonts w:cs="Times New Roman"/>
          <w:noProof/>
          <w:lang w:val="fr-CA"/>
        </w:rPr>
        <w:t>La juge Corriveau a fondé son analyse sur l</w:t>
      </w:r>
      <w:r>
        <w:rPr>
          <w:rFonts w:cs="Times New Roman"/>
          <w:noProof/>
          <w:lang w:val="fr-CA"/>
        </w:rPr>
        <w:t>’</w:t>
      </w:r>
      <w:r w:rsidRPr="00332A1B">
        <w:rPr>
          <w:rFonts w:cs="Times New Roman"/>
          <w:noProof/>
          <w:lang w:val="fr-CA"/>
        </w:rPr>
        <w:t>art</w:t>
      </w:r>
      <w:r w:rsidR="00A0307B">
        <w:rPr>
          <w:rFonts w:cs="Times New Roman"/>
          <w:noProof/>
          <w:lang w:val="fr-CA"/>
        </w:rPr>
        <w:t xml:space="preserve">. </w:t>
      </w:r>
      <w:r w:rsidRPr="00332A1B">
        <w:rPr>
          <w:rFonts w:cs="Times New Roman"/>
          <w:noProof/>
          <w:lang w:val="fr-CA"/>
        </w:rPr>
        <w:t xml:space="preserve">151.16 du </w:t>
      </w:r>
      <w:r w:rsidRPr="00332A1B">
        <w:rPr>
          <w:rFonts w:cs="Times New Roman"/>
          <w:i/>
          <w:iCs/>
          <w:noProof/>
          <w:lang w:val="fr-CA"/>
        </w:rPr>
        <w:t>Code de procédure civile</w:t>
      </w:r>
      <w:r w:rsidRPr="00332A1B">
        <w:rPr>
          <w:rFonts w:cs="Times New Roman"/>
          <w:iCs/>
          <w:noProof/>
          <w:lang w:val="fr-CA"/>
        </w:rPr>
        <w:t>, RLRQ, ch</w:t>
      </w:r>
      <w:r w:rsidR="00A0307B">
        <w:rPr>
          <w:rFonts w:cs="Times New Roman"/>
          <w:iCs/>
          <w:noProof/>
          <w:lang w:val="fr-CA"/>
        </w:rPr>
        <w:t xml:space="preserve">. </w:t>
      </w:r>
      <w:r w:rsidRPr="00332A1B">
        <w:rPr>
          <w:rFonts w:cs="Times New Roman"/>
          <w:iCs/>
          <w:noProof/>
          <w:lang w:val="fr-CA"/>
        </w:rPr>
        <w:t>C</w:t>
      </w:r>
      <w:r w:rsidR="00A0307B">
        <w:rPr>
          <w:rFonts w:cs="Times New Roman"/>
          <w:iCs/>
          <w:noProof/>
          <w:lang w:val="fr-CA"/>
        </w:rPr>
        <w:t>-</w:t>
      </w:r>
      <w:r w:rsidR="00133424">
        <w:rPr>
          <w:rFonts w:cs="Times New Roman"/>
          <w:iCs/>
          <w:noProof/>
          <w:lang w:val="fr-CA"/>
        </w:rPr>
        <w:t>25</w:t>
      </w:r>
      <w:r w:rsidRPr="00332A1B">
        <w:rPr>
          <w:rFonts w:cs="Times New Roman"/>
          <w:noProof/>
          <w:lang w:val="fr-CA"/>
        </w:rPr>
        <w:t xml:space="preserve"> (« </w:t>
      </w:r>
      <w:r w:rsidRPr="00332A1B">
        <w:rPr>
          <w:rFonts w:cs="Times New Roman"/>
          <w:i/>
          <w:noProof/>
          <w:lang w:val="fr-CA"/>
        </w:rPr>
        <w:t>C.p.c</w:t>
      </w:r>
      <w:r w:rsidR="00A0307B">
        <w:rPr>
          <w:rFonts w:cs="Times New Roman"/>
          <w:i/>
          <w:noProof/>
          <w:lang w:val="fr-CA"/>
        </w:rPr>
        <w:t xml:space="preserve">. </w:t>
      </w:r>
      <w:r w:rsidRPr="00332A1B">
        <w:rPr>
          <w:rFonts w:cs="Times New Roman"/>
          <w:noProof/>
          <w:lang w:val="fr-CA"/>
        </w:rPr>
        <w:t>»), ainsi que sur l</w:t>
      </w:r>
      <w:r>
        <w:rPr>
          <w:rFonts w:cs="Times New Roman"/>
          <w:noProof/>
          <w:lang w:val="fr-CA"/>
        </w:rPr>
        <w:t>’</w:t>
      </w:r>
      <w:r w:rsidRPr="00332A1B">
        <w:rPr>
          <w:rFonts w:cs="Times New Roman"/>
          <w:noProof/>
          <w:lang w:val="fr-CA"/>
        </w:rPr>
        <w:t>art</w:t>
      </w:r>
      <w:r w:rsidR="00A0307B">
        <w:rPr>
          <w:rFonts w:cs="Times New Roman"/>
          <w:noProof/>
          <w:lang w:val="fr-CA"/>
        </w:rPr>
        <w:t xml:space="preserve">. </w:t>
      </w:r>
      <w:r w:rsidRPr="00332A1B">
        <w:rPr>
          <w:rFonts w:cs="Times New Roman"/>
          <w:noProof/>
          <w:lang w:val="fr-CA"/>
        </w:rPr>
        <w:t xml:space="preserve"> 151.21</w:t>
      </w:r>
      <w:r>
        <w:rPr>
          <w:rFonts w:cs="Times New Roman"/>
          <w:noProof/>
          <w:lang w:val="fr-CA"/>
        </w:rPr>
        <w:t>,</w:t>
      </w:r>
      <w:r w:rsidRPr="00332A1B">
        <w:rPr>
          <w:rFonts w:cs="Times New Roman"/>
          <w:noProof/>
          <w:lang w:val="fr-CA"/>
        </w:rPr>
        <w:t xml:space="preserve"> qui prévoit que tout ce qui est dit ou écrit au cours d</w:t>
      </w:r>
      <w:r>
        <w:rPr>
          <w:rFonts w:cs="Times New Roman"/>
          <w:noProof/>
          <w:lang w:val="fr-CA"/>
        </w:rPr>
        <w:t>’</w:t>
      </w:r>
      <w:r w:rsidRPr="00332A1B">
        <w:rPr>
          <w:rFonts w:cs="Times New Roman"/>
          <w:noProof/>
          <w:lang w:val="fr-CA"/>
        </w:rPr>
        <w:t>une conférence de règlement à l</w:t>
      </w:r>
      <w:r>
        <w:rPr>
          <w:rFonts w:cs="Times New Roman"/>
          <w:noProof/>
          <w:lang w:val="fr-CA"/>
        </w:rPr>
        <w:t>’</w:t>
      </w:r>
      <w:r w:rsidRPr="00332A1B">
        <w:rPr>
          <w:rFonts w:cs="Times New Roman"/>
          <w:noProof/>
          <w:lang w:val="fr-CA"/>
        </w:rPr>
        <w:t>amiable est confidentiel.  Elle s</w:t>
      </w:r>
      <w:r>
        <w:rPr>
          <w:rFonts w:cs="Times New Roman"/>
          <w:noProof/>
          <w:lang w:val="fr-CA"/>
        </w:rPr>
        <w:t>’</w:t>
      </w:r>
      <w:r w:rsidRPr="00332A1B">
        <w:rPr>
          <w:rFonts w:cs="Times New Roman"/>
          <w:noProof/>
          <w:lang w:val="fr-CA"/>
        </w:rPr>
        <w:t>est appuyée sur la jurisprudence de la Cour d</w:t>
      </w:r>
      <w:r>
        <w:rPr>
          <w:rFonts w:cs="Times New Roman"/>
          <w:noProof/>
          <w:lang w:val="fr-CA"/>
        </w:rPr>
        <w:t>’</w:t>
      </w:r>
      <w:r w:rsidRPr="00332A1B">
        <w:rPr>
          <w:rFonts w:cs="Times New Roman"/>
          <w:noProof/>
          <w:lang w:val="fr-CA"/>
        </w:rPr>
        <w:t>appel du Québec qui confirme le caractère confidentiel de la médiation ou des conférences de règlement, et elle a conclu que cette jurisprudence s</w:t>
      </w:r>
      <w:r>
        <w:rPr>
          <w:rFonts w:cs="Times New Roman"/>
          <w:noProof/>
          <w:lang w:val="fr-CA"/>
        </w:rPr>
        <w:t>’</w:t>
      </w:r>
      <w:r w:rsidRPr="00332A1B">
        <w:rPr>
          <w:rFonts w:cs="Times New Roman"/>
          <w:noProof/>
          <w:lang w:val="fr-CA"/>
        </w:rPr>
        <w:t>applique, peu importe que la médiation soit présidée par un juge ou, comme en l</w:t>
      </w:r>
      <w:r>
        <w:rPr>
          <w:rFonts w:cs="Times New Roman"/>
          <w:noProof/>
          <w:lang w:val="fr-CA"/>
        </w:rPr>
        <w:t>’</w:t>
      </w:r>
      <w:r w:rsidRPr="00332A1B">
        <w:rPr>
          <w:rFonts w:cs="Times New Roman"/>
          <w:noProof/>
          <w:lang w:val="fr-CA"/>
        </w:rPr>
        <w:t>espèce, par un avocat.  La juge a conclu qu</w:t>
      </w:r>
      <w:r>
        <w:rPr>
          <w:rFonts w:cs="Times New Roman"/>
          <w:noProof/>
          <w:lang w:val="fr-CA"/>
        </w:rPr>
        <w:t>’</w:t>
      </w:r>
      <w:r w:rsidRPr="00332A1B">
        <w:rPr>
          <w:rFonts w:cs="Times New Roman"/>
          <w:noProof/>
          <w:lang w:val="fr-CA"/>
        </w:rPr>
        <w:t>en raison de la clause de confidentialité figurant dans l</w:t>
      </w:r>
      <w:r>
        <w:rPr>
          <w:rFonts w:cs="Times New Roman"/>
          <w:noProof/>
          <w:lang w:val="fr-CA"/>
        </w:rPr>
        <w:t>’</w:t>
      </w:r>
      <w:r w:rsidRPr="00332A1B">
        <w:rPr>
          <w:rFonts w:cs="Times New Roman"/>
          <w:noProof/>
          <w:lang w:val="fr-CA"/>
        </w:rPr>
        <w:t>entente de médiation, le compte</w:t>
      </w:r>
      <w:r w:rsidR="00A0307B">
        <w:rPr>
          <w:rFonts w:cs="Times New Roman"/>
          <w:noProof/>
          <w:lang w:val="fr-CA"/>
        </w:rPr>
        <w:t>-</w:t>
      </w:r>
      <w:r w:rsidRPr="00332A1B">
        <w:rPr>
          <w:rFonts w:cs="Times New Roman"/>
          <w:noProof/>
          <w:lang w:val="fr-CA"/>
        </w:rPr>
        <w:t>rendu de la médiation était protégé par l</w:t>
      </w:r>
      <w:r>
        <w:rPr>
          <w:rFonts w:cs="Times New Roman"/>
          <w:noProof/>
          <w:lang w:val="fr-CA"/>
        </w:rPr>
        <w:t>’</w:t>
      </w:r>
      <w:r w:rsidRPr="00332A1B">
        <w:rPr>
          <w:rFonts w:cs="Times New Roman"/>
          <w:noProof/>
          <w:lang w:val="fr-CA"/>
        </w:rPr>
        <w:t>art</w:t>
      </w:r>
      <w:r w:rsidR="00A0307B">
        <w:rPr>
          <w:rFonts w:cs="Times New Roman"/>
          <w:noProof/>
          <w:lang w:val="fr-CA"/>
        </w:rPr>
        <w:t xml:space="preserve">. </w:t>
      </w:r>
      <w:r w:rsidRPr="00332A1B">
        <w:rPr>
          <w:rFonts w:cs="Times New Roman"/>
          <w:noProof/>
          <w:lang w:val="fr-CA"/>
        </w:rPr>
        <w:t xml:space="preserve">151.21 du </w:t>
      </w:r>
      <w:r w:rsidRPr="00332A1B">
        <w:rPr>
          <w:rFonts w:cs="Times New Roman"/>
          <w:i/>
          <w:noProof/>
          <w:lang w:val="fr-CA"/>
        </w:rPr>
        <w:t>C.p.c.</w:t>
      </w:r>
    </w:p>
    <w:p w:rsidR="00F3157A" w:rsidRPr="00332A1B" w:rsidRDefault="00F3157A" w:rsidP="00A0307B">
      <w:pPr>
        <w:pStyle w:val="ParaNoNdepar-AltN"/>
        <w:rPr>
          <w:rFonts w:cs="Times New Roman"/>
          <w:noProof/>
          <w:lang w:val="fr-CA"/>
        </w:rPr>
      </w:pPr>
      <w:r w:rsidRPr="00332A1B">
        <w:rPr>
          <w:rFonts w:cs="Times New Roman"/>
          <w:noProof/>
          <w:lang w:val="fr-CA"/>
        </w:rPr>
        <w:t>Pour ce motif, la juge Corriveau a accueilli en partie la requête en radiation des appelantes et a ordonné que quatre des six allégations (par</w:t>
      </w:r>
      <w:r w:rsidR="00A0307B">
        <w:rPr>
          <w:rFonts w:cs="Times New Roman"/>
          <w:noProof/>
          <w:lang w:val="fr-CA"/>
        </w:rPr>
        <w:t xml:space="preserve">. </w:t>
      </w:r>
      <w:r w:rsidRPr="00332A1B">
        <w:rPr>
          <w:rFonts w:cs="Times New Roman"/>
          <w:noProof/>
          <w:lang w:val="fr-CA"/>
        </w:rPr>
        <w:t>17, 18, 20 et 21) soient radiées de la requête en homologation des intimées parce qu</w:t>
      </w:r>
      <w:r>
        <w:rPr>
          <w:rFonts w:cs="Times New Roman"/>
          <w:noProof/>
          <w:lang w:val="fr-CA"/>
        </w:rPr>
        <w:t>’</w:t>
      </w:r>
      <w:r w:rsidRPr="00332A1B">
        <w:rPr>
          <w:rFonts w:cs="Times New Roman"/>
          <w:noProof/>
          <w:lang w:val="fr-CA"/>
        </w:rPr>
        <w:t>elles portaient sur les discussions et communications échangées dans le cadre de la médiation.  Elle a rejeté la demande de Dow Chemical de radier le par</w:t>
      </w:r>
      <w:r w:rsidR="00A0307B">
        <w:rPr>
          <w:rFonts w:cs="Times New Roman"/>
          <w:noProof/>
          <w:lang w:val="fr-CA"/>
        </w:rPr>
        <w:t xml:space="preserve">. </w:t>
      </w:r>
      <w:r w:rsidRPr="00332A1B">
        <w:rPr>
          <w:rFonts w:cs="Times New Roman"/>
          <w:noProof/>
          <w:lang w:val="fr-CA"/>
        </w:rPr>
        <w:t>22 de la requête en homologation, lequel portait sur l</w:t>
      </w:r>
      <w:r>
        <w:rPr>
          <w:rFonts w:cs="Times New Roman"/>
          <w:noProof/>
          <w:lang w:val="fr-CA"/>
        </w:rPr>
        <w:t>’</w:t>
      </w:r>
      <w:r w:rsidRPr="00332A1B">
        <w:rPr>
          <w:rFonts w:cs="Times New Roman"/>
          <w:noProof/>
          <w:lang w:val="fr-CA"/>
        </w:rPr>
        <w:t>offre de règlement même</w:t>
      </w:r>
      <w:r>
        <w:rPr>
          <w:rFonts w:cs="Times New Roman"/>
          <w:noProof/>
          <w:lang w:val="fr-CA"/>
        </w:rPr>
        <w:t>,</w:t>
      </w:r>
      <w:r w:rsidRPr="00332A1B">
        <w:rPr>
          <w:rFonts w:cs="Times New Roman"/>
          <w:noProof/>
          <w:lang w:val="fr-CA"/>
        </w:rPr>
        <w:t xml:space="preserve"> qui avait été maintenue </w:t>
      </w:r>
      <w:r w:rsidRPr="00332A1B">
        <w:rPr>
          <w:rFonts w:cs="Times New Roman"/>
          <w:noProof/>
          <w:lang w:val="fr-CA"/>
        </w:rPr>
        <w:lastRenderedPageBreak/>
        <w:t>après la séance de médiation.  Après avoir radié ces quatre paragraphes, la juge Corriveau a expliqué que Bombardier pouvait continuer à s</w:t>
      </w:r>
      <w:r>
        <w:rPr>
          <w:rFonts w:cs="Times New Roman"/>
          <w:noProof/>
          <w:lang w:val="fr-CA"/>
        </w:rPr>
        <w:t>’</w:t>
      </w:r>
      <w:r w:rsidRPr="00332A1B">
        <w:rPr>
          <w:rFonts w:cs="Times New Roman"/>
          <w:noProof/>
          <w:lang w:val="fr-CA"/>
        </w:rPr>
        <w:t>appuyer sur les autres paragraphes de la requête en homologation relatifs à la demande, au contrat de médiation et aux discussions consécutives à la médiation.  Bombardier a demandé l</w:t>
      </w:r>
      <w:r>
        <w:rPr>
          <w:rFonts w:cs="Times New Roman"/>
          <w:noProof/>
          <w:lang w:val="fr-CA"/>
        </w:rPr>
        <w:t>’</w:t>
      </w:r>
      <w:r w:rsidRPr="00332A1B">
        <w:rPr>
          <w:rFonts w:cs="Times New Roman"/>
          <w:noProof/>
          <w:lang w:val="fr-CA"/>
        </w:rPr>
        <w:t>autorisation d</w:t>
      </w:r>
      <w:r>
        <w:rPr>
          <w:rFonts w:cs="Times New Roman"/>
          <w:noProof/>
          <w:lang w:val="fr-CA"/>
        </w:rPr>
        <w:t>’</w:t>
      </w:r>
      <w:r w:rsidRPr="00332A1B">
        <w:rPr>
          <w:rFonts w:cs="Times New Roman"/>
          <w:noProof/>
          <w:lang w:val="fr-CA"/>
        </w:rPr>
        <w:t>interjeter appel de cette décision à la Cour d</w:t>
      </w:r>
      <w:r>
        <w:rPr>
          <w:rFonts w:cs="Times New Roman"/>
          <w:noProof/>
          <w:lang w:val="fr-CA"/>
        </w:rPr>
        <w:t>’</w:t>
      </w:r>
      <w:r w:rsidRPr="00332A1B">
        <w:rPr>
          <w:rFonts w:cs="Times New Roman"/>
          <w:noProof/>
          <w:lang w:val="fr-CA"/>
        </w:rPr>
        <w:t>appel du Québec, laquelle lui a été accordée le 16 mars 2012.</w:t>
      </w:r>
    </w:p>
    <w:p w:rsidR="00F3157A" w:rsidRPr="00332A1B" w:rsidRDefault="00F3157A" w:rsidP="006A1038">
      <w:pPr>
        <w:pStyle w:val="Title2LevelTitre2Niveau"/>
        <w:keepNext w:val="0"/>
        <w:jc w:val="both"/>
        <w:rPr>
          <w:rFonts w:cs="Times New Roman"/>
          <w:noProof/>
          <w:lang w:val="fr-CA"/>
        </w:rPr>
      </w:pPr>
      <w:r w:rsidRPr="00332A1B">
        <w:rPr>
          <w:rFonts w:cs="Times New Roman"/>
          <w:noProof/>
          <w:lang w:val="fr-CA"/>
        </w:rPr>
        <w:t>Cour d</w:t>
      </w:r>
      <w:r>
        <w:rPr>
          <w:rFonts w:cs="Times New Roman"/>
          <w:noProof/>
          <w:lang w:val="fr-CA"/>
        </w:rPr>
        <w:t>’</w:t>
      </w:r>
      <w:r w:rsidRPr="00332A1B">
        <w:rPr>
          <w:rFonts w:cs="Times New Roman"/>
          <w:noProof/>
          <w:lang w:val="fr-CA"/>
        </w:rPr>
        <w:t>appel du Québec, 2012 QCCA 1300 (CanLII) (les juges Thibault, Rochette et Morissette)</w:t>
      </w:r>
    </w:p>
    <w:p w:rsidR="00F3157A" w:rsidRPr="00332A1B" w:rsidRDefault="00F3157A" w:rsidP="00A0307B">
      <w:pPr>
        <w:pStyle w:val="ParaNoNdepar-AltN"/>
        <w:rPr>
          <w:rFonts w:cs="Times New Roman"/>
          <w:noProof/>
          <w:lang w:val="fr-CA"/>
        </w:rPr>
      </w:pPr>
      <w:r w:rsidRPr="00332A1B">
        <w:rPr>
          <w:rFonts w:cs="Times New Roman"/>
          <w:noProof/>
          <w:lang w:val="fr-CA"/>
        </w:rPr>
        <w:t>S</w:t>
      </w:r>
      <w:r>
        <w:rPr>
          <w:rFonts w:cs="Times New Roman"/>
          <w:noProof/>
          <w:lang w:val="fr-CA"/>
        </w:rPr>
        <w:t>’</w:t>
      </w:r>
      <w:r w:rsidRPr="00332A1B">
        <w:rPr>
          <w:rFonts w:cs="Times New Roman"/>
          <w:noProof/>
          <w:lang w:val="fr-CA"/>
        </w:rPr>
        <w:t>exprimant au nom de la cour à l</w:t>
      </w:r>
      <w:r>
        <w:rPr>
          <w:rFonts w:cs="Times New Roman"/>
          <w:noProof/>
          <w:lang w:val="fr-CA"/>
        </w:rPr>
        <w:t>’</w:t>
      </w:r>
      <w:r w:rsidRPr="00332A1B">
        <w:rPr>
          <w:rFonts w:cs="Times New Roman"/>
          <w:noProof/>
          <w:lang w:val="fr-CA"/>
        </w:rPr>
        <w:t>unanimité, la juge Thibault a accueilli l</w:t>
      </w:r>
      <w:r>
        <w:rPr>
          <w:rFonts w:cs="Times New Roman"/>
          <w:noProof/>
          <w:lang w:val="fr-CA"/>
        </w:rPr>
        <w:t>’</w:t>
      </w:r>
      <w:r w:rsidRPr="00332A1B">
        <w:rPr>
          <w:rFonts w:cs="Times New Roman"/>
          <w:noProof/>
          <w:lang w:val="fr-CA"/>
        </w:rPr>
        <w:t xml:space="preserve">appel et a conclu, contrairement à la juge des requêtes, que les règles de confidentialité du </w:t>
      </w:r>
      <w:r w:rsidRPr="00332A1B">
        <w:rPr>
          <w:rFonts w:cs="Times New Roman"/>
          <w:i/>
          <w:noProof/>
          <w:lang w:val="fr-CA"/>
        </w:rPr>
        <w:t>C.p.c.</w:t>
      </w:r>
      <w:r w:rsidRPr="00332A1B">
        <w:rPr>
          <w:rFonts w:cs="Times New Roman"/>
          <w:noProof/>
          <w:lang w:val="fr-CA"/>
        </w:rPr>
        <w:t xml:space="preserve"> ne s</w:t>
      </w:r>
      <w:r>
        <w:rPr>
          <w:rFonts w:cs="Times New Roman"/>
          <w:noProof/>
          <w:lang w:val="fr-CA"/>
        </w:rPr>
        <w:t>’</w:t>
      </w:r>
      <w:r w:rsidRPr="00332A1B">
        <w:rPr>
          <w:rFonts w:cs="Times New Roman"/>
          <w:noProof/>
          <w:lang w:val="fr-CA"/>
        </w:rPr>
        <w:t>appliquent pas à la médiation extrajudiciaire.  En l</w:t>
      </w:r>
      <w:r>
        <w:rPr>
          <w:rFonts w:cs="Times New Roman"/>
          <w:noProof/>
          <w:lang w:val="fr-CA"/>
        </w:rPr>
        <w:t>’</w:t>
      </w:r>
      <w:r w:rsidRPr="00332A1B">
        <w:rPr>
          <w:rFonts w:cs="Times New Roman"/>
          <w:noProof/>
          <w:lang w:val="fr-CA"/>
        </w:rPr>
        <w:t>absence de texte législatif à cet égard, l</w:t>
      </w:r>
      <w:r>
        <w:rPr>
          <w:rFonts w:cs="Times New Roman"/>
          <w:noProof/>
          <w:lang w:val="fr-CA"/>
        </w:rPr>
        <w:t>’</w:t>
      </w:r>
      <w:r w:rsidRPr="00332A1B">
        <w:rPr>
          <w:rFonts w:cs="Times New Roman"/>
          <w:noProof/>
          <w:lang w:val="fr-CA"/>
        </w:rPr>
        <w:t>examen de deux facteurs permet de déterminer si la médiation non présidée par un juge est confidentielle : (1) le contrat de médiation conclu entre les parties, et (2) le privilège relatif aux règlements de la common law reconnu en droit québécois.  De l</w:t>
      </w:r>
      <w:r>
        <w:rPr>
          <w:rFonts w:cs="Times New Roman"/>
          <w:noProof/>
          <w:lang w:val="fr-CA"/>
        </w:rPr>
        <w:t>’</w:t>
      </w:r>
      <w:r w:rsidR="008F0696">
        <w:rPr>
          <w:rFonts w:cs="Times New Roman"/>
          <w:noProof/>
          <w:lang w:val="fr-CA"/>
        </w:rPr>
        <w:t>avis de la C</w:t>
      </w:r>
      <w:r w:rsidRPr="00332A1B">
        <w:rPr>
          <w:rFonts w:cs="Times New Roman"/>
          <w:noProof/>
          <w:lang w:val="fr-CA"/>
        </w:rPr>
        <w:t>our d</w:t>
      </w:r>
      <w:r>
        <w:rPr>
          <w:rFonts w:cs="Times New Roman"/>
          <w:noProof/>
          <w:lang w:val="fr-CA"/>
        </w:rPr>
        <w:t>’</w:t>
      </w:r>
      <w:r w:rsidRPr="00332A1B">
        <w:rPr>
          <w:rFonts w:cs="Times New Roman"/>
          <w:noProof/>
          <w:lang w:val="fr-CA"/>
        </w:rPr>
        <w:t>appel, selon les termes du contrat (</w:t>
      </w:r>
      <w:r w:rsidRPr="00332A1B">
        <w:rPr>
          <w:rFonts w:cs="Times New Roman"/>
          <w:smallCaps/>
          <w:noProof/>
          <w:lang w:val="fr-CA"/>
        </w:rPr>
        <w:t xml:space="preserve">[traduction] </w:t>
      </w:r>
      <w:r w:rsidRPr="00332A1B">
        <w:rPr>
          <w:rFonts w:cs="Times New Roman"/>
          <w:noProof/>
          <w:lang w:val="fr-CA"/>
        </w:rPr>
        <w:t>« Rien de ce qui pourra être dit ou écrit au cours de la médiation ne sera allégué, mentionné ou présenté en preuve dans le cadre d</w:t>
      </w:r>
      <w:r>
        <w:rPr>
          <w:rFonts w:cs="Times New Roman"/>
          <w:noProof/>
          <w:lang w:val="fr-CA"/>
        </w:rPr>
        <w:t>’</w:t>
      </w:r>
      <w:r w:rsidRPr="00332A1B">
        <w:rPr>
          <w:rFonts w:cs="Times New Roman"/>
          <w:noProof/>
          <w:lang w:val="fr-CA"/>
        </w:rPr>
        <w:t>une instance »), une obligation de confidentialité s</w:t>
      </w:r>
      <w:r>
        <w:rPr>
          <w:rFonts w:cs="Times New Roman"/>
          <w:noProof/>
          <w:lang w:val="fr-CA"/>
        </w:rPr>
        <w:t>’</w:t>
      </w:r>
      <w:r w:rsidRPr="00332A1B">
        <w:rPr>
          <w:rFonts w:cs="Times New Roman"/>
          <w:noProof/>
          <w:lang w:val="fr-CA"/>
        </w:rPr>
        <w:t>appliquait au contenu des échanges qui ont eu lieu au cours de la médiation, et cette obligation s</w:t>
      </w:r>
      <w:r>
        <w:rPr>
          <w:rFonts w:cs="Times New Roman"/>
          <w:noProof/>
          <w:lang w:val="fr-CA"/>
        </w:rPr>
        <w:t>’</w:t>
      </w:r>
      <w:r w:rsidRPr="00332A1B">
        <w:rPr>
          <w:rFonts w:cs="Times New Roman"/>
          <w:noProof/>
          <w:lang w:val="fr-CA"/>
        </w:rPr>
        <w:t xml:space="preserve">appliquait à certains des faits sur lesquels Bombardier cherchait à se fonder. </w:t>
      </w:r>
    </w:p>
    <w:p w:rsidR="00F3157A" w:rsidRPr="00332A1B" w:rsidRDefault="007412FE" w:rsidP="00A0307B">
      <w:pPr>
        <w:pStyle w:val="ParaNoNdepar-AltN"/>
        <w:rPr>
          <w:rFonts w:cs="Times New Roman"/>
          <w:noProof/>
          <w:lang w:val="fr-CA"/>
        </w:rPr>
      </w:pPr>
      <w:r>
        <w:rPr>
          <w:rFonts w:cs="Times New Roman"/>
          <w:noProof/>
          <w:lang w:val="fr-CA"/>
        </w:rPr>
        <w:lastRenderedPageBreak/>
        <w:t>La C</w:t>
      </w:r>
      <w:r w:rsidR="00F3157A" w:rsidRPr="00332A1B">
        <w:rPr>
          <w:rFonts w:cs="Times New Roman"/>
          <w:noProof/>
          <w:lang w:val="fr-CA"/>
        </w:rPr>
        <w:t>our d</w:t>
      </w:r>
      <w:r w:rsidR="00F3157A">
        <w:rPr>
          <w:rFonts w:cs="Times New Roman"/>
          <w:noProof/>
          <w:lang w:val="fr-CA"/>
        </w:rPr>
        <w:t>’</w:t>
      </w:r>
      <w:r w:rsidR="00F3157A" w:rsidRPr="00332A1B">
        <w:rPr>
          <w:rFonts w:cs="Times New Roman"/>
          <w:noProof/>
          <w:lang w:val="fr-CA"/>
        </w:rPr>
        <w:t>appel a alors reformulé la règle générale voulant que les négociations en vue d</w:t>
      </w:r>
      <w:r w:rsidR="00F3157A">
        <w:rPr>
          <w:rFonts w:cs="Times New Roman"/>
          <w:noProof/>
          <w:lang w:val="fr-CA"/>
        </w:rPr>
        <w:t>’</w:t>
      </w:r>
      <w:r w:rsidR="00F3157A" w:rsidRPr="00332A1B">
        <w:rPr>
          <w:rFonts w:cs="Times New Roman"/>
          <w:noProof/>
          <w:lang w:val="fr-CA"/>
        </w:rPr>
        <w:t>un règlement soient confidentielles, même en l</w:t>
      </w:r>
      <w:r w:rsidR="00F3157A">
        <w:rPr>
          <w:rFonts w:cs="Times New Roman"/>
          <w:noProof/>
          <w:lang w:val="fr-CA"/>
        </w:rPr>
        <w:t>’</w:t>
      </w:r>
      <w:r w:rsidR="00F3157A" w:rsidRPr="00332A1B">
        <w:rPr>
          <w:rFonts w:cs="Times New Roman"/>
          <w:noProof/>
          <w:lang w:val="fr-CA"/>
        </w:rPr>
        <w:t>absence d</w:t>
      </w:r>
      <w:r w:rsidR="00F3157A">
        <w:rPr>
          <w:rFonts w:cs="Times New Roman"/>
          <w:noProof/>
          <w:lang w:val="fr-CA"/>
        </w:rPr>
        <w:t>’</w:t>
      </w:r>
      <w:r w:rsidR="00F3157A" w:rsidRPr="00332A1B">
        <w:rPr>
          <w:rFonts w:cs="Times New Roman"/>
          <w:noProof/>
          <w:lang w:val="fr-CA"/>
        </w:rPr>
        <w:t>une règle de procédure adoptée par voie législative.  Elle a cité l</w:t>
      </w:r>
      <w:r w:rsidR="00F3157A">
        <w:rPr>
          <w:rFonts w:cs="Times New Roman"/>
          <w:noProof/>
          <w:lang w:val="fr-CA"/>
        </w:rPr>
        <w:t>’</w:t>
      </w:r>
      <w:r w:rsidR="00F3157A" w:rsidRPr="00332A1B">
        <w:rPr>
          <w:rFonts w:cs="Times New Roman"/>
          <w:noProof/>
          <w:lang w:val="fr-CA"/>
        </w:rPr>
        <w:t xml:space="preserve">arrêt </w:t>
      </w:r>
      <w:r w:rsidR="00F3157A" w:rsidRPr="00332A1B">
        <w:rPr>
          <w:rFonts w:cs="Times New Roman"/>
          <w:i/>
          <w:iCs/>
          <w:noProof/>
          <w:lang w:val="fr-CA"/>
        </w:rPr>
        <w:t>Globe</w:t>
      </w:r>
      <w:r w:rsidR="006D1E7B">
        <w:rPr>
          <w:rFonts w:cs="Times New Roman"/>
          <w:i/>
          <w:iCs/>
          <w:noProof/>
          <w:lang w:val="fr-CA"/>
        </w:rPr>
        <w:t xml:space="preserve"> and Mail c. Canada (Procureur g</w:t>
      </w:r>
      <w:r w:rsidR="00F3157A" w:rsidRPr="00332A1B">
        <w:rPr>
          <w:rFonts w:cs="Times New Roman"/>
          <w:i/>
          <w:iCs/>
          <w:noProof/>
          <w:lang w:val="fr-CA"/>
        </w:rPr>
        <w:t>énéral)</w:t>
      </w:r>
      <w:r w:rsidR="00F3157A" w:rsidRPr="00332A1B">
        <w:rPr>
          <w:rFonts w:cs="Times New Roman"/>
          <w:noProof/>
          <w:lang w:val="fr-CA"/>
        </w:rPr>
        <w:t>, 2010 CSC 41, [2010] 2 R.C.S. 592, afin de rappeler que le privilège relatif aux règlements a pour objet de permettre aux parties de mener des discussions en toute franchise au sujet d</w:t>
      </w:r>
      <w:r w:rsidR="00F3157A">
        <w:rPr>
          <w:rFonts w:cs="Times New Roman"/>
          <w:noProof/>
          <w:lang w:val="fr-CA"/>
        </w:rPr>
        <w:t>’</w:t>
      </w:r>
      <w:r w:rsidR="00F3157A" w:rsidRPr="00332A1B">
        <w:rPr>
          <w:rFonts w:cs="Times New Roman"/>
          <w:noProof/>
          <w:lang w:val="fr-CA"/>
        </w:rPr>
        <w:t>un règlement possible, sans crainte que les révélations faites au cours des négociations soient utilisées à leur détriment dans un litige.  La cour a fait remarquer que le privilège relatif aux règlements est fondé sur des considérations d</w:t>
      </w:r>
      <w:r w:rsidR="00F3157A">
        <w:rPr>
          <w:rFonts w:cs="Times New Roman"/>
          <w:noProof/>
          <w:lang w:val="fr-CA"/>
        </w:rPr>
        <w:t>’</w:t>
      </w:r>
      <w:r w:rsidR="00F3157A" w:rsidRPr="00332A1B">
        <w:rPr>
          <w:rFonts w:cs="Times New Roman"/>
          <w:noProof/>
          <w:lang w:val="fr-CA"/>
        </w:rPr>
        <w:t>intérêt général car il est préférable, pour une saine administration de la justice, que les parties tentent de régler elles</w:t>
      </w:r>
      <w:r w:rsidR="00A0307B">
        <w:rPr>
          <w:rFonts w:cs="Times New Roman"/>
          <w:noProof/>
          <w:lang w:val="fr-CA"/>
        </w:rPr>
        <w:t>-</w:t>
      </w:r>
      <w:r w:rsidR="00F3157A" w:rsidRPr="00332A1B">
        <w:rPr>
          <w:rFonts w:cs="Times New Roman"/>
          <w:noProof/>
          <w:lang w:val="fr-CA"/>
        </w:rPr>
        <w:t>mêmes leur différend avant de recourir aux tribunaux.</w:t>
      </w:r>
    </w:p>
    <w:p w:rsidR="00F3157A" w:rsidRPr="00332A1B" w:rsidRDefault="00F3157A" w:rsidP="00A0307B">
      <w:pPr>
        <w:pStyle w:val="ParaNoNdepar-AltN"/>
        <w:rPr>
          <w:rFonts w:cs="Times New Roman"/>
          <w:noProof/>
          <w:lang w:val="fr-CA"/>
        </w:rPr>
      </w:pPr>
      <w:r w:rsidRPr="00332A1B">
        <w:rPr>
          <w:rFonts w:cs="Times New Roman"/>
          <w:noProof/>
          <w:lang w:val="fr-CA"/>
        </w:rPr>
        <w:t>La cour a fait remarquer que les communications faites au cours de la médiation cessent d</w:t>
      </w:r>
      <w:r>
        <w:rPr>
          <w:rFonts w:cs="Times New Roman"/>
          <w:noProof/>
          <w:lang w:val="fr-CA"/>
        </w:rPr>
        <w:t>’</w:t>
      </w:r>
      <w:r w:rsidRPr="00332A1B">
        <w:rPr>
          <w:rFonts w:cs="Times New Roman"/>
          <w:noProof/>
          <w:lang w:val="fr-CA"/>
        </w:rPr>
        <w:t>être privilégiées lorsqu</w:t>
      </w:r>
      <w:r>
        <w:rPr>
          <w:rFonts w:cs="Times New Roman"/>
          <w:noProof/>
          <w:lang w:val="fr-CA"/>
        </w:rPr>
        <w:t>’</w:t>
      </w:r>
      <w:r w:rsidRPr="00332A1B">
        <w:rPr>
          <w:rFonts w:cs="Times New Roman"/>
          <w:noProof/>
          <w:lang w:val="fr-CA"/>
        </w:rPr>
        <w:t>elles ont conduit à une entente.  Elle a cité à l</w:t>
      </w:r>
      <w:r>
        <w:rPr>
          <w:rFonts w:cs="Times New Roman"/>
          <w:noProof/>
          <w:lang w:val="fr-CA"/>
        </w:rPr>
        <w:t>’</w:t>
      </w:r>
      <w:r w:rsidRPr="00332A1B">
        <w:rPr>
          <w:rFonts w:cs="Times New Roman"/>
          <w:noProof/>
          <w:lang w:val="fr-CA"/>
        </w:rPr>
        <w:t>appui de cette remarque divers ouvrages de doctrine de droit civil et de common law (aux par</w:t>
      </w:r>
      <w:r w:rsidR="00A0307B">
        <w:rPr>
          <w:rFonts w:cs="Times New Roman"/>
          <w:noProof/>
          <w:lang w:val="fr-CA"/>
        </w:rPr>
        <w:t xml:space="preserve">. </w:t>
      </w:r>
      <w:r w:rsidRPr="00332A1B">
        <w:rPr>
          <w:rFonts w:cs="Times New Roman"/>
          <w:noProof/>
          <w:lang w:val="fr-CA"/>
        </w:rPr>
        <w:t>35</w:t>
      </w:r>
      <w:r w:rsidR="009F36C4">
        <w:rPr>
          <w:rFonts w:cs="Times New Roman"/>
          <w:noProof/>
          <w:lang w:val="fr-CA"/>
        </w:rPr>
        <w:t>-</w:t>
      </w:r>
      <w:r w:rsidRPr="00332A1B">
        <w:rPr>
          <w:rFonts w:cs="Times New Roman"/>
          <w:noProof/>
          <w:lang w:val="fr-CA"/>
        </w:rPr>
        <w:t xml:space="preserve">38), ainsi que deux décisions de la Cour supérieure du Québec, dont </w:t>
      </w:r>
      <w:r w:rsidRPr="00332A1B">
        <w:rPr>
          <w:rFonts w:cs="Times New Roman"/>
          <w:i/>
          <w:iCs/>
          <w:noProof/>
          <w:lang w:val="fr-CA"/>
        </w:rPr>
        <w:t>Ferlatte c. Ventes Rudolph inc.</w:t>
      </w:r>
      <w:r w:rsidRPr="00332A1B">
        <w:rPr>
          <w:rFonts w:cs="Times New Roman"/>
          <w:iCs/>
          <w:noProof/>
          <w:lang w:val="fr-CA"/>
        </w:rPr>
        <w:t>, [1999] Q.J. No</w:t>
      </w:r>
      <w:r w:rsidR="00EB538A">
        <w:rPr>
          <w:rFonts w:cs="Times New Roman"/>
          <w:iCs/>
          <w:noProof/>
          <w:lang w:val="fr-CA"/>
        </w:rPr>
        <w:t>.</w:t>
      </w:r>
      <w:r w:rsidRPr="00332A1B">
        <w:rPr>
          <w:rFonts w:cs="Times New Roman"/>
          <w:iCs/>
          <w:noProof/>
          <w:lang w:val="fr-CA"/>
        </w:rPr>
        <w:t> 2735 (QL), où la cour a affirmé ce qui suit, au par</w:t>
      </w:r>
      <w:r w:rsidR="00A0307B">
        <w:rPr>
          <w:rFonts w:cs="Times New Roman"/>
          <w:iCs/>
          <w:noProof/>
          <w:lang w:val="fr-CA"/>
        </w:rPr>
        <w:t xml:space="preserve">. </w:t>
      </w:r>
      <w:r w:rsidRPr="00332A1B">
        <w:rPr>
          <w:rFonts w:cs="Times New Roman"/>
          <w:iCs/>
          <w:noProof/>
          <w:lang w:val="fr-CA"/>
        </w:rPr>
        <w:t xml:space="preserve">12 : </w:t>
      </w:r>
    </w:p>
    <w:p w:rsidR="00F3157A" w:rsidRPr="00332A1B" w:rsidRDefault="00F3157A" w:rsidP="00A0307B">
      <w:pPr>
        <w:pStyle w:val="Citation-AltC"/>
        <w:ind w:hanging="1166"/>
        <w:rPr>
          <w:rFonts w:eastAsiaTheme="minorEastAsia"/>
          <w:i/>
          <w:iCs/>
          <w:noProof/>
          <w:lang w:val="fr-FR"/>
        </w:rPr>
      </w:pPr>
      <w:r>
        <w:rPr>
          <w:rFonts w:eastAsiaTheme="minorEastAsia"/>
          <w:smallCaps/>
          <w:noProof/>
          <w:lang w:val="fr-CA"/>
        </w:rPr>
        <w:tab/>
      </w:r>
      <w:r>
        <w:rPr>
          <w:rFonts w:eastAsiaTheme="minorEastAsia"/>
          <w:smallCaps/>
          <w:noProof/>
          <w:lang w:val="fr-CA"/>
        </w:rPr>
        <w:tab/>
      </w:r>
      <w:r w:rsidRPr="00332A1B">
        <w:rPr>
          <w:rFonts w:eastAsiaTheme="minorEastAsia"/>
          <w:smallCaps/>
          <w:noProof/>
          <w:lang w:val="fr-CA"/>
        </w:rPr>
        <w:t>[traduction]</w:t>
      </w:r>
      <w:r w:rsidRPr="00332A1B">
        <w:rPr>
          <w:rFonts w:eastAsiaTheme="minorEastAsia"/>
          <w:noProof/>
          <w:lang w:val="fr-CA"/>
        </w:rPr>
        <w:t xml:space="preserve"> Selon certaines décisions judiciaires du Québec, des provinces de common law et de l</w:t>
      </w:r>
      <w:r>
        <w:rPr>
          <w:rFonts w:eastAsiaTheme="minorEastAsia"/>
          <w:noProof/>
          <w:lang w:val="fr-CA"/>
        </w:rPr>
        <w:t>’</w:t>
      </w:r>
      <w:r w:rsidRPr="00332A1B">
        <w:rPr>
          <w:rFonts w:eastAsiaTheme="minorEastAsia"/>
          <w:noProof/>
          <w:lang w:val="fr-CA"/>
        </w:rPr>
        <w:t>Angleterre, le privilège protège les communications que s</w:t>
      </w:r>
      <w:r>
        <w:rPr>
          <w:rFonts w:eastAsiaTheme="minorEastAsia"/>
          <w:noProof/>
          <w:lang w:val="fr-CA"/>
        </w:rPr>
        <w:t>’</w:t>
      </w:r>
      <w:r w:rsidRPr="00332A1B">
        <w:rPr>
          <w:rFonts w:eastAsiaTheme="minorEastAsia"/>
          <w:noProof/>
          <w:lang w:val="fr-CA"/>
        </w:rPr>
        <w:t>échangent les avocats des parties adverses en vue du règlement d</w:t>
      </w:r>
      <w:r>
        <w:rPr>
          <w:rFonts w:eastAsiaTheme="minorEastAsia"/>
          <w:noProof/>
          <w:lang w:val="fr-CA"/>
        </w:rPr>
        <w:t>’</w:t>
      </w:r>
      <w:r w:rsidRPr="00332A1B">
        <w:rPr>
          <w:rFonts w:eastAsiaTheme="minorEastAsia"/>
          <w:noProof/>
          <w:lang w:val="fr-CA"/>
        </w:rPr>
        <w:t xml:space="preserve">un litige.  </w:t>
      </w:r>
      <w:r w:rsidRPr="00332A1B">
        <w:rPr>
          <w:rFonts w:eastAsiaTheme="minorEastAsia"/>
          <w:noProof/>
          <w:u w:val="single"/>
          <w:lang w:val="fr-CA"/>
        </w:rPr>
        <w:t>En conséquence, une offre de règlement ne peut pas être produite en preuve à moins qu</w:t>
      </w:r>
      <w:r>
        <w:rPr>
          <w:rFonts w:eastAsiaTheme="minorEastAsia"/>
          <w:noProof/>
          <w:u w:val="single"/>
          <w:lang w:val="fr-CA"/>
        </w:rPr>
        <w:t>’</w:t>
      </w:r>
      <w:r w:rsidRPr="00332A1B">
        <w:rPr>
          <w:rFonts w:eastAsiaTheme="minorEastAsia"/>
          <w:noProof/>
          <w:u w:val="single"/>
          <w:lang w:val="fr-CA"/>
        </w:rPr>
        <w:t>elle ait été acceptée.</w:t>
      </w:r>
      <w:r w:rsidRPr="00332A1B">
        <w:rPr>
          <w:rFonts w:eastAsiaTheme="minorEastAsia"/>
          <w:noProof/>
          <w:lang w:val="fr-CA"/>
        </w:rPr>
        <w:t xml:space="preserve">  Dans un tel cas, elle est admissible, non pas pour établir que l</w:t>
      </w:r>
      <w:r>
        <w:rPr>
          <w:rFonts w:eastAsiaTheme="minorEastAsia"/>
          <w:noProof/>
          <w:lang w:val="fr-CA"/>
        </w:rPr>
        <w:t>’</w:t>
      </w:r>
      <w:r w:rsidRPr="00332A1B">
        <w:rPr>
          <w:rFonts w:eastAsiaTheme="minorEastAsia"/>
          <w:noProof/>
          <w:lang w:val="fr-CA"/>
        </w:rPr>
        <w:t>offrant reconnaît sa responsabilité envers le bénéficiaire, mais comme preuve que les parties ont décidé de mettre fin au différend en s</w:t>
      </w:r>
      <w:r>
        <w:rPr>
          <w:rFonts w:eastAsiaTheme="minorEastAsia"/>
          <w:noProof/>
          <w:lang w:val="fr-CA"/>
        </w:rPr>
        <w:t>’</w:t>
      </w:r>
      <w:r w:rsidRPr="00332A1B">
        <w:rPr>
          <w:rFonts w:eastAsiaTheme="minorEastAsia"/>
          <w:noProof/>
          <w:lang w:val="fr-CA"/>
        </w:rPr>
        <w:t xml:space="preserve">entendant sur les conditions de </w:t>
      </w:r>
      <w:r w:rsidRPr="00332A1B">
        <w:rPr>
          <w:rFonts w:eastAsiaTheme="minorEastAsia"/>
          <w:noProof/>
          <w:lang w:val="fr-CA"/>
        </w:rPr>
        <w:lastRenderedPageBreak/>
        <w:t>l</w:t>
      </w:r>
      <w:r>
        <w:rPr>
          <w:rFonts w:eastAsiaTheme="minorEastAsia"/>
          <w:noProof/>
          <w:lang w:val="fr-CA"/>
        </w:rPr>
        <w:t>’</w:t>
      </w:r>
      <w:r w:rsidRPr="00332A1B">
        <w:rPr>
          <w:rFonts w:eastAsiaTheme="minorEastAsia"/>
          <w:noProof/>
          <w:lang w:val="fr-CA"/>
        </w:rPr>
        <w:t xml:space="preserve">offre.  </w:t>
      </w:r>
      <w:r w:rsidRPr="00332A1B">
        <w:rPr>
          <w:rFonts w:eastAsiaTheme="minorEastAsia"/>
          <w:noProof/>
          <w:vertAlign w:val="superscript"/>
          <w:lang w:val="fr-CA"/>
        </w:rPr>
        <w:t xml:space="preserve"> </w:t>
      </w:r>
      <w:r w:rsidRPr="00332A1B">
        <w:rPr>
          <w:rFonts w:eastAsiaTheme="minorEastAsia"/>
          <w:noProof/>
          <w:u w:val="single"/>
          <w:lang w:val="fr-CA"/>
        </w:rPr>
        <w:t>Pareilles communications sont protégées par le privilège pour des raisons de principe car, en l</w:t>
      </w:r>
      <w:r>
        <w:rPr>
          <w:rFonts w:eastAsiaTheme="minorEastAsia"/>
          <w:noProof/>
          <w:u w:val="single"/>
          <w:lang w:val="fr-CA"/>
        </w:rPr>
        <w:t>’</w:t>
      </w:r>
      <w:r w:rsidRPr="00332A1B">
        <w:rPr>
          <w:rFonts w:eastAsiaTheme="minorEastAsia"/>
          <w:noProof/>
          <w:u w:val="single"/>
          <w:lang w:val="fr-CA"/>
        </w:rPr>
        <w:t>absence de ce privilège, les parties hésiteraient à tenter de négocier un règlement par crainte que leurs initiatives reviennent les hanter au procès en cas d</w:t>
      </w:r>
      <w:r>
        <w:rPr>
          <w:rFonts w:eastAsiaTheme="minorEastAsia"/>
          <w:noProof/>
          <w:u w:val="single"/>
          <w:lang w:val="fr-CA"/>
        </w:rPr>
        <w:t>’</w:t>
      </w:r>
      <w:r w:rsidRPr="00332A1B">
        <w:rPr>
          <w:rFonts w:eastAsiaTheme="minorEastAsia"/>
          <w:noProof/>
          <w:u w:val="single"/>
          <w:lang w:val="fr-CA"/>
        </w:rPr>
        <w:t>échec.</w:t>
      </w:r>
      <w:r w:rsidRPr="00332A1B">
        <w:rPr>
          <w:rFonts w:eastAsiaTheme="minorEastAsia"/>
          <w:noProof/>
          <w:lang w:val="fr-CA"/>
        </w:rPr>
        <w:t xml:space="preserve">  [Je souligne.]</w:t>
      </w:r>
    </w:p>
    <w:p w:rsidR="00F3157A" w:rsidRPr="00332A1B" w:rsidRDefault="00F3157A" w:rsidP="00A0307B">
      <w:pPr>
        <w:pStyle w:val="ParaNoNdepar-AltN"/>
        <w:rPr>
          <w:rFonts w:cs="Times New Roman"/>
          <w:noProof/>
          <w:lang w:val="fr-CA"/>
        </w:rPr>
      </w:pPr>
      <w:r w:rsidRPr="00332A1B">
        <w:rPr>
          <w:rFonts w:cs="Times New Roman"/>
          <w:noProof/>
          <w:lang w:val="fr-CA"/>
        </w:rPr>
        <w:t>Comme l</w:t>
      </w:r>
      <w:r>
        <w:rPr>
          <w:rFonts w:cs="Times New Roman"/>
          <w:noProof/>
          <w:lang w:val="fr-CA"/>
        </w:rPr>
        <w:t>’</w:t>
      </w:r>
      <w:r w:rsidRPr="00332A1B">
        <w:rPr>
          <w:rFonts w:cs="Times New Roman"/>
          <w:noProof/>
          <w:lang w:val="fr-CA"/>
        </w:rPr>
        <w:t>a indiqué la juge Thibault, en cas de différend au sujet de l</w:t>
      </w:r>
      <w:r>
        <w:rPr>
          <w:rFonts w:cs="Times New Roman"/>
          <w:noProof/>
          <w:lang w:val="fr-CA"/>
        </w:rPr>
        <w:t>’</w:t>
      </w:r>
      <w:r w:rsidRPr="00332A1B">
        <w:rPr>
          <w:rFonts w:cs="Times New Roman"/>
          <w:noProof/>
          <w:lang w:val="fr-CA"/>
        </w:rPr>
        <w:t>existence ou des modalités d</w:t>
      </w:r>
      <w:r>
        <w:rPr>
          <w:rFonts w:cs="Times New Roman"/>
          <w:noProof/>
          <w:lang w:val="fr-CA"/>
        </w:rPr>
        <w:t>’</w:t>
      </w:r>
      <w:r w:rsidRPr="00332A1B">
        <w:rPr>
          <w:rFonts w:cs="Times New Roman"/>
          <w:noProof/>
          <w:lang w:val="fr-CA"/>
        </w:rPr>
        <w:t>un règlement, l</w:t>
      </w:r>
      <w:r>
        <w:rPr>
          <w:rFonts w:cs="Times New Roman"/>
          <w:noProof/>
          <w:lang w:val="fr-CA"/>
        </w:rPr>
        <w:t>’</w:t>
      </w:r>
      <w:r w:rsidRPr="00332A1B">
        <w:rPr>
          <w:rFonts w:cs="Times New Roman"/>
          <w:noProof/>
          <w:lang w:val="fr-CA"/>
        </w:rPr>
        <w:t>obligation de confidentialité rattachée aux communications faites durant la médiation n</w:t>
      </w:r>
      <w:r>
        <w:rPr>
          <w:rFonts w:cs="Times New Roman"/>
          <w:noProof/>
          <w:lang w:val="fr-CA"/>
        </w:rPr>
        <w:t>’</w:t>
      </w:r>
      <w:r w:rsidRPr="00332A1B">
        <w:rPr>
          <w:rFonts w:cs="Times New Roman"/>
          <w:noProof/>
          <w:lang w:val="fr-CA"/>
        </w:rPr>
        <w:t>a plus d</w:t>
      </w:r>
      <w:r>
        <w:rPr>
          <w:rFonts w:cs="Times New Roman"/>
          <w:noProof/>
          <w:lang w:val="fr-CA"/>
        </w:rPr>
        <w:t>’</w:t>
      </w:r>
      <w:r w:rsidRPr="00332A1B">
        <w:rPr>
          <w:rFonts w:cs="Times New Roman"/>
          <w:noProof/>
          <w:lang w:val="fr-CA"/>
        </w:rPr>
        <w:t>application puisque l</w:t>
      </w:r>
      <w:r>
        <w:rPr>
          <w:rFonts w:cs="Times New Roman"/>
          <w:noProof/>
          <w:lang w:val="fr-CA"/>
        </w:rPr>
        <w:t>’</w:t>
      </w:r>
      <w:r w:rsidRPr="00332A1B">
        <w:rPr>
          <w:rFonts w:cs="Times New Roman"/>
          <w:noProof/>
          <w:lang w:val="fr-CA"/>
        </w:rPr>
        <w:t xml:space="preserve">objet de la confidentialité </w:t>
      </w:r>
      <w:r w:rsidR="00EB538A">
        <w:rPr>
          <w:rFonts w:cs="Times New Roman"/>
          <w:noProof/>
          <w:lang w:val="fr-CA"/>
        </w:rPr>
        <w:t>— favoriser un règlement —</w:t>
      </w:r>
      <w:r w:rsidRPr="00332A1B">
        <w:rPr>
          <w:rFonts w:cs="Times New Roman"/>
          <w:noProof/>
          <w:lang w:val="fr-CA"/>
        </w:rPr>
        <w:t xml:space="preserve"> a disparu.  Si aucune entente n</w:t>
      </w:r>
      <w:r>
        <w:rPr>
          <w:rFonts w:cs="Times New Roman"/>
          <w:noProof/>
          <w:lang w:val="fr-CA"/>
        </w:rPr>
        <w:t>’</w:t>
      </w:r>
      <w:r w:rsidRPr="00332A1B">
        <w:rPr>
          <w:rFonts w:cs="Times New Roman"/>
          <w:noProof/>
          <w:lang w:val="fr-CA"/>
        </w:rPr>
        <w:t>a en fait été conclue, les communications ne peuvent être invoquées en preuve à aucune autre fin.</w:t>
      </w:r>
    </w:p>
    <w:p w:rsidR="00F3157A" w:rsidRPr="00332A1B" w:rsidRDefault="001B4955" w:rsidP="00A0307B">
      <w:pPr>
        <w:pStyle w:val="ParaNoNdepar-AltN"/>
        <w:rPr>
          <w:rFonts w:cs="Times New Roman"/>
          <w:noProof/>
          <w:lang w:val="fr-CA"/>
        </w:rPr>
      </w:pPr>
      <w:r>
        <w:rPr>
          <w:rFonts w:cs="Times New Roman"/>
          <w:noProof/>
          <w:lang w:val="fr-CA"/>
        </w:rPr>
        <w:t>La C</w:t>
      </w:r>
      <w:r w:rsidR="00F3157A" w:rsidRPr="00332A1B">
        <w:rPr>
          <w:rFonts w:cs="Times New Roman"/>
          <w:noProof/>
          <w:lang w:val="fr-CA"/>
        </w:rPr>
        <w:t>our d</w:t>
      </w:r>
      <w:r w:rsidR="00F3157A">
        <w:rPr>
          <w:rFonts w:cs="Times New Roman"/>
          <w:noProof/>
          <w:lang w:val="fr-CA"/>
        </w:rPr>
        <w:t>’</w:t>
      </w:r>
      <w:r w:rsidR="00F3157A" w:rsidRPr="00332A1B">
        <w:rPr>
          <w:rFonts w:cs="Times New Roman"/>
          <w:noProof/>
          <w:lang w:val="fr-CA"/>
        </w:rPr>
        <w:t>appel a conclu que le privilège relatif aux règlements n</w:t>
      </w:r>
      <w:r w:rsidR="00F3157A">
        <w:rPr>
          <w:rFonts w:cs="Times New Roman"/>
          <w:noProof/>
          <w:lang w:val="fr-CA"/>
        </w:rPr>
        <w:t>’</w:t>
      </w:r>
      <w:r w:rsidR="00F3157A" w:rsidRPr="00332A1B">
        <w:rPr>
          <w:rFonts w:cs="Times New Roman"/>
          <w:noProof/>
          <w:lang w:val="fr-CA"/>
        </w:rPr>
        <w:t xml:space="preserve">empêche pas une partie de produire des </w:t>
      </w:r>
      <w:r w:rsidR="00F3157A" w:rsidRPr="00332A1B">
        <w:rPr>
          <w:rFonts w:cs="Times New Roman"/>
          <w:iCs/>
          <w:noProof/>
          <w:lang w:val="fr-CA"/>
        </w:rPr>
        <w:t>communic</w:t>
      </w:r>
      <w:r w:rsidR="00F3157A" w:rsidRPr="00332A1B">
        <w:rPr>
          <w:rFonts w:cs="Times New Roman"/>
          <w:noProof/>
          <w:lang w:val="fr-CA"/>
        </w:rPr>
        <w:t>atio</w:t>
      </w:r>
      <w:r w:rsidR="00F3157A" w:rsidRPr="00332A1B">
        <w:rPr>
          <w:rFonts w:cs="Times New Roman"/>
          <w:iCs/>
          <w:noProof/>
          <w:lang w:val="fr-CA"/>
        </w:rPr>
        <w:t>ns confidentielles afin de faire la preuve de l</w:t>
      </w:r>
      <w:r w:rsidR="00F3157A">
        <w:rPr>
          <w:rFonts w:cs="Times New Roman"/>
          <w:iCs/>
          <w:noProof/>
          <w:lang w:val="fr-CA"/>
        </w:rPr>
        <w:t>’</w:t>
      </w:r>
      <w:r w:rsidR="00F3157A" w:rsidRPr="00332A1B">
        <w:rPr>
          <w:rFonts w:cs="Times New Roman"/>
          <w:iCs/>
          <w:noProof/>
          <w:lang w:val="fr-CA"/>
        </w:rPr>
        <w:t xml:space="preserve">existence </w:t>
      </w:r>
      <w:r w:rsidR="00F3157A" w:rsidRPr="00332A1B">
        <w:rPr>
          <w:rFonts w:cs="Times New Roman"/>
          <w:noProof/>
          <w:lang w:val="fr-CA"/>
        </w:rPr>
        <w:t>d</w:t>
      </w:r>
      <w:r w:rsidR="00F3157A">
        <w:rPr>
          <w:rFonts w:cs="Times New Roman"/>
          <w:noProof/>
          <w:lang w:val="fr-CA"/>
        </w:rPr>
        <w:t>’</w:t>
      </w:r>
      <w:r w:rsidR="00F3157A" w:rsidRPr="00332A1B">
        <w:rPr>
          <w:rFonts w:cs="Times New Roman"/>
          <w:noProof/>
          <w:lang w:val="fr-CA"/>
        </w:rPr>
        <w:t>une entente de règlement contestée découlant de la médiation</w:t>
      </w:r>
      <w:r w:rsidR="00F3157A" w:rsidRPr="00332A1B">
        <w:rPr>
          <w:rFonts w:cs="Times New Roman"/>
          <w:iCs/>
          <w:noProof/>
          <w:lang w:val="fr-CA"/>
        </w:rPr>
        <w:t xml:space="preserve"> ou pour en faciliter l</w:t>
      </w:r>
      <w:r w:rsidR="00F3157A">
        <w:rPr>
          <w:rFonts w:cs="Times New Roman"/>
          <w:iCs/>
          <w:noProof/>
          <w:lang w:val="fr-CA"/>
        </w:rPr>
        <w:t>’</w:t>
      </w:r>
      <w:r w:rsidR="00F3157A" w:rsidRPr="00332A1B">
        <w:rPr>
          <w:rFonts w:cs="Times New Roman"/>
          <w:iCs/>
          <w:noProof/>
          <w:lang w:val="fr-CA"/>
        </w:rPr>
        <w:t>in</w:t>
      </w:r>
      <w:r w:rsidR="00F3157A" w:rsidRPr="00332A1B">
        <w:rPr>
          <w:rFonts w:cs="Times New Roman"/>
          <w:noProof/>
          <w:lang w:val="fr-CA"/>
        </w:rPr>
        <w:t>terprétation.  Elle a examiné la jurisprudence citée par Dow Chemical qui dit que le caractère confidentiel des discussions et des communications faites lors d</w:t>
      </w:r>
      <w:r w:rsidR="00F3157A">
        <w:rPr>
          <w:rFonts w:cs="Times New Roman"/>
          <w:noProof/>
          <w:lang w:val="fr-CA"/>
        </w:rPr>
        <w:t>’</w:t>
      </w:r>
      <w:r w:rsidR="00F3157A" w:rsidRPr="00332A1B">
        <w:rPr>
          <w:rFonts w:cs="Times New Roman"/>
          <w:noProof/>
          <w:lang w:val="fr-CA"/>
        </w:rPr>
        <w:t>une médiation extrajudiciaire est absolu lorsque l</w:t>
      </w:r>
      <w:r w:rsidR="00F3157A">
        <w:rPr>
          <w:rFonts w:cs="Times New Roman"/>
          <w:noProof/>
          <w:lang w:val="fr-CA"/>
        </w:rPr>
        <w:t>’</w:t>
      </w:r>
      <w:r w:rsidR="00F3157A" w:rsidRPr="00332A1B">
        <w:rPr>
          <w:rFonts w:cs="Times New Roman"/>
          <w:noProof/>
          <w:lang w:val="fr-CA"/>
        </w:rPr>
        <w:t>entente de médiation contient une clause de confidentialité.  Elle a toutefois noté que ces décisions n</w:t>
      </w:r>
      <w:r w:rsidR="00F3157A">
        <w:rPr>
          <w:rFonts w:cs="Times New Roman"/>
          <w:noProof/>
          <w:lang w:val="fr-CA"/>
        </w:rPr>
        <w:t>’</w:t>
      </w:r>
      <w:r w:rsidR="00F3157A" w:rsidRPr="00332A1B">
        <w:rPr>
          <w:rFonts w:cs="Times New Roman"/>
          <w:noProof/>
          <w:lang w:val="fr-CA"/>
        </w:rPr>
        <w:t>écartent pas l</w:t>
      </w:r>
      <w:r w:rsidR="00F3157A">
        <w:rPr>
          <w:rFonts w:cs="Times New Roman"/>
          <w:noProof/>
          <w:lang w:val="fr-CA"/>
        </w:rPr>
        <w:t>’</w:t>
      </w:r>
      <w:r w:rsidR="00F3157A" w:rsidRPr="00332A1B">
        <w:rPr>
          <w:rFonts w:cs="Times New Roman"/>
          <w:noProof/>
          <w:lang w:val="fr-CA"/>
        </w:rPr>
        <w:t>application de l</w:t>
      </w:r>
      <w:r w:rsidR="00F3157A">
        <w:rPr>
          <w:rFonts w:cs="Times New Roman"/>
          <w:noProof/>
          <w:lang w:val="fr-CA"/>
        </w:rPr>
        <w:t>’</w:t>
      </w:r>
      <w:r w:rsidR="00F3157A" w:rsidRPr="00332A1B">
        <w:rPr>
          <w:rFonts w:cs="Times New Roman"/>
          <w:noProof/>
          <w:lang w:val="fr-CA"/>
        </w:rPr>
        <w:t>exception au privilège relatif aux règlements qui permet à une partie de produire ces discussions et ces communications afin de prouver l</w:t>
      </w:r>
      <w:r w:rsidR="00F3157A">
        <w:rPr>
          <w:rFonts w:cs="Times New Roman"/>
          <w:noProof/>
          <w:lang w:val="fr-CA"/>
        </w:rPr>
        <w:t>’</w:t>
      </w:r>
      <w:r w:rsidR="00F3157A" w:rsidRPr="00332A1B">
        <w:rPr>
          <w:rFonts w:cs="Times New Roman"/>
          <w:noProof/>
          <w:lang w:val="fr-CA"/>
        </w:rPr>
        <w:t>existence ou la portée d</w:t>
      </w:r>
      <w:r w:rsidR="00F3157A">
        <w:rPr>
          <w:rFonts w:cs="Times New Roman"/>
          <w:noProof/>
          <w:lang w:val="fr-CA"/>
        </w:rPr>
        <w:t>’</w:t>
      </w:r>
      <w:r w:rsidR="00F3157A" w:rsidRPr="00332A1B">
        <w:rPr>
          <w:rFonts w:cs="Times New Roman"/>
          <w:noProof/>
          <w:lang w:val="fr-CA"/>
        </w:rPr>
        <w:t>une entente de règlement.  Infirmant la conclusion de la juge des</w:t>
      </w:r>
      <w:r>
        <w:rPr>
          <w:rFonts w:cs="Times New Roman"/>
          <w:noProof/>
          <w:lang w:val="fr-CA"/>
        </w:rPr>
        <w:t xml:space="preserve"> requêtes, la C</w:t>
      </w:r>
      <w:r w:rsidR="00F3157A" w:rsidRPr="00332A1B">
        <w:rPr>
          <w:rFonts w:cs="Times New Roman"/>
          <w:noProof/>
          <w:lang w:val="fr-CA"/>
        </w:rPr>
        <w:t>our d</w:t>
      </w:r>
      <w:r w:rsidR="00F3157A">
        <w:rPr>
          <w:rFonts w:cs="Times New Roman"/>
          <w:noProof/>
          <w:lang w:val="fr-CA"/>
        </w:rPr>
        <w:t>’</w:t>
      </w:r>
      <w:r w:rsidR="00F3157A" w:rsidRPr="00332A1B">
        <w:rPr>
          <w:rFonts w:cs="Times New Roman"/>
          <w:noProof/>
          <w:lang w:val="fr-CA"/>
        </w:rPr>
        <w:t xml:space="preserve">appel a statué que les allégations en cause dans la requête en homologation ne devaient pas être radiées.  Elle a laissé au juge des requêtes le soin de déterminer si les paragraphes contestés permettent </w:t>
      </w:r>
      <w:r w:rsidR="00F3157A" w:rsidRPr="00332A1B">
        <w:rPr>
          <w:rFonts w:cs="Times New Roman"/>
          <w:noProof/>
          <w:lang w:val="fr-CA"/>
        </w:rPr>
        <w:lastRenderedPageBreak/>
        <w:t>d</w:t>
      </w:r>
      <w:r w:rsidR="00F3157A">
        <w:rPr>
          <w:rFonts w:cs="Times New Roman"/>
          <w:noProof/>
          <w:lang w:val="fr-CA"/>
        </w:rPr>
        <w:t>’</w:t>
      </w:r>
      <w:r w:rsidR="00F3157A" w:rsidRPr="00332A1B">
        <w:rPr>
          <w:rFonts w:cs="Times New Roman"/>
          <w:noProof/>
          <w:lang w:val="fr-CA"/>
        </w:rPr>
        <w:t>établir les modalités de l</w:t>
      </w:r>
      <w:r w:rsidR="00F3157A">
        <w:rPr>
          <w:rFonts w:cs="Times New Roman"/>
          <w:noProof/>
          <w:lang w:val="fr-CA"/>
        </w:rPr>
        <w:t>’</w:t>
      </w:r>
      <w:r w:rsidR="00F3157A" w:rsidRPr="00332A1B">
        <w:rPr>
          <w:rFonts w:cs="Times New Roman"/>
          <w:noProof/>
          <w:lang w:val="fr-CA"/>
        </w:rPr>
        <w:t>entente, auquel cas l</w:t>
      </w:r>
      <w:r w:rsidR="00F3157A">
        <w:rPr>
          <w:rFonts w:cs="Times New Roman"/>
          <w:noProof/>
          <w:lang w:val="fr-CA"/>
        </w:rPr>
        <w:t>’</w:t>
      </w:r>
      <w:r w:rsidR="00F3157A" w:rsidRPr="00332A1B">
        <w:rPr>
          <w:rFonts w:cs="Times New Roman"/>
          <w:noProof/>
          <w:lang w:val="fr-CA"/>
        </w:rPr>
        <w:t>exception au privilège relatif aux règlements de la common law doit s</w:t>
      </w:r>
      <w:r w:rsidR="00F3157A">
        <w:rPr>
          <w:rFonts w:cs="Times New Roman"/>
          <w:noProof/>
          <w:lang w:val="fr-CA"/>
        </w:rPr>
        <w:t>’</w:t>
      </w:r>
      <w:r w:rsidR="00F3157A" w:rsidRPr="00332A1B">
        <w:rPr>
          <w:rFonts w:cs="Times New Roman"/>
          <w:noProof/>
          <w:lang w:val="fr-CA"/>
        </w:rPr>
        <w:t xml:space="preserve">appliquer. </w:t>
      </w:r>
    </w:p>
    <w:p w:rsidR="00F3157A" w:rsidRPr="00332A1B" w:rsidRDefault="00F3157A" w:rsidP="00A0307B">
      <w:pPr>
        <w:pStyle w:val="Title1LevelTitre1Niveau-AltL"/>
        <w:keepNext w:val="0"/>
        <w:rPr>
          <w:rFonts w:cs="Times New Roman"/>
          <w:noProof/>
          <w:lang w:val="fr-CA"/>
        </w:rPr>
      </w:pPr>
      <w:r w:rsidRPr="00332A1B">
        <w:rPr>
          <w:rFonts w:cs="Times New Roman"/>
          <w:noProof/>
          <w:lang w:val="fr-CA"/>
        </w:rPr>
        <w:t>Analyse</w:t>
      </w:r>
    </w:p>
    <w:p w:rsidR="00F3157A" w:rsidRPr="00332A1B" w:rsidRDefault="00F3157A" w:rsidP="00A0307B">
      <w:pPr>
        <w:pStyle w:val="ParaNoNdepar-AltN"/>
        <w:rPr>
          <w:rFonts w:cs="Times New Roman"/>
          <w:noProof/>
          <w:lang w:val="fr-CA"/>
        </w:rPr>
      </w:pPr>
      <w:r w:rsidRPr="00332A1B">
        <w:rPr>
          <w:rFonts w:cs="Times New Roman"/>
          <w:noProof/>
          <w:lang w:val="fr-CA"/>
        </w:rPr>
        <w:t>À mon avis, deux questions doivent être tranchées dans le présent pourvoi.  Il s</w:t>
      </w:r>
      <w:r>
        <w:rPr>
          <w:rFonts w:cs="Times New Roman"/>
          <w:noProof/>
          <w:lang w:val="fr-CA"/>
        </w:rPr>
        <w:t>’</w:t>
      </w:r>
      <w:r w:rsidRPr="00332A1B">
        <w:rPr>
          <w:rFonts w:cs="Times New Roman"/>
          <w:noProof/>
          <w:lang w:val="fr-CA"/>
        </w:rPr>
        <w:t>agit en premier lieu de savoir si une clause de confidentialité dans un contrat de médiation privée peut écarter l</w:t>
      </w:r>
      <w:r>
        <w:rPr>
          <w:rFonts w:cs="Times New Roman"/>
          <w:noProof/>
          <w:lang w:val="fr-CA"/>
        </w:rPr>
        <w:t>’</w:t>
      </w:r>
      <w:r w:rsidRPr="00332A1B">
        <w:rPr>
          <w:rFonts w:cs="Times New Roman"/>
          <w:noProof/>
          <w:lang w:val="fr-CA"/>
        </w:rPr>
        <w:t>exception au privilège relatif aux règlements de la common law qui permet aux parties de produire en preuve des renseignements confidentiels afin d</w:t>
      </w:r>
      <w:r>
        <w:rPr>
          <w:rFonts w:cs="Times New Roman"/>
          <w:noProof/>
          <w:lang w:val="fr-CA"/>
        </w:rPr>
        <w:t>’</w:t>
      </w:r>
      <w:r w:rsidRPr="00332A1B">
        <w:rPr>
          <w:rFonts w:cs="Times New Roman"/>
          <w:noProof/>
          <w:lang w:val="fr-CA"/>
        </w:rPr>
        <w:t>établir l</w:t>
      </w:r>
      <w:r>
        <w:rPr>
          <w:rFonts w:cs="Times New Roman"/>
          <w:noProof/>
          <w:lang w:val="fr-CA"/>
        </w:rPr>
        <w:t>’</w:t>
      </w:r>
      <w:r w:rsidRPr="00332A1B">
        <w:rPr>
          <w:rFonts w:cs="Times New Roman"/>
          <w:noProof/>
          <w:lang w:val="fr-CA"/>
        </w:rPr>
        <w:t>existence ou la portée d</w:t>
      </w:r>
      <w:r>
        <w:rPr>
          <w:rFonts w:cs="Times New Roman"/>
          <w:noProof/>
          <w:lang w:val="fr-CA"/>
        </w:rPr>
        <w:t>’</w:t>
      </w:r>
      <w:r w:rsidRPr="00332A1B">
        <w:rPr>
          <w:rFonts w:cs="Times New Roman"/>
          <w:noProof/>
          <w:lang w:val="fr-CA"/>
        </w:rPr>
        <w:t>un règlement.  La deuxième question, qui ne se pose que si la réponse à la première est affirmative, est de savoir si, en l</w:t>
      </w:r>
      <w:r>
        <w:rPr>
          <w:rFonts w:cs="Times New Roman"/>
          <w:noProof/>
          <w:lang w:val="fr-CA"/>
        </w:rPr>
        <w:t>’</w:t>
      </w:r>
      <w:r w:rsidRPr="00332A1B">
        <w:rPr>
          <w:rFonts w:cs="Times New Roman"/>
          <w:noProof/>
          <w:lang w:val="fr-CA"/>
        </w:rPr>
        <w:t>espèce, la clause de confidentialité a pour effet d</w:t>
      </w:r>
      <w:r>
        <w:rPr>
          <w:rFonts w:cs="Times New Roman"/>
          <w:noProof/>
          <w:lang w:val="fr-CA"/>
        </w:rPr>
        <w:t>’</w:t>
      </w:r>
      <w:r w:rsidRPr="00332A1B">
        <w:rPr>
          <w:rFonts w:cs="Times New Roman"/>
          <w:noProof/>
          <w:lang w:val="fr-CA"/>
        </w:rPr>
        <w:t>écarter cette exception.  Dans l</w:t>
      </w:r>
      <w:r>
        <w:rPr>
          <w:rFonts w:cs="Times New Roman"/>
          <w:noProof/>
          <w:lang w:val="fr-CA"/>
        </w:rPr>
        <w:t>’</w:t>
      </w:r>
      <w:r w:rsidRPr="00332A1B">
        <w:rPr>
          <w:rFonts w:cs="Times New Roman"/>
          <w:noProof/>
          <w:lang w:val="fr-CA"/>
        </w:rPr>
        <w:t>affirmative, les renseignements dont font état les paragraphes contestés doivent rester confidentiels.  Dans la négative, ces renseignements peuvent être divulgués s</w:t>
      </w:r>
      <w:r>
        <w:rPr>
          <w:rFonts w:cs="Times New Roman"/>
          <w:noProof/>
          <w:lang w:val="fr-CA"/>
        </w:rPr>
        <w:t>’</w:t>
      </w:r>
      <w:r w:rsidRPr="00332A1B">
        <w:rPr>
          <w:rFonts w:cs="Times New Roman"/>
          <w:noProof/>
          <w:lang w:val="fr-CA"/>
        </w:rPr>
        <w:t>ils répondent aux conditions d</w:t>
      </w:r>
      <w:r>
        <w:rPr>
          <w:rFonts w:cs="Times New Roman"/>
          <w:noProof/>
          <w:lang w:val="fr-CA"/>
        </w:rPr>
        <w:t>’</w:t>
      </w:r>
      <w:r w:rsidRPr="00332A1B">
        <w:rPr>
          <w:rFonts w:cs="Times New Roman"/>
          <w:noProof/>
          <w:lang w:val="fr-CA"/>
        </w:rPr>
        <w:t>application de l</w:t>
      </w:r>
      <w:r>
        <w:rPr>
          <w:rFonts w:cs="Times New Roman"/>
          <w:noProof/>
          <w:lang w:val="fr-CA"/>
        </w:rPr>
        <w:t>’</w:t>
      </w:r>
      <w:r w:rsidRPr="00332A1B">
        <w:rPr>
          <w:rFonts w:cs="Times New Roman"/>
          <w:noProof/>
          <w:lang w:val="fr-CA"/>
        </w:rPr>
        <w:t xml:space="preserve">exception. </w:t>
      </w:r>
    </w:p>
    <w:p w:rsidR="00F3157A" w:rsidRPr="00332A1B" w:rsidRDefault="00F3157A" w:rsidP="00A0307B">
      <w:pPr>
        <w:pStyle w:val="ParaNoNdepar-AltN"/>
        <w:rPr>
          <w:rFonts w:cs="Times New Roman"/>
          <w:noProof/>
          <w:lang w:val="fr-CA"/>
        </w:rPr>
      </w:pPr>
      <w:r w:rsidRPr="00332A1B">
        <w:rPr>
          <w:rFonts w:cs="Times New Roman"/>
          <w:noProof/>
          <w:lang w:val="fr-CA"/>
        </w:rPr>
        <w:t>Les appelantes plaident que les tribunaux doivent donner effet à une clause de confidentialité contenue dans une entente de médiation à laquelle les deux parties ont consenti librement, et qu</w:t>
      </w:r>
      <w:r>
        <w:rPr>
          <w:rFonts w:cs="Times New Roman"/>
          <w:noProof/>
          <w:lang w:val="fr-CA"/>
        </w:rPr>
        <w:t>’</w:t>
      </w:r>
      <w:r w:rsidRPr="00332A1B">
        <w:rPr>
          <w:rFonts w:cs="Times New Roman"/>
          <w:noProof/>
          <w:lang w:val="fr-CA"/>
        </w:rPr>
        <w:t>il n</w:t>
      </w:r>
      <w:r>
        <w:rPr>
          <w:rFonts w:cs="Times New Roman"/>
          <w:noProof/>
          <w:lang w:val="fr-CA"/>
        </w:rPr>
        <w:t>’</w:t>
      </w:r>
      <w:r w:rsidRPr="00332A1B">
        <w:rPr>
          <w:rFonts w:cs="Times New Roman"/>
          <w:noProof/>
          <w:lang w:val="fr-CA"/>
        </w:rPr>
        <w:t>existe aucune raison d</w:t>
      </w:r>
      <w:r>
        <w:rPr>
          <w:rFonts w:cs="Times New Roman"/>
          <w:noProof/>
          <w:lang w:val="fr-CA"/>
        </w:rPr>
        <w:t>’</w:t>
      </w:r>
      <w:r w:rsidRPr="00332A1B">
        <w:rPr>
          <w:rFonts w:cs="Times New Roman"/>
          <w:noProof/>
          <w:lang w:val="fr-CA"/>
        </w:rPr>
        <w:t>intérêt général d</w:t>
      </w:r>
      <w:r>
        <w:rPr>
          <w:rFonts w:cs="Times New Roman"/>
          <w:noProof/>
          <w:lang w:val="fr-CA"/>
        </w:rPr>
        <w:t>’</w:t>
      </w:r>
      <w:r w:rsidRPr="00332A1B">
        <w:rPr>
          <w:rFonts w:cs="Times New Roman"/>
          <w:noProof/>
          <w:lang w:val="fr-CA"/>
        </w:rPr>
        <w:t>annuler cette clause.  Les intimées répondent qu</w:t>
      </w:r>
      <w:r>
        <w:rPr>
          <w:rFonts w:cs="Times New Roman"/>
          <w:noProof/>
          <w:lang w:val="fr-CA"/>
        </w:rPr>
        <w:t>’</w:t>
      </w:r>
      <w:r w:rsidRPr="00332A1B">
        <w:rPr>
          <w:rFonts w:cs="Times New Roman"/>
          <w:noProof/>
          <w:lang w:val="fr-CA"/>
        </w:rPr>
        <w:t>une entente type de confidentialité ne peut écarter l</w:t>
      </w:r>
      <w:r>
        <w:rPr>
          <w:rFonts w:cs="Times New Roman"/>
          <w:noProof/>
          <w:lang w:val="fr-CA"/>
        </w:rPr>
        <w:t>’</w:t>
      </w:r>
      <w:r w:rsidRPr="00332A1B">
        <w:rPr>
          <w:rFonts w:cs="Times New Roman"/>
          <w:noProof/>
          <w:lang w:val="fr-CA"/>
        </w:rPr>
        <w:t>exception au privilège relatif aux règlements de la common law et que, même si elle pouvait l</w:t>
      </w:r>
      <w:r>
        <w:rPr>
          <w:rFonts w:cs="Times New Roman"/>
          <w:noProof/>
          <w:lang w:val="fr-CA"/>
        </w:rPr>
        <w:t>’</w:t>
      </w:r>
      <w:r w:rsidRPr="00332A1B">
        <w:rPr>
          <w:rFonts w:cs="Times New Roman"/>
          <w:noProof/>
          <w:lang w:val="fr-CA"/>
        </w:rPr>
        <w:t>écarter, la clause en question en l</w:t>
      </w:r>
      <w:r>
        <w:rPr>
          <w:rFonts w:cs="Times New Roman"/>
          <w:noProof/>
          <w:lang w:val="fr-CA"/>
        </w:rPr>
        <w:t>’</w:t>
      </w:r>
      <w:r w:rsidRPr="00332A1B">
        <w:rPr>
          <w:rFonts w:cs="Times New Roman"/>
          <w:noProof/>
          <w:lang w:val="fr-CA"/>
        </w:rPr>
        <w:t>espèce, si on l</w:t>
      </w:r>
      <w:r>
        <w:rPr>
          <w:rFonts w:cs="Times New Roman"/>
          <w:noProof/>
          <w:lang w:val="fr-CA"/>
        </w:rPr>
        <w:t>’</w:t>
      </w:r>
      <w:r w:rsidRPr="00332A1B">
        <w:rPr>
          <w:rFonts w:cs="Times New Roman"/>
          <w:noProof/>
          <w:lang w:val="fr-CA"/>
        </w:rPr>
        <w:t>interprète correctement, n</w:t>
      </w:r>
      <w:r>
        <w:rPr>
          <w:rFonts w:cs="Times New Roman"/>
          <w:noProof/>
          <w:lang w:val="fr-CA"/>
        </w:rPr>
        <w:t>’</w:t>
      </w:r>
      <w:r w:rsidRPr="00332A1B">
        <w:rPr>
          <w:rFonts w:cs="Times New Roman"/>
          <w:noProof/>
          <w:lang w:val="fr-CA"/>
        </w:rPr>
        <w:t>empêche pas l</w:t>
      </w:r>
      <w:r>
        <w:rPr>
          <w:rFonts w:cs="Times New Roman"/>
          <w:noProof/>
          <w:lang w:val="fr-CA"/>
        </w:rPr>
        <w:t>’</w:t>
      </w:r>
      <w:r w:rsidRPr="00332A1B">
        <w:rPr>
          <w:rFonts w:cs="Times New Roman"/>
          <w:noProof/>
          <w:lang w:val="fr-CA"/>
        </w:rPr>
        <w:t xml:space="preserve">application de cette exception. </w:t>
      </w:r>
    </w:p>
    <w:p w:rsidR="00F3157A" w:rsidRPr="00332A1B" w:rsidRDefault="00F3157A" w:rsidP="00A0307B">
      <w:pPr>
        <w:pStyle w:val="ParaNoNdepar-AltN"/>
        <w:rPr>
          <w:rFonts w:cs="Times New Roman"/>
          <w:noProof/>
          <w:lang w:val="fr-CA"/>
        </w:rPr>
      </w:pPr>
      <w:r w:rsidRPr="00332A1B">
        <w:rPr>
          <w:rFonts w:cs="Times New Roman"/>
          <w:noProof/>
          <w:lang w:val="fr-CA"/>
        </w:rPr>
        <w:lastRenderedPageBreak/>
        <w:t>J</w:t>
      </w:r>
      <w:r>
        <w:rPr>
          <w:rFonts w:cs="Times New Roman"/>
          <w:noProof/>
          <w:lang w:val="fr-CA"/>
        </w:rPr>
        <w:t>’</w:t>
      </w:r>
      <w:r w:rsidRPr="00332A1B">
        <w:rPr>
          <w:rFonts w:cs="Times New Roman"/>
          <w:noProof/>
          <w:lang w:val="fr-CA"/>
        </w:rPr>
        <w:t>estime qu</w:t>
      </w:r>
      <w:r>
        <w:rPr>
          <w:rFonts w:cs="Times New Roman"/>
          <w:noProof/>
          <w:lang w:val="fr-CA"/>
        </w:rPr>
        <w:t>’</w:t>
      </w:r>
      <w:r w:rsidRPr="00332A1B">
        <w:rPr>
          <w:rFonts w:cs="Times New Roman"/>
          <w:noProof/>
          <w:lang w:val="fr-CA"/>
        </w:rPr>
        <w:t>il y a du bon dans les arguments des deux parties.  En ce qui concerne la première question, je suis d</w:t>
      </w:r>
      <w:r>
        <w:rPr>
          <w:rFonts w:cs="Times New Roman"/>
          <w:noProof/>
          <w:lang w:val="fr-CA"/>
        </w:rPr>
        <w:t>’</w:t>
      </w:r>
      <w:r w:rsidRPr="00332A1B">
        <w:rPr>
          <w:rFonts w:cs="Times New Roman"/>
          <w:noProof/>
          <w:lang w:val="fr-CA"/>
        </w:rPr>
        <w:t>accord avec les appelantes pour dire que les tribunaux doivent donner effet à une clause de confidentialité acceptée par les deux parties, et que les parties peuvent se soustraire par contrat aux règles de la common law, y compris à l</w:t>
      </w:r>
      <w:r>
        <w:rPr>
          <w:rFonts w:cs="Times New Roman"/>
          <w:noProof/>
          <w:lang w:val="fr-CA"/>
        </w:rPr>
        <w:t>’</w:t>
      </w:r>
      <w:r w:rsidRPr="00332A1B">
        <w:rPr>
          <w:rFonts w:cs="Times New Roman"/>
          <w:noProof/>
          <w:lang w:val="fr-CA"/>
        </w:rPr>
        <w:t>exception au privilège relatif aux règlements.  Les parties peuvent souhaiter renforcer la protection des renseignements confidentiels échangés lors de la médiation au</w:t>
      </w:r>
      <w:r w:rsidR="00A0307B">
        <w:rPr>
          <w:rFonts w:cs="Times New Roman"/>
          <w:noProof/>
          <w:lang w:val="fr-CA"/>
        </w:rPr>
        <w:t>-</w:t>
      </w:r>
      <w:r w:rsidRPr="00332A1B">
        <w:rPr>
          <w:rFonts w:cs="Times New Roman"/>
          <w:noProof/>
          <w:lang w:val="fr-CA"/>
        </w:rPr>
        <w:t>delà de la protection qu</w:t>
      </w:r>
      <w:r>
        <w:rPr>
          <w:rFonts w:cs="Times New Roman"/>
          <w:noProof/>
          <w:lang w:val="fr-CA"/>
        </w:rPr>
        <w:t>’</w:t>
      </w:r>
      <w:r w:rsidRPr="00332A1B">
        <w:rPr>
          <w:rFonts w:cs="Times New Roman"/>
          <w:noProof/>
          <w:lang w:val="fr-CA"/>
        </w:rPr>
        <w:t>offre le privilège de la common law.  Faire abstraction de leur volonté à cet égard irait à l</w:t>
      </w:r>
      <w:r>
        <w:rPr>
          <w:rFonts w:cs="Times New Roman"/>
          <w:noProof/>
          <w:lang w:val="fr-CA"/>
        </w:rPr>
        <w:t>’</w:t>
      </w:r>
      <w:r w:rsidRPr="00332A1B">
        <w:rPr>
          <w:rFonts w:cs="Times New Roman"/>
          <w:noProof/>
          <w:lang w:val="fr-CA"/>
        </w:rPr>
        <w:t>encontre de l</w:t>
      </w:r>
      <w:r>
        <w:rPr>
          <w:rFonts w:cs="Times New Roman"/>
          <w:noProof/>
          <w:lang w:val="fr-CA"/>
        </w:rPr>
        <w:t>’</w:t>
      </w:r>
      <w:r w:rsidRPr="00332A1B">
        <w:rPr>
          <w:rFonts w:cs="Times New Roman"/>
          <w:noProof/>
          <w:lang w:val="fr-CA"/>
        </w:rPr>
        <w:t>un des principaux aspects qui encourage</w:t>
      </w:r>
      <w:r w:rsidR="006F3B7A">
        <w:rPr>
          <w:rFonts w:cs="Times New Roman"/>
          <w:noProof/>
          <w:lang w:val="fr-CA"/>
        </w:rPr>
        <w:t>nt</w:t>
      </w:r>
      <w:r w:rsidRPr="00332A1B">
        <w:rPr>
          <w:rFonts w:cs="Times New Roman"/>
          <w:noProof/>
          <w:lang w:val="fr-CA"/>
        </w:rPr>
        <w:t xml:space="preserve"> les parties à choisir cette forme communément acceptée de règlement extrajudiciaire des différends.  Par contre, en ce qui concerne la deuxième question, je suis d</w:t>
      </w:r>
      <w:r>
        <w:rPr>
          <w:rFonts w:cs="Times New Roman"/>
          <w:noProof/>
          <w:lang w:val="fr-CA"/>
        </w:rPr>
        <w:t>’</w:t>
      </w:r>
      <w:r w:rsidRPr="00332A1B">
        <w:rPr>
          <w:rFonts w:cs="Times New Roman"/>
          <w:noProof/>
          <w:lang w:val="fr-CA"/>
        </w:rPr>
        <w:t>accord avec les intimées pour dire que, au vu des faits de l</w:t>
      </w:r>
      <w:r>
        <w:rPr>
          <w:rFonts w:cs="Times New Roman"/>
          <w:noProof/>
          <w:lang w:val="fr-CA"/>
        </w:rPr>
        <w:t>’</w:t>
      </w:r>
      <w:r w:rsidRPr="00332A1B">
        <w:rPr>
          <w:rFonts w:cs="Times New Roman"/>
          <w:noProof/>
          <w:lang w:val="fr-CA"/>
        </w:rPr>
        <w:t>espèce, lorsqu</w:t>
      </w:r>
      <w:r>
        <w:rPr>
          <w:rFonts w:cs="Times New Roman"/>
          <w:noProof/>
          <w:lang w:val="fr-CA"/>
        </w:rPr>
        <w:t>’</w:t>
      </w:r>
      <w:r w:rsidRPr="00332A1B">
        <w:rPr>
          <w:rFonts w:cs="Times New Roman"/>
          <w:noProof/>
          <w:lang w:val="fr-CA"/>
        </w:rPr>
        <w:t>elles ont signé leur entente de médiation, les parties n</w:t>
      </w:r>
      <w:r>
        <w:rPr>
          <w:rFonts w:cs="Times New Roman"/>
          <w:noProof/>
          <w:lang w:val="fr-CA"/>
        </w:rPr>
        <w:t>’</w:t>
      </w:r>
      <w:r w:rsidRPr="00332A1B">
        <w:rPr>
          <w:rFonts w:cs="Times New Roman"/>
          <w:noProof/>
          <w:lang w:val="fr-CA"/>
        </w:rPr>
        <w:t>avaient pas l</w:t>
      </w:r>
      <w:r>
        <w:rPr>
          <w:rFonts w:cs="Times New Roman"/>
          <w:noProof/>
          <w:lang w:val="fr-CA"/>
        </w:rPr>
        <w:t>’</w:t>
      </w:r>
      <w:r w:rsidRPr="00332A1B">
        <w:rPr>
          <w:rFonts w:cs="Times New Roman"/>
          <w:noProof/>
          <w:lang w:val="fr-CA"/>
        </w:rPr>
        <w:t>intention d</w:t>
      </w:r>
      <w:r>
        <w:rPr>
          <w:rFonts w:cs="Times New Roman"/>
          <w:noProof/>
          <w:lang w:val="fr-CA"/>
        </w:rPr>
        <w:t>’</w:t>
      </w:r>
      <w:r w:rsidRPr="00332A1B">
        <w:rPr>
          <w:rFonts w:cs="Times New Roman"/>
          <w:noProof/>
          <w:lang w:val="fr-CA"/>
        </w:rPr>
        <w:t>écarter l</w:t>
      </w:r>
      <w:r>
        <w:rPr>
          <w:rFonts w:cs="Times New Roman"/>
          <w:noProof/>
          <w:lang w:val="fr-CA"/>
        </w:rPr>
        <w:t>’</w:t>
      </w:r>
      <w:r w:rsidRPr="00332A1B">
        <w:rPr>
          <w:rFonts w:cs="Times New Roman"/>
          <w:noProof/>
          <w:lang w:val="fr-CA"/>
        </w:rPr>
        <w:t xml:space="preserve">exception de la common law, ce qui signifie que les parties </w:t>
      </w:r>
      <w:r w:rsidRPr="00332A1B">
        <w:rPr>
          <w:rFonts w:cs="Times New Roman"/>
          <w:i/>
          <w:noProof/>
          <w:lang w:val="fr-CA"/>
        </w:rPr>
        <w:t>peuvent</w:t>
      </w:r>
      <w:r w:rsidRPr="00332A1B">
        <w:rPr>
          <w:rFonts w:cs="Times New Roman"/>
          <w:noProof/>
          <w:lang w:val="fr-CA"/>
        </w:rPr>
        <w:t xml:space="preserve"> produire les communications échangées lors de la médiation pour faire la preuve des modalités du règlement qu</w:t>
      </w:r>
      <w:r>
        <w:rPr>
          <w:rFonts w:cs="Times New Roman"/>
          <w:noProof/>
          <w:lang w:val="fr-CA"/>
        </w:rPr>
        <w:t>’</w:t>
      </w:r>
      <w:r w:rsidRPr="00332A1B">
        <w:rPr>
          <w:rFonts w:cs="Times New Roman"/>
          <w:noProof/>
          <w:lang w:val="fr-CA"/>
        </w:rPr>
        <w:t>elles ont conclu.</w:t>
      </w:r>
    </w:p>
    <w:p w:rsidR="00F3157A" w:rsidRPr="00332A1B" w:rsidRDefault="00F3157A" w:rsidP="009F36C4">
      <w:pPr>
        <w:pStyle w:val="Title2LevelTitre2Niveau"/>
        <w:keepNext w:val="0"/>
        <w:jc w:val="both"/>
        <w:rPr>
          <w:rFonts w:cs="Times New Roman"/>
          <w:noProof/>
          <w:lang w:val="fr-CA"/>
        </w:rPr>
      </w:pPr>
      <w:r w:rsidRPr="00332A1B">
        <w:rPr>
          <w:rFonts w:cs="Times New Roman"/>
          <w:noProof/>
          <w:lang w:val="fr-CA"/>
        </w:rPr>
        <w:t>Une clause de confidentialité a</w:t>
      </w:r>
      <w:r w:rsidR="00A0307B">
        <w:rPr>
          <w:rFonts w:cs="Times New Roman"/>
          <w:noProof/>
          <w:lang w:val="fr-CA"/>
        </w:rPr>
        <w:t>-</w:t>
      </w:r>
      <w:r w:rsidRPr="00332A1B">
        <w:rPr>
          <w:rFonts w:cs="Times New Roman"/>
          <w:noProof/>
          <w:lang w:val="fr-CA"/>
        </w:rPr>
        <w:t>t</w:t>
      </w:r>
      <w:r w:rsidR="00A0307B">
        <w:rPr>
          <w:rFonts w:cs="Times New Roman"/>
          <w:noProof/>
          <w:lang w:val="fr-CA"/>
        </w:rPr>
        <w:t>-</w:t>
      </w:r>
      <w:r w:rsidRPr="00332A1B">
        <w:rPr>
          <w:rFonts w:cs="Times New Roman"/>
          <w:noProof/>
          <w:lang w:val="fr-CA"/>
        </w:rPr>
        <w:t>elle préséance sur l</w:t>
      </w:r>
      <w:r>
        <w:rPr>
          <w:rFonts w:cs="Times New Roman"/>
          <w:noProof/>
          <w:lang w:val="fr-CA"/>
        </w:rPr>
        <w:t>’</w:t>
      </w:r>
      <w:r w:rsidRPr="00332A1B">
        <w:rPr>
          <w:rFonts w:cs="Times New Roman"/>
          <w:noProof/>
          <w:lang w:val="fr-CA"/>
        </w:rPr>
        <w:t>exception à la règle du privilège relatif aux règlements de la common law?</w:t>
      </w:r>
    </w:p>
    <w:p w:rsidR="00F3157A" w:rsidRPr="00332A1B" w:rsidRDefault="00F3157A" w:rsidP="00A0307B">
      <w:pPr>
        <w:pStyle w:val="ParaNoNdepar-AltN"/>
        <w:rPr>
          <w:rFonts w:cs="Times New Roman"/>
          <w:noProof/>
          <w:lang w:val="fr-CA"/>
        </w:rPr>
      </w:pPr>
      <w:r w:rsidRPr="00332A1B">
        <w:rPr>
          <w:rFonts w:cs="Times New Roman"/>
          <w:noProof/>
          <w:lang w:val="fr-CA"/>
        </w:rPr>
        <w:t>La présente affaire exige un examen du privilège relatif aux règlements de la common law dans un contexte de médiation, ainsi qu</w:t>
      </w:r>
      <w:r>
        <w:rPr>
          <w:rFonts w:cs="Times New Roman"/>
          <w:noProof/>
          <w:lang w:val="fr-CA"/>
        </w:rPr>
        <w:t>’</w:t>
      </w:r>
      <w:r w:rsidRPr="00332A1B">
        <w:rPr>
          <w:rFonts w:cs="Times New Roman"/>
          <w:noProof/>
          <w:lang w:val="fr-CA"/>
        </w:rPr>
        <w:t>un examen du recours aux clauses de confidentialité dans les ententes de médiation.  J</w:t>
      </w:r>
      <w:r>
        <w:rPr>
          <w:rFonts w:cs="Times New Roman"/>
          <w:noProof/>
          <w:lang w:val="fr-CA"/>
        </w:rPr>
        <w:t>’</w:t>
      </w:r>
      <w:r w:rsidRPr="00332A1B">
        <w:rPr>
          <w:rFonts w:cs="Times New Roman"/>
          <w:noProof/>
          <w:lang w:val="fr-CA"/>
        </w:rPr>
        <w:t>estime utile d</w:t>
      </w:r>
      <w:r>
        <w:rPr>
          <w:rFonts w:cs="Times New Roman"/>
          <w:noProof/>
          <w:lang w:val="fr-CA"/>
        </w:rPr>
        <w:t>’</w:t>
      </w:r>
      <w:r w:rsidRPr="00332A1B">
        <w:rPr>
          <w:rFonts w:cs="Times New Roman"/>
          <w:noProof/>
          <w:lang w:val="fr-CA"/>
        </w:rPr>
        <w:t xml:space="preserve">examiner tour à tour chacune de ces notions distinctes </w:t>
      </w:r>
      <w:r w:rsidR="009F36C4">
        <w:rPr>
          <w:rFonts w:cs="Times New Roman"/>
          <w:noProof/>
          <w:lang w:val="fr-CA"/>
        </w:rPr>
        <w:t>—</w:t>
      </w:r>
      <w:r w:rsidRPr="00332A1B">
        <w:rPr>
          <w:rFonts w:cs="Times New Roman"/>
          <w:noProof/>
          <w:lang w:val="fr-CA"/>
        </w:rPr>
        <w:t xml:space="preserve"> y compris leur application au Québec </w:t>
      </w:r>
      <w:r w:rsidR="00943D47">
        <w:rPr>
          <w:rFonts w:cs="Times New Roman"/>
          <w:noProof/>
          <w:lang w:val="fr-CA"/>
        </w:rPr>
        <w:t>—</w:t>
      </w:r>
      <w:r w:rsidRPr="00332A1B">
        <w:rPr>
          <w:rFonts w:cs="Times New Roman"/>
          <w:noProof/>
          <w:lang w:val="fr-CA"/>
        </w:rPr>
        <w:t xml:space="preserve"> et d</w:t>
      </w:r>
      <w:r>
        <w:rPr>
          <w:rFonts w:cs="Times New Roman"/>
          <w:noProof/>
          <w:lang w:val="fr-CA"/>
        </w:rPr>
        <w:t>’</w:t>
      </w:r>
      <w:r w:rsidRPr="00332A1B">
        <w:rPr>
          <w:rFonts w:cs="Times New Roman"/>
          <w:noProof/>
          <w:lang w:val="fr-CA"/>
        </w:rPr>
        <w:t xml:space="preserve">examiner ensuite la façon dont elles se chevauchent. </w:t>
      </w:r>
    </w:p>
    <w:p w:rsidR="00F3157A" w:rsidRPr="00332A1B" w:rsidRDefault="00F3157A" w:rsidP="00A0307B">
      <w:pPr>
        <w:pStyle w:val="Title3LevelTitre3Niveau"/>
        <w:keepNext w:val="0"/>
        <w:ind w:left="1080" w:hanging="540"/>
        <w:rPr>
          <w:rFonts w:cs="Times New Roman"/>
          <w:noProof/>
          <w:lang w:val="fr-CA"/>
        </w:rPr>
      </w:pPr>
      <w:r w:rsidRPr="00332A1B">
        <w:rPr>
          <w:rFonts w:cs="Times New Roman"/>
          <w:noProof/>
          <w:lang w:val="fr-CA"/>
        </w:rPr>
        <w:lastRenderedPageBreak/>
        <w:t>Le privilège relatif aux règlements</w:t>
      </w:r>
    </w:p>
    <w:p w:rsidR="00F3157A" w:rsidRPr="00332A1B" w:rsidRDefault="00F3157A" w:rsidP="00A0307B">
      <w:pPr>
        <w:pStyle w:val="ParaNoNdepar-AltN"/>
        <w:rPr>
          <w:rFonts w:cs="Times New Roman"/>
          <w:noProof/>
          <w:lang w:val="fr-CA"/>
        </w:rPr>
      </w:pPr>
      <w:r w:rsidRPr="00332A1B">
        <w:rPr>
          <w:rFonts w:cs="Times New Roman"/>
          <w:noProof/>
          <w:lang w:val="fr-CA"/>
        </w:rPr>
        <w:t>En common law, le privilège relatif aux règlements est une règle de preuve qui protège les communications échangées entre des parties qui tentent de régler un différend.  Parfois appelé la règle des communications faites « sous toutes réserves », le privilège permet aux parties de prendre part à des négociations en vue d</w:t>
      </w:r>
      <w:r>
        <w:rPr>
          <w:rFonts w:cs="Times New Roman"/>
          <w:noProof/>
          <w:lang w:val="fr-CA"/>
        </w:rPr>
        <w:t>’</w:t>
      </w:r>
      <w:r w:rsidRPr="00332A1B">
        <w:rPr>
          <w:rFonts w:cs="Times New Roman"/>
          <w:noProof/>
          <w:lang w:val="fr-CA"/>
        </w:rPr>
        <w:t>un règlement sans crainte que les renseignements qu</w:t>
      </w:r>
      <w:r>
        <w:rPr>
          <w:rFonts w:cs="Times New Roman"/>
          <w:noProof/>
          <w:lang w:val="fr-CA"/>
        </w:rPr>
        <w:t>’</w:t>
      </w:r>
      <w:r w:rsidRPr="00332A1B">
        <w:rPr>
          <w:rFonts w:cs="Times New Roman"/>
          <w:noProof/>
          <w:lang w:val="fr-CA"/>
        </w:rPr>
        <w:t xml:space="preserve">elles divulguent soient utilisés à leur détriment dans un litige ultérieur.  On favorise ainsi les discussions franches et ouvertes entre les parties, ce qui facilite le règlement du différend : </w:t>
      </w:r>
      <w:r w:rsidRPr="00332A1B">
        <w:rPr>
          <w:rFonts w:cs="Times New Roman"/>
          <w:smallCaps/>
          <w:noProof/>
          <w:lang w:val="fr-CA"/>
        </w:rPr>
        <w:t>[traduction]</w:t>
      </w:r>
      <w:r w:rsidRPr="00332A1B">
        <w:rPr>
          <w:rFonts w:cs="Times New Roman"/>
          <w:noProof/>
          <w:lang w:val="fr-CA"/>
        </w:rPr>
        <w:t xml:space="preserve"> « </w:t>
      </w:r>
      <w:r w:rsidR="00AF2304">
        <w:rPr>
          <w:rFonts w:cs="Times New Roman"/>
          <w:noProof/>
          <w:lang w:val="fr-CA"/>
        </w:rPr>
        <w:t>E</w:t>
      </w:r>
      <w:r w:rsidRPr="00332A1B">
        <w:rPr>
          <w:rFonts w:cs="Times New Roman"/>
          <w:noProof/>
          <w:lang w:val="fr-CA"/>
        </w:rPr>
        <w:t>n l</w:t>
      </w:r>
      <w:r>
        <w:rPr>
          <w:rFonts w:cs="Times New Roman"/>
          <w:noProof/>
          <w:lang w:val="fr-CA"/>
        </w:rPr>
        <w:t>’</w:t>
      </w:r>
      <w:r w:rsidRPr="00332A1B">
        <w:rPr>
          <w:rFonts w:cs="Times New Roman"/>
          <w:noProof/>
          <w:lang w:val="fr-CA"/>
        </w:rPr>
        <w:t>absence d</w:t>
      </w:r>
      <w:r>
        <w:rPr>
          <w:rFonts w:cs="Times New Roman"/>
          <w:noProof/>
          <w:lang w:val="fr-CA"/>
        </w:rPr>
        <w:t>’</w:t>
      </w:r>
      <w:r w:rsidRPr="00332A1B">
        <w:rPr>
          <w:rFonts w:cs="Times New Roman"/>
          <w:noProof/>
          <w:lang w:val="fr-CA"/>
        </w:rPr>
        <w:t>une telle protection, rares sont les parties qui s</w:t>
      </w:r>
      <w:r>
        <w:rPr>
          <w:rFonts w:cs="Times New Roman"/>
          <w:noProof/>
          <w:lang w:val="fr-CA"/>
        </w:rPr>
        <w:t>’</w:t>
      </w:r>
      <w:r w:rsidRPr="00332A1B">
        <w:rPr>
          <w:rFonts w:cs="Times New Roman"/>
          <w:noProof/>
          <w:lang w:val="fr-CA"/>
        </w:rPr>
        <w:t>engageraient dans des négociations en vue d</w:t>
      </w:r>
      <w:r>
        <w:rPr>
          <w:rFonts w:cs="Times New Roman"/>
          <w:noProof/>
          <w:lang w:val="fr-CA"/>
        </w:rPr>
        <w:t>’</w:t>
      </w:r>
      <w:r w:rsidRPr="00332A1B">
        <w:rPr>
          <w:rFonts w:cs="Times New Roman"/>
          <w:noProof/>
          <w:lang w:val="fr-CA"/>
        </w:rPr>
        <w:t>un règlement, par crainte que toute concession qu</w:t>
      </w:r>
      <w:r>
        <w:rPr>
          <w:rFonts w:cs="Times New Roman"/>
          <w:noProof/>
          <w:lang w:val="fr-CA"/>
        </w:rPr>
        <w:t>’</w:t>
      </w:r>
      <w:r w:rsidRPr="00332A1B">
        <w:rPr>
          <w:rFonts w:cs="Times New Roman"/>
          <w:noProof/>
          <w:lang w:val="fr-CA"/>
        </w:rPr>
        <w:t>elles seraient disposées à accorder ne soit utilisée à leur détriment si elles ne parviennent pas à conclure un règlement » (A</w:t>
      </w:r>
      <w:r w:rsidR="00A0307B">
        <w:rPr>
          <w:rFonts w:cs="Times New Roman"/>
          <w:noProof/>
          <w:lang w:val="fr-CA"/>
        </w:rPr>
        <w:t xml:space="preserve">. </w:t>
      </w:r>
      <w:r w:rsidRPr="00332A1B">
        <w:rPr>
          <w:rFonts w:cs="Times New Roman"/>
          <w:noProof/>
          <w:lang w:val="fr-CA"/>
        </w:rPr>
        <w:t>W</w:t>
      </w:r>
      <w:r w:rsidR="00A0307B">
        <w:rPr>
          <w:rFonts w:cs="Times New Roman"/>
          <w:noProof/>
          <w:lang w:val="fr-CA"/>
        </w:rPr>
        <w:t xml:space="preserve">. </w:t>
      </w:r>
      <w:r w:rsidRPr="00332A1B">
        <w:rPr>
          <w:rFonts w:cs="Times New Roman"/>
          <w:noProof/>
          <w:lang w:val="fr-CA"/>
        </w:rPr>
        <w:t>Bryant, S</w:t>
      </w:r>
      <w:r w:rsidR="00A0307B">
        <w:rPr>
          <w:rFonts w:cs="Times New Roman"/>
          <w:noProof/>
          <w:lang w:val="fr-CA"/>
        </w:rPr>
        <w:t xml:space="preserve">. </w:t>
      </w:r>
      <w:r w:rsidRPr="00332A1B">
        <w:rPr>
          <w:rFonts w:cs="Times New Roman"/>
          <w:noProof/>
          <w:lang w:val="fr-CA"/>
        </w:rPr>
        <w:t>N</w:t>
      </w:r>
      <w:r w:rsidR="00A0307B">
        <w:rPr>
          <w:rFonts w:cs="Times New Roman"/>
          <w:noProof/>
          <w:lang w:val="fr-CA"/>
        </w:rPr>
        <w:t xml:space="preserve">. </w:t>
      </w:r>
      <w:r w:rsidRPr="00332A1B">
        <w:rPr>
          <w:rFonts w:cs="Times New Roman"/>
          <w:noProof/>
          <w:lang w:val="fr-CA"/>
        </w:rPr>
        <w:t>Lederman et M</w:t>
      </w:r>
      <w:r w:rsidR="00A0307B">
        <w:rPr>
          <w:rFonts w:cs="Times New Roman"/>
          <w:noProof/>
          <w:lang w:val="fr-CA"/>
        </w:rPr>
        <w:t xml:space="preserve">. </w:t>
      </w:r>
      <w:r w:rsidRPr="00332A1B">
        <w:rPr>
          <w:rFonts w:cs="Times New Roman"/>
          <w:noProof/>
          <w:lang w:val="fr-CA"/>
        </w:rPr>
        <w:t>K</w:t>
      </w:r>
      <w:r w:rsidR="00A0307B">
        <w:rPr>
          <w:rFonts w:cs="Times New Roman"/>
          <w:noProof/>
          <w:lang w:val="fr-CA"/>
        </w:rPr>
        <w:t xml:space="preserve">. </w:t>
      </w:r>
      <w:r w:rsidRPr="00332A1B">
        <w:rPr>
          <w:rFonts w:cs="Times New Roman"/>
          <w:noProof/>
          <w:lang w:val="fr-CA"/>
        </w:rPr>
        <w:t xml:space="preserve">Fuerst, </w:t>
      </w:r>
      <w:r w:rsidRPr="00332A1B">
        <w:rPr>
          <w:rFonts w:cs="Times New Roman"/>
          <w:i/>
          <w:noProof/>
          <w:lang w:val="fr-CA"/>
        </w:rPr>
        <w:t>The Law of Evidence in Canada</w:t>
      </w:r>
      <w:r w:rsidRPr="00332A1B">
        <w:rPr>
          <w:rFonts w:cs="Times New Roman"/>
          <w:noProof/>
          <w:lang w:val="fr-CA"/>
        </w:rPr>
        <w:t xml:space="preserve"> (3</w:t>
      </w:r>
      <w:r w:rsidRPr="00EA2F4E">
        <w:rPr>
          <w:rFonts w:cs="Times New Roman"/>
          <w:noProof/>
          <w:vertAlign w:val="superscript"/>
          <w:lang w:val="fr-CA"/>
        </w:rPr>
        <w:t>e</w:t>
      </w:r>
      <w:r w:rsidRPr="00332A1B">
        <w:rPr>
          <w:rFonts w:cs="Times New Roman"/>
          <w:noProof/>
          <w:lang w:val="fr-CA"/>
        </w:rPr>
        <w:t> éd. 2009), par</w:t>
      </w:r>
      <w:r w:rsidR="00A0307B">
        <w:rPr>
          <w:rFonts w:cs="Times New Roman"/>
          <w:noProof/>
          <w:lang w:val="fr-CA"/>
        </w:rPr>
        <w:t xml:space="preserve">. </w:t>
      </w:r>
      <w:r w:rsidRPr="00332A1B">
        <w:rPr>
          <w:rFonts w:cs="Times New Roman"/>
          <w:noProof/>
          <w:lang w:val="fr-CA"/>
        </w:rPr>
        <w:t>14.315).</w:t>
      </w:r>
    </w:p>
    <w:p w:rsidR="00F3157A" w:rsidRPr="00332A1B" w:rsidRDefault="00F3157A" w:rsidP="00A0307B">
      <w:pPr>
        <w:pStyle w:val="ParaNoNdepar-AltN"/>
        <w:rPr>
          <w:rFonts w:cs="Times New Roman"/>
          <w:noProof/>
          <w:lang w:val="fr-CA"/>
        </w:rPr>
      </w:pPr>
      <w:r w:rsidRPr="00332A1B">
        <w:rPr>
          <w:rFonts w:cs="Times New Roman"/>
          <w:noProof/>
          <w:lang w:val="fr-CA"/>
        </w:rPr>
        <w:t>Notre système de justice surchargé favorise de façon prioritaire le règlement des différends, et c</w:t>
      </w:r>
      <w:r>
        <w:rPr>
          <w:rFonts w:cs="Times New Roman"/>
          <w:noProof/>
          <w:lang w:val="fr-CA"/>
        </w:rPr>
        <w:t>’</w:t>
      </w:r>
      <w:r w:rsidRPr="00332A1B">
        <w:rPr>
          <w:rFonts w:cs="Times New Roman"/>
          <w:noProof/>
          <w:lang w:val="fr-CA"/>
        </w:rPr>
        <w:t>est à cette fin qu</w:t>
      </w:r>
      <w:r>
        <w:rPr>
          <w:rFonts w:cs="Times New Roman"/>
          <w:noProof/>
          <w:lang w:val="fr-CA"/>
        </w:rPr>
        <w:t>’</w:t>
      </w:r>
      <w:r w:rsidRPr="00332A1B">
        <w:rPr>
          <w:rFonts w:cs="Times New Roman"/>
          <w:noProof/>
          <w:lang w:val="fr-CA"/>
        </w:rPr>
        <w:t>a été adopté le privilège relatif aux règlements.  Comme l</w:t>
      </w:r>
      <w:r>
        <w:rPr>
          <w:rFonts w:cs="Times New Roman"/>
          <w:noProof/>
          <w:lang w:val="fr-CA"/>
        </w:rPr>
        <w:t>’</w:t>
      </w:r>
      <w:r w:rsidRPr="00332A1B">
        <w:rPr>
          <w:rFonts w:cs="Times New Roman"/>
          <w:noProof/>
          <w:lang w:val="fr-CA"/>
        </w:rPr>
        <w:t>écrivait la juge Abella dans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Sable Offshore</w:t>
      </w:r>
      <w:r w:rsidRPr="00332A1B">
        <w:rPr>
          <w:rFonts w:cs="Times New Roman"/>
          <w:noProof/>
          <w:lang w:val="fr-CA"/>
        </w:rPr>
        <w:t>, par</w:t>
      </w:r>
      <w:r w:rsidR="00A0307B">
        <w:rPr>
          <w:rFonts w:cs="Times New Roman"/>
          <w:noProof/>
          <w:lang w:val="fr-CA"/>
        </w:rPr>
        <w:t xml:space="preserve">. </w:t>
      </w:r>
      <w:r w:rsidRPr="00332A1B">
        <w:rPr>
          <w:rFonts w:cs="Times New Roman"/>
          <w:noProof/>
          <w:lang w:val="fr-CA"/>
        </w:rPr>
        <w:t>12, « [l]e privilège relatif aux règlements favoris</w:t>
      </w:r>
      <w:r w:rsidR="007D7D81">
        <w:rPr>
          <w:rFonts w:cs="Times New Roman"/>
          <w:noProof/>
          <w:lang w:val="fr-CA"/>
        </w:rPr>
        <w:t>e la conclusion de règlements. »</w:t>
      </w:r>
      <w:r w:rsidRPr="00332A1B">
        <w:rPr>
          <w:rFonts w:cs="Times New Roman"/>
          <w:noProof/>
          <w:lang w:val="fr-CA"/>
        </w:rPr>
        <w:t xml:space="preserve">  Dans cet arrêt, la juge Abella a expliqué ce qui suit au par</w:t>
      </w:r>
      <w:r w:rsidR="00A0307B">
        <w:rPr>
          <w:rFonts w:cs="Times New Roman"/>
          <w:noProof/>
          <w:lang w:val="fr-CA"/>
        </w:rPr>
        <w:t xml:space="preserve">. </w:t>
      </w:r>
      <w:r w:rsidRPr="00332A1B">
        <w:rPr>
          <w:rFonts w:cs="Times New Roman"/>
          <w:noProof/>
          <w:lang w:val="fr-CA"/>
        </w:rPr>
        <w:t>13 :</w:t>
      </w:r>
    </w:p>
    <w:p w:rsidR="00F3157A" w:rsidRPr="00332A1B" w:rsidRDefault="00F3157A" w:rsidP="00A0307B">
      <w:pPr>
        <w:pStyle w:val="Citation-AltC"/>
        <w:spacing w:after="240"/>
        <w:ind w:hanging="1166"/>
        <w:contextualSpacing w:val="0"/>
        <w:rPr>
          <w:noProof/>
          <w:lang w:val="fr-CA"/>
        </w:rPr>
      </w:pPr>
      <w:r>
        <w:rPr>
          <w:noProof/>
          <w:lang w:val="fr-CA"/>
        </w:rPr>
        <w:tab/>
      </w:r>
      <w:r>
        <w:rPr>
          <w:noProof/>
          <w:lang w:val="fr-CA"/>
        </w:rPr>
        <w:tab/>
      </w:r>
      <w:r w:rsidRPr="00332A1B">
        <w:rPr>
          <w:noProof/>
          <w:lang w:val="fr-CA"/>
        </w:rPr>
        <w:t>Les négociations en vue d</w:t>
      </w:r>
      <w:r>
        <w:rPr>
          <w:noProof/>
          <w:lang w:val="fr-CA"/>
        </w:rPr>
        <w:t>’</w:t>
      </w:r>
      <w:r w:rsidRPr="00332A1B">
        <w:rPr>
          <w:noProof/>
          <w:lang w:val="fr-CA"/>
        </w:rPr>
        <w:t>un règlement sont protégées depuis longtemps par la règle de la common law suivant laquelle sont inadmissibles les communications faites « sous toutes réserves » au cours de ces négociations (voir David Vaver, « </w:t>
      </w:r>
      <w:r w:rsidR="00676EEA">
        <w:rPr>
          <w:noProof/>
          <w:lang w:val="fr-CA"/>
        </w:rPr>
        <w:t>“</w:t>
      </w:r>
      <w:r w:rsidRPr="00332A1B">
        <w:rPr>
          <w:noProof/>
          <w:lang w:val="fr-CA"/>
        </w:rPr>
        <w:t>Without Prejudice</w:t>
      </w:r>
      <w:r w:rsidR="00676EEA">
        <w:rPr>
          <w:noProof/>
          <w:lang w:val="fr-CA"/>
        </w:rPr>
        <w:t>”</w:t>
      </w:r>
      <w:r w:rsidRPr="00332A1B">
        <w:rPr>
          <w:noProof/>
          <w:lang w:val="fr-CA"/>
        </w:rPr>
        <w:t xml:space="preserve"> Communications — Their Admissibility and Effect » (1974), 9 </w:t>
      </w:r>
      <w:r w:rsidRPr="00332A1B">
        <w:rPr>
          <w:i/>
          <w:noProof/>
          <w:lang w:val="fr-CA"/>
        </w:rPr>
        <w:t xml:space="preserve">U.B.C. L. </w:t>
      </w:r>
      <w:r w:rsidRPr="00332A1B">
        <w:rPr>
          <w:i/>
          <w:noProof/>
          <w:lang w:val="fr-CA"/>
        </w:rPr>
        <w:lastRenderedPageBreak/>
        <w:t>Rev.</w:t>
      </w:r>
      <w:r w:rsidRPr="00332A1B">
        <w:rPr>
          <w:noProof/>
          <w:lang w:val="fr-CA"/>
        </w:rPr>
        <w:t xml:space="preserve"> 85, p</w:t>
      </w:r>
      <w:r w:rsidR="00A0307B">
        <w:rPr>
          <w:noProof/>
          <w:lang w:val="fr-CA"/>
        </w:rPr>
        <w:t xml:space="preserve">. </w:t>
      </w:r>
      <w:r w:rsidRPr="00332A1B">
        <w:rPr>
          <w:noProof/>
          <w:lang w:val="fr-CA"/>
        </w:rPr>
        <w:t>88).  Le privilège relatif aux règlements qui découle de la règle des communications faites « sous toutes réserves » reposait sur l</w:t>
      </w:r>
      <w:r>
        <w:rPr>
          <w:noProof/>
          <w:lang w:val="fr-CA"/>
        </w:rPr>
        <w:t>’</w:t>
      </w:r>
      <w:r w:rsidRPr="00332A1B">
        <w:rPr>
          <w:noProof/>
          <w:lang w:val="fr-CA"/>
        </w:rPr>
        <w:t>idée que les parties seront davantage susceptibles de parvenir à un règlement si elles sont confiantes dès le départ que le contenu de leurs négociations ne sera pas divulgué.  Comme l</w:t>
      </w:r>
      <w:r>
        <w:rPr>
          <w:noProof/>
          <w:lang w:val="fr-CA"/>
        </w:rPr>
        <w:t>’</w:t>
      </w:r>
      <w:r w:rsidRPr="00332A1B">
        <w:rPr>
          <w:noProof/>
          <w:lang w:val="fr-CA"/>
        </w:rPr>
        <w:t>a expliqué le lord juge Oliver, de la Cour d</w:t>
      </w:r>
      <w:r>
        <w:rPr>
          <w:noProof/>
          <w:lang w:val="fr-CA"/>
        </w:rPr>
        <w:t>’</w:t>
      </w:r>
      <w:r w:rsidRPr="00332A1B">
        <w:rPr>
          <w:noProof/>
          <w:lang w:val="fr-CA"/>
        </w:rPr>
        <w:t>appel d</w:t>
      </w:r>
      <w:r>
        <w:rPr>
          <w:noProof/>
          <w:lang w:val="fr-CA"/>
        </w:rPr>
        <w:t>’</w:t>
      </w:r>
      <w:r w:rsidRPr="00332A1B">
        <w:rPr>
          <w:noProof/>
          <w:lang w:val="fr-CA"/>
        </w:rPr>
        <w:t xml:space="preserve">Angleterre, dans </w:t>
      </w:r>
      <w:r w:rsidRPr="00332A1B">
        <w:rPr>
          <w:i/>
          <w:noProof/>
          <w:lang w:val="fr-CA"/>
        </w:rPr>
        <w:t>Cutts c. Head</w:t>
      </w:r>
      <w:r w:rsidRPr="00332A1B">
        <w:rPr>
          <w:noProof/>
          <w:lang w:val="fr-CA"/>
        </w:rPr>
        <w:t>, [1984] 1 All E.R. 597, p</w:t>
      </w:r>
      <w:r w:rsidR="00A0307B">
        <w:rPr>
          <w:noProof/>
          <w:lang w:val="fr-CA"/>
        </w:rPr>
        <w:t xml:space="preserve">. </w:t>
      </w:r>
      <w:r w:rsidRPr="00332A1B">
        <w:rPr>
          <w:noProof/>
          <w:lang w:val="fr-CA"/>
        </w:rPr>
        <w:t>605 :</w:t>
      </w:r>
    </w:p>
    <w:p w:rsidR="00F3157A" w:rsidRPr="00332A1B" w:rsidRDefault="00F3157A" w:rsidP="00A0307B">
      <w:pPr>
        <w:pStyle w:val="Citation-AltC"/>
        <w:spacing w:after="240"/>
        <w:ind w:left="1440" w:hanging="1440"/>
        <w:contextualSpacing w:val="0"/>
        <w:rPr>
          <w:noProof/>
          <w:lang w:val="fr-CA"/>
        </w:rPr>
      </w:pPr>
      <w:r>
        <w:rPr>
          <w:smallCaps/>
          <w:noProof/>
          <w:lang w:val="fr-CA"/>
        </w:rPr>
        <w:tab/>
      </w:r>
      <w:r w:rsidRPr="00332A1B">
        <w:rPr>
          <w:smallCaps/>
          <w:noProof/>
          <w:lang w:val="fr-CA"/>
        </w:rPr>
        <w:t>[traduction]</w:t>
      </w:r>
      <w:r w:rsidR="002041AF">
        <w:rPr>
          <w:noProof/>
          <w:lang w:val="fr-CA"/>
        </w:rPr>
        <w:t xml:space="preserve"> </w:t>
      </w:r>
      <w:r w:rsidR="00A0307B">
        <w:rPr>
          <w:noProof/>
          <w:lang w:val="fr-CA"/>
        </w:rPr>
        <w:t>. . </w:t>
      </w:r>
      <w:r w:rsidR="002041AF">
        <w:rPr>
          <w:noProof/>
          <w:lang w:val="fr-CA"/>
        </w:rPr>
        <w:t>.</w:t>
      </w:r>
      <w:r w:rsidRPr="00332A1B">
        <w:rPr>
          <w:noProof/>
          <w:lang w:val="fr-CA"/>
        </w:rPr>
        <w:t xml:space="preserve"> il faut encourager dans toute la mesure du possible les parties à résoudre leurs différends sans recourir aux tribunaux, et elles ne doivent pas être dissuadées de le faire parce qu</w:t>
      </w:r>
      <w:r>
        <w:rPr>
          <w:noProof/>
          <w:lang w:val="fr-CA"/>
        </w:rPr>
        <w:t>’</w:t>
      </w:r>
      <w:r w:rsidRPr="00332A1B">
        <w:rPr>
          <w:noProof/>
          <w:lang w:val="fr-CA"/>
        </w:rPr>
        <w:t>elles savent que tout ce qui se dit au cours des négociations [</w:t>
      </w:r>
      <w:r w:rsidR="00A0307B">
        <w:rPr>
          <w:noProof/>
          <w:lang w:val="fr-CA"/>
        </w:rPr>
        <w:t>. . </w:t>
      </w:r>
      <w:r w:rsidR="0029133B">
        <w:rPr>
          <w:noProof/>
          <w:lang w:val="fr-CA"/>
        </w:rPr>
        <w:t>.</w:t>
      </w:r>
      <w:r w:rsidRPr="00332A1B">
        <w:rPr>
          <w:noProof/>
          <w:lang w:val="fr-CA"/>
        </w:rPr>
        <w:t>] peut être utilisé à leur détriment au cours de l</w:t>
      </w:r>
      <w:r>
        <w:rPr>
          <w:noProof/>
          <w:lang w:val="fr-CA"/>
        </w:rPr>
        <w:t>’</w:t>
      </w:r>
      <w:r w:rsidRPr="00332A1B">
        <w:rPr>
          <w:noProof/>
          <w:lang w:val="fr-CA"/>
        </w:rPr>
        <w:t>instance.  Comme l</w:t>
      </w:r>
      <w:r>
        <w:rPr>
          <w:noProof/>
          <w:lang w:val="fr-CA"/>
        </w:rPr>
        <w:t>’</w:t>
      </w:r>
      <w:r w:rsidRPr="00332A1B">
        <w:rPr>
          <w:noProof/>
          <w:lang w:val="fr-CA"/>
        </w:rPr>
        <w:t xml:space="preserve">a dit le juge Clauson dans </w:t>
      </w:r>
      <w:r w:rsidRPr="00332A1B">
        <w:rPr>
          <w:i/>
          <w:noProof/>
          <w:lang w:val="fr-CA"/>
        </w:rPr>
        <w:t>Scott Paper Co c. Drayton Paper Works Ltd</w:t>
      </w:r>
      <w:r w:rsidRPr="00332A1B">
        <w:rPr>
          <w:noProof/>
          <w:lang w:val="fr-CA"/>
        </w:rPr>
        <w:t xml:space="preserve"> (1927), 44 RPC 151, p</w:t>
      </w:r>
      <w:r w:rsidR="00A0307B">
        <w:rPr>
          <w:noProof/>
          <w:lang w:val="fr-CA"/>
        </w:rPr>
        <w:t xml:space="preserve">. </w:t>
      </w:r>
      <w:r w:rsidRPr="00332A1B">
        <w:rPr>
          <w:noProof/>
          <w:lang w:val="fr-CA"/>
        </w:rPr>
        <w:t>157, il faut encourager librement et franchement les parties à jouer cartes sur table.</w:t>
      </w:r>
    </w:p>
    <w:p w:rsidR="00F3157A" w:rsidRPr="00332A1B" w:rsidRDefault="00F3157A" w:rsidP="00A0307B">
      <w:pPr>
        <w:pStyle w:val="Citation-AltC"/>
        <w:ind w:hanging="1166"/>
        <w:rPr>
          <w:noProof/>
          <w:lang w:val="fr-CA"/>
        </w:rPr>
      </w:pPr>
      <w:r>
        <w:rPr>
          <w:noProof/>
          <w:lang w:val="fr-CA"/>
        </w:rPr>
        <w:tab/>
      </w:r>
      <w:r w:rsidRPr="00332A1B">
        <w:rPr>
          <w:noProof/>
          <w:lang w:val="fr-CA"/>
        </w:rPr>
        <w:t>En d</w:t>
      </w:r>
      <w:r>
        <w:rPr>
          <w:noProof/>
          <w:lang w:val="fr-CA"/>
        </w:rPr>
        <w:t>’</w:t>
      </w:r>
      <w:r w:rsidRPr="00332A1B">
        <w:rPr>
          <w:noProof/>
          <w:lang w:val="fr-CA"/>
        </w:rPr>
        <w:t xml:space="preserve">autres termes, les discussions tenues lors des négociations seront plus transparentes et donneront par le fait même de meilleurs résultats si les parties savent que leur contenu ne pourra pas être dévoilé par la suite. </w:t>
      </w:r>
    </w:p>
    <w:p w:rsidR="00F3157A" w:rsidRPr="00332A1B" w:rsidRDefault="00F3157A" w:rsidP="00A0307B">
      <w:pPr>
        <w:pStyle w:val="ParaNoNdepar-AltN"/>
        <w:rPr>
          <w:rFonts w:cs="Times New Roman"/>
          <w:noProof/>
          <w:lang w:val="fr-CA"/>
        </w:rPr>
      </w:pPr>
      <w:r w:rsidRPr="00332A1B">
        <w:rPr>
          <w:rFonts w:cs="Times New Roman"/>
          <w:noProof/>
          <w:lang w:val="fr-CA"/>
        </w:rPr>
        <w:t>À d</w:t>
      </w:r>
      <w:r>
        <w:rPr>
          <w:rFonts w:cs="Times New Roman"/>
          <w:noProof/>
          <w:lang w:val="fr-CA"/>
        </w:rPr>
        <w:t>’</w:t>
      </w:r>
      <w:r w:rsidRPr="00332A1B">
        <w:rPr>
          <w:rFonts w:cs="Times New Roman"/>
          <w:noProof/>
          <w:lang w:val="fr-CA"/>
        </w:rPr>
        <w:t>autres occasions, notre Cour a reconnu l</w:t>
      </w:r>
      <w:r>
        <w:rPr>
          <w:rFonts w:cs="Times New Roman"/>
          <w:noProof/>
          <w:lang w:val="fr-CA"/>
        </w:rPr>
        <w:t>’</w:t>
      </w:r>
      <w:r w:rsidRPr="00332A1B">
        <w:rPr>
          <w:rFonts w:cs="Times New Roman"/>
          <w:noProof/>
          <w:lang w:val="fr-CA"/>
        </w:rPr>
        <w:t>importance d</w:t>
      </w:r>
      <w:r>
        <w:rPr>
          <w:rFonts w:cs="Times New Roman"/>
          <w:noProof/>
          <w:lang w:val="fr-CA"/>
        </w:rPr>
        <w:t>’</w:t>
      </w:r>
      <w:r w:rsidRPr="00332A1B">
        <w:rPr>
          <w:rFonts w:cs="Times New Roman"/>
          <w:noProof/>
          <w:lang w:val="fr-CA"/>
        </w:rPr>
        <w:t>inciter les parties à régler elles</w:t>
      </w:r>
      <w:r w:rsidR="00A0307B">
        <w:rPr>
          <w:rFonts w:cs="Times New Roman"/>
          <w:noProof/>
          <w:lang w:val="fr-CA"/>
        </w:rPr>
        <w:t>-</w:t>
      </w:r>
      <w:r w:rsidRPr="00332A1B">
        <w:rPr>
          <w:rFonts w:cs="Times New Roman"/>
          <w:noProof/>
          <w:lang w:val="fr-CA"/>
        </w:rPr>
        <w:t>mêmes leur différend.  Par exemple, s</w:t>
      </w:r>
      <w:r>
        <w:rPr>
          <w:rFonts w:cs="Times New Roman"/>
          <w:noProof/>
          <w:lang w:val="fr-CA"/>
        </w:rPr>
        <w:t>’</w:t>
      </w:r>
      <w:r w:rsidRPr="00332A1B">
        <w:rPr>
          <w:rFonts w:cs="Times New Roman"/>
          <w:noProof/>
          <w:lang w:val="fr-CA"/>
        </w:rPr>
        <w:t>exprimant au nom de la Cour dans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Globe and Mail</w:t>
      </w:r>
      <w:r w:rsidRPr="00332A1B">
        <w:rPr>
          <w:rFonts w:cs="Times New Roman"/>
          <w:iCs/>
          <w:noProof/>
          <w:lang w:val="fr-CA"/>
        </w:rPr>
        <w:t xml:space="preserve">, </w:t>
      </w:r>
      <w:r w:rsidRPr="00332A1B">
        <w:rPr>
          <w:rFonts w:cs="Times New Roman"/>
          <w:noProof/>
          <w:lang w:val="fr-CA"/>
        </w:rPr>
        <w:t>le juge LeBel a cité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Kosko c. Bijimine</w:t>
      </w:r>
      <w:r w:rsidRPr="00332A1B">
        <w:rPr>
          <w:rFonts w:cs="Times New Roman"/>
          <w:iCs/>
          <w:noProof/>
          <w:lang w:val="fr-CA"/>
        </w:rPr>
        <w:t xml:space="preserve">, 2006 QCCA 671, </w:t>
      </w:r>
      <w:r w:rsidRPr="00332A1B">
        <w:rPr>
          <w:rFonts w:cs="Times New Roman"/>
          <w:noProof/>
          <w:lang w:val="fr-CA"/>
        </w:rPr>
        <w:t xml:space="preserve">[2006] R.J.Q. 1539, </w:t>
      </w:r>
      <w:r w:rsidRPr="00332A1B">
        <w:rPr>
          <w:rFonts w:cs="Times New Roman"/>
          <w:iCs/>
          <w:noProof/>
          <w:lang w:val="fr-CA"/>
        </w:rPr>
        <w:t xml:space="preserve">dans lequel la </w:t>
      </w:r>
      <w:r w:rsidRPr="00332A1B">
        <w:rPr>
          <w:rFonts w:cs="Times New Roman"/>
          <w:noProof/>
          <w:lang w:val="fr-CA"/>
        </w:rPr>
        <w:t>Cour d</w:t>
      </w:r>
      <w:r>
        <w:rPr>
          <w:rFonts w:cs="Times New Roman"/>
          <w:noProof/>
          <w:lang w:val="fr-CA"/>
        </w:rPr>
        <w:t>’</w:t>
      </w:r>
      <w:r w:rsidRPr="00332A1B">
        <w:rPr>
          <w:rFonts w:cs="Times New Roman"/>
          <w:noProof/>
          <w:lang w:val="fr-CA"/>
        </w:rPr>
        <w:t>appel du Québec</w:t>
      </w:r>
      <w:r w:rsidRPr="00332A1B">
        <w:rPr>
          <w:rFonts w:cs="Times New Roman"/>
          <w:iCs/>
          <w:noProof/>
          <w:lang w:val="fr-CA"/>
        </w:rPr>
        <w:t xml:space="preserve"> a dit ce qui suit, aux par</w:t>
      </w:r>
      <w:r w:rsidR="00A0307B">
        <w:rPr>
          <w:rFonts w:cs="Times New Roman"/>
          <w:iCs/>
          <w:noProof/>
          <w:lang w:val="fr-CA"/>
        </w:rPr>
        <w:t xml:space="preserve">. </w:t>
      </w:r>
      <w:r w:rsidRPr="00332A1B">
        <w:rPr>
          <w:rFonts w:cs="Times New Roman"/>
          <w:iCs/>
          <w:noProof/>
          <w:lang w:val="fr-CA"/>
        </w:rPr>
        <w:t>49</w:t>
      </w:r>
      <w:r w:rsidR="00712109">
        <w:rPr>
          <w:rFonts w:cs="Times New Roman"/>
          <w:iCs/>
          <w:noProof/>
          <w:lang w:val="fr-CA"/>
        </w:rPr>
        <w:t>-</w:t>
      </w:r>
      <w:r w:rsidRPr="00332A1B">
        <w:rPr>
          <w:rFonts w:cs="Times New Roman"/>
          <w:iCs/>
          <w:noProof/>
          <w:lang w:val="fr-CA"/>
        </w:rPr>
        <w:t>50 :</w:t>
      </w:r>
    </w:p>
    <w:p w:rsidR="00F3157A" w:rsidRPr="00332A1B" w:rsidRDefault="00F3157A" w:rsidP="00A0307B">
      <w:pPr>
        <w:pStyle w:val="Citation-AltC"/>
        <w:spacing w:after="240"/>
        <w:ind w:left="1168" w:hanging="1168"/>
        <w:contextualSpacing w:val="0"/>
        <w:rPr>
          <w:noProof/>
          <w:lang w:val="fr-CA"/>
        </w:rPr>
      </w:pPr>
      <w:r>
        <w:rPr>
          <w:noProof/>
          <w:lang w:val="fr-CA"/>
        </w:rPr>
        <w:tab/>
      </w:r>
      <w:r>
        <w:rPr>
          <w:noProof/>
          <w:lang w:val="fr-CA"/>
        </w:rPr>
        <w:tab/>
      </w:r>
      <w:r w:rsidRPr="00332A1B">
        <w:rPr>
          <w:noProof/>
          <w:lang w:val="fr-CA"/>
        </w:rPr>
        <w:t>La protection du caractère confidentiel de ces « échanges de règlement » est la manifestation la plus concrète, en droit de la preuve, de l</w:t>
      </w:r>
      <w:r>
        <w:rPr>
          <w:noProof/>
          <w:lang w:val="fr-CA"/>
        </w:rPr>
        <w:t>’</w:t>
      </w:r>
      <w:r w:rsidRPr="00332A1B">
        <w:rPr>
          <w:noProof/>
          <w:lang w:val="fr-CA"/>
        </w:rPr>
        <w:t>importance qu</w:t>
      </w:r>
      <w:r>
        <w:rPr>
          <w:noProof/>
          <w:lang w:val="fr-CA"/>
        </w:rPr>
        <w:t>’</w:t>
      </w:r>
      <w:r w:rsidRPr="00332A1B">
        <w:rPr>
          <w:noProof/>
          <w:lang w:val="fr-CA"/>
        </w:rPr>
        <w:t>accordent les tribunaux au règlement des différends par les parties elles</w:t>
      </w:r>
      <w:r w:rsidR="00A0307B">
        <w:rPr>
          <w:noProof/>
          <w:lang w:val="fr-CA"/>
        </w:rPr>
        <w:t>-</w:t>
      </w:r>
      <w:r w:rsidRPr="00332A1B">
        <w:rPr>
          <w:noProof/>
          <w:lang w:val="fr-CA"/>
        </w:rPr>
        <w:t>mêmes.  Cette protection prend la forme d</w:t>
      </w:r>
      <w:r>
        <w:rPr>
          <w:noProof/>
          <w:lang w:val="fr-CA"/>
        </w:rPr>
        <w:t>’</w:t>
      </w:r>
      <w:r w:rsidRPr="00332A1B">
        <w:rPr>
          <w:noProof/>
          <w:lang w:val="fr-CA"/>
        </w:rPr>
        <w:t>une règle de preuve ou d</w:t>
      </w:r>
      <w:r>
        <w:rPr>
          <w:noProof/>
          <w:lang w:val="fr-CA"/>
        </w:rPr>
        <w:t>’</w:t>
      </w:r>
      <w:r w:rsidRPr="00332A1B">
        <w:rPr>
          <w:noProof/>
          <w:lang w:val="fr-CA"/>
        </w:rPr>
        <w:t>un privilège en common law, par lequel les pourparlers de règlement ne sont pas admissibles en preuve.</w:t>
      </w:r>
    </w:p>
    <w:p w:rsidR="00F3157A" w:rsidRPr="00332A1B" w:rsidRDefault="00F3157A" w:rsidP="00A0307B">
      <w:pPr>
        <w:pStyle w:val="Citation-AltC"/>
        <w:spacing w:after="240"/>
        <w:ind w:left="1168" w:hanging="1168"/>
        <w:contextualSpacing w:val="0"/>
        <w:rPr>
          <w:noProof/>
          <w:lang w:val="fr-CA"/>
        </w:rPr>
      </w:pPr>
      <w:r>
        <w:rPr>
          <w:noProof/>
          <w:lang w:val="fr-CA"/>
        </w:rPr>
        <w:tab/>
      </w:r>
      <w:r>
        <w:rPr>
          <w:noProof/>
          <w:lang w:val="fr-CA"/>
        </w:rPr>
        <w:tab/>
      </w:r>
      <w:r w:rsidRPr="00332A1B">
        <w:rPr>
          <w:noProof/>
          <w:lang w:val="fr-CA"/>
        </w:rPr>
        <w:t>Les tribunaux et la doctrine reconnaissent unanimement, d</w:t>
      </w:r>
      <w:r>
        <w:rPr>
          <w:noProof/>
          <w:lang w:val="fr-CA"/>
        </w:rPr>
        <w:t>’</w:t>
      </w:r>
      <w:r w:rsidRPr="00332A1B">
        <w:rPr>
          <w:noProof/>
          <w:lang w:val="fr-CA"/>
        </w:rPr>
        <w:t>une part, que sans cette protection aucun pourparler de règlement ne serait possible ou à tout le moins efficace et, d</w:t>
      </w:r>
      <w:r>
        <w:rPr>
          <w:noProof/>
          <w:lang w:val="fr-CA"/>
        </w:rPr>
        <w:t>’</w:t>
      </w:r>
      <w:r w:rsidRPr="00332A1B">
        <w:rPr>
          <w:noProof/>
          <w:lang w:val="fr-CA"/>
        </w:rPr>
        <w:t>autre part, qu</w:t>
      </w:r>
      <w:r>
        <w:rPr>
          <w:noProof/>
          <w:lang w:val="fr-CA"/>
        </w:rPr>
        <w:t>’</w:t>
      </w:r>
      <w:r w:rsidRPr="00332A1B">
        <w:rPr>
          <w:noProof/>
          <w:lang w:val="fr-CA"/>
        </w:rPr>
        <w:t>il y va de l</w:t>
      </w:r>
      <w:r>
        <w:rPr>
          <w:noProof/>
          <w:lang w:val="fr-CA"/>
        </w:rPr>
        <w:t>’</w:t>
      </w:r>
      <w:r w:rsidRPr="00332A1B">
        <w:rPr>
          <w:noProof/>
          <w:lang w:val="fr-CA"/>
        </w:rPr>
        <w:t>intérêt et de l</w:t>
      </w:r>
      <w:r>
        <w:rPr>
          <w:noProof/>
          <w:lang w:val="fr-CA"/>
        </w:rPr>
        <w:t>’</w:t>
      </w:r>
      <w:r w:rsidRPr="00332A1B">
        <w:rPr>
          <w:noProof/>
          <w:lang w:val="fr-CA"/>
        </w:rPr>
        <w:t>ordre public que les parties à un litige puissent procéder à de telles discussions.</w:t>
      </w:r>
    </w:p>
    <w:p w:rsidR="00F3157A" w:rsidRPr="00332A1B" w:rsidRDefault="00F3157A" w:rsidP="00610BB7">
      <w:pPr>
        <w:pStyle w:val="Citation-AltC"/>
        <w:ind w:left="0"/>
        <w:rPr>
          <w:noProof/>
          <w:lang w:val="fr-CA"/>
        </w:rPr>
      </w:pPr>
      <w:r w:rsidRPr="00332A1B">
        <w:rPr>
          <w:noProof/>
          <w:lang w:val="fr-CA"/>
        </w:rPr>
        <w:lastRenderedPageBreak/>
        <w:t xml:space="preserve">(Voir également </w:t>
      </w:r>
      <w:r w:rsidRPr="00332A1B">
        <w:rPr>
          <w:i/>
          <w:iCs/>
          <w:noProof/>
          <w:lang w:val="fr-CA"/>
        </w:rPr>
        <w:t>Kelvin Energy Ltd. c. Lee</w:t>
      </w:r>
      <w:r w:rsidRPr="00332A1B">
        <w:rPr>
          <w:noProof/>
          <w:lang w:val="fr-CA"/>
        </w:rPr>
        <w:t>, [1992] 3 R.C.S. 235, p</w:t>
      </w:r>
      <w:r w:rsidR="00A0307B">
        <w:rPr>
          <w:noProof/>
          <w:lang w:val="fr-CA"/>
        </w:rPr>
        <w:t xml:space="preserve">. </w:t>
      </w:r>
      <w:r w:rsidRPr="00332A1B">
        <w:rPr>
          <w:noProof/>
          <w:lang w:val="fr-CA"/>
        </w:rPr>
        <w:t xml:space="preserve">259, citant </w:t>
      </w:r>
      <w:r w:rsidRPr="00332A1B">
        <w:rPr>
          <w:i/>
          <w:iCs/>
          <w:noProof/>
          <w:lang w:val="fr-CA"/>
        </w:rPr>
        <w:t>Sparling c. Southam</w:t>
      </w:r>
      <w:r w:rsidRPr="00332A1B">
        <w:rPr>
          <w:noProof/>
          <w:lang w:val="fr-CA"/>
        </w:rPr>
        <w:t xml:space="preserve"> </w:t>
      </w:r>
      <w:r w:rsidRPr="00332A1B">
        <w:rPr>
          <w:i/>
          <w:iCs/>
          <w:noProof/>
          <w:lang w:val="fr-CA"/>
        </w:rPr>
        <w:t>Inc.</w:t>
      </w:r>
      <w:r w:rsidRPr="00332A1B">
        <w:rPr>
          <w:noProof/>
          <w:lang w:val="fr-CA"/>
        </w:rPr>
        <w:t xml:space="preserve"> (1988), 41 B.L.R. 22, p</w:t>
      </w:r>
      <w:r w:rsidR="00A0307B">
        <w:rPr>
          <w:noProof/>
          <w:lang w:val="fr-CA"/>
        </w:rPr>
        <w:t xml:space="preserve">. </w:t>
      </w:r>
      <w:r w:rsidRPr="00332A1B">
        <w:rPr>
          <w:noProof/>
          <w:lang w:val="fr-CA"/>
        </w:rPr>
        <w:t>28.)</w:t>
      </w:r>
    </w:p>
    <w:p w:rsidR="00F3157A" w:rsidRPr="00332A1B" w:rsidRDefault="00F3157A" w:rsidP="00A0307B">
      <w:pPr>
        <w:pStyle w:val="ParaNoNdepar-AltN"/>
        <w:rPr>
          <w:rFonts w:cs="Times New Roman"/>
          <w:noProof/>
          <w:lang w:val="fr-CA"/>
        </w:rPr>
      </w:pPr>
      <w:r w:rsidRPr="00332A1B">
        <w:rPr>
          <w:rFonts w:cs="Times New Roman"/>
          <w:noProof/>
          <w:lang w:val="fr-CA"/>
        </w:rPr>
        <w:t>Le privilège relatif aux règlements s</w:t>
      </w:r>
      <w:r>
        <w:rPr>
          <w:rFonts w:cs="Times New Roman"/>
          <w:noProof/>
          <w:lang w:val="fr-CA"/>
        </w:rPr>
        <w:t>’</w:t>
      </w:r>
      <w:r w:rsidRPr="00332A1B">
        <w:rPr>
          <w:rFonts w:cs="Times New Roman"/>
          <w:noProof/>
          <w:lang w:val="fr-CA"/>
        </w:rPr>
        <w:t>applique même en l</w:t>
      </w:r>
      <w:r>
        <w:rPr>
          <w:rFonts w:cs="Times New Roman"/>
          <w:noProof/>
          <w:lang w:val="fr-CA"/>
        </w:rPr>
        <w:t>’</w:t>
      </w:r>
      <w:r w:rsidRPr="00332A1B">
        <w:rPr>
          <w:rFonts w:cs="Times New Roman"/>
          <w:noProof/>
          <w:lang w:val="fr-CA"/>
        </w:rPr>
        <w:t>absence de dispositions législatives ou contractuelles concernant la confidentialité.  En outre, les parties n</w:t>
      </w:r>
      <w:r>
        <w:rPr>
          <w:rFonts w:cs="Times New Roman"/>
          <w:noProof/>
          <w:lang w:val="fr-CA"/>
        </w:rPr>
        <w:t>’</w:t>
      </w:r>
      <w:r w:rsidRPr="00332A1B">
        <w:rPr>
          <w:rFonts w:cs="Times New Roman"/>
          <w:noProof/>
          <w:lang w:val="fr-CA"/>
        </w:rPr>
        <w:t>ont pas à utiliser l</w:t>
      </w:r>
      <w:r>
        <w:rPr>
          <w:rFonts w:cs="Times New Roman"/>
          <w:noProof/>
          <w:lang w:val="fr-CA"/>
        </w:rPr>
        <w:t>’</w:t>
      </w:r>
      <w:r w:rsidRPr="00332A1B">
        <w:rPr>
          <w:rFonts w:cs="Times New Roman"/>
          <w:noProof/>
          <w:lang w:val="fr-CA"/>
        </w:rPr>
        <w:t>expression « sous toutes réserves » pour invoquer le privilège : « </w:t>
      </w:r>
      <w:r w:rsidR="0001518A">
        <w:rPr>
          <w:rFonts w:cs="Times New Roman"/>
          <w:noProof/>
          <w:lang w:val="fr-CA"/>
        </w:rPr>
        <w:t>C</w:t>
      </w:r>
      <w:r w:rsidRPr="00332A1B">
        <w:rPr>
          <w:rFonts w:cs="Times New Roman"/>
          <w:noProof/>
          <w:lang w:val="fr-CA"/>
        </w:rPr>
        <w:t>e qui compte plutôt, c</w:t>
      </w:r>
      <w:r>
        <w:rPr>
          <w:rFonts w:cs="Times New Roman"/>
          <w:noProof/>
          <w:lang w:val="fr-CA"/>
        </w:rPr>
        <w:t>’</w:t>
      </w:r>
      <w:r w:rsidRPr="00332A1B">
        <w:rPr>
          <w:rFonts w:cs="Times New Roman"/>
          <w:noProof/>
          <w:lang w:val="fr-CA"/>
        </w:rPr>
        <w:t>est l</w:t>
      </w:r>
      <w:r>
        <w:rPr>
          <w:rFonts w:cs="Times New Roman"/>
          <w:noProof/>
          <w:lang w:val="fr-CA"/>
        </w:rPr>
        <w:t>’</w:t>
      </w:r>
      <w:r w:rsidRPr="00332A1B">
        <w:rPr>
          <w:rFonts w:cs="Times New Roman"/>
          <w:noProof/>
          <w:lang w:val="fr-CA"/>
        </w:rPr>
        <w:t>intention des parties de régler l</w:t>
      </w:r>
      <w:r>
        <w:rPr>
          <w:rFonts w:cs="Times New Roman"/>
          <w:noProof/>
          <w:lang w:val="fr-CA"/>
        </w:rPr>
        <w:t>’</w:t>
      </w:r>
      <w:r w:rsidRPr="00332A1B">
        <w:rPr>
          <w:rFonts w:cs="Times New Roman"/>
          <w:noProof/>
          <w:lang w:val="fr-CA"/>
        </w:rPr>
        <w:t>action [</w:t>
      </w:r>
      <w:r w:rsidR="00A0307B">
        <w:rPr>
          <w:rFonts w:cs="Times New Roman"/>
          <w:noProof/>
          <w:lang w:val="fr-CA"/>
        </w:rPr>
        <w:t>. . </w:t>
      </w:r>
      <w:r w:rsidR="007D7D81">
        <w:rPr>
          <w:rFonts w:cs="Times New Roman"/>
          <w:noProof/>
          <w:lang w:val="fr-CA"/>
        </w:rPr>
        <w:t>.]</w:t>
      </w:r>
      <w:r w:rsidRPr="00332A1B">
        <w:rPr>
          <w:rFonts w:cs="Times New Roman"/>
          <w:noProof/>
          <w:lang w:val="fr-CA"/>
        </w:rPr>
        <w:t xml:space="preserve">  Le contenu de toute négociation entreprise à cette fin est inadmissible en preuve » (</w:t>
      </w:r>
      <w:r w:rsidRPr="00332A1B">
        <w:rPr>
          <w:rFonts w:cs="Times New Roman"/>
          <w:i/>
          <w:noProof/>
          <w:lang w:val="fr-CA"/>
        </w:rPr>
        <w:t>Sable Offshore</w:t>
      </w:r>
      <w:r w:rsidRPr="00332A1B">
        <w:rPr>
          <w:rFonts w:cs="Times New Roman"/>
          <w:noProof/>
          <w:lang w:val="fr-CA"/>
        </w:rPr>
        <w:t>, par</w:t>
      </w:r>
      <w:r w:rsidR="00A0307B">
        <w:rPr>
          <w:rFonts w:cs="Times New Roman"/>
          <w:noProof/>
          <w:lang w:val="fr-CA"/>
        </w:rPr>
        <w:t xml:space="preserve">. </w:t>
      </w:r>
      <w:r w:rsidRPr="00332A1B">
        <w:rPr>
          <w:rFonts w:cs="Times New Roman"/>
          <w:noProof/>
          <w:lang w:val="fr-CA"/>
        </w:rPr>
        <w:t>14).  De plus, le privilège s</w:t>
      </w:r>
      <w:r>
        <w:rPr>
          <w:rFonts w:cs="Times New Roman"/>
          <w:noProof/>
          <w:lang w:val="fr-CA"/>
        </w:rPr>
        <w:t>’</w:t>
      </w:r>
      <w:r w:rsidRPr="00332A1B">
        <w:rPr>
          <w:rFonts w:cs="Times New Roman"/>
          <w:noProof/>
          <w:lang w:val="fr-CA"/>
        </w:rPr>
        <w:t>applique même après la conclusion d</w:t>
      </w:r>
      <w:r>
        <w:rPr>
          <w:rFonts w:cs="Times New Roman"/>
          <w:noProof/>
          <w:lang w:val="fr-CA"/>
        </w:rPr>
        <w:t>’</w:t>
      </w:r>
      <w:r w:rsidRPr="00332A1B">
        <w:rPr>
          <w:rFonts w:cs="Times New Roman"/>
          <w:noProof/>
          <w:lang w:val="fr-CA"/>
        </w:rPr>
        <w:t xml:space="preserve">un règlement.  Ainsi, le « contenu de négociations fructueuses » est protégé : </w:t>
      </w:r>
      <w:r w:rsidRPr="00332A1B">
        <w:rPr>
          <w:rFonts w:cs="Times New Roman"/>
          <w:i/>
          <w:noProof/>
          <w:lang w:val="fr-CA"/>
        </w:rPr>
        <w:t>Sable Offshore</w:t>
      </w:r>
      <w:r w:rsidRPr="00332A1B">
        <w:rPr>
          <w:rFonts w:cs="Times New Roman"/>
          <w:noProof/>
          <w:lang w:val="fr-CA"/>
        </w:rPr>
        <w:t>,</w:t>
      </w:r>
      <w:r w:rsidRPr="00332A1B">
        <w:rPr>
          <w:rFonts w:cs="Times New Roman"/>
          <w:i/>
          <w:noProof/>
          <w:lang w:val="fr-CA"/>
        </w:rPr>
        <w:t xml:space="preserve"> </w:t>
      </w:r>
      <w:r w:rsidRPr="00332A1B">
        <w:rPr>
          <w:rFonts w:cs="Times New Roman"/>
          <w:noProof/>
          <w:lang w:val="fr-CA"/>
        </w:rPr>
        <w:t>par</w:t>
      </w:r>
      <w:r w:rsidR="00A0307B">
        <w:rPr>
          <w:rFonts w:cs="Times New Roman"/>
          <w:noProof/>
          <w:lang w:val="fr-CA"/>
        </w:rPr>
        <w:t xml:space="preserve">. </w:t>
      </w:r>
      <w:r w:rsidRPr="00332A1B">
        <w:rPr>
          <w:rFonts w:cs="Times New Roman"/>
          <w:noProof/>
          <w:lang w:val="fr-CA"/>
        </w:rPr>
        <w:t>15</w:t>
      </w:r>
      <w:r w:rsidR="00DD4EE2">
        <w:rPr>
          <w:rFonts w:cs="Times New Roman"/>
          <w:noProof/>
          <w:lang w:val="fr-CA"/>
        </w:rPr>
        <w:t>-</w:t>
      </w:r>
      <w:r w:rsidRPr="00332A1B">
        <w:rPr>
          <w:rFonts w:cs="Times New Roman"/>
          <w:noProof/>
          <w:lang w:val="fr-CA"/>
        </w:rPr>
        <w:t>18.  Tout comme pour les autres privilèges génériques, le privilège relatif aux règlements fait l</w:t>
      </w:r>
      <w:r>
        <w:rPr>
          <w:rFonts w:cs="Times New Roman"/>
          <w:noProof/>
          <w:lang w:val="fr-CA"/>
        </w:rPr>
        <w:t>’</w:t>
      </w:r>
      <w:r w:rsidRPr="00332A1B">
        <w:rPr>
          <w:rFonts w:cs="Times New Roman"/>
          <w:noProof/>
          <w:lang w:val="fr-CA"/>
        </w:rPr>
        <w:t>objet d</w:t>
      </w:r>
      <w:r>
        <w:rPr>
          <w:rFonts w:cs="Times New Roman"/>
          <w:noProof/>
          <w:lang w:val="fr-CA"/>
        </w:rPr>
        <w:t>’</w:t>
      </w:r>
      <w:r w:rsidRPr="00332A1B">
        <w:rPr>
          <w:rFonts w:cs="Times New Roman"/>
          <w:noProof/>
          <w:lang w:val="fr-CA"/>
        </w:rPr>
        <w:t>exceptions :</w:t>
      </w:r>
    </w:p>
    <w:p w:rsidR="00F3157A" w:rsidRPr="00332A1B" w:rsidRDefault="00F3157A" w:rsidP="00A0307B">
      <w:pPr>
        <w:pStyle w:val="Citation-AltC"/>
        <w:spacing w:after="240"/>
        <w:ind w:left="1168" w:hanging="1168"/>
        <w:contextualSpacing w:val="0"/>
        <w:rPr>
          <w:noProof/>
          <w:lang w:val="fr-CA"/>
        </w:rPr>
      </w:pPr>
      <w:r>
        <w:rPr>
          <w:noProof/>
          <w:lang w:val="fr-CA"/>
        </w:rPr>
        <w:tab/>
      </w:r>
      <w:r w:rsidRPr="00332A1B">
        <w:rPr>
          <w:noProof/>
          <w:lang w:val="fr-CA"/>
        </w:rPr>
        <w:t xml:space="preserve">Pour en bénéficier, le défendeur doit établir que, tout compte fait, </w:t>
      </w:r>
      <w:r w:rsidRPr="00332A1B">
        <w:rPr>
          <w:smallCaps/>
          <w:noProof/>
          <w:lang w:val="fr-CA"/>
        </w:rPr>
        <w:t>[traduction]</w:t>
      </w:r>
      <w:r w:rsidRPr="00332A1B">
        <w:rPr>
          <w:noProof/>
          <w:lang w:val="fr-CA"/>
        </w:rPr>
        <w:t xml:space="preserve"> « un intérêt public opposé l</w:t>
      </w:r>
      <w:r>
        <w:rPr>
          <w:noProof/>
          <w:lang w:val="fr-CA"/>
        </w:rPr>
        <w:t>’</w:t>
      </w:r>
      <w:r w:rsidRPr="00332A1B">
        <w:rPr>
          <w:noProof/>
          <w:lang w:val="fr-CA"/>
        </w:rPr>
        <w:t>emporte sur l</w:t>
      </w:r>
      <w:r>
        <w:rPr>
          <w:noProof/>
          <w:lang w:val="fr-CA"/>
        </w:rPr>
        <w:t>’</w:t>
      </w:r>
      <w:r w:rsidRPr="00332A1B">
        <w:rPr>
          <w:noProof/>
          <w:lang w:val="fr-CA"/>
        </w:rPr>
        <w:t>intérêt public à favoriser le règlement amiable » (</w:t>
      </w:r>
      <w:r w:rsidRPr="00332A1B">
        <w:rPr>
          <w:i/>
          <w:noProof/>
          <w:lang w:val="fr-CA"/>
        </w:rPr>
        <w:t>Dos Santos Estate c. Sun Life Assurance Co. of Canada</w:t>
      </w:r>
      <w:r w:rsidRPr="00332A1B">
        <w:rPr>
          <w:noProof/>
          <w:lang w:val="fr-CA"/>
        </w:rPr>
        <w:t>, 2005 BCCA 4, 207 B.C.A.C</w:t>
      </w:r>
      <w:r w:rsidR="00A0307B">
        <w:rPr>
          <w:noProof/>
          <w:lang w:val="fr-CA"/>
        </w:rPr>
        <w:t xml:space="preserve">. </w:t>
      </w:r>
      <w:r w:rsidRPr="00332A1B">
        <w:rPr>
          <w:noProof/>
          <w:lang w:val="fr-CA"/>
        </w:rPr>
        <w:t>54, par</w:t>
      </w:r>
      <w:r w:rsidR="00A0307B">
        <w:rPr>
          <w:noProof/>
          <w:lang w:val="fr-CA"/>
        </w:rPr>
        <w:t xml:space="preserve">. </w:t>
      </w:r>
      <w:r w:rsidRPr="00332A1B">
        <w:rPr>
          <w:noProof/>
          <w:lang w:val="fr-CA"/>
        </w:rPr>
        <w:t>20).  On a retenu parmi ces intérêts opposés les allégations de déclaration inexacte, la fraude ou l</w:t>
      </w:r>
      <w:r>
        <w:rPr>
          <w:noProof/>
          <w:lang w:val="fr-CA"/>
        </w:rPr>
        <w:t>’</w:t>
      </w:r>
      <w:r w:rsidRPr="00332A1B">
        <w:rPr>
          <w:noProof/>
          <w:lang w:val="fr-CA"/>
        </w:rPr>
        <w:t>abus d</w:t>
      </w:r>
      <w:r>
        <w:rPr>
          <w:noProof/>
          <w:lang w:val="fr-CA"/>
        </w:rPr>
        <w:t>’</w:t>
      </w:r>
      <w:r w:rsidRPr="00332A1B">
        <w:rPr>
          <w:noProof/>
          <w:lang w:val="fr-CA"/>
        </w:rPr>
        <w:t>influence (</w:t>
      </w:r>
      <w:r w:rsidRPr="00332A1B">
        <w:rPr>
          <w:i/>
          <w:noProof/>
          <w:lang w:val="fr-CA"/>
        </w:rPr>
        <w:t>Unilever plc c. Procter &amp; Gamble Co.</w:t>
      </w:r>
      <w:r w:rsidRPr="00332A1B">
        <w:rPr>
          <w:noProof/>
          <w:lang w:val="fr-CA"/>
        </w:rPr>
        <w:t>, [2001] 1 All E.R. 783 (C.A. div</w:t>
      </w:r>
      <w:r w:rsidR="00A0307B">
        <w:rPr>
          <w:noProof/>
          <w:lang w:val="fr-CA"/>
        </w:rPr>
        <w:t xml:space="preserve">. </w:t>
      </w:r>
      <w:r w:rsidRPr="00332A1B">
        <w:rPr>
          <w:noProof/>
          <w:lang w:val="fr-CA"/>
        </w:rPr>
        <w:t xml:space="preserve">civ.), </w:t>
      </w:r>
      <w:r w:rsidRPr="00332A1B">
        <w:rPr>
          <w:i/>
          <w:noProof/>
          <w:lang w:val="fr-CA"/>
        </w:rPr>
        <w:t>Underwood c. Cox</w:t>
      </w:r>
      <w:r w:rsidRPr="00332A1B">
        <w:rPr>
          <w:noProof/>
          <w:lang w:val="fr-CA"/>
        </w:rPr>
        <w:t xml:space="preserve"> (1912), 26 O.L.R. 303 (C. div.)), et la prévention de la surindemnisation du demandeur (</w:t>
      </w:r>
      <w:r w:rsidRPr="00332A1B">
        <w:rPr>
          <w:i/>
          <w:noProof/>
          <w:lang w:val="fr-CA"/>
        </w:rPr>
        <w:t>Dos Santos</w:t>
      </w:r>
      <w:r w:rsidRPr="00332A1B">
        <w:rPr>
          <w:noProof/>
          <w:lang w:val="fr-CA"/>
        </w:rPr>
        <w:t xml:space="preserve">).  </w:t>
      </w:r>
    </w:p>
    <w:p w:rsidR="00F3157A" w:rsidRPr="00332A1B" w:rsidRDefault="00DD4EE2" w:rsidP="00A0307B">
      <w:pPr>
        <w:pStyle w:val="Citation-AltC"/>
        <w:ind w:hanging="1166"/>
        <w:rPr>
          <w:noProof/>
          <w:lang w:val="fr-CA"/>
        </w:rPr>
      </w:pPr>
      <w:r>
        <w:rPr>
          <w:noProof/>
        </w:rPr>
        <w:t>(</w:t>
      </w:r>
      <w:r w:rsidR="00F3157A" w:rsidRPr="00332A1B">
        <w:rPr>
          <w:i/>
          <w:noProof/>
          <w:lang w:val="fr-CA"/>
        </w:rPr>
        <w:t>Sable Offshore</w:t>
      </w:r>
      <w:r w:rsidR="00F3157A" w:rsidRPr="00332A1B">
        <w:rPr>
          <w:noProof/>
          <w:lang w:val="fr-CA"/>
        </w:rPr>
        <w:t>,</w:t>
      </w:r>
      <w:r w:rsidR="00F3157A" w:rsidRPr="00332A1B">
        <w:rPr>
          <w:i/>
          <w:noProof/>
          <w:lang w:val="fr-CA"/>
        </w:rPr>
        <w:t xml:space="preserve"> </w:t>
      </w:r>
      <w:r w:rsidR="00F3157A" w:rsidRPr="00332A1B">
        <w:rPr>
          <w:noProof/>
          <w:lang w:val="fr-CA"/>
        </w:rPr>
        <w:t>par</w:t>
      </w:r>
      <w:r w:rsidR="00A0307B">
        <w:rPr>
          <w:noProof/>
          <w:lang w:val="fr-CA"/>
        </w:rPr>
        <w:t xml:space="preserve">. </w:t>
      </w:r>
      <w:r>
        <w:rPr>
          <w:noProof/>
          <w:lang w:val="fr-CA"/>
        </w:rPr>
        <w:t>19)</w:t>
      </w:r>
    </w:p>
    <w:p w:rsidR="00F3157A" w:rsidRPr="00332A1B" w:rsidRDefault="00F3157A" w:rsidP="00A0307B">
      <w:pPr>
        <w:pStyle w:val="ParaNoNdepar-AltN"/>
        <w:rPr>
          <w:rFonts w:cs="Times New Roman"/>
          <w:noProof/>
          <w:lang w:val="fr-CA"/>
        </w:rPr>
      </w:pPr>
      <w:r w:rsidRPr="00332A1B">
        <w:rPr>
          <w:rFonts w:cs="Times New Roman"/>
          <w:noProof/>
          <w:lang w:val="fr-CA"/>
        </w:rPr>
        <w:t>L</w:t>
      </w:r>
      <w:r>
        <w:rPr>
          <w:rFonts w:cs="Times New Roman"/>
          <w:noProof/>
          <w:lang w:val="fr-CA"/>
        </w:rPr>
        <w:t>’</w:t>
      </w:r>
      <w:r w:rsidRPr="00332A1B">
        <w:rPr>
          <w:rFonts w:cs="Times New Roman"/>
          <w:noProof/>
          <w:lang w:val="fr-CA"/>
        </w:rPr>
        <w:t>exception au privilège relatif aux règlements en cause dans la présente affaire est la règle voulant que les communications protégées puissent être divulguées afin de faire la preuve de l</w:t>
      </w:r>
      <w:r>
        <w:rPr>
          <w:rFonts w:cs="Times New Roman"/>
          <w:noProof/>
          <w:lang w:val="fr-CA"/>
        </w:rPr>
        <w:t>’</w:t>
      </w:r>
      <w:r w:rsidRPr="00332A1B">
        <w:rPr>
          <w:rFonts w:cs="Times New Roman"/>
          <w:noProof/>
          <w:lang w:val="fr-CA"/>
        </w:rPr>
        <w:t>existence ou de la portée d</w:t>
      </w:r>
      <w:r>
        <w:rPr>
          <w:rFonts w:cs="Times New Roman"/>
          <w:noProof/>
          <w:lang w:val="fr-CA"/>
        </w:rPr>
        <w:t>’</w:t>
      </w:r>
      <w:r w:rsidRPr="00332A1B">
        <w:rPr>
          <w:rFonts w:cs="Times New Roman"/>
          <w:noProof/>
          <w:lang w:val="fr-CA"/>
        </w:rPr>
        <w:t>un règlement.  Bryant, Lederman et Fuerst expliquent comme suit cette exception :</w:t>
      </w:r>
    </w:p>
    <w:p w:rsidR="00F3157A" w:rsidRPr="00332A1B" w:rsidRDefault="00F3157A" w:rsidP="00A0307B">
      <w:pPr>
        <w:pStyle w:val="Citation-AltC"/>
        <w:ind w:hanging="1166"/>
        <w:rPr>
          <w:noProof/>
          <w:lang w:val="fr-CA"/>
        </w:rPr>
      </w:pPr>
      <w:r>
        <w:rPr>
          <w:smallCaps/>
          <w:noProof/>
          <w:lang w:val="fr-CA"/>
        </w:rPr>
        <w:lastRenderedPageBreak/>
        <w:tab/>
      </w:r>
      <w:r w:rsidRPr="00332A1B">
        <w:rPr>
          <w:smallCaps/>
          <w:noProof/>
          <w:lang w:val="fr-CA"/>
        </w:rPr>
        <w:t>[traduction]</w:t>
      </w:r>
      <w:r>
        <w:rPr>
          <w:smallCaps/>
          <w:noProof/>
          <w:lang w:val="fr-CA"/>
        </w:rPr>
        <w:t>  </w:t>
      </w:r>
      <w:r w:rsidRPr="00332A1B">
        <w:rPr>
          <w:noProof/>
          <w:lang w:val="fr-CA"/>
        </w:rPr>
        <w:t>Si les négo</w:t>
      </w:r>
      <w:r w:rsidR="00F471BB">
        <w:rPr>
          <w:noProof/>
          <w:lang w:val="fr-CA"/>
        </w:rPr>
        <w:t>c</w:t>
      </w:r>
      <w:r w:rsidRPr="00332A1B">
        <w:rPr>
          <w:noProof/>
          <w:lang w:val="fr-CA"/>
        </w:rPr>
        <w:t>iations sont fructueuses et mènent à une entente, les communications peuvent alors être présentées comme preuve du règlement lorsque l</w:t>
      </w:r>
      <w:r>
        <w:rPr>
          <w:noProof/>
          <w:lang w:val="fr-CA"/>
        </w:rPr>
        <w:t>’</w:t>
      </w:r>
      <w:r w:rsidRPr="00332A1B">
        <w:rPr>
          <w:noProof/>
          <w:lang w:val="fr-CA"/>
        </w:rPr>
        <w:t>existence ou l</w:t>
      </w:r>
      <w:r>
        <w:rPr>
          <w:noProof/>
          <w:lang w:val="fr-CA"/>
        </w:rPr>
        <w:t>’</w:t>
      </w:r>
      <w:r w:rsidRPr="00332A1B">
        <w:rPr>
          <w:noProof/>
          <w:lang w:val="fr-CA"/>
        </w:rPr>
        <w:t>interprétation de l</w:t>
      </w:r>
      <w:r>
        <w:rPr>
          <w:noProof/>
          <w:lang w:val="fr-CA"/>
        </w:rPr>
        <w:t>’</w:t>
      </w:r>
      <w:r w:rsidRPr="00332A1B">
        <w:rPr>
          <w:noProof/>
          <w:lang w:val="fr-CA"/>
        </w:rPr>
        <w:t>entente est mise en question.  Ces communications constituent l</w:t>
      </w:r>
      <w:r>
        <w:rPr>
          <w:noProof/>
          <w:lang w:val="fr-CA"/>
        </w:rPr>
        <w:t>’</w:t>
      </w:r>
      <w:r w:rsidRPr="00332A1B">
        <w:rPr>
          <w:noProof/>
          <w:lang w:val="fr-CA"/>
        </w:rPr>
        <w:t>offre et l</w:t>
      </w:r>
      <w:r>
        <w:rPr>
          <w:noProof/>
          <w:lang w:val="fr-CA"/>
        </w:rPr>
        <w:t>’</w:t>
      </w:r>
      <w:r w:rsidRPr="00332A1B">
        <w:rPr>
          <w:noProof/>
          <w:lang w:val="fr-CA"/>
        </w:rPr>
        <w:t>acceptation d</w:t>
      </w:r>
      <w:r>
        <w:rPr>
          <w:noProof/>
          <w:lang w:val="fr-CA"/>
        </w:rPr>
        <w:t>’</w:t>
      </w:r>
      <w:r w:rsidRPr="00332A1B">
        <w:rPr>
          <w:noProof/>
          <w:lang w:val="fr-CA"/>
        </w:rPr>
        <w:t>un contrat exécutoire, et peuvent en conséquence être présentées en preuve pour établir l</w:t>
      </w:r>
      <w:r>
        <w:rPr>
          <w:noProof/>
          <w:lang w:val="fr-CA"/>
        </w:rPr>
        <w:t>’</w:t>
      </w:r>
      <w:r w:rsidRPr="00332A1B">
        <w:rPr>
          <w:noProof/>
          <w:lang w:val="fr-CA"/>
        </w:rPr>
        <w:t>existence d</w:t>
      </w:r>
      <w:r>
        <w:rPr>
          <w:noProof/>
          <w:lang w:val="fr-CA"/>
        </w:rPr>
        <w:t>’</w:t>
      </w:r>
      <w:r w:rsidRPr="00332A1B">
        <w:rPr>
          <w:noProof/>
          <w:lang w:val="fr-CA"/>
        </w:rPr>
        <w:t xml:space="preserve">un règlement.  </w:t>
      </w:r>
      <w:r w:rsidRPr="00332A1B">
        <w:rPr>
          <w:noProof/>
          <w:lang w:val="fr-FR"/>
        </w:rPr>
        <w:t>[par</w:t>
      </w:r>
      <w:r w:rsidR="00A0307B">
        <w:rPr>
          <w:noProof/>
          <w:lang w:val="fr-FR"/>
        </w:rPr>
        <w:t xml:space="preserve">. </w:t>
      </w:r>
      <w:r w:rsidRPr="00332A1B">
        <w:rPr>
          <w:noProof/>
          <w:lang w:val="fr-CA"/>
        </w:rPr>
        <w:t>14.340</w:t>
      </w:r>
      <w:r w:rsidRPr="00332A1B">
        <w:rPr>
          <w:noProof/>
          <w:lang w:val="fr-FR"/>
        </w:rPr>
        <w:t>]</w:t>
      </w:r>
    </w:p>
    <w:p w:rsidR="00F3157A" w:rsidRPr="00332A1B" w:rsidRDefault="00F3157A" w:rsidP="00A0307B">
      <w:pPr>
        <w:pStyle w:val="ContinueParaSuitedupar-AltP"/>
        <w:rPr>
          <w:rFonts w:cs="Times New Roman"/>
          <w:noProof/>
          <w:lang w:val="fr-CA"/>
        </w:rPr>
      </w:pPr>
      <w:r w:rsidRPr="00332A1B">
        <w:rPr>
          <w:rFonts w:cs="Times New Roman"/>
          <w:noProof/>
          <w:lang w:val="fr-CA"/>
        </w:rPr>
        <w:t>Il s</w:t>
      </w:r>
      <w:r>
        <w:rPr>
          <w:rFonts w:cs="Times New Roman"/>
          <w:noProof/>
          <w:lang w:val="fr-CA"/>
        </w:rPr>
        <w:t>’</w:t>
      </w:r>
      <w:r w:rsidRPr="00332A1B">
        <w:rPr>
          <w:rFonts w:cs="Times New Roman"/>
          <w:noProof/>
          <w:lang w:val="fr-CA"/>
        </w:rPr>
        <w:t>agit d</w:t>
      </w:r>
      <w:r>
        <w:rPr>
          <w:rFonts w:cs="Times New Roman"/>
          <w:noProof/>
          <w:lang w:val="fr-CA"/>
        </w:rPr>
        <w:t>’</w:t>
      </w:r>
      <w:r w:rsidRPr="00332A1B">
        <w:rPr>
          <w:rFonts w:cs="Times New Roman"/>
          <w:noProof/>
          <w:lang w:val="fr-CA"/>
        </w:rPr>
        <w:t>une règle simple et conforme à l</w:t>
      </w:r>
      <w:r>
        <w:rPr>
          <w:rFonts w:cs="Times New Roman"/>
          <w:noProof/>
          <w:lang w:val="fr-CA"/>
        </w:rPr>
        <w:t>’</w:t>
      </w:r>
      <w:r w:rsidRPr="00332A1B">
        <w:rPr>
          <w:rFonts w:cs="Times New Roman"/>
          <w:noProof/>
          <w:lang w:val="fr-CA"/>
        </w:rPr>
        <w:t>idée de promouvoir les règlements.  Une communication cesse d</w:t>
      </w:r>
      <w:r>
        <w:rPr>
          <w:rFonts w:cs="Times New Roman"/>
          <w:noProof/>
          <w:lang w:val="fr-CA"/>
        </w:rPr>
        <w:t>’</w:t>
      </w:r>
      <w:r w:rsidRPr="00332A1B">
        <w:rPr>
          <w:rFonts w:cs="Times New Roman"/>
          <w:noProof/>
          <w:lang w:val="fr-CA"/>
        </w:rPr>
        <w:t>être privilégiée si elle conduit à un règlement et si sa divulgation est nécessaire pour prouver l</w:t>
      </w:r>
      <w:r>
        <w:rPr>
          <w:rFonts w:cs="Times New Roman"/>
          <w:noProof/>
          <w:lang w:val="fr-CA"/>
        </w:rPr>
        <w:t>’</w:t>
      </w:r>
      <w:r w:rsidRPr="00332A1B">
        <w:rPr>
          <w:rFonts w:cs="Times New Roman"/>
          <w:noProof/>
          <w:lang w:val="fr-CA"/>
        </w:rPr>
        <w:t>existence ou la portée du règlement.  Dès que les parties arrivent à un règlement, il importe, pour favoriser les règlements en général, que les parties soient en mesure de faire la preuve des modalités convenues.  Loin de l</w:t>
      </w:r>
      <w:r>
        <w:rPr>
          <w:rFonts w:cs="Times New Roman"/>
          <w:noProof/>
          <w:lang w:val="fr-CA"/>
        </w:rPr>
        <w:t>’</w:t>
      </w:r>
      <w:r w:rsidRPr="00332A1B">
        <w:rPr>
          <w:rFonts w:cs="Times New Roman"/>
          <w:noProof/>
          <w:lang w:val="fr-CA"/>
        </w:rPr>
        <w:t>emporter sur le principe suivant lequel il faut favoriser les règlements à l</w:t>
      </w:r>
      <w:r>
        <w:rPr>
          <w:rFonts w:cs="Times New Roman"/>
          <w:noProof/>
          <w:lang w:val="fr-CA"/>
        </w:rPr>
        <w:t>’</w:t>
      </w:r>
      <w:r w:rsidRPr="00332A1B">
        <w:rPr>
          <w:rFonts w:cs="Times New Roman"/>
          <w:noProof/>
          <w:lang w:val="fr-CA"/>
        </w:rPr>
        <w:t>amiable (</w:t>
      </w:r>
      <w:r w:rsidRPr="00332A1B">
        <w:rPr>
          <w:rFonts w:cs="Times New Roman"/>
          <w:i/>
          <w:noProof/>
          <w:lang w:val="fr-CA"/>
        </w:rPr>
        <w:t>Sable Offshore</w:t>
      </w:r>
      <w:r w:rsidRPr="00332A1B">
        <w:rPr>
          <w:rFonts w:cs="Times New Roman"/>
          <w:noProof/>
          <w:lang w:val="fr-CA"/>
        </w:rPr>
        <w:t>, par</w:t>
      </w:r>
      <w:r w:rsidR="00A0307B">
        <w:rPr>
          <w:rFonts w:cs="Times New Roman"/>
          <w:noProof/>
          <w:lang w:val="fr-CA"/>
        </w:rPr>
        <w:t xml:space="preserve">. </w:t>
      </w:r>
      <w:r w:rsidRPr="00332A1B">
        <w:rPr>
          <w:rFonts w:cs="Times New Roman"/>
          <w:noProof/>
          <w:lang w:val="fr-CA"/>
        </w:rPr>
        <w:t xml:space="preserve">30), la divulgation </w:t>
      </w:r>
      <w:r>
        <w:rPr>
          <w:rFonts w:cs="Times New Roman"/>
          <w:noProof/>
          <w:lang w:val="fr-CA"/>
        </w:rPr>
        <w:t>—</w:t>
      </w:r>
      <w:r w:rsidRPr="00332A1B">
        <w:rPr>
          <w:rFonts w:cs="Times New Roman"/>
          <w:noProof/>
          <w:lang w:val="fr-CA"/>
        </w:rPr>
        <w:t xml:space="preserve"> en vue de prouver les modalités d</w:t>
      </w:r>
      <w:r>
        <w:rPr>
          <w:rFonts w:cs="Times New Roman"/>
          <w:noProof/>
          <w:lang w:val="fr-CA"/>
        </w:rPr>
        <w:t>’</w:t>
      </w:r>
      <w:r w:rsidRPr="00332A1B">
        <w:rPr>
          <w:rFonts w:cs="Times New Roman"/>
          <w:noProof/>
          <w:lang w:val="fr-CA"/>
        </w:rPr>
        <w:t xml:space="preserve">une entente </w:t>
      </w:r>
      <w:r>
        <w:rPr>
          <w:rFonts w:cs="Times New Roman"/>
          <w:noProof/>
          <w:lang w:val="fr-CA"/>
        </w:rPr>
        <w:t>—</w:t>
      </w:r>
      <w:r w:rsidRPr="00332A1B">
        <w:rPr>
          <w:rFonts w:cs="Times New Roman"/>
          <w:noProof/>
          <w:lang w:val="fr-CA"/>
        </w:rPr>
        <w:t xml:space="preserve"> favorise en fait ce principe.  Cette règle est logique car elle vise le même objectif que le privilège lui</w:t>
      </w:r>
      <w:r w:rsidR="00A0307B">
        <w:rPr>
          <w:rFonts w:cs="Times New Roman"/>
          <w:noProof/>
          <w:lang w:val="fr-CA"/>
        </w:rPr>
        <w:t>-</w:t>
      </w:r>
      <w:r w:rsidRPr="00332A1B">
        <w:rPr>
          <w:rFonts w:cs="Times New Roman"/>
          <w:noProof/>
          <w:lang w:val="fr-CA"/>
        </w:rPr>
        <w:t>même, soit favoriser les règlements.</w:t>
      </w:r>
    </w:p>
    <w:p w:rsidR="00F3157A" w:rsidRPr="00332A1B" w:rsidRDefault="00F3157A" w:rsidP="00A0307B">
      <w:pPr>
        <w:pStyle w:val="ParaNoNdepar-AltN"/>
        <w:rPr>
          <w:rFonts w:cs="Times New Roman"/>
          <w:noProof/>
          <w:lang w:val="fr-CA"/>
        </w:rPr>
      </w:pPr>
      <w:r w:rsidRPr="00332A1B">
        <w:rPr>
          <w:rFonts w:cs="Times New Roman"/>
          <w:noProof/>
          <w:lang w:val="fr-CA"/>
        </w:rPr>
        <w:t>Dans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Globe and Mail</w:t>
      </w:r>
      <w:r w:rsidRPr="00332A1B">
        <w:rPr>
          <w:rFonts w:cs="Times New Roman"/>
          <w:noProof/>
          <w:lang w:val="fr-CA"/>
        </w:rPr>
        <w:t>, notre Cour a confirmé que le privilège relatif aux règlements qui existe en common law s</w:t>
      </w:r>
      <w:r>
        <w:rPr>
          <w:rFonts w:cs="Times New Roman"/>
          <w:noProof/>
          <w:lang w:val="fr-CA"/>
        </w:rPr>
        <w:t>’</w:t>
      </w:r>
      <w:r w:rsidRPr="00332A1B">
        <w:rPr>
          <w:rFonts w:cs="Times New Roman"/>
          <w:noProof/>
          <w:lang w:val="fr-CA"/>
        </w:rPr>
        <w:t>applique au Québec.  Comme l</w:t>
      </w:r>
      <w:r>
        <w:rPr>
          <w:rFonts w:cs="Times New Roman"/>
          <w:noProof/>
          <w:lang w:val="fr-CA"/>
        </w:rPr>
        <w:t>’</w:t>
      </w:r>
      <w:r w:rsidR="001B4955">
        <w:rPr>
          <w:rFonts w:cs="Times New Roman"/>
          <w:noProof/>
          <w:lang w:val="fr-CA"/>
        </w:rPr>
        <w:t>a expliqué la C</w:t>
      </w:r>
      <w:r w:rsidRPr="00332A1B">
        <w:rPr>
          <w:rFonts w:cs="Times New Roman"/>
          <w:noProof/>
          <w:lang w:val="fr-CA"/>
        </w:rPr>
        <w:t>our d</w:t>
      </w:r>
      <w:r>
        <w:rPr>
          <w:rFonts w:cs="Times New Roman"/>
          <w:noProof/>
          <w:lang w:val="fr-CA"/>
        </w:rPr>
        <w:t>’</w:t>
      </w:r>
      <w:r w:rsidRPr="00332A1B">
        <w:rPr>
          <w:rFonts w:cs="Times New Roman"/>
          <w:noProof/>
          <w:lang w:val="fr-CA"/>
        </w:rPr>
        <w:t>appel dans les motifs de sa décision en l</w:t>
      </w:r>
      <w:r>
        <w:rPr>
          <w:rFonts w:cs="Times New Roman"/>
          <w:noProof/>
          <w:lang w:val="fr-CA"/>
        </w:rPr>
        <w:t>’</w:t>
      </w:r>
      <w:r w:rsidRPr="00332A1B">
        <w:rPr>
          <w:rFonts w:cs="Times New Roman"/>
          <w:noProof/>
          <w:lang w:val="fr-CA"/>
        </w:rPr>
        <w:t>espèce, il est également évident que l</w:t>
      </w:r>
      <w:r>
        <w:rPr>
          <w:rFonts w:cs="Times New Roman"/>
          <w:noProof/>
          <w:lang w:val="fr-CA"/>
        </w:rPr>
        <w:t>’</w:t>
      </w:r>
      <w:r w:rsidRPr="00332A1B">
        <w:rPr>
          <w:rFonts w:cs="Times New Roman"/>
          <w:noProof/>
          <w:lang w:val="fr-CA"/>
        </w:rPr>
        <w:t>exception qui permet de prouver les modalités d</w:t>
      </w:r>
      <w:r>
        <w:rPr>
          <w:rFonts w:cs="Times New Roman"/>
          <w:noProof/>
          <w:lang w:val="fr-CA"/>
        </w:rPr>
        <w:t>’</w:t>
      </w:r>
      <w:r w:rsidRPr="00332A1B">
        <w:rPr>
          <w:rFonts w:cs="Times New Roman"/>
          <w:noProof/>
          <w:lang w:val="fr-CA"/>
        </w:rPr>
        <w:t>un règlement s</w:t>
      </w:r>
      <w:r>
        <w:rPr>
          <w:rFonts w:cs="Times New Roman"/>
          <w:noProof/>
          <w:lang w:val="fr-CA"/>
        </w:rPr>
        <w:t>’</w:t>
      </w:r>
      <w:r w:rsidRPr="00332A1B">
        <w:rPr>
          <w:rFonts w:cs="Times New Roman"/>
          <w:noProof/>
          <w:lang w:val="fr-CA"/>
        </w:rPr>
        <w:t>applique au Q</w:t>
      </w:r>
      <w:r w:rsidR="001B4955">
        <w:rPr>
          <w:rFonts w:cs="Times New Roman"/>
          <w:noProof/>
          <w:lang w:val="fr-CA"/>
        </w:rPr>
        <w:t>uébec.  La C</w:t>
      </w:r>
      <w:r w:rsidRPr="00332A1B">
        <w:rPr>
          <w:rFonts w:cs="Times New Roman"/>
          <w:noProof/>
          <w:lang w:val="fr-CA"/>
        </w:rPr>
        <w:t>our d</w:t>
      </w:r>
      <w:r>
        <w:rPr>
          <w:rFonts w:cs="Times New Roman"/>
          <w:noProof/>
          <w:lang w:val="fr-CA"/>
        </w:rPr>
        <w:t>’</w:t>
      </w:r>
      <w:r w:rsidRPr="00332A1B">
        <w:rPr>
          <w:rFonts w:cs="Times New Roman"/>
          <w:noProof/>
          <w:lang w:val="fr-CA"/>
        </w:rPr>
        <w:t>appel cite sur ce point un certain nombre d</w:t>
      </w:r>
      <w:r>
        <w:rPr>
          <w:rFonts w:cs="Times New Roman"/>
          <w:noProof/>
          <w:lang w:val="fr-CA"/>
        </w:rPr>
        <w:t>’</w:t>
      </w:r>
      <w:r w:rsidRPr="00332A1B">
        <w:rPr>
          <w:rFonts w:cs="Times New Roman"/>
          <w:noProof/>
          <w:lang w:val="fr-CA"/>
        </w:rPr>
        <w:t>auteurs et de décisions judiciaires du Québec, et je considère utile de réitérer la façon dont les professeurs J</w:t>
      </w:r>
      <w:r w:rsidR="00DD4EE2">
        <w:rPr>
          <w:rFonts w:cs="Times New Roman"/>
          <w:noProof/>
          <w:lang w:val="fr-CA"/>
        </w:rPr>
        <w:t>.-</w:t>
      </w:r>
      <w:r w:rsidRPr="00332A1B">
        <w:rPr>
          <w:rFonts w:cs="Times New Roman"/>
          <w:noProof/>
          <w:lang w:val="fr-CA"/>
        </w:rPr>
        <w:t>C</w:t>
      </w:r>
      <w:r w:rsidR="00A0307B">
        <w:rPr>
          <w:rFonts w:cs="Times New Roman"/>
          <w:noProof/>
          <w:lang w:val="fr-CA"/>
        </w:rPr>
        <w:t xml:space="preserve">. </w:t>
      </w:r>
      <w:r w:rsidRPr="00332A1B">
        <w:rPr>
          <w:rFonts w:cs="Times New Roman"/>
          <w:noProof/>
          <w:lang w:val="fr-CA"/>
        </w:rPr>
        <w:t>Royer et S</w:t>
      </w:r>
      <w:r w:rsidR="00A0307B">
        <w:rPr>
          <w:rFonts w:cs="Times New Roman"/>
          <w:noProof/>
          <w:lang w:val="fr-CA"/>
        </w:rPr>
        <w:t xml:space="preserve">. </w:t>
      </w:r>
      <w:r w:rsidRPr="00332A1B">
        <w:rPr>
          <w:rFonts w:cs="Times New Roman"/>
          <w:noProof/>
          <w:lang w:val="fr-CA"/>
        </w:rPr>
        <w:t>Lavallée exposent l</w:t>
      </w:r>
      <w:r>
        <w:rPr>
          <w:rFonts w:cs="Times New Roman"/>
          <w:noProof/>
          <w:lang w:val="fr-CA"/>
        </w:rPr>
        <w:t>’</w:t>
      </w:r>
      <w:r w:rsidRPr="00332A1B">
        <w:rPr>
          <w:rFonts w:cs="Times New Roman"/>
          <w:noProof/>
          <w:lang w:val="fr-CA"/>
        </w:rPr>
        <w:t>application de cette exception :</w:t>
      </w:r>
    </w:p>
    <w:p w:rsidR="00F3157A" w:rsidRPr="00332A1B" w:rsidRDefault="00F3157A" w:rsidP="00A0307B">
      <w:pPr>
        <w:pStyle w:val="Citation-AltC"/>
        <w:spacing w:after="240"/>
        <w:ind w:left="1168" w:hanging="1168"/>
        <w:contextualSpacing w:val="0"/>
        <w:rPr>
          <w:noProof/>
          <w:lang w:val="fr-CA"/>
        </w:rPr>
      </w:pPr>
      <w:r>
        <w:rPr>
          <w:b/>
          <w:bCs/>
          <w:noProof/>
          <w:lang w:val="fr-CA"/>
        </w:rPr>
        <w:tab/>
      </w:r>
      <w:r>
        <w:rPr>
          <w:b/>
          <w:bCs/>
          <w:noProof/>
          <w:lang w:val="fr-CA"/>
        </w:rPr>
        <w:tab/>
      </w:r>
      <w:r w:rsidRPr="00332A1B">
        <w:rPr>
          <w:b/>
          <w:bCs/>
          <w:noProof/>
          <w:lang w:val="fr-CA"/>
        </w:rPr>
        <w:t>1137</w:t>
      </w:r>
      <w:r w:rsidRPr="00332A1B">
        <w:rPr>
          <w:bCs/>
          <w:noProof/>
          <w:lang w:val="fr-CA"/>
        </w:rPr>
        <w:t xml:space="preserve"> </w:t>
      </w:r>
      <w:r w:rsidR="00DD4EE2">
        <w:rPr>
          <w:noProof/>
          <w:lang w:val="fr-CA"/>
        </w:rPr>
        <w:t>—</w:t>
      </w:r>
      <w:r w:rsidRPr="00332A1B">
        <w:rPr>
          <w:noProof/>
          <w:lang w:val="fr-CA"/>
        </w:rPr>
        <w:t xml:space="preserve"> </w:t>
      </w:r>
      <w:r w:rsidRPr="00332A1B">
        <w:rPr>
          <w:i/>
          <w:iCs/>
          <w:noProof/>
          <w:lang w:val="fr-CA"/>
        </w:rPr>
        <w:t xml:space="preserve">Limites de ce privilège </w:t>
      </w:r>
      <w:r w:rsidR="00DD4EE2" w:rsidRPr="00DD4EE2">
        <w:rPr>
          <w:iCs/>
          <w:noProof/>
          <w:lang w:val="fr-CA"/>
        </w:rPr>
        <w:t>—</w:t>
      </w:r>
      <w:r w:rsidRPr="00DD4EE2">
        <w:rPr>
          <w:noProof/>
          <w:lang w:val="fr-CA"/>
        </w:rPr>
        <w:t xml:space="preserve"> </w:t>
      </w:r>
      <w:r w:rsidRPr="00332A1B">
        <w:rPr>
          <w:noProof/>
          <w:lang w:val="fr-CA"/>
        </w:rPr>
        <w:t>Cette règle d</w:t>
      </w:r>
      <w:r>
        <w:rPr>
          <w:noProof/>
          <w:lang w:val="fr-CA"/>
        </w:rPr>
        <w:t>’</w:t>
      </w:r>
      <w:r w:rsidRPr="00332A1B">
        <w:rPr>
          <w:noProof/>
          <w:lang w:val="fr-CA"/>
        </w:rPr>
        <w:t>exclusion de preuve est motivée par la volonté de favoriser le règlement à l</w:t>
      </w:r>
      <w:r>
        <w:rPr>
          <w:noProof/>
          <w:lang w:val="fr-CA"/>
        </w:rPr>
        <w:t>’</w:t>
      </w:r>
      <w:r w:rsidRPr="00332A1B">
        <w:rPr>
          <w:noProof/>
          <w:lang w:val="fr-CA"/>
        </w:rPr>
        <w:t xml:space="preserve">amiable des </w:t>
      </w:r>
      <w:r w:rsidRPr="00332A1B">
        <w:rPr>
          <w:noProof/>
          <w:lang w:val="fr-CA"/>
        </w:rPr>
        <w:lastRenderedPageBreak/>
        <w:t>litiges.  Aussi, le caractère privilégié de la communication est limité aux faits reliés à la négociation d</w:t>
      </w:r>
      <w:r>
        <w:rPr>
          <w:noProof/>
          <w:lang w:val="fr-CA"/>
        </w:rPr>
        <w:t>’</w:t>
      </w:r>
      <w:r w:rsidRPr="00332A1B">
        <w:rPr>
          <w:noProof/>
          <w:lang w:val="fr-CA"/>
        </w:rPr>
        <w:t>un règlement.  Ainsi, une expertise est privilégiée lorsqu</w:t>
      </w:r>
      <w:r>
        <w:rPr>
          <w:noProof/>
          <w:lang w:val="fr-CA"/>
        </w:rPr>
        <w:t>’</w:t>
      </w:r>
      <w:r w:rsidRPr="00332A1B">
        <w:rPr>
          <w:noProof/>
          <w:lang w:val="fr-CA"/>
        </w:rPr>
        <w:t>elle est transmise avec une communication faite dans le but de régler un litige.  Par ailleurs, un plaideur ne peut s</w:t>
      </w:r>
      <w:r>
        <w:rPr>
          <w:noProof/>
          <w:lang w:val="fr-CA"/>
        </w:rPr>
        <w:t>’</w:t>
      </w:r>
      <w:r w:rsidRPr="00332A1B">
        <w:rPr>
          <w:noProof/>
          <w:lang w:val="fr-CA"/>
        </w:rPr>
        <w:t>opposer à la preuve d</w:t>
      </w:r>
      <w:r>
        <w:rPr>
          <w:noProof/>
          <w:lang w:val="fr-CA"/>
        </w:rPr>
        <w:t>’</w:t>
      </w:r>
      <w:r w:rsidRPr="00332A1B">
        <w:rPr>
          <w:noProof/>
          <w:lang w:val="fr-CA"/>
        </w:rPr>
        <w:t>un fait indépendant et distinct d</w:t>
      </w:r>
      <w:r>
        <w:rPr>
          <w:noProof/>
          <w:lang w:val="fr-CA"/>
        </w:rPr>
        <w:t>’</w:t>
      </w:r>
      <w:r w:rsidRPr="00332A1B">
        <w:rPr>
          <w:noProof/>
          <w:lang w:val="fr-CA"/>
        </w:rPr>
        <w:t xml:space="preserve">une offre de règlement.  Une telle objection sera </w:t>
      </w:r>
      <w:r w:rsidRPr="00332A1B">
        <w:rPr>
          <w:i/>
          <w:iCs/>
          <w:noProof/>
          <w:lang w:val="fr-CA"/>
        </w:rPr>
        <w:t xml:space="preserve">a fortiori </w:t>
      </w:r>
      <w:r w:rsidRPr="00332A1B">
        <w:rPr>
          <w:noProof/>
          <w:lang w:val="fr-CA"/>
        </w:rPr>
        <w:t>rejetée si le fait est contraire à l</w:t>
      </w:r>
      <w:r>
        <w:rPr>
          <w:noProof/>
          <w:lang w:val="fr-CA"/>
        </w:rPr>
        <w:t>’</w:t>
      </w:r>
      <w:r w:rsidRPr="00332A1B">
        <w:rPr>
          <w:noProof/>
          <w:lang w:val="fr-CA"/>
        </w:rPr>
        <w:t>ordre public ou à la morale ou s</w:t>
      </w:r>
      <w:r>
        <w:rPr>
          <w:noProof/>
          <w:lang w:val="fr-CA"/>
        </w:rPr>
        <w:t>’</w:t>
      </w:r>
      <w:r w:rsidRPr="00332A1B">
        <w:rPr>
          <w:noProof/>
          <w:lang w:val="fr-CA"/>
        </w:rPr>
        <w:t>il est de nature à causer un préjudice sérieux au destinataire de la communication.  Ainsi, ne sont pas privilégiées la menace d</w:t>
      </w:r>
      <w:r>
        <w:rPr>
          <w:noProof/>
          <w:lang w:val="fr-CA"/>
        </w:rPr>
        <w:t>’</w:t>
      </w:r>
      <w:r w:rsidRPr="00332A1B">
        <w:rPr>
          <w:noProof/>
          <w:lang w:val="fr-CA"/>
        </w:rPr>
        <w:t>un débiteur contenue dans une offre de règlement et sa déclaration à l</w:t>
      </w:r>
      <w:r>
        <w:rPr>
          <w:noProof/>
          <w:lang w:val="fr-CA"/>
        </w:rPr>
        <w:t>’</w:t>
      </w:r>
      <w:r w:rsidRPr="00332A1B">
        <w:rPr>
          <w:noProof/>
          <w:lang w:val="fr-CA"/>
        </w:rPr>
        <w:t>effet qu</w:t>
      </w:r>
      <w:r>
        <w:rPr>
          <w:noProof/>
          <w:lang w:val="fr-CA"/>
        </w:rPr>
        <w:t>’</w:t>
      </w:r>
      <w:r w:rsidRPr="00332A1B">
        <w:rPr>
          <w:noProof/>
          <w:lang w:val="fr-CA"/>
        </w:rPr>
        <w:t xml:space="preserve">il est incapable de payer ses créanciers.  </w:t>
      </w:r>
      <w:r w:rsidRPr="00332A1B">
        <w:rPr>
          <w:noProof/>
          <w:u w:val="single"/>
          <w:lang w:val="fr-CA"/>
        </w:rPr>
        <w:t>Une communication cesse d</w:t>
      </w:r>
      <w:r>
        <w:rPr>
          <w:noProof/>
          <w:u w:val="single"/>
          <w:lang w:val="fr-CA"/>
        </w:rPr>
        <w:t>’</w:t>
      </w:r>
      <w:r w:rsidRPr="00332A1B">
        <w:rPr>
          <w:noProof/>
          <w:u w:val="single"/>
          <w:lang w:val="fr-CA"/>
        </w:rPr>
        <w:t>être privilégiée, si elle conduit à une transaction que l</w:t>
      </w:r>
      <w:r>
        <w:rPr>
          <w:noProof/>
          <w:u w:val="single"/>
          <w:lang w:val="fr-CA"/>
        </w:rPr>
        <w:t>’</w:t>
      </w:r>
      <w:r w:rsidRPr="00332A1B">
        <w:rPr>
          <w:noProof/>
          <w:u w:val="single"/>
          <w:lang w:val="fr-CA"/>
        </w:rPr>
        <w:t>une des parties désire établir</w:t>
      </w:r>
      <w:r w:rsidRPr="00DD4EE2">
        <w:rPr>
          <w:noProof/>
          <w:u w:val="single"/>
          <w:lang w:val="fr-CA"/>
        </w:rPr>
        <w:t>.</w:t>
      </w:r>
      <w:r w:rsidRPr="00332A1B">
        <w:rPr>
          <w:noProof/>
          <w:lang w:val="fr-CA"/>
        </w:rPr>
        <w:t xml:space="preserve">  Il est également permis de prouver l</w:t>
      </w:r>
      <w:r>
        <w:rPr>
          <w:noProof/>
          <w:lang w:val="fr-CA"/>
        </w:rPr>
        <w:t>’</w:t>
      </w:r>
      <w:r w:rsidRPr="00332A1B">
        <w:rPr>
          <w:noProof/>
          <w:lang w:val="fr-CA"/>
        </w:rPr>
        <w:t>existence d</w:t>
      </w:r>
      <w:r>
        <w:rPr>
          <w:noProof/>
          <w:lang w:val="fr-CA"/>
        </w:rPr>
        <w:t>’</w:t>
      </w:r>
      <w:r w:rsidRPr="00332A1B">
        <w:rPr>
          <w:noProof/>
          <w:lang w:val="fr-CA"/>
        </w:rPr>
        <w:t>une négociation entre les parties et des offres de règlements pour faire la preuve de certains faits pertinents permettant de trancher une question de prescr</w:t>
      </w:r>
      <w:r w:rsidR="007D7D81">
        <w:rPr>
          <w:noProof/>
          <w:lang w:val="fr-CA"/>
        </w:rPr>
        <w:t>iption, pour démontrer des manœ</w:t>
      </w:r>
      <w:r w:rsidRPr="00332A1B">
        <w:rPr>
          <w:noProof/>
          <w:lang w:val="fr-CA"/>
        </w:rPr>
        <w:t xml:space="preserve">uvres frauduleuses ou pour expliquer et justifier le retard à intenter une poursuite.  [Je souligne.] </w:t>
      </w:r>
    </w:p>
    <w:p w:rsidR="00F3157A" w:rsidRPr="00332A1B" w:rsidRDefault="00F3157A" w:rsidP="00A0307B">
      <w:pPr>
        <w:pStyle w:val="Citation-AltC"/>
        <w:ind w:hanging="1166"/>
        <w:rPr>
          <w:noProof/>
          <w:lang w:val="fr-CA"/>
        </w:rPr>
      </w:pPr>
      <w:r w:rsidRPr="00332A1B">
        <w:rPr>
          <w:noProof/>
          <w:lang w:val="fr-CA"/>
        </w:rPr>
        <w:t>(</w:t>
      </w:r>
      <w:r w:rsidRPr="00332A1B">
        <w:rPr>
          <w:i/>
          <w:iCs/>
          <w:noProof/>
          <w:lang w:val="fr-CA"/>
        </w:rPr>
        <w:t>La preuve civile</w:t>
      </w:r>
      <w:r w:rsidRPr="00332A1B">
        <w:rPr>
          <w:iCs/>
          <w:noProof/>
          <w:lang w:val="fr-CA"/>
        </w:rPr>
        <w:t xml:space="preserve"> (4</w:t>
      </w:r>
      <w:r w:rsidRPr="00DD4EE2">
        <w:rPr>
          <w:iCs/>
          <w:noProof/>
          <w:vertAlign w:val="superscript"/>
          <w:lang w:val="fr-CA"/>
        </w:rPr>
        <w:t>e</w:t>
      </w:r>
      <w:r w:rsidRPr="00332A1B">
        <w:rPr>
          <w:iCs/>
          <w:noProof/>
          <w:lang w:val="fr-CA"/>
        </w:rPr>
        <w:t> éd. 2008</w:t>
      </w:r>
      <w:r w:rsidRPr="00332A1B">
        <w:rPr>
          <w:noProof/>
          <w:lang w:val="fr-CA"/>
        </w:rPr>
        <w:t>)</w:t>
      </w:r>
      <w:r>
        <w:rPr>
          <w:noProof/>
          <w:lang w:val="fr-CA"/>
        </w:rPr>
        <w:t>)</w:t>
      </w:r>
      <w:r w:rsidRPr="00332A1B">
        <w:rPr>
          <w:noProof/>
          <w:lang w:val="fr-CA"/>
        </w:rPr>
        <w:t xml:space="preserve">  </w:t>
      </w:r>
    </w:p>
    <w:p w:rsidR="00F3157A" w:rsidRPr="00332A1B" w:rsidRDefault="00F3157A" w:rsidP="00A0307B">
      <w:pPr>
        <w:pStyle w:val="ParaNoNdepar-AltN"/>
        <w:rPr>
          <w:rFonts w:cs="Times New Roman"/>
          <w:noProof/>
          <w:lang w:val="fr-CA"/>
        </w:rPr>
      </w:pPr>
      <w:r w:rsidRPr="00332A1B">
        <w:rPr>
          <w:rFonts w:cs="Times New Roman"/>
          <w:noProof/>
          <w:lang w:val="fr-CA"/>
        </w:rPr>
        <w:t>Bien que cette règle ne soit pas codifiée dans le droit québécois, les ouvrages de doctrine sur le droit de la preuve en traitent et elle fait partie</w:t>
      </w:r>
      <w:r w:rsidR="001B4955">
        <w:rPr>
          <w:rFonts w:cs="Times New Roman"/>
          <w:noProof/>
          <w:lang w:val="fr-CA"/>
        </w:rPr>
        <w:t xml:space="preserve"> du droit civil du Québec.  La C</w:t>
      </w:r>
      <w:r w:rsidRPr="00332A1B">
        <w:rPr>
          <w:rFonts w:cs="Times New Roman"/>
          <w:noProof/>
          <w:lang w:val="fr-CA"/>
        </w:rPr>
        <w:t>our d</w:t>
      </w:r>
      <w:r>
        <w:rPr>
          <w:rFonts w:cs="Times New Roman"/>
          <w:noProof/>
          <w:lang w:val="fr-CA"/>
        </w:rPr>
        <w:t>’</w:t>
      </w:r>
      <w:r w:rsidRPr="00332A1B">
        <w:rPr>
          <w:rFonts w:cs="Times New Roman"/>
          <w:noProof/>
          <w:lang w:val="fr-CA"/>
        </w:rPr>
        <w:t>app</w:t>
      </w:r>
      <w:r w:rsidR="001B4955">
        <w:rPr>
          <w:rFonts w:cs="Times New Roman"/>
          <w:noProof/>
          <w:lang w:val="fr-CA"/>
        </w:rPr>
        <w:t>el a cité deux décisions où la C</w:t>
      </w:r>
      <w:r w:rsidRPr="00332A1B">
        <w:rPr>
          <w:rFonts w:cs="Times New Roman"/>
          <w:noProof/>
          <w:lang w:val="fr-CA"/>
        </w:rPr>
        <w:t>our supérieure a appliqué l</w:t>
      </w:r>
      <w:r>
        <w:rPr>
          <w:rFonts w:cs="Times New Roman"/>
          <w:noProof/>
          <w:lang w:val="fr-CA"/>
        </w:rPr>
        <w:t>’</w:t>
      </w:r>
      <w:r w:rsidRPr="00332A1B">
        <w:rPr>
          <w:rFonts w:cs="Times New Roman"/>
          <w:noProof/>
          <w:lang w:val="fr-CA"/>
        </w:rPr>
        <w:t xml:space="preserve">exception : </w:t>
      </w:r>
      <w:r w:rsidRPr="00332A1B">
        <w:rPr>
          <w:rFonts w:cs="Times New Roman"/>
          <w:i/>
          <w:iCs/>
          <w:noProof/>
          <w:lang w:val="fr-CA"/>
        </w:rPr>
        <w:t>Ferlat</w:t>
      </w:r>
      <w:r w:rsidR="00DD4EE2">
        <w:rPr>
          <w:rFonts w:cs="Times New Roman"/>
          <w:i/>
          <w:iCs/>
          <w:noProof/>
          <w:lang w:val="fr-CA"/>
        </w:rPr>
        <w:t>t</w:t>
      </w:r>
      <w:r w:rsidRPr="00332A1B">
        <w:rPr>
          <w:rFonts w:cs="Times New Roman"/>
          <w:i/>
          <w:iCs/>
          <w:noProof/>
          <w:lang w:val="fr-CA"/>
        </w:rPr>
        <w:t>e</w:t>
      </w:r>
      <w:r w:rsidRPr="00332A1B">
        <w:rPr>
          <w:rFonts w:cs="Times New Roman"/>
          <w:iCs/>
          <w:noProof/>
          <w:lang w:val="fr-CA"/>
        </w:rPr>
        <w:t xml:space="preserve"> </w:t>
      </w:r>
      <w:r w:rsidRPr="00332A1B">
        <w:rPr>
          <w:rFonts w:cs="Times New Roman"/>
          <w:noProof/>
          <w:lang w:val="fr-CA"/>
        </w:rPr>
        <w:t xml:space="preserve">et </w:t>
      </w:r>
      <w:r w:rsidRPr="00332A1B">
        <w:rPr>
          <w:rFonts w:cs="Times New Roman"/>
          <w:i/>
          <w:iCs/>
          <w:noProof/>
          <w:lang w:val="fr-CA"/>
        </w:rPr>
        <w:t>Luger c. Empire, cie d</w:t>
      </w:r>
      <w:r>
        <w:rPr>
          <w:rFonts w:cs="Times New Roman"/>
          <w:i/>
          <w:iCs/>
          <w:noProof/>
          <w:lang w:val="fr-CA"/>
        </w:rPr>
        <w:t>’</w:t>
      </w:r>
      <w:r w:rsidRPr="00332A1B">
        <w:rPr>
          <w:rFonts w:cs="Times New Roman"/>
          <w:i/>
          <w:iCs/>
          <w:noProof/>
          <w:lang w:val="fr-CA"/>
        </w:rPr>
        <w:t>assurance</w:t>
      </w:r>
      <w:r w:rsidR="00DD4EE2">
        <w:rPr>
          <w:rFonts w:cs="Times New Roman"/>
          <w:i/>
          <w:iCs/>
          <w:noProof/>
          <w:lang w:val="fr-CA"/>
        </w:rPr>
        <w:t xml:space="preserve"> </w:t>
      </w:r>
      <w:r w:rsidRPr="00332A1B">
        <w:rPr>
          <w:rFonts w:cs="Times New Roman"/>
          <w:i/>
          <w:iCs/>
          <w:noProof/>
          <w:lang w:val="fr-CA"/>
        </w:rPr>
        <w:t>vie</w:t>
      </w:r>
      <w:r w:rsidRPr="00332A1B">
        <w:rPr>
          <w:rFonts w:cs="Times New Roman"/>
          <w:iCs/>
          <w:noProof/>
          <w:lang w:val="fr-CA"/>
        </w:rPr>
        <w:t xml:space="preserve">, </w:t>
      </w:r>
      <w:r w:rsidRPr="00332A1B">
        <w:rPr>
          <w:rFonts w:cs="Times New Roman"/>
          <w:iCs/>
          <w:noProof/>
          <w:lang w:val="fr-FR"/>
        </w:rPr>
        <w:t>[1991] J.Q. n</w:t>
      </w:r>
      <w:r w:rsidRPr="007B5C62">
        <w:rPr>
          <w:rFonts w:cs="Times New Roman"/>
          <w:iCs/>
          <w:noProof/>
          <w:vertAlign w:val="superscript"/>
          <w:lang w:val="fr-FR"/>
        </w:rPr>
        <w:t>o</w:t>
      </w:r>
      <w:r w:rsidRPr="00332A1B">
        <w:rPr>
          <w:rFonts w:cs="Times New Roman"/>
          <w:iCs/>
          <w:noProof/>
          <w:lang w:val="fr-FR"/>
        </w:rPr>
        <w:t> 2635 (QL)</w:t>
      </w:r>
      <w:r w:rsidRPr="00332A1B">
        <w:rPr>
          <w:rFonts w:cs="Times New Roman"/>
          <w:noProof/>
          <w:lang w:val="fr-CA"/>
        </w:rPr>
        <w:t>.  En droit québécois, tout comme en common law, le privilège relatif aux règlements constitue une règle de preuve qui porte sur l</w:t>
      </w:r>
      <w:r>
        <w:rPr>
          <w:rFonts w:cs="Times New Roman"/>
          <w:noProof/>
          <w:lang w:val="fr-CA"/>
        </w:rPr>
        <w:t>’</w:t>
      </w:r>
      <w:r w:rsidRPr="00332A1B">
        <w:rPr>
          <w:rFonts w:cs="Times New Roman"/>
          <w:noProof/>
          <w:lang w:val="fr-CA"/>
        </w:rPr>
        <w:t>admissibilité de la preuve de communications.  Il n</w:t>
      </w:r>
      <w:r>
        <w:rPr>
          <w:rFonts w:cs="Times New Roman"/>
          <w:noProof/>
          <w:lang w:val="fr-CA"/>
        </w:rPr>
        <w:t>’</w:t>
      </w:r>
      <w:r w:rsidRPr="00332A1B">
        <w:rPr>
          <w:rFonts w:cs="Times New Roman"/>
          <w:noProof/>
          <w:lang w:val="fr-CA"/>
        </w:rPr>
        <w:t>empêche pas une partie de divulguer des renseignements, mais fait en sorte que les renseignements soient inadmissibles en preuve dans un litige.</w:t>
      </w:r>
    </w:p>
    <w:p w:rsidR="00F3157A" w:rsidRPr="00332A1B" w:rsidRDefault="00F3157A" w:rsidP="00A0307B">
      <w:pPr>
        <w:pStyle w:val="Title3LevelTitre3Niveau"/>
        <w:keepNext w:val="0"/>
        <w:ind w:left="1080" w:hanging="540"/>
        <w:rPr>
          <w:rFonts w:cs="Times New Roman"/>
          <w:noProof/>
          <w:lang w:val="fr-CA"/>
        </w:rPr>
      </w:pPr>
      <w:r w:rsidRPr="00332A1B">
        <w:rPr>
          <w:rFonts w:cs="Times New Roman"/>
          <w:noProof/>
          <w:lang w:val="fr-CA"/>
        </w:rPr>
        <w:t>La confidentialité dans le cadre de la médiation</w:t>
      </w:r>
    </w:p>
    <w:p w:rsidR="00F3157A" w:rsidRPr="00332A1B" w:rsidRDefault="00F3157A" w:rsidP="00A0307B">
      <w:pPr>
        <w:pStyle w:val="ParaNoNdepar-AltN"/>
        <w:rPr>
          <w:rFonts w:cs="Times New Roman"/>
          <w:noProof/>
          <w:lang w:val="fr-CA"/>
        </w:rPr>
      </w:pPr>
      <w:r w:rsidRPr="00332A1B">
        <w:rPr>
          <w:rFonts w:cs="Times New Roman"/>
          <w:noProof/>
          <w:lang w:val="fr-CA"/>
        </w:rPr>
        <w:lastRenderedPageBreak/>
        <w:t>La médiation est l</w:t>
      </w:r>
      <w:r>
        <w:rPr>
          <w:rFonts w:cs="Times New Roman"/>
          <w:noProof/>
          <w:lang w:val="fr-CA"/>
        </w:rPr>
        <w:t>’</w:t>
      </w:r>
      <w:r w:rsidRPr="00332A1B">
        <w:rPr>
          <w:rFonts w:cs="Times New Roman"/>
          <w:noProof/>
          <w:lang w:val="fr-CA"/>
        </w:rPr>
        <w:t xml:space="preserve">un des divers modes de règlement extrajudiciaire des différends dont disposent les parties à un litige.  Dans </w:t>
      </w:r>
      <w:r w:rsidRPr="00332A1B">
        <w:rPr>
          <w:rFonts w:cs="Times New Roman"/>
          <w:i/>
          <w:iCs/>
          <w:noProof/>
          <w:lang w:val="fr-CA"/>
        </w:rPr>
        <w:t>The Law of ADR in Canada : An Introductory Guide</w:t>
      </w:r>
      <w:r w:rsidRPr="00332A1B">
        <w:rPr>
          <w:rFonts w:cs="Times New Roman"/>
          <w:iCs/>
          <w:noProof/>
          <w:lang w:val="fr-CA"/>
        </w:rPr>
        <w:t xml:space="preserve"> (2011),</w:t>
      </w:r>
      <w:r w:rsidRPr="00332A1B">
        <w:rPr>
          <w:rFonts w:cs="Times New Roman"/>
          <w:noProof/>
          <w:lang w:val="fr-CA"/>
        </w:rPr>
        <w:t xml:space="preserve"> D</w:t>
      </w:r>
      <w:r w:rsidR="00A0307B">
        <w:rPr>
          <w:rFonts w:cs="Times New Roman"/>
          <w:noProof/>
          <w:lang w:val="fr-CA"/>
        </w:rPr>
        <w:t xml:space="preserve">. </w:t>
      </w:r>
      <w:r w:rsidRPr="00332A1B">
        <w:rPr>
          <w:rFonts w:cs="Times New Roman"/>
          <w:noProof/>
          <w:lang w:val="fr-CA"/>
        </w:rPr>
        <w:t>W</w:t>
      </w:r>
      <w:r w:rsidR="00A0307B">
        <w:rPr>
          <w:rFonts w:cs="Times New Roman"/>
          <w:noProof/>
          <w:lang w:val="fr-CA"/>
        </w:rPr>
        <w:t xml:space="preserve">. </w:t>
      </w:r>
      <w:r w:rsidRPr="00332A1B">
        <w:rPr>
          <w:rFonts w:cs="Times New Roman"/>
          <w:noProof/>
          <w:lang w:val="fr-CA"/>
        </w:rPr>
        <w:t>Glaholt et M</w:t>
      </w:r>
      <w:r w:rsidR="00A0307B">
        <w:rPr>
          <w:rFonts w:cs="Times New Roman"/>
          <w:noProof/>
          <w:lang w:val="fr-CA"/>
        </w:rPr>
        <w:t xml:space="preserve">. </w:t>
      </w:r>
      <w:r w:rsidRPr="00332A1B">
        <w:rPr>
          <w:rFonts w:cs="Times New Roman"/>
          <w:noProof/>
          <w:lang w:val="fr-CA"/>
        </w:rPr>
        <w:t xml:space="preserve">Rotterdam définissent la médiation comme suit : </w:t>
      </w:r>
      <w:r w:rsidRPr="00332A1B">
        <w:rPr>
          <w:rFonts w:cs="Times New Roman"/>
          <w:smallCaps/>
          <w:noProof/>
          <w:lang w:val="fr-CA"/>
        </w:rPr>
        <w:t>[traduction]</w:t>
      </w:r>
      <w:r w:rsidRPr="00332A1B">
        <w:rPr>
          <w:rFonts w:cs="Times New Roman"/>
          <w:noProof/>
          <w:lang w:val="fr-CA"/>
        </w:rPr>
        <w:t xml:space="preserve"> « un processus de collaboration strictement confidentiel dans le cadre duquel les parties concluent un contrat avec une personne neutre, en l</w:t>
      </w:r>
      <w:r>
        <w:rPr>
          <w:rFonts w:cs="Times New Roman"/>
          <w:noProof/>
          <w:lang w:val="fr-CA"/>
        </w:rPr>
        <w:t>’</w:t>
      </w:r>
      <w:r w:rsidRPr="00332A1B">
        <w:rPr>
          <w:rFonts w:cs="Times New Roman"/>
          <w:noProof/>
          <w:lang w:val="fr-CA"/>
        </w:rPr>
        <w:t>occurrence un médiateur, qui les aidera à régler leur différend » (p</w:t>
      </w:r>
      <w:r w:rsidR="00A0307B">
        <w:rPr>
          <w:rFonts w:cs="Times New Roman"/>
          <w:noProof/>
          <w:lang w:val="fr-CA"/>
        </w:rPr>
        <w:t xml:space="preserve">. </w:t>
      </w:r>
      <w:r w:rsidRPr="00332A1B">
        <w:rPr>
          <w:rFonts w:cs="Times New Roman"/>
          <w:noProof/>
          <w:lang w:val="fr-CA"/>
        </w:rPr>
        <w:t>10).  Il n</w:t>
      </w:r>
      <w:r>
        <w:rPr>
          <w:rFonts w:cs="Times New Roman"/>
          <w:noProof/>
          <w:lang w:val="fr-CA"/>
        </w:rPr>
        <w:t>’</w:t>
      </w:r>
      <w:r w:rsidRPr="00332A1B">
        <w:rPr>
          <w:rFonts w:cs="Times New Roman"/>
          <w:noProof/>
          <w:lang w:val="fr-CA"/>
        </w:rPr>
        <w:t>est pas étonnant que la confidentialité soit mentionnée dans la définition même de la médiation.  Elle est en effet souvent considérée comme l</w:t>
      </w:r>
      <w:r>
        <w:rPr>
          <w:rFonts w:cs="Times New Roman"/>
          <w:noProof/>
          <w:lang w:val="fr-CA"/>
        </w:rPr>
        <w:t>’</w:t>
      </w:r>
      <w:r w:rsidRPr="00332A1B">
        <w:rPr>
          <w:rFonts w:cs="Times New Roman"/>
          <w:noProof/>
          <w:lang w:val="fr-CA"/>
        </w:rPr>
        <w:t>un des facteurs qui incitent les gens à recourir à la médiation (J</w:t>
      </w:r>
      <w:r w:rsidR="00A0307B">
        <w:rPr>
          <w:rFonts w:cs="Times New Roman"/>
          <w:noProof/>
          <w:lang w:val="fr-CA"/>
        </w:rPr>
        <w:t xml:space="preserve">. </w:t>
      </w:r>
      <w:r w:rsidRPr="00332A1B">
        <w:rPr>
          <w:rFonts w:cs="Times New Roman"/>
          <w:noProof/>
          <w:lang w:val="fr-CA"/>
        </w:rPr>
        <w:t xml:space="preserve">Thibault, </w:t>
      </w:r>
      <w:r w:rsidRPr="00332A1B">
        <w:rPr>
          <w:rFonts w:cs="Times New Roman"/>
          <w:i/>
          <w:iCs/>
          <w:noProof/>
          <w:lang w:val="fr-CA"/>
        </w:rPr>
        <w:t>Les procédures de règlement amiable des litiges au Canada</w:t>
      </w:r>
      <w:r w:rsidRPr="00332A1B">
        <w:rPr>
          <w:rFonts w:cs="Times New Roman"/>
          <w:iCs/>
          <w:noProof/>
          <w:lang w:val="fr-CA"/>
        </w:rPr>
        <w:t xml:space="preserve"> (2000), </w:t>
      </w:r>
      <w:r w:rsidRPr="00332A1B">
        <w:rPr>
          <w:rFonts w:cs="Times New Roman"/>
          <w:noProof/>
          <w:lang w:val="fr-CA"/>
        </w:rPr>
        <w:t>par</w:t>
      </w:r>
      <w:r w:rsidR="00A0307B">
        <w:rPr>
          <w:rFonts w:cs="Times New Roman"/>
          <w:noProof/>
          <w:lang w:val="fr-CA"/>
        </w:rPr>
        <w:t xml:space="preserve">. </w:t>
      </w:r>
      <w:r w:rsidRPr="00332A1B">
        <w:rPr>
          <w:rFonts w:cs="Times New Roman"/>
          <w:noProof/>
          <w:lang w:val="fr-CA"/>
        </w:rPr>
        <w:t>197)</w:t>
      </w:r>
      <w:r w:rsidRPr="00332A1B">
        <w:rPr>
          <w:rFonts w:cs="Times New Roman"/>
          <w:i/>
          <w:iCs/>
          <w:noProof/>
          <w:lang w:val="fr-CA"/>
        </w:rPr>
        <w:t xml:space="preserve"> </w:t>
      </w:r>
      <w:r w:rsidRPr="00332A1B">
        <w:rPr>
          <w:rFonts w:cs="Times New Roman"/>
          <w:noProof/>
          <w:lang w:val="fr-CA"/>
        </w:rPr>
        <w:t>et l</w:t>
      </w:r>
      <w:r>
        <w:rPr>
          <w:rFonts w:cs="Times New Roman"/>
          <w:noProof/>
          <w:lang w:val="fr-CA"/>
        </w:rPr>
        <w:t>’</w:t>
      </w:r>
      <w:r w:rsidRPr="00332A1B">
        <w:rPr>
          <w:rFonts w:cs="Times New Roman"/>
          <w:noProof/>
          <w:lang w:val="fr-CA"/>
        </w:rPr>
        <w:t>un de ses avantages (M</w:t>
      </w:r>
      <w:r w:rsidR="00A0307B">
        <w:rPr>
          <w:rFonts w:cs="Times New Roman"/>
          <w:noProof/>
          <w:lang w:val="fr-CA"/>
        </w:rPr>
        <w:t xml:space="preserve">. </w:t>
      </w:r>
      <w:r w:rsidRPr="00332A1B">
        <w:rPr>
          <w:rFonts w:cs="Times New Roman"/>
          <w:noProof/>
          <w:lang w:val="fr-CA"/>
        </w:rPr>
        <w:t>P</w:t>
      </w:r>
      <w:r w:rsidR="00A0307B">
        <w:rPr>
          <w:rFonts w:cs="Times New Roman"/>
          <w:noProof/>
          <w:lang w:val="fr-CA"/>
        </w:rPr>
        <w:t xml:space="preserve">. </w:t>
      </w:r>
      <w:r w:rsidRPr="00332A1B">
        <w:rPr>
          <w:rFonts w:cs="Times New Roman"/>
          <w:noProof/>
          <w:lang w:val="fr-CA"/>
        </w:rPr>
        <w:t xml:space="preserve">Silver, </w:t>
      </w:r>
      <w:r w:rsidRPr="00332A1B">
        <w:rPr>
          <w:rFonts w:cs="Times New Roman"/>
          <w:i/>
          <w:iCs/>
          <w:noProof/>
          <w:lang w:val="fr-CA"/>
        </w:rPr>
        <w:t>Mediation and Negotiation : Representing Your Clients</w:t>
      </w:r>
      <w:r w:rsidRPr="00332A1B">
        <w:rPr>
          <w:rFonts w:cs="Times New Roman"/>
          <w:iCs/>
          <w:noProof/>
          <w:lang w:val="fr-CA"/>
        </w:rPr>
        <w:t xml:space="preserve"> (2001),</w:t>
      </w:r>
      <w:r w:rsidRPr="00332A1B">
        <w:rPr>
          <w:rFonts w:cs="Times New Roman"/>
          <w:noProof/>
          <w:lang w:val="fr-CA"/>
        </w:rPr>
        <w:t xml:space="preserve"> p</w:t>
      </w:r>
      <w:r w:rsidR="00A0307B">
        <w:rPr>
          <w:rFonts w:cs="Times New Roman"/>
          <w:noProof/>
          <w:lang w:val="fr-CA"/>
        </w:rPr>
        <w:t xml:space="preserve">. </w:t>
      </w:r>
      <w:r w:rsidRPr="00332A1B">
        <w:rPr>
          <w:rFonts w:cs="Times New Roman"/>
          <w:noProof/>
          <w:lang w:val="fr-CA"/>
        </w:rPr>
        <w:t>82).</w:t>
      </w:r>
    </w:p>
    <w:p w:rsidR="00F3157A" w:rsidRPr="00332A1B" w:rsidRDefault="00F3157A" w:rsidP="00A0307B">
      <w:pPr>
        <w:pStyle w:val="ParaNoNdepar-AltN"/>
        <w:rPr>
          <w:rFonts w:cs="Times New Roman"/>
          <w:noProof/>
          <w:lang w:val="fr-CA"/>
        </w:rPr>
      </w:pPr>
      <w:r w:rsidRPr="00332A1B">
        <w:rPr>
          <w:rFonts w:cs="Times New Roman"/>
          <w:noProof/>
          <w:lang w:val="fr-CA"/>
        </w:rPr>
        <w:t>La confidentialité constitue un aspect intrinsèque de la médiation en ce que les parties à ce processus discutent généralement de possibilités de règlement; pour cette raison, leurs communications sont protégées par le privilège relatif aux règlements de la common law (Bryant, Lederman et Fuerst</w:t>
      </w:r>
      <w:r w:rsidRPr="00332A1B">
        <w:rPr>
          <w:rFonts w:cs="Times New Roman"/>
          <w:iCs/>
          <w:noProof/>
          <w:lang w:val="fr-CA"/>
        </w:rPr>
        <w:t>,</w:t>
      </w:r>
      <w:r w:rsidRPr="00332A1B">
        <w:rPr>
          <w:rFonts w:cs="Times New Roman"/>
          <w:i/>
          <w:iCs/>
          <w:noProof/>
          <w:lang w:val="fr-CA"/>
        </w:rPr>
        <w:t xml:space="preserve"> </w:t>
      </w:r>
      <w:r w:rsidRPr="00332A1B">
        <w:rPr>
          <w:rFonts w:cs="Times New Roman"/>
          <w:noProof/>
          <w:lang w:val="fr-CA"/>
        </w:rPr>
        <w:t>par</w:t>
      </w:r>
      <w:r w:rsidR="00A0307B">
        <w:rPr>
          <w:rFonts w:cs="Times New Roman"/>
          <w:noProof/>
          <w:lang w:val="fr-CA"/>
        </w:rPr>
        <w:t xml:space="preserve">. </w:t>
      </w:r>
      <w:r w:rsidRPr="00332A1B">
        <w:rPr>
          <w:rFonts w:cs="Times New Roman"/>
          <w:noProof/>
          <w:lang w:val="fr-CA"/>
        </w:rPr>
        <w:t>14.348; voir également L</w:t>
      </w:r>
      <w:r w:rsidR="00A0307B">
        <w:rPr>
          <w:rFonts w:cs="Times New Roman"/>
          <w:noProof/>
          <w:lang w:val="fr-CA"/>
        </w:rPr>
        <w:t xml:space="preserve">. </w:t>
      </w:r>
      <w:r w:rsidRPr="00332A1B">
        <w:rPr>
          <w:rFonts w:cs="Times New Roman"/>
          <w:noProof/>
          <w:lang w:val="fr-CA"/>
        </w:rPr>
        <w:t>Boulle et K</w:t>
      </w:r>
      <w:r w:rsidR="00A0307B">
        <w:rPr>
          <w:rFonts w:cs="Times New Roman"/>
          <w:noProof/>
          <w:lang w:val="fr-CA"/>
        </w:rPr>
        <w:t xml:space="preserve">. </w:t>
      </w:r>
      <w:r w:rsidRPr="00332A1B">
        <w:rPr>
          <w:rFonts w:cs="Times New Roman"/>
          <w:noProof/>
          <w:lang w:val="fr-CA"/>
        </w:rPr>
        <w:t>J</w:t>
      </w:r>
      <w:r w:rsidR="00A0307B">
        <w:rPr>
          <w:rFonts w:cs="Times New Roman"/>
          <w:noProof/>
          <w:lang w:val="fr-CA"/>
        </w:rPr>
        <w:t xml:space="preserve">. </w:t>
      </w:r>
      <w:r w:rsidRPr="00332A1B">
        <w:rPr>
          <w:rFonts w:cs="Times New Roman"/>
          <w:noProof/>
          <w:lang w:val="fr-CA"/>
        </w:rPr>
        <w:t xml:space="preserve">Kelly, </w:t>
      </w:r>
      <w:r w:rsidRPr="00332A1B">
        <w:rPr>
          <w:rFonts w:cs="Times New Roman"/>
          <w:i/>
          <w:noProof/>
          <w:lang w:val="fr-CA"/>
        </w:rPr>
        <w:t>Mediation : Principles, Process, Practice</w:t>
      </w:r>
      <w:r w:rsidRPr="00332A1B">
        <w:rPr>
          <w:rFonts w:cs="Times New Roman"/>
          <w:noProof/>
          <w:lang w:val="fr-CA"/>
        </w:rPr>
        <w:t xml:space="preserve"> (1998), p</w:t>
      </w:r>
      <w:r w:rsidR="00A0307B">
        <w:rPr>
          <w:rFonts w:cs="Times New Roman"/>
          <w:noProof/>
          <w:lang w:val="fr-CA"/>
        </w:rPr>
        <w:t xml:space="preserve">. </w:t>
      </w:r>
      <w:r w:rsidRPr="00332A1B">
        <w:rPr>
          <w:rFonts w:cs="Times New Roman"/>
          <w:noProof/>
          <w:lang w:val="fr-CA"/>
        </w:rPr>
        <w:t>301</w:t>
      </w:r>
      <w:r w:rsidR="00A0307B">
        <w:rPr>
          <w:rFonts w:cs="Times New Roman"/>
          <w:noProof/>
          <w:lang w:val="fr-CA"/>
        </w:rPr>
        <w:t>-</w:t>
      </w:r>
      <w:r w:rsidRPr="00332A1B">
        <w:rPr>
          <w:rFonts w:cs="Times New Roman"/>
          <w:noProof/>
          <w:lang w:val="fr-CA"/>
        </w:rPr>
        <w:t xml:space="preserve">304).  Mais la médiation est aussi une </w:t>
      </w:r>
      <w:r w:rsidRPr="00332A1B">
        <w:rPr>
          <w:rFonts w:cs="Times New Roman"/>
          <w:smallCaps/>
          <w:noProof/>
          <w:lang w:val="fr-CA"/>
        </w:rPr>
        <w:t>[traduction]</w:t>
      </w:r>
      <w:r w:rsidRPr="00332A1B">
        <w:rPr>
          <w:rFonts w:cs="Times New Roman"/>
          <w:noProof/>
          <w:lang w:val="fr-CA"/>
        </w:rPr>
        <w:t xml:space="preserve"> « création contractuelle » (Glaholt et Rotterdam, p</w:t>
      </w:r>
      <w:r w:rsidR="00A0307B">
        <w:rPr>
          <w:rFonts w:cs="Times New Roman"/>
          <w:noProof/>
          <w:lang w:val="fr-CA"/>
        </w:rPr>
        <w:t xml:space="preserve">. </w:t>
      </w:r>
      <w:r w:rsidRPr="00332A1B">
        <w:rPr>
          <w:rFonts w:cs="Times New Roman"/>
          <w:noProof/>
          <w:lang w:val="fr-CA"/>
        </w:rPr>
        <w:t>13) puisqu</w:t>
      </w:r>
      <w:r>
        <w:rPr>
          <w:rFonts w:cs="Times New Roman"/>
          <w:noProof/>
          <w:lang w:val="fr-CA"/>
        </w:rPr>
        <w:t>’</w:t>
      </w:r>
      <w:r w:rsidRPr="00332A1B">
        <w:rPr>
          <w:rFonts w:cs="Times New Roman"/>
          <w:noProof/>
          <w:lang w:val="fr-CA"/>
        </w:rPr>
        <w:t>elle permet aux parties de se doter, en matière de confidentialité, d</w:t>
      </w:r>
      <w:r>
        <w:rPr>
          <w:rFonts w:cs="Times New Roman"/>
          <w:noProof/>
          <w:lang w:val="fr-CA"/>
        </w:rPr>
        <w:t>’</w:t>
      </w:r>
      <w:r w:rsidRPr="00332A1B">
        <w:rPr>
          <w:rFonts w:cs="Times New Roman"/>
          <w:noProof/>
          <w:lang w:val="fr-CA"/>
        </w:rPr>
        <w:t>exigences supérieures à celles que leur offre le privilège et, en cas de manquement, de se prévaloir d</w:t>
      </w:r>
      <w:r>
        <w:rPr>
          <w:rFonts w:cs="Times New Roman"/>
          <w:noProof/>
          <w:lang w:val="fr-CA"/>
        </w:rPr>
        <w:t>’</w:t>
      </w:r>
      <w:r w:rsidRPr="00332A1B">
        <w:rPr>
          <w:rFonts w:cs="Times New Roman"/>
          <w:noProof/>
          <w:lang w:val="fr-CA"/>
        </w:rPr>
        <w:t xml:space="preserve">un recours contractuel.  </w:t>
      </w:r>
    </w:p>
    <w:p w:rsidR="00F3157A" w:rsidRPr="00332A1B" w:rsidRDefault="00F3157A" w:rsidP="00A0307B">
      <w:pPr>
        <w:pStyle w:val="ParaNoNdepar-AltN"/>
        <w:rPr>
          <w:rFonts w:cs="Times New Roman"/>
          <w:noProof/>
        </w:rPr>
      </w:pPr>
      <w:r w:rsidRPr="00332A1B">
        <w:rPr>
          <w:rFonts w:cs="Times New Roman"/>
          <w:noProof/>
          <w:lang w:val="fr-CA"/>
        </w:rPr>
        <w:lastRenderedPageBreak/>
        <w:t>Comme l</w:t>
      </w:r>
      <w:r>
        <w:rPr>
          <w:rFonts w:cs="Times New Roman"/>
          <w:noProof/>
          <w:lang w:val="fr-CA"/>
        </w:rPr>
        <w:t>’</w:t>
      </w:r>
      <w:r w:rsidRPr="00332A1B">
        <w:rPr>
          <w:rFonts w:cs="Times New Roman"/>
          <w:noProof/>
          <w:lang w:val="fr-CA"/>
        </w:rPr>
        <w:t>indiquent les appelantes et l</w:t>
      </w:r>
      <w:r>
        <w:rPr>
          <w:rFonts w:cs="Times New Roman"/>
          <w:noProof/>
          <w:lang w:val="fr-CA"/>
        </w:rPr>
        <w:t>’</w:t>
      </w:r>
      <w:r w:rsidRPr="00332A1B">
        <w:rPr>
          <w:rFonts w:cs="Times New Roman"/>
          <w:noProof/>
          <w:lang w:val="fr-CA"/>
        </w:rPr>
        <w:t xml:space="preserve">intervenante Arbitration Place Inc., les raisons pour lesquelles les parties voudraient protéger les renseignements échangés lors de la médiation ne se limitent pas à des considérations stratégiques liées au litige.  </w:t>
      </w:r>
      <w:r w:rsidRPr="00332A1B">
        <w:rPr>
          <w:rFonts w:cs="Times New Roman"/>
          <w:noProof/>
        </w:rPr>
        <w:t xml:space="preserve">Dans « Protecting the Confidentiality of Communications in Mediation » (1998), 36 </w:t>
      </w:r>
      <w:r w:rsidRPr="00332A1B">
        <w:rPr>
          <w:rFonts w:cs="Times New Roman"/>
          <w:i/>
          <w:noProof/>
        </w:rPr>
        <w:t>Osgoode Hall L.J.</w:t>
      </w:r>
      <w:r w:rsidR="001A55C4">
        <w:rPr>
          <w:rFonts w:cs="Times New Roman"/>
          <w:i/>
          <w:noProof/>
        </w:rPr>
        <w:t xml:space="preserve"> </w:t>
      </w:r>
      <w:r w:rsidRPr="00332A1B">
        <w:rPr>
          <w:rFonts w:cs="Times New Roman"/>
          <w:noProof/>
        </w:rPr>
        <w:t>667, Owen</w:t>
      </w:r>
      <w:r w:rsidR="00A0307B">
        <w:rPr>
          <w:rFonts w:cs="Times New Roman"/>
          <w:noProof/>
        </w:rPr>
        <w:t xml:space="preserve">. </w:t>
      </w:r>
      <w:r w:rsidRPr="00332A1B">
        <w:rPr>
          <w:rFonts w:cs="Times New Roman"/>
          <w:noProof/>
        </w:rPr>
        <w:t>V</w:t>
      </w:r>
      <w:r w:rsidR="00A0307B">
        <w:rPr>
          <w:rFonts w:cs="Times New Roman"/>
          <w:noProof/>
        </w:rPr>
        <w:t xml:space="preserve">. </w:t>
      </w:r>
      <w:r w:rsidRPr="00332A1B">
        <w:rPr>
          <w:rFonts w:cs="Times New Roman"/>
          <w:noProof/>
        </w:rPr>
        <w:t>Gr</w:t>
      </w:r>
      <w:r>
        <w:rPr>
          <w:rFonts w:cs="Times New Roman"/>
          <w:noProof/>
        </w:rPr>
        <w:t>a</w:t>
      </w:r>
      <w:r w:rsidRPr="00332A1B">
        <w:rPr>
          <w:rFonts w:cs="Times New Roman"/>
          <w:noProof/>
        </w:rPr>
        <w:t>y a fait observer ce qui suit :</w:t>
      </w:r>
    </w:p>
    <w:p w:rsidR="00F3157A" w:rsidRPr="00332A1B" w:rsidRDefault="00F3157A" w:rsidP="00A0307B">
      <w:pPr>
        <w:pStyle w:val="Citation-AltC"/>
        <w:ind w:hanging="1166"/>
        <w:rPr>
          <w:noProof/>
          <w:lang w:val="fr-CA"/>
        </w:rPr>
      </w:pPr>
      <w:r w:rsidRPr="00602274">
        <w:rPr>
          <w:smallCaps/>
          <w:noProof/>
        </w:rPr>
        <w:tab/>
      </w:r>
      <w:r w:rsidRPr="00332A1B">
        <w:rPr>
          <w:smallCaps/>
          <w:noProof/>
          <w:lang w:val="fr-CA"/>
        </w:rPr>
        <w:t>[traduction]</w:t>
      </w:r>
      <w:r>
        <w:rPr>
          <w:noProof/>
          <w:lang w:val="fr-CA"/>
        </w:rPr>
        <w:t>  </w:t>
      </w:r>
      <w:r w:rsidRPr="00332A1B">
        <w:rPr>
          <w:noProof/>
          <w:lang w:val="fr-CA"/>
        </w:rPr>
        <w:t>Quand elles ont recours à la médiation pour tenter de régler un litige ou une menace de litige, [les parties] sont particulièrement sensibles à la possibilité que les renseignements qu</w:t>
      </w:r>
      <w:r>
        <w:rPr>
          <w:noProof/>
          <w:lang w:val="fr-CA"/>
        </w:rPr>
        <w:t>’</w:t>
      </w:r>
      <w:r w:rsidRPr="00332A1B">
        <w:rPr>
          <w:noProof/>
          <w:lang w:val="fr-CA"/>
        </w:rPr>
        <w:t>elles révèlent à d</w:t>
      </w:r>
      <w:r>
        <w:rPr>
          <w:noProof/>
          <w:lang w:val="fr-CA"/>
        </w:rPr>
        <w:t>’</w:t>
      </w:r>
      <w:r w:rsidRPr="00332A1B">
        <w:rPr>
          <w:noProof/>
          <w:lang w:val="fr-CA"/>
        </w:rPr>
        <w:t>autres personnes au cours de la médiation puissent plus tard être utilisés contre elles dans le cadre de ce litige ou d</w:t>
      </w:r>
      <w:r>
        <w:rPr>
          <w:noProof/>
          <w:lang w:val="fr-CA"/>
        </w:rPr>
        <w:t>’</w:t>
      </w:r>
      <w:r w:rsidRPr="00332A1B">
        <w:rPr>
          <w:noProof/>
          <w:lang w:val="fr-CA"/>
        </w:rPr>
        <w:t xml:space="preserve">un autre différend.  </w:t>
      </w:r>
      <w:r w:rsidRPr="00332A1B">
        <w:rPr>
          <w:noProof/>
          <w:u w:val="single"/>
          <w:lang w:val="fr-CA"/>
        </w:rPr>
        <w:t>Les parties peuvent aussi craindre que leurs communications puissent être utilisées par d</w:t>
      </w:r>
      <w:r>
        <w:rPr>
          <w:noProof/>
          <w:u w:val="single"/>
          <w:lang w:val="fr-CA"/>
        </w:rPr>
        <w:t>’</w:t>
      </w:r>
      <w:r w:rsidRPr="00332A1B">
        <w:rPr>
          <w:noProof/>
          <w:u w:val="single"/>
          <w:lang w:val="fr-CA"/>
        </w:rPr>
        <w:t>autres adversaires ou des adversaires potentiels, y compris les autorités publiques, dans d</w:t>
      </w:r>
      <w:r>
        <w:rPr>
          <w:noProof/>
          <w:u w:val="single"/>
          <w:lang w:val="fr-CA"/>
        </w:rPr>
        <w:t>’</w:t>
      </w:r>
      <w:r w:rsidRPr="00332A1B">
        <w:rPr>
          <w:noProof/>
          <w:u w:val="single"/>
          <w:lang w:val="fr-CA"/>
        </w:rPr>
        <w:t>autres conflits présents ou futurs. [</w:t>
      </w:r>
      <w:r w:rsidR="00A0307B">
        <w:rPr>
          <w:noProof/>
          <w:u w:val="single"/>
          <w:lang w:val="fr-CA"/>
        </w:rPr>
        <w:t>. . </w:t>
      </w:r>
      <w:r w:rsidR="007D7D81">
        <w:rPr>
          <w:noProof/>
          <w:u w:val="single"/>
          <w:lang w:val="fr-CA"/>
        </w:rPr>
        <w:t>.</w:t>
      </w:r>
      <w:r w:rsidRPr="00332A1B">
        <w:rPr>
          <w:noProof/>
          <w:u w:val="single"/>
          <w:lang w:val="fr-CA"/>
        </w:rPr>
        <w:t>]  Elles peuvent aussi craindre que la divulgation des renseignements qu</w:t>
      </w:r>
      <w:r>
        <w:rPr>
          <w:noProof/>
          <w:u w:val="single"/>
          <w:lang w:val="fr-CA"/>
        </w:rPr>
        <w:t>’</w:t>
      </w:r>
      <w:r w:rsidRPr="00332A1B">
        <w:rPr>
          <w:noProof/>
          <w:u w:val="single"/>
          <w:lang w:val="fr-CA"/>
        </w:rPr>
        <w:t xml:space="preserve">elles communiquent au cours de la médiation </w:t>
      </w:r>
      <w:r w:rsidR="007D7D81">
        <w:rPr>
          <w:noProof/>
          <w:u w:val="single"/>
          <w:lang w:val="fr-CA"/>
        </w:rPr>
        <w:t>puisse</w:t>
      </w:r>
      <w:r w:rsidRPr="00332A1B">
        <w:rPr>
          <w:noProof/>
          <w:u w:val="single"/>
          <w:lang w:val="fr-CA"/>
        </w:rPr>
        <w:t xml:space="preserve"> leur nuire dans leurs rapports commerciaux ou les gêner dans leur vie privée</w:t>
      </w:r>
      <w:r w:rsidRPr="001A55C4">
        <w:rPr>
          <w:noProof/>
          <w:u w:val="single"/>
          <w:lang w:val="fr-CA"/>
        </w:rPr>
        <w:t>.</w:t>
      </w:r>
      <w:r w:rsidRPr="00332A1B">
        <w:rPr>
          <w:noProof/>
          <w:lang w:val="fr-CA"/>
        </w:rPr>
        <w:t xml:space="preserve">  </w:t>
      </w:r>
      <w:r w:rsidRPr="00332A1B">
        <w:rPr>
          <w:noProof/>
          <w:lang w:val="fr-FR"/>
        </w:rPr>
        <w:t xml:space="preserve">[Je souligne; </w:t>
      </w:r>
      <w:r w:rsidRPr="00332A1B">
        <w:rPr>
          <w:noProof/>
          <w:lang w:val="fr-CA"/>
        </w:rPr>
        <w:t>p</w:t>
      </w:r>
      <w:r w:rsidR="00A0307B">
        <w:rPr>
          <w:noProof/>
          <w:lang w:val="fr-CA"/>
        </w:rPr>
        <w:t xml:space="preserve">. </w:t>
      </w:r>
      <w:r w:rsidRPr="00332A1B">
        <w:rPr>
          <w:noProof/>
          <w:lang w:val="fr-CA"/>
        </w:rPr>
        <w:t>671.]</w:t>
      </w:r>
    </w:p>
    <w:p w:rsidR="00F3157A" w:rsidRPr="00332A1B" w:rsidRDefault="00F3157A" w:rsidP="00A0307B">
      <w:pPr>
        <w:pStyle w:val="ContinueParaSuitedupar-AltP"/>
        <w:rPr>
          <w:rFonts w:cs="Times New Roman"/>
          <w:noProof/>
          <w:lang w:val="fr-CA"/>
        </w:rPr>
      </w:pPr>
      <w:r w:rsidRPr="00332A1B">
        <w:rPr>
          <w:rFonts w:cs="Times New Roman"/>
          <w:noProof/>
          <w:lang w:val="fr-CA"/>
        </w:rPr>
        <w:t xml:space="preserve">La </w:t>
      </w:r>
      <w:r w:rsidRPr="00332A1B">
        <w:rPr>
          <w:rFonts w:cs="Times New Roman"/>
          <w:smallCaps/>
          <w:noProof/>
          <w:lang w:val="fr-CA"/>
        </w:rPr>
        <w:t>[traduction]</w:t>
      </w:r>
      <w:r w:rsidRPr="00332A1B">
        <w:rPr>
          <w:rFonts w:cs="Times New Roman"/>
          <w:noProof/>
          <w:lang w:val="fr-CA"/>
        </w:rPr>
        <w:t xml:space="preserve"> « réticence à </w:t>
      </w:r>
      <w:r w:rsidRPr="00332A1B">
        <w:rPr>
          <w:rFonts w:cs="Times New Roman"/>
          <w:noProof/>
          <w:lang w:val="fr-FR"/>
        </w:rPr>
        <w:t>“laver son linge sale en public”</w:t>
      </w:r>
      <w:r w:rsidRPr="00332A1B">
        <w:rPr>
          <w:rFonts w:cs="Times New Roman"/>
          <w:noProof/>
          <w:lang w:val="fr-CA"/>
        </w:rPr>
        <w:t> » ainsi que des préoccupations légitimes telles que la protection de secrets commerciaux comptent parmi les facteurs qui incitent à choisir la médiation confidentielle (L</w:t>
      </w:r>
      <w:r w:rsidR="00A0307B">
        <w:rPr>
          <w:rFonts w:cs="Times New Roman"/>
          <w:noProof/>
          <w:lang w:val="fr-CA"/>
        </w:rPr>
        <w:t xml:space="preserve">. </w:t>
      </w:r>
      <w:r w:rsidRPr="00332A1B">
        <w:rPr>
          <w:rFonts w:cs="Times New Roman"/>
          <w:noProof/>
          <w:lang w:val="fr-CA"/>
        </w:rPr>
        <w:t>R</w:t>
      </w:r>
      <w:r w:rsidR="00A0307B">
        <w:rPr>
          <w:rFonts w:cs="Times New Roman"/>
          <w:noProof/>
          <w:lang w:val="fr-CA"/>
        </w:rPr>
        <w:t xml:space="preserve">. </w:t>
      </w:r>
      <w:r w:rsidRPr="00332A1B">
        <w:rPr>
          <w:rFonts w:cs="Times New Roman"/>
          <w:noProof/>
          <w:lang w:val="fr-CA"/>
        </w:rPr>
        <w:t>Freedman et M</w:t>
      </w:r>
      <w:r w:rsidR="00A0307B">
        <w:rPr>
          <w:rFonts w:cs="Times New Roman"/>
          <w:noProof/>
          <w:lang w:val="fr-CA"/>
        </w:rPr>
        <w:t xml:space="preserve">. </w:t>
      </w:r>
      <w:r w:rsidRPr="00332A1B">
        <w:rPr>
          <w:rFonts w:cs="Times New Roman"/>
          <w:noProof/>
          <w:lang w:val="fr-CA"/>
        </w:rPr>
        <w:t>L</w:t>
      </w:r>
      <w:r w:rsidR="00A0307B">
        <w:rPr>
          <w:rFonts w:cs="Times New Roman"/>
          <w:noProof/>
          <w:lang w:val="fr-CA"/>
        </w:rPr>
        <w:t xml:space="preserve">. </w:t>
      </w:r>
      <w:r w:rsidRPr="00332A1B">
        <w:rPr>
          <w:rFonts w:cs="Times New Roman"/>
          <w:noProof/>
          <w:lang w:val="fr-CA"/>
        </w:rPr>
        <w:t>Prigoff, « </w:t>
      </w:r>
      <w:r w:rsidRPr="00332A1B">
        <w:rPr>
          <w:rFonts w:cs="Times New Roman"/>
          <w:iCs/>
          <w:noProof/>
          <w:lang w:val="fr-CA"/>
        </w:rPr>
        <w:t>Confidentiality in Mediation : The Need for Protection » (</w:t>
      </w:r>
      <w:r w:rsidRPr="00332A1B">
        <w:rPr>
          <w:rFonts w:cs="Times New Roman"/>
          <w:noProof/>
          <w:lang w:val="fr-CA"/>
        </w:rPr>
        <w:t xml:space="preserve">1986), 2 </w:t>
      </w:r>
      <w:r w:rsidRPr="00332A1B">
        <w:rPr>
          <w:rFonts w:cs="Times New Roman"/>
          <w:i/>
          <w:noProof/>
          <w:lang w:val="fr-CA"/>
        </w:rPr>
        <w:t>Ohio St. J. Disp</w:t>
      </w:r>
      <w:r w:rsidR="00A0307B">
        <w:rPr>
          <w:rFonts w:cs="Times New Roman"/>
          <w:i/>
          <w:noProof/>
          <w:lang w:val="fr-CA"/>
        </w:rPr>
        <w:t xml:space="preserve">. </w:t>
      </w:r>
      <w:r w:rsidRPr="00332A1B">
        <w:rPr>
          <w:rFonts w:cs="Times New Roman"/>
          <w:i/>
          <w:noProof/>
          <w:lang w:val="fr-CA"/>
        </w:rPr>
        <w:t>Resol.</w:t>
      </w:r>
      <w:r w:rsidRPr="00332A1B">
        <w:rPr>
          <w:rFonts w:cs="Times New Roman"/>
          <w:noProof/>
          <w:lang w:val="fr-CA"/>
        </w:rPr>
        <w:t xml:space="preserve"> 37, p</w:t>
      </w:r>
      <w:r w:rsidR="00A0307B">
        <w:rPr>
          <w:rFonts w:cs="Times New Roman"/>
          <w:noProof/>
          <w:lang w:val="fr-CA"/>
        </w:rPr>
        <w:t xml:space="preserve">. </w:t>
      </w:r>
      <w:r w:rsidRPr="00332A1B">
        <w:rPr>
          <w:rFonts w:cs="Times New Roman"/>
          <w:noProof/>
          <w:lang w:val="fr-CA"/>
        </w:rPr>
        <w:t xml:space="preserve">38).  </w:t>
      </w:r>
    </w:p>
    <w:p w:rsidR="00F3157A" w:rsidRPr="00332A1B" w:rsidRDefault="00F3157A" w:rsidP="00A0307B">
      <w:pPr>
        <w:pStyle w:val="ParaNoNdepar-AltN"/>
        <w:rPr>
          <w:rFonts w:cs="Times New Roman"/>
          <w:noProof/>
          <w:lang w:val="fr-CA"/>
        </w:rPr>
      </w:pPr>
      <w:r w:rsidRPr="00332A1B">
        <w:rPr>
          <w:rFonts w:cs="Times New Roman"/>
          <w:noProof/>
          <w:lang w:val="fr-CA"/>
        </w:rPr>
        <w:t>Il n</w:t>
      </w:r>
      <w:r>
        <w:rPr>
          <w:rFonts w:cs="Times New Roman"/>
          <w:noProof/>
          <w:lang w:val="fr-CA"/>
        </w:rPr>
        <w:t>’</w:t>
      </w:r>
      <w:r w:rsidRPr="00332A1B">
        <w:rPr>
          <w:rFonts w:cs="Times New Roman"/>
          <w:noProof/>
          <w:lang w:val="fr-CA"/>
        </w:rPr>
        <w:t xml:space="preserve">est donc guère surprenant de constater souvent dans des contrats de médiation des clauses de confidentialité qui limitent en termes très explicites la divulgation des communications échangées au cours de la médiation.  Les tribunaux ont confirmé la validité de telles clauses, mais non dans un contexte où les parties </w:t>
      </w:r>
      <w:r w:rsidRPr="00332A1B">
        <w:rPr>
          <w:rFonts w:cs="Times New Roman"/>
          <w:noProof/>
          <w:lang w:val="fr-CA"/>
        </w:rPr>
        <w:lastRenderedPageBreak/>
        <w:t>tentaient de prouver l</w:t>
      </w:r>
      <w:r>
        <w:rPr>
          <w:rFonts w:cs="Times New Roman"/>
          <w:noProof/>
          <w:lang w:val="fr-CA"/>
        </w:rPr>
        <w:t>’</w:t>
      </w:r>
      <w:r w:rsidRPr="00332A1B">
        <w:rPr>
          <w:rFonts w:cs="Times New Roman"/>
          <w:noProof/>
          <w:lang w:val="fr-CA"/>
        </w:rPr>
        <w:t>existence d</w:t>
      </w:r>
      <w:r>
        <w:rPr>
          <w:rFonts w:cs="Times New Roman"/>
          <w:noProof/>
          <w:lang w:val="fr-CA"/>
        </w:rPr>
        <w:t>’</w:t>
      </w:r>
      <w:r w:rsidRPr="00332A1B">
        <w:rPr>
          <w:rFonts w:cs="Times New Roman"/>
          <w:noProof/>
          <w:lang w:val="fr-CA"/>
        </w:rPr>
        <w:t xml:space="preserve">un règlement.  Dans </w:t>
      </w:r>
      <w:r w:rsidRPr="00332A1B">
        <w:rPr>
          <w:rFonts w:cs="Times New Roman"/>
          <w:i/>
          <w:iCs/>
          <w:noProof/>
          <w:lang w:val="fr-CA"/>
        </w:rPr>
        <w:t>Bloom Films 1998 inc. c. Christal Films productions inc.</w:t>
      </w:r>
      <w:r w:rsidRPr="00332A1B">
        <w:rPr>
          <w:rFonts w:cs="Times New Roman"/>
          <w:iCs/>
          <w:noProof/>
          <w:lang w:val="fr-CA"/>
        </w:rPr>
        <w:t>,</w:t>
      </w:r>
      <w:r w:rsidRPr="00332A1B">
        <w:rPr>
          <w:rFonts w:cs="Times New Roman"/>
          <w:noProof/>
          <w:lang w:val="fr-CA"/>
        </w:rPr>
        <w:t xml:space="preserve"> 2011 QCCA 1171 (CanLII), la Cour d</w:t>
      </w:r>
      <w:r>
        <w:rPr>
          <w:rFonts w:cs="Times New Roman"/>
          <w:noProof/>
          <w:lang w:val="fr-CA"/>
        </w:rPr>
        <w:t>’</w:t>
      </w:r>
      <w:r w:rsidRPr="00332A1B">
        <w:rPr>
          <w:rFonts w:cs="Times New Roman"/>
          <w:noProof/>
          <w:lang w:val="fr-CA"/>
        </w:rPr>
        <w:t>appel du Québec a confirmé la validité d</w:t>
      </w:r>
      <w:r>
        <w:rPr>
          <w:rFonts w:cs="Times New Roman"/>
          <w:noProof/>
          <w:lang w:val="fr-CA"/>
        </w:rPr>
        <w:t>’</w:t>
      </w:r>
      <w:r w:rsidRPr="00332A1B">
        <w:rPr>
          <w:rFonts w:cs="Times New Roman"/>
          <w:noProof/>
          <w:lang w:val="fr-CA"/>
        </w:rPr>
        <w:t>une clause de confidentialité alors que l</w:t>
      </w:r>
      <w:r>
        <w:rPr>
          <w:rFonts w:cs="Times New Roman"/>
          <w:noProof/>
          <w:lang w:val="fr-CA"/>
        </w:rPr>
        <w:t>’</w:t>
      </w:r>
      <w:r w:rsidRPr="00332A1B">
        <w:rPr>
          <w:rFonts w:cs="Times New Roman"/>
          <w:noProof/>
          <w:lang w:val="fr-CA"/>
        </w:rPr>
        <w:t>une des parties tentait de présenter en preuve des renseignements échangés au cours d</w:t>
      </w:r>
      <w:r>
        <w:rPr>
          <w:rFonts w:cs="Times New Roman"/>
          <w:noProof/>
          <w:lang w:val="fr-CA"/>
        </w:rPr>
        <w:t>’</w:t>
      </w:r>
      <w:r w:rsidRPr="00332A1B">
        <w:rPr>
          <w:rFonts w:cs="Times New Roman"/>
          <w:noProof/>
          <w:lang w:val="fr-CA"/>
        </w:rPr>
        <w:t>un processus de médiation.  La clause en question interdisait expressément l</w:t>
      </w:r>
      <w:r>
        <w:rPr>
          <w:rFonts w:cs="Times New Roman"/>
          <w:noProof/>
          <w:lang w:val="fr-CA"/>
        </w:rPr>
        <w:t>’</w:t>
      </w:r>
      <w:r w:rsidRPr="00332A1B">
        <w:rPr>
          <w:rFonts w:cs="Times New Roman"/>
          <w:noProof/>
          <w:lang w:val="fr-CA"/>
        </w:rPr>
        <w:t>utilisation de tels éléments de preuve, sauf dans le cadre d</w:t>
      </w:r>
      <w:r>
        <w:rPr>
          <w:rFonts w:cs="Times New Roman"/>
          <w:noProof/>
          <w:lang w:val="fr-CA"/>
        </w:rPr>
        <w:t>’</w:t>
      </w:r>
      <w:r w:rsidRPr="00332A1B">
        <w:rPr>
          <w:rFonts w:cs="Times New Roman"/>
          <w:noProof/>
          <w:lang w:val="fr-CA"/>
        </w:rPr>
        <w:t>une demande d</w:t>
      </w:r>
      <w:r>
        <w:rPr>
          <w:rFonts w:cs="Times New Roman"/>
          <w:noProof/>
          <w:lang w:val="fr-CA"/>
        </w:rPr>
        <w:t>’</w:t>
      </w:r>
      <w:r w:rsidRPr="00332A1B">
        <w:rPr>
          <w:rFonts w:cs="Times New Roman"/>
          <w:noProof/>
          <w:lang w:val="fr-CA"/>
        </w:rPr>
        <w:t>homologation ou de révision judiciaire.  Et dans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Stewart c. Stewart</w:t>
      </w:r>
      <w:r w:rsidRPr="00332A1B">
        <w:rPr>
          <w:rFonts w:cs="Times New Roman"/>
          <w:noProof/>
          <w:lang w:val="fr-CA"/>
        </w:rPr>
        <w:t>, 2008 ABQB 348 (CanLII), une autre affaire concernant une clause de confidentialité des communications faites au cours d</w:t>
      </w:r>
      <w:r>
        <w:rPr>
          <w:rFonts w:cs="Times New Roman"/>
          <w:noProof/>
          <w:lang w:val="fr-CA"/>
        </w:rPr>
        <w:t>’</w:t>
      </w:r>
      <w:r w:rsidRPr="00332A1B">
        <w:rPr>
          <w:rFonts w:cs="Times New Roman"/>
          <w:noProof/>
          <w:lang w:val="fr-CA"/>
        </w:rPr>
        <w:t>une médiation, quoique dans un contexte de droit de la famille, la Cour du Banc de la Reine de l</w:t>
      </w:r>
      <w:r>
        <w:rPr>
          <w:rFonts w:cs="Times New Roman"/>
          <w:noProof/>
          <w:lang w:val="fr-CA"/>
        </w:rPr>
        <w:t>’</w:t>
      </w:r>
      <w:r w:rsidRPr="00332A1B">
        <w:rPr>
          <w:rFonts w:cs="Times New Roman"/>
          <w:noProof/>
          <w:lang w:val="fr-CA"/>
        </w:rPr>
        <w:t>Alberta a refusé d</w:t>
      </w:r>
      <w:r>
        <w:rPr>
          <w:rFonts w:cs="Times New Roman"/>
          <w:noProof/>
          <w:lang w:val="fr-CA"/>
        </w:rPr>
        <w:t>’</w:t>
      </w:r>
      <w:r w:rsidRPr="00332A1B">
        <w:rPr>
          <w:rFonts w:cs="Times New Roman"/>
          <w:noProof/>
          <w:lang w:val="fr-CA"/>
        </w:rPr>
        <w:t xml:space="preserve">admettre des éléments de preuve provenant de la médiation. </w:t>
      </w:r>
    </w:p>
    <w:p w:rsidR="00F3157A" w:rsidRPr="00332A1B" w:rsidRDefault="00F3157A" w:rsidP="00A0307B">
      <w:pPr>
        <w:pStyle w:val="ParaNoNdepar-AltN"/>
        <w:rPr>
          <w:rFonts w:cs="Times New Roman"/>
          <w:noProof/>
        </w:rPr>
      </w:pPr>
      <w:r w:rsidRPr="00332A1B">
        <w:rPr>
          <w:rFonts w:cs="Times New Roman"/>
          <w:noProof/>
          <w:lang w:val="fr-CA"/>
        </w:rPr>
        <w:t>Bien qu</w:t>
      </w:r>
      <w:r>
        <w:rPr>
          <w:rFonts w:cs="Times New Roman"/>
          <w:noProof/>
          <w:lang w:val="fr-CA"/>
        </w:rPr>
        <w:t>’</w:t>
      </w:r>
      <w:r w:rsidRPr="00332A1B">
        <w:rPr>
          <w:rFonts w:cs="Times New Roman"/>
          <w:noProof/>
          <w:lang w:val="fr-CA"/>
        </w:rPr>
        <w:t>une clause d</w:t>
      </w:r>
      <w:r>
        <w:rPr>
          <w:rFonts w:cs="Times New Roman"/>
          <w:noProof/>
          <w:lang w:val="fr-CA"/>
        </w:rPr>
        <w:t>’</w:t>
      </w:r>
      <w:r w:rsidRPr="00332A1B">
        <w:rPr>
          <w:rFonts w:cs="Times New Roman"/>
          <w:noProof/>
          <w:lang w:val="fr-CA"/>
        </w:rPr>
        <w:t>un contrat de médiation puisse assurer la protection de la confidentialité d</w:t>
      </w:r>
      <w:r>
        <w:rPr>
          <w:rFonts w:cs="Times New Roman"/>
          <w:noProof/>
          <w:lang w:val="fr-CA"/>
        </w:rPr>
        <w:t>’</w:t>
      </w:r>
      <w:r w:rsidRPr="00332A1B">
        <w:rPr>
          <w:rFonts w:cs="Times New Roman"/>
          <w:noProof/>
          <w:lang w:val="fr-CA"/>
        </w:rPr>
        <w:t>une façon plus exhaustive que ne le fait le privilège relatif aux règlements de la common law, plusieurs auteurs rappellent que la confidentialité assurée par une telle clause n</w:t>
      </w:r>
      <w:r>
        <w:rPr>
          <w:rFonts w:cs="Times New Roman"/>
          <w:noProof/>
          <w:lang w:val="fr-CA"/>
        </w:rPr>
        <w:t>’</w:t>
      </w:r>
      <w:r w:rsidRPr="00332A1B">
        <w:rPr>
          <w:rFonts w:cs="Times New Roman"/>
          <w:noProof/>
          <w:lang w:val="fr-CA"/>
        </w:rPr>
        <w:t>est pas « absolue » et que les tribunaux peuvent refuser de lui donner effet après avoir pondéré les intérêts opposés, par exemple, favoriser les règlements à l</w:t>
      </w:r>
      <w:r>
        <w:rPr>
          <w:rFonts w:cs="Times New Roman"/>
          <w:noProof/>
          <w:lang w:val="fr-CA"/>
        </w:rPr>
        <w:t>’</w:t>
      </w:r>
      <w:r w:rsidRPr="00332A1B">
        <w:rPr>
          <w:rFonts w:cs="Times New Roman"/>
          <w:noProof/>
          <w:lang w:val="fr-CA"/>
        </w:rPr>
        <w:t>amiable au moyen de la confidentialité et respecter les règles de preuve applicables aux litiges (voir Boulle et Kelly, p</w:t>
      </w:r>
      <w:r w:rsidR="00A0307B">
        <w:rPr>
          <w:rFonts w:cs="Times New Roman"/>
          <w:noProof/>
          <w:lang w:val="fr-CA"/>
        </w:rPr>
        <w:t xml:space="preserve">. </w:t>
      </w:r>
      <w:r w:rsidRPr="00332A1B">
        <w:rPr>
          <w:rFonts w:cs="Times New Roman"/>
          <w:noProof/>
          <w:lang w:val="fr-CA"/>
        </w:rPr>
        <w:t>309 et 312</w:t>
      </w:r>
      <w:r w:rsidR="001A55C4">
        <w:rPr>
          <w:rFonts w:cs="Times New Roman"/>
          <w:noProof/>
          <w:lang w:val="fr-CA"/>
        </w:rPr>
        <w:t>-</w:t>
      </w:r>
      <w:r w:rsidRPr="00332A1B">
        <w:rPr>
          <w:rFonts w:cs="Times New Roman"/>
          <w:noProof/>
          <w:lang w:val="fr-CA"/>
        </w:rPr>
        <w:t>313; F</w:t>
      </w:r>
      <w:r w:rsidR="00A0307B">
        <w:rPr>
          <w:rFonts w:cs="Times New Roman"/>
          <w:noProof/>
          <w:lang w:val="fr-CA"/>
        </w:rPr>
        <w:t xml:space="preserve">. </w:t>
      </w:r>
      <w:r w:rsidRPr="00332A1B">
        <w:rPr>
          <w:rFonts w:cs="Times New Roman"/>
          <w:noProof/>
          <w:lang w:val="fr-CA"/>
        </w:rPr>
        <w:t xml:space="preserve">Crosbie, « Aspects of Confidentiality in Mediation : A Matter of Balancing Competing Public Interests » (1995), 2 </w:t>
      </w:r>
      <w:r w:rsidR="001A55C4">
        <w:rPr>
          <w:rFonts w:cs="Times New Roman"/>
          <w:i/>
          <w:noProof/>
          <w:lang w:val="fr-CA"/>
        </w:rPr>
        <w:t>C.</w:t>
      </w:r>
      <w:r w:rsidR="001A55C4">
        <w:rPr>
          <w:rFonts w:cs="Times New Roman"/>
          <w:i/>
          <w:noProof/>
          <w:lang w:val="fr-FR"/>
        </w:rPr>
        <w:t>D.R.</w:t>
      </w:r>
      <w:r w:rsidRPr="00332A1B">
        <w:rPr>
          <w:rFonts w:cs="Times New Roman"/>
          <w:i/>
          <w:noProof/>
          <w:lang w:val="fr-FR"/>
        </w:rPr>
        <w:t>J.</w:t>
      </w:r>
      <w:r w:rsidRPr="00332A1B">
        <w:rPr>
          <w:rFonts w:cs="Times New Roman"/>
          <w:noProof/>
          <w:lang w:val="fr-FR"/>
        </w:rPr>
        <w:t xml:space="preserve"> 51, p</w:t>
      </w:r>
      <w:r w:rsidR="00A0307B">
        <w:rPr>
          <w:rFonts w:cs="Times New Roman"/>
          <w:noProof/>
          <w:lang w:val="fr-FR"/>
        </w:rPr>
        <w:t xml:space="preserve">. </w:t>
      </w:r>
      <w:r w:rsidRPr="00332A1B">
        <w:rPr>
          <w:rFonts w:cs="Times New Roman"/>
          <w:noProof/>
          <w:lang w:val="fr-FR"/>
        </w:rPr>
        <w:t>70; K</w:t>
      </w:r>
      <w:r w:rsidR="00A0307B">
        <w:rPr>
          <w:rFonts w:cs="Times New Roman"/>
          <w:noProof/>
          <w:lang w:val="fr-FR"/>
        </w:rPr>
        <w:t xml:space="preserve">. </w:t>
      </w:r>
      <w:r w:rsidRPr="00332A1B">
        <w:rPr>
          <w:rFonts w:cs="Times New Roman"/>
          <w:noProof/>
          <w:lang w:val="fr-FR"/>
        </w:rPr>
        <w:t>L</w:t>
      </w:r>
      <w:r w:rsidR="00A0307B">
        <w:rPr>
          <w:rFonts w:cs="Times New Roman"/>
          <w:noProof/>
          <w:lang w:val="fr-FR"/>
        </w:rPr>
        <w:t xml:space="preserve">. </w:t>
      </w:r>
      <w:r w:rsidRPr="00332A1B">
        <w:rPr>
          <w:rFonts w:cs="Times New Roman"/>
          <w:noProof/>
          <w:lang w:val="fr-FR"/>
        </w:rPr>
        <w:t>Brown, « Confidentiality in Mediation : Status and Implications »</w:t>
      </w:r>
      <w:r w:rsidR="001A55C4">
        <w:rPr>
          <w:rFonts w:cs="Times New Roman"/>
          <w:noProof/>
          <w:lang w:val="fr-FR"/>
        </w:rPr>
        <w:t>,</w:t>
      </w:r>
      <w:r w:rsidRPr="00332A1B">
        <w:rPr>
          <w:rFonts w:cs="Times New Roman"/>
          <w:noProof/>
          <w:lang w:val="fr-FR"/>
        </w:rPr>
        <w:t xml:space="preserve"> </w:t>
      </w:r>
      <w:r w:rsidRPr="00332A1B">
        <w:rPr>
          <w:rFonts w:cs="Times New Roman"/>
          <w:noProof/>
          <w:lang w:val="fr-CA"/>
        </w:rPr>
        <w:t>[</w:t>
      </w:r>
      <w:r w:rsidR="001A55C4">
        <w:rPr>
          <w:rFonts w:cs="Times New Roman"/>
          <w:noProof/>
          <w:lang w:val="fr-FR"/>
        </w:rPr>
        <w:t>1991]</w:t>
      </w:r>
      <w:r w:rsidRPr="00332A1B">
        <w:rPr>
          <w:rFonts w:cs="Times New Roman"/>
          <w:noProof/>
          <w:lang w:val="fr-FR"/>
        </w:rPr>
        <w:t xml:space="preserve"> </w:t>
      </w:r>
      <w:r w:rsidRPr="00332A1B">
        <w:rPr>
          <w:rFonts w:cs="Times New Roman"/>
          <w:i/>
          <w:noProof/>
          <w:lang w:val="fr-FR"/>
        </w:rPr>
        <w:t>J. Disp</w:t>
      </w:r>
      <w:r w:rsidR="00A0307B">
        <w:rPr>
          <w:rFonts w:cs="Times New Roman"/>
          <w:i/>
          <w:noProof/>
          <w:lang w:val="fr-FR"/>
        </w:rPr>
        <w:t xml:space="preserve">. </w:t>
      </w:r>
      <w:r w:rsidRPr="00332A1B">
        <w:rPr>
          <w:rFonts w:cs="Times New Roman"/>
          <w:i/>
          <w:noProof/>
        </w:rPr>
        <w:t>Resol.</w:t>
      </w:r>
      <w:r w:rsidRPr="00332A1B">
        <w:rPr>
          <w:rFonts w:cs="Times New Roman"/>
          <w:noProof/>
        </w:rPr>
        <w:t xml:space="preserve"> 307; E</w:t>
      </w:r>
      <w:r w:rsidR="00A0307B">
        <w:rPr>
          <w:rFonts w:cs="Times New Roman"/>
          <w:noProof/>
        </w:rPr>
        <w:t xml:space="preserve">. </w:t>
      </w:r>
      <w:r w:rsidRPr="00332A1B">
        <w:rPr>
          <w:rFonts w:cs="Times New Roman"/>
          <w:noProof/>
        </w:rPr>
        <w:t>D</w:t>
      </w:r>
      <w:r w:rsidR="00A0307B">
        <w:rPr>
          <w:rFonts w:cs="Times New Roman"/>
          <w:noProof/>
        </w:rPr>
        <w:t xml:space="preserve">. </w:t>
      </w:r>
      <w:r w:rsidRPr="00332A1B">
        <w:rPr>
          <w:rFonts w:cs="Times New Roman"/>
          <w:noProof/>
        </w:rPr>
        <w:t xml:space="preserve">Green, « A Heretical View of the </w:t>
      </w:r>
      <w:r w:rsidRPr="00332A1B">
        <w:rPr>
          <w:rFonts w:cs="Times New Roman"/>
          <w:noProof/>
        </w:rPr>
        <w:lastRenderedPageBreak/>
        <w:t xml:space="preserve">Mediation Privilege » (1986), 2 </w:t>
      </w:r>
      <w:r w:rsidRPr="00332A1B">
        <w:rPr>
          <w:rFonts w:cs="Times New Roman"/>
          <w:i/>
          <w:noProof/>
        </w:rPr>
        <w:t>Ohio St. J. Disp</w:t>
      </w:r>
      <w:r w:rsidR="00A0307B">
        <w:rPr>
          <w:rFonts w:cs="Times New Roman"/>
          <w:i/>
          <w:noProof/>
        </w:rPr>
        <w:t xml:space="preserve">. </w:t>
      </w:r>
      <w:r w:rsidRPr="00332A1B">
        <w:rPr>
          <w:rFonts w:cs="Times New Roman"/>
          <w:i/>
          <w:noProof/>
        </w:rPr>
        <w:t>Resol.</w:t>
      </w:r>
      <w:r w:rsidRPr="00332A1B">
        <w:rPr>
          <w:rFonts w:cs="Times New Roman"/>
          <w:noProof/>
        </w:rPr>
        <w:t xml:space="preserve"> 1, p</w:t>
      </w:r>
      <w:r w:rsidR="00A0307B">
        <w:rPr>
          <w:rFonts w:cs="Times New Roman"/>
          <w:noProof/>
        </w:rPr>
        <w:t xml:space="preserve">. </w:t>
      </w:r>
      <w:r w:rsidRPr="00332A1B">
        <w:rPr>
          <w:rFonts w:cs="Times New Roman"/>
          <w:noProof/>
        </w:rPr>
        <w:t>19</w:t>
      </w:r>
      <w:r w:rsidR="001A55C4">
        <w:rPr>
          <w:rFonts w:cs="Times New Roman"/>
          <w:noProof/>
        </w:rPr>
        <w:t>-</w:t>
      </w:r>
      <w:r w:rsidRPr="00332A1B">
        <w:rPr>
          <w:rFonts w:cs="Times New Roman"/>
          <w:noProof/>
        </w:rPr>
        <w:t>22; Freedman et Prigoff, p</w:t>
      </w:r>
      <w:r w:rsidR="00A0307B">
        <w:rPr>
          <w:rFonts w:cs="Times New Roman"/>
          <w:noProof/>
        </w:rPr>
        <w:t xml:space="preserve">. </w:t>
      </w:r>
      <w:r w:rsidRPr="00332A1B">
        <w:rPr>
          <w:rFonts w:cs="Times New Roman"/>
          <w:noProof/>
        </w:rPr>
        <w:t>41).</w:t>
      </w:r>
    </w:p>
    <w:p w:rsidR="00F3157A" w:rsidRPr="00332A1B" w:rsidRDefault="00F3157A" w:rsidP="00A0307B">
      <w:pPr>
        <w:pStyle w:val="ParaNoNdepar-AltN"/>
        <w:rPr>
          <w:rFonts w:cs="Times New Roman"/>
          <w:noProof/>
          <w:lang w:val="fr-CA"/>
        </w:rPr>
      </w:pPr>
      <w:r w:rsidRPr="00332A1B">
        <w:rPr>
          <w:rFonts w:cs="Times New Roman"/>
          <w:noProof/>
          <w:lang w:val="fr-FR"/>
        </w:rPr>
        <w:t>C</w:t>
      </w:r>
      <w:r w:rsidRPr="00332A1B">
        <w:rPr>
          <w:rFonts w:cs="Times New Roman"/>
          <w:noProof/>
          <w:lang w:val="fr-CA"/>
        </w:rPr>
        <w:t>omme moyen de pondérer les intérêts opposés, l</w:t>
      </w:r>
      <w:r>
        <w:rPr>
          <w:rFonts w:cs="Times New Roman"/>
          <w:noProof/>
          <w:lang w:val="fr-CA"/>
        </w:rPr>
        <w:t>’</w:t>
      </w:r>
      <w:r w:rsidRPr="00332A1B">
        <w:rPr>
          <w:rFonts w:cs="Times New Roman"/>
          <w:noProof/>
          <w:lang w:val="fr-CA"/>
        </w:rPr>
        <w:t xml:space="preserve">intervenante Arbitration Place Inc. propose le critère à quatre volets énoncé par Wigmore, que les tribunaux de common law appliquent parfois pour déterminer si la preuve des communications est admissible.  Les quatre volets de ce critère sont les suivants : </w:t>
      </w:r>
    </w:p>
    <w:p w:rsidR="00F3157A" w:rsidRDefault="00F3157A" w:rsidP="00A0307B">
      <w:pPr>
        <w:pStyle w:val="Citation-AltC"/>
        <w:ind w:hanging="1166"/>
        <w:rPr>
          <w:smallCaps/>
          <w:noProof/>
          <w:lang w:val="fr-CA"/>
        </w:rPr>
      </w:pPr>
      <w:r>
        <w:rPr>
          <w:smallCaps/>
          <w:noProof/>
          <w:lang w:val="fr-CA"/>
        </w:rPr>
        <w:tab/>
      </w:r>
      <w:r w:rsidRPr="00332A1B">
        <w:rPr>
          <w:smallCaps/>
          <w:noProof/>
          <w:lang w:val="fr-CA"/>
        </w:rPr>
        <w:t>[traduction]</w:t>
      </w:r>
    </w:p>
    <w:p w:rsidR="00367020" w:rsidRPr="00332A1B" w:rsidRDefault="00367020" w:rsidP="00A0307B">
      <w:pPr>
        <w:pStyle w:val="Citation-AltC"/>
        <w:ind w:hanging="1166"/>
        <w:rPr>
          <w:smallCaps/>
          <w:noProof/>
          <w:lang w:val="fr-CA"/>
        </w:rPr>
      </w:pPr>
    </w:p>
    <w:p w:rsidR="00F3157A" w:rsidRPr="00332A1B" w:rsidRDefault="00F3157A" w:rsidP="00A0307B">
      <w:pPr>
        <w:pStyle w:val="Citation-AltC"/>
        <w:numPr>
          <w:ilvl w:val="5"/>
          <w:numId w:val="6"/>
        </w:numPr>
        <w:spacing w:after="240"/>
        <w:ind w:left="1701" w:hanging="567"/>
        <w:contextualSpacing w:val="0"/>
        <w:rPr>
          <w:noProof/>
          <w:lang w:val="fr-CA"/>
        </w:rPr>
      </w:pPr>
      <w:r w:rsidRPr="00332A1B">
        <w:rPr>
          <w:noProof/>
          <w:lang w:val="fr-CA"/>
        </w:rPr>
        <w:t>Les communications doivent avoir été transmises confidentiellement avec l</w:t>
      </w:r>
      <w:r>
        <w:rPr>
          <w:noProof/>
          <w:lang w:val="fr-CA"/>
        </w:rPr>
        <w:t>’</w:t>
      </w:r>
      <w:r w:rsidRPr="00332A1B">
        <w:rPr>
          <w:noProof/>
          <w:lang w:val="fr-CA"/>
        </w:rPr>
        <w:t>assurance qu</w:t>
      </w:r>
      <w:r>
        <w:rPr>
          <w:noProof/>
          <w:lang w:val="fr-CA"/>
        </w:rPr>
        <w:t>’</w:t>
      </w:r>
      <w:r w:rsidRPr="00332A1B">
        <w:rPr>
          <w:noProof/>
          <w:lang w:val="fr-CA"/>
        </w:rPr>
        <w:t>elles ne seraient pas divulguées.</w:t>
      </w:r>
    </w:p>
    <w:p w:rsidR="00F3157A" w:rsidRPr="00332A1B" w:rsidRDefault="00F3157A" w:rsidP="00A0307B">
      <w:pPr>
        <w:pStyle w:val="Citation-AltC"/>
        <w:numPr>
          <w:ilvl w:val="5"/>
          <w:numId w:val="6"/>
        </w:numPr>
        <w:spacing w:after="240"/>
        <w:ind w:left="1701" w:hanging="567"/>
        <w:contextualSpacing w:val="0"/>
        <w:rPr>
          <w:noProof/>
          <w:lang w:val="fr-CA"/>
        </w:rPr>
      </w:pPr>
      <w:r w:rsidRPr="00332A1B">
        <w:rPr>
          <w:noProof/>
          <w:lang w:val="fr-CA"/>
        </w:rPr>
        <w:t>Le caractère confidentiel doit être un élément essentiel au maintien des rapports entre les parties.</w:t>
      </w:r>
    </w:p>
    <w:p w:rsidR="00F3157A" w:rsidRPr="00332A1B" w:rsidRDefault="00F3157A" w:rsidP="00A0307B">
      <w:pPr>
        <w:pStyle w:val="Citation-AltC"/>
        <w:numPr>
          <w:ilvl w:val="5"/>
          <w:numId w:val="6"/>
        </w:numPr>
        <w:spacing w:after="240"/>
        <w:ind w:left="1701" w:hanging="567"/>
        <w:contextualSpacing w:val="0"/>
        <w:rPr>
          <w:noProof/>
          <w:lang w:val="fr-CA"/>
        </w:rPr>
      </w:pPr>
      <w:r w:rsidRPr="00332A1B">
        <w:rPr>
          <w:noProof/>
          <w:lang w:val="fr-CA"/>
        </w:rPr>
        <w:t>Les rapports doivent être de la nature de ceux qui, selon l</w:t>
      </w:r>
      <w:r>
        <w:rPr>
          <w:noProof/>
          <w:lang w:val="fr-CA"/>
        </w:rPr>
        <w:t>’</w:t>
      </w:r>
      <w:r w:rsidRPr="00332A1B">
        <w:rPr>
          <w:noProof/>
          <w:lang w:val="fr-CA"/>
        </w:rPr>
        <w:t>opinion de la collectivité, doivent être entretenus assidûment.</w:t>
      </w:r>
    </w:p>
    <w:p w:rsidR="00F3157A" w:rsidRPr="00332A1B" w:rsidRDefault="00F3157A" w:rsidP="00A0307B">
      <w:pPr>
        <w:pStyle w:val="Citation-AltC"/>
        <w:numPr>
          <w:ilvl w:val="5"/>
          <w:numId w:val="6"/>
        </w:numPr>
        <w:spacing w:after="240"/>
        <w:ind w:left="1701" w:hanging="567"/>
        <w:contextualSpacing w:val="0"/>
        <w:rPr>
          <w:noProof/>
          <w:lang w:val="fr-CA"/>
        </w:rPr>
      </w:pPr>
      <w:r w:rsidRPr="00332A1B">
        <w:rPr>
          <w:noProof/>
          <w:lang w:val="fr-CA"/>
        </w:rPr>
        <w:t>Le préjudice permanent que subiraient les rapports par la divulgation des communications doit être plus considérable que l</w:t>
      </w:r>
      <w:r>
        <w:rPr>
          <w:noProof/>
          <w:lang w:val="fr-CA"/>
        </w:rPr>
        <w:t>’</w:t>
      </w:r>
      <w:r w:rsidRPr="00332A1B">
        <w:rPr>
          <w:noProof/>
          <w:lang w:val="fr-CA"/>
        </w:rPr>
        <w:t>avantage à retirer d</w:t>
      </w:r>
      <w:r>
        <w:rPr>
          <w:noProof/>
          <w:lang w:val="fr-CA"/>
        </w:rPr>
        <w:t>’</w:t>
      </w:r>
      <w:r w:rsidRPr="00332A1B">
        <w:rPr>
          <w:noProof/>
          <w:lang w:val="fr-CA"/>
        </w:rPr>
        <w:t>une juste décision.</w:t>
      </w:r>
    </w:p>
    <w:p w:rsidR="00F3157A" w:rsidRPr="00332A1B" w:rsidRDefault="008F22C6" w:rsidP="00A0307B">
      <w:pPr>
        <w:pStyle w:val="Citation-AltC"/>
        <w:ind w:left="1134" w:hanging="1134"/>
        <w:rPr>
          <w:noProof/>
          <w:lang w:val="fr-CA"/>
        </w:rPr>
      </w:pPr>
      <w:r>
        <w:rPr>
          <w:noProof/>
          <w:lang w:val="fr-CA"/>
        </w:rPr>
        <w:t>(m</w:t>
      </w:r>
      <w:r w:rsidR="00F3157A" w:rsidRPr="00332A1B">
        <w:rPr>
          <w:noProof/>
          <w:lang w:val="fr-CA"/>
        </w:rPr>
        <w:t>.i.</w:t>
      </w:r>
      <w:r w:rsidR="007D7D81">
        <w:rPr>
          <w:noProof/>
          <w:lang w:val="fr-CA"/>
        </w:rPr>
        <w:t>,</w:t>
      </w:r>
      <w:r w:rsidR="00F3157A" w:rsidRPr="00332A1B">
        <w:rPr>
          <w:noProof/>
          <w:lang w:val="fr-CA"/>
        </w:rPr>
        <w:t xml:space="preserve"> par</w:t>
      </w:r>
      <w:r w:rsidR="00A0307B">
        <w:rPr>
          <w:noProof/>
          <w:lang w:val="fr-CA"/>
        </w:rPr>
        <w:t xml:space="preserve">. </w:t>
      </w:r>
      <w:r w:rsidR="00F3157A" w:rsidRPr="00332A1B">
        <w:rPr>
          <w:noProof/>
          <w:lang w:val="fr-CA"/>
        </w:rPr>
        <w:t xml:space="preserve">4, citant </w:t>
      </w:r>
      <w:r w:rsidR="00F3157A" w:rsidRPr="00332A1B">
        <w:rPr>
          <w:i/>
          <w:noProof/>
          <w:lang w:val="fr-CA"/>
        </w:rPr>
        <w:t>Slavutych c. Baker</w:t>
      </w:r>
      <w:r w:rsidR="00F3157A" w:rsidRPr="00332A1B">
        <w:rPr>
          <w:noProof/>
          <w:lang w:val="fr-CA"/>
        </w:rPr>
        <w:t>, [1976] 1 R.C.S. 254, p</w:t>
      </w:r>
      <w:r w:rsidR="00A0307B">
        <w:rPr>
          <w:noProof/>
          <w:lang w:val="fr-CA"/>
        </w:rPr>
        <w:t xml:space="preserve">. </w:t>
      </w:r>
      <w:r w:rsidR="00F3157A" w:rsidRPr="00332A1B">
        <w:rPr>
          <w:noProof/>
          <w:lang w:val="fr-CA"/>
        </w:rPr>
        <w:t>260.</w:t>
      </w:r>
      <w:r w:rsidR="00F3157A">
        <w:rPr>
          <w:noProof/>
          <w:lang w:val="fr-CA"/>
        </w:rPr>
        <w:t>)</w:t>
      </w:r>
    </w:p>
    <w:p w:rsidR="00F3157A" w:rsidRPr="00332A1B" w:rsidRDefault="00F3157A" w:rsidP="00A0307B">
      <w:pPr>
        <w:pStyle w:val="ContinueParaSuitedupar-AltP"/>
        <w:rPr>
          <w:rFonts w:cs="Times New Roman"/>
          <w:noProof/>
          <w:lang w:val="fr-CA"/>
        </w:rPr>
      </w:pPr>
      <w:r w:rsidRPr="00332A1B">
        <w:rPr>
          <w:rFonts w:cs="Times New Roman"/>
          <w:noProof/>
          <w:lang w:val="fr-CA"/>
        </w:rPr>
        <w:t>Notre Cour a appliqué ce critère dans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Slavutych</w:t>
      </w:r>
      <w:r w:rsidRPr="00332A1B">
        <w:rPr>
          <w:rFonts w:cs="Times New Roman"/>
          <w:iCs/>
          <w:noProof/>
          <w:lang w:val="fr-CA"/>
        </w:rPr>
        <w:t xml:space="preserve"> </w:t>
      </w:r>
      <w:r w:rsidRPr="00332A1B">
        <w:rPr>
          <w:rFonts w:cs="Times New Roman"/>
          <w:noProof/>
          <w:lang w:val="fr-CA"/>
        </w:rPr>
        <w:t>afin de déterminer si un document confidentiel signé par l</w:t>
      </w:r>
      <w:r>
        <w:rPr>
          <w:rFonts w:cs="Times New Roman"/>
          <w:noProof/>
          <w:lang w:val="fr-CA"/>
        </w:rPr>
        <w:t>’</w:t>
      </w:r>
      <w:r w:rsidRPr="00332A1B">
        <w:rPr>
          <w:rFonts w:cs="Times New Roman"/>
          <w:noProof/>
          <w:lang w:val="fr-CA"/>
        </w:rPr>
        <w:t>appelant à la demande des autorités de l</w:t>
      </w:r>
      <w:r>
        <w:rPr>
          <w:rFonts w:cs="Times New Roman"/>
          <w:noProof/>
          <w:lang w:val="fr-CA"/>
        </w:rPr>
        <w:t>’</w:t>
      </w:r>
      <w:r w:rsidRPr="00332A1B">
        <w:rPr>
          <w:rFonts w:cs="Times New Roman"/>
          <w:noProof/>
          <w:lang w:val="fr-CA"/>
        </w:rPr>
        <w:t>université devait demeurer protégé dans le cadre d</w:t>
      </w:r>
      <w:r>
        <w:rPr>
          <w:rFonts w:cs="Times New Roman"/>
          <w:noProof/>
          <w:lang w:val="fr-CA"/>
        </w:rPr>
        <w:t>’</w:t>
      </w:r>
      <w:r w:rsidRPr="00332A1B">
        <w:rPr>
          <w:rFonts w:cs="Times New Roman"/>
          <w:noProof/>
          <w:lang w:val="fr-CA"/>
        </w:rPr>
        <w:t>une procédure de licenciement engagée subséquemment contre l</w:t>
      </w:r>
      <w:r>
        <w:rPr>
          <w:rFonts w:cs="Times New Roman"/>
          <w:noProof/>
          <w:lang w:val="fr-CA"/>
        </w:rPr>
        <w:t>’</w:t>
      </w:r>
      <w:r w:rsidRPr="00332A1B">
        <w:rPr>
          <w:rFonts w:cs="Times New Roman"/>
          <w:noProof/>
          <w:lang w:val="fr-CA"/>
        </w:rPr>
        <w:t>appelant.  Elle l</w:t>
      </w:r>
      <w:r>
        <w:rPr>
          <w:rFonts w:cs="Times New Roman"/>
          <w:noProof/>
          <w:lang w:val="fr-CA"/>
        </w:rPr>
        <w:t>’</w:t>
      </w:r>
      <w:r w:rsidRPr="00332A1B">
        <w:rPr>
          <w:rFonts w:cs="Times New Roman"/>
          <w:noProof/>
          <w:lang w:val="fr-CA"/>
        </w:rPr>
        <w:t>a également appliqué dans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R. c. Gruenke</w:t>
      </w:r>
      <w:r w:rsidRPr="00332A1B">
        <w:rPr>
          <w:rFonts w:cs="Times New Roman"/>
          <w:noProof/>
          <w:lang w:val="fr-CA"/>
        </w:rPr>
        <w:t>, [1991] 3 R.C.S</w:t>
      </w:r>
      <w:r w:rsidR="00A0307B">
        <w:rPr>
          <w:rFonts w:cs="Times New Roman"/>
          <w:noProof/>
          <w:lang w:val="fr-CA"/>
        </w:rPr>
        <w:t xml:space="preserve">. </w:t>
      </w:r>
      <w:r w:rsidRPr="00332A1B">
        <w:rPr>
          <w:rFonts w:cs="Times New Roman"/>
          <w:noProof/>
          <w:lang w:val="fr-CA"/>
        </w:rPr>
        <w:t xml:space="preserve">263, afin de déterminer si des communications religieuses devaient demeurer protégées dans un contexte criminel. </w:t>
      </w:r>
    </w:p>
    <w:p w:rsidR="00F3157A" w:rsidRPr="00332A1B" w:rsidRDefault="00F3157A" w:rsidP="00A0307B">
      <w:pPr>
        <w:pStyle w:val="ParaNoNdepar-AltN"/>
        <w:rPr>
          <w:rFonts w:cs="Times New Roman"/>
          <w:noProof/>
          <w:lang w:val="fr-CA"/>
        </w:rPr>
      </w:pPr>
      <w:r w:rsidRPr="00332A1B">
        <w:rPr>
          <w:rFonts w:cs="Times New Roman"/>
          <w:noProof/>
          <w:lang w:val="fr-CA"/>
        </w:rPr>
        <w:lastRenderedPageBreak/>
        <w:t>Par contre, le procureur général de la Colombie</w:t>
      </w:r>
      <w:r w:rsidR="00A0307B">
        <w:rPr>
          <w:rFonts w:cs="Times New Roman"/>
          <w:noProof/>
          <w:lang w:val="fr-CA"/>
        </w:rPr>
        <w:t>-</w:t>
      </w:r>
      <w:r w:rsidRPr="00332A1B">
        <w:rPr>
          <w:rFonts w:cs="Times New Roman"/>
          <w:noProof/>
          <w:lang w:val="fr-CA"/>
        </w:rPr>
        <w:t>Britannique, intervenant, fait valoir que le sens ordinaire d</w:t>
      </w:r>
      <w:r>
        <w:rPr>
          <w:rFonts w:cs="Times New Roman"/>
          <w:noProof/>
          <w:lang w:val="fr-CA"/>
        </w:rPr>
        <w:t>’</w:t>
      </w:r>
      <w:r w:rsidRPr="00332A1B">
        <w:rPr>
          <w:rFonts w:cs="Times New Roman"/>
          <w:noProof/>
          <w:lang w:val="fr-CA"/>
        </w:rPr>
        <w:t>une entente de confidentialité non équivoque devrait prévaloir à moins de circonstances exceptionnelles.  Pour leur part, les intimées affirment que les tribunaux ne doivent pas s</w:t>
      </w:r>
      <w:r>
        <w:rPr>
          <w:rFonts w:cs="Times New Roman"/>
          <w:noProof/>
          <w:lang w:val="fr-CA"/>
        </w:rPr>
        <w:t>’</w:t>
      </w:r>
      <w:r w:rsidRPr="00332A1B">
        <w:rPr>
          <w:rFonts w:cs="Times New Roman"/>
          <w:noProof/>
          <w:lang w:val="fr-CA"/>
        </w:rPr>
        <w:t>arrêter au sens ordinaire d</w:t>
      </w:r>
      <w:r>
        <w:rPr>
          <w:rFonts w:cs="Times New Roman"/>
          <w:noProof/>
          <w:lang w:val="fr-CA"/>
        </w:rPr>
        <w:t>’</w:t>
      </w:r>
      <w:r w:rsidRPr="00332A1B">
        <w:rPr>
          <w:rFonts w:cs="Times New Roman"/>
          <w:noProof/>
          <w:lang w:val="fr-CA"/>
        </w:rPr>
        <w:t>une entente et doivent tenir compte du désir des parties.  Je souscris à ces approches.  En principe, il serait relativement difficile d</w:t>
      </w:r>
      <w:r>
        <w:rPr>
          <w:rFonts w:cs="Times New Roman"/>
          <w:noProof/>
          <w:lang w:val="fr-CA"/>
        </w:rPr>
        <w:t>’</w:t>
      </w:r>
      <w:r w:rsidRPr="00332A1B">
        <w:rPr>
          <w:rFonts w:cs="Times New Roman"/>
          <w:noProof/>
          <w:lang w:val="fr-CA"/>
        </w:rPr>
        <w:t>écarter l</w:t>
      </w:r>
      <w:r>
        <w:rPr>
          <w:rFonts w:cs="Times New Roman"/>
          <w:noProof/>
          <w:lang w:val="fr-CA"/>
        </w:rPr>
        <w:t>’</w:t>
      </w:r>
      <w:r w:rsidRPr="00332A1B">
        <w:rPr>
          <w:rFonts w:cs="Times New Roman"/>
          <w:noProof/>
          <w:lang w:val="fr-CA"/>
        </w:rPr>
        <w:t>intention des parties dès lors qu</w:t>
      </w:r>
      <w:r>
        <w:rPr>
          <w:rFonts w:cs="Times New Roman"/>
          <w:noProof/>
          <w:lang w:val="fr-CA"/>
        </w:rPr>
        <w:t>’</w:t>
      </w:r>
      <w:r w:rsidRPr="00332A1B">
        <w:rPr>
          <w:rFonts w:cs="Times New Roman"/>
          <w:noProof/>
          <w:lang w:val="fr-CA"/>
        </w:rPr>
        <w:t xml:space="preserve">elle est clairement établie.  Seul le quatrième volet du critère de Wigmore </w:t>
      </w:r>
      <w:r>
        <w:rPr>
          <w:rFonts w:cs="Times New Roman"/>
          <w:noProof/>
          <w:lang w:val="fr-CA"/>
        </w:rPr>
        <w:t>—</w:t>
      </w:r>
      <w:r w:rsidRPr="00332A1B">
        <w:rPr>
          <w:rFonts w:cs="Times New Roman"/>
          <w:i/>
          <w:noProof/>
          <w:lang w:val="fr-CA"/>
        </w:rPr>
        <w:t xml:space="preserve"> </w:t>
      </w:r>
      <w:r w:rsidRPr="00332A1B">
        <w:rPr>
          <w:rFonts w:cs="Times New Roman"/>
          <w:noProof/>
          <w:lang w:val="fr-CA"/>
        </w:rPr>
        <w:t xml:space="preserve">la pondération des intérêts </w:t>
      </w:r>
      <w:r>
        <w:rPr>
          <w:rFonts w:cs="Times New Roman"/>
          <w:noProof/>
          <w:lang w:val="fr-CA"/>
        </w:rPr>
        <w:t>—</w:t>
      </w:r>
      <w:r w:rsidRPr="00332A1B">
        <w:rPr>
          <w:rFonts w:cs="Times New Roman"/>
          <w:noProof/>
          <w:lang w:val="fr-CA"/>
        </w:rPr>
        <w:t xml:space="preserve"> pourrait être pertinent en l</w:t>
      </w:r>
      <w:r>
        <w:rPr>
          <w:rFonts w:cs="Times New Roman"/>
          <w:noProof/>
          <w:lang w:val="fr-CA"/>
        </w:rPr>
        <w:t>’</w:t>
      </w:r>
      <w:r w:rsidRPr="00332A1B">
        <w:rPr>
          <w:rFonts w:cs="Times New Roman"/>
          <w:noProof/>
          <w:lang w:val="fr-CA"/>
        </w:rPr>
        <w:t xml:space="preserve">espèce.  À mon avis, les trois premiers volets de ce critère sont superflus lorsque les parties ont non seulement choisi de recourir à un mécanisme confidentiel de règlement des différends, mais ont aussi signé une entente de confidentialité. </w:t>
      </w:r>
    </w:p>
    <w:p w:rsidR="00F3157A" w:rsidRPr="00332A1B" w:rsidRDefault="00F3157A" w:rsidP="00A0307B">
      <w:pPr>
        <w:pStyle w:val="Title3LevelTitre3Niveau"/>
        <w:keepNext w:val="0"/>
        <w:ind w:left="1080" w:hanging="540"/>
        <w:jc w:val="both"/>
        <w:rPr>
          <w:rFonts w:cs="Times New Roman"/>
          <w:noProof/>
          <w:lang w:val="fr-CA"/>
        </w:rPr>
      </w:pPr>
      <w:r w:rsidRPr="00332A1B">
        <w:rPr>
          <w:rFonts w:cs="Times New Roman"/>
          <w:noProof/>
          <w:lang w:val="fr-CA"/>
        </w:rPr>
        <w:t>Une clause de confidentialité d</w:t>
      </w:r>
      <w:r>
        <w:rPr>
          <w:rFonts w:cs="Times New Roman"/>
          <w:noProof/>
          <w:lang w:val="fr-CA"/>
        </w:rPr>
        <w:t>’</w:t>
      </w:r>
      <w:r w:rsidRPr="00332A1B">
        <w:rPr>
          <w:rFonts w:cs="Times New Roman"/>
          <w:noProof/>
          <w:lang w:val="fr-CA"/>
        </w:rPr>
        <w:t>une entente de médiation peut</w:t>
      </w:r>
      <w:r w:rsidR="00A0307B">
        <w:rPr>
          <w:rFonts w:cs="Times New Roman"/>
          <w:noProof/>
          <w:lang w:val="fr-CA"/>
        </w:rPr>
        <w:t>-</w:t>
      </w:r>
      <w:r w:rsidRPr="00332A1B">
        <w:rPr>
          <w:rFonts w:cs="Times New Roman"/>
          <w:noProof/>
          <w:lang w:val="fr-CA"/>
        </w:rPr>
        <w:t>elle écarter l</w:t>
      </w:r>
      <w:r>
        <w:rPr>
          <w:rFonts w:cs="Times New Roman"/>
          <w:noProof/>
          <w:lang w:val="fr-CA"/>
        </w:rPr>
        <w:t>’</w:t>
      </w:r>
      <w:r w:rsidRPr="00332A1B">
        <w:rPr>
          <w:rFonts w:cs="Times New Roman"/>
          <w:noProof/>
          <w:lang w:val="fr-CA"/>
        </w:rPr>
        <w:t>exception au privilège relatif aux règlements qui s</w:t>
      </w:r>
      <w:r>
        <w:rPr>
          <w:rFonts w:cs="Times New Roman"/>
          <w:noProof/>
          <w:lang w:val="fr-CA"/>
        </w:rPr>
        <w:t>’</w:t>
      </w:r>
      <w:r w:rsidRPr="00332A1B">
        <w:rPr>
          <w:rFonts w:cs="Times New Roman"/>
          <w:noProof/>
          <w:lang w:val="fr-CA"/>
        </w:rPr>
        <w:t>applique lorsqu</w:t>
      </w:r>
      <w:r>
        <w:rPr>
          <w:rFonts w:cs="Times New Roman"/>
          <w:noProof/>
          <w:lang w:val="fr-CA"/>
        </w:rPr>
        <w:t>’</w:t>
      </w:r>
      <w:r w:rsidRPr="00332A1B">
        <w:rPr>
          <w:rFonts w:cs="Times New Roman"/>
          <w:noProof/>
          <w:lang w:val="fr-CA"/>
        </w:rPr>
        <w:t>une partie cherche à faire la preuve des modalités d</w:t>
      </w:r>
      <w:r>
        <w:rPr>
          <w:rFonts w:cs="Times New Roman"/>
          <w:noProof/>
          <w:lang w:val="fr-CA"/>
        </w:rPr>
        <w:t>’</w:t>
      </w:r>
      <w:r w:rsidRPr="00332A1B">
        <w:rPr>
          <w:rFonts w:cs="Times New Roman"/>
          <w:noProof/>
          <w:lang w:val="fr-CA"/>
        </w:rPr>
        <w:t xml:space="preserve">un règlement? </w:t>
      </w:r>
    </w:p>
    <w:p w:rsidR="00F3157A" w:rsidRPr="00332A1B" w:rsidRDefault="00F3157A" w:rsidP="00A0307B">
      <w:pPr>
        <w:pStyle w:val="ParaNoNdepar-AltN"/>
        <w:rPr>
          <w:rFonts w:cs="Times New Roman"/>
          <w:noProof/>
          <w:lang w:val="fr-CA"/>
        </w:rPr>
      </w:pPr>
      <w:r w:rsidRPr="00332A1B">
        <w:rPr>
          <w:rFonts w:cs="Times New Roman"/>
          <w:noProof/>
          <w:lang w:val="fr-CA"/>
        </w:rPr>
        <w:t>Le privilège relatif aux règlements de la common law et le caractère confidentiel de la médiation sont souvent confondus.  Ils ont un objectif commun : favoriser les règlements extrajudiciaires.  Or, comme nous l</w:t>
      </w:r>
      <w:r>
        <w:rPr>
          <w:rFonts w:cs="Times New Roman"/>
          <w:noProof/>
          <w:lang w:val="fr-CA"/>
        </w:rPr>
        <w:t>’</w:t>
      </w:r>
      <w:r w:rsidRPr="00332A1B">
        <w:rPr>
          <w:rFonts w:cs="Times New Roman"/>
          <w:noProof/>
          <w:lang w:val="fr-CA"/>
        </w:rPr>
        <w:t>avons vu, les clauses de confidentialité des ententes de médiation peuvent également avoir d</w:t>
      </w:r>
      <w:r>
        <w:rPr>
          <w:rFonts w:cs="Times New Roman"/>
          <w:noProof/>
          <w:lang w:val="fr-CA"/>
        </w:rPr>
        <w:t>’</w:t>
      </w:r>
      <w:r w:rsidRPr="00332A1B">
        <w:rPr>
          <w:rFonts w:cs="Times New Roman"/>
          <w:noProof/>
          <w:lang w:val="fr-CA"/>
        </w:rPr>
        <w:t>autres objectifs.  Dans la plupart des cas où l</w:t>
      </w:r>
      <w:r>
        <w:rPr>
          <w:rFonts w:cs="Times New Roman"/>
          <w:noProof/>
          <w:lang w:val="fr-CA"/>
        </w:rPr>
        <w:t>’</w:t>
      </w:r>
      <w:r w:rsidRPr="00332A1B">
        <w:rPr>
          <w:rFonts w:cs="Times New Roman"/>
          <w:noProof/>
          <w:lang w:val="fr-CA"/>
        </w:rPr>
        <w:t xml:space="preserve">on retrouve ces clauses, la question du privilège relatif aux règlements de la common law ne se posera pas parce que les deux mesures de protection visent en général le même objectif, soit favoriser la négociation en encourageant les parties à conclure un règlement en toute franchise et honnêteté, sans </w:t>
      </w:r>
      <w:r w:rsidRPr="00332A1B">
        <w:rPr>
          <w:rFonts w:cs="Times New Roman"/>
          <w:noProof/>
          <w:lang w:val="fr-CA"/>
        </w:rPr>
        <w:lastRenderedPageBreak/>
        <w:t>crainte que les renseignements échangés soient ultérieurement utilisés à leur détriment.  Toutefois, comme nous l</w:t>
      </w:r>
      <w:r>
        <w:rPr>
          <w:rFonts w:cs="Times New Roman"/>
          <w:noProof/>
          <w:lang w:val="fr-CA"/>
        </w:rPr>
        <w:t>’</w:t>
      </w:r>
      <w:r w:rsidRPr="00332A1B">
        <w:rPr>
          <w:rFonts w:cs="Times New Roman"/>
          <w:noProof/>
          <w:lang w:val="fr-CA"/>
        </w:rPr>
        <w:t>avons vu, le privilège relatif aux règlements et la clause de confidentialité sont différents et peuvent parfois entrer en conflit.  L</w:t>
      </w:r>
      <w:r>
        <w:rPr>
          <w:rFonts w:cs="Times New Roman"/>
          <w:noProof/>
          <w:lang w:val="fr-CA"/>
        </w:rPr>
        <w:t>’</w:t>
      </w:r>
      <w:r w:rsidRPr="00332A1B">
        <w:rPr>
          <w:rFonts w:cs="Times New Roman"/>
          <w:noProof/>
          <w:lang w:val="fr-CA"/>
        </w:rPr>
        <w:t>un est une règle de preuve, l</w:t>
      </w:r>
      <w:r>
        <w:rPr>
          <w:rFonts w:cs="Times New Roman"/>
          <w:noProof/>
          <w:lang w:val="fr-CA"/>
        </w:rPr>
        <w:t>’</w:t>
      </w:r>
      <w:r w:rsidRPr="00332A1B">
        <w:rPr>
          <w:rFonts w:cs="Times New Roman"/>
          <w:noProof/>
          <w:lang w:val="fr-CA"/>
        </w:rPr>
        <w:t>autre est une entente exécutoire; la portée de la protection qu</w:t>
      </w:r>
      <w:r>
        <w:rPr>
          <w:rFonts w:cs="Times New Roman"/>
          <w:noProof/>
          <w:lang w:val="fr-CA"/>
        </w:rPr>
        <w:t>’</w:t>
      </w:r>
      <w:r w:rsidRPr="00332A1B">
        <w:rPr>
          <w:rFonts w:cs="Times New Roman"/>
          <w:noProof/>
          <w:lang w:val="fr-CA"/>
        </w:rPr>
        <w:t>ils offrent n</w:t>
      </w:r>
      <w:r>
        <w:rPr>
          <w:rFonts w:cs="Times New Roman"/>
          <w:noProof/>
          <w:lang w:val="fr-CA"/>
        </w:rPr>
        <w:t>’</w:t>
      </w:r>
      <w:r w:rsidRPr="00332A1B">
        <w:rPr>
          <w:rFonts w:cs="Times New Roman"/>
          <w:noProof/>
          <w:lang w:val="fr-CA"/>
        </w:rPr>
        <w:t>est pas la même, et les conséquences en cas de manquement ne sont pas nécessairement les mêmes.</w:t>
      </w:r>
    </w:p>
    <w:p w:rsidR="00F3157A" w:rsidRPr="00332A1B" w:rsidRDefault="00F3157A" w:rsidP="00A0307B">
      <w:pPr>
        <w:pStyle w:val="ParaNoNdepar-AltN"/>
        <w:rPr>
          <w:rFonts w:cs="Times New Roman"/>
          <w:noProof/>
          <w:lang w:val="fr-CA"/>
        </w:rPr>
      </w:pPr>
      <w:r w:rsidRPr="00332A1B">
        <w:rPr>
          <w:rFonts w:cs="Times New Roman"/>
          <w:noProof/>
          <w:lang w:val="fr-CA"/>
        </w:rPr>
        <w:t>Les différences entre ces mesures de protection peuvent être floues dans un cas comme celui qui nous occupe, où il est possible que les deux s</w:t>
      </w:r>
      <w:r>
        <w:rPr>
          <w:rFonts w:cs="Times New Roman"/>
          <w:noProof/>
          <w:lang w:val="fr-CA"/>
        </w:rPr>
        <w:t>’</w:t>
      </w:r>
      <w:r w:rsidRPr="00332A1B">
        <w:rPr>
          <w:rFonts w:cs="Times New Roman"/>
          <w:noProof/>
          <w:lang w:val="fr-CA"/>
        </w:rPr>
        <w:t>appliquent, mais à différentes étapes de la séquence des évènements.  Les parties se sont rencontrées lors d</w:t>
      </w:r>
      <w:r>
        <w:rPr>
          <w:rFonts w:cs="Times New Roman"/>
          <w:noProof/>
          <w:lang w:val="fr-CA"/>
        </w:rPr>
        <w:t>’</w:t>
      </w:r>
      <w:r w:rsidRPr="00332A1B">
        <w:rPr>
          <w:rFonts w:cs="Times New Roman"/>
          <w:noProof/>
          <w:lang w:val="fr-CA"/>
        </w:rPr>
        <w:t>une séance de médiation le 27 avril 2011, après avoir signé la veille une entente prévoyant une clause de confidentialité.  Cette clause s</w:t>
      </w:r>
      <w:r>
        <w:rPr>
          <w:rFonts w:cs="Times New Roman"/>
          <w:noProof/>
          <w:lang w:val="fr-CA"/>
        </w:rPr>
        <w:t>’</w:t>
      </w:r>
      <w:r w:rsidRPr="00332A1B">
        <w:rPr>
          <w:rFonts w:cs="Times New Roman"/>
          <w:noProof/>
          <w:lang w:val="fr-CA"/>
        </w:rPr>
        <w:t>appliquait aux discussions tenues au cours de la séance de médiation et interdisait la divulgation ultérieure de renseignements relatifs à ces discussions.  Une offre de règlement a été présentée au cours de la médiation; l</w:t>
      </w:r>
      <w:r>
        <w:rPr>
          <w:rFonts w:cs="Times New Roman"/>
          <w:noProof/>
          <w:lang w:val="fr-CA"/>
        </w:rPr>
        <w:t>’</w:t>
      </w:r>
      <w:r w:rsidRPr="00332A1B">
        <w:rPr>
          <w:rFonts w:cs="Times New Roman"/>
          <w:noProof/>
          <w:lang w:val="fr-CA"/>
        </w:rPr>
        <w:t>offre était maintenue valide pour une période de 30 jours et a fait l</w:t>
      </w:r>
      <w:r>
        <w:rPr>
          <w:rFonts w:cs="Times New Roman"/>
          <w:noProof/>
          <w:lang w:val="fr-CA"/>
        </w:rPr>
        <w:t>’</w:t>
      </w:r>
      <w:r w:rsidRPr="00332A1B">
        <w:rPr>
          <w:rFonts w:cs="Times New Roman"/>
          <w:noProof/>
          <w:lang w:val="fr-CA"/>
        </w:rPr>
        <w:t>objet de discussions entre les avocats des parties après que la médiation e</w:t>
      </w:r>
      <w:r w:rsidR="00CC34F5">
        <w:rPr>
          <w:rFonts w:cs="Times New Roman"/>
          <w:noProof/>
          <w:lang w:val="fr-CA"/>
        </w:rPr>
        <w:t>u</w:t>
      </w:r>
      <w:r w:rsidRPr="00332A1B">
        <w:rPr>
          <w:rFonts w:cs="Times New Roman"/>
          <w:noProof/>
          <w:lang w:val="fr-CA"/>
        </w:rPr>
        <w:t>t pris fin.</w:t>
      </w:r>
      <w:r w:rsidRPr="00332A1B">
        <w:rPr>
          <w:rFonts w:cs="Times New Roman"/>
          <w:bCs/>
          <w:noProof/>
          <w:lang w:val="fr-CA"/>
        </w:rPr>
        <w:t xml:space="preserve">  </w:t>
      </w:r>
      <w:r w:rsidRPr="00332A1B">
        <w:rPr>
          <w:rFonts w:cs="Times New Roman"/>
          <w:noProof/>
          <w:lang w:val="fr-CA"/>
        </w:rPr>
        <w:t>Les renseignements additionnels générés au cours de ces discussions subséquentes ne sont pas protégés par la clause de confidentialité mais, puisqu</w:t>
      </w:r>
      <w:r>
        <w:rPr>
          <w:rFonts w:cs="Times New Roman"/>
          <w:noProof/>
          <w:lang w:val="fr-CA"/>
        </w:rPr>
        <w:t>’</w:t>
      </w:r>
      <w:r w:rsidRPr="00332A1B">
        <w:rPr>
          <w:rFonts w:cs="Times New Roman"/>
          <w:noProof/>
          <w:lang w:val="fr-CA"/>
        </w:rPr>
        <w:t>ils font partie des négociations en vue d</w:t>
      </w:r>
      <w:r>
        <w:rPr>
          <w:rFonts w:cs="Times New Roman"/>
          <w:noProof/>
          <w:lang w:val="fr-CA"/>
        </w:rPr>
        <w:t>’</w:t>
      </w:r>
      <w:r w:rsidRPr="00332A1B">
        <w:rPr>
          <w:rFonts w:cs="Times New Roman"/>
          <w:noProof/>
          <w:lang w:val="fr-CA"/>
        </w:rPr>
        <w:t>un règlement, ils sont protégés par le privilège relatif aux règlements.  En ce qui concerne le moment où les communications sont faites, la portée du privilège relatif aux règlements est plus large étant donné que son application n</w:t>
      </w:r>
      <w:r>
        <w:rPr>
          <w:rFonts w:cs="Times New Roman"/>
          <w:noProof/>
          <w:lang w:val="fr-CA"/>
        </w:rPr>
        <w:t>’</w:t>
      </w:r>
      <w:r w:rsidRPr="00332A1B">
        <w:rPr>
          <w:rFonts w:cs="Times New Roman"/>
          <w:noProof/>
          <w:lang w:val="fr-CA"/>
        </w:rPr>
        <w:t>est pas limitée à la durée de la séance de médiation.</w:t>
      </w:r>
    </w:p>
    <w:p w:rsidR="00F3157A" w:rsidRPr="00332A1B" w:rsidRDefault="00F3157A" w:rsidP="00A0307B">
      <w:pPr>
        <w:pStyle w:val="ParaNoNdepar-AltN"/>
        <w:rPr>
          <w:rFonts w:cs="Times New Roman"/>
          <w:noProof/>
          <w:lang w:val="fr-CA"/>
        </w:rPr>
      </w:pPr>
      <w:r w:rsidRPr="00332A1B">
        <w:rPr>
          <w:rFonts w:cs="Times New Roman"/>
          <w:noProof/>
          <w:lang w:val="fr-CA"/>
        </w:rPr>
        <w:lastRenderedPageBreak/>
        <w:t>Par contre, le privilège relatif aux règlements souffre d</w:t>
      </w:r>
      <w:r>
        <w:rPr>
          <w:rFonts w:cs="Times New Roman"/>
          <w:noProof/>
          <w:lang w:val="fr-CA"/>
        </w:rPr>
        <w:t>’</w:t>
      </w:r>
      <w:r w:rsidRPr="00332A1B">
        <w:rPr>
          <w:rFonts w:cs="Times New Roman"/>
          <w:noProof/>
          <w:lang w:val="fr-CA"/>
        </w:rPr>
        <w:t>exceptions reconnues en common law qui limitent la portée de sa protection, alors que les clauses de confidentialité peuvent ne pas comporter de telles exceptions.  Il s</w:t>
      </w:r>
      <w:r>
        <w:rPr>
          <w:rFonts w:cs="Times New Roman"/>
          <w:noProof/>
          <w:lang w:val="fr-CA"/>
        </w:rPr>
        <w:t>’</w:t>
      </w:r>
      <w:r w:rsidRPr="00332A1B">
        <w:rPr>
          <w:rFonts w:cs="Times New Roman"/>
          <w:noProof/>
          <w:lang w:val="fr-CA"/>
        </w:rPr>
        <w:t>agit de savoir si une clause de confidentialité absolue d</w:t>
      </w:r>
      <w:r>
        <w:rPr>
          <w:rFonts w:cs="Times New Roman"/>
          <w:noProof/>
          <w:lang w:val="fr-CA"/>
        </w:rPr>
        <w:t>’</w:t>
      </w:r>
      <w:r w:rsidRPr="00332A1B">
        <w:rPr>
          <w:rFonts w:cs="Times New Roman"/>
          <w:noProof/>
          <w:lang w:val="fr-CA"/>
        </w:rPr>
        <w:t>une entente de médiation a pour effet d</w:t>
      </w:r>
      <w:r>
        <w:rPr>
          <w:rFonts w:cs="Times New Roman"/>
          <w:noProof/>
          <w:lang w:val="fr-CA"/>
        </w:rPr>
        <w:t>’</w:t>
      </w:r>
      <w:r w:rsidRPr="00332A1B">
        <w:rPr>
          <w:rFonts w:cs="Times New Roman"/>
          <w:noProof/>
          <w:lang w:val="fr-CA"/>
        </w:rPr>
        <w:t>écarter l</w:t>
      </w:r>
      <w:r>
        <w:rPr>
          <w:rFonts w:cs="Times New Roman"/>
          <w:noProof/>
          <w:lang w:val="fr-CA"/>
        </w:rPr>
        <w:t>’</w:t>
      </w:r>
      <w:r w:rsidRPr="00332A1B">
        <w:rPr>
          <w:rFonts w:cs="Times New Roman"/>
          <w:noProof/>
          <w:lang w:val="fr-CA"/>
        </w:rPr>
        <w:t>exception de la common law, empêchant de ce fait les parties de produire en preuve, afin d</w:t>
      </w:r>
      <w:r>
        <w:rPr>
          <w:rFonts w:cs="Times New Roman"/>
          <w:noProof/>
          <w:lang w:val="fr-CA"/>
        </w:rPr>
        <w:t>’</w:t>
      </w:r>
      <w:r w:rsidRPr="00332A1B">
        <w:rPr>
          <w:rFonts w:cs="Times New Roman"/>
          <w:noProof/>
          <w:lang w:val="fr-CA"/>
        </w:rPr>
        <w:t>établir les modalités d</w:t>
      </w:r>
      <w:r>
        <w:rPr>
          <w:rFonts w:cs="Times New Roman"/>
          <w:noProof/>
          <w:lang w:val="fr-CA"/>
        </w:rPr>
        <w:t>’</w:t>
      </w:r>
      <w:r w:rsidRPr="00332A1B">
        <w:rPr>
          <w:rFonts w:cs="Times New Roman"/>
          <w:noProof/>
          <w:lang w:val="fr-CA"/>
        </w:rPr>
        <w:t xml:space="preserve">un règlement, les communications faites dans le cadre de la médiation. </w:t>
      </w:r>
    </w:p>
    <w:p w:rsidR="00F3157A" w:rsidRPr="00332A1B" w:rsidRDefault="00F3157A" w:rsidP="00A0307B">
      <w:pPr>
        <w:pStyle w:val="ParaNoNdepar-AltN"/>
        <w:rPr>
          <w:rFonts w:cs="Times New Roman"/>
          <w:noProof/>
          <w:lang w:val="fr-CA"/>
        </w:rPr>
      </w:pPr>
      <w:r w:rsidRPr="00332A1B">
        <w:rPr>
          <w:rFonts w:cs="Times New Roman"/>
          <w:noProof/>
          <w:lang w:val="fr-CA"/>
        </w:rPr>
        <w:t>Il faut effectivement établir un équilibre délicat.  Les préoccupations formulées par les auteurs au sujet du caractère incertain des clauses de confidentialité des contrats de médiation sont légitimes.  Boulle et Kelly indiquent avec précision les préoccupations les plus importantes :</w:t>
      </w:r>
    </w:p>
    <w:p w:rsidR="00F3157A" w:rsidRPr="00332A1B" w:rsidRDefault="00F3157A" w:rsidP="00A0307B">
      <w:pPr>
        <w:pStyle w:val="Citation-AltC"/>
        <w:rPr>
          <w:noProof/>
          <w:lang w:val="fr-CA"/>
        </w:rPr>
      </w:pPr>
      <w:r w:rsidRPr="00332A1B">
        <w:rPr>
          <w:smallCaps/>
          <w:noProof/>
          <w:lang w:val="fr-CA"/>
        </w:rPr>
        <w:t>[traduction]</w:t>
      </w:r>
      <w:r>
        <w:rPr>
          <w:noProof/>
          <w:lang w:val="fr-CA"/>
        </w:rPr>
        <w:t>  </w:t>
      </w:r>
      <w:r w:rsidRPr="00332A1B">
        <w:rPr>
          <w:noProof/>
          <w:lang w:val="fr-CA"/>
        </w:rPr>
        <w:t>Le principe de l</w:t>
      </w:r>
      <w:r>
        <w:rPr>
          <w:noProof/>
          <w:lang w:val="fr-CA"/>
        </w:rPr>
        <w:t>’</w:t>
      </w:r>
      <w:r w:rsidRPr="00332A1B">
        <w:rPr>
          <w:noProof/>
          <w:lang w:val="fr-CA"/>
        </w:rPr>
        <w:t>inviolabilité du contrat justifie le maintien de la confidentialité lorsque les parties se sont engagées elles</w:t>
      </w:r>
      <w:r w:rsidR="00A0307B">
        <w:rPr>
          <w:noProof/>
          <w:lang w:val="fr-CA"/>
        </w:rPr>
        <w:t>-</w:t>
      </w:r>
      <w:r w:rsidRPr="00332A1B">
        <w:rPr>
          <w:noProof/>
          <w:lang w:val="fr-CA"/>
        </w:rPr>
        <w:t>mêmes à cet égard.  Toutefois, si la confidentialité a une portée trop large, elle aura pour effet d</w:t>
      </w:r>
      <w:r>
        <w:rPr>
          <w:noProof/>
          <w:lang w:val="fr-CA"/>
        </w:rPr>
        <w:t>’</w:t>
      </w:r>
      <w:r w:rsidRPr="00332A1B">
        <w:rPr>
          <w:noProof/>
          <w:lang w:val="fr-CA"/>
        </w:rPr>
        <w:t>éliminer un nombre trop élevé d</w:t>
      </w:r>
      <w:r>
        <w:rPr>
          <w:noProof/>
          <w:lang w:val="fr-CA"/>
        </w:rPr>
        <w:t>’</w:t>
      </w:r>
      <w:r w:rsidRPr="00332A1B">
        <w:rPr>
          <w:noProof/>
          <w:lang w:val="fr-CA"/>
        </w:rPr>
        <w:t>éléments de preuve et de nuire gravement au processus judiciaire.  Si la confidentialité a une portée trop restreinte, elle aura pour effet de dissuader les parties de recourir à la médiation et de faire tout leur possible pour arriver à un règlement.  Il faut rechercher l</w:t>
      </w:r>
      <w:r>
        <w:rPr>
          <w:noProof/>
          <w:lang w:val="fr-CA"/>
        </w:rPr>
        <w:t>’</w:t>
      </w:r>
      <w:r w:rsidRPr="00332A1B">
        <w:rPr>
          <w:noProof/>
          <w:lang w:val="fr-CA"/>
        </w:rPr>
        <w:t>équilibre entre l</w:t>
      </w:r>
      <w:r>
        <w:rPr>
          <w:noProof/>
          <w:lang w:val="fr-CA"/>
        </w:rPr>
        <w:t>’</w:t>
      </w:r>
      <w:r w:rsidRPr="00332A1B">
        <w:rPr>
          <w:noProof/>
          <w:lang w:val="fr-CA"/>
        </w:rPr>
        <w:t>appui donné à la médiation, d</w:t>
      </w:r>
      <w:r>
        <w:rPr>
          <w:noProof/>
          <w:lang w:val="fr-CA"/>
        </w:rPr>
        <w:t>’</w:t>
      </w:r>
      <w:r w:rsidRPr="00332A1B">
        <w:rPr>
          <w:noProof/>
          <w:lang w:val="fr-CA"/>
        </w:rPr>
        <w:t>une part, et le fait de ne pas faire obstacle au litige ou de maintenir l</w:t>
      </w:r>
      <w:r>
        <w:rPr>
          <w:noProof/>
          <w:lang w:val="fr-CA"/>
        </w:rPr>
        <w:t>’</w:t>
      </w:r>
      <w:r w:rsidRPr="00332A1B">
        <w:rPr>
          <w:noProof/>
          <w:lang w:val="fr-CA"/>
        </w:rPr>
        <w:t>illégalité, d</w:t>
      </w:r>
      <w:r>
        <w:rPr>
          <w:noProof/>
          <w:lang w:val="fr-CA"/>
        </w:rPr>
        <w:t>’</w:t>
      </w:r>
      <w:r w:rsidRPr="00332A1B">
        <w:rPr>
          <w:noProof/>
          <w:lang w:val="fr-CA"/>
        </w:rPr>
        <w:t>autre part.</w:t>
      </w:r>
      <w:r>
        <w:rPr>
          <w:noProof/>
          <w:lang w:val="fr-CA"/>
        </w:rPr>
        <w:t xml:space="preserve"> </w:t>
      </w:r>
      <w:r w:rsidRPr="00332A1B">
        <w:rPr>
          <w:noProof/>
        </w:rPr>
        <w:t>[</w:t>
      </w:r>
      <w:r w:rsidRPr="00332A1B">
        <w:rPr>
          <w:noProof/>
          <w:lang w:val="fr-CA"/>
        </w:rPr>
        <w:t>p</w:t>
      </w:r>
      <w:r w:rsidR="00A0307B">
        <w:rPr>
          <w:noProof/>
          <w:lang w:val="fr-CA"/>
        </w:rPr>
        <w:t xml:space="preserve">. </w:t>
      </w:r>
      <w:r w:rsidRPr="00332A1B">
        <w:rPr>
          <w:noProof/>
          <w:lang w:val="fr-CA"/>
        </w:rPr>
        <w:t>312</w:t>
      </w:r>
      <w:r w:rsidR="00A0307B">
        <w:rPr>
          <w:noProof/>
          <w:lang w:val="fr-CA"/>
        </w:rPr>
        <w:t>-</w:t>
      </w:r>
      <w:r w:rsidRPr="00332A1B">
        <w:rPr>
          <w:noProof/>
          <w:lang w:val="fr-CA"/>
        </w:rPr>
        <w:t>313]</w:t>
      </w:r>
    </w:p>
    <w:p w:rsidR="00F3157A" w:rsidRPr="00332A1B" w:rsidRDefault="00F3157A" w:rsidP="00A0307B">
      <w:pPr>
        <w:pStyle w:val="ParaNoNdepar-AltN"/>
        <w:rPr>
          <w:rFonts w:cs="Times New Roman"/>
          <w:noProof/>
        </w:rPr>
      </w:pPr>
      <w:r w:rsidRPr="00332A1B">
        <w:rPr>
          <w:rFonts w:cs="Times New Roman"/>
          <w:noProof/>
          <w:lang w:val="fr-CA"/>
        </w:rPr>
        <w:t>À mon avis, l</w:t>
      </w:r>
      <w:r>
        <w:rPr>
          <w:rFonts w:cs="Times New Roman"/>
          <w:noProof/>
          <w:lang w:val="fr-CA"/>
        </w:rPr>
        <w:t>’</w:t>
      </w:r>
      <w:r w:rsidRPr="00332A1B">
        <w:rPr>
          <w:rFonts w:cs="Times New Roman"/>
          <w:noProof/>
          <w:lang w:val="fr-CA"/>
        </w:rPr>
        <w:t>analyse dans chaque cas débutera par l</w:t>
      </w:r>
      <w:r>
        <w:rPr>
          <w:rFonts w:cs="Times New Roman"/>
          <w:noProof/>
          <w:lang w:val="fr-CA"/>
        </w:rPr>
        <w:t>’</w:t>
      </w:r>
      <w:r w:rsidRPr="00332A1B">
        <w:rPr>
          <w:rFonts w:cs="Times New Roman"/>
          <w:noProof/>
          <w:lang w:val="fr-CA"/>
        </w:rPr>
        <w:t xml:space="preserve">interprétation du contrat.  Il faut se demander si la clause de confidentialité entre effectivement en conflit avec le privilège relatif aux règlements ou avec ses exceptions reconnues.  Lorsque les parties concluent un contrat qui leur assure une protection supérieure à </w:t>
      </w:r>
      <w:r w:rsidRPr="00332A1B">
        <w:rPr>
          <w:rFonts w:cs="Times New Roman"/>
          <w:noProof/>
          <w:lang w:val="fr-CA"/>
        </w:rPr>
        <w:lastRenderedPageBreak/>
        <w:t>celle qu</w:t>
      </w:r>
      <w:r>
        <w:rPr>
          <w:rFonts w:cs="Times New Roman"/>
          <w:noProof/>
          <w:lang w:val="fr-CA"/>
        </w:rPr>
        <w:t>’</w:t>
      </w:r>
      <w:r w:rsidRPr="00332A1B">
        <w:rPr>
          <w:rFonts w:cs="Times New Roman"/>
          <w:noProof/>
          <w:lang w:val="fr-CA"/>
        </w:rPr>
        <w:t>offre la common law, il y a lieu à première vue de confirmer leur volonté, sous réserve de préoccupations concernant la fraude ou l</w:t>
      </w:r>
      <w:r>
        <w:rPr>
          <w:rFonts w:cs="Times New Roman"/>
          <w:noProof/>
          <w:lang w:val="fr-CA"/>
        </w:rPr>
        <w:t>’</w:t>
      </w:r>
      <w:r w:rsidRPr="00332A1B">
        <w:rPr>
          <w:rFonts w:cs="Times New Roman"/>
          <w:noProof/>
          <w:lang w:val="fr-CA"/>
        </w:rPr>
        <w:t>illégalité.  J</w:t>
      </w:r>
      <w:r>
        <w:rPr>
          <w:rFonts w:cs="Times New Roman"/>
          <w:noProof/>
          <w:lang w:val="fr-CA"/>
        </w:rPr>
        <w:t>’</w:t>
      </w:r>
      <w:r w:rsidRPr="00332A1B">
        <w:rPr>
          <w:rFonts w:cs="Times New Roman"/>
          <w:noProof/>
          <w:lang w:val="fr-CA"/>
        </w:rPr>
        <w:t>ai déjà examiné les raisons pour lesquelles les parties pourraient vouloir renforcer la protection de la confidentialité des renseignements; le fait de permettre aux parties de contracter librement à cet égard facilite la réalisation de l</w:t>
      </w:r>
      <w:r>
        <w:rPr>
          <w:rFonts w:cs="Times New Roman"/>
          <w:noProof/>
          <w:lang w:val="fr-CA"/>
        </w:rPr>
        <w:t>’</w:t>
      </w:r>
      <w:r w:rsidRPr="00332A1B">
        <w:rPr>
          <w:rFonts w:cs="Times New Roman"/>
          <w:noProof/>
          <w:lang w:val="fr-CA"/>
        </w:rPr>
        <w:t xml:space="preserve">important objectif public qui consiste à favoriser les règlements extrajudiciaires.  </w:t>
      </w:r>
      <w:r w:rsidRPr="00332A1B">
        <w:rPr>
          <w:rFonts w:cs="Times New Roman"/>
          <w:noProof/>
        </w:rPr>
        <w:t>Comme l</w:t>
      </w:r>
      <w:r>
        <w:rPr>
          <w:rFonts w:cs="Times New Roman"/>
          <w:noProof/>
        </w:rPr>
        <w:t>’</w:t>
      </w:r>
      <w:r w:rsidRPr="00332A1B">
        <w:rPr>
          <w:rFonts w:cs="Times New Roman"/>
          <w:noProof/>
        </w:rPr>
        <w:t>affirme le professeur Green</w:t>
      </w:r>
      <w:r w:rsidR="00C22E0C" w:rsidRPr="00C22E0C">
        <w:rPr>
          <w:rFonts w:cs="Times New Roman"/>
          <w:iCs/>
          <w:noProof/>
        </w:rPr>
        <w:t>,</w:t>
      </w:r>
    </w:p>
    <w:p w:rsidR="00F3157A" w:rsidRPr="00332A1B" w:rsidRDefault="00F3157A" w:rsidP="00A0307B">
      <w:pPr>
        <w:pStyle w:val="Citation-AltC"/>
        <w:ind w:hanging="1166"/>
        <w:rPr>
          <w:noProof/>
          <w:lang w:val="fr-CA"/>
        </w:rPr>
      </w:pPr>
      <w:r>
        <w:rPr>
          <w:smallCaps/>
          <w:noProof/>
          <w:lang w:val="fr-CA"/>
        </w:rPr>
        <w:tab/>
      </w:r>
      <w:r w:rsidRPr="00332A1B">
        <w:rPr>
          <w:smallCaps/>
          <w:noProof/>
          <w:lang w:val="fr-CA"/>
        </w:rPr>
        <w:t>[traduction]</w:t>
      </w:r>
      <w:r>
        <w:rPr>
          <w:noProof/>
          <w:lang w:val="fr-CA"/>
        </w:rPr>
        <w:t>  </w:t>
      </w:r>
      <w:r w:rsidRPr="00332A1B">
        <w:rPr>
          <w:noProof/>
          <w:lang w:val="fr-CA"/>
        </w:rPr>
        <w:t>s</w:t>
      </w:r>
      <w:r>
        <w:rPr>
          <w:noProof/>
          <w:lang w:val="fr-CA"/>
        </w:rPr>
        <w:t>’</w:t>
      </w:r>
      <w:r w:rsidRPr="00332A1B">
        <w:rPr>
          <w:noProof/>
          <w:lang w:val="fr-CA"/>
        </w:rPr>
        <w:t>il existe une entente de confidentialité écrite, les parties sont mieux en mesure de soutenir que la cour devrait exercer son pouvoir discrétionnaire de rendre une ordonnance de non</w:t>
      </w:r>
      <w:r w:rsidR="00A0307B">
        <w:rPr>
          <w:noProof/>
          <w:lang w:val="fr-CA"/>
        </w:rPr>
        <w:t>-</w:t>
      </w:r>
      <w:r w:rsidRPr="00332A1B">
        <w:rPr>
          <w:noProof/>
          <w:lang w:val="fr-CA"/>
        </w:rPr>
        <w:t>divulgation parce que la protection du caractère confidentiel des échanges survenus lors de la médiation a pour effet de promouvoir l</w:t>
      </w:r>
      <w:r>
        <w:rPr>
          <w:noProof/>
          <w:lang w:val="fr-CA"/>
        </w:rPr>
        <w:t>’</w:t>
      </w:r>
      <w:r w:rsidRPr="00332A1B">
        <w:rPr>
          <w:noProof/>
          <w:lang w:val="fr-CA"/>
        </w:rPr>
        <w:t>intention expresse des parties ainsi que l</w:t>
      </w:r>
      <w:r>
        <w:rPr>
          <w:noProof/>
          <w:lang w:val="fr-CA"/>
        </w:rPr>
        <w:t>’</w:t>
      </w:r>
      <w:r w:rsidRPr="00332A1B">
        <w:rPr>
          <w:noProof/>
          <w:lang w:val="fr-CA"/>
        </w:rPr>
        <w:t xml:space="preserve">intérêt public consistant à favoriser les règlements extrajudiciaires.  </w:t>
      </w:r>
      <w:r w:rsidRPr="00FA0599">
        <w:rPr>
          <w:noProof/>
          <w:lang w:val="fr-CA"/>
        </w:rPr>
        <w:t>[</w:t>
      </w:r>
      <w:r w:rsidRPr="00332A1B">
        <w:rPr>
          <w:noProof/>
          <w:lang w:val="fr-CA"/>
        </w:rPr>
        <w:t>p</w:t>
      </w:r>
      <w:r w:rsidR="00A0307B">
        <w:rPr>
          <w:noProof/>
          <w:lang w:val="fr-CA"/>
        </w:rPr>
        <w:t xml:space="preserve">. </w:t>
      </w:r>
      <w:r w:rsidRPr="00332A1B">
        <w:rPr>
          <w:noProof/>
          <w:lang w:val="fr-CA"/>
        </w:rPr>
        <w:t>22]</w:t>
      </w:r>
    </w:p>
    <w:p w:rsidR="00F3157A" w:rsidRPr="00332A1B" w:rsidRDefault="00F3157A" w:rsidP="00A0307B">
      <w:pPr>
        <w:pStyle w:val="ParaNoNdepar-AltN"/>
        <w:rPr>
          <w:rFonts w:cs="Times New Roman"/>
          <w:noProof/>
          <w:lang w:val="fr-CA"/>
        </w:rPr>
      </w:pPr>
      <w:r w:rsidRPr="00332A1B">
        <w:rPr>
          <w:rFonts w:cs="Times New Roman"/>
          <w:noProof/>
          <w:lang w:val="fr-CA"/>
        </w:rPr>
        <w:t>Or, il en va autrement en ce qui concerne le fait d</w:t>
      </w:r>
      <w:r>
        <w:rPr>
          <w:rFonts w:cs="Times New Roman"/>
          <w:noProof/>
          <w:lang w:val="fr-CA"/>
        </w:rPr>
        <w:t>’</w:t>
      </w:r>
      <w:r w:rsidRPr="00332A1B">
        <w:rPr>
          <w:rFonts w:cs="Times New Roman"/>
          <w:noProof/>
          <w:lang w:val="fr-CA"/>
        </w:rPr>
        <w:t>écarter par contrat l</w:t>
      </w:r>
      <w:r>
        <w:rPr>
          <w:rFonts w:cs="Times New Roman"/>
          <w:noProof/>
          <w:lang w:val="fr-CA"/>
        </w:rPr>
        <w:t>’</w:t>
      </w:r>
      <w:r w:rsidRPr="00332A1B">
        <w:rPr>
          <w:rFonts w:cs="Times New Roman"/>
          <w:noProof/>
          <w:lang w:val="fr-CA"/>
        </w:rPr>
        <w:t>exception au privilège relatif aux règlements qui s</w:t>
      </w:r>
      <w:r>
        <w:rPr>
          <w:rFonts w:cs="Times New Roman"/>
          <w:noProof/>
          <w:lang w:val="fr-CA"/>
        </w:rPr>
        <w:t>’</w:t>
      </w:r>
      <w:r w:rsidRPr="00332A1B">
        <w:rPr>
          <w:rFonts w:cs="Times New Roman"/>
          <w:noProof/>
          <w:lang w:val="fr-CA"/>
        </w:rPr>
        <w:t>applique lorsqu</w:t>
      </w:r>
      <w:r>
        <w:rPr>
          <w:rFonts w:cs="Times New Roman"/>
          <w:noProof/>
          <w:lang w:val="fr-CA"/>
        </w:rPr>
        <w:t>’</w:t>
      </w:r>
      <w:r w:rsidRPr="00332A1B">
        <w:rPr>
          <w:rFonts w:cs="Times New Roman"/>
          <w:noProof/>
          <w:lang w:val="fr-CA"/>
        </w:rPr>
        <w:t>une personne cherche à prouver les modalités d</w:t>
      </w:r>
      <w:r>
        <w:rPr>
          <w:rFonts w:cs="Times New Roman"/>
          <w:noProof/>
          <w:lang w:val="fr-CA"/>
        </w:rPr>
        <w:t>’</w:t>
      </w:r>
      <w:r w:rsidRPr="00332A1B">
        <w:rPr>
          <w:rFonts w:cs="Times New Roman"/>
          <w:noProof/>
          <w:lang w:val="fr-CA"/>
        </w:rPr>
        <w:t>un règlement.  J</w:t>
      </w:r>
      <w:r>
        <w:rPr>
          <w:rFonts w:cs="Times New Roman"/>
          <w:noProof/>
          <w:lang w:val="fr-CA"/>
        </w:rPr>
        <w:t>’</w:t>
      </w:r>
      <w:r w:rsidRPr="00332A1B">
        <w:rPr>
          <w:rFonts w:cs="Times New Roman"/>
          <w:noProof/>
          <w:lang w:val="fr-CA"/>
        </w:rPr>
        <w:t>ai déjà expliqué que le défaut d</w:t>
      </w:r>
      <w:r>
        <w:rPr>
          <w:rFonts w:cs="Times New Roman"/>
          <w:noProof/>
          <w:lang w:val="fr-CA"/>
        </w:rPr>
        <w:t>’</w:t>
      </w:r>
      <w:r w:rsidRPr="00332A1B">
        <w:rPr>
          <w:rFonts w:cs="Times New Roman"/>
          <w:noProof/>
          <w:lang w:val="fr-CA"/>
        </w:rPr>
        <w:t>appliquer cette exception de la common law peut entraver la réalisation de l</w:t>
      </w:r>
      <w:r>
        <w:rPr>
          <w:rFonts w:cs="Times New Roman"/>
          <w:noProof/>
          <w:lang w:val="fr-CA"/>
        </w:rPr>
        <w:t>’</w:t>
      </w:r>
      <w:r w:rsidRPr="00332A1B">
        <w:rPr>
          <w:rFonts w:cs="Times New Roman"/>
          <w:noProof/>
          <w:lang w:val="fr-CA"/>
        </w:rPr>
        <w:t>objectif plus général qui est de favoriser le règlement à l</w:t>
      </w:r>
      <w:r>
        <w:rPr>
          <w:rFonts w:cs="Times New Roman"/>
          <w:noProof/>
          <w:lang w:val="fr-CA"/>
        </w:rPr>
        <w:t>’</w:t>
      </w:r>
      <w:r w:rsidRPr="00332A1B">
        <w:rPr>
          <w:rFonts w:cs="Times New Roman"/>
          <w:noProof/>
          <w:lang w:val="fr-CA"/>
        </w:rPr>
        <w:t>amiable, en empêchant les parties d</w:t>
      </w:r>
      <w:r>
        <w:rPr>
          <w:rFonts w:cs="Times New Roman"/>
          <w:noProof/>
          <w:lang w:val="fr-CA"/>
        </w:rPr>
        <w:t>’</w:t>
      </w:r>
      <w:r w:rsidRPr="00332A1B">
        <w:rPr>
          <w:rFonts w:cs="Times New Roman"/>
          <w:noProof/>
          <w:lang w:val="fr-CA"/>
        </w:rPr>
        <w:t>exiger le respect des modalités d</w:t>
      </w:r>
      <w:r>
        <w:rPr>
          <w:rFonts w:cs="Times New Roman"/>
          <w:noProof/>
          <w:lang w:val="fr-CA"/>
        </w:rPr>
        <w:t>’</w:t>
      </w:r>
      <w:r w:rsidRPr="00332A1B">
        <w:rPr>
          <w:rFonts w:cs="Times New Roman"/>
          <w:noProof/>
          <w:lang w:val="fr-CA"/>
        </w:rPr>
        <w:t>un règlement négocié.  Ainsi, bien que le contrat visant à obtenir une protection supérieure à celle qu</w:t>
      </w:r>
      <w:r>
        <w:rPr>
          <w:rFonts w:cs="Times New Roman"/>
          <w:noProof/>
          <w:lang w:val="fr-CA"/>
        </w:rPr>
        <w:t>’</w:t>
      </w:r>
      <w:r w:rsidRPr="00332A1B">
        <w:rPr>
          <w:rFonts w:cs="Times New Roman"/>
          <w:noProof/>
          <w:lang w:val="fr-CA"/>
        </w:rPr>
        <w:t>offre le privilège relatif aux règlements puisse, dans la plupart des cas, favoriser l</w:t>
      </w:r>
      <w:r>
        <w:rPr>
          <w:rFonts w:cs="Times New Roman"/>
          <w:noProof/>
          <w:lang w:val="fr-CA"/>
        </w:rPr>
        <w:t>’</w:t>
      </w:r>
      <w:r w:rsidRPr="00332A1B">
        <w:rPr>
          <w:rFonts w:cs="Times New Roman"/>
          <w:noProof/>
          <w:lang w:val="fr-CA"/>
        </w:rPr>
        <w:t>objectif général du privilège, le fait d</w:t>
      </w:r>
      <w:r>
        <w:rPr>
          <w:rFonts w:cs="Times New Roman"/>
          <w:noProof/>
          <w:lang w:val="fr-CA"/>
        </w:rPr>
        <w:t>’</w:t>
      </w:r>
      <w:r w:rsidRPr="00332A1B">
        <w:rPr>
          <w:rFonts w:cs="Times New Roman"/>
          <w:noProof/>
          <w:lang w:val="fr-CA"/>
        </w:rPr>
        <w:t>écarter par contrat les exceptions à ce privilège peut faire obstacle à la réalisation de cet objectif.  Voilà probablement ce qui sous</w:t>
      </w:r>
      <w:r w:rsidR="00A0307B">
        <w:rPr>
          <w:rFonts w:cs="Times New Roman"/>
          <w:noProof/>
          <w:lang w:val="fr-CA"/>
        </w:rPr>
        <w:t>-</w:t>
      </w:r>
      <w:r w:rsidR="001B4955">
        <w:rPr>
          <w:rFonts w:cs="Times New Roman"/>
          <w:noProof/>
          <w:lang w:val="fr-CA"/>
        </w:rPr>
        <w:t xml:space="preserve">tend la décision de la </w:t>
      </w:r>
      <w:r w:rsidR="001B4955">
        <w:rPr>
          <w:rFonts w:cs="Times New Roman"/>
          <w:noProof/>
          <w:lang w:val="fr-CA"/>
        </w:rPr>
        <w:lastRenderedPageBreak/>
        <w:t>C</w:t>
      </w:r>
      <w:r w:rsidRPr="00332A1B">
        <w:rPr>
          <w:rFonts w:cs="Times New Roman"/>
          <w:noProof/>
          <w:lang w:val="fr-CA"/>
        </w:rPr>
        <w:t>our d</w:t>
      </w:r>
      <w:r>
        <w:rPr>
          <w:rFonts w:cs="Times New Roman"/>
          <w:noProof/>
          <w:lang w:val="fr-CA"/>
        </w:rPr>
        <w:t>’</w:t>
      </w:r>
      <w:r w:rsidRPr="00332A1B">
        <w:rPr>
          <w:rFonts w:cs="Times New Roman"/>
          <w:noProof/>
          <w:lang w:val="fr-CA"/>
        </w:rPr>
        <w:t>appel, qui a pratiquement mis de côté la clause de confidentialité pour appliquer l</w:t>
      </w:r>
      <w:r>
        <w:rPr>
          <w:rFonts w:cs="Times New Roman"/>
          <w:noProof/>
          <w:lang w:val="fr-CA"/>
        </w:rPr>
        <w:t>’</w:t>
      </w:r>
      <w:r w:rsidRPr="00332A1B">
        <w:rPr>
          <w:rFonts w:cs="Times New Roman"/>
          <w:noProof/>
          <w:lang w:val="fr-CA"/>
        </w:rPr>
        <w:t xml:space="preserve">exception au privilège relatif aux règlements. </w:t>
      </w:r>
    </w:p>
    <w:p w:rsidR="00F3157A" w:rsidRPr="00332A1B" w:rsidRDefault="00F3157A" w:rsidP="00A0307B">
      <w:pPr>
        <w:pStyle w:val="ParaNoNdepar-AltN"/>
        <w:rPr>
          <w:rFonts w:cs="Times New Roman"/>
          <w:noProof/>
          <w:lang w:val="fr-CA"/>
        </w:rPr>
      </w:pPr>
      <w:r w:rsidRPr="00332A1B">
        <w:rPr>
          <w:rFonts w:cs="Times New Roman"/>
          <w:noProof/>
          <w:lang w:val="fr-CA"/>
        </w:rPr>
        <w:t>J</w:t>
      </w:r>
      <w:r>
        <w:rPr>
          <w:rFonts w:cs="Times New Roman"/>
          <w:noProof/>
          <w:lang w:val="fr-CA"/>
        </w:rPr>
        <w:t>’</w:t>
      </w:r>
      <w:r w:rsidRPr="00332A1B">
        <w:rPr>
          <w:rFonts w:cs="Times New Roman"/>
          <w:noProof/>
          <w:lang w:val="fr-CA"/>
        </w:rPr>
        <w:t>estime en toute défér</w:t>
      </w:r>
      <w:r w:rsidR="001B4955">
        <w:rPr>
          <w:rFonts w:cs="Times New Roman"/>
          <w:noProof/>
          <w:lang w:val="fr-CA"/>
        </w:rPr>
        <w:t>ence que, dans son analyse, la C</w:t>
      </w:r>
      <w:r w:rsidRPr="00332A1B">
        <w:rPr>
          <w:rFonts w:cs="Times New Roman"/>
          <w:noProof/>
          <w:lang w:val="fr-CA"/>
        </w:rPr>
        <w:t>our d</w:t>
      </w:r>
      <w:r>
        <w:rPr>
          <w:rFonts w:cs="Times New Roman"/>
          <w:noProof/>
          <w:lang w:val="fr-CA"/>
        </w:rPr>
        <w:t>’</w:t>
      </w:r>
      <w:r w:rsidRPr="00332A1B">
        <w:rPr>
          <w:rFonts w:cs="Times New Roman"/>
          <w:noProof/>
          <w:lang w:val="fr-CA"/>
        </w:rPr>
        <w:t>appel n</w:t>
      </w:r>
      <w:r>
        <w:rPr>
          <w:rFonts w:cs="Times New Roman"/>
          <w:noProof/>
          <w:lang w:val="fr-CA"/>
        </w:rPr>
        <w:t>’</w:t>
      </w:r>
      <w:r w:rsidRPr="00332A1B">
        <w:rPr>
          <w:rFonts w:cs="Times New Roman"/>
          <w:noProof/>
          <w:lang w:val="fr-CA"/>
        </w:rPr>
        <w:t>a pas accordé suffisamment d</w:t>
      </w:r>
      <w:r>
        <w:rPr>
          <w:rFonts w:cs="Times New Roman"/>
          <w:noProof/>
          <w:lang w:val="fr-CA"/>
        </w:rPr>
        <w:t>’</w:t>
      </w:r>
      <w:r w:rsidRPr="00332A1B">
        <w:rPr>
          <w:rFonts w:cs="Times New Roman"/>
          <w:noProof/>
          <w:lang w:val="fr-CA"/>
        </w:rPr>
        <w:t>attention à la liberté contractuelle.  Il est loisible aux parties contractantes d</w:t>
      </w:r>
      <w:r>
        <w:rPr>
          <w:rFonts w:cs="Times New Roman"/>
          <w:noProof/>
          <w:lang w:val="fr-CA"/>
        </w:rPr>
        <w:t>’</w:t>
      </w:r>
      <w:r w:rsidRPr="00332A1B">
        <w:rPr>
          <w:rFonts w:cs="Times New Roman"/>
          <w:noProof/>
          <w:lang w:val="fr-CA"/>
        </w:rPr>
        <w:t>établir leurs propres règles de confidentialité et d</w:t>
      </w:r>
      <w:r>
        <w:rPr>
          <w:rFonts w:cs="Times New Roman"/>
          <w:noProof/>
          <w:lang w:val="fr-CA"/>
        </w:rPr>
        <w:t>’</w:t>
      </w:r>
      <w:r w:rsidRPr="00332A1B">
        <w:rPr>
          <w:rFonts w:cs="Times New Roman"/>
          <w:noProof/>
          <w:lang w:val="fr-CA"/>
        </w:rPr>
        <w:t>écarter complètement le privilège relatif aux règlements de la common law.  Elles favorisent alors la liberté contractuelle et la probabilité d</w:t>
      </w:r>
      <w:r>
        <w:rPr>
          <w:rFonts w:cs="Times New Roman"/>
          <w:noProof/>
          <w:lang w:val="fr-CA"/>
        </w:rPr>
        <w:t>’</w:t>
      </w:r>
      <w:r w:rsidRPr="00332A1B">
        <w:rPr>
          <w:rFonts w:cs="Times New Roman"/>
          <w:noProof/>
          <w:lang w:val="fr-CA"/>
        </w:rPr>
        <w:t>un règlement, deux importants objectifs publics.  Cependant, le simple fait de signer une entente de médiation assortie d</w:t>
      </w:r>
      <w:r>
        <w:rPr>
          <w:rFonts w:cs="Times New Roman"/>
          <w:noProof/>
          <w:lang w:val="fr-CA"/>
        </w:rPr>
        <w:t>’</w:t>
      </w:r>
      <w:r w:rsidRPr="00332A1B">
        <w:rPr>
          <w:rFonts w:cs="Times New Roman"/>
          <w:noProof/>
          <w:lang w:val="fr-CA"/>
        </w:rPr>
        <w:t>une clause de confidentialité n</w:t>
      </w:r>
      <w:r>
        <w:rPr>
          <w:rFonts w:cs="Times New Roman"/>
          <w:noProof/>
          <w:lang w:val="fr-CA"/>
        </w:rPr>
        <w:t>’</w:t>
      </w:r>
      <w:r w:rsidRPr="00332A1B">
        <w:rPr>
          <w:rFonts w:cs="Times New Roman"/>
          <w:noProof/>
          <w:lang w:val="fr-CA"/>
        </w:rPr>
        <w:t>écarte pas automatiquement le privilège et ses exceptions.  Comme je l</w:t>
      </w:r>
      <w:r>
        <w:rPr>
          <w:rFonts w:cs="Times New Roman"/>
          <w:noProof/>
          <w:lang w:val="fr-CA"/>
        </w:rPr>
        <w:t>’</w:t>
      </w:r>
      <w:r w:rsidRPr="00332A1B">
        <w:rPr>
          <w:rFonts w:cs="Times New Roman"/>
          <w:noProof/>
          <w:lang w:val="fr-CA"/>
        </w:rPr>
        <w:t>ai déjà mentionné, ces mesures de protection n</w:t>
      </w:r>
      <w:r>
        <w:rPr>
          <w:rFonts w:cs="Times New Roman"/>
          <w:noProof/>
          <w:lang w:val="fr-CA"/>
        </w:rPr>
        <w:t>’</w:t>
      </w:r>
      <w:r w:rsidRPr="00332A1B">
        <w:rPr>
          <w:rFonts w:cs="Times New Roman"/>
          <w:noProof/>
          <w:lang w:val="fr-CA"/>
        </w:rPr>
        <w:t>ont pas la même portée.  À titre d</w:t>
      </w:r>
      <w:r>
        <w:rPr>
          <w:rFonts w:cs="Times New Roman"/>
          <w:noProof/>
          <w:lang w:val="fr-CA"/>
        </w:rPr>
        <w:t>’</w:t>
      </w:r>
      <w:r w:rsidRPr="00332A1B">
        <w:rPr>
          <w:rFonts w:cs="Times New Roman"/>
          <w:noProof/>
          <w:lang w:val="fr-CA"/>
        </w:rPr>
        <w:t>exemple, le privilège relatif aux règlements s</w:t>
      </w:r>
      <w:r>
        <w:rPr>
          <w:rFonts w:cs="Times New Roman"/>
          <w:noProof/>
          <w:lang w:val="fr-CA"/>
        </w:rPr>
        <w:t>’</w:t>
      </w:r>
      <w:r w:rsidRPr="00332A1B">
        <w:rPr>
          <w:rFonts w:cs="Times New Roman"/>
          <w:noProof/>
          <w:lang w:val="fr-CA"/>
        </w:rPr>
        <w:t>applique à toute communication qui mène au règlement, même à celles faites après la fin de la séance de médiation.  On ne saurait affirmer que les parties qui acceptent de garder confidentielle la teneur d</w:t>
      </w:r>
      <w:r>
        <w:rPr>
          <w:rFonts w:cs="Times New Roman"/>
          <w:noProof/>
          <w:lang w:val="fr-CA"/>
        </w:rPr>
        <w:t>’</w:t>
      </w:r>
      <w:r w:rsidRPr="00332A1B">
        <w:rPr>
          <w:rFonts w:cs="Times New Roman"/>
          <w:noProof/>
          <w:lang w:val="fr-CA"/>
        </w:rPr>
        <w:t>une séance de médiation se privent de ce fait de l</w:t>
      </w:r>
      <w:r>
        <w:rPr>
          <w:rFonts w:cs="Times New Roman"/>
          <w:noProof/>
          <w:lang w:val="fr-CA"/>
        </w:rPr>
        <w:t>’</w:t>
      </w:r>
      <w:r w:rsidRPr="00332A1B">
        <w:rPr>
          <w:rFonts w:cs="Times New Roman"/>
          <w:noProof/>
          <w:lang w:val="fr-CA"/>
        </w:rPr>
        <w:t>application du privilège relatif aux règlements après la fin de la séance de médiation.  La protection qu</w:t>
      </w:r>
      <w:r>
        <w:rPr>
          <w:rFonts w:cs="Times New Roman"/>
          <w:noProof/>
          <w:lang w:val="fr-CA"/>
        </w:rPr>
        <w:t>’</w:t>
      </w:r>
      <w:r w:rsidRPr="00332A1B">
        <w:rPr>
          <w:rFonts w:cs="Times New Roman"/>
          <w:noProof/>
          <w:lang w:val="fr-CA"/>
        </w:rPr>
        <w:t xml:space="preserve">offre le privilège ne se dissipe pas dès que les parties concluent un contrat assurant </w:t>
      </w:r>
      <w:r>
        <w:rPr>
          <w:rFonts w:cs="Times New Roman"/>
          <w:noProof/>
          <w:lang w:val="fr-CA"/>
        </w:rPr>
        <w:t xml:space="preserve">le </w:t>
      </w:r>
      <w:r w:rsidRPr="00332A1B">
        <w:rPr>
          <w:rFonts w:cs="Times New Roman"/>
          <w:noProof/>
          <w:lang w:val="fr-CA"/>
        </w:rPr>
        <w:t>caractère confidentiel de la médiation, sauf s</w:t>
      </w:r>
      <w:r>
        <w:rPr>
          <w:rFonts w:cs="Times New Roman"/>
          <w:noProof/>
          <w:lang w:val="fr-CA"/>
        </w:rPr>
        <w:t>’</w:t>
      </w:r>
      <w:r w:rsidRPr="00332A1B">
        <w:rPr>
          <w:rFonts w:cs="Times New Roman"/>
          <w:noProof/>
          <w:lang w:val="fr-CA"/>
        </w:rPr>
        <w:t>il s</w:t>
      </w:r>
      <w:r>
        <w:rPr>
          <w:rFonts w:cs="Times New Roman"/>
          <w:noProof/>
          <w:lang w:val="fr-CA"/>
        </w:rPr>
        <w:t>’</w:t>
      </w:r>
      <w:r w:rsidRPr="00332A1B">
        <w:rPr>
          <w:rFonts w:cs="Times New Roman"/>
          <w:noProof/>
          <w:lang w:val="fr-CA"/>
        </w:rPr>
        <w:t>agit là de l</w:t>
      </w:r>
      <w:r>
        <w:rPr>
          <w:rFonts w:cs="Times New Roman"/>
          <w:noProof/>
          <w:lang w:val="fr-CA"/>
        </w:rPr>
        <w:t>’</w:t>
      </w:r>
      <w:r w:rsidRPr="00332A1B">
        <w:rPr>
          <w:rFonts w:cs="Times New Roman"/>
          <w:noProof/>
          <w:lang w:val="fr-CA"/>
        </w:rPr>
        <w:t xml:space="preserve">effet recherché au contrat. </w:t>
      </w:r>
    </w:p>
    <w:p w:rsidR="00F3157A" w:rsidRPr="00332A1B" w:rsidRDefault="00F3157A" w:rsidP="00A0307B">
      <w:pPr>
        <w:pStyle w:val="ParaNoNdepar-AltN"/>
        <w:rPr>
          <w:rFonts w:cs="Times New Roman"/>
          <w:noProof/>
          <w:lang w:val="fr-CA"/>
        </w:rPr>
      </w:pPr>
      <w:r w:rsidRPr="00332A1B">
        <w:rPr>
          <w:rFonts w:cs="Times New Roman"/>
          <w:noProof/>
          <w:lang w:val="fr-CA"/>
        </w:rPr>
        <w:t>Je fais observer qu</w:t>
      </w:r>
      <w:r>
        <w:rPr>
          <w:rFonts w:cs="Times New Roman"/>
          <w:noProof/>
          <w:lang w:val="fr-CA"/>
        </w:rPr>
        <w:t>’</w:t>
      </w:r>
      <w:r w:rsidRPr="00332A1B">
        <w:rPr>
          <w:rFonts w:cs="Times New Roman"/>
          <w:noProof/>
          <w:lang w:val="fr-CA"/>
        </w:rPr>
        <w:t xml:space="preserve">un </w:t>
      </w:r>
      <w:r w:rsidR="003E41F7">
        <w:rPr>
          <w:rFonts w:cs="Times New Roman"/>
          <w:noProof/>
          <w:lang w:val="fr-CA"/>
        </w:rPr>
        <w:t>certain cons</w:t>
      </w:r>
      <w:r>
        <w:rPr>
          <w:rFonts w:cs="Times New Roman"/>
          <w:noProof/>
          <w:lang w:val="fr-CA"/>
        </w:rPr>
        <w:t xml:space="preserve">ensus </w:t>
      </w:r>
      <w:r w:rsidRPr="00332A1B">
        <w:rPr>
          <w:rFonts w:cs="Times New Roman"/>
          <w:noProof/>
          <w:lang w:val="fr-CA"/>
        </w:rPr>
        <w:t xml:space="preserve">international </w:t>
      </w:r>
      <w:r>
        <w:rPr>
          <w:rFonts w:cs="Times New Roman"/>
          <w:noProof/>
          <w:lang w:val="fr-CA"/>
        </w:rPr>
        <w:t>témoigne de</w:t>
      </w:r>
      <w:r w:rsidRPr="00332A1B">
        <w:rPr>
          <w:rFonts w:cs="Times New Roman"/>
          <w:noProof/>
          <w:lang w:val="fr-CA"/>
        </w:rPr>
        <w:t xml:space="preserve"> cette approche en matière de confidentialité de la médiation.  Dans 14 pays où le système juridique est celui de la common law ou du droit civil, des administrations, y compris </w:t>
      </w:r>
      <w:r w:rsidRPr="00332A1B">
        <w:rPr>
          <w:rFonts w:cs="Times New Roman"/>
          <w:noProof/>
          <w:lang w:val="fr-CA"/>
        </w:rPr>
        <w:lastRenderedPageBreak/>
        <w:t>l</w:t>
      </w:r>
      <w:r>
        <w:rPr>
          <w:rFonts w:cs="Times New Roman"/>
          <w:noProof/>
          <w:lang w:val="fr-CA"/>
        </w:rPr>
        <w:t>’</w:t>
      </w:r>
      <w:r w:rsidRPr="00332A1B">
        <w:rPr>
          <w:rFonts w:cs="Times New Roman"/>
          <w:noProof/>
          <w:lang w:val="fr-CA"/>
        </w:rPr>
        <w:t>Ontario (L.O. 2010, ch</w:t>
      </w:r>
      <w:r w:rsidR="00A0307B">
        <w:rPr>
          <w:rFonts w:cs="Times New Roman"/>
          <w:noProof/>
          <w:lang w:val="fr-CA"/>
        </w:rPr>
        <w:t xml:space="preserve">. </w:t>
      </w:r>
      <w:r w:rsidRPr="00332A1B">
        <w:rPr>
          <w:rFonts w:cs="Times New Roman"/>
          <w:noProof/>
          <w:lang w:val="fr-CA"/>
        </w:rPr>
        <w:t>16</w:t>
      </w:r>
      <w:r>
        <w:rPr>
          <w:rFonts w:cs="Times New Roman"/>
          <w:noProof/>
          <w:lang w:val="fr-CA"/>
        </w:rPr>
        <w:t>, ann</w:t>
      </w:r>
      <w:r w:rsidR="00A0307B">
        <w:rPr>
          <w:rFonts w:cs="Times New Roman"/>
          <w:noProof/>
          <w:lang w:val="fr-CA"/>
        </w:rPr>
        <w:t xml:space="preserve">. </w:t>
      </w:r>
      <w:r>
        <w:rPr>
          <w:rFonts w:cs="Times New Roman"/>
          <w:noProof/>
          <w:lang w:val="fr-CA"/>
        </w:rPr>
        <w:t>3</w:t>
      </w:r>
      <w:r w:rsidRPr="00332A1B">
        <w:rPr>
          <w:rFonts w:cs="Times New Roman"/>
          <w:noProof/>
          <w:lang w:val="fr-CA"/>
        </w:rPr>
        <w:t>)</w:t>
      </w:r>
      <w:r>
        <w:rPr>
          <w:rFonts w:cs="Times New Roman"/>
          <w:noProof/>
          <w:lang w:val="fr-CA"/>
        </w:rPr>
        <w:t xml:space="preserve"> </w:t>
      </w:r>
      <w:r w:rsidRPr="00332A1B">
        <w:rPr>
          <w:rFonts w:cs="Times New Roman"/>
          <w:noProof/>
          <w:lang w:val="fr-CA"/>
        </w:rPr>
        <w:t>et la Nouvelle</w:t>
      </w:r>
      <w:r w:rsidR="00A0307B">
        <w:rPr>
          <w:rFonts w:cs="Times New Roman"/>
          <w:noProof/>
          <w:lang w:val="fr-CA"/>
        </w:rPr>
        <w:t>-</w:t>
      </w:r>
      <w:r w:rsidRPr="00332A1B">
        <w:rPr>
          <w:rFonts w:cs="Times New Roman"/>
          <w:noProof/>
          <w:lang w:val="fr-CA"/>
        </w:rPr>
        <w:t>Écosse (S.N.S. 2005, ch</w:t>
      </w:r>
      <w:r w:rsidR="00A0307B">
        <w:rPr>
          <w:rFonts w:cs="Times New Roman"/>
          <w:noProof/>
          <w:lang w:val="fr-CA"/>
        </w:rPr>
        <w:t xml:space="preserve">. </w:t>
      </w:r>
      <w:r w:rsidRPr="00332A1B">
        <w:rPr>
          <w:rFonts w:cs="Times New Roman"/>
          <w:noProof/>
          <w:lang w:val="fr-CA"/>
        </w:rPr>
        <w:t>36), ont adopté la Loi type sur la conciliation commerciale internationale de la Commission des Nations Unies pour le droit commercial international</w:t>
      </w:r>
      <w:r w:rsidR="00A0307B">
        <w:rPr>
          <w:rFonts w:cs="Times New Roman"/>
          <w:noProof/>
          <w:lang w:val="fr-CA"/>
        </w:rPr>
        <w:t xml:space="preserve">. </w:t>
      </w:r>
      <w:r w:rsidRPr="00332A1B">
        <w:rPr>
          <w:rFonts w:cs="Times New Roman"/>
          <w:noProof/>
          <w:lang w:val="fr-CA"/>
        </w:rPr>
        <w:t xml:space="preserve"> L</w:t>
      </w:r>
      <w:r>
        <w:rPr>
          <w:rFonts w:cs="Times New Roman"/>
          <w:noProof/>
          <w:lang w:val="fr-CA"/>
        </w:rPr>
        <w:t>’</w:t>
      </w:r>
      <w:r w:rsidRPr="00332A1B">
        <w:rPr>
          <w:rFonts w:cs="Times New Roman"/>
          <w:noProof/>
          <w:lang w:val="fr-CA"/>
        </w:rPr>
        <w:t>article 9 de la Loi type prévoit ce qui suit :</w:t>
      </w:r>
    </w:p>
    <w:p w:rsidR="00F3157A" w:rsidRPr="00332A1B" w:rsidRDefault="00F3157A" w:rsidP="00A0307B">
      <w:pPr>
        <w:pStyle w:val="Citation-AltC"/>
        <w:spacing w:after="240"/>
        <w:ind w:left="1168" w:hanging="1168"/>
        <w:contextualSpacing w:val="0"/>
        <w:rPr>
          <w:lang w:val="fr-FR"/>
        </w:rPr>
      </w:pPr>
      <w:r>
        <w:rPr>
          <w:lang w:val="fr-FR"/>
        </w:rPr>
        <w:tab/>
      </w:r>
      <w:r>
        <w:rPr>
          <w:lang w:val="fr-FR"/>
        </w:rPr>
        <w:tab/>
      </w:r>
      <w:r w:rsidRPr="00332A1B">
        <w:rPr>
          <w:lang w:val="fr-FR"/>
        </w:rPr>
        <w:t xml:space="preserve">Sauf convention contraire des parties, toutes les informations relatives à la procédure de conciliation doivent demeurer confidentielles, sauf lorsque la divulgation est exigée par la loi </w:t>
      </w:r>
      <w:r w:rsidRPr="00332A1B">
        <w:rPr>
          <w:u w:val="single"/>
          <w:lang w:val="fr-FR"/>
        </w:rPr>
        <w:t>ou est rend</w:t>
      </w:r>
      <w:r w:rsidR="00C22E0C">
        <w:rPr>
          <w:u w:val="single"/>
          <w:lang w:val="fr-FR"/>
        </w:rPr>
        <w:t>ue nécessaire pour la mise en œ</w:t>
      </w:r>
      <w:r w:rsidRPr="00332A1B">
        <w:rPr>
          <w:u w:val="single"/>
          <w:lang w:val="fr-FR"/>
        </w:rPr>
        <w:t>uvre ou l</w:t>
      </w:r>
      <w:r>
        <w:rPr>
          <w:u w:val="single"/>
          <w:lang w:val="fr-FR"/>
        </w:rPr>
        <w:t>’</w:t>
      </w:r>
      <w:r w:rsidRPr="00332A1B">
        <w:rPr>
          <w:u w:val="single"/>
          <w:lang w:val="fr-FR"/>
        </w:rPr>
        <w:t>exécution de l</w:t>
      </w:r>
      <w:r>
        <w:rPr>
          <w:u w:val="single"/>
          <w:lang w:val="fr-FR"/>
        </w:rPr>
        <w:t>’</w:t>
      </w:r>
      <w:r w:rsidRPr="00332A1B">
        <w:rPr>
          <w:u w:val="single"/>
          <w:lang w:val="fr-FR"/>
        </w:rPr>
        <w:t>accord issu de la conciliation</w:t>
      </w:r>
      <w:r w:rsidRPr="00332A1B">
        <w:rPr>
          <w:lang w:val="fr-FR"/>
        </w:rPr>
        <w:t>.  [Je souligne.]</w:t>
      </w:r>
    </w:p>
    <w:p w:rsidR="00F3157A" w:rsidRPr="00332A1B" w:rsidRDefault="00F3157A" w:rsidP="00C22E0C">
      <w:pPr>
        <w:pStyle w:val="Citation-AltC"/>
        <w:ind w:left="0" w:hanging="1166"/>
        <w:rPr>
          <w:lang w:val="fr-CA"/>
        </w:rPr>
      </w:pPr>
      <w:r>
        <w:rPr>
          <w:noProof/>
          <w:lang w:val="fr-CA"/>
        </w:rPr>
        <w:tab/>
      </w:r>
      <w:r w:rsidRPr="00332A1B">
        <w:rPr>
          <w:noProof/>
          <w:lang w:val="fr-CA"/>
        </w:rPr>
        <w:t>(</w:t>
      </w:r>
      <w:r w:rsidRPr="00332A1B">
        <w:rPr>
          <w:i/>
          <w:noProof/>
          <w:lang w:val="fr-CA"/>
        </w:rPr>
        <w:t>Loi type de la CNUDCI sur la conciliation commerciale internationale et Guide pour son incorporation dans le droit interne et son utilisation 2002</w:t>
      </w:r>
      <w:r w:rsidRPr="00332A1B">
        <w:rPr>
          <w:noProof/>
          <w:lang w:val="fr-CA"/>
        </w:rPr>
        <w:t xml:space="preserve"> (2004), p</w:t>
      </w:r>
      <w:r w:rsidR="00A0307B">
        <w:rPr>
          <w:noProof/>
          <w:lang w:val="fr-CA"/>
        </w:rPr>
        <w:t xml:space="preserve">. </w:t>
      </w:r>
      <w:r w:rsidRPr="00332A1B">
        <w:rPr>
          <w:noProof/>
          <w:lang w:val="fr-CA"/>
        </w:rPr>
        <w:t>5)</w:t>
      </w:r>
    </w:p>
    <w:p w:rsidR="00F3157A" w:rsidRPr="00332A1B" w:rsidRDefault="00F3157A" w:rsidP="00A0307B">
      <w:pPr>
        <w:pStyle w:val="ParaNoNdepar-AltN"/>
        <w:rPr>
          <w:rFonts w:cs="Times New Roman"/>
          <w:noProof/>
          <w:lang w:val="fr-CA"/>
        </w:rPr>
      </w:pPr>
      <w:r w:rsidRPr="00332A1B">
        <w:rPr>
          <w:rFonts w:cs="Times New Roman"/>
          <w:noProof/>
          <w:lang w:val="fr-CA"/>
        </w:rPr>
        <w:t>Cette disposition, qui est conforme à l</w:t>
      </w:r>
      <w:r>
        <w:rPr>
          <w:rFonts w:cs="Times New Roman"/>
          <w:noProof/>
          <w:lang w:val="fr-CA"/>
        </w:rPr>
        <w:t>’</w:t>
      </w:r>
      <w:r w:rsidRPr="00332A1B">
        <w:rPr>
          <w:rFonts w:cs="Times New Roman"/>
          <w:noProof/>
          <w:lang w:val="fr-CA"/>
        </w:rPr>
        <w:t>approche que je préconise, reconnaît le besoin de confidentialité dans le contexte des règlements, mais elle prévoit également que les parties peuvent conclure leurs propres ententes de confidentialité.  En outre, elle signale l</w:t>
      </w:r>
      <w:r>
        <w:rPr>
          <w:rFonts w:cs="Times New Roman"/>
          <w:noProof/>
          <w:lang w:val="fr-CA"/>
        </w:rPr>
        <w:t>’</w:t>
      </w:r>
      <w:r w:rsidRPr="00332A1B">
        <w:rPr>
          <w:rFonts w:cs="Times New Roman"/>
          <w:noProof/>
          <w:lang w:val="fr-CA"/>
        </w:rPr>
        <w:t>acceptation généralisée, dans les administrations de common law et de droit civil, de l</w:t>
      </w:r>
      <w:r>
        <w:rPr>
          <w:rFonts w:cs="Times New Roman"/>
          <w:noProof/>
          <w:lang w:val="fr-CA"/>
        </w:rPr>
        <w:t>’</w:t>
      </w:r>
      <w:r w:rsidRPr="00332A1B">
        <w:rPr>
          <w:rFonts w:cs="Times New Roman"/>
          <w:noProof/>
          <w:lang w:val="fr-CA"/>
        </w:rPr>
        <w:t>application d</w:t>
      </w:r>
      <w:r>
        <w:rPr>
          <w:rFonts w:cs="Times New Roman"/>
          <w:noProof/>
          <w:lang w:val="fr-CA"/>
        </w:rPr>
        <w:t>’</w:t>
      </w:r>
      <w:r w:rsidRPr="00332A1B">
        <w:rPr>
          <w:rFonts w:cs="Times New Roman"/>
          <w:noProof/>
          <w:lang w:val="fr-CA"/>
        </w:rPr>
        <w:t>une exception au privilège relatif aux règlements lorsqu</w:t>
      </w:r>
      <w:r>
        <w:rPr>
          <w:rFonts w:cs="Times New Roman"/>
          <w:noProof/>
          <w:lang w:val="fr-CA"/>
        </w:rPr>
        <w:t>’</w:t>
      </w:r>
      <w:r w:rsidRPr="00332A1B">
        <w:rPr>
          <w:rFonts w:cs="Times New Roman"/>
          <w:noProof/>
          <w:lang w:val="fr-CA"/>
        </w:rPr>
        <w:t>une partie cherche à prouver l</w:t>
      </w:r>
      <w:r>
        <w:rPr>
          <w:rFonts w:cs="Times New Roman"/>
          <w:noProof/>
          <w:lang w:val="fr-CA"/>
        </w:rPr>
        <w:t>’</w:t>
      </w:r>
      <w:r w:rsidRPr="00332A1B">
        <w:rPr>
          <w:rFonts w:cs="Times New Roman"/>
          <w:noProof/>
          <w:lang w:val="fr-CA"/>
        </w:rPr>
        <w:t>existence ou les modalités d</w:t>
      </w:r>
      <w:r>
        <w:rPr>
          <w:rFonts w:cs="Times New Roman"/>
          <w:noProof/>
          <w:lang w:val="fr-CA"/>
        </w:rPr>
        <w:t>’</w:t>
      </w:r>
      <w:r w:rsidRPr="00332A1B">
        <w:rPr>
          <w:rFonts w:cs="Times New Roman"/>
          <w:noProof/>
          <w:lang w:val="fr-CA"/>
        </w:rPr>
        <w:t>un règlement.</w:t>
      </w:r>
    </w:p>
    <w:p w:rsidR="00F3157A" w:rsidRPr="00332A1B" w:rsidRDefault="00F3157A" w:rsidP="00A0307B">
      <w:pPr>
        <w:pStyle w:val="ParaNoNdepar-AltN"/>
        <w:rPr>
          <w:rFonts w:cs="Times New Roman"/>
          <w:noProof/>
          <w:lang w:val="fr-CA"/>
        </w:rPr>
      </w:pPr>
      <w:r w:rsidRPr="00332A1B">
        <w:rPr>
          <w:rFonts w:cs="Times New Roman"/>
          <w:noProof/>
          <w:lang w:val="fr-CA"/>
        </w:rPr>
        <w:t>Lorsqu</w:t>
      </w:r>
      <w:r>
        <w:rPr>
          <w:rFonts w:cs="Times New Roman"/>
          <w:noProof/>
          <w:lang w:val="fr-CA"/>
        </w:rPr>
        <w:t>’</w:t>
      </w:r>
      <w:r w:rsidRPr="00332A1B">
        <w:rPr>
          <w:rFonts w:cs="Times New Roman"/>
          <w:noProof/>
          <w:lang w:val="fr-CA"/>
        </w:rPr>
        <w:t>une entente pourrait avoir pour effet d</w:t>
      </w:r>
      <w:r>
        <w:rPr>
          <w:rFonts w:cs="Times New Roman"/>
          <w:noProof/>
          <w:lang w:val="fr-CA"/>
        </w:rPr>
        <w:t>’</w:t>
      </w:r>
      <w:r w:rsidRPr="00332A1B">
        <w:rPr>
          <w:rFonts w:cs="Times New Roman"/>
          <w:noProof/>
          <w:lang w:val="fr-CA"/>
        </w:rPr>
        <w:t>empêcher l</w:t>
      </w:r>
      <w:r>
        <w:rPr>
          <w:rFonts w:cs="Times New Roman"/>
          <w:noProof/>
          <w:lang w:val="fr-CA"/>
        </w:rPr>
        <w:t>’</w:t>
      </w:r>
      <w:r w:rsidRPr="00332A1B">
        <w:rPr>
          <w:rFonts w:cs="Times New Roman"/>
          <w:noProof/>
          <w:lang w:val="fr-CA"/>
        </w:rPr>
        <w:t>application d</w:t>
      </w:r>
      <w:r>
        <w:rPr>
          <w:rFonts w:cs="Times New Roman"/>
          <w:noProof/>
          <w:lang w:val="fr-CA"/>
        </w:rPr>
        <w:t>’</w:t>
      </w:r>
      <w:r w:rsidRPr="00332A1B">
        <w:rPr>
          <w:rFonts w:cs="Times New Roman"/>
          <w:noProof/>
          <w:lang w:val="fr-CA"/>
        </w:rPr>
        <w:t>une exception reconnue au privilège relatif aux règlements, elle doit l</w:t>
      </w:r>
      <w:r>
        <w:rPr>
          <w:rFonts w:cs="Times New Roman"/>
          <w:noProof/>
          <w:lang w:val="fr-CA"/>
        </w:rPr>
        <w:t>’</w:t>
      </w:r>
      <w:r w:rsidRPr="00332A1B">
        <w:rPr>
          <w:rFonts w:cs="Times New Roman"/>
          <w:noProof/>
          <w:lang w:val="fr-CA"/>
        </w:rPr>
        <w:t>exprimer clairement.  On ne saurait présumer que les parties, qui ont renforcé par contrat la confidentialité afin de favoriser l</w:t>
      </w:r>
      <w:r>
        <w:rPr>
          <w:rFonts w:cs="Times New Roman"/>
          <w:noProof/>
          <w:lang w:val="fr-CA"/>
        </w:rPr>
        <w:t>’</w:t>
      </w:r>
      <w:r w:rsidRPr="00332A1B">
        <w:rPr>
          <w:rFonts w:cs="Times New Roman"/>
          <w:noProof/>
          <w:lang w:val="fr-CA"/>
        </w:rPr>
        <w:t xml:space="preserve">échange en toute franchise des communications et de promouvoir de ce fait un règlement, entendaient également écarter une exception </w:t>
      </w:r>
      <w:r w:rsidRPr="00332A1B">
        <w:rPr>
          <w:rFonts w:cs="Times New Roman"/>
          <w:noProof/>
          <w:lang w:val="fr-CA"/>
        </w:rPr>
        <w:lastRenderedPageBreak/>
        <w:t>au privilège relatif aux règlements dont l</w:t>
      </w:r>
      <w:r>
        <w:rPr>
          <w:rFonts w:cs="Times New Roman"/>
          <w:noProof/>
          <w:lang w:val="fr-CA"/>
        </w:rPr>
        <w:t>’</w:t>
      </w:r>
      <w:r w:rsidRPr="00332A1B">
        <w:rPr>
          <w:rFonts w:cs="Times New Roman"/>
          <w:noProof/>
          <w:lang w:val="fr-CA"/>
        </w:rPr>
        <w:t>objet est aussi de promouvoir un règlement.  Les parties ont toute liberté de le faire, pourvu qu</w:t>
      </w:r>
      <w:r>
        <w:rPr>
          <w:rFonts w:cs="Times New Roman"/>
          <w:noProof/>
          <w:lang w:val="fr-CA"/>
        </w:rPr>
        <w:t>’</w:t>
      </w:r>
      <w:r w:rsidRPr="00332A1B">
        <w:rPr>
          <w:rFonts w:cs="Times New Roman"/>
          <w:noProof/>
          <w:lang w:val="fr-CA"/>
        </w:rPr>
        <w:t>elles le fassent clairement.  Pour éviter un conflit au sujet des modalités d</w:t>
      </w:r>
      <w:r>
        <w:rPr>
          <w:rFonts w:cs="Times New Roman"/>
          <w:noProof/>
          <w:lang w:val="fr-CA"/>
        </w:rPr>
        <w:t>’</w:t>
      </w:r>
      <w:r w:rsidRPr="00332A1B">
        <w:rPr>
          <w:rFonts w:cs="Times New Roman"/>
          <w:noProof/>
          <w:lang w:val="fr-CA"/>
        </w:rPr>
        <w:t>un règlement, les parties peuvent également prévoir que, pour être valide, tout règlement conclu au cours de la médiation doit être immédiatement constaté par écrit.  Cette pratique est envisagée spécifiquement à l</w:t>
      </w:r>
      <w:r>
        <w:rPr>
          <w:rFonts w:cs="Times New Roman"/>
          <w:noProof/>
          <w:lang w:val="fr-CA"/>
        </w:rPr>
        <w:t>’</w:t>
      </w:r>
      <w:r w:rsidRPr="00332A1B">
        <w:rPr>
          <w:rFonts w:cs="Times New Roman"/>
          <w:noProof/>
          <w:lang w:val="fr-CA"/>
        </w:rPr>
        <w:t>art</w:t>
      </w:r>
      <w:r w:rsidR="00A0307B">
        <w:rPr>
          <w:rFonts w:cs="Times New Roman"/>
          <w:noProof/>
          <w:lang w:val="fr-CA"/>
        </w:rPr>
        <w:t xml:space="preserve">. </w:t>
      </w:r>
      <w:r w:rsidRPr="00332A1B">
        <w:rPr>
          <w:rFonts w:cs="Times New Roman"/>
          <w:noProof/>
          <w:lang w:val="fr-CA"/>
        </w:rPr>
        <w:t xml:space="preserve">1414 du </w:t>
      </w:r>
      <w:r w:rsidRPr="00332A1B">
        <w:rPr>
          <w:rFonts w:cs="Times New Roman"/>
          <w:i/>
          <w:noProof/>
          <w:lang w:val="fr-CA"/>
        </w:rPr>
        <w:t>Code civil du Québe</w:t>
      </w:r>
      <w:r w:rsidR="00A05CA7">
        <w:rPr>
          <w:rFonts w:cs="Times New Roman"/>
          <w:i/>
          <w:noProof/>
          <w:lang w:val="fr-CA"/>
        </w:rPr>
        <w:t>c</w:t>
      </w:r>
      <w:r w:rsidR="00A05CA7" w:rsidRPr="00A05CA7">
        <w:rPr>
          <w:rFonts w:cs="Times New Roman"/>
          <w:noProof/>
          <w:lang w:val="fr-CA"/>
        </w:rPr>
        <w:t>,</w:t>
      </w:r>
      <w:r w:rsidR="00A05CA7">
        <w:rPr>
          <w:rFonts w:cs="Times New Roman"/>
          <w:i/>
          <w:noProof/>
          <w:lang w:val="fr-CA"/>
        </w:rPr>
        <w:t xml:space="preserve"> </w:t>
      </w:r>
      <w:r w:rsidRPr="00332A1B">
        <w:rPr>
          <w:rFonts w:cs="Times New Roman"/>
          <w:noProof/>
          <w:lang w:val="fr-CA"/>
        </w:rPr>
        <w:t xml:space="preserve">qui prévoit </w:t>
      </w:r>
      <w:r w:rsidR="00A05CA7">
        <w:rPr>
          <w:rFonts w:cs="Times New Roman"/>
          <w:noProof/>
          <w:lang w:val="fr-CA"/>
        </w:rPr>
        <w:t>que,</w:t>
      </w:r>
      <w:r w:rsidRPr="00332A1B">
        <w:rPr>
          <w:rFonts w:cs="Times New Roman"/>
          <w:noProof/>
          <w:lang w:val="fr-CA"/>
        </w:rPr>
        <w:t xml:space="preserve"> « </w:t>
      </w:r>
      <w:r w:rsidRPr="00332A1B">
        <w:rPr>
          <w:rFonts w:cs="Times New Roman"/>
          <w:noProof/>
          <w:lang w:val="fr-FR"/>
        </w:rPr>
        <w:t>[</w:t>
      </w:r>
      <w:r w:rsidRPr="00332A1B">
        <w:rPr>
          <w:rFonts w:cs="Times New Roman"/>
          <w:noProof/>
          <w:lang w:val="fr-CA"/>
        </w:rPr>
        <w:t>l]orsqu</w:t>
      </w:r>
      <w:r>
        <w:rPr>
          <w:rFonts w:cs="Times New Roman"/>
          <w:noProof/>
          <w:lang w:val="fr-CA"/>
        </w:rPr>
        <w:t>’</w:t>
      </w:r>
      <w:r w:rsidRPr="00332A1B">
        <w:rPr>
          <w:rFonts w:cs="Times New Roman"/>
          <w:noProof/>
          <w:lang w:val="fr-CA"/>
        </w:rPr>
        <w:t>une forme particulière ou solennelle est exigée comme condition nécessaire à la formation du contrat, elle doit être observée ».  Une telle stipulation soulignerait le caractère exécutoire de toute entente conclue au cours de la médiation.</w:t>
      </w:r>
    </w:p>
    <w:p w:rsidR="00F3157A" w:rsidRPr="00332A1B" w:rsidRDefault="00F3157A" w:rsidP="00A0307B">
      <w:pPr>
        <w:pStyle w:val="ParaNoNdepar-AltN"/>
        <w:rPr>
          <w:rFonts w:cs="Times New Roman"/>
          <w:noProof/>
          <w:lang w:val="fr-CA"/>
        </w:rPr>
      </w:pPr>
      <w:r w:rsidRPr="00332A1B">
        <w:rPr>
          <w:rFonts w:cs="Times New Roman"/>
          <w:noProof/>
          <w:lang w:val="fr-CA"/>
        </w:rPr>
        <w:t>Je tiens à préciser que mon analyse porte sur une seule exception au privilège relatif a</w:t>
      </w:r>
      <w:r w:rsidR="0038204B">
        <w:rPr>
          <w:rFonts w:cs="Times New Roman"/>
          <w:noProof/>
          <w:lang w:val="fr-CA"/>
        </w:rPr>
        <w:t>ux règlements de la common law —</w:t>
      </w:r>
      <w:r w:rsidRPr="00332A1B">
        <w:rPr>
          <w:rFonts w:cs="Times New Roman"/>
          <w:noProof/>
          <w:lang w:val="fr-CA"/>
        </w:rPr>
        <w:t xml:space="preserve"> celle qui s</w:t>
      </w:r>
      <w:r>
        <w:rPr>
          <w:rFonts w:cs="Times New Roman"/>
          <w:noProof/>
          <w:lang w:val="fr-CA"/>
        </w:rPr>
        <w:t>’</w:t>
      </w:r>
      <w:r w:rsidRPr="00332A1B">
        <w:rPr>
          <w:rFonts w:cs="Times New Roman"/>
          <w:noProof/>
          <w:lang w:val="fr-CA"/>
        </w:rPr>
        <w:t>applique lorsqu</w:t>
      </w:r>
      <w:r>
        <w:rPr>
          <w:rFonts w:cs="Times New Roman"/>
          <w:noProof/>
          <w:lang w:val="fr-CA"/>
        </w:rPr>
        <w:t>’</w:t>
      </w:r>
      <w:r w:rsidRPr="00332A1B">
        <w:rPr>
          <w:rFonts w:cs="Times New Roman"/>
          <w:noProof/>
          <w:lang w:val="fr-CA"/>
        </w:rPr>
        <w:t>une partie cherche à prouver les modalités d</w:t>
      </w:r>
      <w:r>
        <w:rPr>
          <w:rFonts w:cs="Times New Roman"/>
          <w:noProof/>
          <w:lang w:val="fr-CA"/>
        </w:rPr>
        <w:t>’</w:t>
      </w:r>
      <w:r w:rsidRPr="00332A1B">
        <w:rPr>
          <w:rFonts w:cs="Times New Roman"/>
          <w:noProof/>
          <w:lang w:val="fr-CA"/>
        </w:rPr>
        <w:t>un règlement.  Je n</w:t>
      </w:r>
      <w:r>
        <w:rPr>
          <w:rFonts w:cs="Times New Roman"/>
          <w:noProof/>
          <w:lang w:val="fr-CA"/>
        </w:rPr>
        <w:t>’</w:t>
      </w:r>
      <w:r w:rsidRPr="00332A1B">
        <w:rPr>
          <w:rFonts w:cs="Times New Roman"/>
          <w:noProof/>
          <w:lang w:val="fr-CA"/>
        </w:rPr>
        <w:t>ai pas examiné les autres exceptions, comme celle qui concerne les communications frauduleuses ou illégales, puisqu</w:t>
      </w:r>
      <w:r>
        <w:rPr>
          <w:rFonts w:cs="Times New Roman"/>
          <w:noProof/>
          <w:lang w:val="fr-CA"/>
        </w:rPr>
        <w:t>’</w:t>
      </w:r>
      <w:r w:rsidRPr="00332A1B">
        <w:rPr>
          <w:rFonts w:cs="Times New Roman"/>
          <w:noProof/>
          <w:lang w:val="fr-CA"/>
        </w:rPr>
        <w:t>elles ne sont pas en cause en l</w:t>
      </w:r>
      <w:r>
        <w:rPr>
          <w:rFonts w:cs="Times New Roman"/>
          <w:noProof/>
          <w:lang w:val="fr-CA"/>
        </w:rPr>
        <w:t>’</w:t>
      </w:r>
      <w:r w:rsidRPr="00332A1B">
        <w:rPr>
          <w:rFonts w:cs="Times New Roman"/>
          <w:noProof/>
          <w:lang w:val="fr-CA"/>
        </w:rPr>
        <w:t>espèce.  Je n</w:t>
      </w:r>
      <w:r>
        <w:rPr>
          <w:rFonts w:cs="Times New Roman"/>
          <w:noProof/>
          <w:lang w:val="fr-CA"/>
        </w:rPr>
        <w:t>’</w:t>
      </w:r>
      <w:r w:rsidRPr="00332A1B">
        <w:rPr>
          <w:rFonts w:cs="Times New Roman"/>
          <w:noProof/>
          <w:lang w:val="fr-CA"/>
        </w:rPr>
        <w:t>examinerai pas non plus la question de savoir si le médiateur pourrait être contraint de témoigner dans une situation telle celle en l</w:t>
      </w:r>
      <w:r>
        <w:rPr>
          <w:rFonts w:cs="Times New Roman"/>
          <w:noProof/>
          <w:lang w:val="fr-CA"/>
        </w:rPr>
        <w:t>’</w:t>
      </w:r>
      <w:r w:rsidRPr="00332A1B">
        <w:rPr>
          <w:rFonts w:cs="Times New Roman"/>
          <w:noProof/>
          <w:lang w:val="fr-CA"/>
        </w:rPr>
        <w:t xml:space="preserve">espèce.  La preuve devant notre Cour ne porte que sur les paragraphes contestés de la requête en homologation, et je ne traiterai pas du seuil légal qui permettrait de contraindre le médiateur à rendre un témoignage direct.  Cette question pourra être examinée à une autre occasion.  </w:t>
      </w:r>
    </w:p>
    <w:p w:rsidR="00F3157A" w:rsidRPr="00332A1B" w:rsidRDefault="00F3157A" w:rsidP="00A0307B">
      <w:pPr>
        <w:pStyle w:val="ParaNoNdepar-AltN"/>
        <w:rPr>
          <w:rFonts w:cs="Times New Roman"/>
          <w:noProof/>
          <w:lang w:val="fr-CA"/>
        </w:rPr>
      </w:pPr>
      <w:r w:rsidRPr="00332A1B">
        <w:rPr>
          <w:rFonts w:cs="Times New Roman"/>
          <w:noProof/>
          <w:lang w:val="fr-CA"/>
        </w:rPr>
        <w:t xml:space="preserve">À mon avis, les renseignements que les intimées cherchent à divulguer par les paragraphes contestés de leur requête en homologation sont protégés par la </w:t>
      </w:r>
      <w:r w:rsidRPr="00332A1B">
        <w:rPr>
          <w:rFonts w:cs="Times New Roman"/>
          <w:noProof/>
          <w:lang w:val="fr-CA"/>
        </w:rPr>
        <w:lastRenderedPageBreak/>
        <w:t>clause de confidentialité, et non seulement par le privilège relatif aux règlements.  Les parties pouvaient écarter le privilège relatif aux règlements, y compris ses exceptions.  La question est de savoir si elles l</w:t>
      </w:r>
      <w:r>
        <w:rPr>
          <w:rFonts w:cs="Times New Roman"/>
          <w:noProof/>
          <w:lang w:val="fr-CA"/>
        </w:rPr>
        <w:t>’</w:t>
      </w:r>
      <w:r w:rsidRPr="00332A1B">
        <w:rPr>
          <w:rFonts w:cs="Times New Roman"/>
          <w:noProof/>
          <w:lang w:val="fr-CA"/>
        </w:rPr>
        <w:t xml:space="preserve">ont fait. </w:t>
      </w:r>
    </w:p>
    <w:p w:rsidR="00F3157A" w:rsidRPr="00332A1B" w:rsidRDefault="00F3157A" w:rsidP="00A0307B">
      <w:pPr>
        <w:pStyle w:val="ParaNoNdepar-AltN"/>
        <w:rPr>
          <w:rFonts w:cs="Times New Roman"/>
          <w:noProof/>
          <w:lang w:val="fr-CA"/>
        </w:rPr>
      </w:pPr>
      <w:r w:rsidRPr="00332A1B">
        <w:rPr>
          <w:rFonts w:cs="Times New Roman"/>
          <w:noProof/>
          <w:lang w:val="fr-CA"/>
        </w:rPr>
        <w:t xml:space="preserve">Le contrat de médiation a été signé et exécuté au Québec.  Il doit donc être interprété conformément au </w:t>
      </w:r>
      <w:r w:rsidRPr="00332A1B">
        <w:rPr>
          <w:rFonts w:cs="Times New Roman"/>
          <w:i/>
          <w:noProof/>
          <w:lang w:val="fr-CA"/>
        </w:rPr>
        <w:t>Code civil du Québec</w:t>
      </w:r>
      <w:r w:rsidRPr="00332A1B">
        <w:rPr>
          <w:rFonts w:cs="Times New Roman"/>
          <w:noProof/>
          <w:lang w:val="fr-CA"/>
        </w:rPr>
        <w:t xml:space="preserve"> et au droit québécois des obligations. </w:t>
      </w:r>
    </w:p>
    <w:p w:rsidR="00F3157A" w:rsidRPr="00332A1B" w:rsidRDefault="00F3157A" w:rsidP="0081394F">
      <w:pPr>
        <w:pStyle w:val="Title2LevelTitre2Niveau"/>
        <w:keepNext w:val="0"/>
        <w:jc w:val="both"/>
        <w:rPr>
          <w:rFonts w:cs="Times New Roman"/>
          <w:noProof/>
          <w:lang w:val="fr-CA"/>
        </w:rPr>
      </w:pPr>
      <w:r w:rsidRPr="00332A1B">
        <w:rPr>
          <w:rFonts w:cs="Times New Roman"/>
          <w:noProof/>
          <w:lang w:val="fr-CA"/>
        </w:rPr>
        <w:t>Ce contrat de médiation permet</w:t>
      </w:r>
      <w:r w:rsidR="00A0307B">
        <w:rPr>
          <w:rFonts w:cs="Times New Roman"/>
          <w:noProof/>
          <w:lang w:val="fr-CA"/>
        </w:rPr>
        <w:t>-</w:t>
      </w:r>
      <w:r w:rsidRPr="00332A1B">
        <w:rPr>
          <w:rFonts w:cs="Times New Roman"/>
          <w:noProof/>
          <w:lang w:val="fr-CA"/>
        </w:rPr>
        <w:t>il aux parties d</w:t>
      </w:r>
      <w:r>
        <w:rPr>
          <w:rFonts w:cs="Times New Roman"/>
          <w:noProof/>
          <w:lang w:val="fr-CA"/>
        </w:rPr>
        <w:t>’</w:t>
      </w:r>
      <w:r w:rsidRPr="00332A1B">
        <w:rPr>
          <w:rFonts w:cs="Times New Roman"/>
          <w:noProof/>
          <w:lang w:val="fr-CA"/>
        </w:rPr>
        <w:t>utiliser des renseignements confidentiels afin de faire la preuve des modalités d</w:t>
      </w:r>
      <w:r>
        <w:rPr>
          <w:rFonts w:cs="Times New Roman"/>
          <w:noProof/>
          <w:lang w:val="fr-CA"/>
        </w:rPr>
        <w:t>’</w:t>
      </w:r>
      <w:r w:rsidRPr="00332A1B">
        <w:rPr>
          <w:rFonts w:cs="Times New Roman"/>
          <w:noProof/>
          <w:lang w:val="fr-CA"/>
        </w:rPr>
        <w:t>un règlement?</w:t>
      </w:r>
    </w:p>
    <w:p w:rsidR="00F3157A" w:rsidRPr="00332A1B" w:rsidRDefault="00F3157A" w:rsidP="00A0307B">
      <w:pPr>
        <w:pStyle w:val="ParaNoNdepar-AltN"/>
        <w:rPr>
          <w:rFonts w:cs="Times New Roman"/>
          <w:noProof/>
          <w:lang w:val="fr-CA"/>
        </w:rPr>
      </w:pPr>
      <w:r w:rsidRPr="00332A1B">
        <w:rPr>
          <w:rFonts w:cs="Times New Roman"/>
          <w:noProof/>
          <w:lang w:val="fr-CA"/>
        </w:rPr>
        <w:t>J</w:t>
      </w:r>
      <w:r>
        <w:rPr>
          <w:rFonts w:cs="Times New Roman"/>
          <w:noProof/>
          <w:lang w:val="fr-CA"/>
        </w:rPr>
        <w:t>’</w:t>
      </w:r>
      <w:r w:rsidRPr="00332A1B">
        <w:rPr>
          <w:rFonts w:cs="Times New Roman"/>
          <w:noProof/>
          <w:lang w:val="fr-CA"/>
        </w:rPr>
        <w:t>ai conclu que de façon générale, dans un contexte de médiation, les parties peuvent établir par contrat des règles de confidentialité dont la portée dépasse celle du privilège relatif aux règlements de la common law.  En particulier, elles peuvent se soustraire par contrat à l</w:t>
      </w:r>
      <w:r>
        <w:rPr>
          <w:rFonts w:cs="Times New Roman"/>
          <w:noProof/>
          <w:lang w:val="fr-CA"/>
        </w:rPr>
        <w:t>’</w:t>
      </w:r>
      <w:r w:rsidRPr="00332A1B">
        <w:rPr>
          <w:rFonts w:cs="Times New Roman"/>
          <w:noProof/>
          <w:lang w:val="fr-CA"/>
        </w:rPr>
        <w:t>exception à ce privilège qui permet à une partie de divulguer des renseignements confidentiels afin de faire la preuve des modalités d</w:t>
      </w:r>
      <w:r>
        <w:rPr>
          <w:rFonts w:cs="Times New Roman"/>
          <w:noProof/>
          <w:lang w:val="fr-CA"/>
        </w:rPr>
        <w:t>’</w:t>
      </w:r>
      <w:r w:rsidRPr="00332A1B">
        <w:rPr>
          <w:rFonts w:cs="Times New Roman"/>
          <w:noProof/>
          <w:lang w:val="fr-CA"/>
        </w:rPr>
        <w:t>un règlement.  J</w:t>
      </w:r>
      <w:r>
        <w:rPr>
          <w:rFonts w:cs="Times New Roman"/>
          <w:noProof/>
          <w:lang w:val="fr-CA"/>
        </w:rPr>
        <w:t>’</w:t>
      </w:r>
      <w:r w:rsidRPr="00332A1B">
        <w:rPr>
          <w:rFonts w:cs="Times New Roman"/>
          <w:noProof/>
          <w:lang w:val="fr-CA"/>
        </w:rPr>
        <w:t>examine maintenant la question de savoir si c</w:t>
      </w:r>
      <w:r>
        <w:rPr>
          <w:rFonts w:cs="Times New Roman"/>
          <w:noProof/>
          <w:lang w:val="fr-CA"/>
        </w:rPr>
        <w:t>’</w:t>
      </w:r>
      <w:r w:rsidRPr="00332A1B">
        <w:rPr>
          <w:rFonts w:cs="Times New Roman"/>
          <w:noProof/>
          <w:lang w:val="fr-CA"/>
        </w:rPr>
        <w:t>est ce qu</w:t>
      </w:r>
      <w:r>
        <w:rPr>
          <w:rFonts w:cs="Times New Roman"/>
          <w:noProof/>
          <w:lang w:val="fr-CA"/>
        </w:rPr>
        <w:t>’</w:t>
      </w:r>
      <w:r w:rsidRPr="00332A1B">
        <w:rPr>
          <w:rFonts w:cs="Times New Roman"/>
          <w:noProof/>
          <w:lang w:val="fr-CA"/>
        </w:rPr>
        <w:t>ont fait les parties dans la présente affaire.  Quel est l</w:t>
      </w:r>
      <w:r>
        <w:rPr>
          <w:rFonts w:cs="Times New Roman"/>
          <w:noProof/>
          <w:lang w:val="fr-CA"/>
        </w:rPr>
        <w:t>’</w:t>
      </w:r>
      <w:r w:rsidRPr="00332A1B">
        <w:rPr>
          <w:rFonts w:cs="Times New Roman"/>
          <w:noProof/>
          <w:lang w:val="fr-CA"/>
        </w:rPr>
        <w:t>effet du contrat de médiation en cause en l</w:t>
      </w:r>
      <w:r>
        <w:rPr>
          <w:rFonts w:cs="Times New Roman"/>
          <w:noProof/>
          <w:lang w:val="fr-CA"/>
        </w:rPr>
        <w:t>’</w:t>
      </w:r>
      <w:r w:rsidRPr="00332A1B">
        <w:rPr>
          <w:rFonts w:cs="Times New Roman"/>
          <w:noProof/>
          <w:lang w:val="fr-CA"/>
        </w:rPr>
        <w:t xml:space="preserve">espèce? </w:t>
      </w:r>
    </w:p>
    <w:p w:rsidR="00F3157A" w:rsidRPr="00332A1B" w:rsidRDefault="00F3157A" w:rsidP="00A0307B">
      <w:pPr>
        <w:pStyle w:val="ParaNoNdepar-AltN"/>
        <w:rPr>
          <w:rFonts w:cs="Times New Roman"/>
          <w:noProof/>
          <w:lang w:val="fr-CA"/>
        </w:rPr>
      </w:pPr>
      <w:r w:rsidRPr="00332A1B">
        <w:rPr>
          <w:rFonts w:cs="Times New Roman"/>
          <w:noProof/>
          <w:lang w:val="fr-CA"/>
        </w:rPr>
        <w:t>Au Québec, l</w:t>
      </w:r>
      <w:r>
        <w:rPr>
          <w:rFonts w:cs="Times New Roman"/>
          <w:noProof/>
          <w:lang w:val="fr-CA"/>
        </w:rPr>
        <w:t>’</w:t>
      </w:r>
      <w:r w:rsidRPr="00332A1B">
        <w:rPr>
          <w:rFonts w:cs="Times New Roman"/>
          <w:noProof/>
          <w:lang w:val="fr-CA"/>
        </w:rPr>
        <w:t>interprétation des contrats est centrée sur l</w:t>
      </w:r>
      <w:r>
        <w:rPr>
          <w:rFonts w:cs="Times New Roman"/>
          <w:noProof/>
          <w:lang w:val="fr-CA"/>
        </w:rPr>
        <w:t>’</w:t>
      </w:r>
      <w:r w:rsidRPr="00332A1B">
        <w:rPr>
          <w:rFonts w:cs="Times New Roman"/>
          <w:noProof/>
          <w:lang w:val="fr-CA"/>
        </w:rPr>
        <w:t>intention des parties.  Comme l</w:t>
      </w:r>
      <w:r>
        <w:rPr>
          <w:rFonts w:cs="Times New Roman"/>
          <w:noProof/>
          <w:lang w:val="fr-CA"/>
        </w:rPr>
        <w:t>’</w:t>
      </w:r>
      <w:r w:rsidRPr="00332A1B">
        <w:rPr>
          <w:rFonts w:cs="Times New Roman"/>
          <w:noProof/>
          <w:lang w:val="fr-CA"/>
        </w:rPr>
        <w:t>expliquent J</w:t>
      </w:r>
      <w:r w:rsidR="00A05CA7">
        <w:rPr>
          <w:rFonts w:cs="Times New Roman"/>
          <w:noProof/>
          <w:lang w:val="fr-CA"/>
        </w:rPr>
        <w:t>.-</w:t>
      </w:r>
      <w:r w:rsidRPr="00332A1B">
        <w:rPr>
          <w:rFonts w:cs="Times New Roman"/>
          <w:noProof/>
          <w:lang w:val="fr-CA"/>
        </w:rPr>
        <w:t>L</w:t>
      </w:r>
      <w:r w:rsidR="00A0307B">
        <w:rPr>
          <w:rFonts w:cs="Times New Roman"/>
          <w:noProof/>
          <w:lang w:val="fr-CA"/>
        </w:rPr>
        <w:t xml:space="preserve">. </w:t>
      </w:r>
      <w:r w:rsidRPr="00332A1B">
        <w:rPr>
          <w:rFonts w:cs="Times New Roman"/>
          <w:noProof/>
          <w:lang w:val="fr-CA"/>
        </w:rPr>
        <w:t>Baudouin et P</w:t>
      </w:r>
      <w:r w:rsidR="00A05CA7">
        <w:rPr>
          <w:rFonts w:cs="Times New Roman"/>
          <w:noProof/>
          <w:lang w:val="fr-CA"/>
        </w:rPr>
        <w:t>.-</w:t>
      </w:r>
      <w:r w:rsidRPr="00332A1B">
        <w:rPr>
          <w:rFonts w:cs="Times New Roman"/>
          <w:noProof/>
          <w:lang w:val="fr-CA"/>
        </w:rPr>
        <w:t>G</w:t>
      </w:r>
      <w:r w:rsidR="00A0307B">
        <w:rPr>
          <w:rFonts w:cs="Times New Roman"/>
          <w:noProof/>
          <w:lang w:val="fr-CA"/>
        </w:rPr>
        <w:t xml:space="preserve">. </w:t>
      </w:r>
      <w:r w:rsidRPr="00332A1B">
        <w:rPr>
          <w:rFonts w:cs="Times New Roman"/>
          <w:noProof/>
          <w:lang w:val="fr-CA"/>
        </w:rPr>
        <w:t>Jobin, lorsque les parties ne s</w:t>
      </w:r>
      <w:r>
        <w:rPr>
          <w:rFonts w:cs="Times New Roman"/>
          <w:noProof/>
          <w:lang w:val="fr-CA"/>
        </w:rPr>
        <w:t>’</w:t>
      </w:r>
      <w:r w:rsidRPr="00332A1B">
        <w:rPr>
          <w:rFonts w:cs="Times New Roman"/>
          <w:noProof/>
          <w:lang w:val="fr-CA"/>
        </w:rPr>
        <w:t>entendent pas sur la portée d</w:t>
      </w:r>
      <w:r>
        <w:rPr>
          <w:rFonts w:cs="Times New Roman"/>
          <w:noProof/>
          <w:lang w:val="fr-CA"/>
        </w:rPr>
        <w:t>’</w:t>
      </w:r>
      <w:r w:rsidRPr="00332A1B">
        <w:rPr>
          <w:rFonts w:cs="Times New Roman"/>
          <w:noProof/>
          <w:lang w:val="fr-CA"/>
        </w:rPr>
        <w:t>une disposition contractuelle, il appartient au juge de déterminer quelle était leur intention à l</w:t>
      </w:r>
      <w:r>
        <w:rPr>
          <w:rFonts w:cs="Times New Roman"/>
          <w:noProof/>
          <w:lang w:val="fr-CA"/>
        </w:rPr>
        <w:t>’</w:t>
      </w:r>
      <w:r w:rsidRPr="00332A1B">
        <w:rPr>
          <w:rFonts w:cs="Times New Roman"/>
          <w:noProof/>
          <w:lang w:val="fr-CA"/>
        </w:rPr>
        <w:t xml:space="preserve">origine, au moment de la formation du </w:t>
      </w:r>
      <w:r w:rsidRPr="00332A1B">
        <w:rPr>
          <w:rFonts w:cs="Times New Roman"/>
          <w:noProof/>
          <w:lang w:val="fr-CA"/>
        </w:rPr>
        <w:lastRenderedPageBreak/>
        <w:t>contrat (</w:t>
      </w:r>
      <w:r w:rsidRPr="00332A1B">
        <w:rPr>
          <w:rFonts w:cs="Times New Roman"/>
          <w:i/>
          <w:noProof/>
          <w:lang w:val="fr-CA"/>
        </w:rPr>
        <w:t>Les obligations</w:t>
      </w:r>
      <w:r w:rsidRPr="00332A1B">
        <w:rPr>
          <w:rFonts w:cs="Times New Roman"/>
          <w:noProof/>
          <w:lang w:val="fr-CA"/>
        </w:rPr>
        <w:t xml:space="preserve"> (7</w:t>
      </w:r>
      <w:r w:rsidRPr="00027442">
        <w:rPr>
          <w:rFonts w:cs="Times New Roman"/>
          <w:noProof/>
          <w:vertAlign w:val="superscript"/>
          <w:lang w:val="fr-CA"/>
        </w:rPr>
        <w:t>e</w:t>
      </w:r>
      <w:r w:rsidRPr="00332A1B">
        <w:rPr>
          <w:rFonts w:cs="Times New Roman"/>
          <w:noProof/>
          <w:lang w:val="fr-CA"/>
        </w:rPr>
        <w:t xml:space="preserve"> éd. 2013), P</w:t>
      </w:r>
      <w:r w:rsidR="00A05CA7">
        <w:rPr>
          <w:rFonts w:cs="Times New Roman"/>
          <w:noProof/>
          <w:lang w:val="fr-CA"/>
        </w:rPr>
        <w:t>.-</w:t>
      </w:r>
      <w:r w:rsidRPr="00332A1B">
        <w:rPr>
          <w:rFonts w:cs="Times New Roman"/>
          <w:noProof/>
          <w:lang w:val="fr-CA"/>
        </w:rPr>
        <w:t>G</w:t>
      </w:r>
      <w:r w:rsidR="00A0307B">
        <w:rPr>
          <w:rFonts w:cs="Times New Roman"/>
          <w:noProof/>
          <w:lang w:val="fr-CA"/>
        </w:rPr>
        <w:t xml:space="preserve">. </w:t>
      </w:r>
      <w:r>
        <w:rPr>
          <w:rFonts w:cs="Times New Roman"/>
          <w:noProof/>
          <w:lang w:val="fr-CA"/>
        </w:rPr>
        <w:t>J</w:t>
      </w:r>
      <w:r w:rsidRPr="00332A1B">
        <w:rPr>
          <w:rFonts w:cs="Times New Roman"/>
          <w:noProof/>
          <w:lang w:val="fr-CA"/>
        </w:rPr>
        <w:t>obin et N</w:t>
      </w:r>
      <w:r w:rsidR="00A0307B">
        <w:rPr>
          <w:rFonts w:cs="Times New Roman"/>
          <w:noProof/>
          <w:lang w:val="fr-CA"/>
        </w:rPr>
        <w:t xml:space="preserve">. </w:t>
      </w:r>
      <w:r w:rsidRPr="00332A1B">
        <w:rPr>
          <w:rFonts w:cs="Times New Roman"/>
          <w:noProof/>
          <w:lang w:val="fr-CA"/>
        </w:rPr>
        <w:t>Vézina, dir., p</w:t>
      </w:r>
      <w:r w:rsidR="00A0307B">
        <w:rPr>
          <w:rFonts w:cs="Times New Roman"/>
          <w:noProof/>
          <w:lang w:val="fr-CA"/>
        </w:rPr>
        <w:t xml:space="preserve">. </w:t>
      </w:r>
      <w:r w:rsidRPr="00332A1B">
        <w:rPr>
          <w:rFonts w:cs="Times New Roman"/>
          <w:noProof/>
          <w:lang w:val="fr-CA"/>
        </w:rPr>
        <w:t>488</w:t>
      </w:r>
      <w:r w:rsidR="00A0307B">
        <w:rPr>
          <w:rFonts w:cs="Times New Roman"/>
          <w:noProof/>
          <w:lang w:val="fr-CA"/>
        </w:rPr>
        <w:t>-</w:t>
      </w:r>
      <w:r w:rsidRPr="00332A1B">
        <w:rPr>
          <w:rFonts w:cs="Times New Roman"/>
          <w:noProof/>
          <w:lang w:val="fr-CA"/>
        </w:rPr>
        <w:t xml:space="preserve">489).  Plusieurs dispositions du </w:t>
      </w:r>
      <w:r w:rsidRPr="00332A1B">
        <w:rPr>
          <w:rFonts w:cs="Times New Roman"/>
          <w:i/>
          <w:noProof/>
          <w:lang w:val="fr-CA"/>
        </w:rPr>
        <w:t>Code civil du Québec</w:t>
      </w:r>
      <w:r w:rsidRPr="00332A1B">
        <w:rPr>
          <w:rFonts w:cs="Times New Roman"/>
          <w:noProof/>
          <w:lang w:val="fr-CA"/>
        </w:rPr>
        <w:t xml:space="preserve"> codifient cette règle d</w:t>
      </w:r>
      <w:r>
        <w:rPr>
          <w:rFonts w:cs="Times New Roman"/>
          <w:noProof/>
          <w:lang w:val="fr-CA"/>
        </w:rPr>
        <w:t>’</w:t>
      </w:r>
      <w:r w:rsidRPr="00332A1B">
        <w:rPr>
          <w:rFonts w:cs="Times New Roman"/>
          <w:noProof/>
          <w:lang w:val="fr-CA"/>
        </w:rPr>
        <w:t xml:space="preserve">interprétation des contrats : </w:t>
      </w:r>
    </w:p>
    <w:p w:rsidR="00F3157A" w:rsidRPr="00332A1B" w:rsidRDefault="00F3157A" w:rsidP="00A0307B">
      <w:pPr>
        <w:pStyle w:val="Citation-AltC"/>
        <w:spacing w:after="240"/>
        <w:ind w:left="1168" w:hanging="1168"/>
        <w:contextualSpacing w:val="0"/>
        <w:rPr>
          <w:rFonts w:eastAsiaTheme="minorEastAsia"/>
          <w:noProof/>
          <w:lang w:val="fr-CA"/>
        </w:rPr>
      </w:pPr>
      <w:r>
        <w:rPr>
          <w:rFonts w:eastAsiaTheme="minorEastAsia"/>
          <w:b/>
          <w:bCs/>
          <w:noProof/>
          <w:lang w:val="fr-CA"/>
        </w:rPr>
        <w:tab/>
      </w:r>
      <w:r w:rsidRPr="00332A1B">
        <w:rPr>
          <w:rFonts w:eastAsiaTheme="minorEastAsia"/>
          <w:b/>
          <w:bCs/>
          <w:noProof/>
          <w:lang w:val="fr-CA"/>
        </w:rPr>
        <w:t>1425</w:t>
      </w:r>
      <w:r w:rsidR="00A0307B">
        <w:rPr>
          <w:rFonts w:eastAsiaTheme="minorEastAsia"/>
          <w:b/>
          <w:bCs/>
          <w:noProof/>
          <w:lang w:val="fr-CA"/>
        </w:rPr>
        <w:t xml:space="preserve">. </w:t>
      </w:r>
      <w:r>
        <w:rPr>
          <w:rFonts w:eastAsiaTheme="minorEastAsia"/>
          <w:noProof/>
          <w:lang w:val="fr-CA"/>
        </w:rPr>
        <w:t> </w:t>
      </w:r>
      <w:r w:rsidRPr="00332A1B">
        <w:rPr>
          <w:rFonts w:eastAsiaTheme="minorEastAsia"/>
          <w:noProof/>
          <w:lang w:val="fr-CA"/>
        </w:rPr>
        <w:t>Dans l</w:t>
      </w:r>
      <w:r>
        <w:rPr>
          <w:rFonts w:eastAsiaTheme="minorEastAsia"/>
          <w:noProof/>
          <w:lang w:val="fr-CA"/>
        </w:rPr>
        <w:t>’</w:t>
      </w:r>
      <w:r w:rsidRPr="00332A1B">
        <w:rPr>
          <w:rFonts w:eastAsiaTheme="minorEastAsia"/>
          <w:noProof/>
          <w:lang w:val="fr-CA"/>
        </w:rPr>
        <w:t>interprétation du contrat, on doit rechercher quelle a été la commune intention des parties plutôt que de s</w:t>
      </w:r>
      <w:r>
        <w:rPr>
          <w:rFonts w:eastAsiaTheme="minorEastAsia"/>
          <w:noProof/>
          <w:lang w:val="fr-CA"/>
        </w:rPr>
        <w:t>’</w:t>
      </w:r>
      <w:r w:rsidRPr="00332A1B">
        <w:rPr>
          <w:rFonts w:eastAsiaTheme="minorEastAsia"/>
          <w:noProof/>
          <w:lang w:val="fr-CA"/>
        </w:rPr>
        <w:t>arrêter au sens littéral des termes utilisés.</w:t>
      </w:r>
    </w:p>
    <w:p w:rsidR="00F3157A" w:rsidRPr="00332A1B" w:rsidRDefault="00F3157A" w:rsidP="00A0307B">
      <w:pPr>
        <w:pStyle w:val="Citation-AltC"/>
        <w:spacing w:after="240"/>
        <w:ind w:left="1168" w:hanging="1168"/>
        <w:contextualSpacing w:val="0"/>
        <w:rPr>
          <w:rFonts w:eastAsiaTheme="minorEastAsia"/>
          <w:noProof/>
          <w:szCs w:val="22"/>
          <w:lang w:val="fr-CA" w:eastAsia="en-US"/>
        </w:rPr>
      </w:pPr>
      <w:r>
        <w:rPr>
          <w:rFonts w:eastAsiaTheme="minorEastAsia"/>
          <w:b/>
          <w:bCs/>
          <w:noProof/>
          <w:szCs w:val="22"/>
          <w:lang w:val="fr-CA" w:eastAsia="en-US"/>
        </w:rPr>
        <w:tab/>
      </w:r>
      <w:r w:rsidRPr="00332A1B">
        <w:rPr>
          <w:rFonts w:eastAsiaTheme="minorEastAsia"/>
          <w:b/>
          <w:bCs/>
          <w:noProof/>
          <w:szCs w:val="22"/>
          <w:lang w:val="fr-CA" w:eastAsia="en-US"/>
        </w:rPr>
        <w:t>1426</w:t>
      </w:r>
      <w:r w:rsidR="00A0307B">
        <w:rPr>
          <w:rFonts w:eastAsiaTheme="minorEastAsia"/>
          <w:b/>
          <w:bCs/>
          <w:noProof/>
          <w:szCs w:val="22"/>
          <w:lang w:val="fr-CA" w:eastAsia="en-US"/>
        </w:rPr>
        <w:t xml:space="preserve">. </w:t>
      </w:r>
      <w:r>
        <w:rPr>
          <w:rFonts w:eastAsiaTheme="minorEastAsia"/>
          <w:noProof/>
          <w:szCs w:val="22"/>
          <w:lang w:val="fr-CA" w:eastAsia="en-US"/>
        </w:rPr>
        <w:t> </w:t>
      </w:r>
      <w:r w:rsidRPr="00332A1B">
        <w:rPr>
          <w:rFonts w:eastAsiaTheme="minorEastAsia"/>
          <w:noProof/>
          <w:szCs w:val="22"/>
          <w:lang w:val="fr-CA" w:eastAsia="en-US"/>
        </w:rPr>
        <w:t>On tient compte, dans l</w:t>
      </w:r>
      <w:r>
        <w:rPr>
          <w:rFonts w:eastAsiaTheme="minorEastAsia"/>
          <w:noProof/>
          <w:szCs w:val="22"/>
          <w:lang w:val="fr-CA" w:eastAsia="en-US"/>
        </w:rPr>
        <w:t>’</w:t>
      </w:r>
      <w:r w:rsidRPr="00332A1B">
        <w:rPr>
          <w:rFonts w:eastAsiaTheme="minorEastAsia"/>
          <w:noProof/>
          <w:szCs w:val="22"/>
          <w:lang w:val="fr-CA" w:eastAsia="en-US"/>
        </w:rPr>
        <w:t>interprétation du contrat, de sa nature, des circonstances dans lesquelles il a été conclu, de l</w:t>
      </w:r>
      <w:r>
        <w:rPr>
          <w:rFonts w:eastAsiaTheme="minorEastAsia"/>
          <w:noProof/>
          <w:szCs w:val="22"/>
          <w:lang w:val="fr-CA" w:eastAsia="en-US"/>
        </w:rPr>
        <w:t>’</w:t>
      </w:r>
      <w:r w:rsidRPr="00332A1B">
        <w:rPr>
          <w:rFonts w:eastAsiaTheme="minorEastAsia"/>
          <w:noProof/>
          <w:szCs w:val="22"/>
          <w:lang w:val="fr-CA" w:eastAsia="en-US"/>
        </w:rPr>
        <w:t>interprétation que les parties lui ont déjà donnée ou qu</w:t>
      </w:r>
      <w:r>
        <w:rPr>
          <w:rFonts w:eastAsiaTheme="minorEastAsia"/>
          <w:noProof/>
          <w:szCs w:val="22"/>
          <w:lang w:val="fr-CA" w:eastAsia="en-US"/>
        </w:rPr>
        <w:t>’</w:t>
      </w:r>
      <w:r w:rsidRPr="00332A1B">
        <w:rPr>
          <w:rFonts w:eastAsiaTheme="minorEastAsia"/>
          <w:noProof/>
          <w:szCs w:val="22"/>
          <w:lang w:val="fr-CA" w:eastAsia="en-US"/>
        </w:rPr>
        <w:t>il peut avoir reçue, ainsi que des usages.</w:t>
      </w:r>
    </w:p>
    <w:p w:rsidR="00F3157A" w:rsidRPr="00332A1B" w:rsidRDefault="00F3157A" w:rsidP="00A0307B">
      <w:pPr>
        <w:pStyle w:val="Citation-AltC"/>
        <w:spacing w:after="240"/>
        <w:ind w:left="1168" w:hanging="1168"/>
        <w:contextualSpacing w:val="0"/>
        <w:rPr>
          <w:rFonts w:eastAsiaTheme="minorEastAsia"/>
          <w:noProof/>
          <w:szCs w:val="22"/>
          <w:lang w:val="fr-CA" w:eastAsia="en-US"/>
        </w:rPr>
      </w:pPr>
      <w:r>
        <w:rPr>
          <w:rFonts w:eastAsiaTheme="minorEastAsia"/>
          <w:b/>
          <w:bCs/>
          <w:noProof/>
          <w:szCs w:val="22"/>
          <w:lang w:val="fr-CA" w:eastAsia="en-US"/>
        </w:rPr>
        <w:tab/>
      </w:r>
      <w:r w:rsidRPr="00332A1B">
        <w:rPr>
          <w:rFonts w:eastAsiaTheme="minorEastAsia"/>
          <w:b/>
          <w:bCs/>
          <w:noProof/>
          <w:szCs w:val="22"/>
          <w:lang w:val="fr-CA" w:eastAsia="en-US"/>
        </w:rPr>
        <w:t>1427</w:t>
      </w:r>
      <w:r w:rsidR="00A0307B">
        <w:rPr>
          <w:rFonts w:eastAsiaTheme="minorEastAsia"/>
          <w:b/>
          <w:bCs/>
          <w:noProof/>
          <w:szCs w:val="22"/>
          <w:lang w:val="fr-CA" w:eastAsia="en-US"/>
        </w:rPr>
        <w:t xml:space="preserve">. </w:t>
      </w:r>
      <w:r>
        <w:rPr>
          <w:rFonts w:eastAsiaTheme="minorEastAsia"/>
          <w:noProof/>
          <w:szCs w:val="22"/>
          <w:lang w:val="fr-CA" w:eastAsia="en-US"/>
        </w:rPr>
        <w:t> </w:t>
      </w:r>
      <w:r w:rsidRPr="00332A1B">
        <w:rPr>
          <w:rFonts w:eastAsiaTheme="minorEastAsia"/>
          <w:noProof/>
          <w:szCs w:val="22"/>
          <w:lang w:val="fr-CA" w:eastAsia="en-US"/>
        </w:rPr>
        <w:t>Les clauses s</w:t>
      </w:r>
      <w:r>
        <w:rPr>
          <w:rFonts w:eastAsiaTheme="minorEastAsia"/>
          <w:noProof/>
          <w:szCs w:val="22"/>
          <w:lang w:val="fr-CA" w:eastAsia="en-US"/>
        </w:rPr>
        <w:t>’</w:t>
      </w:r>
      <w:r w:rsidRPr="00332A1B">
        <w:rPr>
          <w:rFonts w:eastAsiaTheme="minorEastAsia"/>
          <w:noProof/>
          <w:szCs w:val="22"/>
          <w:lang w:val="fr-CA" w:eastAsia="en-US"/>
        </w:rPr>
        <w:t>interprètent les unes par les autres, en donnant à chacune le sens qui résulte de l</w:t>
      </w:r>
      <w:r>
        <w:rPr>
          <w:rFonts w:eastAsiaTheme="minorEastAsia"/>
          <w:noProof/>
          <w:szCs w:val="22"/>
          <w:lang w:val="fr-CA" w:eastAsia="en-US"/>
        </w:rPr>
        <w:t>’</w:t>
      </w:r>
      <w:r w:rsidRPr="00332A1B">
        <w:rPr>
          <w:rFonts w:eastAsiaTheme="minorEastAsia"/>
          <w:noProof/>
          <w:szCs w:val="22"/>
          <w:lang w:val="fr-CA" w:eastAsia="en-US"/>
        </w:rPr>
        <w:t>ensemble du contrat.</w:t>
      </w:r>
    </w:p>
    <w:p w:rsidR="00F3157A" w:rsidRPr="00332A1B" w:rsidRDefault="00F3157A" w:rsidP="00A0307B">
      <w:pPr>
        <w:pStyle w:val="Citation-AltC"/>
        <w:ind w:hanging="1166"/>
        <w:rPr>
          <w:rFonts w:eastAsiaTheme="minorEastAsia"/>
          <w:noProof/>
          <w:lang w:val="fr-CA"/>
        </w:rPr>
      </w:pPr>
      <w:r>
        <w:rPr>
          <w:rFonts w:eastAsiaTheme="minorEastAsia"/>
          <w:b/>
          <w:bCs/>
          <w:noProof/>
          <w:lang w:val="fr-CA"/>
        </w:rPr>
        <w:tab/>
      </w:r>
      <w:r w:rsidRPr="00332A1B">
        <w:rPr>
          <w:rFonts w:eastAsiaTheme="minorEastAsia"/>
          <w:b/>
          <w:bCs/>
          <w:noProof/>
          <w:lang w:val="fr-CA"/>
        </w:rPr>
        <w:t>1431</w:t>
      </w:r>
      <w:r w:rsidR="00A0307B">
        <w:rPr>
          <w:rFonts w:eastAsiaTheme="minorEastAsia"/>
          <w:b/>
          <w:bCs/>
          <w:noProof/>
          <w:lang w:val="fr-CA"/>
        </w:rPr>
        <w:t xml:space="preserve">. </w:t>
      </w:r>
      <w:r>
        <w:rPr>
          <w:rFonts w:eastAsiaTheme="minorEastAsia"/>
          <w:noProof/>
          <w:lang w:val="fr-CA"/>
        </w:rPr>
        <w:t> </w:t>
      </w:r>
      <w:r w:rsidRPr="00332A1B">
        <w:rPr>
          <w:rFonts w:eastAsiaTheme="minorEastAsia"/>
          <w:noProof/>
          <w:lang w:val="fr-CA"/>
        </w:rPr>
        <w:t>Les clauses d</w:t>
      </w:r>
      <w:r>
        <w:rPr>
          <w:rFonts w:eastAsiaTheme="minorEastAsia"/>
          <w:noProof/>
          <w:lang w:val="fr-CA"/>
        </w:rPr>
        <w:t>’</w:t>
      </w:r>
      <w:r w:rsidRPr="00332A1B">
        <w:rPr>
          <w:rFonts w:eastAsiaTheme="minorEastAsia"/>
          <w:noProof/>
          <w:lang w:val="fr-CA"/>
        </w:rPr>
        <w:t>un contrat, même si elles sont énoncées en termes généraux, comprennent seulement ce sur quoi il paraît que les parties se sont proposé de contracter.</w:t>
      </w:r>
    </w:p>
    <w:p w:rsidR="00F3157A" w:rsidRPr="00332A1B" w:rsidRDefault="00F3157A" w:rsidP="00A0307B">
      <w:pPr>
        <w:pStyle w:val="ParaNoNdepar-AltN"/>
        <w:rPr>
          <w:rFonts w:cs="Times New Roman"/>
          <w:noProof/>
          <w:lang w:val="fr-CA"/>
        </w:rPr>
      </w:pPr>
      <w:r w:rsidRPr="00332A1B">
        <w:rPr>
          <w:rFonts w:cs="Times New Roman"/>
          <w:noProof/>
          <w:lang w:val="fr-CA"/>
        </w:rPr>
        <w:t>La Cour d</w:t>
      </w:r>
      <w:r>
        <w:rPr>
          <w:rFonts w:cs="Times New Roman"/>
          <w:noProof/>
          <w:lang w:val="fr-CA"/>
        </w:rPr>
        <w:t>’</w:t>
      </w:r>
      <w:r w:rsidRPr="00332A1B">
        <w:rPr>
          <w:rFonts w:cs="Times New Roman"/>
          <w:noProof/>
          <w:lang w:val="fr-CA"/>
        </w:rPr>
        <w:t>appel du Québec a expliqué cette méthode d</w:t>
      </w:r>
      <w:r>
        <w:rPr>
          <w:rFonts w:cs="Times New Roman"/>
          <w:noProof/>
          <w:lang w:val="fr-CA"/>
        </w:rPr>
        <w:t>’</w:t>
      </w:r>
      <w:r w:rsidRPr="00332A1B">
        <w:rPr>
          <w:rFonts w:cs="Times New Roman"/>
          <w:noProof/>
          <w:lang w:val="fr-CA"/>
        </w:rPr>
        <w:t>interprétation dans l</w:t>
      </w:r>
      <w:r>
        <w:rPr>
          <w:rFonts w:cs="Times New Roman"/>
          <w:noProof/>
          <w:lang w:val="fr-CA"/>
        </w:rPr>
        <w:t>’</w:t>
      </w:r>
      <w:r w:rsidRPr="00332A1B">
        <w:rPr>
          <w:rFonts w:cs="Times New Roman"/>
          <w:noProof/>
          <w:lang w:val="fr-CA"/>
        </w:rPr>
        <w:t xml:space="preserve">arrêt </w:t>
      </w:r>
      <w:r w:rsidR="00027442">
        <w:rPr>
          <w:rFonts w:cs="Times New Roman"/>
          <w:i/>
          <w:iCs/>
          <w:noProof/>
          <w:lang w:val="fr-CA"/>
        </w:rPr>
        <w:t>Sobeys Québec inc. c. Coopé</w:t>
      </w:r>
      <w:r w:rsidRPr="00332A1B">
        <w:rPr>
          <w:rFonts w:cs="Times New Roman"/>
          <w:i/>
          <w:iCs/>
          <w:noProof/>
          <w:lang w:val="fr-CA"/>
        </w:rPr>
        <w:t>rative des consommateurs de Sainte</w:t>
      </w:r>
      <w:r w:rsidR="00A0307B">
        <w:rPr>
          <w:rFonts w:cs="Times New Roman"/>
          <w:i/>
          <w:iCs/>
          <w:noProof/>
          <w:lang w:val="fr-CA"/>
        </w:rPr>
        <w:t>-</w:t>
      </w:r>
      <w:r w:rsidRPr="00332A1B">
        <w:rPr>
          <w:rFonts w:cs="Times New Roman"/>
          <w:i/>
          <w:iCs/>
          <w:noProof/>
          <w:lang w:val="fr-CA"/>
        </w:rPr>
        <w:t>Foy</w:t>
      </w:r>
      <w:r w:rsidRPr="00332A1B">
        <w:rPr>
          <w:rFonts w:cs="Times New Roman"/>
          <w:noProof/>
          <w:lang w:val="fr-CA"/>
        </w:rPr>
        <w:t>, 2005 QCCA 1172, [2006] R.J.Q. 100 :</w:t>
      </w:r>
    </w:p>
    <w:p w:rsidR="00F3157A" w:rsidRPr="00332A1B" w:rsidRDefault="00F3157A" w:rsidP="00A0307B">
      <w:pPr>
        <w:pStyle w:val="Citation-AltC"/>
        <w:spacing w:after="240"/>
        <w:ind w:left="1168" w:hanging="1168"/>
        <w:contextualSpacing w:val="0"/>
        <w:rPr>
          <w:rFonts w:eastAsiaTheme="minorEastAsia"/>
          <w:noProof/>
          <w:lang w:val="fr-CA"/>
        </w:rPr>
      </w:pPr>
      <w:r>
        <w:rPr>
          <w:rFonts w:eastAsiaTheme="minorEastAsia"/>
          <w:noProof/>
          <w:lang w:val="fr-CA"/>
        </w:rPr>
        <w:tab/>
      </w:r>
      <w:r>
        <w:rPr>
          <w:rFonts w:eastAsiaTheme="minorEastAsia"/>
          <w:noProof/>
          <w:lang w:val="fr-CA"/>
        </w:rPr>
        <w:tab/>
      </w:r>
      <w:r w:rsidRPr="00332A1B">
        <w:rPr>
          <w:rFonts w:eastAsiaTheme="minorEastAsia"/>
          <w:noProof/>
          <w:lang w:val="fr-CA"/>
        </w:rPr>
        <w:t>Il faut pour déterminer la volonté réelle des parties et leur commune intention au sens de l</w:t>
      </w:r>
      <w:r>
        <w:rPr>
          <w:rFonts w:eastAsiaTheme="minorEastAsia"/>
          <w:noProof/>
          <w:lang w:val="fr-CA"/>
        </w:rPr>
        <w:t>’</w:t>
      </w:r>
      <w:r w:rsidRPr="00332A1B">
        <w:rPr>
          <w:rFonts w:eastAsiaTheme="minorEastAsia"/>
          <w:noProof/>
          <w:lang w:val="fr-CA"/>
        </w:rPr>
        <w:t>article 1425 C.C.Q. examiner le texte même du contrat, bien sûr, mais aussi, comme le prescrit l</w:t>
      </w:r>
      <w:r>
        <w:rPr>
          <w:rFonts w:eastAsiaTheme="minorEastAsia"/>
          <w:noProof/>
          <w:lang w:val="fr-CA"/>
        </w:rPr>
        <w:t>’</w:t>
      </w:r>
      <w:r w:rsidRPr="00332A1B">
        <w:rPr>
          <w:rFonts w:eastAsiaTheme="minorEastAsia"/>
          <w:noProof/>
          <w:lang w:val="fr-CA"/>
        </w:rPr>
        <w:t>article 1426 C.C.Q., sa nature, les circonstances dans lesquelles il a été conclu, l</w:t>
      </w:r>
      <w:r>
        <w:rPr>
          <w:rFonts w:eastAsiaTheme="minorEastAsia"/>
          <w:noProof/>
          <w:lang w:val="fr-CA"/>
        </w:rPr>
        <w:t>’</w:t>
      </w:r>
      <w:r w:rsidRPr="00332A1B">
        <w:rPr>
          <w:rFonts w:eastAsiaTheme="minorEastAsia"/>
          <w:noProof/>
          <w:lang w:val="fr-CA"/>
        </w:rPr>
        <w:t>interprétation que les parties lui ont déjà donnée ou qu</w:t>
      </w:r>
      <w:r>
        <w:rPr>
          <w:rFonts w:eastAsiaTheme="minorEastAsia"/>
          <w:noProof/>
          <w:lang w:val="fr-CA"/>
        </w:rPr>
        <w:t>’</w:t>
      </w:r>
      <w:r w:rsidRPr="00332A1B">
        <w:rPr>
          <w:rFonts w:eastAsiaTheme="minorEastAsia"/>
          <w:noProof/>
          <w:lang w:val="fr-CA"/>
        </w:rPr>
        <w:t xml:space="preserve">il peut avoir reçue, ainsi que les usages. </w:t>
      </w:r>
    </w:p>
    <w:p w:rsidR="00F3157A" w:rsidRPr="00332A1B" w:rsidRDefault="00F3157A" w:rsidP="00A0307B">
      <w:pPr>
        <w:pStyle w:val="Citation-AltC"/>
        <w:spacing w:after="240"/>
        <w:ind w:left="1168" w:hanging="1168"/>
        <w:contextualSpacing w:val="0"/>
        <w:rPr>
          <w:rFonts w:eastAsiaTheme="minorEastAsia"/>
          <w:noProof/>
          <w:szCs w:val="22"/>
          <w:lang w:val="fr-CA" w:eastAsia="en-US"/>
        </w:rPr>
      </w:pPr>
      <w:r>
        <w:rPr>
          <w:rFonts w:eastAsiaTheme="minorEastAsia"/>
          <w:noProof/>
          <w:szCs w:val="22"/>
          <w:lang w:val="fr-CA" w:eastAsia="en-US"/>
        </w:rPr>
        <w:tab/>
      </w:r>
      <w:r>
        <w:rPr>
          <w:rFonts w:eastAsiaTheme="minorEastAsia"/>
          <w:noProof/>
          <w:szCs w:val="22"/>
          <w:lang w:val="fr-CA" w:eastAsia="en-US"/>
        </w:rPr>
        <w:tab/>
      </w:r>
      <w:r w:rsidRPr="00332A1B">
        <w:rPr>
          <w:rFonts w:eastAsiaTheme="minorEastAsia"/>
          <w:noProof/>
          <w:szCs w:val="22"/>
          <w:lang w:val="fr-CA" w:eastAsia="en-US"/>
        </w:rPr>
        <w:t>Bien sûr, le décodage de la volonté des parties, surtout quand cette dernière s</w:t>
      </w:r>
      <w:r>
        <w:rPr>
          <w:rFonts w:eastAsiaTheme="minorEastAsia"/>
          <w:noProof/>
          <w:szCs w:val="22"/>
          <w:lang w:val="fr-CA" w:eastAsia="en-US"/>
        </w:rPr>
        <w:t>’</w:t>
      </w:r>
      <w:r w:rsidRPr="00332A1B">
        <w:rPr>
          <w:rFonts w:eastAsiaTheme="minorEastAsia"/>
          <w:noProof/>
          <w:szCs w:val="22"/>
          <w:lang w:val="fr-CA" w:eastAsia="en-US"/>
        </w:rPr>
        <w:t>oppose à la volonté exprimée dans un écrit qui a toutes les apparences de la clarté, est un exercice délicat</w:t>
      </w:r>
      <w:r>
        <w:rPr>
          <w:rFonts w:eastAsiaTheme="minorEastAsia"/>
          <w:noProof/>
          <w:szCs w:val="22"/>
          <w:lang w:val="fr-CA" w:eastAsia="en-US"/>
        </w:rPr>
        <w:t xml:space="preserve">.  </w:t>
      </w:r>
      <w:r w:rsidRPr="00332A1B">
        <w:rPr>
          <w:rFonts w:eastAsiaTheme="minorEastAsia"/>
          <w:noProof/>
          <w:szCs w:val="22"/>
          <w:lang w:val="fr-CA" w:eastAsia="en-US"/>
        </w:rPr>
        <w:t>Il peut arriver en outre, ce qui ne simplifie pas les choses, que l</w:t>
      </w:r>
      <w:r>
        <w:rPr>
          <w:rFonts w:eastAsiaTheme="minorEastAsia"/>
          <w:noProof/>
          <w:szCs w:val="22"/>
          <w:lang w:val="fr-CA" w:eastAsia="en-US"/>
        </w:rPr>
        <w:t>’</w:t>
      </w:r>
      <w:r w:rsidRPr="00332A1B">
        <w:rPr>
          <w:rFonts w:eastAsiaTheme="minorEastAsia"/>
          <w:noProof/>
          <w:szCs w:val="22"/>
          <w:lang w:val="fr-CA" w:eastAsia="en-US"/>
        </w:rPr>
        <w:t>étude de la matière du contrat, de son contexte, des circonstances de sa conclusion, du comportement subséquent des parties, et ainsi de suite, témoigne d</w:t>
      </w:r>
      <w:r>
        <w:rPr>
          <w:rFonts w:eastAsiaTheme="minorEastAsia"/>
          <w:noProof/>
          <w:szCs w:val="22"/>
          <w:lang w:val="fr-CA" w:eastAsia="en-US"/>
        </w:rPr>
        <w:t>’</w:t>
      </w:r>
      <w:r w:rsidRPr="00332A1B">
        <w:rPr>
          <w:rFonts w:eastAsiaTheme="minorEastAsia"/>
          <w:noProof/>
          <w:szCs w:val="22"/>
          <w:lang w:val="fr-CA" w:eastAsia="en-US"/>
        </w:rPr>
        <w:t xml:space="preserve">une absence de </w:t>
      </w:r>
      <w:r w:rsidRPr="00332A1B">
        <w:rPr>
          <w:rFonts w:eastAsiaTheme="minorEastAsia"/>
          <w:noProof/>
          <w:szCs w:val="22"/>
          <w:lang w:val="fr-CA" w:eastAsia="en-US"/>
        </w:rPr>
        <w:lastRenderedPageBreak/>
        <w:t>véritable intention commune</w:t>
      </w:r>
      <w:r>
        <w:rPr>
          <w:rFonts w:eastAsiaTheme="minorEastAsia"/>
          <w:noProof/>
          <w:szCs w:val="22"/>
          <w:lang w:val="fr-CA" w:eastAsia="en-US"/>
        </w:rPr>
        <w:t xml:space="preserve">.  </w:t>
      </w:r>
      <w:r w:rsidRPr="00332A1B">
        <w:rPr>
          <w:rFonts w:eastAsiaTheme="minorEastAsia"/>
          <w:noProof/>
          <w:szCs w:val="22"/>
          <w:lang w:val="fr-CA" w:eastAsia="en-US"/>
        </w:rPr>
        <w:t>Pineau et Gaudet [</w:t>
      </w:r>
      <w:r w:rsidRPr="00332A1B">
        <w:rPr>
          <w:rFonts w:eastAsiaTheme="minorEastAsia"/>
          <w:i/>
          <w:noProof/>
          <w:szCs w:val="22"/>
          <w:lang w:val="fr-CA" w:eastAsia="en-US"/>
        </w:rPr>
        <w:t>Théorie des obligations</w:t>
      </w:r>
      <w:r w:rsidRPr="00332A1B">
        <w:rPr>
          <w:rFonts w:eastAsiaTheme="minorEastAsia"/>
          <w:noProof/>
          <w:szCs w:val="22"/>
          <w:lang w:val="fr-CA" w:eastAsia="en-US"/>
        </w:rPr>
        <w:t xml:space="preserve"> (4</w:t>
      </w:r>
      <w:r w:rsidRPr="00027442">
        <w:rPr>
          <w:rFonts w:eastAsiaTheme="minorEastAsia"/>
          <w:noProof/>
          <w:szCs w:val="22"/>
          <w:vertAlign w:val="superscript"/>
          <w:lang w:val="fr-CA" w:eastAsia="en-US"/>
        </w:rPr>
        <w:t>e</w:t>
      </w:r>
      <w:r w:rsidRPr="00332A1B">
        <w:rPr>
          <w:rFonts w:eastAsiaTheme="minorEastAsia"/>
          <w:noProof/>
          <w:szCs w:val="22"/>
          <w:lang w:val="fr-CA" w:eastAsia="en-US"/>
        </w:rPr>
        <w:t xml:space="preserve"> éd. 2001), p</w:t>
      </w:r>
      <w:r w:rsidR="00A0307B">
        <w:rPr>
          <w:rFonts w:eastAsiaTheme="minorEastAsia"/>
          <w:noProof/>
          <w:szCs w:val="22"/>
          <w:lang w:val="fr-CA" w:eastAsia="en-US"/>
        </w:rPr>
        <w:t xml:space="preserve">. </w:t>
      </w:r>
      <w:r w:rsidRPr="00332A1B">
        <w:rPr>
          <w:rFonts w:eastAsiaTheme="minorEastAsia"/>
          <w:noProof/>
          <w:szCs w:val="22"/>
          <w:lang w:val="fr-CA" w:eastAsia="en-US"/>
        </w:rPr>
        <w:t>401</w:t>
      </w:r>
      <w:r w:rsidR="00A0307B">
        <w:rPr>
          <w:rFonts w:eastAsiaTheme="minorEastAsia"/>
          <w:noProof/>
          <w:szCs w:val="22"/>
          <w:lang w:val="fr-CA" w:eastAsia="en-US"/>
        </w:rPr>
        <w:t>-</w:t>
      </w:r>
      <w:r w:rsidRPr="00332A1B">
        <w:rPr>
          <w:rFonts w:eastAsiaTheme="minorEastAsia"/>
          <w:noProof/>
          <w:szCs w:val="22"/>
          <w:lang w:val="fr-CA" w:eastAsia="en-US"/>
        </w:rPr>
        <w:t>402] expliquent ainsi que :</w:t>
      </w:r>
    </w:p>
    <w:p w:rsidR="00F3157A" w:rsidRPr="00332A1B" w:rsidRDefault="00F3157A" w:rsidP="00A0307B">
      <w:pPr>
        <w:pStyle w:val="Citation-AltC"/>
        <w:ind w:left="2160" w:hanging="2160"/>
        <w:rPr>
          <w:rFonts w:eastAsiaTheme="minorEastAsia"/>
          <w:noProof/>
          <w:lang w:val="fr-CA"/>
        </w:rPr>
      </w:pPr>
      <w:r>
        <w:rPr>
          <w:rFonts w:eastAsiaTheme="minorEastAsia"/>
          <w:noProof/>
          <w:szCs w:val="22"/>
          <w:lang w:val="fr-FR" w:eastAsia="en-US"/>
        </w:rPr>
        <w:tab/>
      </w:r>
      <w:r w:rsidRPr="00332A1B">
        <w:rPr>
          <w:rFonts w:eastAsiaTheme="minorEastAsia"/>
          <w:noProof/>
          <w:szCs w:val="22"/>
          <w:lang w:val="fr-CA" w:eastAsia="en-US"/>
        </w:rPr>
        <w:t>Par ailleurs, le principe énoncé par l</w:t>
      </w:r>
      <w:r>
        <w:rPr>
          <w:rFonts w:eastAsiaTheme="minorEastAsia"/>
          <w:noProof/>
          <w:szCs w:val="22"/>
          <w:lang w:val="fr-CA" w:eastAsia="en-US"/>
        </w:rPr>
        <w:t>’</w:t>
      </w:r>
      <w:r w:rsidRPr="00332A1B">
        <w:rPr>
          <w:rFonts w:eastAsiaTheme="minorEastAsia"/>
          <w:noProof/>
          <w:szCs w:val="22"/>
          <w:lang w:val="fr-CA" w:eastAsia="en-US"/>
        </w:rPr>
        <w:t>article 1425 C.c.Q. présuppose qu</w:t>
      </w:r>
      <w:r>
        <w:rPr>
          <w:rFonts w:eastAsiaTheme="minorEastAsia"/>
          <w:noProof/>
          <w:szCs w:val="22"/>
          <w:lang w:val="fr-CA" w:eastAsia="en-US"/>
        </w:rPr>
        <w:t>’</w:t>
      </w:r>
      <w:r w:rsidRPr="00332A1B">
        <w:rPr>
          <w:rFonts w:eastAsiaTheme="minorEastAsia"/>
          <w:noProof/>
          <w:szCs w:val="22"/>
          <w:lang w:val="fr-CA" w:eastAsia="en-US"/>
        </w:rPr>
        <w:t>il y a toujours une intention commune à « découvrir »</w:t>
      </w:r>
      <w:r>
        <w:rPr>
          <w:rFonts w:eastAsiaTheme="minorEastAsia"/>
          <w:noProof/>
          <w:szCs w:val="22"/>
          <w:lang w:val="fr-CA" w:eastAsia="en-US"/>
        </w:rPr>
        <w:t xml:space="preserve">.  </w:t>
      </w:r>
      <w:r w:rsidRPr="00332A1B">
        <w:rPr>
          <w:rFonts w:eastAsiaTheme="minorEastAsia"/>
          <w:noProof/>
          <w:szCs w:val="22"/>
          <w:lang w:val="fr-CA" w:eastAsia="en-US"/>
        </w:rPr>
        <w:t>Or, il n</w:t>
      </w:r>
      <w:r>
        <w:rPr>
          <w:rFonts w:eastAsiaTheme="minorEastAsia"/>
          <w:noProof/>
          <w:szCs w:val="22"/>
          <w:lang w:val="fr-CA" w:eastAsia="en-US"/>
        </w:rPr>
        <w:t>’</w:t>
      </w:r>
      <w:r w:rsidRPr="00332A1B">
        <w:rPr>
          <w:rFonts w:eastAsiaTheme="minorEastAsia"/>
          <w:noProof/>
          <w:szCs w:val="22"/>
          <w:lang w:val="fr-CA" w:eastAsia="en-US"/>
        </w:rPr>
        <w:t>en est pas toujours ainsi</w:t>
      </w:r>
      <w:r>
        <w:rPr>
          <w:rFonts w:eastAsiaTheme="minorEastAsia"/>
          <w:noProof/>
          <w:szCs w:val="22"/>
          <w:lang w:val="fr-CA" w:eastAsia="en-US"/>
        </w:rPr>
        <w:t xml:space="preserve">.  </w:t>
      </w:r>
      <w:r w:rsidRPr="00332A1B">
        <w:rPr>
          <w:rFonts w:eastAsiaTheme="minorEastAsia"/>
          <w:noProof/>
          <w:szCs w:val="22"/>
          <w:lang w:val="fr-CA" w:eastAsia="en-US"/>
        </w:rPr>
        <w:t>Certes, pour qu</w:t>
      </w:r>
      <w:r>
        <w:rPr>
          <w:rFonts w:eastAsiaTheme="minorEastAsia"/>
          <w:noProof/>
          <w:szCs w:val="22"/>
          <w:lang w:val="fr-CA" w:eastAsia="en-US"/>
        </w:rPr>
        <w:t>’</w:t>
      </w:r>
      <w:r w:rsidRPr="00332A1B">
        <w:rPr>
          <w:rFonts w:eastAsiaTheme="minorEastAsia"/>
          <w:noProof/>
          <w:szCs w:val="22"/>
          <w:lang w:val="fr-CA" w:eastAsia="en-US"/>
        </w:rPr>
        <w:t>il y ait contrat, il doit y avoir un minimum d</w:t>
      </w:r>
      <w:r>
        <w:rPr>
          <w:rFonts w:eastAsiaTheme="minorEastAsia"/>
          <w:noProof/>
          <w:szCs w:val="22"/>
          <w:lang w:val="fr-CA" w:eastAsia="en-US"/>
        </w:rPr>
        <w:t>’</w:t>
      </w:r>
      <w:r w:rsidRPr="00332A1B">
        <w:rPr>
          <w:rFonts w:eastAsiaTheme="minorEastAsia"/>
          <w:noProof/>
          <w:szCs w:val="22"/>
          <w:lang w:val="fr-CA" w:eastAsia="en-US"/>
        </w:rPr>
        <w:t>intention commune, mais il peut fort bien arriver que les parties, tout en ayant véritablement une intention commune quant aux éléments essentiels du contrat, se soient également entendues sur certaines clauses accessoires tout en leur donnant cependant chacune en son for intérieur, des interprétations divergentes</w:t>
      </w:r>
      <w:r>
        <w:rPr>
          <w:rFonts w:eastAsiaTheme="minorEastAsia"/>
          <w:noProof/>
          <w:szCs w:val="22"/>
          <w:lang w:val="fr-CA" w:eastAsia="en-US"/>
        </w:rPr>
        <w:t xml:space="preserve">.  </w:t>
      </w:r>
      <w:r w:rsidRPr="00332A1B">
        <w:rPr>
          <w:rFonts w:eastAsiaTheme="minorEastAsia"/>
          <w:noProof/>
          <w:szCs w:val="22"/>
          <w:lang w:val="fr-CA" w:eastAsia="en-US"/>
        </w:rPr>
        <w:t>En un tel cas, on ne peut évidemment pas s</w:t>
      </w:r>
      <w:r>
        <w:rPr>
          <w:rFonts w:eastAsiaTheme="minorEastAsia"/>
          <w:noProof/>
          <w:szCs w:val="22"/>
          <w:lang w:val="fr-CA" w:eastAsia="en-US"/>
        </w:rPr>
        <w:t>’</w:t>
      </w:r>
      <w:r w:rsidRPr="00332A1B">
        <w:rPr>
          <w:rFonts w:eastAsiaTheme="minorEastAsia"/>
          <w:noProof/>
          <w:szCs w:val="22"/>
          <w:lang w:val="fr-CA" w:eastAsia="en-US"/>
        </w:rPr>
        <w:t>en remettre à l</w:t>
      </w:r>
      <w:r>
        <w:rPr>
          <w:rFonts w:eastAsiaTheme="minorEastAsia"/>
          <w:noProof/>
          <w:szCs w:val="22"/>
          <w:lang w:val="fr-CA" w:eastAsia="en-US"/>
        </w:rPr>
        <w:t>’</w:t>
      </w:r>
      <w:r w:rsidRPr="00332A1B">
        <w:rPr>
          <w:rFonts w:eastAsiaTheme="minorEastAsia"/>
          <w:noProof/>
          <w:szCs w:val="22"/>
          <w:lang w:val="fr-CA" w:eastAsia="en-US"/>
        </w:rPr>
        <w:t>intention commune des parties puisqu</w:t>
      </w:r>
      <w:r>
        <w:rPr>
          <w:rFonts w:eastAsiaTheme="minorEastAsia"/>
          <w:noProof/>
          <w:szCs w:val="22"/>
          <w:lang w:val="fr-CA" w:eastAsia="en-US"/>
        </w:rPr>
        <w:t>’</w:t>
      </w:r>
      <w:r w:rsidRPr="00332A1B">
        <w:rPr>
          <w:rFonts w:eastAsiaTheme="minorEastAsia"/>
          <w:noProof/>
          <w:szCs w:val="22"/>
          <w:lang w:val="fr-CA" w:eastAsia="en-US"/>
        </w:rPr>
        <w:t>il n</w:t>
      </w:r>
      <w:r>
        <w:rPr>
          <w:rFonts w:eastAsiaTheme="minorEastAsia"/>
          <w:noProof/>
          <w:szCs w:val="22"/>
          <w:lang w:val="fr-CA" w:eastAsia="en-US"/>
        </w:rPr>
        <w:t>’</w:t>
      </w:r>
      <w:r w:rsidRPr="00332A1B">
        <w:rPr>
          <w:rFonts w:eastAsiaTheme="minorEastAsia"/>
          <w:noProof/>
          <w:szCs w:val="22"/>
          <w:lang w:val="fr-CA" w:eastAsia="en-US"/>
        </w:rPr>
        <w:t>y en a pas</w:t>
      </w:r>
      <w:r>
        <w:rPr>
          <w:rFonts w:eastAsiaTheme="minorEastAsia"/>
          <w:noProof/>
          <w:szCs w:val="22"/>
          <w:lang w:val="fr-CA" w:eastAsia="en-US"/>
        </w:rPr>
        <w:t xml:space="preserve">.  </w:t>
      </w:r>
      <w:r w:rsidRPr="00332A1B">
        <w:rPr>
          <w:rFonts w:eastAsiaTheme="minorEastAsia"/>
          <w:noProof/>
          <w:szCs w:val="22"/>
          <w:lang w:val="fr-CA" w:eastAsia="en-US"/>
        </w:rPr>
        <w:t>On n</w:t>
      </w:r>
      <w:r>
        <w:rPr>
          <w:rFonts w:eastAsiaTheme="minorEastAsia"/>
          <w:noProof/>
          <w:szCs w:val="22"/>
          <w:lang w:val="fr-CA" w:eastAsia="en-US"/>
        </w:rPr>
        <w:t>’</w:t>
      </w:r>
      <w:r w:rsidRPr="00332A1B">
        <w:rPr>
          <w:rFonts w:eastAsiaTheme="minorEastAsia"/>
          <w:noProof/>
          <w:szCs w:val="22"/>
          <w:lang w:val="fr-CA" w:eastAsia="en-US"/>
        </w:rPr>
        <w:t>a alors pas d</w:t>
      </w:r>
      <w:r>
        <w:rPr>
          <w:rFonts w:eastAsiaTheme="minorEastAsia"/>
          <w:noProof/>
          <w:szCs w:val="22"/>
          <w:lang w:val="fr-CA" w:eastAsia="en-US"/>
        </w:rPr>
        <w:t>’</w:t>
      </w:r>
      <w:r w:rsidRPr="00332A1B">
        <w:rPr>
          <w:rFonts w:eastAsiaTheme="minorEastAsia"/>
          <w:noProof/>
          <w:szCs w:val="22"/>
          <w:lang w:val="fr-CA" w:eastAsia="en-US"/>
        </w:rPr>
        <w:t>autre choix que de s</w:t>
      </w:r>
      <w:r>
        <w:rPr>
          <w:rFonts w:eastAsiaTheme="minorEastAsia"/>
          <w:noProof/>
          <w:szCs w:val="22"/>
          <w:lang w:val="fr-CA" w:eastAsia="en-US"/>
        </w:rPr>
        <w:t>’</w:t>
      </w:r>
      <w:r w:rsidRPr="00332A1B">
        <w:rPr>
          <w:rFonts w:eastAsiaTheme="minorEastAsia"/>
          <w:noProof/>
          <w:szCs w:val="22"/>
          <w:lang w:val="fr-CA" w:eastAsia="en-US"/>
        </w:rPr>
        <w:t>en remettre à l</w:t>
      </w:r>
      <w:r>
        <w:rPr>
          <w:rFonts w:eastAsiaTheme="minorEastAsia"/>
          <w:noProof/>
          <w:szCs w:val="22"/>
          <w:lang w:val="fr-CA" w:eastAsia="en-US"/>
        </w:rPr>
        <w:t>’</w:t>
      </w:r>
      <w:r w:rsidRPr="00332A1B">
        <w:rPr>
          <w:rFonts w:eastAsiaTheme="minorEastAsia"/>
          <w:noProof/>
          <w:szCs w:val="22"/>
          <w:lang w:val="fr-CA" w:eastAsia="en-US"/>
        </w:rPr>
        <w:t>interprétation qui se concilie le mieux au reste du contrat et aux circonstances ayant entouré sa conclusion</w:t>
      </w:r>
      <w:r>
        <w:rPr>
          <w:rFonts w:eastAsiaTheme="minorEastAsia"/>
          <w:noProof/>
          <w:szCs w:val="22"/>
          <w:lang w:val="fr-CA" w:eastAsia="en-US"/>
        </w:rPr>
        <w:t xml:space="preserve">.  </w:t>
      </w:r>
      <w:r w:rsidRPr="00332A1B">
        <w:rPr>
          <w:rFonts w:eastAsiaTheme="minorEastAsia"/>
          <w:noProof/>
          <w:szCs w:val="22"/>
          <w:lang w:val="fr-CA" w:eastAsia="en-US"/>
        </w:rPr>
        <w:t>[par</w:t>
      </w:r>
      <w:r w:rsidR="00A0307B">
        <w:rPr>
          <w:rFonts w:eastAsiaTheme="minorEastAsia"/>
          <w:noProof/>
          <w:szCs w:val="22"/>
          <w:lang w:val="fr-CA" w:eastAsia="en-US"/>
        </w:rPr>
        <w:t xml:space="preserve">. </w:t>
      </w:r>
      <w:r w:rsidRPr="00332A1B">
        <w:rPr>
          <w:rFonts w:eastAsiaTheme="minorEastAsia"/>
          <w:noProof/>
          <w:szCs w:val="22"/>
          <w:lang w:val="fr-CA" w:eastAsia="en-US"/>
        </w:rPr>
        <w:t>59</w:t>
      </w:r>
      <w:r w:rsidR="00A0307B">
        <w:rPr>
          <w:rFonts w:eastAsiaTheme="minorEastAsia"/>
          <w:noProof/>
          <w:szCs w:val="22"/>
          <w:lang w:val="fr-CA" w:eastAsia="en-US"/>
        </w:rPr>
        <w:t>-</w:t>
      </w:r>
      <w:r w:rsidRPr="00332A1B">
        <w:rPr>
          <w:rFonts w:eastAsiaTheme="minorEastAsia"/>
          <w:noProof/>
          <w:szCs w:val="22"/>
          <w:lang w:val="fr-CA" w:eastAsia="en-US"/>
        </w:rPr>
        <w:t>60</w:t>
      </w:r>
      <w:r w:rsidRPr="002F0AB3">
        <w:rPr>
          <w:rFonts w:eastAsiaTheme="minorEastAsia"/>
          <w:noProof/>
          <w:szCs w:val="22"/>
          <w:lang w:val="fr-CA" w:eastAsia="en-US"/>
        </w:rPr>
        <w:t>]</w:t>
      </w:r>
    </w:p>
    <w:p w:rsidR="00F3157A" w:rsidRPr="00332A1B" w:rsidRDefault="00F3157A" w:rsidP="00A0307B">
      <w:pPr>
        <w:pStyle w:val="ParaNoNdepar-AltN"/>
        <w:rPr>
          <w:rFonts w:cs="Times New Roman"/>
          <w:noProof/>
          <w:lang w:val="fr-CA"/>
        </w:rPr>
      </w:pPr>
      <w:r w:rsidRPr="00332A1B">
        <w:rPr>
          <w:rFonts w:cs="Times New Roman"/>
          <w:noProof/>
          <w:lang w:val="fr-CA"/>
        </w:rPr>
        <w:t>Notre Cour a également confirmé cette approche dans l</w:t>
      </w:r>
      <w:r>
        <w:rPr>
          <w:rFonts w:cs="Times New Roman"/>
          <w:noProof/>
          <w:lang w:val="fr-CA"/>
        </w:rPr>
        <w:t>’</w:t>
      </w:r>
      <w:r w:rsidRPr="00332A1B">
        <w:rPr>
          <w:rFonts w:cs="Times New Roman"/>
          <w:noProof/>
          <w:lang w:val="fr-CA"/>
        </w:rPr>
        <w:t xml:space="preserve">arrêt </w:t>
      </w:r>
      <w:r w:rsidRPr="00332A1B">
        <w:rPr>
          <w:rFonts w:cs="Times New Roman"/>
          <w:i/>
          <w:iCs/>
          <w:noProof/>
          <w:lang w:val="fr-CA"/>
        </w:rPr>
        <w:t>Québec (Agence du revenu) c. Services Environnementaux AES inc.</w:t>
      </w:r>
      <w:r w:rsidRPr="00332A1B">
        <w:rPr>
          <w:rFonts w:cs="Times New Roman"/>
          <w:noProof/>
          <w:lang w:val="fr-CA"/>
        </w:rPr>
        <w:t>, 2013 CSC 65, [2013] 3 R.C.S. 838 : « </w:t>
      </w:r>
      <w:r w:rsidR="00DC3536">
        <w:rPr>
          <w:rFonts w:cs="Times New Roman"/>
          <w:noProof/>
          <w:lang w:val="fr-CA"/>
        </w:rPr>
        <w:t xml:space="preserve">. . . </w:t>
      </w:r>
      <w:r w:rsidRPr="00332A1B">
        <w:rPr>
          <w:rFonts w:cs="Times New Roman"/>
          <w:noProof/>
          <w:lang w:val="fr-CA"/>
        </w:rPr>
        <w:t>la recherche de l</w:t>
      </w:r>
      <w:r>
        <w:rPr>
          <w:rFonts w:cs="Times New Roman"/>
          <w:noProof/>
          <w:lang w:val="fr-CA"/>
        </w:rPr>
        <w:t>’</w:t>
      </w:r>
      <w:r w:rsidRPr="00332A1B">
        <w:rPr>
          <w:rFonts w:cs="Times New Roman"/>
          <w:noProof/>
          <w:lang w:val="fr-CA"/>
        </w:rPr>
        <w:t>intention ou volonté commune des parties représente une véritable opération d</w:t>
      </w:r>
      <w:r>
        <w:rPr>
          <w:rFonts w:cs="Times New Roman"/>
          <w:noProof/>
          <w:lang w:val="fr-CA"/>
        </w:rPr>
        <w:t>’</w:t>
      </w:r>
      <w:r w:rsidRPr="00332A1B">
        <w:rPr>
          <w:rFonts w:cs="Times New Roman"/>
          <w:noProof/>
          <w:lang w:val="fr-CA"/>
        </w:rPr>
        <w:t>interprétation » (par</w:t>
      </w:r>
      <w:r w:rsidR="00A0307B">
        <w:rPr>
          <w:rFonts w:cs="Times New Roman"/>
          <w:noProof/>
          <w:lang w:val="fr-CA"/>
        </w:rPr>
        <w:t xml:space="preserve">. </w:t>
      </w:r>
      <w:r w:rsidRPr="00332A1B">
        <w:rPr>
          <w:rFonts w:cs="Times New Roman"/>
          <w:noProof/>
          <w:lang w:val="fr-CA"/>
        </w:rPr>
        <w:t>48; voir aussi D</w:t>
      </w:r>
      <w:r w:rsidR="00A0307B">
        <w:rPr>
          <w:rFonts w:cs="Times New Roman"/>
          <w:noProof/>
          <w:lang w:val="fr-CA"/>
        </w:rPr>
        <w:t xml:space="preserve">. </w:t>
      </w:r>
      <w:r w:rsidRPr="00332A1B">
        <w:rPr>
          <w:rFonts w:cs="Times New Roman"/>
          <w:noProof/>
          <w:lang w:val="fr-CA"/>
        </w:rPr>
        <w:t>Lluelles et B</w:t>
      </w:r>
      <w:r w:rsidR="00A0307B">
        <w:rPr>
          <w:rFonts w:cs="Times New Roman"/>
          <w:noProof/>
          <w:lang w:val="fr-CA"/>
        </w:rPr>
        <w:t xml:space="preserve">. </w:t>
      </w:r>
      <w:r w:rsidRPr="00332A1B">
        <w:rPr>
          <w:rFonts w:cs="Times New Roman"/>
          <w:noProof/>
          <w:lang w:val="fr-CA"/>
        </w:rPr>
        <w:t xml:space="preserve">Moore, </w:t>
      </w:r>
      <w:r w:rsidRPr="00332A1B">
        <w:rPr>
          <w:rFonts w:cs="Times New Roman"/>
          <w:i/>
          <w:iCs/>
          <w:noProof/>
          <w:lang w:val="fr-CA"/>
        </w:rPr>
        <w:t>Droit des obligations</w:t>
      </w:r>
      <w:r w:rsidRPr="00332A1B">
        <w:rPr>
          <w:rFonts w:cs="Times New Roman"/>
          <w:noProof/>
          <w:lang w:val="fr-CA"/>
        </w:rPr>
        <w:t xml:space="preserve"> (2</w:t>
      </w:r>
      <w:r w:rsidRPr="00DC3536">
        <w:rPr>
          <w:rFonts w:cs="Times New Roman"/>
          <w:noProof/>
          <w:vertAlign w:val="superscript"/>
          <w:lang w:val="fr-CA"/>
        </w:rPr>
        <w:t>e</w:t>
      </w:r>
      <w:r w:rsidRPr="00332A1B">
        <w:rPr>
          <w:rFonts w:cs="Times New Roman"/>
          <w:noProof/>
          <w:lang w:val="fr-CA"/>
        </w:rPr>
        <w:t> éd. 2012), par</w:t>
      </w:r>
      <w:r w:rsidR="00A0307B">
        <w:rPr>
          <w:rFonts w:cs="Times New Roman"/>
          <w:noProof/>
          <w:lang w:val="fr-CA"/>
        </w:rPr>
        <w:t xml:space="preserve">. </w:t>
      </w:r>
      <w:r w:rsidRPr="00332A1B">
        <w:rPr>
          <w:rFonts w:cs="Times New Roman"/>
          <w:noProof/>
          <w:lang w:val="fr-CA"/>
        </w:rPr>
        <w:t>1587</w:t>
      </w:r>
      <w:r w:rsidR="00A0307B">
        <w:rPr>
          <w:rFonts w:cs="Times New Roman"/>
          <w:noProof/>
          <w:lang w:val="fr-CA"/>
        </w:rPr>
        <w:t>-</w:t>
      </w:r>
      <w:r w:rsidRPr="00332A1B">
        <w:rPr>
          <w:rFonts w:cs="Times New Roman"/>
          <w:noProof/>
          <w:lang w:val="fr-CA"/>
        </w:rPr>
        <w:t>1590; S</w:t>
      </w:r>
      <w:r w:rsidR="00A0307B">
        <w:rPr>
          <w:rFonts w:cs="Times New Roman"/>
          <w:noProof/>
          <w:lang w:val="fr-CA"/>
        </w:rPr>
        <w:t xml:space="preserve">. </w:t>
      </w:r>
      <w:r w:rsidRPr="00332A1B">
        <w:rPr>
          <w:rFonts w:cs="Times New Roman"/>
          <w:noProof/>
          <w:lang w:val="fr-CA"/>
        </w:rPr>
        <w:t>Grammond, A.</w:t>
      </w:r>
      <w:r w:rsidR="00A0307B">
        <w:rPr>
          <w:rFonts w:cs="Times New Roman"/>
          <w:noProof/>
          <w:lang w:val="fr-CA"/>
        </w:rPr>
        <w:t>-</w:t>
      </w:r>
      <w:r w:rsidRPr="00332A1B">
        <w:rPr>
          <w:rFonts w:cs="Times New Roman"/>
          <w:noProof/>
          <w:lang w:val="fr-CA"/>
        </w:rPr>
        <w:t>F</w:t>
      </w:r>
      <w:r w:rsidR="00A0307B">
        <w:rPr>
          <w:rFonts w:cs="Times New Roman"/>
          <w:noProof/>
          <w:lang w:val="fr-CA"/>
        </w:rPr>
        <w:t xml:space="preserve">. </w:t>
      </w:r>
      <w:r w:rsidRPr="00332A1B">
        <w:rPr>
          <w:rFonts w:cs="Times New Roman"/>
          <w:noProof/>
          <w:lang w:val="fr-CA"/>
        </w:rPr>
        <w:t>Debruche et Y</w:t>
      </w:r>
      <w:r w:rsidR="00A0307B">
        <w:rPr>
          <w:rFonts w:cs="Times New Roman"/>
          <w:noProof/>
          <w:lang w:val="fr-CA"/>
        </w:rPr>
        <w:t xml:space="preserve">. </w:t>
      </w:r>
      <w:r w:rsidRPr="00332A1B">
        <w:rPr>
          <w:rFonts w:cs="Times New Roman"/>
          <w:noProof/>
          <w:lang w:val="fr-CA"/>
        </w:rPr>
        <w:t xml:space="preserve">Campagnolo, </w:t>
      </w:r>
      <w:r w:rsidRPr="00332A1B">
        <w:rPr>
          <w:rFonts w:cs="Times New Roman"/>
          <w:i/>
          <w:iCs/>
          <w:noProof/>
          <w:lang w:val="fr-CA"/>
        </w:rPr>
        <w:t>Quebec Contract Law</w:t>
      </w:r>
      <w:r w:rsidRPr="00332A1B">
        <w:rPr>
          <w:rFonts w:cs="Times New Roman"/>
          <w:iCs/>
          <w:noProof/>
          <w:lang w:val="fr-CA"/>
        </w:rPr>
        <w:t xml:space="preserve"> (2011),</w:t>
      </w:r>
      <w:r w:rsidRPr="00332A1B">
        <w:rPr>
          <w:rFonts w:cs="Times New Roman"/>
          <w:noProof/>
          <w:lang w:val="fr-CA"/>
        </w:rPr>
        <w:t xml:space="preserve"> par</w:t>
      </w:r>
      <w:r w:rsidR="00A0307B">
        <w:rPr>
          <w:rFonts w:cs="Times New Roman"/>
          <w:noProof/>
          <w:lang w:val="fr-CA"/>
        </w:rPr>
        <w:t xml:space="preserve">. </w:t>
      </w:r>
      <w:r w:rsidRPr="00332A1B">
        <w:rPr>
          <w:rFonts w:cs="Times New Roman"/>
          <w:noProof/>
          <w:lang w:val="fr-CA"/>
        </w:rPr>
        <w:t>297</w:t>
      </w:r>
      <w:r w:rsidR="00A0307B">
        <w:rPr>
          <w:rFonts w:cs="Times New Roman"/>
          <w:noProof/>
          <w:lang w:val="fr-CA"/>
        </w:rPr>
        <w:t>-</w:t>
      </w:r>
      <w:r w:rsidRPr="00332A1B">
        <w:rPr>
          <w:rFonts w:cs="Times New Roman"/>
          <w:noProof/>
          <w:lang w:val="fr-CA"/>
        </w:rPr>
        <w:t>301).</w:t>
      </w:r>
    </w:p>
    <w:p w:rsidR="00F3157A" w:rsidRPr="00332A1B" w:rsidRDefault="00F3157A" w:rsidP="00A0307B">
      <w:pPr>
        <w:pStyle w:val="ParaNoNdepar-AltN"/>
        <w:rPr>
          <w:rFonts w:cs="Times New Roman"/>
          <w:noProof/>
          <w:lang w:val="fr-CA"/>
        </w:rPr>
      </w:pPr>
      <w:r w:rsidRPr="00332A1B">
        <w:rPr>
          <w:rFonts w:cs="Times New Roman"/>
          <w:noProof/>
          <w:lang w:val="fr-CA"/>
        </w:rPr>
        <w:t>De toute évidence, le contrat de médiation en cause en l</w:t>
      </w:r>
      <w:r>
        <w:rPr>
          <w:rFonts w:cs="Times New Roman"/>
          <w:noProof/>
          <w:lang w:val="fr-CA"/>
        </w:rPr>
        <w:t>’</w:t>
      </w:r>
      <w:r w:rsidRPr="00332A1B">
        <w:rPr>
          <w:rFonts w:cs="Times New Roman"/>
          <w:noProof/>
          <w:lang w:val="fr-CA"/>
        </w:rPr>
        <w:t>espèce montre une intention commune des parties de respecter le caractère confidentiel de tout ce qui peut être dit ou écrit au cours de la médiation.  Or, la question qui se pose est plus précise et porte sur un élément accessoire du contrat, pour lequel l</w:t>
      </w:r>
      <w:r>
        <w:rPr>
          <w:rFonts w:cs="Times New Roman"/>
          <w:noProof/>
          <w:lang w:val="fr-CA"/>
        </w:rPr>
        <w:t>’</w:t>
      </w:r>
      <w:r w:rsidRPr="00332A1B">
        <w:rPr>
          <w:rFonts w:cs="Times New Roman"/>
          <w:noProof/>
          <w:lang w:val="fr-CA"/>
        </w:rPr>
        <w:t>intention commune des parties n</w:t>
      </w:r>
      <w:r>
        <w:rPr>
          <w:rFonts w:cs="Times New Roman"/>
          <w:noProof/>
          <w:lang w:val="fr-CA"/>
        </w:rPr>
        <w:t>’</w:t>
      </w:r>
      <w:r w:rsidRPr="00332A1B">
        <w:rPr>
          <w:rFonts w:cs="Times New Roman"/>
          <w:noProof/>
          <w:lang w:val="fr-CA"/>
        </w:rPr>
        <w:t>est pas évidente à première vue : la clause de confidentialité devait</w:t>
      </w:r>
      <w:r w:rsidR="00A0307B">
        <w:rPr>
          <w:rFonts w:cs="Times New Roman"/>
          <w:noProof/>
          <w:lang w:val="fr-CA"/>
        </w:rPr>
        <w:t>-</w:t>
      </w:r>
      <w:r w:rsidRPr="00332A1B">
        <w:rPr>
          <w:rFonts w:cs="Times New Roman"/>
          <w:noProof/>
          <w:lang w:val="fr-CA"/>
        </w:rPr>
        <w:t>elle prévoir une protection plus étendue que celle qu</w:t>
      </w:r>
      <w:r>
        <w:rPr>
          <w:rFonts w:cs="Times New Roman"/>
          <w:noProof/>
          <w:lang w:val="fr-CA"/>
        </w:rPr>
        <w:t>’</w:t>
      </w:r>
      <w:r w:rsidRPr="00332A1B">
        <w:rPr>
          <w:rFonts w:cs="Times New Roman"/>
          <w:noProof/>
          <w:lang w:val="fr-CA"/>
        </w:rPr>
        <w:t>offre le privilège relatif aux règlements de la common law et, plus précisément, devait</w:t>
      </w:r>
      <w:r w:rsidR="00A0307B">
        <w:rPr>
          <w:rFonts w:cs="Times New Roman"/>
          <w:noProof/>
          <w:lang w:val="fr-CA"/>
        </w:rPr>
        <w:t>-</w:t>
      </w:r>
      <w:r w:rsidRPr="00332A1B">
        <w:rPr>
          <w:rFonts w:cs="Times New Roman"/>
          <w:noProof/>
          <w:lang w:val="fr-CA"/>
        </w:rPr>
        <w:t>elle écarter l</w:t>
      </w:r>
      <w:r>
        <w:rPr>
          <w:rFonts w:cs="Times New Roman"/>
          <w:noProof/>
          <w:lang w:val="fr-CA"/>
        </w:rPr>
        <w:t>’</w:t>
      </w:r>
      <w:r w:rsidRPr="00332A1B">
        <w:rPr>
          <w:rFonts w:cs="Times New Roman"/>
          <w:noProof/>
          <w:lang w:val="fr-CA"/>
        </w:rPr>
        <w:t xml:space="preserve">exception </w:t>
      </w:r>
      <w:r w:rsidRPr="00332A1B">
        <w:rPr>
          <w:rFonts w:cs="Times New Roman"/>
          <w:noProof/>
          <w:lang w:val="fr-CA"/>
        </w:rPr>
        <w:lastRenderedPageBreak/>
        <w:t>à ce privilège qui s</w:t>
      </w:r>
      <w:r>
        <w:rPr>
          <w:rFonts w:cs="Times New Roman"/>
          <w:noProof/>
          <w:lang w:val="fr-CA"/>
        </w:rPr>
        <w:t>’</w:t>
      </w:r>
      <w:r w:rsidRPr="00332A1B">
        <w:rPr>
          <w:rFonts w:cs="Times New Roman"/>
          <w:noProof/>
          <w:lang w:val="fr-CA"/>
        </w:rPr>
        <w:t>applique lorsqu</w:t>
      </w:r>
      <w:r>
        <w:rPr>
          <w:rFonts w:cs="Times New Roman"/>
          <w:noProof/>
          <w:lang w:val="fr-CA"/>
        </w:rPr>
        <w:t>’</w:t>
      </w:r>
      <w:r w:rsidRPr="00332A1B">
        <w:rPr>
          <w:rFonts w:cs="Times New Roman"/>
          <w:noProof/>
          <w:lang w:val="fr-CA"/>
        </w:rPr>
        <w:t>une partie cherche à faire la preuve de l</w:t>
      </w:r>
      <w:r>
        <w:rPr>
          <w:rFonts w:cs="Times New Roman"/>
          <w:noProof/>
          <w:lang w:val="fr-CA"/>
        </w:rPr>
        <w:t>’</w:t>
      </w:r>
      <w:r w:rsidRPr="00332A1B">
        <w:rPr>
          <w:rFonts w:cs="Times New Roman"/>
          <w:noProof/>
          <w:lang w:val="fr-CA"/>
        </w:rPr>
        <w:t>existence ou de la portée d</w:t>
      </w:r>
      <w:r>
        <w:rPr>
          <w:rFonts w:cs="Times New Roman"/>
          <w:noProof/>
          <w:lang w:val="fr-CA"/>
        </w:rPr>
        <w:t>’</w:t>
      </w:r>
      <w:r w:rsidRPr="00332A1B">
        <w:rPr>
          <w:rFonts w:cs="Times New Roman"/>
          <w:noProof/>
          <w:lang w:val="fr-CA"/>
        </w:rPr>
        <w:t>un règlement?  J</w:t>
      </w:r>
      <w:r>
        <w:rPr>
          <w:rFonts w:cs="Times New Roman"/>
          <w:noProof/>
          <w:lang w:val="fr-CA"/>
        </w:rPr>
        <w:t>’</w:t>
      </w:r>
      <w:r w:rsidRPr="00332A1B">
        <w:rPr>
          <w:rFonts w:cs="Times New Roman"/>
          <w:noProof/>
          <w:lang w:val="fr-CA"/>
        </w:rPr>
        <w:t>estime qu</w:t>
      </w:r>
      <w:r>
        <w:rPr>
          <w:rFonts w:cs="Times New Roman"/>
          <w:noProof/>
          <w:lang w:val="fr-CA"/>
        </w:rPr>
        <w:t>’</w:t>
      </w:r>
      <w:r w:rsidRPr="00332A1B">
        <w:rPr>
          <w:rFonts w:cs="Times New Roman"/>
          <w:noProof/>
          <w:lang w:val="fr-CA"/>
        </w:rPr>
        <w:t>il ressort de l</w:t>
      </w:r>
      <w:r>
        <w:rPr>
          <w:rFonts w:cs="Times New Roman"/>
          <w:noProof/>
          <w:lang w:val="fr-CA"/>
        </w:rPr>
        <w:t>’</w:t>
      </w:r>
      <w:r w:rsidRPr="00332A1B">
        <w:rPr>
          <w:rFonts w:cs="Times New Roman"/>
          <w:noProof/>
          <w:lang w:val="fr-CA"/>
        </w:rPr>
        <w:t>examen de la nature du contrat, des circonstances dans lesquelles il a été conclu, ainsi que du contrat dans son ensemble que les parties n</w:t>
      </w:r>
      <w:r>
        <w:rPr>
          <w:rFonts w:cs="Times New Roman"/>
          <w:noProof/>
          <w:lang w:val="fr-CA"/>
        </w:rPr>
        <w:t>’</w:t>
      </w:r>
      <w:r w:rsidRPr="00332A1B">
        <w:rPr>
          <w:rFonts w:cs="Times New Roman"/>
          <w:noProof/>
          <w:lang w:val="fr-CA"/>
        </w:rPr>
        <w:t>avaient pas l</w:t>
      </w:r>
      <w:r>
        <w:rPr>
          <w:rFonts w:cs="Times New Roman"/>
          <w:noProof/>
          <w:lang w:val="fr-CA"/>
        </w:rPr>
        <w:t>’</w:t>
      </w:r>
      <w:r w:rsidRPr="00332A1B">
        <w:rPr>
          <w:rFonts w:cs="Times New Roman"/>
          <w:noProof/>
          <w:lang w:val="fr-CA"/>
        </w:rPr>
        <w:t>intention de passer outre à la règle habituelle voulant que le privilège relatif aux règlements soit écarté afin de faire la preuve des modalités d</w:t>
      </w:r>
      <w:r>
        <w:rPr>
          <w:rFonts w:cs="Times New Roman"/>
          <w:noProof/>
          <w:lang w:val="fr-CA"/>
        </w:rPr>
        <w:t>’</w:t>
      </w:r>
      <w:r w:rsidRPr="00332A1B">
        <w:rPr>
          <w:rFonts w:cs="Times New Roman"/>
          <w:noProof/>
          <w:lang w:val="fr-CA"/>
        </w:rPr>
        <w:t>un règlement.</w:t>
      </w:r>
    </w:p>
    <w:p w:rsidR="00F3157A" w:rsidRPr="00332A1B" w:rsidRDefault="00F3157A" w:rsidP="00A0307B">
      <w:pPr>
        <w:pStyle w:val="ParaNoNdepar-AltN"/>
        <w:rPr>
          <w:rFonts w:cs="Times New Roman"/>
          <w:noProof/>
          <w:lang w:val="fr-CA"/>
        </w:rPr>
      </w:pPr>
      <w:r w:rsidRPr="00332A1B">
        <w:rPr>
          <w:rFonts w:cs="Times New Roman"/>
          <w:noProof/>
          <w:lang w:val="fr-CA"/>
        </w:rPr>
        <w:t>De par sa nature, le contrat est une entente de médiation signée la veille de la séance de médiation visant apparemment à régler le différend qui faisait l</w:t>
      </w:r>
      <w:r>
        <w:rPr>
          <w:rFonts w:cs="Times New Roman"/>
          <w:noProof/>
          <w:lang w:val="fr-CA"/>
        </w:rPr>
        <w:t>’</w:t>
      </w:r>
      <w:r w:rsidRPr="00332A1B">
        <w:rPr>
          <w:rFonts w:cs="Times New Roman"/>
          <w:noProof/>
          <w:lang w:val="fr-CA"/>
        </w:rPr>
        <w:t>objet d</w:t>
      </w:r>
      <w:r>
        <w:rPr>
          <w:rFonts w:cs="Times New Roman"/>
          <w:noProof/>
          <w:lang w:val="fr-CA"/>
        </w:rPr>
        <w:t>’</w:t>
      </w:r>
      <w:r w:rsidRPr="00332A1B">
        <w:rPr>
          <w:rFonts w:cs="Times New Roman"/>
          <w:noProof/>
          <w:lang w:val="fr-CA"/>
        </w:rPr>
        <w:t>une action devant la Cour supérieure du Québec.  Le mot « règlement » apparaît à deux reprises dans l</w:t>
      </w:r>
      <w:r>
        <w:rPr>
          <w:rFonts w:cs="Times New Roman"/>
          <w:noProof/>
          <w:lang w:val="fr-CA"/>
        </w:rPr>
        <w:t>’</w:t>
      </w:r>
      <w:r w:rsidRPr="00332A1B">
        <w:rPr>
          <w:rFonts w:cs="Times New Roman"/>
          <w:noProof/>
          <w:lang w:val="fr-CA"/>
        </w:rPr>
        <w:t>entente de médiation</w:t>
      </w:r>
      <w:r w:rsidR="00C51A85">
        <w:rPr>
          <w:rFonts w:cs="Times New Roman"/>
          <w:noProof/>
          <w:lang w:val="fr-CA"/>
        </w:rPr>
        <w:t xml:space="preserve">, </w:t>
      </w:r>
      <w:r w:rsidRPr="00332A1B">
        <w:rPr>
          <w:rFonts w:cs="Times New Roman"/>
          <w:noProof/>
          <w:lang w:val="fr-CA"/>
        </w:rPr>
        <w:t>premièrement dans une clause relative au médiateur selon laquelle [</w:t>
      </w:r>
      <w:r w:rsidRPr="00332A1B">
        <w:rPr>
          <w:rFonts w:cs="Times New Roman"/>
          <w:smallCaps/>
          <w:noProof/>
          <w:lang w:val="fr-CA"/>
        </w:rPr>
        <w:t>traduction</w:t>
      </w:r>
      <w:r w:rsidRPr="00332A1B">
        <w:rPr>
          <w:rFonts w:cs="Times New Roman"/>
          <w:noProof/>
          <w:lang w:val="fr-CA"/>
        </w:rPr>
        <w:t>] « </w:t>
      </w:r>
      <w:r w:rsidRPr="00332A1B">
        <w:rPr>
          <w:rFonts w:cs="Times New Roman"/>
          <w:noProof/>
          <w:lang w:val="fr-FR"/>
        </w:rPr>
        <w:t>[l]</w:t>
      </w:r>
      <w:r w:rsidRPr="00332A1B">
        <w:rPr>
          <w:rFonts w:cs="Times New Roman"/>
          <w:noProof/>
          <w:lang w:val="fr-CA"/>
        </w:rPr>
        <w:t>e médiateur n</w:t>
      </w:r>
      <w:r>
        <w:rPr>
          <w:rFonts w:cs="Times New Roman"/>
          <w:noProof/>
          <w:lang w:val="fr-CA"/>
        </w:rPr>
        <w:t>’</w:t>
      </w:r>
      <w:r w:rsidRPr="00332A1B">
        <w:rPr>
          <w:rFonts w:cs="Times New Roman"/>
          <w:noProof/>
          <w:lang w:val="fr-CA"/>
        </w:rPr>
        <w:t>aura aucun pouvoir décisionnel; son rôle consiste simplement à aider les parties à arriver à un règlement de leur différend », et deuxièmement, lorsque le médiateur écrit en conclusion : « </w:t>
      </w:r>
      <w:r w:rsidR="00DC3536">
        <w:rPr>
          <w:rFonts w:cs="Times New Roman"/>
          <w:noProof/>
          <w:lang w:val="fr-FR"/>
        </w:rPr>
        <w:t>J</w:t>
      </w:r>
      <w:r w:rsidRPr="00332A1B">
        <w:rPr>
          <w:rFonts w:cs="Times New Roman"/>
          <w:noProof/>
          <w:lang w:val="fr-CA"/>
        </w:rPr>
        <w:t>e serai heureux de travailler avec vous et j</w:t>
      </w:r>
      <w:r>
        <w:rPr>
          <w:rFonts w:cs="Times New Roman"/>
          <w:noProof/>
          <w:lang w:val="fr-CA"/>
        </w:rPr>
        <w:t>’</w:t>
      </w:r>
      <w:r w:rsidRPr="00332A1B">
        <w:rPr>
          <w:rFonts w:cs="Times New Roman"/>
          <w:noProof/>
          <w:lang w:val="fr-CA"/>
        </w:rPr>
        <w:t>espère que la médiation mèn</w:t>
      </w:r>
      <w:r w:rsidR="00C51A85">
        <w:rPr>
          <w:rFonts w:cs="Times New Roman"/>
          <w:noProof/>
          <w:lang w:val="fr-CA"/>
        </w:rPr>
        <w:t>era au règlement du différend. »</w:t>
      </w:r>
      <w:r w:rsidRPr="00332A1B">
        <w:rPr>
          <w:rFonts w:cs="Times New Roman"/>
          <w:noProof/>
          <w:lang w:val="fr-CA"/>
        </w:rPr>
        <w:t xml:space="preserve"> </w:t>
      </w:r>
    </w:p>
    <w:p w:rsidR="00F3157A" w:rsidRPr="00332A1B" w:rsidRDefault="00F3157A" w:rsidP="00A0307B">
      <w:pPr>
        <w:pStyle w:val="ParaNoNdepar-AltN"/>
        <w:rPr>
          <w:rFonts w:cs="Times New Roman"/>
          <w:noProof/>
          <w:lang w:val="fr-CA"/>
        </w:rPr>
      </w:pPr>
      <w:r w:rsidRPr="00332A1B">
        <w:rPr>
          <w:rFonts w:cs="Times New Roman"/>
          <w:noProof/>
          <w:lang w:val="fr-CA"/>
        </w:rPr>
        <w:t>La nature du contrat est liée aux circonstances dans lesquelles celui</w:t>
      </w:r>
      <w:r w:rsidR="00A0307B">
        <w:rPr>
          <w:rFonts w:cs="Times New Roman"/>
          <w:noProof/>
          <w:lang w:val="fr-CA"/>
        </w:rPr>
        <w:t>-</w:t>
      </w:r>
      <w:r w:rsidRPr="00332A1B">
        <w:rPr>
          <w:rFonts w:cs="Times New Roman"/>
          <w:noProof/>
          <w:lang w:val="fr-CA"/>
        </w:rPr>
        <w:t>ci a été conclu.  Les parties n</w:t>
      </w:r>
      <w:r>
        <w:rPr>
          <w:rFonts w:cs="Times New Roman"/>
          <w:noProof/>
          <w:lang w:val="fr-CA"/>
        </w:rPr>
        <w:t>’</w:t>
      </w:r>
      <w:r w:rsidRPr="00332A1B">
        <w:rPr>
          <w:rFonts w:cs="Times New Roman"/>
          <w:noProof/>
          <w:lang w:val="fr-CA"/>
        </w:rPr>
        <w:t>ont rédigé ni le contrat de médiation ni la clause de confidentialité.  Il s</w:t>
      </w:r>
      <w:r>
        <w:rPr>
          <w:rFonts w:cs="Times New Roman"/>
          <w:noProof/>
          <w:lang w:val="fr-CA"/>
        </w:rPr>
        <w:t>’</w:t>
      </w:r>
      <w:r w:rsidRPr="00332A1B">
        <w:rPr>
          <w:rFonts w:cs="Times New Roman"/>
          <w:noProof/>
          <w:lang w:val="fr-CA"/>
        </w:rPr>
        <w:t>agissait d</w:t>
      </w:r>
      <w:r>
        <w:rPr>
          <w:rFonts w:cs="Times New Roman"/>
          <w:noProof/>
          <w:lang w:val="fr-CA"/>
        </w:rPr>
        <w:t>’</w:t>
      </w:r>
      <w:r w:rsidRPr="00332A1B">
        <w:rPr>
          <w:rFonts w:cs="Times New Roman"/>
          <w:noProof/>
          <w:lang w:val="fr-CA"/>
        </w:rPr>
        <w:t>un contrat type fourni par le médiateur et envoyé aux deux parties pour signature la veille de la séance de médiation.  Ni l</w:t>
      </w:r>
      <w:r>
        <w:rPr>
          <w:rFonts w:cs="Times New Roman"/>
          <w:noProof/>
          <w:lang w:val="fr-CA"/>
        </w:rPr>
        <w:t>’</w:t>
      </w:r>
      <w:r w:rsidRPr="00332A1B">
        <w:rPr>
          <w:rFonts w:cs="Times New Roman"/>
          <w:noProof/>
          <w:lang w:val="fr-CA"/>
        </w:rPr>
        <w:t>une ni l</w:t>
      </w:r>
      <w:r>
        <w:rPr>
          <w:rFonts w:cs="Times New Roman"/>
          <w:noProof/>
          <w:lang w:val="fr-CA"/>
        </w:rPr>
        <w:t>’</w:t>
      </w:r>
      <w:r w:rsidRPr="00332A1B">
        <w:rPr>
          <w:rFonts w:cs="Times New Roman"/>
          <w:noProof/>
          <w:lang w:val="fr-CA"/>
        </w:rPr>
        <w:t>autre des parties n</w:t>
      </w:r>
      <w:r>
        <w:rPr>
          <w:rFonts w:cs="Times New Roman"/>
          <w:noProof/>
          <w:lang w:val="fr-CA"/>
        </w:rPr>
        <w:t>’</w:t>
      </w:r>
      <w:r w:rsidRPr="00332A1B">
        <w:rPr>
          <w:rFonts w:cs="Times New Roman"/>
          <w:noProof/>
          <w:lang w:val="fr-CA"/>
        </w:rPr>
        <w:t>a modifié l</w:t>
      </w:r>
      <w:r>
        <w:rPr>
          <w:rFonts w:cs="Times New Roman"/>
          <w:noProof/>
          <w:lang w:val="fr-CA"/>
        </w:rPr>
        <w:t>’</w:t>
      </w:r>
      <w:r w:rsidRPr="00332A1B">
        <w:rPr>
          <w:rFonts w:cs="Times New Roman"/>
          <w:noProof/>
          <w:lang w:val="fr-CA"/>
        </w:rPr>
        <w:t>entente type de médiation ni n</w:t>
      </w:r>
      <w:r>
        <w:rPr>
          <w:rFonts w:cs="Times New Roman"/>
          <w:noProof/>
          <w:lang w:val="fr-CA"/>
        </w:rPr>
        <w:t>’</w:t>
      </w:r>
      <w:r w:rsidRPr="00332A1B">
        <w:rPr>
          <w:rFonts w:cs="Times New Roman"/>
          <w:noProof/>
          <w:lang w:val="fr-CA"/>
        </w:rPr>
        <w:t>y a ajouté des dispositions concernant la confidentialité au moment de la signer.  Rien n</w:t>
      </w:r>
      <w:r>
        <w:rPr>
          <w:rFonts w:cs="Times New Roman"/>
          <w:noProof/>
          <w:lang w:val="fr-CA"/>
        </w:rPr>
        <w:t>’</w:t>
      </w:r>
      <w:r w:rsidRPr="00332A1B">
        <w:rPr>
          <w:rFonts w:cs="Times New Roman"/>
          <w:noProof/>
          <w:lang w:val="fr-CA"/>
        </w:rPr>
        <w:t>indique qu</w:t>
      </w:r>
      <w:r>
        <w:rPr>
          <w:rFonts w:cs="Times New Roman"/>
          <w:noProof/>
          <w:lang w:val="fr-CA"/>
        </w:rPr>
        <w:t>’</w:t>
      </w:r>
      <w:r w:rsidRPr="00332A1B">
        <w:rPr>
          <w:rFonts w:cs="Times New Roman"/>
          <w:noProof/>
          <w:lang w:val="fr-CA"/>
        </w:rPr>
        <w:t xml:space="preserve">au moment </w:t>
      </w:r>
      <w:r w:rsidRPr="00332A1B">
        <w:rPr>
          <w:rFonts w:cs="Times New Roman"/>
          <w:noProof/>
          <w:lang w:val="fr-CA"/>
        </w:rPr>
        <w:lastRenderedPageBreak/>
        <w:t>de signer l</w:t>
      </w:r>
      <w:r>
        <w:rPr>
          <w:rFonts w:cs="Times New Roman"/>
          <w:noProof/>
          <w:lang w:val="fr-CA"/>
        </w:rPr>
        <w:t>’</w:t>
      </w:r>
      <w:r w:rsidRPr="00332A1B">
        <w:rPr>
          <w:rFonts w:cs="Times New Roman"/>
          <w:noProof/>
          <w:lang w:val="fr-CA"/>
        </w:rPr>
        <w:t>entente type, les parties estimaient qu</w:t>
      </w:r>
      <w:r>
        <w:rPr>
          <w:rFonts w:cs="Times New Roman"/>
          <w:noProof/>
          <w:lang w:val="fr-CA"/>
        </w:rPr>
        <w:t>’</w:t>
      </w:r>
      <w:r w:rsidRPr="00332A1B">
        <w:rPr>
          <w:rFonts w:cs="Times New Roman"/>
          <w:noProof/>
          <w:lang w:val="fr-CA"/>
        </w:rPr>
        <w:t>elles écartaient le privilège relatif aux règlements qui s</w:t>
      </w:r>
      <w:r>
        <w:rPr>
          <w:rFonts w:cs="Times New Roman"/>
          <w:noProof/>
          <w:lang w:val="fr-CA"/>
        </w:rPr>
        <w:t>’</w:t>
      </w:r>
      <w:r w:rsidRPr="00332A1B">
        <w:rPr>
          <w:rFonts w:cs="Times New Roman"/>
          <w:noProof/>
          <w:lang w:val="fr-CA"/>
        </w:rPr>
        <w:t>applique habituellement à la médiation.</w:t>
      </w:r>
    </w:p>
    <w:p w:rsidR="00F3157A" w:rsidRPr="00332A1B" w:rsidRDefault="00F3157A" w:rsidP="00A0307B">
      <w:pPr>
        <w:pStyle w:val="ParaNoNdepar-AltN"/>
        <w:rPr>
          <w:rFonts w:cs="Times New Roman"/>
          <w:noProof/>
          <w:lang w:val="fr-CA"/>
        </w:rPr>
      </w:pPr>
      <w:r w:rsidRPr="00332A1B">
        <w:rPr>
          <w:rFonts w:cs="Times New Roman"/>
          <w:noProof/>
          <w:lang w:val="fr-CA"/>
        </w:rPr>
        <w:t>À mon avis, les parties ont entamé ce processus de médiation avec l</w:t>
      </w:r>
      <w:r>
        <w:rPr>
          <w:rFonts w:cs="Times New Roman"/>
          <w:noProof/>
          <w:lang w:val="fr-CA"/>
        </w:rPr>
        <w:t>’</w:t>
      </w:r>
      <w:r w:rsidRPr="00332A1B">
        <w:rPr>
          <w:rFonts w:cs="Times New Roman"/>
          <w:noProof/>
          <w:lang w:val="fr-CA"/>
        </w:rPr>
        <w:t>intention de régler leur différend et elles n</w:t>
      </w:r>
      <w:r>
        <w:rPr>
          <w:rFonts w:cs="Times New Roman"/>
          <w:noProof/>
          <w:lang w:val="fr-CA"/>
        </w:rPr>
        <w:t>’</w:t>
      </w:r>
      <w:r w:rsidRPr="00332A1B">
        <w:rPr>
          <w:rFonts w:cs="Times New Roman"/>
          <w:noProof/>
          <w:lang w:val="fr-CA"/>
        </w:rPr>
        <w:t>avaient aucune raison de penser qu</w:t>
      </w:r>
      <w:r>
        <w:rPr>
          <w:rFonts w:cs="Times New Roman"/>
          <w:noProof/>
          <w:lang w:val="fr-CA"/>
        </w:rPr>
        <w:t>’</w:t>
      </w:r>
      <w:r w:rsidRPr="00332A1B">
        <w:rPr>
          <w:rFonts w:cs="Times New Roman"/>
          <w:noProof/>
          <w:lang w:val="fr-CA"/>
        </w:rPr>
        <w:t>elles renonçaient à leur capacité de faire la preuve d</w:t>
      </w:r>
      <w:r>
        <w:rPr>
          <w:rFonts w:cs="Times New Roman"/>
          <w:noProof/>
          <w:lang w:val="fr-CA"/>
        </w:rPr>
        <w:t>’</w:t>
      </w:r>
      <w:r w:rsidRPr="00332A1B">
        <w:rPr>
          <w:rFonts w:cs="Times New Roman"/>
          <w:noProof/>
          <w:lang w:val="fr-CA"/>
        </w:rPr>
        <w:t>un règlement, le cas échéant.  Rien n</w:t>
      </w:r>
      <w:r>
        <w:rPr>
          <w:rFonts w:cs="Times New Roman"/>
          <w:noProof/>
          <w:lang w:val="fr-CA"/>
        </w:rPr>
        <w:t>’</w:t>
      </w:r>
      <w:r w:rsidRPr="00332A1B">
        <w:rPr>
          <w:rFonts w:cs="Times New Roman"/>
          <w:noProof/>
          <w:lang w:val="fr-CA"/>
        </w:rPr>
        <w:t>indique qu</w:t>
      </w:r>
      <w:r>
        <w:rPr>
          <w:rFonts w:cs="Times New Roman"/>
          <w:noProof/>
          <w:lang w:val="fr-CA"/>
        </w:rPr>
        <w:t>’</w:t>
      </w:r>
      <w:r w:rsidRPr="00332A1B">
        <w:rPr>
          <w:rFonts w:cs="Times New Roman"/>
          <w:noProof/>
          <w:lang w:val="fr-CA"/>
        </w:rPr>
        <w:t>elles avaient à l</w:t>
      </w:r>
      <w:r>
        <w:rPr>
          <w:rFonts w:cs="Times New Roman"/>
          <w:noProof/>
          <w:lang w:val="fr-CA"/>
        </w:rPr>
        <w:t>’</w:t>
      </w:r>
      <w:r w:rsidRPr="00332A1B">
        <w:rPr>
          <w:rFonts w:cs="Times New Roman"/>
          <w:noProof/>
          <w:lang w:val="fr-CA"/>
        </w:rPr>
        <w:t>égard de la médiation des attentes autres que de contribuer à régler le différend.  Selon Lluelles et Moore, « [s]i l</w:t>
      </w:r>
      <w:r>
        <w:rPr>
          <w:rFonts w:cs="Times New Roman"/>
          <w:noProof/>
          <w:lang w:val="fr-CA"/>
        </w:rPr>
        <w:t>’</w:t>
      </w:r>
      <w:r w:rsidRPr="00332A1B">
        <w:rPr>
          <w:rFonts w:cs="Times New Roman"/>
          <w:noProof/>
          <w:lang w:val="fr-CA"/>
        </w:rPr>
        <w:t>on considère que l</w:t>
      </w:r>
      <w:r>
        <w:rPr>
          <w:rFonts w:cs="Times New Roman"/>
          <w:noProof/>
          <w:lang w:val="fr-CA"/>
        </w:rPr>
        <w:t>’</w:t>
      </w:r>
      <w:r w:rsidRPr="00332A1B">
        <w:rPr>
          <w:rFonts w:cs="Times New Roman"/>
          <w:noProof/>
          <w:lang w:val="fr-CA"/>
        </w:rPr>
        <w:t>esprit imprégnant un contrat doit être le meilleur guide en la matière (art</w:t>
      </w:r>
      <w:r w:rsidR="00A0307B">
        <w:rPr>
          <w:rFonts w:cs="Times New Roman"/>
          <w:noProof/>
          <w:lang w:val="fr-CA"/>
        </w:rPr>
        <w:t xml:space="preserve">. </w:t>
      </w:r>
      <w:r w:rsidRPr="00332A1B">
        <w:rPr>
          <w:rFonts w:cs="Times New Roman"/>
          <w:noProof/>
          <w:lang w:val="fr-CA"/>
        </w:rPr>
        <w:t>1425) [</w:t>
      </w:r>
      <w:r w:rsidR="000F1A61">
        <w:rPr>
          <w:rFonts w:cs="Times New Roman"/>
          <w:noProof/>
          <w:lang w:val="fr-CA"/>
        </w:rPr>
        <w:t>. . .</w:t>
      </w:r>
      <w:r w:rsidRPr="00332A1B">
        <w:rPr>
          <w:rFonts w:cs="Times New Roman"/>
          <w:noProof/>
          <w:lang w:val="fr-CA"/>
        </w:rPr>
        <w:t>]</w:t>
      </w:r>
      <w:r w:rsidR="000F1A61">
        <w:rPr>
          <w:rFonts w:cs="Times New Roman"/>
          <w:noProof/>
          <w:lang w:val="fr-CA"/>
        </w:rPr>
        <w:t>,</w:t>
      </w:r>
      <w:r w:rsidRPr="00332A1B">
        <w:rPr>
          <w:rFonts w:cs="Times New Roman"/>
          <w:noProof/>
          <w:lang w:val="fr-CA"/>
        </w:rPr>
        <w:t xml:space="preserve"> la commune intention des parties peut parfois aller de soi, et être une question de logique » (par</w:t>
      </w:r>
      <w:r w:rsidR="00A0307B">
        <w:rPr>
          <w:rFonts w:cs="Times New Roman"/>
          <w:noProof/>
          <w:lang w:val="fr-CA"/>
        </w:rPr>
        <w:t xml:space="preserve">. </w:t>
      </w:r>
      <w:r w:rsidRPr="00332A1B">
        <w:rPr>
          <w:rFonts w:cs="Times New Roman"/>
          <w:noProof/>
          <w:lang w:val="fr-CA"/>
        </w:rPr>
        <w:t>1589).  En l</w:t>
      </w:r>
      <w:r>
        <w:rPr>
          <w:rFonts w:cs="Times New Roman"/>
          <w:noProof/>
          <w:lang w:val="fr-CA"/>
        </w:rPr>
        <w:t>’</w:t>
      </w:r>
      <w:r w:rsidRPr="00332A1B">
        <w:rPr>
          <w:rFonts w:cs="Times New Roman"/>
          <w:noProof/>
          <w:lang w:val="fr-CA"/>
        </w:rPr>
        <w:t>absence d</w:t>
      </w:r>
      <w:r>
        <w:rPr>
          <w:rFonts w:cs="Times New Roman"/>
          <w:noProof/>
          <w:lang w:val="fr-CA"/>
        </w:rPr>
        <w:t>’</w:t>
      </w:r>
      <w:r w:rsidRPr="00332A1B">
        <w:rPr>
          <w:rFonts w:cs="Times New Roman"/>
          <w:noProof/>
          <w:lang w:val="fr-CA"/>
        </w:rPr>
        <w:t>une disposition expresse à cet égard, j</w:t>
      </w:r>
      <w:r>
        <w:rPr>
          <w:rFonts w:cs="Times New Roman"/>
          <w:noProof/>
          <w:lang w:val="fr-CA"/>
        </w:rPr>
        <w:t>’</w:t>
      </w:r>
      <w:r w:rsidRPr="00332A1B">
        <w:rPr>
          <w:rFonts w:cs="Times New Roman"/>
          <w:noProof/>
          <w:lang w:val="fr-CA"/>
        </w:rPr>
        <w:t xml:space="preserve">estime déraisonnable de supposer que des parties qui ont consenti à une médiation dans le but de parvenir à un règlement renonceraient à leur droit de faire la preuve des modalités du règlement.  Une telle conclusion serait illogique. </w:t>
      </w:r>
    </w:p>
    <w:p w:rsidR="00F3157A" w:rsidRPr="00332A1B" w:rsidRDefault="00F3157A" w:rsidP="00A0307B">
      <w:pPr>
        <w:pStyle w:val="ParaNoNdepar-AltN"/>
        <w:rPr>
          <w:rFonts w:cs="Times New Roman"/>
          <w:noProof/>
          <w:lang w:val="fr-CA"/>
        </w:rPr>
      </w:pPr>
      <w:r w:rsidRPr="00332A1B">
        <w:rPr>
          <w:rFonts w:cs="Times New Roman"/>
          <w:noProof/>
          <w:lang w:val="fr-CA"/>
        </w:rPr>
        <w:t>En conséquence, je conclus que le contrat de médiation n</w:t>
      </w:r>
      <w:r>
        <w:rPr>
          <w:rFonts w:cs="Times New Roman"/>
          <w:noProof/>
          <w:lang w:val="fr-CA"/>
        </w:rPr>
        <w:t>’</w:t>
      </w:r>
      <w:r w:rsidRPr="00332A1B">
        <w:rPr>
          <w:rFonts w:cs="Times New Roman"/>
          <w:noProof/>
          <w:lang w:val="fr-CA"/>
        </w:rPr>
        <w:t>a pas pour effet d</w:t>
      </w:r>
      <w:r>
        <w:rPr>
          <w:rFonts w:cs="Times New Roman"/>
          <w:noProof/>
          <w:lang w:val="fr-CA"/>
        </w:rPr>
        <w:t>’</w:t>
      </w:r>
      <w:r w:rsidRPr="00332A1B">
        <w:rPr>
          <w:rFonts w:cs="Times New Roman"/>
          <w:noProof/>
          <w:lang w:val="fr-CA"/>
        </w:rPr>
        <w:t>empêcher les parties de produire en preuve les communications faites au cours de la médiation afin de faire la preuve des modalités d</w:t>
      </w:r>
      <w:r>
        <w:rPr>
          <w:rFonts w:cs="Times New Roman"/>
          <w:noProof/>
          <w:lang w:val="fr-CA"/>
        </w:rPr>
        <w:t>’</w:t>
      </w:r>
      <w:r w:rsidRPr="00332A1B">
        <w:rPr>
          <w:rFonts w:cs="Times New Roman"/>
          <w:noProof/>
          <w:lang w:val="fr-CA"/>
        </w:rPr>
        <w:t>un règlement.  Je tiens toutefois à signaler que cette exception a une portée restreinte.  Les parties ne peuvent produire de tels éléments de preuve que dans la mesure où ils sont nécessaires pour prouver les modalités du règlement.  Le juge qui entendra la requête en homologation examinera séparément chaque paragraphe de la requête attaqué et déterminera si chacun d</w:t>
      </w:r>
      <w:r>
        <w:rPr>
          <w:rFonts w:cs="Times New Roman"/>
          <w:noProof/>
          <w:lang w:val="fr-CA"/>
        </w:rPr>
        <w:t>’</w:t>
      </w:r>
      <w:r w:rsidRPr="00332A1B">
        <w:rPr>
          <w:rFonts w:cs="Times New Roman"/>
          <w:noProof/>
          <w:lang w:val="fr-CA"/>
        </w:rPr>
        <w:t>eux est nécessaire à cette fin.  Si l</w:t>
      </w:r>
      <w:r>
        <w:rPr>
          <w:rFonts w:cs="Times New Roman"/>
          <w:noProof/>
          <w:lang w:val="fr-CA"/>
        </w:rPr>
        <w:t>’</w:t>
      </w:r>
      <w:r w:rsidRPr="00332A1B">
        <w:rPr>
          <w:rFonts w:cs="Times New Roman"/>
          <w:noProof/>
          <w:lang w:val="fr-CA"/>
        </w:rPr>
        <w:t>une ou l</w:t>
      </w:r>
      <w:r>
        <w:rPr>
          <w:rFonts w:cs="Times New Roman"/>
          <w:noProof/>
          <w:lang w:val="fr-CA"/>
        </w:rPr>
        <w:t>’</w:t>
      </w:r>
      <w:r w:rsidRPr="00332A1B">
        <w:rPr>
          <w:rFonts w:cs="Times New Roman"/>
          <w:noProof/>
          <w:lang w:val="fr-CA"/>
        </w:rPr>
        <w:t xml:space="preserve">autre partie préférerait que des renseignements </w:t>
      </w:r>
      <w:r w:rsidRPr="00332A1B">
        <w:rPr>
          <w:rFonts w:cs="Times New Roman"/>
          <w:noProof/>
          <w:lang w:val="fr-CA"/>
        </w:rPr>
        <w:lastRenderedPageBreak/>
        <w:t>possiblement délicats produits à l</w:t>
      </w:r>
      <w:r>
        <w:rPr>
          <w:rFonts w:cs="Times New Roman"/>
          <w:noProof/>
          <w:lang w:val="fr-CA"/>
        </w:rPr>
        <w:t>’</w:t>
      </w:r>
      <w:r w:rsidRPr="00332A1B">
        <w:rPr>
          <w:rFonts w:cs="Times New Roman"/>
          <w:noProof/>
          <w:lang w:val="fr-CA"/>
        </w:rPr>
        <w:t>appui de ces paragraphes ne soient pas exposés en public, elle peut demander au juge saisi de la requête de prononcer une ordonnance de confidentialité et d</w:t>
      </w:r>
      <w:r>
        <w:rPr>
          <w:rFonts w:cs="Times New Roman"/>
          <w:noProof/>
          <w:lang w:val="fr-CA"/>
        </w:rPr>
        <w:t>’</w:t>
      </w:r>
      <w:r w:rsidRPr="00332A1B">
        <w:rPr>
          <w:rFonts w:cs="Times New Roman"/>
          <w:noProof/>
          <w:lang w:val="fr-CA"/>
        </w:rPr>
        <w:t>examiner ces éléments de preuve à huis clos, dès lors que les parties respectent les conditions énoncées dans l</w:t>
      </w:r>
      <w:r>
        <w:rPr>
          <w:rFonts w:cs="Times New Roman"/>
          <w:noProof/>
          <w:lang w:val="fr-CA"/>
        </w:rPr>
        <w:t>’</w:t>
      </w:r>
      <w:r w:rsidRPr="00332A1B">
        <w:rPr>
          <w:rFonts w:cs="Times New Roman"/>
          <w:noProof/>
          <w:lang w:val="fr-CA"/>
        </w:rPr>
        <w:t xml:space="preserve">arrêt </w:t>
      </w:r>
      <w:r w:rsidRPr="00332A1B">
        <w:rPr>
          <w:rFonts w:cs="Times New Roman"/>
          <w:i/>
          <w:noProof/>
          <w:lang w:val="fr-CA"/>
        </w:rPr>
        <w:t>Sierra Club du Canada c. Canada (Ministre des Finances)</w:t>
      </w:r>
      <w:r w:rsidRPr="00332A1B">
        <w:rPr>
          <w:rFonts w:cs="Times New Roman"/>
          <w:noProof/>
          <w:lang w:val="fr-CA"/>
        </w:rPr>
        <w:t>, 2002 CSC 41, [2002] 2 R.C.S. 522.  Ces conditions n</w:t>
      </w:r>
      <w:r>
        <w:rPr>
          <w:rFonts w:cs="Times New Roman"/>
          <w:noProof/>
          <w:lang w:val="fr-CA"/>
        </w:rPr>
        <w:t>’</w:t>
      </w:r>
      <w:r w:rsidRPr="00332A1B">
        <w:rPr>
          <w:rFonts w:cs="Times New Roman"/>
          <w:noProof/>
          <w:lang w:val="fr-CA"/>
        </w:rPr>
        <w:t>existent pas dans tous les cas car elles obligent les parties à démontrer qu</w:t>
      </w:r>
      <w:r>
        <w:rPr>
          <w:rFonts w:cs="Times New Roman"/>
          <w:noProof/>
          <w:lang w:val="fr-CA"/>
        </w:rPr>
        <w:t>’</w:t>
      </w:r>
      <w:r w:rsidRPr="00332A1B">
        <w:rPr>
          <w:rFonts w:cs="Times New Roman"/>
          <w:noProof/>
          <w:lang w:val="fr-CA"/>
        </w:rPr>
        <w:t>une ordonnance de confidentialité :</w:t>
      </w:r>
    </w:p>
    <w:p w:rsidR="00F3157A" w:rsidRPr="00332A1B" w:rsidRDefault="000F1A61" w:rsidP="009F7275">
      <w:pPr>
        <w:pStyle w:val="Citation-AltC"/>
        <w:numPr>
          <w:ilvl w:val="1"/>
          <w:numId w:val="6"/>
        </w:numPr>
        <w:spacing w:after="240"/>
        <w:ind w:left="1620" w:hanging="450"/>
        <w:contextualSpacing w:val="0"/>
        <w:rPr>
          <w:noProof/>
          <w:lang w:val="fr-FR"/>
        </w:rPr>
      </w:pPr>
      <w:r>
        <w:rPr>
          <w:noProof/>
          <w:lang w:val="fr-FR"/>
        </w:rPr>
        <w:t>. . .</w:t>
      </w:r>
      <w:r w:rsidR="00F3157A" w:rsidRPr="00332A1B">
        <w:rPr>
          <w:noProof/>
          <w:lang w:val="fr-FR"/>
        </w:rPr>
        <w:t xml:space="preserve"> est nécessaire pour écarter un risque sérieux pour un intérêt important, y compris un intérêt commercial, dans le contexte d</w:t>
      </w:r>
      <w:r w:rsidR="00F3157A">
        <w:rPr>
          <w:noProof/>
          <w:lang w:val="fr-FR"/>
        </w:rPr>
        <w:t>’</w:t>
      </w:r>
      <w:r w:rsidR="00F3157A" w:rsidRPr="00332A1B">
        <w:rPr>
          <w:noProof/>
          <w:lang w:val="fr-FR"/>
        </w:rPr>
        <w:t>un litige, en l</w:t>
      </w:r>
      <w:r w:rsidR="00F3157A">
        <w:rPr>
          <w:noProof/>
          <w:lang w:val="fr-FR"/>
        </w:rPr>
        <w:t>’</w:t>
      </w:r>
      <w:r w:rsidR="00F3157A" w:rsidRPr="00332A1B">
        <w:rPr>
          <w:noProof/>
          <w:lang w:val="fr-FR"/>
        </w:rPr>
        <w:t>absence d</w:t>
      </w:r>
      <w:r w:rsidR="00F3157A">
        <w:rPr>
          <w:noProof/>
          <w:lang w:val="fr-FR"/>
        </w:rPr>
        <w:t>’</w:t>
      </w:r>
      <w:r w:rsidR="00F3157A" w:rsidRPr="00332A1B">
        <w:rPr>
          <w:noProof/>
          <w:lang w:val="fr-FR"/>
        </w:rPr>
        <w:t>autres options rais</w:t>
      </w:r>
      <w:r>
        <w:rPr>
          <w:noProof/>
          <w:lang w:val="fr-FR"/>
        </w:rPr>
        <w:t>onnables pour écarter ce risque</w:t>
      </w:r>
      <w:r w:rsidR="00F3157A" w:rsidRPr="00332A1B">
        <w:rPr>
          <w:noProof/>
          <w:lang w:val="fr-FR"/>
        </w:rPr>
        <w:t>;</w:t>
      </w:r>
    </w:p>
    <w:p w:rsidR="00F3157A" w:rsidRPr="00332A1B" w:rsidRDefault="00F3157A" w:rsidP="009F7275">
      <w:pPr>
        <w:pStyle w:val="Citation-AltC"/>
        <w:numPr>
          <w:ilvl w:val="1"/>
          <w:numId w:val="6"/>
        </w:numPr>
        <w:spacing w:after="240"/>
        <w:ind w:left="1620" w:hanging="450"/>
        <w:contextualSpacing w:val="0"/>
        <w:rPr>
          <w:noProof/>
          <w:lang w:val="fr-FR"/>
        </w:rPr>
      </w:pPr>
      <w:r w:rsidRPr="00332A1B">
        <w:rPr>
          <w:noProof/>
          <w:lang w:val="fr-FR"/>
        </w:rPr>
        <w:t>[que] ses effets bénéfiques, y compris ses effets sur le droit des justiciables civils à un procès équitable, l</w:t>
      </w:r>
      <w:r>
        <w:rPr>
          <w:noProof/>
          <w:lang w:val="fr-FR"/>
        </w:rPr>
        <w:t>’</w:t>
      </w:r>
      <w:r w:rsidRPr="00332A1B">
        <w:rPr>
          <w:noProof/>
          <w:lang w:val="fr-FR"/>
        </w:rPr>
        <w:t>emportent sur ses effets préjudiciables, y compris ses effet</w:t>
      </w:r>
      <w:r w:rsidR="000F1A61">
        <w:rPr>
          <w:noProof/>
          <w:lang w:val="fr-FR"/>
        </w:rPr>
        <w:t>s</w:t>
      </w:r>
      <w:r w:rsidRPr="00332A1B">
        <w:rPr>
          <w:noProof/>
          <w:lang w:val="fr-FR"/>
        </w:rPr>
        <w:t xml:space="preserve"> sur la liberté d</w:t>
      </w:r>
      <w:r>
        <w:rPr>
          <w:noProof/>
          <w:lang w:val="fr-FR"/>
        </w:rPr>
        <w:t>’</w:t>
      </w:r>
      <w:r w:rsidRPr="00332A1B">
        <w:rPr>
          <w:noProof/>
          <w:lang w:val="fr-FR"/>
        </w:rPr>
        <w:t>expression qui, dans ce contexte, comprend l</w:t>
      </w:r>
      <w:r>
        <w:rPr>
          <w:noProof/>
          <w:lang w:val="fr-FR"/>
        </w:rPr>
        <w:t>’</w:t>
      </w:r>
      <w:r w:rsidRPr="00332A1B">
        <w:rPr>
          <w:noProof/>
          <w:lang w:val="fr-FR"/>
        </w:rPr>
        <w:t xml:space="preserve">intérêt du public dans la publicité des débats judiciaires.  </w:t>
      </w:r>
    </w:p>
    <w:p w:rsidR="00F3157A" w:rsidRPr="00332A1B" w:rsidRDefault="00F3157A" w:rsidP="00A0307B">
      <w:pPr>
        <w:pStyle w:val="Citation-AltC"/>
        <w:tabs>
          <w:tab w:val="left" w:pos="284"/>
        </w:tabs>
        <w:ind w:left="0"/>
        <w:rPr>
          <w:noProof/>
          <w:lang w:val="fr-FR"/>
        </w:rPr>
      </w:pPr>
      <w:r w:rsidRPr="00332A1B">
        <w:rPr>
          <w:noProof/>
          <w:lang w:val="fr-FR"/>
        </w:rPr>
        <w:t>(</w:t>
      </w:r>
      <w:r w:rsidRPr="00332A1B">
        <w:rPr>
          <w:i/>
          <w:noProof/>
          <w:lang w:val="fr-FR"/>
        </w:rPr>
        <w:t>Sierra Club</w:t>
      </w:r>
      <w:r w:rsidRPr="00332A1B">
        <w:rPr>
          <w:noProof/>
          <w:lang w:val="fr-FR"/>
        </w:rPr>
        <w:t>, par</w:t>
      </w:r>
      <w:r w:rsidR="00A0307B">
        <w:rPr>
          <w:noProof/>
          <w:lang w:val="fr-FR"/>
        </w:rPr>
        <w:t xml:space="preserve">. </w:t>
      </w:r>
      <w:r w:rsidRPr="00332A1B">
        <w:rPr>
          <w:noProof/>
          <w:lang w:val="fr-FR"/>
        </w:rPr>
        <w:t>53)</w:t>
      </w:r>
    </w:p>
    <w:p w:rsidR="00F3157A" w:rsidRPr="00332A1B" w:rsidRDefault="00F3157A" w:rsidP="00A0307B">
      <w:pPr>
        <w:pStyle w:val="ContinueParaSuitedupar-AltP"/>
        <w:rPr>
          <w:rFonts w:cs="Times New Roman"/>
          <w:noProof/>
          <w:lang w:val="fr-CA"/>
        </w:rPr>
      </w:pPr>
      <w:r w:rsidRPr="00332A1B">
        <w:rPr>
          <w:rFonts w:cs="Times New Roman"/>
          <w:noProof/>
          <w:lang w:val="fr-CA"/>
        </w:rPr>
        <w:t>Il faudrait réserver les audiences à huis clos de cette nature pour les cas où la portée de l</w:t>
      </w:r>
      <w:r>
        <w:rPr>
          <w:rFonts w:cs="Times New Roman"/>
          <w:noProof/>
          <w:lang w:val="fr-CA"/>
        </w:rPr>
        <w:t>’</w:t>
      </w:r>
      <w:r w:rsidRPr="00332A1B">
        <w:rPr>
          <w:rFonts w:cs="Times New Roman"/>
          <w:noProof/>
          <w:lang w:val="fr-CA"/>
        </w:rPr>
        <w:t>entente de confidentialité soulève un véritable litige.</w:t>
      </w:r>
    </w:p>
    <w:p w:rsidR="00F3157A" w:rsidRPr="00332A1B" w:rsidRDefault="00F3157A" w:rsidP="00A0307B">
      <w:pPr>
        <w:pStyle w:val="ParaNoNdepar-AltN"/>
        <w:rPr>
          <w:rFonts w:cs="Times New Roman"/>
          <w:noProof/>
          <w:lang w:val="fr-CA"/>
        </w:rPr>
      </w:pPr>
      <w:r w:rsidRPr="00332A1B">
        <w:rPr>
          <w:rFonts w:cs="Times New Roman"/>
          <w:noProof/>
          <w:lang w:val="fr-CA"/>
        </w:rPr>
        <w:t>J</w:t>
      </w:r>
      <w:r>
        <w:rPr>
          <w:rFonts w:cs="Times New Roman"/>
          <w:noProof/>
          <w:lang w:val="fr-CA"/>
        </w:rPr>
        <w:t>’</w:t>
      </w:r>
      <w:r w:rsidRPr="00332A1B">
        <w:rPr>
          <w:rFonts w:cs="Times New Roman"/>
          <w:noProof/>
          <w:lang w:val="fr-CA"/>
        </w:rPr>
        <w:t>estime que, lorsqu</w:t>
      </w:r>
      <w:r>
        <w:rPr>
          <w:rFonts w:cs="Times New Roman"/>
          <w:noProof/>
          <w:lang w:val="fr-CA"/>
        </w:rPr>
        <w:t>’</w:t>
      </w:r>
      <w:r w:rsidRPr="00332A1B">
        <w:rPr>
          <w:rFonts w:cs="Times New Roman"/>
          <w:noProof/>
          <w:lang w:val="fr-CA"/>
        </w:rPr>
        <w:t>elles acceptent une clause de confidentialité dans un processus de médiation, les parties peuvent même restreindre leur capacité de faire la preuve des modalités d</w:t>
      </w:r>
      <w:r>
        <w:rPr>
          <w:rFonts w:cs="Times New Roman"/>
          <w:noProof/>
          <w:lang w:val="fr-CA"/>
        </w:rPr>
        <w:t>’</w:t>
      </w:r>
      <w:r w:rsidRPr="00332A1B">
        <w:rPr>
          <w:rFonts w:cs="Times New Roman"/>
          <w:noProof/>
          <w:lang w:val="fr-CA"/>
        </w:rPr>
        <w:t>un règlement.  Lorsque la règle habituelle est ainsi restreinte</w:t>
      </w:r>
      <w:r w:rsidR="00C51A85">
        <w:rPr>
          <w:rFonts w:cs="Times New Roman"/>
          <w:noProof/>
          <w:lang w:val="fr-CA"/>
        </w:rPr>
        <w:t>,</w:t>
      </w:r>
      <w:r w:rsidRPr="00332A1B">
        <w:rPr>
          <w:rFonts w:cs="Times New Roman"/>
          <w:noProof/>
          <w:lang w:val="fr-CA"/>
        </w:rPr>
        <w:t xml:space="preserve"> toutefois, il doit être évident, au moment d</w:t>
      </w:r>
      <w:r>
        <w:rPr>
          <w:rFonts w:cs="Times New Roman"/>
          <w:noProof/>
          <w:lang w:val="fr-CA"/>
        </w:rPr>
        <w:t>’</w:t>
      </w:r>
      <w:r w:rsidRPr="00332A1B">
        <w:rPr>
          <w:rFonts w:cs="Times New Roman"/>
          <w:noProof/>
          <w:lang w:val="fr-CA"/>
        </w:rPr>
        <w:t>appliquer les règles d</w:t>
      </w:r>
      <w:r>
        <w:rPr>
          <w:rFonts w:cs="Times New Roman"/>
          <w:noProof/>
          <w:lang w:val="fr-CA"/>
        </w:rPr>
        <w:t>’</w:t>
      </w:r>
      <w:r w:rsidRPr="00332A1B">
        <w:rPr>
          <w:rFonts w:cs="Times New Roman"/>
          <w:noProof/>
          <w:lang w:val="fr-CA"/>
        </w:rPr>
        <w:t>interprétation des contrats du ressort compétent, que telle était la volonté des parties.  En l</w:t>
      </w:r>
      <w:r>
        <w:rPr>
          <w:rFonts w:cs="Times New Roman"/>
          <w:noProof/>
          <w:lang w:val="fr-CA"/>
        </w:rPr>
        <w:t>’</w:t>
      </w:r>
      <w:r w:rsidRPr="00332A1B">
        <w:rPr>
          <w:rFonts w:cs="Times New Roman"/>
          <w:noProof/>
          <w:lang w:val="fr-CA"/>
        </w:rPr>
        <w:t xml:space="preserve">espèce, les </w:t>
      </w:r>
      <w:r w:rsidRPr="00332A1B">
        <w:rPr>
          <w:rFonts w:cs="Times New Roman"/>
          <w:noProof/>
          <w:lang w:val="fr-CA"/>
        </w:rPr>
        <w:lastRenderedPageBreak/>
        <w:t>principes du droit québécois des contrats s</w:t>
      </w:r>
      <w:r>
        <w:rPr>
          <w:rFonts w:cs="Times New Roman"/>
          <w:noProof/>
          <w:lang w:val="fr-CA"/>
        </w:rPr>
        <w:t>’</w:t>
      </w:r>
      <w:r w:rsidRPr="00332A1B">
        <w:rPr>
          <w:rFonts w:cs="Times New Roman"/>
          <w:noProof/>
          <w:lang w:val="fr-CA"/>
        </w:rPr>
        <w:t>appliquaient puisque l</w:t>
      </w:r>
      <w:r>
        <w:rPr>
          <w:rFonts w:cs="Times New Roman"/>
          <w:noProof/>
          <w:lang w:val="fr-CA"/>
        </w:rPr>
        <w:t>’</w:t>
      </w:r>
      <w:r w:rsidRPr="00332A1B">
        <w:rPr>
          <w:rFonts w:cs="Times New Roman"/>
          <w:noProof/>
          <w:lang w:val="fr-CA"/>
        </w:rPr>
        <w:t>entente en cause a été conclue au Québec.  Si le droit d</w:t>
      </w:r>
      <w:r>
        <w:rPr>
          <w:rFonts w:cs="Times New Roman"/>
          <w:noProof/>
          <w:lang w:val="fr-CA"/>
        </w:rPr>
        <w:t>’</w:t>
      </w:r>
      <w:r w:rsidRPr="00332A1B">
        <w:rPr>
          <w:rFonts w:cs="Times New Roman"/>
          <w:noProof/>
          <w:lang w:val="fr-CA"/>
        </w:rPr>
        <w:t>un autre ressort s</w:t>
      </w:r>
      <w:r>
        <w:rPr>
          <w:rFonts w:cs="Times New Roman"/>
          <w:noProof/>
          <w:lang w:val="fr-CA"/>
        </w:rPr>
        <w:t>’</w:t>
      </w:r>
      <w:r w:rsidRPr="00332A1B">
        <w:rPr>
          <w:rFonts w:cs="Times New Roman"/>
          <w:noProof/>
          <w:lang w:val="fr-CA"/>
        </w:rPr>
        <w:t>était avéré applicable, la question de savoir si les parties avaient l</w:t>
      </w:r>
      <w:r>
        <w:rPr>
          <w:rFonts w:cs="Times New Roman"/>
          <w:noProof/>
          <w:lang w:val="fr-CA"/>
        </w:rPr>
        <w:t>’</w:t>
      </w:r>
      <w:r w:rsidRPr="00332A1B">
        <w:rPr>
          <w:rFonts w:cs="Times New Roman"/>
          <w:noProof/>
          <w:lang w:val="fr-CA"/>
        </w:rPr>
        <w:t>intention de renoncer à l</w:t>
      </w:r>
      <w:r>
        <w:rPr>
          <w:rFonts w:cs="Times New Roman"/>
          <w:noProof/>
          <w:lang w:val="fr-CA"/>
        </w:rPr>
        <w:t>’</w:t>
      </w:r>
      <w:r w:rsidRPr="00332A1B">
        <w:rPr>
          <w:rFonts w:cs="Times New Roman"/>
          <w:noProof/>
          <w:lang w:val="fr-CA"/>
        </w:rPr>
        <w:t>exception au privilège relatif aux règlements qui s</w:t>
      </w:r>
      <w:r>
        <w:rPr>
          <w:rFonts w:cs="Times New Roman"/>
          <w:noProof/>
          <w:lang w:val="fr-CA"/>
        </w:rPr>
        <w:t>’</w:t>
      </w:r>
      <w:r w:rsidRPr="00332A1B">
        <w:rPr>
          <w:rFonts w:cs="Times New Roman"/>
          <w:noProof/>
          <w:lang w:val="fr-CA"/>
        </w:rPr>
        <w:t>applique lorsqu</w:t>
      </w:r>
      <w:r>
        <w:rPr>
          <w:rFonts w:cs="Times New Roman"/>
          <w:noProof/>
          <w:lang w:val="fr-CA"/>
        </w:rPr>
        <w:t>’</w:t>
      </w:r>
      <w:r w:rsidRPr="00332A1B">
        <w:rPr>
          <w:rFonts w:cs="Times New Roman"/>
          <w:noProof/>
          <w:lang w:val="fr-CA"/>
        </w:rPr>
        <w:t xml:space="preserve">une partie cherche à faire la preuve des modalités du règlement aurait été tranchée conformément aux règles applicables dans cet autre ressort. </w:t>
      </w:r>
    </w:p>
    <w:p w:rsidR="00F3157A" w:rsidRPr="00332A1B" w:rsidRDefault="00614B79" w:rsidP="00A0307B">
      <w:pPr>
        <w:pStyle w:val="ParaNoNdepar-AltN"/>
        <w:rPr>
          <w:rFonts w:cs="Times New Roman"/>
          <w:noProof/>
          <w:lang w:val="fr-CA"/>
        </w:rPr>
      </w:pPr>
      <w:r>
        <w:rPr>
          <w:rFonts w:cs="Times New Roman"/>
          <w:noProof/>
          <w:lang w:val="fr-CA"/>
        </w:rPr>
        <w:t>Même si je conclus que la C</w:t>
      </w:r>
      <w:r w:rsidR="00F3157A" w:rsidRPr="00332A1B">
        <w:rPr>
          <w:rFonts w:cs="Times New Roman"/>
          <w:noProof/>
          <w:lang w:val="fr-CA"/>
        </w:rPr>
        <w:t>our d</w:t>
      </w:r>
      <w:r w:rsidR="00F3157A">
        <w:rPr>
          <w:rFonts w:cs="Times New Roman"/>
          <w:noProof/>
          <w:lang w:val="fr-CA"/>
        </w:rPr>
        <w:t>’</w:t>
      </w:r>
      <w:r w:rsidR="00F3157A" w:rsidRPr="00332A1B">
        <w:rPr>
          <w:rFonts w:cs="Times New Roman"/>
          <w:noProof/>
          <w:lang w:val="fr-CA"/>
        </w:rPr>
        <w:t>appel ne s</w:t>
      </w:r>
      <w:r w:rsidR="00F3157A">
        <w:rPr>
          <w:rFonts w:cs="Times New Roman"/>
          <w:noProof/>
          <w:lang w:val="fr-CA"/>
        </w:rPr>
        <w:t>’</w:t>
      </w:r>
      <w:r w:rsidR="00F3157A" w:rsidRPr="00332A1B">
        <w:rPr>
          <w:rFonts w:cs="Times New Roman"/>
          <w:noProof/>
          <w:lang w:val="fr-CA"/>
        </w:rPr>
        <w:t>est pas livrée à l</w:t>
      </w:r>
      <w:r w:rsidR="00F3157A">
        <w:rPr>
          <w:rFonts w:cs="Times New Roman"/>
          <w:noProof/>
          <w:lang w:val="fr-CA"/>
        </w:rPr>
        <w:t>’</w:t>
      </w:r>
      <w:r w:rsidR="00F3157A" w:rsidRPr="00332A1B">
        <w:rPr>
          <w:rFonts w:cs="Times New Roman"/>
          <w:noProof/>
          <w:lang w:val="fr-CA"/>
        </w:rPr>
        <w:t>exercice nécessaire d</w:t>
      </w:r>
      <w:r w:rsidR="00F3157A">
        <w:rPr>
          <w:rFonts w:cs="Times New Roman"/>
          <w:noProof/>
          <w:lang w:val="fr-CA"/>
        </w:rPr>
        <w:t>’</w:t>
      </w:r>
      <w:r w:rsidR="00F3157A" w:rsidRPr="00332A1B">
        <w:rPr>
          <w:rFonts w:cs="Times New Roman"/>
          <w:noProof/>
          <w:lang w:val="fr-CA"/>
        </w:rPr>
        <w:t>interprétation du contrat avant d</w:t>
      </w:r>
      <w:r w:rsidR="00F3157A">
        <w:rPr>
          <w:rFonts w:cs="Times New Roman"/>
          <w:noProof/>
          <w:lang w:val="fr-CA"/>
        </w:rPr>
        <w:t>’</w:t>
      </w:r>
      <w:r w:rsidR="00F3157A" w:rsidRPr="00332A1B">
        <w:rPr>
          <w:rFonts w:cs="Times New Roman"/>
          <w:noProof/>
          <w:lang w:val="fr-CA"/>
        </w:rPr>
        <w:t>appliquer l</w:t>
      </w:r>
      <w:r w:rsidR="00F3157A">
        <w:rPr>
          <w:rFonts w:cs="Times New Roman"/>
          <w:noProof/>
          <w:lang w:val="fr-CA"/>
        </w:rPr>
        <w:t>’</w:t>
      </w:r>
      <w:r w:rsidR="00F3157A" w:rsidRPr="00332A1B">
        <w:rPr>
          <w:rFonts w:cs="Times New Roman"/>
          <w:noProof/>
          <w:lang w:val="fr-CA"/>
        </w:rPr>
        <w:t>exception au privilège relatif aux règlements de la common law qui permet aux parties de faire la preuve des modalités du règlement, je confirme néanmoins sa décision.  Les parties n</w:t>
      </w:r>
      <w:r w:rsidR="00F3157A">
        <w:rPr>
          <w:rFonts w:cs="Times New Roman"/>
          <w:noProof/>
          <w:lang w:val="fr-CA"/>
        </w:rPr>
        <w:t>’</w:t>
      </w:r>
      <w:r w:rsidR="00F3157A" w:rsidRPr="00332A1B">
        <w:rPr>
          <w:rFonts w:cs="Times New Roman"/>
          <w:noProof/>
          <w:lang w:val="fr-CA"/>
        </w:rPr>
        <w:t>ont pas renoncé à la règle de la common law, qui s</w:t>
      </w:r>
      <w:r w:rsidR="00F3157A">
        <w:rPr>
          <w:rFonts w:cs="Times New Roman"/>
          <w:noProof/>
          <w:lang w:val="fr-CA"/>
        </w:rPr>
        <w:t>’</w:t>
      </w:r>
      <w:r w:rsidR="00F3157A" w:rsidRPr="00332A1B">
        <w:rPr>
          <w:rFonts w:cs="Times New Roman"/>
          <w:noProof/>
          <w:lang w:val="fr-CA"/>
        </w:rPr>
        <w:t>applique également au Québec, suivant laquelle les communications faites au cours des négociations peuvent servir à prouver les modalités d</w:t>
      </w:r>
      <w:r w:rsidR="00F3157A">
        <w:rPr>
          <w:rFonts w:cs="Times New Roman"/>
          <w:noProof/>
          <w:lang w:val="fr-CA"/>
        </w:rPr>
        <w:t>’</w:t>
      </w:r>
      <w:r w:rsidR="00F3157A" w:rsidRPr="00332A1B">
        <w:rPr>
          <w:rFonts w:cs="Times New Roman"/>
          <w:noProof/>
          <w:lang w:val="fr-CA"/>
        </w:rPr>
        <w:t>un règlement.</w:t>
      </w:r>
    </w:p>
    <w:p w:rsidR="00F3157A" w:rsidRPr="00332A1B" w:rsidRDefault="00F3157A" w:rsidP="00A0307B">
      <w:pPr>
        <w:pStyle w:val="Title1LevelTitre1Niveau-AltL"/>
        <w:keepNext w:val="0"/>
        <w:rPr>
          <w:rFonts w:cs="Times New Roman"/>
          <w:noProof/>
          <w:lang w:val="fr-CA"/>
        </w:rPr>
      </w:pPr>
      <w:r w:rsidRPr="00332A1B">
        <w:rPr>
          <w:rFonts w:cs="Times New Roman"/>
          <w:noProof/>
          <w:lang w:val="fr-CA"/>
        </w:rPr>
        <w:t>Conclusion</w:t>
      </w:r>
    </w:p>
    <w:p w:rsidR="00F3157A" w:rsidRPr="00332A1B" w:rsidRDefault="00F3157A" w:rsidP="00A0307B">
      <w:pPr>
        <w:pStyle w:val="ParaNoNdepar-AltN"/>
        <w:rPr>
          <w:rFonts w:cs="Times New Roman"/>
          <w:noProof/>
          <w:lang w:val="fr-CA"/>
        </w:rPr>
      </w:pPr>
      <w:r w:rsidRPr="00332A1B">
        <w:rPr>
          <w:rFonts w:cs="Times New Roman"/>
          <w:noProof/>
          <w:lang w:val="fr-CA"/>
        </w:rPr>
        <w:t>Pour les motifs susmentionnés, je suis d</w:t>
      </w:r>
      <w:r>
        <w:rPr>
          <w:rFonts w:cs="Times New Roman"/>
          <w:noProof/>
          <w:lang w:val="fr-CA"/>
        </w:rPr>
        <w:t>’</w:t>
      </w:r>
      <w:r w:rsidRPr="00332A1B">
        <w:rPr>
          <w:rFonts w:cs="Times New Roman"/>
          <w:noProof/>
          <w:lang w:val="fr-CA"/>
        </w:rPr>
        <w:t>avis de rejeter le pourvoi avec dépens devant toutes les cours.</w:t>
      </w:r>
    </w:p>
    <w:p w:rsidR="004D7D95" w:rsidRPr="00615894" w:rsidRDefault="00FD469D" w:rsidP="00A0307B">
      <w:pPr>
        <w:pStyle w:val="SCCNormalDoubleSpacing"/>
        <w:spacing w:after="480"/>
        <w:rPr>
          <w:lang w:val="fr-CA"/>
        </w:rPr>
      </w:pPr>
      <w:r w:rsidRPr="00615894">
        <w:rPr>
          <w:lang w:val="fr-CA"/>
        </w:rPr>
        <w:tab/>
      </w:r>
      <w:r w:rsidRPr="00615894">
        <w:rPr>
          <w:i/>
          <w:lang w:val="fr-CA"/>
        </w:rPr>
        <w:t xml:space="preserve">Pourvoi </w:t>
      </w:r>
      <w:r w:rsidR="00EF67DE" w:rsidRPr="00615894">
        <w:rPr>
          <w:i/>
          <w:lang w:val="fr-CA"/>
        </w:rPr>
        <w:t>rejeté avec dépens devant toutes les cours</w:t>
      </w:r>
      <w:r w:rsidRPr="00615894">
        <w:rPr>
          <w:i/>
          <w:lang w:val="fr-CA"/>
        </w:rPr>
        <w:t>.</w:t>
      </w:r>
    </w:p>
    <w:p w:rsidR="00FD469D" w:rsidRPr="00615894" w:rsidRDefault="00FD469D" w:rsidP="00A0307B">
      <w:pPr>
        <w:pStyle w:val="SCCLawFirm"/>
        <w:spacing w:after="480"/>
        <w:rPr>
          <w:lang w:val="fr-CA"/>
        </w:rPr>
      </w:pPr>
      <w:r w:rsidRPr="00615894">
        <w:rPr>
          <w:lang w:val="fr-CA"/>
        </w:rPr>
        <w:tab/>
        <w:t>Procureurs des appelantes</w:t>
      </w:r>
      <w:r w:rsidR="00A40680" w:rsidRPr="00615894">
        <w:rPr>
          <w:lang w:val="fr-CA"/>
        </w:rPr>
        <w:t> </w:t>
      </w:r>
      <w:r w:rsidR="00A0307B">
        <w:rPr>
          <w:lang w:val="fr-CA"/>
        </w:rPr>
        <w:t xml:space="preserve">: </w:t>
      </w:r>
      <w:proofErr w:type="spellStart"/>
      <w:r w:rsidRPr="00615894">
        <w:rPr>
          <w:lang w:val="fr-CA"/>
        </w:rPr>
        <w:t>Lavery</w:t>
      </w:r>
      <w:proofErr w:type="spellEnd"/>
      <w:r w:rsidRPr="00615894">
        <w:rPr>
          <w:lang w:val="fr-CA"/>
        </w:rPr>
        <w:t>, de Billy, Montréal.</w:t>
      </w:r>
    </w:p>
    <w:p w:rsidR="00FD469D" w:rsidRPr="00615894" w:rsidRDefault="00FD469D" w:rsidP="00A0307B">
      <w:pPr>
        <w:pStyle w:val="SCCLawFirm"/>
        <w:spacing w:after="480"/>
        <w:rPr>
          <w:lang w:val="fr-CA"/>
        </w:rPr>
      </w:pPr>
      <w:r w:rsidRPr="00615894">
        <w:rPr>
          <w:lang w:val="fr-CA"/>
        </w:rPr>
        <w:lastRenderedPageBreak/>
        <w:tab/>
        <w:t>Procureurs des intimée</w:t>
      </w:r>
      <w:r w:rsidR="009F4FA4" w:rsidRPr="00615894">
        <w:rPr>
          <w:lang w:val="fr-CA"/>
        </w:rPr>
        <w:t>s</w:t>
      </w:r>
      <w:r w:rsidR="00A40680" w:rsidRPr="00615894">
        <w:rPr>
          <w:lang w:val="fr-CA"/>
        </w:rPr>
        <w:t> </w:t>
      </w:r>
      <w:r w:rsidR="00A0307B">
        <w:rPr>
          <w:lang w:val="fr-CA"/>
        </w:rPr>
        <w:t xml:space="preserve">: </w:t>
      </w:r>
      <w:proofErr w:type="spellStart"/>
      <w:r w:rsidRPr="00615894">
        <w:rPr>
          <w:lang w:val="fr-CA"/>
        </w:rPr>
        <w:t>Fasken</w:t>
      </w:r>
      <w:proofErr w:type="spellEnd"/>
      <w:r w:rsidRPr="00615894">
        <w:rPr>
          <w:lang w:val="fr-CA"/>
        </w:rPr>
        <w:t xml:space="preserve"> Martineau </w:t>
      </w:r>
      <w:proofErr w:type="spellStart"/>
      <w:r w:rsidRPr="00615894">
        <w:rPr>
          <w:lang w:val="fr-CA"/>
        </w:rPr>
        <w:t>DuMoulin</w:t>
      </w:r>
      <w:proofErr w:type="spellEnd"/>
      <w:r w:rsidRPr="00615894">
        <w:rPr>
          <w:lang w:val="fr-CA"/>
        </w:rPr>
        <w:t>, Montréal.</w:t>
      </w:r>
    </w:p>
    <w:p w:rsidR="00FD469D" w:rsidRPr="00615894" w:rsidRDefault="00FD469D" w:rsidP="00A0307B">
      <w:pPr>
        <w:pStyle w:val="SCCLawFirm"/>
        <w:spacing w:after="480"/>
        <w:rPr>
          <w:lang w:val="fr-CA"/>
        </w:rPr>
      </w:pPr>
      <w:r w:rsidRPr="00615894">
        <w:rPr>
          <w:lang w:val="fr-CA"/>
        </w:rPr>
        <w:tab/>
        <w:t>Procureur de l</w:t>
      </w:r>
      <w:r w:rsidR="00602BF2">
        <w:rPr>
          <w:lang w:val="fr-CA"/>
        </w:rPr>
        <w:t>’</w:t>
      </w:r>
      <w:r w:rsidRPr="00615894">
        <w:rPr>
          <w:lang w:val="fr-CA"/>
        </w:rPr>
        <w:t>intervenant le procureur génér</w:t>
      </w:r>
      <w:r w:rsidR="009F4FA4" w:rsidRPr="00615894">
        <w:rPr>
          <w:lang w:val="fr-CA"/>
        </w:rPr>
        <w:t>al de la Colombie</w:t>
      </w:r>
      <w:r w:rsidR="00A0307B">
        <w:rPr>
          <w:lang w:val="fr-CA"/>
        </w:rPr>
        <w:t>-</w:t>
      </w:r>
      <w:r w:rsidR="009F4FA4" w:rsidRPr="00615894">
        <w:rPr>
          <w:lang w:val="fr-CA"/>
        </w:rPr>
        <w:t>Britannique</w:t>
      </w:r>
      <w:r w:rsidR="00A40680" w:rsidRPr="00615894">
        <w:rPr>
          <w:lang w:val="fr-CA"/>
        </w:rPr>
        <w:t> </w:t>
      </w:r>
      <w:r w:rsidR="00A0307B">
        <w:rPr>
          <w:lang w:val="fr-CA"/>
        </w:rPr>
        <w:t xml:space="preserve">: </w:t>
      </w:r>
      <w:r w:rsidRPr="00615894">
        <w:rPr>
          <w:lang w:val="fr-CA"/>
        </w:rPr>
        <w:t>Procureur général de la Colombie</w:t>
      </w:r>
      <w:r w:rsidR="00A0307B">
        <w:rPr>
          <w:lang w:val="fr-CA"/>
        </w:rPr>
        <w:t>-</w:t>
      </w:r>
      <w:r w:rsidRPr="00615894">
        <w:rPr>
          <w:lang w:val="fr-CA"/>
        </w:rPr>
        <w:t>Britannique, Victoria.</w:t>
      </w:r>
    </w:p>
    <w:p w:rsidR="004D7D95" w:rsidRPr="00615894" w:rsidRDefault="00FD469D" w:rsidP="00A0307B">
      <w:pPr>
        <w:pStyle w:val="SCCNormalDoubleSpacing"/>
        <w:rPr>
          <w:i/>
          <w:lang w:val="fr-CA"/>
        </w:rPr>
      </w:pPr>
      <w:r w:rsidRPr="00615894">
        <w:rPr>
          <w:i/>
          <w:lang w:val="fr-CA"/>
        </w:rPr>
        <w:tab/>
        <w:t>Procureurs de l</w:t>
      </w:r>
      <w:r w:rsidR="00602BF2">
        <w:rPr>
          <w:i/>
          <w:lang w:val="fr-CA"/>
        </w:rPr>
        <w:t>’</w:t>
      </w:r>
      <w:r w:rsidRPr="00615894">
        <w:rPr>
          <w:i/>
          <w:lang w:val="fr-CA"/>
        </w:rPr>
        <w:t>interv</w:t>
      </w:r>
      <w:r w:rsidR="009F4FA4" w:rsidRPr="00615894">
        <w:rPr>
          <w:i/>
          <w:lang w:val="fr-CA"/>
        </w:rPr>
        <w:t>enante Arbitration Place Inc</w:t>
      </w:r>
      <w:r w:rsidR="00A0307B">
        <w:rPr>
          <w:i/>
          <w:lang w:val="fr-CA"/>
        </w:rPr>
        <w:t xml:space="preserve">. : </w:t>
      </w:r>
      <w:proofErr w:type="spellStart"/>
      <w:r w:rsidRPr="00615894">
        <w:rPr>
          <w:i/>
          <w:lang w:val="fr-CA"/>
        </w:rPr>
        <w:t>Lenczner</w:t>
      </w:r>
      <w:proofErr w:type="spellEnd"/>
      <w:r w:rsidRPr="00615894">
        <w:rPr>
          <w:i/>
          <w:lang w:val="fr-CA"/>
        </w:rPr>
        <w:t xml:space="preserve"> </w:t>
      </w:r>
      <w:proofErr w:type="spellStart"/>
      <w:r w:rsidRPr="00615894">
        <w:rPr>
          <w:i/>
          <w:lang w:val="fr-CA"/>
        </w:rPr>
        <w:t>Slaght</w:t>
      </w:r>
      <w:proofErr w:type="spellEnd"/>
      <w:r w:rsidRPr="00615894">
        <w:rPr>
          <w:i/>
          <w:lang w:val="fr-CA"/>
        </w:rPr>
        <w:t xml:space="preserve"> Royce Smith Griffin, Toronto.</w:t>
      </w:r>
    </w:p>
    <w:sectPr w:rsidR="004D7D95" w:rsidRPr="00615894"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442" w:rsidRDefault="00027442">
      <w:r>
        <w:separator/>
      </w:r>
    </w:p>
  </w:endnote>
  <w:endnote w:type="continuationSeparator" w:id="0">
    <w:p w:rsidR="00027442" w:rsidRDefault="00027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F7" w:rsidRDefault="003E41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F7" w:rsidRDefault="003E41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F7" w:rsidRDefault="003E4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442" w:rsidRDefault="00027442">
      <w:r>
        <w:separator/>
      </w:r>
    </w:p>
  </w:footnote>
  <w:footnote w:type="continuationSeparator" w:id="0">
    <w:p w:rsidR="00027442" w:rsidRDefault="00027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F7" w:rsidRDefault="003E41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42" w:rsidRPr="00450352" w:rsidRDefault="00027442"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F7" w:rsidRDefault="003E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5F25C4"/>
    <w:multiLevelType w:val="hybridMultilevel"/>
    <w:tmpl w:val="311A1A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96410E1"/>
    <w:multiLevelType w:val="multilevel"/>
    <w:tmpl w:val="8976D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B4C40"/>
    <w:multiLevelType w:val="multilevel"/>
    <w:tmpl w:val="0AD4A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58D2EA1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A03D24"/>
    <w:multiLevelType w:val="hybridMultilevel"/>
    <w:tmpl w:val="D3482594"/>
    <w:lvl w:ilvl="0" w:tplc="C8CA769C">
      <w:start w:val="1"/>
      <w:numFmt w:val="decimal"/>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348614C"/>
    <w:multiLevelType w:val="hybridMultilevel"/>
    <w:tmpl w:val="FBA8FC48"/>
    <w:lvl w:ilvl="0" w:tplc="17B02DBC">
      <w:start w:val="17"/>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7"/>
  </w:num>
  <w:num w:numId="6">
    <w:abstractNumId w:val="8"/>
  </w:num>
  <w:num w:numId="7">
    <w:abstractNumId w:val="5"/>
  </w:num>
  <w:num w:numId="8">
    <w:abstractNumId w:val="3"/>
  </w:num>
  <w:num w:numId="9">
    <w:abstractNumId w:val="4"/>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4625"/>
  </w:hdrShapeDefaults>
  <w:footnotePr>
    <w:footnote w:id="-1"/>
    <w:footnote w:id="0"/>
  </w:footnotePr>
  <w:endnotePr>
    <w:endnote w:id="-1"/>
    <w:endnote w:id="0"/>
  </w:endnotePr>
  <w:compat/>
  <w:rsids>
    <w:rsidRoot w:val="0031414C"/>
    <w:rsid w:val="00000ED4"/>
    <w:rsid w:val="0001518A"/>
    <w:rsid w:val="0002364E"/>
    <w:rsid w:val="00023FC7"/>
    <w:rsid w:val="000249C2"/>
    <w:rsid w:val="00025198"/>
    <w:rsid w:val="000264A2"/>
    <w:rsid w:val="00027442"/>
    <w:rsid w:val="000578A3"/>
    <w:rsid w:val="000648CC"/>
    <w:rsid w:val="00071377"/>
    <w:rsid w:val="000A6B3D"/>
    <w:rsid w:val="000B3F2A"/>
    <w:rsid w:val="000C59B8"/>
    <w:rsid w:val="000C6AF0"/>
    <w:rsid w:val="000D0A77"/>
    <w:rsid w:val="000D2CD8"/>
    <w:rsid w:val="000F1A61"/>
    <w:rsid w:val="000F7993"/>
    <w:rsid w:val="00104F33"/>
    <w:rsid w:val="00111DE2"/>
    <w:rsid w:val="00116B38"/>
    <w:rsid w:val="00123ECB"/>
    <w:rsid w:val="00133424"/>
    <w:rsid w:val="00135406"/>
    <w:rsid w:val="00135972"/>
    <w:rsid w:val="001426A9"/>
    <w:rsid w:val="00154D7C"/>
    <w:rsid w:val="001570B0"/>
    <w:rsid w:val="0015752C"/>
    <w:rsid w:val="00157737"/>
    <w:rsid w:val="00165277"/>
    <w:rsid w:val="00170592"/>
    <w:rsid w:val="001720F7"/>
    <w:rsid w:val="00195D83"/>
    <w:rsid w:val="001A00C1"/>
    <w:rsid w:val="001A0F3A"/>
    <w:rsid w:val="001A55C4"/>
    <w:rsid w:val="001B33E0"/>
    <w:rsid w:val="001B4573"/>
    <w:rsid w:val="001B4955"/>
    <w:rsid w:val="001C779F"/>
    <w:rsid w:val="001D2AC1"/>
    <w:rsid w:val="001D4E88"/>
    <w:rsid w:val="00200410"/>
    <w:rsid w:val="002041AF"/>
    <w:rsid w:val="00220FC2"/>
    <w:rsid w:val="002222F4"/>
    <w:rsid w:val="00224FC0"/>
    <w:rsid w:val="00225EA4"/>
    <w:rsid w:val="00226EAF"/>
    <w:rsid w:val="00231F3A"/>
    <w:rsid w:val="002406EE"/>
    <w:rsid w:val="00243EC8"/>
    <w:rsid w:val="00254C80"/>
    <w:rsid w:val="00270D93"/>
    <w:rsid w:val="002745CC"/>
    <w:rsid w:val="00275A1D"/>
    <w:rsid w:val="0029133B"/>
    <w:rsid w:val="002A482D"/>
    <w:rsid w:val="002A7D41"/>
    <w:rsid w:val="002B4BE4"/>
    <w:rsid w:val="002B6FBE"/>
    <w:rsid w:val="002B7924"/>
    <w:rsid w:val="002C10A6"/>
    <w:rsid w:val="002D28C3"/>
    <w:rsid w:val="002D39A4"/>
    <w:rsid w:val="002E5FEE"/>
    <w:rsid w:val="002E6705"/>
    <w:rsid w:val="0030329A"/>
    <w:rsid w:val="0031086F"/>
    <w:rsid w:val="0031414C"/>
    <w:rsid w:val="00314E01"/>
    <w:rsid w:val="0031662B"/>
    <w:rsid w:val="0032089D"/>
    <w:rsid w:val="003310DE"/>
    <w:rsid w:val="003323B0"/>
    <w:rsid w:val="00340A49"/>
    <w:rsid w:val="00345D46"/>
    <w:rsid w:val="0035169A"/>
    <w:rsid w:val="0035259D"/>
    <w:rsid w:val="00363328"/>
    <w:rsid w:val="00364B18"/>
    <w:rsid w:val="00367020"/>
    <w:rsid w:val="00370D9E"/>
    <w:rsid w:val="0038204B"/>
    <w:rsid w:val="003A125D"/>
    <w:rsid w:val="003A3210"/>
    <w:rsid w:val="003A4C70"/>
    <w:rsid w:val="003B1BBA"/>
    <w:rsid w:val="003B215F"/>
    <w:rsid w:val="003C051A"/>
    <w:rsid w:val="003C20BC"/>
    <w:rsid w:val="003C619B"/>
    <w:rsid w:val="003C799C"/>
    <w:rsid w:val="003D0399"/>
    <w:rsid w:val="003E1C71"/>
    <w:rsid w:val="003E41F7"/>
    <w:rsid w:val="003F1B5E"/>
    <w:rsid w:val="003F327B"/>
    <w:rsid w:val="00406166"/>
    <w:rsid w:val="0040704B"/>
    <w:rsid w:val="00410A55"/>
    <w:rsid w:val="00411300"/>
    <w:rsid w:val="00413F17"/>
    <w:rsid w:val="00415417"/>
    <w:rsid w:val="00426659"/>
    <w:rsid w:val="00450352"/>
    <w:rsid w:val="00454BDB"/>
    <w:rsid w:val="00460802"/>
    <w:rsid w:val="00464440"/>
    <w:rsid w:val="00465132"/>
    <w:rsid w:val="00465595"/>
    <w:rsid w:val="00480C90"/>
    <w:rsid w:val="00481947"/>
    <w:rsid w:val="0048396F"/>
    <w:rsid w:val="004853D2"/>
    <w:rsid w:val="00493C18"/>
    <w:rsid w:val="004A600C"/>
    <w:rsid w:val="004A6118"/>
    <w:rsid w:val="004C478D"/>
    <w:rsid w:val="004D7D95"/>
    <w:rsid w:val="004E2C26"/>
    <w:rsid w:val="00503AB1"/>
    <w:rsid w:val="005125A8"/>
    <w:rsid w:val="00517549"/>
    <w:rsid w:val="0052085F"/>
    <w:rsid w:val="00520ABC"/>
    <w:rsid w:val="0052194A"/>
    <w:rsid w:val="00521AE8"/>
    <w:rsid w:val="00527180"/>
    <w:rsid w:val="00540709"/>
    <w:rsid w:val="00541C64"/>
    <w:rsid w:val="00555291"/>
    <w:rsid w:val="00565D62"/>
    <w:rsid w:val="00566AD1"/>
    <w:rsid w:val="005756BC"/>
    <w:rsid w:val="00583EDE"/>
    <w:rsid w:val="00584C6B"/>
    <w:rsid w:val="005A3D32"/>
    <w:rsid w:val="005A6079"/>
    <w:rsid w:val="005A7F9D"/>
    <w:rsid w:val="005B653C"/>
    <w:rsid w:val="005C4C6F"/>
    <w:rsid w:val="005E4698"/>
    <w:rsid w:val="00602BF2"/>
    <w:rsid w:val="00603924"/>
    <w:rsid w:val="00610539"/>
    <w:rsid w:val="00610BB7"/>
    <w:rsid w:val="00613969"/>
    <w:rsid w:val="00614B79"/>
    <w:rsid w:val="00615894"/>
    <w:rsid w:val="00617CAD"/>
    <w:rsid w:val="00625C35"/>
    <w:rsid w:val="00632320"/>
    <w:rsid w:val="00641539"/>
    <w:rsid w:val="00647E49"/>
    <w:rsid w:val="00656313"/>
    <w:rsid w:val="006565F4"/>
    <w:rsid w:val="00673429"/>
    <w:rsid w:val="00676EEA"/>
    <w:rsid w:val="00684EEA"/>
    <w:rsid w:val="00694418"/>
    <w:rsid w:val="0069689B"/>
    <w:rsid w:val="006A1038"/>
    <w:rsid w:val="006B5FF5"/>
    <w:rsid w:val="006C0297"/>
    <w:rsid w:val="006D1E7B"/>
    <w:rsid w:val="006F30AF"/>
    <w:rsid w:val="006F3B7A"/>
    <w:rsid w:val="006F424C"/>
    <w:rsid w:val="00701759"/>
    <w:rsid w:val="00705C15"/>
    <w:rsid w:val="007110F6"/>
    <w:rsid w:val="00712109"/>
    <w:rsid w:val="007208D1"/>
    <w:rsid w:val="00721876"/>
    <w:rsid w:val="007412FE"/>
    <w:rsid w:val="00744518"/>
    <w:rsid w:val="00747288"/>
    <w:rsid w:val="00747DD3"/>
    <w:rsid w:val="007549C8"/>
    <w:rsid w:val="00766D14"/>
    <w:rsid w:val="00767A0F"/>
    <w:rsid w:val="00791272"/>
    <w:rsid w:val="00794A4C"/>
    <w:rsid w:val="0079529C"/>
    <w:rsid w:val="007A05F6"/>
    <w:rsid w:val="007B635D"/>
    <w:rsid w:val="007B6F4A"/>
    <w:rsid w:val="007D7D81"/>
    <w:rsid w:val="007E1C47"/>
    <w:rsid w:val="007E337A"/>
    <w:rsid w:val="007E5C70"/>
    <w:rsid w:val="007F2FF5"/>
    <w:rsid w:val="007F3F08"/>
    <w:rsid w:val="00804CC6"/>
    <w:rsid w:val="0081394F"/>
    <w:rsid w:val="00817190"/>
    <w:rsid w:val="00817288"/>
    <w:rsid w:val="00821F56"/>
    <w:rsid w:val="008260E2"/>
    <w:rsid w:val="008322BD"/>
    <w:rsid w:val="00834F73"/>
    <w:rsid w:val="00864C8A"/>
    <w:rsid w:val="00864CF8"/>
    <w:rsid w:val="00874914"/>
    <w:rsid w:val="0087762B"/>
    <w:rsid w:val="00882633"/>
    <w:rsid w:val="00891422"/>
    <w:rsid w:val="00892E1A"/>
    <w:rsid w:val="008B660A"/>
    <w:rsid w:val="008C01DA"/>
    <w:rsid w:val="008C4FD7"/>
    <w:rsid w:val="008D59E9"/>
    <w:rsid w:val="008F0696"/>
    <w:rsid w:val="008F22C6"/>
    <w:rsid w:val="008F2674"/>
    <w:rsid w:val="008F78E9"/>
    <w:rsid w:val="009179F9"/>
    <w:rsid w:val="00917C7A"/>
    <w:rsid w:val="00933E5E"/>
    <w:rsid w:val="00935218"/>
    <w:rsid w:val="00937C52"/>
    <w:rsid w:val="009403F3"/>
    <w:rsid w:val="00941560"/>
    <w:rsid w:val="00943C06"/>
    <w:rsid w:val="00943D47"/>
    <w:rsid w:val="009555B7"/>
    <w:rsid w:val="009567AA"/>
    <w:rsid w:val="00957465"/>
    <w:rsid w:val="009602C9"/>
    <w:rsid w:val="009630C2"/>
    <w:rsid w:val="00967374"/>
    <w:rsid w:val="00972DE5"/>
    <w:rsid w:val="009A343A"/>
    <w:rsid w:val="009B2F23"/>
    <w:rsid w:val="009B57B3"/>
    <w:rsid w:val="009D2920"/>
    <w:rsid w:val="009D5AEB"/>
    <w:rsid w:val="009F0E33"/>
    <w:rsid w:val="009F36C4"/>
    <w:rsid w:val="009F4FA4"/>
    <w:rsid w:val="009F7275"/>
    <w:rsid w:val="00A0307B"/>
    <w:rsid w:val="00A05CA7"/>
    <w:rsid w:val="00A149DF"/>
    <w:rsid w:val="00A1755C"/>
    <w:rsid w:val="00A20F00"/>
    <w:rsid w:val="00A21B90"/>
    <w:rsid w:val="00A22AAC"/>
    <w:rsid w:val="00A273D8"/>
    <w:rsid w:val="00A30F73"/>
    <w:rsid w:val="00A3241C"/>
    <w:rsid w:val="00A40680"/>
    <w:rsid w:val="00A41805"/>
    <w:rsid w:val="00A51882"/>
    <w:rsid w:val="00A52AFB"/>
    <w:rsid w:val="00A548CB"/>
    <w:rsid w:val="00A5521C"/>
    <w:rsid w:val="00A643E7"/>
    <w:rsid w:val="00A73C38"/>
    <w:rsid w:val="00A84D24"/>
    <w:rsid w:val="00A87B76"/>
    <w:rsid w:val="00AB670D"/>
    <w:rsid w:val="00AC1C71"/>
    <w:rsid w:val="00AE7272"/>
    <w:rsid w:val="00AF03C5"/>
    <w:rsid w:val="00AF2304"/>
    <w:rsid w:val="00B000D8"/>
    <w:rsid w:val="00B00F75"/>
    <w:rsid w:val="00B145B6"/>
    <w:rsid w:val="00B279EB"/>
    <w:rsid w:val="00B370EE"/>
    <w:rsid w:val="00B46870"/>
    <w:rsid w:val="00B47490"/>
    <w:rsid w:val="00B50C81"/>
    <w:rsid w:val="00B557F8"/>
    <w:rsid w:val="00B76282"/>
    <w:rsid w:val="00B810D4"/>
    <w:rsid w:val="00B815FC"/>
    <w:rsid w:val="00B87289"/>
    <w:rsid w:val="00B93FBC"/>
    <w:rsid w:val="00BA7DA0"/>
    <w:rsid w:val="00BB2EE4"/>
    <w:rsid w:val="00BB4C92"/>
    <w:rsid w:val="00BC2108"/>
    <w:rsid w:val="00BD0E9E"/>
    <w:rsid w:val="00BD1BEC"/>
    <w:rsid w:val="00BD32FF"/>
    <w:rsid w:val="00BF6FE9"/>
    <w:rsid w:val="00C02092"/>
    <w:rsid w:val="00C22E0C"/>
    <w:rsid w:val="00C2354E"/>
    <w:rsid w:val="00C24D91"/>
    <w:rsid w:val="00C26DB2"/>
    <w:rsid w:val="00C50860"/>
    <w:rsid w:val="00C51A85"/>
    <w:rsid w:val="00C53F14"/>
    <w:rsid w:val="00C600CF"/>
    <w:rsid w:val="00C603A9"/>
    <w:rsid w:val="00C6084F"/>
    <w:rsid w:val="00C6205B"/>
    <w:rsid w:val="00C62A66"/>
    <w:rsid w:val="00C66359"/>
    <w:rsid w:val="00C71458"/>
    <w:rsid w:val="00C77613"/>
    <w:rsid w:val="00C828E7"/>
    <w:rsid w:val="00C86719"/>
    <w:rsid w:val="00C9028A"/>
    <w:rsid w:val="00C921DD"/>
    <w:rsid w:val="00CA0919"/>
    <w:rsid w:val="00CA6391"/>
    <w:rsid w:val="00CC11C7"/>
    <w:rsid w:val="00CC34F5"/>
    <w:rsid w:val="00CE036E"/>
    <w:rsid w:val="00CE3171"/>
    <w:rsid w:val="00CF0ECD"/>
    <w:rsid w:val="00CF1601"/>
    <w:rsid w:val="00CF1B83"/>
    <w:rsid w:val="00CF544F"/>
    <w:rsid w:val="00CF6DF9"/>
    <w:rsid w:val="00CF7CD9"/>
    <w:rsid w:val="00D0172F"/>
    <w:rsid w:val="00D01E33"/>
    <w:rsid w:val="00D068A7"/>
    <w:rsid w:val="00D14340"/>
    <w:rsid w:val="00D17476"/>
    <w:rsid w:val="00D32086"/>
    <w:rsid w:val="00D37A3F"/>
    <w:rsid w:val="00D4431D"/>
    <w:rsid w:val="00D465BF"/>
    <w:rsid w:val="00D4667A"/>
    <w:rsid w:val="00D54F9B"/>
    <w:rsid w:val="00D63A1C"/>
    <w:rsid w:val="00D7516F"/>
    <w:rsid w:val="00D95F8E"/>
    <w:rsid w:val="00DA0590"/>
    <w:rsid w:val="00DB5FA5"/>
    <w:rsid w:val="00DC1739"/>
    <w:rsid w:val="00DC1788"/>
    <w:rsid w:val="00DC3536"/>
    <w:rsid w:val="00DC679B"/>
    <w:rsid w:val="00DD4EE2"/>
    <w:rsid w:val="00DE319C"/>
    <w:rsid w:val="00DE7395"/>
    <w:rsid w:val="00DF0CA8"/>
    <w:rsid w:val="00DF2B48"/>
    <w:rsid w:val="00DF49A7"/>
    <w:rsid w:val="00E07EE2"/>
    <w:rsid w:val="00E07FD1"/>
    <w:rsid w:val="00E24573"/>
    <w:rsid w:val="00E25E1E"/>
    <w:rsid w:val="00E27EE7"/>
    <w:rsid w:val="00E35404"/>
    <w:rsid w:val="00E45109"/>
    <w:rsid w:val="00E47B7A"/>
    <w:rsid w:val="00E5321A"/>
    <w:rsid w:val="00E56A44"/>
    <w:rsid w:val="00E60269"/>
    <w:rsid w:val="00E77538"/>
    <w:rsid w:val="00E85342"/>
    <w:rsid w:val="00E87085"/>
    <w:rsid w:val="00E97830"/>
    <w:rsid w:val="00EA2F4E"/>
    <w:rsid w:val="00EB15CB"/>
    <w:rsid w:val="00EB538A"/>
    <w:rsid w:val="00ED2914"/>
    <w:rsid w:val="00ED67FF"/>
    <w:rsid w:val="00EE0830"/>
    <w:rsid w:val="00EE47F0"/>
    <w:rsid w:val="00EE6CB8"/>
    <w:rsid w:val="00EF0683"/>
    <w:rsid w:val="00EF67DE"/>
    <w:rsid w:val="00F0070C"/>
    <w:rsid w:val="00F00EB7"/>
    <w:rsid w:val="00F302BE"/>
    <w:rsid w:val="00F3157A"/>
    <w:rsid w:val="00F36AB6"/>
    <w:rsid w:val="00F37A09"/>
    <w:rsid w:val="00F409CE"/>
    <w:rsid w:val="00F4379D"/>
    <w:rsid w:val="00F471BB"/>
    <w:rsid w:val="00F50D2D"/>
    <w:rsid w:val="00F56C8B"/>
    <w:rsid w:val="00F62639"/>
    <w:rsid w:val="00F66810"/>
    <w:rsid w:val="00F73121"/>
    <w:rsid w:val="00F809AE"/>
    <w:rsid w:val="00F844C6"/>
    <w:rsid w:val="00F84DF4"/>
    <w:rsid w:val="00F85C97"/>
    <w:rsid w:val="00F874E2"/>
    <w:rsid w:val="00F9433B"/>
    <w:rsid w:val="00FB37D2"/>
    <w:rsid w:val="00FB6D53"/>
    <w:rsid w:val="00FC4EFB"/>
    <w:rsid w:val="00FD068D"/>
    <w:rsid w:val="00FD1C7F"/>
    <w:rsid w:val="00FD469D"/>
    <w:rsid w:val="00FD4F28"/>
    <w:rsid w:val="00FD523E"/>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F3157A"/>
    <w:pPr>
      <w:spacing w:after="480"/>
    </w:pPr>
    <w:rPr>
      <w:rFonts w:eastAsiaTheme="minorHAnsi" w:cstheme="minorBidi"/>
      <w:szCs w:val="22"/>
      <w:lang w:eastAsia="en-US"/>
    </w:rPr>
  </w:style>
  <w:style w:type="paragraph" w:customStyle="1" w:styleId="SCCCoram">
    <w:name w:val="SCC.Coram"/>
    <w:basedOn w:val="Normal"/>
    <w:next w:val="Normal"/>
    <w:link w:val="SCCCoramChar"/>
    <w:rsid w:val="00F3157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3157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3157A"/>
    <w:rPr>
      <w:rFonts w:eastAsiaTheme="minorHAnsi" w:cstheme="minorBidi"/>
      <w:sz w:val="24"/>
      <w:szCs w:val="22"/>
      <w:lang w:eastAsia="en-US"/>
    </w:rPr>
  </w:style>
  <w:style w:type="character" w:customStyle="1" w:styleId="SCCBanSummaryChar">
    <w:name w:val="SCC.BanSummary Char"/>
    <w:basedOn w:val="DefaultParagraphFont"/>
    <w:link w:val="SCCBanSummary"/>
    <w:rsid w:val="00F3157A"/>
    <w:rPr>
      <w:b/>
      <w:sz w:val="24"/>
    </w:rPr>
  </w:style>
  <w:style w:type="table" w:styleId="TableGrid">
    <w:name w:val="Table Grid"/>
    <w:basedOn w:val="TableNormal"/>
    <w:uiPriority w:val="59"/>
    <w:rsid w:val="00F3157A"/>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3157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3157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3157A"/>
    <w:pPr>
      <w:tabs>
        <w:tab w:val="left" w:pos="1166"/>
      </w:tabs>
      <w:spacing w:after="480" w:line="480" w:lineRule="auto"/>
    </w:pPr>
    <w:rPr>
      <w:smallCaps/>
      <w:sz w:val="24"/>
      <w:szCs w:val="24"/>
    </w:rPr>
  </w:style>
  <w:style w:type="paragraph" w:customStyle="1" w:styleId="ParaNoNdepar-AltN">
    <w:name w:val="Para. No. / Nº de par. - Alt N"/>
    <w:qFormat/>
    <w:rsid w:val="00F3157A"/>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3157A"/>
    <w:pPr>
      <w:keepNext/>
      <w:numPr>
        <w:numId w:val="7"/>
      </w:numPr>
      <w:tabs>
        <w:tab w:val="left" w:pos="576"/>
      </w:tabs>
      <w:spacing w:after="720"/>
      <w:ind w:left="578" w:hanging="578"/>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3157A"/>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F3157A"/>
    <w:pPr>
      <w:numPr>
        <w:ilvl w:val="2"/>
      </w:numPr>
      <w:tabs>
        <w:tab w:val="clear" w:pos="576"/>
        <w:tab w:val="num" w:pos="1080"/>
      </w:tabs>
      <w:ind w:left="1078" w:hanging="539"/>
    </w:pPr>
  </w:style>
  <w:style w:type="paragraph" w:customStyle="1" w:styleId="Title4LevelTitre4Niveau">
    <w:name w:val="Title 4 Level / Titre 4 Niveau"/>
    <w:basedOn w:val="Title3LevelTitre3Niveau"/>
    <w:next w:val="ParaNoNdepar-AltN"/>
    <w:uiPriority w:val="4"/>
    <w:qFormat/>
    <w:rsid w:val="00F3157A"/>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F3157A"/>
    <w:pPr>
      <w:numPr>
        <w:ilvl w:val="4"/>
      </w:numPr>
      <w:tabs>
        <w:tab w:val="clear" w:pos="576"/>
        <w:tab w:val="left" w:pos="1620"/>
      </w:tabs>
      <w:ind w:left="1620" w:hanging="540"/>
    </w:pPr>
  </w:style>
  <w:style w:type="paragraph" w:styleId="TOC1">
    <w:name w:val="toc 1"/>
    <w:basedOn w:val="Normal"/>
    <w:next w:val="Normal"/>
    <w:autoRedefine/>
    <w:uiPriority w:val="39"/>
    <w:unhideWhenUsed/>
    <w:rsid w:val="00F3157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3157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3157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3157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3157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3157A"/>
    <w:pPr>
      <w:tabs>
        <w:tab w:val="left" w:pos="2160"/>
        <w:tab w:val="right" w:leader="dot" w:pos="8270"/>
      </w:tabs>
      <w:spacing w:after="100"/>
      <w:ind w:left="1800"/>
    </w:pPr>
    <w:rPr>
      <w:noProof/>
    </w:rPr>
  </w:style>
  <w:style w:type="table" w:customStyle="1" w:styleId="TableGrid1">
    <w:name w:val="Table Grid1"/>
    <w:basedOn w:val="TableNormal"/>
    <w:uiPriority w:val="59"/>
    <w:rsid w:val="00F3157A"/>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F3157A"/>
    <w:pPr>
      <w:keepNext/>
      <w:tabs>
        <w:tab w:val="left" w:pos="360"/>
      </w:tabs>
      <w:spacing w:after="720"/>
      <w:ind w:left="357" w:hanging="357"/>
      <w:jc w:val="both"/>
    </w:pPr>
    <w:rPr>
      <w:rFonts w:eastAsiaTheme="minorHAnsi" w:cstheme="minorBidi"/>
      <w:sz w:val="24"/>
      <w:szCs w:val="22"/>
      <w:lang w:eastAsia="en-US"/>
    </w:rPr>
  </w:style>
  <w:style w:type="paragraph" w:customStyle="1" w:styleId="loose">
    <w:name w:val="loose"/>
    <w:basedOn w:val="Normal"/>
    <w:rsid w:val="00F3157A"/>
    <w:pPr>
      <w:spacing w:before="190"/>
    </w:pPr>
    <w:rPr>
      <w:szCs w:val="24"/>
    </w:rPr>
  </w:style>
  <w:style w:type="character" w:customStyle="1" w:styleId="bold1">
    <w:name w:val="bold1"/>
    <w:basedOn w:val="DefaultParagraphFont"/>
    <w:rsid w:val="00F3157A"/>
    <w:rPr>
      <w:b/>
      <w:bCs/>
    </w:rPr>
  </w:style>
  <w:style w:type="character" w:styleId="Hyperlink">
    <w:name w:val="Hyperlink"/>
    <w:basedOn w:val="DefaultParagraphFont"/>
    <w:uiPriority w:val="99"/>
    <w:unhideWhenUsed/>
    <w:rsid w:val="00F3157A"/>
    <w:rPr>
      <w:color w:val="0000FF" w:themeColor="hyperlink"/>
      <w:u w:val="single"/>
    </w:rPr>
  </w:style>
  <w:style w:type="character" w:styleId="CommentReference">
    <w:name w:val="annotation reference"/>
    <w:basedOn w:val="DefaultParagraphFont"/>
    <w:rsid w:val="00F3157A"/>
    <w:rPr>
      <w:sz w:val="16"/>
      <w:szCs w:val="16"/>
    </w:rPr>
  </w:style>
  <w:style w:type="paragraph" w:styleId="CommentText">
    <w:name w:val="annotation text"/>
    <w:basedOn w:val="Normal"/>
    <w:link w:val="CommentTextChar"/>
    <w:rsid w:val="00F3157A"/>
    <w:rPr>
      <w:sz w:val="20"/>
    </w:rPr>
  </w:style>
  <w:style w:type="character" w:customStyle="1" w:styleId="CommentTextChar">
    <w:name w:val="Comment Text Char"/>
    <w:basedOn w:val="DefaultParagraphFont"/>
    <w:link w:val="CommentText"/>
    <w:rsid w:val="00F3157A"/>
  </w:style>
  <w:style w:type="paragraph" w:styleId="CommentSubject">
    <w:name w:val="annotation subject"/>
    <w:basedOn w:val="CommentText"/>
    <w:next w:val="CommentText"/>
    <w:link w:val="CommentSubjectChar"/>
    <w:rsid w:val="00F3157A"/>
    <w:rPr>
      <w:b/>
      <w:bCs/>
    </w:rPr>
  </w:style>
  <w:style w:type="character" w:customStyle="1" w:styleId="CommentSubjectChar">
    <w:name w:val="Comment Subject Char"/>
    <w:basedOn w:val="CommentTextChar"/>
    <w:link w:val="CommentSubject"/>
    <w:rsid w:val="00F3157A"/>
    <w:rPr>
      <w:b/>
      <w:bCs/>
    </w:rPr>
  </w:style>
  <w:style w:type="paragraph" w:styleId="ListParagraph">
    <w:name w:val="List Paragraph"/>
    <w:basedOn w:val="Normal"/>
    <w:rsid w:val="00F3157A"/>
    <w:pPr>
      <w:ind w:left="720"/>
      <w:contextualSpacing/>
    </w:pPr>
    <w:rPr>
      <w:szCs w:val="24"/>
    </w:rPr>
  </w:style>
  <w:style w:type="table" w:customStyle="1" w:styleId="TableGrid2">
    <w:name w:val="Table Grid2"/>
    <w:basedOn w:val="TableNormal"/>
    <w:next w:val="TableGrid"/>
    <w:uiPriority w:val="59"/>
    <w:rsid w:val="00F3157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941560"/>
    <w:rPr>
      <w:lang w:val="fr-CA"/>
    </w:rPr>
  </w:style>
  <w:style w:type="paragraph" w:customStyle="1" w:styleId="SCCLsocPrefix">
    <w:name w:val="SCC.Lsoc.Prefix"/>
    <w:basedOn w:val="Normal"/>
    <w:next w:val="Normal"/>
    <w:link w:val="SCCLsocPrefixChar"/>
    <w:rsid w:val="0094156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41560"/>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25B8-093B-4C8B-884F-AA1F4823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12924</Words>
  <Characters>68747</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2014-05-09T15:58:00Z</dcterms:created>
  <dcterms:modified xsi:type="dcterms:W3CDTF">2014-09-19T13:59:00Z</dcterms:modified>
</cp:coreProperties>
</file>