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9E" w:rsidRDefault="008E579E" w:rsidP="008E579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79878546" r:id="rId9"/>
        </w:object>
      </w:r>
      <w:r>
        <w:t xml:space="preserve"> </w:t>
      </w:r>
      <w:r>
        <w:ptab w:relativeTo="margin" w:alignment="right" w:leader="none"/>
      </w:r>
    </w:p>
    <w:p w:rsidR="008E579E" w:rsidRDefault="008E579E" w:rsidP="008E579E">
      <w:pPr>
        <w:pStyle w:val="Header"/>
      </w:pPr>
    </w:p>
    <w:p w:rsidR="008E579E" w:rsidRPr="001E12E2" w:rsidRDefault="008E579E" w:rsidP="008E579E">
      <w:pPr>
        <w:jc w:val="center"/>
        <w:rPr>
          <w:b/>
        </w:rPr>
      </w:pPr>
      <w:r w:rsidRPr="001E12E2">
        <w:rPr>
          <w:b/>
        </w:rPr>
        <w:t>COUR SUPRÊME DU CANADA</w:t>
      </w:r>
    </w:p>
    <w:p w:rsidR="008E579E" w:rsidRDefault="008E579E" w:rsidP="008E579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E579E" w:rsidRPr="001E12E2" w:rsidTr="00206FCE">
        <w:trPr>
          <w:cantSplit/>
        </w:trPr>
        <w:tc>
          <w:tcPr>
            <w:tcW w:w="6768" w:type="dxa"/>
          </w:tcPr>
          <w:p w:rsidR="008E579E" w:rsidRPr="008E579E" w:rsidRDefault="008E579E" w:rsidP="00206FCE">
            <w:pPr>
              <w:rPr>
                <w:lang w:val="fr-CA"/>
              </w:rPr>
            </w:pPr>
            <w:r w:rsidRPr="008E579E">
              <w:rPr>
                <w:b/>
                <w:smallCaps/>
                <w:lang w:val="fr-CA"/>
              </w:rPr>
              <w:t>Référence :</w:t>
            </w:r>
            <w:r w:rsidRPr="008E579E">
              <w:rPr>
                <w:lang w:val="fr-CA"/>
              </w:rPr>
              <w:t xml:space="preserve"> Untel </w:t>
            </w:r>
            <w:r w:rsidRPr="008E579E">
              <w:rPr>
                <w:i/>
                <w:lang w:val="fr-CA"/>
              </w:rPr>
              <w:t>c.</w:t>
            </w:r>
            <w:r w:rsidRPr="008E579E">
              <w:rPr>
                <w:lang w:val="fr-CA"/>
              </w:rPr>
              <w:t xml:space="preserve"> Ontario (Finances), 2014 CSC 36</w:t>
            </w:r>
            <w:r>
              <w:rPr>
                <w:lang w:val="fr-CA"/>
              </w:rPr>
              <w:t>, [2014] 2 R.C.S. 3</w:t>
            </w:r>
          </w:p>
        </w:tc>
        <w:tc>
          <w:tcPr>
            <w:tcW w:w="2808" w:type="dxa"/>
          </w:tcPr>
          <w:p w:rsidR="008E579E" w:rsidRPr="001E12E2" w:rsidRDefault="008E579E" w:rsidP="00206FCE">
            <w:r w:rsidRPr="001E12E2">
              <w:rPr>
                <w:b/>
                <w:smallCaps/>
              </w:rPr>
              <w:t>Date</w:t>
            </w:r>
            <w:r>
              <w:rPr>
                <w:b/>
                <w:smallCaps/>
              </w:rPr>
              <w:t> :</w:t>
            </w:r>
            <w:r w:rsidRPr="001E12E2">
              <w:t xml:space="preserve"> </w:t>
            </w:r>
            <w:r>
              <w:t>20140509</w:t>
            </w:r>
          </w:p>
          <w:p w:rsidR="008E579E" w:rsidRPr="001E12E2" w:rsidRDefault="008E579E" w:rsidP="00206FCE">
            <w:r w:rsidRPr="001E12E2">
              <w:rPr>
                <w:b/>
                <w:smallCaps/>
              </w:rPr>
              <w:t>Do</w:t>
            </w:r>
            <w:r>
              <w:rPr>
                <w:b/>
                <w:smallCaps/>
              </w:rPr>
              <w:t>ssier :</w:t>
            </w:r>
            <w:r w:rsidRPr="001E12E2">
              <w:t xml:space="preserve"> </w:t>
            </w:r>
            <w:r>
              <w:t>34828</w:t>
            </w:r>
          </w:p>
        </w:tc>
      </w:tr>
    </w:tbl>
    <w:p w:rsidR="008E579E" w:rsidRPr="001E12E2" w:rsidRDefault="008E579E" w:rsidP="008E579E"/>
    <w:p w:rsidR="008E579E" w:rsidRDefault="008E579E" w:rsidP="002F658A">
      <w:pPr>
        <w:pStyle w:val="SCCLsocPrefix"/>
      </w:pPr>
      <w:r>
        <w:t>Entre :</w:t>
      </w:r>
    </w:p>
    <w:p w:rsidR="008E579E" w:rsidRPr="002F658A" w:rsidRDefault="008E579E" w:rsidP="002F658A">
      <w:pPr>
        <w:pStyle w:val="SCCLsocParty"/>
        <w:jc w:val="center"/>
        <w:rPr>
          <w:lang w:val="fr-CA"/>
        </w:rPr>
      </w:pPr>
      <w:r w:rsidRPr="002F658A">
        <w:rPr>
          <w:lang w:val="fr-CA"/>
        </w:rPr>
        <w:t>M. Untel, requérant</w:t>
      </w:r>
    </w:p>
    <w:p w:rsidR="008E579E" w:rsidRPr="002F658A" w:rsidRDefault="008E579E" w:rsidP="002F658A">
      <w:pPr>
        <w:jc w:val="center"/>
        <w:rPr>
          <w:lang w:val="fr-CA"/>
        </w:rPr>
      </w:pPr>
      <w:r w:rsidRPr="002F658A">
        <w:rPr>
          <w:lang w:val="fr-CA"/>
        </w:rPr>
        <w:t>Appelant</w:t>
      </w:r>
    </w:p>
    <w:p w:rsidR="008E579E" w:rsidRPr="002F658A" w:rsidRDefault="008E579E" w:rsidP="002F658A">
      <w:pPr>
        <w:pStyle w:val="SCCLsocVersus"/>
        <w:spacing w:after="0"/>
        <w:jc w:val="center"/>
        <w:rPr>
          <w:i w:val="0"/>
          <w:lang w:val="fr-CA"/>
        </w:rPr>
      </w:pPr>
      <w:proofErr w:type="gramStart"/>
      <w:r w:rsidRPr="002F658A">
        <w:rPr>
          <w:i w:val="0"/>
          <w:lang w:val="fr-CA"/>
        </w:rPr>
        <w:t>et</w:t>
      </w:r>
      <w:proofErr w:type="gramEnd"/>
    </w:p>
    <w:p w:rsidR="008E579E" w:rsidRPr="008E579E" w:rsidRDefault="008E579E" w:rsidP="002F658A">
      <w:pPr>
        <w:pStyle w:val="SCCLsocParty"/>
        <w:jc w:val="center"/>
        <w:rPr>
          <w:lang w:val="fr-CA"/>
        </w:rPr>
      </w:pPr>
      <w:r w:rsidRPr="008E579E">
        <w:rPr>
          <w:lang w:val="fr-CA"/>
        </w:rPr>
        <w:t>Ministre des Finances de la province de l’Ontario</w:t>
      </w:r>
    </w:p>
    <w:p w:rsidR="008E579E" w:rsidRPr="008E579E" w:rsidRDefault="008E579E" w:rsidP="002F658A">
      <w:pPr>
        <w:jc w:val="center"/>
        <w:rPr>
          <w:lang w:val="fr-CA"/>
        </w:rPr>
      </w:pPr>
      <w:r w:rsidRPr="008E579E">
        <w:rPr>
          <w:lang w:val="fr-CA"/>
        </w:rPr>
        <w:t>Intimé</w:t>
      </w:r>
    </w:p>
    <w:p w:rsidR="008E579E" w:rsidRPr="002F658A" w:rsidRDefault="008E579E" w:rsidP="002F658A">
      <w:pPr>
        <w:pStyle w:val="SCCLsocSubfileSeparator"/>
        <w:spacing w:after="0"/>
        <w:jc w:val="both"/>
        <w:rPr>
          <w:b/>
          <w:smallCaps/>
          <w:lang w:val="fr-CA"/>
        </w:rPr>
      </w:pPr>
      <w:r w:rsidRPr="002F658A">
        <w:rPr>
          <w:b/>
          <w:smallCaps/>
          <w:lang w:val="fr-CA"/>
        </w:rPr>
        <w:t>Et entre :</w:t>
      </w:r>
    </w:p>
    <w:p w:rsidR="008E579E" w:rsidRPr="008E579E" w:rsidRDefault="008E579E" w:rsidP="002F658A">
      <w:pPr>
        <w:pStyle w:val="SCCLsocParty"/>
        <w:jc w:val="center"/>
        <w:rPr>
          <w:lang w:val="fr-CA"/>
        </w:rPr>
      </w:pPr>
      <w:r w:rsidRPr="008E579E">
        <w:rPr>
          <w:lang w:val="fr-CA"/>
        </w:rPr>
        <w:t>Commissaire à l’information et à la protection de la vie privée de l’Ontario</w:t>
      </w:r>
    </w:p>
    <w:p w:rsidR="008E579E" w:rsidRPr="008E579E" w:rsidRDefault="008E579E" w:rsidP="002F658A">
      <w:pPr>
        <w:pStyle w:val="SCCLsocParty"/>
        <w:jc w:val="center"/>
        <w:rPr>
          <w:lang w:val="fr-CA"/>
        </w:rPr>
      </w:pPr>
      <w:r w:rsidRPr="008E579E">
        <w:rPr>
          <w:lang w:val="fr-CA"/>
        </w:rPr>
        <w:t>(Diane Smith, arbitre)</w:t>
      </w:r>
    </w:p>
    <w:p w:rsidR="008E579E" w:rsidRPr="008E579E" w:rsidRDefault="008E579E" w:rsidP="002F658A">
      <w:pPr>
        <w:jc w:val="center"/>
        <w:rPr>
          <w:lang w:val="fr-CA"/>
        </w:rPr>
      </w:pPr>
      <w:r w:rsidRPr="008E579E">
        <w:rPr>
          <w:lang w:val="fr-CA"/>
        </w:rPr>
        <w:t>Appelante</w:t>
      </w:r>
    </w:p>
    <w:p w:rsidR="008E579E" w:rsidRPr="002F658A" w:rsidRDefault="008E579E" w:rsidP="002F658A">
      <w:pPr>
        <w:pStyle w:val="SCCLsocVersus"/>
        <w:spacing w:after="0"/>
        <w:jc w:val="center"/>
        <w:rPr>
          <w:i w:val="0"/>
          <w:lang w:val="fr-CA"/>
        </w:rPr>
      </w:pPr>
      <w:proofErr w:type="gramStart"/>
      <w:r w:rsidRPr="002F658A">
        <w:rPr>
          <w:i w:val="0"/>
          <w:lang w:val="fr-CA"/>
        </w:rPr>
        <w:t>et</w:t>
      </w:r>
      <w:proofErr w:type="gramEnd"/>
    </w:p>
    <w:p w:rsidR="008E579E" w:rsidRPr="008E579E" w:rsidRDefault="008E579E" w:rsidP="002F658A">
      <w:pPr>
        <w:pStyle w:val="SCCLsocParty"/>
        <w:jc w:val="center"/>
        <w:rPr>
          <w:lang w:val="fr-CA"/>
        </w:rPr>
      </w:pPr>
      <w:r w:rsidRPr="008E579E">
        <w:rPr>
          <w:lang w:val="fr-CA"/>
        </w:rPr>
        <w:t>Ministre des Finances de la province de l’Ontario</w:t>
      </w:r>
    </w:p>
    <w:p w:rsidR="008E579E" w:rsidRPr="008E579E" w:rsidRDefault="008E579E" w:rsidP="002F658A">
      <w:pPr>
        <w:jc w:val="center"/>
        <w:rPr>
          <w:lang w:val="fr-CA"/>
        </w:rPr>
      </w:pPr>
      <w:r w:rsidRPr="008E579E">
        <w:rPr>
          <w:lang w:val="fr-CA"/>
        </w:rPr>
        <w:t>Intimé</w:t>
      </w:r>
    </w:p>
    <w:p w:rsidR="008E579E" w:rsidRPr="008E579E" w:rsidRDefault="008E579E" w:rsidP="002F658A">
      <w:pPr>
        <w:pStyle w:val="SCCLsocOtherPartySeparator"/>
        <w:spacing w:after="0"/>
        <w:jc w:val="center"/>
        <w:rPr>
          <w:lang w:val="fr-CA"/>
        </w:rPr>
      </w:pPr>
      <w:r w:rsidRPr="008E579E">
        <w:rPr>
          <w:lang w:val="fr-CA"/>
        </w:rPr>
        <w:t>- et -</w:t>
      </w:r>
    </w:p>
    <w:p w:rsidR="008E579E" w:rsidRPr="008E579E" w:rsidRDefault="008E579E" w:rsidP="002F658A">
      <w:pPr>
        <w:pStyle w:val="SCCLsocParty"/>
        <w:jc w:val="center"/>
        <w:rPr>
          <w:lang w:val="fr-CA"/>
        </w:rPr>
      </w:pPr>
      <w:r w:rsidRPr="008E579E">
        <w:rPr>
          <w:lang w:val="fr-CA"/>
        </w:rPr>
        <w:t>Procureur général du Canada, procureur général de la Colombie-Britannique,</w:t>
      </w:r>
    </w:p>
    <w:p w:rsidR="008E579E" w:rsidRDefault="008E579E" w:rsidP="002F658A">
      <w:pPr>
        <w:pStyle w:val="SCCLsocParty"/>
        <w:jc w:val="center"/>
        <w:rPr>
          <w:lang w:val="en-US"/>
        </w:rPr>
      </w:pPr>
      <w:r w:rsidRPr="005E5BCF">
        <w:rPr>
          <w:lang w:val="en-US"/>
        </w:rPr>
        <w:t>Information and Privacy Commissioner of Alberta, Freedom of Information</w:t>
      </w:r>
    </w:p>
    <w:p w:rsidR="008E579E" w:rsidRDefault="008E579E" w:rsidP="002F658A">
      <w:pPr>
        <w:pStyle w:val="SCCLsocParty"/>
        <w:jc w:val="center"/>
        <w:rPr>
          <w:lang w:val="en-US"/>
        </w:rPr>
      </w:pPr>
      <w:proofErr w:type="gramStart"/>
      <w:r w:rsidRPr="005E5BCF">
        <w:rPr>
          <w:lang w:val="en-US"/>
        </w:rPr>
        <w:t>and</w:t>
      </w:r>
      <w:proofErr w:type="gramEnd"/>
      <w:r w:rsidRPr="005E5BCF">
        <w:rPr>
          <w:lang w:val="en-US"/>
        </w:rPr>
        <w:t xml:space="preserve"> Protection of Privacy Commissioner [Review Officer] for Nova Scotia</w:t>
      </w:r>
      <w:r>
        <w:rPr>
          <w:lang w:val="en-US"/>
        </w:rPr>
        <w:t>,</w:t>
      </w:r>
    </w:p>
    <w:p w:rsidR="008E579E" w:rsidRDefault="008E579E" w:rsidP="002F658A">
      <w:pPr>
        <w:pStyle w:val="SCCLsocParty"/>
        <w:jc w:val="center"/>
        <w:rPr>
          <w:lang w:val="en-US"/>
        </w:rPr>
      </w:pPr>
      <w:r w:rsidRPr="005E5BCF">
        <w:rPr>
          <w:lang w:val="en-US"/>
        </w:rPr>
        <w:t>Information and Privacy Commissioner of Prince Edward Island, British Columbia Freedom of Information and Privacy Association, Information and Privacy</w:t>
      </w:r>
    </w:p>
    <w:p w:rsidR="008E579E" w:rsidRPr="008E579E" w:rsidRDefault="008E579E" w:rsidP="002F658A">
      <w:pPr>
        <w:pStyle w:val="SCCLsocParty"/>
        <w:jc w:val="center"/>
        <w:rPr>
          <w:lang w:val="fr-CA"/>
        </w:rPr>
      </w:pPr>
      <w:proofErr w:type="spellStart"/>
      <w:r w:rsidRPr="008E579E">
        <w:rPr>
          <w:lang w:val="fr-CA"/>
        </w:rPr>
        <w:t>Commissioner</w:t>
      </w:r>
      <w:proofErr w:type="spellEnd"/>
      <w:r w:rsidRPr="008E579E">
        <w:rPr>
          <w:lang w:val="fr-CA"/>
        </w:rPr>
        <w:t xml:space="preserve"> of British Columbia et Association canadienne des libertés civiles</w:t>
      </w:r>
    </w:p>
    <w:p w:rsidR="008E579E" w:rsidRPr="008E579E" w:rsidRDefault="008E579E" w:rsidP="002F658A">
      <w:pPr>
        <w:jc w:val="center"/>
        <w:rPr>
          <w:lang w:val="fr-CA"/>
        </w:rPr>
      </w:pPr>
      <w:r w:rsidRPr="008E579E">
        <w:rPr>
          <w:lang w:val="fr-CA"/>
        </w:rPr>
        <w:t>Intervenants</w:t>
      </w:r>
    </w:p>
    <w:p w:rsidR="008E579E" w:rsidRPr="008E579E" w:rsidRDefault="008E579E" w:rsidP="002F658A">
      <w:pPr>
        <w:jc w:val="center"/>
        <w:rPr>
          <w:lang w:val="fr-CA"/>
        </w:rPr>
      </w:pPr>
    </w:p>
    <w:p w:rsidR="008E579E" w:rsidRPr="008E579E" w:rsidRDefault="008E579E" w:rsidP="002F658A">
      <w:pPr>
        <w:jc w:val="center"/>
        <w:rPr>
          <w:b/>
          <w:smallCaps/>
          <w:lang w:val="fr-CA"/>
        </w:rPr>
      </w:pPr>
      <w:r w:rsidRPr="008E579E">
        <w:rPr>
          <w:b/>
          <w:smallCaps/>
          <w:lang w:val="fr-CA"/>
        </w:rPr>
        <w:t>Traduction française officielle</w:t>
      </w:r>
    </w:p>
    <w:p w:rsidR="008E579E" w:rsidRPr="008E579E" w:rsidRDefault="008E579E" w:rsidP="008E579E">
      <w:pPr>
        <w:rPr>
          <w:lang w:val="fr-CA"/>
        </w:rPr>
      </w:pPr>
    </w:p>
    <w:p w:rsidR="008E579E" w:rsidRPr="008E579E" w:rsidRDefault="008E579E" w:rsidP="008E579E">
      <w:pPr>
        <w:rPr>
          <w:lang w:val="fr-CA"/>
        </w:rPr>
      </w:pPr>
      <w:r w:rsidRPr="008E579E">
        <w:rPr>
          <w:b/>
          <w:smallCaps/>
          <w:lang w:val="fr-CA"/>
        </w:rPr>
        <w:t>Coram :</w:t>
      </w:r>
      <w:r w:rsidRPr="008E579E">
        <w:rPr>
          <w:lang w:val="fr-CA"/>
        </w:rPr>
        <w:t xml:space="preserve"> La juge en chef </w:t>
      </w:r>
      <w:proofErr w:type="spellStart"/>
      <w:r w:rsidRPr="008E579E">
        <w:rPr>
          <w:lang w:val="fr-CA"/>
        </w:rPr>
        <w:t>McLachlin</w:t>
      </w:r>
      <w:proofErr w:type="spellEnd"/>
      <w:r w:rsidRPr="008E579E">
        <w:rPr>
          <w:lang w:val="fr-CA"/>
        </w:rPr>
        <w:t xml:space="preserve"> et les juges </w:t>
      </w:r>
      <w:proofErr w:type="spellStart"/>
      <w:r w:rsidRPr="008E579E">
        <w:rPr>
          <w:lang w:val="fr-CA"/>
        </w:rPr>
        <w:t>LeBel</w:t>
      </w:r>
      <w:proofErr w:type="spellEnd"/>
      <w:r w:rsidRPr="008E579E">
        <w:rPr>
          <w:lang w:val="fr-CA"/>
        </w:rPr>
        <w:t xml:space="preserve">, Abella, </w:t>
      </w:r>
      <w:proofErr w:type="spellStart"/>
      <w:r w:rsidRPr="008E579E">
        <w:rPr>
          <w:lang w:val="fr-CA"/>
        </w:rPr>
        <w:t>Rothstein</w:t>
      </w:r>
      <w:proofErr w:type="spellEnd"/>
      <w:r w:rsidRPr="008E579E">
        <w:rPr>
          <w:lang w:val="fr-CA"/>
        </w:rPr>
        <w:t xml:space="preserve">, Cromwell, </w:t>
      </w:r>
      <w:proofErr w:type="spellStart"/>
      <w:r w:rsidRPr="008E579E">
        <w:rPr>
          <w:lang w:val="fr-CA"/>
        </w:rPr>
        <w:t>Karakatsanis</w:t>
      </w:r>
      <w:proofErr w:type="spellEnd"/>
      <w:r w:rsidRPr="008E579E">
        <w:rPr>
          <w:lang w:val="fr-CA"/>
        </w:rPr>
        <w:t xml:space="preserve"> et Wagner</w:t>
      </w:r>
    </w:p>
    <w:p w:rsidR="008E579E" w:rsidRPr="008E579E" w:rsidRDefault="008E579E" w:rsidP="008E579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E579E" w:rsidRPr="002F658A" w:rsidTr="00206FCE">
        <w:trPr>
          <w:cantSplit/>
        </w:trPr>
        <w:tc>
          <w:tcPr>
            <w:tcW w:w="3618" w:type="dxa"/>
          </w:tcPr>
          <w:p w:rsidR="008E579E" w:rsidRPr="008E579E" w:rsidRDefault="008E579E" w:rsidP="00206FCE">
            <w:pPr>
              <w:rPr>
                <w:b/>
                <w:smallCaps/>
                <w:lang w:val="fr-CA"/>
              </w:rPr>
            </w:pPr>
            <w:r w:rsidRPr="008E579E">
              <w:rPr>
                <w:b/>
                <w:smallCaps/>
                <w:lang w:val="fr-CA"/>
              </w:rPr>
              <w:t>Motifs de jugement :</w:t>
            </w:r>
          </w:p>
          <w:p w:rsidR="008E579E" w:rsidRPr="008E579E" w:rsidRDefault="008E579E" w:rsidP="00206FCE">
            <w:pPr>
              <w:rPr>
                <w:lang w:val="fr-CA"/>
              </w:rPr>
            </w:pPr>
            <w:r w:rsidRPr="008E579E">
              <w:rPr>
                <w:lang w:val="fr-CA"/>
              </w:rPr>
              <w:t>(par. 1 à 55)</w:t>
            </w:r>
          </w:p>
        </w:tc>
        <w:tc>
          <w:tcPr>
            <w:tcW w:w="5958" w:type="dxa"/>
          </w:tcPr>
          <w:p w:rsidR="008E579E" w:rsidRPr="008E579E" w:rsidRDefault="008E579E" w:rsidP="00206FCE">
            <w:pPr>
              <w:rPr>
                <w:lang w:val="fr-CA"/>
              </w:rPr>
            </w:pPr>
            <w:r w:rsidRPr="008E579E">
              <w:rPr>
                <w:lang w:val="fr-CA"/>
              </w:rPr>
              <w:t xml:space="preserve">Le juge </w:t>
            </w:r>
            <w:proofErr w:type="spellStart"/>
            <w:r w:rsidRPr="008E579E">
              <w:rPr>
                <w:lang w:val="fr-CA"/>
              </w:rPr>
              <w:t>Rothstein</w:t>
            </w:r>
            <w:proofErr w:type="spellEnd"/>
            <w:r w:rsidRPr="008E579E">
              <w:rPr>
                <w:lang w:val="fr-CA"/>
              </w:rPr>
              <w:t xml:space="preserve"> (avec l’accord de la juge en chef </w:t>
            </w:r>
            <w:proofErr w:type="spellStart"/>
            <w:r w:rsidRPr="008E579E">
              <w:rPr>
                <w:lang w:val="fr-CA"/>
              </w:rPr>
              <w:t>McLachlin</w:t>
            </w:r>
            <w:proofErr w:type="spellEnd"/>
            <w:r w:rsidRPr="008E579E">
              <w:rPr>
                <w:lang w:val="fr-CA"/>
              </w:rPr>
              <w:t xml:space="preserve"> et des juges </w:t>
            </w:r>
            <w:proofErr w:type="spellStart"/>
            <w:r w:rsidRPr="008E579E">
              <w:rPr>
                <w:lang w:val="fr-CA"/>
              </w:rPr>
              <w:t>LeBel</w:t>
            </w:r>
            <w:proofErr w:type="spellEnd"/>
            <w:r w:rsidRPr="008E579E">
              <w:rPr>
                <w:lang w:val="fr-CA"/>
              </w:rPr>
              <w:t xml:space="preserve">, Abella, Cromwell, </w:t>
            </w:r>
            <w:proofErr w:type="spellStart"/>
            <w:r w:rsidRPr="008E579E">
              <w:rPr>
                <w:lang w:val="fr-CA"/>
              </w:rPr>
              <w:t>Karakatsanis</w:t>
            </w:r>
            <w:proofErr w:type="spellEnd"/>
            <w:r w:rsidRPr="008E579E">
              <w:rPr>
                <w:lang w:val="fr-CA"/>
              </w:rPr>
              <w:t xml:space="preserve"> et Wagner)</w:t>
            </w:r>
          </w:p>
        </w:tc>
      </w:tr>
    </w:tbl>
    <w:p w:rsidR="008E579E" w:rsidRPr="008E579E" w:rsidRDefault="008E579E" w:rsidP="008E579E">
      <w:pPr>
        <w:rPr>
          <w:lang w:val="fr-CA"/>
        </w:rPr>
      </w:pPr>
    </w:p>
    <w:p w:rsidR="008E579E" w:rsidRPr="008E579E" w:rsidRDefault="005B1CA8" w:rsidP="008E579E">
      <w:pPr>
        <w:rPr>
          <w:lang w:val="fr-CA"/>
        </w:rPr>
      </w:pPr>
      <w:r w:rsidRPr="005B1CA8">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8E579E" w:rsidRDefault="008E579E" w:rsidP="00115CFC">
      <w:pPr>
        <w:spacing w:after="720"/>
        <w:jc w:val="both"/>
        <w:rPr>
          <w:smallCaps/>
          <w:lang w:val="fr-CA"/>
        </w:rPr>
      </w:pPr>
    </w:p>
    <w:p w:rsidR="004D7D95" w:rsidRPr="00583744" w:rsidRDefault="001C3857" w:rsidP="00115CFC">
      <w:pPr>
        <w:spacing w:after="720"/>
        <w:jc w:val="both"/>
        <w:rPr>
          <w:lang w:val="fr-CA"/>
        </w:rPr>
      </w:pPr>
      <w:r w:rsidRPr="00583744">
        <w:rPr>
          <w:smallCaps/>
          <w:lang w:val="fr-CA"/>
        </w:rPr>
        <w:lastRenderedPageBreak/>
        <w:t>u</w:t>
      </w:r>
      <w:r w:rsidR="004D7D95" w:rsidRPr="00583744">
        <w:rPr>
          <w:smallCaps/>
          <w:lang w:val="fr-CA"/>
        </w:rPr>
        <w:t xml:space="preserve">ntel </w:t>
      </w:r>
      <w:r w:rsidR="004D7D95" w:rsidRPr="00583744">
        <w:rPr>
          <w:i/>
          <w:lang w:val="fr-CA"/>
        </w:rPr>
        <w:t>c.</w:t>
      </w:r>
      <w:r w:rsidR="004D7D95" w:rsidRPr="00583744">
        <w:rPr>
          <w:smallCaps/>
          <w:lang w:val="fr-CA"/>
        </w:rPr>
        <w:t xml:space="preserve"> </w:t>
      </w:r>
      <w:proofErr w:type="spellStart"/>
      <w:r w:rsidRPr="00583744">
        <w:rPr>
          <w:smallCaps/>
          <w:lang w:val="fr-CA"/>
        </w:rPr>
        <w:t>o</w:t>
      </w:r>
      <w:r w:rsidR="003E2889" w:rsidRPr="00583744">
        <w:rPr>
          <w:smallCaps/>
          <w:lang w:val="fr-CA"/>
        </w:rPr>
        <w:t>ntario</w:t>
      </w:r>
      <w:proofErr w:type="spellEnd"/>
      <w:r w:rsidR="003E2889" w:rsidRPr="00583744">
        <w:rPr>
          <w:smallCaps/>
          <w:lang w:val="fr-CA"/>
        </w:rPr>
        <w:t xml:space="preserve"> (</w:t>
      </w:r>
      <w:r w:rsidRPr="00583744">
        <w:rPr>
          <w:smallCaps/>
          <w:lang w:val="fr-CA"/>
        </w:rPr>
        <w:t>f</w:t>
      </w:r>
      <w:r w:rsidR="004D7D95" w:rsidRPr="00583744">
        <w:rPr>
          <w:smallCaps/>
          <w:lang w:val="fr-CA"/>
        </w:rPr>
        <w:t>inances</w:t>
      </w:r>
      <w:r w:rsidR="003E2889" w:rsidRPr="00583744">
        <w:rPr>
          <w:smallCaps/>
          <w:lang w:val="fr-CA"/>
        </w:rPr>
        <w:t>)</w:t>
      </w:r>
      <w:r w:rsidR="00EB6489">
        <w:rPr>
          <w:smallCaps/>
          <w:lang w:val="fr-CA"/>
        </w:rPr>
        <w:t xml:space="preserve">, </w:t>
      </w:r>
      <w:r w:rsidR="00EB6489" w:rsidRPr="00583744">
        <w:rPr>
          <w:lang w:val="fr-CA"/>
        </w:rPr>
        <w:t>2014 CSC 36</w:t>
      </w:r>
      <w:r w:rsidR="00EB6489">
        <w:rPr>
          <w:lang w:val="fr-CA"/>
        </w:rPr>
        <w:t>, [2014] 2 R.C.S. 3</w:t>
      </w:r>
    </w:p>
    <w:p w:rsidR="00D83FF5" w:rsidRPr="00583744" w:rsidRDefault="002B587B" w:rsidP="00115CFC">
      <w:pPr>
        <w:pStyle w:val="SCCLsocLastPartyInRole"/>
        <w:rPr>
          <w:lang w:val="fr-CA"/>
        </w:rPr>
      </w:pPr>
      <w:r w:rsidRPr="00583744">
        <w:rPr>
          <w:lang w:val="fr-CA"/>
        </w:rPr>
        <w:t>M</w:t>
      </w:r>
      <w:r w:rsidR="00115CFC">
        <w:rPr>
          <w:lang w:val="fr-CA"/>
        </w:rPr>
        <w:t xml:space="preserve">. </w:t>
      </w:r>
      <w:r w:rsidR="00166650" w:rsidRPr="00583744">
        <w:rPr>
          <w:lang w:val="fr-CA"/>
        </w:rPr>
        <w:t>Untel, requérant</w:t>
      </w:r>
      <w:r w:rsidR="00166650" w:rsidRPr="00583744">
        <w:rPr>
          <w:rStyle w:val="SCCLsocPartyRole"/>
          <w:lang w:val="fr-CA"/>
        </w:rPr>
        <w:tab/>
        <w:t>Appelant</w:t>
      </w:r>
    </w:p>
    <w:p w:rsidR="00D83FF5" w:rsidRPr="00583744" w:rsidRDefault="00166650" w:rsidP="00115CFC">
      <w:pPr>
        <w:pStyle w:val="SCCLsocVersus"/>
        <w:rPr>
          <w:lang w:val="fr-CA"/>
        </w:rPr>
      </w:pPr>
      <w:proofErr w:type="gramStart"/>
      <w:r w:rsidRPr="00583744">
        <w:rPr>
          <w:lang w:val="fr-CA"/>
        </w:rPr>
        <w:t>c</w:t>
      </w:r>
      <w:proofErr w:type="gramEnd"/>
      <w:r w:rsidRPr="00583744">
        <w:rPr>
          <w:lang w:val="fr-CA"/>
        </w:rPr>
        <w:t>.</w:t>
      </w:r>
    </w:p>
    <w:p w:rsidR="00D83FF5" w:rsidRPr="00583744" w:rsidRDefault="00166650" w:rsidP="00115CFC">
      <w:pPr>
        <w:pStyle w:val="SCCLsocLastPartyInRole"/>
        <w:rPr>
          <w:lang w:val="fr-CA"/>
        </w:rPr>
      </w:pPr>
      <w:r w:rsidRPr="00583744">
        <w:rPr>
          <w:lang w:val="fr-CA"/>
        </w:rPr>
        <w:t>Ministre des Finances de la province d</w:t>
      </w:r>
      <w:r w:rsidR="00AA4293" w:rsidRPr="00583744">
        <w:rPr>
          <w:lang w:val="fr-CA"/>
        </w:rPr>
        <w:t>e l</w:t>
      </w:r>
      <w:r w:rsidR="008D764C" w:rsidRPr="00583744">
        <w:rPr>
          <w:lang w:val="fr-CA"/>
        </w:rPr>
        <w:t>’</w:t>
      </w:r>
      <w:r w:rsidRPr="00583744">
        <w:rPr>
          <w:lang w:val="fr-CA"/>
        </w:rPr>
        <w:t>Ontario</w:t>
      </w:r>
      <w:r w:rsidRPr="00583744">
        <w:rPr>
          <w:rStyle w:val="SCCLsocPartyRole"/>
          <w:lang w:val="fr-CA"/>
        </w:rPr>
        <w:tab/>
        <w:t>Intimé</w:t>
      </w:r>
    </w:p>
    <w:p w:rsidR="00D83FF5" w:rsidRPr="00583744" w:rsidRDefault="00115CFC" w:rsidP="00115CFC">
      <w:pPr>
        <w:pStyle w:val="SCCLsocSubfileSeparator"/>
        <w:rPr>
          <w:lang w:val="fr-CA"/>
        </w:rPr>
      </w:pPr>
      <w:r>
        <w:rPr>
          <w:lang w:val="fr-CA"/>
        </w:rPr>
        <w:t>-</w:t>
      </w:r>
      <w:r w:rsidR="00166650" w:rsidRPr="00583744">
        <w:rPr>
          <w:lang w:val="fr-CA"/>
        </w:rPr>
        <w:t xml:space="preserve"> et </w:t>
      </w:r>
      <w:r>
        <w:rPr>
          <w:lang w:val="fr-CA"/>
        </w:rPr>
        <w:t>-</w:t>
      </w:r>
    </w:p>
    <w:p w:rsidR="006C46A7" w:rsidRPr="00583744" w:rsidRDefault="00166650" w:rsidP="00115CFC">
      <w:pPr>
        <w:pStyle w:val="SCCLsocLastPartyInRole"/>
        <w:spacing w:after="0"/>
        <w:rPr>
          <w:lang w:val="fr-CA"/>
        </w:rPr>
      </w:pPr>
      <w:r w:rsidRPr="00583744">
        <w:rPr>
          <w:lang w:val="fr-CA"/>
        </w:rPr>
        <w:t>Commissaire à l</w:t>
      </w:r>
      <w:r w:rsidR="008D764C" w:rsidRPr="00583744">
        <w:rPr>
          <w:lang w:val="fr-CA"/>
        </w:rPr>
        <w:t>’</w:t>
      </w:r>
      <w:r w:rsidRPr="00583744">
        <w:rPr>
          <w:lang w:val="fr-CA"/>
        </w:rPr>
        <w:t>information et à la protection de la vie privée</w:t>
      </w:r>
    </w:p>
    <w:p w:rsidR="00D83FF5" w:rsidRPr="00583744" w:rsidRDefault="00166650" w:rsidP="00115CFC">
      <w:pPr>
        <w:pStyle w:val="SCCLsocLastPartyInRole"/>
        <w:rPr>
          <w:lang w:val="fr-CA"/>
        </w:rPr>
      </w:pPr>
      <w:proofErr w:type="gramStart"/>
      <w:r w:rsidRPr="00583744">
        <w:rPr>
          <w:lang w:val="fr-CA"/>
        </w:rPr>
        <w:t>de</w:t>
      </w:r>
      <w:proofErr w:type="gramEnd"/>
      <w:r w:rsidRPr="00583744">
        <w:rPr>
          <w:lang w:val="fr-CA"/>
        </w:rPr>
        <w:t xml:space="preserve"> l</w:t>
      </w:r>
      <w:r w:rsidR="008D764C" w:rsidRPr="00583744">
        <w:rPr>
          <w:lang w:val="fr-CA"/>
        </w:rPr>
        <w:t>’</w:t>
      </w:r>
      <w:r w:rsidRPr="00583744">
        <w:rPr>
          <w:lang w:val="fr-CA"/>
        </w:rPr>
        <w:t>Ontario (Diane Smith, arbitre)</w:t>
      </w:r>
      <w:r w:rsidRPr="00583744">
        <w:rPr>
          <w:rStyle w:val="SCCLsocPartyRole"/>
          <w:lang w:val="fr-CA"/>
        </w:rPr>
        <w:tab/>
        <w:t>Appelante</w:t>
      </w:r>
    </w:p>
    <w:p w:rsidR="00D83FF5" w:rsidRPr="00583744" w:rsidRDefault="00166650" w:rsidP="00115CFC">
      <w:pPr>
        <w:pStyle w:val="SCCLsocVersus"/>
        <w:rPr>
          <w:lang w:val="fr-CA"/>
        </w:rPr>
      </w:pPr>
      <w:proofErr w:type="gramStart"/>
      <w:r w:rsidRPr="00583744">
        <w:rPr>
          <w:lang w:val="fr-CA"/>
        </w:rPr>
        <w:t>c</w:t>
      </w:r>
      <w:proofErr w:type="gramEnd"/>
      <w:r w:rsidRPr="00583744">
        <w:rPr>
          <w:lang w:val="fr-CA"/>
        </w:rPr>
        <w:t>.</w:t>
      </w:r>
    </w:p>
    <w:p w:rsidR="00D83FF5" w:rsidRPr="00583744" w:rsidRDefault="00166650" w:rsidP="00115CFC">
      <w:pPr>
        <w:pStyle w:val="SCCLsocLastPartyInRole"/>
        <w:rPr>
          <w:lang w:val="fr-CA"/>
        </w:rPr>
      </w:pPr>
      <w:r w:rsidRPr="00583744">
        <w:rPr>
          <w:lang w:val="fr-CA"/>
        </w:rPr>
        <w:t>Ministre des Finances de la province d</w:t>
      </w:r>
      <w:r w:rsidR="006462E7" w:rsidRPr="00583744">
        <w:rPr>
          <w:lang w:val="fr-CA"/>
        </w:rPr>
        <w:t>e l</w:t>
      </w:r>
      <w:r w:rsidR="008D764C" w:rsidRPr="00583744">
        <w:rPr>
          <w:lang w:val="fr-CA"/>
        </w:rPr>
        <w:t>’</w:t>
      </w:r>
      <w:r w:rsidRPr="00583744">
        <w:rPr>
          <w:lang w:val="fr-CA"/>
        </w:rPr>
        <w:t>Ontario</w:t>
      </w:r>
      <w:r w:rsidR="003D287B" w:rsidRPr="00583744">
        <w:rPr>
          <w:rStyle w:val="SCCLsocPartyRole"/>
          <w:lang w:val="fr-CA"/>
        </w:rPr>
        <w:tab/>
        <w:t>Intimé</w:t>
      </w:r>
    </w:p>
    <w:p w:rsidR="00D83FF5" w:rsidRPr="00583744" w:rsidRDefault="00166650" w:rsidP="00115CFC">
      <w:pPr>
        <w:pStyle w:val="SCCLsocOtherPartySeparator"/>
        <w:rPr>
          <w:lang w:val="fr-CA"/>
        </w:rPr>
      </w:pPr>
      <w:proofErr w:type="gramStart"/>
      <w:r w:rsidRPr="00583744">
        <w:rPr>
          <w:lang w:val="fr-CA"/>
        </w:rPr>
        <w:t>et</w:t>
      </w:r>
      <w:proofErr w:type="gramEnd"/>
    </w:p>
    <w:p w:rsidR="00C45C7E" w:rsidRPr="00583744" w:rsidRDefault="00166650" w:rsidP="00115CFC">
      <w:pPr>
        <w:pStyle w:val="SCCLsocParty"/>
        <w:rPr>
          <w:lang w:val="fr-CA"/>
        </w:rPr>
      </w:pPr>
      <w:r w:rsidRPr="00583744">
        <w:rPr>
          <w:lang w:val="fr-CA"/>
        </w:rPr>
        <w:t>Procureur général du Canada,</w:t>
      </w:r>
      <w:r w:rsidR="00C45C7E" w:rsidRPr="00583744">
        <w:rPr>
          <w:lang w:val="fr-CA"/>
        </w:rPr>
        <w:t xml:space="preserve"> </w:t>
      </w:r>
      <w:r w:rsidR="003D287B" w:rsidRPr="00583744">
        <w:rPr>
          <w:lang w:val="fr-CA"/>
        </w:rPr>
        <w:t>p</w:t>
      </w:r>
      <w:r w:rsidRPr="00583744">
        <w:rPr>
          <w:lang w:val="fr-CA"/>
        </w:rPr>
        <w:t xml:space="preserve">rocureur général de la </w:t>
      </w:r>
    </w:p>
    <w:p w:rsidR="00C45C7E" w:rsidRPr="00583744" w:rsidRDefault="00166650" w:rsidP="00115CFC">
      <w:pPr>
        <w:pStyle w:val="SCCLsocParty"/>
      </w:pPr>
      <w:proofErr w:type="spellStart"/>
      <w:r w:rsidRPr="00583744">
        <w:rPr>
          <w:lang w:val="en-US"/>
        </w:rPr>
        <w:t>Colombie</w:t>
      </w:r>
      <w:r w:rsidR="00115CFC">
        <w:rPr>
          <w:lang w:val="en-US"/>
        </w:rPr>
        <w:t>-</w:t>
      </w:r>
      <w:r w:rsidRPr="00583744">
        <w:rPr>
          <w:lang w:val="en-US"/>
        </w:rPr>
        <w:t>Britannique</w:t>
      </w:r>
      <w:proofErr w:type="spellEnd"/>
      <w:r w:rsidRPr="00583744">
        <w:rPr>
          <w:lang w:val="en-US"/>
        </w:rPr>
        <w:t>,</w:t>
      </w:r>
      <w:r w:rsidR="00C45C7E" w:rsidRPr="00583744">
        <w:rPr>
          <w:lang w:val="en-US"/>
        </w:rPr>
        <w:t xml:space="preserve"> </w:t>
      </w:r>
      <w:r w:rsidRPr="00583744">
        <w:t xml:space="preserve">Information and Privacy </w:t>
      </w:r>
    </w:p>
    <w:p w:rsidR="00C45C7E" w:rsidRPr="00583744" w:rsidRDefault="00166650" w:rsidP="00115CFC">
      <w:pPr>
        <w:pStyle w:val="SCCLsocParty"/>
      </w:pPr>
      <w:r w:rsidRPr="00583744">
        <w:t>Commissioner of Alberta,</w:t>
      </w:r>
      <w:r w:rsidR="00C45C7E" w:rsidRPr="00583744">
        <w:t xml:space="preserve"> </w:t>
      </w:r>
      <w:r w:rsidRPr="00583744">
        <w:t xml:space="preserve">Freedom of Information and </w:t>
      </w:r>
    </w:p>
    <w:p w:rsidR="00C45C7E" w:rsidRPr="00583744" w:rsidRDefault="00166650" w:rsidP="00115CFC">
      <w:pPr>
        <w:pStyle w:val="SCCLsocParty"/>
      </w:pPr>
      <w:r w:rsidRPr="00583744">
        <w:t xml:space="preserve">Protection of Privacy Commissioner </w:t>
      </w:r>
      <w:r w:rsidR="00606883" w:rsidRPr="00583744">
        <w:t xml:space="preserve">[Review Officer] </w:t>
      </w:r>
      <w:r w:rsidRPr="00583744">
        <w:t xml:space="preserve">for </w:t>
      </w:r>
    </w:p>
    <w:p w:rsidR="00CB0956" w:rsidRPr="00583744" w:rsidRDefault="00166650" w:rsidP="00115CFC">
      <w:pPr>
        <w:pStyle w:val="SCCLsocParty"/>
        <w:rPr>
          <w:lang w:val="en-US"/>
        </w:rPr>
      </w:pPr>
      <w:r w:rsidRPr="00583744">
        <w:rPr>
          <w:lang w:val="en-US"/>
        </w:rPr>
        <w:t>Nova Scotia</w:t>
      </w:r>
      <w:r w:rsidR="001C3857" w:rsidRPr="00583744">
        <w:rPr>
          <w:lang w:val="en-US"/>
        </w:rPr>
        <w:t>,</w:t>
      </w:r>
      <w:r w:rsidRPr="00583744">
        <w:rPr>
          <w:lang w:val="en-US"/>
        </w:rPr>
        <w:t xml:space="preserve"> </w:t>
      </w:r>
      <w:r w:rsidR="00CB0956" w:rsidRPr="00583744">
        <w:rPr>
          <w:lang w:val="en-US"/>
        </w:rPr>
        <w:t xml:space="preserve">Information and Privacy Commissioner of </w:t>
      </w:r>
    </w:p>
    <w:p w:rsidR="00CB0956" w:rsidRPr="00583744" w:rsidRDefault="00CB0956" w:rsidP="00115CFC">
      <w:pPr>
        <w:pStyle w:val="SCCLsocParty"/>
        <w:rPr>
          <w:lang w:val="en-US"/>
        </w:rPr>
      </w:pPr>
      <w:r w:rsidRPr="00583744">
        <w:rPr>
          <w:lang w:val="en-US"/>
        </w:rPr>
        <w:t>Prince Edward Island</w:t>
      </w:r>
      <w:r w:rsidR="00166650" w:rsidRPr="00583744">
        <w:rPr>
          <w:lang w:val="en-US"/>
        </w:rPr>
        <w:t>,</w:t>
      </w:r>
      <w:r w:rsidR="002E1B10" w:rsidRPr="00583744">
        <w:rPr>
          <w:lang w:val="en-US"/>
        </w:rPr>
        <w:t xml:space="preserve"> </w:t>
      </w:r>
      <w:r w:rsidR="00166650" w:rsidRPr="00583744">
        <w:rPr>
          <w:lang w:val="en-US"/>
        </w:rPr>
        <w:t xml:space="preserve">British Columbia Freedom of </w:t>
      </w:r>
    </w:p>
    <w:p w:rsidR="00CB0956" w:rsidRPr="00583744" w:rsidRDefault="00166650" w:rsidP="00115CFC">
      <w:pPr>
        <w:pStyle w:val="SCCLsocParty"/>
        <w:rPr>
          <w:lang w:val="en-US"/>
        </w:rPr>
      </w:pPr>
      <w:r w:rsidRPr="00583744">
        <w:rPr>
          <w:lang w:val="en-US"/>
        </w:rPr>
        <w:t>Information and Privacy Association,</w:t>
      </w:r>
      <w:r w:rsidR="002E1B10" w:rsidRPr="00583744">
        <w:rPr>
          <w:lang w:val="en-US"/>
        </w:rPr>
        <w:t xml:space="preserve"> </w:t>
      </w:r>
      <w:r w:rsidRPr="00583744">
        <w:rPr>
          <w:lang w:val="en-US"/>
        </w:rPr>
        <w:t xml:space="preserve">Information and </w:t>
      </w:r>
    </w:p>
    <w:p w:rsidR="00CB0956" w:rsidRPr="00583744" w:rsidRDefault="00166650" w:rsidP="00115CFC">
      <w:pPr>
        <w:pStyle w:val="SCCLsocParty"/>
        <w:rPr>
          <w:lang w:val="en-US"/>
        </w:rPr>
      </w:pPr>
      <w:r w:rsidRPr="00583744">
        <w:rPr>
          <w:lang w:val="en-US"/>
        </w:rPr>
        <w:t>Privacy C</w:t>
      </w:r>
      <w:r w:rsidR="003D287B" w:rsidRPr="00583744">
        <w:rPr>
          <w:lang w:val="en-US"/>
        </w:rPr>
        <w:t xml:space="preserve">ommissioner of British Columbia </w:t>
      </w:r>
      <w:proofErr w:type="gramStart"/>
      <w:r w:rsidR="003D287B" w:rsidRPr="00583744">
        <w:rPr>
          <w:lang w:val="en-US"/>
        </w:rPr>
        <w:t>et</w:t>
      </w:r>
      <w:proofErr w:type="gramEnd"/>
      <w:r w:rsidR="00C45C7E" w:rsidRPr="00583744">
        <w:rPr>
          <w:lang w:val="en-US"/>
        </w:rPr>
        <w:t xml:space="preserve"> </w:t>
      </w:r>
    </w:p>
    <w:p w:rsidR="00D83FF5" w:rsidRPr="00583744" w:rsidRDefault="006C5709" w:rsidP="00115CFC">
      <w:pPr>
        <w:pStyle w:val="SCCLsocParty"/>
        <w:spacing w:after="720"/>
        <w:rPr>
          <w:lang w:val="fr-CA"/>
        </w:rPr>
      </w:pPr>
      <w:r w:rsidRPr="00583744">
        <w:rPr>
          <w:lang w:val="fr-CA"/>
        </w:rPr>
        <w:t>Association canadienne des libertés civiles</w:t>
      </w:r>
      <w:r w:rsidR="003D287B" w:rsidRPr="00583744">
        <w:rPr>
          <w:rStyle w:val="SCCLsocPartyRole"/>
          <w:lang w:val="fr-CA"/>
        </w:rPr>
        <w:tab/>
        <w:t>Intervenant</w:t>
      </w:r>
      <w:r w:rsidR="00166650" w:rsidRPr="00583744">
        <w:rPr>
          <w:rStyle w:val="SCCLsocPartyRole"/>
          <w:lang w:val="fr-CA"/>
        </w:rPr>
        <w:t>s</w:t>
      </w:r>
    </w:p>
    <w:p w:rsidR="004D7D95" w:rsidRPr="00583744" w:rsidRDefault="004D7D95" w:rsidP="00115CFC">
      <w:pPr>
        <w:spacing w:after="720"/>
        <w:jc w:val="both"/>
        <w:rPr>
          <w:b/>
          <w:lang w:val="fr-CA"/>
        </w:rPr>
      </w:pPr>
      <w:r w:rsidRPr="00583744">
        <w:rPr>
          <w:b/>
          <w:lang w:val="fr-CA"/>
        </w:rPr>
        <w:t>Répertorié</w:t>
      </w:r>
      <w:r w:rsidR="00487C0A" w:rsidRPr="00583744">
        <w:rPr>
          <w:b/>
          <w:lang w:val="fr-CA"/>
        </w:rPr>
        <w:t> </w:t>
      </w:r>
      <w:r w:rsidR="00115CFC">
        <w:rPr>
          <w:b/>
          <w:lang w:val="fr-CA"/>
        </w:rPr>
        <w:t xml:space="preserve">: </w:t>
      </w:r>
      <w:r w:rsidR="002F78B5" w:rsidRPr="00583744">
        <w:rPr>
          <w:b/>
          <w:lang w:val="fr-CA"/>
        </w:rPr>
        <w:t xml:space="preserve">Untel </w:t>
      </w:r>
      <w:r w:rsidR="002F78B5" w:rsidRPr="00583744">
        <w:rPr>
          <w:b/>
          <w:i/>
          <w:lang w:val="fr-CA"/>
        </w:rPr>
        <w:t>c.</w:t>
      </w:r>
      <w:r w:rsidR="002F78B5" w:rsidRPr="00583744">
        <w:rPr>
          <w:b/>
          <w:lang w:val="fr-CA"/>
        </w:rPr>
        <w:t xml:space="preserve"> Ontario (Finances)</w:t>
      </w:r>
    </w:p>
    <w:p w:rsidR="004D7D95" w:rsidRPr="00583744" w:rsidRDefault="00F62639" w:rsidP="00115CFC">
      <w:pPr>
        <w:pStyle w:val="SCCSystemYear"/>
        <w:spacing w:after="720"/>
        <w:jc w:val="both"/>
        <w:rPr>
          <w:lang w:val="fr-CA"/>
        </w:rPr>
      </w:pPr>
      <w:r w:rsidRPr="00583744">
        <w:rPr>
          <w:lang w:val="fr-CA"/>
        </w:rPr>
        <w:lastRenderedPageBreak/>
        <w:t>201</w:t>
      </w:r>
      <w:r w:rsidR="00D35654" w:rsidRPr="00583744">
        <w:rPr>
          <w:lang w:val="fr-CA"/>
        </w:rPr>
        <w:t>4</w:t>
      </w:r>
      <w:r w:rsidR="00EB2A5B" w:rsidRPr="00583744">
        <w:rPr>
          <w:lang w:val="fr-CA"/>
        </w:rPr>
        <w:t xml:space="preserve"> CSC 36</w:t>
      </w:r>
    </w:p>
    <w:p w:rsidR="004D7D95" w:rsidRPr="00583744" w:rsidRDefault="004D7D95" w:rsidP="00115CFC">
      <w:pPr>
        <w:spacing w:after="720"/>
        <w:jc w:val="both"/>
        <w:rPr>
          <w:lang w:val="fr-CA"/>
        </w:rPr>
      </w:pPr>
      <w:r w:rsidRPr="00583744">
        <w:rPr>
          <w:lang w:val="fr-CA"/>
        </w:rPr>
        <w:t>N</w:t>
      </w:r>
      <w:r w:rsidRPr="00583744">
        <w:rPr>
          <w:vertAlign w:val="superscript"/>
          <w:lang w:val="fr-CA"/>
        </w:rPr>
        <w:t>o</w:t>
      </w:r>
      <w:r w:rsidRPr="00583744">
        <w:rPr>
          <w:lang w:val="fr-CA"/>
        </w:rPr>
        <w:t xml:space="preserve"> du greffe</w:t>
      </w:r>
      <w:r w:rsidR="00487C0A" w:rsidRPr="00583744">
        <w:rPr>
          <w:lang w:val="fr-CA"/>
        </w:rPr>
        <w:t> </w:t>
      </w:r>
      <w:r w:rsidR="00115CFC">
        <w:rPr>
          <w:lang w:val="fr-CA"/>
        </w:rPr>
        <w:t xml:space="preserve">: </w:t>
      </w:r>
      <w:r w:rsidRPr="00583744">
        <w:rPr>
          <w:lang w:val="fr-CA"/>
        </w:rPr>
        <w:t>34828.</w:t>
      </w:r>
    </w:p>
    <w:p w:rsidR="004D7D95" w:rsidRPr="00583744" w:rsidRDefault="00F62639" w:rsidP="00115CFC">
      <w:pPr>
        <w:spacing w:after="720"/>
        <w:jc w:val="both"/>
        <w:rPr>
          <w:lang w:val="fr-CA"/>
        </w:rPr>
      </w:pPr>
      <w:r w:rsidRPr="00583744">
        <w:rPr>
          <w:lang w:val="fr-CA"/>
        </w:rPr>
        <w:t>2013</w:t>
      </w:r>
      <w:r w:rsidR="00487C0A" w:rsidRPr="00583744">
        <w:rPr>
          <w:lang w:val="fr-CA"/>
        </w:rPr>
        <w:t> </w:t>
      </w:r>
      <w:r w:rsidR="00115CFC">
        <w:rPr>
          <w:lang w:val="fr-CA"/>
        </w:rPr>
        <w:t xml:space="preserve">: </w:t>
      </w:r>
      <w:r w:rsidRPr="00583744">
        <w:rPr>
          <w:lang w:val="fr-CA"/>
        </w:rPr>
        <w:t>6</w:t>
      </w:r>
      <w:r w:rsidR="001C3857" w:rsidRPr="00583744">
        <w:rPr>
          <w:lang w:val="fr-CA"/>
        </w:rPr>
        <w:t> </w:t>
      </w:r>
      <w:r w:rsidRPr="00583744">
        <w:rPr>
          <w:lang w:val="fr-CA"/>
        </w:rPr>
        <w:t>novembre</w:t>
      </w:r>
      <w:r w:rsidR="004D7D95" w:rsidRPr="00583744">
        <w:rPr>
          <w:lang w:val="fr-CA"/>
        </w:rPr>
        <w:t xml:space="preserve">; </w:t>
      </w:r>
      <w:r w:rsidR="002B587B" w:rsidRPr="00583744">
        <w:rPr>
          <w:lang w:val="fr-CA"/>
        </w:rPr>
        <w:t>2014</w:t>
      </w:r>
      <w:r w:rsidR="00487C0A" w:rsidRPr="00583744">
        <w:rPr>
          <w:lang w:val="fr-CA"/>
        </w:rPr>
        <w:t> </w:t>
      </w:r>
      <w:r w:rsidR="00115CFC">
        <w:rPr>
          <w:lang w:val="fr-CA"/>
        </w:rPr>
        <w:t xml:space="preserve">: </w:t>
      </w:r>
      <w:r w:rsidR="002B587B" w:rsidRPr="00583744">
        <w:rPr>
          <w:lang w:val="fr-CA"/>
        </w:rPr>
        <w:t>9 </w:t>
      </w:r>
      <w:r w:rsidR="00A73E67" w:rsidRPr="00583744">
        <w:rPr>
          <w:lang w:val="fr-CA"/>
        </w:rPr>
        <w:t>mai</w:t>
      </w:r>
      <w:r w:rsidR="004D7D95" w:rsidRPr="00583744">
        <w:rPr>
          <w:lang w:val="fr-CA"/>
        </w:rPr>
        <w:t>.</w:t>
      </w:r>
    </w:p>
    <w:p w:rsidR="004D7D95" w:rsidRPr="00583744" w:rsidRDefault="004D7D95" w:rsidP="00115CFC">
      <w:pPr>
        <w:spacing w:after="720"/>
        <w:jc w:val="both"/>
        <w:rPr>
          <w:lang w:val="fr-CA"/>
        </w:rPr>
      </w:pPr>
      <w:r w:rsidRPr="00583744">
        <w:rPr>
          <w:lang w:val="fr-CA"/>
        </w:rPr>
        <w:t>Présents</w:t>
      </w:r>
      <w:r w:rsidR="00487C0A" w:rsidRPr="00583744">
        <w:rPr>
          <w:lang w:val="fr-CA"/>
        </w:rPr>
        <w:t> </w:t>
      </w:r>
      <w:r w:rsidR="00115CFC">
        <w:rPr>
          <w:lang w:val="fr-CA"/>
        </w:rPr>
        <w:t xml:space="preserve">: </w:t>
      </w:r>
      <w:r w:rsidRPr="00583744">
        <w:rPr>
          <w:lang w:val="fr-CA"/>
        </w:rPr>
        <w:t xml:space="preserve">La juge en chef McLachlin et les juges </w:t>
      </w:r>
      <w:proofErr w:type="spellStart"/>
      <w:r w:rsidRPr="00583744">
        <w:rPr>
          <w:lang w:val="fr-CA"/>
        </w:rPr>
        <w:t>LeBel</w:t>
      </w:r>
      <w:proofErr w:type="spellEnd"/>
      <w:r w:rsidRPr="00583744">
        <w:rPr>
          <w:lang w:val="fr-CA"/>
        </w:rPr>
        <w:t xml:space="preserve">, Abella, </w:t>
      </w:r>
      <w:proofErr w:type="spellStart"/>
      <w:r w:rsidRPr="00583744">
        <w:rPr>
          <w:lang w:val="fr-CA"/>
        </w:rPr>
        <w:t>Rothstein</w:t>
      </w:r>
      <w:proofErr w:type="spellEnd"/>
      <w:r w:rsidRPr="00583744">
        <w:rPr>
          <w:lang w:val="fr-CA"/>
        </w:rPr>
        <w:t xml:space="preserve">, Cromwell, </w:t>
      </w:r>
      <w:proofErr w:type="spellStart"/>
      <w:r w:rsidRPr="00583744">
        <w:rPr>
          <w:lang w:val="fr-CA"/>
        </w:rPr>
        <w:t>Karakatsanis</w:t>
      </w:r>
      <w:proofErr w:type="spellEnd"/>
      <w:r w:rsidRPr="00583744">
        <w:rPr>
          <w:lang w:val="fr-CA"/>
        </w:rPr>
        <w:t xml:space="preserve"> et Wagner.</w:t>
      </w:r>
    </w:p>
    <w:p w:rsidR="004D7D95" w:rsidRPr="00583744" w:rsidRDefault="001C3857" w:rsidP="00115CFC">
      <w:pPr>
        <w:spacing w:after="720"/>
        <w:jc w:val="both"/>
        <w:rPr>
          <w:smallCaps/>
          <w:lang w:val="fr-CA"/>
        </w:rPr>
      </w:pPr>
      <w:r w:rsidRPr="00583744">
        <w:rPr>
          <w:smallCaps/>
          <w:lang w:val="fr-CA"/>
        </w:rPr>
        <w:t>e</w:t>
      </w:r>
      <w:r w:rsidR="0096633A" w:rsidRPr="00583744">
        <w:rPr>
          <w:smallCaps/>
          <w:lang w:val="fr-CA"/>
        </w:rPr>
        <w:t>n</w:t>
      </w:r>
      <w:r w:rsidRPr="00583744">
        <w:rPr>
          <w:smallCaps/>
          <w:lang w:val="fr-CA"/>
        </w:rPr>
        <w:t xml:space="preserve"> appel de la cour d’appel de l’</w:t>
      </w:r>
      <w:proofErr w:type="spellStart"/>
      <w:r w:rsidRPr="00583744">
        <w:rPr>
          <w:smallCaps/>
          <w:lang w:val="fr-CA"/>
        </w:rPr>
        <w:t>o</w:t>
      </w:r>
      <w:r w:rsidR="0096633A" w:rsidRPr="00583744">
        <w:rPr>
          <w:smallCaps/>
          <w:lang w:val="fr-CA"/>
        </w:rPr>
        <w:t>ntario</w:t>
      </w:r>
      <w:proofErr w:type="spellEnd"/>
    </w:p>
    <w:p w:rsidR="004D7D95" w:rsidRPr="00583744" w:rsidRDefault="004D7D95" w:rsidP="00115CFC">
      <w:pPr>
        <w:pStyle w:val="SCCNormalDoubleSpacing"/>
        <w:spacing w:before="480" w:after="480"/>
        <w:rPr>
          <w:i/>
          <w:lang w:val="fr-CA"/>
        </w:rPr>
      </w:pPr>
      <w:r w:rsidRPr="00583744">
        <w:rPr>
          <w:lang w:val="fr-CA"/>
        </w:rPr>
        <w:tab/>
      </w:r>
      <w:r w:rsidR="001947A1" w:rsidRPr="00583744">
        <w:rPr>
          <w:i/>
          <w:lang w:val="fr-CA"/>
        </w:rPr>
        <w:t>Accès à l’information — Exceptions — Conseils ou recommandations d’un fonctionnaire —</w:t>
      </w:r>
      <w:r w:rsidR="0073553F">
        <w:rPr>
          <w:i/>
          <w:lang w:val="fr-CA"/>
        </w:rPr>
        <w:t xml:space="preserve"> </w:t>
      </w:r>
      <w:r w:rsidR="008E67AC" w:rsidRPr="00583744">
        <w:rPr>
          <w:i/>
          <w:lang w:val="fr-CA"/>
        </w:rPr>
        <w:t>Sur le fondement de</w:t>
      </w:r>
      <w:r w:rsidR="008E67AC" w:rsidRPr="00583744">
        <w:rPr>
          <w:b/>
          <w:i/>
          <w:lang w:val="fr-CA"/>
        </w:rPr>
        <w:t xml:space="preserve"> </w:t>
      </w:r>
      <w:r w:rsidR="008E67AC" w:rsidRPr="00583744">
        <w:rPr>
          <w:i/>
          <w:lang w:val="fr-CA"/>
        </w:rPr>
        <w:t xml:space="preserve">l’exception à la communication prévue à l’égard des </w:t>
      </w:r>
      <w:r w:rsidR="003B12F3">
        <w:rPr>
          <w:i/>
          <w:lang w:val="fr-CA"/>
        </w:rPr>
        <w:t>conseils ou des recommandations à l’art.</w:t>
      </w:r>
      <w:r w:rsidR="00115CFC">
        <w:rPr>
          <w:i/>
          <w:lang w:val="fr-CA"/>
        </w:rPr>
        <w:t xml:space="preserve"> </w:t>
      </w:r>
      <w:r w:rsidR="008E67AC" w:rsidRPr="00583744">
        <w:rPr>
          <w:i/>
          <w:lang w:val="fr-CA"/>
        </w:rPr>
        <w:t>13(1) de la Loi sur l’accès à l’information,</w:t>
      </w:r>
      <w:r w:rsidR="00AC554E" w:rsidRPr="00583744">
        <w:rPr>
          <w:i/>
          <w:lang w:val="fr-CA"/>
        </w:rPr>
        <w:t xml:space="preserve"> </w:t>
      </w:r>
      <w:r w:rsidR="008E67AC" w:rsidRPr="00583744">
        <w:rPr>
          <w:i/>
          <w:lang w:val="fr-CA"/>
        </w:rPr>
        <w:t xml:space="preserve">refus d’une institution gouvernementale de communiquer des documents </w:t>
      </w:r>
      <w:r w:rsidR="001947A1" w:rsidRPr="00583744">
        <w:rPr>
          <w:i/>
          <w:lang w:val="fr-CA"/>
        </w:rPr>
        <w:t xml:space="preserve">— Ordonnance de la </w:t>
      </w:r>
      <w:r w:rsidR="00977524" w:rsidRPr="00583744">
        <w:rPr>
          <w:i/>
          <w:lang w:val="fr-CA"/>
        </w:rPr>
        <w:t>C</w:t>
      </w:r>
      <w:r w:rsidR="001947A1" w:rsidRPr="00583744">
        <w:rPr>
          <w:i/>
          <w:lang w:val="fr-CA"/>
        </w:rPr>
        <w:t xml:space="preserve">ommissaire à l’information et à la </w:t>
      </w:r>
      <w:r w:rsidR="003B12F3">
        <w:rPr>
          <w:i/>
          <w:lang w:val="fr-CA"/>
        </w:rPr>
        <w:t xml:space="preserve">protection de la </w:t>
      </w:r>
      <w:r w:rsidR="001947A1" w:rsidRPr="00583744">
        <w:rPr>
          <w:i/>
          <w:lang w:val="fr-CA"/>
        </w:rPr>
        <w:t xml:space="preserve">vie privée de communiquer les documents — L’ordonnance </w:t>
      </w:r>
      <w:r w:rsidR="00AC554E" w:rsidRPr="00583744">
        <w:rPr>
          <w:i/>
          <w:lang w:val="fr-CA"/>
        </w:rPr>
        <w:t>étai</w:t>
      </w:r>
      <w:r w:rsidR="001947A1" w:rsidRPr="00583744">
        <w:rPr>
          <w:i/>
          <w:lang w:val="fr-CA"/>
        </w:rPr>
        <w:t>t</w:t>
      </w:r>
      <w:r w:rsidR="00115CFC">
        <w:rPr>
          <w:i/>
          <w:lang w:val="fr-CA"/>
        </w:rPr>
        <w:t>-</w:t>
      </w:r>
      <w:r w:rsidR="001947A1" w:rsidRPr="00583744">
        <w:rPr>
          <w:i/>
          <w:lang w:val="fr-CA"/>
        </w:rPr>
        <w:t>elle raisonnable? —</w:t>
      </w:r>
      <w:r w:rsidR="00086E52" w:rsidRPr="00583744">
        <w:rPr>
          <w:i/>
          <w:lang w:val="fr-CA"/>
        </w:rPr>
        <w:t xml:space="preserve"> L’exception prévue </w:t>
      </w:r>
      <w:r w:rsidR="00A17CC8">
        <w:rPr>
          <w:i/>
          <w:lang w:val="fr-CA"/>
        </w:rPr>
        <w:t>à l’art.</w:t>
      </w:r>
      <w:r w:rsidR="00115CFC">
        <w:rPr>
          <w:i/>
          <w:lang w:val="fr-CA"/>
        </w:rPr>
        <w:t xml:space="preserve"> </w:t>
      </w:r>
      <w:r w:rsidR="00086E52" w:rsidRPr="00583744">
        <w:rPr>
          <w:i/>
          <w:lang w:val="fr-CA"/>
        </w:rPr>
        <w:t xml:space="preserve">13(1) </w:t>
      </w:r>
      <w:r w:rsidR="00487C0A" w:rsidRPr="00583744">
        <w:rPr>
          <w:i/>
          <w:lang w:val="fr-CA"/>
        </w:rPr>
        <w:t>à l’égard</w:t>
      </w:r>
      <w:r w:rsidR="001947A1" w:rsidRPr="00583744">
        <w:rPr>
          <w:i/>
          <w:lang w:val="fr-CA"/>
        </w:rPr>
        <w:t xml:space="preserve"> </w:t>
      </w:r>
      <w:r w:rsidR="00086E52" w:rsidRPr="00583744">
        <w:rPr>
          <w:i/>
          <w:lang w:val="fr-CA"/>
        </w:rPr>
        <w:t>des conseils ou des recommandations vaut</w:t>
      </w:r>
      <w:r w:rsidR="00115CFC">
        <w:rPr>
          <w:i/>
          <w:lang w:val="fr-CA"/>
        </w:rPr>
        <w:t>-</w:t>
      </w:r>
      <w:r w:rsidR="00086E52" w:rsidRPr="00583744">
        <w:rPr>
          <w:i/>
          <w:lang w:val="fr-CA"/>
        </w:rPr>
        <w:t>elle pour le choix de politiques qui ne recommande aucune mesure? — Vaut</w:t>
      </w:r>
      <w:r w:rsidR="00115CFC">
        <w:rPr>
          <w:i/>
          <w:lang w:val="fr-CA"/>
        </w:rPr>
        <w:t>-</w:t>
      </w:r>
      <w:r w:rsidR="00086E52" w:rsidRPr="00583744">
        <w:rPr>
          <w:i/>
          <w:lang w:val="fr-CA"/>
        </w:rPr>
        <w:t xml:space="preserve">elle pour l’information qui n’est pas transmise? — Loi sur l’accès à l’information et la protection de la vie privée, L.R.O. 1990, </w:t>
      </w:r>
      <w:r w:rsidR="00487C0A" w:rsidRPr="00583744">
        <w:rPr>
          <w:i/>
          <w:lang w:val="fr-CA"/>
        </w:rPr>
        <w:t>ch</w:t>
      </w:r>
      <w:r w:rsidR="00115CFC">
        <w:rPr>
          <w:i/>
          <w:lang w:val="fr-CA"/>
        </w:rPr>
        <w:t xml:space="preserve">. </w:t>
      </w:r>
      <w:r w:rsidR="00086E52" w:rsidRPr="00583744">
        <w:rPr>
          <w:i/>
          <w:lang w:val="fr-CA"/>
        </w:rPr>
        <w:t xml:space="preserve">F.31, </w:t>
      </w:r>
      <w:r w:rsidR="00487C0A" w:rsidRPr="00583744">
        <w:rPr>
          <w:i/>
          <w:lang w:val="fr-CA"/>
        </w:rPr>
        <w:t>art</w:t>
      </w:r>
      <w:r w:rsidR="00115CFC">
        <w:rPr>
          <w:i/>
          <w:lang w:val="fr-CA"/>
        </w:rPr>
        <w:t xml:space="preserve">. </w:t>
      </w:r>
      <w:r w:rsidR="00086E52" w:rsidRPr="00583744">
        <w:rPr>
          <w:i/>
          <w:lang w:val="fr-CA"/>
        </w:rPr>
        <w:t xml:space="preserve">13(1). </w:t>
      </w:r>
    </w:p>
    <w:p w:rsidR="004D7D95" w:rsidRPr="00583744" w:rsidRDefault="004D7D95" w:rsidP="00115CFC">
      <w:pPr>
        <w:pStyle w:val="SCCNormalDoubleSpacing"/>
        <w:spacing w:before="480" w:after="480"/>
        <w:rPr>
          <w:noProof/>
          <w:lang w:val="fr-CA"/>
        </w:rPr>
      </w:pPr>
      <w:r w:rsidRPr="00583744">
        <w:rPr>
          <w:lang w:val="fr-CA"/>
        </w:rPr>
        <w:tab/>
      </w:r>
      <w:r w:rsidR="008E67AC" w:rsidRPr="00583744">
        <w:rPr>
          <w:lang w:val="fr-CA"/>
        </w:rPr>
        <w:t>A</w:t>
      </w:r>
      <w:r w:rsidR="00F87A20" w:rsidRPr="00583744">
        <w:rPr>
          <w:noProof/>
          <w:lang w:val="fr-CA"/>
        </w:rPr>
        <w:t xml:space="preserve">près que le ministère des Finances eut modifié une disposition de la </w:t>
      </w:r>
      <w:r w:rsidR="00F87A20" w:rsidRPr="00583744">
        <w:rPr>
          <w:i/>
          <w:noProof/>
          <w:lang w:val="fr-CA"/>
        </w:rPr>
        <w:t>Loi sur l’imposition des sociétés</w:t>
      </w:r>
      <w:r w:rsidR="00F87A20" w:rsidRPr="00583744">
        <w:rPr>
          <w:noProof/>
          <w:lang w:val="fr-CA"/>
        </w:rPr>
        <w:t xml:space="preserve">, L.R.O. 1990, </w:t>
      </w:r>
      <w:r w:rsidR="00487C0A" w:rsidRPr="00583744">
        <w:rPr>
          <w:noProof/>
          <w:lang w:val="fr-CA"/>
        </w:rPr>
        <w:t>ch</w:t>
      </w:r>
      <w:r w:rsidR="00115CFC">
        <w:rPr>
          <w:noProof/>
          <w:lang w:val="fr-CA"/>
        </w:rPr>
        <w:t xml:space="preserve">. </w:t>
      </w:r>
      <w:r w:rsidR="00F87A20" w:rsidRPr="00583744">
        <w:rPr>
          <w:noProof/>
          <w:lang w:val="fr-CA"/>
        </w:rPr>
        <w:t>C.40</w:t>
      </w:r>
      <w:r w:rsidR="008E67AC" w:rsidRPr="00583744">
        <w:rPr>
          <w:noProof/>
          <w:lang w:val="fr-CA"/>
        </w:rPr>
        <w:t xml:space="preserve">, </w:t>
      </w:r>
      <w:r w:rsidR="008E67AC" w:rsidRPr="00583744">
        <w:rPr>
          <w:lang w:val="fr-CA"/>
        </w:rPr>
        <w:t>M</w:t>
      </w:r>
      <w:r w:rsidR="00115CFC">
        <w:rPr>
          <w:lang w:val="fr-CA"/>
        </w:rPr>
        <w:t xml:space="preserve">. </w:t>
      </w:r>
      <w:r w:rsidR="008E67AC" w:rsidRPr="00583744">
        <w:rPr>
          <w:lang w:val="fr-CA"/>
        </w:rPr>
        <w:t xml:space="preserve">Untel </w:t>
      </w:r>
      <w:r w:rsidR="008E67AC" w:rsidRPr="00583744">
        <w:rPr>
          <w:noProof/>
          <w:lang w:val="fr-CA"/>
        </w:rPr>
        <w:t>a présenté une demande d’accès à l’information</w:t>
      </w:r>
      <w:r w:rsidR="00F87A20" w:rsidRPr="00583744">
        <w:rPr>
          <w:noProof/>
          <w:lang w:val="fr-CA"/>
        </w:rPr>
        <w:t xml:space="preserve"> afin d’obtenir des documents </w:t>
      </w:r>
      <w:r w:rsidR="008E67AC" w:rsidRPr="00583744">
        <w:rPr>
          <w:noProof/>
          <w:lang w:val="fr-CA"/>
        </w:rPr>
        <w:t xml:space="preserve">du ministère </w:t>
      </w:r>
      <w:r w:rsidR="00F87A20" w:rsidRPr="00583744">
        <w:rPr>
          <w:noProof/>
          <w:lang w:val="fr-CA"/>
        </w:rPr>
        <w:t xml:space="preserve">portant </w:t>
      </w:r>
      <w:r w:rsidR="00F87A20" w:rsidRPr="00583744">
        <w:rPr>
          <w:noProof/>
          <w:lang w:val="fr-CA"/>
        </w:rPr>
        <w:lastRenderedPageBreak/>
        <w:t xml:space="preserve">sur la rétroactivité et la date d’entrée en vigueur des modifications. </w:t>
      </w:r>
      <w:r w:rsidR="00487C0A" w:rsidRPr="00583744">
        <w:rPr>
          <w:noProof/>
          <w:lang w:val="fr-CA"/>
        </w:rPr>
        <w:t xml:space="preserve"> </w:t>
      </w:r>
      <w:r w:rsidR="00F87A20" w:rsidRPr="00583744">
        <w:rPr>
          <w:noProof/>
          <w:lang w:val="fr-CA"/>
        </w:rPr>
        <w:t>Le ministère a déterminé que les documents demandés renfermai</w:t>
      </w:r>
      <w:r w:rsidR="008E67AC" w:rsidRPr="00583744">
        <w:rPr>
          <w:noProof/>
          <w:lang w:val="fr-CA"/>
        </w:rPr>
        <w:t>en</w:t>
      </w:r>
      <w:r w:rsidR="00F87A20" w:rsidRPr="00583744">
        <w:rPr>
          <w:noProof/>
          <w:lang w:val="fr-CA"/>
        </w:rPr>
        <w:t xml:space="preserve">t des conseils ou des recommandations d’un fonctionnaire, de sorte qu’il a refusé leur communication </w:t>
      </w:r>
      <w:r w:rsidR="00487C0A" w:rsidRPr="00583744">
        <w:rPr>
          <w:noProof/>
          <w:lang w:val="fr-CA"/>
        </w:rPr>
        <w:t>à M</w:t>
      </w:r>
      <w:r w:rsidR="00115CFC">
        <w:rPr>
          <w:noProof/>
          <w:lang w:val="fr-CA"/>
        </w:rPr>
        <w:t xml:space="preserve">. </w:t>
      </w:r>
      <w:r w:rsidR="00977524" w:rsidRPr="00583744">
        <w:rPr>
          <w:noProof/>
          <w:lang w:val="fr-CA"/>
        </w:rPr>
        <w:t xml:space="preserve">Untel par application </w:t>
      </w:r>
      <w:r w:rsidR="00F87A20" w:rsidRPr="00583744">
        <w:rPr>
          <w:noProof/>
          <w:lang w:val="fr-CA"/>
        </w:rPr>
        <w:t xml:space="preserve">du </w:t>
      </w:r>
      <w:r w:rsidR="00487C0A" w:rsidRPr="00583744">
        <w:rPr>
          <w:noProof/>
          <w:lang w:val="fr-CA"/>
        </w:rPr>
        <w:t>par</w:t>
      </w:r>
      <w:r w:rsidR="00115CFC">
        <w:rPr>
          <w:noProof/>
          <w:lang w:val="fr-CA"/>
        </w:rPr>
        <w:t xml:space="preserve">. </w:t>
      </w:r>
      <w:r w:rsidR="00F87A20" w:rsidRPr="00583744">
        <w:rPr>
          <w:noProof/>
          <w:lang w:val="fr-CA"/>
        </w:rPr>
        <w:t xml:space="preserve">13(1) de la </w:t>
      </w:r>
      <w:r w:rsidR="00F87A20" w:rsidRPr="00583744">
        <w:rPr>
          <w:i/>
          <w:lang w:val="fr-CA"/>
        </w:rPr>
        <w:t xml:space="preserve">Loi sur l’accès à l’information et la protection de la vie privée </w:t>
      </w:r>
      <w:r w:rsidR="006C46A7" w:rsidRPr="00583744">
        <w:rPr>
          <w:lang w:val="fr-CA"/>
        </w:rPr>
        <w:t>(« </w:t>
      </w:r>
      <w:r w:rsidR="00F87A20" w:rsidRPr="00583744">
        <w:rPr>
          <w:i/>
          <w:lang w:val="fr-CA"/>
        </w:rPr>
        <w:t>LAIPVP</w:t>
      </w:r>
      <w:r w:rsidR="00F87A20" w:rsidRPr="00583744">
        <w:rPr>
          <w:lang w:val="fr-CA"/>
        </w:rPr>
        <w:t> »)</w:t>
      </w:r>
      <w:r w:rsidR="00F87A20" w:rsidRPr="00583744">
        <w:rPr>
          <w:noProof/>
          <w:lang w:val="fr-CA"/>
        </w:rPr>
        <w:t xml:space="preserve">. </w:t>
      </w:r>
      <w:r w:rsidR="00487C0A" w:rsidRPr="00583744">
        <w:rPr>
          <w:noProof/>
          <w:lang w:val="fr-CA"/>
        </w:rPr>
        <w:t xml:space="preserve"> </w:t>
      </w:r>
      <w:r w:rsidR="00A8544D" w:rsidRPr="00583744">
        <w:rPr>
          <w:noProof/>
          <w:lang w:val="fr-CA"/>
        </w:rPr>
        <w:t xml:space="preserve">Une arbitre du bureau de la Commissaire à l’information et à la protection de la vie privée de l’Ontario (« Commissaire ») a </w:t>
      </w:r>
      <w:r w:rsidR="00B753B5" w:rsidRPr="00583744">
        <w:rPr>
          <w:noProof/>
          <w:lang w:val="fr-CA"/>
        </w:rPr>
        <w:t xml:space="preserve">cependant </w:t>
      </w:r>
      <w:r w:rsidR="00A8544D" w:rsidRPr="00583744">
        <w:rPr>
          <w:noProof/>
          <w:lang w:val="fr-CA"/>
        </w:rPr>
        <w:t xml:space="preserve">ordonné </w:t>
      </w:r>
      <w:r w:rsidR="00AC554E" w:rsidRPr="00583744">
        <w:rPr>
          <w:noProof/>
          <w:lang w:val="fr-CA"/>
        </w:rPr>
        <w:t>au ministère de</w:t>
      </w:r>
      <w:r w:rsidR="00A8544D" w:rsidRPr="00583744">
        <w:rPr>
          <w:noProof/>
          <w:lang w:val="fr-CA"/>
        </w:rPr>
        <w:t xml:space="preserve"> communi</w:t>
      </w:r>
      <w:r w:rsidR="00AC554E" w:rsidRPr="00583744">
        <w:rPr>
          <w:noProof/>
          <w:lang w:val="fr-CA"/>
        </w:rPr>
        <w:t>quer l</w:t>
      </w:r>
      <w:r w:rsidR="00A8544D" w:rsidRPr="00583744">
        <w:rPr>
          <w:noProof/>
          <w:lang w:val="fr-CA"/>
        </w:rPr>
        <w:t xml:space="preserve">es documents </w:t>
      </w:r>
      <w:r w:rsidR="00977524" w:rsidRPr="00583744">
        <w:rPr>
          <w:noProof/>
          <w:lang w:val="fr-CA"/>
        </w:rPr>
        <w:t>et</w:t>
      </w:r>
      <w:r w:rsidR="00A8544D" w:rsidRPr="00583744">
        <w:rPr>
          <w:noProof/>
          <w:lang w:val="fr-CA"/>
        </w:rPr>
        <w:t xml:space="preserve"> rejeté </w:t>
      </w:r>
      <w:r w:rsidR="00AC554E" w:rsidRPr="00583744">
        <w:rPr>
          <w:noProof/>
          <w:lang w:val="fr-CA"/>
        </w:rPr>
        <w:t>s</w:t>
      </w:r>
      <w:r w:rsidR="00A8544D" w:rsidRPr="00583744">
        <w:rPr>
          <w:noProof/>
          <w:lang w:val="fr-CA"/>
        </w:rPr>
        <w:t xml:space="preserve">a demande de réexamen. </w:t>
      </w:r>
      <w:r w:rsidR="00487C0A" w:rsidRPr="00583744">
        <w:rPr>
          <w:noProof/>
          <w:lang w:val="fr-CA"/>
        </w:rPr>
        <w:t xml:space="preserve"> </w:t>
      </w:r>
      <w:r w:rsidR="00A8544D" w:rsidRPr="00583744">
        <w:rPr>
          <w:noProof/>
          <w:lang w:val="fr-CA"/>
        </w:rPr>
        <w:t xml:space="preserve">La Cour supérieure a </w:t>
      </w:r>
      <w:r w:rsidR="00B753B5" w:rsidRPr="00583744">
        <w:rPr>
          <w:noProof/>
          <w:lang w:val="fr-CA"/>
        </w:rPr>
        <w:t xml:space="preserve">par la </w:t>
      </w:r>
      <w:r w:rsidR="00A8544D" w:rsidRPr="00583744">
        <w:rPr>
          <w:noProof/>
          <w:lang w:val="fr-CA"/>
        </w:rPr>
        <w:t xml:space="preserve">suite rejeté la demande de contrôle judiciaire du ministère, mais la Cour d’appel a jugé l’ordonnance </w:t>
      </w:r>
      <w:r w:rsidR="008E67AC" w:rsidRPr="00583744">
        <w:rPr>
          <w:noProof/>
          <w:lang w:val="fr-CA"/>
        </w:rPr>
        <w:t xml:space="preserve">de communication </w:t>
      </w:r>
      <w:r w:rsidR="00A8544D" w:rsidRPr="00583744">
        <w:rPr>
          <w:noProof/>
          <w:lang w:val="fr-CA"/>
        </w:rPr>
        <w:t>déraisonnable, a accueilli l’appel et renvoyé le dossier à la Commissaire.</w:t>
      </w:r>
    </w:p>
    <w:p w:rsidR="004D7D95" w:rsidRPr="00583744" w:rsidRDefault="00A8544D" w:rsidP="00115CFC">
      <w:pPr>
        <w:pStyle w:val="SCCNormalDoubleSpacing"/>
        <w:spacing w:before="480" w:after="480"/>
        <w:rPr>
          <w:lang w:val="fr-CA"/>
        </w:rPr>
      </w:pPr>
      <w:r w:rsidRPr="00583744">
        <w:rPr>
          <w:noProof/>
          <w:lang w:val="fr-CA"/>
        </w:rPr>
        <w:tab/>
      </w:r>
      <w:r w:rsidR="004D7D95" w:rsidRPr="00583744">
        <w:rPr>
          <w:i/>
          <w:lang w:val="fr-CA"/>
        </w:rPr>
        <w:t>Arrêt</w:t>
      </w:r>
      <w:r w:rsidR="00487C0A" w:rsidRPr="00583744">
        <w:rPr>
          <w:i/>
          <w:lang w:val="fr-CA"/>
        </w:rPr>
        <w:t> </w:t>
      </w:r>
      <w:r w:rsidR="00487C0A" w:rsidRPr="003B12F3">
        <w:rPr>
          <w:lang w:val="fr-CA"/>
        </w:rPr>
        <w:t>:</w:t>
      </w:r>
      <w:r w:rsidR="004D7D95" w:rsidRPr="00583744">
        <w:rPr>
          <w:lang w:val="fr-CA"/>
        </w:rPr>
        <w:t xml:space="preserve"> Le pourvoi est</w:t>
      </w:r>
      <w:r w:rsidRPr="00583744">
        <w:rPr>
          <w:lang w:val="fr-CA"/>
        </w:rPr>
        <w:t xml:space="preserve"> rejeté.</w:t>
      </w:r>
    </w:p>
    <w:p w:rsidR="004D7D95" w:rsidRPr="00583744" w:rsidRDefault="004D7D95" w:rsidP="00115CFC">
      <w:pPr>
        <w:pStyle w:val="SCCNormalDoubleSpacing"/>
        <w:spacing w:before="480" w:after="480"/>
        <w:rPr>
          <w:lang w:val="fr-CA"/>
        </w:rPr>
      </w:pPr>
      <w:r w:rsidRPr="00583744">
        <w:rPr>
          <w:lang w:val="fr-CA"/>
        </w:rPr>
        <w:tab/>
      </w:r>
      <w:r w:rsidR="00A8544D" w:rsidRPr="00583744">
        <w:rPr>
          <w:lang w:val="fr-CA"/>
        </w:rPr>
        <w:t xml:space="preserve">En l’espèce, les documents font état du </w:t>
      </w:r>
      <w:r w:rsidR="00A8544D" w:rsidRPr="00583744">
        <w:rPr>
          <w:noProof/>
          <w:lang w:val="fr-CA"/>
        </w:rPr>
        <w:t>point de vue de fonctionnaires sur les avantages et les inconvénients de différentes dates d’entrée en vigueur possibles de modifications législatives.</w:t>
      </w:r>
      <w:r w:rsidR="00A8544D" w:rsidRPr="00583744">
        <w:rPr>
          <w:lang w:val="fr-CA"/>
        </w:rPr>
        <w:t xml:space="preserve"> </w:t>
      </w:r>
      <w:r w:rsidR="00487C0A" w:rsidRPr="00583744">
        <w:rPr>
          <w:lang w:val="fr-CA"/>
        </w:rPr>
        <w:t xml:space="preserve"> </w:t>
      </w:r>
      <w:r w:rsidR="00A8544D" w:rsidRPr="00583744">
        <w:rPr>
          <w:lang w:val="fr-CA"/>
        </w:rPr>
        <w:t xml:space="preserve">Ils ont </w:t>
      </w:r>
      <w:r w:rsidR="006A4E51" w:rsidRPr="00583744">
        <w:rPr>
          <w:lang w:val="fr-CA"/>
        </w:rPr>
        <w:t>servi</w:t>
      </w:r>
      <w:r w:rsidR="00A8544D" w:rsidRPr="00583744">
        <w:rPr>
          <w:lang w:val="fr-CA"/>
        </w:rPr>
        <w:t xml:space="preserve"> au ministère d</w:t>
      </w:r>
      <w:r w:rsidR="006A4E51" w:rsidRPr="00583744">
        <w:rPr>
          <w:lang w:val="fr-CA"/>
        </w:rPr>
        <w:t>ans l</w:t>
      </w:r>
      <w:r w:rsidR="00A8544D" w:rsidRPr="00583744">
        <w:rPr>
          <w:lang w:val="fr-CA"/>
        </w:rPr>
        <w:t xml:space="preserve">e </w:t>
      </w:r>
      <w:r w:rsidR="008E67AC" w:rsidRPr="00583744">
        <w:rPr>
          <w:lang w:val="fr-CA"/>
        </w:rPr>
        <w:t>choi</w:t>
      </w:r>
      <w:r w:rsidR="006A4E51" w:rsidRPr="00583744">
        <w:rPr>
          <w:lang w:val="fr-CA"/>
        </w:rPr>
        <w:t>x</w:t>
      </w:r>
      <w:r w:rsidR="00A8544D" w:rsidRPr="00583744">
        <w:rPr>
          <w:lang w:val="fr-CA"/>
        </w:rPr>
        <w:t xml:space="preserve"> </w:t>
      </w:r>
      <w:r w:rsidR="006A4E51" w:rsidRPr="00583744">
        <w:rPr>
          <w:lang w:val="fr-CA"/>
        </w:rPr>
        <w:t xml:space="preserve">de </w:t>
      </w:r>
      <w:r w:rsidR="00A8544D" w:rsidRPr="00583744">
        <w:rPr>
          <w:lang w:val="fr-CA"/>
        </w:rPr>
        <w:t>l’une ou l’autre des dates.</w:t>
      </w:r>
      <w:r w:rsidR="00487C0A" w:rsidRPr="00583744">
        <w:rPr>
          <w:lang w:val="fr-CA"/>
        </w:rPr>
        <w:t xml:space="preserve"> </w:t>
      </w:r>
      <w:r w:rsidR="00A8544D" w:rsidRPr="00583744">
        <w:rPr>
          <w:lang w:val="fr-CA"/>
        </w:rPr>
        <w:t xml:space="preserve"> </w:t>
      </w:r>
      <w:r w:rsidR="00977524" w:rsidRPr="00583744">
        <w:rPr>
          <w:lang w:val="fr-CA"/>
        </w:rPr>
        <w:t>Qu’il ait été transmis ou non à quiconque, c</w:t>
      </w:r>
      <w:r w:rsidR="00A8544D" w:rsidRPr="00583744">
        <w:rPr>
          <w:lang w:val="fr-CA"/>
        </w:rPr>
        <w:t xml:space="preserve">e choix de politiques constitue des « conseils » au sens du </w:t>
      </w:r>
      <w:r w:rsidR="00487C0A" w:rsidRPr="00583744">
        <w:rPr>
          <w:lang w:val="fr-CA"/>
        </w:rPr>
        <w:t>par</w:t>
      </w:r>
      <w:r w:rsidR="00115CFC">
        <w:rPr>
          <w:lang w:val="fr-CA"/>
        </w:rPr>
        <w:t xml:space="preserve">. </w:t>
      </w:r>
      <w:r w:rsidR="00A8544D" w:rsidRPr="00583744">
        <w:rPr>
          <w:lang w:val="fr-CA"/>
        </w:rPr>
        <w:t>13(1) et peut donc faire l’objet de l’exception à la communication.</w:t>
      </w:r>
    </w:p>
    <w:p w:rsidR="001107E7" w:rsidRPr="00583744" w:rsidRDefault="00977524" w:rsidP="00115CFC">
      <w:pPr>
        <w:pStyle w:val="SCCNormalDoubleSpacing"/>
        <w:spacing w:before="480" w:after="480"/>
        <w:rPr>
          <w:noProof/>
          <w:lang w:val="fr-CA"/>
        </w:rPr>
      </w:pPr>
      <w:r w:rsidRPr="00583744">
        <w:rPr>
          <w:lang w:val="fr-CA"/>
        </w:rPr>
        <w:tab/>
        <w:t xml:space="preserve">L’arbitre a ordonné la communication </w:t>
      </w:r>
      <w:r w:rsidR="006A4E51" w:rsidRPr="00583744">
        <w:rPr>
          <w:lang w:val="fr-CA"/>
        </w:rPr>
        <w:t xml:space="preserve">des documents </w:t>
      </w:r>
      <w:r w:rsidRPr="00583744">
        <w:rPr>
          <w:noProof/>
          <w:lang w:val="fr-CA"/>
        </w:rPr>
        <w:t xml:space="preserve">au motif que la teneur de la plupart </w:t>
      </w:r>
      <w:r w:rsidR="008E67AC" w:rsidRPr="00583744">
        <w:rPr>
          <w:lang w:val="fr-CA"/>
        </w:rPr>
        <w:t>d</w:t>
      </w:r>
      <w:r w:rsidR="006A4E51" w:rsidRPr="00583744">
        <w:rPr>
          <w:lang w:val="fr-CA"/>
        </w:rPr>
        <w:t>’entre eux</w:t>
      </w:r>
      <w:r w:rsidRPr="00583744">
        <w:rPr>
          <w:noProof/>
          <w:lang w:val="fr-CA"/>
        </w:rPr>
        <w:t xml:space="preserve"> ne révélait aucune mesure préconisée. </w:t>
      </w:r>
      <w:r w:rsidR="00487C0A" w:rsidRPr="00583744">
        <w:rPr>
          <w:noProof/>
          <w:lang w:val="fr-CA"/>
        </w:rPr>
        <w:t xml:space="preserve"> </w:t>
      </w:r>
      <w:r w:rsidRPr="00583744">
        <w:rPr>
          <w:noProof/>
          <w:lang w:val="fr-CA"/>
        </w:rPr>
        <w:t>Or, ce</w:t>
      </w:r>
      <w:r w:rsidR="008E67AC" w:rsidRPr="00583744">
        <w:rPr>
          <w:noProof/>
          <w:lang w:val="fr-CA"/>
        </w:rPr>
        <w:t>tte caractéristique</w:t>
      </w:r>
      <w:r w:rsidRPr="00583744">
        <w:rPr>
          <w:noProof/>
          <w:lang w:val="fr-CA"/>
        </w:rPr>
        <w:t xml:space="preserve"> ne vaut que pour les « recommandations ».</w:t>
      </w:r>
      <w:r w:rsidR="00487C0A" w:rsidRPr="00583744">
        <w:rPr>
          <w:noProof/>
          <w:lang w:val="fr-CA"/>
        </w:rPr>
        <w:t xml:space="preserve"> </w:t>
      </w:r>
      <w:r w:rsidRPr="00583744">
        <w:rPr>
          <w:noProof/>
          <w:lang w:val="fr-CA"/>
        </w:rPr>
        <w:t xml:space="preserve"> </w:t>
      </w:r>
      <w:r w:rsidR="001107E7" w:rsidRPr="00583744">
        <w:rPr>
          <w:noProof/>
          <w:lang w:val="fr-CA"/>
        </w:rPr>
        <w:t xml:space="preserve">Par sa décision de soustraire à la communication les </w:t>
      </w:r>
      <w:r w:rsidR="00BF231A" w:rsidRPr="00583744">
        <w:rPr>
          <w:noProof/>
          <w:lang w:val="fr-CA"/>
        </w:rPr>
        <w:t>« conseils</w:t>
      </w:r>
      <w:r w:rsidR="001107E7" w:rsidRPr="00583744">
        <w:rPr>
          <w:noProof/>
          <w:lang w:val="fr-CA"/>
        </w:rPr>
        <w:t xml:space="preserve"> ou </w:t>
      </w:r>
      <w:r w:rsidR="003B12F3">
        <w:rPr>
          <w:noProof/>
          <w:lang w:val="fr-CA"/>
        </w:rPr>
        <w:t xml:space="preserve">les </w:t>
      </w:r>
      <w:r w:rsidR="001107E7" w:rsidRPr="00583744">
        <w:rPr>
          <w:noProof/>
          <w:lang w:val="fr-CA"/>
        </w:rPr>
        <w:t xml:space="preserve">recommandations », le législateur </w:t>
      </w:r>
      <w:r w:rsidR="001107E7" w:rsidRPr="00583744">
        <w:rPr>
          <w:noProof/>
          <w:lang w:val="fr-CA"/>
        </w:rPr>
        <w:lastRenderedPageBreak/>
        <w:t>a dû vouloir que le</w:t>
      </w:r>
      <w:r w:rsidR="008A0A1E" w:rsidRPr="00583744">
        <w:rPr>
          <w:noProof/>
          <w:lang w:val="fr-CA"/>
        </w:rPr>
        <w:t>s</w:t>
      </w:r>
      <w:r w:rsidR="001107E7" w:rsidRPr="00583744">
        <w:rPr>
          <w:noProof/>
          <w:lang w:val="fr-CA"/>
        </w:rPr>
        <w:t xml:space="preserve"> </w:t>
      </w:r>
      <w:r w:rsidR="006A4E51" w:rsidRPr="00583744">
        <w:rPr>
          <w:noProof/>
          <w:lang w:val="fr-CA"/>
        </w:rPr>
        <w:t>conseil</w:t>
      </w:r>
      <w:r w:rsidR="001107E7" w:rsidRPr="00583744">
        <w:rPr>
          <w:noProof/>
          <w:lang w:val="fr-CA"/>
        </w:rPr>
        <w:t>s ai</w:t>
      </w:r>
      <w:r w:rsidR="008A0A1E" w:rsidRPr="00583744">
        <w:rPr>
          <w:noProof/>
          <w:lang w:val="fr-CA"/>
        </w:rPr>
        <w:t>en</w:t>
      </w:r>
      <w:r w:rsidR="001107E7" w:rsidRPr="00583744">
        <w:rPr>
          <w:noProof/>
          <w:lang w:val="fr-CA"/>
        </w:rPr>
        <w:t>t un sens plus général que le</w:t>
      </w:r>
      <w:r w:rsidR="008A0A1E" w:rsidRPr="00583744">
        <w:rPr>
          <w:noProof/>
          <w:lang w:val="fr-CA"/>
        </w:rPr>
        <w:t>s</w:t>
      </w:r>
      <w:r w:rsidR="001107E7" w:rsidRPr="00583744">
        <w:rPr>
          <w:noProof/>
          <w:lang w:val="fr-CA"/>
        </w:rPr>
        <w:t xml:space="preserve"> recommandations. </w:t>
      </w:r>
      <w:r w:rsidR="00487C0A" w:rsidRPr="00583744">
        <w:rPr>
          <w:noProof/>
          <w:lang w:val="fr-CA"/>
        </w:rPr>
        <w:t xml:space="preserve"> </w:t>
      </w:r>
      <w:r w:rsidR="001107E7" w:rsidRPr="00583744">
        <w:rPr>
          <w:noProof/>
          <w:lang w:val="fr-CA"/>
        </w:rPr>
        <w:t>Sinon, il y aurait redondance.  Parce qu’elle ne permet pas de distinguer les conseils des recommandations, la décision de l’arbitre est déraisonnable.</w:t>
      </w:r>
    </w:p>
    <w:p w:rsidR="002460C2" w:rsidRPr="00583744" w:rsidRDefault="001107E7" w:rsidP="00115CFC">
      <w:pPr>
        <w:pStyle w:val="SCCNormalDoubleSpacing"/>
        <w:spacing w:before="480" w:after="480"/>
        <w:rPr>
          <w:noProof/>
          <w:lang w:val="fr-CA"/>
        </w:rPr>
      </w:pPr>
      <w:r w:rsidRPr="00583744">
        <w:rPr>
          <w:noProof/>
          <w:lang w:val="fr-CA"/>
        </w:rPr>
        <w:tab/>
        <w:t xml:space="preserve">Il appert des termes employés au </w:t>
      </w:r>
      <w:r w:rsidR="00487C0A" w:rsidRPr="00583744">
        <w:rPr>
          <w:noProof/>
          <w:lang w:val="fr-CA"/>
        </w:rPr>
        <w:t>par</w:t>
      </w:r>
      <w:r w:rsidR="00115CFC">
        <w:rPr>
          <w:noProof/>
          <w:lang w:val="fr-CA"/>
        </w:rPr>
        <w:t xml:space="preserve">. </w:t>
      </w:r>
      <w:r w:rsidRPr="00583744">
        <w:rPr>
          <w:noProof/>
          <w:lang w:val="fr-CA"/>
        </w:rPr>
        <w:t>13(1)</w:t>
      </w:r>
      <w:r w:rsidR="00AC554E" w:rsidRPr="00583744">
        <w:rPr>
          <w:noProof/>
          <w:lang w:val="fr-CA"/>
        </w:rPr>
        <w:t>,</w:t>
      </w:r>
      <w:r w:rsidRPr="00583744">
        <w:rPr>
          <w:noProof/>
          <w:lang w:val="fr-CA"/>
        </w:rPr>
        <w:t xml:space="preserve"> considérés dans leur contexte global en suivant le sens ordinaire et grammatical qui s’harmonise avec l’économie </w:t>
      </w:r>
      <w:r w:rsidR="008A0A1E" w:rsidRPr="00583744">
        <w:rPr>
          <w:noProof/>
          <w:lang w:val="fr-CA"/>
        </w:rPr>
        <w:t>et</w:t>
      </w:r>
      <w:r w:rsidRPr="00583744">
        <w:rPr>
          <w:noProof/>
          <w:lang w:val="fr-CA"/>
        </w:rPr>
        <w:t xml:space="preserve"> l’objet de la </w:t>
      </w:r>
      <w:r w:rsidR="00BF231A" w:rsidRPr="00583744">
        <w:rPr>
          <w:i/>
          <w:noProof/>
          <w:lang w:val="fr-CA"/>
        </w:rPr>
        <w:t xml:space="preserve">LAIPVP </w:t>
      </w:r>
      <w:r w:rsidRPr="00583744">
        <w:rPr>
          <w:noProof/>
          <w:lang w:val="fr-CA"/>
        </w:rPr>
        <w:t>et l’intention du législateur</w:t>
      </w:r>
      <w:r w:rsidR="00AC554E" w:rsidRPr="00583744">
        <w:rPr>
          <w:noProof/>
          <w:lang w:val="fr-CA"/>
        </w:rPr>
        <w:t>,</w:t>
      </w:r>
      <w:r w:rsidRPr="00583744">
        <w:rPr>
          <w:noProof/>
          <w:lang w:val="fr-CA"/>
        </w:rPr>
        <w:t xml:space="preserve"> que les « conseils » englobent le choix de politiques. </w:t>
      </w:r>
      <w:r w:rsidR="00487C0A" w:rsidRPr="00583744">
        <w:rPr>
          <w:noProof/>
          <w:lang w:val="fr-CA"/>
        </w:rPr>
        <w:t xml:space="preserve"> </w:t>
      </w:r>
      <w:r w:rsidRPr="00583744">
        <w:rPr>
          <w:noProof/>
          <w:lang w:val="fr-CA"/>
        </w:rPr>
        <w:t xml:space="preserve">On ne peut inférer </w:t>
      </w:r>
      <w:r w:rsidR="006A4E51" w:rsidRPr="00583744">
        <w:rPr>
          <w:noProof/>
          <w:lang w:val="fr-CA"/>
        </w:rPr>
        <w:t>le contraire</w:t>
      </w:r>
      <w:r w:rsidR="002460C2" w:rsidRPr="00583744">
        <w:rPr>
          <w:noProof/>
          <w:lang w:val="fr-CA"/>
        </w:rPr>
        <w:t xml:space="preserve"> </w:t>
      </w:r>
      <w:r w:rsidRPr="00583744">
        <w:rPr>
          <w:noProof/>
          <w:lang w:val="fr-CA"/>
        </w:rPr>
        <w:t xml:space="preserve">du seul fait que le législateur ontarien n’a pas modifié </w:t>
      </w:r>
      <w:r w:rsidR="002460C2" w:rsidRPr="00583744">
        <w:rPr>
          <w:noProof/>
          <w:lang w:val="fr-CA"/>
        </w:rPr>
        <w:t>la</w:t>
      </w:r>
      <w:r w:rsidRPr="00583744">
        <w:rPr>
          <w:noProof/>
          <w:lang w:val="fr-CA"/>
        </w:rPr>
        <w:t xml:space="preserve"> disposition </w:t>
      </w:r>
      <w:r w:rsidR="00BF231A" w:rsidRPr="00583744">
        <w:rPr>
          <w:noProof/>
          <w:lang w:val="fr-CA"/>
        </w:rPr>
        <w:t xml:space="preserve">lorsque </w:t>
      </w:r>
      <w:r w:rsidR="00AC554E" w:rsidRPr="00583744">
        <w:rPr>
          <w:noProof/>
          <w:lang w:val="fr-CA"/>
        </w:rPr>
        <w:t>d’</w:t>
      </w:r>
      <w:r w:rsidR="00BF231A" w:rsidRPr="00583744">
        <w:rPr>
          <w:noProof/>
          <w:lang w:val="fr-CA"/>
        </w:rPr>
        <w:t>autres ressorts ont</w:t>
      </w:r>
      <w:r w:rsidRPr="00583744">
        <w:rPr>
          <w:noProof/>
          <w:lang w:val="fr-CA"/>
        </w:rPr>
        <w:t xml:space="preserve"> subséque</w:t>
      </w:r>
      <w:r w:rsidR="00BF231A" w:rsidRPr="00583744">
        <w:rPr>
          <w:noProof/>
          <w:lang w:val="fr-CA"/>
        </w:rPr>
        <w:t>mme</w:t>
      </w:r>
      <w:r w:rsidRPr="00583744">
        <w:rPr>
          <w:noProof/>
          <w:lang w:val="fr-CA"/>
        </w:rPr>
        <w:t xml:space="preserve">nt </w:t>
      </w:r>
      <w:r w:rsidR="00BF231A" w:rsidRPr="00583744">
        <w:rPr>
          <w:noProof/>
          <w:lang w:val="fr-CA"/>
        </w:rPr>
        <w:t>rédigé leur</w:t>
      </w:r>
      <w:r w:rsidRPr="00583744">
        <w:rPr>
          <w:noProof/>
          <w:lang w:val="fr-CA"/>
        </w:rPr>
        <w:t>s disposition</w:t>
      </w:r>
      <w:r w:rsidR="002460C2" w:rsidRPr="00583744">
        <w:rPr>
          <w:noProof/>
          <w:lang w:val="fr-CA"/>
        </w:rPr>
        <w:t>s</w:t>
      </w:r>
      <w:r w:rsidRPr="00583744">
        <w:rPr>
          <w:noProof/>
          <w:lang w:val="fr-CA"/>
        </w:rPr>
        <w:t xml:space="preserve"> en matière d’accès à l’information</w:t>
      </w:r>
      <w:r w:rsidR="00BF231A" w:rsidRPr="00583744">
        <w:rPr>
          <w:noProof/>
          <w:lang w:val="fr-CA"/>
        </w:rPr>
        <w:t xml:space="preserve"> de manière </w:t>
      </w:r>
      <w:r w:rsidR="006A4E51" w:rsidRPr="00583744">
        <w:rPr>
          <w:noProof/>
          <w:lang w:val="fr-CA"/>
        </w:rPr>
        <w:t>que les « conseils » englobent le choix de politiques</w:t>
      </w:r>
      <w:r w:rsidRPr="00583744">
        <w:rPr>
          <w:noProof/>
          <w:lang w:val="fr-CA"/>
        </w:rPr>
        <w:t>.</w:t>
      </w:r>
      <w:r w:rsidR="002460C2" w:rsidRPr="00583744">
        <w:rPr>
          <w:noProof/>
          <w:lang w:val="fr-CA"/>
        </w:rPr>
        <w:t xml:space="preserve"> </w:t>
      </w:r>
      <w:r w:rsidR="00487C0A" w:rsidRPr="00583744">
        <w:rPr>
          <w:noProof/>
          <w:lang w:val="fr-CA"/>
        </w:rPr>
        <w:t xml:space="preserve"> </w:t>
      </w:r>
      <w:r w:rsidR="002460C2" w:rsidRPr="00583744">
        <w:rPr>
          <w:noProof/>
          <w:lang w:val="fr-CA"/>
        </w:rPr>
        <w:t xml:space="preserve">On ne saurait non plus présumer que le rapport de la commission Williams permet de bien cerner l’intention du législateur quant à la portée du mot « conseils » employé au </w:t>
      </w:r>
      <w:r w:rsidR="00487C0A" w:rsidRPr="00583744">
        <w:rPr>
          <w:noProof/>
          <w:lang w:val="fr-CA"/>
        </w:rPr>
        <w:t>par</w:t>
      </w:r>
      <w:r w:rsidR="00115CFC">
        <w:rPr>
          <w:noProof/>
          <w:lang w:val="fr-CA"/>
        </w:rPr>
        <w:t xml:space="preserve">. </w:t>
      </w:r>
      <w:r w:rsidR="002460C2" w:rsidRPr="00583744">
        <w:rPr>
          <w:noProof/>
          <w:lang w:val="fr-CA"/>
        </w:rPr>
        <w:t>13(1), étant donné les différences de nature substantielle et contextuelle</w:t>
      </w:r>
      <w:r w:rsidR="006A4E51" w:rsidRPr="00583744">
        <w:rPr>
          <w:noProof/>
          <w:lang w:val="fr-CA"/>
        </w:rPr>
        <w:t xml:space="preserve"> entre le rapport et la </w:t>
      </w:r>
      <w:r w:rsidR="006A4E51" w:rsidRPr="00583744">
        <w:rPr>
          <w:i/>
          <w:noProof/>
          <w:lang w:val="fr-CA"/>
        </w:rPr>
        <w:t>LAIPVP</w:t>
      </w:r>
      <w:r w:rsidR="002460C2" w:rsidRPr="00583744">
        <w:rPr>
          <w:noProof/>
          <w:lang w:val="fr-CA"/>
        </w:rPr>
        <w:t xml:space="preserve">, ainsi que les événements survenus entre </w:t>
      </w:r>
      <w:r w:rsidR="00BF231A" w:rsidRPr="00583744">
        <w:rPr>
          <w:noProof/>
          <w:lang w:val="fr-CA"/>
        </w:rPr>
        <w:t xml:space="preserve">la publication du </w:t>
      </w:r>
      <w:r w:rsidR="006A4E51" w:rsidRPr="00583744">
        <w:rPr>
          <w:noProof/>
          <w:lang w:val="fr-CA"/>
        </w:rPr>
        <w:t xml:space="preserve">premier </w:t>
      </w:r>
      <w:r w:rsidR="002460C2" w:rsidRPr="00583744">
        <w:rPr>
          <w:noProof/>
          <w:lang w:val="fr-CA"/>
        </w:rPr>
        <w:t xml:space="preserve">et </w:t>
      </w:r>
      <w:r w:rsidR="00BF231A" w:rsidRPr="00583744">
        <w:rPr>
          <w:noProof/>
          <w:lang w:val="fr-CA"/>
        </w:rPr>
        <w:t>l’adoption de</w:t>
      </w:r>
      <w:r w:rsidR="006A4E51" w:rsidRPr="00583744">
        <w:rPr>
          <w:noProof/>
          <w:lang w:val="fr-CA"/>
        </w:rPr>
        <w:t xml:space="preserve"> </w:t>
      </w:r>
      <w:r w:rsidR="00BF231A" w:rsidRPr="00583744">
        <w:rPr>
          <w:noProof/>
          <w:lang w:val="fr-CA"/>
        </w:rPr>
        <w:t>la</w:t>
      </w:r>
      <w:r w:rsidR="006A4E51" w:rsidRPr="00583744">
        <w:rPr>
          <w:noProof/>
          <w:lang w:val="fr-CA"/>
        </w:rPr>
        <w:t xml:space="preserve"> seconde</w:t>
      </w:r>
      <w:r w:rsidR="002460C2" w:rsidRPr="00583744">
        <w:rPr>
          <w:noProof/>
          <w:lang w:val="fr-CA"/>
        </w:rPr>
        <w:t xml:space="preserve">. </w:t>
      </w:r>
      <w:r w:rsidR="00487C0A" w:rsidRPr="00583744">
        <w:rPr>
          <w:noProof/>
          <w:lang w:val="fr-CA"/>
        </w:rPr>
        <w:t xml:space="preserve"> </w:t>
      </w:r>
      <w:r w:rsidR="006A4E51" w:rsidRPr="00583744">
        <w:rPr>
          <w:noProof/>
          <w:lang w:val="fr-CA"/>
        </w:rPr>
        <w:t>En effet, s</w:t>
      </w:r>
      <w:r w:rsidR="002460C2" w:rsidRPr="00583744">
        <w:rPr>
          <w:noProof/>
          <w:lang w:val="fr-CA"/>
        </w:rPr>
        <w:t xml:space="preserve">i le législateur avait voulu que l’exception prévue au </w:t>
      </w:r>
      <w:r w:rsidR="00487C0A" w:rsidRPr="00583744">
        <w:rPr>
          <w:noProof/>
          <w:lang w:val="fr-CA"/>
        </w:rPr>
        <w:t>par</w:t>
      </w:r>
      <w:r w:rsidR="00115CFC">
        <w:rPr>
          <w:noProof/>
          <w:lang w:val="fr-CA"/>
        </w:rPr>
        <w:t xml:space="preserve">. </w:t>
      </w:r>
      <w:r w:rsidR="002460C2" w:rsidRPr="00583744">
        <w:rPr>
          <w:noProof/>
          <w:lang w:val="fr-CA"/>
        </w:rPr>
        <w:t>13(1) ne s’applique pas au choix de politiques, il aurait pu mentionner celui</w:t>
      </w:r>
      <w:r w:rsidR="00115CFC">
        <w:rPr>
          <w:noProof/>
          <w:lang w:val="fr-CA"/>
        </w:rPr>
        <w:t>-</w:t>
      </w:r>
      <w:r w:rsidR="002460C2" w:rsidRPr="00583744">
        <w:rPr>
          <w:noProof/>
          <w:lang w:val="fr-CA"/>
        </w:rPr>
        <w:t xml:space="preserve">ci parmi les exceptions </w:t>
      </w:r>
      <w:r w:rsidR="00BF231A" w:rsidRPr="00583744">
        <w:rPr>
          <w:noProof/>
          <w:lang w:val="fr-CA"/>
        </w:rPr>
        <w:t>d</w:t>
      </w:r>
      <w:r w:rsidR="002460C2" w:rsidRPr="00583744">
        <w:rPr>
          <w:noProof/>
          <w:lang w:val="fr-CA"/>
        </w:rPr>
        <w:t xml:space="preserve">u </w:t>
      </w:r>
      <w:r w:rsidR="00487C0A" w:rsidRPr="00583744">
        <w:rPr>
          <w:noProof/>
          <w:lang w:val="fr-CA"/>
        </w:rPr>
        <w:t>par</w:t>
      </w:r>
      <w:r w:rsidR="00115CFC">
        <w:rPr>
          <w:noProof/>
          <w:lang w:val="fr-CA"/>
        </w:rPr>
        <w:t xml:space="preserve">. </w:t>
      </w:r>
      <w:r w:rsidR="002460C2" w:rsidRPr="00583744">
        <w:rPr>
          <w:noProof/>
          <w:lang w:val="fr-CA"/>
        </w:rPr>
        <w:t>13(2).</w:t>
      </w:r>
    </w:p>
    <w:p w:rsidR="002460C2" w:rsidRPr="00583744" w:rsidRDefault="002460C2" w:rsidP="00115CFC">
      <w:pPr>
        <w:pStyle w:val="SCCNormalDoubleSpacing"/>
        <w:spacing w:before="480" w:after="480"/>
        <w:rPr>
          <w:noProof/>
          <w:lang w:val="fr-CA"/>
        </w:rPr>
      </w:pPr>
      <w:r w:rsidRPr="00583744">
        <w:rPr>
          <w:noProof/>
          <w:lang w:val="fr-CA"/>
        </w:rPr>
        <w:tab/>
        <w:t xml:space="preserve">L’interprétation selon laquelle le mot « conseils » s’entend </w:t>
      </w:r>
      <w:r w:rsidR="006A4E51" w:rsidRPr="00583744">
        <w:rPr>
          <w:noProof/>
          <w:lang w:val="fr-CA"/>
        </w:rPr>
        <w:t xml:space="preserve">notamment </w:t>
      </w:r>
      <w:r w:rsidRPr="00583744">
        <w:rPr>
          <w:noProof/>
          <w:lang w:val="fr-CA"/>
        </w:rPr>
        <w:t xml:space="preserve">du point de vue d’un fonctionnaire sur les différentes politiques possibles est conforme à l’équilibre établi par le législateur entre l’objectif d’une fonction publique efficace et </w:t>
      </w:r>
      <w:r w:rsidRPr="00583744">
        <w:rPr>
          <w:noProof/>
          <w:lang w:val="fr-CA"/>
        </w:rPr>
        <w:lastRenderedPageBreak/>
        <w:t>neutre, apte à donner des conseils de manière complète, ouverte et franche, et l’objectif de conférer un véritable droit d’accès à l’information.</w:t>
      </w:r>
    </w:p>
    <w:p w:rsidR="008E23DF" w:rsidRPr="00583744" w:rsidRDefault="002460C2" w:rsidP="00115CFC">
      <w:pPr>
        <w:pStyle w:val="SCCNormalDoubleSpacing"/>
        <w:spacing w:before="480" w:after="480"/>
        <w:rPr>
          <w:noProof/>
          <w:lang w:val="fr-CA"/>
        </w:rPr>
      </w:pPr>
      <w:r w:rsidRPr="00583744">
        <w:rPr>
          <w:noProof/>
          <w:lang w:val="fr-CA"/>
        </w:rPr>
        <w:tab/>
        <w:t xml:space="preserve">La nature du processus délibératif suppose la rédaction et la reformulation de conseils ou de recommandations jusqu’à ce que l’auteur s’estime suffisamment prêt à transmettre le résultat de son travail à une autre personne. </w:t>
      </w:r>
      <w:r w:rsidR="00487C0A" w:rsidRPr="00583744">
        <w:rPr>
          <w:noProof/>
          <w:lang w:val="fr-CA"/>
        </w:rPr>
        <w:t xml:space="preserve"> Toutes </w:t>
      </w:r>
      <w:r w:rsidR="00BF231A" w:rsidRPr="00583744">
        <w:rPr>
          <w:noProof/>
          <w:lang w:val="fr-CA"/>
        </w:rPr>
        <w:t>l</w:t>
      </w:r>
      <w:r w:rsidRPr="00583744">
        <w:rPr>
          <w:noProof/>
          <w:lang w:val="fr-CA"/>
        </w:rPr>
        <w:t>es ébauches antérieures contribue</w:t>
      </w:r>
      <w:r w:rsidR="008E23DF" w:rsidRPr="00583744">
        <w:rPr>
          <w:noProof/>
          <w:lang w:val="fr-CA"/>
        </w:rPr>
        <w:t>nt</w:t>
      </w:r>
      <w:r w:rsidRPr="00583744">
        <w:rPr>
          <w:noProof/>
          <w:lang w:val="fr-CA"/>
        </w:rPr>
        <w:t xml:space="preserve"> au résultat final, même si </w:t>
      </w:r>
      <w:r w:rsidR="008E23DF" w:rsidRPr="00583744">
        <w:rPr>
          <w:noProof/>
          <w:lang w:val="fr-CA"/>
        </w:rPr>
        <w:t>la teneur de</w:t>
      </w:r>
      <w:r w:rsidRPr="00583744">
        <w:rPr>
          <w:noProof/>
          <w:lang w:val="fr-CA"/>
        </w:rPr>
        <w:t xml:space="preserve"> l’une ou l’autre ne figure pas dans la version </w:t>
      </w:r>
      <w:r w:rsidR="00863E1F">
        <w:rPr>
          <w:noProof/>
          <w:lang w:val="fr-CA"/>
        </w:rPr>
        <w:t>définitive</w:t>
      </w:r>
      <w:r w:rsidRPr="00583744">
        <w:rPr>
          <w:noProof/>
          <w:lang w:val="fr-CA"/>
        </w:rPr>
        <w:t>.</w:t>
      </w:r>
      <w:r w:rsidR="008E23DF" w:rsidRPr="00583744">
        <w:rPr>
          <w:noProof/>
          <w:lang w:val="fr-CA"/>
        </w:rPr>
        <w:t xml:space="preserve"> </w:t>
      </w:r>
      <w:r w:rsidR="00487C0A" w:rsidRPr="00583744">
        <w:rPr>
          <w:noProof/>
          <w:lang w:val="fr-CA"/>
        </w:rPr>
        <w:t xml:space="preserve"> </w:t>
      </w:r>
      <w:r w:rsidR="008E23DF" w:rsidRPr="00583744">
        <w:rPr>
          <w:noProof/>
          <w:lang w:val="fr-CA"/>
        </w:rPr>
        <w:t>La protection serait illusoire si seul le document transmis était soustrait à la communication, pas ses ébauches.</w:t>
      </w:r>
    </w:p>
    <w:p w:rsidR="002460C2" w:rsidRPr="00583744" w:rsidRDefault="008E23DF" w:rsidP="00115CFC">
      <w:pPr>
        <w:pStyle w:val="SCCNormalDoubleSpacing"/>
        <w:spacing w:before="480" w:after="480"/>
        <w:rPr>
          <w:noProof/>
          <w:lang w:val="fr-CA"/>
        </w:rPr>
      </w:pPr>
      <w:r w:rsidRPr="00583744">
        <w:rPr>
          <w:noProof/>
          <w:lang w:val="fr-CA"/>
        </w:rPr>
        <w:tab/>
        <w:t xml:space="preserve">Qui plus est, pour respecter l’objectif de </w:t>
      </w:r>
      <w:r w:rsidR="00BF231A" w:rsidRPr="00583744">
        <w:rPr>
          <w:noProof/>
          <w:lang w:val="fr-CA"/>
        </w:rPr>
        <w:t xml:space="preserve">la formulation </w:t>
      </w:r>
      <w:r w:rsidRPr="00583744">
        <w:rPr>
          <w:noProof/>
          <w:lang w:val="fr-CA"/>
        </w:rPr>
        <w:t>compl</w:t>
      </w:r>
      <w:r w:rsidR="00BF231A" w:rsidRPr="00583744">
        <w:rPr>
          <w:noProof/>
          <w:lang w:val="fr-CA"/>
        </w:rPr>
        <w:t>ète</w:t>
      </w:r>
      <w:r w:rsidRPr="00583744">
        <w:rPr>
          <w:noProof/>
          <w:lang w:val="fr-CA"/>
        </w:rPr>
        <w:t>, ouvert</w:t>
      </w:r>
      <w:r w:rsidR="00BF231A" w:rsidRPr="00583744">
        <w:rPr>
          <w:noProof/>
          <w:lang w:val="fr-CA"/>
        </w:rPr>
        <w:t>e</w:t>
      </w:r>
      <w:r w:rsidRPr="00583744">
        <w:rPr>
          <w:noProof/>
          <w:lang w:val="fr-CA"/>
        </w:rPr>
        <w:t xml:space="preserve"> et franc</w:t>
      </w:r>
      <w:r w:rsidR="00BF231A" w:rsidRPr="00583744">
        <w:rPr>
          <w:noProof/>
          <w:lang w:val="fr-CA"/>
        </w:rPr>
        <w:t>he de conseils</w:t>
      </w:r>
      <w:r w:rsidRPr="00583744">
        <w:rPr>
          <w:noProof/>
          <w:lang w:val="fr-CA"/>
        </w:rPr>
        <w:t xml:space="preserve">, l’applicabilité du </w:t>
      </w:r>
      <w:r w:rsidR="00487C0A" w:rsidRPr="00583744">
        <w:rPr>
          <w:noProof/>
          <w:lang w:val="fr-CA"/>
        </w:rPr>
        <w:t>par</w:t>
      </w:r>
      <w:r w:rsidR="00115CFC">
        <w:rPr>
          <w:noProof/>
          <w:lang w:val="fr-CA"/>
        </w:rPr>
        <w:t xml:space="preserve">. </w:t>
      </w:r>
      <w:r w:rsidRPr="00583744">
        <w:rPr>
          <w:noProof/>
          <w:lang w:val="fr-CA"/>
        </w:rPr>
        <w:t xml:space="preserve">13(1) doit être susceptible de détermination au moment où le fonctionnaire </w:t>
      </w:r>
      <w:r w:rsidR="00BF231A" w:rsidRPr="00583744">
        <w:rPr>
          <w:noProof/>
          <w:lang w:val="fr-CA"/>
        </w:rPr>
        <w:t xml:space="preserve">prépare </w:t>
      </w:r>
      <w:r w:rsidRPr="00583744">
        <w:rPr>
          <w:noProof/>
          <w:lang w:val="fr-CA"/>
        </w:rPr>
        <w:t xml:space="preserve">les conseils.  À ce stade, il n’y aura pas eu transmission à quiconque.  Par conséquent, la preuve de la transmission ne saurait constituer un préalable à l’application du </w:t>
      </w:r>
      <w:r w:rsidR="00487C0A" w:rsidRPr="00583744">
        <w:rPr>
          <w:noProof/>
          <w:lang w:val="fr-CA"/>
        </w:rPr>
        <w:t>par</w:t>
      </w:r>
      <w:r w:rsidR="00115CFC">
        <w:rPr>
          <w:noProof/>
          <w:lang w:val="fr-CA"/>
        </w:rPr>
        <w:t xml:space="preserve">. </w:t>
      </w:r>
      <w:r w:rsidRPr="00583744">
        <w:rPr>
          <w:noProof/>
          <w:lang w:val="fr-CA"/>
        </w:rPr>
        <w:t>13(1), non plus que l’intention de transmettre les conseils puisqu’elle est inhérente à la fonction.</w:t>
      </w:r>
    </w:p>
    <w:p w:rsidR="004D7D95" w:rsidRPr="00583744" w:rsidRDefault="004D7D95" w:rsidP="00115CFC">
      <w:pPr>
        <w:pStyle w:val="SCCNormalDoubleSpacing"/>
        <w:spacing w:after="720" w:line="240" w:lineRule="auto"/>
        <w:rPr>
          <w:b/>
          <w:lang w:val="fr-CA"/>
        </w:rPr>
      </w:pPr>
      <w:r w:rsidRPr="00583744">
        <w:rPr>
          <w:b/>
          <w:lang w:val="fr-CA"/>
        </w:rPr>
        <w:t>Jurisprudence</w:t>
      </w:r>
    </w:p>
    <w:p w:rsidR="00EB0840" w:rsidRPr="00583744" w:rsidRDefault="004D7D95" w:rsidP="00115CFC">
      <w:pPr>
        <w:pStyle w:val="SCCNormalDoubleSpacing"/>
        <w:spacing w:before="480" w:after="480"/>
        <w:rPr>
          <w:lang w:val="fr-CA"/>
        </w:rPr>
      </w:pPr>
      <w:r w:rsidRPr="00583744">
        <w:rPr>
          <w:lang w:val="fr-CA"/>
        </w:rPr>
        <w:tab/>
      </w:r>
      <w:r w:rsidRPr="00583744">
        <w:rPr>
          <w:b/>
          <w:lang w:val="fr-CA"/>
        </w:rPr>
        <w:t xml:space="preserve">Arrêts </w:t>
      </w:r>
      <w:r w:rsidR="0073553F">
        <w:rPr>
          <w:b/>
          <w:lang w:val="fr-CA"/>
        </w:rPr>
        <w:t>approuv</w:t>
      </w:r>
      <w:r w:rsidR="00C939E2" w:rsidRPr="00583744">
        <w:rPr>
          <w:b/>
          <w:lang w:val="fr-CA"/>
        </w:rPr>
        <w:t>és</w:t>
      </w:r>
      <w:r w:rsidR="00487C0A" w:rsidRPr="00583744">
        <w:rPr>
          <w:b/>
          <w:lang w:val="fr-CA"/>
        </w:rPr>
        <w:t> :</w:t>
      </w:r>
      <w:r w:rsidR="009908A6" w:rsidRPr="00583744">
        <w:rPr>
          <w:lang w:val="fr-CA"/>
        </w:rPr>
        <w:t xml:space="preserve"> </w:t>
      </w:r>
      <w:r w:rsidR="00C939E2" w:rsidRPr="00583744">
        <w:rPr>
          <w:i/>
          <w:noProof/>
          <w:lang w:val="fr-CA"/>
        </w:rPr>
        <w:t>3430901 Canada Inc. c. Canada (Ministre de l’Industrie)</w:t>
      </w:r>
      <w:r w:rsidR="00C939E2" w:rsidRPr="00583744">
        <w:rPr>
          <w:noProof/>
          <w:lang w:val="fr-CA"/>
        </w:rPr>
        <w:t xml:space="preserve">, 2001 CAF 254, [2002] 1 C.F. 421; </w:t>
      </w:r>
      <w:r w:rsidR="00C939E2" w:rsidRPr="00583744">
        <w:rPr>
          <w:i/>
          <w:lang w:val="fr-CA"/>
        </w:rPr>
        <w:t>Conseil canadien des œuvres de charité chrétiennes c. Canada (Ministre des Finances)</w:t>
      </w:r>
      <w:r w:rsidR="00C939E2" w:rsidRPr="00583744">
        <w:rPr>
          <w:lang w:val="fr-CA"/>
        </w:rPr>
        <w:t xml:space="preserve">, [1999] 4 C.F. 245; </w:t>
      </w:r>
      <w:r w:rsidR="00C939E2" w:rsidRPr="00583744">
        <w:rPr>
          <w:b/>
          <w:lang w:val="fr-CA"/>
        </w:rPr>
        <w:t xml:space="preserve">arrêts mentionnés : </w:t>
      </w:r>
      <w:r w:rsidR="009908A6" w:rsidRPr="00583744">
        <w:rPr>
          <w:i/>
          <w:lang w:val="fr-CA"/>
        </w:rPr>
        <w:t>Ontario (</w:t>
      </w:r>
      <w:proofErr w:type="spellStart"/>
      <w:r w:rsidR="009908A6" w:rsidRPr="00583744">
        <w:rPr>
          <w:i/>
          <w:lang w:val="fr-CA"/>
        </w:rPr>
        <w:t>Minister</w:t>
      </w:r>
      <w:proofErr w:type="spellEnd"/>
      <w:r w:rsidR="009908A6" w:rsidRPr="00583744">
        <w:rPr>
          <w:i/>
          <w:lang w:val="fr-CA"/>
        </w:rPr>
        <w:t xml:space="preserve"> of Transportation) c. </w:t>
      </w:r>
      <w:proofErr w:type="spellStart"/>
      <w:r w:rsidR="009908A6" w:rsidRPr="00583744">
        <w:rPr>
          <w:i/>
          <w:lang w:val="fr-CA"/>
        </w:rPr>
        <w:t>Cropley</w:t>
      </w:r>
      <w:proofErr w:type="spellEnd"/>
      <w:r w:rsidR="009908A6" w:rsidRPr="00583744">
        <w:rPr>
          <w:lang w:val="fr-CA"/>
        </w:rPr>
        <w:t xml:space="preserve"> (2005), 202 O.A.C. 379; </w:t>
      </w:r>
      <w:r w:rsidR="009908A6" w:rsidRPr="00583744">
        <w:rPr>
          <w:i/>
          <w:lang w:val="fr-CA"/>
        </w:rPr>
        <w:t>Ontario (</w:t>
      </w:r>
      <w:proofErr w:type="spellStart"/>
      <w:r w:rsidR="009908A6" w:rsidRPr="00583744">
        <w:rPr>
          <w:i/>
          <w:lang w:val="fr-CA"/>
        </w:rPr>
        <w:t>Minister</w:t>
      </w:r>
      <w:proofErr w:type="spellEnd"/>
      <w:r w:rsidR="009908A6" w:rsidRPr="00583744">
        <w:rPr>
          <w:i/>
          <w:lang w:val="fr-CA"/>
        </w:rPr>
        <w:t xml:space="preserve"> of </w:t>
      </w:r>
      <w:proofErr w:type="spellStart"/>
      <w:r w:rsidR="009908A6" w:rsidRPr="00583744">
        <w:rPr>
          <w:i/>
          <w:lang w:val="fr-CA"/>
        </w:rPr>
        <w:t>Northern</w:t>
      </w:r>
      <w:proofErr w:type="spellEnd"/>
      <w:r w:rsidR="009908A6" w:rsidRPr="00583744">
        <w:rPr>
          <w:i/>
          <w:lang w:val="fr-CA"/>
        </w:rPr>
        <w:t xml:space="preserve"> </w:t>
      </w:r>
      <w:proofErr w:type="spellStart"/>
      <w:r w:rsidR="009908A6" w:rsidRPr="00583744">
        <w:rPr>
          <w:i/>
          <w:lang w:val="fr-CA"/>
        </w:rPr>
        <w:t>Development</w:t>
      </w:r>
      <w:proofErr w:type="spellEnd"/>
      <w:r w:rsidR="009908A6" w:rsidRPr="00583744">
        <w:rPr>
          <w:i/>
          <w:lang w:val="fr-CA"/>
        </w:rPr>
        <w:t xml:space="preserve"> and Mines) c. Information and </w:t>
      </w:r>
      <w:proofErr w:type="spellStart"/>
      <w:r w:rsidR="009908A6" w:rsidRPr="00583744">
        <w:rPr>
          <w:i/>
          <w:lang w:val="fr-CA"/>
        </w:rPr>
        <w:lastRenderedPageBreak/>
        <w:t>Privacy</w:t>
      </w:r>
      <w:proofErr w:type="spellEnd"/>
      <w:r w:rsidR="009908A6" w:rsidRPr="00583744">
        <w:rPr>
          <w:i/>
          <w:lang w:val="fr-CA"/>
        </w:rPr>
        <w:t xml:space="preserve"> </w:t>
      </w:r>
      <w:proofErr w:type="spellStart"/>
      <w:r w:rsidR="009908A6" w:rsidRPr="00583744">
        <w:rPr>
          <w:i/>
          <w:lang w:val="fr-CA"/>
        </w:rPr>
        <w:t>Commissioner</w:t>
      </w:r>
      <w:proofErr w:type="spellEnd"/>
      <w:r w:rsidR="009908A6" w:rsidRPr="00583744">
        <w:rPr>
          <w:lang w:val="fr-CA"/>
        </w:rPr>
        <w:t xml:space="preserve"> (2005), 203 O.A.C. 30</w:t>
      </w:r>
      <w:r w:rsidR="00E44397" w:rsidRPr="00583744">
        <w:rPr>
          <w:lang w:val="fr-CA"/>
        </w:rPr>
        <w:t xml:space="preserve">; </w:t>
      </w:r>
      <w:proofErr w:type="spellStart"/>
      <w:r w:rsidR="00E44397" w:rsidRPr="00583744">
        <w:rPr>
          <w:i/>
          <w:lang w:val="fr-CA"/>
        </w:rPr>
        <w:t>Dunsmuir</w:t>
      </w:r>
      <w:proofErr w:type="spellEnd"/>
      <w:r w:rsidR="00E44397" w:rsidRPr="00583744">
        <w:rPr>
          <w:lang w:val="fr-CA"/>
        </w:rPr>
        <w:t xml:space="preserve"> </w:t>
      </w:r>
      <w:r w:rsidR="00E44397" w:rsidRPr="00583744">
        <w:rPr>
          <w:i/>
          <w:lang w:val="fr-CA"/>
        </w:rPr>
        <w:t>c. Nouveau</w:t>
      </w:r>
      <w:r w:rsidR="00115CFC">
        <w:rPr>
          <w:i/>
          <w:lang w:val="fr-CA"/>
        </w:rPr>
        <w:t>-</w:t>
      </w:r>
      <w:r w:rsidR="00E44397" w:rsidRPr="00583744">
        <w:rPr>
          <w:i/>
          <w:lang w:val="fr-CA"/>
        </w:rPr>
        <w:t>Brunswick</w:t>
      </w:r>
      <w:r w:rsidR="00E44397" w:rsidRPr="00583744">
        <w:rPr>
          <w:lang w:val="fr-CA"/>
        </w:rPr>
        <w:t xml:space="preserve">, 2008 CSC 9, [2008] 1 R.C.S. 190; </w:t>
      </w:r>
      <w:r w:rsidR="00E44397" w:rsidRPr="00583744">
        <w:rPr>
          <w:i/>
          <w:lang w:val="fr-CA"/>
        </w:rPr>
        <w:t xml:space="preserve">Alberta (Information and </w:t>
      </w:r>
      <w:proofErr w:type="spellStart"/>
      <w:r w:rsidR="00E44397" w:rsidRPr="00583744">
        <w:rPr>
          <w:i/>
          <w:lang w:val="fr-CA"/>
        </w:rPr>
        <w:t>Privacy</w:t>
      </w:r>
      <w:proofErr w:type="spellEnd"/>
      <w:r w:rsidR="00E44397" w:rsidRPr="00583744">
        <w:rPr>
          <w:i/>
          <w:lang w:val="fr-CA"/>
        </w:rPr>
        <w:t xml:space="preserve"> </w:t>
      </w:r>
      <w:proofErr w:type="spellStart"/>
      <w:r w:rsidR="00E44397" w:rsidRPr="00583744">
        <w:rPr>
          <w:i/>
          <w:lang w:val="fr-CA"/>
        </w:rPr>
        <w:t>Commissioner</w:t>
      </w:r>
      <w:proofErr w:type="spellEnd"/>
      <w:r w:rsidR="00E44397" w:rsidRPr="00583744">
        <w:rPr>
          <w:i/>
          <w:lang w:val="fr-CA"/>
        </w:rPr>
        <w:t xml:space="preserve">) c. Alberta </w:t>
      </w:r>
      <w:proofErr w:type="spellStart"/>
      <w:r w:rsidR="00E44397" w:rsidRPr="00583744">
        <w:rPr>
          <w:i/>
          <w:lang w:val="fr-CA"/>
        </w:rPr>
        <w:t>Teachers</w:t>
      </w:r>
      <w:proofErr w:type="spellEnd"/>
      <w:r w:rsidR="00E44397" w:rsidRPr="00583744">
        <w:rPr>
          <w:i/>
          <w:lang w:val="fr-CA"/>
        </w:rPr>
        <w:t>’ Association</w:t>
      </w:r>
      <w:r w:rsidR="00E44397" w:rsidRPr="00583744">
        <w:rPr>
          <w:lang w:val="fr-CA"/>
        </w:rPr>
        <w:t xml:space="preserve">, 2011 CSC 61, [2011] 3 R.C.S. 654; </w:t>
      </w:r>
      <w:r w:rsidR="00E44397" w:rsidRPr="00583744">
        <w:rPr>
          <w:i/>
          <w:lang w:val="fr-CA"/>
        </w:rPr>
        <w:t>Newfoundland and Labrador Nurses’ Union c. Terre</w:t>
      </w:r>
      <w:r w:rsidR="00115CFC">
        <w:rPr>
          <w:i/>
          <w:lang w:val="fr-CA"/>
        </w:rPr>
        <w:t>-</w:t>
      </w:r>
      <w:r w:rsidR="00E44397" w:rsidRPr="00583744">
        <w:rPr>
          <w:i/>
          <w:lang w:val="fr-CA"/>
        </w:rPr>
        <w:t>Neuve</w:t>
      </w:r>
      <w:r w:rsidR="00115CFC">
        <w:rPr>
          <w:i/>
          <w:lang w:val="fr-CA"/>
        </w:rPr>
        <w:t>-</w:t>
      </w:r>
      <w:r w:rsidR="00E44397" w:rsidRPr="00583744">
        <w:rPr>
          <w:i/>
          <w:lang w:val="fr-CA"/>
        </w:rPr>
        <w:t>et</w:t>
      </w:r>
      <w:r w:rsidR="00115CFC">
        <w:rPr>
          <w:i/>
          <w:lang w:val="fr-CA"/>
        </w:rPr>
        <w:t>-</w:t>
      </w:r>
      <w:r w:rsidR="00E44397" w:rsidRPr="00583744">
        <w:rPr>
          <w:i/>
          <w:lang w:val="fr-CA"/>
        </w:rPr>
        <w:t>Labrador (Conseil du Trésor)</w:t>
      </w:r>
      <w:r w:rsidR="00E44397" w:rsidRPr="00583744">
        <w:rPr>
          <w:lang w:val="fr-CA"/>
        </w:rPr>
        <w:t xml:space="preserve">, 2011 CSC 62, [2011] 3 R.C.S. 708; </w:t>
      </w:r>
      <w:r w:rsidR="00E44397" w:rsidRPr="00583744">
        <w:rPr>
          <w:i/>
          <w:lang w:val="fr-CA"/>
        </w:rPr>
        <w:t>Canada (Co</w:t>
      </w:r>
      <w:r w:rsidR="00D311BB">
        <w:rPr>
          <w:i/>
          <w:lang w:val="fr-CA"/>
        </w:rPr>
        <w:t>m</w:t>
      </w:r>
      <w:r w:rsidR="00E44397" w:rsidRPr="00583744">
        <w:rPr>
          <w:i/>
          <w:lang w:val="fr-CA"/>
        </w:rPr>
        <w:t>mission canadienne des droits de la personne) c. Canada (Procureur général)</w:t>
      </w:r>
      <w:r w:rsidR="00E44397" w:rsidRPr="00583744">
        <w:rPr>
          <w:lang w:val="fr-CA"/>
        </w:rPr>
        <w:t>, 2011 CSC 53, [2011] 3 R.C.S. 471</w:t>
      </w:r>
      <w:r w:rsidR="00BA3AEC" w:rsidRPr="00583744">
        <w:rPr>
          <w:lang w:val="fr-CA"/>
        </w:rPr>
        <w:t xml:space="preserve">; </w:t>
      </w:r>
      <w:proofErr w:type="spellStart"/>
      <w:r w:rsidR="00BA3AEC" w:rsidRPr="00583744">
        <w:rPr>
          <w:i/>
          <w:lang w:val="fr-CA"/>
        </w:rPr>
        <w:t>Rizzo</w:t>
      </w:r>
      <w:proofErr w:type="spellEnd"/>
      <w:r w:rsidR="00BA3AEC" w:rsidRPr="00583744">
        <w:rPr>
          <w:i/>
          <w:lang w:val="fr-CA"/>
        </w:rPr>
        <w:t xml:space="preserve"> &amp; </w:t>
      </w:r>
      <w:proofErr w:type="spellStart"/>
      <w:r w:rsidR="00BA3AEC" w:rsidRPr="00583744">
        <w:rPr>
          <w:i/>
          <w:lang w:val="fr-CA"/>
        </w:rPr>
        <w:t>Rizzo</w:t>
      </w:r>
      <w:proofErr w:type="spellEnd"/>
      <w:r w:rsidR="00BA3AEC" w:rsidRPr="00583744">
        <w:rPr>
          <w:i/>
          <w:lang w:val="fr-CA"/>
        </w:rPr>
        <w:t xml:space="preserve"> </w:t>
      </w:r>
      <w:proofErr w:type="spellStart"/>
      <w:r w:rsidR="00BA3AEC" w:rsidRPr="00583744">
        <w:rPr>
          <w:i/>
          <w:lang w:val="fr-CA"/>
        </w:rPr>
        <w:t>Shoes</w:t>
      </w:r>
      <w:proofErr w:type="spellEnd"/>
      <w:r w:rsidR="00BA3AEC" w:rsidRPr="00583744">
        <w:rPr>
          <w:i/>
          <w:lang w:val="fr-CA"/>
        </w:rPr>
        <w:t xml:space="preserve"> Ltd. (</w:t>
      </w:r>
      <w:proofErr w:type="spellStart"/>
      <w:r w:rsidR="00BA3AEC" w:rsidRPr="00583744">
        <w:rPr>
          <w:i/>
          <w:lang w:val="fr-CA"/>
        </w:rPr>
        <w:t>Re</w:t>
      </w:r>
      <w:proofErr w:type="spellEnd"/>
      <w:r w:rsidR="00BA3AEC" w:rsidRPr="00583744">
        <w:rPr>
          <w:i/>
          <w:lang w:val="fr-CA"/>
        </w:rPr>
        <w:t>)</w:t>
      </w:r>
      <w:r w:rsidR="00BA3AEC" w:rsidRPr="00583744">
        <w:rPr>
          <w:lang w:val="fr-CA"/>
        </w:rPr>
        <w:t>, [1998] 1 R.C.S. 27</w:t>
      </w:r>
      <w:r w:rsidR="00071159" w:rsidRPr="00583744">
        <w:rPr>
          <w:lang w:val="fr-CA"/>
        </w:rPr>
        <w:t xml:space="preserve">; </w:t>
      </w:r>
      <w:r w:rsidR="00071159" w:rsidRPr="00583744">
        <w:rPr>
          <w:i/>
          <w:lang w:val="fr-CA"/>
        </w:rPr>
        <w:t xml:space="preserve">Ontario (Sûreté et Sécurité publique) c. </w:t>
      </w:r>
      <w:proofErr w:type="spellStart"/>
      <w:r w:rsidR="00071159" w:rsidRPr="00583744">
        <w:rPr>
          <w:i/>
          <w:lang w:val="fr-CA"/>
        </w:rPr>
        <w:t>Criminal</w:t>
      </w:r>
      <w:proofErr w:type="spellEnd"/>
      <w:r w:rsidR="00071159" w:rsidRPr="00583744">
        <w:rPr>
          <w:i/>
          <w:lang w:val="fr-CA"/>
        </w:rPr>
        <w:t xml:space="preserve"> </w:t>
      </w:r>
      <w:proofErr w:type="spellStart"/>
      <w:r w:rsidR="00071159" w:rsidRPr="00583744">
        <w:rPr>
          <w:i/>
          <w:lang w:val="fr-CA"/>
        </w:rPr>
        <w:t>Lawyers</w:t>
      </w:r>
      <w:proofErr w:type="spellEnd"/>
      <w:r w:rsidR="00071159" w:rsidRPr="00583744">
        <w:rPr>
          <w:i/>
          <w:lang w:val="fr-CA"/>
        </w:rPr>
        <w:t>’ Association</w:t>
      </w:r>
      <w:r w:rsidR="00071159" w:rsidRPr="00583744">
        <w:rPr>
          <w:lang w:val="fr-CA"/>
        </w:rPr>
        <w:t>, 2010 CSC 23, [2010] 1 R.C.S. 815</w:t>
      </w:r>
      <w:r w:rsidR="00A363CF" w:rsidRPr="00583744">
        <w:rPr>
          <w:lang w:val="fr-CA"/>
        </w:rPr>
        <w:t xml:space="preserve">; </w:t>
      </w:r>
      <w:r w:rsidR="007A0C03" w:rsidRPr="00583744">
        <w:rPr>
          <w:i/>
          <w:lang w:val="fr-CA"/>
        </w:rPr>
        <w:t>Osborne c. Canada (Conseil du Trésor)</w:t>
      </w:r>
      <w:r w:rsidR="007A0C03" w:rsidRPr="00583744">
        <w:rPr>
          <w:lang w:val="fr-CA"/>
        </w:rPr>
        <w:t xml:space="preserve">, [1991] 2 R.C.S. 69; </w:t>
      </w:r>
      <w:r w:rsidR="007A0C03" w:rsidRPr="00583744">
        <w:rPr>
          <w:i/>
          <w:lang w:val="fr-CA"/>
        </w:rPr>
        <w:t>SEFPO c. Ontario (Procureur général)</w:t>
      </w:r>
      <w:r w:rsidR="007A0C03" w:rsidRPr="00583744">
        <w:rPr>
          <w:lang w:val="fr-CA"/>
        </w:rPr>
        <w:t>, [1987] 2 R.C.S. 2</w:t>
      </w:r>
      <w:r w:rsidR="00EB0840" w:rsidRPr="00583744">
        <w:rPr>
          <w:lang w:val="fr-CA"/>
        </w:rPr>
        <w:t>.</w:t>
      </w:r>
    </w:p>
    <w:p w:rsidR="004D7D95" w:rsidRPr="00583744" w:rsidRDefault="004D7D95" w:rsidP="00115CFC">
      <w:pPr>
        <w:pStyle w:val="SCCNormalDoubleSpacing"/>
        <w:spacing w:after="720" w:line="240" w:lineRule="auto"/>
        <w:rPr>
          <w:b/>
          <w:lang w:val="fr-CA"/>
        </w:rPr>
      </w:pPr>
      <w:r w:rsidRPr="00583744">
        <w:rPr>
          <w:b/>
          <w:lang w:val="fr-CA"/>
        </w:rPr>
        <w:t>Lois et règlements cités</w:t>
      </w:r>
    </w:p>
    <w:p w:rsidR="00C939E2" w:rsidRPr="00583744" w:rsidRDefault="00C939E2" w:rsidP="00115CFC">
      <w:pPr>
        <w:pStyle w:val="SCCNormalDoubleSpacing"/>
        <w:spacing w:after="240" w:line="240" w:lineRule="auto"/>
        <w:ind w:left="540" w:hanging="540"/>
        <w:rPr>
          <w:lang w:val="en-US"/>
        </w:rPr>
      </w:pPr>
      <w:proofErr w:type="gramStart"/>
      <w:r w:rsidRPr="00583744">
        <w:rPr>
          <w:i/>
          <w:lang w:val="en-US"/>
        </w:rPr>
        <w:t>Freedom of Information Act</w:t>
      </w:r>
      <w:r w:rsidRPr="00583744">
        <w:rPr>
          <w:lang w:val="en-US"/>
        </w:rPr>
        <w:t xml:space="preserve">, </w:t>
      </w:r>
      <w:r w:rsidRPr="00863E1F">
        <w:rPr>
          <w:lang w:val="en-US"/>
        </w:rPr>
        <w:t>5</w:t>
      </w:r>
      <w:r w:rsidRPr="00583744">
        <w:rPr>
          <w:lang w:val="en-US"/>
        </w:rPr>
        <w:t xml:space="preserve"> U.S.C. § 552 (1970).</w:t>
      </w:r>
      <w:proofErr w:type="gramEnd"/>
    </w:p>
    <w:p w:rsidR="00C074D6" w:rsidRPr="00583744" w:rsidRDefault="00C074D6" w:rsidP="00115CFC">
      <w:pPr>
        <w:pStyle w:val="SCCNormalDoubleSpacing"/>
        <w:spacing w:after="240" w:line="240" w:lineRule="auto"/>
        <w:ind w:left="540" w:hanging="540"/>
        <w:rPr>
          <w:lang w:val="fr-CA"/>
        </w:rPr>
      </w:pPr>
      <w:r w:rsidRPr="00583744">
        <w:rPr>
          <w:i/>
          <w:lang w:val="fr-CA"/>
        </w:rPr>
        <w:t>Loi sur l’accès à l’information</w:t>
      </w:r>
      <w:r w:rsidRPr="00583744">
        <w:rPr>
          <w:lang w:val="fr-CA"/>
        </w:rPr>
        <w:t xml:space="preserve">, L.R.C. 1985, </w:t>
      </w:r>
      <w:r w:rsidR="00487C0A" w:rsidRPr="00583744">
        <w:rPr>
          <w:lang w:val="fr-CA"/>
        </w:rPr>
        <w:t>ch</w:t>
      </w:r>
      <w:r w:rsidR="00115CFC">
        <w:rPr>
          <w:lang w:val="fr-CA"/>
        </w:rPr>
        <w:t xml:space="preserve">. </w:t>
      </w:r>
      <w:r w:rsidRPr="00583744">
        <w:rPr>
          <w:lang w:val="fr-CA"/>
        </w:rPr>
        <w:t>A</w:t>
      </w:r>
      <w:r w:rsidR="00115CFC">
        <w:rPr>
          <w:lang w:val="fr-CA"/>
        </w:rPr>
        <w:t>-</w:t>
      </w:r>
      <w:r w:rsidRPr="00583744">
        <w:rPr>
          <w:lang w:val="fr-CA"/>
        </w:rPr>
        <w:t>1</w:t>
      </w:r>
      <w:r w:rsidR="00646245" w:rsidRPr="00583744">
        <w:rPr>
          <w:lang w:val="fr-CA"/>
        </w:rPr>
        <w:t xml:space="preserve">, </w:t>
      </w:r>
      <w:r w:rsidR="00487C0A" w:rsidRPr="00583744">
        <w:rPr>
          <w:lang w:val="fr-CA"/>
        </w:rPr>
        <w:t>art</w:t>
      </w:r>
      <w:r w:rsidR="00115CFC">
        <w:rPr>
          <w:lang w:val="fr-CA"/>
        </w:rPr>
        <w:t xml:space="preserve">. </w:t>
      </w:r>
      <w:r w:rsidR="00D311BB">
        <w:rPr>
          <w:lang w:val="fr-CA"/>
        </w:rPr>
        <w:t xml:space="preserve">2, </w:t>
      </w:r>
      <w:r w:rsidR="00646245" w:rsidRPr="00583744">
        <w:rPr>
          <w:lang w:val="fr-CA"/>
        </w:rPr>
        <w:t>21(1</w:t>
      </w:r>
      <w:r w:rsidR="00222C0E" w:rsidRPr="00583744">
        <w:rPr>
          <w:lang w:val="fr-CA"/>
        </w:rPr>
        <w:t>)</w:t>
      </w:r>
      <w:r w:rsidR="00222C0E" w:rsidRPr="00583744">
        <w:rPr>
          <w:i/>
          <w:lang w:val="fr-CA"/>
        </w:rPr>
        <w:t>a</w:t>
      </w:r>
      <w:r w:rsidR="00646245" w:rsidRPr="00583744">
        <w:rPr>
          <w:lang w:val="fr-CA"/>
        </w:rPr>
        <w:t>)</w:t>
      </w:r>
      <w:r w:rsidR="00222C0E" w:rsidRPr="00583744">
        <w:rPr>
          <w:lang w:val="fr-CA"/>
        </w:rPr>
        <w:t xml:space="preserve">, </w:t>
      </w:r>
      <w:r w:rsidR="00646245" w:rsidRPr="00583744">
        <w:rPr>
          <w:i/>
          <w:lang w:val="fr-CA"/>
        </w:rPr>
        <w:t>b</w:t>
      </w:r>
      <w:r w:rsidR="00646245" w:rsidRPr="00583744">
        <w:rPr>
          <w:lang w:val="fr-CA"/>
        </w:rPr>
        <w:t>)</w:t>
      </w:r>
      <w:r w:rsidRPr="00583744">
        <w:rPr>
          <w:lang w:val="fr-CA"/>
        </w:rPr>
        <w:t>.</w:t>
      </w:r>
    </w:p>
    <w:p w:rsidR="004D7D95" w:rsidRPr="00583744" w:rsidRDefault="00461082" w:rsidP="00115CFC">
      <w:pPr>
        <w:pStyle w:val="SCCNormalDoubleSpacing"/>
        <w:spacing w:after="240" w:line="240" w:lineRule="auto"/>
        <w:ind w:left="540" w:hanging="540"/>
        <w:rPr>
          <w:lang w:val="fr-CA"/>
        </w:rPr>
      </w:pPr>
      <w:r w:rsidRPr="00583744">
        <w:rPr>
          <w:i/>
          <w:lang w:val="fr-CA"/>
        </w:rPr>
        <w:t>Loi sur l’accès à l’information et la protection de la vie privée</w:t>
      </w:r>
      <w:r w:rsidRPr="00583744">
        <w:rPr>
          <w:lang w:val="fr-CA"/>
        </w:rPr>
        <w:t xml:space="preserve">, L.R.O. 1990, </w:t>
      </w:r>
      <w:r w:rsidR="00487C0A" w:rsidRPr="00583744">
        <w:rPr>
          <w:lang w:val="fr-CA"/>
        </w:rPr>
        <w:t>ch</w:t>
      </w:r>
      <w:r w:rsidR="00115CFC">
        <w:rPr>
          <w:lang w:val="fr-CA"/>
        </w:rPr>
        <w:t xml:space="preserve">. </w:t>
      </w:r>
      <w:r w:rsidRPr="00583744">
        <w:rPr>
          <w:lang w:val="fr-CA"/>
        </w:rPr>
        <w:t>F.31</w:t>
      </w:r>
      <w:r w:rsidR="00D32B23" w:rsidRPr="00583744">
        <w:rPr>
          <w:lang w:val="fr-CA"/>
        </w:rPr>
        <w:t xml:space="preserve">, </w:t>
      </w:r>
      <w:r w:rsidR="00487C0A" w:rsidRPr="00583744">
        <w:rPr>
          <w:lang w:val="fr-CA"/>
        </w:rPr>
        <w:t>art</w:t>
      </w:r>
      <w:r w:rsidR="00115CFC">
        <w:rPr>
          <w:lang w:val="fr-CA"/>
        </w:rPr>
        <w:t xml:space="preserve">. </w:t>
      </w:r>
      <w:r w:rsidR="00D311BB">
        <w:rPr>
          <w:lang w:val="fr-CA"/>
        </w:rPr>
        <w:t xml:space="preserve">1, </w:t>
      </w:r>
      <w:r w:rsidR="00845C25" w:rsidRPr="00583744">
        <w:rPr>
          <w:lang w:val="fr-CA"/>
        </w:rPr>
        <w:t xml:space="preserve">10(2), </w:t>
      </w:r>
      <w:r w:rsidR="00D311BB">
        <w:rPr>
          <w:lang w:val="fr-CA"/>
        </w:rPr>
        <w:t xml:space="preserve">12, </w:t>
      </w:r>
      <w:r w:rsidR="00D32B23" w:rsidRPr="00583744">
        <w:rPr>
          <w:lang w:val="fr-CA"/>
        </w:rPr>
        <w:t>13</w:t>
      </w:r>
      <w:r w:rsidR="00765565" w:rsidRPr="00583744">
        <w:rPr>
          <w:lang w:val="fr-CA"/>
        </w:rPr>
        <w:t>, 15a), 18(1)d)</w:t>
      </w:r>
      <w:r w:rsidR="00672275" w:rsidRPr="00583744">
        <w:rPr>
          <w:lang w:val="fr-CA"/>
        </w:rPr>
        <w:t>, 23</w:t>
      </w:r>
      <w:r w:rsidRPr="00583744">
        <w:rPr>
          <w:lang w:val="fr-CA"/>
        </w:rPr>
        <w:t>.</w:t>
      </w:r>
    </w:p>
    <w:p w:rsidR="008351B7" w:rsidRPr="00583744" w:rsidRDefault="008351B7" w:rsidP="00115CFC">
      <w:pPr>
        <w:pStyle w:val="SCCNormalDoubleSpacing"/>
        <w:spacing w:after="720" w:line="240" w:lineRule="auto"/>
        <w:ind w:left="547" w:hanging="547"/>
        <w:rPr>
          <w:lang w:val="fr-CA"/>
        </w:rPr>
      </w:pPr>
      <w:r w:rsidRPr="00583744">
        <w:rPr>
          <w:i/>
          <w:lang w:val="fr-CA"/>
        </w:rPr>
        <w:t>Loi sur l’imposition des sociétés</w:t>
      </w:r>
      <w:r w:rsidRPr="00583744">
        <w:rPr>
          <w:lang w:val="fr-CA"/>
        </w:rPr>
        <w:t xml:space="preserve">, L.R.O. 1990, </w:t>
      </w:r>
      <w:r w:rsidR="00487C0A" w:rsidRPr="00583744">
        <w:rPr>
          <w:lang w:val="fr-CA"/>
        </w:rPr>
        <w:t>ch</w:t>
      </w:r>
      <w:r w:rsidR="00115CFC">
        <w:rPr>
          <w:lang w:val="fr-CA"/>
        </w:rPr>
        <w:t xml:space="preserve">. </w:t>
      </w:r>
      <w:r w:rsidRPr="00583744">
        <w:rPr>
          <w:lang w:val="fr-CA"/>
        </w:rPr>
        <w:t>C.40.</w:t>
      </w:r>
    </w:p>
    <w:p w:rsidR="004D7D95" w:rsidRPr="00583744" w:rsidRDefault="004D7D95" w:rsidP="00115CFC">
      <w:pPr>
        <w:pStyle w:val="SCCNormalDoubleSpacing"/>
        <w:spacing w:after="720" w:line="240" w:lineRule="auto"/>
        <w:rPr>
          <w:b/>
          <w:lang w:val="fr-CA"/>
        </w:rPr>
      </w:pPr>
      <w:r w:rsidRPr="00583744">
        <w:rPr>
          <w:b/>
          <w:lang w:val="fr-CA"/>
        </w:rPr>
        <w:t>Doctrine et autres documents cités</w:t>
      </w:r>
    </w:p>
    <w:p w:rsidR="00986ECE" w:rsidRPr="00583744" w:rsidRDefault="00986ECE" w:rsidP="00115CFC">
      <w:pPr>
        <w:pStyle w:val="SCCNormalDoubleSpacing"/>
        <w:spacing w:after="240" w:line="240" w:lineRule="auto"/>
        <w:ind w:left="547" w:hanging="547"/>
      </w:pPr>
      <w:r w:rsidRPr="00583744">
        <w:t xml:space="preserve">Ontario.  </w:t>
      </w:r>
      <w:proofErr w:type="gramStart"/>
      <w:r w:rsidRPr="00583744">
        <w:t>Commission on Freedom of Information and Individual Privacy.</w:t>
      </w:r>
      <w:proofErr w:type="gramEnd"/>
      <w:r w:rsidRPr="00583744">
        <w:t xml:space="preserve">  </w:t>
      </w:r>
      <w:r w:rsidRPr="00583744">
        <w:rPr>
          <w:i/>
        </w:rPr>
        <w:t xml:space="preserve">Public Government for Private </w:t>
      </w:r>
      <w:proofErr w:type="gramStart"/>
      <w:r w:rsidRPr="00583744">
        <w:rPr>
          <w:i/>
        </w:rPr>
        <w:t>People :</w:t>
      </w:r>
      <w:proofErr w:type="gramEnd"/>
      <w:r w:rsidRPr="00583744">
        <w:rPr>
          <w:i/>
        </w:rPr>
        <w:t xml:space="preserve"> The Report of the Commission on Freedom of Information and Individual Privacy</w:t>
      </w:r>
      <w:r w:rsidRPr="00583744">
        <w:t xml:space="preserve">.  </w:t>
      </w:r>
      <w:proofErr w:type="gramStart"/>
      <w:r w:rsidRPr="00583744">
        <w:t>Toronto :</w:t>
      </w:r>
      <w:proofErr w:type="gramEnd"/>
      <w:r w:rsidRPr="00583744">
        <w:t xml:space="preserve"> The Commission, 1980.</w:t>
      </w:r>
    </w:p>
    <w:p w:rsidR="00381EBA" w:rsidRPr="00583744" w:rsidRDefault="00381EBA" w:rsidP="00115CFC">
      <w:pPr>
        <w:pStyle w:val="SCCNormalDoubleSpacing"/>
        <w:spacing w:after="720" w:line="240" w:lineRule="auto"/>
        <w:ind w:left="547" w:hanging="547"/>
        <w:rPr>
          <w:lang w:val="fr-CA"/>
        </w:rPr>
      </w:pPr>
      <w:r w:rsidRPr="00583744">
        <w:t xml:space="preserve">Sullivan, Ruth.  </w:t>
      </w:r>
      <w:r w:rsidRPr="00583744">
        <w:rPr>
          <w:i/>
        </w:rPr>
        <w:t>Sullivan on the Construction of Statutes</w:t>
      </w:r>
      <w:r w:rsidRPr="00583744">
        <w:t xml:space="preserve">, 5th </w:t>
      </w:r>
      <w:proofErr w:type="gramStart"/>
      <w:r w:rsidRPr="00583744">
        <w:t>ed</w:t>
      </w:r>
      <w:proofErr w:type="gramEnd"/>
      <w:r w:rsidRPr="00583744">
        <w:t xml:space="preserve">.  </w:t>
      </w:r>
      <w:r w:rsidRPr="00583744">
        <w:rPr>
          <w:lang w:val="fr-CA"/>
        </w:rPr>
        <w:t>Markham, Ont</w:t>
      </w:r>
      <w:r w:rsidR="00115CFC">
        <w:rPr>
          <w:lang w:val="fr-CA"/>
        </w:rPr>
        <w:t xml:space="preserve">. </w:t>
      </w:r>
      <w:r w:rsidR="00487C0A" w:rsidRPr="00583744">
        <w:rPr>
          <w:lang w:val="fr-CA"/>
        </w:rPr>
        <w:t>:</w:t>
      </w:r>
      <w:r w:rsidRPr="00583744">
        <w:rPr>
          <w:lang w:val="fr-CA"/>
        </w:rPr>
        <w:t xml:space="preserve"> LexisNexis</w:t>
      </w:r>
      <w:r w:rsidR="00AD2487">
        <w:rPr>
          <w:lang w:val="fr-CA"/>
        </w:rPr>
        <w:t>,</w:t>
      </w:r>
      <w:r w:rsidRPr="00583744">
        <w:rPr>
          <w:lang w:val="fr-CA"/>
        </w:rPr>
        <w:t xml:space="preserve"> 2008.</w:t>
      </w:r>
    </w:p>
    <w:p w:rsidR="00B81DD9" w:rsidRPr="00583744" w:rsidRDefault="00B81DD9" w:rsidP="00115CFC">
      <w:pPr>
        <w:pStyle w:val="SCCNormalDoubleSpacing"/>
        <w:spacing w:before="480" w:after="480"/>
        <w:rPr>
          <w:lang w:val="fr-CA"/>
        </w:rPr>
      </w:pPr>
      <w:r w:rsidRPr="00583744">
        <w:rPr>
          <w:lang w:val="fr-CA"/>
        </w:rPr>
        <w:lastRenderedPageBreak/>
        <w:tab/>
      </w:r>
      <w:r w:rsidR="004D7D95" w:rsidRPr="00583744">
        <w:rPr>
          <w:lang w:val="fr-CA"/>
        </w:rPr>
        <w:t>POURVOI contre un arrêt de la Cour d</w:t>
      </w:r>
      <w:r w:rsidR="008D764C" w:rsidRPr="00583744">
        <w:rPr>
          <w:lang w:val="fr-CA"/>
        </w:rPr>
        <w:t>’</w:t>
      </w:r>
      <w:r w:rsidR="004D7D95" w:rsidRPr="00583744">
        <w:rPr>
          <w:lang w:val="fr-CA"/>
        </w:rPr>
        <w:t>appel de l</w:t>
      </w:r>
      <w:r w:rsidR="008D764C" w:rsidRPr="00583744">
        <w:rPr>
          <w:lang w:val="fr-CA"/>
        </w:rPr>
        <w:t>’</w:t>
      </w:r>
      <w:r w:rsidR="004D7D95" w:rsidRPr="00583744">
        <w:rPr>
          <w:lang w:val="fr-CA"/>
        </w:rPr>
        <w:t>Ontario</w:t>
      </w:r>
      <w:r w:rsidRPr="00583744">
        <w:rPr>
          <w:lang w:val="fr-CA"/>
        </w:rPr>
        <w:t xml:space="preserve"> (les </w:t>
      </w:r>
      <w:r w:rsidR="001C3857" w:rsidRPr="00583744">
        <w:rPr>
          <w:lang w:val="fr-CA"/>
        </w:rPr>
        <w:t xml:space="preserve">juges </w:t>
      </w:r>
      <w:r w:rsidRPr="00583744">
        <w:rPr>
          <w:lang w:val="fr-CA"/>
        </w:rPr>
        <w:t xml:space="preserve">Rosenberg et </w:t>
      </w:r>
      <w:proofErr w:type="spellStart"/>
      <w:r w:rsidRPr="00583744">
        <w:rPr>
          <w:lang w:val="fr-CA"/>
        </w:rPr>
        <w:t>Feldman</w:t>
      </w:r>
      <w:proofErr w:type="spellEnd"/>
      <w:r w:rsidR="001B3E3C" w:rsidRPr="00583744">
        <w:rPr>
          <w:lang w:val="fr-CA"/>
        </w:rPr>
        <w:t>,</w:t>
      </w:r>
      <w:r w:rsidRPr="00583744">
        <w:rPr>
          <w:lang w:val="fr-CA"/>
        </w:rPr>
        <w:t xml:space="preserve"> et </w:t>
      </w:r>
      <w:r w:rsidR="00FA7815" w:rsidRPr="00583744">
        <w:rPr>
          <w:lang w:val="fr-CA"/>
        </w:rPr>
        <w:t>la</w:t>
      </w:r>
      <w:r w:rsidR="001C3857" w:rsidRPr="00583744">
        <w:rPr>
          <w:lang w:val="fr-CA"/>
        </w:rPr>
        <w:t xml:space="preserve"> juge </w:t>
      </w:r>
      <w:proofErr w:type="spellStart"/>
      <w:r w:rsidRPr="00583744">
        <w:rPr>
          <w:lang w:val="fr-CA"/>
        </w:rPr>
        <w:t>Swinton</w:t>
      </w:r>
      <w:proofErr w:type="spellEnd"/>
      <w:r w:rsidRPr="00583744">
        <w:rPr>
          <w:lang w:val="fr-CA"/>
        </w:rPr>
        <w:t xml:space="preserve"> (</w:t>
      </w:r>
      <w:r w:rsidRPr="00583744">
        <w:rPr>
          <w:i/>
          <w:lang w:val="fr-CA"/>
        </w:rPr>
        <w:t>ad hoc</w:t>
      </w:r>
      <w:r w:rsidRPr="00583744">
        <w:rPr>
          <w:lang w:val="fr-CA"/>
        </w:rPr>
        <w:t xml:space="preserve">)), 2012 ONCA 125, 109 O.R. (3d) 767, 289 O.A.C. 61, 347 D.L.R. (4th) 740, [2012] O.J. </w:t>
      </w:r>
      <w:r w:rsidR="00487C0A" w:rsidRPr="00583744">
        <w:rPr>
          <w:lang w:val="fr-CA"/>
        </w:rPr>
        <w:t>No</w:t>
      </w:r>
      <w:r w:rsidR="00115CFC">
        <w:rPr>
          <w:lang w:val="fr-CA"/>
        </w:rPr>
        <w:t xml:space="preserve">. </w:t>
      </w:r>
      <w:r w:rsidRPr="00583744">
        <w:rPr>
          <w:lang w:val="fr-CA"/>
        </w:rPr>
        <w:t xml:space="preserve">815 (QL), 2012 </w:t>
      </w:r>
      <w:proofErr w:type="spellStart"/>
      <w:r w:rsidRPr="00583744">
        <w:rPr>
          <w:lang w:val="fr-CA"/>
        </w:rPr>
        <w:t>CarswellOnt</w:t>
      </w:r>
      <w:proofErr w:type="spellEnd"/>
      <w:r w:rsidRPr="00583744">
        <w:rPr>
          <w:lang w:val="fr-CA"/>
        </w:rPr>
        <w:t xml:space="preserve"> 2498, </w:t>
      </w:r>
      <w:r w:rsidR="001B3E3C" w:rsidRPr="00583744">
        <w:rPr>
          <w:lang w:val="fr-CA"/>
        </w:rPr>
        <w:t xml:space="preserve">qui a </w:t>
      </w:r>
      <w:r w:rsidR="00D84669" w:rsidRPr="00583744">
        <w:rPr>
          <w:lang w:val="fr-CA"/>
        </w:rPr>
        <w:t>annulé</w:t>
      </w:r>
      <w:r w:rsidRPr="00583744">
        <w:rPr>
          <w:lang w:val="fr-CA"/>
        </w:rPr>
        <w:t xml:space="preserve"> une décision des juges Aston, </w:t>
      </w:r>
      <w:proofErr w:type="spellStart"/>
      <w:r w:rsidRPr="00583744">
        <w:rPr>
          <w:lang w:val="fr-CA"/>
        </w:rPr>
        <w:t>Linhares</w:t>
      </w:r>
      <w:proofErr w:type="spellEnd"/>
      <w:r w:rsidRPr="00583744">
        <w:rPr>
          <w:lang w:val="fr-CA"/>
        </w:rPr>
        <w:t xml:space="preserve"> de Sousa et </w:t>
      </w:r>
      <w:proofErr w:type="spellStart"/>
      <w:r w:rsidRPr="00583744">
        <w:rPr>
          <w:lang w:val="fr-CA"/>
        </w:rPr>
        <w:t>Lederer</w:t>
      </w:r>
      <w:proofErr w:type="spellEnd"/>
      <w:r w:rsidRPr="00583744">
        <w:rPr>
          <w:lang w:val="fr-CA"/>
        </w:rPr>
        <w:t xml:space="preserve">, 2011 ONSC 2030, [2011] O.J. </w:t>
      </w:r>
      <w:r w:rsidR="00487C0A" w:rsidRPr="00583744">
        <w:rPr>
          <w:lang w:val="fr-CA"/>
        </w:rPr>
        <w:t>No</w:t>
      </w:r>
      <w:r w:rsidR="00115CFC">
        <w:rPr>
          <w:lang w:val="fr-CA"/>
        </w:rPr>
        <w:t xml:space="preserve">. </w:t>
      </w:r>
      <w:r w:rsidRPr="00583744">
        <w:rPr>
          <w:lang w:val="fr-CA"/>
        </w:rPr>
        <w:t>1464</w:t>
      </w:r>
      <w:r w:rsidR="00810EC6" w:rsidRPr="00583744">
        <w:rPr>
          <w:lang w:val="fr-CA"/>
        </w:rPr>
        <w:t xml:space="preserve"> (QL)</w:t>
      </w:r>
      <w:r w:rsidRPr="00583744">
        <w:rPr>
          <w:lang w:val="fr-CA"/>
        </w:rPr>
        <w:t xml:space="preserve">, 2011 </w:t>
      </w:r>
      <w:proofErr w:type="spellStart"/>
      <w:r w:rsidRPr="00583744">
        <w:rPr>
          <w:lang w:val="fr-CA"/>
        </w:rPr>
        <w:t>CarswellOnt</w:t>
      </w:r>
      <w:proofErr w:type="spellEnd"/>
      <w:r w:rsidRPr="00583744">
        <w:rPr>
          <w:lang w:val="fr-CA"/>
        </w:rPr>
        <w:t xml:space="preserve"> 2204</w:t>
      </w:r>
      <w:r w:rsidR="00D84669" w:rsidRPr="00583744">
        <w:rPr>
          <w:lang w:val="fr-CA"/>
        </w:rPr>
        <w:t xml:space="preserve">, </w:t>
      </w:r>
      <w:r w:rsidR="00CC3271" w:rsidRPr="00583744">
        <w:rPr>
          <w:lang w:val="fr-CA"/>
        </w:rPr>
        <w:t xml:space="preserve">qui a </w:t>
      </w:r>
      <w:r w:rsidR="00D84669" w:rsidRPr="00583744">
        <w:rPr>
          <w:lang w:val="fr-CA"/>
        </w:rPr>
        <w:t>confirm</w:t>
      </w:r>
      <w:r w:rsidR="00CC3271" w:rsidRPr="00583744">
        <w:rPr>
          <w:lang w:val="fr-CA"/>
        </w:rPr>
        <w:t>é</w:t>
      </w:r>
      <w:r w:rsidR="00D84669" w:rsidRPr="00583744">
        <w:rPr>
          <w:lang w:val="fr-CA"/>
        </w:rPr>
        <w:t xml:space="preserve"> une décision de la Commissaire à l’information et à la protection de la vie privée</w:t>
      </w:r>
      <w:r w:rsidR="00C939E2" w:rsidRPr="00583744">
        <w:rPr>
          <w:lang w:val="fr-CA"/>
        </w:rPr>
        <w:t xml:space="preserve">, </w:t>
      </w:r>
      <w:r w:rsidR="00414278" w:rsidRPr="00583744">
        <w:rPr>
          <w:lang w:val="fr-CA"/>
        </w:rPr>
        <w:t>o</w:t>
      </w:r>
      <w:r w:rsidR="00C939E2" w:rsidRPr="00583744">
        <w:rPr>
          <w:lang w:val="fr-CA"/>
        </w:rPr>
        <w:t>rd</w:t>
      </w:r>
      <w:r w:rsidR="00414278" w:rsidRPr="00583744">
        <w:rPr>
          <w:lang w:val="fr-CA"/>
        </w:rPr>
        <w:t>onnance</w:t>
      </w:r>
      <w:r w:rsidR="00C939E2" w:rsidRPr="00583744">
        <w:rPr>
          <w:lang w:val="fr-CA"/>
        </w:rPr>
        <w:t xml:space="preserve"> PO</w:t>
      </w:r>
      <w:r w:rsidR="00115CFC">
        <w:rPr>
          <w:lang w:val="fr-CA"/>
        </w:rPr>
        <w:t>-</w:t>
      </w:r>
      <w:r w:rsidR="00C939E2" w:rsidRPr="00583744">
        <w:rPr>
          <w:lang w:val="fr-CA"/>
        </w:rPr>
        <w:t xml:space="preserve">2872, 2010 </w:t>
      </w:r>
      <w:proofErr w:type="spellStart"/>
      <w:r w:rsidR="00C939E2" w:rsidRPr="00583744">
        <w:rPr>
          <w:lang w:val="fr-CA"/>
        </w:rPr>
        <w:t>CanLII</w:t>
      </w:r>
      <w:proofErr w:type="spellEnd"/>
      <w:r w:rsidR="00C939E2" w:rsidRPr="00583744">
        <w:rPr>
          <w:lang w:val="fr-CA"/>
        </w:rPr>
        <w:t xml:space="preserve"> 7691.  </w:t>
      </w:r>
      <w:r w:rsidRPr="00583744">
        <w:rPr>
          <w:lang w:val="fr-CA"/>
        </w:rPr>
        <w:t xml:space="preserve">Pourvoi </w:t>
      </w:r>
      <w:r w:rsidR="00C07FB7" w:rsidRPr="00583744">
        <w:rPr>
          <w:lang w:val="fr-CA"/>
        </w:rPr>
        <w:t>rejeté</w:t>
      </w:r>
      <w:r w:rsidR="001C3857" w:rsidRPr="00583744">
        <w:rPr>
          <w:lang w:val="fr-CA"/>
        </w:rPr>
        <w:t>.</w:t>
      </w:r>
    </w:p>
    <w:p w:rsidR="00D83FF5" w:rsidRPr="00583744" w:rsidRDefault="00166650" w:rsidP="00115CFC">
      <w:pPr>
        <w:pStyle w:val="SCCNormalDoubleSpacing"/>
        <w:spacing w:before="480" w:after="480"/>
        <w:rPr>
          <w:lang w:val="fr-CA"/>
        </w:rPr>
      </w:pPr>
      <w:r w:rsidRPr="00583744">
        <w:rPr>
          <w:i/>
          <w:lang w:val="fr-CA"/>
        </w:rPr>
        <w:tab/>
      </w:r>
      <w:r w:rsidR="002876B6" w:rsidRPr="00583744">
        <w:rPr>
          <w:i/>
          <w:lang w:val="fr-CA"/>
        </w:rPr>
        <w:t xml:space="preserve">Alex </w:t>
      </w:r>
      <w:r w:rsidR="00D311BB">
        <w:rPr>
          <w:i/>
          <w:lang w:val="fr-CA"/>
        </w:rPr>
        <w:t xml:space="preserve">D. </w:t>
      </w:r>
      <w:r w:rsidR="002876B6" w:rsidRPr="00583744">
        <w:rPr>
          <w:i/>
          <w:lang w:val="fr-CA"/>
        </w:rPr>
        <w:t>Cameron</w:t>
      </w:r>
      <w:r w:rsidR="002876B6" w:rsidRPr="00D311BB">
        <w:rPr>
          <w:lang w:val="fr-CA"/>
        </w:rPr>
        <w:t>,</w:t>
      </w:r>
      <w:r w:rsidR="002876B6" w:rsidRPr="00583744">
        <w:rPr>
          <w:lang w:val="fr-CA"/>
        </w:rPr>
        <w:t xml:space="preserve"> </w:t>
      </w:r>
      <w:r w:rsidR="00487C0A" w:rsidRPr="00583744">
        <w:rPr>
          <w:i/>
          <w:lang w:val="fr-CA"/>
        </w:rPr>
        <w:t>Alan </w:t>
      </w:r>
      <w:r w:rsidRPr="00583744">
        <w:rPr>
          <w:i/>
          <w:lang w:val="fr-CA"/>
        </w:rPr>
        <w:t>M. Schwart</w:t>
      </w:r>
      <w:r w:rsidR="00C939E2" w:rsidRPr="00583744">
        <w:rPr>
          <w:i/>
          <w:lang w:val="fr-CA"/>
        </w:rPr>
        <w:t>z</w:t>
      </w:r>
      <w:r w:rsidRPr="00D311BB">
        <w:rPr>
          <w:lang w:val="fr-CA"/>
        </w:rPr>
        <w:t>,</w:t>
      </w:r>
      <w:r w:rsidRPr="00583744">
        <w:rPr>
          <w:i/>
          <w:lang w:val="fr-CA"/>
        </w:rPr>
        <w:t xml:space="preserve"> </w:t>
      </w:r>
      <w:proofErr w:type="gramStart"/>
      <w:r w:rsidR="001C3857" w:rsidRPr="00583744">
        <w:rPr>
          <w:i/>
          <w:lang w:val="fr-CA"/>
        </w:rPr>
        <w:t>c.r.</w:t>
      </w:r>
      <w:r w:rsidRPr="00D311BB">
        <w:rPr>
          <w:lang w:val="fr-CA"/>
        </w:rPr>
        <w:t>,</w:t>
      </w:r>
      <w:proofErr w:type="gramEnd"/>
      <w:r w:rsidRPr="00D311BB">
        <w:rPr>
          <w:lang w:val="fr-CA"/>
        </w:rPr>
        <w:t xml:space="preserve"> </w:t>
      </w:r>
      <w:r w:rsidRPr="00583744">
        <w:rPr>
          <w:lang w:val="fr-CA"/>
        </w:rPr>
        <w:t xml:space="preserve">et </w:t>
      </w:r>
      <w:r w:rsidR="00487C0A" w:rsidRPr="00583744">
        <w:rPr>
          <w:i/>
          <w:lang w:val="fr-CA"/>
        </w:rPr>
        <w:t>Kevin </w:t>
      </w:r>
      <w:r w:rsidRPr="00583744">
        <w:rPr>
          <w:i/>
          <w:lang w:val="fr-CA"/>
        </w:rPr>
        <w:t xml:space="preserve">H. </w:t>
      </w:r>
      <w:proofErr w:type="spellStart"/>
      <w:r w:rsidRPr="00583744">
        <w:rPr>
          <w:i/>
          <w:lang w:val="fr-CA"/>
        </w:rPr>
        <w:t>Yip</w:t>
      </w:r>
      <w:proofErr w:type="spellEnd"/>
      <w:r w:rsidRPr="00583744">
        <w:rPr>
          <w:lang w:val="fr-CA"/>
        </w:rPr>
        <w:t>, pour l</w:t>
      </w:r>
      <w:r w:rsidR="008D764C" w:rsidRPr="00583744">
        <w:rPr>
          <w:lang w:val="fr-CA"/>
        </w:rPr>
        <w:t>’</w:t>
      </w:r>
      <w:r w:rsidRPr="00583744">
        <w:rPr>
          <w:lang w:val="fr-CA"/>
        </w:rPr>
        <w:t>appelant M. Untel.</w:t>
      </w:r>
    </w:p>
    <w:p w:rsidR="00D83FF5" w:rsidRPr="00583744" w:rsidRDefault="00487C0A" w:rsidP="00115CFC">
      <w:pPr>
        <w:pStyle w:val="SCCNormalDoubleSpacing"/>
        <w:spacing w:before="480" w:after="480"/>
        <w:rPr>
          <w:lang w:val="fr-CA"/>
        </w:rPr>
      </w:pPr>
      <w:r w:rsidRPr="00583744">
        <w:rPr>
          <w:i/>
          <w:lang w:val="fr-CA"/>
        </w:rPr>
        <w:tab/>
        <w:t>William </w:t>
      </w:r>
      <w:r w:rsidR="00166650" w:rsidRPr="00583744">
        <w:rPr>
          <w:i/>
          <w:lang w:val="fr-CA"/>
        </w:rPr>
        <w:t>S. Challis</w:t>
      </w:r>
      <w:r w:rsidR="00166650" w:rsidRPr="00583744">
        <w:rPr>
          <w:lang w:val="fr-CA"/>
        </w:rPr>
        <w:t>, pour l</w:t>
      </w:r>
      <w:r w:rsidR="008D764C" w:rsidRPr="00583744">
        <w:rPr>
          <w:lang w:val="fr-CA"/>
        </w:rPr>
        <w:t>’</w:t>
      </w:r>
      <w:r w:rsidR="00166650" w:rsidRPr="00583744">
        <w:rPr>
          <w:lang w:val="fr-CA"/>
        </w:rPr>
        <w:t>appelante</w:t>
      </w:r>
      <w:r w:rsidR="001C3857" w:rsidRPr="00583744">
        <w:rPr>
          <w:lang w:val="fr-CA"/>
        </w:rPr>
        <w:t xml:space="preserve"> la</w:t>
      </w:r>
      <w:r w:rsidR="00166650" w:rsidRPr="00583744">
        <w:rPr>
          <w:lang w:val="fr-CA"/>
        </w:rPr>
        <w:t xml:space="preserve"> Commissaire à l’information et à la protection de la vie privée de l’Ontario.</w:t>
      </w:r>
    </w:p>
    <w:p w:rsidR="00D83FF5" w:rsidRPr="00583744" w:rsidRDefault="00166650" w:rsidP="00115CFC">
      <w:pPr>
        <w:pStyle w:val="SCCNormalDoubleSpacing"/>
        <w:spacing w:before="480" w:after="480"/>
        <w:rPr>
          <w:lang w:val="fr-CA"/>
        </w:rPr>
      </w:pPr>
      <w:r w:rsidRPr="00583744">
        <w:rPr>
          <w:i/>
          <w:lang w:val="fr-CA"/>
        </w:rPr>
        <w:tab/>
        <w:t>Sara Blake</w:t>
      </w:r>
      <w:r w:rsidRPr="00583744">
        <w:rPr>
          <w:lang w:val="fr-CA"/>
        </w:rPr>
        <w:t xml:space="preserve">, </w:t>
      </w:r>
      <w:proofErr w:type="spellStart"/>
      <w:r w:rsidRPr="00583744">
        <w:rPr>
          <w:i/>
          <w:lang w:val="fr-CA"/>
        </w:rPr>
        <w:t>Malliha</w:t>
      </w:r>
      <w:proofErr w:type="spellEnd"/>
      <w:r w:rsidRPr="00583744">
        <w:rPr>
          <w:i/>
          <w:lang w:val="fr-CA"/>
        </w:rPr>
        <w:t xml:space="preserve"> Wilson </w:t>
      </w:r>
      <w:r w:rsidRPr="0073553F">
        <w:rPr>
          <w:lang w:val="fr-CA"/>
        </w:rPr>
        <w:t xml:space="preserve">et </w:t>
      </w:r>
      <w:proofErr w:type="spellStart"/>
      <w:r w:rsidRPr="00583744">
        <w:rPr>
          <w:i/>
          <w:lang w:val="fr-CA"/>
        </w:rPr>
        <w:t>Kisha</w:t>
      </w:r>
      <w:proofErr w:type="spellEnd"/>
      <w:r w:rsidRPr="00583744">
        <w:rPr>
          <w:i/>
          <w:lang w:val="fr-CA"/>
        </w:rPr>
        <w:t xml:space="preserve"> </w:t>
      </w:r>
      <w:proofErr w:type="spellStart"/>
      <w:r w:rsidRPr="00583744">
        <w:rPr>
          <w:i/>
          <w:lang w:val="fr-CA"/>
        </w:rPr>
        <w:t>Chatterjee</w:t>
      </w:r>
      <w:proofErr w:type="spellEnd"/>
      <w:r w:rsidRPr="00583744">
        <w:rPr>
          <w:lang w:val="fr-CA"/>
        </w:rPr>
        <w:t>, pour l</w:t>
      </w:r>
      <w:r w:rsidR="008D764C" w:rsidRPr="00583744">
        <w:rPr>
          <w:lang w:val="fr-CA"/>
        </w:rPr>
        <w:t>’</w:t>
      </w:r>
      <w:r w:rsidRPr="00583744">
        <w:rPr>
          <w:lang w:val="fr-CA"/>
        </w:rPr>
        <w:t>intimé.</w:t>
      </w:r>
    </w:p>
    <w:p w:rsidR="002573C3" w:rsidRPr="00583744" w:rsidRDefault="002573C3" w:rsidP="00115CFC">
      <w:pPr>
        <w:pStyle w:val="SCCNormalDoubleSpacing"/>
        <w:spacing w:before="480" w:after="480"/>
        <w:rPr>
          <w:lang w:val="fr-CA"/>
        </w:rPr>
      </w:pPr>
      <w:r w:rsidRPr="00583744">
        <w:rPr>
          <w:i/>
          <w:lang w:val="fr-CA"/>
        </w:rPr>
        <w:tab/>
      </w:r>
      <w:proofErr w:type="spellStart"/>
      <w:r w:rsidR="00487C0A" w:rsidRPr="00583744">
        <w:rPr>
          <w:i/>
          <w:lang w:val="fr-CA"/>
        </w:rPr>
        <w:t>Sharlene</w:t>
      </w:r>
      <w:proofErr w:type="spellEnd"/>
      <w:r w:rsidR="00487C0A" w:rsidRPr="00583744">
        <w:rPr>
          <w:i/>
          <w:lang w:val="fr-CA"/>
        </w:rPr>
        <w:t> </w:t>
      </w:r>
      <w:r w:rsidRPr="00583744">
        <w:rPr>
          <w:i/>
          <w:lang w:val="fr-CA"/>
        </w:rPr>
        <w:t>M. Telles</w:t>
      </w:r>
      <w:r w:rsidR="00115CFC">
        <w:rPr>
          <w:i/>
          <w:lang w:val="fr-CA"/>
        </w:rPr>
        <w:t>-</w:t>
      </w:r>
      <w:r w:rsidRPr="00583744">
        <w:rPr>
          <w:i/>
          <w:lang w:val="fr-CA"/>
        </w:rPr>
        <w:t>Langdon</w:t>
      </w:r>
      <w:r w:rsidRPr="00583744">
        <w:rPr>
          <w:lang w:val="fr-CA"/>
        </w:rPr>
        <w:t>, pour l’intervenant le procureur général du Canada.</w:t>
      </w:r>
    </w:p>
    <w:p w:rsidR="002573C3" w:rsidRPr="00583744" w:rsidRDefault="002573C3" w:rsidP="00115CFC">
      <w:pPr>
        <w:pStyle w:val="SCCNormalDoubleSpacing"/>
        <w:spacing w:before="480" w:after="480"/>
        <w:rPr>
          <w:lang w:val="fr-CA"/>
        </w:rPr>
      </w:pPr>
      <w:r w:rsidRPr="00583744">
        <w:rPr>
          <w:i/>
          <w:lang w:val="fr-CA"/>
        </w:rPr>
        <w:tab/>
      </w:r>
      <w:r w:rsidR="00487C0A" w:rsidRPr="00583744">
        <w:rPr>
          <w:i/>
          <w:lang w:val="fr-CA"/>
        </w:rPr>
        <w:t>Richard </w:t>
      </w:r>
      <w:r w:rsidRPr="00583744">
        <w:rPr>
          <w:i/>
          <w:lang w:val="fr-CA"/>
        </w:rPr>
        <w:t>M. Butler</w:t>
      </w:r>
      <w:r w:rsidRPr="00583744">
        <w:rPr>
          <w:lang w:val="fr-CA"/>
        </w:rPr>
        <w:t xml:space="preserve"> et </w:t>
      </w:r>
      <w:r w:rsidRPr="00583744">
        <w:rPr>
          <w:i/>
          <w:lang w:val="fr-CA"/>
        </w:rPr>
        <w:t xml:space="preserve">John </w:t>
      </w:r>
      <w:proofErr w:type="spellStart"/>
      <w:r w:rsidRPr="00583744">
        <w:rPr>
          <w:i/>
          <w:lang w:val="fr-CA"/>
        </w:rPr>
        <w:t>Tuck</w:t>
      </w:r>
      <w:proofErr w:type="spellEnd"/>
      <w:r w:rsidRPr="00583744">
        <w:rPr>
          <w:lang w:val="fr-CA"/>
        </w:rPr>
        <w:t>, pour l’intervenant le procureur général de la Colombie</w:t>
      </w:r>
      <w:r w:rsidR="00115CFC">
        <w:rPr>
          <w:lang w:val="fr-CA"/>
        </w:rPr>
        <w:t>-</w:t>
      </w:r>
      <w:r w:rsidRPr="00583744">
        <w:rPr>
          <w:lang w:val="fr-CA"/>
        </w:rPr>
        <w:t>Britannique.</w:t>
      </w:r>
    </w:p>
    <w:p w:rsidR="002573C3" w:rsidRPr="00583744" w:rsidRDefault="00166650" w:rsidP="00115CFC">
      <w:pPr>
        <w:pStyle w:val="SCCNormalDoubleSpacing"/>
        <w:spacing w:before="480" w:after="480"/>
        <w:rPr>
          <w:lang w:val="en-US"/>
        </w:rPr>
      </w:pPr>
      <w:r w:rsidRPr="00583744">
        <w:rPr>
          <w:i/>
          <w:lang w:val="fr-CA"/>
        </w:rPr>
        <w:tab/>
      </w:r>
      <w:r w:rsidRPr="00583744">
        <w:rPr>
          <w:i/>
          <w:lang w:val="en-US"/>
        </w:rPr>
        <w:t xml:space="preserve">Jillian </w:t>
      </w:r>
      <w:proofErr w:type="spellStart"/>
      <w:r w:rsidRPr="00583744">
        <w:rPr>
          <w:i/>
          <w:lang w:val="en-US"/>
        </w:rPr>
        <w:t>Harker</w:t>
      </w:r>
      <w:proofErr w:type="spellEnd"/>
      <w:r w:rsidRPr="00583744">
        <w:rPr>
          <w:lang w:val="en-US"/>
        </w:rPr>
        <w:t>, pour l</w:t>
      </w:r>
      <w:r w:rsidR="0084457E" w:rsidRPr="00583744">
        <w:rPr>
          <w:lang w:val="en-US"/>
        </w:rPr>
        <w:t xml:space="preserve">es </w:t>
      </w:r>
      <w:proofErr w:type="spellStart"/>
      <w:r w:rsidR="002573C3" w:rsidRPr="00583744">
        <w:rPr>
          <w:lang w:val="en-US"/>
        </w:rPr>
        <w:t>intervenant</w:t>
      </w:r>
      <w:r w:rsidR="0084457E" w:rsidRPr="00583744">
        <w:rPr>
          <w:lang w:val="en-US"/>
        </w:rPr>
        <w:t>s</w:t>
      </w:r>
      <w:proofErr w:type="spellEnd"/>
      <w:r w:rsidR="002573C3" w:rsidRPr="00583744">
        <w:rPr>
          <w:lang w:val="en-US"/>
        </w:rPr>
        <w:t xml:space="preserve"> </w:t>
      </w:r>
      <w:r w:rsidRPr="00583744">
        <w:rPr>
          <w:lang w:val="en-US"/>
        </w:rPr>
        <w:t>Information and Privacy Commissioner of Alberta</w:t>
      </w:r>
      <w:r w:rsidR="002573C3" w:rsidRPr="00583744">
        <w:rPr>
          <w:lang w:val="en-US"/>
        </w:rPr>
        <w:t xml:space="preserve">, Freedom of Information and Protection of Privacy </w:t>
      </w:r>
      <w:r w:rsidR="002573C3" w:rsidRPr="00583744">
        <w:rPr>
          <w:lang w:val="en-US"/>
        </w:rPr>
        <w:lastRenderedPageBreak/>
        <w:t xml:space="preserve">Commissioner </w:t>
      </w:r>
      <w:r w:rsidR="00954296" w:rsidRPr="00583744">
        <w:rPr>
          <w:lang w:val="en-US"/>
        </w:rPr>
        <w:t xml:space="preserve">[Review Officer] </w:t>
      </w:r>
      <w:r w:rsidR="002573C3" w:rsidRPr="00583744">
        <w:rPr>
          <w:lang w:val="en-US"/>
        </w:rPr>
        <w:t xml:space="preserve">for Nova Scotia </w:t>
      </w:r>
      <w:proofErr w:type="gramStart"/>
      <w:r w:rsidR="001C3857" w:rsidRPr="00583744">
        <w:rPr>
          <w:lang w:val="en-US"/>
        </w:rPr>
        <w:t>et</w:t>
      </w:r>
      <w:proofErr w:type="gramEnd"/>
      <w:r w:rsidR="002573C3" w:rsidRPr="00583744">
        <w:rPr>
          <w:lang w:val="en-US"/>
        </w:rPr>
        <w:t xml:space="preserve"> </w:t>
      </w:r>
      <w:r w:rsidR="001E6BAE" w:rsidRPr="00583744">
        <w:rPr>
          <w:lang w:val="en-US"/>
        </w:rPr>
        <w:t>Information and Privacy Commissioner of Prince Edward Island</w:t>
      </w:r>
      <w:r w:rsidR="002573C3" w:rsidRPr="00583744">
        <w:rPr>
          <w:lang w:val="en-US"/>
        </w:rPr>
        <w:t>.</w:t>
      </w:r>
    </w:p>
    <w:p w:rsidR="00D83FF5" w:rsidRPr="00583744" w:rsidRDefault="002573C3" w:rsidP="00115CFC">
      <w:pPr>
        <w:pStyle w:val="SCCNormalDoubleSpacing"/>
        <w:spacing w:before="480" w:after="480"/>
      </w:pPr>
      <w:r w:rsidRPr="00583744">
        <w:rPr>
          <w:i/>
          <w:lang w:val="en-US"/>
        </w:rPr>
        <w:tab/>
      </w:r>
      <w:r w:rsidR="00487C0A" w:rsidRPr="00583744">
        <w:rPr>
          <w:i/>
        </w:rPr>
        <w:t>Brent </w:t>
      </w:r>
      <w:r w:rsidR="00166650" w:rsidRPr="00583744">
        <w:rPr>
          <w:i/>
        </w:rPr>
        <w:t xml:space="preserve">B. </w:t>
      </w:r>
      <w:proofErr w:type="spellStart"/>
      <w:r w:rsidR="00166650" w:rsidRPr="00583744">
        <w:rPr>
          <w:i/>
        </w:rPr>
        <w:t>Olthuis</w:t>
      </w:r>
      <w:proofErr w:type="spellEnd"/>
      <w:r w:rsidR="00166650" w:rsidRPr="00583744">
        <w:t xml:space="preserve"> </w:t>
      </w:r>
      <w:proofErr w:type="gramStart"/>
      <w:r w:rsidR="00166650" w:rsidRPr="00583744">
        <w:t>et</w:t>
      </w:r>
      <w:proofErr w:type="gramEnd"/>
      <w:r w:rsidR="00166650" w:rsidRPr="00583744">
        <w:t xml:space="preserve"> </w:t>
      </w:r>
      <w:r w:rsidR="00487C0A" w:rsidRPr="00583744">
        <w:rPr>
          <w:i/>
        </w:rPr>
        <w:t>Andrea </w:t>
      </w:r>
      <w:r w:rsidR="00166650" w:rsidRPr="00583744">
        <w:rPr>
          <w:i/>
        </w:rPr>
        <w:t>A. Glen</w:t>
      </w:r>
      <w:r w:rsidR="00166650" w:rsidRPr="00583744">
        <w:t xml:space="preserve">, pour </w:t>
      </w:r>
      <w:proofErr w:type="spellStart"/>
      <w:r w:rsidR="00166650" w:rsidRPr="00583744">
        <w:t>l</w:t>
      </w:r>
      <w:r w:rsidR="008D764C" w:rsidRPr="00583744">
        <w:t>’</w:t>
      </w:r>
      <w:r w:rsidR="00166650" w:rsidRPr="00583744">
        <w:t>intervenante</w:t>
      </w:r>
      <w:proofErr w:type="spellEnd"/>
      <w:r w:rsidR="00166650" w:rsidRPr="00583744">
        <w:t xml:space="preserve"> British Columbia Freedom of Information and Privacy Association.</w:t>
      </w:r>
    </w:p>
    <w:p w:rsidR="006C5709" w:rsidRPr="00583744" w:rsidRDefault="006C5709" w:rsidP="00115CFC">
      <w:pPr>
        <w:pStyle w:val="SCCNormalDoubleSpacing"/>
        <w:spacing w:before="480" w:after="480"/>
      </w:pPr>
      <w:r w:rsidRPr="00583744">
        <w:rPr>
          <w:i/>
        </w:rPr>
        <w:tab/>
      </w:r>
      <w:proofErr w:type="spellStart"/>
      <w:r w:rsidRPr="00583744">
        <w:rPr>
          <w:i/>
        </w:rPr>
        <w:t>Nitya</w:t>
      </w:r>
      <w:proofErr w:type="spellEnd"/>
      <w:r w:rsidRPr="00583744">
        <w:rPr>
          <w:i/>
        </w:rPr>
        <w:t xml:space="preserve"> </w:t>
      </w:r>
      <w:proofErr w:type="spellStart"/>
      <w:r w:rsidRPr="00583744">
        <w:rPr>
          <w:i/>
        </w:rPr>
        <w:t>Iyer</w:t>
      </w:r>
      <w:proofErr w:type="spellEnd"/>
      <w:r w:rsidRPr="00583744">
        <w:t xml:space="preserve">, pour </w:t>
      </w:r>
      <w:proofErr w:type="spellStart"/>
      <w:r w:rsidRPr="00583744">
        <w:t>l’intervenant</w:t>
      </w:r>
      <w:proofErr w:type="spellEnd"/>
      <w:r w:rsidRPr="00583744">
        <w:t xml:space="preserve"> Information and Privacy Commissioner of British Columbia.</w:t>
      </w:r>
    </w:p>
    <w:p w:rsidR="00D83FF5" w:rsidRPr="00583744" w:rsidRDefault="00166650" w:rsidP="00115CFC">
      <w:pPr>
        <w:pStyle w:val="SCCNormalDoubleSpacing"/>
        <w:spacing w:before="480" w:after="480"/>
        <w:rPr>
          <w:lang w:val="fr-CA"/>
        </w:rPr>
      </w:pPr>
      <w:r w:rsidRPr="00583744">
        <w:rPr>
          <w:i/>
        </w:rPr>
        <w:tab/>
      </w:r>
      <w:proofErr w:type="spellStart"/>
      <w:r w:rsidRPr="00583744">
        <w:rPr>
          <w:i/>
          <w:lang w:val="fr-CA"/>
        </w:rPr>
        <w:t>Ryder</w:t>
      </w:r>
      <w:proofErr w:type="spellEnd"/>
      <w:r w:rsidRPr="00583744">
        <w:rPr>
          <w:i/>
          <w:lang w:val="fr-CA"/>
        </w:rPr>
        <w:t xml:space="preserve"> </w:t>
      </w:r>
      <w:proofErr w:type="spellStart"/>
      <w:r w:rsidRPr="00583744">
        <w:rPr>
          <w:i/>
          <w:lang w:val="fr-CA"/>
        </w:rPr>
        <w:t>Gilliland</w:t>
      </w:r>
      <w:proofErr w:type="spellEnd"/>
      <w:r w:rsidRPr="00583744">
        <w:rPr>
          <w:lang w:val="fr-CA"/>
        </w:rPr>
        <w:t xml:space="preserve"> et </w:t>
      </w:r>
      <w:proofErr w:type="spellStart"/>
      <w:r w:rsidRPr="00583744">
        <w:rPr>
          <w:i/>
          <w:lang w:val="fr-CA"/>
        </w:rPr>
        <w:t>Nickolas</w:t>
      </w:r>
      <w:proofErr w:type="spellEnd"/>
      <w:r w:rsidRPr="00583744">
        <w:rPr>
          <w:i/>
          <w:lang w:val="fr-CA"/>
        </w:rPr>
        <w:t xml:space="preserve"> </w:t>
      </w:r>
      <w:proofErr w:type="spellStart"/>
      <w:r w:rsidRPr="00583744">
        <w:rPr>
          <w:i/>
          <w:lang w:val="fr-CA"/>
        </w:rPr>
        <w:t>Tzoulas</w:t>
      </w:r>
      <w:proofErr w:type="spellEnd"/>
      <w:r w:rsidRPr="00583744">
        <w:rPr>
          <w:lang w:val="fr-CA"/>
        </w:rPr>
        <w:t>, pour l</w:t>
      </w:r>
      <w:r w:rsidR="008D764C" w:rsidRPr="00583744">
        <w:rPr>
          <w:lang w:val="fr-CA"/>
        </w:rPr>
        <w:t>’</w:t>
      </w:r>
      <w:r w:rsidRPr="00583744">
        <w:rPr>
          <w:lang w:val="fr-CA"/>
        </w:rPr>
        <w:t xml:space="preserve">intervenante </w:t>
      </w:r>
      <w:r w:rsidR="006C5709" w:rsidRPr="00583744">
        <w:rPr>
          <w:lang w:val="fr-CA"/>
        </w:rPr>
        <w:t>l’</w:t>
      </w:r>
      <w:r w:rsidR="006C5709" w:rsidRPr="00583744">
        <w:rPr>
          <w:bCs/>
          <w:lang w:val="fr-CA"/>
        </w:rPr>
        <w:t>Association canadienne des libertés civiles</w:t>
      </w:r>
      <w:r w:rsidRPr="00583744">
        <w:rPr>
          <w:lang w:val="fr-CA"/>
        </w:rPr>
        <w:t>.</w:t>
      </w:r>
    </w:p>
    <w:p w:rsidR="008728AB" w:rsidRDefault="00115CFC" w:rsidP="00115CFC">
      <w:pPr>
        <w:pStyle w:val="SCCNormalDoubleSpacing"/>
        <w:spacing w:before="480" w:after="480"/>
        <w:rPr>
          <w:szCs w:val="24"/>
          <w:lang w:val="fr-CA"/>
        </w:rPr>
      </w:pPr>
      <w:r>
        <w:rPr>
          <w:szCs w:val="24"/>
          <w:lang w:val="fr-CA"/>
        </w:rPr>
        <w:tab/>
      </w:r>
      <w:r w:rsidR="008728AB">
        <w:rPr>
          <w:szCs w:val="24"/>
          <w:lang w:val="fr-CA"/>
        </w:rPr>
        <w:t>Ver</w:t>
      </w:r>
      <w:r w:rsidR="008728AB" w:rsidRPr="00B6619D">
        <w:rPr>
          <w:szCs w:val="24"/>
          <w:lang w:val="fr-CA"/>
        </w:rPr>
        <w:t xml:space="preserve">sion française du jugement </w:t>
      </w:r>
      <w:r w:rsidR="008728AB">
        <w:rPr>
          <w:szCs w:val="24"/>
          <w:lang w:val="fr-CA"/>
        </w:rPr>
        <w:t>de la Cour r</w:t>
      </w:r>
      <w:r w:rsidR="008728AB" w:rsidRPr="00B6619D">
        <w:rPr>
          <w:szCs w:val="24"/>
          <w:lang w:val="fr-CA"/>
        </w:rPr>
        <w:t>endu par</w:t>
      </w:r>
    </w:p>
    <w:p w:rsidR="008728AB" w:rsidRPr="00E41FC1" w:rsidRDefault="008728AB" w:rsidP="00115CFC">
      <w:pPr>
        <w:pStyle w:val="JudgeJuge"/>
        <w:rPr>
          <w:noProof/>
          <w:lang w:val="fr-CA"/>
        </w:rPr>
      </w:pPr>
      <w:r>
        <w:rPr>
          <w:lang w:val="fr-CA"/>
        </w:rPr>
        <w:tab/>
      </w:r>
      <w:r w:rsidRPr="00E41FC1">
        <w:rPr>
          <w:noProof/>
          <w:lang w:val="fr-CA"/>
        </w:rPr>
        <w:t xml:space="preserve">Le juge Rothstein — </w:t>
      </w:r>
    </w:p>
    <w:p w:rsidR="008728AB" w:rsidRPr="00E41FC1" w:rsidRDefault="008728AB" w:rsidP="00115CFC">
      <w:pPr>
        <w:pStyle w:val="Title1LevelTitre1Niveau-AltL"/>
        <w:keepNext w:val="0"/>
        <w:rPr>
          <w:rFonts w:cs="Times New Roman"/>
          <w:noProof/>
          <w:lang w:val="fr-CA"/>
        </w:rPr>
      </w:pPr>
      <w:r w:rsidRPr="00E41FC1">
        <w:rPr>
          <w:rFonts w:cs="Times New Roman"/>
          <w:noProof/>
          <w:lang w:val="fr-CA"/>
        </w:rPr>
        <w:t>Introduction</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lois sur l’accès à l’information servent un intérêt public important, à savoir faire en sorte que l’État rende des comptes aux citoyens. Une société ouverte et démocratique commande l’accès des citoyens aux documents de l’État afin de permettre le débat public sur la conduite des institutions gouvernementales.</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lastRenderedPageBreak/>
        <w:t>Toutefois, comme tous les droits reconnus, le droit d’accès à l’information n’est pas illimité.  Toutes les lois canadiennes sur l’accès à l’information établissent un équilibre entre l’accès aux documents de l’État et la protection d’autres droits auxquels la communication inconditionnelle de ces documents risquerait de porter atteinte.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présent pourvoi porte sur une restriction apportée au droit d’accès aux documents de l’État en Ontario.  Suivant le par</w:t>
      </w:r>
      <w:r w:rsidR="00115CFC">
        <w:rPr>
          <w:rFonts w:cs="Times New Roman"/>
          <w:noProof/>
          <w:lang w:val="fr-CA"/>
        </w:rPr>
        <w:t xml:space="preserve">. </w:t>
      </w:r>
      <w:r w:rsidRPr="00E41FC1">
        <w:rPr>
          <w:rFonts w:cs="Times New Roman"/>
          <w:noProof/>
          <w:lang w:val="fr-CA"/>
        </w:rPr>
        <w:t xml:space="preserve">13(1) de la </w:t>
      </w:r>
      <w:r w:rsidRPr="00E41FC1">
        <w:rPr>
          <w:rFonts w:cs="Times New Roman"/>
          <w:i/>
          <w:noProof/>
          <w:lang w:val="fr-CA"/>
        </w:rPr>
        <w:t xml:space="preserve">Loi sur l’accès à l’information et la protection de la vie privée </w:t>
      </w:r>
      <w:r w:rsidRPr="00E41FC1">
        <w:rPr>
          <w:rFonts w:cs="Times New Roman"/>
          <w:noProof/>
          <w:lang w:val="fr-CA"/>
        </w:rPr>
        <w:t>de 1988, L.R.O. 1990, ch</w:t>
      </w:r>
      <w:r w:rsidR="00115CFC">
        <w:rPr>
          <w:rFonts w:cs="Times New Roman"/>
          <w:noProof/>
          <w:lang w:val="fr-CA"/>
        </w:rPr>
        <w:t xml:space="preserve">. </w:t>
      </w:r>
      <w:r w:rsidRPr="00E41FC1">
        <w:rPr>
          <w:rFonts w:cs="Times New Roman"/>
          <w:noProof/>
          <w:lang w:val="fr-CA"/>
        </w:rPr>
        <w:t>F.31 (« Loi » ou « </w:t>
      </w:r>
      <w:r w:rsidRPr="00E41FC1">
        <w:rPr>
          <w:rFonts w:cs="Times New Roman"/>
          <w:i/>
          <w:noProof/>
          <w:lang w:val="fr-CA"/>
        </w:rPr>
        <w:t>LAIPVP</w:t>
      </w:r>
      <w:r w:rsidRPr="00E41FC1">
        <w:rPr>
          <w:rFonts w:cs="Times New Roman"/>
          <w:noProof/>
          <w:lang w:val="fr-CA"/>
        </w:rPr>
        <w:t> »), la personne responsable d’une institution gouvernementale « peut refuser de divulguer un document qui aurait pour effet de révéler les conseils ou les recommandations émanant d’un fonctionnaire ».  La Cour est aujourd’hui appelée à décider si le document qui relate un choix de politiques équivaut à des « conseils » ou à des « recommandations » au sens du par</w:t>
      </w:r>
      <w:r w:rsidR="00115CFC">
        <w:rPr>
          <w:rFonts w:cs="Times New Roman"/>
          <w:noProof/>
          <w:lang w:val="fr-CA"/>
        </w:rPr>
        <w:t xml:space="preserve">. </w:t>
      </w:r>
      <w:r w:rsidRPr="00E41FC1">
        <w:rPr>
          <w:rFonts w:cs="Times New Roman"/>
          <w:noProof/>
          <w:lang w:val="fr-CA"/>
        </w:rPr>
        <w:t>13(1) et peut faire l’objet d’un refus de communication.  Une arbitre du bureau de la Commissaire à l’information et à la protection de la vie privée de l’Ontario (« Commissaire ») a ordonné la communication des documents de l’État visés par le pourvoi.  Elle a conclu que ces documents ne constituent ni des conseils, ni des recommandations au sens du par</w:t>
      </w:r>
      <w:r w:rsidR="00115CFC">
        <w:rPr>
          <w:rFonts w:cs="Times New Roman"/>
          <w:noProof/>
          <w:lang w:val="fr-CA"/>
        </w:rPr>
        <w:t xml:space="preserve">. </w:t>
      </w:r>
      <w:r w:rsidRPr="00E41FC1">
        <w:rPr>
          <w:rFonts w:cs="Times New Roman"/>
          <w:noProof/>
          <w:lang w:val="fr-CA"/>
        </w:rPr>
        <w:t>13(1).  J’estime en toute déférence que sa décision n’est pas raisonnable et doit être annulée.</w:t>
      </w:r>
    </w:p>
    <w:p w:rsidR="008728AB" w:rsidRPr="00E41FC1" w:rsidRDefault="008728AB" w:rsidP="00115CFC">
      <w:pPr>
        <w:pStyle w:val="Title1LevelTitre1Niveau-AltL"/>
        <w:keepNext w:val="0"/>
        <w:rPr>
          <w:rFonts w:cs="Times New Roman"/>
          <w:noProof/>
          <w:lang w:val="fr-CA"/>
        </w:rPr>
      </w:pPr>
      <w:r w:rsidRPr="00E41FC1">
        <w:rPr>
          <w:rFonts w:cs="Times New Roman"/>
          <w:noProof/>
          <w:lang w:val="fr-CA"/>
        </w:rPr>
        <w:t>Contexte factuel</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lastRenderedPageBreak/>
        <w:t>M</w:t>
      </w:r>
      <w:r w:rsidR="00115CFC">
        <w:rPr>
          <w:rFonts w:cs="Times New Roman"/>
          <w:noProof/>
          <w:lang w:val="fr-CA"/>
        </w:rPr>
        <w:t xml:space="preserve">. </w:t>
      </w:r>
      <w:r w:rsidRPr="00E41FC1">
        <w:rPr>
          <w:rFonts w:cs="Times New Roman"/>
          <w:noProof/>
          <w:lang w:val="fr-CA"/>
        </w:rPr>
        <w:t xml:space="preserve">Untel est avocat et exerce en droit fiscal.  Il a présenté une demande d’accès à l’information après que le ministère des Finances (« ministère ») eut modifié une disposition de la </w:t>
      </w:r>
      <w:r w:rsidRPr="00E41FC1">
        <w:rPr>
          <w:rFonts w:cs="Times New Roman"/>
          <w:i/>
          <w:noProof/>
          <w:lang w:val="fr-CA"/>
        </w:rPr>
        <w:t xml:space="preserve">Loi sur l’imposition des sociétés </w:t>
      </w:r>
      <w:r w:rsidRPr="00E41FC1">
        <w:rPr>
          <w:rFonts w:cs="Times New Roman"/>
          <w:noProof/>
          <w:lang w:val="fr-CA"/>
        </w:rPr>
        <w:t>de l’Ontario, L.R.O. 1990, ch</w:t>
      </w:r>
      <w:r w:rsidR="00115CFC">
        <w:rPr>
          <w:rFonts w:cs="Times New Roman"/>
          <w:noProof/>
          <w:lang w:val="fr-CA"/>
        </w:rPr>
        <w:t xml:space="preserve">. </w:t>
      </w:r>
      <w:r w:rsidRPr="00E41FC1">
        <w:rPr>
          <w:rFonts w:cs="Times New Roman"/>
          <w:noProof/>
          <w:lang w:val="fr-CA"/>
        </w:rPr>
        <w:t>C.40</w:t>
      </w:r>
      <w:r w:rsidR="00863E1F">
        <w:rPr>
          <w:rFonts w:cs="Times New Roman"/>
          <w:noProof/>
          <w:lang w:val="fr-CA"/>
        </w:rPr>
        <w:t>,</w:t>
      </w:r>
      <w:r w:rsidRPr="00E41FC1">
        <w:rPr>
          <w:rFonts w:cs="Times New Roman"/>
          <w:i/>
          <w:noProof/>
          <w:lang w:val="fr-CA"/>
        </w:rPr>
        <w:t xml:space="preserve"> </w:t>
      </w:r>
      <w:r w:rsidRPr="00E41FC1">
        <w:rPr>
          <w:rFonts w:cs="Times New Roman"/>
          <w:noProof/>
          <w:lang w:val="fr-CA"/>
        </w:rPr>
        <w:t>afin d’éliminer l’échappatoire créée par la loi ontarienne pour les sociétés établies dans des paradis fiscaux.  Les nouvelles dispositions avaient un effet partiellement rétroactif.  Au nom de certains contribuables inquiets des conséquences de cette rétroactivité sur leur obligation fiscale, M</w:t>
      </w:r>
      <w:r w:rsidR="00115CFC">
        <w:rPr>
          <w:rFonts w:cs="Times New Roman"/>
          <w:noProof/>
          <w:lang w:val="fr-CA"/>
        </w:rPr>
        <w:t xml:space="preserve">. </w:t>
      </w:r>
      <w:r w:rsidRPr="00E41FC1">
        <w:rPr>
          <w:rFonts w:cs="Times New Roman"/>
          <w:noProof/>
          <w:lang w:val="fr-CA"/>
        </w:rPr>
        <w:t>Untel a demandé l’accès à ce qui suit :</w:t>
      </w:r>
    </w:p>
    <w:p w:rsidR="008728AB" w:rsidRPr="00E41FC1" w:rsidRDefault="008728AB" w:rsidP="00115CFC">
      <w:pPr>
        <w:pStyle w:val="Citation-AltC"/>
        <w:spacing w:after="240"/>
        <w:ind w:hanging="1166"/>
        <w:contextualSpacing w:val="0"/>
        <w:rPr>
          <w:noProof/>
          <w:lang w:val="fr-CA"/>
        </w:rPr>
      </w:pPr>
      <w:r w:rsidRPr="00E41FC1">
        <w:rPr>
          <w:smallCaps/>
          <w:noProof/>
          <w:lang w:val="fr-CA"/>
        </w:rPr>
        <w:tab/>
        <w:t xml:space="preserve">[traduction] </w:t>
      </w:r>
      <w:r w:rsidRPr="00E41FC1">
        <w:rPr>
          <w:noProof/>
          <w:lang w:val="fr-CA"/>
        </w:rPr>
        <w:t xml:space="preserve"> </w:t>
      </w:r>
      <w:r w:rsidR="00D311BB">
        <w:rPr>
          <w:noProof/>
          <w:lang w:val="fr-CA"/>
        </w:rPr>
        <w:t>[</w:t>
      </w:r>
      <w:r w:rsidR="00863E1F">
        <w:rPr>
          <w:noProof/>
          <w:lang w:val="fr-CA"/>
        </w:rPr>
        <w:t>T</w:t>
      </w:r>
      <w:r w:rsidRPr="00E41FC1">
        <w:rPr>
          <w:noProof/>
          <w:lang w:val="fr-CA"/>
        </w:rPr>
        <w:t>ous</w:t>
      </w:r>
      <w:r w:rsidR="00D311BB">
        <w:rPr>
          <w:noProof/>
          <w:lang w:val="fr-CA"/>
        </w:rPr>
        <w:t>]</w:t>
      </w:r>
      <w:r w:rsidRPr="00E41FC1">
        <w:rPr>
          <w:noProof/>
          <w:lang w:val="fr-CA"/>
        </w:rPr>
        <w:t xml:space="preserve"> les documents ou parties des documents des ministères des Finances et du Revenu portant sur la rétroactivité et sur la date d’entrée en vigueur des modifications apportées aux paragraphes 2(1) et (2) de la </w:t>
      </w:r>
      <w:r w:rsidRPr="00E41FC1">
        <w:rPr>
          <w:i/>
          <w:noProof/>
          <w:lang w:val="fr-CA"/>
        </w:rPr>
        <w:t>Loi sur l’imposition des sociétés</w:t>
      </w:r>
      <w:r w:rsidRPr="00E41FC1">
        <w:rPr>
          <w:noProof/>
          <w:lang w:val="fr-CA"/>
        </w:rPr>
        <w:t>, qui se sont appliquées dès le 11 mai 2005, y compris tous les documents faisant état de motifs de ne pas rendre rétroactive l’application des paragraphes 2(1) et (2).</w:t>
      </w:r>
    </w:p>
    <w:p w:rsidR="008728AB" w:rsidRPr="00E41FC1" w:rsidRDefault="008728AB" w:rsidP="009E472E">
      <w:pPr>
        <w:pStyle w:val="ParaNoNdepar-AltN"/>
        <w:numPr>
          <w:ilvl w:val="0"/>
          <w:numId w:val="0"/>
        </w:numPr>
        <w:rPr>
          <w:noProof/>
          <w:lang w:val="fr-CA"/>
        </w:rPr>
      </w:pPr>
      <w:r w:rsidRPr="00E41FC1">
        <w:rPr>
          <w:noProof/>
          <w:lang w:val="fr-CA"/>
        </w:rPr>
        <w:t>(Décision de la Commissaire, ordonnance PO-2872, 2010 CanLII 7691 (« ordonnance</w:t>
      </w:r>
      <w:r>
        <w:rPr>
          <w:noProof/>
          <w:lang w:val="fr-CA"/>
        </w:rPr>
        <w:t xml:space="preserve"> </w:t>
      </w:r>
      <w:r w:rsidRPr="00E41FC1">
        <w:rPr>
          <w:noProof/>
          <w:lang w:val="fr-CA"/>
        </w:rPr>
        <w:t>de la Commissaire »), p</w:t>
      </w:r>
      <w:r w:rsidR="00115CFC">
        <w:rPr>
          <w:noProof/>
          <w:lang w:val="fr-CA"/>
        </w:rPr>
        <w:t xml:space="preserve">. </w:t>
      </w:r>
      <w:r w:rsidRPr="00E41FC1">
        <w:rPr>
          <w:noProof/>
          <w:lang w:val="fr-CA"/>
        </w:rPr>
        <w:t>1)</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ministère a trouvé six documents, dont cinq sont visés par le pourvoi (les « documents »).  Il s’agit d’ébauches non datées d’un exposé de choix de politiques concernant les dates d’entrée en vigueur possibles des modifications.  Les documents I à IV ont pour titre « </w:t>
      </w:r>
      <w:r w:rsidRPr="00863E1F">
        <w:rPr>
          <w:rFonts w:cs="Times New Roman"/>
          <w:noProof/>
          <w:lang w:val="fr-CA"/>
        </w:rPr>
        <w:t>Draft Option Paper : Tax Haven Corporations — Timing of Implementation</w:t>
      </w:r>
      <w:r w:rsidRPr="00E41FC1">
        <w:rPr>
          <w:rFonts w:cs="Times New Roman"/>
          <w:noProof/>
          <w:lang w:val="fr-CA"/>
        </w:rPr>
        <w:t xml:space="preserve"> » (Ébauche d’exposé sur une option : Sociétés établies dans des paradis fiscaux — Calendrier de mise en œuvre) et exposent les différentes possibilités quant à la date de prise d’effet des modifications.  Tous les documents, </w:t>
      </w:r>
      <w:r w:rsidRPr="00E41FC1">
        <w:rPr>
          <w:rFonts w:cs="Times New Roman"/>
          <w:noProof/>
          <w:lang w:val="fr-CA"/>
        </w:rPr>
        <w:lastRenderedPageBreak/>
        <w:t>sauf le document IV, renferment des indications explicites quant aux options qui ne sont pas recommandées.  Intitulé « </w:t>
      </w:r>
      <w:r w:rsidRPr="00863E1F">
        <w:rPr>
          <w:rFonts w:cs="Times New Roman"/>
          <w:noProof/>
          <w:lang w:val="fr-CA"/>
        </w:rPr>
        <w:t>Note on Tax Avoidance Strategy</w:t>
      </w:r>
      <w:r w:rsidRPr="00E41FC1">
        <w:rPr>
          <w:rFonts w:cs="Times New Roman"/>
          <w:noProof/>
          <w:lang w:val="fr-CA"/>
        </w:rPr>
        <w:t> » (Stratégie d’évitement de l’impôt), le document V fait état de trois options et renferme des indications dont on peut facilement inférer l’option que recommande l’auteur (arrêt de la Cour d’appel,</w:t>
      </w:r>
      <w:r w:rsidR="00D311BB">
        <w:rPr>
          <w:rFonts w:cs="Times New Roman"/>
          <w:noProof/>
          <w:lang w:val="fr-CA"/>
        </w:rPr>
        <w:t xml:space="preserve"> 2012 ONCA 125, 109 O.R. (3d) 76</w:t>
      </w:r>
      <w:r w:rsidRPr="00E41FC1">
        <w:rPr>
          <w:rFonts w:cs="Times New Roman"/>
          <w:noProof/>
          <w:lang w:val="fr-CA"/>
        </w:rPr>
        <w:t>7, par</w:t>
      </w:r>
      <w:r w:rsidR="00115CFC">
        <w:rPr>
          <w:rFonts w:cs="Times New Roman"/>
          <w:noProof/>
          <w:lang w:val="fr-CA"/>
        </w:rPr>
        <w:t xml:space="preserve">. </w:t>
      </w:r>
      <w:r w:rsidRPr="00E41FC1">
        <w:rPr>
          <w:rFonts w:cs="Times New Roman"/>
          <w:noProof/>
          <w:lang w:val="fr-CA"/>
        </w:rPr>
        <w:t>4</w:t>
      </w:r>
      <w:r w:rsidR="00D311BB">
        <w:rPr>
          <w:rFonts w:cs="Times New Roman"/>
          <w:noProof/>
          <w:lang w:val="fr-CA"/>
        </w:rPr>
        <w:t>-</w:t>
      </w:r>
      <w:r w:rsidRPr="00E41FC1">
        <w:rPr>
          <w:rFonts w:cs="Times New Roman"/>
          <w:noProof/>
          <w:lang w:val="fr-CA"/>
        </w:rPr>
        <w:t>5; ordonnance de la Commissaire, p</w:t>
      </w:r>
      <w:r w:rsidR="00115CFC">
        <w:rPr>
          <w:rFonts w:cs="Times New Roman"/>
          <w:noProof/>
          <w:lang w:val="fr-CA"/>
        </w:rPr>
        <w:t xml:space="preserve">. </w:t>
      </w:r>
      <w:r w:rsidRPr="00E41FC1">
        <w:rPr>
          <w:rFonts w:cs="Times New Roman"/>
          <w:noProof/>
          <w:lang w:val="fr-CA"/>
        </w:rPr>
        <w:t>5).</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Selon le ministère, il s’agissait de versions d’un document utilisé lors de séances d’information du ministre, du sous</w:t>
      </w:r>
      <w:r w:rsidR="00115CFC">
        <w:rPr>
          <w:rFonts w:cs="Times New Roman"/>
          <w:noProof/>
          <w:lang w:val="fr-CA"/>
        </w:rPr>
        <w:t>-</w:t>
      </w:r>
      <w:r w:rsidRPr="00E41FC1">
        <w:rPr>
          <w:rFonts w:cs="Times New Roman"/>
          <w:noProof/>
          <w:lang w:val="fr-CA"/>
        </w:rPr>
        <w:t>ministre et du sous</w:t>
      </w:r>
      <w:r w:rsidR="00115CFC">
        <w:rPr>
          <w:rFonts w:cs="Times New Roman"/>
          <w:noProof/>
          <w:lang w:val="fr-CA"/>
        </w:rPr>
        <w:t>-</w:t>
      </w:r>
      <w:r w:rsidRPr="00E41FC1">
        <w:rPr>
          <w:rFonts w:cs="Times New Roman"/>
          <w:noProof/>
          <w:lang w:val="fr-CA"/>
        </w:rPr>
        <w:t>ministre adjoint, Finances et Bureau du budget et de la fiscalité.  L’une des options a finalement été retenue, de sorte que les modifications ont emporté une obligation fiscale partiellement rétroactive (arrêt de la C.A., par</w:t>
      </w:r>
      <w:r w:rsidR="00115CFC">
        <w:rPr>
          <w:rFonts w:cs="Times New Roman"/>
          <w:noProof/>
          <w:lang w:val="fr-CA"/>
        </w:rPr>
        <w:t xml:space="preserve">. </w:t>
      </w:r>
      <w:r w:rsidRPr="00E41FC1">
        <w:rPr>
          <w:rFonts w:cs="Times New Roman"/>
          <w:noProof/>
          <w:lang w:val="fr-CA"/>
        </w:rPr>
        <w:t>7; ordonnance de la Commissaire, p</w:t>
      </w:r>
      <w:r w:rsidR="00115CFC">
        <w:rPr>
          <w:rFonts w:cs="Times New Roman"/>
          <w:noProof/>
          <w:lang w:val="fr-CA"/>
        </w:rPr>
        <w:t xml:space="preserve">. </w:t>
      </w:r>
      <w:r w:rsidRPr="00E41FC1">
        <w:rPr>
          <w:rFonts w:cs="Times New Roman"/>
          <w:noProof/>
          <w:lang w:val="fr-CA"/>
        </w:rPr>
        <w:t>5).</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ministère a mis la main sur les documents I à V, mais il a refusé leur communication en invoquant l’exception prévue au par</w:t>
      </w:r>
      <w:r w:rsidR="00115CFC">
        <w:rPr>
          <w:rFonts w:cs="Times New Roman"/>
          <w:noProof/>
          <w:lang w:val="fr-CA"/>
        </w:rPr>
        <w:t xml:space="preserve">. </w:t>
      </w:r>
      <w:r w:rsidRPr="00E41FC1">
        <w:rPr>
          <w:rFonts w:cs="Times New Roman"/>
          <w:noProof/>
          <w:lang w:val="fr-CA"/>
        </w:rPr>
        <w:t xml:space="preserve">13(1) :  </w:t>
      </w:r>
    </w:p>
    <w:p w:rsidR="008728AB" w:rsidRPr="00E41FC1" w:rsidRDefault="008728AB" w:rsidP="00A17CC8">
      <w:pPr>
        <w:pStyle w:val="Citation-AltC"/>
        <w:tabs>
          <w:tab w:val="left" w:pos="1620"/>
        </w:tabs>
        <w:ind w:left="1168" w:hanging="1168"/>
        <w:contextualSpacing w:val="0"/>
        <w:rPr>
          <w:noProof/>
          <w:lang w:val="fr-CA"/>
        </w:rPr>
      </w:pPr>
      <w:r w:rsidRPr="00E41FC1">
        <w:rPr>
          <w:b/>
          <w:noProof/>
          <w:lang w:val="fr-CA"/>
        </w:rPr>
        <w:tab/>
      </w:r>
      <w:r w:rsidR="00D311BB">
        <w:rPr>
          <w:b/>
          <w:noProof/>
          <w:lang w:val="fr-CA"/>
        </w:rPr>
        <w:tab/>
      </w:r>
      <w:r w:rsidRPr="00E41FC1">
        <w:rPr>
          <w:b/>
          <w:noProof/>
          <w:lang w:val="fr-CA"/>
        </w:rPr>
        <w:t>13</w:t>
      </w:r>
      <w:r w:rsidR="00115CFC">
        <w:rPr>
          <w:b/>
          <w:noProof/>
          <w:lang w:val="fr-CA"/>
        </w:rPr>
        <w:t xml:space="preserve">. </w:t>
      </w:r>
      <w:r w:rsidRPr="00E41FC1">
        <w:rPr>
          <w:noProof/>
          <w:lang w:val="fr-CA"/>
        </w:rPr>
        <w:t>(1)  [Conseils au gouvernement] La personne responsable peut refuser de divulguer un document qui aurait pour effet de révéler les conseils ou les recommandations émanant d’un fonctionnaire, d’une personne employée par une institution ou d’un expert</w:t>
      </w:r>
      <w:r w:rsidR="00115CFC">
        <w:rPr>
          <w:noProof/>
          <w:lang w:val="fr-CA"/>
        </w:rPr>
        <w:t>-</w:t>
      </w:r>
      <w:r w:rsidRPr="00E41FC1">
        <w:rPr>
          <w:noProof/>
          <w:lang w:val="fr-CA"/>
        </w:rPr>
        <w:t>conseil dont les services ont été retenus par cette institution.</w:t>
      </w:r>
    </w:p>
    <w:p w:rsidR="008728AB" w:rsidRPr="00E41FC1" w:rsidRDefault="008728AB" w:rsidP="00115CFC">
      <w:pPr>
        <w:pStyle w:val="ContinueParaSuitedupar-AltP"/>
        <w:rPr>
          <w:rFonts w:cs="Times New Roman"/>
          <w:noProof/>
          <w:lang w:val="fr-CA"/>
        </w:rPr>
      </w:pPr>
      <w:r w:rsidRPr="00E41FC1">
        <w:rPr>
          <w:rFonts w:cs="Times New Roman"/>
          <w:noProof/>
          <w:lang w:val="fr-CA"/>
        </w:rPr>
        <w:t>L’accès aux documents I à IV a été également refusé sur le fondement des exceptions à la communication prévues aux al</w:t>
      </w:r>
      <w:r w:rsidR="00115CFC">
        <w:rPr>
          <w:rFonts w:cs="Times New Roman"/>
          <w:noProof/>
          <w:lang w:val="fr-CA"/>
        </w:rPr>
        <w:t xml:space="preserve">. </w:t>
      </w:r>
      <w:r w:rsidRPr="00E41FC1">
        <w:rPr>
          <w:rFonts w:cs="Times New Roman"/>
          <w:noProof/>
          <w:lang w:val="fr-CA"/>
        </w:rPr>
        <w:t>15</w:t>
      </w:r>
      <w:r w:rsidRPr="00D311BB">
        <w:rPr>
          <w:rFonts w:cs="Times New Roman"/>
          <w:noProof/>
          <w:lang w:val="fr-CA"/>
        </w:rPr>
        <w:t>a</w:t>
      </w:r>
      <w:r w:rsidRPr="00E41FC1">
        <w:rPr>
          <w:rFonts w:cs="Times New Roman"/>
          <w:noProof/>
          <w:lang w:val="fr-CA"/>
        </w:rPr>
        <w:t>) (effet de nuire à la poursuite des rapports intergouvernementaux) et 18(1)</w:t>
      </w:r>
      <w:r w:rsidRPr="00D311BB">
        <w:rPr>
          <w:rFonts w:cs="Times New Roman"/>
          <w:noProof/>
          <w:lang w:val="fr-CA"/>
        </w:rPr>
        <w:t>d</w:t>
      </w:r>
      <w:r w:rsidRPr="00E41FC1">
        <w:rPr>
          <w:rFonts w:cs="Times New Roman"/>
          <w:noProof/>
          <w:lang w:val="fr-CA"/>
        </w:rPr>
        <w:t xml:space="preserve">) (effet de nuire aux intérêts financiers ou à la </w:t>
      </w:r>
      <w:r w:rsidRPr="00E41FC1">
        <w:rPr>
          <w:rFonts w:cs="Times New Roman"/>
          <w:noProof/>
          <w:lang w:val="fr-CA"/>
        </w:rPr>
        <w:lastRenderedPageBreak/>
        <w:t xml:space="preserve">gestion de l’économie).  Ces dispositions ne sont pas en cause dans le présent pourvoi.  Le document VI a été communiqué en partie. </w:t>
      </w:r>
    </w:p>
    <w:p w:rsidR="008728AB" w:rsidRPr="00E41FC1" w:rsidRDefault="008728AB" w:rsidP="00115CFC">
      <w:pPr>
        <w:pStyle w:val="Title1LevelTitre1Niveau-AltL"/>
        <w:keepNext w:val="0"/>
        <w:ind w:left="578" w:hanging="578"/>
        <w:rPr>
          <w:rFonts w:cs="Times New Roman"/>
          <w:noProof/>
          <w:lang w:val="fr-CA"/>
        </w:rPr>
      </w:pPr>
      <w:r w:rsidRPr="00E41FC1">
        <w:rPr>
          <w:rFonts w:cs="Times New Roman"/>
          <w:noProof/>
          <w:lang w:val="fr-CA"/>
        </w:rPr>
        <w:t>Historique des procédures</w:t>
      </w:r>
    </w:p>
    <w:p w:rsidR="008728AB" w:rsidRPr="00E41FC1" w:rsidRDefault="008728AB" w:rsidP="00115CFC">
      <w:pPr>
        <w:pStyle w:val="Title2LevelTitre2Niveau"/>
        <w:keepNext w:val="0"/>
        <w:ind w:left="578" w:hanging="578"/>
        <w:rPr>
          <w:rFonts w:cs="Times New Roman"/>
          <w:noProof/>
          <w:lang w:val="fr-CA"/>
        </w:rPr>
      </w:pPr>
      <w:r w:rsidRPr="00E41FC1">
        <w:rPr>
          <w:rFonts w:cs="Times New Roman"/>
          <w:noProof/>
          <w:lang w:val="fr-CA"/>
        </w:rPr>
        <w:t>Commissaire à l’information et à la protection de la vie privée de l’Ontario, ordonnance PO</w:t>
      </w:r>
      <w:r w:rsidR="00115CFC">
        <w:rPr>
          <w:rFonts w:cs="Times New Roman"/>
          <w:noProof/>
          <w:lang w:val="fr-CA"/>
        </w:rPr>
        <w:t>-</w:t>
      </w:r>
      <w:r w:rsidRPr="00E41FC1">
        <w:rPr>
          <w:rFonts w:cs="Times New Roman"/>
          <w:noProof/>
          <w:lang w:val="fr-CA"/>
        </w:rPr>
        <w:t>2872, 2010 C</w:t>
      </w:r>
      <w:r w:rsidR="00863E1F">
        <w:rPr>
          <w:rFonts w:cs="Times New Roman"/>
          <w:noProof/>
          <w:lang w:val="fr-CA"/>
        </w:rPr>
        <w:t>an</w:t>
      </w:r>
      <w:r w:rsidRPr="00E41FC1">
        <w:rPr>
          <w:rFonts w:cs="Times New Roman"/>
          <w:noProof/>
          <w:lang w:val="fr-CA"/>
        </w:rPr>
        <w:t xml:space="preserve">LII 7691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L’arbitre Diane Smith du bureau de la Commissaire a ordonné la communication des documents demandés.  S’appuyant sur les arrêts </w:t>
      </w:r>
      <w:r w:rsidRPr="00E41FC1">
        <w:rPr>
          <w:rFonts w:cs="Times New Roman"/>
          <w:i/>
          <w:noProof/>
          <w:lang w:val="fr-CA"/>
        </w:rPr>
        <w:t xml:space="preserve">Ontario (Minister of Transportation) c. Cropley </w:t>
      </w:r>
      <w:r w:rsidRPr="00E41FC1">
        <w:rPr>
          <w:rFonts w:cs="Times New Roman"/>
          <w:noProof/>
          <w:lang w:val="fr-CA"/>
        </w:rPr>
        <w:t xml:space="preserve">(2005), 202 O.A.C. 379 </w:t>
      </w:r>
      <w:r w:rsidRPr="001F10D0">
        <w:rPr>
          <w:rFonts w:cs="Times New Roman"/>
          <w:noProof/>
          <w:lang w:val="fr-CA"/>
        </w:rPr>
        <w:t>(</w:t>
      </w:r>
      <w:r w:rsidRPr="00E41FC1">
        <w:rPr>
          <w:rFonts w:cs="Times New Roman"/>
          <w:noProof/>
          <w:lang w:val="fr-CA"/>
        </w:rPr>
        <w:t>« </w:t>
      </w:r>
      <w:r w:rsidRPr="00E41FC1">
        <w:rPr>
          <w:rFonts w:cs="Times New Roman"/>
          <w:i/>
          <w:noProof/>
          <w:lang w:val="fr-CA"/>
        </w:rPr>
        <w:t>MOT </w:t>
      </w:r>
      <w:r w:rsidRPr="003A2342">
        <w:rPr>
          <w:rFonts w:cs="Times New Roman"/>
          <w:noProof/>
          <w:lang w:val="fr-CA"/>
        </w:rPr>
        <w:t>»</w:t>
      </w:r>
      <w:r w:rsidRPr="001F10D0">
        <w:rPr>
          <w:rFonts w:cs="Times New Roman"/>
          <w:noProof/>
          <w:lang w:val="fr-CA"/>
        </w:rPr>
        <w:t>)</w:t>
      </w:r>
      <w:r w:rsidRPr="00E41FC1">
        <w:rPr>
          <w:rFonts w:cs="Times New Roman"/>
          <w:noProof/>
          <w:lang w:val="fr-CA"/>
        </w:rPr>
        <w:t>, par</w:t>
      </w:r>
      <w:r w:rsidR="00115CFC">
        <w:rPr>
          <w:rFonts w:cs="Times New Roman"/>
          <w:noProof/>
          <w:lang w:val="fr-CA"/>
        </w:rPr>
        <w:t xml:space="preserve">. </w:t>
      </w:r>
      <w:r w:rsidRPr="00E41FC1">
        <w:rPr>
          <w:rFonts w:cs="Times New Roman"/>
          <w:noProof/>
          <w:lang w:val="fr-CA"/>
        </w:rPr>
        <w:t>29</w:t>
      </w:r>
      <w:r w:rsidR="009E29A0">
        <w:rPr>
          <w:rFonts w:cs="Times New Roman"/>
          <w:noProof/>
          <w:lang w:val="fr-CA"/>
        </w:rPr>
        <w:t>,</w:t>
      </w:r>
      <w:r w:rsidRPr="00E41FC1">
        <w:rPr>
          <w:rFonts w:cs="Times New Roman"/>
          <w:noProof/>
          <w:lang w:val="fr-CA"/>
        </w:rPr>
        <w:t xml:space="preserve"> et </w:t>
      </w:r>
      <w:r w:rsidRPr="00E41FC1">
        <w:rPr>
          <w:rFonts w:cs="Times New Roman"/>
          <w:i/>
          <w:noProof/>
          <w:lang w:val="fr-CA"/>
        </w:rPr>
        <w:t xml:space="preserve">Ontario (Minister of Northern Development and Mines) c. Information and Privacy Commissioner </w:t>
      </w:r>
      <w:r w:rsidRPr="00E41FC1">
        <w:rPr>
          <w:rFonts w:cs="Times New Roman"/>
          <w:noProof/>
          <w:lang w:val="fr-CA"/>
        </w:rPr>
        <w:t>(2005), 203 O.A.C. 30, par</w:t>
      </w:r>
      <w:r w:rsidR="00115CFC">
        <w:rPr>
          <w:rFonts w:cs="Times New Roman"/>
          <w:noProof/>
          <w:lang w:val="fr-CA"/>
        </w:rPr>
        <w:t xml:space="preserve">. </w:t>
      </w:r>
      <w:r w:rsidRPr="00E41FC1">
        <w:rPr>
          <w:rFonts w:cs="Times New Roman"/>
          <w:noProof/>
          <w:lang w:val="fr-CA"/>
        </w:rPr>
        <w:t>8, elle conclut que pour faire l’objet de l’exception prévue au par</w:t>
      </w:r>
      <w:r w:rsidR="00115CFC">
        <w:rPr>
          <w:rFonts w:cs="Times New Roman"/>
          <w:noProof/>
          <w:lang w:val="fr-CA"/>
        </w:rPr>
        <w:t xml:space="preserve">. </w:t>
      </w:r>
      <w:r w:rsidRPr="00E41FC1">
        <w:rPr>
          <w:rFonts w:cs="Times New Roman"/>
          <w:noProof/>
          <w:lang w:val="fr-CA"/>
        </w:rPr>
        <w:t xml:space="preserve">13(1) relativement aux conseils ou aux recommandations, </w:t>
      </w:r>
      <w:r w:rsidRPr="00E41FC1">
        <w:rPr>
          <w:rFonts w:cs="Times New Roman"/>
          <w:smallCaps/>
          <w:noProof/>
          <w:lang w:val="fr-CA"/>
        </w:rPr>
        <w:t>[traduction]</w:t>
      </w:r>
      <w:r w:rsidRPr="00E41FC1">
        <w:rPr>
          <w:rFonts w:cs="Times New Roman"/>
          <w:noProof/>
          <w:lang w:val="fr-CA"/>
        </w:rPr>
        <w:t xml:space="preserve"> « l’information contenue dans le document doit correspondre à une mesure qui sera finalement acceptée ou rejetée par la personne conseillée » (p</w:t>
      </w:r>
      <w:r w:rsidR="00115CFC">
        <w:rPr>
          <w:rFonts w:cs="Times New Roman"/>
          <w:noProof/>
          <w:lang w:val="fr-CA"/>
        </w:rPr>
        <w:t xml:space="preserve">. </w:t>
      </w:r>
      <w:r w:rsidRPr="00E41FC1">
        <w:rPr>
          <w:rFonts w:cs="Times New Roman"/>
          <w:noProof/>
          <w:lang w:val="fr-CA"/>
        </w:rPr>
        <w:t>4).  De plus, l’arbitre estime qu’aucun élément de preuve n’établit « clairement » que l’information contenue dans les documents a été transmise à une autre personne.  La recherche effectuée par le ministère n’a permis de découvrir aucune version définitive, ce qui donne à penser que l’information n’a jamais servi dans le cadre de ses délibérations ou de son processus décisionnel (p</w:t>
      </w:r>
      <w:r w:rsidR="00115CFC">
        <w:rPr>
          <w:rFonts w:cs="Times New Roman"/>
          <w:noProof/>
          <w:lang w:val="fr-CA"/>
        </w:rPr>
        <w:t xml:space="preserve">. </w:t>
      </w:r>
      <w:r w:rsidRPr="00E41FC1">
        <w:rPr>
          <w:rFonts w:cs="Times New Roman"/>
          <w:noProof/>
          <w:lang w:val="fr-CA"/>
        </w:rPr>
        <w:t xml:space="preserve">8).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Pour ces deux motifs, l’exception prévue au par</w:t>
      </w:r>
      <w:r w:rsidR="00115CFC">
        <w:rPr>
          <w:rFonts w:cs="Times New Roman"/>
          <w:noProof/>
          <w:lang w:val="fr-CA"/>
        </w:rPr>
        <w:t xml:space="preserve">. </w:t>
      </w:r>
      <w:r w:rsidRPr="00E41FC1">
        <w:rPr>
          <w:rFonts w:cs="Times New Roman"/>
          <w:noProof/>
          <w:lang w:val="fr-CA"/>
        </w:rPr>
        <w:t xml:space="preserve">13(1) est jugée inapplicable.  Selon l’arbitre, même si l’information contenue dans les documents a </w:t>
      </w:r>
      <w:r w:rsidRPr="00E41FC1">
        <w:rPr>
          <w:rFonts w:cs="Times New Roman"/>
          <w:noProof/>
          <w:lang w:val="fr-CA"/>
        </w:rPr>
        <w:lastRenderedPageBreak/>
        <w:t>été communiquée à la personne conseillée, seules les parties qui précisent les options non privilégiées échappent à la communication.  Le reste de l’information doit être communiqué puisqu’il ne révèle ni explicitement ni implicitement une mesure privilégiée (p</w:t>
      </w:r>
      <w:r w:rsidR="00115CFC">
        <w:rPr>
          <w:rFonts w:cs="Times New Roman"/>
          <w:noProof/>
          <w:lang w:val="fr-CA"/>
        </w:rPr>
        <w:t xml:space="preserve">. </w:t>
      </w:r>
      <w:r w:rsidRPr="00E41FC1">
        <w:rPr>
          <w:rFonts w:cs="Times New Roman"/>
          <w:noProof/>
          <w:lang w:val="fr-CA"/>
        </w:rPr>
        <w:t>9).</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Commissaire à l’information et à la protection de la vie privée de l’Ontario, ordonnance PO</w:t>
      </w:r>
      <w:r w:rsidR="00115CFC">
        <w:rPr>
          <w:rFonts w:cs="Times New Roman"/>
          <w:noProof/>
          <w:lang w:val="fr-CA"/>
        </w:rPr>
        <w:t>-</w:t>
      </w:r>
      <w:r w:rsidRPr="00E41FC1">
        <w:rPr>
          <w:rFonts w:cs="Times New Roman"/>
          <w:noProof/>
          <w:lang w:val="fr-CA"/>
        </w:rPr>
        <w:t>2899</w:t>
      </w:r>
      <w:r w:rsidR="00115CFC">
        <w:rPr>
          <w:rFonts w:cs="Times New Roman"/>
          <w:noProof/>
          <w:lang w:val="fr-CA"/>
        </w:rPr>
        <w:t>-</w:t>
      </w:r>
      <w:r w:rsidRPr="00E41FC1">
        <w:rPr>
          <w:rFonts w:cs="Times New Roman"/>
          <w:noProof/>
          <w:lang w:val="fr-CA"/>
        </w:rPr>
        <w:t>R, 2010 C</w:t>
      </w:r>
      <w:r w:rsidR="00863E1F">
        <w:rPr>
          <w:rFonts w:cs="Times New Roman"/>
          <w:noProof/>
          <w:lang w:val="fr-CA"/>
        </w:rPr>
        <w:t>an</w:t>
      </w:r>
      <w:r w:rsidRPr="00E41FC1">
        <w:rPr>
          <w:rFonts w:cs="Times New Roman"/>
          <w:noProof/>
          <w:lang w:val="fr-CA"/>
        </w:rPr>
        <w:t xml:space="preserve">LII 38808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ministère a demandé le réexamen de l’ordonnance de la Commissaire au motif qu’il n’avait pu présenter d’observations complètes lors de l’instance initiale.  L’arbitre Smith a refusé.  Elle n’a relevé aucun vice fondamental dans la procédure d’arbitrage.  De plus, même si elle avait réexaminé sa décision au vu des éléments de preuve supplémentaires présentés par le ministère quant à la transmission de l’information contenue dans les documents, elle estime qu’elle serait arrivée à la même conclusion.  Le ministère n’a pas demandé le contrôle judiciaire de cette ordonnance.</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Cour supérieure de justice de l’Ontario, 2011 ONSC 2030 (CanLII)</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Dans de brefs motifs, la Cour divisionnaire rejette la demande de contrôle judiciaire du ministère visant l’ordonnance initiale de la Commissaire.  Elle convient avec l’arbitre que l’information contenue dans le document, et non le document lui</w:t>
      </w:r>
      <w:r w:rsidR="00115CFC">
        <w:rPr>
          <w:rFonts w:cs="Times New Roman"/>
          <w:noProof/>
          <w:lang w:val="fr-CA"/>
        </w:rPr>
        <w:t>-</w:t>
      </w:r>
      <w:r w:rsidRPr="00E41FC1">
        <w:rPr>
          <w:rFonts w:cs="Times New Roman"/>
          <w:noProof/>
          <w:lang w:val="fr-CA"/>
        </w:rPr>
        <w:t xml:space="preserve">même, doit avoir été transmise à quelque moment au décideur.  Elle juge raisonnable la conclusion de l’arbitre selon laquelle le ministère n’a pas démontré que </w:t>
      </w:r>
      <w:r w:rsidRPr="00E41FC1">
        <w:rPr>
          <w:rFonts w:cs="Times New Roman"/>
          <w:noProof/>
          <w:lang w:val="fr-CA"/>
        </w:rPr>
        <w:lastRenderedPageBreak/>
        <w:t>l’information contenue dans les documents a été transmise, de sorte qu’elle n’a pas fait partie du processus délibératif (par</w:t>
      </w:r>
      <w:r w:rsidR="00115CFC">
        <w:rPr>
          <w:rFonts w:cs="Times New Roman"/>
          <w:noProof/>
          <w:lang w:val="fr-CA"/>
        </w:rPr>
        <w:t xml:space="preserve">. </w:t>
      </w:r>
      <w:r w:rsidRPr="00E41FC1">
        <w:rPr>
          <w:rFonts w:cs="Times New Roman"/>
          <w:noProof/>
          <w:lang w:val="fr-CA"/>
        </w:rPr>
        <w:t>6 et 8).  La Cour divisionnaire conclut aussi au caractère raisonnable de la conclusion de l’arbitre portant que les documents ne recommandent aucune mesure (par</w:t>
      </w:r>
      <w:r w:rsidR="00115CFC">
        <w:rPr>
          <w:rFonts w:cs="Times New Roman"/>
          <w:noProof/>
          <w:lang w:val="fr-CA"/>
        </w:rPr>
        <w:t xml:space="preserve">. </w:t>
      </w:r>
      <w:r w:rsidRPr="00E41FC1">
        <w:rPr>
          <w:rFonts w:cs="Times New Roman"/>
          <w:noProof/>
          <w:lang w:val="fr-CA"/>
        </w:rPr>
        <w:t xml:space="preserve">7). </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Cour d’appel de l’Ontario,</w:t>
      </w:r>
      <w:r w:rsidR="009E29A0">
        <w:rPr>
          <w:rFonts w:cs="Times New Roman"/>
          <w:noProof/>
          <w:lang w:val="fr-CA"/>
        </w:rPr>
        <w:t xml:space="preserve"> 2012 ONCA 125, 109 O.R. (3d) 76</w:t>
      </w:r>
      <w:r w:rsidRPr="00E41FC1">
        <w:rPr>
          <w:rFonts w:cs="Times New Roman"/>
          <w:noProof/>
          <w:lang w:val="fr-CA"/>
        </w:rPr>
        <w:t>7</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La Cour d’appel estime que l’ordonnance de la Commissaire est déraisonnable, elle accueille l’appel et elle ordonne le renvoi du dossier à la Commissaire.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Selon le juge Rosenberg, l’arbitre commet deux erreurs fondamentales dans son interprétation du par</w:t>
      </w:r>
      <w:r w:rsidR="00115CFC">
        <w:rPr>
          <w:rFonts w:cs="Times New Roman"/>
          <w:noProof/>
          <w:lang w:val="fr-CA"/>
        </w:rPr>
        <w:t xml:space="preserve">. </w:t>
      </w:r>
      <w:r w:rsidRPr="00E41FC1">
        <w:rPr>
          <w:rFonts w:cs="Times New Roman"/>
          <w:noProof/>
          <w:lang w:val="fr-CA"/>
        </w:rPr>
        <w:t>13(1) : premièrement, elle conclut que la disposition exige la preuve que l’information contenue dans les documents a effectivement été transmise au décideur ultime et, deuxièmement, que le par</w:t>
      </w:r>
      <w:r w:rsidR="00115CFC">
        <w:rPr>
          <w:rFonts w:cs="Times New Roman"/>
          <w:noProof/>
          <w:lang w:val="fr-CA"/>
        </w:rPr>
        <w:t xml:space="preserve">. </w:t>
      </w:r>
      <w:r w:rsidRPr="00E41FC1">
        <w:rPr>
          <w:rFonts w:cs="Times New Roman"/>
          <w:noProof/>
          <w:lang w:val="fr-CA"/>
        </w:rPr>
        <w:t xml:space="preserve">13(1) ne s’applique qu’à l’information qui recommande une </w:t>
      </w:r>
      <w:r w:rsidRPr="00E41FC1">
        <w:rPr>
          <w:rFonts w:cs="Times New Roman"/>
          <w:i/>
          <w:noProof/>
          <w:lang w:val="fr-CA"/>
        </w:rPr>
        <w:t xml:space="preserve">seule </w:t>
      </w:r>
      <w:r w:rsidRPr="00E41FC1">
        <w:rPr>
          <w:rFonts w:cs="Times New Roman"/>
          <w:noProof/>
          <w:lang w:val="fr-CA"/>
        </w:rPr>
        <w:t>mesure au décideur (par</w:t>
      </w:r>
      <w:r w:rsidR="00115CFC">
        <w:rPr>
          <w:rFonts w:cs="Times New Roman"/>
          <w:noProof/>
          <w:lang w:val="fr-CA"/>
        </w:rPr>
        <w:t xml:space="preserve">. </w:t>
      </w:r>
      <w:r w:rsidRPr="00E41FC1">
        <w:rPr>
          <w:rFonts w:cs="Times New Roman"/>
          <w:noProof/>
          <w:lang w:val="fr-CA"/>
        </w:rPr>
        <w:t xml:space="preserve">25).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Selon lui, le par</w:t>
      </w:r>
      <w:r w:rsidR="00115CFC">
        <w:rPr>
          <w:rFonts w:cs="Times New Roman"/>
          <w:noProof/>
          <w:lang w:val="fr-CA"/>
        </w:rPr>
        <w:t xml:space="preserve">. </w:t>
      </w:r>
      <w:r w:rsidRPr="00E41FC1">
        <w:rPr>
          <w:rFonts w:cs="Times New Roman"/>
          <w:noProof/>
          <w:lang w:val="fr-CA"/>
        </w:rPr>
        <w:t>13(1) n’exige pas du ministère qu’il établisse que le document en cause est parvenu au décideur final (par</w:t>
      </w:r>
      <w:r w:rsidR="00115CFC">
        <w:rPr>
          <w:rFonts w:cs="Times New Roman"/>
          <w:noProof/>
          <w:lang w:val="fr-CA"/>
        </w:rPr>
        <w:t xml:space="preserve">. </w:t>
      </w:r>
      <w:r w:rsidRPr="00E41FC1">
        <w:rPr>
          <w:rFonts w:cs="Times New Roman"/>
          <w:noProof/>
          <w:lang w:val="fr-CA"/>
        </w:rPr>
        <w:t>26).  Les conseils ou les recommandations contenus dans l’ébauche d’un énoncé de politique font invariablement partie des délibérations préalables à la décision définitive et sont donc protégés au par</w:t>
      </w:r>
      <w:r w:rsidR="00115CFC">
        <w:rPr>
          <w:rFonts w:cs="Times New Roman"/>
          <w:noProof/>
          <w:lang w:val="fr-CA"/>
        </w:rPr>
        <w:t xml:space="preserve">. </w:t>
      </w:r>
      <w:r w:rsidRPr="00E41FC1">
        <w:rPr>
          <w:rFonts w:cs="Times New Roman"/>
          <w:noProof/>
          <w:lang w:val="fr-CA"/>
        </w:rPr>
        <w:t>13(1) (par</w:t>
      </w:r>
      <w:r w:rsidR="00115CFC">
        <w:rPr>
          <w:rFonts w:cs="Times New Roman"/>
          <w:noProof/>
          <w:lang w:val="fr-CA"/>
        </w:rPr>
        <w:t xml:space="preserve">. </w:t>
      </w:r>
      <w:r w:rsidRPr="00E41FC1">
        <w:rPr>
          <w:rFonts w:cs="Times New Roman"/>
          <w:noProof/>
          <w:lang w:val="fr-CA"/>
        </w:rPr>
        <w:t xml:space="preserve">27).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lastRenderedPageBreak/>
        <w:t>Qui plus est, limiter l’application du par</w:t>
      </w:r>
      <w:r w:rsidR="00115CFC">
        <w:rPr>
          <w:rFonts w:cs="Times New Roman"/>
          <w:noProof/>
          <w:lang w:val="fr-CA"/>
        </w:rPr>
        <w:t xml:space="preserve">. </w:t>
      </w:r>
      <w:r w:rsidRPr="00E41FC1">
        <w:rPr>
          <w:rFonts w:cs="Times New Roman"/>
          <w:noProof/>
          <w:lang w:val="fr-CA"/>
        </w:rPr>
        <w:t xml:space="preserve">13(1) aux situations où l’adoption d’une seule mesure est considérée serait déraisonnable et </w:t>
      </w:r>
      <w:r w:rsidRPr="00E41FC1">
        <w:rPr>
          <w:rFonts w:cs="Times New Roman"/>
          <w:smallCaps/>
          <w:noProof/>
          <w:lang w:val="fr-CA"/>
        </w:rPr>
        <w:t>[traduction]</w:t>
      </w:r>
      <w:r w:rsidRPr="00E41FC1">
        <w:rPr>
          <w:rFonts w:cs="Times New Roman"/>
          <w:noProof/>
          <w:lang w:val="fr-CA"/>
        </w:rPr>
        <w:t xml:space="preserve"> « </w:t>
      </w:r>
      <w:r w:rsidR="00C73DF6">
        <w:rPr>
          <w:rFonts w:cs="Times New Roman"/>
          <w:noProof/>
          <w:lang w:val="fr-CA"/>
        </w:rPr>
        <w:t>dépouillerait presque entièrement</w:t>
      </w:r>
      <w:r w:rsidRPr="00E41FC1">
        <w:rPr>
          <w:rFonts w:cs="Times New Roman"/>
          <w:noProof/>
          <w:lang w:val="fr-CA"/>
        </w:rPr>
        <w:t xml:space="preserve"> le par</w:t>
      </w:r>
      <w:r w:rsidR="00115CFC">
        <w:rPr>
          <w:rFonts w:cs="Times New Roman"/>
          <w:noProof/>
          <w:lang w:val="fr-CA"/>
        </w:rPr>
        <w:t xml:space="preserve">. </w:t>
      </w:r>
      <w:r w:rsidRPr="00E41FC1">
        <w:rPr>
          <w:rFonts w:cs="Times New Roman"/>
          <w:noProof/>
          <w:lang w:val="fr-CA"/>
        </w:rPr>
        <w:t>13(1) de tout</w:t>
      </w:r>
      <w:r w:rsidR="00C73DF6">
        <w:rPr>
          <w:rFonts w:cs="Times New Roman"/>
          <w:noProof/>
          <w:lang w:val="fr-CA"/>
        </w:rPr>
        <w:t>e</w:t>
      </w:r>
      <w:r w:rsidRPr="00E41FC1">
        <w:rPr>
          <w:rFonts w:cs="Times New Roman"/>
          <w:noProof/>
          <w:lang w:val="fr-CA"/>
        </w:rPr>
        <w:t xml:space="preserve"> </w:t>
      </w:r>
      <w:r w:rsidR="00C73DF6">
        <w:rPr>
          <w:rFonts w:cs="Times New Roman"/>
          <w:noProof/>
          <w:lang w:val="fr-CA"/>
        </w:rPr>
        <w:t>signification réelle</w:t>
      </w:r>
      <w:r w:rsidRPr="00E41FC1">
        <w:rPr>
          <w:rFonts w:cs="Times New Roman"/>
          <w:noProof/>
          <w:lang w:val="fr-CA"/>
        </w:rPr>
        <w:t> » (par</w:t>
      </w:r>
      <w:r w:rsidR="00115CFC">
        <w:rPr>
          <w:rFonts w:cs="Times New Roman"/>
          <w:noProof/>
          <w:lang w:val="fr-CA"/>
        </w:rPr>
        <w:t xml:space="preserve">. </w:t>
      </w:r>
      <w:r w:rsidRPr="00E41FC1">
        <w:rPr>
          <w:rFonts w:cs="Times New Roman"/>
          <w:noProof/>
          <w:lang w:val="fr-CA"/>
        </w:rPr>
        <w:t>29).  La disposition s’applique donc aux conseils qui portent sur différentes options, même si aucune en particulier n’est préconisée.  Tels sont les motifs pour lesquels l’appel est accueilli.</w:t>
      </w:r>
    </w:p>
    <w:p w:rsidR="008728AB" w:rsidRPr="00E41FC1" w:rsidRDefault="008728AB" w:rsidP="00115CFC">
      <w:pPr>
        <w:pStyle w:val="Title1LevelTitre1Niveau-AltL"/>
        <w:keepNext w:val="0"/>
        <w:rPr>
          <w:rFonts w:cs="Times New Roman"/>
          <w:noProof/>
          <w:lang w:val="fr-CA"/>
        </w:rPr>
      </w:pPr>
      <w:r w:rsidRPr="00E41FC1">
        <w:rPr>
          <w:rFonts w:cs="Times New Roman"/>
          <w:noProof/>
          <w:lang w:val="fr-CA"/>
        </w:rPr>
        <w:t>Questions en litige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pourvoi soulève deux questions :</w:t>
      </w:r>
    </w:p>
    <w:p w:rsidR="008728AB" w:rsidRPr="00E41FC1" w:rsidRDefault="008728AB" w:rsidP="009E472E">
      <w:pPr>
        <w:pStyle w:val="Citation-AltC"/>
        <w:spacing w:after="240" w:line="480" w:lineRule="auto"/>
        <w:ind w:left="630" w:hanging="630"/>
        <w:contextualSpacing w:val="0"/>
        <w:rPr>
          <w:noProof/>
          <w:lang w:val="fr-CA"/>
        </w:rPr>
      </w:pPr>
      <w:r w:rsidRPr="00E41FC1">
        <w:rPr>
          <w:noProof/>
          <w:lang w:val="fr-CA"/>
        </w:rPr>
        <w:t>1.</w:t>
      </w:r>
      <w:r w:rsidRPr="00E41FC1">
        <w:rPr>
          <w:noProof/>
          <w:lang w:val="fr-CA"/>
        </w:rPr>
        <w:tab/>
        <w:t>L’interprétation par la Commissaire des termes « conseils » et « recommandations » employés au par</w:t>
      </w:r>
      <w:r w:rsidR="00115CFC">
        <w:rPr>
          <w:noProof/>
          <w:lang w:val="fr-CA"/>
        </w:rPr>
        <w:t xml:space="preserve">. </w:t>
      </w:r>
      <w:r w:rsidRPr="00E41FC1">
        <w:rPr>
          <w:noProof/>
          <w:lang w:val="fr-CA"/>
        </w:rPr>
        <w:t>13(1) est</w:t>
      </w:r>
      <w:r w:rsidR="00115CFC">
        <w:rPr>
          <w:noProof/>
          <w:lang w:val="fr-CA"/>
        </w:rPr>
        <w:t>-</w:t>
      </w:r>
      <w:r w:rsidRPr="00E41FC1">
        <w:rPr>
          <w:noProof/>
          <w:lang w:val="fr-CA"/>
        </w:rPr>
        <w:t>elle raisonnable?</w:t>
      </w:r>
    </w:p>
    <w:p w:rsidR="008728AB" w:rsidRPr="00E41FC1" w:rsidRDefault="008728AB" w:rsidP="009E472E">
      <w:pPr>
        <w:pStyle w:val="Citation-AltC"/>
        <w:spacing w:after="240" w:line="480" w:lineRule="auto"/>
        <w:ind w:left="630" w:hanging="630"/>
        <w:contextualSpacing w:val="0"/>
        <w:rPr>
          <w:noProof/>
          <w:lang w:val="fr-CA"/>
        </w:rPr>
      </w:pPr>
      <w:r w:rsidRPr="00E41FC1">
        <w:rPr>
          <w:noProof/>
          <w:lang w:val="fr-CA"/>
        </w:rPr>
        <w:t>2.</w:t>
      </w:r>
      <w:r w:rsidRPr="00E41FC1">
        <w:rPr>
          <w:noProof/>
          <w:lang w:val="fr-CA"/>
        </w:rPr>
        <w:tab/>
        <w:t>La Commissaire pouvait</w:t>
      </w:r>
      <w:r w:rsidR="00115CFC">
        <w:rPr>
          <w:noProof/>
          <w:lang w:val="fr-CA"/>
        </w:rPr>
        <w:t>-</w:t>
      </w:r>
      <w:r w:rsidRPr="00E41FC1">
        <w:rPr>
          <w:noProof/>
          <w:lang w:val="fr-CA"/>
        </w:rPr>
        <w:t>elle raisonnablement conclure que les documents devaient avoir été transmis pour faire l’objet de l’exception prévue au par</w:t>
      </w:r>
      <w:r w:rsidR="00115CFC">
        <w:rPr>
          <w:noProof/>
          <w:lang w:val="fr-CA"/>
        </w:rPr>
        <w:t xml:space="preserve">. </w:t>
      </w:r>
      <w:r w:rsidRPr="00E41FC1">
        <w:rPr>
          <w:noProof/>
          <w:lang w:val="fr-CA"/>
        </w:rPr>
        <w:t>13(1)?</w:t>
      </w:r>
    </w:p>
    <w:p w:rsidR="008728AB" w:rsidRPr="00E41FC1" w:rsidRDefault="008728AB" w:rsidP="00115CFC">
      <w:pPr>
        <w:pStyle w:val="Title1LevelTitre1Niveau-AltL"/>
        <w:keepNext w:val="0"/>
        <w:rPr>
          <w:rFonts w:cs="Times New Roman"/>
          <w:noProof/>
          <w:lang w:val="fr-CA"/>
        </w:rPr>
      </w:pPr>
      <w:r w:rsidRPr="00E41FC1">
        <w:rPr>
          <w:rFonts w:cs="Times New Roman"/>
          <w:noProof/>
          <w:lang w:val="fr-CA"/>
        </w:rPr>
        <w:t>Analyse</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Norme de contrôle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parties conviennent — et la jurisprudence confirme — que la norme de contrôle applicable est celle de la raisonnabilité.  La Commissaire a droit à la déférence lorsqu’elle interprète et applique sa loi constitutive (</w:t>
      </w:r>
      <w:r w:rsidRPr="00E41FC1">
        <w:rPr>
          <w:rFonts w:cs="Times New Roman"/>
          <w:i/>
          <w:noProof/>
          <w:lang w:val="fr-CA"/>
        </w:rPr>
        <w:t>Dunsmuir</w:t>
      </w:r>
      <w:r w:rsidRPr="00E41FC1">
        <w:rPr>
          <w:rFonts w:cs="Times New Roman"/>
          <w:noProof/>
          <w:lang w:val="fr-CA"/>
        </w:rPr>
        <w:t xml:space="preserve"> </w:t>
      </w:r>
      <w:r w:rsidRPr="00E41FC1">
        <w:rPr>
          <w:rFonts w:cs="Times New Roman"/>
          <w:i/>
          <w:noProof/>
          <w:lang w:val="fr-CA"/>
        </w:rPr>
        <w:t>c. Nouveau</w:t>
      </w:r>
      <w:r w:rsidR="00115CFC">
        <w:rPr>
          <w:rFonts w:cs="Times New Roman"/>
          <w:i/>
          <w:noProof/>
          <w:lang w:val="fr-CA"/>
        </w:rPr>
        <w:t>-</w:t>
      </w:r>
      <w:r w:rsidRPr="00E41FC1">
        <w:rPr>
          <w:rFonts w:cs="Times New Roman"/>
          <w:i/>
          <w:noProof/>
          <w:lang w:val="fr-CA"/>
        </w:rPr>
        <w:lastRenderedPageBreak/>
        <w:t>Brunswick</w:t>
      </w:r>
      <w:r w:rsidRPr="00E41FC1">
        <w:rPr>
          <w:rFonts w:cs="Times New Roman"/>
          <w:noProof/>
          <w:lang w:val="fr-CA"/>
        </w:rPr>
        <w:t xml:space="preserve">, 2008 CSC 9, [2008] 1 R.C.S. 190; voir également </w:t>
      </w:r>
      <w:r w:rsidRPr="00E41FC1">
        <w:rPr>
          <w:rFonts w:cs="Times New Roman"/>
          <w:i/>
          <w:noProof/>
          <w:lang w:val="fr-CA"/>
        </w:rPr>
        <w:t>Alberta (Information and Privacy Commissioner) c. Alberta Teachers’ Association</w:t>
      </w:r>
      <w:r w:rsidRPr="00E41FC1">
        <w:rPr>
          <w:rFonts w:cs="Times New Roman"/>
          <w:noProof/>
          <w:lang w:val="fr-CA"/>
        </w:rPr>
        <w:t>, 2011 CSC 61, [2011] 3 R.C.S. 654, par</w:t>
      </w:r>
      <w:r w:rsidR="00115CFC">
        <w:rPr>
          <w:rFonts w:cs="Times New Roman"/>
          <w:noProof/>
          <w:lang w:val="fr-CA"/>
        </w:rPr>
        <w:t xml:space="preserve">. </w:t>
      </w:r>
      <w:r w:rsidRPr="00E41FC1">
        <w:rPr>
          <w:rFonts w:cs="Times New Roman"/>
          <w:noProof/>
          <w:lang w:val="fr-CA"/>
        </w:rPr>
        <w:t xml:space="preserve">30 et 39; </w:t>
      </w:r>
      <w:r w:rsidRPr="00E41FC1">
        <w:rPr>
          <w:rFonts w:cs="Times New Roman"/>
          <w:i/>
          <w:noProof/>
          <w:lang w:val="fr-CA"/>
        </w:rPr>
        <w:t>Newfoundland and Labrador Nurses’ Union c. Terre</w:t>
      </w:r>
      <w:r w:rsidR="00115CFC">
        <w:rPr>
          <w:rFonts w:cs="Times New Roman"/>
          <w:i/>
          <w:noProof/>
          <w:lang w:val="fr-CA"/>
        </w:rPr>
        <w:t>-</w:t>
      </w:r>
      <w:r w:rsidRPr="00E41FC1">
        <w:rPr>
          <w:rFonts w:cs="Times New Roman"/>
          <w:i/>
          <w:noProof/>
          <w:lang w:val="fr-CA"/>
        </w:rPr>
        <w:t>Neuve</w:t>
      </w:r>
      <w:r w:rsidR="00115CFC">
        <w:rPr>
          <w:rFonts w:cs="Times New Roman"/>
          <w:i/>
          <w:noProof/>
          <w:lang w:val="fr-CA"/>
        </w:rPr>
        <w:t>-</w:t>
      </w:r>
      <w:r w:rsidRPr="00E41FC1">
        <w:rPr>
          <w:rFonts w:cs="Times New Roman"/>
          <w:i/>
          <w:noProof/>
          <w:lang w:val="fr-CA"/>
        </w:rPr>
        <w:t>et</w:t>
      </w:r>
      <w:r w:rsidR="00115CFC">
        <w:rPr>
          <w:rFonts w:cs="Times New Roman"/>
          <w:i/>
          <w:noProof/>
          <w:lang w:val="fr-CA"/>
        </w:rPr>
        <w:t>-</w:t>
      </w:r>
      <w:r w:rsidRPr="00E41FC1">
        <w:rPr>
          <w:rFonts w:cs="Times New Roman"/>
          <w:i/>
          <w:noProof/>
          <w:lang w:val="fr-CA"/>
        </w:rPr>
        <w:t>Labrador (Conseil du Trésor)</w:t>
      </w:r>
      <w:r w:rsidRPr="00E41FC1">
        <w:rPr>
          <w:rFonts w:cs="Times New Roman"/>
          <w:noProof/>
          <w:lang w:val="fr-CA"/>
        </w:rPr>
        <w:t>, 2011 CSC 62, [2011] 3 R.C.S. 708, par</w:t>
      </w:r>
      <w:r w:rsidR="00115CFC">
        <w:rPr>
          <w:rFonts w:cs="Times New Roman"/>
          <w:noProof/>
          <w:lang w:val="fr-CA"/>
        </w:rPr>
        <w:t xml:space="preserve">. </w:t>
      </w:r>
      <w:r w:rsidRPr="00E41FC1">
        <w:rPr>
          <w:rFonts w:cs="Times New Roman"/>
          <w:noProof/>
          <w:lang w:val="fr-CA"/>
        </w:rPr>
        <w:t xml:space="preserve">13; </w:t>
      </w:r>
      <w:r w:rsidRPr="00E41FC1">
        <w:rPr>
          <w:rFonts w:cs="Times New Roman"/>
          <w:i/>
          <w:noProof/>
          <w:lang w:val="fr-CA"/>
        </w:rPr>
        <w:t>Canada (Commission canadienne des droits de la personne) c. Canada (Procureur général)</w:t>
      </w:r>
      <w:r w:rsidRPr="00E41FC1">
        <w:rPr>
          <w:rFonts w:cs="Times New Roman"/>
          <w:noProof/>
          <w:lang w:val="fr-CA"/>
        </w:rPr>
        <w:t>, 2011 CSC 53, [2011] 3 R.C.S. 471, par</w:t>
      </w:r>
      <w:r w:rsidR="00115CFC">
        <w:rPr>
          <w:rFonts w:cs="Times New Roman"/>
          <w:noProof/>
          <w:lang w:val="fr-CA"/>
        </w:rPr>
        <w:t xml:space="preserve">. </w:t>
      </w:r>
      <w:r w:rsidRPr="00E41FC1">
        <w:rPr>
          <w:rFonts w:cs="Times New Roman"/>
          <w:noProof/>
          <w:lang w:val="fr-CA"/>
        </w:rPr>
        <w:t xml:space="preserve">24). </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Interprétation du par</w:t>
      </w:r>
      <w:r w:rsidR="00C73DF6">
        <w:rPr>
          <w:rFonts w:cs="Times New Roman"/>
          <w:noProof/>
          <w:lang w:val="fr-CA"/>
        </w:rPr>
        <w:t>.</w:t>
      </w:r>
      <w:r w:rsidR="00652BBE">
        <w:rPr>
          <w:rFonts w:cs="Times New Roman"/>
          <w:noProof/>
          <w:lang w:val="fr-CA"/>
        </w:rPr>
        <w:t xml:space="preserve"> </w:t>
      </w:r>
      <w:r w:rsidRPr="00E41FC1">
        <w:rPr>
          <w:rFonts w:cs="Times New Roman"/>
          <w:noProof/>
          <w:lang w:val="fr-CA"/>
        </w:rPr>
        <w:t>13(1) — Conseils et recommandations</w:t>
      </w:r>
    </w:p>
    <w:p w:rsidR="008728AB" w:rsidRPr="00E41FC1" w:rsidRDefault="008728AB" w:rsidP="00115CFC">
      <w:pPr>
        <w:pStyle w:val="ParaNoNdepar-AltN"/>
        <w:tabs>
          <w:tab w:val="clear" w:pos="1602"/>
        </w:tabs>
        <w:ind w:left="0"/>
        <w:rPr>
          <w:rFonts w:cs="Times New Roman"/>
          <w:b/>
          <w:noProof/>
          <w:lang w:val="fr-CA"/>
        </w:rPr>
      </w:pPr>
      <w:r w:rsidRPr="00E41FC1">
        <w:rPr>
          <w:rFonts w:cs="Times New Roman"/>
          <w:noProof/>
          <w:lang w:val="fr-CA"/>
        </w:rPr>
        <w:t>Selon la méthode moderne d’interprétation des lois, il faut considérer les termes employés au par</w:t>
      </w:r>
      <w:r w:rsidR="00115CFC">
        <w:rPr>
          <w:rFonts w:cs="Times New Roman"/>
          <w:noProof/>
          <w:lang w:val="fr-CA"/>
        </w:rPr>
        <w:t xml:space="preserve">. </w:t>
      </w:r>
      <w:r w:rsidRPr="00E41FC1">
        <w:rPr>
          <w:rFonts w:cs="Times New Roman"/>
          <w:noProof/>
          <w:lang w:val="fr-CA"/>
        </w:rPr>
        <w:t>13(1) dans leur contexte global en suivant le sens ordinaire et grammatical qui s’harmonise avec l’économie de la loi, l’objet de la loi et l’intention du législateur (R</w:t>
      </w:r>
      <w:r w:rsidR="00115CFC">
        <w:rPr>
          <w:rFonts w:cs="Times New Roman"/>
          <w:noProof/>
          <w:lang w:val="fr-CA"/>
        </w:rPr>
        <w:t xml:space="preserve">. </w:t>
      </w:r>
      <w:r w:rsidRPr="00E41FC1">
        <w:rPr>
          <w:rFonts w:cs="Times New Roman"/>
          <w:noProof/>
          <w:lang w:val="fr-CA"/>
        </w:rPr>
        <w:t xml:space="preserve">Sullivan, </w:t>
      </w:r>
      <w:r w:rsidRPr="00E41FC1">
        <w:rPr>
          <w:rFonts w:cs="Times New Roman"/>
          <w:i/>
          <w:noProof/>
          <w:lang w:val="fr-CA"/>
        </w:rPr>
        <w:t>Sullivan on the Construction of Statutes</w:t>
      </w:r>
      <w:r w:rsidRPr="00E41FC1">
        <w:rPr>
          <w:rFonts w:cs="Times New Roman"/>
          <w:noProof/>
          <w:lang w:val="fr-CA"/>
        </w:rPr>
        <w:t xml:space="preserve"> (5</w:t>
      </w:r>
      <w:r w:rsidRPr="00E41FC1">
        <w:rPr>
          <w:rFonts w:cs="Times New Roman"/>
          <w:noProof/>
          <w:vertAlign w:val="superscript"/>
          <w:lang w:val="fr-CA"/>
        </w:rPr>
        <w:t>e</w:t>
      </w:r>
      <w:r w:rsidRPr="00E41FC1">
        <w:rPr>
          <w:rFonts w:cs="Times New Roman"/>
          <w:noProof/>
          <w:lang w:val="fr-CA"/>
        </w:rPr>
        <w:t> éd. 2008), p</w:t>
      </w:r>
      <w:r w:rsidR="00115CFC">
        <w:rPr>
          <w:rFonts w:cs="Times New Roman"/>
          <w:noProof/>
          <w:lang w:val="fr-CA"/>
        </w:rPr>
        <w:t xml:space="preserve">. </w:t>
      </w:r>
      <w:r w:rsidRPr="00E41FC1">
        <w:rPr>
          <w:rFonts w:cs="Times New Roman"/>
          <w:noProof/>
          <w:lang w:val="fr-CA"/>
        </w:rPr>
        <w:t xml:space="preserve">1; </w:t>
      </w:r>
      <w:r w:rsidRPr="00E41FC1">
        <w:rPr>
          <w:rFonts w:cs="Times New Roman"/>
          <w:i/>
          <w:noProof/>
          <w:lang w:val="fr-CA"/>
        </w:rPr>
        <w:t>Rizzo &amp; Rizzo Shoes Ltd. (Re)</w:t>
      </w:r>
      <w:r w:rsidRPr="00E41FC1">
        <w:rPr>
          <w:rFonts w:cs="Times New Roman"/>
          <w:noProof/>
          <w:lang w:val="fr-CA"/>
        </w:rPr>
        <w:t>, [1998] 1 R.C.S. 27, par</w:t>
      </w:r>
      <w:r w:rsidR="00115CFC">
        <w:rPr>
          <w:rFonts w:cs="Times New Roman"/>
          <w:noProof/>
          <w:lang w:val="fr-CA"/>
        </w:rPr>
        <w:t xml:space="preserve">. </w:t>
      </w:r>
      <w:r w:rsidRPr="00E41FC1">
        <w:rPr>
          <w:rFonts w:cs="Times New Roman"/>
          <w:noProof/>
          <w:lang w:val="fr-CA"/>
        </w:rPr>
        <w:t xml:space="preserve">21).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documents en cause correspondent aux ébauches d’un choix de politiques en vue d’une décision quant au moment de l’entrée en vigueur de modifications apportées à une loi ontarienne afin d’éliminer une échappatoire dont se prévalaient les sociétés établies dans des paradis fiscaux, à savoir dans quelle mesure ces modifications devaient avoir un effet rétroactif.  La question est celle de savoir si un tel choix constitue des conseils ou des recommandations et fait ainsi l’objet de l’exception à la communication prévue au par</w:t>
      </w:r>
      <w:r w:rsidR="00115CFC">
        <w:rPr>
          <w:rFonts w:cs="Times New Roman"/>
          <w:noProof/>
          <w:lang w:val="fr-CA"/>
        </w:rPr>
        <w:t xml:space="preserve">. </w:t>
      </w:r>
      <w:r w:rsidRPr="00E41FC1">
        <w:rPr>
          <w:rFonts w:cs="Times New Roman"/>
          <w:noProof/>
          <w:lang w:val="fr-CA"/>
        </w:rPr>
        <w:t xml:space="preserve">13(1). </w:t>
      </w:r>
    </w:p>
    <w:p w:rsidR="008728AB" w:rsidRPr="00E41FC1" w:rsidRDefault="008728AB" w:rsidP="00115CFC">
      <w:pPr>
        <w:pStyle w:val="Title3LevelTitre3Niveau"/>
        <w:keepNext w:val="0"/>
        <w:rPr>
          <w:rFonts w:cs="Times New Roman"/>
          <w:noProof/>
          <w:lang w:val="fr-CA"/>
        </w:rPr>
      </w:pPr>
      <w:r w:rsidRPr="00E41FC1">
        <w:rPr>
          <w:rFonts w:cs="Times New Roman"/>
          <w:noProof/>
          <w:lang w:val="fr-CA"/>
        </w:rPr>
        <w:t>Texte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lastRenderedPageBreak/>
        <w:t>Les termes « conseils » et « recommandations » ne sont pas définis dans la Loi.</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Dans l’arrêt </w:t>
      </w:r>
      <w:r w:rsidRPr="00E41FC1">
        <w:rPr>
          <w:rFonts w:cs="Times New Roman"/>
          <w:i/>
          <w:noProof/>
          <w:lang w:val="fr-CA"/>
        </w:rPr>
        <w:t>MOT</w:t>
      </w:r>
      <w:r w:rsidRPr="00E41FC1">
        <w:rPr>
          <w:rFonts w:cs="Times New Roman"/>
          <w:noProof/>
          <w:lang w:val="fr-CA"/>
        </w:rPr>
        <w:t xml:space="preserve">, la Cour d’appel se prononce sur la même question que celle dont notre Cour est aujourd’hui saisie.  Elle examine diverses définitions lexicographiques des termes « conseils » et « recommandations ».  Selon elle, les « conseils » peuvent être définis comme des </w:t>
      </w:r>
      <w:r w:rsidRPr="00E41FC1">
        <w:rPr>
          <w:rFonts w:cs="Times New Roman"/>
          <w:smallCaps/>
          <w:noProof/>
          <w:lang w:val="fr-CA"/>
        </w:rPr>
        <w:t>[traduction]</w:t>
      </w:r>
      <w:r w:rsidRPr="00E41FC1">
        <w:rPr>
          <w:rFonts w:cs="Times New Roman"/>
          <w:noProof/>
          <w:lang w:val="fr-CA"/>
        </w:rPr>
        <w:t xml:space="preserve"> « recommandations en vue d’une décision, ainsi que de simples renseignements » (par</w:t>
      </w:r>
      <w:r w:rsidR="00115CFC">
        <w:rPr>
          <w:rFonts w:cs="Times New Roman"/>
          <w:noProof/>
          <w:lang w:val="fr-CA"/>
        </w:rPr>
        <w:t xml:space="preserve">. </w:t>
      </w:r>
      <w:r w:rsidRPr="00E41FC1">
        <w:rPr>
          <w:rFonts w:cs="Times New Roman"/>
          <w:noProof/>
          <w:lang w:val="fr-CA"/>
        </w:rPr>
        <w:t xml:space="preserve">24).  Elle estime toutefois que voir dans les « conseils » des renseignements en général conférerait un sens si large à ce terme que l’objet de la </w:t>
      </w:r>
      <w:r w:rsidRPr="00E41FC1">
        <w:rPr>
          <w:rFonts w:cs="Times New Roman"/>
          <w:i/>
          <w:noProof/>
          <w:lang w:val="fr-CA"/>
        </w:rPr>
        <w:t>LAIPVP</w:t>
      </w:r>
      <w:r w:rsidRPr="00E41FC1">
        <w:rPr>
          <w:rFonts w:cs="Times New Roman"/>
          <w:noProof/>
          <w:lang w:val="fr-CA"/>
        </w:rPr>
        <w:t xml:space="preserve"> en serait contrecarré.  Elle reconnaît néanmoins qu’on doit pouvoir attribuer aux termes « conseils » et « recommandations » des sens différents (par</w:t>
      </w:r>
      <w:r w:rsidR="00115CFC">
        <w:rPr>
          <w:rFonts w:cs="Times New Roman"/>
          <w:noProof/>
          <w:lang w:val="fr-CA"/>
        </w:rPr>
        <w:t xml:space="preserve">. </w:t>
      </w:r>
      <w:r w:rsidRPr="00E41FC1">
        <w:rPr>
          <w:rFonts w:cs="Times New Roman"/>
          <w:noProof/>
          <w:lang w:val="fr-CA"/>
        </w:rPr>
        <w:t>29).</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La Cour d’appel conclut en outre que </w:t>
      </w:r>
      <w:r w:rsidRPr="00E41FC1">
        <w:rPr>
          <w:rFonts w:cs="Times New Roman"/>
          <w:smallCaps/>
          <w:noProof/>
          <w:lang w:val="fr-CA"/>
        </w:rPr>
        <w:t>[traduction]</w:t>
      </w:r>
      <w:r w:rsidRPr="00E41FC1">
        <w:rPr>
          <w:rFonts w:cs="Times New Roman"/>
          <w:noProof/>
          <w:lang w:val="fr-CA"/>
        </w:rPr>
        <w:t xml:space="preserve"> « le terme “conseils” </w:t>
      </w:r>
      <w:r w:rsidR="00510D76">
        <w:rPr>
          <w:rFonts w:cs="Times New Roman"/>
          <w:noProof/>
          <w:lang w:val="fr-CA"/>
        </w:rPr>
        <w:t>[.</w:t>
      </w:r>
      <w:r w:rsidR="00510D76" w:rsidRPr="00E41FC1">
        <w:rPr>
          <w:rFonts w:cs="Times New Roman"/>
          <w:noProof/>
          <w:lang w:val="fr-CA"/>
        </w:rPr>
        <w:t> </w:t>
      </w:r>
      <w:r w:rsidR="00510D76" w:rsidRPr="00652BBE">
        <w:rPr>
          <w:lang w:val="fr-CA"/>
        </w:rPr>
        <w:t>.</w:t>
      </w:r>
      <w:r w:rsidR="00510D76" w:rsidRPr="00E41FC1">
        <w:rPr>
          <w:rFonts w:cs="Times New Roman"/>
          <w:noProof/>
          <w:lang w:val="fr-CA"/>
        </w:rPr>
        <w:t> </w:t>
      </w:r>
      <w:r w:rsidR="00510D76" w:rsidRPr="00652BBE">
        <w:rPr>
          <w:lang w:val="fr-CA"/>
        </w:rPr>
        <w:t>.</w:t>
      </w:r>
      <w:r w:rsidR="00E90BC6">
        <w:rPr>
          <w:rFonts w:cs="Times New Roman"/>
          <w:noProof/>
          <w:lang w:val="fr-CA"/>
        </w:rPr>
        <w:t xml:space="preserve">] </w:t>
      </w:r>
      <w:r w:rsidRPr="00E41FC1">
        <w:rPr>
          <w:rFonts w:cs="Times New Roman"/>
          <w:noProof/>
          <w:lang w:val="fr-CA"/>
        </w:rPr>
        <w:t>peut être interprété d’une manière plus large que le terme “recommandations” » (par</w:t>
      </w:r>
      <w:r w:rsidR="00115CFC">
        <w:rPr>
          <w:rFonts w:cs="Times New Roman"/>
          <w:noProof/>
          <w:lang w:val="fr-CA"/>
        </w:rPr>
        <w:t xml:space="preserve">. </w:t>
      </w:r>
      <w:r w:rsidRPr="00E41FC1">
        <w:rPr>
          <w:rFonts w:cs="Times New Roman"/>
          <w:noProof/>
          <w:lang w:val="fr-CA"/>
        </w:rPr>
        <w:t xml:space="preserve">29).  Elle établit cependant une distinction entre eux en concluant que « les “recommandations” peuvent être assimilées à ce qui “touche à une mesure préconisée” de manière plus explicite et précise par rapport aux “conseils” », alors que le terme </w:t>
      </w:r>
      <w:r w:rsidR="00863E1F" w:rsidRPr="00E41FC1">
        <w:rPr>
          <w:rFonts w:cs="Times New Roman"/>
          <w:noProof/>
          <w:lang w:val="fr-CA"/>
        </w:rPr>
        <w:t>« </w:t>
      </w:r>
      <w:r w:rsidRPr="00E41FC1">
        <w:rPr>
          <w:rFonts w:cs="Times New Roman"/>
          <w:noProof/>
          <w:lang w:val="fr-CA"/>
        </w:rPr>
        <w:t>“conseils” </w:t>
      </w:r>
      <w:r w:rsidR="00863E1F">
        <w:rPr>
          <w:rFonts w:cs="Times New Roman"/>
          <w:noProof/>
          <w:lang w:val="fr-CA"/>
        </w:rPr>
        <w:t xml:space="preserve">[. . .] </w:t>
      </w:r>
      <w:r w:rsidRPr="00E41FC1">
        <w:rPr>
          <w:rFonts w:cs="Times New Roman"/>
          <w:noProof/>
          <w:lang w:val="fr-CA"/>
        </w:rPr>
        <w:t>comprend tout élément qui permet de tirer des inférences quant à une mesure recommandée, mais qui ne constitue pas en soi une recommandation précise » (</w:t>
      </w:r>
      <w:r w:rsidRPr="00E41FC1">
        <w:rPr>
          <w:rFonts w:cs="Times New Roman"/>
          <w:i/>
          <w:noProof/>
          <w:lang w:val="fr-CA"/>
        </w:rPr>
        <w:t>ibid.</w:t>
      </w:r>
      <w:r w:rsidRPr="00E41FC1">
        <w:rPr>
          <w:rFonts w:cs="Times New Roman"/>
          <w:noProof/>
          <w:lang w:val="fr-CA"/>
        </w:rPr>
        <w:t>).  Lors de leurs pla</w:t>
      </w:r>
      <w:r w:rsidR="00C73DF6">
        <w:rPr>
          <w:rFonts w:cs="Times New Roman"/>
          <w:noProof/>
          <w:lang w:val="fr-CA"/>
        </w:rPr>
        <w:t>idoiries devant notre Cour, la C</w:t>
      </w:r>
      <w:r w:rsidRPr="00E41FC1">
        <w:rPr>
          <w:rFonts w:cs="Times New Roman"/>
          <w:noProof/>
          <w:lang w:val="fr-CA"/>
        </w:rPr>
        <w:t xml:space="preserve">ommissaire à l’information et à la protection de la vie privée de la Colombie-Britannique et l’Association canadienne des libertés civiles ont établi une distinction </w:t>
      </w:r>
      <w:r w:rsidRPr="00E41FC1">
        <w:rPr>
          <w:rFonts w:cs="Times New Roman"/>
          <w:noProof/>
          <w:lang w:val="fr-CA"/>
        </w:rPr>
        <w:lastRenderedPageBreak/>
        <w:t>semblable, à savoir que la « recommandation » constituerait une proposition expresse, alors que le « conseil » équivaudrait simplement à une recommandation implicite (transcription, p</w:t>
      </w:r>
      <w:r w:rsidR="00115CFC">
        <w:rPr>
          <w:rFonts w:cs="Times New Roman"/>
          <w:noProof/>
          <w:lang w:val="fr-CA"/>
        </w:rPr>
        <w:t xml:space="preserve">. </w:t>
      </w:r>
      <w:r w:rsidRPr="00E41FC1">
        <w:rPr>
          <w:rFonts w:cs="Times New Roman"/>
          <w:noProof/>
          <w:lang w:val="fr-CA"/>
        </w:rPr>
        <w:t>52 et 57).</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En l’espèce, l’arbitre du bureau de la Commissaire a appliqué l’arrêt </w:t>
      </w:r>
      <w:r w:rsidRPr="00E41FC1">
        <w:rPr>
          <w:rFonts w:cs="Times New Roman"/>
          <w:i/>
          <w:noProof/>
          <w:lang w:val="fr-CA"/>
        </w:rPr>
        <w:t>MOT</w:t>
      </w:r>
      <w:r w:rsidRPr="00E41FC1">
        <w:rPr>
          <w:rFonts w:cs="Times New Roman"/>
          <w:noProof/>
          <w:lang w:val="fr-CA"/>
        </w:rPr>
        <w:t>.  Selon elle, pour constituer des « conseils » et des « recommandations » au sens du par</w:t>
      </w:r>
      <w:r w:rsidR="00115CFC">
        <w:rPr>
          <w:rFonts w:cs="Times New Roman"/>
          <w:noProof/>
          <w:lang w:val="fr-CA"/>
        </w:rPr>
        <w:t xml:space="preserve">. </w:t>
      </w:r>
      <w:r w:rsidRPr="00E41FC1">
        <w:rPr>
          <w:rFonts w:cs="Times New Roman"/>
          <w:noProof/>
          <w:lang w:val="fr-CA"/>
        </w:rPr>
        <w:t xml:space="preserve">13(1), </w:t>
      </w:r>
      <w:r w:rsidRPr="00E41FC1">
        <w:rPr>
          <w:rFonts w:cs="Times New Roman"/>
          <w:smallCaps/>
          <w:noProof/>
          <w:lang w:val="fr-CA"/>
        </w:rPr>
        <w:t>[traduction]</w:t>
      </w:r>
      <w:r w:rsidRPr="00E41FC1">
        <w:rPr>
          <w:rFonts w:cs="Times New Roman"/>
          <w:noProof/>
          <w:lang w:val="fr-CA"/>
        </w:rPr>
        <w:t xml:space="preserve"> « l’information contenue dans le document doit proposer une mesure qui sera finalement acceptée ou rejetée par la personne conseillée » (p</w:t>
      </w:r>
      <w:r w:rsidR="00115CFC">
        <w:rPr>
          <w:rFonts w:cs="Times New Roman"/>
          <w:noProof/>
          <w:lang w:val="fr-CA"/>
        </w:rPr>
        <w:t xml:space="preserve">. </w:t>
      </w:r>
      <w:r w:rsidRPr="00E41FC1">
        <w:rPr>
          <w:rFonts w:cs="Times New Roman"/>
          <w:noProof/>
          <w:lang w:val="fr-CA"/>
        </w:rPr>
        <w:t>4).  Je conviens que l’élément qui touche une mesure préconisée qui sera en fin de compte acceptée ou rejetée par la personne conseillée entre dans la catégorie des « recommandations » au sens du par</w:t>
      </w:r>
      <w:r w:rsidR="00115CFC">
        <w:rPr>
          <w:rFonts w:cs="Times New Roman"/>
          <w:noProof/>
          <w:lang w:val="fr-CA"/>
        </w:rPr>
        <w:t xml:space="preserve">. </w:t>
      </w:r>
      <w:r w:rsidRPr="00E41FC1">
        <w:rPr>
          <w:rFonts w:cs="Times New Roman"/>
          <w:noProof/>
          <w:lang w:val="fr-CA"/>
        </w:rPr>
        <w:t>13(1).</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Or, il me semble que l’approche adoptée dans l’arrêt </w:t>
      </w:r>
      <w:r w:rsidRPr="00E41FC1">
        <w:rPr>
          <w:rFonts w:cs="Times New Roman"/>
          <w:i/>
          <w:noProof/>
          <w:lang w:val="fr-CA"/>
        </w:rPr>
        <w:t>MOT</w:t>
      </w:r>
      <w:r w:rsidRPr="00E41FC1">
        <w:rPr>
          <w:rFonts w:cs="Times New Roman"/>
          <w:noProof/>
          <w:lang w:val="fr-CA"/>
        </w:rPr>
        <w:t xml:space="preserve"> et par l’arbitre ne permet pas d’attribuer des sens différents aux termes « conseils » et « recommandations ».  Une recommandation, qu’elle soit explicite ou inférée, demeure une recommandation.  Le « conseil » doit avoir un sens différent.  Je conviens avec le juge Evans que, dans l’affaire </w:t>
      </w:r>
      <w:r w:rsidRPr="00E41FC1">
        <w:rPr>
          <w:rFonts w:cs="Times New Roman"/>
          <w:i/>
          <w:noProof/>
          <w:lang w:val="fr-CA"/>
        </w:rPr>
        <w:t>3430901 Canada Inc. c. Canada (Ministre de l’Industrie)</w:t>
      </w:r>
      <w:r w:rsidRPr="00E41FC1">
        <w:rPr>
          <w:rFonts w:cs="Times New Roman"/>
          <w:noProof/>
          <w:lang w:val="fr-CA"/>
        </w:rPr>
        <w:t>, 2001 CAF 254, [2002] 1 C.F. 421 (« </w:t>
      </w:r>
      <w:r w:rsidRPr="00E41FC1">
        <w:rPr>
          <w:rFonts w:cs="Times New Roman"/>
          <w:i/>
          <w:noProof/>
          <w:lang w:val="fr-CA"/>
        </w:rPr>
        <w:t>Telezone </w:t>
      </w:r>
      <w:r w:rsidRPr="00E53645">
        <w:rPr>
          <w:rFonts w:cs="Times New Roman"/>
          <w:noProof/>
          <w:lang w:val="fr-CA"/>
        </w:rPr>
        <w:t>»</w:t>
      </w:r>
      <w:r w:rsidRPr="00E41FC1">
        <w:rPr>
          <w:rFonts w:cs="Times New Roman"/>
          <w:noProof/>
          <w:lang w:val="fr-CA"/>
        </w:rPr>
        <w:t>), par sa décision de soustraire « avis [le terme employé dans le contexte fédéral] ou recommandations » à la communication, le législateur a dû vouloir que le terme « avis » ait un sens plus général que le terme « recommandations » (par</w:t>
      </w:r>
      <w:r w:rsidR="00115CFC">
        <w:rPr>
          <w:rFonts w:cs="Times New Roman"/>
          <w:noProof/>
          <w:lang w:val="fr-CA"/>
        </w:rPr>
        <w:t xml:space="preserve">. </w:t>
      </w:r>
      <w:r w:rsidRPr="00E41FC1">
        <w:rPr>
          <w:rFonts w:cs="Times New Roman"/>
          <w:noProof/>
          <w:lang w:val="fr-CA"/>
        </w:rPr>
        <w:t xml:space="preserve">50 (soulignement supprimé)).  Sinon, il y aurait redondance.  Parce qu’elle ne permet pas </w:t>
      </w:r>
      <w:r w:rsidRPr="00E41FC1">
        <w:rPr>
          <w:rFonts w:cs="Times New Roman"/>
          <w:noProof/>
          <w:lang w:val="fr-CA"/>
        </w:rPr>
        <w:lastRenderedPageBreak/>
        <w:t>de distinguer les « conseils » des « recommandations », la décision de l’arbitre est déraisonnable.</w:t>
      </w:r>
    </w:p>
    <w:p w:rsidR="008728AB" w:rsidRPr="00E41FC1" w:rsidRDefault="008728AB" w:rsidP="00115CFC">
      <w:pPr>
        <w:pStyle w:val="Title3LevelTitre3Niveau"/>
        <w:keepNext w:val="0"/>
        <w:rPr>
          <w:rFonts w:cs="Times New Roman"/>
          <w:noProof/>
          <w:lang w:val="fr-CA"/>
        </w:rPr>
      </w:pPr>
      <w:r w:rsidRPr="00E41FC1">
        <w:rPr>
          <w:rFonts w:cs="Times New Roman"/>
          <w:noProof/>
          <w:lang w:val="fr-CA"/>
        </w:rPr>
        <w:t>Contexte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La question demeure : le terme « conseils » figurant au par</w:t>
      </w:r>
      <w:r w:rsidR="00115CFC">
        <w:rPr>
          <w:rFonts w:cs="Times New Roman"/>
          <w:noProof/>
          <w:lang w:val="fr-CA"/>
        </w:rPr>
        <w:t xml:space="preserve">. </w:t>
      </w:r>
      <w:r w:rsidRPr="00E41FC1">
        <w:rPr>
          <w:rFonts w:cs="Times New Roman"/>
          <w:noProof/>
          <w:lang w:val="fr-CA"/>
        </w:rPr>
        <w:t>13(1) doit</w:t>
      </w:r>
      <w:r w:rsidR="00115CFC">
        <w:rPr>
          <w:rFonts w:cs="Times New Roman"/>
          <w:noProof/>
          <w:lang w:val="fr-CA"/>
        </w:rPr>
        <w:t>-</w:t>
      </w:r>
      <w:r w:rsidRPr="00E41FC1">
        <w:rPr>
          <w:rFonts w:cs="Times New Roman"/>
          <w:noProof/>
          <w:lang w:val="fr-CA"/>
        </w:rPr>
        <w:t>il être interprété de manière à inclure ou à exclure un document qui relate un choix de politiques établi par un fonctionnaire, une personne employée par une institution ou un expert</w:t>
      </w:r>
      <w:r w:rsidR="00115CFC">
        <w:rPr>
          <w:rFonts w:cs="Times New Roman"/>
          <w:noProof/>
          <w:lang w:val="fr-CA"/>
        </w:rPr>
        <w:t>-</w:t>
      </w:r>
      <w:r w:rsidRPr="00E41FC1">
        <w:rPr>
          <w:rFonts w:cs="Times New Roman"/>
          <w:noProof/>
          <w:lang w:val="fr-CA"/>
        </w:rPr>
        <w:t>conseil dont une institution retient les services?  Pour trancher, il faut définir le terme « choix de politiques » avant d’examiner le contexte du par</w:t>
      </w:r>
      <w:r w:rsidR="00115CFC">
        <w:rPr>
          <w:rFonts w:cs="Times New Roman"/>
          <w:noProof/>
          <w:lang w:val="fr-CA"/>
        </w:rPr>
        <w:t xml:space="preserve">. </w:t>
      </w:r>
      <w:r w:rsidRPr="00E41FC1">
        <w:rPr>
          <w:rFonts w:cs="Times New Roman"/>
          <w:noProof/>
          <w:lang w:val="fr-CA"/>
        </w:rPr>
        <w:t xml:space="preserve">13(1) et de la </w:t>
      </w:r>
      <w:r w:rsidRPr="00E41FC1">
        <w:rPr>
          <w:rFonts w:cs="Times New Roman"/>
          <w:i/>
          <w:noProof/>
          <w:lang w:val="fr-CA"/>
        </w:rPr>
        <w:t>LAIPVP</w:t>
      </w:r>
      <w:r w:rsidRPr="00E41FC1">
        <w:rPr>
          <w:rFonts w:cs="Times New Roman"/>
          <w:noProof/>
          <w:lang w:val="fr-CA"/>
        </w:rPr>
        <w:t>, ainsi que leur historique législatif et leur objet.</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Un choix de politiques consiste dans l’énumération des différentes mesures susceptibles d’être acceptées ou rejetées aux fins d’une décision.  Il s’agit, par exemple, pour le fonctionnaire, de recenser et d’examiner les décisions possibles.  En d’autres termes, c’est de l’analyse critique, et non de l’information objective.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Le document qui relate un choix de politiques peut revêtir plusieurs formes.  Il peut offrir un choix complet de politiques aux fins d’une décision donnée, y compris toutes les avenues concevables, ou faire état seulement des solutions que le fonctionnaire juge les plus valables.  Il peut également présenter les avantages et les inconvénients de chacune des politiques, comme c’est le cas des documents visés en l’espèce.  Un exposé moins exhaustif peut néanmoins constituer un choix de politiques.  Par exemple, un fonctionnaire peut dresser la liste de toutes les solutions </w:t>
      </w:r>
      <w:r w:rsidRPr="00E41FC1">
        <w:rPr>
          <w:rFonts w:cs="Times New Roman"/>
          <w:noProof/>
          <w:lang w:val="fr-CA"/>
        </w:rPr>
        <w:lastRenderedPageBreak/>
        <w:t xml:space="preserve">possibles, puis attendre que le décideur lui indique quelles solutions justifient un examen approfondi.  Ou encore, lorsque les avantages et les inconvénients d’un choix de politiques sont tenus pour évidents ou ont déjà été débattus de vive voix ou examinés dans une version antérieure, le choix de politiques peut se passer d’explications supplémentaires.  Dans la mesure où l’énumération fait état de différentes mesures possibles aux fins d’une décision, il s’agit d’un choix de politiques.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Dans l’arrêt </w:t>
      </w:r>
      <w:r w:rsidRPr="00E41FC1">
        <w:rPr>
          <w:rFonts w:cs="Times New Roman"/>
          <w:i/>
          <w:noProof/>
          <w:lang w:val="fr-CA"/>
        </w:rPr>
        <w:t>Telezone</w:t>
      </w:r>
      <w:r w:rsidRPr="00E41FC1">
        <w:rPr>
          <w:rFonts w:cs="Times New Roman"/>
          <w:noProof/>
          <w:lang w:val="fr-CA"/>
        </w:rPr>
        <w:t>, le juge Evans conclut que la fo</w:t>
      </w:r>
      <w:r w:rsidR="006421A8">
        <w:rPr>
          <w:rFonts w:cs="Times New Roman"/>
          <w:noProof/>
          <w:lang w:val="fr-CA"/>
        </w:rPr>
        <w:t>r</w:t>
      </w:r>
      <w:r w:rsidRPr="00E41FC1">
        <w:rPr>
          <w:rFonts w:cs="Times New Roman"/>
          <w:noProof/>
          <w:lang w:val="fr-CA"/>
        </w:rPr>
        <w:t xml:space="preserve">mulation d’options de politiques constitue un avis [le terme employé dans le contexte fédéral] au sens de la disposition analogue de la </w:t>
      </w:r>
      <w:r w:rsidRPr="00E41FC1">
        <w:rPr>
          <w:rFonts w:cs="Times New Roman"/>
          <w:i/>
          <w:noProof/>
          <w:lang w:val="fr-CA"/>
        </w:rPr>
        <w:t>Loi sur l’accès à l’information</w:t>
      </w:r>
      <w:r w:rsidRPr="00E41FC1">
        <w:rPr>
          <w:rFonts w:cs="Times New Roman"/>
          <w:noProof/>
          <w:lang w:val="fr-CA"/>
        </w:rPr>
        <w:t>, L.R.C. 1985, ch</w:t>
      </w:r>
      <w:r w:rsidR="00115CFC">
        <w:rPr>
          <w:rFonts w:cs="Times New Roman"/>
          <w:noProof/>
          <w:lang w:val="fr-CA"/>
        </w:rPr>
        <w:t xml:space="preserve">. </w:t>
      </w:r>
      <w:r w:rsidRPr="00E41FC1">
        <w:rPr>
          <w:rFonts w:cs="Times New Roman"/>
          <w:noProof/>
          <w:lang w:val="fr-CA"/>
        </w:rPr>
        <w:t>A</w:t>
      </w:r>
      <w:r w:rsidR="00115CFC">
        <w:rPr>
          <w:rFonts w:cs="Times New Roman"/>
          <w:noProof/>
          <w:lang w:val="fr-CA"/>
        </w:rPr>
        <w:t>-</w:t>
      </w:r>
      <w:r w:rsidRPr="00E41FC1">
        <w:rPr>
          <w:rFonts w:cs="Times New Roman"/>
          <w:noProof/>
          <w:lang w:val="fr-CA"/>
        </w:rPr>
        <w:t>1 (par</w:t>
      </w:r>
      <w:r w:rsidR="00115CFC">
        <w:rPr>
          <w:rFonts w:cs="Times New Roman"/>
          <w:noProof/>
          <w:lang w:val="fr-CA"/>
        </w:rPr>
        <w:t xml:space="preserve">. </w:t>
      </w:r>
      <w:r w:rsidRPr="00E41FC1">
        <w:rPr>
          <w:rFonts w:cs="Times New Roman"/>
          <w:noProof/>
          <w:lang w:val="fr-CA"/>
        </w:rPr>
        <w:t>61</w:t>
      </w:r>
      <w:r w:rsidR="001F10D0">
        <w:rPr>
          <w:rFonts w:cs="Times New Roman"/>
          <w:noProof/>
          <w:lang w:val="fr-CA"/>
        </w:rPr>
        <w:t>-</w:t>
      </w:r>
      <w:r w:rsidRPr="00E41FC1">
        <w:rPr>
          <w:rFonts w:cs="Times New Roman"/>
          <w:noProof/>
          <w:lang w:val="fr-CA"/>
        </w:rPr>
        <w:t>64)</w:t>
      </w:r>
      <w:r>
        <w:rPr>
          <w:rFonts w:cs="Times New Roman"/>
          <w:noProof/>
          <w:lang w:val="fr-CA"/>
        </w:rPr>
        <w:t>.</w:t>
      </w:r>
      <w:r w:rsidRPr="00E41FC1">
        <w:rPr>
          <w:rFonts w:cs="Times New Roman"/>
          <w:noProof/>
          <w:lang w:val="fr-CA"/>
        </w:rPr>
        <w:t xml:space="preserve">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paragraphes 13(2) et (3) de la loi ontarienne offrent des pistes quant à savoir si un choix de politiques équivaut à des conseils au sens du par</w:t>
      </w:r>
      <w:r w:rsidR="00115CFC">
        <w:rPr>
          <w:rFonts w:cs="Times New Roman"/>
          <w:noProof/>
          <w:lang w:val="fr-CA"/>
        </w:rPr>
        <w:t xml:space="preserve">. </w:t>
      </w:r>
      <w:r w:rsidRPr="00E41FC1">
        <w:rPr>
          <w:rFonts w:cs="Times New Roman"/>
          <w:noProof/>
          <w:lang w:val="fr-CA"/>
        </w:rPr>
        <w:t>13(1).  (Les dispositions législatives pertinentes sont reproduites en annexe.)  La partie introductive du par</w:t>
      </w:r>
      <w:r w:rsidR="00115CFC">
        <w:rPr>
          <w:rFonts w:cs="Times New Roman"/>
          <w:noProof/>
          <w:lang w:val="fr-CA"/>
        </w:rPr>
        <w:t xml:space="preserve">. </w:t>
      </w:r>
      <w:r w:rsidRPr="00E41FC1">
        <w:rPr>
          <w:rFonts w:cs="Times New Roman"/>
          <w:noProof/>
          <w:lang w:val="fr-CA"/>
        </w:rPr>
        <w:t>13(2) dispose que, « </w:t>
      </w:r>
      <w:r w:rsidRPr="00E53645">
        <w:rPr>
          <w:rFonts w:cs="Times New Roman"/>
          <w:noProof/>
          <w:u w:val="single"/>
          <w:lang w:val="fr-CA"/>
        </w:rPr>
        <w:t>[</w:t>
      </w:r>
      <w:r w:rsidRPr="00E41FC1">
        <w:rPr>
          <w:rFonts w:cs="Times New Roman"/>
          <w:noProof/>
          <w:u w:val="single"/>
          <w:lang w:val="fr-CA"/>
        </w:rPr>
        <w:t>m]algré le paragraphe (1)</w:t>
      </w:r>
      <w:r w:rsidRPr="00E41FC1">
        <w:rPr>
          <w:rFonts w:cs="Times New Roman"/>
          <w:noProof/>
          <w:lang w:val="fr-CA"/>
        </w:rPr>
        <w:t>, la personne responsable ne doit pas refuser, en vertu de ce paragraphe, de divulguer un document qui comporte l’un des éléments suivants</w:t>
      </w:r>
      <w:r w:rsidR="006421A8">
        <w:rPr>
          <w:rFonts w:cs="Times New Roman"/>
          <w:noProof/>
          <w:lang w:val="fr-CA"/>
        </w:rPr>
        <w:t> </w:t>
      </w:r>
      <w:r w:rsidRPr="00E41FC1">
        <w:rPr>
          <w:rFonts w:cs="Times New Roman"/>
          <w:noProof/>
          <w:lang w:val="fr-CA"/>
        </w:rPr>
        <w:t>», à savoir les 12 éléments d’information énumérés ensuite.  Elle indique que le législateur a envisagé que le terme « conseils » employé au par</w:t>
      </w:r>
      <w:r w:rsidR="00115CFC">
        <w:rPr>
          <w:rFonts w:cs="Times New Roman"/>
          <w:noProof/>
          <w:lang w:val="fr-CA"/>
        </w:rPr>
        <w:t xml:space="preserve">. </w:t>
      </w:r>
      <w:r w:rsidRPr="00E41FC1">
        <w:rPr>
          <w:rFonts w:cs="Times New Roman"/>
          <w:noProof/>
          <w:lang w:val="fr-CA"/>
        </w:rPr>
        <w:t>13(1) puisse avoir une portée générale, d’où le par</w:t>
      </w:r>
      <w:r w:rsidR="00115CFC">
        <w:rPr>
          <w:rFonts w:cs="Times New Roman"/>
          <w:noProof/>
          <w:lang w:val="fr-CA"/>
        </w:rPr>
        <w:t xml:space="preserve">. </w:t>
      </w:r>
      <w:r w:rsidRPr="00E41FC1">
        <w:rPr>
          <w:rFonts w:cs="Times New Roman"/>
          <w:noProof/>
          <w:lang w:val="fr-CA"/>
        </w:rPr>
        <w:t>13(2).  Je ne dis pas que ce libellé introductif prouve que le terme « conseils » employé au par</w:t>
      </w:r>
      <w:r w:rsidR="00115CFC">
        <w:rPr>
          <w:rFonts w:cs="Times New Roman"/>
          <w:noProof/>
          <w:lang w:val="fr-CA"/>
        </w:rPr>
        <w:t xml:space="preserve">. </w:t>
      </w:r>
      <w:r w:rsidRPr="00E41FC1">
        <w:rPr>
          <w:rFonts w:cs="Times New Roman"/>
          <w:noProof/>
          <w:lang w:val="fr-CA"/>
        </w:rPr>
        <w:t>13(1) s’entend de toute information non mentionnée au par</w:t>
      </w:r>
      <w:r w:rsidR="00115CFC">
        <w:rPr>
          <w:rFonts w:cs="Times New Roman"/>
          <w:noProof/>
          <w:lang w:val="fr-CA"/>
        </w:rPr>
        <w:t xml:space="preserve">. </w:t>
      </w:r>
      <w:r w:rsidRPr="00E41FC1">
        <w:rPr>
          <w:rFonts w:cs="Times New Roman"/>
          <w:noProof/>
          <w:lang w:val="fr-CA"/>
        </w:rPr>
        <w:t xml:space="preserve">13(2), mais bien qu’il indique </w:t>
      </w:r>
      <w:r w:rsidRPr="00E41FC1">
        <w:rPr>
          <w:rFonts w:cs="Times New Roman"/>
          <w:noProof/>
          <w:lang w:val="fr-CA"/>
        </w:rPr>
        <w:lastRenderedPageBreak/>
        <w:t xml:space="preserve">que le législateur était conscient du fait que le terme « conseils » pouvait être interprété largement.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L’examen de la nature des exceptions énumérées au par</w:t>
      </w:r>
      <w:r w:rsidR="00115CFC">
        <w:rPr>
          <w:rFonts w:cs="Times New Roman"/>
          <w:noProof/>
          <w:lang w:val="fr-CA"/>
        </w:rPr>
        <w:t xml:space="preserve">. </w:t>
      </w:r>
      <w:r w:rsidRPr="00E41FC1">
        <w:rPr>
          <w:rFonts w:cs="Times New Roman"/>
          <w:noProof/>
          <w:lang w:val="fr-CA"/>
        </w:rPr>
        <w:t>13(2) permet de mieux cerner l’intention du législateur quant au sens qu’il a voulu donner au terme « conseils » employé au par</w:t>
      </w:r>
      <w:r w:rsidR="00115CFC">
        <w:rPr>
          <w:rFonts w:cs="Times New Roman"/>
          <w:noProof/>
          <w:lang w:val="fr-CA"/>
        </w:rPr>
        <w:t xml:space="preserve">. </w:t>
      </w:r>
      <w:r w:rsidRPr="00E41FC1">
        <w:rPr>
          <w:rFonts w:cs="Times New Roman"/>
          <w:noProof/>
          <w:lang w:val="fr-CA"/>
        </w:rPr>
        <w:t xml:space="preserve">13(1).  On peut poser deux catégories d’exceptions : celle visant les documents qui renferment une information objective et celle visant certains types de documents susceptibles de renfermer des conseils et des recommandations.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quatre premiers alinéas du par</w:t>
      </w:r>
      <w:r w:rsidR="00115CFC">
        <w:rPr>
          <w:rFonts w:cs="Times New Roman"/>
          <w:noProof/>
          <w:lang w:val="fr-CA"/>
        </w:rPr>
        <w:t xml:space="preserve">. </w:t>
      </w:r>
      <w:r w:rsidRPr="00E41FC1">
        <w:rPr>
          <w:rFonts w:cs="Times New Roman"/>
          <w:noProof/>
          <w:lang w:val="fr-CA"/>
        </w:rPr>
        <w:t xml:space="preserve">13(2) visent le document qui comporte a) de la documentation portant sur des faits, b) un sondage statistique, c) le rapport d’un estimateur et d) un rapport sur d’éventuelles répercussions sur l’environnement.  Ce sont là des exemples de ce qui pourrait constituer des éléments d’information objective.  Dans l’arrêt </w:t>
      </w:r>
      <w:r w:rsidRPr="00E41FC1">
        <w:rPr>
          <w:rFonts w:cs="Times New Roman"/>
          <w:i/>
          <w:noProof/>
          <w:lang w:val="fr-CA"/>
        </w:rPr>
        <w:t>Telezone</w:t>
      </w:r>
      <w:r w:rsidRPr="00E41FC1">
        <w:rPr>
          <w:rFonts w:cs="Times New Roman"/>
          <w:noProof/>
          <w:lang w:val="fr-CA"/>
        </w:rPr>
        <w:t>, le juge Evans établit une distinction entre ce genre d’information objective et le point de vue d’un fonctionnaire sur la prise d’une décision, lequel entre selon lui dans la catégorie des « avis » [le terme employé dans le contexte fédéral] qui bénéficient de l’exception analogue prévue par la loi fédérale.  Il dit ce qui suit au par</w:t>
      </w:r>
      <w:r w:rsidR="00115CFC">
        <w:rPr>
          <w:rFonts w:cs="Times New Roman"/>
          <w:noProof/>
          <w:lang w:val="fr-CA"/>
        </w:rPr>
        <w:t xml:space="preserve">. </w:t>
      </w:r>
      <w:r w:rsidRPr="00E41FC1">
        <w:rPr>
          <w:rFonts w:cs="Times New Roman"/>
          <w:noProof/>
          <w:lang w:val="fr-CA"/>
        </w:rPr>
        <w:t>63 :</w:t>
      </w:r>
    </w:p>
    <w:p w:rsidR="008728AB" w:rsidRPr="00E41FC1" w:rsidRDefault="008728AB" w:rsidP="00115CFC">
      <w:pPr>
        <w:pStyle w:val="Citation-AltC"/>
        <w:ind w:hanging="1166"/>
        <w:contextualSpacing w:val="0"/>
        <w:rPr>
          <w:noProof/>
          <w:lang w:val="fr-CA"/>
        </w:rPr>
      </w:pPr>
      <w:r w:rsidRPr="00E41FC1">
        <w:rPr>
          <w:noProof/>
          <w:lang w:val="fr-CA"/>
        </w:rPr>
        <w:tab/>
      </w:r>
      <w:r w:rsidR="006421A8">
        <w:rPr>
          <w:noProof/>
          <w:lang w:val="fr-CA"/>
        </w:rPr>
        <w:tab/>
        <w:t>. . . u</w:t>
      </w:r>
      <w:r w:rsidRPr="00E41FC1">
        <w:rPr>
          <w:noProof/>
          <w:lang w:val="fr-CA"/>
        </w:rPr>
        <w:t>ne note de service à l’intention du ministre indiquant qu’une décision doit être prise sur une question, précisant les points saillants d’une demande ou présentant une gamme d’options de politique sur une question comporte implicitement le point de vue de l’auteur sur ce que devrait faire le ministre, la manière dont il devrait envisager une question ou les paramètres de la décision à prendre</w:t>
      </w:r>
      <w:r w:rsidR="006421A8">
        <w:rPr>
          <w:noProof/>
          <w:lang w:val="fr-CA"/>
        </w:rPr>
        <w:t>.</w:t>
      </w:r>
      <w:r w:rsidRPr="00E41FC1">
        <w:rPr>
          <w:noProof/>
          <w:lang w:val="fr-CA"/>
        </w:rPr>
        <w:t xml:space="preserve"> </w:t>
      </w:r>
      <w:r w:rsidR="000F5079">
        <w:rPr>
          <w:noProof/>
          <w:lang w:val="fr-CA"/>
        </w:rPr>
        <w:t>[. . .]</w:t>
      </w:r>
      <w:r w:rsidRPr="00E41FC1">
        <w:rPr>
          <w:noProof/>
          <w:lang w:val="fr-CA"/>
        </w:rPr>
        <w:t xml:space="preserve">  On ne peut pas dire </w:t>
      </w:r>
      <w:r w:rsidR="006421A8">
        <w:rPr>
          <w:noProof/>
          <w:lang w:val="fr-CA"/>
        </w:rPr>
        <w:t xml:space="preserve">[que </w:t>
      </w:r>
      <w:r w:rsidRPr="00E41FC1">
        <w:rPr>
          <w:noProof/>
          <w:lang w:val="fr-CA"/>
        </w:rPr>
        <w:lastRenderedPageBreak/>
        <w:t xml:space="preserve">ces éléments] servent simplement à informer le ministre de questions qui, par leur nature, sont largement factuelles. </w:t>
      </w:r>
    </w:p>
    <w:p w:rsidR="008728AB" w:rsidRPr="00E41FC1" w:rsidRDefault="008728AB" w:rsidP="00115CFC">
      <w:pPr>
        <w:pStyle w:val="ContinueParaSuitedupar-AltP"/>
        <w:rPr>
          <w:rFonts w:cs="Times New Roman"/>
          <w:noProof/>
          <w:lang w:val="fr-CA"/>
        </w:rPr>
      </w:pPr>
      <w:r w:rsidRPr="00E41FC1">
        <w:rPr>
          <w:rFonts w:cs="Times New Roman"/>
          <w:noProof/>
          <w:lang w:val="fr-CA"/>
        </w:rPr>
        <w:t>Le fait que le législateur a jugé bon d’énumérer quatre types d’information objective au par</w:t>
      </w:r>
      <w:r w:rsidR="00115CFC">
        <w:rPr>
          <w:rFonts w:cs="Times New Roman"/>
          <w:noProof/>
          <w:lang w:val="fr-CA"/>
        </w:rPr>
        <w:t xml:space="preserve">. </w:t>
      </w:r>
      <w:r w:rsidRPr="00E41FC1">
        <w:rPr>
          <w:rFonts w:cs="Times New Roman"/>
          <w:noProof/>
          <w:lang w:val="fr-CA"/>
        </w:rPr>
        <w:t>13(2) donne à penser qu’il était conscient de la possibilité que, sinon, le terme « conseils » puisse être interprété de façon à englober ces éléments, de sorte que la portée de ce terme devait être expressément restreinte.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autres exceptions prévues aux al</w:t>
      </w:r>
      <w:r w:rsidR="00115CFC">
        <w:rPr>
          <w:rFonts w:cs="Times New Roman"/>
          <w:noProof/>
          <w:lang w:val="fr-CA"/>
        </w:rPr>
        <w:t xml:space="preserve">. </w:t>
      </w:r>
      <w:r w:rsidRPr="00E41FC1">
        <w:rPr>
          <w:rFonts w:cs="Times New Roman"/>
          <w:noProof/>
          <w:lang w:val="fr-CA"/>
        </w:rPr>
        <w:t>13(2)</w:t>
      </w:r>
      <w:r w:rsidRPr="006421A8">
        <w:rPr>
          <w:rFonts w:cs="Times New Roman"/>
          <w:noProof/>
          <w:lang w:val="fr-CA"/>
        </w:rPr>
        <w:t>e</w:t>
      </w:r>
      <w:r w:rsidRPr="00E41FC1">
        <w:rPr>
          <w:rFonts w:cs="Times New Roman"/>
          <w:noProof/>
          <w:lang w:val="fr-CA"/>
        </w:rPr>
        <w:t xml:space="preserve">) à </w:t>
      </w:r>
      <w:r w:rsidRPr="006421A8">
        <w:rPr>
          <w:rFonts w:cs="Times New Roman"/>
          <w:noProof/>
          <w:lang w:val="fr-CA"/>
        </w:rPr>
        <w:t>l</w:t>
      </w:r>
      <w:r w:rsidRPr="00E41FC1">
        <w:rPr>
          <w:rFonts w:cs="Times New Roman"/>
          <w:noProof/>
          <w:lang w:val="fr-CA"/>
        </w:rPr>
        <w:t xml:space="preserve">) visent des rapports, des plans, des études et des décisions qui relèvent de catégories bien définies et qui doivent être communiqués même s’ils renferment des conseils ou des recommandations.  Il s’agit, par exemple, </w:t>
      </w:r>
      <w:r w:rsidRPr="006421A8">
        <w:rPr>
          <w:rFonts w:cs="Times New Roman"/>
          <w:noProof/>
          <w:lang w:val="fr-CA"/>
        </w:rPr>
        <w:t>i</w:t>
      </w:r>
      <w:r w:rsidRPr="00E41FC1">
        <w:rPr>
          <w:rFonts w:cs="Times New Roman"/>
          <w:noProof/>
          <w:lang w:val="fr-CA"/>
        </w:rPr>
        <w:t xml:space="preserve">) de plans définitifs en vue de la modification d’un programme existant ou de l’établissement d’un nouveau programme, </w:t>
      </w:r>
      <w:r w:rsidRPr="006421A8">
        <w:rPr>
          <w:rFonts w:cs="Times New Roman"/>
          <w:noProof/>
          <w:lang w:val="fr-CA"/>
        </w:rPr>
        <w:t>j)</w:t>
      </w:r>
      <w:r w:rsidRPr="00E41FC1">
        <w:rPr>
          <w:rFonts w:cs="Times New Roman"/>
          <w:noProof/>
          <w:lang w:val="fr-CA"/>
        </w:rPr>
        <w:t xml:space="preserve"> et </w:t>
      </w:r>
      <w:r w:rsidRPr="006421A8">
        <w:rPr>
          <w:rFonts w:cs="Times New Roman"/>
          <w:noProof/>
          <w:lang w:val="fr-CA"/>
        </w:rPr>
        <w:t>k)</w:t>
      </w:r>
      <w:r w:rsidRPr="00E41FC1">
        <w:rPr>
          <w:rFonts w:cs="Times New Roman"/>
          <w:noProof/>
          <w:lang w:val="fr-CA"/>
        </w:rPr>
        <w:t xml:space="preserve"> des rapports de comités mis sur pied pour établir de tels rapports et </w:t>
      </w:r>
      <w:r w:rsidRPr="006421A8">
        <w:rPr>
          <w:rFonts w:cs="Times New Roman"/>
          <w:noProof/>
          <w:lang w:val="fr-CA"/>
        </w:rPr>
        <w:t>l)</w:t>
      </w:r>
      <w:r w:rsidRPr="00E41FC1">
        <w:rPr>
          <w:rFonts w:cs="Times New Roman"/>
          <w:noProof/>
          <w:lang w:val="fr-CA"/>
        </w:rPr>
        <w:t> des motifs à l’appui d’une décision définitive fondée sur l’exercice d’un pouvoir discrétionnaire.  Ces documents ne renferment pas toujours des conseils ou des recommandations, mais lorsque c’est le cas, le par</w:t>
      </w:r>
      <w:r w:rsidR="00115CFC">
        <w:rPr>
          <w:rFonts w:cs="Times New Roman"/>
          <w:noProof/>
          <w:lang w:val="fr-CA"/>
        </w:rPr>
        <w:t xml:space="preserve">. </w:t>
      </w:r>
      <w:r w:rsidRPr="00E41FC1">
        <w:rPr>
          <w:rFonts w:cs="Times New Roman"/>
          <w:noProof/>
          <w:lang w:val="fr-CA"/>
        </w:rPr>
        <w:t>13(2) fait en sorte que le par</w:t>
      </w:r>
      <w:r w:rsidR="00115CFC">
        <w:rPr>
          <w:rFonts w:cs="Times New Roman"/>
          <w:noProof/>
          <w:lang w:val="fr-CA"/>
        </w:rPr>
        <w:t xml:space="preserve">. </w:t>
      </w:r>
      <w:r w:rsidRPr="00E41FC1">
        <w:rPr>
          <w:rFonts w:cs="Times New Roman"/>
          <w:noProof/>
          <w:lang w:val="fr-CA"/>
        </w:rPr>
        <w:t xml:space="preserve">13(1) ne les soustraie pas à la communication.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Il appert des exceptions bien circonscrites du par</w:t>
      </w:r>
      <w:r w:rsidR="00115CFC">
        <w:rPr>
          <w:rFonts w:cs="Times New Roman"/>
          <w:noProof/>
          <w:lang w:val="fr-CA"/>
        </w:rPr>
        <w:t xml:space="preserve">. </w:t>
      </w:r>
      <w:r w:rsidRPr="00E41FC1">
        <w:rPr>
          <w:rFonts w:cs="Times New Roman"/>
          <w:noProof/>
          <w:lang w:val="fr-CA"/>
        </w:rPr>
        <w:t>13(1) que le législateur a tenu compte des circonstances dans lesquelles les documents, même s’ils pouvaient comporter des conseils ou des recommandations, devaient néanmoins être communiqués.  Il est révélateur que, après s’être penché, au par</w:t>
      </w:r>
      <w:r w:rsidR="00115CFC">
        <w:rPr>
          <w:rFonts w:cs="Times New Roman"/>
          <w:noProof/>
          <w:lang w:val="fr-CA"/>
        </w:rPr>
        <w:t xml:space="preserve">. </w:t>
      </w:r>
      <w:r w:rsidRPr="00E41FC1">
        <w:rPr>
          <w:rFonts w:cs="Times New Roman"/>
          <w:noProof/>
          <w:lang w:val="fr-CA"/>
        </w:rPr>
        <w:t xml:space="preserve">13(2), sur les types de documents qui devaient être communiqués même s’ils renfermaient des « conseils </w:t>
      </w:r>
      <w:r w:rsidRPr="00E41FC1">
        <w:rPr>
          <w:rFonts w:cs="Times New Roman"/>
          <w:noProof/>
          <w:lang w:val="fr-CA"/>
        </w:rPr>
        <w:lastRenderedPageBreak/>
        <w:t>ou [d]es recommandations », le législateur n’a pas fait du choix de politiques une catégorie distincte.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 paragraphe 13(3) prévoit que, malgré le par</w:t>
      </w:r>
      <w:r w:rsidR="00115CFC">
        <w:rPr>
          <w:rFonts w:cs="Times New Roman"/>
          <w:noProof/>
          <w:lang w:val="fr-CA"/>
        </w:rPr>
        <w:t xml:space="preserve">. </w:t>
      </w:r>
      <w:r w:rsidRPr="00E41FC1">
        <w:rPr>
          <w:rFonts w:cs="Times New Roman"/>
          <w:noProof/>
          <w:lang w:val="fr-CA"/>
        </w:rPr>
        <w:t>13(1), la communication d’un document ne doit pas être refusée « si la personne responsable [de l’institution] l’a publiquement cité comme ayant servi de fondement à une décision ou à la formulation d’une politique ».  Il s’ensuit nécessairement que la communication d’un document qui a « servi de fondement à une décision ou à la formulation d’une politique », mais qui n’a pas été publiquement cité à ce titre, peut être refusée en application du par</w:t>
      </w:r>
      <w:r w:rsidR="00115CFC">
        <w:rPr>
          <w:rFonts w:cs="Times New Roman"/>
          <w:noProof/>
          <w:lang w:val="fr-CA"/>
        </w:rPr>
        <w:t xml:space="preserve">. </w:t>
      </w:r>
      <w:r w:rsidRPr="00E41FC1">
        <w:rPr>
          <w:rFonts w:cs="Times New Roman"/>
          <w:noProof/>
          <w:lang w:val="fr-CA"/>
        </w:rPr>
        <w:t>13(1).  Le fondement d’une décision ou de la formulation d’une politique s’entend de ce sur quoi repose ou s’appuie la décision ou la politique.  Il ne s’agit pas forcément d’une recommandation expresse ou implicite, mais il peut s’agir d’un choix de politiques.  Dès lors, le terme « conseils » employé au par</w:t>
      </w:r>
      <w:r w:rsidR="00115CFC">
        <w:rPr>
          <w:rFonts w:cs="Times New Roman"/>
          <w:noProof/>
          <w:lang w:val="fr-CA"/>
        </w:rPr>
        <w:t xml:space="preserve">. </w:t>
      </w:r>
      <w:r w:rsidRPr="00E41FC1">
        <w:rPr>
          <w:rFonts w:cs="Times New Roman"/>
          <w:noProof/>
          <w:lang w:val="fr-CA"/>
        </w:rPr>
        <w:t>13(1) peut englober le point de vue d’un fonctionnaire sur un choix de politiques soumis à l’examen du décideur.</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Les appelants font valoir que, le terme « choix de politiques » faisant expressément l’objet de l’exception prévue à l’al</w:t>
      </w:r>
      <w:r w:rsidR="00115CFC">
        <w:rPr>
          <w:rFonts w:cs="Times New Roman"/>
          <w:noProof/>
          <w:lang w:val="fr-CA"/>
        </w:rPr>
        <w:t xml:space="preserve">. </w:t>
      </w:r>
      <w:r w:rsidRPr="00E41FC1">
        <w:rPr>
          <w:rFonts w:cs="Times New Roman"/>
          <w:noProof/>
          <w:lang w:val="fr-CA"/>
        </w:rPr>
        <w:t>12(1)</w:t>
      </w:r>
      <w:r w:rsidRPr="006421A8">
        <w:rPr>
          <w:rFonts w:cs="Times New Roman"/>
          <w:noProof/>
          <w:lang w:val="fr-CA"/>
        </w:rPr>
        <w:t>b</w:t>
      </w:r>
      <w:r w:rsidRPr="00E41FC1">
        <w:rPr>
          <w:rFonts w:cs="Times New Roman"/>
          <w:noProof/>
          <w:lang w:val="fr-CA"/>
        </w:rPr>
        <w:t>) pour les documents du Conseil exécutif, on peut conclure de son absence au par</w:t>
      </w:r>
      <w:r w:rsidR="00115CFC">
        <w:rPr>
          <w:rFonts w:cs="Times New Roman"/>
          <w:noProof/>
          <w:lang w:val="fr-CA"/>
        </w:rPr>
        <w:t xml:space="preserve">. </w:t>
      </w:r>
      <w:r w:rsidRPr="00E41FC1">
        <w:rPr>
          <w:rFonts w:cs="Times New Roman"/>
          <w:noProof/>
          <w:lang w:val="fr-CA"/>
        </w:rPr>
        <w:t>13(1) que le législateur n’a pas voulu que le document qui relate un choix de politiques, tels les documents considérés en l’espèce, fasse l’objet de l’exception prévue au par</w:t>
      </w:r>
      <w:r w:rsidR="00115CFC">
        <w:rPr>
          <w:rFonts w:cs="Times New Roman"/>
          <w:noProof/>
          <w:lang w:val="fr-CA"/>
        </w:rPr>
        <w:t xml:space="preserve">. </w:t>
      </w:r>
      <w:r w:rsidRPr="00E41FC1">
        <w:rPr>
          <w:rFonts w:cs="Times New Roman"/>
          <w:noProof/>
          <w:lang w:val="fr-CA"/>
        </w:rPr>
        <w:t>13(1).  Je ne peux malheureusement pas faire droit à leur prétention.  Le terme « conseils » a une portée assez large pour englober le « choix de politiques ».  J’estime que l’</w:t>
      </w:r>
      <w:r w:rsidRPr="00E41FC1">
        <w:rPr>
          <w:rFonts w:cs="Times New Roman"/>
          <w:i/>
          <w:noProof/>
          <w:lang w:val="fr-CA"/>
        </w:rPr>
        <w:t xml:space="preserve">omission </w:t>
      </w:r>
      <w:r w:rsidRPr="00E41FC1">
        <w:rPr>
          <w:rFonts w:cs="Times New Roman"/>
          <w:noProof/>
          <w:lang w:val="fr-CA"/>
        </w:rPr>
        <w:t xml:space="preserve">du </w:t>
      </w:r>
      <w:r w:rsidRPr="00E41FC1">
        <w:rPr>
          <w:rFonts w:cs="Times New Roman"/>
          <w:noProof/>
          <w:lang w:val="fr-CA"/>
        </w:rPr>
        <w:lastRenderedPageBreak/>
        <w:t>« choix de politiques » parmi les</w:t>
      </w:r>
      <w:r w:rsidRPr="00E41FC1">
        <w:rPr>
          <w:rFonts w:cs="Times New Roman"/>
          <w:i/>
          <w:noProof/>
          <w:lang w:val="fr-CA"/>
        </w:rPr>
        <w:t xml:space="preserve"> </w:t>
      </w:r>
      <w:r w:rsidRPr="00E41FC1">
        <w:rPr>
          <w:rFonts w:cs="Times New Roman"/>
          <w:noProof/>
          <w:lang w:val="fr-CA"/>
        </w:rPr>
        <w:t>exceptions à l’application du par</w:t>
      </w:r>
      <w:r w:rsidR="00115CFC">
        <w:rPr>
          <w:rFonts w:cs="Times New Roman"/>
          <w:noProof/>
          <w:lang w:val="fr-CA"/>
        </w:rPr>
        <w:t xml:space="preserve">. </w:t>
      </w:r>
      <w:r w:rsidRPr="00E41FC1">
        <w:rPr>
          <w:rFonts w:cs="Times New Roman"/>
          <w:noProof/>
          <w:lang w:val="fr-CA"/>
        </w:rPr>
        <w:t>13(1) prévues au par</w:t>
      </w:r>
      <w:r w:rsidR="00115CFC">
        <w:rPr>
          <w:rFonts w:cs="Times New Roman"/>
          <w:noProof/>
          <w:lang w:val="fr-CA"/>
        </w:rPr>
        <w:t xml:space="preserve">. </w:t>
      </w:r>
      <w:r w:rsidRPr="00E41FC1">
        <w:rPr>
          <w:rFonts w:cs="Times New Roman"/>
          <w:noProof/>
          <w:lang w:val="fr-CA"/>
        </w:rPr>
        <w:t xml:space="preserve">13(2) est encore plus significative que sa </w:t>
      </w:r>
      <w:r w:rsidRPr="00E41FC1">
        <w:rPr>
          <w:rFonts w:cs="Times New Roman"/>
          <w:i/>
          <w:noProof/>
          <w:lang w:val="fr-CA"/>
        </w:rPr>
        <w:t xml:space="preserve">mention </w:t>
      </w:r>
      <w:r w:rsidRPr="00E41FC1">
        <w:rPr>
          <w:rFonts w:cs="Times New Roman"/>
          <w:noProof/>
          <w:lang w:val="fr-CA"/>
        </w:rPr>
        <w:t>à l’al</w:t>
      </w:r>
      <w:r w:rsidR="00115CFC">
        <w:rPr>
          <w:rFonts w:cs="Times New Roman"/>
          <w:noProof/>
          <w:lang w:val="fr-CA"/>
        </w:rPr>
        <w:t xml:space="preserve">. </w:t>
      </w:r>
      <w:r w:rsidRPr="00E41FC1">
        <w:rPr>
          <w:rFonts w:cs="Times New Roman"/>
          <w:noProof/>
          <w:lang w:val="fr-CA"/>
        </w:rPr>
        <w:t>12(1)</w:t>
      </w:r>
      <w:r w:rsidRPr="006421A8">
        <w:rPr>
          <w:rFonts w:cs="Times New Roman"/>
          <w:noProof/>
          <w:lang w:val="fr-CA"/>
        </w:rPr>
        <w:t>b</w:t>
      </w:r>
      <w:r w:rsidRPr="00E41FC1">
        <w:rPr>
          <w:rFonts w:cs="Times New Roman"/>
          <w:noProof/>
          <w:lang w:val="fr-CA"/>
        </w:rPr>
        <w:t>).  Si le législateur avait voulu que l’exception prévue au par</w:t>
      </w:r>
      <w:r w:rsidR="00115CFC">
        <w:rPr>
          <w:rFonts w:cs="Times New Roman"/>
          <w:noProof/>
          <w:lang w:val="fr-CA"/>
        </w:rPr>
        <w:t xml:space="preserve">. </w:t>
      </w:r>
      <w:r w:rsidRPr="00E41FC1">
        <w:rPr>
          <w:rFonts w:cs="Times New Roman"/>
          <w:noProof/>
          <w:lang w:val="fr-CA"/>
        </w:rPr>
        <w:t>13(1) ne s’applique pas au document qui relate un choix de politiques, il aurait pu mentionner celui</w:t>
      </w:r>
      <w:r w:rsidR="00115CFC">
        <w:rPr>
          <w:rFonts w:cs="Times New Roman"/>
          <w:noProof/>
          <w:lang w:val="fr-CA"/>
        </w:rPr>
        <w:t>-</w:t>
      </w:r>
      <w:r w:rsidRPr="00E41FC1">
        <w:rPr>
          <w:rFonts w:cs="Times New Roman"/>
          <w:noProof/>
          <w:lang w:val="fr-CA"/>
        </w:rPr>
        <w:t>ci parmi les exceptions énumérées au par</w:t>
      </w:r>
      <w:r w:rsidR="00115CFC">
        <w:rPr>
          <w:rFonts w:cs="Times New Roman"/>
          <w:noProof/>
          <w:lang w:val="fr-CA"/>
        </w:rPr>
        <w:t xml:space="preserve">. </w:t>
      </w:r>
      <w:r w:rsidRPr="00E41FC1">
        <w:rPr>
          <w:rFonts w:cs="Times New Roman"/>
          <w:noProof/>
          <w:lang w:val="fr-CA"/>
        </w:rPr>
        <w:t>13(2).  L’emploi du terme « choix de politiques » à l’al</w:t>
      </w:r>
      <w:r w:rsidR="00115CFC">
        <w:rPr>
          <w:rFonts w:cs="Times New Roman"/>
          <w:noProof/>
          <w:lang w:val="fr-CA"/>
        </w:rPr>
        <w:t xml:space="preserve">. </w:t>
      </w:r>
      <w:r w:rsidRPr="00E41FC1">
        <w:rPr>
          <w:rFonts w:cs="Times New Roman"/>
          <w:noProof/>
          <w:lang w:val="fr-CA"/>
        </w:rPr>
        <w:t>12(1)</w:t>
      </w:r>
      <w:r w:rsidRPr="006421A8">
        <w:rPr>
          <w:rFonts w:cs="Times New Roman"/>
          <w:noProof/>
          <w:lang w:val="fr-CA"/>
        </w:rPr>
        <w:t>b</w:t>
      </w:r>
      <w:r w:rsidRPr="00E41FC1">
        <w:rPr>
          <w:rFonts w:cs="Times New Roman"/>
          <w:noProof/>
          <w:lang w:val="fr-CA"/>
        </w:rPr>
        <w:t>) ne saurait à lui seul empêcher le terme général « conseils » employé au par</w:t>
      </w:r>
      <w:r w:rsidR="00115CFC">
        <w:rPr>
          <w:rFonts w:cs="Times New Roman"/>
          <w:noProof/>
          <w:lang w:val="fr-CA"/>
        </w:rPr>
        <w:t xml:space="preserve">. </w:t>
      </w:r>
      <w:r w:rsidRPr="00E41FC1">
        <w:rPr>
          <w:rFonts w:cs="Times New Roman"/>
          <w:noProof/>
          <w:lang w:val="fr-CA"/>
        </w:rPr>
        <w:t>13(1) de s’entendre d’un choix de politiques.</w:t>
      </w:r>
    </w:p>
    <w:p w:rsidR="008728AB" w:rsidRPr="00E41FC1" w:rsidRDefault="008728AB" w:rsidP="00115CFC">
      <w:pPr>
        <w:pStyle w:val="Title3LevelTitre3Niveau"/>
        <w:keepNext w:val="0"/>
        <w:rPr>
          <w:rFonts w:cs="Times New Roman"/>
          <w:noProof/>
          <w:lang w:val="fr-CA"/>
        </w:rPr>
      </w:pPr>
      <w:r w:rsidRPr="00E41FC1">
        <w:rPr>
          <w:rFonts w:cs="Times New Roman"/>
          <w:noProof/>
          <w:lang w:val="fr-CA"/>
        </w:rPr>
        <w:t>Historique législatif</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La Commissaire soutient qu’il appert du rapport de la commission Williams que l’exception à la communication prévue au par</w:t>
      </w:r>
      <w:r w:rsidR="00254CAB">
        <w:rPr>
          <w:rFonts w:cs="Times New Roman"/>
          <w:noProof/>
          <w:lang w:val="fr-CA"/>
        </w:rPr>
        <w:t>.</w:t>
      </w:r>
      <w:r w:rsidRPr="00E41FC1">
        <w:rPr>
          <w:rFonts w:cs="Times New Roman"/>
          <w:noProof/>
          <w:lang w:val="fr-CA"/>
        </w:rPr>
        <w:t xml:space="preserve"> 13(1) ne devait pas s’appliquer au choix de politiques (Ontario, </w:t>
      </w:r>
      <w:r w:rsidRPr="00E41FC1">
        <w:rPr>
          <w:rFonts w:cs="Times New Roman"/>
          <w:i/>
          <w:noProof/>
          <w:lang w:val="fr-CA"/>
        </w:rPr>
        <w:t>Public Government for Private People : The Report of the Commission on Freedom of Information and Individual Privacy</w:t>
      </w:r>
      <w:r w:rsidR="001F10D0">
        <w:rPr>
          <w:rFonts w:cs="Times New Roman"/>
          <w:noProof/>
          <w:lang w:val="fr-CA"/>
        </w:rPr>
        <w:t xml:space="preserve"> (1980) (</w:t>
      </w:r>
      <w:r w:rsidRPr="00E41FC1">
        <w:rPr>
          <w:rFonts w:cs="Times New Roman"/>
          <w:noProof/>
          <w:lang w:val="fr-CA"/>
        </w:rPr>
        <w:t>« rapport de la commission Williams »)).  Ce rapport a été rédigé par une commission établie en 1977 par le gouvernement de l’Ontario pour se pencher sur l’accès à l’information et la protection de la vie privée au sein de l’État et formuler des recommandations sur le sujet (p</w:t>
      </w:r>
      <w:r w:rsidR="00115CFC">
        <w:rPr>
          <w:rFonts w:cs="Times New Roman"/>
          <w:noProof/>
          <w:lang w:val="fr-CA"/>
        </w:rPr>
        <w:t xml:space="preserve">. </w:t>
      </w:r>
      <w:r w:rsidRPr="00E41FC1">
        <w:rPr>
          <w:rFonts w:cs="Times New Roman"/>
          <w:noProof/>
          <w:lang w:val="fr-CA"/>
        </w:rPr>
        <w:t>53).  Le rapport est admissible comme preuve de l’historique législatif, mais je lui accorde peu de poids aux fins de déterminer la portée du par</w:t>
      </w:r>
      <w:r w:rsidR="00115CFC">
        <w:rPr>
          <w:rFonts w:cs="Times New Roman"/>
          <w:noProof/>
          <w:lang w:val="fr-CA"/>
        </w:rPr>
        <w:t xml:space="preserve">. </w:t>
      </w:r>
      <w:r w:rsidRPr="00E41FC1">
        <w:rPr>
          <w:rFonts w:cs="Times New Roman"/>
          <w:noProof/>
          <w:lang w:val="fr-CA"/>
        </w:rPr>
        <w:t>13(1) (Sullivan, p</w:t>
      </w:r>
      <w:r w:rsidR="00115CFC">
        <w:rPr>
          <w:rFonts w:cs="Times New Roman"/>
          <w:noProof/>
          <w:lang w:val="fr-CA"/>
        </w:rPr>
        <w:t xml:space="preserve">. </w:t>
      </w:r>
      <w:r w:rsidRPr="00E41FC1">
        <w:rPr>
          <w:rFonts w:cs="Times New Roman"/>
          <w:noProof/>
          <w:lang w:val="fr-CA"/>
        </w:rPr>
        <w:t>612</w:t>
      </w:r>
      <w:r w:rsidR="00115CFC">
        <w:rPr>
          <w:rFonts w:cs="Times New Roman"/>
          <w:noProof/>
          <w:lang w:val="fr-CA"/>
        </w:rPr>
        <w:t>-</w:t>
      </w:r>
      <w:r w:rsidRPr="00E41FC1">
        <w:rPr>
          <w:rFonts w:cs="Times New Roman"/>
          <w:noProof/>
          <w:lang w:val="fr-CA"/>
        </w:rPr>
        <w:t xml:space="preserve">614).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Dans l’arrêt </w:t>
      </w:r>
      <w:r w:rsidRPr="00E41FC1">
        <w:rPr>
          <w:rFonts w:cs="Times New Roman"/>
          <w:i/>
          <w:noProof/>
          <w:lang w:val="fr-CA"/>
        </w:rPr>
        <w:t>Ontario (Sûreté et Sécurité publique) c. Criminal Lawyers’ Association</w:t>
      </w:r>
      <w:r w:rsidRPr="00E41FC1">
        <w:rPr>
          <w:rFonts w:cs="Times New Roman"/>
          <w:noProof/>
          <w:lang w:val="fr-CA"/>
        </w:rPr>
        <w:t>, 2010 CSC 23, [2010] 1 R.C.S. 815 (« </w:t>
      </w:r>
      <w:r w:rsidRPr="00E41FC1">
        <w:rPr>
          <w:rFonts w:cs="Times New Roman"/>
          <w:i/>
          <w:noProof/>
          <w:lang w:val="fr-CA"/>
        </w:rPr>
        <w:t>Ontario c. CLA </w:t>
      </w:r>
      <w:r w:rsidRPr="00E41FC1">
        <w:rPr>
          <w:rFonts w:cs="Times New Roman"/>
          <w:noProof/>
          <w:lang w:val="fr-CA"/>
        </w:rPr>
        <w:t>»), par</w:t>
      </w:r>
      <w:r w:rsidR="00115CFC">
        <w:rPr>
          <w:rFonts w:cs="Times New Roman"/>
          <w:noProof/>
          <w:lang w:val="fr-CA"/>
        </w:rPr>
        <w:t xml:space="preserve">. </w:t>
      </w:r>
      <w:r w:rsidRPr="00E41FC1">
        <w:rPr>
          <w:rFonts w:cs="Times New Roman"/>
          <w:noProof/>
          <w:lang w:val="fr-CA"/>
        </w:rPr>
        <w:t xml:space="preserve">55, notre Cour reconnaît que la </w:t>
      </w:r>
      <w:r w:rsidRPr="00E41FC1">
        <w:rPr>
          <w:rFonts w:cs="Times New Roman"/>
          <w:i/>
          <w:noProof/>
          <w:lang w:val="fr-CA"/>
        </w:rPr>
        <w:t>LAIPVP</w:t>
      </w:r>
      <w:r w:rsidRPr="00E41FC1">
        <w:rPr>
          <w:rFonts w:cs="Times New Roman"/>
          <w:noProof/>
          <w:lang w:val="fr-CA"/>
        </w:rPr>
        <w:t xml:space="preserve"> s’inscrit dans la foulée du rapport de la commission </w:t>
      </w:r>
      <w:r w:rsidRPr="00E41FC1">
        <w:rPr>
          <w:rFonts w:cs="Times New Roman"/>
          <w:noProof/>
          <w:lang w:val="fr-CA"/>
        </w:rPr>
        <w:lastRenderedPageBreak/>
        <w:t xml:space="preserve">Williams.  Or, la commission n’a pas proposé le libellé </w:t>
      </w:r>
      <w:r w:rsidR="00254CAB">
        <w:rPr>
          <w:rFonts w:cs="Times New Roman"/>
          <w:noProof/>
          <w:lang w:val="fr-CA"/>
        </w:rPr>
        <w:t>de l’art.</w:t>
      </w:r>
      <w:r w:rsidR="00115CFC">
        <w:rPr>
          <w:rFonts w:cs="Times New Roman"/>
          <w:noProof/>
          <w:lang w:val="fr-CA"/>
        </w:rPr>
        <w:t xml:space="preserve"> </w:t>
      </w:r>
      <w:r w:rsidRPr="00E41FC1">
        <w:rPr>
          <w:rFonts w:cs="Times New Roman"/>
          <w:noProof/>
          <w:lang w:val="fr-CA"/>
        </w:rPr>
        <w:t>13 déterminé par le législateur.  Elle n’a pas non plus recommandé l’adoption de ce qui correspond au par</w:t>
      </w:r>
      <w:r w:rsidR="00115CFC">
        <w:rPr>
          <w:rFonts w:cs="Times New Roman"/>
          <w:noProof/>
          <w:lang w:val="fr-CA"/>
        </w:rPr>
        <w:t xml:space="preserve">. </w:t>
      </w:r>
      <w:r w:rsidRPr="00E41FC1">
        <w:rPr>
          <w:rFonts w:cs="Times New Roman"/>
          <w:noProof/>
          <w:lang w:val="fr-CA"/>
        </w:rPr>
        <w:t>13(2) et à l’art</w:t>
      </w:r>
      <w:r w:rsidR="00115CFC">
        <w:rPr>
          <w:rFonts w:cs="Times New Roman"/>
          <w:noProof/>
          <w:lang w:val="fr-CA"/>
        </w:rPr>
        <w:t xml:space="preserve">. </w:t>
      </w:r>
      <w:r w:rsidRPr="00E41FC1">
        <w:rPr>
          <w:rFonts w:cs="Times New Roman"/>
          <w:noProof/>
          <w:lang w:val="fr-CA"/>
        </w:rPr>
        <w:t>23 (</w:t>
      </w:r>
      <w:r w:rsidRPr="00E41FC1">
        <w:rPr>
          <w:rFonts w:cs="Times New Roman"/>
          <w:i/>
          <w:noProof/>
          <w:lang w:val="fr-CA"/>
        </w:rPr>
        <w:t>Ontario c. CLA</w:t>
      </w:r>
      <w:r w:rsidRPr="00E41FC1">
        <w:rPr>
          <w:rFonts w:cs="Times New Roman"/>
          <w:noProof/>
          <w:lang w:val="fr-CA"/>
        </w:rPr>
        <w:t>,</w:t>
      </w:r>
      <w:r w:rsidRPr="00E41FC1">
        <w:rPr>
          <w:rFonts w:cs="Times New Roman"/>
          <w:i/>
          <w:noProof/>
          <w:lang w:val="fr-CA"/>
        </w:rPr>
        <w:t xml:space="preserve"> </w:t>
      </w:r>
      <w:r w:rsidRPr="00E41FC1">
        <w:rPr>
          <w:rFonts w:cs="Times New Roman"/>
          <w:noProof/>
          <w:lang w:val="fr-CA"/>
        </w:rPr>
        <w:t>par</w:t>
      </w:r>
      <w:r w:rsidR="00115CFC">
        <w:rPr>
          <w:rFonts w:cs="Times New Roman"/>
          <w:noProof/>
          <w:lang w:val="fr-CA"/>
        </w:rPr>
        <w:t xml:space="preserve">. </w:t>
      </w:r>
      <w:r w:rsidR="006421A8">
        <w:rPr>
          <w:rFonts w:cs="Times New Roman"/>
          <w:noProof/>
          <w:lang w:val="fr-CA"/>
        </w:rPr>
        <w:t>26-</w:t>
      </w:r>
      <w:r w:rsidRPr="00E41FC1">
        <w:rPr>
          <w:rFonts w:cs="Times New Roman"/>
          <w:noProof/>
          <w:lang w:val="fr-CA"/>
        </w:rPr>
        <w:t>27 et 55; rapport de la commission Williams, p</w:t>
      </w:r>
      <w:r w:rsidR="00115CFC">
        <w:rPr>
          <w:rFonts w:cs="Times New Roman"/>
          <w:noProof/>
          <w:lang w:val="fr-CA"/>
        </w:rPr>
        <w:t xml:space="preserve">. </w:t>
      </w:r>
      <w:r w:rsidRPr="00E41FC1">
        <w:rPr>
          <w:rFonts w:cs="Times New Roman"/>
          <w:noProof/>
          <w:lang w:val="fr-CA"/>
        </w:rPr>
        <w:t>289</w:t>
      </w:r>
      <w:r w:rsidR="006421A8">
        <w:rPr>
          <w:rFonts w:cs="Times New Roman"/>
          <w:noProof/>
          <w:lang w:val="fr-CA"/>
        </w:rPr>
        <w:t>-</w:t>
      </w:r>
      <w:r w:rsidRPr="00E41FC1">
        <w:rPr>
          <w:rFonts w:cs="Times New Roman"/>
          <w:noProof/>
          <w:lang w:val="fr-CA"/>
        </w:rPr>
        <w:t>293), deux dispositions qui ont une incidence sur l’application du par</w:t>
      </w:r>
      <w:r w:rsidR="00115CFC">
        <w:rPr>
          <w:rFonts w:cs="Times New Roman"/>
          <w:noProof/>
          <w:lang w:val="fr-CA"/>
        </w:rPr>
        <w:t xml:space="preserve">. </w:t>
      </w:r>
      <w:r w:rsidRPr="00E41FC1">
        <w:rPr>
          <w:rFonts w:cs="Times New Roman"/>
          <w:noProof/>
          <w:lang w:val="fr-CA"/>
        </w:rPr>
        <w:t>13(1).  Rappelons que le par</w:t>
      </w:r>
      <w:r w:rsidR="00115CFC">
        <w:rPr>
          <w:rFonts w:cs="Times New Roman"/>
          <w:noProof/>
          <w:lang w:val="fr-CA"/>
        </w:rPr>
        <w:t xml:space="preserve">. </w:t>
      </w:r>
      <w:r w:rsidRPr="00E41FC1">
        <w:rPr>
          <w:rFonts w:cs="Times New Roman"/>
          <w:noProof/>
          <w:lang w:val="fr-CA"/>
        </w:rPr>
        <w:t>13(2) prévoit de nombreuses exceptions à l’application du par</w:t>
      </w:r>
      <w:r w:rsidR="00115CFC">
        <w:rPr>
          <w:rFonts w:cs="Times New Roman"/>
          <w:noProof/>
          <w:lang w:val="fr-CA"/>
        </w:rPr>
        <w:t xml:space="preserve">. </w:t>
      </w:r>
      <w:r w:rsidRPr="00E41FC1">
        <w:rPr>
          <w:rFonts w:cs="Times New Roman"/>
          <w:noProof/>
          <w:lang w:val="fr-CA"/>
        </w:rPr>
        <w:t>13(1).  Quant à l’art</w:t>
      </w:r>
      <w:r w:rsidR="00115CFC">
        <w:rPr>
          <w:rFonts w:cs="Times New Roman"/>
          <w:noProof/>
          <w:lang w:val="fr-CA"/>
        </w:rPr>
        <w:t xml:space="preserve">. </w:t>
      </w:r>
      <w:r w:rsidRPr="00E41FC1">
        <w:rPr>
          <w:rFonts w:cs="Times New Roman"/>
          <w:noProof/>
          <w:lang w:val="fr-CA"/>
        </w:rPr>
        <w:t>23, qui précise que l’exception visée au par</w:t>
      </w:r>
      <w:r w:rsidR="00115CFC">
        <w:rPr>
          <w:rFonts w:cs="Times New Roman"/>
          <w:noProof/>
          <w:lang w:val="fr-CA"/>
        </w:rPr>
        <w:t xml:space="preserve">. </w:t>
      </w:r>
      <w:r w:rsidRPr="00E41FC1">
        <w:rPr>
          <w:rFonts w:cs="Times New Roman"/>
          <w:noProof/>
          <w:lang w:val="fr-CA"/>
        </w:rPr>
        <w:t>13(1) ne s’applique pas « si la nécessité manifeste de divulguer le document dans l’intérêt public l’emporte sans conteste sur la fin visée par l’exception », il a pour effet de limiter l’application de l’exception prévue au par</w:t>
      </w:r>
      <w:r w:rsidR="00115CFC">
        <w:rPr>
          <w:rFonts w:cs="Times New Roman"/>
          <w:noProof/>
          <w:lang w:val="fr-CA"/>
        </w:rPr>
        <w:t xml:space="preserve">. </w:t>
      </w:r>
      <w:r w:rsidRPr="00E41FC1">
        <w:rPr>
          <w:rFonts w:cs="Times New Roman"/>
          <w:noProof/>
          <w:lang w:val="fr-CA"/>
        </w:rPr>
        <w:t>13(1) d’une manière qui n’a pas fait l’objet d’un examen par la commission, ni n’a par ailleurs été recommandée dans son rapport.  J’en infère que l’équilibre voulu par le législateur entre le droit d’accès à l’information et l’exception applicable aux « conseils » a été établi par l’inclusion du par</w:t>
      </w:r>
      <w:r w:rsidR="00115CFC">
        <w:rPr>
          <w:rFonts w:cs="Times New Roman"/>
          <w:noProof/>
          <w:lang w:val="fr-CA"/>
        </w:rPr>
        <w:t xml:space="preserve">. </w:t>
      </w:r>
      <w:r w:rsidRPr="00E41FC1">
        <w:rPr>
          <w:rFonts w:cs="Times New Roman"/>
          <w:noProof/>
          <w:lang w:val="fr-CA"/>
        </w:rPr>
        <w:t>13(2) et de l’art</w:t>
      </w:r>
      <w:r w:rsidR="00115CFC">
        <w:rPr>
          <w:rFonts w:cs="Times New Roman"/>
          <w:noProof/>
          <w:lang w:val="fr-CA"/>
        </w:rPr>
        <w:t xml:space="preserve">. </w:t>
      </w:r>
      <w:r w:rsidRPr="00E41FC1">
        <w:rPr>
          <w:rFonts w:cs="Times New Roman"/>
          <w:noProof/>
          <w:lang w:val="fr-CA"/>
        </w:rPr>
        <w:t>23, plutôt que par quelque limitation non énoncée de la portée du mot « conseils » employé au par</w:t>
      </w:r>
      <w:r w:rsidR="00115CFC">
        <w:rPr>
          <w:rFonts w:cs="Times New Roman"/>
          <w:noProof/>
          <w:lang w:val="fr-CA"/>
        </w:rPr>
        <w:t xml:space="preserve">. </w:t>
      </w:r>
      <w:r w:rsidRPr="00E41FC1">
        <w:rPr>
          <w:rFonts w:cs="Times New Roman"/>
          <w:noProof/>
          <w:lang w:val="fr-CA"/>
        </w:rPr>
        <w:t>13(1).</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Outre les différences de nature substantielle entre la Loi et le rapport de la commission Williams, le contexte dans lequel le rapport a été rédigé et les événements survenus entre sa publication et l’adoption de la </w:t>
      </w:r>
      <w:r w:rsidRPr="00E41FC1">
        <w:rPr>
          <w:rFonts w:cs="Times New Roman"/>
          <w:i/>
          <w:noProof/>
          <w:lang w:val="fr-CA"/>
        </w:rPr>
        <w:t xml:space="preserve">LAIPVP </w:t>
      </w:r>
      <w:r w:rsidRPr="00E41FC1">
        <w:rPr>
          <w:rFonts w:cs="Times New Roman"/>
          <w:noProof/>
          <w:lang w:val="fr-CA"/>
        </w:rPr>
        <w:t>me font également hésiter à lui accorder beaucoup d’importance aux fins de la détermination de l’intention du législateur quant à la portée du par</w:t>
      </w:r>
      <w:r w:rsidR="00115CFC">
        <w:rPr>
          <w:rFonts w:cs="Times New Roman"/>
          <w:noProof/>
          <w:lang w:val="fr-CA"/>
        </w:rPr>
        <w:t xml:space="preserve">. </w:t>
      </w:r>
      <w:r w:rsidRPr="00E41FC1">
        <w:rPr>
          <w:rFonts w:cs="Times New Roman"/>
          <w:noProof/>
          <w:lang w:val="fr-CA"/>
        </w:rPr>
        <w:t xml:space="preserve">13(1).  Le rapport a été déposé en 1980, soit huit ans avant l’adoption de la </w:t>
      </w:r>
      <w:r w:rsidRPr="00E41FC1">
        <w:rPr>
          <w:rFonts w:cs="Times New Roman"/>
          <w:i/>
          <w:noProof/>
          <w:lang w:val="fr-CA"/>
        </w:rPr>
        <w:t>LAIPVP</w:t>
      </w:r>
      <w:r w:rsidRPr="00E41FC1">
        <w:rPr>
          <w:rFonts w:cs="Times New Roman"/>
          <w:noProof/>
          <w:lang w:val="fr-CA"/>
        </w:rPr>
        <w:t xml:space="preserve">.  Au début des années 1980, un projet de loi sur l’accès à l’information a été présenté à l’assemblée législative, mais </w:t>
      </w:r>
      <w:r w:rsidRPr="00E41FC1">
        <w:rPr>
          <w:rFonts w:cs="Times New Roman"/>
          <w:noProof/>
          <w:lang w:val="fr-CA"/>
        </w:rPr>
        <w:lastRenderedPageBreak/>
        <w:t xml:space="preserve">il n’a jamais été adopté.  On doit la </w:t>
      </w:r>
      <w:r w:rsidRPr="00E41FC1">
        <w:rPr>
          <w:rFonts w:cs="Times New Roman"/>
          <w:i/>
          <w:noProof/>
          <w:lang w:val="fr-CA"/>
        </w:rPr>
        <w:t>LAIPVP</w:t>
      </w:r>
      <w:r w:rsidRPr="00E41FC1">
        <w:rPr>
          <w:rFonts w:cs="Times New Roman"/>
          <w:noProof/>
          <w:lang w:val="fr-CA"/>
        </w:rPr>
        <w:t xml:space="preserve"> à un autre gouvernement, qui l’a adoptée quelques années plus tard.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De plus, au moment de la rédaction du rapport, la loi fédérale américaine </w:t>
      </w:r>
      <w:r w:rsidRPr="00E41FC1">
        <w:rPr>
          <w:rFonts w:cs="Times New Roman"/>
          <w:i/>
          <w:noProof/>
          <w:lang w:val="fr-CA"/>
        </w:rPr>
        <w:t>Freedom of Information Act</w:t>
      </w:r>
      <w:r w:rsidRPr="00E41FC1">
        <w:rPr>
          <w:rFonts w:cs="Times New Roman"/>
          <w:noProof/>
          <w:lang w:val="fr-CA"/>
        </w:rPr>
        <w:t>, 5 U.S.C. § 552 (1970)</w:t>
      </w:r>
      <w:r w:rsidR="002E4220">
        <w:rPr>
          <w:rFonts w:cs="Times New Roman"/>
          <w:noProof/>
          <w:lang w:val="fr-CA"/>
        </w:rPr>
        <w:t>,</w:t>
      </w:r>
      <w:r w:rsidRPr="00E41FC1">
        <w:rPr>
          <w:rFonts w:cs="Times New Roman"/>
          <w:noProof/>
          <w:lang w:val="fr-CA"/>
        </w:rPr>
        <w:t xml:space="preserve"> était le principal modèle de loi sur l’accès à l’information dont disposait la commission.  Dans son rapport, cette dernière examine le régime américain en détail à la rubrique portant sur l’exception relative aux conseils ou aux recommandations.  Elle ne fait que brièvement état du projet de loi canadien qui a précédé la </w:t>
      </w:r>
      <w:r w:rsidRPr="00E41FC1">
        <w:rPr>
          <w:rFonts w:cs="Times New Roman"/>
          <w:i/>
          <w:noProof/>
          <w:lang w:val="fr-CA"/>
        </w:rPr>
        <w:t>Loi sur l’accès à l’information</w:t>
      </w:r>
      <w:r w:rsidRPr="00E41FC1">
        <w:rPr>
          <w:rFonts w:cs="Times New Roman"/>
          <w:noProof/>
          <w:lang w:val="fr-CA"/>
        </w:rPr>
        <w:t>.  Il est révélateur que le par</w:t>
      </w:r>
      <w:r w:rsidR="00115CFC">
        <w:rPr>
          <w:rFonts w:cs="Times New Roman"/>
          <w:noProof/>
          <w:lang w:val="fr-CA"/>
        </w:rPr>
        <w:t xml:space="preserve">. </w:t>
      </w:r>
      <w:r w:rsidRPr="00E41FC1">
        <w:rPr>
          <w:rFonts w:cs="Times New Roman"/>
          <w:noProof/>
          <w:lang w:val="fr-CA"/>
        </w:rPr>
        <w:t>13(1) ne ressemble à aucune disposition de la loi américaine examinée par la commission Williams (p</w:t>
      </w:r>
      <w:r w:rsidR="00115CFC">
        <w:rPr>
          <w:rFonts w:cs="Times New Roman"/>
          <w:noProof/>
          <w:lang w:val="fr-CA"/>
        </w:rPr>
        <w:t xml:space="preserve">. </w:t>
      </w:r>
      <w:r w:rsidRPr="00E41FC1">
        <w:rPr>
          <w:rFonts w:cs="Times New Roman"/>
          <w:noProof/>
          <w:lang w:val="fr-CA"/>
        </w:rPr>
        <w:t>290, 292</w:t>
      </w:r>
      <w:r w:rsidR="006421A8">
        <w:rPr>
          <w:rFonts w:cs="Times New Roman"/>
          <w:noProof/>
          <w:lang w:val="fr-CA"/>
        </w:rPr>
        <w:t>-</w:t>
      </w:r>
      <w:r w:rsidRPr="00E41FC1">
        <w:rPr>
          <w:rFonts w:cs="Times New Roman"/>
          <w:noProof/>
          <w:lang w:val="fr-CA"/>
        </w:rPr>
        <w:t>293).  Il s’apparente plutôt en substance à la disposition sur les conseils ou les recommandations du projet de loi fédéral antérieur et de la loi fédérale adoptée après la publication du rapport (</w:t>
      </w:r>
      <w:r w:rsidRPr="00E41FC1">
        <w:rPr>
          <w:rFonts w:cs="Times New Roman"/>
          <w:i/>
          <w:noProof/>
          <w:lang w:val="fr-CA"/>
        </w:rPr>
        <w:t>Loi sur l’accès à l’information</w:t>
      </w:r>
      <w:r w:rsidRPr="00E41FC1">
        <w:rPr>
          <w:rFonts w:cs="Times New Roman"/>
          <w:noProof/>
          <w:lang w:val="fr-CA"/>
        </w:rPr>
        <w:t>, al</w:t>
      </w:r>
      <w:r w:rsidR="00115CFC">
        <w:rPr>
          <w:rFonts w:cs="Times New Roman"/>
          <w:noProof/>
          <w:lang w:val="fr-CA"/>
        </w:rPr>
        <w:t xml:space="preserve">. </w:t>
      </w:r>
      <w:r w:rsidRPr="00E41FC1">
        <w:rPr>
          <w:rFonts w:cs="Times New Roman"/>
          <w:noProof/>
          <w:lang w:val="fr-CA"/>
        </w:rPr>
        <w:t>21(1)</w:t>
      </w:r>
      <w:r w:rsidRPr="00E41FC1">
        <w:rPr>
          <w:rFonts w:cs="Times New Roman"/>
          <w:i/>
          <w:noProof/>
          <w:lang w:val="fr-CA"/>
        </w:rPr>
        <w:t>b</w:t>
      </w:r>
      <w:r w:rsidRPr="00E41FC1">
        <w:rPr>
          <w:rFonts w:cs="Times New Roman"/>
          <w:noProof/>
          <w:lang w:val="fr-CA"/>
        </w:rPr>
        <w:t>)).  En toute déférence, j’estime donc qu’on ne saurait présumer que le rapport permet de bien cerner l’intention du législateur quant à la portée du mot « conseils » employé au par</w:t>
      </w:r>
      <w:r w:rsidR="00115CFC">
        <w:rPr>
          <w:rFonts w:cs="Times New Roman"/>
          <w:noProof/>
          <w:lang w:val="fr-CA"/>
        </w:rPr>
        <w:t xml:space="preserve">. </w:t>
      </w:r>
      <w:r w:rsidRPr="00E41FC1">
        <w:rPr>
          <w:rFonts w:cs="Times New Roman"/>
          <w:noProof/>
          <w:lang w:val="fr-CA"/>
        </w:rPr>
        <w:t xml:space="preserve">13(1) de la </w:t>
      </w:r>
      <w:r w:rsidRPr="00E41FC1">
        <w:rPr>
          <w:rFonts w:cs="Times New Roman"/>
          <w:i/>
          <w:noProof/>
          <w:lang w:val="fr-CA"/>
        </w:rPr>
        <w:t>LAIPVP</w:t>
      </w:r>
      <w:r w:rsidRPr="00E41FC1">
        <w:rPr>
          <w:rFonts w:cs="Times New Roman"/>
          <w:noProof/>
          <w:lang w:val="fr-CA"/>
        </w:rPr>
        <w:t>.</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On allègue que les lois sur l’accès à l’information de huit autres provinces comprennent des dispositions semblables au par</w:t>
      </w:r>
      <w:r w:rsidR="00115CFC">
        <w:rPr>
          <w:rFonts w:cs="Times New Roman"/>
          <w:noProof/>
          <w:lang w:val="fr-CA"/>
        </w:rPr>
        <w:t xml:space="preserve">. </w:t>
      </w:r>
      <w:r w:rsidRPr="00E41FC1">
        <w:rPr>
          <w:rFonts w:cs="Times New Roman"/>
          <w:noProof/>
          <w:lang w:val="fr-CA"/>
        </w:rPr>
        <w:t>13(1), mais que celles</w:t>
      </w:r>
      <w:r w:rsidR="00115CFC">
        <w:rPr>
          <w:rFonts w:cs="Times New Roman"/>
          <w:noProof/>
          <w:lang w:val="fr-CA"/>
        </w:rPr>
        <w:t>-</w:t>
      </w:r>
      <w:r w:rsidRPr="00E41FC1">
        <w:rPr>
          <w:rFonts w:cs="Times New Roman"/>
          <w:noProof/>
          <w:lang w:val="fr-CA"/>
        </w:rPr>
        <w:t>ci soustraient explicitement à la communication les documents qui font état d’« un choix de politiques » (se reporter au par</w:t>
      </w:r>
      <w:r w:rsidR="00115CFC">
        <w:rPr>
          <w:rFonts w:cs="Times New Roman"/>
          <w:noProof/>
          <w:lang w:val="fr-CA"/>
        </w:rPr>
        <w:t xml:space="preserve">. </w:t>
      </w:r>
      <w:r w:rsidRPr="00E41FC1">
        <w:rPr>
          <w:rFonts w:cs="Times New Roman"/>
          <w:noProof/>
          <w:lang w:val="fr-CA"/>
        </w:rPr>
        <w:t>80 du mémoire de M</w:t>
      </w:r>
      <w:r w:rsidR="00115CFC">
        <w:rPr>
          <w:rFonts w:cs="Times New Roman"/>
          <w:noProof/>
          <w:lang w:val="fr-CA"/>
        </w:rPr>
        <w:t xml:space="preserve">. </w:t>
      </w:r>
      <w:r w:rsidRPr="00E41FC1">
        <w:rPr>
          <w:rFonts w:cs="Times New Roman"/>
          <w:noProof/>
          <w:lang w:val="fr-CA"/>
        </w:rPr>
        <w:t>Untel pour les renvois aux dispositions provinciales).  M</w:t>
      </w:r>
      <w:r w:rsidR="00115CFC">
        <w:rPr>
          <w:rFonts w:cs="Times New Roman"/>
          <w:noProof/>
          <w:lang w:val="fr-CA"/>
        </w:rPr>
        <w:t xml:space="preserve">. </w:t>
      </w:r>
      <w:r w:rsidRPr="00E41FC1">
        <w:rPr>
          <w:rFonts w:cs="Times New Roman"/>
          <w:noProof/>
          <w:lang w:val="fr-CA"/>
        </w:rPr>
        <w:t xml:space="preserve">Untel fait valoir que la mention des documents contenant un choix de politiques dans les dispositions de ces autres ressorts permet de </w:t>
      </w:r>
      <w:r w:rsidRPr="00E41FC1">
        <w:rPr>
          <w:rFonts w:cs="Times New Roman"/>
          <w:noProof/>
          <w:lang w:val="fr-CA"/>
        </w:rPr>
        <w:lastRenderedPageBreak/>
        <w:t>conclure que le mot « conseils » employé dans la loi ontarienne doit être interprété de façon à exclure de tels documents.  Même si, pour interpréter une loi, il peut être utile de consulter les lois apparentées d’autres ressorts, la comparaison n’est pas déterminante (Sullivan, p</w:t>
      </w:r>
      <w:r w:rsidR="00115CFC">
        <w:rPr>
          <w:rFonts w:cs="Times New Roman"/>
          <w:noProof/>
          <w:lang w:val="fr-CA"/>
        </w:rPr>
        <w:t xml:space="preserve">. </w:t>
      </w:r>
      <w:r w:rsidRPr="00E41FC1">
        <w:rPr>
          <w:rFonts w:cs="Times New Roman"/>
          <w:noProof/>
          <w:lang w:val="fr-CA"/>
        </w:rPr>
        <w:t>419).  La démarche est d’autant moins pertinente que le terme « choix de politiques » a été ajouté aux dispositions des autres provinces après l’adoption du par</w:t>
      </w:r>
      <w:r w:rsidR="00115CFC">
        <w:rPr>
          <w:rFonts w:cs="Times New Roman"/>
          <w:noProof/>
          <w:lang w:val="fr-CA"/>
        </w:rPr>
        <w:t xml:space="preserve">. </w:t>
      </w:r>
      <w:r w:rsidRPr="00E41FC1">
        <w:rPr>
          <w:rFonts w:cs="Times New Roman"/>
          <w:noProof/>
          <w:lang w:val="fr-CA"/>
        </w:rPr>
        <w:t xml:space="preserve">13(1) de la </w:t>
      </w:r>
      <w:r w:rsidRPr="00E41FC1">
        <w:rPr>
          <w:rFonts w:cs="Times New Roman"/>
          <w:i/>
          <w:noProof/>
          <w:lang w:val="fr-CA"/>
        </w:rPr>
        <w:t>LAIPVP</w:t>
      </w:r>
      <w:r w:rsidRPr="00E41FC1">
        <w:rPr>
          <w:rFonts w:cs="Times New Roman"/>
          <w:noProof/>
          <w:lang w:val="fr-CA"/>
        </w:rPr>
        <w:t>.  Je ne peux inférer que le choix de politiques échappe à la portée du mot « conseils » employé au par</w:t>
      </w:r>
      <w:r w:rsidR="00115CFC">
        <w:rPr>
          <w:rFonts w:cs="Times New Roman"/>
          <w:noProof/>
          <w:lang w:val="fr-CA"/>
        </w:rPr>
        <w:t xml:space="preserve">. </w:t>
      </w:r>
      <w:r w:rsidRPr="00E41FC1">
        <w:rPr>
          <w:rFonts w:cs="Times New Roman"/>
          <w:noProof/>
          <w:lang w:val="fr-CA"/>
        </w:rPr>
        <w:t xml:space="preserve">13(1) du seul fait que le législateur ontarien n’a pas modifié cette disposition pour s’aligner sur le texte subséquent des dispositions des autres ressorts en matière d’accès à l’information.  </w:t>
      </w:r>
    </w:p>
    <w:p w:rsidR="008728AB" w:rsidRPr="00E41FC1" w:rsidRDefault="008728AB" w:rsidP="00115CFC">
      <w:pPr>
        <w:pStyle w:val="Title3LevelTitre3Niveau"/>
        <w:keepNext w:val="0"/>
        <w:rPr>
          <w:rFonts w:cs="Times New Roman"/>
          <w:noProof/>
          <w:lang w:val="fr-CA"/>
        </w:rPr>
      </w:pPr>
      <w:r w:rsidRPr="00E41FC1">
        <w:rPr>
          <w:rFonts w:cs="Times New Roman"/>
          <w:noProof/>
          <w:lang w:val="fr-CA"/>
        </w:rPr>
        <w:t>Objet</w:t>
      </w:r>
    </w:p>
    <w:p w:rsidR="008728AB" w:rsidRPr="00E41FC1" w:rsidRDefault="008728AB" w:rsidP="00B5613D">
      <w:pPr>
        <w:pStyle w:val="ParaNoNdepar-AltN"/>
        <w:tabs>
          <w:tab w:val="clear" w:pos="1602"/>
          <w:tab w:val="left" w:pos="1620"/>
        </w:tabs>
        <w:ind w:left="0"/>
        <w:rPr>
          <w:rFonts w:cs="Times New Roman"/>
          <w:noProof/>
          <w:lang w:val="fr-CA"/>
        </w:rPr>
      </w:pPr>
      <w:r w:rsidRPr="00E41FC1">
        <w:rPr>
          <w:rFonts w:cs="Times New Roman"/>
          <w:noProof/>
          <w:lang w:val="fr-CA"/>
        </w:rPr>
        <w:t xml:space="preserve">L’article premier de la </w:t>
      </w:r>
      <w:r w:rsidRPr="00E41FC1">
        <w:rPr>
          <w:rFonts w:cs="Times New Roman"/>
          <w:i/>
          <w:noProof/>
          <w:lang w:val="fr-CA"/>
        </w:rPr>
        <w:t>LAIPVP</w:t>
      </w:r>
      <w:r w:rsidRPr="00E41FC1">
        <w:rPr>
          <w:rFonts w:cs="Times New Roman"/>
          <w:noProof/>
          <w:lang w:val="fr-CA"/>
        </w:rPr>
        <w:t xml:space="preserve"> énonce son objet.  Conformément à l’intérêt public lié à l’accès à l’information, il établit une présomption en faveur de l’accès à l’information.  Dans </w:t>
      </w:r>
      <w:r w:rsidRPr="00E41FC1">
        <w:rPr>
          <w:rFonts w:cs="Times New Roman"/>
          <w:i/>
          <w:noProof/>
          <w:lang w:val="fr-CA"/>
        </w:rPr>
        <w:t>Ontario c. CLA</w:t>
      </w:r>
      <w:r w:rsidRPr="00E41FC1">
        <w:rPr>
          <w:rFonts w:cs="Times New Roman"/>
          <w:noProof/>
          <w:lang w:val="fr-CA"/>
        </w:rPr>
        <w:t>, la juge en chef McLachlin et la juge Abella expliquent :</w:t>
      </w:r>
    </w:p>
    <w:p w:rsidR="008728AB" w:rsidRPr="00E41FC1" w:rsidRDefault="008728AB" w:rsidP="00B5613D">
      <w:pPr>
        <w:pStyle w:val="Citation-AltC"/>
        <w:tabs>
          <w:tab w:val="left" w:pos="1620"/>
        </w:tabs>
        <w:spacing w:after="240"/>
        <w:ind w:hanging="1166"/>
        <w:contextualSpacing w:val="0"/>
        <w:rPr>
          <w:noProof/>
          <w:lang w:val="fr-CA"/>
        </w:rPr>
      </w:pPr>
      <w:r w:rsidRPr="00E41FC1">
        <w:rPr>
          <w:noProof/>
          <w:lang w:val="fr-CA"/>
        </w:rPr>
        <w:tab/>
      </w:r>
      <w:r w:rsidR="00B5613D">
        <w:rPr>
          <w:noProof/>
          <w:lang w:val="fr-CA"/>
        </w:rPr>
        <w:tab/>
      </w:r>
      <w:r w:rsidRPr="00E41FC1">
        <w:rPr>
          <w:noProof/>
          <w:lang w:val="fr-CA"/>
        </w:rPr>
        <w:t xml:space="preserve">L’accès à l’information détenue par les institutions publiques peut </w:t>
      </w:r>
      <w:r w:rsidRPr="00E41FC1">
        <w:rPr>
          <w:noProof/>
          <w:u w:val="single"/>
          <w:lang w:val="fr-CA"/>
        </w:rPr>
        <w:t>accroître la transparence</w:t>
      </w:r>
      <w:r w:rsidRPr="00E41FC1">
        <w:rPr>
          <w:noProof/>
          <w:lang w:val="fr-CA"/>
        </w:rPr>
        <w:t xml:space="preserve"> du gouvernement, aider le public à se former une </w:t>
      </w:r>
      <w:r w:rsidRPr="008D15CB">
        <w:rPr>
          <w:noProof/>
          <w:u w:val="single"/>
          <w:lang w:val="fr-CA"/>
        </w:rPr>
        <w:t>opinion éclairée</w:t>
      </w:r>
      <w:r w:rsidRPr="00E41FC1">
        <w:rPr>
          <w:noProof/>
          <w:lang w:val="fr-CA"/>
        </w:rPr>
        <w:t xml:space="preserve"> et </w:t>
      </w:r>
      <w:r w:rsidRPr="00E41FC1">
        <w:rPr>
          <w:noProof/>
          <w:u w:val="single"/>
          <w:lang w:val="fr-CA"/>
        </w:rPr>
        <w:t>favoriser une société ouverte et démocratique</w:t>
      </w:r>
      <w:r w:rsidRPr="00B5613D">
        <w:rPr>
          <w:noProof/>
          <w:lang w:val="fr-CA"/>
        </w:rPr>
        <w:t>.</w:t>
      </w:r>
    </w:p>
    <w:p w:rsidR="008728AB" w:rsidRPr="00E41FC1" w:rsidRDefault="00B5613D" w:rsidP="00115CFC">
      <w:pPr>
        <w:pStyle w:val="Citation-AltC"/>
        <w:spacing w:after="240"/>
        <w:ind w:left="1168"/>
        <w:contextualSpacing w:val="0"/>
        <w:jc w:val="center"/>
        <w:rPr>
          <w:noProof/>
          <w:lang w:val="fr-CA"/>
        </w:rPr>
      </w:pPr>
      <w:r>
        <w:rPr>
          <w:noProof/>
          <w:lang w:val="fr-CA"/>
        </w:rPr>
        <w:t>. . .</w:t>
      </w:r>
    </w:p>
    <w:p w:rsidR="008728AB" w:rsidRPr="00E41FC1" w:rsidRDefault="008728AB" w:rsidP="00B5613D">
      <w:pPr>
        <w:pStyle w:val="Citation-AltC"/>
        <w:tabs>
          <w:tab w:val="left" w:pos="1620"/>
        </w:tabs>
        <w:ind w:hanging="1166"/>
        <w:rPr>
          <w:noProof/>
          <w:lang w:val="fr-CA"/>
        </w:rPr>
      </w:pPr>
      <w:r w:rsidRPr="00E41FC1">
        <w:rPr>
          <w:noProof/>
          <w:lang w:val="fr-CA"/>
        </w:rPr>
        <w:tab/>
      </w:r>
      <w:r w:rsidR="00B5613D">
        <w:rPr>
          <w:noProof/>
          <w:lang w:val="fr-CA"/>
        </w:rPr>
        <w:tab/>
        <w:t xml:space="preserve">. . . </w:t>
      </w:r>
      <w:r w:rsidRPr="00E41FC1">
        <w:rPr>
          <w:noProof/>
          <w:lang w:val="fr-CA"/>
        </w:rPr>
        <w:t xml:space="preserve">Pour que le gouvernement œuvre de manière transparente, il faut que l’ensemble des citoyens puisse avoir accès aux documents gouvernementaux lorsque cela est </w:t>
      </w:r>
      <w:r w:rsidRPr="00E41FC1">
        <w:rPr>
          <w:noProof/>
          <w:u w:val="single"/>
          <w:lang w:val="fr-CA"/>
        </w:rPr>
        <w:t>nécessaire pour la tenue d’un débat public</w:t>
      </w:r>
      <w:r w:rsidRPr="002E4220">
        <w:rPr>
          <w:noProof/>
          <w:u w:val="single"/>
          <w:lang w:val="fr-CA"/>
        </w:rPr>
        <w:t xml:space="preserve"> significatif</w:t>
      </w:r>
      <w:r w:rsidRPr="00E41FC1">
        <w:rPr>
          <w:noProof/>
          <w:lang w:val="fr-CA"/>
        </w:rPr>
        <w:t xml:space="preserve"> sur la conduite d’institutions gouvernementales.  [Je souligne; par</w:t>
      </w:r>
      <w:r w:rsidR="00115CFC">
        <w:rPr>
          <w:noProof/>
          <w:lang w:val="fr-CA"/>
        </w:rPr>
        <w:t xml:space="preserve">. </w:t>
      </w:r>
      <w:r w:rsidRPr="00E41FC1">
        <w:rPr>
          <w:noProof/>
          <w:lang w:val="fr-CA"/>
        </w:rPr>
        <w:t>1 et 37.]</w:t>
      </w:r>
    </w:p>
    <w:p w:rsidR="008728AB" w:rsidRPr="00E41FC1" w:rsidRDefault="008728AB" w:rsidP="00115CFC">
      <w:pPr>
        <w:pStyle w:val="ContinueParaSuitedupar-AltP"/>
        <w:rPr>
          <w:rFonts w:cs="Times New Roman"/>
          <w:noProof/>
          <w:lang w:val="fr-CA"/>
        </w:rPr>
      </w:pPr>
      <w:r w:rsidRPr="00E41FC1">
        <w:rPr>
          <w:rFonts w:cs="Times New Roman"/>
          <w:noProof/>
          <w:lang w:val="fr-CA"/>
        </w:rPr>
        <w:lastRenderedPageBreak/>
        <w:t xml:space="preserve">Cependant, l’article premier reconnaît également que la présomption est réfutable dans un certain nombre de cas précis, selon les exceptions obligatoires ou facultatives prévues par la Loi.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L’économie de la Loi reflète son objet.  C’est à la personne responsable de l’institution qui a la garde ou le contrôle des documents demandés et qui connaît leur teneur et les répercussions de leur communication qu’il incombe au premier chef de déterminer si l’une ou l’autre des exceptions s’applique.  Dans le cas d’une exception discrétionnaire, il lui incombe également de décider s’il convient ou non de l’invoquer pour refuser la communication.  Toutefois, la Loi confère à la Commissaire le pouvoir final de communiquer ou non l’information, sous réserve d’un contrôle judiciaire.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L’objet de l’exception visant les conseils ou les recommandations au sein des institutions gouvernementales a été examiné dans le rapport de la commission Williams et dans la jurisprudence ultérieure.  L’exception a pour objet de garantir l’efficacité et la neutralité de la fonction publique afin que les fonctionnaires puissent donner des conseils de manière complète, ouverte et franche.  Le rapport mentionne le risque que l’omission de soustraire ces éléments à la communication compromette l’exhaustivité des conseils ou des recommandations formulés et la sincérité de leurs auteurs et porte ainsi atteinte à l’image de neutralité de la fonction publique.  Même s’il indique que certaines craintes sont exagérées à cet égard, le rapport reconnaît qu’</w:t>
      </w:r>
      <w:r w:rsidRPr="00E41FC1">
        <w:rPr>
          <w:rFonts w:cs="Times New Roman"/>
          <w:smallCaps/>
          <w:noProof/>
          <w:lang w:val="fr-CA"/>
        </w:rPr>
        <w:t xml:space="preserve">[traduction] </w:t>
      </w:r>
      <w:r w:rsidRPr="00E41FC1">
        <w:rPr>
          <w:rFonts w:cs="Times New Roman"/>
          <w:noProof/>
          <w:lang w:val="fr-CA"/>
        </w:rPr>
        <w:t xml:space="preserve">« il est difficile de déterminer avec précision la valeur de ces </w:t>
      </w:r>
      <w:r w:rsidRPr="00E41FC1">
        <w:rPr>
          <w:rFonts w:cs="Times New Roman"/>
          <w:noProof/>
          <w:lang w:val="fr-CA"/>
        </w:rPr>
        <w:lastRenderedPageBreak/>
        <w:t>prétentions et de prévoir avec certitude les résultats précis d’une transparence accrue des processus de délibération et de prise de décision de l’État » (p</w:t>
      </w:r>
      <w:r w:rsidR="00115CFC">
        <w:rPr>
          <w:rFonts w:cs="Times New Roman"/>
          <w:noProof/>
          <w:lang w:val="fr-CA"/>
        </w:rPr>
        <w:t xml:space="preserve">. </w:t>
      </w:r>
      <w:r w:rsidRPr="00E41FC1">
        <w:rPr>
          <w:rFonts w:cs="Times New Roman"/>
          <w:noProof/>
          <w:lang w:val="fr-CA"/>
        </w:rPr>
        <w:t>289</w:t>
      </w:r>
      <w:r w:rsidR="00B5613D">
        <w:rPr>
          <w:rFonts w:cs="Times New Roman"/>
          <w:noProof/>
          <w:lang w:val="fr-CA"/>
        </w:rPr>
        <w:t>-</w:t>
      </w:r>
      <w:r w:rsidRPr="00E41FC1">
        <w:rPr>
          <w:rFonts w:cs="Times New Roman"/>
          <w:noProof/>
          <w:lang w:val="fr-CA"/>
        </w:rPr>
        <w:t>290).  J’accorde peu d’importance au rapport aux fins de définir la portée du par</w:t>
      </w:r>
      <w:r w:rsidR="00115CFC">
        <w:rPr>
          <w:rFonts w:cs="Times New Roman"/>
          <w:noProof/>
          <w:lang w:val="fr-CA"/>
        </w:rPr>
        <w:t xml:space="preserve">. </w:t>
      </w:r>
      <w:r w:rsidRPr="00E41FC1">
        <w:rPr>
          <w:rFonts w:cs="Times New Roman"/>
          <w:noProof/>
          <w:lang w:val="fr-CA"/>
        </w:rPr>
        <w:t>13(1), mais je reconnais la justesse de son analyse de l’objet du par</w:t>
      </w:r>
      <w:r w:rsidR="00115CFC">
        <w:rPr>
          <w:rFonts w:cs="Times New Roman"/>
          <w:noProof/>
          <w:lang w:val="fr-CA"/>
        </w:rPr>
        <w:t xml:space="preserve">. </w:t>
      </w:r>
      <w:r w:rsidRPr="00E41FC1">
        <w:rPr>
          <w:rFonts w:cs="Times New Roman"/>
          <w:noProof/>
          <w:lang w:val="fr-CA"/>
        </w:rPr>
        <w:t xml:space="preserve">13(1).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À mon avis, dans </w:t>
      </w:r>
      <w:r w:rsidRPr="00E41FC1">
        <w:rPr>
          <w:rFonts w:cs="Times New Roman"/>
          <w:i/>
          <w:noProof/>
          <w:lang w:val="fr-CA"/>
        </w:rPr>
        <w:t>Conseil canadien des œuvres de charité chrétiennes c. Canada (Ministre des Finances)</w:t>
      </w:r>
      <w:r w:rsidRPr="00E41FC1">
        <w:rPr>
          <w:rFonts w:cs="Times New Roman"/>
          <w:noProof/>
          <w:lang w:val="fr-CA"/>
        </w:rPr>
        <w:t>, [1999] 4 C.F. 245, le juge Evans (plus tard juge de la Cour d’appel fédérale) explique de façon convaincante la raison d’être de l’exception relative aux conseils des fonctionnaires.  Même s’il se prononce sur l’exception prévue par la loi fédérale, l’objet et la fonction des exceptions relatives aux conseils et aux recommandations prévues par la loi fédérale et par la loi ontarienne sont les mêmes.  Je ne saurais m’exprimer avec plus d’éloquence, et je fais mienne l’explication du juge Evans</w:t>
      </w:r>
      <w:r w:rsidR="001D2F01">
        <w:rPr>
          <w:rFonts w:cs="Times New Roman"/>
          <w:noProof/>
          <w:lang w:val="fr-CA"/>
        </w:rPr>
        <w:t> :</w:t>
      </w:r>
    </w:p>
    <w:p w:rsidR="008728AB" w:rsidRPr="00E41FC1" w:rsidRDefault="008728AB" w:rsidP="00115CFC">
      <w:pPr>
        <w:pStyle w:val="Citation-AltC"/>
        <w:spacing w:after="240"/>
        <w:ind w:hanging="1166"/>
        <w:contextualSpacing w:val="0"/>
        <w:rPr>
          <w:noProof/>
          <w:lang w:val="fr-CA"/>
        </w:rPr>
      </w:pPr>
      <w:r w:rsidRPr="00E41FC1">
        <w:rPr>
          <w:noProof/>
          <w:lang w:val="fr-CA"/>
        </w:rPr>
        <w:tab/>
        <w:t xml:space="preserve">Autoriser ou exiger la communication [de conseils] donnés par des fonctionnaires, soit à d’autres fonctionnaires, soit à des ministres, et la communication de délibérations confidentielles au sein de la fonction publique concernant [certains choix de] politiques, éroderaient la capacité du gouvernement de formuler et de justifier ses politiques. </w:t>
      </w:r>
    </w:p>
    <w:p w:rsidR="008728AB" w:rsidRPr="00E41FC1" w:rsidRDefault="008728AB" w:rsidP="00823B26">
      <w:pPr>
        <w:pStyle w:val="Citation-AltC"/>
        <w:tabs>
          <w:tab w:val="left" w:pos="1620"/>
        </w:tabs>
        <w:ind w:hanging="1166"/>
        <w:contextualSpacing w:val="0"/>
        <w:rPr>
          <w:noProof/>
          <w:lang w:val="fr-CA"/>
        </w:rPr>
      </w:pPr>
      <w:r w:rsidRPr="00E41FC1">
        <w:rPr>
          <w:noProof/>
          <w:lang w:val="fr-CA"/>
        </w:rPr>
        <w:tab/>
      </w:r>
      <w:r w:rsidR="00823B26">
        <w:rPr>
          <w:noProof/>
          <w:lang w:val="fr-CA"/>
        </w:rPr>
        <w:tab/>
      </w:r>
      <w:r w:rsidRPr="00E41FC1">
        <w:rPr>
          <w:noProof/>
          <w:lang w:val="fr-CA"/>
        </w:rPr>
        <w:t>Cela constituerait un fardeau intolérable que de forcer les ministres et leurs conseillers à soumettre à l’examen du public l’évolution interne des politiques qui sont finalement adoptées.  La communication de ces renseignements révélerait souvent que le processus d’élaboration des politiques s’accompagne de faux départs, d’impasses, de mauvais virages, de changements d’orientation, de demandes [de conseils] ultérieurement rejetés, de réévaluations des priorités et de repondération de l’importance relative des facteurs pertinents au fur et à mesure de l’analyse du problème.  Si ce matériau hautement inflammable tombait entre les mains de journalistes ou d’opposants politiques, il pourrait facilement alimenter un brasier capable de détruire rapidement la crédibilité et l’efficacité du gouvernement.  [par</w:t>
      </w:r>
      <w:r w:rsidR="00115CFC">
        <w:rPr>
          <w:noProof/>
          <w:lang w:val="fr-CA"/>
        </w:rPr>
        <w:t xml:space="preserve">. </w:t>
      </w:r>
      <w:r w:rsidRPr="00E41FC1">
        <w:rPr>
          <w:noProof/>
          <w:lang w:val="fr-CA"/>
        </w:rPr>
        <w:t>30</w:t>
      </w:r>
      <w:r w:rsidR="00823B26">
        <w:rPr>
          <w:noProof/>
          <w:lang w:val="fr-CA"/>
        </w:rPr>
        <w:t>-</w:t>
      </w:r>
      <w:r w:rsidRPr="00E41FC1">
        <w:rPr>
          <w:noProof/>
          <w:lang w:val="fr-CA"/>
        </w:rPr>
        <w:t>31]</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lastRenderedPageBreak/>
        <w:t>La neutralité politique, qu’elle soit réelle ou apparente, est une caractéristique essentielle de la fonction publique au Canada (</w:t>
      </w:r>
      <w:r w:rsidRPr="00E41FC1">
        <w:rPr>
          <w:rFonts w:cs="Times New Roman"/>
          <w:i/>
          <w:noProof/>
          <w:lang w:val="fr-CA"/>
        </w:rPr>
        <w:t>Osborne c. Canada (Conseil du Trésor)</w:t>
      </w:r>
      <w:r w:rsidRPr="00E41FC1">
        <w:rPr>
          <w:rFonts w:cs="Times New Roman"/>
          <w:noProof/>
          <w:lang w:val="fr-CA"/>
        </w:rPr>
        <w:t>, [1991] 2 R.C.S. 69, p</w:t>
      </w:r>
      <w:r w:rsidR="00115CFC">
        <w:rPr>
          <w:rFonts w:cs="Times New Roman"/>
          <w:noProof/>
          <w:lang w:val="fr-CA"/>
        </w:rPr>
        <w:t xml:space="preserve">. </w:t>
      </w:r>
      <w:r w:rsidRPr="00E41FC1">
        <w:rPr>
          <w:rFonts w:cs="Times New Roman"/>
          <w:noProof/>
          <w:lang w:val="fr-CA"/>
        </w:rPr>
        <w:t xml:space="preserve">86; </w:t>
      </w:r>
      <w:r w:rsidRPr="00E41FC1">
        <w:rPr>
          <w:rFonts w:cs="Times New Roman"/>
          <w:i/>
          <w:noProof/>
          <w:lang w:val="fr-CA"/>
        </w:rPr>
        <w:t>SEFPO c. Ontario (Procureur général)</w:t>
      </w:r>
      <w:r w:rsidRPr="00E41FC1">
        <w:rPr>
          <w:rFonts w:cs="Times New Roman"/>
          <w:noProof/>
          <w:lang w:val="fr-CA"/>
        </w:rPr>
        <w:t>, [1987] 2 R.C.S. 2, p</w:t>
      </w:r>
      <w:r w:rsidR="00115CFC">
        <w:rPr>
          <w:rFonts w:cs="Times New Roman"/>
          <w:noProof/>
          <w:lang w:val="fr-CA"/>
        </w:rPr>
        <w:t xml:space="preserve">. </w:t>
      </w:r>
      <w:r w:rsidRPr="00E41FC1">
        <w:rPr>
          <w:rFonts w:cs="Times New Roman"/>
          <w:noProof/>
          <w:lang w:val="fr-CA"/>
        </w:rPr>
        <w:t>44</w:t>
      </w:r>
      <w:r w:rsidR="00823B26">
        <w:rPr>
          <w:rFonts w:cs="Times New Roman"/>
          <w:noProof/>
          <w:lang w:val="fr-CA"/>
        </w:rPr>
        <w:t>-</w:t>
      </w:r>
      <w:r w:rsidRPr="00E41FC1">
        <w:rPr>
          <w:rFonts w:cs="Times New Roman"/>
          <w:noProof/>
          <w:lang w:val="fr-CA"/>
        </w:rPr>
        <w:t>45).  Le fonctionnaire qui sait que son travail pourrait un jour être soumis à l’examen du public pourrait donner des conseils et faire des recommandations de manière moins complète, ouverte et franche, et serait en même temps davantage susceptible de recourir à l’autocensure.  Aussi, un décideur pourrait même hésiter à demander des conseils ou des recommandations écrits sur un sujet controversé s’il sait que l’information ainsi créée pourrait être divulguée.  Exiger la communication de tels conseils ou recommandations risque de faire intervenir des considérations réellement ou apparemment intéressées dans la participation des fonctionnaires au processus décisionnel.</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L’interprétation selon laquelle le mot « conseils » employé au par</w:t>
      </w:r>
      <w:r w:rsidR="00115CFC">
        <w:rPr>
          <w:rFonts w:cs="Times New Roman"/>
          <w:noProof/>
          <w:lang w:val="fr-CA"/>
        </w:rPr>
        <w:t xml:space="preserve">. </w:t>
      </w:r>
      <w:r w:rsidRPr="00E41FC1">
        <w:rPr>
          <w:rFonts w:cs="Times New Roman"/>
          <w:noProof/>
          <w:lang w:val="fr-CA"/>
        </w:rPr>
        <w:t>13(1) s’entend notamment du point de vue d’un fonctionnaire sur les différentes politiques possibles est conforme à l’équilibre établi par le législateur entre l’objectif d’une fonction publique efficace, apte à donner des conseils de manière complète, ouverte et franche, et l’objectif de conférer un véritable droit d’accès à l’information.</w:t>
      </w:r>
    </w:p>
    <w:p w:rsidR="008728AB" w:rsidRPr="00E41FC1" w:rsidRDefault="008728AB" w:rsidP="00115CFC">
      <w:pPr>
        <w:pStyle w:val="Title3LevelTitre3Niveau"/>
        <w:keepNext w:val="0"/>
        <w:rPr>
          <w:rFonts w:cs="Times New Roman"/>
          <w:noProof/>
          <w:lang w:val="fr-CA"/>
        </w:rPr>
      </w:pPr>
      <w:r w:rsidRPr="00E41FC1">
        <w:rPr>
          <w:rFonts w:cs="Times New Roman"/>
          <w:noProof/>
          <w:lang w:val="fr-CA"/>
        </w:rPr>
        <w:t>Application : l’information contenue dans les documents constitue des « conseils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Le choix de politiques figurant dans les documents visés en l’espèce comporte la recommandation expresse de ne pas retenir certaines solutions et des </w:t>
      </w:r>
      <w:r w:rsidRPr="00E41FC1">
        <w:rPr>
          <w:rFonts w:cs="Times New Roman"/>
          <w:noProof/>
          <w:lang w:val="fr-CA"/>
        </w:rPr>
        <w:lastRenderedPageBreak/>
        <w:t>conseils sur toutes celles envisagées.  Bien que seule une petite partie de chacun des documents comporte une recommandation qui privilégie une mesure, que le décideur adoptera ou non, le reste de l’information porte sur les éléments à considérer pour prendre la décision.  Cette information comprend le point de vue de l’auteur sur les avantages et les inconvénients des différentes dates d’entrée en vigueur possibles des modifications.  Elle a été établie afin de jeter les bases du choix opéré par le décideur.  Il s’agit d’un choix de politiques inhérent au processus décisionnel, de « conseils » au sens du par</w:t>
      </w:r>
      <w:r w:rsidR="00115CFC">
        <w:rPr>
          <w:rFonts w:cs="Times New Roman"/>
          <w:noProof/>
          <w:lang w:val="fr-CA"/>
        </w:rPr>
        <w:t xml:space="preserve">. </w:t>
      </w:r>
      <w:r w:rsidRPr="00E41FC1">
        <w:rPr>
          <w:rFonts w:cs="Times New Roman"/>
          <w:noProof/>
          <w:lang w:val="fr-CA"/>
        </w:rPr>
        <w:t xml:space="preserve">13(1). </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Les conseils ou recommandations n’ont pas à parvenir au destinataire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La seconde question en litige dans le pourvoi est celle de savoir si un document doit avoir été transmis pour que le par</w:t>
      </w:r>
      <w:r w:rsidR="00115CFC">
        <w:rPr>
          <w:rFonts w:cs="Times New Roman"/>
          <w:noProof/>
          <w:lang w:val="fr-CA"/>
        </w:rPr>
        <w:t xml:space="preserve">. </w:t>
      </w:r>
      <w:r w:rsidRPr="00E41FC1">
        <w:rPr>
          <w:rFonts w:cs="Times New Roman"/>
          <w:noProof/>
          <w:lang w:val="fr-CA"/>
        </w:rPr>
        <w:t xml:space="preserve">13(1) s’applique.  L’arbitre du bureau de la Commissaire répond par l’affirmative.  Elle conclut que </w:t>
      </w:r>
      <w:r w:rsidRPr="00E41FC1">
        <w:rPr>
          <w:rFonts w:cs="Times New Roman"/>
          <w:smallCaps/>
          <w:noProof/>
          <w:lang w:val="fr-CA"/>
        </w:rPr>
        <w:t>[traduction]</w:t>
      </w:r>
      <w:r w:rsidRPr="00E41FC1">
        <w:rPr>
          <w:rFonts w:cs="Times New Roman"/>
          <w:noProof/>
          <w:lang w:val="fr-CA"/>
        </w:rPr>
        <w:t xml:space="preserve"> « la preuve n’établit pas clairement que l’information contenue dans les documents I à V a été transmise d’une personne à une autre » (p</w:t>
      </w:r>
      <w:r w:rsidR="00115CFC">
        <w:rPr>
          <w:rFonts w:cs="Times New Roman"/>
          <w:noProof/>
          <w:lang w:val="fr-CA"/>
        </w:rPr>
        <w:t xml:space="preserve">. </w:t>
      </w:r>
      <w:r w:rsidRPr="00E41FC1">
        <w:rPr>
          <w:rFonts w:cs="Times New Roman"/>
          <w:noProof/>
          <w:lang w:val="fr-CA"/>
        </w:rPr>
        <w:t xml:space="preserve">8).  Selon elle, il n’est « pas évident que l’information contenue dans ces cinq documents </w:t>
      </w:r>
      <w:r w:rsidR="000F5079">
        <w:rPr>
          <w:rFonts w:cs="Times New Roman"/>
          <w:noProof/>
          <w:lang w:val="fr-CA"/>
        </w:rPr>
        <w:t>[. . .]</w:t>
      </w:r>
      <w:r w:rsidRPr="00E41FC1">
        <w:rPr>
          <w:rFonts w:cs="Times New Roman"/>
          <w:noProof/>
          <w:lang w:val="fr-CA"/>
        </w:rPr>
        <w:t xml:space="preserve"> a été transmise à la personne à qui s’adressaient les conseils et qu’elle a donc servi d’assise à la délibération du ministère » (</w:t>
      </w:r>
      <w:r w:rsidRPr="00E41FC1">
        <w:rPr>
          <w:rFonts w:cs="Times New Roman"/>
          <w:i/>
          <w:noProof/>
          <w:lang w:val="fr-CA"/>
        </w:rPr>
        <w:t>ibid.</w:t>
      </w:r>
      <w:r w:rsidRPr="00E41FC1">
        <w:rPr>
          <w:rFonts w:cs="Times New Roman"/>
          <w:noProof/>
          <w:lang w:val="fr-CA"/>
        </w:rPr>
        <w:t>).</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Le juge Rosenberg conclut qu’il était déraisonnable d’exiger que l’information ait été transmise.  À son avis, il n’y a nulle exigence que </w:t>
      </w:r>
      <w:r w:rsidRPr="00E41FC1">
        <w:rPr>
          <w:rFonts w:cs="Times New Roman"/>
          <w:smallCaps/>
          <w:noProof/>
          <w:lang w:val="fr-CA"/>
        </w:rPr>
        <w:t>[traduction]</w:t>
      </w:r>
      <w:r w:rsidRPr="00E41FC1">
        <w:rPr>
          <w:rFonts w:cs="Times New Roman"/>
          <w:noProof/>
          <w:lang w:val="fr-CA"/>
        </w:rPr>
        <w:t xml:space="preserve"> « l’information </w:t>
      </w:r>
      <w:r w:rsidR="00823B26">
        <w:rPr>
          <w:rFonts w:cs="Times New Roman"/>
          <w:noProof/>
          <w:lang w:val="fr-CA"/>
        </w:rPr>
        <w:t>d</w:t>
      </w:r>
      <w:r w:rsidRPr="00E41FC1">
        <w:rPr>
          <w:rFonts w:cs="Times New Roman"/>
          <w:noProof/>
          <w:lang w:val="fr-CA"/>
        </w:rPr>
        <w:t>es documents a</w:t>
      </w:r>
      <w:r w:rsidR="00823B26">
        <w:rPr>
          <w:rFonts w:cs="Times New Roman"/>
          <w:noProof/>
          <w:lang w:val="fr-CA"/>
        </w:rPr>
        <w:t xml:space="preserve"> </w:t>
      </w:r>
      <w:r w:rsidRPr="00E41FC1">
        <w:rPr>
          <w:rFonts w:cs="Times New Roman"/>
          <w:noProof/>
          <w:lang w:val="fr-CA"/>
        </w:rPr>
        <w:t xml:space="preserve">effectivement </w:t>
      </w:r>
      <w:r w:rsidR="00823B26" w:rsidRPr="00E41FC1">
        <w:rPr>
          <w:rFonts w:cs="Times New Roman"/>
          <w:noProof/>
          <w:lang w:val="fr-CA"/>
        </w:rPr>
        <w:t>été</w:t>
      </w:r>
      <w:r w:rsidR="00823B26">
        <w:rPr>
          <w:rFonts w:cs="Times New Roman"/>
          <w:noProof/>
          <w:lang w:val="fr-CA"/>
        </w:rPr>
        <w:t xml:space="preserve"> remise</w:t>
      </w:r>
      <w:r w:rsidRPr="00E41FC1">
        <w:rPr>
          <w:rFonts w:cs="Times New Roman"/>
          <w:noProof/>
          <w:lang w:val="fr-CA"/>
        </w:rPr>
        <w:t xml:space="preserve"> </w:t>
      </w:r>
      <w:r w:rsidR="00823B26">
        <w:rPr>
          <w:rFonts w:cs="Times New Roman"/>
          <w:noProof/>
          <w:lang w:val="fr-CA"/>
        </w:rPr>
        <w:t>à la personne</w:t>
      </w:r>
      <w:r w:rsidRPr="00E41FC1">
        <w:rPr>
          <w:rFonts w:cs="Times New Roman"/>
          <w:noProof/>
          <w:lang w:val="fr-CA"/>
        </w:rPr>
        <w:t xml:space="preserve"> ultime » (par</w:t>
      </w:r>
      <w:r w:rsidR="00115CFC">
        <w:rPr>
          <w:rFonts w:cs="Times New Roman"/>
          <w:noProof/>
          <w:lang w:val="fr-CA"/>
        </w:rPr>
        <w:t xml:space="preserve">. </w:t>
      </w:r>
      <w:r w:rsidRPr="00E41FC1">
        <w:rPr>
          <w:rFonts w:cs="Times New Roman"/>
          <w:noProof/>
          <w:lang w:val="fr-CA"/>
        </w:rPr>
        <w:t>25).  Il explique, à l’aide d’un exemple, qu’il serait « absurd</w:t>
      </w:r>
      <w:r w:rsidR="00823B26">
        <w:rPr>
          <w:rFonts w:cs="Times New Roman"/>
          <w:noProof/>
          <w:lang w:val="fr-CA"/>
        </w:rPr>
        <w:t>[</w:t>
      </w:r>
      <w:r w:rsidRPr="00E41FC1">
        <w:rPr>
          <w:rFonts w:cs="Times New Roman"/>
          <w:noProof/>
          <w:lang w:val="fr-CA"/>
        </w:rPr>
        <w:t>e</w:t>
      </w:r>
      <w:r w:rsidR="00823B26">
        <w:rPr>
          <w:rFonts w:cs="Times New Roman"/>
          <w:noProof/>
          <w:lang w:val="fr-CA"/>
        </w:rPr>
        <w:t>]</w:t>
      </w:r>
      <w:r w:rsidRPr="00E41FC1">
        <w:rPr>
          <w:rFonts w:cs="Times New Roman"/>
          <w:noProof/>
          <w:lang w:val="fr-CA"/>
        </w:rPr>
        <w:t xml:space="preserve"> et déraisonnabl</w:t>
      </w:r>
      <w:r w:rsidR="00823B26">
        <w:rPr>
          <w:rFonts w:cs="Times New Roman"/>
          <w:noProof/>
          <w:lang w:val="fr-CA"/>
        </w:rPr>
        <w:t>[</w:t>
      </w:r>
      <w:r w:rsidRPr="00E41FC1">
        <w:rPr>
          <w:rFonts w:cs="Times New Roman"/>
          <w:noProof/>
          <w:lang w:val="fr-CA"/>
        </w:rPr>
        <w:t>e</w:t>
      </w:r>
      <w:r w:rsidR="00823B26">
        <w:rPr>
          <w:rFonts w:cs="Times New Roman"/>
          <w:noProof/>
          <w:lang w:val="fr-CA"/>
        </w:rPr>
        <w:t>]</w:t>
      </w:r>
      <w:r w:rsidRPr="00E41FC1">
        <w:rPr>
          <w:rFonts w:cs="Times New Roman"/>
          <w:noProof/>
          <w:lang w:val="fr-CA"/>
        </w:rPr>
        <w:t xml:space="preserve"> » </w:t>
      </w:r>
      <w:r w:rsidRPr="00E41FC1">
        <w:rPr>
          <w:rFonts w:cs="Times New Roman"/>
          <w:noProof/>
          <w:lang w:val="fr-CA"/>
        </w:rPr>
        <w:lastRenderedPageBreak/>
        <w:t xml:space="preserve">de soustraire un document à la communication parce que, selon la preuve, il a été transmis au décideur, et de ne pas protéger une version antérieure au contenu similaire.  Il serait « illusoire et </w:t>
      </w:r>
      <w:r w:rsidR="00A17CC8">
        <w:rPr>
          <w:rFonts w:cs="Times New Roman"/>
          <w:noProof/>
          <w:lang w:val="fr-CA"/>
        </w:rPr>
        <w:t>dépourv[u] de sens</w:t>
      </w:r>
      <w:r w:rsidRPr="00E41FC1">
        <w:rPr>
          <w:rFonts w:cs="Times New Roman"/>
          <w:noProof/>
          <w:lang w:val="fr-CA"/>
        </w:rPr>
        <w:t> » de protéger la version transmise si les versions antérieures ne l’étaient pas, peu importe que leur transmission soit établie ou non (par</w:t>
      </w:r>
      <w:r w:rsidR="00115CFC">
        <w:rPr>
          <w:rFonts w:cs="Times New Roman"/>
          <w:noProof/>
          <w:lang w:val="fr-CA"/>
        </w:rPr>
        <w:t xml:space="preserve">. </w:t>
      </w:r>
      <w:r w:rsidRPr="00E41FC1">
        <w:rPr>
          <w:rFonts w:cs="Times New Roman"/>
          <w:noProof/>
          <w:lang w:val="fr-CA"/>
        </w:rPr>
        <w:t>28).  Quoi qu’il en soit, il statue que, « </w:t>
      </w:r>
      <w:r w:rsidR="00A17CC8">
        <w:rPr>
          <w:rFonts w:cs="Times New Roman"/>
          <w:noProof/>
          <w:lang w:val="fr-CA"/>
        </w:rPr>
        <w:t>[</w:t>
      </w:r>
      <w:r w:rsidRPr="00E41FC1">
        <w:rPr>
          <w:rFonts w:cs="Times New Roman"/>
          <w:noProof/>
          <w:lang w:val="fr-CA"/>
        </w:rPr>
        <w:t>e</w:t>
      </w:r>
      <w:r w:rsidR="00A17CC8">
        <w:rPr>
          <w:rFonts w:cs="Times New Roman"/>
          <w:noProof/>
          <w:lang w:val="fr-CA"/>
        </w:rPr>
        <w:t>]</w:t>
      </w:r>
      <w:r w:rsidRPr="00E41FC1">
        <w:rPr>
          <w:rFonts w:cs="Times New Roman"/>
          <w:noProof/>
          <w:lang w:val="fr-CA"/>
        </w:rPr>
        <w:t>n l’espèce,</w:t>
      </w:r>
      <w:r w:rsidR="00A17CC8">
        <w:rPr>
          <w:rFonts w:cs="Times New Roman"/>
          <w:noProof/>
          <w:lang w:val="fr-CA"/>
        </w:rPr>
        <w:t xml:space="preserve"> une</w:t>
      </w:r>
      <w:r w:rsidRPr="00E41FC1">
        <w:rPr>
          <w:rFonts w:cs="Times New Roman"/>
          <w:noProof/>
          <w:lang w:val="fr-CA"/>
        </w:rPr>
        <w:t xml:space="preserve"> preuve circonstancielle</w:t>
      </w:r>
      <w:r w:rsidR="00A17CC8">
        <w:rPr>
          <w:rFonts w:cs="Times New Roman"/>
          <w:noProof/>
          <w:lang w:val="fr-CA"/>
        </w:rPr>
        <w:t xml:space="preserve"> très convaincante</w:t>
      </w:r>
      <w:r w:rsidRPr="00E41FC1">
        <w:rPr>
          <w:rFonts w:cs="Times New Roman"/>
          <w:noProof/>
          <w:lang w:val="fr-CA"/>
        </w:rPr>
        <w:t xml:space="preserve"> établit que les six documents </w:t>
      </w:r>
      <w:r w:rsidR="00A17CC8">
        <w:rPr>
          <w:rFonts w:cs="Times New Roman"/>
          <w:noProof/>
          <w:lang w:val="fr-CA"/>
        </w:rPr>
        <w:t>s’ins</w:t>
      </w:r>
      <w:r w:rsidR="001F10D0">
        <w:rPr>
          <w:rFonts w:cs="Times New Roman"/>
          <w:noProof/>
          <w:lang w:val="fr-CA"/>
        </w:rPr>
        <w:t xml:space="preserve">crivaient dans le processus de </w:t>
      </w:r>
      <w:r w:rsidR="00A17CC8">
        <w:rPr>
          <w:rFonts w:cs="Times New Roman"/>
          <w:noProof/>
          <w:lang w:val="fr-CA"/>
        </w:rPr>
        <w:t>délibération</w:t>
      </w:r>
      <w:r w:rsidRPr="00E41FC1">
        <w:rPr>
          <w:rFonts w:cs="Times New Roman"/>
          <w:noProof/>
          <w:lang w:val="fr-CA"/>
        </w:rPr>
        <w:t xml:space="preserve"> qui </w:t>
      </w:r>
      <w:r w:rsidR="00A17CC8">
        <w:rPr>
          <w:rFonts w:cs="Times New Roman"/>
          <w:noProof/>
          <w:lang w:val="fr-CA"/>
        </w:rPr>
        <w:t>a</w:t>
      </w:r>
      <w:r w:rsidR="001F10D0">
        <w:rPr>
          <w:rFonts w:cs="Times New Roman"/>
          <w:noProof/>
          <w:lang w:val="fr-CA"/>
        </w:rPr>
        <w:t xml:space="preserve"> mené à la décision du M</w:t>
      </w:r>
      <w:r w:rsidRPr="00E41FC1">
        <w:rPr>
          <w:rFonts w:cs="Times New Roman"/>
          <w:noProof/>
          <w:lang w:val="fr-CA"/>
        </w:rPr>
        <w:t>inistre » (par</w:t>
      </w:r>
      <w:r w:rsidR="00115CFC">
        <w:rPr>
          <w:rFonts w:cs="Times New Roman"/>
          <w:noProof/>
          <w:lang w:val="fr-CA"/>
        </w:rPr>
        <w:t xml:space="preserve">. </w:t>
      </w:r>
      <w:r w:rsidRPr="00E41FC1">
        <w:rPr>
          <w:rFonts w:cs="Times New Roman"/>
          <w:noProof/>
          <w:lang w:val="fr-CA"/>
        </w:rPr>
        <w:t>27)</w:t>
      </w:r>
      <w:r>
        <w:rPr>
          <w:rFonts w:cs="Times New Roman"/>
          <w:noProof/>
          <w:lang w:val="fr-CA"/>
        </w:rPr>
        <w:t>.</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Aucun élément du par</w:t>
      </w:r>
      <w:r w:rsidR="00115CFC">
        <w:rPr>
          <w:rFonts w:cs="Times New Roman"/>
          <w:noProof/>
          <w:lang w:val="fr-CA"/>
        </w:rPr>
        <w:t xml:space="preserve">. </w:t>
      </w:r>
      <w:r w:rsidRPr="00E41FC1">
        <w:rPr>
          <w:rFonts w:cs="Times New Roman"/>
          <w:noProof/>
          <w:lang w:val="fr-CA"/>
        </w:rPr>
        <w:t>13(1) n’exige la transmission des conseils ou des recommandations pour que ceux</w:t>
      </w:r>
      <w:r w:rsidR="00115CFC">
        <w:rPr>
          <w:rFonts w:cs="Times New Roman"/>
          <w:noProof/>
          <w:lang w:val="fr-CA"/>
        </w:rPr>
        <w:t>-</w:t>
      </w:r>
      <w:r w:rsidRPr="00E41FC1">
        <w:rPr>
          <w:rFonts w:cs="Times New Roman"/>
          <w:noProof/>
          <w:lang w:val="fr-CA"/>
        </w:rPr>
        <w:t xml:space="preserve">ci puissent bénéficier de l’exception qui les soustrait à la communication.  Un fonctionnaire peut entreprendre la rédaction d’un nombre illimité d’ébauches avant de transmettre leur contenu, en partie ou en totalité, à une autre personne.  La nature du processus délibératif suppose la rédaction et la reformulation de conseils ou de recommandations jusqu’à ce que l’auteur s’estime suffisamment prêt à transmettre le résultat de son travail à une autre personne.  Toute l’information contenue dans ces ébauches antérieures contribue au résultat final, même si celle que renferme l’une ou l’autre d’entre elles ne figure pas dans la version finale.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 xml:space="preserve">La protection serait en effet illusoire si seul le document transmis était soustrait à la communication, pas ses ébauches.  Elle serait également illusoire si une ébauche n’était protégée que s’il était démontré qu’elle a mené à la version finale transmise.  Pour respecter l’objet de l’exception — faire en sorte que les </w:t>
      </w:r>
      <w:r w:rsidRPr="00E41FC1">
        <w:rPr>
          <w:rFonts w:cs="Times New Roman"/>
          <w:noProof/>
          <w:lang w:val="fr-CA"/>
        </w:rPr>
        <w:lastRenderedPageBreak/>
        <w:t>fonctionnaires ou les experts</w:t>
      </w:r>
      <w:r w:rsidR="00115CFC">
        <w:rPr>
          <w:rFonts w:cs="Times New Roman"/>
          <w:noProof/>
          <w:lang w:val="fr-CA"/>
        </w:rPr>
        <w:t>-</w:t>
      </w:r>
      <w:r w:rsidRPr="00E41FC1">
        <w:rPr>
          <w:rFonts w:cs="Times New Roman"/>
          <w:noProof/>
          <w:lang w:val="fr-CA"/>
        </w:rPr>
        <w:t>conseils participent de manière complète, ouverte et franche au processus délibératif —, l’applicabilité du par</w:t>
      </w:r>
      <w:r w:rsidR="00115CFC">
        <w:rPr>
          <w:rFonts w:cs="Times New Roman"/>
          <w:noProof/>
          <w:lang w:val="fr-CA"/>
        </w:rPr>
        <w:t xml:space="preserve">. </w:t>
      </w:r>
      <w:r w:rsidRPr="00E41FC1">
        <w:rPr>
          <w:rFonts w:cs="Times New Roman"/>
          <w:noProof/>
          <w:lang w:val="fr-CA"/>
        </w:rPr>
        <w:t>13(1) doit être susceptible de détermination au moment où ces personnes préparent leurs conseils ou leurs recommandations.  À ce stade, il n’y aura pas eu transmission à quiconque.  Par conséquent, la preuve de la transmission ne saurait constituer un préalable à l’application du par</w:t>
      </w:r>
      <w:r w:rsidR="00115CFC">
        <w:rPr>
          <w:rFonts w:cs="Times New Roman"/>
          <w:noProof/>
          <w:lang w:val="fr-CA"/>
        </w:rPr>
        <w:t xml:space="preserve">. </w:t>
      </w:r>
      <w:r w:rsidRPr="00E41FC1">
        <w:rPr>
          <w:rFonts w:cs="Times New Roman"/>
          <w:noProof/>
          <w:lang w:val="fr-CA"/>
        </w:rPr>
        <w:t>13(1).  De plus, la tâche qui consiste à élaborer des politiques, qu’elle soit confiée à un fonctionnaire ou à une autre personne employée par une institution ou un expert</w:t>
      </w:r>
      <w:r w:rsidR="00115CFC">
        <w:rPr>
          <w:rFonts w:cs="Times New Roman"/>
          <w:noProof/>
          <w:lang w:val="fr-CA"/>
        </w:rPr>
        <w:t>-</w:t>
      </w:r>
      <w:r w:rsidRPr="00E41FC1">
        <w:rPr>
          <w:rFonts w:cs="Times New Roman"/>
          <w:noProof/>
          <w:lang w:val="fr-CA"/>
        </w:rPr>
        <w:t>conseil dont l’institution retient les services, suppose implicitement l’intention de transmettre tous conseils ou recommandations susceptibles d’en résulter.  Partant, l’application du par</w:t>
      </w:r>
      <w:r w:rsidR="00115CFC">
        <w:rPr>
          <w:rFonts w:cs="Times New Roman"/>
          <w:noProof/>
          <w:lang w:val="fr-CA"/>
        </w:rPr>
        <w:t xml:space="preserve">. </w:t>
      </w:r>
      <w:r w:rsidRPr="00E41FC1">
        <w:rPr>
          <w:rFonts w:cs="Times New Roman"/>
          <w:noProof/>
          <w:lang w:val="fr-CA"/>
        </w:rPr>
        <w:t>13(1) ne requiert pas la preuve de la transmission, celle</w:t>
      </w:r>
      <w:r w:rsidR="00115CFC">
        <w:rPr>
          <w:rFonts w:cs="Times New Roman"/>
          <w:noProof/>
          <w:lang w:val="fr-CA"/>
        </w:rPr>
        <w:t>-</w:t>
      </w:r>
      <w:r w:rsidRPr="00E41FC1">
        <w:rPr>
          <w:rFonts w:cs="Times New Roman"/>
          <w:noProof/>
          <w:lang w:val="fr-CA"/>
        </w:rPr>
        <w:t>ci étant l’objectif inhérent à la fonction ou au mandat.</w:t>
      </w:r>
    </w:p>
    <w:p w:rsidR="008728AB" w:rsidRPr="00E41FC1" w:rsidRDefault="008728AB" w:rsidP="00115CFC">
      <w:pPr>
        <w:pStyle w:val="Title2LevelTitre2Niveau"/>
        <w:keepNext w:val="0"/>
        <w:rPr>
          <w:rFonts w:cs="Times New Roman"/>
          <w:noProof/>
          <w:lang w:val="fr-CA"/>
        </w:rPr>
      </w:pPr>
      <w:r w:rsidRPr="00E41FC1">
        <w:rPr>
          <w:rFonts w:cs="Times New Roman"/>
          <w:noProof/>
          <w:lang w:val="fr-CA"/>
        </w:rPr>
        <w:t>Exercice du pouvoir discrétionnaire</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Il importe de souligner que la décision visée au par</w:t>
      </w:r>
      <w:r w:rsidR="00115CFC">
        <w:rPr>
          <w:rFonts w:cs="Times New Roman"/>
          <w:noProof/>
          <w:lang w:val="fr-CA"/>
        </w:rPr>
        <w:t xml:space="preserve">. </w:t>
      </w:r>
      <w:r w:rsidRPr="00E41FC1">
        <w:rPr>
          <w:rFonts w:cs="Times New Roman"/>
          <w:noProof/>
          <w:lang w:val="fr-CA"/>
        </w:rPr>
        <w:t>13(1) est de nature discrétionnaire et que le responsable de l’institution doit exercer son pouvoir conformément à la loi (</w:t>
      </w:r>
      <w:r w:rsidRPr="00E41FC1">
        <w:rPr>
          <w:rFonts w:cs="Times New Roman"/>
          <w:i/>
          <w:noProof/>
          <w:lang w:val="fr-CA"/>
        </w:rPr>
        <w:t>Telezone</w:t>
      </w:r>
      <w:r w:rsidRPr="00E41FC1">
        <w:rPr>
          <w:rFonts w:cs="Times New Roman"/>
          <w:noProof/>
          <w:lang w:val="fr-CA"/>
        </w:rPr>
        <w:t>, par</w:t>
      </w:r>
      <w:r w:rsidR="00115CFC">
        <w:rPr>
          <w:rFonts w:cs="Times New Roman"/>
          <w:noProof/>
          <w:lang w:val="fr-CA"/>
        </w:rPr>
        <w:t xml:space="preserve">. </w:t>
      </w:r>
      <w:r w:rsidRPr="00E41FC1">
        <w:rPr>
          <w:rFonts w:cs="Times New Roman"/>
          <w:noProof/>
          <w:lang w:val="fr-CA"/>
        </w:rPr>
        <w:t>45, 100, 102, 107</w:t>
      </w:r>
      <w:r w:rsidR="00A17CC8">
        <w:rPr>
          <w:rFonts w:cs="Times New Roman"/>
          <w:noProof/>
          <w:lang w:val="fr-CA"/>
        </w:rPr>
        <w:t>-</w:t>
      </w:r>
      <w:r w:rsidRPr="00E41FC1">
        <w:rPr>
          <w:rFonts w:cs="Times New Roman"/>
          <w:noProof/>
          <w:lang w:val="fr-CA"/>
        </w:rPr>
        <w:t>109 et 112</w:t>
      </w:r>
      <w:r w:rsidR="00A17CC8">
        <w:rPr>
          <w:rFonts w:cs="Times New Roman"/>
          <w:noProof/>
          <w:lang w:val="fr-CA"/>
        </w:rPr>
        <w:t>-</w:t>
      </w:r>
      <w:r w:rsidRPr="00E41FC1">
        <w:rPr>
          <w:rFonts w:cs="Times New Roman"/>
          <w:noProof/>
          <w:lang w:val="fr-CA"/>
        </w:rPr>
        <w:t xml:space="preserve">116; </w:t>
      </w:r>
      <w:r w:rsidRPr="00E41FC1">
        <w:rPr>
          <w:rFonts w:cs="Times New Roman"/>
          <w:i/>
          <w:noProof/>
          <w:lang w:val="fr-CA"/>
        </w:rPr>
        <w:t>Ontario c. CLA</w:t>
      </w:r>
      <w:r w:rsidRPr="00E41FC1">
        <w:rPr>
          <w:rFonts w:cs="Times New Roman"/>
          <w:noProof/>
          <w:lang w:val="fr-CA"/>
        </w:rPr>
        <w:t>, par</w:t>
      </w:r>
      <w:r w:rsidR="00115CFC">
        <w:rPr>
          <w:rFonts w:cs="Times New Roman"/>
          <w:noProof/>
          <w:lang w:val="fr-CA"/>
        </w:rPr>
        <w:t xml:space="preserve">. </w:t>
      </w:r>
      <w:r w:rsidRPr="00E41FC1">
        <w:rPr>
          <w:rFonts w:cs="Times New Roman"/>
          <w:noProof/>
          <w:lang w:val="fr-CA"/>
        </w:rPr>
        <w:t xml:space="preserve">66, 69 et 71).  Comme le signale la Cour dans </w:t>
      </w:r>
      <w:r w:rsidRPr="00E41FC1">
        <w:rPr>
          <w:rFonts w:cs="Times New Roman"/>
          <w:i/>
          <w:noProof/>
          <w:lang w:val="fr-CA"/>
        </w:rPr>
        <w:t>Ontario c. CLA</w:t>
      </w:r>
      <w:r w:rsidRPr="00E41FC1">
        <w:rPr>
          <w:rFonts w:cs="Times New Roman"/>
          <w:noProof/>
          <w:lang w:val="fr-CA"/>
        </w:rPr>
        <w:t> :</w:t>
      </w:r>
    </w:p>
    <w:p w:rsidR="008728AB" w:rsidRPr="00E41FC1" w:rsidRDefault="008728AB" w:rsidP="00A17CC8">
      <w:pPr>
        <w:pStyle w:val="Citation-AltC"/>
        <w:tabs>
          <w:tab w:val="left" w:pos="1620"/>
        </w:tabs>
        <w:ind w:hanging="1166"/>
        <w:contextualSpacing w:val="0"/>
        <w:rPr>
          <w:noProof/>
          <w:lang w:val="fr-CA"/>
        </w:rPr>
      </w:pPr>
      <w:r w:rsidRPr="00E41FC1">
        <w:rPr>
          <w:noProof/>
          <w:lang w:val="fr-CA"/>
        </w:rPr>
        <w:tab/>
      </w:r>
      <w:r w:rsidR="00A17CC8">
        <w:rPr>
          <w:noProof/>
          <w:lang w:val="fr-CA"/>
        </w:rPr>
        <w:tab/>
      </w:r>
      <w:r w:rsidRPr="00E41FC1">
        <w:rPr>
          <w:noProof/>
          <w:lang w:val="fr-CA"/>
        </w:rPr>
        <w:t>La Commissaire peut annuler la décision de ne pas [communiquer] et renvoyer l’affaire pour réexamen lorsque : la décision a été prise de mauvaise foi ou était mal fondée; la décision a pris en compte des considérations non pertinentes; ou la décision a été prise en omettant de tenir compte de facteurs pertinents.  [par</w:t>
      </w:r>
      <w:r w:rsidR="00115CFC">
        <w:rPr>
          <w:noProof/>
          <w:lang w:val="fr-CA"/>
        </w:rPr>
        <w:t xml:space="preserve">. </w:t>
      </w:r>
      <w:r w:rsidRPr="00E41FC1">
        <w:rPr>
          <w:noProof/>
          <w:lang w:val="fr-CA"/>
        </w:rPr>
        <w:t>71]</w:t>
      </w:r>
    </w:p>
    <w:p w:rsidR="008728AB" w:rsidRPr="00E41FC1" w:rsidRDefault="008728AB" w:rsidP="00115CFC">
      <w:pPr>
        <w:pStyle w:val="ContinueParaSuitedupar-AltP"/>
        <w:rPr>
          <w:rFonts w:cs="Times New Roman"/>
          <w:noProof/>
          <w:lang w:val="fr-CA"/>
        </w:rPr>
      </w:pPr>
      <w:r w:rsidRPr="00E41FC1">
        <w:rPr>
          <w:rFonts w:cs="Times New Roman"/>
          <w:noProof/>
          <w:lang w:val="fr-CA"/>
        </w:rPr>
        <w:lastRenderedPageBreak/>
        <w:t>Rien ne laisse croire en l’espèce que l’exercice du pouvoir discrétionnaire de la personne responsable de l’institution était contestable.</w:t>
      </w:r>
    </w:p>
    <w:p w:rsidR="008728AB" w:rsidRPr="00E41FC1" w:rsidRDefault="008728AB" w:rsidP="00115CFC">
      <w:pPr>
        <w:pStyle w:val="Title1LevelTitre1Niveau-AltL"/>
        <w:keepNext w:val="0"/>
        <w:rPr>
          <w:rFonts w:cs="Times New Roman"/>
          <w:noProof/>
          <w:lang w:val="fr-CA"/>
        </w:rPr>
      </w:pPr>
      <w:r w:rsidRPr="00E41FC1">
        <w:rPr>
          <w:rFonts w:cs="Times New Roman"/>
          <w:noProof/>
          <w:lang w:val="fr-CA"/>
        </w:rPr>
        <w:t xml:space="preserve">Conclusion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Il était déraisonnable que, dans son ordonnance, la Commissaire exige la communication des documents au motif que la teneur de la plupart d’entre eux ne révélait aucune mesure préconisée.  La décision reposait sur des définitions des termes « conseils » et « recommandations » qui ne permettaient pas que ceux</w:t>
      </w:r>
      <w:r w:rsidR="00115CFC">
        <w:rPr>
          <w:rFonts w:cs="Times New Roman"/>
          <w:noProof/>
          <w:lang w:val="fr-CA"/>
        </w:rPr>
        <w:t>-</w:t>
      </w:r>
      <w:r w:rsidRPr="00E41FC1">
        <w:rPr>
          <w:rFonts w:cs="Times New Roman"/>
          <w:noProof/>
          <w:lang w:val="fr-CA"/>
        </w:rPr>
        <w:t>ci aient des portées différentes.  Il était également déraisonnable d’exiger la preuve que l’information contenue dans les documents en cause ait été transmise pour que ceux-ci puissent bénéficier de l’exception prévue au par</w:t>
      </w:r>
      <w:r w:rsidR="00115CFC">
        <w:rPr>
          <w:rFonts w:cs="Times New Roman"/>
          <w:noProof/>
          <w:lang w:val="fr-CA"/>
        </w:rPr>
        <w:t xml:space="preserve">. </w:t>
      </w:r>
      <w:r w:rsidRPr="00E41FC1">
        <w:rPr>
          <w:rFonts w:cs="Times New Roman"/>
          <w:noProof/>
          <w:lang w:val="fr-CA"/>
        </w:rPr>
        <w:t xml:space="preserve">13(1).  Un choix de politiques préparé dans le cadre d’un processus décisionnel comme celui contenu dans les documents en cause, qu’il ait été transmis ou non, répond à la définition des mots « conseils ou </w:t>
      </w:r>
      <w:r w:rsidR="000F5079">
        <w:rPr>
          <w:rFonts w:cs="Times New Roman"/>
          <w:noProof/>
          <w:lang w:val="fr-CA"/>
        </w:rPr>
        <w:t>[. . .]</w:t>
      </w:r>
      <w:r w:rsidRPr="00E41FC1">
        <w:rPr>
          <w:rFonts w:cs="Times New Roman"/>
          <w:noProof/>
          <w:lang w:val="fr-CA"/>
        </w:rPr>
        <w:t xml:space="preserve"> recommandations » employés au par</w:t>
      </w:r>
      <w:r w:rsidR="00115CFC">
        <w:rPr>
          <w:rFonts w:cs="Times New Roman"/>
          <w:noProof/>
          <w:lang w:val="fr-CA"/>
        </w:rPr>
        <w:t xml:space="preserve">. </w:t>
      </w:r>
      <w:r w:rsidRPr="00E41FC1">
        <w:rPr>
          <w:rFonts w:cs="Times New Roman"/>
          <w:noProof/>
          <w:lang w:val="fr-CA"/>
        </w:rPr>
        <w:t xml:space="preserve">13(1).  Il bénéficie donc de l’exception à la communication. </w:t>
      </w:r>
    </w:p>
    <w:p w:rsidR="008728AB" w:rsidRPr="00E41FC1" w:rsidRDefault="008728AB" w:rsidP="00115CFC">
      <w:pPr>
        <w:pStyle w:val="ParaNoNdepar-AltN"/>
        <w:tabs>
          <w:tab w:val="clear" w:pos="1602"/>
        </w:tabs>
        <w:ind w:left="0"/>
        <w:rPr>
          <w:rFonts w:cs="Times New Roman"/>
          <w:noProof/>
          <w:lang w:val="fr-CA"/>
        </w:rPr>
      </w:pPr>
      <w:r w:rsidRPr="00E41FC1">
        <w:rPr>
          <w:rFonts w:cs="Times New Roman"/>
          <w:noProof/>
          <w:lang w:val="fr-CA"/>
        </w:rPr>
        <w:t>Suivant le par</w:t>
      </w:r>
      <w:r w:rsidR="00115CFC">
        <w:rPr>
          <w:rFonts w:cs="Times New Roman"/>
          <w:noProof/>
          <w:lang w:val="fr-CA"/>
        </w:rPr>
        <w:t xml:space="preserve">. </w:t>
      </w:r>
      <w:r w:rsidRPr="00E41FC1">
        <w:rPr>
          <w:rFonts w:cs="Times New Roman"/>
          <w:noProof/>
          <w:lang w:val="fr-CA"/>
        </w:rPr>
        <w:t xml:space="preserve">10(2) de la </w:t>
      </w:r>
      <w:r w:rsidRPr="00E41FC1">
        <w:rPr>
          <w:rFonts w:cs="Times New Roman"/>
          <w:i/>
          <w:noProof/>
          <w:lang w:val="fr-CA"/>
        </w:rPr>
        <w:t>LAIPVP</w:t>
      </w:r>
      <w:r w:rsidRPr="00E41FC1">
        <w:rPr>
          <w:rFonts w:cs="Times New Roman"/>
          <w:noProof/>
          <w:lang w:val="fr-CA"/>
        </w:rPr>
        <w:t xml:space="preserve">, « la partie du document qui peut raisonnablement en être extraite sans divulguer [l’information faisant l’objet de l’une des exceptions] » </w:t>
      </w:r>
      <w:r w:rsidRPr="00E41FC1">
        <w:rPr>
          <w:rFonts w:cs="Times New Roman"/>
          <w:i/>
          <w:noProof/>
          <w:lang w:val="fr-CA"/>
        </w:rPr>
        <w:t>doit</w:t>
      </w:r>
      <w:r w:rsidRPr="00E41FC1">
        <w:rPr>
          <w:rFonts w:cs="Times New Roman"/>
          <w:noProof/>
          <w:lang w:val="fr-CA"/>
        </w:rPr>
        <w:t xml:space="preserve"> être communiquée.  Dans l’ordonnance de la Commissaire, l’arbitre signale que, si les documents avaient été transmis, elle les aurait caviardés et n’aurait soustrait à la communication que </w:t>
      </w:r>
      <w:r w:rsidRPr="00E41FC1">
        <w:rPr>
          <w:rFonts w:cs="Times New Roman"/>
          <w:smallCaps/>
          <w:noProof/>
          <w:lang w:val="fr-CA"/>
        </w:rPr>
        <w:t>[traduction]</w:t>
      </w:r>
      <w:r w:rsidRPr="00E41FC1">
        <w:rPr>
          <w:rFonts w:cs="Times New Roman"/>
          <w:noProof/>
          <w:lang w:val="fr-CA"/>
        </w:rPr>
        <w:t xml:space="preserve"> « l’information qui préconise une mesure qui sera finalement acceptée ou rejetée par la personne conseillée » (p</w:t>
      </w:r>
      <w:r w:rsidR="00115CFC">
        <w:rPr>
          <w:rFonts w:cs="Times New Roman"/>
          <w:noProof/>
          <w:lang w:val="fr-CA"/>
        </w:rPr>
        <w:t xml:space="preserve">. </w:t>
      </w:r>
      <w:r w:rsidRPr="00E41FC1">
        <w:rPr>
          <w:rFonts w:cs="Times New Roman"/>
          <w:noProof/>
          <w:lang w:val="fr-CA"/>
        </w:rPr>
        <w:t xml:space="preserve">9).  Or, l’arbitre applique une définition déraisonnable du terme </w:t>
      </w:r>
      <w:r w:rsidRPr="00E41FC1">
        <w:rPr>
          <w:rFonts w:cs="Times New Roman"/>
          <w:noProof/>
          <w:lang w:val="fr-CA"/>
        </w:rPr>
        <w:lastRenderedPageBreak/>
        <w:t>« conseils ».  Les présents motifs assimilent un choix de politiques à des « conseils ».  Les documents constituant dans leur ensemble un choix de politiques, ils ne se prêtent pas au caviardage.  Ils sont donc entièrement visés par l’exception à la communication.</w:t>
      </w:r>
    </w:p>
    <w:p w:rsidR="008728AB" w:rsidRDefault="008728AB" w:rsidP="00115CFC">
      <w:pPr>
        <w:pStyle w:val="ParaNoNdepar-AltN"/>
        <w:tabs>
          <w:tab w:val="clear" w:pos="1602"/>
        </w:tabs>
        <w:ind w:left="0"/>
        <w:rPr>
          <w:rFonts w:cs="Times New Roman"/>
          <w:noProof/>
          <w:lang w:val="fr-CA"/>
        </w:rPr>
      </w:pPr>
      <w:r w:rsidRPr="00E41FC1">
        <w:rPr>
          <w:rFonts w:cs="Times New Roman"/>
          <w:noProof/>
          <w:lang w:val="fr-CA"/>
        </w:rPr>
        <w:t>Les documents renferment des « recommandations » et des « conseils » et peuvent faire l’objet de l’exception prévue au par</w:t>
      </w:r>
      <w:r w:rsidR="00115CFC">
        <w:rPr>
          <w:rFonts w:cs="Times New Roman"/>
          <w:noProof/>
          <w:lang w:val="fr-CA"/>
        </w:rPr>
        <w:t xml:space="preserve">. </w:t>
      </w:r>
      <w:r w:rsidRPr="00E41FC1">
        <w:rPr>
          <w:rFonts w:cs="Times New Roman"/>
          <w:noProof/>
          <w:lang w:val="fr-CA"/>
        </w:rPr>
        <w:t xml:space="preserve">13(1) de la </w:t>
      </w:r>
      <w:r w:rsidRPr="00E41FC1">
        <w:rPr>
          <w:rFonts w:cs="Times New Roman"/>
          <w:i/>
          <w:noProof/>
          <w:lang w:val="fr-CA"/>
        </w:rPr>
        <w:t>LAIPVP</w:t>
      </w:r>
      <w:r w:rsidRPr="00E41FC1">
        <w:rPr>
          <w:rFonts w:cs="Times New Roman"/>
          <w:noProof/>
          <w:lang w:val="fr-CA"/>
        </w:rPr>
        <w:t>.  Le pourvoi doit être rejeté.  Il serait inutile de renvoyer l’affaire à la Commissaire pour qu’elle rende une nouvelle décision.  Avec l’accord des parties, nuls dépens ne sont adjugés.</w:t>
      </w:r>
    </w:p>
    <w:p w:rsidR="008728AB" w:rsidRPr="009E29A0" w:rsidRDefault="008728AB" w:rsidP="009E29A0">
      <w:pPr>
        <w:pStyle w:val="ParaNoNdepar-AltN"/>
        <w:numPr>
          <w:ilvl w:val="0"/>
          <w:numId w:val="0"/>
        </w:numPr>
        <w:spacing w:after="240"/>
        <w:jc w:val="center"/>
        <w:rPr>
          <w:rFonts w:cs="Times New Roman"/>
          <w:b/>
          <w:noProof/>
          <w:lang w:val="fr-CA"/>
        </w:rPr>
      </w:pPr>
      <w:r w:rsidRPr="009E29A0">
        <w:rPr>
          <w:rFonts w:cs="Times New Roman"/>
          <w:b/>
          <w:noProof/>
          <w:lang w:val="fr-CA"/>
        </w:rPr>
        <w:t>ANNEXE</w:t>
      </w:r>
    </w:p>
    <w:p w:rsidR="008728AB" w:rsidRPr="00E41FC1" w:rsidRDefault="008728AB" w:rsidP="009E29A0">
      <w:pPr>
        <w:spacing w:after="240" w:line="480" w:lineRule="auto"/>
        <w:jc w:val="both"/>
        <w:rPr>
          <w:noProof/>
          <w:lang w:val="fr-CA"/>
        </w:rPr>
      </w:pPr>
      <w:r w:rsidRPr="00E41FC1">
        <w:rPr>
          <w:i/>
          <w:noProof/>
          <w:lang w:val="fr-CA"/>
        </w:rPr>
        <w:t>Loi sur l’accès à l’information et la protection de la vie privée</w:t>
      </w:r>
      <w:r w:rsidRPr="00E41FC1">
        <w:rPr>
          <w:noProof/>
          <w:lang w:val="fr-CA"/>
        </w:rPr>
        <w:t>, L.R.O. 1990, ch</w:t>
      </w:r>
      <w:r w:rsidR="00115CFC">
        <w:rPr>
          <w:noProof/>
          <w:lang w:val="fr-CA"/>
        </w:rPr>
        <w:t xml:space="preserve">. </w:t>
      </w:r>
      <w:r w:rsidRPr="00E41FC1">
        <w:rPr>
          <w:noProof/>
          <w:lang w:val="fr-CA"/>
        </w:rPr>
        <w:t>F.31</w:t>
      </w:r>
    </w:p>
    <w:p w:rsidR="008728AB" w:rsidRDefault="009E29A0" w:rsidP="009E29A0">
      <w:pPr>
        <w:tabs>
          <w:tab w:val="left" w:pos="1440"/>
        </w:tabs>
        <w:ind w:left="720"/>
        <w:jc w:val="both"/>
        <w:rPr>
          <w:noProof/>
          <w:lang w:val="fr-CA"/>
        </w:rPr>
      </w:pPr>
      <w:r>
        <w:rPr>
          <w:b/>
          <w:noProof/>
          <w:lang w:val="fr-CA"/>
        </w:rPr>
        <w:tab/>
      </w:r>
      <w:r w:rsidR="008728AB" w:rsidRPr="00E41FC1">
        <w:rPr>
          <w:b/>
          <w:noProof/>
          <w:lang w:val="fr-CA"/>
        </w:rPr>
        <w:t>1</w:t>
      </w:r>
      <w:r w:rsidR="008728AB" w:rsidRPr="009E29A0">
        <w:rPr>
          <w:b/>
          <w:noProof/>
          <w:lang w:val="fr-CA"/>
        </w:rPr>
        <w:t>.</w:t>
      </w:r>
      <w:r>
        <w:rPr>
          <w:noProof/>
          <w:lang w:val="fr-CA"/>
        </w:rPr>
        <w:t xml:space="preserve">  </w:t>
      </w:r>
      <w:r w:rsidR="008728AB" w:rsidRPr="00E41FC1">
        <w:rPr>
          <w:noProof/>
          <w:lang w:val="fr-CA"/>
        </w:rPr>
        <w:t xml:space="preserve">[Objets] La </w:t>
      </w:r>
      <w:r w:rsidR="008728AB" w:rsidRPr="009E29A0">
        <w:rPr>
          <w:lang w:val="fr-CA"/>
        </w:rPr>
        <w:t>présente</w:t>
      </w:r>
      <w:r w:rsidR="008728AB" w:rsidRPr="00E41FC1">
        <w:rPr>
          <w:noProof/>
          <w:lang w:val="fr-CA"/>
        </w:rPr>
        <w:t xml:space="preserve"> loi a pour objets :</w:t>
      </w:r>
    </w:p>
    <w:p w:rsidR="009E29A0" w:rsidRPr="00E41FC1" w:rsidRDefault="009E29A0" w:rsidP="00115CFC">
      <w:pPr>
        <w:tabs>
          <w:tab w:val="left" w:pos="1080"/>
        </w:tabs>
        <w:ind w:firstLine="720"/>
        <w:jc w:val="both"/>
        <w:rPr>
          <w:noProof/>
          <w:lang w:val="fr-CA"/>
        </w:rPr>
      </w:pPr>
    </w:p>
    <w:p w:rsidR="008728AB" w:rsidRDefault="009E29A0" w:rsidP="009E29A0">
      <w:pPr>
        <w:tabs>
          <w:tab w:val="left" w:pos="1440"/>
          <w:tab w:val="left" w:pos="1890"/>
        </w:tabs>
        <w:ind w:left="1890" w:hanging="1170"/>
        <w:jc w:val="both"/>
        <w:rPr>
          <w:noProof/>
          <w:lang w:val="fr-CA"/>
        </w:rPr>
      </w:pPr>
      <w:r>
        <w:rPr>
          <w:noProof/>
          <w:lang w:val="fr-CA"/>
        </w:rPr>
        <w:tab/>
      </w:r>
      <w:r w:rsidR="008728AB" w:rsidRPr="00E41FC1">
        <w:rPr>
          <w:noProof/>
          <w:lang w:val="fr-CA"/>
        </w:rPr>
        <w:t>a)</w:t>
      </w:r>
      <w:r w:rsidR="008728AB">
        <w:rPr>
          <w:noProof/>
          <w:lang w:val="fr-CA"/>
        </w:rPr>
        <w:tab/>
      </w:r>
      <w:r w:rsidR="008728AB" w:rsidRPr="00E41FC1">
        <w:rPr>
          <w:noProof/>
          <w:lang w:val="fr-CA"/>
        </w:rPr>
        <w:t xml:space="preserve">de procurer un </w:t>
      </w:r>
      <w:r w:rsidR="008728AB" w:rsidRPr="009E29A0">
        <w:rPr>
          <w:lang w:val="fr-CA"/>
        </w:rPr>
        <w:t>droit</w:t>
      </w:r>
      <w:r w:rsidR="008728AB" w:rsidRPr="00E41FC1">
        <w:rPr>
          <w:noProof/>
          <w:lang w:val="fr-CA"/>
        </w:rPr>
        <w:t xml:space="preserve"> d’accès à l’information régie par une institution conformément aux principes suivants :</w:t>
      </w:r>
    </w:p>
    <w:p w:rsidR="009E29A0" w:rsidRPr="00E41FC1" w:rsidRDefault="009E29A0" w:rsidP="009E29A0">
      <w:pPr>
        <w:tabs>
          <w:tab w:val="left" w:pos="1890"/>
        </w:tabs>
        <w:ind w:left="2430" w:hanging="1440"/>
        <w:jc w:val="both"/>
        <w:rPr>
          <w:noProof/>
          <w:lang w:val="fr-CA"/>
        </w:rPr>
      </w:pPr>
    </w:p>
    <w:p w:rsidR="008728AB" w:rsidRDefault="008728AB" w:rsidP="009E29A0">
      <w:pPr>
        <w:tabs>
          <w:tab w:val="left" w:pos="1890"/>
        </w:tabs>
        <w:ind w:left="2430" w:hanging="1440"/>
        <w:jc w:val="both"/>
        <w:rPr>
          <w:noProof/>
          <w:lang w:val="fr-CA"/>
        </w:rPr>
      </w:pPr>
      <w:r>
        <w:rPr>
          <w:noProof/>
          <w:lang w:val="fr-CA"/>
        </w:rPr>
        <w:tab/>
      </w:r>
      <w:r w:rsidRPr="00E41FC1">
        <w:rPr>
          <w:noProof/>
          <w:lang w:val="fr-CA"/>
        </w:rPr>
        <w:t>(i)  </w:t>
      </w:r>
      <w:r w:rsidRPr="003A2342">
        <w:rPr>
          <w:lang w:val="fr-CA"/>
        </w:rPr>
        <w:t>l’information</w:t>
      </w:r>
      <w:r w:rsidRPr="00E41FC1">
        <w:rPr>
          <w:noProof/>
          <w:lang w:val="fr-CA"/>
        </w:rPr>
        <w:t xml:space="preserve"> doit être accessible au public,</w:t>
      </w:r>
    </w:p>
    <w:p w:rsidR="009E29A0" w:rsidRPr="00E41FC1" w:rsidRDefault="009E29A0" w:rsidP="00115CFC">
      <w:pPr>
        <w:ind w:left="1080" w:hanging="1080"/>
        <w:jc w:val="both"/>
        <w:rPr>
          <w:noProof/>
          <w:lang w:val="fr-CA"/>
        </w:rPr>
      </w:pPr>
    </w:p>
    <w:p w:rsidR="008728AB" w:rsidRDefault="008728AB" w:rsidP="009E29A0">
      <w:pPr>
        <w:tabs>
          <w:tab w:val="left" w:pos="1890"/>
        </w:tabs>
        <w:ind w:left="2430" w:hanging="1440"/>
        <w:jc w:val="both"/>
        <w:rPr>
          <w:noProof/>
          <w:lang w:val="fr-CA"/>
        </w:rPr>
      </w:pPr>
      <w:r>
        <w:rPr>
          <w:noProof/>
          <w:lang w:val="fr-CA"/>
        </w:rPr>
        <w:tab/>
      </w:r>
      <w:r w:rsidRPr="00E41FC1">
        <w:rPr>
          <w:noProof/>
          <w:lang w:val="fr-CA"/>
        </w:rPr>
        <w:t>(ii)  les exceptions au droit d’accès doivent être limitées et précises,</w:t>
      </w:r>
    </w:p>
    <w:p w:rsidR="009E29A0" w:rsidRPr="00E41FC1" w:rsidRDefault="009E29A0" w:rsidP="00115CFC">
      <w:pPr>
        <w:ind w:left="1080" w:hanging="1080"/>
        <w:jc w:val="both"/>
        <w:rPr>
          <w:noProof/>
          <w:lang w:val="fr-CA"/>
        </w:rPr>
      </w:pPr>
    </w:p>
    <w:p w:rsidR="009E29A0" w:rsidRDefault="008728AB" w:rsidP="009E29A0">
      <w:pPr>
        <w:tabs>
          <w:tab w:val="left" w:pos="1890"/>
        </w:tabs>
        <w:ind w:left="2430" w:hanging="1440"/>
        <w:jc w:val="both"/>
        <w:rPr>
          <w:noProof/>
          <w:lang w:val="fr-CA"/>
        </w:rPr>
      </w:pPr>
      <w:r>
        <w:rPr>
          <w:noProof/>
          <w:lang w:val="fr-CA"/>
        </w:rPr>
        <w:tab/>
      </w:r>
      <w:r w:rsidRPr="00E41FC1">
        <w:rPr>
          <w:noProof/>
          <w:lang w:val="fr-CA"/>
        </w:rPr>
        <w:t xml:space="preserve">(iii)  les décisions </w:t>
      </w:r>
      <w:r w:rsidRPr="003A2342">
        <w:rPr>
          <w:lang w:val="fr-CA"/>
        </w:rPr>
        <w:t>relatives</w:t>
      </w:r>
      <w:r w:rsidRPr="00E41FC1">
        <w:rPr>
          <w:noProof/>
          <w:lang w:val="fr-CA"/>
        </w:rPr>
        <w:t xml:space="preserve"> à la divulgation de l’information ayant trait au gouvernement devraient faire l’objet d’un examen indépendant du gouvernement;</w:t>
      </w:r>
    </w:p>
    <w:p w:rsidR="008728AB" w:rsidRPr="00E41FC1" w:rsidRDefault="008728AB" w:rsidP="00115CFC">
      <w:pPr>
        <w:ind w:left="1080" w:hanging="1080"/>
        <w:jc w:val="both"/>
        <w:rPr>
          <w:noProof/>
          <w:lang w:val="fr-CA"/>
        </w:rPr>
      </w:pPr>
      <w:r w:rsidRPr="00E41FC1">
        <w:rPr>
          <w:noProof/>
          <w:lang w:val="fr-CA"/>
        </w:rPr>
        <w:t xml:space="preserve"> </w:t>
      </w:r>
    </w:p>
    <w:p w:rsidR="008728AB" w:rsidRDefault="009E29A0" w:rsidP="009E29A0">
      <w:pPr>
        <w:tabs>
          <w:tab w:val="left" w:pos="1440"/>
          <w:tab w:val="left" w:pos="1890"/>
        </w:tabs>
        <w:ind w:left="1890" w:hanging="1170"/>
        <w:jc w:val="both"/>
        <w:rPr>
          <w:noProof/>
          <w:lang w:val="fr-CA"/>
        </w:rPr>
      </w:pPr>
      <w:r>
        <w:rPr>
          <w:noProof/>
          <w:lang w:val="fr-CA"/>
        </w:rPr>
        <w:tab/>
      </w:r>
      <w:r w:rsidR="008728AB" w:rsidRPr="00E41FC1">
        <w:rPr>
          <w:noProof/>
          <w:lang w:val="fr-CA"/>
        </w:rPr>
        <w:t>b)</w:t>
      </w:r>
      <w:r w:rsidR="008728AB">
        <w:rPr>
          <w:noProof/>
          <w:lang w:val="fr-CA"/>
        </w:rPr>
        <w:tab/>
      </w:r>
      <w:r w:rsidR="008728AB" w:rsidRPr="00E41FC1">
        <w:rPr>
          <w:noProof/>
          <w:lang w:val="fr-CA"/>
        </w:rPr>
        <w:t>de protéger la vie privée des particuliers que concernent les renseignements personnels détenus par une institution et accorder à ces particuliers un droit d’accès à ces renseignements.</w:t>
      </w:r>
    </w:p>
    <w:p w:rsidR="009E29A0" w:rsidRDefault="009E29A0" w:rsidP="009E29A0">
      <w:pPr>
        <w:tabs>
          <w:tab w:val="left" w:pos="1440"/>
          <w:tab w:val="left" w:pos="1890"/>
        </w:tabs>
        <w:jc w:val="both"/>
        <w:rPr>
          <w:noProof/>
          <w:lang w:val="fr-CA"/>
        </w:rPr>
      </w:pPr>
    </w:p>
    <w:p w:rsidR="009E29A0" w:rsidRDefault="009E29A0" w:rsidP="009E29A0">
      <w:pPr>
        <w:tabs>
          <w:tab w:val="left" w:pos="1440"/>
          <w:tab w:val="left" w:pos="1890"/>
        </w:tabs>
        <w:jc w:val="center"/>
        <w:rPr>
          <w:noProof/>
          <w:lang w:val="fr-CA"/>
        </w:rPr>
      </w:pPr>
      <w:r>
        <w:rPr>
          <w:noProof/>
          <w:lang w:val="fr-CA"/>
        </w:rPr>
        <w:t>. . .</w:t>
      </w:r>
    </w:p>
    <w:p w:rsidR="009E29A0" w:rsidRPr="00E41FC1" w:rsidRDefault="009E29A0" w:rsidP="009E29A0">
      <w:pPr>
        <w:tabs>
          <w:tab w:val="left" w:pos="1440"/>
          <w:tab w:val="left" w:pos="1890"/>
        </w:tabs>
        <w:jc w:val="center"/>
        <w:rPr>
          <w:noProof/>
          <w:lang w:val="fr-CA"/>
        </w:rPr>
      </w:pPr>
    </w:p>
    <w:p w:rsidR="009E29A0" w:rsidRDefault="009E29A0" w:rsidP="00115CFC">
      <w:pPr>
        <w:jc w:val="center"/>
        <w:rPr>
          <w:noProof/>
          <w:lang w:val="fr-CA"/>
        </w:rPr>
      </w:pPr>
      <w:r>
        <w:rPr>
          <w:noProof/>
          <w:lang w:val="fr-CA"/>
        </w:rPr>
        <w:t>PARTIE II</w:t>
      </w:r>
    </w:p>
    <w:p w:rsidR="009E29A0" w:rsidRDefault="009E29A0" w:rsidP="00115CFC">
      <w:pPr>
        <w:jc w:val="center"/>
        <w:rPr>
          <w:noProof/>
          <w:lang w:val="fr-CA"/>
        </w:rPr>
      </w:pPr>
    </w:p>
    <w:p w:rsidR="008728AB" w:rsidRPr="009E29A0" w:rsidRDefault="009E29A0" w:rsidP="00115CFC">
      <w:pPr>
        <w:jc w:val="center"/>
        <w:rPr>
          <w:smallCaps/>
          <w:noProof/>
          <w:lang w:val="fr-CA"/>
        </w:rPr>
      </w:pPr>
      <w:r w:rsidRPr="009E29A0">
        <w:rPr>
          <w:smallCaps/>
          <w:noProof/>
          <w:lang w:val="fr-CA"/>
        </w:rPr>
        <w:t>Accès à l’information</w:t>
      </w:r>
    </w:p>
    <w:p w:rsidR="009E29A0" w:rsidRDefault="009E29A0" w:rsidP="00115CFC">
      <w:pPr>
        <w:spacing w:after="240"/>
        <w:jc w:val="center"/>
        <w:rPr>
          <w:noProof/>
          <w:lang w:val="fr-CA"/>
        </w:rPr>
      </w:pPr>
    </w:p>
    <w:p w:rsidR="008728AB" w:rsidRPr="009E29A0" w:rsidRDefault="009E29A0" w:rsidP="00115CFC">
      <w:pPr>
        <w:spacing w:after="240"/>
        <w:jc w:val="center"/>
        <w:rPr>
          <w:smallCaps/>
          <w:noProof/>
          <w:lang w:val="fr-CA"/>
        </w:rPr>
      </w:pPr>
      <w:r w:rsidRPr="009E29A0">
        <w:rPr>
          <w:smallCaps/>
          <w:noProof/>
          <w:lang w:val="fr-CA"/>
        </w:rPr>
        <w:t>a</w:t>
      </w:r>
      <w:r w:rsidR="008728AB" w:rsidRPr="009E29A0">
        <w:rPr>
          <w:smallCaps/>
          <w:noProof/>
          <w:lang w:val="fr-CA"/>
        </w:rPr>
        <w:t>ccès aux documents</w:t>
      </w:r>
    </w:p>
    <w:p w:rsidR="009E29A0" w:rsidRDefault="008728AB" w:rsidP="009E29A0">
      <w:pPr>
        <w:tabs>
          <w:tab w:val="left" w:pos="1440"/>
        </w:tabs>
        <w:ind w:left="720"/>
        <w:jc w:val="both"/>
        <w:rPr>
          <w:noProof/>
          <w:lang w:val="fr-CA"/>
        </w:rPr>
      </w:pPr>
      <w:r>
        <w:rPr>
          <w:b/>
          <w:noProof/>
          <w:lang w:val="fr-CA"/>
        </w:rPr>
        <w:tab/>
      </w:r>
      <w:r w:rsidRPr="00E41FC1">
        <w:rPr>
          <w:b/>
          <w:noProof/>
          <w:lang w:val="fr-CA"/>
        </w:rPr>
        <w:t>10</w:t>
      </w:r>
      <w:r w:rsidRPr="009E29A0">
        <w:rPr>
          <w:b/>
          <w:noProof/>
          <w:lang w:val="fr-CA"/>
        </w:rPr>
        <w:t>.</w:t>
      </w:r>
      <w:r w:rsidR="00A17CC8">
        <w:rPr>
          <w:noProof/>
          <w:lang w:val="fr-CA"/>
        </w:rPr>
        <w:t> </w:t>
      </w:r>
      <w:r w:rsidR="00115CFC">
        <w:rPr>
          <w:noProof/>
          <w:lang w:val="fr-CA"/>
        </w:rPr>
        <w:t xml:space="preserve">. . </w:t>
      </w:r>
      <w:r w:rsidRPr="00E41FC1">
        <w:rPr>
          <w:noProof/>
          <w:lang w:val="fr-CA"/>
        </w:rPr>
        <w:t xml:space="preserve">. </w:t>
      </w:r>
    </w:p>
    <w:p w:rsidR="009E29A0" w:rsidRDefault="009E29A0" w:rsidP="009E29A0">
      <w:pPr>
        <w:tabs>
          <w:tab w:val="left" w:pos="1440"/>
        </w:tabs>
        <w:ind w:left="720"/>
        <w:jc w:val="both"/>
        <w:rPr>
          <w:noProof/>
          <w:lang w:val="fr-CA"/>
        </w:rPr>
      </w:pPr>
    </w:p>
    <w:p w:rsidR="008728AB" w:rsidRDefault="009E29A0" w:rsidP="009E29A0">
      <w:pPr>
        <w:tabs>
          <w:tab w:val="left" w:pos="1440"/>
        </w:tabs>
        <w:ind w:left="720"/>
        <w:jc w:val="both"/>
        <w:rPr>
          <w:noProof/>
          <w:lang w:val="fr-CA"/>
        </w:rPr>
      </w:pPr>
      <w:r>
        <w:rPr>
          <w:noProof/>
          <w:lang w:val="fr-CA"/>
        </w:rPr>
        <w:tab/>
      </w:r>
      <w:r w:rsidR="008728AB" w:rsidRPr="00E41FC1">
        <w:rPr>
          <w:noProof/>
          <w:lang w:val="fr-CA"/>
        </w:rPr>
        <w:t>(2) </w:t>
      </w:r>
      <w:r w:rsidRPr="00E41FC1">
        <w:rPr>
          <w:noProof/>
          <w:lang w:val="fr-CA"/>
        </w:rPr>
        <w:t>[Extrait du document]</w:t>
      </w:r>
      <w:r w:rsidR="008728AB" w:rsidRPr="00E41FC1">
        <w:rPr>
          <w:noProof/>
          <w:lang w:val="fr-CA"/>
        </w:rPr>
        <w:t> Si une institution reçoit une demande d’accès à un document qui contient des renseignements faisant l’objet d’une exception aux termes des articles 12 à 22 et que la personne responsable de l’institution n’est pas d’avis que la demande est frivole ou vexatoire, elle divulgue la partie du document qui peut raisonnablement en être extraite sans divulguer ces renseignements.</w:t>
      </w:r>
    </w:p>
    <w:p w:rsidR="009E29A0" w:rsidRDefault="009E29A0" w:rsidP="009E29A0">
      <w:pPr>
        <w:tabs>
          <w:tab w:val="left" w:pos="1440"/>
        </w:tabs>
        <w:jc w:val="both"/>
        <w:rPr>
          <w:noProof/>
          <w:lang w:val="fr-CA"/>
        </w:rPr>
      </w:pPr>
    </w:p>
    <w:p w:rsidR="009E29A0" w:rsidRDefault="009E29A0" w:rsidP="009E29A0">
      <w:pPr>
        <w:tabs>
          <w:tab w:val="left" w:pos="1440"/>
        </w:tabs>
        <w:jc w:val="center"/>
        <w:rPr>
          <w:noProof/>
          <w:lang w:val="fr-CA"/>
        </w:rPr>
      </w:pPr>
      <w:r>
        <w:rPr>
          <w:noProof/>
          <w:lang w:val="fr-CA"/>
        </w:rPr>
        <w:t>. . .</w:t>
      </w:r>
    </w:p>
    <w:p w:rsidR="009E29A0" w:rsidRPr="00E41FC1" w:rsidRDefault="009E29A0" w:rsidP="009E29A0">
      <w:pPr>
        <w:tabs>
          <w:tab w:val="left" w:pos="1440"/>
        </w:tabs>
        <w:ind w:left="720"/>
        <w:jc w:val="both"/>
        <w:rPr>
          <w:noProof/>
          <w:lang w:val="fr-CA"/>
        </w:rPr>
      </w:pPr>
    </w:p>
    <w:p w:rsidR="008728AB" w:rsidRPr="009E29A0" w:rsidRDefault="009E29A0" w:rsidP="00115CFC">
      <w:pPr>
        <w:spacing w:after="240"/>
        <w:jc w:val="center"/>
        <w:rPr>
          <w:smallCaps/>
          <w:noProof/>
          <w:lang w:val="fr-CA"/>
        </w:rPr>
      </w:pPr>
      <w:r w:rsidRPr="009E29A0">
        <w:rPr>
          <w:smallCaps/>
          <w:noProof/>
          <w:lang w:val="fr-CA"/>
        </w:rPr>
        <w:t>e</w:t>
      </w:r>
      <w:r w:rsidR="008728AB" w:rsidRPr="009E29A0">
        <w:rPr>
          <w:smallCaps/>
          <w:noProof/>
          <w:lang w:val="fr-CA"/>
        </w:rPr>
        <w:t>xceptions</w:t>
      </w:r>
    </w:p>
    <w:p w:rsidR="008728AB" w:rsidRDefault="008728AB" w:rsidP="009E29A0">
      <w:pPr>
        <w:tabs>
          <w:tab w:val="left" w:pos="1440"/>
        </w:tabs>
        <w:ind w:left="720"/>
        <w:jc w:val="both"/>
        <w:rPr>
          <w:noProof/>
          <w:lang w:val="fr-CA"/>
        </w:rPr>
      </w:pPr>
      <w:r>
        <w:rPr>
          <w:b/>
          <w:noProof/>
          <w:lang w:val="fr-CA"/>
        </w:rPr>
        <w:tab/>
      </w:r>
      <w:r w:rsidRPr="00E41FC1">
        <w:rPr>
          <w:b/>
          <w:noProof/>
          <w:lang w:val="fr-CA"/>
        </w:rPr>
        <w:t>12</w:t>
      </w:r>
      <w:r w:rsidR="009E29A0" w:rsidRPr="009E29A0">
        <w:rPr>
          <w:b/>
          <w:noProof/>
          <w:lang w:val="fr-CA"/>
        </w:rPr>
        <w:t xml:space="preserve">. </w:t>
      </w:r>
      <w:r w:rsidRPr="00E41FC1">
        <w:rPr>
          <w:noProof/>
          <w:lang w:val="fr-CA"/>
        </w:rPr>
        <w:t>(1) </w:t>
      </w:r>
      <w:r w:rsidR="00A17CC8">
        <w:rPr>
          <w:noProof/>
          <w:lang w:val="fr-CA"/>
        </w:rPr>
        <w:t>[</w:t>
      </w:r>
      <w:r w:rsidR="00A17CC8" w:rsidRPr="00E41FC1">
        <w:rPr>
          <w:noProof/>
          <w:lang w:val="fr-CA"/>
        </w:rPr>
        <w:t>Documents du Conseil exécutif]</w:t>
      </w:r>
      <w:r w:rsidRPr="00E41FC1">
        <w:rPr>
          <w:noProof/>
          <w:lang w:val="fr-CA"/>
        </w:rPr>
        <w:t> La personne responsable refuse de divulguer un document qui aurait pour effet de révéler l’objet des délibérations du Conseil exécutif ou de ses comités, notamment :</w:t>
      </w:r>
    </w:p>
    <w:p w:rsidR="009E29A0" w:rsidRPr="00E41FC1" w:rsidRDefault="009E29A0" w:rsidP="009E29A0">
      <w:pPr>
        <w:tabs>
          <w:tab w:val="left" w:pos="1440"/>
        </w:tabs>
        <w:ind w:left="720"/>
        <w:jc w:val="both"/>
        <w:rPr>
          <w:noProof/>
          <w:lang w:val="fr-CA"/>
        </w:rPr>
      </w:pPr>
    </w:p>
    <w:p w:rsidR="008728AB" w:rsidRDefault="009E29A0" w:rsidP="00115CFC">
      <w:pPr>
        <w:spacing w:after="240"/>
        <w:jc w:val="center"/>
        <w:rPr>
          <w:noProof/>
          <w:lang w:val="fr-CA"/>
        </w:rPr>
      </w:pPr>
      <w:r>
        <w:rPr>
          <w:noProof/>
          <w:lang w:val="fr-CA"/>
        </w:rPr>
        <w:t>. . .</w:t>
      </w:r>
    </w:p>
    <w:p w:rsidR="008728AB" w:rsidRDefault="009E29A0" w:rsidP="009E29A0">
      <w:pPr>
        <w:tabs>
          <w:tab w:val="left" w:pos="1440"/>
          <w:tab w:val="left" w:pos="1890"/>
        </w:tabs>
        <w:ind w:left="1890" w:hanging="1170"/>
        <w:jc w:val="both"/>
        <w:rPr>
          <w:noProof/>
          <w:lang w:val="fr-CA"/>
        </w:rPr>
      </w:pPr>
      <w:r>
        <w:rPr>
          <w:noProof/>
          <w:lang w:val="fr-CA"/>
        </w:rPr>
        <w:tab/>
      </w:r>
      <w:r w:rsidR="008728AB" w:rsidRPr="00E41FC1">
        <w:rPr>
          <w:noProof/>
          <w:lang w:val="fr-CA"/>
        </w:rPr>
        <w:t>b)</w:t>
      </w:r>
      <w:r w:rsidR="008728AB">
        <w:rPr>
          <w:noProof/>
          <w:lang w:val="fr-CA"/>
        </w:rPr>
        <w:tab/>
      </w:r>
      <w:r w:rsidR="008728AB" w:rsidRPr="00E41FC1">
        <w:rPr>
          <w:noProof/>
          <w:lang w:val="fr-CA"/>
        </w:rPr>
        <w:t>le document qui relate un choix de politiques ou des recommandations qui ont été ou qui seront présentées au Conseil exécutif ou à ses comités;</w:t>
      </w:r>
    </w:p>
    <w:p w:rsidR="009E29A0" w:rsidRPr="00E41FC1" w:rsidRDefault="009E29A0" w:rsidP="00115CFC">
      <w:pPr>
        <w:ind w:left="1080" w:hanging="360"/>
        <w:jc w:val="both"/>
        <w:rPr>
          <w:noProof/>
          <w:lang w:val="fr-CA"/>
        </w:rPr>
      </w:pPr>
    </w:p>
    <w:p w:rsidR="008728AB" w:rsidRDefault="009E29A0" w:rsidP="009E29A0">
      <w:pPr>
        <w:tabs>
          <w:tab w:val="left" w:pos="1440"/>
          <w:tab w:val="left" w:pos="1890"/>
        </w:tabs>
        <w:ind w:left="1890" w:hanging="1170"/>
        <w:jc w:val="both"/>
        <w:rPr>
          <w:noProof/>
          <w:lang w:val="fr-CA"/>
        </w:rPr>
      </w:pPr>
      <w:r>
        <w:rPr>
          <w:noProof/>
          <w:lang w:val="fr-CA"/>
        </w:rPr>
        <w:tab/>
      </w:r>
      <w:r w:rsidR="008728AB">
        <w:rPr>
          <w:noProof/>
          <w:lang w:val="fr-CA"/>
        </w:rPr>
        <w:t>c)</w:t>
      </w:r>
      <w:r w:rsidR="008728AB">
        <w:rPr>
          <w:noProof/>
          <w:lang w:val="fr-CA"/>
        </w:rPr>
        <w:tab/>
      </w:r>
      <w:r w:rsidR="008728AB" w:rsidRPr="00E41FC1">
        <w:rPr>
          <w:noProof/>
          <w:lang w:val="fr-CA"/>
        </w:rPr>
        <w:t>le document qui ne relate pas le choix de politiques ou les recommandations visées à l’alinéa b) mais qui contient les données de base ou les études menées sur certaines questions qui ont été ou qui seront présentées au Conseil exécutif ou à ses comités comme guides dans l’élaboration de leurs décisions avant que ces décisions ne soient prises ou mises à effet</w:t>
      </w:r>
      <w:r>
        <w:rPr>
          <w:noProof/>
          <w:lang w:val="fr-CA"/>
        </w:rPr>
        <w:t>;</w:t>
      </w:r>
      <w:r w:rsidR="008728AB" w:rsidRPr="00E41FC1">
        <w:rPr>
          <w:noProof/>
          <w:lang w:val="fr-CA"/>
        </w:rPr>
        <w:t xml:space="preserve"> </w:t>
      </w:r>
    </w:p>
    <w:p w:rsidR="009E29A0" w:rsidRDefault="009E29A0" w:rsidP="009E29A0">
      <w:pPr>
        <w:tabs>
          <w:tab w:val="left" w:pos="1440"/>
          <w:tab w:val="left" w:pos="1890"/>
        </w:tabs>
        <w:ind w:left="1890" w:hanging="1170"/>
        <w:jc w:val="both"/>
        <w:rPr>
          <w:noProof/>
          <w:lang w:val="fr-CA"/>
        </w:rPr>
      </w:pPr>
    </w:p>
    <w:p w:rsidR="008728AB" w:rsidRPr="00E41FC1" w:rsidRDefault="009E29A0" w:rsidP="00115CFC">
      <w:pPr>
        <w:spacing w:after="240"/>
        <w:jc w:val="center"/>
        <w:rPr>
          <w:noProof/>
          <w:lang w:val="fr-CA"/>
        </w:rPr>
      </w:pPr>
      <w:r>
        <w:rPr>
          <w:noProof/>
          <w:lang w:val="fr-CA"/>
        </w:rPr>
        <w:t>. . .</w:t>
      </w:r>
    </w:p>
    <w:p w:rsidR="008728AB" w:rsidRDefault="008728AB" w:rsidP="00C73DF6">
      <w:pPr>
        <w:tabs>
          <w:tab w:val="left" w:pos="1440"/>
        </w:tabs>
        <w:ind w:left="720"/>
        <w:jc w:val="both"/>
        <w:rPr>
          <w:noProof/>
          <w:lang w:val="fr-CA"/>
        </w:rPr>
      </w:pPr>
      <w:r>
        <w:rPr>
          <w:noProof/>
          <w:lang w:val="fr-CA"/>
        </w:rPr>
        <w:tab/>
      </w:r>
      <w:r w:rsidR="00C73DF6">
        <w:rPr>
          <w:noProof/>
          <w:lang w:val="fr-CA"/>
        </w:rPr>
        <w:t>(2) </w:t>
      </w:r>
      <w:r w:rsidRPr="00E41FC1">
        <w:rPr>
          <w:noProof/>
          <w:lang w:val="fr-CA"/>
        </w:rPr>
        <w:t>[Exception] Malgré le paragraphe (1), la personne responsable ne doit pas refuser de divulguer un document en vertu de ce paragraphe si, selon le cas :</w:t>
      </w:r>
    </w:p>
    <w:p w:rsidR="00C73DF6" w:rsidRPr="00E41FC1" w:rsidRDefault="00C73DF6" w:rsidP="00115CFC">
      <w:pPr>
        <w:tabs>
          <w:tab w:val="left" w:pos="720"/>
        </w:tabs>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r>
      <w:r w:rsidR="008728AB" w:rsidRPr="00E41FC1">
        <w:rPr>
          <w:noProof/>
          <w:lang w:val="fr-CA"/>
        </w:rPr>
        <w:t>a)</w:t>
      </w:r>
      <w:r w:rsidR="008728AB">
        <w:rPr>
          <w:noProof/>
          <w:lang w:val="fr-CA"/>
        </w:rPr>
        <w:tab/>
      </w:r>
      <w:r w:rsidR="008728AB" w:rsidRPr="00E41FC1">
        <w:rPr>
          <w:noProof/>
          <w:lang w:val="fr-CA"/>
        </w:rPr>
        <w:t>le document date de plus de vingt ans;</w:t>
      </w:r>
    </w:p>
    <w:p w:rsidR="00C73DF6" w:rsidRPr="00E41FC1" w:rsidRDefault="00C73DF6" w:rsidP="00115CFC">
      <w:pPr>
        <w:ind w:left="1080" w:hanging="360"/>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r>
      <w:r w:rsidR="008728AB" w:rsidRPr="00E41FC1">
        <w:rPr>
          <w:noProof/>
          <w:lang w:val="fr-CA"/>
        </w:rPr>
        <w:t>b</w:t>
      </w:r>
      <w:r w:rsidR="008728AB">
        <w:rPr>
          <w:noProof/>
          <w:lang w:val="fr-CA"/>
        </w:rPr>
        <w:t>)</w:t>
      </w:r>
      <w:r w:rsidR="008728AB">
        <w:rPr>
          <w:noProof/>
          <w:lang w:val="fr-CA"/>
        </w:rPr>
        <w:tab/>
      </w:r>
      <w:r w:rsidR="008728AB" w:rsidRPr="00E41FC1">
        <w:rPr>
          <w:noProof/>
          <w:lang w:val="fr-CA"/>
        </w:rPr>
        <w:t>le Conseil exécutif concerné donne son consentement à la divulgation.</w:t>
      </w:r>
    </w:p>
    <w:p w:rsidR="00C73DF6" w:rsidRPr="00E41FC1" w:rsidRDefault="00C73DF6" w:rsidP="00C73DF6">
      <w:pPr>
        <w:tabs>
          <w:tab w:val="left" w:pos="1440"/>
          <w:tab w:val="left" w:pos="1890"/>
        </w:tabs>
        <w:ind w:left="1890" w:hanging="1170"/>
        <w:jc w:val="both"/>
        <w:rPr>
          <w:noProof/>
          <w:lang w:val="fr-CA"/>
        </w:rPr>
      </w:pPr>
    </w:p>
    <w:p w:rsidR="008728AB" w:rsidRDefault="008728AB" w:rsidP="00C73DF6">
      <w:pPr>
        <w:tabs>
          <w:tab w:val="left" w:pos="1440"/>
        </w:tabs>
        <w:ind w:left="720"/>
        <w:jc w:val="both"/>
        <w:rPr>
          <w:noProof/>
          <w:lang w:val="fr-CA"/>
        </w:rPr>
      </w:pPr>
      <w:r>
        <w:rPr>
          <w:b/>
          <w:noProof/>
          <w:lang w:val="fr-CA"/>
        </w:rPr>
        <w:tab/>
      </w:r>
      <w:r w:rsidRPr="00E41FC1">
        <w:rPr>
          <w:b/>
          <w:noProof/>
          <w:lang w:val="fr-CA"/>
        </w:rPr>
        <w:t>13</w:t>
      </w:r>
      <w:r w:rsidRPr="006421A8">
        <w:rPr>
          <w:b/>
          <w:noProof/>
          <w:lang w:val="fr-CA"/>
        </w:rPr>
        <w:t>.</w:t>
      </w:r>
      <w:r w:rsidR="006421A8">
        <w:rPr>
          <w:noProof/>
          <w:lang w:val="fr-CA"/>
        </w:rPr>
        <w:t> </w:t>
      </w:r>
      <w:r w:rsidRPr="00E41FC1">
        <w:rPr>
          <w:noProof/>
          <w:lang w:val="fr-CA"/>
        </w:rPr>
        <w:t> (1) </w:t>
      </w:r>
      <w:r w:rsidR="00A17CC8" w:rsidRPr="00E41FC1">
        <w:rPr>
          <w:noProof/>
          <w:lang w:val="fr-CA"/>
        </w:rPr>
        <w:t>[Conseils au gouvernement]</w:t>
      </w:r>
      <w:r w:rsidRPr="00E41FC1">
        <w:rPr>
          <w:noProof/>
          <w:lang w:val="fr-CA"/>
        </w:rPr>
        <w:t> La personne responsable peut refuser de divulguer un document qui aurait pour effet de révéler les conseils ou les recommandations émanant d’un fonctionnaire, d’une personne employée par une institution ou d’un expert</w:t>
      </w:r>
      <w:r w:rsidR="00115CFC">
        <w:rPr>
          <w:noProof/>
          <w:lang w:val="fr-CA"/>
        </w:rPr>
        <w:t>-</w:t>
      </w:r>
      <w:r w:rsidRPr="00E41FC1">
        <w:rPr>
          <w:noProof/>
          <w:lang w:val="fr-CA"/>
        </w:rPr>
        <w:t>conseil dont les services ont été retenus par cette institution.</w:t>
      </w:r>
    </w:p>
    <w:p w:rsidR="00C73DF6" w:rsidRPr="00E41FC1" w:rsidRDefault="00C73DF6" w:rsidP="00C73DF6">
      <w:pPr>
        <w:tabs>
          <w:tab w:val="left" w:pos="1440"/>
        </w:tabs>
        <w:ind w:left="720"/>
        <w:jc w:val="both"/>
        <w:rPr>
          <w:noProof/>
          <w:lang w:val="fr-CA"/>
        </w:rPr>
      </w:pPr>
    </w:p>
    <w:p w:rsidR="008728AB" w:rsidRDefault="008728AB" w:rsidP="00C73DF6">
      <w:pPr>
        <w:tabs>
          <w:tab w:val="left" w:pos="1440"/>
        </w:tabs>
        <w:ind w:left="720"/>
        <w:jc w:val="both"/>
        <w:rPr>
          <w:noProof/>
          <w:lang w:val="fr-CA"/>
        </w:rPr>
      </w:pPr>
      <w:r>
        <w:rPr>
          <w:noProof/>
          <w:lang w:val="fr-CA"/>
        </w:rPr>
        <w:tab/>
      </w:r>
      <w:r w:rsidRPr="00E41FC1">
        <w:rPr>
          <w:noProof/>
          <w:lang w:val="fr-CA"/>
        </w:rPr>
        <w:t>(2)</w:t>
      </w:r>
      <w:r w:rsidR="006421A8">
        <w:rPr>
          <w:noProof/>
          <w:lang w:val="fr-CA"/>
        </w:rPr>
        <w:t> </w:t>
      </w:r>
      <w:r w:rsidRPr="00E41FC1">
        <w:rPr>
          <w:noProof/>
          <w:lang w:val="fr-CA"/>
        </w:rPr>
        <w:t>[Exceptions] Malgré le paragraphe (1), la personne responsable ne doit pas refuser, en vertu de ce paragraphe, de divulguer un document qui comporte l’un des éléments suivants :</w:t>
      </w:r>
    </w:p>
    <w:p w:rsidR="00C73DF6" w:rsidRPr="00E41FC1" w:rsidRDefault="00C73DF6" w:rsidP="00115CFC">
      <w:pPr>
        <w:tabs>
          <w:tab w:val="left" w:pos="720"/>
          <w:tab w:val="left" w:pos="1080"/>
        </w:tabs>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a)</w:t>
      </w:r>
      <w:r>
        <w:rPr>
          <w:noProof/>
          <w:lang w:val="fr-CA"/>
        </w:rPr>
        <w:tab/>
      </w:r>
      <w:r w:rsidR="008728AB" w:rsidRPr="00E41FC1">
        <w:rPr>
          <w:noProof/>
          <w:lang w:val="fr-CA"/>
        </w:rPr>
        <w:t>de la documentation portant sur des faits;</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b)</w:t>
      </w:r>
      <w:r>
        <w:rPr>
          <w:noProof/>
          <w:lang w:val="fr-CA"/>
        </w:rPr>
        <w:tab/>
      </w:r>
      <w:r w:rsidR="008728AB" w:rsidRPr="00E41FC1">
        <w:rPr>
          <w:noProof/>
          <w:lang w:val="fr-CA"/>
        </w:rPr>
        <w:t>un sondage statistique;</w:t>
      </w:r>
    </w:p>
    <w:p w:rsidR="00C73DF6" w:rsidRPr="00E41FC1" w:rsidRDefault="00C73DF6" w:rsidP="00C73DF6">
      <w:pPr>
        <w:tabs>
          <w:tab w:val="left" w:pos="1440"/>
          <w:tab w:val="left" w:pos="1890"/>
        </w:tabs>
        <w:ind w:left="1890" w:hanging="1170"/>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c)</w:t>
      </w:r>
      <w:r>
        <w:rPr>
          <w:noProof/>
          <w:lang w:val="fr-CA"/>
        </w:rPr>
        <w:tab/>
      </w:r>
      <w:r w:rsidR="008728AB" w:rsidRPr="00E41FC1">
        <w:rPr>
          <w:noProof/>
          <w:lang w:val="fr-CA"/>
        </w:rPr>
        <w:t>le rapport d’un estimateur, que ce dernier soit ou non un dirigeant de l’institution;</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d)</w:t>
      </w:r>
      <w:r>
        <w:rPr>
          <w:noProof/>
          <w:lang w:val="fr-CA"/>
        </w:rPr>
        <w:tab/>
      </w:r>
      <w:r w:rsidR="008728AB" w:rsidRPr="00E41FC1">
        <w:rPr>
          <w:noProof/>
          <w:lang w:val="fr-CA"/>
        </w:rPr>
        <w:t>un rapport sur d’éventuelles répercussions sur l’environnement ou un document semblable;</w:t>
      </w:r>
      <w:r>
        <w:rPr>
          <w:noProof/>
          <w:lang w:val="fr-CA"/>
        </w:rPr>
        <w:t xml:space="preserve"> </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e)</w:t>
      </w:r>
      <w:r>
        <w:rPr>
          <w:noProof/>
          <w:lang w:val="fr-CA"/>
        </w:rPr>
        <w:tab/>
      </w:r>
      <w:r w:rsidR="008728AB" w:rsidRPr="00E41FC1">
        <w:rPr>
          <w:noProof/>
          <w:lang w:val="fr-CA"/>
        </w:rPr>
        <w:t>le rapport qui porte sur l’essai d’un produit relié à la mise à l’épreuve de pièces d’équipement appartenant au gouvernement ou le résultat d’un test mené à l’intention des consommateurs;</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f)</w:t>
      </w:r>
      <w:r>
        <w:rPr>
          <w:noProof/>
          <w:lang w:val="fr-CA"/>
        </w:rPr>
        <w:tab/>
      </w:r>
      <w:r w:rsidR="008728AB" w:rsidRPr="00E41FC1">
        <w:rPr>
          <w:noProof/>
          <w:lang w:val="fr-CA"/>
        </w:rPr>
        <w:t>le rapport ou le résultat d’une étude relative au rendement ou à l’efficacité d’une institution, que ce rapport ou cette étude soient d’ordre général ou portent sur un programme ou une politique en particulier;</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g)</w:t>
      </w:r>
      <w:r>
        <w:rPr>
          <w:noProof/>
          <w:lang w:val="fr-CA"/>
        </w:rPr>
        <w:tab/>
      </w:r>
      <w:r w:rsidR="008728AB" w:rsidRPr="00E41FC1">
        <w:rPr>
          <w:noProof/>
          <w:lang w:val="fr-CA"/>
        </w:rPr>
        <w:t>une étude de faisabilité ou autre étude technique, y compris une estimation des coûts, reliée à une politique ou à un projet gouvernementaux;</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h)</w:t>
      </w:r>
      <w:r>
        <w:rPr>
          <w:noProof/>
          <w:lang w:val="fr-CA"/>
        </w:rPr>
        <w:tab/>
      </w:r>
      <w:r w:rsidR="008728AB" w:rsidRPr="00E41FC1">
        <w:rPr>
          <w:noProof/>
          <w:lang w:val="fr-CA"/>
        </w:rPr>
        <w:t>le rapport qui comporte les résultats d’une recherche effectuée sur le terrain préalablement à la formulation d’une politique proposée;</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i)</w:t>
      </w:r>
      <w:r>
        <w:rPr>
          <w:noProof/>
          <w:lang w:val="fr-CA"/>
        </w:rPr>
        <w:tab/>
      </w:r>
      <w:r w:rsidR="008728AB" w:rsidRPr="00E41FC1">
        <w:rPr>
          <w:noProof/>
          <w:lang w:val="fr-CA"/>
        </w:rPr>
        <w:t>la proposition ou le plan définitifs en vue de la modification d’un programme existant ou de l’établissement d’un nouveau programme d’une institution, y compris son estimation budgétaire, que cette proposition ou ce plan soient subordonnés ou non à une approbation quelconque, sauf s’ils doivent être présentés au Conseil exécutif ou à ses comités;</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j)</w:t>
      </w:r>
      <w:r>
        <w:rPr>
          <w:noProof/>
          <w:lang w:val="fr-CA"/>
        </w:rPr>
        <w:tab/>
      </w:r>
      <w:r w:rsidR="008728AB" w:rsidRPr="00E41FC1">
        <w:rPr>
          <w:noProof/>
          <w:lang w:val="fr-CA"/>
        </w:rPr>
        <w:t xml:space="preserve">le rapport du groupe de travail d’un comité interministériel ou d’une entité semblable ou celui d’un comité ou d’un groupe de </w:t>
      </w:r>
      <w:r w:rsidR="008728AB" w:rsidRPr="00E41FC1">
        <w:rPr>
          <w:noProof/>
          <w:lang w:val="fr-CA"/>
        </w:rPr>
        <w:lastRenderedPageBreak/>
        <w:t>travail internes d’une institution chargés de dresser un rapport sur une question précise, sauf si ce rapport doit être présenté au Conseil exécutif ou à ses comités;</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k)</w:t>
      </w:r>
      <w:r>
        <w:rPr>
          <w:noProof/>
          <w:lang w:val="fr-CA"/>
        </w:rPr>
        <w:tab/>
      </w:r>
      <w:r w:rsidR="008728AB" w:rsidRPr="00E41FC1">
        <w:rPr>
          <w:noProof/>
          <w:lang w:val="fr-CA"/>
        </w:rPr>
        <w:t>le rapport d’un comité, d’un conseil ou d’une autre entité liés à une institution et constitués dans le but de mener des enquêtes suivies de rapports ou de recommandations destinés à cette institution;</w:t>
      </w:r>
    </w:p>
    <w:p w:rsidR="00C73DF6" w:rsidRPr="00E41FC1" w:rsidRDefault="00C73DF6" w:rsidP="00C73DF6">
      <w:pPr>
        <w:pStyle w:val="ListParagraph"/>
        <w:ind w:left="1106"/>
        <w:jc w:val="both"/>
        <w:rPr>
          <w:noProof/>
          <w:lang w:val="fr-CA"/>
        </w:rPr>
      </w:pPr>
    </w:p>
    <w:p w:rsidR="008728AB" w:rsidRDefault="00C73DF6" w:rsidP="00C73DF6">
      <w:pPr>
        <w:tabs>
          <w:tab w:val="left" w:pos="1440"/>
          <w:tab w:val="left" w:pos="1890"/>
        </w:tabs>
        <w:ind w:left="1890" w:hanging="1170"/>
        <w:jc w:val="both"/>
        <w:rPr>
          <w:noProof/>
          <w:lang w:val="fr-CA"/>
        </w:rPr>
      </w:pPr>
      <w:r>
        <w:rPr>
          <w:noProof/>
          <w:lang w:val="fr-CA"/>
        </w:rPr>
        <w:tab/>
        <w:t>l)</w:t>
      </w:r>
      <w:r>
        <w:rPr>
          <w:noProof/>
          <w:lang w:val="fr-CA"/>
        </w:rPr>
        <w:tab/>
      </w:r>
      <w:r w:rsidR="008728AB" w:rsidRPr="00E41FC1">
        <w:rPr>
          <w:noProof/>
          <w:lang w:val="fr-CA"/>
        </w:rPr>
        <w:t>les motifs à l’appui de la décision, de l’arrêté, de l’ordonnance, de l’ordre ou de la directive définitifs du dirigeant d’une institution et rendus à la fin ou au cours de l’exercice d’un pouvoir discrétionnaire conféré par un texte législatif ou un projet mis en application par cette institution, ou en vertu de ceux</w:t>
      </w:r>
      <w:r w:rsidR="00115CFC">
        <w:rPr>
          <w:noProof/>
          <w:lang w:val="fr-CA"/>
        </w:rPr>
        <w:t>-</w:t>
      </w:r>
      <w:r w:rsidR="008728AB" w:rsidRPr="00E41FC1">
        <w:rPr>
          <w:noProof/>
          <w:lang w:val="fr-CA"/>
        </w:rPr>
        <w:t>ci, qu’il soit permis ou non aux termes du texte législatif ou du projet d’interjeter appel de ces décisions, arrêtés, ordonnances, ordres ou directives. Ce qui précède s’applique, que ces motifs :</w:t>
      </w:r>
    </w:p>
    <w:p w:rsidR="00C73DF6" w:rsidRPr="00E41FC1" w:rsidRDefault="00C73DF6" w:rsidP="00C73DF6">
      <w:pPr>
        <w:pStyle w:val="ListParagraph"/>
        <w:ind w:left="1106"/>
        <w:jc w:val="both"/>
        <w:rPr>
          <w:noProof/>
          <w:lang w:val="fr-CA"/>
        </w:rPr>
      </w:pPr>
    </w:p>
    <w:p w:rsidR="008728AB" w:rsidRDefault="00C73DF6" w:rsidP="00C73DF6">
      <w:pPr>
        <w:tabs>
          <w:tab w:val="left" w:pos="1890"/>
        </w:tabs>
        <w:ind w:left="2430" w:hanging="1440"/>
        <w:jc w:val="both"/>
        <w:rPr>
          <w:noProof/>
          <w:lang w:val="fr-CA"/>
        </w:rPr>
      </w:pPr>
      <w:r>
        <w:rPr>
          <w:noProof/>
          <w:lang w:val="fr-CA"/>
        </w:rPr>
        <w:tab/>
      </w:r>
      <w:r w:rsidR="008728AB" w:rsidRPr="00E41FC1">
        <w:rPr>
          <w:noProof/>
          <w:lang w:val="fr-CA"/>
        </w:rPr>
        <w:t>(i)</w:t>
      </w:r>
      <w:r w:rsidR="008728AB" w:rsidRPr="00E41FC1">
        <w:rPr>
          <w:noProof/>
          <w:lang w:val="fr-CA"/>
        </w:rPr>
        <w:tab/>
        <w:t xml:space="preserve">figurent ou non dans une note de service qui émane de l’institution ou dans la lettre d’un dirigeant ou d’un employé de cette institution, destinée à une personne donnée, </w:t>
      </w:r>
    </w:p>
    <w:p w:rsidR="00C73DF6" w:rsidRPr="00E41FC1" w:rsidRDefault="00C73DF6" w:rsidP="00C73DF6">
      <w:pPr>
        <w:tabs>
          <w:tab w:val="left" w:pos="1890"/>
        </w:tabs>
        <w:ind w:left="2430" w:hanging="1440"/>
        <w:jc w:val="both"/>
        <w:rPr>
          <w:noProof/>
          <w:lang w:val="fr-CA"/>
        </w:rPr>
      </w:pPr>
    </w:p>
    <w:p w:rsidR="008728AB" w:rsidRDefault="00C73DF6" w:rsidP="00C73DF6">
      <w:pPr>
        <w:tabs>
          <w:tab w:val="left" w:pos="1890"/>
        </w:tabs>
        <w:ind w:left="2430" w:hanging="1440"/>
        <w:jc w:val="both"/>
        <w:rPr>
          <w:noProof/>
          <w:lang w:val="fr-CA"/>
        </w:rPr>
      </w:pPr>
      <w:r>
        <w:rPr>
          <w:noProof/>
          <w:lang w:val="fr-CA"/>
        </w:rPr>
        <w:tab/>
      </w:r>
      <w:r w:rsidR="008728AB" w:rsidRPr="00E41FC1">
        <w:rPr>
          <w:noProof/>
          <w:lang w:val="fr-CA"/>
        </w:rPr>
        <w:t>(ii)</w:t>
      </w:r>
      <w:r w:rsidR="008728AB" w:rsidRPr="00E41FC1">
        <w:rPr>
          <w:noProof/>
          <w:lang w:val="fr-CA"/>
        </w:rPr>
        <w:tab/>
        <w:t xml:space="preserve">aient été ou non exposés par le dirigeant qui a rendu cette décision ou directive ou cet ordre que ces motifs y soient incorporés par renvoi ou non. </w:t>
      </w:r>
    </w:p>
    <w:p w:rsidR="00C73DF6" w:rsidRPr="00E41FC1" w:rsidRDefault="00C73DF6" w:rsidP="00C73DF6">
      <w:pPr>
        <w:tabs>
          <w:tab w:val="left" w:pos="1890"/>
        </w:tabs>
        <w:ind w:left="2430" w:hanging="1440"/>
        <w:jc w:val="both"/>
        <w:rPr>
          <w:noProof/>
          <w:lang w:val="fr-CA"/>
        </w:rPr>
      </w:pPr>
    </w:p>
    <w:p w:rsidR="008728AB" w:rsidRDefault="008728AB" w:rsidP="006A4EAB">
      <w:pPr>
        <w:tabs>
          <w:tab w:val="left" w:pos="1440"/>
        </w:tabs>
        <w:ind w:left="720"/>
        <w:jc w:val="both"/>
        <w:rPr>
          <w:noProof/>
          <w:lang w:val="fr-CA"/>
        </w:rPr>
      </w:pPr>
      <w:r>
        <w:rPr>
          <w:noProof/>
          <w:lang w:val="fr-CA"/>
        </w:rPr>
        <w:tab/>
      </w:r>
      <w:r w:rsidRPr="00E41FC1">
        <w:rPr>
          <w:noProof/>
          <w:lang w:val="fr-CA"/>
        </w:rPr>
        <w:t>(3)</w:t>
      </w:r>
      <w:r w:rsidR="001F10D0">
        <w:rPr>
          <w:noProof/>
          <w:lang w:val="fr-CA"/>
        </w:rPr>
        <w:t> </w:t>
      </w:r>
      <w:r w:rsidRPr="00E41FC1">
        <w:rPr>
          <w:noProof/>
          <w:lang w:val="fr-CA"/>
        </w:rPr>
        <w:t>[Idem] Malgré le paragraphe (1), la personne responsable ne doit pas refuser, en vertu de ce paragraphe, de divulguer un document si le document date de plus de vingt ans ou si la personne responsable l’a publiquement cité comme ayant servi de fondement à une décision ou à la formulation d’une politique.</w:t>
      </w:r>
    </w:p>
    <w:p w:rsidR="006A4EAB" w:rsidRPr="00E41FC1" w:rsidRDefault="006A4EAB" w:rsidP="006A4EAB">
      <w:pPr>
        <w:tabs>
          <w:tab w:val="left" w:pos="1440"/>
        </w:tabs>
        <w:ind w:left="720"/>
        <w:jc w:val="both"/>
        <w:rPr>
          <w:noProof/>
          <w:lang w:val="fr-CA"/>
        </w:rPr>
      </w:pPr>
    </w:p>
    <w:p w:rsidR="008728AB" w:rsidRDefault="008728AB" w:rsidP="006A4EAB">
      <w:pPr>
        <w:tabs>
          <w:tab w:val="left" w:pos="1440"/>
        </w:tabs>
        <w:ind w:left="720"/>
        <w:jc w:val="both"/>
        <w:rPr>
          <w:noProof/>
          <w:lang w:val="fr-CA"/>
        </w:rPr>
      </w:pPr>
      <w:r>
        <w:rPr>
          <w:b/>
          <w:noProof/>
          <w:lang w:val="fr-CA"/>
        </w:rPr>
        <w:tab/>
      </w:r>
      <w:r w:rsidRPr="00E41FC1">
        <w:rPr>
          <w:b/>
          <w:noProof/>
          <w:lang w:val="fr-CA"/>
        </w:rPr>
        <w:t>23</w:t>
      </w:r>
      <w:r w:rsidRPr="006A4EAB">
        <w:rPr>
          <w:b/>
          <w:noProof/>
          <w:lang w:val="fr-CA"/>
        </w:rPr>
        <w:t>.</w:t>
      </w:r>
      <w:r w:rsidR="006A4EAB">
        <w:rPr>
          <w:noProof/>
          <w:lang w:val="fr-CA"/>
        </w:rPr>
        <w:t> </w:t>
      </w:r>
      <w:r w:rsidRPr="00E41FC1">
        <w:rPr>
          <w:noProof/>
          <w:lang w:val="fr-CA"/>
        </w:rPr>
        <w:t>[Non</w:t>
      </w:r>
      <w:r w:rsidR="00115CFC">
        <w:rPr>
          <w:noProof/>
          <w:lang w:val="fr-CA"/>
        </w:rPr>
        <w:t>-</w:t>
      </w:r>
      <w:r w:rsidRPr="00E41FC1">
        <w:rPr>
          <w:noProof/>
          <w:lang w:val="fr-CA"/>
        </w:rPr>
        <w:t xml:space="preserve">application des exceptions] L’exception à la divulgation visée aux articles 13, 15, 17, 18, 20, 21 et 21.1 ne s’applique pas si la nécessité manifeste de divulguer le document dans l’intérêt public l’emporte sans conteste sur la fin visée par l’exception. </w:t>
      </w:r>
    </w:p>
    <w:p w:rsidR="006A4EAB" w:rsidRPr="00E41FC1" w:rsidRDefault="006A4EAB" w:rsidP="006A4EAB">
      <w:pPr>
        <w:tabs>
          <w:tab w:val="left" w:pos="1440"/>
        </w:tabs>
        <w:spacing w:after="240" w:line="480" w:lineRule="auto"/>
        <w:ind w:left="720"/>
        <w:jc w:val="both"/>
        <w:rPr>
          <w:noProof/>
          <w:lang w:val="fr-CA"/>
        </w:rPr>
      </w:pPr>
    </w:p>
    <w:p w:rsidR="008728AB" w:rsidRPr="00E41FC1" w:rsidRDefault="008728AB" w:rsidP="006A4EAB">
      <w:pPr>
        <w:spacing w:after="240" w:line="480" w:lineRule="auto"/>
        <w:jc w:val="both"/>
        <w:rPr>
          <w:noProof/>
          <w:lang w:val="fr-CA"/>
        </w:rPr>
      </w:pPr>
      <w:r w:rsidRPr="00E41FC1">
        <w:rPr>
          <w:i/>
          <w:noProof/>
          <w:lang w:val="fr-CA"/>
        </w:rPr>
        <w:t>Loi sur l’accès à l’information</w:t>
      </w:r>
      <w:r w:rsidRPr="00E41FC1">
        <w:rPr>
          <w:noProof/>
          <w:lang w:val="fr-CA"/>
        </w:rPr>
        <w:t>, L.R.C. 1985, ch</w:t>
      </w:r>
      <w:r w:rsidR="00115CFC">
        <w:rPr>
          <w:noProof/>
          <w:lang w:val="fr-CA"/>
        </w:rPr>
        <w:t xml:space="preserve">. </w:t>
      </w:r>
      <w:r w:rsidRPr="00E41FC1">
        <w:rPr>
          <w:noProof/>
          <w:lang w:val="fr-CA"/>
        </w:rPr>
        <w:t>A</w:t>
      </w:r>
      <w:r w:rsidR="00115CFC">
        <w:rPr>
          <w:noProof/>
          <w:lang w:val="fr-CA"/>
        </w:rPr>
        <w:t>-</w:t>
      </w:r>
      <w:r w:rsidRPr="00E41FC1">
        <w:rPr>
          <w:noProof/>
          <w:lang w:val="fr-CA"/>
        </w:rPr>
        <w:t>1</w:t>
      </w:r>
    </w:p>
    <w:p w:rsidR="008728AB" w:rsidRDefault="008728AB" w:rsidP="001F10D0">
      <w:pPr>
        <w:tabs>
          <w:tab w:val="left" w:pos="1440"/>
        </w:tabs>
        <w:ind w:left="720"/>
        <w:jc w:val="both"/>
        <w:rPr>
          <w:noProof/>
          <w:lang w:val="fr-CA"/>
        </w:rPr>
      </w:pPr>
      <w:r>
        <w:rPr>
          <w:b/>
          <w:noProof/>
          <w:lang w:val="fr-CA"/>
        </w:rPr>
        <w:tab/>
      </w:r>
      <w:r w:rsidRPr="00E41FC1">
        <w:rPr>
          <w:b/>
          <w:noProof/>
          <w:lang w:val="fr-CA"/>
        </w:rPr>
        <w:t>2</w:t>
      </w:r>
      <w:r w:rsidRPr="006A4EAB">
        <w:rPr>
          <w:b/>
          <w:noProof/>
          <w:lang w:val="fr-CA"/>
        </w:rPr>
        <w:t>.</w:t>
      </w:r>
      <w:r w:rsidR="006A4EAB">
        <w:rPr>
          <w:b/>
          <w:noProof/>
          <w:lang w:val="fr-CA"/>
        </w:rPr>
        <w:t> </w:t>
      </w:r>
      <w:r w:rsidRPr="00E41FC1">
        <w:rPr>
          <w:noProof/>
          <w:lang w:val="fr-CA"/>
        </w:rPr>
        <w:t>(1) </w:t>
      </w:r>
      <w:r w:rsidR="006A4EAB" w:rsidRPr="00E41FC1">
        <w:rPr>
          <w:noProof/>
          <w:lang w:val="fr-CA"/>
        </w:rPr>
        <w:t>[Objet]</w:t>
      </w:r>
      <w:r w:rsidRPr="00E41FC1">
        <w:rPr>
          <w:noProof/>
          <w:lang w:val="fr-CA"/>
        </w:rPr>
        <w:t xml:space="preserve"> La présente loi a pour objet d’élargir l’accès aux documents de l’administration fédérale en consacrant le principe du droit du public à leur communication, les exceptions indispensables à ce droit étant </w:t>
      </w:r>
      <w:r w:rsidRPr="00E41FC1">
        <w:rPr>
          <w:noProof/>
          <w:lang w:val="fr-CA"/>
        </w:rPr>
        <w:lastRenderedPageBreak/>
        <w:t>précises et limitées et les décisions quant à la communication étant susceptibles de recours indépendants du pouvoir exécutif.</w:t>
      </w:r>
    </w:p>
    <w:p w:rsidR="001F10D0" w:rsidRPr="00E41FC1" w:rsidRDefault="001F10D0" w:rsidP="001F10D0">
      <w:pPr>
        <w:tabs>
          <w:tab w:val="left" w:pos="1440"/>
        </w:tabs>
        <w:ind w:left="720"/>
        <w:jc w:val="both"/>
        <w:rPr>
          <w:noProof/>
          <w:lang w:val="fr-CA"/>
        </w:rPr>
      </w:pPr>
    </w:p>
    <w:p w:rsidR="008728AB" w:rsidRDefault="008728AB" w:rsidP="001F10D0">
      <w:pPr>
        <w:tabs>
          <w:tab w:val="left" w:pos="1440"/>
        </w:tabs>
        <w:ind w:left="720"/>
        <w:jc w:val="both"/>
        <w:rPr>
          <w:noProof/>
          <w:lang w:val="fr-CA"/>
        </w:rPr>
      </w:pPr>
      <w:r>
        <w:rPr>
          <w:b/>
          <w:noProof/>
          <w:lang w:val="fr-CA"/>
        </w:rPr>
        <w:tab/>
      </w:r>
      <w:r w:rsidRPr="00E41FC1">
        <w:rPr>
          <w:b/>
          <w:noProof/>
          <w:lang w:val="fr-CA"/>
        </w:rPr>
        <w:t>21</w:t>
      </w:r>
      <w:r w:rsidRPr="006A4EAB">
        <w:rPr>
          <w:b/>
          <w:noProof/>
          <w:lang w:val="fr-CA"/>
        </w:rPr>
        <w:t>.</w:t>
      </w:r>
      <w:r w:rsidR="00A17CC8">
        <w:rPr>
          <w:noProof/>
          <w:lang w:val="fr-CA"/>
        </w:rPr>
        <w:t> </w:t>
      </w:r>
      <w:r w:rsidRPr="00E41FC1">
        <w:rPr>
          <w:noProof/>
          <w:lang w:val="fr-CA"/>
        </w:rPr>
        <w:t>(1) </w:t>
      </w:r>
      <w:r w:rsidR="00A17CC8" w:rsidRPr="00E41FC1">
        <w:rPr>
          <w:noProof/>
          <w:lang w:val="fr-CA"/>
        </w:rPr>
        <w:t>[Avis, etc.]</w:t>
      </w:r>
      <w:r w:rsidRPr="00E41FC1">
        <w:rPr>
          <w:noProof/>
          <w:lang w:val="fr-CA"/>
        </w:rPr>
        <w:t> Le responsable d’une institution fédérale peut refuser la communication de documents datés de moins de vingt ans lors de la demande et contenant :</w:t>
      </w:r>
    </w:p>
    <w:p w:rsidR="006A4EAB" w:rsidRPr="00E41FC1" w:rsidRDefault="006A4EAB" w:rsidP="00115CFC">
      <w:pPr>
        <w:tabs>
          <w:tab w:val="left" w:pos="720"/>
          <w:tab w:val="left" w:pos="1080"/>
        </w:tabs>
        <w:jc w:val="both"/>
        <w:rPr>
          <w:noProof/>
          <w:lang w:val="fr-CA"/>
        </w:rPr>
      </w:pPr>
    </w:p>
    <w:p w:rsidR="008728AB" w:rsidRDefault="008728AB" w:rsidP="001F10D0">
      <w:pPr>
        <w:tabs>
          <w:tab w:val="left" w:pos="1440"/>
          <w:tab w:val="left" w:pos="1800"/>
        </w:tabs>
        <w:spacing w:after="240"/>
        <w:ind w:left="1440" w:hanging="720"/>
        <w:jc w:val="both"/>
        <w:rPr>
          <w:noProof/>
          <w:lang w:val="fr-CA"/>
        </w:rPr>
      </w:pPr>
      <w:r>
        <w:rPr>
          <w:i/>
          <w:noProof/>
          <w:lang w:val="fr-CA"/>
        </w:rPr>
        <w:tab/>
      </w:r>
      <w:r w:rsidRPr="00E41FC1">
        <w:rPr>
          <w:i/>
          <w:noProof/>
          <w:lang w:val="fr-CA"/>
        </w:rPr>
        <w:t>a</w:t>
      </w:r>
      <w:r w:rsidRPr="00E41FC1">
        <w:rPr>
          <w:noProof/>
          <w:lang w:val="fr-CA"/>
        </w:rPr>
        <w:t>)</w:t>
      </w:r>
      <w:r>
        <w:rPr>
          <w:noProof/>
          <w:lang w:val="fr-CA"/>
        </w:rPr>
        <w:tab/>
      </w:r>
      <w:r w:rsidRPr="00E41FC1">
        <w:rPr>
          <w:noProof/>
          <w:lang w:val="fr-CA"/>
        </w:rPr>
        <w:t>des avis ou recommandations élaborés par ou pour une inst</w:t>
      </w:r>
      <w:r w:rsidR="006A4EAB">
        <w:rPr>
          <w:noProof/>
          <w:lang w:val="fr-CA"/>
        </w:rPr>
        <w:t>itution fédérale ou un ministre . . .</w:t>
      </w:r>
    </w:p>
    <w:p w:rsidR="006A4EAB" w:rsidRPr="003A2342" w:rsidRDefault="006A4EAB" w:rsidP="00115CFC">
      <w:pPr>
        <w:spacing w:after="240"/>
        <w:jc w:val="both"/>
        <w:rPr>
          <w:i/>
          <w:noProof/>
          <w:lang w:val="fr-CA"/>
        </w:rPr>
      </w:pPr>
    </w:p>
    <w:p w:rsidR="008728AB" w:rsidRPr="00E41FC1" w:rsidRDefault="008728AB" w:rsidP="006A4EAB">
      <w:pPr>
        <w:spacing w:after="240" w:line="480" w:lineRule="auto"/>
        <w:jc w:val="both"/>
        <w:rPr>
          <w:noProof/>
          <w:lang w:val="en-US"/>
        </w:rPr>
      </w:pPr>
      <w:r w:rsidRPr="00E41FC1">
        <w:rPr>
          <w:i/>
          <w:noProof/>
        </w:rPr>
        <w:t>Freedom of Information Ac</w:t>
      </w:r>
      <w:r w:rsidRPr="00E41FC1">
        <w:rPr>
          <w:i/>
          <w:noProof/>
          <w:lang w:val="en-US"/>
        </w:rPr>
        <w:t>t</w:t>
      </w:r>
      <w:r w:rsidRPr="00E41FC1">
        <w:rPr>
          <w:noProof/>
          <w:lang w:val="en-US"/>
        </w:rPr>
        <w:t xml:space="preserve">, 5 U.S.C. § 552 (1970) </w:t>
      </w:r>
    </w:p>
    <w:p w:rsidR="008728AB" w:rsidRPr="00E41FC1" w:rsidRDefault="008728AB" w:rsidP="006A4EAB">
      <w:pPr>
        <w:spacing w:after="240"/>
        <w:ind w:firstLine="720"/>
        <w:jc w:val="both"/>
        <w:rPr>
          <w:smallCaps/>
          <w:noProof/>
          <w:lang w:val="fr-CA"/>
        </w:rPr>
      </w:pPr>
      <w:r w:rsidRPr="00E41FC1">
        <w:rPr>
          <w:smallCaps/>
          <w:noProof/>
          <w:lang w:val="fr-CA"/>
        </w:rPr>
        <w:t>[traduction]</w:t>
      </w:r>
    </w:p>
    <w:p w:rsidR="008728AB" w:rsidRPr="00E41FC1" w:rsidRDefault="008728AB" w:rsidP="001F10D0">
      <w:pPr>
        <w:tabs>
          <w:tab w:val="left" w:pos="1890"/>
        </w:tabs>
        <w:ind w:left="720" w:firstLine="720"/>
        <w:jc w:val="both"/>
        <w:rPr>
          <w:noProof/>
          <w:lang w:val="fr-CA"/>
        </w:rPr>
      </w:pPr>
      <w:r w:rsidRPr="00E41FC1">
        <w:rPr>
          <w:noProof/>
          <w:lang w:val="fr-CA"/>
        </w:rPr>
        <w:t>a)</w:t>
      </w:r>
      <w:r>
        <w:rPr>
          <w:noProof/>
          <w:lang w:val="fr-CA"/>
        </w:rPr>
        <w:tab/>
      </w:r>
      <w:r w:rsidRPr="00E41FC1">
        <w:rPr>
          <w:noProof/>
          <w:lang w:val="fr-CA"/>
        </w:rPr>
        <w:t xml:space="preserve">Chaque </w:t>
      </w:r>
      <w:r w:rsidRPr="006A4EAB">
        <w:rPr>
          <w:lang w:val="fr-CA"/>
        </w:rPr>
        <w:t>organisme</w:t>
      </w:r>
      <w:r w:rsidRPr="00E41FC1">
        <w:rPr>
          <w:noProof/>
          <w:lang w:val="fr-CA"/>
        </w:rPr>
        <w:t xml:space="preserve"> met à la disposition du public l’information suivante </w:t>
      </w:r>
    </w:p>
    <w:p w:rsidR="008728AB" w:rsidRPr="00E41FC1" w:rsidRDefault="006A4EAB" w:rsidP="00115CFC">
      <w:pPr>
        <w:spacing w:after="240"/>
        <w:jc w:val="center"/>
        <w:rPr>
          <w:noProof/>
          <w:lang w:val="fr-CA"/>
        </w:rPr>
      </w:pPr>
      <w:r>
        <w:rPr>
          <w:noProof/>
          <w:lang w:val="fr-CA"/>
        </w:rPr>
        <w:t>. . .</w:t>
      </w:r>
    </w:p>
    <w:p w:rsidR="008728AB" w:rsidRDefault="008728AB" w:rsidP="001F10D0">
      <w:pPr>
        <w:tabs>
          <w:tab w:val="left" w:pos="1890"/>
        </w:tabs>
        <w:ind w:left="720" w:firstLine="720"/>
        <w:jc w:val="both"/>
        <w:rPr>
          <w:noProof/>
          <w:lang w:val="fr-CA"/>
        </w:rPr>
      </w:pPr>
      <w:r w:rsidRPr="00E41FC1">
        <w:rPr>
          <w:noProof/>
          <w:lang w:val="fr-CA"/>
        </w:rPr>
        <w:t>b)</w:t>
      </w:r>
      <w:r>
        <w:rPr>
          <w:noProof/>
          <w:lang w:val="fr-CA"/>
        </w:rPr>
        <w:tab/>
      </w:r>
      <w:r w:rsidRPr="00E41FC1">
        <w:rPr>
          <w:noProof/>
          <w:lang w:val="fr-CA"/>
        </w:rPr>
        <w:t>Le présent article ne s’applique pas :</w:t>
      </w:r>
    </w:p>
    <w:p w:rsidR="006A4EAB" w:rsidRPr="00E41FC1" w:rsidRDefault="006A4EAB" w:rsidP="006A4EAB">
      <w:pPr>
        <w:ind w:left="720" w:firstLine="720"/>
        <w:jc w:val="both"/>
        <w:rPr>
          <w:noProof/>
          <w:lang w:val="fr-CA"/>
        </w:rPr>
      </w:pPr>
    </w:p>
    <w:p w:rsidR="008728AB" w:rsidRDefault="006A4EAB" w:rsidP="00115CFC">
      <w:pPr>
        <w:spacing w:after="240"/>
        <w:jc w:val="center"/>
        <w:rPr>
          <w:noProof/>
          <w:lang w:val="fr-CA"/>
        </w:rPr>
      </w:pPr>
      <w:r>
        <w:rPr>
          <w:noProof/>
          <w:lang w:val="fr-CA"/>
        </w:rPr>
        <w:t>. . .</w:t>
      </w:r>
    </w:p>
    <w:p w:rsidR="008728AB" w:rsidRPr="00E41FC1" w:rsidRDefault="008728AB" w:rsidP="001F10D0">
      <w:pPr>
        <w:tabs>
          <w:tab w:val="left" w:pos="1890"/>
        </w:tabs>
        <w:spacing w:after="720"/>
        <w:ind w:left="720" w:firstLine="720"/>
        <w:jc w:val="both"/>
        <w:rPr>
          <w:noProof/>
          <w:lang w:val="fr-CA"/>
        </w:rPr>
      </w:pPr>
      <w:r w:rsidRPr="00E41FC1">
        <w:rPr>
          <w:noProof/>
          <w:lang w:val="fr-CA"/>
        </w:rPr>
        <w:t>(5)</w:t>
      </w:r>
      <w:r>
        <w:rPr>
          <w:noProof/>
          <w:lang w:val="fr-CA"/>
        </w:rPr>
        <w:tab/>
      </w:r>
      <w:r w:rsidRPr="00E41FC1">
        <w:rPr>
          <w:noProof/>
          <w:lang w:val="fr-CA"/>
        </w:rPr>
        <w:t>aux notes de service ou lettres échangées au sein d’un organisme ou entre des organismes et dont la loi n’autoriserait pas la communication à une autre personne qu’un organisme qui est partie à un litige qui l’oppose à l’organisme</w:t>
      </w:r>
      <w:r w:rsidR="00A17CC8">
        <w:rPr>
          <w:noProof/>
          <w:lang w:val="fr-CA"/>
        </w:rPr>
        <w:t xml:space="preserve"> </w:t>
      </w:r>
      <w:r w:rsidRPr="00E41FC1">
        <w:rPr>
          <w:noProof/>
          <w:lang w:val="fr-CA"/>
        </w:rPr>
        <w:t>.</w:t>
      </w:r>
      <w:r w:rsidR="00A17CC8">
        <w:rPr>
          <w:noProof/>
          <w:lang w:val="fr-CA"/>
        </w:rPr>
        <w:t xml:space="preserve"> . .</w:t>
      </w:r>
    </w:p>
    <w:p w:rsidR="004D7D95" w:rsidRPr="00583744" w:rsidRDefault="00A12E5D" w:rsidP="00115CFC">
      <w:pPr>
        <w:pStyle w:val="SCCNormalDoubleSpacing"/>
        <w:spacing w:before="480" w:after="480"/>
        <w:rPr>
          <w:lang w:val="fr-CA"/>
        </w:rPr>
      </w:pPr>
      <w:r w:rsidRPr="00583744">
        <w:rPr>
          <w:lang w:val="fr-CA"/>
        </w:rPr>
        <w:tab/>
      </w:r>
      <w:r w:rsidRPr="00583744">
        <w:rPr>
          <w:i/>
          <w:lang w:val="fr-CA"/>
        </w:rPr>
        <w:t>Pourvoi</w:t>
      </w:r>
      <w:r w:rsidR="00C07FB7" w:rsidRPr="00583744">
        <w:rPr>
          <w:i/>
          <w:lang w:val="fr-CA"/>
        </w:rPr>
        <w:t xml:space="preserve"> rejeté</w:t>
      </w:r>
      <w:r w:rsidR="001C3857" w:rsidRPr="00583744">
        <w:rPr>
          <w:i/>
          <w:lang w:val="fr-CA"/>
        </w:rPr>
        <w:t>.</w:t>
      </w:r>
    </w:p>
    <w:p w:rsidR="00FA7815" w:rsidRPr="00583744" w:rsidRDefault="00FA7815" w:rsidP="00115CFC">
      <w:pPr>
        <w:pStyle w:val="SCCNormalDoubleSpacing"/>
        <w:spacing w:before="480" w:after="480"/>
        <w:rPr>
          <w:i/>
          <w:lang w:val="fr-CA"/>
        </w:rPr>
      </w:pPr>
      <w:r w:rsidRPr="00583744">
        <w:rPr>
          <w:i/>
          <w:lang w:val="fr-CA"/>
        </w:rPr>
        <w:tab/>
        <w:t>Procureurs de l’appelant M</w:t>
      </w:r>
      <w:r w:rsidR="00115CFC">
        <w:rPr>
          <w:i/>
          <w:lang w:val="fr-CA"/>
        </w:rPr>
        <w:t xml:space="preserve">. </w:t>
      </w:r>
      <w:r w:rsidRPr="00583744">
        <w:rPr>
          <w:i/>
          <w:lang w:val="fr-CA"/>
        </w:rPr>
        <w:t>Untel</w:t>
      </w:r>
      <w:r w:rsidR="006C46A7" w:rsidRPr="00583744">
        <w:rPr>
          <w:i/>
          <w:lang w:val="fr-CA"/>
        </w:rPr>
        <w:t> </w:t>
      </w:r>
      <w:r w:rsidR="00115CFC">
        <w:rPr>
          <w:i/>
          <w:lang w:val="fr-CA"/>
        </w:rPr>
        <w:t xml:space="preserve">: </w:t>
      </w:r>
      <w:proofErr w:type="spellStart"/>
      <w:r w:rsidRPr="00583744">
        <w:rPr>
          <w:i/>
          <w:lang w:val="fr-CA"/>
        </w:rPr>
        <w:t>Fasken</w:t>
      </w:r>
      <w:proofErr w:type="spellEnd"/>
      <w:r w:rsidRPr="00583744">
        <w:rPr>
          <w:i/>
          <w:lang w:val="fr-CA"/>
        </w:rPr>
        <w:t xml:space="preserve"> Martineau </w:t>
      </w:r>
      <w:proofErr w:type="spellStart"/>
      <w:r w:rsidRPr="00583744">
        <w:rPr>
          <w:i/>
          <w:lang w:val="fr-CA"/>
        </w:rPr>
        <w:t>DuMoulin</w:t>
      </w:r>
      <w:proofErr w:type="spellEnd"/>
      <w:r w:rsidRPr="00583744">
        <w:rPr>
          <w:i/>
          <w:lang w:val="fr-CA"/>
        </w:rPr>
        <w:t>, Toronto.</w:t>
      </w:r>
    </w:p>
    <w:p w:rsidR="00FA7815" w:rsidRPr="00583744" w:rsidRDefault="00FA7815" w:rsidP="00115CFC">
      <w:pPr>
        <w:pStyle w:val="SCCLawFirm"/>
        <w:spacing w:before="480" w:after="480"/>
        <w:rPr>
          <w:lang w:val="fr-CA"/>
        </w:rPr>
      </w:pPr>
      <w:r w:rsidRPr="00583744">
        <w:rPr>
          <w:lang w:val="fr-CA"/>
        </w:rPr>
        <w:tab/>
        <w:t>Procureur de l’appelante la Commissaire à l’information et à la protection de la vie privée de l’Ontario</w:t>
      </w:r>
      <w:r w:rsidR="006C46A7" w:rsidRPr="00583744">
        <w:rPr>
          <w:lang w:val="fr-CA"/>
        </w:rPr>
        <w:t> </w:t>
      </w:r>
      <w:r w:rsidR="00115CFC">
        <w:rPr>
          <w:lang w:val="fr-CA"/>
        </w:rPr>
        <w:t xml:space="preserve">: </w:t>
      </w:r>
      <w:r w:rsidRPr="00583744">
        <w:rPr>
          <w:lang w:val="fr-CA"/>
        </w:rPr>
        <w:t>Commissaire à l’information et à la protection de la vie privée de l’Ontario, Toronto.</w:t>
      </w:r>
    </w:p>
    <w:p w:rsidR="00FA7815" w:rsidRPr="00583744" w:rsidRDefault="00FA7815" w:rsidP="00115CFC">
      <w:pPr>
        <w:pStyle w:val="SCCLawFirm"/>
        <w:spacing w:before="480" w:after="480"/>
        <w:rPr>
          <w:lang w:val="fr-CA"/>
        </w:rPr>
      </w:pPr>
      <w:r w:rsidRPr="00583744">
        <w:rPr>
          <w:lang w:val="fr-CA"/>
        </w:rPr>
        <w:lastRenderedPageBreak/>
        <w:tab/>
        <w:t>Procureur de l’intimé</w:t>
      </w:r>
      <w:r w:rsidR="006C46A7" w:rsidRPr="00583744">
        <w:rPr>
          <w:lang w:val="fr-CA"/>
        </w:rPr>
        <w:t> </w:t>
      </w:r>
      <w:r w:rsidR="00115CFC">
        <w:rPr>
          <w:lang w:val="fr-CA"/>
        </w:rPr>
        <w:t xml:space="preserve">: </w:t>
      </w:r>
      <w:r w:rsidRPr="00583744">
        <w:rPr>
          <w:lang w:val="fr-CA"/>
        </w:rPr>
        <w:t>Procureur général de l’Ontario, Toronto.</w:t>
      </w:r>
    </w:p>
    <w:p w:rsidR="00FA7815" w:rsidRPr="00583744" w:rsidRDefault="00FA7815" w:rsidP="00115CFC">
      <w:pPr>
        <w:pStyle w:val="SCCLawFirm"/>
        <w:spacing w:before="480" w:after="480"/>
        <w:rPr>
          <w:lang w:val="fr-CA"/>
        </w:rPr>
      </w:pPr>
      <w:r w:rsidRPr="00583744">
        <w:rPr>
          <w:lang w:val="fr-CA"/>
        </w:rPr>
        <w:tab/>
        <w:t>Procureur de l’intervenant le procureur général du Canada</w:t>
      </w:r>
      <w:r w:rsidR="006C46A7" w:rsidRPr="00583744">
        <w:rPr>
          <w:lang w:val="fr-CA"/>
        </w:rPr>
        <w:t> </w:t>
      </w:r>
      <w:r w:rsidR="00115CFC">
        <w:rPr>
          <w:lang w:val="fr-CA"/>
        </w:rPr>
        <w:t xml:space="preserve">: </w:t>
      </w:r>
      <w:r w:rsidRPr="00583744">
        <w:rPr>
          <w:lang w:val="fr-CA"/>
        </w:rPr>
        <w:t>Procureur général du Canada, Winnipeg.</w:t>
      </w:r>
    </w:p>
    <w:p w:rsidR="00FA7815" w:rsidRPr="00583744" w:rsidRDefault="00FA7815" w:rsidP="00115CFC">
      <w:pPr>
        <w:pStyle w:val="SCCLawFirm"/>
        <w:spacing w:before="480" w:after="480"/>
        <w:rPr>
          <w:lang w:val="fr-CA"/>
        </w:rPr>
      </w:pPr>
      <w:r w:rsidRPr="00583744">
        <w:rPr>
          <w:lang w:val="fr-CA"/>
        </w:rPr>
        <w:tab/>
        <w:t>Procureur de l’intervenant le procureur général de la Colombie</w:t>
      </w:r>
      <w:r w:rsidR="00115CFC">
        <w:rPr>
          <w:lang w:val="fr-CA"/>
        </w:rPr>
        <w:t>-</w:t>
      </w:r>
      <w:r w:rsidRPr="00583744">
        <w:rPr>
          <w:lang w:val="fr-CA"/>
        </w:rPr>
        <w:t>Britannique</w:t>
      </w:r>
      <w:r w:rsidR="006C46A7" w:rsidRPr="00583744">
        <w:rPr>
          <w:lang w:val="fr-CA"/>
        </w:rPr>
        <w:t> </w:t>
      </w:r>
      <w:r w:rsidR="00115CFC">
        <w:rPr>
          <w:lang w:val="fr-CA"/>
        </w:rPr>
        <w:t xml:space="preserve">: </w:t>
      </w:r>
      <w:r w:rsidRPr="00583744">
        <w:rPr>
          <w:lang w:val="fr-CA"/>
        </w:rPr>
        <w:t>Procureur général de la Colombie</w:t>
      </w:r>
      <w:r w:rsidR="00115CFC">
        <w:rPr>
          <w:lang w:val="fr-CA"/>
        </w:rPr>
        <w:t>-</w:t>
      </w:r>
      <w:r w:rsidRPr="00583744">
        <w:rPr>
          <w:lang w:val="fr-CA"/>
        </w:rPr>
        <w:t>Britannique, Victoria.</w:t>
      </w:r>
    </w:p>
    <w:p w:rsidR="00FA7815" w:rsidRPr="00583744" w:rsidRDefault="00FA7815" w:rsidP="00115CFC">
      <w:pPr>
        <w:pStyle w:val="SCCLawFirm"/>
        <w:spacing w:before="480" w:after="480"/>
        <w:rPr>
          <w:lang w:val="en-US"/>
        </w:rPr>
      </w:pPr>
      <w:r w:rsidRPr="00583744">
        <w:rPr>
          <w:lang w:val="fr-CA"/>
        </w:rPr>
        <w:tab/>
      </w:r>
      <w:proofErr w:type="spellStart"/>
      <w:r w:rsidRPr="00583744">
        <w:rPr>
          <w:lang w:val="en-US"/>
        </w:rPr>
        <w:t>Procureur</w:t>
      </w:r>
      <w:proofErr w:type="spellEnd"/>
      <w:r w:rsidRPr="00583744">
        <w:rPr>
          <w:lang w:val="en-US"/>
        </w:rPr>
        <w:t xml:space="preserve"> des </w:t>
      </w:r>
      <w:proofErr w:type="spellStart"/>
      <w:r w:rsidRPr="00583744">
        <w:rPr>
          <w:lang w:val="en-US"/>
        </w:rPr>
        <w:t>intervenants</w:t>
      </w:r>
      <w:proofErr w:type="spellEnd"/>
      <w:r w:rsidRPr="00583744">
        <w:rPr>
          <w:lang w:val="en-US"/>
        </w:rPr>
        <w:t xml:space="preserve"> Information and Privacy Commissioner of Alberta, Freedom of Information and Protection of Privacy Commissioner </w:t>
      </w:r>
      <w:r w:rsidR="00B8362E" w:rsidRPr="00583744">
        <w:rPr>
          <w:lang w:val="en-US"/>
        </w:rPr>
        <w:t xml:space="preserve">[Review Officer] </w:t>
      </w:r>
      <w:r w:rsidRPr="00583744">
        <w:rPr>
          <w:lang w:val="en-US"/>
        </w:rPr>
        <w:t xml:space="preserve">for Nova Scotia et </w:t>
      </w:r>
      <w:r w:rsidR="001E6BAE" w:rsidRPr="00583744">
        <w:rPr>
          <w:lang w:val="en-US"/>
        </w:rPr>
        <w:t>Information and Privacy Commissioner of Prince Edward Island</w:t>
      </w:r>
      <w:r w:rsidR="006C46A7" w:rsidRPr="00583744">
        <w:rPr>
          <w:lang w:val="en-US"/>
        </w:rPr>
        <w:t> </w:t>
      </w:r>
      <w:r w:rsidR="00115CFC">
        <w:rPr>
          <w:lang w:val="en-US"/>
        </w:rPr>
        <w:t xml:space="preserve">: </w:t>
      </w:r>
      <w:r w:rsidRPr="00583744">
        <w:rPr>
          <w:lang w:val="en-US"/>
        </w:rPr>
        <w:t>Office of the Information and Privacy Commissioner of Alberta, Edmonton.</w:t>
      </w:r>
    </w:p>
    <w:p w:rsidR="00FA7815" w:rsidRPr="00583744" w:rsidRDefault="00FA7815" w:rsidP="00115CFC">
      <w:pPr>
        <w:pStyle w:val="SCCLawFirm"/>
        <w:spacing w:before="480" w:after="480"/>
      </w:pPr>
      <w:r w:rsidRPr="00583744">
        <w:rPr>
          <w:lang w:val="en-US"/>
        </w:rPr>
        <w:tab/>
      </w:r>
      <w:proofErr w:type="spellStart"/>
      <w:r w:rsidRPr="00583744">
        <w:t>Procureurs</w:t>
      </w:r>
      <w:proofErr w:type="spellEnd"/>
      <w:r w:rsidRPr="00583744">
        <w:t xml:space="preserve"> de </w:t>
      </w:r>
      <w:proofErr w:type="spellStart"/>
      <w:r w:rsidRPr="00583744">
        <w:t>l’intervenante</w:t>
      </w:r>
      <w:proofErr w:type="spellEnd"/>
      <w:r w:rsidRPr="00583744">
        <w:t xml:space="preserve"> British Columbia Freedom of Information and Privacy </w:t>
      </w:r>
      <w:proofErr w:type="gramStart"/>
      <w:r w:rsidRPr="00583744">
        <w:t>Association</w:t>
      </w:r>
      <w:r w:rsidR="006C46A7" w:rsidRPr="00583744">
        <w:t> </w:t>
      </w:r>
      <w:r w:rsidR="00115CFC">
        <w:t>:</w:t>
      </w:r>
      <w:proofErr w:type="gramEnd"/>
      <w:r w:rsidR="00115CFC">
        <w:t xml:space="preserve"> </w:t>
      </w:r>
      <w:r w:rsidRPr="00583744">
        <w:t>Hunter Litigation Chambers, Vancouver.</w:t>
      </w:r>
    </w:p>
    <w:p w:rsidR="00FA7815" w:rsidRPr="00583744" w:rsidRDefault="00FA7815" w:rsidP="00115CFC">
      <w:pPr>
        <w:pStyle w:val="SCCLawFirm"/>
        <w:spacing w:before="480" w:after="480"/>
      </w:pPr>
      <w:r w:rsidRPr="00583744">
        <w:tab/>
      </w:r>
      <w:proofErr w:type="spellStart"/>
      <w:r w:rsidRPr="00583744">
        <w:t>Procureurs</w:t>
      </w:r>
      <w:proofErr w:type="spellEnd"/>
      <w:r w:rsidRPr="00583744">
        <w:t xml:space="preserve"> de </w:t>
      </w:r>
      <w:proofErr w:type="spellStart"/>
      <w:r w:rsidRPr="00583744">
        <w:t>l’intervenant</w:t>
      </w:r>
      <w:proofErr w:type="spellEnd"/>
      <w:r w:rsidRPr="00583744">
        <w:t xml:space="preserve"> Information and Privacy Commissioner of British </w:t>
      </w:r>
      <w:proofErr w:type="gramStart"/>
      <w:r w:rsidRPr="00583744">
        <w:t>Columbia</w:t>
      </w:r>
      <w:r w:rsidR="006C46A7" w:rsidRPr="00583744">
        <w:t> </w:t>
      </w:r>
      <w:r w:rsidR="00115CFC">
        <w:t>:</w:t>
      </w:r>
      <w:proofErr w:type="gramEnd"/>
      <w:r w:rsidR="00115CFC">
        <w:t xml:space="preserve"> </w:t>
      </w:r>
      <w:r w:rsidRPr="00583744">
        <w:t xml:space="preserve">Lovett </w:t>
      </w:r>
      <w:proofErr w:type="spellStart"/>
      <w:r w:rsidRPr="00583744">
        <w:t>Westmacott</w:t>
      </w:r>
      <w:proofErr w:type="spellEnd"/>
      <w:r w:rsidRPr="00583744">
        <w:t>, Vancouver.</w:t>
      </w:r>
    </w:p>
    <w:p w:rsidR="0037652F" w:rsidRPr="003B12F3" w:rsidRDefault="00FA7815" w:rsidP="00A6023F">
      <w:pPr>
        <w:pStyle w:val="SCCItalic"/>
        <w:rPr>
          <w:lang w:val="fr-CA"/>
        </w:rPr>
      </w:pPr>
      <w:r w:rsidRPr="00583744">
        <w:tab/>
      </w:r>
      <w:r w:rsidRPr="00583744">
        <w:rPr>
          <w:lang w:val="fr-CA"/>
        </w:rPr>
        <w:t>Procureurs de l’intervenante l’</w:t>
      </w:r>
      <w:r w:rsidRPr="00583744">
        <w:rPr>
          <w:bCs/>
          <w:lang w:val="fr-CA"/>
        </w:rPr>
        <w:t>Association canadienne des libertés civiles</w:t>
      </w:r>
      <w:r w:rsidR="006C46A7" w:rsidRPr="00583744">
        <w:rPr>
          <w:lang w:val="fr-CA"/>
        </w:rPr>
        <w:t> </w:t>
      </w:r>
      <w:r w:rsidR="00115CFC">
        <w:rPr>
          <w:lang w:val="fr-CA"/>
        </w:rPr>
        <w:t xml:space="preserve">: </w:t>
      </w:r>
      <w:r w:rsidRPr="00583744">
        <w:rPr>
          <w:lang w:val="fr-CA"/>
        </w:rPr>
        <w:t xml:space="preserve">Blake, </w:t>
      </w:r>
      <w:proofErr w:type="spellStart"/>
      <w:r w:rsidRPr="00583744">
        <w:rPr>
          <w:lang w:val="fr-CA"/>
        </w:rPr>
        <w:t>Cassels</w:t>
      </w:r>
      <w:proofErr w:type="spellEnd"/>
      <w:r w:rsidRPr="00583744">
        <w:rPr>
          <w:lang w:val="fr-CA"/>
        </w:rPr>
        <w:t xml:space="preserve"> &amp; </w:t>
      </w:r>
      <w:proofErr w:type="spellStart"/>
      <w:r w:rsidRPr="00583744">
        <w:rPr>
          <w:lang w:val="fr-CA"/>
        </w:rPr>
        <w:t>Graydon</w:t>
      </w:r>
      <w:proofErr w:type="spellEnd"/>
      <w:r w:rsidRPr="00583744">
        <w:rPr>
          <w:lang w:val="fr-CA"/>
        </w:rPr>
        <w:t>, Toronto.</w:t>
      </w:r>
      <w:r w:rsidR="001A5CF9">
        <w:rPr>
          <w:lang w:val="fr-CA"/>
        </w:rPr>
        <w:t xml:space="preserve"> </w:t>
      </w:r>
    </w:p>
    <w:sectPr w:rsidR="0037652F" w:rsidRPr="003B12F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C6" w:rsidRDefault="00E90BC6">
      <w:r>
        <w:separator/>
      </w:r>
    </w:p>
  </w:endnote>
  <w:endnote w:type="continuationSeparator" w:id="0">
    <w:p w:rsidR="00E90BC6" w:rsidRDefault="00E9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Default="00E90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Default="00E90B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Default="00E90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C6" w:rsidRDefault="00E90BC6">
      <w:r>
        <w:separator/>
      </w:r>
    </w:p>
  </w:footnote>
  <w:footnote w:type="continuationSeparator" w:id="0">
    <w:p w:rsidR="00E90BC6" w:rsidRDefault="00E9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Default="00E90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Pr="00450352" w:rsidRDefault="00E90BC6"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C6" w:rsidRDefault="00E90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972"/>
        </w:tabs>
        <w:ind w:left="97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96438ED"/>
    <w:multiLevelType w:val="hybridMultilevel"/>
    <w:tmpl w:val="3AD68596"/>
    <w:lvl w:ilvl="0" w:tplc="04090017">
      <w:start w:val="1"/>
      <w:numFmt w:val="lowerLetter"/>
      <w:lvlText w:val="%1)"/>
      <w:lvlJc w:val="left"/>
      <w:pPr>
        <w:ind w:left="1446" w:hanging="360"/>
      </w:pPr>
    </w:lvl>
    <w:lvl w:ilvl="1" w:tplc="CA9E965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D6A5246"/>
    <w:lvl w:ilvl="0">
      <w:start w:val="1"/>
      <w:numFmt w:val="decimal"/>
      <w:pStyle w:val="ParaNoNdepar-AltN"/>
      <w:lvlText w:val="[%1]"/>
      <w:lvlJc w:val="left"/>
      <w:pPr>
        <w:tabs>
          <w:tab w:val="num" w:pos="1602"/>
        </w:tabs>
        <w:ind w:left="45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1"/>
  </w:num>
  <w:num w:numId="5">
    <w:abstractNumId w:val="0"/>
  </w:num>
  <w:num w:numId="6">
    <w:abstractNumId w:val="4"/>
  </w:num>
  <w:num w:numId="7">
    <w:abstractNumId w:val="5"/>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rsids>
    <w:rsidRoot w:val="0031414C"/>
    <w:rsid w:val="00000ED4"/>
    <w:rsid w:val="000061A2"/>
    <w:rsid w:val="00017217"/>
    <w:rsid w:val="00023FC7"/>
    <w:rsid w:val="00025198"/>
    <w:rsid w:val="000578A3"/>
    <w:rsid w:val="000648CC"/>
    <w:rsid w:val="0006600F"/>
    <w:rsid w:val="00071159"/>
    <w:rsid w:val="00086E52"/>
    <w:rsid w:val="000944F8"/>
    <w:rsid w:val="000A7AEF"/>
    <w:rsid w:val="000C59B8"/>
    <w:rsid w:val="000C6AF0"/>
    <w:rsid w:val="000D0221"/>
    <w:rsid w:val="000D0A77"/>
    <w:rsid w:val="000F5079"/>
    <w:rsid w:val="000F7993"/>
    <w:rsid w:val="00104F33"/>
    <w:rsid w:val="001107E7"/>
    <w:rsid w:val="00111DE2"/>
    <w:rsid w:val="00115CFC"/>
    <w:rsid w:val="00116B38"/>
    <w:rsid w:val="00135406"/>
    <w:rsid w:val="00135972"/>
    <w:rsid w:val="001426A9"/>
    <w:rsid w:val="00154D7C"/>
    <w:rsid w:val="001570B0"/>
    <w:rsid w:val="0015752C"/>
    <w:rsid w:val="00157737"/>
    <w:rsid w:val="00161600"/>
    <w:rsid w:val="00165277"/>
    <w:rsid w:val="00166650"/>
    <w:rsid w:val="00170592"/>
    <w:rsid w:val="001720F7"/>
    <w:rsid w:val="001947A1"/>
    <w:rsid w:val="00195D83"/>
    <w:rsid w:val="00196727"/>
    <w:rsid w:val="001A00C1"/>
    <w:rsid w:val="001A5CF9"/>
    <w:rsid w:val="001B1181"/>
    <w:rsid w:val="001B33E0"/>
    <w:rsid w:val="001B3E3C"/>
    <w:rsid w:val="001B4573"/>
    <w:rsid w:val="001C3857"/>
    <w:rsid w:val="001C5913"/>
    <w:rsid w:val="001C779F"/>
    <w:rsid w:val="001D23F8"/>
    <w:rsid w:val="001D2AC1"/>
    <w:rsid w:val="001D2F01"/>
    <w:rsid w:val="001D4E88"/>
    <w:rsid w:val="001E6BAE"/>
    <w:rsid w:val="001F10D0"/>
    <w:rsid w:val="002039EC"/>
    <w:rsid w:val="00220FC2"/>
    <w:rsid w:val="002222F4"/>
    <w:rsid w:val="00222C0E"/>
    <w:rsid w:val="00224FC0"/>
    <w:rsid w:val="00225EA4"/>
    <w:rsid w:val="00226EAF"/>
    <w:rsid w:val="00231F3A"/>
    <w:rsid w:val="002406EE"/>
    <w:rsid w:val="00243EC8"/>
    <w:rsid w:val="002460C2"/>
    <w:rsid w:val="00254CAB"/>
    <w:rsid w:val="002573C3"/>
    <w:rsid w:val="00270D93"/>
    <w:rsid w:val="002745CC"/>
    <w:rsid w:val="002876B6"/>
    <w:rsid w:val="002B587B"/>
    <w:rsid w:val="002B6FBE"/>
    <w:rsid w:val="002B7924"/>
    <w:rsid w:val="002C10A6"/>
    <w:rsid w:val="002D28C3"/>
    <w:rsid w:val="002D39A4"/>
    <w:rsid w:val="002E1B10"/>
    <w:rsid w:val="002E4220"/>
    <w:rsid w:val="002E6705"/>
    <w:rsid w:val="002F658A"/>
    <w:rsid w:val="002F78B5"/>
    <w:rsid w:val="0030329A"/>
    <w:rsid w:val="003073F1"/>
    <w:rsid w:val="0031086F"/>
    <w:rsid w:val="0031414C"/>
    <w:rsid w:val="00314E01"/>
    <w:rsid w:val="003150FD"/>
    <w:rsid w:val="0032089D"/>
    <w:rsid w:val="003310DE"/>
    <w:rsid w:val="003323B0"/>
    <w:rsid w:val="00340A49"/>
    <w:rsid w:val="0035169A"/>
    <w:rsid w:val="0035259D"/>
    <w:rsid w:val="00364B18"/>
    <w:rsid w:val="0037652F"/>
    <w:rsid w:val="00381EBA"/>
    <w:rsid w:val="003903AB"/>
    <w:rsid w:val="003A125D"/>
    <w:rsid w:val="003A2342"/>
    <w:rsid w:val="003A4C70"/>
    <w:rsid w:val="003B12F3"/>
    <w:rsid w:val="003B215F"/>
    <w:rsid w:val="003C799C"/>
    <w:rsid w:val="003D0399"/>
    <w:rsid w:val="003D287B"/>
    <w:rsid w:val="003E1C71"/>
    <w:rsid w:val="003E2889"/>
    <w:rsid w:val="003F327B"/>
    <w:rsid w:val="00406166"/>
    <w:rsid w:val="0040704B"/>
    <w:rsid w:val="00410A55"/>
    <w:rsid w:val="00411300"/>
    <w:rsid w:val="00413F17"/>
    <w:rsid w:val="00414278"/>
    <w:rsid w:val="00415417"/>
    <w:rsid w:val="00426659"/>
    <w:rsid w:val="00450352"/>
    <w:rsid w:val="00454BDB"/>
    <w:rsid w:val="00461082"/>
    <w:rsid w:val="004625AC"/>
    <w:rsid w:val="00465132"/>
    <w:rsid w:val="00480C90"/>
    <w:rsid w:val="0048396F"/>
    <w:rsid w:val="00487C0A"/>
    <w:rsid w:val="00493C18"/>
    <w:rsid w:val="00497975"/>
    <w:rsid w:val="004A600C"/>
    <w:rsid w:val="004A6118"/>
    <w:rsid w:val="004B7A45"/>
    <w:rsid w:val="004C478D"/>
    <w:rsid w:val="004D7D95"/>
    <w:rsid w:val="004E2C26"/>
    <w:rsid w:val="00510D76"/>
    <w:rsid w:val="005125A8"/>
    <w:rsid w:val="00517549"/>
    <w:rsid w:val="00520ABC"/>
    <w:rsid w:val="00521AE8"/>
    <w:rsid w:val="00527180"/>
    <w:rsid w:val="00552E11"/>
    <w:rsid w:val="00555291"/>
    <w:rsid w:val="00566AD1"/>
    <w:rsid w:val="00575C84"/>
    <w:rsid w:val="00583744"/>
    <w:rsid w:val="00583EDE"/>
    <w:rsid w:val="0059128D"/>
    <w:rsid w:val="005A6079"/>
    <w:rsid w:val="005B1CA8"/>
    <w:rsid w:val="005E4698"/>
    <w:rsid w:val="00603924"/>
    <w:rsid w:val="00606883"/>
    <w:rsid w:val="00610539"/>
    <w:rsid w:val="00613969"/>
    <w:rsid w:val="00625C35"/>
    <w:rsid w:val="00633178"/>
    <w:rsid w:val="006421A8"/>
    <w:rsid w:val="00646245"/>
    <w:rsid w:val="006462E7"/>
    <w:rsid w:val="00647E49"/>
    <w:rsid w:val="00652BBE"/>
    <w:rsid w:val="00654799"/>
    <w:rsid w:val="00656313"/>
    <w:rsid w:val="006565F4"/>
    <w:rsid w:val="00672275"/>
    <w:rsid w:val="00684EEA"/>
    <w:rsid w:val="00694391"/>
    <w:rsid w:val="0069689B"/>
    <w:rsid w:val="006A401A"/>
    <w:rsid w:val="006A4E51"/>
    <w:rsid w:val="006A4EAB"/>
    <w:rsid w:val="006B5FF5"/>
    <w:rsid w:val="006C46A7"/>
    <w:rsid w:val="006C5709"/>
    <w:rsid w:val="006F30AF"/>
    <w:rsid w:val="006F6283"/>
    <w:rsid w:val="00701759"/>
    <w:rsid w:val="00705C15"/>
    <w:rsid w:val="00710B10"/>
    <w:rsid w:val="007110F6"/>
    <w:rsid w:val="007140BB"/>
    <w:rsid w:val="007208D1"/>
    <w:rsid w:val="0073553F"/>
    <w:rsid w:val="00736157"/>
    <w:rsid w:val="00744518"/>
    <w:rsid w:val="00747288"/>
    <w:rsid w:val="00747C9D"/>
    <w:rsid w:val="00747DD3"/>
    <w:rsid w:val="0075294A"/>
    <w:rsid w:val="007549C8"/>
    <w:rsid w:val="0076300A"/>
    <w:rsid w:val="00765565"/>
    <w:rsid w:val="00766D14"/>
    <w:rsid w:val="00767A0F"/>
    <w:rsid w:val="0077044B"/>
    <w:rsid w:val="00791272"/>
    <w:rsid w:val="007A05F6"/>
    <w:rsid w:val="007A0C03"/>
    <w:rsid w:val="007B6F4A"/>
    <w:rsid w:val="007E1C47"/>
    <w:rsid w:val="007E337A"/>
    <w:rsid w:val="007E5759"/>
    <w:rsid w:val="007E5C70"/>
    <w:rsid w:val="007F2FF5"/>
    <w:rsid w:val="007F3F08"/>
    <w:rsid w:val="007F656A"/>
    <w:rsid w:val="00804CC6"/>
    <w:rsid w:val="00810EC6"/>
    <w:rsid w:val="0081432A"/>
    <w:rsid w:val="0081653B"/>
    <w:rsid w:val="00817190"/>
    <w:rsid w:val="00823B26"/>
    <w:rsid w:val="008260E2"/>
    <w:rsid w:val="008322BD"/>
    <w:rsid w:val="00834F73"/>
    <w:rsid w:val="008351B7"/>
    <w:rsid w:val="00835794"/>
    <w:rsid w:val="0084457E"/>
    <w:rsid w:val="00845C25"/>
    <w:rsid w:val="00863E1F"/>
    <w:rsid w:val="00864C8A"/>
    <w:rsid w:val="00864CF8"/>
    <w:rsid w:val="008728AB"/>
    <w:rsid w:val="00874914"/>
    <w:rsid w:val="0088647B"/>
    <w:rsid w:val="00891422"/>
    <w:rsid w:val="00892E1A"/>
    <w:rsid w:val="008A0733"/>
    <w:rsid w:val="008A0A1E"/>
    <w:rsid w:val="008A377C"/>
    <w:rsid w:val="008B660A"/>
    <w:rsid w:val="008B72C2"/>
    <w:rsid w:val="008C01DA"/>
    <w:rsid w:val="008D764C"/>
    <w:rsid w:val="008E23DF"/>
    <w:rsid w:val="008E579E"/>
    <w:rsid w:val="008E67AC"/>
    <w:rsid w:val="008F2674"/>
    <w:rsid w:val="008F78E9"/>
    <w:rsid w:val="009179F9"/>
    <w:rsid w:val="00917C7A"/>
    <w:rsid w:val="00926724"/>
    <w:rsid w:val="00933E5E"/>
    <w:rsid w:val="00935218"/>
    <w:rsid w:val="00937C52"/>
    <w:rsid w:val="009403F3"/>
    <w:rsid w:val="00954296"/>
    <w:rsid w:val="009555B7"/>
    <w:rsid w:val="009567AA"/>
    <w:rsid w:val="009602C9"/>
    <w:rsid w:val="0096633A"/>
    <w:rsid w:val="00967374"/>
    <w:rsid w:val="00977524"/>
    <w:rsid w:val="00985B49"/>
    <w:rsid w:val="00986ECE"/>
    <w:rsid w:val="009908A6"/>
    <w:rsid w:val="009A343A"/>
    <w:rsid w:val="009A527A"/>
    <w:rsid w:val="009A52FC"/>
    <w:rsid w:val="009B2F23"/>
    <w:rsid w:val="009B57B3"/>
    <w:rsid w:val="009D2920"/>
    <w:rsid w:val="009D5AEB"/>
    <w:rsid w:val="009D7F6A"/>
    <w:rsid w:val="009E24AA"/>
    <w:rsid w:val="009E29A0"/>
    <w:rsid w:val="009E472E"/>
    <w:rsid w:val="009E58D3"/>
    <w:rsid w:val="009F0E33"/>
    <w:rsid w:val="00A12E5D"/>
    <w:rsid w:val="00A149DF"/>
    <w:rsid w:val="00A1755C"/>
    <w:rsid w:val="00A17CC8"/>
    <w:rsid w:val="00A21B90"/>
    <w:rsid w:val="00A22AAC"/>
    <w:rsid w:val="00A363CF"/>
    <w:rsid w:val="00A41805"/>
    <w:rsid w:val="00A51882"/>
    <w:rsid w:val="00A52AFB"/>
    <w:rsid w:val="00A548CB"/>
    <w:rsid w:val="00A5521C"/>
    <w:rsid w:val="00A6023F"/>
    <w:rsid w:val="00A643E7"/>
    <w:rsid w:val="00A73C38"/>
    <w:rsid w:val="00A73E67"/>
    <w:rsid w:val="00A8544D"/>
    <w:rsid w:val="00AA4293"/>
    <w:rsid w:val="00AB670D"/>
    <w:rsid w:val="00AC3882"/>
    <w:rsid w:val="00AC554E"/>
    <w:rsid w:val="00AD1104"/>
    <w:rsid w:val="00AD2487"/>
    <w:rsid w:val="00AF03C5"/>
    <w:rsid w:val="00B000D8"/>
    <w:rsid w:val="00B00F75"/>
    <w:rsid w:val="00B13B00"/>
    <w:rsid w:val="00B145B6"/>
    <w:rsid w:val="00B1654E"/>
    <w:rsid w:val="00B279EB"/>
    <w:rsid w:val="00B37939"/>
    <w:rsid w:val="00B446DE"/>
    <w:rsid w:val="00B50C81"/>
    <w:rsid w:val="00B557F8"/>
    <w:rsid w:val="00B5613D"/>
    <w:rsid w:val="00B753B5"/>
    <w:rsid w:val="00B815FC"/>
    <w:rsid w:val="00B81DD9"/>
    <w:rsid w:val="00B8362E"/>
    <w:rsid w:val="00B93FBC"/>
    <w:rsid w:val="00BA3AEC"/>
    <w:rsid w:val="00BA7DA0"/>
    <w:rsid w:val="00BB2EE4"/>
    <w:rsid w:val="00BB4C92"/>
    <w:rsid w:val="00BC2108"/>
    <w:rsid w:val="00BD0E9E"/>
    <w:rsid w:val="00BD1BEC"/>
    <w:rsid w:val="00BD32FF"/>
    <w:rsid w:val="00BF231A"/>
    <w:rsid w:val="00BF6FE9"/>
    <w:rsid w:val="00BF72C6"/>
    <w:rsid w:val="00C02092"/>
    <w:rsid w:val="00C074D6"/>
    <w:rsid w:val="00C07FB7"/>
    <w:rsid w:val="00C24D91"/>
    <w:rsid w:val="00C26DB2"/>
    <w:rsid w:val="00C45C7E"/>
    <w:rsid w:val="00C47EF4"/>
    <w:rsid w:val="00C50A9E"/>
    <w:rsid w:val="00C53F14"/>
    <w:rsid w:val="00C54DDC"/>
    <w:rsid w:val="00C600CF"/>
    <w:rsid w:val="00C6084F"/>
    <w:rsid w:val="00C612F0"/>
    <w:rsid w:val="00C62A66"/>
    <w:rsid w:val="00C66359"/>
    <w:rsid w:val="00C71458"/>
    <w:rsid w:val="00C73DF6"/>
    <w:rsid w:val="00C77613"/>
    <w:rsid w:val="00C828E7"/>
    <w:rsid w:val="00C86719"/>
    <w:rsid w:val="00C921DD"/>
    <w:rsid w:val="00C939E2"/>
    <w:rsid w:val="00CA6391"/>
    <w:rsid w:val="00CB0956"/>
    <w:rsid w:val="00CC3271"/>
    <w:rsid w:val="00CE036E"/>
    <w:rsid w:val="00CE3171"/>
    <w:rsid w:val="00CF1601"/>
    <w:rsid w:val="00D0172F"/>
    <w:rsid w:val="00D01E33"/>
    <w:rsid w:val="00D0455D"/>
    <w:rsid w:val="00D068A7"/>
    <w:rsid w:val="00D17476"/>
    <w:rsid w:val="00D17E45"/>
    <w:rsid w:val="00D311BB"/>
    <w:rsid w:val="00D32086"/>
    <w:rsid w:val="00D32B23"/>
    <w:rsid w:val="00D35654"/>
    <w:rsid w:val="00D37A3F"/>
    <w:rsid w:val="00D4431D"/>
    <w:rsid w:val="00D4667A"/>
    <w:rsid w:val="00D63A1C"/>
    <w:rsid w:val="00D7516F"/>
    <w:rsid w:val="00D83FF5"/>
    <w:rsid w:val="00D84669"/>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4397"/>
    <w:rsid w:val="00E45109"/>
    <w:rsid w:val="00E47B7A"/>
    <w:rsid w:val="00E53645"/>
    <w:rsid w:val="00E56A44"/>
    <w:rsid w:val="00E60269"/>
    <w:rsid w:val="00E90BC6"/>
    <w:rsid w:val="00E93D0F"/>
    <w:rsid w:val="00E97830"/>
    <w:rsid w:val="00EB0840"/>
    <w:rsid w:val="00EB2A5B"/>
    <w:rsid w:val="00EB6489"/>
    <w:rsid w:val="00EE0830"/>
    <w:rsid w:val="00EE6CB8"/>
    <w:rsid w:val="00EF0683"/>
    <w:rsid w:val="00EF61C5"/>
    <w:rsid w:val="00F0070C"/>
    <w:rsid w:val="00F00EB7"/>
    <w:rsid w:val="00F36AB6"/>
    <w:rsid w:val="00F37A09"/>
    <w:rsid w:val="00F409CE"/>
    <w:rsid w:val="00F4379D"/>
    <w:rsid w:val="00F50D2D"/>
    <w:rsid w:val="00F56C8B"/>
    <w:rsid w:val="00F62639"/>
    <w:rsid w:val="00F642A9"/>
    <w:rsid w:val="00F66810"/>
    <w:rsid w:val="00F84DF4"/>
    <w:rsid w:val="00F85C97"/>
    <w:rsid w:val="00F87A20"/>
    <w:rsid w:val="00FA7815"/>
    <w:rsid w:val="00FB37D2"/>
    <w:rsid w:val="00FC4398"/>
    <w:rsid w:val="00FC4EFB"/>
    <w:rsid w:val="00FD068D"/>
    <w:rsid w:val="00FD4F28"/>
    <w:rsid w:val="00FD5EEE"/>
    <w:rsid w:val="00FE296C"/>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1107E7"/>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728A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728AB"/>
    <w:rPr>
      <w:rFonts w:eastAsiaTheme="minorHAnsi" w:cstheme="minorBidi"/>
      <w:sz w:val="24"/>
      <w:szCs w:val="22"/>
      <w:lang w:eastAsia="en-US"/>
    </w:rPr>
  </w:style>
  <w:style w:type="character" w:customStyle="1" w:styleId="SCCBanSummaryChar">
    <w:name w:val="SCC.BanSummary Char"/>
    <w:basedOn w:val="DefaultParagraphFont"/>
    <w:link w:val="SCCBanSummary"/>
    <w:rsid w:val="008728AB"/>
    <w:rPr>
      <w:b/>
      <w:sz w:val="24"/>
    </w:rPr>
  </w:style>
  <w:style w:type="table" w:styleId="TableGrid">
    <w:name w:val="Table Grid"/>
    <w:basedOn w:val="TableNormal"/>
    <w:uiPriority w:val="59"/>
    <w:rsid w:val="008728A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728A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728A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728A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728AB"/>
    <w:pPr>
      <w:keepNext/>
      <w:numPr>
        <w:numId w:val="8"/>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728A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8728A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8728AB"/>
    <w:pPr>
      <w:numPr>
        <w:ilvl w:val="3"/>
      </w:numPr>
      <w:tabs>
        <w:tab w:val="clear" w:pos="972"/>
        <w:tab w:val="left" w:pos="1080"/>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8728AB"/>
    <w:pPr>
      <w:numPr>
        <w:ilvl w:val="4"/>
      </w:numPr>
      <w:tabs>
        <w:tab w:val="clear" w:pos="576"/>
        <w:tab w:val="left" w:pos="1620"/>
      </w:tabs>
      <w:ind w:left="1620" w:hanging="540"/>
    </w:pPr>
  </w:style>
  <w:style w:type="paragraph" w:styleId="TOC1">
    <w:name w:val="toc 1"/>
    <w:basedOn w:val="Normal"/>
    <w:next w:val="Normal"/>
    <w:autoRedefine/>
    <w:uiPriority w:val="39"/>
    <w:unhideWhenUsed/>
    <w:rsid w:val="008728A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728A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728A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728A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728A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728AB"/>
    <w:pPr>
      <w:tabs>
        <w:tab w:val="left" w:pos="2160"/>
        <w:tab w:val="right" w:leader="dot" w:pos="8270"/>
      </w:tabs>
      <w:spacing w:after="100"/>
      <w:ind w:left="1800"/>
    </w:pPr>
    <w:rPr>
      <w:noProof/>
    </w:rPr>
  </w:style>
  <w:style w:type="table" w:customStyle="1" w:styleId="TableGrid1">
    <w:name w:val="Table Grid1"/>
    <w:basedOn w:val="TableNormal"/>
    <w:uiPriority w:val="59"/>
    <w:rsid w:val="008728AB"/>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8728AB"/>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8728AB"/>
    <w:rPr>
      <w:sz w:val="20"/>
    </w:rPr>
  </w:style>
  <w:style w:type="character" w:customStyle="1" w:styleId="FootnoteTextChar">
    <w:name w:val="Footnote Text Char"/>
    <w:basedOn w:val="DefaultParagraphFont"/>
    <w:link w:val="FootnoteText"/>
    <w:uiPriority w:val="99"/>
    <w:semiHidden/>
    <w:rsid w:val="008728AB"/>
  </w:style>
  <w:style w:type="character" w:styleId="FootnoteReference">
    <w:name w:val="footnote reference"/>
    <w:basedOn w:val="DefaultParagraphFont"/>
    <w:uiPriority w:val="99"/>
    <w:semiHidden/>
    <w:unhideWhenUsed/>
    <w:rsid w:val="008728AB"/>
    <w:rPr>
      <w:vertAlign w:val="superscript"/>
    </w:rPr>
  </w:style>
  <w:style w:type="character" w:styleId="Hyperlink">
    <w:name w:val="Hyperlink"/>
    <w:basedOn w:val="DefaultParagraphFont"/>
    <w:uiPriority w:val="99"/>
    <w:unhideWhenUsed/>
    <w:rsid w:val="008728AB"/>
    <w:rPr>
      <w:color w:val="0000FF" w:themeColor="hyperlink"/>
      <w:u w:val="single"/>
    </w:rPr>
  </w:style>
  <w:style w:type="character" w:styleId="FollowedHyperlink">
    <w:name w:val="FollowedHyperlink"/>
    <w:basedOn w:val="DefaultParagraphFont"/>
    <w:uiPriority w:val="99"/>
    <w:semiHidden/>
    <w:unhideWhenUsed/>
    <w:rsid w:val="008728AB"/>
    <w:rPr>
      <w:color w:val="800080" w:themeColor="followedHyperlink"/>
      <w:u w:val="single"/>
    </w:rPr>
  </w:style>
  <w:style w:type="paragraph" w:styleId="ListParagraph">
    <w:name w:val="List Paragraph"/>
    <w:basedOn w:val="Normal"/>
    <w:uiPriority w:val="34"/>
    <w:rsid w:val="008728AB"/>
    <w:pPr>
      <w:ind w:left="720"/>
      <w:contextualSpacing/>
    </w:pPr>
    <w:rPr>
      <w:szCs w:val="24"/>
    </w:rPr>
  </w:style>
  <w:style w:type="table" w:customStyle="1" w:styleId="TableGrid2">
    <w:name w:val="Table Grid2"/>
    <w:basedOn w:val="TableNormal"/>
    <w:next w:val="TableGrid"/>
    <w:uiPriority w:val="59"/>
    <w:rsid w:val="008728A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8E579E"/>
    <w:rPr>
      <w:lang w:val="fr-CA"/>
    </w:rPr>
  </w:style>
  <w:style w:type="paragraph" w:customStyle="1" w:styleId="SCCLsocPrefix">
    <w:name w:val="SCC.Lsoc.Prefix"/>
    <w:basedOn w:val="Normal"/>
    <w:next w:val="Normal"/>
    <w:link w:val="SCCLsocPrefixChar"/>
    <w:rsid w:val="008E579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E579E"/>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3D1E-025C-406E-B39C-F0172BF2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9646</Words>
  <Characters>51352</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2014-05-09T14:46:00Z</dcterms:created>
  <dcterms:modified xsi:type="dcterms:W3CDTF">2014-12-12T13:35:00Z</dcterms:modified>
</cp:coreProperties>
</file>