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B1" w:rsidRDefault="00C57EB1" w:rsidP="00C57EB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479879587" r:id="rId9"/>
        </w:object>
      </w:r>
      <w:r>
        <w:t xml:space="preserve"> </w:t>
      </w:r>
      <w:r>
        <w:ptab w:relativeTo="margin" w:alignment="right" w:leader="none"/>
      </w:r>
    </w:p>
    <w:p w:rsidR="00C57EB1" w:rsidRDefault="00C57EB1" w:rsidP="00C57EB1">
      <w:pPr>
        <w:pStyle w:val="Header"/>
      </w:pPr>
    </w:p>
    <w:p w:rsidR="00C57EB1" w:rsidRPr="001E12E2" w:rsidRDefault="00C57EB1" w:rsidP="00C57EB1">
      <w:pPr>
        <w:jc w:val="center"/>
        <w:rPr>
          <w:b/>
        </w:rPr>
      </w:pPr>
      <w:r w:rsidRPr="001E12E2">
        <w:rPr>
          <w:b/>
        </w:rPr>
        <w:t>COUR SUPRÊME DU CANADA</w:t>
      </w:r>
    </w:p>
    <w:p w:rsidR="00C57EB1" w:rsidRDefault="00C57EB1" w:rsidP="00C57EB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57EB1" w:rsidRPr="001E12E2" w:rsidTr="00614124">
        <w:trPr>
          <w:cantSplit/>
        </w:trPr>
        <w:tc>
          <w:tcPr>
            <w:tcW w:w="6768" w:type="dxa"/>
          </w:tcPr>
          <w:p w:rsidR="00C57EB1" w:rsidRPr="00C57EB1" w:rsidRDefault="00C57EB1" w:rsidP="00614124">
            <w:r w:rsidRPr="00C57EB1">
              <w:rPr>
                <w:b/>
                <w:smallCaps/>
              </w:rPr>
              <w:t>Référence :</w:t>
            </w:r>
            <w:r w:rsidRPr="00C57EB1">
              <w:t xml:space="preserve"> McCormick </w:t>
            </w:r>
            <w:r w:rsidRPr="00C57EB1">
              <w:rPr>
                <w:i/>
              </w:rPr>
              <w:t>c.</w:t>
            </w:r>
            <w:r w:rsidRPr="00C57EB1">
              <w:t xml:space="preserve"> </w:t>
            </w:r>
            <w:proofErr w:type="spellStart"/>
            <w:r w:rsidRPr="00C57EB1">
              <w:t>Fasken</w:t>
            </w:r>
            <w:proofErr w:type="spellEnd"/>
            <w:r w:rsidRPr="00C57EB1">
              <w:t xml:space="preserve"> Martineau </w:t>
            </w:r>
            <w:proofErr w:type="spellStart"/>
            <w:r w:rsidRPr="00C57EB1">
              <w:t>DuMoulin</w:t>
            </w:r>
            <w:proofErr w:type="spellEnd"/>
            <w:r w:rsidRPr="00C57EB1">
              <w:t xml:space="preserve"> S.E.N.C.R.L./</w:t>
            </w:r>
            <w:proofErr w:type="spellStart"/>
            <w:r w:rsidRPr="00C57EB1">
              <w:t>s.r.l</w:t>
            </w:r>
            <w:proofErr w:type="spellEnd"/>
            <w:r w:rsidRPr="00C57EB1">
              <w:t xml:space="preserve">., 2014 CSC 39, </w:t>
            </w:r>
            <w:r w:rsidRPr="00C57EB1">
              <w:rPr>
                <w:lang w:val="en-US"/>
              </w:rPr>
              <w:t>[2014] 2 R.C.S. 108</w:t>
            </w:r>
          </w:p>
        </w:tc>
        <w:tc>
          <w:tcPr>
            <w:tcW w:w="2808" w:type="dxa"/>
          </w:tcPr>
          <w:p w:rsidR="00C57EB1" w:rsidRPr="001E12E2" w:rsidRDefault="00C57EB1" w:rsidP="00614124">
            <w:r w:rsidRPr="001E12E2">
              <w:rPr>
                <w:b/>
                <w:smallCaps/>
              </w:rPr>
              <w:t>Date</w:t>
            </w:r>
            <w:r>
              <w:rPr>
                <w:b/>
                <w:smallCaps/>
              </w:rPr>
              <w:t> :</w:t>
            </w:r>
            <w:r w:rsidRPr="001E12E2">
              <w:t xml:space="preserve"> </w:t>
            </w:r>
            <w:r>
              <w:t>20140522</w:t>
            </w:r>
          </w:p>
          <w:p w:rsidR="00C57EB1" w:rsidRPr="001E12E2" w:rsidRDefault="00C57EB1" w:rsidP="00614124">
            <w:r w:rsidRPr="001E12E2">
              <w:rPr>
                <w:b/>
                <w:smallCaps/>
              </w:rPr>
              <w:t>Do</w:t>
            </w:r>
            <w:r>
              <w:rPr>
                <w:b/>
                <w:smallCaps/>
              </w:rPr>
              <w:t>ssier :</w:t>
            </w:r>
            <w:r w:rsidRPr="001E12E2">
              <w:t xml:space="preserve"> </w:t>
            </w:r>
            <w:r>
              <w:t>34997</w:t>
            </w:r>
          </w:p>
        </w:tc>
      </w:tr>
    </w:tbl>
    <w:p w:rsidR="00C57EB1" w:rsidRPr="001E12E2" w:rsidRDefault="00C57EB1" w:rsidP="00C57EB1"/>
    <w:p w:rsidR="00C57EB1" w:rsidRDefault="00C57EB1" w:rsidP="001C650E">
      <w:pPr>
        <w:pStyle w:val="SCCLsocPrefix"/>
      </w:pPr>
      <w:r>
        <w:t>Entre :</w:t>
      </w:r>
    </w:p>
    <w:p w:rsidR="00C57EB1" w:rsidRDefault="00C57EB1" w:rsidP="001C650E">
      <w:pPr>
        <w:pStyle w:val="SCCLsocParty"/>
        <w:jc w:val="center"/>
      </w:pPr>
      <w:r>
        <w:t>John Michael McCormick</w:t>
      </w:r>
    </w:p>
    <w:p w:rsidR="00C57EB1" w:rsidRDefault="00C57EB1" w:rsidP="001C650E">
      <w:pPr>
        <w:jc w:val="center"/>
      </w:pPr>
      <w:proofErr w:type="spellStart"/>
      <w:r>
        <w:t>Appelant</w:t>
      </w:r>
      <w:proofErr w:type="spellEnd"/>
    </w:p>
    <w:p w:rsidR="00C57EB1" w:rsidRPr="001C650E" w:rsidRDefault="00C57EB1" w:rsidP="001C650E">
      <w:pPr>
        <w:pStyle w:val="SCCLsocVersus"/>
        <w:spacing w:after="0"/>
        <w:jc w:val="center"/>
        <w:rPr>
          <w:i w:val="0"/>
          <w:lang w:val="fr-CA"/>
        </w:rPr>
      </w:pPr>
      <w:proofErr w:type="gramStart"/>
      <w:r w:rsidRPr="001C650E">
        <w:rPr>
          <w:i w:val="0"/>
          <w:lang w:val="fr-CA"/>
        </w:rPr>
        <w:t>et</w:t>
      </w:r>
      <w:proofErr w:type="gramEnd"/>
    </w:p>
    <w:p w:rsidR="00C57EB1" w:rsidRPr="001C650E" w:rsidRDefault="00C57EB1" w:rsidP="001C650E">
      <w:pPr>
        <w:pStyle w:val="SCCLsocParty"/>
        <w:jc w:val="center"/>
        <w:rPr>
          <w:lang w:val="fr-CA"/>
        </w:rPr>
      </w:pPr>
      <w:proofErr w:type="spellStart"/>
      <w:r w:rsidRPr="001C650E">
        <w:rPr>
          <w:lang w:val="fr-CA"/>
        </w:rPr>
        <w:t>Fasken</w:t>
      </w:r>
      <w:proofErr w:type="spellEnd"/>
      <w:r w:rsidRPr="001C650E">
        <w:rPr>
          <w:lang w:val="fr-CA"/>
        </w:rPr>
        <w:t xml:space="preserve"> Martineau </w:t>
      </w:r>
      <w:proofErr w:type="spellStart"/>
      <w:r w:rsidRPr="001C650E">
        <w:rPr>
          <w:lang w:val="fr-CA"/>
        </w:rPr>
        <w:t>DuMoulin</w:t>
      </w:r>
      <w:proofErr w:type="spellEnd"/>
      <w:r w:rsidRPr="001C650E">
        <w:rPr>
          <w:lang w:val="fr-CA"/>
        </w:rPr>
        <w:t xml:space="preserve"> S.E.N.C.R.L./</w:t>
      </w:r>
      <w:proofErr w:type="spellStart"/>
      <w:r w:rsidRPr="001C650E">
        <w:rPr>
          <w:lang w:val="fr-CA"/>
        </w:rPr>
        <w:t>s.r.l</w:t>
      </w:r>
      <w:proofErr w:type="spellEnd"/>
      <w:r w:rsidRPr="001C650E">
        <w:rPr>
          <w:lang w:val="fr-CA"/>
        </w:rPr>
        <w:t>.</w:t>
      </w:r>
    </w:p>
    <w:p w:rsidR="00C57EB1" w:rsidRDefault="00C57EB1" w:rsidP="001C650E">
      <w:pPr>
        <w:jc w:val="center"/>
      </w:pPr>
      <w:proofErr w:type="spellStart"/>
      <w:r>
        <w:t>Intimée</w:t>
      </w:r>
      <w:proofErr w:type="spellEnd"/>
    </w:p>
    <w:p w:rsidR="00C57EB1" w:rsidRDefault="00C57EB1" w:rsidP="001C650E">
      <w:pPr>
        <w:pStyle w:val="SCCLsocOtherPartySeparator"/>
        <w:spacing w:after="0"/>
        <w:jc w:val="center"/>
      </w:pPr>
      <w:r>
        <w:t xml:space="preserve">- </w:t>
      </w:r>
      <w:proofErr w:type="gramStart"/>
      <w:r>
        <w:t>et</w:t>
      </w:r>
      <w:proofErr w:type="gramEnd"/>
      <w:r>
        <w:t xml:space="preserve"> -</w:t>
      </w:r>
    </w:p>
    <w:p w:rsidR="00C57EB1" w:rsidRPr="00B60385" w:rsidRDefault="00C57EB1" w:rsidP="001C650E">
      <w:pPr>
        <w:pStyle w:val="SCCLsocParty"/>
        <w:jc w:val="center"/>
        <w:rPr>
          <w:lang w:val="en-US"/>
        </w:rPr>
      </w:pPr>
      <w:r w:rsidRPr="00B60385">
        <w:rPr>
          <w:lang w:val="en-US"/>
        </w:rPr>
        <w:t>Alberta Human Rights Commission, British Columbia Human Rights Tribunal,</w:t>
      </w:r>
    </w:p>
    <w:p w:rsidR="00C57EB1" w:rsidRPr="00C57EB1" w:rsidRDefault="00C57EB1" w:rsidP="001C650E">
      <w:pPr>
        <w:pStyle w:val="SCCLsocParty"/>
        <w:jc w:val="center"/>
        <w:rPr>
          <w:lang w:val="fr-CA"/>
        </w:rPr>
      </w:pPr>
      <w:r w:rsidRPr="00C57EB1">
        <w:rPr>
          <w:lang w:val="fr-CA"/>
        </w:rPr>
        <w:t>Ernst &amp; Young s.r.l</w:t>
      </w:r>
      <w:proofErr w:type="gramStart"/>
      <w:r w:rsidRPr="00C57EB1">
        <w:rPr>
          <w:lang w:val="fr-CA"/>
        </w:rPr>
        <w:t>./</w:t>
      </w:r>
      <w:proofErr w:type="gramEnd"/>
      <w:r w:rsidRPr="00C57EB1">
        <w:rPr>
          <w:lang w:val="fr-CA"/>
        </w:rPr>
        <w:t xml:space="preserve">S.E.N.C.R.L., KPMG s.r.l./S.E.N.C.R.L., </w:t>
      </w:r>
      <w:proofErr w:type="spellStart"/>
      <w:r w:rsidRPr="00C57EB1">
        <w:rPr>
          <w:lang w:val="fr-CA"/>
        </w:rPr>
        <w:t>Deloitte</w:t>
      </w:r>
      <w:proofErr w:type="spellEnd"/>
      <w:r w:rsidRPr="00C57EB1">
        <w:rPr>
          <w:lang w:val="fr-CA"/>
        </w:rPr>
        <w:t xml:space="preserve"> S.E.N.C.R.L./s.r.l., </w:t>
      </w:r>
      <w:proofErr w:type="spellStart"/>
      <w:r w:rsidRPr="00C57EB1">
        <w:rPr>
          <w:lang w:val="fr-CA"/>
        </w:rPr>
        <w:t>PricewaterhouseCoopers</w:t>
      </w:r>
      <w:proofErr w:type="spellEnd"/>
      <w:r w:rsidRPr="00C57EB1">
        <w:rPr>
          <w:lang w:val="fr-CA"/>
        </w:rPr>
        <w:t xml:space="preserve"> s.r.l., BDO Canada s.r.l./S.E.N.C.R.L., Grant </w:t>
      </w:r>
      <w:proofErr w:type="spellStart"/>
      <w:r w:rsidRPr="00C57EB1">
        <w:rPr>
          <w:lang w:val="fr-CA"/>
        </w:rPr>
        <w:t>Thornton</w:t>
      </w:r>
      <w:proofErr w:type="spellEnd"/>
      <w:r w:rsidRPr="00C57EB1">
        <w:rPr>
          <w:lang w:val="fr-CA"/>
        </w:rPr>
        <w:t xml:space="preserve"> LLP, Association du Jeune Barreau de Montréal, Commission ontarienne des droits de la personne et Commission canadienne des droits de la personne</w:t>
      </w:r>
    </w:p>
    <w:p w:rsidR="00C57EB1" w:rsidRPr="00C57EB1" w:rsidRDefault="00C57EB1" w:rsidP="001C650E">
      <w:pPr>
        <w:jc w:val="center"/>
        <w:rPr>
          <w:lang w:val="fr-CA"/>
        </w:rPr>
      </w:pPr>
      <w:r w:rsidRPr="00C57EB1">
        <w:rPr>
          <w:lang w:val="fr-CA"/>
        </w:rPr>
        <w:t>Intervenants</w:t>
      </w:r>
    </w:p>
    <w:p w:rsidR="00C57EB1" w:rsidRPr="00C57EB1" w:rsidRDefault="00C57EB1" w:rsidP="001C650E">
      <w:pPr>
        <w:tabs>
          <w:tab w:val="left" w:pos="1507"/>
        </w:tabs>
        <w:rPr>
          <w:lang w:val="fr-CA"/>
        </w:rPr>
      </w:pPr>
      <w:r>
        <w:rPr>
          <w:lang w:val="fr-CA"/>
        </w:rPr>
        <w:tab/>
      </w:r>
    </w:p>
    <w:p w:rsidR="00C57EB1" w:rsidRPr="00C57EB1" w:rsidRDefault="00C57EB1" w:rsidP="001C650E">
      <w:pPr>
        <w:rPr>
          <w:lang w:val="fr-CA"/>
        </w:rPr>
      </w:pPr>
    </w:p>
    <w:p w:rsidR="00C57EB1" w:rsidRPr="00C57EB1" w:rsidRDefault="00C57EB1" w:rsidP="001C650E">
      <w:pPr>
        <w:jc w:val="center"/>
        <w:rPr>
          <w:b/>
          <w:smallCaps/>
          <w:lang w:val="fr-CA"/>
        </w:rPr>
      </w:pPr>
      <w:r w:rsidRPr="00C57EB1">
        <w:rPr>
          <w:b/>
          <w:smallCaps/>
          <w:lang w:val="fr-CA"/>
        </w:rPr>
        <w:t>Traduction française officielle</w:t>
      </w:r>
    </w:p>
    <w:p w:rsidR="00C57EB1" w:rsidRPr="00C57EB1" w:rsidRDefault="00C57EB1" w:rsidP="001C650E">
      <w:pPr>
        <w:rPr>
          <w:lang w:val="fr-CA"/>
        </w:rPr>
      </w:pPr>
    </w:p>
    <w:p w:rsidR="00C57EB1" w:rsidRPr="00C57EB1" w:rsidRDefault="00C57EB1" w:rsidP="001C650E">
      <w:pPr>
        <w:rPr>
          <w:lang w:val="fr-CA"/>
        </w:rPr>
      </w:pPr>
      <w:r w:rsidRPr="00C57EB1">
        <w:rPr>
          <w:b/>
          <w:smallCaps/>
          <w:lang w:val="fr-CA"/>
        </w:rPr>
        <w:t>Coram :</w:t>
      </w:r>
      <w:r w:rsidRPr="00C57EB1">
        <w:rPr>
          <w:lang w:val="fr-CA"/>
        </w:rPr>
        <w:t xml:space="preserve"> La juge en chef </w:t>
      </w:r>
      <w:proofErr w:type="spellStart"/>
      <w:r w:rsidRPr="00C57EB1">
        <w:rPr>
          <w:lang w:val="fr-CA"/>
        </w:rPr>
        <w:t>McLachlin</w:t>
      </w:r>
      <w:proofErr w:type="spellEnd"/>
      <w:r w:rsidRPr="00C57EB1">
        <w:rPr>
          <w:lang w:val="fr-CA"/>
        </w:rPr>
        <w:t xml:space="preserve"> et les juges </w:t>
      </w:r>
      <w:proofErr w:type="spellStart"/>
      <w:r w:rsidRPr="00C57EB1">
        <w:rPr>
          <w:lang w:val="fr-CA"/>
        </w:rPr>
        <w:t>LeBel</w:t>
      </w:r>
      <w:proofErr w:type="spellEnd"/>
      <w:r w:rsidRPr="00C57EB1">
        <w:rPr>
          <w:lang w:val="fr-CA"/>
        </w:rPr>
        <w:t xml:space="preserve">, Abella, </w:t>
      </w:r>
      <w:proofErr w:type="spellStart"/>
      <w:r w:rsidRPr="00C57EB1">
        <w:rPr>
          <w:lang w:val="fr-CA"/>
        </w:rPr>
        <w:t>Rothstein</w:t>
      </w:r>
      <w:proofErr w:type="spellEnd"/>
      <w:r w:rsidRPr="00C57EB1">
        <w:rPr>
          <w:lang w:val="fr-CA"/>
        </w:rPr>
        <w:t xml:space="preserve">, Cromwell, </w:t>
      </w:r>
      <w:proofErr w:type="spellStart"/>
      <w:r w:rsidRPr="00C57EB1">
        <w:rPr>
          <w:lang w:val="fr-CA"/>
        </w:rPr>
        <w:t>Moldaver</w:t>
      </w:r>
      <w:proofErr w:type="spellEnd"/>
      <w:r w:rsidRPr="00C57EB1">
        <w:rPr>
          <w:lang w:val="fr-CA"/>
        </w:rPr>
        <w:t xml:space="preserve"> et </w:t>
      </w:r>
      <w:proofErr w:type="spellStart"/>
      <w:r w:rsidRPr="00C57EB1">
        <w:rPr>
          <w:lang w:val="fr-CA"/>
        </w:rPr>
        <w:t>Karakatsanis</w:t>
      </w:r>
      <w:proofErr w:type="spellEnd"/>
    </w:p>
    <w:p w:rsidR="00C57EB1" w:rsidRPr="00C57EB1" w:rsidRDefault="00C57EB1" w:rsidP="001C650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57EB1" w:rsidRPr="001C650E" w:rsidTr="00614124">
        <w:trPr>
          <w:cantSplit/>
        </w:trPr>
        <w:tc>
          <w:tcPr>
            <w:tcW w:w="3618" w:type="dxa"/>
          </w:tcPr>
          <w:p w:rsidR="00C57EB1" w:rsidRPr="00C57EB1" w:rsidRDefault="00C57EB1" w:rsidP="001C650E">
            <w:pPr>
              <w:rPr>
                <w:b/>
                <w:smallCaps/>
                <w:lang w:val="fr-CA"/>
              </w:rPr>
            </w:pPr>
            <w:r w:rsidRPr="00C57EB1">
              <w:rPr>
                <w:b/>
                <w:smallCaps/>
                <w:lang w:val="fr-CA"/>
              </w:rPr>
              <w:t>Motifs de jugement :</w:t>
            </w:r>
          </w:p>
          <w:p w:rsidR="00C57EB1" w:rsidRPr="00C57EB1" w:rsidRDefault="00C57EB1" w:rsidP="001C650E">
            <w:pPr>
              <w:rPr>
                <w:lang w:val="fr-CA"/>
              </w:rPr>
            </w:pPr>
            <w:r w:rsidRPr="00C57EB1">
              <w:rPr>
                <w:lang w:val="fr-CA"/>
              </w:rPr>
              <w:t>(par. 1 à 49)</w:t>
            </w:r>
          </w:p>
          <w:p w:rsidR="00C57EB1" w:rsidRPr="00C57EB1" w:rsidRDefault="00C57EB1" w:rsidP="001C650E">
            <w:pPr>
              <w:rPr>
                <w:lang w:val="fr-CA"/>
              </w:rPr>
            </w:pPr>
          </w:p>
        </w:tc>
        <w:tc>
          <w:tcPr>
            <w:tcW w:w="5958" w:type="dxa"/>
          </w:tcPr>
          <w:p w:rsidR="00C57EB1" w:rsidRPr="00C57EB1" w:rsidRDefault="00C57EB1" w:rsidP="001C650E">
            <w:pPr>
              <w:rPr>
                <w:lang w:val="fr-CA"/>
              </w:rPr>
            </w:pPr>
            <w:r w:rsidRPr="00C57EB1">
              <w:rPr>
                <w:lang w:val="fr-CA"/>
              </w:rPr>
              <w:t xml:space="preserve">La juge Abella (avec l’accord de la juge en chef </w:t>
            </w:r>
            <w:proofErr w:type="spellStart"/>
            <w:r w:rsidRPr="00C57EB1">
              <w:rPr>
                <w:lang w:val="fr-CA"/>
              </w:rPr>
              <w:t>McLachlin</w:t>
            </w:r>
            <w:proofErr w:type="spellEnd"/>
            <w:r w:rsidRPr="00C57EB1">
              <w:rPr>
                <w:lang w:val="fr-CA"/>
              </w:rPr>
              <w:t xml:space="preserve"> et des juges </w:t>
            </w:r>
            <w:proofErr w:type="spellStart"/>
            <w:r w:rsidRPr="00C57EB1">
              <w:rPr>
                <w:lang w:val="fr-CA"/>
              </w:rPr>
              <w:t>LeBel</w:t>
            </w:r>
            <w:proofErr w:type="spellEnd"/>
            <w:r w:rsidRPr="00C57EB1">
              <w:rPr>
                <w:lang w:val="fr-CA"/>
              </w:rPr>
              <w:t xml:space="preserve">, </w:t>
            </w:r>
            <w:proofErr w:type="spellStart"/>
            <w:r w:rsidRPr="00C57EB1">
              <w:rPr>
                <w:lang w:val="fr-CA"/>
              </w:rPr>
              <w:t>Rothstein</w:t>
            </w:r>
            <w:proofErr w:type="spellEnd"/>
            <w:r w:rsidRPr="00C57EB1">
              <w:rPr>
                <w:lang w:val="fr-CA"/>
              </w:rPr>
              <w:t xml:space="preserve">, Cromwell, </w:t>
            </w:r>
            <w:proofErr w:type="spellStart"/>
            <w:r w:rsidRPr="00C57EB1">
              <w:rPr>
                <w:lang w:val="fr-CA"/>
              </w:rPr>
              <w:t>Moldaver</w:t>
            </w:r>
            <w:proofErr w:type="spellEnd"/>
            <w:r w:rsidRPr="00C57EB1">
              <w:rPr>
                <w:lang w:val="fr-CA"/>
              </w:rPr>
              <w:t xml:space="preserve"> et </w:t>
            </w:r>
            <w:proofErr w:type="spellStart"/>
            <w:r w:rsidRPr="00C57EB1">
              <w:rPr>
                <w:lang w:val="fr-CA"/>
              </w:rPr>
              <w:t>Karakatsanis</w:t>
            </w:r>
            <w:proofErr w:type="spellEnd"/>
            <w:r w:rsidRPr="00C57EB1">
              <w:rPr>
                <w:lang w:val="fr-CA"/>
              </w:rPr>
              <w:t>)</w:t>
            </w:r>
          </w:p>
        </w:tc>
      </w:tr>
    </w:tbl>
    <w:p w:rsidR="00C57EB1" w:rsidRPr="00C57EB1" w:rsidRDefault="00C57EB1" w:rsidP="001C650E">
      <w:pPr>
        <w:rPr>
          <w:lang w:val="fr-CA"/>
        </w:rPr>
      </w:pPr>
    </w:p>
    <w:p w:rsidR="00C57EB1" w:rsidRPr="00C57EB1" w:rsidRDefault="00C57EB1" w:rsidP="00C57EB1">
      <w:pPr>
        <w:rPr>
          <w:lang w:val="fr-CA"/>
        </w:rPr>
      </w:pPr>
    </w:p>
    <w:p w:rsidR="00C57EB1" w:rsidRPr="00C57EB1" w:rsidRDefault="00A43055" w:rsidP="00C57EB1">
      <w:pPr>
        <w:rPr>
          <w:lang w:val="fr-CA"/>
        </w:rPr>
      </w:pPr>
      <w:r w:rsidRPr="00A43055">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C57EB1" w:rsidRPr="00C57EB1" w:rsidRDefault="00C57EB1" w:rsidP="00DA3D7E">
      <w:pPr>
        <w:widowControl w:val="0"/>
        <w:spacing w:after="720"/>
        <w:jc w:val="both"/>
        <w:rPr>
          <w:smallCaps/>
          <w:lang w:val="fr-CA"/>
        </w:rPr>
      </w:pPr>
    </w:p>
    <w:p w:rsidR="004D7D95" w:rsidRPr="00392004" w:rsidRDefault="00236834" w:rsidP="00DA3D7E">
      <w:pPr>
        <w:widowControl w:val="0"/>
        <w:spacing w:after="720"/>
        <w:jc w:val="both"/>
      </w:pPr>
      <w:proofErr w:type="spellStart"/>
      <w:r w:rsidRPr="00392004">
        <w:rPr>
          <w:smallCaps/>
        </w:rPr>
        <w:t>m</w:t>
      </w:r>
      <w:r w:rsidRPr="00392004">
        <w:rPr>
          <w:smallCaps/>
          <w:sz w:val="20"/>
        </w:rPr>
        <w:t>c</w:t>
      </w:r>
      <w:r w:rsidRPr="00392004">
        <w:rPr>
          <w:smallCaps/>
        </w:rPr>
        <w:t>cormick</w:t>
      </w:r>
      <w:proofErr w:type="spellEnd"/>
      <w:r w:rsidRPr="00392004">
        <w:rPr>
          <w:smallCaps/>
        </w:rPr>
        <w:t xml:space="preserve"> </w:t>
      </w:r>
      <w:r w:rsidRPr="00392004">
        <w:rPr>
          <w:i/>
        </w:rPr>
        <w:t>c.</w:t>
      </w:r>
      <w:r w:rsidRPr="00392004">
        <w:rPr>
          <w:smallCaps/>
        </w:rPr>
        <w:t xml:space="preserve"> </w:t>
      </w:r>
      <w:proofErr w:type="spellStart"/>
      <w:r w:rsidRPr="00392004">
        <w:rPr>
          <w:smallCaps/>
        </w:rPr>
        <w:t>fasken</w:t>
      </w:r>
      <w:proofErr w:type="spellEnd"/>
      <w:r w:rsidRPr="00392004">
        <w:rPr>
          <w:smallCaps/>
        </w:rPr>
        <w:t xml:space="preserve"> </w:t>
      </w:r>
      <w:proofErr w:type="spellStart"/>
      <w:r w:rsidRPr="00392004">
        <w:rPr>
          <w:smallCaps/>
        </w:rPr>
        <w:t>martineau</w:t>
      </w:r>
      <w:proofErr w:type="spellEnd"/>
      <w:r w:rsidRPr="00392004">
        <w:rPr>
          <w:smallCaps/>
        </w:rPr>
        <w:t xml:space="preserve"> </w:t>
      </w:r>
      <w:proofErr w:type="spellStart"/>
      <w:r w:rsidRPr="00392004">
        <w:rPr>
          <w:smallCaps/>
        </w:rPr>
        <w:t>dumoulin</w:t>
      </w:r>
      <w:proofErr w:type="spellEnd"/>
      <w:r w:rsidR="009C08D7">
        <w:rPr>
          <w:smallCaps/>
        </w:rPr>
        <w:t xml:space="preserve">, </w:t>
      </w:r>
      <w:r w:rsidR="009C08D7" w:rsidRPr="00C57EB1">
        <w:rPr>
          <w:lang w:val="en-US"/>
        </w:rPr>
        <w:t>2014 CSC 39, [2014] 2 R.C.S. 108</w:t>
      </w:r>
    </w:p>
    <w:p w:rsidR="00561945" w:rsidRPr="00392004" w:rsidRDefault="00E50C97" w:rsidP="00DA3D7E">
      <w:pPr>
        <w:pStyle w:val="SCCLsocLastPartyInRole"/>
        <w:widowControl w:val="0"/>
        <w:rPr>
          <w:lang w:val="en-US"/>
        </w:rPr>
      </w:pPr>
      <w:r w:rsidRPr="00392004">
        <w:rPr>
          <w:lang w:val="en-US"/>
        </w:rPr>
        <w:t xml:space="preserve">John </w:t>
      </w:r>
      <w:r w:rsidR="00CA2048" w:rsidRPr="00392004">
        <w:rPr>
          <w:lang w:val="en-US"/>
        </w:rPr>
        <w:t>Michael McCormick</w:t>
      </w:r>
      <w:r w:rsidR="00CA2048" w:rsidRPr="00392004">
        <w:rPr>
          <w:rStyle w:val="SCCLsocPartyRole"/>
          <w:lang w:val="en-US"/>
        </w:rPr>
        <w:tab/>
      </w:r>
      <w:proofErr w:type="spellStart"/>
      <w:r w:rsidR="00CA2048" w:rsidRPr="00392004">
        <w:rPr>
          <w:rStyle w:val="SCCLsocPartyRole"/>
          <w:lang w:val="en-US"/>
        </w:rPr>
        <w:t>Appelant</w:t>
      </w:r>
      <w:proofErr w:type="spellEnd"/>
    </w:p>
    <w:p w:rsidR="00561945" w:rsidRPr="00C57EB1" w:rsidRDefault="00CA2048" w:rsidP="00DA3D7E">
      <w:pPr>
        <w:pStyle w:val="SCCLsocVersus"/>
        <w:widowControl w:val="0"/>
        <w:rPr>
          <w:lang w:val="fr-CA"/>
        </w:rPr>
      </w:pPr>
      <w:proofErr w:type="gramStart"/>
      <w:r w:rsidRPr="00C57EB1">
        <w:rPr>
          <w:lang w:val="fr-CA"/>
        </w:rPr>
        <w:lastRenderedPageBreak/>
        <w:t>c</w:t>
      </w:r>
      <w:proofErr w:type="gramEnd"/>
      <w:r w:rsidRPr="00C57EB1">
        <w:rPr>
          <w:lang w:val="fr-CA"/>
        </w:rPr>
        <w:t>.</w:t>
      </w:r>
    </w:p>
    <w:p w:rsidR="00561945" w:rsidRPr="00C57EB1" w:rsidRDefault="00CA2048" w:rsidP="00DA3D7E">
      <w:pPr>
        <w:pStyle w:val="SCCLsocLastPartyInRole"/>
        <w:widowControl w:val="0"/>
        <w:rPr>
          <w:lang w:val="fr-CA"/>
        </w:rPr>
      </w:pPr>
      <w:proofErr w:type="spellStart"/>
      <w:r w:rsidRPr="00C57EB1">
        <w:rPr>
          <w:lang w:val="fr-CA"/>
        </w:rPr>
        <w:t>Fasken</w:t>
      </w:r>
      <w:proofErr w:type="spellEnd"/>
      <w:r w:rsidRPr="00C57EB1">
        <w:rPr>
          <w:lang w:val="fr-CA"/>
        </w:rPr>
        <w:t xml:space="preserve"> Martineau </w:t>
      </w:r>
      <w:proofErr w:type="spellStart"/>
      <w:r w:rsidRPr="00C57EB1">
        <w:rPr>
          <w:lang w:val="fr-CA"/>
        </w:rPr>
        <w:t>Du</w:t>
      </w:r>
      <w:r w:rsidR="00885EBA" w:rsidRPr="00C57EB1">
        <w:rPr>
          <w:lang w:val="fr-CA"/>
        </w:rPr>
        <w:t>M</w:t>
      </w:r>
      <w:r w:rsidRPr="00C57EB1">
        <w:rPr>
          <w:lang w:val="fr-CA"/>
        </w:rPr>
        <w:t>oulin</w:t>
      </w:r>
      <w:proofErr w:type="spellEnd"/>
      <w:r w:rsidRPr="00C57EB1">
        <w:rPr>
          <w:lang w:val="fr-CA"/>
        </w:rPr>
        <w:t xml:space="preserve"> </w:t>
      </w:r>
      <w:r w:rsidR="00030AEF" w:rsidRPr="00C57EB1">
        <w:rPr>
          <w:lang w:val="fr-CA"/>
        </w:rPr>
        <w:t>S.E.N.C.R.L</w:t>
      </w:r>
      <w:proofErr w:type="gramStart"/>
      <w:r w:rsidR="00030AEF" w:rsidRPr="00C57EB1">
        <w:rPr>
          <w:lang w:val="fr-CA"/>
        </w:rPr>
        <w:t>./</w:t>
      </w:r>
      <w:proofErr w:type="spellStart"/>
      <w:proofErr w:type="gramEnd"/>
      <w:r w:rsidR="00030AEF" w:rsidRPr="00C57EB1">
        <w:rPr>
          <w:lang w:val="fr-CA"/>
        </w:rPr>
        <w:t>s.r.l</w:t>
      </w:r>
      <w:proofErr w:type="spellEnd"/>
      <w:r w:rsidR="00030AEF" w:rsidRPr="00C57EB1">
        <w:rPr>
          <w:lang w:val="fr-CA"/>
        </w:rPr>
        <w:t>.</w:t>
      </w:r>
      <w:r w:rsidRPr="00C57EB1">
        <w:rPr>
          <w:rStyle w:val="SCCLsocPartyRole"/>
          <w:lang w:val="fr-CA"/>
        </w:rPr>
        <w:tab/>
        <w:t>Intimé</w:t>
      </w:r>
      <w:r w:rsidR="00236834" w:rsidRPr="00C57EB1">
        <w:rPr>
          <w:rStyle w:val="SCCLsocPartyRole"/>
          <w:lang w:val="fr-CA"/>
        </w:rPr>
        <w:t>e</w:t>
      </w:r>
    </w:p>
    <w:p w:rsidR="00561945" w:rsidRPr="00392004" w:rsidRDefault="00CA2048" w:rsidP="00DA3D7E">
      <w:pPr>
        <w:pStyle w:val="SCCLsocOtherPartySeparator"/>
        <w:widowControl w:val="0"/>
      </w:pPr>
      <w:proofErr w:type="gramStart"/>
      <w:r w:rsidRPr="00392004">
        <w:t>et</w:t>
      </w:r>
      <w:proofErr w:type="gramEnd"/>
    </w:p>
    <w:p w:rsidR="00561945" w:rsidRPr="00392004" w:rsidRDefault="00CA2048" w:rsidP="00DA3D7E">
      <w:pPr>
        <w:pStyle w:val="SCCLsocParty"/>
        <w:widowControl w:val="0"/>
      </w:pPr>
      <w:r w:rsidRPr="00392004">
        <w:t>Alberta Human Rights Commission,</w:t>
      </w:r>
    </w:p>
    <w:p w:rsidR="00561945" w:rsidRPr="00392004" w:rsidRDefault="00CA2048" w:rsidP="00DA3D7E">
      <w:pPr>
        <w:pStyle w:val="SCCLsocParty"/>
        <w:widowControl w:val="0"/>
      </w:pPr>
      <w:r w:rsidRPr="00392004">
        <w:t>British Columbia Human Rights Tribunal,</w:t>
      </w:r>
    </w:p>
    <w:p w:rsidR="001D4733" w:rsidRPr="00392004" w:rsidRDefault="00CA2048" w:rsidP="00DA3D7E">
      <w:pPr>
        <w:pStyle w:val="SCCLsocParty"/>
        <w:widowControl w:val="0"/>
      </w:pPr>
      <w:r w:rsidRPr="00392004">
        <w:t xml:space="preserve">Ernst &amp; Young </w:t>
      </w:r>
      <w:proofErr w:type="spellStart"/>
      <w:r w:rsidR="001D4733" w:rsidRPr="00392004">
        <w:t>s.r.l</w:t>
      </w:r>
      <w:proofErr w:type="spellEnd"/>
      <w:proofErr w:type="gramStart"/>
      <w:r w:rsidR="001D4733" w:rsidRPr="00392004">
        <w:t>./</w:t>
      </w:r>
      <w:proofErr w:type="gramEnd"/>
      <w:r w:rsidR="001D4733" w:rsidRPr="00392004">
        <w:t>S.E.N.C.R.L.</w:t>
      </w:r>
      <w:r w:rsidRPr="00392004">
        <w:t xml:space="preserve">, </w:t>
      </w:r>
    </w:p>
    <w:p w:rsidR="00F273A9" w:rsidRPr="00392004" w:rsidRDefault="00CA2048" w:rsidP="00DA3D7E">
      <w:pPr>
        <w:pStyle w:val="SCCLsocParty"/>
        <w:widowControl w:val="0"/>
      </w:pPr>
      <w:r w:rsidRPr="00392004">
        <w:t xml:space="preserve">KPMG </w:t>
      </w:r>
      <w:proofErr w:type="spellStart"/>
      <w:r w:rsidR="001D4733" w:rsidRPr="00392004">
        <w:t>s.r.l</w:t>
      </w:r>
      <w:proofErr w:type="spellEnd"/>
      <w:proofErr w:type="gramStart"/>
      <w:r w:rsidR="001D4733" w:rsidRPr="00392004">
        <w:t>./</w:t>
      </w:r>
      <w:proofErr w:type="gramEnd"/>
      <w:r w:rsidR="001D4733" w:rsidRPr="00392004">
        <w:t>S.E.N.C.R.L.</w:t>
      </w:r>
      <w:r w:rsidRPr="00392004">
        <w:t xml:space="preserve">, Deloitte </w:t>
      </w:r>
      <w:r w:rsidR="001D4733" w:rsidRPr="00392004">
        <w:t>S.E.N.C.R.L./</w:t>
      </w:r>
      <w:proofErr w:type="spellStart"/>
      <w:r w:rsidR="001D4733" w:rsidRPr="00392004">
        <w:t>s.r.l</w:t>
      </w:r>
      <w:proofErr w:type="spellEnd"/>
      <w:r w:rsidR="001D4733" w:rsidRPr="00392004">
        <w:t>.</w:t>
      </w:r>
      <w:r w:rsidRPr="00392004">
        <w:t xml:space="preserve">, </w:t>
      </w:r>
    </w:p>
    <w:p w:rsidR="00F273A9" w:rsidRPr="00392004" w:rsidRDefault="00CA2048" w:rsidP="00DA3D7E">
      <w:pPr>
        <w:pStyle w:val="SCCLsocParty"/>
        <w:widowControl w:val="0"/>
      </w:pPr>
      <w:r w:rsidRPr="00392004">
        <w:t xml:space="preserve">PricewaterhouseCoopers </w:t>
      </w:r>
      <w:proofErr w:type="spellStart"/>
      <w:r w:rsidR="001D4733" w:rsidRPr="00392004">
        <w:t>s.r.l</w:t>
      </w:r>
      <w:proofErr w:type="spellEnd"/>
      <w:r w:rsidR="001D4733" w:rsidRPr="00392004">
        <w:t>.</w:t>
      </w:r>
      <w:r w:rsidRPr="00392004">
        <w:t xml:space="preserve">, </w:t>
      </w:r>
    </w:p>
    <w:p w:rsidR="00561945" w:rsidRPr="00392004" w:rsidRDefault="001D4733" w:rsidP="00DA3D7E">
      <w:pPr>
        <w:pStyle w:val="SCCLsocParty"/>
        <w:widowControl w:val="0"/>
      </w:pPr>
      <w:r w:rsidRPr="00392004">
        <w:t xml:space="preserve">BDO Canada </w:t>
      </w:r>
      <w:proofErr w:type="spellStart"/>
      <w:r w:rsidRPr="00392004">
        <w:t>s.r.l</w:t>
      </w:r>
      <w:proofErr w:type="spellEnd"/>
      <w:proofErr w:type="gramStart"/>
      <w:r w:rsidRPr="00392004">
        <w:t>./</w:t>
      </w:r>
      <w:proofErr w:type="gramEnd"/>
      <w:r w:rsidRPr="00392004">
        <w:t>S.E.N.C.R.L.</w:t>
      </w:r>
      <w:r w:rsidR="00FB45A1" w:rsidRPr="00392004">
        <w:t>,</w:t>
      </w:r>
      <w:r w:rsidR="00CA2048" w:rsidRPr="00392004">
        <w:t xml:space="preserve"> Grant Thornton LLP,</w:t>
      </w:r>
    </w:p>
    <w:p w:rsidR="00561945" w:rsidRPr="00392004" w:rsidRDefault="00F20B97" w:rsidP="00DA3D7E">
      <w:pPr>
        <w:pStyle w:val="SCCLsocParty"/>
        <w:widowControl w:val="0"/>
        <w:rPr>
          <w:lang w:val="fr-CA"/>
        </w:rPr>
      </w:pPr>
      <w:r w:rsidRPr="00392004">
        <w:rPr>
          <w:lang w:val="fr-CA"/>
        </w:rPr>
        <w:t>Association du Jeune B</w:t>
      </w:r>
      <w:r w:rsidR="00CA2048" w:rsidRPr="00392004">
        <w:rPr>
          <w:lang w:val="fr-CA"/>
        </w:rPr>
        <w:t>arreau de Montréal,</w:t>
      </w:r>
    </w:p>
    <w:p w:rsidR="00561945" w:rsidRPr="00392004" w:rsidRDefault="00CA2048" w:rsidP="00DA3D7E">
      <w:pPr>
        <w:pStyle w:val="SCCLsocParty"/>
        <w:widowControl w:val="0"/>
        <w:rPr>
          <w:lang w:val="fr-CA"/>
        </w:rPr>
      </w:pPr>
      <w:r w:rsidRPr="00392004">
        <w:rPr>
          <w:lang w:val="fr-CA"/>
        </w:rPr>
        <w:t>Commission ontar</w:t>
      </w:r>
      <w:r w:rsidR="00236834" w:rsidRPr="00392004">
        <w:rPr>
          <w:lang w:val="fr-CA"/>
        </w:rPr>
        <w:t>ienne des droits de la personne et</w:t>
      </w:r>
    </w:p>
    <w:p w:rsidR="00561945" w:rsidRPr="00392004" w:rsidRDefault="00CA2048" w:rsidP="00DA3D7E">
      <w:pPr>
        <w:pStyle w:val="SCCLsocLastPartyInRole"/>
        <w:widowControl w:val="0"/>
        <w:rPr>
          <w:lang w:val="fr-CA"/>
        </w:rPr>
      </w:pPr>
      <w:r w:rsidRPr="00392004">
        <w:rPr>
          <w:lang w:val="fr-CA"/>
        </w:rPr>
        <w:t>Commission canadienne des droits de la personne</w:t>
      </w:r>
      <w:r w:rsidRPr="00392004">
        <w:rPr>
          <w:rStyle w:val="SCCLsocPartyRole"/>
          <w:lang w:val="fr-CA"/>
        </w:rPr>
        <w:tab/>
        <w:t>Intervenants</w:t>
      </w:r>
    </w:p>
    <w:p w:rsidR="004D7D95" w:rsidRPr="00392004" w:rsidRDefault="004D7D95" w:rsidP="00DA3D7E">
      <w:pPr>
        <w:widowControl w:val="0"/>
        <w:spacing w:after="480" w:line="480" w:lineRule="auto"/>
        <w:jc w:val="both"/>
        <w:rPr>
          <w:b/>
          <w:lang w:val="fr-CA"/>
        </w:rPr>
      </w:pPr>
      <w:r w:rsidRPr="00392004">
        <w:rPr>
          <w:b/>
          <w:lang w:val="fr-CA"/>
        </w:rPr>
        <w:t>Répertorié</w:t>
      </w:r>
      <w:r w:rsidR="00684BD3">
        <w:rPr>
          <w:b/>
          <w:lang w:val="fr-CA"/>
        </w:rPr>
        <w:t> :</w:t>
      </w:r>
      <w:r w:rsidR="0018307E">
        <w:rPr>
          <w:b/>
          <w:lang w:val="fr-CA"/>
        </w:rPr>
        <w:t xml:space="preserve"> </w:t>
      </w:r>
      <w:r w:rsidRPr="00392004">
        <w:rPr>
          <w:b/>
          <w:lang w:val="fr-CA"/>
        </w:rPr>
        <w:t xml:space="preserve">McCormick </w:t>
      </w:r>
      <w:r w:rsidRPr="00392004">
        <w:rPr>
          <w:b/>
          <w:i/>
          <w:lang w:val="fr-CA"/>
        </w:rPr>
        <w:t>c.</w:t>
      </w:r>
      <w:r w:rsidRPr="00392004">
        <w:rPr>
          <w:b/>
          <w:lang w:val="fr-CA"/>
        </w:rPr>
        <w:t xml:space="preserve"> </w:t>
      </w:r>
      <w:proofErr w:type="spellStart"/>
      <w:r w:rsidRPr="00392004">
        <w:rPr>
          <w:b/>
          <w:lang w:val="fr-CA"/>
        </w:rPr>
        <w:t>Fasken</w:t>
      </w:r>
      <w:proofErr w:type="spellEnd"/>
      <w:r w:rsidRPr="00392004">
        <w:rPr>
          <w:b/>
          <w:lang w:val="fr-CA"/>
        </w:rPr>
        <w:t xml:space="preserve"> Martineau </w:t>
      </w:r>
      <w:proofErr w:type="spellStart"/>
      <w:r w:rsidRPr="00392004">
        <w:rPr>
          <w:b/>
          <w:lang w:val="fr-CA"/>
        </w:rPr>
        <w:t>Du</w:t>
      </w:r>
      <w:r w:rsidR="00885EBA" w:rsidRPr="00392004">
        <w:rPr>
          <w:b/>
          <w:lang w:val="fr-CA"/>
        </w:rPr>
        <w:t>M</w:t>
      </w:r>
      <w:r w:rsidRPr="00392004">
        <w:rPr>
          <w:b/>
          <w:lang w:val="fr-CA"/>
        </w:rPr>
        <w:t>oulin</w:t>
      </w:r>
      <w:proofErr w:type="spellEnd"/>
      <w:r w:rsidRPr="00392004">
        <w:rPr>
          <w:b/>
          <w:lang w:val="fr-CA"/>
        </w:rPr>
        <w:t xml:space="preserve"> </w:t>
      </w:r>
      <w:r w:rsidR="00030AEF" w:rsidRPr="00392004">
        <w:rPr>
          <w:b/>
          <w:lang w:val="fr-CA"/>
        </w:rPr>
        <w:t>S.E.N.C.R.L./</w:t>
      </w:r>
      <w:proofErr w:type="spellStart"/>
      <w:r w:rsidR="00030AEF" w:rsidRPr="00392004">
        <w:rPr>
          <w:b/>
          <w:lang w:val="fr-CA"/>
        </w:rPr>
        <w:t>s.r.l</w:t>
      </w:r>
      <w:proofErr w:type="spellEnd"/>
      <w:r w:rsidR="00030AEF" w:rsidRPr="00392004">
        <w:rPr>
          <w:b/>
          <w:lang w:val="fr-CA"/>
        </w:rPr>
        <w:t>.</w:t>
      </w:r>
    </w:p>
    <w:p w:rsidR="004D7D95" w:rsidRPr="00392004" w:rsidRDefault="00F62639" w:rsidP="00DA3D7E">
      <w:pPr>
        <w:pStyle w:val="SCCSystemYear"/>
        <w:widowControl w:val="0"/>
        <w:spacing w:after="480" w:line="480" w:lineRule="auto"/>
        <w:jc w:val="both"/>
        <w:rPr>
          <w:lang w:val="fr-CA"/>
        </w:rPr>
      </w:pPr>
      <w:r w:rsidRPr="00392004">
        <w:rPr>
          <w:lang w:val="fr-CA"/>
        </w:rPr>
        <w:t>2014</w:t>
      </w:r>
      <w:r w:rsidR="009159DB" w:rsidRPr="00392004">
        <w:rPr>
          <w:lang w:val="fr-CA"/>
        </w:rPr>
        <w:t xml:space="preserve"> CSC</w:t>
      </w:r>
      <w:r w:rsidR="0018307E">
        <w:rPr>
          <w:lang w:val="fr-CA"/>
        </w:rPr>
        <w:t xml:space="preserve"> </w:t>
      </w:r>
      <w:r w:rsidR="009159DB" w:rsidRPr="00392004">
        <w:rPr>
          <w:lang w:val="fr-CA"/>
        </w:rPr>
        <w:t>39</w:t>
      </w:r>
    </w:p>
    <w:p w:rsidR="004D7D95" w:rsidRPr="00392004" w:rsidRDefault="004D7D95" w:rsidP="00DA3D7E">
      <w:pPr>
        <w:widowControl w:val="0"/>
        <w:spacing w:after="480" w:line="480" w:lineRule="auto"/>
        <w:jc w:val="both"/>
        <w:rPr>
          <w:lang w:val="fr-CA"/>
        </w:rPr>
      </w:pPr>
      <w:r w:rsidRPr="00392004">
        <w:rPr>
          <w:lang w:val="fr-CA"/>
        </w:rPr>
        <w:t>N</w:t>
      </w:r>
      <w:r w:rsidRPr="00392004">
        <w:rPr>
          <w:vertAlign w:val="superscript"/>
          <w:lang w:val="fr-CA"/>
        </w:rPr>
        <w:t>o</w:t>
      </w:r>
      <w:r w:rsidRPr="00392004">
        <w:rPr>
          <w:lang w:val="fr-CA"/>
        </w:rPr>
        <w:t xml:space="preserve"> du greffe</w:t>
      </w:r>
      <w:r w:rsidR="00684BD3">
        <w:rPr>
          <w:lang w:val="fr-CA"/>
        </w:rPr>
        <w:t> :</w:t>
      </w:r>
      <w:r w:rsidR="0018307E">
        <w:rPr>
          <w:lang w:val="fr-CA"/>
        </w:rPr>
        <w:t xml:space="preserve"> </w:t>
      </w:r>
      <w:r w:rsidRPr="00392004">
        <w:rPr>
          <w:lang w:val="fr-CA"/>
        </w:rPr>
        <w:t>34997.</w:t>
      </w:r>
    </w:p>
    <w:p w:rsidR="004D7D95" w:rsidRPr="00392004" w:rsidRDefault="00F62639" w:rsidP="00DA3D7E">
      <w:pPr>
        <w:widowControl w:val="0"/>
        <w:spacing w:after="480" w:line="480" w:lineRule="auto"/>
        <w:jc w:val="both"/>
        <w:rPr>
          <w:lang w:val="fr-CA"/>
        </w:rPr>
      </w:pPr>
      <w:r w:rsidRPr="00392004">
        <w:rPr>
          <w:lang w:val="fr-CA"/>
        </w:rPr>
        <w:t>2013</w:t>
      </w:r>
      <w:r w:rsidR="00684BD3">
        <w:rPr>
          <w:lang w:val="fr-CA"/>
        </w:rPr>
        <w:t> :</w:t>
      </w:r>
      <w:r w:rsidR="0018307E">
        <w:rPr>
          <w:lang w:val="fr-CA"/>
        </w:rPr>
        <w:t xml:space="preserve"> </w:t>
      </w:r>
      <w:r w:rsidR="0044783D" w:rsidRPr="00392004">
        <w:rPr>
          <w:lang w:val="fr-CA"/>
        </w:rPr>
        <w:t>13</w:t>
      </w:r>
      <w:r w:rsidR="0018307E">
        <w:rPr>
          <w:lang w:val="fr-CA"/>
        </w:rPr>
        <w:t xml:space="preserve"> </w:t>
      </w:r>
      <w:r w:rsidRPr="00392004">
        <w:rPr>
          <w:lang w:val="fr-CA"/>
        </w:rPr>
        <w:t>décembre</w:t>
      </w:r>
      <w:r w:rsidR="004D7D95" w:rsidRPr="00392004">
        <w:rPr>
          <w:lang w:val="fr-CA"/>
        </w:rPr>
        <w:t xml:space="preserve">; </w:t>
      </w:r>
      <w:r w:rsidR="001D4733" w:rsidRPr="00392004">
        <w:rPr>
          <w:lang w:val="fr-CA"/>
        </w:rPr>
        <w:t>2014</w:t>
      </w:r>
      <w:r w:rsidR="00684BD3">
        <w:rPr>
          <w:lang w:val="fr-CA"/>
        </w:rPr>
        <w:t> :</w:t>
      </w:r>
      <w:r w:rsidR="0018307E">
        <w:rPr>
          <w:lang w:val="fr-CA"/>
        </w:rPr>
        <w:t xml:space="preserve"> </w:t>
      </w:r>
      <w:r w:rsidR="0044783D" w:rsidRPr="00392004">
        <w:rPr>
          <w:lang w:val="fr-CA"/>
        </w:rPr>
        <w:t>2</w:t>
      </w:r>
      <w:r w:rsidR="00B82AC5" w:rsidRPr="00392004">
        <w:rPr>
          <w:lang w:val="fr-CA"/>
        </w:rPr>
        <w:t>2</w:t>
      </w:r>
      <w:r w:rsidR="0018307E">
        <w:rPr>
          <w:lang w:val="fr-CA"/>
        </w:rPr>
        <w:t xml:space="preserve"> </w:t>
      </w:r>
      <w:r w:rsidR="0044783D" w:rsidRPr="00392004">
        <w:rPr>
          <w:lang w:val="fr-CA"/>
        </w:rPr>
        <w:t>mai</w:t>
      </w:r>
      <w:r w:rsidR="004D7D95" w:rsidRPr="00392004">
        <w:rPr>
          <w:lang w:val="fr-CA"/>
        </w:rPr>
        <w:t>.</w:t>
      </w:r>
    </w:p>
    <w:p w:rsidR="004D7D95" w:rsidRPr="00392004" w:rsidRDefault="004D7D95" w:rsidP="00D12A31">
      <w:pPr>
        <w:widowControl w:val="0"/>
        <w:spacing w:after="720"/>
        <w:jc w:val="both"/>
        <w:rPr>
          <w:lang w:val="fr-CA"/>
        </w:rPr>
      </w:pPr>
      <w:r w:rsidRPr="00392004">
        <w:rPr>
          <w:lang w:val="fr-CA"/>
        </w:rPr>
        <w:t>Présents</w:t>
      </w:r>
      <w:r w:rsidR="00684BD3">
        <w:rPr>
          <w:lang w:val="fr-CA"/>
        </w:rPr>
        <w:t> :</w:t>
      </w:r>
      <w:r w:rsidR="0018307E">
        <w:rPr>
          <w:lang w:val="fr-CA"/>
        </w:rPr>
        <w:t xml:space="preserve"> </w:t>
      </w:r>
      <w:r w:rsidRPr="00392004">
        <w:rPr>
          <w:lang w:val="fr-CA"/>
        </w:rPr>
        <w:t xml:space="preserve">La juge en chef McLachlin et les juges </w:t>
      </w:r>
      <w:proofErr w:type="spellStart"/>
      <w:r w:rsidRPr="00392004">
        <w:rPr>
          <w:lang w:val="fr-CA"/>
        </w:rPr>
        <w:t>LeBel</w:t>
      </w:r>
      <w:proofErr w:type="spellEnd"/>
      <w:r w:rsidRPr="00392004">
        <w:rPr>
          <w:lang w:val="fr-CA"/>
        </w:rPr>
        <w:t xml:space="preserve">, Abella, </w:t>
      </w:r>
      <w:proofErr w:type="spellStart"/>
      <w:r w:rsidRPr="00392004">
        <w:rPr>
          <w:lang w:val="fr-CA"/>
        </w:rPr>
        <w:t>Rothstein</w:t>
      </w:r>
      <w:proofErr w:type="spellEnd"/>
      <w:r w:rsidRPr="00392004">
        <w:rPr>
          <w:lang w:val="fr-CA"/>
        </w:rPr>
        <w:t xml:space="preserve">, Cromwell, </w:t>
      </w:r>
      <w:proofErr w:type="spellStart"/>
      <w:r w:rsidRPr="00392004">
        <w:rPr>
          <w:lang w:val="fr-CA"/>
        </w:rPr>
        <w:t>Moldaver</w:t>
      </w:r>
      <w:proofErr w:type="spellEnd"/>
      <w:r w:rsidRPr="00392004">
        <w:rPr>
          <w:lang w:val="fr-CA"/>
        </w:rPr>
        <w:t xml:space="preserve"> et </w:t>
      </w:r>
      <w:proofErr w:type="spellStart"/>
      <w:r w:rsidRPr="00392004">
        <w:rPr>
          <w:lang w:val="fr-CA"/>
        </w:rPr>
        <w:t>Karakatsanis</w:t>
      </w:r>
      <w:proofErr w:type="spellEnd"/>
      <w:r w:rsidRPr="00392004">
        <w:rPr>
          <w:lang w:val="fr-CA"/>
        </w:rPr>
        <w:t>.</w:t>
      </w:r>
    </w:p>
    <w:p w:rsidR="004D7D95" w:rsidRPr="00392004" w:rsidRDefault="004D7D95" w:rsidP="00DA3D7E">
      <w:pPr>
        <w:widowControl w:val="0"/>
        <w:spacing w:before="480" w:after="480" w:line="480" w:lineRule="auto"/>
        <w:jc w:val="both"/>
        <w:rPr>
          <w:smallCaps/>
          <w:lang w:val="fr-CA"/>
        </w:rPr>
      </w:pPr>
      <w:r w:rsidRPr="00392004">
        <w:rPr>
          <w:smallCaps/>
          <w:lang w:val="fr-CA"/>
        </w:rPr>
        <w:t>en appel de la cour d</w:t>
      </w:r>
      <w:r w:rsidR="00C31283" w:rsidRPr="00392004">
        <w:rPr>
          <w:smallCaps/>
          <w:lang w:val="fr-CA"/>
        </w:rPr>
        <w:t>’</w:t>
      </w:r>
      <w:r w:rsidRPr="00392004">
        <w:rPr>
          <w:smallCaps/>
          <w:lang w:val="fr-CA"/>
        </w:rPr>
        <w:t>a</w:t>
      </w:r>
      <w:r w:rsidR="007806F2" w:rsidRPr="00392004">
        <w:rPr>
          <w:smallCaps/>
          <w:lang w:val="fr-CA"/>
        </w:rPr>
        <w:t xml:space="preserve">ppel de la </w:t>
      </w:r>
      <w:proofErr w:type="spellStart"/>
      <w:r w:rsidR="007806F2" w:rsidRPr="00392004">
        <w:rPr>
          <w:smallCaps/>
          <w:lang w:val="fr-CA"/>
        </w:rPr>
        <w:t>colombie</w:t>
      </w:r>
      <w:r w:rsidR="0018307E">
        <w:rPr>
          <w:smallCaps/>
          <w:lang w:val="fr-CA"/>
        </w:rPr>
        <w:t>-</w:t>
      </w:r>
      <w:r w:rsidR="007806F2" w:rsidRPr="00392004">
        <w:rPr>
          <w:smallCaps/>
          <w:lang w:val="fr-CA"/>
        </w:rPr>
        <w:t>britannique</w:t>
      </w:r>
      <w:proofErr w:type="spellEnd"/>
    </w:p>
    <w:p w:rsidR="00F17FDB" w:rsidRPr="00392004" w:rsidRDefault="00F17FDB" w:rsidP="00F17FDB">
      <w:pPr>
        <w:pStyle w:val="SCCNormalDoubleSpacing"/>
        <w:widowControl w:val="0"/>
        <w:spacing w:before="480" w:after="480"/>
        <w:rPr>
          <w:i/>
          <w:lang w:val="fr-CA"/>
        </w:rPr>
      </w:pPr>
      <w:r w:rsidRPr="00392004">
        <w:rPr>
          <w:lang w:val="fr-CA"/>
        </w:rPr>
        <w:tab/>
      </w:r>
      <w:r w:rsidR="008A691B" w:rsidRPr="00392004">
        <w:rPr>
          <w:i/>
          <w:lang w:val="fr-CA"/>
        </w:rPr>
        <w:t>Droits de la personne</w:t>
      </w:r>
      <w:r w:rsidRPr="00392004">
        <w:rPr>
          <w:i/>
          <w:lang w:val="fr-CA"/>
        </w:rPr>
        <w:t xml:space="preserve"> — Discrimination — Emplo</w:t>
      </w:r>
      <w:r w:rsidR="008A691B" w:rsidRPr="00392004">
        <w:rPr>
          <w:i/>
          <w:lang w:val="fr-CA"/>
        </w:rPr>
        <w:t xml:space="preserve">i — Âge — Contrat de </w:t>
      </w:r>
      <w:r w:rsidR="008A691B" w:rsidRPr="00392004">
        <w:rPr>
          <w:i/>
          <w:lang w:val="fr-CA"/>
        </w:rPr>
        <w:lastRenderedPageBreak/>
        <w:t xml:space="preserve">société d’un cabinet d’avocats comportant une disposition relative au départ à la retraite à l’âge de </w:t>
      </w:r>
      <w:r w:rsidRPr="00392004">
        <w:rPr>
          <w:i/>
          <w:lang w:val="fr-CA"/>
        </w:rPr>
        <w:t>65</w:t>
      </w:r>
      <w:r w:rsidR="008A691B" w:rsidRPr="00392004">
        <w:rPr>
          <w:i/>
          <w:lang w:val="fr-CA"/>
        </w:rPr>
        <w:t xml:space="preserve"> ans</w:t>
      </w:r>
      <w:r w:rsidRPr="00392004">
        <w:rPr>
          <w:i/>
          <w:lang w:val="fr-CA"/>
        </w:rPr>
        <w:t xml:space="preserve"> — </w:t>
      </w:r>
      <w:r w:rsidR="008A691B" w:rsidRPr="00392004">
        <w:rPr>
          <w:i/>
          <w:lang w:val="fr-CA"/>
        </w:rPr>
        <w:t xml:space="preserve">Dépôt par un associé participant d’une plainte auprès du </w:t>
      </w:r>
      <w:r w:rsidR="002C6333">
        <w:rPr>
          <w:i/>
          <w:lang w:val="fr-CA"/>
        </w:rPr>
        <w:t>T</w:t>
      </w:r>
      <w:r w:rsidR="008A691B" w:rsidRPr="00392004">
        <w:rPr>
          <w:i/>
          <w:lang w:val="fr-CA"/>
        </w:rPr>
        <w:t xml:space="preserve">ribunal des droits de la personne au motif que </w:t>
      </w:r>
      <w:r w:rsidR="00015592" w:rsidRPr="00392004">
        <w:rPr>
          <w:i/>
          <w:lang w:val="fr-CA"/>
        </w:rPr>
        <w:t>cette</w:t>
      </w:r>
      <w:r w:rsidR="008A691B" w:rsidRPr="00392004">
        <w:rPr>
          <w:i/>
          <w:lang w:val="fr-CA"/>
        </w:rPr>
        <w:t xml:space="preserve"> disposition constitue</w:t>
      </w:r>
      <w:r w:rsidR="00015592" w:rsidRPr="00392004">
        <w:rPr>
          <w:i/>
          <w:lang w:val="fr-CA"/>
        </w:rPr>
        <w:t>rait</w:t>
      </w:r>
      <w:r w:rsidR="008A691B" w:rsidRPr="00392004">
        <w:rPr>
          <w:i/>
          <w:lang w:val="fr-CA"/>
        </w:rPr>
        <w:t xml:space="preserve"> de la discrimination en matière d’emploi fondée sur l’âge</w:t>
      </w:r>
      <w:r w:rsidRPr="00392004">
        <w:rPr>
          <w:i/>
          <w:lang w:val="fr-CA"/>
        </w:rPr>
        <w:t xml:space="preserve"> — </w:t>
      </w:r>
      <w:r w:rsidR="008A691B" w:rsidRPr="00392004">
        <w:rPr>
          <w:i/>
          <w:lang w:val="fr-CA"/>
        </w:rPr>
        <w:t>L’associé participant</w:t>
      </w:r>
      <w:r w:rsidR="00015592" w:rsidRPr="00392004">
        <w:rPr>
          <w:i/>
          <w:lang w:val="fr-CA"/>
        </w:rPr>
        <w:t xml:space="preserve"> était</w:t>
      </w:r>
      <w:r w:rsidR="0018307E">
        <w:rPr>
          <w:i/>
          <w:lang w:val="fr-CA"/>
        </w:rPr>
        <w:t>-</w:t>
      </w:r>
      <w:r w:rsidR="00015592" w:rsidRPr="00392004">
        <w:rPr>
          <w:i/>
          <w:lang w:val="fr-CA"/>
        </w:rPr>
        <w:t xml:space="preserve">il dans une </w:t>
      </w:r>
      <w:r w:rsidR="00684BD3">
        <w:rPr>
          <w:i/>
          <w:lang w:val="fr-CA"/>
        </w:rPr>
        <w:t>« </w:t>
      </w:r>
      <w:r w:rsidR="00015592" w:rsidRPr="00392004">
        <w:rPr>
          <w:i/>
          <w:lang w:val="fr-CA"/>
        </w:rPr>
        <w:t>relation d’emploi</w:t>
      </w:r>
      <w:r w:rsidR="00684BD3">
        <w:rPr>
          <w:i/>
          <w:lang w:val="fr-CA"/>
        </w:rPr>
        <w:t> »</w:t>
      </w:r>
      <w:r w:rsidR="00015592" w:rsidRPr="00392004">
        <w:rPr>
          <w:i/>
          <w:lang w:val="fr-CA"/>
        </w:rPr>
        <w:t xml:space="preserve"> visée par le code des droits de la personne</w:t>
      </w:r>
      <w:r w:rsidR="00F953AC">
        <w:rPr>
          <w:i/>
          <w:lang w:val="fr-CA"/>
        </w:rPr>
        <w:t>?</w:t>
      </w:r>
      <w:r w:rsidR="00015592" w:rsidRPr="00392004">
        <w:rPr>
          <w:i/>
          <w:lang w:val="fr-CA"/>
        </w:rPr>
        <w:t xml:space="preserve"> </w:t>
      </w:r>
      <w:r w:rsidRPr="00392004">
        <w:rPr>
          <w:i/>
          <w:lang w:val="fr-CA"/>
        </w:rPr>
        <w:t xml:space="preserve">— </w:t>
      </w:r>
      <w:r w:rsidR="00015592" w:rsidRPr="00392004">
        <w:rPr>
          <w:i/>
          <w:lang w:val="fr-CA"/>
        </w:rPr>
        <w:t>La plainte relève</w:t>
      </w:r>
      <w:r w:rsidR="0018307E">
        <w:rPr>
          <w:i/>
          <w:lang w:val="fr-CA"/>
        </w:rPr>
        <w:t>-</w:t>
      </w:r>
      <w:r w:rsidR="00015592" w:rsidRPr="00392004">
        <w:rPr>
          <w:i/>
          <w:lang w:val="fr-CA"/>
        </w:rPr>
        <w:t>t</w:t>
      </w:r>
      <w:r w:rsidR="0018307E">
        <w:rPr>
          <w:i/>
          <w:lang w:val="fr-CA"/>
        </w:rPr>
        <w:t>-</w:t>
      </w:r>
      <w:r w:rsidR="002C6333">
        <w:rPr>
          <w:i/>
          <w:lang w:val="fr-CA"/>
        </w:rPr>
        <w:t>elle de la compétence du T</w:t>
      </w:r>
      <w:r w:rsidR="00015592" w:rsidRPr="00392004">
        <w:rPr>
          <w:i/>
          <w:lang w:val="fr-CA"/>
        </w:rPr>
        <w:t>ribunal des droits de la personne?</w:t>
      </w:r>
      <w:r w:rsidRPr="00392004">
        <w:rPr>
          <w:i/>
          <w:lang w:val="fr-CA"/>
        </w:rPr>
        <w:t xml:space="preserve"> — Human Rights Code, R.S.B.C. 1996, </w:t>
      </w:r>
      <w:r w:rsidR="00367441" w:rsidRPr="00392004">
        <w:rPr>
          <w:i/>
          <w:lang w:val="fr-CA"/>
        </w:rPr>
        <w:t>ch.</w:t>
      </w:r>
      <w:r w:rsidR="0018307E">
        <w:rPr>
          <w:i/>
          <w:lang w:val="fr-CA"/>
        </w:rPr>
        <w:t xml:space="preserve"> </w:t>
      </w:r>
      <w:r w:rsidRPr="00392004">
        <w:rPr>
          <w:i/>
          <w:lang w:val="fr-CA"/>
        </w:rPr>
        <w:t xml:space="preserve">210, </w:t>
      </w:r>
      <w:r w:rsidR="00367441" w:rsidRPr="00392004">
        <w:rPr>
          <w:i/>
          <w:lang w:val="fr-CA"/>
        </w:rPr>
        <w:t>art.</w:t>
      </w:r>
      <w:r w:rsidR="0018307E">
        <w:rPr>
          <w:i/>
          <w:lang w:val="fr-CA"/>
        </w:rPr>
        <w:t xml:space="preserve"> </w:t>
      </w:r>
      <w:r w:rsidRPr="00392004">
        <w:rPr>
          <w:i/>
          <w:lang w:val="fr-CA"/>
        </w:rPr>
        <w:t>1, 13</w:t>
      </w:r>
      <w:r w:rsidR="002C6333">
        <w:rPr>
          <w:i/>
          <w:lang w:val="fr-CA"/>
        </w:rPr>
        <w:t>,</w:t>
      </w:r>
      <w:r w:rsidR="00015592" w:rsidRPr="00392004">
        <w:rPr>
          <w:i/>
          <w:lang w:val="fr-CA"/>
        </w:rPr>
        <w:t xml:space="preserve"> </w:t>
      </w:r>
      <w:r w:rsidRPr="00392004">
        <w:rPr>
          <w:i/>
          <w:lang w:val="fr-CA"/>
        </w:rPr>
        <w:t>27.</w:t>
      </w:r>
    </w:p>
    <w:p w:rsidR="00F17FDB" w:rsidRPr="00392004" w:rsidRDefault="00F17FDB" w:rsidP="00472A0F">
      <w:pPr>
        <w:pStyle w:val="SCCNormalDoubleSpacing"/>
        <w:widowControl w:val="0"/>
        <w:spacing w:before="480" w:after="480"/>
        <w:rPr>
          <w:lang w:val="fr-CA"/>
        </w:rPr>
      </w:pPr>
      <w:r w:rsidRPr="00392004">
        <w:rPr>
          <w:lang w:val="fr-CA"/>
        </w:rPr>
        <w:tab/>
      </w:r>
      <w:r w:rsidR="004D4B9E" w:rsidRPr="00392004">
        <w:rPr>
          <w:lang w:val="fr-CA"/>
        </w:rPr>
        <w:t xml:space="preserve">En 1979, </w:t>
      </w:r>
      <w:r w:rsidRPr="00392004">
        <w:rPr>
          <w:lang w:val="fr-CA"/>
        </w:rPr>
        <w:t xml:space="preserve">M </w:t>
      </w:r>
      <w:r w:rsidR="00015592" w:rsidRPr="00392004">
        <w:rPr>
          <w:lang w:val="fr-CA"/>
        </w:rPr>
        <w:t xml:space="preserve">est devenu un associé participant </w:t>
      </w:r>
      <w:r w:rsidR="00BA2F72" w:rsidRPr="00392004">
        <w:rPr>
          <w:lang w:val="fr-CA"/>
        </w:rPr>
        <w:t>(</w:t>
      </w:r>
      <w:proofErr w:type="spellStart"/>
      <w:r w:rsidR="00BA2F72" w:rsidRPr="00392004">
        <w:rPr>
          <w:i/>
          <w:lang w:val="fr-CA"/>
        </w:rPr>
        <w:t>equity</w:t>
      </w:r>
      <w:proofErr w:type="spellEnd"/>
      <w:r w:rsidR="00BA2F72" w:rsidRPr="00392004">
        <w:rPr>
          <w:i/>
          <w:lang w:val="fr-CA"/>
        </w:rPr>
        <w:t xml:space="preserve"> </w:t>
      </w:r>
      <w:proofErr w:type="spellStart"/>
      <w:r w:rsidR="00BA2F72" w:rsidRPr="00392004">
        <w:rPr>
          <w:i/>
          <w:lang w:val="fr-CA"/>
        </w:rPr>
        <w:t>partner</w:t>
      </w:r>
      <w:proofErr w:type="spellEnd"/>
      <w:r w:rsidR="00BA2F72" w:rsidRPr="00392004">
        <w:rPr>
          <w:lang w:val="fr-CA"/>
        </w:rPr>
        <w:t xml:space="preserve">) </w:t>
      </w:r>
      <w:r w:rsidR="00015592" w:rsidRPr="00392004">
        <w:rPr>
          <w:lang w:val="fr-CA"/>
        </w:rPr>
        <w:t>au sein d</w:t>
      </w:r>
      <w:r w:rsidR="007D41AA" w:rsidRPr="00392004">
        <w:rPr>
          <w:lang w:val="fr-CA"/>
        </w:rPr>
        <w:t>u cabinet d’avocats dont il faisait partie</w:t>
      </w:r>
      <w:r w:rsidR="00DF3361" w:rsidRPr="00392004">
        <w:rPr>
          <w:smallCaps/>
          <w:lang w:val="fr-CA"/>
        </w:rPr>
        <w:t xml:space="preserve">. </w:t>
      </w:r>
      <w:r w:rsidR="007D41AA" w:rsidRPr="00392004">
        <w:rPr>
          <w:lang w:val="fr-CA"/>
        </w:rPr>
        <w:t xml:space="preserve">Les associés participants </w:t>
      </w:r>
      <w:r w:rsidR="007F4220" w:rsidRPr="00392004">
        <w:rPr>
          <w:lang w:val="fr-CA"/>
        </w:rPr>
        <w:t xml:space="preserve">possèdent une part des capitaux propres du </w:t>
      </w:r>
      <w:r w:rsidR="007D41AA" w:rsidRPr="00392004">
        <w:rPr>
          <w:lang w:val="fr-CA"/>
        </w:rPr>
        <w:t>cabinet</w:t>
      </w:r>
      <w:r w:rsidR="00DF3361" w:rsidRPr="00392004">
        <w:rPr>
          <w:smallCaps/>
          <w:lang w:val="fr-CA"/>
        </w:rPr>
        <w:t xml:space="preserve">. </w:t>
      </w:r>
      <w:r w:rsidR="00307C66" w:rsidRPr="00392004">
        <w:rPr>
          <w:lang w:val="fr-CA"/>
        </w:rPr>
        <w:t>Dans les années 1980, les associés participants ont voté pour l’inclusion dans leur Contrat de société (</w:t>
      </w:r>
      <w:proofErr w:type="spellStart"/>
      <w:r w:rsidR="00307C66" w:rsidRPr="00392004">
        <w:rPr>
          <w:i/>
          <w:lang w:val="fr-CA"/>
        </w:rPr>
        <w:t>Partnership</w:t>
      </w:r>
      <w:proofErr w:type="spellEnd"/>
      <w:r w:rsidR="00307C66" w:rsidRPr="00392004">
        <w:rPr>
          <w:i/>
          <w:lang w:val="fr-CA"/>
        </w:rPr>
        <w:t xml:space="preserve"> Agreement</w:t>
      </w:r>
      <w:r w:rsidR="00307C66" w:rsidRPr="00392004">
        <w:rPr>
          <w:lang w:val="fr-CA"/>
        </w:rPr>
        <w:t>) d’une disposition obligeant les associés de cette catégorie à se retirer à ce titre et à se départir de leur participation financière à la fin de l’année à laquelle ils atteignaient l’âge de 65</w:t>
      </w:r>
      <w:r w:rsidR="0018307E">
        <w:rPr>
          <w:lang w:val="fr-CA"/>
        </w:rPr>
        <w:t xml:space="preserve"> </w:t>
      </w:r>
      <w:r w:rsidR="00307C66" w:rsidRPr="00392004">
        <w:rPr>
          <w:lang w:val="fr-CA"/>
        </w:rPr>
        <w:t>ans</w:t>
      </w:r>
      <w:r w:rsidR="00DF3361" w:rsidRPr="00392004">
        <w:rPr>
          <w:smallCaps/>
          <w:lang w:val="fr-CA"/>
        </w:rPr>
        <w:t xml:space="preserve">. </w:t>
      </w:r>
      <w:r w:rsidR="00307C66" w:rsidRPr="00392004">
        <w:rPr>
          <w:lang w:val="fr-CA"/>
        </w:rPr>
        <w:t xml:space="preserve">Un associé pouvait convenir d’arrangements individuels lui permettant de continuer de travailler à titre d’employé ou d’associé </w:t>
      </w:r>
      <w:r w:rsidR="00684BD3">
        <w:rPr>
          <w:lang w:val="fr-CA"/>
        </w:rPr>
        <w:t>« </w:t>
      </w:r>
      <w:r w:rsidR="00307C66" w:rsidRPr="00392004">
        <w:rPr>
          <w:lang w:val="fr-CA"/>
        </w:rPr>
        <w:t>ordinaire</w:t>
      </w:r>
      <w:r w:rsidR="00684BD3">
        <w:rPr>
          <w:lang w:val="fr-CA"/>
        </w:rPr>
        <w:t> »</w:t>
      </w:r>
      <w:r w:rsidR="00307C66" w:rsidRPr="00392004">
        <w:rPr>
          <w:lang w:val="fr-CA"/>
        </w:rPr>
        <w:t xml:space="preserve"> sans participation financière, mais le contrat </w:t>
      </w:r>
      <w:proofErr w:type="gramStart"/>
      <w:r w:rsidR="00307C66" w:rsidRPr="00392004">
        <w:rPr>
          <w:lang w:val="fr-CA"/>
        </w:rPr>
        <w:t>précise</w:t>
      </w:r>
      <w:proofErr w:type="gramEnd"/>
      <w:r w:rsidR="00307C66" w:rsidRPr="00392004">
        <w:rPr>
          <w:lang w:val="fr-CA"/>
        </w:rPr>
        <w:t xml:space="preserve"> que de tels arrangements sont </w:t>
      </w:r>
      <w:r w:rsidR="004D4B9E" w:rsidRPr="00392004">
        <w:rPr>
          <w:lang w:val="fr-CA"/>
        </w:rPr>
        <w:t>l</w:t>
      </w:r>
      <w:r w:rsidR="00307C66" w:rsidRPr="00392004">
        <w:rPr>
          <w:lang w:val="fr-CA"/>
        </w:rPr>
        <w:t>’exception plutôt que la règle</w:t>
      </w:r>
      <w:r w:rsidR="00BA2F72" w:rsidRPr="00392004">
        <w:rPr>
          <w:lang w:val="fr-CA"/>
        </w:rPr>
        <w:t>.</w:t>
      </w:r>
      <w:r w:rsidRPr="00392004">
        <w:rPr>
          <w:lang w:val="fr-CA"/>
        </w:rPr>
        <w:t xml:space="preserve"> </w:t>
      </w:r>
      <w:r w:rsidR="00BA2F72" w:rsidRPr="00392004">
        <w:rPr>
          <w:lang w:val="fr-CA"/>
        </w:rPr>
        <w:t>En</w:t>
      </w:r>
      <w:r w:rsidRPr="00392004">
        <w:rPr>
          <w:lang w:val="fr-CA"/>
        </w:rPr>
        <w:t xml:space="preserve"> 2009, </w:t>
      </w:r>
      <w:r w:rsidR="00BA2F72" w:rsidRPr="00392004">
        <w:rPr>
          <w:lang w:val="fr-CA"/>
        </w:rPr>
        <w:t xml:space="preserve">alors âgé de </w:t>
      </w:r>
      <w:r w:rsidRPr="00392004">
        <w:rPr>
          <w:lang w:val="fr-CA"/>
        </w:rPr>
        <w:t>64</w:t>
      </w:r>
      <w:r w:rsidR="00BA2F72" w:rsidRPr="00392004">
        <w:rPr>
          <w:lang w:val="fr-CA"/>
        </w:rPr>
        <w:t xml:space="preserve"> ans</w:t>
      </w:r>
      <w:r w:rsidRPr="00392004">
        <w:rPr>
          <w:lang w:val="fr-CA"/>
        </w:rPr>
        <w:t xml:space="preserve">, M </w:t>
      </w:r>
      <w:r w:rsidR="00BA2F72" w:rsidRPr="00392004">
        <w:rPr>
          <w:lang w:val="fr-CA"/>
        </w:rPr>
        <w:t xml:space="preserve">a déposé une plainte devant le </w:t>
      </w:r>
      <w:r w:rsidR="009906AF">
        <w:rPr>
          <w:lang w:val="fr-CA"/>
        </w:rPr>
        <w:t>T</w:t>
      </w:r>
      <w:r w:rsidR="00BA2F72" w:rsidRPr="00392004">
        <w:rPr>
          <w:lang w:val="fr-CA"/>
        </w:rPr>
        <w:t>ribunal des droits de la personne (</w:t>
      </w:r>
      <w:r w:rsidR="00684BD3">
        <w:rPr>
          <w:lang w:val="fr-CA"/>
        </w:rPr>
        <w:t>« </w:t>
      </w:r>
      <w:r w:rsidR="00BA2F72" w:rsidRPr="00392004">
        <w:rPr>
          <w:lang w:val="fr-CA"/>
        </w:rPr>
        <w:t>Tribunal</w:t>
      </w:r>
      <w:r w:rsidR="00684BD3">
        <w:rPr>
          <w:lang w:val="fr-CA"/>
        </w:rPr>
        <w:t> »</w:t>
      </w:r>
      <w:r w:rsidR="00BA2F72" w:rsidRPr="00392004">
        <w:rPr>
          <w:lang w:val="fr-CA"/>
        </w:rPr>
        <w:t xml:space="preserve">), affirmant que cette disposition du Contrat de société constituait de la discrimination en matière d’emploi fondée sur l’âge et contrevenait au </w:t>
      </w:r>
      <w:r w:rsidR="00367441" w:rsidRPr="00392004">
        <w:rPr>
          <w:lang w:val="fr-CA"/>
        </w:rPr>
        <w:t>par.</w:t>
      </w:r>
      <w:r w:rsidR="0018307E">
        <w:rPr>
          <w:lang w:val="fr-CA"/>
        </w:rPr>
        <w:t xml:space="preserve"> </w:t>
      </w:r>
      <w:r w:rsidR="00BA2F72" w:rsidRPr="00392004">
        <w:rPr>
          <w:lang w:val="fr-CA"/>
        </w:rPr>
        <w:t>13(1) du</w:t>
      </w:r>
      <w:r w:rsidRPr="00392004">
        <w:rPr>
          <w:lang w:val="fr-CA"/>
        </w:rPr>
        <w:t xml:space="preserve"> </w:t>
      </w:r>
      <w:r w:rsidRPr="00392004">
        <w:rPr>
          <w:i/>
          <w:lang w:val="fr-CA"/>
        </w:rPr>
        <w:t>Human Rights Code</w:t>
      </w:r>
      <w:r w:rsidRPr="00392004">
        <w:rPr>
          <w:lang w:val="fr-CA"/>
        </w:rPr>
        <w:t xml:space="preserve">, R.S.B.C. 1996, </w:t>
      </w:r>
      <w:r w:rsidR="00367441" w:rsidRPr="00392004">
        <w:rPr>
          <w:lang w:val="fr-CA"/>
        </w:rPr>
        <w:t>ch.</w:t>
      </w:r>
      <w:r w:rsidR="0018307E">
        <w:rPr>
          <w:lang w:val="fr-CA"/>
        </w:rPr>
        <w:t xml:space="preserve"> </w:t>
      </w:r>
      <w:r w:rsidRPr="00392004">
        <w:rPr>
          <w:lang w:val="fr-CA"/>
        </w:rPr>
        <w:t>210 (</w:t>
      </w:r>
      <w:r w:rsidR="00684BD3">
        <w:rPr>
          <w:lang w:val="fr-CA"/>
        </w:rPr>
        <w:t>« </w:t>
      </w:r>
      <w:r w:rsidRPr="00392004">
        <w:rPr>
          <w:i/>
          <w:lang w:val="fr-CA"/>
        </w:rPr>
        <w:t>Code</w:t>
      </w:r>
      <w:r w:rsidR="00684BD3">
        <w:rPr>
          <w:lang w:val="fr-CA"/>
        </w:rPr>
        <w:t> »</w:t>
      </w:r>
      <w:r w:rsidRPr="00392004">
        <w:rPr>
          <w:lang w:val="fr-CA"/>
        </w:rPr>
        <w:t xml:space="preserve">).  </w:t>
      </w:r>
    </w:p>
    <w:p w:rsidR="00F17FDB" w:rsidRPr="00392004" w:rsidRDefault="00F17FDB" w:rsidP="00472A0F">
      <w:pPr>
        <w:pStyle w:val="SCCNormalDoubleSpacing"/>
        <w:widowControl w:val="0"/>
        <w:spacing w:before="480" w:after="480"/>
        <w:rPr>
          <w:lang w:val="fr-CA"/>
        </w:rPr>
      </w:pPr>
      <w:r w:rsidRPr="00392004">
        <w:rPr>
          <w:lang w:val="fr-CA"/>
        </w:rPr>
        <w:tab/>
      </w:r>
      <w:r w:rsidR="00BA2F72" w:rsidRPr="00392004">
        <w:rPr>
          <w:lang w:val="fr-CA"/>
        </w:rPr>
        <w:t xml:space="preserve">Le cabinet d’avocats a demandé le rejet de la plainte, au motif que, en </w:t>
      </w:r>
      <w:r w:rsidR="00BA2F72" w:rsidRPr="00392004">
        <w:rPr>
          <w:lang w:val="fr-CA"/>
        </w:rPr>
        <w:lastRenderedPageBreak/>
        <w:t xml:space="preserve">tant qu’associé participant, M ne se trouvait pas dans une relation d’emploi du type de celles visées par le </w:t>
      </w:r>
      <w:r w:rsidR="00BA2F72" w:rsidRPr="00392004">
        <w:rPr>
          <w:i/>
          <w:lang w:val="fr-CA"/>
        </w:rPr>
        <w:t>Code</w:t>
      </w:r>
      <w:r w:rsidR="00BA2F72" w:rsidRPr="00392004">
        <w:rPr>
          <w:lang w:val="fr-CA"/>
        </w:rPr>
        <w:t>.</w:t>
      </w:r>
      <w:r w:rsidRPr="00392004">
        <w:rPr>
          <w:lang w:val="fr-CA"/>
        </w:rPr>
        <w:t xml:space="preserve"> </w:t>
      </w:r>
      <w:r w:rsidR="00BA2F72" w:rsidRPr="00392004">
        <w:rPr>
          <w:lang w:val="fr-CA"/>
        </w:rPr>
        <w:t>Le Tribunal a conclu qu’il existait une relation d’emploi</w:t>
      </w:r>
      <w:r w:rsidR="00DF3361" w:rsidRPr="00392004">
        <w:rPr>
          <w:smallCaps/>
          <w:lang w:val="fr-CA"/>
        </w:rPr>
        <w:t xml:space="preserve">. </w:t>
      </w:r>
      <w:r w:rsidR="00BA2F72" w:rsidRPr="00392004">
        <w:rPr>
          <w:lang w:val="fr-CA"/>
        </w:rPr>
        <w:t xml:space="preserve">La demande de contrôle judiciaire présentée par le cabinet </w:t>
      </w:r>
      <w:r w:rsidR="00843E7F" w:rsidRPr="00392004">
        <w:rPr>
          <w:lang w:val="fr-CA"/>
        </w:rPr>
        <w:t xml:space="preserve">d’avocats </w:t>
      </w:r>
      <w:r w:rsidR="00BA2F72" w:rsidRPr="00392004">
        <w:rPr>
          <w:lang w:val="fr-CA"/>
        </w:rPr>
        <w:t xml:space="preserve">a été rejetée par </w:t>
      </w:r>
      <w:r w:rsidR="004D4B9E" w:rsidRPr="00392004">
        <w:rPr>
          <w:lang w:val="fr-CA"/>
        </w:rPr>
        <w:t xml:space="preserve">la </w:t>
      </w:r>
      <w:r w:rsidR="00BA2F72" w:rsidRPr="00392004">
        <w:rPr>
          <w:lang w:val="fr-CA"/>
        </w:rPr>
        <w:t>Cour suprême de la C</w:t>
      </w:r>
      <w:r w:rsidR="00843E7F" w:rsidRPr="00392004">
        <w:rPr>
          <w:lang w:val="fr-CA"/>
        </w:rPr>
        <w:t>.</w:t>
      </w:r>
      <w:r w:rsidR="0018307E">
        <w:rPr>
          <w:lang w:val="fr-CA"/>
        </w:rPr>
        <w:t>-</w:t>
      </w:r>
      <w:r w:rsidR="00BA2F72" w:rsidRPr="00392004">
        <w:rPr>
          <w:lang w:val="fr-CA"/>
        </w:rPr>
        <w:t>B</w:t>
      </w:r>
      <w:r w:rsidR="00DF3361" w:rsidRPr="00392004">
        <w:rPr>
          <w:smallCaps/>
          <w:lang w:val="fr-CA"/>
        </w:rPr>
        <w:t xml:space="preserve">. </w:t>
      </w:r>
      <w:r w:rsidR="003A3132" w:rsidRPr="00392004">
        <w:rPr>
          <w:lang w:val="fr-CA"/>
        </w:rPr>
        <w:t>La Cour d’appel a accueilli l’appel</w:t>
      </w:r>
      <w:r w:rsidR="00721922" w:rsidRPr="00392004">
        <w:rPr>
          <w:lang w:val="fr-CA"/>
        </w:rPr>
        <w:t xml:space="preserve"> </w:t>
      </w:r>
      <w:r w:rsidR="007B08F9" w:rsidRPr="00392004">
        <w:rPr>
          <w:lang w:val="fr-CA"/>
        </w:rPr>
        <w:t xml:space="preserve">formé contre </w:t>
      </w:r>
      <w:r w:rsidR="00721922" w:rsidRPr="00392004">
        <w:rPr>
          <w:lang w:val="fr-CA"/>
        </w:rPr>
        <w:t>cette décision</w:t>
      </w:r>
      <w:r w:rsidR="003A3132" w:rsidRPr="00392004">
        <w:rPr>
          <w:lang w:val="fr-CA"/>
        </w:rPr>
        <w:t xml:space="preserve">, concluant qu’en tant qu’associé M ne se trouvait pas dans une relation d’emploi visée par le </w:t>
      </w:r>
      <w:r w:rsidR="003A3132" w:rsidRPr="00392004">
        <w:rPr>
          <w:i/>
          <w:lang w:val="fr-CA"/>
        </w:rPr>
        <w:t>Code</w:t>
      </w:r>
      <w:r w:rsidR="003A3132" w:rsidRPr="00392004">
        <w:rPr>
          <w:lang w:val="fr-CA"/>
        </w:rPr>
        <w:t>.</w:t>
      </w:r>
      <w:r w:rsidRPr="00392004">
        <w:rPr>
          <w:lang w:val="fr-CA"/>
        </w:rPr>
        <w:t xml:space="preserve"> </w:t>
      </w:r>
    </w:p>
    <w:p w:rsidR="00F17FDB" w:rsidRPr="00392004" w:rsidRDefault="00F17FDB" w:rsidP="00472A0F">
      <w:pPr>
        <w:pStyle w:val="SCCNormalDoubleSpacing"/>
        <w:widowControl w:val="0"/>
        <w:spacing w:before="480" w:after="480"/>
        <w:rPr>
          <w:lang w:val="fr-CA"/>
        </w:rPr>
      </w:pPr>
      <w:r w:rsidRPr="00392004">
        <w:rPr>
          <w:lang w:val="fr-CA"/>
        </w:rPr>
        <w:tab/>
      </w:r>
      <w:r w:rsidR="003A3132" w:rsidRPr="00392004">
        <w:rPr>
          <w:i/>
          <w:lang w:val="fr-CA"/>
        </w:rPr>
        <w:t>Arrêt</w:t>
      </w:r>
      <w:r w:rsidR="00684BD3">
        <w:rPr>
          <w:lang w:val="fr-CA"/>
        </w:rPr>
        <w:t> :</w:t>
      </w:r>
      <w:r w:rsidR="00BD7B9B" w:rsidRPr="00392004">
        <w:rPr>
          <w:lang w:val="fr-CA"/>
        </w:rPr>
        <w:t xml:space="preserve"> </w:t>
      </w:r>
      <w:r w:rsidR="003A3132" w:rsidRPr="00392004">
        <w:rPr>
          <w:lang w:val="fr-CA"/>
        </w:rPr>
        <w:t>Le pourvoi est rejeté</w:t>
      </w:r>
      <w:r w:rsidRPr="00392004">
        <w:rPr>
          <w:lang w:val="fr-CA"/>
        </w:rPr>
        <w:t xml:space="preserve">.  </w:t>
      </w:r>
    </w:p>
    <w:p w:rsidR="00F17FDB" w:rsidRPr="00392004" w:rsidRDefault="00F17FDB" w:rsidP="00472A0F">
      <w:pPr>
        <w:pStyle w:val="SCCNormalDoubleSpacing"/>
        <w:widowControl w:val="0"/>
        <w:spacing w:before="480" w:after="480"/>
        <w:rPr>
          <w:lang w:val="fr-CA"/>
        </w:rPr>
      </w:pPr>
      <w:r w:rsidRPr="00392004">
        <w:rPr>
          <w:lang w:val="fr-CA"/>
        </w:rPr>
        <w:tab/>
      </w:r>
      <w:r w:rsidR="003539DE" w:rsidRPr="00392004">
        <w:rPr>
          <w:lang w:val="fr-CA"/>
        </w:rPr>
        <w:t xml:space="preserve">Le </w:t>
      </w:r>
      <w:r w:rsidR="003539DE" w:rsidRPr="00392004">
        <w:rPr>
          <w:i/>
          <w:lang w:val="fr-CA"/>
        </w:rPr>
        <w:t>Code</w:t>
      </w:r>
      <w:r w:rsidR="003539DE" w:rsidRPr="00392004">
        <w:rPr>
          <w:lang w:val="fr-CA"/>
        </w:rPr>
        <w:t xml:space="preserve"> est une loi quasi constitutionnelle, qui commande une interprétation généreuse afin de permettre la réalisation de ses larges objectifs d’intérêt public</w:t>
      </w:r>
      <w:r w:rsidR="00DF3361" w:rsidRPr="00392004">
        <w:rPr>
          <w:smallCaps/>
          <w:lang w:val="fr-CA"/>
        </w:rPr>
        <w:t xml:space="preserve">. </w:t>
      </w:r>
      <w:r w:rsidR="003539DE" w:rsidRPr="00392004">
        <w:rPr>
          <w:lang w:val="fr-CA"/>
        </w:rPr>
        <w:t xml:space="preserve">Ces objectifs incluent la prévention des désavantages ou exclusions arbitraires fondés sur </w:t>
      </w:r>
      <w:r w:rsidR="00F64CCF">
        <w:rPr>
          <w:lang w:val="fr-CA"/>
        </w:rPr>
        <w:t xml:space="preserve">des </w:t>
      </w:r>
      <w:r w:rsidR="003539DE" w:rsidRPr="00392004">
        <w:rPr>
          <w:lang w:val="fr-CA"/>
        </w:rPr>
        <w:t>motif</w:t>
      </w:r>
      <w:r w:rsidR="00F64CCF">
        <w:rPr>
          <w:lang w:val="fr-CA"/>
        </w:rPr>
        <w:t>s</w:t>
      </w:r>
      <w:r w:rsidR="003539DE" w:rsidRPr="00392004">
        <w:rPr>
          <w:lang w:val="fr-CA"/>
        </w:rPr>
        <w:t xml:space="preserve"> énumérés, afin que les personnes réputées vulnérables en raison d’une caractéristique collective puissent être protégées contre la discrimination</w:t>
      </w:r>
      <w:r w:rsidR="00DF3361" w:rsidRPr="00392004">
        <w:rPr>
          <w:smallCaps/>
          <w:lang w:val="fr-CA"/>
        </w:rPr>
        <w:t xml:space="preserve">. </w:t>
      </w:r>
      <w:r w:rsidR="001D6F15" w:rsidRPr="00392004">
        <w:rPr>
          <w:lang w:val="fr-CA"/>
        </w:rPr>
        <w:t xml:space="preserve">Le </w:t>
      </w:r>
      <w:r w:rsidR="001D6F15" w:rsidRPr="00392004">
        <w:rPr>
          <w:i/>
          <w:lang w:val="fr-CA"/>
        </w:rPr>
        <w:t>Code</w:t>
      </w:r>
      <w:r w:rsidR="001D6F15" w:rsidRPr="00392004">
        <w:rPr>
          <w:lang w:val="fr-CA"/>
        </w:rPr>
        <w:t xml:space="preserve"> réalise ces objectifs en prohibant la discrimination dans certains contextes précis</w:t>
      </w:r>
      <w:r w:rsidR="00DF3361" w:rsidRPr="00392004">
        <w:rPr>
          <w:smallCaps/>
          <w:lang w:val="fr-CA"/>
        </w:rPr>
        <w:t xml:space="preserve">. </w:t>
      </w:r>
      <w:r w:rsidR="001D6F15" w:rsidRPr="00392004">
        <w:rPr>
          <w:lang w:val="fr-CA"/>
        </w:rPr>
        <w:t>L’un de ces contexte</w:t>
      </w:r>
      <w:r w:rsidR="004D4B9E" w:rsidRPr="00392004">
        <w:rPr>
          <w:lang w:val="fr-CA"/>
        </w:rPr>
        <w:t>s est l’</w:t>
      </w:r>
      <w:r w:rsidR="001D6F15" w:rsidRPr="00392004">
        <w:rPr>
          <w:lang w:val="fr-CA"/>
        </w:rPr>
        <w:t>emploi.</w:t>
      </w:r>
    </w:p>
    <w:p w:rsidR="00F17FDB" w:rsidRPr="00392004" w:rsidRDefault="00F17FDB" w:rsidP="00472A0F">
      <w:pPr>
        <w:pStyle w:val="SCCNormalDoubleSpacing"/>
        <w:widowControl w:val="0"/>
        <w:spacing w:before="480" w:after="480"/>
        <w:rPr>
          <w:lang w:val="fr-CA"/>
        </w:rPr>
      </w:pPr>
      <w:r w:rsidRPr="00392004">
        <w:rPr>
          <w:lang w:val="fr-CA"/>
        </w:rPr>
        <w:tab/>
      </w:r>
      <w:r w:rsidR="001D6F15" w:rsidRPr="00392004">
        <w:rPr>
          <w:lang w:val="fr-CA"/>
        </w:rPr>
        <w:t xml:space="preserve">Décider qui se trouve dans une </w:t>
      </w:r>
      <w:r w:rsidR="00684BD3">
        <w:rPr>
          <w:lang w:val="fr-CA"/>
        </w:rPr>
        <w:t>« </w:t>
      </w:r>
      <w:r w:rsidR="001D6F15" w:rsidRPr="00392004">
        <w:rPr>
          <w:lang w:val="fr-CA"/>
        </w:rPr>
        <w:t>relation d’emploi</w:t>
      </w:r>
      <w:r w:rsidR="00684BD3">
        <w:rPr>
          <w:lang w:val="fr-CA"/>
        </w:rPr>
        <w:t> »</w:t>
      </w:r>
      <w:r w:rsidR="001D6F15" w:rsidRPr="00392004">
        <w:rPr>
          <w:lang w:val="fr-CA"/>
        </w:rPr>
        <w:t xml:space="preserve"> pour les besoins du </w:t>
      </w:r>
      <w:r w:rsidR="001D6F15" w:rsidRPr="00392004">
        <w:rPr>
          <w:i/>
          <w:lang w:val="fr-CA"/>
        </w:rPr>
        <w:t>Code</w:t>
      </w:r>
      <w:r w:rsidR="001D6F15" w:rsidRPr="00392004">
        <w:rPr>
          <w:lang w:val="fr-CA"/>
        </w:rPr>
        <w:t xml:space="preserve"> consiste essentiellement à examiner comment deux aspects synergiques interagissent dans une relation de travail donnée</w:t>
      </w:r>
      <w:r w:rsidR="00684BD3">
        <w:rPr>
          <w:lang w:val="fr-CA"/>
        </w:rPr>
        <w:t> :</w:t>
      </w:r>
      <w:r w:rsidR="001D6F15" w:rsidRPr="00392004">
        <w:rPr>
          <w:lang w:val="fr-CA"/>
        </w:rPr>
        <w:t xml:space="preserve"> le contrôle exercé par un employeur à l’égard des conditions de travail et de la rémunération, et la dépendance correspondante du travailleur.</w:t>
      </w:r>
      <w:r w:rsidRPr="00392004">
        <w:rPr>
          <w:lang w:val="fr-CA"/>
        </w:rPr>
        <w:t xml:space="preserve"> </w:t>
      </w:r>
      <w:r w:rsidR="0054222D" w:rsidRPr="00392004">
        <w:rPr>
          <w:lang w:val="fr-CA"/>
        </w:rPr>
        <w:t>L</w:t>
      </w:r>
      <w:r w:rsidR="001D6F15" w:rsidRPr="00392004">
        <w:rPr>
          <w:lang w:val="fr-CA"/>
        </w:rPr>
        <w:t>’analyse consiste à se demander qui est responsable de fixer les conditions de travail et les avantages pécuniaires, et dans quelle mesure le travailleur exerce u</w:t>
      </w:r>
      <w:r w:rsidR="00DF3361" w:rsidRPr="00392004">
        <w:rPr>
          <w:lang w:val="fr-CA"/>
        </w:rPr>
        <w:t>ne influence sur ces décisions.</w:t>
      </w:r>
      <w:r w:rsidR="001D6F15" w:rsidRPr="00392004">
        <w:rPr>
          <w:lang w:val="fr-CA"/>
        </w:rPr>
        <w:t xml:space="preserve"> Plus on exerce de contrôle sur les </w:t>
      </w:r>
      <w:r w:rsidR="001D6F15" w:rsidRPr="00392004">
        <w:rPr>
          <w:lang w:val="fr-CA"/>
        </w:rPr>
        <w:lastRenderedPageBreak/>
        <w:t>conditions de travail d’une personne, plus on accroît la dépendance de cette personne et, par voie de conséquence, sa vulnérabilité professionnelle sur les plans économique, social et psychologique.</w:t>
      </w:r>
      <w:r w:rsidRPr="00392004">
        <w:rPr>
          <w:lang w:val="fr-CA"/>
        </w:rPr>
        <w:t xml:space="preserve"> </w:t>
      </w:r>
    </w:p>
    <w:p w:rsidR="00F17FDB" w:rsidRPr="00392004" w:rsidRDefault="00F17FDB" w:rsidP="00472A0F">
      <w:pPr>
        <w:pStyle w:val="SCCNormalDoubleSpacing"/>
        <w:widowControl w:val="0"/>
        <w:spacing w:before="480" w:after="480"/>
        <w:rPr>
          <w:lang w:val="fr-CA"/>
        </w:rPr>
      </w:pPr>
      <w:r w:rsidRPr="00392004">
        <w:rPr>
          <w:lang w:val="fr-CA"/>
        </w:rPr>
        <w:tab/>
      </w:r>
      <w:r w:rsidR="001D6F15" w:rsidRPr="00392004">
        <w:rPr>
          <w:lang w:val="fr-CA"/>
        </w:rPr>
        <w:t>L’existence d’une situation de contrôle et de dépendance dépend non seulement de la question de savoir si le travailleur reçoit des directives directes de la part d’autrui ou s’il est touché par des décisions prises par autrui, mais également de celle de savoir s’il a la capacité d’influencer les décisions qui ont une incidence sérieu</w:t>
      </w:r>
      <w:r w:rsidR="00DF3361" w:rsidRPr="00392004">
        <w:rPr>
          <w:lang w:val="fr-CA"/>
        </w:rPr>
        <w:t xml:space="preserve">se sur sa vie professionnelle. </w:t>
      </w:r>
      <w:r w:rsidR="001D6F15" w:rsidRPr="00392004">
        <w:rPr>
          <w:lang w:val="fr-CA"/>
        </w:rPr>
        <w:t>Les réponses à ces questions représentent les balises à suivre pour déterminer la nature véritable de la relation. En définitive, le facteur clé est le degré de contrôle</w:t>
      </w:r>
      <w:r w:rsidR="00760739" w:rsidRPr="00392004">
        <w:rPr>
          <w:lang w:val="fr-CA"/>
        </w:rPr>
        <w:t xml:space="preserve"> et </w:t>
      </w:r>
      <w:r w:rsidR="001D6F15" w:rsidRPr="00392004">
        <w:rPr>
          <w:lang w:val="fr-CA"/>
        </w:rPr>
        <w:t>la mesure dans laquelle le travailleur est assujetti et subordonné au pouvoir décisionnel de quelqu’un d’autre à l’égard des conditions de travail et de la rémunération</w:t>
      </w:r>
      <w:r w:rsidR="00760739" w:rsidRPr="00392004">
        <w:rPr>
          <w:lang w:val="fr-CA"/>
        </w:rPr>
        <w:t xml:space="preserve">.  </w:t>
      </w:r>
    </w:p>
    <w:p w:rsidR="00BD7B9B" w:rsidRPr="00392004" w:rsidRDefault="00F17FDB" w:rsidP="00472A0F">
      <w:pPr>
        <w:pStyle w:val="SCCNormalDoubleSpacing"/>
        <w:widowControl w:val="0"/>
        <w:spacing w:before="480" w:after="480"/>
        <w:rPr>
          <w:lang w:val="fr-CA"/>
        </w:rPr>
      </w:pPr>
      <w:r w:rsidRPr="00392004">
        <w:rPr>
          <w:lang w:val="fr-CA"/>
        </w:rPr>
        <w:tab/>
      </w:r>
      <w:r w:rsidR="00F64CCF">
        <w:rPr>
          <w:lang w:val="fr-CA"/>
        </w:rPr>
        <w:t>Selon</w:t>
      </w:r>
      <w:r w:rsidR="00760739" w:rsidRPr="00392004">
        <w:rPr>
          <w:lang w:val="fr-CA"/>
        </w:rPr>
        <w:t xml:space="preserve"> l’analyse fondée sur les notions de contrôle et de dépendance à la présente affaire, </w:t>
      </w:r>
      <w:r w:rsidR="00B069E7" w:rsidRPr="00392004">
        <w:rPr>
          <w:lang w:val="fr-CA"/>
        </w:rPr>
        <w:t>e</w:t>
      </w:r>
      <w:r w:rsidR="00760739" w:rsidRPr="00392004">
        <w:rPr>
          <w:lang w:val="fr-CA"/>
        </w:rPr>
        <w:t>n plus du droit de participer à la gestion de la société, M</w:t>
      </w:r>
      <w:r w:rsidR="00B069E7" w:rsidRPr="00392004">
        <w:rPr>
          <w:lang w:val="fr-CA"/>
        </w:rPr>
        <w:t xml:space="preserve"> </w:t>
      </w:r>
      <w:r w:rsidR="00760739" w:rsidRPr="00392004">
        <w:rPr>
          <w:lang w:val="fr-CA"/>
        </w:rPr>
        <w:t>bénéficiait, en sa qualité d’associé participant, d’autres mesures lui accordant un pouvoir de contrôle au sein de la société, notamment les suivantes</w:t>
      </w:r>
      <w:r w:rsidR="00684BD3">
        <w:rPr>
          <w:lang w:val="fr-CA"/>
        </w:rPr>
        <w:t> :</w:t>
      </w:r>
      <w:r w:rsidR="00760739" w:rsidRPr="00392004">
        <w:rPr>
          <w:lang w:val="fr-CA"/>
        </w:rPr>
        <w:t xml:space="preserve"> le droit de voter à l’élection des membres du Conseil d’administration du cabinet et de se présenter comme candidat à cette élection; l’obligation faite aux autres associés de lui rendre des comptes; le droit de ne pas faire l’objet de mesures disciplinaires ou d’être renvoyé; le droit à sa part des capitaux propres de la société à son départ de celle</w:t>
      </w:r>
      <w:r w:rsidR="0018307E">
        <w:rPr>
          <w:lang w:val="fr-CA"/>
        </w:rPr>
        <w:t>-</w:t>
      </w:r>
      <w:r w:rsidR="00760739" w:rsidRPr="00392004">
        <w:rPr>
          <w:lang w:val="fr-CA"/>
        </w:rPr>
        <w:t xml:space="preserve">ci; la protection contre l’exclusion de la société autrement qu’en vertu d’une résolution extraordinaire adoptée à une réunion de l’ensemble des associés participants et d’une résolution </w:t>
      </w:r>
      <w:r w:rsidR="00760739" w:rsidRPr="00392004">
        <w:rPr>
          <w:lang w:val="fr-CA"/>
        </w:rPr>
        <w:lastRenderedPageBreak/>
        <w:t>régionale de sa région</w:t>
      </w:r>
      <w:r w:rsidR="00BD7B9B" w:rsidRPr="00392004">
        <w:rPr>
          <w:lang w:val="fr-CA"/>
        </w:rPr>
        <w:t>.</w:t>
      </w:r>
    </w:p>
    <w:p w:rsidR="00F17FDB" w:rsidRPr="00392004" w:rsidRDefault="00BD7B9B" w:rsidP="00472A0F">
      <w:pPr>
        <w:pStyle w:val="SCCNormalDoubleSpacing"/>
        <w:widowControl w:val="0"/>
        <w:spacing w:before="480" w:after="480"/>
        <w:rPr>
          <w:lang w:val="fr-CA"/>
        </w:rPr>
      </w:pPr>
      <w:r w:rsidRPr="00392004">
        <w:rPr>
          <w:lang w:val="fr-CA"/>
        </w:rPr>
        <w:tab/>
      </w:r>
      <w:r w:rsidR="00B72B9E" w:rsidRPr="00392004">
        <w:rPr>
          <w:lang w:val="fr-CA"/>
        </w:rPr>
        <w:t>En tant qu’associé participant, et compte tenu de son intérêt financier dans la société, de sa participation aux bénéfices et aux pertes ainsi que de son droit de prendre part à la gestion, M faisait partie du groupe qui contrôlait la société, non des personnes vulnérables à l’exercice de ce pouvoir de contrôle, et, pendant plus de 30</w:t>
      </w:r>
      <w:r w:rsidR="0018307E">
        <w:rPr>
          <w:lang w:val="fr-CA"/>
        </w:rPr>
        <w:t xml:space="preserve"> </w:t>
      </w:r>
      <w:r w:rsidR="00B72B9E" w:rsidRPr="00392004">
        <w:rPr>
          <w:lang w:val="fr-CA"/>
        </w:rPr>
        <w:t xml:space="preserve">ans, il a profité financièrement des départs à la retraite d’autres associés. </w:t>
      </w:r>
      <w:r w:rsidR="00B069E7" w:rsidRPr="00392004">
        <w:rPr>
          <w:lang w:val="fr-CA"/>
        </w:rPr>
        <w:t>À</w:t>
      </w:r>
      <w:r w:rsidR="00A21447" w:rsidRPr="00392004">
        <w:rPr>
          <w:lang w:val="fr-CA"/>
        </w:rPr>
        <w:t xml:space="preserve"> aucun moment M ne s’est trouvé, sous quelque aspect important que ce soit, structurellement ou concrètement, dans une relation de subordination par rapport aux autres associés participants.</w:t>
      </w:r>
      <w:r w:rsidR="00B069E7" w:rsidRPr="00392004">
        <w:rPr>
          <w:lang w:val="fr-CA"/>
        </w:rPr>
        <w:t xml:space="preserve"> </w:t>
      </w:r>
      <w:r w:rsidR="005920B6" w:rsidRPr="00392004">
        <w:rPr>
          <w:lang w:val="fr-CA"/>
        </w:rPr>
        <w:t>Il est vrai que le cabinet d’avocats avait établi certaines règles administratives auxquelles M était assujetti, mais ces règles n’avaient pas pour effet de transformer la substance de la relation et de faire de celle</w:t>
      </w:r>
      <w:r w:rsidR="0018307E">
        <w:rPr>
          <w:lang w:val="fr-CA"/>
        </w:rPr>
        <w:t>-</w:t>
      </w:r>
      <w:r w:rsidR="005920B6" w:rsidRPr="00392004">
        <w:rPr>
          <w:lang w:val="fr-CA"/>
        </w:rPr>
        <w:t>ci une relation de subordination ou de dépendance.</w:t>
      </w:r>
      <w:r w:rsidR="00F17FDB" w:rsidRPr="00392004">
        <w:rPr>
          <w:lang w:val="fr-CA"/>
        </w:rPr>
        <w:t xml:space="preserve"> </w:t>
      </w:r>
      <w:r w:rsidR="00626039" w:rsidRPr="00392004">
        <w:rPr>
          <w:lang w:val="fr-CA"/>
        </w:rPr>
        <w:t xml:space="preserve">Il ne s’ensuit pas qu’un associé au sein d’un cabinet ne peut jamais être considéré comme un employé visé par le </w:t>
      </w:r>
      <w:r w:rsidR="00626039" w:rsidRPr="00392004">
        <w:rPr>
          <w:i/>
          <w:lang w:val="fr-CA"/>
        </w:rPr>
        <w:t>Code</w:t>
      </w:r>
      <w:r w:rsidR="00626039" w:rsidRPr="00392004">
        <w:rPr>
          <w:lang w:val="fr-CA"/>
        </w:rPr>
        <w:t xml:space="preserve">, </w:t>
      </w:r>
      <w:r w:rsidR="00E946F2" w:rsidRPr="00392004">
        <w:rPr>
          <w:lang w:val="fr-CA"/>
        </w:rPr>
        <w:t>mais vu l’absence de véritable contrôle exercé sur M</w:t>
      </w:r>
      <w:r w:rsidR="00144BE3" w:rsidRPr="00392004">
        <w:rPr>
          <w:lang w:val="fr-CA"/>
        </w:rPr>
        <w:t xml:space="preserve"> </w:t>
      </w:r>
      <w:r w:rsidR="00E946F2" w:rsidRPr="00392004">
        <w:rPr>
          <w:lang w:val="fr-CA"/>
        </w:rPr>
        <w:t xml:space="preserve">relativement aux décisions importantes touchant le milieu de travail, il </w:t>
      </w:r>
      <w:r w:rsidR="00144BE3" w:rsidRPr="00392004">
        <w:rPr>
          <w:lang w:val="fr-CA"/>
        </w:rPr>
        <w:t>n’</w:t>
      </w:r>
      <w:r w:rsidR="00E946F2" w:rsidRPr="00392004">
        <w:rPr>
          <w:lang w:val="fr-CA"/>
        </w:rPr>
        <w:t xml:space="preserve">existait </w:t>
      </w:r>
      <w:r w:rsidR="00144BE3" w:rsidRPr="00392004">
        <w:rPr>
          <w:lang w:val="fr-CA"/>
        </w:rPr>
        <w:t xml:space="preserve">pas </w:t>
      </w:r>
      <w:r w:rsidR="00E946F2" w:rsidRPr="00392004">
        <w:rPr>
          <w:lang w:val="fr-CA"/>
        </w:rPr>
        <w:t xml:space="preserve">entre lui et la société </w:t>
      </w:r>
      <w:r w:rsidR="00144BE3" w:rsidRPr="00392004">
        <w:rPr>
          <w:lang w:val="fr-CA"/>
        </w:rPr>
        <w:t xml:space="preserve">de personnes </w:t>
      </w:r>
      <w:r w:rsidR="00E946F2" w:rsidRPr="00392004">
        <w:rPr>
          <w:lang w:val="fr-CA"/>
        </w:rPr>
        <w:t>une relation d’emploi visée par le</w:t>
      </w:r>
      <w:r w:rsidR="00144BE3" w:rsidRPr="00392004">
        <w:rPr>
          <w:lang w:val="fr-CA"/>
        </w:rPr>
        <w:t>s dispositions du</w:t>
      </w:r>
      <w:r w:rsidR="00E946F2" w:rsidRPr="00392004">
        <w:rPr>
          <w:lang w:val="fr-CA"/>
        </w:rPr>
        <w:t xml:space="preserve"> </w:t>
      </w:r>
      <w:r w:rsidR="00E946F2" w:rsidRPr="00392004">
        <w:rPr>
          <w:i/>
          <w:lang w:val="fr-CA"/>
        </w:rPr>
        <w:t>Code</w:t>
      </w:r>
      <w:r w:rsidR="00E946F2" w:rsidRPr="00392004">
        <w:rPr>
          <w:lang w:val="fr-CA"/>
        </w:rPr>
        <w:t>.</w:t>
      </w:r>
    </w:p>
    <w:p w:rsidR="00F17FDB" w:rsidRPr="00392004" w:rsidRDefault="00F17FDB" w:rsidP="00F17FDB">
      <w:pPr>
        <w:pStyle w:val="SCCNormalDoubleSpacing"/>
        <w:widowControl w:val="0"/>
        <w:spacing w:before="480" w:after="480"/>
        <w:rPr>
          <w:lang w:val="fr-CA"/>
        </w:rPr>
      </w:pPr>
      <w:r w:rsidRPr="00392004">
        <w:rPr>
          <w:lang w:val="fr-CA"/>
        </w:rPr>
        <w:tab/>
      </w:r>
      <w:r w:rsidR="00A81C0D" w:rsidRPr="00392004">
        <w:rPr>
          <w:lang w:val="fr-CA"/>
        </w:rPr>
        <w:t>Le Tribunal n’avait donc pas compétence à l’égard de la relation entre M et la société de personnes.</w:t>
      </w:r>
    </w:p>
    <w:p w:rsidR="004D7D95" w:rsidRPr="00392004" w:rsidRDefault="004D7D95" w:rsidP="00DA3D7E">
      <w:pPr>
        <w:pStyle w:val="SCCNormalDoubleSpacing"/>
        <w:widowControl w:val="0"/>
        <w:spacing w:after="720" w:line="240" w:lineRule="auto"/>
        <w:rPr>
          <w:b/>
          <w:lang w:val="fr-CA"/>
        </w:rPr>
      </w:pPr>
      <w:r w:rsidRPr="00392004">
        <w:rPr>
          <w:b/>
          <w:lang w:val="fr-CA"/>
        </w:rPr>
        <w:t>Jurisprudence</w:t>
      </w:r>
    </w:p>
    <w:p w:rsidR="004D7D95" w:rsidRPr="00392004" w:rsidRDefault="004D7D95" w:rsidP="00DA3D7E">
      <w:pPr>
        <w:pStyle w:val="SCCNormalDoubleSpacing"/>
        <w:widowControl w:val="0"/>
        <w:spacing w:before="480" w:after="480"/>
        <w:rPr>
          <w:b/>
          <w:lang w:val="en-US"/>
        </w:rPr>
      </w:pPr>
      <w:r w:rsidRPr="00392004">
        <w:rPr>
          <w:lang w:val="fr-CA"/>
        </w:rPr>
        <w:tab/>
      </w:r>
      <w:r w:rsidRPr="00392004">
        <w:rPr>
          <w:b/>
          <w:lang w:val="fr-CA"/>
        </w:rPr>
        <w:t>Arrêts mentionnés</w:t>
      </w:r>
      <w:r w:rsidR="00684BD3">
        <w:rPr>
          <w:b/>
          <w:lang w:val="fr-CA"/>
        </w:rPr>
        <w:t> :</w:t>
      </w:r>
      <w:r w:rsidRPr="00392004">
        <w:rPr>
          <w:lang w:val="fr-CA"/>
        </w:rPr>
        <w:t xml:space="preserve"> </w:t>
      </w:r>
      <w:r w:rsidR="006D1137" w:rsidRPr="00392004">
        <w:rPr>
          <w:i/>
          <w:lang w:val="fr-CA"/>
        </w:rPr>
        <w:t>Crane c. British Columbia (</w:t>
      </w:r>
      <w:proofErr w:type="spellStart"/>
      <w:r w:rsidR="006D1137" w:rsidRPr="00392004">
        <w:rPr>
          <w:i/>
          <w:lang w:val="fr-CA"/>
        </w:rPr>
        <w:t>Ministry</w:t>
      </w:r>
      <w:proofErr w:type="spellEnd"/>
      <w:r w:rsidR="006D1137" w:rsidRPr="00392004">
        <w:rPr>
          <w:i/>
          <w:lang w:val="fr-CA"/>
        </w:rPr>
        <w:t xml:space="preserve"> of </w:t>
      </w:r>
      <w:proofErr w:type="spellStart"/>
      <w:r w:rsidR="006D1137" w:rsidRPr="00392004">
        <w:rPr>
          <w:i/>
          <w:lang w:val="fr-CA"/>
        </w:rPr>
        <w:t>Health</w:t>
      </w:r>
      <w:proofErr w:type="spellEnd"/>
      <w:r w:rsidR="006D1137" w:rsidRPr="00392004">
        <w:rPr>
          <w:i/>
          <w:lang w:val="fr-CA"/>
        </w:rPr>
        <w:t xml:space="preserve"> </w:t>
      </w:r>
      <w:r w:rsidR="006D1137" w:rsidRPr="00392004">
        <w:rPr>
          <w:i/>
          <w:lang w:val="fr-CA"/>
        </w:rPr>
        <w:lastRenderedPageBreak/>
        <w:t>Services) (</w:t>
      </w:r>
      <w:r w:rsidR="00367441" w:rsidRPr="00392004">
        <w:rPr>
          <w:i/>
          <w:lang w:val="fr-CA"/>
        </w:rPr>
        <w:t>No.</w:t>
      </w:r>
      <w:r w:rsidR="0018307E">
        <w:rPr>
          <w:i/>
          <w:lang w:val="fr-CA"/>
        </w:rPr>
        <w:t xml:space="preserve"> </w:t>
      </w:r>
      <w:r w:rsidR="006D1137" w:rsidRPr="00392004">
        <w:rPr>
          <w:i/>
          <w:lang w:val="fr-CA"/>
        </w:rPr>
        <w:t>1)</w:t>
      </w:r>
      <w:r w:rsidR="007B373D" w:rsidRPr="00392004">
        <w:rPr>
          <w:lang w:val="fr-CA"/>
        </w:rPr>
        <w:t xml:space="preserve">, 2005 BCHRT 361, 53 C.H.R.R. D/156, </w:t>
      </w:r>
      <w:r w:rsidR="00CF0BCA" w:rsidRPr="00392004">
        <w:rPr>
          <w:lang w:val="fr-CA"/>
        </w:rPr>
        <w:t>inf. par</w:t>
      </w:r>
      <w:r w:rsidR="007B373D" w:rsidRPr="00392004">
        <w:rPr>
          <w:lang w:val="fr-CA"/>
        </w:rPr>
        <w:t xml:space="preserve"> 2007 BCSC 460, 60 C.H.R.R. D/381; </w:t>
      </w:r>
      <w:r w:rsidR="00E60F14" w:rsidRPr="00392004">
        <w:rPr>
          <w:i/>
          <w:lang w:val="fr-CA"/>
        </w:rPr>
        <w:t>Moore c. Colombie</w:t>
      </w:r>
      <w:r w:rsidR="0018307E">
        <w:rPr>
          <w:i/>
          <w:lang w:val="fr-CA"/>
        </w:rPr>
        <w:t>-</w:t>
      </w:r>
      <w:r w:rsidR="00E60F14" w:rsidRPr="00392004">
        <w:rPr>
          <w:i/>
          <w:lang w:val="fr-CA"/>
        </w:rPr>
        <w:t>Britannique (Éducation)</w:t>
      </w:r>
      <w:r w:rsidR="00E60F14" w:rsidRPr="00392004">
        <w:rPr>
          <w:lang w:val="fr-CA"/>
        </w:rPr>
        <w:t xml:space="preserve">, 2012 CSC 61, [2012] 3 R.C.S. 360; </w:t>
      </w:r>
      <w:r w:rsidR="00E60F14" w:rsidRPr="00392004">
        <w:rPr>
          <w:i/>
          <w:lang w:val="fr-CA"/>
        </w:rPr>
        <w:t>Colombie</w:t>
      </w:r>
      <w:r w:rsidR="0018307E">
        <w:rPr>
          <w:i/>
          <w:lang w:val="fr-CA"/>
        </w:rPr>
        <w:t>-</w:t>
      </w:r>
      <w:r w:rsidR="00E60F14" w:rsidRPr="00392004">
        <w:rPr>
          <w:i/>
          <w:lang w:val="fr-CA"/>
        </w:rPr>
        <w:t>Britannique (</w:t>
      </w:r>
      <w:proofErr w:type="spellStart"/>
      <w:r w:rsidR="00E60F14" w:rsidRPr="00392004">
        <w:rPr>
          <w:i/>
          <w:lang w:val="fr-CA"/>
        </w:rPr>
        <w:t>Workers</w:t>
      </w:r>
      <w:proofErr w:type="spellEnd"/>
      <w:r w:rsidR="00E60F14" w:rsidRPr="00392004">
        <w:rPr>
          <w:i/>
          <w:lang w:val="fr-CA"/>
        </w:rPr>
        <w:t xml:space="preserve">’ Compensation </w:t>
      </w:r>
      <w:proofErr w:type="spellStart"/>
      <w:r w:rsidR="00E60F14" w:rsidRPr="00392004">
        <w:rPr>
          <w:i/>
          <w:lang w:val="fr-CA"/>
        </w:rPr>
        <w:t>Board</w:t>
      </w:r>
      <w:proofErr w:type="spellEnd"/>
      <w:r w:rsidR="00E60F14" w:rsidRPr="00392004">
        <w:rPr>
          <w:i/>
          <w:lang w:val="fr-CA"/>
        </w:rPr>
        <w:t xml:space="preserve">) c. </w:t>
      </w:r>
      <w:proofErr w:type="spellStart"/>
      <w:r w:rsidR="00E60F14" w:rsidRPr="00392004">
        <w:rPr>
          <w:i/>
          <w:lang w:val="fr-CA"/>
        </w:rPr>
        <w:t>Figliola</w:t>
      </w:r>
      <w:proofErr w:type="spellEnd"/>
      <w:r w:rsidR="00E60F14" w:rsidRPr="00392004">
        <w:rPr>
          <w:lang w:val="fr-CA"/>
        </w:rPr>
        <w:t xml:space="preserve">, 2011 CSC 52, [2011] 3 R.C.S. 422; </w:t>
      </w:r>
      <w:r w:rsidR="00ED0A38" w:rsidRPr="00392004">
        <w:rPr>
          <w:i/>
          <w:lang w:val="fr-CA"/>
        </w:rPr>
        <w:t xml:space="preserve">Winnipeg </w:t>
      </w:r>
      <w:proofErr w:type="spellStart"/>
      <w:r w:rsidR="00ED0A38" w:rsidRPr="00392004">
        <w:rPr>
          <w:i/>
          <w:lang w:val="fr-CA"/>
        </w:rPr>
        <w:t>School</w:t>
      </w:r>
      <w:proofErr w:type="spellEnd"/>
      <w:r w:rsidR="00ED0A38" w:rsidRPr="00392004">
        <w:rPr>
          <w:i/>
          <w:lang w:val="fr-CA"/>
        </w:rPr>
        <w:t xml:space="preserve"> Division </w:t>
      </w:r>
      <w:r w:rsidR="00367441" w:rsidRPr="00392004">
        <w:rPr>
          <w:i/>
          <w:lang w:val="fr-CA"/>
        </w:rPr>
        <w:t>No.</w:t>
      </w:r>
      <w:r w:rsidR="0018307E">
        <w:rPr>
          <w:i/>
          <w:lang w:val="fr-CA"/>
        </w:rPr>
        <w:t xml:space="preserve"> </w:t>
      </w:r>
      <w:r w:rsidR="00F75787" w:rsidRPr="00392004">
        <w:rPr>
          <w:i/>
          <w:lang w:val="fr-CA"/>
        </w:rPr>
        <w:t>1 c. Craton</w:t>
      </w:r>
      <w:r w:rsidR="00F75787" w:rsidRPr="00392004">
        <w:rPr>
          <w:lang w:val="fr-CA"/>
        </w:rPr>
        <w:t xml:space="preserve">, [1985] 2 R.C.S. 150; </w:t>
      </w:r>
      <w:r w:rsidR="00F75787" w:rsidRPr="00392004">
        <w:rPr>
          <w:i/>
          <w:lang w:val="fr-CA"/>
        </w:rPr>
        <w:t xml:space="preserve">Commission ontarienne des droits de la personne c. </w:t>
      </w:r>
      <w:proofErr w:type="spellStart"/>
      <w:r w:rsidR="00F75787" w:rsidRPr="00392004">
        <w:rPr>
          <w:i/>
          <w:lang w:val="fr-CA"/>
        </w:rPr>
        <w:t>Simpsons</w:t>
      </w:r>
      <w:proofErr w:type="spellEnd"/>
      <w:r w:rsidR="0018307E">
        <w:rPr>
          <w:i/>
          <w:lang w:val="fr-CA"/>
        </w:rPr>
        <w:t>-</w:t>
      </w:r>
      <w:r w:rsidR="00F75787" w:rsidRPr="00392004">
        <w:rPr>
          <w:i/>
          <w:lang w:val="fr-CA"/>
        </w:rPr>
        <w:t>Sears Ltd.</w:t>
      </w:r>
      <w:r w:rsidR="00F75787" w:rsidRPr="00392004">
        <w:rPr>
          <w:lang w:val="fr-CA"/>
        </w:rPr>
        <w:t xml:space="preserve">, [1985] 2 R.C.S. 536; </w:t>
      </w:r>
      <w:r w:rsidR="00F75787" w:rsidRPr="00392004">
        <w:rPr>
          <w:i/>
          <w:lang w:val="fr-CA"/>
        </w:rPr>
        <w:t>Compagnie des chemins de fer nationaux du Canada c. Canada (Commission canadienne des droits de la personne)</w:t>
      </w:r>
      <w:r w:rsidR="00F75787" w:rsidRPr="00392004">
        <w:rPr>
          <w:lang w:val="fr-CA"/>
        </w:rPr>
        <w:t xml:space="preserve">, [1987] 1 R.C.S. 1114; </w:t>
      </w:r>
      <w:r w:rsidR="002C6333">
        <w:rPr>
          <w:i/>
          <w:lang w:val="fr-CA"/>
        </w:rPr>
        <w:t>Conseil des C</w:t>
      </w:r>
      <w:r w:rsidR="00F75787" w:rsidRPr="00392004">
        <w:rPr>
          <w:i/>
          <w:lang w:val="fr-CA"/>
        </w:rPr>
        <w:t>anadiens avec déficiences c. VIA Rail Canada Inc.</w:t>
      </w:r>
      <w:r w:rsidR="00F75787" w:rsidRPr="00392004">
        <w:rPr>
          <w:lang w:val="fr-CA"/>
        </w:rPr>
        <w:t xml:space="preserve">, 2007 CSC 15, [2007] 1 R.C.S. 650; </w:t>
      </w:r>
      <w:r w:rsidR="00CF0BCA" w:rsidRPr="00392004">
        <w:rPr>
          <w:i/>
          <w:lang w:val="fr-CA"/>
        </w:rPr>
        <w:t xml:space="preserve">Zurich </w:t>
      </w:r>
      <w:proofErr w:type="spellStart"/>
      <w:r w:rsidR="00CF0BCA" w:rsidRPr="00392004">
        <w:rPr>
          <w:i/>
          <w:lang w:val="fr-CA"/>
        </w:rPr>
        <w:t>Insurance</w:t>
      </w:r>
      <w:proofErr w:type="spellEnd"/>
      <w:r w:rsidR="00CF0BCA" w:rsidRPr="00392004">
        <w:rPr>
          <w:i/>
          <w:lang w:val="fr-CA"/>
        </w:rPr>
        <w:t xml:space="preserve"> Co. c. Ontario (Commission des droits de la personne)</w:t>
      </w:r>
      <w:r w:rsidR="007B373D" w:rsidRPr="00392004">
        <w:rPr>
          <w:lang w:val="fr-CA"/>
        </w:rPr>
        <w:t xml:space="preserve">, [1992] 2 </w:t>
      </w:r>
      <w:r w:rsidR="00CF0BCA" w:rsidRPr="00392004">
        <w:rPr>
          <w:lang w:val="fr-CA"/>
        </w:rPr>
        <w:t>R.C.</w:t>
      </w:r>
      <w:r w:rsidR="007B373D" w:rsidRPr="00392004">
        <w:rPr>
          <w:lang w:val="fr-CA"/>
        </w:rPr>
        <w:t xml:space="preserve">S. 321; </w:t>
      </w:r>
      <w:r w:rsidR="00CF0BCA" w:rsidRPr="00392004">
        <w:rPr>
          <w:i/>
          <w:lang w:val="fr-CA"/>
        </w:rPr>
        <w:t xml:space="preserve">Banque nationale de Grèce (Canada) c. </w:t>
      </w:r>
      <w:proofErr w:type="spellStart"/>
      <w:r w:rsidR="00CF0BCA" w:rsidRPr="00392004">
        <w:rPr>
          <w:i/>
          <w:lang w:val="fr-CA"/>
        </w:rPr>
        <w:t>Katsikonouris</w:t>
      </w:r>
      <w:proofErr w:type="spellEnd"/>
      <w:r w:rsidR="007B373D" w:rsidRPr="00392004">
        <w:rPr>
          <w:lang w:val="fr-CA"/>
        </w:rPr>
        <w:t xml:space="preserve">, [1990] 2 </w:t>
      </w:r>
      <w:r w:rsidR="00CF0BCA" w:rsidRPr="00392004">
        <w:rPr>
          <w:lang w:val="fr-CA"/>
        </w:rPr>
        <w:t>R.C.</w:t>
      </w:r>
      <w:r w:rsidR="007B373D" w:rsidRPr="00392004">
        <w:rPr>
          <w:lang w:val="fr-CA"/>
        </w:rPr>
        <w:t xml:space="preserve">S. 1029; </w:t>
      </w:r>
      <w:r w:rsidR="00CF0BCA" w:rsidRPr="00392004">
        <w:rPr>
          <w:i/>
          <w:lang w:val="fr-CA"/>
        </w:rPr>
        <w:t>Université de la Colombie</w:t>
      </w:r>
      <w:r w:rsidR="0018307E">
        <w:rPr>
          <w:i/>
          <w:lang w:val="fr-CA"/>
        </w:rPr>
        <w:t>-</w:t>
      </w:r>
      <w:r w:rsidR="00CF0BCA" w:rsidRPr="00392004">
        <w:rPr>
          <w:i/>
          <w:lang w:val="fr-CA"/>
        </w:rPr>
        <w:t>Britannique c. Berg</w:t>
      </w:r>
      <w:r w:rsidR="007B373D" w:rsidRPr="00392004">
        <w:rPr>
          <w:lang w:val="fr-CA"/>
        </w:rPr>
        <w:t xml:space="preserve">, [1993] 2 </w:t>
      </w:r>
      <w:r w:rsidR="00CF0BCA" w:rsidRPr="00392004">
        <w:rPr>
          <w:lang w:val="fr-CA"/>
        </w:rPr>
        <w:t>R.C.</w:t>
      </w:r>
      <w:r w:rsidR="007B373D" w:rsidRPr="00392004">
        <w:rPr>
          <w:lang w:val="fr-CA"/>
        </w:rPr>
        <w:t xml:space="preserve">S. 353; </w:t>
      </w:r>
      <w:r w:rsidR="007B373D" w:rsidRPr="00392004">
        <w:rPr>
          <w:i/>
          <w:lang w:val="fr-CA"/>
        </w:rPr>
        <w:t>Canadi</w:t>
      </w:r>
      <w:r w:rsidR="00CF0BCA" w:rsidRPr="00392004">
        <w:rPr>
          <w:i/>
          <w:lang w:val="fr-CA"/>
        </w:rPr>
        <w:t>e</w:t>
      </w:r>
      <w:r w:rsidR="007B373D" w:rsidRPr="00392004">
        <w:rPr>
          <w:i/>
          <w:lang w:val="fr-CA"/>
        </w:rPr>
        <w:t>n Pacifi</w:t>
      </w:r>
      <w:r w:rsidR="00CF0BCA" w:rsidRPr="00392004">
        <w:rPr>
          <w:i/>
          <w:lang w:val="fr-CA"/>
        </w:rPr>
        <w:t>que</w:t>
      </w:r>
      <w:r w:rsidR="007B373D" w:rsidRPr="00392004">
        <w:rPr>
          <w:i/>
          <w:lang w:val="fr-CA"/>
        </w:rPr>
        <w:t xml:space="preserve"> </w:t>
      </w:r>
      <w:proofErr w:type="spellStart"/>
      <w:r w:rsidR="007B373D" w:rsidRPr="00392004">
        <w:rPr>
          <w:i/>
          <w:lang w:val="fr-CA"/>
        </w:rPr>
        <w:t>Lt</w:t>
      </w:r>
      <w:r w:rsidR="00CF0BCA" w:rsidRPr="00392004">
        <w:rPr>
          <w:i/>
          <w:lang w:val="fr-CA"/>
        </w:rPr>
        <w:t>ée</w:t>
      </w:r>
      <w:proofErr w:type="spellEnd"/>
      <w:r w:rsidR="007B373D" w:rsidRPr="00392004">
        <w:rPr>
          <w:i/>
          <w:lang w:val="fr-CA"/>
        </w:rPr>
        <w:t xml:space="preserve"> </w:t>
      </w:r>
      <w:r w:rsidR="00CF0BCA" w:rsidRPr="00392004">
        <w:rPr>
          <w:i/>
          <w:lang w:val="fr-CA"/>
        </w:rPr>
        <w:t>c</w:t>
      </w:r>
      <w:r w:rsidR="007B373D" w:rsidRPr="00392004">
        <w:rPr>
          <w:i/>
          <w:lang w:val="fr-CA"/>
        </w:rPr>
        <w:t>. Canada (Commission</w:t>
      </w:r>
      <w:r w:rsidR="00CF0BCA" w:rsidRPr="00392004">
        <w:rPr>
          <w:i/>
          <w:lang w:val="fr-CA"/>
        </w:rPr>
        <w:t xml:space="preserve"> des droits de la personne</w:t>
      </w:r>
      <w:r w:rsidR="007B373D" w:rsidRPr="00392004">
        <w:rPr>
          <w:i/>
          <w:lang w:val="fr-CA"/>
        </w:rPr>
        <w:t>)</w:t>
      </w:r>
      <w:r w:rsidR="007B373D" w:rsidRPr="00392004">
        <w:rPr>
          <w:lang w:val="fr-CA"/>
        </w:rPr>
        <w:t xml:space="preserve">, [1991] 1 </w:t>
      </w:r>
      <w:r w:rsidR="00CF0BCA" w:rsidRPr="00392004">
        <w:rPr>
          <w:lang w:val="fr-CA"/>
        </w:rPr>
        <w:t>C.</w:t>
      </w:r>
      <w:r w:rsidR="007B373D" w:rsidRPr="00392004">
        <w:rPr>
          <w:lang w:val="fr-CA"/>
        </w:rPr>
        <w:t xml:space="preserve">F. 571; </w:t>
      </w:r>
      <w:proofErr w:type="spellStart"/>
      <w:r w:rsidR="007B373D" w:rsidRPr="00392004">
        <w:rPr>
          <w:i/>
          <w:lang w:val="fr-CA"/>
        </w:rPr>
        <w:t>Pannu</w:t>
      </w:r>
      <w:proofErr w:type="spellEnd"/>
      <w:r w:rsidR="007B373D" w:rsidRPr="00392004">
        <w:rPr>
          <w:i/>
          <w:lang w:val="fr-CA"/>
        </w:rPr>
        <w:t xml:space="preserve"> </w:t>
      </w:r>
      <w:r w:rsidR="00CF0BCA" w:rsidRPr="00392004">
        <w:rPr>
          <w:i/>
          <w:lang w:val="fr-CA"/>
        </w:rPr>
        <w:t>c</w:t>
      </w:r>
      <w:r w:rsidR="007B373D" w:rsidRPr="00392004">
        <w:rPr>
          <w:i/>
          <w:lang w:val="fr-CA"/>
        </w:rPr>
        <w:t>. Prestige Cab Ltd.</w:t>
      </w:r>
      <w:r w:rsidR="007B373D" w:rsidRPr="00392004">
        <w:rPr>
          <w:lang w:val="fr-CA"/>
        </w:rPr>
        <w:t xml:space="preserve"> </w:t>
      </w:r>
      <w:r w:rsidR="007B373D" w:rsidRPr="00392004">
        <w:t xml:space="preserve">(1986), 73 A.R. 166; </w:t>
      </w:r>
      <w:r w:rsidR="007B373D" w:rsidRPr="00392004">
        <w:rPr>
          <w:i/>
        </w:rPr>
        <w:t xml:space="preserve">Yu </w:t>
      </w:r>
      <w:r w:rsidR="00CF0BCA" w:rsidRPr="00392004">
        <w:rPr>
          <w:i/>
        </w:rPr>
        <w:t>c</w:t>
      </w:r>
      <w:r w:rsidR="007B373D" w:rsidRPr="00392004">
        <w:rPr>
          <w:i/>
        </w:rPr>
        <w:t>. Shell Canada Ltd.</w:t>
      </w:r>
      <w:r w:rsidR="007B373D" w:rsidRPr="00392004">
        <w:t xml:space="preserve">, 2004 BCHRT 28, 49 C.H.R.R. D/56; </w:t>
      </w:r>
      <w:r w:rsidR="007B373D" w:rsidRPr="00392004">
        <w:rPr>
          <w:i/>
        </w:rPr>
        <w:t>Canada (</w:t>
      </w:r>
      <w:proofErr w:type="spellStart"/>
      <w:r w:rsidR="00CF0BCA" w:rsidRPr="00392004">
        <w:rPr>
          <w:i/>
        </w:rPr>
        <w:t>Procureur</w:t>
      </w:r>
      <w:proofErr w:type="spellEnd"/>
      <w:r w:rsidR="00CF0BCA" w:rsidRPr="00392004">
        <w:rPr>
          <w:i/>
        </w:rPr>
        <w:t xml:space="preserve"> </w:t>
      </w:r>
      <w:proofErr w:type="spellStart"/>
      <w:r w:rsidR="00CF0BCA" w:rsidRPr="00392004">
        <w:rPr>
          <w:i/>
        </w:rPr>
        <w:t>géné</w:t>
      </w:r>
      <w:r w:rsidR="007B373D" w:rsidRPr="00392004">
        <w:rPr>
          <w:i/>
        </w:rPr>
        <w:t>ral</w:t>
      </w:r>
      <w:proofErr w:type="spellEnd"/>
      <w:r w:rsidR="007B373D" w:rsidRPr="00392004">
        <w:rPr>
          <w:i/>
        </w:rPr>
        <w:t xml:space="preserve">) </w:t>
      </w:r>
      <w:r w:rsidR="00CF0BCA" w:rsidRPr="00392004">
        <w:rPr>
          <w:i/>
        </w:rPr>
        <w:t>c</w:t>
      </w:r>
      <w:r w:rsidR="007B373D" w:rsidRPr="00392004">
        <w:rPr>
          <w:i/>
        </w:rPr>
        <w:t>. Rosin</w:t>
      </w:r>
      <w:r w:rsidR="007B373D" w:rsidRPr="00392004">
        <w:t xml:space="preserve">, [1991] 1 </w:t>
      </w:r>
      <w:r w:rsidR="00CF0BCA" w:rsidRPr="00392004">
        <w:t>C.</w:t>
      </w:r>
      <w:r w:rsidR="007B373D" w:rsidRPr="00392004">
        <w:t xml:space="preserve">F. 391; </w:t>
      </w:r>
      <w:r w:rsidR="007B373D" w:rsidRPr="00392004">
        <w:rPr>
          <w:i/>
        </w:rPr>
        <w:t xml:space="preserve">Mans </w:t>
      </w:r>
      <w:r w:rsidR="00CF0BCA" w:rsidRPr="00392004">
        <w:rPr>
          <w:i/>
        </w:rPr>
        <w:t>c</w:t>
      </w:r>
      <w:r w:rsidR="007B373D" w:rsidRPr="00392004">
        <w:rPr>
          <w:i/>
        </w:rPr>
        <w:t>. British Columbia Council of Licensed Practical Nurses</w:t>
      </w:r>
      <w:r w:rsidR="007B373D" w:rsidRPr="00392004">
        <w:t xml:space="preserve"> (1990), 14 C.H.R.R. D/221; </w:t>
      </w:r>
      <w:r w:rsidR="007B373D" w:rsidRPr="00392004">
        <w:rPr>
          <w:i/>
        </w:rPr>
        <w:t xml:space="preserve">International Woodworkers of America </w:t>
      </w:r>
      <w:r w:rsidR="00CF0BCA" w:rsidRPr="00392004">
        <w:rPr>
          <w:i/>
        </w:rPr>
        <w:t>c</w:t>
      </w:r>
      <w:r w:rsidR="007B373D" w:rsidRPr="00392004">
        <w:rPr>
          <w:i/>
        </w:rPr>
        <w:t xml:space="preserve">. </w:t>
      </w:r>
      <w:proofErr w:type="spellStart"/>
      <w:r w:rsidR="007B373D" w:rsidRPr="00392004">
        <w:rPr>
          <w:i/>
        </w:rPr>
        <w:t>Atway</w:t>
      </w:r>
      <w:proofErr w:type="spellEnd"/>
      <w:r w:rsidR="007B373D" w:rsidRPr="00392004">
        <w:rPr>
          <w:i/>
        </w:rPr>
        <w:t xml:space="preserve"> Transport Inc.</w:t>
      </w:r>
      <w:r w:rsidR="007B373D" w:rsidRPr="00392004">
        <w:t>, [1989] OLRB Re</w:t>
      </w:r>
      <w:r w:rsidR="00367441" w:rsidRPr="00392004">
        <w:t>p.</w:t>
      </w:r>
      <w:r w:rsidR="0018307E">
        <w:t xml:space="preserve"> </w:t>
      </w:r>
      <w:r w:rsidR="007B373D" w:rsidRPr="00392004">
        <w:t xml:space="preserve">540; </w:t>
      </w:r>
      <w:r w:rsidR="00CF0BCA" w:rsidRPr="00392004">
        <w:rPr>
          <w:i/>
          <w:lang w:val="en-US"/>
        </w:rPr>
        <w:t>Pointe</w:t>
      </w:r>
      <w:r w:rsidR="0018307E">
        <w:rPr>
          <w:i/>
          <w:lang w:val="en-US"/>
        </w:rPr>
        <w:t>-</w:t>
      </w:r>
      <w:r w:rsidR="00CF0BCA" w:rsidRPr="00392004">
        <w:rPr>
          <w:i/>
          <w:lang w:val="en-US"/>
        </w:rPr>
        <w:t>Claire (Ville) c. Québec (Tribunal du travail)</w:t>
      </w:r>
      <w:r w:rsidR="007B373D" w:rsidRPr="00392004">
        <w:t xml:space="preserve">, [1997] 1 </w:t>
      </w:r>
      <w:r w:rsidR="00CF0BCA" w:rsidRPr="00392004">
        <w:t>R.C.</w:t>
      </w:r>
      <w:r w:rsidR="007B373D" w:rsidRPr="00392004">
        <w:t xml:space="preserve">S. 1015; </w:t>
      </w:r>
      <w:r w:rsidR="007B373D" w:rsidRPr="00392004">
        <w:rPr>
          <w:i/>
        </w:rPr>
        <w:t>York Condominium Corp.</w:t>
      </w:r>
      <w:r w:rsidR="007B373D" w:rsidRPr="00392004">
        <w:t>, [1977] OLRB Re</w:t>
      </w:r>
      <w:r w:rsidR="00367441" w:rsidRPr="00392004">
        <w:t>p.</w:t>
      </w:r>
      <w:r w:rsidR="0018307E">
        <w:t xml:space="preserve"> </w:t>
      </w:r>
      <w:r w:rsidR="007B373D" w:rsidRPr="00392004">
        <w:t xml:space="preserve">645; </w:t>
      </w:r>
      <w:r w:rsidR="007B373D" w:rsidRPr="00392004">
        <w:rPr>
          <w:i/>
        </w:rPr>
        <w:t xml:space="preserve">Clackamas Gastroenterology Associates, </w:t>
      </w:r>
      <w:r w:rsidR="00367441" w:rsidRPr="00392004">
        <w:rPr>
          <w:i/>
        </w:rPr>
        <w:t>P.</w:t>
      </w:r>
      <w:r w:rsidR="0018307E">
        <w:rPr>
          <w:i/>
        </w:rPr>
        <w:t xml:space="preserve"> </w:t>
      </w:r>
      <w:r w:rsidR="007B373D" w:rsidRPr="00392004">
        <w:rPr>
          <w:i/>
        </w:rPr>
        <w:t xml:space="preserve">C. </w:t>
      </w:r>
      <w:r w:rsidR="00CF0BCA" w:rsidRPr="00392004">
        <w:rPr>
          <w:i/>
        </w:rPr>
        <w:t>c</w:t>
      </w:r>
      <w:r w:rsidR="007B373D" w:rsidRPr="00392004">
        <w:rPr>
          <w:i/>
        </w:rPr>
        <w:t>. Wells</w:t>
      </w:r>
      <w:r w:rsidR="007B373D" w:rsidRPr="00392004">
        <w:t xml:space="preserve">, 538 U.S. 440 (2003); </w:t>
      </w:r>
      <w:proofErr w:type="spellStart"/>
      <w:r w:rsidR="007B373D" w:rsidRPr="00392004">
        <w:rPr>
          <w:i/>
        </w:rPr>
        <w:t>Backman</w:t>
      </w:r>
      <w:proofErr w:type="spellEnd"/>
      <w:r w:rsidR="007B373D" w:rsidRPr="00392004">
        <w:rPr>
          <w:i/>
        </w:rPr>
        <w:t xml:space="preserve"> </w:t>
      </w:r>
      <w:r w:rsidR="00CF0BCA" w:rsidRPr="00392004">
        <w:rPr>
          <w:i/>
        </w:rPr>
        <w:t>c</w:t>
      </w:r>
      <w:r w:rsidR="007B373D" w:rsidRPr="00392004">
        <w:rPr>
          <w:i/>
        </w:rPr>
        <w:t>. Canada</w:t>
      </w:r>
      <w:r w:rsidR="007B373D" w:rsidRPr="00392004">
        <w:t xml:space="preserve">, 2001 </w:t>
      </w:r>
      <w:r w:rsidR="00CF0BCA" w:rsidRPr="00392004">
        <w:t>C</w:t>
      </w:r>
      <w:r w:rsidR="007B373D" w:rsidRPr="00392004">
        <w:t xml:space="preserve">SC 10, [2001] 1 </w:t>
      </w:r>
      <w:r w:rsidR="00CF0BCA" w:rsidRPr="00392004">
        <w:t>R.C.</w:t>
      </w:r>
      <w:r w:rsidR="007B373D" w:rsidRPr="00392004">
        <w:t xml:space="preserve">S. 367; </w:t>
      </w:r>
      <w:r w:rsidR="007B373D" w:rsidRPr="00392004">
        <w:rPr>
          <w:i/>
        </w:rPr>
        <w:t xml:space="preserve">Boyd </w:t>
      </w:r>
      <w:r w:rsidR="00CF0BCA" w:rsidRPr="00392004">
        <w:rPr>
          <w:i/>
        </w:rPr>
        <w:t>c</w:t>
      </w:r>
      <w:r w:rsidR="007B373D" w:rsidRPr="00392004">
        <w:rPr>
          <w:i/>
        </w:rPr>
        <w:t>. Attorney</w:t>
      </w:r>
      <w:r w:rsidR="0018307E">
        <w:rPr>
          <w:i/>
        </w:rPr>
        <w:t>-</w:t>
      </w:r>
      <w:r w:rsidR="007B373D" w:rsidRPr="00392004">
        <w:rPr>
          <w:i/>
        </w:rPr>
        <w:t>General for British Columbia</w:t>
      </w:r>
      <w:r w:rsidR="007B373D" w:rsidRPr="00392004">
        <w:t xml:space="preserve"> (1917), 54 </w:t>
      </w:r>
      <w:r w:rsidR="00CF0BCA" w:rsidRPr="00392004">
        <w:t>R.C.</w:t>
      </w:r>
      <w:r w:rsidR="007B373D" w:rsidRPr="00392004">
        <w:t xml:space="preserve">S. 532; </w:t>
      </w:r>
      <w:r w:rsidR="007B373D" w:rsidRPr="00392004">
        <w:rPr>
          <w:i/>
        </w:rPr>
        <w:t xml:space="preserve">Green </w:t>
      </w:r>
      <w:r w:rsidR="00CF0BCA" w:rsidRPr="00392004">
        <w:rPr>
          <w:i/>
        </w:rPr>
        <w:t>c</w:t>
      </w:r>
      <w:r w:rsidR="007B373D" w:rsidRPr="00392004">
        <w:rPr>
          <w:i/>
        </w:rPr>
        <w:t xml:space="preserve">. </w:t>
      </w:r>
      <w:proofErr w:type="spellStart"/>
      <w:r w:rsidR="007B373D" w:rsidRPr="00392004">
        <w:rPr>
          <w:i/>
        </w:rPr>
        <w:t>Harnum</w:t>
      </w:r>
      <w:proofErr w:type="spellEnd"/>
      <w:r w:rsidR="007B373D" w:rsidRPr="00392004">
        <w:t xml:space="preserve">, 2007 NLCA 57, 269 Nfld. &amp; P.E.I.R. 97; </w:t>
      </w:r>
      <w:r w:rsidR="007B373D" w:rsidRPr="00392004">
        <w:rPr>
          <w:i/>
        </w:rPr>
        <w:t xml:space="preserve">Blue Line Hockey Acquisition Co. </w:t>
      </w:r>
      <w:r w:rsidR="00CF0BCA" w:rsidRPr="00392004">
        <w:rPr>
          <w:i/>
        </w:rPr>
        <w:t>c</w:t>
      </w:r>
      <w:r w:rsidR="007B373D" w:rsidRPr="00392004">
        <w:rPr>
          <w:i/>
        </w:rPr>
        <w:t>. Orca Bay Hockey Ltd. Partnership</w:t>
      </w:r>
      <w:r w:rsidR="007B373D" w:rsidRPr="00392004">
        <w:t xml:space="preserve">, 2008 BCSC 27, 40 B.L.R. (4th) 83, </w:t>
      </w:r>
      <w:r w:rsidR="00CF0BCA" w:rsidRPr="00392004">
        <w:t>conf. par</w:t>
      </w:r>
      <w:r w:rsidR="007B373D" w:rsidRPr="00392004">
        <w:t xml:space="preserve"> 2009 BCCA 34, 52 B.L.R. (4th) 108; </w:t>
      </w:r>
      <w:r w:rsidR="007B373D" w:rsidRPr="00392004">
        <w:rPr>
          <w:i/>
        </w:rPr>
        <w:t xml:space="preserve">Re Davies and Council of the Institute of Chartered Accountants of </w:t>
      </w:r>
      <w:r w:rsidR="007B373D" w:rsidRPr="00392004">
        <w:rPr>
          <w:i/>
        </w:rPr>
        <w:lastRenderedPageBreak/>
        <w:t>Saskatchewan</w:t>
      </w:r>
      <w:r w:rsidR="007B373D" w:rsidRPr="00392004">
        <w:t xml:space="preserve"> (1985), 19 D.L.R. (4th) 447; </w:t>
      </w:r>
      <w:r w:rsidR="007B373D" w:rsidRPr="00392004">
        <w:rPr>
          <w:i/>
        </w:rPr>
        <w:t xml:space="preserve">Coal Harbour Properties Partnership </w:t>
      </w:r>
      <w:r w:rsidR="00CF0BCA" w:rsidRPr="00392004">
        <w:rPr>
          <w:i/>
        </w:rPr>
        <w:t>c</w:t>
      </w:r>
      <w:r w:rsidR="007B373D" w:rsidRPr="00392004">
        <w:rPr>
          <w:i/>
        </w:rPr>
        <w:t>. Liu</w:t>
      </w:r>
      <w:r w:rsidR="007B373D" w:rsidRPr="00392004">
        <w:t xml:space="preserve">, 2004 BCCA 283, 48 B.L.R. (3d) 237; </w:t>
      </w:r>
      <w:proofErr w:type="spellStart"/>
      <w:r w:rsidR="007B373D" w:rsidRPr="00392004">
        <w:rPr>
          <w:i/>
        </w:rPr>
        <w:t>Largie</w:t>
      </w:r>
      <w:proofErr w:type="spellEnd"/>
      <w:r w:rsidR="007B373D" w:rsidRPr="00392004">
        <w:rPr>
          <w:i/>
        </w:rPr>
        <w:t xml:space="preserve"> </w:t>
      </w:r>
      <w:r w:rsidR="00CF0BCA" w:rsidRPr="00392004">
        <w:rPr>
          <w:i/>
        </w:rPr>
        <w:t>c</w:t>
      </w:r>
      <w:r w:rsidR="007B373D" w:rsidRPr="00392004">
        <w:rPr>
          <w:i/>
        </w:rPr>
        <w:t>. TCBA Watson Rice, LLP</w:t>
      </w:r>
      <w:r w:rsidR="007B373D" w:rsidRPr="00392004">
        <w:t xml:space="preserve">, 2013 U.S. Dist. LEXIS 117688; </w:t>
      </w:r>
      <w:r w:rsidR="007B373D" w:rsidRPr="00392004">
        <w:rPr>
          <w:i/>
        </w:rPr>
        <w:t xml:space="preserve">Bowers </w:t>
      </w:r>
      <w:r w:rsidR="00CF0BCA" w:rsidRPr="00392004">
        <w:rPr>
          <w:i/>
        </w:rPr>
        <w:t>c</w:t>
      </w:r>
      <w:r w:rsidR="007B373D" w:rsidRPr="00392004">
        <w:rPr>
          <w:i/>
        </w:rPr>
        <w:t>. Ophthalmology Group, LLP</w:t>
      </w:r>
      <w:r w:rsidR="007B373D" w:rsidRPr="00392004">
        <w:t xml:space="preserve">, 2012 U.S. Dist. LEXIS 118761, </w:t>
      </w:r>
      <w:r w:rsidR="00CF0BCA" w:rsidRPr="00392004">
        <w:t>inf. par</w:t>
      </w:r>
      <w:r w:rsidR="007B373D" w:rsidRPr="00392004">
        <w:t xml:space="preserve"> 733 F.3d 647 (2013); </w:t>
      </w:r>
      <w:proofErr w:type="spellStart"/>
      <w:r w:rsidR="007B373D" w:rsidRPr="00392004">
        <w:rPr>
          <w:i/>
        </w:rPr>
        <w:t>Kirleis</w:t>
      </w:r>
      <w:proofErr w:type="spellEnd"/>
      <w:r w:rsidR="007B373D" w:rsidRPr="00392004">
        <w:rPr>
          <w:i/>
        </w:rPr>
        <w:t xml:space="preserve"> </w:t>
      </w:r>
      <w:r w:rsidR="00CF0BCA" w:rsidRPr="00392004">
        <w:rPr>
          <w:i/>
        </w:rPr>
        <w:t>c</w:t>
      </w:r>
      <w:r w:rsidR="007B373D" w:rsidRPr="00392004">
        <w:rPr>
          <w:i/>
        </w:rPr>
        <w:t xml:space="preserve">. </w:t>
      </w:r>
      <w:proofErr w:type="spellStart"/>
      <w:r w:rsidR="007B373D" w:rsidRPr="00392004">
        <w:rPr>
          <w:i/>
        </w:rPr>
        <w:t>Dickie</w:t>
      </w:r>
      <w:proofErr w:type="spellEnd"/>
      <w:r w:rsidR="007B373D" w:rsidRPr="00392004">
        <w:rPr>
          <w:i/>
        </w:rPr>
        <w:t xml:space="preserve">, </w:t>
      </w:r>
      <w:proofErr w:type="spellStart"/>
      <w:r w:rsidR="007B373D" w:rsidRPr="00392004">
        <w:rPr>
          <w:i/>
        </w:rPr>
        <w:t>McCamey</w:t>
      </w:r>
      <w:proofErr w:type="spellEnd"/>
      <w:r w:rsidR="007B373D" w:rsidRPr="00392004">
        <w:rPr>
          <w:i/>
        </w:rPr>
        <w:t xml:space="preserve"> &amp; </w:t>
      </w:r>
      <w:proofErr w:type="spellStart"/>
      <w:r w:rsidR="007B373D" w:rsidRPr="00392004">
        <w:rPr>
          <w:i/>
        </w:rPr>
        <w:t>Chilcote</w:t>
      </w:r>
      <w:proofErr w:type="spellEnd"/>
      <w:r w:rsidR="007B373D" w:rsidRPr="00392004">
        <w:rPr>
          <w:i/>
        </w:rPr>
        <w:t>, P.C.</w:t>
      </w:r>
      <w:r w:rsidR="007B373D" w:rsidRPr="00392004">
        <w:t xml:space="preserve">, 2009 U.S. Dist. LEXIS 100326; </w:t>
      </w:r>
      <w:r w:rsidR="007B373D" w:rsidRPr="00392004">
        <w:rPr>
          <w:i/>
        </w:rPr>
        <w:t xml:space="preserve">Equal Employment Opportunity Commission </w:t>
      </w:r>
      <w:r w:rsidR="00CF0BCA" w:rsidRPr="00392004">
        <w:rPr>
          <w:i/>
        </w:rPr>
        <w:t>c</w:t>
      </w:r>
      <w:r w:rsidR="007B373D" w:rsidRPr="00392004">
        <w:rPr>
          <w:i/>
        </w:rPr>
        <w:t>. Sidley Austin Brown &amp; Wood</w:t>
      </w:r>
      <w:r w:rsidR="007B373D" w:rsidRPr="00392004">
        <w:t xml:space="preserve">, 315 F.3d 696 (2002); </w:t>
      </w:r>
      <w:r w:rsidR="007B373D" w:rsidRPr="00392004">
        <w:rPr>
          <w:i/>
        </w:rPr>
        <w:t xml:space="preserve">Ellis </w:t>
      </w:r>
      <w:r w:rsidR="00CF0BCA" w:rsidRPr="00392004">
        <w:rPr>
          <w:i/>
        </w:rPr>
        <w:t>c</w:t>
      </w:r>
      <w:r w:rsidR="007B373D" w:rsidRPr="00392004">
        <w:rPr>
          <w:i/>
        </w:rPr>
        <w:t>. Joseph Ellis &amp; Co.</w:t>
      </w:r>
      <w:r w:rsidR="007B373D" w:rsidRPr="00392004">
        <w:t xml:space="preserve">, [1905] 1 K.B. 324; </w:t>
      </w:r>
      <w:r w:rsidR="007B373D" w:rsidRPr="00392004">
        <w:rPr>
          <w:i/>
        </w:rPr>
        <w:t>Re Thorne and New Brunswick Workmen’s Compensation Board</w:t>
      </w:r>
      <w:r w:rsidR="007B373D" w:rsidRPr="00392004">
        <w:t xml:space="preserve"> (1962), 33 D.L.R. (2d) 167, </w:t>
      </w:r>
      <w:r w:rsidR="00CF0BCA" w:rsidRPr="00392004">
        <w:t>conf. par</w:t>
      </w:r>
      <w:r w:rsidR="007B373D" w:rsidRPr="00392004">
        <w:t xml:space="preserve"> [1962] </w:t>
      </w:r>
      <w:r w:rsidR="00CF0BCA" w:rsidRPr="00392004">
        <w:t>R.C.</w:t>
      </w:r>
      <w:r w:rsidR="007B373D" w:rsidRPr="00392004">
        <w:t xml:space="preserve">S. viii; </w:t>
      </w:r>
      <w:r w:rsidR="007B373D" w:rsidRPr="00392004">
        <w:rPr>
          <w:i/>
        </w:rPr>
        <w:t xml:space="preserve">Hitchcock </w:t>
      </w:r>
      <w:r w:rsidR="00CF0BCA" w:rsidRPr="00392004">
        <w:rPr>
          <w:i/>
        </w:rPr>
        <w:t>c</w:t>
      </w:r>
      <w:r w:rsidR="007B373D" w:rsidRPr="00392004">
        <w:rPr>
          <w:i/>
        </w:rPr>
        <w:t>. Sykes</w:t>
      </w:r>
      <w:r w:rsidR="007B373D" w:rsidRPr="00392004">
        <w:t xml:space="preserve"> (1914), 49 </w:t>
      </w:r>
      <w:r w:rsidR="00CF0BCA" w:rsidRPr="00392004">
        <w:t>R.C.</w:t>
      </w:r>
      <w:r w:rsidR="007B373D" w:rsidRPr="00392004">
        <w:t xml:space="preserve">S. 403; </w:t>
      </w:r>
      <w:r w:rsidR="007B373D" w:rsidRPr="00392004">
        <w:rPr>
          <w:i/>
        </w:rPr>
        <w:t xml:space="preserve">Cameron </w:t>
      </w:r>
      <w:r w:rsidR="00CF0BCA" w:rsidRPr="00392004">
        <w:rPr>
          <w:i/>
        </w:rPr>
        <w:t>c</w:t>
      </w:r>
      <w:r w:rsidR="007B373D" w:rsidRPr="00392004">
        <w:rPr>
          <w:i/>
        </w:rPr>
        <w:t xml:space="preserve">. </w:t>
      </w:r>
      <w:proofErr w:type="spellStart"/>
      <w:r w:rsidR="007B373D" w:rsidRPr="00392004">
        <w:rPr>
          <w:i/>
        </w:rPr>
        <w:t>Julien</w:t>
      </w:r>
      <w:proofErr w:type="spellEnd"/>
      <w:r w:rsidR="007B373D" w:rsidRPr="00392004">
        <w:t xml:space="preserve"> </w:t>
      </w:r>
      <w:r w:rsidR="007B373D" w:rsidRPr="00392004">
        <w:rPr>
          <w:lang w:val="en-US"/>
        </w:rPr>
        <w:t>(1957), 9 D.L.R. (2d) 460</w:t>
      </w:r>
      <w:r w:rsidR="007B373D" w:rsidRPr="00392004">
        <w:t xml:space="preserve">; </w:t>
      </w:r>
      <w:proofErr w:type="spellStart"/>
      <w:r w:rsidR="007B373D" w:rsidRPr="00392004">
        <w:rPr>
          <w:i/>
        </w:rPr>
        <w:t>Rochwerg</w:t>
      </w:r>
      <w:proofErr w:type="spellEnd"/>
      <w:r w:rsidR="007B373D" w:rsidRPr="00392004">
        <w:rPr>
          <w:i/>
        </w:rPr>
        <w:t xml:space="preserve"> </w:t>
      </w:r>
      <w:r w:rsidR="00CF0BCA" w:rsidRPr="00392004">
        <w:rPr>
          <w:i/>
        </w:rPr>
        <w:t>c</w:t>
      </w:r>
      <w:r w:rsidR="007B373D" w:rsidRPr="00392004">
        <w:rPr>
          <w:i/>
        </w:rPr>
        <w:t xml:space="preserve">. </w:t>
      </w:r>
      <w:proofErr w:type="spellStart"/>
      <w:r w:rsidR="007B373D" w:rsidRPr="00392004">
        <w:rPr>
          <w:i/>
        </w:rPr>
        <w:t>Truster</w:t>
      </w:r>
      <w:proofErr w:type="spellEnd"/>
      <w:r w:rsidR="007B373D" w:rsidRPr="00392004">
        <w:t xml:space="preserve"> (2002), 58 O.R. (3d) 687.</w:t>
      </w:r>
    </w:p>
    <w:p w:rsidR="004D7D95" w:rsidRPr="00392004" w:rsidRDefault="004D7D95" w:rsidP="00DA3D7E">
      <w:pPr>
        <w:pStyle w:val="SCCNormalDoubleSpacing"/>
        <w:widowControl w:val="0"/>
        <w:spacing w:after="720" w:line="240" w:lineRule="auto"/>
        <w:rPr>
          <w:b/>
          <w:lang w:val="fr-CA"/>
        </w:rPr>
      </w:pPr>
      <w:r w:rsidRPr="00392004">
        <w:rPr>
          <w:b/>
          <w:lang w:val="fr-CA"/>
        </w:rPr>
        <w:t>Lois et règlements cités</w:t>
      </w:r>
    </w:p>
    <w:p w:rsidR="00E60F14" w:rsidRPr="00392004" w:rsidRDefault="00E60F14" w:rsidP="00DA3D7E">
      <w:pPr>
        <w:pStyle w:val="SCCNormalDoubleSpacing"/>
        <w:widowControl w:val="0"/>
        <w:spacing w:after="240" w:line="240" w:lineRule="auto"/>
        <w:ind w:left="547" w:hanging="547"/>
        <w:rPr>
          <w:lang w:val="fr-CA"/>
        </w:rPr>
      </w:pPr>
      <w:r w:rsidRPr="00392004">
        <w:rPr>
          <w:i/>
          <w:lang w:val="fr-CA"/>
        </w:rPr>
        <w:t xml:space="preserve">Administrative </w:t>
      </w:r>
      <w:proofErr w:type="spellStart"/>
      <w:r w:rsidRPr="00392004">
        <w:rPr>
          <w:i/>
          <w:lang w:val="fr-CA"/>
        </w:rPr>
        <w:t>Tribunals</w:t>
      </w:r>
      <w:proofErr w:type="spellEnd"/>
      <w:r w:rsidRPr="00392004">
        <w:rPr>
          <w:i/>
          <w:lang w:val="fr-CA"/>
        </w:rPr>
        <w:t xml:space="preserve"> </w:t>
      </w:r>
      <w:proofErr w:type="spellStart"/>
      <w:r w:rsidRPr="00392004">
        <w:rPr>
          <w:i/>
          <w:lang w:val="fr-CA"/>
        </w:rPr>
        <w:t>Act</w:t>
      </w:r>
      <w:proofErr w:type="spellEnd"/>
      <w:r w:rsidRPr="00392004">
        <w:rPr>
          <w:lang w:val="fr-CA"/>
        </w:rPr>
        <w:t xml:space="preserve">, S.B.C. 2004, </w:t>
      </w:r>
      <w:r w:rsidR="00367441" w:rsidRPr="00392004">
        <w:rPr>
          <w:lang w:val="fr-CA"/>
        </w:rPr>
        <w:t>ch.</w:t>
      </w:r>
      <w:r w:rsidR="0018307E">
        <w:rPr>
          <w:lang w:val="fr-CA"/>
        </w:rPr>
        <w:t xml:space="preserve"> </w:t>
      </w:r>
      <w:r w:rsidRPr="00392004">
        <w:rPr>
          <w:lang w:val="fr-CA"/>
        </w:rPr>
        <w:t xml:space="preserve">45, </w:t>
      </w:r>
      <w:r w:rsidR="00367441" w:rsidRPr="00392004">
        <w:rPr>
          <w:lang w:val="fr-CA"/>
        </w:rPr>
        <w:t>art.</w:t>
      </w:r>
      <w:r w:rsidR="0018307E">
        <w:rPr>
          <w:lang w:val="fr-CA"/>
        </w:rPr>
        <w:t xml:space="preserve"> </w:t>
      </w:r>
      <w:r w:rsidRPr="00392004">
        <w:rPr>
          <w:lang w:val="fr-CA"/>
        </w:rPr>
        <w:t>59.</w:t>
      </w:r>
    </w:p>
    <w:p w:rsidR="009540E1" w:rsidRPr="00392004" w:rsidRDefault="009540E1" w:rsidP="00DA3D7E">
      <w:pPr>
        <w:pStyle w:val="SCCNormalDoubleSpacing"/>
        <w:widowControl w:val="0"/>
        <w:spacing w:after="240" w:line="240" w:lineRule="auto"/>
        <w:ind w:left="547" w:hanging="547"/>
      </w:pPr>
      <w:r w:rsidRPr="00392004">
        <w:rPr>
          <w:i/>
        </w:rPr>
        <w:t>Age Discrimination Act 2004</w:t>
      </w:r>
      <w:r w:rsidRPr="00392004">
        <w:t xml:space="preserve"> (</w:t>
      </w:r>
      <w:proofErr w:type="spellStart"/>
      <w:r w:rsidRPr="00392004">
        <w:t>Cth</w:t>
      </w:r>
      <w:proofErr w:type="spellEnd"/>
      <w:r w:rsidRPr="00392004">
        <w:t xml:space="preserve">.), </w:t>
      </w:r>
      <w:r w:rsidR="00251317">
        <w:t xml:space="preserve">No. </w:t>
      </w:r>
      <w:r w:rsidRPr="00392004">
        <w:t xml:space="preserve">68, </w:t>
      </w:r>
      <w:r w:rsidR="00367441" w:rsidRPr="00392004">
        <w:t>art.</w:t>
      </w:r>
      <w:r w:rsidR="0018307E">
        <w:t xml:space="preserve"> </w:t>
      </w:r>
      <w:r w:rsidRPr="00392004">
        <w:t>21.</w:t>
      </w:r>
    </w:p>
    <w:p w:rsidR="009540E1" w:rsidRPr="00392004" w:rsidRDefault="009540E1" w:rsidP="00DA3D7E">
      <w:pPr>
        <w:pStyle w:val="SCCNormalDoubleSpacing"/>
        <w:widowControl w:val="0"/>
        <w:spacing w:after="240" w:line="240" w:lineRule="auto"/>
        <w:ind w:left="547" w:hanging="547"/>
      </w:pPr>
      <w:r w:rsidRPr="00392004">
        <w:rPr>
          <w:i/>
        </w:rPr>
        <w:t>Anti</w:t>
      </w:r>
      <w:r w:rsidR="0018307E">
        <w:rPr>
          <w:i/>
        </w:rPr>
        <w:t>-</w:t>
      </w:r>
      <w:r w:rsidRPr="00392004">
        <w:rPr>
          <w:i/>
        </w:rPr>
        <w:t>Discrimination Act 1977</w:t>
      </w:r>
      <w:r w:rsidRPr="00392004">
        <w:t xml:space="preserve"> (N.S.W.), </w:t>
      </w:r>
      <w:r w:rsidR="00251317">
        <w:t>No.</w:t>
      </w:r>
      <w:r w:rsidR="0018307E">
        <w:t xml:space="preserve"> </w:t>
      </w:r>
      <w:r w:rsidRPr="00392004">
        <w:t xml:space="preserve">48, </w:t>
      </w:r>
      <w:r w:rsidR="00367441" w:rsidRPr="00392004">
        <w:t>art.</w:t>
      </w:r>
      <w:r w:rsidR="0018307E">
        <w:t xml:space="preserve"> </w:t>
      </w:r>
      <w:proofErr w:type="gramStart"/>
      <w:r w:rsidRPr="00392004">
        <w:t>10A, 27A, 49G.</w:t>
      </w:r>
      <w:proofErr w:type="gramEnd"/>
    </w:p>
    <w:p w:rsidR="009540E1" w:rsidRPr="00392004" w:rsidRDefault="009540E1" w:rsidP="00DA3D7E">
      <w:pPr>
        <w:pStyle w:val="SCCNormalDoubleSpacing"/>
        <w:widowControl w:val="0"/>
        <w:spacing w:after="240" w:line="240" w:lineRule="auto"/>
        <w:ind w:left="547" w:hanging="547"/>
      </w:pPr>
      <w:r w:rsidRPr="00392004">
        <w:rPr>
          <w:i/>
        </w:rPr>
        <w:t>Anti</w:t>
      </w:r>
      <w:r w:rsidR="0018307E">
        <w:rPr>
          <w:i/>
        </w:rPr>
        <w:t>-</w:t>
      </w:r>
      <w:r w:rsidRPr="00392004">
        <w:rPr>
          <w:i/>
        </w:rPr>
        <w:t>Discrimination Act 1991</w:t>
      </w:r>
      <w:r w:rsidRPr="00392004">
        <w:t xml:space="preserve"> (</w:t>
      </w:r>
      <w:proofErr w:type="spellStart"/>
      <w:r w:rsidRPr="00392004">
        <w:t>Qld</w:t>
      </w:r>
      <w:proofErr w:type="spellEnd"/>
      <w:r w:rsidRPr="00392004">
        <w:t xml:space="preserve">.), </w:t>
      </w:r>
      <w:r w:rsidR="00463D28">
        <w:t>No.</w:t>
      </w:r>
      <w:r w:rsidR="0018307E">
        <w:t xml:space="preserve"> </w:t>
      </w:r>
      <w:r w:rsidRPr="00392004">
        <w:t xml:space="preserve">85, </w:t>
      </w:r>
      <w:r w:rsidR="00367441" w:rsidRPr="00392004">
        <w:t>art.</w:t>
      </w:r>
      <w:r w:rsidR="0018307E">
        <w:t xml:space="preserve"> </w:t>
      </w:r>
      <w:proofErr w:type="gramStart"/>
      <w:r w:rsidRPr="00392004">
        <w:t>16</w:t>
      </w:r>
      <w:r w:rsidR="00F64CCF">
        <w:t xml:space="preserve"> à </w:t>
      </w:r>
      <w:r w:rsidR="00463D28">
        <w:t>1</w:t>
      </w:r>
      <w:r w:rsidRPr="00392004">
        <w:t>8.</w:t>
      </w:r>
      <w:proofErr w:type="gramEnd"/>
    </w:p>
    <w:p w:rsidR="009540E1" w:rsidRPr="00392004" w:rsidRDefault="009540E1" w:rsidP="00DA3D7E">
      <w:pPr>
        <w:pStyle w:val="SCCNormalDoubleSpacing"/>
        <w:widowControl w:val="0"/>
        <w:spacing w:after="240" w:line="240" w:lineRule="auto"/>
        <w:ind w:left="547" w:hanging="547"/>
      </w:pPr>
      <w:proofErr w:type="gramStart"/>
      <w:r w:rsidRPr="00392004">
        <w:rPr>
          <w:i/>
        </w:rPr>
        <w:t>Disability Discrimination Act 1992</w:t>
      </w:r>
      <w:r w:rsidRPr="00392004">
        <w:t xml:space="preserve"> (</w:t>
      </w:r>
      <w:proofErr w:type="spellStart"/>
      <w:r w:rsidRPr="00392004">
        <w:t>Cth</w:t>
      </w:r>
      <w:proofErr w:type="spellEnd"/>
      <w:r w:rsidRPr="00392004">
        <w:t xml:space="preserve">.), </w:t>
      </w:r>
      <w:r w:rsidR="007F388B">
        <w:t>No.</w:t>
      </w:r>
      <w:r w:rsidR="0018307E">
        <w:t xml:space="preserve"> </w:t>
      </w:r>
      <w:r w:rsidRPr="00392004">
        <w:t xml:space="preserve">135, </w:t>
      </w:r>
      <w:r w:rsidR="00367441" w:rsidRPr="00392004">
        <w:t>art.</w:t>
      </w:r>
      <w:proofErr w:type="gramEnd"/>
      <w:r w:rsidR="0018307E">
        <w:t xml:space="preserve"> </w:t>
      </w:r>
      <w:r w:rsidRPr="00392004">
        <w:t>18.</w:t>
      </w:r>
    </w:p>
    <w:p w:rsidR="009540E1" w:rsidRPr="00392004" w:rsidRDefault="009540E1" w:rsidP="00DA3D7E">
      <w:pPr>
        <w:pStyle w:val="SCCNormalDoubleSpacing"/>
        <w:widowControl w:val="0"/>
        <w:spacing w:after="240" w:line="240" w:lineRule="auto"/>
        <w:ind w:left="547" w:hanging="547"/>
      </w:pPr>
      <w:proofErr w:type="gramStart"/>
      <w:r w:rsidRPr="00392004">
        <w:rPr>
          <w:i/>
        </w:rPr>
        <w:t>Equal Opportunity Act 1984</w:t>
      </w:r>
      <w:r w:rsidRPr="00392004">
        <w:t xml:space="preserve"> (S.A.), </w:t>
      </w:r>
      <w:r w:rsidR="00367441" w:rsidRPr="00392004">
        <w:t>art.</w:t>
      </w:r>
      <w:proofErr w:type="gramEnd"/>
      <w:r w:rsidR="0018307E">
        <w:t xml:space="preserve"> </w:t>
      </w:r>
      <w:proofErr w:type="gramStart"/>
      <w:r w:rsidRPr="00392004">
        <w:t>33, 55, 70.</w:t>
      </w:r>
      <w:proofErr w:type="gramEnd"/>
    </w:p>
    <w:p w:rsidR="009540E1" w:rsidRPr="00392004" w:rsidRDefault="009540E1" w:rsidP="00DA3D7E">
      <w:pPr>
        <w:pStyle w:val="SCCNormalDoubleSpacing"/>
        <w:widowControl w:val="0"/>
        <w:spacing w:after="240" w:line="240" w:lineRule="auto"/>
        <w:ind w:left="547" w:hanging="547"/>
      </w:pPr>
      <w:proofErr w:type="gramStart"/>
      <w:r w:rsidRPr="00392004">
        <w:rPr>
          <w:i/>
        </w:rPr>
        <w:t>Equal Opportunity Act 1984</w:t>
      </w:r>
      <w:r w:rsidRPr="00392004">
        <w:t xml:space="preserve"> (W.A.), </w:t>
      </w:r>
      <w:r w:rsidR="00367441" w:rsidRPr="00392004">
        <w:t>art.</w:t>
      </w:r>
      <w:proofErr w:type="gramEnd"/>
      <w:r w:rsidR="0018307E">
        <w:t xml:space="preserve"> </w:t>
      </w:r>
      <w:proofErr w:type="gramStart"/>
      <w:r w:rsidRPr="00392004">
        <w:t>14, 40, 66E.</w:t>
      </w:r>
      <w:proofErr w:type="gramEnd"/>
    </w:p>
    <w:p w:rsidR="009540E1" w:rsidRPr="00392004" w:rsidRDefault="009540E1" w:rsidP="00DA3D7E">
      <w:pPr>
        <w:pStyle w:val="SCCNormalDoubleSpacing"/>
        <w:widowControl w:val="0"/>
        <w:spacing w:after="240" w:line="240" w:lineRule="auto"/>
        <w:ind w:left="547" w:hanging="547"/>
      </w:pPr>
      <w:proofErr w:type="gramStart"/>
      <w:r w:rsidRPr="00392004">
        <w:rPr>
          <w:i/>
        </w:rPr>
        <w:t>Equal Opportunity Act 2010</w:t>
      </w:r>
      <w:r w:rsidRPr="00392004">
        <w:t xml:space="preserve"> (Vic.), </w:t>
      </w:r>
      <w:r w:rsidR="00DB6008">
        <w:t>No.</w:t>
      </w:r>
      <w:r w:rsidR="0018307E">
        <w:t xml:space="preserve"> </w:t>
      </w:r>
      <w:r w:rsidRPr="00392004">
        <w:t xml:space="preserve">16, </w:t>
      </w:r>
      <w:r w:rsidR="00367441" w:rsidRPr="00392004">
        <w:t>art.</w:t>
      </w:r>
      <w:proofErr w:type="gramEnd"/>
      <w:r w:rsidR="0018307E">
        <w:t xml:space="preserve"> </w:t>
      </w:r>
      <w:proofErr w:type="gramStart"/>
      <w:r w:rsidRPr="00392004">
        <w:t>30, 31.</w:t>
      </w:r>
      <w:proofErr w:type="gramEnd"/>
    </w:p>
    <w:p w:rsidR="009540E1" w:rsidRPr="00392004" w:rsidRDefault="009540E1" w:rsidP="00DA3D7E">
      <w:pPr>
        <w:pStyle w:val="SCCNormalDoubleSpacing"/>
        <w:widowControl w:val="0"/>
        <w:spacing w:after="240" w:line="240" w:lineRule="auto"/>
        <w:ind w:left="547" w:hanging="547"/>
      </w:pPr>
      <w:proofErr w:type="gramStart"/>
      <w:r w:rsidRPr="00392004">
        <w:rPr>
          <w:i/>
        </w:rPr>
        <w:t>Equality Act 2010</w:t>
      </w:r>
      <w:r w:rsidRPr="00392004">
        <w:t xml:space="preserve"> (R.</w:t>
      </w:r>
      <w:r w:rsidR="0018307E">
        <w:t>-</w:t>
      </w:r>
      <w:r w:rsidRPr="00392004">
        <w:t xml:space="preserve">U.), 2010, </w:t>
      </w:r>
      <w:proofErr w:type="spellStart"/>
      <w:r w:rsidR="00367441" w:rsidRPr="00392004">
        <w:t>ch</w:t>
      </w:r>
      <w:proofErr w:type="spellEnd"/>
      <w:r w:rsidR="00367441" w:rsidRPr="00392004">
        <w:t>.</w:t>
      </w:r>
      <w:r w:rsidR="0018307E">
        <w:t xml:space="preserve"> </w:t>
      </w:r>
      <w:r w:rsidRPr="00392004">
        <w:t xml:space="preserve">15, </w:t>
      </w:r>
      <w:r w:rsidR="00367441" w:rsidRPr="00392004">
        <w:t>art.</w:t>
      </w:r>
      <w:proofErr w:type="gramEnd"/>
      <w:r w:rsidR="0018307E">
        <w:t xml:space="preserve"> </w:t>
      </w:r>
      <w:r w:rsidRPr="00392004">
        <w:t>44.</w:t>
      </w:r>
    </w:p>
    <w:p w:rsidR="009540E1" w:rsidRPr="00392004" w:rsidRDefault="009540E1" w:rsidP="00DA3D7E">
      <w:pPr>
        <w:pStyle w:val="SCCNormalDoubleSpacing"/>
        <w:widowControl w:val="0"/>
        <w:spacing w:after="240" w:line="240" w:lineRule="auto"/>
        <w:ind w:left="547" w:hanging="547"/>
      </w:pPr>
      <w:r w:rsidRPr="00392004">
        <w:rPr>
          <w:i/>
        </w:rPr>
        <w:t>Human Rights Act 1993</w:t>
      </w:r>
      <w:r w:rsidRPr="00392004">
        <w:t xml:space="preserve"> (N.</w:t>
      </w:r>
      <w:r w:rsidR="0018307E">
        <w:t>-</w:t>
      </w:r>
      <w:r w:rsidRPr="00392004">
        <w:t xml:space="preserve">Z.), 1993, </w:t>
      </w:r>
      <w:r w:rsidR="00DB6008">
        <w:t>No.</w:t>
      </w:r>
      <w:r w:rsidR="0018307E">
        <w:t xml:space="preserve"> </w:t>
      </w:r>
      <w:r w:rsidRPr="00392004">
        <w:t xml:space="preserve">82, </w:t>
      </w:r>
      <w:r w:rsidR="00367441" w:rsidRPr="00392004">
        <w:t>art.</w:t>
      </w:r>
      <w:r w:rsidR="0018307E">
        <w:t xml:space="preserve"> </w:t>
      </w:r>
      <w:r w:rsidRPr="00392004">
        <w:t>36.</w:t>
      </w:r>
    </w:p>
    <w:p w:rsidR="009540E1" w:rsidRPr="00392004" w:rsidRDefault="009540E1" w:rsidP="00DA3D7E">
      <w:pPr>
        <w:pStyle w:val="SCCNormalDoubleSpacing"/>
        <w:widowControl w:val="0"/>
        <w:spacing w:after="240" w:line="240" w:lineRule="auto"/>
        <w:ind w:left="547" w:hanging="547"/>
      </w:pPr>
      <w:proofErr w:type="gramStart"/>
      <w:r w:rsidRPr="00392004">
        <w:rPr>
          <w:i/>
        </w:rPr>
        <w:t>Human Rights Code</w:t>
      </w:r>
      <w:r w:rsidRPr="00392004">
        <w:t xml:space="preserve">, R.S.B.C. 1996, </w:t>
      </w:r>
      <w:proofErr w:type="spellStart"/>
      <w:r w:rsidR="00367441" w:rsidRPr="00392004">
        <w:t>ch</w:t>
      </w:r>
      <w:proofErr w:type="spellEnd"/>
      <w:r w:rsidR="00367441" w:rsidRPr="00392004">
        <w:t>.</w:t>
      </w:r>
      <w:r w:rsidR="0018307E">
        <w:t xml:space="preserve"> </w:t>
      </w:r>
      <w:r w:rsidRPr="00392004">
        <w:t xml:space="preserve">210, </w:t>
      </w:r>
      <w:r w:rsidR="00367441" w:rsidRPr="00392004">
        <w:t>art.</w:t>
      </w:r>
      <w:proofErr w:type="gramEnd"/>
      <w:r w:rsidR="0018307E">
        <w:t xml:space="preserve"> </w:t>
      </w:r>
      <w:r w:rsidRPr="00392004">
        <w:t xml:space="preserve">1 </w:t>
      </w:r>
      <w:r w:rsidR="00684BD3">
        <w:t>« </w:t>
      </w:r>
      <w:r w:rsidRPr="00392004">
        <w:rPr>
          <w:i/>
        </w:rPr>
        <w:t>employment</w:t>
      </w:r>
      <w:r w:rsidR="00684BD3">
        <w:t> »</w:t>
      </w:r>
      <w:r w:rsidRPr="00392004">
        <w:t xml:space="preserve">, </w:t>
      </w:r>
      <w:r w:rsidR="00684BD3">
        <w:t>« </w:t>
      </w:r>
      <w:r w:rsidRPr="00392004">
        <w:rPr>
          <w:i/>
        </w:rPr>
        <w:t>person</w:t>
      </w:r>
      <w:r w:rsidR="00684BD3">
        <w:t> »</w:t>
      </w:r>
      <w:r w:rsidRPr="00392004">
        <w:t>, 3, 13, 27(1</w:t>
      </w:r>
      <w:proofErr w:type="gramStart"/>
      <w:r w:rsidRPr="00392004">
        <w:t>)(</w:t>
      </w:r>
      <w:proofErr w:type="gramEnd"/>
      <w:r w:rsidRPr="00392004">
        <w:t>a), (c).</w:t>
      </w:r>
    </w:p>
    <w:p w:rsidR="009540E1" w:rsidRPr="00392004" w:rsidRDefault="009540E1" w:rsidP="00DA3D7E">
      <w:pPr>
        <w:pStyle w:val="SCCNormalDoubleSpacing"/>
        <w:widowControl w:val="0"/>
        <w:spacing w:after="240" w:line="240" w:lineRule="auto"/>
        <w:ind w:left="547" w:hanging="547"/>
      </w:pPr>
      <w:proofErr w:type="gramStart"/>
      <w:r w:rsidRPr="00392004">
        <w:rPr>
          <w:i/>
        </w:rPr>
        <w:lastRenderedPageBreak/>
        <w:t>Partnership Act</w:t>
      </w:r>
      <w:r w:rsidRPr="00392004">
        <w:t xml:space="preserve">, R.S.B.C. 1996, </w:t>
      </w:r>
      <w:proofErr w:type="spellStart"/>
      <w:r w:rsidR="00367441" w:rsidRPr="00392004">
        <w:t>ch</w:t>
      </w:r>
      <w:proofErr w:type="spellEnd"/>
      <w:r w:rsidR="00367441" w:rsidRPr="00392004">
        <w:t>.</w:t>
      </w:r>
      <w:r w:rsidR="0018307E">
        <w:t xml:space="preserve"> </w:t>
      </w:r>
      <w:r w:rsidRPr="00392004">
        <w:t xml:space="preserve">348, </w:t>
      </w:r>
      <w:r w:rsidR="00367441" w:rsidRPr="00392004">
        <w:t>art.</w:t>
      </w:r>
      <w:proofErr w:type="gramEnd"/>
      <w:r w:rsidR="0018307E">
        <w:t xml:space="preserve"> </w:t>
      </w:r>
      <w:proofErr w:type="gramStart"/>
      <w:r w:rsidRPr="00392004">
        <w:t xml:space="preserve">1 </w:t>
      </w:r>
      <w:r w:rsidR="00684BD3">
        <w:t>« </w:t>
      </w:r>
      <w:r w:rsidRPr="00392004">
        <w:rPr>
          <w:i/>
        </w:rPr>
        <w:t>firm</w:t>
      </w:r>
      <w:r w:rsidR="00684BD3">
        <w:t> »</w:t>
      </w:r>
      <w:r w:rsidRPr="00392004">
        <w:t xml:space="preserve">, 2 </w:t>
      </w:r>
      <w:r w:rsidR="00684BD3">
        <w:t>« </w:t>
      </w:r>
      <w:r w:rsidRPr="00392004">
        <w:rPr>
          <w:i/>
        </w:rPr>
        <w:t>partnership</w:t>
      </w:r>
      <w:r w:rsidR="00684BD3">
        <w:t> »</w:t>
      </w:r>
      <w:r w:rsidR="00863402" w:rsidRPr="00392004">
        <w:t xml:space="preserve">, </w:t>
      </w:r>
      <w:r w:rsidRPr="00392004">
        <w:t>22, 27(e), 28, 31, 104.</w:t>
      </w:r>
      <w:proofErr w:type="gramEnd"/>
    </w:p>
    <w:p w:rsidR="009540E1" w:rsidRPr="00392004" w:rsidRDefault="009540E1" w:rsidP="00DA3D7E">
      <w:pPr>
        <w:pStyle w:val="SCCNormalDoubleSpacing"/>
        <w:widowControl w:val="0"/>
        <w:spacing w:after="240" w:line="240" w:lineRule="auto"/>
        <w:ind w:left="547" w:hanging="547"/>
      </w:pPr>
      <w:proofErr w:type="gramStart"/>
      <w:r w:rsidRPr="00392004">
        <w:rPr>
          <w:i/>
        </w:rPr>
        <w:t>Partnership Act 1890</w:t>
      </w:r>
      <w:r w:rsidRPr="00392004">
        <w:t xml:space="preserve"> (R.</w:t>
      </w:r>
      <w:r w:rsidR="0018307E">
        <w:t>-</w:t>
      </w:r>
      <w:r w:rsidRPr="00392004">
        <w:t xml:space="preserve">U.), 1890, </w:t>
      </w:r>
      <w:proofErr w:type="spellStart"/>
      <w:r w:rsidR="00367441" w:rsidRPr="00392004">
        <w:t>ch</w:t>
      </w:r>
      <w:proofErr w:type="spellEnd"/>
      <w:r w:rsidR="00367441" w:rsidRPr="00392004">
        <w:t>.</w:t>
      </w:r>
      <w:r w:rsidR="0018307E">
        <w:t xml:space="preserve"> </w:t>
      </w:r>
      <w:r w:rsidRPr="00392004">
        <w:t>39.</w:t>
      </w:r>
      <w:proofErr w:type="gramEnd"/>
    </w:p>
    <w:p w:rsidR="009540E1" w:rsidRPr="00392004" w:rsidRDefault="009540E1" w:rsidP="00DA3D7E">
      <w:pPr>
        <w:pStyle w:val="SCCNormalDoubleSpacing"/>
        <w:widowControl w:val="0"/>
        <w:spacing w:after="720" w:line="240" w:lineRule="auto"/>
        <w:ind w:left="547" w:hanging="547"/>
      </w:pPr>
      <w:proofErr w:type="gramStart"/>
      <w:r w:rsidRPr="00392004">
        <w:rPr>
          <w:i/>
        </w:rPr>
        <w:t>Sex Discrimination Act 1984</w:t>
      </w:r>
      <w:r w:rsidRPr="00392004">
        <w:t xml:space="preserve"> (</w:t>
      </w:r>
      <w:proofErr w:type="spellStart"/>
      <w:r w:rsidRPr="00392004">
        <w:t>Cth</w:t>
      </w:r>
      <w:proofErr w:type="spellEnd"/>
      <w:r w:rsidRPr="00392004">
        <w:t xml:space="preserve">.), </w:t>
      </w:r>
      <w:r w:rsidR="00DB6008">
        <w:t>No.</w:t>
      </w:r>
      <w:r w:rsidR="0018307E">
        <w:t xml:space="preserve"> </w:t>
      </w:r>
      <w:r w:rsidRPr="00392004">
        <w:t xml:space="preserve">4, </w:t>
      </w:r>
      <w:r w:rsidR="00367441" w:rsidRPr="00392004">
        <w:t>art.</w:t>
      </w:r>
      <w:proofErr w:type="gramEnd"/>
      <w:r w:rsidR="0018307E">
        <w:t xml:space="preserve"> </w:t>
      </w:r>
      <w:r w:rsidRPr="00392004">
        <w:t>17.</w:t>
      </w:r>
    </w:p>
    <w:p w:rsidR="004D7D95" w:rsidRPr="00392004" w:rsidRDefault="004D7D95" w:rsidP="00DA3D7E">
      <w:pPr>
        <w:pStyle w:val="SCCNormalDoubleSpacing"/>
        <w:widowControl w:val="0"/>
        <w:spacing w:after="720" w:line="240" w:lineRule="auto"/>
        <w:rPr>
          <w:b/>
          <w:lang w:val="fr-CA"/>
        </w:rPr>
      </w:pPr>
      <w:r w:rsidRPr="00392004">
        <w:rPr>
          <w:b/>
          <w:lang w:val="fr-CA"/>
        </w:rPr>
        <w:t>Doctrine et autres documents cités</w:t>
      </w:r>
    </w:p>
    <w:p w:rsidR="00744C9F" w:rsidRPr="00392004" w:rsidRDefault="00744C9F" w:rsidP="00DA3D7E">
      <w:pPr>
        <w:pStyle w:val="SCCNormalDoubleSpacing"/>
        <w:widowControl w:val="0"/>
        <w:spacing w:after="240" w:line="240" w:lineRule="auto"/>
        <w:ind w:left="547" w:hanging="547"/>
      </w:pPr>
      <w:r w:rsidRPr="00C57EB1">
        <w:rPr>
          <w:lang w:val="en-US"/>
        </w:rPr>
        <w:t>Adams, George</w:t>
      </w:r>
      <w:r w:rsidR="0018307E" w:rsidRPr="00C57EB1">
        <w:rPr>
          <w:lang w:val="en-US"/>
        </w:rPr>
        <w:t xml:space="preserve"> </w:t>
      </w:r>
      <w:r w:rsidRPr="00C57EB1">
        <w:rPr>
          <w:lang w:val="en-US"/>
        </w:rPr>
        <w:t>W</w:t>
      </w:r>
      <w:r w:rsidR="00DF3361" w:rsidRPr="00C57EB1">
        <w:rPr>
          <w:smallCaps/>
          <w:lang w:val="en-US"/>
        </w:rPr>
        <w:t xml:space="preserve">. </w:t>
      </w:r>
      <w:r w:rsidRPr="00C57EB1">
        <w:rPr>
          <w:i/>
          <w:lang w:val="en-US"/>
        </w:rPr>
        <w:t xml:space="preserve">Canadian </w:t>
      </w:r>
      <w:proofErr w:type="spellStart"/>
      <w:r w:rsidRPr="00C57EB1">
        <w:rPr>
          <w:i/>
          <w:lang w:val="en-US"/>
        </w:rPr>
        <w:t>Labour</w:t>
      </w:r>
      <w:proofErr w:type="spellEnd"/>
      <w:r w:rsidRPr="00C57EB1">
        <w:rPr>
          <w:i/>
          <w:lang w:val="en-US"/>
        </w:rPr>
        <w:t xml:space="preserve"> Law</w:t>
      </w:r>
      <w:r w:rsidRPr="00C57EB1">
        <w:rPr>
          <w:lang w:val="en-US"/>
        </w:rPr>
        <w:t>, 2nd ed</w:t>
      </w:r>
      <w:r w:rsidR="00DF3361" w:rsidRPr="00C57EB1">
        <w:rPr>
          <w:smallCaps/>
          <w:lang w:val="en-US"/>
        </w:rPr>
        <w:t xml:space="preserve">. </w:t>
      </w:r>
      <w:proofErr w:type="gramStart"/>
      <w:r w:rsidRPr="00392004">
        <w:t>Toronto</w:t>
      </w:r>
      <w:r w:rsidR="00684BD3">
        <w:t> :</w:t>
      </w:r>
      <w:proofErr w:type="gramEnd"/>
      <w:r w:rsidRPr="00392004">
        <w:t xml:space="preserve"> Canada Law Book, 1993 (loose</w:t>
      </w:r>
      <w:r w:rsidR="0018307E">
        <w:t>-</w:t>
      </w:r>
      <w:r w:rsidRPr="00392004">
        <w:t>leaf updated December 2013, release 48).</w:t>
      </w:r>
    </w:p>
    <w:p w:rsidR="00744C9F" w:rsidRPr="00392004" w:rsidRDefault="00744C9F" w:rsidP="00DA3D7E">
      <w:pPr>
        <w:pStyle w:val="SCCNormalDoubleSpacing"/>
        <w:widowControl w:val="0"/>
        <w:spacing w:after="240" w:line="240" w:lineRule="auto"/>
        <w:ind w:left="547" w:hanging="547"/>
      </w:pPr>
      <w:r w:rsidRPr="00392004">
        <w:t>Arthurs, H.</w:t>
      </w:r>
      <w:r w:rsidR="0018307E">
        <w:t xml:space="preserve"> </w:t>
      </w:r>
      <w:r w:rsidRPr="00392004">
        <w:t>W</w:t>
      </w:r>
      <w:r w:rsidR="00DF3361" w:rsidRPr="00392004">
        <w:rPr>
          <w:smallCaps/>
        </w:rPr>
        <w:t xml:space="preserve">. </w:t>
      </w:r>
      <w:r w:rsidR="00684BD3">
        <w:t>« </w:t>
      </w:r>
      <w:r w:rsidRPr="00392004">
        <w:t xml:space="preserve">The Dependent </w:t>
      </w:r>
      <w:proofErr w:type="gramStart"/>
      <w:r w:rsidRPr="00392004">
        <w:t>Contractor</w:t>
      </w:r>
      <w:r w:rsidR="00684BD3">
        <w:t> :</w:t>
      </w:r>
      <w:proofErr w:type="gramEnd"/>
      <w:r w:rsidRPr="00392004">
        <w:t xml:space="preserve"> A Study of the Legal Problems of Countervailing Power</w:t>
      </w:r>
      <w:r w:rsidR="00684BD3">
        <w:t> »</w:t>
      </w:r>
      <w:r w:rsidRPr="00392004">
        <w:t xml:space="preserve"> (1965), 16 </w:t>
      </w:r>
      <w:r w:rsidRPr="00392004">
        <w:rPr>
          <w:i/>
        </w:rPr>
        <w:t>U.T.L.J.</w:t>
      </w:r>
      <w:r w:rsidRPr="00392004">
        <w:t xml:space="preserve"> 89.</w:t>
      </w:r>
    </w:p>
    <w:p w:rsidR="00744C9F" w:rsidRPr="00392004" w:rsidRDefault="00744C9F" w:rsidP="00DA3D7E">
      <w:pPr>
        <w:pStyle w:val="SCCNormalDoubleSpacing"/>
        <w:widowControl w:val="0"/>
        <w:spacing w:after="240" w:line="240" w:lineRule="auto"/>
        <w:ind w:left="547" w:hanging="547"/>
      </w:pPr>
      <w:proofErr w:type="spellStart"/>
      <w:r w:rsidRPr="00392004">
        <w:t>Davidov</w:t>
      </w:r>
      <w:proofErr w:type="spellEnd"/>
      <w:r w:rsidRPr="00392004">
        <w:t>, Guy</w:t>
      </w:r>
      <w:r w:rsidR="00DF3361" w:rsidRPr="00392004">
        <w:rPr>
          <w:smallCaps/>
        </w:rPr>
        <w:t xml:space="preserve">. </w:t>
      </w:r>
      <w:r w:rsidR="00684BD3">
        <w:t>« </w:t>
      </w:r>
      <w:r w:rsidRPr="00392004">
        <w:t xml:space="preserve">The Three Axes of Employment </w:t>
      </w:r>
      <w:proofErr w:type="gramStart"/>
      <w:r w:rsidRPr="00392004">
        <w:t>Relationships</w:t>
      </w:r>
      <w:r w:rsidR="00684BD3">
        <w:t> :</w:t>
      </w:r>
      <w:proofErr w:type="gramEnd"/>
      <w:r w:rsidRPr="00392004">
        <w:t xml:space="preserve"> A Characterization of Workers in Need of Protection</w:t>
      </w:r>
      <w:r w:rsidR="00684BD3">
        <w:t> »</w:t>
      </w:r>
      <w:r w:rsidRPr="00392004">
        <w:t xml:space="preserve"> (2002), 52 </w:t>
      </w:r>
      <w:r w:rsidRPr="00392004">
        <w:rPr>
          <w:i/>
        </w:rPr>
        <w:t>U.T.L.J.</w:t>
      </w:r>
      <w:r w:rsidRPr="00392004">
        <w:t xml:space="preserve"> 357.</w:t>
      </w:r>
    </w:p>
    <w:p w:rsidR="00E60F14" w:rsidRPr="00392004" w:rsidRDefault="00E60F14" w:rsidP="00DA3D7E">
      <w:pPr>
        <w:pStyle w:val="SCCNormalDoubleSpacing"/>
        <w:widowControl w:val="0"/>
        <w:spacing w:after="240" w:line="240" w:lineRule="auto"/>
        <w:ind w:left="547" w:hanging="547"/>
      </w:pPr>
      <w:r w:rsidRPr="00392004">
        <w:t>England, Geoffrey</w:t>
      </w:r>
      <w:r w:rsidR="00DF3361" w:rsidRPr="00392004">
        <w:rPr>
          <w:smallCaps/>
        </w:rPr>
        <w:t xml:space="preserve">. </w:t>
      </w:r>
      <w:r w:rsidRPr="00392004">
        <w:rPr>
          <w:i/>
        </w:rPr>
        <w:t>Individual Employment Law</w:t>
      </w:r>
      <w:r w:rsidRPr="00392004">
        <w:t>, 2nd ed</w:t>
      </w:r>
      <w:r w:rsidR="00DF3361" w:rsidRPr="00392004">
        <w:rPr>
          <w:smallCaps/>
        </w:rPr>
        <w:t xml:space="preserve">. </w:t>
      </w:r>
      <w:proofErr w:type="gramStart"/>
      <w:r w:rsidRPr="00392004">
        <w:t>Toronto</w:t>
      </w:r>
      <w:r w:rsidR="00684BD3">
        <w:t> :</w:t>
      </w:r>
      <w:proofErr w:type="gramEnd"/>
      <w:r w:rsidRPr="00392004">
        <w:t xml:space="preserve"> Irwin Law, 2008.</w:t>
      </w:r>
    </w:p>
    <w:p w:rsidR="00744C9F" w:rsidRPr="00392004" w:rsidRDefault="00744C9F" w:rsidP="00DA3D7E">
      <w:pPr>
        <w:pStyle w:val="SCCNormalDoubleSpacing"/>
        <w:widowControl w:val="0"/>
        <w:spacing w:after="240" w:line="240" w:lineRule="auto"/>
        <w:ind w:left="547" w:hanging="547"/>
      </w:pPr>
      <w:proofErr w:type="spellStart"/>
      <w:r w:rsidRPr="00392004">
        <w:t>Houh</w:t>
      </w:r>
      <w:proofErr w:type="spellEnd"/>
      <w:r w:rsidRPr="00392004">
        <w:t>, Emily M.</w:t>
      </w:r>
      <w:r w:rsidR="0018307E">
        <w:t xml:space="preserve"> </w:t>
      </w:r>
      <w:r w:rsidRPr="00392004">
        <w:t>S</w:t>
      </w:r>
      <w:r w:rsidR="00DF3361" w:rsidRPr="00392004">
        <w:rPr>
          <w:smallCaps/>
        </w:rPr>
        <w:t xml:space="preserve">. </w:t>
      </w:r>
      <w:r w:rsidR="00684BD3">
        <w:t>« </w:t>
      </w:r>
      <w:r w:rsidRPr="00392004">
        <w:t xml:space="preserve">Critical Race </w:t>
      </w:r>
      <w:proofErr w:type="gramStart"/>
      <w:r w:rsidRPr="00392004">
        <w:t>Realism</w:t>
      </w:r>
      <w:r w:rsidR="00684BD3">
        <w:t> :</w:t>
      </w:r>
      <w:proofErr w:type="gramEnd"/>
      <w:r w:rsidRPr="00392004">
        <w:t xml:space="preserve"> Re</w:t>
      </w:r>
      <w:r w:rsidR="0018307E">
        <w:t>-</w:t>
      </w:r>
      <w:r w:rsidRPr="00392004">
        <w:t>Claiming the Antidiscrimination Principle through the Doctrine of Good Faith in Contract Law</w:t>
      </w:r>
      <w:r w:rsidR="00684BD3">
        <w:t> »</w:t>
      </w:r>
      <w:r w:rsidRPr="00392004">
        <w:t xml:space="preserve"> (2005), 66 </w:t>
      </w:r>
      <w:r w:rsidRPr="00392004">
        <w:rPr>
          <w:i/>
        </w:rPr>
        <w:t>U. Pitt. L. Rev.</w:t>
      </w:r>
      <w:r w:rsidRPr="00392004">
        <w:t xml:space="preserve"> 455.</w:t>
      </w:r>
    </w:p>
    <w:p w:rsidR="00744C9F" w:rsidRPr="00392004" w:rsidRDefault="00744C9F" w:rsidP="00DA3D7E">
      <w:pPr>
        <w:pStyle w:val="SCCNormalDoubleSpacing"/>
        <w:widowControl w:val="0"/>
        <w:spacing w:after="240" w:line="240" w:lineRule="auto"/>
        <w:ind w:left="547" w:hanging="547"/>
      </w:pPr>
      <w:proofErr w:type="gramStart"/>
      <w:r w:rsidRPr="00392004">
        <w:rPr>
          <w:i/>
        </w:rPr>
        <w:t>Lindley &amp; Banks on Partnership</w:t>
      </w:r>
      <w:r w:rsidRPr="00392004">
        <w:t xml:space="preserve">, 19th ed., by Roderick </w:t>
      </w:r>
      <w:proofErr w:type="spellStart"/>
      <w:r w:rsidRPr="00392004">
        <w:t>I’Anson</w:t>
      </w:r>
      <w:proofErr w:type="spellEnd"/>
      <w:r w:rsidRPr="00392004">
        <w:t xml:space="preserve"> Banks</w:t>
      </w:r>
      <w:r w:rsidR="00DF3361" w:rsidRPr="00392004">
        <w:rPr>
          <w:smallCaps/>
        </w:rPr>
        <w:t>.</w:t>
      </w:r>
      <w:proofErr w:type="gramEnd"/>
      <w:r w:rsidR="00DF3361" w:rsidRPr="00392004">
        <w:rPr>
          <w:smallCaps/>
        </w:rPr>
        <w:t xml:space="preserve"> </w:t>
      </w:r>
      <w:proofErr w:type="gramStart"/>
      <w:r w:rsidRPr="00392004">
        <w:t>London</w:t>
      </w:r>
      <w:r w:rsidR="00684BD3">
        <w:t> :</w:t>
      </w:r>
      <w:proofErr w:type="gramEnd"/>
      <w:r w:rsidRPr="00392004">
        <w:t xml:space="preserve"> Sweet &amp; Maxwell, 2010.</w:t>
      </w:r>
    </w:p>
    <w:p w:rsidR="00744C9F" w:rsidRPr="00392004" w:rsidRDefault="00744C9F" w:rsidP="00DA3D7E">
      <w:pPr>
        <w:pStyle w:val="SCCNormalDoubleSpacing"/>
        <w:widowControl w:val="0"/>
        <w:spacing w:after="240" w:line="240" w:lineRule="auto"/>
        <w:ind w:left="547" w:hanging="547"/>
      </w:pPr>
      <w:r w:rsidRPr="00392004">
        <w:t>Manitoba</w:t>
      </w:r>
      <w:r w:rsidR="00DF3361" w:rsidRPr="00392004">
        <w:rPr>
          <w:smallCaps/>
        </w:rPr>
        <w:t xml:space="preserve">. </w:t>
      </w:r>
      <w:proofErr w:type="gramStart"/>
      <w:r w:rsidRPr="00392004">
        <w:t xml:space="preserve">Commission de </w:t>
      </w:r>
      <w:proofErr w:type="spellStart"/>
      <w:r w:rsidRPr="00392004">
        <w:t>réforme</w:t>
      </w:r>
      <w:proofErr w:type="spellEnd"/>
      <w:r w:rsidRPr="00392004">
        <w:t xml:space="preserve"> du </w:t>
      </w:r>
      <w:proofErr w:type="spellStart"/>
      <w:r w:rsidRPr="00392004">
        <w:t>droit</w:t>
      </w:r>
      <w:proofErr w:type="spellEnd"/>
      <w:r w:rsidR="00DF3361" w:rsidRPr="00392004">
        <w:rPr>
          <w:smallCaps/>
        </w:rPr>
        <w:t>.</w:t>
      </w:r>
      <w:proofErr w:type="gramEnd"/>
      <w:r w:rsidR="00DF3361" w:rsidRPr="00392004">
        <w:rPr>
          <w:smallCaps/>
        </w:rPr>
        <w:t xml:space="preserve"> </w:t>
      </w:r>
      <w:proofErr w:type="gramStart"/>
      <w:r w:rsidRPr="00392004">
        <w:rPr>
          <w:i/>
        </w:rPr>
        <w:t>Good Faith and the Individual Contract of Employment</w:t>
      </w:r>
      <w:r w:rsidRPr="00392004">
        <w:t>, Report #107</w:t>
      </w:r>
      <w:r w:rsidR="00DF3361" w:rsidRPr="00392004">
        <w:rPr>
          <w:smallCaps/>
        </w:rPr>
        <w:t>.</w:t>
      </w:r>
      <w:proofErr w:type="gramEnd"/>
      <w:r w:rsidR="00DF3361" w:rsidRPr="00392004">
        <w:rPr>
          <w:smallCaps/>
        </w:rPr>
        <w:t xml:space="preserve"> </w:t>
      </w:r>
      <w:proofErr w:type="gramStart"/>
      <w:r w:rsidRPr="00392004">
        <w:t>Winnipeg</w:t>
      </w:r>
      <w:r w:rsidR="00684BD3">
        <w:t> :</w:t>
      </w:r>
      <w:proofErr w:type="gramEnd"/>
      <w:r w:rsidRPr="00392004">
        <w:t xml:space="preserve"> La Commission, 2001.</w:t>
      </w:r>
    </w:p>
    <w:p w:rsidR="00744C9F" w:rsidRPr="00392004" w:rsidRDefault="00744C9F" w:rsidP="00DA3D7E">
      <w:pPr>
        <w:pStyle w:val="SCCNormalDoubleSpacing"/>
        <w:widowControl w:val="0"/>
        <w:spacing w:after="240" w:line="240" w:lineRule="auto"/>
        <w:ind w:left="547" w:hanging="547"/>
      </w:pPr>
      <w:proofErr w:type="spellStart"/>
      <w:r w:rsidRPr="00392004">
        <w:t>Manzer</w:t>
      </w:r>
      <w:proofErr w:type="spellEnd"/>
      <w:r w:rsidRPr="00392004">
        <w:t>, Alison</w:t>
      </w:r>
      <w:r w:rsidR="0018307E">
        <w:t xml:space="preserve"> </w:t>
      </w:r>
      <w:r w:rsidRPr="00392004">
        <w:t>R</w:t>
      </w:r>
      <w:r w:rsidR="00DF3361" w:rsidRPr="00392004">
        <w:rPr>
          <w:smallCaps/>
        </w:rPr>
        <w:t xml:space="preserve">. </w:t>
      </w:r>
      <w:proofErr w:type="gramStart"/>
      <w:r w:rsidRPr="00392004">
        <w:rPr>
          <w:i/>
        </w:rPr>
        <w:t>A Practical Guide to Canadian Partnership Law</w:t>
      </w:r>
      <w:r w:rsidR="00DF3361" w:rsidRPr="00392004">
        <w:rPr>
          <w:smallCaps/>
        </w:rPr>
        <w:t>.</w:t>
      </w:r>
      <w:proofErr w:type="gramEnd"/>
      <w:r w:rsidR="00DF3361" w:rsidRPr="00392004">
        <w:rPr>
          <w:smallCaps/>
        </w:rPr>
        <w:t xml:space="preserve"> </w:t>
      </w:r>
      <w:proofErr w:type="gramStart"/>
      <w:r w:rsidRPr="00392004">
        <w:t>Toronto</w:t>
      </w:r>
      <w:r w:rsidR="00684BD3">
        <w:t> :</w:t>
      </w:r>
      <w:proofErr w:type="gramEnd"/>
      <w:r w:rsidRPr="00392004">
        <w:t xml:space="preserve"> Canada Law Book, 1994 (loose</w:t>
      </w:r>
      <w:r w:rsidR="0018307E">
        <w:t>-</w:t>
      </w:r>
      <w:r w:rsidRPr="00392004">
        <w:t>leaf updated December 2013, release 20).</w:t>
      </w:r>
    </w:p>
    <w:p w:rsidR="00744C9F" w:rsidRPr="00392004" w:rsidRDefault="00744C9F" w:rsidP="00DA3D7E">
      <w:pPr>
        <w:pStyle w:val="SCCNormalDoubleSpacing"/>
        <w:widowControl w:val="0"/>
        <w:spacing w:after="240" w:line="240" w:lineRule="auto"/>
        <w:ind w:left="547" w:hanging="547"/>
      </w:pPr>
      <w:r w:rsidRPr="00392004">
        <w:t>Sullivan, Ruth</w:t>
      </w:r>
      <w:r w:rsidR="00DF3361" w:rsidRPr="00392004">
        <w:rPr>
          <w:smallCaps/>
        </w:rPr>
        <w:t xml:space="preserve">. </w:t>
      </w:r>
      <w:r w:rsidRPr="00392004">
        <w:rPr>
          <w:i/>
        </w:rPr>
        <w:t>Sullivan on the Construction of Statutes</w:t>
      </w:r>
      <w:r w:rsidRPr="00392004">
        <w:t>, 5th ed</w:t>
      </w:r>
      <w:r w:rsidR="00DF3361" w:rsidRPr="00392004">
        <w:rPr>
          <w:smallCaps/>
        </w:rPr>
        <w:t xml:space="preserve">. </w:t>
      </w:r>
      <w:r w:rsidRPr="00392004">
        <w:t>Markham, Ont</w:t>
      </w:r>
      <w:proofErr w:type="gramStart"/>
      <w:r w:rsidRPr="00392004">
        <w:t>.</w:t>
      </w:r>
      <w:r w:rsidR="00684BD3">
        <w:t> :</w:t>
      </w:r>
      <w:proofErr w:type="gramEnd"/>
      <w:r w:rsidRPr="00392004">
        <w:t xml:space="preserve"> LexisNexis, 2008.</w:t>
      </w:r>
    </w:p>
    <w:p w:rsidR="00744C9F" w:rsidRPr="00392004" w:rsidRDefault="00744C9F" w:rsidP="00DA3D7E">
      <w:pPr>
        <w:pStyle w:val="SCCNormalDoubleSpacing"/>
        <w:widowControl w:val="0"/>
        <w:spacing w:after="720" w:line="240" w:lineRule="auto"/>
        <w:ind w:left="547" w:hanging="547"/>
      </w:pPr>
      <w:proofErr w:type="spellStart"/>
      <w:r w:rsidRPr="00392004">
        <w:t>VanDuzer</w:t>
      </w:r>
      <w:proofErr w:type="spellEnd"/>
      <w:r w:rsidRPr="00392004">
        <w:t>, J.</w:t>
      </w:r>
      <w:r w:rsidR="0018307E">
        <w:t xml:space="preserve"> </w:t>
      </w:r>
      <w:r w:rsidRPr="00392004">
        <w:t>Anthony</w:t>
      </w:r>
      <w:r w:rsidR="00DF3361" w:rsidRPr="00392004">
        <w:rPr>
          <w:smallCaps/>
        </w:rPr>
        <w:t xml:space="preserve">. </w:t>
      </w:r>
      <w:r w:rsidRPr="00392004">
        <w:rPr>
          <w:i/>
        </w:rPr>
        <w:t>The Law of Partnerships and Corporations</w:t>
      </w:r>
      <w:r w:rsidRPr="00392004">
        <w:t>, 3rd ed</w:t>
      </w:r>
      <w:r w:rsidR="00DF3361" w:rsidRPr="00392004">
        <w:rPr>
          <w:smallCaps/>
        </w:rPr>
        <w:t xml:space="preserve">. </w:t>
      </w:r>
      <w:proofErr w:type="gramStart"/>
      <w:r w:rsidRPr="00392004">
        <w:t>Toronto</w:t>
      </w:r>
      <w:r w:rsidR="00684BD3">
        <w:t> :</w:t>
      </w:r>
      <w:proofErr w:type="gramEnd"/>
      <w:r w:rsidRPr="00392004">
        <w:t xml:space="preserve"> Irwin Law, 2009.</w:t>
      </w:r>
    </w:p>
    <w:p w:rsidR="004D7D95" w:rsidRPr="00392004" w:rsidRDefault="00B112FA" w:rsidP="00DA3D7E">
      <w:pPr>
        <w:pStyle w:val="SCCNormalDoubleSpacing"/>
        <w:widowControl w:val="0"/>
        <w:spacing w:before="480" w:after="480"/>
        <w:rPr>
          <w:lang w:val="fr-CA"/>
        </w:rPr>
      </w:pPr>
      <w:r w:rsidRPr="00392004">
        <w:tab/>
      </w:r>
      <w:r w:rsidR="004D7D95" w:rsidRPr="00392004">
        <w:t xml:space="preserve">POURVOI </w:t>
      </w:r>
      <w:proofErr w:type="spellStart"/>
      <w:r w:rsidR="004D7D95" w:rsidRPr="00392004">
        <w:t>contre</w:t>
      </w:r>
      <w:proofErr w:type="spellEnd"/>
      <w:r w:rsidR="004D7D95" w:rsidRPr="00392004">
        <w:t xml:space="preserve"> un </w:t>
      </w:r>
      <w:proofErr w:type="spellStart"/>
      <w:r w:rsidR="004D7D95" w:rsidRPr="00392004">
        <w:t>arrêt</w:t>
      </w:r>
      <w:proofErr w:type="spellEnd"/>
      <w:r w:rsidR="004D7D95" w:rsidRPr="00392004">
        <w:t xml:space="preserve"> de la </w:t>
      </w:r>
      <w:proofErr w:type="spellStart"/>
      <w:r w:rsidR="004D7D95" w:rsidRPr="00392004">
        <w:t>Cour</w:t>
      </w:r>
      <w:proofErr w:type="spellEnd"/>
      <w:r w:rsidR="004D7D95" w:rsidRPr="00392004">
        <w:t xml:space="preserve"> </w:t>
      </w:r>
      <w:proofErr w:type="spellStart"/>
      <w:r w:rsidR="004D7D95" w:rsidRPr="00392004">
        <w:t>d</w:t>
      </w:r>
      <w:r w:rsidR="00C31283" w:rsidRPr="00392004">
        <w:t>’</w:t>
      </w:r>
      <w:r w:rsidR="004D7D95" w:rsidRPr="00392004">
        <w:t>a</w:t>
      </w:r>
      <w:r w:rsidR="00B67557" w:rsidRPr="00392004">
        <w:t>ppel</w:t>
      </w:r>
      <w:proofErr w:type="spellEnd"/>
      <w:r w:rsidR="00B67557" w:rsidRPr="00392004">
        <w:t xml:space="preserve"> de la </w:t>
      </w:r>
      <w:proofErr w:type="spellStart"/>
      <w:r w:rsidR="00B67557" w:rsidRPr="00392004">
        <w:t>Colombie</w:t>
      </w:r>
      <w:r w:rsidR="0018307E">
        <w:t>-</w:t>
      </w:r>
      <w:r w:rsidR="00B67557" w:rsidRPr="00392004">
        <w:t>Britannique</w:t>
      </w:r>
      <w:proofErr w:type="spellEnd"/>
      <w:r w:rsidR="00B67557" w:rsidRPr="00392004">
        <w:t xml:space="preserve"> (le </w:t>
      </w:r>
      <w:proofErr w:type="spellStart"/>
      <w:r w:rsidR="00B67557" w:rsidRPr="00392004">
        <w:t>juge</w:t>
      </w:r>
      <w:proofErr w:type="spellEnd"/>
      <w:r w:rsidR="00B67557" w:rsidRPr="00392004">
        <w:t xml:space="preserve"> en chef Finch et les </w:t>
      </w:r>
      <w:proofErr w:type="spellStart"/>
      <w:r w:rsidR="00B67557" w:rsidRPr="00392004">
        <w:t>juges</w:t>
      </w:r>
      <w:proofErr w:type="spellEnd"/>
      <w:r w:rsidR="00B67557" w:rsidRPr="00392004">
        <w:t xml:space="preserve"> Newbury </w:t>
      </w:r>
      <w:r w:rsidR="00EA17FC" w:rsidRPr="00392004">
        <w:t>et</w:t>
      </w:r>
      <w:r w:rsidR="00B67557" w:rsidRPr="00392004">
        <w:t xml:space="preserve"> Levine),</w:t>
      </w:r>
      <w:r w:rsidR="0048703F" w:rsidRPr="00392004">
        <w:t xml:space="preserve"> </w:t>
      </w:r>
      <w:r w:rsidR="0097294E" w:rsidRPr="00392004">
        <w:t xml:space="preserve">2012 BCCA 313, 352 D.L.R. </w:t>
      </w:r>
      <w:r w:rsidR="0097294E" w:rsidRPr="00392004">
        <w:lastRenderedPageBreak/>
        <w:t>(4th)</w:t>
      </w:r>
      <w:r w:rsidR="0004634E" w:rsidRPr="00392004">
        <w:t xml:space="preserve"> 294</w:t>
      </w:r>
      <w:r w:rsidR="0097294E" w:rsidRPr="00392004">
        <w:t xml:space="preserve">, [2012] 9 W.W.R. 633, 325 B.C.A.C. 216, 34 B.C.L.R. (5th) 160, 100 C.C.E.L. (3d) 196, [2012] B.C.J. </w:t>
      </w:r>
      <w:r w:rsidR="00367441" w:rsidRPr="00392004">
        <w:t>No.</w:t>
      </w:r>
      <w:r w:rsidR="0018307E">
        <w:t xml:space="preserve"> </w:t>
      </w:r>
      <w:r w:rsidR="0097294E" w:rsidRPr="00392004">
        <w:t>1508</w:t>
      </w:r>
      <w:r w:rsidR="00E446E6" w:rsidRPr="00392004">
        <w:t xml:space="preserve"> (QL)</w:t>
      </w:r>
      <w:r w:rsidR="0097294E" w:rsidRPr="00392004">
        <w:t xml:space="preserve">, 2012 </w:t>
      </w:r>
      <w:proofErr w:type="spellStart"/>
      <w:r w:rsidR="0097294E" w:rsidRPr="00392004">
        <w:t>CarswellBC</w:t>
      </w:r>
      <w:proofErr w:type="spellEnd"/>
      <w:r w:rsidR="0097294E" w:rsidRPr="00392004">
        <w:t xml:space="preserve"> 2180, </w:t>
      </w:r>
      <w:r w:rsidR="003B45A2" w:rsidRPr="00392004">
        <w:t xml:space="preserve">qui a </w:t>
      </w:r>
      <w:proofErr w:type="spellStart"/>
      <w:r w:rsidR="003B45A2" w:rsidRPr="00392004">
        <w:t>infirmé</w:t>
      </w:r>
      <w:proofErr w:type="spellEnd"/>
      <w:r w:rsidR="003B45A2" w:rsidRPr="00392004">
        <w:t xml:space="preserve"> </w:t>
      </w:r>
      <w:proofErr w:type="spellStart"/>
      <w:r w:rsidR="003B45A2" w:rsidRPr="00392004">
        <w:t>une</w:t>
      </w:r>
      <w:proofErr w:type="spellEnd"/>
      <w:r w:rsidR="003B45A2" w:rsidRPr="00392004">
        <w:t xml:space="preserve"> </w:t>
      </w:r>
      <w:proofErr w:type="spellStart"/>
      <w:r w:rsidR="003B45A2" w:rsidRPr="00392004">
        <w:t>décision</w:t>
      </w:r>
      <w:proofErr w:type="spellEnd"/>
      <w:r w:rsidR="003B45A2" w:rsidRPr="00392004">
        <w:t xml:space="preserve"> de la</w:t>
      </w:r>
      <w:r w:rsidRPr="00392004">
        <w:t xml:space="preserve"> </w:t>
      </w:r>
      <w:proofErr w:type="spellStart"/>
      <w:r w:rsidRPr="00392004">
        <w:t>juge</w:t>
      </w:r>
      <w:proofErr w:type="spellEnd"/>
      <w:r w:rsidRPr="00392004">
        <w:t xml:space="preserve"> </w:t>
      </w:r>
      <w:r w:rsidR="00705B88" w:rsidRPr="00392004">
        <w:t xml:space="preserve">Bruce, </w:t>
      </w:r>
      <w:r w:rsidR="007D592C" w:rsidRPr="00392004">
        <w:t xml:space="preserve">2011 BCSC 713, 335 D.L.R. (4th) 450, 93 C.C.E.L. (3d) 314, 71 C.H.R.R. D/280, [2011] B.C.J. </w:t>
      </w:r>
      <w:r w:rsidR="00367441" w:rsidRPr="00392004">
        <w:t>No.</w:t>
      </w:r>
      <w:r w:rsidR="0018307E">
        <w:t xml:space="preserve"> </w:t>
      </w:r>
      <w:r w:rsidR="007D592C" w:rsidRPr="00392004">
        <w:t>999</w:t>
      </w:r>
      <w:r w:rsidR="00E446E6" w:rsidRPr="00392004">
        <w:t xml:space="preserve"> (QL)</w:t>
      </w:r>
      <w:r w:rsidR="007D592C" w:rsidRPr="00392004">
        <w:t xml:space="preserve">, 2011 </w:t>
      </w:r>
      <w:proofErr w:type="spellStart"/>
      <w:r w:rsidR="007D592C" w:rsidRPr="00392004">
        <w:t>CarswellBC</w:t>
      </w:r>
      <w:proofErr w:type="spellEnd"/>
      <w:r w:rsidR="007D592C" w:rsidRPr="00392004">
        <w:t xml:space="preserve"> 1340</w:t>
      </w:r>
      <w:r w:rsidR="00DF3361" w:rsidRPr="00392004">
        <w:rPr>
          <w:smallCaps/>
        </w:rPr>
        <w:t xml:space="preserve">. </w:t>
      </w:r>
      <w:r w:rsidR="001D4733" w:rsidRPr="00392004">
        <w:rPr>
          <w:lang w:val="fr-CA"/>
        </w:rPr>
        <w:t xml:space="preserve">Pourvoi </w:t>
      </w:r>
      <w:r w:rsidR="00284EB7" w:rsidRPr="00392004">
        <w:rPr>
          <w:lang w:val="fr-CA"/>
        </w:rPr>
        <w:t>rejeté</w:t>
      </w:r>
      <w:r w:rsidR="007D592C" w:rsidRPr="00392004">
        <w:rPr>
          <w:lang w:val="fr-CA"/>
        </w:rPr>
        <w:t>.</w:t>
      </w:r>
    </w:p>
    <w:p w:rsidR="00561945" w:rsidRPr="00392004" w:rsidRDefault="00CA2048" w:rsidP="00DA3D7E">
      <w:pPr>
        <w:pStyle w:val="SCCNormalDoubleSpacing"/>
        <w:widowControl w:val="0"/>
        <w:spacing w:before="480" w:after="480"/>
        <w:rPr>
          <w:lang w:val="fr-CA"/>
        </w:rPr>
      </w:pPr>
      <w:r w:rsidRPr="00392004">
        <w:rPr>
          <w:i/>
          <w:lang w:val="fr-CA"/>
        </w:rPr>
        <w:tab/>
        <w:t xml:space="preserve">Murray </w:t>
      </w:r>
      <w:proofErr w:type="spellStart"/>
      <w:r w:rsidRPr="00392004">
        <w:rPr>
          <w:i/>
          <w:lang w:val="fr-CA"/>
        </w:rPr>
        <w:t>Tevlin</w:t>
      </w:r>
      <w:proofErr w:type="spellEnd"/>
      <w:r w:rsidRPr="00392004">
        <w:rPr>
          <w:lang w:val="fr-CA"/>
        </w:rPr>
        <w:t xml:space="preserve"> et </w:t>
      </w:r>
      <w:r w:rsidRPr="00392004">
        <w:rPr>
          <w:i/>
          <w:lang w:val="fr-CA"/>
        </w:rPr>
        <w:t xml:space="preserve">John </w:t>
      </w:r>
      <w:proofErr w:type="spellStart"/>
      <w:r w:rsidRPr="00392004">
        <w:rPr>
          <w:i/>
          <w:lang w:val="fr-CA"/>
        </w:rPr>
        <w:t>Chesko</w:t>
      </w:r>
      <w:proofErr w:type="spellEnd"/>
      <w:r w:rsidR="00705B88" w:rsidRPr="00392004">
        <w:rPr>
          <w:lang w:val="fr-CA"/>
        </w:rPr>
        <w:t>, pour l</w:t>
      </w:r>
      <w:r w:rsidR="00C31283" w:rsidRPr="00392004">
        <w:rPr>
          <w:lang w:val="fr-CA"/>
        </w:rPr>
        <w:t>’</w:t>
      </w:r>
      <w:r w:rsidR="00B112FA" w:rsidRPr="00392004">
        <w:rPr>
          <w:lang w:val="fr-CA"/>
        </w:rPr>
        <w:t>appelant</w:t>
      </w:r>
      <w:r w:rsidRPr="00392004">
        <w:rPr>
          <w:lang w:val="fr-CA"/>
        </w:rPr>
        <w:t>.</w:t>
      </w:r>
    </w:p>
    <w:p w:rsidR="00561945" w:rsidRPr="00392004" w:rsidRDefault="00F97A17" w:rsidP="00DA3D7E">
      <w:pPr>
        <w:pStyle w:val="SCCNormalDoubleSpacing"/>
        <w:widowControl w:val="0"/>
        <w:spacing w:before="480" w:after="480"/>
        <w:rPr>
          <w:lang w:val="fr-CA"/>
        </w:rPr>
      </w:pPr>
      <w:r w:rsidRPr="00392004">
        <w:rPr>
          <w:i/>
          <w:lang w:val="fr-CA"/>
        </w:rPr>
        <w:tab/>
        <w:t>Irwin</w:t>
      </w:r>
      <w:r w:rsidR="0018307E">
        <w:rPr>
          <w:i/>
          <w:lang w:val="fr-CA"/>
        </w:rPr>
        <w:t xml:space="preserve"> </w:t>
      </w:r>
      <w:r w:rsidR="00CA2048" w:rsidRPr="00392004">
        <w:rPr>
          <w:i/>
          <w:lang w:val="fr-CA"/>
        </w:rPr>
        <w:t xml:space="preserve">G. </w:t>
      </w:r>
      <w:proofErr w:type="spellStart"/>
      <w:r w:rsidR="00CA2048" w:rsidRPr="00392004">
        <w:rPr>
          <w:i/>
          <w:lang w:val="fr-CA"/>
        </w:rPr>
        <w:t>Nathanson</w:t>
      </w:r>
      <w:proofErr w:type="spellEnd"/>
      <w:r w:rsidR="00CA2048" w:rsidRPr="00392004">
        <w:rPr>
          <w:lang w:val="fr-CA"/>
        </w:rPr>
        <w:t xml:space="preserve">, </w:t>
      </w:r>
      <w:proofErr w:type="gramStart"/>
      <w:r w:rsidR="004D1972" w:rsidRPr="00392004">
        <w:rPr>
          <w:i/>
          <w:lang w:val="fr-CA"/>
        </w:rPr>
        <w:t>c.r.</w:t>
      </w:r>
      <w:r w:rsidR="007D592C" w:rsidRPr="00392004">
        <w:rPr>
          <w:lang w:val="fr-CA"/>
        </w:rPr>
        <w:t>,</w:t>
      </w:r>
      <w:proofErr w:type="gramEnd"/>
      <w:r w:rsidR="007D592C" w:rsidRPr="00392004">
        <w:rPr>
          <w:lang w:val="fr-CA"/>
        </w:rPr>
        <w:t xml:space="preserve"> </w:t>
      </w:r>
      <w:r w:rsidR="00CA2048" w:rsidRPr="00392004">
        <w:rPr>
          <w:lang w:val="fr-CA"/>
        </w:rPr>
        <w:t xml:space="preserve">et </w:t>
      </w:r>
      <w:r w:rsidR="00CA2048" w:rsidRPr="00392004">
        <w:rPr>
          <w:i/>
          <w:lang w:val="fr-CA"/>
        </w:rPr>
        <w:t xml:space="preserve">Peter </w:t>
      </w:r>
      <w:proofErr w:type="spellStart"/>
      <w:r w:rsidR="00CA2048" w:rsidRPr="00392004">
        <w:rPr>
          <w:i/>
          <w:lang w:val="fr-CA"/>
        </w:rPr>
        <w:t>Senkpiel</w:t>
      </w:r>
      <w:proofErr w:type="spellEnd"/>
      <w:r w:rsidR="00705B88" w:rsidRPr="00392004">
        <w:rPr>
          <w:lang w:val="fr-CA"/>
        </w:rPr>
        <w:t>, pour l</w:t>
      </w:r>
      <w:r w:rsidR="00C31283" w:rsidRPr="00392004">
        <w:rPr>
          <w:lang w:val="fr-CA"/>
        </w:rPr>
        <w:t>’</w:t>
      </w:r>
      <w:r w:rsidR="007D592C" w:rsidRPr="00392004">
        <w:rPr>
          <w:lang w:val="fr-CA"/>
        </w:rPr>
        <w:t>intimée</w:t>
      </w:r>
      <w:r w:rsidR="00CA2048" w:rsidRPr="00392004">
        <w:rPr>
          <w:lang w:val="fr-CA"/>
        </w:rPr>
        <w:t>.</w:t>
      </w:r>
    </w:p>
    <w:p w:rsidR="00885EBA" w:rsidRPr="00392004" w:rsidRDefault="00885EBA" w:rsidP="00DA3D7E">
      <w:pPr>
        <w:pStyle w:val="SCCNormalDoubleSpacing"/>
        <w:widowControl w:val="0"/>
        <w:spacing w:before="480" w:after="480"/>
      </w:pPr>
      <w:r w:rsidRPr="00392004">
        <w:rPr>
          <w:i/>
          <w:lang w:val="fr-CA"/>
        </w:rPr>
        <w:tab/>
      </w:r>
      <w:proofErr w:type="spellStart"/>
      <w:r w:rsidR="00F97A17" w:rsidRPr="00392004">
        <w:rPr>
          <w:i/>
        </w:rPr>
        <w:t>Arman</w:t>
      </w:r>
      <w:proofErr w:type="spellEnd"/>
      <w:r w:rsidR="00F97A17" w:rsidRPr="00392004">
        <w:rPr>
          <w:i/>
        </w:rPr>
        <w:t xml:space="preserve"> </w:t>
      </w:r>
      <w:proofErr w:type="spellStart"/>
      <w:r w:rsidR="00F97A17" w:rsidRPr="00392004">
        <w:rPr>
          <w:i/>
        </w:rPr>
        <w:t>Mujahid</w:t>
      </w:r>
      <w:proofErr w:type="spellEnd"/>
      <w:r w:rsidR="00F97A17" w:rsidRPr="00392004">
        <w:rPr>
          <w:i/>
        </w:rPr>
        <w:t xml:space="preserve"> </w:t>
      </w:r>
      <w:proofErr w:type="spellStart"/>
      <w:r w:rsidR="00F97A17" w:rsidRPr="00392004">
        <w:rPr>
          <w:i/>
        </w:rPr>
        <w:t>Chak</w:t>
      </w:r>
      <w:proofErr w:type="spellEnd"/>
      <w:r w:rsidR="00F97A17" w:rsidRPr="00392004">
        <w:rPr>
          <w:i/>
        </w:rPr>
        <w:t xml:space="preserve"> </w:t>
      </w:r>
      <w:proofErr w:type="gramStart"/>
      <w:r w:rsidR="00F97A17" w:rsidRPr="00392004">
        <w:t>et</w:t>
      </w:r>
      <w:proofErr w:type="gramEnd"/>
      <w:r w:rsidR="00F97A17" w:rsidRPr="00392004">
        <w:rPr>
          <w:i/>
        </w:rPr>
        <w:t xml:space="preserve"> Audrey Dean</w:t>
      </w:r>
      <w:r w:rsidRPr="00392004">
        <w:t xml:space="preserve">, pour </w:t>
      </w:r>
      <w:proofErr w:type="spellStart"/>
      <w:r w:rsidRPr="00392004">
        <w:t>l’intervenante</w:t>
      </w:r>
      <w:proofErr w:type="spellEnd"/>
      <w:r w:rsidRPr="00392004">
        <w:t xml:space="preserve"> Alberta Human Rights Commission.</w:t>
      </w:r>
    </w:p>
    <w:p w:rsidR="00561945" w:rsidRPr="00392004" w:rsidRDefault="00CA2048" w:rsidP="00DA3D7E">
      <w:pPr>
        <w:pStyle w:val="SCCNormalDoubleSpacing"/>
        <w:widowControl w:val="0"/>
        <w:spacing w:before="480" w:after="480"/>
      </w:pPr>
      <w:r w:rsidRPr="00392004">
        <w:rPr>
          <w:i/>
          <w:lang w:val="en-US"/>
        </w:rPr>
        <w:tab/>
      </w:r>
      <w:r w:rsidRPr="00392004">
        <w:rPr>
          <w:i/>
        </w:rPr>
        <w:t xml:space="preserve">Katherine </w:t>
      </w:r>
      <w:proofErr w:type="spellStart"/>
      <w:r w:rsidRPr="00392004">
        <w:rPr>
          <w:i/>
        </w:rPr>
        <w:t>Hardie</w:t>
      </w:r>
      <w:proofErr w:type="spellEnd"/>
      <w:r w:rsidR="00C31283" w:rsidRPr="00392004">
        <w:t xml:space="preserve">, pour </w:t>
      </w:r>
      <w:proofErr w:type="spellStart"/>
      <w:r w:rsidR="00C31283" w:rsidRPr="00392004">
        <w:t>l’</w:t>
      </w:r>
      <w:r w:rsidR="007D592C" w:rsidRPr="00392004">
        <w:t>intervenant</w:t>
      </w:r>
      <w:proofErr w:type="spellEnd"/>
      <w:r w:rsidRPr="00392004">
        <w:t xml:space="preserve"> British Columbia Human Rights Tribunal.</w:t>
      </w:r>
    </w:p>
    <w:p w:rsidR="00561945" w:rsidRPr="00392004" w:rsidRDefault="00CA2048" w:rsidP="00DA3D7E">
      <w:pPr>
        <w:pStyle w:val="SCCNormalDoubleSpacing"/>
        <w:widowControl w:val="0"/>
        <w:spacing w:before="480" w:after="480"/>
      </w:pPr>
      <w:r w:rsidRPr="00392004">
        <w:rPr>
          <w:i/>
        </w:rPr>
        <w:tab/>
        <w:t>Peter</w:t>
      </w:r>
      <w:r w:rsidR="0018307E">
        <w:rPr>
          <w:i/>
        </w:rPr>
        <w:t xml:space="preserve"> </w:t>
      </w:r>
      <w:r w:rsidRPr="00392004">
        <w:rPr>
          <w:i/>
        </w:rPr>
        <w:t>H. Griffin</w:t>
      </w:r>
      <w:r w:rsidRPr="00392004">
        <w:t xml:space="preserve"> et </w:t>
      </w:r>
      <w:r w:rsidRPr="00392004">
        <w:rPr>
          <w:i/>
        </w:rPr>
        <w:t>Rory Gillis</w:t>
      </w:r>
      <w:r w:rsidRPr="00392004">
        <w:t>, pour l</w:t>
      </w:r>
      <w:r w:rsidR="007D592C" w:rsidRPr="00392004">
        <w:t xml:space="preserve">es </w:t>
      </w:r>
      <w:proofErr w:type="spellStart"/>
      <w:r w:rsidRPr="00392004">
        <w:t>intervenant</w:t>
      </w:r>
      <w:r w:rsidR="00F97A17" w:rsidRPr="00392004">
        <w:t>e</w:t>
      </w:r>
      <w:r w:rsidR="007D592C" w:rsidRPr="00392004">
        <w:t>s</w:t>
      </w:r>
      <w:proofErr w:type="spellEnd"/>
      <w:r w:rsidRPr="00392004">
        <w:t xml:space="preserve"> </w:t>
      </w:r>
      <w:r w:rsidR="001D4733" w:rsidRPr="00392004">
        <w:t xml:space="preserve">Ernst &amp; Young </w:t>
      </w:r>
      <w:proofErr w:type="spellStart"/>
      <w:r w:rsidR="001D4733" w:rsidRPr="00392004">
        <w:t>s.r.l</w:t>
      </w:r>
      <w:proofErr w:type="spellEnd"/>
      <w:proofErr w:type="gramStart"/>
      <w:r w:rsidR="001D4733" w:rsidRPr="00392004">
        <w:t>./</w:t>
      </w:r>
      <w:proofErr w:type="gramEnd"/>
      <w:r w:rsidR="001D4733" w:rsidRPr="00392004">
        <w:t xml:space="preserve">S.E.N.C.R.L., KPMG </w:t>
      </w:r>
      <w:proofErr w:type="spellStart"/>
      <w:r w:rsidR="001D4733" w:rsidRPr="00392004">
        <w:t>s.r.l</w:t>
      </w:r>
      <w:proofErr w:type="spellEnd"/>
      <w:r w:rsidR="001D4733" w:rsidRPr="00392004">
        <w:t>./S.E.N.C.R.L., Deloitte S.E.N.C.R.L./</w:t>
      </w:r>
      <w:proofErr w:type="spellStart"/>
      <w:r w:rsidR="001D4733" w:rsidRPr="00392004">
        <w:t>s.r.l</w:t>
      </w:r>
      <w:proofErr w:type="spellEnd"/>
      <w:r w:rsidR="001D4733" w:rsidRPr="00392004">
        <w:t xml:space="preserve">., PricewaterhouseCoopers </w:t>
      </w:r>
      <w:proofErr w:type="spellStart"/>
      <w:r w:rsidR="001D4733" w:rsidRPr="00392004">
        <w:t>s.r.l</w:t>
      </w:r>
      <w:proofErr w:type="spellEnd"/>
      <w:r w:rsidR="001D4733" w:rsidRPr="00392004">
        <w:t xml:space="preserve">., BDO Canada </w:t>
      </w:r>
      <w:proofErr w:type="spellStart"/>
      <w:r w:rsidR="001D4733" w:rsidRPr="00392004">
        <w:t>s.r.l</w:t>
      </w:r>
      <w:proofErr w:type="spellEnd"/>
      <w:r w:rsidR="001D4733" w:rsidRPr="00392004">
        <w:t xml:space="preserve">./S.E.N.C.R.L. </w:t>
      </w:r>
      <w:r w:rsidRPr="00392004">
        <w:t>et Grant Thornton LLP.</w:t>
      </w:r>
    </w:p>
    <w:p w:rsidR="00561945" w:rsidRPr="00392004" w:rsidRDefault="00CA2048" w:rsidP="00DA3D7E">
      <w:pPr>
        <w:pStyle w:val="SCCNormalDoubleSpacing"/>
        <w:widowControl w:val="0"/>
        <w:spacing w:before="480" w:after="480"/>
        <w:rPr>
          <w:lang w:val="fr-CA"/>
        </w:rPr>
      </w:pPr>
      <w:r w:rsidRPr="00392004">
        <w:tab/>
      </w:r>
      <w:r w:rsidR="00CA3BA5" w:rsidRPr="00392004">
        <w:rPr>
          <w:lang w:val="fr-CA"/>
        </w:rPr>
        <w:t xml:space="preserve">Argumentation écrite seulement par </w:t>
      </w:r>
      <w:r w:rsidRPr="00392004">
        <w:rPr>
          <w:i/>
          <w:lang w:val="fr-CA"/>
        </w:rPr>
        <w:t>Vincent de l</w:t>
      </w:r>
      <w:r w:rsidR="00C31283" w:rsidRPr="00392004">
        <w:rPr>
          <w:i/>
          <w:lang w:val="fr-CA"/>
        </w:rPr>
        <w:t>’</w:t>
      </w:r>
      <w:r w:rsidRPr="00392004">
        <w:rPr>
          <w:i/>
          <w:lang w:val="fr-CA"/>
        </w:rPr>
        <w:t>Étoile</w:t>
      </w:r>
      <w:r w:rsidRPr="00392004">
        <w:rPr>
          <w:lang w:val="fr-CA"/>
        </w:rPr>
        <w:t xml:space="preserve"> et </w:t>
      </w:r>
      <w:r w:rsidR="00F97A17" w:rsidRPr="00392004">
        <w:rPr>
          <w:i/>
          <w:lang w:val="fr-CA"/>
        </w:rPr>
        <w:t xml:space="preserve">Catherine </w:t>
      </w:r>
      <w:proofErr w:type="spellStart"/>
      <w:r w:rsidR="00F97A17" w:rsidRPr="00392004">
        <w:rPr>
          <w:i/>
          <w:lang w:val="fr-CA"/>
        </w:rPr>
        <w:t>Galardo</w:t>
      </w:r>
      <w:proofErr w:type="spellEnd"/>
      <w:r w:rsidRPr="00392004">
        <w:rPr>
          <w:lang w:val="fr-CA"/>
        </w:rPr>
        <w:t>, pour l</w:t>
      </w:r>
      <w:r w:rsidR="00C31283" w:rsidRPr="00392004">
        <w:rPr>
          <w:lang w:val="fr-CA"/>
        </w:rPr>
        <w:t>’</w:t>
      </w:r>
      <w:r w:rsidRPr="00392004">
        <w:rPr>
          <w:lang w:val="fr-CA"/>
        </w:rPr>
        <w:t>intervenant</w:t>
      </w:r>
      <w:r w:rsidR="007D592C" w:rsidRPr="00392004">
        <w:rPr>
          <w:lang w:val="fr-CA"/>
        </w:rPr>
        <w:t xml:space="preserve">e </w:t>
      </w:r>
      <w:r w:rsidR="00F20B97" w:rsidRPr="00392004">
        <w:rPr>
          <w:lang w:val="fr-CA"/>
        </w:rPr>
        <w:t>l’Association du Jeune B</w:t>
      </w:r>
      <w:r w:rsidRPr="00392004">
        <w:rPr>
          <w:lang w:val="fr-CA"/>
        </w:rPr>
        <w:t>arreau de Montréal.</w:t>
      </w:r>
    </w:p>
    <w:p w:rsidR="00561945" w:rsidRPr="00392004" w:rsidRDefault="00CA2048" w:rsidP="00DA3D7E">
      <w:pPr>
        <w:pStyle w:val="SCCNormalDoubleSpacing"/>
        <w:widowControl w:val="0"/>
        <w:spacing w:before="480" w:after="480"/>
        <w:rPr>
          <w:lang w:val="fr-CA"/>
        </w:rPr>
      </w:pPr>
      <w:r w:rsidRPr="00392004">
        <w:rPr>
          <w:i/>
          <w:lang w:val="fr-CA"/>
        </w:rPr>
        <w:tab/>
      </w:r>
      <w:proofErr w:type="spellStart"/>
      <w:r w:rsidRPr="00392004">
        <w:rPr>
          <w:i/>
          <w:lang w:val="fr-CA"/>
        </w:rPr>
        <w:t>Reema</w:t>
      </w:r>
      <w:proofErr w:type="spellEnd"/>
      <w:r w:rsidRPr="00392004">
        <w:rPr>
          <w:i/>
          <w:lang w:val="fr-CA"/>
        </w:rPr>
        <w:t xml:space="preserve"> </w:t>
      </w:r>
      <w:proofErr w:type="spellStart"/>
      <w:r w:rsidRPr="00392004">
        <w:rPr>
          <w:i/>
          <w:lang w:val="fr-CA"/>
        </w:rPr>
        <w:t>Khawja</w:t>
      </w:r>
      <w:proofErr w:type="spellEnd"/>
      <w:r w:rsidRPr="00392004">
        <w:rPr>
          <w:lang w:val="fr-CA"/>
        </w:rPr>
        <w:t xml:space="preserve"> et </w:t>
      </w:r>
      <w:r w:rsidR="00F97A17" w:rsidRPr="00392004">
        <w:rPr>
          <w:i/>
          <w:lang w:val="fr-CA"/>
        </w:rPr>
        <w:t>Anthony</w:t>
      </w:r>
      <w:r w:rsidR="0018307E">
        <w:rPr>
          <w:i/>
          <w:lang w:val="fr-CA"/>
        </w:rPr>
        <w:t xml:space="preserve"> </w:t>
      </w:r>
      <w:r w:rsidRPr="00392004">
        <w:rPr>
          <w:i/>
          <w:lang w:val="fr-CA"/>
        </w:rPr>
        <w:t>D. Griffin</w:t>
      </w:r>
      <w:r w:rsidRPr="00392004">
        <w:rPr>
          <w:lang w:val="fr-CA"/>
        </w:rPr>
        <w:t>, pour l</w:t>
      </w:r>
      <w:r w:rsidR="00C31283" w:rsidRPr="00392004">
        <w:rPr>
          <w:lang w:val="fr-CA"/>
        </w:rPr>
        <w:t>’</w:t>
      </w:r>
      <w:r w:rsidR="007D592C" w:rsidRPr="00392004">
        <w:rPr>
          <w:lang w:val="fr-CA"/>
        </w:rPr>
        <w:t>intervenante</w:t>
      </w:r>
      <w:r w:rsidRPr="00392004">
        <w:rPr>
          <w:lang w:val="fr-CA"/>
        </w:rPr>
        <w:t xml:space="preserve"> </w:t>
      </w:r>
      <w:r w:rsidR="00F20B97" w:rsidRPr="00392004">
        <w:rPr>
          <w:lang w:val="fr-CA"/>
        </w:rPr>
        <w:t xml:space="preserve">la </w:t>
      </w:r>
      <w:r w:rsidRPr="00392004">
        <w:rPr>
          <w:lang w:val="fr-CA"/>
        </w:rPr>
        <w:t xml:space="preserve">Commission </w:t>
      </w:r>
      <w:r w:rsidRPr="00392004">
        <w:rPr>
          <w:lang w:val="fr-CA"/>
        </w:rPr>
        <w:lastRenderedPageBreak/>
        <w:t>ontarienne des droits de la personne.</w:t>
      </w:r>
    </w:p>
    <w:p w:rsidR="00561945" w:rsidRDefault="00CA2048" w:rsidP="00DA3D7E">
      <w:pPr>
        <w:pStyle w:val="SCCNormalDoubleSpacing"/>
        <w:widowControl w:val="0"/>
        <w:spacing w:before="480" w:after="480"/>
        <w:rPr>
          <w:lang w:val="fr-CA"/>
        </w:rPr>
      </w:pPr>
      <w:r w:rsidRPr="00392004">
        <w:rPr>
          <w:i/>
          <w:lang w:val="fr-CA"/>
        </w:rPr>
        <w:tab/>
      </w:r>
      <w:r w:rsidR="00BD7B9B" w:rsidRPr="00392004">
        <w:rPr>
          <w:i/>
          <w:lang w:val="fr-CA"/>
        </w:rPr>
        <w:t>Phi</w:t>
      </w:r>
      <w:r w:rsidR="00F97A17" w:rsidRPr="00392004">
        <w:rPr>
          <w:i/>
          <w:lang w:val="fr-CA"/>
        </w:rPr>
        <w:t>lip</w:t>
      </w:r>
      <w:r w:rsidR="00BD7B9B" w:rsidRPr="00392004">
        <w:rPr>
          <w:i/>
          <w:lang w:val="fr-CA"/>
        </w:rPr>
        <w:t>p</w:t>
      </w:r>
      <w:r w:rsidR="00F97A17" w:rsidRPr="00392004">
        <w:rPr>
          <w:i/>
          <w:lang w:val="fr-CA"/>
        </w:rPr>
        <w:t xml:space="preserve">e Dufresne </w:t>
      </w:r>
      <w:r w:rsidR="00F97A17" w:rsidRPr="00392004">
        <w:rPr>
          <w:lang w:val="fr-CA"/>
        </w:rPr>
        <w:t>et</w:t>
      </w:r>
      <w:r w:rsidR="00F97A17" w:rsidRPr="00392004">
        <w:rPr>
          <w:i/>
          <w:lang w:val="fr-CA"/>
        </w:rPr>
        <w:t xml:space="preserve"> Valerie Phillips</w:t>
      </w:r>
      <w:r w:rsidRPr="00392004">
        <w:rPr>
          <w:lang w:val="fr-CA"/>
        </w:rPr>
        <w:t>, pour l</w:t>
      </w:r>
      <w:r w:rsidR="00C31283" w:rsidRPr="00392004">
        <w:rPr>
          <w:lang w:val="fr-CA"/>
        </w:rPr>
        <w:t>’</w:t>
      </w:r>
      <w:r w:rsidR="00F20B97" w:rsidRPr="00392004">
        <w:rPr>
          <w:lang w:val="fr-CA"/>
        </w:rPr>
        <w:t>intervenante</w:t>
      </w:r>
      <w:r w:rsidRPr="00392004">
        <w:rPr>
          <w:lang w:val="fr-CA"/>
        </w:rPr>
        <w:t xml:space="preserve"> </w:t>
      </w:r>
      <w:r w:rsidR="00287D8C" w:rsidRPr="00392004">
        <w:rPr>
          <w:lang w:val="fr-CA"/>
        </w:rPr>
        <w:t xml:space="preserve">la </w:t>
      </w:r>
      <w:r w:rsidRPr="00392004">
        <w:rPr>
          <w:lang w:val="fr-CA"/>
        </w:rPr>
        <w:t>Commission canadienne des droits de la personne.</w:t>
      </w:r>
    </w:p>
    <w:p w:rsidR="0018307E" w:rsidRPr="00F85D14" w:rsidRDefault="0018307E" w:rsidP="004F0FA7">
      <w:pPr>
        <w:pStyle w:val="JudgeJuge"/>
        <w:tabs>
          <w:tab w:val="clear" w:pos="1260"/>
          <w:tab w:val="left" w:pos="1170"/>
        </w:tabs>
        <w:spacing w:before="480"/>
        <w:rPr>
          <w:smallCaps w:val="0"/>
          <w:lang w:val="fr-CA"/>
        </w:rPr>
      </w:pPr>
      <w:r w:rsidRPr="00417344">
        <w:rPr>
          <w:lang w:val="fr-CA"/>
        </w:rPr>
        <w:tab/>
      </w:r>
      <w:r w:rsidR="00F85D14" w:rsidRPr="00F85D14">
        <w:rPr>
          <w:smallCaps w:val="0"/>
          <w:lang w:val="fr-CA"/>
        </w:rPr>
        <w:t>Vers</w:t>
      </w:r>
      <w:r w:rsidR="00F85D14">
        <w:rPr>
          <w:smallCaps w:val="0"/>
          <w:lang w:val="fr-CA"/>
        </w:rPr>
        <w:t>ion française du jugement de la Cour rendu par</w:t>
      </w:r>
    </w:p>
    <w:p w:rsidR="0018307E" w:rsidRPr="00417344" w:rsidRDefault="00F85D14" w:rsidP="0018307E">
      <w:pPr>
        <w:pStyle w:val="ParaNoNdepar-AltN"/>
        <w:tabs>
          <w:tab w:val="clear" w:pos="1152"/>
          <w:tab w:val="left" w:pos="1166"/>
        </w:tabs>
        <w:rPr>
          <w:rFonts w:cs="Times New Roman"/>
          <w:lang w:val="fr-CA"/>
        </w:rPr>
      </w:pPr>
      <w:r w:rsidRPr="00F85D14">
        <w:rPr>
          <w:smallCaps/>
          <w:lang w:val="fr-CA"/>
        </w:rPr>
        <w:t>La juge Abella</w:t>
      </w:r>
      <w:r w:rsidRPr="00417344">
        <w:rPr>
          <w:lang w:val="fr-CA"/>
        </w:rPr>
        <w:t xml:space="preserve"> — </w:t>
      </w:r>
      <w:r w:rsidR="0018307E" w:rsidRPr="00417344">
        <w:rPr>
          <w:rFonts w:cs="Times New Roman"/>
          <w:lang w:val="fr-CA"/>
        </w:rPr>
        <w:t>En 1979, John Michael McCormick est devenu un associé participant  (</w:t>
      </w:r>
      <w:proofErr w:type="spellStart"/>
      <w:r w:rsidR="0018307E" w:rsidRPr="00417344">
        <w:rPr>
          <w:rFonts w:cs="Times New Roman"/>
          <w:i/>
          <w:lang w:val="fr-CA"/>
        </w:rPr>
        <w:t>equity</w:t>
      </w:r>
      <w:proofErr w:type="spellEnd"/>
      <w:r w:rsidR="0018307E" w:rsidRPr="00417344">
        <w:rPr>
          <w:rFonts w:cs="Times New Roman"/>
          <w:i/>
          <w:lang w:val="fr-CA"/>
        </w:rPr>
        <w:t xml:space="preserve"> </w:t>
      </w:r>
      <w:proofErr w:type="spellStart"/>
      <w:r w:rsidR="0018307E" w:rsidRPr="00417344">
        <w:rPr>
          <w:rFonts w:cs="Times New Roman"/>
          <w:i/>
          <w:lang w:val="fr-CA"/>
        </w:rPr>
        <w:t>partner</w:t>
      </w:r>
      <w:proofErr w:type="spellEnd"/>
      <w:r w:rsidR="0018307E" w:rsidRPr="00417344">
        <w:rPr>
          <w:rFonts w:cs="Times New Roman"/>
          <w:lang w:val="fr-CA"/>
        </w:rPr>
        <w:t xml:space="preserve">) au sein du cabinet </w:t>
      </w:r>
      <w:proofErr w:type="spellStart"/>
      <w:r w:rsidR="0018307E" w:rsidRPr="00417344">
        <w:rPr>
          <w:rFonts w:cs="Times New Roman"/>
          <w:lang w:val="fr-CA"/>
        </w:rPr>
        <w:t>Fasken</w:t>
      </w:r>
      <w:proofErr w:type="spellEnd"/>
      <w:r w:rsidR="0018307E" w:rsidRPr="00417344">
        <w:rPr>
          <w:rFonts w:cs="Times New Roman"/>
          <w:lang w:val="fr-CA"/>
        </w:rPr>
        <w:t xml:space="preserve"> Martineau </w:t>
      </w:r>
      <w:proofErr w:type="spellStart"/>
      <w:r w:rsidR="0018307E" w:rsidRPr="00417344">
        <w:rPr>
          <w:rFonts w:cs="Times New Roman"/>
          <w:lang w:val="fr-CA"/>
        </w:rPr>
        <w:t>DuMoulin</w:t>
      </w:r>
      <w:proofErr w:type="spellEnd"/>
      <w:r w:rsidR="0018307E" w:rsidRPr="00417344">
        <w:rPr>
          <w:rFonts w:cs="Times New Roman"/>
          <w:lang w:val="fr-CA"/>
        </w:rPr>
        <w:t xml:space="preserve"> S.E.N.C.R.L., </w:t>
      </w:r>
      <w:proofErr w:type="spellStart"/>
      <w:r w:rsidR="0018307E" w:rsidRPr="00417344">
        <w:rPr>
          <w:rFonts w:cs="Times New Roman"/>
          <w:lang w:val="fr-CA"/>
        </w:rPr>
        <w:t>s.r.l</w:t>
      </w:r>
      <w:proofErr w:type="spellEnd"/>
      <w:r w:rsidR="0018307E" w:rsidRPr="00417344">
        <w:rPr>
          <w:rFonts w:cs="Times New Roman"/>
          <w:lang w:val="fr-CA"/>
        </w:rPr>
        <w:t>. (</w:t>
      </w:r>
      <w:r w:rsidR="00684BD3">
        <w:rPr>
          <w:rFonts w:cs="Times New Roman"/>
          <w:lang w:val="fr-CA"/>
        </w:rPr>
        <w:t>« </w:t>
      </w:r>
      <w:proofErr w:type="spellStart"/>
      <w:r w:rsidR="0018307E" w:rsidRPr="00417344">
        <w:rPr>
          <w:rFonts w:cs="Times New Roman"/>
          <w:lang w:val="fr-CA"/>
        </w:rPr>
        <w:t>Fasken</w:t>
      </w:r>
      <w:proofErr w:type="spellEnd"/>
      <w:r w:rsidR="0018307E" w:rsidRPr="00417344">
        <w:rPr>
          <w:rFonts w:cs="Times New Roman"/>
          <w:lang w:val="fr-CA"/>
        </w:rPr>
        <w:t xml:space="preserve"> Martineau</w:t>
      </w:r>
      <w:r w:rsidR="00684BD3">
        <w:rPr>
          <w:rFonts w:cs="Times New Roman"/>
          <w:lang w:val="fr-CA"/>
        </w:rPr>
        <w:t> »</w:t>
      </w:r>
      <w:r w:rsidR="0018307E" w:rsidRPr="00417344">
        <w:rPr>
          <w:rFonts w:cs="Times New Roman"/>
          <w:lang w:val="fr-CA"/>
        </w:rPr>
        <w:t>).  Dans les années 1980, les associés participants — c’est</w:t>
      </w:r>
      <w:r w:rsidR="00684BD3">
        <w:rPr>
          <w:rFonts w:cs="Times New Roman"/>
          <w:lang w:val="fr-CA"/>
        </w:rPr>
        <w:t>-</w:t>
      </w:r>
      <w:r w:rsidR="0018307E" w:rsidRPr="00417344">
        <w:rPr>
          <w:rFonts w:cs="Times New Roman"/>
          <w:lang w:val="fr-CA"/>
        </w:rPr>
        <w:t>à</w:t>
      </w:r>
      <w:r w:rsidR="00684BD3">
        <w:rPr>
          <w:rFonts w:cs="Times New Roman"/>
          <w:lang w:val="fr-CA"/>
        </w:rPr>
        <w:t>-</w:t>
      </w:r>
      <w:r w:rsidR="0018307E" w:rsidRPr="00417344">
        <w:rPr>
          <w:rFonts w:cs="Times New Roman"/>
          <w:lang w:val="fr-CA"/>
        </w:rPr>
        <w:t>dire les associés possédant une participation financière dans le cabinet — ont voté pour l’inclusion dans leur Contrat de société (</w:t>
      </w:r>
      <w:proofErr w:type="spellStart"/>
      <w:r w:rsidR="0018307E" w:rsidRPr="00417344">
        <w:rPr>
          <w:rFonts w:cs="Times New Roman"/>
          <w:i/>
          <w:lang w:val="fr-CA"/>
        </w:rPr>
        <w:t>Partnership</w:t>
      </w:r>
      <w:proofErr w:type="spellEnd"/>
      <w:r w:rsidR="0018307E" w:rsidRPr="00417344">
        <w:rPr>
          <w:rFonts w:cs="Times New Roman"/>
          <w:i/>
          <w:lang w:val="fr-CA"/>
        </w:rPr>
        <w:t xml:space="preserve"> Agreement</w:t>
      </w:r>
      <w:r w:rsidR="0018307E" w:rsidRPr="00417344">
        <w:rPr>
          <w:rFonts w:cs="Times New Roman"/>
          <w:lang w:val="fr-CA"/>
        </w:rPr>
        <w:t>) d’une disposition obligeant les associés de cette catégorie à se retirer à ce titre et à se départir de leur participation financière à la fin de l’année à laquelle ils atteignaient l’âge de 65</w:t>
      </w:r>
      <w:r w:rsidR="00684BD3">
        <w:rPr>
          <w:rFonts w:cs="Times New Roman"/>
          <w:lang w:val="fr-CA"/>
        </w:rPr>
        <w:t xml:space="preserve"> </w:t>
      </w:r>
      <w:r w:rsidR="0018307E" w:rsidRPr="00417344">
        <w:rPr>
          <w:rFonts w:cs="Times New Roman"/>
          <w:lang w:val="fr-CA"/>
        </w:rPr>
        <w:t>ans.  Un associé pouvait convenir d’arrangements individuels lui permettant de continuer de travailler à titre d’employé ou d’associé [</w:t>
      </w:r>
      <w:r w:rsidR="0018307E" w:rsidRPr="00417344">
        <w:rPr>
          <w:rFonts w:cs="Times New Roman"/>
          <w:smallCaps/>
          <w:lang w:val="fr-CA"/>
        </w:rPr>
        <w:t>traduction</w:t>
      </w:r>
      <w:r w:rsidR="0018307E" w:rsidRPr="00417344">
        <w:rPr>
          <w:rFonts w:cs="Times New Roman"/>
          <w:lang w:val="fr-CA"/>
        </w:rPr>
        <w:t xml:space="preserve">] </w:t>
      </w:r>
      <w:r w:rsidR="00684BD3">
        <w:rPr>
          <w:rFonts w:cs="Times New Roman"/>
          <w:lang w:val="fr-CA"/>
        </w:rPr>
        <w:t>« </w:t>
      </w:r>
      <w:r w:rsidR="0018307E" w:rsidRPr="00417344">
        <w:rPr>
          <w:rFonts w:cs="Times New Roman"/>
          <w:lang w:val="fr-CA"/>
        </w:rPr>
        <w:t>ordinaire</w:t>
      </w:r>
      <w:r w:rsidR="00684BD3">
        <w:rPr>
          <w:rFonts w:cs="Times New Roman"/>
          <w:lang w:val="fr-CA"/>
        </w:rPr>
        <w:t> »</w:t>
      </w:r>
      <w:r w:rsidR="0018307E" w:rsidRPr="00417344">
        <w:rPr>
          <w:rFonts w:cs="Times New Roman"/>
          <w:lang w:val="fr-CA"/>
        </w:rPr>
        <w:t xml:space="preserve"> sans participation financière, mais le contrat précisait que de tels arrangements étaient </w:t>
      </w:r>
      <w:r w:rsidR="00684BD3">
        <w:rPr>
          <w:rFonts w:cs="Times New Roman"/>
          <w:lang w:val="fr-CA"/>
        </w:rPr>
        <w:t>« </w:t>
      </w:r>
      <w:r w:rsidR="0018307E" w:rsidRPr="00417344">
        <w:rPr>
          <w:rFonts w:cs="Times New Roman"/>
          <w:lang w:val="fr-CA"/>
        </w:rPr>
        <w:t>l’exception</w:t>
      </w:r>
      <w:r w:rsidR="00684BD3">
        <w:rPr>
          <w:rFonts w:cs="Times New Roman"/>
          <w:lang w:val="fr-CA"/>
        </w:rPr>
        <w:t> »</w:t>
      </w:r>
      <w:r w:rsidR="0018307E" w:rsidRPr="00417344">
        <w:rPr>
          <w:rFonts w:cs="Times New Roman"/>
          <w:lang w:val="fr-CA"/>
        </w:rPr>
        <w:t>.</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t>En 2009, alors âgé de 64</w:t>
      </w:r>
      <w:r w:rsidR="00684BD3">
        <w:rPr>
          <w:rFonts w:cs="Times New Roman"/>
          <w:lang w:val="fr-CA"/>
        </w:rPr>
        <w:t xml:space="preserve"> </w:t>
      </w:r>
      <w:r w:rsidRPr="00417344">
        <w:rPr>
          <w:rFonts w:cs="Times New Roman"/>
          <w:lang w:val="fr-CA"/>
        </w:rPr>
        <w:t>ans, M.</w:t>
      </w:r>
      <w:r w:rsidR="00684BD3">
        <w:rPr>
          <w:rFonts w:cs="Times New Roman"/>
          <w:lang w:val="fr-CA"/>
        </w:rPr>
        <w:t xml:space="preserve"> </w:t>
      </w:r>
      <w:r w:rsidRPr="00417344">
        <w:rPr>
          <w:rFonts w:cs="Times New Roman"/>
          <w:lang w:val="fr-CA"/>
        </w:rPr>
        <w:t xml:space="preserve">McCormick a déposé une plainte dans laquelle il plaidait que cette disposition du Contrat de société constituait de la </w:t>
      </w:r>
      <w:r w:rsidRPr="00417344">
        <w:rPr>
          <w:rFonts w:cs="Times New Roman"/>
          <w:lang w:val="fr-CA"/>
        </w:rPr>
        <w:lastRenderedPageBreak/>
        <w:t>discrimination fondée sur l’âge et contrevenait au par.</w:t>
      </w:r>
      <w:r w:rsidR="00684BD3">
        <w:rPr>
          <w:rFonts w:cs="Times New Roman"/>
          <w:lang w:val="fr-CA"/>
        </w:rPr>
        <w:t xml:space="preserve"> </w:t>
      </w:r>
      <w:r w:rsidRPr="00417344">
        <w:rPr>
          <w:rFonts w:cs="Times New Roman"/>
          <w:lang w:val="fr-CA"/>
        </w:rPr>
        <w:t xml:space="preserve">13(1) du </w:t>
      </w:r>
      <w:proofErr w:type="spellStart"/>
      <w:r w:rsidRPr="00417344">
        <w:rPr>
          <w:rFonts w:cs="Times New Roman"/>
          <w:i/>
          <w:lang w:val="fr-CA"/>
        </w:rPr>
        <w:t>Human</w:t>
      </w:r>
      <w:proofErr w:type="spellEnd"/>
      <w:r w:rsidRPr="00417344">
        <w:rPr>
          <w:rFonts w:cs="Times New Roman"/>
          <w:i/>
          <w:lang w:val="fr-CA"/>
        </w:rPr>
        <w:t xml:space="preserve"> </w:t>
      </w:r>
      <w:proofErr w:type="spellStart"/>
      <w:r w:rsidRPr="00417344">
        <w:rPr>
          <w:rFonts w:cs="Times New Roman"/>
          <w:i/>
          <w:lang w:val="fr-CA"/>
        </w:rPr>
        <w:t>Rights</w:t>
      </w:r>
      <w:proofErr w:type="spellEnd"/>
      <w:r w:rsidRPr="00417344">
        <w:rPr>
          <w:rFonts w:cs="Times New Roman"/>
          <w:i/>
          <w:lang w:val="fr-CA"/>
        </w:rPr>
        <w:t xml:space="preserve"> Code </w:t>
      </w:r>
      <w:r w:rsidRPr="00417344">
        <w:rPr>
          <w:rFonts w:cs="Times New Roman"/>
          <w:lang w:val="fr-CA"/>
        </w:rPr>
        <w:t>(</w:t>
      </w:r>
      <w:r w:rsidR="00684BD3">
        <w:rPr>
          <w:rFonts w:cs="Times New Roman"/>
          <w:lang w:val="fr-CA"/>
        </w:rPr>
        <w:t>« </w:t>
      </w:r>
      <w:r w:rsidRPr="00417344">
        <w:rPr>
          <w:rFonts w:cs="Times New Roman"/>
          <w:i/>
          <w:lang w:val="fr-CA"/>
        </w:rPr>
        <w:t>Code</w:t>
      </w:r>
      <w:r w:rsidR="00684BD3">
        <w:rPr>
          <w:rFonts w:cs="Times New Roman"/>
          <w:lang w:val="fr-CA"/>
        </w:rPr>
        <w:t> »</w:t>
      </w:r>
      <w:r w:rsidRPr="00417344">
        <w:rPr>
          <w:rFonts w:cs="Times New Roman"/>
          <w:lang w:val="fr-CA"/>
        </w:rPr>
        <w:t>) de la Colombie</w:t>
      </w:r>
      <w:r w:rsidR="00684BD3">
        <w:rPr>
          <w:rFonts w:cs="Times New Roman"/>
          <w:lang w:val="fr-CA"/>
        </w:rPr>
        <w:t>-</w:t>
      </w:r>
      <w:r w:rsidRPr="00417344">
        <w:rPr>
          <w:rFonts w:cs="Times New Roman"/>
          <w:lang w:val="fr-CA"/>
        </w:rPr>
        <w:t>Britannique</w:t>
      </w:r>
      <w:r w:rsidRPr="00417344">
        <w:rPr>
          <w:rStyle w:val="FootnoteReference"/>
          <w:rFonts w:cs="Times New Roman"/>
          <w:lang w:val="fr-CA"/>
        </w:rPr>
        <w:footnoteReference w:id="1"/>
      </w:r>
      <w:r w:rsidRPr="00417344">
        <w:rPr>
          <w:rFonts w:cs="Times New Roman"/>
          <w:lang w:val="fr-CA"/>
        </w:rPr>
        <w:t xml:space="preserve">. </w:t>
      </w:r>
    </w:p>
    <w:p w:rsidR="0018307E" w:rsidRPr="00417344" w:rsidRDefault="0018307E" w:rsidP="0018307E">
      <w:pPr>
        <w:pStyle w:val="ParaNoNdepar-AltN"/>
        <w:tabs>
          <w:tab w:val="clear" w:pos="1152"/>
          <w:tab w:val="left" w:pos="1166"/>
        </w:tabs>
        <w:rPr>
          <w:rFonts w:cs="Times New Roman"/>
          <w:lang w:val="fr-CA"/>
        </w:rPr>
      </w:pPr>
      <w:proofErr w:type="spellStart"/>
      <w:r w:rsidRPr="00417344">
        <w:rPr>
          <w:rFonts w:cs="Times New Roman"/>
          <w:lang w:val="fr-CA"/>
        </w:rPr>
        <w:t>Fasken</w:t>
      </w:r>
      <w:proofErr w:type="spellEnd"/>
      <w:r w:rsidRPr="00417344">
        <w:rPr>
          <w:rFonts w:cs="Times New Roman"/>
          <w:lang w:val="fr-CA"/>
        </w:rPr>
        <w:t xml:space="preserve"> Martineau a demandé le rejet de la plainte, au motif que celle</w:t>
      </w:r>
      <w:r w:rsidR="00684BD3">
        <w:rPr>
          <w:rFonts w:cs="Times New Roman"/>
          <w:lang w:val="fr-CA"/>
        </w:rPr>
        <w:t>-</w:t>
      </w:r>
      <w:r w:rsidRPr="00417344">
        <w:rPr>
          <w:rFonts w:cs="Times New Roman"/>
          <w:lang w:val="fr-CA"/>
        </w:rPr>
        <w:t>ci ne relevait pas de la compétence du tribunal administratif et qu’il n’y avait aucune possibilité raisonnable qu’elle soit accueillie</w:t>
      </w:r>
      <w:r w:rsidRPr="00417344">
        <w:rPr>
          <w:rStyle w:val="FootnoteReference"/>
          <w:rFonts w:cs="Times New Roman"/>
          <w:lang w:val="fr-CA"/>
        </w:rPr>
        <w:footnoteReference w:id="2"/>
      </w:r>
      <w:r w:rsidRPr="00417344">
        <w:rPr>
          <w:rFonts w:cs="Times New Roman"/>
          <w:lang w:val="fr-CA"/>
        </w:rPr>
        <w:t xml:space="preserve">.  De l’avis de </w:t>
      </w:r>
      <w:proofErr w:type="spellStart"/>
      <w:r w:rsidRPr="00417344">
        <w:rPr>
          <w:rFonts w:cs="Times New Roman"/>
          <w:lang w:val="fr-CA"/>
        </w:rPr>
        <w:t>Fasken</w:t>
      </w:r>
      <w:proofErr w:type="spellEnd"/>
      <w:r w:rsidRPr="00417344">
        <w:rPr>
          <w:rFonts w:cs="Times New Roman"/>
          <w:lang w:val="fr-CA"/>
        </w:rPr>
        <w:t xml:space="preserve"> Martineau, en tant qu’associé participant M.</w:t>
      </w:r>
      <w:r w:rsidR="00684BD3">
        <w:rPr>
          <w:rFonts w:cs="Times New Roman"/>
          <w:lang w:val="fr-CA"/>
        </w:rPr>
        <w:t xml:space="preserve"> </w:t>
      </w:r>
      <w:r w:rsidRPr="00417344">
        <w:rPr>
          <w:rFonts w:cs="Times New Roman"/>
          <w:lang w:val="fr-CA"/>
        </w:rPr>
        <w:t xml:space="preserve">McCormick ne se trouvait pas dans une relation d’emploi du type de celles visées par le </w:t>
      </w:r>
      <w:r w:rsidRPr="00417344">
        <w:rPr>
          <w:rFonts w:cs="Times New Roman"/>
          <w:i/>
          <w:lang w:val="fr-CA"/>
        </w:rPr>
        <w:t>Code.</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t>La question en litige devant notre Cour consiste donc à qualifier la relation entre M.</w:t>
      </w:r>
      <w:r w:rsidR="00684BD3">
        <w:rPr>
          <w:rFonts w:cs="Times New Roman"/>
          <w:lang w:val="fr-CA"/>
        </w:rPr>
        <w:t xml:space="preserve"> </w:t>
      </w:r>
      <w:r w:rsidRPr="00417344">
        <w:rPr>
          <w:rFonts w:cs="Times New Roman"/>
          <w:lang w:val="fr-CA"/>
        </w:rPr>
        <w:t xml:space="preserve">McCormick et son cabinet, afin de décider si cette relation relève du champ d’application du </w:t>
      </w:r>
      <w:r w:rsidRPr="00417344">
        <w:rPr>
          <w:rFonts w:cs="Times New Roman"/>
          <w:i/>
          <w:lang w:val="fr-CA"/>
        </w:rPr>
        <w:t xml:space="preserve">Code </w:t>
      </w:r>
      <w:r w:rsidRPr="00417344">
        <w:rPr>
          <w:rFonts w:cs="Times New Roman"/>
          <w:lang w:val="fr-CA"/>
        </w:rPr>
        <w:t>en matière d’emploi.  Cette question nous oblige à nous interroger sur l’essence de la relation et sur la mesure dans laquelle il s’agit d’une relation de dépendance.</w:t>
      </w:r>
    </w:p>
    <w:p w:rsidR="0018307E" w:rsidRPr="00417344" w:rsidRDefault="0018307E" w:rsidP="0018307E">
      <w:pPr>
        <w:pStyle w:val="ParaNoNdepar-AltN"/>
        <w:rPr>
          <w:rFonts w:cs="Times New Roman"/>
          <w:lang w:val="fr-CA"/>
        </w:rPr>
      </w:pPr>
      <w:r w:rsidRPr="00417344">
        <w:rPr>
          <w:rFonts w:cs="Times New Roman"/>
          <w:lang w:val="fr-CA"/>
        </w:rPr>
        <w:t xml:space="preserve">À l’époque où la plainte a été déposée, </w:t>
      </w:r>
      <w:proofErr w:type="spellStart"/>
      <w:r w:rsidRPr="00417344">
        <w:rPr>
          <w:rFonts w:cs="Times New Roman"/>
          <w:lang w:val="fr-CA"/>
        </w:rPr>
        <w:t>Fasken</w:t>
      </w:r>
      <w:proofErr w:type="spellEnd"/>
      <w:r w:rsidRPr="00417344">
        <w:rPr>
          <w:rFonts w:cs="Times New Roman"/>
          <w:lang w:val="fr-CA"/>
        </w:rPr>
        <w:t xml:space="preserve"> Martineau comptait 650</w:t>
      </w:r>
      <w:r w:rsidR="00684BD3">
        <w:rPr>
          <w:rFonts w:cs="Times New Roman"/>
          <w:lang w:val="fr-CA"/>
        </w:rPr>
        <w:t xml:space="preserve"> </w:t>
      </w:r>
      <w:r w:rsidRPr="00417344">
        <w:rPr>
          <w:rFonts w:cs="Times New Roman"/>
          <w:lang w:val="fr-CA"/>
        </w:rPr>
        <w:t>avocats à travers le monde, dont 260 étaient des associés participants.  Il y avait environ 60</w:t>
      </w:r>
      <w:r w:rsidR="00684BD3">
        <w:rPr>
          <w:rFonts w:cs="Times New Roman"/>
          <w:lang w:val="fr-CA"/>
        </w:rPr>
        <w:t xml:space="preserve"> </w:t>
      </w:r>
      <w:r w:rsidRPr="00417344">
        <w:rPr>
          <w:rFonts w:cs="Times New Roman"/>
          <w:lang w:val="fr-CA"/>
        </w:rPr>
        <w:t>associés de cette catégorie au bureau du cabinet à Vancouver.  Aux termes du Contrat de société, la responsabilité à l’égard de la gestion quotidienne de la firme est déléguée au Conseil d’administration, lequel est constitué de 13</w:t>
      </w:r>
      <w:r w:rsidR="00684BD3">
        <w:rPr>
          <w:rFonts w:cs="Times New Roman"/>
          <w:lang w:val="fr-CA"/>
        </w:rPr>
        <w:t xml:space="preserve"> </w:t>
      </w:r>
      <w:r w:rsidRPr="00417344">
        <w:rPr>
          <w:rFonts w:cs="Times New Roman"/>
          <w:lang w:val="fr-CA"/>
        </w:rPr>
        <w:t>associés participants — dont trois de la région de la Colombie</w:t>
      </w:r>
      <w:r w:rsidR="00684BD3">
        <w:rPr>
          <w:rFonts w:cs="Times New Roman"/>
          <w:lang w:val="fr-CA"/>
        </w:rPr>
        <w:t>-</w:t>
      </w:r>
      <w:r w:rsidRPr="00417344">
        <w:rPr>
          <w:rFonts w:cs="Times New Roman"/>
          <w:lang w:val="fr-CA"/>
        </w:rPr>
        <w:t xml:space="preserve">Britannique — élus pour des mandats de trois ans par </w:t>
      </w:r>
      <w:r>
        <w:rPr>
          <w:rFonts w:cs="Times New Roman"/>
          <w:lang w:val="fr-CA"/>
        </w:rPr>
        <w:t xml:space="preserve">les </w:t>
      </w:r>
      <w:r w:rsidRPr="00417344">
        <w:rPr>
          <w:rFonts w:cs="Times New Roman"/>
          <w:lang w:val="fr-CA"/>
        </w:rPr>
        <w:t xml:space="preserve">associés participants.  Avant la création du Conseil </w:t>
      </w:r>
      <w:r w:rsidRPr="00417344">
        <w:rPr>
          <w:rFonts w:cs="Times New Roman"/>
          <w:lang w:val="fr-CA"/>
        </w:rPr>
        <w:lastRenderedPageBreak/>
        <w:t xml:space="preserve">d’administration, cette responsabilité avait été confiée au </w:t>
      </w:r>
      <w:r w:rsidR="00684BD3">
        <w:rPr>
          <w:rFonts w:cs="Times New Roman"/>
          <w:lang w:val="fr-CA"/>
        </w:rPr>
        <w:t>« </w:t>
      </w:r>
      <w:r w:rsidRPr="00417344">
        <w:rPr>
          <w:rFonts w:cs="Times New Roman"/>
          <w:lang w:val="fr-CA"/>
        </w:rPr>
        <w:t>Comité exécutif</w:t>
      </w:r>
      <w:r w:rsidR="00684BD3">
        <w:rPr>
          <w:rFonts w:cs="Times New Roman"/>
          <w:lang w:val="fr-CA"/>
        </w:rPr>
        <w:t> »</w:t>
      </w:r>
      <w:r w:rsidRPr="00417344">
        <w:rPr>
          <w:rFonts w:cs="Times New Roman"/>
          <w:lang w:val="fr-CA"/>
        </w:rPr>
        <w:t>.  En 1998</w:t>
      </w:r>
      <w:r w:rsidR="00684BD3">
        <w:rPr>
          <w:rFonts w:cs="Times New Roman"/>
          <w:lang w:val="fr-CA"/>
        </w:rPr>
        <w:t>-</w:t>
      </w:r>
      <w:r w:rsidRPr="00417344">
        <w:rPr>
          <w:rFonts w:cs="Times New Roman"/>
          <w:lang w:val="fr-CA"/>
        </w:rPr>
        <w:t>1999, M.</w:t>
      </w:r>
      <w:r w:rsidR="00684BD3">
        <w:rPr>
          <w:rFonts w:cs="Times New Roman"/>
          <w:lang w:val="fr-CA"/>
        </w:rPr>
        <w:t xml:space="preserve"> </w:t>
      </w:r>
      <w:r w:rsidRPr="00417344">
        <w:rPr>
          <w:rFonts w:cs="Times New Roman"/>
          <w:lang w:val="fr-CA"/>
        </w:rPr>
        <w:t xml:space="preserve">McCormick a siégé pendant un an à ce comité. </w:t>
      </w:r>
    </w:p>
    <w:p w:rsidR="0018307E" w:rsidRPr="00417344" w:rsidRDefault="0018307E" w:rsidP="0018307E">
      <w:pPr>
        <w:pStyle w:val="ParaNoNdepar-AltN"/>
        <w:rPr>
          <w:rFonts w:cs="Times New Roman"/>
          <w:lang w:val="fr-CA"/>
        </w:rPr>
      </w:pPr>
      <w:r w:rsidRPr="00417344">
        <w:rPr>
          <w:rFonts w:cs="Times New Roman"/>
          <w:lang w:val="fr-CA"/>
        </w:rPr>
        <w:t>Le Conseil d’administration établit les critères de rémunération des associés participants</w:t>
      </w:r>
      <w:r w:rsidRPr="00417344">
        <w:rPr>
          <w:rStyle w:val="FootnoteReference"/>
          <w:rFonts w:cs="Times New Roman"/>
          <w:lang w:val="fr-CA"/>
        </w:rPr>
        <w:footnoteReference w:id="3"/>
      </w:r>
      <w:r w:rsidRPr="00417344">
        <w:rPr>
          <w:rFonts w:cs="Times New Roman"/>
          <w:lang w:val="fr-CA"/>
        </w:rPr>
        <w:t>.  Les critères qui étaient appliqués durant la période pertinente incluaient les suivants</w:t>
      </w:r>
      <w:r w:rsidR="00684BD3">
        <w:rPr>
          <w:rFonts w:cs="Times New Roman"/>
          <w:lang w:val="fr-CA"/>
        </w:rPr>
        <w:t> :</w:t>
      </w:r>
      <w:r w:rsidRPr="00417344">
        <w:rPr>
          <w:rFonts w:cs="Times New Roman"/>
          <w:lang w:val="fr-CA"/>
        </w:rPr>
        <w:t xml:space="preserve"> qualité des services juridiques; travail d’équipe; obtention de mandats rentables de clients nouveaux et existants; maintien de la clientèle existante et de la rentabilité des services qui lui sont offerts; contribution à l’image du cabinet</w:t>
      </w:r>
      <w:r w:rsidR="00F64CCF">
        <w:rPr>
          <w:rFonts w:cs="Times New Roman"/>
          <w:lang w:val="fr-CA"/>
        </w:rPr>
        <w:t>;</w:t>
      </w:r>
      <w:r w:rsidRPr="00417344">
        <w:rPr>
          <w:rFonts w:cs="Times New Roman"/>
          <w:lang w:val="fr-CA"/>
        </w:rPr>
        <w:t xml:space="preserve"> réputation, expérience et expertise;  rentabilité personnelle; gestion méthodique de la pratique personnelle; contribution aux activités du cabinet; revenus secondaires produits pour le cabinet; évaluation par les pairs.  Un comité régional de la rémunération, composé d’associés participants, distribue les profits réalisés par le cabinet aux associés participants de la région concernée en fonction de ces critères.  Il existe un droit d’appel limité au comité sur la base de renseignements qui n’étaient pas disponibles à l’époque où la distribution initiale a été faite. </w:t>
      </w:r>
    </w:p>
    <w:p w:rsidR="0018307E" w:rsidRPr="00417344" w:rsidRDefault="0018307E" w:rsidP="0018307E">
      <w:pPr>
        <w:pStyle w:val="ParaNoNdepar-AltN"/>
        <w:rPr>
          <w:rFonts w:cs="Times New Roman"/>
          <w:lang w:val="fr-CA"/>
        </w:rPr>
      </w:pPr>
      <w:r w:rsidRPr="00417344">
        <w:rPr>
          <w:rFonts w:cs="Times New Roman"/>
          <w:lang w:val="fr-CA"/>
        </w:rPr>
        <w:t>Le Conseil d’administration nomme et dirige l’associé directeur, qui est responsable de la gestion globale du cabinet et qui est comptable devant le Conseil d’administration.  Les fonctions de l’associé directeur comprennent [</w:t>
      </w:r>
      <w:r w:rsidRPr="00417344">
        <w:rPr>
          <w:rFonts w:cs="Times New Roman"/>
          <w:smallCaps/>
          <w:lang w:val="fr-CA"/>
        </w:rPr>
        <w:t>traduction</w:t>
      </w:r>
      <w:r w:rsidRPr="00417344">
        <w:rPr>
          <w:rFonts w:cs="Times New Roman"/>
          <w:lang w:val="fr-CA"/>
        </w:rPr>
        <w:t xml:space="preserve">] </w:t>
      </w:r>
      <w:r w:rsidR="00684BD3">
        <w:rPr>
          <w:rFonts w:cs="Times New Roman"/>
          <w:lang w:val="fr-CA"/>
        </w:rPr>
        <w:t>« </w:t>
      </w:r>
      <w:r w:rsidRPr="00417344">
        <w:rPr>
          <w:rFonts w:cs="Times New Roman"/>
          <w:lang w:val="fr-CA"/>
        </w:rPr>
        <w:t>la gestion et la structuration des ressources humaines du cabinet, y compris les associés, les</w:t>
      </w:r>
      <w:r>
        <w:rPr>
          <w:rFonts w:cs="Times New Roman"/>
          <w:lang w:val="fr-CA"/>
        </w:rPr>
        <w:t xml:space="preserve"> </w:t>
      </w:r>
      <w:r w:rsidRPr="00417344">
        <w:rPr>
          <w:rFonts w:cs="Times New Roman"/>
          <w:lang w:val="fr-CA"/>
        </w:rPr>
        <w:t>avocats et le personnel</w:t>
      </w:r>
      <w:r w:rsidR="00684BD3">
        <w:rPr>
          <w:rFonts w:cs="Times New Roman"/>
          <w:lang w:val="fr-CA"/>
        </w:rPr>
        <w:t> »</w:t>
      </w:r>
      <w:r w:rsidRPr="00417344">
        <w:rPr>
          <w:rFonts w:cs="Times New Roman"/>
          <w:lang w:val="fr-CA"/>
        </w:rPr>
        <w:t xml:space="preserve"> et </w:t>
      </w:r>
      <w:r w:rsidR="00684BD3">
        <w:rPr>
          <w:rFonts w:cs="Times New Roman"/>
          <w:lang w:val="fr-CA"/>
        </w:rPr>
        <w:t>« </w:t>
      </w:r>
      <w:r w:rsidRPr="00417344">
        <w:rPr>
          <w:rFonts w:cs="Times New Roman"/>
          <w:lang w:val="fr-CA"/>
        </w:rPr>
        <w:t xml:space="preserve">la délégation de fonctions, d’obligations de rendre compte, de responsabilités et de pouvoirs particuliers à des associés directeurs régionaux, comités, groupes de travail, associés ou avocats, selon le cas, et la </w:t>
      </w:r>
      <w:r w:rsidRPr="00417344">
        <w:rPr>
          <w:rFonts w:cs="Times New Roman"/>
          <w:lang w:val="fr-CA"/>
        </w:rPr>
        <w:lastRenderedPageBreak/>
        <w:t>supervision de l’exécution de ces tâches</w:t>
      </w:r>
      <w:r w:rsidR="00684BD3">
        <w:rPr>
          <w:rFonts w:cs="Times New Roman"/>
          <w:lang w:val="fr-CA"/>
        </w:rPr>
        <w:t> »</w:t>
      </w:r>
      <w:r w:rsidRPr="00417344">
        <w:rPr>
          <w:rStyle w:val="FootnoteReference"/>
          <w:rFonts w:cs="Times New Roman"/>
          <w:lang w:val="fr-CA"/>
        </w:rPr>
        <w:footnoteReference w:id="4"/>
      </w:r>
      <w:r w:rsidRPr="00417344">
        <w:rPr>
          <w:rFonts w:cs="Times New Roman"/>
          <w:lang w:val="fr-CA"/>
        </w:rPr>
        <w:t>.  Tout le personnel de gestion et de soutien du cabinet relève directement ou indirectement d’un chef des opérations</w:t>
      </w:r>
      <w:r w:rsidRPr="00417344">
        <w:rPr>
          <w:rStyle w:val="FootnoteReference"/>
          <w:rFonts w:cs="Times New Roman"/>
          <w:lang w:val="fr-CA"/>
        </w:rPr>
        <w:footnoteReference w:id="5"/>
      </w:r>
      <w:r w:rsidRPr="00417344">
        <w:rPr>
          <w:rFonts w:cs="Times New Roman"/>
          <w:lang w:val="fr-CA"/>
        </w:rPr>
        <w:t>.  Le chef des opérations relève du Conseil, par l’intermédiaire de l’associé directeur</w:t>
      </w:r>
      <w:r w:rsidRPr="00417344">
        <w:rPr>
          <w:rStyle w:val="FootnoteReference"/>
          <w:rFonts w:cs="Times New Roman"/>
          <w:lang w:val="fr-CA"/>
        </w:rPr>
        <w:footnoteReference w:id="6"/>
      </w:r>
      <w:r w:rsidRPr="00417344">
        <w:rPr>
          <w:rFonts w:cs="Times New Roman"/>
          <w:lang w:val="fr-CA"/>
        </w:rPr>
        <w:t xml:space="preserve">. </w:t>
      </w:r>
    </w:p>
    <w:p w:rsidR="0018307E" w:rsidRPr="00417344" w:rsidRDefault="0018307E" w:rsidP="0018307E">
      <w:pPr>
        <w:pStyle w:val="ParaNoNdepar-AltN"/>
        <w:rPr>
          <w:rFonts w:cs="Times New Roman"/>
          <w:lang w:val="fr-CA"/>
        </w:rPr>
      </w:pPr>
      <w:r w:rsidRPr="00417344">
        <w:rPr>
          <w:rFonts w:cs="Times New Roman"/>
          <w:lang w:val="fr-CA"/>
        </w:rPr>
        <w:t xml:space="preserve">Tout avis écrit donné à un client constitue un avis du cabinet et doit être examiné et approuvé par un associé différent de celui qui l’a rédigé.  Le cabinet nomme, pour chaque client, un </w:t>
      </w:r>
      <w:r w:rsidR="00684BD3">
        <w:rPr>
          <w:rFonts w:cs="Times New Roman"/>
          <w:lang w:val="fr-CA"/>
        </w:rPr>
        <w:t>« </w:t>
      </w:r>
      <w:r w:rsidRPr="00417344">
        <w:rPr>
          <w:rFonts w:cs="Times New Roman"/>
          <w:lang w:val="fr-CA"/>
        </w:rPr>
        <w:t>gestionnaire</w:t>
      </w:r>
      <w:r w:rsidR="00684BD3">
        <w:rPr>
          <w:rFonts w:cs="Times New Roman"/>
          <w:lang w:val="fr-CA"/>
        </w:rPr>
        <w:t>-</w:t>
      </w:r>
      <w:r w:rsidRPr="00417344">
        <w:rPr>
          <w:rFonts w:cs="Times New Roman"/>
          <w:lang w:val="fr-CA"/>
        </w:rPr>
        <w:t>client</w:t>
      </w:r>
      <w:r w:rsidR="00684BD3">
        <w:rPr>
          <w:rFonts w:cs="Times New Roman"/>
          <w:lang w:val="fr-CA"/>
        </w:rPr>
        <w:t> »</w:t>
      </w:r>
      <w:r w:rsidRPr="00417344">
        <w:rPr>
          <w:rFonts w:cs="Times New Roman"/>
          <w:lang w:val="fr-CA"/>
        </w:rPr>
        <w:t xml:space="preserve"> qui n’est pas nécessairement l’avocat qui a amené ce client à recourir aux services du cabinet.  Chaque mandat est supervisé par un </w:t>
      </w:r>
      <w:r w:rsidR="00684BD3">
        <w:rPr>
          <w:rFonts w:cs="Times New Roman"/>
          <w:lang w:val="fr-CA"/>
        </w:rPr>
        <w:t>« </w:t>
      </w:r>
      <w:r w:rsidRPr="00417344">
        <w:rPr>
          <w:rFonts w:cs="Times New Roman"/>
          <w:lang w:val="fr-CA"/>
        </w:rPr>
        <w:t>gestionnaire</w:t>
      </w:r>
      <w:r w:rsidR="00684BD3">
        <w:rPr>
          <w:rFonts w:cs="Times New Roman"/>
          <w:lang w:val="fr-CA"/>
        </w:rPr>
        <w:t>-</w:t>
      </w:r>
      <w:r w:rsidRPr="00417344">
        <w:rPr>
          <w:rFonts w:cs="Times New Roman"/>
          <w:lang w:val="fr-CA"/>
        </w:rPr>
        <w:t>dossier</w:t>
      </w:r>
      <w:r w:rsidR="00684BD3">
        <w:rPr>
          <w:rFonts w:cs="Times New Roman"/>
          <w:lang w:val="fr-CA"/>
        </w:rPr>
        <w:t> »</w:t>
      </w:r>
      <w:r w:rsidRPr="00417344">
        <w:rPr>
          <w:rFonts w:cs="Times New Roman"/>
          <w:lang w:val="fr-CA"/>
        </w:rPr>
        <w:t xml:space="preserve"> chargé de veiller à ce que le mandat soit traité de façon compétente et efficiente.  Le gestionnaire</w:t>
      </w:r>
      <w:r w:rsidR="00684BD3">
        <w:rPr>
          <w:rFonts w:cs="Times New Roman"/>
          <w:lang w:val="fr-CA"/>
        </w:rPr>
        <w:t>-</w:t>
      </w:r>
      <w:r w:rsidRPr="00417344">
        <w:rPr>
          <w:rFonts w:cs="Times New Roman"/>
          <w:lang w:val="fr-CA"/>
        </w:rPr>
        <w:t>client surveille le rendement du gestionnaire</w:t>
      </w:r>
      <w:r w:rsidR="00684BD3">
        <w:rPr>
          <w:rFonts w:cs="Times New Roman"/>
          <w:lang w:val="fr-CA"/>
        </w:rPr>
        <w:t>-</w:t>
      </w:r>
      <w:r w:rsidRPr="00417344">
        <w:rPr>
          <w:rFonts w:cs="Times New Roman"/>
          <w:lang w:val="fr-CA"/>
        </w:rPr>
        <w:t>dossier relativement à chaque mandat.  Tous les travaux produits par les avocats, y compris par les associés participants, deviennent la propriété du cabinet.  Tout revenu gagné par un associé participant et se rapportant de quelque manière que ce soit à la pratique du droit est réputé être la propriété du cabinet</w:t>
      </w:r>
      <w:r w:rsidRPr="00417344">
        <w:rPr>
          <w:rStyle w:val="FootnoteReference"/>
          <w:rFonts w:cs="Times New Roman"/>
          <w:lang w:val="fr-CA"/>
        </w:rPr>
        <w:footnoteReference w:id="7"/>
      </w:r>
      <w:r w:rsidRPr="00417344">
        <w:rPr>
          <w:rFonts w:cs="Times New Roman"/>
          <w:lang w:val="fr-CA"/>
        </w:rPr>
        <w:t>.  Il est interdit aux associés participants de conclure des arrangements financiers ou des contrats au nom du cabinet sans l’autorisation de l’associé directeur, du président du Conseil d’administration, de l’associé directeur régional ou de deux membres du Conseil d’administration</w:t>
      </w:r>
      <w:r w:rsidRPr="00417344">
        <w:rPr>
          <w:rStyle w:val="FootnoteReference"/>
          <w:rFonts w:cs="Times New Roman"/>
          <w:lang w:val="fr-CA"/>
        </w:rPr>
        <w:footnoteReference w:id="8"/>
      </w:r>
      <w:r w:rsidRPr="00417344">
        <w:rPr>
          <w:rFonts w:cs="Times New Roman"/>
          <w:lang w:val="fr-CA"/>
        </w:rPr>
        <w:t>.</w:t>
      </w:r>
    </w:p>
    <w:p w:rsidR="0018307E" w:rsidRPr="00417344" w:rsidRDefault="0018307E" w:rsidP="0018307E">
      <w:pPr>
        <w:pStyle w:val="ParaNoNdepar-AltN"/>
        <w:rPr>
          <w:rFonts w:cs="Times New Roman"/>
          <w:lang w:val="fr-CA"/>
        </w:rPr>
      </w:pPr>
      <w:r w:rsidRPr="00417344">
        <w:rPr>
          <w:rFonts w:cs="Times New Roman"/>
          <w:lang w:val="fr-CA"/>
        </w:rPr>
        <w:t xml:space="preserve">Un vote de l’ensemble des associés participants est nécessaire à l’égard de questions comme la modification du Contrat de société, l’admission d’un nouvel </w:t>
      </w:r>
      <w:r w:rsidRPr="00417344">
        <w:rPr>
          <w:rFonts w:cs="Times New Roman"/>
          <w:lang w:val="fr-CA"/>
        </w:rPr>
        <w:lastRenderedPageBreak/>
        <w:t>associé participant, l’expulsion d’un associé participant, la dissolution du cabinet, la destitution de l’associé directeur, l’ouverture d’un nouveau bureau et l’approbation de certaines charges ou dettes importantes</w:t>
      </w:r>
      <w:r w:rsidRPr="00417344">
        <w:rPr>
          <w:rStyle w:val="FootnoteReference"/>
          <w:rFonts w:cs="Times New Roman"/>
          <w:lang w:val="fr-CA"/>
        </w:rPr>
        <w:footnoteReference w:id="9"/>
      </w:r>
      <w:r w:rsidRPr="00417344">
        <w:rPr>
          <w:rFonts w:cs="Times New Roman"/>
          <w:lang w:val="fr-CA"/>
        </w:rPr>
        <w:t xml:space="preserve">. </w:t>
      </w:r>
    </w:p>
    <w:p w:rsidR="0018307E" w:rsidRPr="00417344" w:rsidRDefault="0018307E" w:rsidP="0018307E">
      <w:pPr>
        <w:pStyle w:val="ParaNoNdepar-AltN"/>
        <w:rPr>
          <w:rFonts w:cs="Times New Roman"/>
          <w:lang w:val="fr-CA"/>
        </w:rPr>
      </w:pPr>
      <w:r w:rsidRPr="00417344">
        <w:rPr>
          <w:rFonts w:cs="Times New Roman"/>
          <w:lang w:val="fr-CA"/>
        </w:rPr>
        <w:t>En outre, un associé participant possède un compte de capital dans le cabinet, dont le solde lui est versé lorsqu’il quitte la société</w:t>
      </w:r>
      <w:r w:rsidRPr="00417344">
        <w:rPr>
          <w:rStyle w:val="FootnoteReference"/>
          <w:rFonts w:cs="Times New Roman"/>
          <w:lang w:val="fr-CA"/>
        </w:rPr>
        <w:footnoteReference w:id="10"/>
      </w:r>
      <w:r w:rsidRPr="00417344">
        <w:rPr>
          <w:rFonts w:cs="Times New Roman"/>
          <w:lang w:val="fr-CA"/>
        </w:rPr>
        <w:t>.  L’ensemble des comptes de capital des associés représente la capitalisation de la société.  Les associés sont responsables des dettes de la société qui ne sont pas couvertes par une assurance ou que le Conseil d’administration choisit de considérer comme des charges, et ce, selon les limites prévues à l’art.</w:t>
      </w:r>
      <w:r w:rsidR="00684BD3">
        <w:rPr>
          <w:rFonts w:cs="Times New Roman"/>
          <w:lang w:val="fr-CA"/>
        </w:rPr>
        <w:t xml:space="preserve"> </w:t>
      </w:r>
      <w:r w:rsidRPr="00417344">
        <w:rPr>
          <w:rFonts w:cs="Times New Roman"/>
          <w:lang w:val="fr-CA"/>
        </w:rPr>
        <w:t xml:space="preserve">104 de la </w:t>
      </w:r>
      <w:proofErr w:type="spellStart"/>
      <w:r w:rsidRPr="00417344">
        <w:rPr>
          <w:rFonts w:cs="Times New Roman"/>
          <w:i/>
          <w:lang w:val="fr-CA"/>
        </w:rPr>
        <w:t>Partnership</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Style w:val="FootnoteReference"/>
          <w:rFonts w:cs="Times New Roman"/>
          <w:lang w:val="fr-CA"/>
        </w:rPr>
        <w:footnoteReference w:id="11"/>
      </w:r>
      <w:r w:rsidRPr="00417344">
        <w:rPr>
          <w:rFonts w:cs="Times New Roman"/>
          <w:lang w:val="fr-CA"/>
        </w:rPr>
        <w:t>.  En cas de dissolution de la société, les associés participants ont droit à une part du solde de l’actif une fois réglées l’ensemble des dettes et obligations de la société.</w:t>
      </w:r>
    </w:p>
    <w:p w:rsidR="0018307E" w:rsidRPr="00417344" w:rsidRDefault="0018307E" w:rsidP="0018307E">
      <w:pPr>
        <w:pStyle w:val="ParaNoNdepar-AltN"/>
        <w:rPr>
          <w:rFonts w:cs="Times New Roman"/>
          <w:lang w:val="fr-CA"/>
        </w:rPr>
      </w:pPr>
      <w:r w:rsidRPr="00417344">
        <w:rPr>
          <w:rFonts w:cs="Times New Roman"/>
          <w:lang w:val="fr-CA"/>
        </w:rPr>
        <w:t>Un associé participant comme M.</w:t>
      </w:r>
      <w:r w:rsidR="00684BD3">
        <w:rPr>
          <w:rFonts w:cs="Times New Roman"/>
          <w:lang w:val="fr-CA"/>
        </w:rPr>
        <w:t xml:space="preserve"> </w:t>
      </w:r>
      <w:r w:rsidRPr="00417344">
        <w:rPr>
          <w:rFonts w:cs="Times New Roman"/>
          <w:lang w:val="fr-CA"/>
        </w:rPr>
        <w:t>McCormick possède une part des capitaux propres du cabinet.  Aux termes du Contrat de société, les associés participants doivent se départir de leur part dans la société à la fin de l’année où ils ont atteint l’âge de 65</w:t>
      </w:r>
      <w:r w:rsidR="00684BD3">
        <w:rPr>
          <w:rFonts w:cs="Times New Roman"/>
          <w:lang w:val="fr-CA"/>
        </w:rPr>
        <w:t xml:space="preserve"> </w:t>
      </w:r>
      <w:r w:rsidRPr="00417344">
        <w:rPr>
          <w:rFonts w:cs="Times New Roman"/>
          <w:lang w:val="fr-CA"/>
        </w:rPr>
        <w:t>ans.  Tous les associés participants sont assujettis à cette limite temporelle imposée à l’égard de leur participation financière dans le cabinet.  Un associé peut convenir d’arrangements individuels lui permettant de continuer de travailler à titre d’employé ou d’associé [</w:t>
      </w:r>
      <w:r w:rsidRPr="00417344">
        <w:rPr>
          <w:rFonts w:cs="Times New Roman"/>
          <w:smallCaps/>
          <w:lang w:val="fr-CA"/>
        </w:rPr>
        <w:t>traduction</w:t>
      </w:r>
      <w:r w:rsidRPr="00417344">
        <w:rPr>
          <w:rFonts w:cs="Times New Roman"/>
          <w:lang w:val="fr-CA"/>
        </w:rPr>
        <w:t xml:space="preserve">] </w:t>
      </w:r>
      <w:r w:rsidR="00684BD3">
        <w:rPr>
          <w:rFonts w:cs="Times New Roman"/>
          <w:lang w:val="fr-CA"/>
        </w:rPr>
        <w:t>« </w:t>
      </w:r>
      <w:r w:rsidRPr="00417344">
        <w:rPr>
          <w:rFonts w:cs="Times New Roman"/>
          <w:lang w:val="fr-CA"/>
        </w:rPr>
        <w:t>ordinaire</w:t>
      </w:r>
      <w:r w:rsidR="00684BD3">
        <w:rPr>
          <w:rFonts w:cs="Times New Roman"/>
          <w:lang w:val="fr-CA"/>
        </w:rPr>
        <w:t> »</w:t>
      </w:r>
      <w:r w:rsidRPr="00417344">
        <w:rPr>
          <w:rFonts w:cs="Times New Roman"/>
          <w:lang w:val="fr-CA"/>
        </w:rPr>
        <w:t xml:space="preserve"> sans </w:t>
      </w:r>
      <w:r w:rsidRPr="00417344">
        <w:rPr>
          <w:rFonts w:cs="Times New Roman"/>
          <w:lang w:val="fr-CA"/>
        </w:rPr>
        <w:lastRenderedPageBreak/>
        <w:t xml:space="preserve">participation financière, mais le contrat </w:t>
      </w:r>
      <w:proofErr w:type="gramStart"/>
      <w:r w:rsidRPr="00417344">
        <w:rPr>
          <w:rFonts w:cs="Times New Roman"/>
          <w:lang w:val="fr-CA"/>
        </w:rPr>
        <w:t>précise</w:t>
      </w:r>
      <w:proofErr w:type="gramEnd"/>
      <w:r w:rsidRPr="00417344">
        <w:rPr>
          <w:rFonts w:cs="Times New Roman"/>
          <w:lang w:val="fr-CA"/>
        </w:rPr>
        <w:t xml:space="preserve"> que de tels arrangements constituent  </w:t>
      </w:r>
      <w:r w:rsidR="00684BD3">
        <w:rPr>
          <w:rFonts w:cs="Times New Roman"/>
          <w:lang w:val="fr-CA"/>
        </w:rPr>
        <w:t>« </w:t>
      </w:r>
      <w:r w:rsidRPr="00417344">
        <w:rPr>
          <w:rFonts w:cs="Times New Roman"/>
          <w:lang w:val="fr-CA"/>
        </w:rPr>
        <w:t>l’exception plutôt que la règle</w:t>
      </w:r>
      <w:r w:rsidR="00684BD3">
        <w:rPr>
          <w:rFonts w:cs="Times New Roman"/>
          <w:lang w:val="fr-CA"/>
        </w:rPr>
        <w:t> »</w:t>
      </w:r>
      <w:r w:rsidRPr="00417344">
        <w:rPr>
          <w:rStyle w:val="FootnoteReference"/>
          <w:rFonts w:cs="Times New Roman"/>
          <w:lang w:val="fr-CA"/>
        </w:rPr>
        <w:footnoteReference w:id="12"/>
      </w:r>
      <w:r w:rsidRPr="00417344">
        <w:rPr>
          <w:rFonts w:cs="Times New Roman"/>
          <w:lang w:val="fr-CA"/>
        </w:rPr>
        <w:t xml:space="preserve">. </w:t>
      </w:r>
    </w:p>
    <w:p w:rsidR="0018307E" w:rsidRPr="00417344" w:rsidRDefault="0018307E" w:rsidP="0018307E">
      <w:pPr>
        <w:pStyle w:val="ParaNoNdepar-AltN"/>
        <w:rPr>
          <w:rFonts w:cs="Times New Roman"/>
          <w:lang w:val="fr-CA"/>
        </w:rPr>
      </w:pPr>
      <w:r w:rsidRPr="00417344">
        <w:rPr>
          <w:rFonts w:cs="Times New Roman"/>
          <w:lang w:val="fr-CA"/>
        </w:rPr>
        <w:t xml:space="preserve">Monsieur McCormick a déposé une plainte devant le British Columbia </w:t>
      </w:r>
      <w:proofErr w:type="spellStart"/>
      <w:r w:rsidRPr="00417344">
        <w:rPr>
          <w:rFonts w:cs="Times New Roman"/>
          <w:lang w:val="fr-CA"/>
        </w:rPr>
        <w:t>Human</w:t>
      </w:r>
      <w:proofErr w:type="spellEnd"/>
      <w:r w:rsidRPr="00417344">
        <w:rPr>
          <w:rFonts w:cs="Times New Roman"/>
          <w:lang w:val="fr-CA"/>
        </w:rPr>
        <w:t xml:space="preserve"> </w:t>
      </w:r>
      <w:proofErr w:type="spellStart"/>
      <w:r w:rsidRPr="00417344">
        <w:rPr>
          <w:rFonts w:cs="Times New Roman"/>
          <w:lang w:val="fr-CA"/>
        </w:rPr>
        <w:t>Rights</w:t>
      </w:r>
      <w:proofErr w:type="spellEnd"/>
      <w:r w:rsidRPr="00417344">
        <w:rPr>
          <w:rFonts w:cs="Times New Roman"/>
          <w:lang w:val="fr-CA"/>
        </w:rPr>
        <w:t xml:space="preserve"> Tribunal (</w:t>
      </w:r>
      <w:r w:rsidR="00684BD3">
        <w:rPr>
          <w:rFonts w:cs="Times New Roman"/>
          <w:lang w:val="fr-CA"/>
        </w:rPr>
        <w:t>« </w:t>
      </w:r>
      <w:r w:rsidRPr="00417344">
        <w:rPr>
          <w:rFonts w:cs="Times New Roman"/>
          <w:lang w:val="fr-CA"/>
        </w:rPr>
        <w:t>Tribunal</w:t>
      </w:r>
      <w:r w:rsidR="00684BD3">
        <w:rPr>
          <w:rFonts w:cs="Times New Roman"/>
          <w:lang w:val="fr-CA"/>
        </w:rPr>
        <w:t> »</w:t>
      </w:r>
      <w:r w:rsidRPr="00417344">
        <w:rPr>
          <w:rFonts w:cs="Times New Roman"/>
          <w:lang w:val="fr-CA"/>
        </w:rPr>
        <w:t>), affirmant que cette disposition du Contrat de société constituait de la discrimination en matière d’emploi fondée sur l’âge et contrevenait au par.</w:t>
      </w:r>
      <w:r w:rsidR="00684BD3">
        <w:rPr>
          <w:rFonts w:cs="Times New Roman"/>
          <w:lang w:val="fr-CA"/>
        </w:rPr>
        <w:t xml:space="preserve"> </w:t>
      </w:r>
      <w:r w:rsidRPr="00417344">
        <w:rPr>
          <w:rFonts w:cs="Times New Roman"/>
          <w:lang w:val="fr-CA"/>
        </w:rPr>
        <w:t xml:space="preserve">13(1) du </w:t>
      </w:r>
      <w:r w:rsidRPr="00417344">
        <w:rPr>
          <w:rFonts w:cs="Times New Roman"/>
          <w:i/>
          <w:iCs/>
          <w:lang w:val="fr-CA"/>
        </w:rPr>
        <w:t>Code</w:t>
      </w:r>
      <w:r w:rsidRPr="00417344">
        <w:rPr>
          <w:rFonts w:cs="Times New Roman"/>
          <w:lang w:val="fr-CA"/>
        </w:rPr>
        <w:t xml:space="preserve">.  </w:t>
      </w:r>
      <w:proofErr w:type="spellStart"/>
      <w:r w:rsidRPr="00417344">
        <w:rPr>
          <w:rFonts w:cs="Times New Roman"/>
          <w:lang w:val="fr-CA"/>
        </w:rPr>
        <w:t>Fasken</w:t>
      </w:r>
      <w:proofErr w:type="spellEnd"/>
      <w:r w:rsidRPr="00417344">
        <w:rPr>
          <w:rFonts w:cs="Times New Roman"/>
          <w:lang w:val="fr-CA"/>
        </w:rPr>
        <w:t xml:space="preserve"> Martineau a demandé le rejet de la plainte de M.</w:t>
      </w:r>
      <w:r w:rsidR="00684BD3">
        <w:rPr>
          <w:rFonts w:cs="Times New Roman"/>
          <w:lang w:val="fr-CA"/>
        </w:rPr>
        <w:t xml:space="preserve"> </w:t>
      </w:r>
      <w:r w:rsidRPr="00417344">
        <w:rPr>
          <w:rFonts w:cs="Times New Roman"/>
          <w:lang w:val="fr-CA"/>
        </w:rPr>
        <w:t>McCormick, plaidant que le Tribunal n’avait pas compétence à l’égard de la plainte, puisqu’il n’existait pas de relation d’emploi entre le cabinet et M.</w:t>
      </w:r>
      <w:r w:rsidR="00684BD3">
        <w:rPr>
          <w:rFonts w:cs="Times New Roman"/>
          <w:lang w:val="fr-CA"/>
        </w:rPr>
        <w:t xml:space="preserve"> </w:t>
      </w:r>
      <w:r w:rsidRPr="00417344">
        <w:rPr>
          <w:rFonts w:cs="Times New Roman"/>
          <w:lang w:val="fr-CA"/>
        </w:rPr>
        <w:t xml:space="preserve">McCormick. </w:t>
      </w:r>
    </w:p>
    <w:p w:rsidR="0018307E" w:rsidRPr="00417344" w:rsidRDefault="0018307E" w:rsidP="0018307E">
      <w:pPr>
        <w:pStyle w:val="ParaNoNdepar-AltN"/>
        <w:rPr>
          <w:rFonts w:cs="Times New Roman"/>
          <w:lang w:val="fr-CA"/>
        </w:rPr>
      </w:pPr>
      <w:r w:rsidRPr="00417344">
        <w:rPr>
          <w:rFonts w:cs="Times New Roman"/>
          <w:lang w:val="fr-CA"/>
        </w:rPr>
        <w:t>Dans son analyse de la question de savoir s’il existait une relation d’emploi entre M.</w:t>
      </w:r>
      <w:r w:rsidR="00684BD3">
        <w:rPr>
          <w:rFonts w:cs="Times New Roman"/>
          <w:lang w:val="fr-CA"/>
        </w:rPr>
        <w:t xml:space="preserve"> </w:t>
      </w:r>
      <w:r w:rsidRPr="00417344">
        <w:rPr>
          <w:rFonts w:cs="Times New Roman"/>
          <w:lang w:val="fr-CA"/>
        </w:rPr>
        <w:t xml:space="preserve">McCormick et le cabinet, le Tribunal s’est appuyé sur les facteurs qu’il avait élaborés dans </w:t>
      </w:r>
      <w:r w:rsidRPr="00417344">
        <w:rPr>
          <w:rFonts w:cs="Times New Roman"/>
          <w:i/>
          <w:lang w:val="fr-CA"/>
        </w:rPr>
        <w:t>Crane c. British Columbia (</w:t>
      </w:r>
      <w:proofErr w:type="spellStart"/>
      <w:r w:rsidRPr="00417344">
        <w:rPr>
          <w:rFonts w:cs="Times New Roman"/>
          <w:i/>
          <w:lang w:val="fr-CA"/>
        </w:rPr>
        <w:t>Ministry</w:t>
      </w:r>
      <w:proofErr w:type="spellEnd"/>
      <w:r w:rsidRPr="00417344">
        <w:rPr>
          <w:rFonts w:cs="Times New Roman"/>
          <w:i/>
          <w:lang w:val="fr-CA"/>
        </w:rPr>
        <w:t xml:space="preserve"> of </w:t>
      </w:r>
      <w:proofErr w:type="spellStart"/>
      <w:r w:rsidRPr="00417344">
        <w:rPr>
          <w:rFonts w:cs="Times New Roman"/>
          <w:i/>
          <w:lang w:val="fr-CA"/>
        </w:rPr>
        <w:t>Health</w:t>
      </w:r>
      <w:proofErr w:type="spellEnd"/>
      <w:r w:rsidRPr="00417344">
        <w:rPr>
          <w:rFonts w:cs="Times New Roman"/>
          <w:i/>
          <w:lang w:val="fr-CA"/>
        </w:rPr>
        <w:t xml:space="preserve"> Services) (No.</w:t>
      </w:r>
      <w:r w:rsidR="00684BD3">
        <w:rPr>
          <w:rFonts w:cs="Times New Roman"/>
          <w:i/>
          <w:lang w:val="fr-CA"/>
        </w:rPr>
        <w:t xml:space="preserve"> </w:t>
      </w:r>
      <w:r w:rsidRPr="00417344">
        <w:rPr>
          <w:rFonts w:cs="Times New Roman"/>
          <w:i/>
          <w:lang w:val="fr-CA"/>
        </w:rPr>
        <w:t>1)</w:t>
      </w:r>
      <w:r w:rsidRPr="00417344">
        <w:rPr>
          <w:rFonts w:cs="Times New Roman"/>
          <w:lang w:val="fr-CA"/>
        </w:rPr>
        <w:t xml:space="preserve"> (2005</w:t>
      </w:r>
      <w:r>
        <w:rPr>
          <w:rFonts w:cs="Times New Roman"/>
          <w:lang w:val="fr-CA"/>
        </w:rPr>
        <w:t xml:space="preserve">), 53 C.H.R.R. </w:t>
      </w:r>
      <w:r w:rsidRPr="00417344">
        <w:rPr>
          <w:rFonts w:cs="Times New Roman"/>
          <w:lang w:val="fr-CA"/>
        </w:rPr>
        <w:t>D/156, inf. pour d’autres motifs (2007), 60 C.H.R.R.</w:t>
      </w:r>
      <w:r w:rsidR="00684BD3">
        <w:rPr>
          <w:rFonts w:cs="Times New Roman"/>
          <w:lang w:val="fr-CA"/>
        </w:rPr>
        <w:t xml:space="preserve"> </w:t>
      </w:r>
      <w:r w:rsidRPr="00417344">
        <w:rPr>
          <w:rFonts w:cs="Times New Roman"/>
          <w:lang w:val="fr-CA"/>
        </w:rPr>
        <w:t>D/381 (</w:t>
      </w:r>
      <w:r w:rsidR="00F64CCF">
        <w:rPr>
          <w:rFonts w:cs="Times New Roman"/>
          <w:lang w:val="fr-CA"/>
        </w:rPr>
        <w:t>C.</w:t>
      </w:r>
      <w:r w:rsidRPr="00417344">
        <w:rPr>
          <w:rFonts w:cs="Times New Roman"/>
          <w:lang w:val="fr-CA"/>
        </w:rPr>
        <w:t>S.C.</w:t>
      </w:r>
      <w:r w:rsidR="00F64CCF">
        <w:rPr>
          <w:rFonts w:cs="Times New Roman"/>
          <w:lang w:val="fr-CA"/>
        </w:rPr>
        <w:t>-B.</w:t>
      </w:r>
      <w:r w:rsidRPr="00417344">
        <w:rPr>
          <w:rFonts w:cs="Times New Roman"/>
          <w:lang w:val="fr-CA"/>
        </w:rPr>
        <w:t>)</w:t>
      </w:r>
      <w:r w:rsidR="00684BD3">
        <w:rPr>
          <w:rFonts w:cs="Times New Roman"/>
          <w:lang w:val="fr-CA"/>
        </w:rPr>
        <w:t> :</w:t>
      </w:r>
      <w:r w:rsidRPr="00417344">
        <w:rPr>
          <w:rFonts w:cs="Times New Roman"/>
          <w:lang w:val="fr-CA"/>
        </w:rPr>
        <w:t xml:space="preserve"> l’utilisation, le contrôle, le fardeau financier et l’objectif de réparation.  Eu égard au premier facteur, le Tribunal a conclu que </w:t>
      </w:r>
      <w:proofErr w:type="spellStart"/>
      <w:r w:rsidRPr="00417344">
        <w:rPr>
          <w:rFonts w:cs="Times New Roman"/>
          <w:lang w:val="fr-CA"/>
        </w:rPr>
        <w:t>Fasken</w:t>
      </w:r>
      <w:proofErr w:type="spellEnd"/>
      <w:r w:rsidRPr="00417344">
        <w:rPr>
          <w:rFonts w:cs="Times New Roman"/>
          <w:lang w:val="fr-CA"/>
        </w:rPr>
        <w:t xml:space="preserve"> Martineau avait </w:t>
      </w:r>
      <w:r w:rsidR="00684BD3">
        <w:rPr>
          <w:rFonts w:cs="Times New Roman"/>
          <w:lang w:val="fr-CA"/>
        </w:rPr>
        <w:t>« </w:t>
      </w:r>
      <w:r w:rsidRPr="00417344">
        <w:rPr>
          <w:rFonts w:cs="Times New Roman"/>
          <w:lang w:val="fr-CA"/>
        </w:rPr>
        <w:t>utilisé</w:t>
      </w:r>
      <w:r w:rsidR="00684BD3">
        <w:rPr>
          <w:rFonts w:cs="Times New Roman"/>
          <w:lang w:val="fr-CA"/>
        </w:rPr>
        <w:t> »</w:t>
      </w:r>
      <w:r w:rsidRPr="00417344">
        <w:rPr>
          <w:rFonts w:cs="Times New Roman"/>
          <w:lang w:val="fr-CA"/>
        </w:rPr>
        <w:t xml:space="preserve"> M.</w:t>
      </w:r>
      <w:r w:rsidR="00684BD3">
        <w:rPr>
          <w:rFonts w:cs="Times New Roman"/>
          <w:lang w:val="fr-CA"/>
        </w:rPr>
        <w:t xml:space="preserve"> </w:t>
      </w:r>
      <w:r w:rsidRPr="00417344">
        <w:rPr>
          <w:rFonts w:cs="Times New Roman"/>
          <w:lang w:val="fr-CA"/>
        </w:rPr>
        <w:t xml:space="preserve">McCormick pour fournir des services juridiques aux clients du cabinet et créer de la propriété intellectuelle.  Quant au deuxième facteur, le Tribunal a jugé que </w:t>
      </w:r>
      <w:proofErr w:type="spellStart"/>
      <w:r w:rsidRPr="00417344">
        <w:rPr>
          <w:rFonts w:cs="Times New Roman"/>
          <w:lang w:val="fr-CA"/>
        </w:rPr>
        <w:t>Fasken</w:t>
      </w:r>
      <w:proofErr w:type="spellEnd"/>
      <w:r w:rsidRPr="00417344">
        <w:rPr>
          <w:rFonts w:cs="Times New Roman"/>
          <w:lang w:val="fr-CA"/>
        </w:rPr>
        <w:t xml:space="preserve"> Martineau avait exercé un pouvoir de contrôle sur M.</w:t>
      </w:r>
      <w:r w:rsidR="00684BD3">
        <w:rPr>
          <w:rFonts w:cs="Times New Roman"/>
          <w:lang w:val="fr-CA"/>
        </w:rPr>
        <w:t xml:space="preserve"> </w:t>
      </w:r>
      <w:r w:rsidRPr="00417344">
        <w:rPr>
          <w:rFonts w:cs="Times New Roman"/>
          <w:lang w:val="fr-CA"/>
        </w:rPr>
        <w:t>McCormick par les directives que lui donnaient les associés directeurs ainsi que les gestionnaires</w:t>
      </w:r>
      <w:r w:rsidR="00684BD3">
        <w:rPr>
          <w:rFonts w:cs="Times New Roman"/>
          <w:lang w:val="fr-CA"/>
        </w:rPr>
        <w:t>-</w:t>
      </w:r>
      <w:r w:rsidRPr="00417344">
        <w:rPr>
          <w:rFonts w:cs="Times New Roman"/>
          <w:lang w:val="fr-CA"/>
        </w:rPr>
        <w:t>clients et les gestionnaires</w:t>
      </w:r>
      <w:r w:rsidR="00684BD3">
        <w:rPr>
          <w:rFonts w:cs="Times New Roman"/>
          <w:lang w:val="fr-CA"/>
        </w:rPr>
        <w:t>-</w:t>
      </w:r>
      <w:r w:rsidRPr="00417344">
        <w:rPr>
          <w:rFonts w:cs="Times New Roman"/>
          <w:lang w:val="fr-CA"/>
        </w:rPr>
        <w:t xml:space="preserve">dossiers.  Pour ce qui est de la rémunération, le Tribunal a considéré que, bien que le régime des sociétés de personnes implique le partage de </w:t>
      </w:r>
      <w:r w:rsidRPr="00417344">
        <w:rPr>
          <w:rFonts w:cs="Times New Roman"/>
          <w:lang w:val="fr-CA"/>
        </w:rPr>
        <w:lastRenderedPageBreak/>
        <w:t>bénéfices plutôt que le paiement d’un salaire fixe, le cabinet avait néanmoins le fardeau de déterminer et de payer la rémunération de M.</w:t>
      </w:r>
      <w:r w:rsidR="00684BD3">
        <w:rPr>
          <w:rFonts w:cs="Times New Roman"/>
          <w:lang w:val="fr-CA"/>
        </w:rPr>
        <w:t xml:space="preserve"> </w:t>
      </w:r>
      <w:r w:rsidRPr="00417344">
        <w:rPr>
          <w:rFonts w:cs="Times New Roman"/>
          <w:lang w:val="fr-CA"/>
        </w:rPr>
        <w:t xml:space="preserve">McCormick.  Enfin, le Tribunal a estimé que les allégations selon lesquelles </w:t>
      </w:r>
      <w:proofErr w:type="spellStart"/>
      <w:r w:rsidRPr="00417344">
        <w:rPr>
          <w:rFonts w:cs="Times New Roman"/>
          <w:lang w:val="fr-CA"/>
        </w:rPr>
        <w:t>Fasken</w:t>
      </w:r>
      <w:proofErr w:type="spellEnd"/>
      <w:r w:rsidRPr="00417344">
        <w:rPr>
          <w:rFonts w:cs="Times New Roman"/>
          <w:lang w:val="fr-CA"/>
        </w:rPr>
        <w:t xml:space="preserve"> Martineau avait traité M.</w:t>
      </w:r>
      <w:r w:rsidR="00684BD3">
        <w:rPr>
          <w:rFonts w:cs="Times New Roman"/>
          <w:lang w:val="fr-CA"/>
        </w:rPr>
        <w:t xml:space="preserve"> </w:t>
      </w:r>
      <w:r w:rsidRPr="00417344">
        <w:rPr>
          <w:rFonts w:cs="Times New Roman"/>
          <w:lang w:val="fr-CA"/>
        </w:rPr>
        <w:t xml:space="preserve">McCormick différemment en raison de son âge faisaient entrer en jeu les larges objectifs réparateurs du </w:t>
      </w:r>
      <w:r w:rsidRPr="00417344">
        <w:rPr>
          <w:rFonts w:cs="Times New Roman"/>
          <w:i/>
          <w:lang w:val="fr-CA"/>
        </w:rPr>
        <w:t>Code</w:t>
      </w:r>
      <w:r w:rsidRPr="00417344">
        <w:rPr>
          <w:rFonts w:cs="Times New Roman"/>
          <w:lang w:val="fr-CA"/>
        </w:rPr>
        <w:t xml:space="preserve">.  Le Tribunal a conclu qu’il existait par conséquent une relation d’emploi et il a refusé de faire droit à la demande de </w:t>
      </w:r>
      <w:proofErr w:type="spellStart"/>
      <w:r w:rsidRPr="00417344">
        <w:rPr>
          <w:rFonts w:cs="Times New Roman"/>
          <w:lang w:val="fr-CA"/>
        </w:rPr>
        <w:t>Fasken</w:t>
      </w:r>
      <w:proofErr w:type="spellEnd"/>
      <w:r w:rsidRPr="00417344">
        <w:rPr>
          <w:rFonts w:cs="Times New Roman"/>
          <w:lang w:val="fr-CA"/>
        </w:rPr>
        <w:t xml:space="preserve"> Martineau.  La demande de contrôle judiciaire présentée par le cabinet a été rejetée par Cour suprême de la Colombie</w:t>
      </w:r>
      <w:r w:rsidR="00684BD3">
        <w:rPr>
          <w:rFonts w:cs="Times New Roman"/>
          <w:lang w:val="fr-CA"/>
        </w:rPr>
        <w:t>-</w:t>
      </w:r>
      <w:r w:rsidRPr="00417344">
        <w:rPr>
          <w:rFonts w:cs="Times New Roman"/>
          <w:lang w:val="fr-CA"/>
        </w:rPr>
        <w:t>Britannique.</w:t>
      </w:r>
    </w:p>
    <w:p w:rsidR="0018307E" w:rsidRPr="00417344" w:rsidRDefault="0018307E" w:rsidP="0018307E">
      <w:pPr>
        <w:pStyle w:val="ParaNoNdepar-AltN"/>
        <w:rPr>
          <w:rFonts w:cs="Times New Roman"/>
          <w:lang w:val="fr-CA"/>
        </w:rPr>
      </w:pPr>
      <w:r w:rsidRPr="00417344">
        <w:rPr>
          <w:rFonts w:cs="Times New Roman"/>
          <w:lang w:val="fr-CA"/>
        </w:rPr>
        <w:t>La Cour d’appel de la Colombie</w:t>
      </w:r>
      <w:r w:rsidR="00684BD3">
        <w:rPr>
          <w:rFonts w:cs="Times New Roman"/>
          <w:lang w:val="fr-CA"/>
        </w:rPr>
        <w:t>-</w:t>
      </w:r>
      <w:r w:rsidRPr="00417344">
        <w:rPr>
          <w:rFonts w:cs="Times New Roman"/>
          <w:lang w:val="fr-CA"/>
        </w:rPr>
        <w:t xml:space="preserve">Britannique a accueilli l’appel de </w:t>
      </w:r>
      <w:proofErr w:type="spellStart"/>
      <w:r w:rsidRPr="00417344">
        <w:rPr>
          <w:rFonts w:cs="Times New Roman"/>
          <w:lang w:val="fr-CA"/>
        </w:rPr>
        <w:t>Fasken</w:t>
      </w:r>
      <w:proofErr w:type="spellEnd"/>
      <w:r w:rsidRPr="00417344">
        <w:rPr>
          <w:rFonts w:cs="Times New Roman"/>
          <w:lang w:val="fr-CA"/>
        </w:rPr>
        <w:t xml:space="preserve"> Martineau, concluant qu’en tant qu’associé participant M.</w:t>
      </w:r>
      <w:r w:rsidR="00684BD3">
        <w:rPr>
          <w:rFonts w:cs="Times New Roman"/>
          <w:lang w:val="fr-CA"/>
        </w:rPr>
        <w:t xml:space="preserve"> </w:t>
      </w:r>
      <w:r w:rsidRPr="00417344">
        <w:rPr>
          <w:rFonts w:cs="Times New Roman"/>
          <w:lang w:val="fr-CA"/>
        </w:rPr>
        <w:t xml:space="preserve">McCormick ne se trouvait pas dans une relation d’emploi visée par le </w:t>
      </w:r>
      <w:r w:rsidRPr="00417344">
        <w:rPr>
          <w:rFonts w:cs="Times New Roman"/>
          <w:i/>
          <w:lang w:val="fr-CA"/>
        </w:rPr>
        <w:t>Code</w:t>
      </w:r>
      <w:r w:rsidRPr="00417344">
        <w:rPr>
          <w:rFonts w:cs="Times New Roman"/>
          <w:lang w:val="fr-CA"/>
        </w:rPr>
        <w:t xml:space="preserve">.  La Cour d’appel a jugé que, comme une société de personnes ne constitue pas en droit une entité distincte de ses associés, il est juridiquement impossible qu’un associé </w:t>
      </w:r>
      <w:proofErr w:type="gramStart"/>
      <w:r w:rsidRPr="00417344">
        <w:rPr>
          <w:rFonts w:cs="Times New Roman"/>
          <w:lang w:val="fr-CA"/>
        </w:rPr>
        <w:t>puisse jamais</w:t>
      </w:r>
      <w:proofErr w:type="gramEnd"/>
      <w:r w:rsidRPr="00417344">
        <w:rPr>
          <w:rFonts w:cs="Times New Roman"/>
          <w:lang w:val="fr-CA"/>
        </w:rPr>
        <w:t xml:space="preserve"> être </w:t>
      </w:r>
      <w:r w:rsidR="00684BD3">
        <w:rPr>
          <w:rFonts w:cs="Times New Roman"/>
          <w:lang w:val="fr-CA"/>
        </w:rPr>
        <w:t>« </w:t>
      </w:r>
      <w:r w:rsidRPr="00417344">
        <w:rPr>
          <w:rFonts w:cs="Times New Roman"/>
          <w:lang w:val="fr-CA"/>
        </w:rPr>
        <w:t>employé</w:t>
      </w:r>
      <w:r w:rsidR="00684BD3">
        <w:rPr>
          <w:rFonts w:cs="Times New Roman"/>
          <w:lang w:val="fr-CA"/>
        </w:rPr>
        <w:t> »</w:t>
      </w:r>
      <w:r w:rsidRPr="00417344">
        <w:rPr>
          <w:rFonts w:cs="Times New Roman"/>
          <w:lang w:val="fr-CA"/>
        </w:rPr>
        <w:t xml:space="preserve"> par une société de personnes dont il est membre. </w:t>
      </w:r>
    </w:p>
    <w:p w:rsidR="0018307E" w:rsidRPr="00417344" w:rsidRDefault="0018307E" w:rsidP="0018307E">
      <w:pPr>
        <w:pStyle w:val="ParaNoNdepar-AltN"/>
        <w:rPr>
          <w:rFonts w:cs="Times New Roman"/>
          <w:lang w:val="fr-CA"/>
        </w:rPr>
      </w:pPr>
      <w:r w:rsidRPr="00417344">
        <w:rPr>
          <w:rFonts w:cs="Times New Roman"/>
          <w:lang w:val="fr-CA"/>
        </w:rPr>
        <w:t>Pour les motifs qui suivent, à l’instar de la Cour d’appel, je suis d’avis que la décision du Tribunal était erronée et que ce dernier n’avait pas compétence à l’égard de la relation qui existait entre M.</w:t>
      </w:r>
      <w:r w:rsidR="00684BD3">
        <w:rPr>
          <w:rFonts w:cs="Times New Roman"/>
          <w:lang w:val="fr-CA"/>
        </w:rPr>
        <w:t xml:space="preserve"> </w:t>
      </w:r>
      <w:r w:rsidRPr="00417344">
        <w:rPr>
          <w:rFonts w:cs="Times New Roman"/>
          <w:lang w:val="fr-CA"/>
        </w:rPr>
        <w:t xml:space="preserve">McCormick et le cabinet; je ne puis toutefois accepter la conclusion voulant qu’un associé ne puisse jamais être un employé relevant du champ d’application du </w:t>
      </w:r>
      <w:r w:rsidRPr="00417344">
        <w:rPr>
          <w:rFonts w:cs="Times New Roman"/>
          <w:i/>
          <w:lang w:val="fr-CA"/>
        </w:rPr>
        <w:t>Code</w:t>
      </w:r>
      <w:r w:rsidRPr="00417344">
        <w:rPr>
          <w:rFonts w:cs="Times New Roman"/>
          <w:lang w:val="fr-CA"/>
        </w:rPr>
        <w:t>.  Le facteur clé est le degré de contrôle et de dépendance.</w:t>
      </w:r>
    </w:p>
    <w:p w:rsidR="0018307E" w:rsidRPr="00417344" w:rsidRDefault="0018307E" w:rsidP="0018307E">
      <w:pPr>
        <w:pStyle w:val="TitleTitre-AltT"/>
        <w:spacing w:before="0"/>
        <w:rPr>
          <w:rFonts w:cs="Times New Roman"/>
          <w:u w:val="single"/>
        </w:rPr>
      </w:pPr>
      <w:r w:rsidRPr="00417344">
        <w:rPr>
          <w:rFonts w:cs="Times New Roman"/>
          <w:u w:val="single"/>
        </w:rPr>
        <w:t>Analyse</w:t>
      </w:r>
    </w:p>
    <w:p w:rsidR="0018307E" w:rsidRPr="00417344" w:rsidRDefault="0018307E" w:rsidP="0018307E">
      <w:pPr>
        <w:pStyle w:val="ParaNoNdepar-AltN"/>
        <w:rPr>
          <w:rFonts w:cs="Times New Roman"/>
          <w:lang w:val="fr-CA"/>
        </w:rPr>
      </w:pPr>
      <w:r w:rsidRPr="00417344">
        <w:rPr>
          <w:rFonts w:cs="Times New Roman"/>
          <w:lang w:val="fr-CA"/>
        </w:rPr>
        <w:lastRenderedPageBreak/>
        <w:t>Au cours des procédures antérieures, les parties n’ont pas contesté que la norme de contrôle était celle de la décision correcte.  Puisque le litige ne porte pas sur une conclusion de fait ou sur l’exercice du pouvoir discrétionnaire du Tribunal, c’est la norme de la décision correcte qui s’applique aux termes de l’art.</w:t>
      </w:r>
      <w:r w:rsidR="00684BD3">
        <w:rPr>
          <w:rFonts w:cs="Times New Roman"/>
          <w:lang w:val="fr-CA"/>
        </w:rPr>
        <w:t xml:space="preserve"> </w:t>
      </w:r>
      <w:r w:rsidRPr="00417344">
        <w:rPr>
          <w:rFonts w:cs="Times New Roman"/>
          <w:lang w:val="fr-CA"/>
        </w:rPr>
        <w:t xml:space="preserve">59 de la loi intitulée </w:t>
      </w:r>
      <w:r w:rsidRPr="00417344">
        <w:rPr>
          <w:rFonts w:cs="Times New Roman"/>
          <w:i/>
          <w:lang w:val="fr-CA"/>
        </w:rPr>
        <w:t xml:space="preserve">Administrative </w:t>
      </w:r>
      <w:proofErr w:type="spellStart"/>
      <w:r w:rsidRPr="00417344">
        <w:rPr>
          <w:rFonts w:cs="Times New Roman"/>
          <w:i/>
          <w:lang w:val="fr-CA"/>
        </w:rPr>
        <w:t>Tribunals</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Fonts w:cs="Times New Roman"/>
          <w:lang w:val="fr-CA"/>
        </w:rPr>
        <w:t xml:space="preserve"> de la Colombie</w:t>
      </w:r>
      <w:r w:rsidR="00684BD3">
        <w:rPr>
          <w:rFonts w:cs="Times New Roman"/>
          <w:lang w:val="fr-CA"/>
        </w:rPr>
        <w:t>-</w:t>
      </w:r>
      <w:r w:rsidRPr="00417344">
        <w:rPr>
          <w:rFonts w:cs="Times New Roman"/>
          <w:lang w:val="fr-CA"/>
        </w:rPr>
        <w:t>Britannique</w:t>
      </w:r>
      <w:r w:rsidRPr="00417344">
        <w:rPr>
          <w:rStyle w:val="FootnoteReference"/>
          <w:rFonts w:cs="Times New Roman"/>
          <w:lang w:val="fr-CA"/>
        </w:rPr>
        <w:footnoteReference w:id="13"/>
      </w:r>
      <w:r w:rsidR="00684BD3">
        <w:rPr>
          <w:rFonts w:cs="Times New Roman"/>
          <w:lang w:val="fr-CA"/>
        </w:rPr>
        <w:t> :</w:t>
      </w:r>
      <w:r w:rsidRPr="00417344">
        <w:rPr>
          <w:rFonts w:cs="Times New Roman"/>
          <w:lang w:val="fr-CA"/>
        </w:rPr>
        <w:t xml:space="preserve"> </w:t>
      </w:r>
      <w:r w:rsidRPr="00417344">
        <w:rPr>
          <w:rFonts w:cs="Times New Roman"/>
          <w:i/>
          <w:lang w:val="fr-CA" w:bidi="en-US"/>
        </w:rPr>
        <w:t>Moore c. Colombie</w:t>
      </w:r>
      <w:r w:rsidR="00684BD3">
        <w:rPr>
          <w:rFonts w:cs="Times New Roman"/>
          <w:i/>
          <w:lang w:val="fr-CA" w:bidi="en-US"/>
        </w:rPr>
        <w:t>-</w:t>
      </w:r>
      <w:r w:rsidR="00F868BA">
        <w:rPr>
          <w:rFonts w:cs="Times New Roman"/>
          <w:i/>
          <w:lang w:val="fr-CA" w:bidi="en-US"/>
        </w:rPr>
        <w:t>Britannique (É</w:t>
      </w:r>
      <w:r w:rsidRPr="00417344">
        <w:rPr>
          <w:rFonts w:cs="Times New Roman"/>
          <w:i/>
          <w:lang w:val="fr-CA" w:bidi="en-US"/>
        </w:rPr>
        <w:t>ducation)</w:t>
      </w:r>
      <w:r w:rsidRPr="00417344">
        <w:rPr>
          <w:rFonts w:cs="Times New Roman"/>
          <w:lang w:val="fr-CA" w:bidi="en-US"/>
        </w:rPr>
        <w:t>, [2012] 3 R.C.S. 360, par.</w:t>
      </w:r>
      <w:r w:rsidR="00684BD3">
        <w:rPr>
          <w:rFonts w:cs="Times New Roman"/>
          <w:lang w:val="fr-CA" w:bidi="en-US"/>
        </w:rPr>
        <w:t xml:space="preserve"> </w:t>
      </w:r>
      <w:r w:rsidRPr="00417344">
        <w:rPr>
          <w:rFonts w:cs="Times New Roman"/>
          <w:lang w:val="fr-CA" w:bidi="en-US"/>
        </w:rPr>
        <w:t>55</w:t>
      </w:r>
      <w:r w:rsidR="00684BD3">
        <w:rPr>
          <w:rFonts w:cs="Times New Roman"/>
          <w:lang w:val="fr-CA" w:bidi="en-US"/>
        </w:rPr>
        <w:t>-</w:t>
      </w:r>
      <w:r w:rsidRPr="00417344">
        <w:rPr>
          <w:rFonts w:cs="Times New Roman"/>
          <w:lang w:val="fr-CA" w:bidi="en-US"/>
        </w:rPr>
        <w:t xml:space="preserve">57; </w:t>
      </w:r>
      <w:r w:rsidRPr="00417344">
        <w:rPr>
          <w:rFonts w:cs="Times New Roman"/>
          <w:i/>
          <w:lang w:val="fr-CA" w:bidi="en-US"/>
        </w:rPr>
        <w:t>Colombie</w:t>
      </w:r>
      <w:r w:rsidR="00684BD3">
        <w:rPr>
          <w:rFonts w:cs="Times New Roman"/>
          <w:i/>
          <w:lang w:val="fr-CA" w:bidi="en-US"/>
        </w:rPr>
        <w:t>-</w:t>
      </w:r>
      <w:r w:rsidRPr="00417344">
        <w:rPr>
          <w:rFonts w:cs="Times New Roman"/>
          <w:i/>
          <w:lang w:val="fr-CA" w:bidi="en-US"/>
        </w:rPr>
        <w:t>Britannique (</w:t>
      </w:r>
      <w:proofErr w:type="spellStart"/>
      <w:r w:rsidRPr="00417344">
        <w:rPr>
          <w:rFonts w:cs="Times New Roman"/>
          <w:i/>
          <w:lang w:val="fr-CA" w:bidi="en-US"/>
        </w:rPr>
        <w:t>Workers</w:t>
      </w:r>
      <w:proofErr w:type="spellEnd"/>
      <w:r w:rsidRPr="00417344">
        <w:rPr>
          <w:rFonts w:cs="Times New Roman"/>
          <w:i/>
          <w:lang w:val="fr-CA" w:bidi="en-US"/>
        </w:rPr>
        <w:t xml:space="preserve">’ Compensation </w:t>
      </w:r>
      <w:proofErr w:type="spellStart"/>
      <w:r w:rsidRPr="00417344">
        <w:rPr>
          <w:rFonts w:cs="Times New Roman"/>
          <w:i/>
          <w:lang w:val="fr-CA" w:bidi="en-US"/>
        </w:rPr>
        <w:t>Board</w:t>
      </w:r>
      <w:proofErr w:type="spellEnd"/>
      <w:r w:rsidRPr="00417344">
        <w:rPr>
          <w:rFonts w:cs="Times New Roman"/>
          <w:i/>
          <w:lang w:val="fr-CA" w:bidi="en-US"/>
        </w:rPr>
        <w:t xml:space="preserve">) c. </w:t>
      </w:r>
      <w:proofErr w:type="spellStart"/>
      <w:r w:rsidRPr="00417344">
        <w:rPr>
          <w:rFonts w:cs="Times New Roman"/>
          <w:i/>
          <w:lang w:val="fr-CA" w:bidi="en-US"/>
        </w:rPr>
        <w:t>Figliola</w:t>
      </w:r>
      <w:proofErr w:type="spellEnd"/>
      <w:r w:rsidRPr="00417344">
        <w:rPr>
          <w:rFonts w:cs="Times New Roman"/>
          <w:lang w:val="fr-CA" w:bidi="en-US"/>
        </w:rPr>
        <w:t>, [2011] 3 R.C.S. 422, par.</w:t>
      </w:r>
      <w:r w:rsidR="00684BD3">
        <w:rPr>
          <w:rFonts w:cs="Times New Roman"/>
          <w:lang w:val="fr-CA" w:bidi="en-US"/>
        </w:rPr>
        <w:t xml:space="preserve"> </w:t>
      </w:r>
      <w:r w:rsidRPr="00417344">
        <w:rPr>
          <w:rFonts w:cs="Times New Roman"/>
          <w:lang w:val="fr-CA" w:bidi="en-US"/>
        </w:rPr>
        <w:t>18</w:t>
      </w:r>
      <w:r w:rsidR="00684BD3">
        <w:rPr>
          <w:rFonts w:cs="Times New Roman"/>
          <w:lang w:val="fr-CA" w:bidi="en-US"/>
        </w:rPr>
        <w:t>-</w:t>
      </w:r>
      <w:r w:rsidRPr="00417344">
        <w:rPr>
          <w:rFonts w:cs="Times New Roman"/>
          <w:lang w:val="fr-CA" w:bidi="en-US"/>
        </w:rPr>
        <w:t>20.</w:t>
      </w:r>
    </w:p>
    <w:p w:rsidR="0018307E" w:rsidRPr="00417344" w:rsidRDefault="0018307E" w:rsidP="0018307E">
      <w:pPr>
        <w:pStyle w:val="ParaNoNdepar-AltN"/>
        <w:rPr>
          <w:rFonts w:cs="Times New Roman"/>
          <w:lang w:val="fr-CA"/>
        </w:rPr>
      </w:pPr>
      <w:r w:rsidRPr="00417344">
        <w:rPr>
          <w:rFonts w:cs="Times New Roman"/>
          <w:lang w:val="fr-CA"/>
        </w:rPr>
        <w:t xml:space="preserve">Le </w:t>
      </w:r>
      <w:r w:rsidRPr="00417344">
        <w:rPr>
          <w:rFonts w:cs="Times New Roman"/>
          <w:i/>
          <w:lang w:val="fr-CA"/>
        </w:rPr>
        <w:t>Code</w:t>
      </w:r>
      <w:r w:rsidRPr="00417344">
        <w:rPr>
          <w:rFonts w:cs="Times New Roman"/>
          <w:lang w:val="fr-CA"/>
        </w:rPr>
        <w:t xml:space="preserve"> est une loi quasi constitutionnelle, qui commande une interprétation généreuse afin de permettre la réalisation de ses larges objectifs d’intérêt public</w:t>
      </w:r>
      <w:r w:rsidR="00684BD3">
        <w:rPr>
          <w:rFonts w:cs="Times New Roman"/>
          <w:lang w:val="fr-CA"/>
        </w:rPr>
        <w:t> :</w:t>
      </w:r>
      <w:r w:rsidRPr="00417344">
        <w:rPr>
          <w:rFonts w:cs="Times New Roman"/>
          <w:lang w:val="fr-CA"/>
        </w:rPr>
        <w:t xml:space="preserve"> </w:t>
      </w:r>
      <w:r w:rsidRPr="00417344">
        <w:rPr>
          <w:rFonts w:cs="Times New Roman"/>
          <w:i/>
          <w:lang w:val="fr-CA"/>
        </w:rPr>
        <w:t xml:space="preserve">Winnipeg </w:t>
      </w:r>
      <w:proofErr w:type="spellStart"/>
      <w:r w:rsidRPr="00417344">
        <w:rPr>
          <w:rFonts w:cs="Times New Roman"/>
          <w:i/>
          <w:lang w:val="fr-CA"/>
        </w:rPr>
        <w:t>School</w:t>
      </w:r>
      <w:proofErr w:type="spellEnd"/>
      <w:r w:rsidRPr="00417344">
        <w:rPr>
          <w:rFonts w:cs="Times New Roman"/>
          <w:i/>
          <w:lang w:val="fr-CA"/>
        </w:rPr>
        <w:t xml:space="preserve"> Division No.</w:t>
      </w:r>
      <w:r w:rsidR="00684BD3">
        <w:rPr>
          <w:rFonts w:cs="Times New Roman"/>
          <w:i/>
          <w:lang w:val="fr-CA"/>
        </w:rPr>
        <w:t xml:space="preserve"> </w:t>
      </w:r>
      <w:r w:rsidRPr="00417344">
        <w:rPr>
          <w:rFonts w:cs="Times New Roman"/>
          <w:i/>
          <w:lang w:val="fr-CA"/>
        </w:rPr>
        <w:t>1 c. Craton</w:t>
      </w:r>
      <w:r w:rsidRPr="00417344">
        <w:rPr>
          <w:rFonts w:cs="Times New Roman"/>
          <w:lang w:val="fr-CA"/>
        </w:rPr>
        <w:t xml:space="preserve">, [1985] 2 R.C.S. 150; </w:t>
      </w:r>
      <w:r w:rsidRPr="00417344">
        <w:rPr>
          <w:rFonts w:cs="Times New Roman"/>
          <w:i/>
          <w:lang w:val="fr-CA"/>
        </w:rPr>
        <w:t>Commission ontarienne des dr</w:t>
      </w:r>
      <w:r w:rsidR="00F868BA">
        <w:rPr>
          <w:rFonts w:cs="Times New Roman"/>
          <w:i/>
          <w:lang w:val="fr-CA"/>
        </w:rPr>
        <w:t xml:space="preserve">oits de la personne c. </w:t>
      </w:r>
      <w:proofErr w:type="spellStart"/>
      <w:r w:rsidR="00F868BA">
        <w:rPr>
          <w:rFonts w:cs="Times New Roman"/>
          <w:i/>
          <w:lang w:val="fr-CA"/>
        </w:rPr>
        <w:t>Simpsons</w:t>
      </w:r>
      <w:proofErr w:type="spellEnd"/>
      <w:r w:rsidR="00F868BA">
        <w:rPr>
          <w:rFonts w:cs="Times New Roman"/>
          <w:i/>
          <w:lang w:val="fr-CA"/>
        </w:rPr>
        <w:t>-</w:t>
      </w:r>
      <w:r w:rsidRPr="00417344">
        <w:rPr>
          <w:rFonts w:cs="Times New Roman"/>
          <w:i/>
          <w:lang w:val="fr-CA"/>
        </w:rPr>
        <w:t>Sears Ltd.</w:t>
      </w:r>
      <w:r w:rsidRPr="00417344">
        <w:rPr>
          <w:rFonts w:cs="Times New Roman"/>
          <w:lang w:val="fr-CA"/>
        </w:rPr>
        <w:t>, [1985] 2 R.C.S. 536, p.</w:t>
      </w:r>
      <w:r w:rsidR="00684BD3">
        <w:rPr>
          <w:rFonts w:cs="Times New Roman"/>
          <w:lang w:val="fr-CA"/>
        </w:rPr>
        <w:t xml:space="preserve"> </w:t>
      </w:r>
      <w:r w:rsidRPr="00417344">
        <w:rPr>
          <w:rFonts w:cs="Times New Roman"/>
          <w:lang w:val="fr-CA"/>
        </w:rPr>
        <w:t xml:space="preserve">547, le juge McIntyre; </w:t>
      </w:r>
      <w:r w:rsidR="00F868BA">
        <w:rPr>
          <w:rFonts w:cs="Times New Roman"/>
          <w:i/>
          <w:lang w:val="fr-CA"/>
        </w:rPr>
        <w:t>Compagnie des chemins de fer nationaux du Canada</w:t>
      </w:r>
      <w:r w:rsidRPr="00417344">
        <w:rPr>
          <w:rFonts w:cs="Times New Roman"/>
          <w:i/>
          <w:lang w:val="fr-CA"/>
        </w:rPr>
        <w:t xml:space="preserve"> c. Canada (Commission canadienne des droits de la personne)</w:t>
      </w:r>
      <w:r w:rsidRPr="00417344">
        <w:rPr>
          <w:rFonts w:cs="Times New Roman"/>
          <w:lang w:val="fr-CA"/>
        </w:rPr>
        <w:t>, [1987] 1 R.C.S. 1114, p.</w:t>
      </w:r>
      <w:r w:rsidR="00684BD3">
        <w:rPr>
          <w:rFonts w:cs="Times New Roman"/>
          <w:lang w:val="fr-CA"/>
        </w:rPr>
        <w:t xml:space="preserve"> </w:t>
      </w:r>
      <w:r w:rsidRPr="00417344">
        <w:rPr>
          <w:rFonts w:cs="Times New Roman"/>
          <w:lang w:val="fr-CA"/>
        </w:rPr>
        <w:t>1133</w:t>
      </w:r>
      <w:r w:rsidR="00684BD3">
        <w:rPr>
          <w:rFonts w:cs="Times New Roman"/>
          <w:lang w:val="fr-CA"/>
        </w:rPr>
        <w:t>-</w:t>
      </w:r>
      <w:r w:rsidRPr="00417344">
        <w:rPr>
          <w:rFonts w:cs="Times New Roman"/>
          <w:lang w:val="fr-CA"/>
        </w:rPr>
        <w:t xml:space="preserve">1136; </w:t>
      </w:r>
      <w:r w:rsidRPr="00417344">
        <w:rPr>
          <w:rFonts w:cs="Times New Roman"/>
          <w:i/>
          <w:iCs/>
          <w:lang w:val="fr-CA"/>
        </w:rPr>
        <w:t>Conseil des Canadiens avec déficiences c. VIA Rail Canada Inc.</w:t>
      </w:r>
      <w:r w:rsidRPr="00417344">
        <w:rPr>
          <w:rFonts w:cs="Times New Roman"/>
          <w:lang w:val="fr-CA"/>
        </w:rPr>
        <w:t xml:space="preserve">, [2007] 1 R.C.S. 650. </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t xml:space="preserve">Ces objectifs incluent la prévention des désavantages ou exclusions arbitraires fondés sur </w:t>
      </w:r>
      <w:r w:rsidR="00F64CCF">
        <w:rPr>
          <w:rFonts w:cs="Times New Roman"/>
          <w:lang w:val="fr-CA"/>
        </w:rPr>
        <w:t xml:space="preserve">des </w:t>
      </w:r>
      <w:r w:rsidRPr="00417344">
        <w:rPr>
          <w:rFonts w:cs="Times New Roman"/>
          <w:lang w:val="fr-CA"/>
        </w:rPr>
        <w:t>motif</w:t>
      </w:r>
      <w:r w:rsidR="00F64CCF">
        <w:rPr>
          <w:rFonts w:cs="Times New Roman"/>
          <w:lang w:val="fr-CA"/>
        </w:rPr>
        <w:t>s</w:t>
      </w:r>
      <w:r w:rsidRPr="00417344">
        <w:rPr>
          <w:rFonts w:cs="Times New Roman"/>
          <w:lang w:val="fr-CA"/>
        </w:rPr>
        <w:t xml:space="preserve"> énumérés, afin que les personnes réputées vulnérables en raison d’une caractéristique collective puissent être protégées contre la discrimination.</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lastRenderedPageBreak/>
        <w:t xml:space="preserve">Le </w:t>
      </w:r>
      <w:r w:rsidRPr="00417344">
        <w:rPr>
          <w:rFonts w:cs="Times New Roman"/>
          <w:i/>
          <w:lang w:val="fr-CA"/>
        </w:rPr>
        <w:t>Code</w:t>
      </w:r>
      <w:r w:rsidRPr="00417344">
        <w:rPr>
          <w:rFonts w:cs="Times New Roman"/>
          <w:lang w:val="fr-CA"/>
        </w:rPr>
        <w:t xml:space="preserve"> réalise ces objectifs en prohibant la discrimination dans certains contextes précis.  L’un de ces contextes est l’</w:t>
      </w:r>
      <w:r w:rsidR="00684BD3">
        <w:rPr>
          <w:rFonts w:cs="Times New Roman"/>
          <w:lang w:val="fr-CA"/>
        </w:rPr>
        <w:t>« </w:t>
      </w:r>
      <w:r w:rsidRPr="00417344">
        <w:rPr>
          <w:rFonts w:cs="Times New Roman"/>
          <w:lang w:val="fr-CA"/>
        </w:rPr>
        <w:t>emploi</w:t>
      </w:r>
      <w:r w:rsidR="00684BD3">
        <w:rPr>
          <w:rFonts w:cs="Times New Roman"/>
          <w:lang w:val="fr-CA"/>
        </w:rPr>
        <w:t> »</w:t>
      </w:r>
      <w:r w:rsidRPr="00417344">
        <w:rPr>
          <w:rFonts w:cs="Times New Roman"/>
          <w:lang w:val="fr-CA"/>
        </w:rPr>
        <w:t>.  La définition de ce mot doit donc être analysée d’une manière qui s’harmonise avec les objectifs généreux énoncés à l’art.</w:t>
      </w:r>
      <w:r w:rsidR="00684BD3">
        <w:rPr>
          <w:rFonts w:cs="Times New Roman"/>
          <w:lang w:val="fr-CA"/>
        </w:rPr>
        <w:t xml:space="preserve"> </w:t>
      </w:r>
      <w:r w:rsidRPr="00417344">
        <w:rPr>
          <w:rFonts w:cs="Times New Roman"/>
          <w:lang w:val="fr-CA"/>
        </w:rPr>
        <w:t xml:space="preserve">3 du </w:t>
      </w:r>
      <w:r w:rsidRPr="00417344">
        <w:rPr>
          <w:rFonts w:cs="Times New Roman"/>
          <w:i/>
          <w:lang w:val="fr-CA"/>
        </w:rPr>
        <w:t>Code</w:t>
      </w:r>
      <w:r w:rsidRPr="00417344">
        <w:rPr>
          <w:rFonts w:cs="Times New Roman"/>
          <w:lang w:val="fr-CA"/>
        </w:rPr>
        <w:t xml:space="preserve">, objectifs qui expriment les aspirations de la société, et être interprétée à la lumière de la nature protectrice des lois sur les droits de la personne, lesquelles constituent </w:t>
      </w:r>
      <w:r w:rsidR="00684BD3">
        <w:rPr>
          <w:rFonts w:cs="Times New Roman"/>
          <w:lang w:val="fr-CA"/>
        </w:rPr>
        <w:t>« </w:t>
      </w:r>
      <w:r w:rsidRPr="00417344">
        <w:rPr>
          <w:rFonts w:cs="Times New Roman"/>
          <w:lang w:val="fr-CA" w:bidi="en-US"/>
        </w:rPr>
        <w:t>souvent le dernier recours de la personne désavantagée et de la personne privée de ses droits de représentation</w:t>
      </w:r>
      <w:r w:rsidR="00684BD3">
        <w:rPr>
          <w:rFonts w:cs="Times New Roman"/>
          <w:lang w:val="fr-CA" w:bidi="en-US"/>
        </w:rPr>
        <w:t> »</w:t>
      </w:r>
      <w:r w:rsidRPr="00417344">
        <w:rPr>
          <w:rFonts w:cs="Times New Roman"/>
          <w:lang w:val="fr-CA"/>
        </w:rPr>
        <w:t xml:space="preserve"> et </w:t>
      </w:r>
      <w:r w:rsidR="00684BD3">
        <w:rPr>
          <w:rFonts w:cs="Times New Roman"/>
          <w:lang w:val="fr-CA"/>
        </w:rPr>
        <w:t>« </w:t>
      </w:r>
      <w:r w:rsidRPr="00417344">
        <w:rPr>
          <w:rFonts w:cs="Times New Roman"/>
          <w:lang w:val="fr-CA" w:bidi="en-US"/>
        </w:rPr>
        <w:t>des membres les plus vulnérables de la société</w:t>
      </w:r>
      <w:r w:rsidR="00684BD3">
        <w:rPr>
          <w:rFonts w:cs="Times New Roman"/>
          <w:lang w:val="fr-CA" w:bidi="en-US"/>
        </w:rPr>
        <w:t> » :</w:t>
      </w:r>
      <w:r w:rsidRPr="00417344">
        <w:rPr>
          <w:rFonts w:cs="Times New Roman"/>
          <w:lang w:val="fr-CA"/>
        </w:rPr>
        <w:t xml:space="preserve"> </w:t>
      </w:r>
      <w:r w:rsidRPr="00417344">
        <w:rPr>
          <w:rFonts w:cs="Times New Roman"/>
          <w:i/>
          <w:lang w:val="fr-CA"/>
        </w:rPr>
        <w:t xml:space="preserve">Zurich </w:t>
      </w:r>
      <w:proofErr w:type="spellStart"/>
      <w:r w:rsidRPr="00417344">
        <w:rPr>
          <w:rFonts w:cs="Times New Roman"/>
          <w:i/>
          <w:lang w:val="fr-CA"/>
        </w:rPr>
        <w:t>Insurance</w:t>
      </w:r>
      <w:proofErr w:type="spellEnd"/>
      <w:r w:rsidRPr="00417344">
        <w:rPr>
          <w:rFonts w:cs="Times New Roman"/>
          <w:i/>
          <w:lang w:val="fr-CA"/>
        </w:rPr>
        <w:t xml:space="preserve"> Co. c. Ontario (Commission des droits de la personne)</w:t>
      </w:r>
      <w:r w:rsidRPr="00417344">
        <w:rPr>
          <w:rFonts w:cs="Times New Roman"/>
          <w:lang w:val="fr-CA"/>
        </w:rPr>
        <w:t>, [1992] 2 R.C.S. 321, p.</w:t>
      </w:r>
      <w:r w:rsidR="00684BD3">
        <w:rPr>
          <w:rFonts w:cs="Times New Roman"/>
          <w:lang w:val="fr-CA"/>
        </w:rPr>
        <w:t xml:space="preserve"> </w:t>
      </w:r>
      <w:r w:rsidRPr="00417344">
        <w:rPr>
          <w:rFonts w:cs="Times New Roman"/>
          <w:lang w:val="fr-CA"/>
        </w:rPr>
        <w:t xml:space="preserve">339.  Voilà le cadre philosophique applicable pour déterminer si une relation d’emploi donnée représente le genre de vulnérabilité que le </w:t>
      </w:r>
      <w:r w:rsidRPr="00417344">
        <w:rPr>
          <w:rFonts w:cs="Times New Roman"/>
          <w:i/>
          <w:lang w:val="fr-CA"/>
        </w:rPr>
        <w:t>Code</w:t>
      </w:r>
      <w:r w:rsidRPr="00417344">
        <w:rPr>
          <w:rFonts w:cs="Times New Roman"/>
          <w:lang w:val="fr-CA"/>
        </w:rPr>
        <w:t xml:space="preserve"> est censé protéger. </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t>Monsieur</w:t>
      </w:r>
      <w:r w:rsidR="00684BD3">
        <w:rPr>
          <w:rFonts w:cs="Times New Roman"/>
          <w:lang w:val="fr-CA"/>
        </w:rPr>
        <w:t xml:space="preserve"> </w:t>
      </w:r>
      <w:r w:rsidRPr="00417344">
        <w:rPr>
          <w:rFonts w:cs="Times New Roman"/>
          <w:lang w:val="fr-CA"/>
        </w:rPr>
        <w:t>McCormick a déposé une plainte fondée sur l’âge — un motif énuméré — en vertu de l’art.</w:t>
      </w:r>
      <w:r w:rsidR="00684BD3">
        <w:rPr>
          <w:rFonts w:cs="Times New Roman"/>
          <w:lang w:val="fr-CA"/>
        </w:rPr>
        <w:t xml:space="preserve"> </w:t>
      </w:r>
      <w:r w:rsidRPr="00417344">
        <w:rPr>
          <w:rFonts w:cs="Times New Roman"/>
          <w:lang w:val="fr-CA"/>
        </w:rPr>
        <w:t xml:space="preserve">13 du </w:t>
      </w:r>
      <w:r w:rsidRPr="00417344">
        <w:rPr>
          <w:rFonts w:cs="Times New Roman"/>
          <w:i/>
          <w:lang w:val="fr-CA"/>
        </w:rPr>
        <w:t>Code</w:t>
      </w:r>
      <w:r w:rsidRPr="00417344">
        <w:rPr>
          <w:rFonts w:cs="Times New Roman"/>
          <w:lang w:val="fr-CA"/>
        </w:rPr>
        <w:t>, disposition qui est rédigée en partie ainsi</w:t>
      </w:r>
      <w:r w:rsidR="00684BD3">
        <w:rPr>
          <w:rFonts w:cs="Times New Roman"/>
          <w:lang w:val="fr-CA"/>
        </w:rPr>
        <w:t> :</w:t>
      </w:r>
    </w:p>
    <w:p w:rsidR="0018307E" w:rsidRPr="00417344" w:rsidRDefault="0018307E" w:rsidP="0018307E">
      <w:pPr>
        <w:pStyle w:val="Citation-AltC"/>
        <w:spacing w:after="240"/>
        <w:ind w:hanging="1166"/>
        <w:contextualSpacing w:val="0"/>
        <w:rPr>
          <w:lang w:val="fr-CA"/>
        </w:rPr>
      </w:pPr>
      <w:bookmarkStart w:id="0" w:name="section13"/>
      <w:bookmarkEnd w:id="0"/>
      <w:r w:rsidRPr="00417344">
        <w:rPr>
          <w:lang w:val="fr-CA"/>
        </w:rPr>
        <w:tab/>
        <w:t>[</w:t>
      </w:r>
      <w:r w:rsidRPr="00417344">
        <w:rPr>
          <w:smallCaps/>
          <w:lang w:val="fr-CA"/>
        </w:rPr>
        <w:t>traduction</w:t>
      </w:r>
      <w:r w:rsidRPr="00417344">
        <w:rPr>
          <w:lang w:val="fr-CA"/>
        </w:rPr>
        <w:t>]</w:t>
      </w:r>
    </w:p>
    <w:p w:rsidR="0018307E" w:rsidRPr="00417344" w:rsidRDefault="0018307E" w:rsidP="0018307E">
      <w:pPr>
        <w:pStyle w:val="Citation-AltC"/>
        <w:tabs>
          <w:tab w:val="left" w:pos="1920"/>
        </w:tabs>
        <w:spacing w:after="240"/>
        <w:ind w:hanging="1166"/>
        <w:contextualSpacing w:val="0"/>
        <w:rPr>
          <w:lang w:val="fr-CA"/>
        </w:rPr>
      </w:pPr>
      <w:r w:rsidRPr="00417344">
        <w:rPr>
          <w:rStyle w:val="Strong"/>
          <w:lang w:val="fr-CA"/>
        </w:rPr>
        <w:tab/>
        <w:t>13</w:t>
      </w:r>
      <w:r w:rsidRPr="00417344">
        <w:rPr>
          <w:lang w:val="fr-CA"/>
        </w:rPr>
        <w:t xml:space="preserve"> [Discrimination en matière d’emploi]</w:t>
      </w:r>
      <w:r w:rsidR="00F868BA">
        <w:rPr>
          <w:lang w:val="fr-CA"/>
        </w:rPr>
        <w:t xml:space="preserve"> (1)</w:t>
      </w:r>
      <w:r w:rsidR="00F868BA" w:rsidRPr="00417344">
        <w:rPr>
          <w:lang w:val="fr-CA" w:bidi="en-US"/>
        </w:rPr>
        <w:t xml:space="preserve"> </w:t>
      </w:r>
      <w:r w:rsidRPr="00417344">
        <w:rPr>
          <w:lang w:val="fr-CA" w:bidi="en-US"/>
        </w:rPr>
        <w:t>Nul ne peut</w:t>
      </w:r>
    </w:p>
    <w:p w:rsidR="0018307E" w:rsidRDefault="0018307E" w:rsidP="009337CF">
      <w:pPr>
        <w:pStyle w:val="Citation-AltC"/>
        <w:ind w:left="2520" w:hanging="360"/>
        <w:rPr>
          <w:lang w:val="fr-CA" w:bidi="en-US"/>
        </w:rPr>
      </w:pPr>
      <w:r w:rsidRPr="00417344">
        <w:rPr>
          <w:lang w:val="fr-CA"/>
        </w:rPr>
        <w:t>(a)</w:t>
      </w:r>
      <w:r w:rsidRPr="00417344">
        <w:rPr>
          <w:lang w:val="fr-CA"/>
        </w:rPr>
        <w:tab/>
        <w:t xml:space="preserve">soit </w:t>
      </w:r>
      <w:r w:rsidRPr="00417344">
        <w:rPr>
          <w:lang w:val="fr-CA" w:bidi="en-US"/>
        </w:rPr>
        <w:t xml:space="preserve">refuser </w:t>
      </w:r>
      <w:r w:rsidRPr="00246209">
        <w:rPr>
          <w:lang w:val="fr-CA"/>
        </w:rPr>
        <w:t>d’employer</w:t>
      </w:r>
      <w:r w:rsidRPr="00417344">
        <w:rPr>
          <w:lang w:val="fr-CA" w:bidi="en-US"/>
        </w:rPr>
        <w:t xml:space="preserve"> ou de continuer d’employer une personne;</w:t>
      </w:r>
    </w:p>
    <w:p w:rsidR="009337CF" w:rsidRPr="00417344" w:rsidRDefault="009337CF" w:rsidP="009337CF">
      <w:pPr>
        <w:pStyle w:val="Citation-AltC"/>
        <w:ind w:left="2520" w:hanging="360"/>
        <w:rPr>
          <w:lang w:val="fr-CA"/>
        </w:rPr>
      </w:pPr>
    </w:p>
    <w:p w:rsidR="0018307E" w:rsidRDefault="0018307E" w:rsidP="009337CF">
      <w:pPr>
        <w:pStyle w:val="Citation-AltC"/>
        <w:ind w:left="2520" w:hanging="360"/>
        <w:rPr>
          <w:lang w:val="fr-CA" w:bidi="en-US"/>
        </w:rPr>
      </w:pPr>
      <w:r w:rsidRPr="00417344">
        <w:rPr>
          <w:lang w:val="fr-CA"/>
        </w:rPr>
        <w:t>(b)</w:t>
      </w:r>
      <w:r w:rsidRPr="00417344">
        <w:rPr>
          <w:lang w:val="fr-CA"/>
        </w:rPr>
        <w:tab/>
        <w:t xml:space="preserve">soit </w:t>
      </w:r>
      <w:r w:rsidRPr="00417344">
        <w:rPr>
          <w:lang w:val="fr-CA" w:bidi="en-US"/>
        </w:rPr>
        <w:t xml:space="preserve">faire preuve </w:t>
      </w:r>
      <w:r w:rsidRPr="00246209">
        <w:rPr>
          <w:lang w:val="fr-CA"/>
        </w:rPr>
        <w:t>de</w:t>
      </w:r>
      <w:r w:rsidRPr="00417344">
        <w:rPr>
          <w:lang w:val="fr-CA" w:bidi="en-US"/>
        </w:rPr>
        <w:t xml:space="preserve"> discrimination envers une personne relativement à son emploi ou aux modalités de son emploi,</w:t>
      </w:r>
    </w:p>
    <w:p w:rsidR="009337CF" w:rsidRPr="00417344" w:rsidRDefault="009337CF" w:rsidP="009337CF">
      <w:pPr>
        <w:pStyle w:val="Citation-AltC"/>
        <w:ind w:left="2520" w:hanging="360"/>
        <w:rPr>
          <w:lang w:val="fr-CA"/>
        </w:rPr>
      </w:pPr>
    </w:p>
    <w:p w:rsidR="0018307E" w:rsidRPr="00417344" w:rsidRDefault="0018307E" w:rsidP="009337CF">
      <w:pPr>
        <w:pStyle w:val="Citation-AltC"/>
        <w:ind w:left="1980"/>
        <w:rPr>
          <w:lang w:val="fr-CA"/>
        </w:rPr>
      </w:pPr>
      <w:r w:rsidRPr="00417344">
        <w:rPr>
          <w:lang w:val="fr-CA" w:bidi="en-US"/>
        </w:rPr>
        <w:t xml:space="preserve">du fait de sa race, de sa </w:t>
      </w:r>
      <w:r w:rsidRPr="009337CF">
        <w:rPr>
          <w:lang w:val="fr-CA"/>
        </w:rPr>
        <w:t>couleur</w:t>
      </w:r>
      <w:r w:rsidRPr="00417344">
        <w:rPr>
          <w:lang w:val="fr-CA" w:bidi="en-US"/>
        </w:rPr>
        <w:t>, de son ascendance, de son lieu d’origine, de ses opinions politiques, de sa religion, de son état matrimonial, de sa situation familiale, de ses déficiences mentales ou physiques, de son sexe, de son orientation sexuelle ou de son âge, ou en raison de sa déclaration de culpabilité à l’égard d’une infraction criminelle ou d’une infraction punissable par procédure sommaire qui n’ont aucun rapport avec l’emploi actuel ou envisagé de la personne en question.</w:t>
      </w:r>
    </w:p>
    <w:p w:rsidR="0018307E" w:rsidRPr="00417344" w:rsidRDefault="0018307E" w:rsidP="0018307E">
      <w:pPr>
        <w:pStyle w:val="Citation-AltC"/>
        <w:spacing w:after="240"/>
        <w:ind w:hanging="1166"/>
        <w:contextualSpacing w:val="0"/>
        <w:jc w:val="center"/>
        <w:rPr>
          <w:lang w:val="fr-CA"/>
        </w:rPr>
      </w:pPr>
      <w:r w:rsidRPr="00417344">
        <w:rPr>
          <w:lang w:val="fr-CA"/>
        </w:rPr>
        <w:lastRenderedPageBreak/>
        <w:t>.</w:t>
      </w:r>
      <w:r w:rsidR="00684BD3">
        <w:rPr>
          <w:lang w:val="fr-CA"/>
        </w:rPr>
        <w:t xml:space="preserve"> </w:t>
      </w:r>
      <w:r w:rsidRPr="00417344">
        <w:rPr>
          <w:lang w:val="fr-CA"/>
        </w:rPr>
        <w:t>.</w:t>
      </w:r>
      <w:r w:rsidR="00684BD3">
        <w:rPr>
          <w:lang w:val="fr-CA"/>
        </w:rPr>
        <w:t xml:space="preserve"> </w:t>
      </w:r>
      <w:r w:rsidRPr="00417344">
        <w:rPr>
          <w:lang w:val="fr-CA"/>
        </w:rPr>
        <w:t>.</w:t>
      </w:r>
    </w:p>
    <w:p w:rsidR="0018307E" w:rsidRDefault="0018307E" w:rsidP="00246209">
      <w:pPr>
        <w:pStyle w:val="Citation-AltC"/>
        <w:ind w:left="1890" w:hanging="360"/>
        <w:rPr>
          <w:lang w:val="fr-CA" w:bidi="en-US"/>
        </w:rPr>
      </w:pPr>
      <w:r w:rsidRPr="00417344">
        <w:rPr>
          <w:lang w:val="fr-CA"/>
        </w:rPr>
        <w:t>(3)</w:t>
      </w:r>
      <w:r w:rsidRPr="00417344">
        <w:rPr>
          <w:lang w:val="fr-CA"/>
        </w:rPr>
        <w:tab/>
      </w:r>
      <w:r w:rsidRPr="00417344">
        <w:rPr>
          <w:lang w:val="fr-CA" w:bidi="en-US"/>
        </w:rPr>
        <w:t xml:space="preserve">Le </w:t>
      </w:r>
      <w:r w:rsidRPr="00F953AC">
        <w:rPr>
          <w:lang w:val="fr-CA"/>
        </w:rPr>
        <w:t>paragraphe</w:t>
      </w:r>
      <w:r w:rsidR="00684BD3">
        <w:rPr>
          <w:lang w:val="fr-CA" w:bidi="en-US"/>
        </w:rPr>
        <w:t xml:space="preserve"> </w:t>
      </w:r>
      <w:r w:rsidRPr="00417344">
        <w:rPr>
          <w:lang w:val="fr-CA" w:bidi="en-US"/>
        </w:rPr>
        <w:t>(1) ne s’applique pas</w:t>
      </w:r>
    </w:p>
    <w:p w:rsidR="009337CF" w:rsidRPr="00417344" w:rsidRDefault="009337CF" w:rsidP="009337CF">
      <w:pPr>
        <w:pStyle w:val="Citation-AltC"/>
        <w:ind w:left="1530"/>
        <w:rPr>
          <w:lang w:val="fr-CA"/>
        </w:rPr>
      </w:pPr>
    </w:p>
    <w:p w:rsidR="0018307E" w:rsidRDefault="0018307E" w:rsidP="009337CF">
      <w:pPr>
        <w:pStyle w:val="Citation-AltC"/>
        <w:ind w:left="2520" w:hanging="360"/>
        <w:rPr>
          <w:lang w:val="fr-CA" w:bidi="en-US"/>
        </w:rPr>
      </w:pPr>
      <w:r w:rsidRPr="00417344">
        <w:rPr>
          <w:lang w:val="fr-CA"/>
        </w:rPr>
        <w:t>(a)</w:t>
      </w:r>
      <w:r w:rsidRPr="00417344">
        <w:rPr>
          <w:lang w:val="fr-CA"/>
        </w:rPr>
        <w:tab/>
      </w:r>
      <w:r w:rsidRPr="00417344">
        <w:rPr>
          <w:lang w:val="fr-CA" w:bidi="en-US"/>
        </w:rPr>
        <w:t>en ce qui concerne l’âge, à un régime d’ancienneté légitime;</w:t>
      </w:r>
    </w:p>
    <w:p w:rsidR="009337CF" w:rsidRPr="00417344" w:rsidRDefault="009337CF" w:rsidP="009337CF">
      <w:pPr>
        <w:pStyle w:val="Citation-AltC"/>
        <w:ind w:left="2520" w:hanging="360"/>
        <w:rPr>
          <w:lang w:val="fr-CA"/>
        </w:rPr>
      </w:pPr>
    </w:p>
    <w:p w:rsidR="0018307E" w:rsidRPr="00246209" w:rsidRDefault="0018307E" w:rsidP="009337CF">
      <w:pPr>
        <w:pStyle w:val="Citation-AltC"/>
        <w:ind w:left="2520" w:hanging="360"/>
        <w:rPr>
          <w:lang w:val="fr-CA"/>
        </w:rPr>
      </w:pPr>
      <w:r w:rsidRPr="00417344">
        <w:rPr>
          <w:lang w:val="fr-CA"/>
        </w:rPr>
        <w:t>(b)</w:t>
      </w:r>
      <w:r w:rsidRPr="00417344">
        <w:rPr>
          <w:lang w:val="fr-CA"/>
        </w:rPr>
        <w:tab/>
      </w:r>
      <w:r w:rsidRPr="00417344">
        <w:rPr>
          <w:lang w:val="fr-CA" w:bidi="en-US"/>
        </w:rPr>
        <w:t>en ce qui concerne l’état matrimonial, les déficiences physiques ou mentales, l</w:t>
      </w:r>
      <w:r w:rsidR="009337CF">
        <w:rPr>
          <w:lang w:val="fr-CA" w:bidi="en-US"/>
        </w:rPr>
        <w:t>e sexe ou l’âge, à la mise en œ</w:t>
      </w:r>
      <w:r w:rsidRPr="00417344">
        <w:rPr>
          <w:lang w:val="fr-CA" w:bidi="en-US"/>
        </w:rPr>
        <w:t xml:space="preserve">uvre d’un régime de retraite ou de pension légitime ou à un </w:t>
      </w:r>
      <w:r w:rsidRPr="00246209">
        <w:rPr>
          <w:lang w:val="fr-CA"/>
        </w:rPr>
        <w:t>régime d’assurance collective ou d’assurance des employés</w:t>
      </w:r>
      <w:r w:rsidRPr="00417344">
        <w:rPr>
          <w:lang w:val="fr-CA" w:bidi="en-US"/>
        </w:rPr>
        <w:t xml:space="preserve"> légitime, que le régime soit l’objet ou non d’un contrat </w:t>
      </w:r>
      <w:r w:rsidRPr="00246209">
        <w:rPr>
          <w:lang w:val="fr-CA"/>
        </w:rPr>
        <w:t>d’assurance entre un assureur et un employeur.</w:t>
      </w:r>
    </w:p>
    <w:p w:rsidR="009337CF" w:rsidRPr="00417344" w:rsidRDefault="009337CF" w:rsidP="009337CF">
      <w:pPr>
        <w:pStyle w:val="Citation-AltC"/>
        <w:ind w:left="2520" w:hanging="360"/>
        <w:rPr>
          <w:lang w:val="fr-CA"/>
        </w:rPr>
      </w:pPr>
    </w:p>
    <w:p w:rsidR="0018307E" w:rsidRPr="00417344" w:rsidRDefault="009337CF" w:rsidP="009337CF">
      <w:pPr>
        <w:pStyle w:val="Citation-AltC"/>
        <w:ind w:left="1890" w:hanging="360"/>
        <w:rPr>
          <w:lang w:val="fr-CA"/>
        </w:rPr>
      </w:pPr>
      <w:r>
        <w:rPr>
          <w:lang w:val="fr-CA"/>
        </w:rPr>
        <w:t>(4)</w:t>
      </w:r>
      <w:r>
        <w:rPr>
          <w:lang w:val="fr-CA"/>
        </w:rPr>
        <w:tab/>
      </w:r>
      <w:r w:rsidR="0018307E" w:rsidRPr="00417344">
        <w:rPr>
          <w:lang w:val="fr-CA" w:bidi="en-US"/>
        </w:rPr>
        <w:t xml:space="preserve">Les </w:t>
      </w:r>
      <w:r w:rsidR="0018307E" w:rsidRPr="009337CF">
        <w:rPr>
          <w:lang w:val="fr-CA"/>
        </w:rPr>
        <w:t>paragraphes</w:t>
      </w:r>
      <w:r w:rsidR="00684BD3">
        <w:rPr>
          <w:lang w:val="fr-CA" w:bidi="en-US"/>
        </w:rPr>
        <w:t xml:space="preserve"> </w:t>
      </w:r>
      <w:r w:rsidR="0018307E" w:rsidRPr="00417344">
        <w:rPr>
          <w:lang w:val="fr-CA" w:bidi="en-US"/>
        </w:rPr>
        <w:t>(1) et (2) ne s’appliquent pas à un refus, à une limite, à une spécification ou à une préférence fondés sur une exigence professionnelle justifiée</w:t>
      </w:r>
      <w:r w:rsidR="0018307E" w:rsidRPr="00417344">
        <w:rPr>
          <w:lang w:val="fr-CA"/>
        </w:rPr>
        <w:t>.</w:t>
      </w:r>
    </w:p>
    <w:p w:rsidR="0018307E" w:rsidRPr="00417344" w:rsidRDefault="0018307E" w:rsidP="0018307E">
      <w:pPr>
        <w:pStyle w:val="ContinueParaSuitedupar-AltP"/>
        <w:rPr>
          <w:rFonts w:cs="Times New Roman"/>
          <w:lang w:val="fr-CA"/>
        </w:rPr>
      </w:pPr>
      <w:r w:rsidRPr="00417344">
        <w:rPr>
          <w:rFonts w:cs="Times New Roman"/>
          <w:lang w:val="fr-CA"/>
        </w:rPr>
        <w:t xml:space="preserve">Les mots </w:t>
      </w:r>
      <w:r w:rsidR="00684BD3">
        <w:rPr>
          <w:rFonts w:cs="Times New Roman"/>
          <w:lang w:val="fr-CA"/>
        </w:rPr>
        <w:t>« </w:t>
      </w:r>
      <w:r w:rsidRPr="00417344">
        <w:rPr>
          <w:rFonts w:cs="Times New Roman"/>
          <w:lang w:val="fr-CA"/>
        </w:rPr>
        <w:t>emploi</w:t>
      </w:r>
      <w:r w:rsidR="00684BD3">
        <w:rPr>
          <w:rFonts w:cs="Times New Roman"/>
          <w:lang w:val="fr-CA"/>
        </w:rPr>
        <w:t> »</w:t>
      </w:r>
      <w:r w:rsidRPr="00417344">
        <w:rPr>
          <w:rFonts w:cs="Times New Roman"/>
          <w:lang w:val="fr-CA"/>
        </w:rPr>
        <w:t xml:space="preserve"> et </w:t>
      </w:r>
      <w:r w:rsidR="00684BD3">
        <w:rPr>
          <w:rFonts w:cs="Times New Roman"/>
          <w:lang w:val="fr-CA"/>
        </w:rPr>
        <w:t>« </w:t>
      </w:r>
      <w:r w:rsidRPr="00417344">
        <w:rPr>
          <w:rFonts w:cs="Times New Roman"/>
          <w:lang w:val="fr-CA"/>
        </w:rPr>
        <w:t>personne</w:t>
      </w:r>
      <w:r w:rsidR="00684BD3">
        <w:rPr>
          <w:rFonts w:cs="Times New Roman"/>
          <w:lang w:val="fr-CA"/>
        </w:rPr>
        <w:t> »</w:t>
      </w:r>
      <w:r w:rsidRPr="00417344">
        <w:rPr>
          <w:rFonts w:cs="Times New Roman"/>
          <w:lang w:val="fr-CA"/>
        </w:rPr>
        <w:t xml:space="preserve"> sont définis en ces termes à l’art.</w:t>
      </w:r>
      <w:r w:rsidR="00684BD3">
        <w:rPr>
          <w:rFonts w:cs="Times New Roman"/>
          <w:lang w:val="fr-CA"/>
        </w:rPr>
        <w:t xml:space="preserve"> </w:t>
      </w:r>
      <w:r w:rsidRPr="00417344">
        <w:rPr>
          <w:rFonts w:cs="Times New Roman"/>
          <w:lang w:val="fr-CA"/>
        </w:rPr>
        <w:t>1</w:t>
      </w:r>
      <w:r w:rsidR="00684BD3">
        <w:rPr>
          <w:rFonts w:cs="Times New Roman"/>
          <w:lang w:val="fr-CA"/>
        </w:rPr>
        <w:t> :</w:t>
      </w:r>
    </w:p>
    <w:p w:rsidR="0018307E" w:rsidRPr="00417344" w:rsidRDefault="0018307E" w:rsidP="0018307E">
      <w:pPr>
        <w:pStyle w:val="Citation-AltC"/>
        <w:spacing w:after="240"/>
        <w:ind w:hanging="1166"/>
        <w:contextualSpacing w:val="0"/>
        <w:rPr>
          <w:lang w:val="fr-CA"/>
        </w:rPr>
      </w:pPr>
      <w:r w:rsidRPr="00417344">
        <w:rPr>
          <w:lang w:val="fr-CA"/>
        </w:rPr>
        <w:tab/>
        <w:t>[</w:t>
      </w:r>
      <w:r w:rsidRPr="00417344">
        <w:rPr>
          <w:smallCaps/>
          <w:lang w:val="fr-CA"/>
        </w:rPr>
        <w:t>traduction</w:t>
      </w:r>
      <w:r w:rsidRPr="00417344">
        <w:rPr>
          <w:lang w:val="fr-CA"/>
        </w:rPr>
        <w:t>]</w:t>
      </w:r>
    </w:p>
    <w:p w:rsidR="0018307E" w:rsidRPr="00417344" w:rsidRDefault="00684BD3" w:rsidP="00246209">
      <w:pPr>
        <w:pStyle w:val="Citation-AltC"/>
        <w:ind w:left="1620" w:hanging="454"/>
        <w:rPr>
          <w:lang w:val="fr-CA"/>
        </w:rPr>
      </w:pPr>
      <w:r>
        <w:rPr>
          <w:lang w:val="fr-CA"/>
        </w:rPr>
        <w:t>« </w:t>
      </w:r>
      <w:proofErr w:type="gramStart"/>
      <w:r w:rsidR="0018307E" w:rsidRPr="00417344">
        <w:rPr>
          <w:lang w:val="fr-CA"/>
        </w:rPr>
        <w:t>emploi</w:t>
      </w:r>
      <w:proofErr w:type="gramEnd"/>
      <w:r>
        <w:rPr>
          <w:lang w:val="fr-CA"/>
        </w:rPr>
        <w:t> »</w:t>
      </w:r>
      <w:r w:rsidR="0018307E" w:rsidRPr="00417344">
        <w:rPr>
          <w:lang w:val="fr-CA"/>
        </w:rPr>
        <w:t xml:space="preserve"> S’entend notamment des relations commettant</w:t>
      </w:r>
      <w:r>
        <w:rPr>
          <w:lang w:val="fr-CA"/>
        </w:rPr>
        <w:t>-</w:t>
      </w:r>
      <w:r w:rsidR="0018307E" w:rsidRPr="00417344">
        <w:rPr>
          <w:lang w:val="fr-CA"/>
        </w:rPr>
        <w:t>préposé, maître</w:t>
      </w:r>
      <w:r>
        <w:rPr>
          <w:lang w:val="fr-CA"/>
        </w:rPr>
        <w:t>-</w:t>
      </w:r>
      <w:r w:rsidR="0018307E" w:rsidRPr="00417344">
        <w:rPr>
          <w:lang w:val="fr-CA"/>
        </w:rPr>
        <w:t>apprenti ou mandant</w:t>
      </w:r>
      <w:r>
        <w:rPr>
          <w:lang w:val="fr-CA"/>
        </w:rPr>
        <w:t>-</w:t>
      </w:r>
      <w:r w:rsidR="0018307E" w:rsidRPr="00417344">
        <w:rPr>
          <w:lang w:val="fr-CA"/>
        </w:rPr>
        <w:t xml:space="preserve">mandataire, si une partie substantielle des services du mandataire a trait aux affaires d’un seul mandant, et le mot </w:t>
      </w:r>
      <w:r>
        <w:rPr>
          <w:lang w:val="fr-CA"/>
        </w:rPr>
        <w:t>« </w:t>
      </w:r>
      <w:r w:rsidR="0018307E" w:rsidRPr="00417344">
        <w:rPr>
          <w:lang w:val="fr-CA"/>
        </w:rPr>
        <w:t>employer</w:t>
      </w:r>
      <w:r>
        <w:rPr>
          <w:lang w:val="fr-CA"/>
        </w:rPr>
        <w:t> »</w:t>
      </w:r>
      <w:r w:rsidR="0018307E" w:rsidRPr="00417344">
        <w:rPr>
          <w:lang w:val="fr-CA"/>
        </w:rPr>
        <w:t xml:space="preserve"> a un sens correspondant.</w:t>
      </w:r>
    </w:p>
    <w:p w:rsidR="0018307E" w:rsidRPr="00417344" w:rsidRDefault="0018307E" w:rsidP="0018307E">
      <w:pPr>
        <w:pStyle w:val="Citation-AltC"/>
        <w:tabs>
          <w:tab w:val="left" w:pos="1560"/>
        </w:tabs>
        <w:spacing w:after="240"/>
        <w:ind w:hanging="1166"/>
        <w:contextualSpacing w:val="0"/>
        <w:jc w:val="center"/>
        <w:rPr>
          <w:lang w:val="fr-CA"/>
        </w:rPr>
      </w:pPr>
      <w:r w:rsidRPr="00417344">
        <w:rPr>
          <w:lang w:val="fr-CA"/>
        </w:rPr>
        <w:t>.</w:t>
      </w:r>
      <w:r w:rsidR="00684BD3">
        <w:rPr>
          <w:lang w:val="fr-CA"/>
        </w:rPr>
        <w:t xml:space="preserve"> </w:t>
      </w:r>
      <w:r w:rsidRPr="00417344">
        <w:rPr>
          <w:lang w:val="fr-CA"/>
        </w:rPr>
        <w:t>.</w:t>
      </w:r>
      <w:r w:rsidR="00684BD3">
        <w:rPr>
          <w:lang w:val="fr-CA"/>
        </w:rPr>
        <w:t xml:space="preserve"> </w:t>
      </w:r>
      <w:r w:rsidRPr="00417344">
        <w:rPr>
          <w:lang w:val="fr-CA"/>
        </w:rPr>
        <w:t>.</w:t>
      </w:r>
    </w:p>
    <w:p w:rsidR="0018307E" w:rsidRPr="00417344" w:rsidRDefault="00684BD3" w:rsidP="00246209">
      <w:pPr>
        <w:pStyle w:val="Citation-AltC"/>
        <w:ind w:left="1620" w:hanging="454"/>
        <w:rPr>
          <w:lang w:val="fr-CA"/>
        </w:rPr>
      </w:pPr>
      <w:r>
        <w:rPr>
          <w:lang w:val="fr-CA"/>
        </w:rPr>
        <w:t>« </w:t>
      </w:r>
      <w:proofErr w:type="gramStart"/>
      <w:r w:rsidR="0018307E" w:rsidRPr="00417344">
        <w:rPr>
          <w:lang w:val="fr-CA"/>
        </w:rPr>
        <w:t>personne</w:t>
      </w:r>
      <w:proofErr w:type="gramEnd"/>
      <w:r>
        <w:rPr>
          <w:lang w:val="fr-CA"/>
        </w:rPr>
        <w:t> »</w:t>
      </w:r>
      <w:r w:rsidR="0018307E" w:rsidRPr="00417344">
        <w:rPr>
          <w:lang w:val="fr-CA"/>
        </w:rPr>
        <w:t xml:space="preserve"> Sont assimilés à une personne les employeurs, les bureaux de placement, les associations d’employeurs, les associations professionnelles et les syndicats.</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t xml:space="preserve">Quoique le point de départ de l’analyse soit les termes </w:t>
      </w:r>
      <w:r w:rsidR="00684BD3">
        <w:rPr>
          <w:rFonts w:cs="Times New Roman"/>
          <w:lang w:val="fr-CA"/>
        </w:rPr>
        <w:t>« </w:t>
      </w:r>
      <w:r w:rsidRPr="00417344">
        <w:rPr>
          <w:rFonts w:cs="Times New Roman"/>
          <w:lang w:val="fr-CA"/>
        </w:rPr>
        <w:t>commettant</w:t>
      </w:r>
      <w:r w:rsidR="00684BD3">
        <w:rPr>
          <w:rFonts w:cs="Times New Roman"/>
          <w:lang w:val="fr-CA"/>
        </w:rPr>
        <w:t>-</w:t>
      </w:r>
      <w:r w:rsidRPr="00417344">
        <w:rPr>
          <w:rFonts w:cs="Times New Roman"/>
          <w:lang w:val="fr-CA"/>
        </w:rPr>
        <w:t>préposé</w:t>
      </w:r>
      <w:r w:rsidR="00684BD3">
        <w:rPr>
          <w:rFonts w:cs="Times New Roman"/>
          <w:lang w:val="fr-CA"/>
        </w:rPr>
        <w:t> »</w:t>
      </w:r>
      <w:r w:rsidRPr="00417344">
        <w:rPr>
          <w:rFonts w:cs="Times New Roman"/>
          <w:lang w:val="fr-CA"/>
        </w:rPr>
        <w:t xml:space="preserve">, </w:t>
      </w:r>
      <w:r w:rsidR="00684BD3">
        <w:rPr>
          <w:rFonts w:cs="Times New Roman"/>
          <w:lang w:val="fr-CA"/>
        </w:rPr>
        <w:t>« </w:t>
      </w:r>
      <w:r w:rsidRPr="00417344">
        <w:rPr>
          <w:rFonts w:cs="Times New Roman"/>
          <w:lang w:val="fr-CA"/>
        </w:rPr>
        <w:t>maître</w:t>
      </w:r>
      <w:r w:rsidR="00684BD3">
        <w:rPr>
          <w:rFonts w:cs="Times New Roman"/>
          <w:lang w:val="fr-CA"/>
        </w:rPr>
        <w:t>-</w:t>
      </w:r>
      <w:r w:rsidRPr="00417344">
        <w:rPr>
          <w:rFonts w:cs="Times New Roman"/>
          <w:lang w:val="fr-CA"/>
        </w:rPr>
        <w:t>apprenti</w:t>
      </w:r>
      <w:r w:rsidR="00684BD3">
        <w:rPr>
          <w:rFonts w:cs="Times New Roman"/>
          <w:lang w:val="fr-CA"/>
        </w:rPr>
        <w:t> »</w:t>
      </w:r>
      <w:r w:rsidRPr="00417344">
        <w:rPr>
          <w:rFonts w:cs="Times New Roman"/>
          <w:lang w:val="fr-CA"/>
        </w:rPr>
        <w:t xml:space="preserve"> et </w:t>
      </w:r>
      <w:r w:rsidR="00684BD3">
        <w:rPr>
          <w:rFonts w:cs="Times New Roman"/>
          <w:lang w:val="fr-CA"/>
        </w:rPr>
        <w:t>« </w:t>
      </w:r>
      <w:r w:rsidRPr="00417344">
        <w:rPr>
          <w:rFonts w:cs="Times New Roman"/>
          <w:lang w:val="fr-CA"/>
        </w:rPr>
        <w:t>mandant</w:t>
      </w:r>
      <w:r w:rsidR="00684BD3">
        <w:rPr>
          <w:rFonts w:cs="Times New Roman"/>
          <w:lang w:val="fr-CA"/>
        </w:rPr>
        <w:t>-</w:t>
      </w:r>
      <w:r w:rsidRPr="00417344">
        <w:rPr>
          <w:rFonts w:cs="Times New Roman"/>
          <w:lang w:val="fr-CA"/>
        </w:rPr>
        <w:t>mandataire</w:t>
      </w:r>
      <w:r w:rsidR="00684BD3">
        <w:rPr>
          <w:rFonts w:cs="Times New Roman"/>
          <w:lang w:val="fr-CA"/>
        </w:rPr>
        <w:t> »</w:t>
      </w:r>
      <w:r w:rsidRPr="00417344">
        <w:rPr>
          <w:rFonts w:cs="Times New Roman"/>
          <w:lang w:val="fr-CA"/>
        </w:rPr>
        <w:t xml:space="preserve"> figurant dans la loi, il importe de souligner que la définition du mot emploi précise que celui</w:t>
      </w:r>
      <w:r w:rsidR="00684BD3">
        <w:rPr>
          <w:rFonts w:cs="Times New Roman"/>
          <w:lang w:val="fr-CA"/>
        </w:rPr>
        <w:t>-</w:t>
      </w:r>
      <w:r w:rsidRPr="00417344">
        <w:rPr>
          <w:rFonts w:cs="Times New Roman"/>
          <w:lang w:val="fr-CA"/>
        </w:rPr>
        <w:t xml:space="preserve">ci </w:t>
      </w:r>
      <w:r w:rsidR="00684BD3">
        <w:rPr>
          <w:rFonts w:cs="Times New Roman"/>
          <w:lang w:val="fr-CA"/>
        </w:rPr>
        <w:t>« </w:t>
      </w:r>
      <w:r w:rsidR="00072E3F">
        <w:rPr>
          <w:rFonts w:cs="Times New Roman"/>
          <w:lang w:val="fr-CA"/>
        </w:rPr>
        <w:t>[s]</w:t>
      </w:r>
      <w:r w:rsidRPr="00417344">
        <w:rPr>
          <w:rFonts w:cs="Times New Roman"/>
          <w:lang w:val="fr-CA"/>
        </w:rPr>
        <w:t>’entend notamment</w:t>
      </w:r>
      <w:r w:rsidR="00684BD3">
        <w:rPr>
          <w:rFonts w:cs="Times New Roman"/>
          <w:lang w:val="fr-CA"/>
        </w:rPr>
        <w:t> »</w:t>
      </w:r>
      <w:r w:rsidRPr="00417344">
        <w:rPr>
          <w:rFonts w:cs="Times New Roman"/>
          <w:lang w:val="fr-CA"/>
        </w:rPr>
        <w:t xml:space="preserve"> (</w:t>
      </w:r>
      <w:r w:rsidR="00684BD3">
        <w:rPr>
          <w:rFonts w:cs="Times New Roman"/>
          <w:lang w:val="fr-CA"/>
        </w:rPr>
        <w:t>« </w:t>
      </w:r>
      <w:proofErr w:type="spellStart"/>
      <w:r w:rsidRPr="00417344">
        <w:rPr>
          <w:rFonts w:cs="Times New Roman"/>
          <w:i/>
          <w:lang w:val="fr-CA"/>
        </w:rPr>
        <w:t>includes</w:t>
      </w:r>
      <w:proofErr w:type="spellEnd"/>
      <w:r w:rsidR="00684BD3">
        <w:rPr>
          <w:rFonts w:cs="Times New Roman"/>
          <w:lang w:val="fr-CA"/>
        </w:rPr>
        <w:t> »</w:t>
      </w:r>
      <w:r w:rsidRPr="00417344">
        <w:rPr>
          <w:rFonts w:cs="Times New Roman"/>
          <w:lang w:val="fr-CA"/>
        </w:rPr>
        <w:t xml:space="preserve">) de ces relations, mais ne se limite pas à ces relations (Ruth Sullivan, </w:t>
      </w:r>
      <w:r w:rsidRPr="00417344">
        <w:rPr>
          <w:rFonts w:cs="Times New Roman"/>
          <w:i/>
          <w:lang w:val="fr-CA"/>
        </w:rPr>
        <w:t xml:space="preserve">Sullivan on the Construction of </w:t>
      </w:r>
      <w:proofErr w:type="spellStart"/>
      <w:r w:rsidRPr="00417344">
        <w:rPr>
          <w:rFonts w:cs="Times New Roman"/>
          <w:i/>
          <w:lang w:val="fr-CA"/>
        </w:rPr>
        <w:t>Statutes</w:t>
      </w:r>
      <w:proofErr w:type="spellEnd"/>
      <w:r w:rsidRPr="00417344">
        <w:rPr>
          <w:rFonts w:cs="Times New Roman"/>
          <w:lang w:val="fr-CA"/>
        </w:rPr>
        <w:t xml:space="preserve"> (5</w:t>
      </w:r>
      <w:r w:rsidRPr="00417344">
        <w:rPr>
          <w:rFonts w:cs="Times New Roman"/>
          <w:vertAlign w:val="superscript"/>
          <w:lang w:val="fr-CA"/>
        </w:rPr>
        <w:t>e</w:t>
      </w:r>
      <w:r w:rsidR="00684BD3">
        <w:rPr>
          <w:rFonts w:cs="Times New Roman"/>
          <w:lang w:val="fr-CA"/>
        </w:rPr>
        <w:t xml:space="preserve"> </w:t>
      </w:r>
      <w:r w:rsidRPr="00417344">
        <w:rPr>
          <w:rFonts w:cs="Times New Roman"/>
          <w:lang w:val="fr-CA"/>
        </w:rPr>
        <w:t>éd. 2008), p.</w:t>
      </w:r>
      <w:r w:rsidR="00684BD3">
        <w:rPr>
          <w:rFonts w:cs="Times New Roman"/>
          <w:lang w:val="fr-CA"/>
        </w:rPr>
        <w:t xml:space="preserve"> </w:t>
      </w:r>
      <w:r w:rsidRPr="00417344">
        <w:rPr>
          <w:rFonts w:cs="Times New Roman"/>
          <w:lang w:val="fr-CA"/>
        </w:rPr>
        <w:t xml:space="preserve">239; </w:t>
      </w:r>
      <w:r w:rsidRPr="00417344">
        <w:rPr>
          <w:rFonts w:cs="Times New Roman"/>
          <w:i/>
          <w:lang w:val="fr-CA"/>
        </w:rPr>
        <w:t xml:space="preserve">Banque </w:t>
      </w:r>
      <w:r w:rsidRPr="00417344">
        <w:rPr>
          <w:rFonts w:cs="Times New Roman"/>
          <w:i/>
          <w:lang w:val="fr-CA"/>
        </w:rPr>
        <w:lastRenderedPageBreak/>
        <w:t xml:space="preserve">nationale de Grèce (Canada) c. </w:t>
      </w:r>
      <w:proofErr w:type="spellStart"/>
      <w:r w:rsidRPr="00417344">
        <w:rPr>
          <w:rFonts w:cs="Times New Roman"/>
          <w:i/>
          <w:lang w:val="fr-CA"/>
        </w:rPr>
        <w:t>Katsikonouris</w:t>
      </w:r>
      <w:proofErr w:type="spellEnd"/>
      <w:r w:rsidRPr="00417344">
        <w:rPr>
          <w:rFonts w:cs="Times New Roman"/>
          <w:lang w:val="fr-CA"/>
        </w:rPr>
        <w:t>, [1990] 2 R.C.S. 1029, p.</w:t>
      </w:r>
      <w:r w:rsidR="00684BD3">
        <w:rPr>
          <w:rFonts w:cs="Times New Roman"/>
          <w:lang w:val="fr-CA"/>
        </w:rPr>
        <w:t xml:space="preserve"> </w:t>
      </w:r>
      <w:r w:rsidRPr="00417344">
        <w:rPr>
          <w:rFonts w:cs="Times New Roman"/>
          <w:lang w:val="fr-CA"/>
        </w:rPr>
        <w:t xml:space="preserve">1041).  Qui plus est, le recours à une approche formaliste à l’égard de la relation </w:t>
      </w:r>
      <w:r w:rsidR="00684BD3">
        <w:rPr>
          <w:rFonts w:cs="Times New Roman"/>
          <w:lang w:val="fr-CA"/>
        </w:rPr>
        <w:t>« </w:t>
      </w:r>
      <w:r w:rsidRPr="00417344">
        <w:rPr>
          <w:rFonts w:cs="Times New Roman"/>
          <w:lang w:val="fr-CA"/>
        </w:rPr>
        <w:t>commettant</w:t>
      </w:r>
      <w:r w:rsidR="00684BD3">
        <w:rPr>
          <w:rFonts w:cs="Times New Roman"/>
          <w:lang w:val="fr-CA"/>
        </w:rPr>
        <w:t>-</w:t>
      </w:r>
      <w:r w:rsidRPr="00417344">
        <w:rPr>
          <w:rFonts w:cs="Times New Roman"/>
          <w:lang w:val="fr-CA"/>
        </w:rPr>
        <w:t>préposé</w:t>
      </w:r>
      <w:r w:rsidR="00684BD3">
        <w:rPr>
          <w:rFonts w:cs="Times New Roman"/>
          <w:lang w:val="fr-CA"/>
        </w:rPr>
        <w:t> »</w:t>
      </w:r>
      <w:r w:rsidRPr="00417344">
        <w:rPr>
          <w:rFonts w:cs="Times New Roman"/>
          <w:lang w:val="fr-CA"/>
        </w:rPr>
        <w:t xml:space="preserve"> fait revivre un critère classique indûment restrictif en matière d’emploi (H.</w:t>
      </w:r>
      <w:r w:rsidR="00684BD3">
        <w:rPr>
          <w:rFonts w:cs="Times New Roman"/>
          <w:lang w:val="fr-CA"/>
        </w:rPr>
        <w:t xml:space="preserve"> </w:t>
      </w:r>
      <w:r w:rsidRPr="00417344">
        <w:rPr>
          <w:rFonts w:cs="Times New Roman"/>
          <w:lang w:val="fr-CA"/>
        </w:rPr>
        <w:t>W.</w:t>
      </w:r>
      <w:r w:rsidR="00684BD3">
        <w:rPr>
          <w:rFonts w:cs="Times New Roman"/>
          <w:lang w:val="fr-CA"/>
        </w:rPr>
        <w:t xml:space="preserve"> </w:t>
      </w:r>
      <w:proofErr w:type="spellStart"/>
      <w:r w:rsidRPr="00417344">
        <w:rPr>
          <w:rFonts w:cs="Times New Roman"/>
          <w:lang w:val="fr-CA"/>
        </w:rPr>
        <w:t>Arthurs</w:t>
      </w:r>
      <w:proofErr w:type="spellEnd"/>
      <w:r w:rsidRPr="00417344">
        <w:rPr>
          <w:rFonts w:cs="Times New Roman"/>
          <w:lang w:val="fr-CA"/>
        </w:rPr>
        <w:t xml:space="preserve">, </w:t>
      </w:r>
      <w:r w:rsidR="00684BD3">
        <w:rPr>
          <w:rFonts w:cs="Times New Roman"/>
          <w:lang w:val="fr-CA"/>
        </w:rPr>
        <w:t>« </w:t>
      </w:r>
      <w:r w:rsidRPr="00417344">
        <w:rPr>
          <w:rFonts w:cs="Times New Roman"/>
          <w:lang w:val="fr-CA"/>
        </w:rPr>
        <w:t xml:space="preserve">The </w:t>
      </w:r>
      <w:proofErr w:type="spellStart"/>
      <w:r w:rsidRPr="00417344">
        <w:rPr>
          <w:rFonts w:cs="Times New Roman"/>
          <w:lang w:val="fr-CA"/>
        </w:rPr>
        <w:t>Dependent</w:t>
      </w:r>
      <w:proofErr w:type="spellEnd"/>
      <w:r w:rsidRPr="00417344">
        <w:rPr>
          <w:rFonts w:cs="Times New Roman"/>
          <w:lang w:val="fr-CA"/>
        </w:rPr>
        <w:t xml:space="preserve"> </w:t>
      </w:r>
      <w:proofErr w:type="spellStart"/>
      <w:r w:rsidRPr="00417344">
        <w:rPr>
          <w:rFonts w:cs="Times New Roman"/>
          <w:lang w:val="fr-CA"/>
        </w:rPr>
        <w:t>Contractor</w:t>
      </w:r>
      <w:proofErr w:type="spellEnd"/>
      <w:r w:rsidR="00684BD3">
        <w:rPr>
          <w:rFonts w:cs="Times New Roman"/>
          <w:lang w:val="fr-CA"/>
        </w:rPr>
        <w:t> :</w:t>
      </w:r>
      <w:r w:rsidRPr="00417344">
        <w:rPr>
          <w:rFonts w:cs="Times New Roman"/>
          <w:lang w:val="fr-CA"/>
        </w:rPr>
        <w:t xml:space="preserve"> A </w:t>
      </w:r>
      <w:proofErr w:type="spellStart"/>
      <w:r w:rsidRPr="00417344">
        <w:rPr>
          <w:rFonts w:cs="Times New Roman"/>
          <w:lang w:val="fr-CA"/>
        </w:rPr>
        <w:t>Study</w:t>
      </w:r>
      <w:proofErr w:type="spellEnd"/>
      <w:r w:rsidRPr="00417344">
        <w:rPr>
          <w:rFonts w:cs="Times New Roman"/>
          <w:lang w:val="fr-CA"/>
        </w:rPr>
        <w:t xml:space="preserve"> of the </w:t>
      </w:r>
      <w:proofErr w:type="spellStart"/>
      <w:r w:rsidRPr="00417344">
        <w:rPr>
          <w:rFonts w:cs="Times New Roman"/>
          <w:lang w:val="fr-CA"/>
        </w:rPr>
        <w:t>Legal</w:t>
      </w:r>
      <w:proofErr w:type="spellEnd"/>
      <w:r w:rsidRPr="00417344">
        <w:rPr>
          <w:rFonts w:cs="Times New Roman"/>
          <w:lang w:val="fr-CA"/>
        </w:rPr>
        <w:t xml:space="preserve"> </w:t>
      </w:r>
      <w:proofErr w:type="spellStart"/>
      <w:r w:rsidRPr="00417344">
        <w:rPr>
          <w:rFonts w:cs="Times New Roman"/>
          <w:lang w:val="fr-CA"/>
        </w:rPr>
        <w:t>Problems</w:t>
      </w:r>
      <w:proofErr w:type="spellEnd"/>
      <w:r w:rsidRPr="00417344">
        <w:rPr>
          <w:rFonts w:cs="Times New Roman"/>
          <w:lang w:val="fr-CA"/>
        </w:rPr>
        <w:t xml:space="preserve"> of </w:t>
      </w:r>
      <w:proofErr w:type="spellStart"/>
      <w:r w:rsidRPr="00417344">
        <w:rPr>
          <w:rFonts w:cs="Times New Roman"/>
          <w:lang w:val="fr-CA"/>
        </w:rPr>
        <w:t>Countervailing</w:t>
      </w:r>
      <w:proofErr w:type="spellEnd"/>
      <w:r w:rsidRPr="00417344">
        <w:rPr>
          <w:rFonts w:cs="Times New Roman"/>
          <w:lang w:val="fr-CA"/>
        </w:rPr>
        <w:t xml:space="preserve"> Power</w:t>
      </w:r>
      <w:r w:rsidR="00684BD3">
        <w:rPr>
          <w:rFonts w:cs="Times New Roman"/>
          <w:lang w:val="fr-CA"/>
        </w:rPr>
        <w:t> »</w:t>
      </w:r>
      <w:r w:rsidRPr="00417344">
        <w:rPr>
          <w:rFonts w:cs="Times New Roman"/>
          <w:lang w:val="fr-CA"/>
        </w:rPr>
        <w:t xml:space="preserve"> (1965)</w:t>
      </w:r>
      <w:r>
        <w:rPr>
          <w:rFonts w:cs="Times New Roman"/>
          <w:lang w:val="fr-CA"/>
        </w:rPr>
        <w:t>,</w:t>
      </w:r>
      <w:r w:rsidRPr="00417344">
        <w:rPr>
          <w:rFonts w:cs="Times New Roman"/>
          <w:lang w:val="fr-CA"/>
        </w:rPr>
        <w:t xml:space="preserve"> 16 </w:t>
      </w:r>
      <w:r w:rsidRPr="00417344">
        <w:rPr>
          <w:rFonts w:cs="Times New Roman"/>
          <w:i/>
          <w:lang w:val="fr-CA"/>
        </w:rPr>
        <w:t>U.T.L.J.</w:t>
      </w:r>
      <w:r w:rsidRPr="00417344">
        <w:rPr>
          <w:rFonts w:cs="Times New Roman"/>
          <w:lang w:val="fr-CA"/>
        </w:rPr>
        <w:t xml:space="preserve"> 89; George</w:t>
      </w:r>
      <w:r w:rsidR="00684BD3">
        <w:rPr>
          <w:rFonts w:cs="Times New Roman"/>
          <w:lang w:val="fr-CA"/>
        </w:rPr>
        <w:t xml:space="preserve"> </w:t>
      </w:r>
      <w:r w:rsidRPr="00417344">
        <w:rPr>
          <w:rFonts w:cs="Times New Roman"/>
          <w:lang w:val="fr-CA"/>
        </w:rPr>
        <w:t xml:space="preserve">W. Adams, </w:t>
      </w:r>
      <w:r w:rsidRPr="00417344">
        <w:rPr>
          <w:rFonts w:cs="Times New Roman"/>
          <w:i/>
          <w:lang w:val="fr-CA"/>
        </w:rPr>
        <w:t>Canadian Labour Law</w:t>
      </w:r>
      <w:r w:rsidRPr="00417344">
        <w:rPr>
          <w:rFonts w:cs="Times New Roman"/>
          <w:lang w:val="fr-CA"/>
        </w:rPr>
        <w:t xml:space="preserve"> (2</w:t>
      </w:r>
      <w:r w:rsidRPr="00417344">
        <w:rPr>
          <w:rFonts w:cs="Times New Roman"/>
          <w:vertAlign w:val="superscript"/>
          <w:lang w:val="fr-CA"/>
        </w:rPr>
        <w:t>e</w:t>
      </w:r>
      <w:r w:rsidR="00684BD3">
        <w:rPr>
          <w:rFonts w:cs="Times New Roman"/>
          <w:lang w:val="fr-CA"/>
        </w:rPr>
        <w:t xml:space="preserve"> </w:t>
      </w:r>
      <w:r w:rsidRPr="00417344">
        <w:rPr>
          <w:rFonts w:cs="Times New Roman"/>
          <w:lang w:val="fr-CA"/>
        </w:rPr>
        <w:t>éd. (feuilles mobiles)), p.</w:t>
      </w:r>
      <w:r w:rsidR="00684BD3">
        <w:rPr>
          <w:rFonts w:cs="Times New Roman"/>
          <w:lang w:val="fr-CA"/>
        </w:rPr>
        <w:t xml:space="preserve"> </w:t>
      </w:r>
      <w:r w:rsidRPr="00417344">
        <w:rPr>
          <w:rFonts w:cs="Times New Roman"/>
          <w:lang w:val="fr-CA"/>
        </w:rPr>
        <w:t>6</w:t>
      </w:r>
      <w:r w:rsidR="00684BD3">
        <w:rPr>
          <w:rFonts w:cs="Times New Roman"/>
          <w:lang w:val="fr-CA"/>
        </w:rPr>
        <w:t>-</w:t>
      </w:r>
      <w:r w:rsidRPr="00417344">
        <w:rPr>
          <w:rFonts w:cs="Times New Roman"/>
          <w:lang w:val="fr-CA"/>
        </w:rPr>
        <w:t xml:space="preserve">35).  Par ailleurs, les relations qui sont réputées être visées devraient être analogues à celles énoncées dans la définition.  Comme l’a affirmé notre Cour dans </w:t>
      </w:r>
      <w:r w:rsidRPr="00417344">
        <w:rPr>
          <w:rFonts w:cs="Times New Roman"/>
          <w:i/>
          <w:lang w:val="fr-CA"/>
        </w:rPr>
        <w:t>Université de la Colombie</w:t>
      </w:r>
      <w:r w:rsidR="00684BD3">
        <w:rPr>
          <w:rFonts w:cs="Times New Roman"/>
          <w:i/>
          <w:lang w:val="fr-CA"/>
        </w:rPr>
        <w:t>-</w:t>
      </w:r>
      <w:r w:rsidRPr="00417344">
        <w:rPr>
          <w:rFonts w:cs="Times New Roman"/>
          <w:i/>
          <w:lang w:val="fr-CA"/>
        </w:rPr>
        <w:t>Britannique c. Berg</w:t>
      </w:r>
      <w:r w:rsidRPr="00417344">
        <w:rPr>
          <w:rFonts w:cs="Times New Roman"/>
          <w:lang w:val="fr-CA"/>
        </w:rPr>
        <w:t>, [1993] 2 R.C.S. 353</w:t>
      </w:r>
      <w:r w:rsidR="00684BD3">
        <w:rPr>
          <w:rFonts w:cs="Times New Roman"/>
          <w:lang w:val="fr-CA"/>
        </w:rPr>
        <w:t> :</w:t>
      </w:r>
      <w:r w:rsidRPr="00417344">
        <w:rPr>
          <w:rFonts w:cs="Times New Roman"/>
          <w:lang w:val="fr-CA"/>
        </w:rPr>
        <w:t xml:space="preserve"> </w:t>
      </w:r>
      <w:r w:rsidR="00684BD3">
        <w:rPr>
          <w:rFonts w:cs="Times New Roman"/>
          <w:lang w:val="fr-CA"/>
        </w:rPr>
        <w:t>« </w:t>
      </w:r>
      <w:r w:rsidR="00072E3F">
        <w:rPr>
          <w:rFonts w:cs="Times New Roman"/>
          <w:lang w:val="fr-CA"/>
        </w:rPr>
        <w:t>I</w:t>
      </w:r>
      <w:r w:rsidRPr="00417344">
        <w:rPr>
          <w:rFonts w:cs="Times New Roman"/>
          <w:lang w:val="fr-CA" w:bidi="en-US"/>
        </w:rPr>
        <w:t>l incombe aux commissions et aux cours de justice de donner [aux dispositions] une interprétation libérale et fondée sur l’objet visé, sans faire abstraction des termes restrictifs de la Loi ni autrement contourner l’intention de la législature</w:t>
      </w:r>
      <w:r w:rsidR="00684BD3">
        <w:rPr>
          <w:rFonts w:cs="Times New Roman"/>
          <w:lang w:val="fr-CA" w:bidi="en-US"/>
        </w:rPr>
        <w:t> »</w:t>
      </w:r>
      <w:r w:rsidRPr="00417344">
        <w:rPr>
          <w:rFonts w:cs="Times New Roman"/>
          <w:lang w:val="fr-CA"/>
        </w:rPr>
        <w:t xml:space="preserve"> (p.</w:t>
      </w:r>
      <w:r w:rsidR="00684BD3">
        <w:rPr>
          <w:rFonts w:cs="Times New Roman"/>
          <w:lang w:val="fr-CA"/>
        </w:rPr>
        <w:t xml:space="preserve"> </w:t>
      </w:r>
      <w:r w:rsidRPr="00417344">
        <w:rPr>
          <w:rFonts w:cs="Times New Roman"/>
          <w:lang w:val="fr-CA"/>
        </w:rPr>
        <w:t>371).</w:t>
      </w:r>
    </w:p>
    <w:p w:rsidR="0018307E" w:rsidRPr="005A5F28" w:rsidRDefault="0018307E" w:rsidP="0018307E">
      <w:pPr>
        <w:pStyle w:val="ParaNoNdepar-AltN"/>
        <w:tabs>
          <w:tab w:val="clear" w:pos="1152"/>
          <w:tab w:val="left" w:pos="1166"/>
        </w:tabs>
        <w:rPr>
          <w:rFonts w:cs="Times New Roman"/>
          <w:lang w:val="en-US"/>
        </w:rPr>
      </w:pPr>
      <w:r w:rsidRPr="00417344">
        <w:rPr>
          <w:rFonts w:cs="Times New Roman"/>
          <w:lang w:val="fr-CA"/>
        </w:rPr>
        <w:t xml:space="preserve">La jurisprudence confirme qu’il y a lieu d’interpréter de manière extensive la définition du mot </w:t>
      </w:r>
      <w:r w:rsidR="00684BD3">
        <w:rPr>
          <w:rFonts w:cs="Times New Roman"/>
          <w:lang w:val="fr-CA"/>
        </w:rPr>
        <w:t>« </w:t>
      </w:r>
      <w:r w:rsidRPr="00417344">
        <w:rPr>
          <w:rFonts w:cs="Times New Roman"/>
          <w:lang w:val="fr-CA"/>
        </w:rPr>
        <w:t>emploi</w:t>
      </w:r>
      <w:r w:rsidR="00684BD3">
        <w:rPr>
          <w:rFonts w:cs="Times New Roman"/>
          <w:lang w:val="fr-CA"/>
        </w:rPr>
        <w:t> »</w:t>
      </w:r>
      <w:r w:rsidRPr="00417344">
        <w:rPr>
          <w:rFonts w:cs="Times New Roman"/>
          <w:lang w:val="fr-CA"/>
        </w:rPr>
        <w:t xml:space="preserve"> dans le cadre de l’application du </w:t>
      </w:r>
      <w:r w:rsidRPr="00417344">
        <w:rPr>
          <w:rFonts w:cs="Times New Roman"/>
          <w:i/>
          <w:lang w:val="fr-CA"/>
        </w:rPr>
        <w:t>Code</w:t>
      </w:r>
      <w:r w:rsidRPr="00417344">
        <w:rPr>
          <w:rFonts w:cs="Times New Roman"/>
          <w:lang w:val="fr-CA"/>
        </w:rPr>
        <w:t>.  Par exemple, des entrepreneurs indépendants ont été jugés être des employés visés par des lois sur les droits de la personne, même s’ils ne seraient pas considérés comme tels dans d’autres contextes juridiques</w:t>
      </w:r>
      <w:r w:rsidR="00684BD3">
        <w:rPr>
          <w:rFonts w:cs="Times New Roman"/>
          <w:lang w:val="fr-CA"/>
        </w:rPr>
        <w:t> :</w:t>
      </w:r>
      <w:r w:rsidRPr="00417344">
        <w:rPr>
          <w:rFonts w:cs="Times New Roman"/>
          <w:lang w:val="fr-CA"/>
        </w:rPr>
        <w:t xml:space="preserve"> </w:t>
      </w:r>
      <w:r w:rsidRPr="00417344">
        <w:rPr>
          <w:rFonts w:cs="Times New Roman"/>
          <w:i/>
          <w:lang w:val="fr-CA"/>
        </w:rPr>
        <w:t xml:space="preserve">Canadien Pacifique </w:t>
      </w:r>
      <w:proofErr w:type="spellStart"/>
      <w:r w:rsidRPr="00417344">
        <w:rPr>
          <w:rFonts w:cs="Times New Roman"/>
          <w:i/>
          <w:lang w:val="fr-CA"/>
        </w:rPr>
        <w:t>Ltée</w:t>
      </w:r>
      <w:proofErr w:type="spellEnd"/>
      <w:r w:rsidRPr="00417344">
        <w:rPr>
          <w:rFonts w:cs="Times New Roman"/>
          <w:i/>
          <w:lang w:val="fr-CA"/>
        </w:rPr>
        <w:t xml:space="preserve"> c. Canada (Commission des droits de la personne)</w:t>
      </w:r>
      <w:r w:rsidRPr="00417344">
        <w:rPr>
          <w:rFonts w:cs="Times New Roman"/>
          <w:lang w:val="fr-CA"/>
        </w:rPr>
        <w:t xml:space="preserve">, [1991] 1 C.F. 571 (C.A.); </w:t>
      </w:r>
      <w:proofErr w:type="spellStart"/>
      <w:r>
        <w:rPr>
          <w:rFonts w:cs="Times New Roman"/>
          <w:i/>
          <w:lang w:val="fr-CA"/>
        </w:rPr>
        <w:t>Pannu</w:t>
      </w:r>
      <w:proofErr w:type="spellEnd"/>
      <w:r w:rsidRPr="00417344">
        <w:rPr>
          <w:rFonts w:cs="Times New Roman"/>
          <w:i/>
          <w:lang w:val="fr-CA"/>
        </w:rPr>
        <w:t xml:space="preserve"> c. Prestige Cab Ltd.</w:t>
      </w:r>
      <w:r>
        <w:rPr>
          <w:rFonts w:cs="Times New Roman"/>
          <w:i/>
          <w:lang w:val="fr-CA"/>
        </w:rPr>
        <w:t xml:space="preserve"> </w:t>
      </w:r>
      <w:r w:rsidRPr="005A5F28">
        <w:rPr>
          <w:rFonts w:cs="Times New Roman"/>
          <w:lang w:val="fr-CA"/>
        </w:rPr>
        <w:t xml:space="preserve">(1986), 73 A.R. 166 (C.A.); </w:t>
      </w:r>
      <w:proofErr w:type="spellStart"/>
      <w:r w:rsidRPr="005A5F28">
        <w:rPr>
          <w:rFonts w:cs="Times New Roman"/>
          <w:i/>
          <w:lang w:val="fr-CA"/>
        </w:rPr>
        <w:t>Yu</w:t>
      </w:r>
      <w:proofErr w:type="spellEnd"/>
      <w:r w:rsidRPr="005A5F28">
        <w:rPr>
          <w:rFonts w:cs="Times New Roman"/>
          <w:i/>
          <w:lang w:val="fr-CA"/>
        </w:rPr>
        <w:t xml:space="preserve"> c. Shell Canada Ltd.</w:t>
      </w:r>
      <w:r w:rsidRPr="005A5F28">
        <w:rPr>
          <w:rFonts w:cs="Times New Roman"/>
          <w:lang w:val="fr-CA"/>
        </w:rPr>
        <w:t xml:space="preserve"> </w:t>
      </w:r>
      <w:r w:rsidRPr="00417344">
        <w:rPr>
          <w:rFonts w:cs="Times New Roman"/>
          <w:lang w:val="fr-CA"/>
        </w:rPr>
        <w:t>(2004), 49 C.H.R.R. D/56 (</w:t>
      </w:r>
      <w:r w:rsidR="00F64CCF">
        <w:rPr>
          <w:rFonts w:cs="Times New Roman"/>
          <w:lang w:val="fr-CA"/>
        </w:rPr>
        <w:t>T</w:t>
      </w:r>
      <w:r w:rsidRPr="00417344">
        <w:rPr>
          <w:rFonts w:cs="Times New Roman"/>
          <w:lang w:val="fr-CA"/>
        </w:rPr>
        <w:t>.</w:t>
      </w:r>
      <w:r w:rsidR="00F64CCF">
        <w:rPr>
          <w:rFonts w:cs="Times New Roman"/>
          <w:lang w:val="fr-CA"/>
        </w:rPr>
        <w:t>D</w:t>
      </w:r>
      <w:r w:rsidRPr="00417344">
        <w:rPr>
          <w:rFonts w:cs="Times New Roman"/>
          <w:lang w:val="fr-CA"/>
        </w:rPr>
        <w:t>.</w:t>
      </w:r>
      <w:r w:rsidR="00F64CCF">
        <w:rPr>
          <w:rFonts w:cs="Times New Roman"/>
          <w:lang w:val="fr-CA"/>
        </w:rPr>
        <w:t>P</w:t>
      </w:r>
      <w:r w:rsidRPr="00417344">
        <w:rPr>
          <w:rFonts w:cs="Times New Roman"/>
          <w:lang w:val="fr-CA"/>
        </w:rPr>
        <w:t>.</w:t>
      </w:r>
      <w:r w:rsidR="00F64CCF">
        <w:rPr>
          <w:rFonts w:cs="Times New Roman"/>
          <w:lang w:val="fr-CA"/>
        </w:rPr>
        <w:t>C</w:t>
      </w:r>
      <w:r w:rsidRPr="00417344">
        <w:rPr>
          <w:rFonts w:cs="Times New Roman"/>
          <w:lang w:val="fr-CA"/>
        </w:rPr>
        <w:t>.</w:t>
      </w:r>
      <w:r w:rsidR="00F64CCF">
        <w:rPr>
          <w:rFonts w:cs="Times New Roman"/>
          <w:lang w:val="fr-CA"/>
        </w:rPr>
        <w:t>-B</w:t>
      </w:r>
      <w:r w:rsidRPr="00417344">
        <w:rPr>
          <w:rFonts w:cs="Times New Roman"/>
          <w:lang w:val="fr-CA"/>
        </w:rPr>
        <w:t xml:space="preserve">.).  </w:t>
      </w:r>
      <w:proofErr w:type="spellStart"/>
      <w:r w:rsidRPr="005A5F28">
        <w:rPr>
          <w:rFonts w:cs="Times New Roman"/>
          <w:lang w:val="en-US"/>
        </w:rPr>
        <w:t>Voir</w:t>
      </w:r>
      <w:proofErr w:type="spellEnd"/>
      <w:r w:rsidRPr="005A5F28">
        <w:rPr>
          <w:rFonts w:cs="Times New Roman"/>
          <w:lang w:val="en-US"/>
        </w:rPr>
        <w:t xml:space="preserve"> </w:t>
      </w:r>
      <w:proofErr w:type="spellStart"/>
      <w:r w:rsidRPr="005A5F28">
        <w:rPr>
          <w:rFonts w:cs="Times New Roman"/>
          <w:lang w:val="en-US"/>
        </w:rPr>
        <w:t>aussi</w:t>
      </w:r>
      <w:proofErr w:type="spellEnd"/>
      <w:r w:rsidRPr="005A5F28">
        <w:rPr>
          <w:rFonts w:cs="Times New Roman"/>
          <w:lang w:val="en-US"/>
        </w:rPr>
        <w:t xml:space="preserve"> </w:t>
      </w:r>
      <w:r w:rsidRPr="005A5F28">
        <w:rPr>
          <w:rFonts w:cs="Times New Roman"/>
          <w:i/>
          <w:lang w:val="en-US"/>
        </w:rPr>
        <w:t>Canada (</w:t>
      </w:r>
      <w:proofErr w:type="spellStart"/>
      <w:r w:rsidRPr="005A5F28">
        <w:rPr>
          <w:rFonts w:cs="Times New Roman"/>
          <w:i/>
          <w:lang w:val="en-US"/>
        </w:rPr>
        <w:t>Procureur</w:t>
      </w:r>
      <w:proofErr w:type="spellEnd"/>
      <w:r w:rsidRPr="005A5F28">
        <w:rPr>
          <w:rFonts w:cs="Times New Roman"/>
          <w:i/>
          <w:lang w:val="en-US"/>
        </w:rPr>
        <w:t xml:space="preserve"> </w:t>
      </w:r>
      <w:proofErr w:type="spellStart"/>
      <w:r w:rsidRPr="005A5F28">
        <w:rPr>
          <w:rFonts w:cs="Times New Roman"/>
          <w:i/>
          <w:lang w:val="en-US"/>
        </w:rPr>
        <w:t>général</w:t>
      </w:r>
      <w:proofErr w:type="spellEnd"/>
      <w:r w:rsidRPr="005A5F28">
        <w:rPr>
          <w:rFonts w:cs="Times New Roman"/>
          <w:i/>
          <w:lang w:val="en-US"/>
        </w:rPr>
        <w:t>) c. Rosin</w:t>
      </w:r>
      <w:r w:rsidRPr="005A5F28">
        <w:rPr>
          <w:rFonts w:cs="Times New Roman"/>
          <w:lang w:val="en-US"/>
        </w:rPr>
        <w:t xml:space="preserve">, [1991] 1 C.F. 391 (C.A.); </w:t>
      </w:r>
      <w:r w:rsidRPr="005A5F28">
        <w:rPr>
          <w:rFonts w:cs="Times New Roman"/>
          <w:i/>
          <w:lang w:val="en-US"/>
        </w:rPr>
        <w:t>Mans c. British Columbia Council of Licensed Practical Nurses</w:t>
      </w:r>
      <w:r w:rsidRPr="005A5F28">
        <w:rPr>
          <w:rFonts w:cs="Times New Roman"/>
          <w:lang w:val="en-US"/>
        </w:rPr>
        <w:t xml:space="preserve"> (1990), 14 C.H.R.R. D/221 (C.</w:t>
      </w:r>
      <w:r w:rsidR="00F64CCF">
        <w:rPr>
          <w:rFonts w:cs="Times New Roman"/>
          <w:lang w:val="en-US"/>
        </w:rPr>
        <w:t>D</w:t>
      </w:r>
      <w:r w:rsidRPr="005A5F28">
        <w:rPr>
          <w:rFonts w:cs="Times New Roman"/>
          <w:lang w:val="en-US"/>
        </w:rPr>
        <w:t>.</w:t>
      </w:r>
      <w:r w:rsidR="00F64CCF">
        <w:rPr>
          <w:rFonts w:cs="Times New Roman"/>
          <w:lang w:val="en-US"/>
        </w:rPr>
        <w:t>P</w:t>
      </w:r>
      <w:r w:rsidRPr="005A5F28">
        <w:rPr>
          <w:rFonts w:cs="Times New Roman"/>
          <w:lang w:val="en-US"/>
        </w:rPr>
        <w:t>.</w:t>
      </w:r>
      <w:r w:rsidR="00F64CCF">
        <w:rPr>
          <w:rFonts w:cs="Times New Roman"/>
          <w:lang w:val="en-US"/>
        </w:rPr>
        <w:t>C</w:t>
      </w:r>
      <w:r w:rsidRPr="005A5F28">
        <w:rPr>
          <w:rFonts w:cs="Times New Roman"/>
          <w:lang w:val="en-US"/>
        </w:rPr>
        <w:t>.</w:t>
      </w:r>
      <w:r w:rsidR="00F64CCF">
        <w:rPr>
          <w:rFonts w:cs="Times New Roman"/>
          <w:lang w:val="en-US"/>
        </w:rPr>
        <w:t>-B.</w:t>
      </w:r>
      <w:r w:rsidRPr="005A5F28">
        <w:rPr>
          <w:rFonts w:cs="Times New Roman"/>
          <w:lang w:val="en-US"/>
        </w:rPr>
        <w:t>).</w:t>
      </w:r>
    </w:p>
    <w:p w:rsidR="0018307E" w:rsidRPr="00417344" w:rsidRDefault="0018307E" w:rsidP="0018307E">
      <w:pPr>
        <w:pStyle w:val="ParaNoNdepar-AltN"/>
        <w:rPr>
          <w:rFonts w:cs="Times New Roman"/>
          <w:lang w:val="fr-CA"/>
        </w:rPr>
      </w:pPr>
      <w:r w:rsidRPr="00417344">
        <w:rPr>
          <w:rFonts w:cs="Times New Roman"/>
          <w:lang w:val="fr-CA"/>
        </w:rPr>
        <w:lastRenderedPageBreak/>
        <w:t xml:space="preserve">Décider qui se trouve dans une relation d’emploi pour les besoins du </w:t>
      </w:r>
      <w:r w:rsidRPr="00417344">
        <w:rPr>
          <w:rFonts w:cs="Times New Roman"/>
          <w:i/>
          <w:lang w:val="fr-CA"/>
        </w:rPr>
        <w:t>Code</w:t>
      </w:r>
      <w:r w:rsidRPr="00417344">
        <w:rPr>
          <w:rFonts w:cs="Times New Roman"/>
          <w:lang w:val="fr-CA"/>
        </w:rPr>
        <w:t xml:space="preserve"> consiste essentiellement à examiner comment deux aspects synergiques interagissent dans une relation donnée</w:t>
      </w:r>
      <w:r w:rsidR="00684BD3">
        <w:rPr>
          <w:rFonts w:cs="Times New Roman"/>
          <w:lang w:val="fr-CA"/>
        </w:rPr>
        <w:t> :</w:t>
      </w:r>
      <w:r w:rsidRPr="00417344">
        <w:rPr>
          <w:rFonts w:cs="Times New Roman"/>
          <w:lang w:val="fr-CA"/>
        </w:rPr>
        <w:t xml:space="preserve"> le contrôle exercé par un employeur à l’égard des conditions de travail et de la rémunération, et la dépendance correspondante du travailleur.  Autrement dit, l’analyse consiste à se demander qui est responsable de fixer les conditions de travail et les avantages pécuniaires, et dans quelle mesure le travailleur exerce une influence sur ces décisions.  Plus on exerce de contrôle sur les conditions de travail d’une personne, plus on accroît la dépendance de cette personne et, par voie de conséquence, sa vulnérabilité professionnelle sur les plans économique, social et psychologique</w:t>
      </w:r>
      <w:r w:rsidR="00684BD3">
        <w:rPr>
          <w:rFonts w:cs="Times New Roman"/>
          <w:lang w:val="fr-CA"/>
        </w:rPr>
        <w:t> :</w:t>
      </w:r>
      <w:r w:rsidRPr="00417344">
        <w:rPr>
          <w:rFonts w:cs="Times New Roman"/>
          <w:lang w:val="fr-CA"/>
        </w:rPr>
        <w:t xml:space="preserve"> Guy </w:t>
      </w:r>
      <w:proofErr w:type="spellStart"/>
      <w:r w:rsidRPr="00417344">
        <w:rPr>
          <w:rFonts w:cs="Times New Roman"/>
          <w:lang w:val="fr-CA"/>
        </w:rPr>
        <w:t>Davidov</w:t>
      </w:r>
      <w:proofErr w:type="spellEnd"/>
      <w:r w:rsidRPr="00417344">
        <w:rPr>
          <w:rFonts w:cs="Times New Roman"/>
          <w:lang w:val="fr-CA"/>
        </w:rPr>
        <w:t xml:space="preserve">, </w:t>
      </w:r>
      <w:r w:rsidR="00684BD3">
        <w:rPr>
          <w:rFonts w:cs="Times New Roman"/>
          <w:lang w:val="fr-CA"/>
        </w:rPr>
        <w:t>« </w:t>
      </w:r>
      <w:r w:rsidRPr="00417344">
        <w:rPr>
          <w:rFonts w:cs="Times New Roman"/>
          <w:lang w:val="fr-CA"/>
        </w:rPr>
        <w:t xml:space="preserve">The </w:t>
      </w:r>
      <w:proofErr w:type="spellStart"/>
      <w:r w:rsidRPr="00417344">
        <w:rPr>
          <w:rFonts w:cs="Times New Roman"/>
          <w:lang w:val="fr-CA"/>
        </w:rPr>
        <w:t>Three</w:t>
      </w:r>
      <w:proofErr w:type="spellEnd"/>
      <w:r w:rsidRPr="00417344">
        <w:rPr>
          <w:rFonts w:cs="Times New Roman"/>
          <w:lang w:val="fr-CA"/>
        </w:rPr>
        <w:t xml:space="preserve"> Axes of </w:t>
      </w:r>
      <w:proofErr w:type="spellStart"/>
      <w:r w:rsidRPr="00417344">
        <w:rPr>
          <w:rFonts w:cs="Times New Roman"/>
          <w:lang w:val="fr-CA"/>
        </w:rPr>
        <w:t>Employment</w:t>
      </w:r>
      <w:proofErr w:type="spellEnd"/>
      <w:r w:rsidRPr="00417344">
        <w:rPr>
          <w:rFonts w:cs="Times New Roman"/>
          <w:lang w:val="fr-CA"/>
        </w:rPr>
        <w:t xml:space="preserve"> </w:t>
      </w:r>
      <w:proofErr w:type="spellStart"/>
      <w:r w:rsidRPr="00417344">
        <w:rPr>
          <w:rFonts w:cs="Times New Roman"/>
          <w:lang w:val="fr-CA"/>
        </w:rPr>
        <w:t>Relationships</w:t>
      </w:r>
      <w:proofErr w:type="spellEnd"/>
      <w:r w:rsidR="00684BD3">
        <w:rPr>
          <w:rFonts w:cs="Times New Roman"/>
          <w:lang w:val="fr-CA"/>
        </w:rPr>
        <w:t> :</w:t>
      </w:r>
      <w:r w:rsidRPr="00417344">
        <w:rPr>
          <w:rFonts w:cs="Times New Roman"/>
          <w:lang w:val="fr-CA"/>
        </w:rPr>
        <w:t xml:space="preserve"> A </w:t>
      </w:r>
      <w:proofErr w:type="spellStart"/>
      <w:r w:rsidRPr="00417344">
        <w:rPr>
          <w:rFonts w:cs="Times New Roman"/>
          <w:lang w:val="fr-CA"/>
        </w:rPr>
        <w:t>Characterization</w:t>
      </w:r>
      <w:proofErr w:type="spellEnd"/>
      <w:r w:rsidRPr="00417344">
        <w:rPr>
          <w:rFonts w:cs="Times New Roman"/>
          <w:lang w:val="fr-CA"/>
        </w:rPr>
        <w:t xml:space="preserve"> of </w:t>
      </w:r>
      <w:proofErr w:type="spellStart"/>
      <w:r w:rsidRPr="00417344">
        <w:rPr>
          <w:rFonts w:cs="Times New Roman"/>
          <w:lang w:val="fr-CA"/>
        </w:rPr>
        <w:t>Workers</w:t>
      </w:r>
      <w:proofErr w:type="spellEnd"/>
      <w:r w:rsidRPr="00417344">
        <w:rPr>
          <w:rFonts w:cs="Times New Roman"/>
          <w:lang w:val="fr-CA"/>
        </w:rPr>
        <w:t xml:space="preserve"> in </w:t>
      </w:r>
      <w:proofErr w:type="spellStart"/>
      <w:r w:rsidRPr="00417344">
        <w:rPr>
          <w:rFonts w:cs="Times New Roman"/>
          <w:lang w:val="fr-CA"/>
        </w:rPr>
        <w:t>Need</w:t>
      </w:r>
      <w:proofErr w:type="spellEnd"/>
      <w:r w:rsidRPr="00417344">
        <w:rPr>
          <w:rFonts w:cs="Times New Roman"/>
          <w:lang w:val="fr-CA"/>
        </w:rPr>
        <w:t xml:space="preserve"> of Protection</w:t>
      </w:r>
      <w:r w:rsidR="00684BD3">
        <w:rPr>
          <w:rFonts w:cs="Times New Roman"/>
          <w:lang w:val="fr-CA"/>
        </w:rPr>
        <w:t> »</w:t>
      </w:r>
      <w:r w:rsidRPr="00417344">
        <w:rPr>
          <w:rFonts w:cs="Times New Roman"/>
          <w:lang w:val="fr-CA"/>
        </w:rPr>
        <w:t xml:space="preserve"> (2002), 52 </w:t>
      </w:r>
      <w:r w:rsidRPr="00417344">
        <w:rPr>
          <w:rFonts w:cs="Times New Roman"/>
          <w:i/>
          <w:lang w:val="fr-CA"/>
        </w:rPr>
        <w:t>U.T.L.J.</w:t>
      </w:r>
      <w:r w:rsidRPr="00417344">
        <w:rPr>
          <w:rFonts w:cs="Times New Roman"/>
          <w:lang w:val="fr-CA"/>
        </w:rPr>
        <w:t xml:space="preserve"> 357, p.</w:t>
      </w:r>
      <w:r w:rsidR="00684BD3">
        <w:rPr>
          <w:rFonts w:cs="Times New Roman"/>
          <w:lang w:val="fr-CA"/>
        </w:rPr>
        <w:t xml:space="preserve"> </w:t>
      </w:r>
      <w:r w:rsidRPr="00417344">
        <w:rPr>
          <w:rFonts w:cs="Times New Roman"/>
          <w:lang w:val="fr-CA"/>
        </w:rPr>
        <w:t>377</w:t>
      </w:r>
      <w:r w:rsidR="00684BD3">
        <w:rPr>
          <w:rFonts w:cs="Times New Roman"/>
          <w:lang w:val="fr-CA"/>
        </w:rPr>
        <w:t>-</w:t>
      </w:r>
      <w:r w:rsidRPr="00417344">
        <w:rPr>
          <w:rFonts w:cs="Times New Roman"/>
          <w:lang w:val="fr-CA"/>
        </w:rPr>
        <w:t xml:space="preserve">394; </w:t>
      </w:r>
      <w:proofErr w:type="spellStart"/>
      <w:r w:rsidRPr="00417344">
        <w:rPr>
          <w:rFonts w:cs="Times New Roman"/>
          <w:lang w:val="fr-CA"/>
        </w:rPr>
        <w:t>Arthurs</w:t>
      </w:r>
      <w:proofErr w:type="spellEnd"/>
      <w:r w:rsidRPr="00417344">
        <w:rPr>
          <w:rFonts w:cs="Times New Roman"/>
          <w:lang w:val="fr-CA"/>
        </w:rPr>
        <w:t>, p.</w:t>
      </w:r>
      <w:r w:rsidR="00684BD3">
        <w:rPr>
          <w:rFonts w:cs="Times New Roman"/>
          <w:lang w:val="fr-CA"/>
        </w:rPr>
        <w:t xml:space="preserve"> </w:t>
      </w:r>
      <w:r w:rsidRPr="00417344">
        <w:rPr>
          <w:rFonts w:cs="Times New Roman"/>
          <w:lang w:val="fr-CA"/>
        </w:rPr>
        <w:t>89</w:t>
      </w:r>
      <w:r w:rsidR="00684BD3">
        <w:rPr>
          <w:rFonts w:cs="Times New Roman"/>
          <w:lang w:val="fr-CA"/>
        </w:rPr>
        <w:t>-</w:t>
      </w:r>
      <w:r w:rsidRPr="00417344">
        <w:rPr>
          <w:rFonts w:cs="Times New Roman"/>
          <w:lang w:val="fr-CA"/>
        </w:rPr>
        <w:t xml:space="preserve">90; </w:t>
      </w:r>
      <w:r w:rsidRPr="00417344">
        <w:rPr>
          <w:rFonts w:cs="Times New Roman"/>
          <w:i/>
          <w:lang w:val="fr-CA"/>
        </w:rPr>
        <w:t xml:space="preserve">International </w:t>
      </w:r>
      <w:proofErr w:type="spellStart"/>
      <w:r w:rsidRPr="00417344">
        <w:rPr>
          <w:rFonts w:cs="Times New Roman"/>
          <w:i/>
          <w:lang w:val="fr-CA"/>
        </w:rPr>
        <w:t>Woodworkers</w:t>
      </w:r>
      <w:proofErr w:type="spellEnd"/>
      <w:r w:rsidRPr="00417344">
        <w:rPr>
          <w:rFonts w:cs="Times New Roman"/>
          <w:i/>
          <w:lang w:val="fr-CA"/>
        </w:rPr>
        <w:t xml:space="preserve"> of </w:t>
      </w:r>
      <w:proofErr w:type="spellStart"/>
      <w:r w:rsidRPr="00417344">
        <w:rPr>
          <w:rFonts w:cs="Times New Roman"/>
          <w:i/>
          <w:lang w:val="fr-CA"/>
        </w:rPr>
        <w:t>America</w:t>
      </w:r>
      <w:proofErr w:type="spellEnd"/>
      <w:r w:rsidRPr="00417344">
        <w:rPr>
          <w:rFonts w:cs="Times New Roman"/>
          <w:i/>
          <w:lang w:val="fr-CA"/>
        </w:rPr>
        <w:t xml:space="preserve"> c. </w:t>
      </w:r>
      <w:proofErr w:type="spellStart"/>
      <w:r w:rsidRPr="00417344">
        <w:rPr>
          <w:rFonts w:cs="Times New Roman"/>
          <w:i/>
          <w:lang w:val="fr-CA"/>
        </w:rPr>
        <w:t>Atway</w:t>
      </w:r>
      <w:proofErr w:type="spellEnd"/>
      <w:r w:rsidRPr="00417344">
        <w:rPr>
          <w:rFonts w:cs="Times New Roman"/>
          <w:i/>
          <w:lang w:val="fr-CA"/>
        </w:rPr>
        <w:t xml:space="preserve"> Transport Inc.</w:t>
      </w:r>
      <w:r w:rsidRPr="00417344">
        <w:rPr>
          <w:rFonts w:cs="Times New Roman"/>
          <w:lang w:val="fr-CA"/>
        </w:rPr>
        <w:t xml:space="preserve">, [1989] OLRB </w:t>
      </w:r>
      <w:proofErr w:type="spellStart"/>
      <w:r w:rsidRPr="00417344">
        <w:rPr>
          <w:rFonts w:cs="Times New Roman"/>
          <w:lang w:val="fr-CA"/>
        </w:rPr>
        <w:t>Rep</w:t>
      </w:r>
      <w:proofErr w:type="spellEnd"/>
      <w:r w:rsidRPr="00417344">
        <w:rPr>
          <w:rFonts w:cs="Times New Roman"/>
          <w:lang w:val="fr-CA"/>
        </w:rPr>
        <w:t xml:space="preserve">. 540; </w:t>
      </w:r>
      <w:r w:rsidRPr="00417344">
        <w:rPr>
          <w:rFonts w:cs="Times New Roman"/>
          <w:i/>
          <w:lang w:val="fr-CA"/>
        </w:rPr>
        <w:t>Pointe</w:t>
      </w:r>
      <w:r w:rsidR="00684BD3">
        <w:rPr>
          <w:rFonts w:cs="Times New Roman"/>
          <w:i/>
          <w:lang w:val="fr-CA"/>
        </w:rPr>
        <w:t>-</w:t>
      </w:r>
      <w:r w:rsidRPr="00417344">
        <w:rPr>
          <w:rFonts w:cs="Times New Roman"/>
          <w:i/>
          <w:lang w:val="fr-CA"/>
        </w:rPr>
        <w:t>Claire (Ville) c. Québec (Tribunal du travail)</w:t>
      </w:r>
      <w:r w:rsidRPr="00417344">
        <w:rPr>
          <w:rFonts w:cs="Times New Roman"/>
          <w:lang w:val="fr-CA"/>
        </w:rPr>
        <w:t xml:space="preserve">, [1997] 1 R.C.S. 1015. </w:t>
      </w:r>
    </w:p>
    <w:p w:rsidR="0018307E" w:rsidRPr="00417344" w:rsidRDefault="0018307E" w:rsidP="0018307E">
      <w:pPr>
        <w:pStyle w:val="ParaNoNdepar-AltN"/>
        <w:rPr>
          <w:rFonts w:cs="Times New Roman"/>
          <w:lang w:val="fr-CA"/>
        </w:rPr>
      </w:pPr>
      <w:r w:rsidRPr="00417344">
        <w:rPr>
          <w:rFonts w:cs="Times New Roman"/>
          <w:lang w:val="fr-CA"/>
        </w:rPr>
        <w:t xml:space="preserve">L’analyse appliquée par le Tribunal pour déterminer si une personne se trouve dans une relation d’emploi visée par le </w:t>
      </w:r>
      <w:r w:rsidRPr="00417344">
        <w:rPr>
          <w:rFonts w:cs="Times New Roman"/>
          <w:i/>
          <w:lang w:val="fr-CA"/>
        </w:rPr>
        <w:t>Code</w:t>
      </w:r>
      <w:r w:rsidRPr="00417344">
        <w:rPr>
          <w:rFonts w:cs="Times New Roman"/>
          <w:lang w:val="fr-CA"/>
        </w:rPr>
        <w:t xml:space="preserve"> a été élaborée dans l’affaire </w:t>
      </w:r>
      <w:r w:rsidRPr="00417344">
        <w:rPr>
          <w:rFonts w:cs="Times New Roman"/>
          <w:i/>
          <w:lang w:val="fr-CA"/>
        </w:rPr>
        <w:t>Crane</w:t>
      </w:r>
      <w:r w:rsidRPr="00417344">
        <w:rPr>
          <w:rFonts w:cs="Times New Roman"/>
          <w:lang w:val="fr-CA"/>
        </w:rPr>
        <w:t>, où le Tribunal a énoncé les indices suivants</w:t>
      </w:r>
      <w:r w:rsidR="00684BD3">
        <w:rPr>
          <w:rFonts w:cs="Times New Roman"/>
          <w:lang w:val="fr-CA"/>
        </w:rPr>
        <w:t> :</w:t>
      </w:r>
    </w:p>
    <w:p w:rsidR="0018307E" w:rsidRPr="00417344" w:rsidRDefault="0018307E" w:rsidP="0018307E">
      <w:pPr>
        <w:pStyle w:val="Citation-AltC"/>
        <w:spacing w:after="240"/>
        <w:ind w:hanging="1166"/>
        <w:contextualSpacing w:val="0"/>
        <w:rPr>
          <w:lang w:val="fr-CA"/>
        </w:rPr>
      </w:pPr>
      <w:r w:rsidRPr="00417344">
        <w:rPr>
          <w:lang w:val="fr-CA"/>
        </w:rPr>
        <w:tab/>
        <w:t>[</w:t>
      </w:r>
      <w:r w:rsidRPr="00417344">
        <w:rPr>
          <w:smallCaps/>
          <w:lang w:val="fr-CA"/>
        </w:rPr>
        <w:t>traduction</w:t>
      </w:r>
      <w:r w:rsidRPr="00417344">
        <w:rPr>
          <w:lang w:val="fr-CA"/>
        </w:rPr>
        <w:t>]</w:t>
      </w:r>
    </w:p>
    <w:p w:rsidR="0018307E" w:rsidRDefault="0018307E" w:rsidP="00072E3F">
      <w:pPr>
        <w:pStyle w:val="Citation-AltC"/>
        <w:ind w:left="1440" w:hanging="270"/>
        <w:rPr>
          <w:lang w:val="fr-CA"/>
        </w:rPr>
      </w:pPr>
      <w:r w:rsidRPr="00417344">
        <w:rPr>
          <w:lang w:val="fr-CA"/>
        </w:rPr>
        <w:t>a.</w:t>
      </w:r>
      <w:r w:rsidRPr="00417344">
        <w:rPr>
          <w:lang w:val="fr-CA"/>
        </w:rPr>
        <w:tab/>
        <w:t>L’</w:t>
      </w:r>
      <w:r w:rsidR="004F0FA7">
        <w:rPr>
          <w:lang w:val="fr-CA"/>
        </w:rPr>
        <w:t>« </w:t>
      </w:r>
      <w:r w:rsidRPr="00417344">
        <w:rPr>
          <w:lang w:val="fr-CA"/>
        </w:rPr>
        <w:t>utilisation</w:t>
      </w:r>
      <w:r w:rsidR="00684BD3">
        <w:rPr>
          <w:lang w:val="fr-CA"/>
        </w:rPr>
        <w:t> </w:t>
      </w:r>
      <w:r w:rsidR="004F0FA7">
        <w:rPr>
          <w:lang w:val="fr-CA"/>
        </w:rPr>
        <w:t>» </w:t>
      </w:r>
      <w:r w:rsidR="00684BD3">
        <w:rPr>
          <w:lang w:val="fr-CA"/>
        </w:rPr>
        <w:t>:</w:t>
      </w:r>
      <w:r w:rsidRPr="00417344">
        <w:rPr>
          <w:lang w:val="fr-CA"/>
        </w:rPr>
        <w:t xml:space="preserve"> </w:t>
      </w:r>
      <w:r w:rsidRPr="00072E3F">
        <w:rPr>
          <w:lang w:val="fr-CA"/>
        </w:rPr>
        <w:t>Ce</w:t>
      </w:r>
      <w:r w:rsidRPr="00417344">
        <w:rPr>
          <w:lang w:val="fr-CA"/>
        </w:rPr>
        <w:t xml:space="preserve"> concept [.</w:t>
      </w:r>
      <w:r w:rsidR="00684BD3">
        <w:rPr>
          <w:lang w:val="fr-CA"/>
        </w:rPr>
        <w:t xml:space="preserve"> </w:t>
      </w:r>
      <w:r w:rsidRPr="00417344">
        <w:rPr>
          <w:lang w:val="fr-CA"/>
        </w:rPr>
        <w:t>.</w:t>
      </w:r>
      <w:r w:rsidR="00684BD3">
        <w:rPr>
          <w:lang w:val="fr-CA"/>
        </w:rPr>
        <w:t xml:space="preserve"> </w:t>
      </w:r>
      <w:r w:rsidRPr="00417344">
        <w:rPr>
          <w:lang w:val="fr-CA"/>
        </w:rPr>
        <w:t xml:space="preserve">.] porte sur la question de savoir si le présumé employeur a </w:t>
      </w:r>
      <w:r w:rsidR="00684BD3">
        <w:rPr>
          <w:lang w:val="fr-CA"/>
        </w:rPr>
        <w:t>« </w:t>
      </w:r>
      <w:r w:rsidRPr="00417344">
        <w:rPr>
          <w:lang w:val="fr-CA"/>
        </w:rPr>
        <w:t>utilisé</w:t>
      </w:r>
      <w:r w:rsidR="00684BD3">
        <w:rPr>
          <w:lang w:val="fr-CA"/>
        </w:rPr>
        <w:t> »</w:t>
      </w:r>
      <w:r w:rsidRPr="00417344">
        <w:rPr>
          <w:lang w:val="fr-CA"/>
        </w:rPr>
        <w:t xml:space="preserve"> l’employé en question ou tiré certains bénéfices de ce dernier</w:t>
      </w:r>
      <w:r>
        <w:rPr>
          <w:lang w:val="fr-CA"/>
        </w:rPr>
        <w:t>.</w:t>
      </w:r>
    </w:p>
    <w:p w:rsidR="00072E3F" w:rsidRPr="00417344" w:rsidRDefault="00072E3F" w:rsidP="00072E3F">
      <w:pPr>
        <w:pStyle w:val="Citation-AltC"/>
        <w:ind w:left="1440" w:hanging="270"/>
        <w:rPr>
          <w:lang w:val="fr-CA"/>
        </w:rPr>
      </w:pPr>
    </w:p>
    <w:p w:rsidR="0018307E" w:rsidRDefault="0018307E" w:rsidP="00072E3F">
      <w:pPr>
        <w:pStyle w:val="Citation-AltC"/>
        <w:ind w:left="1440" w:hanging="270"/>
        <w:rPr>
          <w:lang w:val="fr-CA"/>
        </w:rPr>
      </w:pPr>
      <w:r w:rsidRPr="00417344">
        <w:rPr>
          <w:lang w:val="fr-CA"/>
        </w:rPr>
        <w:t>b.</w:t>
      </w:r>
      <w:r w:rsidRPr="00417344">
        <w:rPr>
          <w:lang w:val="fr-CA"/>
        </w:rPr>
        <w:tab/>
        <w:t xml:space="preserve">Le </w:t>
      </w:r>
      <w:r w:rsidRPr="00072E3F">
        <w:rPr>
          <w:lang w:val="fr-CA"/>
        </w:rPr>
        <w:t>contrôle</w:t>
      </w:r>
      <w:r w:rsidR="00684BD3">
        <w:rPr>
          <w:lang w:val="fr-CA"/>
        </w:rPr>
        <w:t> :</w:t>
      </w:r>
      <w:r w:rsidRPr="00417344">
        <w:rPr>
          <w:lang w:val="fr-CA"/>
        </w:rPr>
        <w:t xml:space="preserve"> Le présumé employeur exerçait</w:t>
      </w:r>
      <w:r w:rsidR="00684BD3">
        <w:rPr>
          <w:lang w:val="fr-CA"/>
        </w:rPr>
        <w:t>-</w:t>
      </w:r>
      <w:r w:rsidRPr="00417344">
        <w:rPr>
          <w:lang w:val="fr-CA"/>
        </w:rPr>
        <w:t xml:space="preserve">il un contrôle sur l’employé, que ce soit relativement à l’établissement de son salaire ou </w:t>
      </w:r>
      <w:r>
        <w:rPr>
          <w:lang w:val="fr-CA"/>
        </w:rPr>
        <w:t xml:space="preserve">à </w:t>
      </w:r>
      <w:r w:rsidRPr="00417344">
        <w:rPr>
          <w:lang w:val="fr-CA"/>
        </w:rPr>
        <w:t xml:space="preserve">d’autres conditions d’emploi, ou relativement à son travail de </w:t>
      </w:r>
      <w:r w:rsidRPr="00417344">
        <w:rPr>
          <w:lang w:val="fr-CA"/>
        </w:rPr>
        <w:lastRenderedPageBreak/>
        <w:t>manière plus générale, par exemple la nature du travail à effectuer ou des questions de discipline et de renvoi?</w:t>
      </w:r>
    </w:p>
    <w:p w:rsidR="00072E3F" w:rsidRPr="00417344" w:rsidRDefault="00072E3F" w:rsidP="00072E3F">
      <w:pPr>
        <w:pStyle w:val="Citation-AltC"/>
        <w:ind w:left="1440" w:hanging="270"/>
        <w:rPr>
          <w:lang w:val="fr-CA"/>
        </w:rPr>
      </w:pPr>
    </w:p>
    <w:p w:rsidR="0018307E" w:rsidRDefault="0018307E" w:rsidP="00072E3F">
      <w:pPr>
        <w:pStyle w:val="Citation-AltC"/>
        <w:ind w:left="1440" w:hanging="270"/>
        <w:rPr>
          <w:lang w:val="fr-CA"/>
        </w:rPr>
      </w:pPr>
      <w:r w:rsidRPr="00417344">
        <w:rPr>
          <w:lang w:val="fr-CA"/>
        </w:rPr>
        <w:t>c.</w:t>
      </w:r>
      <w:r w:rsidRPr="00417344">
        <w:rPr>
          <w:lang w:val="fr-CA"/>
        </w:rPr>
        <w:tab/>
        <w:t>Le fardeau financier</w:t>
      </w:r>
      <w:r w:rsidR="00684BD3">
        <w:rPr>
          <w:lang w:val="fr-CA"/>
        </w:rPr>
        <w:t> :</w:t>
      </w:r>
      <w:r w:rsidRPr="00417344">
        <w:rPr>
          <w:lang w:val="fr-CA"/>
        </w:rPr>
        <w:t xml:space="preserve"> Le présumé employeur assumait</w:t>
      </w:r>
      <w:r w:rsidR="00684BD3">
        <w:rPr>
          <w:lang w:val="fr-CA"/>
        </w:rPr>
        <w:t>-</w:t>
      </w:r>
      <w:r w:rsidRPr="00417344">
        <w:rPr>
          <w:lang w:val="fr-CA"/>
        </w:rPr>
        <w:t xml:space="preserve">il le fardeau de la </w:t>
      </w:r>
      <w:r w:rsidRPr="00072E3F">
        <w:rPr>
          <w:lang w:val="fr-CA"/>
        </w:rPr>
        <w:t>rémunération</w:t>
      </w:r>
      <w:r w:rsidRPr="00417344">
        <w:rPr>
          <w:lang w:val="fr-CA"/>
        </w:rPr>
        <w:t xml:space="preserve"> de l’employé?</w:t>
      </w:r>
    </w:p>
    <w:p w:rsidR="00072E3F" w:rsidRPr="00417344" w:rsidRDefault="00072E3F" w:rsidP="00072E3F">
      <w:pPr>
        <w:pStyle w:val="Citation-AltC"/>
        <w:ind w:left="1440" w:hanging="270"/>
        <w:rPr>
          <w:lang w:val="fr-CA"/>
        </w:rPr>
      </w:pPr>
    </w:p>
    <w:p w:rsidR="0018307E" w:rsidRPr="00417344" w:rsidRDefault="0018307E" w:rsidP="00072E3F">
      <w:pPr>
        <w:pStyle w:val="Citation-AltC"/>
        <w:ind w:left="1440" w:hanging="270"/>
        <w:rPr>
          <w:lang w:val="fr-CA"/>
        </w:rPr>
      </w:pPr>
      <w:r w:rsidRPr="00417344">
        <w:rPr>
          <w:lang w:val="fr-CA"/>
        </w:rPr>
        <w:t>d.</w:t>
      </w:r>
      <w:r w:rsidRPr="00417344">
        <w:rPr>
          <w:lang w:val="fr-CA"/>
        </w:rPr>
        <w:tab/>
      </w:r>
      <w:r w:rsidRPr="00072E3F">
        <w:rPr>
          <w:lang w:val="fr-CA"/>
        </w:rPr>
        <w:t>L’objectif</w:t>
      </w:r>
      <w:r w:rsidRPr="00417344">
        <w:rPr>
          <w:lang w:val="fr-CA"/>
        </w:rPr>
        <w:t xml:space="preserve"> de réparation</w:t>
      </w:r>
      <w:r w:rsidR="00684BD3">
        <w:rPr>
          <w:lang w:val="fr-CA"/>
        </w:rPr>
        <w:t> :</w:t>
      </w:r>
      <w:r w:rsidRPr="00417344">
        <w:rPr>
          <w:lang w:val="fr-CA"/>
        </w:rPr>
        <w:t xml:space="preserve"> La capacité de corriger une situation de discrimination appartient</w:t>
      </w:r>
      <w:r w:rsidR="00684BD3">
        <w:rPr>
          <w:lang w:val="fr-CA"/>
        </w:rPr>
        <w:t>-</w:t>
      </w:r>
      <w:r w:rsidRPr="00417344">
        <w:rPr>
          <w:lang w:val="fr-CA"/>
        </w:rPr>
        <w:t>elle à l’employeur? [</w:t>
      </w:r>
      <w:proofErr w:type="gramStart"/>
      <w:r w:rsidRPr="00417344">
        <w:rPr>
          <w:lang w:val="fr-CA"/>
        </w:rPr>
        <w:t>par</w:t>
      </w:r>
      <w:proofErr w:type="gramEnd"/>
      <w:r w:rsidRPr="00417344">
        <w:rPr>
          <w:lang w:val="fr-CA"/>
        </w:rPr>
        <w:t>.</w:t>
      </w:r>
      <w:r w:rsidR="00684BD3">
        <w:rPr>
          <w:lang w:val="fr-CA"/>
        </w:rPr>
        <w:t xml:space="preserve"> </w:t>
      </w:r>
      <w:r w:rsidRPr="00417344">
        <w:rPr>
          <w:lang w:val="fr-CA"/>
        </w:rPr>
        <w:t xml:space="preserve">79] </w:t>
      </w:r>
    </w:p>
    <w:p w:rsidR="0018307E" w:rsidRPr="00417344" w:rsidRDefault="0018307E" w:rsidP="0018307E">
      <w:pPr>
        <w:pStyle w:val="ContinueParaSuitedupar-AltP"/>
        <w:rPr>
          <w:rFonts w:cs="Times New Roman"/>
          <w:lang w:val="fr-CA"/>
        </w:rPr>
      </w:pPr>
      <w:r w:rsidRPr="00417344">
        <w:rPr>
          <w:rFonts w:cs="Times New Roman"/>
          <w:lang w:val="fr-CA"/>
        </w:rPr>
        <w:t xml:space="preserve">Essentiellement, cette analyse constitue elle aussi une approche fondée sur les critères de contrôle et de dépendance.  Les concepts d’utilisation, de contrôle et de fardeau financier, ainsi que la capacité de l’employeur de remédier à des situations de discrimination, se rattachent en définitive tous à la question de savoir si l’employeur contrôle les conditions de travail et la rémunération, ce qui a pour effet de placer l’employé dans une situation de dépendance. </w:t>
      </w:r>
    </w:p>
    <w:p w:rsidR="0018307E" w:rsidRPr="00417344" w:rsidRDefault="0018307E" w:rsidP="0018307E">
      <w:pPr>
        <w:pStyle w:val="ParaNoNdepar-AltN"/>
        <w:rPr>
          <w:rFonts w:cs="Times New Roman"/>
          <w:lang w:val="fr-CA"/>
        </w:rPr>
      </w:pPr>
      <w:r w:rsidRPr="00417344">
        <w:rPr>
          <w:rFonts w:cs="Times New Roman"/>
          <w:lang w:val="fr-CA"/>
        </w:rPr>
        <w:t>Le fait de mettre l’accent sur le contrôle et la dépendance pour déterminer si on est en présence d’une relation d’emploi est conforme aux approches qui sont adoptées, tant au Canada qu’à l’étranger, pour définir la notion d’emploi dans le contexte de mesures législatives de protection</w:t>
      </w:r>
      <w:r w:rsidR="00684BD3">
        <w:rPr>
          <w:rFonts w:cs="Times New Roman"/>
          <w:lang w:val="fr-CA"/>
        </w:rPr>
        <w:t> :</w:t>
      </w:r>
      <w:r w:rsidRPr="00417344">
        <w:rPr>
          <w:rFonts w:cs="Times New Roman"/>
          <w:lang w:val="fr-CA"/>
        </w:rPr>
        <w:t xml:space="preserve"> </w:t>
      </w:r>
      <w:proofErr w:type="spellStart"/>
      <w:r w:rsidRPr="00417344">
        <w:rPr>
          <w:rFonts w:cs="Times New Roman"/>
          <w:lang w:val="fr-CA"/>
        </w:rPr>
        <w:t>Davidov</w:t>
      </w:r>
      <w:proofErr w:type="spellEnd"/>
      <w:r w:rsidRPr="00417344">
        <w:rPr>
          <w:rFonts w:cs="Times New Roman"/>
          <w:lang w:val="fr-CA"/>
        </w:rPr>
        <w:t>, p.</w:t>
      </w:r>
      <w:r w:rsidR="00684BD3">
        <w:rPr>
          <w:rFonts w:cs="Times New Roman"/>
          <w:lang w:val="fr-CA"/>
        </w:rPr>
        <w:t xml:space="preserve"> </w:t>
      </w:r>
      <w:r w:rsidRPr="00417344">
        <w:rPr>
          <w:rFonts w:cs="Times New Roman"/>
          <w:lang w:val="fr-CA"/>
        </w:rPr>
        <w:t>365</w:t>
      </w:r>
      <w:r w:rsidR="00684BD3">
        <w:rPr>
          <w:rFonts w:cs="Times New Roman"/>
          <w:lang w:val="fr-CA"/>
        </w:rPr>
        <w:t>-</w:t>
      </w:r>
      <w:r w:rsidRPr="00417344">
        <w:rPr>
          <w:rFonts w:cs="Times New Roman"/>
          <w:lang w:val="fr-CA"/>
        </w:rPr>
        <w:t>371.  Par exemple, la Commission des relations de travail de l’Ontario se livre à une analyse fondée sur sept facteurs pour décider s’il existe ou non une relation de travail, et ce, à partir d’indices se rapportant principalement aux concepts de contrôle et de dépendance économique.  Entre autres critères, la Commission se demande si le présumé employeur exerce un pouvoir de direction et de contrôle sur l’exécution du travail, s’il impose des mesures disciplinaires, s’il a le pouvoir de renvoyer les employés, s’il assume le fardeau de la rémunération et s’il est perçu comme étant l’employeur (</w:t>
      </w:r>
      <w:r w:rsidRPr="00417344">
        <w:rPr>
          <w:rFonts w:cs="Times New Roman"/>
          <w:i/>
          <w:lang w:val="fr-CA"/>
        </w:rPr>
        <w:t xml:space="preserve">York </w:t>
      </w:r>
      <w:r w:rsidRPr="00417344">
        <w:rPr>
          <w:rFonts w:cs="Times New Roman"/>
          <w:i/>
          <w:lang w:val="fr-CA"/>
        </w:rPr>
        <w:lastRenderedPageBreak/>
        <w:t>Condominium Corp.</w:t>
      </w:r>
      <w:r w:rsidRPr="00417344">
        <w:rPr>
          <w:rFonts w:cs="Times New Roman"/>
          <w:lang w:val="fr-CA"/>
        </w:rPr>
        <w:t xml:space="preserve">, [1977] OLRB </w:t>
      </w:r>
      <w:proofErr w:type="spellStart"/>
      <w:r w:rsidRPr="00417344">
        <w:rPr>
          <w:rFonts w:cs="Times New Roman"/>
          <w:lang w:val="fr-CA"/>
        </w:rPr>
        <w:t>Rep</w:t>
      </w:r>
      <w:proofErr w:type="spellEnd"/>
      <w:r w:rsidRPr="00417344">
        <w:rPr>
          <w:rFonts w:cs="Times New Roman"/>
          <w:lang w:val="fr-CA"/>
        </w:rPr>
        <w:t>.</w:t>
      </w:r>
      <w:r w:rsidR="00684BD3">
        <w:rPr>
          <w:rFonts w:cs="Times New Roman"/>
          <w:lang w:val="fr-CA"/>
        </w:rPr>
        <w:t xml:space="preserve"> </w:t>
      </w:r>
      <w:r w:rsidRPr="00417344">
        <w:rPr>
          <w:rFonts w:cs="Times New Roman"/>
          <w:lang w:val="fr-CA"/>
        </w:rPr>
        <w:t>645; Adams, p.</w:t>
      </w:r>
      <w:r w:rsidR="00684BD3">
        <w:rPr>
          <w:rFonts w:cs="Times New Roman"/>
          <w:lang w:val="fr-CA"/>
        </w:rPr>
        <w:t xml:space="preserve"> </w:t>
      </w:r>
      <w:r w:rsidRPr="00417344">
        <w:rPr>
          <w:rFonts w:cs="Times New Roman"/>
          <w:lang w:val="fr-CA"/>
        </w:rPr>
        <w:t>6</w:t>
      </w:r>
      <w:r w:rsidR="00684BD3">
        <w:rPr>
          <w:rFonts w:cs="Times New Roman"/>
          <w:lang w:val="fr-CA"/>
        </w:rPr>
        <w:t>-</w:t>
      </w:r>
      <w:r w:rsidRPr="00417344">
        <w:rPr>
          <w:rFonts w:cs="Times New Roman"/>
          <w:lang w:val="fr-CA"/>
        </w:rPr>
        <w:t>36).  Cela dit, il est possible que différents régimes législatifs en matière d’emploi présentent d’importantes similitudes, mais la question doit néanmoins toujours être appréciée dans le contexte du régime particulier en cause.</w:t>
      </w:r>
    </w:p>
    <w:p w:rsidR="0018307E" w:rsidRPr="00417344" w:rsidRDefault="0018307E" w:rsidP="0018307E">
      <w:pPr>
        <w:pStyle w:val="ParaNoNdepar-AltN"/>
        <w:rPr>
          <w:rFonts w:cs="Times New Roman"/>
          <w:lang w:val="fr-CA"/>
        </w:rPr>
      </w:pPr>
      <w:r w:rsidRPr="00417344">
        <w:rPr>
          <w:rFonts w:cs="Times New Roman"/>
          <w:lang w:val="fr-CA"/>
        </w:rPr>
        <w:t xml:space="preserve">Bien que les indices particuliers utilisés dans d’autres pays puissent différer de ceux adoptés par la jurisprudence canadienne, les deux thèmes qui reviennent constamment sont le contrôle et la dépendance.  À titre d’exemple, dans </w:t>
      </w:r>
      <w:proofErr w:type="spellStart"/>
      <w:r w:rsidRPr="00417344">
        <w:rPr>
          <w:rFonts w:cs="Times New Roman"/>
          <w:i/>
          <w:lang w:val="fr-CA"/>
        </w:rPr>
        <w:t>Clackamas</w:t>
      </w:r>
      <w:proofErr w:type="spellEnd"/>
      <w:r w:rsidRPr="00417344">
        <w:rPr>
          <w:rFonts w:cs="Times New Roman"/>
          <w:i/>
          <w:lang w:val="fr-CA"/>
        </w:rPr>
        <w:t xml:space="preserve"> </w:t>
      </w:r>
      <w:proofErr w:type="spellStart"/>
      <w:r w:rsidRPr="00417344">
        <w:rPr>
          <w:rFonts w:cs="Times New Roman"/>
          <w:i/>
          <w:lang w:val="fr-CA"/>
        </w:rPr>
        <w:t>Gastroenterology</w:t>
      </w:r>
      <w:proofErr w:type="spellEnd"/>
      <w:r w:rsidRPr="00417344">
        <w:rPr>
          <w:rFonts w:cs="Times New Roman"/>
          <w:i/>
          <w:lang w:val="fr-CA"/>
        </w:rPr>
        <w:t xml:space="preserve"> Associates, P.</w:t>
      </w:r>
      <w:r w:rsidR="00684BD3">
        <w:rPr>
          <w:rFonts w:cs="Times New Roman"/>
          <w:i/>
          <w:lang w:val="fr-CA"/>
        </w:rPr>
        <w:t xml:space="preserve"> </w:t>
      </w:r>
      <w:r w:rsidRPr="00417344">
        <w:rPr>
          <w:rFonts w:cs="Times New Roman"/>
          <w:i/>
          <w:lang w:val="fr-CA"/>
        </w:rPr>
        <w:t>C. c. Wells</w:t>
      </w:r>
      <w:r w:rsidRPr="00417344">
        <w:rPr>
          <w:rFonts w:cs="Times New Roman"/>
          <w:lang w:val="fr-CA"/>
        </w:rPr>
        <w:t>, 538 U.S. 440 (2003), une affaire qui a obligé la Cour suprême des États</w:t>
      </w:r>
      <w:r w:rsidR="00684BD3">
        <w:rPr>
          <w:rFonts w:cs="Times New Roman"/>
          <w:lang w:val="fr-CA"/>
        </w:rPr>
        <w:t>-</w:t>
      </w:r>
      <w:r w:rsidRPr="00417344">
        <w:rPr>
          <w:rFonts w:cs="Times New Roman"/>
          <w:lang w:val="fr-CA"/>
        </w:rPr>
        <w:t>Unis à définir qui est un employé visé par l’</w:t>
      </w:r>
      <w:proofErr w:type="spellStart"/>
      <w:r w:rsidRPr="00417344">
        <w:rPr>
          <w:rFonts w:cs="Times New Roman"/>
          <w:i/>
          <w:lang w:val="fr-CA"/>
        </w:rPr>
        <w:t>Americans</w:t>
      </w:r>
      <w:proofErr w:type="spellEnd"/>
      <w:r w:rsidRPr="00417344">
        <w:rPr>
          <w:rFonts w:cs="Times New Roman"/>
          <w:i/>
          <w:lang w:val="fr-CA"/>
        </w:rPr>
        <w:t xml:space="preserve"> </w:t>
      </w:r>
      <w:proofErr w:type="spellStart"/>
      <w:r w:rsidRPr="00417344">
        <w:rPr>
          <w:rFonts w:cs="Times New Roman"/>
          <w:i/>
          <w:lang w:val="fr-CA"/>
        </w:rPr>
        <w:t>with</w:t>
      </w:r>
      <w:proofErr w:type="spellEnd"/>
      <w:r w:rsidRPr="00417344">
        <w:rPr>
          <w:rFonts w:cs="Times New Roman"/>
          <w:i/>
          <w:lang w:val="fr-CA"/>
        </w:rPr>
        <w:t xml:space="preserve"> </w:t>
      </w:r>
      <w:proofErr w:type="spellStart"/>
      <w:r w:rsidRPr="00417344">
        <w:rPr>
          <w:rFonts w:cs="Times New Roman"/>
          <w:i/>
          <w:lang w:val="fr-CA"/>
        </w:rPr>
        <w:t>Disabilities</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Fonts w:cs="Times New Roman"/>
          <w:i/>
          <w:lang w:val="fr-CA"/>
        </w:rPr>
        <w:t xml:space="preserve"> of 1990</w:t>
      </w:r>
      <w:r w:rsidRPr="00417344">
        <w:rPr>
          <w:rFonts w:cs="Times New Roman"/>
          <w:lang w:val="fr-CA"/>
        </w:rPr>
        <w:t xml:space="preserve"> (</w:t>
      </w:r>
      <w:r w:rsidR="00072E3F">
        <w:rPr>
          <w:rFonts w:cs="Times New Roman"/>
          <w:lang w:val="fr-CA"/>
        </w:rPr>
        <w:t xml:space="preserve">104 Stat. 327, </w:t>
      </w:r>
      <w:r w:rsidRPr="00417344">
        <w:rPr>
          <w:rFonts w:cs="Times New Roman"/>
          <w:lang w:val="fr-CA"/>
        </w:rPr>
        <w:t xml:space="preserve">modifiée, 42 U.S.C. § 12101 et </w:t>
      </w:r>
      <w:proofErr w:type="spellStart"/>
      <w:r w:rsidRPr="00417344">
        <w:rPr>
          <w:rFonts w:cs="Times New Roman"/>
          <w:lang w:val="fr-CA"/>
        </w:rPr>
        <w:t>s</w:t>
      </w:r>
      <w:r w:rsidR="00072E3F">
        <w:rPr>
          <w:rFonts w:cs="Times New Roman"/>
          <w:lang w:val="fr-CA"/>
        </w:rPr>
        <w:t>uiv</w:t>
      </w:r>
      <w:proofErr w:type="spellEnd"/>
      <w:r w:rsidRPr="00417344">
        <w:rPr>
          <w:rFonts w:cs="Times New Roman"/>
          <w:lang w:val="fr-CA"/>
        </w:rPr>
        <w:t>.), la cour s’est appuyée sur les facteurs suivants relativement à la question du contrôle et de la dépendance</w:t>
      </w:r>
      <w:r w:rsidR="00684BD3">
        <w:rPr>
          <w:rFonts w:cs="Times New Roman"/>
          <w:lang w:val="fr-CA"/>
        </w:rPr>
        <w:t> :</w:t>
      </w:r>
      <w:r w:rsidRPr="00417344">
        <w:rPr>
          <w:rFonts w:cs="Times New Roman"/>
          <w:lang w:val="fr-CA"/>
        </w:rPr>
        <w:t xml:space="preserve">  </w:t>
      </w:r>
    </w:p>
    <w:p w:rsidR="0018307E" w:rsidRPr="00417344" w:rsidRDefault="0018307E" w:rsidP="0018307E">
      <w:pPr>
        <w:pStyle w:val="Citation-AltC"/>
        <w:tabs>
          <w:tab w:val="left" w:pos="1560"/>
        </w:tabs>
        <w:spacing w:after="240"/>
        <w:ind w:hanging="1166"/>
        <w:contextualSpacing w:val="0"/>
        <w:rPr>
          <w:lang w:val="fr-CA"/>
        </w:rPr>
      </w:pPr>
      <w:r w:rsidRPr="00417344">
        <w:rPr>
          <w:lang w:val="fr-CA"/>
        </w:rPr>
        <w:tab/>
      </w:r>
      <w:r w:rsidR="00072E3F" w:rsidRPr="00417344">
        <w:rPr>
          <w:lang w:val="fr-CA"/>
        </w:rPr>
        <w:t>[</w:t>
      </w:r>
      <w:r w:rsidR="00072E3F" w:rsidRPr="00417344">
        <w:rPr>
          <w:smallCaps/>
          <w:lang w:val="fr-CA"/>
        </w:rPr>
        <w:t>traduction</w:t>
      </w:r>
      <w:r w:rsidR="00072E3F" w:rsidRPr="00417344">
        <w:rPr>
          <w:lang w:val="fr-CA"/>
        </w:rPr>
        <w:t>]</w:t>
      </w:r>
      <w:r w:rsidR="00072E3F">
        <w:rPr>
          <w:lang w:val="fr-CA"/>
        </w:rPr>
        <w:t xml:space="preserve"> </w:t>
      </w:r>
      <w:r w:rsidRPr="00417344">
        <w:rPr>
          <w:lang w:val="fr-CA"/>
        </w:rPr>
        <w:t>L’organisation peut</w:t>
      </w:r>
      <w:r w:rsidR="00684BD3">
        <w:rPr>
          <w:lang w:val="fr-CA"/>
        </w:rPr>
        <w:t>-</w:t>
      </w:r>
      <w:r w:rsidRPr="00417344">
        <w:rPr>
          <w:lang w:val="fr-CA"/>
        </w:rPr>
        <w:t>elle embaucher ou congédier l’intéressé ou fixer les règles régissant son travail?</w:t>
      </w:r>
    </w:p>
    <w:p w:rsidR="0018307E" w:rsidRPr="00417344" w:rsidRDefault="0018307E" w:rsidP="0018307E">
      <w:pPr>
        <w:pStyle w:val="Citation-AltC"/>
        <w:tabs>
          <w:tab w:val="left" w:pos="1560"/>
        </w:tabs>
        <w:spacing w:after="240"/>
        <w:ind w:hanging="1166"/>
        <w:contextualSpacing w:val="0"/>
        <w:rPr>
          <w:lang w:val="fr-CA"/>
        </w:rPr>
      </w:pPr>
      <w:r w:rsidRPr="00417344">
        <w:rPr>
          <w:lang w:val="fr-CA"/>
        </w:rPr>
        <w:tab/>
        <w:t>L’organisation supervise</w:t>
      </w:r>
      <w:r w:rsidR="00684BD3">
        <w:rPr>
          <w:lang w:val="fr-CA"/>
        </w:rPr>
        <w:t>-</w:t>
      </w:r>
      <w:r w:rsidRPr="00417344">
        <w:rPr>
          <w:lang w:val="fr-CA"/>
        </w:rPr>
        <w:t>t</w:t>
      </w:r>
      <w:r w:rsidR="00684BD3">
        <w:rPr>
          <w:lang w:val="fr-CA"/>
        </w:rPr>
        <w:t>-</w:t>
      </w:r>
      <w:r w:rsidRPr="00417344">
        <w:rPr>
          <w:lang w:val="fr-CA"/>
        </w:rPr>
        <w:t>elle le travail de l’intéressé et, si oui, dans quelle mesure?</w:t>
      </w:r>
    </w:p>
    <w:p w:rsidR="0018307E" w:rsidRPr="00417344" w:rsidRDefault="0018307E" w:rsidP="0018307E">
      <w:pPr>
        <w:pStyle w:val="Citation-AltC"/>
        <w:tabs>
          <w:tab w:val="left" w:pos="1560"/>
        </w:tabs>
        <w:spacing w:after="240"/>
        <w:ind w:hanging="1166"/>
        <w:contextualSpacing w:val="0"/>
        <w:rPr>
          <w:lang w:val="fr-CA"/>
        </w:rPr>
      </w:pPr>
      <w:r w:rsidRPr="00417344">
        <w:rPr>
          <w:lang w:val="fr-CA"/>
        </w:rPr>
        <w:tab/>
        <w:t>L’intéressé relève</w:t>
      </w:r>
      <w:r w:rsidR="00684BD3">
        <w:rPr>
          <w:lang w:val="fr-CA"/>
        </w:rPr>
        <w:t>-</w:t>
      </w:r>
      <w:r w:rsidRPr="00417344">
        <w:rPr>
          <w:lang w:val="fr-CA"/>
        </w:rPr>
        <w:t>t</w:t>
      </w:r>
      <w:r w:rsidR="00684BD3">
        <w:rPr>
          <w:lang w:val="fr-CA"/>
        </w:rPr>
        <w:t>-</w:t>
      </w:r>
      <w:r w:rsidRPr="00417344">
        <w:rPr>
          <w:lang w:val="fr-CA"/>
        </w:rPr>
        <w:t>il de quelqu’un qui occupe un rang hiérarchique supérieur dans l’organisation?</w:t>
      </w:r>
    </w:p>
    <w:p w:rsidR="0018307E" w:rsidRPr="00417344" w:rsidRDefault="0018307E" w:rsidP="0018307E">
      <w:pPr>
        <w:pStyle w:val="Citation-AltC"/>
        <w:tabs>
          <w:tab w:val="left" w:pos="1560"/>
        </w:tabs>
        <w:spacing w:after="240"/>
        <w:ind w:hanging="1166"/>
        <w:contextualSpacing w:val="0"/>
        <w:rPr>
          <w:lang w:val="fr-CA"/>
        </w:rPr>
      </w:pPr>
      <w:r w:rsidRPr="00417344">
        <w:rPr>
          <w:lang w:val="fr-CA"/>
        </w:rPr>
        <w:tab/>
        <w:t>L’intéressé est</w:t>
      </w:r>
      <w:r w:rsidR="00684BD3">
        <w:rPr>
          <w:lang w:val="fr-CA"/>
        </w:rPr>
        <w:t>-</w:t>
      </w:r>
      <w:r w:rsidRPr="00417344">
        <w:rPr>
          <w:lang w:val="fr-CA"/>
        </w:rPr>
        <w:t>il capable d’influencer l’organisation et, si oui, dans quelle mesure?</w:t>
      </w:r>
    </w:p>
    <w:p w:rsidR="0018307E" w:rsidRPr="00417344" w:rsidRDefault="0018307E" w:rsidP="0018307E">
      <w:pPr>
        <w:pStyle w:val="Citation-AltC"/>
        <w:tabs>
          <w:tab w:val="left" w:pos="1560"/>
        </w:tabs>
        <w:spacing w:after="240"/>
        <w:ind w:hanging="1166"/>
        <w:contextualSpacing w:val="0"/>
        <w:rPr>
          <w:lang w:val="fr-CA"/>
        </w:rPr>
      </w:pPr>
      <w:r w:rsidRPr="00417344">
        <w:rPr>
          <w:lang w:val="fr-CA"/>
        </w:rPr>
        <w:tab/>
        <w:t>Les parties entendaient</w:t>
      </w:r>
      <w:r w:rsidR="00684BD3">
        <w:rPr>
          <w:lang w:val="fr-CA"/>
        </w:rPr>
        <w:t>-</w:t>
      </w:r>
      <w:r w:rsidRPr="00417344">
        <w:rPr>
          <w:lang w:val="fr-CA"/>
        </w:rPr>
        <w:t>elles que l’intéressé soit un employé, comme en feraient foi des ententes ou des contrats écrits?</w:t>
      </w:r>
    </w:p>
    <w:p w:rsidR="0018307E" w:rsidRPr="00417344" w:rsidRDefault="0018307E" w:rsidP="0018307E">
      <w:pPr>
        <w:pStyle w:val="Citation-AltC"/>
        <w:tabs>
          <w:tab w:val="left" w:pos="1560"/>
        </w:tabs>
        <w:ind w:hanging="1166"/>
        <w:contextualSpacing w:val="0"/>
        <w:rPr>
          <w:lang w:val="fr-CA"/>
        </w:rPr>
      </w:pPr>
      <w:r w:rsidRPr="00417344">
        <w:rPr>
          <w:lang w:val="fr-CA"/>
        </w:rPr>
        <w:tab/>
        <w:t>L’intéressé participe</w:t>
      </w:r>
      <w:r w:rsidR="00684BD3">
        <w:rPr>
          <w:lang w:val="fr-CA"/>
        </w:rPr>
        <w:t>-</w:t>
      </w:r>
      <w:r w:rsidRPr="00417344">
        <w:rPr>
          <w:lang w:val="fr-CA"/>
        </w:rPr>
        <w:t>t</w:t>
      </w:r>
      <w:r w:rsidR="00684BD3">
        <w:rPr>
          <w:lang w:val="fr-CA"/>
        </w:rPr>
        <w:t>-</w:t>
      </w:r>
      <w:r w:rsidRPr="00417344">
        <w:rPr>
          <w:lang w:val="fr-CA"/>
        </w:rPr>
        <w:t xml:space="preserve">il aux bénéfices, aux pertes et aux dettes de l’organisation?  </w:t>
      </w:r>
      <w:r w:rsidRPr="00417344">
        <w:t xml:space="preserve">EEOC Compliance Manual § 605:0009. </w:t>
      </w:r>
      <w:r>
        <w:t xml:space="preserve"> </w:t>
      </w:r>
      <w:r w:rsidRPr="00417344">
        <w:t>[</w:t>
      </w:r>
      <w:r>
        <w:t>p</w:t>
      </w:r>
      <w:r w:rsidRPr="00417344">
        <w:t>.</w:t>
      </w:r>
      <w:r w:rsidR="00684BD3">
        <w:t xml:space="preserve"> </w:t>
      </w:r>
      <w:r w:rsidRPr="00417344">
        <w:t>449</w:t>
      </w:r>
      <w:r w:rsidR="00684BD3">
        <w:t>-</w:t>
      </w:r>
      <w:r w:rsidR="00F64CCF">
        <w:t>4</w:t>
      </w:r>
      <w:r w:rsidRPr="00417344">
        <w:t>50]</w:t>
      </w:r>
      <w:r w:rsidRPr="00417344">
        <w:rPr>
          <w:lang w:val="fr-CA"/>
        </w:rPr>
        <w:t xml:space="preserve"> </w:t>
      </w:r>
    </w:p>
    <w:p w:rsidR="0018307E" w:rsidRPr="00417344" w:rsidRDefault="0018307E" w:rsidP="0018307E">
      <w:pPr>
        <w:pStyle w:val="ParaNoNdepar-AltN"/>
        <w:rPr>
          <w:rFonts w:cs="Times New Roman"/>
          <w:lang w:val="fr-CA"/>
        </w:rPr>
      </w:pPr>
      <w:r w:rsidRPr="00417344">
        <w:rPr>
          <w:rFonts w:cs="Times New Roman"/>
          <w:lang w:val="fr-CA"/>
        </w:rPr>
        <w:lastRenderedPageBreak/>
        <w:t xml:space="preserve">Autrement dit, l’existence d’une situation de contrôle et de dépendance dépend non seulement de la question de savoir si le travailleur reçoit des directives directes de la part d’autrui ou s’il est touché par des décisions prises par autrui, mais également de celle de savoir s’il a la capacité d’influencer les décisions qui ont une incidence sérieuse sur sa vie professionnelle.  Les réponses à ces questions représentent les balises à suivre pour déterminer la nature véritable de la relation. </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t xml:space="preserve">Bien que les notions de contrôle et de dépendance définissent l’essence d’une relation d’emploi pour l’application des lois sur les droits de la personne, il ne s’ensuit pas que d’autres indices élaborés par les tribunaux judiciaires ou administratifs, notamment les facteurs mentionnés dans </w:t>
      </w:r>
      <w:r w:rsidRPr="00417344">
        <w:rPr>
          <w:rFonts w:cs="Times New Roman"/>
          <w:i/>
          <w:lang w:val="fr-CA"/>
        </w:rPr>
        <w:t>Crane</w:t>
      </w:r>
      <w:r w:rsidRPr="00417344">
        <w:rPr>
          <w:rFonts w:cs="Times New Roman"/>
          <w:lang w:val="fr-CA"/>
        </w:rPr>
        <w:t>, ne sont pas utiles dans l’appréciation du degré de contrôle et de dépendance qui existe.  Toutefois, de tels facteurs constituent des éléments taxonomiques non pondérés, une liste de contrôle qui aide à examiner différents aspects de la relation.  Bien qu’utiles pour établir le cadre de l’analyse, ces indices ou facteurs ne devraient pas être appliqués mécaniquement.  Un aspect plus déterminant que tout fait ou facteur individuel est la mesure dans laquelle ces faits ou facteurs éclairent sur le caractère essentiel de la relation, ainsi que sur les éléments de contrôle et de dépendance sous</w:t>
      </w:r>
      <w:r w:rsidR="00684BD3">
        <w:rPr>
          <w:rFonts w:cs="Times New Roman"/>
          <w:lang w:val="fr-CA"/>
        </w:rPr>
        <w:t>-</w:t>
      </w:r>
      <w:r w:rsidRPr="00417344">
        <w:rPr>
          <w:rFonts w:cs="Times New Roman"/>
          <w:lang w:val="fr-CA"/>
        </w:rPr>
        <w:t>jacents.  En définitive, le facteur clé est le degré de contrôle, c’est</w:t>
      </w:r>
      <w:r w:rsidR="00684BD3">
        <w:rPr>
          <w:rFonts w:cs="Times New Roman"/>
          <w:lang w:val="fr-CA"/>
        </w:rPr>
        <w:t>-</w:t>
      </w:r>
      <w:r w:rsidRPr="00417344">
        <w:rPr>
          <w:rFonts w:cs="Times New Roman"/>
          <w:lang w:val="fr-CA"/>
        </w:rPr>
        <w:t>à</w:t>
      </w:r>
      <w:r w:rsidR="00684BD3">
        <w:rPr>
          <w:rFonts w:cs="Times New Roman"/>
          <w:lang w:val="fr-CA"/>
        </w:rPr>
        <w:t>-</w:t>
      </w:r>
      <w:r w:rsidRPr="00417344">
        <w:rPr>
          <w:rFonts w:cs="Times New Roman"/>
          <w:lang w:val="fr-CA"/>
        </w:rPr>
        <w:t>dire la mesure dans laquelle le travailleur est assujetti et subordonné au pouvoir décisionnel de quelqu’un d’autre à l’égard des conditions de travail et de la rémunération</w:t>
      </w:r>
      <w:r w:rsidR="00684BD3">
        <w:rPr>
          <w:rFonts w:cs="Times New Roman"/>
          <w:lang w:val="fr-CA"/>
        </w:rPr>
        <w:t> :</w:t>
      </w:r>
      <w:r w:rsidRPr="00417344">
        <w:rPr>
          <w:rFonts w:cs="Times New Roman"/>
          <w:lang w:val="fr-CA"/>
        </w:rPr>
        <w:t xml:space="preserve"> </w:t>
      </w:r>
      <w:r w:rsidRPr="00417344">
        <w:rPr>
          <w:rFonts w:cs="Times New Roman"/>
          <w:lang w:val="fr-CA" w:bidi="en-US"/>
        </w:rPr>
        <w:t xml:space="preserve">Geoffrey </w:t>
      </w:r>
      <w:proofErr w:type="spellStart"/>
      <w:r w:rsidRPr="00417344">
        <w:rPr>
          <w:rFonts w:cs="Times New Roman"/>
          <w:lang w:val="fr-CA" w:bidi="en-US"/>
        </w:rPr>
        <w:t>England</w:t>
      </w:r>
      <w:proofErr w:type="spellEnd"/>
      <w:r w:rsidRPr="00417344">
        <w:rPr>
          <w:rFonts w:cs="Times New Roman"/>
          <w:lang w:val="fr-CA" w:bidi="en-US"/>
        </w:rPr>
        <w:t xml:space="preserve">, </w:t>
      </w:r>
      <w:proofErr w:type="spellStart"/>
      <w:r w:rsidRPr="00417344">
        <w:rPr>
          <w:rFonts w:cs="Times New Roman"/>
          <w:i/>
          <w:lang w:val="fr-CA" w:bidi="en-US"/>
        </w:rPr>
        <w:t>Individual</w:t>
      </w:r>
      <w:proofErr w:type="spellEnd"/>
      <w:r w:rsidRPr="00417344">
        <w:rPr>
          <w:rFonts w:cs="Times New Roman"/>
          <w:i/>
          <w:lang w:val="fr-CA" w:bidi="en-US"/>
        </w:rPr>
        <w:t xml:space="preserve"> </w:t>
      </w:r>
      <w:proofErr w:type="spellStart"/>
      <w:r w:rsidRPr="00417344">
        <w:rPr>
          <w:rFonts w:cs="Times New Roman"/>
          <w:i/>
          <w:lang w:val="fr-CA" w:bidi="en-US"/>
        </w:rPr>
        <w:t>Employment</w:t>
      </w:r>
      <w:proofErr w:type="spellEnd"/>
      <w:r w:rsidRPr="00417344">
        <w:rPr>
          <w:rFonts w:cs="Times New Roman"/>
          <w:i/>
          <w:lang w:val="fr-CA" w:bidi="en-US"/>
        </w:rPr>
        <w:t xml:space="preserve"> Law</w:t>
      </w:r>
      <w:r w:rsidRPr="00417344">
        <w:rPr>
          <w:rFonts w:cs="Times New Roman"/>
          <w:lang w:val="fr-CA" w:bidi="en-US"/>
        </w:rPr>
        <w:t xml:space="preserve"> (2</w:t>
      </w:r>
      <w:r w:rsidRPr="00417344">
        <w:rPr>
          <w:rFonts w:cs="Times New Roman"/>
          <w:vertAlign w:val="superscript"/>
          <w:lang w:val="fr-CA" w:bidi="en-US"/>
        </w:rPr>
        <w:t>e</w:t>
      </w:r>
      <w:r w:rsidR="00684BD3">
        <w:rPr>
          <w:rFonts w:cs="Times New Roman"/>
          <w:lang w:val="fr-CA" w:bidi="en-US"/>
        </w:rPr>
        <w:t xml:space="preserve"> </w:t>
      </w:r>
      <w:r w:rsidRPr="00417344">
        <w:rPr>
          <w:rFonts w:cs="Times New Roman"/>
          <w:lang w:val="fr-CA" w:bidi="en-US"/>
        </w:rPr>
        <w:t>éd. 2008), p.</w:t>
      </w:r>
      <w:r w:rsidR="00684BD3">
        <w:rPr>
          <w:rFonts w:cs="Times New Roman"/>
          <w:lang w:val="fr-CA" w:bidi="en-US"/>
        </w:rPr>
        <w:t xml:space="preserve"> </w:t>
      </w:r>
      <w:r w:rsidRPr="00417344">
        <w:rPr>
          <w:rFonts w:cs="Times New Roman"/>
          <w:lang w:val="fr-CA" w:bidi="en-US"/>
        </w:rPr>
        <w:t>19.</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lastRenderedPageBreak/>
        <w:t>Ce qui nous amène aux sociétés de personnes en général.</w:t>
      </w:r>
      <w:r w:rsidR="00684BD3">
        <w:rPr>
          <w:rFonts w:cs="Times New Roman"/>
          <w:lang w:val="fr-CA"/>
        </w:rPr>
        <w:t xml:space="preserve"> </w:t>
      </w:r>
      <w:r w:rsidRPr="00417344">
        <w:rPr>
          <w:rFonts w:cs="Times New Roman"/>
          <w:lang w:val="fr-CA"/>
        </w:rPr>
        <w:t xml:space="preserve"> La </w:t>
      </w:r>
      <w:proofErr w:type="spellStart"/>
      <w:r w:rsidRPr="00417344">
        <w:rPr>
          <w:rFonts w:cs="Times New Roman"/>
          <w:i/>
          <w:lang w:val="fr-CA"/>
        </w:rPr>
        <w:t>Partnership</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Fonts w:cs="Times New Roman"/>
          <w:i/>
          <w:lang w:val="fr-CA"/>
        </w:rPr>
        <w:t xml:space="preserve"> </w:t>
      </w:r>
      <w:r w:rsidRPr="00417344">
        <w:rPr>
          <w:rFonts w:cs="Times New Roman"/>
          <w:lang w:val="fr-CA"/>
        </w:rPr>
        <w:t>de la Colombie</w:t>
      </w:r>
      <w:r w:rsidR="00684BD3">
        <w:rPr>
          <w:rFonts w:cs="Times New Roman"/>
          <w:lang w:val="fr-CA"/>
        </w:rPr>
        <w:t>-</w:t>
      </w:r>
      <w:r w:rsidRPr="00417344">
        <w:rPr>
          <w:rFonts w:cs="Times New Roman"/>
          <w:lang w:val="fr-CA"/>
        </w:rPr>
        <w:t xml:space="preserve">Britannique est inspirée de la </w:t>
      </w:r>
      <w:proofErr w:type="spellStart"/>
      <w:r w:rsidRPr="00417344">
        <w:rPr>
          <w:rFonts w:cs="Times New Roman"/>
          <w:i/>
          <w:lang w:val="fr-CA"/>
        </w:rPr>
        <w:t>Partnership</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Fonts w:cs="Times New Roman"/>
          <w:i/>
          <w:lang w:val="fr-CA"/>
        </w:rPr>
        <w:t xml:space="preserve"> 1890 </w:t>
      </w:r>
      <w:r w:rsidRPr="00417344">
        <w:rPr>
          <w:rFonts w:cs="Times New Roman"/>
          <w:lang w:val="fr-CA"/>
        </w:rPr>
        <w:t>du Royaume</w:t>
      </w:r>
      <w:r w:rsidR="00684BD3">
        <w:rPr>
          <w:rFonts w:cs="Times New Roman"/>
          <w:lang w:val="fr-CA"/>
        </w:rPr>
        <w:t>-</w:t>
      </w:r>
      <w:r w:rsidRPr="00417344">
        <w:rPr>
          <w:rFonts w:cs="Times New Roman"/>
          <w:lang w:val="fr-CA"/>
        </w:rPr>
        <w:t>Uni</w:t>
      </w:r>
      <w:r w:rsidRPr="00417344">
        <w:rPr>
          <w:rStyle w:val="FootnoteReference"/>
          <w:rFonts w:cs="Times New Roman"/>
          <w:lang w:val="fr-CA"/>
        </w:rPr>
        <w:footnoteReference w:id="14"/>
      </w:r>
      <w:r w:rsidRPr="00417344">
        <w:rPr>
          <w:rFonts w:cs="Times New Roman"/>
          <w:lang w:val="fr-CA"/>
        </w:rPr>
        <w:t xml:space="preserve"> (Alison</w:t>
      </w:r>
      <w:r w:rsidR="00684BD3">
        <w:rPr>
          <w:rFonts w:cs="Times New Roman"/>
          <w:lang w:val="fr-CA"/>
        </w:rPr>
        <w:t xml:space="preserve"> </w:t>
      </w:r>
      <w:r w:rsidRPr="00417344">
        <w:rPr>
          <w:rFonts w:cs="Times New Roman"/>
          <w:lang w:val="fr-CA"/>
        </w:rPr>
        <w:t xml:space="preserve">R. </w:t>
      </w:r>
      <w:proofErr w:type="spellStart"/>
      <w:r w:rsidRPr="00417344">
        <w:rPr>
          <w:rFonts w:cs="Times New Roman"/>
          <w:lang w:val="fr-CA"/>
        </w:rPr>
        <w:t>Manzer</w:t>
      </w:r>
      <w:proofErr w:type="spellEnd"/>
      <w:r w:rsidRPr="00417344">
        <w:rPr>
          <w:rFonts w:cs="Times New Roman"/>
          <w:lang w:val="fr-CA"/>
        </w:rPr>
        <w:t xml:space="preserve">, </w:t>
      </w:r>
      <w:r w:rsidRPr="00417344">
        <w:rPr>
          <w:rFonts w:cs="Times New Roman"/>
          <w:i/>
          <w:lang w:val="fr-CA"/>
        </w:rPr>
        <w:t xml:space="preserve">A </w:t>
      </w:r>
      <w:proofErr w:type="spellStart"/>
      <w:r w:rsidRPr="00417344">
        <w:rPr>
          <w:rFonts w:cs="Times New Roman"/>
          <w:i/>
          <w:lang w:val="fr-CA"/>
        </w:rPr>
        <w:t>Practical</w:t>
      </w:r>
      <w:proofErr w:type="spellEnd"/>
      <w:r w:rsidRPr="00417344">
        <w:rPr>
          <w:rFonts w:cs="Times New Roman"/>
          <w:i/>
          <w:lang w:val="fr-CA"/>
        </w:rPr>
        <w:t xml:space="preserve"> Guide to Canadian </w:t>
      </w:r>
      <w:proofErr w:type="spellStart"/>
      <w:r w:rsidRPr="00417344">
        <w:rPr>
          <w:rFonts w:cs="Times New Roman"/>
          <w:i/>
          <w:lang w:val="fr-CA"/>
        </w:rPr>
        <w:t>Partnership</w:t>
      </w:r>
      <w:proofErr w:type="spellEnd"/>
      <w:r w:rsidRPr="00417344">
        <w:rPr>
          <w:rFonts w:cs="Times New Roman"/>
          <w:i/>
          <w:lang w:val="fr-CA"/>
        </w:rPr>
        <w:t xml:space="preserve"> Law</w:t>
      </w:r>
      <w:r w:rsidRPr="00417344">
        <w:rPr>
          <w:rFonts w:cs="Times New Roman"/>
          <w:lang w:val="fr-CA"/>
        </w:rPr>
        <w:t xml:space="preserve"> (feuilles mobiles), p.</w:t>
      </w:r>
      <w:r w:rsidR="00684BD3">
        <w:rPr>
          <w:rFonts w:cs="Times New Roman"/>
          <w:lang w:val="fr-CA"/>
        </w:rPr>
        <w:t xml:space="preserve"> </w:t>
      </w:r>
      <w:r w:rsidRPr="00417344">
        <w:rPr>
          <w:rFonts w:cs="Times New Roman"/>
          <w:lang w:val="fr-CA"/>
        </w:rPr>
        <w:t>1</w:t>
      </w:r>
      <w:r w:rsidR="00684BD3">
        <w:rPr>
          <w:rFonts w:cs="Times New Roman"/>
          <w:lang w:val="fr-CA"/>
        </w:rPr>
        <w:t>-</w:t>
      </w:r>
      <w:r w:rsidRPr="00417344">
        <w:rPr>
          <w:rFonts w:cs="Times New Roman"/>
          <w:lang w:val="fr-CA"/>
        </w:rPr>
        <w:t>2).  Son article</w:t>
      </w:r>
      <w:r w:rsidR="00684BD3">
        <w:rPr>
          <w:rFonts w:cs="Times New Roman"/>
          <w:lang w:val="fr-CA"/>
        </w:rPr>
        <w:t xml:space="preserve"> </w:t>
      </w:r>
      <w:r w:rsidRPr="00417344">
        <w:rPr>
          <w:rFonts w:cs="Times New Roman"/>
          <w:lang w:val="fr-CA"/>
        </w:rPr>
        <w:t>1 précise que le mot [</w:t>
      </w:r>
      <w:r w:rsidRPr="00417344">
        <w:rPr>
          <w:rFonts w:cs="Times New Roman"/>
          <w:smallCaps/>
          <w:lang w:val="fr-CA"/>
        </w:rPr>
        <w:t>traduction</w:t>
      </w:r>
      <w:r w:rsidRPr="00417344">
        <w:rPr>
          <w:rFonts w:cs="Times New Roman"/>
          <w:lang w:val="fr-CA"/>
        </w:rPr>
        <w:t>]</w:t>
      </w:r>
      <w:r w:rsidR="00684BD3">
        <w:rPr>
          <w:rFonts w:cs="Times New Roman"/>
          <w:lang w:val="fr-CA"/>
        </w:rPr>
        <w:t xml:space="preserve"> « </w:t>
      </w:r>
      <w:r w:rsidR="00072E3F">
        <w:rPr>
          <w:rFonts w:cs="Times New Roman"/>
          <w:lang w:val="fr-CA"/>
        </w:rPr>
        <w:t>“</w:t>
      </w:r>
      <w:r w:rsidRPr="00417344">
        <w:rPr>
          <w:rFonts w:cs="Times New Roman"/>
          <w:lang w:val="fr-CA"/>
        </w:rPr>
        <w:t>firme</w:t>
      </w:r>
      <w:r w:rsidR="00072E3F">
        <w:rPr>
          <w:rFonts w:cs="Times New Roman"/>
          <w:lang w:val="fr-CA"/>
        </w:rPr>
        <w:t>”</w:t>
      </w:r>
      <w:r w:rsidR="00684BD3">
        <w:rPr>
          <w:rFonts w:cs="Times New Roman"/>
          <w:lang w:val="fr-CA"/>
        </w:rPr>
        <w:t xml:space="preserve"> </w:t>
      </w:r>
      <w:r w:rsidRPr="00417344">
        <w:rPr>
          <w:rFonts w:cs="Times New Roman"/>
          <w:lang w:val="fr-CA"/>
        </w:rPr>
        <w:t>est un terme collectif désignant un ensemble d’individus</w:t>
      </w:r>
      <w:r w:rsidRPr="00417344">
        <w:rPr>
          <w:rFonts w:cs="Times New Roman"/>
          <w:lang w:val="fr-CA" w:bidi="en-US"/>
        </w:rPr>
        <w:t xml:space="preserve"> qui se sont associés pour former une société de personnes</w:t>
      </w:r>
      <w:r w:rsidR="00684BD3">
        <w:rPr>
          <w:rFonts w:cs="Times New Roman"/>
          <w:lang w:val="fr-CA" w:bidi="en-US"/>
        </w:rPr>
        <w:t> »</w:t>
      </w:r>
      <w:r w:rsidRPr="00417344">
        <w:rPr>
          <w:rFonts w:cs="Times New Roman"/>
          <w:lang w:val="fr-CA"/>
        </w:rPr>
        <w:t>.  L’article</w:t>
      </w:r>
      <w:r w:rsidR="00684BD3">
        <w:rPr>
          <w:rFonts w:cs="Times New Roman"/>
          <w:lang w:val="fr-CA"/>
        </w:rPr>
        <w:t xml:space="preserve"> </w:t>
      </w:r>
      <w:r w:rsidRPr="00417344">
        <w:rPr>
          <w:rFonts w:cs="Times New Roman"/>
          <w:lang w:val="fr-CA"/>
        </w:rPr>
        <w:t xml:space="preserve">2 définit la société de personnes comme </w:t>
      </w:r>
      <w:r w:rsidR="00684BD3">
        <w:rPr>
          <w:rFonts w:cs="Times New Roman"/>
          <w:lang w:val="fr-CA"/>
        </w:rPr>
        <w:t>« </w:t>
      </w:r>
      <w:r w:rsidRPr="00417344">
        <w:rPr>
          <w:rFonts w:cs="Times New Roman"/>
          <w:lang w:val="fr-CA" w:bidi="en-US"/>
        </w:rPr>
        <w:t>la relation qui existe entre des personnes qui exploitent une entreprise en commun en vue de réaliser des bénéfices</w:t>
      </w:r>
      <w:r w:rsidR="00684BD3">
        <w:rPr>
          <w:rFonts w:cs="Times New Roman"/>
          <w:lang w:val="fr-CA"/>
        </w:rPr>
        <w:t> »</w:t>
      </w:r>
      <w:r w:rsidRPr="00417344">
        <w:rPr>
          <w:rFonts w:cs="Times New Roman"/>
          <w:lang w:val="fr-CA"/>
        </w:rPr>
        <w:t>.  Par conséquent, une telle société est, de par sa nature, une relation entrepreneuriale entre individus qui conviennent d’exercer des activités ensemble.</w:t>
      </w:r>
    </w:p>
    <w:p w:rsidR="0018307E" w:rsidRPr="00417344" w:rsidRDefault="0018307E" w:rsidP="0018307E">
      <w:pPr>
        <w:pStyle w:val="ParaNoNdepar-AltN"/>
        <w:tabs>
          <w:tab w:val="clear" w:pos="1152"/>
          <w:tab w:val="left" w:pos="1166"/>
        </w:tabs>
        <w:rPr>
          <w:rFonts w:cs="Times New Roman"/>
          <w:lang w:val="fr-CA"/>
        </w:rPr>
      </w:pPr>
      <w:r w:rsidRPr="00417344">
        <w:rPr>
          <w:rFonts w:cs="Times New Roman"/>
          <w:lang w:val="fr-CA"/>
        </w:rPr>
        <w:t xml:space="preserve">La conception classique de la société de personnes a été l’objet d’une description célèbre dans l’ouvrage </w:t>
      </w:r>
      <w:proofErr w:type="spellStart"/>
      <w:r w:rsidRPr="00417344">
        <w:rPr>
          <w:rFonts w:cs="Times New Roman"/>
          <w:i/>
          <w:lang w:val="fr-CA"/>
        </w:rPr>
        <w:t>Lindley</w:t>
      </w:r>
      <w:proofErr w:type="spellEnd"/>
      <w:r w:rsidRPr="00417344">
        <w:rPr>
          <w:rFonts w:cs="Times New Roman"/>
          <w:i/>
          <w:lang w:val="fr-CA"/>
        </w:rPr>
        <w:t xml:space="preserve"> &amp; Banks on </w:t>
      </w:r>
      <w:proofErr w:type="spellStart"/>
      <w:r w:rsidRPr="00417344">
        <w:rPr>
          <w:rFonts w:cs="Times New Roman"/>
          <w:i/>
          <w:lang w:val="fr-CA"/>
        </w:rPr>
        <w:t>Partnership</w:t>
      </w:r>
      <w:proofErr w:type="spellEnd"/>
      <w:r w:rsidRPr="00417344">
        <w:rPr>
          <w:rFonts w:cs="Times New Roman"/>
          <w:lang w:val="fr-CA"/>
        </w:rPr>
        <w:t xml:space="preserve"> (19</w:t>
      </w:r>
      <w:r w:rsidRPr="00417344">
        <w:rPr>
          <w:rFonts w:cs="Times New Roman"/>
          <w:vertAlign w:val="superscript"/>
          <w:lang w:val="fr-CA"/>
        </w:rPr>
        <w:t>e</w:t>
      </w:r>
      <w:r w:rsidR="00684BD3">
        <w:rPr>
          <w:rFonts w:cs="Times New Roman"/>
          <w:vertAlign w:val="superscript"/>
          <w:lang w:val="fr-CA"/>
        </w:rPr>
        <w:t xml:space="preserve"> </w:t>
      </w:r>
      <w:r w:rsidRPr="00417344">
        <w:rPr>
          <w:rFonts w:cs="Times New Roman"/>
          <w:lang w:val="fr-CA"/>
        </w:rPr>
        <w:t>éd.</w:t>
      </w:r>
      <w:r w:rsidR="00684BD3">
        <w:rPr>
          <w:rFonts w:cs="Times New Roman"/>
          <w:lang w:val="fr-CA"/>
        </w:rPr>
        <w:t xml:space="preserve"> </w:t>
      </w:r>
      <w:r w:rsidRPr="00417344">
        <w:rPr>
          <w:rFonts w:cs="Times New Roman"/>
          <w:lang w:val="fr-CA"/>
        </w:rPr>
        <w:t>2010), à savoir un groupement d’associés, plutôt qu’une entité juridique distincte des personnes qui sont ses membres</w:t>
      </w:r>
      <w:r w:rsidR="00684BD3">
        <w:rPr>
          <w:rFonts w:cs="Times New Roman"/>
          <w:lang w:val="fr-CA"/>
        </w:rPr>
        <w:t> :</w:t>
      </w:r>
    </w:p>
    <w:p w:rsidR="0018307E" w:rsidRPr="00417344" w:rsidRDefault="0018307E" w:rsidP="0018307E">
      <w:pPr>
        <w:pStyle w:val="Citation-AltC"/>
        <w:tabs>
          <w:tab w:val="left" w:pos="1560"/>
        </w:tabs>
        <w:spacing w:after="240"/>
        <w:ind w:hanging="1166"/>
        <w:contextualSpacing w:val="0"/>
        <w:rPr>
          <w:rFonts w:eastAsiaTheme="minorEastAsia"/>
          <w:lang w:val="fr-CA"/>
        </w:rPr>
      </w:pPr>
      <w:r w:rsidRPr="00417344">
        <w:rPr>
          <w:rFonts w:eastAsiaTheme="minorEastAsia"/>
          <w:lang w:val="fr-CA" w:bidi="en-US"/>
        </w:rPr>
        <w:tab/>
        <w:t>[</w:t>
      </w:r>
      <w:r w:rsidRPr="00417344">
        <w:rPr>
          <w:rFonts w:eastAsiaTheme="minorEastAsia"/>
          <w:smallCaps/>
          <w:lang w:val="fr-CA" w:bidi="en-US"/>
        </w:rPr>
        <w:t>traduction</w:t>
      </w:r>
      <w:r w:rsidRPr="00417344">
        <w:rPr>
          <w:rFonts w:eastAsiaTheme="minorEastAsia"/>
          <w:lang w:val="fr-CA" w:bidi="en-US"/>
        </w:rPr>
        <w:t>]  Le droit, faisant abstraction de la firme, s’attache aux associés qui la composent; tout changement en leur sein a pour effet de détruire l’identité de la firme; ce qu’on appelle les biens de la firme constituent les biens des associés, et ce qu’on appelle les dettes et obligations de la firme sont les dettes et obligations des associés</w:t>
      </w:r>
      <w:r w:rsidRPr="00417344">
        <w:rPr>
          <w:rFonts w:eastAsiaTheme="minorEastAsia"/>
          <w:lang w:val="fr-CA"/>
        </w:rPr>
        <w:t xml:space="preserve">. </w:t>
      </w:r>
      <w:r w:rsidR="0027104D">
        <w:rPr>
          <w:rFonts w:eastAsiaTheme="minorEastAsia"/>
          <w:lang w:val="fr-CA"/>
        </w:rPr>
        <w:t>[par. 3-04]</w:t>
      </w:r>
    </w:p>
    <w:p w:rsidR="0018307E" w:rsidRPr="00417344" w:rsidRDefault="0018307E" w:rsidP="0027104D">
      <w:pPr>
        <w:pStyle w:val="Citation-AltC"/>
        <w:tabs>
          <w:tab w:val="left" w:pos="1560"/>
        </w:tabs>
        <w:spacing w:line="480" w:lineRule="auto"/>
        <w:ind w:left="0"/>
        <w:contextualSpacing w:val="0"/>
        <w:rPr>
          <w:lang w:val="en-US"/>
        </w:rPr>
      </w:pPr>
      <w:r w:rsidRPr="00417344">
        <w:rPr>
          <w:lang w:val="fr-CA"/>
        </w:rPr>
        <w:t xml:space="preserve">(Citée avec approbation dans </w:t>
      </w:r>
      <w:proofErr w:type="spellStart"/>
      <w:r w:rsidRPr="00417344">
        <w:rPr>
          <w:i/>
          <w:lang w:val="fr-CA"/>
        </w:rPr>
        <w:t>Backman</w:t>
      </w:r>
      <w:proofErr w:type="spellEnd"/>
      <w:r w:rsidRPr="00417344">
        <w:rPr>
          <w:i/>
          <w:lang w:val="fr-CA"/>
        </w:rPr>
        <w:t xml:space="preserve"> c. Canada</w:t>
      </w:r>
      <w:r w:rsidRPr="00417344">
        <w:rPr>
          <w:lang w:val="fr-CA"/>
        </w:rPr>
        <w:t>, [2001] 1 R.C.S. 367, par.</w:t>
      </w:r>
      <w:r w:rsidR="00684BD3">
        <w:rPr>
          <w:lang w:val="fr-CA"/>
        </w:rPr>
        <w:t xml:space="preserve"> </w:t>
      </w:r>
      <w:r w:rsidRPr="00417344">
        <w:rPr>
          <w:lang w:val="fr-CA"/>
        </w:rPr>
        <w:t xml:space="preserve">41.  </w:t>
      </w:r>
      <w:proofErr w:type="spellStart"/>
      <w:r w:rsidRPr="00417344">
        <w:rPr>
          <w:lang w:val="en-US"/>
        </w:rPr>
        <w:t>Voir</w:t>
      </w:r>
      <w:proofErr w:type="spellEnd"/>
      <w:r w:rsidRPr="00417344">
        <w:rPr>
          <w:lang w:val="en-US"/>
        </w:rPr>
        <w:t xml:space="preserve"> </w:t>
      </w:r>
      <w:proofErr w:type="spellStart"/>
      <w:r w:rsidRPr="00417344">
        <w:rPr>
          <w:lang w:val="en-US"/>
        </w:rPr>
        <w:t>aussi</w:t>
      </w:r>
      <w:proofErr w:type="spellEnd"/>
      <w:r w:rsidRPr="00417344">
        <w:rPr>
          <w:lang w:val="en-US"/>
        </w:rPr>
        <w:t xml:space="preserve"> </w:t>
      </w:r>
      <w:r w:rsidRPr="00417344">
        <w:rPr>
          <w:i/>
        </w:rPr>
        <w:t>Boyd c. Attorney</w:t>
      </w:r>
      <w:r w:rsidR="00684BD3">
        <w:rPr>
          <w:i/>
        </w:rPr>
        <w:t>-</w:t>
      </w:r>
      <w:r w:rsidRPr="00417344">
        <w:rPr>
          <w:i/>
        </w:rPr>
        <w:t xml:space="preserve">General for British Columbia </w:t>
      </w:r>
      <w:r w:rsidRPr="00417344">
        <w:t xml:space="preserve">(1917), 54 R.C.S. 532; </w:t>
      </w:r>
      <w:r w:rsidRPr="00417344">
        <w:rPr>
          <w:i/>
        </w:rPr>
        <w:t xml:space="preserve">Green </w:t>
      </w:r>
      <w:r w:rsidR="00F64CCF">
        <w:rPr>
          <w:i/>
        </w:rPr>
        <w:t>c</w:t>
      </w:r>
      <w:r w:rsidRPr="00417344">
        <w:rPr>
          <w:i/>
        </w:rPr>
        <w:t xml:space="preserve">. </w:t>
      </w:r>
      <w:proofErr w:type="spellStart"/>
      <w:r w:rsidRPr="00417344">
        <w:rPr>
          <w:i/>
        </w:rPr>
        <w:t>Harnum</w:t>
      </w:r>
      <w:proofErr w:type="spellEnd"/>
      <w:r w:rsidRPr="00417344">
        <w:t xml:space="preserve"> (2007), 269 Nfld. &amp; P.E.I.R. 97 (</w:t>
      </w:r>
      <w:r w:rsidR="00F64CCF">
        <w:t>C</w:t>
      </w:r>
      <w:r w:rsidRPr="00417344">
        <w:t>.</w:t>
      </w:r>
      <w:r w:rsidR="00F64CCF">
        <w:t>A</w:t>
      </w:r>
      <w:r w:rsidRPr="00417344">
        <w:t>.</w:t>
      </w:r>
      <w:r w:rsidR="00F64CCF">
        <w:t>T.-N.-L.</w:t>
      </w:r>
      <w:r w:rsidRPr="00417344">
        <w:t xml:space="preserve">); </w:t>
      </w:r>
      <w:r w:rsidRPr="00417344">
        <w:rPr>
          <w:i/>
        </w:rPr>
        <w:t>Blue Line Hockey Acquisition Co. c. Orca Bay Hockey Ltd. Partnership</w:t>
      </w:r>
      <w:r w:rsidRPr="00417344">
        <w:t xml:space="preserve"> (2008), 40 B.L.R. (4th) 83 </w:t>
      </w:r>
      <w:r w:rsidRPr="00417344">
        <w:lastRenderedPageBreak/>
        <w:t>(C.S.C.</w:t>
      </w:r>
      <w:r w:rsidR="00F64CCF">
        <w:t>-B.</w:t>
      </w:r>
      <w:r w:rsidRPr="00417344">
        <w:t>), par.</w:t>
      </w:r>
      <w:r w:rsidR="00684BD3">
        <w:t xml:space="preserve"> </w:t>
      </w:r>
      <w:proofErr w:type="gramStart"/>
      <w:r w:rsidRPr="00417344">
        <w:t>79</w:t>
      </w:r>
      <w:r w:rsidR="00684BD3">
        <w:t>-</w:t>
      </w:r>
      <w:r w:rsidRPr="00417344">
        <w:t>89, conf. (2009), 52 B.L.R. (4th)</w:t>
      </w:r>
      <w:r w:rsidR="00F64CCF">
        <w:t xml:space="preserve"> 108 (</w:t>
      </w:r>
      <w:r w:rsidRPr="00417344">
        <w:t>C.</w:t>
      </w:r>
      <w:r w:rsidR="00F64CCF">
        <w:t>A.</w:t>
      </w:r>
      <w:r w:rsidRPr="00417344">
        <w:t>C.</w:t>
      </w:r>
      <w:r w:rsidR="00F64CCF">
        <w:t>-B.</w:t>
      </w:r>
      <w:r w:rsidRPr="00417344">
        <w:t>);</w:t>
      </w:r>
      <w:r>
        <w:t xml:space="preserve"> </w:t>
      </w:r>
      <w:r w:rsidRPr="00F64CCF">
        <w:rPr>
          <w:i/>
        </w:rPr>
        <w:t xml:space="preserve">Re </w:t>
      </w:r>
      <w:r w:rsidRPr="00417344">
        <w:rPr>
          <w:i/>
        </w:rPr>
        <w:t>Davies and Council of the Institute of Chartered Accountants of Saskatchewan</w:t>
      </w:r>
      <w:r w:rsidRPr="00417344">
        <w:t xml:space="preserve"> (1985), 19 D.L.R. (4th) 447 (</w:t>
      </w:r>
      <w:r w:rsidR="00F64CCF">
        <w:t xml:space="preserve">B.R. </w:t>
      </w:r>
      <w:r w:rsidRPr="00417344">
        <w:t>Sask.), p.</w:t>
      </w:r>
      <w:r w:rsidR="00684BD3">
        <w:t xml:space="preserve"> </w:t>
      </w:r>
      <w:r w:rsidRPr="00417344">
        <w:t>451</w:t>
      </w:r>
      <w:r w:rsidR="00684BD3">
        <w:t>-</w:t>
      </w:r>
      <w:r w:rsidR="00F64CCF">
        <w:t>4</w:t>
      </w:r>
      <w:r w:rsidRPr="00417344">
        <w:t xml:space="preserve">53; </w:t>
      </w:r>
      <w:r w:rsidRPr="00417344">
        <w:rPr>
          <w:i/>
        </w:rPr>
        <w:t>Coal Harbour Properties Partnership c. Liu</w:t>
      </w:r>
      <w:r w:rsidRPr="00417344">
        <w:t xml:space="preserve"> (2004), 48 B.L.R. (3d) 237 (C.A.</w:t>
      </w:r>
      <w:r w:rsidR="00F64CCF">
        <w:t>C.-B.</w:t>
      </w:r>
      <w:r w:rsidRPr="00417344">
        <w:t>),</w:t>
      </w:r>
      <w:r w:rsidRPr="00417344">
        <w:rPr>
          <w:lang w:val="en-US"/>
        </w:rPr>
        <w:t xml:space="preserve"> par.</w:t>
      </w:r>
      <w:r w:rsidR="00684BD3">
        <w:rPr>
          <w:lang w:val="en-US"/>
        </w:rPr>
        <w:t xml:space="preserve"> </w:t>
      </w:r>
      <w:r w:rsidRPr="00417344">
        <w:rPr>
          <w:lang w:val="en-US"/>
        </w:rPr>
        <w:t>10.)</w:t>
      </w:r>
      <w:proofErr w:type="gramEnd"/>
    </w:p>
    <w:p w:rsidR="0018307E" w:rsidRPr="00417344" w:rsidRDefault="0018307E" w:rsidP="0018307E">
      <w:pPr>
        <w:pStyle w:val="ParaNoNdepar-AltN"/>
        <w:rPr>
          <w:rFonts w:cs="Times New Roman"/>
          <w:lang w:val="fr-CA"/>
        </w:rPr>
      </w:pPr>
      <w:r w:rsidRPr="00417344">
        <w:rPr>
          <w:rFonts w:cs="Times New Roman"/>
          <w:lang w:val="fr-CA"/>
        </w:rPr>
        <w:t>Une des caractéristiques distinctives de la société de personnes est le fait que ses associés possèdent généralement le droit de participer de manière effective au processus décisionnel qui détermine leurs conditions de travail et leur rémunération (J.</w:t>
      </w:r>
      <w:r w:rsidR="00684BD3">
        <w:rPr>
          <w:rFonts w:cs="Times New Roman"/>
          <w:lang w:val="fr-CA"/>
        </w:rPr>
        <w:t xml:space="preserve"> </w:t>
      </w:r>
      <w:r w:rsidRPr="00417344">
        <w:rPr>
          <w:rFonts w:cs="Times New Roman"/>
          <w:lang w:val="fr-CA"/>
        </w:rPr>
        <w:t xml:space="preserve">Anthony </w:t>
      </w:r>
      <w:proofErr w:type="spellStart"/>
      <w:r w:rsidRPr="00417344">
        <w:rPr>
          <w:rFonts w:cs="Times New Roman"/>
          <w:lang w:val="fr-CA"/>
        </w:rPr>
        <w:t>VanDuzer</w:t>
      </w:r>
      <w:proofErr w:type="spellEnd"/>
      <w:r w:rsidRPr="00417344">
        <w:rPr>
          <w:rFonts w:cs="Times New Roman"/>
          <w:lang w:val="fr-CA"/>
        </w:rPr>
        <w:t xml:space="preserve">, </w:t>
      </w:r>
      <w:r w:rsidRPr="00417344">
        <w:rPr>
          <w:rFonts w:cs="Times New Roman"/>
          <w:i/>
          <w:lang w:val="fr-CA"/>
        </w:rPr>
        <w:t xml:space="preserve">The Law of </w:t>
      </w:r>
      <w:proofErr w:type="spellStart"/>
      <w:r w:rsidRPr="00417344">
        <w:rPr>
          <w:rFonts w:cs="Times New Roman"/>
          <w:i/>
          <w:lang w:val="fr-CA"/>
        </w:rPr>
        <w:t>Partnerships</w:t>
      </w:r>
      <w:proofErr w:type="spellEnd"/>
      <w:r w:rsidRPr="00417344">
        <w:rPr>
          <w:rFonts w:cs="Times New Roman"/>
          <w:i/>
          <w:lang w:val="fr-CA"/>
        </w:rPr>
        <w:t xml:space="preserve"> </w:t>
      </w:r>
      <w:r w:rsidR="0027104D">
        <w:rPr>
          <w:rFonts w:cs="Times New Roman"/>
          <w:i/>
          <w:lang w:val="fr-CA"/>
        </w:rPr>
        <w:t>and</w:t>
      </w:r>
      <w:r w:rsidRPr="00417344">
        <w:rPr>
          <w:rFonts w:cs="Times New Roman"/>
          <w:i/>
          <w:lang w:val="fr-CA"/>
        </w:rPr>
        <w:t xml:space="preserve"> Corporations</w:t>
      </w:r>
      <w:r w:rsidRPr="00417344">
        <w:rPr>
          <w:rFonts w:cs="Times New Roman"/>
          <w:lang w:val="fr-CA"/>
        </w:rPr>
        <w:t xml:space="preserve"> (3</w:t>
      </w:r>
      <w:r w:rsidRPr="00417344">
        <w:rPr>
          <w:rFonts w:cs="Times New Roman"/>
          <w:vertAlign w:val="superscript"/>
          <w:lang w:val="fr-CA"/>
        </w:rPr>
        <w:t>e</w:t>
      </w:r>
      <w:r w:rsidR="00684BD3">
        <w:rPr>
          <w:rFonts w:cs="Times New Roman"/>
          <w:lang w:val="fr-CA"/>
        </w:rPr>
        <w:t xml:space="preserve"> </w:t>
      </w:r>
      <w:r w:rsidRPr="00417344">
        <w:rPr>
          <w:rFonts w:cs="Times New Roman"/>
          <w:lang w:val="fr-CA"/>
        </w:rPr>
        <w:t>éd. 2009), p.</w:t>
      </w:r>
      <w:r w:rsidR="00684BD3">
        <w:rPr>
          <w:rFonts w:cs="Times New Roman"/>
          <w:lang w:val="fr-CA"/>
        </w:rPr>
        <w:t xml:space="preserve"> </w:t>
      </w:r>
      <w:r w:rsidRPr="00417344">
        <w:rPr>
          <w:rFonts w:cs="Times New Roman"/>
          <w:lang w:val="fr-CA"/>
        </w:rPr>
        <w:t xml:space="preserve">75; </w:t>
      </w:r>
      <w:proofErr w:type="spellStart"/>
      <w:r w:rsidRPr="00417344">
        <w:rPr>
          <w:rFonts w:cs="Times New Roman"/>
          <w:i/>
          <w:lang w:val="fr-CA"/>
        </w:rPr>
        <w:t>Partnership</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Fonts w:cs="Times New Roman"/>
          <w:lang w:val="fr-CA"/>
        </w:rPr>
        <w:t>, al.</w:t>
      </w:r>
      <w:r w:rsidR="00684BD3">
        <w:rPr>
          <w:rFonts w:cs="Times New Roman"/>
          <w:lang w:val="fr-CA"/>
        </w:rPr>
        <w:t xml:space="preserve"> </w:t>
      </w:r>
      <w:r w:rsidRPr="00417344">
        <w:rPr>
          <w:rFonts w:cs="Times New Roman"/>
          <w:lang w:val="fr-CA"/>
        </w:rPr>
        <w:t>27(e)).  Un exemple de cela est l’obligation faite à chaque associé de rendre compte aux autres associés, afin que ceux</w:t>
      </w:r>
      <w:r w:rsidR="00684BD3">
        <w:rPr>
          <w:rFonts w:cs="Times New Roman"/>
          <w:lang w:val="fr-CA"/>
        </w:rPr>
        <w:t>-</w:t>
      </w:r>
      <w:r w:rsidRPr="00417344">
        <w:rPr>
          <w:rFonts w:cs="Times New Roman"/>
          <w:lang w:val="fr-CA"/>
        </w:rPr>
        <w:t>ci puissent disposer des renseignements dont ils ont besoin pour participer aux décisions touchant le milieu de travail et faire en sorte que leurs intérêts soient adéquatement pris en compte.  Cette obligation est énoncée à l’art.</w:t>
      </w:r>
      <w:r w:rsidR="00684BD3">
        <w:rPr>
          <w:rFonts w:cs="Times New Roman"/>
          <w:lang w:val="fr-CA"/>
        </w:rPr>
        <w:t xml:space="preserve"> </w:t>
      </w:r>
      <w:r w:rsidRPr="00417344">
        <w:rPr>
          <w:rFonts w:cs="Times New Roman"/>
          <w:lang w:val="fr-CA"/>
        </w:rPr>
        <w:t xml:space="preserve">31 de la </w:t>
      </w:r>
      <w:proofErr w:type="spellStart"/>
      <w:r w:rsidRPr="00417344">
        <w:rPr>
          <w:rFonts w:cs="Times New Roman"/>
          <w:i/>
          <w:lang w:val="fr-CA"/>
        </w:rPr>
        <w:t>Partnership</w:t>
      </w:r>
      <w:proofErr w:type="spellEnd"/>
      <w:r w:rsidRPr="00417344">
        <w:rPr>
          <w:rFonts w:cs="Times New Roman"/>
          <w:i/>
          <w:lang w:val="fr-CA"/>
        </w:rPr>
        <w:t xml:space="preserve"> </w:t>
      </w:r>
      <w:proofErr w:type="spellStart"/>
      <w:r w:rsidRPr="00417344">
        <w:rPr>
          <w:rFonts w:cs="Times New Roman"/>
          <w:i/>
          <w:lang w:val="fr-CA"/>
        </w:rPr>
        <w:t>Act</w:t>
      </w:r>
      <w:proofErr w:type="spellEnd"/>
      <w:r w:rsidR="00684BD3">
        <w:rPr>
          <w:rFonts w:cs="Times New Roman"/>
          <w:i/>
          <w:lang w:val="fr-CA"/>
        </w:rPr>
        <w:t> </w:t>
      </w:r>
      <w:r w:rsidR="00684BD3" w:rsidRPr="006D5E01">
        <w:rPr>
          <w:rFonts w:cs="Times New Roman"/>
          <w:lang w:val="fr-CA"/>
        </w:rPr>
        <w:t>:</w:t>
      </w:r>
      <w:r w:rsidRPr="00417344">
        <w:rPr>
          <w:rFonts w:cs="Times New Roman"/>
          <w:lang w:val="fr-CA"/>
        </w:rPr>
        <w:t xml:space="preserve">  </w:t>
      </w:r>
    </w:p>
    <w:p w:rsidR="0018307E" w:rsidRPr="00417344" w:rsidRDefault="0018307E" w:rsidP="0018307E">
      <w:pPr>
        <w:pStyle w:val="Citation-AltC"/>
        <w:tabs>
          <w:tab w:val="left" w:pos="1560"/>
        </w:tabs>
        <w:spacing w:after="240"/>
        <w:ind w:hanging="1166"/>
        <w:contextualSpacing w:val="0"/>
        <w:rPr>
          <w:rFonts w:eastAsiaTheme="minorEastAsia"/>
          <w:lang w:val="fr-CA"/>
        </w:rPr>
      </w:pPr>
      <w:r w:rsidRPr="00417344">
        <w:rPr>
          <w:rFonts w:eastAsiaTheme="minorEastAsia"/>
          <w:lang w:val="fr-CA"/>
        </w:rPr>
        <w:tab/>
        <w:t>[</w:t>
      </w:r>
      <w:r w:rsidRPr="00417344">
        <w:rPr>
          <w:rFonts w:eastAsiaTheme="minorEastAsia"/>
          <w:smallCaps/>
          <w:lang w:val="fr-CA"/>
        </w:rPr>
        <w:t>traduction</w:t>
      </w:r>
      <w:r w:rsidRPr="00417344">
        <w:rPr>
          <w:rFonts w:eastAsiaTheme="minorEastAsia"/>
          <w:lang w:val="fr-CA"/>
        </w:rPr>
        <w:t>]</w:t>
      </w:r>
    </w:p>
    <w:p w:rsidR="0018307E" w:rsidRPr="00417344" w:rsidRDefault="0018307E" w:rsidP="0018307E">
      <w:pPr>
        <w:pStyle w:val="Citation-AltC"/>
        <w:tabs>
          <w:tab w:val="left" w:pos="1560"/>
        </w:tabs>
        <w:ind w:left="1560" w:hanging="360"/>
        <w:contextualSpacing w:val="0"/>
        <w:rPr>
          <w:rFonts w:eastAsiaTheme="minorEastAsia"/>
          <w:lang w:val="fr-CA"/>
        </w:rPr>
      </w:pPr>
      <w:r w:rsidRPr="00417344">
        <w:rPr>
          <w:rFonts w:eastAsiaTheme="minorEastAsia"/>
          <w:b/>
          <w:lang w:val="fr-CA"/>
        </w:rPr>
        <w:t>31</w:t>
      </w:r>
      <w:r w:rsidRPr="00417344">
        <w:rPr>
          <w:rFonts w:eastAsiaTheme="minorEastAsia"/>
          <w:b/>
          <w:lang w:val="fr-CA"/>
        </w:rPr>
        <w:tab/>
      </w:r>
      <w:r w:rsidRPr="00417344">
        <w:rPr>
          <w:rFonts w:eastAsiaTheme="minorEastAsia"/>
          <w:lang w:val="fr-CA" w:bidi="en-US"/>
        </w:rPr>
        <w:t>Les associés sont tenus de rendre des comptes exacts et de donner des renseignements complets, relativement à tout ce qui touche la société de personnes, à tout associé ou à ses représentants légaux</w:t>
      </w:r>
      <w:r w:rsidRPr="00417344">
        <w:rPr>
          <w:rFonts w:eastAsiaTheme="minorEastAsia"/>
          <w:lang w:val="fr-CA"/>
        </w:rPr>
        <w:t>.</w:t>
      </w:r>
    </w:p>
    <w:p w:rsidR="0018307E" w:rsidRPr="00417344" w:rsidRDefault="0018307E" w:rsidP="0018307E">
      <w:pPr>
        <w:pStyle w:val="ParaNoNdepar-AltN"/>
        <w:rPr>
          <w:rFonts w:cs="Times New Roman"/>
          <w:lang w:val="fr-CA"/>
        </w:rPr>
      </w:pPr>
      <w:r w:rsidRPr="00417344">
        <w:rPr>
          <w:rFonts w:cs="Times New Roman"/>
          <w:lang w:val="fr-CA"/>
        </w:rPr>
        <w:t>En outre, les contrats de société comportent habituellement une procédure d’expulsion exigeante et, sauf indication expresse à l’effet contraire, un associé ne peut être exclu par une majorité simple d’associés (</w:t>
      </w:r>
      <w:proofErr w:type="spellStart"/>
      <w:r w:rsidRPr="00417344">
        <w:rPr>
          <w:rFonts w:cs="Times New Roman"/>
          <w:i/>
          <w:lang w:val="fr-CA"/>
        </w:rPr>
        <w:t>Partnership</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Fonts w:cs="Times New Roman"/>
          <w:lang w:val="fr-CA"/>
        </w:rPr>
        <w:t>, art.</w:t>
      </w:r>
      <w:r w:rsidR="00684BD3">
        <w:rPr>
          <w:rFonts w:cs="Times New Roman"/>
          <w:lang w:val="fr-CA"/>
        </w:rPr>
        <w:t xml:space="preserve"> </w:t>
      </w:r>
      <w:r w:rsidRPr="00417344">
        <w:rPr>
          <w:rFonts w:cs="Times New Roman"/>
          <w:lang w:val="fr-CA"/>
        </w:rPr>
        <w:t xml:space="preserve">28).  Par exemple, le Contrat de société de </w:t>
      </w:r>
      <w:proofErr w:type="spellStart"/>
      <w:r w:rsidRPr="00417344">
        <w:rPr>
          <w:rFonts w:cs="Times New Roman"/>
          <w:lang w:val="fr-CA"/>
        </w:rPr>
        <w:t>Fasken</w:t>
      </w:r>
      <w:proofErr w:type="spellEnd"/>
      <w:r w:rsidRPr="00417344">
        <w:rPr>
          <w:rFonts w:cs="Times New Roman"/>
          <w:lang w:val="fr-CA"/>
        </w:rPr>
        <w:t xml:space="preserve"> Martineau exige une résolution extraordinaire adoptée lors d’une réunion de l’ensemble des associés participants, </w:t>
      </w:r>
      <w:r w:rsidRPr="00417344">
        <w:rPr>
          <w:rFonts w:cs="Times New Roman"/>
          <w:lang w:val="fr-CA"/>
        </w:rPr>
        <w:lastRenderedPageBreak/>
        <w:t>ainsi qu’une résolution régionale de la région de l’associé</w:t>
      </w:r>
      <w:r w:rsidRPr="00417344">
        <w:rPr>
          <w:rStyle w:val="FootnoteReference"/>
          <w:rFonts w:cs="Times New Roman"/>
          <w:lang w:val="fr-CA"/>
        </w:rPr>
        <w:footnoteReference w:id="15"/>
      </w:r>
      <w:r w:rsidRPr="00417344">
        <w:rPr>
          <w:rFonts w:cs="Times New Roman"/>
          <w:lang w:val="fr-CA"/>
        </w:rPr>
        <w:t>.  Lorsqu’un associé se retire d’une société de personnes, il a droit au paiement de sa part du compte de capital de la société</w:t>
      </w:r>
      <w:r w:rsidR="00684BD3">
        <w:rPr>
          <w:rFonts w:cs="Times New Roman"/>
          <w:lang w:val="fr-CA"/>
        </w:rPr>
        <w:t> :</w:t>
      </w:r>
      <w:r w:rsidRPr="00417344">
        <w:rPr>
          <w:rFonts w:cs="Times New Roman"/>
          <w:lang w:val="fr-CA"/>
        </w:rPr>
        <w:t xml:space="preserve"> </w:t>
      </w:r>
      <w:proofErr w:type="spellStart"/>
      <w:r w:rsidRPr="00417344">
        <w:rPr>
          <w:rFonts w:cs="Times New Roman"/>
          <w:lang w:val="fr-CA"/>
        </w:rPr>
        <w:t>VanDuzer</w:t>
      </w:r>
      <w:proofErr w:type="spellEnd"/>
      <w:r w:rsidRPr="00417344">
        <w:rPr>
          <w:rFonts w:cs="Times New Roman"/>
          <w:lang w:val="fr-CA"/>
        </w:rPr>
        <w:t>, p.</w:t>
      </w:r>
      <w:r w:rsidR="00684BD3">
        <w:rPr>
          <w:rFonts w:cs="Times New Roman"/>
          <w:lang w:val="fr-CA"/>
        </w:rPr>
        <w:t xml:space="preserve"> </w:t>
      </w:r>
      <w:r w:rsidRPr="00417344">
        <w:rPr>
          <w:rFonts w:cs="Times New Roman"/>
          <w:lang w:val="fr-CA"/>
        </w:rPr>
        <w:t>73; Contrat de société, art.</w:t>
      </w:r>
      <w:r w:rsidR="00684BD3">
        <w:rPr>
          <w:rFonts w:cs="Times New Roman"/>
          <w:lang w:val="fr-CA"/>
        </w:rPr>
        <w:t xml:space="preserve"> </w:t>
      </w:r>
      <w:r w:rsidRPr="00417344">
        <w:rPr>
          <w:rFonts w:cs="Times New Roman"/>
          <w:lang w:val="fr-CA"/>
        </w:rPr>
        <w:t xml:space="preserve">9.5. </w:t>
      </w:r>
    </w:p>
    <w:p w:rsidR="0018307E" w:rsidRPr="00417344" w:rsidRDefault="0018307E" w:rsidP="0018307E">
      <w:pPr>
        <w:pStyle w:val="ParaNoNdepar-AltN"/>
        <w:rPr>
          <w:rFonts w:cs="Times New Roman"/>
          <w:lang w:val="fr-CA"/>
        </w:rPr>
      </w:pPr>
      <w:r w:rsidRPr="00417344">
        <w:rPr>
          <w:rFonts w:cs="Times New Roman"/>
          <w:lang w:val="fr-CA"/>
        </w:rPr>
        <w:t xml:space="preserve">En d’autres mots, le pouvoir de contrôle sur les conditions de travail et la rémunération appartient aux associés qui composent la société de personnes.  Par conséquent, dans la plupart des cas les associés ne sont pas des employés de la société, mais constituent plutôt, collectivement, l’employeur.  </w:t>
      </w:r>
    </w:p>
    <w:p w:rsidR="0018307E" w:rsidRPr="00417344" w:rsidRDefault="0018307E" w:rsidP="0018307E">
      <w:pPr>
        <w:pStyle w:val="ParaNoNdepar-AltN"/>
        <w:rPr>
          <w:rFonts w:cs="Times New Roman"/>
          <w:lang w:val="fr-CA"/>
        </w:rPr>
      </w:pPr>
      <w:r w:rsidRPr="00417344">
        <w:rPr>
          <w:rFonts w:cs="Times New Roman"/>
          <w:lang w:val="fr-CA"/>
        </w:rPr>
        <w:t xml:space="preserve">En règle générale, les tribunaux américains ont conclu que la relation entre les associés et la société de personnes à laquelle ils appartiennent n’est pas une relation d’emploi visée par les lois </w:t>
      </w:r>
      <w:proofErr w:type="spellStart"/>
      <w:r w:rsidR="006D5E01">
        <w:rPr>
          <w:rFonts w:cs="Times New Roman"/>
          <w:lang w:val="fr-CA"/>
        </w:rPr>
        <w:t>antidiscrimination</w:t>
      </w:r>
      <w:proofErr w:type="spellEnd"/>
      <w:r w:rsidRPr="00417344">
        <w:rPr>
          <w:rFonts w:cs="Times New Roman"/>
          <w:lang w:val="fr-CA"/>
        </w:rPr>
        <w:t>, puisque, même dans une grande société, les associés sont habituellement capables d’influencer l’administration de celle</w:t>
      </w:r>
      <w:r w:rsidR="00684BD3">
        <w:rPr>
          <w:rFonts w:cs="Times New Roman"/>
          <w:lang w:val="fr-CA"/>
        </w:rPr>
        <w:t>-</w:t>
      </w:r>
      <w:r w:rsidRPr="00417344">
        <w:rPr>
          <w:rFonts w:cs="Times New Roman"/>
          <w:lang w:val="fr-CA"/>
        </w:rPr>
        <w:t>ci dans une mesure importante</w:t>
      </w:r>
      <w:r w:rsidR="00684BD3">
        <w:rPr>
          <w:rFonts w:cs="Times New Roman"/>
          <w:lang w:val="fr-CA"/>
        </w:rPr>
        <w:t> :</w:t>
      </w:r>
      <w:r w:rsidRPr="00417344">
        <w:rPr>
          <w:rFonts w:cs="Times New Roman"/>
          <w:lang w:val="fr-CA"/>
        </w:rPr>
        <w:t xml:space="preserve"> </w:t>
      </w:r>
      <w:proofErr w:type="spellStart"/>
      <w:r w:rsidRPr="00417344">
        <w:rPr>
          <w:rFonts w:cs="Times New Roman"/>
          <w:i/>
          <w:lang w:val="fr-CA"/>
        </w:rPr>
        <w:t>Largie</w:t>
      </w:r>
      <w:proofErr w:type="spellEnd"/>
      <w:r w:rsidRPr="00417344">
        <w:rPr>
          <w:rFonts w:cs="Times New Roman"/>
          <w:i/>
          <w:lang w:val="fr-CA"/>
        </w:rPr>
        <w:t xml:space="preserve"> c. TCBA Watson </w:t>
      </w:r>
      <w:proofErr w:type="spellStart"/>
      <w:r w:rsidRPr="00417344">
        <w:rPr>
          <w:rFonts w:cs="Times New Roman"/>
          <w:i/>
          <w:lang w:val="fr-CA"/>
        </w:rPr>
        <w:t>Rice</w:t>
      </w:r>
      <w:proofErr w:type="spellEnd"/>
      <w:r w:rsidR="00B054F8">
        <w:rPr>
          <w:rFonts w:cs="Times New Roman"/>
          <w:i/>
          <w:lang w:val="fr-CA"/>
        </w:rPr>
        <w:t>,</w:t>
      </w:r>
      <w:r w:rsidRPr="00417344">
        <w:rPr>
          <w:rFonts w:cs="Times New Roman"/>
          <w:i/>
          <w:lang w:val="fr-CA"/>
        </w:rPr>
        <w:t xml:space="preserve"> LLP</w:t>
      </w:r>
      <w:r w:rsidRPr="00417344">
        <w:rPr>
          <w:rFonts w:cs="Times New Roman"/>
          <w:lang w:val="fr-CA"/>
        </w:rPr>
        <w:t xml:space="preserve">, 2013 U.S. </w:t>
      </w:r>
      <w:proofErr w:type="spellStart"/>
      <w:r w:rsidRPr="00417344">
        <w:rPr>
          <w:rFonts w:cs="Times New Roman"/>
          <w:lang w:val="fr-CA"/>
        </w:rPr>
        <w:t>Dist</w:t>
      </w:r>
      <w:proofErr w:type="spellEnd"/>
      <w:r w:rsidRPr="00417344">
        <w:rPr>
          <w:rFonts w:cs="Times New Roman"/>
          <w:lang w:val="fr-CA"/>
        </w:rPr>
        <w:t xml:space="preserve">. LEXIS 117688 (D.N.J.); </w:t>
      </w:r>
      <w:proofErr w:type="spellStart"/>
      <w:r w:rsidRPr="00417344">
        <w:rPr>
          <w:rFonts w:cs="Times New Roman"/>
          <w:i/>
          <w:lang w:val="fr-CA"/>
        </w:rPr>
        <w:t>Bowers</w:t>
      </w:r>
      <w:proofErr w:type="spellEnd"/>
      <w:r w:rsidRPr="00417344">
        <w:rPr>
          <w:rFonts w:cs="Times New Roman"/>
          <w:i/>
          <w:lang w:val="fr-CA"/>
        </w:rPr>
        <w:t xml:space="preserve"> c. </w:t>
      </w:r>
      <w:proofErr w:type="spellStart"/>
      <w:r w:rsidRPr="00417344">
        <w:rPr>
          <w:rFonts w:cs="Times New Roman"/>
          <w:i/>
          <w:lang w:val="fr-CA"/>
        </w:rPr>
        <w:t>Ophthalmology</w:t>
      </w:r>
      <w:proofErr w:type="spellEnd"/>
      <w:r w:rsidRPr="00417344">
        <w:rPr>
          <w:rFonts w:cs="Times New Roman"/>
          <w:i/>
          <w:lang w:val="fr-CA"/>
        </w:rPr>
        <w:t xml:space="preserve"> Group</w:t>
      </w:r>
      <w:r w:rsidR="00B054F8">
        <w:rPr>
          <w:rFonts w:cs="Times New Roman"/>
          <w:i/>
          <w:lang w:val="fr-CA"/>
        </w:rPr>
        <w:t>,</w:t>
      </w:r>
      <w:r w:rsidRPr="00417344">
        <w:rPr>
          <w:rFonts w:cs="Times New Roman"/>
          <w:i/>
          <w:lang w:val="fr-CA"/>
        </w:rPr>
        <w:t xml:space="preserve"> LLP</w:t>
      </w:r>
      <w:r w:rsidRPr="00417344">
        <w:rPr>
          <w:rFonts w:cs="Times New Roman"/>
          <w:lang w:val="fr-CA"/>
        </w:rPr>
        <w:t xml:space="preserve">, 2012 U.S. </w:t>
      </w:r>
      <w:proofErr w:type="spellStart"/>
      <w:r w:rsidRPr="00417344">
        <w:rPr>
          <w:rFonts w:cs="Times New Roman"/>
          <w:lang w:val="fr-CA"/>
        </w:rPr>
        <w:t>Dist</w:t>
      </w:r>
      <w:proofErr w:type="spellEnd"/>
      <w:r w:rsidRPr="00417344">
        <w:rPr>
          <w:rFonts w:cs="Times New Roman"/>
          <w:lang w:val="fr-CA"/>
        </w:rPr>
        <w:t>. LEXIS 118761 (W.D. Ky.), inf. pour d’autres motifs par 733 F.3d 647 (6</w:t>
      </w:r>
      <w:r w:rsidRPr="00B054F8">
        <w:rPr>
          <w:rFonts w:cs="Times New Roman"/>
          <w:lang w:val="fr-CA"/>
        </w:rPr>
        <w:t>th</w:t>
      </w:r>
      <w:r w:rsidRPr="00417344">
        <w:rPr>
          <w:rFonts w:cs="Times New Roman"/>
          <w:lang w:val="fr-CA"/>
        </w:rPr>
        <w:t xml:space="preserve"> </w:t>
      </w:r>
      <w:proofErr w:type="spellStart"/>
      <w:r w:rsidRPr="00417344">
        <w:rPr>
          <w:rFonts w:cs="Times New Roman"/>
          <w:lang w:val="fr-CA"/>
        </w:rPr>
        <w:t>Cir</w:t>
      </w:r>
      <w:proofErr w:type="spellEnd"/>
      <w:r w:rsidR="00B054F8">
        <w:rPr>
          <w:rFonts w:cs="Times New Roman"/>
          <w:lang w:val="fr-CA"/>
        </w:rPr>
        <w:t>.</w:t>
      </w:r>
      <w:r w:rsidRPr="00417344">
        <w:rPr>
          <w:rFonts w:cs="Times New Roman"/>
          <w:lang w:val="fr-CA"/>
        </w:rPr>
        <w:t xml:space="preserve"> 2013); </w:t>
      </w:r>
      <w:proofErr w:type="spellStart"/>
      <w:r w:rsidRPr="00417344">
        <w:rPr>
          <w:rFonts w:cs="Times New Roman"/>
          <w:i/>
          <w:lang w:val="fr-CA"/>
        </w:rPr>
        <w:t>Kirleis</w:t>
      </w:r>
      <w:proofErr w:type="spellEnd"/>
      <w:r w:rsidRPr="00417344">
        <w:rPr>
          <w:rFonts w:cs="Times New Roman"/>
          <w:i/>
          <w:lang w:val="fr-CA"/>
        </w:rPr>
        <w:t xml:space="preserve"> c. </w:t>
      </w:r>
      <w:proofErr w:type="spellStart"/>
      <w:r w:rsidRPr="00417344">
        <w:rPr>
          <w:rFonts w:cs="Times New Roman"/>
          <w:i/>
          <w:lang w:val="fr-CA"/>
        </w:rPr>
        <w:t>Dickie</w:t>
      </w:r>
      <w:proofErr w:type="spellEnd"/>
      <w:r w:rsidR="00B054F8">
        <w:rPr>
          <w:rFonts w:cs="Times New Roman"/>
          <w:i/>
          <w:lang w:val="fr-CA"/>
        </w:rPr>
        <w:t>,</w:t>
      </w:r>
      <w:r w:rsidRPr="00417344">
        <w:rPr>
          <w:rFonts w:cs="Times New Roman"/>
          <w:i/>
          <w:lang w:val="fr-CA"/>
        </w:rPr>
        <w:t xml:space="preserve"> </w:t>
      </w:r>
      <w:proofErr w:type="spellStart"/>
      <w:r w:rsidRPr="00417344">
        <w:rPr>
          <w:rFonts w:cs="Times New Roman"/>
          <w:i/>
          <w:lang w:val="fr-CA"/>
        </w:rPr>
        <w:t>McCamey</w:t>
      </w:r>
      <w:proofErr w:type="spellEnd"/>
      <w:r w:rsidRPr="00417344">
        <w:rPr>
          <w:rFonts w:cs="Times New Roman"/>
          <w:i/>
          <w:lang w:val="fr-CA"/>
        </w:rPr>
        <w:t xml:space="preserve"> &amp; </w:t>
      </w:r>
      <w:proofErr w:type="spellStart"/>
      <w:r w:rsidRPr="00417344">
        <w:rPr>
          <w:rFonts w:cs="Times New Roman"/>
          <w:i/>
          <w:lang w:val="fr-CA"/>
        </w:rPr>
        <w:t>Chilcote</w:t>
      </w:r>
      <w:proofErr w:type="spellEnd"/>
      <w:r w:rsidRPr="00417344">
        <w:rPr>
          <w:rFonts w:cs="Times New Roman"/>
          <w:i/>
          <w:lang w:val="fr-CA"/>
        </w:rPr>
        <w:t>, P.C.</w:t>
      </w:r>
      <w:r w:rsidRPr="00417344">
        <w:rPr>
          <w:rFonts w:cs="Times New Roman"/>
          <w:lang w:val="fr-CA"/>
        </w:rPr>
        <w:t xml:space="preserve">, 2009 U.S. </w:t>
      </w:r>
      <w:proofErr w:type="spellStart"/>
      <w:r w:rsidRPr="00417344">
        <w:rPr>
          <w:rFonts w:cs="Times New Roman"/>
          <w:lang w:val="fr-CA"/>
        </w:rPr>
        <w:t>Dist</w:t>
      </w:r>
      <w:proofErr w:type="spellEnd"/>
      <w:r w:rsidRPr="00417344">
        <w:rPr>
          <w:rFonts w:cs="Times New Roman"/>
          <w:lang w:val="fr-CA"/>
        </w:rPr>
        <w:t>. LEXIS 100326 (W.D.</w:t>
      </w:r>
      <w:r w:rsidR="00684BD3">
        <w:rPr>
          <w:rFonts w:cs="Times New Roman"/>
          <w:lang w:val="fr-CA"/>
        </w:rPr>
        <w:t xml:space="preserve"> </w:t>
      </w:r>
      <w:r w:rsidRPr="00417344">
        <w:rPr>
          <w:rFonts w:cs="Times New Roman"/>
          <w:lang w:val="fr-CA"/>
        </w:rPr>
        <w:t xml:space="preserve">Pa.), </w:t>
      </w:r>
      <w:r>
        <w:rPr>
          <w:rFonts w:cs="Times New Roman"/>
          <w:lang w:val="fr-CA"/>
        </w:rPr>
        <w:t>à [*</w:t>
      </w:r>
      <w:r w:rsidRPr="00417344">
        <w:rPr>
          <w:rFonts w:cs="Times New Roman"/>
          <w:lang w:val="fr-CA"/>
        </w:rPr>
        <w:t>82</w:t>
      </w:r>
      <w:r>
        <w:rPr>
          <w:rFonts w:cs="Times New Roman"/>
          <w:lang w:val="fr-CA"/>
        </w:rPr>
        <w:t>]</w:t>
      </w:r>
      <w:r w:rsidRPr="00417344">
        <w:rPr>
          <w:rFonts w:cs="Times New Roman"/>
          <w:lang w:val="fr-CA"/>
        </w:rPr>
        <w:t xml:space="preserve">.  Toutefois, dans l’arrêt </w:t>
      </w:r>
      <w:proofErr w:type="spellStart"/>
      <w:r w:rsidRPr="00417344">
        <w:rPr>
          <w:rFonts w:cs="Times New Roman"/>
          <w:i/>
          <w:lang w:val="fr-CA"/>
        </w:rPr>
        <w:t>Clackamas</w:t>
      </w:r>
      <w:proofErr w:type="spellEnd"/>
      <w:r w:rsidRPr="00417344">
        <w:rPr>
          <w:rFonts w:cs="Times New Roman"/>
          <w:lang w:val="fr-CA"/>
        </w:rPr>
        <w:t>, la Cour suprême des États</w:t>
      </w:r>
      <w:r w:rsidR="00684BD3">
        <w:rPr>
          <w:rFonts w:cs="Times New Roman"/>
          <w:lang w:val="fr-CA"/>
        </w:rPr>
        <w:t>-</w:t>
      </w:r>
      <w:r w:rsidRPr="00417344">
        <w:rPr>
          <w:rFonts w:cs="Times New Roman"/>
          <w:lang w:val="fr-CA"/>
        </w:rPr>
        <w:t xml:space="preserve">Unis a expressément maintenu la possibilité que, dans certaines circonstances exceptionnelles, des </w:t>
      </w:r>
      <w:r w:rsidR="00684BD3">
        <w:rPr>
          <w:rFonts w:cs="Times New Roman"/>
          <w:lang w:val="fr-CA"/>
        </w:rPr>
        <w:t>« </w:t>
      </w:r>
      <w:r w:rsidRPr="00417344">
        <w:rPr>
          <w:rFonts w:cs="Times New Roman"/>
          <w:lang w:val="fr-CA"/>
        </w:rPr>
        <w:t>associés</w:t>
      </w:r>
      <w:r w:rsidR="00684BD3">
        <w:rPr>
          <w:rFonts w:cs="Times New Roman"/>
          <w:lang w:val="fr-CA"/>
        </w:rPr>
        <w:t> »</w:t>
      </w:r>
      <w:r w:rsidRPr="00417344">
        <w:rPr>
          <w:rFonts w:cs="Times New Roman"/>
          <w:lang w:val="fr-CA"/>
        </w:rPr>
        <w:t xml:space="preserve"> nominaux puissent être assimilés à des employés au terme d’un examen de l’essence de la relation (p.</w:t>
      </w:r>
      <w:r w:rsidR="00684BD3">
        <w:rPr>
          <w:rFonts w:cs="Times New Roman"/>
          <w:lang w:val="fr-CA"/>
        </w:rPr>
        <w:t xml:space="preserve"> </w:t>
      </w:r>
      <w:r w:rsidRPr="00417344">
        <w:rPr>
          <w:rFonts w:cs="Times New Roman"/>
          <w:lang w:val="fr-CA"/>
        </w:rPr>
        <w:t xml:space="preserve">446; voir aussi </w:t>
      </w:r>
      <w:proofErr w:type="spellStart"/>
      <w:r w:rsidRPr="00417344">
        <w:rPr>
          <w:rFonts w:cs="Times New Roman"/>
          <w:i/>
          <w:lang w:val="fr-CA"/>
        </w:rPr>
        <w:t>Equal</w:t>
      </w:r>
      <w:proofErr w:type="spellEnd"/>
      <w:r w:rsidRPr="00417344">
        <w:rPr>
          <w:rFonts w:cs="Times New Roman"/>
          <w:i/>
          <w:lang w:val="fr-CA"/>
        </w:rPr>
        <w:t xml:space="preserve"> </w:t>
      </w:r>
      <w:proofErr w:type="spellStart"/>
      <w:r w:rsidRPr="00417344">
        <w:rPr>
          <w:rFonts w:cs="Times New Roman"/>
          <w:i/>
          <w:lang w:val="fr-CA"/>
        </w:rPr>
        <w:t>Employment</w:t>
      </w:r>
      <w:proofErr w:type="spellEnd"/>
      <w:r w:rsidRPr="00417344">
        <w:rPr>
          <w:rFonts w:cs="Times New Roman"/>
          <w:i/>
          <w:lang w:val="fr-CA"/>
        </w:rPr>
        <w:t xml:space="preserve"> </w:t>
      </w:r>
      <w:proofErr w:type="spellStart"/>
      <w:r w:rsidRPr="00417344">
        <w:rPr>
          <w:rFonts w:cs="Times New Roman"/>
          <w:i/>
          <w:lang w:val="fr-CA"/>
        </w:rPr>
        <w:t>Opportunity</w:t>
      </w:r>
      <w:proofErr w:type="spellEnd"/>
      <w:r w:rsidRPr="00417344">
        <w:rPr>
          <w:rFonts w:cs="Times New Roman"/>
          <w:i/>
          <w:lang w:val="fr-CA"/>
        </w:rPr>
        <w:t xml:space="preserve"> Commission c. </w:t>
      </w:r>
      <w:proofErr w:type="spellStart"/>
      <w:r w:rsidRPr="00417344">
        <w:rPr>
          <w:rFonts w:cs="Times New Roman"/>
          <w:i/>
          <w:lang w:val="fr-CA"/>
        </w:rPr>
        <w:t>Sidley</w:t>
      </w:r>
      <w:proofErr w:type="spellEnd"/>
      <w:r w:rsidRPr="00417344">
        <w:rPr>
          <w:rFonts w:cs="Times New Roman"/>
          <w:i/>
          <w:lang w:val="fr-CA"/>
        </w:rPr>
        <w:t xml:space="preserve"> Austin Brown &amp; </w:t>
      </w:r>
      <w:r w:rsidRPr="00AF615B">
        <w:rPr>
          <w:rFonts w:cs="Times New Roman"/>
          <w:i/>
          <w:lang w:val="fr-CA"/>
        </w:rPr>
        <w:t>Wood</w:t>
      </w:r>
      <w:r w:rsidRPr="00417344">
        <w:rPr>
          <w:rFonts w:cs="Times New Roman"/>
          <w:lang w:val="fr-CA"/>
        </w:rPr>
        <w:t xml:space="preserve">, 315 F.3d 696 (7th </w:t>
      </w:r>
      <w:proofErr w:type="spellStart"/>
      <w:r w:rsidRPr="00417344">
        <w:rPr>
          <w:rFonts w:cs="Times New Roman"/>
          <w:lang w:val="fr-CA"/>
        </w:rPr>
        <w:t>Cir</w:t>
      </w:r>
      <w:proofErr w:type="spellEnd"/>
      <w:r w:rsidRPr="00417344">
        <w:rPr>
          <w:rFonts w:cs="Times New Roman"/>
          <w:lang w:val="fr-CA"/>
        </w:rPr>
        <w:t>. 2002), p.</w:t>
      </w:r>
      <w:r w:rsidR="00684BD3">
        <w:rPr>
          <w:rFonts w:cs="Times New Roman"/>
          <w:lang w:val="fr-CA"/>
        </w:rPr>
        <w:t xml:space="preserve"> </w:t>
      </w:r>
      <w:r w:rsidRPr="00417344">
        <w:rPr>
          <w:rFonts w:cs="Times New Roman"/>
          <w:lang w:val="fr-CA"/>
        </w:rPr>
        <w:t>702</w:t>
      </w:r>
      <w:r w:rsidR="00684BD3">
        <w:rPr>
          <w:rFonts w:cs="Times New Roman"/>
          <w:lang w:val="fr-CA"/>
        </w:rPr>
        <w:t>-</w:t>
      </w:r>
      <w:r w:rsidRPr="00417344">
        <w:rPr>
          <w:rFonts w:cs="Times New Roman"/>
          <w:lang w:val="fr-CA"/>
        </w:rPr>
        <w:t xml:space="preserve">707). </w:t>
      </w:r>
    </w:p>
    <w:p w:rsidR="0018307E" w:rsidRPr="00417344" w:rsidRDefault="0018307E" w:rsidP="0018307E">
      <w:pPr>
        <w:pStyle w:val="ParaNoNdepar-AltN"/>
        <w:rPr>
          <w:rFonts w:cs="Times New Roman"/>
          <w:lang w:val="fr-CA"/>
        </w:rPr>
      </w:pPr>
      <w:r w:rsidRPr="00417344">
        <w:rPr>
          <w:rFonts w:cs="Times New Roman"/>
          <w:lang w:val="fr-CA"/>
        </w:rPr>
        <w:lastRenderedPageBreak/>
        <w:t>De même, les tribunaux canadiens et britanniques ont conclu que la relation entre les associés et la société de personnes dont ils sont membres n’est pas une relation d’emploi visée par d’autres types de législation protectrice, par exemple en matière d’indemnisation des accidents du travail</w:t>
      </w:r>
      <w:r w:rsidR="00684BD3">
        <w:rPr>
          <w:rFonts w:cs="Times New Roman"/>
          <w:lang w:val="fr-CA"/>
        </w:rPr>
        <w:t> :</w:t>
      </w:r>
      <w:r w:rsidRPr="00417344">
        <w:rPr>
          <w:rFonts w:cs="Times New Roman"/>
          <w:lang w:val="fr-CA"/>
        </w:rPr>
        <w:t xml:space="preserve"> </w:t>
      </w:r>
      <w:r w:rsidRPr="00417344">
        <w:rPr>
          <w:rFonts w:cs="Times New Roman"/>
          <w:i/>
          <w:lang w:val="fr-CA"/>
        </w:rPr>
        <w:t>Ellis c. Joseph Ellis &amp; Co.</w:t>
      </w:r>
      <w:r w:rsidRPr="00417344">
        <w:rPr>
          <w:rFonts w:cs="Times New Roman"/>
          <w:lang w:val="fr-CA"/>
        </w:rPr>
        <w:t xml:space="preserve">, [1905] 1 K.B. 324 (C.A.); </w:t>
      </w:r>
      <w:proofErr w:type="spellStart"/>
      <w:r w:rsidR="00B054F8" w:rsidRPr="00B054F8">
        <w:rPr>
          <w:rFonts w:cs="Times New Roman"/>
          <w:i/>
          <w:lang w:val="fr-CA"/>
        </w:rPr>
        <w:t>Re</w:t>
      </w:r>
      <w:proofErr w:type="spellEnd"/>
      <w:r w:rsidR="00B054F8" w:rsidRPr="00B054F8">
        <w:rPr>
          <w:rFonts w:cs="Times New Roman"/>
          <w:i/>
          <w:lang w:val="fr-CA"/>
        </w:rPr>
        <w:t xml:space="preserve"> </w:t>
      </w:r>
      <w:proofErr w:type="spellStart"/>
      <w:r w:rsidRPr="00B054F8">
        <w:rPr>
          <w:rFonts w:cs="Times New Roman"/>
          <w:i/>
          <w:lang w:val="fr-CA"/>
        </w:rPr>
        <w:t>T</w:t>
      </w:r>
      <w:r w:rsidRPr="00417344">
        <w:rPr>
          <w:rFonts w:cs="Times New Roman"/>
          <w:i/>
          <w:lang w:val="fr-CA"/>
        </w:rPr>
        <w:t>horne</w:t>
      </w:r>
      <w:proofErr w:type="spellEnd"/>
      <w:r w:rsidRPr="00417344">
        <w:rPr>
          <w:rFonts w:cs="Times New Roman"/>
          <w:i/>
          <w:lang w:val="fr-CA"/>
        </w:rPr>
        <w:t xml:space="preserve"> </w:t>
      </w:r>
      <w:r w:rsidR="00B054F8">
        <w:rPr>
          <w:rFonts w:cs="Times New Roman"/>
          <w:i/>
          <w:lang w:val="fr-CA"/>
        </w:rPr>
        <w:t xml:space="preserve">and New Brunswick </w:t>
      </w:r>
      <w:proofErr w:type="spellStart"/>
      <w:r w:rsidR="00B054F8">
        <w:rPr>
          <w:rFonts w:cs="Times New Roman"/>
          <w:i/>
          <w:lang w:val="fr-CA"/>
        </w:rPr>
        <w:t>Workme</w:t>
      </w:r>
      <w:r w:rsidRPr="00417344">
        <w:rPr>
          <w:rFonts w:cs="Times New Roman"/>
          <w:i/>
          <w:lang w:val="fr-CA"/>
        </w:rPr>
        <w:t>n’s</w:t>
      </w:r>
      <w:proofErr w:type="spellEnd"/>
      <w:r w:rsidRPr="00417344">
        <w:rPr>
          <w:rFonts w:cs="Times New Roman"/>
          <w:i/>
          <w:lang w:val="fr-CA"/>
        </w:rPr>
        <w:t xml:space="preserve"> Compensation </w:t>
      </w:r>
      <w:proofErr w:type="spellStart"/>
      <w:r w:rsidRPr="00417344">
        <w:rPr>
          <w:rFonts w:cs="Times New Roman"/>
          <w:i/>
          <w:lang w:val="fr-CA"/>
        </w:rPr>
        <w:t>Board</w:t>
      </w:r>
      <w:proofErr w:type="spellEnd"/>
      <w:r w:rsidRPr="00417344">
        <w:rPr>
          <w:rFonts w:cs="Times New Roman"/>
          <w:i/>
          <w:lang w:val="fr-CA"/>
        </w:rPr>
        <w:t xml:space="preserve"> </w:t>
      </w:r>
      <w:r w:rsidRPr="00417344">
        <w:rPr>
          <w:rFonts w:cs="Times New Roman"/>
          <w:lang w:val="fr-CA"/>
        </w:rPr>
        <w:t>(</w:t>
      </w:r>
      <w:r w:rsidR="00B054F8">
        <w:rPr>
          <w:rFonts w:cs="Times New Roman"/>
          <w:lang w:val="fr-CA"/>
        </w:rPr>
        <w:t>1962), 33 D.L.R. (2d) 167 (C.S.</w:t>
      </w:r>
      <w:r w:rsidRPr="00417344">
        <w:rPr>
          <w:rFonts w:cs="Times New Roman"/>
          <w:lang w:val="fr-CA"/>
        </w:rPr>
        <w:t>N.</w:t>
      </w:r>
      <w:r w:rsidR="00684BD3">
        <w:rPr>
          <w:rFonts w:cs="Times New Roman"/>
          <w:lang w:val="fr-CA"/>
        </w:rPr>
        <w:t>-</w:t>
      </w:r>
      <w:r w:rsidRPr="00417344">
        <w:rPr>
          <w:rFonts w:cs="Times New Roman"/>
          <w:lang w:val="fr-CA"/>
        </w:rPr>
        <w:t xml:space="preserve">B. (Div. </w:t>
      </w:r>
      <w:proofErr w:type="spellStart"/>
      <w:r w:rsidRPr="00417344">
        <w:rPr>
          <w:rFonts w:cs="Times New Roman"/>
          <w:lang w:val="fr-CA"/>
        </w:rPr>
        <w:t>app</w:t>
      </w:r>
      <w:proofErr w:type="spellEnd"/>
      <w:r w:rsidRPr="00417344">
        <w:rPr>
          <w:rFonts w:cs="Times New Roman"/>
          <w:lang w:val="fr-CA"/>
        </w:rPr>
        <w:t xml:space="preserve">.)), </w:t>
      </w:r>
      <w:proofErr w:type="spellStart"/>
      <w:r w:rsidRPr="00417344">
        <w:rPr>
          <w:rFonts w:cs="Times New Roman"/>
          <w:lang w:val="fr-CA"/>
        </w:rPr>
        <w:t>conf</w:t>
      </w:r>
      <w:proofErr w:type="spellEnd"/>
      <w:r w:rsidRPr="00417344">
        <w:rPr>
          <w:rFonts w:cs="Times New Roman"/>
          <w:lang w:val="fr-CA"/>
        </w:rPr>
        <w:t>. par [1962] R.C.S. vii</w:t>
      </w:r>
      <w:r>
        <w:rPr>
          <w:rFonts w:cs="Times New Roman"/>
          <w:lang w:val="fr-CA"/>
        </w:rPr>
        <w:t>i</w:t>
      </w:r>
      <w:r w:rsidRPr="00417344">
        <w:rPr>
          <w:rFonts w:cs="Times New Roman"/>
          <w:lang w:val="fr-CA"/>
        </w:rPr>
        <w:t>.</w:t>
      </w:r>
    </w:p>
    <w:p w:rsidR="0018307E" w:rsidRPr="00417344" w:rsidRDefault="0018307E" w:rsidP="0018307E">
      <w:pPr>
        <w:pStyle w:val="ParaNoNdepar-AltN"/>
        <w:rPr>
          <w:rFonts w:cs="Times New Roman"/>
          <w:lang w:val="fr-CA"/>
        </w:rPr>
      </w:pPr>
      <w:r w:rsidRPr="00417344">
        <w:rPr>
          <w:rFonts w:cs="Times New Roman"/>
          <w:lang w:val="fr-CA"/>
        </w:rPr>
        <w:t>Cela ne veut pas dire que les lois sur les droits de la personne ne peuvent pas s’appliquer aux sociétés de personnes; cela signifie plutôt qu’une disposition législative expresse, comme celle figurant à l’art.</w:t>
      </w:r>
      <w:r w:rsidR="00684BD3">
        <w:rPr>
          <w:rFonts w:cs="Times New Roman"/>
          <w:lang w:val="fr-CA"/>
        </w:rPr>
        <w:t xml:space="preserve"> </w:t>
      </w:r>
      <w:r w:rsidRPr="00417344">
        <w:rPr>
          <w:rFonts w:cs="Times New Roman"/>
          <w:lang w:val="fr-CA"/>
        </w:rPr>
        <w:t>44 de l’</w:t>
      </w:r>
      <w:proofErr w:type="spellStart"/>
      <w:r w:rsidRPr="00417344">
        <w:rPr>
          <w:rFonts w:cs="Times New Roman"/>
          <w:i/>
          <w:lang w:val="fr-CA"/>
        </w:rPr>
        <w:t>Equality</w:t>
      </w:r>
      <w:proofErr w:type="spellEnd"/>
      <w:r w:rsidRPr="00417344">
        <w:rPr>
          <w:rFonts w:cs="Times New Roman"/>
          <w:i/>
          <w:lang w:val="fr-CA"/>
        </w:rPr>
        <w:t xml:space="preserve"> </w:t>
      </w:r>
      <w:proofErr w:type="spellStart"/>
      <w:r w:rsidRPr="00417344">
        <w:rPr>
          <w:rFonts w:cs="Times New Roman"/>
          <w:i/>
          <w:lang w:val="fr-CA"/>
        </w:rPr>
        <w:t>Act</w:t>
      </w:r>
      <w:proofErr w:type="spellEnd"/>
      <w:r w:rsidRPr="00417344">
        <w:rPr>
          <w:rFonts w:cs="Times New Roman"/>
          <w:i/>
          <w:lang w:val="fr-CA"/>
        </w:rPr>
        <w:t xml:space="preserve"> 2010</w:t>
      </w:r>
      <w:r w:rsidRPr="00417344">
        <w:rPr>
          <w:rFonts w:cs="Times New Roman"/>
          <w:lang w:val="fr-CA"/>
        </w:rPr>
        <w:t xml:space="preserve"> du Royaume</w:t>
      </w:r>
      <w:r w:rsidR="00684BD3">
        <w:rPr>
          <w:rFonts w:cs="Times New Roman"/>
          <w:lang w:val="fr-CA"/>
        </w:rPr>
        <w:t>-</w:t>
      </w:r>
      <w:r w:rsidRPr="00417344">
        <w:rPr>
          <w:rFonts w:cs="Times New Roman"/>
          <w:lang w:val="fr-CA"/>
        </w:rPr>
        <w:t>Uni, 2010, ch.</w:t>
      </w:r>
      <w:r w:rsidR="00684BD3">
        <w:rPr>
          <w:rFonts w:cs="Times New Roman"/>
          <w:lang w:val="fr-CA"/>
        </w:rPr>
        <w:t xml:space="preserve"> </w:t>
      </w:r>
      <w:r w:rsidRPr="00417344">
        <w:rPr>
          <w:rFonts w:cs="Times New Roman"/>
          <w:lang w:val="fr-CA"/>
        </w:rPr>
        <w:t>15, est habituellement requise.  La note explicative concernant cette disposition précise qu’une disposition distincte protégeant les associés contre la discrimination est nécessaire, parce que la relation entre ceux</w:t>
      </w:r>
      <w:r w:rsidR="00684BD3">
        <w:rPr>
          <w:rFonts w:cs="Times New Roman"/>
          <w:lang w:val="fr-CA"/>
        </w:rPr>
        <w:t>-</w:t>
      </w:r>
      <w:r w:rsidRPr="00417344">
        <w:rPr>
          <w:rFonts w:cs="Times New Roman"/>
          <w:lang w:val="fr-CA"/>
        </w:rPr>
        <w:t>ci et la société de personnes n’est pas une relation d’emploi</w:t>
      </w:r>
      <w:r w:rsidR="00684BD3">
        <w:rPr>
          <w:rFonts w:cs="Times New Roman"/>
          <w:lang w:val="fr-CA"/>
        </w:rPr>
        <w:t> :</w:t>
      </w:r>
    </w:p>
    <w:p w:rsidR="0018307E" w:rsidRPr="00417344" w:rsidRDefault="0018307E" w:rsidP="0018307E">
      <w:pPr>
        <w:pStyle w:val="Citation-AltC"/>
        <w:tabs>
          <w:tab w:val="left" w:pos="1560"/>
        </w:tabs>
        <w:ind w:hanging="1166"/>
        <w:contextualSpacing w:val="0"/>
        <w:rPr>
          <w:lang w:val="fr-CA"/>
        </w:rPr>
      </w:pPr>
      <w:r w:rsidRPr="00417344">
        <w:rPr>
          <w:lang w:val="fr-CA"/>
        </w:rPr>
        <w:tab/>
        <w:t>[</w:t>
      </w:r>
      <w:r w:rsidRPr="00417344">
        <w:rPr>
          <w:smallCaps/>
          <w:lang w:val="fr-CA"/>
        </w:rPr>
        <w:t>traduction</w:t>
      </w:r>
      <w:r w:rsidRPr="00417344">
        <w:rPr>
          <w:lang w:val="fr-CA"/>
        </w:rPr>
        <w:t>]  Parce que les associés sont principalement régis par leur contrat de société, plutôt que par des contrats d’emploi, des dispositions distinctes sont nécessaires pour protéger les associés des sociétés de personnes et des sociétés en commandite contre la discrimination, le harcèlement et la victimisation.</w:t>
      </w:r>
      <w:r>
        <w:rPr>
          <w:lang w:val="fr-CA"/>
        </w:rPr>
        <w:t xml:space="preserve">  [</w:t>
      </w:r>
      <w:proofErr w:type="gramStart"/>
      <w:r>
        <w:rPr>
          <w:lang w:val="fr-CA"/>
        </w:rPr>
        <w:t>par</w:t>
      </w:r>
      <w:proofErr w:type="gramEnd"/>
      <w:r>
        <w:rPr>
          <w:lang w:val="fr-CA"/>
        </w:rPr>
        <w:t>.</w:t>
      </w:r>
      <w:r w:rsidR="00684BD3">
        <w:rPr>
          <w:lang w:val="fr-CA"/>
        </w:rPr>
        <w:t xml:space="preserve"> </w:t>
      </w:r>
      <w:r>
        <w:rPr>
          <w:lang w:val="fr-CA"/>
        </w:rPr>
        <w:t>158]</w:t>
      </w:r>
    </w:p>
    <w:p w:rsidR="0018307E" w:rsidRPr="005A5F28" w:rsidRDefault="0018307E" w:rsidP="0018307E">
      <w:pPr>
        <w:pStyle w:val="ParaNoNdepar-AltN"/>
        <w:rPr>
          <w:rFonts w:cs="Times New Roman"/>
          <w:lang w:val="fr-CA"/>
        </w:rPr>
      </w:pPr>
      <w:r w:rsidRPr="00417344">
        <w:rPr>
          <w:rFonts w:cs="Times New Roman"/>
          <w:lang w:val="fr-CA"/>
        </w:rPr>
        <w:t>La société de personnes est également désignée comme une catégorie distincte de relations employeur</w:t>
      </w:r>
      <w:r w:rsidR="00684BD3">
        <w:rPr>
          <w:rFonts w:cs="Times New Roman"/>
          <w:lang w:val="fr-CA"/>
        </w:rPr>
        <w:t>-</w:t>
      </w:r>
      <w:r w:rsidRPr="00417344">
        <w:rPr>
          <w:rFonts w:cs="Times New Roman"/>
          <w:lang w:val="fr-CA"/>
        </w:rPr>
        <w:t xml:space="preserve">employé dans les lois </w:t>
      </w:r>
      <w:proofErr w:type="spellStart"/>
      <w:r w:rsidRPr="00417344">
        <w:rPr>
          <w:rFonts w:cs="Times New Roman"/>
          <w:lang w:val="fr-CA"/>
        </w:rPr>
        <w:t>antidiscrimination</w:t>
      </w:r>
      <w:proofErr w:type="spellEnd"/>
      <w:r w:rsidRPr="00417344">
        <w:rPr>
          <w:rFonts w:cs="Times New Roman"/>
          <w:lang w:val="fr-CA"/>
        </w:rPr>
        <w:t xml:space="preserve"> d’Australie et de </w:t>
      </w:r>
      <w:r w:rsidRPr="005A5F28">
        <w:rPr>
          <w:rFonts w:cs="Times New Roman"/>
          <w:lang w:val="fr-CA"/>
        </w:rPr>
        <w:t>Nouvelle</w:t>
      </w:r>
      <w:r w:rsidR="00684BD3">
        <w:rPr>
          <w:rFonts w:cs="Times New Roman"/>
          <w:lang w:val="fr-CA"/>
        </w:rPr>
        <w:t>-</w:t>
      </w:r>
      <w:r w:rsidRPr="005A5F28">
        <w:rPr>
          <w:rFonts w:cs="Times New Roman"/>
          <w:lang w:val="fr-CA"/>
        </w:rPr>
        <w:t>Zélande</w:t>
      </w:r>
      <w:r w:rsidR="00684BD3">
        <w:rPr>
          <w:rFonts w:cs="Times New Roman"/>
          <w:lang w:val="fr-CA"/>
        </w:rPr>
        <w:t> :</w:t>
      </w:r>
      <w:r w:rsidRPr="005A5F28">
        <w:rPr>
          <w:rFonts w:cs="Times New Roman"/>
          <w:lang w:val="fr-CA"/>
        </w:rPr>
        <w:t xml:space="preserve"> </w:t>
      </w:r>
      <w:proofErr w:type="spellStart"/>
      <w:r w:rsidRPr="005A5F28">
        <w:rPr>
          <w:rFonts w:cs="Times New Roman"/>
          <w:i/>
          <w:lang w:val="fr-CA"/>
        </w:rPr>
        <w:t>Sex</w:t>
      </w:r>
      <w:proofErr w:type="spellEnd"/>
      <w:r w:rsidRPr="005A5F28">
        <w:rPr>
          <w:rFonts w:cs="Times New Roman"/>
          <w:i/>
          <w:lang w:val="fr-CA"/>
        </w:rPr>
        <w:t xml:space="preserve"> Discrimination </w:t>
      </w:r>
      <w:proofErr w:type="spellStart"/>
      <w:r w:rsidRPr="005A5F28">
        <w:rPr>
          <w:rFonts w:cs="Times New Roman"/>
          <w:i/>
          <w:lang w:val="fr-CA"/>
        </w:rPr>
        <w:t>Act</w:t>
      </w:r>
      <w:proofErr w:type="spellEnd"/>
      <w:r w:rsidRPr="005A5F28">
        <w:rPr>
          <w:rFonts w:cs="Times New Roman"/>
          <w:i/>
          <w:lang w:val="fr-CA"/>
        </w:rPr>
        <w:t xml:space="preserve"> 1984 </w:t>
      </w:r>
      <w:r w:rsidRPr="005A5F28">
        <w:rPr>
          <w:rFonts w:cs="Times New Roman"/>
          <w:lang w:val="fr-CA"/>
        </w:rPr>
        <w:t>(Cth.), No.</w:t>
      </w:r>
      <w:r w:rsidR="00684BD3">
        <w:rPr>
          <w:rFonts w:cs="Times New Roman"/>
          <w:lang w:val="fr-CA"/>
        </w:rPr>
        <w:t xml:space="preserve"> </w:t>
      </w:r>
      <w:r w:rsidRPr="005A5F28">
        <w:rPr>
          <w:rFonts w:cs="Times New Roman"/>
          <w:lang w:val="fr-CA"/>
        </w:rPr>
        <w:t>4, art.</w:t>
      </w:r>
      <w:r w:rsidR="00684BD3">
        <w:rPr>
          <w:rFonts w:cs="Times New Roman"/>
          <w:lang w:val="fr-CA"/>
        </w:rPr>
        <w:t xml:space="preserve"> </w:t>
      </w:r>
      <w:r w:rsidRPr="005A5F28">
        <w:rPr>
          <w:rFonts w:cs="Times New Roman"/>
          <w:lang w:val="fr-CA"/>
        </w:rPr>
        <w:t xml:space="preserve">17; </w:t>
      </w:r>
      <w:proofErr w:type="spellStart"/>
      <w:r w:rsidRPr="005A5F28">
        <w:rPr>
          <w:rFonts w:cs="Times New Roman"/>
          <w:i/>
          <w:lang w:val="fr-CA"/>
        </w:rPr>
        <w:t>Disability</w:t>
      </w:r>
      <w:proofErr w:type="spellEnd"/>
      <w:r w:rsidRPr="005A5F28">
        <w:rPr>
          <w:rFonts w:cs="Times New Roman"/>
          <w:i/>
          <w:lang w:val="fr-CA"/>
        </w:rPr>
        <w:t xml:space="preserve"> Discrimination </w:t>
      </w:r>
      <w:proofErr w:type="spellStart"/>
      <w:r w:rsidRPr="005A5F28">
        <w:rPr>
          <w:rFonts w:cs="Times New Roman"/>
          <w:i/>
          <w:lang w:val="fr-CA"/>
        </w:rPr>
        <w:t>Act</w:t>
      </w:r>
      <w:proofErr w:type="spellEnd"/>
      <w:r w:rsidRPr="005A5F28">
        <w:rPr>
          <w:rFonts w:cs="Times New Roman"/>
          <w:i/>
          <w:lang w:val="fr-CA"/>
        </w:rPr>
        <w:t xml:space="preserve"> 1992 </w:t>
      </w:r>
      <w:r w:rsidRPr="005A5F28">
        <w:rPr>
          <w:rFonts w:cs="Times New Roman"/>
          <w:lang w:val="fr-CA"/>
        </w:rPr>
        <w:t>(Cth.), No.</w:t>
      </w:r>
      <w:r w:rsidR="00684BD3">
        <w:rPr>
          <w:rFonts w:cs="Times New Roman"/>
          <w:lang w:val="fr-CA"/>
        </w:rPr>
        <w:t xml:space="preserve"> </w:t>
      </w:r>
      <w:r w:rsidRPr="005A5F28">
        <w:rPr>
          <w:rFonts w:cs="Times New Roman"/>
          <w:lang w:val="fr-CA"/>
        </w:rPr>
        <w:t>135, art.</w:t>
      </w:r>
      <w:r w:rsidR="00684BD3">
        <w:rPr>
          <w:rFonts w:cs="Times New Roman"/>
          <w:lang w:val="fr-CA"/>
        </w:rPr>
        <w:t xml:space="preserve"> </w:t>
      </w:r>
      <w:r w:rsidRPr="005A5F28">
        <w:rPr>
          <w:rFonts w:cs="Times New Roman"/>
          <w:lang w:val="fr-CA"/>
        </w:rPr>
        <w:t xml:space="preserve">18; </w:t>
      </w:r>
      <w:r w:rsidRPr="005A5F28">
        <w:rPr>
          <w:rFonts w:cs="Times New Roman"/>
          <w:i/>
          <w:lang w:val="fr-CA"/>
        </w:rPr>
        <w:t xml:space="preserve">Age Discrimination </w:t>
      </w:r>
      <w:proofErr w:type="spellStart"/>
      <w:r w:rsidRPr="005A5F28">
        <w:rPr>
          <w:rFonts w:cs="Times New Roman"/>
          <w:i/>
          <w:lang w:val="fr-CA"/>
        </w:rPr>
        <w:t>Act</w:t>
      </w:r>
      <w:proofErr w:type="spellEnd"/>
      <w:r w:rsidRPr="005A5F28">
        <w:rPr>
          <w:rFonts w:cs="Times New Roman"/>
          <w:i/>
          <w:lang w:val="fr-CA"/>
        </w:rPr>
        <w:t xml:space="preserve"> </w:t>
      </w:r>
      <w:r w:rsidRPr="005A5F28">
        <w:rPr>
          <w:rFonts w:cs="Times New Roman"/>
          <w:i/>
          <w:lang w:val="fr-CA"/>
        </w:rPr>
        <w:lastRenderedPageBreak/>
        <w:t xml:space="preserve">2004 </w:t>
      </w:r>
      <w:r w:rsidRPr="005A5F28">
        <w:rPr>
          <w:rFonts w:cs="Times New Roman"/>
          <w:lang w:val="fr-CA"/>
        </w:rPr>
        <w:t xml:space="preserve">(Cth.), </w:t>
      </w:r>
      <w:r w:rsidR="00B054F8">
        <w:rPr>
          <w:rFonts w:cs="Times New Roman"/>
          <w:lang w:val="fr-CA"/>
        </w:rPr>
        <w:t xml:space="preserve">No. 68, </w:t>
      </w:r>
      <w:r w:rsidRPr="005A5F28">
        <w:rPr>
          <w:rFonts w:cs="Times New Roman"/>
          <w:lang w:val="fr-CA"/>
        </w:rPr>
        <w:t>art.</w:t>
      </w:r>
      <w:r w:rsidR="00684BD3">
        <w:rPr>
          <w:rFonts w:cs="Times New Roman"/>
          <w:lang w:val="fr-CA"/>
        </w:rPr>
        <w:t xml:space="preserve"> </w:t>
      </w:r>
      <w:r w:rsidRPr="005A5F28">
        <w:rPr>
          <w:rFonts w:cs="Times New Roman"/>
          <w:lang w:val="fr-CA"/>
        </w:rPr>
        <w:t xml:space="preserve">21; </w:t>
      </w:r>
      <w:r w:rsidRPr="005A5F28">
        <w:rPr>
          <w:rFonts w:cs="Times New Roman"/>
          <w:i/>
          <w:lang w:val="fr-CA"/>
        </w:rPr>
        <w:t>Anti</w:t>
      </w:r>
      <w:r w:rsidR="00684BD3">
        <w:rPr>
          <w:rFonts w:cs="Times New Roman"/>
          <w:i/>
          <w:lang w:val="fr-CA"/>
        </w:rPr>
        <w:t>-</w:t>
      </w:r>
      <w:r w:rsidRPr="005A5F28">
        <w:rPr>
          <w:rFonts w:cs="Times New Roman"/>
          <w:i/>
          <w:lang w:val="fr-CA"/>
        </w:rPr>
        <w:t xml:space="preserve">Discrimination </w:t>
      </w:r>
      <w:proofErr w:type="spellStart"/>
      <w:r w:rsidRPr="005A5F28">
        <w:rPr>
          <w:rFonts w:cs="Times New Roman"/>
          <w:i/>
          <w:lang w:val="fr-CA"/>
        </w:rPr>
        <w:t>Act</w:t>
      </w:r>
      <w:proofErr w:type="spellEnd"/>
      <w:r w:rsidRPr="005A5F28">
        <w:rPr>
          <w:rFonts w:cs="Times New Roman"/>
          <w:i/>
          <w:lang w:val="fr-CA"/>
        </w:rPr>
        <w:t xml:space="preserve"> 1977</w:t>
      </w:r>
      <w:r w:rsidRPr="005A5F28">
        <w:rPr>
          <w:rFonts w:cs="Times New Roman"/>
          <w:lang w:val="fr-CA"/>
        </w:rPr>
        <w:t xml:space="preserve"> (N.S.W.), No.</w:t>
      </w:r>
      <w:r w:rsidR="00684BD3">
        <w:rPr>
          <w:rFonts w:cs="Times New Roman"/>
          <w:lang w:val="fr-CA"/>
        </w:rPr>
        <w:t xml:space="preserve"> </w:t>
      </w:r>
      <w:r w:rsidRPr="005A5F28">
        <w:rPr>
          <w:rFonts w:cs="Times New Roman"/>
          <w:lang w:val="fr-CA"/>
        </w:rPr>
        <w:t>48, art.</w:t>
      </w:r>
      <w:r w:rsidR="00684BD3">
        <w:rPr>
          <w:rFonts w:cs="Times New Roman"/>
          <w:lang w:val="fr-CA"/>
        </w:rPr>
        <w:t xml:space="preserve"> </w:t>
      </w:r>
      <w:r w:rsidRPr="005A5F28">
        <w:rPr>
          <w:rFonts w:cs="Times New Roman"/>
          <w:lang w:val="fr-CA"/>
        </w:rPr>
        <w:t xml:space="preserve">10A, 27A et 49G; </w:t>
      </w:r>
      <w:r w:rsidRPr="005A5F28">
        <w:rPr>
          <w:rFonts w:cs="Times New Roman"/>
          <w:i/>
          <w:lang w:val="fr-CA"/>
        </w:rPr>
        <w:t>Anti</w:t>
      </w:r>
      <w:r w:rsidR="00684BD3">
        <w:rPr>
          <w:rFonts w:cs="Times New Roman"/>
          <w:i/>
          <w:lang w:val="fr-CA"/>
        </w:rPr>
        <w:t>-</w:t>
      </w:r>
      <w:r w:rsidRPr="005A5F28">
        <w:rPr>
          <w:rFonts w:cs="Times New Roman"/>
          <w:i/>
          <w:lang w:val="fr-CA"/>
        </w:rPr>
        <w:t xml:space="preserve">Discrimination </w:t>
      </w:r>
      <w:proofErr w:type="spellStart"/>
      <w:r w:rsidRPr="005A5F28">
        <w:rPr>
          <w:rFonts w:cs="Times New Roman"/>
          <w:i/>
          <w:lang w:val="fr-CA"/>
        </w:rPr>
        <w:t>Act</w:t>
      </w:r>
      <w:proofErr w:type="spellEnd"/>
      <w:r w:rsidRPr="005A5F28">
        <w:rPr>
          <w:rFonts w:cs="Times New Roman"/>
          <w:i/>
          <w:lang w:val="fr-CA"/>
        </w:rPr>
        <w:t xml:space="preserve"> 1991</w:t>
      </w:r>
      <w:r w:rsidRPr="005A5F28">
        <w:rPr>
          <w:rFonts w:cs="Times New Roman"/>
          <w:lang w:val="fr-CA"/>
        </w:rPr>
        <w:t xml:space="preserve"> (Qld.), No.</w:t>
      </w:r>
      <w:r w:rsidR="00684BD3">
        <w:rPr>
          <w:rFonts w:cs="Times New Roman"/>
          <w:lang w:val="fr-CA"/>
        </w:rPr>
        <w:t xml:space="preserve"> </w:t>
      </w:r>
      <w:r w:rsidRPr="005A5F28">
        <w:rPr>
          <w:rFonts w:cs="Times New Roman"/>
          <w:lang w:val="fr-CA"/>
        </w:rPr>
        <w:t>85, art.</w:t>
      </w:r>
      <w:r w:rsidR="00684BD3">
        <w:rPr>
          <w:rFonts w:cs="Times New Roman"/>
          <w:lang w:val="fr-CA"/>
        </w:rPr>
        <w:t xml:space="preserve"> </w:t>
      </w:r>
      <w:r w:rsidRPr="005A5F28">
        <w:rPr>
          <w:rFonts w:cs="Times New Roman"/>
          <w:lang w:val="fr-CA"/>
        </w:rPr>
        <w:t>16</w:t>
      </w:r>
      <w:r w:rsidR="006D5E01">
        <w:rPr>
          <w:rFonts w:cs="Times New Roman"/>
          <w:lang w:val="fr-CA"/>
        </w:rPr>
        <w:t xml:space="preserve"> à </w:t>
      </w:r>
      <w:r w:rsidRPr="005A5F28">
        <w:rPr>
          <w:rFonts w:cs="Times New Roman"/>
          <w:lang w:val="fr-CA"/>
        </w:rPr>
        <w:t xml:space="preserve">18; </w:t>
      </w:r>
      <w:proofErr w:type="spellStart"/>
      <w:r w:rsidRPr="005A5F28">
        <w:rPr>
          <w:rFonts w:cs="Times New Roman"/>
          <w:i/>
          <w:lang w:val="fr-CA"/>
        </w:rPr>
        <w:t>Equal</w:t>
      </w:r>
      <w:proofErr w:type="spellEnd"/>
      <w:r w:rsidRPr="005A5F28">
        <w:rPr>
          <w:rFonts w:cs="Times New Roman"/>
          <w:i/>
          <w:lang w:val="fr-CA"/>
        </w:rPr>
        <w:t xml:space="preserve"> </w:t>
      </w:r>
      <w:proofErr w:type="spellStart"/>
      <w:r w:rsidRPr="005A5F28">
        <w:rPr>
          <w:rFonts w:cs="Times New Roman"/>
          <w:i/>
          <w:lang w:val="fr-CA"/>
        </w:rPr>
        <w:t>Opportunity</w:t>
      </w:r>
      <w:proofErr w:type="spellEnd"/>
      <w:r w:rsidRPr="005A5F28">
        <w:rPr>
          <w:rFonts w:cs="Times New Roman"/>
          <w:i/>
          <w:lang w:val="fr-CA"/>
        </w:rPr>
        <w:t xml:space="preserve"> </w:t>
      </w:r>
      <w:proofErr w:type="spellStart"/>
      <w:r w:rsidRPr="005A5F28">
        <w:rPr>
          <w:rFonts w:cs="Times New Roman"/>
          <w:i/>
          <w:lang w:val="fr-CA"/>
        </w:rPr>
        <w:t>Act</w:t>
      </w:r>
      <w:proofErr w:type="spellEnd"/>
      <w:r w:rsidRPr="005A5F28">
        <w:rPr>
          <w:rFonts w:cs="Times New Roman"/>
          <w:i/>
          <w:lang w:val="fr-CA"/>
        </w:rPr>
        <w:t xml:space="preserve"> 1984 </w:t>
      </w:r>
      <w:r w:rsidRPr="005A5F28">
        <w:rPr>
          <w:rFonts w:cs="Times New Roman"/>
          <w:lang w:val="fr-CA"/>
        </w:rPr>
        <w:t>(S.A.)</w:t>
      </w:r>
      <w:r w:rsidR="00B054F8">
        <w:rPr>
          <w:rFonts w:cs="Times New Roman"/>
          <w:lang w:val="fr-CA"/>
        </w:rPr>
        <w:t>,</w:t>
      </w:r>
      <w:r w:rsidRPr="005A5F28">
        <w:rPr>
          <w:rFonts w:cs="Times New Roman"/>
          <w:lang w:val="fr-CA"/>
        </w:rPr>
        <w:t xml:space="preserve"> art.</w:t>
      </w:r>
      <w:r w:rsidR="00684BD3">
        <w:rPr>
          <w:rFonts w:cs="Times New Roman"/>
          <w:lang w:val="fr-CA"/>
        </w:rPr>
        <w:t xml:space="preserve"> </w:t>
      </w:r>
      <w:r w:rsidRPr="005A5F28">
        <w:rPr>
          <w:rFonts w:cs="Times New Roman"/>
          <w:lang w:val="fr-CA"/>
        </w:rPr>
        <w:t xml:space="preserve">33, 55 et 70; </w:t>
      </w:r>
      <w:proofErr w:type="spellStart"/>
      <w:r w:rsidRPr="005A5F28">
        <w:rPr>
          <w:rFonts w:cs="Times New Roman"/>
          <w:i/>
          <w:lang w:val="fr-CA"/>
        </w:rPr>
        <w:t>Equal</w:t>
      </w:r>
      <w:proofErr w:type="spellEnd"/>
      <w:r w:rsidRPr="005A5F28">
        <w:rPr>
          <w:rFonts w:cs="Times New Roman"/>
          <w:i/>
          <w:lang w:val="fr-CA"/>
        </w:rPr>
        <w:t xml:space="preserve"> </w:t>
      </w:r>
      <w:proofErr w:type="spellStart"/>
      <w:r w:rsidRPr="005A5F28">
        <w:rPr>
          <w:rFonts w:cs="Times New Roman"/>
          <w:i/>
          <w:lang w:val="fr-CA"/>
        </w:rPr>
        <w:t>Opportunity</w:t>
      </w:r>
      <w:proofErr w:type="spellEnd"/>
      <w:r w:rsidRPr="005A5F28">
        <w:rPr>
          <w:rFonts w:cs="Times New Roman"/>
          <w:i/>
          <w:lang w:val="fr-CA"/>
        </w:rPr>
        <w:t xml:space="preserve"> </w:t>
      </w:r>
      <w:proofErr w:type="spellStart"/>
      <w:r w:rsidRPr="005A5F28">
        <w:rPr>
          <w:rFonts w:cs="Times New Roman"/>
          <w:i/>
          <w:lang w:val="fr-CA"/>
        </w:rPr>
        <w:t>Act</w:t>
      </w:r>
      <w:proofErr w:type="spellEnd"/>
      <w:r w:rsidRPr="005A5F28">
        <w:rPr>
          <w:rFonts w:cs="Times New Roman"/>
          <w:i/>
          <w:lang w:val="fr-CA"/>
        </w:rPr>
        <w:t xml:space="preserve"> 2010 </w:t>
      </w:r>
      <w:r w:rsidRPr="005A5F28">
        <w:rPr>
          <w:rFonts w:cs="Times New Roman"/>
          <w:lang w:val="fr-CA"/>
        </w:rPr>
        <w:t>(Vic.), No.</w:t>
      </w:r>
      <w:r w:rsidR="00684BD3">
        <w:rPr>
          <w:rFonts w:cs="Times New Roman"/>
          <w:lang w:val="fr-CA"/>
        </w:rPr>
        <w:t xml:space="preserve"> </w:t>
      </w:r>
      <w:r w:rsidRPr="005A5F28">
        <w:rPr>
          <w:rFonts w:cs="Times New Roman"/>
          <w:lang w:val="fr-CA"/>
        </w:rPr>
        <w:t>16, art.</w:t>
      </w:r>
      <w:r w:rsidR="00684BD3">
        <w:rPr>
          <w:rFonts w:cs="Times New Roman"/>
          <w:lang w:val="fr-CA"/>
        </w:rPr>
        <w:t xml:space="preserve"> </w:t>
      </w:r>
      <w:r w:rsidRPr="005A5F28">
        <w:rPr>
          <w:rFonts w:cs="Times New Roman"/>
          <w:lang w:val="fr-CA"/>
        </w:rPr>
        <w:t>30</w:t>
      </w:r>
      <w:r w:rsidR="006D5E01">
        <w:rPr>
          <w:rFonts w:cs="Times New Roman"/>
          <w:lang w:val="fr-CA"/>
        </w:rPr>
        <w:t xml:space="preserve"> et </w:t>
      </w:r>
      <w:r w:rsidRPr="005A5F28">
        <w:rPr>
          <w:rFonts w:cs="Times New Roman"/>
          <w:lang w:val="fr-CA"/>
        </w:rPr>
        <w:t xml:space="preserve">31; </w:t>
      </w:r>
      <w:proofErr w:type="spellStart"/>
      <w:r w:rsidRPr="005A5F28">
        <w:rPr>
          <w:rFonts w:cs="Times New Roman"/>
          <w:i/>
          <w:lang w:val="fr-CA"/>
        </w:rPr>
        <w:t>Equal</w:t>
      </w:r>
      <w:proofErr w:type="spellEnd"/>
      <w:r w:rsidRPr="005A5F28">
        <w:rPr>
          <w:rFonts w:cs="Times New Roman"/>
          <w:i/>
          <w:lang w:val="fr-CA"/>
        </w:rPr>
        <w:t xml:space="preserve"> </w:t>
      </w:r>
      <w:proofErr w:type="spellStart"/>
      <w:r w:rsidRPr="005A5F28">
        <w:rPr>
          <w:rFonts w:cs="Times New Roman"/>
          <w:i/>
          <w:lang w:val="fr-CA"/>
        </w:rPr>
        <w:t>Opportunity</w:t>
      </w:r>
      <w:proofErr w:type="spellEnd"/>
      <w:r w:rsidRPr="005A5F28">
        <w:rPr>
          <w:rFonts w:cs="Times New Roman"/>
          <w:i/>
          <w:lang w:val="fr-CA"/>
        </w:rPr>
        <w:t xml:space="preserve"> </w:t>
      </w:r>
      <w:proofErr w:type="spellStart"/>
      <w:r w:rsidRPr="005A5F28">
        <w:rPr>
          <w:rFonts w:cs="Times New Roman"/>
          <w:i/>
          <w:lang w:val="fr-CA"/>
        </w:rPr>
        <w:t>Act</w:t>
      </w:r>
      <w:proofErr w:type="spellEnd"/>
      <w:r w:rsidRPr="005A5F28">
        <w:rPr>
          <w:rFonts w:cs="Times New Roman"/>
          <w:i/>
          <w:lang w:val="fr-CA"/>
        </w:rPr>
        <w:t xml:space="preserve"> 1984 </w:t>
      </w:r>
      <w:r w:rsidRPr="005A5F28">
        <w:rPr>
          <w:rFonts w:cs="Times New Roman"/>
          <w:lang w:val="fr-CA"/>
        </w:rPr>
        <w:t>(W.A.), art.</w:t>
      </w:r>
      <w:r w:rsidR="00684BD3">
        <w:rPr>
          <w:rFonts w:cs="Times New Roman"/>
          <w:lang w:val="fr-CA"/>
        </w:rPr>
        <w:t xml:space="preserve"> </w:t>
      </w:r>
      <w:r w:rsidRPr="005A5F28">
        <w:rPr>
          <w:rFonts w:cs="Times New Roman"/>
          <w:lang w:val="fr-CA"/>
        </w:rPr>
        <w:t xml:space="preserve">14, 40 et 66E; </w:t>
      </w:r>
      <w:proofErr w:type="spellStart"/>
      <w:r w:rsidRPr="005A5F28">
        <w:rPr>
          <w:rFonts w:cs="Times New Roman"/>
          <w:i/>
          <w:lang w:val="fr-CA"/>
        </w:rPr>
        <w:t>Human</w:t>
      </w:r>
      <w:proofErr w:type="spellEnd"/>
      <w:r w:rsidRPr="005A5F28">
        <w:rPr>
          <w:rFonts w:cs="Times New Roman"/>
          <w:i/>
          <w:lang w:val="fr-CA"/>
        </w:rPr>
        <w:t xml:space="preserve"> </w:t>
      </w:r>
      <w:proofErr w:type="spellStart"/>
      <w:r w:rsidRPr="005A5F28">
        <w:rPr>
          <w:rFonts w:cs="Times New Roman"/>
          <w:i/>
          <w:lang w:val="fr-CA"/>
        </w:rPr>
        <w:t>Rights</w:t>
      </w:r>
      <w:proofErr w:type="spellEnd"/>
      <w:r w:rsidRPr="005A5F28">
        <w:rPr>
          <w:rFonts w:cs="Times New Roman"/>
          <w:i/>
          <w:lang w:val="fr-CA"/>
        </w:rPr>
        <w:t xml:space="preserve"> </w:t>
      </w:r>
      <w:proofErr w:type="spellStart"/>
      <w:r w:rsidRPr="005A5F28">
        <w:rPr>
          <w:rFonts w:cs="Times New Roman"/>
          <w:i/>
          <w:lang w:val="fr-CA"/>
        </w:rPr>
        <w:t>Act</w:t>
      </w:r>
      <w:proofErr w:type="spellEnd"/>
      <w:r w:rsidRPr="005A5F28">
        <w:rPr>
          <w:rFonts w:cs="Times New Roman"/>
          <w:i/>
          <w:lang w:val="fr-CA"/>
        </w:rPr>
        <w:t xml:space="preserve"> 1993 </w:t>
      </w:r>
      <w:r w:rsidRPr="005A5F28">
        <w:rPr>
          <w:rFonts w:cs="Times New Roman"/>
          <w:lang w:val="fr-CA"/>
        </w:rPr>
        <w:t>(N.</w:t>
      </w:r>
      <w:r w:rsidR="00684BD3">
        <w:rPr>
          <w:rFonts w:cs="Times New Roman"/>
          <w:lang w:val="fr-CA"/>
        </w:rPr>
        <w:t>-</w:t>
      </w:r>
      <w:r w:rsidRPr="005A5F28">
        <w:rPr>
          <w:rFonts w:cs="Times New Roman"/>
          <w:lang w:val="fr-CA"/>
        </w:rPr>
        <w:t xml:space="preserve">Z.), </w:t>
      </w:r>
      <w:r w:rsidR="006D5E01">
        <w:rPr>
          <w:rFonts w:cs="Times New Roman"/>
          <w:lang w:val="fr-CA"/>
        </w:rPr>
        <w:t xml:space="preserve">1993, </w:t>
      </w:r>
      <w:r w:rsidRPr="005A5F28">
        <w:rPr>
          <w:rFonts w:cs="Times New Roman"/>
          <w:lang w:val="fr-CA"/>
        </w:rPr>
        <w:t>No.</w:t>
      </w:r>
      <w:r w:rsidR="00684BD3">
        <w:rPr>
          <w:rFonts w:cs="Times New Roman"/>
          <w:lang w:val="fr-CA"/>
        </w:rPr>
        <w:t xml:space="preserve"> </w:t>
      </w:r>
      <w:r w:rsidRPr="005A5F28">
        <w:rPr>
          <w:rFonts w:cs="Times New Roman"/>
          <w:lang w:val="fr-CA"/>
        </w:rPr>
        <w:t>82, art.</w:t>
      </w:r>
      <w:r w:rsidR="00684BD3">
        <w:rPr>
          <w:rFonts w:cs="Times New Roman"/>
          <w:lang w:val="fr-CA"/>
        </w:rPr>
        <w:t xml:space="preserve"> </w:t>
      </w:r>
      <w:r w:rsidRPr="005A5F28">
        <w:rPr>
          <w:rFonts w:cs="Times New Roman"/>
          <w:lang w:val="fr-CA"/>
        </w:rPr>
        <w:t>36.</w:t>
      </w:r>
    </w:p>
    <w:p w:rsidR="0018307E" w:rsidRPr="00417344" w:rsidRDefault="0018307E" w:rsidP="0018307E">
      <w:pPr>
        <w:pStyle w:val="ParaNoNdepar-AltN"/>
        <w:rPr>
          <w:rFonts w:eastAsiaTheme="minorHAnsi" w:cs="Times New Roman"/>
          <w:lang w:val="fr-CA" w:bidi="en-US"/>
        </w:rPr>
      </w:pPr>
      <w:r w:rsidRPr="00417344">
        <w:rPr>
          <w:rStyle w:val="SCCCoramChar"/>
          <w:rFonts w:cs="Times New Roman"/>
          <w:lang w:val="fr-CA"/>
        </w:rPr>
        <w:t>Bien que, en raison de la structure et des protections normalement associées aux sociétés de personnes, il y ait rarement relation d’emploi entre ces sociétés et leurs associés participants</w:t>
      </w:r>
      <w:r w:rsidR="006D5E01">
        <w:rPr>
          <w:rStyle w:val="SCCCoramChar"/>
          <w:rFonts w:cs="Times New Roman"/>
          <w:lang w:val="fr-CA"/>
        </w:rPr>
        <w:t xml:space="preserve"> visée par les lois sur les droits de la personne</w:t>
      </w:r>
      <w:r w:rsidRPr="00417344">
        <w:rPr>
          <w:rStyle w:val="SCCCoramChar"/>
          <w:rFonts w:cs="Times New Roman"/>
          <w:lang w:val="fr-CA"/>
        </w:rPr>
        <w:t>, cela ne signifie pas qu’il faille laisser la forme l’emporter sur le fond.  Dans le cas qui nous occupe, par exemple, la Cour d’appel semble s’être attachée exclusivement à la société de personnes en tant que concept juridique, au lieu d’examiner la substance de la relation qui existait dans les faits ainsi que la mesure dans laquelle les facteurs de contrôle et de dépendance jouaient un rôle.</w:t>
      </w:r>
    </w:p>
    <w:p w:rsidR="0018307E" w:rsidRPr="00417344" w:rsidRDefault="0018307E" w:rsidP="0018307E">
      <w:pPr>
        <w:pStyle w:val="ParaNoNdepar-AltN"/>
        <w:rPr>
          <w:rFonts w:cs="Times New Roman"/>
          <w:lang w:val="fr-CA"/>
        </w:rPr>
      </w:pPr>
      <w:r w:rsidRPr="00417344">
        <w:rPr>
          <w:rFonts w:cs="Times New Roman"/>
          <w:lang w:val="fr-CA"/>
        </w:rPr>
        <w:t>Appliquant maintenant l’analyse fondée sur les notions de contrôle et de dépendance à la relation entre M.</w:t>
      </w:r>
      <w:r w:rsidR="00684BD3">
        <w:rPr>
          <w:rFonts w:cs="Times New Roman"/>
          <w:lang w:val="fr-CA"/>
        </w:rPr>
        <w:t xml:space="preserve"> </w:t>
      </w:r>
      <w:r w:rsidRPr="00417344">
        <w:rPr>
          <w:rFonts w:cs="Times New Roman"/>
          <w:lang w:val="fr-CA"/>
        </w:rPr>
        <w:t xml:space="preserve">McCormick et la société de personnes à laquelle il appartenait, compte tenu de l’intérêt financier de M. McCormick dans la société, de sa participation aux bénéfices et aux pertes ainsi que de son droit de prendre part à la gestion, je le considère davantage comme une personne qui exerçait un pouvoir de contrôle sur les décisions relatives aux conditions de travail, plutôt que comme une personne qui était soumise à ces décisions.  En tant qu’associé participant, il faisait partie du groupe qui contrôlait la société, et non des personnes vulnérables à l’exercice de ce pouvoir de contrôle. </w:t>
      </w:r>
    </w:p>
    <w:p w:rsidR="0018307E" w:rsidRPr="00417344" w:rsidRDefault="0018307E" w:rsidP="0018307E">
      <w:pPr>
        <w:pStyle w:val="ParaNoNdepar-AltN"/>
        <w:rPr>
          <w:rFonts w:cs="Times New Roman"/>
          <w:lang w:val="fr-CA"/>
        </w:rPr>
      </w:pPr>
      <w:r w:rsidRPr="00417344">
        <w:rPr>
          <w:rFonts w:cs="Times New Roman"/>
          <w:lang w:val="fr-CA"/>
        </w:rPr>
        <w:lastRenderedPageBreak/>
        <w:t xml:space="preserve">Il est vrai que </w:t>
      </w:r>
      <w:proofErr w:type="spellStart"/>
      <w:r w:rsidRPr="00417344">
        <w:rPr>
          <w:rFonts w:cs="Times New Roman"/>
          <w:lang w:val="fr-CA"/>
        </w:rPr>
        <w:t>Fasken</w:t>
      </w:r>
      <w:proofErr w:type="spellEnd"/>
      <w:r w:rsidRPr="00417344">
        <w:rPr>
          <w:rFonts w:cs="Times New Roman"/>
          <w:lang w:val="fr-CA"/>
        </w:rPr>
        <w:t xml:space="preserve"> Martineau avait établi certaines règles administratives auxquelles M.</w:t>
      </w:r>
      <w:r w:rsidR="00684BD3">
        <w:rPr>
          <w:rFonts w:cs="Times New Roman"/>
          <w:lang w:val="fr-CA"/>
        </w:rPr>
        <w:t xml:space="preserve"> </w:t>
      </w:r>
      <w:r w:rsidRPr="00417344">
        <w:rPr>
          <w:rFonts w:cs="Times New Roman"/>
          <w:lang w:val="fr-CA"/>
        </w:rPr>
        <w:t>McCormick était assujetti, mais ces règles n’avaient pas pour effet de transformer la substance de la relation et de faire de celle</w:t>
      </w:r>
      <w:r w:rsidR="00684BD3">
        <w:rPr>
          <w:rFonts w:cs="Times New Roman"/>
          <w:lang w:val="fr-CA"/>
        </w:rPr>
        <w:t>-</w:t>
      </w:r>
      <w:r w:rsidRPr="00417344">
        <w:rPr>
          <w:rFonts w:cs="Times New Roman"/>
          <w:lang w:val="fr-CA"/>
        </w:rPr>
        <w:t xml:space="preserve">ci une relation de subordination ou de dépendance.  Les comités de gestion et de rémunération sont des mécanismes nécessaires à la mise en œuvre et à la coordination des politiques du cabinet; ils ne limitent pas l’autonomie des associés.  Le Conseil d’administration, les associés directeurs régionaux et les comités de rémunération de </w:t>
      </w:r>
      <w:proofErr w:type="spellStart"/>
      <w:r w:rsidRPr="00417344">
        <w:rPr>
          <w:rFonts w:cs="Times New Roman"/>
          <w:lang w:val="fr-CA"/>
        </w:rPr>
        <w:t>Fasken</w:t>
      </w:r>
      <w:proofErr w:type="spellEnd"/>
      <w:r w:rsidRPr="00417344">
        <w:rPr>
          <w:rFonts w:cs="Times New Roman"/>
          <w:lang w:val="fr-CA"/>
        </w:rPr>
        <w:t xml:space="preserve"> Martineau étaient tous, directement ou indirectement, comptables devant la société dans son ensemble et contrôlés par celle</w:t>
      </w:r>
      <w:r w:rsidR="00684BD3">
        <w:rPr>
          <w:rFonts w:cs="Times New Roman"/>
          <w:lang w:val="fr-CA"/>
        </w:rPr>
        <w:t>-</w:t>
      </w:r>
      <w:r w:rsidRPr="00417344">
        <w:rPr>
          <w:rFonts w:cs="Times New Roman"/>
          <w:lang w:val="fr-CA"/>
        </w:rPr>
        <w:t>ci, société dont M.</w:t>
      </w:r>
      <w:r w:rsidR="00684BD3">
        <w:rPr>
          <w:rFonts w:cs="Times New Roman"/>
          <w:lang w:val="fr-CA"/>
        </w:rPr>
        <w:t xml:space="preserve"> </w:t>
      </w:r>
      <w:r w:rsidRPr="00417344">
        <w:rPr>
          <w:rFonts w:cs="Times New Roman"/>
          <w:lang w:val="fr-CA"/>
        </w:rPr>
        <w:t xml:space="preserve">McCormick était un membre à part entière et au sein de laquelle il jouissait de la pleine égalité.  Aux termes du </w:t>
      </w:r>
      <w:r w:rsidR="006D5E01">
        <w:rPr>
          <w:rFonts w:cs="Times New Roman"/>
          <w:lang w:val="fr-CA"/>
        </w:rPr>
        <w:t>C</w:t>
      </w:r>
      <w:r w:rsidRPr="00417344">
        <w:rPr>
          <w:rFonts w:cs="Times New Roman"/>
          <w:lang w:val="fr-CA"/>
        </w:rPr>
        <w:t xml:space="preserve">ontrat de société, la plupart des décisions importantes, </w:t>
      </w:r>
      <w:r w:rsidRPr="00417344">
        <w:rPr>
          <w:rFonts w:cs="Times New Roman"/>
          <w:i/>
          <w:lang w:val="fr-CA"/>
        </w:rPr>
        <w:t>y compris celles ayant trait à la politique de départ à la retraite obligatoire</w:t>
      </w:r>
      <w:r w:rsidRPr="00417344">
        <w:rPr>
          <w:rFonts w:cs="Times New Roman"/>
          <w:lang w:val="fr-CA"/>
        </w:rPr>
        <w:t>, devaient faire l’objet d’un vote de la société dans le cadre duquel tous les associés, y compris M.</w:t>
      </w:r>
      <w:r w:rsidR="00684BD3">
        <w:rPr>
          <w:rFonts w:cs="Times New Roman"/>
          <w:lang w:val="fr-CA"/>
        </w:rPr>
        <w:t xml:space="preserve"> </w:t>
      </w:r>
      <w:r w:rsidRPr="00417344">
        <w:rPr>
          <w:rFonts w:cs="Times New Roman"/>
          <w:lang w:val="fr-CA"/>
        </w:rPr>
        <w:t>McCormick, avaient voix égale au chapitre</w:t>
      </w:r>
      <w:r w:rsidRPr="00417344">
        <w:rPr>
          <w:rStyle w:val="FootnoteReference"/>
          <w:rFonts w:cs="Times New Roman"/>
          <w:lang w:val="fr-CA"/>
        </w:rPr>
        <w:footnoteReference w:id="16"/>
      </w:r>
      <w:r w:rsidRPr="00417344">
        <w:rPr>
          <w:rFonts w:cs="Times New Roman"/>
          <w:lang w:val="fr-CA"/>
        </w:rPr>
        <w:t xml:space="preserve">.  Monsieur McCormick était un associé participant lorsque la politique de retraite en vigueur a été adoptée, et il avait droit de voter sur la politique même qu’il conteste maintenant. </w:t>
      </w:r>
    </w:p>
    <w:p w:rsidR="0018307E" w:rsidRPr="00417344" w:rsidRDefault="0018307E" w:rsidP="0018307E">
      <w:pPr>
        <w:pStyle w:val="ParaNoNdepar-AltN"/>
        <w:rPr>
          <w:rFonts w:cs="Times New Roman"/>
          <w:lang w:val="fr-CA"/>
        </w:rPr>
      </w:pPr>
      <w:r w:rsidRPr="00417344">
        <w:rPr>
          <w:rFonts w:cs="Times New Roman"/>
          <w:lang w:val="fr-CA"/>
        </w:rPr>
        <w:t>En plus du droit de participer à la gestion de la société, M.</w:t>
      </w:r>
      <w:r w:rsidR="00684BD3">
        <w:rPr>
          <w:rFonts w:cs="Times New Roman"/>
          <w:lang w:val="fr-CA"/>
        </w:rPr>
        <w:t xml:space="preserve"> </w:t>
      </w:r>
      <w:r w:rsidRPr="00417344">
        <w:rPr>
          <w:rFonts w:cs="Times New Roman"/>
          <w:lang w:val="fr-CA"/>
        </w:rPr>
        <w:t>McCormick bénéficiait, en sa qualité d’associé participant, d’autres mesures lui accordant un pouvoir de contrôle au sein de la société, notamment les suivantes</w:t>
      </w:r>
      <w:r w:rsidR="00684BD3">
        <w:rPr>
          <w:rFonts w:cs="Times New Roman"/>
          <w:lang w:val="fr-CA"/>
        </w:rPr>
        <w:t> :</w:t>
      </w:r>
      <w:r w:rsidRPr="00417344">
        <w:rPr>
          <w:rFonts w:cs="Times New Roman"/>
          <w:lang w:val="fr-CA"/>
        </w:rPr>
        <w:t xml:space="preserve"> le droit de voter à l’élection des membres du Conseil d’administration du cabinet et de se présenter comme candidat à cette élection; l’obligation faite aux autres associés de lui rendre des comptes; le droit de ne pas faire l’objet de mesures disciplinaires ou d’être </w:t>
      </w:r>
      <w:r w:rsidRPr="00417344">
        <w:rPr>
          <w:rFonts w:cs="Times New Roman"/>
          <w:lang w:val="fr-CA"/>
        </w:rPr>
        <w:lastRenderedPageBreak/>
        <w:t>renvoyé; le droit à sa part des capitaux propres de la société à son départ de celle</w:t>
      </w:r>
      <w:r w:rsidR="00684BD3">
        <w:rPr>
          <w:rFonts w:cs="Times New Roman"/>
          <w:lang w:val="fr-CA"/>
        </w:rPr>
        <w:t>-</w:t>
      </w:r>
      <w:r w:rsidRPr="00417344">
        <w:rPr>
          <w:rFonts w:cs="Times New Roman"/>
          <w:lang w:val="fr-CA"/>
        </w:rPr>
        <w:t>ci; la protection contre l’exclusion de la société autrement qu’en vertu d’une résolution extraordinaire adoptée à une réunion de l’ensemble des associés participants et d’une résolution régionale de sa région, une mesure de protection qui, peut</w:t>
      </w:r>
      <w:r w:rsidR="00684BD3">
        <w:rPr>
          <w:rFonts w:cs="Times New Roman"/>
          <w:lang w:val="fr-CA"/>
        </w:rPr>
        <w:t>-</w:t>
      </w:r>
      <w:r w:rsidRPr="00417344">
        <w:rPr>
          <w:rFonts w:cs="Times New Roman"/>
          <w:lang w:val="fr-CA"/>
        </w:rPr>
        <w:t xml:space="preserve">on soutenir, lui accordait l’inamovibilité, puisqu’aucune preuve n’indique qu’un associé participant ait déjà été exclu de cette société de personnes. </w:t>
      </w:r>
    </w:p>
    <w:p w:rsidR="0018307E" w:rsidRPr="00417344" w:rsidRDefault="0018307E" w:rsidP="0018307E">
      <w:pPr>
        <w:pStyle w:val="ParaNoNdepar-AltN"/>
        <w:rPr>
          <w:rFonts w:cs="Times New Roman"/>
          <w:lang w:val="fr-CA"/>
        </w:rPr>
      </w:pPr>
      <w:r w:rsidRPr="00417344">
        <w:rPr>
          <w:rFonts w:cs="Times New Roman"/>
          <w:lang w:val="fr-CA"/>
        </w:rPr>
        <w:t xml:space="preserve">On ne peut pas vraiment dire non plus que M. McCormick était dans une situation de dépendance par rapport à </w:t>
      </w:r>
      <w:proofErr w:type="spellStart"/>
      <w:r w:rsidRPr="00417344">
        <w:rPr>
          <w:rFonts w:cs="Times New Roman"/>
          <w:lang w:val="fr-CA"/>
        </w:rPr>
        <w:t>Fasken</w:t>
      </w:r>
      <w:proofErr w:type="spellEnd"/>
      <w:r w:rsidRPr="00417344">
        <w:rPr>
          <w:rFonts w:cs="Times New Roman"/>
          <w:lang w:val="fr-CA"/>
        </w:rPr>
        <w:t xml:space="preserve"> Martineau.  Il est vrai que sa rémunération provenait exclusivement de la société, mais cette rémunération représentait sa part des bénéfices du cabinet conformément à sa participation financière dans celui</w:t>
      </w:r>
      <w:r w:rsidR="00684BD3">
        <w:rPr>
          <w:rFonts w:cs="Times New Roman"/>
          <w:lang w:val="fr-CA"/>
        </w:rPr>
        <w:t>-</w:t>
      </w:r>
      <w:r w:rsidRPr="00417344">
        <w:rPr>
          <w:rFonts w:cs="Times New Roman"/>
          <w:lang w:val="fr-CA"/>
        </w:rPr>
        <w:t xml:space="preserve">ci.  La société était administrée pour le bénéfice pécuniaire des associés, </w:t>
      </w:r>
      <w:r w:rsidRPr="00417344">
        <w:rPr>
          <w:rFonts w:cs="Times New Roman"/>
          <w:i/>
          <w:lang w:val="fr-CA"/>
        </w:rPr>
        <w:t>y compris</w:t>
      </w:r>
      <w:r w:rsidRPr="00417344">
        <w:rPr>
          <w:rFonts w:cs="Times New Roman"/>
          <w:lang w:val="fr-CA"/>
        </w:rPr>
        <w:t xml:space="preserve"> M.</w:t>
      </w:r>
      <w:r w:rsidR="00684BD3">
        <w:rPr>
          <w:rFonts w:cs="Times New Roman"/>
          <w:lang w:val="fr-CA"/>
        </w:rPr>
        <w:t xml:space="preserve"> </w:t>
      </w:r>
      <w:r w:rsidRPr="00417344">
        <w:rPr>
          <w:rFonts w:cs="Times New Roman"/>
          <w:lang w:val="fr-CA"/>
        </w:rPr>
        <w:t>McCormick.  Même si les revenus générés par le travail de M.</w:t>
      </w:r>
      <w:r w:rsidR="00684BD3">
        <w:rPr>
          <w:rFonts w:cs="Times New Roman"/>
          <w:lang w:val="fr-CA"/>
        </w:rPr>
        <w:t xml:space="preserve"> </w:t>
      </w:r>
      <w:r w:rsidRPr="00417344">
        <w:rPr>
          <w:rFonts w:cs="Times New Roman"/>
          <w:lang w:val="fr-CA"/>
        </w:rPr>
        <w:t>McCormick étaient mis en commun avec ceux des autres avocats du cabinet, et que la distribution des bénéfices était déterminée en dernier ressort par des comités internes, ces comités appliquaient des critères qui étaient conçus de façon à mesurer l’apport de l’associé à la société.  Monsieur McCormick tirait son revenu des bénéfices de la société et il était responsable des dettes et des pertes de celle</w:t>
      </w:r>
      <w:r w:rsidR="00684BD3">
        <w:rPr>
          <w:rFonts w:cs="Times New Roman"/>
          <w:lang w:val="fr-CA"/>
        </w:rPr>
        <w:t>-</w:t>
      </w:r>
      <w:r w:rsidRPr="00417344">
        <w:rPr>
          <w:rFonts w:cs="Times New Roman"/>
          <w:lang w:val="fr-CA"/>
        </w:rPr>
        <w:t>ci.  En outre, il possédait un compte de capital et avait droit à une part de l’actif de la société en cas de dissolution.  En fait, M.</w:t>
      </w:r>
      <w:r w:rsidR="00684BD3">
        <w:rPr>
          <w:rFonts w:cs="Times New Roman"/>
          <w:lang w:val="fr-CA"/>
        </w:rPr>
        <w:t xml:space="preserve"> </w:t>
      </w:r>
      <w:r w:rsidRPr="00417344">
        <w:rPr>
          <w:rFonts w:cs="Times New Roman"/>
          <w:lang w:val="fr-CA"/>
        </w:rPr>
        <w:t xml:space="preserve">McCormick ne travaillait pas pour le bénéfice de quelqu’un d’autre, comme le suggèrent les motifs du Tribunal, mais, en tant qu’associé participant, il exploitait avec ses associés une entreprise commune dans un but lucratif et, de ce fait, il travaillait pour son propre bénéfice. </w:t>
      </w:r>
    </w:p>
    <w:p w:rsidR="0018307E" w:rsidRPr="00417344" w:rsidRDefault="0018307E" w:rsidP="0018307E">
      <w:pPr>
        <w:pStyle w:val="ParaNoNdepar-AltN"/>
        <w:rPr>
          <w:rFonts w:cs="Times New Roman"/>
          <w:lang w:val="fr-CA"/>
        </w:rPr>
      </w:pPr>
      <w:r w:rsidRPr="00417344">
        <w:rPr>
          <w:rFonts w:cs="Times New Roman"/>
          <w:lang w:val="fr-CA"/>
        </w:rPr>
        <w:lastRenderedPageBreak/>
        <w:t xml:space="preserve">Enfin, il convient de signaler que tous les associés participants de </w:t>
      </w:r>
      <w:proofErr w:type="spellStart"/>
      <w:r w:rsidRPr="00417344">
        <w:rPr>
          <w:rFonts w:cs="Times New Roman"/>
          <w:lang w:val="fr-CA"/>
        </w:rPr>
        <w:t>Fasken</w:t>
      </w:r>
      <w:proofErr w:type="spellEnd"/>
      <w:r w:rsidRPr="00417344">
        <w:rPr>
          <w:rFonts w:cs="Times New Roman"/>
          <w:lang w:val="fr-CA"/>
        </w:rPr>
        <w:t xml:space="preserve"> Martineau auraient eu le droit de voter à l’égard d’un changement à la politique du cabinet en matière de départ obligatoire à la retraite.  La responsabilité de remédier à toute présumée iniquité appartenait donc autant à M.</w:t>
      </w:r>
      <w:r w:rsidR="00684BD3">
        <w:rPr>
          <w:rFonts w:cs="Times New Roman"/>
          <w:lang w:val="fr-CA"/>
        </w:rPr>
        <w:t xml:space="preserve"> </w:t>
      </w:r>
      <w:r w:rsidRPr="00417344">
        <w:rPr>
          <w:rFonts w:cs="Times New Roman"/>
          <w:lang w:val="fr-CA"/>
        </w:rPr>
        <w:t>McCormick qu’à tout autre associé participant.  Mais M.</w:t>
      </w:r>
      <w:r w:rsidR="00684BD3">
        <w:rPr>
          <w:rFonts w:cs="Times New Roman"/>
          <w:lang w:val="fr-CA"/>
        </w:rPr>
        <w:t xml:space="preserve"> </w:t>
      </w:r>
      <w:r w:rsidRPr="00417344">
        <w:rPr>
          <w:rFonts w:cs="Times New Roman"/>
          <w:lang w:val="fr-CA"/>
        </w:rPr>
        <w:t>McCormick a plutôt profité financièrement pendant plus de 30</w:t>
      </w:r>
      <w:r w:rsidR="00684BD3">
        <w:rPr>
          <w:rFonts w:cs="Times New Roman"/>
          <w:lang w:val="fr-CA"/>
        </w:rPr>
        <w:t xml:space="preserve"> </w:t>
      </w:r>
      <w:r w:rsidRPr="00417344">
        <w:rPr>
          <w:rFonts w:cs="Times New Roman"/>
          <w:lang w:val="fr-CA"/>
        </w:rPr>
        <w:t>ans des départs à la retraite d</w:t>
      </w:r>
      <w:r>
        <w:rPr>
          <w:rFonts w:cs="Times New Roman"/>
          <w:lang w:val="fr-CA"/>
        </w:rPr>
        <w:t>’</w:t>
      </w:r>
      <w:r w:rsidRPr="00417344">
        <w:rPr>
          <w:rFonts w:cs="Times New Roman"/>
          <w:lang w:val="fr-CA"/>
        </w:rPr>
        <w:t xml:space="preserve">autres associés.  En fait, à aucun moment ce dernier ne s’est trouvé, sous quelque aspect important que ce soit, structurellement ou concrètement, dans une relation de subordination par rapport aux autres associés participants.  </w:t>
      </w:r>
    </w:p>
    <w:p w:rsidR="0018307E" w:rsidRPr="00417344" w:rsidRDefault="0018307E" w:rsidP="0018307E">
      <w:pPr>
        <w:pStyle w:val="ParaNoNdepar-AltN"/>
        <w:rPr>
          <w:rFonts w:cs="Times New Roman"/>
          <w:lang w:val="fr-CA"/>
        </w:rPr>
      </w:pPr>
      <w:r w:rsidRPr="00417344">
        <w:rPr>
          <w:rFonts w:cs="Times New Roman"/>
          <w:lang w:val="fr-CA"/>
        </w:rPr>
        <w:t xml:space="preserve">Je comprends que le Tribunal a essayé, en appliquant les facteurs énoncés dans </w:t>
      </w:r>
      <w:r w:rsidRPr="00417344">
        <w:rPr>
          <w:rFonts w:cs="Times New Roman"/>
          <w:i/>
          <w:lang w:val="fr-CA"/>
        </w:rPr>
        <w:t>Crane</w:t>
      </w:r>
      <w:r w:rsidRPr="00417344">
        <w:rPr>
          <w:rFonts w:cs="Times New Roman"/>
          <w:lang w:val="fr-CA"/>
        </w:rPr>
        <w:t>, de saisir la relation entre M.</w:t>
      </w:r>
      <w:r w:rsidR="00684BD3">
        <w:rPr>
          <w:rFonts w:cs="Times New Roman"/>
          <w:lang w:val="fr-CA"/>
        </w:rPr>
        <w:t xml:space="preserve"> </w:t>
      </w:r>
      <w:r w:rsidRPr="00417344">
        <w:rPr>
          <w:rFonts w:cs="Times New Roman"/>
          <w:lang w:val="fr-CA"/>
        </w:rPr>
        <w:t>McCormick et le cabinet, mais dans sa démarche le Tribunal n’a pas accordé suffisamment d’attention à la question de savoir si M.</w:t>
      </w:r>
      <w:r w:rsidR="00684BD3">
        <w:rPr>
          <w:rFonts w:cs="Times New Roman"/>
          <w:lang w:val="fr-CA"/>
        </w:rPr>
        <w:t xml:space="preserve"> </w:t>
      </w:r>
      <w:r w:rsidRPr="00417344">
        <w:rPr>
          <w:rFonts w:cs="Times New Roman"/>
          <w:lang w:val="fr-CA"/>
        </w:rPr>
        <w:t>McCormick était dans</w:t>
      </w:r>
      <w:r w:rsidR="00CE035F">
        <w:rPr>
          <w:rFonts w:cs="Times New Roman"/>
          <w:lang w:val="fr-CA"/>
        </w:rPr>
        <w:t xml:space="preserve"> les</w:t>
      </w:r>
      <w:r w:rsidRPr="00417344">
        <w:rPr>
          <w:rFonts w:cs="Times New Roman"/>
          <w:lang w:val="fr-CA"/>
        </w:rPr>
        <w:t xml:space="preserve"> faits assujetti au pouvoir </w:t>
      </w:r>
      <w:r w:rsidR="00CE035F">
        <w:rPr>
          <w:rFonts w:cs="Times New Roman"/>
          <w:lang w:val="fr-CA"/>
        </w:rPr>
        <w:t xml:space="preserve">de </w:t>
      </w:r>
      <w:r w:rsidRPr="00417344">
        <w:rPr>
          <w:rFonts w:cs="Times New Roman"/>
          <w:lang w:val="fr-CA"/>
        </w:rPr>
        <w:t>contrôle d’autres personnes et dépendant de celles</w:t>
      </w:r>
      <w:r w:rsidR="00684BD3">
        <w:rPr>
          <w:rFonts w:cs="Times New Roman"/>
          <w:lang w:val="fr-CA"/>
        </w:rPr>
        <w:t>-</w:t>
      </w:r>
      <w:r w:rsidRPr="00417344">
        <w:rPr>
          <w:rFonts w:cs="Times New Roman"/>
          <w:lang w:val="fr-CA"/>
        </w:rPr>
        <w:t xml:space="preserve">ci.  À titre d’exemple, le Tribunal a analysé le </w:t>
      </w:r>
      <w:r w:rsidR="00684BD3">
        <w:rPr>
          <w:rFonts w:cs="Times New Roman"/>
          <w:lang w:val="fr-CA"/>
        </w:rPr>
        <w:t>« </w:t>
      </w:r>
      <w:r w:rsidRPr="00417344">
        <w:rPr>
          <w:rFonts w:cs="Times New Roman"/>
          <w:lang w:val="fr-CA"/>
        </w:rPr>
        <w:t>contrôle</w:t>
      </w:r>
      <w:r w:rsidR="00684BD3">
        <w:rPr>
          <w:rFonts w:cs="Times New Roman"/>
          <w:lang w:val="fr-CA"/>
        </w:rPr>
        <w:t> »</w:t>
      </w:r>
      <w:r w:rsidRPr="00417344">
        <w:rPr>
          <w:rFonts w:cs="Times New Roman"/>
          <w:lang w:val="fr-CA"/>
        </w:rPr>
        <w:t xml:space="preserve"> en tenant compte de certaines restrictions administratives imposées aux associés plutôt qu’en considérant le rapport de force sous-jacent dans la relation.  Le Tribunal a ensuite conclu que M.</w:t>
      </w:r>
      <w:r w:rsidR="00684BD3">
        <w:rPr>
          <w:rFonts w:cs="Times New Roman"/>
          <w:lang w:val="fr-CA"/>
        </w:rPr>
        <w:t xml:space="preserve"> </w:t>
      </w:r>
      <w:r w:rsidRPr="00417344">
        <w:rPr>
          <w:rFonts w:cs="Times New Roman"/>
          <w:lang w:val="fr-CA"/>
        </w:rPr>
        <w:t xml:space="preserve">McCormick était </w:t>
      </w:r>
      <w:r w:rsidR="00684BD3">
        <w:rPr>
          <w:rFonts w:cs="Times New Roman"/>
          <w:lang w:val="fr-CA"/>
        </w:rPr>
        <w:t>« </w:t>
      </w:r>
      <w:r w:rsidRPr="00417344">
        <w:rPr>
          <w:rFonts w:cs="Times New Roman"/>
          <w:lang w:val="fr-CA"/>
        </w:rPr>
        <w:t>utilisé</w:t>
      </w:r>
      <w:r w:rsidR="00684BD3">
        <w:rPr>
          <w:rFonts w:cs="Times New Roman"/>
          <w:lang w:val="fr-CA"/>
        </w:rPr>
        <w:t> »</w:t>
      </w:r>
      <w:r w:rsidRPr="00417344">
        <w:rPr>
          <w:rFonts w:cs="Times New Roman"/>
          <w:lang w:val="fr-CA"/>
        </w:rPr>
        <w:t xml:space="preserve"> et </w:t>
      </w:r>
      <w:r w:rsidR="00684BD3">
        <w:rPr>
          <w:rFonts w:cs="Times New Roman"/>
          <w:lang w:val="fr-CA"/>
        </w:rPr>
        <w:t>« </w:t>
      </w:r>
      <w:r w:rsidRPr="00417344">
        <w:rPr>
          <w:rFonts w:cs="Times New Roman"/>
          <w:lang w:val="fr-CA"/>
        </w:rPr>
        <w:t>rémunéré</w:t>
      </w:r>
      <w:r w:rsidR="00684BD3">
        <w:rPr>
          <w:rFonts w:cs="Times New Roman"/>
          <w:lang w:val="fr-CA"/>
        </w:rPr>
        <w:t> »</w:t>
      </w:r>
      <w:r w:rsidRPr="00417344">
        <w:rPr>
          <w:rFonts w:cs="Times New Roman"/>
          <w:lang w:val="fr-CA"/>
        </w:rPr>
        <w:t xml:space="preserve"> par </w:t>
      </w:r>
      <w:proofErr w:type="spellStart"/>
      <w:r w:rsidRPr="00417344">
        <w:rPr>
          <w:rFonts w:cs="Times New Roman"/>
          <w:lang w:val="fr-CA"/>
        </w:rPr>
        <w:t>Fasken</w:t>
      </w:r>
      <w:proofErr w:type="spellEnd"/>
      <w:r w:rsidRPr="00417344">
        <w:rPr>
          <w:rFonts w:cs="Times New Roman"/>
          <w:lang w:val="fr-CA"/>
        </w:rPr>
        <w:t xml:space="preserve"> Martineau, sans tenir compte du fait que la société était dirigée pour le bénéfice de ses associés participants et par ceux</w:t>
      </w:r>
      <w:r w:rsidR="00684BD3">
        <w:rPr>
          <w:rFonts w:cs="Times New Roman"/>
          <w:lang w:val="fr-CA"/>
        </w:rPr>
        <w:t>-</w:t>
      </w:r>
      <w:r w:rsidRPr="00417344">
        <w:rPr>
          <w:rFonts w:cs="Times New Roman"/>
          <w:lang w:val="fr-CA"/>
        </w:rPr>
        <w:t>ci, y compris M.</w:t>
      </w:r>
      <w:r w:rsidR="00684BD3">
        <w:rPr>
          <w:rFonts w:cs="Times New Roman"/>
          <w:lang w:val="fr-CA"/>
        </w:rPr>
        <w:t xml:space="preserve"> </w:t>
      </w:r>
      <w:r w:rsidRPr="00417344">
        <w:rPr>
          <w:rFonts w:cs="Times New Roman"/>
          <w:lang w:val="fr-CA"/>
        </w:rPr>
        <w:t xml:space="preserve">McCormick. </w:t>
      </w:r>
    </w:p>
    <w:p w:rsidR="0018307E" w:rsidRPr="00417344" w:rsidRDefault="0018307E" w:rsidP="0018307E">
      <w:pPr>
        <w:pStyle w:val="ParaNoNdepar-AltN"/>
        <w:rPr>
          <w:rFonts w:cs="Times New Roman"/>
          <w:lang w:val="fr-CA"/>
        </w:rPr>
      </w:pPr>
      <w:r w:rsidRPr="00417344">
        <w:rPr>
          <w:rFonts w:cs="Times New Roman"/>
          <w:lang w:val="fr-CA"/>
        </w:rPr>
        <w:t>Vu l’absence de véritable contrôle exercé sur M.</w:t>
      </w:r>
      <w:r w:rsidR="00684BD3">
        <w:rPr>
          <w:rFonts w:cs="Times New Roman"/>
          <w:lang w:val="fr-CA"/>
        </w:rPr>
        <w:t xml:space="preserve"> </w:t>
      </w:r>
      <w:r w:rsidRPr="00417344">
        <w:rPr>
          <w:rFonts w:cs="Times New Roman"/>
          <w:lang w:val="fr-CA"/>
        </w:rPr>
        <w:t xml:space="preserve">McCormick relativement aux décisions importantes touchant le milieu de travail, il est impossible d’affirmer qu’il existait entre lui et la société une relation d’emploi visée par le </w:t>
      </w:r>
      <w:r w:rsidRPr="00417344">
        <w:rPr>
          <w:rFonts w:cs="Times New Roman"/>
          <w:i/>
          <w:lang w:val="fr-CA"/>
        </w:rPr>
        <w:t>Code</w:t>
      </w:r>
      <w:r w:rsidRPr="00417344">
        <w:rPr>
          <w:rFonts w:cs="Times New Roman"/>
          <w:lang w:val="fr-CA"/>
        </w:rPr>
        <w:t xml:space="preserve">.  </w:t>
      </w:r>
      <w:r w:rsidRPr="00417344">
        <w:rPr>
          <w:rFonts w:cs="Times New Roman"/>
          <w:lang w:val="fr-CA"/>
        </w:rPr>
        <w:lastRenderedPageBreak/>
        <w:t xml:space="preserve">Loin d’avoir été assujetti au contrôle de </w:t>
      </w:r>
      <w:proofErr w:type="spellStart"/>
      <w:r w:rsidRPr="00417344">
        <w:rPr>
          <w:rFonts w:cs="Times New Roman"/>
          <w:lang w:val="fr-CA"/>
        </w:rPr>
        <w:t>Fasken</w:t>
      </w:r>
      <w:proofErr w:type="spellEnd"/>
      <w:r w:rsidRPr="00417344">
        <w:rPr>
          <w:rFonts w:cs="Times New Roman"/>
          <w:lang w:val="fr-CA"/>
        </w:rPr>
        <w:t xml:space="preserve"> Martineau, M.</w:t>
      </w:r>
      <w:r w:rsidR="00684BD3">
        <w:rPr>
          <w:rFonts w:cs="Times New Roman"/>
          <w:lang w:val="fr-CA"/>
        </w:rPr>
        <w:t xml:space="preserve"> </w:t>
      </w:r>
      <w:r w:rsidRPr="00417344">
        <w:rPr>
          <w:rFonts w:cs="Times New Roman"/>
          <w:lang w:val="fr-CA"/>
        </w:rPr>
        <w:t>McCormick a fait partie des associés qui contrôlaient ce cabinet, et ce, de 1979 — lorsqu’il est devenu un associé participant — jusqu’à son départ en 2012.  Le Tribunal a donc eu tort de conclure qu’il avait compétence à l’égard de la relation entre M.</w:t>
      </w:r>
      <w:r w:rsidR="00684BD3">
        <w:rPr>
          <w:rFonts w:cs="Times New Roman"/>
          <w:lang w:val="fr-CA"/>
        </w:rPr>
        <w:t xml:space="preserve"> </w:t>
      </w:r>
      <w:r w:rsidRPr="00417344">
        <w:rPr>
          <w:rFonts w:cs="Times New Roman"/>
          <w:lang w:val="fr-CA"/>
        </w:rPr>
        <w:t>McCormick et la société de personnes.</w:t>
      </w:r>
    </w:p>
    <w:p w:rsidR="0018307E" w:rsidRPr="00417344" w:rsidRDefault="0018307E" w:rsidP="0018307E">
      <w:pPr>
        <w:pStyle w:val="ParaNoNdepar-AltN"/>
        <w:rPr>
          <w:rFonts w:cs="Times New Roman"/>
          <w:lang w:val="fr-CA"/>
        </w:rPr>
      </w:pPr>
      <w:r w:rsidRPr="00417344">
        <w:rPr>
          <w:rFonts w:cs="Times New Roman"/>
          <w:lang w:val="fr-CA"/>
        </w:rPr>
        <w:t xml:space="preserve">Il ne s’ensuit pas qu’un associé au sein d’un cabinet ne </w:t>
      </w:r>
      <w:proofErr w:type="gramStart"/>
      <w:r w:rsidRPr="00417344">
        <w:rPr>
          <w:rFonts w:cs="Times New Roman"/>
          <w:lang w:val="fr-CA"/>
        </w:rPr>
        <w:t>peut</w:t>
      </w:r>
      <w:proofErr w:type="gramEnd"/>
      <w:r w:rsidRPr="00417344">
        <w:rPr>
          <w:rFonts w:cs="Times New Roman"/>
          <w:lang w:val="fr-CA"/>
        </w:rPr>
        <w:t xml:space="preserve"> jamais être considéré comme un employé visé par le </w:t>
      </w:r>
      <w:r w:rsidRPr="00417344">
        <w:rPr>
          <w:rFonts w:cs="Times New Roman"/>
          <w:i/>
          <w:lang w:val="fr-CA"/>
        </w:rPr>
        <w:t>Code</w:t>
      </w:r>
      <w:r w:rsidRPr="00417344">
        <w:rPr>
          <w:rFonts w:cs="Times New Roman"/>
          <w:lang w:val="fr-CA"/>
        </w:rPr>
        <w:t xml:space="preserve">.  Mais une telle conclusion ne serait justifiée que dans une situation </w:t>
      </w:r>
      <w:proofErr w:type="gramStart"/>
      <w:r w:rsidRPr="00417344">
        <w:rPr>
          <w:rFonts w:cs="Times New Roman"/>
          <w:lang w:val="fr-CA"/>
        </w:rPr>
        <w:t>fort</w:t>
      </w:r>
      <w:proofErr w:type="gramEnd"/>
      <w:r w:rsidRPr="00417344">
        <w:rPr>
          <w:rFonts w:cs="Times New Roman"/>
          <w:lang w:val="fr-CA"/>
        </w:rPr>
        <w:t xml:space="preserve"> différente de celle qui nous occupe, c’est</w:t>
      </w:r>
      <w:r w:rsidR="00684BD3">
        <w:rPr>
          <w:rFonts w:cs="Times New Roman"/>
          <w:lang w:val="fr-CA"/>
        </w:rPr>
        <w:t>-</w:t>
      </w:r>
      <w:r w:rsidRPr="00417344">
        <w:rPr>
          <w:rFonts w:cs="Times New Roman"/>
          <w:lang w:val="fr-CA"/>
        </w:rPr>
        <w:t>à</w:t>
      </w:r>
      <w:r w:rsidR="00684BD3">
        <w:rPr>
          <w:rFonts w:cs="Times New Roman"/>
          <w:lang w:val="fr-CA"/>
        </w:rPr>
        <w:t>-</w:t>
      </w:r>
      <w:r w:rsidRPr="00417344">
        <w:rPr>
          <w:rFonts w:cs="Times New Roman"/>
          <w:lang w:val="fr-CA"/>
        </w:rPr>
        <w:t xml:space="preserve">dire </w:t>
      </w:r>
      <w:r>
        <w:rPr>
          <w:rFonts w:cs="Times New Roman"/>
          <w:lang w:val="fr-CA"/>
        </w:rPr>
        <w:t xml:space="preserve">dans </w:t>
      </w:r>
      <w:r w:rsidRPr="00417344">
        <w:rPr>
          <w:rFonts w:cs="Times New Roman"/>
          <w:lang w:val="fr-CA"/>
        </w:rPr>
        <w:t>une situation où les pouvoirs, les droits et les protections normalement associés à une société de personnes seraient considérablement réduits.</w:t>
      </w:r>
    </w:p>
    <w:p w:rsidR="0018307E" w:rsidRPr="00417344" w:rsidRDefault="0018307E" w:rsidP="0018307E">
      <w:pPr>
        <w:pStyle w:val="ParaNoNdepar-AltN"/>
        <w:rPr>
          <w:rFonts w:cs="Times New Roman"/>
          <w:lang w:val="fr-CA"/>
        </w:rPr>
      </w:pPr>
      <w:r w:rsidRPr="00417344">
        <w:rPr>
          <w:rFonts w:cs="Times New Roman"/>
          <w:lang w:val="fr-CA"/>
        </w:rPr>
        <w:t>Toutefois, le fait qu’un associé comme M.</w:t>
      </w:r>
      <w:r w:rsidR="00684BD3">
        <w:rPr>
          <w:rFonts w:cs="Times New Roman"/>
          <w:lang w:val="fr-CA"/>
        </w:rPr>
        <w:t xml:space="preserve"> </w:t>
      </w:r>
      <w:r w:rsidRPr="00417344">
        <w:rPr>
          <w:rFonts w:cs="Times New Roman"/>
          <w:lang w:val="fr-CA"/>
        </w:rPr>
        <w:t xml:space="preserve">McCormick ne puisse obtenir de réparation en vertu du </w:t>
      </w:r>
      <w:r w:rsidRPr="00417344">
        <w:rPr>
          <w:rFonts w:cs="Times New Roman"/>
          <w:i/>
          <w:lang w:val="fr-CA"/>
        </w:rPr>
        <w:t>Code</w:t>
      </w:r>
      <w:r w:rsidRPr="00417344">
        <w:rPr>
          <w:rFonts w:cs="Times New Roman"/>
          <w:lang w:val="fr-CA"/>
        </w:rPr>
        <w:t xml:space="preserve"> ne signifie pas nécessairement que des associés n’ont aucun recours en cas de discrimination.  En effet, les associés ont, les uns envers les autres, l’obligation d’agir en toute honnêteté et bonne foi, comme le précise l’art.</w:t>
      </w:r>
      <w:r w:rsidR="00684BD3">
        <w:rPr>
          <w:rFonts w:cs="Times New Roman"/>
          <w:lang w:val="fr-CA"/>
        </w:rPr>
        <w:t xml:space="preserve"> </w:t>
      </w:r>
      <w:r w:rsidRPr="00417344">
        <w:rPr>
          <w:rFonts w:cs="Times New Roman"/>
          <w:lang w:val="fr-CA"/>
        </w:rPr>
        <w:t xml:space="preserve">22 de la </w:t>
      </w:r>
      <w:proofErr w:type="spellStart"/>
      <w:r w:rsidRPr="00417344">
        <w:rPr>
          <w:rFonts w:cs="Times New Roman"/>
          <w:i/>
          <w:lang w:val="fr-CA"/>
        </w:rPr>
        <w:t>Partnership</w:t>
      </w:r>
      <w:proofErr w:type="spellEnd"/>
      <w:r w:rsidRPr="00417344">
        <w:rPr>
          <w:rFonts w:cs="Times New Roman"/>
          <w:i/>
          <w:lang w:val="fr-CA"/>
        </w:rPr>
        <w:t xml:space="preserve"> </w:t>
      </w:r>
      <w:proofErr w:type="spellStart"/>
      <w:r w:rsidRPr="00417344">
        <w:rPr>
          <w:rFonts w:cs="Times New Roman"/>
          <w:i/>
          <w:lang w:val="fr-CA"/>
        </w:rPr>
        <w:t>Act</w:t>
      </w:r>
      <w:proofErr w:type="spellEnd"/>
      <w:r w:rsidR="00684BD3">
        <w:rPr>
          <w:rFonts w:cs="Times New Roman"/>
          <w:lang w:val="fr-CA"/>
        </w:rPr>
        <w:t> :</w:t>
      </w:r>
    </w:p>
    <w:p w:rsidR="0018307E" w:rsidRPr="00417344" w:rsidRDefault="0018307E" w:rsidP="0018307E">
      <w:pPr>
        <w:pStyle w:val="Citation-AltC"/>
        <w:tabs>
          <w:tab w:val="left" w:pos="1920"/>
        </w:tabs>
        <w:spacing w:after="240"/>
        <w:ind w:hanging="1166"/>
        <w:contextualSpacing w:val="0"/>
        <w:rPr>
          <w:rFonts w:eastAsiaTheme="minorEastAsia"/>
          <w:lang w:val="fr-CA"/>
        </w:rPr>
      </w:pPr>
      <w:r w:rsidRPr="00417344">
        <w:rPr>
          <w:rFonts w:eastAsiaTheme="minorEastAsia"/>
          <w:lang w:val="fr-CA"/>
        </w:rPr>
        <w:tab/>
        <w:t>[</w:t>
      </w:r>
      <w:r w:rsidRPr="00417344">
        <w:rPr>
          <w:rFonts w:eastAsiaTheme="minorEastAsia"/>
          <w:smallCaps/>
          <w:lang w:val="fr-CA"/>
        </w:rPr>
        <w:t>traduction</w:t>
      </w:r>
      <w:r w:rsidRPr="00417344">
        <w:rPr>
          <w:rFonts w:eastAsiaTheme="minorEastAsia"/>
          <w:lang w:val="fr-CA"/>
        </w:rPr>
        <w:t>]</w:t>
      </w:r>
    </w:p>
    <w:p w:rsidR="0018307E" w:rsidRDefault="0018307E" w:rsidP="007F388B">
      <w:pPr>
        <w:pStyle w:val="Citation-AltC"/>
        <w:ind w:left="1800" w:hanging="634"/>
        <w:rPr>
          <w:rFonts w:eastAsiaTheme="minorEastAsia"/>
          <w:lang w:val="fr-CA"/>
        </w:rPr>
      </w:pPr>
      <w:r w:rsidRPr="00417344">
        <w:rPr>
          <w:rFonts w:eastAsiaTheme="minorEastAsia"/>
          <w:b/>
          <w:lang w:val="fr-CA"/>
        </w:rPr>
        <w:t>22</w:t>
      </w:r>
      <w:r w:rsidRPr="00417344">
        <w:rPr>
          <w:rFonts w:eastAsiaTheme="minorEastAsia"/>
          <w:b/>
          <w:lang w:val="fr-CA"/>
        </w:rPr>
        <w:tab/>
      </w:r>
      <w:r w:rsidRPr="00417344">
        <w:rPr>
          <w:rFonts w:eastAsiaTheme="minorEastAsia"/>
          <w:lang w:val="fr-CA"/>
        </w:rPr>
        <w:t>(1)</w:t>
      </w:r>
      <w:r w:rsidR="00A106A4">
        <w:rPr>
          <w:rFonts w:eastAsiaTheme="minorEastAsia"/>
          <w:lang w:val="fr-CA"/>
        </w:rPr>
        <w:t xml:space="preserve"> </w:t>
      </w:r>
      <w:r w:rsidRPr="00417344">
        <w:rPr>
          <w:rFonts w:eastAsiaTheme="minorEastAsia"/>
          <w:i/>
          <w:lang w:val="fr-CA"/>
        </w:rPr>
        <w:t>Dans les affaires de la firme</w:t>
      </w:r>
      <w:r w:rsidRPr="00417344">
        <w:rPr>
          <w:rFonts w:eastAsiaTheme="minorEastAsia"/>
          <w:lang w:val="fr-CA"/>
        </w:rPr>
        <w:t xml:space="preserve">, </w:t>
      </w:r>
      <w:r w:rsidRPr="00D20B05">
        <w:rPr>
          <w:rFonts w:eastAsiaTheme="minorEastAsia"/>
          <w:lang w:val="fr-CA"/>
        </w:rPr>
        <w:t>l’associé</w:t>
      </w:r>
      <w:r w:rsidRPr="00417344">
        <w:rPr>
          <w:rFonts w:eastAsiaTheme="minorEastAsia"/>
          <w:lang w:val="fr-CA"/>
        </w:rPr>
        <w:t xml:space="preserve"> agit</w:t>
      </w:r>
      <w:r w:rsidRPr="00417344">
        <w:rPr>
          <w:rFonts w:eastAsiaTheme="minorEastAsia"/>
          <w:i/>
          <w:lang w:val="fr-CA"/>
        </w:rPr>
        <w:t xml:space="preserve"> en toute honnêteté et bonne foi envers les autres associés</w:t>
      </w:r>
      <w:r w:rsidRPr="00417344">
        <w:rPr>
          <w:rFonts w:eastAsiaTheme="minorEastAsia"/>
          <w:lang w:val="fr-CA"/>
        </w:rPr>
        <w:t>.</w:t>
      </w:r>
    </w:p>
    <w:p w:rsidR="007F388B" w:rsidRPr="00417344" w:rsidRDefault="007F388B" w:rsidP="007F388B">
      <w:pPr>
        <w:pStyle w:val="Citation-AltC"/>
        <w:ind w:left="1800" w:hanging="634"/>
        <w:rPr>
          <w:rFonts w:eastAsiaTheme="minorEastAsia"/>
          <w:lang w:val="fr-CA"/>
        </w:rPr>
      </w:pPr>
    </w:p>
    <w:p w:rsidR="0018307E" w:rsidRPr="00417344" w:rsidRDefault="0018307E" w:rsidP="007F388B">
      <w:pPr>
        <w:pStyle w:val="Citation-AltC"/>
        <w:ind w:left="1800" w:hanging="634"/>
        <w:rPr>
          <w:rFonts w:eastAsiaTheme="minorEastAsia"/>
          <w:lang w:val="fr-CA"/>
        </w:rPr>
      </w:pPr>
      <w:r w:rsidRPr="00417344">
        <w:rPr>
          <w:rFonts w:eastAsiaTheme="minorEastAsia"/>
          <w:lang w:val="fr-CA"/>
        </w:rPr>
        <w:tab/>
        <w:t>(2)</w:t>
      </w:r>
      <w:r w:rsidRPr="00417344">
        <w:rPr>
          <w:rFonts w:eastAsiaTheme="minorEastAsia"/>
          <w:lang w:val="fr-CA"/>
        </w:rPr>
        <w:tab/>
        <w:t xml:space="preserve">Les obligations </w:t>
      </w:r>
      <w:r w:rsidRPr="00F953AC">
        <w:rPr>
          <w:rFonts w:eastAsiaTheme="minorEastAsia"/>
          <w:lang w:val="fr-CA"/>
        </w:rPr>
        <w:t>imposées</w:t>
      </w:r>
      <w:r w:rsidRPr="00417344">
        <w:rPr>
          <w:rFonts w:eastAsiaTheme="minorEastAsia"/>
          <w:lang w:val="fr-CA"/>
        </w:rPr>
        <w:t xml:space="preserve"> par le présent article s’ajoutent et ne dérogent pas à tout autre texte législatif ou à toute règle de droit ou d’</w:t>
      </w:r>
      <w:proofErr w:type="spellStart"/>
      <w:r w:rsidRPr="00417344">
        <w:rPr>
          <w:rFonts w:eastAsiaTheme="minorEastAsia"/>
          <w:lang w:val="fr-CA"/>
        </w:rPr>
        <w:t>equity</w:t>
      </w:r>
      <w:proofErr w:type="spellEnd"/>
      <w:r w:rsidRPr="00417344">
        <w:rPr>
          <w:rFonts w:eastAsiaTheme="minorEastAsia"/>
          <w:lang w:val="fr-CA"/>
        </w:rPr>
        <w:t xml:space="preserve"> relative aux obligations ou aux responsabilités des associés. </w:t>
      </w:r>
    </w:p>
    <w:p w:rsidR="0018307E" w:rsidRPr="00417344" w:rsidRDefault="0018307E" w:rsidP="0018307E">
      <w:pPr>
        <w:pStyle w:val="ParaNoNdepar-AltN"/>
        <w:rPr>
          <w:rFonts w:cs="Times New Roman"/>
          <w:lang w:val="fr-CA"/>
        </w:rPr>
      </w:pPr>
      <w:r w:rsidRPr="00417344">
        <w:rPr>
          <w:rFonts w:cs="Times New Roman"/>
          <w:lang w:val="fr-CA"/>
        </w:rPr>
        <w:lastRenderedPageBreak/>
        <w:t>Cette obligation constitue une importante source de protection pour les associés</w:t>
      </w:r>
      <w:r w:rsidR="00684BD3">
        <w:rPr>
          <w:rFonts w:cs="Times New Roman"/>
          <w:lang w:val="fr-CA"/>
        </w:rPr>
        <w:t> :</w:t>
      </w:r>
      <w:r w:rsidRPr="00417344">
        <w:rPr>
          <w:rFonts w:cs="Times New Roman"/>
          <w:lang w:val="fr-CA"/>
        </w:rPr>
        <w:t xml:space="preserve"> </w:t>
      </w:r>
      <w:r w:rsidRPr="00417344">
        <w:rPr>
          <w:rFonts w:cs="Times New Roman"/>
          <w:i/>
          <w:lang w:val="fr-CA"/>
        </w:rPr>
        <w:t xml:space="preserve">Hitchcock c. </w:t>
      </w:r>
      <w:proofErr w:type="spellStart"/>
      <w:r w:rsidRPr="00417344">
        <w:rPr>
          <w:rFonts w:cs="Times New Roman"/>
          <w:i/>
          <w:lang w:val="fr-CA"/>
        </w:rPr>
        <w:t>Sykes</w:t>
      </w:r>
      <w:proofErr w:type="spellEnd"/>
      <w:r w:rsidRPr="00417344">
        <w:rPr>
          <w:rFonts w:cs="Times New Roman"/>
          <w:i/>
          <w:lang w:val="fr-CA"/>
        </w:rPr>
        <w:t xml:space="preserve"> </w:t>
      </w:r>
      <w:r w:rsidRPr="00417344">
        <w:rPr>
          <w:rFonts w:cs="Times New Roman"/>
          <w:lang w:val="fr-CA"/>
        </w:rPr>
        <w:t>(1914), 49 R.C.S. 403, p.</w:t>
      </w:r>
      <w:r w:rsidR="00684BD3">
        <w:rPr>
          <w:rFonts w:cs="Times New Roman"/>
          <w:lang w:val="fr-CA"/>
        </w:rPr>
        <w:t xml:space="preserve"> </w:t>
      </w:r>
      <w:r w:rsidRPr="00417344">
        <w:rPr>
          <w:rFonts w:cs="Times New Roman"/>
          <w:lang w:val="fr-CA"/>
        </w:rPr>
        <w:t>407;</w:t>
      </w:r>
      <w:r w:rsidRPr="00417344">
        <w:rPr>
          <w:rFonts w:cs="Times New Roman"/>
          <w:i/>
          <w:lang w:val="fr-CA"/>
        </w:rPr>
        <w:t xml:space="preserve"> Cameron c. Julien</w:t>
      </w:r>
      <w:r w:rsidRPr="00417344">
        <w:rPr>
          <w:rFonts w:cs="Times New Roman"/>
          <w:lang w:val="fr-CA"/>
        </w:rPr>
        <w:t xml:space="preserve"> (1957), 9 D.L.R. (2d) 460 (C.A. Ont.);</w:t>
      </w:r>
      <w:r w:rsidRPr="00417344">
        <w:rPr>
          <w:rFonts w:cs="Times New Roman"/>
          <w:i/>
          <w:lang w:val="fr-CA"/>
        </w:rPr>
        <w:t xml:space="preserve"> </w:t>
      </w:r>
      <w:proofErr w:type="spellStart"/>
      <w:r w:rsidRPr="00417344">
        <w:rPr>
          <w:rFonts w:cs="Times New Roman"/>
          <w:i/>
          <w:lang w:val="fr-CA"/>
        </w:rPr>
        <w:t>Rochwerg</w:t>
      </w:r>
      <w:proofErr w:type="spellEnd"/>
      <w:r w:rsidRPr="00417344">
        <w:rPr>
          <w:rFonts w:cs="Times New Roman"/>
          <w:i/>
          <w:lang w:val="fr-CA"/>
        </w:rPr>
        <w:t xml:space="preserve"> c. Truster</w:t>
      </w:r>
      <w:r w:rsidRPr="00417344">
        <w:rPr>
          <w:rFonts w:cs="Times New Roman"/>
          <w:lang w:val="fr-CA"/>
        </w:rPr>
        <w:t xml:space="preserve"> (2002), 58 O.R. (3d) 687 (C.A.).  Bien que nous ne soyons pas tenus de trancher cette question en l’espèce, l’obligation d’agir en toute bonne foi au sein d’une société de personnes pourrait fort bien être invoquée à l’égard de certaines formes de discrimination entre les associés qui représentent un désavantage arbitraire</w:t>
      </w:r>
      <w:r w:rsidR="00684BD3">
        <w:rPr>
          <w:rFonts w:cs="Times New Roman"/>
          <w:lang w:val="fr-CA"/>
        </w:rPr>
        <w:t> :</w:t>
      </w:r>
      <w:r w:rsidRPr="00417344">
        <w:rPr>
          <w:rFonts w:cs="Times New Roman"/>
          <w:lang w:val="fr-CA"/>
        </w:rPr>
        <w:t xml:space="preserve"> voir Commission de réforme du droit</w:t>
      </w:r>
      <w:r w:rsidR="007F388B">
        <w:rPr>
          <w:rFonts w:cs="Times New Roman"/>
          <w:lang w:val="fr-CA"/>
        </w:rPr>
        <w:t xml:space="preserve"> du Manitoba</w:t>
      </w:r>
      <w:r w:rsidRPr="00417344">
        <w:rPr>
          <w:rFonts w:cs="Times New Roman"/>
          <w:lang w:val="fr-CA"/>
        </w:rPr>
        <w:t xml:space="preserve">, </w:t>
      </w:r>
      <w:r w:rsidRPr="00417344">
        <w:rPr>
          <w:rFonts w:cs="Times New Roman"/>
          <w:i/>
          <w:lang w:val="fr-CA"/>
        </w:rPr>
        <w:t xml:space="preserve">Good </w:t>
      </w:r>
      <w:proofErr w:type="spellStart"/>
      <w:r w:rsidRPr="00417344">
        <w:rPr>
          <w:rFonts w:cs="Times New Roman"/>
          <w:i/>
          <w:lang w:val="fr-CA"/>
        </w:rPr>
        <w:t>Faith</w:t>
      </w:r>
      <w:proofErr w:type="spellEnd"/>
      <w:r w:rsidRPr="00417344">
        <w:rPr>
          <w:rFonts w:cs="Times New Roman"/>
          <w:i/>
          <w:lang w:val="fr-CA"/>
        </w:rPr>
        <w:t xml:space="preserve"> and the </w:t>
      </w:r>
      <w:proofErr w:type="spellStart"/>
      <w:r w:rsidRPr="00417344">
        <w:rPr>
          <w:rFonts w:cs="Times New Roman"/>
          <w:i/>
          <w:lang w:val="fr-CA"/>
        </w:rPr>
        <w:t>Individual</w:t>
      </w:r>
      <w:proofErr w:type="spellEnd"/>
      <w:r w:rsidRPr="00417344">
        <w:rPr>
          <w:rFonts w:cs="Times New Roman"/>
          <w:i/>
          <w:lang w:val="fr-CA"/>
        </w:rPr>
        <w:t xml:space="preserve"> </w:t>
      </w:r>
      <w:proofErr w:type="spellStart"/>
      <w:r w:rsidRPr="00417344">
        <w:rPr>
          <w:rFonts w:cs="Times New Roman"/>
          <w:i/>
          <w:lang w:val="fr-CA"/>
        </w:rPr>
        <w:t>Contract</w:t>
      </w:r>
      <w:proofErr w:type="spellEnd"/>
      <w:r w:rsidRPr="00417344">
        <w:rPr>
          <w:rFonts w:cs="Times New Roman"/>
          <w:i/>
          <w:lang w:val="fr-CA"/>
        </w:rPr>
        <w:t xml:space="preserve"> of </w:t>
      </w:r>
      <w:proofErr w:type="spellStart"/>
      <w:r w:rsidRPr="00417344">
        <w:rPr>
          <w:rFonts w:cs="Times New Roman"/>
          <w:i/>
          <w:lang w:val="fr-CA"/>
        </w:rPr>
        <w:t>Employment</w:t>
      </w:r>
      <w:proofErr w:type="spellEnd"/>
      <w:r w:rsidRPr="00417344">
        <w:rPr>
          <w:rFonts w:cs="Times New Roman"/>
          <w:lang w:val="fr-CA"/>
        </w:rPr>
        <w:t>, Report #107 (2001), p.</w:t>
      </w:r>
      <w:r w:rsidR="00684BD3">
        <w:rPr>
          <w:rFonts w:cs="Times New Roman"/>
          <w:lang w:val="fr-CA"/>
        </w:rPr>
        <w:t xml:space="preserve"> </w:t>
      </w:r>
      <w:r w:rsidR="007F388B">
        <w:rPr>
          <w:rFonts w:cs="Times New Roman"/>
          <w:lang w:val="fr-CA"/>
        </w:rPr>
        <w:t xml:space="preserve">22 et </w:t>
      </w:r>
      <w:r w:rsidRPr="00417344">
        <w:rPr>
          <w:rFonts w:cs="Times New Roman"/>
          <w:lang w:val="fr-CA"/>
        </w:rPr>
        <w:t>32</w:t>
      </w:r>
      <w:r w:rsidR="007F388B">
        <w:rPr>
          <w:rFonts w:cs="Times New Roman"/>
          <w:lang w:val="fr-CA"/>
        </w:rPr>
        <w:t>-</w:t>
      </w:r>
      <w:r w:rsidRPr="00417344">
        <w:rPr>
          <w:rFonts w:cs="Times New Roman"/>
          <w:lang w:val="fr-CA"/>
        </w:rPr>
        <w:t>33; Emily</w:t>
      </w:r>
      <w:r w:rsidR="00684BD3">
        <w:rPr>
          <w:rFonts w:cs="Times New Roman"/>
          <w:lang w:val="fr-CA"/>
        </w:rPr>
        <w:t xml:space="preserve"> </w:t>
      </w:r>
      <w:r w:rsidRPr="00417344">
        <w:rPr>
          <w:rFonts w:cs="Times New Roman"/>
          <w:lang w:val="fr-CA"/>
        </w:rPr>
        <w:t>M.</w:t>
      </w:r>
      <w:r w:rsidR="00684BD3">
        <w:rPr>
          <w:rFonts w:cs="Times New Roman"/>
          <w:lang w:val="fr-CA"/>
        </w:rPr>
        <w:t xml:space="preserve"> </w:t>
      </w:r>
      <w:r w:rsidRPr="00417344">
        <w:rPr>
          <w:rFonts w:cs="Times New Roman"/>
          <w:lang w:val="fr-CA"/>
        </w:rPr>
        <w:t>S.</w:t>
      </w:r>
      <w:r w:rsidR="00684BD3">
        <w:rPr>
          <w:rFonts w:cs="Times New Roman"/>
          <w:lang w:val="fr-CA"/>
        </w:rPr>
        <w:t xml:space="preserve"> </w:t>
      </w:r>
      <w:proofErr w:type="spellStart"/>
      <w:r w:rsidRPr="00417344">
        <w:rPr>
          <w:rFonts w:cs="Times New Roman"/>
          <w:lang w:val="fr-CA"/>
        </w:rPr>
        <w:t>Houh</w:t>
      </w:r>
      <w:proofErr w:type="spellEnd"/>
      <w:r w:rsidRPr="00417344">
        <w:rPr>
          <w:rFonts w:cs="Times New Roman"/>
          <w:lang w:val="fr-CA"/>
        </w:rPr>
        <w:t xml:space="preserve">, </w:t>
      </w:r>
      <w:r w:rsidR="00684BD3">
        <w:rPr>
          <w:rFonts w:cs="Times New Roman"/>
          <w:lang w:val="fr-CA"/>
        </w:rPr>
        <w:t>« </w:t>
      </w:r>
      <w:proofErr w:type="spellStart"/>
      <w:r w:rsidRPr="00417344">
        <w:rPr>
          <w:rFonts w:cs="Times New Roman"/>
          <w:lang w:val="fr-CA"/>
        </w:rPr>
        <w:t>Critical</w:t>
      </w:r>
      <w:proofErr w:type="spellEnd"/>
      <w:r w:rsidRPr="00417344">
        <w:rPr>
          <w:rFonts w:cs="Times New Roman"/>
          <w:lang w:val="fr-CA"/>
        </w:rPr>
        <w:t xml:space="preserve"> Race </w:t>
      </w:r>
      <w:proofErr w:type="spellStart"/>
      <w:r w:rsidRPr="00417344">
        <w:rPr>
          <w:rFonts w:cs="Times New Roman"/>
          <w:lang w:val="fr-CA"/>
        </w:rPr>
        <w:t>Realism</w:t>
      </w:r>
      <w:proofErr w:type="spellEnd"/>
      <w:r w:rsidR="00684BD3">
        <w:rPr>
          <w:rFonts w:cs="Times New Roman"/>
          <w:lang w:val="fr-CA"/>
        </w:rPr>
        <w:t> :</w:t>
      </w:r>
      <w:r w:rsidRPr="00417344">
        <w:rPr>
          <w:rFonts w:cs="Times New Roman"/>
          <w:lang w:val="fr-CA"/>
        </w:rPr>
        <w:t xml:space="preserve"> </w:t>
      </w:r>
      <w:proofErr w:type="spellStart"/>
      <w:r w:rsidRPr="00417344">
        <w:rPr>
          <w:rFonts w:cs="Times New Roman"/>
          <w:lang w:val="fr-CA"/>
        </w:rPr>
        <w:t>Re</w:t>
      </w:r>
      <w:proofErr w:type="spellEnd"/>
      <w:r w:rsidR="00684BD3">
        <w:rPr>
          <w:rFonts w:cs="Times New Roman"/>
          <w:lang w:val="fr-CA"/>
        </w:rPr>
        <w:t>-</w:t>
      </w:r>
      <w:proofErr w:type="spellStart"/>
      <w:r w:rsidRPr="00417344">
        <w:rPr>
          <w:rFonts w:cs="Times New Roman"/>
          <w:lang w:val="fr-CA"/>
        </w:rPr>
        <w:t>Claiming</w:t>
      </w:r>
      <w:proofErr w:type="spellEnd"/>
      <w:r w:rsidRPr="00417344">
        <w:rPr>
          <w:rFonts w:cs="Times New Roman"/>
          <w:lang w:val="fr-CA"/>
        </w:rPr>
        <w:t xml:space="preserve"> the </w:t>
      </w:r>
      <w:proofErr w:type="spellStart"/>
      <w:r w:rsidRPr="00417344">
        <w:rPr>
          <w:rFonts w:cs="Times New Roman"/>
          <w:lang w:val="fr-CA"/>
        </w:rPr>
        <w:t>Antidiscrimination</w:t>
      </w:r>
      <w:proofErr w:type="spellEnd"/>
      <w:r w:rsidRPr="00417344">
        <w:rPr>
          <w:rFonts w:cs="Times New Roman"/>
          <w:lang w:val="fr-CA"/>
        </w:rPr>
        <w:t xml:space="preserve"> </w:t>
      </w:r>
      <w:proofErr w:type="spellStart"/>
      <w:r w:rsidRPr="00417344">
        <w:rPr>
          <w:rFonts w:cs="Times New Roman"/>
          <w:lang w:val="fr-CA"/>
        </w:rPr>
        <w:t>Principle</w:t>
      </w:r>
      <w:proofErr w:type="spellEnd"/>
      <w:r w:rsidRPr="00417344">
        <w:rPr>
          <w:rFonts w:cs="Times New Roman"/>
          <w:lang w:val="fr-CA"/>
        </w:rPr>
        <w:t xml:space="preserve"> </w:t>
      </w:r>
      <w:proofErr w:type="spellStart"/>
      <w:r w:rsidRPr="00417344">
        <w:rPr>
          <w:rFonts w:cs="Times New Roman"/>
          <w:lang w:val="fr-CA"/>
        </w:rPr>
        <w:t>through</w:t>
      </w:r>
      <w:proofErr w:type="spellEnd"/>
      <w:r w:rsidRPr="00417344">
        <w:rPr>
          <w:rFonts w:cs="Times New Roman"/>
          <w:lang w:val="fr-CA"/>
        </w:rPr>
        <w:t xml:space="preserve"> the Doctrine of Good </w:t>
      </w:r>
      <w:proofErr w:type="spellStart"/>
      <w:r w:rsidRPr="00417344">
        <w:rPr>
          <w:rFonts w:cs="Times New Roman"/>
          <w:lang w:val="fr-CA"/>
        </w:rPr>
        <w:t>Faith</w:t>
      </w:r>
      <w:proofErr w:type="spellEnd"/>
      <w:r w:rsidRPr="00417344">
        <w:rPr>
          <w:rFonts w:cs="Times New Roman"/>
          <w:lang w:val="fr-CA"/>
        </w:rPr>
        <w:t xml:space="preserve"> in </w:t>
      </w:r>
      <w:proofErr w:type="spellStart"/>
      <w:r w:rsidRPr="00417344">
        <w:rPr>
          <w:rFonts w:cs="Times New Roman"/>
          <w:lang w:val="fr-CA"/>
        </w:rPr>
        <w:t>Contract</w:t>
      </w:r>
      <w:proofErr w:type="spellEnd"/>
      <w:r w:rsidRPr="00417344">
        <w:rPr>
          <w:rFonts w:cs="Times New Roman"/>
          <w:lang w:val="fr-CA"/>
        </w:rPr>
        <w:t xml:space="preserve"> Law</w:t>
      </w:r>
      <w:r w:rsidR="00684BD3">
        <w:rPr>
          <w:rFonts w:cs="Times New Roman"/>
          <w:lang w:val="fr-CA"/>
        </w:rPr>
        <w:t> »</w:t>
      </w:r>
      <w:r w:rsidRPr="00417344">
        <w:rPr>
          <w:rFonts w:cs="Times New Roman"/>
          <w:lang w:val="fr-CA"/>
        </w:rPr>
        <w:t xml:space="preserve"> (2005), 66 </w:t>
      </w:r>
      <w:r w:rsidRPr="00417344">
        <w:rPr>
          <w:rFonts w:cs="Times New Roman"/>
          <w:i/>
          <w:lang w:val="fr-CA"/>
        </w:rPr>
        <w:t xml:space="preserve">U. Pitt. L. </w:t>
      </w:r>
      <w:proofErr w:type="spellStart"/>
      <w:r w:rsidRPr="00417344">
        <w:rPr>
          <w:rFonts w:cs="Times New Roman"/>
          <w:i/>
          <w:lang w:val="fr-CA"/>
        </w:rPr>
        <w:t>Rev</w:t>
      </w:r>
      <w:proofErr w:type="spellEnd"/>
      <w:r w:rsidRPr="00417344">
        <w:rPr>
          <w:rFonts w:cs="Times New Roman"/>
          <w:i/>
          <w:lang w:val="fr-CA"/>
        </w:rPr>
        <w:t>.</w:t>
      </w:r>
      <w:r w:rsidRPr="00417344">
        <w:rPr>
          <w:rFonts w:cs="Times New Roman"/>
          <w:lang w:val="fr-CA"/>
        </w:rPr>
        <w:t xml:space="preserve"> 455.  Cela dit, en l’absence de circonstances spéciales, il est difficile de voir comment l’obligation de bonne foi pourrait empêcher une société de personnes d’instaurer une politique de dessaisissement des fonds propres qui est à l’avantage de l’ensemble des associés en ce qu’elle assure un renouvellement régénérateur des parts sociales.</w:t>
      </w:r>
    </w:p>
    <w:p w:rsidR="0018307E" w:rsidRPr="00417344" w:rsidRDefault="0018307E" w:rsidP="0018307E">
      <w:pPr>
        <w:pStyle w:val="ParaNoNdepar-AltN"/>
        <w:rPr>
          <w:rFonts w:cs="Times New Roman"/>
          <w:lang w:val="fr-CA"/>
        </w:rPr>
      </w:pPr>
      <w:r w:rsidRPr="00417344">
        <w:rPr>
          <w:rFonts w:cs="Times New Roman"/>
          <w:lang w:val="fr-CA"/>
        </w:rPr>
        <w:t>Le pourvoi est rejeté avec dépens.</w:t>
      </w:r>
    </w:p>
    <w:p w:rsidR="004D7D95" w:rsidRPr="00392004" w:rsidRDefault="00287D8C" w:rsidP="00DA3D7E">
      <w:pPr>
        <w:pStyle w:val="SCCNormalDoubleSpacing"/>
        <w:widowControl w:val="0"/>
        <w:spacing w:before="480" w:after="480"/>
        <w:rPr>
          <w:lang w:val="fr-CA"/>
        </w:rPr>
      </w:pPr>
      <w:r w:rsidRPr="00392004">
        <w:rPr>
          <w:lang w:val="fr-CA"/>
        </w:rPr>
        <w:tab/>
      </w:r>
      <w:r w:rsidR="00C74A01" w:rsidRPr="00392004">
        <w:rPr>
          <w:i/>
          <w:lang w:val="fr-CA"/>
        </w:rPr>
        <w:t>Pourvoi</w:t>
      </w:r>
      <w:r w:rsidR="00FB45A1" w:rsidRPr="00392004">
        <w:rPr>
          <w:i/>
          <w:lang w:val="fr-CA"/>
        </w:rPr>
        <w:t xml:space="preserve"> </w:t>
      </w:r>
      <w:r w:rsidR="00284EB7" w:rsidRPr="00392004">
        <w:rPr>
          <w:i/>
          <w:lang w:val="fr-CA"/>
        </w:rPr>
        <w:t>rejeté avec dépens</w:t>
      </w:r>
      <w:r w:rsidR="00FB45A1" w:rsidRPr="00392004">
        <w:rPr>
          <w:i/>
          <w:lang w:val="fr-CA"/>
        </w:rPr>
        <w:t>.</w:t>
      </w:r>
    </w:p>
    <w:p w:rsidR="00F97A17" w:rsidRPr="00392004" w:rsidRDefault="00F97A17" w:rsidP="00DA3D7E">
      <w:pPr>
        <w:pStyle w:val="SCCLawFirm"/>
        <w:widowControl w:val="0"/>
        <w:spacing w:before="480" w:after="480"/>
        <w:rPr>
          <w:lang w:val="fr-CA"/>
        </w:rPr>
      </w:pPr>
      <w:r w:rsidRPr="00392004">
        <w:rPr>
          <w:lang w:val="fr-CA"/>
        </w:rPr>
        <w:tab/>
        <w:t>Procureurs de l’appelant</w:t>
      </w:r>
      <w:r w:rsidR="00684BD3">
        <w:rPr>
          <w:lang w:val="fr-CA"/>
        </w:rPr>
        <w:t> :</w:t>
      </w:r>
      <w:r w:rsidR="0018307E">
        <w:rPr>
          <w:lang w:val="fr-CA"/>
        </w:rPr>
        <w:t xml:space="preserve"> </w:t>
      </w:r>
      <w:proofErr w:type="spellStart"/>
      <w:r w:rsidRPr="00392004">
        <w:rPr>
          <w:lang w:val="fr-CA"/>
        </w:rPr>
        <w:t>TevlinGleadle</w:t>
      </w:r>
      <w:proofErr w:type="spellEnd"/>
      <w:r w:rsidRPr="00392004">
        <w:rPr>
          <w:lang w:val="fr-CA"/>
        </w:rPr>
        <w:t xml:space="preserve"> </w:t>
      </w:r>
      <w:proofErr w:type="spellStart"/>
      <w:r w:rsidRPr="00392004">
        <w:rPr>
          <w:lang w:val="fr-CA"/>
        </w:rPr>
        <w:t>Employment</w:t>
      </w:r>
      <w:proofErr w:type="spellEnd"/>
      <w:r w:rsidRPr="00392004">
        <w:rPr>
          <w:lang w:val="fr-CA"/>
        </w:rPr>
        <w:t xml:space="preserve"> Law </w:t>
      </w:r>
      <w:proofErr w:type="spellStart"/>
      <w:r w:rsidRPr="00392004">
        <w:rPr>
          <w:lang w:val="fr-CA"/>
        </w:rPr>
        <w:t>Strategies</w:t>
      </w:r>
      <w:proofErr w:type="spellEnd"/>
      <w:r w:rsidRPr="00392004">
        <w:rPr>
          <w:lang w:val="fr-CA"/>
        </w:rPr>
        <w:t>, Vancouver.</w:t>
      </w:r>
    </w:p>
    <w:p w:rsidR="00F97A17" w:rsidRPr="00392004" w:rsidRDefault="00F97A17" w:rsidP="00DA3D7E">
      <w:pPr>
        <w:pStyle w:val="SCCLawFirm"/>
        <w:widowControl w:val="0"/>
        <w:spacing w:before="480" w:after="480"/>
        <w:rPr>
          <w:lang w:val="fr-CA"/>
        </w:rPr>
      </w:pPr>
      <w:r w:rsidRPr="00392004">
        <w:rPr>
          <w:lang w:val="fr-CA"/>
        </w:rPr>
        <w:tab/>
        <w:t>Procureurs de l’intimée</w:t>
      </w:r>
      <w:r w:rsidR="00684BD3">
        <w:rPr>
          <w:lang w:val="fr-CA"/>
        </w:rPr>
        <w:t> :</w:t>
      </w:r>
      <w:r w:rsidR="0018307E">
        <w:rPr>
          <w:lang w:val="fr-CA"/>
        </w:rPr>
        <w:t xml:space="preserve"> </w:t>
      </w:r>
      <w:proofErr w:type="spellStart"/>
      <w:r w:rsidRPr="00392004">
        <w:rPr>
          <w:lang w:val="fr-CA"/>
        </w:rPr>
        <w:t>Nathanson</w:t>
      </w:r>
      <w:proofErr w:type="spellEnd"/>
      <w:r w:rsidRPr="00392004">
        <w:rPr>
          <w:lang w:val="fr-CA"/>
        </w:rPr>
        <w:t xml:space="preserve"> </w:t>
      </w:r>
      <w:proofErr w:type="spellStart"/>
      <w:r w:rsidRPr="00392004">
        <w:rPr>
          <w:lang w:val="fr-CA"/>
        </w:rPr>
        <w:t>Schachter</w:t>
      </w:r>
      <w:proofErr w:type="spellEnd"/>
      <w:r w:rsidRPr="00392004">
        <w:rPr>
          <w:lang w:val="fr-CA"/>
        </w:rPr>
        <w:t xml:space="preserve"> &amp; Thompson, Vancouver.</w:t>
      </w:r>
    </w:p>
    <w:p w:rsidR="00F97A17" w:rsidRPr="00392004" w:rsidRDefault="00F97A17" w:rsidP="00DA3D7E">
      <w:pPr>
        <w:pStyle w:val="SCCLawFirm"/>
        <w:widowControl w:val="0"/>
        <w:spacing w:before="480" w:after="480"/>
      </w:pPr>
      <w:r w:rsidRPr="00392004">
        <w:rPr>
          <w:lang w:val="fr-CA"/>
        </w:rPr>
        <w:lastRenderedPageBreak/>
        <w:tab/>
      </w:r>
      <w:proofErr w:type="spellStart"/>
      <w:r w:rsidRPr="00392004">
        <w:t>Procureur</w:t>
      </w:r>
      <w:proofErr w:type="spellEnd"/>
      <w:r w:rsidRPr="00392004">
        <w:t xml:space="preserve"> de </w:t>
      </w:r>
      <w:proofErr w:type="spellStart"/>
      <w:r w:rsidRPr="00392004">
        <w:t>l’intervenante</w:t>
      </w:r>
      <w:proofErr w:type="spellEnd"/>
      <w:r w:rsidRPr="00392004">
        <w:t xml:space="preserve"> Alberta Human Rights </w:t>
      </w:r>
      <w:proofErr w:type="gramStart"/>
      <w:r w:rsidRPr="00392004">
        <w:t>Commission</w:t>
      </w:r>
      <w:r w:rsidR="00684BD3">
        <w:t> :</w:t>
      </w:r>
      <w:proofErr w:type="gramEnd"/>
      <w:r w:rsidR="0018307E">
        <w:t xml:space="preserve"> </w:t>
      </w:r>
      <w:r w:rsidRPr="00392004">
        <w:t>Alberta Human Rights Commission, Edmonton.</w:t>
      </w:r>
    </w:p>
    <w:p w:rsidR="00F97A17" w:rsidRPr="00392004" w:rsidRDefault="00F97A17" w:rsidP="00DA3D7E">
      <w:pPr>
        <w:pStyle w:val="SCCLawFirm"/>
        <w:widowControl w:val="0"/>
        <w:spacing w:before="480" w:after="480"/>
      </w:pPr>
      <w:r w:rsidRPr="00392004">
        <w:rPr>
          <w:lang w:val="en-US"/>
        </w:rPr>
        <w:tab/>
      </w:r>
      <w:proofErr w:type="spellStart"/>
      <w:r w:rsidRPr="00392004">
        <w:t>Procureur</w:t>
      </w:r>
      <w:proofErr w:type="spellEnd"/>
      <w:r w:rsidRPr="00392004">
        <w:t xml:space="preserve"> de </w:t>
      </w:r>
      <w:proofErr w:type="spellStart"/>
      <w:r w:rsidRPr="00392004">
        <w:t>l’intervenant</w:t>
      </w:r>
      <w:proofErr w:type="spellEnd"/>
      <w:r w:rsidRPr="00392004">
        <w:t xml:space="preserve"> British Columbia Human Rights </w:t>
      </w:r>
      <w:proofErr w:type="gramStart"/>
      <w:r w:rsidRPr="00392004">
        <w:t>Tribunal</w:t>
      </w:r>
      <w:r w:rsidR="00684BD3">
        <w:t> :</w:t>
      </w:r>
      <w:proofErr w:type="gramEnd"/>
      <w:r w:rsidR="0018307E">
        <w:t xml:space="preserve"> </w:t>
      </w:r>
      <w:r w:rsidRPr="00392004">
        <w:t>British Columbia Human Rights Tribunal, Vancouver.</w:t>
      </w:r>
    </w:p>
    <w:p w:rsidR="00F97A17" w:rsidRPr="00392004" w:rsidRDefault="00F97A17" w:rsidP="00DA3D7E">
      <w:pPr>
        <w:pStyle w:val="SCCLawFirm"/>
        <w:widowControl w:val="0"/>
        <w:spacing w:before="480" w:after="480"/>
      </w:pPr>
      <w:r w:rsidRPr="00392004">
        <w:tab/>
      </w:r>
      <w:proofErr w:type="spellStart"/>
      <w:r w:rsidRPr="00392004">
        <w:t>Procureurs</w:t>
      </w:r>
      <w:proofErr w:type="spellEnd"/>
      <w:r w:rsidRPr="00392004">
        <w:t xml:space="preserve"> des </w:t>
      </w:r>
      <w:proofErr w:type="spellStart"/>
      <w:r w:rsidRPr="00392004">
        <w:t>intervenantes</w:t>
      </w:r>
      <w:proofErr w:type="spellEnd"/>
      <w:r w:rsidRPr="00392004">
        <w:t xml:space="preserve"> Ernst &amp; Young </w:t>
      </w:r>
      <w:proofErr w:type="spellStart"/>
      <w:r w:rsidRPr="00392004">
        <w:t>s.r.l</w:t>
      </w:r>
      <w:proofErr w:type="spellEnd"/>
      <w:proofErr w:type="gramStart"/>
      <w:r w:rsidRPr="00392004">
        <w:t>./</w:t>
      </w:r>
      <w:proofErr w:type="gramEnd"/>
      <w:r w:rsidRPr="00392004">
        <w:t xml:space="preserve">S.E.N.C.R.L., KPMG </w:t>
      </w:r>
      <w:proofErr w:type="spellStart"/>
      <w:r w:rsidRPr="00392004">
        <w:t>s.r.l</w:t>
      </w:r>
      <w:proofErr w:type="spellEnd"/>
      <w:r w:rsidRPr="00392004">
        <w:t>./S.E.N.C.R.L., Deloitte S.E.N.C.R.L./</w:t>
      </w:r>
      <w:proofErr w:type="spellStart"/>
      <w:r w:rsidRPr="00392004">
        <w:t>s.r.l</w:t>
      </w:r>
      <w:proofErr w:type="spellEnd"/>
      <w:r w:rsidRPr="00392004">
        <w:t xml:space="preserve">., PricewaterhouseCoopers </w:t>
      </w:r>
      <w:proofErr w:type="spellStart"/>
      <w:r w:rsidRPr="00392004">
        <w:t>s.r.l</w:t>
      </w:r>
      <w:proofErr w:type="spellEnd"/>
      <w:r w:rsidRPr="00392004">
        <w:t xml:space="preserve">., BDO Canada </w:t>
      </w:r>
      <w:proofErr w:type="spellStart"/>
      <w:r w:rsidRPr="00392004">
        <w:t>s.r.l</w:t>
      </w:r>
      <w:proofErr w:type="spellEnd"/>
      <w:r w:rsidRPr="00392004">
        <w:t>./S.E.N.C.R.L. et Grant Thornton LLP</w:t>
      </w:r>
      <w:r w:rsidR="00684BD3">
        <w:t> :</w:t>
      </w:r>
      <w:r w:rsidR="0018307E">
        <w:t xml:space="preserve"> </w:t>
      </w:r>
      <w:proofErr w:type="spellStart"/>
      <w:r w:rsidRPr="00392004">
        <w:t>Lenczner</w:t>
      </w:r>
      <w:proofErr w:type="spellEnd"/>
      <w:r w:rsidRPr="00392004">
        <w:t xml:space="preserve"> </w:t>
      </w:r>
      <w:proofErr w:type="spellStart"/>
      <w:r w:rsidRPr="00392004">
        <w:t>Slaght</w:t>
      </w:r>
      <w:proofErr w:type="spellEnd"/>
      <w:r w:rsidRPr="00392004">
        <w:t xml:space="preserve"> Royce Smith Griffin, Toronto.</w:t>
      </w:r>
    </w:p>
    <w:p w:rsidR="00F97A17" w:rsidRPr="00392004" w:rsidRDefault="00F97A17" w:rsidP="00DA3D7E">
      <w:pPr>
        <w:pStyle w:val="SCCLawFirm"/>
        <w:widowControl w:val="0"/>
        <w:spacing w:before="480" w:after="480"/>
        <w:rPr>
          <w:lang w:val="fr-CA"/>
        </w:rPr>
      </w:pPr>
      <w:r w:rsidRPr="00392004">
        <w:tab/>
      </w:r>
      <w:r w:rsidRPr="00392004">
        <w:rPr>
          <w:lang w:val="fr-CA"/>
        </w:rPr>
        <w:t>Procureurs de l’intervenante l’Association du Jeune Barreau de Montréal</w:t>
      </w:r>
      <w:r w:rsidR="00684BD3">
        <w:rPr>
          <w:lang w:val="fr-CA"/>
        </w:rPr>
        <w:t> :</w:t>
      </w:r>
      <w:r w:rsidR="0018307E">
        <w:rPr>
          <w:lang w:val="fr-CA"/>
        </w:rPr>
        <w:t xml:space="preserve"> </w:t>
      </w:r>
      <w:r w:rsidRPr="00392004">
        <w:rPr>
          <w:lang w:val="fr-CA"/>
        </w:rPr>
        <w:t xml:space="preserve">Langlois </w:t>
      </w:r>
      <w:proofErr w:type="spellStart"/>
      <w:r w:rsidRPr="00392004">
        <w:rPr>
          <w:lang w:val="fr-CA"/>
        </w:rPr>
        <w:t>Kronström</w:t>
      </w:r>
      <w:proofErr w:type="spellEnd"/>
      <w:r w:rsidRPr="00392004">
        <w:rPr>
          <w:lang w:val="fr-CA"/>
        </w:rPr>
        <w:t xml:space="preserve"> Desjardins, Montréal.</w:t>
      </w:r>
    </w:p>
    <w:p w:rsidR="00F97A17" w:rsidRPr="00392004" w:rsidRDefault="00F97A17" w:rsidP="00DA3D7E">
      <w:pPr>
        <w:pStyle w:val="SCCLawFirm"/>
        <w:widowControl w:val="0"/>
        <w:spacing w:before="480" w:after="480"/>
        <w:rPr>
          <w:lang w:val="fr-CA"/>
        </w:rPr>
      </w:pPr>
      <w:r w:rsidRPr="00392004">
        <w:rPr>
          <w:lang w:val="fr-CA"/>
        </w:rPr>
        <w:tab/>
        <w:t>Procureur de l’intervenante la Commission ontarienne des droits de la personne</w:t>
      </w:r>
      <w:r w:rsidR="00684BD3">
        <w:rPr>
          <w:lang w:val="fr-CA"/>
        </w:rPr>
        <w:t> :</w:t>
      </w:r>
      <w:r w:rsidR="0018307E">
        <w:rPr>
          <w:lang w:val="fr-CA"/>
        </w:rPr>
        <w:t xml:space="preserve"> </w:t>
      </w:r>
      <w:r w:rsidRPr="00392004">
        <w:rPr>
          <w:lang w:val="fr-CA"/>
        </w:rPr>
        <w:t>Commission ontarienne des droits de la personne, Toronto.</w:t>
      </w:r>
    </w:p>
    <w:p w:rsidR="009B57B3" w:rsidRDefault="00F97A17" w:rsidP="00684BD3">
      <w:pPr>
        <w:pStyle w:val="SCCLawFirm"/>
        <w:widowControl w:val="0"/>
        <w:rPr>
          <w:b/>
          <w:i w:val="0"/>
          <w:lang w:val="fr-CA"/>
        </w:rPr>
      </w:pPr>
      <w:r w:rsidRPr="00392004">
        <w:rPr>
          <w:lang w:val="fr-CA"/>
        </w:rPr>
        <w:tab/>
        <w:t>Procureur de l’intervenante la Commission canadienne des droits de la personne</w:t>
      </w:r>
      <w:r w:rsidR="00684BD3">
        <w:rPr>
          <w:lang w:val="fr-CA"/>
        </w:rPr>
        <w:t> :</w:t>
      </w:r>
      <w:r w:rsidR="0018307E">
        <w:rPr>
          <w:lang w:val="fr-CA"/>
        </w:rPr>
        <w:t xml:space="preserve"> </w:t>
      </w:r>
      <w:r w:rsidRPr="00392004">
        <w:rPr>
          <w:lang w:val="fr-CA"/>
        </w:rPr>
        <w:t>Commission canadienne des droits de la personne, Ottawa.</w:t>
      </w:r>
    </w:p>
    <w:p w:rsidR="00684BD3" w:rsidRPr="00684BD3" w:rsidRDefault="00684BD3" w:rsidP="00684BD3">
      <w:pPr>
        <w:pStyle w:val="SCCNormalDoubleSpacing"/>
        <w:rPr>
          <w:lang w:val="fr-CA"/>
        </w:rPr>
      </w:pPr>
    </w:p>
    <w:sectPr w:rsidR="00684BD3" w:rsidRPr="00684BD3"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CF" w:rsidRDefault="00F64CCF">
      <w:r>
        <w:separator/>
      </w:r>
    </w:p>
  </w:endnote>
  <w:endnote w:type="continuationSeparator" w:id="0">
    <w:p w:rsidR="00F64CCF" w:rsidRDefault="00F64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CF" w:rsidRDefault="00F64CCF">
      <w:r>
        <w:separator/>
      </w:r>
    </w:p>
  </w:footnote>
  <w:footnote w:type="continuationSeparator" w:id="0">
    <w:p w:rsidR="00F64CCF" w:rsidRDefault="00F64CCF">
      <w:r>
        <w:continuationSeparator/>
      </w:r>
    </w:p>
  </w:footnote>
  <w:footnote w:id="1">
    <w:p w:rsidR="00F64CCF" w:rsidRPr="00DE3128" w:rsidRDefault="00F64CCF" w:rsidP="0018307E">
      <w:pPr>
        <w:pStyle w:val="FootnoteText"/>
        <w:jc w:val="both"/>
      </w:pPr>
      <w:r w:rsidRPr="00DE3128">
        <w:rPr>
          <w:rStyle w:val="FootnoteReference"/>
        </w:rPr>
        <w:footnoteRef/>
      </w:r>
      <w:r w:rsidRPr="00DE3128">
        <w:t xml:space="preserve"> </w:t>
      </w:r>
      <w:proofErr w:type="gramStart"/>
      <w:r w:rsidRPr="00DE3128">
        <w:t xml:space="preserve">R.S.B.C. 1996, </w:t>
      </w:r>
      <w:proofErr w:type="spellStart"/>
      <w:r w:rsidRPr="00DE3128">
        <w:t>ch</w:t>
      </w:r>
      <w:proofErr w:type="spellEnd"/>
      <w:r w:rsidRPr="00DE3128">
        <w:t>.</w:t>
      </w:r>
      <w:r>
        <w:t xml:space="preserve"> </w:t>
      </w:r>
      <w:r w:rsidRPr="00DE3128">
        <w:t>210.</w:t>
      </w:r>
      <w:proofErr w:type="gramEnd"/>
    </w:p>
  </w:footnote>
  <w:footnote w:id="2">
    <w:p w:rsidR="00F64CCF" w:rsidRPr="00DE3128" w:rsidRDefault="00F64CCF" w:rsidP="0018307E">
      <w:pPr>
        <w:pStyle w:val="FootnoteText"/>
        <w:jc w:val="both"/>
      </w:pPr>
      <w:r w:rsidRPr="00DE3128">
        <w:rPr>
          <w:rStyle w:val="FootnoteReference"/>
        </w:rPr>
        <w:footnoteRef/>
      </w:r>
      <w:r w:rsidRPr="00DE3128">
        <w:t xml:space="preserve"> </w:t>
      </w:r>
      <w:r w:rsidRPr="00DE3128">
        <w:rPr>
          <w:i/>
        </w:rPr>
        <w:t>Human Rights Code</w:t>
      </w:r>
      <w:r w:rsidRPr="00DE3128">
        <w:t>, al.</w:t>
      </w:r>
      <w:r>
        <w:t xml:space="preserve"> </w:t>
      </w:r>
      <w:r w:rsidRPr="00DE3128">
        <w:t>27(1</w:t>
      </w:r>
      <w:proofErr w:type="gramStart"/>
      <w:r w:rsidRPr="00DE3128">
        <w:t>)(</w:t>
      </w:r>
      <w:proofErr w:type="gramEnd"/>
      <w:r w:rsidRPr="00DE3128">
        <w:t xml:space="preserve">a) et (c). </w:t>
      </w:r>
    </w:p>
  </w:footnote>
  <w:footnote w:id="3">
    <w:p w:rsidR="00F64CCF" w:rsidRPr="00775D1B" w:rsidRDefault="00F64CCF" w:rsidP="0018307E">
      <w:pPr>
        <w:pStyle w:val="FootnoteText"/>
        <w:jc w:val="both"/>
        <w:rPr>
          <w:lang w:val="fr-CA"/>
        </w:rPr>
      </w:pPr>
      <w:r>
        <w:rPr>
          <w:rStyle w:val="FootnoteReference"/>
        </w:rPr>
        <w:footnoteRef/>
      </w:r>
      <w:r w:rsidRPr="001D01B9">
        <w:rPr>
          <w:lang w:val="fr-CA"/>
        </w:rPr>
        <w:t xml:space="preserve"> Con</w:t>
      </w:r>
      <w:r>
        <w:rPr>
          <w:lang w:val="fr-CA"/>
        </w:rPr>
        <w:t xml:space="preserve">trat </w:t>
      </w:r>
      <w:r w:rsidRPr="001D01B9">
        <w:rPr>
          <w:lang w:val="fr-CA"/>
        </w:rPr>
        <w:t xml:space="preserve">de société, </w:t>
      </w:r>
      <w:r>
        <w:rPr>
          <w:lang w:val="fr-CA"/>
        </w:rPr>
        <w:t xml:space="preserve">al. </w:t>
      </w:r>
      <w:r w:rsidRPr="00DE3128">
        <w:rPr>
          <w:lang w:val="fr-CA"/>
        </w:rPr>
        <w:t>7.1(b) et 7.4(a).</w:t>
      </w:r>
    </w:p>
  </w:footnote>
  <w:footnote w:id="4">
    <w:p w:rsidR="00F64CCF" w:rsidRPr="00DE3128" w:rsidRDefault="00F64CCF" w:rsidP="0018307E">
      <w:pPr>
        <w:pStyle w:val="FootnoteText"/>
        <w:rPr>
          <w:lang w:val="fr-CA"/>
        </w:rPr>
      </w:pPr>
      <w:r>
        <w:rPr>
          <w:rStyle w:val="FootnoteReference"/>
        </w:rPr>
        <w:footnoteRef/>
      </w:r>
      <w:r w:rsidRPr="001D01B9">
        <w:rPr>
          <w:lang w:val="fr-CA"/>
        </w:rPr>
        <w:t xml:space="preserve"> </w:t>
      </w:r>
      <w:r>
        <w:rPr>
          <w:lang w:val="fr-CA"/>
        </w:rPr>
        <w:t>Contrat</w:t>
      </w:r>
      <w:r w:rsidRPr="001D01B9">
        <w:rPr>
          <w:lang w:val="fr-CA"/>
        </w:rPr>
        <w:t xml:space="preserve"> de société</w:t>
      </w:r>
      <w:r w:rsidRPr="00DE3128">
        <w:rPr>
          <w:lang w:val="fr-CA"/>
        </w:rPr>
        <w:t>, al.</w:t>
      </w:r>
      <w:r>
        <w:rPr>
          <w:lang w:val="fr-CA"/>
        </w:rPr>
        <w:t xml:space="preserve"> </w:t>
      </w:r>
      <w:r w:rsidRPr="00DE3128">
        <w:rPr>
          <w:lang w:val="fr-CA"/>
        </w:rPr>
        <w:t>5.3(b)</w:t>
      </w:r>
      <w:r>
        <w:rPr>
          <w:lang w:val="fr-CA"/>
        </w:rPr>
        <w:t xml:space="preserve"> et</w:t>
      </w:r>
      <w:r w:rsidRPr="00DE3128">
        <w:rPr>
          <w:lang w:val="fr-CA"/>
        </w:rPr>
        <w:t xml:space="preserve"> (g).</w:t>
      </w:r>
    </w:p>
  </w:footnote>
  <w:footnote w:id="5">
    <w:p w:rsidR="00F64CCF" w:rsidRPr="001D01B9" w:rsidRDefault="00F64CCF" w:rsidP="0018307E">
      <w:pPr>
        <w:pStyle w:val="FootnoteText"/>
        <w:rPr>
          <w:lang w:val="fr-CA"/>
        </w:rPr>
      </w:pPr>
      <w:r w:rsidRPr="00DE3128">
        <w:rPr>
          <w:rStyle w:val="FootnoteReference"/>
        </w:rPr>
        <w:footnoteRef/>
      </w:r>
      <w:r w:rsidRPr="00DE3128">
        <w:rPr>
          <w:lang w:val="fr-CA"/>
        </w:rPr>
        <w:t xml:space="preserve"> </w:t>
      </w:r>
      <w:r>
        <w:rPr>
          <w:lang w:val="fr-CA"/>
        </w:rPr>
        <w:t>Contrat</w:t>
      </w:r>
      <w:r w:rsidRPr="00DE3128">
        <w:rPr>
          <w:lang w:val="fr-CA"/>
        </w:rPr>
        <w:t xml:space="preserve"> de société, art.</w:t>
      </w:r>
      <w:r>
        <w:rPr>
          <w:lang w:val="fr-CA"/>
        </w:rPr>
        <w:t xml:space="preserve"> </w:t>
      </w:r>
      <w:r w:rsidRPr="00DE3128">
        <w:rPr>
          <w:lang w:val="fr-CA"/>
        </w:rPr>
        <w:t>5.6.</w:t>
      </w:r>
    </w:p>
  </w:footnote>
  <w:footnote w:id="6">
    <w:p w:rsidR="00F64CCF" w:rsidRPr="001D01B9" w:rsidRDefault="00F64CCF" w:rsidP="0018307E">
      <w:pPr>
        <w:pStyle w:val="FootnoteText"/>
        <w:rPr>
          <w:lang w:val="fr-CA"/>
        </w:rPr>
      </w:pPr>
      <w:r>
        <w:rPr>
          <w:rStyle w:val="FootnoteReference"/>
        </w:rPr>
        <w:footnoteRef/>
      </w:r>
      <w:r w:rsidRPr="001D01B9">
        <w:rPr>
          <w:lang w:val="fr-CA"/>
        </w:rPr>
        <w:t xml:space="preserve"> </w:t>
      </w:r>
      <w:r>
        <w:rPr>
          <w:lang w:val="fr-CA"/>
        </w:rPr>
        <w:t>Contrat</w:t>
      </w:r>
      <w:r w:rsidRPr="001D01B9">
        <w:rPr>
          <w:lang w:val="fr-CA"/>
        </w:rPr>
        <w:t xml:space="preserve"> de société, </w:t>
      </w:r>
      <w:r>
        <w:rPr>
          <w:lang w:val="fr-CA"/>
        </w:rPr>
        <w:t xml:space="preserve">art. </w:t>
      </w:r>
      <w:r w:rsidRPr="001D01B9">
        <w:rPr>
          <w:lang w:val="fr-CA"/>
        </w:rPr>
        <w:t>5.6.</w:t>
      </w:r>
    </w:p>
  </w:footnote>
  <w:footnote w:id="7">
    <w:p w:rsidR="00F64CCF" w:rsidRPr="001D01B9" w:rsidRDefault="00F64CCF" w:rsidP="0018307E">
      <w:pPr>
        <w:pStyle w:val="FootnoteText"/>
        <w:rPr>
          <w:lang w:val="fr-CA"/>
        </w:rPr>
      </w:pPr>
      <w:r>
        <w:rPr>
          <w:rStyle w:val="FootnoteReference"/>
        </w:rPr>
        <w:footnoteRef/>
      </w:r>
      <w:r w:rsidRPr="001D01B9">
        <w:rPr>
          <w:lang w:val="fr-CA"/>
        </w:rPr>
        <w:t xml:space="preserve"> </w:t>
      </w:r>
      <w:r>
        <w:rPr>
          <w:lang w:val="fr-CA"/>
        </w:rPr>
        <w:t xml:space="preserve">Contrat </w:t>
      </w:r>
      <w:r w:rsidRPr="001D01B9">
        <w:rPr>
          <w:lang w:val="fr-CA"/>
        </w:rPr>
        <w:t xml:space="preserve">de société, </w:t>
      </w:r>
      <w:r>
        <w:rPr>
          <w:lang w:val="fr-CA"/>
        </w:rPr>
        <w:t xml:space="preserve">art. </w:t>
      </w:r>
      <w:r w:rsidRPr="001D01B9">
        <w:rPr>
          <w:lang w:val="fr-CA"/>
        </w:rPr>
        <w:t>8.4.</w:t>
      </w:r>
    </w:p>
  </w:footnote>
  <w:footnote w:id="8">
    <w:p w:rsidR="00F64CCF" w:rsidRPr="001D01B9" w:rsidRDefault="00F64CCF" w:rsidP="0018307E">
      <w:pPr>
        <w:pStyle w:val="FootnoteText"/>
        <w:rPr>
          <w:lang w:val="fr-CA"/>
        </w:rPr>
      </w:pPr>
      <w:r>
        <w:rPr>
          <w:rStyle w:val="FootnoteReference"/>
        </w:rPr>
        <w:footnoteRef/>
      </w:r>
      <w:r w:rsidRPr="001D01B9">
        <w:rPr>
          <w:lang w:val="fr-CA"/>
        </w:rPr>
        <w:t xml:space="preserve"> </w:t>
      </w:r>
      <w:r>
        <w:rPr>
          <w:lang w:val="fr-CA"/>
        </w:rPr>
        <w:t>Contrat</w:t>
      </w:r>
      <w:r w:rsidRPr="001D01B9">
        <w:rPr>
          <w:lang w:val="fr-CA"/>
        </w:rPr>
        <w:t xml:space="preserve"> de société, </w:t>
      </w:r>
      <w:r>
        <w:rPr>
          <w:lang w:val="fr-CA"/>
        </w:rPr>
        <w:t xml:space="preserve">art. </w:t>
      </w:r>
      <w:r w:rsidRPr="001D01B9">
        <w:rPr>
          <w:lang w:val="fr-CA"/>
        </w:rPr>
        <w:t>3.7.</w:t>
      </w:r>
    </w:p>
  </w:footnote>
  <w:footnote w:id="9">
    <w:p w:rsidR="00F64CCF" w:rsidRPr="001D01B9" w:rsidRDefault="00F64CCF" w:rsidP="0018307E">
      <w:pPr>
        <w:pStyle w:val="FootnoteText"/>
        <w:rPr>
          <w:lang w:val="fr-CA"/>
        </w:rPr>
      </w:pPr>
      <w:r>
        <w:rPr>
          <w:rStyle w:val="FootnoteReference"/>
        </w:rPr>
        <w:footnoteRef/>
      </w:r>
      <w:r>
        <w:rPr>
          <w:lang w:val="fr-CA"/>
        </w:rPr>
        <w:t xml:space="preserve"> Contrat de société, art. 3.3 </w:t>
      </w:r>
      <w:proofErr w:type="gramStart"/>
      <w:r>
        <w:rPr>
          <w:lang w:val="fr-CA"/>
        </w:rPr>
        <w:t>et</w:t>
      </w:r>
      <w:proofErr w:type="gramEnd"/>
      <w:r w:rsidRPr="001D01B9">
        <w:rPr>
          <w:lang w:val="fr-CA"/>
        </w:rPr>
        <w:t xml:space="preserve"> 3.4.</w:t>
      </w:r>
    </w:p>
  </w:footnote>
  <w:footnote w:id="10">
    <w:p w:rsidR="00F64CCF" w:rsidRPr="001D01B9" w:rsidRDefault="00F64CCF" w:rsidP="0018307E">
      <w:pPr>
        <w:pStyle w:val="FootnoteText"/>
        <w:rPr>
          <w:lang w:val="fr-CA"/>
        </w:rPr>
      </w:pPr>
      <w:r>
        <w:rPr>
          <w:rStyle w:val="FootnoteReference"/>
        </w:rPr>
        <w:footnoteRef/>
      </w:r>
      <w:r>
        <w:rPr>
          <w:lang w:val="fr-CA"/>
        </w:rPr>
        <w:t xml:space="preserve"> Contrat de société, art. 9.</w:t>
      </w:r>
      <w:r w:rsidRPr="001D01B9">
        <w:rPr>
          <w:lang w:val="fr-CA"/>
        </w:rPr>
        <w:t>5.</w:t>
      </w:r>
    </w:p>
  </w:footnote>
  <w:footnote w:id="11">
    <w:p w:rsidR="00F64CCF" w:rsidRPr="001452C8" w:rsidRDefault="00F64CCF" w:rsidP="0018307E">
      <w:pPr>
        <w:pStyle w:val="FootnoteText"/>
        <w:rPr>
          <w:lang w:val="fr-CA"/>
        </w:rPr>
      </w:pPr>
      <w:r>
        <w:rPr>
          <w:rStyle w:val="FootnoteReference"/>
        </w:rPr>
        <w:footnoteRef/>
      </w:r>
      <w:r w:rsidRPr="001452C8">
        <w:rPr>
          <w:lang w:val="fr-CA"/>
        </w:rPr>
        <w:t xml:space="preserve"> R.S.B.C. 1996, ch.</w:t>
      </w:r>
      <w:r>
        <w:rPr>
          <w:lang w:val="fr-CA"/>
        </w:rPr>
        <w:t xml:space="preserve"> </w:t>
      </w:r>
      <w:r w:rsidRPr="001452C8">
        <w:rPr>
          <w:lang w:val="fr-CA"/>
        </w:rPr>
        <w:t>348.</w:t>
      </w:r>
    </w:p>
  </w:footnote>
  <w:footnote w:id="12">
    <w:p w:rsidR="00F64CCF" w:rsidRPr="001452C8" w:rsidRDefault="00F64CCF" w:rsidP="0018307E">
      <w:pPr>
        <w:pStyle w:val="FootnoteText"/>
        <w:rPr>
          <w:lang w:val="fr-CA"/>
        </w:rPr>
      </w:pPr>
      <w:r>
        <w:rPr>
          <w:rStyle w:val="FootnoteReference"/>
        </w:rPr>
        <w:footnoteRef/>
      </w:r>
      <w:r w:rsidRPr="001452C8">
        <w:rPr>
          <w:lang w:val="fr-CA"/>
        </w:rPr>
        <w:t xml:space="preserve"> </w:t>
      </w:r>
      <w:r>
        <w:rPr>
          <w:lang w:val="fr-CA"/>
        </w:rPr>
        <w:t>Contrat</w:t>
      </w:r>
      <w:r w:rsidRPr="001452C8">
        <w:rPr>
          <w:lang w:val="fr-CA"/>
        </w:rPr>
        <w:t xml:space="preserve"> de société, art.</w:t>
      </w:r>
      <w:r>
        <w:rPr>
          <w:lang w:val="fr-CA"/>
        </w:rPr>
        <w:t xml:space="preserve"> </w:t>
      </w:r>
      <w:r w:rsidRPr="001452C8">
        <w:rPr>
          <w:lang w:val="fr-CA"/>
        </w:rPr>
        <w:t>9.2.</w:t>
      </w:r>
    </w:p>
  </w:footnote>
  <w:footnote w:id="13">
    <w:p w:rsidR="00F64CCF" w:rsidRPr="00DC58E9" w:rsidRDefault="00F64CCF" w:rsidP="0018307E">
      <w:pPr>
        <w:pStyle w:val="FootnoteText"/>
        <w:rPr>
          <w:lang w:val="fr-CA"/>
        </w:rPr>
      </w:pPr>
      <w:r>
        <w:rPr>
          <w:rStyle w:val="FootnoteReference"/>
        </w:rPr>
        <w:footnoteRef/>
      </w:r>
      <w:r w:rsidRPr="001D01B9">
        <w:rPr>
          <w:lang w:val="fr-CA"/>
        </w:rPr>
        <w:t xml:space="preserve"> </w:t>
      </w:r>
      <w:r>
        <w:rPr>
          <w:lang w:val="fr-CA"/>
        </w:rPr>
        <w:t>S.B.C. 2004, ch. 45.</w:t>
      </w:r>
    </w:p>
  </w:footnote>
  <w:footnote w:id="14">
    <w:p w:rsidR="00F64CCF" w:rsidRPr="00A87190" w:rsidRDefault="00F64CCF" w:rsidP="0018307E">
      <w:pPr>
        <w:pStyle w:val="FootnoteText"/>
        <w:rPr>
          <w:lang w:val="fr-CA"/>
        </w:rPr>
      </w:pPr>
      <w:r>
        <w:rPr>
          <w:rStyle w:val="FootnoteReference"/>
        </w:rPr>
        <w:footnoteRef/>
      </w:r>
      <w:r w:rsidRPr="00A87190">
        <w:rPr>
          <w:lang w:val="fr-CA"/>
        </w:rPr>
        <w:t xml:space="preserve"> </w:t>
      </w:r>
      <w:r w:rsidRPr="00A87190">
        <w:rPr>
          <w:rFonts w:cs="Times New Roman"/>
          <w:lang w:val="fr-CA"/>
        </w:rPr>
        <w:t>1890, ch.</w:t>
      </w:r>
      <w:r>
        <w:rPr>
          <w:rFonts w:cs="Times New Roman"/>
          <w:lang w:val="fr-CA"/>
        </w:rPr>
        <w:t xml:space="preserve"> </w:t>
      </w:r>
      <w:r w:rsidRPr="00A87190">
        <w:rPr>
          <w:rFonts w:cs="Times New Roman"/>
          <w:lang w:val="fr-CA"/>
        </w:rPr>
        <w:t>39.</w:t>
      </w:r>
    </w:p>
  </w:footnote>
  <w:footnote w:id="15">
    <w:p w:rsidR="00F64CCF" w:rsidRPr="001D01B9" w:rsidRDefault="00F64CCF" w:rsidP="0018307E">
      <w:pPr>
        <w:pStyle w:val="FootnoteText"/>
        <w:rPr>
          <w:lang w:val="fr-CA"/>
        </w:rPr>
      </w:pPr>
      <w:r>
        <w:rPr>
          <w:rStyle w:val="FootnoteReference"/>
        </w:rPr>
        <w:footnoteRef/>
      </w:r>
      <w:r>
        <w:rPr>
          <w:lang w:val="fr-CA"/>
        </w:rPr>
        <w:t xml:space="preserve"> Contrat</w:t>
      </w:r>
      <w:r w:rsidRPr="001D01B9">
        <w:rPr>
          <w:lang w:val="fr-CA"/>
        </w:rPr>
        <w:t xml:space="preserve"> de société, </w:t>
      </w:r>
      <w:r>
        <w:rPr>
          <w:lang w:val="fr-CA"/>
        </w:rPr>
        <w:t xml:space="preserve">art. </w:t>
      </w:r>
      <w:r w:rsidRPr="001D01B9">
        <w:rPr>
          <w:lang w:val="fr-CA"/>
        </w:rPr>
        <w:t>3.3.</w:t>
      </w:r>
    </w:p>
  </w:footnote>
  <w:footnote w:id="16">
    <w:p w:rsidR="00F64CCF" w:rsidRPr="00DE3128" w:rsidRDefault="00F64CCF" w:rsidP="0018307E">
      <w:pPr>
        <w:pStyle w:val="FootnoteText"/>
        <w:rPr>
          <w:lang w:val="fr-CA"/>
        </w:rPr>
      </w:pPr>
      <w:r w:rsidRPr="00DE3128">
        <w:rPr>
          <w:rStyle w:val="FootnoteReference"/>
        </w:rPr>
        <w:footnoteRef/>
      </w:r>
      <w:r w:rsidRPr="00DE3128">
        <w:rPr>
          <w:lang w:val="fr-CA"/>
        </w:rPr>
        <w:t xml:space="preserve"> </w:t>
      </w:r>
      <w:r>
        <w:rPr>
          <w:lang w:val="fr-CA"/>
        </w:rPr>
        <w:t>Contrat</w:t>
      </w:r>
      <w:r w:rsidRPr="00DE3128">
        <w:rPr>
          <w:lang w:val="fr-CA"/>
        </w:rPr>
        <w:t xml:space="preserve"> de société, art.</w:t>
      </w:r>
      <w:r>
        <w:rPr>
          <w:lang w:val="fr-CA"/>
        </w:rPr>
        <w:t xml:space="preserve"> </w:t>
      </w:r>
      <w:r w:rsidRPr="00DE3128">
        <w:rPr>
          <w:lang w:val="fr-CA"/>
        </w:rPr>
        <w:t>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CF" w:rsidRPr="00450352" w:rsidRDefault="00F64CC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1LevelTitre1Niveau-AltL"/>
      <w:lvlText w:val="%2."/>
      <w:lvlJc w:val="left"/>
      <w:pPr>
        <w:tabs>
          <w:tab w:val="num" w:pos="432"/>
        </w:tabs>
        <w:ind w:left="432" w:hanging="432"/>
      </w:pPr>
      <w:rPr>
        <w:rFonts w:ascii="Times New Roman" w:hAnsi="Times New Roman" w:hint="default"/>
        <w:b w:val="0"/>
        <w:i w:val="0"/>
        <w:sz w:val="24"/>
      </w:rPr>
    </w:lvl>
    <w:lvl w:ilvl="2">
      <w:start w:val="1"/>
      <w:numFmt w:val="decimal"/>
      <w:pStyle w:val="Title2LevelTitre2Niveau"/>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296"/>
        </w:tabs>
        <w:ind w:left="1296" w:hanging="432"/>
      </w:pPr>
      <w:rPr>
        <w:rFonts w:hint="default"/>
        <w:b w:val="0"/>
        <w:i w:val="0"/>
      </w:rPr>
    </w:lvl>
    <w:lvl w:ilvl="4">
      <w:start w:val="1"/>
      <w:numFmt w:val="lowerRoman"/>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F50A1FA2"/>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D665DB"/>
    <w:multiLevelType w:val="hybridMultilevel"/>
    <w:tmpl w:val="CCF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37912"/>
    <w:multiLevelType w:val="hybridMultilevel"/>
    <w:tmpl w:val="FB7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7"/>
  </w:num>
  <w:num w:numId="3">
    <w:abstractNumId w:val="20"/>
  </w:num>
  <w:num w:numId="4">
    <w:abstractNumId w:val="11"/>
  </w:num>
  <w:num w:numId="5">
    <w:abstractNumId w:val="10"/>
  </w:num>
  <w:num w:numId="6">
    <w:abstractNumId w:val="15"/>
  </w:num>
  <w:num w:numId="7">
    <w:abstractNumId w:val="16"/>
  </w:num>
  <w:num w:numId="8">
    <w:abstractNumId w:val="13"/>
  </w:num>
  <w:num w:numId="9">
    <w:abstractNumId w:val="18"/>
  </w:num>
  <w:num w:numId="10">
    <w:abstractNumId w:val="19"/>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rsids>
    <w:rsidRoot w:val="0031414C"/>
    <w:rsid w:val="00000ED4"/>
    <w:rsid w:val="00015592"/>
    <w:rsid w:val="00023FC7"/>
    <w:rsid w:val="00025198"/>
    <w:rsid w:val="00030AEF"/>
    <w:rsid w:val="00040796"/>
    <w:rsid w:val="0004634E"/>
    <w:rsid w:val="000578A3"/>
    <w:rsid w:val="000648CC"/>
    <w:rsid w:val="00072E3F"/>
    <w:rsid w:val="000855C2"/>
    <w:rsid w:val="000B6DDD"/>
    <w:rsid w:val="000C59B8"/>
    <w:rsid w:val="000C6AF0"/>
    <w:rsid w:val="000D0A77"/>
    <w:rsid w:val="000F7993"/>
    <w:rsid w:val="000F7A8D"/>
    <w:rsid w:val="00104F33"/>
    <w:rsid w:val="00111DE2"/>
    <w:rsid w:val="00116B38"/>
    <w:rsid w:val="00135406"/>
    <w:rsid w:val="00135972"/>
    <w:rsid w:val="001426A9"/>
    <w:rsid w:val="00144BE3"/>
    <w:rsid w:val="00154D7C"/>
    <w:rsid w:val="001570B0"/>
    <w:rsid w:val="0015752C"/>
    <w:rsid w:val="00157737"/>
    <w:rsid w:val="00165277"/>
    <w:rsid w:val="00167333"/>
    <w:rsid w:val="00170592"/>
    <w:rsid w:val="001720F7"/>
    <w:rsid w:val="0018307E"/>
    <w:rsid w:val="00195D83"/>
    <w:rsid w:val="001A00C1"/>
    <w:rsid w:val="001A1C5B"/>
    <w:rsid w:val="001B33E0"/>
    <w:rsid w:val="001B3B0E"/>
    <w:rsid w:val="001B4573"/>
    <w:rsid w:val="001C650E"/>
    <w:rsid w:val="001C779F"/>
    <w:rsid w:val="001D2AC1"/>
    <w:rsid w:val="001D4733"/>
    <w:rsid w:val="001D4E88"/>
    <w:rsid w:val="001D6F15"/>
    <w:rsid w:val="00220FC2"/>
    <w:rsid w:val="002222F4"/>
    <w:rsid w:val="00224FC0"/>
    <w:rsid w:val="00225EA4"/>
    <w:rsid w:val="00226EAF"/>
    <w:rsid w:val="00231F3A"/>
    <w:rsid w:val="00235240"/>
    <w:rsid w:val="00236834"/>
    <w:rsid w:val="00236F0B"/>
    <w:rsid w:val="002406EE"/>
    <w:rsid w:val="00243EC8"/>
    <w:rsid w:val="00246209"/>
    <w:rsid w:val="00251317"/>
    <w:rsid w:val="00270D93"/>
    <w:rsid w:val="0027104D"/>
    <w:rsid w:val="002745CC"/>
    <w:rsid w:val="00284EB7"/>
    <w:rsid w:val="00287D8C"/>
    <w:rsid w:val="002B6FBE"/>
    <w:rsid w:val="002B7924"/>
    <w:rsid w:val="002C10A6"/>
    <w:rsid w:val="002C6333"/>
    <w:rsid w:val="002D28C3"/>
    <w:rsid w:val="002D39A4"/>
    <w:rsid w:val="002E6705"/>
    <w:rsid w:val="0030329A"/>
    <w:rsid w:val="00307C66"/>
    <w:rsid w:val="0031086F"/>
    <w:rsid w:val="00311731"/>
    <w:rsid w:val="0031414C"/>
    <w:rsid w:val="0031441A"/>
    <w:rsid w:val="00314E01"/>
    <w:rsid w:val="0032089D"/>
    <w:rsid w:val="003310DE"/>
    <w:rsid w:val="003323B0"/>
    <w:rsid w:val="00340A49"/>
    <w:rsid w:val="0035169A"/>
    <w:rsid w:val="0035259D"/>
    <w:rsid w:val="003539DE"/>
    <w:rsid w:val="00364B18"/>
    <w:rsid w:val="00367441"/>
    <w:rsid w:val="00392004"/>
    <w:rsid w:val="003A125D"/>
    <w:rsid w:val="003A3132"/>
    <w:rsid w:val="003A4C70"/>
    <w:rsid w:val="003B215F"/>
    <w:rsid w:val="003B45A2"/>
    <w:rsid w:val="003C799C"/>
    <w:rsid w:val="003D0399"/>
    <w:rsid w:val="003D17FB"/>
    <w:rsid w:val="003D1DFA"/>
    <w:rsid w:val="003E1C71"/>
    <w:rsid w:val="003F327B"/>
    <w:rsid w:val="00406166"/>
    <w:rsid w:val="0040704B"/>
    <w:rsid w:val="00410A55"/>
    <w:rsid w:val="00411300"/>
    <w:rsid w:val="00413F17"/>
    <w:rsid w:val="00415417"/>
    <w:rsid w:val="00416699"/>
    <w:rsid w:val="00416E40"/>
    <w:rsid w:val="00426659"/>
    <w:rsid w:val="0044783D"/>
    <w:rsid w:val="00450352"/>
    <w:rsid w:val="00450625"/>
    <w:rsid w:val="00454BDB"/>
    <w:rsid w:val="00463D28"/>
    <w:rsid w:val="00465132"/>
    <w:rsid w:val="00466AFE"/>
    <w:rsid w:val="00472A0F"/>
    <w:rsid w:val="00480C90"/>
    <w:rsid w:val="0048396F"/>
    <w:rsid w:val="00484FB4"/>
    <w:rsid w:val="0048703F"/>
    <w:rsid w:val="00493C18"/>
    <w:rsid w:val="004A600C"/>
    <w:rsid w:val="004A6118"/>
    <w:rsid w:val="004C478D"/>
    <w:rsid w:val="004D1972"/>
    <w:rsid w:val="004D4B9E"/>
    <w:rsid w:val="004D7D95"/>
    <w:rsid w:val="004E2C26"/>
    <w:rsid w:val="004F0FA7"/>
    <w:rsid w:val="005125A8"/>
    <w:rsid w:val="0051585D"/>
    <w:rsid w:val="00517549"/>
    <w:rsid w:val="00520ABC"/>
    <w:rsid w:val="00521AE8"/>
    <w:rsid w:val="00527180"/>
    <w:rsid w:val="0054222D"/>
    <w:rsid w:val="00555291"/>
    <w:rsid w:val="00561945"/>
    <w:rsid w:val="00566AD1"/>
    <w:rsid w:val="00583EDE"/>
    <w:rsid w:val="005920B6"/>
    <w:rsid w:val="005A6079"/>
    <w:rsid w:val="005C3F96"/>
    <w:rsid w:val="005C40FB"/>
    <w:rsid w:val="005C5122"/>
    <w:rsid w:val="005E4698"/>
    <w:rsid w:val="005E496A"/>
    <w:rsid w:val="005F301F"/>
    <w:rsid w:val="00603924"/>
    <w:rsid w:val="00610539"/>
    <w:rsid w:val="00613969"/>
    <w:rsid w:val="00625C35"/>
    <w:rsid w:val="00626039"/>
    <w:rsid w:val="00647E49"/>
    <w:rsid w:val="00651940"/>
    <w:rsid w:val="00656313"/>
    <w:rsid w:val="006565F4"/>
    <w:rsid w:val="00684BD3"/>
    <w:rsid w:val="00684EEA"/>
    <w:rsid w:val="0069689B"/>
    <w:rsid w:val="006B1678"/>
    <w:rsid w:val="006B5FF5"/>
    <w:rsid w:val="006D1137"/>
    <w:rsid w:val="006D1258"/>
    <w:rsid w:val="006D5E01"/>
    <w:rsid w:val="006F30AF"/>
    <w:rsid w:val="006F779A"/>
    <w:rsid w:val="00701759"/>
    <w:rsid w:val="00705B88"/>
    <w:rsid w:val="00705C15"/>
    <w:rsid w:val="007110F6"/>
    <w:rsid w:val="007208D1"/>
    <w:rsid w:val="00721922"/>
    <w:rsid w:val="00744518"/>
    <w:rsid w:val="0074464D"/>
    <w:rsid w:val="00744C9F"/>
    <w:rsid w:val="00747288"/>
    <w:rsid w:val="00747DD3"/>
    <w:rsid w:val="007549C8"/>
    <w:rsid w:val="007577B4"/>
    <w:rsid w:val="00760739"/>
    <w:rsid w:val="0076080F"/>
    <w:rsid w:val="00766D14"/>
    <w:rsid w:val="00767A0F"/>
    <w:rsid w:val="0077427C"/>
    <w:rsid w:val="007760BE"/>
    <w:rsid w:val="007806F2"/>
    <w:rsid w:val="00791272"/>
    <w:rsid w:val="007A05F6"/>
    <w:rsid w:val="007B08F9"/>
    <w:rsid w:val="007B373D"/>
    <w:rsid w:val="007B6F4A"/>
    <w:rsid w:val="007C0581"/>
    <w:rsid w:val="007D41AA"/>
    <w:rsid w:val="007D592C"/>
    <w:rsid w:val="007D6E65"/>
    <w:rsid w:val="007E1C47"/>
    <w:rsid w:val="007E337A"/>
    <w:rsid w:val="007E5C70"/>
    <w:rsid w:val="007F2FF5"/>
    <w:rsid w:val="007F388B"/>
    <w:rsid w:val="007F3F08"/>
    <w:rsid w:val="007F4220"/>
    <w:rsid w:val="00804CC6"/>
    <w:rsid w:val="00817190"/>
    <w:rsid w:val="00820E9F"/>
    <w:rsid w:val="008260E2"/>
    <w:rsid w:val="008322BD"/>
    <w:rsid w:val="00834F73"/>
    <w:rsid w:val="00843E7F"/>
    <w:rsid w:val="00863402"/>
    <w:rsid w:val="00864C8A"/>
    <w:rsid w:val="00864CF8"/>
    <w:rsid w:val="00874914"/>
    <w:rsid w:val="0088197F"/>
    <w:rsid w:val="00885EBA"/>
    <w:rsid w:val="00891422"/>
    <w:rsid w:val="00892E1A"/>
    <w:rsid w:val="008A691B"/>
    <w:rsid w:val="008B660A"/>
    <w:rsid w:val="008C01DA"/>
    <w:rsid w:val="008E39C1"/>
    <w:rsid w:val="008F2674"/>
    <w:rsid w:val="008F78E9"/>
    <w:rsid w:val="009159DB"/>
    <w:rsid w:val="0091674D"/>
    <w:rsid w:val="009179F9"/>
    <w:rsid w:val="00917C7A"/>
    <w:rsid w:val="009337CF"/>
    <w:rsid w:val="00933E5E"/>
    <w:rsid w:val="00935218"/>
    <w:rsid w:val="00937C52"/>
    <w:rsid w:val="009403F3"/>
    <w:rsid w:val="00940810"/>
    <w:rsid w:val="009540E1"/>
    <w:rsid w:val="009555B7"/>
    <w:rsid w:val="009567AA"/>
    <w:rsid w:val="009602C9"/>
    <w:rsid w:val="00967374"/>
    <w:rsid w:val="0097294E"/>
    <w:rsid w:val="009906AF"/>
    <w:rsid w:val="009A343A"/>
    <w:rsid w:val="009B2F23"/>
    <w:rsid w:val="009B3001"/>
    <w:rsid w:val="009B57B3"/>
    <w:rsid w:val="009C08D7"/>
    <w:rsid w:val="009D2920"/>
    <w:rsid w:val="009D5AEB"/>
    <w:rsid w:val="009F0E33"/>
    <w:rsid w:val="00A106A4"/>
    <w:rsid w:val="00A149DF"/>
    <w:rsid w:val="00A1755C"/>
    <w:rsid w:val="00A21447"/>
    <w:rsid w:val="00A21B90"/>
    <w:rsid w:val="00A22AAC"/>
    <w:rsid w:val="00A41805"/>
    <w:rsid w:val="00A43055"/>
    <w:rsid w:val="00A461A6"/>
    <w:rsid w:val="00A51882"/>
    <w:rsid w:val="00A52AFB"/>
    <w:rsid w:val="00A54749"/>
    <w:rsid w:val="00A548CB"/>
    <w:rsid w:val="00A5521C"/>
    <w:rsid w:val="00A643E7"/>
    <w:rsid w:val="00A73C38"/>
    <w:rsid w:val="00A81C0D"/>
    <w:rsid w:val="00A929EE"/>
    <w:rsid w:val="00AB670D"/>
    <w:rsid w:val="00AD0CEE"/>
    <w:rsid w:val="00AF03C5"/>
    <w:rsid w:val="00B000D8"/>
    <w:rsid w:val="00B00F75"/>
    <w:rsid w:val="00B054F8"/>
    <w:rsid w:val="00B069E7"/>
    <w:rsid w:val="00B112FA"/>
    <w:rsid w:val="00B145B6"/>
    <w:rsid w:val="00B27177"/>
    <w:rsid w:val="00B279EB"/>
    <w:rsid w:val="00B50C81"/>
    <w:rsid w:val="00B557F8"/>
    <w:rsid w:val="00B67557"/>
    <w:rsid w:val="00B72B9E"/>
    <w:rsid w:val="00B815FC"/>
    <w:rsid w:val="00B82AC5"/>
    <w:rsid w:val="00B93FBC"/>
    <w:rsid w:val="00BA2F72"/>
    <w:rsid w:val="00BA7DA0"/>
    <w:rsid w:val="00BB2EE4"/>
    <w:rsid w:val="00BB4C92"/>
    <w:rsid w:val="00BC2108"/>
    <w:rsid w:val="00BC248C"/>
    <w:rsid w:val="00BD0E9E"/>
    <w:rsid w:val="00BD1BEC"/>
    <w:rsid w:val="00BD32FF"/>
    <w:rsid w:val="00BD4BF6"/>
    <w:rsid w:val="00BD7B9B"/>
    <w:rsid w:val="00BF6FE9"/>
    <w:rsid w:val="00C02092"/>
    <w:rsid w:val="00C24D91"/>
    <w:rsid w:val="00C260AF"/>
    <w:rsid w:val="00C26DB2"/>
    <w:rsid w:val="00C31283"/>
    <w:rsid w:val="00C441A8"/>
    <w:rsid w:val="00C53F14"/>
    <w:rsid w:val="00C57EB1"/>
    <w:rsid w:val="00C600CF"/>
    <w:rsid w:val="00C6084F"/>
    <w:rsid w:val="00C62A66"/>
    <w:rsid w:val="00C66359"/>
    <w:rsid w:val="00C71458"/>
    <w:rsid w:val="00C74A01"/>
    <w:rsid w:val="00C77613"/>
    <w:rsid w:val="00C828E7"/>
    <w:rsid w:val="00C86719"/>
    <w:rsid w:val="00C921DD"/>
    <w:rsid w:val="00CA2048"/>
    <w:rsid w:val="00CA39FD"/>
    <w:rsid w:val="00CA3BA5"/>
    <w:rsid w:val="00CA6391"/>
    <w:rsid w:val="00CC259D"/>
    <w:rsid w:val="00CE035F"/>
    <w:rsid w:val="00CE036E"/>
    <w:rsid w:val="00CE2E46"/>
    <w:rsid w:val="00CE3171"/>
    <w:rsid w:val="00CE5A40"/>
    <w:rsid w:val="00CE70E3"/>
    <w:rsid w:val="00CF0BCA"/>
    <w:rsid w:val="00CF1601"/>
    <w:rsid w:val="00D0172F"/>
    <w:rsid w:val="00D01E33"/>
    <w:rsid w:val="00D068A7"/>
    <w:rsid w:val="00D12A31"/>
    <w:rsid w:val="00D17476"/>
    <w:rsid w:val="00D20B05"/>
    <w:rsid w:val="00D30031"/>
    <w:rsid w:val="00D32086"/>
    <w:rsid w:val="00D37A3F"/>
    <w:rsid w:val="00D4431D"/>
    <w:rsid w:val="00D4667A"/>
    <w:rsid w:val="00D63A1C"/>
    <w:rsid w:val="00D7516F"/>
    <w:rsid w:val="00D93AAA"/>
    <w:rsid w:val="00D95F8E"/>
    <w:rsid w:val="00DA0590"/>
    <w:rsid w:val="00DA3D7E"/>
    <w:rsid w:val="00DB6008"/>
    <w:rsid w:val="00DC1739"/>
    <w:rsid w:val="00DC1788"/>
    <w:rsid w:val="00DE319C"/>
    <w:rsid w:val="00DE7E53"/>
    <w:rsid w:val="00DF0CA8"/>
    <w:rsid w:val="00DF0D98"/>
    <w:rsid w:val="00DF2B48"/>
    <w:rsid w:val="00DF3361"/>
    <w:rsid w:val="00DF49A7"/>
    <w:rsid w:val="00E07EE2"/>
    <w:rsid w:val="00E07FD1"/>
    <w:rsid w:val="00E24573"/>
    <w:rsid w:val="00E25E1E"/>
    <w:rsid w:val="00E27EE7"/>
    <w:rsid w:val="00E35404"/>
    <w:rsid w:val="00E446E6"/>
    <w:rsid w:val="00E45109"/>
    <w:rsid w:val="00E47B7A"/>
    <w:rsid w:val="00E50C97"/>
    <w:rsid w:val="00E56A44"/>
    <w:rsid w:val="00E60269"/>
    <w:rsid w:val="00E60F14"/>
    <w:rsid w:val="00E72C8F"/>
    <w:rsid w:val="00E86303"/>
    <w:rsid w:val="00E866F9"/>
    <w:rsid w:val="00E946F2"/>
    <w:rsid w:val="00E97830"/>
    <w:rsid w:val="00EA17FC"/>
    <w:rsid w:val="00ED0A38"/>
    <w:rsid w:val="00EE0830"/>
    <w:rsid w:val="00EE1B8B"/>
    <w:rsid w:val="00EE6CB8"/>
    <w:rsid w:val="00EF0683"/>
    <w:rsid w:val="00F0070C"/>
    <w:rsid w:val="00F00EB7"/>
    <w:rsid w:val="00F17FDB"/>
    <w:rsid w:val="00F20B97"/>
    <w:rsid w:val="00F273A9"/>
    <w:rsid w:val="00F36AB6"/>
    <w:rsid w:val="00F37A09"/>
    <w:rsid w:val="00F409CE"/>
    <w:rsid w:val="00F4379D"/>
    <w:rsid w:val="00F50D2D"/>
    <w:rsid w:val="00F51CAD"/>
    <w:rsid w:val="00F56C8B"/>
    <w:rsid w:val="00F62639"/>
    <w:rsid w:val="00F64CCF"/>
    <w:rsid w:val="00F66810"/>
    <w:rsid w:val="00F74B32"/>
    <w:rsid w:val="00F75787"/>
    <w:rsid w:val="00F84DF4"/>
    <w:rsid w:val="00F85C97"/>
    <w:rsid w:val="00F85D14"/>
    <w:rsid w:val="00F868BA"/>
    <w:rsid w:val="00F953AC"/>
    <w:rsid w:val="00F97A17"/>
    <w:rsid w:val="00FB37D2"/>
    <w:rsid w:val="00FB45A1"/>
    <w:rsid w:val="00FC4EFB"/>
    <w:rsid w:val="00FD068D"/>
    <w:rsid w:val="00FD4591"/>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307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8307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8307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8307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8307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8307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8307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18307E"/>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F17FDB"/>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semiHidden/>
    <w:unhideWhenUsed/>
    <w:rsid w:val="00BA2F72"/>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BA2F72"/>
    <w:rPr>
      <w:rFonts w:eastAsiaTheme="minorHAnsi" w:cstheme="minorBidi"/>
      <w:lang w:val="en-US" w:eastAsia="en-US" w:bidi="en-US"/>
    </w:rPr>
  </w:style>
  <w:style w:type="character" w:styleId="FootnoteReference">
    <w:name w:val="footnote reference"/>
    <w:basedOn w:val="DefaultParagraphFont"/>
    <w:uiPriority w:val="99"/>
    <w:semiHidden/>
    <w:unhideWhenUsed/>
    <w:rsid w:val="00BA2F72"/>
    <w:rPr>
      <w:vertAlign w:val="superscript"/>
    </w:rPr>
  </w:style>
  <w:style w:type="character" w:customStyle="1" w:styleId="Heading3Char">
    <w:name w:val="Heading 3 Char"/>
    <w:basedOn w:val="DefaultParagraphFont"/>
    <w:link w:val="Heading3"/>
    <w:uiPriority w:val="9"/>
    <w:semiHidden/>
    <w:rsid w:val="0018307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8307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8307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8307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8307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8307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8307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8307E"/>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18307E"/>
    <w:rPr>
      <w:rFonts w:eastAsiaTheme="minorHAnsi" w:cstheme="minorBidi"/>
      <w:sz w:val="24"/>
      <w:szCs w:val="22"/>
      <w:lang w:val="en-US" w:eastAsia="en-US" w:bidi="en-US"/>
    </w:rPr>
  </w:style>
  <w:style w:type="paragraph" w:customStyle="1" w:styleId="SCCCoram">
    <w:name w:val="SCC.Coram"/>
    <w:basedOn w:val="Normal"/>
    <w:next w:val="Normal"/>
    <w:link w:val="SCCCoramChar"/>
    <w:rsid w:val="0018307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8307E"/>
    <w:rPr>
      <w:rFonts w:eastAsiaTheme="minorHAnsi" w:cstheme="minorBidi"/>
      <w:sz w:val="24"/>
      <w:szCs w:val="22"/>
      <w:lang w:val="en-US" w:eastAsia="en-US" w:bidi="en-US"/>
    </w:rPr>
  </w:style>
  <w:style w:type="table" w:styleId="TableGrid">
    <w:name w:val="Table Grid"/>
    <w:basedOn w:val="TableNormal"/>
    <w:uiPriority w:val="59"/>
    <w:rsid w:val="001830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8307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8307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8307E"/>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18307E"/>
    <w:rPr>
      <w:smallCaps/>
      <w:sz w:val="24"/>
    </w:rPr>
  </w:style>
  <w:style w:type="paragraph" w:customStyle="1" w:styleId="Title1LevelTitre1Niveau-AltL">
    <w:name w:val="Title 1 Level / Titre 1 Niveau - Alt L"/>
    <w:next w:val="ParaNoNdepar-AltN"/>
    <w:uiPriority w:val="4"/>
    <w:qFormat/>
    <w:rsid w:val="0018307E"/>
    <w:pPr>
      <w:numPr>
        <w:numId w:val="8"/>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8307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8307E"/>
    <w:pPr>
      <w:numPr>
        <w:numId w:val="0"/>
      </w:numPr>
      <w:tabs>
        <w:tab w:val="left" w:pos="432"/>
        <w:tab w:val="num" w:pos="864"/>
      </w:tabs>
      <w:ind w:left="864" w:hanging="432"/>
    </w:pPr>
  </w:style>
  <w:style w:type="paragraph" w:customStyle="1" w:styleId="Title4LevelTitre4Niveau">
    <w:name w:val="Title 4 Level / Titre 4 Niveau"/>
    <w:basedOn w:val="Title3LevelTitre3Niveau"/>
    <w:next w:val="ParaNoNdepar-AltN"/>
    <w:uiPriority w:val="4"/>
    <w:qFormat/>
    <w:rsid w:val="0018307E"/>
    <w:pPr>
      <w:numPr>
        <w:ilvl w:val="3"/>
      </w:numPr>
      <w:tabs>
        <w:tab w:val="num" w:pos="864"/>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18307E"/>
    <w:pPr>
      <w:numPr>
        <w:numId w:val="0"/>
      </w:numPr>
      <w:tabs>
        <w:tab w:val="left" w:pos="432"/>
        <w:tab w:val="num" w:pos="1440"/>
      </w:tabs>
      <w:ind w:left="1440" w:hanging="540"/>
    </w:pPr>
  </w:style>
  <w:style w:type="paragraph" w:styleId="TOC1">
    <w:name w:val="toc 1"/>
    <w:basedOn w:val="Normal"/>
    <w:next w:val="Normal"/>
    <w:autoRedefine/>
    <w:uiPriority w:val="39"/>
    <w:unhideWhenUsed/>
    <w:rsid w:val="0018307E"/>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8307E"/>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8307E"/>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8307E"/>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8307E"/>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8307E"/>
    <w:pPr>
      <w:tabs>
        <w:tab w:val="left" w:pos="2160"/>
        <w:tab w:val="right" w:leader="dot" w:pos="8270"/>
      </w:tabs>
      <w:spacing w:after="100"/>
      <w:ind w:left="1800"/>
    </w:pPr>
    <w:rPr>
      <w:rFonts w:eastAsiaTheme="minorHAnsi" w:cstheme="minorBidi"/>
      <w:noProof/>
      <w:lang w:val="en-US" w:eastAsia="en-US" w:bidi="en-US"/>
    </w:rPr>
  </w:style>
  <w:style w:type="paragraph" w:customStyle="1" w:styleId="TitleTitre-AltT">
    <w:name w:val="Title / Titre - Alt T"/>
    <w:next w:val="ParaNoNdepar-AltN"/>
    <w:uiPriority w:val="3"/>
    <w:qFormat/>
    <w:rsid w:val="0018307E"/>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basedOn w:val="DefaultParagraphFont"/>
    <w:uiPriority w:val="19"/>
    <w:rsid w:val="0018307E"/>
    <w:rPr>
      <w:i/>
      <w:iCs/>
      <w:color w:val="808080" w:themeColor="text1" w:themeTint="7F"/>
    </w:rPr>
  </w:style>
  <w:style w:type="character" w:customStyle="1" w:styleId="canliisectionwithsubsection1">
    <w:name w:val="canlii_section_with_subsection1"/>
    <w:basedOn w:val="DefaultParagraphFont"/>
    <w:rsid w:val="0018307E"/>
    <w:rPr>
      <w:color w:val="027ABB"/>
      <w:shd w:val="clear" w:color="auto" w:fill="F3F3F3"/>
    </w:rPr>
  </w:style>
  <w:style w:type="paragraph" w:customStyle="1" w:styleId="sub1">
    <w:name w:val="sub1"/>
    <w:basedOn w:val="Normal"/>
    <w:rsid w:val="0018307E"/>
    <w:pPr>
      <w:spacing w:before="120" w:line="360" w:lineRule="atLeast"/>
      <w:ind w:left="1440"/>
    </w:pPr>
    <w:rPr>
      <w:rFonts w:ascii="Verdana" w:eastAsiaTheme="minorHAnsi" w:hAnsi="Verdana" w:cstheme="minorBidi"/>
      <w:szCs w:val="22"/>
      <w:lang w:val="en-US" w:eastAsia="en-US" w:bidi="en-US"/>
    </w:rPr>
  </w:style>
  <w:style w:type="paragraph" w:customStyle="1" w:styleId="para1">
    <w:name w:val="para1"/>
    <w:basedOn w:val="Normal"/>
    <w:rsid w:val="0018307E"/>
    <w:pPr>
      <w:spacing w:before="120" w:line="360" w:lineRule="atLeast"/>
      <w:ind w:left="2640"/>
    </w:pPr>
    <w:rPr>
      <w:rFonts w:ascii="Verdana" w:eastAsiaTheme="minorHAnsi" w:hAnsi="Verdana" w:cstheme="minorBidi"/>
      <w:szCs w:val="22"/>
      <w:lang w:val="en-US" w:eastAsia="en-US" w:bidi="en-US"/>
    </w:rPr>
  </w:style>
  <w:style w:type="character" w:customStyle="1" w:styleId="CommentTextChar">
    <w:name w:val="Comment Text Char"/>
    <w:basedOn w:val="DefaultParagraphFont"/>
    <w:link w:val="CommentText"/>
    <w:uiPriority w:val="99"/>
    <w:semiHidden/>
    <w:rsid w:val="0018307E"/>
    <w:rPr>
      <w:rFonts w:eastAsiaTheme="minorHAnsi" w:cstheme="minorBidi"/>
      <w:szCs w:val="22"/>
      <w:lang w:val="en-US" w:eastAsia="en-US" w:bidi="en-US"/>
    </w:rPr>
  </w:style>
  <w:style w:type="paragraph" w:styleId="CommentText">
    <w:name w:val="annotation text"/>
    <w:basedOn w:val="Normal"/>
    <w:link w:val="CommentTextChar"/>
    <w:uiPriority w:val="99"/>
    <w:semiHidden/>
    <w:unhideWhenUsed/>
    <w:rsid w:val="0018307E"/>
    <w:rPr>
      <w:rFonts w:eastAsiaTheme="minorHAnsi" w:cstheme="minorBidi"/>
      <w:sz w:val="20"/>
      <w:szCs w:val="22"/>
      <w:lang w:val="en-US" w:eastAsia="en-US" w:bidi="en-US"/>
    </w:rPr>
  </w:style>
  <w:style w:type="character" w:customStyle="1" w:styleId="CommentSubjectChar">
    <w:name w:val="Comment Subject Char"/>
    <w:basedOn w:val="CommentTextChar"/>
    <w:link w:val="CommentSubject"/>
    <w:uiPriority w:val="99"/>
    <w:semiHidden/>
    <w:rsid w:val="0018307E"/>
    <w:rPr>
      <w:b/>
      <w:bCs/>
    </w:rPr>
  </w:style>
  <w:style w:type="paragraph" w:styleId="CommentSubject">
    <w:name w:val="annotation subject"/>
    <w:basedOn w:val="CommentText"/>
    <w:next w:val="CommentText"/>
    <w:link w:val="CommentSubjectChar"/>
    <w:uiPriority w:val="99"/>
    <w:semiHidden/>
    <w:unhideWhenUsed/>
    <w:rsid w:val="0018307E"/>
    <w:rPr>
      <w:b/>
      <w:bCs/>
    </w:rPr>
  </w:style>
  <w:style w:type="paragraph" w:styleId="NoSpacing">
    <w:name w:val="No Spacing"/>
    <w:uiPriority w:val="1"/>
    <w:rsid w:val="0018307E"/>
    <w:rPr>
      <w:rFonts w:eastAsiaTheme="minorHAnsi" w:cstheme="minorBidi"/>
      <w:sz w:val="24"/>
      <w:szCs w:val="22"/>
      <w:lang w:val="en-US" w:eastAsia="en-US" w:bidi="en-US"/>
    </w:rPr>
  </w:style>
  <w:style w:type="paragraph" w:styleId="Title">
    <w:name w:val="Title"/>
    <w:basedOn w:val="Normal"/>
    <w:next w:val="Normal"/>
    <w:link w:val="TitleChar"/>
    <w:uiPriority w:val="10"/>
    <w:rsid w:val="001830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8307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8307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8307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8307E"/>
    <w:rPr>
      <w:i/>
      <w:iCs/>
    </w:rPr>
  </w:style>
  <w:style w:type="paragraph" w:styleId="ListParagraph">
    <w:name w:val="List Paragraph"/>
    <w:basedOn w:val="Normal"/>
    <w:uiPriority w:val="34"/>
    <w:rsid w:val="0018307E"/>
    <w:pPr>
      <w:ind w:left="720"/>
      <w:contextualSpacing/>
    </w:pPr>
    <w:rPr>
      <w:rFonts w:eastAsiaTheme="minorHAnsi" w:cstheme="minorBidi"/>
      <w:szCs w:val="22"/>
      <w:lang w:val="en-US" w:eastAsia="en-US" w:bidi="en-US"/>
    </w:rPr>
  </w:style>
  <w:style w:type="paragraph" w:styleId="Quote">
    <w:name w:val="Quote"/>
    <w:basedOn w:val="Normal"/>
    <w:next w:val="Normal"/>
    <w:link w:val="QuoteChar"/>
    <w:uiPriority w:val="29"/>
    <w:rsid w:val="0018307E"/>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18307E"/>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18307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8307E"/>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18307E"/>
    <w:rPr>
      <w:b/>
      <w:bCs/>
      <w:i/>
      <w:iCs/>
      <w:color w:val="4F81BD" w:themeColor="accent1"/>
    </w:rPr>
  </w:style>
  <w:style w:type="character" w:styleId="SubtleReference">
    <w:name w:val="Subtle Reference"/>
    <w:basedOn w:val="DefaultParagraphFont"/>
    <w:uiPriority w:val="31"/>
    <w:rsid w:val="0018307E"/>
    <w:rPr>
      <w:smallCaps/>
      <w:color w:val="C0504D" w:themeColor="accent2"/>
      <w:u w:val="single"/>
    </w:rPr>
  </w:style>
  <w:style w:type="character" w:styleId="IntenseReference">
    <w:name w:val="Intense Reference"/>
    <w:basedOn w:val="DefaultParagraphFont"/>
    <w:uiPriority w:val="32"/>
    <w:rsid w:val="0018307E"/>
    <w:rPr>
      <w:b/>
      <w:bCs/>
      <w:smallCaps/>
      <w:color w:val="C0504D" w:themeColor="accent2"/>
      <w:spacing w:val="5"/>
      <w:u w:val="single"/>
    </w:rPr>
  </w:style>
  <w:style w:type="character" w:styleId="BookTitle">
    <w:name w:val="Book Title"/>
    <w:basedOn w:val="DefaultParagraphFont"/>
    <w:uiPriority w:val="33"/>
    <w:rsid w:val="0018307E"/>
    <w:rPr>
      <w:b/>
      <w:bCs/>
      <w:smallCaps/>
      <w:spacing w:val="5"/>
    </w:rPr>
  </w:style>
  <w:style w:type="character" w:styleId="Hyperlink">
    <w:name w:val="Hyperlink"/>
    <w:basedOn w:val="DefaultParagraphFont"/>
    <w:uiPriority w:val="99"/>
    <w:unhideWhenUsed/>
    <w:rsid w:val="0018307E"/>
    <w:rPr>
      <w:color w:val="0000FF" w:themeColor="hyperlink"/>
      <w:u w:val="single"/>
    </w:rPr>
  </w:style>
  <w:style w:type="paragraph" w:customStyle="1" w:styleId="Quote1">
    <w:name w:val="Quote 1"/>
    <w:basedOn w:val="BodyText"/>
    <w:link w:val="Quote1Char"/>
    <w:rsid w:val="0018307E"/>
    <w:pPr>
      <w:spacing w:after="240"/>
      <w:ind w:left="1440" w:right="1440"/>
      <w:jc w:val="both"/>
    </w:pPr>
    <w:rPr>
      <w:rFonts w:ascii="Arial" w:eastAsia="Times New Roman" w:hAnsi="Arial" w:cs="Arial"/>
      <w:szCs w:val="24"/>
      <w:lang w:val="en-CA" w:bidi="ar-SA"/>
    </w:rPr>
  </w:style>
  <w:style w:type="paragraph" w:styleId="BodyText">
    <w:name w:val="Body Text"/>
    <w:basedOn w:val="Normal"/>
    <w:link w:val="BodyTextChar"/>
    <w:uiPriority w:val="99"/>
    <w:semiHidden/>
    <w:unhideWhenUsed/>
    <w:rsid w:val="0018307E"/>
    <w:pPr>
      <w:spacing w:after="120"/>
    </w:pPr>
    <w:rPr>
      <w:rFonts w:eastAsiaTheme="minorHAnsi" w:cstheme="minorBidi"/>
      <w:szCs w:val="22"/>
      <w:lang w:val="en-US" w:eastAsia="en-US" w:bidi="en-US"/>
    </w:rPr>
  </w:style>
  <w:style w:type="character" w:customStyle="1" w:styleId="BodyTextChar">
    <w:name w:val="Body Text Char"/>
    <w:basedOn w:val="DefaultParagraphFont"/>
    <w:link w:val="BodyText"/>
    <w:uiPriority w:val="99"/>
    <w:semiHidden/>
    <w:rsid w:val="0018307E"/>
    <w:rPr>
      <w:rFonts w:eastAsiaTheme="minorHAnsi" w:cstheme="minorBidi"/>
      <w:sz w:val="24"/>
      <w:szCs w:val="22"/>
      <w:lang w:val="en-US" w:eastAsia="en-US" w:bidi="en-US"/>
    </w:rPr>
  </w:style>
  <w:style w:type="character" w:customStyle="1" w:styleId="Quote1Char">
    <w:name w:val="Quote 1 Char"/>
    <w:link w:val="Quote1"/>
    <w:rsid w:val="0018307E"/>
    <w:rPr>
      <w:rFonts w:ascii="Arial" w:hAnsi="Arial" w:cs="Arial"/>
      <w:sz w:val="24"/>
      <w:szCs w:val="24"/>
      <w:lang w:eastAsia="en-US"/>
    </w:rPr>
  </w:style>
  <w:style w:type="character" w:customStyle="1" w:styleId="SCCLsocPartyRoleChar">
    <w:name w:val="SCC.Lsoc.PartyRole Char"/>
    <w:basedOn w:val="DefaultParagraphFont"/>
    <w:rsid w:val="00C57EB1"/>
    <w:rPr>
      <w:lang w:val="fr-CA"/>
    </w:rPr>
  </w:style>
  <w:style w:type="paragraph" w:customStyle="1" w:styleId="SCCLsocPrefix">
    <w:name w:val="SCC.Lsoc.Prefix"/>
    <w:basedOn w:val="Normal"/>
    <w:next w:val="Normal"/>
    <w:link w:val="SCCLsocPrefixChar"/>
    <w:rsid w:val="00C57EB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57EB1"/>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0B9CD-C96D-4645-842F-AA205068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8706</Words>
  <Characters>46794</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2014-05-22T17:55:00Z</dcterms:created>
  <dcterms:modified xsi:type="dcterms:W3CDTF">2014-12-12T13:52:00Z</dcterms:modified>
</cp:coreProperties>
</file>