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FA3" w:rsidRDefault="00353FA3" w:rsidP="00353FA3">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7pt;height:64.3pt" o:ole="">
            <v:imagedata r:id="rId7" o:title=""/>
          </v:shape>
          <o:OLEObject Type="Embed" ProgID="Presentations.Drawing.13" ShapeID="_x0000_i1025" DrawAspect="Content" ObjectID="_1479879927" r:id="rId8"/>
        </w:object>
      </w:r>
      <w:r>
        <w:t xml:space="preserve"> </w:t>
      </w:r>
      <w:r>
        <w:ptab w:relativeTo="margin" w:alignment="right" w:leader="none"/>
      </w:r>
    </w:p>
    <w:p w:rsidR="00353FA3" w:rsidRDefault="00353FA3" w:rsidP="00353FA3">
      <w:pPr>
        <w:pStyle w:val="Header"/>
      </w:pPr>
    </w:p>
    <w:p w:rsidR="00353FA3" w:rsidRPr="001E12E2" w:rsidRDefault="00353FA3" w:rsidP="00353FA3">
      <w:pPr>
        <w:jc w:val="center"/>
        <w:rPr>
          <w:b/>
        </w:rPr>
      </w:pPr>
      <w:r w:rsidRPr="001E12E2">
        <w:rPr>
          <w:b/>
        </w:rPr>
        <w:t>COUR SUPRÊME DU CANADA</w:t>
      </w:r>
    </w:p>
    <w:p w:rsidR="00353FA3" w:rsidRDefault="00353FA3" w:rsidP="00353FA3"/>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353FA3" w:rsidRPr="001E12E2" w:rsidTr="00424CD8">
        <w:trPr>
          <w:cantSplit/>
        </w:trPr>
        <w:tc>
          <w:tcPr>
            <w:tcW w:w="6768" w:type="dxa"/>
          </w:tcPr>
          <w:p w:rsidR="00353FA3" w:rsidRPr="00353FA3" w:rsidRDefault="00353FA3" w:rsidP="00424CD8">
            <w:pPr>
              <w:rPr>
                <w:lang w:val="fr-CA"/>
              </w:rPr>
            </w:pPr>
            <w:r w:rsidRPr="00353FA3">
              <w:rPr>
                <w:b/>
                <w:smallCaps/>
                <w:lang w:val="fr-CA"/>
              </w:rPr>
              <w:t>Référence :</w:t>
            </w:r>
            <w:r w:rsidRPr="00353FA3">
              <w:rPr>
                <w:lang w:val="fr-CA"/>
              </w:rPr>
              <w:t xml:space="preserve"> Compagnie des chemins de fer nationaux du Canada </w:t>
            </w:r>
            <w:r w:rsidRPr="00353FA3">
              <w:rPr>
                <w:i/>
                <w:lang w:val="fr-CA"/>
              </w:rPr>
              <w:t>c.</w:t>
            </w:r>
            <w:r w:rsidRPr="00353FA3">
              <w:rPr>
                <w:lang w:val="fr-CA"/>
              </w:rPr>
              <w:t xml:space="preserve"> Canada (Procureur général), 2014 CSC 40</w:t>
            </w:r>
            <w:r>
              <w:rPr>
                <w:lang w:val="fr-CA"/>
              </w:rPr>
              <w:t xml:space="preserve">, </w:t>
            </w:r>
            <w:r w:rsidRPr="00353FA3">
              <w:rPr>
                <w:rStyle w:val="SCCRespondentForRunningHeadChar"/>
                <w:lang w:val="fr-CA"/>
              </w:rPr>
              <w:t>[2014] 2 R.C.S. 135</w:t>
            </w:r>
          </w:p>
        </w:tc>
        <w:tc>
          <w:tcPr>
            <w:tcW w:w="2808" w:type="dxa"/>
          </w:tcPr>
          <w:p w:rsidR="00353FA3" w:rsidRPr="001E12E2" w:rsidRDefault="00353FA3" w:rsidP="00424CD8">
            <w:r w:rsidRPr="001E12E2">
              <w:rPr>
                <w:b/>
                <w:smallCaps/>
              </w:rPr>
              <w:t>Date</w:t>
            </w:r>
            <w:r>
              <w:rPr>
                <w:b/>
                <w:smallCaps/>
              </w:rPr>
              <w:t> :</w:t>
            </w:r>
            <w:r w:rsidRPr="001E12E2">
              <w:t xml:space="preserve"> </w:t>
            </w:r>
            <w:r>
              <w:t>20140523</w:t>
            </w:r>
          </w:p>
          <w:p w:rsidR="00353FA3" w:rsidRPr="001E12E2" w:rsidRDefault="00353FA3" w:rsidP="00424CD8">
            <w:r w:rsidRPr="001E12E2">
              <w:rPr>
                <w:b/>
                <w:smallCaps/>
              </w:rPr>
              <w:t>Do</w:t>
            </w:r>
            <w:r>
              <w:rPr>
                <w:b/>
                <w:smallCaps/>
              </w:rPr>
              <w:t>ssier :</w:t>
            </w:r>
            <w:r w:rsidRPr="001E12E2">
              <w:t xml:space="preserve"> </w:t>
            </w:r>
            <w:r>
              <w:t>35145</w:t>
            </w:r>
          </w:p>
        </w:tc>
      </w:tr>
    </w:tbl>
    <w:p w:rsidR="00353FA3" w:rsidRPr="001E12E2" w:rsidRDefault="00353FA3" w:rsidP="00353FA3"/>
    <w:p w:rsidR="00353FA3" w:rsidRDefault="00353FA3" w:rsidP="00353FA3">
      <w:pPr>
        <w:pStyle w:val="SCCLsocPrefix"/>
        <w:jc w:val="both"/>
      </w:pPr>
      <w:r>
        <w:t>Entre :</w:t>
      </w:r>
    </w:p>
    <w:p w:rsidR="00353FA3" w:rsidRPr="00353FA3" w:rsidRDefault="00353FA3" w:rsidP="00353FA3">
      <w:pPr>
        <w:pStyle w:val="SCCLsocParty"/>
        <w:jc w:val="center"/>
        <w:rPr>
          <w:lang w:val="fr-CA"/>
        </w:rPr>
      </w:pPr>
      <w:r w:rsidRPr="00353FA3">
        <w:rPr>
          <w:lang w:val="fr-CA"/>
        </w:rPr>
        <w:t>Compagnie des chemins de fer nationaux du Canada</w:t>
      </w:r>
    </w:p>
    <w:p w:rsidR="00353FA3" w:rsidRPr="00353FA3" w:rsidRDefault="00353FA3" w:rsidP="00353FA3">
      <w:pPr>
        <w:jc w:val="center"/>
        <w:rPr>
          <w:lang w:val="fr-CA"/>
        </w:rPr>
      </w:pPr>
      <w:r w:rsidRPr="00353FA3">
        <w:rPr>
          <w:lang w:val="fr-CA"/>
        </w:rPr>
        <w:t>Appelante</w:t>
      </w:r>
    </w:p>
    <w:p w:rsidR="00353FA3" w:rsidRPr="00353FA3" w:rsidRDefault="00353FA3" w:rsidP="00353FA3">
      <w:pPr>
        <w:pStyle w:val="SCCLsocVersus"/>
        <w:spacing w:after="0"/>
        <w:jc w:val="center"/>
        <w:rPr>
          <w:i w:val="0"/>
          <w:lang w:val="fr-CA"/>
        </w:rPr>
      </w:pPr>
      <w:proofErr w:type="gramStart"/>
      <w:r w:rsidRPr="00353FA3">
        <w:rPr>
          <w:i w:val="0"/>
          <w:lang w:val="fr-CA"/>
        </w:rPr>
        <w:t>et</w:t>
      </w:r>
      <w:proofErr w:type="gramEnd"/>
    </w:p>
    <w:p w:rsidR="00353FA3" w:rsidRPr="00353FA3" w:rsidRDefault="00353FA3" w:rsidP="00353FA3">
      <w:pPr>
        <w:pStyle w:val="SCCLsocParty"/>
        <w:jc w:val="center"/>
        <w:rPr>
          <w:lang w:val="fr-CA"/>
        </w:rPr>
      </w:pPr>
      <w:r w:rsidRPr="00353FA3">
        <w:rPr>
          <w:lang w:val="fr-CA"/>
        </w:rPr>
        <w:t>Procureur général du Canada,</w:t>
      </w:r>
    </w:p>
    <w:p w:rsidR="00353FA3" w:rsidRPr="00353FA3" w:rsidRDefault="00353FA3" w:rsidP="00353FA3">
      <w:pPr>
        <w:pStyle w:val="SCCLsocParty"/>
        <w:jc w:val="center"/>
        <w:rPr>
          <w:lang w:val="fr-CA"/>
        </w:rPr>
      </w:pPr>
      <w:proofErr w:type="spellStart"/>
      <w:r w:rsidRPr="00353FA3">
        <w:rPr>
          <w:lang w:val="fr-CA"/>
        </w:rPr>
        <w:t>Peace</w:t>
      </w:r>
      <w:proofErr w:type="spellEnd"/>
      <w:r w:rsidRPr="00353FA3">
        <w:rPr>
          <w:lang w:val="fr-CA"/>
        </w:rPr>
        <w:t xml:space="preserve"> River Coal Inc. et</w:t>
      </w:r>
    </w:p>
    <w:p w:rsidR="00353FA3" w:rsidRPr="00353FA3" w:rsidRDefault="00353FA3" w:rsidP="00353FA3">
      <w:pPr>
        <w:pStyle w:val="SCCLsocParty"/>
        <w:jc w:val="center"/>
        <w:rPr>
          <w:lang w:val="fr-CA"/>
        </w:rPr>
      </w:pPr>
      <w:r w:rsidRPr="00353FA3">
        <w:rPr>
          <w:lang w:val="fr-CA"/>
        </w:rPr>
        <w:t>Association canadienne de transport industriel</w:t>
      </w:r>
    </w:p>
    <w:p w:rsidR="00353FA3" w:rsidRPr="00353FA3" w:rsidRDefault="00353FA3" w:rsidP="00353FA3">
      <w:pPr>
        <w:jc w:val="center"/>
        <w:rPr>
          <w:lang w:val="fr-CA"/>
        </w:rPr>
      </w:pPr>
      <w:r w:rsidRPr="00353FA3">
        <w:rPr>
          <w:lang w:val="fr-CA"/>
        </w:rPr>
        <w:t>Intimés</w:t>
      </w:r>
    </w:p>
    <w:p w:rsidR="00353FA3" w:rsidRPr="00353FA3" w:rsidRDefault="00353FA3" w:rsidP="00353FA3">
      <w:pPr>
        <w:rPr>
          <w:lang w:val="fr-CA"/>
        </w:rPr>
      </w:pPr>
    </w:p>
    <w:p w:rsidR="00353FA3" w:rsidRPr="00353FA3" w:rsidRDefault="00353FA3" w:rsidP="00353FA3">
      <w:pPr>
        <w:jc w:val="center"/>
        <w:rPr>
          <w:b/>
          <w:smallCaps/>
          <w:lang w:val="fr-CA"/>
        </w:rPr>
      </w:pPr>
      <w:r w:rsidRPr="00353FA3">
        <w:rPr>
          <w:b/>
          <w:smallCaps/>
          <w:lang w:val="fr-CA"/>
        </w:rPr>
        <w:t>Traduction française officielle</w:t>
      </w:r>
    </w:p>
    <w:p w:rsidR="00353FA3" w:rsidRPr="00353FA3" w:rsidRDefault="00353FA3" w:rsidP="00353FA3">
      <w:pPr>
        <w:rPr>
          <w:lang w:val="fr-CA"/>
        </w:rPr>
      </w:pPr>
    </w:p>
    <w:p w:rsidR="00353FA3" w:rsidRPr="00353FA3" w:rsidRDefault="00353FA3" w:rsidP="00353FA3">
      <w:pPr>
        <w:rPr>
          <w:lang w:val="fr-CA"/>
        </w:rPr>
      </w:pPr>
      <w:r w:rsidRPr="00353FA3">
        <w:rPr>
          <w:b/>
          <w:smallCaps/>
          <w:lang w:val="fr-CA"/>
        </w:rPr>
        <w:t>Coram :</w:t>
      </w:r>
      <w:r w:rsidRPr="00353FA3">
        <w:rPr>
          <w:lang w:val="fr-CA"/>
        </w:rPr>
        <w:t xml:space="preserve"> La juge en chef </w:t>
      </w:r>
      <w:proofErr w:type="spellStart"/>
      <w:r w:rsidRPr="00353FA3">
        <w:rPr>
          <w:lang w:val="fr-CA"/>
        </w:rPr>
        <w:t>McLachlin</w:t>
      </w:r>
      <w:proofErr w:type="spellEnd"/>
      <w:r w:rsidRPr="00353FA3">
        <w:rPr>
          <w:lang w:val="fr-CA"/>
        </w:rPr>
        <w:t xml:space="preserve"> et les juges </w:t>
      </w:r>
      <w:proofErr w:type="spellStart"/>
      <w:r w:rsidRPr="00353FA3">
        <w:rPr>
          <w:lang w:val="fr-CA"/>
        </w:rPr>
        <w:t>LeBel</w:t>
      </w:r>
      <w:proofErr w:type="spellEnd"/>
      <w:r w:rsidRPr="00353FA3">
        <w:rPr>
          <w:lang w:val="fr-CA"/>
        </w:rPr>
        <w:t xml:space="preserve">, Abella, </w:t>
      </w:r>
      <w:proofErr w:type="spellStart"/>
      <w:r w:rsidRPr="00353FA3">
        <w:rPr>
          <w:lang w:val="fr-CA"/>
        </w:rPr>
        <w:t>Rothstein</w:t>
      </w:r>
      <w:proofErr w:type="spellEnd"/>
      <w:r w:rsidRPr="00353FA3">
        <w:rPr>
          <w:lang w:val="fr-CA"/>
        </w:rPr>
        <w:t xml:space="preserve">, Cromwell, </w:t>
      </w:r>
      <w:proofErr w:type="spellStart"/>
      <w:r w:rsidRPr="00353FA3">
        <w:rPr>
          <w:lang w:val="fr-CA"/>
        </w:rPr>
        <w:t>Karakatsanis</w:t>
      </w:r>
      <w:proofErr w:type="spellEnd"/>
      <w:r w:rsidRPr="00353FA3">
        <w:rPr>
          <w:lang w:val="fr-CA"/>
        </w:rPr>
        <w:t xml:space="preserve"> et Wagner</w:t>
      </w:r>
    </w:p>
    <w:p w:rsidR="00353FA3" w:rsidRPr="00353FA3" w:rsidRDefault="00353FA3" w:rsidP="00353FA3">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353FA3" w:rsidRPr="00353FA3" w:rsidTr="00424CD8">
        <w:trPr>
          <w:cantSplit/>
        </w:trPr>
        <w:tc>
          <w:tcPr>
            <w:tcW w:w="3618" w:type="dxa"/>
          </w:tcPr>
          <w:p w:rsidR="00353FA3" w:rsidRPr="00353FA3" w:rsidRDefault="00353FA3" w:rsidP="00424CD8">
            <w:pPr>
              <w:rPr>
                <w:b/>
                <w:smallCaps/>
                <w:lang w:val="fr-CA"/>
              </w:rPr>
            </w:pPr>
            <w:r w:rsidRPr="00353FA3">
              <w:rPr>
                <w:b/>
                <w:smallCaps/>
                <w:lang w:val="fr-CA"/>
              </w:rPr>
              <w:t>Motifs de jugement :</w:t>
            </w:r>
          </w:p>
          <w:p w:rsidR="00353FA3" w:rsidRPr="00353FA3" w:rsidRDefault="00353FA3" w:rsidP="00424CD8">
            <w:pPr>
              <w:rPr>
                <w:lang w:val="fr-CA"/>
              </w:rPr>
            </w:pPr>
            <w:r w:rsidRPr="00353FA3">
              <w:rPr>
                <w:lang w:val="fr-CA"/>
              </w:rPr>
              <w:t>(par. 1 à 69)</w:t>
            </w:r>
          </w:p>
        </w:tc>
        <w:tc>
          <w:tcPr>
            <w:tcW w:w="5958" w:type="dxa"/>
          </w:tcPr>
          <w:p w:rsidR="00353FA3" w:rsidRPr="00353FA3" w:rsidRDefault="00353FA3" w:rsidP="00424CD8">
            <w:pPr>
              <w:rPr>
                <w:lang w:val="fr-CA"/>
              </w:rPr>
            </w:pPr>
            <w:r w:rsidRPr="00353FA3">
              <w:rPr>
                <w:lang w:val="fr-CA"/>
              </w:rPr>
              <w:t xml:space="preserve">Le juge </w:t>
            </w:r>
            <w:proofErr w:type="spellStart"/>
            <w:r w:rsidRPr="00353FA3">
              <w:rPr>
                <w:lang w:val="fr-CA"/>
              </w:rPr>
              <w:t>Rothstein</w:t>
            </w:r>
            <w:proofErr w:type="spellEnd"/>
            <w:r w:rsidRPr="00353FA3">
              <w:rPr>
                <w:lang w:val="fr-CA"/>
              </w:rPr>
              <w:t xml:space="preserve"> (avec l’accord de la juge en chef </w:t>
            </w:r>
            <w:proofErr w:type="spellStart"/>
            <w:r w:rsidRPr="00353FA3">
              <w:rPr>
                <w:lang w:val="fr-CA"/>
              </w:rPr>
              <w:t>McLachlin</w:t>
            </w:r>
            <w:proofErr w:type="spellEnd"/>
            <w:r w:rsidRPr="00353FA3">
              <w:rPr>
                <w:lang w:val="fr-CA"/>
              </w:rPr>
              <w:t xml:space="preserve"> et des juges </w:t>
            </w:r>
            <w:proofErr w:type="spellStart"/>
            <w:r w:rsidRPr="00353FA3">
              <w:rPr>
                <w:lang w:val="fr-CA"/>
              </w:rPr>
              <w:t>LeBel</w:t>
            </w:r>
            <w:proofErr w:type="spellEnd"/>
            <w:r w:rsidRPr="00353FA3">
              <w:rPr>
                <w:lang w:val="fr-CA"/>
              </w:rPr>
              <w:t xml:space="preserve">, Abella, Cromwell, </w:t>
            </w:r>
            <w:proofErr w:type="spellStart"/>
            <w:r w:rsidRPr="00353FA3">
              <w:rPr>
                <w:lang w:val="fr-CA"/>
              </w:rPr>
              <w:t>Karakatsanis</w:t>
            </w:r>
            <w:proofErr w:type="spellEnd"/>
            <w:r w:rsidRPr="00353FA3">
              <w:rPr>
                <w:lang w:val="fr-CA"/>
              </w:rPr>
              <w:t xml:space="preserve"> et Wagner)</w:t>
            </w:r>
          </w:p>
        </w:tc>
      </w:tr>
    </w:tbl>
    <w:p w:rsidR="00353FA3" w:rsidRPr="00353FA3" w:rsidRDefault="00353FA3" w:rsidP="00353FA3">
      <w:pPr>
        <w:rPr>
          <w:lang w:val="fr-CA"/>
        </w:rPr>
      </w:pPr>
    </w:p>
    <w:p w:rsidR="00353FA3" w:rsidRPr="00353FA3" w:rsidRDefault="00353FA3" w:rsidP="00353FA3">
      <w:pPr>
        <w:rPr>
          <w:lang w:val="fr-CA"/>
        </w:rPr>
      </w:pPr>
      <w:r w:rsidRPr="001730E0">
        <w:rPr>
          <w:noProof/>
          <w:lang w:val="fr-CA"/>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 o:connectortype="straight"/>
        </w:pict>
      </w:r>
    </w:p>
    <w:p w:rsidR="00353FA3" w:rsidRPr="00353FA3" w:rsidRDefault="00353FA3" w:rsidP="005C77BD">
      <w:pPr>
        <w:spacing w:after="720"/>
        <w:jc w:val="both"/>
        <w:rPr>
          <w:rStyle w:val="SCCAppellantForRunningHeadChar"/>
          <w:lang w:val="fr-CA"/>
        </w:rPr>
      </w:pPr>
    </w:p>
    <w:p w:rsidR="004D7D95" w:rsidRPr="00353FA3" w:rsidRDefault="0069420D" w:rsidP="005C77BD">
      <w:pPr>
        <w:spacing w:after="720"/>
        <w:jc w:val="both"/>
        <w:rPr>
          <w:lang w:val="fr-CA"/>
        </w:rPr>
      </w:pPr>
      <w:proofErr w:type="spellStart"/>
      <w:r w:rsidRPr="00353FA3">
        <w:rPr>
          <w:rStyle w:val="SCCAppellantForRunningHeadChar"/>
          <w:lang w:val="fr-CA"/>
        </w:rPr>
        <w:t>cn</w:t>
      </w:r>
      <w:proofErr w:type="spellEnd"/>
      <w:r w:rsidR="00AF3AD4" w:rsidRPr="00353FA3">
        <w:rPr>
          <w:rStyle w:val="SCCAppellantForRunningHeadChar"/>
          <w:lang w:val="fr-CA"/>
        </w:rPr>
        <w:t xml:space="preserve"> </w:t>
      </w:r>
      <w:r w:rsidR="004D7D95" w:rsidRPr="00353FA3">
        <w:rPr>
          <w:i/>
          <w:lang w:val="fr-CA"/>
        </w:rPr>
        <w:t>c.</w:t>
      </w:r>
      <w:r w:rsidR="004D7D95" w:rsidRPr="00353FA3">
        <w:rPr>
          <w:smallCaps/>
          <w:lang w:val="fr-CA"/>
        </w:rPr>
        <w:t xml:space="preserve"> </w:t>
      </w:r>
      <w:r w:rsidRPr="00353FA3">
        <w:rPr>
          <w:rStyle w:val="SCCRespondentForRunningHeadChar"/>
          <w:lang w:val="fr-CA"/>
        </w:rPr>
        <w:t>canada</w:t>
      </w:r>
      <w:r w:rsidR="00DA6A71" w:rsidRPr="00353FA3">
        <w:rPr>
          <w:rStyle w:val="SCCRespondentForRunningHeadChar"/>
          <w:lang w:val="fr-CA"/>
        </w:rPr>
        <w:t xml:space="preserve"> (</w:t>
      </w:r>
      <w:proofErr w:type="spellStart"/>
      <w:r w:rsidR="00DA6A71" w:rsidRPr="00353FA3">
        <w:rPr>
          <w:rStyle w:val="SCCRespondentForRunningHeadChar"/>
          <w:lang w:val="fr-CA"/>
        </w:rPr>
        <w:t>p.g</w:t>
      </w:r>
      <w:proofErr w:type="spellEnd"/>
      <w:r w:rsidR="00DA6A71" w:rsidRPr="00353FA3">
        <w:rPr>
          <w:rStyle w:val="SCCRespondentForRunningHeadChar"/>
          <w:lang w:val="fr-CA"/>
        </w:rPr>
        <w:t>.)</w:t>
      </w:r>
      <w:r w:rsidR="0076292E" w:rsidRPr="00353FA3">
        <w:rPr>
          <w:rStyle w:val="SCCRespondentForRunningHeadChar"/>
          <w:lang w:val="fr-CA"/>
        </w:rPr>
        <w:t>, 2014 CSC 40, [2014] 2 R.C.S. 135</w:t>
      </w:r>
    </w:p>
    <w:p w:rsidR="0030020E" w:rsidRPr="000145E2" w:rsidRDefault="0069420D" w:rsidP="005C77BD">
      <w:pPr>
        <w:pStyle w:val="SCCLsocLastPartyInRole"/>
        <w:rPr>
          <w:lang w:val="fr-CA"/>
        </w:rPr>
      </w:pPr>
      <w:r w:rsidRPr="000145E2">
        <w:rPr>
          <w:lang w:val="fr-CA"/>
        </w:rPr>
        <w:t>Compagnie des chemins de fer nationaux du Canada</w:t>
      </w:r>
      <w:r w:rsidRPr="000145E2">
        <w:rPr>
          <w:rStyle w:val="SCCLsocPartyRole"/>
          <w:lang w:val="fr-CA"/>
        </w:rPr>
        <w:tab/>
        <w:t>Appelante</w:t>
      </w:r>
    </w:p>
    <w:p w:rsidR="0030020E" w:rsidRPr="000145E2" w:rsidRDefault="0069420D" w:rsidP="005C77BD">
      <w:pPr>
        <w:pStyle w:val="SCCLsocVersus"/>
        <w:rPr>
          <w:lang w:val="fr-CA"/>
        </w:rPr>
      </w:pPr>
      <w:proofErr w:type="gramStart"/>
      <w:r w:rsidRPr="000145E2">
        <w:rPr>
          <w:lang w:val="fr-CA"/>
        </w:rPr>
        <w:t>c</w:t>
      </w:r>
      <w:proofErr w:type="gramEnd"/>
      <w:r w:rsidRPr="000145E2">
        <w:rPr>
          <w:lang w:val="fr-CA"/>
        </w:rPr>
        <w:t>.</w:t>
      </w:r>
    </w:p>
    <w:p w:rsidR="0030020E" w:rsidRPr="000145E2" w:rsidRDefault="0069420D" w:rsidP="005C77BD">
      <w:pPr>
        <w:pStyle w:val="SCCLsocParty"/>
        <w:rPr>
          <w:lang w:val="fr-CA"/>
        </w:rPr>
      </w:pPr>
      <w:r w:rsidRPr="000145E2">
        <w:rPr>
          <w:lang w:val="fr-CA"/>
        </w:rPr>
        <w:t>Procureur général du Canada,</w:t>
      </w:r>
    </w:p>
    <w:p w:rsidR="0030020E" w:rsidRPr="000145E2" w:rsidRDefault="0069420D" w:rsidP="005C77BD">
      <w:pPr>
        <w:pStyle w:val="SCCLsocParty"/>
        <w:rPr>
          <w:lang w:val="fr-CA"/>
        </w:rPr>
      </w:pPr>
      <w:proofErr w:type="spellStart"/>
      <w:r w:rsidRPr="000145E2">
        <w:rPr>
          <w:lang w:val="fr-CA"/>
        </w:rPr>
        <w:lastRenderedPageBreak/>
        <w:t>Peace</w:t>
      </w:r>
      <w:proofErr w:type="spellEnd"/>
      <w:r w:rsidRPr="000145E2">
        <w:rPr>
          <w:lang w:val="fr-CA"/>
        </w:rPr>
        <w:t xml:space="preserve"> River Coal Inc. et</w:t>
      </w:r>
    </w:p>
    <w:p w:rsidR="0030020E" w:rsidRPr="000145E2" w:rsidRDefault="0069420D" w:rsidP="005C77BD">
      <w:pPr>
        <w:pStyle w:val="SCCLsocLastPartyInRole"/>
        <w:rPr>
          <w:lang w:val="fr-CA"/>
        </w:rPr>
      </w:pPr>
      <w:r w:rsidRPr="000145E2">
        <w:rPr>
          <w:lang w:val="fr-CA"/>
        </w:rPr>
        <w:t>Association canadienne de transport industriel</w:t>
      </w:r>
      <w:r w:rsidRPr="000145E2">
        <w:rPr>
          <w:rStyle w:val="SCCLsocPartyRole"/>
          <w:lang w:val="fr-CA"/>
        </w:rPr>
        <w:tab/>
        <w:t>Intimés</w:t>
      </w:r>
    </w:p>
    <w:p w:rsidR="004D7D95" w:rsidRPr="000145E2" w:rsidRDefault="004D7D95" w:rsidP="005C77BD">
      <w:pPr>
        <w:spacing w:after="720"/>
        <w:jc w:val="both"/>
        <w:rPr>
          <w:b/>
          <w:lang w:val="fr-CA"/>
        </w:rPr>
      </w:pPr>
      <w:r w:rsidRPr="000145E2">
        <w:rPr>
          <w:b/>
          <w:lang w:val="fr-CA"/>
        </w:rPr>
        <w:t>Répertorié</w:t>
      </w:r>
      <w:r w:rsidR="00784AD2">
        <w:rPr>
          <w:b/>
          <w:lang w:val="fr-CA"/>
        </w:rPr>
        <w:t xml:space="preserve"> : </w:t>
      </w:r>
      <w:r w:rsidR="0069420D" w:rsidRPr="000145E2">
        <w:rPr>
          <w:b/>
          <w:lang w:val="fr-CA"/>
        </w:rPr>
        <w:t>Compagnie des chemins de fer nationaux du Canada</w:t>
      </w:r>
      <w:r w:rsidRPr="000145E2">
        <w:rPr>
          <w:b/>
          <w:lang w:val="fr-CA"/>
        </w:rPr>
        <w:t xml:space="preserve"> </w:t>
      </w:r>
      <w:r w:rsidRPr="000145E2">
        <w:rPr>
          <w:b/>
          <w:i/>
          <w:lang w:val="fr-CA"/>
        </w:rPr>
        <w:t>c.</w:t>
      </w:r>
      <w:r w:rsidRPr="000145E2">
        <w:rPr>
          <w:b/>
          <w:lang w:val="fr-CA"/>
        </w:rPr>
        <w:t xml:space="preserve"> </w:t>
      </w:r>
      <w:r w:rsidR="0069420D" w:rsidRPr="000145E2">
        <w:rPr>
          <w:b/>
          <w:lang w:val="fr-CA"/>
        </w:rPr>
        <w:t>Canada (</w:t>
      </w:r>
      <w:r w:rsidRPr="000145E2">
        <w:rPr>
          <w:rStyle w:val="SCCRespondentForIndexChar"/>
          <w:lang w:val="fr-CA"/>
        </w:rPr>
        <w:t>Procureur général</w:t>
      </w:r>
      <w:r w:rsidR="0069420D" w:rsidRPr="000145E2">
        <w:rPr>
          <w:rStyle w:val="SCCRespondentForIndexChar"/>
          <w:lang w:val="fr-CA"/>
        </w:rPr>
        <w:t>)</w:t>
      </w:r>
    </w:p>
    <w:p w:rsidR="004D7D95" w:rsidRPr="000145E2" w:rsidRDefault="00F62639" w:rsidP="005C77BD">
      <w:pPr>
        <w:pStyle w:val="SCCSystemYear"/>
        <w:spacing w:after="720"/>
        <w:jc w:val="both"/>
        <w:rPr>
          <w:lang w:val="fr-CA"/>
        </w:rPr>
      </w:pPr>
      <w:r w:rsidRPr="000145E2">
        <w:rPr>
          <w:lang w:val="fr-CA"/>
        </w:rPr>
        <w:t>2014</w:t>
      </w:r>
      <w:r w:rsidR="00885565" w:rsidRPr="000145E2">
        <w:rPr>
          <w:lang w:val="fr-CA"/>
        </w:rPr>
        <w:t xml:space="preserve"> CSC</w:t>
      </w:r>
      <w:r w:rsidR="00784AD2">
        <w:rPr>
          <w:lang w:val="fr-CA"/>
        </w:rPr>
        <w:t xml:space="preserve"> </w:t>
      </w:r>
      <w:r w:rsidR="00885565" w:rsidRPr="000145E2">
        <w:rPr>
          <w:lang w:val="fr-CA"/>
        </w:rPr>
        <w:t>40</w:t>
      </w:r>
    </w:p>
    <w:p w:rsidR="004D7D95" w:rsidRPr="000145E2" w:rsidRDefault="004D7D95" w:rsidP="005C77BD">
      <w:pPr>
        <w:spacing w:after="720"/>
        <w:jc w:val="both"/>
        <w:rPr>
          <w:lang w:val="fr-CA"/>
        </w:rPr>
      </w:pPr>
      <w:r w:rsidRPr="000145E2">
        <w:rPr>
          <w:lang w:val="fr-CA"/>
        </w:rPr>
        <w:t>N</w:t>
      </w:r>
      <w:r w:rsidRPr="000145E2">
        <w:rPr>
          <w:vertAlign w:val="superscript"/>
          <w:lang w:val="fr-CA"/>
        </w:rPr>
        <w:t>o</w:t>
      </w:r>
      <w:r w:rsidRPr="000145E2">
        <w:rPr>
          <w:lang w:val="fr-CA"/>
        </w:rPr>
        <w:t xml:space="preserve"> du greffe</w:t>
      </w:r>
      <w:r w:rsidR="00784AD2">
        <w:rPr>
          <w:lang w:val="fr-CA"/>
        </w:rPr>
        <w:t xml:space="preserve"> : </w:t>
      </w:r>
      <w:r w:rsidRPr="000145E2">
        <w:rPr>
          <w:lang w:val="fr-CA"/>
        </w:rPr>
        <w:t>35145.</w:t>
      </w:r>
    </w:p>
    <w:p w:rsidR="004D7D95" w:rsidRPr="000145E2" w:rsidRDefault="00F62639" w:rsidP="005C77BD">
      <w:pPr>
        <w:spacing w:after="720"/>
        <w:jc w:val="both"/>
        <w:rPr>
          <w:lang w:val="fr-CA"/>
        </w:rPr>
      </w:pPr>
      <w:r w:rsidRPr="000145E2">
        <w:rPr>
          <w:lang w:val="fr-CA"/>
        </w:rPr>
        <w:t>2014</w:t>
      </w:r>
      <w:r w:rsidR="00784AD2">
        <w:rPr>
          <w:lang w:val="fr-CA"/>
        </w:rPr>
        <w:t xml:space="preserve"> : </w:t>
      </w:r>
      <w:r w:rsidR="007160FB" w:rsidRPr="000145E2">
        <w:rPr>
          <w:lang w:val="fr-CA"/>
        </w:rPr>
        <w:t>14</w:t>
      </w:r>
      <w:r w:rsidR="00784AD2">
        <w:rPr>
          <w:lang w:val="fr-CA"/>
        </w:rPr>
        <w:t xml:space="preserve"> </w:t>
      </w:r>
      <w:r w:rsidRPr="000145E2">
        <w:rPr>
          <w:lang w:val="fr-CA"/>
        </w:rPr>
        <w:t>janvier</w:t>
      </w:r>
      <w:r w:rsidR="003836F8" w:rsidRPr="000145E2">
        <w:rPr>
          <w:lang w:val="fr-CA"/>
        </w:rPr>
        <w:t>; 2014</w:t>
      </w:r>
      <w:r w:rsidR="00784AD2">
        <w:rPr>
          <w:lang w:val="fr-CA"/>
        </w:rPr>
        <w:t xml:space="preserve"> : </w:t>
      </w:r>
      <w:r w:rsidR="003836F8" w:rsidRPr="000145E2">
        <w:rPr>
          <w:lang w:val="fr-CA"/>
        </w:rPr>
        <w:t>23</w:t>
      </w:r>
      <w:r w:rsidR="00784AD2">
        <w:rPr>
          <w:lang w:val="fr-CA"/>
        </w:rPr>
        <w:t xml:space="preserve"> </w:t>
      </w:r>
      <w:r w:rsidR="003836F8" w:rsidRPr="000145E2">
        <w:rPr>
          <w:lang w:val="fr-CA"/>
        </w:rPr>
        <w:t>mai</w:t>
      </w:r>
      <w:r w:rsidR="004D7D95" w:rsidRPr="000145E2">
        <w:rPr>
          <w:lang w:val="fr-CA"/>
        </w:rPr>
        <w:t>.</w:t>
      </w:r>
    </w:p>
    <w:p w:rsidR="004D7D95" w:rsidRPr="000145E2" w:rsidRDefault="004D7D95" w:rsidP="005C77BD">
      <w:pPr>
        <w:spacing w:after="720"/>
        <w:jc w:val="both"/>
        <w:rPr>
          <w:lang w:val="fr-CA"/>
        </w:rPr>
      </w:pPr>
      <w:r w:rsidRPr="000145E2">
        <w:rPr>
          <w:lang w:val="fr-CA"/>
        </w:rPr>
        <w:t>Présents</w:t>
      </w:r>
      <w:r w:rsidR="00784AD2">
        <w:rPr>
          <w:lang w:val="fr-CA"/>
        </w:rPr>
        <w:t xml:space="preserve"> : </w:t>
      </w:r>
      <w:r w:rsidRPr="000145E2">
        <w:rPr>
          <w:lang w:val="fr-CA"/>
        </w:rPr>
        <w:t xml:space="preserve">La juge en chef McLachlin et les juges </w:t>
      </w:r>
      <w:proofErr w:type="spellStart"/>
      <w:r w:rsidRPr="000145E2">
        <w:rPr>
          <w:lang w:val="fr-CA"/>
        </w:rPr>
        <w:t>LeBel</w:t>
      </w:r>
      <w:proofErr w:type="spellEnd"/>
      <w:r w:rsidRPr="000145E2">
        <w:rPr>
          <w:lang w:val="fr-CA"/>
        </w:rPr>
        <w:t xml:space="preserve">, Abella, </w:t>
      </w:r>
      <w:proofErr w:type="spellStart"/>
      <w:r w:rsidRPr="000145E2">
        <w:rPr>
          <w:lang w:val="fr-CA"/>
        </w:rPr>
        <w:t>Rothstein</w:t>
      </w:r>
      <w:proofErr w:type="spellEnd"/>
      <w:r w:rsidRPr="000145E2">
        <w:rPr>
          <w:lang w:val="fr-CA"/>
        </w:rPr>
        <w:t xml:space="preserve">, Cromwell, </w:t>
      </w:r>
      <w:proofErr w:type="spellStart"/>
      <w:r w:rsidRPr="000145E2">
        <w:rPr>
          <w:lang w:val="fr-CA"/>
        </w:rPr>
        <w:t>Karakatsanis</w:t>
      </w:r>
      <w:proofErr w:type="spellEnd"/>
      <w:r w:rsidRPr="000145E2">
        <w:rPr>
          <w:lang w:val="fr-CA"/>
        </w:rPr>
        <w:t xml:space="preserve"> et Wagner.</w:t>
      </w:r>
    </w:p>
    <w:p w:rsidR="004D7D95" w:rsidRPr="000145E2" w:rsidRDefault="004D7D95" w:rsidP="005C77BD">
      <w:pPr>
        <w:spacing w:after="720"/>
        <w:jc w:val="both"/>
        <w:rPr>
          <w:smallCaps/>
          <w:lang w:val="fr-CA"/>
        </w:rPr>
      </w:pPr>
      <w:r w:rsidRPr="000145E2">
        <w:rPr>
          <w:smallCaps/>
          <w:lang w:val="fr-CA"/>
        </w:rPr>
        <w:t>en appel de la cour d</w:t>
      </w:r>
      <w:r w:rsidR="0069420D" w:rsidRPr="000145E2">
        <w:rPr>
          <w:smallCaps/>
          <w:lang w:val="fr-CA"/>
        </w:rPr>
        <w:t>’</w:t>
      </w:r>
      <w:r w:rsidRPr="000145E2">
        <w:rPr>
          <w:smallCaps/>
          <w:lang w:val="fr-CA"/>
        </w:rPr>
        <w:t>appel fédérale</w:t>
      </w:r>
    </w:p>
    <w:p w:rsidR="004D7D95" w:rsidRPr="000145E2" w:rsidRDefault="004D7D95" w:rsidP="005C77BD">
      <w:pPr>
        <w:pStyle w:val="SCCNormalDoubleSpacing"/>
        <w:spacing w:after="480"/>
        <w:rPr>
          <w:lang w:val="fr-CA"/>
        </w:rPr>
      </w:pPr>
      <w:r w:rsidRPr="000145E2">
        <w:rPr>
          <w:lang w:val="fr-CA"/>
        </w:rPr>
        <w:tab/>
      </w:r>
      <w:r w:rsidR="009456D6" w:rsidRPr="000145E2">
        <w:rPr>
          <w:i/>
          <w:lang w:val="fr-CA"/>
        </w:rPr>
        <w:t>Droit administratif — Droit des transports — Organismes et tribunaux administratifs — Contrôle judiciaire — Norme de contrôle — Gouverneur en conseil annulant une décision de l’Office des transports du Canada — Le gouverneur en conseil est</w:t>
      </w:r>
      <w:r w:rsidR="00784AD2">
        <w:rPr>
          <w:i/>
          <w:lang w:val="fr-CA"/>
        </w:rPr>
        <w:t>-</w:t>
      </w:r>
      <w:r w:rsidR="009456D6" w:rsidRPr="000145E2">
        <w:rPr>
          <w:i/>
          <w:lang w:val="fr-CA"/>
        </w:rPr>
        <w:t>il habileté à modifier ou à annuler une décision de l’Office? — La norme de contrôle applicable est</w:t>
      </w:r>
      <w:r w:rsidR="00784AD2">
        <w:rPr>
          <w:i/>
          <w:lang w:val="fr-CA"/>
        </w:rPr>
        <w:t>-</w:t>
      </w:r>
      <w:r w:rsidR="009456D6" w:rsidRPr="000145E2">
        <w:rPr>
          <w:i/>
          <w:lang w:val="fr-CA"/>
        </w:rPr>
        <w:t>elle celle de la décision correcte ou celle de la décision raisonnable? — Loi</w:t>
      </w:r>
      <w:r w:rsidR="009456D6" w:rsidRPr="000145E2">
        <w:rPr>
          <w:i/>
          <w:iCs/>
          <w:lang w:val="fr-CA"/>
        </w:rPr>
        <w:t xml:space="preserve"> sur les transports au Canada</w:t>
      </w:r>
      <w:r w:rsidR="009456D6" w:rsidRPr="000145E2">
        <w:rPr>
          <w:i/>
          <w:lang w:val="fr-CA"/>
        </w:rPr>
        <w:t>, L.C. 1996, ch.</w:t>
      </w:r>
      <w:r w:rsidR="00784AD2">
        <w:rPr>
          <w:i/>
          <w:lang w:val="fr-CA"/>
        </w:rPr>
        <w:t xml:space="preserve"> </w:t>
      </w:r>
      <w:r w:rsidR="009456D6" w:rsidRPr="000145E2">
        <w:rPr>
          <w:i/>
          <w:lang w:val="fr-CA"/>
        </w:rPr>
        <w:t>10, art. 40, 41, 120.1.</w:t>
      </w:r>
    </w:p>
    <w:p w:rsidR="009456D6" w:rsidRPr="000145E2" w:rsidRDefault="004D7D95" w:rsidP="005C77BD">
      <w:pPr>
        <w:pStyle w:val="SCCNormalDoubleSpacing"/>
        <w:spacing w:after="480"/>
        <w:rPr>
          <w:lang w:val="fr-CA"/>
        </w:rPr>
      </w:pPr>
      <w:r w:rsidRPr="000145E2">
        <w:rPr>
          <w:lang w:val="fr-CA"/>
        </w:rPr>
        <w:lastRenderedPageBreak/>
        <w:tab/>
      </w:r>
      <w:r w:rsidR="009456D6" w:rsidRPr="000145E2">
        <w:rPr>
          <w:lang w:val="fr-CA"/>
        </w:rPr>
        <w:t>Le contrat confidentiel conclu entre PRC et le CN pour le transport de charbon par voie ferrée précisait qu</w:t>
      </w:r>
      <w:r w:rsidR="00937D34" w:rsidRPr="000145E2">
        <w:rPr>
          <w:lang w:val="fr-CA"/>
        </w:rPr>
        <w:t>’un</w:t>
      </w:r>
      <w:r w:rsidR="009456D6" w:rsidRPr="000145E2">
        <w:rPr>
          <w:lang w:val="fr-CA"/>
        </w:rPr>
        <w:t xml:space="preserve"> supplément carburant prévu au tarif 7402 s’appliqu</w:t>
      </w:r>
      <w:r w:rsidR="00562040" w:rsidRPr="000145E2">
        <w:rPr>
          <w:lang w:val="fr-CA"/>
        </w:rPr>
        <w:t>er</w:t>
      </w:r>
      <w:r w:rsidR="009456D6" w:rsidRPr="000145E2">
        <w:rPr>
          <w:lang w:val="fr-CA"/>
        </w:rPr>
        <w:t>ait lorsque le prix moyen mensuel du carburant dies</w:t>
      </w:r>
      <w:r w:rsidR="00562040" w:rsidRPr="000145E2">
        <w:rPr>
          <w:lang w:val="fr-CA"/>
        </w:rPr>
        <w:t>el pour véhicules routiers ser</w:t>
      </w:r>
      <w:r w:rsidR="009456D6" w:rsidRPr="000145E2">
        <w:rPr>
          <w:lang w:val="fr-CA"/>
        </w:rPr>
        <w:t xml:space="preserve">ait égal ou supérieur au </w:t>
      </w:r>
      <w:r w:rsidR="00784AD2">
        <w:rPr>
          <w:lang w:val="fr-CA"/>
        </w:rPr>
        <w:t>« </w:t>
      </w:r>
      <w:r w:rsidR="009456D6" w:rsidRPr="000145E2">
        <w:rPr>
          <w:lang w:val="fr-CA"/>
        </w:rPr>
        <w:t>seuil</w:t>
      </w:r>
      <w:r w:rsidR="00784AD2">
        <w:rPr>
          <w:lang w:val="fr-CA"/>
        </w:rPr>
        <w:t> »</w:t>
      </w:r>
      <w:r w:rsidR="009456D6" w:rsidRPr="000145E2">
        <w:rPr>
          <w:lang w:val="fr-CA"/>
        </w:rPr>
        <w:t xml:space="preserve"> prévu.  Le tarif 7402 fix</w:t>
      </w:r>
      <w:r w:rsidR="00562040" w:rsidRPr="000145E2">
        <w:rPr>
          <w:lang w:val="fr-CA"/>
        </w:rPr>
        <w:t>ait</w:t>
      </w:r>
      <w:r w:rsidR="009456D6" w:rsidRPr="000145E2">
        <w:rPr>
          <w:lang w:val="fr-CA"/>
        </w:rPr>
        <w:t xml:space="preserve"> ce seuil à 1,25</w:t>
      </w:r>
      <w:r w:rsidR="00515CE5">
        <w:rPr>
          <w:lang w:val="fr-CA"/>
        </w:rPr>
        <w:t> </w:t>
      </w:r>
      <w:r w:rsidR="009456D6" w:rsidRPr="000145E2">
        <w:rPr>
          <w:lang w:val="fr-CA"/>
        </w:rPr>
        <w:t>$</w:t>
      </w:r>
      <w:r w:rsidR="008A7826">
        <w:rPr>
          <w:lang w:val="fr-CA"/>
        </w:rPr>
        <w:t xml:space="preserve"> </w:t>
      </w:r>
      <w:r w:rsidR="009456D6" w:rsidRPr="000145E2">
        <w:rPr>
          <w:lang w:val="fr-CA"/>
        </w:rPr>
        <w:t>US le gallon.  Le CN pouvait modifier unilatéralement le tarif</w:t>
      </w:r>
      <w:r w:rsidR="00784AD2">
        <w:rPr>
          <w:lang w:val="fr-CA"/>
        </w:rPr>
        <w:t xml:space="preserve"> </w:t>
      </w:r>
      <w:r w:rsidR="009456D6" w:rsidRPr="000145E2">
        <w:rPr>
          <w:lang w:val="fr-CA"/>
        </w:rPr>
        <w:t>7402, et le contrat ne prévoyait aucun mécanisme permettant à PRC de contester un tel changement.</w:t>
      </w:r>
    </w:p>
    <w:p w:rsidR="004D7D95" w:rsidRPr="000145E2" w:rsidRDefault="009456D6" w:rsidP="005C77BD">
      <w:pPr>
        <w:pStyle w:val="SCCNormalDoubleSpacing"/>
        <w:spacing w:after="480"/>
        <w:rPr>
          <w:lang w:val="fr-CA"/>
        </w:rPr>
      </w:pPr>
      <w:r w:rsidRPr="000145E2">
        <w:rPr>
          <w:lang w:val="fr-CA"/>
        </w:rPr>
        <w:tab/>
        <w:t xml:space="preserve">Peu après l’entrée en vigueur du contrat confidentiel, le CN a adopté le tarif 7403, qui prévoyait un seuil </w:t>
      </w:r>
      <w:r w:rsidR="00562040" w:rsidRPr="000145E2">
        <w:rPr>
          <w:lang w:val="fr-CA"/>
        </w:rPr>
        <w:t>plus élevé</w:t>
      </w:r>
      <w:r w:rsidRPr="000145E2">
        <w:rPr>
          <w:lang w:val="fr-CA"/>
        </w:rPr>
        <w:t xml:space="preserve">.  Le tarif 7402 et le seuil </w:t>
      </w:r>
      <w:r w:rsidR="00562040" w:rsidRPr="000145E2">
        <w:rPr>
          <w:lang w:val="fr-CA"/>
        </w:rPr>
        <w:t>moins élevé</w:t>
      </w:r>
      <w:r w:rsidRPr="000145E2">
        <w:rPr>
          <w:lang w:val="fr-CA"/>
        </w:rPr>
        <w:t xml:space="preserve"> qu’il prévoyait continueraient de s’appliquer jusqu’à l’expiration des contrats conclus à ce tarif.  Le CN a refusé d’appliquer le seuil </w:t>
      </w:r>
      <w:r w:rsidR="00562040" w:rsidRPr="000145E2">
        <w:rPr>
          <w:lang w:val="fr-CA"/>
        </w:rPr>
        <w:t>plus élevé</w:t>
      </w:r>
      <w:r w:rsidRPr="000145E2">
        <w:rPr>
          <w:lang w:val="fr-CA"/>
        </w:rPr>
        <w:t xml:space="preserve"> aux services de transport qu’il fournissait à PRC, et l’Office des transports du Canada (</w:t>
      </w:r>
      <w:r w:rsidR="00784AD2">
        <w:rPr>
          <w:lang w:val="fr-CA"/>
        </w:rPr>
        <w:t>« </w:t>
      </w:r>
      <w:r w:rsidRPr="000145E2">
        <w:rPr>
          <w:lang w:val="fr-CA"/>
        </w:rPr>
        <w:t>Office</w:t>
      </w:r>
      <w:r w:rsidR="00784AD2">
        <w:rPr>
          <w:lang w:val="fr-CA"/>
        </w:rPr>
        <w:t> »</w:t>
      </w:r>
      <w:r w:rsidRPr="000145E2">
        <w:rPr>
          <w:lang w:val="fr-CA"/>
        </w:rPr>
        <w:t>) a rejeté la demande présentée par PRC en vertu de l’art.</w:t>
      </w:r>
      <w:r w:rsidR="00784AD2">
        <w:rPr>
          <w:lang w:val="fr-CA"/>
        </w:rPr>
        <w:t xml:space="preserve"> </w:t>
      </w:r>
      <w:r w:rsidRPr="000145E2">
        <w:rPr>
          <w:lang w:val="fr-CA"/>
        </w:rPr>
        <w:t xml:space="preserve">120.1 de la </w:t>
      </w:r>
      <w:r w:rsidRPr="000145E2">
        <w:rPr>
          <w:i/>
          <w:lang w:val="fr-CA"/>
        </w:rPr>
        <w:t>Loi</w:t>
      </w:r>
      <w:r w:rsidRPr="000145E2">
        <w:rPr>
          <w:i/>
          <w:iCs/>
          <w:lang w:val="fr-CA"/>
        </w:rPr>
        <w:t xml:space="preserve"> sur les transports au Canada</w:t>
      </w:r>
      <w:r w:rsidR="00562040" w:rsidRPr="000145E2">
        <w:rPr>
          <w:lang w:val="fr-CA"/>
        </w:rPr>
        <w:t xml:space="preserve"> </w:t>
      </w:r>
      <w:r w:rsidR="00F16E5E" w:rsidRPr="000145E2">
        <w:rPr>
          <w:lang w:val="fr-CA"/>
        </w:rPr>
        <w:t>(</w:t>
      </w:r>
      <w:r w:rsidR="00784AD2">
        <w:rPr>
          <w:lang w:val="fr-CA"/>
        </w:rPr>
        <w:t>« </w:t>
      </w:r>
      <w:r w:rsidR="00F16E5E" w:rsidRPr="000145E2">
        <w:rPr>
          <w:i/>
          <w:lang w:val="fr-CA"/>
        </w:rPr>
        <w:t>Loi</w:t>
      </w:r>
      <w:r w:rsidR="00784AD2">
        <w:rPr>
          <w:lang w:val="fr-CA"/>
        </w:rPr>
        <w:t> »</w:t>
      </w:r>
      <w:r w:rsidR="00F16E5E" w:rsidRPr="000145E2">
        <w:rPr>
          <w:lang w:val="fr-CA"/>
        </w:rPr>
        <w:t xml:space="preserve">) </w:t>
      </w:r>
      <w:r w:rsidRPr="000145E2">
        <w:rPr>
          <w:lang w:val="fr-CA"/>
        </w:rPr>
        <w:t>en vue d’obtenir un</w:t>
      </w:r>
      <w:r w:rsidR="00562040" w:rsidRPr="000145E2">
        <w:rPr>
          <w:lang w:val="fr-CA"/>
        </w:rPr>
        <w:t>e</w:t>
      </w:r>
      <w:r w:rsidRPr="000145E2">
        <w:rPr>
          <w:lang w:val="fr-CA"/>
        </w:rPr>
        <w:t xml:space="preserve"> </w:t>
      </w:r>
      <w:r w:rsidR="00562040" w:rsidRPr="000145E2">
        <w:rPr>
          <w:lang w:val="fr-CA"/>
        </w:rPr>
        <w:t>ordonnance</w:t>
      </w:r>
      <w:r w:rsidRPr="000145E2">
        <w:rPr>
          <w:lang w:val="fr-CA"/>
        </w:rPr>
        <w:t xml:space="preserve"> modifiant le seuil prévu au tarif 7402 de façon à le faire correspondre à celui </w:t>
      </w:r>
      <w:r w:rsidR="00562040" w:rsidRPr="000145E2">
        <w:rPr>
          <w:lang w:val="fr-CA"/>
        </w:rPr>
        <w:t xml:space="preserve">plus élevé </w:t>
      </w:r>
      <w:r w:rsidRPr="000145E2">
        <w:rPr>
          <w:lang w:val="fr-CA"/>
        </w:rPr>
        <w:t>établi par le tarif 7403.  L’Association canadienne de transport industriel a alors demandé au gouverneur en conseil, par voie de requête fondée sur l’art.</w:t>
      </w:r>
      <w:r w:rsidR="00784AD2">
        <w:rPr>
          <w:lang w:val="fr-CA"/>
        </w:rPr>
        <w:t xml:space="preserve"> </w:t>
      </w:r>
      <w:r w:rsidRPr="000145E2">
        <w:rPr>
          <w:lang w:val="fr-CA"/>
        </w:rPr>
        <w:t xml:space="preserve">40 de la </w:t>
      </w:r>
      <w:r w:rsidRPr="000145E2">
        <w:rPr>
          <w:i/>
          <w:lang w:val="fr-CA"/>
        </w:rPr>
        <w:t>Loi</w:t>
      </w:r>
      <w:r w:rsidRPr="000145E2">
        <w:rPr>
          <w:lang w:val="fr-CA"/>
        </w:rPr>
        <w:t>, de modifier la décision de l’Office et d’ordonner à celui</w:t>
      </w:r>
      <w:r w:rsidR="00784AD2">
        <w:rPr>
          <w:lang w:val="fr-CA"/>
        </w:rPr>
        <w:t>-</w:t>
      </w:r>
      <w:r w:rsidRPr="000145E2">
        <w:rPr>
          <w:lang w:val="fr-CA"/>
        </w:rPr>
        <w:t xml:space="preserve">ci de considérer que le contrat confidentiel ne l’empêchait pas de déterminer si le supplément carburant prévu au tarif 7402 était raisonnable.  Le gouverneur en conseil a annulé la décision de l’Office.  </w:t>
      </w:r>
      <w:r w:rsidR="00562040" w:rsidRPr="000145E2">
        <w:rPr>
          <w:lang w:val="fr-CA"/>
        </w:rPr>
        <w:t>À l’issue d’un</w:t>
      </w:r>
      <w:r w:rsidRPr="000145E2">
        <w:rPr>
          <w:lang w:val="fr-CA"/>
        </w:rPr>
        <w:t xml:space="preserve"> contrôle judiciaire, la Cour fédérale a conclu que la question soumise au gouverneur en conseil touchait véritablement à la compétence, a appliqué la norme de </w:t>
      </w:r>
      <w:r w:rsidRPr="000145E2">
        <w:rPr>
          <w:lang w:val="fr-CA"/>
        </w:rPr>
        <w:lastRenderedPageBreak/>
        <w:t>la décision correcte, a annulé le décret du gouverneur en conseil et a rétabli la décision de l’Office.  Appliquant la norme de la décision raisonnable, la Cour d’appel fédérale a infirmé le jugement de la Cour fédérale et a rejeté la demande de contrôle judiciaire de la décision du gouverneur en conseil présentée par le CN.</w:t>
      </w:r>
    </w:p>
    <w:p w:rsidR="004D7D95" w:rsidRPr="000145E2" w:rsidRDefault="004D7D95" w:rsidP="005C77BD">
      <w:pPr>
        <w:pStyle w:val="SCCNormalDoubleSpacing"/>
        <w:spacing w:after="480"/>
        <w:rPr>
          <w:lang w:val="fr-CA"/>
        </w:rPr>
      </w:pPr>
      <w:r w:rsidRPr="000145E2">
        <w:rPr>
          <w:lang w:val="fr-CA"/>
        </w:rPr>
        <w:tab/>
      </w:r>
      <w:r w:rsidRPr="000145E2">
        <w:rPr>
          <w:i/>
          <w:lang w:val="fr-CA"/>
        </w:rPr>
        <w:t>Arrêt</w:t>
      </w:r>
      <w:r w:rsidR="00784AD2">
        <w:rPr>
          <w:lang w:val="fr-CA"/>
        </w:rPr>
        <w:t> :</w:t>
      </w:r>
      <w:r w:rsidRPr="000145E2">
        <w:rPr>
          <w:lang w:val="fr-CA"/>
        </w:rPr>
        <w:t xml:space="preserve"> Le pourvoi est</w:t>
      </w:r>
      <w:r w:rsidR="009456D6" w:rsidRPr="000145E2">
        <w:rPr>
          <w:lang w:val="fr-CA"/>
        </w:rPr>
        <w:t xml:space="preserve"> rejeté.</w:t>
      </w:r>
    </w:p>
    <w:p w:rsidR="009456D6" w:rsidRPr="000145E2" w:rsidRDefault="004D7D95" w:rsidP="005C77BD">
      <w:pPr>
        <w:pStyle w:val="SCCNormalDoubleSpacing"/>
        <w:spacing w:after="480"/>
        <w:rPr>
          <w:lang w:val="fr-CA"/>
        </w:rPr>
      </w:pPr>
      <w:r w:rsidRPr="000145E2">
        <w:rPr>
          <w:lang w:val="fr-CA"/>
        </w:rPr>
        <w:tab/>
      </w:r>
      <w:r w:rsidR="009456D6" w:rsidRPr="000145E2">
        <w:rPr>
          <w:lang w:val="fr-CA"/>
        </w:rPr>
        <w:t>L’article</w:t>
      </w:r>
      <w:r w:rsidR="00784AD2">
        <w:rPr>
          <w:lang w:val="fr-CA"/>
        </w:rPr>
        <w:t xml:space="preserve"> </w:t>
      </w:r>
      <w:r w:rsidR="009456D6" w:rsidRPr="000145E2">
        <w:rPr>
          <w:lang w:val="fr-CA"/>
        </w:rPr>
        <w:t xml:space="preserve">40 de la </w:t>
      </w:r>
      <w:r w:rsidR="009456D6" w:rsidRPr="000145E2">
        <w:rPr>
          <w:i/>
          <w:lang w:val="fr-CA"/>
        </w:rPr>
        <w:t>Loi</w:t>
      </w:r>
      <w:r w:rsidR="009456D6" w:rsidRPr="000145E2">
        <w:rPr>
          <w:lang w:val="fr-CA"/>
        </w:rPr>
        <w:t xml:space="preserve"> confère au gouverneur en conseil un vaste pouvoir décisionnel à l’égard des arrêtés et des décisions de l’Office, y compris ceux qui soulèvent des questions de droit.  Lorsque le législateur entend restreindre les pouvoirs du gouverneur en conseil, il le fait expressément, mais la seule limite inhérente au pouvoir conféré par l’art.</w:t>
      </w:r>
      <w:r w:rsidR="00784AD2">
        <w:rPr>
          <w:lang w:val="fr-CA"/>
        </w:rPr>
        <w:t xml:space="preserve"> </w:t>
      </w:r>
      <w:r w:rsidR="009456D6" w:rsidRPr="000145E2">
        <w:rPr>
          <w:lang w:val="fr-CA"/>
        </w:rPr>
        <w:t xml:space="preserve">40 est que le pouvoir du gouverneur en conseil se limite </w:t>
      </w:r>
      <w:r w:rsidR="00836D1F" w:rsidRPr="000145E2">
        <w:rPr>
          <w:lang w:val="fr-CA"/>
        </w:rPr>
        <w:t>à l’examen des</w:t>
      </w:r>
      <w:r w:rsidR="009456D6" w:rsidRPr="000145E2">
        <w:rPr>
          <w:lang w:val="fr-CA"/>
        </w:rPr>
        <w:t xml:space="preserve"> questions déjà examinées par l’Office.  Des restrictions comme celles relatives au droit de porter une décision de l’Office devant la Cour d’appel fédérale ou celles qu’imposent d’autres lois au pouvoir du gouverneur en conseil n’apparaissent pas à l’art.</w:t>
      </w:r>
      <w:r w:rsidR="00784AD2">
        <w:rPr>
          <w:lang w:val="fr-CA"/>
        </w:rPr>
        <w:t xml:space="preserve"> </w:t>
      </w:r>
      <w:r w:rsidR="009456D6" w:rsidRPr="000145E2">
        <w:rPr>
          <w:lang w:val="fr-CA"/>
        </w:rPr>
        <w:t>40.</w:t>
      </w:r>
    </w:p>
    <w:p w:rsidR="009456D6" w:rsidRPr="000145E2" w:rsidRDefault="009456D6" w:rsidP="005C77BD">
      <w:pPr>
        <w:pStyle w:val="SCCNormalDoubleSpacing"/>
        <w:spacing w:after="480"/>
        <w:rPr>
          <w:lang w:val="fr-CA"/>
        </w:rPr>
      </w:pPr>
      <w:r w:rsidRPr="000145E2">
        <w:rPr>
          <w:lang w:val="fr-CA"/>
        </w:rPr>
        <w:tab/>
        <w:t xml:space="preserve">Le cadre énoncé dans l’arrêt </w:t>
      </w:r>
      <w:proofErr w:type="spellStart"/>
      <w:r w:rsidRPr="000145E2">
        <w:rPr>
          <w:i/>
          <w:lang w:val="fr-CA"/>
        </w:rPr>
        <w:t>Dunsmuir</w:t>
      </w:r>
      <w:proofErr w:type="spellEnd"/>
      <w:r w:rsidR="00562040" w:rsidRPr="000145E2">
        <w:rPr>
          <w:lang w:val="fr-CA"/>
        </w:rPr>
        <w:t>,</w:t>
      </w:r>
      <w:r w:rsidRPr="000145E2">
        <w:rPr>
          <w:lang w:val="fr-CA"/>
        </w:rPr>
        <w:t xml:space="preserve"> </w:t>
      </w:r>
      <w:r w:rsidR="00562040" w:rsidRPr="000145E2">
        <w:rPr>
          <w:lang w:val="fr-CA"/>
        </w:rPr>
        <w:t>qui s’</w:t>
      </w:r>
      <w:r w:rsidRPr="000145E2">
        <w:rPr>
          <w:lang w:val="fr-CA"/>
        </w:rPr>
        <w:t>appli</w:t>
      </w:r>
      <w:r w:rsidR="00562040" w:rsidRPr="000145E2">
        <w:rPr>
          <w:lang w:val="fr-CA"/>
        </w:rPr>
        <w:t>que</w:t>
      </w:r>
      <w:r w:rsidRPr="000145E2">
        <w:rPr>
          <w:lang w:val="fr-CA"/>
        </w:rPr>
        <w:t xml:space="preserve"> aux décideurs administratifs en général et non seulement aux tribunaux administratifs</w:t>
      </w:r>
      <w:r w:rsidR="00562040" w:rsidRPr="000145E2">
        <w:rPr>
          <w:lang w:val="fr-CA"/>
        </w:rPr>
        <w:t>,</w:t>
      </w:r>
      <w:r w:rsidRPr="000145E2">
        <w:rPr>
          <w:lang w:val="fr-CA"/>
        </w:rPr>
        <w:t xml:space="preserve"> s’applique aux décisions juridictionnelles prises par le gouverneur en conseil en vertu de l’art.</w:t>
      </w:r>
      <w:r w:rsidR="00784AD2">
        <w:rPr>
          <w:lang w:val="fr-CA"/>
        </w:rPr>
        <w:t xml:space="preserve"> </w:t>
      </w:r>
      <w:r w:rsidRPr="000145E2">
        <w:rPr>
          <w:lang w:val="fr-CA"/>
        </w:rPr>
        <w:t xml:space="preserve">40, et la norme de contrôle est celle de la décision raisonnable.  </w:t>
      </w:r>
      <w:r w:rsidR="00BF0D84" w:rsidRPr="000145E2">
        <w:rPr>
          <w:lang w:val="fr-CA"/>
        </w:rPr>
        <w:t xml:space="preserve">Il est aujourd’hui bien établi que la déférence est habituellement de mise lorsqu’un décideur interprète sa propre loi constitutive ou une loi étroitement liée à son mandat et dont il a une connaissance approfondie.  </w:t>
      </w:r>
      <w:r w:rsidRPr="000145E2">
        <w:rPr>
          <w:lang w:val="fr-CA"/>
        </w:rPr>
        <w:t xml:space="preserve">Le législateur a reconnu </w:t>
      </w:r>
      <w:r w:rsidR="00562040" w:rsidRPr="000145E2">
        <w:rPr>
          <w:lang w:val="fr-CA"/>
        </w:rPr>
        <w:t>a</w:t>
      </w:r>
      <w:r w:rsidRPr="000145E2">
        <w:rPr>
          <w:lang w:val="fr-CA"/>
        </w:rPr>
        <w:t xml:space="preserve">u gouverneur en conseil une </w:t>
      </w:r>
      <w:r w:rsidRPr="000145E2">
        <w:rPr>
          <w:lang w:val="fr-CA"/>
        </w:rPr>
        <w:lastRenderedPageBreak/>
        <w:t>connaissance approfondie du secteur de la réglementation économique, et les lois et politiques en matière de transport sont liées de près à la fonction d’e</w:t>
      </w:r>
      <w:r w:rsidR="005C77BD">
        <w:rPr>
          <w:lang w:val="fr-CA"/>
        </w:rPr>
        <w:t xml:space="preserve">xamen du gouverneur en conseil.  </w:t>
      </w:r>
      <w:r w:rsidRPr="000145E2">
        <w:rPr>
          <w:lang w:val="fr-CA"/>
        </w:rPr>
        <w:t xml:space="preserve">La présomption de déférence s’applique et n’est pas réfutée.  </w:t>
      </w:r>
      <w:r w:rsidR="00BF0D84" w:rsidRPr="000145E2">
        <w:rPr>
          <w:lang w:val="fr-CA"/>
        </w:rPr>
        <w:t>La question de savoir si une partie à un contrat confidentiel peut déposer une plainte en vertu de l’art.</w:t>
      </w:r>
      <w:r w:rsidR="00784AD2">
        <w:rPr>
          <w:lang w:val="fr-CA"/>
        </w:rPr>
        <w:t xml:space="preserve"> </w:t>
      </w:r>
      <w:r w:rsidR="00BF0D84" w:rsidRPr="000145E2">
        <w:rPr>
          <w:lang w:val="fr-CA"/>
        </w:rPr>
        <w:t xml:space="preserve">120.1 constitue </w:t>
      </w:r>
      <w:r w:rsidRPr="000145E2">
        <w:rPr>
          <w:lang w:val="fr-CA"/>
        </w:rPr>
        <w:t xml:space="preserve">une question de droit qui n’appartient pas à l’une des catégories établies de questions auxquelles s’applique la norme de contrôle de la décision correcte.  </w:t>
      </w:r>
      <w:r w:rsidR="00562040" w:rsidRPr="000145E2">
        <w:rPr>
          <w:lang w:val="fr-CA"/>
        </w:rPr>
        <w:t>A</w:t>
      </w:r>
      <w:r w:rsidRPr="000145E2">
        <w:rPr>
          <w:lang w:val="fr-CA"/>
        </w:rPr>
        <w:t>ucune question de constitutionnalité ou de compétence concurrente entre tribunaux administratifs</w:t>
      </w:r>
      <w:r w:rsidR="00562040" w:rsidRPr="000145E2">
        <w:rPr>
          <w:lang w:val="fr-CA"/>
        </w:rPr>
        <w:t xml:space="preserve"> ne se pose</w:t>
      </w:r>
      <w:r w:rsidRPr="000145E2">
        <w:rPr>
          <w:lang w:val="fr-CA"/>
        </w:rPr>
        <w:t xml:space="preserve">.  La question en litige ne revêt pas une importance capitale pour le système juridique dans son ensemble.  Enfin, </w:t>
      </w:r>
      <w:r w:rsidR="00562040" w:rsidRPr="000145E2">
        <w:rPr>
          <w:lang w:val="fr-CA"/>
        </w:rPr>
        <w:t>il s’agit d’</w:t>
      </w:r>
      <w:r w:rsidRPr="000145E2">
        <w:rPr>
          <w:lang w:val="fr-CA"/>
        </w:rPr>
        <w:t xml:space="preserve">une question d’interprétation législative </w:t>
      </w:r>
      <w:r w:rsidR="00562040" w:rsidRPr="000145E2">
        <w:rPr>
          <w:lang w:val="fr-CA"/>
        </w:rPr>
        <w:t>et</w:t>
      </w:r>
      <w:r w:rsidRPr="000145E2">
        <w:rPr>
          <w:lang w:val="fr-CA"/>
        </w:rPr>
        <w:t xml:space="preserve"> </w:t>
      </w:r>
      <w:r w:rsidR="00562040" w:rsidRPr="000145E2">
        <w:rPr>
          <w:lang w:val="fr-CA"/>
        </w:rPr>
        <w:t>i</w:t>
      </w:r>
      <w:r w:rsidRPr="000145E2">
        <w:rPr>
          <w:lang w:val="fr-CA"/>
        </w:rPr>
        <w:t xml:space="preserve">l ne pouvait </w:t>
      </w:r>
      <w:r w:rsidR="00562040" w:rsidRPr="000145E2">
        <w:rPr>
          <w:lang w:val="fr-CA"/>
        </w:rPr>
        <w:t xml:space="preserve">donc </w:t>
      </w:r>
      <w:r w:rsidRPr="000145E2">
        <w:rPr>
          <w:lang w:val="fr-CA"/>
        </w:rPr>
        <w:t>s’agir d’une question touchant véritablement la compétence ou la validité du pouvoir du gouverneur en conseil.</w:t>
      </w:r>
    </w:p>
    <w:p w:rsidR="004D7D95" w:rsidRPr="000145E2" w:rsidRDefault="009456D6" w:rsidP="005C77BD">
      <w:pPr>
        <w:pStyle w:val="SCCNormalDoubleSpacing"/>
        <w:spacing w:after="480"/>
        <w:rPr>
          <w:lang w:val="fr-CA"/>
        </w:rPr>
      </w:pPr>
      <w:r w:rsidRPr="000145E2">
        <w:rPr>
          <w:lang w:val="fr-CA"/>
        </w:rPr>
        <w:tab/>
        <w:t>Le gouverneur en conseil a raisonnablement conclu qu’une partie à un contrat confidentiel peut dans certaines circonstances déposer une plainte en vertu de l’art.</w:t>
      </w:r>
      <w:r w:rsidR="00784AD2">
        <w:rPr>
          <w:lang w:val="fr-CA"/>
        </w:rPr>
        <w:t xml:space="preserve"> </w:t>
      </w:r>
      <w:r w:rsidRPr="000145E2">
        <w:rPr>
          <w:lang w:val="fr-CA"/>
        </w:rPr>
        <w:t>120.1.  Cette décision est étayée par les faits et par le libellé du par.</w:t>
      </w:r>
      <w:r w:rsidR="00784AD2">
        <w:rPr>
          <w:lang w:val="fr-CA"/>
        </w:rPr>
        <w:t xml:space="preserve"> </w:t>
      </w:r>
      <w:r w:rsidRPr="000145E2">
        <w:rPr>
          <w:lang w:val="fr-CA"/>
        </w:rPr>
        <w:t>120.1(1).  La conclusion suivant laquelle l’existence d’un contrat confidentiel n’empêchait pas un expéditeur de demander un examen du caractère raisonnable des frais en vertu du par.</w:t>
      </w:r>
      <w:r w:rsidR="00784AD2">
        <w:rPr>
          <w:lang w:val="fr-CA"/>
        </w:rPr>
        <w:t xml:space="preserve"> </w:t>
      </w:r>
      <w:r w:rsidRPr="000145E2">
        <w:rPr>
          <w:lang w:val="fr-CA"/>
        </w:rPr>
        <w:t xml:space="preserve">120.1(1) concorde avec les dispositions de la </w:t>
      </w:r>
      <w:r w:rsidRPr="000145E2">
        <w:rPr>
          <w:i/>
          <w:lang w:val="fr-CA"/>
        </w:rPr>
        <w:t>Loi</w:t>
      </w:r>
      <w:r w:rsidRPr="000145E2">
        <w:rPr>
          <w:lang w:val="fr-CA"/>
        </w:rPr>
        <w:t>, lesquelles n’empêchent pas l’Office d’examiner le caractère raisonnable des frais que contient un tarif applicable à plus d’un expéditeur, que le tarif soit ou non incorporé par renvoi dans un contrat confidentiel.  En outre, le gouverneur en conseil pouvait conclure qu</w:t>
      </w:r>
      <w:r w:rsidR="00836D1F" w:rsidRPr="000145E2">
        <w:rPr>
          <w:lang w:val="fr-CA"/>
        </w:rPr>
        <w:t>’en édictant l’art.</w:t>
      </w:r>
      <w:r w:rsidR="00784AD2">
        <w:rPr>
          <w:lang w:val="fr-CA"/>
        </w:rPr>
        <w:t xml:space="preserve"> </w:t>
      </w:r>
      <w:r w:rsidR="00836D1F" w:rsidRPr="000145E2">
        <w:rPr>
          <w:lang w:val="fr-CA"/>
        </w:rPr>
        <w:t xml:space="preserve">120.1, </w:t>
      </w:r>
      <w:r w:rsidRPr="000145E2">
        <w:rPr>
          <w:lang w:val="fr-CA"/>
        </w:rPr>
        <w:t>l</w:t>
      </w:r>
      <w:r w:rsidR="00836D1F" w:rsidRPr="000145E2">
        <w:rPr>
          <w:lang w:val="fr-CA"/>
        </w:rPr>
        <w:t>e législateur</w:t>
      </w:r>
      <w:r w:rsidRPr="000145E2">
        <w:rPr>
          <w:lang w:val="fr-CA"/>
        </w:rPr>
        <w:t xml:space="preserve"> </w:t>
      </w:r>
      <w:r w:rsidR="00836D1F" w:rsidRPr="000145E2">
        <w:rPr>
          <w:lang w:val="fr-CA"/>
        </w:rPr>
        <w:t>en</w:t>
      </w:r>
      <w:r w:rsidRPr="000145E2">
        <w:rPr>
          <w:lang w:val="fr-CA"/>
        </w:rPr>
        <w:t>t</w:t>
      </w:r>
      <w:r w:rsidR="00836D1F" w:rsidRPr="000145E2">
        <w:rPr>
          <w:lang w:val="fr-CA"/>
        </w:rPr>
        <w:t>end</w:t>
      </w:r>
      <w:r w:rsidRPr="000145E2">
        <w:rPr>
          <w:lang w:val="fr-CA"/>
        </w:rPr>
        <w:t xml:space="preserve">ait offrir une certaine protection aux expéditeurs.  En </w:t>
      </w:r>
      <w:r w:rsidRPr="000145E2">
        <w:rPr>
          <w:lang w:val="fr-CA"/>
        </w:rPr>
        <w:lastRenderedPageBreak/>
        <w:t>conséquence, sans décider si, dans un cas donné, un contrat confidentiel pourrait priver un expéditeur du recours prévu à l’art.</w:t>
      </w:r>
      <w:r w:rsidR="00784AD2">
        <w:rPr>
          <w:lang w:val="fr-CA"/>
        </w:rPr>
        <w:t xml:space="preserve"> </w:t>
      </w:r>
      <w:r w:rsidRPr="000145E2">
        <w:rPr>
          <w:lang w:val="fr-CA"/>
        </w:rPr>
        <w:t xml:space="preserve">120.1, </w:t>
      </w:r>
      <w:r w:rsidR="00562040" w:rsidRPr="000145E2">
        <w:rPr>
          <w:lang w:val="fr-CA"/>
        </w:rPr>
        <w:t>i</w:t>
      </w:r>
      <w:r w:rsidRPr="000145E2">
        <w:rPr>
          <w:lang w:val="fr-CA"/>
        </w:rPr>
        <w:t>l est raisonnable d’affirmer que le fait de laisser aux parties à des contrats confidentiels l’accès au mécanisme des plaintes prévu à l’art.</w:t>
      </w:r>
      <w:r w:rsidR="00784AD2">
        <w:rPr>
          <w:lang w:val="fr-CA"/>
        </w:rPr>
        <w:t xml:space="preserve"> </w:t>
      </w:r>
      <w:r w:rsidRPr="000145E2">
        <w:rPr>
          <w:lang w:val="fr-CA"/>
        </w:rPr>
        <w:t>120.1 serait conforme à cette intention</w:t>
      </w:r>
      <w:r w:rsidR="00836D1F" w:rsidRPr="000145E2">
        <w:rPr>
          <w:lang w:val="fr-CA"/>
        </w:rPr>
        <w:t xml:space="preserve"> du législateur</w:t>
      </w:r>
      <w:r w:rsidRPr="000145E2">
        <w:rPr>
          <w:lang w:val="fr-CA"/>
        </w:rPr>
        <w:t>.</w:t>
      </w:r>
      <w:r w:rsidR="00562040" w:rsidRPr="000145E2">
        <w:rPr>
          <w:lang w:val="fr-CA"/>
        </w:rPr>
        <w:t xml:space="preserve">  L’interprétation de l’art.</w:t>
      </w:r>
      <w:r w:rsidR="00784AD2">
        <w:rPr>
          <w:lang w:val="fr-CA"/>
        </w:rPr>
        <w:t xml:space="preserve"> </w:t>
      </w:r>
      <w:r w:rsidR="00562040" w:rsidRPr="000145E2">
        <w:rPr>
          <w:lang w:val="fr-CA"/>
        </w:rPr>
        <w:t xml:space="preserve">120.1 donnée par le gouverneur en conseil était raisonnable.  </w:t>
      </w:r>
    </w:p>
    <w:p w:rsidR="004D7D95" w:rsidRPr="000145E2" w:rsidRDefault="004D7D95" w:rsidP="005C77BD">
      <w:pPr>
        <w:pStyle w:val="SCCNormalDoubleSpacing"/>
        <w:spacing w:after="480"/>
        <w:rPr>
          <w:b/>
          <w:lang w:val="fr-CA"/>
        </w:rPr>
      </w:pPr>
      <w:r w:rsidRPr="000145E2">
        <w:rPr>
          <w:b/>
          <w:lang w:val="fr-CA"/>
        </w:rPr>
        <w:t>Jurisprudence</w:t>
      </w:r>
    </w:p>
    <w:p w:rsidR="004D7D95" w:rsidRPr="000145E2" w:rsidRDefault="004D7D95" w:rsidP="005C77BD">
      <w:pPr>
        <w:pStyle w:val="SCCNormalDoubleSpacing"/>
        <w:spacing w:after="480"/>
        <w:rPr>
          <w:b/>
          <w:lang w:val="fr-CA"/>
        </w:rPr>
      </w:pPr>
      <w:r w:rsidRPr="000145E2">
        <w:rPr>
          <w:lang w:val="fr-CA"/>
        </w:rPr>
        <w:tab/>
      </w:r>
      <w:r w:rsidRPr="000145E2">
        <w:rPr>
          <w:b/>
          <w:lang w:val="fr-CA"/>
        </w:rPr>
        <w:t>Arrêts mentionnés</w:t>
      </w:r>
      <w:r w:rsidR="00784AD2">
        <w:rPr>
          <w:b/>
          <w:lang w:val="fr-CA"/>
        </w:rPr>
        <w:t> :</w:t>
      </w:r>
      <w:r w:rsidRPr="000145E2">
        <w:rPr>
          <w:lang w:val="fr-CA"/>
        </w:rPr>
        <w:t xml:space="preserve"> </w:t>
      </w:r>
      <w:r w:rsidR="00CF32A6" w:rsidRPr="000145E2">
        <w:rPr>
          <w:i/>
          <w:lang w:val="fr-CA"/>
        </w:rPr>
        <w:t xml:space="preserve">Procureur général du Canada c. Inuit </w:t>
      </w:r>
      <w:proofErr w:type="spellStart"/>
      <w:r w:rsidR="00CF32A6" w:rsidRPr="000145E2">
        <w:rPr>
          <w:i/>
          <w:lang w:val="fr-CA"/>
        </w:rPr>
        <w:t>Tapirisat</w:t>
      </w:r>
      <w:proofErr w:type="spellEnd"/>
      <w:r w:rsidR="00CF32A6" w:rsidRPr="000145E2">
        <w:rPr>
          <w:i/>
          <w:lang w:val="fr-CA"/>
        </w:rPr>
        <w:t xml:space="preserve"> of Canada</w:t>
      </w:r>
      <w:r w:rsidR="00CF32A6" w:rsidRPr="000145E2">
        <w:rPr>
          <w:lang w:val="fr-CA"/>
        </w:rPr>
        <w:t xml:space="preserve">, [1980] 2 R.C.S. 735; </w:t>
      </w:r>
      <w:r w:rsidR="00CF32A6" w:rsidRPr="000145E2">
        <w:rPr>
          <w:i/>
          <w:lang w:val="fr-CA"/>
        </w:rPr>
        <w:t>Public Mobile Inc. c. Canada (Procureur général)</w:t>
      </w:r>
      <w:r w:rsidR="00CF32A6" w:rsidRPr="000145E2">
        <w:rPr>
          <w:lang w:val="fr-CA"/>
        </w:rPr>
        <w:t xml:space="preserve">, 2011 CAF 194, [2011] 3 R.C.F. 344; </w:t>
      </w:r>
      <w:r w:rsidR="00CF32A6" w:rsidRPr="000145E2">
        <w:rPr>
          <w:i/>
          <w:lang w:val="fr-CA"/>
        </w:rPr>
        <w:t>Colombie</w:t>
      </w:r>
      <w:r w:rsidR="00784AD2">
        <w:rPr>
          <w:i/>
          <w:lang w:val="fr-CA"/>
        </w:rPr>
        <w:t>-</w:t>
      </w:r>
      <w:r w:rsidR="00CF32A6" w:rsidRPr="000145E2">
        <w:rPr>
          <w:i/>
          <w:lang w:val="fr-CA"/>
        </w:rPr>
        <w:t>Britannique (Procureur général) c. Canada (Procureur général)</w:t>
      </w:r>
      <w:r w:rsidR="00CF32A6" w:rsidRPr="000145E2">
        <w:rPr>
          <w:lang w:val="fr-CA"/>
        </w:rPr>
        <w:t xml:space="preserve">, [1994] 2 R.C.S. 41; </w:t>
      </w:r>
      <w:proofErr w:type="spellStart"/>
      <w:r w:rsidR="00CF32A6" w:rsidRPr="000145E2">
        <w:rPr>
          <w:i/>
          <w:lang w:val="fr-CA"/>
        </w:rPr>
        <w:t>Rizzo</w:t>
      </w:r>
      <w:proofErr w:type="spellEnd"/>
      <w:r w:rsidR="00CF32A6" w:rsidRPr="000145E2">
        <w:rPr>
          <w:i/>
          <w:lang w:val="fr-CA"/>
        </w:rPr>
        <w:t xml:space="preserve"> &amp; </w:t>
      </w:r>
      <w:proofErr w:type="spellStart"/>
      <w:r w:rsidR="00CF32A6" w:rsidRPr="000145E2">
        <w:rPr>
          <w:i/>
          <w:lang w:val="fr-CA"/>
        </w:rPr>
        <w:t>Rizzo</w:t>
      </w:r>
      <w:proofErr w:type="spellEnd"/>
      <w:r w:rsidR="00CF32A6" w:rsidRPr="000145E2">
        <w:rPr>
          <w:i/>
          <w:lang w:val="fr-CA"/>
        </w:rPr>
        <w:t xml:space="preserve"> </w:t>
      </w:r>
      <w:proofErr w:type="spellStart"/>
      <w:r w:rsidR="00CF32A6" w:rsidRPr="000145E2">
        <w:rPr>
          <w:i/>
          <w:lang w:val="fr-CA"/>
        </w:rPr>
        <w:t>Shoes</w:t>
      </w:r>
      <w:proofErr w:type="spellEnd"/>
      <w:r w:rsidR="00CF32A6" w:rsidRPr="000145E2">
        <w:rPr>
          <w:i/>
          <w:lang w:val="fr-CA"/>
        </w:rPr>
        <w:t xml:space="preserve"> Ltd. (</w:t>
      </w:r>
      <w:proofErr w:type="spellStart"/>
      <w:r w:rsidR="00CF32A6" w:rsidRPr="000145E2">
        <w:rPr>
          <w:i/>
          <w:lang w:val="fr-CA"/>
        </w:rPr>
        <w:t>Re</w:t>
      </w:r>
      <w:proofErr w:type="spellEnd"/>
      <w:r w:rsidR="00CF32A6" w:rsidRPr="000145E2">
        <w:rPr>
          <w:i/>
          <w:lang w:val="fr-CA"/>
        </w:rPr>
        <w:t>)</w:t>
      </w:r>
      <w:r w:rsidR="00CF32A6" w:rsidRPr="000145E2">
        <w:rPr>
          <w:lang w:val="fr-CA"/>
        </w:rPr>
        <w:t xml:space="preserve">, [1998] 1 R.C.S. 27; </w:t>
      </w:r>
      <w:r w:rsidR="00CF32A6" w:rsidRPr="000145E2">
        <w:rPr>
          <w:i/>
          <w:lang w:val="fr-CA"/>
        </w:rPr>
        <w:t>R. c. Morgentaler</w:t>
      </w:r>
      <w:r w:rsidR="00CF32A6" w:rsidRPr="000145E2">
        <w:rPr>
          <w:lang w:val="fr-CA"/>
        </w:rPr>
        <w:t>, [1993] 3 R.C.S. 463</w:t>
      </w:r>
      <w:r w:rsidR="00932440" w:rsidRPr="000145E2">
        <w:rPr>
          <w:lang w:val="fr-CA"/>
        </w:rPr>
        <w:t xml:space="preserve">; </w:t>
      </w:r>
      <w:r w:rsidR="00932440" w:rsidRPr="000145E2">
        <w:rPr>
          <w:i/>
          <w:lang w:val="fr-CA"/>
        </w:rPr>
        <w:t>Canada (Commission canadienne des droits de la personne) c. Canada (Procureur général)</w:t>
      </w:r>
      <w:r w:rsidR="00932440" w:rsidRPr="000145E2">
        <w:rPr>
          <w:lang w:val="fr-CA"/>
        </w:rPr>
        <w:t>, 2011 CSC 53, [2011] 3 R.C.S. 471</w:t>
      </w:r>
      <w:r w:rsidR="00CF32A6" w:rsidRPr="000145E2">
        <w:rPr>
          <w:lang w:val="fr-CA"/>
        </w:rPr>
        <w:t>;</w:t>
      </w:r>
      <w:r w:rsidR="00932440" w:rsidRPr="000145E2">
        <w:rPr>
          <w:lang w:val="fr-CA"/>
        </w:rPr>
        <w:t xml:space="preserve"> </w:t>
      </w:r>
      <w:r w:rsidR="00932440" w:rsidRPr="000145E2">
        <w:rPr>
          <w:i/>
          <w:lang w:val="fr-CA"/>
        </w:rPr>
        <w:t xml:space="preserve">Placer </w:t>
      </w:r>
      <w:proofErr w:type="spellStart"/>
      <w:r w:rsidR="00932440" w:rsidRPr="000145E2">
        <w:rPr>
          <w:i/>
          <w:lang w:val="fr-CA"/>
        </w:rPr>
        <w:t>Dome</w:t>
      </w:r>
      <w:proofErr w:type="spellEnd"/>
      <w:r w:rsidR="00932440" w:rsidRPr="000145E2">
        <w:rPr>
          <w:i/>
          <w:lang w:val="fr-CA"/>
        </w:rPr>
        <w:t xml:space="preserve"> Canada Ltd. c. Ontario (Ministre des Finances)</w:t>
      </w:r>
      <w:r w:rsidR="00932440" w:rsidRPr="000145E2">
        <w:rPr>
          <w:lang w:val="fr-CA"/>
        </w:rPr>
        <w:t>, 2006 CSC 20, [2006] 1 R.C.S. 715;</w:t>
      </w:r>
      <w:r w:rsidR="00CF32A6" w:rsidRPr="000145E2">
        <w:rPr>
          <w:lang w:val="fr-CA"/>
        </w:rPr>
        <w:t xml:space="preserve"> </w:t>
      </w:r>
      <w:proofErr w:type="spellStart"/>
      <w:r w:rsidR="00CF32A6" w:rsidRPr="000145E2">
        <w:rPr>
          <w:i/>
          <w:lang w:val="fr-CA"/>
        </w:rPr>
        <w:t>Dunsmuir</w:t>
      </w:r>
      <w:proofErr w:type="spellEnd"/>
      <w:r w:rsidR="00CF32A6" w:rsidRPr="000145E2">
        <w:rPr>
          <w:i/>
          <w:lang w:val="fr-CA"/>
        </w:rPr>
        <w:t xml:space="preserve"> c. Nouveau</w:t>
      </w:r>
      <w:r w:rsidR="00784AD2">
        <w:rPr>
          <w:i/>
          <w:lang w:val="fr-CA"/>
        </w:rPr>
        <w:t>-</w:t>
      </w:r>
      <w:r w:rsidR="00CF32A6" w:rsidRPr="000145E2">
        <w:rPr>
          <w:i/>
          <w:lang w:val="fr-CA"/>
        </w:rPr>
        <w:t>Brunswick</w:t>
      </w:r>
      <w:r w:rsidR="00CF32A6" w:rsidRPr="000145E2">
        <w:rPr>
          <w:lang w:val="fr-CA"/>
        </w:rPr>
        <w:t xml:space="preserve">, 2008 CSC 9, [2008] 1 R.C.S. 190; </w:t>
      </w:r>
      <w:r w:rsidR="00CF32A6" w:rsidRPr="000145E2">
        <w:rPr>
          <w:i/>
          <w:lang w:val="fr-CA"/>
        </w:rPr>
        <w:t>Katz Group Canada Inc. c. Ontario (Santé et Soins de longue durée)</w:t>
      </w:r>
      <w:r w:rsidR="00CF32A6" w:rsidRPr="000145E2">
        <w:rPr>
          <w:lang w:val="fr-CA"/>
        </w:rPr>
        <w:t>, 2013 CSC 64</w:t>
      </w:r>
      <w:r w:rsidR="0052239B" w:rsidRPr="000145E2">
        <w:rPr>
          <w:lang w:val="fr-CA"/>
        </w:rPr>
        <w:t>, [2013] 3 R.C.S. 810</w:t>
      </w:r>
      <w:r w:rsidR="00CF32A6" w:rsidRPr="000145E2">
        <w:rPr>
          <w:lang w:val="fr-CA"/>
        </w:rPr>
        <w:t xml:space="preserve">; </w:t>
      </w:r>
      <w:proofErr w:type="spellStart"/>
      <w:r w:rsidR="00CF32A6" w:rsidRPr="000145E2">
        <w:rPr>
          <w:i/>
          <w:lang w:val="fr-CA"/>
        </w:rPr>
        <w:t>Catalyst</w:t>
      </w:r>
      <w:proofErr w:type="spellEnd"/>
      <w:r w:rsidR="00CF32A6" w:rsidRPr="000145E2">
        <w:rPr>
          <w:i/>
          <w:lang w:val="fr-CA"/>
        </w:rPr>
        <w:t xml:space="preserve"> </w:t>
      </w:r>
      <w:proofErr w:type="spellStart"/>
      <w:r w:rsidR="00CF32A6" w:rsidRPr="000145E2">
        <w:rPr>
          <w:i/>
          <w:lang w:val="fr-CA"/>
        </w:rPr>
        <w:t>Paper</w:t>
      </w:r>
      <w:proofErr w:type="spellEnd"/>
      <w:r w:rsidR="00CF32A6" w:rsidRPr="000145E2">
        <w:rPr>
          <w:i/>
          <w:lang w:val="fr-CA"/>
        </w:rPr>
        <w:t xml:space="preserve"> Cor</w:t>
      </w:r>
      <w:r w:rsidR="0047161B" w:rsidRPr="000145E2">
        <w:rPr>
          <w:i/>
          <w:lang w:val="fr-CA"/>
        </w:rPr>
        <w:t>p.</w:t>
      </w:r>
      <w:r w:rsidR="00784AD2">
        <w:rPr>
          <w:i/>
          <w:lang w:val="fr-CA"/>
        </w:rPr>
        <w:t xml:space="preserve"> </w:t>
      </w:r>
      <w:r w:rsidR="00CF32A6" w:rsidRPr="000145E2">
        <w:rPr>
          <w:i/>
          <w:lang w:val="fr-CA"/>
        </w:rPr>
        <w:t xml:space="preserve">c. </w:t>
      </w:r>
      <w:proofErr w:type="spellStart"/>
      <w:r w:rsidR="00CF32A6" w:rsidRPr="000145E2">
        <w:rPr>
          <w:i/>
          <w:lang w:val="fr-CA"/>
        </w:rPr>
        <w:t>North</w:t>
      </w:r>
      <w:proofErr w:type="spellEnd"/>
      <w:r w:rsidR="00CF32A6" w:rsidRPr="000145E2">
        <w:rPr>
          <w:i/>
          <w:lang w:val="fr-CA"/>
        </w:rPr>
        <w:t xml:space="preserve"> </w:t>
      </w:r>
      <w:proofErr w:type="spellStart"/>
      <w:r w:rsidR="00CF32A6" w:rsidRPr="000145E2">
        <w:rPr>
          <w:i/>
          <w:lang w:val="fr-CA"/>
        </w:rPr>
        <w:t>Cowichan</w:t>
      </w:r>
      <w:proofErr w:type="spellEnd"/>
      <w:r w:rsidR="00CF32A6" w:rsidRPr="000145E2">
        <w:rPr>
          <w:i/>
          <w:lang w:val="fr-CA"/>
        </w:rPr>
        <w:t xml:space="preserve"> (District)</w:t>
      </w:r>
      <w:r w:rsidR="00CF32A6" w:rsidRPr="000145E2">
        <w:rPr>
          <w:lang w:val="fr-CA"/>
        </w:rPr>
        <w:t xml:space="preserve">, 2012 CSC 2, [2012] 1 R.C.S. 5; </w:t>
      </w:r>
      <w:r w:rsidR="00CF32A6" w:rsidRPr="000145E2">
        <w:rPr>
          <w:i/>
          <w:lang w:val="fr-CA"/>
        </w:rPr>
        <w:t>Smith c. Alliance Pipeline Ltd.</w:t>
      </w:r>
      <w:r w:rsidR="00CF32A6" w:rsidRPr="000145E2">
        <w:rPr>
          <w:lang w:val="fr-CA"/>
        </w:rPr>
        <w:t xml:space="preserve">, 2011 CSC 7, [2011] 1 R.C.S. 160; </w:t>
      </w:r>
      <w:r w:rsidR="00CF32A6" w:rsidRPr="000145E2">
        <w:rPr>
          <w:i/>
          <w:lang w:val="fr-CA"/>
        </w:rPr>
        <w:t xml:space="preserve">Alberta (Information and </w:t>
      </w:r>
      <w:proofErr w:type="spellStart"/>
      <w:r w:rsidR="00CF32A6" w:rsidRPr="000145E2">
        <w:rPr>
          <w:i/>
          <w:lang w:val="fr-CA"/>
        </w:rPr>
        <w:t>Privacy</w:t>
      </w:r>
      <w:proofErr w:type="spellEnd"/>
      <w:r w:rsidR="00CF32A6" w:rsidRPr="000145E2">
        <w:rPr>
          <w:i/>
          <w:lang w:val="fr-CA"/>
        </w:rPr>
        <w:t xml:space="preserve"> </w:t>
      </w:r>
      <w:proofErr w:type="spellStart"/>
      <w:r w:rsidR="00CF32A6" w:rsidRPr="000145E2">
        <w:rPr>
          <w:i/>
          <w:lang w:val="fr-CA"/>
        </w:rPr>
        <w:t>Commissioner</w:t>
      </w:r>
      <w:proofErr w:type="spellEnd"/>
      <w:r w:rsidR="00CF32A6" w:rsidRPr="000145E2">
        <w:rPr>
          <w:i/>
          <w:lang w:val="fr-CA"/>
        </w:rPr>
        <w:t xml:space="preserve">) c. Alberta </w:t>
      </w:r>
      <w:proofErr w:type="spellStart"/>
      <w:r w:rsidR="00CF32A6" w:rsidRPr="000145E2">
        <w:rPr>
          <w:i/>
          <w:lang w:val="fr-CA"/>
        </w:rPr>
        <w:t>Teachers</w:t>
      </w:r>
      <w:proofErr w:type="spellEnd"/>
      <w:r w:rsidR="00CF32A6" w:rsidRPr="000145E2">
        <w:rPr>
          <w:i/>
          <w:lang w:val="fr-CA"/>
        </w:rPr>
        <w:t>’ Association</w:t>
      </w:r>
      <w:r w:rsidR="00CF32A6" w:rsidRPr="000145E2">
        <w:rPr>
          <w:lang w:val="fr-CA"/>
        </w:rPr>
        <w:t>, 2011 CSC 61, [2011] 3 R.C.S. 654.</w:t>
      </w:r>
    </w:p>
    <w:p w:rsidR="004D7D95" w:rsidRPr="000145E2" w:rsidRDefault="004D7D95" w:rsidP="005C77BD">
      <w:pPr>
        <w:pStyle w:val="SCCNormalDoubleSpacing"/>
        <w:spacing w:after="480"/>
        <w:rPr>
          <w:b/>
          <w:lang w:val="fr-CA"/>
        </w:rPr>
      </w:pPr>
      <w:r w:rsidRPr="000145E2">
        <w:rPr>
          <w:b/>
          <w:lang w:val="fr-CA"/>
        </w:rPr>
        <w:t>Lois et règlements cités</w:t>
      </w:r>
    </w:p>
    <w:p w:rsidR="003B6845" w:rsidRPr="000145E2" w:rsidRDefault="003B6845" w:rsidP="005C77BD">
      <w:pPr>
        <w:pStyle w:val="SCCNormalDoubleSpacing"/>
        <w:spacing w:after="240" w:line="240" w:lineRule="auto"/>
        <w:ind w:left="539" w:hanging="539"/>
        <w:rPr>
          <w:lang w:val="fr-CA"/>
        </w:rPr>
      </w:pPr>
      <w:r w:rsidRPr="000145E2">
        <w:rPr>
          <w:i/>
          <w:lang w:val="fr-CA"/>
        </w:rPr>
        <w:lastRenderedPageBreak/>
        <w:t>Acte des chemins de fer</w:t>
      </w:r>
      <w:r w:rsidRPr="000145E2">
        <w:rPr>
          <w:lang w:val="fr-CA"/>
        </w:rPr>
        <w:t xml:space="preserve">, S.C. 1888, </w:t>
      </w:r>
      <w:r w:rsidR="0047161B" w:rsidRPr="000145E2">
        <w:rPr>
          <w:lang w:val="fr-CA"/>
        </w:rPr>
        <w:t>ch.</w:t>
      </w:r>
      <w:r w:rsidR="00784AD2">
        <w:rPr>
          <w:lang w:val="fr-CA"/>
        </w:rPr>
        <w:t xml:space="preserve"> </w:t>
      </w:r>
      <w:r w:rsidRPr="000145E2">
        <w:rPr>
          <w:lang w:val="fr-CA"/>
        </w:rPr>
        <w:t xml:space="preserve">29, </w:t>
      </w:r>
      <w:r w:rsidR="0047161B" w:rsidRPr="000145E2">
        <w:rPr>
          <w:lang w:val="fr-CA"/>
        </w:rPr>
        <w:t>art.</w:t>
      </w:r>
      <w:r w:rsidR="00784AD2">
        <w:rPr>
          <w:lang w:val="fr-CA"/>
        </w:rPr>
        <w:t xml:space="preserve"> </w:t>
      </w:r>
      <w:r w:rsidR="004E3298" w:rsidRPr="000145E2">
        <w:rPr>
          <w:lang w:val="fr-CA"/>
        </w:rPr>
        <w:t>11</w:t>
      </w:r>
      <w:r w:rsidRPr="000145E2">
        <w:rPr>
          <w:i/>
          <w:lang w:val="fr-CA"/>
        </w:rPr>
        <w:t>r</w:t>
      </w:r>
      <w:r w:rsidRPr="000145E2">
        <w:rPr>
          <w:lang w:val="fr-CA"/>
        </w:rPr>
        <w:t>).</w:t>
      </w:r>
    </w:p>
    <w:p w:rsidR="00E96AF5" w:rsidRPr="000145E2" w:rsidRDefault="00E96AF5" w:rsidP="005C77BD">
      <w:pPr>
        <w:pStyle w:val="SCCNormalDoubleSpacing"/>
        <w:spacing w:after="240" w:line="240" w:lineRule="auto"/>
        <w:ind w:left="539" w:hanging="539"/>
        <w:rPr>
          <w:lang w:val="fr-CA"/>
        </w:rPr>
      </w:pPr>
      <w:r w:rsidRPr="000145E2">
        <w:rPr>
          <w:i/>
          <w:lang w:val="fr-CA"/>
        </w:rPr>
        <w:t>Acte des chemins de fer, 1868</w:t>
      </w:r>
      <w:r w:rsidRPr="000145E2">
        <w:rPr>
          <w:lang w:val="fr-CA"/>
        </w:rPr>
        <w:t xml:space="preserve">, S.C. 1868, </w:t>
      </w:r>
      <w:r w:rsidR="0047161B" w:rsidRPr="000145E2">
        <w:rPr>
          <w:lang w:val="fr-CA"/>
        </w:rPr>
        <w:t>ch.</w:t>
      </w:r>
      <w:r w:rsidR="00784AD2">
        <w:rPr>
          <w:lang w:val="fr-CA"/>
        </w:rPr>
        <w:t xml:space="preserve"> </w:t>
      </w:r>
      <w:r w:rsidRPr="000145E2">
        <w:rPr>
          <w:lang w:val="fr-CA"/>
        </w:rPr>
        <w:t>68</w:t>
      </w:r>
      <w:r w:rsidR="003B6845" w:rsidRPr="000145E2">
        <w:rPr>
          <w:lang w:val="fr-CA"/>
        </w:rPr>
        <w:t xml:space="preserve">, </w:t>
      </w:r>
      <w:r w:rsidR="0047161B" w:rsidRPr="000145E2">
        <w:rPr>
          <w:lang w:val="fr-CA"/>
        </w:rPr>
        <w:t>art.</w:t>
      </w:r>
      <w:r w:rsidR="00784AD2">
        <w:rPr>
          <w:lang w:val="fr-CA"/>
        </w:rPr>
        <w:t xml:space="preserve"> </w:t>
      </w:r>
      <w:r w:rsidR="003B6845" w:rsidRPr="000145E2">
        <w:rPr>
          <w:lang w:val="fr-CA"/>
        </w:rPr>
        <w:t>23</w:t>
      </w:r>
      <w:r w:rsidRPr="000145E2">
        <w:rPr>
          <w:lang w:val="fr-CA"/>
        </w:rPr>
        <w:t>.</w:t>
      </w:r>
    </w:p>
    <w:p w:rsidR="00E96AF5" w:rsidRPr="000145E2" w:rsidRDefault="00E96AF5" w:rsidP="005C77BD">
      <w:pPr>
        <w:pStyle w:val="SCCNormalDoubleSpacing"/>
        <w:spacing w:after="240" w:line="240" w:lineRule="auto"/>
        <w:ind w:left="539" w:hanging="539"/>
        <w:rPr>
          <w:lang w:val="fr-CA"/>
        </w:rPr>
      </w:pPr>
      <w:r w:rsidRPr="000145E2">
        <w:rPr>
          <w:i/>
          <w:lang w:val="fr-CA"/>
        </w:rPr>
        <w:t>Acte des chemins de fer, 1903</w:t>
      </w:r>
      <w:r w:rsidRPr="000145E2">
        <w:rPr>
          <w:lang w:val="fr-CA"/>
        </w:rPr>
        <w:t xml:space="preserve">, S.C. 1903, </w:t>
      </w:r>
      <w:r w:rsidR="0047161B" w:rsidRPr="000145E2">
        <w:rPr>
          <w:lang w:val="fr-CA"/>
        </w:rPr>
        <w:t>ch.</w:t>
      </w:r>
      <w:r w:rsidR="00784AD2">
        <w:rPr>
          <w:lang w:val="fr-CA"/>
        </w:rPr>
        <w:t xml:space="preserve"> </w:t>
      </w:r>
      <w:r w:rsidRPr="000145E2">
        <w:rPr>
          <w:lang w:val="fr-CA"/>
        </w:rPr>
        <w:t>58.</w:t>
      </w:r>
    </w:p>
    <w:p w:rsidR="00E96AF5" w:rsidRPr="000145E2" w:rsidRDefault="00E96AF5" w:rsidP="005C77BD">
      <w:pPr>
        <w:pStyle w:val="SCCNormalDoubleSpacing"/>
        <w:spacing w:after="240" w:line="240" w:lineRule="auto"/>
        <w:ind w:left="539" w:hanging="539"/>
        <w:rPr>
          <w:lang w:val="fr-CA"/>
        </w:rPr>
      </w:pPr>
      <w:r w:rsidRPr="000145E2">
        <w:rPr>
          <w:i/>
          <w:lang w:val="fr-CA"/>
        </w:rPr>
        <w:t>Loi maritime du Canada</w:t>
      </w:r>
      <w:r w:rsidRPr="000145E2">
        <w:rPr>
          <w:lang w:val="fr-CA"/>
        </w:rPr>
        <w:t xml:space="preserve">, L.C. 1998, </w:t>
      </w:r>
      <w:r w:rsidR="0047161B" w:rsidRPr="000145E2">
        <w:rPr>
          <w:lang w:val="fr-CA"/>
        </w:rPr>
        <w:t>ch.</w:t>
      </w:r>
      <w:r w:rsidR="00784AD2">
        <w:rPr>
          <w:lang w:val="fr-CA"/>
        </w:rPr>
        <w:t xml:space="preserve"> </w:t>
      </w:r>
      <w:r w:rsidRPr="000145E2">
        <w:rPr>
          <w:lang w:val="fr-CA"/>
        </w:rPr>
        <w:t xml:space="preserve">10, </w:t>
      </w:r>
      <w:r w:rsidR="0047161B" w:rsidRPr="000145E2">
        <w:rPr>
          <w:lang w:val="fr-CA"/>
        </w:rPr>
        <w:t>art.</w:t>
      </w:r>
      <w:r w:rsidR="00784AD2">
        <w:rPr>
          <w:lang w:val="fr-CA"/>
        </w:rPr>
        <w:t xml:space="preserve"> </w:t>
      </w:r>
      <w:r w:rsidRPr="000145E2">
        <w:rPr>
          <w:lang w:val="fr-CA"/>
        </w:rPr>
        <w:t>52(2), 94(3).</w:t>
      </w:r>
    </w:p>
    <w:p w:rsidR="00C775F3" w:rsidRPr="000145E2" w:rsidRDefault="005E7F40" w:rsidP="005C77BD">
      <w:pPr>
        <w:pStyle w:val="SCCNormalDoubleSpacing"/>
        <w:spacing w:after="240" w:line="240" w:lineRule="auto"/>
        <w:ind w:left="539" w:hanging="539"/>
        <w:rPr>
          <w:lang w:val="fr-CA"/>
        </w:rPr>
      </w:pPr>
      <w:r w:rsidRPr="000145E2">
        <w:rPr>
          <w:i/>
          <w:lang w:val="fr-CA"/>
        </w:rPr>
        <w:t>Loi nationale de 1987 sur les transports</w:t>
      </w:r>
      <w:r w:rsidRPr="000145E2">
        <w:rPr>
          <w:lang w:val="fr-CA"/>
        </w:rPr>
        <w:t>, L</w:t>
      </w:r>
      <w:r w:rsidR="00C775F3" w:rsidRPr="000145E2">
        <w:rPr>
          <w:lang w:val="fr-CA"/>
        </w:rPr>
        <w:t>.C. 1987, c</w:t>
      </w:r>
      <w:r w:rsidRPr="000145E2">
        <w:rPr>
          <w:lang w:val="fr-CA"/>
        </w:rPr>
        <w:t>h</w:t>
      </w:r>
      <w:r w:rsidR="00271399" w:rsidRPr="000145E2">
        <w:rPr>
          <w:lang w:val="fr-CA"/>
        </w:rPr>
        <w:t>.</w:t>
      </w:r>
      <w:r w:rsidR="00784AD2">
        <w:rPr>
          <w:lang w:val="fr-CA"/>
        </w:rPr>
        <w:t xml:space="preserve"> </w:t>
      </w:r>
      <w:r w:rsidR="00C775F3" w:rsidRPr="000145E2">
        <w:rPr>
          <w:lang w:val="fr-CA"/>
        </w:rPr>
        <w:t xml:space="preserve">34, </w:t>
      </w:r>
      <w:r w:rsidRPr="000145E2">
        <w:rPr>
          <w:lang w:val="fr-CA"/>
        </w:rPr>
        <w:t>art</w:t>
      </w:r>
      <w:r w:rsidR="004E3298" w:rsidRPr="000145E2">
        <w:rPr>
          <w:lang w:val="fr-CA"/>
        </w:rPr>
        <w:t>.</w:t>
      </w:r>
      <w:r w:rsidR="00784AD2">
        <w:rPr>
          <w:lang w:val="fr-CA"/>
        </w:rPr>
        <w:t xml:space="preserve"> </w:t>
      </w:r>
      <w:r w:rsidR="00C775F3" w:rsidRPr="000145E2">
        <w:rPr>
          <w:lang w:val="fr-CA"/>
        </w:rPr>
        <w:t>120.</w:t>
      </w:r>
    </w:p>
    <w:p w:rsidR="00E2732C" w:rsidRPr="000145E2" w:rsidRDefault="00E2732C" w:rsidP="00E2732C">
      <w:pPr>
        <w:pStyle w:val="SCCNormalDoubleSpacing"/>
        <w:spacing w:after="240" w:line="240" w:lineRule="auto"/>
        <w:ind w:left="539" w:hanging="539"/>
        <w:rPr>
          <w:lang w:val="fr-CA"/>
        </w:rPr>
      </w:pPr>
      <w:r w:rsidRPr="000145E2">
        <w:rPr>
          <w:i/>
          <w:lang w:val="fr-CA"/>
        </w:rPr>
        <w:t>Loi nationale sur les transports</w:t>
      </w:r>
      <w:r w:rsidRPr="000145E2">
        <w:rPr>
          <w:lang w:val="fr-CA"/>
        </w:rPr>
        <w:t>, S.C. 1966-67, ch.</w:t>
      </w:r>
      <w:r>
        <w:rPr>
          <w:lang w:val="fr-CA"/>
        </w:rPr>
        <w:t xml:space="preserve"> </w:t>
      </w:r>
      <w:r w:rsidRPr="000145E2">
        <w:rPr>
          <w:lang w:val="fr-CA"/>
        </w:rPr>
        <w:t>69.</w:t>
      </w:r>
    </w:p>
    <w:p w:rsidR="004D7D95" w:rsidRPr="000145E2" w:rsidRDefault="00220EE9" w:rsidP="005C77BD">
      <w:pPr>
        <w:pStyle w:val="SCCNormalDoubleSpacing"/>
        <w:spacing w:after="240" w:line="240" w:lineRule="auto"/>
        <w:ind w:left="539" w:hanging="539"/>
        <w:rPr>
          <w:lang w:val="fr-CA"/>
        </w:rPr>
      </w:pPr>
      <w:r w:rsidRPr="000145E2">
        <w:rPr>
          <w:i/>
          <w:lang w:val="fr-CA"/>
        </w:rPr>
        <w:t>Loi sur la radiodiffusion</w:t>
      </w:r>
      <w:r w:rsidRPr="000145E2">
        <w:rPr>
          <w:lang w:val="fr-CA"/>
        </w:rPr>
        <w:t xml:space="preserve">, L.C. 1991, </w:t>
      </w:r>
      <w:r w:rsidR="0047161B" w:rsidRPr="000145E2">
        <w:rPr>
          <w:lang w:val="fr-CA"/>
        </w:rPr>
        <w:t>ch.</w:t>
      </w:r>
      <w:r w:rsidR="00784AD2">
        <w:rPr>
          <w:lang w:val="fr-CA"/>
        </w:rPr>
        <w:t xml:space="preserve"> </w:t>
      </w:r>
      <w:r w:rsidRPr="000145E2">
        <w:rPr>
          <w:lang w:val="fr-CA"/>
        </w:rPr>
        <w:t xml:space="preserve">11, </w:t>
      </w:r>
      <w:r w:rsidR="0047161B" w:rsidRPr="000145E2">
        <w:rPr>
          <w:lang w:val="fr-CA"/>
        </w:rPr>
        <w:t>art.</w:t>
      </w:r>
      <w:r w:rsidR="00784AD2">
        <w:rPr>
          <w:lang w:val="fr-CA"/>
        </w:rPr>
        <w:t xml:space="preserve"> </w:t>
      </w:r>
      <w:r w:rsidRPr="000145E2">
        <w:rPr>
          <w:lang w:val="fr-CA"/>
        </w:rPr>
        <w:t>28.</w:t>
      </w:r>
    </w:p>
    <w:p w:rsidR="00E96AF5" w:rsidRPr="000145E2" w:rsidRDefault="00E96AF5" w:rsidP="005C77BD">
      <w:pPr>
        <w:pStyle w:val="SCCNormalDoubleSpacing"/>
        <w:spacing w:after="240" w:line="240" w:lineRule="auto"/>
        <w:ind w:left="539" w:hanging="539"/>
        <w:rPr>
          <w:lang w:val="fr-CA"/>
        </w:rPr>
      </w:pPr>
      <w:r w:rsidRPr="000145E2">
        <w:rPr>
          <w:i/>
          <w:lang w:val="fr-CA"/>
        </w:rPr>
        <w:t>Loi sur le pilotage</w:t>
      </w:r>
      <w:r w:rsidRPr="000145E2">
        <w:rPr>
          <w:lang w:val="fr-CA"/>
        </w:rPr>
        <w:t xml:space="preserve">, L.R.C. 1985, </w:t>
      </w:r>
      <w:r w:rsidR="0047161B" w:rsidRPr="000145E2">
        <w:rPr>
          <w:lang w:val="fr-CA"/>
        </w:rPr>
        <w:t>ch.</w:t>
      </w:r>
      <w:r w:rsidR="00784AD2">
        <w:rPr>
          <w:lang w:val="fr-CA"/>
        </w:rPr>
        <w:t xml:space="preserve"> </w:t>
      </w:r>
      <w:r w:rsidRPr="000145E2">
        <w:rPr>
          <w:lang w:val="fr-CA"/>
        </w:rPr>
        <w:t>P</w:t>
      </w:r>
      <w:r w:rsidR="00784AD2">
        <w:rPr>
          <w:lang w:val="fr-CA"/>
        </w:rPr>
        <w:t>-</w:t>
      </w:r>
      <w:r w:rsidRPr="000145E2">
        <w:rPr>
          <w:lang w:val="fr-CA"/>
        </w:rPr>
        <w:t xml:space="preserve">14, </w:t>
      </w:r>
      <w:r w:rsidR="0047161B" w:rsidRPr="000145E2">
        <w:rPr>
          <w:lang w:val="fr-CA"/>
        </w:rPr>
        <w:t>art.</w:t>
      </w:r>
      <w:r w:rsidR="00784AD2">
        <w:rPr>
          <w:lang w:val="fr-CA"/>
        </w:rPr>
        <w:t xml:space="preserve"> </w:t>
      </w:r>
      <w:r w:rsidRPr="000145E2">
        <w:rPr>
          <w:lang w:val="fr-CA"/>
        </w:rPr>
        <w:t>35(7).</w:t>
      </w:r>
    </w:p>
    <w:p w:rsidR="00220EE9" w:rsidRPr="000145E2" w:rsidRDefault="00220EE9" w:rsidP="005C77BD">
      <w:pPr>
        <w:pStyle w:val="SCCNormalDoubleSpacing"/>
        <w:spacing w:after="240" w:line="240" w:lineRule="auto"/>
        <w:ind w:left="539" w:hanging="539"/>
        <w:rPr>
          <w:lang w:val="fr-CA"/>
        </w:rPr>
      </w:pPr>
      <w:r w:rsidRPr="000145E2">
        <w:rPr>
          <w:i/>
          <w:lang w:val="fr-CA"/>
        </w:rPr>
        <w:t>Loi sur les opérations pétrolières au Canada</w:t>
      </w:r>
      <w:r w:rsidRPr="000145E2">
        <w:rPr>
          <w:lang w:val="fr-CA"/>
        </w:rPr>
        <w:t xml:space="preserve">, L.R.C. 1985, </w:t>
      </w:r>
      <w:r w:rsidR="0047161B" w:rsidRPr="000145E2">
        <w:rPr>
          <w:lang w:val="fr-CA"/>
        </w:rPr>
        <w:t>ch.</w:t>
      </w:r>
      <w:r w:rsidR="00784AD2">
        <w:rPr>
          <w:lang w:val="fr-CA"/>
        </w:rPr>
        <w:t xml:space="preserve"> </w:t>
      </w:r>
      <w:r w:rsidRPr="000145E2">
        <w:rPr>
          <w:lang w:val="fr-CA"/>
        </w:rPr>
        <w:t>O</w:t>
      </w:r>
      <w:r w:rsidR="00784AD2">
        <w:rPr>
          <w:lang w:val="fr-CA"/>
        </w:rPr>
        <w:t>-</w:t>
      </w:r>
      <w:r w:rsidRPr="000145E2">
        <w:rPr>
          <w:lang w:val="fr-CA"/>
        </w:rPr>
        <w:t xml:space="preserve">7, </w:t>
      </w:r>
      <w:r w:rsidR="0047161B" w:rsidRPr="000145E2">
        <w:rPr>
          <w:lang w:val="fr-CA"/>
        </w:rPr>
        <w:t>art.</w:t>
      </w:r>
      <w:r w:rsidR="00784AD2">
        <w:rPr>
          <w:lang w:val="fr-CA"/>
        </w:rPr>
        <w:t xml:space="preserve"> </w:t>
      </w:r>
      <w:r w:rsidRPr="000145E2">
        <w:rPr>
          <w:lang w:val="fr-CA"/>
        </w:rPr>
        <w:t>51.</w:t>
      </w:r>
    </w:p>
    <w:p w:rsidR="00E96AF5" w:rsidRPr="000145E2" w:rsidRDefault="00E96AF5" w:rsidP="005C77BD">
      <w:pPr>
        <w:pStyle w:val="SCCNormalDoubleSpacing"/>
        <w:spacing w:after="240" w:line="240" w:lineRule="auto"/>
        <w:ind w:left="539" w:hanging="539"/>
        <w:rPr>
          <w:lang w:val="fr-CA"/>
        </w:rPr>
      </w:pPr>
      <w:r w:rsidRPr="000145E2">
        <w:rPr>
          <w:i/>
          <w:lang w:val="fr-CA"/>
        </w:rPr>
        <w:t>Loi sur les télécommunications</w:t>
      </w:r>
      <w:r w:rsidRPr="000145E2">
        <w:rPr>
          <w:lang w:val="fr-CA"/>
        </w:rPr>
        <w:t xml:space="preserve">, L.C. 1993, </w:t>
      </w:r>
      <w:r w:rsidR="0047161B" w:rsidRPr="000145E2">
        <w:rPr>
          <w:lang w:val="fr-CA"/>
        </w:rPr>
        <w:t>ch.</w:t>
      </w:r>
      <w:r w:rsidR="00784AD2">
        <w:rPr>
          <w:lang w:val="fr-CA"/>
        </w:rPr>
        <w:t xml:space="preserve"> </w:t>
      </w:r>
      <w:r w:rsidRPr="000145E2">
        <w:rPr>
          <w:lang w:val="fr-CA"/>
        </w:rPr>
        <w:t xml:space="preserve">38, </w:t>
      </w:r>
      <w:r w:rsidR="0047161B" w:rsidRPr="000145E2">
        <w:rPr>
          <w:lang w:val="fr-CA"/>
        </w:rPr>
        <w:t>art.</w:t>
      </w:r>
      <w:r w:rsidR="00784AD2">
        <w:rPr>
          <w:lang w:val="fr-CA"/>
        </w:rPr>
        <w:t xml:space="preserve"> </w:t>
      </w:r>
      <w:r w:rsidRPr="000145E2">
        <w:rPr>
          <w:lang w:val="fr-CA"/>
        </w:rPr>
        <w:t>12.</w:t>
      </w:r>
    </w:p>
    <w:p w:rsidR="00F63793" w:rsidRPr="000145E2" w:rsidRDefault="00F63793" w:rsidP="005C77BD">
      <w:pPr>
        <w:pStyle w:val="SCCNormalDoubleSpacing"/>
        <w:spacing w:after="720" w:line="240" w:lineRule="auto"/>
        <w:ind w:left="540" w:hanging="540"/>
        <w:rPr>
          <w:lang w:val="fr-CA"/>
        </w:rPr>
      </w:pPr>
      <w:r w:rsidRPr="000145E2">
        <w:rPr>
          <w:i/>
          <w:lang w:val="fr-CA"/>
        </w:rPr>
        <w:t>Loi sur les transports au Canada</w:t>
      </w:r>
      <w:r w:rsidRPr="000145E2">
        <w:rPr>
          <w:lang w:val="fr-CA"/>
        </w:rPr>
        <w:t xml:space="preserve">, L.C. 1996, </w:t>
      </w:r>
      <w:r w:rsidR="0047161B" w:rsidRPr="000145E2">
        <w:rPr>
          <w:lang w:val="fr-CA"/>
        </w:rPr>
        <w:t>ch.</w:t>
      </w:r>
      <w:r w:rsidR="00784AD2">
        <w:rPr>
          <w:lang w:val="fr-CA"/>
        </w:rPr>
        <w:t xml:space="preserve"> </w:t>
      </w:r>
      <w:r w:rsidRPr="000145E2">
        <w:rPr>
          <w:lang w:val="fr-CA"/>
        </w:rPr>
        <w:t xml:space="preserve">10, </w:t>
      </w:r>
      <w:r w:rsidR="0047161B" w:rsidRPr="000145E2">
        <w:rPr>
          <w:lang w:val="fr-CA"/>
        </w:rPr>
        <w:t>art.</w:t>
      </w:r>
      <w:r w:rsidR="00784AD2">
        <w:rPr>
          <w:lang w:val="fr-CA"/>
        </w:rPr>
        <w:t xml:space="preserve"> </w:t>
      </w:r>
      <w:r w:rsidR="004E3298" w:rsidRPr="000145E2">
        <w:rPr>
          <w:lang w:val="fr-CA"/>
        </w:rPr>
        <w:t>40, 41, 120.1</w:t>
      </w:r>
      <w:r w:rsidRPr="000145E2">
        <w:rPr>
          <w:lang w:val="fr-CA"/>
        </w:rPr>
        <w:t>, 126, 161, 162(1), 165(1), (3).</w:t>
      </w:r>
    </w:p>
    <w:p w:rsidR="004D7D95" w:rsidRPr="000145E2" w:rsidRDefault="004D7D95" w:rsidP="005C77BD">
      <w:pPr>
        <w:pStyle w:val="SCCNormalDoubleSpacing"/>
        <w:spacing w:after="480"/>
        <w:rPr>
          <w:b/>
          <w:lang w:val="fr-CA"/>
        </w:rPr>
      </w:pPr>
      <w:r w:rsidRPr="000145E2">
        <w:rPr>
          <w:b/>
          <w:lang w:val="fr-CA"/>
        </w:rPr>
        <w:t>Doctrine et autres documents cités</w:t>
      </w:r>
    </w:p>
    <w:p w:rsidR="007F6100" w:rsidRPr="000145E2" w:rsidRDefault="007F6100" w:rsidP="005C77BD">
      <w:pPr>
        <w:pStyle w:val="SCCNormalDoubleSpacing"/>
        <w:spacing w:after="240" w:line="240" w:lineRule="auto"/>
        <w:ind w:left="539" w:hanging="539"/>
        <w:rPr>
          <w:lang w:val="fr-CA"/>
        </w:rPr>
      </w:pPr>
      <w:r w:rsidRPr="000145E2">
        <w:rPr>
          <w:lang w:val="fr-CA"/>
        </w:rPr>
        <w:t xml:space="preserve">Canada.  Chambre des communes.  Comité permanent des transports, de l’infrastructure et des collectivités.  </w:t>
      </w:r>
      <w:r w:rsidRPr="000145E2">
        <w:rPr>
          <w:i/>
          <w:lang w:val="fr-CA"/>
        </w:rPr>
        <w:t>Témoignages</w:t>
      </w:r>
      <w:r w:rsidRPr="000145E2">
        <w:rPr>
          <w:lang w:val="fr-CA"/>
        </w:rPr>
        <w:t>, n</w:t>
      </w:r>
      <w:r w:rsidRPr="000145E2">
        <w:rPr>
          <w:vertAlign w:val="superscript"/>
          <w:lang w:val="fr-CA"/>
        </w:rPr>
        <w:t>o</w:t>
      </w:r>
      <w:r w:rsidR="00784AD2">
        <w:rPr>
          <w:lang w:val="fr-CA"/>
        </w:rPr>
        <w:t xml:space="preserve"> </w:t>
      </w:r>
      <w:r w:rsidRPr="000145E2">
        <w:rPr>
          <w:lang w:val="fr-CA"/>
        </w:rPr>
        <w:t>2, 2</w:t>
      </w:r>
      <w:r w:rsidRPr="000145E2">
        <w:rPr>
          <w:vertAlign w:val="superscript"/>
          <w:lang w:val="fr-CA"/>
        </w:rPr>
        <w:t>e</w:t>
      </w:r>
      <w:r w:rsidRPr="000145E2">
        <w:rPr>
          <w:lang w:val="fr-CA"/>
        </w:rPr>
        <w:t xml:space="preserve"> </w:t>
      </w:r>
      <w:proofErr w:type="spellStart"/>
      <w:proofErr w:type="gramStart"/>
      <w:r w:rsidRPr="000145E2">
        <w:rPr>
          <w:lang w:val="fr-CA"/>
        </w:rPr>
        <w:t>sess</w:t>
      </w:r>
      <w:proofErr w:type="spellEnd"/>
      <w:r w:rsidRPr="000145E2">
        <w:rPr>
          <w:lang w:val="fr-CA"/>
        </w:rPr>
        <w:t>.,</w:t>
      </w:r>
      <w:proofErr w:type="gramEnd"/>
      <w:r w:rsidRPr="000145E2">
        <w:rPr>
          <w:lang w:val="fr-CA"/>
        </w:rPr>
        <w:t xml:space="preserve"> 39</w:t>
      </w:r>
      <w:r w:rsidRPr="000145E2">
        <w:rPr>
          <w:vertAlign w:val="superscript"/>
          <w:lang w:val="fr-CA"/>
        </w:rPr>
        <w:t>e</w:t>
      </w:r>
      <w:r w:rsidR="00C9446F" w:rsidRPr="000145E2">
        <w:rPr>
          <w:lang w:val="fr-CA"/>
        </w:rPr>
        <w:t xml:space="preserve"> </w:t>
      </w:r>
      <w:proofErr w:type="spellStart"/>
      <w:r w:rsidR="00C9446F" w:rsidRPr="000145E2">
        <w:rPr>
          <w:lang w:val="fr-CA"/>
        </w:rPr>
        <w:t>lég</w:t>
      </w:r>
      <w:proofErr w:type="spellEnd"/>
      <w:r w:rsidR="00C9446F" w:rsidRPr="000145E2">
        <w:rPr>
          <w:lang w:val="fr-CA"/>
        </w:rPr>
        <w:t>., 22</w:t>
      </w:r>
      <w:r w:rsidR="00784AD2">
        <w:rPr>
          <w:lang w:val="fr-CA"/>
        </w:rPr>
        <w:t xml:space="preserve"> </w:t>
      </w:r>
      <w:r w:rsidRPr="000145E2">
        <w:rPr>
          <w:lang w:val="fr-CA"/>
        </w:rPr>
        <w:t xml:space="preserve">novembre 2007, </w:t>
      </w:r>
      <w:r w:rsidR="0047161B" w:rsidRPr="000145E2">
        <w:rPr>
          <w:lang w:val="fr-CA"/>
        </w:rPr>
        <w:t>p.</w:t>
      </w:r>
      <w:r w:rsidR="00784AD2">
        <w:rPr>
          <w:lang w:val="fr-CA"/>
        </w:rPr>
        <w:t xml:space="preserve"> </w:t>
      </w:r>
      <w:r w:rsidRPr="000145E2">
        <w:rPr>
          <w:lang w:val="fr-CA"/>
        </w:rPr>
        <w:t>1</w:t>
      </w:r>
      <w:r w:rsidR="00784AD2">
        <w:rPr>
          <w:lang w:val="fr-CA"/>
        </w:rPr>
        <w:t>-</w:t>
      </w:r>
      <w:r w:rsidRPr="000145E2">
        <w:rPr>
          <w:lang w:val="fr-CA"/>
        </w:rPr>
        <w:t>2.</w:t>
      </w:r>
    </w:p>
    <w:p w:rsidR="007F6100" w:rsidRPr="000145E2" w:rsidRDefault="007F6100" w:rsidP="005C77BD">
      <w:pPr>
        <w:pStyle w:val="SCCNormalDoubleSpacing"/>
        <w:spacing w:after="240" w:line="240" w:lineRule="auto"/>
        <w:ind w:left="539" w:hanging="539"/>
        <w:rPr>
          <w:lang w:val="fr-CA"/>
        </w:rPr>
      </w:pPr>
      <w:r w:rsidRPr="000145E2">
        <w:rPr>
          <w:lang w:val="fr-CA"/>
        </w:rPr>
        <w:t xml:space="preserve">Canada.  Chambre des communes.  Comité permanent des transports, de l’infrastructure et des collectivités.  </w:t>
      </w:r>
      <w:r w:rsidRPr="000145E2">
        <w:rPr>
          <w:i/>
          <w:lang w:val="fr-CA"/>
        </w:rPr>
        <w:t>Témoignages</w:t>
      </w:r>
      <w:r w:rsidRPr="000145E2">
        <w:rPr>
          <w:lang w:val="fr-CA"/>
        </w:rPr>
        <w:t>, n</w:t>
      </w:r>
      <w:r w:rsidRPr="000145E2">
        <w:rPr>
          <w:vertAlign w:val="superscript"/>
          <w:lang w:val="fr-CA"/>
        </w:rPr>
        <w:t>o</w:t>
      </w:r>
      <w:r w:rsidR="00784AD2">
        <w:rPr>
          <w:lang w:val="fr-CA"/>
        </w:rPr>
        <w:t xml:space="preserve"> </w:t>
      </w:r>
      <w:r w:rsidRPr="000145E2">
        <w:rPr>
          <w:lang w:val="fr-CA"/>
        </w:rPr>
        <w:t>3, 2</w:t>
      </w:r>
      <w:r w:rsidRPr="000145E2">
        <w:rPr>
          <w:vertAlign w:val="superscript"/>
          <w:lang w:val="fr-CA"/>
        </w:rPr>
        <w:t>e</w:t>
      </w:r>
      <w:r w:rsidRPr="000145E2">
        <w:rPr>
          <w:lang w:val="fr-CA"/>
        </w:rPr>
        <w:t xml:space="preserve"> </w:t>
      </w:r>
      <w:proofErr w:type="spellStart"/>
      <w:proofErr w:type="gramStart"/>
      <w:r w:rsidRPr="000145E2">
        <w:rPr>
          <w:lang w:val="fr-CA"/>
        </w:rPr>
        <w:t>sess</w:t>
      </w:r>
      <w:proofErr w:type="spellEnd"/>
      <w:r w:rsidRPr="000145E2">
        <w:rPr>
          <w:lang w:val="fr-CA"/>
        </w:rPr>
        <w:t>.,</w:t>
      </w:r>
      <w:proofErr w:type="gramEnd"/>
      <w:r w:rsidRPr="000145E2">
        <w:rPr>
          <w:lang w:val="fr-CA"/>
        </w:rPr>
        <w:t xml:space="preserve"> 39</w:t>
      </w:r>
      <w:r w:rsidRPr="000145E2">
        <w:rPr>
          <w:vertAlign w:val="superscript"/>
          <w:lang w:val="fr-CA"/>
        </w:rPr>
        <w:t>e</w:t>
      </w:r>
      <w:r w:rsidR="00C9446F" w:rsidRPr="000145E2">
        <w:rPr>
          <w:lang w:val="fr-CA"/>
        </w:rPr>
        <w:t xml:space="preserve"> </w:t>
      </w:r>
      <w:proofErr w:type="spellStart"/>
      <w:r w:rsidR="00C9446F" w:rsidRPr="000145E2">
        <w:rPr>
          <w:lang w:val="fr-CA"/>
        </w:rPr>
        <w:t>lég</w:t>
      </w:r>
      <w:proofErr w:type="spellEnd"/>
      <w:r w:rsidR="00C9446F" w:rsidRPr="000145E2">
        <w:rPr>
          <w:lang w:val="fr-CA"/>
        </w:rPr>
        <w:t>., 27</w:t>
      </w:r>
      <w:r w:rsidR="00784AD2">
        <w:rPr>
          <w:lang w:val="fr-CA"/>
        </w:rPr>
        <w:t xml:space="preserve"> </w:t>
      </w:r>
      <w:r w:rsidRPr="000145E2">
        <w:rPr>
          <w:lang w:val="fr-CA"/>
        </w:rPr>
        <w:t xml:space="preserve">novembre 2007, </w:t>
      </w:r>
      <w:r w:rsidR="0047161B" w:rsidRPr="000145E2">
        <w:rPr>
          <w:lang w:val="fr-CA"/>
        </w:rPr>
        <w:t>p.</w:t>
      </w:r>
      <w:r w:rsidR="00784AD2">
        <w:rPr>
          <w:lang w:val="fr-CA"/>
        </w:rPr>
        <w:t xml:space="preserve"> </w:t>
      </w:r>
      <w:r w:rsidRPr="000145E2">
        <w:rPr>
          <w:lang w:val="fr-CA"/>
        </w:rPr>
        <w:t>1</w:t>
      </w:r>
      <w:r w:rsidR="00784AD2">
        <w:rPr>
          <w:lang w:val="fr-CA"/>
        </w:rPr>
        <w:t>-</w:t>
      </w:r>
      <w:r w:rsidRPr="000145E2">
        <w:rPr>
          <w:lang w:val="fr-CA"/>
        </w:rPr>
        <w:t>2.</w:t>
      </w:r>
    </w:p>
    <w:p w:rsidR="007F6100" w:rsidRPr="000145E2" w:rsidRDefault="007F6100" w:rsidP="005C77BD">
      <w:pPr>
        <w:pStyle w:val="SCCNormalDoubleSpacing"/>
        <w:spacing w:after="240" w:line="240" w:lineRule="auto"/>
        <w:ind w:left="539" w:hanging="539"/>
        <w:rPr>
          <w:lang w:val="fr-CA"/>
        </w:rPr>
      </w:pPr>
      <w:r w:rsidRPr="000145E2">
        <w:rPr>
          <w:lang w:val="fr-CA"/>
        </w:rPr>
        <w:t xml:space="preserve">Canada.  Chambre des communes.  </w:t>
      </w:r>
      <w:r w:rsidRPr="000145E2">
        <w:rPr>
          <w:i/>
          <w:lang w:val="fr-CA"/>
        </w:rPr>
        <w:t>Débats de la Chambre des communes</w:t>
      </w:r>
      <w:r w:rsidRPr="000145E2">
        <w:rPr>
          <w:lang w:val="fr-CA"/>
        </w:rPr>
        <w:t xml:space="preserve">, </w:t>
      </w:r>
      <w:r w:rsidR="0047161B" w:rsidRPr="000145E2">
        <w:rPr>
          <w:lang w:val="fr-CA"/>
        </w:rPr>
        <w:t>vol.</w:t>
      </w:r>
      <w:r w:rsidR="00784AD2">
        <w:rPr>
          <w:lang w:val="fr-CA"/>
        </w:rPr>
        <w:t xml:space="preserve"> </w:t>
      </w:r>
      <w:r w:rsidRPr="000145E2">
        <w:rPr>
          <w:lang w:val="fr-CA"/>
        </w:rPr>
        <w:t>XI, 1</w:t>
      </w:r>
      <w:r w:rsidRPr="000145E2">
        <w:rPr>
          <w:vertAlign w:val="superscript"/>
          <w:lang w:val="fr-CA"/>
        </w:rPr>
        <w:t>re</w:t>
      </w:r>
      <w:r w:rsidRPr="000145E2">
        <w:rPr>
          <w:lang w:val="fr-CA"/>
        </w:rPr>
        <w:t xml:space="preserve"> </w:t>
      </w:r>
      <w:proofErr w:type="spellStart"/>
      <w:proofErr w:type="gramStart"/>
      <w:r w:rsidRPr="000145E2">
        <w:rPr>
          <w:lang w:val="fr-CA"/>
        </w:rPr>
        <w:t>sess</w:t>
      </w:r>
      <w:proofErr w:type="spellEnd"/>
      <w:r w:rsidRPr="000145E2">
        <w:rPr>
          <w:lang w:val="fr-CA"/>
        </w:rPr>
        <w:t>.,</w:t>
      </w:r>
      <w:proofErr w:type="gramEnd"/>
      <w:r w:rsidRPr="000145E2">
        <w:rPr>
          <w:lang w:val="fr-CA"/>
        </w:rPr>
        <w:t xml:space="preserve"> 27</w:t>
      </w:r>
      <w:r w:rsidRPr="000145E2">
        <w:rPr>
          <w:vertAlign w:val="superscript"/>
          <w:lang w:val="fr-CA"/>
        </w:rPr>
        <w:t>e</w:t>
      </w:r>
      <w:r w:rsidRPr="000145E2">
        <w:rPr>
          <w:lang w:val="fr-CA"/>
        </w:rPr>
        <w:t xml:space="preserve"> </w:t>
      </w:r>
      <w:proofErr w:type="spellStart"/>
      <w:r w:rsidRPr="000145E2">
        <w:rPr>
          <w:lang w:val="fr-CA"/>
        </w:rPr>
        <w:t>lég</w:t>
      </w:r>
      <w:proofErr w:type="spellEnd"/>
      <w:r w:rsidRPr="000145E2">
        <w:rPr>
          <w:lang w:val="fr-CA"/>
        </w:rPr>
        <w:t>., 10</w:t>
      </w:r>
      <w:r w:rsidR="00784AD2">
        <w:rPr>
          <w:lang w:val="fr-CA"/>
        </w:rPr>
        <w:t xml:space="preserve"> </w:t>
      </w:r>
      <w:r w:rsidRPr="000145E2">
        <w:rPr>
          <w:lang w:val="fr-CA"/>
        </w:rPr>
        <w:t xml:space="preserve">janvier 1967, </w:t>
      </w:r>
      <w:r w:rsidR="0047161B" w:rsidRPr="000145E2">
        <w:rPr>
          <w:lang w:val="fr-CA"/>
        </w:rPr>
        <w:t>p.</w:t>
      </w:r>
      <w:r w:rsidR="00784AD2">
        <w:rPr>
          <w:lang w:val="fr-CA"/>
        </w:rPr>
        <w:t xml:space="preserve"> </w:t>
      </w:r>
      <w:r w:rsidRPr="000145E2">
        <w:rPr>
          <w:lang w:val="fr-CA"/>
        </w:rPr>
        <w:t>11630.</w:t>
      </w:r>
    </w:p>
    <w:p w:rsidR="002F6DCA" w:rsidRPr="000145E2" w:rsidRDefault="002F6DCA" w:rsidP="005C77BD">
      <w:pPr>
        <w:pStyle w:val="SCCNormalDoubleSpacing"/>
        <w:spacing w:after="240" w:line="240" w:lineRule="auto"/>
        <w:ind w:left="539" w:hanging="539"/>
        <w:rPr>
          <w:lang w:val="fr-CA"/>
        </w:rPr>
      </w:pPr>
      <w:r w:rsidRPr="000145E2">
        <w:rPr>
          <w:lang w:val="fr-CA"/>
        </w:rPr>
        <w:t xml:space="preserve">Canada.  Chambre des communes.  </w:t>
      </w:r>
      <w:r w:rsidRPr="000145E2">
        <w:rPr>
          <w:i/>
          <w:lang w:val="fr-CA"/>
        </w:rPr>
        <w:t>Débats de la Chambre des communes du Canada</w:t>
      </w:r>
      <w:r w:rsidRPr="000145E2">
        <w:rPr>
          <w:lang w:val="fr-CA"/>
        </w:rPr>
        <w:t xml:space="preserve">, </w:t>
      </w:r>
      <w:r w:rsidR="0047161B" w:rsidRPr="000145E2">
        <w:rPr>
          <w:lang w:val="fr-CA"/>
        </w:rPr>
        <w:t>vol.</w:t>
      </w:r>
      <w:r w:rsidR="00784AD2">
        <w:rPr>
          <w:lang w:val="fr-CA"/>
        </w:rPr>
        <w:t xml:space="preserve"> </w:t>
      </w:r>
      <w:r w:rsidRPr="000145E2">
        <w:rPr>
          <w:lang w:val="fr-CA"/>
        </w:rPr>
        <w:t>LVIII, 3</w:t>
      </w:r>
      <w:r w:rsidRPr="000145E2">
        <w:rPr>
          <w:vertAlign w:val="superscript"/>
          <w:lang w:val="fr-CA"/>
        </w:rPr>
        <w:t>e</w:t>
      </w:r>
      <w:r w:rsidRPr="000145E2">
        <w:rPr>
          <w:lang w:val="fr-CA"/>
        </w:rPr>
        <w:t xml:space="preserve"> </w:t>
      </w:r>
      <w:proofErr w:type="spellStart"/>
      <w:proofErr w:type="gramStart"/>
      <w:r w:rsidRPr="000145E2">
        <w:rPr>
          <w:lang w:val="fr-CA"/>
        </w:rPr>
        <w:t>sess</w:t>
      </w:r>
      <w:proofErr w:type="spellEnd"/>
      <w:r w:rsidRPr="000145E2">
        <w:rPr>
          <w:lang w:val="fr-CA"/>
        </w:rPr>
        <w:t>.,</w:t>
      </w:r>
      <w:proofErr w:type="gramEnd"/>
      <w:r w:rsidRPr="000145E2">
        <w:rPr>
          <w:lang w:val="fr-CA"/>
        </w:rPr>
        <w:t xml:space="preserve"> 9</w:t>
      </w:r>
      <w:r w:rsidRPr="000145E2">
        <w:rPr>
          <w:vertAlign w:val="superscript"/>
          <w:lang w:val="fr-CA"/>
        </w:rPr>
        <w:t>e</w:t>
      </w:r>
      <w:r w:rsidRPr="000145E2">
        <w:rPr>
          <w:lang w:val="fr-CA"/>
        </w:rPr>
        <w:t xml:space="preserve"> </w:t>
      </w:r>
      <w:proofErr w:type="spellStart"/>
      <w:r w:rsidRPr="000145E2">
        <w:rPr>
          <w:lang w:val="fr-CA"/>
        </w:rPr>
        <w:t>lég</w:t>
      </w:r>
      <w:proofErr w:type="spellEnd"/>
      <w:r w:rsidRPr="000145E2">
        <w:rPr>
          <w:lang w:val="fr-CA"/>
        </w:rPr>
        <w:t>., 20</w:t>
      </w:r>
      <w:r w:rsidR="00784AD2">
        <w:rPr>
          <w:lang w:val="fr-CA"/>
        </w:rPr>
        <w:t xml:space="preserve"> </w:t>
      </w:r>
      <w:r w:rsidRPr="000145E2">
        <w:rPr>
          <w:lang w:val="fr-CA"/>
        </w:rPr>
        <w:t xml:space="preserve">mars 1903, </w:t>
      </w:r>
      <w:r w:rsidR="0047161B" w:rsidRPr="000145E2">
        <w:rPr>
          <w:lang w:val="fr-CA"/>
        </w:rPr>
        <w:t>p.</w:t>
      </w:r>
      <w:r w:rsidR="00784AD2">
        <w:rPr>
          <w:lang w:val="fr-CA"/>
        </w:rPr>
        <w:t xml:space="preserve"> </w:t>
      </w:r>
      <w:r w:rsidRPr="000145E2">
        <w:rPr>
          <w:lang w:val="fr-CA"/>
        </w:rPr>
        <w:t>2</w:t>
      </w:r>
      <w:r w:rsidR="003D0ED9" w:rsidRPr="000145E2">
        <w:rPr>
          <w:lang w:val="fr-CA"/>
        </w:rPr>
        <w:t>52</w:t>
      </w:r>
      <w:r w:rsidRPr="000145E2">
        <w:rPr>
          <w:lang w:val="fr-CA"/>
        </w:rPr>
        <w:t xml:space="preserve"> et 2</w:t>
      </w:r>
      <w:r w:rsidR="003D0ED9" w:rsidRPr="000145E2">
        <w:rPr>
          <w:lang w:val="fr-CA"/>
        </w:rPr>
        <w:t>62</w:t>
      </w:r>
      <w:r w:rsidRPr="000145E2">
        <w:rPr>
          <w:lang w:val="fr-CA"/>
        </w:rPr>
        <w:t>.</w:t>
      </w:r>
    </w:p>
    <w:p w:rsidR="004D7D95" w:rsidRPr="000145E2" w:rsidRDefault="00583DE3" w:rsidP="005C77BD">
      <w:pPr>
        <w:pStyle w:val="SCCNormalDoubleSpacing"/>
        <w:spacing w:after="240" w:line="240" w:lineRule="auto"/>
        <w:ind w:left="539" w:hanging="539"/>
        <w:rPr>
          <w:lang w:val="fr-CA"/>
        </w:rPr>
      </w:pPr>
      <w:r w:rsidRPr="000145E2">
        <w:rPr>
          <w:lang w:val="fr-CA"/>
        </w:rPr>
        <w:t>Canada.  Service d’information et de recherche parlementaires.  Résumé législatif LS</w:t>
      </w:r>
      <w:r w:rsidR="00784AD2">
        <w:rPr>
          <w:lang w:val="fr-CA"/>
        </w:rPr>
        <w:t>-</w:t>
      </w:r>
      <w:r w:rsidRPr="000145E2">
        <w:rPr>
          <w:lang w:val="fr-CA"/>
        </w:rPr>
        <w:t xml:space="preserve">569F.  </w:t>
      </w:r>
      <w:r w:rsidR="00784AD2">
        <w:rPr>
          <w:lang w:val="fr-CA"/>
        </w:rPr>
        <w:t>« </w:t>
      </w:r>
      <w:r w:rsidRPr="000145E2">
        <w:rPr>
          <w:lang w:val="fr-CA"/>
        </w:rPr>
        <w:t>Projet de loi C</w:t>
      </w:r>
      <w:r w:rsidR="00784AD2">
        <w:rPr>
          <w:lang w:val="fr-CA"/>
        </w:rPr>
        <w:t>-</w:t>
      </w:r>
      <w:r w:rsidRPr="000145E2">
        <w:rPr>
          <w:lang w:val="fr-CA"/>
        </w:rPr>
        <w:t>8</w:t>
      </w:r>
      <w:r w:rsidR="00784AD2">
        <w:rPr>
          <w:lang w:val="fr-CA"/>
        </w:rPr>
        <w:t> :</w:t>
      </w:r>
      <w:r w:rsidRPr="000145E2">
        <w:rPr>
          <w:lang w:val="fr-CA"/>
        </w:rPr>
        <w:t xml:space="preserve"> Loi modifiant la Loi sur les transports au Canada (transport ferroviaire)</w:t>
      </w:r>
      <w:r w:rsidR="00784AD2">
        <w:rPr>
          <w:lang w:val="fr-CA"/>
        </w:rPr>
        <w:t> »</w:t>
      </w:r>
      <w:r w:rsidRPr="000145E2">
        <w:rPr>
          <w:lang w:val="fr-CA"/>
        </w:rPr>
        <w:t xml:space="preserve">, par </w:t>
      </w:r>
      <w:r w:rsidR="006A4CC2" w:rsidRPr="000145E2">
        <w:rPr>
          <w:lang w:val="fr-CA"/>
        </w:rPr>
        <w:t xml:space="preserve">David </w:t>
      </w:r>
      <w:proofErr w:type="spellStart"/>
      <w:r w:rsidR="006A4CC2" w:rsidRPr="000145E2">
        <w:rPr>
          <w:lang w:val="fr-CA"/>
        </w:rPr>
        <w:t>Johansen</w:t>
      </w:r>
      <w:proofErr w:type="spellEnd"/>
      <w:r w:rsidR="006A4CC2" w:rsidRPr="000145E2">
        <w:rPr>
          <w:lang w:val="fr-CA"/>
        </w:rPr>
        <w:t xml:space="preserve">, Division du droit et du gouvernement, </w:t>
      </w:r>
      <w:r w:rsidR="008A7415" w:rsidRPr="000145E2">
        <w:rPr>
          <w:lang w:val="fr-CA"/>
        </w:rPr>
        <w:t>2</w:t>
      </w:r>
      <w:r w:rsidR="00784AD2">
        <w:rPr>
          <w:lang w:val="fr-CA"/>
        </w:rPr>
        <w:t xml:space="preserve"> </w:t>
      </w:r>
      <w:r w:rsidR="008A7415" w:rsidRPr="000145E2">
        <w:rPr>
          <w:lang w:val="fr-CA"/>
        </w:rPr>
        <w:t>novembre 2007, révisé 27</w:t>
      </w:r>
      <w:r w:rsidR="00784AD2">
        <w:rPr>
          <w:lang w:val="fr-CA"/>
        </w:rPr>
        <w:t xml:space="preserve"> </w:t>
      </w:r>
      <w:r w:rsidR="006A4CC2" w:rsidRPr="000145E2">
        <w:rPr>
          <w:lang w:val="fr-CA"/>
        </w:rPr>
        <w:t>juin 2008.</w:t>
      </w:r>
    </w:p>
    <w:p w:rsidR="00A42D0A" w:rsidRPr="000145E2" w:rsidRDefault="00A42D0A" w:rsidP="005C77BD">
      <w:pPr>
        <w:pStyle w:val="SCCNormalDoubleSpacing"/>
        <w:spacing w:after="240" w:line="240" w:lineRule="auto"/>
        <w:ind w:left="539" w:hanging="539"/>
      </w:pPr>
      <w:r w:rsidRPr="000145E2">
        <w:rPr>
          <w:lang w:val="fr-CA"/>
        </w:rPr>
        <w:lastRenderedPageBreak/>
        <w:t xml:space="preserve">Canada.  Transports Canada.  </w:t>
      </w:r>
      <w:r w:rsidRPr="000145E2">
        <w:rPr>
          <w:i/>
          <w:lang w:val="fr-CA"/>
        </w:rPr>
        <w:t>Aller sans entraves</w:t>
      </w:r>
      <w:r w:rsidR="00784AD2">
        <w:rPr>
          <w:i/>
          <w:lang w:val="fr-CA"/>
        </w:rPr>
        <w:t> :</w:t>
      </w:r>
      <w:r w:rsidRPr="000145E2">
        <w:rPr>
          <w:i/>
          <w:lang w:val="fr-CA"/>
        </w:rPr>
        <w:t xml:space="preserve"> l’étape de la législation</w:t>
      </w:r>
      <w:r w:rsidR="00784AD2">
        <w:rPr>
          <w:i/>
          <w:lang w:val="fr-CA"/>
        </w:rPr>
        <w:t> :</w:t>
      </w:r>
      <w:r w:rsidRPr="000145E2">
        <w:rPr>
          <w:i/>
          <w:lang w:val="fr-CA"/>
        </w:rPr>
        <w:t xml:space="preserve"> aperçu de la loi nationale sur les transports 1986</w:t>
      </w:r>
      <w:r w:rsidRPr="000145E2">
        <w:rPr>
          <w:lang w:val="fr-CA"/>
        </w:rPr>
        <w:t xml:space="preserve">.  </w:t>
      </w:r>
      <w:proofErr w:type="gramStart"/>
      <w:r w:rsidRPr="000145E2">
        <w:t>Ottawa</w:t>
      </w:r>
      <w:r w:rsidR="00784AD2">
        <w:t> :</w:t>
      </w:r>
      <w:proofErr w:type="gramEnd"/>
      <w:r w:rsidRPr="000145E2">
        <w:t xml:space="preserve"> Transports Canada, 1986.</w:t>
      </w:r>
    </w:p>
    <w:p w:rsidR="00042226" w:rsidRPr="000145E2" w:rsidRDefault="00042226" w:rsidP="005C77BD">
      <w:pPr>
        <w:pStyle w:val="SCCNormalDoubleSpacing"/>
        <w:spacing w:after="240" w:line="240" w:lineRule="auto"/>
        <w:ind w:left="539" w:hanging="539"/>
      </w:pPr>
      <w:r w:rsidRPr="000145E2">
        <w:t>Coyne, H.</w:t>
      </w:r>
      <w:r w:rsidR="00784AD2">
        <w:t xml:space="preserve"> </w:t>
      </w:r>
      <w:r w:rsidRPr="000145E2">
        <w:t>E.</w:t>
      </w:r>
      <w:r w:rsidR="00784AD2">
        <w:t xml:space="preserve"> </w:t>
      </w:r>
      <w:r w:rsidRPr="000145E2">
        <w:t xml:space="preserve">B.  </w:t>
      </w:r>
      <w:proofErr w:type="gramStart"/>
      <w:r w:rsidRPr="000145E2">
        <w:rPr>
          <w:i/>
        </w:rPr>
        <w:t>The Railway Law of Canada</w:t>
      </w:r>
      <w:r w:rsidRPr="000145E2">
        <w:t>.</w:t>
      </w:r>
      <w:proofErr w:type="gramEnd"/>
      <w:r w:rsidRPr="000145E2">
        <w:t xml:space="preserve">  </w:t>
      </w:r>
      <w:proofErr w:type="gramStart"/>
      <w:r w:rsidRPr="000145E2">
        <w:t>Toronto</w:t>
      </w:r>
      <w:r w:rsidR="00784AD2">
        <w:t> :</w:t>
      </w:r>
      <w:proofErr w:type="gramEnd"/>
      <w:r w:rsidRPr="000145E2">
        <w:t xml:space="preserve"> Canada Law Book Co., 1947.</w:t>
      </w:r>
    </w:p>
    <w:p w:rsidR="00042226" w:rsidRPr="000145E2" w:rsidRDefault="00042226" w:rsidP="005C77BD">
      <w:pPr>
        <w:pStyle w:val="SCCNormalDoubleSpacing"/>
        <w:spacing w:after="720" w:line="240" w:lineRule="auto"/>
        <w:ind w:left="540" w:hanging="540"/>
        <w:rPr>
          <w:lang w:val="fr-CA"/>
        </w:rPr>
      </w:pPr>
      <w:r w:rsidRPr="000145E2">
        <w:t xml:space="preserve">Sullivan, Ruth.  </w:t>
      </w:r>
      <w:r w:rsidRPr="000145E2">
        <w:rPr>
          <w:i/>
        </w:rPr>
        <w:t>Sullivan on the Construction of Statutes</w:t>
      </w:r>
      <w:r w:rsidRPr="000145E2">
        <w:t xml:space="preserve">, 5th </w:t>
      </w:r>
      <w:proofErr w:type="gramStart"/>
      <w:r w:rsidRPr="000145E2">
        <w:t>ed</w:t>
      </w:r>
      <w:proofErr w:type="gramEnd"/>
      <w:r w:rsidRPr="000145E2">
        <w:t xml:space="preserve">.  </w:t>
      </w:r>
      <w:r w:rsidRPr="000145E2">
        <w:rPr>
          <w:lang w:val="fr-CA"/>
        </w:rPr>
        <w:t>Markham, Ont.</w:t>
      </w:r>
      <w:r w:rsidR="00784AD2">
        <w:rPr>
          <w:lang w:val="fr-CA"/>
        </w:rPr>
        <w:t> :</w:t>
      </w:r>
      <w:r w:rsidRPr="000145E2">
        <w:rPr>
          <w:lang w:val="fr-CA"/>
        </w:rPr>
        <w:t xml:space="preserve"> </w:t>
      </w:r>
      <w:proofErr w:type="spellStart"/>
      <w:r w:rsidRPr="000145E2">
        <w:rPr>
          <w:lang w:val="fr-CA"/>
        </w:rPr>
        <w:t>LexisNexis</w:t>
      </w:r>
      <w:proofErr w:type="spellEnd"/>
      <w:r w:rsidRPr="000145E2">
        <w:rPr>
          <w:lang w:val="fr-CA"/>
        </w:rPr>
        <w:t>, 2008.</w:t>
      </w:r>
    </w:p>
    <w:p w:rsidR="004D7D95" w:rsidRPr="000145E2" w:rsidRDefault="00293615" w:rsidP="005C77BD">
      <w:pPr>
        <w:pStyle w:val="SCCNormalDoubleSpacing"/>
        <w:spacing w:after="480"/>
        <w:rPr>
          <w:lang w:val="fr-CA"/>
        </w:rPr>
      </w:pPr>
      <w:r w:rsidRPr="000145E2">
        <w:rPr>
          <w:lang w:val="fr-CA"/>
        </w:rPr>
        <w:tab/>
      </w:r>
      <w:r w:rsidR="004D7D95" w:rsidRPr="000145E2">
        <w:rPr>
          <w:lang w:val="fr-CA"/>
        </w:rPr>
        <w:t>POURVOI contre un arrêt de la Cour d</w:t>
      </w:r>
      <w:r w:rsidR="0069420D" w:rsidRPr="000145E2">
        <w:rPr>
          <w:lang w:val="fr-CA"/>
        </w:rPr>
        <w:t>’</w:t>
      </w:r>
      <w:r w:rsidR="004D7D95" w:rsidRPr="000145E2">
        <w:rPr>
          <w:lang w:val="fr-CA"/>
        </w:rPr>
        <w:t>appel fédérale</w:t>
      </w:r>
      <w:r w:rsidR="009C2A7F" w:rsidRPr="000145E2">
        <w:rPr>
          <w:lang w:val="fr-CA"/>
        </w:rPr>
        <w:t xml:space="preserve"> (les juges Dawson, Gauthier et </w:t>
      </w:r>
      <w:proofErr w:type="spellStart"/>
      <w:r w:rsidR="009C2A7F" w:rsidRPr="000145E2">
        <w:rPr>
          <w:lang w:val="fr-CA"/>
        </w:rPr>
        <w:t>Stratas</w:t>
      </w:r>
      <w:proofErr w:type="spellEnd"/>
      <w:r w:rsidR="009C2A7F" w:rsidRPr="000145E2">
        <w:rPr>
          <w:lang w:val="fr-CA"/>
        </w:rPr>
        <w:t>), 2012 CAF 278, 440 N.R. 217, [2012] A.C.F. n</w:t>
      </w:r>
      <w:r w:rsidR="009C2A7F" w:rsidRPr="000145E2">
        <w:rPr>
          <w:vertAlign w:val="superscript"/>
          <w:lang w:val="fr-CA"/>
        </w:rPr>
        <w:t>o</w:t>
      </w:r>
      <w:r w:rsidR="00784AD2">
        <w:rPr>
          <w:lang w:val="fr-CA"/>
        </w:rPr>
        <w:t xml:space="preserve"> </w:t>
      </w:r>
      <w:r w:rsidR="009C2A7F" w:rsidRPr="000145E2">
        <w:rPr>
          <w:lang w:val="fr-CA"/>
        </w:rPr>
        <w:t xml:space="preserve">1438 (QL), 2012 </w:t>
      </w:r>
      <w:proofErr w:type="spellStart"/>
      <w:r w:rsidR="009C2A7F" w:rsidRPr="000145E2">
        <w:rPr>
          <w:lang w:val="fr-CA"/>
        </w:rPr>
        <w:t>CarswellNat</w:t>
      </w:r>
      <w:proofErr w:type="spellEnd"/>
      <w:r w:rsidR="009C2A7F" w:rsidRPr="000145E2">
        <w:rPr>
          <w:lang w:val="fr-CA"/>
        </w:rPr>
        <w:t xml:space="preserve"> 5639, qui a infirmé une décision du juge Hughes, 2011 CF 1201, 398 F.T.R. 218, [2011] A.C.F. n</w:t>
      </w:r>
      <w:r w:rsidR="009C2A7F" w:rsidRPr="000145E2">
        <w:rPr>
          <w:vertAlign w:val="superscript"/>
          <w:lang w:val="fr-CA"/>
        </w:rPr>
        <w:t>o</w:t>
      </w:r>
      <w:r w:rsidR="00784AD2">
        <w:rPr>
          <w:vertAlign w:val="superscript"/>
          <w:lang w:val="fr-CA"/>
        </w:rPr>
        <w:t xml:space="preserve"> </w:t>
      </w:r>
      <w:r w:rsidR="009C2A7F" w:rsidRPr="000145E2">
        <w:rPr>
          <w:lang w:val="fr-CA"/>
        </w:rPr>
        <w:t xml:space="preserve">1469 (QL), 2011 </w:t>
      </w:r>
      <w:proofErr w:type="spellStart"/>
      <w:r w:rsidR="009C2A7F" w:rsidRPr="000145E2">
        <w:rPr>
          <w:lang w:val="fr-CA"/>
        </w:rPr>
        <w:t>CarswellNat</w:t>
      </w:r>
      <w:proofErr w:type="spellEnd"/>
      <w:r w:rsidR="009C2A7F" w:rsidRPr="000145E2">
        <w:rPr>
          <w:lang w:val="fr-CA"/>
        </w:rPr>
        <w:t xml:space="preserve"> 5850.  </w:t>
      </w:r>
      <w:r w:rsidRPr="000145E2">
        <w:rPr>
          <w:lang w:val="fr-CA"/>
        </w:rPr>
        <w:t xml:space="preserve">Pourvoi </w:t>
      </w:r>
      <w:r w:rsidR="00F23109" w:rsidRPr="000145E2">
        <w:rPr>
          <w:lang w:val="fr-CA"/>
        </w:rPr>
        <w:t>rejeté</w:t>
      </w:r>
      <w:r w:rsidRPr="000145E2">
        <w:rPr>
          <w:lang w:val="fr-CA"/>
        </w:rPr>
        <w:t>.</w:t>
      </w:r>
    </w:p>
    <w:p w:rsidR="0030020E" w:rsidRPr="000145E2" w:rsidRDefault="0069420D" w:rsidP="005C77BD">
      <w:pPr>
        <w:pStyle w:val="SCCNormalDoubleSpacing"/>
        <w:spacing w:after="480"/>
        <w:rPr>
          <w:lang w:val="fr-CA"/>
        </w:rPr>
      </w:pPr>
      <w:r w:rsidRPr="000145E2">
        <w:rPr>
          <w:rStyle w:val="SCCCounselNameChar"/>
          <w:lang w:val="fr-CA"/>
        </w:rPr>
        <w:tab/>
      </w:r>
      <w:r w:rsidR="00293615" w:rsidRPr="000145E2">
        <w:rPr>
          <w:rStyle w:val="SCCCounselNameChar"/>
          <w:lang w:val="fr-CA"/>
        </w:rPr>
        <w:t>Guy</w:t>
      </w:r>
      <w:r w:rsidR="00784AD2">
        <w:rPr>
          <w:rStyle w:val="SCCCounselNameChar"/>
          <w:lang w:val="fr-CA"/>
        </w:rPr>
        <w:t xml:space="preserve"> </w:t>
      </w:r>
      <w:r w:rsidR="00293615" w:rsidRPr="000145E2">
        <w:rPr>
          <w:rStyle w:val="SCCCounselNameChar"/>
          <w:lang w:val="fr-CA"/>
        </w:rPr>
        <w:t xml:space="preserve">J. </w:t>
      </w:r>
      <w:proofErr w:type="spellStart"/>
      <w:r w:rsidR="00293615" w:rsidRPr="000145E2">
        <w:rPr>
          <w:rStyle w:val="SCCCounselNameChar"/>
          <w:lang w:val="fr-CA"/>
        </w:rPr>
        <w:t>Pratte</w:t>
      </w:r>
      <w:proofErr w:type="spellEnd"/>
      <w:r w:rsidR="00293615" w:rsidRPr="000145E2">
        <w:rPr>
          <w:rStyle w:val="SCCCounselSeparatorChar"/>
          <w:lang w:val="fr-CA"/>
        </w:rPr>
        <w:t xml:space="preserve">, </w:t>
      </w:r>
      <w:r w:rsidR="00293615" w:rsidRPr="000145E2">
        <w:rPr>
          <w:rStyle w:val="SCCCounselSeparatorChar"/>
          <w:i/>
          <w:lang w:val="fr-CA"/>
        </w:rPr>
        <w:t>Nadia Effendi</w:t>
      </w:r>
      <w:r w:rsidR="00293615" w:rsidRPr="000145E2">
        <w:rPr>
          <w:rStyle w:val="SCCCounselSeparatorChar"/>
          <w:lang w:val="fr-CA"/>
        </w:rPr>
        <w:t xml:space="preserve"> </w:t>
      </w:r>
      <w:r w:rsidRPr="000145E2">
        <w:rPr>
          <w:rStyle w:val="SCCCounselSeparatorChar"/>
          <w:lang w:val="fr-CA"/>
        </w:rPr>
        <w:t xml:space="preserve">et </w:t>
      </w:r>
      <w:r w:rsidRPr="000145E2">
        <w:rPr>
          <w:rStyle w:val="SCCCounselNameChar"/>
          <w:lang w:val="fr-CA"/>
        </w:rPr>
        <w:t>Éric Harvey</w:t>
      </w:r>
      <w:r w:rsidRPr="000145E2">
        <w:rPr>
          <w:rStyle w:val="SCCCounselPartyRoleChar"/>
          <w:lang w:val="fr-CA"/>
        </w:rPr>
        <w:t>, pour l’appelante.</w:t>
      </w:r>
    </w:p>
    <w:p w:rsidR="0030020E" w:rsidRPr="000145E2" w:rsidRDefault="0069420D" w:rsidP="005C77BD">
      <w:pPr>
        <w:pStyle w:val="SCCNormalDoubleSpacing"/>
        <w:spacing w:after="480"/>
        <w:rPr>
          <w:lang w:val="fr-CA"/>
        </w:rPr>
      </w:pPr>
      <w:r w:rsidRPr="000145E2">
        <w:rPr>
          <w:rStyle w:val="SCCCounselNameChar"/>
          <w:lang w:val="fr-CA"/>
        </w:rPr>
        <w:tab/>
        <w:t>Peter Southey</w:t>
      </w:r>
      <w:r w:rsidRPr="000145E2">
        <w:rPr>
          <w:rStyle w:val="SCCCounselSeparatorChar"/>
          <w:lang w:val="fr-CA"/>
        </w:rPr>
        <w:t xml:space="preserve"> et </w:t>
      </w:r>
      <w:r w:rsidRPr="000145E2">
        <w:rPr>
          <w:rStyle w:val="SCCCounselNameChar"/>
          <w:lang w:val="fr-CA"/>
        </w:rPr>
        <w:t>Sean Gaudet</w:t>
      </w:r>
      <w:r w:rsidRPr="000145E2">
        <w:rPr>
          <w:rStyle w:val="SCCCounselPartyRoleChar"/>
          <w:lang w:val="fr-CA"/>
        </w:rPr>
        <w:t>, pour l’intimé</w:t>
      </w:r>
      <w:r w:rsidR="00293615" w:rsidRPr="000145E2">
        <w:rPr>
          <w:rStyle w:val="SCCCounselPartyRoleChar"/>
          <w:lang w:val="fr-CA"/>
        </w:rPr>
        <w:t xml:space="preserve"> le p</w:t>
      </w:r>
      <w:r w:rsidR="00293615" w:rsidRPr="000145E2">
        <w:rPr>
          <w:lang w:val="fr-CA"/>
        </w:rPr>
        <w:t>rocureur général du Canada</w:t>
      </w:r>
      <w:r w:rsidRPr="000145E2">
        <w:rPr>
          <w:rStyle w:val="SCCCounselPartyRoleChar"/>
          <w:lang w:val="fr-CA"/>
        </w:rPr>
        <w:t>.</w:t>
      </w:r>
    </w:p>
    <w:p w:rsidR="0030020E" w:rsidRPr="000145E2" w:rsidRDefault="00293615" w:rsidP="005C77BD">
      <w:pPr>
        <w:pStyle w:val="SCCNormalDoubleSpacing"/>
        <w:spacing w:after="480"/>
        <w:rPr>
          <w:lang w:val="fr-CA"/>
        </w:rPr>
      </w:pPr>
      <w:r w:rsidRPr="000145E2">
        <w:rPr>
          <w:rStyle w:val="SCCCounselNameChar"/>
          <w:lang w:val="fr-CA"/>
        </w:rPr>
        <w:tab/>
        <w:t>Forrest</w:t>
      </w:r>
      <w:r w:rsidR="00784AD2">
        <w:rPr>
          <w:rStyle w:val="SCCCounselNameChar"/>
          <w:lang w:val="fr-CA"/>
        </w:rPr>
        <w:t xml:space="preserve"> </w:t>
      </w:r>
      <w:r w:rsidR="0069420D" w:rsidRPr="000145E2">
        <w:rPr>
          <w:rStyle w:val="SCCCounselNameChar"/>
          <w:lang w:val="fr-CA"/>
        </w:rPr>
        <w:t>C. Hume</w:t>
      </w:r>
      <w:r w:rsidR="0069420D" w:rsidRPr="000145E2">
        <w:rPr>
          <w:rStyle w:val="SCCCounselSeparatorChar"/>
          <w:lang w:val="fr-CA"/>
        </w:rPr>
        <w:t xml:space="preserve"> et </w:t>
      </w:r>
      <w:r w:rsidRPr="000145E2">
        <w:rPr>
          <w:rStyle w:val="SCCCounselNameChar"/>
          <w:lang w:val="fr-CA"/>
        </w:rPr>
        <w:t>Cynthia</w:t>
      </w:r>
      <w:r w:rsidR="00784AD2">
        <w:rPr>
          <w:rStyle w:val="SCCCounselNameChar"/>
          <w:lang w:val="fr-CA"/>
        </w:rPr>
        <w:t xml:space="preserve"> </w:t>
      </w:r>
      <w:r w:rsidR="0069420D" w:rsidRPr="000145E2">
        <w:rPr>
          <w:rStyle w:val="SCCCounselNameChar"/>
          <w:lang w:val="fr-CA"/>
        </w:rPr>
        <w:t xml:space="preserve">A. </w:t>
      </w:r>
      <w:proofErr w:type="spellStart"/>
      <w:r w:rsidR="0069420D" w:rsidRPr="000145E2">
        <w:rPr>
          <w:rStyle w:val="SCCCounselNameChar"/>
          <w:lang w:val="fr-CA"/>
        </w:rPr>
        <w:t>Millar</w:t>
      </w:r>
      <w:proofErr w:type="spellEnd"/>
      <w:r w:rsidR="0069420D" w:rsidRPr="000145E2">
        <w:rPr>
          <w:rStyle w:val="SCCCounselPartyRoleChar"/>
          <w:lang w:val="fr-CA"/>
        </w:rPr>
        <w:t>, pour l</w:t>
      </w:r>
      <w:r w:rsidRPr="000145E2">
        <w:rPr>
          <w:rStyle w:val="SCCCounselPartyRoleChar"/>
          <w:lang w:val="fr-CA"/>
        </w:rPr>
        <w:t xml:space="preserve">es </w:t>
      </w:r>
      <w:r w:rsidR="0069420D" w:rsidRPr="000145E2">
        <w:rPr>
          <w:rStyle w:val="SCCCounselPartyRoleChar"/>
          <w:lang w:val="fr-CA"/>
        </w:rPr>
        <w:t>intimée</w:t>
      </w:r>
      <w:r w:rsidRPr="000145E2">
        <w:rPr>
          <w:rStyle w:val="SCCCounselPartyRoleChar"/>
          <w:lang w:val="fr-CA"/>
        </w:rPr>
        <w:t xml:space="preserve">s </w:t>
      </w:r>
      <w:proofErr w:type="spellStart"/>
      <w:r w:rsidRPr="000145E2">
        <w:rPr>
          <w:rStyle w:val="SCCCounselPartyRoleChar"/>
          <w:lang w:val="fr-CA"/>
        </w:rPr>
        <w:t>Peace</w:t>
      </w:r>
      <w:proofErr w:type="spellEnd"/>
      <w:r w:rsidRPr="000145E2">
        <w:rPr>
          <w:rStyle w:val="SCCCounselPartyRoleChar"/>
          <w:lang w:val="fr-CA"/>
        </w:rPr>
        <w:t xml:space="preserve"> River Coal Inc. et l’Association canadienne de transport industriel</w:t>
      </w:r>
      <w:r w:rsidR="0069420D" w:rsidRPr="000145E2">
        <w:rPr>
          <w:rStyle w:val="SCCCounselPartyRoleChar"/>
          <w:lang w:val="fr-CA"/>
        </w:rPr>
        <w:t>.</w:t>
      </w:r>
    </w:p>
    <w:p w:rsidR="00784AD2" w:rsidRPr="00E2732C" w:rsidRDefault="00E2732C" w:rsidP="005C77BD">
      <w:pPr>
        <w:pStyle w:val="JudgeJuge"/>
        <w:spacing w:before="480"/>
        <w:rPr>
          <w:smallCaps w:val="0"/>
          <w:lang w:val="fr-CA"/>
        </w:rPr>
      </w:pPr>
      <w:bookmarkStart w:id="0" w:name="_GoBack"/>
      <w:bookmarkEnd w:id="0"/>
      <w:r>
        <w:rPr>
          <w:lang w:val="fr-CA"/>
        </w:rPr>
        <w:tab/>
      </w:r>
      <w:r>
        <w:rPr>
          <w:smallCaps w:val="0"/>
          <w:lang w:val="fr-CA"/>
        </w:rPr>
        <w:t>Version française du jugement de la Cour rendu par</w:t>
      </w:r>
    </w:p>
    <w:p w:rsidR="00784AD2" w:rsidRPr="00DB5AAF" w:rsidRDefault="00784AD2" w:rsidP="005C77BD">
      <w:pPr>
        <w:pStyle w:val="JudgeJuge"/>
        <w:spacing w:before="480"/>
        <w:rPr>
          <w:lang w:val="fr-CA"/>
        </w:rPr>
      </w:pPr>
      <w:r w:rsidRPr="00DB5AAF">
        <w:rPr>
          <w:lang w:val="fr-CA"/>
        </w:rPr>
        <w:tab/>
        <w:t xml:space="preserve">Le juge </w:t>
      </w:r>
      <w:proofErr w:type="spellStart"/>
      <w:r w:rsidRPr="00DB5AAF">
        <w:rPr>
          <w:lang w:val="fr-CA"/>
        </w:rPr>
        <w:t>Rothstein</w:t>
      </w:r>
      <w:proofErr w:type="spellEnd"/>
      <w:r w:rsidRPr="00DB5AAF">
        <w:rPr>
          <w:lang w:val="fr-CA"/>
        </w:rPr>
        <w:t xml:space="preserve"> — </w:t>
      </w:r>
    </w:p>
    <w:p w:rsidR="00784AD2" w:rsidRPr="00DB5AAF" w:rsidRDefault="00784AD2" w:rsidP="005C77BD">
      <w:pPr>
        <w:pStyle w:val="Title1LevelTitre1Niveau-AltL"/>
        <w:rPr>
          <w:rFonts w:cs="Times New Roman"/>
          <w:lang w:val="fr-CA"/>
        </w:rPr>
      </w:pPr>
      <w:proofErr w:type="spellStart"/>
      <w:r w:rsidRPr="00DB5AAF">
        <w:rPr>
          <w:rFonts w:cs="Times New Roman"/>
        </w:rPr>
        <w:t>Aperçu</w:t>
      </w:r>
      <w:proofErr w:type="spellEnd"/>
    </w:p>
    <w:p w:rsidR="00784AD2" w:rsidRPr="00DB5AAF" w:rsidRDefault="00784AD2" w:rsidP="005C77BD">
      <w:pPr>
        <w:pStyle w:val="ParaNoNdepar-AltN"/>
        <w:rPr>
          <w:rFonts w:cs="Times New Roman"/>
          <w:lang w:val="fr-CA"/>
        </w:rPr>
      </w:pPr>
      <w:r w:rsidRPr="00DB5AAF">
        <w:rPr>
          <w:rFonts w:cs="Times New Roman"/>
          <w:lang w:val="fr-CA"/>
        </w:rPr>
        <w:lastRenderedPageBreak/>
        <w:t>L</w:t>
      </w:r>
      <w:r>
        <w:rPr>
          <w:rFonts w:cs="Times New Roman"/>
          <w:lang w:val="fr-CA"/>
        </w:rPr>
        <w:t>’</w:t>
      </w:r>
      <w:r w:rsidRPr="00DB5AAF">
        <w:rPr>
          <w:rFonts w:cs="Times New Roman"/>
          <w:i/>
          <w:iCs/>
          <w:lang w:val="fr-CA"/>
        </w:rPr>
        <w:t>Acte des chemins de fer,</w:t>
      </w:r>
      <w:r>
        <w:rPr>
          <w:rFonts w:cs="Times New Roman"/>
          <w:i/>
          <w:iCs/>
          <w:lang w:val="fr-CA"/>
        </w:rPr>
        <w:t xml:space="preserve"> </w:t>
      </w:r>
      <w:r w:rsidRPr="00DB5AAF">
        <w:rPr>
          <w:rFonts w:cs="Times New Roman"/>
          <w:i/>
          <w:iCs/>
          <w:lang w:val="fr-CA"/>
        </w:rPr>
        <w:t>1868</w:t>
      </w:r>
      <w:r w:rsidRPr="00DB5AAF">
        <w:rPr>
          <w:rFonts w:cs="Times New Roman"/>
          <w:iCs/>
          <w:lang w:val="fr-CA"/>
        </w:rPr>
        <w:t xml:space="preserve">, </w:t>
      </w:r>
      <w:r w:rsidRPr="00DB5AAF">
        <w:rPr>
          <w:rFonts w:cs="Times New Roman"/>
          <w:lang w:val="fr-CA"/>
        </w:rPr>
        <w:t xml:space="preserve">S.C. 1868, </w:t>
      </w:r>
      <w:r>
        <w:rPr>
          <w:rFonts w:cs="Times New Roman"/>
          <w:lang w:val="fr-CA"/>
        </w:rPr>
        <w:t xml:space="preserve">ch. </w:t>
      </w:r>
      <w:r w:rsidRPr="00DB5AAF">
        <w:rPr>
          <w:rFonts w:cs="Times New Roman"/>
          <w:lang w:val="fr-CA"/>
        </w:rPr>
        <w:t>68, conférait au gouverneur en conseil le pouvoir d</w:t>
      </w:r>
      <w:r>
        <w:rPr>
          <w:rFonts w:cs="Times New Roman"/>
          <w:lang w:val="fr-CA"/>
        </w:rPr>
        <w:t>’</w:t>
      </w:r>
      <w:r w:rsidRPr="00DB5AAF">
        <w:rPr>
          <w:rFonts w:cs="Times New Roman"/>
          <w:lang w:val="fr-CA"/>
        </w:rPr>
        <w:t>approuver les prix du transport des marchandises par voie ferrée au Canada.  En</w:t>
      </w:r>
      <w:r>
        <w:rPr>
          <w:rFonts w:cs="Times New Roman"/>
          <w:lang w:val="fr-CA"/>
        </w:rPr>
        <w:t xml:space="preserve"> </w:t>
      </w:r>
      <w:r w:rsidRPr="00DB5AAF">
        <w:rPr>
          <w:rFonts w:cs="Times New Roman"/>
          <w:lang w:val="fr-CA"/>
        </w:rPr>
        <w:t>1903, la réglementation des prix du transport des marchandises a été dévolue à la Commission des chemins de fer, et le gouverneur en conseil s</w:t>
      </w:r>
      <w:r>
        <w:rPr>
          <w:rFonts w:cs="Times New Roman"/>
          <w:lang w:val="fr-CA"/>
        </w:rPr>
        <w:t>’</w:t>
      </w:r>
      <w:r w:rsidRPr="00DB5AAF">
        <w:rPr>
          <w:rFonts w:cs="Times New Roman"/>
          <w:lang w:val="fr-CA"/>
        </w:rPr>
        <w:t>est vu confier un nouveau rôle, celui d</w:t>
      </w:r>
      <w:r>
        <w:rPr>
          <w:rFonts w:cs="Times New Roman"/>
          <w:lang w:val="fr-CA"/>
        </w:rPr>
        <w:t>’</w:t>
      </w:r>
      <w:r w:rsidRPr="00DB5AAF">
        <w:rPr>
          <w:rFonts w:cs="Times New Roman"/>
          <w:lang w:val="fr-CA"/>
        </w:rPr>
        <w:t>organisme de révision habilité à modifier ou à annuler les décisions de la Commission.  L</w:t>
      </w:r>
      <w:r>
        <w:rPr>
          <w:rFonts w:cs="Times New Roman"/>
          <w:lang w:val="fr-CA"/>
        </w:rPr>
        <w:t>’art</w:t>
      </w:r>
      <w:r w:rsidR="00E2732C">
        <w:rPr>
          <w:rFonts w:cs="Times New Roman"/>
          <w:lang w:val="fr-CA"/>
        </w:rPr>
        <w:t>icle</w:t>
      </w:r>
      <w:r>
        <w:rPr>
          <w:rFonts w:cs="Times New Roman"/>
          <w:lang w:val="fr-CA"/>
        </w:rPr>
        <w:t xml:space="preserve"> </w:t>
      </w:r>
      <w:r w:rsidRPr="00DB5AAF">
        <w:rPr>
          <w:rFonts w:cs="Times New Roman"/>
          <w:lang w:val="fr-CA"/>
        </w:rPr>
        <w:t xml:space="preserve">40 de la </w:t>
      </w:r>
      <w:r w:rsidRPr="00DB5AAF">
        <w:rPr>
          <w:rFonts w:cs="Times New Roman"/>
          <w:i/>
          <w:iCs/>
          <w:lang w:val="fr-CA"/>
        </w:rPr>
        <w:t>Loi sur les transports au Canada</w:t>
      </w:r>
      <w:r w:rsidRPr="00DB5AAF">
        <w:rPr>
          <w:rFonts w:cs="Times New Roman"/>
          <w:iCs/>
          <w:lang w:val="fr-CA"/>
        </w:rPr>
        <w:t xml:space="preserve">, L.C. 1996, </w:t>
      </w:r>
      <w:r>
        <w:rPr>
          <w:rFonts w:cs="Times New Roman"/>
          <w:iCs/>
          <w:lang w:val="fr-CA"/>
        </w:rPr>
        <w:t xml:space="preserve">ch. </w:t>
      </w:r>
      <w:r w:rsidRPr="00DB5AAF">
        <w:rPr>
          <w:rFonts w:cs="Times New Roman"/>
          <w:iCs/>
          <w:lang w:val="fr-CA"/>
        </w:rPr>
        <w:t>10 (</w:t>
      </w:r>
      <w:r>
        <w:rPr>
          <w:rFonts w:cs="Times New Roman"/>
          <w:iCs/>
          <w:lang w:val="fr-CA"/>
        </w:rPr>
        <w:t>« </w:t>
      </w:r>
      <w:r w:rsidRPr="00DB5AAF">
        <w:rPr>
          <w:rFonts w:cs="Times New Roman"/>
          <w:i/>
          <w:iCs/>
          <w:lang w:val="fr-CA"/>
        </w:rPr>
        <w:t>Loi</w:t>
      </w:r>
      <w:r>
        <w:rPr>
          <w:rFonts w:cs="Times New Roman"/>
          <w:iCs/>
          <w:lang w:val="fr-CA"/>
        </w:rPr>
        <w:t> »</w:t>
      </w:r>
      <w:r w:rsidRPr="00DB5AAF">
        <w:rPr>
          <w:rFonts w:cs="Times New Roman"/>
          <w:iCs/>
          <w:lang w:val="fr-CA"/>
        </w:rPr>
        <w:t>)</w:t>
      </w:r>
      <w:r w:rsidR="00E2732C">
        <w:rPr>
          <w:rFonts w:cs="Times New Roman"/>
          <w:iCs/>
          <w:lang w:val="fr-CA"/>
        </w:rPr>
        <w:t>,</w:t>
      </w:r>
      <w:r w:rsidRPr="00DB5AAF">
        <w:rPr>
          <w:rFonts w:cs="Times New Roman"/>
          <w:lang w:val="fr-CA"/>
        </w:rPr>
        <w:t xml:space="preserve"> a maintenu ce rôle du gouverneur en conseil en matière de modification et d</w:t>
      </w:r>
      <w:r>
        <w:rPr>
          <w:rFonts w:cs="Times New Roman"/>
          <w:lang w:val="fr-CA"/>
        </w:rPr>
        <w:t>’</w:t>
      </w:r>
      <w:r w:rsidRPr="00DB5AAF">
        <w:rPr>
          <w:rFonts w:cs="Times New Roman"/>
          <w:lang w:val="fr-CA"/>
        </w:rPr>
        <w:t>annulation des décisions et arrêtés de l</w:t>
      </w:r>
      <w:r>
        <w:rPr>
          <w:rFonts w:cs="Times New Roman"/>
          <w:lang w:val="fr-CA"/>
        </w:rPr>
        <w:t>’</w:t>
      </w:r>
      <w:r w:rsidRPr="00DB5AAF">
        <w:rPr>
          <w:rFonts w:cs="Times New Roman"/>
          <w:lang w:val="fr-CA"/>
        </w:rPr>
        <w:t>Office des transports du Canada (</w:t>
      </w:r>
      <w:r>
        <w:rPr>
          <w:rFonts w:cs="Times New Roman"/>
          <w:lang w:val="fr-CA"/>
        </w:rPr>
        <w:t>« </w:t>
      </w:r>
      <w:r w:rsidRPr="00DB5AAF">
        <w:rPr>
          <w:rFonts w:cs="Times New Roman"/>
          <w:lang w:val="fr-CA"/>
        </w:rPr>
        <w:t>Office</w:t>
      </w:r>
      <w:r>
        <w:rPr>
          <w:rFonts w:cs="Times New Roman"/>
          <w:lang w:val="fr-CA"/>
        </w:rPr>
        <w:t> »</w:t>
      </w:r>
      <w:r w:rsidRPr="00DB5AAF">
        <w:rPr>
          <w:rFonts w:cs="Times New Roman"/>
          <w:lang w:val="fr-CA"/>
        </w:rPr>
        <w:t xml:space="preserve">). </w:t>
      </w:r>
    </w:p>
    <w:p w:rsidR="00784AD2" w:rsidRPr="00DB5AAF" w:rsidRDefault="00784AD2" w:rsidP="005C77BD">
      <w:pPr>
        <w:pStyle w:val="ParaNoNdepar-AltN"/>
        <w:widowControl w:val="0"/>
        <w:rPr>
          <w:rFonts w:cs="Times New Roman"/>
          <w:lang w:val="fr-CA"/>
        </w:rPr>
      </w:pPr>
      <w:r w:rsidRPr="00DB5AAF">
        <w:rPr>
          <w:rFonts w:cs="Times New Roman"/>
          <w:lang w:val="fr-CA"/>
        </w:rPr>
        <w:t>Les questions en litige dans le présent pourvoi ont principalement trait au fait de savoir si le gouverneur en conseil est habilité à modifier ou à annuler une décision de l</w:t>
      </w:r>
      <w:r>
        <w:rPr>
          <w:rFonts w:cs="Times New Roman"/>
          <w:lang w:val="fr-CA"/>
        </w:rPr>
        <w:t>’</w:t>
      </w:r>
      <w:r w:rsidRPr="00DB5AAF">
        <w:rPr>
          <w:rFonts w:cs="Times New Roman"/>
          <w:lang w:val="fr-CA"/>
        </w:rPr>
        <w:t>Office sur un point de droit.  À mon humble avis, le gouverneur en conseil a le pouvoir de le faire.</w:t>
      </w:r>
    </w:p>
    <w:p w:rsidR="00784AD2" w:rsidRPr="00DB5AAF" w:rsidRDefault="00784AD2" w:rsidP="005C77BD">
      <w:pPr>
        <w:pStyle w:val="Title1LevelTitre1Niveau-AltL"/>
        <w:rPr>
          <w:rFonts w:cs="Times New Roman"/>
          <w:lang w:val="fr-CA"/>
        </w:rPr>
      </w:pPr>
      <w:r w:rsidRPr="00DB5AAF">
        <w:rPr>
          <w:rFonts w:cs="Times New Roman"/>
          <w:lang w:val="fr-CA"/>
        </w:rPr>
        <w:t>Faits</w:t>
      </w:r>
    </w:p>
    <w:p w:rsidR="00784AD2" w:rsidRPr="00DB5AAF" w:rsidRDefault="00784AD2" w:rsidP="005C77BD">
      <w:pPr>
        <w:pStyle w:val="ParaNoNdepar-AltN"/>
        <w:rPr>
          <w:rFonts w:cs="Times New Roman"/>
          <w:lang w:val="fr-CA"/>
        </w:rPr>
      </w:pPr>
      <w:r w:rsidRPr="00DB5AAF">
        <w:rPr>
          <w:rFonts w:cs="Times New Roman"/>
          <w:lang w:val="fr-CA"/>
        </w:rPr>
        <w:t>Le présent pourvoi concerne un contrat confidentiel intervenu entre la Compagnie des chemins de fer nationaux du Canada (</w:t>
      </w:r>
      <w:r>
        <w:rPr>
          <w:rFonts w:cs="Times New Roman"/>
          <w:lang w:val="fr-CA"/>
        </w:rPr>
        <w:t>« </w:t>
      </w:r>
      <w:r w:rsidRPr="00DB5AAF">
        <w:rPr>
          <w:rFonts w:cs="Times New Roman"/>
          <w:lang w:val="fr-CA"/>
        </w:rPr>
        <w:t>CN</w:t>
      </w:r>
      <w:r>
        <w:rPr>
          <w:rFonts w:cs="Times New Roman"/>
          <w:lang w:val="fr-CA"/>
        </w:rPr>
        <w:t> »</w:t>
      </w:r>
      <w:r w:rsidRPr="00DB5AAF">
        <w:rPr>
          <w:rFonts w:cs="Times New Roman"/>
          <w:lang w:val="fr-CA"/>
        </w:rPr>
        <w:t xml:space="preserve">) et </w:t>
      </w:r>
      <w:proofErr w:type="spellStart"/>
      <w:r w:rsidRPr="00DB5AAF">
        <w:rPr>
          <w:rFonts w:cs="Times New Roman"/>
          <w:lang w:val="fr-CA"/>
        </w:rPr>
        <w:t>Peace</w:t>
      </w:r>
      <w:proofErr w:type="spellEnd"/>
      <w:r w:rsidRPr="00DB5AAF">
        <w:rPr>
          <w:rFonts w:cs="Times New Roman"/>
          <w:lang w:val="fr-CA"/>
        </w:rPr>
        <w:t xml:space="preserve"> River Coal Inc. (</w:t>
      </w:r>
      <w:r>
        <w:rPr>
          <w:rFonts w:cs="Times New Roman"/>
          <w:lang w:val="fr-CA"/>
        </w:rPr>
        <w:t>« </w:t>
      </w:r>
      <w:r w:rsidRPr="00DB5AAF">
        <w:rPr>
          <w:rFonts w:cs="Times New Roman"/>
          <w:lang w:val="fr-CA"/>
        </w:rPr>
        <w:t>PRC</w:t>
      </w:r>
      <w:r>
        <w:rPr>
          <w:rFonts w:cs="Times New Roman"/>
          <w:lang w:val="fr-CA"/>
        </w:rPr>
        <w:t> »</w:t>
      </w:r>
      <w:r w:rsidRPr="00DB5AAF">
        <w:rPr>
          <w:rFonts w:cs="Times New Roman"/>
          <w:lang w:val="fr-CA"/>
        </w:rPr>
        <w:t>).  PRC exploite une installation de chargement de charbon à Trend, en Colombie</w:t>
      </w:r>
      <w:r>
        <w:rPr>
          <w:rFonts w:cs="Times New Roman"/>
          <w:lang w:val="fr-CA"/>
        </w:rPr>
        <w:t>-</w:t>
      </w:r>
      <w:r w:rsidRPr="00DB5AAF">
        <w:rPr>
          <w:rFonts w:cs="Times New Roman"/>
          <w:lang w:val="fr-CA"/>
        </w:rPr>
        <w:t>Britannique.  Ce contrat, qui a été en vigueur du 1</w:t>
      </w:r>
      <w:r w:rsidRPr="00DB5AAF">
        <w:rPr>
          <w:rFonts w:cs="Times New Roman"/>
          <w:vertAlign w:val="superscript"/>
          <w:lang w:val="fr-CA"/>
        </w:rPr>
        <w:t>er</w:t>
      </w:r>
      <w:r>
        <w:rPr>
          <w:rFonts w:cs="Times New Roman"/>
          <w:lang w:val="fr-CA"/>
        </w:rPr>
        <w:t xml:space="preserve"> janvier 2008 au 30 juin </w:t>
      </w:r>
      <w:r w:rsidRPr="00DB5AAF">
        <w:rPr>
          <w:rFonts w:cs="Times New Roman"/>
          <w:lang w:val="fr-CA"/>
        </w:rPr>
        <w:t>2010, portait sur le transport de charbon par voie ferrée depuis Trend jusqu</w:t>
      </w:r>
      <w:r>
        <w:rPr>
          <w:rFonts w:cs="Times New Roman"/>
          <w:lang w:val="fr-CA"/>
        </w:rPr>
        <w:t>’</w:t>
      </w:r>
      <w:r w:rsidRPr="00DB5AAF">
        <w:rPr>
          <w:rFonts w:cs="Times New Roman"/>
          <w:lang w:val="fr-CA"/>
        </w:rPr>
        <w:t xml:space="preserve">à Ridley </w:t>
      </w:r>
      <w:proofErr w:type="spellStart"/>
      <w:r w:rsidRPr="00DB5AAF">
        <w:rPr>
          <w:rFonts w:cs="Times New Roman"/>
          <w:lang w:val="fr-CA"/>
        </w:rPr>
        <w:t>Terminals</w:t>
      </w:r>
      <w:proofErr w:type="spellEnd"/>
      <w:r w:rsidRPr="00DB5AAF">
        <w:rPr>
          <w:rFonts w:cs="Times New Roman"/>
          <w:lang w:val="fr-CA"/>
        </w:rPr>
        <w:t xml:space="preserve"> à Prince Rupert, en Colombie</w:t>
      </w:r>
      <w:r>
        <w:rPr>
          <w:rFonts w:cs="Times New Roman"/>
          <w:lang w:val="fr-CA"/>
        </w:rPr>
        <w:t>-</w:t>
      </w:r>
      <w:r w:rsidRPr="00DB5AAF">
        <w:rPr>
          <w:rFonts w:cs="Times New Roman"/>
          <w:lang w:val="fr-CA"/>
        </w:rPr>
        <w:t>Britannique.</w:t>
      </w:r>
    </w:p>
    <w:p w:rsidR="00784AD2" w:rsidRPr="00DB5AAF" w:rsidRDefault="00784AD2" w:rsidP="005C77BD">
      <w:pPr>
        <w:pStyle w:val="ParaNoNdepar-AltN"/>
        <w:rPr>
          <w:rFonts w:cs="Times New Roman"/>
          <w:lang w:val="fr-CA"/>
        </w:rPr>
      </w:pPr>
      <w:r w:rsidRPr="00DB5AAF">
        <w:rPr>
          <w:rFonts w:cs="Times New Roman"/>
          <w:lang w:val="fr-CA"/>
        </w:rPr>
        <w:lastRenderedPageBreak/>
        <w:t>Le contrat confidentiel incorporait par renvoi tous les tarifs, les règles et les règlements applicables.  En particulier, il incorporait le [</w:t>
      </w:r>
      <w:r w:rsidRPr="00DB5AAF">
        <w:rPr>
          <w:rFonts w:cs="Times New Roman"/>
          <w:smallCaps/>
          <w:lang w:val="fr-CA"/>
        </w:rPr>
        <w:t>traduction</w:t>
      </w:r>
      <w:r w:rsidRPr="00DB5AAF">
        <w:rPr>
          <w:rFonts w:cs="Times New Roman"/>
          <w:lang w:val="fr-CA"/>
        </w:rPr>
        <w:t xml:space="preserve">] </w:t>
      </w:r>
      <w:r>
        <w:rPr>
          <w:rFonts w:cs="Times New Roman"/>
          <w:lang w:val="fr-CA"/>
        </w:rPr>
        <w:t>« </w:t>
      </w:r>
      <w:r w:rsidRPr="00DB5AAF">
        <w:rPr>
          <w:rFonts w:cs="Times New Roman"/>
          <w:lang w:val="fr-CA"/>
        </w:rPr>
        <w:t>Tarif de supplément carburant CN</w:t>
      </w:r>
      <w:r>
        <w:rPr>
          <w:rFonts w:cs="Times New Roman"/>
          <w:lang w:val="fr-CA"/>
        </w:rPr>
        <w:t xml:space="preserve"> </w:t>
      </w:r>
      <w:r w:rsidRPr="00DB5AAF">
        <w:rPr>
          <w:rFonts w:cs="Times New Roman"/>
          <w:lang w:val="fr-CA"/>
        </w:rPr>
        <w:t>7402, ses ajouts ou ses rééditions</w:t>
      </w:r>
      <w:r>
        <w:rPr>
          <w:rFonts w:cs="Times New Roman"/>
          <w:lang w:val="fr-CA"/>
        </w:rPr>
        <w:t> »</w:t>
      </w:r>
      <w:r w:rsidR="00DE54B2">
        <w:rPr>
          <w:rFonts w:cs="Times New Roman"/>
          <w:lang w:val="fr-CA"/>
        </w:rPr>
        <w:t>,</w:t>
      </w:r>
      <w:r w:rsidRPr="00DB5AAF">
        <w:rPr>
          <w:rFonts w:cs="Times New Roman"/>
          <w:lang w:val="fr-CA"/>
        </w:rPr>
        <w:t xml:space="preserve"> qui prévoyait l</w:t>
      </w:r>
      <w:r>
        <w:rPr>
          <w:rFonts w:cs="Times New Roman"/>
          <w:lang w:val="fr-CA"/>
        </w:rPr>
        <w:t>’</w:t>
      </w:r>
      <w:r w:rsidRPr="00DB5AAF">
        <w:rPr>
          <w:rFonts w:cs="Times New Roman"/>
          <w:lang w:val="fr-CA"/>
        </w:rPr>
        <w:t>ajout, au taux de base que facturait le CN pour le transport de marchandises, d</w:t>
      </w:r>
      <w:r>
        <w:rPr>
          <w:rFonts w:cs="Times New Roman"/>
          <w:lang w:val="fr-CA"/>
        </w:rPr>
        <w:t>’</w:t>
      </w:r>
      <w:r w:rsidRPr="00DB5AAF">
        <w:rPr>
          <w:rFonts w:cs="Times New Roman"/>
          <w:lang w:val="fr-CA"/>
        </w:rPr>
        <w:t xml:space="preserve">un supplément pour carburant calculé en fonction du millage parcouru.  Le supplément carburant serait appliqué lorsque le prix moyen mensuel du carburant diesel pour véhicules routiers serait égal ou supérieur à un prix préétabli appelé le </w:t>
      </w:r>
      <w:r>
        <w:rPr>
          <w:rFonts w:cs="Times New Roman"/>
          <w:lang w:val="fr-CA"/>
        </w:rPr>
        <w:t>« </w:t>
      </w:r>
      <w:r w:rsidRPr="00DB5AAF">
        <w:rPr>
          <w:rFonts w:cs="Times New Roman"/>
          <w:lang w:val="fr-CA"/>
        </w:rPr>
        <w:t>seuil</w:t>
      </w:r>
      <w:r>
        <w:rPr>
          <w:rFonts w:cs="Times New Roman"/>
          <w:lang w:val="fr-CA"/>
        </w:rPr>
        <w:t> »</w:t>
      </w:r>
      <w:r w:rsidRPr="00DB5AAF">
        <w:rPr>
          <w:rFonts w:cs="Times New Roman"/>
          <w:lang w:val="fr-CA"/>
        </w:rPr>
        <w:t>.  Le tarif 7402 fixait le seuil à 1,25</w:t>
      </w:r>
      <w:r>
        <w:rPr>
          <w:rFonts w:cs="Times New Roman"/>
          <w:lang w:val="fr-CA"/>
        </w:rPr>
        <w:t xml:space="preserve"> $</w:t>
      </w:r>
      <w:r w:rsidR="008A7826">
        <w:rPr>
          <w:rFonts w:cs="Times New Roman"/>
          <w:lang w:val="fr-CA"/>
        </w:rPr>
        <w:t xml:space="preserve"> </w:t>
      </w:r>
      <w:r w:rsidRPr="00DB5AAF">
        <w:rPr>
          <w:rFonts w:cs="Times New Roman"/>
          <w:lang w:val="fr-CA"/>
        </w:rPr>
        <w:t>US le gallon.  Le CN et PRC savaient toutes deux que, pendant la durée du contrat, le CN pourrait mo</w:t>
      </w:r>
      <w:r>
        <w:rPr>
          <w:rFonts w:cs="Times New Roman"/>
          <w:lang w:val="fr-CA"/>
        </w:rPr>
        <w:t xml:space="preserve">difier unilatéralement le tarif </w:t>
      </w:r>
      <w:r w:rsidRPr="00DB5AAF">
        <w:rPr>
          <w:rFonts w:cs="Times New Roman"/>
          <w:lang w:val="fr-CA"/>
        </w:rPr>
        <w:t>7402.  Le contrat ne prévoyait aucun mécanisme permettant à PRC de contester un changement que le CN apporterait unilatéralement à ce tarif.</w:t>
      </w:r>
    </w:p>
    <w:p w:rsidR="00784AD2" w:rsidRPr="00DB5AAF" w:rsidRDefault="00784AD2" w:rsidP="005C77BD">
      <w:pPr>
        <w:pStyle w:val="ParaNoNdepar-AltN"/>
        <w:rPr>
          <w:rFonts w:cs="Times New Roman"/>
          <w:lang w:val="fr-CA"/>
        </w:rPr>
      </w:pPr>
      <w:r w:rsidRPr="00DB5AAF">
        <w:rPr>
          <w:rFonts w:cs="Times New Roman"/>
          <w:lang w:val="fr-CA"/>
        </w:rPr>
        <w:t>Le 21</w:t>
      </w:r>
      <w:r>
        <w:rPr>
          <w:rFonts w:cs="Times New Roman"/>
          <w:lang w:val="fr-CA"/>
        </w:rPr>
        <w:t xml:space="preserve"> </w:t>
      </w:r>
      <w:r w:rsidRPr="00DB5AAF">
        <w:rPr>
          <w:rFonts w:cs="Times New Roman"/>
          <w:lang w:val="fr-CA"/>
        </w:rPr>
        <w:t>février</w:t>
      </w:r>
      <w:r>
        <w:rPr>
          <w:rFonts w:cs="Times New Roman"/>
          <w:lang w:val="fr-CA"/>
        </w:rPr>
        <w:t xml:space="preserve"> </w:t>
      </w:r>
      <w:r w:rsidRPr="00DB5AAF">
        <w:rPr>
          <w:rFonts w:cs="Times New Roman"/>
          <w:lang w:val="fr-CA"/>
        </w:rPr>
        <w:t>2008, le CN a informé ses client</w:t>
      </w:r>
      <w:r>
        <w:rPr>
          <w:rFonts w:cs="Times New Roman"/>
          <w:lang w:val="fr-CA"/>
        </w:rPr>
        <w:t xml:space="preserve">s qu’il allait adopter le tarif </w:t>
      </w:r>
      <w:r w:rsidRPr="00DB5AAF">
        <w:rPr>
          <w:rFonts w:cs="Times New Roman"/>
          <w:lang w:val="fr-CA"/>
        </w:rPr>
        <w:t>7403, avec effet à compter du 1</w:t>
      </w:r>
      <w:r w:rsidRPr="00DB5AAF">
        <w:rPr>
          <w:rFonts w:cs="Times New Roman"/>
          <w:vertAlign w:val="superscript"/>
          <w:lang w:val="fr-CA"/>
        </w:rPr>
        <w:t>er</w:t>
      </w:r>
      <w:r>
        <w:rPr>
          <w:rFonts w:cs="Times New Roman"/>
          <w:lang w:val="fr-CA"/>
        </w:rPr>
        <w:t xml:space="preserve"> </w:t>
      </w:r>
      <w:r w:rsidRPr="00DB5AAF">
        <w:rPr>
          <w:rFonts w:cs="Times New Roman"/>
          <w:lang w:val="fr-CA"/>
        </w:rPr>
        <w:t>avril 2008, et que le seuil serait de 2,30</w:t>
      </w:r>
      <w:r>
        <w:rPr>
          <w:rFonts w:cs="Times New Roman"/>
          <w:lang w:val="fr-CA"/>
        </w:rPr>
        <w:t xml:space="preserve"> $</w:t>
      </w:r>
      <w:r w:rsidR="008A7826">
        <w:rPr>
          <w:rFonts w:cs="Times New Roman"/>
          <w:lang w:val="fr-CA"/>
        </w:rPr>
        <w:t xml:space="preserve"> </w:t>
      </w:r>
      <w:r w:rsidRPr="00DB5AAF">
        <w:rPr>
          <w:rFonts w:cs="Times New Roman"/>
          <w:lang w:val="fr-CA"/>
        </w:rPr>
        <w:t>US le gallon.  Cependant, le tarif</w:t>
      </w:r>
      <w:r>
        <w:rPr>
          <w:rFonts w:cs="Times New Roman"/>
          <w:lang w:val="fr-CA"/>
        </w:rPr>
        <w:t xml:space="preserve"> </w:t>
      </w:r>
      <w:r w:rsidRPr="00DB5AAF">
        <w:rPr>
          <w:rFonts w:cs="Times New Roman"/>
          <w:lang w:val="fr-CA"/>
        </w:rPr>
        <w:t>7402 continuerait à s</w:t>
      </w:r>
      <w:r>
        <w:rPr>
          <w:rFonts w:cs="Times New Roman"/>
          <w:lang w:val="fr-CA"/>
        </w:rPr>
        <w:t>’</w:t>
      </w:r>
      <w:r w:rsidRPr="00DB5AAF">
        <w:rPr>
          <w:rFonts w:cs="Times New Roman"/>
          <w:lang w:val="fr-CA"/>
        </w:rPr>
        <w:t>appliquer aux contrats conclus au tarif</w:t>
      </w:r>
      <w:r>
        <w:rPr>
          <w:rFonts w:cs="Times New Roman"/>
          <w:lang w:val="fr-CA"/>
        </w:rPr>
        <w:t xml:space="preserve"> </w:t>
      </w:r>
      <w:r w:rsidRPr="00DB5AAF">
        <w:rPr>
          <w:rFonts w:cs="Times New Roman"/>
          <w:lang w:val="fr-CA"/>
        </w:rPr>
        <w:t>7402 jusqu</w:t>
      </w:r>
      <w:r>
        <w:rPr>
          <w:rFonts w:cs="Times New Roman"/>
          <w:lang w:val="fr-CA"/>
        </w:rPr>
        <w:t>’</w:t>
      </w:r>
      <w:r w:rsidRPr="00DB5AAF">
        <w:rPr>
          <w:rFonts w:cs="Times New Roman"/>
          <w:lang w:val="fr-CA"/>
        </w:rPr>
        <w:t xml:space="preserve">à leur expiration. </w:t>
      </w:r>
    </w:p>
    <w:p w:rsidR="00784AD2" w:rsidRPr="00DB5AAF" w:rsidRDefault="00784AD2" w:rsidP="005C77BD">
      <w:pPr>
        <w:pStyle w:val="ParaNoNdepar-AltN"/>
        <w:rPr>
          <w:rFonts w:cs="Times New Roman"/>
          <w:lang w:val="fr-CA"/>
        </w:rPr>
      </w:pPr>
      <w:r w:rsidRPr="00DB5AAF">
        <w:rPr>
          <w:rFonts w:cs="Times New Roman"/>
          <w:lang w:val="fr-CA"/>
        </w:rPr>
        <w:t>PRC a demandé au CN d</w:t>
      </w:r>
      <w:r>
        <w:rPr>
          <w:rFonts w:cs="Times New Roman"/>
          <w:lang w:val="fr-CA"/>
        </w:rPr>
        <w:t>’</w:t>
      </w:r>
      <w:r w:rsidRPr="00DB5AAF">
        <w:rPr>
          <w:rFonts w:cs="Times New Roman"/>
          <w:lang w:val="fr-CA"/>
        </w:rPr>
        <w:t>appliquer dès le 1</w:t>
      </w:r>
      <w:r w:rsidRPr="00DB5AAF">
        <w:rPr>
          <w:rFonts w:cs="Times New Roman"/>
          <w:vertAlign w:val="superscript"/>
          <w:lang w:val="fr-CA"/>
        </w:rPr>
        <w:t>er</w:t>
      </w:r>
      <w:r>
        <w:rPr>
          <w:rFonts w:cs="Times New Roman"/>
          <w:lang w:val="fr-CA"/>
        </w:rPr>
        <w:t xml:space="preserve"> </w:t>
      </w:r>
      <w:r w:rsidRPr="00DB5AAF">
        <w:rPr>
          <w:rFonts w:cs="Times New Roman"/>
          <w:lang w:val="fr-CA"/>
        </w:rPr>
        <w:t>avril 2008 le tarif</w:t>
      </w:r>
      <w:r>
        <w:rPr>
          <w:rFonts w:cs="Times New Roman"/>
          <w:lang w:val="fr-CA"/>
        </w:rPr>
        <w:t xml:space="preserve"> </w:t>
      </w:r>
      <w:r w:rsidRPr="00DB5AAF">
        <w:rPr>
          <w:rFonts w:cs="Times New Roman"/>
          <w:lang w:val="fr-CA"/>
        </w:rPr>
        <w:t>7403 aux services de transport qu</w:t>
      </w:r>
      <w:r>
        <w:rPr>
          <w:rFonts w:cs="Times New Roman"/>
          <w:lang w:val="fr-CA"/>
        </w:rPr>
        <w:t>’</w:t>
      </w:r>
      <w:r w:rsidRPr="00DB5AAF">
        <w:rPr>
          <w:rFonts w:cs="Times New Roman"/>
          <w:lang w:val="fr-CA"/>
        </w:rPr>
        <w:t>elle obtenait, mais le CN a refusé.</w:t>
      </w:r>
    </w:p>
    <w:p w:rsidR="00784AD2" w:rsidRPr="00DB5AAF" w:rsidRDefault="00784AD2" w:rsidP="005C77BD">
      <w:pPr>
        <w:pStyle w:val="ParaNoNdepar-AltN"/>
        <w:rPr>
          <w:rFonts w:cs="Times New Roman"/>
          <w:lang w:val="fr-CA"/>
        </w:rPr>
      </w:pPr>
      <w:r w:rsidRPr="00DB5AAF">
        <w:rPr>
          <w:rFonts w:cs="Times New Roman"/>
          <w:lang w:val="fr-CA"/>
        </w:rPr>
        <w:t>Le 22</w:t>
      </w:r>
      <w:r>
        <w:rPr>
          <w:rFonts w:cs="Times New Roman"/>
          <w:lang w:val="fr-CA"/>
        </w:rPr>
        <w:t xml:space="preserve"> </w:t>
      </w:r>
      <w:r w:rsidRPr="00DB5AAF">
        <w:rPr>
          <w:rFonts w:cs="Times New Roman"/>
          <w:lang w:val="fr-CA"/>
        </w:rPr>
        <w:t>avril 2008, PRC a demandé à l</w:t>
      </w:r>
      <w:r>
        <w:rPr>
          <w:rFonts w:cs="Times New Roman"/>
          <w:lang w:val="fr-CA"/>
        </w:rPr>
        <w:t>’</w:t>
      </w:r>
      <w:r w:rsidRPr="00DB5AAF">
        <w:rPr>
          <w:rFonts w:cs="Times New Roman"/>
          <w:lang w:val="fr-CA"/>
        </w:rPr>
        <w:t>Office, en vertu de l</w:t>
      </w:r>
      <w:r>
        <w:rPr>
          <w:rFonts w:cs="Times New Roman"/>
          <w:lang w:val="fr-CA"/>
        </w:rPr>
        <w:t xml:space="preserve">’art. </w:t>
      </w:r>
      <w:r w:rsidRPr="00DB5AAF">
        <w:rPr>
          <w:rFonts w:cs="Times New Roman"/>
          <w:lang w:val="fr-CA"/>
        </w:rPr>
        <w:t xml:space="preserve">120.1 de la </w:t>
      </w:r>
      <w:r w:rsidRPr="00DB5AAF">
        <w:rPr>
          <w:rFonts w:cs="Times New Roman"/>
          <w:i/>
          <w:lang w:val="fr-CA"/>
        </w:rPr>
        <w:t>Loi</w:t>
      </w:r>
      <w:r w:rsidRPr="00DB5AAF">
        <w:rPr>
          <w:rFonts w:cs="Times New Roman"/>
          <w:lang w:val="fr-CA"/>
        </w:rPr>
        <w:t>, de rendre une ordonnance fixant un supplément carburant raisonnable pour les services de transport qu</w:t>
      </w:r>
      <w:r>
        <w:rPr>
          <w:rFonts w:cs="Times New Roman"/>
          <w:lang w:val="fr-CA"/>
        </w:rPr>
        <w:t>’</w:t>
      </w:r>
      <w:r w:rsidRPr="00DB5AAF">
        <w:rPr>
          <w:rFonts w:cs="Times New Roman"/>
          <w:lang w:val="fr-CA"/>
        </w:rPr>
        <w:t>elle obtenait du CN.  Elle a demandé à l</w:t>
      </w:r>
      <w:r>
        <w:rPr>
          <w:rFonts w:cs="Times New Roman"/>
          <w:lang w:val="fr-CA"/>
        </w:rPr>
        <w:t>’</w:t>
      </w:r>
      <w:r w:rsidRPr="00DB5AAF">
        <w:rPr>
          <w:rFonts w:cs="Times New Roman"/>
          <w:lang w:val="fr-CA"/>
        </w:rPr>
        <w:t>Office d</w:t>
      </w:r>
      <w:r>
        <w:rPr>
          <w:rFonts w:cs="Times New Roman"/>
          <w:lang w:val="fr-CA"/>
        </w:rPr>
        <w:t>’</w:t>
      </w:r>
      <w:r w:rsidRPr="00DB5AAF">
        <w:rPr>
          <w:rFonts w:cs="Times New Roman"/>
          <w:lang w:val="fr-CA"/>
        </w:rPr>
        <w:t>obliger le CN à modifier les frais prescrits par le tarif</w:t>
      </w:r>
      <w:r>
        <w:rPr>
          <w:rFonts w:cs="Times New Roman"/>
          <w:lang w:val="fr-CA"/>
        </w:rPr>
        <w:t xml:space="preserve"> </w:t>
      </w:r>
      <w:r w:rsidRPr="00DB5AAF">
        <w:rPr>
          <w:rFonts w:cs="Times New Roman"/>
          <w:lang w:val="fr-CA"/>
        </w:rPr>
        <w:t xml:space="preserve">7402 de façon à les faire correspondre à </w:t>
      </w:r>
      <w:r w:rsidRPr="00DB5AAF">
        <w:rPr>
          <w:rFonts w:cs="Times New Roman"/>
          <w:lang w:val="fr-CA"/>
        </w:rPr>
        <w:lastRenderedPageBreak/>
        <w:t>ceux que prévoyait le tarif</w:t>
      </w:r>
      <w:r>
        <w:rPr>
          <w:rFonts w:cs="Times New Roman"/>
          <w:lang w:val="fr-CA"/>
        </w:rPr>
        <w:t xml:space="preserve"> </w:t>
      </w:r>
      <w:r w:rsidRPr="00DB5AAF">
        <w:rPr>
          <w:rFonts w:cs="Times New Roman"/>
          <w:lang w:val="fr-CA"/>
        </w:rPr>
        <w:t>7403, c</w:t>
      </w:r>
      <w:r>
        <w:rPr>
          <w:rFonts w:cs="Times New Roman"/>
          <w:lang w:val="fr-CA"/>
        </w:rPr>
        <w:t>’</w:t>
      </w:r>
      <w:r w:rsidRPr="00DB5AAF">
        <w:rPr>
          <w:rFonts w:cs="Times New Roman"/>
          <w:lang w:val="fr-CA"/>
        </w:rPr>
        <w:t>est</w:t>
      </w:r>
      <w:r>
        <w:rPr>
          <w:rFonts w:cs="Times New Roman"/>
          <w:lang w:val="fr-CA"/>
        </w:rPr>
        <w:t>-</w:t>
      </w:r>
      <w:r w:rsidRPr="00DB5AAF">
        <w:rPr>
          <w:rFonts w:cs="Times New Roman"/>
          <w:lang w:val="fr-CA"/>
        </w:rPr>
        <w:t>à</w:t>
      </w:r>
      <w:r>
        <w:rPr>
          <w:rFonts w:cs="Times New Roman"/>
          <w:lang w:val="fr-CA"/>
        </w:rPr>
        <w:t>-</w:t>
      </w:r>
      <w:r w:rsidRPr="00DB5AAF">
        <w:rPr>
          <w:rFonts w:cs="Times New Roman"/>
          <w:lang w:val="fr-CA"/>
        </w:rPr>
        <w:t>dire d</w:t>
      </w:r>
      <w:r>
        <w:rPr>
          <w:rFonts w:cs="Times New Roman"/>
          <w:lang w:val="fr-CA"/>
        </w:rPr>
        <w:t>’</w:t>
      </w:r>
      <w:r w:rsidRPr="00DB5AAF">
        <w:rPr>
          <w:rFonts w:cs="Times New Roman"/>
          <w:lang w:val="fr-CA"/>
        </w:rPr>
        <w:t>ordonner que les taux prévus aux termes du contrat confidentiel concernant le transport de son charbon depuis le terminal de Trend jusqu</w:t>
      </w:r>
      <w:r>
        <w:rPr>
          <w:rFonts w:cs="Times New Roman"/>
          <w:lang w:val="fr-CA"/>
        </w:rPr>
        <w:t>’</w:t>
      </w:r>
      <w:r w:rsidRPr="00DB5AAF">
        <w:rPr>
          <w:rFonts w:cs="Times New Roman"/>
          <w:lang w:val="fr-CA"/>
        </w:rPr>
        <w:t xml:space="preserve">à Ridley </w:t>
      </w:r>
      <w:proofErr w:type="spellStart"/>
      <w:r w:rsidRPr="00DB5AAF">
        <w:rPr>
          <w:rFonts w:cs="Times New Roman"/>
          <w:lang w:val="fr-CA"/>
        </w:rPr>
        <w:t>Terminals</w:t>
      </w:r>
      <w:proofErr w:type="spellEnd"/>
      <w:r w:rsidRPr="00DB5AAF">
        <w:rPr>
          <w:rFonts w:cs="Times New Roman"/>
          <w:lang w:val="fr-CA"/>
        </w:rPr>
        <w:t>, ne soient pas assujettis à un supplément carburant avant que le seuil soit égal ou supérieur à 2,30</w:t>
      </w:r>
      <w:r>
        <w:rPr>
          <w:rFonts w:cs="Times New Roman"/>
          <w:lang w:val="fr-CA"/>
        </w:rPr>
        <w:t xml:space="preserve"> $</w:t>
      </w:r>
      <w:r w:rsidR="008A7826">
        <w:rPr>
          <w:rFonts w:cs="Times New Roman"/>
          <w:lang w:val="fr-CA"/>
        </w:rPr>
        <w:t xml:space="preserve"> </w:t>
      </w:r>
      <w:r w:rsidRPr="00DB5AAF">
        <w:rPr>
          <w:rFonts w:cs="Times New Roman"/>
          <w:lang w:val="fr-CA"/>
        </w:rPr>
        <w:t xml:space="preserve">US le gallon. </w:t>
      </w:r>
    </w:p>
    <w:p w:rsidR="00784AD2" w:rsidRPr="00DB5AAF" w:rsidRDefault="00784AD2" w:rsidP="005C77BD">
      <w:pPr>
        <w:pStyle w:val="ParaNoNdepar-AltN"/>
        <w:rPr>
          <w:rFonts w:cs="Times New Roman"/>
          <w:lang w:val="fr-CA"/>
        </w:rPr>
      </w:pPr>
      <w:r w:rsidRPr="00DB5AAF">
        <w:rPr>
          <w:rFonts w:cs="Times New Roman"/>
          <w:lang w:val="fr-CA"/>
        </w:rPr>
        <w:t>Saisi d</w:t>
      </w:r>
      <w:r>
        <w:rPr>
          <w:rFonts w:cs="Times New Roman"/>
          <w:lang w:val="fr-CA"/>
        </w:rPr>
        <w:t>’</w:t>
      </w:r>
      <w:r w:rsidRPr="00DB5AAF">
        <w:rPr>
          <w:rFonts w:cs="Times New Roman"/>
          <w:lang w:val="fr-CA"/>
        </w:rPr>
        <w:t>une requête du CN, l</w:t>
      </w:r>
      <w:r>
        <w:rPr>
          <w:rFonts w:cs="Times New Roman"/>
          <w:lang w:val="fr-CA"/>
        </w:rPr>
        <w:t>’</w:t>
      </w:r>
      <w:r w:rsidRPr="00DB5AAF">
        <w:rPr>
          <w:rFonts w:cs="Times New Roman"/>
          <w:lang w:val="fr-CA"/>
        </w:rPr>
        <w:t>Office a rejeté la demande de PRC au motif que cette dernière lui demandait de modifier son contrat confidentiel, ce que l</w:t>
      </w:r>
      <w:r>
        <w:rPr>
          <w:rFonts w:cs="Times New Roman"/>
          <w:lang w:val="fr-CA"/>
        </w:rPr>
        <w:t>’</w:t>
      </w:r>
      <w:r w:rsidRPr="00DB5AAF">
        <w:rPr>
          <w:rFonts w:cs="Times New Roman"/>
          <w:lang w:val="fr-CA"/>
        </w:rPr>
        <w:t>Office affirmait ne pas avoir le pouvoir de faire.  PRC n</w:t>
      </w:r>
      <w:r>
        <w:rPr>
          <w:rFonts w:cs="Times New Roman"/>
          <w:lang w:val="fr-CA"/>
        </w:rPr>
        <w:t>’</w:t>
      </w:r>
      <w:r w:rsidRPr="00DB5AAF">
        <w:rPr>
          <w:rFonts w:cs="Times New Roman"/>
          <w:lang w:val="fr-CA"/>
        </w:rPr>
        <w:t>a pas demandé l</w:t>
      </w:r>
      <w:r>
        <w:rPr>
          <w:rFonts w:cs="Times New Roman"/>
          <w:lang w:val="fr-CA"/>
        </w:rPr>
        <w:t>’</w:t>
      </w:r>
      <w:r w:rsidRPr="00DB5AAF">
        <w:rPr>
          <w:rFonts w:cs="Times New Roman"/>
          <w:lang w:val="fr-CA"/>
        </w:rPr>
        <w:t>autorisation d</w:t>
      </w:r>
      <w:r>
        <w:rPr>
          <w:rFonts w:cs="Times New Roman"/>
          <w:lang w:val="fr-CA"/>
        </w:rPr>
        <w:t>’</w:t>
      </w:r>
      <w:r w:rsidRPr="00DB5AAF">
        <w:rPr>
          <w:rFonts w:cs="Times New Roman"/>
          <w:lang w:val="fr-CA"/>
        </w:rPr>
        <w:t>interjeter appel de cette décision auprès de la Cour d</w:t>
      </w:r>
      <w:r>
        <w:rPr>
          <w:rFonts w:cs="Times New Roman"/>
          <w:lang w:val="fr-CA"/>
        </w:rPr>
        <w:t>’</w:t>
      </w:r>
      <w:r w:rsidRPr="00DB5AAF">
        <w:rPr>
          <w:rFonts w:cs="Times New Roman"/>
          <w:lang w:val="fr-CA"/>
        </w:rPr>
        <w:t>appel fédérale, même s</w:t>
      </w:r>
      <w:r>
        <w:rPr>
          <w:rFonts w:cs="Times New Roman"/>
          <w:lang w:val="fr-CA"/>
        </w:rPr>
        <w:t>’</w:t>
      </w:r>
      <w:r w:rsidRPr="00DB5AAF">
        <w:rPr>
          <w:rFonts w:cs="Times New Roman"/>
          <w:lang w:val="fr-CA"/>
        </w:rPr>
        <w:t>il lui était loisible de le faire aux termes de l</w:t>
      </w:r>
      <w:r>
        <w:rPr>
          <w:rFonts w:cs="Times New Roman"/>
          <w:lang w:val="fr-CA"/>
        </w:rPr>
        <w:t xml:space="preserve">’art. </w:t>
      </w:r>
      <w:r w:rsidRPr="00DB5AAF">
        <w:rPr>
          <w:rFonts w:cs="Times New Roman"/>
          <w:lang w:val="fr-CA"/>
        </w:rPr>
        <w:t xml:space="preserve">41 de la </w:t>
      </w:r>
      <w:r w:rsidRPr="00DB5AAF">
        <w:rPr>
          <w:rFonts w:cs="Times New Roman"/>
          <w:i/>
          <w:lang w:val="fr-CA"/>
        </w:rPr>
        <w:t>Loi</w:t>
      </w:r>
      <w:r w:rsidRPr="00DB5AAF">
        <w:rPr>
          <w:rFonts w:cs="Times New Roman"/>
          <w:lang w:val="fr-CA"/>
        </w:rPr>
        <w:t>, lequel prévoit un droit d</w:t>
      </w:r>
      <w:r>
        <w:rPr>
          <w:rFonts w:cs="Times New Roman"/>
          <w:lang w:val="fr-CA"/>
        </w:rPr>
        <w:t>’</w:t>
      </w:r>
      <w:r w:rsidRPr="00DB5AAF">
        <w:rPr>
          <w:rFonts w:cs="Times New Roman"/>
          <w:lang w:val="fr-CA"/>
        </w:rPr>
        <w:t>appel, avec l</w:t>
      </w:r>
      <w:r>
        <w:rPr>
          <w:rFonts w:cs="Times New Roman"/>
          <w:lang w:val="fr-CA"/>
        </w:rPr>
        <w:t>’</w:t>
      </w:r>
      <w:r w:rsidRPr="00DB5AAF">
        <w:rPr>
          <w:rFonts w:cs="Times New Roman"/>
          <w:lang w:val="fr-CA"/>
        </w:rPr>
        <w:t>autorisation de la cour, sur une question de droit ou de compétence à la suite d</w:t>
      </w:r>
      <w:r>
        <w:rPr>
          <w:rFonts w:cs="Times New Roman"/>
          <w:lang w:val="fr-CA"/>
        </w:rPr>
        <w:t>’</w:t>
      </w:r>
      <w:r w:rsidRPr="00DB5AAF">
        <w:rPr>
          <w:rFonts w:cs="Times New Roman"/>
          <w:lang w:val="fr-CA"/>
        </w:rPr>
        <w:t>une demande présentée dans le mois suivant la date de la décision de l</w:t>
      </w:r>
      <w:r>
        <w:rPr>
          <w:rFonts w:cs="Times New Roman"/>
          <w:lang w:val="fr-CA"/>
        </w:rPr>
        <w:t>’</w:t>
      </w:r>
      <w:r w:rsidRPr="00DB5AAF">
        <w:rPr>
          <w:rFonts w:cs="Times New Roman"/>
          <w:lang w:val="fr-CA"/>
        </w:rPr>
        <w:t>Office.</w:t>
      </w:r>
    </w:p>
    <w:p w:rsidR="00784AD2" w:rsidRPr="00DB5AAF" w:rsidRDefault="00784AD2" w:rsidP="005C77BD">
      <w:pPr>
        <w:pStyle w:val="ParaNoNdepar-AltN"/>
        <w:rPr>
          <w:rFonts w:cs="Times New Roman"/>
          <w:lang w:val="fr-CA"/>
        </w:rPr>
      </w:pPr>
      <w:r w:rsidRPr="00DB5AAF">
        <w:rPr>
          <w:rFonts w:cs="Times New Roman"/>
          <w:lang w:val="fr-CA"/>
        </w:rPr>
        <w:t>Six mois après la décision de l</w:t>
      </w:r>
      <w:r>
        <w:rPr>
          <w:rFonts w:cs="Times New Roman"/>
          <w:lang w:val="fr-CA"/>
        </w:rPr>
        <w:t>’</w:t>
      </w:r>
      <w:r w:rsidRPr="00DB5AAF">
        <w:rPr>
          <w:rFonts w:cs="Times New Roman"/>
          <w:lang w:val="fr-CA"/>
        </w:rPr>
        <w:t>Office, l</w:t>
      </w:r>
      <w:r>
        <w:rPr>
          <w:rFonts w:cs="Times New Roman"/>
          <w:lang w:val="fr-CA"/>
        </w:rPr>
        <w:t>’</w:t>
      </w:r>
      <w:r w:rsidRPr="00DB5AAF">
        <w:rPr>
          <w:rFonts w:cs="Times New Roman"/>
          <w:lang w:val="fr-CA"/>
        </w:rPr>
        <w:t>Association canadienne de transport industriel (</w:t>
      </w:r>
      <w:r>
        <w:rPr>
          <w:rFonts w:cs="Times New Roman"/>
          <w:lang w:val="fr-CA"/>
        </w:rPr>
        <w:t>« </w:t>
      </w:r>
      <w:r w:rsidRPr="00DB5AAF">
        <w:rPr>
          <w:rFonts w:cs="Times New Roman"/>
          <w:lang w:val="fr-CA"/>
        </w:rPr>
        <w:t>ACTI</w:t>
      </w:r>
      <w:r>
        <w:rPr>
          <w:rFonts w:cs="Times New Roman"/>
          <w:lang w:val="fr-CA"/>
        </w:rPr>
        <w:t> »</w:t>
      </w:r>
      <w:r w:rsidRPr="00DB5AAF">
        <w:rPr>
          <w:rFonts w:cs="Times New Roman"/>
          <w:lang w:val="fr-CA"/>
        </w:rPr>
        <w:t>), une association commerciale représentant les intérêts des expéditeurs, a demandé par voie de requête au gouverneur en conseil de modifier la décision de l</w:t>
      </w:r>
      <w:r>
        <w:rPr>
          <w:rFonts w:cs="Times New Roman"/>
          <w:lang w:val="fr-CA"/>
        </w:rPr>
        <w:t>’</w:t>
      </w:r>
      <w:r w:rsidRPr="00DB5AAF">
        <w:rPr>
          <w:rFonts w:cs="Times New Roman"/>
          <w:lang w:val="fr-CA"/>
        </w:rPr>
        <w:t>Office en vertu de l</w:t>
      </w:r>
      <w:r>
        <w:rPr>
          <w:rFonts w:cs="Times New Roman"/>
          <w:lang w:val="fr-CA"/>
        </w:rPr>
        <w:t xml:space="preserve">’art. </w:t>
      </w:r>
      <w:r w:rsidRPr="00DB5AAF">
        <w:rPr>
          <w:rFonts w:cs="Times New Roman"/>
          <w:lang w:val="fr-CA"/>
        </w:rPr>
        <w:t xml:space="preserve">40 de la </w:t>
      </w:r>
      <w:r w:rsidRPr="00DB5AAF">
        <w:rPr>
          <w:rFonts w:cs="Times New Roman"/>
          <w:i/>
          <w:lang w:val="fr-CA"/>
        </w:rPr>
        <w:t>Loi</w:t>
      </w:r>
      <w:r w:rsidRPr="00DB5AAF">
        <w:rPr>
          <w:rFonts w:cs="Times New Roman"/>
          <w:lang w:val="fr-CA"/>
        </w:rPr>
        <w:t>.  PRC est membre de l</w:t>
      </w:r>
      <w:r>
        <w:rPr>
          <w:rFonts w:cs="Times New Roman"/>
          <w:lang w:val="fr-CA"/>
        </w:rPr>
        <w:t>’</w:t>
      </w:r>
      <w:r w:rsidRPr="00DB5AAF">
        <w:rPr>
          <w:rFonts w:cs="Times New Roman"/>
          <w:lang w:val="fr-CA"/>
        </w:rPr>
        <w:t>ACTI.  Cette dernière a demandé au gouverneur en conseil d</w:t>
      </w:r>
      <w:r>
        <w:rPr>
          <w:rFonts w:cs="Times New Roman"/>
          <w:lang w:val="fr-CA"/>
        </w:rPr>
        <w:t>’</w:t>
      </w:r>
      <w:r w:rsidRPr="00DB5AAF">
        <w:rPr>
          <w:rFonts w:cs="Times New Roman"/>
          <w:lang w:val="fr-CA"/>
        </w:rPr>
        <w:t>ordonner à l</w:t>
      </w:r>
      <w:r>
        <w:rPr>
          <w:rFonts w:cs="Times New Roman"/>
          <w:lang w:val="fr-CA"/>
        </w:rPr>
        <w:t>’</w:t>
      </w:r>
      <w:r w:rsidRPr="00DB5AAF">
        <w:rPr>
          <w:rFonts w:cs="Times New Roman"/>
          <w:lang w:val="fr-CA"/>
        </w:rPr>
        <w:t>Office de considérer que le contrat confidentiel passé entre PRC et le CN n</w:t>
      </w:r>
      <w:r>
        <w:rPr>
          <w:rFonts w:cs="Times New Roman"/>
          <w:lang w:val="fr-CA"/>
        </w:rPr>
        <w:t>’</w:t>
      </w:r>
      <w:r w:rsidRPr="00DB5AAF">
        <w:rPr>
          <w:rFonts w:cs="Times New Roman"/>
          <w:lang w:val="fr-CA"/>
        </w:rPr>
        <w:t>empêchait pas l</w:t>
      </w:r>
      <w:r>
        <w:rPr>
          <w:rFonts w:cs="Times New Roman"/>
          <w:lang w:val="fr-CA"/>
        </w:rPr>
        <w:t>’</w:t>
      </w:r>
      <w:r w:rsidRPr="00DB5AAF">
        <w:rPr>
          <w:rFonts w:cs="Times New Roman"/>
          <w:lang w:val="fr-CA"/>
        </w:rPr>
        <w:t>Office de déterminer si le supplément carburant prévu au tarif</w:t>
      </w:r>
      <w:r>
        <w:rPr>
          <w:rFonts w:cs="Times New Roman"/>
          <w:lang w:val="fr-CA"/>
        </w:rPr>
        <w:t xml:space="preserve"> </w:t>
      </w:r>
      <w:r w:rsidRPr="00DB5AAF">
        <w:rPr>
          <w:rFonts w:cs="Times New Roman"/>
          <w:lang w:val="fr-CA"/>
        </w:rPr>
        <w:t>7402 était raisonnable.  Le 10</w:t>
      </w:r>
      <w:r>
        <w:rPr>
          <w:rFonts w:cs="Times New Roman"/>
          <w:lang w:val="fr-CA"/>
        </w:rPr>
        <w:t xml:space="preserve"> </w:t>
      </w:r>
      <w:r w:rsidRPr="00DB5AAF">
        <w:rPr>
          <w:rFonts w:cs="Times New Roman"/>
          <w:lang w:val="fr-CA"/>
        </w:rPr>
        <w:t>juin 2010, le gouverneur en conseil a annulé la décision de l</w:t>
      </w:r>
      <w:r>
        <w:rPr>
          <w:rFonts w:cs="Times New Roman"/>
          <w:lang w:val="fr-CA"/>
        </w:rPr>
        <w:t>’</w:t>
      </w:r>
      <w:r w:rsidRPr="00DB5AAF">
        <w:rPr>
          <w:rFonts w:cs="Times New Roman"/>
          <w:lang w:val="fr-CA"/>
        </w:rPr>
        <w:t>Office.</w:t>
      </w:r>
    </w:p>
    <w:p w:rsidR="00784AD2" w:rsidRPr="00DB5AAF" w:rsidRDefault="00784AD2" w:rsidP="005C77BD">
      <w:pPr>
        <w:pStyle w:val="Title1LevelTitre1Niveau-AltL"/>
        <w:rPr>
          <w:rFonts w:cs="Times New Roman"/>
          <w:lang w:val="fr-CA"/>
        </w:rPr>
      </w:pPr>
      <w:r w:rsidRPr="00DB5AAF">
        <w:rPr>
          <w:rFonts w:cs="Times New Roman"/>
          <w:lang w:val="fr-CA"/>
        </w:rPr>
        <w:lastRenderedPageBreak/>
        <w:t>Dispositions législatives applicables</w:t>
      </w:r>
    </w:p>
    <w:p w:rsidR="00784AD2" w:rsidRPr="00DB5AAF" w:rsidRDefault="00784AD2" w:rsidP="005C77BD">
      <w:pPr>
        <w:pStyle w:val="ParaNoNdepar-AltN"/>
        <w:rPr>
          <w:rFonts w:cs="Times New Roman"/>
          <w:lang w:val="fr-CA"/>
        </w:rPr>
      </w:pPr>
      <w:r w:rsidRPr="00DB5AAF">
        <w:rPr>
          <w:rFonts w:cs="Times New Roman"/>
          <w:lang w:val="fr-CA"/>
        </w:rPr>
        <w:t>Les dispositions législatives applicables figurent à l</w:t>
      </w:r>
      <w:r>
        <w:rPr>
          <w:rFonts w:cs="Times New Roman"/>
          <w:lang w:val="fr-CA"/>
        </w:rPr>
        <w:t>’</w:t>
      </w:r>
      <w:r w:rsidRPr="00DB5AAF">
        <w:rPr>
          <w:rFonts w:cs="Times New Roman"/>
          <w:lang w:val="fr-CA"/>
        </w:rPr>
        <w:t xml:space="preserve">annexe.  Les </w:t>
      </w:r>
      <w:r>
        <w:rPr>
          <w:rFonts w:cs="Times New Roman"/>
          <w:lang w:val="fr-CA"/>
        </w:rPr>
        <w:t>art</w:t>
      </w:r>
      <w:r w:rsidR="00BF7A2A">
        <w:rPr>
          <w:rFonts w:cs="Times New Roman"/>
          <w:lang w:val="fr-CA"/>
        </w:rPr>
        <w:t>icles</w:t>
      </w:r>
      <w:r>
        <w:rPr>
          <w:rFonts w:cs="Times New Roman"/>
          <w:lang w:val="fr-CA"/>
        </w:rPr>
        <w:t xml:space="preserve"> </w:t>
      </w:r>
      <w:r w:rsidRPr="00DB5AAF">
        <w:rPr>
          <w:rFonts w:cs="Times New Roman"/>
          <w:lang w:val="fr-CA"/>
        </w:rPr>
        <w:t xml:space="preserve">40, 41 et 120.1 de la </w:t>
      </w:r>
      <w:r w:rsidRPr="00DB5AAF">
        <w:rPr>
          <w:rFonts w:cs="Times New Roman"/>
          <w:i/>
          <w:lang w:val="fr-CA"/>
        </w:rPr>
        <w:t>Loi</w:t>
      </w:r>
      <w:r w:rsidRPr="00DB5AAF">
        <w:rPr>
          <w:rFonts w:cs="Times New Roman"/>
          <w:lang w:val="fr-CA"/>
        </w:rPr>
        <w:t xml:space="preserve"> sont plus directement en cause en l</w:t>
      </w:r>
      <w:r>
        <w:rPr>
          <w:rFonts w:cs="Times New Roman"/>
          <w:lang w:val="fr-CA"/>
        </w:rPr>
        <w:t>’</w:t>
      </w:r>
      <w:r w:rsidRPr="00DB5AAF">
        <w:rPr>
          <w:rFonts w:cs="Times New Roman"/>
          <w:lang w:val="fr-CA"/>
        </w:rPr>
        <w:t>espèce.</w:t>
      </w:r>
    </w:p>
    <w:p w:rsidR="00784AD2" w:rsidRPr="00DB5AAF" w:rsidRDefault="00784AD2" w:rsidP="005C77BD">
      <w:pPr>
        <w:pStyle w:val="Title1LevelTitre1Niveau-AltL"/>
        <w:rPr>
          <w:rFonts w:cs="Times New Roman"/>
          <w:lang w:val="fr-CA"/>
        </w:rPr>
      </w:pPr>
      <w:r w:rsidRPr="00DB5AAF">
        <w:rPr>
          <w:rFonts w:cs="Times New Roman"/>
          <w:lang w:val="fr-CA"/>
        </w:rPr>
        <w:t>Décisions administratives</w:t>
      </w:r>
    </w:p>
    <w:p w:rsidR="00784AD2" w:rsidRPr="00DB5AAF" w:rsidRDefault="00784AD2" w:rsidP="005C77BD">
      <w:pPr>
        <w:pStyle w:val="Title2LevelTitre2Niveau"/>
        <w:rPr>
          <w:rFonts w:cs="Times New Roman"/>
          <w:lang w:val="fr-CA"/>
        </w:rPr>
      </w:pPr>
      <w:r w:rsidRPr="00DB5AAF">
        <w:rPr>
          <w:rFonts w:cs="Times New Roman"/>
          <w:lang w:val="fr-CA"/>
        </w:rPr>
        <w:t>Décision de l</w:t>
      </w:r>
      <w:r>
        <w:rPr>
          <w:rFonts w:cs="Times New Roman"/>
          <w:lang w:val="fr-CA"/>
        </w:rPr>
        <w:t>’</w:t>
      </w:r>
      <w:r w:rsidRPr="00DB5AAF">
        <w:rPr>
          <w:rFonts w:cs="Times New Roman"/>
          <w:lang w:val="fr-CA"/>
        </w:rPr>
        <w:t>Office</w:t>
      </w:r>
    </w:p>
    <w:p w:rsidR="00784AD2" w:rsidRPr="00DB5AAF" w:rsidRDefault="00784AD2" w:rsidP="005C77BD">
      <w:pPr>
        <w:pStyle w:val="ParaNoNdepar-AltN"/>
        <w:rPr>
          <w:rFonts w:cs="Times New Roman"/>
          <w:lang w:val="fr-CA"/>
        </w:rPr>
      </w:pPr>
      <w:r w:rsidRPr="00DB5AAF">
        <w:rPr>
          <w:rFonts w:cs="Times New Roman"/>
          <w:lang w:val="fr-CA"/>
        </w:rPr>
        <w:t>Le CN a présenté à l</w:t>
      </w:r>
      <w:r>
        <w:rPr>
          <w:rFonts w:cs="Times New Roman"/>
          <w:lang w:val="fr-CA"/>
        </w:rPr>
        <w:t>’</w:t>
      </w:r>
      <w:r w:rsidRPr="00DB5AAF">
        <w:rPr>
          <w:rFonts w:cs="Times New Roman"/>
          <w:lang w:val="fr-CA"/>
        </w:rPr>
        <w:t>Office une requête préliminaire visant à faire rejeter la demande de PRC pour deux motifs</w:t>
      </w:r>
      <w:r>
        <w:rPr>
          <w:rFonts w:cs="Times New Roman"/>
          <w:lang w:val="fr-CA"/>
        </w:rPr>
        <w:t> :</w:t>
      </w:r>
      <w:r w:rsidRPr="00DB5AAF">
        <w:rPr>
          <w:rFonts w:cs="Times New Roman"/>
          <w:lang w:val="fr-CA"/>
        </w:rPr>
        <w:t xml:space="preserve"> </w:t>
      </w:r>
      <w:r w:rsidR="00BF7A2A">
        <w:rPr>
          <w:rFonts w:cs="Times New Roman"/>
          <w:lang w:val="fr-CA"/>
        </w:rPr>
        <w:t>(</w:t>
      </w:r>
      <w:r w:rsidRPr="00DB5AAF">
        <w:rPr>
          <w:rFonts w:cs="Times New Roman"/>
          <w:lang w:val="fr-CA"/>
        </w:rPr>
        <w:t>1)</w:t>
      </w:r>
      <w:r>
        <w:rPr>
          <w:rFonts w:cs="Times New Roman"/>
          <w:lang w:val="fr-CA"/>
        </w:rPr>
        <w:t xml:space="preserve"> </w:t>
      </w:r>
      <w:r w:rsidRPr="00DB5AAF">
        <w:rPr>
          <w:rFonts w:cs="Times New Roman"/>
          <w:lang w:val="fr-CA"/>
        </w:rPr>
        <w:t>l</w:t>
      </w:r>
      <w:r>
        <w:rPr>
          <w:rFonts w:cs="Times New Roman"/>
          <w:lang w:val="fr-CA"/>
        </w:rPr>
        <w:t>’</w:t>
      </w:r>
      <w:r w:rsidRPr="00DB5AAF">
        <w:rPr>
          <w:rFonts w:cs="Times New Roman"/>
          <w:lang w:val="fr-CA"/>
        </w:rPr>
        <w:t>Office n</w:t>
      </w:r>
      <w:r>
        <w:rPr>
          <w:rFonts w:cs="Times New Roman"/>
          <w:lang w:val="fr-CA"/>
        </w:rPr>
        <w:t>’</w:t>
      </w:r>
      <w:r w:rsidRPr="00DB5AAF">
        <w:rPr>
          <w:rFonts w:cs="Times New Roman"/>
          <w:lang w:val="fr-CA"/>
        </w:rPr>
        <w:t>était pas compétent pour modifier les modalités d</w:t>
      </w:r>
      <w:r>
        <w:rPr>
          <w:rFonts w:cs="Times New Roman"/>
          <w:lang w:val="fr-CA"/>
        </w:rPr>
        <w:t>’</w:t>
      </w:r>
      <w:r w:rsidRPr="00DB5AAF">
        <w:rPr>
          <w:rFonts w:cs="Times New Roman"/>
          <w:lang w:val="fr-CA"/>
        </w:rPr>
        <w:t>un contrat confidentiel en vertu de l</w:t>
      </w:r>
      <w:r>
        <w:rPr>
          <w:rFonts w:cs="Times New Roman"/>
          <w:lang w:val="fr-CA"/>
        </w:rPr>
        <w:t xml:space="preserve">’art. </w:t>
      </w:r>
      <w:r w:rsidRPr="00DB5AAF">
        <w:rPr>
          <w:rFonts w:cs="Times New Roman"/>
          <w:lang w:val="fr-CA"/>
        </w:rPr>
        <w:t xml:space="preserve">120.1 de la </w:t>
      </w:r>
      <w:r w:rsidRPr="00DB5AAF">
        <w:rPr>
          <w:rFonts w:cs="Times New Roman"/>
          <w:i/>
          <w:lang w:val="fr-CA"/>
        </w:rPr>
        <w:t>Loi</w:t>
      </w:r>
      <w:r w:rsidRPr="00DB5AAF">
        <w:rPr>
          <w:rFonts w:cs="Times New Roman"/>
          <w:lang w:val="fr-CA"/>
        </w:rPr>
        <w:t xml:space="preserve">; </w:t>
      </w:r>
      <w:r w:rsidR="00BF7A2A">
        <w:rPr>
          <w:rFonts w:cs="Times New Roman"/>
          <w:lang w:val="fr-CA"/>
        </w:rPr>
        <w:t>(</w:t>
      </w:r>
      <w:r w:rsidRPr="00DB5AAF">
        <w:rPr>
          <w:rFonts w:cs="Times New Roman"/>
          <w:lang w:val="fr-CA"/>
        </w:rPr>
        <w:t>2)</w:t>
      </w:r>
      <w:r>
        <w:rPr>
          <w:rFonts w:cs="Times New Roman"/>
          <w:lang w:val="fr-CA"/>
        </w:rPr>
        <w:t xml:space="preserve"> </w:t>
      </w:r>
      <w:r w:rsidRPr="00DB5AAF">
        <w:rPr>
          <w:rFonts w:cs="Times New Roman"/>
          <w:lang w:val="fr-CA"/>
        </w:rPr>
        <w:t xml:space="preserve">le supplément carburant faisait partie du prix relatif au transport, de sorte que le </w:t>
      </w:r>
      <w:r>
        <w:rPr>
          <w:rFonts w:cs="Times New Roman"/>
          <w:lang w:val="fr-CA"/>
        </w:rPr>
        <w:t xml:space="preserve">par. </w:t>
      </w:r>
      <w:r w:rsidRPr="00DB5AAF">
        <w:rPr>
          <w:rFonts w:cs="Times New Roman"/>
          <w:lang w:val="fr-CA"/>
        </w:rPr>
        <w:t>120.1(7) empêchait que le supplément soit révisé en vertu de l</w:t>
      </w:r>
      <w:r>
        <w:rPr>
          <w:rFonts w:cs="Times New Roman"/>
          <w:lang w:val="fr-CA"/>
        </w:rPr>
        <w:t xml:space="preserve">’art. </w:t>
      </w:r>
      <w:r w:rsidRPr="00DB5AAF">
        <w:rPr>
          <w:rFonts w:cs="Times New Roman"/>
          <w:lang w:val="fr-CA"/>
        </w:rPr>
        <w:t xml:space="preserve">120.1 de la </w:t>
      </w:r>
      <w:r w:rsidRPr="00DB5AAF">
        <w:rPr>
          <w:rFonts w:cs="Times New Roman"/>
          <w:i/>
          <w:lang w:val="fr-CA"/>
        </w:rPr>
        <w:t>Loi</w:t>
      </w:r>
      <w:r w:rsidRPr="00DB5AAF">
        <w:rPr>
          <w:rFonts w:cs="Times New Roman"/>
          <w:lang w:val="fr-CA"/>
        </w:rPr>
        <w:t>.</w:t>
      </w:r>
    </w:p>
    <w:p w:rsidR="00784AD2" w:rsidRPr="00DB5AAF" w:rsidRDefault="00784AD2" w:rsidP="005C77BD">
      <w:pPr>
        <w:pStyle w:val="ParaNoNdepar-AltN"/>
        <w:rPr>
          <w:rFonts w:cs="Times New Roman"/>
          <w:lang w:val="fr-CA"/>
        </w:rPr>
      </w:pPr>
      <w:r w:rsidRPr="00DB5AAF">
        <w:rPr>
          <w:rFonts w:cs="Times New Roman"/>
          <w:lang w:val="fr-CA"/>
        </w:rPr>
        <w:t>L</w:t>
      </w:r>
      <w:r>
        <w:rPr>
          <w:rFonts w:cs="Times New Roman"/>
          <w:lang w:val="fr-CA"/>
        </w:rPr>
        <w:t>’</w:t>
      </w:r>
      <w:r w:rsidRPr="00DB5AAF">
        <w:rPr>
          <w:rFonts w:cs="Times New Roman"/>
          <w:lang w:val="fr-CA"/>
        </w:rPr>
        <w:t>Office a conclu que PRC demandait que le supplément carburant prévu au contrat soit modifié pour qu</w:t>
      </w:r>
      <w:r>
        <w:rPr>
          <w:rFonts w:cs="Times New Roman"/>
          <w:lang w:val="fr-CA"/>
        </w:rPr>
        <w:t>’</w:t>
      </w:r>
      <w:r w:rsidRPr="00DB5AAF">
        <w:rPr>
          <w:rFonts w:cs="Times New Roman"/>
          <w:lang w:val="fr-CA"/>
        </w:rPr>
        <w:t xml:space="preserve">il corresponde à un supplément carburant différent. </w:t>
      </w:r>
    </w:p>
    <w:p w:rsidR="00784AD2" w:rsidRPr="00DB5AAF" w:rsidRDefault="00784AD2" w:rsidP="005C77BD">
      <w:pPr>
        <w:pStyle w:val="ParaNoNdepar-AltN"/>
        <w:rPr>
          <w:rFonts w:cs="Times New Roman"/>
          <w:lang w:val="fr-CA"/>
        </w:rPr>
      </w:pPr>
      <w:r w:rsidRPr="00DB5AAF">
        <w:rPr>
          <w:rFonts w:cs="Times New Roman"/>
          <w:lang w:val="fr-CA"/>
        </w:rPr>
        <w:t>Invoquant la certitude et la prévisibilité des contrats, l</w:t>
      </w:r>
      <w:r>
        <w:rPr>
          <w:rFonts w:cs="Times New Roman"/>
          <w:lang w:val="fr-CA"/>
        </w:rPr>
        <w:t>’</w:t>
      </w:r>
      <w:r w:rsidRPr="00DB5AAF">
        <w:rPr>
          <w:rFonts w:cs="Times New Roman"/>
          <w:lang w:val="fr-CA"/>
        </w:rPr>
        <w:t>Office a conclu que les parties étaient liées par le contrat et qu</w:t>
      </w:r>
      <w:r>
        <w:rPr>
          <w:rFonts w:cs="Times New Roman"/>
          <w:lang w:val="fr-CA"/>
        </w:rPr>
        <w:t>’</w:t>
      </w:r>
      <w:r w:rsidRPr="00DB5AAF">
        <w:rPr>
          <w:rFonts w:cs="Times New Roman"/>
          <w:lang w:val="fr-CA"/>
        </w:rPr>
        <w:t>il n</w:t>
      </w:r>
      <w:r>
        <w:rPr>
          <w:rFonts w:cs="Times New Roman"/>
          <w:lang w:val="fr-CA"/>
        </w:rPr>
        <w:t>’</w:t>
      </w:r>
      <w:r w:rsidRPr="00DB5AAF">
        <w:rPr>
          <w:rFonts w:cs="Times New Roman"/>
          <w:lang w:val="fr-CA"/>
        </w:rPr>
        <w:t>avait pas compétence pour modifier les modalités du contrat en vertu de l</w:t>
      </w:r>
      <w:r>
        <w:rPr>
          <w:rFonts w:cs="Times New Roman"/>
          <w:lang w:val="fr-CA"/>
        </w:rPr>
        <w:t xml:space="preserve">’art. </w:t>
      </w:r>
      <w:r w:rsidRPr="00DB5AAF">
        <w:rPr>
          <w:rFonts w:cs="Times New Roman"/>
          <w:lang w:val="fr-CA"/>
        </w:rPr>
        <w:t>120.1.  Il n</w:t>
      </w:r>
      <w:r>
        <w:rPr>
          <w:rFonts w:cs="Times New Roman"/>
          <w:lang w:val="fr-CA"/>
        </w:rPr>
        <w:t>’</w:t>
      </w:r>
      <w:r w:rsidRPr="00DB5AAF">
        <w:rPr>
          <w:rFonts w:cs="Times New Roman"/>
          <w:lang w:val="fr-CA"/>
        </w:rPr>
        <w:t>a pas jugé nécessaire d</w:t>
      </w:r>
      <w:r>
        <w:rPr>
          <w:rFonts w:cs="Times New Roman"/>
          <w:lang w:val="fr-CA"/>
        </w:rPr>
        <w:t>’</w:t>
      </w:r>
      <w:r w:rsidRPr="00DB5AAF">
        <w:rPr>
          <w:rFonts w:cs="Times New Roman"/>
          <w:lang w:val="fr-CA"/>
        </w:rPr>
        <w:t xml:space="preserve">examiner la question de savoir si le supplément carburant faisait partie du prix relatif au transport au sens du </w:t>
      </w:r>
      <w:r>
        <w:rPr>
          <w:rFonts w:cs="Times New Roman"/>
          <w:lang w:val="fr-CA"/>
        </w:rPr>
        <w:t xml:space="preserve">par. </w:t>
      </w:r>
      <w:r w:rsidRPr="00DB5AAF">
        <w:rPr>
          <w:rFonts w:cs="Times New Roman"/>
          <w:lang w:val="fr-CA"/>
        </w:rPr>
        <w:t xml:space="preserve">120.1(7) et il a rejeté la demande de PRC. </w:t>
      </w:r>
    </w:p>
    <w:p w:rsidR="00784AD2" w:rsidRPr="00DB5AAF" w:rsidRDefault="00784AD2" w:rsidP="005C77BD">
      <w:pPr>
        <w:pStyle w:val="Title2LevelTitre2Niveau"/>
        <w:rPr>
          <w:rFonts w:cs="Times New Roman"/>
          <w:lang w:val="fr-CA"/>
        </w:rPr>
      </w:pPr>
      <w:r w:rsidRPr="00DB5AAF">
        <w:rPr>
          <w:rFonts w:cs="Times New Roman"/>
          <w:lang w:val="fr-CA"/>
        </w:rPr>
        <w:lastRenderedPageBreak/>
        <w:t>Décision du gouverneur en conseil</w:t>
      </w:r>
    </w:p>
    <w:p w:rsidR="00784AD2" w:rsidRPr="00DB5AAF" w:rsidRDefault="00784AD2" w:rsidP="005C77BD">
      <w:pPr>
        <w:pStyle w:val="ParaNoNdepar-AltN"/>
        <w:rPr>
          <w:rFonts w:cs="Times New Roman"/>
          <w:lang w:val="fr-CA"/>
        </w:rPr>
      </w:pPr>
      <w:r w:rsidRPr="00DB5AAF">
        <w:rPr>
          <w:rFonts w:cs="Times New Roman"/>
          <w:lang w:val="fr-CA"/>
        </w:rPr>
        <w:t>Le gouverneur en conseil a annulé la décision de l</w:t>
      </w:r>
      <w:r>
        <w:rPr>
          <w:rFonts w:cs="Times New Roman"/>
          <w:lang w:val="fr-CA"/>
        </w:rPr>
        <w:t>’</w:t>
      </w:r>
      <w:r w:rsidRPr="00DB5AAF">
        <w:rPr>
          <w:rFonts w:cs="Times New Roman"/>
          <w:lang w:val="fr-CA"/>
        </w:rPr>
        <w:t>Office.  Le décret C.</w:t>
      </w:r>
      <w:r>
        <w:rPr>
          <w:rFonts w:cs="Times New Roman"/>
          <w:lang w:val="fr-CA"/>
        </w:rPr>
        <w:t xml:space="preserve">P. </w:t>
      </w:r>
      <w:r w:rsidRPr="00DB5AAF">
        <w:rPr>
          <w:rFonts w:cs="Times New Roman"/>
          <w:lang w:val="fr-CA"/>
        </w:rPr>
        <w:t>2010</w:t>
      </w:r>
      <w:r>
        <w:rPr>
          <w:rFonts w:cs="Times New Roman"/>
          <w:lang w:val="fr-CA"/>
        </w:rPr>
        <w:t>-</w:t>
      </w:r>
      <w:r w:rsidRPr="00DB5AAF">
        <w:rPr>
          <w:rFonts w:cs="Times New Roman"/>
          <w:lang w:val="fr-CA"/>
        </w:rPr>
        <w:t>749 précisait que l</w:t>
      </w:r>
      <w:r>
        <w:rPr>
          <w:rFonts w:cs="Times New Roman"/>
          <w:lang w:val="fr-CA"/>
        </w:rPr>
        <w:t xml:space="preserve">’art. </w:t>
      </w:r>
      <w:r w:rsidRPr="00DB5AAF">
        <w:rPr>
          <w:rFonts w:cs="Times New Roman"/>
          <w:lang w:val="fr-CA"/>
        </w:rPr>
        <w:t xml:space="preserve">120.1 de la </w:t>
      </w:r>
      <w:r w:rsidRPr="00DB5AAF">
        <w:rPr>
          <w:rFonts w:cs="Times New Roman"/>
          <w:i/>
          <w:lang w:val="fr-CA"/>
        </w:rPr>
        <w:t>Loi</w:t>
      </w:r>
      <w:r w:rsidRPr="00DB5AAF">
        <w:rPr>
          <w:rFonts w:cs="Times New Roman"/>
          <w:lang w:val="fr-CA"/>
        </w:rPr>
        <w:t xml:space="preserve"> prévoit un recours administratif par voie de plainte à l</w:t>
      </w:r>
      <w:r>
        <w:rPr>
          <w:rFonts w:cs="Times New Roman"/>
          <w:lang w:val="fr-CA"/>
        </w:rPr>
        <w:t>’</w:t>
      </w:r>
      <w:r w:rsidRPr="00DB5AAF">
        <w:rPr>
          <w:rFonts w:cs="Times New Roman"/>
          <w:lang w:val="fr-CA"/>
        </w:rPr>
        <w:t xml:space="preserve">encontre des frais de transport déraisonnables appliqués par une compagnie de chemin de fer. </w:t>
      </w:r>
      <w:r>
        <w:rPr>
          <w:rFonts w:cs="Times New Roman"/>
          <w:lang w:val="fr-CA"/>
        </w:rPr>
        <w:t xml:space="preserve"> </w:t>
      </w:r>
      <w:r w:rsidRPr="00DB5AAF">
        <w:rPr>
          <w:rFonts w:cs="Times New Roman"/>
          <w:lang w:val="fr-CA"/>
        </w:rPr>
        <w:t>L</w:t>
      </w:r>
      <w:r>
        <w:rPr>
          <w:rFonts w:cs="Times New Roman"/>
          <w:lang w:val="fr-CA"/>
        </w:rPr>
        <w:t>’art</w:t>
      </w:r>
      <w:r w:rsidR="00BF7A2A">
        <w:rPr>
          <w:rFonts w:cs="Times New Roman"/>
          <w:lang w:val="fr-CA"/>
        </w:rPr>
        <w:t>icle</w:t>
      </w:r>
      <w:r>
        <w:rPr>
          <w:rFonts w:cs="Times New Roman"/>
          <w:lang w:val="fr-CA"/>
        </w:rPr>
        <w:t xml:space="preserve"> </w:t>
      </w:r>
      <w:r w:rsidRPr="00DB5AAF">
        <w:rPr>
          <w:rFonts w:cs="Times New Roman"/>
          <w:lang w:val="fr-CA"/>
        </w:rPr>
        <w:t>120.1 est censé bénéficier non pas seulement au plaignant mais également à l</w:t>
      </w:r>
      <w:r>
        <w:rPr>
          <w:rFonts w:cs="Times New Roman"/>
          <w:lang w:val="fr-CA"/>
        </w:rPr>
        <w:t>’</w:t>
      </w:r>
      <w:r w:rsidRPr="00DB5AAF">
        <w:rPr>
          <w:rFonts w:cs="Times New Roman"/>
          <w:lang w:val="fr-CA"/>
        </w:rPr>
        <w:t>ensemble des expéditeurs assujettis aux frais prévus dans le tarif contesté.  La plainte déposée par PRC avait été présentée dans l</w:t>
      </w:r>
      <w:r>
        <w:rPr>
          <w:rFonts w:cs="Times New Roman"/>
          <w:lang w:val="fr-CA"/>
        </w:rPr>
        <w:t>’</w:t>
      </w:r>
      <w:r w:rsidRPr="00DB5AAF">
        <w:rPr>
          <w:rFonts w:cs="Times New Roman"/>
          <w:lang w:val="fr-CA"/>
        </w:rPr>
        <w:t>intérêt de tous les expéditeurs assujettis aux frais prévus par le tarif 7402, lequel s</w:t>
      </w:r>
      <w:r>
        <w:rPr>
          <w:rFonts w:cs="Times New Roman"/>
          <w:lang w:val="fr-CA"/>
        </w:rPr>
        <w:t>’</w:t>
      </w:r>
      <w:r w:rsidRPr="00DB5AAF">
        <w:rPr>
          <w:rFonts w:cs="Times New Roman"/>
          <w:lang w:val="fr-CA"/>
        </w:rPr>
        <w:t>applique à plus d</w:t>
      </w:r>
      <w:r>
        <w:rPr>
          <w:rFonts w:cs="Times New Roman"/>
          <w:lang w:val="fr-CA"/>
        </w:rPr>
        <w:t>’</w:t>
      </w:r>
      <w:r w:rsidRPr="00DB5AAF">
        <w:rPr>
          <w:rFonts w:cs="Times New Roman"/>
          <w:lang w:val="fr-CA"/>
        </w:rPr>
        <w:t>un expéditeur.</w:t>
      </w:r>
    </w:p>
    <w:p w:rsidR="00784AD2" w:rsidRPr="00DB5AAF" w:rsidRDefault="00784AD2" w:rsidP="005C77BD">
      <w:pPr>
        <w:pStyle w:val="ParaNoNdepar-AltN"/>
        <w:rPr>
          <w:rFonts w:cs="Times New Roman"/>
          <w:lang w:val="fr-CA"/>
        </w:rPr>
      </w:pPr>
      <w:r w:rsidRPr="00DB5AAF">
        <w:rPr>
          <w:rFonts w:cs="Times New Roman"/>
          <w:lang w:val="fr-CA"/>
        </w:rPr>
        <w:t>Selon le décret, le gouverneur en conseil estimait que, même si l</w:t>
      </w:r>
      <w:r>
        <w:rPr>
          <w:rFonts w:cs="Times New Roman"/>
          <w:lang w:val="fr-CA"/>
        </w:rPr>
        <w:t>’</w:t>
      </w:r>
      <w:r w:rsidRPr="00DB5AAF">
        <w:rPr>
          <w:rFonts w:cs="Times New Roman"/>
          <w:lang w:val="fr-CA"/>
        </w:rPr>
        <w:t>existence et les modalités d</w:t>
      </w:r>
      <w:r>
        <w:rPr>
          <w:rFonts w:cs="Times New Roman"/>
          <w:lang w:val="fr-CA"/>
        </w:rPr>
        <w:t>’</w:t>
      </w:r>
      <w:r w:rsidRPr="00DB5AAF">
        <w:rPr>
          <w:rFonts w:cs="Times New Roman"/>
          <w:lang w:val="fr-CA"/>
        </w:rPr>
        <w:t>un contrat confidentiel avaient une incidence sur la question de savoir si PRC profiterait d</w:t>
      </w:r>
      <w:r>
        <w:rPr>
          <w:rFonts w:cs="Times New Roman"/>
          <w:lang w:val="fr-CA"/>
        </w:rPr>
        <w:t>’</w:t>
      </w:r>
      <w:r w:rsidRPr="00DB5AAF">
        <w:rPr>
          <w:rFonts w:cs="Times New Roman"/>
          <w:lang w:val="fr-CA"/>
        </w:rPr>
        <w:t>une ordonnance de l</w:t>
      </w:r>
      <w:r>
        <w:rPr>
          <w:rFonts w:cs="Times New Roman"/>
          <w:lang w:val="fr-CA"/>
        </w:rPr>
        <w:t>’</w:t>
      </w:r>
      <w:r w:rsidRPr="00DB5AAF">
        <w:rPr>
          <w:rFonts w:cs="Times New Roman"/>
          <w:lang w:val="fr-CA"/>
        </w:rPr>
        <w:t>Office rendue en vertu de l</w:t>
      </w:r>
      <w:r>
        <w:rPr>
          <w:rFonts w:cs="Times New Roman"/>
          <w:lang w:val="fr-CA"/>
        </w:rPr>
        <w:t xml:space="preserve">’art. </w:t>
      </w:r>
      <w:r w:rsidRPr="00DB5AAF">
        <w:rPr>
          <w:rFonts w:cs="Times New Roman"/>
          <w:lang w:val="fr-CA"/>
        </w:rPr>
        <w:t>120.1, ce contrat confidentiel n</w:t>
      </w:r>
      <w:r>
        <w:rPr>
          <w:rFonts w:cs="Times New Roman"/>
          <w:lang w:val="fr-CA"/>
        </w:rPr>
        <w:t>’</w:t>
      </w:r>
      <w:r w:rsidRPr="00DB5AAF">
        <w:rPr>
          <w:rFonts w:cs="Times New Roman"/>
          <w:lang w:val="fr-CA"/>
        </w:rPr>
        <w:t>avait aucune incidence sur le caractère raisonnable des frais prévus par un tarif qui est applicable à plus d</w:t>
      </w:r>
      <w:r>
        <w:rPr>
          <w:rFonts w:cs="Times New Roman"/>
          <w:lang w:val="fr-CA"/>
        </w:rPr>
        <w:t>’</w:t>
      </w:r>
      <w:r w:rsidRPr="00DB5AAF">
        <w:rPr>
          <w:rFonts w:cs="Times New Roman"/>
          <w:lang w:val="fr-CA"/>
        </w:rPr>
        <w:t>un expéditeur et qui n</w:t>
      </w:r>
      <w:r>
        <w:rPr>
          <w:rFonts w:cs="Times New Roman"/>
          <w:lang w:val="fr-CA"/>
        </w:rPr>
        <w:t>’</w:t>
      </w:r>
      <w:r w:rsidRPr="00DB5AAF">
        <w:rPr>
          <w:rFonts w:cs="Times New Roman"/>
          <w:lang w:val="fr-CA"/>
        </w:rPr>
        <w:t xml:space="preserve">est pas un tarif mentionné au </w:t>
      </w:r>
      <w:r>
        <w:rPr>
          <w:rFonts w:cs="Times New Roman"/>
          <w:lang w:val="fr-CA"/>
        </w:rPr>
        <w:t xml:space="preserve">par. </w:t>
      </w:r>
      <w:r w:rsidRPr="00DB5AAF">
        <w:rPr>
          <w:rFonts w:cs="Times New Roman"/>
          <w:lang w:val="fr-CA"/>
        </w:rPr>
        <w:t xml:space="preserve">165(3) de la </w:t>
      </w:r>
      <w:r w:rsidRPr="00DB5AAF">
        <w:rPr>
          <w:rFonts w:cs="Times New Roman"/>
          <w:i/>
          <w:lang w:val="fr-CA"/>
        </w:rPr>
        <w:t>Loi</w:t>
      </w:r>
      <w:r w:rsidRPr="00DB5AAF">
        <w:rPr>
          <w:rFonts w:cs="Times New Roman"/>
          <w:lang w:val="fr-CA"/>
        </w:rPr>
        <w:t>.</w:t>
      </w:r>
    </w:p>
    <w:p w:rsidR="00784AD2" w:rsidRPr="00DB5AAF" w:rsidRDefault="00784AD2" w:rsidP="005C77BD">
      <w:pPr>
        <w:pStyle w:val="Title1LevelTitre1Niveau-AltL"/>
        <w:rPr>
          <w:rFonts w:cs="Times New Roman"/>
          <w:lang w:val="fr-CA"/>
        </w:rPr>
      </w:pPr>
      <w:r w:rsidRPr="00DB5AAF">
        <w:rPr>
          <w:rFonts w:cs="Times New Roman"/>
          <w:lang w:val="fr-CA"/>
        </w:rPr>
        <w:t>Historique judiciaire</w:t>
      </w:r>
    </w:p>
    <w:p w:rsidR="00784AD2" w:rsidRPr="00DB5AAF" w:rsidRDefault="00784AD2" w:rsidP="005C77BD">
      <w:pPr>
        <w:pStyle w:val="Title2LevelTitre2Niveau"/>
        <w:rPr>
          <w:rFonts w:cs="Times New Roman"/>
          <w:lang w:val="fr-CA"/>
        </w:rPr>
      </w:pPr>
      <w:r w:rsidRPr="00DB5AAF">
        <w:rPr>
          <w:rFonts w:cs="Times New Roman"/>
          <w:lang w:val="fr-CA"/>
        </w:rPr>
        <w:t>Cour fédérale du Canada</w:t>
      </w:r>
      <w:r w:rsidRPr="00DB5AAF">
        <w:rPr>
          <w:rFonts w:cs="Times New Roman"/>
          <w:i w:val="0"/>
          <w:lang w:val="fr-CA"/>
        </w:rPr>
        <w:t xml:space="preserve">, </w:t>
      </w:r>
      <w:r w:rsidRPr="00DB5AAF">
        <w:rPr>
          <w:rFonts w:cs="Times New Roman"/>
          <w:lang w:val="fr-CA"/>
        </w:rPr>
        <w:t>2011</w:t>
      </w:r>
      <w:r>
        <w:rPr>
          <w:rFonts w:cs="Times New Roman"/>
          <w:lang w:val="fr-CA"/>
        </w:rPr>
        <w:t xml:space="preserve"> </w:t>
      </w:r>
      <w:r w:rsidRPr="00DB5AAF">
        <w:rPr>
          <w:rFonts w:cs="Times New Roman"/>
          <w:lang w:val="fr-CA"/>
        </w:rPr>
        <w:t>CF</w:t>
      </w:r>
      <w:r>
        <w:rPr>
          <w:rFonts w:cs="Times New Roman"/>
          <w:lang w:val="fr-CA"/>
        </w:rPr>
        <w:t xml:space="preserve"> </w:t>
      </w:r>
      <w:r w:rsidRPr="00DB5AAF">
        <w:rPr>
          <w:rFonts w:cs="Times New Roman"/>
          <w:lang w:val="fr-CA"/>
        </w:rPr>
        <w:t>1201</w:t>
      </w:r>
      <w:r w:rsidR="00BF7A2A">
        <w:rPr>
          <w:rFonts w:cs="Times New Roman"/>
          <w:lang w:val="fr-CA"/>
        </w:rPr>
        <w:t xml:space="preserve"> (</w:t>
      </w:r>
      <w:proofErr w:type="spellStart"/>
      <w:r w:rsidR="00BF7A2A">
        <w:rPr>
          <w:rFonts w:cs="Times New Roman"/>
          <w:lang w:val="fr-CA"/>
        </w:rPr>
        <w:t>CanLII</w:t>
      </w:r>
      <w:proofErr w:type="spellEnd"/>
      <w:r w:rsidR="00BF7A2A">
        <w:rPr>
          <w:rFonts w:cs="Times New Roman"/>
          <w:lang w:val="fr-CA"/>
        </w:rPr>
        <w:t>)</w:t>
      </w:r>
    </w:p>
    <w:p w:rsidR="00784AD2" w:rsidRPr="00DB5AAF" w:rsidRDefault="00784AD2" w:rsidP="005C77BD">
      <w:pPr>
        <w:pStyle w:val="ParaNoNdepar-AltN"/>
        <w:rPr>
          <w:rFonts w:cs="Times New Roman"/>
          <w:lang w:val="fr-CA"/>
        </w:rPr>
      </w:pPr>
      <w:r w:rsidRPr="00DB5AAF">
        <w:rPr>
          <w:rFonts w:cs="Times New Roman"/>
          <w:lang w:val="fr-CA"/>
        </w:rPr>
        <w:t xml:space="preserve">Le CN a demandé le contrôle judiciaire de la décision du gouverneur en conseil.  Le juge Hughes a annulé le décret du gouverneur en conseil et rétabli la </w:t>
      </w:r>
      <w:r w:rsidRPr="00DB5AAF">
        <w:rPr>
          <w:rFonts w:cs="Times New Roman"/>
          <w:lang w:val="fr-CA"/>
        </w:rPr>
        <w:lastRenderedPageBreak/>
        <w:t>décision de l</w:t>
      </w:r>
      <w:r>
        <w:rPr>
          <w:rFonts w:cs="Times New Roman"/>
          <w:lang w:val="fr-CA"/>
        </w:rPr>
        <w:t>’</w:t>
      </w:r>
      <w:r w:rsidRPr="00DB5AAF">
        <w:rPr>
          <w:rFonts w:cs="Times New Roman"/>
          <w:lang w:val="fr-CA"/>
        </w:rPr>
        <w:t xml:space="preserve">Office.  Le juge a qualifié la question soumise au gouverneur en conseil de question touchant </w:t>
      </w:r>
      <w:r>
        <w:rPr>
          <w:rFonts w:cs="Times New Roman"/>
          <w:lang w:val="fr-CA"/>
        </w:rPr>
        <w:t>« </w:t>
      </w:r>
      <w:r w:rsidRPr="00DB5AAF">
        <w:rPr>
          <w:rFonts w:cs="Times New Roman"/>
          <w:lang w:val="fr-CA"/>
        </w:rPr>
        <w:t>véritablement à la compétence</w:t>
      </w:r>
      <w:r>
        <w:rPr>
          <w:rFonts w:cs="Times New Roman"/>
          <w:lang w:val="fr-CA"/>
        </w:rPr>
        <w:t> »</w:t>
      </w:r>
      <w:r w:rsidRPr="00DB5AAF">
        <w:rPr>
          <w:rFonts w:cs="Times New Roman"/>
          <w:lang w:val="fr-CA"/>
        </w:rPr>
        <w:t xml:space="preserve"> car elle était axée sur la compétence de l</w:t>
      </w:r>
      <w:r>
        <w:rPr>
          <w:rFonts w:cs="Times New Roman"/>
          <w:lang w:val="fr-CA"/>
        </w:rPr>
        <w:t>’</w:t>
      </w:r>
      <w:r w:rsidRPr="00DB5AAF">
        <w:rPr>
          <w:rFonts w:cs="Times New Roman"/>
          <w:lang w:val="fr-CA"/>
        </w:rPr>
        <w:t>Office à l</w:t>
      </w:r>
      <w:r>
        <w:rPr>
          <w:rFonts w:cs="Times New Roman"/>
          <w:lang w:val="fr-CA"/>
        </w:rPr>
        <w:t>’</w:t>
      </w:r>
      <w:r w:rsidRPr="00DB5AAF">
        <w:rPr>
          <w:rFonts w:cs="Times New Roman"/>
          <w:lang w:val="fr-CA"/>
        </w:rPr>
        <w:t>égard de la demande de PRC, et il a conclu que la norme de contrôle applicable était celle de la décision correcte (</w:t>
      </w:r>
      <w:r>
        <w:rPr>
          <w:rFonts w:cs="Times New Roman"/>
          <w:lang w:val="fr-CA"/>
        </w:rPr>
        <w:t xml:space="preserve">par. </w:t>
      </w:r>
      <w:r w:rsidRPr="00DB5AAF">
        <w:rPr>
          <w:rFonts w:cs="Times New Roman"/>
          <w:lang w:val="fr-CA"/>
        </w:rPr>
        <w:t>68).</w:t>
      </w:r>
    </w:p>
    <w:p w:rsidR="00784AD2" w:rsidRPr="00DB5AAF" w:rsidRDefault="00784AD2" w:rsidP="005C77BD">
      <w:pPr>
        <w:pStyle w:val="ParaNoNdepar-AltN"/>
        <w:rPr>
          <w:rFonts w:cs="Times New Roman"/>
          <w:lang w:val="fr-CA"/>
        </w:rPr>
      </w:pPr>
      <w:r w:rsidRPr="00DB5AAF">
        <w:rPr>
          <w:rFonts w:cs="Times New Roman"/>
          <w:lang w:val="fr-CA"/>
        </w:rPr>
        <w:t>Le juge Hughes a estimé que PRC cherchait à faire modifier le supplément carburant prévu au contrat pour qu</w:t>
      </w:r>
      <w:r>
        <w:rPr>
          <w:rFonts w:cs="Times New Roman"/>
          <w:lang w:val="fr-CA"/>
        </w:rPr>
        <w:t>’</w:t>
      </w:r>
      <w:r w:rsidRPr="00DB5AAF">
        <w:rPr>
          <w:rFonts w:cs="Times New Roman"/>
          <w:lang w:val="fr-CA"/>
        </w:rPr>
        <w:t xml:space="preserve">il corresponde à un supplément différent.  Il a aussi décidé que le tarif 7402 faisait partie du </w:t>
      </w:r>
      <w:r>
        <w:rPr>
          <w:rFonts w:cs="Times New Roman"/>
          <w:lang w:val="fr-CA"/>
        </w:rPr>
        <w:t>« </w:t>
      </w:r>
      <w:r w:rsidRPr="00DB5AAF">
        <w:rPr>
          <w:rFonts w:cs="Times New Roman"/>
          <w:lang w:val="fr-CA"/>
        </w:rPr>
        <w:t>prix</w:t>
      </w:r>
      <w:r>
        <w:rPr>
          <w:rFonts w:cs="Times New Roman"/>
          <w:lang w:val="fr-CA"/>
        </w:rPr>
        <w:t> »</w:t>
      </w:r>
      <w:r w:rsidRPr="00DB5AAF">
        <w:rPr>
          <w:rFonts w:cs="Times New Roman"/>
          <w:lang w:val="fr-CA"/>
        </w:rPr>
        <w:t xml:space="preserve"> relatif au transport et que, aux termes du </w:t>
      </w:r>
      <w:r>
        <w:rPr>
          <w:rFonts w:cs="Times New Roman"/>
          <w:lang w:val="fr-CA"/>
        </w:rPr>
        <w:t xml:space="preserve">par. </w:t>
      </w:r>
      <w:r w:rsidRPr="00DB5AAF">
        <w:rPr>
          <w:rFonts w:cs="Times New Roman"/>
          <w:lang w:val="fr-CA"/>
        </w:rPr>
        <w:t>120.1(7), l</w:t>
      </w:r>
      <w:r>
        <w:rPr>
          <w:rFonts w:cs="Times New Roman"/>
          <w:lang w:val="fr-CA"/>
        </w:rPr>
        <w:t>’</w:t>
      </w:r>
      <w:r w:rsidRPr="00DB5AAF">
        <w:rPr>
          <w:rFonts w:cs="Times New Roman"/>
          <w:lang w:val="fr-CA"/>
        </w:rPr>
        <w:t>Office ne pouvait donc pas l</w:t>
      </w:r>
      <w:r>
        <w:rPr>
          <w:rFonts w:cs="Times New Roman"/>
          <w:lang w:val="fr-CA"/>
        </w:rPr>
        <w:t>’</w:t>
      </w:r>
      <w:r w:rsidRPr="00DB5AAF">
        <w:rPr>
          <w:rFonts w:cs="Times New Roman"/>
          <w:lang w:val="fr-CA"/>
        </w:rPr>
        <w:t>examiner.  L</w:t>
      </w:r>
      <w:r>
        <w:rPr>
          <w:rFonts w:cs="Times New Roman"/>
          <w:lang w:val="fr-CA"/>
        </w:rPr>
        <w:t>’</w:t>
      </w:r>
      <w:r w:rsidRPr="00DB5AAF">
        <w:rPr>
          <w:rFonts w:cs="Times New Roman"/>
          <w:lang w:val="fr-CA"/>
        </w:rPr>
        <w:t>Office n</w:t>
      </w:r>
      <w:r>
        <w:rPr>
          <w:rFonts w:cs="Times New Roman"/>
          <w:lang w:val="fr-CA"/>
        </w:rPr>
        <w:t>’</w:t>
      </w:r>
      <w:r w:rsidRPr="00DB5AAF">
        <w:rPr>
          <w:rFonts w:cs="Times New Roman"/>
          <w:lang w:val="fr-CA"/>
        </w:rPr>
        <w:t>avait pas le pouvoir de modifier un contrat passé entre les parties et n</w:t>
      </w:r>
      <w:r>
        <w:rPr>
          <w:rFonts w:cs="Times New Roman"/>
          <w:lang w:val="fr-CA"/>
        </w:rPr>
        <w:t>’</w:t>
      </w:r>
      <w:r w:rsidRPr="00DB5AAF">
        <w:rPr>
          <w:rFonts w:cs="Times New Roman"/>
          <w:lang w:val="fr-CA"/>
        </w:rPr>
        <w:t>avait pas compétence pour réviser des prix auxquels s</w:t>
      </w:r>
      <w:r>
        <w:rPr>
          <w:rFonts w:cs="Times New Roman"/>
          <w:lang w:val="fr-CA"/>
        </w:rPr>
        <w:t>’</w:t>
      </w:r>
      <w:r w:rsidRPr="00DB5AAF">
        <w:rPr>
          <w:rFonts w:cs="Times New Roman"/>
          <w:lang w:val="fr-CA"/>
        </w:rPr>
        <w:t>applique l</w:t>
      </w:r>
      <w:r>
        <w:rPr>
          <w:rFonts w:cs="Times New Roman"/>
          <w:lang w:val="fr-CA"/>
        </w:rPr>
        <w:t>’</w:t>
      </w:r>
      <w:r w:rsidRPr="00DB5AAF">
        <w:rPr>
          <w:rFonts w:cs="Times New Roman"/>
          <w:lang w:val="fr-CA"/>
        </w:rPr>
        <w:t xml:space="preserve">exemption prévue au </w:t>
      </w:r>
      <w:r>
        <w:rPr>
          <w:rFonts w:cs="Times New Roman"/>
          <w:lang w:val="fr-CA"/>
        </w:rPr>
        <w:t xml:space="preserve">par. </w:t>
      </w:r>
      <w:r w:rsidRPr="00DB5AAF">
        <w:rPr>
          <w:rFonts w:cs="Times New Roman"/>
          <w:lang w:val="fr-CA"/>
        </w:rPr>
        <w:t>120.1(7).  Même si le gouverneur en conseil était habilité à trancher des questions de droit et de compétence, sa décision d</w:t>
      </w:r>
      <w:r>
        <w:rPr>
          <w:rFonts w:cs="Times New Roman"/>
          <w:lang w:val="fr-CA"/>
        </w:rPr>
        <w:t>’</w:t>
      </w:r>
      <w:r w:rsidRPr="00DB5AAF">
        <w:rPr>
          <w:rFonts w:cs="Times New Roman"/>
          <w:lang w:val="fr-CA"/>
        </w:rPr>
        <w:t>annuler la décision de l</w:t>
      </w:r>
      <w:r>
        <w:rPr>
          <w:rFonts w:cs="Times New Roman"/>
          <w:lang w:val="fr-CA"/>
        </w:rPr>
        <w:t>’</w:t>
      </w:r>
      <w:r w:rsidRPr="00DB5AAF">
        <w:rPr>
          <w:rFonts w:cs="Times New Roman"/>
          <w:lang w:val="fr-CA"/>
        </w:rPr>
        <w:t>Office était mal fondée.</w:t>
      </w:r>
    </w:p>
    <w:p w:rsidR="00784AD2" w:rsidRPr="00DB5AAF" w:rsidRDefault="00784AD2" w:rsidP="005C77BD">
      <w:pPr>
        <w:pStyle w:val="Title2LevelTitre2Niveau"/>
        <w:rPr>
          <w:rFonts w:cs="Times New Roman"/>
          <w:i w:val="0"/>
          <w:iCs/>
          <w:lang w:val="fr-CA"/>
        </w:rPr>
      </w:pPr>
      <w:r w:rsidRPr="00DB5AAF">
        <w:rPr>
          <w:rFonts w:cs="Times New Roman"/>
          <w:lang w:val="fr-CA"/>
        </w:rPr>
        <w:t>Cour d</w:t>
      </w:r>
      <w:r>
        <w:rPr>
          <w:rFonts w:cs="Times New Roman"/>
          <w:lang w:val="fr-CA"/>
        </w:rPr>
        <w:t>’</w:t>
      </w:r>
      <w:r w:rsidRPr="00DB5AAF">
        <w:rPr>
          <w:rFonts w:cs="Times New Roman"/>
          <w:lang w:val="fr-CA"/>
        </w:rPr>
        <w:t>appel fédérale, 2012</w:t>
      </w:r>
      <w:r>
        <w:rPr>
          <w:rFonts w:cs="Times New Roman"/>
          <w:lang w:val="fr-CA"/>
        </w:rPr>
        <w:t xml:space="preserve"> </w:t>
      </w:r>
      <w:r w:rsidRPr="00DB5AAF">
        <w:rPr>
          <w:rFonts w:cs="Times New Roman"/>
          <w:lang w:val="fr-CA"/>
        </w:rPr>
        <w:t>CAF</w:t>
      </w:r>
      <w:r>
        <w:rPr>
          <w:rFonts w:cs="Times New Roman"/>
          <w:lang w:val="fr-CA"/>
        </w:rPr>
        <w:t xml:space="preserve"> </w:t>
      </w:r>
      <w:r w:rsidRPr="00DB5AAF">
        <w:rPr>
          <w:rFonts w:cs="Times New Roman"/>
          <w:lang w:val="fr-CA"/>
        </w:rPr>
        <w:t>278</w:t>
      </w:r>
      <w:r w:rsidR="00BF7A2A">
        <w:rPr>
          <w:rFonts w:cs="Times New Roman"/>
          <w:lang w:val="fr-CA"/>
        </w:rPr>
        <w:t xml:space="preserve"> (</w:t>
      </w:r>
      <w:proofErr w:type="spellStart"/>
      <w:r w:rsidR="00BF7A2A">
        <w:rPr>
          <w:rFonts w:cs="Times New Roman"/>
          <w:lang w:val="fr-CA"/>
        </w:rPr>
        <w:t>CanLII</w:t>
      </w:r>
      <w:proofErr w:type="spellEnd"/>
      <w:r w:rsidR="00BF7A2A">
        <w:rPr>
          <w:rFonts w:cs="Times New Roman"/>
          <w:lang w:val="fr-CA"/>
        </w:rPr>
        <w:t>)</w:t>
      </w:r>
    </w:p>
    <w:p w:rsidR="00784AD2" w:rsidRPr="00DB5AAF" w:rsidRDefault="00784AD2" w:rsidP="005C77BD">
      <w:pPr>
        <w:pStyle w:val="ParaNoNdepar-AltN"/>
        <w:rPr>
          <w:rFonts w:cs="Times New Roman"/>
          <w:lang w:val="fr-CA"/>
        </w:rPr>
      </w:pPr>
      <w:r w:rsidRPr="00DB5AAF">
        <w:rPr>
          <w:rFonts w:cs="Times New Roman"/>
          <w:lang w:val="fr-CA"/>
        </w:rPr>
        <w:t>La Cour d</w:t>
      </w:r>
      <w:r>
        <w:rPr>
          <w:rFonts w:cs="Times New Roman"/>
          <w:lang w:val="fr-CA"/>
        </w:rPr>
        <w:t>’</w:t>
      </w:r>
      <w:r w:rsidRPr="00DB5AAF">
        <w:rPr>
          <w:rFonts w:cs="Times New Roman"/>
          <w:lang w:val="fr-CA"/>
        </w:rPr>
        <w:t>appel fédérale a infirmé le jugement de la Cour fédérale et a rejeté la demande de contrôle judiciaire de la décision du gouverneur en conseil présentée par le CN.</w:t>
      </w:r>
    </w:p>
    <w:p w:rsidR="00784AD2" w:rsidRPr="00DB5AAF" w:rsidRDefault="00784AD2" w:rsidP="005C77BD">
      <w:pPr>
        <w:pStyle w:val="ParaNoNdepar-AltN"/>
        <w:rPr>
          <w:rFonts w:cs="Times New Roman"/>
          <w:lang w:val="fr-CA"/>
        </w:rPr>
      </w:pPr>
      <w:r w:rsidRPr="00DB5AAF">
        <w:rPr>
          <w:rFonts w:cs="Times New Roman"/>
          <w:lang w:val="fr-CA"/>
        </w:rPr>
        <w:t xml:space="preserve">Appliquant la norme du caractère raisonnable, la juge Dawson a conclu que la décision du gouverneur en conseil était raisonnable.  Elle a estimé que cette </w:t>
      </w:r>
      <w:r>
        <w:rPr>
          <w:rFonts w:cs="Times New Roman"/>
          <w:lang w:val="fr-CA"/>
        </w:rPr>
        <w:t>« </w:t>
      </w:r>
      <w:r w:rsidRPr="00DB5AAF">
        <w:rPr>
          <w:rFonts w:cs="Times New Roman"/>
          <w:lang w:val="fr-CA"/>
        </w:rPr>
        <w:t xml:space="preserve">décision du gouverneur en conseil </w:t>
      </w:r>
      <w:proofErr w:type="gramStart"/>
      <w:r w:rsidRPr="00DB5AAF">
        <w:rPr>
          <w:rFonts w:cs="Times New Roman"/>
          <w:lang w:val="fr-CA"/>
        </w:rPr>
        <w:t>a[</w:t>
      </w:r>
      <w:proofErr w:type="spellStart"/>
      <w:proofErr w:type="gramEnd"/>
      <w:r w:rsidRPr="00DB5AAF">
        <w:rPr>
          <w:rFonts w:cs="Times New Roman"/>
          <w:lang w:val="fr-CA"/>
        </w:rPr>
        <w:t>vait</w:t>
      </w:r>
      <w:proofErr w:type="spellEnd"/>
      <w:r w:rsidRPr="00DB5AAF">
        <w:rPr>
          <w:rFonts w:cs="Times New Roman"/>
          <w:lang w:val="fr-CA"/>
        </w:rPr>
        <w:t>] eu pour effet d</w:t>
      </w:r>
      <w:r>
        <w:rPr>
          <w:rFonts w:cs="Times New Roman"/>
          <w:lang w:val="fr-CA"/>
        </w:rPr>
        <w:t>’</w:t>
      </w:r>
      <w:r w:rsidRPr="00DB5AAF">
        <w:rPr>
          <w:rFonts w:cs="Times New Roman"/>
          <w:lang w:val="fr-CA"/>
        </w:rPr>
        <w:t xml:space="preserve">infirmer la conclusion de </w:t>
      </w:r>
      <w:r w:rsidRPr="00DB5AAF">
        <w:rPr>
          <w:rFonts w:cs="Times New Roman"/>
          <w:lang w:val="fr-CA"/>
        </w:rPr>
        <w:lastRenderedPageBreak/>
        <w:t>fait de l</w:t>
      </w:r>
      <w:r>
        <w:rPr>
          <w:rFonts w:cs="Times New Roman"/>
          <w:lang w:val="fr-CA"/>
        </w:rPr>
        <w:t>’</w:t>
      </w:r>
      <w:r w:rsidRPr="00DB5AAF">
        <w:rPr>
          <w:rFonts w:cs="Times New Roman"/>
          <w:lang w:val="fr-CA"/>
        </w:rPr>
        <w:t xml:space="preserve">Office selon laquelle [PRC] visait par sa plainte à obtenir </w:t>
      </w:r>
      <w:r w:rsidR="00BF7A2A">
        <w:rPr>
          <w:rFonts w:cs="Times New Roman"/>
          <w:lang w:val="fr-CA"/>
        </w:rPr>
        <w:t>“</w:t>
      </w:r>
      <w:r w:rsidRPr="00DB5AAF">
        <w:rPr>
          <w:rFonts w:cs="Times New Roman"/>
          <w:lang w:val="fr-CA"/>
        </w:rPr>
        <w:t>une ordonnance exigeant l</w:t>
      </w:r>
      <w:r>
        <w:rPr>
          <w:rFonts w:cs="Times New Roman"/>
          <w:lang w:val="fr-CA"/>
        </w:rPr>
        <w:t>’</w:t>
      </w:r>
      <w:r w:rsidRPr="00DB5AAF">
        <w:rPr>
          <w:rFonts w:cs="Times New Roman"/>
          <w:lang w:val="fr-CA"/>
        </w:rPr>
        <w:t>application de nouveaux suppléments pour le carburant</w:t>
      </w:r>
      <w:r>
        <w:rPr>
          <w:rFonts w:cs="Times New Roman"/>
          <w:lang w:val="fr-CA"/>
        </w:rPr>
        <w:t xml:space="preserve"> au contrat </w:t>
      </w:r>
      <w:r w:rsidR="00BF7A2A">
        <w:rPr>
          <w:rFonts w:cs="Times New Roman"/>
          <w:lang w:val="fr-CA"/>
        </w:rPr>
        <w:t xml:space="preserve">. . .” </w:t>
      </w:r>
      <w:r>
        <w:rPr>
          <w:rFonts w:cs="Times New Roman"/>
          <w:lang w:val="fr-CA"/>
        </w:rPr>
        <w:t>» (pa</w:t>
      </w:r>
      <w:r w:rsidRPr="00DB5AAF">
        <w:rPr>
          <w:rFonts w:cs="Times New Roman"/>
          <w:lang w:val="fr-CA"/>
        </w:rPr>
        <w:t>r.</w:t>
      </w:r>
      <w:r>
        <w:rPr>
          <w:rFonts w:cs="Times New Roman"/>
          <w:lang w:val="fr-CA"/>
        </w:rPr>
        <w:t xml:space="preserve"> </w:t>
      </w:r>
      <w:r w:rsidRPr="00DB5AAF">
        <w:rPr>
          <w:rFonts w:cs="Times New Roman"/>
          <w:lang w:val="fr-CA"/>
        </w:rPr>
        <w:t>43).  Le gouverneur en conseil avait, selon elle, substitué sa propre opinion à celle de l</w:t>
      </w:r>
      <w:r>
        <w:rPr>
          <w:rFonts w:cs="Times New Roman"/>
          <w:lang w:val="fr-CA"/>
        </w:rPr>
        <w:t>’</w:t>
      </w:r>
      <w:r w:rsidRPr="00DB5AAF">
        <w:rPr>
          <w:rFonts w:cs="Times New Roman"/>
          <w:lang w:val="fr-CA"/>
        </w:rPr>
        <w:t>Office en estimant que PRC avait déposé sa plainte dans l</w:t>
      </w:r>
      <w:r>
        <w:rPr>
          <w:rFonts w:cs="Times New Roman"/>
          <w:lang w:val="fr-CA"/>
        </w:rPr>
        <w:t>’</w:t>
      </w:r>
      <w:r w:rsidRPr="00DB5AAF">
        <w:rPr>
          <w:rFonts w:cs="Times New Roman"/>
          <w:lang w:val="fr-CA"/>
        </w:rPr>
        <w:t>intérêt de tous les expéditeurs.  La juge Dawson a conclu que la manière dont le gouverneur en conseil avait caractérisé la nature de la demande de PRC à l</w:t>
      </w:r>
      <w:r>
        <w:rPr>
          <w:rFonts w:cs="Times New Roman"/>
          <w:lang w:val="fr-CA"/>
        </w:rPr>
        <w:t>’</w:t>
      </w:r>
      <w:r w:rsidRPr="00DB5AAF">
        <w:rPr>
          <w:rFonts w:cs="Times New Roman"/>
          <w:lang w:val="fr-CA"/>
        </w:rPr>
        <w:t>Office était une question de fait qui comportait un élément de politique.  Il n</w:t>
      </w:r>
      <w:r>
        <w:rPr>
          <w:rFonts w:cs="Times New Roman"/>
          <w:lang w:val="fr-CA"/>
        </w:rPr>
        <w:t>’</w:t>
      </w:r>
      <w:r w:rsidRPr="00DB5AAF">
        <w:rPr>
          <w:rFonts w:cs="Times New Roman"/>
          <w:lang w:val="fr-CA"/>
        </w:rPr>
        <w:t>était donc pas nécessaire que la Cour d</w:t>
      </w:r>
      <w:r>
        <w:rPr>
          <w:rFonts w:cs="Times New Roman"/>
          <w:lang w:val="fr-CA"/>
        </w:rPr>
        <w:t>’</w:t>
      </w:r>
      <w:r w:rsidRPr="00DB5AAF">
        <w:rPr>
          <w:rFonts w:cs="Times New Roman"/>
          <w:lang w:val="fr-CA"/>
        </w:rPr>
        <w:t xml:space="preserve">appel fédérale détermine si le gouverneur en conseil avait compétence pour trancher des questions de droit et de compétence. </w:t>
      </w:r>
    </w:p>
    <w:p w:rsidR="00784AD2" w:rsidRPr="00DB5AAF" w:rsidRDefault="00784AD2" w:rsidP="005C77BD">
      <w:pPr>
        <w:pStyle w:val="ParaNoNdepar-AltN"/>
        <w:rPr>
          <w:rFonts w:cs="Times New Roman"/>
          <w:lang w:val="fr-CA"/>
        </w:rPr>
      </w:pPr>
      <w:r w:rsidRPr="00DB5AAF">
        <w:rPr>
          <w:rFonts w:cs="Times New Roman"/>
          <w:lang w:val="fr-CA"/>
        </w:rPr>
        <w:t>La juge Dawson a conclu que</w:t>
      </w:r>
      <w:r>
        <w:rPr>
          <w:rFonts w:cs="Times New Roman"/>
          <w:lang w:val="fr-CA"/>
        </w:rPr>
        <w:t>, en raison de</w:t>
      </w:r>
      <w:r w:rsidRPr="00DB5AAF">
        <w:rPr>
          <w:rFonts w:cs="Times New Roman"/>
          <w:lang w:val="fr-CA"/>
        </w:rPr>
        <w:t xml:space="preserve"> la réparation précise demandée</w:t>
      </w:r>
      <w:r>
        <w:rPr>
          <w:rFonts w:cs="Times New Roman"/>
          <w:lang w:val="fr-CA"/>
        </w:rPr>
        <w:t xml:space="preserve"> et du</w:t>
      </w:r>
      <w:r w:rsidRPr="00DB5AAF">
        <w:rPr>
          <w:rFonts w:cs="Times New Roman"/>
          <w:lang w:val="fr-CA"/>
        </w:rPr>
        <w:t xml:space="preserve"> fait que l</w:t>
      </w:r>
      <w:r>
        <w:rPr>
          <w:rFonts w:cs="Times New Roman"/>
          <w:lang w:val="fr-CA"/>
        </w:rPr>
        <w:t xml:space="preserve">’art. </w:t>
      </w:r>
      <w:r w:rsidRPr="00DB5AAF">
        <w:rPr>
          <w:rFonts w:cs="Times New Roman"/>
          <w:lang w:val="fr-CA"/>
        </w:rPr>
        <w:t xml:space="preserve">120.1 </w:t>
      </w:r>
      <w:r>
        <w:rPr>
          <w:rFonts w:cs="Times New Roman"/>
          <w:lang w:val="fr-CA"/>
        </w:rPr>
        <w:t>« </w:t>
      </w:r>
      <w:r w:rsidR="00BF7A2A">
        <w:rPr>
          <w:rFonts w:cs="Times New Roman"/>
          <w:lang w:val="fr-CA"/>
        </w:rPr>
        <w:t>“</w:t>
      </w:r>
      <w:r w:rsidRPr="00DB5AAF">
        <w:rPr>
          <w:rFonts w:cs="Times New Roman"/>
          <w:lang w:val="fr-CA"/>
        </w:rPr>
        <w:t xml:space="preserve">doit profiter à tous les expéditeurs assujettis </w:t>
      </w:r>
      <w:r w:rsidR="00BF7A2A">
        <w:rPr>
          <w:rFonts w:cs="Times New Roman"/>
          <w:lang w:val="fr-CA"/>
        </w:rPr>
        <w:t>[</w:t>
      </w:r>
      <w:r w:rsidRPr="00DB5AAF">
        <w:rPr>
          <w:rFonts w:cs="Times New Roman"/>
          <w:lang w:val="fr-CA"/>
        </w:rPr>
        <w:t>au</w:t>
      </w:r>
      <w:r w:rsidR="00BF7A2A">
        <w:rPr>
          <w:rFonts w:cs="Times New Roman"/>
          <w:lang w:val="fr-CA"/>
        </w:rPr>
        <w:t>]</w:t>
      </w:r>
      <w:r w:rsidRPr="00DB5AAF">
        <w:rPr>
          <w:rFonts w:cs="Times New Roman"/>
          <w:lang w:val="fr-CA"/>
        </w:rPr>
        <w:t xml:space="preserve"> tarif contesté</w:t>
      </w:r>
      <w:r w:rsidR="00BF7A2A">
        <w:rPr>
          <w:rFonts w:cs="Times New Roman"/>
          <w:lang w:val="fr-CA"/>
        </w:rPr>
        <w:t>”</w:t>
      </w:r>
      <w:r w:rsidRPr="00DB5AAF">
        <w:rPr>
          <w:rFonts w:cs="Times New Roman"/>
          <w:lang w:val="fr-CA"/>
        </w:rPr>
        <w:t xml:space="preserve">, le gouverneur en conseil était fondé à conclure </w:t>
      </w:r>
      <w:r w:rsidR="00BF7A2A">
        <w:rPr>
          <w:rFonts w:cs="Times New Roman"/>
          <w:lang w:val="fr-CA"/>
        </w:rPr>
        <w:t>[</w:t>
      </w:r>
      <w:r w:rsidRPr="00DB5AAF">
        <w:rPr>
          <w:rFonts w:cs="Times New Roman"/>
          <w:lang w:val="fr-CA"/>
        </w:rPr>
        <w:t>raisonnablement</w:t>
      </w:r>
      <w:r w:rsidR="00BF7A2A">
        <w:rPr>
          <w:rFonts w:cs="Times New Roman"/>
          <w:lang w:val="fr-CA"/>
        </w:rPr>
        <w:t>]</w:t>
      </w:r>
      <w:r w:rsidRPr="00DB5AAF">
        <w:rPr>
          <w:rFonts w:cs="Times New Roman"/>
          <w:lang w:val="fr-CA"/>
        </w:rPr>
        <w:t xml:space="preserve"> que la plainte de [PRC] visait </w:t>
      </w:r>
      <w:r w:rsidR="00BF7A2A">
        <w:rPr>
          <w:rFonts w:cs="Times New Roman"/>
          <w:lang w:val="fr-CA"/>
        </w:rPr>
        <w:t>“</w:t>
      </w:r>
      <w:r w:rsidRPr="00DB5AAF">
        <w:rPr>
          <w:rFonts w:cs="Times New Roman"/>
          <w:lang w:val="fr-CA"/>
        </w:rPr>
        <w:t>l</w:t>
      </w:r>
      <w:r>
        <w:rPr>
          <w:rFonts w:cs="Times New Roman"/>
          <w:lang w:val="fr-CA"/>
        </w:rPr>
        <w:t>’</w:t>
      </w:r>
      <w:r w:rsidRPr="00DB5AAF">
        <w:rPr>
          <w:rFonts w:cs="Times New Roman"/>
          <w:lang w:val="fr-CA"/>
        </w:rPr>
        <w:t>intérêt de tous les expéditeurs assujettis aux frais allégués</w:t>
      </w:r>
      <w:r w:rsidR="00BF7A2A">
        <w:rPr>
          <w:rFonts w:cs="Times New Roman"/>
          <w:lang w:val="fr-CA"/>
        </w:rPr>
        <w:t>”</w:t>
      </w:r>
      <w:r>
        <w:rPr>
          <w:rFonts w:cs="Times New Roman"/>
          <w:lang w:val="fr-CA"/>
        </w:rPr>
        <w:t> »</w:t>
      </w:r>
      <w:r w:rsidRPr="00DB5AAF">
        <w:rPr>
          <w:rFonts w:cs="Times New Roman"/>
          <w:lang w:val="fr-CA"/>
        </w:rPr>
        <w:t xml:space="preserve"> (</w:t>
      </w:r>
      <w:r>
        <w:rPr>
          <w:rFonts w:cs="Times New Roman"/>
          <w:lang w:val="fr-CA"/>
        </w:rPr>
        <w:t xml:space="preserve">par. </w:t>
      </w:r>
      <w:r w:rsidRPr="00DB5AAF">
        <w:rPr>
          <w:rFonts w:cs="Times New Roman"/>
          <w:lang w:val="fr-CA"/>
        </w:rPr>
        <w:t>50).  Elle a estimé que la décision du gouverneur en conseil était étayée par la preuve et appartenait aux issues pouvant se justifier au regard des faits et du droit.  Cette décision était donc raisonnable.  En outre, comme l</w:t>
      </w:r>
      <w:r>
        <w:rPr>
          <w:rFonts w:cs="Times New Roman"/>
          <w:lang w:val="fr-CA"/>
        </w:rPr>
        <w:t>’</w:t>
      </w:r>
      <w:r w:rsidRPr="00DB5AAF">
        <w:rPr>
          <w:rFonts w:cs="Times New Roman"/>
          <w:lang w:val="fr-CA"/>
        </w:rPr>
        <w:t xml:space="preserve">Office avait refusé de décider si le supplément carburant faisait partie du prix relatif au transport au sens du </w:t>
      </w:r>
      <w:r>
        <w:rPr>
          <w:rFonts w:cs="Times New Roman"/>
          <w:lang w:val="fr-CA"/>
        </w:rPr>
        <w:t xml:space="preserve">par. </w:t>
      </w:r>
      <w:r w:rsidRPr="00DB5AAF">
        <w:rPr>
          <w:rFonts w:cs="Times New Roman"/>
          <w:lang w:val="fr-CA"/>
        </w:rPr>
        <w:t>120.1(7), le juge de la Cour fédérale saisi de la demande de contrôle judiciaire avait commis une erreur en tranchant cette question, dont l</w:t>
      </w:r>
      <w:r>
        <w:rPr>
          <w:rFonts w:cs="Times New Roman"/>
          <w:lang w:val="fr-CA"/>
        </w:rPr>
        <w:t>’</w:t>
      </w:r>
      <w:r w:rsidRPr="00DB5AAF">
        <w:rPr>
          <w:rFonts w:cs="Times New Roman"/>
          <w:lang w:val="fr-CA"/>
        </w:rPr>
        <w:t xml:space="preserve">Office demeurait encore saisi.  La question relative au </w:t>
      </w:r>
      <w:r>
        <w:rPr>
          <w:rFonts w:cs="Times New Roman"/>
          <w:lang w:val="fr-CA"/>
        </w:rPr>
        <w:t xml:space="preserve">par. </w:t>
      </w:r>
      <w:r w:rsidRPr="00DB5AAF">
        <w:rPr>
          <w:rFonts w:cs="Times New Roman"/>
          <w:lang w:val="fr-CA"/>
        </w:rPr>
        <w:t>120.1(7) n</w:t>
      </w:r>
      <w:r>
        <w:rPr>
          <w:rFonts w:cs="Times New Roman"/>
          <w:lang w:val="fr-CA"/>
        </w:rPr>
        <w:t>’</w:t>
      </w:r>
      <w:r w:rsidRPr="00DB5AAF">
        <w:rPr>
          <w:rFonts w:cs="Times New Roman"/>
          <w:lang w:val="fr-CA"/>
        </w:rPr>
        <w:t>était pas un motif valable permettant d</w:t>
      </w:r>
      <w:r>
        <w:rPr>
          <w:rFonts w:cs="Times New Roman"/>
          <w:lang w:val="fr-CA"/>
        </w:rPr>
        <w:t>’</w:t>
      </w:r>
      <w:r w:rsidRPr="00DB5AAF">
        <w:rPr>
          <w:rFonts w:cs="Times New Roman"/>
          <w:lang w:val="fr-CA"/>
        </w:rPr>
        <w:t xml:space="preserve">annuler la décision du gouverneur en conseil.  Rendant le </w:t>
      </w:r>
      <w:r w:rsidRPr="00DB5AAF">
        <w:rPr>
          <w:rFonts w:cs="Times New Roman"/>
          <w:lang w:val="fr-CA"/>
        </w:rPr>
        <w:lastRenderedPageBreak/>
        <w:t>jugement que la Cour fédérale aurait dû rendre, la Cour d</w:t>
      </w:r>
      <w:r>
        <w:rPr>
          <w:rFonts w:cs="Times New Roman"/>
          <w:lang w:val="fr-CA"/>
        </w:rPr>
        <w:t>’</w:t>
      </w:r>
      <w:r w:rsidRPr="00DB5AAF">
        <w:rPr>
          <w:rFonts w:cs="Times New Roman"/>
          <w:lang w:val="fr-CA"/>
        </w:rPr>
        <w:t>appel fédérale a rejeté la demande de contrôle judiciaire du CN.</w:t>
      </w:r>
    </w:p>
    <w:p w:rsidR="00784AD2" w:rsidRPr="00DB5AAF" w:rsidRDefault="00784AD2" w:rsidP="00515CE5">
      <w:pPr>
        <w:pStyle w:val="Title1LevelTitre1Niveau-AltL"/>
        <w:tabs>
          <w:tab w:val="clear" w:pos="432"/>
          <w:tab w:val="left" w:pos="540"/>
        </w:tabs>
        <w:ind w:left="540" w:hanging="540"/>
        <w:rPr>
          <w:rFonts w:cs="Times New Roman"/>
          <w:lang w:val="fr-CA"/>
        </w:rPr>
      </w:pPr>
      <w:r w:rsidRPr="00DB5AAF">
        <w:rPr>
          <w:rFonts w:cs="Times New Roman"/>
          <w:lang w:val="fr-CA"/>
        </w:rPr>
        <w:t>Questions en litige</w:t>
      </w:r>
    </w:p>
    <w:p w:rsidR="00784AD2" w:rsidRPr="00DB5AAF" w:rsidRDefault="00784AD2" w:rsidP="005C77BD">
      <w:pPr>
        <w:pStyle w:val="ParaNoNdepar-AltN"/>
        <w:rPr>
          <w:rFonts w:cs="Times New Roman"/>
          <w:lang w:val="fr-CA"/>
        </w:rPr>
      </w:pPr>
      <w:r w:rsidRPr="00DB5AAF">
        <w:rPr>
          <w:rFonts w:cs="Times New Roman"/>
          <w:lang w:val="fr-CA"/>
        </w:rPr>
        <w:t>Le présent pourvoi soulève quatre questions</w:t>
      </w:r>
      <w:r>
        <w:rPr>
          <w:rFonts w:cs="Times New Roman"/>
          <w:lang w:val="fr-CA"/>
        </w:rPr>
        <w:t> :</w:t>
      </w:r>
    </w:p>
    <w:p w:rsidR="00881EFE" w:rsidRDefault="00784AD2" w:rsidP="005C77BD">
      <w:pPr>
        <w:pStyle w:val="Citation-AltC"/>
        <w:numPr>
          <w:ilvl w:val="3"/>
          <w:numId w:val="33"/>
        </w:numPr>
        <w:spacing w:before="240" w:after="240" w:line="480" w:lineRule="auto"/>
        <w:ind w:left="0" w:firstLine="0"/>
        <w:rPr>
          <w:lang w:val="fr-CA"/>
        </w:rPr>
      </w:pPr>
      <w:r w:rsidRPr="00DB5AAF">
        <w:rPr>
          <w:lang w:val="fr-CA"/>
        </w:rPr>
        <w:t>Quelle est la nature de la question à laquelle le gouverneur en conseil a répondu en l</w:t>
      </w:r>
      <w:r>
        <w:rPr>
          <w:lang w:val="fr-CA"/>
        </w:rPr>
        <w:t>’</w:t>
      </w:r>
      <w:r w:rsidRPr="00DB5AAF">
        <w:rPr>
          <w:lang w:val="fr-CA"/>
        </w:rPr>
        <w:t>espèce?</w:t>
      </w:r>
    </w:p>
    <w:p w:rsidR="00784AD2" w:rsidRPr="00DB5AAF" w:rsidRDefault="00784AD2" w:rsidP="00881EFE">
      <w:pPr>
        <w:pStyle w:val="Citation-AltC"/>
        <w:spacing w:before="240" w:after="240" w:line="480" w:lineRule="auto"/>
        <w:ind w:left="0"/>
        <w:rPr>
          <w:lang w:val="fr-CA"/>
        </w:rPr>
      </w:pPr>
    </w:p>
    <w:p w:rsidR="00784AD2" w:rsidRDefault="00784AD2" w:rsidP="005C77BD">
      <w:pPr>
        <w:pStyle w:val="Citation-AltC"/>
        <w:numPr>
          <w:ilvl w:val="3"/>
          <w:numId w:val="33"/>
        </w:numPr>
        <w:spacing w:before="240" w:after="240" w:line="480" w:lineRule="auto"/>
        <w:ind w:left="0" w:firstLine="0"/>
        <w:rPr>
          <w:lang w:val="fr-CA"/>
        </w:rPr>
      </w:pPr>
      <w:r w:rsidRPr="00DB5AAF">
        <w:rPr>
          <w:lang w:val="fr-CA"/>
        </w:rPr>
        <w:t>Quelle est l</w:t>
      </w:r>
      <w:r>
        <w:rPr>
          <w:lang w:val="fr-CA"/>
        </w:rPr>
        <w:t>’</w:t>
      </w:r>
      <w:r w:rsidRPr="00DB5AAF">
        <w:rPr>
          <w:lang w:val="fr-CA"/>
        </w:rPr>
        <w:t>étendue du pouvoir que l</w:t>
      </w:r>
      <w:r>
        <w:rPr>
          <w:lang w:val="fr-CA"/>
        </w:rPr>
        <w:t xml:space="preserve">’art. </w:t>
      </w:r>
      <w:r w:rsidRPr="00DB5AAF">
        <w:rPr>
          <w:lang w:val="fr-CA"/>
        </w:rPr>
        <w:t xml:space="preserve">40 de la </w:t>
      </w:r>
      <w:r w:rsidRPr="00DB5AAF">
        <w:rPr>
          <w:i/>
          <w:lang w:val="fr-CA"/>
        </w:rPr>
        <w:t>Loi</w:t>
      </w:r>
      <w:r w:rsidRPr="00DB5AAF">
        <w:rPr>
          <w:lang w:val="fr-CA"/>
        </w:rPr>
        <w:t xml:space="preserve"> confère au gouverneur en conseil?</w:t>
      </w:r>
    </w:p>
    <w:p w:rsidR="00881EFE" w:rsidRPr="00DB5AAF" w:rsidRDefault="00881EFE" w:rsidP="00881EFE">
      <w:pPr>
        <w:pStyle w:val="Citation-AltC"/>
        <w:spacing w:before="240" w:after="240" w:line="480" w:lineRule="auto"/>
        <w:ind w:left="0"/>
        <w:rPr>
          <w:lang w:val="fr-CA"/>
        </w:rPr>
      </w:pPr>
    </w:p>
    <w:p w:rsidR="00784AD2" w:rsidRDefault="00784AD2" w:rsidP="005C77BD">
      <w:pPr>
        <w:pStyle w:val="Citation-AltC"/>
        <w:numPr>
          <w:ilvl w:val="3"/>
          <w:numId w:val="33"/>
        </w:numPr>
        <w:spacing w:before="240" w:after="240" w:line="480" w:lineRule="auto"/>
        <w:ind w:left="0" w:firstLine="0"/>
        <w:rPr>
          <w:lang w:val="fr-CA"/>
        </w:rPr>
      </w:pPr>
      <w:r w:rsidRPr="00DB5AAF">
        <w:rPr>
          <w:lang w:val="fr-CA"/>
        </w:rPr>
        <w:t>Quelle est la norme de contrôle applicable?</w:t>
      </w:r>
    </w:p>
    <w:p w:rsidR="00881EFE" w:rsidRPr="00DB5AAF" w:rsidRDefault="00881EFE" w:rsidP="00881EFE">
      <w:pPr>
        <w:pStyle w:val="Citation-AltC"/>
        <w:spacing w:before="240" w:after="240" w:line="480" w:lineRule="auto"/>
        <w:ind w:left="0"/>
        <w:rPr>
          <w:lang w:val="fr-CA"/>
        </w:rPr>
      </w:pPr>
    </w:p>
    <w:p w:rsidR="00784AD2" w:rsidRPr="00DB5AAF" w:rsidRDefault="00784AD2" w:rsidP="00881EFE">
      <w:pPr>
        <w:pStyle w:val="Citation-AltC"/>
        <w:numPr>
          <w:ilvl w:val="3"/>
          <w:numId w:val="33"/>
        </w:numPr>
        <w:spacing w:before="240" w:after="480" w:line="480" w:lineRule="auto"/>
        <w:ind w:left="0" w:firstLine="0"/>
        <w:rPr>
          <w:lang w:val="fr-CA"/>
        </w:rPr>
      </w:pPr>
      <w:r w:rsidRPr="00DB5AAF">
        <w:rPr>
          <w:lang w:val="fr-CA"/>
        </w:rPr>
        <w:t>La décision du gouverneur en conseil résiste</w:t>
      </w:r>
      <w:r>
        <w:rPr>
          <w:lang w:val="fr-CA"/>
        </w:rPr>
        <w:t>-</w:t>
      </w:r>
      <w:r w:rsidRPr="00DB5AAF">
        <w:rPr>
          <w:lang w:val="fr-CA"/>
        </w:rPr>
        <w:t>t</w:t>
      </w:r>
      <w:r>
        <w:rPr>
          <w:lang w:val="fr-CA"/>
        </w:rPr>
        <w:t>-</w:t>
      </w:r>
      <w:r w:rsidRPr="00DB5AAF">
        <w:rPr>
          <w:lang w:val="fr-CA"/>
        </w:rPr>
        <w:t xml:space="preserve">elle à un contrôle judiciaire? </w:t>
      </w:r>
    </w:p>
    <w:p w:rsidR="00784AD2" w:rsidRPr="00DB5AAF" w:rsidRDefault="00784AD2" w:rsidP="00515CE5">
      <w:pPr>
        <w:pStyle w:val="Title1LevelTitre1Niveau-AltL"/>
        <w:tabs>
          <w:tab w:val="clear" w:pos="432"/>
          <w:tab w:val="left" w:pos="630"/>
        </w:tabs>
        <w:ind w:left="630" w:hanging="630"/>
        <w:rPr>
          <w:rFonts w:cs="Times New Roman"/>
          <w:lang w:val="fr-CA"/>
        </w:rPr>
      </w:pPr>
      <w:r w:rsidRPr="00DB5AAF">
        <w:rPr>
          <w:rFonts w:cs="Times New Roman"/>
          <w:lang w:val="fr-CA"/>
        </w:rPr>
        <w:t>Contexte du régime de réglementation</w:t>
      </w:r>
    </w:p>
    <w:p w:rsidR="00784AD2" w:rsidRPr="00DB5AAF" w:rsidRDefault="00784AD2" w:rsidP="005C77BD">
      <w:pPr>
        <w:pStyle w:val="Title2LevelTitre2Niveau"/>
        <w:rPr>
          <w:rFonts w:cs="Times New Roman"/>
          <w:lang w:val="fr-CA"/>
        </w:rPr>
      </w:pPr>
      <w:r w:rsidRPr="00DB5AAF">
        <w:rPr>
          <w:rFonts w:cs="Times New Roman"/>
          <w:lang w:val="fr-CA"/>
        </w:rPr>
        <w:t>L</w:t>
      </w:r>
      <w:r>
        <w:rPr>
          <w:rFonts w:cs="Times New Roman"/>
          <w:lang w:val="fr-CA"/>
        </w:rPr>
        <w:t>’</w:t>
      </w:r>
      <w:r w:rsidRPr="00DB5AAF">
        <w:rPr>
          <w:rFonts w:cs="Times New Roman"/>
          <w:lang w:val="fr-CA"/>
        </w:rPr>
        <w:t>article</w:t>
      </w:r>
      <w:r>
        <w:rPr>
          <w:rFonts w:cs="Times New Roman"/>
          <w:lang w:val="fr-CA"/>
        </w:rPr>
        <w:t xml:space="preserve"> </w:t>
      </w:r>
      <w:r w:rsidRPr="00DB5AAF">
        <w:rPr>
          <w:rFonts w:cs="Times New Roman"/>
          <w:lang w:val="fr-CA"/>
        </w:rPr>
        <w:t>120.1 de la Loi</w:t>
      </w:r>
    </w:p>
    <w:p w:rsidR="00784AD2" w:rsidRPr="00DB5AAF" w:rsidRDefault="00784AD2" w:rsidP="005C77BD">
      <w:pPr>
        <w:pStyle w:val="ParaNoNdepar-AltN"/>
        <w:rPr>
          <w:rFonts w:cs="Times New Roman"/>
          <w:lang w:val="fr-CA"/>
        </w:rPr>
      </w:pPr>
      <w:r w:rsidRPr="00DB5AAF">
        <w:rPr>
          <w:rFonts w:cs="Times New Roman"/>
          <w:lang w:val="fr-CA"/>
        </w:rPr>
        <w:t>L</w:t>
      </w:r>
      <w:r>
        <w:rPr>
          <w:rFonts w:cs="Times New Roman"/>
          <w:lang w:val="fr-CA"/>
        </w:rPr>
        <w:t>’</w:t>
      </w:r>
      <w:r w:rsidRPr="00DB5AAF">
        <w:rPr>
          <w:rFonts w:cs="Times New Roman"/>
          <w:lang w:val="fr-CA"/>
        </w:rPr>
        <w:t>article</w:t>
      </w:r>
      <w:r>
        <w:rPr>
          <w:rFonts w:cs="Times New Roman"/>
          <w:lang w:val="fr-CA"/>
        </w:rPr>
        <w:t xml:space="preserve"> </w:t>
      </w:r>
      <w:r w:rsidRPr="00DB5AAF">
        <w:rPr>
          <w:rFonts w:cs="Times New Roman"/>
          <w:lang w:val="fr-CA"/>
        </w:rPr>
        <w:t>120.1 a été ajouté à la suite d</w:t>
      </w:r>
      <w:r>
        <w:rPr>
          <w:rFonts w:cs="Times New Roman"/>
          <w:lang w:val="fr-CA"/>
        </w:rPr>
        <w:t>’</w:t>
      </w:r>
      <w:r w:rsidRPr="00DB5AAF">
        <w:rPr>
          <w:rFonts w:cs="Times New Roman"/>
          <w:lang w:val="fr-CA"/>
        </w:rPr>
        <w:t xml:space="preserve">un examen législatif de la </w:t>
      </w:r>
      <w:r w:rsidRPr="00DB5AAF">
        <w:rPr>
          <w:rFonts w:cs="Times New Roman"/>
          <w:i/>
          <w:lang w:val="fr-CA"/>
        </w:rPr>
        <w:t>Loi</w:t>
      </w:r>
      <w:r w:rsidRPr="00DB5AAF">
        <w:rPr>
          <w:rFonts w:cs="Times New Roman"/>
          <w:lang w:val="fr-CA"/>
        </w:rPr>
        <w:t xml:space="preserve"> effectué en</w:t>
      </w:r>
      <w:r>
        <w:rPr>
          <w:rFonts w:cs="Times New Roman"/>
          <w:lang w:val="fr-CA"/>
        </w:rPr>
        <w:t xml:space="preserve"> </w:t>
      </w:r>
      <w:r w:rsidRPr="00DB5AAF">
        <w:rPr>
          <w:rFonts w:cs="Times New Roman"/>
          <w:lang w:val="fr-CA"/>
        </w:rPr>
        <w:t>2001 et dans le cadre de modifications visant à mettre à jour le cadre législatif (Service d</w:t>
      </w:r>
      <w:r>
        <w:rPr>
          <w:rFonts w:cs="Times New Roman"/>
          <w:lang w:val="fr-CA"/>
        </w:rPr>
        <w:t>’</w:t>
      </w:r>
      <w:r w:rsidRPr="00DB5AAF">
        <w:rPr>
          <w:rFonts w:cs="Times New Roman"/>
          <w:lang w:val="fr-CA"/>
        </w:rPr>
        <w:t xml:space="preserve">information et de recherche parlementaires, Résumé législatif </w:t>
      </w:r>
      <w:r w:rsidRPr="00DB5AAF">
        <w:rPr>
          <w:rFonts w:cs="Times New Roman"/>
          <w:lang w:val="fr-CA"/>
        </w:rPr>
        <w:lastRenderedPageBreak/>
        <w:t>LS</w:t>
      </w:r>
      <w:r>
        <w:rPr>
          <w:rFonts w:cs="Times New Roman"/>
          <w:lang w:val="fr-CA"/>
        </w:rPr>
        <w:t>-</w:t>
      </w:r>
      <w:r w:rsidRPr="00DB5AAF">
        <w:rPr>
          <w:rFonts w:cs="Times New Roman"/>
          <w:lang w:val="fr-CA"/>
        </w:rPr>
        <w:t>569F</w:t>
      </w:r>
      <w:r w:rsidR="00BF7A2A">
        <w:rPr>
          <w:rFonts w:cs="Times New Roman"/>
          <w:lang w:val="fr-CA"/>
        </w:rPr>
        <w:t>,</w:t>
      </w:r>
      <w:r w:rsidRPr="00DB5AAF">
        <w:rPr>
          <w:rFonts w:cs="Times New Roman"/>
          <w:lang w:val="fr-CA"/>
        </w:rPr>
        <w:t xml:space="preserve"> </w:t>
      </w:r>
      <w:r>
        <w:rPr>
          <w:rFonts w:cs="Times New Roman"/>
          <w:lang w:val="fr-CA"/>
        </w:rPr>
        <w:t>« </w:t>
      </w:r>
      <w:r w:rsidRPr="00DB5AAF">
        <w:rPr>
          <w:rFonts w:cs="Times New Roman"/>
          <w:lang w:val="fr-CA"/>
        </w:rPr>
        <w:t>Projet de loi C</w:t>
      </w:r>
      <w:r>
        <w:rPr>
          <w:rFonts w:cs="Times New Roman"/>
          <w:lang w:val="fr-CA"/>
        </w:rPr>
        <w:t>-</w:t>
      </w:r>
      <w:r w:rsidRPr="00DB5AAF">
        <w:rPr>
          <w:rFonts w:cs="Times New Roman"/>
          <w:lang w:val="fr-CA"/>
        </w:rPr>
        <w:t>8</w:t>
      </w:r>
      <w:r>
        <w:rPr>
          <w:rFonts w:cs="Times New Roman"/>
          <w:lang w:val="fr-CA"/>
        </w:rPr>
        <w:t> :</w:t>
      </w:r>
      <w:r w:rsidRPr="00DB5AAF">
        <w:rPr>
          <w:rFonts w:cs="Times New Roman"/>
          <w:lang w:val="fr-CA"/>
        </w:rPr>
        <w:t xml:space="preserve"> </w:t>
      </w:r>
      <w:r w:rsidRPr="00DB5AAF">
        <w:rPr>
          <w:rFonts w:cs="Times New Roman"/>
          <w:iCs/>
          <w:lang w:val="fr-CA"/>
        </w:rPr>
        <w:t xml:space="preserve">Loi modifiant la Loi sur les transports </w:t>
      </w:r>
      <w:r w:rsidR="00BF7A2A">
        <w:rPr>
          <w:rFonts w:cs="Times New Roman"/>
          <w:iCs/>
          <w:lang w:val="fr-CA"/>
        </w:rPr>
        <w:t>a</w:t>
      </w:r>
      <w:r w:rsidRPr="00DB5AAF">
        <w:rPr>
          <w:rFonts w:cs="Times New Roman"/>
          <w:iCs/>
          <w:lang w:val="fr-CA"/>
        </w:rPr>
        <w:t>u Canada (transport ferroviaire)</w:t>
      </w:r>
      <w:r>
        <w:rPr>
          <w:rFonts w:cs="Times New Roman"/>
          <w:iCs/>
          <w:lang w:val="fr-CA"/>
        </w:rPr>
        <w:t> »</w:t>
      </w:r>
      <w:r w:rsidRPr="00DB5AAF">
        <w:rPr>
          <w:rFonts w:cs="Times New Roman"/>
          <w:lang w:val="fr-CA"/>
        </w:rPr>
        <w:t xml:space="preserve">, révisé </w:t>
      </w:r>
      <w:r w:rsidR="00DE54B2">
        <w:rPr>
          <w:rFonts w:cs="Times New Roman"/>
          <w:lang w:val="fr-CA"/>
        </w:rPr>
        <w:t>au</w:t>
      </w:r>
      <w:r w:rsidRPr="00DB5AAF">
        <w:rPr>
          <w:rFonts w:cs="Times New Roman"/>
          <w:lang w:val="fr-CA"/>
        </w:rPr>
        <w:t xml:space="preserve"> 27</w:t>
      </w:r>
      <w:r>
        <w:rPr>
          <w:rFonts w:cs="Times New Roman"/>
          <w:lang w:val="fr-CA"/>
        </w:rPr>
        <w:t xml:space="preserve"> </w:t>
      </w:r>
      <w:r w:rsidRPr="00DB5AAF">
        <w:rPr>
          <w:rFonts w:cs="Times New Roman"/>
          <w:lang w:val="fr-CA"/>
        </w:rPr>
        <w:t xml:space="preserve">juin 2008, </w:t>
      </w:r>
      <w:r>
        <w:rPr>
          <w:rFonts w:cs="Times New Roman"/>
          <w:lang w:val="fr-CA"/>
        </w:rPr>
        <w:t xml:space="preserve">p. </w:t>
      </w:r>
      <w:r w:rsidRPr="00DB5AAF">
        <w:rPr>
          <w:rFonts w:cs="Times New Roman"/>
          <w:lang w:val="fr-CA"/>
        </w:rPr>
        <w:t>1).  Les expéditeurs avaient exprimé des préoccupations à propos de l</w:t>
      </w:r>
      <w:r>
        <w:rPr>
          <w:rFonts w:cs="Times New Roman"/>
          <w:lang w:val="fr-CA"/>
        </w:rPr>
        <w:t>’</w:t>
      </w:r>
      <w:r w:rsidRPr="00DB5AAF">
        <w:rPr>
          <w:rFonts w:cs="Times New Roman"/>
          <w:lang w:val="fr-CA"/>
        </w:rPr>
        <w:t>application de frais connexes ou accessoires s</w:t>
      </w:r>
      <w:r>
        <w:rPr>
          <w:rFonts w:cs="Times New Roman"/>
          <w:lang w:val="fr-CA"/>
        </w:rPr>
        <w:t>’</w:t>
      </w:r>
      <w:r w:rsidRPr="00DB5AAF">
        <w:rPr>
          <w:rFonts w:cs="Times New Roman"/>
          <w:lang w:val="fr-CA"/>
        </w:rPr>
        <w:t>ajoutant aux prix relatifs au transport de marchandises.  Parmi ces frais figuraient, par exemple, ceux que l</w:t>
      </w:r>
      <w:r>
        <w:rPr>
          <w:rFonts w:cs="Times New Roman"/>
          <w:lang w:val="fr-CA"/>
        </w:rPr>
        <w:t>’</w:t>
      </w:r>
      <w:r w:rsidRPr="00DB5AAF">
        <w:rPr>
          <w:rFonts w:cs="Times New Roman"/>
          <w:lang w:val="fr-CA"/>
        </w:rPr>
        <w:t>on exige pour le nettoyage ou le remisage des wagons et la pesée des produits, ainsi que les frais de stationnement, que l</w:t>
      </w:r>
      <w:r>
        <w:rPr>
          <w:rFonts w:cs="Times New Roman"/>
          <w:lang w:val="fr-CA"/>
        </w:rPr>
        <w:t>’</w:t>
      </w:r>
      <w:r w:rsidRPr="00DB5AAF">
        <w:rPr>
          <w:rFonts w:cs="Times New Roman"/>
          <w:lang w:val="fr-CA"/>
        </w:rPr>
        <w:t>on exige lorsqu</w:t>
      </w:r>
      <w:r>
        <w:rPr>
          <w:rFonts w:cs="Times New Roman"/>
          <w:lang w:val="fr-CA"/>
        </w:rPr>
        <w:t>’</w:t>
      </w:r>
      <w:r w:rsidRPr="00DB5AAF">
        <w:rPr>
          <w:rFonts w:cs="Times New Roman"/>
          <w:lang w:val="fr-CA"/>
        </w:rPr>
        <w:t>il faut plus de temps que le délai de séjour autorisé pour charger ou décharger un wagon.  Contrairement à ce qui existait dans le cas des frais relatifs au transport entre le point d</w:t>
      </w:r>
      <w:r>
        <w:rPr>
          <w:rFonts w:cs="Times New Roman"/>
          <w:lang w:val="fr-CA"/>
        </w:rPr>
        <w:t>’</w:t>
      </w:r>
      <w:r w:rsidRPr="00DB5AAF">
        <w:rPr>
          <w:rFonts w:cs="Times New Roman"/>
          <w:lang w:val="fr-CA"/>
        </w:rPr>
        <w:t>origine et celui de destination, lesquels peuvent être contestés par voie d</w:t>
      </w:r>
      <w:r>
        <w:rPr>
          <w:rFonts w:cs="Times New Roman"/>
          <w:lang w:val="fr-CA"/>
        </w:rPr>
        <w:t>’</w:t>
      </w:r>
      <w:r w:rsidRPr="00DB5AAF">
        <w:rPr>
          <w:rFonts w:cs="Times New Roman"/>
          <w:lang w:val="fr-CA"/>
        </w:rPr>
        <w:t>arbitrage, les expéditeurs disposaient de peu de recours pour contester les frais connexes ou accessoires que fixaient unilatéralement les compagnies de chemin de fer (Comité permanent des transports, de l</w:t>
      </w:r>
      <w:r>
        <w:rPr>
          <w:rFonts w:cs="Times New Roman"/>
          <w:lang w:val="fr-CA"/>
        </w:rPr>
        <w:t>’</w:t>
      </w:r>
      <w:r w:rsidRPr="00DB5AAF">
        <w:rPr>
          <w:rFonts w:cs="Times New Roman"/>
          <w:lang w:val="fr-CA"/>
        </w:rPr>
        <w:t xml:space="preserve">infrastructure et des collectivités, </w:t>
      </w:r>
      <w:r w:rsidRPr="00BF7A2A">
        <w:rPr>
          <w:rFonts w:cs="Times New Roman"/>
          <w:i/>
          <w:lang w:val="fr-CA"/>
        </w:rPr>
        <w:t>Témoignages</w:t>
      </w:r>
      <w:r w:rsidR="00BF7A2A">
        <w:rPr>
          <w:rFonts w:cs="Times New Roman"/>
          <w:lang w:val="fr-CA"/>
        </w:rPr>
        <w:t>, n</w:t>
      </w:r>
      <w:r w:rsidRPr="00BF7A2A">
        <w:rPr>
          <w:rFonts w:cs="Times New Roman"/>
          <w:vertAlign w:val="superscript"/>
          <w:lang w:val="fr-CA"/>
        </w:rPr>
        <w:t>o</w:t>
      </w:r>
      <w:r>
        <w:rPr>
          <w:rFonts w:cs="Times New Roman"/>
          <w:lang w:val="fr-CA"/>
        </w:rPr>
        <w:t xml:space="preserve"> </w:t>
      </w:r>
      <w:r w:rsidRPr="00DB5AAF">
        <w:rPr>
          <w:rFonts w:cs="Times New Roman"/>
          <w:lang w:val="fr-CA"/>
        </w:rPr>
        <w:t>2, 2</w:t>
      </w:r>
      <w:r w:rsidRPr="009E7331">
        <w:rPr>
          <w:rFonts w:cs="Times New Roman"/>
          <w:vertAlign w:val="superscript"/>
          <w:lang w:val="fr-CA"/>
        </w:rPr>
        <w:t>e</w:t>
      </w:r>
      <w:r>
        <w:rPr>
          <w:rFonts w:cs="Times New Roman"/>
          <w:lang w:val="fr-CA"/>
        </w:rPr>
        <w:t xml:space="preserve"> </w:t>
      </w:r>
      <w:proofErr w:type="spellStart"/>
      <w:r w:rsidRPr="00DB5AAF">
        <w:rPr>
          <w:rFonts w:cs="Times New Roman"/>
          <w:lang w:val="fr-CA"/>
        </w:rPr>
        <w:t>sess</w:t>
      </w:r>
      <w:proofErr w:type="spellEnd"/>
      <w:r w:rsidRPr="00DB5AAF">
        <w:rPr>
          <w:rFonts w:cs="Times New Roman"/>
          <w:lang w:val="fr-CA"/>
        </w:rPr>
        <w:t>., 39</w:t>
      </w:r>
      <w:r w:rsidRPr="009E7331">
        <w:rPr>
          <w:rFonts w:cs="Times New Roman"/>
          <w:vertAlign w:val="superscript"/>
          <w:lang w:val="fr-CA"/>
        </w:rPr>
        <w:t>e</w:t>
      </w:r>
      <w:r>
        <w:rPr>
          <w:rFonts w:cs="Times New Roman"/>
          <w:lang w:val="fr-CA"/>
        </w:rPr>
        <w:t xml:space="preserve"> </w:t>
      </w:r>
      <w:proofErr w:type="spellStart"/>
      <w:r w:rsidRPr="00DB5AAF">
        <w:rPr>
          <w:rFonts w:cs="Times New Roman"/>
          <w:lang w:val="fr-CA"/>
        </w:rPr>
        <w:t>lég</w:t>
      </w:r>
      <w:proofErr w:type="spellEnd"/>
      <w:r w:rsidRPr="00DB5AAF">
        <w:rPr>
          <w:rFonts w:cs="Times New Roman"/>
          <w:lang w:val="fr-CA"/>
        </w:rPr>
        <w:t>., 22</w:t>
      </w:r>
      <w:r>
        <w:rPr>
          <w:rFonts w:cs="Times New Roman"/>
          <w:lang w:val="fr-CA"/>
        </w:rPr>
        <w:t xml:space="preserve"> </w:t>
      </w:r>
      <w:r w:rsidRPr="00DB5AAF">
        <w:rPr>
          <w:rFonts w:cs="Times New Roman"/>
          <w:lang w:val="fr-CA"/>
        </w:rPr>
        <w:t xml:space="preserve">novembre 2007, </w:t>
      </w:r>
      <w:r>
        <w:rPr>
          <w:rFonts w:cs="Times New Roman"/>
          <w:lang w:val="fr-CA"/>
        </w:rPr>
        <w:t xml:space="preserve">p. </w:t>
      </w:r>
      <w:r w:rsidRPr="00DB5AAF">
        <w:rPr>
          <w:rFonts w:cs="Times New Roman"/>
          <w:lang w:val="fr-CA"/>
        </w:rPr>
        <w:t xml:space="preserve">2). </w:t>
      </w:r>
    </w:p>
    <w:p w:rsidR="00784AD2" w:rsidRPr="00DB5AAF" w:rsidRDefault="00784AD2" w:rsidP="005C77BD">
      <w:pPr>
        <w:pStyle w:val="ParaNoNdepar-AltN"/>
        <w:rPr>
          <w:rFonts w:cs="Times New Roman"/>
          <w:lang w:val="fr-CA"/>
        </w:rPr>
      </w:pPr>
      <w:r w:rsidRPr="00DB5AAF">
        <w:rPr>
          <w:rFonts w:cs="Times New Roman"/>
          <w:lang w:val="fr-CA"/>
        </w:rPr>
        <w:t>Les modifications s</w:t>
      </w:r>
      <w:r>
        <w:rPr>
          <w:rFonts w:cs="Times New Roman"/>
          <w:lang w:val="fr-CA"/>
        </w:rPr>
        <w:t>’</w:t>
      </w:r>
      <w:r w:rsidRPr="00DB5AAF">
        <w:rPr>
          <w:rFonts w:cs="Times New Roman"/>
          <w:lang w:val="fr-CA"/>
        </w:rPr>
        <w:t>inscrivaient dans la foulée d</w:t>
      </w:r>
      <w:r>
        <w:rPr>
          <w:rFonts w:cs="Times New Roman"/>
          <w:lang w:val="fr-CA"/>
        </w:rPr>
        <w:t>’</w:t>
      </w:r>
      <w:r w:rsidRPr="00DB5AAF">
        <w:rPr>
          <w:rFonts w:cs="Times New Roman"/>
          <w:lang w:val="fr-CA"/>
        </w:rPr>
        <w:t>un retour partiel vers la réglementation dans le secteur ferroviaire après deux décennies de déréglementation.  La déréglementation, qui avait dans un premier temps donné lieu à une réforme législative en 1987 pour se poursuivre par d</w:t>
      </w:r>
      <w:r>
        <w:rPr>
          <w:rFonts w:cs="Times New Roman"/>
          <w:lang w:val="fr-CA"/>
        </w:rPr>
        <w:t>’</w:t>
      </w:r>
      <w:r w:rsidRPr="00DB5AAF">
        <w:rPr>
          <w:rFonts w:cs="Times New Roman"/>
          <w:lang w:val="fr-CA"/>
        </w:rPr>
        <w:t>autres modifications en</w:t>
      </w:r>
      <w:r>
        <w:rPr>
          <w:rFonts w:cs="Times New Roman"/>
          <w:lang w:val="fr-CA"/>
        </w:rPr>
        <w:t xml:space="preserve"> </w:t>
      </w:r>
      <w:r w:rsidRPr="00DB5AAF">
        <w:rPr>
          <w:rFonts w:cs="Times New Roman"/>
          <w:lang w:val="fr-CA"/>
        </w:rPr>
        <w:t>1996, avait pour objectifs d</w:t>
      </w:r>
      <w:r>
        <w:rPr>
          <w:rFonts w:cs="Times New Roman"/>
          <w:lang w:val="fr-CA"/>
        </w:rPr>
        <w:t>’</w:t>
      </w:r>
      <w:r w:rsidRPr="00DB5AAF">
        <w:rPr>
          <w:rFonts w:cs="Times New Roman"/>
          <w:lang w:val="fr-CA"/>
        </w:rPr>
        <w:t>accroître l</w:t>
      </w:r>
      <w:r>
        <w:rPr>
          <w:rFonts w:cs="Times New Roman"/>
          <w:lang w:val="fr-CA"/>
        </w:rPr>
        <w:t>’</w:t>
      </w:r>
      <w:r w:rsidRPr="00DB5AAF">
        <w:rPr>
          <w:rFonts w:cs="Times New Roman"/>
          <w:lang w:val="fr-CA"/>
        </w:rPr>
        <w:t>efficacité et d</w:t>
      </w:r>
      <w:r>
        <w:rPr>
          <w:rFonts w:cs="Times New Roman"/>
          <w:lang w:val="fr-CA"/>
        </w:rPr>
        <w:t>’</w:t>
      </w:r>
      <w:r w:rsidRPr="00DB5AAF">
        <w:rPr>
          <w:rFonts w:cs="Times New Roman"/>
          <w:lang w:val="fr-CA"/>
        </w:rPr>
        <w:t>améliorer les services au sein de l</w:t>
      </w:r>
      <w:r>
        <w:rPr>
          <w:rFonts w:cs="Times New Roman"/>
          <w:lang w:val="fr-CA"/>
        </w:rPr>
        <w:t>’</w:t>
      </w:r>
      <w:r w:rsidRPr="00DB5AAF">
        <w:rPr>
          <w:rFonts w:cs="Times New Roman"/>
          <w:lang w:val="fr-CA"/>
        </w:rPr>
        <w:t>industrie ferroviaire au Canada (Comité permanent des transports, de l</w:t>
      </w:r>
      <w:r>
        <w:rPr>
          <w:rFonts w:cs="Times New Roman"/>
          <w:lang w:val="fr-CA"/>
        </w:rPr>
        <w:t>’</w:t>
      </w:r>
      <w:r w:rsidRPr="00DB5AAF">
        <w:rPr>
          <w:rFonts w:cs="Times New Roman"/>
          <w:lang w:val="fr-CA"/>
        </w:rPr>
        <w:t xml:space="preserve">infrastructure et des collectivités, </w:t>
      </w:r>
      <w:r w:rsidRPr="009E7331">
        <w:rPr>
          <w:rFonts w:cs="Times New Roman"/>
          <w:i/>
          <w:lang w:val="fr-CA"/>
        </w:rPr>
        <w:t>Témoignages</w:t>
      </w:r>
      <w:r w:rsidRPr="00DB5AAF">
        <w:rPr>
          <w:rFonts w:cs="Times New Roman"/>
          <w:lang w:val="fr-CA"/>
        </w:rPr>
        <w:t xml:space="preserve">, </w:t>
      </w:r>
      <w:r w:rsidR="009E7331">
        <w:rPr>
          <w:rFonts w:cs="Times New Roman"/>
          <w:lang w:val="fr-CA"/>
        </w:rPr>
        <w:t>n</w:t>
      </w:r>
      <w:r w:rsidRPr="009E7331">
        <w:rPr>
          <w:rFonts w:cs="Times New Roman"/>
          <w:vertAlign w:val="superscript"/>
          <w:lang w:val="fr-CA"/>
        </w:rPr>
        <w:t>o</w:t>
      </w:r>
      <w:r>
        <w:rPr>
          <w:rFonts w:cs="Times New Roman"/>
          <w:lang w:val="fr-CA"/>
        </w:rPr>
        <w:t xml:space="preserve"> </w:t>
      </w:r>
      <w:r w:rsidRPr="00DB5AAF">
        <w:rPr>
          <w:rFonts w:cs="Times New Roman"/>
          <w:lang w:val="fr-CA"/>
        </w:rPr>
        <w:t>3, 2</w:t>
      </w:r>
      <w:r w:rsidRPr="009E7331">
        <w:rPr>
          <w:rFonts w:cs="Times New Roman"/>
          <w:vertAlign w:val="superscript"/>
          <w:lang w:val="fr-CA"/>
        </w:rPr>
        <w:t>e</w:t>
      </w:r>
      <w:r>
        <w:rPr>
          <w:rFonts w:cs="Times New Roman"/>
          <w:lang w:val="fr-CA"/>
        </w:rPr>
        <w:t xml:space="preserve"> </w:t>
      </w:r>
      <w:proofErr w:type="spellStart"/>
      <w:r w:rsidRPr="00DB5AAF">
        <w:rPr>
          <w:rFonts w:cs="Times New Roman"/>
          <w:lang w:val="fr-CA"/>
        </w:rPr>
        <w:t>sess</w:t>
      </w:r>
      <w:proofErr w:type="spellEnd"/>
      <w:r w:rsidRPr="00DB5AAF">
        <w:rPr>
          <w:rFonts w:cs="Times New Roman"/>
          <w:lang w:val="fr-CA"/>
        </w:rPr>
        <w:t>., 39</w:t>
      </w:r>
      <w:r w:rsidRPr="009E7331">
        <w:rPr>
          <w:rFonts w:cs="Times New Roman"/>
          <w:vertAlign w:val="superscript"/>
          <w:lang w:val="fr-CA"/>
        </w:rPr>
        <w:t>e</w:t>
      </w:r>
      <w:r>
        <w:rPr>
          <w:rFonts w:cs="Times New Roman"/>
          <w:lang w:val="fr-CA"/>
        </w:rPr>
        <w:t xml:space="preserve"> </w:t>
      </w:r>
      <w:proofErr w:type="spellStart"/>
      <w:r w:rsidRPr="00DB5AAF">
        <w:rPr>
          <w:rFonts w:cs="Times New Roman"/>
          <w:lang w:val="fr-CA"/>
        </w:rPr>
        <w:t>lég</w:t>
      </w:r>
      <w:proofErr w:type="spellEnd"/>
      <w:r w:rsidRPr="00DB5AAF">
        <w:rPr>
          <w:rFonts w:cs="Times New Roman"/>
          <w:lang w:val="fr-CA"/>
        </w:rPr>
        <w:t>., 27</w:t>
      </w:r>
      <w:r>
        <w:rPr>
          <w:rFonts w:cs="Times New Roman"/>
          <w:lang w:val="fr-CA"/>
        </w:rPr>
        <w:t xml:space="preserve"> </w:t>
      </w:r>
      <w:r w:rsidRPr="00DB5AAF">
        <w:rPr>
          <w:rFonts w:cs="Times New Roman"/>
          <w:lang w:val="fr-CA"/>
        </w:rPr>
        <w:t xml:space="preserve">novembre 2007, </w:t>
      </w:r>
      <w:r>
        <w:rPr>
          <w:rFonts w:cs="Times New Roman"/>
          <w:lang w:val="fr-CA"/>
        </w:rPr>
        <w:t xml:space="preserve">p. </w:t>
      </w:r>
      <w:r w:rsidRPr="00DB5AAF">
        <w:rPr>
          <w:rFonts w:cs="Times New Roman"/>
          <w:lang w:val="fr-CA"/>
        </w:rPr>
        <w:t>1</w:t>
      </w:r>
      <w:r w:rsidR="009E7331">
        <w:rPr>
          <w:rFonts w:cs="Times New Roman"/>
          <w:lang w:val="fr-CA"/>
        </w:rPr>
        <w:t>-</w:t>
      </w:r>
      <w:r w:rsidRPr="00DB5AAF">
        <w:rPr>
          <w:rFonts w:cs="Times New Roman"/>
          <w:lang w:val="fr-CA"/>
        </w:rPr>
        <w:t>2).  Même si l</w:t>
      </w:r>
      <w:r>
        <w:rPr>
          <w:rFonts w:cs="Times New Roman"/>
          <w:lang w:val="fr-CA"/>
        </w:rPr>
        <w:t>’</w:t>
      </w:r>
      <w:r w:rsidRPr="00DB5AAF">
        <w:rPr>
          <w:rFonts w:cs="Times New Roman"/>
          <w:lang w:val="fr-CA"/>
        </w:rPr>
        <w:t>on considérait que la déréglementation permettait d</w:t>
      </w:r>
      <w:r>
        <w:rPr>
          <w:rFonts w:cs="Times New Roman"/>
          <w:lang w:val="fr-CA"/>
        </w:rPr>
        <w:t>’</w:t>
      </w:r>
      <w:r w:rsidRPr="00DB5AAF">
        <w:rPr>
          <w:rFonts w:cs="Times New Roman"/>
          <w:lang w:val="fr-CA"/>
        </w:rPr>
        <w:t>atteindre ces objectifs, les services ferroviaires n</w:t>
      </w:r>
      <w:r>
        <w:rPr>
          <w:rFonts w:cs="Times New Roman"/>
          <w:lang w:val="fr-CA"/>
        </w:rPr>
        <w:t>’</w:t>
      </w:r>
      <w:r w:rsidRPr="00DB5AAF">
        <w:rPr>
          <w:rFonts w:cs="Times New Roman"/>
          <w:lang w:val="fr-CA"/>
        </w:rPr>
        <w:t xml:space="preserve">étaient pas — et ne sont pas — fournis dans un marché </w:t>
      </w:r>
      <w:r w:rsidRPr="00DB5AAF">
        <w:rPr>
          <w:rFonts w:cs="Times New Roman"/>
          <w:lang w:val="fr-CA"/>
        </w:rPr>
        <w:lastRenderedPageBreak/>
        <w:t>parfaitement concurrentiel.  Dans certaines circonstances, on considérait que les compagnies de chemin de fer avaient une puissance commerciale supérieure à celle des expéditeurs.  Cette puissance commerciale supérieure des compagnies de chemin de fer, conjuguée aux plaintes des expéditeurs à l</w:t>
      </w:r>
      <w:r>
        <w:rPr>
          <w:rFonts w:cs="Times New Roman"/>
          <w:lang w:val="fr-CA"/>
        </w:rPr>
        <w:t>’</w:t>
      </w:r>
      <w:r w:rsidRPr="00DB5AAF">
        <w:rPr>
          <w:rFonts w:cs="Times New Roman"/>
          <w:lang w:val="fr-CA"/>
        </w:rPr>
        <w:t>égard des services et des prix du secteur ferroviaire, a amené le Parlement à répondre à ces préoccupations (Comité permanent des transports, de l</w:t>
      </w:r>
      <w:r>
        <w:rPr>
          <w:rFonts w:cs="Times New Roman"/>
          <w:lang w:val="fr-CA"/>
        </w:rPr>
        <w:t>’</w:t>
      </w:r>
      <w:r w:rsidRPr="00DB5AAF">
        <w:rPr>
          <w:rFonts w:cs="Times New Roman"/>
          <w:lang w:val="fr-CA"/>
        </w:rPr>
        <w:t>infrastructure et des collectivités, 22</w:t>
      </w:r>
      <w:r>
        <w:rPr>
          <w:rFonts w:cs="Times New Roman"/>
          <w:lang w:val="fr-CA"/>
        </w:rPr>
        <w:t xml:space="preserve"> </w:t>
      </w:r>
      <w:r w:rsidRPr="00DB5AAF">
        <w:rPr>
          <w:rFonts w:cs="Times New Roman"/>
          <w:lang w:val="fr-CA"/>
        </w:rPr>
        <w:t xml:space="preserve">novembre 2007, </w:t>
      </w:r>
      <w:r>
        <w:rPr>
          <w:rFonts w:cs="Times New Roman"/>
          <w:lang w:val="fr-CA"/>
        </w:rPr>
        <w:t xml:space="preserve">p. </w:t>
      </w:r>
      <w:r w:rsidRPr="00DB5AAF">
        <w:rPr>
          <w:rFonts w:cs="Times New Roman"/>
          <w:lang w:val="fr-CA"/>
        </w:rPr>
        <w:t>1).  Comme l</w:t>
      </w:r>
      <w:r>
        <w:rPr>
          <w:rFonts w:cs="Times New Roman"/>
          <w:lang w:val="fr-CA"/>
        </w:rPr>
        <w:t>’</w:t>
      </w:r>
      <w:r w:rsidRPr="00DB5AAF">
        <w:rPr>
          <w:rFonts w:cs="Times New Roman"/>
          <w:lang w:val="fr-CA"/>
        </w:rPr>
        <w:t>a expliqué l</w:t>
      </w:r>
      <w:r>
        <w:rPr>
          <w:rFonts w:cs="Times New Roman"/>
          <w:lang w:val="fr-CA"/>
        </w:rPr>
        <w:t>’</w:t>
      </w:r>
      <w:r w:rsidRPr="00DB5AAF">
        <w:rPr>
          <w:rFonts w:cs="Times New Roman"/>
          <w:lang w:val="fr-CA"/>
        </w:rPr>
        <w:t xml:space="preserve">honorable Lawrence </w:t>
      </w:r>
      <w:proofErr w:type="spellStart"/>
      <w:r w:rsidRPr="00DB5AAF">
        <w:rPr>
          <w:rFonts w:cs="Times New Roman"/>
          <w:lang w:val="fr-CA"/>
        </w:rPr>
        <w:t>Cannon</w:t>
      </w:r>
      <w:proofErr w:type="spellEnd"/>
      <w:r w:rsidRPr="00DB5AAF">
        <w:rPr>
          <w:rFonts w:cs="Times New Roman"/>
          <w:lang w:val="fr-CA"/>
        </w:rPr>
        <w:t>, ministre des Transports, de l</w:t>
      </w:r>
      <w:r>
        <w:rPr>
          <w:rFonts w:cs="Times New Roman"/>
          <w:lang w:val="fr-CA"/>
        </w:rPr>
        <w:t>’</w:t>
      </w:r>
      <w:r w:rsidRPr="00DB5AAF">
        <w:rPr>
          <w:rFonts w:cs="Times New Roman"/>
          <w:lang w:val="fr-CA"/>
        </w:rPr>
        <w:t>Infrastructure et des Collectivités</w:t>
      </w:r>
      <w:r>
        <w:rPr>
          <w:rFonts w:cs="Times New Roman"/>
          <w:lang w:val="fr-CA"/>
        </w:rPr>
        <w:t> :</w:t>
      </w:r>
      <w:r w:rsidRPr="00DB5AAF">
        <w:rPr>
          <w:rFonts w:cs="Times New Roman"/>
          <w:lang w:val="fr-CA"/>
        </w:rPr>
        <w:t xml:space="preserve"> </w:t>
      </w:r>
      <w:r>
        <w:rPr>
          <w:rFonts w:cs="Times New Roman"/>
          <w:lang w:val="fr-CA"/>
        </w:rPr>
        <w:t>« </w:t>
      </w:r>
      <w:r w:rsidRPr="00DB5AAF">
        <w:rPr>
          <w:rFonts w:cs="Times New Roman"/>
          <w:lang w:val="fr-CA"/>
        </w:rPr>
        <w:t>[j]e crois que le moment est venu de rééquilibrer le cadre législatif au profit des expéditeurs</w:t>
      </w:r>
      <w:r>
        <w:rPr>
          <w:rFonts w:cs="Times New Roman"/>
          <w:lang w:val="fr-CA"/>
        </w:rPr>
        <w:t> »</w:t>
      </w:r>
      <w:r w:rsidRPr="00DB5AAF">
        <w:rPr>
          <w:rFonts w:cs="Times New Roman"/>
          <w:lang w:val="fr-CA"/>
        </w:rPr>
        <w:t xml:space="preserve"> (</w:t>
      </w:r>
      <w:r w:rsidR="009E7331" w:rsidRPr="009E7331">
        <w:rPr>
          <w:rFonts w:cs="Times New Roman"/>
          <w:i/>
          <w:lang w:val="fr-CA"/>
        </w:rPr>
        <w:t>i</w:t>
      </w:r>
      <w:r w:rsidRPr="00DB5AAF">
        <w:rPr>
          <w:rFonts w:cs="Times New Roman"/>
          <w:i/>
          <w:lang w:val="fr-CA"/>
        </w:rPr>
        <w:t>bid.</w:t>
      </w:r>
      <w:r w:rsidRPr="00DB5AAF">
        <w:rPr>
          <w:rFonts w:cs="Times New Roman"/>
          <w:lang w:val="fr-CA"/>
        </w:rPr>
        <w:t xml:space="preserve">, </w:t>
      </w:r>
      <w:r>
        <w:rPr>
          <w:rFonts w:cs="Times New Roman"/>
          <w:lang w:val="fr-CA"/>
        </w:rPr>
        <w:t xml:space="preserve">p. </w:t>
      </w:r>
      <w:r w:rsidRPr="00DB5AAF">
        <w:rPr>
          <w:rFonts w:cs="Times New Roman"/>
          <w:lang w:val="fr-CA"/>
        </w:rPr>
        <w:t>2).</w:t>
      </w:r>
    </w:p>
    <w:p w:rsidR="00784AD2" w:rsidRPr="00DB5AAF" w:rsidRDefault="00784AD2" w:rsidP="005C77BD">
      <w:pPr>
        <w:pStyle w:val="ParaNoNdepar-AltN"/>
        <w:rPr>
          <w:rFonts w:cs="Times New Roman"/>
          <w:lang w:val="fr-CA"/>
        </w:rPr>
      </w:pPr>
      <w:r w:rsidRPr="00DB5AAF">
        <w:rPr>
          <w:rFonts w:cs="Times New Roman"/>
          <w:lang w:val="fr-CA"/>
        </w:rPr>
        <w:t xml:space="preserve">Dans le contexte de ce </w:t>
      </w:r>
      <w:r>
        <w:rPr>
          <w:rFonts w:cs="Times New Roman"/>
          <w:lang w:val="fr-CA"/>
        </w:rPr>
        <w:t>« </w:t>
      </w:r>
      <w:r w:rsidRPr="00DB5AAF">
        <w:rPr>
          <w:rFonts w:cs="Times New Roman"/>
          <w:lang w:val="fr-CA"/>
        </w:rPr>
        <w:t>rééquilibrage</w:t>
      </w:r>
      <w:r>
        <w:rPr>
          <w:rFonts w:cs="Times New Roman"/>
          <w:lang w:val="fr-CA"/>
        </w:rPr>
        <w:t> »</w:t>
      </w:r>
      <w:r w:rsidRPr="00DB5AAF">
        <w:rPr>
          <w:rFonts w:cs="Times New Roman"/>
          <w:lang w:val="fr-CA"/>
        </w:rPr>
        <w:t xml:space="preserve"> en faveur des expéditeurs, l</w:t>
      </w:r>
      <w:r>
        <w:rPr>
          <w:rFonts w:cs="Times New Roman"/>
          <w:lang w:val="fr-CA"/>
        </w:rPr>
        <w:t xml:space="preserve">’art. </w:t>
      </w:r>
      <w:r w:rsidRPr="00DB5AAF">
        <w:rPr>
          <w:rFonts w:cs="Times New Roman"/>
          <w:lang w:val="fr-CA"/>
        </w:rPr>
        <w:t>120.1 a été introduit afin d</w:t>
      </w:r>
      <w:r>
        <w:rPr>
          <w:rFonts w:cs="Times New Roman"/>
          <w:lang w:val="fr-CA"/>
        </w:rPr>
        <w:t>’</w:t>
      </w:r>
      <w:r w:rsidRPr="00DB5AAF">
        <w:rPr>
          <w:rFonts w:cs="Times New Roman"/>
          <w:lang w:val="fr-CA"/>
        </w:rPr>
        <w:t>offrir un nouveau recours aux expéditeurs à qui sont appliqués, pour le transport ou la prestation de services connexes, des frais ou des conditions afférentes déraisonnables qui figurent dans un tarif applicable à plus d</w:t>
      </w:r>
      <w:r>
        <w:rPr>
          <w:rFonts w:cs="Times New Roman"/>
          <w:lang w:val="fr-CA"/>
        </w:rPr>
        <w:t>’</w:t>
      </w:r>
      <w:r w:rsidRPr="00DB5AAF">
        <w:rPr>
          <w:rFonts w:cs="Times New Roman"/>
          <w:lang w:val="fr-CA"/>
        </w:rPr>
        <w:t>un expéditeur, exception faite d</w:t>
      </w:r>
      <w:r>
        <w:rPr>
          <w:rFonts w:cs="Times New Roman"/>
          <w:lang w:val="fr-CA"/>
        </w:rPr>
        <w:t>’</w:t>
      </w:r>
      <w:r w:rsidRPr="00DB5AAF">
        <w:rPr>
          <w:rFonts w:cs="Times New Roman"/>
          <w:lang w:val="fr-CA"/>
        </w:rPr>
        <w:t>un tarif découlant d</w:t>
      </w:r>
      <w:r>
        <w:rPr>
          <w:rFonts w:cs="Times New Roman"/>
          <w:lang w:val="fr-CA"/>
        </w:rPr>
        <w:t>’</w:t>
      </w:r>
      <w:r w:rsidRPr="00DB5AAF">
        <w:rPr>
          <w:rFonts w:cs="Times New Roman"/>
          <w:lang w:val="fr-CA"/>
        </w:rPr>
        <w:t>une décision rendue par un arbitre dans le cadre d</w:t>
      </w:r>
      <w:r>
        <w:rPr>
          <w:rFonts w:cs="Times New Roman"/>
          <w:lang w:val="fr-CA"/>
        </w:rPr>
        <w:t>’</w:t>
      </w:r>
      <w:r w:rsidRPr="00DB5AAF">
        <w:rPr>
          <w:rFonts w:cs="Times New Roman"/>
          <w:lang w:val="fr-CA"/>
        </w:rPr>
        <w:t>un arbitrage.  Cet article prévoit que si, à la suite du dépôt d</w:t>
      </w:r>
      <w:r>
        <w:rPr>
          <w:rFonts w:cs="Times New Roman"/>
          <w:lang w:val="fr-CA"/>
        </w:rPr>
        <w:t>’</w:t>
      </w:r>
      <w:r w:rsidRPr="00DB5AAF">
        <w:rPr>
          <w:rFonts w:cs="Times New Roman"/>
          <w:lang w:val="fr-CA"/>
        </w:rPr>
        <w:t>une plainte, l</w:t>
      </w:r>
      <w:r>
        <w:rPr>
          <w:rFonts w:cs="Times New Roman"/>
          <w:lang w:val="fr-CA"/>
        </w:rPr>
        <w:t>’</w:t>
      </w:r>
      <w:r w:rsidRPr="00DB5AAF">
        <w:rPr>
          <w:rFonts w:cs="Times New Roman"/>
          <w:lang w:val="fr-CA"/>
        </w:rPr>
        <w:t xml:space="preserve">Office estime que ces frais ou ces conditions sont déraisonnables, il peut fixer de nouveaux frais ou de nouvelles conditions.  Aux termes du </w:t>
      </w:r>
      <w:r>
        <w:rPr>
          <w:rFonts w:cs="Times New Roman"/>
          <w:lang w:val="fr-CA"/>
        </w:rPr>
        <w:t xml:space="preserve">par. </w:t>
      </w:r>
      <w:r w:rsidRPr="00DB5AAF">
        <w:rPr>
          <w:rFonts w:cs="Times New Roman"/>
          <w:lang w:val="fr-CA"/>
        </w:rPr>
        <w:t>120.1(7), ce recours ne s</w:t>
      </w:r>
      <w:r>
        <w:rPr>
          <w:rFonts w:cs="Times New Roman"/>
          <w:lang w:val="fr-CA"/>
        </w:rPr>
        <w:t>’</w:t>
      </w:r>
      <w:r w:rsidRPr="00DB5AAF">
        <w:rPr>
          <w:rFonts w:cs="Times New Roman"/>
          <w:lang w:val="fr-CA"/>
        </w:rPr>
        <w:t>applique pas aux prix relatifs au transport entre le point d</w:t>
      </w:r>
      <w:r>
        <w:rPr>
          <w:rFonts w:cs="Times New Roman"/>
          <w:lang w:val="fr-CA"/>
        </w:rPr>
        <w:t>’</w:t>
      </w:r>
      <w:r w:rsidRPr="00DB5AAF">
        <w:rPr>
          <w:rFonts w:cs="Times New Roman"/>
          <w:lang w:val="fr-CA"/>
        </w:rPr>
        <w:t xml:space="preserve">origine et le point de destination. </w:t>
      </w:r>
    </w:p>
    <w:p w:rsidR="00784AD2" w:rsidRPr="00DB5AAF" w:rsidRDefault="00784AD2" w:rsidP="005C77BD">
      <w:pPr>
        <w:pStyle w:val="Title2LevelTitre2Niveau"/>
        <w:rPr>
          <w:rFonts w:cs="Times New Roman"/>
          <w:lang w:val="fr-CA"/>
        </w:rPr>
      </w:pPr>
      <w:r w:rsidRPr="00DB5AAF">
        <w:rPr>
          <w:rFonts w:cs="Times New Roman"/>
          <w:lang w:val="fr-CA"/>
        </w:rPr>
        <w:t>Les contrats confidentiels</w:t>
      </w:r>
    </w:p>
    <w:p w:rsidR="00784AD2" w:rsidRPr="00DB5AAF" w:rsidRDefault="00784AD2" w:rsidP="005C77BD">
      <w:pPr>
        <w:pStyle w:val="ParaNoNdepar-AltN"/>
        <w:rPr>
          <w:rFonts w:cs="Times New Roman"/>
          <w:lang w:val="fr-CA"/>
        </w:rPr>
      </w:pPr>
      <w:r w:rsidRPr="00DB5AAF">
        <w:rPr>
          <w:rFonts w:cs="Times New Roman"/>
          <w:lang w:val="fr-CA"/>
        </w:rPr>
        <w:lastRenderedPageBreak/>
        <w:t>Aux termes de l</w:t>
      </w:r>
      <w:r>
        <w:rPr>
          <w:rFonts w:cs="Times New Roman"/>
          <w:lang w:val="fr-CA"/>
        </w:rPr>
        <w:t xml:space="preserve">’art. </w:t>
      </w:r>
      <w:r w:rsidRPr="00DB5AAF">
        <w:rPr>
          <w:rFonts w:cs="Times New Roman"/>
          <w:lang w:val="fr-CA"/>
        </w:rPr>
        <w:t xml:space="preserve">126 de la </w:t>
      </w:r>
      <w:r w:rsidRPr="00DB5AAF">
        <w:rPr>
          <w:rFonts w:cs="Times New Roman"/>
          <w:i/>
          <w:lang w:val="fr-CA"/>
        </w:rPr>
        <w:t>Loi</w:t>
      </w:r>
      <w:r w:rsidRPr="00DB5AAF">
        <w:rPr>
          <w:rFonts w:cs="Times New Roman"/>
          <w:lang w:val="fr-CA"/>
        </w:rPr>
        <w:t>, les transporteurs et les expéditeurs peuvent conclure des contrats confidentiels.  Les contrats de cette nature peuvent porter sur les prix exigés de l</w:t>
      </w:r>
      <w:r>
        <w:rPr>
          <w:rFonts w:cs="Times New Roman"/>
          <w:lang w:val="fr-CA"/>
        </w:rPr>
        <w:t>’</w:t>
      </w:r>
      <w:r w:rsidRPr="00DB5AAF">
        <w:rPr>
          <w:rFonts w:cs="Times New Roman"/>
          <w:lang w:val="fr-CA"/>
        </w:rPr>
        <w:t>expéditeur par la compagnie ferroviaire, les baisses de prix, ou les allocations afférentes à ceux</w:t>
      </w:r>
      <w:r>
        <w:rPr>
          <w:rFonts w:cs="Times New Roman"/>
          <w:lang w:val="fr-CA"/>
        </w:rPr>
        <w:t>-</w:t>
      </w:r>
      <w:r w:rsidRPr="00DB5AAF">
        <w:rPr>
          <w:rFonts w:cs="Times New Roman"/>
          <w:lang w:val="fr-CA"/>
        </w:rPr>
        <w:t>ci, qui sont indiquées dans les tarifs établis, les rabais sur les prix, ou les allocations afférentes à ceux</w:t>
      </w:r>
      <w:r>
        <w:rPr>
          <w:rFonts w:cs="Times New Roman"/>
          <w:lang w:val="fr-CA"/>
        </w:rPr>
        <w:t>-</w:t>
      </w:r>
      <w:r w:rsidRPr="00DB5AAF">
        <w:rPr>
          <w:rFonts w:cs="Times New Roman"/>
          <w:lang w:val="fr-CA"/>
        </w:rPr>
        <w:t>ci, qui sont établis dans les tarifs ou dans les contrats confidentiels, les conditions relatives au transport à effectuer par la compagnie de chemin de fer, de même que les moyens pris par cette dernière pour s</w:t>
      </w:r>
      <w:r>
        <w:rPr>
          <w:rFonts w:cs="Times New Roman"/>
          <w:lang w:val="fr-CA"/>
        </w:rPr>
        <w:t>’</w:t>
      </w:r>
      <w:r w:rsidRPr="00DB5AAF">
        <w:rPr>
          <w:rFonts w:cs="Times New Roman"/>
          <w:lang w:val="fr-CA"/>
        </w:rPr>
        <w:t>acquitter de ses obligations en matière de services.</w:t>
      </w:r>
    </w:p>
    <w:p w:rsidR="00784AD2" w:rsidRPr="00DB5AAF" w:rsidRDefault="00784AD2" w:rsidP="005C77BD">
      <w:pPr>
        <w:pStyle w:val="ParaNoNdepar-AltN"/>
        <w:rPr>
          <w:rFonts w:cs="Times New Roman"/>
          <w:lang w:val="fr-CA"/>
        </w:rPr>
      </w:pPr>
      <w:r w:rsidRPr="00DB5AAF">
        <w:rPr>
          <w:rFonts w:cs="Times New Roman"/>
          <w:lang w:val="fr-CA"/>
        </w:rPr>
        <w:t>Les contrats confidentiels ont été introduits dans les modifications apportées en 1987 aux dispositions législatives concernant le transport ferroviaire (</w:t>
      </w:r>
      <w:r w:rsidRPr="00D70DED">
        <w:rPr>
          <w:rFonts w:cs="Times New Roman"/>
          <w:i/>
          <w:lang w:val="fr-CA"/>
        </w:rPr>
        <w:t>Loi nationale de 1987 sur les transports</w:t>
      </w:r>
      <w:r w:rsidRPr="00DB5AAF">
        <w:rPr>
          <w:rFonts w:cs="Times New Roman"/>
          <w:lang w:val="fr-CA"/>
        </w:rPr>
        <w:t xml:space="preserve">, L.C. 1987, </w:t>
      </w:r>
      <w:r>
        <w:rPr>
          <w:rFonts w:cs="Times New Roman"/>
          <w:lang w:val="fr-CA"/>
        </w:rPr>
        <w:t xml:space="preserve">ch. </w:t>
      </w:r>
      <w:r w:rsidRPr="00DB5AAF">
        <w:rPr>
          <w:rFonts w:cs="Times New Roman"/>
          <w:lang w:val="fr-CA"/>
        </w:rPr>
        <w:t xml:space="preserve">34, </w:t>
      </w:r>
      <w:r>
        <w:rPr>
          <w:rFonts w:cs="Times New Roman"/>
          <w:lang w:val="fr-CA"/>
        </w:rPr>
        <w:t xml:space="preserve">art. </w:t>
      </w:r>
      <w:r w:rsidRPr="00DB5AAF">
        <w:rPr>
          <w:rFonts w:cs="Times New Roman"/>
          <w:lang w:val="fr-CA"/>
        </w:rPr>
        <w:t>120).  Le législateur a prévu cette mesure afin de donner plus de souplesse aux négociations menées entre les compagnies de chemin de fer et les expéditeurs au sujet des prix et des services (</w:t>
      </w:r>
      <w:r w:rsidRPr="00DB5AAF">
        <w:rPr>
          <w:rFonts w:cs="Times New Roman"/>
          <w:i/>
          <w:lang w:val="fr-CA"/>
        </w:rPr>
        <w:t>Aller sans entraves</w:t>
      </w:r>
      <w:r>
        <w:rPr>
          <w:rFonts w:cs="Times New Roman"/>
          <w:i/>
          <w:lang w:val="fr-CA"/>
        </w:rPr>
        <w:t> :</w:t>
      </w:r>
      <w:r w:rsidRPr="00DB5AAF">
        <w:rPr>
          <w:rFonts w:cs="Times New Roman"/>
          <w:i/>
          <w:lang w:val="fr-CA"/>
        </w:rPr>
        <w:t xml:space="preserve"> l</w:t>
      </w:r>
      <w:r>
        <w:rPr>
          <w:rFonts w:cs="Times New Roman"/>
          <w:i/>
          <w:lang w:val="fr-CA"/>
        </w:rPr>
        <w:t>’</w:t>
      </w:r>
      <w:r w:rsidRPr="00DB5AAF">
        <w:rPr>
          <w:rFonts w:cs="Times New Roman"/>
          <w:i/>
          <w:lang w:val="fr-CA"/>
        </w:rPr>
        <w:t>étape de la législation</w:t>
      </w:r>
      <w:r>
        <w:rPr>
          <w:rFonts w:cs="Times New Roman"/>
          <w:i/>
          <w:lang w:val="fr-CA"/>
        </w:rPr>
        <w:t> :</w:t>
      </w:r>
      <w:r w:rsidRPr="00DB5AAF">
        <w:rPr>
          <w:rFonts w:cs="Times New Roman"/>
          <w:i/>
          <w:lang w:val="fr-CA"/>
        </w:rPr>
        <w:t xml:space="preserve"> aperçu de la loi nationale sur les transports 1986</w:t>
      </w:r>
      <w:r w:rsidRPr="00DB5AAF">
        <w:rPr>
          <w:rFonts w:cs="Times New Roman"/>
          <w:lang w:val="fr-CA"/>
        </w:rPr>
        <w:t xml:space="preserve"> (1986), </w:t>
      </w:r>
      <w:r>
        <w:rPr>
          <w:rFonts w:cs="Times New Roman"/>
          <w:lang w:val="fr-CA"/>
        </w:rPr>
        <w:t xml:space="preserve">p. </w:t>
      </w:r>
      <w:r w:rsidRPr="00DB5AAF">
        <w:rPr>
          <w:rFonts w:cs="Times New Roman"/>
          <w:lang w:val="fr-CA"/>
        </w:rPr>
        <w:t>8).  Les contrats confidentiels offrent une solution de rechange à l</w:t>
      </w:r>
      <w:r>
        <w:rPr>
          <w:rFonts w:cs="Times New Roman"/>
          <w:lang w:val="fr-CA"/>
        </w:rPr>
        <w:t>’</w:t>
      </w:r>
      <w:r w:rsidRPr="00DB5AAF">
        <w:rPr>
          <w:rFonts w:cs="Times New Roman"/>
          <w:lang w:val="fr-CA"/>
        </w:rPr>
        <w:t>exigence historique selon laquelle une compagnie de chemin de fer ne pouvait facturer un prix relatif au transport que si ce prix était fixé dans un tarif établi et publié par cette compagnie.</w:t>
      </w:r>
    </w:p>
    <w:p w:rsidR="00784AD2" w:rsidRPr="00DB5AAF" w:rsidRDefault="00784AD2" w:rsidP="005C77BD">
      <w:pPr>
        <w:pStyle w:val="ParaNoNdepar-AltN"/>
        <w:rPr>
          <w:rFonts w:cs="Times New Roman"/>
          <w:lang w:val="fr-CA"/>
        </w:rPr>
      </w:pPr>
      <w:r w:rsidRPr="00DB5AAF">
        <w:rPr>
          <w:rFonts w:cs="Times New Roman"/>
          <w:lang w:val="fr-CA"/>
        </w:rPr>
        <w:t>Lorsqu</w:t>
      </w:r>
      <w:r>
        <w:rPr>
          <w:rFonts w:cs="Times New Roman"/>
          <w:lang w:val="fr-CA"/>
        </w:rPr>
        <w:t>’</w:t>
      </w:r>
      <w:r w:rsidRPr="00DB5AAF">
        <w:rPr>
          <w:rFonts w:cs="Times New Roman"/>
          <w:lang w:val="fr-CA"/>
        </w:rPr>
        <w:t>un prix ne figure pas dans un contrat confidentiel, habituellement à l</w:t>
      </w:r>
      <w:r>
        <w:rPr>
          <w:rFonts w:cs="Times New Roman"/>
          <w:lang w:val="fr-CA"/>
        </w:rPr>
        <w:t>’</w:t>
      </w:r>
      <w:r w:rsidRPr="00DB5AAF">
        <w:rPr>
          <w:rFonts w:cs="Times New Roman"/>
          <w:lang w:val="fr-CA"/>
        </w:rPr>
        <w:t>expiration d</w:t>
      </w:r>
      <w:r>
        <w:rPr>
          <w:rFonts w:cs="Times New Roman"/>
          <w:lang w:val="fr-CA"/>
        </w:rPr>
        <w:t>’</w:t>
      </w:r>
      <w:r w:rsidRPr="00DB5AAF">
        <w:rPr>
          <w:rFonts w:cs="Times New Roman"/>
          <w:lang w:val="fr-CA"/>
        </w:rPr>
        <w:t>un tel contrat, l</w:t>
      </w:r>
      <w:r>
        <w:rPr>
          <w:rFonts w:cs="Times New Roman"/>
          <w:lang w:val="fr-CA"/>
        </w:rPr>
        <w:t>’</w:t>
      </w:r>
      <w:r w:rsidRPr="00DB5AAF">
        <w:rPr>
          <w:rFonts w:cs="Times New Roman"/>
          <w:lang w:val="fr-CA"/>
        </w:rPr>
        <w:t>expéditeur insatisfait du prix proposé par la compagnie de chemin de fer peut soumettre la question à l</w:t>
      </w:r>
      <w:r>
        <w:rPr>
          <w:rFonts w:cs="Times New Roman"/>
          <w:lang w:val="fr-CA"/>
        </w:rPr>
        <w:t>’</w:t>
      </w:r>
      <w:r w:rsidRPr="00DB5AAF">
        <w:rPr>
          <w:rFonts w:cs="Times New Roman"/>
          <w:lang w:val="fr-CA"/>
        </w:rPr>
        <w:t>Office en vue d</w:t>
      </w:r>
      <w:r>
        <w:rPr>
          <w:rFonts w:cs="Times New Roman"/>
          <w:lang w:val="fr-CA"/>
        </w:rPr>
        <w:t>’</w:t>
      </w:r>
      <w:r w:rsidRPr="00DB5AAF">
        <w:rPr>
          <w:rFonts w:cs="Times New Roman"/>
          <w:lang w:val="fr-CA"/>
        </w:rPr>
        <w:t xml:space="preserve">un </w:t>
      </w:r>
      <w:r w:rsidRPr="00DB5AAF">
        <w:rPr>
          <w:rFonts w:cs="Times New Roman"/>
          <w:lang w:val="fr-CA"/>
        </w:rPr>
        <w:lastRenderedPageBreak/>
        <w:t>arbitrage (</w:t>
      </w:r>
      <w:r>
        <w:rPr>
          <w:rFonts w:cs="Times New Roman"/>
          <w:lang w:val="fr-CA"/>
        </w:rPr>
        <w:t xml:space="preserve">art. </w:t>
      </w:r>
      <w:r w:rsidRPr="00DB5AAF">
        <w:rPr>
          <w:rFonts w:cs="Times New Roman"/>
          <w:lang w:val="fr-CA"/>
        </w:rPr>
        <w:t xml:space="preserve">161 de la </w:t>
      </w:r>
      <w:r w:rsidRPr="00DB5AAF">
        <w:rPr>
          <w:rFonts w:cs="Times New Roman"/>
          <w:i/>
          <w:lang w:val="fr-CA"/>
        </w:rPr>
        <w:t>Loi</w:t>
      </w:r>
      <w:r w:rsidRPr="00DB5AAF">
        <w:rPr>
          <w:rFonts w:cs="Times New Roman"/>
          <w:lang w:val="fr-CA"/>
        </w:rPr>
        <w:t>).  Ce n</w:t>
      </w:r>
      <w:r>
        <w:rPr>
          <w:rFonts w:cs="Times New Roman"/>
          <w:lang w:val="fr-CA"/>
        </w:rPr>
        <w:t>’</w:t>
      </w:r>
      <w:r w:rsidRPr="00DB5AAF">
        <w:rPr>
          <w:rFonts w:cs="Times New Roman"/>
          <w:lang w:val="fr-CA"/>
        </w:rPr>
        <w:t>est pas l</w:t>
      </w:r>
      <w:r>
        <w:rPr>
          <w:rFonts w:cs="Times New Roman"/>
          <w:lang w:val="fr-CA"/>
        </w:rPr>
        <w:t>’</w:t>
      </w:r>
      <w:r w:rsidRPr="00DB5AAF">
        <w:rPr>
          <w:rFonts w:cs="Times New Roman"/>
          <w:lang w:val="fr-CA"/>
        </w:rPr>
        <w:t>Office lui</w:t>
      </w:r>
      <w:r>
        <w:rPr>
          <w:rFonts w:cs="Times New Roman"/>
          <w:lang w:val="fr-CA"/>
        </w:rPr>
        <w:t>-</w:t>
      </w:r>
      <w:r w:rsidRPr="00DB5AAF">
        <w:rPr>
          <w:rFonts w:cs="Times New Roman"/>
          <w:lang w:val="fr-CA"/>
        </w:rPr>
        <w:t>même qui mène l</w:t>
      </w:r>
      <w:r>
        <w:rPr>
          <w:rFonts w:cs="Times New Roman"/>
          <w:lang w:val="fr-CA"/>
        </w:rPr>
        <w:t>’</w:t>
      </w:r>
      <w:r w:rsidRPr="00DB5AAF">
        <w:rPr>
          <w:rFonts w:cs="Times New Roman"/>
          <w:lang w:val="fr-CA"/>
        </w:rPr>
        <w:t>arbitrage.  Mais si les parties ne s</w:t>
      </w:r>
      <w:r>
        <w:rPr>
          <w:rFonts w:cs="Times New Roman"/>
          <w:lang w:val="fr-CA"/>
        </w:rPr>
        <w:t>’</w:t>
      </w:r>
      <w:r w:rsidRPr="00DB5AAF">
        <w:rPr>
          <w:rFonts w:cs="Times New Roman"/>
          <w:lang w:val="fr-CA"/>
        </w:rPr>
        <w:t>entendent pas sur un arbitre ou si aucun arbitre n</w:t>
      </w:r>
      <w:r>
        <w:rPr>
          <w:rFonts w:cs="Times New Roman"/>
          <w:lang w:val="fr-CA"/>
        </w:rPr>
        <w:t>’</w:t>
      </w:r>
      <w:r w:rsidRPr="00DB5AAF">
        <w:rPr>
          <w:rFonts w:cs="Times New Roman"/>
          <w:lang w:val="fr-CA"/>
        </w:rPr>
        <w:t>est choisi, c</w:t>
      </w:r>
      <w:r>
        <w:rPr>
          <w:rFonts w:cs="Times New Roman"/>
          <w:lang w:val="fr-CA"/>
        </w:rPr>
        <w:t>’</w:t>
      </w:r>
      <w:r w:rsidRPr="00DB5AAF">
        <w:rPr>
          <w:rFonts w:cs="Times New Roman"/>
          <w:lang w:val="fr-CA"/>
        </w:rPr>
        <w:t>est l</w:t>
      </w:r>
      <w:r>
        <w:rPr>
          <w:rFonts w:cs="Times New Roman"/>
          <w:lang w:val="fr-CA"/>
        </w:rPr>
        <w:t>’</w:t>
      </w:r>
      <w:r w:rsidRPr="00DB5AAF">
        <w:rPr>
          <w:rFonts w:cs="Times New Roman"/>
          <w:lang w:val="fr-CA"/>
        </w:rPr>
        <w:t>Office qui le choisit (</w:t>
      </w:r>
      <w:r>
        <w:rPr>
          <w:rFonts w:cs="Times New Roman"/>
          <w:lang w:val="fr-CA"/>
        </w:rPr>
        <w:t xml:space="preserve">al. </w:t>
      </w:r>
      <w:r w:rsidRPr="00DB5AAF">
        <w:rPr>
          <w:rFonts w:cs="Times New Roman"/>
          <w:lang w:val="fr-CA"/>
        </w:rPr>
        <w:t>162(1</w:t>
      </w:r>
      <w:proofErr w:type="gramStart"/>
      <w:r w:rsidRPr="00DB5AAF">
        <w:rPr>
          <w:rFonts w:cs="Times New Roman"/>
          <w:lang w:val="fr-CA"/>
        </w:rPr>
        <w:t>)</w:t>
      </w:r>
      <w:r w:rsidRPr="00DB5AAF">
        <w:rPr>
          <w:rFonts w:cs="Times New Roman"/>
          <w:i/>
          <w:iCs/>
          <w:lang w:val="fr-CA"/>
        </w:rPr>
        <w:t>a</w:t>
      </w:r>
      <w:proofErr w:type="gramEnd"/>
      <w:r w:rsidRPr="00DB5AAF">
        <w:rPr>
          <w:rFonts w:cs="Times New Roman"/>
          <w:lang w:val="fr-CA"/>
        </w:rPr>
        <w:t xml:space="preserve">) de la </w:t>
      </w:r>
      <w:r w:rsidRPr="00DB5AAF">
        <w:rPr>
          <w:rFonts w:cs="Times New Roman"/>
          <w:i/>
          <w:lang w:val="fr-CA"/>
        </w:rPr>
        <w:t>Loi</w:t>
      </w:r>
      <w:r w:rsidRPr="00DB5AAF">
        <w:rPr>
          <w:rFonts w:cs="Times New Roman"/>
          <w:lang w:val="fr-CA"/>
        </w:rPr>
        <w:t>).  Toutefois, une partie à un contrat confidentiel ne peut soumettre à l</w:t>
      </w:r>
      <w:r>
        <w:rPr>
          <w:rFonts w:cs="Times New Roman"/>
          <w:lang w:val="fr-CA"/>
        </w:rPr>
        <w:t>’</w:t>
      </w:r>
      <w:r w:rsidRPr="00DB5AAF">
        <w:rPr>
          <w:rFonts w:cs="Times New Roman"/>
          <w:lang w:val="fr-CA"/>
        </w:rPr>
        <w:t>Office pour arbitrage une question régie par le contrat confidentiel que si les parties y consentent (</w:t>
      </w:r>
      <w:r>
        <w:rPr>
          <w:rFonts w:cs="Times New Roman"/>
          <w:lang w:val="fr-CA"/>
        </w:rPr>
        <w:t xml:space="preserve">par. </w:t>
      </w:r>
      <w:r w:rsidRPr="00DB5AAF">
        <w:rPr>
          <w:rFonts w:cs="Times New Roman"/>
          <w:lang w:val="fr-CA"/>
        </w:rPr>
        <w:t xml:space="preserve">126(2) de la </w:t>
      </w:r>
      <w:r w:rsidRPr="00DB5AAF">
        <w:rPr>
          <w:rFonts w:cs="Times New Roman"/>
          <w:i/>
          <w:lang w:val="fr-CA"/>
        </w:rPr>
        <w:t>Loi</w:t>
      </w:r>
      <w:r w:rsidRPr="00DB5AAF">
        <w:rPr>
          <w:rFonts w:cs="Times New Roman"/>
          <w:lang w:val="fr-CA"/>
        </w:rPr>
        <w:t>).</w:t>
      </w:r>
    </w:p>
    <w:p w:rsidR="00784AD2" w:rsidRPr="00DB5AAF" w:rsidRDefault="00784AD2" w:rsidP="005C77BD">
      <w:pPr>
        <w:pStyle w:val="ParaNoNdepar-AltN"/>
        <w:rPr>
          <w:rFonts w:cs="Times New Roman"/>
          <w:lang w:val="fr-CA"/>
        </w:rPr>
      </w:pPr>
      <w:r w:rsidRPr="00DB5AAF">
        <w:rPr>
          <w:rFonts w:cs="Times New Roman"/>
          <w:lang w:val="fr-CA"/>
        </w:rPr>
        <w:t>Comme l</w:t>
      </w:r>
      <w:r>
        <w:rPr>
          <w:rFonts w:cs="Times New Roman"/>
          <w:lang w:val="fr-CA"/>
        </w:rPr>
        <w:t>’</w:t>
      </w:r>
      <w:r w:rsidRPr="00DB5AAF">
        <w:rPr>
          <w:rFonts w:cs="Times New Roman"/>
          <w:lang w:val="fr-CA"/>
        </w:rPr>
        <w:t>a établi la preuve produite en l</w:t>
      </w:r>
      <w:r>
        <w:rPr>
          <w:rFonts w:cs="Times New Roman"/>
          <w:lang w:val="fr-CA"/>
        </w:rPr>
        <w:t>’</w:t>
      </w:r>
      <w:r w:rsidRPr="00DB5AAF">
        <w:rPr>
          <w:rFonts w:cs="Times New Roman"/>
          <w:lang w:val="fr-CA"/>
        </w:rPr>
        <w:t>espèce, il est d</w:t>
      </w:r>
      <w:r>
        <w:rPr>
          <w:rFonts w:cs="Times New Roman"/>
          <w:lang w:val="fr-CA"/>
        </w:rPr>
        <w:t>’</w:t>
      </w:r>
      <w:r w:rsidRPr="00DB5AAF">
        <w:rPr>
          <w:rFonts w:cs="Times New Roman"/>
          <w:lang w:val="fr-CA"/>
        </w:rPr>
        <w:t>usage dans l</w:t>
      </w:r>
      <w:r>
        <w:rPr>
          <w:rFonts w:cs="Times New Roman"/>
          <w:lang w:val="fr-CA"/>
        </w:rPr>
        <w:t>’</w:t>
      </w:r>
      <w:r w:rsidRPr="00DB5AAF">
        <w:rPr>
          <w:rFonts w:cs="Times New Roman"/>
          <w:lang w:val="fr-CA"/>
        </w:rPr>
        <w:t>industrie du transport ferroviaire d</w:t>
      </w:r>
      <w:r>
        <w:rPr>
          <w:rFonts w:cs="Times New Roman"/>
          <w:lang w:val="fr-CA"/>
        </w:rPr>
        <w:t>’</w:t>
      </w:r>
      <w:r w:rsidRPr="00DB5AAF">
        <w:rPr>
          <w:rFonts w:cs="Times New Roman"/>
          <w:lang w:val="fr-CA"/>
        </w:rPr>
        <w:t>inclure dans un contrat confidentiel une clause qui incorpore par renvoi la totalité des tarifs de la compagnie de chemin de fer qui visent les frais connexes et accessoires (requête de l</w:t>
      </w:r>
      <w:r>
        <w:rPr>
          <w:rFonts w:cs="Times New Roman"/>
          <w:lang w:val="fr-CA"/>
        </w:rPr>
        <w:t>’</w:t>
      </w:r>
      <w:r w:rsidRPr="00DB5AAF">
        <w:rPr>
          <w:rFonts w:cs="Times New Roman"/>
          <w:lang w:val="fr-CA"/>
        </w:rPr>
        <w:t xml:space="preserve">ACTI, </w:t>
      </w:r>
      <w:r>
        <w:rPr>
          <w:rFonts w:cs="Times New Roman"/>
          <w:lang w:val="fr-CA"/>
        </w:rPr>
        <w:t xml:space="preserve">par. </w:t>
      </w:r>
      <w:r w:rsidRPr="00DB5AAF">
        <w:rPr>
          <w:rFonts w:cs="Times New Roman"/>
          <w:lang w:val="fr-CA"/>
        </w:rPr>
        <w:t>27, citée dans les motifs de la Cour d</w:t>
      </w:r>
      <w:r>
        <w:rPr>
          <w:rFonts w:cs="Times New Roman"/>
          <w:lang w:val="fr-CA"/>
        </w:rPr>
        <w:t>’</w:t>
      </w:r>
      <w:r w:rsidRPr="00DB5AAF">
        <w:rPr>
          <w:rFonts w:cs="Times New Roman"/>
          <w:lang w:val="fr-CA"/>
        </w:rPr>
        <w:t xml:space="preserve">appel fédérale, </w:t>
      </w:r>
      <w:r>
        <w:rPr>
          <w:rFonts w:cs="Times New Roman"/>
          <w:lang w:val="fr-CA"/>
        </w:rPr>
        <w:t xml:space="preserve">par. </w:t>
      </w:r>
      <w:r w:rsidRPr="00DB5AAF">
        <w:rPr>
          <w:rFonts w:cs="Times New Roman"/>
          <w:lang w:val="fr-CA"/>
        </w:rPr>
        <w:t xml:space="preserve">38). </w:t>
      </w:r>
    </w:p>
    <w:p w:rsidR="00784AD2" w:rsidRPr="00DB5AAF" w:rsidRDefault="00784AD2" w:rsidP="005C77BD">
      <w:pPr>
        <w:pStyle w:val="Title1LevelTitre1Niveau-AltL"/>
        <w:rPr>
          <w:rFonts w:cs="Times New Roman"/>
          <w:lang w:val="fr-CA"/>
        </w:rPr>
      </w:pPr>
      <w:r w:rsidRPr="00DB5AAF">
        <w:rPr>
          <w:rFonts w:cs="Times New Roman"/>
          <w:lang w:val="fr-CA"/>
        </w:rPr>
        <w:t>Analyse</w:t>
      </w:r>
    </w:p>
    <w:p w:rsidR="00784AD2" w:rsidRPr="00DB5AAF" w:rsidRDefault="00784AD2" w:rsidP="005C77BD">
      <w:pPr>
        <w:pStyle w:val="Title2LevelTitre2Niveau"/>
        <w:rPr>
          <w:rFonts w:cs="Times New Roman"/>
          <w:lang w:val="fr-CA"/>
        </w:rPr>
      </w:pPr>
      <w:r w:rsidRPr="00DB5AAF">
        <w:rPr>
          <w:rFonts w:cs="Times New Roman"/>
          <w:lang w:val="fr-CA"/>
        </w:rPr>
        <w:t>Nature de la question à laquelle le gouverneur en conseil a répondu</w:t>
      </w:r>
    </w:p>
    <w:p w:rsidR="00784AD2" w:rsidRPr="00DB5AAF" w:rsidRDefault="00784AD2" w:rsidP="005C77BD">
      <w:pPr>
        <w:pStyle w:val="ParaNoNdepar-AltN"/>
        <w:rPr>
          <w:rFonts w:cs="Times New Roman"/>
          <w:lang w:val="fr-CA"/>
        </w:rPr>
      </w:pPr>
      <w:r w:rsidRPr="00DB5AAF">
        <w:rPr>
          <w:rFonts w:cs="Times New Roman"/>
          <w:lang w:val="fr-CA"/>
        </w:rPr>
        <w:t>Le gouverneur en conseil a annulé la décision de l</w:t>
      </w:r>
      <w:r>
        <w:rPr>
          <w:rFonts w:cs="Times New Roman"/>
          <w:lang w:val="fr-CA"/>
        </w:rPr>
        <w:t>’</w:t>
      </w:r>
      <w:r w:rsidRPr="00DB5AAF">
        <w:rPr>
          <w:rFonts w:cs="Times New Roman"/>
          <w:lang w:val="fr-CA"/>
        </w:rPr>
        <w:t>Office.  PRC fait valoir — et la Cour d</w:t>
      </w:r>
      <w:r>
        <w:rPr>
          <w:rFonts w:cs="Times New Roman"/>
          <w:lang w:val="fr-CA"/>
        </w:rPr>
        <w:t>’</w:t>
      </w:r>
      <w:r w:rsidRPr="00DB5AAF">
        <w:rPr>
          <w:rFonts w:cs="Times New Roman"/>
          <w:lang w:val="fr-CA"/>
        </w:rPr>
        <w:t>appel fédérale a conclu — que la question soumise au gouverneur en conseil était de nature essentiellement factuelle et qu</w:t>
      </w:r>
      <w:r>
        <w:rPr>
          <w:rFonts w:cs="Times New Roman"/>
          <w:lang w:val="fr-CA"/>
        </w:rPr>
        <w:t>’</w:t>
      </w:r>
      <w:r w:rsidRPr="00DB5AAF">
        <w:rPr>
          <w:rFonts w:cs="Times New Roman"/>
          <w:lang w:val="fr-CA"/>
        </w:rPr>
        <w:t>elle comportait aussi un élément de politique.  PRC soutient que l</w:t>
      </w:r>
      <w:r>
        <w:rPr>
          <w:rFonts w:cs="Times New Roman"/>
          <w:lang w:val="fr-CA"/>
        </w:rPr>
        <w:t>’</w:t>
      </w:r>
      <w:r w:rsidRPr="00DB5AAF">
        <w:rPr>
          <w:rFonts w:cs="Times New Roman"/>
          <w:lang w:val="fr-CA"/>
        </w:rPr>
        <w:t>Office a mal interprété sa demande, car elle ne cherchait pas en fait à faire modifier les conditions de son contrat confidentiel.  PRC allègue plutôt qu</w:t>
      </w:r>
      <w:r>
        <w:rPr>
          <w:rFonts w:cs="Times New Roman"/>
          <w:lang w:val="fr-CA"/>
        </w:rPr>
        <w:t>’</w:t>
      </w:r>
      <w:r w:rsidRPr="00DB5AAF">
        <w:rPr>
          <w:rFonts w:cs="Times New Roman"/>
          <w:lang w:val="fr-CA"/>
        </w:rPr>
        <w:t>une conclusion de l</w:t>
      </w:r>
      <w:r>
        <w:rPr>
          <w:rFonts w:cs="Times New Roman"/>
          <w:lang w:val="fr-CA"/>
        </w:rPr>
        <w:t>’</w:t>
      </w:r>
      <w:r w:rsidRPr="00DB5AAF">
        <w:rPr>
          <w:rFonts w:cs="Times New Roman"/>
          <w:lang w:val="fr-CA"/>
        </w:rPr>
        <w:t>Office selon laquelle le supplément carburant que prescrit le tarif</w:t>
      </w:r>
      <w:r>
        <w:rPr>
          <w:rFonts w:cs="Times New Roman"/>
          <w:lang w:val="fr-CA"/>
        </w:rPr>
        <w:t xml:space="preserve"> </w:t>
      </w:r>
      <w:r w:rsidRPr="00DB5AAF">
        <w:rPr>
          <w:rFonts w:cs="Times New Roman"/>
          <w:lang w:val="fr-CA"/>
        </w:rPr>
        <w:t>7402 est déraisonnable pourrait donner lieu à une ordonnance par laquelle l</w:t>
      </w:r>
      <w:r>
        <w:rPr>
          <w:rFonts w:cs="Times New Roman"/>
          <w:lang w:val="fr-CA"/>
        </w:rPr>
        <w:t>’</w:t>
      </w:r>
      <w:r w:rsidRPr="00DB5AAF">
        <w:rPr>
          <w:rFonts w:cs="Times New Roman"/>
          <w:lang w:val="fr-CA"/>
        </w:rPr>
        <w:t xml:space="preserve">Office obligerait le CN à modifier le supplément </w:t>
      </w:r>
      <w:r w:rsidRPr="00DB5AAF">
        <w:rPr>
          <w:rFonts w:cs="Times New Roman"/>
          <w:lang w:val="fr-CA"/>
        </w:rPr>
        <w:lastRenderedPageBreak/>
        <w:t>carburant, de sorte que les expéditeurs assujettis au tarif</w:t>
      </w:r>
      <w:r>
        <w:rPr>
          <w:rFonts w:cs="Times New Roman"/>
          <w:lang w:val="fr-CA"/>
        </w:rPr>
        <w:t xml:space="preserve"> </w:t>
      </w:r>
      <w:r w:rsidRPr="00DB5AAF">
        <w:rPr>
          <w:rFonts w:cs="Times New Roman"/>
          <w:lang w:val="fr-CA"/>
        </w:rPr>
        <w:t>7402 — et PRC en fait partie — seraient assujettis à un seuil supérieur.  Si j</w:t>
      </w:r>
      <w:r>
        <w:rPr>
          <w:rFonts w:cs="Times New Roman"/>
          <w:lang w:val="fr-CA"/>
        </w:rPr>
        <w:t>’</w:t>
      </w:r>
      <w:r w:rsidRPr="00DB5AAF">
        <w:rPr>
          <w:rFonts w:cs="Times New Roman"/>
          <w:lang w:val="fr-CA"/>
        </w:rPr>
        <w:t>ai bien compris, PRC adopte cette position parce que le contrat confidentiel stipule que, comme les suppléments carburant feraient l</w:t>
      </w:r>
      <w:r>
        <w:rPr>
          <w:rFonts w:cs="Times New Roman"/>
          <w:lang w:val="fr-CA"/>
        </w:rPr>
        <w:t>’</w:t>
      </w:r>
      <w:r w:rsidRPr="00DB5AAF">
        <w:rPr>
          <w:rFonts w:cs="Times New Roman"/>
          <w:lang w:val="fr-CA"/>
        </w:rPr>
        <w:t>objet d</w:t>
      </w:r>
      <w:r>
        <w:rPr>
          <w:rFonts w:cs="Times New Roman"/>
          <w:lang w:val="fr-CA"/>
        </w:rPr>
        <w:t>’</w:t>
      </w:r>
      <w:r w:rsidRPr="00DB5AAF">
        <w:rPr>
          <w:rFonts w:cs="Times New Roman"/>
          <w:lang w:val="fr-CA"/>
        </w:rPr>
        <w:t>ajouts au tarif</w:t>
      </w:r>
      <w:r>
        <w:rPr>
          <w:rFonts w:cs="Times New Roman"/>
          <w:lang w:val="fr-CA"/>
        </w:rPr>
        <w:t xml:space="preserve"> </w:t>
      </w:r>
      <w:r w:rsidRPr="00DB5AAF">
        <w:rPr>
          <w:rFonts w:cs="Times New Roman"/>
          <w:lang w:val="fr-CA"/>
        </w:rPr>
        <w:t>7402 ou de rééditions de ce dernier, tout changement apporté au supplément carburant serait incorporé par renvoi au contrat confidentiel en raison de la publication d</w:t>
      </w:r>
      <w:r>
        <w:rPr>
          <w:rFonts w:cs="Times New Roman"/>
          <w:lang w:val="fr-CA"/>
        </w:rPr>
        <w:t>’</w:t>
      </w:r>
      <w:r w:rsidRPr="00DB5AAF">
        <w:rPr>
          <w:rFonts w:cs="Times New Roman"/>
          <w:lang w:val="fr-CA"/>
        </w:rPr>
        <w:t>un tel ajout ou d</w:t>
      </w:r>
      <w:r>
        <w:rPr>
          <w:rFonts w:cs="Times New Roman"/>
          <w:lang w:val="fr-CA"/>
        </w:rPr>
        <w:t>’</w:t>
      </w:r>
      <w:r w:rsidRPr="00DB5AAF">
        <w:rPr>
          <w:rFonts w:cs="Times New Roman"/>
          <w:lang w:val="fr-CA"/>
        </w:rPr>
        <w:t>une telle réédition, sans que cela constitue une modification au contrat.  De ce fait, l</w:t>
      </w:r>
      <w:r>
        <w:rPr>
          <w:rFonts w:cs="Times New Roman"/>
          <w:lang w:val="fr-CA"/>
        </w:rPr>
        <w:t>’</w:t>
      </w:r>
      <w:r w:rsidRPr="00DB5AAF">
        <w:rPr>
          <w:rFonts w:cs="Times New Roman"/>
          <w:lang w:val="fr-CA"/>
        </w:rPr>
        <w:t>Office a mal interprété la demande de PRC et le gouverneur en conseil a simplement exprimé son désaccord avec l</w:t>
      </w:r>
      <w:r>
        <w:rPr>
          <w:rFonts w:cs="Times New Roman"/>
          <w:lang w:val="fr-CA"/>
        </w:rPr>
        <w:t>’</w:t>
      </w:r>
      <w:r w:rsidRPr="00DB5AAF">
        <w:rPr>
          <w:rFonts w:cs="Times New Roman"/>
          <w:lang w:val="fr-CA"/>
        </w:rPr>
        <w:t>Office à cet égard — une question de fait qui, dit</w:t>
      </w:r>
      <w:r>
        <w:rPr>
          <w:rFonts w:cs="Times New Roman"/>
          <w:lang w:val="fr-CA"/>
        </w:rPr>
        <w:t>-</w:t>
      </w:r>
      <w:r w:rsidRPr="00DB5AAF">
        <w:rPr>
          <w:rFonts w:cs="Times New Roman"/>
          <w:lang w:val="fr-CA"/>
        </w:rPr>
        <w:t>elle, comportait un élément de politique à la lumière de l</w:t>
      </w:r>
      <w:r>
        <w:rPr>
          <w:rFonts w:cs="Times New Roman"/>
          <w:lang w:val="fr-CA"/>
        </w:rPr>
        <w:t>’</w:t>
      </w:r>
      <w:r w:rsidRPr="00DB5AAF">
        <w:rPr>
          <w:rFonts w:cs="Times New Roman"/>
          <w:lang w:val="fr-CA"/>
        </w:rPr>
        <w:t>objet de l</w:t>
      </w:r>
      <w:r>
        <w:rPr>
          <w:rFonts w:cs="Times New Roman"/>
          <w:lang w:val="fr-CA"/>
        </w:rPr>
        <w:t xml:space="preserve">’art. </w:t>
      </w:r>
      <w:r w:rsidRPr="00DB5AAF">
        <w:rPr>
          <w:rFonts w:cs="Times New Roman"/>
          <w:lang w:val="fr-CA"/>
        </w:rPr>
        <w:t xml:space="preserve">120.1. </w:t>
      </w:r>
    </w:p>
    <w:p w:rsidR="00784AD2" w:rsidRPr="00DB5AAF" w:rsidRDefault="00784AD2" w:rsidP="005C77BD">
      <w:pPr>
        <w:pStyle w:val="ParaNoNdepar-AltN"/>
        <w:rPr>
          <w:rFonts w:cs="Times New Roman"/>
          <w:lang w:val="fr-CA"/>
        </w:rPr>
      </w:pPr>
      <w:r w:rsidRPr="00DB5AAF">
        <w:rPr>
          <w:rFonts w:cs="Times New Roman"/>
          <w:lang w:val="fr-CA"/>
        </w:rPr>
        <w:t>Le décret contenait deux conclusions clés. Premièrement, le gouverneur en conseil a conclu que la plainte de PRC était dans l</w:t>
      </w:r>
      <w:r>
        <w:rPr>
          <w:rFonts w:cs="Times New Roman"/>
          <w:lang w:val="fr-CA"/>
        </w:rPr>
        <w:t>’</w:t>
      </w:r>
      <w:r w:rsidRPr="00DB5AAF">
        <w:rPr>
          <w:rFonts w:cs="Times New Roman"/>
          <w:lang w:val="fr-CA"/>
        </w:rPr>
        <w:t>intérêt de tous les expéditeurs assujettis au supplément carburant contenu dans le tarif</w:t>
      </w:r>
      <w:r>
        <w:rPr>
          <w:rFonts w:cs="Times New Roman"/>
          <w:lang w:val="fr-CA"/>
        </w:rPr>
        <w:t xml:space="preserve"> </w:t>
      </w:r>
      <w:r w:rsidRPr="00DB5AAF">
        <w:rPr>
          <w:rFonts w:cs="Times New Roman"/>
          <w:lang w:val="fr-CA"/>
        </w:rPr>
        <w:t>7402.  Ce tarif s</w:t>
      </w:r>
      <w:r>
        <w:rPr>
          <w:rFonts w:cs="Times New Roman"/>
          <w:lang w:val="fr-CA"/>
        </w:rPr>
        <w:t>’</w:t>
      </w:r>
      <w:r w:rsidRPr="00DB5AAF">
        <w:rPr>
          <w:rFonts w:cs="Times New Roman"/>
          <w:lang w:val="fr-CA"/>
        </w:rPr>
        <w:t>appliquait à plus d</w:t>
      </w:r>
      <w:r>
        <w:rPr>
          <w:rFonts w:cs="Times New Roman"/>
          <w:lang w:val="fr-CA"/>
        </w:rPr>
        <w:t>’</w:t>
      </w:r>
      <w:r w:rsidRPr="00DB5AAF">
        <w:rPr>
          <w:rFonts w:cs="Times New Roman"/>
          <w:lang w:val="fr-CA"/>
        </w:rPr>
        <w:t>un expéditeur et n</w:t>
      </w:r>
      <w:r>
        <w:rPr>
          <w:rFonts w:cs="Times New Roman"/>
          <w:lang w:val="fr-CA"/>
        </w:rPr>
        <w:t>’</w:t>
      </w:r>
      <w:r w:rsidRPr="00DB5AAF">
        <w:rPr>
          <w:rFonts w:cs="Times New Roman"/>
          <w:lang w:val="fr-CA"/>
        </w:rPr>
        <w:t xml:space="preserve">était pas visé au </w:t>
      </w:r>
      <w:r>
        <w:rPr>
          <w:rFonts w:cs="Times New Roman"/>
          <w:lang w:val="fr-CA"/>
        </w:rPr>
        <w:t xml:space="preserve">par. </w:t>
      </w:r>
      <w:r w:rsidRPr="00DB5AAF">
        <w:rPr>
          <w:rFonts w:cs="Times New Roman"/>
          <w:lang w:val="fr-CA"/>
        </w:rPr>
        <w:t xml:space="preserve">165(3) de la </w:t>
      </w:r>
      <w:r w:rsidRPr="00DB5AAF">
        <w:rPr>
          <w:rFonts w:cs="Times New Roman"/>
          <w:i/>
          <w:lang w:val="fr-CA"/>
        </w:rPr>
        <w:t>Loi</w:t>
      </w:r>
      <w:r w:rsidRPr="00DB5AAF">
        <w:rPr>
          <w:rFonts w:cs="Times New Roman"/>
          <w:lang w:val="fr-CA"/>
        </w:rPr>
        <w:t xml:space="preserve"> (un tarif découlant d</w:t>
      </w:r>
      <w:r>
        <w:rPr>
          <w:rFonts w:cs="Times New Roman"/>
          <w:lang w:val="fr-CA"/>
        </w:rPr>
        <w:t>’</w:t>
      </w:r>
      <w:r w:rsidRPr="00DB5AAF">
        <w:rPr>
          <w:rFonts w:cs="Times New Roman"/>
          <w:lang w:val="fr-CA"/>
        </w:rPr>
        <w:t>une décision d</w:t>
      </w:r>
      <w:r>
        <w:rPr>
          <w:rFonts w:cs="Times New Roman"/>
          <w:lang w:val="fr-CA"/>
        </w:rPr>
        <w:t>’</w:t>
      </w:r>
      <w:r w:rsidRPr="00DB5AAF">
        <w:rPr>
          <w:rFonts w:cs="Times New Roman"/>
          <w:lang w:val="fr-CA"/>
        </w:rPr>
        <w:t>un arbitre).  Étant donné qu</w:t>
      </w:r>
      <w:r>
        <w:rPr>
          <w:rFonts w:cs="Times New Roman"/>
          <w:lang w:val="fr-CA"/>
        </w:rPr>
        <w:t>’</w:t>
      </w:r>
      <w:r w:rsidRPr="00DB5AAF">
        <w:rPr>
          <w:rFonts w:cs="Times New Roman"/>
          <w:lang w:val="fr-CA"/>
        </w:rPr>
        <w:t>il s</w:t>
      </w:r>
      <w:r>
        <w:rPr>
          <w:rFonts w:cs="Times New Roman"/>
          <w:lang w:val="fr-CA"/>
        </w:rPr>
        <w:t>’</w:t>
      </w:r>
      <w:r w:rsidRPr="00DB5AAF">
        <w:rPr>
          <w:rFonts w:cs="Times New Roman"/>
          <w:lang w:val="fr-CA"/>
        </w:rPr>
        <w:t xml:space="preserve">agit là des conditions que prévoit la </w:t>
      </w:r>
      <w:r w:rsidRPr="00DB5AAF">
        <w:rPr>
          <w:rFonts w:cs="Times New Roman"/>
          <w:i/>
          <w:lang w:val="fr-CA"/>
        </w:rPr>
        <w:t>Loi</w:t>
      </w:r>
      <w:r w:rsidRPr="00DB5AAF">
        <w:rPr>
          <w:rFonts w:cs="Times New Roman"/>
          <w:lang w:val="fr-CA"/>
        </w:rPr>
        <w:t xml:space="preserve"> pour le dépôt d</w:t>
      </w:r>
      <w:r>
        <w:rPr>
          <w:rFonts w:cs="Times New Roman"/>
          <w:lang w:val="fr-CA"/>
        </w:rPr>
        <w:t>’</w:t>
      </w:r>
      <w:r w:rsidRPr="00DB5AAF">
        <w:rPr>
          <w:rFonts w:cs="Times New Roman"/>
          <w:lang w:val="fr-CA"/>
        </w:rPr>
        <w:t>une plainte, la demande de PRC satisfaisait aux exigences de l</w:t>
      </w:r>
      <w:r>
        <w:rPr>
          <w:rFonts w:cs="Times New Roman"/>
          <w:lang w:val="fr-CA"/>
        </w:rPr>
        <w:t xml:space="preserve">’art. </w:t>
      </w:r>
      <w:r w:rsidRPr="00DB5AAF">
        <w:rPr>
          <w:rFonts w:cs="Times New Roman"/>
          <w:lang w:val="fr-CA"/>
        </w:rPr>
        <w:t xml:space="preserve">120.1 de la </w:t>
      </w:r>
      <w:r w:rsidRPr="00DB5AAF">
        <w:rPr>
          <w:rFonts w:cs="Times New Roman"/>
          <w:i/>
          <w:lang w:val="fr-CA"/>
        </w:rPr>
        <w:t>Loi</w:t>
      </w:r>
      <w:r w:rsidRPr="00DB5AAF">
        <w:rPr>
          <w:rFonts w:cs="Times New Roman"/>
          <w:lang w:val="fr-CA"/>
        </w:rPr>
        <w:t>.</w:t>
      </w:r>
    </w:p>
    <w:p w:rsidR="00784AD2" w:rsidRPr="00DB5AAF" w:rsidRDefault="00DE54B2" w:rsidP="005C77BD">
      <w:pPr>
        <w:pStyle w:val="ParaNoNdepar-AltN"/>
        <w:rPr>
          <w:rFonts w:cs="Times New Roman"/>
          <w:lang w:val="fr-CA"/>
        </w:rPr>
      </w:pPr>
      <w:r>
        <w:rPr>
          <w:rFonts w:cs="Times New Roman"/>
          <w:lang w:val="fr-CA"/>
        </w:rPr>
        <w:t>Deuxièmement</w:t>
      </w:r>
      <w:r w:rsidR="00784AD2" w:rsidRPr="00DB5AAF">
        <w:rPr>
          <w:rFonts w:cs="Times New Roman"/>
          <w:lang w:val="fr-CA"/>
        </w:rPr>
        <w:t>, le gouverneur en conseil a décidé que, même si l</w:t>
      </w:r>
      <w:r w:rsidR="00784AD2">
        <w:rPr>
          <w:rFonts w:cs="Times New Roman"/>
          <w:lang w:val="fr-CA"/>
        </w:rPr>
        <w:t>’</w:t>
      </w:r>
      <w:r w:rsidR="00784AD2" w:rsidRPr="00DB5AAF">
        <w:rPr>
          <w:rFonts w:cs="Times New Roman"/>
          <w:lang w:val="fr-CA"/>
        </w:rPr>
        <w:t>existence et les conditions d</w:t>
      </w:r>
      <w:r w:rsidR="00784AD2">
        <w:rPr>
          <w:rFonts w:cs="Times New Roman"/>
          <w:lang w:val="fr-CA"/>
        </w:rPr>
        <w:t>’</w:t>
      </w:r>
      <w:r w:rsidR="00784AD2" w:rsidRPr="00DB5AAF">
        <w:rPr>
          <w:rFonts w:cs="Times New Roman"/>
          <w:lang w:val="fr-CA"/>
        </w:rPr>
        <w:t>un contrat confidentiel entre une compagnie de chemin de fer et un plaignant sont pertinentes pour déterminer si le plaignant profitera d</w:t>
      </w:r>
      <w:r w:rsidR="00784AD2">
        <w:rPr>
          <w:rFonts w:cs="Times New Roman"/>
          <w:lang w:val="fr-CA"/>
        </w:rPr>
        <w:t>’</w:t>
      </w:r>
      <w:r w:rsidR="00784AD2" w:rsidRPr="00DB5AAF">
        <w:rPr>
          <w:rFonts w:cs="Times New Roman"/>
          <w:lang w:val="fr-CA"/>
        </w:rPr>
        <w:t>une ordonnance que rend l</w:t>
      </w:r>
      <w:r w:rsidR="00784AD2">
        <w:rPr>
          <w:rFonts w:cs="Times New Roman"/>
          <w:lang w:val="fr-CA"/>
        </w:rPr>
        <w:t>’</w:t>
      </w:r>
      <w:r w:rsidR="00784AD2" w:rsidRPr="00DB5AAF">
        <w:rPr>
          <w:rFonts w:cs="Times New Roman"/>
          <w:lang w:val="fr-CA"/>
        </w:rPr>
        <w:t xml:space="preserve">Office en vertu de cette disposition, un contrat de cette nature </w:t>
      </w:r>
      <w:r w:rsidR="00784AD2" w:rsidRPr="00DB5AAF">
        <w:rPr>
          <w:rFonts w:cs="Times New Roman"/>
          <w:lang w:val="fr-CA"/>
        </w:rPr>
        <w:lastRenderedPageBreak/>
        <w:t>n</w:t>
      </w:r>
      <w:r w:rsidR="00784AD2">
        <w:rPr>
          <w:rFonts w:cs="Times New Roman"/>
          <w:lang w:val="fr-CA"/>
        </w:rPr>
        <w:t>’</w:t>
      </w:r>
      <w:r w:rsidR="00784AD2" w:rsidRPr="00DB5AAF">
        <w:rPr>
          <w:rFonts w:cs="Times New Roman"/>
          <w:lang w:val="fr-CA"/>
        </w:rPr>
        <w:t>a aucune incidence sur le caractère raisonnable des frais figurant dans un tarif applicable à plus d</w:t>
      </w:r>
      <w:r w:rsidR="00784AD2">
        <w:rPr>
          <w:rFonts w:cs="Times New Roman"/>
          <w:lang w:val="fr-CA"/>
        </w:rPr>
        <w:t>’</w:t>
      </w:r>
      <w:r w:rsidR="00784AD2" w:rsidRPr="00DB5AAF">
        <w:rPr>
          <w:rFonts w:cs="Times New Roman"/>
          <w:lang w:val="fr-CA"/>
        </w:rPr>
        <w:t>un expéditeur.</w:t>
      </w:r>
    </w:p>
    <w:p w:rsidR="00784AD2" w:rsidRPr="00DB5AAF" w:rsidRDefault="00784AD2" w:rsidP="005C77BD">
      <w:pPr>
        <w:pStyle w:val="ParaNoNdepar-AltN"/>
        <w:rPr>
          <w:rFonts w:cs="Times New Roman"/>
          <w:lang w:val="fr-CA"/>
        </w:rPr>
      </w:pPr>
      <w:r w:rsidRPr="00DB5AAF">
        <w:rPr>
          <w:rFonts w:cs="Times New Roman"/>
          <w:lang w:val="fr-CA"/>
        </w:rPr>
        <w:t>Compte tenu de ces deux conclusions, le gouverneur en conseil a décidé que l</w:t>
      </w:r>
      <w:r>
        <w:rPr>
          <w:rFonts w:cs="Times New Roman"/>
          <w:lang w:val="fr-CA"/>
        </w:rPr>
        <w:t>’</w:t>
      </w:r>
      <w:r w:rsidRPr="00DB5AAF">
        <w:rPr>
          <w:rFonts w:cs="Times New Roman"/>
          <w:lang w:val="fr-CA"/>
        </w:rPr>
        <w:t>Office pouvait instruire la plainte déposée par une partie à un contrat confidentiel en vertu de l</w:t>
      </w:r>
      <w:r>
        <w:rPr>
          <w:rFonts w:cs="Times New Roman"/>
          <w:lang w:val="fr-CA"/>
        </w:rPr>
        <w:t xml:space="preserve">’art. </w:t>
      </w:r>
      <w:r w:rsidRPr="00DB5AAF">
        <w:rPr>
          <w:rFonts w:cs="Times New Roman"/>
          <w:lang w:val="fr-CA"/>
        </w:rPr>
        <w:t>120.1.  Les conclusions clés du gouverneur en conseil impliquent forcément que, lorsqu</w:t>
      </w:r>
      <w:r>
        <w:rPr>
          <w:rFonts w:cs="Times New Roman"/>
          <w:lang w:val="fr-CA"/>
        </w:rPr>
        <w:t>’</w:t>
      </w:r>
      <w:r w:rsidRPr="00DB5AAF">
        <w:rPr>
          <w:rFonts w:cs="Times New Roman"/>
          <w:lang w:val="fr-CA"/>
        </w:rPr>
        <w:t xml:space="preserve">un demandeur satisfait aux exigences du </w:t>
      </w:r>
      <w:r>
        <w:rPr>
          <w:rFonts w:cs="Times New Roman"/>
          <w:lang w:val="fr-CA"/>
        </w:rPr>
        <w:t xml:space="preserve">par. </w:t>
      </w:r>
      <w:r w:rsidRPr="00DB5AAF">
        <w:rPr>
          <w:rFonts w:cs="Times New Roman"/>
          <w:lang w:val="fr-CA"/>
        </w:rPr>
        <w:t>120.1(1), l</w:t>
      </w:r>
      <w:r>
        <w:rPr>
          <w:rFonts w:cs="Times New Roman"/>
          <w:lang w:val="fr-CA"/>
        </w:rPr>
        <w:t>’</w:t>
      </w:r>
      <w:r w:rsidRPr="00DB5AAF">
        <w:rPr>
          <w:rFonts w:cs="Times New Roman"/>
          <w:lang w:val="fr-CA"/>
        </w:rPr>
        <w:t>Office est tenu de décider si les frais sont raisonnables, indépendamment de l</w:t>
      </w:r>
      <w:r>
        <w:rPr>
          <w:rFonts w:cs="Times New Roman"/>
          <w:lang w:val="fr-CA"/>
        </w:rPr>
        <w:t>’</w:t>
      </w:r>
      <w:r w:rsidRPr="00DB5AAF">
        <w:rPr>
          <w:rFonts w:cs="Times New Roman"/>
          <w:lang w:val="fr-CA"/>
        </w:rPr>
        <w:t>existence d</w:t>
      </w:r>
      <w:r>
        <w:rPr>
          <w:rFonts w:cs="Times New Roman"/>
          <w:lang w:val="fr-CA"/>
        </w:rPr>
        <w:t>’</w:t>
      </w:r>
      <w:r w:rsidRPr="00DB5AAF">
        <w:rPr>
          <w:rFonts w:cs="Times New Roman"/>
          <w:lang w:val="fr-CA"/>
        </w:rPr>
        <w:t>un contrat confidentiel.  La décision concluait donc que l</w:t>
      </w:r>
      <w:r>
        <w:rPr>
          <w:rFonts w:cs="Times New Roman"/>
          <w:lang w:val="fr-CA"/>
        </w:rPr>
        <w:t>’</w:t>
      </w:r>
      <w:r w:rsidRPr="00DB5AAF">
        <w:rPr>
          <w:rFonts w:cs="Times New Roman"/>
          <w:lang w:val="fr-CA"/>
        </w:rPr>
        <w:t>existence d</w:t>
      </w:r>
      <w:r>
        <w:rPr>
          <w:rFonts w:cs="Times New Roman"/>
          <w:lang w:val="fr-CA"/>
        </w:rPr>
        <w:t>’</w:t>
      </w:r>
      <w:r w:rsidRPr="00DB5AAF">
        <w:rPr>
          <w:rFonts w:cs="Times New Roman"/>
          <w:lang w:val="fr-CA"/>
        </w:rPr>
        <w:t>un contrat confidentiel ne fait pas obstacle à la capacité d</w:t>
      </w:r>
      <w:r>
        <w:rPr>
          <w:rFonts w:cs="Times New Roman"/>
          <w:lang w:val="fr-CA"/>
        </w:rPr>
        <w:t>’</w:t>
      </w:r>
      <w:r w:rsidRPr="00DB5AAF">
        <w:rPr>
          <w:rFonts w:cs="Times New Roman"/>
          <w:lang w:val="fr-CA"/>
        </w:rPr>
        <w:t>un expéditeur de déposer une plainte en vertu de l</w:t>
      </w:r>
      <w:r>
        <w:rPr>
          <w:rFonts w:cs="Times New Roman"/>
          <w:lang w:val="fr-CA"/>
        </w:rPr>
        <w:t xml:space="preserve">’art. </w:t>
      </w:r>
      <w:r w:rsidRPr="00DB5AAF">
        <w:rPr>
          <w:rFonts w:cs="Times New Roman"/>
          <w:lang w:val="fr-CA"/>
        </w:rPr>
        <w:t>120.1 à propos des frais prévus par un tarif qui s</w:t>
      </w:r>
      <w:r>
        <w:rPr>
          <w:rFonts w:cs="Times New Roman"/>
          <w:lang w:val="fr-CA"/>
        </w:rPr>
        <w:t>’</w:t>
      </w:r>
      <w:r w:rsidRPr="00DB5AAF">
        <w:rPr>
          <w:rFonts w:cs="Times New Roman"/>
          <w:lang w:val="fr-CA"/>
        </w:rPr>
        <w:t>applique à plus d</w:t>
      </w:r>
      <w:r>
        <w:rPr>
          <w:rFonts w:cs="Times New Roman"/>
          <w:lang w:val="fr-CA"/>
        </w:rPr>
        <w:t>’</w:t>
      </w:r>
      <w:r w:rsidRPr="00DB5AAF">
        <w:rPr>
          <w:rFonts w:cs="Times New Roman"/>
          <w:lang w:val="fr-CA"/>
        </w:rPr>
        <w:t>un expéditeur.  Cette décision constituait une question d</w:t>
      </w:r>
      <w:r>
        <w:rPr>
          <w:rFonts w:cs="Times New Roman"/>
          <w:lang w:val="fr-CA"/>
        </w:rPr>
        <w:t>’</w:t>
      </w:r>
      <w:r w:rsidRPr="00DB5AAF">
        <w:rPr>
          <w:rFonts w:cs="Times New Roman"/>
          <w:lang w:val="fr-CA"/>
        </w:rPr>
        <w:t>interprétation législative.</w:t>
      </w:r>
    </w:p>
    <w:p w:rsidR="00784AD2" w:rsidRPr="00DB5AAF" w:rsidRDefault="00784AD2" w:rsidP="005C77BD">
      <w:pPr>
        <w:pStyle w:val="ParaNoNdepar-AltN"/>
        <w:rPr>
          <w:rFonts w:cs="Times New Roman"/>
          <w:lang w:val="fr-CA"/>
        </w:rPr>
      </w:pPr>
      <w:r w:rsidRPr="00DB5AAF">
        <w:rPr>
          <w:rFonts w:cs="Times New Roman"/>
          <w:lang w:val="fr-CA"/>
        </w:rPr>
        <w:t>Une question d</w:t>
      </w:r>
      <w:r>
        <w:rPr>
          <w:rFonts w:cs="Times New Roman"/>
          <w:lang w:val="fr-CA"/>
        </w:rPr>
        <w:t>’</w:t>
      </w:r>
      <w:r w:rsidRPr="00DB5AAF">
        <w:rPr>
          <w:rFonts w:cs="Times New Roman"/>
          <w:lang w:val="fr-CA"/>
        </w:rPr>
        <w:t>interprétation législative est une question de droit. En l</w:t>
      </w:r>
      <w:r>
        <w:rPr>
          <w:rFonts w:cs="Times New Roman"/>
          <w:lang w:val="fr-CA"/>
        </w:rPr>
        <w:t>’</w:t>
      </w:r>
      <w:r w:rsidRPr="00DB5AAF">
        <w:rPr>
          <w:rFonts w:cs="Times New Roman"/>
          <w:lang w:val="fr-CA"/>
        </w:rPr>
        <w:t>espèce, des questions de politique qui se situent au cœur même du mécanisme de plaintes sous</w:t>
      </w:r>
      <w:r>
        <w:rPr>
          <w:rFonts w:cs="Times New Roman"/>
          <w:lang w:val="fr-CA"/>
        </w:rPr>
        <w:t>-</w:t>
      </w:r>
      <w:r w:rsidRPr="00DB5AAF">
        <w:rPr>
          <w:rFonts w:cs="Times New Roman"/>
          <w:lang w:val="fr-CA"/>
        </w:rPr>
        <w:t>tendent la question de savoir si une partie à un contrat confidentiel peut déposer une plainte en vertu de l</w:t>
      </w:r>
      <w:r>
        <w:rPr>
          <w:rFonts w:cs="Times New Roman"/>
          <w:lang w:val="fr-CA"/>
        </w:rPr>
        <w:t xml:space="preserve">’art. </w:t>
      </w:r>
      <w:r w:rsidRPr="00DB5AAF">
        <w:rPr>
          <w:rFonts w:cs="Times New Roman"/>
          <w:lang w:val="fr-CA"/>
        </w:rPr>
        <w:t>120.1.  Ces questions de politique comprennent la puissance commerciale d</w:t>
      </w:r>
      <w:r>
        <w:rPr>
          <w:rFonts w:cs="Times New Roman"/>
          <w:lang w:val="fr-CA"/>
        </w:rPr>
        <w:t>’</w:t>
      </w:r>
      <w:r w:rsidRPr="00DB5AAF">
        <w:rPr>
          <w:rFonts w:cs="Times New Roman"/>
          <w:lang w:val="fr-CA"/>
        </w:rPr>
        <w:t>une compagnie de chemin de fer dans certaines circonstances, de même que la position relativement plus faible des expéditeurs dans ces mêmes circonstances.  Ces questions de politique sont peut</w:t>
      </w:r>
      <w:r>
        <w:rPr>
          <w:rFonts w:cs="Times New Roman"/>
          <w:lang w:val="fr-CA"/>
        </w:rPr>
        <w:t>-</w:t>
      </w:r>
      <w:r w:rsidRPr="00DB5AAF">
        <w:rPr>
          <w:rFonts w:cs="Times New Roman"/>
          <w:lang w:val="fr-CA"/>
        </w:rPr>
        <w:t>être à l</w:t>
      </w:r>
      <w:r>
        <w:rPr>
          <w:rFonts w:cs="Times New Roman"/>
          <w:lang w:val="fr-CA"/>
        </w:rPr>
        <w:t>’</w:t>
      </w:r>
      <w:r w:rsidRPr="00DB5AAF">
        <w:rPr>
          <w:rFonts w:cs="Times New Roman"/>
          <w:lang w:val="fr-CA"/>
        </w:rPr>
        <w:t>origine de l</w:t>
      </w:r>
      <w:r>
        <w:rPr>
          <w:rFonts w:cs="Times New Roman"/>
          <w:lang w:val="fr-CA"/>
        </w:rPr>
        <w:t>’</w:t>
      </w:r>
      <w:r w:rsidRPr="00DB5AAF">
        <w:rPr>
          <w:rFonts w:cs="Times New Roman"/>
          <w:lang w:val="fr-CA"/>
        </w:rPr>
        <w:t>intérêt que porte le gouverneur en conseil à la question de l</w:t>
      </w:r>
      <w:r>
        <w:rPr>
          <w:rFonts w:cs="Times New Roman"/>
          <w:lang w:val="fr-CA"/>
        </w:rPr>
        <w:t>’</w:t>
      </w:r>
      <w:r w:rsidRPr="00DB5AAF">
        <w:rPr>
          <w:rFonts w:cs="Times New Roman"/>
          <w:lang w:val="fr-CA"/>
        </w:rPr>
        <w:t>interprétation législative.  Cependant, même s</w:t>
      </w:r>
      <w:r>
        <w:rPr>
          <w:rFonts w:cs="Times New Roman"/>
          <w:lang w:val="fr-CA"/>
        </w:rPr>
        <w:t>’</w:t>
      </w:r>
      <w:r w:rsidRPr="00DB5AAF">
        <w:rPr>
          <w:rFonts w:cs="Times New Roman"/>
          <w:lang w:val="fr-CA"/>
        </w:rPr>
        <w:t>il se peut que des questions de politique sous</w:t>
      </w:r>
      <w:r>
        <w:rPr>
          <w:rFonts w:cs="Times New Roman"/>
          <w:lang w:val="fr-CA"/>
        </w:rPr>
        <w:t>-</w:t>
      </w:r>
      <w:r w:rsidRPr="00DB5AAF">
        <w:rPr>
          <w:rFonts w:cs="Times New Roman"/>
          <w:lang w:val="fr-CA"/>
        </w:rPr>
        <w:t xml:space="preserve">tendent </w:t>
      </w:r>
      <w:r w:rsidRPr="00DB5AAF">
        <w:rPr>
          <w:rFonts w:cs="Times New Roman"/>
          <w:lang w:val="fr-CA"/>
        </w:rPr>
        <w:lastRenderedPageBreak/>
        <w:t>la question en litige, cela ne transforme pas cette dernière en une question de politique ou de fait.  La question de savoir si une partie à un contrat confidentiel peut déposer une plainte en vertu de l</w:t>
      </w:r>
      <w:r>
        <w:rPr>
          <w:rFonts w:cs="Times New Roman"/>
          <w:lang w:val="fr-CA"/>
        </w:rPr>
        <w:t xml:space="preserve">’art. </w:t>
      </w:r>
      <w:r w:rsidRPr="00DB5AAF">
        <w:rPr>
          <w:rFonts w:cs="Times New Roman"/>
          <w:lang w:val="fr-CA"/>
        </w:rPr>
        <w:t>120.1 est une question de droit.</w:t>
      </w:r>
    </w:p>
    <w:p w:rsidR="00784AD2" w:rsidRPr="00DB5AAF" w:rsidRDefault="00784AD2" w:rsidP="005C77BD">
      <w:pPr>
        <w:pStyle w:val="Title2LevelTitre2Niveau"/>
        <w:rPr>
          <w:rFonts w:cs="Times New Roman"/>
          <w:lang w:val="fr-CA"/>
        </w:rPr>
      </w:pPr>
      <w:r w:rsidRPr="00DB5AAF">
        <w:rPr>
          <w:rFonts w:cs="Times New Roman"/>
          <w:lang w:val="fr-CA"/>
        </w:rPr>
        <w:t>Portée des pouvoirs que l</w:t>
      </w:r>
      <w:r>
        <w:rPr>
          <w:rFonts w:cs="Times New Roman"/>
          <w:lang w:val="fr-CA"/>
        </w:rPr>
        <w:t>’</w:t>
      </w:r>
      <w:r w:rsidRPr="00DB5AAF">
        <w:rPr>
          <w:rFonts w:cs="Times New Roman"/>
          <w:lang w:val="fr-CA"/>
        </w:rPr>
        <w:t>art</w:t>
      </w:r>
      <w:r w:rsidR="009E7331">
        <w:rPr>
          <w:rFonts w:cs="Times New Roman"/>
          <w:lang w:val="fr-CA"/>
        </w:rPr>
        <w:t>.</w:t>
      </w:r>
      <w:r>
        <w:rPr>
          <w:rFonts w:cs="Times New Roman"/>
          <w:lang w:val="fr-CA"/>
        </w:rPr>
        <w:t xml:space="preserve"> </w:t>
      </w:r>
      <w:r w:rsidRPr="00DB5AAF">
        <w:rPr>
          <w:rFonts w:cs="Times New Roman"/>
          <w:lang w:val="fr-CA"/>
        </w:rPr>
        <w:t xml:space="preserve">40 de la Loi confère au gouverneur en conseil </w:t>
      </w:r>
    </w:p>
    <w:p w:rsidR="00784AD2" w:rsidRPr="00DB5AAF" w:rsidRDefault="00784AD2" w:rsidP="005C77BD">
      <w:pPr>
        <w:pStyle w:val="ParaNoNdepar-AltN"/>
        <w:rPr>
          <w:rFonts w:cs="Times New Roman"/>
          <w:lang w:val="fr-CA"/>
        </w:rPr>
      </w:pPr>
      <w:r w:rsidRPr="00DB5AAF">
        <w:rPr>
          <w:rFonts w:cs="Times New Roman"/>
          <w:lang w:val="fr-CA"/>
        </w:rPr>
        <w:t>Le fait que le gouverneur en conseil ait tranché une question de droit en l</w:t>
      </w:r>
      <w:r>
        <w:rPr>
          <w:rFonts w:cs="Times New Roman"/>
          <w:lang w:val="fr-CA"/>
        </w:rPr>
        <w:t>’</w:t>
      </w:r>
      <w:r w:rsidRPr="00DB5AAF">
        <w:rPr>
          <w:rFonts w:cs="Times New Roman"/>
          <w:lang w:val="fr-CA"/>
        </w:rPr>
        <w:t>espèce soulève la question de savoir s</w:t>
      </w:r>
      <w:r>
        <w:rPr>
          <w:rFonts w:cs="Times New Roman"/>
          <w:lang w:val="fr-CA"/>
        </w:rPr>
        <w:t>’</w:t>
      </w:r>
      <w:r w:rsidRPr="00DB5AAF">
        <w:rPr>
          <w:rFonts w:cs="Times New Roman"/>
          <w:lang w:val="fr-CA"/>
        </w:rPr>
        <w:t xml:space="preserve">il était habilité à le faire.  Le </w:t>
      </w:r>
      <w:proofErr w:type="gramStart"/>
      <w:r w:rsidRPr="00DB5AAF">
        <w:rPr>
          <w:rFonts w:cs="Times New Roman"/>
          <w:lang w:val="fr-CA"/>
        </w:rPr>
        <w:t>CN plaide</w:t>
      </w:r>
      <w:proofErr w:type="gramEnd"/>
      <w:r w:rsidRPr="00DB5AAF">
        <w:rPr>
          <w:rFonts w:cs="Times New Roman"/>
          <w:lang w:val="fr-CA"/>
        </w:rPr>
        <w:t xml:space="preserve"> que l</w:t>
      </w:r>
      <w:r>
        <w:rPr>
          <w:rFonts w:cs="Times New Roman"/>
          <w:lang w:val="fr-CA"/>
        </w:rPr>
        <w:t xml:space="preserve">’art. </w:t>
      </w:r>
      <w:r w:rsidRPr="00DB5AAF">
        <w:rPr>
          <w:rFonts w:cs="Times New Roman"/>
          <w:lang w:val="fr-CA"/>
        </w:rPr>
        <w:t xml:space="preserve">40 de la </w:t>
      </w:r>
      <w:r w:rsidRPr="00DB5AAF">
        <w:rPr>
          <w:rFonts w:cs="Times New Roman"/>
          <w:i/>
          <w:lang w:val="fr-CA"/>
        </w:rPr>
        <w:t>Loi</w:t>
      </w:r>
      <w:r w:rsidRPr="00DB5AAF">
        <w:rPr>
          <w:rFonts w:cs="Times New Roman"/>
          <w:lang w:val="fr-CA"/>
        </w:rPr>
        <w:t xml:space="preserve"> ne confère pas au gouverneur en conseil le pouvoir de trancher des questions de droit ou de compétence.  Celles</w:t>
      </w:r>
      <w:r>
        <w:rPr>
          <w:rFonts w:cs="Times New Roman"/>
          <w:lang w:val="fr-CA"/>
        </w:rPr>
        <w:t>-</w:t>
      </w:r>
      <w:r w:rsidRPr="00DB5AAF">
        <w:rPr>
          <w:rFonts w:cs="Times New Roman"/>
          <w:lang w:val="fr-CA"/>
        </w:rPr>
        <w:t>ci doivent plutôt faire l</w:t>
      </w:r>
      <w:r>
        <w:rPr>
          <w:rFonts w:cs="Times New Roman"/>
          <w:lang w:val="fr-CA"/>
        </w:rPr>
        <w:t>’</w:t>
      </w:r>
      <w:r w:rsidRPr="00DB5AAF">
        <w:rPr>
          <w:rFonts w:cs="Times New Roman"/>
          <w:lang w:val="fr-CA"/>
        </w:rPr>
        <w:t>objet d</w:t>
      </w:r>
      <w:r>
        <w:rPr>
          <w:rFonts w:cs="Times New Roman"/>
          <w:lang w:val="fr-CA"/>
        </w:rPr>
        <w:t>’</w:t>
      </w:r>
      <w:r w:rsidRPr="00DB5AAF">
        <w:rPr>
          <w:rFonts w:cs="Times New Roman"/>
          <w:lang w:val="fr-CA"/>
        </w:rPr>
        <w:t>un appel auprès de la Cour d</w:t>
      </w:r>
      <w:r>
        <w:rPr>
          <w:rFonts w:cs="Times New Roman"/>
          <w:lang w:val="fr-CA"/>
        </w:rPr>
        <w:t>’</w:t>
      </w:r>
      <w:r w:rsidRPr="00DB5AAF">
        <w:rPr>
          <w:rFonts w:cs="Times New Roman"/>
          <w:lang w:val="fr-CA"/>
        </w:rPr>
        <w:t>appel fédérale aux termes de l</w:t>
      </w:r>
      <w:r>
        <w:rPr>
          <w:rFonts w:cs="Times New Roman"/>
          <w:lang w:val="fr-CA"/>
        </w:rPr>
        <w:t xml:space="preserve">’art. </w:t>
      </w:r>
      <w:r w:rsidRPr="00DB5AAF">
        <w:rPr>
          <w:rFonts w:cs="Times New Roman"/>
          <w:lang w:val="fr-CA"/>
        </w:rPr>
        <w:t xml:space="preserve">41 de la </w:t>
      </w:r>
      <w:r w:rsidRPr="00DB5AAF">
        <w:rPr>
          <w:rFonts w:cs="Times New Roman"/>
          <w:i/>
          <w:lang w:val="fr-CA"/>
        </w:rPr>
        <w:t>Loi</w:t>
      </w:r>
      <w:r w:rsidRPr="00DB5AAF">
        <w:rPr>
          <w:rFonts w:cs="Times New Roman"/>
          <w:lang w:val="fr-CA"/>
        </w:rPr>
        <w:t xml:space="preserve">.  Le gouverneur en conseil </w:t>
      </w:r>
      <w:proofErr w:type="gramStart"/>
      <w:r w:rsidRPr="00DB5AAF">
        <w:rPr>
          <w:rFonts w:cs="Times New Roman"/>
          <w:lang w:val="fr-CA"/>
        </w:rPr>
        <w:t>n</w:t>
      </w:r>
      <w:r>
        <w:rPr>
          <w:rFonts w:cs="Times New Roman"/>
          <w:lang w:val="fr-CA"/>
        </w:rPr>
        <w:t>’</w:t>
      </w:r>
      <w:r w:rsidRPr="00DB5AAF">
        <w:rPr>
          <w:rFonts w:cs="Times New Roman"/>
          <w:lang w:val="fr-CA"/>
        </w:rPr>
        <w:t>a</w:t>
      </w:r>
      <w:proofErr w:type="gramEnd"/>
      <w:r w:rsidRPr="00DB5AAF">
        <w:rPr>
          <w:rFonts w:cs="Times New Roman"/>
          <w:lang w:val="fr-CA"/>
        </w:rPr>
        <w:t xml:space="preserve"> le pouvoir de trancher que des questions de fait et de politique.  En toute déférence, je ne puis être d</w:t>
      </w:r>
      <w:r>
        <w:rPr>
          <w:rFonts w:cs="Times New Roman"/>
          <w:lang w:val="fr-CA"/>
        </w:rPr>
        <w:t>’</w:t>
      </w:r>
      <w:r w:rsidRPr="00DB5AAF">
        <w:rPr>
          <w:rFonts w:cs="Times New Roman"/>
          <w:lang w:val="fr-CA"/>
        </w:rPr>
        <w:t>accord.</w:t>
      </w:r>
    </w:p>
    <w:p w:rsidR="00784AD2" w:rsidRPr="00DB5AAF" w:rsidRDefault="00784AD2" w:rsidP="005C77BD">
      <w:pPr>
        <w:pStyle w:val="ParaNoNdepar-AltN"/>
        <w:rPr>
          <w:rFonts w:cs="Times New Roman"/>
          <w:lang w:val="fr-CA"/>
        </w:rPr>
      </w:pPr>
      <w:r w:rsidRPr="00DB5AAF">
        <w:rPr>
          <w:rFonts w:cs="Times New Roman"/>
          <w:lang w:val="fr-CA"/>
        </w:rPr>
        <w:t>Par souci de commodité, je reproduis ici le texte de l</w:t>
      </w:r>
      <w:r>
        <w:rPr>
          <w:rFonts w:cs="Times New Roman"/>
          <w:lang w:val="fr-CA"/>
        </w:rPr>
        <w:t xml:space="preserve">’art. </w:t>
      </w:r>
      <w:r w:rsidRPr="00DB5AAF">
        <w:rPr>
          <w:rFonts w:cs="Times New Roman"/>
          <w:lang w:val="fr-CA"/>
        </w:rPr>
        <w:t xml:space="preserve">40 et du </w:t>
      </w:r>
      <w:r>
        <w:rPr>
          <w:rFonts w:cs="Times New Roman"/>
          <w:lang w:val="fr-CA"/>
        </w:rPr>
        <w:t xml:space="preserve">par. </w:t>
      </w:r>
      <w:r w:rsidRPr="00DB5AAF">
        <w:rPr>
          <w:rFonts w:cs="Times New Roman"/>
          <w:lang w:val="fr-CA"/>
        </w:rPr>
        <w:t>41(1)</w:t>
      </w:r>
      <w:r>
        <w:rPr>
          <w:rFonts w:cs="Times New Roman"/>
          <w:lang w:val="fr-CA"/>
        </w:rPr>
        <w:t> :</w:t>
      </w:r>
    </w:p>
    <w:p w:rsidR="00784AD2" w:rsidRPr="00DB5AAF" w:rsidRDefault="00784AD2" w:rsidP="005C77BD">
      <w:pPr>
        <w:pStyle w:val="Citation-AltC"/>
        <w:tabs>
          <w:tab w:val="left" w:pos="1560"/>
        </w:tabs>
        <w:spacing w:after="240"/>
        <w:ind w:hanging="1166"/>
        <w:contextualSpacing w:val="0"/>
        <w:rPr>
          <w:lang w:val="fr-CA"/>
        </w:rPr>
      </w:pPr>
      <w:r w:rsidRPr="00DB5AAF">
        <w:rPr>
          <w:b/>
          <w:bCs/>
          <w:lang w:val="fr-CA"/>
        </w:rPr>
        <w:tab/>
      </w:r>
      <w:r w:rsidRPr="00DB5AAF">
        <w:rPr>
          <w:b/>
          <w:bCs/>
          <w:lang w:val="fr-CA"/>
        </w:rPr>
        <w:tab/>
        <w:t>40.</w:t>
      </w:r>
      <w:r>
        <w:rPr>
          <w:b/>
          <w:bCs/>
          <w:lang w:val="fr-CA"/>
        </w:rPr>
        <w:t xml:space="preserve">  </w:t>
      </w:r>
      <w:r w:rsidRPr="00DB5AAF">
        <w:rPr>
          <w:lang w:val="fr-CA"/>
        </w:rPr>
        <w:t>Le gouverneur en conseil peut modifier ou annuler les décisions, arrêtés, règles ou règlements de l</w:t>
      </w:r>
      <w:r>
        <w:rPr>
          <w:lang w:val="fr-CA"/>
        </w:rPr>
        <w:t>’</w:t>
      </w:r>
      <w:r w:rsidRPr="00DB5AAF">
        <w:rPr>
          <w:lang w:val="fr-CA"/>
        </w:rPr>
        <w:t>Office soit à la requête d</w:t>
      </w:r>
      <w:r>
        <w:rPr>
          <w:lang w:val="fr-CA"/>
        </w:rPr>
        <w:t>’</w:t>
      </w:r>
      <w:r w:rsidRPr="00DB5AAF">
        <w:rPr>
          <w:lang w:val="fr-CA"/>
        </w:rPr>
        <w:t>une partie ou d</w:t>
      </w:r>
      <w:r>
        <w:rPr>
          <w:lang w:val="fr-CA"/>
        </w:rPr>
        <w:t>’</w:t>
      </w:r>
      <w:r w:rsidRPr="00DB5AAF">
        <w:rPr>
          <w:lang w:val="fr-CA"/>
        </w:rPr>
        <w:t>un intéressé, soit de sa propre initiative; il importe peu que ces décisions ou arrêtés aient été pris en présence des parties ou non et que les règles ou règlements soient d</w:t>
      </w:r>
      <w:r>
        <w:rPr>
          <w:lang w:val="fr-CA"/>
        </w:rPr>
        <w:t>’</w:t>
      </w:r>
      <w:r w:rsidRPr="00DB5AAF">
        <w:rPr>
          <w:lang w:val="fr-CA"/>
        </w:rPr>
        <w:t>application générale ou particulière.  Les décrets du gouverneur en conseil en cette matière lient l</w:t>
      </w:r>
      <w:r>
        <w:rPr>
          <w:lang w:val="fr-CA"/>
        </w:rPr>
        <w:t>’</w:t>
      </w:r>
      <w:r w:rsidRPr="00DB5AAF">
        <w:rPr>
          <w:lang w:val="fr-CA"/>
        </w:rPr>
        <w:t>Office et toutes les parties.</w:t>
      </w:r>
    </w:p>
    <w:p w:rsidR="00784AD2" w:rsidRPr="00DB5AAF" w:rsidRDefault="00784AD2" w:rsidP="005C77BD">
      <w:pPr>
        <w:pStyle w:val="Citation-AltC"/>
        <w:tabs>
          <w:tab w:val="left" w:pos="1560"/>
          <w:tab w:val="left" w:pos="2400"/>
        </w:tabs>
        <w:ind w:hanging="1166"/>
        <w:contextualSpacing w:val="0"/>
        <w:rPr>
          <w:lang w:val="fr-CA"/>
        </w:rPr>
      </w:pPr>
      <w:r w:rsidRPr="00DB5AAF">
        <w:rPr>
          <w:b/>
          <w:bCs/>
          <w:lang w:val="fr-CA"/>
        </w:rPr>
        <w:tab/>
      </w:r>
      <w:r w:rsidRPr="00DB5AAF">
        <w:rPr>
          <w:b/>
          <w:bCs/>
          <w:lang w:val="fr-CA"/>
        </w:rPr>
        <w:tab/>
        <w:t>41.</w:t>
      </w:r>
      <w:r>
        <w:rPr>
          <w:b/>
          <w:bCs/>
          <w:lang w:val="fr-CA"/>
        </w:rPr>
        <w:t xml:space="preserve"> </w:t>
      </w:r>
      <w:r w:rsidRPr="00DB5AAF">
        <w:rPr>
          <w:bCs/>
          <w:lang w:val="fr-CA"/>
        </w:rPr>
        <w:t>(1)</w:t>
      </w:r>
      <w:r>
        <w:rPr>
          <w:bCs/>
          <w:lang w:val="fr-CA"/>
        </w:rPr>
        <w:t xml:space="preserve">  </w:t>
      </w:r>
      <w:r w:rsidRPr="00DB5AAF">
        <w:rPr>
          <w:lang w:val="fr-CA"/>
        </w:rPr>
        <w:t>Tout acte — décision, arrêté, règle ou règlement — de l</w:t>
      </w:r>
      <w:r>
        <w:rPr>
          <w:lang w:val="fr-CA"/>
        </w:rPr>
        <w:t>’</w:t>
      </w:r>
      <w:r w:rsidRPr="00DB5AAF">
        <w:rPr>
          <w:lang w:val="fr-CA"/>
        </w:rPr>
        <w:t>Office est susceptible d</w:t>
      </w:r>
      <w:r>
        <w:rPr>
          <w:lang w:val="fr-CA"/>
        </w:rPr>
        <w:t>’</w:t>
      </w:r>
      <w:r w:rsidRPr="00DB5AAF">
        <w:rPr>
          <w:lang w:val="fr-CA"/>
        </w:rPr>
        <w:t>appel devant la Cour d</w:t>
      </w:r>
      <w:r>
        <w:rPr>
          <w:lang w:val="fr-CA"/>
        </w:rPr>
        <w:t>’</w:t>
      </w:r>
      <w:r w:rsidRPr="00DB5AAF">
        <w:rPr>
          <w:lang w:val="fr-CA"/>
        </w:rPr>
        <w:t>appel fédérale sur une question de droit ou de compétence, avec l</w:t>
      </w:r>
      <w:r>
        <w:rPr>
          <w:lang w:val="fr-CA"/>
        </w:rPr>
        <w:t>’</w:t>
      </w:r>
      <w:r w:rsidRPr="00DB5AAF">
        <w:rPr>
          <w:lang w:val="fr-CA"/>
        </w:rPr>
        <w:t>autorisation de la cour sur demande présentée dans le mois suivant la date de l</w:t>
      </w:r>
      <w:r>
        <w:rPr>
          <w:lang w:val="fr-CA"/>
        </w:rPr>
        <w:t>’</w:t>
      </w:r>
      <w:r w:rsidRPr="00DB5AAF">
        <w:rPr>
          <w:lang w:val="fr-CA"/>
        </w:rPr>
        <w:t xml:space="preserve">acte ou dans le délai supérieur accordé par un juge de la cour en des circonstances spéciales, </w:t>
      </w:r>
      <w:r w:rsidRPr="00DB5AAF">
        <w:rPr>
          <w:lang w:val="fr-CA"/>
        </w:rPr>
        <w:lastRenderedPageBreak/>
        <w:t>après notification aux parties et à l</w:t>
      </w:r>
      <w:r>
        <w:rPr>
          <w:lang w:val="fr-CA"/>
        </w:rPr>
        <w:t>’</w:t>
      </w:r>
      <w:r w:rsidRPr="00DB5AAF">
        <w:rPr>
          <w:lang w:val="fr-CA"/>
        </w:rPr>
        <w:t>Office et audition de ceux d</w:t>
      </w:r>
      <w:r>
        <w:rPr>
          <w:lang w:val="fr-CA"/>
        </w:rPr>
        <w:t>’</w:t>
      </w:r>
      <w:r w:rsidRPr="00DB5AAF">
        <w:rPr>
          <w:lang w:val="fr-CA"/>
        </w:rPr>
        <w:t>entre eux qui comparaissent et désirent être entendus.</w:t>
      </w:r>
    </w:p>
    <w:p w:rsidR="00784AD2" w:rsidRPr="00DB5AAF" w:rsidRDefault="00784AD2" w:rsidP="005C77BD">
      <w:pPr>
        <w:pStyle w:val="ParaNoNdepar-AltN"/>
        <w:rPr>
          <w:rFonts w:cs="Times New Roman"/>
          <w:lang w:val="fr-CA"/>
        </w:rPr>
      </w:pPr>
      <w:r w:rsidRPr="00DB5AAF">
        <w:rPr>
          <w:rFonts w:cs="Times New Roman"/>
          <w:lang w:val="fr-CA"/>
        </w:rPr>
        <w:t>Selon la règle fondamentale d</w:t>
      </w:r>
      <w:r>
        <w:rPr>
          <w:rFonts w:cs="Times New Roman"/>
          <w:lang w:val="fr-CA"/>
        </w:rPr>
        <w:t>’</w:t>
      </w:r>
      <w:r w:rsidRPr="00DB5AAF">
        <w:rPr>
          <w:rFonts w:cs="Times New Roman"/>
          <w:lang w:val="fr-CA"/>
        </w:rPr>
        <w:t xml:space="preserve">interprétation législative, </w:t>
      </w:r>
      <w:r w:rsidRPr="00DB5AAF">
        <w:rPr>
          <w:rFonts w:cs="Times New Roman"/>
          <w:smallCaps/>
          <w:lang w:val="fr-CA"/>
        </w:rPr>
        <w:t>[traduction]</w:t>
      </w:r>
      <w:r w:rsidRPr="00DB5AAF">
        <w:rPr>
          <w:rFonts w:cs="Times New Roman"/>
          <w:lang w:val="fr-CA"/>
        </w:rPr>
        <w:t xml:space="preserve"> </w:t>
      </w:r>
      <w:r>
        <w:rPr>
          <w:rFonts w:cs="Times New Roman"/>
          <w:lang w:val="fr-CA"/>
        </w:rPr>
        <w:t>« </w:t>
      </w:r>
      <w:r w:rsidRPr="00DB5AAF">
        <w:rPr>
          <w:rFonts w:cs="Times New Roman"/>
          <w:lang w:val="fr-CA"/>
        </w:rPr>
        <w:t>il faut lire les termes d</w:t>
      </w:r>
      <w:r>
        <w:rPr>
          <w:rFonts w:cs="Times New Roman"/>
          <w:lang w:val="fr-CA"/>
        </w:rPr>
        <w:t>’</w:t>
      </w:r>
      <w:r w:rsidRPr="00DB5AAF">
        <w:rPr>
          <w:rFonts w:cs="Times New Roman"/>
          <w:lang w:val="fr-CA"/>
        </w:rPr>
        <w:t>une loi dans leur contexte global en suivant le sens ordinaire et grammatical qui s</w:t>
      </w:r>
      <w:r>
        <w:rPr>
          <w:rFonts w:cs="Times New Roman"/>
          <w:lang w:val="fr-CA"/>
        </w:rPr>
        <w:t>’</w:t>
      </w:r>
      <w:r w:rsidRPr="00DB5AAF">
        <w:rPr>
          <w:rFonts w:cs="Times New Roman"/>
          <w:lang w:val="fr-CA"/>
        </w:rPr>
        <w:t>harmonise avec l</w:t>
      </w:r>
      <w:r>
        <w:rPr>
          <w:rFonts w:cs="Times New Roman"/>
          <w:lang w:val="fr-CA"/>
        </w:rPr>
        <w:t>’</w:t>
      </w:r>
      <w:r w:rsidRPr="00DB5AAF">
        <w:rPr>
          <w:rFonts w:cs="Times New Roman"/>
          <w:lang w:val="fr-CA"/>
        </w:rPr>
        <w:t>économie de la loi, son objet et l</w:t>
      </w:r>
      <w:r>
        <w:rPr>
          <w:rFonts w:cs="Times New Roman"/>
          <w:lang w:val="fr-CA"/>
        </w:rPr>
        <w:t>’</w:t>
      </w:r>
      <w:r w:rsidRPr="00DB5AAF">
        <w:rPr>
          <w:rFonts w:cs="Times New Roman"/>
          <w:lang w:val="fr-CA"/>
        </w:rPr>
        <w:t>intention du législateur</w:t>
      </w:r>
      <w:r>
        <w:rPr>
          <w:rFonts w:cs="Times New Roman"/>
          <w:lang w:val="fr-CA"/>
        </w:rPr>
        <w:t> »</w:t>
      </w:r>
      <w:r w:rsidRPr="00DB5AAF">
        <w:rPr>
          <w:rFonts w:cs="Times New Roman"/>
          <w:lang w:val="fr-CA"/>
        </w:rPr>
        <w:t xml:space="preserve"> (R.</w:t>
      </w:r>
      <w:r>
        <w:rPr>
          <w:rFonts w:cs="Times New Roman"/>
          <w:lang w:val="fr-CA"/>
        </w:rPr>
        <w:t xml:space="preserve"> </w:t>
      </w:r>
      <w:r w:rsidRPr="00DB5AAF">
        <w:rPr>
          <w:rFonts w:cs="Times New Roman"/>
          <w:lang w:val="fr-CA"/>
        </w:rPr>
        <w:t xml:space="preserve">Sullivan, </w:t>
      </w:r>
      <w:r w:rsidRPr="00DB5AAF">
        <w:rPr>
          <w:rFonts w:cs="Times New Roman"/>
          <w:i/>
          <w:iCs/>
          <w:lang w:val="fr-CA"/>
        </w:rPr>
        <w:t xml:space="preserve">Sullivan on the Construction of </w:t>
      </w:r>
      <w:proofErr w:type="spellStart"/>
      <w:r w:rsidRPr="00DB5AAF">
        <w:rPr>
          <w:rFonts w:cs="Times New Roman"/>
          <w:i/>
          <w:iCs/>
          <w:lang w:val="fr-CA"/>
        </w:rPr>
        <w:t>Statutes</w:t>
      </w:r>
      <w:proofErr w:type="spellEnd"/>
      <w:r w:rsidRPr="00DB5AAF">
        <w:rPr>
          <w:rFonts w:cs="Times New Roman"/>
          <w:lang w:val="fr-CA"/>
        </w:rPr>
        <w:t xml:space="preserve"> (5</w:t>
      </w:r>
      <w:r w:rsidRPr="009E7331">
        <w:rPr>
          <w:rFonts w:cs="Times New Roman"/>
          <w:vertAlign w:val="superscript"/>
          <w:lang w:val="fr-CA"/>
        </w:rPr>
        <w:t>e</w:t>
      </w:r>
      <w:r>
        <w:rPr>
          <w:rFonts w:cs="Times New Roman"/>
          <w:lang w:val="fr-CA"/>
        </w:rPr>
        <w:t xml:space="preserve"> </w:t>
      </w:r>
      <w:r w:rsidRPr="00DB5AAF">
        <w:rPr>
          <w:rFonts w:cs="Times New Roman"/>
          <w:lang w:val="fr-CA"/>
        </w:rPr>
        <w:t xml:space="preserve">éd. 2008), </w:t>
      </w:r>
      <w:r>
        <w:rPr>
          <w:rFonts w:cs="Times New Roman"/>
          <w:lang w:val="fr-CA"/>
        </w:rPr>
        <w:t xml:space="preserve">p. </w:t>
      </w:r>
      <w:r w:rsidRPr="00DB5AAF">
        <w:rPr>
          <w:rFonts w:cs="Times New Roman"/>
          <w:lang w:val="fr-CA"/>
        </w:rPr>
        <w:t>1, citant E.</w:t>
      </w:r>
      <w:r>
        <w:rPr>
          <w:rFonts w:cs="Times New Roman"/>
          <w:lang w:val="fr-CA"/>
        </w:rPr>
        <w:t xml:space="preserve"> </w:t>
      </w:r>
      <w:r w:rsidRPr="00DB5AAF">
        <w:rPr>
          <w:rFonts w:cs="Times New Roman"/>
          <w:lang w:val="fr-CA"/>
        </w:rPr>
        <w:t>A.</w:t>
      </w:r>
      <w:r>
        <w:rPr>
          <w:rFonts w:cs="Times New Roman"/>
          <w:lang w:val="fr-CA"/>
        </w:rPr>
        <w:t xml:space="preserve"> </w:t>
      </w:r>
      <w:proofErr w:type="spellStart"/>
      <w:r w:rsidRPr="00DB5AAF">
        <w:rPr>
          <w:rFonts w:cs="Times New Roman"/>
          <w:lang w:val="fr-CA"/>
        </w:rPr>
        <w:t>Driedger</w:t>
      </w:r>
      <w:proofErr w:type="spellEnd"/>
      <w:r w:rsidRPr="00DB5AAF">
        <w:rPr>
          <w:rFonts w:cs="Times New Roman"/>
          <w:lang w:val="fr-CA"/>
        </w:rPr>
        <w:t xml:space="preserve">, </w:t>
      </w:r>
      <w:r w:rsidRPr="00DB5AAF">
        <w:rPr>
          <w:rFonts w:cs="Times New Roman"/>
          <w:i/>
          <w:lang w:val="fr-CA"/>
        </w:rPr>
        <w:t xml:space="preserve">The Construction of </w:t>
      </w:r>
      <w:proofErr w:type="spellStart"/>
      <w:r w:rsidRPr="00DB5AAF">
        <w:rPr>
          <w:rFonts w:cs="Times New Roman"/>
          <w:i/>
          <w:lang w:val="fr-CA"/>
        </w:rPr>
        <w:t>Statutes</w:t>
      </w:r>
      <w:proofErr w:type="spellEnd"/>
      <w:r w:rsidRPr="00DB5AAF">
        <w:rPr>
          <w:rFonts w:cs="Times New Roman"/>
          <w:lang w:val="fr-CA"/>
        </w:rPr>
        <w:t xml:space="preserve"> (1974), </w:t>
      </w:r>
      <w:r>
        <w:rPr>
          <w:rFonts w:cs="Times New Roman"/>
          <w:lang w:val="fr-CA"/>
        </w:rPr>
        <w:t xml:space="preserve">p. </w:t>
      </w:r>
      <w:r w:rsidRPr="00DB5AAF">
        <w:rPr>
          <w:rFonts w:cs="Times New Roman"/>
          <w:lang w:val="fr-CA"/>
        </w:rPr>
        <w:t xml:space="preserve">67). </w:t>
      </w:r>
    </w:p>
    <w:p w:rsidR="00784AD2" w:rsidRPr="00DB5AAF" w:rsidRDefault="00784AD2" w:rsidP="005C77BD">
      <w:pPr>
        <w:pStyle w:val="ParaNoNdepar-AltN"/>
        <w:rPr>
          <w:rFonts w:cs="Times New Roman"/>
          <w:lang w:val="fr-CA"/>
        </w:rPr>
      </w:pPr>
      <w:r w:rsidRPr="00DB5AAF">
        <w:rPr>
          <w:rFonts w:cs="Times New Roman"/>
          <w:lang w:val="fr-CA"/>
        </w:rPr>
        <w:t>L</w:t>
      </w:r>
      <w:r>
        <w:rPr>
          <w:rFonts w:cs="Times New Roman"/>
          <w:lang w:val="fr-CA"/>
        </w:rPr>
        <w:t>’</w:t>
      </w:r>
      <w:r w:rsidRPr="00DB5AAF">
        <w:rPr>
          <w:rFonts w:cs="Times New Roman"/>
          <w:lang w:val="fr-CA"/>
        </w:rPr>
        <w:t>article</w:t>
      </w:r>
      <w:r>
        <w:rPr>
          <w:rFonts w:cs="Times New Roman"/>
          <w:lang w:val="fr-CA"/>
        </w:rPr>
        <w:t xml:space="preserve"> </w:t>
      </w:r>
      <w:r w:rsidRPr="00DB5AAF">
        <w:rPr>
          <w:rFonts w:cs="Times New Roman"/>
          <w:lang w:val="fr-CA"/>
        </w:rPr>
        <w:t>40 ne comporte aucune restriction expresse aux pouvoirs du gouverneur en conseil.  Contrairement à l</w:t>
      </w:r>
      <w:r>
        <w:rPr>
          <w:rFonts w:cs="Times New Roman"/>
          <w:lang w:val="fr-CA"/>
        </w:rPr>
        <w:t xml:space="preserve">’art. </w:t>
      </w:r>
      <w:r w:rsidRPr="00DB5AAF">
        <w:rPr>
          <w:rFonts w:cs="Times New Roman"/>
          <w:lang w:val="fr-CA"/>
        </w:rPr>
        <w:t xml:space="preserve">41, qui </w:t>
      </w:r>
      <w:proofErr w:type="gramStart"/>
      <w:r w:rsidRPr="00DB5AAF">
        <w:rPr>
          <w:rFonts w:cs="Times New Roman"/>
          <w:lang w:val="fr-CA"/>
        </w:rPr>
        <w:t>impose</w:t>
      </w:r>
      <w:proofErr w:type="gramEnd"/>
      <w:r w:rsidRPr="00DB5AAF">
        <w:rPr>
          <w:rFonts w:cs="Times New Roman"/>
          <w:lang w:val="fr-CA"/>
        </w:rPr>
        <w:t xml:space="preserve"> un certain nombre de restrictions au droit d</w:t>
      </w:r>
      <w:r>
        <w:rPr>
          <w:rFonts w:cs="Times New Roman"/>
          <w:lang w:val="fr-CA"/>
        </w:rPr>
        <w:t>’</w:t>
      </w:r>
      <w:r w:rsidRPr="00DB5AAF">
        <w:rPr>
          <w:rFonts w:cs="Times New Roman"/>
          <w:lang w:val="fr-CA"/>
        </w:rPr>
        <w:t>interjeter appel à la Cour d</w:t>
      </w:r>
      <w:r>
        <w:rPr>
          <w:rFonts w:cs="Times New Roman"/>
          <w:lang w:val="fr-CA"/>
        </w:rPr>
        <w:t>’</w:t>
      </w:r>
      <w:r w:rsidRPr="00DB5AAF">
        <w:rPr>
          <w:rFonts w:cs="Times New Roman"/>
          <w:lang w:val="fr-CA"/>
        </w:rPr>
        <w:t>appel fédérale, l</w:t>
      </w:r>
      <w:r>
        <w:rPr>
          <w:rFonts w:cs="Times New Roman"/>
          <w:lang w:val="fr-CA"/>
        </w:rPr>
        <w:t xml:space="preserve">’art. </w:t>
      </w:r>
      <w:r w:rsidRPr="00DB5AAF">
        <w:rPr>
          <w:rFonts w:cs="Times New Roman"/>
          <w:lang w:val="fr-CA"/>
        </w:rPr>
        <w:t>40 prévoit que le gouverneur en conseil peut en tout temps modifier ou annuler les décisions, arrêtés, règles ou règlements de l</w:t>
      </w:r>
      <w:r>
        <w:rPr>
          <w:rFonts w:cs="Times New Roman"/>
          <w:lang w:val="fr-CA"/>
        </w:rPr>
        <w:t>’</w:t>
      </w:r>
      <w:r w:rsidRPr="00DB5AAF">
        <w:rPr>
          <w:rFonts w:cs="Times New Roman"/>
          <w:lang w:val="fr-CA"/>
        </w:rPr>
        <w:t xml:space="preserve">Office, </w:t>
      </w:r>
      <w:r w:rsidRPr="00DB5AAF">
        <w:rPr>
          <w:rFonts w:cs="Times New Roman"/>
          <w:i/>
          <w:lang w:val="fr-CA"/>
        </w:rPr>
        <w:t>quels qu</w:t>
      </w:r>
      <w:r>
        <w:rPr>
          <w:rFonts w:cs="Times New Roman"/>
          <w:i/>
          <w:lang w:val="fr-CA"/>
        </w:rPr>
        <w:t>’</w:t>
      </w:r>
      <w:r w:rsidRPr="00DB5AAF">
        <w:rPr>
          <w:rFonts w:cs="Times New Roman"/>
          <w:i/>
          <w:lang w:val="fr-CA"/>
        </w:rPr>
        <w:t>ils soient</w:t>
      </w:r>
      <w:r w:rsidRPr="00DB5AAF">
        <w:rPr>
          <w:rFonts w:cs="Times New Roman"/>
          <w:lang w:val="fr-CA"/>
        </w:rPr>
        <w:t>, à la requête d</w:t>
      </w:r>
      <w:r>
        <w:rPr>
          <w:rFonts w:cs="Times New Roman"/>
          <w:lang w:val="fr-CA"/>
        </w:rPr>
        <w:t>’</w:t>
      </w:r>
      <w:r w:rsidRPr="00DB5AAF">
        <w:rPr>
          <w:rFonts w:cs="Times New Roman"/>
          <w:lang w:val="fr-CA"/>
        </w:rPr>
        <w:t>une partie ou d</w:t>
      </w:r>
      <w:r>
        <w:rPr>
          <w:rFonts w:cs="Times New Roman"/>
          <w:lang w:val="fr-CA"/>
        </w:rPr>
        <w:t>’</w:t>
      </w:r>
      <w:r w:rsidRPr="00DB5AAF">
        <w:rPr>
          <w:rFonts w:cs="Times New Roman"/>
          <w:lang w:val="fr-CA"/>
        </w:rPr>
        <w:t xml:space="preserve">un intéressé et même de sa propre initiative.  Rien dans la disposition ne donne à penser que les pouvoirs du gouverneur en conseil sont circonscrits de quelque manière, ni que ces pouvoirs se limitent à répondre à des questions de fait ou de politique. </w:t>
      </w:r>
    </w:p>
    <w:p w:rsidR="00784AD2" w:rsidRPr="00DB5AAF" w:rsidRDefault="00784AD2" w:rsidP="005C77BD">
      <w:pPr>
        <w:pStyle w:val="ParaNoNdepar-AltN"/>
        <w:rPr>
          <w:rFonts w:cs="Times New Roman"/>
          <w:lang w:val="fr-CA"/>
        </w:rPr>
      </w:pPr>
      <w:r w:rsidRPr="00DB5AAF">
        <w:rPr>
          <w:rFonts w:cs="Times New Roman"/>
          <w:lang w:val="fr-CA"/>
        </w:rPr>
        <w:t>Dans l</w:t>
      </w:r>
      <w:r>
        <w:rPr>
          <w:rFonts w:cs="Times New Roman"/>
          <w:lang w:val="fr-CA"/>
        </w:rPr>
        <w:t>’</w:t>
      </w:r>
      <w:r w:rsidRPr="00DB5AAF">
        <w:rPr>
          <w:rFonts w:cs="Times New Roman"/>
          <w:lang w:val="fr-CA"/>
        </w:rPr>
        <w:t xml:space="preserve">arrêt </w:t>
      </w:r>
      <w:r w:rsidRPr="00DB5AAF">
        <w:rPr>
          <w:rFonts w:cs="Times New Roman"/>
          <w:i/>
          <w:iCs/>
          <w:lang w:val="fr-CA"/>
        </w:rPr>
        <w:t xml:space="preserve">Procureur général du Canada c. Inuit </w:t>
      </w:r>
      <w:proofErr w:type="spellStart"/>
      <w:r w:rsidRPr="00DB5AAF">
        <w:rPr>
          <w:rFonts w:cs="Times New Roman"/>
          <w:i/>
          <w:iCs/>
          <w:lang w:val="fr-CA"/>
        </w:rPr>
        <w:t>Tapirisat</w:t>
      </w:r>
      <w:proofErr w:type="spellEnd"/>
      <w:r w:rsidRPr="00DB5AAF">
        <w:rPr>
          <w:rFonts w:cs="Times New Roman"/>
          <w:i/>
          <w:iCs/>
          <w:lang w:val="fr-CA"/>
        </w:rPr>
        <w:t xml:space="preserve"> of Canada</w:t>
      </w:r>
      <w:r w:rsidRPr="009E7331">
        <w:rPr>
          <w:rFonts w:cs="Times New Roman"/>
          <w:iCs/>
          <w:lang w:val="fr-CA"/>
        </w:rPr>
        <w:t>,</w:t>
      </w:r>
      <w:r w:rsidRPr="00DB5AAF">
        <w:rPr>
          <w:rFonts w:cs="Times New Roman"/>
          <w:i/>
          <w:iCs/>
          <w:lang w:val="fr-CA"/>
        </w:rPr>
        <w:t xml:space="preserve"> </w:t>
      </w:r>
      <w:r w:rsidRPr="00DB5AAF">
        <w:rPr>
          <w:rFonts w:cs="Times New Roman"/>
          <w:lang w:val="fr-CA"/>
        </w:rPr>
        <w:t>[1980] 2 R.C.S. 735, notre Cour a expliqué que l</w:t>
      </w:r>
      <w:r>
        <w:rPr>
          <w:rFonts w:cs="Times New Roman"/>
          <w:lang w:val="fr-CA"/>
        </w:rPr>
        <w:t xml:space="preserve">’art. </w:t>
      </w:r>
      <w:r w:rsidRPr="00DB5AAF">
        <w:rPr>
          <w:rFonts w:cs="Times New Roman"/>
          <w:lang w:val="fr-CA"/>
        </w:rPr>
        <w:t xml:space="preserve">64 de la </w:t>
      </w:r>
      <w:r w:rsidRPr="00DB5AAF">
        <w:rPr>
          <w:rFonts w:cs="Times New Roman"/>
          <w:i/>
          <w:iCs/>
          <w:lang w:val="fr-CA"/>
        </w:rPr>
        <w:t>Loi nationale sur les transports</w:t>
      </w:r>
      <w:r w:rsidRPr="00DB5AAF">
        <w:rPr>
          <w:rFonts w:cs="Times New Roman"/>
          <w:iCs/>
          <w:lang w:val="fr-CA"/>
        </w:rPr>
        <w:t xml:space="preserve"> </w:t>
      </w:r>
      <w:r w:rsidRPr="00DB5AAF">
        <w:rPr>
          <w:rFonts w:cs="Times New Roman"/>
          <w:lang w:val="fr-CA"/>
        </w:rPr>
        <w:t>— la disposition ayant précédé l</w:t>
      </w:r>
      <w:r>
        <w:rPr>
          <w:rFonts w:cs="Times New Roman"/>
          <w:lang w:val="fr-CA"/>
        </w:rPr>
        <w:t xml:space="preserve">’art. </w:t>
      </w:r>
      <w:r w:rsidRPr="00DB5AAF">
        <w:rPr>
          <w:rFonts w:cs="Times New Roman"/>
          <w:lang w:val="fr-CA"/>
        </w:rPr>
        <w:t xml:space="preserve">40 actuel — prévoyait un droit </w:t>
      </w:r>
      <w:r>
        <w:rPr>
          <w:rFonts w:cs="Times New Roman"/>
          <w:lang w:val="fr-CA"/>
        </w:rPr>
        <w:t>« </w:t>
      </w:r>
      <w:r w:rsidRPr="00DB5AAF">
        <w:rPr>
          <w:rFonts w:cs="Times New Roman"/>
          <w:lang w:val="fr-CA"/>
        </w:rPr>
        <w:t>illimité ou inconditionnel</w:t>
      </w:r>
      <w:r>
        <w:rPr>
          <w:rFonts w:cs="Times New Roman"/>
          <w:lang w:val="fr-CA"/>
        </w:rPr>
        <w:t> »</w:t>
      </w:r>
      <w:r w:rsidRPr="00DB5AAF">
        <w:rPr>
          <w:rFonts w:cs="Times New Roman"/>
          <w:lang w:val="fr-CA"/>
        </w:rPr>
        <w:t xml:space="preserve"> de présenter une requête au gouverneur en conseil, ce qui constitue une voie de révision </w:t>
      </w:r>
      <w:r>
        <w:rPr>
          <w:rFonts w:cs="Times New Roman"/>
          <w:lang w:val="fr-CA"/>
        </w:rPr>
        <w:t>« </w:t>
      </w:r>
      <w:r w:rsidRPr="00DB5AAF">
        <w:rPr>
          <w:rFonts w:cs="Times New Roman"/>
          <w:lang w:val="fr-CA"/>
        </w:rPr>
        <w:t>très différente</w:t>
      </w:r>
      <w:r>
        <w:rPr>
          <w:rFonts w:cs="Times New Roman"/>
          <w:lang w:val="fr-CA"/>
        </w:rPr>
        <w:t> »</w:t>
      </w:r>
      <w:r w:rsidRPr="00DB5AAF">
        <w:rPr>
          <w:rFonts w:cs="Times New Roman"/>
          <w:lang w:val="fr-CA"/>
        </w:rPr>
        <w:t xml:space="preserve"> du droit de porter en appel des </w:t>
      </w:r>
      <w:r w:rsidRPr="00DB5AAF">
        <w:rPr>
          <w:rFonts w:cs="Times New Roman"/>
          <w:lang w:val="fr-CA"/>
        </w:rPr>
        <w:lastRenderedPageBreak/>
        <w:t>questions de droit ou de compétence devant la Cour d</w:t>
      </w:r>
      <w:r>
        <w:rPr>
          <w:rFonts w:cs="Times New Roman"/>
          <w:lang w:val="fr-CA"/>
        </w:rPr>
        <w:t>’</w:t>
      </w:r>
      <w:r w:rsidRPr="00DB5AAF">
        <w:rPr>
          <w:rFonts w:cs="Times New Roman"/>
          <w:lang w:val="fr-CA"/>
        </w:rPr>
        <w:t>appel fédérale (</w:t>
      </w:r>
      <w:r>
        <w:rPr>
          <w:rFonts w:cs="Times New Roman"/>
          <w:lang w:val="fr-CA"/>
        </w:rPr>
        <w:t xml:space="preserve">p. </w:t>
      </w:r>
      <w:r w:rsidRPr="00DB5AAF">
        <w:rPr>
          <w:rFonts w:cs="Times New Roman"/>
          <w:lang w:val="fr-CA"/>
        </w:rPr>
        <w:t>745).  Le texte de l</w:t>
      </w:r>
      <w:r>
        <w:rPr>
          <w:rFonts w:cs="Times New Roman"/>
          <w:lang w:val="fr-CA"/>
        </w:rPr>
        <w:t xml:space="preserve">’art. </w:t>
      </w:r>
      <w:r w:rsidRPr="00DB5AAF">
        <w:rPr>
          <w:rFonts w:cs="Times New Roman"/>
          <w:lang w:val="fr-CA"/>
        </w:rPr>
        <w:t>64 était essentiellement le même que celui de l</w:t>
      </w:r>
      <w:r>
        <w:rPr>
          <w:rFonts w:cs="Times New Roman"/>
          <w:lang w:val="fr-CA"/>
        </w:rPr>
        <w:t xml:space="preserve">’art. </w:t>
      </w:r>
      <w:r w:rsidRPr="00DB5AAF">
        <w:rPr>
          <w:rFonts w:cs="Times New Roman"/>
          <w:lang w:val="fr-CA"/>
        </w:rPr>
        <w:t>40 actuel.</w:t>
      </w:r>
    </w:p>
    <w:p w:rsidR="00784AD2" w:rsidRPr="00DB5AAF" w:rsidRDefault="00784AD2" w:rsidP="005C77BD">
      <w:pPr>
        <w:pStyle w:val="ParaNoNdepar-AltN"/>
        <w:rPr>
          <w:rFonts w:cs="Times New Roman"/>
          <w:lang w:val="fr-CA"/>
        </w:rPr>
      </w:pPr>
      <w:r w:rsidRPr="00DB5AAF">
        <w:rPr>
          <w:rFonts w:cs="Times New Roman"/>
          <w:lang w:val="fr-CA"/>
        </w:rPr>
        <w:t>Ainsi que l</w:t>
      </w:r>
      <w:r>
        <w:rPr>
          <w:rFonts w:cs="Times New Roman"/>
          <w:lang w:val="fr-CA"/>
        </w:rPr>
        <w:t>’</w:t>
      </w:r>
      <w:r w:rsidRPr="00DB5AAF">
        <w:rPr>
          <w:rFonts w:cs="Times New Roman"/>
          <w:lang w:val="fr-CA"/>
        </w:rPr>
        <w:t xml:space="preserve">a expliqué le juge </w:t>
      </w:r>
      <w:proofErr w:type="spellStart"/>
      <w:r w:rsidRPr="00DB5AAF">
        <w:rPr>
          <w:rFonts w:cs="Times New Roman"/>
          <w:lang w:val="fr-CA"/>
        </w:rPr>
        <w:t>Estey</w:t>
      </w:r>
      <w:proofErr w:type="spellEnd"/>
      <w:r>
        <w:rPr>
          <w:rFonts w:cs="Times New Roman"/>
          <w:lang w:val="fr-CA"/>
        </w:rPr>
        <w:t> :</w:t>
      </w:r>
      <w:r w:rsidRPr="00DB5AAF">
        <w:rPr>
          <w:rFonts w:cs="Times New Roman"/>
          <w:lang w:val="fr-CA"/>
        </w:rPr>
        <w:t xml:space="preserve"> </w:t>
      </w:r>
      <w:r>
        <w:rPr>
          <w:rFonts w:cs="Times New Roman"/>
          <w:lang w:val="fr-CA"/>
        </w:rPr>
        <w:t>« </w:t>
      </w:r>
      <w:r w:rsidR="009E7331">
        <w:rPr>
          <w:rFonts w:cs="Times New Roman"/>
          <w:lang w:val="fr-CA"/>
        </w:rPr>
        <w:t>R</w:t>
      </w:r>
      <w:r w:rsidRPr="00DB5AAF">
        <w:rPr>
          <w:rFonts w:cs="Times New Roman"/>
          <w:lang w:val="fr-CA"/>
        </w:rPr>
        <w:t>ien dans l</w:t>
      </w:r>
      <w:r>
        <w:rPr>
          <w:rFonts w:cs="Times New Roman"/>
          <w:lang w:val="fr-CA"/>
        </w:rPr>
        <w:t xml:space="preserve">’art. </w:t>
      </w:r>
      <w:r w:rsidRPr="00DB5AAF">
        <w:rPr>
          <w:rFonts w:cs="Times New Roman"/>
          <w:lang w:val="fr-CA"/>
        </w:rPr>
        <w:t>64 ne restreint la liberté d</w:t>
      </w:r>
      <w:r>
        <w:rPr>
          <w:rFonts w:cs="Times New Roman"/>
          <w:lang w:val="fr-CA"/>
        </w:rPr>
        <w:t>’</w:t>
      </w:r>
      <w:r w:rsidRPr="00DB5AAF">
        <w:rPr>
          <w:rFonts w:cs="Times New Roman"/>
          <w:lang w:val="fr-CA"/>
        </w:rPr>
        <w:t>action du gouverneur en conseil, il ne formule même pas de principe, de fond ou de procédure, concernant l</w:t>
      </w:r>
      <w:r>
        <w:rPr>
          <w:rFonts w:cs="Times New Roman"/>
          <w:lang w:val="fr-CA"/>
        </w:rPr>
        <w:t>’</w:t>
      </w:r>
      <w:r w:rsidRPr="00DB5AAF">
        <w:rPr>
          <w:rFonts w:cs="Times New Roman"/>
          <w:lang w:val="fr-CA"/>
        </w:rPr>
        <w:t xml:space="preserve">exercice de ses fonctions en vertu du </w:t>
      </w:r>
      <w:r>
        <w:rPr>
          <w:rFonts w:cs="Times New Roman"/>
          <w:lang w:val="fr-CA"/>
        </w:rPr>
        <w:t xml:space="preserve">par. </w:t>
      </w:r>
      <w:r w:rsidRPr="00DB5AAF">
        <w:rPr>
          <w:rFonts w:cs="Times New Roman"/>
          <w:lang w:val="fr-CA"/>
        </w:rPr>
        <w:t>(1)</w:t>
      </w:r>
      <w:r>
        <w:rPr>
          <w:rFonts w:cs="Times New Roman"/>
          <w:lang w:val="fr-CA"/>
        </w:rPr>
        <w:t> »</w:t>
      </w:r>
      <w:r w:rsidRPr="00DB5AAF">
        <w:rPr>
          <w:rFonts w:cs="Times New Roman"/>
          <w:lang w:val="fr-CA"/>
        </w:rPr>
        <w:t xml:space="preserve"> (</w:t>
      </w:r>
      <w:r>
        <w:rPr>
          <w:rFonts w:cs="Times New Roman"/>
          <w:lang w:val="fr-CA"/>
        </w:rPr>
        <w:t xml:space="preserve">p. </w:t>
      </w:r>
      <w:r w:rsidRPr="00DB5AAF">
        <w:rPr>
          <w:rFonts w:cs="Times New Roman"/>
          <w:lang w:val="fr-CA"/>
        </w:rPr>
        <w:t xml:space="preserve">745).  (Même si la conclusion du juge </w:t>
      </w:r>
      <w:proofErr w:type="spellStart"/>
      <w:r w:rsidRPr="00DB5AAF">
        <w:rPr>
          <w:rFonts w:cs="Times New Roman"/>
          <w:lang w:val="fr-CA"/>
        </w:rPr>
        <w:t>Estey</w:t>
      </w:r>
      <w:proofErr w:type="spellEnd"/>
      <w:r w:rsidRPr="00DB5AAF">
        <w:rPr>
          <w:rFonts w:cs="Times New Roman"/>
          <w:lang w:val="fr-CA"/>
        </w:rPr>
        <w:t xml:space="preserve">, à la </w:t>
      </w:r>
      <w:r>
        <w:rPr>
          <w:rFonts w:cs="Times New Roman"/>
          <w:lang w:val="fr-CA"/>
        </w:rPr>
        <w:t xml:space="preserve">p. </w:t>
      </w:r>
      <w:r w:rsidRPr="00DB5AAF">
        <w:rPr>
          <w:rFonts w:cs="Times New Roman"/>
          <w:lang w:val="fr-CA"/>
        </w:rPr>
        <w:t>759, à savoir que l</w:t>
      </w:r>
      <w:r>
        <w:rPr>
          <w:rFonts w:cs="Times New Roman"/>
          <w:lang w:val="fr-CA"/>
        </w:rPr>
        <w:t>’</w:t>
      </w:r>
      <w:r w:rsidRPr="00DB5AAF">
        <w:rPr>
          <w:rFonts w:cs="Times New Roman"/>
          <w:lang w:val="fr-CA"/>
        </w:rPr>
        <w:t>on ne peut justifier l</w:t>
      </w:r>
      <w:r>
        <w:rPr>
          <w:rFonts w:cs="Times New Roman"/>
          <w:lang w:val="fr-CA"/>
        </w:rPr>
        <w:t>’</w:t>
      </w:r>
      <w:r w:rsidRPr="00DB5AAF">
        <w:rPr>
          <w:rFonts w:cs="Times New Roman"/>
          <w:lang w:val="fr-CA"/>
        </w:rPr>
        <w:t>introduction dans la disposition des exigences en matière d</w:t>
      </w:r>
      <w:r>
        <w:rPr>
          <w:rFonts w:cs="Times New Roman"/>
          <w:lang w:val="fr-CA"/>
        </w:rPr>
        <w:t>’</w:t>
      </w:r>
      <w:r w:rsidRPr="00DB5AAF">
        <w:rPr>
          <w:rFonts w:cs="Times New Roman"/>
          <w:lang w:val="fr-CA"/>
        </w:rPr>
        <w:t>équité procédurale, ne représente peut</w:t>
      </w:r>
      <w:r>
        <w:rPr>
          <w:rFonts w:cs="Times New Roman"/>
          <w:lang w:val="fr-CA"/>
        </w:rPr>
        <w:t>-</w:t>
      </w:r>
      <w:r w:rsidRPr="00DB5AAF">
        <w:rPr>
          <w:rFonts w:cs="Times New Roman"/>
          <w:lang w:val="fr-CA"/>
        </w:rPr>
        <w:t>être pas la manière actuelle dont on considère l</w:t>
      </w:r>
      <w:r>
        <w:rPr>
          <w:rFonts w:cs="Times New Roman"/>
          <w:lang w:val="fr-CA"/>
        </w:rPr>
        <w:t>’</w:t>
      </w:r>
      <w:r w:rsidRPr="00DB5AAF">
        <w:rPr>
          <w:rFonts w:cs="Times New Roman"/>
          <w:lang w:val="fr-CA"/>
        </w:rPr>
        <w:t>application de la justice naturelle dans un contexte administratif, notre Cour n</w:t>
      </w:r>
      <w:r>
        <w:rPr>
          <w:rFonts w:cs="Times New Roman"/>
          <w:lang w:val="fr-CA"/>
        </w:rPr>
        <w:t>’</w:t>
      </w:r>
      <w:r w:rsidRPr="00DB5AAF">
        <w:rPr>
          <w:rFonts w:cs="Times New Roman"/>
          <w:lang w:val="fr-CA"/>
        </w:rPr>
        <w:t>est pas saisie de la question de l</w:t>
      </w:r>
      <w:r>
        <w:rPr>
          <w:rFonts w:cs="Times New Roman"/>
          <w:lang w:val="fr-CA"/>
        </w:rPr>
        <w:t>’</w:t>
      </w:r>
      <w:r w:rsidRPr="00DB5AAF">
        <w:rPr>
          <w:rFonts w:cs="Times New Roman"/>
          <w:lang w:val="fr-CA"/>
        </w:rPr>
        <w:t xml:space="preserve">équité procédurale dont le gouverneur en conseil doit faire preuve.)  Bien sûr, le gouverneur en conseil est </w:t>
      </w:r>
      <w:r>
        <w:rPr>
          <w:rFonts w:cs="Times New Roman"/>
          <w:lang w:val="fr-CA"/>
        </w:rPr>
        <w:t>« </w:t>
      </w:r>
      <w:r w:rsidRPr="00DB5AAF">
        <w:rPr>
          <w:rFonts w:cs="Times New Roman"/>
          <w:lang w:val="fr-CA"/>
        </w:rPr>
        <w:t>limité par la loi</w:t>
      </w:r>
      <w:r>
        <w:rPr>
          <w:rFonts w:cs="Times New Roman"/>
          <w:lang w:val="fr-CA"/>
        </w:rPr>
        <w:t> »</w:t>
      </w:r>
      <w:r w:rsidRPr="00DB5AAF">
        <w:rPr>
          <w:rFonts w:cs="Times New Roman"/>
          <w:lang w:val="fr-CA"/>
        </w:rPr>
        <w:t xml:space="preserve"> et ne peut, dans l</w:t>
      </w:r>
      <w:r>
        <w:rPr>
          <w:rFonts w:cs="Times New Roman"/>
          <w:lang w:val="fr-CA"/>
        </w:rPr>
        <w:t>’</w:t>
      </w:r>
      <w:r w:rsidRPr="00DB5AAF">
        <w:rPr>
          <w:rFonts w:cs="Times New Roman"/>
          <w:lang w:val="fr-CA"/>
        </w:rPr>
        <w:t>exercice des pouvoirs que lui confère l</w:t>
      </w:r>
      <w:r>
        <w:rPr>
          <w:rFonts w:cs="Times New Roman"/>
          <w:lang w:val="fr-CA"/>
        </w:rPr>
        <w:t xml:space="preserve">’art. </w:t>
      </w:r>
      <w:r w:rsidRPr="00DB5AAF">
        <w:rPr>
          <w:rFonts w:cs="Times New Roman"/>
          <w:lang w:val="fr-CA"/>
        </w:rPr>
        <w:t>40, édicter ou modifier une loi du Parlement (</w:t>
      </w:r>
      <w:r w:rsidRPr="00DB5AAF">
        <w:rPr>
          <w:rFonts w:cs="Times New Roman"/>
          <w:i/>
          <w:iCs/>
          <w:lang w:val="fr-CA"/>
        </w:rPr>
        <w:t>Public Mobile Inc. c. Canada (Procureur général)</w:t>
      </w:r>
      <w:r w:rsidRPr="00DB5AAF">
        <w:rPr>
          <w:rFonts w:cs="Times New Roman"/>
          <w:lang w:val="fr-CA"/>
        </w:rPr>
        <w:t>, 2011</w:t>
      </w:r>
      <w:r>
        <w:rPr>
          <w:rFonts w:cs="Times New Roman"/>
          <w:lang w:val="fr-CA"/>
        </w:rPr>
        <w:t xml:space="preserve"> </w:t>
      </w:r>
      <w:r w:rsidRPr="00DB5AAF">
        <w:rPr>
          <w:rFonts w:cs="Times New Roman"/>
          <w:lang w:val="fr-CA"/>
        </w:rPr>
        <w:t>CAF</w:t>
      </w:r>
      <w:r>
        <w:rPr>
          <w:rFonts w:cs="Times New Roman"/>
          <w:lang w:val="fr-CA"/>
        </w:rPr>
        <w:t xml:space="preserve"> </w:t>
      </w:r>
      <w:r w:rsidRPr="00DB5AAF">
        <w:rPr>
          <w:rFonts w:cs="Times New Roman"/>
          <w:lang w:val="fr-CA"/>
        </w:rPr>
        <w:t>194, [2011] 3 R.C.F.</w:t>
      </w:r>
      <w:r w:rsidR="00DE54B2">
        <w:rPr>
          <w:rFonts w:cs="Times New Roman"/>
          <w:lang w:val="fr-CA"/>
        </w:rPr>
        <w:t xml:space="preserve"> </w:t>
      </w:r>
      <w:r w:rsidRPr="00DB5AAF">
        <w:rPr>
          <w:rFonts w:cs="Times New Roman"/>
          <w:lang w:val="fr-CA"/>
        </w:rPr>
        <w:t xml:space="preserve">344, </w:t>
      </w:r>
      <w:r>
        <w:rPr>
          <w:rFonts w:cs="Times New Roman"/>
          <w:lang w:val="fr-CA"/>
        </w:rPr>
        <w:t xml:space="preserve">par. </w:t>
      </w:r>
      <w:r w:rsidRPr="00DB5AAF">
        <w:rPr>
          <w:rFonts w:cs="Times New Roman"/>
          <w:lang w:val="fr-CA"/>
        </w:rPr>
        <w:t xml:space="preserve">29; voir </w:t>
      </w:r>
      <w:r w:rsidRPr="00DB5AAF">
        <w:rPr>
          <w:rFonts w:cs="Times New Roman"/>
          <w:i/>
          <w:iCs/>
          <w:lang w:val="fr-CA"/>
        </w:rPr>
        <w:t xml:space="preserve">Inuit </w:t>
      </w:r>
      <w:proofErr w:type="spellStart"/>
      <w:r w:rsidRPr="00DB5AAF">
        <w:rPr>
          <w:rFonts w:cs="Times New Roman"/>
          <w:i/>
          <w:iCs/>
          <w:lang w:val="fr-CA"/>
        </w:rPr>
        <w:t>Tapirisat</w:t>
      </w:r>
      <w:proofErr w:type="spellEnd"/>
      <w:r w:rsidRPr="00DB5AAF">
        <w:rPr>
          <w:rFonts w:cs="Times New Roman"/>
          <w:lang w:val="fr-CA"/>
        </w:rPr>
        <w:t xml:space="preserve">, </w:t>
      </w:r>
      <w:r>
        <w:rPr>
          <w:rFonts w:cs="Times New Roman"/>
          <w:lang w:val="fr-CA"/>
        </w:rPr>
        <w:t xml:space="preserve">p. </w:t>
      </w:r>
      <w:r w:rsidRPr="00DB5AAF">
        <w:rPr>
          <w:rFonts w:cs="Times New Roman"/>
          <w:lang w:val="fr-CA"/>
        </w:rPr>
        <w:t xml:space="preserve">752). </w:t>
      </w:r>
    </w:p>
    <w:p w:rsidR="00784AD2" w:rsidRPr="00DB5AAF" w:rsidRDefault="00784AD2" w:rsidP="005C77BD">
      <w:pPr>
        <w:pStyle w:val="ParaNoNdepar-AltN"/>
        <w:rPr>
          <w:rFonts w:cs="Times New Roman"/>
          <w:lang w:val="fr-CA"/>
        </w:rPr>
      </w:pPr>
      <w:r w:rsidRPr="00DB5AAF">
        <w:rPr>
          <w:rFonts w:cs="Times New Roman"/>
          <w:lang w:val="fr-CA"/>
        </w:rPr>
        <w:t>Pour les besoins du présent pourvoi, la seule limite inhérente est que le gouverneur en conseil n</w:t>
      </w:r>
      <w:r>
        <w:rPr>
          <w:rFonts w:cs="Times New Roman"/>
          <w:lang w:val="fr-CA"/>
        </w:rPr>
        <w:t>’</w:t>
      </w:r>
      <w:r w:rsidRPr="00DB5AAF">
        <w:rPr>
          <w:rFonts w:cs="Times New Roman"/>
          <w:lang w:val="fr-CA"/>
        </w:rPr>
        <w:t xml:space="preserve">est pas habilité à traiter </w:t>
      </w:r>
      <w:r w:rsidRPr="00DB5AAF">
        <w:rPr>
          <w:rFonts w:cs="Times New Roman"/>
          <w:i/>
          <w:iCs/>
          <w:lang w:val="fr-CA"/>
        </w:rPr>
        <w:t xml:space="preserve">ab </w:t>
      </w:r>
      <w:proofErr w:type="spellStart"/>
      <w:r w:rsidRPr="00DB5AAF">
        <w:rPr>
          <w:rFonts w:cs="Times New Roman"/>
          <w:i/>
          <w:iCs/>
          <w:lang w:val="fr-CA"/>
        </w:rPr>
        <w:t>initio</w:t>
      </w:r>
      <w:proofErr w:type="spellEnd"/>
      <w:r w:rsidRPr="00DB5AAF">
        <w:rPr>
          <w:rFonts w:cs="Times New Roman"/>
          <w:lang w:val="fr-CA"/>
        </w:rPr>
        <w:t xml:space="preserve"> de questions découlant de l</w:t>
      </w:r>
      <w:r>
        <w:rPr>
          <w:rFonts w:cs="Times New Roman"/>
          <w:lang w:val="fr-CA"/>
        </w:rPr>
        <w:t>’</w:t>
      </w:r>
      <w:r w:rsidRPr="00DB5AAF">
        <w:rPr>
          <w:rFonts w:cs="Times New Roman"/>
          <w:lang w:val="fr-CA"/>
        </w:rPr>
        <w:t xml:space="preserve">application de la </w:t>
      </w:r>
      <w:r w:rsidRPr="00DB5AAF">
        <w:rPr>
          <w:rFonts w:cs="Times New Roman"/>
          <w:i/>
          <w:lang w:val="fr-CA"/>
        </w:rPr>
        <w:t>Loi</w:t>
      </w:r>
      <w:r>
        <w:rPr>
          <w:rFonts w:cs="Times New Roman"/>
          <w:lang w:val="fr-CA"/>
        </w:rPr>
        <w:t> :</w:t>
      </w:r>
      <w:r w:rsidRPr="00DB5AAF">
        <w:rPr>
          <w:rFonts w:cs="Times New Roman"/>
          <w:lang w:val="fr-CA"/>
        </w:rPr>
        <w:t xml:space="preserve"> </w:t>
      </w:r>
      <w:r>
        <w:rPr>
          <w:rFonts w:cs="Times New Roman"/>
          <w:lang w:val="fr-CA"/>
        </w:rPr>
        <w:t>« </w:t>
      </w:r>
      <w:r w:rsidR="009E7331">
        <w:rPr>
          <w:rFonts w:cs="Times New Roman"/>
          <w:lang w:val="fr-CA"/>
        </w:rPr>
        <w:t>L</w:t>
      </w:r>
      <w:r w:rsidRPr="00DB5AAF">
        <w:rPr>
          <w:rFonts w:cs="Times New Roman"/>
          <w:spacing w:val="-3"/>
          <w:lang w:val="fr-CA"/>
        </w:rPr>
        <w:t xml:space="preserve">e pouvoir du Cabinet est limité </w:t>
      </w:r>
      <w:r w:rsidR="009E7331">
        <w:rPr>
          <w:rFonts w:cs="Times New Roman"/>
          <w:spacing w:val="-3"/>
          <w:lang w:val="fr-CA"/>
        </w:rPr>
        <w:t>aux</w:t>
      </w:r>
      <w:r w:rsidRPr="00DB5AAF">
        <w:rPr>
          <w:rFonts w:cs="Times New Roman"/>
          <w:spacing w:val="-3"/>
          <w:lang w:val="fr-CA"/>
        </w:rPr>
        <w:t xml:space="preserve"> questions déjà examinées par la Commission, et il doit s</w:t>
      </w:r>
      <w:r>
        <w:rPr>
          <w:rFonts w:cs="Times New Roman"/>
          <w:spacing w:val="-3"/>
          <w:lang w:val="fr-CA"/>
        </w:rPr>
        <w:t>’</w:t>
      </w:r>
      <w:r w:rsidRPr="00DB5AAF">
        <w:rPr>
          <w:rFonts w:cs="Times New Roman"/>
          <w:spacing w:val="-3"/>
          <w:lang w:val="fr-CA"/>
        </w:rPr>
        <w:t>agir de décisions, arrêtés, règles ou règlements</w:t>
      </w:r>
      <w:r>
        <w:rPr>
          <w:rFonts w:cs="Times New Roman"/>
          <w:spacing w:val="-3"/>
          <w:lang w:val="fr-CA"/>
        </w:rPr>
        <w:t> </w:t>
      </w:r>
      <w:r w:rsidR="009E7331">
        <w:rPr>
          <w:rFonts w:cs="Times New Roman"/>
          <w:spacing w:val="-3"/>
          <w:lang w:val="fr-CA"/>
        </w:rPr>
        <w:t xml:space="preserve">. . . </w:t>
      </w:r>
      <w:r>
        <w:rPr>
          <w:rFonts w:cs="Times New Roman"/>
          <w:spacing w:val="-3"/>
          <w:lang w:val="fr-CA"/>
        </w:rPr>
        <w:t>»</w:t>
      </w:r>
      <w:r w:rsidRPr="00DB5AAF">
        <w:rPr>
          <w:rFonts w:cs="Times New Roman"/>
          <w:lang w:val="fr-CA"/>
        </w:rPr>
        <w:t xml:space="preserve"> (</w:t>
      </w:r>
      <w:r w:rsidRPr="00DB5AAF">
        <w:rPr>
          <w:rFonts w:cs="Times New Roman"/>
          <w:i/>
          <w:iCs/>
          <w:lang w:val="fr-CA"/>
        </w:rPr>
        <w:t>Colombie</w:t>
      </w:r>
      <w:r>
        <w:rPr>
          <w:rFonts w:cs="Times New Roman"/>
          <w:i/>
          <w:iCs/>
          <w:lang w:val="fr-CA"/>
        </w:rPr>
        <w:t>-</w:t>
      </w:r>
      <w:r w:rsidRPr="00DB5AAF">
        <w:rPr>
          <w:rFonts w:cs="Times New Roman"/>
          <w:i/>
          <w:iCs/>
          <w:lang w:val="fr-CA"/>
        </w:rPr>
        <w:t>Britannique (Procureur général) c. Canada (Procureur général)</w:t>
      </w:r>
      <w:r w:rsidRPr="00DB5AAF">
        <w:rPr>
          <w:rFonts w:cs="Times New Roman"/>
          <w:lang w:val="fr-CA"/>
        </w:rPr>
        <w:t>, [1994] 2</w:t>
      </w:r>
      <w:r>
        <w:rPr>
          <w:rFonts w:cs="Times New Roman"/>
          <w:lang w:val="fr-CA"/>
        </w:rPr>
        <w:t xml:space="preserve"> </w:t>
      </w:r>
      <w:r w:rsidRPr="00DB5AAF">
        <w:rPr>
          <w:rFonts w:cs="Times New Roman"/>
          <w:lang w:val="fr-CA"/>
        </w:rPr>
        <w:t>R.C.S.</w:t>
      </w:r>
      <w:r>
        <w:rPr>
          <w:rFonts w:cs="Times New Roman"/>
          <w:lang w:val="fr-CA"/>
        </w:rPr>
        <w:t xml:space="preserve"> </w:t>
      </w:r>
      <w:r w:rsidRPr="00DB5AAF">
        <w:rPr>
          <w:rFonts w:cs="Times New Roman"/>
          <w:lang w:val="fr-CA"/>
        </w:rPr>
        <w:t xml:space="preserve">41, </w:t>
      </w:r>
      <w:r>
        <w:rPr>
          <w:rFonts w:cs="Times New Roman"/>
          <w:lang w:val="fr-CA"/>
        </w:rPr>
        <w:t xml:space="preserve">p. </w:t>
      </w:r>
      <w:r w:rsidRPr="00DB5AAF">
        <w:rPr>
          <w:rFonts w:cs="Times New Roman"/>
          <w:lang w:val="fr-CA"/>
        </w:rPr>
        <w:t>119, citant B.</w:t>
      </w:r>
      <w:r>
        <w:rPr>
          <w:rFonts w:cs="Times New Roman"/>
          <w:lang w:val="fr-CA"/>
        </w:rPr>
        <w:t xml:space="preserve"> </w:t>
      </w:r>
      <w:r w:rsidRPr="00DB5AAF">
        <w:rPr>
          <w:rFonts w:cs="Times New Roman"/>
          <w:lang w:val="fr-CA"/>
        </w:rPr>
        <w:t>S.</w:t>
      </w:r>
      <w:r>
        <w:rPr>
          <w:rFonts w:cs="Times New Roman"/>
          <w:lang w:val="fr-CA"/>
        </w:rPr>
        <w:t xml:space="preserve"> </w:t>
      </w:r>
      <w:proofErr w:type="spellStart"/>
      <w:r w:rsidRPr="00DB5AAF">
        <w:rPr>
          <w:rFonts w:cs="Times New Roman"/>
          <w:lang w:val="fr-CA"/>
        </w:rPr>
        <w:t>Romaniuk</w:t>
      </w:r>
      <w:proofErr w:type="spellEnd"/>
      <w:r w:rsidRPr="00DB5AAF">
        <w:rPr>
          <w:rFonts w:cs="Times New Roman"/>
          <w:lang w:val="fr-CA"/>
        </w:rPr>
        <w:t xml:space="preserve"> et H.</w:t>
      </w:r>
      <w:r>
        <w:rPr>
          <w:rFonts w:cs="Times New Roman"/>
          <w:lang w:val="fr-CA"/>
        </w:rPr>
        <w:t xml:space="preserve"> </w:t>
      </w:r>
      <w:r w:rsidRPr="00DB5AAF">
        <w:rPr>
          <w:rFonts w:cs="Times New Roman"/>
          <w:lang w:val="fr-CA"/>
        </w:rPr>
        <w:t>N.</w:t>
      </w:r>
      <w:r>
        <w:rPr>
          <w:rFonts w:cs="Times New Roman"/>
          <w:lang w:val="fr-CA"/>
        </w:rPr>
        <w:t xml:space="preserve"> </w:t>
      </w:r>
      <w:proofErr w:type="spellStart"/>
      <w:r w:rsidRPr="00DB5AAF">
        <w:rPr>
          <w:rFonts w:cs="Times New Roman"/>
          <w:lang w:val="fr-CA"/>
        </w:rPr>
        <w:t>Janisch</w:t>
      </w:r>
      <w:proofErr w:type="spellEnd"/>
      <w:r w:rsidRPr="00DB5AAF">
        <w:rPr>
          <w:rFonts w:cs="Times New Roman"/>
          <w:lang w:val="fr-CA"/>
        </w:rPr>
        <w:t xml:space="preserve">, </w:t>
      </w:r>
      <w:r>
        <w:rPr>
          <w:rFonts w:cs="Times New Roman"/>
          <w:lang w:val="fr-CA"/>
        </w:rPr>
        <w:t>« </w:t>
      </w:r>
      <w:proofErr w:type="spellStart"/>
      <w:r w:rsidRPr="00DE54B2">
        <w:rPr>
          <w:rFonts w:cs="Times New Roman"/>
          <w:lang w:val="fr-CA"/>
        </w:rPr>
        <w:t>Competition</w:t>
      </w:r>
      <w:proofErr w:type="spellEnd"/>
      <w:r w:rsidRPr="00DE54B2">
        <w:rPr>
          <w:rFonts w:cs="Times New Roman"/>
          <w:lang w:val="fr-CA"/>
        </w:rPr>
        <w:t xml:space="preserve"> in </w:t>
      </w:r>
      <w:proofErr w:type="spellStart"/>
      <w:r w:rsidRPr="00DE54B2">
        <w:rPr>
          <w:rFonts w:cs="Times New Roman"/>
          <w:lang w:val="fr-CA"/>
        </w:rPr>
        <w:t>Telecommunications</w:t>
      </w:r>
      <w:proofErr w:type="spellEnd"/>
      <w:r w:rsidRPr="00DE54B2">
        <w:rPr>
          <w:rFonts w:cs="Times New Roman"/>
          <w:lang w:val="fr-CA"/>
        </w:rPr>
        <w:t xml:space="preserve"> : </w:t>
      </w:r>
      <w:proofErr w:type="spellStart"/>
      <w:r w:rsidRPr="00DE54B2">
        <w:rPr>
          <w:rFonts w:cs="Times New Roman"/>
          <w:lang w:val="fr-CA"/>
        </w:rPr>
        <w:t>Who</w:t>
      </w:r>
      <w:proofErr w:type="spellEnd"/>
      <w:r w:rsidRPr="00DE54B2">
        <w:rPr>
          <w:rFonts w:cs="Times New Roman"/>
          <w:lang w:val="fr-CA"/>
        </w:rPr>
        <w:t xml:space="preserve"> Polices the Transition?</w:t>
      </w:r>
      <w:r>
        <w:rPr>
          <w:rFonts w:cs="Times New Roman"/>
          <w:lang w:val="fr-CA"/>
        </w:rPr>
        <w:t> »</w:t>
      </w:r>
      <w:r w:rsidRPr="00DB5AAF">
        <w:rPr>
          <w:rFonts w:cs="Times New Roman"/>
          <w:lang w:val="fr-CA"/>
        </w:rPr>
        <w:t xml:space="preserve"> (1986), 18 </w:t>
      </w:r>
      <w:r w:rsidRPr="00DB5AAF">
        <w:rPr>
          <w:rFonts w:cs="Times New Roman"/>
          <w:i/>
          <w:lang w:val="fr-CA"/>
        </w:rPr>
        <w:lastRenderedPageBreak/>
        <w:t>Ottawa L.</w:t>
      </w:r>
      <w:r w:rsidR="009E7331">
        <w:rPr>
          <w:rFonts w:cs="Times New Roman"/>
          <w:i/>
          <w:lang w:val="fr-CA"/>
        </w:rPr>
        <w:t xml:space="preserve"> </w:t>
      </w:r>
      <w:proofErr w:type="spellStart"/>
      <w:r w:rsidRPr="00DB5AAF">
        <w:rPr>
          <w:rFonts w:cs="Times New Roman"/>
          <w:i/>
          <w:lang w:val="fr-CA"/>
        </w:rPr>
        <w:t>R</w:t>
      </w:r>
      <w:r w:rsidR="009E7331">
        <w:rPr>
          <w:rFonts w:cs="Times New Roman"/>
          <w:i/>
          <w:lang w:val="fr-CA"/>
        </w:rPr>
        <w:t>ev</w:t>
      </w:r>
      <w:proofErr w:type="spellEnd"/>
      <w:r w:rsidRPr="00DB5AAF">
        <w:rPr>
          <w:rFonts w:cs="Times New Roman"/>
          <w:i/>
          <w:lang w:val="fr-CA"/>
        </w:rPr>
        <w:t>.</w:t>
      </w:r>
      <w:r w:rsidRPr="00DB5AAF">
        <w:rPr>
          <w:rFonts w:cs="Times New Roman"/>
          <w:lang w:val="fr-CA"/>
        </w:rPr>
        <w:t xml:space="preserve"> 561, </w:t>
      </w:r>
      <w:r>
        <w:rPr>
          <w:rFonts w:cs="Times New Roman"/>
          <w:lang w:val="fr-CA"/>
        </w:rPr>
        <w:t xml:space="preserve">p. </w:t>
      </w:r>
      <w:r w:rsidRPr="00DB5AAF">
        <w:rPr>
          <w:rFonts w:cs="Times New Roman"/>
          <w:lang w:val="fr-CA"/>
        </w:rPr>
        <w:t>628).  En ce sens, le gouverneur en conseil n</w:t>
      </w:r>
      <w:r>
        <w:rPr>
          <w:rFonts w:cs="Times New Roman"/>
          <w:lang w:val="fr-CA"/>
        </w:rPr>
        <w:t>’</w:t>
      </w:r>
      <w:r w:rsidRPr="00DB5AAF">
        <w:rPr>
          <w:rFonts w:cs="Times New Roman"/>
          <w:lang w:val="fr-CA"/>
        </w:rPr>
        <w:t>a pas le pouvoir d</w:t>
      </w:r>
      <w:r>
        <w:rPr>
          <w:rFonts w:cs="Times New Roman"/>
          <w:lang w:val="fr-CA"/>
        </w:rPr>
        <w:t>’</w:t>
      </w:r>
      <w:r w:rsidRPr="00DB5AAF">
        <w:rPr>
          <w:rFonts w:cs="Times New Roman"/>
          <w:lang w:val="fr-CA"/>
        </w:rPr>
        <w:t>adopter des règles de fond en vertu de l</w:t>
      </w:r>
      <w:r>
        <w:rPr>
          <w:rFonts w:cs="Times New Roman"/>
          <w:lang w:val="fr-CA"/>
        </w:rPr>
        <w:t xml:space="preserve">’art. </w:t>
      </w:r>
      <w:r w:rsidRPr="00DB5AAF">
        <w:rPr>
          <w:rFonts w:cs="Times New Roman"/>
          <w:lang w:val="fr-CA"/>
        </w:rPr>
        <w:t>40; mais cette restriction ne veut pas dire que les questions de droit sont exclues de la portée du pouvoir qu</w:t>
      </w:r>
      <w:r>
        <w:rPr>
          <w:rFonts w:cs="Times New Roman"/>
          <w:lang w:val="fr-CA"/>
        </w:rPr>
        <w:t>’</w:t>
      </w:r>
      <w:r w:rsidR="009E7331">
        <w:rPr>
          <w:rFonts w:cs="Times New Roman"/>
          <w:lang w:val="fr-CA"/>
        </w:rPr>
        <w:t>a</w:t>
      </w:r>
      <w:r w:rsidRPr="00DB5AAF">
        <w:rPr>
          <w:rFonts w:cs="Times New Roman"/>
          <w:lang w:val="fr-CA"/>
        </w:rPr>
        <w:t xml:space="preserve"> le gouverneur en conseil d</w:t>
      </w:r>
      <w:r>
        <w:rPr>
          <w:rFonts w:cs="Times New Roman"/>
          <w:lang w:val="fr-CA"/>
        </w:rPr>
        <w:t>’</w:t>
      </w:r>
      <w:r w:rsidRPr="00DB5AAF">
        <w:rPr>
          <w:rFonts w:cs="Times New Roman"/>
          <w:lang w:val="fr-CA"/>
        </w:rPr>
        <w:t>examiner les décisions de l</w:t>
      </w:r>
      <w:r>
        <w:rPr>
          <w:rFonts w:cs="Times New Roman"/>
          <w:lang w:val="fr-CA"/>
        </w:rPr>
        <w:t>’</w:t>
      </w:r>
      <w:r w:rsidRPr="00DB5AAF">
        <w:rPr>
          <w:rFonts w:cs="Times New Roman"/>
          <w:lang w:val="fr-CA"/>
        </w:rPr>
        <w:t>Office.</w:t>
      </w:r>
    </w:p>
    <w:p w:rsidR="00784AD2" w:rsidRPr="00DB5AAF" w:rsidRDefault="00784AD2" w:rsidP="005C77BD">
      <w:pPr>
        <w:pStyle w:val="ParaNoNdepar-AltN"/>
        <w:rPr>
          <w:rFonts w:cs="Times New Roman"/>
          <w:lang w:val="fr-CA"/>
        </w:rPr>
      </w:pPr>
      <w:r w:rsidRPr="00DB5AAF">
        <w:rPr>
          <w:rFonts w:cs="Times New Roman"/>
          <w:lang w:val="fr-CA"/>
        </w:rPr>
        <w:t>Par contre, lorsque le législateur a voulu circonscrire une voie de recours, il l</w:t>
      </w:r>
      <w:r>
        <w:rPr>
          <w:rFonts w:cs="Times New Roman"/>
          <w:lang w:val="fr-CA"/>
        </w:rPr>
        <w:t>’</w:t>
      </w:r>
      <w:r w:rsidRPr="00DB5AAF">
        <w:rPr>
          <w:rFonts w:cs="Times New Roman"/>
          <w:lang w:val="fr-CA"/>
        </w:rPr>
        <w:t>a fait expressément.  Par exemple, l</w:t>
      </w:r>
      <w:r>
        <w:rPr>
          <w:rFonts w:cs="Times New Roman"/>
          <w:lang w:val="fr-CA"/>
        </w:rPr>
        <w:t xml:space="preserve">’art. </w:t>
      </w:r>
      <w:r w:rsidRPr="00DB5AAF">
        <w:rPr>
          <w:rFonts w:cs="Times New Roman"/>
          <w:lang w:val="fr-CA"/>
        </w:rPr>
        <w:t>41 impose un certain nombre de restrictions au droit de porter en appel une décision de l</w:t>
      </w:r>
      <w:r>
        <w:rPr>
          <w:rFonts w:cs="Times New Roman"/>
          <w:lang w:val="fr-CA"/>
        </w:rPr>
        <w:t>’</w:t>
      </w:r>
      <w:r w:rsidRPr="00DB5AAF">
        <w:rPr>
          <w:rFonts w:cs="Times New Roman"/>
          <w:lang w:val="fr-CA"/>
        </w:rPr>
        <w:t>Office devant la Cour d</w:t>
      </w:r>
      <w:r>
        <w:rPr>
          <w:rFonts w:cs="Times New Roman"/>
          <w:lang w:val="fr-CA"/>
        </w:rPr>
        <w:t>’</w:t>
      </w:r>
      <w:r w:rsidRPr="00DB5AAF">
        <w:rPr>
          <w:rFonts w:cs="Times New Roman"/>
          <w:lang w:val="fr-CA"/>
        </w:rPr>
        <w:t>appel fédérale</w:t>
      </w:r>
      <w:r>
        <w:rPr>
          <w:rFonts w:cs="Times New Roman"/>
          <w:lang w:val="fr-CA"/>
        </w:rPr>
        <w:t> :</w:t>
      </w:r>
      <w:r w:rsidRPr="00DB5AAF">
        <w:rPr>
          <w:rFonts w:cs="Times New Roman"/>
          <w:lang w:val="fr-CA"/>
        </w:rPr>
        <w:t xml:space="preserve"> les appels interjetés en vertu de l</w:t>
      </w:r>
      <w:r>
        <w:rPr>
          <w:rFonts w:cs="Times New Roman"/>
          <w:lang w:val="fr-CA"/>
        </w:rPr>
        <w:t xml:space="preserve">’art. </w:t>
      </w:r>
      <w:r w:rsidRPr="00DB5AAF">
        <w:rPr>
          <w:rFonts w:cs="Times New Roman"/>
          <w:lang w:val="fr-CA"/>
        </w:rPr>
        <w:t>41 se limitent à des questions de droit ou de compétence, l</w:t>
      </w:r>
      <w:r>
        <w:rPr>
          <w:rFonts w:cs="Times New Roman"/>
          <w:lang w:val="fr-CA"/>
        </w:rPr>
        <w:t>’</w:t>
      </w:r>
      <w:r w:rsidRPr="00DB5AAF">
        <w:rPr>
          <w:rFonts w:cs="Times New Roman"/>
          <w:lang w:val="fr-CA"/>
        </w:rPr>
        <w:t>appel doit être autorisé et cette autorisation doit être demandée dans le mois qui suit la date de la décision, de l</w:t>
      </w:r>
      <w:r>
        <w:rPr>
          <w:rFonts w:cs="Times New Roman"/>
          <w:lang w:val="fr-CA"/>
        </w:rPr>
        <w:t>’</w:t>
      </w:r>
      <w:r w:rsidRPr="00DB5AAF">
        <w:rPr>
          <w:rFonts w:cs="Times New Roman"/>
          <w:lang w:val="fr-CA"/>
        </w:rPr>
        <w:t>ordonnance, de la règle ou du règlement porté en appel, sauf si des circonstances spéciales justifient la prorogation de ce délai.  Les limites prévues à l</w:t>
      </w:r>
      <w:r>
        <w:rPr>
          <w:rFonts w:cs="Times New Roman"/>
          <w:lang w:val="fr-CA"/>
        </w:rPr>
        <w:t xml:space="preserve">’art. </w:t>
      </w:r>
      <w:r w:rsidRPr="00DB5AAF">
        <w:rPr>
          <w:rFonts w:cs="Times New Roman"/>
          <w:lang w:val="fr-CA"/>
        </w:rPr>
        <w:t>41 montrent bien que le législateur s</w:t>
      </w:r>
      <w:r>
        <w:rPr>
          <w:rFonts w:cs="Times New Roman"/>
          <w:lang w:val="fr-CA"/>
        </w:rPr>
        <w:t>’</w:t>
      </w:r>
      <w:r w:rsidRPr="00DB5AAF">
        <w:rPr>
          <w:rFonts w:cs="Times New Roman"/>
          <w:lang w:val="fr-CA"/>
        </w:rPr>
        <w:t>est penché sur la question des restrictions imposées aux voies de recours et qu</w:t>
      </w:r>
      <w:r>
        <w:rPr>
          <w:rFonts w:cs="Times New Roman"/>
          <w:lang w:val="fr-CA"/>
        </w:rPr>
        <w:t>’</w:t>
      </w:r>
      <w:r w:rsidRPr="00DB5AAF">
        <w:rPr>
          <w:rFonts w:cs="Times New Roman"/>
          <w:lang w:val="fr-CA"/>
        </w:rPr>
        <w:t>il les a expressément assorties de limites.</w:t>
      </w:r>
    </w:p>
    <w:p w:rsidR="00784AD2" w:rsidRPr="00DB5AAF" w:rsidRDefault="00784AD2" w:rsidP="005C77BD">
      <w:pPr>
        <w:pStyle w:val="ParaNoNdepar-AltN"/>
        <w:rPr>
          <w:rFonts w:cs="Times New Roman"/>
          <w:lang w:val="fr-CA"/>
        </w:rPr>
      </w:pPr>
      <w:r w:rsidRPr="00DB5AAF">
        <w:rPr>
          <w:rFonts w:cs="Times New Roman"/>
          <w:lang w:val="fr-CA"/>
        </w:rPr>
        <w:t>Contrairement à l</w:t>
      </w:r>
      <w:r>
        <w:rPr>
          <w:rFonts w:cs="Times New Roman"/>
          <w:lang w:val="fr-CA"/>
        </w:rPr>
        <w:t xml:space="preserve">’art. </w:t>
      </w:r>
      <w:r w:rsidRPr="00DB5AAF">
        <w:rPr>
          <w:rFonts w:cs="Times New Roman"/>
          <w:lang w:val="fr-CA"/>
        </w:rPr>
        <w:t xml:space="preserve">40 de la </w:t>
      </w:r>
      <w:r w:rsidRPr="00DB5AAF">
        <w:rPr>
          <w:rFonts w:cs="Times New Roman"/>
          <w:i/>
          <w:lang w:val="fr-CA"/>
        </w:rPr>
        <w:t>Loi</w:t>
      </w:r>
      <w:r w:rsidRPr="00DB5AAF">
        <w:rPr>
          <w:rFonts w:cs="Times New Roman"/>
          <w:lang w:val="fr-CA"/>
        </w:rPr>
        <w:t>, le législateur a, dans d</w:t>
      </w:r>
      <w:r>
        <w:rPr>
          <w:rFonts w:cs="Times New Roman"/>
          <w:lang w:val="fr-CA"/>
        </w:rPr>
        <w:t>’</w:t>
      </w:r>
      <w:r w:rsidRPr="00DB5AAF">
        <w:rPr>
          <w:rFonts w:cs="Times New Roman"/>
          <w:lang w:val="fr-CA"/>
        </w:rPr>
        <w:t xml:space="preserve">autres lois, expressément restreint la portée des pouvoirs du gouverneur en conseil.  Ainsi, la </w:t>
      </w:r>
      <w:r w:rsidRPr="00DB5AAF">
        <w:rPr>
          <w:rFonts w:cs="Times New Roman"/>
          <w:i/>
          <w:iCs/>
          <w:lang w:val="fr-CA"/>
        </w:rPr>
        <w:t>Loi</w:t>
      </w:r>
      <w:r>
        <w:rPr>
          <w:rFonts w:cs="Times New Roman"/>
          <w:i/>
          <w:iCs/>
          <w:lang w:val="fr-CA"/>
        </w:rPr>
        <w:t xml:space="preserve"> </w:t>
      </w:r>
      <w:r w:rsidRPr="00DB5AAF">
        <w:rPr>
          <w:rFonts w:cs="Times New Roman"/>
          <w:i/>
          <w:iCs/>
          <w:lang w:val="fr-CA"/>
        </w:rPr>
        <w:t>sur la radiodiffusion</w:t>
      </w:r>
      <w:r w:rsidRPr="00DB5AAF">
        <w:rPr>
          <w:rFonts w:cs="Times New Roman"/>
          <w:lang w:val="fr-CA"/>
        </w:rPr>
        <w:t>, L.C.</w:t>
      </w:r>
      <w:r>
        <w:rPr>
          <w:rFonts w:cs="Times New Roman"/>
          <w:lang w:val="fr-CA"/>
        </w:rPr>
        <w:t xml:space="preserve"> </w:t>
      </w:r>
      <w:r w:rsidRPr="00DB5AAF">
        <w:rPr>
          <w:rFonts w:cs="Times New Roman"/>
          <w:lang w:val="fr-CA"/>
        </w:rPr>
        <w:t xml:space="preserve">1991, </w:t>
      </w:r>
      <w:r>
        <w:rPr>
          <w:rFonts w:cs="Times New Roman"/>
          <w:lang w:val="fr-CA"/>
        </w:rPr>
        <w:t xml:space="preserve">ch. </w:t>
      </w:r>
      <w:r w:rsidRPr="00DB5AAF">
        <w:rPr>
          <w:rFonts w:cs="Times New Roman"/>
          <w:lang w:val="fr-CA"/>
        </w:rPr>
        <w:t>11, n</w:t>
      </w:r>
      <w:r>
        <w:rPr>
          <w:rFonts w:cs="Times New Roman"/>
          <w:lang w:val="fr-CA"/>
        </w:rPr>
        <w:t>’</w:t>
      </w:r>
      <w:r w:rsidRPr="00DB5AAF">
        <w:rPr>
          <w:rFonts w:cs="Times New Roman"/>
          <w:lang w:val="fr-CA"/>
        </w:rPr>
        <w:t xml:space="preserve">habilite le gouverneur en conseil à annuler ou à renvoyer une décision du Conseil de la radiodiffusion et des télécommunications canadiennes que </w:t>
      </w:r>
      <w:r>
        <w:rPr>
          <w:rFonts w:cs="Times New Roman"/>
          <w:lang w:val="fr-CA"/>
        </w:rPr>
        <w:t>« </w:t>
      </w:r>
      <w:r w:rsidRPr="00DB5AAF">
        <w:rPr>
          <w:rFonts w:cs="Times New Roman"/>
          <w:lang w:val="fr-CA"/>
        </w:rPr>
        <w:t>s</w:t>
      </w:r>
      <w:r>
        <w:rPr>
          <w:rFonts w:cs="Times New Roman"/>
          <w:lang w:val="fr-CA"/>
        </w:rPr>
        <w:t>’</w:t>
      </w:r>
      <w:r w:rsidRPr="00DB5AAF">
        <w:rPr>
          <w:rFonts w:cs="Times New Roman"/>
          <w:lang w:val="fr-CA"/>
        </w:rPr>
        <w:t>il est convaincu que la décision en cause ne va pas dans le sens des objectifs de la politique canadienne de radiodiffusion</w:t>
      </w:r>
      <w:r>
        <w:rPr>
          <w:rFonts w:cs="Times New Roman"/>
          <w:lang w:val="fr-CA"/>
        </w:rPr>
        <w:t> »</w:t>
      </w:r>
      <w:r w:rsidRPr="00DB5AAF">
        <w:rPr>
          <w:rFonts w:cs="Times New Roman"/>
          <w:lang w:val="fr-CA"/>
        </w:rPr>
        <w:t xml:space="preserve"> (</w:t>
      </w:r>
      <w:r>
        <w:rPr>
          <w:rFonts w:cs="Times New Roman"/>
          <w:lang w:val="fr-CA"/>
        </w:rPr>
        <w:t xml:space="preserve">par. </w:t>
      </w:r>
      <w:r w:rsidRPr="00DB5AAF">
        <w:rPr>
          <w:rFonts w:cs="Times New Roman"/>
          <w:lang w:val="fr-CA"/>
        </w:rPr>
        <w:t>28(1)).  Une limite de ce genre n</w:t>
      </w:r>
      <w:r>
        <w:rPr>
          <w:rFonts w:cs="Times New Roman"/>
          <w:lang w:val="fr-CA"/>
        </w:rPr>
        <w:t>’</w:t>
      </w:r>
      <w:r w:rsidRPr="00DB5AAF">
        <w:rPr>
          <w:rFonts w:cs="Times New Roman"/>
          <w:lang w:val="fr-CA"/>
        </w:rPr>
        <w:t>apparaît pas à l</w:t>
      </w:r>
      <w:r>
        <w:rPr>
          <w:rFonts w:cs="Times New Roman"/>
          <w:lang w:val="fr-CA"/>
        </w:rPr>
        <w:t xml:space="preserve">’art. </w:t>
      </w:r>
      <w:r w:rsidRPr="00DB5AAF">
        <w:rPr>
          <w:rFonts w:cs="Times New Roman"/>
          <w:lang w:val="fr-CA"/>
        </w:rPr>
        <w:t xml:space="preserve">40 de la </w:t>
      </w:r>
      <w:r w:rsidRPr="00DB5AAF">
        <w:rPr>
          <w:rFonts w:cs="Times New Roman"/>
          <w:i/>
          <w:lang w:val="fr-CA"/>
        </w:rPr>
        <w:t>Loi</w:t>
      </w:r>
      <w:r w:rsidRPr="00DB5AAF">
        <w:rPr>
          <w:rFonts w:cs="Times New Roman"/>
          <w:lang w:val="fr-CA"/>
        </w:rPr>
        <w:t xml:space="preserve">, ce qui indique que, lorsque le </w:t>
      </w:r>
      <w:r w:rsidRPr="00DB5AAF">
        <w:rPr>
          <w:rFonts w:cs="Times New Roman"/>
          <w:lang w:val="fr-CA"/>
        </w:rPr>
        <w:lastRenderedPageBreak/>
        <w:t>législateur entend restreindre les pouvoirs du gouverneur en conseil, il le fait expressément.</w:t>
      </w:r>
    </w:p>
    <w:p w:rsidR="00784AD2" w:rsidRPr="00DB5AAF" w:rsidRDefault="00784AD2" w:rsidP="005C77BD">
      <w:pPr>
        <w:pStyle w:val="ParaNoNdepar-AltN"/>
        <w:rPr>
          <w:rFonts w:cs="Times New Roman"/>
          <w:lang w:val="fr-CA"/>
        </w:rPr>
      </w:pPr>
      <w:r w:rsidRPr="00DB5AAF">
        <w:rPr>
          <w:rFonts w:cs="Times New Roman"/>
          <w:lang w:val="fr-CA"/>
        </w:rPr>
        <w:t>Le CN plaide qu</w:t>
      </w:r>
      <w:r>
        <w:rPr>
          <w:rFonts w:cs="Times New Roman"/>
          <w:lang w:val="fr-CA"/>
        </w:rPr>
        <w:t>’</w:t>
      </w:r>
      <w:r w:rsidRPr="00DB5AAF">
        <w:rPr>
          <w:rFonts w:cs="Times New Roman"/>
          <w:lang w:val="fr-CA"/>
        </w:rPr>
        <w:t>en raison de l</w:t>
      </w:r>
      <w:r>
        <w:rPr>
          <w:rFonts w:cs="Times New Roman"/>
          <w:lang w:val="fr-CA"/>
        </w:rPr>
        <w:t>’</w:t>
      </w:r>
      <w:r w:rsidRPr="00DB5AAF">
        <w:rPr>
          <w:rFonts w:cs="Times New Roman"/>
          <w:lang w:val="fr-CA"/>
        </w:rPr>
        <w:t xml:space="preserve">historique législatif </w:t>
      </w:r>
      <w:proofErr w:type="gramStart"/>
      <w:r w:rsidRPr="00DB5AAF">
        <w:rPr>
          <w:rFonts w:cs="Times New Roman"/>
          <w:lang w:val="fr-CA"/>
        </w:rPr>
        <w:t xml:space="preserve">des </w:t>
      </w:r>
      <w:r>
        <w:rPr>
          <w:rFonts w:cs="Times New Roman"/>
          <w:lang w:val="fr-CA"/>
        </w:rPr>
        <w:t>art</w:t>
      </w:r>
      <w:proofErr w:type="gramEnd"/>
      <w:r>
        <w:rPr>
          <w:rFonts w:cs="Times New Roman"/>
          <w:lang w:val="fr-CA"/>
        </w:rPr>
        <w:t xml:space="preserve">. </w:t>
      </w:r>
      <w:r w:rsidRPr="00DB5AAF">
        <w:rPr>
          <w:rFonts w:cs="Times New Roman"/>
          <w:lang w:val="fr-CA"/>
        </w:rPr>
        <w:t>40 et</w:t>
      </w:r>
      <w:r>
        <w:rPr>
          <w:rFonts w:cs="Times New Roman"/>
          <w:lang w:val="fr-CA"/>
        </w:rPr>
        <w:t xml:space="preserve"> </w:t>
      </w:r>
      <w:r w:rsidRPr="00DB5AAF">
        <w:rPr>
          <w:rFonts w:cs="Times New Roman"/>
          <w:lang w:val="fr-CA"/>
        </w:rPr>
        <w:t>41, il y a lieu de considérer que l</w:t>
      </w:r>
      <w:r>
        <w:rPr>
          <w:rFonts w:cs="Times New Roman"/>
          <w:lang w:val="fr-CA"/>
        </w:rPr>
        <w:t xml:space="preserve">’art. </w:t>
      </w:r>
      <w:r w:rsidRPr="00DB5AAF">
        <w:rPr>
          <w:rFonts w:cs="Times New Roman"/>
          <w:lang w:val="fr-CA"/>
        </w:rPr>
        <w:t xml:space="preserve">40 limite les pouvoirs du gouverneur en conseil à des questions de fait ou de politique.  Il soutient que le législateur entendait laisser aux tribunaux judiciaires le soin de trancher les questions de droit. </w:t>
      </w:r>
    </w:p>
    <w:p w:rsidR="00784AD2" w:rsidRPr="00DB5AAF" w:rsidRDefault="00784AD2" w:rsidP="005C77BD">
      <w:pPr>
        <w:pStyle w:val="ParaNoNdepar-AltN"/>
        <w:rPr>
          <w:rFonts w:cs="Times New Roman"/>
          <w:lang w:val="fr-CA"/>
        </w:rPr>
      </w:pPr>
      <w:r w:rsidRPr="00DB5AAF">
        <w:rPr>
          <w:rFonts w:cs="Times New Roman"/>
          <w:lang w:val="fr-CA"/>
        </w:rPr>
        <w:t>L</w:t>
      </w:r>
      <w:r>
        <w:rPr>
          <w:rFonts w:cs="Times New Roman"/>
          <w:lang w:val="fr-CA"/>
        </w:rPr>
        <w:t>’</w:t>
      </w:r>
      <w:r w:rsidRPr="00DB5AAF">
        <w:rPr>
          <w:rFonts w:cs="Times New Roman"/>
          <w:lang w:val="fr-CA"/>
        </w:rPr>
        <w:t xml:space="preserve">historique législatif est toutefois ambigu.  Même si certains extraits des </w:t>
      </w:r>
      <w:r w:rsidRPr="009E7331">
        <w:rPr>
          <w:rFonts w:cs="Times New Roman"/>
          <w:i/>
          <w:lang w:val="fr-CA"/>
        </w:rPr>
        <w:t>Débats de la Chambre des communes</w:t>
      </w:r>
      <w:r w:rsidRPr="00DB5AAF">
        <w:rPr>
          <w:rFonts w:cs="Times New Roman"/>
          <w:lang w:val="fr-CA"/>
        </w:rPr>
        <w:t xml:space="preserve"> auxquels il a été fait référence semblent indiquer que le législateur entendait permettre au gouverneur en conseil d</w:t>
      </w:r>
      <w:r>
        <w:rPr>
          <w:rFonts w:cs="Times New Roman"/>
          <w:lang w:val="fr-CA"/>
        </w:rPr>
        <w:t>’</w:t>
      </w:r>
      <w:r w:rsidRPr="00DB5AAF">
        <w:rPr>
          <w:rFonts w:cs="Times New Roman"/>
          <w:lang w:val="fr-CA"/>
        </w:rPr>
        <w:t>examiner des questions de fait et de politique (</w:t>
      </w:r>
      <w:r w:rsidRPr="009E7331">
        <w:rPr>
          <w:rFonts w:cs="Times New Roman"/>
          <w:i/>
          <w:lang w:val="fr-CA"/>
        </w:rPr>
        <w:t>Débats de la Chambre des communes du Canada</w:t>
      </w:r>
      <w:r w:rsidRPr="00DB5AAF">
        <w:rPr>
          <w:rFonts w:cs="Times New Roman"/>
          <w:lang w:val="fr-CA"/>
        </w:rPr>
        <w:t xml:space="preserve">, </w:t>
      </w:r>
      <w:r w:rsidR="00DE54B2">
        <w:rPr>
          <w:rFonts w:cs="Times New Roman"/>
          <w:lang w:val="fr-CA"/>
        </w:rPr>
        <w:t>v</w:t>
      </w:r>
      <w:r>
        <w:rPr>
          <w:rFonts w:cs="Times New Roman"/>
          <w:lang w:val="fr-CA"/>
        </w:rPr>
        <w:t xml:space="preserve">ol. </w:t>
      </w:r>
      <w:r w:rsidRPr="00DB5AAF">
        <w:rPr>
          <w:rFonts w:cs="Times New Roman"/>
          <w:lang w:val="fr-CA"/>
        </w:rPr>
        <w:t>LVIII, 3</w:t>
      </w:r>
      <w:r w:rsidRPr="009E7331">
        <w:rPr>
          <w:rFonts w:cs="Times New Roman"/>
          <w:vertAlign w:val="superscript"/>
          <w:lang w:val="fr-CA"/>
        </w:rPr>
        <w:t>e</w:t>
      </w:r>
      <w:r w:rsidRPr="00DB5AAF">
        <w:rPr>
          <w:rFonts w:cs="Times New Roman"/>
          <w:lang w:val="fr-CA"/>
        </w:rPr>
        <w:t xml:space="preserve"> </w:t>
      </w:r>
      <w:proofErr w:type="spellStart"/>
      <w:proofErr w:type="gramStart"/>
      <w:r w:rsidRPr="00DB5AAF">
        <w:rPr>
          <w:rFonts w:cs="Times New Roman"/>
          <w:lang w:val="fr-CA"/>
        </w:rPr>
        <w:t>sess</w:t>
      </w:r>
      <w:proofErr w:type="spellEnd"/>
      <w:r w:rsidRPr="00DB5AAF">
        <w:rPr>
          <w:rFonts w:cs="Times New Roman"/>
          <w:lang w:val="fr-CA"/>
        </w:rPr>
        <w:t>.,</w:t>
      </w:r>
      <w:proofErr w:type="gramEnd"/>
      <w:r w:rsidRPr="00DB5AAF">
        <w:rPr>
          <w:rFonts w:cs="Times New Roman"/>
          <w:lang w:val="fr-CA"/>
        </w:rPr>
        <w:t xml:space="preserve"> 9</w:t>
      </w:r>
      <w:r w:rsidRPr="009E7331">
        <w:rPr>
          <w:rFonts w:cs="Times New Roman"/>
          <w:vertAlign w:val="superscript"/>
          <w:lang w:val="fr-CA"/>
        </w:rPr>
        <w:t>e</w:t>
      </w:r>
      <w:r w:rsidRPr="00DB5AAF">
        <w:rPr>
          <w:rFonts w:cs="Times New Roman"/>
          <w:lang w:val="fr-CA"/>
        </w:rPr>
        <w:t xml:space="preserve"> </w:t>
      </w:r>
      <w:proofErr w:type="spellStart"/>
      <w:r w:rsidRPr="00DB5AAF">
        <w:rPr>
          <w:rFonts w:cs="Times New Roman"/>
          <w:lang w:val="fr-CA"/>
        </w:rPr>
        <w:t>lég</w:t>
      </w:r>
      <w:proofErr w:type="spellEnd"/>
      <w:r w:rsidRPr="00DB5AAF">
        <w:rPr>
          <w:rFonts w:cs="Times New Roman"/>
          <w:lang w:val="fr-CA"/>
        </w:rPr>
        <w:t>. (</w:t>
      </w:r>
      <w:r>
        <w:rPr>
          <w:rFonts w:cs="Times New Roman"/>
          <w:lang w:val="fr-CA"/>
        </w:rPr>
        <w:t>« </w:t>
      </w:r>
      <w:r w:rsidRPr="009E7331">
        <w:rPr>
          <w:rFonts w:cs="Times New Roman"/>
          <w:i/>
          <w:lang w:val="fr-CA"/>
        </w:rPr>
        <w:t>débats de 1903</w:t>
      </w:r>
      <w:r>
        <w:rPr>
          <w:rFonts w:cs="Times New Roman"/>
          <w:lang w:val="fr-CA"/>
        </w:rPr>
        <w:t> »</w:t>
      </w:r>
      <w:r w:rsidRPr="00DB5AAF">
        <w:rPr>
          <w:rFonts w:cs="Times New Roman"/>
          <w:lang w:val="fr-CA"/>
        </w:rPr>
        <w:t>), 20</w:t>
      </w:r>
      <w:r>
        <w:rPr>
          <w:rFonts w:cs="Times New Roman"/>
          <w:lang w:val="fr-CA"/>
        </w:rPr>
        <w:t xml:space="preserve"> </w:t>
      </w:r>
      <w:r w:rsidRPr="00DB5AAF">
        <w:rPr>
          <w:rFonts w:cs="Times New Roman"/>
          <w:lang w:val="fr-CA"/>
        </w:rPr>
        <w:t xml:space="preserve">mars 1903, </w:t>
      </w:r>
      <w:r>
        <w:rPr>
          <w:rFonts w:cs="Times New Roman"/>
          <w:lang w:val="fr-CA"/>
        </w:rPr>
        <w:t xml:space="preserve">p. </w:t>
      </w:r>
      <w:r w:rsidRPr="00DB5AAF">
        <w:rPr>
          <w:rFonts w:cs="Times New Roman"/>
          <w:lang w:val="fr-CA"/>
        </w:rPr>
        <w:t>252, l</w:t>
      </w:r>
      <w:r>
        <w:rPr>
          <w:rFonts w:cs="Times New Roman"/>
          <w:lang w:val="fr-CA"/>
        </w:rPr>
        <w:t>’</w:t>
      </w:r>
      <w:r w:rsidRPr="00DB5AAF">
        <w:rPr>
          <w:rFonts w:cs="Times New Roman"/>
          <w:lang w:val="fr-CA"/>
        </w:rPr>
        <w:t>hon.</w:t>
      </w:r>
      <w:r>
        <w:rPr>
          <w:rFonts w:cs="Times New Roman"/>
          <w:lang w:val="fr-CA"/>
        </w:rPr>
        <w:t xml:space="preserve"> </w:t>
      </w:r>
      <w:r w:rsidRPr="00DB5AAF">
        <w:rPr>
          <w:rFonts w:cs="Times New Roman"/>
          <w:lang w:val="fr-CA"/>
        </w:rPr>
        <w:t>A.</w:t>
      </w:r>
      <w:r>
        <w:rPr>
          <w:rFonts w:cs="Times New Roman"/>
          <w:lang w:val="fr-CA"/>
        </w:rPr>
        <w:t xml:space="preserve"> </w:t>
      </w:r>
      <w:r w:rsidRPr="00DB5AAF">
        <w:rPr>
          <w:rFonts w:cs="Times New Roman"/>
          <w:lang w:val="fr-CA"/>
        </w:rPr>
        <w:t>G.</w:t>
      </w:r>
      <w:r>
        <w:rPr>
          <w:rFonts w:cs="Times New Roman"/>
          <w:lang w:val="fr-CA"/>
        </w:rPr>
        <w:t xml:space="preserve"> </w:t>
      </w:r>
      <w:r w:rsidRPr="00DB5AAF">
        <w:rPr>
          <w:rFonts w:cs="Times New Roman"/>
          <w:lang w:val="fr-CA"/>
        </w:rPr>
        <w:t xml:space="preserve">Blair, </w:t>
      </w:r>
      <w:r w:rsidR="009E7331">
        <w:rPr>
          <w:rFonts w:cs="Times New Roman"/>
          <w:lang w:val="fr-CA"/>
        </w:rPr>
        <w:t xml:space="preserve">et </w:t>
      </w:r>
      <w:r w:rsidR="00DE54B2">
        <w:rPr>
          <w:rFonts w:cs="Times New Roman"/>
          <w:lang w:val="fr-CA"/>
        </w:rPr>
        <w:t>v</w:t>
      </w:r>
      <w:r>
        <w:rPr>
          <w:rFonts w:cs="Times New Roman"/>
          <w:lang w:val="fr-CA"/>
        </w:rPr>
        <w:t xml:space="preserve">ol. </w:t>
      </w:r>
      <w:r w:rsidRPr="00DB5AAF">
        <w:rPr>
          <w:rFonts w:cs="Times New Roman"/>
          <w:lang w:val="fr-CA"/>
        </w:rPr>
        <w:t>XI, 1</w:t>
      </w:r>
      <w:r w:rsidRPr="009E7331">
        <w:rPr>
          <w:rFonts w:cs="Times New Roman"/>
          <w:vertAlign w:val="superscript"/>
          <w:lang w:val="fr-CA"/>
        </w:rPr>
        <w:t>re</w:t>
      </w:r>
      <w:r w:rsidRPr="00DB5AAF">
        <w:rPr>
          <w:rFonts w:cs="Times New Roman"/>
          <w:lang w:val="fr-CA"/>
        </w:rPr>
        <w:t xml:space="preserve"> </w:t>
      </w:r>
      <w:proofErr w:type="spellStart"/>
      <w:proofErr w:type="gramStart"/>
      <w:r w:rsidRPr="00DB5AAF">
        <w:rPr>
          <w:rFonts w:cs="Times New Roman"/>
          <w:lang w:val="fr-CA"/>
        </w:rPr>
        <w:t>sess</w:t>
      </w:r>
      <w:proofErr w:type="spellEnd"/>
      <w:r w:rsidRPr="00DB5AAF">
        <w:rPr>
          <w:rFonts w:cs="Times New Roman"/>
          <w:lang w:val="fr-CA"/>
        </w:rPr>
        <w:t>.,</w:t>
      </w:r>
      <w:proofErr w:type="gramEnd"/>
      <w:r w:rsidRPr="00DB5AAF">
        <w:rPr>
          <w:rFonts w:cs="Times New Roman"/>
          <w:lang w:val="fr-CA"/>
        </w:rPr>
        <w:t xml:space="preserve"> 27</w:t>
      </w:r>
      <w:r w:rsidRPr="009E7331">
        <w:rPr>
          <w:rFonts w:cs="Times New Roman"/>
          <w:vertAlign w:val="superscript"/>
          <w:lang w:val="fr-CA"/>
        </w:rPr>
        <w:t>e</w:t>
      </w:r>
      <w:r w:rsidRPr="00DB5AAF">
        <w:rPr>
          <w:rFonts w:cs="Times New Roman"/>
          <w:lang w:val="fr-CA"/>
        </w:rPr>
        <w:t xml:space="preserve"> </w:t>
      </w:r>
      <w:proofErr w:type="spellStart"/>
      <w:r w:rsidRPr="00DB5AAF">
        <w:rPr>
          <w:rFonts w:cs="Times New Roman"/>
          <w:lang w:val="fr-CA"/>
        </w:rPr>
        <w:t>lég</w:t>
      </w:r>
      <w:proofErr w:type="spellEnd"/>
      <w:r w:rsidRPr="00DB5AAF">
        <w:rPr>
          <w:rFonts w:cs="Times New Roman"/>
          <w:lang w:val="fr-CA"/>
        </w:rPr>
        <w:t>. (</w:t>
      </w:r>
      <w:r>
        <w:rPr>
          <w:rFonts w:cs="Times New Roman"/>
          <w:lang w:val="fr-CA"/>
        </w:rPr>
        <w:t>« </w:t>
      </w:r>
      <w:r w:rsidRPr="009E7331">
        <w:rPr>
          <w:rFonts w:cs="Times New Roman"/>
          <w:i/>
          <w:lang w:val="fr-CA"/>
        </w:rPr>
        <w:t>débats de 1967</w:t>
      </w:r>
      <w:r>
        <w:rPr>
          <w:rFonts w:cs="Times New Roman"/>
          <w:lang w:val="fr-CA"/>
        </w:rPr>
        <w:t> »</w:t>
      </w:r>
      <w:r w:rsidRPr="00DB5AAF">
        <w:rPr>
          <w:rFonts w:cs="Times New Roman"/>
          <w:lang w:val="fr-CA"/>
        </w:rPr>
        <w:t>), 10</w:t>
      </w:r>
      <w:r>
        <w:rPr>
          <w:rFonts w:cs="Times New Roman"/>
          <w:lang w:val="fr-CA"/>
        </w:rPr>
        <w:t xml:space="preserve"> </w:t>
      </w:r>
      <w:r w:rsidRPr="00DB5AAF">
        <w:rPr>
          <w:rFonts w:cs="Times New Roman"/>
          <w:lang w:val="fr-CA"/>
        </w:rPr>
        <w:t>janvier</w:t>
      </w:r>
      <w:r>
        <w:rPr>
          <w:rFonts w:cs="Times New Roman"/>
          <w:lang w:val="fr-CA"/>
        </w:rPr>
        <w:t xml:space="preserve"> </w:t>
      </w:r>
      <w:r w:rsidRPr="00DB5AAF">
        <w:rPr>
          <w:rFonts w:cs="Times New Roman"/>
          <w:lang w:val="fr-CA"/>
        </w:rPr>
        <w:t xml:space="preserve">1967, </w:t>
      </w:r>
      <w:r>
        <w:rPr>
          <w:rFonts w:cs="Times New Roman"/>
          <w:lang w:val="fr-CA"/>
        </w:rPr>
        <w:t xml:space="preserve">p. </w:t>
      </w:r>
      <w:r w:rsidRPr="00DB5AAF">
        <w:rPr>
          <w:rFonts w:cs="Times New Roman"/>
          <w:lang w:val="fr-CA"/>
        </w:rPr>
        <w:t>11630, l</w:t>
      </w:r>
      <w:r>
        <w:rPr>
          <w:rFonts w:cs="Times New Roman"/>
          <w:lang w:val="fr-CA"/>
        </w:rPr>
        <w:t>’</w:t>
      </w:r>
      <w:r w:rsidRPr="00DB5AAF">
        <w:rPr>
          <w:rFonts w:cs="Times New Roman"/>
          <w:lang w:val="fr-CA"/>
        </w:rPr>
        <w:t>hon.</w:t>
      </w:r>
      <w:r>
        <w:rPr>
          <w:rFonts w:cs="Times New Roman"/>
          <w:lang w:val="fr-CA"/>
        </w:rPr>
        <w:t xml:space="preserve"> </w:t>
      </w:r>
      <w:r w:rsidRPr="00DB5AAF">
        <w:rPr>
          <w:rFonts w:cs="Times New Roman"/>
          <w:lang w:val="fr-CA"/>
        </w:rPr>
        <w:t>J.</w:t>
      </w:r>
      <w:r>
        <w:rPr>
          <w:rFonts w:cs="Times New Roman"/>
          <w:lang w:val="fr-CA"/>
        </w:rPr>
        <w:t xml:space="preserve"> </w:t>
      </w:r>
      <w:r w:rsidRPr="00DB5AAF">
        <w:rPr>
          <w:rFonts w:cs="Times New Roman"/>
          <w:lang w:val="fr-CA"/>
        </w:rPr>
        <w:t>W.</w:t>
      </w:r>
      <w:r>
        <w:rPr>
          <w:rFonts w:cs="Times New Roman"/>
          <w:lang w:val="fr-CA"/>
        </w:rPr>
        <w:t xml:space="preserve"> </w:t>
      </w:r>
      <w:proofErr w:type="spellStart"/>
      <w:r w:rsidRPr="00DB5AAF">
        <w:rPr>
          <w:rFonts w:cs="Times New Roman"/>
          <w:lang w:val="fr-CA"/>
        </w:rPr>
        <w:t>Pickersgill</w:t>
      </w:r>
      <w:proofErr w:type="spellEnd"/>
      <w:r w:rsidRPr="00DB5AAF">
        <w:rPr>
          <w:rFonts w:cs="Times New Roman"/>
          <w:lang w:val="fr-CA"/>
        </w:rPr>
        <w:t xml:space="preserve">), on trouve également dans les </w:t>
      </w:r>
      <w:r w:rsidRPr="009E7331">
        <w:rPr>
          <w:rFonts w:cs="Times New Roman"/>
          <w:i/>
          <w:lang w:val="fr-CA"/>
        </w:rPr>
        <w:t>Débats de la Chambre des communes</w:t>
      </w:r>
      <w:r w:rsidRPr="00DB5AAF">
        <w:rPr>
          <w:rFonts w:cs="Times New Roman"/>
          <w:lang w:val="fr-CA"/>
        </w:rPr>
        <w:t xml:space="preserve"> des déclarations ministérielles donnant à penser qu</w:t>
      </w:r>
      <w:r>
        <w:rPr>
          <w:rFonts w:cs="Times New Roman"/>
          <w:lang w:val="fr-CA"/>
        </w:rPr>
        <w:t>’</w:t>
      </w:r>
      <w:r w:rsidRPr="00DB5AAF">
        <w:rPr>
          <w:rFonts w:cs="Times New Roman"/>
          <w:lang w:val="fr-CA"/>
        </w:rPr>
        <w:t>il était prévu que le gouverneur en conseil puisse exercer ses pouvoirs sans entraves (</w:t>
      </w:r>
      <w:r w:rsidRPr="009E7331">
        <w:rPr>
          <w:rFonts w:cs="Times New Roman"/>
          <w:i/>
          <w:lang w:val="fr-CA"/>
        </w:rPr>
        <w:t>débats de 1903</w:t>
      </w:r>
      <w:r w:rsidRPr="00DB5AAF">
        <w:rPr>
          <w:rFonts w:cs="Times New Roman"/>
          <w:lang w:val="fr-CA"/>
        </w:rPr>
        <w:t>, 20</w:t>
      </w:r>
      <w:r>
        <w:rPr>
          <w:rFonts w:cs="Times New Roman"/>
          <w:lang w:val="fr-CA"/>
        </w:rPr>
        <w:t xml:space="preserve"> </w:t>
      </w:r>
      <w:r w:rsidRPr="00DB5AAF">
        <w:rPr>
          <w:rFonts w:cs="Times New Roman"/>
          <w:lang w:val="fr-CA"/>
        </w:rPr>
        <w:t xml:space="preserve">mars 1903, </w:t>
      </w:r>
      <w:r>
        <w:rPr>
          <w:rFonts w:cs="Times New Roman"/>
          <w:lang w:val="fr-CA"/>
        </w:rPr>
        <w:t xml:space="preserve">p. </w:t>
      </w:r>
      <w:r w:rsidRPr="00DB5AAF">
        <w:rPr>
          <w:rFonts w:cs="Times New Roman"/>
          <w:lang w:val="fr-CA"/>
        </w:rPr>
        <w:t>262, l</w:t>
      </w:r>
      <w:r>
        <w:rPr>
          <w:rFonts w:cs="Times New Roman"/>
          <w:lang w:val="fr-CA"/>
        </w:rPr>
        <w:t>’</w:t>
      </w:r>
      <w:r w:rsidRPr="00DB5AAF">
        <w:rPr>
          <w:rFonts w:cs="Times New Roman"/>
          <w:lang w:val="fr-CA"/>
        </w:rPr>
        <w:t>hon.</w:t>
      </w:r>
      <w:r>
        <w:rPr>
          <w:rFonts w:cs="Times New Roman"/>
          <w:lang w:val="fr-CA"/>
        </w:rPr>
        <w:t xml:space="preserve"> </w:t>
      </w:r>
      <w:r w:rsidRPr="00DB5AAF">
        <w:rPr>
          <w:rFonts w:cs="Times New Roman"/>
          <w:lang w:val="fr-CA"/>
        </w:rPr>
        <w:t>A.</w:t>
      </w:r>
      <w:r>
        <w:rPr>
          <w:rFonts w:cs="Times New Roman"/>
          <w:lang w:val="fr-CA"/>
        </w:rPr>
        <w:t xml:space="preserve"> </w:t>
      </w:r>
      <w:r w:rsidRPr="00DB5AAF">
        <w:rPr>
          <w:rFonts w:cs="Times New Roman"/>
          <w:lang w:val="fr-CA"/>
        </w:rPr>
        <w:t>G.</w:t>
      </w:r>
      <w:r>
        <w:rPr>
          <w:rFonts w:cs="Times New Roman"/>
          <w:lang w:val="fr-CA"/>
        </w:rPr>
        <w:t xml:space="preserve"> </w:t>
      </w:r>
      <w:r w:rsidRPr="00DB5AAF">
        <w:rPr>
          <w:rFonts w:cs="Times New Roman"/>
          <w:lang w:val="fr-CA"/>
        </w:rPr>
        <w:t xml:space="preserve">Blair). </w:t>
      </w:r>
    </w:p>
    <w:p w:rsidR="00784AD2" w:rsidRPr="00DB5AAF" w:rsidRDefault="00784AD2" w:rsidP="005C77BD">
      <w:pPr>
        <w:pStyle w:val="ParaNoNdepar-AltN"/>
        <w:rPr>
          <w:rFonts w:cs="Times New Roman"/>
          <w:lang w:val="fr-CA"/>
        </w:rPr>
      </w:pPr>
      <w:r w:rsidRPr="00DB5AAF">
        <w:rPr>
          <w:rFonts w:cs="Times New Roman"/>
          <w:lang w:val="fr-CA"/>
        </w:rPr>
        <w:t xml:space="preserve">On trouve dans les </w:t>
      </w:r>
      <w:r w:rsidRPr="009E7331">
        <w:rPr>
          <w:rFonts w:cs="Times New Roman"/>
          <w:i/>
          <w:lang w:val="fr-CA"/>
        </w:rPr>
        <w:t>débats de 1967</w:t>
      </w:r>
      <w:r w:rsidRPr="00DB5AAF">
        <w:rPr>
          <w:rFonts w:cs="Times New Roman"/>
          <w:lang w:val="fr-CA"/>
        </w:rPr>
        <w:t xml:space="preserve"> une déclaration du ministre des Transports selon laquelle la loi prévoyait </w:t>
      </w:r>
      <w:r>
        <w:rPr>
          <w:rFonts w:cs="Times New Roman"/>
          <w:lang w:val="fr-CA"/>
        </w:rPr>
        <w:t>« </w:t>
      </w:r>
      <w:r w:rsidRPr="00DB5AAF">
        <w:rPr>
          <w:rFonts w:cs="Times New Roman"/>
          <w:lang w:val="fr-CA"/>
        </w:rPr>
        <w:t>un appel au gouverneur en conseil pour des questions de fait</w:t>
      </w:r>
      <w:r>
        <w:rPr>
          <w:rFonts w:cs="Times New Roman"/>
          <w:lang w:val="fr-CA"/>
        </w:rPr>
        <w:t> »</w:t>
      </w:r>
      <w:r w:rsidRPr="00DB5AAF">
        <w:rPr>
          <w:rFonts w:cs="Times New Roman"/>
          <w:lang w:val="fr-CA"/>
        </w:rPr>
        <w:t xml:space="preserve"> (10</w:t>
      </w:r>
      <w:r>
        <w:rPr>
          <w:rFonts w:cs="Times New Roman"/>
          <w:lang w:val="fr-CA"/>
        </w:rPr>
        <w:t xml:space="preserve"> </w:t>
      </w:r>
      <w:r w:rsidRPr="00DB5AAF">
        <w:rPr>
          <w:rFonts w:cs="Times New Roman"/>
          <w:lang w:val="fr-CA"/>
        </w:rPr>
        <w:t xml:space="preserve">janvier 1967, </w:t>
      </w:r>
      <w:r>
        <w:rPr>
          <w:rFonts w:cs="Times New Roman"/>
          <w:lang w:val="fr-CA"/>
        </w:rPr>
        <w:t xml:space="preserve">p. </w:t>
      </w:r>
      <w:r w:rsidRPr="00DB5AAF">
        <w:rPr>
          <w:rFonts w:cs="Times New Roman"/>
          <w:lang w:val="fr-CA"/>
        </w:rPr>
        <w:t>11630).  Bien qu</w:t>
      </w:r>
      <w:r>
        <w:rPr>
          <w:rFonts w:cs="Times New Roman"/>
          <w:lang w:val="fr-CA"/>
        </w:rPr>
        <w:t>’</w:t>
      </w:r>
      <w:r w:rsidRPr="00DB5AAF">
        <w:rPr>
          <w:rFonts w:cs="Times New Roman"/>
          <w:lang w:val="fr-CA"/>
        </w:rPr>
        <w:t xml:space="preserve">elle énonce correctement le pouvoir que la loi accorde au gouverneur en conseil de trancher des questions de fait, cette déclaration ne démontre pas que le législateur entendait limiter aux seules </w:t>
      </w:r>
      <w:r w:rsidRPr="00DB5AAF">
        <w:rPr>
          <w:rFonts w:cs="Times New Roman"/>
          <w:lang w:val="fr-CA"/>
        </w:rPr>
        <w:lastRenderedPageBreak/>
        <w:t>questions de fait le pouvoir d</w:t>
      </w:r>
      <w:r>
        <w:rPr>
          <w:rFonts w:cs="Times New Roman"/>
          <w:lang w:val="fr-CA"/>
        </w:rPr>
        <w:t>’</w:t>
      </w:r>
      <w:r w:rsidRPr="00DB5AAF">
        <w:rPr>
          <w:rFonts w:cs="Times New Roman"/>
          <w:lang w:val="fr-CA"/>
        </w:rPr>
        <w:t>examen du gouverneur en conseil.  De plus, même si M.</w:t>
      </w:r>
      <w:r>
        <w:rPr>
          <w:rFonts w:cs="Times New Roman"/>
          <w:lang w:val="fr-CA"/>
        </w:rPr>
        <w:t xml:space="preserve"> </w:t>
      </w:r>
      <w:proofErr w:type="spellStart"/>
      <w:r w:rsidRPr="00DB5AAF">
        <w:rPr>
          <w:rFonts w:cs="Times New Roman"/>
          <w:lang w:val="fr-CA"/>
        </w:rPr>
        <w:t>Pickersgill</w:t>
      </w:r>
      <w:proofErr w:type="spellEnd"/>
      <w:r w:rsidRPr="00DB5AAF">
        <w:rPr>
          <w:rFonts w:cs="Times New Roman"/>
          <w:lang w:val="fr-CA"/>
        </w:rPr>
        <w:t xml:space="preserve"> était</w:t>
      </w:r>
      <w:r w:rsidR="00DE54B2">
        <w:rPr>
          <w:rFonts w:cs="Times New Roman"/>
          <w:lang w:val="fr-CA"/>
        </w:rPr>
        <w:t>,</w:t>
      </w:r>
      <w:r w:rsidRPr="00DB5AAF">
        <w:rPr>
          <w:rFonts w:cs="Times New Roman"/>
          <w:lang w:val="fr-CA"/>
        </w:rPr>
        <w:t xml:space="preserve"> </w:t>
      </w:r>
      <w:r w:rsidR="00DE54B2" w:rsidRPr="00DB5AAF">
        <w:rPr>
          <w:rFonts w:cs="Times New Roman"/>
          <w:lang w:val="fr-CA"/>
        </w:rPr>
        <w:t>en</w:t>
      </w:r>
      <w:r w:rsidR="00DE54B2">
        <w:rPr>
          <w:rFonts w:cs="Times New Roman"/>
          <w:lang w:val="fr-CA"/>
        </w:rPr>
        <w:t xml:space="preserve"> </w:t>
      </w:r>
      <w:r w:rsidR="00DE54B2" w:rsidRPr="00DB5AAF">
        <w:rPr>
          <w:rFonts w:cs="Times New Roman"/>
          <w:lang w:val="fr-CA"/>
        </w:rPr>
        <w:t xml:space="preserve">1967, </w:t>
      </w:r>
      <w:r w:rsidRPr="00DB5AAF">
        <w:rPr>
          <w:rFonts w:cs="Times New Roman"/>
          <w:lang w:val="fr-CA"/>
        </w:rPr>
        <w:t>ministre des Transports au moment de l</w:t>
      </w:r>
      <w:r>
        <w:rPr>
          <w:rFonts w:cs="Times New Roman"/>
          <w:lang w:val="fr-CA"/>
        </w:rPr>
        <w:t>’</w:t>
      </w:r>
      <w:r w:rsidRPr="00DB5AAF">
        <w:rPr>
          <w:rFonts w:cs="Times New Roman"/>
          <w:lang w:val="fr-CA"/>
        </w:rPr>
        <w:t xml:space="preserve">adoption de la </w:t>
      </w:r>
      <w:r w:rsidRPr="00DB5AAF">
        <w:rPr>
          <w:rFonts w:cs="Times New Roman"/>
          <w:i/>
          <w:lang w:val="fr-CA"/>
        </w:rPr>
        <w:t>Loi nationale su</w:t>
      </w:r>
      <w:r w:rsidR="00DE54B2">
        <w:rPr>
          <w:rFonts w:cs="Times New Roman"/>
          <w:i/>
          <w:lang w:val="fr-CA"/>
        </w:rPr>
        <w:t>r</w:t>
      </w:r>
      <w:r w:rsidRPr="00DB5AAF">
        <w:rPr>
          <w:rFonts w:cs="Times New Roman"/>
          <w:i/>
          <w:lang w:val="fr-CA"/>
        </w:rPr>
        <w:t xml:space="preserve"> les transports</w:t>
      </w:r>
      <w:r w:rsidRPr="00DB5AAF">
        <w:rPr>
          <w:rFonts w:cs="Times New Roman"/>
          <w:lang w:val="fr-CA"/>
        </w:rPr>
        <w:t>, S.C. 1966</w:t>
      </w:r>
      <w:r>
        <w:rPr>
          <w:rFonts w:cs="Times New Roman"/>
          <w:lang w:val="fr-CA"/>
        </w:rPr>
        <w:t>-</w:t>
      </w:r>
      <w:r w:rsidRPr="00DB5AAF">
        <w:rPr>
          <w:rFonts w:cs="Times New Roman"/>
          <w:lang w:val="fr-CA"/>
        </w:rPr>
        <w:t xml:space="preserve">67, </w:t>
      </w:r>
      <w:r>
        <w:rPr>
          <w:rFonts w:cs="Times New Roman"/>
          <w:lang w:val="fr-CA"/>
        </w:rPr>
        <w:t xml:space="preserve">ch. </w:t>
      </w:r>
      <w:r w:rsidRPr="00DB5AAF">
        <w:rPr>
          <w:rFonts w:cs="Times New Roman"/>
          <w:lang w:val="fr-CA"/>
        </w:rPr>
        <w:t>69, l</w:t>
      </w:r>
      <w:r>
        <w:rPr>
          <w:rFonts w:cs="Times New Roman"/>
          <w:lang w:val="fr-CA"/>
        </w:rPr>
        <w:t>’</w:t>
      </w:r>
      <w:r w:rsidRPr="00DB5AAF">
        <w:rPr>
          <w:rFonts w:cs="Times New Roman"/>
          <w:lang w:val="fr-CA"/>
        </w:rPr>
        <w:t>interprétation qu</w:t>
      </w:r>
      <w:r>
        <w:rPr>
          <w:rFonts w:cs="Times New Roman"/>
          <w:lang w:val="fr-CA"/>
        </w:rPr>
        <w:t>’</w:t>
      </w:r>
      <w:r w:rsidRPr="00DB5AAF">
        <w:rPr>
          <w:rFonts w:cs="Times New Roman"/>
          <w:lang w:val="fr-CA"/>
        </w:rPr>
        <w:t>il faisait de textes adoptés antérieurement par d</w:t>
      </w:r>
      <w:r>
        <w:rPr>
          <w:rFonts w:cs="Times New Roman"/>
          <w:lang w:val="fr-CA"/>
        </w:rPr>
        <w:t>’</w:t>
      </w:r>
      <w:r w:rsidRPr="00DB5AAF">
        <w:rPr>
          <w:rFonts w:cs="Times New Roman"/>
          <w:lang w:val="fr-CA"/>
        </w:rPr>
        <w:t>autres parlements n</w:t>
      </w:r>
      <w:r>
        <w:rPr>
          <w:rFonts w:cs="Times New Roman"/>
          <w:lang w:val="fr-CA"/>
        </w:rPr>
        <w:t>’</w:t>
      </w:r>
      <w:r w:rsidRPr="00DB5AAF">
        <w:rPr>
          <w:rFonts w:cs="Times New Roman"/>
          <w:lang w:val="fr-CA"/>
        </w:rPr>
        <w:t>est pas une preuve de l</w:t>
      </w:r>
      <w:r>
        <w:rPr>
          <w:rFonts w:cs="Times New Roman"/>
          <w:lang w:val="fr-CA"/>
        </w:rPr>
        <w:t>’</w:t>
      </w:r>
      <w:r w:rsidRPr="00DB5AAF">
        <w:rPr>
          <w:rFonts w:cs="Times New Roman"/>
          <w:lang w:val="fr-CA"/>
        </w:rPr>
        <w:t>intention qu</w:t>
      </w:r>
      <w:r>
        <w:rPr>
          <w:rFonts w:cs="Times New Roman"/>
          <w:lang w:val="fr-CA"/>
        </w:rPr>
        <w:t>’</w:t>
      </w:r>
      <w:r w:rsidRPr="00DB5AAF">
        <w:rPr>
          <w:rFonts w:cs="Times New Roman"/>
          <w:lang w:val="fr-CA"/>
        </w:rPr>
        <w:t>avait le législateur à l</w:t>
      </w:r>
      <w:r>
        <w:rPr>
          <w:rFonts w:cs="Times New Roman"/>
          <w:lang w:val="fr-CA"/>
        </w:rPr>
        <w:t>’</w:t>
      </w:r>
      <w:r w:rsidRPr="00DB5AAF">
        <w:rPr>
          <w:rFonts w:cs="Times New Roman"/>
          <w:lang w:val="fr-CA"/>
        </w:rPr>
        <w:t>époque des textes antérieurs.  Dans ce contexte, les extraits des débats parlementaires n</w:t>
      </w:r>
      <w:r>
        <w:rPr>
          <w:rFonts w:cs="Times New Roman"/>
          <w:lang w:val="fr-CA"/>
        </w:rPr>
        <w:t>’</w:t>
      </w:r>
      <w:r w:rsidRPr="00DB5AAF">
        <w:rPr>
          <w:rFonts w:cs="Times New Roman"/>
          <w:lang w:val="fr-CA"/>
        </w:rPr>
        <w:t>établissent pas l</w:t>
      </w:r>
      <w:r>
        <w:rPr>
          <w:rFonts w:cs="Times New Roman"/>
          <w:lang w:val="fr-CA"/>
        </w:rPr>
        <w:t>’</w:t>
      </w:r>
      <w:r w:rsidRPr="00DB5AAF">
        <w:rPr>
          <w:rFonts w:cs="Times New Roman"/>
          <w:lang w:val="fr-CA"/>
        </w:rPr>
        <w:t xml:space="preserve">intention non équivoque du législateur de limiter les pouvoirs du gouverneur en conseil. </w:t>
      </w:r>
    </w:p>
    <w:p w:rsidR="00784AD2" w:rsidRPr="00DB5AAF" w:rsidRDefault="00784AD2" w:rsidP="005C77BD">
      <w:pPr>
        <w:pStyle w:val="ParaNoNdepar-AltN"/>
        <w:rPr>
          <w:rFonts w:cs="Times New Roman"/>
          <w:lang w:val="fr-CA"/>
        </w:rPr>
      </w:pPr>
      <w:r w:rsidRPr="00DB5AAF">
        <w:rPr>
          <w:rFonts w:cs="Times New Roman"/>
          <w:lang w:val="fr-CA"/>
        </w:rPr>
        <w:t>À mon avis, les extraits des débats parlementaires confirment bel et bien que le législateur avait l</w:t>
      </w:r>
      <w:r>
        <w:rPr>
          <w:rFonts w:cs="Times New Roman"/>
          <w:lang w:val="fr-CA"/>
        </w:rPr>
        <w:t>’</w:t>
      </w:r>
      <w:r w:rsidRPr="00DB5AAF">
        <w:rPr>
          <w:rFonts w:cs="Times New Roman"/>
          <w:lang w:val="fr-CA"/>
        </w:rPr>
        <w:t>intention d</w:t>
      </w:r>
      <w:r>
        <w:rPr>
          <w:rFonts w:cs="Times New Roman"/>
          <w:lang w:val="fr-CA"/>
        </w:rPr>
        <w:t>’</w:t>
      </w:r>
      <w:r w:rsidRPr="00DB5AAF">
        <w:rPr>
          <w:rFonts w:cs="Times New Roman"/>
          <w:lang w:val="fr-CA"/>
        </w:rPr>
        <w:t>éviter que des questions de fait soient portées en appel devant la Cour d</w:t>
      </w:r>
      <w:r>
        <w:rPr>
          <w:rFonts w:cs="Times New Roman"/>
          <w:lang w:val="fr-CA"/>
        </w:rPr>
        <w:t>’</w:t>
      </w:r>
      <w:r w:rsidRPr="00DB5AAF">
        <w:rPr>
          <w:rFonts w:cs="Times New Roman"/>
          <w:lang w:val="fr-CA"/>
        </w:rPr>
        <w:t>appel fédérale.  À défaut d</w:t>
      </w:r>
      <w:r>
        <w:rPr>
          <w:rFonts w:cs="Times New Roman"/>
          <w:lang w:val="fr-CA"/>
        </w:rPr>
        <w:t>’</w:t>
      </w:r>
      <w:r w:rsidRPr="00DB5AAF">
        <w:rPr>
          <w:rFonts w:cs="Times New Roman"/>
          <w:lang w:val="fr-CA"/>
        </w:rPr>
        <w:t>autres éléments de preuve, ces extraits des débats parlementaires ne démontrent pas qu</w:t>
      </w:r>
      <w:r>
        <w:rPr>
          <w:rFonts w:cs="Times New Roman"/>
          <w:lang w:val="fr-CA"/>
        </w:rPr>
        <w:t>’</w:t>
      </w:r>
      <w:r w:rsidRPr="00DB5AAF">
        <w:rPr>
          <w:rFonts w:cs="Times New Roman"/>
          <w:lang w:val="fr-CA"/>
        </w:rPr>
        <w:t>il était prévu que le rôle du gouverneur en conseil se borne à l</w:t>
      </w:r>
      <w:r>
        <w:rPr>
          <w:rFonts w:cs="Times New Roman"/>
          <w:lang w:val="fr-CA"/>
        </w:rPr>
        <w:t>’</w:t>
      </w:r>
      <w:r w:rsidRPr="00DB5AAF">
        <w:rPr>
          <w:rFonts w:cs="Times New Roman"/>
          <w:lang w:val="fr-CA"/>
        </w:rPr>
        <w:t>examen des seules questions de fait ou de politique.</w:t>
      </w:r>
    </w:p>
    <w:p w:rsidR="00784AD2" w:rsidRPr="00DB5AAF" w:rsidRDefault="00784AD2" w:rsidP="005C77BD">
      <w:pPr>
        <w:pStyle w:val="ParaNoNdepar-AltN"/>
        <w:rPr>
          <w:rFonts w:cs="Times New Roman"/>
          <w:lang w:val="fr-CA"/>
        </w:rPr>
      </w:pPr>
      <w:r w:rsidRPr="00DB5AAF">
        <w:rPr>
          <w:rFonts w:cs="Times New Roman"/>
          <w:lang w:val="fr-CA"/>
        </w:rPr>
        <w:t>Notre Cour a fait remarquer que, bien que les débats parlementaires soient admis en preuve et soient pertinents quant au contexte et à l</w:t>
      </w:r>
      <w:r>
        <w:rPr>
          <w:rFonts w:cs="Times New Roman"/>
          <w:lang w:val="fr-CA"/>
        </w:rPr>
        <w:t>’</w:t>
      </w:r>
      <w:r w:rsidRPr="00DB5AAF">
        <w:rPr>
          <w:rFonts w:cs="Times New Roman"/>
          <w:lang w:val="fr-CA"/>
        </w:rPr>
        <w:t>objet d</w:t>
      </w:r>
      <w:r>
        <w:rPr>
          <w:rFonts w:cs="Times New Roman"/>
          <w:lang w:val="fr-CA"/>
        </w:rPr>
        <w:t>’</w:t>
      </w:r>
      <w:r w:rsidRPr="00DB5AAF">
        <w:rPr>
          <w:rFonts w:cs="Times New Roman"/>
          <w:lang w:val="fr-CA"/>
        </w:rPr>
        <w:t>un texte législatif, les tribunaux ne doivent pas oublier que leur fiabilité et leur poids sont limités (</w:t>
      </w:r>
      <w:proofErr w:type="spellStart"/>
      <w:r w:rsidRPr="00DB5AAF">
        <w:rPr>
          <w:rFonts w:cs="Times New Roman"/>
          <w:i/>
          <w:iCs/>
          <w:lang w:val="fr-CA"/>
        </w:rPr>
        <w:t>Rizzo</w:t>
      </w:r>
      <w:proofErr w:type="spellEnd"/>
      <w:r w:rsidRPr="00DB5AAF">
        <w:rPr>
          <w:rFonts w:cs="Times New Roman"/>
          <w:i/>
          <w:iCs/>
          <w:lang w:val="fr-CA"/>
        </w:rPr>
        <w:t xml:space="preserve"> &amp; </w:t>
      </w:r>
      <w:proofErr w:type="spellStart"/>
      <w:r w:rsidRPr="00DB5AAF">
        <w:rPr>
          <w:rFonts w:cs="Times New Roman"/>
          <w:i/>
          <w:iCs/>
          <w:lang w:val="fr-CA"/>
        </w:rPr>
        <w:t>Rizzo</w:t>
      </w:r>
      <w:proofErr w:type="spellEnd"/>
      <w:r w:rsidRPr="00DB5AAF">
        <w:rPr>
          <w:rFonts w:cs="Times New Roman"/>
          <w:i/>
          <w:iCs/>
          <w:lang w:val="fr-CA"/>
        </w:rPr>
        <w:t xml:space="preserve"> </w:t>
      </w:r>
      <w:proofErr w:type="spellStart"/>
      <w:r w:rsidRPr="00DB5AAF">
        <w:rPr>
          <w:rFonts w:cs="Times New Roman"/>
          <w:i/>
          <w:iCs/>
          <w:lang w:val="fr-CA"/>
        </w:rPr>
        <w:t>Shoes</w:t>
      </w:r>
      <w:proofErr w:type="spellEnd"/>
      <w:r w:rsidRPr="00DB5AAF">
        <w:rPr>
          <w:rFonts w:cs="Times New Roman"/>
          <w:i/>
          <w:iCs/>
          <w:lang w:val="fr-CA"/>
        </w:rPr>
        <w:t xml:space="preserve"> Ltd</w:t>
      </w:r>
      <w:r w:rsidR="009E7331">
        <w:rPr>
          <w:rFonts w:cs="Times New Roman"/>
          <w:i/>
          <w:iCs/>
          <w:lang w:val="fr-CA"/>
        </w:rPr>
        <w:t>.</w:t>
      </w:r>
      <w:r w:rsidRPr="00DB5AAF">
        <w:rPr>
          <w:rFonts w:cs="Times New Roman"/>
          <w:i/>
          <w:iCs/>
          <w:lang w:val="fr-CA"/>
        </w:rPr>
        <w:t xml:space="preserve"> (</w:t>
      </w:r>
      <w:proofErr w:type="spellStart"/>
      <w:r w:rsidRPr="00DB5AAF">
        <w:rPr>
          <w:rFonts w:cs="Times New Roman"/>
          <w:i/>
          <w:iCs/>
          <w:lang w:val="fr-CA"/>
        </w:rPr>
        <w:t>Re</w:t>
      </w:r>
      <w:proofErr w:type="spellEnd"/>
      <w:r w:rsidRPr="00DB5AAF">
        <w:rPr>
          <w:rFonts w:cs="Times New Roman"/>
          <w:i/>
          <w:iCs/>
          <w:lang w:val="fr-CA"/>
        </w:rPr>
        <w:t>)</w:t>
      </w:r>
      <w:r w:rsidRPr="00DB5AAF">
        <w:rPr>
          <w:rFonts w:cs="Times New Roman"/>
          <w:iCs/>
          <w:lang w:val="fr-CA"/>
        </w:rPr>
        <w:t>, [1988] 1 R.C.S. 27</w:t>
      </w:r>
      <w:r w:rsidRPr="00DB5AAF">
        <w:rPr>
          <w:rFonts w:cs="Times New Roman"/>
          <w:lang w:val="fr-CA"/>
        </w:rPr>
        <w:t xml:space="preserve">, </w:t>
      </w:r>
      <w:r>
        <w:rPr>
          <w:rFonts w:cs="Times New Roman"/>
          <w:lang w:val="fr-CA"/>
        </w:rPr>
        <w:t xml:space="preserve">par. </w:t>
      </w:r>
      <w:r w:rsidRPr="00DB5AAF">
        <w:rPr>
          <w:rFonts w:cs="Times New Roman"/>
          <w:lang w:val="fr-CA"/>
        </w:rPr>
        <w:t xml:space="preserve">35; </w:t>
      </w:r>
      <w:r w:rsidRPr="00DB5AAF">
        <w:rPr>
          <w:rFonts w:cs="Times New Roman"/>
          <w:i/>
          <w:iCs/>
          <w:lang w:val="fr-CA"/>
        </w:rPr>
        <w:t>R. c. Morgentaler</w:t>
      </w:r>
      <w:r w:rsidRPr="00DB5AAF">
        <w:rPr>
          <w:rFonts w:cs="Times New Roman"/>
          <w:lang w:val="fr-CA"/>
        </w:rPr>
        <w:t xml:space="preserve">, [1993] 3 R.C.S. 463, </w:t>
      </w:r>
      <w:r>
        <w:rPr>
          <w:rFonts w:cs="Times New Roman"/>
          <w:lang w:val="fr-CA"/>
        </w:rPr>
        <w:t xml:space="preserve">p. </w:t>
      </w:r>
      <w:r w:rsidRPr="00DB5AAF">
        <w:rPr>
          <w:rFonts w:cs="Times New Roman"/>
          <w:lang w:val="fr-CA"/>
        </w:rPr>
        <w:t xml:space="preserve">484; et Sullivan, </w:t>
      </w:r>
      <w:r>
        <w:rPr>
          <w:rFonts w:cs="Times New Roman"/>
          <w:lang w:val="fr-CA"/>
        </w:rPr>
        <w:t xml:space="preserve">p. </w:t>
      </w:r>
      <w:r w:rsidRPr="00DB5AAF">
        <w:rPr>
          <w:rFonts w:cs="Times New Roman"/>
          <w:lang w:val="fr-CA"/>
        </w:rPr>
        <w:t>608</w:t>
      </w:r>
      <w:r>
        <w:rPr>
          <w:rFonts w:cs="Times New Roman"/>
          <w:lang w:val="fr-CA"/>
        </w:rPr>
        <w:t>-</w:t>
      </w:r>
      <w:r w:rsidRPr="00DB5AAF">
        <w:rPr>
          <w:rFonts w:cs="Times New Roman"/>
          <w:lang w:val="fr-CA"/>
        </w:rPr>
        <w:t>614).  Les extraits des débats parlementaires peuvent être invoqués comme preuve de l</w:t>
      </w:r>
      <w:r>
        <w:rPr>
          <w:rFonts w:cs="Times New Roman"/>
          <w:lang w:val="fr-CA"/>
        </w:rPr>
        <w:t>’</w:t>
      </w:r>
      <w:r w:rsidRPr="00DB5AAF">
        <w:rPr>
          <w:rFonts w:cs="Times New Roman"/>
          <w:lang w:val="fr-CA"/>
        </w:rPr>
        <w:t>historique et de l</w:t>
      </w:r>
      <w:r>
        <w:rPr>
          <w:rFonts w:cs="Times New Roman"/>
          <w:lang w:val="fr-CA"/>
        </w:rPr>
        <w:t>’</w:t>
      </w:r>
      <w:r w:rsidRPr="00DB5AAF">
        <w:rPr>
          <w:rFonts w:cs="Times New Roman"/>
          <w:lang w:val="fr-CA"/>
        </w:rPr>
        <w:t>objet du texte législatif ou, dans certains cas, comme preuve directe de son objet (</w:t>
      </w:r>
      <w:r w:rsidRPr="00DB5AAF">
        <w:rPr>
          <w:rFonts w:cs="Times New Roman"/>
          <w:i/>
          <w:lang w:val="fr-CA"/>
        </w:rPr>
        <w:t xml:space="preserve">Canada (Commission canadienne des droits de la personne) c. Canada (Procureur </w:t>
      </w:r>
      <w:r w:rsidRPr="00DB5AAF">
        <w:rPr>
          <w:rFonts w:cs="Times New Roman"/>
          <w:i/>
          <w:lang w:val="fr-CA"/>
        </w:rPr>
        <w:lastRenderedPageBreak/>
        <w:t>général)</w:t>
      </w:r>
      <w:r w:rsidRPr="00DB5AAF">
        <w:rPr>
          <w:rFonts w:cs="Times New Roman"/>
          <w:lang w:val="fr-CA"/>
        </w:rPr>
        <w:t xml:space="preserve">, 2011 CSC 53, [2011] 3 R.C.S. 471, </w:t>
      </w:r>
      <w:r>
        <w:rPr>
          <w:rFonts w:cs="Times New Roman"/>
          <w:lang w:val="fr-CA"/>
        </w:rPr>
        <w:t xml:space="preserve">par. </w:t>
      </w:r>
      <w:r w:rsidRPr="00DB5AAF">
        <w:rPr>
          <w:rFonts w:cs="Times New Roman"/>
          <w:lang w:val="fr-CA"/>
        </w:rPr>
        <w:t>44, les juges LeBel et Cromwell).  En l</w:t>
      </w:r>
      <w:r>
        <w:rPr>
          <w:rFonts w:cs="Times New Roman"/>
          <w:lang w:val="fr-CA"/>
        </w:rPr>
        <w:t>’</w:t>
      </w:r>
      <w:r w:rsidRPr="00DB5AAF">
        <w:rPr>
          <w:rFonts w:cs="Times New Roman"/>
          <w:lang w:val="fr-CA"/>
        </w:rPr>
        <w:t>espèce, les extraits des débats parlementaires visent à établir l</w:t>
      </w:r>
      <w:r>
        <w:rPr>
          <w:rFonts w:cs="Times New Roman"/>
          <w:lang w:val="fr-CA"/>
        </w:rPr>
        <w:t>’</w:t>
      </w:r>
      <w:r w:rsidRPr="00DB5AAF">
        <w:rPr>
          <w:rFonts w:cs="Times New Roman"/>
          <w:lang w:val="fr-CA"/>
        </w:rPr>
        <w:t>intention du législateur.  Cependant, ces renvois ne seront pas utiles pour interpréter le libellé d</w:t>
      </w:r>
      <w:r>
        <w:rPr>
          <w:rFonts w:cs="Times New Roman"/>
          <w:lang w:val="fr-CA"/>
        </w:rPr>
        <w:t>’</w:t>
      </w:r>
      <w:r w:rsidRPr="00DB5AAF">
        <w:rPr>
          <w:rFonts w:cs="Times New Roman"/>
          <w:lang w:val="fr-CA"/>
        </w:rPr>
        <w:t>une disposition législative s</w:t>
      </w:r>
      <w:r>
        <w:rPr>
          <w:rFonts w:cs="Times New Roman"/>
          <w:lang w:val="fr-CA"/>
        </w:rPr>
        <w:t>’</w:t>
      </w:r>
      <w:r w:rsidRPr="00DB5AAF">
        <w:rPr>
          <w:rFonts w:cs="Times New Roman"/>
          <w:lang w:val="fr-CA"/>
        </w:rPr>
        <w:t>ils sont eux</w:t>
      </w:r>
      <w:r>
        <w:rPr>
          <w:rFonts w:cs="Times New Roman"/>
          <w:lang w:val="fr-CA"/>
        </w:rPr>
        <w:t>-</w:t>
      </w:r>
      <w:r w:rsidRPr="00DB5AAF">
        <w:rPr>
          <w:rFonts w:cs="Times New Roman"/>
          <w:lang w:val="fr-CA"/>
        </w:rPr>
        <w:t>mêmes ambigus (</w:t>
      </w:r>
      <w:r w:rsidRPr="00DB5AAF">
        <w:rPr>
          <w:rFonts w:cs="Times New Roman"/>
          <w:i/>
          <w:lang w:val="fr-CA"/>
        </w:rPr>
        <w:t xml:space="preserve">Placer </w:t>
      </w:r>
      <w:proofErr w:type="spellStart"/>
      <w:r w:rsidRPr="00DB5AAF">
        <w:rPr>
          <w:rFonts w:cs="Times New Roman"/>
          <w:i/>
          <w:lang w:val="fr-CA"/>
        </w:rPr>
        <w:t>Dome</w:t>
      </w:r>
      <w:proofErr w:type="spellEnd"/>
      <w:r w:rsidRPr="00DB5AAF">
        <w:rPr>
          <w:rFonts w:cs="Times New Roman"/>
          <w:i/>
          <w:lang w:val="fr-CA"/>
        </w:rPr>
        <w:t xml:space="preserve"> Canada Ltd. c. Ontario (Ministre des Finances)</w:t>
      </w:r>
      <w:r w:rsidRPr="00DB5AAF">
        <w:rPr>
          <w:rFonts w:cs="Times New Roman"/>
          <w:lang w:val="fr-CA"/>
        </w:rPr>
        <w:t xml:space="preserve">, 2006 CSC 20, [2006] 1 R.C.S. 715, </w:t>
      </w:r>
      <w:r>
        <w:rPr>
          <w:rFonts w:cs="Times New Roman"/>
          <w:lang w:val="fr-CA"/>
        </w:rPr>
        <w:t xml:space="preserve">par. </w:t>
      </w:r>
      <w:r w:rsidRPr="00DB5AAF">
        <w:rPr>
          <w:rFonts w:cs="Times New Roman"/>
          <w:lang w:val="fr-CA"/>
        </w:rPr>
        <w:t>39, le juge LeBel).  De ce fait, l</w:t>
      </w:r>
      <w:r>
        <w:rPr>
          <w:rFonts w:cs="Times New Roman"/>
          <w:lang w:val="fr-CA"/>
        </w:rPr>
        <w:t>’</w:t>
      </w:r>
      <w:r w:rsidRPr="00DB5AAF">
        <w:rPr>
          <w:rFonts w:cs="Times New Roman"/>
          <w:lang w:val="fr-CA"/>
        </w:rPr>
        <w:t>élément de preuve qu</w:t>
      </w:r>
      <w:r>
        <w:rPr>
          <w:rFonts w:cs="Times New Roman"/>
          <w:lang w:val="fr-CA"/>
        </w:rPr>
        <w:t>’</w:t>
      </w:r>
      <w:r w:rsidRPr="00DB5AAF">
        <w:rPr>
          <w:rFonts w:cs="Times New Roman"/>
          <w:lang w:val="fr-CA"/>
        </w:rPr>
        <w:t>invoque le CN en l</w:t>
      </w:r>
      <w:r>
        <w:rPr>
          <w:rFonts w:cs="Times New Roman"/>
          <w:lang w:val="fr-CA"/>
        </w:rPr>
        <w:t>’</w:t>
      </w:r>
      <w:r w:rsidRPr="00DB5AAF">
        <w:rPr>
          <w:rFonts w:cs="Times New Roman"/>
          <w:lang w:val="fr-CA"/>
        </w:rPr>
        <w:t>espèce n</w:t>
      </w:r>
      <w:r>
        <w:rPr>
          <w:rFonts w:cs="Times New Roman"/>
          <w:lang w:val="fr-CA"/>
        </w:rPr>
        <w:t>’</w:t>
      </w:r>
      <w:r w:rsidRPr="00DB5AAF">
        <w:rPr>
          <w:rFonts w:cs="Times New Roman"/>
          <w:lang w:val="fr-CA"/>
        </w:rPr>
        <w:t>étaye pas l</w:t>
      </w:r>
      <w:r>
        <w:rPr>
          <w:rFonts w:cs="Times New Roman"/>
          <w:lang w:val="fr-CA"/>
        </w:rPr>
        <w:t>’</w:t>
      </w:r>
      <w:r w:rsidRPr="00DB5AAF">
        <w:rPr>
          <w:rFonts w:cs="Times New Roman"/>
          <w:lang w:val="fr-CA"/>
        </w:rPr>
        <w:t>argument selon lequel il convient d</w:t>
      </w:r>
      <w:r>
        <w:rPr>
          <w:rFonts w:cs="Times New Roman"/>
          <w:lang w:val="fr-CA"/>
        </w:rPr>
        <w:t>’</w:t>
      </w:r>
      <w:r w:rsidRPr="00DB5AAF">
        <w:rPr>
          <w:rFonts w:cs="Times New Roman"/>
          <w:lang w:val="fr-CA"/>
        </w:rPr>
        <w:t>inclure dans le libellé par ailleurs large et non restreint de l</w:t>
      </w:r>
      <w:r>
        <w:rPr>
          <w:rFonts w:cs="Times New Roman"/>
          <w:lang w:val="fr-CA"/>
        </w:rPr>
        <w:t xml:space="preserve">’art. </w:t>
      </w:r>
      <w:r w:rsidRPr="00DB5AAF">
        <w:rPr>
          <w:rFonts w:cs="Times New Roman"/>
          <w:lang w:val="fr-CA"/>
        </w:rPr>
        <w:t>40 une restriction implicite aux questions de fait et de politique.</w:t>
      </w:r>
    </w:p>
    <w:p w:rsidR="00784AD2" w:rsidRPr="00DB5AAF" w:rsidRDefault="00784AD2" w:rsidP="005C77BD">
      <w:pPr>
        <w:pStyle w:val="ParaNoNdepar-AltN"/>
        <w:rPr>
          <w:rFonts w:cs="Times New Roman"/>
          <w:lang w:val="fr-CA"/>
        </w:rPr>
      </w:pPr>
      <w:r w:rsidRPr="00DB5AAF">
        <w:rPr>
          <w:rFonts w:cs="Times New Roman"/>
          <w:lang w:val="fr-CA"/>
        </w:rPr>
        <w:t>Le CN plaide que le gouverneur en conseil ne modifie ou n</w:t>
      </w:r>
      <w:r>
        <w:rPr>
          <w:rFonts w:cs="Times New Roman"/>
          <w:lang w:val="fr-CA"/>
        </w:rPr>
        <w:t>’</w:t>
      </w:r>
      <w:r w:rsidRPr="00DB5AAF">
        <w:rPr>
          <w:rFonts w:cs="Times New Roman"/>
          <w:lang w:val="fr-CA"/>
        </w:rPr>
        <w:t>annule que rarement une décision administrative sur une question de droit. Je conviens qu</w:t>
      </w:r>
      <w:r>
        <w:rPr>
          <w:rFonts w:cs="Times New Roman"/>
          <w:lang w:val="fr-CA"/>
        </w:rPr>
        <w:t>’</w:t>
      </w:r>
      <w:r w:rsidRPr="00DB5AAF">
        <w:rPr>
          <w:rFonts w:cs="Times New Roman"/>
          <w:lang w:val="fr-CA"/>
        </w:rPr>
        <w:t>il est inusité pour le gouverneur en conseil de trancher une question de droit et que ce dernier examine généralement des questions de politique et de fait.  Bien que le gouverneur en conseil ne tranche que rarement des questions de droit, cela ne veut pas dire que la loi ne l</w:t>
      </w:r>
      <w:r>
        <w:rPr>
          <w:rFonts w:cs="Times New Roman"/>
          <w:lang w:val="fr-CA"/>
        </w:rPr>
        <w:t>’</w:t>
      </w:r>
      <w:r w:rsidRPr="00DB5AAF">
        <w:rPr>
          <w:rFonts w:cs="Times New Roman"/>
          <w:lang w:val="fr-CA"/>
        </w:rPr>
        <w:t>habilite pas à le faire.  En fait, les parties peuvent préférer se conformer aux exigences de l</w:t>
      </w:r>
      <w:r>
        <w:rPr>
          <w:rFonts w:cs="Times New Roman"/>
          <w:lang w:val="fr-CA"/>
        </w:rPr>
        <w:t xml:space="preserve">’art. </w:t>
      </w:r>
      <w:r w:rsidRPr="00DB5AAF">
        <w:rPr>
          <w:rFonts w:cs="Times New Roman"/>
          <w:lang w:val="fr-CA"/>
        </w:rPr>
        <w:t>41 et demander l</w:t>
      </w:r>
      <w:r>
        <w:rPr>
          <w:rFonts w:cs="Times New Roman"/>
          <w:lang w:val="fr-CA"/>
        </w:rPr>
        <w:t>’</w:t>
      </w:r>
      <w:r w:rsidRPr="00DB5AAF">
        <w:rPr>
          <w:rFonts w:cs="Times New Roman"/>
          <w:lang w:val="fr-CA"/>
        </w:rPr>
        <w:t>autorisation d</w:t>
      </w:r>
      <w:r>
        <w:rPr>
          <w:rFonts w:cs="Times New Roman"/>
          <w:lang w:val="fr-CA"/>
        </w:rPr>
        <w:t>’</w:t>
      </w:r>
      <w:r w:rsidRPr="00DB5AAF">
        <w:rPr>
          <w:rFonts w:cs="Times New Roman"/>
          <w:lang w:val="fr-CA"/>
        </w:rPr>
        <w:t>interjeter appel à la Cour d</w:t>
      </w:r>
      <w:r>
        <w:rPr>
          <w:rFonts w:cs="Times New Roman"/>
          <w:lang w:val="fr-CA"/>
        </w:rPr>
        <w:t>’</w:t>
      </w:r>
      <w:r w:rsidRPr="00DB5AAF">
        <w:rPr>
          <w:rFonts w:cs="Times New Roman"/>
          <w:lang w:val="fr-CA"/>
        </w:rPr>
        <w:t>appel fédérale, qui procédera à une audience en bonne et due forme selon la procédure habituelle.  Bien qu</w:t>
      </w:r>
      <w:r>
        <w:rPr>
          <w:rFonts w:cs="Times New Roman"/>
          <w:lang w:val="fr-CA"/>
        </w:rPr>
        <w:t>’</w:t>
      </w:r>
      <w:r w:rsidRPr="00DB5AAF">
        <w:rPr>
          <w:rFonts w:cs="Times New Roman"/>
          <w:lang w:val="fr-CA"/>
        </w:rPr>
        <w:t>il puisse s</w:t>
      </w:r>
      <w:r>
        <w:rPr>
          <w:rFonts w:cs="Times New Roman"/>
          <w:lang w:val="fr-CA"/>
        </w:rPr>
        <w:t>’</w:t>
      </w:r>
      <w:r w:rsidRPr="00DB5AAF">
        <w:rPr>
          <w:rFonts w:cs="Times New Roman"/>
          <w:lang w:val="fr-CA"/>
        </w:rPr>
        <w:t>agir là de considérations pratiques ou stratégiques, celles</w:t>
      </w:r>
      <w:r>
        <w:rPr>
          <w:rFonts w:cs="Times New Roman"/>
          <w:lang w:val="fr-CA"/>
        </w:rPr>
        <w:t>-</w:t>
      </w:r>
      <w:r w:rsidRPr="00DB5AAF">
        <w:rPr>
          <w:rFonts w:cs="Times New Roman"/>
          <w:lang w:val="fr-CA"/>
        </w:rPr>
        <w:t>ci ne changent pas le fait que la loi n</w:t>
      </w:r>
      <w:r>
        <w:rPr>
          <w:rFonts w:cs="Times New Roman"/>
          <w:lang w:val="fr-CA"/>
        </w:rPr>
        <w:t>’</w:t>
      </w:r>
      <w:r w:rsidRPr="00DB5AAF">
        <w:rPr>
          <w:rFonts w:cs="Times New Roman"/>
          <w:lang w:val="fr-CA"/>
        </w:rPr>
        <w:t xml:space="preserve">empêche pas le gouverneur en conseil de trancher une question de droit. </w:t>
      </w:r>
    </w:p>
    <w:p w:rsidR="00784AD2" w:rsidRPr="00DB5AAF" w:rsidRDefault="00784AD2" w:rsidP="005C77BD">
      <w:pPr>
        <w:pStyle w:val="ParaNoNdepar-AltN"/>
        <w:rPr>
          <w:rFonts w:cs="Times New Roman"/>
          <w:lang w:val="fr-CA"/>
        </w:rPr>
      </w:pPr>
      <w:r w:rsidRPr="00DB5AAF">
        <w:rPr>
          <w:rFonts w:cs="Times New Roman"/>
          <w:lang w:val="fr-CA"/>
        </w:rPr>
        <w:t xml:space="preserve">De ce fait, les requêtes adressées au gouverneur en conseil ne se limitent pas à des questions de fait ou de politique.  Le gouverneur en conseil est habilité à </w:t>
      </w:r>
      <w:r w:rsidRPr="00DB5AAF">
        <w:rPr>
          <w:rFonts w:cs="Times New Roman"/>
          <w:lang w:val="fr-CA"/>
        </w:rPr>
        <w:lastRenderedPageBreak/>
        <w:t>répondre à des questions de droit, et ce pouvoir est supervisé de manière adéquate par les tribunaux dans le cadre d</w:t>
      </w:r>
      <w:r>
        <w:rPr>
          <w:rFonts w:cs="Times New Roman"/>
          <w:lang w:val="fr-CA"/>
        </w:rPr>
        <w:t>’</w:t>
      </w:r>
      <w:r w:rsidRPr="00DB5AAF">
        <w:rPr>
          <w:rFonts w:cs="Times New Roman"/>
          <w:lang w:val="fr-CA"/>
        </w:rPr>
        <w:t>un contrôle judiciaire.</w:t>
      </w:r>
    </w:p>
    <w:p w:rsidR="00784AD2" w:rsidRPr="00DB5AAF" w:rsidRDefault="00784AD2" w:rsidP="005C77BD">
      <w:pPr>
        <w:pStyle w:val="Title2LevelTitre2Niveau"/>
        <w:rPr>
          <w:rFonts w:cs="Times New Roman"/>
          <w:lang w:val="fr-CA"/>
        </w:rPr>
      </w:pPr>
      <w:r w:rsidRPr="00DB5AAF">
        <w:rPr>
          <w:rFonts w:cs="Times New Roman"/>
          <w:lang w:val="fr-CA"/>
        </w:rPr>
        <w:t>La norme de contrôle applicable</w:t>
      </w:r>
    </w:p>
    <w:p w:rsidR="00784AD2" w:rsidRPr="00DB5AAF" w:rsidRDefault="00784AD2" w:rsidP="005C77BD">
      <w:pPr>
        <w:pStyle w:val="ParaNoNdepar-AltN"/>
        <w:rPr>
          <w:rFonts w:cs="Times New Roman"/>
          <w:lang w:val="fr-CA"/>
        </w:rPr>
      </w:pPr>
      <w:r w:rsidRPr="00DB5AAF">
        <w:rPr>
          <w:rFonts w:cs="Times New Roman"/>
          <w:lang w:val="fr-CA"/>
        </w:rPr>
        <w:t>La détermination de la norme de contrôle applicable en l</w:t>
      </w:r>
      <w:r>
        <w:rPr>
          <w:rFonts w:cs="Times New Roman"/>
          <w:lang w:val="fr-CA"/>
        </w:rPr>
        <w:t>’</w:t>
      </w:r>
      <w:r w:rsidRPr="00DB5AAF">
        <w:rPr>
          <w:rFonts w:cs="Times New Roman"/>
          <w:lang w:val="fr-CA"/>
        </w:rPr>
        <w:t>espèce comporte l</w:t>
      </w:r>
      <w:r>
        <w:rPr>
          <w:rFonts w:cs="Times New Roman"/>
          <w:lang w:val="fr-CA"/>
        </w:rPr>
        <w:t>’</w:t>
      </w:r>
      <w:r w:rsidRPr="00DB5AAF">
        <w:rPr>
          <w:rFonts w:cs="Times New Roman"/>
          <w:lang w:val="fr-CA"/>
        </w:rPr>
        <w:t>examen de deux questions.  En premier lieu, l</w:t>
      </w:r>
      <w:r>
        <w:rPr>
          <w:rFonts w:cs="Times New Roman"/>
          <w:lang w:val="fr-CA"/>
        </w:rPr>
        <w:t>’</w:t>
      </w:r>
      <w:r w:rsidRPr="00DB5AAF">
        <w:rPr>
          <w:rFonts w:cs="Times New Roman"/>
          <w:lang w:val="fr-CA"/>
        </w:rPr>
        <w:t>analyse de la norme de contrôle à laquelle notre Cour a procédé dans l</w:t>
      </w:r>
      <w:r>
        <w:rPr>
          <w:rFonts w:cs="Times New Roman"/>
          <w:lang w:val="fr-CA"/>
        </w:rPr>
        <w:t>’</w:t>
      </w:r>
      <w:r w:rsidRPr="00DB5AAF">
        <w:rPr>
          <w:rFonts w:cs="Times New Roman"/>
          <w:lang w:val="fr-CA"/>
        </w:rPr>
        <w:t xml:space="preserve">arrêt </w:t>
      </w:r>
      <w:proofErr w:type="spellStart"/>
      <w:r w:rsidRPr="00DB5AAF">
        <w:rPr>
          <w:rFonts w:cs="Times New Roman"/>
          <w:i/>
          <w:iCs/>
          <w:lang w:val="fr-CA"/>
        </w:rPr>
        <w:t>Dunsmuir</w:t>
      </w:r>
      <w:proofErr w:type="spellEnd"/>
      <w:r w:rsidRPr="00DB5AAF">
        <w:rPr>
          <w:rFonts w:cs="Times New Roman"/>
          <w:i/>
          <w:iCs/>
          <w:lang w:val="fr-CA"/>
        </w:rPr>
        <w:t xml:space="preserve"> c. Nouveau</w:t>
      </w:r>
      <w:r>
        <w:rPr>
          <w:rFonts w:cs="Times New Roman"/>
          <w:i/>
          <w:iCs/>
          <w:lang w:val="fr-CA"/>
        </w:rPr>
        <w:t>-</w:t>
      </w:r>
      <w:r w:rsidRPr="00DB5AAF">
        <w:rPr>
          <w:rFonts w:cs="Times New Roman"/>
          <w:i/>
          <w:iCs/>
          <w:lang w:val="fr-CA"/>
        </w:rPr>
        <w:t>Brunswick</w:t>
      </w:r>
      <w:r w:rsidRPr="00DB5AAF">
        <w:rPr>
          <w:rFonts w:cs="Times New Roman"/>
          <w:lang w:val="fr-CA"/>
        </w:rPr>
        <w:t>, 2008 CSC 9, [2008] 1 R.C.S. 190, vaut</w:t>
      </w:r>
      <w:r>
        <w:rPr>
          <w:rFonts w:cs="Times New Roman"/>
          <w:lang w:val="fr-CA"/>
        </w:rPr>
        <w:t>-</w:t>
      </w:r>
      <w:r w:rsidRPr="00DB5AAF">
        <w:rPr>
          <w:rFonts w:cs="Times New Roman"/>
          <w:lang w:val="fr-CA"/>
        </w:rPr>
        <w:t>elle dans le cas des décisions du gouverneur en conseil?  En second lieu, quelle est la norme de contrôle applicable en l</w:t>
      </w:r>
      <w:r>
        <w:rPr>
          <w:rFonts w:cs="Times New Roman"/>
          <w:lang w:val="fr-CA"/>
        </w:rPr>
        <w:t>’</w:t>
      </w:r>
      <w:r w:rsidRPr="00DB5AAF">
        <w:rPr>
          <w:rFonts w:cs="Times New Roman"/>
          <w:lang w:val="fr-CA"/>
        </w:rPr>
        <w:t xml:space="preserve">espèce? </w:t>
      </w:r>
    </w:p>
    <w:p w:rsidR="00784AD2" w:rsidRPr="00DB5AAF" w:rsidRDefault="00784AD2" w:rsidP="005C77BD">
      <w:pPr>
        <w:pStyle w:val="Title3LevelTitre3Niveau"/>
        <w:tabs>
          <w:tab w:val="clear" w:pos="864"/>
          <w:tab w:val="num" w:pos="1080"/>
          <w:tab w:val="num" w:pos="6048"/>
        </w:tabs>
        <w:spacing w:before="480"/>
        <w:ind w:left="1080" w:hanging="540"/>
        <w:jc w:val="left"/>
        <w:outlineLvl w:val="9"/>
        <w:rPr>
          <w:rFonts w:cs="Times New Roman"/>
          <w:lang w:val="fr-CA"/>
        </w:rPr>
      </w:pPr>
      <w:r w:rsidRPr="00DB5AAF">
        <w:rPr>
          <w:rFonts w:cs="Times New Roman"/>
          <w:lang w:val="fr-CA"/>
        </w:rPr>
        <w:t>Le cadre proposé dans l</w:t>
      </w:r>
      <w:r>
        <w:rPr>
          <w:rFonts w:cs="Times New Roman"/>
          <w:lang w:val="fr-CA"/>
        </w:rPr>
        <w:t>’</w:t>
      </w:r>
      <w:r w:rsidRPr="00DB5AAF">
        <w:rPr>
          <w:rFonts w:cs="Times New Roman"/>
          <w:lang w:val="fr-CA"/>
        </w:rPr>
        <w:t xml:space="preserve">arrêt </w:t>
      </w:r>
      <w:proofErr w:type="spellStart"/>
      <w:r w:rsidRPr="009E7331">
        <w:rPr>
          <w:rFonts w:cs="Times New Roman"/>
          <w:i/>
          <w:lang w:val="fr-CA"/>
        </w:rPr>
        <w:t>Dunsmuir</w:t>
      </w:r>
      <w:proofErr w:type="spellEnd"/>
      <w:r w:rsidRPr="00DB5AAF">
        <w:rPr>
          <w:rFonts w:cs="Times New Roman"/>
          <w:lang w:val="fr-CA"/>
        </w:rPr>
        <w:t xml:space="preserve"> s</w:t>
      </w:r>
      <w:r>
        <w:rPr>
          <w:rFonts w:cs="Times New Roman"/>
          <w:lang w:val="fr-CA"/>
        </w:rPr>
        <w:t>’</w:t>
      </w:r>
      <w:r w:rsidRPr="00DB5AAF">
        <w:rPr>
          <w:rFonts w:cs="Times New Roman"/>
          <w:lang w:val="fr-CA"/>
        </w:rPr>
        <w:t>applique aux décisions du gouverneur en conseil</w:t>
      </w:r>
    </w:p>
    <w:p w:rsidR="00784AD2" w:rsidRPr="00DB5AAF" w:rsidRDefault="00784AD2" w:rsidP="005C77BD">
      <w:pPr>
        <w:pStyle w:val="ParaNoNdepar-AltN"/>
        <w:rPr>
          <w:rFonts w:cs="Times New Roman"/>
          <w:lang w:val="fr-CA"/>
        </w:rPr>
      </w:pPr>
      <w:r w:rsidRPr="00DB5AAF">
        <w:rPr>
          <w:rFonts w:cs="Times New Roman"/>
          <w:lang w:val="fr-CA"/>
        </w:rPr>
        <w:t>Il ne s</w:t>
      </w:r>
      <w:r>
        <w:rPr>
          <w:rFonts w:cs="Times New Roman"/>
          <w:lang w:val="fr-CA"/>
        </w:rPr>
        <w:t>’</w:t>
      </w:r>
      <w:r w:rsidRPr="00DB5AAF">
        <w:rPr>
          <w:rFonts w:cs="Times New Roman"/>
          <w:lang w:val="fr-CA"/>
        </w:rPr>
        <w:t>agit pas en l</w:t>
      </w:r>
      <w:r>
        <w:rPr>
          <w:rFonts w:cs="Times New Roman"/>
          <w:lang w:val="fr-CA"/>
        </w:rPr>
        <w:t>’</w:t>
      </w:r>
      <w:r w:rsidRPr="00DB5AAF">
        <w:rPr>
          <w:rFonts w:cs="Times New Roman"/>
          <w:lang w:val="fr-CA"/>
        </w:rPr>
        <w:t xml:space="preserve">espèce de savoir si le gouverneur en conseil avait le pouvoir de prendre un règlement.  Contrairement aux affaires qui, comme </w:t>
      </w:r>
      <w:r w:rsidRPr="00DB5AAF">
        <w:rPr>
          <w:rFonts w:cs="Times New Roman"/>
          <w:i/>
          <w:iCs/>
          <w:lang w:val="fr-CA"/>
        </w:rPr>
        <w:t>Katz Group Canada Inc. c. Ontario (Santé et Soins de longue durée)</w:t>
      </w:r>
      <w:r w:rsidRPr="00DB5AAF">
        <w:rPr>
          <w:rFonts w:cs="Times New Roman"/>
          <w:lang w:val="fr-CA"/>
        </w:rPr>
        <w:t>, 2013 CSC 64, [2013] 3 R.C.S. 810, mettent en cause une contestation de la validité d</w:t>
      </w:r>
      <w:r>
        <w:rPr>
          <w:rFonts w:cs="Times New Roman"/>
          <w:lang w:val="fr-CA"/>
        </w:rPr>
        <w:t>’</w:t>
      </w:r>
      <w:r w:rsidRPr="00DB5AAF">
        <w:rPr>
          <w:rFonts w:cs="Times New Roman"/>
          <w:lang w:val="fr-CA"/>
        </w:rPr>
        <w:t>un règlement, le gouverneur en conseil n</w:t>
      </w:r>
      <w:r>
        <w:rPr>
          <w:rFonts w:cs="Times New Roman"/>
          <w:lang w:val="fr-CA"/>
        </w:rPr>
        <w:t>’</w:t>
      </w:r>
      <w:r w:rsidRPr="00DB5AAF">
        <w:rPr>
          <w:rFonts w:cs="Times New Roman"/>
          <w:lang w:val="fr-CA"/>
        </w:rPr>
        <w:t>agit pas à titre de législateur lorsque, dans l</w:t>
      </w:r>
      <w:r>
        <w:rPr>
          <w:rFonts w:cs="Times New Roman"/>
          <w:lang w:val="fr-CA"/>
        </w:rPr>
        <w:t>’</w:t>
      </w:r>
      <w:r w:rsidRPr="00DB5AAF">
        <w:rPr>
          <w:rFonts w:cs="Times New Roman"/>
          <w:lang w:val="fr-CA"/>
        </w:rPr>
        <w:t>exercice du pouvoir que lui confère l</w:t>
      </w:r>
      <w:r>
        <w:rPr>
          <w:rFonts w:cs="Times New Roman"/>
          <w:lang w:val="fr-CA"/>
        </w:rPr>
        <w:t xml:space="preserve">’art. </w:t>
      </w:r>
      <w:r w:rsidRPr="00DB5AAF">
        <w:rPr>
          <w:rFonts w:cs="Times New Roman"/>
          <w:lang w:val="fr-CA"/>
        </w:rPr>
        <w:t xml:space="preserve">40 de la </w:t>
      </w:r>
      <w:r w:rsidRPr="00DB5AAF">
        <w:rPr>
          <w:rFonts w:cs="Times New Roman"/>
          <w:i/>
          <w:lang w:val="fr-CA"/>
        </w:rPr>
        <w:t>Loi</w:t>
      </w:r>
      <w:r w:rsidRPr="00DB5AAF">
        <w:rPr>
          <w:rFonts w:cs="Times New Roman"/>
          <w:lang w:val="fr-CA"/>
        </w:rPr>
        <w:t>, il examine une décision ou un arrêté de l</w:t>
      </w:r>
      <w:r>
        <w:rPr>
          <w:rFonts w:cs="Times New Roman"/>
          <w:lang w:val="fr-CA"/>
        </w:rPr>
        <w:t>’</w:t>
      </w:r>
      <w:r w:rsidRPr="00DB5AAF">
        <w:rPr>
          <w:rFonts w:cs="Times New Roman"/>
          <w:lang w:val="fr-CA"/>
        </w:rPr>
        <w:t>Office.  Il faut donc déterminer le cadre d</w:t>
      </w:r>
      <w:r>
        <w:rPr>
          <w:rFonts w:cs="Times New Roman"/>
          <w:lang w:val="fr-CA"/>
        </w:rPr>
        <w:t>’</w:t>
      </w:r>
      <w:r w:rsidRPr="00DB5AAF">
        <w:rPr>
          <w:rFonts w:cs="Times New Roman"/>
          <w:lang w:val="fr-CA"/>
        </w:rPr>
        <w:t>analyse qui doit s</w:t>
      </w:r>
      <w:r>
        <w:rPr>
          <w:rFonts w:cs="Times New Roman"/>
          <w:lang w:val="fr-CA"/>
        </w:rPr>
        <w:t>’</w:t>
      </w:r>
      <w:r w:rsidRPr="00DB5AAF">
        <w:rPr>
          <w:rFonts w:cs="Times New Roman"/>
          <w:lang w:val="fr-CA"/>
        </w:rPr>
        <w:t>appliquer à une décision de ce genre du gouverneur en conseil.  Je suis d</w:t>
      </w:r>
      <w:r>
        <w:rPr>
          <w:rFonts w:cs="Times New Roman"/>
          <w:lang w:val="fr-CA"/>
        </w:rPr>
        <w:t>’</w:t>
      </w:r>
      <w:r w:rsidRPr="00DB5AAF">
        <w:rPr>
          <w:rFonts w:cs="Times New Roman"/>
          <w:lang w:val="fr-CA"/>
        </w:rPr>
        <w:t>avis que le cadre proposé dans l</w:t>
      </w:r>
      <w:r>
        <w:rPr>
          <w:rFonts w:cs="Times New Roman"/>
          <w:lang w:val="fr-CA"/>
        </w:rPr>
        <w:t>’</w:t>
      </w:r>
      <w:r w:rsidRPr="00DB5AAF">
        <w:rPr>
          <w:rFonts w:cs="Times New Roman"/>
          <w:lang w:val="fr-CA"/>
        </w:rPr>
        <w:t xml:space="preserve">arrêt </w:t>
      </w:r>
      <w:proofErr w:type="spellStart"/>
      <w:r w:rsidRPr="00DB5AAF">
        <w:rPr>
          <w:rFonts w:cs="Times New Roman"/>
          <w:i/>
          <w:iCs/>
          <w:lang w:val="fr-CA"/>
        </w:rPr>
        <w:t>Dunsmuir</w:t>
      </w:r>
      <w:proofErr w:type="spellEnd"/>
      <w:r w:rsidRPr="00DB5AAF">
        <w:rPr>
          <w:rFonts w:cs="Times New Roman"/>
          <w:lang w:val="fr-CA"/>
        </w:rPr>
        <w:t xml:space="preserve"> est le mécanisme qui permettra au tribunal de procéder au </w:t>
      </w:r>
      <w:r w:rsidRPr="00DB5AAF">
        <w:rPr>
          <w:rFonts w:cs="Times New Roman"/>
          <w:lang w:val="fr-CA"/>
        </w:rPr>
        <w:lastRenderedPageBreak/>
        <w:t>contrôle judiciaire d</w:t>
      </w:r>
      <w:r>
        <w:rPr>
          <w:rFonts w:cs="Times New Roman"/>
          <w:lang w:val="fr-CA"/>
        </w:rPr>
        <w:t>’</w:t>
      </w:r>
      <w:r w:rsidRPr="00DB5AAF">
        <w:rPr>
          <w:rFonts w:cs="Times New Roman"/>
          <w:lang w:val="fr-CA"/>
        </w:rPr>
        <w:t>une décision de nature juridictionnelle rendue par le gouverneur en conseil en vertu de l</w:t>
      </w:r>
      <w:r>
        <w:rPr>
          <w:rFonts w:cs="Times New Roman"/>
          <w:lang w:val="fr-CA"/>
        </w:rPr>
        <w:t xml:space="preserve">’art. </w:t>
      </w:r>
      <w:r w:rsidRPr="00DB5AAF">
        <w:rPr>
          <w:rFonts w:cs="Times New Roman"/>
          <w:lang w:val="fr-CA"/>
        </w:rPr>
        <w:t xml:space="preserve">40. </w:t>
      </w:r>
    </w:p>
    <w:p w:rsidR="00784AD2" w:rsidRPr="00DB5AAF" w:rsidRDefault="00784AD2" w:rsidP="005C77BD">
      <w:pPr>
        <w:pStyle w:val="ParaNoNdepar-AltN"/>
        <w:rPr>
          <w:rFonts w:cs="Times New Roman"/>
          <w:lang w:val="fr-CA"/>
        </w:rPr>
      </w:pPr>
      <w:r w:rsidRPr="00DB5AAF">
        <w:rPr>
          <w:rFonts w:cs="Times New Roman"/>
          <w:lang w:val="fr-CA"/>
        </w:rPr>
        <w:t>Lorsque le gouverneur en conseil exerce les pouvoirs que lui confère l</w:t>
      </w:r>
      <w:r>
        <w:rPr>
          <w:rFonts w:cs="Times New Roman"/>
          <w:lang w:val="fr-CA"/>
        </w:rPr>
        <w:t xml:space="preserve">’art. </w:t>
      </w:r>
      <w:r w:rsidRPr="00DB5AAF">
        <w:rPr>
          <w:rFonts w:cs="Times New Roman"/>
          <w:lang w:val="fr-CA"/>
        </w:rPr>
        <w:t xml:space="preserve">40 de la </w:t>
      </w:r>
      <w:r w:rsidRPr="00DB5AAF">
        <w:rPr>
          <w:rFonts w:cs="Times New Roman"/>
          <w:i/>
          <w:lang w:val="fr-CA"/>
        </w:rPr>
        <w:t>Loi</w:t>
      </w:r>
      <w:r w:rsidRPr="00DB5AAF">
        <w:rPr>
          <w:rFonts w:cs="Times New Roman"/>
          <w:lang w:val="fr-CA"/>
        </w:rPr>
        <w:t>, il se prononce lui</w:t>
      </w:r>
      <w:r>
        <w:rPr>
          <w:rFonts w:cs="Times New Roman"/>
          <w:lang w:val="fr-CA"/>
        </w:rPr>
        <w:t>-</w:t>
      </w:r>
      <w:r w:rsidRPr="00DB5AAF">
        <w:rPr>
          <w:rFonts w:cs="Times New Roman"/>
          <w:lang w:val="fr-CA"/>
        </w:rPr>
        <w:t>même sur le fond de la question qui lui est soumise.  Sa décision peut alors faire l</w:t>
      </w:r>
      <w:r>
        <w:rPr>
          <w:rFonts w:cs="Times New Roman"/>
          <w:lang w:val="fr-CA"/>
        </w:rPr>
        <w:t>’</w:t>
      </w:r>
      <w:r w:rsidRPr="00DB5AAF">
        <w:rPr>
          <w:rFonts w:cs="Times New Roman"/>
          <w:lang w:val="fr-CA"/>
        </w:rPr>
        <w:t>objet d</w:t>
      </w:r>
      <w:r>
        <w:rPr>
          <w:rFonts w:cs="Times New Roman"/>
          <w:lang w:val="fr-CA"/>
        </w:rPr>
        <w:t>’</w:t>
      </w:r>
      <w:r w:rsidRPr="00DB5AAF">
        <w:rPr>
          <w:rFonts w:cs="Times New Roman"/>
          <w:lang w:val="fr-CA"/>
        </w:rPr>
        <w:t>un contrôle judiciaire devant la Cour fédérale (</w:t>
      </w:r>
      <w:r w:rsidRPr="00DB5AAF">
        <w:rPr>
          <w:rFonts w:cs="Times New Roman"/>
          <w:i/>
          <w:iCs/>
          <w:lang w:val="fr-CA"/>
        </w:rPr>
        <w:t>Public Mobile</w:t>
      </w:r>
      <w:r w:rsidRPr="00DB5AAF">
        <w:rPr>
          <w:rFonts w:cs="Times New Roman"/>
          <w:lang w:val="fr-CA"/>
        </w:rPr>
        <w:t xml:space="preserve">, </w:t>
      </w:r>
      <w:r>
        <w:rPr>
          <w:rFonts w:cs="Times New Roman"/>
          <w:lang w:val="fr-CA"/>
        </w:rPr>
        <w:t xml:space="preserve">par. </w:t>
      </w:r>
      <w:r w:rsidRPr="00DB5AAF">
        <w:rPr>
          <w:rFonts w:cs="Times New Roman"/>
          <w:lang w:val="fr-CA"/>
        </w:rPr>
        <w:t>26).  Ainsi, la Cour fédérale exerce un rôle de surveillance à l</w:t>
      </w:r>
      <w:r>
        <w:rPr>
          <w:rFonts w:cs="Times New Roman"/>
          <w:lang w:val="fr-CA"/>
        </w:rPr>
        <w:t>’</w:t>
      </w:r>
      <w:r w:rsidRPr="00DB5AAF">
        <w:rPr>
          <w:rFonts w:cs="Times New Roman"/>
          <w:lang w:val="fr-CA"/>
        </w:rPr>
        <w:t>égard du gouverneur en conseil, qui constitue une autorité publique exerçant les pouvoirs légaux qui lui sont délégués en vertu de l</w:t>
      </w:r>
      <w:r>
        <w:rPr>
          <w:rFonts w:cs="Times New Roman"/>
          <w:lang w:val="fr-CA"/>
        </w:rPr>
        <w:t xml:space="preserve">’art. </w:t>
      </w:r>
      <w:r w:rsidRPr="00DB5AAF">
        <w:rPr>
          <w:rFonts w:cs="Times New Roman"/>
          <w:lang w:val="fr-CA"/>
        </w:rPr>
        <w:t xml:space="preserve">40 de la </w:t>
      </w:r>
      <w:r w:rsidRPr="00DB5AAF">
        <w:rPr>
          <w:rFonts w:cs="Times New Roman"/>
          <w:i/>
          <w:lang w:val="fr-CA"/>
        </w:rPr>
        <w:t>Loi</w:t>
      </w:r>
      <w:r w:rsidRPr="00DB5AAF">
        <w:rPr>
          <w:rFonts w:cs="Times New Roman"/>
          <w:lang w:val="fr-CA"/>
        </w:rPr>
        <w:t xml:space="preserve">. </w:t>
      </w:r>
    </w:p>
    <w:p w:rsidR="00784AD2" w:rsidRPr="00DB5AAF" w:rsidRDefault="00784AD2" w:rsidP="005C77BD">
      <w:pPr>
        <w:pStyle w:val="ParaNoNdepar-AltN"/>
        <w:rPr>
          <w:rFonts w:cs="Times New Roman"/>
          <w:lang w:val="fr-CA"/>
        </w:rPr>
      </w:pPr>
      <w:r w:rsidRPr="00DB5AAF">
        <w:rPr>
          <w:rFonts w:cs="Times New Roman"/>
          <w:lang w:val="fr-CA"/>
        </w:rPr>
        <w:t>L</w:t>
      </w:r>
      <w:r>
        <w:rPr>
          <w:rFonts w:cs="Times New Roman"/>
          <w:lang w:val="fr-CA"/>
        </w:rPr>
        <w:t>’</w:t>
      </w:r>
      <w:r w:rsidRPr="00DB5AAF">
        <w:rPr>
          <w:rFonts w:cs="Times New Roman"/>
          <w:lang w:val="fr-CA"/>
        </w:rPr>
        <w:t xml:space="preserve">arrêt </w:t>
      </w:r>
      <w:proofErr w:type="spellStart"/>
      <w:r w:rsidRPr="00DB5AAF">
        <w:rPr>
          <w:rFonts w:cs="Times New Roman"/>
          <w:i/>
          <w:iCs/>
          <w:lang w:val="fr-CA"/>
        </w:rPr>
        <w:t>Dunsmuir</w:t>
      </w:r>
      <w:proofErr w:type="spellEnd"/>
      <w:r w:rsidRPr="00DB5AAF">
        <w:rPr>
          <w:rFonts w:cs="Times New Roman"/>
          <w:lang w:val="fr-CA"/>
        </w:rPr>
        <w:t xml:space="preserve"> ne réserve pas le contrôle judiciaire aux seules décisions des tribunaux administratifs (</w:t>
      </w:r>
      <w:r>
        <w:rPr>
          <w:rFonts w:cs="Times New Roman"/>
          <w:lang w:val="fr-CA"/>
        </w:rPr>
        <w:t xml:space="preserve">par. </w:t>
      </w:r>
      <w:r w:rsidRPr="00DB5AAF">
        <w:rPr>
          <w:rFonts w:cs="Times New Roman"/>
          <w:lang w:val="fr-CA"/>
        </w:rPr>
        <w:t>27</w:t>
      </w:r>
      <w:r>
        <w:rPr>
          <w:rFonts w:cs="Times New Roman"/>
          <w:lang w:val="fr-CA"/>
        </w:rPr>
        <w:t>-</w:t>
      </w:r>
      <w:r w:rsidRPr="00DB5AAF">
        <w:rPr>
          <w:rFonts w:cs="Times New Roman"/>
          <w:lang w:val="fr-CA"/>
        </w:rPr>
        <w:t xml:space="preserve">28; </w:t>
      </w:r>
      <w:r w:rsidRPr="00DB5AAF">
        <w:rPr>
          <w:rFonts w:cs="Times New Roman"/>
          <w:i/>
          <w:iCs/>
          <w:lang w:val="fr-CA"/>
        </w:rPr>
        <w:t>Public Mobile</w:t>
      </w:r>
      <w:r w:rsidRPr="00DB5AAF">
        <w:rPr>
          <w:rFonts w:cs="Times New Roman"/>
          <w:lang w:val="fr-CA"/>
        </w:rPr>
        <w:t xml:space="preserve">, </w:t>
      </w:r>
      <w:r>
        <w:rPr>
          <w:rFonts w:cs="Times New Roman"/>
          <w:lang w:val="fr-CA"/>
        </w:rPr>
        <w:t xml:space="preserve">par. </w:t>
      </w:r>
      <w:r w:rsidRPr="00DB5AAF">
        <w:rPr>
          <w:rFonts w:cs="Times New Roman"/>
          <w:lang w:val="fr-CA"/>
        </w:rPr>
        <w:t>30).  Dans l</w:t>
      </w:r>
      <w:r>
        <w:rPr>
          <w:rFonts w:cs="Times New Roman"/>
          <w:lang w:val="fr-CA"/>
        </w:rPr>
        <w:t>’</w:t>
      </w:r>
      <w:r w:rsidRPr="00DB5AAF">
        <w:rPr>
          <w:rFonts w:cs="Times New Roman"/>
          <w:lang w:val="fr-CA"/>
        </w:rPr>
        <w:t xml:space="preserve">arrêt </w:t>
      </w:r>
      <w:proofErr w:type="spellStart"/>
      <w:r w:rsidRPr="00DB5AAF">
        <w:rPr>
          <w:rFonts w:cs="Times New Roman"/>
          <w:i/>
          <w:iCs/>
          <w:lang w:val="fr-CA"/>
        </w:rPr>
        <w:t>Dunsmuir</w:t>
      </w:r>
      <w:proofErr w:type="spellEnd"/>
      <w:r w:rsidRPr="00DB5AAF">
        <w:rPr>
          <w:rFonts w:cs="Times New Roman"/>
          <w:lang w:val="fr-CA"/>
        </w:rPr>
        <w:t>, l</w:t>
      </w:r>
      <w:r>
        <w:rPr>
          <w:rFonts w:cs="Times New Roman"/>
          <w:lang w:val="fr-CA"/>
        </w:rPr>
        <w:t>’</w:t>
      </w:r>
      <w:r w:rsidRPr="00DB5AAF">
        <w:rPr>
          <w:rFonts w:cs="Times New Roman"/>
          <w:lang w:val="fr-CA"/>
        </w:rPr>
        <w:t xml:space="preserve">analyse relative à la norme de contrôle se situait plutôt dans le contexte de </w:t>
      </w:r>
      <w:r>
        <w:rPr>
          <w:rFonts w:cs="Times New Roman"/>
          <w:lang w:val="fr-CA"/>
        </w:rPr>
        <w:t>« </w:t>
      </w:r>
      <w:r w:rsidRPr="00DB5AAF">
        <w:rPr>
          <w:rFonts w:cs="Times New Roman"/>
          <w:lang w:val="fr-CA"/>
        </w:rPr>
        <w:t>divers organismes administratifs</w:t>
      </w:r>
      <w:r>
        <w:rPr>
          <w:rFonts w:cs="Times New Roman"/>
          <w:lang w:val="fr-CA"/>
        </w:rPr>
        <w:t> »</w:t>
      </w:r>
      <w:r w:rsidRPr="00DB5AAF">
        <w:rPr>
          <w:rFonts w:cs="Times New Roman"/>
          <w:lang w:val="fr-CA"/>
        </w:rPr>
        <w:t xml:space="preserve">, de </w:t>
      </w:r>
      <w:r>
        <w:rPr>
          <w:rFonts w:cs="Times New Roman"/>
          <w:lang w:val="fr-CA"/>
        </w:rPr>
        <w:t>« </w:t>
      </w:r>
      <w:r w:rsidRPr="00DB5AAF">
        <w:rPr>
          <w:rFonts w:cs="Times New Roman"/>
          <w:lang w:val="fr-CA"/>
        </w:rPr>
        <w:t>tout exercice de l</w:t>
      </w:r>
      <w:r>
        <w:rPr>
          <w:rFonts w:cs="Times New Roman"/>
          <w:lang w:val="fr-CA"/>
        </w:rPr>
        <w:t>’</w:t>
      </w:r>
      <w:r w:rsidRPr="00DB5AAF">
        <w:rPr>
          <w:rFonts w:cs="Times New Roman"/>
          <w:lang w:val="fr-CA"/>
        </w:rPr>
        <w:t>autorité publique</w:t>
      </w:r>
      <w:r>
        <w:rPr>
          <w:rFonts w:cs="Times New Roman"/>
          <w:lang w:val="fr-CA"/>
        </w:rPr>
        <w:t> »</w:t>
      </w:r>
      <w:r w:rsidRPr="00DB5AAF">
        <w:rPr>
          <w:rFonts w:cs="Times New Roman"/>
          <w:lang w:val="fr-CA"/>
        </w:rPr>
        <w:t xml:space="preserve">, de </w:t>
      </w:r>
      <w:r>
        <w:rPr>
          <w:rFonts w:cs="Times New Roman"/>
          <w:lang w:val="fr-CA"/>
        </w:rPr>
        <w:t>« </w:t>
      </w:r>
      <w:r w:rsidRPr="00DB5AAF">
        <w:rPr>
          <w:rFonts w:cs="Times New Roman"/>
          <w:lang w:val="fr-CA"/>
        </w:rPr>
        <w:t>[ceux qui exercent des] pouvoirs légaux</w:t>
      </w:r>
      <w:r>
        <w:rPr>
          <w:rFonts w:cs="Times New Roman"/>
          <w:lang w:val="fr-CA"/>
        </w:rPr>
        <w:t> »</w:t>
      </w:r>
      <w:r w:rsidRPr="00DB5AAF">
        <w:rPr>
          <w:rFonts w:cs="Times New Roman"/>
          <w:lang w:val="fr-CA"/>
        </w:rPr>
        <w:t xml:space="preserve"> ainsi que des </w:t>
      </w:r>
      <w:r>
        <w:rPr>
          <w:rFonts w:cs="Times New Roman"/>
          <w:lang w:val="fr-CA"/>
        </w:rPr>
        <w:t>« </w:t>
      </w:r>
      <w:r w:rsidRPr="00DB5AAF">
        <w:rPr>
          <w:rFonts w:cs="Times New Roman"/>
          <w:lang w:val="fr-CA"/>
        </w:rPr>
        <w:t>décideurs administratifs</w:t>
      </w:r>
      <w:r>
        <w:rPr>
          <w:rFonts w:cs="Times New Roman"/>
          <w:lang w:val="fr-CA"/>
        </w:rPr>
        <w:t> »</w:t>
      </w:r>
      <w:r w:rsidRPr="00DB5AAF">
        <w:rPr>
          <w:rFonts w:cs="Times New Roman"/>
          <w:lang w:val="fr-CA"/>
        </w:rPr>
        <w:t xml:space="preserve"> (</w:t>
      </w:r>
      <w:r>
        <w:rPr>
          <w:rFonts w:cs="Times New Roman"/>
          <w:lang w:val="fr-CA"/>
        </w:rPr>
        <w:t xml:space="preserve">par. </w:t>
      </w:r>
      <w:r w:rsidRPr="00DB5AAF">
        <w:rPr>
          <w:rFonts w:cs="Times New Roman"/>
          <w:lang w:val="fr-CA"/>
        </w:rPr>
        <w:t>27</w:t>
      </w:r>
      <w:r w:rsidR="009E7331">
        <w:rPr>
          <w:rFonts w:cs="Times New Roman"/>
          <w:lang w:val="fr-CA"/>
        </w:rPr>
        <w:t>-</w:t>
      </w:r>
      <w:r w:rsidRPr="00DB5AAF">
        <w:rPr>
          <w:rFonts w:cs="Times New Roman"/>
          <w:lang w:val="fr-CA"/>
        </w:rPr>
        <w:t>28 et</w:t>
      </w:r>
      <w:r>
        <w:rPr>
          <w:rFonts w:cs="Times New Roman"/>
          <w:lang w:val="fr-CA"/>
        </w:rPr>
        <w:t xml:space="preserve"> </w:t>
      </w:r>
      <w:r w:rsidRPr="00DB5AAF">
        <w:rPr>
          <w:rFonts w:cs="Times New Roman"/>
          <w:lang w:val="fr-CA"/>
        </w:rPr>
        <w:t xml:space="preserve">49). </w:t>
      </w:r>
    </w:p>
    <w:p w:rsidR="00784AD2" w:rsidRPr="00DB5AAF" w:rsidRDefault="00784AD2" w:rsidP="005C77BD">
      <w:pPr>
        <w:pStyle w:val="ParaNoNdepar-AltN"/>
        <w:rPr>
          <w:rFonts w:cs="Times New Roman"/>
          <w:lang w:val="fr-CA"/>
        </w:rPr>
      </w:pPr>
      <w:r w:rsidRPr="00DB5AAF">
        <w:rPr>
          <w:rFonts w:cs="Times New Roman"/>
          <w:lang w:val="fr-CA"/>
        </w:rPr>
        <w:t>Notre Cour a appliqué le cadre énoncé dans l</w:t>
      </w:r>
      <w:r>
        <w:rPr>
          <w:rFonts w:cs="Times New Roman"/>
          <w:lang w:val="fr-CA"/>
        </w:rPr>
        <w:t>’</w:t>
      </w:r>
      <w:r w:rsidRPr="00DB5AAF">
        <w:rPr>
          <w:rFonts w:cs="Times New Roman"/>
          <w:lang w:val="fr-CA"/>
        </w:rPr>
        <w:t xml:space="preserve">arrêt </w:t>
      </w:r>
      <w:proofErr w:type="spellStart"/>
      <w:r w:rsidRPr="00DB5AAF">
        <w:rPr>
          <w:rFonts w:cs="Times New Roman"/>
          <w:i/>
          <w:iCs/>
          <w:lang w:val="fr-CA"/>
        </w:rPr>
        <w:t>Dunsmuir</w:t>
      </w:r>
      <w:proofErr w:type="spellEnd"/>
      <w:r w:rsidRPr="00DB5AAF">
        <w:rPr>
          <w:rFonts w:cs="Times New Roman"/>
          <w:lang w:val="fr-CA"/>
        </w:rPr>
        <w:t xml:space="preserve"> à divers organismes administratifs (voir, par exemple, </w:t>
      </w:r>
      <w:proofErr w:type="spellStart"/>
      <w:r w:rsidRPr="00DB5AAF">
        <w:rPr>
          <w:rFonts w:cs="Times New Roman"/>
          <w:i/>
          <w:iCs/>
          <w:lang w:val="fr-CA"/>
        </w:rPr>
        <w:t>Catalyst</w:t>
      </w:r>
      <w:proofErr w:type="spellEnd"/>
      <w:r w:rsidRPr="00DB5AAF">
        <w:rPr>
          <w:rFonts w:cs="Times New Roman"/>
          <w:i/>
          <w:iCs/>
          <w:lang w:val="fr-CA"/>
        </w:rPr>
        <w:t xml:space="preserve"> </w:t>
      </w:r>
      <w:proofErr w:type="spellStart"/>
      <w:r w:rsidRPr="00DB5AAF">
        <w:rPr>
          <w:rFonts w:cs="Times New Roman"/>
          <w:i/>
          <w:iCs/>
          <w:lang w:val="fr-CA"/>
        </w:rPr>
        <w:t>Paper</w:t>
      </w:r>
      <w:proofErr w:type="spellEnd"/>
      <w:r w:rsidRPr="00DB5AAF">
        <w:rPr>
          <w:rFonts w:cs="Times New Roman"/>
          <w:i/>
          <w:iCs/>
          <w:lang w:val="fr-CA"/>
        </w:rPr>
        <w:t xml:space="preserve"> Cor</w:t>
      </w:r>
      <w:r>
        <w:rPr>
          <w:rFonts w:cs="Times New Roman"/>
          <w:i/>
          <w:iCs/>
          <w:lang w:val="fr-CA"/>
        </w:rPr>
        <w:t xml:space="preserve">p. </w:t>
      </w:r>
      <w:r w:rsidRPr="00DB5AAF">
        <w:rPr>
          <w:rFonts w:cs="Times New Roman"/>
          <w:i/>
          <w:iCs/>
          <w:lang w:val="fr-CA"/>
        </w:rPr>
        <w:t xml:space="preserve">c. </w:t>
      </w:r>
      <w:proofErr w:type="spellStart"/>
      <w:r w:rsidRPr="00DB5AAF">
        <w:rPr>
          <w:rFonts w:cs="Times New Roman"/>
          <w:i/>
          <w:iCs/>
          <w:lang w:val="fr-CA"/>
        </w:rPr>
        <w:t>North</w:t>
      </w:r>
      <w:proofErr w:type="spellEnd"/>
      <w:r w:rsidRPr="00DB5AAF">
        <w:rPr>
          <w:rFonts w:cs="Times New Roman"/>
          <w:i/>
          <w:iCs/>
          <w:lang w:val="fr-CA"/>
        </w:rPr>
        <w:t xml:space="preserve"> </w:t>
      </w:r>
      <w:proofErr w:type="spellStart"/>
      <w:r w:rsidRPr="00DB5AAF">
        <w:rPr>
          <w:rFonts w:cs="Times New Roman"/>
          <w:i/>
          <w:iCs/>
          <w:lang w:val="fr-CA"/>
        </w:rPr>
        <w:t>Cowichan</w:t>
      </w:r>
      <w:proofErr w:type="spellEnd"/>
      <w:r w:rsidRPr="00DB5AAF">
        <w:rPr>
          <w:rFonts w:cs="Times New Roman"/>
          <w:i/>
          <w:iCs/>
          <w:lang w:val="fr-CA"/>
        </w:rPr>
        <w:t xml:space="preserve"> (District)</w:t>
      </w:r>
      <w:r w:rsidRPr="00DB5AAF">
        <w:rPr>
          <w:rFonts w:cs="Times New Roman"/>
          <w:lang w:val="fr-CA"/>
        </w:rPr>
        <w:t xml:space="preserve">, 2012 CSC 2, [2012] 1 R.C.S. 5, </w:t>
      </w:r>
      <w:r>
        <w:rPr>
          <w:rFonts w:cs="Times New Roman"/>
          <w:lang w:val="fr-CA"/>
        </w:rPr>
        <w:t xml:space="preserve">par. </w:t>
      </w:r>
      <w:r w:rsidRPr="00DB5AAF">
        <w:rPr>
          <w:rFonts w:cs="Times New Roman"/>
          <w:lang w:val="fr-CA"/>
        </w:rPr>
        <w:t>13 et 35, la juge en chef McLachlin).  La jurisprudence nous enseigne que le cadre énoncé dans l</w:t>
      </w:r>
      <w:r>
        <w:rPr>
          <w:rFonts w:cs="Times New Roman"/>
          <w:lang w:val="fr-CA"/>
        </w:rPr>
        <w:t>’</w:t>
      </w:r>
      <w:r w:rsidRPr="00DB5AAF">
        <w:rPr>
          <w:rFonts w:cs="Times New Roman"/>
          <w:lang w:val="fr-CA"/>
        </w:rPr>
        <w:t xml:space="preserve">arrêt </w:t>
      </w:r>
      <w:proofErr w:type="spellStart"/>
      <w:r w:rsidRPr="00DB5AAF">
        <w:rPr>
          <w:rFonts w:cs="Times New Roman"/>
          <w:i/>
          <w:iCs/>
          <w:lang w:val="fr-CA"/>
        </w:rPr>
        <w:t>Dunsmuir</w:t>
      </w:r>
      <w:proofErr w:type="spellEnd"/>
      <w:r w:rsidRPr="00DB5AAF">
        <w:rPr>
          <w:rFonts w:cs="Times New Roman"/>
          <w:lang w:val="fr-CA"/>
        </w:rPr>
        <w:t xml:space="preserve"> s</w:t>
      </w:r>
      <w:r>
        <w:rPr>
          <w:rFonts w:cs="Times New Roman"/>
          <w:lang w:val="fr-CA"/>
        </w:rPr>
        <w:t>’</w:t>
      </w:r>
      <w:r w:rsidRPr="00DB5AAF">
        <w:rPr>
          <w:rFonts w:cs="Times New Roman"/>
          <w:lang w:val="fr-CA"/>
        </w:rPr>
        <w:t>applique aux décideurs administratifs en général, et non seulement aux tribunaux administratifs.  Ce cadre est donc applicable aux décisions juridictionnelles du gouverneur en conseil.</w:t>
      </w:r>
    </w:p>
    <w:p w:rsidR="00784AD2" w:rsidRPr="00DB5AAF" w:rsidRDefault="00784AD2" w:rsidP="005C77BD">
      <w:pPr>
        <w:pStyle w:val="Title3LevelTitre3Niveau"/>
        <w:tabs>
          <w:tab w:val="clear" w:pos="864"/>
          <w:tab w:val="num" w:pos="1080"/>
          <w:tab w:val="num" w:pos="6048"/>
        </w:tabs>
        <w:spacing w:before="480"/>
        <w:ind w:left="1080" w:hanging="540"/>
        <w:jc w:val="left"/>
        <w:outlineLvl w:val="9"/>
        <w:rPr>
          <w:rFonts w:cs="Times New Roman"/>
          <w:lang w:val="fr-CA"/>
        </w:rPr>
      </w:pPr>
      <w:r w:rsidRPr="00DB5AAF">
        <w:rPr>
          <w:rFonts w:cs="Times New Roman"/>
          <w:lang w:val="fr-CA"/>
        </w:rPr>
        <w:lastRenderedPageBreak/>
        <w:t xml:space="preserve">La </w:t>
      </w:r>
      <w:proofErr w:type="spellStart"/>
      <w:r w:rsidRPr="00DB5AAF">
        <w:rPr>
          <w:rFonts w:cs="Times New Roman"/>
        </w:rPr>
        <w:t>norme</w:t>
      </w:r>
      <w:proofErr w:type="spellEnd"/>
      <w:r w:rsidRPr="00DB5AAF">
        <w:rPr>
          <w:rFonts w:cs="Times New Roman"/>
          <w:lang w:val="fr-CA"/>
        </w:rPr>
        <w:t xml:space="preserve"> de contrôle applicable</w:t>
      </w:r>
    </w:p>
    <w:p w:rsidR="00784AD2" w:rsidRPr="00DB5AAF" w:rsidRDefault="00784AD2" w:rsidP="005C77BD">
      <w:pPr>
        <w:pStyle w:val="ParaNoNdepar-AltN"/>
        <w:rPr>
          <w:rFonts w:cs="Times New Roman"/>
          <w:lang w:val="fr-CA"/>
        </w:rPr>
      </w:pPr>
      <w:r w:rsidRPr="00DB5AAF">
        <w:rPr>
          <w:rFonts w:cs="Times New Roman"/>
          <w:lang w:val="fr-CA"/>
        </w:rPr>
        <w:t>Il est aujourd</w:t>
      </w:r>
      <w:r>
        <w:rPr>
          <w:rFonts w:cs="Times New Roman"/>
          <w:lang w:val="fr-CA"/>
        </w:rPr>
        <w:t>’</w:t>
      </w:r>
      <w:r w:rsidRPr="00DB5AAF">
        <w:rPr>
          <w:rFonts w:cs="Times New Roman"/>
          <w:lang w:val="fr-CA"/>
        </w:rPr>
        <w:t>hui bien établi que la déférence est habituellement de mise lorsqu</w:t>
      </w:r>
      <w:r>
        <w:rPr>
          <w:rFonts w:cs="Times New Roman"/>
          <w:lang w:val="fr-CA"/>
        </w:rPr>
        <w:t>’</w:t>
      </w:r>
      <w:r w:rsidRPr="00DB5AAF">
        <w:rPr>
          <w:rFonts w:cs="Times New Roman"/>
          <w:lang w:val="fr-CA"/>
        </w:rPr>
        <w:t>un décideur interprète sa propre loi constitutive ou une loi étroitement liée à son mandat et dont il a une connaissance approfondie (</w:t>
      </w:r>
      <w:proofErr w:type="spellStart"/>
      <w:r w:rsidRPr="00DB5AAF">
        <w:rPr>
          <w:rFonts w:cs="Times New Roman"/>
          <w:i/>
          <w:iCs/>
          <w:lang w:val="fr-CA"/>
        </w:rPr>
        <w:t>Dunsmuir</w:t>
      </w:r>
      <w:proofErr w:type="spellEnd"/>
      <w:r w:rsidRPr="00DB5AAF">
        <w:rPr>
          <w:rFonts w:cs="Times New Roman"/>
          <w:lang w:val="fr-CA"/>
        </w:rPr>
        <w:t xml:space="preserve">, </w:t>
      </w:r>
      <w:r>
        <w:rPr>
          <w:rFonts w:cs="Times New Roman"/>
          <w:lang w:val="fr-CA"/>
        </w:rPr>
        <w:t xml:space="preserve">par. </w:t>
      </w:r>
      <w:r w:rsidRPr="00DB5AAF">
        <w:rPr>
          <w:rFonts w:cs="Times New Roman"/>
          <w:lang w:val="fr-CA"/>
        </w:rPr>
        <w:t xml:space="preserve">54; </w:t>
      </w:r>
      <w:r w:rsidRPr="00DB5AAF">
        <w:rPr>
          <w:rFonts w:cs="Times New Roman"/>
          <w:i/>
          <w:iCs/>
          <w:lang w:val="fr-CA"/>
        </w:rPr>
        <w:t>Smith c. Alliance Pipeline Ltd.</w:t>
      </w:r>
      <w:r w:rsidRPr="00DB5AAF">
        <w:rPr>
          <w:rFonts w:cs="Times New Roman"/>
          <w:lang w:val="fr-CA"/>
        </w:rPr>
        <w:t xml:space="preserve">, 2011 CSC 7, [2011] 1 R.C.S. 160, </w:t>
      </w:r>
      <w:r>
        <w:rPr>
          <w:rFonts w:cs="Times New Roman"/>
          <w:lang w:val="fr-CA"/>
        </w:rPr>
        <w:t xml:space="preserve">par. </w:t>
      </w:r>
      <w:r w:rsidRPr="00DB5AAF">
        <w:rPr>
          <w:rFonts w:cs="Times New Roman"/>
          <w:lang w:val="fr-CA"/>
        </w:rPr>
        <w:t>28</w:t>
      </w:r>
      <w:r w:rsidR="009E7331">
        <w:rPr>
          <w:rFonts w:cs="Times New Roman"/>
          <w:lang w:val="fr-CA"/>
        </w:rPr>
        <w:t>;</w:t>
      </w:r>
      <w:r w:rsidRPr="00DB5AAF">
        <w:rPr>
          <w:rFonts w:cs="Times New Roman"/>
          <w:lang w:val="fr-CA"/>
        </w:rPr>
        <w:t xml:space="preserve"> </w:t>
      </w:r>
      <w:r w:rsidRPr="00DB5AAF">
        <w:rPr>
          <w:rFonts w:cs="Times New Roman"/>
          <w:i/>
          <w:iCs/>
          <w:lang w:val="fr-CA"/>
        </w:rPr>
        <w:t xml:space="preserve">Alberta (Information and </w:t>
      </w:r>
      <w:proofErr w:type="spellStart"/>
      <w:r w:rsidRPr="00DB5AAF">
        <w:rPr>
          <w:rFonts w:cs="Times New Roman"/>
          <w:i/>
          <w:iCs/>
          <w:lang w:val="fr-CA"/>
        </w:rPr>
        <w:t>Privacy</w:t>
      </w:r>
      <w:proofErr w:type="spellEnd"/>
      <w:r w:rsidRPr="00DB5AAF">
        <w:rPr>
          <w:rFonts w:cs="Times New Roman"/>
          <w:i/>
          <w:iCs/>
          <w:lang w:val="fr-CA"/>
        </w:rPr>
        <w:t xml:space="preserve"> </w:t>
      </w:r>
      <w:proofErr w:type="spellStart"/>
      <w:r w:rsidRPr="00DB5AAF">
        <w:rPr>
          <w:rFonts w:cs="Times New Roman"/>
          <w:i/>
          <w:iCs/>
          <w:lang w:val="fr-CA"/>
        </w:rPr>
        <w:t>Commissioner</w:t>
      </w:r>
      <w:proofErr w:type="spellEnd"/>
      <w:r w:rsidRPr="00DB5AAF">
        <w:rPr>
          <w:rFonts w:cs="Times New Roman"/>
          <w:i/>
          <w:iCs/>
          <w:lang w:val="fr-CA"/>
        </w:rPr>
        <w:t xml:space="preserve">) c. Alberta </w:t>
      </w:r>
      <w:proofErr w:type="spellStart"/>
      <w:r w:rsidRPr="00DB5AAF">
        <w:rPr>
          <w:rFonts w:cs="Times New Roman"/>
          <w:i/>
          <w:iCs/>
          <w:lang w:val="fr-CA"/>
        </w:rPr>
        <w:t>Teachers</w:t>
      </w:r>
      <w:proofErr w:type="spellEnd"/>
      <w:r>
        <w:rPr>
          <w:rFonts w:cs="Times New Roman"/>
          <w:i/>
          <w:iCs/>
          <w:lang w:val="fr-CA"/>
        </w:rPr>
        <w:t>’</w:t>
      </w:r>
      <w:r w:rsidRPr="00DB5AAF">
        <w:rPr>
          <w:rFonts w:cs="Times New Roman"/>
          <w:i/>
          <w:iCs/>
          <w:lang w:val="fr-CA"/>
        </w:rPr>
        <w:t xml:space="preserve"> Association</w:t>
      </w:r>
      <w:r w:rsidRPr="00DB5AAF">
        <w:rPr>
          <w:rFonts w:cs="Times New Roman"/>
          <w:lang w:val="fr-CA"/>
        </w:rPr>
        <w:t xml:space="preserve">, 2011 CSC 61, [2011] 3 R.C.S. 654, </w:t>
      </w:r>
      <w:r>
        <w:rPr>
          <w:rFonts w:cs="Times New Roman"/>
          <w:lang w:val="fr-CA"/>
        </w:rPr>
        <w:t xml:space="preserve">par. </w:t>
      </w:r>
      <w:r w:rsidRPr="00DB5AAF">
        <w:rPr>
          <w:rFonts w:cs="Times New Roman"/>
          <w:lang w:val="fr-CA"/>
        </w:rPr>
        <w:t>30).  En pareil cas, l</w:t>
      </w:r>
      <w:r>
        <w:rPr>
          <w:rFonts w:cs="Times New Roman"/>
          <w:lang w:val="fr-CA"/>
        </w:rPr>
        <w:t>’</w:t>
      </w:r>
      <w:r w:rsidRPr="00DB5AAF">
        <w:rPr>
          <w:rFonts w:cs="Times New Roman"/>
          <w:lang w:val="fr-CA"/>
        </w:rPr>
        <w:t>examen en fonction d</w:t>
      </w:r>
      <w:r>
        <w:rPr>
          <w:rFonts w:cs="Times New Roman"/>
          <w:lang w:val="fr-CA"/>
        </w:rPr>
        <w:t>’</w:t>
      </w:r>
      <w:r w:rsidRPr="00DB5AAF">
        <w:rPr>
          <w:rFonts w:cs="Times New Roman"/>
          <w:lang w:val="fr-CA"/>
        </w:rPr>
        <w:t>une norme déférente est présumé, sauf si la question en litige relève de l</w:t>
      </w:r>
      <w:r>
        <w:rPr>
          <w:rFonts w:cs="Times New Roman"/>
          <w:lang w:val="fr-CA"/>
        </w:rPr>
        <w:t>’</w:t>
      </w:r>
      <w:r w:rsidRPr="00DB5AAF">
        <w:rPr>
          <w:rFonts w:cs="Times New Roman"/>
          <w:lang w:val="fr-CA"/>
        </w:rPr>
        <w:t>une des catégories à laquelle s</w:t>
      </w:r>
      <w:r>
        <w:rPr>
          <w:rFonts w:cs="Times New Roman"/>
          <w:lang w:val="fr-CA"/>
        </w:rPr>
        <w:t>’</w:t>
      </w:r>
      <w:r w:rsidRPr="00DB5AAF">
        <w:rPr>
          <w:rFonts w:cs="Times New Roman"/>
          <w:lang w:val="fr-CA"/>
        </w:rPr>
        <w:t>applique la norme de la décision correcte, en l</w:t>
      </w:r>
      <w:r>
        <w:rPr>
          <w:rFonts w:cs="Times New Roman"/>
          <w:lang w:val="fr-CA"/>
        </w:rPr>
        <w:t>’</w:t>
      </w:r>
      <w:r w:rsidRPr="00DB5AAF">
        <w:rPr>
          <w:rFonts w:cs="Times New Roman"/>
          <w:lang w:val="fr-CA"/>
        </w:rPr>
        <w:t>occurrence, les questions constitutionnelles, les questions de droit qui revêtent une importance capitale pour le système juridique dans son ensemble et qui sont étrangères au domaine d</w:t>
      </w:r>
      <w:r>
        <w:rPr>
          <w:rFonts w:cs="Times New Roman"/>
          <w:lang w:val="fr-CA"/>
        </w:rPr>
        <w:t>’</w:t>
      </w:r>
      <w:r w:rsidRPr="00DB5AAF">
        <w:rPr>
          <w:rFonts w:cs="Times New Roman"/>
          <w:lang w:val="fr-CA"/>
        </w:rPr>
        <w:t>expertise du décideur, les questions portant sur la délimitation des compétences respectives de tribunaux spécialisés concurrents, de même que la catégorie exceptionnelle des questions touchant véritablement à la compétence (</w:t>
      </w:r>
      <w:proofErr w:type="spellStart"/>
      <w:r w:rsidRPr="00DB5AAF">
        <w:rPr>
          <w:rFonts w:cs="Times New Roman"/>
          <w:i/>
          <w:iCs/>
          <w:lang w:val="fr-CA"/>
        </w:rPr>
        <w:t>Dunsmuir</w:t>
      </w:r>
      <w:proofErr w:type="spellEnd"/>
      <w:r w:rsidRPr="00DB5AAF">
        <w:rPr>
          <w:rFonts w:cs="Times New Roman"/>
          <w:lang w:val="fr-CA"/>
        </w:rPr>
        <w:t xml:space="preserve">, </w:t>
      </w:r>
      <w:r>
        <w:rPr>
          <w:rFonts w:cs="Times New Roman"/>
          <w:lang w:val="fr-CA"/>
        </w:rPr>
        <w:t xml:space="preserve">par. </w:t>
      </w:r>
      <w:r w:rsidRPr="00DB5AAF">
        <w:rPr>
          <w:rFonts w:cs="Times New Roman"/>
          <w:lang w:val="fr-CA"/>
        </w:rPr>
        <w:t>58</w:t>
      </w:r>
      <w:r>
        <w:rPr>
          <w:rFonts w:cs="Times New Roman"/>
          <w:lang w:val="fr-CA"/>
        </w:rPr>
        <w:t>-</w:t>
      </w:r>
      <w:r w:rsidRPr="00DB5AAF">
        <w:rPr>
          <w:rFonts w:cs="Times New Roman"/>
          <w:lang w:val="fr-CA"/>
        </w:rPr>
        <w:t>61</w:t>
      </w:r>
      <w:r w:rsidR="009E7331">
        <w:rPr>
          <w:rFonts w:cs="Times New Roman"/>
          <w:lang w:val="fr-CA"/>
        </w:rPr>
        <w:t>,</w:t>
      </w:r>
      <w:r w:rsidRPr="00DB5AAF">
        <w:rPr>
          <w:rFonts w:cs="Times New Roman"/>
          <w:lang w:val="fr-CA"/>
        </w:rPr>
        <w:t xml:space="preserve"> et </w:t>
      </w:r>
      <w:r w:rsidRPr="00DB5AAF">
        <w:rPr>
          <w:rFonts w:cs="Times New Roman"/>
          <w:i/>
          <w:iCs/>
          <w:lang w:val="fr-CA"/>
        </w:rPr>
        <w:t xml:space="preserve">Alberta </w:t>
      </w:r>
      <w:proofErr w:type="spellStart"/>
      <w:r w:rsidRPr="00DB5AAF">
        <w:rPr>
          <w:rFonts w:cs="Times New Roman"/>
          <w:i/>
          <w:iCs/>
          <w:lang w:val="fr-CA"/>
        </w:rPr>
        <w:t>Teachers</w:t>
      </w:r>
      <w:proofErr w:type="spellEnd"/>
      <w:r>
        <w:rPr>
          <w:rFonts w:cs="Times New Roman"/>
          <w:i/>
          <w:iCs/>
          <w:lang w:val="fr-CA"/>
        </w:rPr>
        <w:t>’</w:t>
      </w:r>
      <w:r w:rsidRPr="00DB5AAF">
        <w:rPr>
          <w:rFonts w:cs="Times New Roman"/>
          <w:i/>
          <w:iCs/>
          <w:lang w:val="fr-CA"/>
        </w:rPr>
        <w:t xml:space="preserve"> Association</w:t>
      </w:r>
      <w:r w:rsidRPr="00DB5AAF">
        <w:rPr>
          <w:rFonts w:cs="Times New Roman"/>
          <w:lang w:val="fr-CA"/>
        </w:rPr>
        <w:t xml:space="preserve">, </w:t>
      </w:r>
      <w:r>
        <w:rPr>
          <w:rFonts w:cs="Times New Roman"/>
          <w:lang w:val="fr-CA"/>
        </w:rPr>
        <w:t xml:space="preserve">par. </w:t>
      </w:r>
      <w:r w:rsidRPr="00DB5AAF">
        <w:rPr>
          <w:rFonts w:cs="Times New Roman"/>
          <w:lang w:val="fr-CA"/>
        </w:rPr>
        <w:t xml:space="preserve">30, citant </w:t>
      </w:r>
      <w:r w:rsidRPr="00DB5AAF">
        <w:rPr>
          <w:rFonts w:cs="Times New Roman"/>
          <w:i/>
          <w:iCs/>
          <w:lang w:val="fr-CA"/>
        </w:rPr>
        <w:t>Canada (Commission canadienne des droits de la personne)</w:t>
      </w:r>
      <w:r w:rsidRPr="00DB5AAF">
        <w:rPr>
          <w:rFonts w:cs="Times New Roman"/>
          <w:iCs/>
          <w:lang w:val="fr-CA"/>
        </w:rPr>
        <w:t xml:space="preserve">, </w:t>
      </w:r>
      <w:r>
        <w:rPr>
          <w:rFonts w:cs="Times New Roman"/>
          <w:iCs/>
          <w:lang w:val="fr-CA"/>
        </w:rPr>
        <w:t xml:space="preserve">par. </w:t>
      </w:r>
      <w:r w:rsidRPr="00DB5AAF">
        <w:rPr>
          <w:rFonts w:cs="Times New Roman"/>
          <w:iCs/>
          <w:lang w:val="fr-CA"/>
        </w:rPr>
        <w:t>18</w:t>
      </w:r>
      <w:r w:rsidR="00DE54B2">
        <w:rPr>
          <w:rFonts w:cs="Times New Roman"/>
          <w:iCs/>
          <w:lang w:val="fr-CA"/>
        </w:rPr>
        <w:t>,</w:t>
      </w:r>
      <w:r w:rsidRPr="00DB5AAF">
        <w:rPr>
          <w:rFonts w:cs="Times New Roman"/>
          <w:iCs/>
          <w:lang w:val="fr-CA"/>
        </w:rPr>
        <w:t xml:space="preserve"> </w:t>
      </w:r>
      <w:r w:rsidRPr="00DB5AAF">
        <w:rPr>
          <w:rFonts w:cs="Times New Roman"/>
          <w:lang w:val="fr-CA"/>
        </w:rPr>
        <w:t xml:space="preserve">ainsi que </w:t>
      </w:r>
      <w:proofErr w:type="spellStart"/>
      <w:r w:rsidRPr="00DB5AAF">
        <w:rPr>
          <w:rFonts w:cs="Times New Roman"/>
          <w:i/>
          <w:iCs/>
          <w:lang w:val="fr-CA"/>
        </w:rPr>
        <w:t>Dunsmuir</w:t>
      </w:r>
      <w:proofErr w:type="spellEnd"/>
      <w:r w:rsidRPr="00DB5AAF">
        <w:rPr>
          <w:rFonts w:cs="Times New Roman"/>
          <w:lang w:val="fr-CA"/>
        </w:rPr>
        <w:t>).</w:t>
      </w:r>
    </w:p>
    <w:p w:rsidR="00784AD2" w:rsidRPr="00DB5AAF" w:rsidRDefault="00784AD2" w:rsidP="005C77BD">
      <w:pPr>
        <w:pStyle w:val="ParaNoNdepar-AltN"/>
        <w:rPr>
          <w:rFonts w:cs="Times New Roman"/>
          <w:lang w:val="fr-CA"/>
        </w:rPr>
      </w:pPr>
      <w:r w:rsidRPr="00DB5AAF">
        <w:rPr>
          <w:rFonts w:cs="Times New Roman"/>
          <w:lang w:val="fr-CA"/>
        </w:rPr>
        <w:t>La réglementation économique est un secteur dont le gouverneur en conseil a une connaissance approfondie.  Un pouvoir semblable à celui que confère l</w:t>
      </w:r>
      <w:r>
        <w:rPr>
          <w:rFonts w:cs="Times New Roman"/>
          <w:lang w:val="fr-CA"/>
        </w:rPr>
        <w:t xml:space="preserve">’art. </w:t>
      </w:r>
      <w:r w:rsidRPr="00DB5AAF">
        <w:rPr>
          <w:rFonts w:cs="Times New Roman"/>
          <w:lang w:val="fr-CA"/>
        </w:rPr>
        <w:t xml:space="preserve">40 de la </w:t>
      </w:r>
      <w:r w:rsidRPr="00DB5AAF">
        <w:rPr>
          <w:rFonts w:cs="Times New Roman"/>
          <w:i/>
          <w:lang w:val="fr-CA"/>
        </w:rPr>
        <w:t>Loi</w:t>
      </w:r>
      <w:r w:rsidRPr="00DB5AAF">
        <w:rPr>
          <w:rFonts w:cs="Times New Roman"/>
          <w:lang w:val="fr-CA"/>
        </w:rPr>
        <w:t xml:space="preserve"> </w:t>
      </w:r>
      <w:r w:rsidR="009E7331">
        <w:rPr>
          <w:rFonts w:cs="Times New Roman"/>
          <w:lang w:val="fr-CA"/>
        </w:rPr>
        <w:t>―</w:t>
      </w:r>
      <w:r w:rsidRPr="00DB5AAF">
        <w:rPr>
          <w:rFonts w:cs="Times New Roman"/>
          <w:lang w:val="fr-CA"/>
        </w:rPr>
        <w:t xml:space="preserve"> soit le pouvoir de modifier ou d</w:t>
      </w:r>
      <w:r>
        <w:rPr>
          <w:rFonts w:cs="Times New Roman"/>
          <w:lang w:val="fr-CA"/>
        </w:rPr>
        <w:t>’</w:t>
      </w:r>
      <w:r w:rsidRPr="00DB5AAF">
        <w:rPr>
          <w:rFonts w:cs="Times New Roman"/>
          <w:lang w:val="fr-CA"/>
        </w:rPr>
        <w:t>annuler les décisions d</w:t>
      </w:r>
      <w:r>
        <w:rPr>
          <w:rFonts w:cs="Times New Roman"/>
          <w:lang w:val="fr-CA"/>
        </w:rPr>
        <w:t>’</w:t>
      </w:r>
      <w:r w:rsidRPr="00DB5AAF">
        <w:rPr>
          <w:rFonts w:cs="Times New Roman"/>
          <w:lang w:val="fr-CA"/>
        </w:rPr>
        <w:t>autres organes administratifs</w:t>
      </w:r>
      <w:r w:rsidR="009E7331">
        <w:rPr>
          <w:rFonts w:cs="Times New Roman"/>
          <w:lang w:val="fr-CA"/>
        </w:rPr>
        <w:t xml:space="preserve"> ―</w:t>
      </w:r>
      <w:r w:rsidRPr="00DB5AAF">
        <w:rPr>
          <w:rFonts w:cs="Times New Roman"/>
          <w:lang w:val="fr-CA"/>
        </w:rPr>
        <w:t xml:space="preserve"> figure dans diverses lois fédérales de réglementation économique (</w:t>
      </w:r>
      <w:r w:rsidRPr="00DB5AAF">
        <w:rPr>
          <w:rFonts w:cs="Times New Roman"/>
          <w:i/>
          <w:iCs/>
          <w:lang w:val="fr-CA"/>
        </w:rPr>
        <w:t>Loi sur les télécommunications</w:t>
      </w:r>
      <w:r w:rsidRPr="00DB5AAF">
        <w:rPr>
          <w:rFonts w:cs="Times New Roman"/>
          <w:iCs/>
          <w:lang w:val="fr-CA"/>
        </w:rPr>
        <w:t>,</w:t>
      </w:r>
      <w:r w:rsidRPr="00DB5AAF">
        <w:rPr>
          <w:rFonts w:cs="Times New Roman"/>
          <w:lang w:val="fr-CA"/>
        </w:rPr>
        <w:t xml:space="preserve"> L.C. 1993, </w:t>
      </w:r>
      <w:r>
        <w:rPr>
          <w:rFonts w:cs="Times New Roman"/>
          <w:lang w:val="fr-CA"/>
        </w:rPr>
        <w:t xml:space="preserve">ch. </w:t>
      </w:r>
      <w:r w:rsidRPr="00DB5AAF">
        <w:rPr>
          <w:rFonts w:cs="Times New Roman"/>
          <w:lang w:val="fr-CA"/>
        </w:rPr>
        <w:t xml:space="preserve">38, </w:t>
      </w:r>
      <w:r>
        <w:rPr>
          <w:rFonts w:cs="Times New Roman"/>
          <w:lang w:val="fr-CA"/>
        </w:rPr>
        <w:t xml:space="preserve">art. </w:t>
      </w:r>
      <w:r w:rsidRPr="00DB5AAF">
        <w:rPr>
          <w:rFonts w:cs="Times New Roman"/>
          <w:lang w:val="fr-CA"/>
        </w:rPr>
        <w:t xml:space="preserve">12; </w:t>
      </w:r>
      <w:r w:rsidRPr="00DB5AAF">
        <w:rPr>
          <w:rFonts w:cs="Times New Roman"/>
          <w:i/>
          <w:iCs/>
          <w:lang w:val="fr-CA"/>
        </w:rPr>
        <w:t xml:space="preserve">Loi sur la </w:t>
      </w:r>
      <w:r w:rsidRPr="00DB5AAF">
        <w:rPr>
          <w:rFonts w:cs="Times New Roman"/>
          <w:i/>
          <w:iCs/>
          <w:lang w:val="fr-CA"/>
        </w:rPr>
        <w:lastRenderedPageBreak/>
        <w:t>radiodiffusion</w:t>
      </w:r>
      <w:r w:rsidRPr="00DB5AAF">
        <w:rPr>
          <w:rFonts w:cs="Times New Roman"/>
          <w:iCs/>
          <w:lang w:val="fr-CA"/>
        </w:rPr>
        <w:t>,</w:t>
      </w:r>
      <w:r w:rsidRPr="00DB5AAF">
        <w:rPr>
          <w:rFonts w:cs="Times New Roman"/>
          <w:lang w:val="fr-CA"/>
        </w:rPr>
        <w:t xml:space="preserve"> </w:t>
      </w:r>
      <w:r>
        <w:rPr>
          <w:rFonts w:cs="Times New Roman"/>
          <w:lang w:val="fr-CA"/>
        </w:rPr>
        <w:t xml:space="preserve">art. </w:t>
      </w:r>
      <w:r w:rsidRPr="00DB5AAF">
        <w:rPr>
          <w:rFonts w:cs="Times New Roman"/>
          <w:lang w:val="fr-CA"/>
        </w:rPr>
        <w:t xml:space="preserve">28; </w:t>
      </w:r>
      <w:r w:rsidRPr="00DB5AAF">
        <w:rPr>
          <w:rFonts w:cs="Times New Roman"/>
          <w:i/>
          <w:iCs/>
          <w:lang w:val="fr-CA"/>
        </w:rPr>
        <w:t>Loi maritime du Canada</w:t>
      </w:r>
      <w:r w:rsidRPr="00DB5AAF">
        <w:rPr>
          <w:rFonts w:cs="Times New Roman"/>
          <w:iCs/>
          <w:lang w:val="fr-CA"/>
        </w:rPr>
        <w:t xml:space="preserve">, L.C. 1998, </w:t>
      </w:r>
      <w:r>
        <w:rPr>
          <w:rFonts w:cs="Times New Roman"/>
          <w:iCs/>
          <w:lang w:val="fr-CA"/>
        </w:rPr>
        <w:t xml:space="preserve">ch. </w:t>
      </w:r>
      <w:r w:rsidRPr="00DB5AAF">
        <w:rPr>
          <w:rFonts w:cs="Times New Roman"/>
          <w:iCs/>
          <w:lang w:val="fr-CA"/>
        </w:rPr>
        <w:t>10,</w:t>
      </w:r>
      <w:r w:rsidRPr="00DB5AAF">
        <w:rPr>
          <w:rFonts w:cs="Times New Roman"/>
          <w:lang w:val="fr-CA"/>
        </w:rPr>
        <w:t xml:space="preserve"> </w:t>
      </w:r>
      <w:r>
        <w:rPr>
          <w:rFonts w:cs="Times New Roman"/>
          <w:lang w:val="fr-CA"/>
        </w:rPr>
        <w:t xml:space="preserve">par. </w:t>
      </w:r>
      <w:r w:rsidRPr="00DB5AAF">
        <w:rPr>
          <w:rFonts w:cs="Times New Roman"/>
          <w:lang w:val="fr-CA"/>
        </w:rPr>
        <w:t xml:space="preserve">52(2) et 94(3); </w:t>
      </w:r>
      <w:r w:rsidRPr="00DB5AAF">
        <w:rPr>
          <w:rFonts w:cs="Times New Roman"/>
          <w:i/>
          <w:iCs/>
          <w:lang w:val="fr-CA"/>
        </w:rPr>
        <w:t>Loi sur le pilotage</w:t>
      </w:r>
      <w:r w:rsidRPr="00DB5AAF">
        <w:rPr>
          <w:rFonts w:cs="Times New Roman"/>
          <w:iCs/>
          <w:lang w:val="fr-CA"/>
        </w:rPr>
        <w:t>,</w:t>
      </w:r>
      <w:r w:rsidRPr="00DB5AAF">
        <w:rPr>
          <w:rFonts w:cs="Times New Roman"/>
          <w:lang w:val="fr-CA"/>
        </w:rPr>
        <w:t xml:space="preserve"> L.R.C. 1985, </w:t>
      </w:r>
      <w:r>
        <w:rPr>
          <w:rFonts w:cs="Times New Roman"/>
          <w:lang w:val="fr-CA"/>
        </w:rPr>
        <w:t xml:space="preserve">ch. </w:t>
      </w:r>
      <w:r w:rsidRPr="00DB5AAF">
        <w:rPr>
          <w:rFonts w:cs="Times New Roman"/>
          <w:lang w:val="fr-CA"/>
        </w:rPr>
        <w:t>P</w:t>
      </w:r>
      <w:r>
        <w:rPr>
          <w:rFonts w:cs="Times New Roman"/>
          <w:lang w:val="fr-CA"/>
        </w:rPr>
        <w:t>-</w:t>
      </w:r>
      <w:r w:rsidRPr="00DB5AAF">
        <w:rPr>
          <w:rFonts w:cs="Times New Roman"/>
          <w:lang w:val="fr-CA"/>
        </w:rPr>
        <w:t xml:space="preserve">14, </w:t>
      </w:r>
      <w:r>
        <w:rPr>
          <w:rFonts w:cs="Times New Roman"/>
          <w:lang w:val="fr-CA"/>
        </w:rPr>
        <w:t xml:space="preserve">par. </w:t>
      </w:r>
      <w:r w:rsidRPr="00DB5AAF">
        <w:rPr>
          <w:rFonts w:cs="Times New Roman"/>
          <w:lang w:val="fr-CA"/>
        </w:rPr>
        <w:t xml:space="preserve">35(7); </w:t>
      </w:r>
      <w:r w:rsidRPr="00DB5AAF">
        <w:rPr>
          <w:rFonts w:cs="Times New Roman"/>
          <w:i/>
          <w:iCs/>
          <w:lang w:val="fr-CA"/>
        </w:rPr>
        <w:t>Loi sur les opérations pétrolières au Canada</w:t>
      </w:r>
      <w:r w:rsidRPr="00DB5AAF">
        <w:rPr>
          <w:rFonts w:cs="Times New Roman"/>
          <w:iCs/>
          <w:lang w:val="fr-CA"/>
        </w:rPr>
        <w:t>,</w:t>
      </w:r>
      <w:r w:rsidRPr="00DB5AAF">
        <w:rPr>
          <w:rFonts w:cs="Times New Roman"/>
          <w:lang w:val="fr-CA"/>
        </w:rPr>
        <w:t xml:space="preserve"> L.R.C. 1985, </w:t>
      </w:r>
      <w:r>
        <w:rPr>
          <w:rFonts w:cs="Times New Roman"/>
          <w:lang w:val="fr-CA"/>
        </w:rPr>
        <w:t xml:space="preserve">ch. </w:t>
      </w:r>
      <w:r w:rsidRPr="00DB5AAF">
        <w:rPr>
          <w:rFonts w:cs="Times New Roman"/>
          <w:lang w:val="fr-CA"/>
        </w:rPr>
        <w:t>O</w:t>
      </w:r>
      <w:r>
        <w:rPr>
          <w:rFonts w:cs="Times New Roman"/>
          <w:lang w:val="fr-CA"/>
        </w:rPr>
        <w:t>-</w:t>
      </w:r>
      <w:r w:rsidRPr="00DB5AAF">
        <w:rPr>
          <w:rFonts w:cs="Times New Roman"/>
          <w:lang w:val="fr-CA"/>
        </w:rPr>
        <w:t xml:space="preserve">7, </w:t>
      </w:r>
      <w:r>
        <w:rPr>
          <w:rFonts w:cs="Times New Roman"/>
          <w:lang w:val="fr-CA"/>
        </w:rPr>
        <w:t xml:space="preserve">art. </w:t>
      </w:r>
      <w:r w:rsidRPr="00DB5AAF">
        <w:rPr>
          <w:rFonts w:cs="Times New Roman"/>
          <w:lang w:val="fr-CA"/>
        </w:rPr>
        <w:t>51).  Les questions soulevées dans le cadre de ces lois sont liées par l</w:t>
      </w:r>
      <w:r>
        <w:rPr>
          <w:rFonts w:cs="Times New Roman"/>
          <w:lang w:val="fr-CA"/>
        </w:rPr>
        <w:t>’</w:t>
      </w:r>
      <w:r w:rsidRPr="00DB5AAF">
        <w:rPr>
          <w:rFonts w:cs="Times New Roman"/>
          <w:lang w:val="fr-CA"/>
        </w:rPr>
        <w:t>objet de réglementation économique commun de la législation.  Le regroupement des lois de réglementation économique qui confèrent au gouverneur en conseil le pouvoir de modifier ou d</w:t>
      </w:r>
      <w:r>
        <w:rPr>
          <w:rFonts w:cs="Times New Roman"/>
          <w:lang w:val="fr-CA"/>
        </w:rPr>
        <w:t>’</w:t>
      </w:r>
      <w:r w:rsidRPr="00DB5AAF">
        <w:rPr>
          <w:rFonts w:cs="Times New Roman"/>
          <w:lang w:val="fr-CA"/>
        </w:rPr>
        <w:t>annuler les décisions des tribunaux qui administrent ces lois témoigne de l</w:t>
      </w:r>
      <w:r>
        <w:rPr>
          <w:rFonts w:cs="Times New Roman"/>
          <w:lang w:val="fr-CA"/>
        </w:rPr>
        <w:t>’</w:t>
      </w:r>
      <w:r w:rsidRPr="00DB5AAF">
        <w:rPr>
          <w:rFonts w:cs="Times New Roman"/>
          <w:lang w:val="fr-CA"/>
        </w:rPr>
        <w:t>intention qu</w:t>
      </w:r>
      <w:r>
        <w:rPr>
          <w:rFonts w:cs="Times New Roman"/>
          <w:lang w:val="fr-CA"/>
        </w:rPr>
        <w:t>’</w:t>
      </w:r>
      <w:r w:rsidRPr="00DB5AAF">
        <w:rPr>
          <w:rFonts w:cs="Times New Roman"/>
          <w:lang w:val="fr-CA"/>
        </w:rPr>
        <w:t>avait le législateur de reconnaître au gouverneur en conseil une connaissance approfondie des questions de cette nature.  La norme de la décision raisonnable est donc présumée s</w:t>
      </w:r>
      <w:r>
        <w:rPr>
          <w:rFonts w:cs="Times New Roman"/>
          <w:lang w:val="fr-CA"/>
        </w:rPr>
        <w:t>’</w:t>
      </w:r>
      <w:r w:rsidRPr="00DB5AAF">
        <w:rPr>
          <w:rFonts w:cs="Times New Roman"/>
          <w:lang w:val="fr-CA"/>
        </w:rPr>
        <w:t>appliquer au contrôle des décisions juridictionnelles que rend le gouverneur en conseil en application de l</w:t>
      </w:r>
      <w:r>
        <w:rPr>
          <w:rFonts w:cs="Times New Roman"/>
          <w:lang w:val="fr-CA"/>
        </w:rPr>
        <w:t xml:space="preserve">’art. </w:t>
      </w:r>
      <w:r w:rsidRPr="00DB5AAF">
        <w:rPr>
          <w:rFonts w:cs="Times New Roman"/>
          <w:lang w:val="fr-CA"/>
        </w:rPr>
        <w:t>40.</w:t>
      </w:r>
    </w:p>
    <w:p w:rsidR="00784AD2" w:rsidRPr="00DB5AAF" w:rsidRDefault="00784AD2" w:rsidP="005C77BD">
      <w:pPr>
        <w:pStyle w:val="ParaNoNdepar-AltN"/>
        <w:rPr>
          <w:rFonts w:cs="Times New Roman"/>
          <w:lang w:val="fr-CA"/>
        </w:rPr>
      </w:pPr>
      <w:r w:rsidRPr="00DB5AAF">
        <w:rPr>
          <w:rFonts w:cs="Times New Roman"/>
          <w:lang w:val="fr-CA"/>
        </w:rPr>
        <w:t>Même si cette indication de l</w:t>
      </w:r>
      <w:r>
        <w:rPr>
          <w:rFonts w:cs="Times New Roman"/>
          <w:lang w:val="fr-CA"/>
        </w:rPr>
        <w:t>’</w:t>
      </w:r>
      <w:r w:rsidRPr="00DB5AAF">
        <w:rPr>
          <w:rFonts w:cs="Times New Roman"/>
          <w:lang w:val="fr-CA"/>
        </w:rPr>
        <w:t>intention du législateur suffit pour justifier l</w:t>
      </w:r>
      <w:r>
        <w:rPr>
          <w:rFonts w:cs="Times New Roman"/>
          <w:lang w:val="fr-CA"/>
        </w:rPr>
        <w:t>’</w:t>
      </w:r>
      <w:r w:rsidRPr="00DB5AAF">
        <w:rPr>
          <w:rFonts w:cs="Times New Roman"/>
          <w:lang w:val="fr-CA"/>
        </w:rPr>
        <w:t>application de la norme de la décision raisonnable au contrôle de la décision que le gouverneur en conseil a rendue en l</w:t>
      </w:r>
      <w:r>
        <w:rPr>
          <w:rFonts w:cs="Times New Roman"/>
          <w:lang w:val="fr-CA"/>
        </w:rPr>
        <w:t>’</w:t>
      </w:r>
      <w:r w:rsidRPr="00DB5AAF">
        <w:rPr>
          <w:rFonts w:cs="Times New Roman"/>
          <w:lang w:val="fr-CA"/>
        </w:rPr>
        <w:t>espèce, on trouve un autre appui dans l</w:t>
      </w:r>
      <w:r>
        <w:rPr>
          <w:rFonts w:cs="Times New Roman"/>
          <w:lang w:val="fr-CA"/>
        </w:rPr>
        <w:t>’</w:t>
      </w:r>
      <w:r w:rsidRPr="00DB5AAF">
        <w:rPr>
          <w:rFonts w:cs="Times New Roman"/>
          <w:lang w:val="fr-CA"/>
        </w:rPr>
        <w:t>historique de la participation du gouverneur en conseil à la réglementation des chemins de fer au Canada, un secteur auquel le gouverneur en conseil a toujours été lié de près.  L</w:t>
      </w:r>
      <w:r>
        <w:rPr>
          <w:rFonts w:cs="Times New Roman"/>
          <w:lang w:val="fr-CA"/>
        </w:rPr>
        <w:t>’</w:t>
      </w:r>
      <w:r w:rsidRPr="00DB5AAF">
        <w:rPr>
          <w:rFonts w:cs="Times New Roman"/>
          <w:i/>
          <w:iCs/>
          <w:lang w:val="fr-CA"/>
        </w:rPr>
        <w:t>Acte des chemins de fer,</w:t>
      </w:r>
      <w:r>
        <w:rPr>
          <w:rFonts w:cs="Times New Roman"/>
          <w:i/>
          <w:iCs/>
          <w:lang w:val="fr-CA"/>
        </w:rPr>
        <w:t xml:space="preserve"> </w:t>
      </w:r>
      <w:r w:rsidRPr="00DB5AAF">
        <w:rPr>
          <w:rFonts w:cs="Times New Roman"/>
          <w:i/>
          <w:iCs/>
          <w:lang w:val="fr-CA"/>
        </w:rPr>
        <w:t>1868</w:t>
      </w:r>
      <w:r w:rsidRPr="00DB5AAF">
        <w:rPr>
          <w:rFonts w:cs="Times New Roman"/>
          <w:lang w:val="fr-CA"/>
        </w:rPr>
        <w:t xml:space="preserve"> a été adopté au cours de la première session de la première législature du Dominion.  Cette loi, la première version de la </w:t>
      </w:r>
      <w:r w:rsidRPr="00DB5AAF">
        <w:rPr>
          <w:rFonts w:cs="Times New Roman"/>
          <w:i/>
          <w:lang w:val="fr-CA"/>
        </w:rPr>
        <w:t>Loi</w:t>
      </w:r>
      <w:r w:rsidRPr="00DB5AAF">
        <w:rPr>
          <w:rFonts w:cs="Times New Roman"/>
          <w:lang w:val="fr-CA"/>
        </w:rPr>
        <w:t xml:space="preserve"> actuellement en vigueur, prévoyait que </w:t>
      </w:r>
      <w:r>
        <w:rPr>
          <w:rFonts w:cs="Times New Roman"/>
          <w:lang w:val="fr-CA"/>
        </w:rPr>
        <w:t>« </w:t>
      </w:r>
      <w:r w:rsidRPr="00DB5AAF">
        <w:rPr>
          <w:rFonts w:cs="Times New Roman"/>
          <w:lang w:val="fr-CA"/>
        </w:rPr>
        <w:t>[l]e Gouverneur</w:t>
      </w:r>
      <w:r>
        <w:rPr>
          <w:rFonts w:cs="Times New Roman"/>
          <w:lang w:val="fr-CA"/>
        </w:rPr>
        <w:t>-</w:t>
      </w:r>
      <w:r w:rsidRPr="00DB5AAF">
        <w:rPr>
          <w:rFonts w:cs="Times New Roman"/>
          <w:lang w:val="fr-CA"/>
        </w:rPr>
        <w:t>Général pourra de temps à autre nommer tels membres du conseil privé, au nombre de quatre au moins, qu</w:t>
      </w:r>
      <w:r>
        <w:rPr>
          <w:rFonts w:cs="Times New Roman"/>
          <w:lang w:val="fr-CA"/>
        </w:rPr>
        <w:t>’</w:t>
      </w:r>
      <w:r w:rsidRPr="00DB5AAF">
        <w:rPr>
          <w:rFonts w:cs="Times New Roman"/>
          <w:lang w:val="fr-CA"/>
        </w:rPr>
        <w:t>il jugera convenables, pour former le comité des chemins de fer du conseil privé</w:t>
      </w:r>
      <w:r>
        <w:rPr>
          <w:rFonts w:cs="Times New Roman"/>
          <w:lang w:val="fr-CA"/>
        </w:rPr>
        <w:t> »</w:t>
      </w:r>
      <w:r w:rsidRPr="00DB5AAF">
        <w:rPr>
          <w:rFonts w:cs="Times New Roman"/>
          <w:lang w:val="fr-CA"/>
        </w:rPr>
        <w:t xml:space="preserve"> (</w:t>
      </w:r>
      <w:r>
        <w:rPr>
          <w:rFonts w:cs="Times New Roman"/>
          <w:lang w:val="fr-CA"/>
        </w:rPr>
        <w:t xml:space="preserve">art. </w:t>
      </w:r>
      <w:r w:rsidRPr="00DB5AAF">
        <w:rPr>
          <w:rFonts w:cs="Times New Roman"/>
          <w:lang w:val="fr-CA"/>
        </w:rPr>
        <w:t>23).  Dans des modifications apportées à cette loi en</w:t>
      </w:r>
      <w:r>
        <w:rPr>
          <w:rFonts w:cs="Times New Roman"/>
          <w:lang w:val="fr-CA"/>
        </w:rPr>
        <w:t xml:space="preserve"> </w:t>
      </w:r>
      <w:r w:rsidRPr="00DB5AAF">
        <w:rPr>
          <w:rFonts w:cs="Times New Roman"/>
          <w:lang w:val="fr-CA"/>
        </w:rPr>
        <w:t xml:space="preserve">1888, les pouvoirs du comité des </w:t>
      </w:r>
      <w:r w:rsidRPr="00DB5AAF">
        <w:rPr>
          <w:rFonts w:cs="Times New Roman"/>
          <w:lang w:val="fr-CA"/>
        </w:rPr>
        <w:lastRenderedPageBreak/>
        <w:t>chemins du fer du conseil privé ont été étendus au</w:t>
      </w:r>
      <w:r>
        <w:rPr>
          <w:rFonts w:cs="Times New Roman"/>
          <w:lang w:val="fr-CA"/>
        </w:rPr>
        <w:t>-</w:t>
      </w:r>
      <w:r w:rsidRPr="00DB5AAF">
        <w:rPr>
          <w:rFonts w:cs="Times New Roman"/>
          <w:lang w:val="fr-CA"/>
        </w:rPr>
        <w:t xml:space="preserve">delà des pouvoirs de réglementation de manière à inclure celui de statuer sur les demandes concernant </w:t>
      </w:r>
      <w:r>
        <w:rPr>
          <w:rFonts w:cs="Times New Roman"/>
          <w:lang w:val="fr-CA"/>
        </w:rPr>
        <w:t>« </w:t>
      </w:r>
      <w:r w:rsidRPr="00DB5AAF">
        <w:rPr>
          <w:rFonts w:cs="Times New Roman"/>
          <w:lang w:val="fr-CA"/>
        </w:rPr>
        <w:t>[t]</w:t>
      </w:r>
      <w:proofErr w:type="spellStart"/>
      <w:r w:rsidRPr="00DB5AAF">
        <w:rPr>
          <w:rFonts w:cs="Times New Roman"/>
          <w:lang w:val="fr-CA"/>
        </w:rPr>
        <w:t>oute</w:t>
      </w:r>
      <w:proofErr w:type="spellEnd"/>
      <w:r w:rsidRPr="00DB5AAF">
        <w:rPr>
          <w:rFonts w:cs="Times New Roman"/>
          <w:lang w:val="fr-CA"/>
        </w:rPr>
        <w:t xml:space="preserve"> matière, acte ou chose que le présent acte [.</w:t>
      </w:r>
      <w:r>
        <w:rPr>
          <w:rFonts w:cs="Times New Roman"/>
          <w:lang w:val="fr-CA"/>
        </w:rPr>
        <w:t xml:space="preserve"> </w:t>
      </w:r>
      <w:r w:rsidRPr="00DB5AAF">
        <w:rPr>
          <w:rFonts w:cs="Times New Roman"/>
          <w:lang w:val="fr-CA"/>
        </w:rPr>
        <w:t>.</w:t>
      </w:r>
      <w:r>
        <w:rPr>
          <w:rFonts w:cs="Times New Roman"/>
          <w:lang w:val="fr-CA"/>
        </w:rPr>
        <w:t xml:space="preserve"> </w:t>
      </w:r>
      <w:r w:rsidRPr="00DB5AAF">
        <w:rPr>
          <w:rFonts w:cs="Times New Roman"/>
          <w:lang w:val="fr-CA"/>
        </w:rPr>
        <w:t>.] sanctionne, prescrit ou défend</w:t>
      </w:r>
      <w:r>
        <w:rPr>
          <w:rFonts w:cs="Times New Roman"/>
          <w:lang w:val="fr-CA"/>
        </w:rPr>
        <w:t> »</w:t>
      </w:r>
      <w:r w:rsidRPr="00DB5AAF">
        <w:rPr>
          <w:rFonts w:cs="Times New Roman"/>
          <w:lang w:val="fr-CA"/>
        </w:rPr>
        <w:t xml:space="preserve"> (</w:t>
      </w:r>
      <w:r w:rsidRPr="00DB5AAF">
        <w:rPr>
          <w:rFonts w:cs="Times New Roman"/>
          <w:i/>
          <w:lang w:val="fr-CA"/>
        </w:rPr>
        <w:t>Acte des chemins de fer</w:t>
      </w:r>
      <w:r w:rsidRPr="00DB5AAF">
        <w:rPr>
          <w:rFonts w:cs="Times New Roman"/>
          <w:lang w:val="fr-CA"/>
        </w:rPr>
        <w:t xml:space="preserve">, S.C. 1888, </w:t>
      </w:r>
      <w:r>
        <w:rPr>
          <w:rFonts w:cs="Times New Roman"/>
          <w:lang w:val="fr-CA"/>
        </w:rPr>
        <w:t xml:space="preserve">ch. </w:t>
      </w:r>
      <w:r w:rsidRPr="00DB5AAF">
        <w:rPr>
          <w:rFonts w:cs="Times New Roman"/>
          <w:lang w:val="fr-CA"/>
        </w:rPr>
        <w:t xml:space="preserve">29, </w:t>
      </w:r>
      <w:r>
        <w:rPr>
          <w:rFonts w:cs="Times New Roman"/>
          <w:lang w:val="fr-CA"/>
        </w:rPr>
        <w:t xml:space="preserve">al. </w:t>
      </w:r>
      <w:r w:rsidRPr="00DB5AAF">
        <w:rPr>
          <w:rFonts w:cs="Times New Roman"/>
          <w:lang w:val="fr-CA"/>
        </w:rPr>
        <w:t>11</w:t>
      </w:r>
      <w:r w:rsidRPr="00DB5AAF">
        <w:rPr>
          <w:rFonts w:cs="Times New Roman"/>
          <w:i/>
          <w:lang w:val="fr-CA"/>
        </w:rPr>
        <w:t>r</w:t>
      </w:r>
      <w:r w:rsidRPr="00DB5AAF">
        <w:rPr>
          <w:rFonts w:cs="Times New Roman"/>
          <w:lang w:val="fr-CA"/>
        </w:rPr>
        <w:t>); voir aussi H.</w:t>
      </w:r>
      <w:r>
        <w:rPr>
          <w:rFonts w:cs="Times New Roman"/>
          <w:lang w:val="fr-CA"/>
        </w:rPr>
        <w:t xml:space="preserve"> </w:t>
      </w:r>
      <w:r w:rsidRPr="00DB5AAF">
        <w:rPr>
          <w:rFonts w:cs="Times New Roman"/>
          <w:lang w:val="fr-CA"/>
        </w:rPr>
        <w:t>E.</w:t>
      </w:r>
      <w:r>
        <w:rPr>
          <w:rFonts w:cs="Times New Roman"/>
          <w:lang w:val="fr-CA"/>
        </w:rPr>
        <w:t xml:space="preserve"> </w:t>
      </w:r>
      <w:r w:rsidRPr="00DB5AAF">
        <w:rPr>
          <w:rFonts w:cs="Times New Roman"/>
          <w:lang w:val="fr-CA"/>
        </w:rPr>
        <w:t>B.</w:t>
      </w:r>
      <w:r>
        <w:rPr>
          <w:rFonts w:cs="Times New Roman"/>
          <w:lang w:val="fr-CA"/>
        </w:rPr>
        <w:t xml:space="preserve"> </w:t>
      </w:r>
      <w:proofErr w:type="spellStart"/>
      <w:r w:rsidRPr="00DB5AAF">
        <w:rPr>
          <w:rFonts w:cs="Times New Roman"/>
          <w:lang w:val="fr-CA"/>
        </w:rPr>
        <w:t>Coyne</w:t>
      </w:r>
      <w:proofErr w:type="spellEnd"/>
      <w:r w:rsidRPr="00DB5AAF">
        <w:rPr>
          <w:rFonts w:cs="Times New Roman"/>
          <w:lang w:val="fr-CA"/>
        </w:rPr>
        <w:t xml:space="preserve">, </w:t>
      </w:r>
      <w:r w:rsidRPr="00DB5AAF">
        <w:rPr>
          <w:rFonts w:cs="Times New Roman"/>
          <w:i/>
          <w:lang w:val="fr-CA"/>
        </w:rPr>
        <w:t xml:space="preserve">The </w:t>
      </w:r>
      <w:proofErr w:type="spellStart"/>
      <w:r w:rsidRPr="00DB5AAF">
        <w:rPr>
          <w:rFonts w:cs="Times New Roman"/>
          <w:i/>
          <w:iCs/>
          <w:lang w:val="fr-CA"/>
        </w:rPr>
        <w:t>Railway</w:t>
      </w:r>
      <w:proofErr w:type="spellEnd"/>
      <w:r w:rsidRPr="00DB5AAF">
        <w:rPr>
          <w:rFonts w:cs="Times New Roman"/>
          <w:i/>
          <w:iCs/>
          <w:lang w:val="fr-CA"/>
        </w:rPr>
        <w:t xml:space="preserve"> Law of Canada</w:t>
      </w:r>
      <w:r w:rsidRPr="00DB5AAF">
        <w:rPr>
          <w:rFonts w:cs="Times New Roman"/>
          <w:lang w:val="fr-CA"/>
        </w:rPr>
        <w:t xml:space="preserve"> (1947), </w:t>
      </w:r>
      <w:r>
        <w:rPr>
          <w:rFonts w:cs="Times New Roman"/>
          <w:lang w:val="fr-CA"/>
        </w:rPr>
        <w:t xml:space="preserve">p. </w:t>
      </w:r>
      <w:r w:rsidRPr="00DB5AAF">
        <w:rPr>
          <w:rFonts w:cs="Times New Roman"/>
          <w:lang w:val="fr-CA"/>
        </w:rPr>
        <w:t>vi)</w:t>
      </w:r>
      <w:r w:rsidR="00DE54B2">
        <w:rPr>
          <w:rFonts w:cs="Times New Roman"/>
          <w:lang w:val="fr-CA"/>
        </w:rPr>
        <w:t>.</w:t>
      </w:r>
      <w:r w:rsidRPr="00DB5AAF">
        <w:rPr>
          <w:rFonts w:cs="Times New Roman"/>
          <w:lang w:val="fr-CA"/>
        </w:rPr>
        <w:t xml:space="preserve"> </w:t>
      </w:r>
    </w:p>
    <w:p w:rsidR="00784AD2" w:rsidRPr="00DB5AAF" w:rsidRDefault="00784AD2" w:rsidP="005C77BD">
      <w:pPr>
        <w:pStyle w:val="ParaNoNdepar-AltN"/>
        <w:rPr>
          <w:rFonts w:cs="Times New Roman"/>
          <w:lang w:val="fr-CA"/>
        </w:rPr>
      </w:pPr>
      <w:r w:rsidRPr="00DB5AAF">
        <w:rPr>
          <w:rFonts w:cs="Times New Roman"/>
          <w:lang w:val="fr-CA"/>
        </w:rPr>
        <w:t>Même si la principale compétence administrative sur l</w:t>
      </w:r>
      <w:r>
        <w:rPr>
          <w:rFonts w:cs="Times New Roman"/>
          <w:lang w:val="fr-CA"/>
        </w:rPr>
        <w:t>’</w:t>
      </w:r>
      <w:r w:rsidRPr="00DB5AAF">
        <w:rPr>
          <w:rFonts w:cs="Times New Roman"/>
          <w:i/>
          <w:iCs/>
          <w:lang w:val="fr-CA"/>
        </w:rPr>
        <w:t xml:space="preserve">Acte des chemins de fer </w:t>
      </w:r>
      <w:r w:rsidRPr="00DB5AAF">
        <w:rPr>
          <w:rFonts w:cs="Times New Roman"/>
          <w:lang w:val="fr-CA"/>
        </w:rPr>
        <w:t>a plus tard été déléguée à la Commission des chemins de fer (devenue plus tard l</w:t>
      </w:r>
      <w:r>
        <w:rPr>
          <w:rFonts w:cs="Times New Roman"/>
          <w:lang w:val="fr-CA"/>
        </w:rPr>
        <w:t>’</w:t>
      </w:r>
      <w:r w:rsidRPr="00DB5AAF">
        <w:rPr>
          <w:rFonts w:cs="Times New Roman"/>
          <w:lang w:val="fr-CA"/>
        </w:rPr>
        <w:t>Office) de façon à pouvoir traiter plus efficacement des questions découlant de cette loi, le gouverneur en conseil a conservé un rôle de surveillance (</w:t>
      </w:r>
      <w:r w:rsidRPr="00DB5AAF">
        <w:rPr>
          <w:rFonts w:cs="Times New Roman"/>
          <w:i/>
          <w:iCs/>
          <w:lang w:val="fr-CA"/>
        </w:rPr>
        <w:t>Acte des chemins de fer, 1903</w:t>
      </w:r>
      <w:r w:rsidRPr="00DB5AAF">
        <w:rPr>
          <w:rFonts w:cs="Times New Roman"/>
          <w:lang w:val="fr-CA"/>
        </w:rPr>
        <w:t xml:space="preserve">, S.C. 1903, </w:t>
      </w:r>
      <w:r>
        <w:rPr>
          <w:rFonts w:cs="Times New Roman"/>
          <w:lang w:val="fr-CA"/>
        </w:rPr>
        <w:t xml:space="preserve">ch. </w:t>
      </w:r>
      <w:r w:rsidRPr="00DB5AAF">
        <w:rPr>
          <w:rFonts w:cs="Times New Roman"/>
          <w:lang w:val="fr-CA"/>
        </w:rPr>
        <w:t xml:space="preserve">58; </w:t>
      </w:r>
      <w:proofErr w:type="spellStart"/>
      <w:r w:rsidRPr="00DB5AAF">
        <w:rPr>
          <w:rFonts w:cs="Times New Roman"/>
          <w:lang w:val="fr-CA"/>
        </w:rPr>
        <w:t>Coyne</w:t>
      </w:r>
      <w:proofErr w:type="spellEnd"/>
      <w:r w:rsidRPr="00DB5AAF">
        <w:rPr>
          <w:rFonts w:cs="Times New Roman"/>
          <w:lang w:val="fr-CA"/>
        </w:rPr>
        <w:t xml:space="preserve">, </w:t>
      </w:r>
      <w:r>
        <w:rPr>
          <w:rFonts w:cs="Times New Roman"/>
          <w:lang w:val="fr-CA"/>
        </w:rPr>
        <w:t xml:space="preserve">p. </w:t>
      </w:r>
      <w:r w:rsidRPr="00DB5AAF">
        <w:rPr>
          <w:rFonts w:cs="Times New Roman"/>
          <w:lang w:val="fr-CA"/>
        </w:rPr>
        <w:t>vi</w:t>
      </w:r>
      <w:r>
        <w:rPr>
          <w:rFonts w:cs="Times New Roman"/>
          <w:lang w:val="fr-CA"/>
        </w:rPr>
        <w:t>-</w:t>
      </w:r>
      <w:r w:rsidRPr="00DB5AAF">
        <w:rPr>
          <w:rFonts w:cs="Times New Roman"/>
          <w:lang w:val="fr-CA"/>
        </w:rPr>
        <w:t>vii).  Le long historique de la participation du gouverneur en conseil aux lois et aux politiques en matière de transport démontre qu</w:t>
      </w:r>
      <w:r>
        <w:rPr>
          <w:rFonts w:cs="Times New Roman"/>
          <w:lang w:val="fr-CA"/>
        </w:rPr>
        <w:t>’</w:t>
      </w:r>
      <w:r w:rsidRPr="00DB5AAF">
        <w:rPr>
          <w:rFonts w:cs="Times New Roman"/>
          <w:lang w:val="fr-CA"/>
        </w:rPr>
        <w:t>il s</w:t>
      </w:r>
      <w:r>
        <w:rPr>
          <w:rFonts w:cs="Times New Roman"/>
          <w:lang w:val="fr-CA"/>
        </w:rPr>
        <w:t>’</w:t>
      </w:r>
      <w:r w:rsidRPr="00DB5AAF">
        <w:rPr>
          <w:rFonts w:cs="Times New Roman"/>
          <w:lang w:val="fr-CA"/>
        </w:rPr>
        <w:t>agit là d</w:t>
      </w:r>
      <w:r>
        <w:rPr>
          <w:rFonts w:cs="Times New Roman"/>
          <w:lang w:val="fr-CA"/>
        </w:rPr>
        <w:t>’</w:t>
      </w:r>
      <w:r w:rsidRPr="00DB5AAF">
        <w:rPr>
          <w:rFonts w:cs="Times New Roman"/>
          <w:lang w:val="fr-CA"/>
        </w:rPr>
        <w:t>un secteur lié de près à la fonction d</w:t>
      </w:r>
      <w:r>
        <w:rPr>
          <w:rFonts w:cs="Times New Roman"/>
          <w:lang w:val="fr-CA"/>
        </w:rPr>
        <w:t>’</w:t>
      </w:r>
      <w:r w:rsidRPr="00DB5AAF">
        <w:rPr>
          <w:rFonts w:cs="Times New Roman"/>
          <w:lang w:val="fr-CA"/>
        </w:rPr>
        <w:t>examen du gouverneur en conseil.  Le Parlement a laissé au gouverneur en conseil un rôle important dans ce domaine en lui accordant, à l</w:t>
      </w:r>
      <w:r>
        <w:rPr>
          <w:rFonts w:cs="Times New Roman"/>
          <w:lang w:val="fr-CA"/>
        </w:rPr>
        <w:t xml:space="preserve">’art. </w:t>
      </w:r>
      <w:r w:rsidRPr="00DB5AAF">
        <w:rPr>
          <w:rFonts w:cs="Times New Roman"/>
          <w:lang w:val="fr-CA"/>
        </w:rPr>
        <w:t>40, un vaste pouvoir décisionnel à l</w:t>
      </w:r>
      <w:r>
        <w:rPr>
          <w:rFonts w:cs="Times New Roman"/>
          <w:lang w:val="fr-CA"/>
        </w:rPr>
        <w:t>’</w:t>
      </w:r>
      <w:r w:rsidRPr="00DB5AAF">
        <w:rPr>
          <w:rFonts w:cs="Times New Roman"/>
          <w:lang w:val="fr-CA"/>
        </w:rPr>
        <w:t>égard des arrêtés et des décisions de l</w:t>
      </w:r>
      <w:r>
        <w:rPr>
          <w:rFonts w:cs="Times New Roman"/>
          <w:lang w:val="fr-CA"/>
        </w:rPr>
        <w:t>’</w:t>
      </w:r>
      <w:r w:rsidRPr="00DB5AAF">
        <w:rPr>
          <w:rFonts w:cs="Times New Roman"/>
          <w:lang w:val="fr-CA"/>
        </w:rPr>
        <w:t>Office, y compris ceux qui soulèvent des questions de droit.  Lorsqu</w:t>
      </w:r>
      <w:r>
        <w:rPr>
          <w:rFonts w:cs="Times New Roman"/>
          <w:lang w:val="fr-CA"/>
        </w:rPr>
        <w:t>’</w:t>
      </w:r>
      <w:r w:rsidRPr="00DB5AAF">
        <w:rPr>
          <w:rFonts w:cs="Times New Roman"/>
          <w:lang w:val="fr-CA"/>
        </w:rPr>
        <w:t>il examine des arrêtés et des décisions de l</w:t>
      </w:r>
      <w:r>
        <w:rPr>
          <w:rFonts w:cs="Times New Roman"/>
          <w:lang w:val="fr-CA"/>
        </w:rPr>
        <w:t>’</w:t>
      </w:r>
      <w:r w:rsidRPr="00DB5AAF">
        <w:rPr>
          <w:rFonts w:cs="Times New Roman"/>
          <w:lang w:val="fr-CA"/>
        </w:rPr>
        <w:t>Office aux termes de l</w:t>
      </w:r>
      <w:r>
        <w:rPr>
          <w:rFonts w:cs="Times New Roman"/>
          <w:lang w:val="fr-CA"/>
        </w:rPr>
        <w:t xml:space="preserve">’art. </w:t>
      </w:r>
      <w:r w:rsidRPr="00DB5AAF">
        <w:rPr>
          <w:rFonts w:cs="Times New Roman"/>
          <w:lang w:val="fr-CA"/>
        </w:rPr>
        <w:t>40, le gouverneur en conseil exerce sa fonction d</w:t>
      </w:r>
      <w:r>
        <w:rPr>
          <w:rFonts w:cs="Times New Roman"/>
          <w:lang w:val="fr-CA"/>
        </w:rPr>
        <w:t>’</w:t>
      </w:r>
      <w:r w:rsidRPr="00DB5AAF">
        <w:rPr>
          <w:rFonts w:cs="Times New Roman"/>
          <w:lang w:val="fr-CA"/>
        </w:rPr>
        <w:t>adjudication et tranche de nouveau les questions de fond que l</w:t>
      </w:r>
      <w:r>
        <w:rPr>
          <w:rFonts w:cs="Times New Roman"/>
          <w:lang w:val="fr-CA"/>
        </w:rPr>
        <w:t>’</w:t>
      </w:r>
      <w:r w:rsidRPr="00DB5AAF">
        <w:rPr>
          <w:rFonts w:cs="Times New Roman"/>
          <w:lang w:val="fr-CA"/>
        </w:rPr>
        <w:t>Office avait examinées.  Ainsi, le Parlement a confirmé le rôle que le gouverneur en conseil joue depuis longtemps dans ce domaine.  On peut alors affirmer que le principe selon lequel la déférence est habituellement de mise lorsqu</w:t>
      </w:r>
      <w:r>
        <w:rPr>
          <w:rFonts w:cs="Times New Roman"/>
          <w:lang w:val="fr-CA"/>
        </w:rPr>
        <w:t>’</w:t>
      </w:r>
      <w:r w:rsidRPr="00DB5AAF">
        <w:rPr>
          <w:rFonts w:cs="Times New Roman"/>
          <w:lang w:val="fr-CA"/>
        </w:rPr>
        <w:t>un tribunal administratif interprète une loi liée de près à son mandat et dont il a une connaissance approfondie s</w:t>
      </w:r>
      <w:r>
        <w:rPr>
          <w:rFonts w:cs="Times New Roman"/>
          <w:lang w:val="fr-CA"/>
        </w:rPr>
        <w:t>’</w:t>
      </w:r>
      <w:r w:rsidRPr="00DB5AAF">
        <w:rPr>
          <w:rFonts w:cs="Times New Roman"/>
          <w:lang w:val="fr-CA"/>
        </w:rPr>
        <w:t>applique à la présente affaire.</w:t>
      </w:r>
    </w:p>
    <w:p w:rsidR="00784AD2" w:rsidRPr="00DB5AAF" w:rsidRDefault="00784AD2" w:rsidP="005C77BD">
      <w:pPr>
        <w:pStyle w:val="ParaNoNdepar-AltN"/>
        <w:rPr>
          <w:rFonts w:cs="Times New Roman"/>
          <w:lang w:val="fr-CA"/>
        </w:rPr>
      </w:pPr>
      <w:r w:rsidRPr="00DB5AAF">
        <w:rPr>
          <w:rFonts w:cs="Times New Roman"/>
          <w:lang w:val="fr-CA"/>
        </w:rPr>
        <w:lastRenderedPageBreak/>
        <w:t>La présomption de déférence n</w:t>
      </w:r>
      <w:r>
        <w:rPr>
          <w:rFonts w:cs="Times New Roman"/>
          <w:lang w:val="fr-CA"/>
        </w:rPr>
        <w:t>’</w:t>
      </w:r>
      <w:r w:rsidRPr="00DB5AAF">
        <w:rPr>
          <w:rFonts w:cs="Times New Roman"/>
          <w:lang w:val="fr-CA"/>
        </w:rPr>
        <w:t>est pas réfutée en l</w:t>
      </w:r>
      <w:r>
        <w:rPr>
          <w:rFonts w:cs="Times New Roman"/>
          <w:lang w:val="fr-CA"/>
        </w:rPr>
        <w:t>’</w:t>
      </w:r>
      <w:r w:rsidRPr="00DB5AAF">
        <w:rPr>
          <w:rFonts w:cs="Times New Roman"/>
          <w:lang w:val="fr-CA"/>
        </w:rPr>
        <w:t>espèce.  La question en litige n</w:t>
      </w:r>
      <w:r>
        <w:rPr>
          <w:rFonts w:cs="Times New Roman"/>
          <w:lang w:val="fr-CA"/>
        </w:rPr>
        <w:t>’</w:t>
      </w:r>
      <w:r w:rsidRPr="00DB5AAF">
        <w:rPr>
          <w:rFonts w:cs="Times New Roman"/>
          <w:lang w:val="fr-CA"/>
        </w:rPr>
        <w:t>appartient pas à l</w:t>
      </w:r>
      <w:r>
        <w:rPr>
          <w:rFonts w:cs="Times New Roman"/>
          <w:lang w:val="fr-CA"/>
        </w:rPr>
        <w:t>’</w:t>
      </w:r>
      <w:r w:rsidRPr="00DB5AAF">
        <w:rPr>
          <w:rFonts w:cs="Times New Roman"/>
          <w:lang w:val="fr-CA"/>
        </w:rPr>
        <w:t>une des catégories établies de questions auxquelles s</w:t>
      </w:r>
      <w:r>
        <w:rPr>
          <w:rFonts w:cs="Times New Roman"/>
          <w:lang w:val="fr-CA"/>
        </w:rPr>
        <w:t>’</w:t>
      </w:r>
      <w:r w:rsidRPr="00DB5AAF">
        <w:rPr>
          <w:rFonts w:cs="Times New Roman"/>
          <w:lang w:val="fr-CA"/>
        </w:rPr>
        <w:t>applique la norme de contrôle de la décision correcte.  Dans la présente affaire, il n</w:t>
      </w:r>
      <w:r>
        <w:rPr>
          <w:rFonts w:cs="Times New Roman"/>
          <w:lang w:val="fr-CA"/>
        </w:rPr>
        <w:t>’</w:t>
      </w:r>
      <w:r w:rsidRPr="00DB5AAF">
        <w:rPr>
          <w:rFonts w:cs="Times New Roman"/>
          <w:lang w:val="fr-CA"/>
        </w:rPr>
        <w:t>y a aucune question de constitutionnalité ou de compétence concurrente entre tribunaux administratifs.</w:t>
      </w:r>
    </w:p>
    <w:p w:rsidR="00784AD2" w:rsidRPr="00DB5AAF" w:rsidRDefault="00784AD2" w:rsidP="005C77BD">
      <w:pPr>
        <w:pStyle w:val="ParaNoNdepar-AltN"/>
        <w:rPr>
          <w:rFonts w:cs="Times New Roman"/>
          <w:lang w:val="fr-CA"/>
        </w:rPr>
      </w:pPr>
      <w:r w:rsidRPr="00DB5AAF">
        <w:rPr>
          <w:rFonts w:cs="Times New Roman"/>
          <w:lang w:val="fr-CA"/>
        </w:rPr>
        <w:t>Il ne s</w:t>
      </w:r>
      <w:r>
        <w:rPr>
          <w:rFonts w:cs="Times New Roman"/>
          <w:lang w:val="fr-CA"/>
        </w:rPr>
        <w:t>’</w:t>
      </w:r>
      <w:r w:rsidRPr="00DB5AAF">
        <w:rPr>
          <w:rFonts w:cs="Times New Roman"/>
          <w:lang w:val="fr-CA"/>
        </w:rPr>
        <w:t>agit pas non plus d</w:t>
      </w:r>
      <w:r>
        <w:rPr>
          <w:rFonts w:cs="Times New Roman"/>
          <w:lang w:val="fr-CA"/>
        </w:rPr>
        <w:t>’</w:t>
      </w:r>
      <w:r w:rsidRPr="00DB5AAF">
        <w:rPr>
          <w:rFonts w:cs="Times New Roman"/>
          <w:lang w:val="fr-CA"/>
        </w:rPr>
        <w:t>une question qui revêt une importance capitale pour le système juridique dans son ensemble.  La question en litige concerne l</w:t>
      </w:r>
      <w:r>
        <w:rPr>
          <w:rFonts w:cs="Times New Roman"/>
          <w:lang w:val="fr-CA"/>
        </w:rPr>
        <w:t>’</w:t>
      </w:r>
      <w:r w:rsidRPr="00DB5AAF">
        <w:rPr>
          <w:rFonts w:cs="Times New Roman"/>
          <w:lang w:val="fr-CA"/>
        </w:rPr>
        <w:t>interprétation de l</w:t>
      </w:r>
      <w:r>
        <w:rPr>
          <w:rFonts w:cs="Times New Roman"/>
          <w:lang w:val="fr-CA"/>
        </w:rPr>
        <w:t xml:space="preserve">’art. </w:t>
      </w:r>
      <w:r w:rsidRPr="00DB5AAF">
        <w:rPr>
          <w:rFonts w:cs="Times New Roman"/>
          <w:lang w:val="fr-CA"/>
        </w:rPr>
        <w:t xml:space="preserve">120.1 de la </w:t>
      </w:r>
      <w:r w:rsidRPr="00DB5AAF">
        <w:rPr>
          <w:rFonts w:cs="Times New Roman"/>
          <w:i/>
          <w:lang w:val="fr-CA"/>
        </w:rPr>
        <w:t>Loi</w:t>
      </w:r>
      <w:r w:rsidRPr="00DB5AAF">
        <w:rPr>
          <w:rFonts w:cs="Times New Roman"/>
          <w:lang w:val="fr-CA"/>
        </w:rPr>
        <w:t xml:space="preserve">.  La question est propre à ce régime de réglementation particulier, car elle met en cause des contrats confidentiels prévus par la </w:t>
      </w:r>
      <w:r w:rsidRPr="00DB5AAF">
        <w:rPr>
          <w:rFonts w:cs="Times New Roman"/>
          <w:i/>
          <w:lang w:val="fr-CA"/>
        </w:rPr>
        <w:t>Loi</w:t>
      </w:r>
      <w:r w:rsidRPr="00DB5AAF">
        <w:rPr>
          <w:rFonts w:cs="Times New Roman"/>
          <w:lang w:val="fr-CA"/>
        </w:rPr>
        <w:t xml:space="preserve"> ainsi que la possibilité de recourir à un mécanisme de plaintes qui se limite aux expéditeurs répondant aux conditions que prévoit le </w:t>
      </w:r>
      <w:r>
        <w:rPr>
          <w:rFonts w:cs="Times New Roman"/>
          <w:lang w:val="fr-CA"/>
        </w:rPr>
        <w:t xml:space="preserve">par. </w:t>
      </w:r>
      <w:r w:rsidRPr="00DB5AAF">
        <w:rPr>
          <w:rFonts w:cs="Times New Roman"/>
          <w:lang w:val="fr-CA"/>
        </w:rPr>
        <w:t>120.1(1).  La réponse qui est donnée à la question en litige n</w:t>
      </w:r>
      <w:r>
        <w:rPr>
          <w:rFonts w:cs="Times New Roman"/>
          <w:lang w:val="fr-CA"/>
        </w:rPr>
        <w:t>’</w:t>
      </w:r>
      <w:r w:rsidRPr="00DB5AAF">
        <w:rPr>
          <w:rFonts w:cs="Times New Roman"/>
          <w:lang w:val="fr-CA"/>
        </w:rPr>
        <w:t xml:space="preserve">a valeur de précédent que pour les questions relevant de ce régime législatif. </w:t>
      </w:r>
    </w:p>
    <w:p w:rsidR="00784AD2" w:rsidRPr="00DB5AAF" w:rsidRDefault="00784AD2" w:rsidP="005C77BD">
      <w:pPr>
        <w:pStyle w:val="ParaNoNdepar-AltN"/>
        <w:rPr>
          <w:rFonts w:cs="Times New Roman"/>
          <w:lang w:val="fr-CA"/>
        </w:rPr>
      </w:pPr>
      <w:r w:rsidRPr="00DB5AAF">
        <w:rPr>
          <w:rFonts w:cs="Times New Roman"/>
          <w:lang w:val="fr-CA"/>
        </w:rPr>
        <w:t xml:space="preserve">Dans la mesure où des questions </w:t>
      </w:r>
      <w:r w:rsidRPr="00DB5AAF">
        <w:rPr>
          <w:rFonts w:cs="Times New Roman"/>
          <w:lang w:val="fr-CA" w:eastAsia="en-CA"/>
        </w:rPr>
        <w:t xml:space="preserve">touchant véritablement à la compétence ou à la constitutionnalité </w:t>
      </w:r>
      <w:r w:rsidRPr="00DB5AAF">
        <w:rPr>
          <w:rFonts w:cs="Times New Roman"/>
          <w:lang w:val="fr-CA"/>
        </w:rPr>
        <w:t>se posent en l</w:t>
      </w:r>
      <w:r>
        <w:rPr>
          <w:rFonts w:cs="Times New Roman"/>
          <w:lang w:val="fr-CA"/>
        </w:rPr>
        <w:t>’</w:t>
      </w:r>
      <w:r w:rsidRPr="00DB5AAF">
        <w:rPr>
          <w:rFonts w:cs="Times New Roman"/>
          <w:lang w:val="fr-CA"/>
        </w:rPr>
        <w:t>espèce, la décision du gouverneur en conseil quant à savoir si une partie à un contrat confidentiel peut déposer une plainte en vertu de l</w:t>
      </w:r>
      <w:r>
        <w:rPr>
          <w:rFonts w:cs="Times New Roman"/>
          <w:lang w:val="fr-CA"/>
        </w:rPr>
        <w:t xml:space="preserve">’art. </w:t>
      </w:r>
      <w:r w:rsidRPr="00DB5AAF">
        <w:rPr>
          <w:rFonts w:cs="Times New Roman"/>
          <w:lang w:val="fr-CA"/>
        </w:rPr>
        <w:t>120.1 ne se range pas dans cette catégorie.  Il ne s</w:t>
      </w:r>
      <w:r>
        <w:rPr>
          <w:rFonts w:cs="Times New Roman"/>
          <w:lang w:val="fr-CA"/>
        </w:rPr>
        <w:t>’</w:t>
      </w:r>
      <w:r w:rsidRPr="00DB5AAF">
        <w:rPr>
          <w:rFonts w:cs="Times New Roman"/>
          <w:lang w:val="fr-CA"/>
        </w:rPr>
        <w:t>agit pas d</w:t>
      </w:r>
      <w:r>
        <w:rPr>
          <w:rFonts w:cs="Times New Roman"/>
          <w:lang w:val="fr-CA"/>
        </w:rPr>
        <w:t>’</w:t>
      </w:r>
      <w:r w:rsidRPr="00DB5AAF">
        <w:rPr>
          <w:rFonts w:cs="Times New Roman"/>
          <w:lang w:val="fr-CA"/>
        </w:rPr>
        <w:t>une question qui obligeait le gouverneur en conseil à déterminer expressément si le pouvoir dont le législateur l</w:t>
      </w:r>
      <w:r>
        <w:rPr>
          <w:rFonts w:cs="Times New Roman"/>
          <w:lang w:val="fr-CA"/>
        </w:rPr>
        <w:t>’</w:t>
      </w:r>
      <w:r w:rsidRPr="00DB5AAF">
        <w:rPr>
          <w:rFonts w:cs="Times New Roman"/>
          <w:lang w:val="fr-CA"/>
        </w:rPr>
        <w:t>a investi l</w:t>
      </w:r>
      <w:r>
        <w:rPr>
          <w:rFonts w:cs="Times New Roman"/>
          <w:lang w:val="fr-CA"/>
        </w:rPr>
        <w:t>’</w:t>
      </w:r>
      <w:r w:rsidRPr="00DB5AAF">
        <w:rPr>
          <w:rFonts w:cs="Times New Roman"/>
          <w:lang w:val="fr-CA"/>
        </w:rPr>
        <w:t xml:space="preserve">autorise à trancher la question (voir </w:t>
      </w:r>
      <w:proofErr w:type="spellStart"/>
      <w:r w:rsidRPr="00DB5AAF">
        <w:rPr>
          <w:rFonts w:cs="Times New Roman"/>
          <w:i/>
          <w:lang w:val="fr-CA"/>
        </w:rPr>
        <w:t>Dunsmuir</w:t>
      </w:r>
      <w:proofErr w:type="spellEnd"/>
      <w:r w:rsidRPr="00DB5AAF">
        <w:rPr>
          <w:rFonts w:cs="Times New Roman"/>
          <w:lang w:val="fr-CA"/>
        </w:rPr>
        <w:t xml:space="preserve">, </w:t>
      </w:r>
      <w:r>
        <w:rPr>
          <w:rFonts w:cs="Times New Roman"/>
          <w:lang w:val="fr-CA"/>
        </w:rPr>
        <w:t xml:space="preserve">par. </w:t>
      </w:r>
      <w:r w:rsidRPr="00DB5AAF">
        <w:rPr>
          <w:rFonts w:cs="Times New Roman"/>
          <w:lang w:val="fr-CA"/>
        </w:rPr>
        <w:t>59).  Il s</w:t>
      </w:r>
      <w:r>
        <w:rPr>
          <w:rFonts w:cs="Times New Roman"/>
          <w:lang w:val="fr-CA"/>
        </w:rPr>
        <w:t>’</w:t>
      </w:r>
      <w:r w:rsidRPr="00DB5AAF">
        <w:rPr>
          <w:rFonts w:cs="Times New Roman"/>
          <w:lang w:val="fr-CA"/>
        </w:rPr>
        <w:t>agit plutôt simplement d</w:t>
      </w:r>
      <w:r>
        <w:rPr>
          <w:rFonts w:cs="Times New Roman"/>
          <w:lang w:val="fr-CA"/>
        </w:rPr>
        <w:t>’</w:t>
      </w:r>
      <w:r w:rsidRPr="00DB5AAF">
        <w:rPr>
          <w:rFonts w:cs="Times New Roman"/>
          <w:lang w:val="fr-CA"/>
        </w:rPr>
        <w:t>une question d</w:t>
      </w:r>
      <w:r>
        <w:rPr>
          <w:rFonts w:cs="Times New Roman"/>
          <w:lang w:val="fr-CA"/>
        </w:rPr>
        <w:t>’</w:t>
      </w:r>
      <w:r w:rsidRPr="00DB5AAF">
        <w:rPr>
          <w:rFonts w:cs="Times New Roman"/>
          <w:lang w:val="fr-CA"/>
        </w:rPr>
        <w:t xml:space="preserve">interprétation législative soulevant la question de savoir si certaines parties peuvent se prévaloir du mécanisme de plaintes </w:t>
      </w:r>
      <w:r w:rsidRPr="00DB5AAF">
        <w:rPr>
          <w:rFonts w:cs="Times New Roman"/>
          <w:lang w:val="fr-CA"/>
        </w:rPr>
        <w:lastRenderedPageBreak/>
        <w:t>prévu à l</w:t>
      </w:r>
      <w:r>
        <w:rPr>
          <w:rFonts w:cs="Times New Roman"/>
          <w:lang w:val="fr-CA"/>
        </w:rPr>
        <w:t xml:space="preserve">’art. </w:t>
      </w:r>
      <w:r w:rsidRPr="00DB5AAF">
        <w:rPr>
          <w:rFonts w:cs="Times New Roman"/>
          <w:lang w:val="fr-CA"/>
        </w:rPr>
        <w:t>120.1.  Il ne pouvait donc s</w:t>
      </w:r>
      <w:r>
        <w:rPr>
          <w:rFonts w:cs="Times New Roman"/>
          <w:lang w:val="fr-CA"/>
        </w:rPr>
        <w:t>’</w:t>
      </w:r>
      <w:r w:rsidRPr="00DB5AAF">
        <w:rPr>
          <w:rFonts w:cs="Times New Roman"/>
          <w:lang w:val="fr-CA"/>
        </w:rPr>
        <w:t>agir d</w:t>
      </w:r>
      <w:r>
        <w:rPr>
          <w:rFonts w:cs="Times New Roman"/>
          <w:lang w:val="fr-CA"/>
        </w:rPr>
        <w:t>’</w:t>
      </w:r>
      <w:r w:rsidRPr="00DB5AAF">
        <w:rPr>
          <w:rFonts w:cs="Times New Roman"/>
          <w:lang w:val="fr-CA"/>
        </w:rPr>
        <w:t>une question touchant véritablement la compétence ou la validité du pouvoir du gouverneur en conseil — le décideur qui a pris la décision examinée en l</w:t>
      </w:r>
      <w:r>
        <w:rPr>
          <w:rFonts w:cs="Times New Roman"/>
          <w:lang w:val="fr-CA"/>
        </w:rPr>
        <w:t>’</w:t>
      </w:r>
      <w:r w:rsidRPr="00DB5AAF">
        <w:rPr>
          <w:rFonts w:cs="Times New Roman"/>
          <w:lang w:val="fr-CA"/>
        </w:rPr>
        <w:t xml:space="preserve">espèce. </w:t>
      </w:r>
    </w:p>
    <w:p w:rsidR="00784AD2" w:rsidRPr="00DB5AAF" w:rsidRDefault="00784AD2" w:rsidP="005C77BD">
      <w:pPr>
        <w:pStyle w:val="ParaNoNdepar-AltN"/>
        <w:rPr>
          <w:rFonts w:cs="Times New Roman"/>
          <w:lang w:val="fr-CA"/>
        </w:rPr>
      </w:pPr>
      <w:r w:rsidRPr="00DB5AAF">
        <w:rPr>
          <w:rFonts w:cs="Times New Roman"/>
          <w:lang w:val="fr-CA"/>
        </w:rPr>
        <w:t xml:space="preserve">Dans le cas qui nous occupe, le gouverneur en conseil interprétait la </w:t>
      </w:r>
      <w:r w:rsidRPr="00DB5AAF">
        <w:rPr>
          <w:rFonts w:cs="Times New Roman"/>
          <w:i/>
          <w:lang w:val="fr-CA"/>
        </w:rPr>
        <w:t>Loi</w:t>
      </w:r>
      <w:r w:rsidRPr="00DB5AAF">
        <w:rPr>
          <w:rFonts w:cs="Times New Roman"/>
          <w:lang w:val="fr-CA"/>
        </w:rPr>
        <w:t>, un texte qui est lié de près à sa fonction d</w:t>
      </w:r>
      <w:r>
        <w:rPr>
          <w:rFonts w:cs="Times New Roman"/>
          <w:lang w:val="fr-CA"/>
        </w:rPr>
        <w:t>’</w:t>
      </w:r>
      <w:r w:rsidRPr="00DB5AAF">
        <w:rPr>
          <w:rFonts w:cs="Times New Roman"/>
          <w:lang w:val="fr-CA"/>
        </w:rPr>
        <w:t>examen de la réglementation économique.  Cette question d</w:t>
      </w:r>
      <w:r>
        <w:rPr>
          <w:rFonts w:cs="Times New Roman"/>
          <w:lang w:val="fr-CA"/>
        </w:rPr>
        <w:t>’</w:t>
      </w:r>
      <w:r w:rsidRPr="00DB5AAF">
        <w:rPr>
          <w:rFonts w:cs="Times New Roman"/>
          <w:lang w:val="fr-CA"/>
        </w:rPr>
        <w:t>interprétation législative n</w:t>
      </w:r>
      <w:r>
        <w:rPr>
          <w:rFonts w:cs="Times New Roman"/>
          <w:lang w:val="fr-CA"/>
        </w:rPr>
        <w:t>’</w:t>
      </w:r>
      <w:r w:rsidRPr="00DB5AAF">
        <w:rPr>
          <w:rFonts w:cs="Times New Roman"/>
          <w:lang w:val="fr-CA"/>
        </w:rPr>
        <w:t>appartient à aucune des catégories de questions auxquelles s</w:t>
      </w:r>
      <w:r>
        <w:rPr>
          <w:rFonts w:cs="Times New Roman"/>
          <w:lang w:val="fr-CA"/>
        </w:rPr>
        <w:t>’</w:t>
      </w:r>
      <w:r w:rsidRPr="00DB5AAF">
        <w:rPr>
          <w:rFonts w:cs="Times New Roman"/>
          <w:lang w:val="fr-CA"/>
        </w:rPr>
        <w:t>applique la norme de contrôle de la décision correcte.  Ainsi, la norme de contrôle applicable est celle de la décision raisonnable.</w:t>
      </w:r>
    </w:p>
    <w:p w:rsidR="00784AD2" w:rsidRPr="00DB5AAF" w:rsidRDefault="00784AD2" w:rsidP="005C77BD">
      <w:pPr>
        <w:pStyle w:val="Title2LevelTitre2Niveau"/>
        <w:rPr>
          <w:rFonts w:cs="Times New Roman"/>
          <w:lang w:val="fr-CA"/>
        </w:rPr>
      </w:pPr>
      <w:r w:rsidRPr="00DB5AAF">
        <w:rPr>
          <w:rFonts w:cs="Times New Roman"/>
          <w:lang w:val="fr-CA"/>
        </w:rPr>
        <w:t>Application de la norme de la décision raisonnable à la présente espèce</w:t>
      </w:r>
    </w:p>
    <w:p w:rsidR="00784AD2" w:rsidRPr="00DB5AAF" w:rsidRDefault="00784AD2" w:rsidP="005C77BD">
      <w:pPr>
        <w:pStyle w:val="ParaNoNdepar-AltN"/>
        <w:rPr>
          <w:rFonts w:cs="Times New Roman"/>
          <w:lang w:val="fr-CA"/>
        </w:rPr>
      </w:pPr>
      <w:r w:rsidRPr="00DB5AAF">
        <w:rPr>
          <w:rFonts w:cs="Times New Roman"/>
          <w:lang w:val="fr-CA"/>
        </w:rPr>
        <w:t>Dans la présente affaire, le gouverneur en conseil a conclu qu</w:t>
      </w:r>
      <w:r>
        <w:rPr>
          <w:rFonts w:cs="Times New Roman"/>
          <w:lang w:val="fr-CA"/>
        </w:rPr>
        <w:t>’</w:t>
      </w:r>
      <w:r w:rsidRPr="00DB5AAF">
        <w:rPr>
          <w:rFonts w:cs="Times New Roman"/>
          <w:lang w:val="fr-CA"/>
        </w:rPr>
        <w:t>une partie à un contrat confidentiel pouvait dans certaines circonstances déposer une plainte en vertu de l</w:t>
      </w:r>
      <w:r>
        <w:rPr>
          <w:rFonts w:cs="Times New Roman"/>
          <w:lang w:val="fr-CA"/>
        </w:rPr>
        <w:t xml:space="preserve">’art. </w:t>
      </w:r>
      <w:r w:rsidRPr="00DB5AAF">
        <w:rPr>
          <w:rFonts w:cs="Times New Roman"/>
          <w:lang w:val="fr-CA"/>
        </w:rPr>
        <w:t xml:space="preserve">120.1 de la </w:t>
      </w:r>
      <w:r w:rsidRPr="00DB5AAF">
        <w:rPr>
          <w:rFonts w:cs="Times New Roman"/>
          <w:i/>
          <w:lang w:val="fr-CA"/>
        </w:rPr>
        <w:t>Loi</w:t>
      </w:r>
      <w:r w:rsidRPr="00DB5AAF">
        <w:rPr>
          <w:rFonts w:cs="Times New Roman"/>
          <w:lang w:val="fr-CA"/>
        </w:rPr>
        <w:t xml:space="preserve">.  À mon avis, cette décision était raisonnable. </w:t>
      </w:r>
    </w:p>
    <w:p w:rsidR="00784AD2" w:rsidRPr="00DB5AAF" w:rsidRDefault="00784AD2" w:rsidP="005C77BD">
      <w:pPr>
        <w:pStyle w:val="ParaNoNdepar-AltN"/>
        <w:rPr>
          <w:rFonts w:cs="Times New Roman"/>
          <w:lang w:val="fr-CA"/>
        </w:rPr>
      </w:pPr>
      <w:r w:rsidRPr="00DB5AAF">
        <w:rPr>
          <w:rFonts w:cs="Times New Roman"/>
          <w:lang w:val="fr-CA"/>
        </w:rPr>
        <w:t>Le libellé de l</w:t>
      </w:r>
      <w:r>
        <w:rPr>
          <w:rFonts w:cs="Times New Roman"/>
          <w:lang w:val="fr-CA"/>
        </w:rPr>
        <w:t xml:space="preserve">’art. </w:t>
      </w:r>
      <w:r w:rsidRPr="00DB5AAF">
        <w:rPr>
          <w:rFonts w:cs="Times New Roman"/>
          <w:lang w:val="fr-CA"/>
        </w:rPr>
        <w:t xml:space="preserve">120.1 sert de fondement à la décision du gouverneur en conseil. </w:t>
      </w:r>
      <w:r>
        <w:rPr>
          <w:rFonts w:cs="Times New Roman"/>
          <w:lang w:val="fr-CA"/>
        </w:rPr>
        <w:t xml:space="preserve"> </w:t>
      </w:r>
      <w:r w:rsidRPr="00DB5AAF">
        <w:rPr>
          <w:rFonts w:cs="Times New Roman"/>
          <w:lang w:val="fr-CA"/>
        </w:rPr>
        <w:t xml:space="preserve">Le </w:t>
      </w:r>
      <w:r>
        <w:rPr>
          <w:rFonts w:cs="Times New Roman"/>
          <w:lang w:val="fr-CA"/>
        </w:rPr>
        <w:t>par</w:t>
      </w:r>
      <w:r w:rsidR="009E7331">
        <w:rPr>
          <w:rFonts w:cs="Times New Roman"/>
          <w:lang w:val="fr-CA"/>
        </w:rPr>
        <w:t>agraphe</w:t>
      </w:r>
      <w:r>
        <w:rPr>
          <w:rFonts w:cs="Times New Roman"/>
          <w:lang w:val="fr-CA"/>
        </w:rPr>
        <w:t xml:space="preserve"> </w:t>
      </w:r>
      <w:r w:rsidRPr="00DB5AAF">
        <w:rPr>
          <w:rFonts w:cs="Times New Roman"/>
          <w:lang w:val="fr-CA"/>
        </w:rPr>
        <w:t>120.1(1) énonce les circonstances dans lesquelles l</w:t>
      </w:r>
      <w:r>
        <w:rPr>
          <w:rFonts w:cs="Times New Roman"/>
          <w:lang w:val="fr-CA"/>
        </w:rPr>
        <w:t>’</w:t>
      </w:r>
      <w:r w:rsidRPr="00DB5AAF">
        <w:rPr>
          <w:rFonts w:cs="Times New Roman"/>
          <w:lang w:val="fr-CA"/>
        </w:rPr>
        <w:t>Office peut examiner le caractère raisonnable des frais qu</w:t>
      </w:r>
      <w:r>
        <w:rPr>
          <w:rFonts w:cs="Times New Roman"/>
          <w:lang w:val="fr-CA"/>
        </w:rPr>
        <w:t>’</w:t>
      </w:r>
      <w:r w:rsidRPr="00DB5AAF">
        <w:rPr>
          <w:rFonts w:cs="Times New Roman"/>
          <w:lang w:val="fr-CA"/>
        </w:rPr>
        <w:t>impose une compagnie de chemin de fer</w:t>
      </w:r>
      <w:r>
        <w:rPr>
          <w:rFonts w:cs="Times New Roman"/>
          <w:lang w:val="fr-CA"/>
        </w:rPr>
        <w:t> :</w:t>
      </w:r>
      <w:r w:rsidRPr="00DB5AAF">
        <w:rPr>
          <w:rFonts w:cs="Times New Roman"/>
          <w:lang w:val="fr-CA"/>
        </w:rPr>
        <w:t xml:space="preserve"> l</w:t>
      </w:r>
      <w:r>
        <w:rPr>
          <w:rFonts w:cs="Times New Roman"/>
          <w:lang w:val="fr-CA"/>
        </w:rPr>
        <w:t>’</w:t>
      </w:r>
      <w:r w:rsidRPr="00DB5AAF">
        <w:rPr>
          <w:rFonts w:cs="Times New Roman"/>
          <w:lang w:val="fr-CA"/>
        </w:rPr>
        <w:t>expéditeur qui dépose la plainte doit être assujetti à des frais relatifs au transport et à des services connexes ou des conditions afférentes; les frais doivent figurer dans un tarif; le tarif doit s</w:t>
      </w:r>
      <w:r>
        <w:rPr>
          <w:rFonts w:cs="Times New Roman"/>
          <w:lang w:val="fr-CA"/>
        </w:rPr>
        <w:t>’</w:t>
      </w:r>
      <w:r w:rsidRPr="00DB5AAF">
        <w:rPr>
          <w:rFonts w:cs="Times New Roman"/>
          <w:lang w:val="fr-CA"/>
        </w:rPr>
        <w:t>appliquer à plus d</w:t>
      </w:r>
      <w:r>
        <w:rPr>
          <w:rFonts w:cs="Times New Roman"/>
          <w:lang w:val="fr-CA"/>
        </w:rPr>
        <w:t>’</w:t>
      </w:r>
      <w:r w:rsidRPr="00DB5AAF">
        <w:rPr>
          <w:rFonts w:cs="Times New Roman"/>
          <w:lang w:val="fr-CA"/>
        </w:rPr>
        <w:t xml:space="preserve">un expéditeur; le tarif ne doit pas être visé au </w:t>
      </w:r>
      <w:r>
        <w:rPr>
          <w:rFonts w:cs="Times New Roman"/>
          <w:lang w:val="fr-CA"/>
        </w:rPr>
        <w:t xml:space="preserve">par. </w:t>
      </w:r>
      <w:r w:rsidRPr="00DB5AAF">
        <w:rPr>
          <w:rFonts w:cs="Times New Roman"/>
          <w:lang w:val="fr-CA"/>
        </w:rPr>
        <w:t>165(3) (un tarif découlant d</w:t>
      </w:r>
      <w:r>
        <w:rPr>
          <w:rFonts w:cs="Times New Roman"/>
          <w:lang w:val="fr-CA"/>
        </w:rPr>
        <w:t>’</w:t>
      </w:r>
      <w:r w:rsidRPr="00DB5AAF">
        <w:rPr>
          <w:rFonts w:cs="Times New Roman"/>
          <w:lang w:val="fr-CA"/>
        </w:rPr>
        <w:t>une décision d</w:t>
      </w:r>
      <w:r>
        <w:rPr>
          <w:rFonts w:cs="Times New Roman"/>
          <w:lang w:val="fr-CA"/>
        </w:rPr>
        <w:t>’</w:t>
      </w:r>
      <w:r w:rsidRPr="00DB5AAF">
        <w:rPr>
          <w:rFonts w:cs="Times New Roman"/>
          <w:lang w:val="fr-CA"/>
        </w:rPr>
        <w:t>un arbitre).  Comme l</w:t>
      </w:r>
      <w:r>
        <w:rPr>
          <w:rFonts w:cs="Times New Roman"/>
          <w:lang w:val="fr-CA"/>
        </w:rPr>
        <w:t>’</w:t>
      </w:r>
      <w:r w:rsidRPr="00DB5AAF">
        <w:rPr>
          <w:rFonts w:cs="Times New Roman"/>
          <w:lang w:val="fr-CA"/>
        </w:rPr>
        <w:t xml:space="preserve">a fait remarquer le gouverneur en conseil, PRC remplissait toutes ces conditions.  </w:t>
      </w:r>
      <w:r w:rsidRPr="00DB5AAF">
        <w:rPr>
          <w:rFonts w:cs="Times New Roman"/>
          <w:lang w:val="fr-CA"/>
        </w:rPr>
        <w:lastRenderedPageBreak/>
        <w:t>Cela étant, le seul facteur qui empêche PRC de déposer une plainte en vertu de l</w:t>
      </w:r>
      <w:r>
        <w:rPr>
          <w:rFonts w:cs="Times New Roman"/>
          <w:lang w:val="fr-CA"/>
        </w:rPr>
        <w:t xml:space="preserve">’art. </w:t>
      </w:r>
      <w:r w:rsidRPr="00DB5AAF">
        <w:rPr>
          <w:rFonts w:cs="Times New Roman"/>
          <w:lang w:val="fr-CA"/>
        </w:rPr>
        <w:t>120.1 est l</w:t>
      </w:r>
      <w:r>
        <w:rPr>
          <w:rFonts w:cs="Times New Roman"/>
          <w:lang w:val="fr-CA"/>
        </w:rPr>
        <w:t>’</w:t>
      </w:r>
      <w:r w:rsidRPr="00DB5AAF">
        <w:rPr>
          <w:rFonts w:cs="Times New Roman"/>
          <w:lang w:val="fr-CA"/>
        </w:rPr>
        <w:t>existence d</w:t>
      </w:r>
      <w:r>
        <w:rPr>
          <w:rFonts w:cs="Times New Roman"/>
          <w:lang w:val="fr-CA"/>
        </w:rPr>
        <w:t>’</w:t>
      </w:r>
      <w:r w:rsidRPr="00DB5AAF">
        <w:rPr>
          <w:rFonts w:cs="Times New Roman"/>
          <w:lang w:val="fr-CA"/>
        </w:rPr>
        <w:t xml:space="preserve">un contrat confidentiel entre elle et le CN. </w:t>
      </w:r>
    </w:p>
    <w:p w:rsidR="00784AD2" w:rsidRPr="00DB5AAF" w:rsidRDefault="00784AD2" w:rsidP="005C77BD">
      <w:pPr>
        <w:pStyle w:val="ParaNoNdepar-AltN"/>
        <w:rPr>
          <w:rFonts w:cs="Times New Roman"/>
          <w:lang w:val="fr-CA"/>
        </w:rPr>
      </w:pPr>
      <w:r w:rsidRPr="00DB5AAF">
        <w:rPr>
          <w:rFonts w:cs="Times New Roman"/>
          <w:lang w:val="fr-CA"/>
        </w:rPr>
        <w:t>Le gouverneur en conseil a conclu que, même s</w:t>
      </w:r>
      <w:r>
        <w:rPr>
          <w:rFonts w:cs="Times New Roman"/>
          <w:lang w:val="fr-CA"/>
        </w:rPr>
        <w:t>’</w:t>
      </w:r>
      <w:r w:rsidRPr="00DB5AAF">
        <w:rPr>
          <w:rFonts w:cs="Times New Roman"/>
          <w:lang w:val="fr-CA"/>
        </w:rPr>
        <w:t>il y a lieu de tenir compte des modalités d</w:t>
      </w:r>
      <w:r>
        <w:rPr>
          <w:rFonts w:cs="Times New Roman"/>
          <w:lang w:val="fr-CA"/>
        </w:rPr>
        <w:t>’</w:t>
      </w:r>
      <w:r w:rsidRPr="00DB5AAF">
        <w:rPr>
          <w:rFonts w:cs="Times New Roman"/>
          <w:lang w:val="fr-CA"/>
        </w:rPr>
        <w:t>un contrat confidentiel pour répondre à la question de savoir si PRC peut bénéficier d</w:t>
      </w:r>
      <w:r>
        <w:rPr>
          <w:rFonts w:cs="Times New Roman"/>
          <w:lang w:val="fr-CA"/>
        </w:rPr>
        <w:t>’</w:t>
      </w:r>
      <w:r w:rsidRPr="00DB5AAF">
        <w:rPr>
          <w:rFonts w:cs="Times New Roman"/>
          <w:lang w:val="fr-CA"/>
        </w:rPr>
        <w:t>un arrêté de l</w:t>
      </w:r>
      <w:r>
        <w:rPr>
          <w:rFonts w:cs="Times New Roman"/>
          <w:lang w:val="fr-CA"/>
        </w:rPr>
        <w:t>’</w:t>
      </w:r>
      <w:r w:rsidRPr="00DB5AAF">
        <w:rPr>
          <w:rFonts w:cs="Times New Roman"/>
          <w:lang w:val="fr-CA"/>
        </w:rPr>
        <w:t>Office, l</w:t>
      </w:r>
      <w:r>
        <w:rPr>
          <w:rFonts w:cs="Times New Roman"/>
          <w:lang w:val="fr-CA"/>
        </w:rPr>
        <w:t>’</w:t>
      </w:r>
      <w:r w:rsidRPr="00DB5AAF">
        <w:rPr>
          <w:rFonts w:cs="Times New Roman"/>
          <w:lang w:val="fr-CA"/>
        </w:rPr>
        <w:t>existence d</w:t>
      </w:r>
      <w:r>
        <w:rPr>
          <w:rFonts w:cs="Times New Roman"/>
          <w:lang w:val="fr-CA"/>
        </w:rPr>
        <w:t>’</w:t>
      </w:r>
      <w:r w:rsidRPr="00DB5AAF">
        <w:rPr>
          <w:rFonts w:cs="Times New Roman"/>
          <w:lang w:val="fr-CA"/>
        </w:rPr>
        <w:t>un contrat confidentiel n</w:t>
      </w:r>
      <w:r>
        <w:rPr>
          <w:rFonts w:cs="Times New Roman"/>
          <w:lang w:val="fr-CA"/>
        </w:rPr>
        <w:t>’</w:t>
      </w:r>
      <w:r w:rsidRPr="00DB5AAF">
        <w:rPr>
          <w:rFonts w:cs="Times New Roman"/>
          <w:lang w:val="fr-CA"/>
        </w:rPr>
        <w:t xml:space="preserve">empêche pas un expéditeur de demander un examen du caractère raisonnable des frais en vertu du </w:t>
      </w:r>
      <w:r>
        <w:rPr>
          <w:rFonts w:cs="Times New Roman"/>
          <w:lang w:val="fr-CA"/>
        </w:rPr>
        <w:t xml:space="preserve">par. </w:t>
      </w:r>
      <w:r w:rsidRPr="00DB5AAF">
        <w:rPr>
          <w:rFonts w:cs="Times New Roman"/>
          <w:lang w:val="fr-CA"/>
        </w:rPr>
        <w:t xml:space="preserve">120.1(1).  Cette conclusion concorde avec les dispositions de la </w:t>
      </w:r>
      <w:r w:rsidRPr="00DB5AAF">
        <w:rPr>
          <w:rFonts w:cs="Times New Roman"/>
          <w:i/>
          <w:lang w:val="fr-CA"/>
        </w:rPr>
        <w:t>Loi</w:t>
      </w:r>
      <w:r w:rsidRPr="00DB5AAF">
        <w:rPr>
          <w:rFonts w:cs="Times New Roman"/>
          <w:lang w:val="fr-CA"/>
        </w:rPr>
        <w:t>, lesquelles n</w:t>
      </w:r>
      <w:r>
        <w:rPr>
          <w:rFonts w:cs="Times New Roman"/>
          <w:lang w:val="fr-CA"/>
        </w:rPr>
        <w:t>’</w:t>
      </w:r>
      <w:r w:rsidRPr="00DB5AAF">
        <w:rPr>
          <w:rFonts w:cs="Times New Roman"/>
          <w:lang w:val="fr-CA"/>
        </w:rPr>
        <w:t>empêchent pas l</w:t>
      </w:r>
      <w:r>
        <w:rPr>
          <w:rFonts w:cs="Times New Roman"/>
          <w:lang w:val="fr-CA"/>
        </w:rPr>
        <w:t>’</w:t>
      </w:r>
      <w:r w:rsidRPr="00DB5AAF">
        <w:rPr>
          <w:rFonts w:cs="Times New Roman"/>
          <w:lang w:val="fr-CA"/>
        </w:rPr>
        <w:t>Office d</w:t>
      </w:r>
      <w:r>
        <w:rPr>
          <w:rFonts w:cs="Times New Roman"/>
          <w:lang w:val="fr-CA"/>
        </w:rPr>
        <w:t>’</w:t>
      </w:r>
      <w:r w:rsidRPr="00DB5AAF">
        <w:rPr>
          <w:rFonts w:cs="Times New Roman"/>
          <w:lang w:val="fr-CA"/>
        </w:rPr>
        <w:t>examiner le caractère raisonnable des frais que contient un tarif applicable à plus d</w:t>
      </w:r>
      <w:r>
        <w:rPr>
          <w:rFonts w:cs="Times New Roman"/>
          <w:lang w:val="fr-CA"/>
        </w:rPr>
        <w:t>’</w:t>
      </w:r>
      <w:r w:rsidRPr="00DB5AAF">
        <w:rPr>
          <w:rFonts w:cs="Times New Roman"/>
          <w:lang w:val="fr-CA"/>
        </w:rPr>
        <w:t>un expéditeur, que le tarif soit ou non incorporé par renvoi dans un contrat confidentiel.  En l</w:t>
      </w:r>
      <w:r>
        <w:rPr>
          <w:rFonts w:cs="Times New Roman"/>
          <w:lang w:val="fr-CA"/>
        </w:rPr>
        <w:t>’</w:t>
      </w:r>
      <w:r w:rsidRPr="00DB5AAF">
        <w:rPr>
          <w:rFonts w:cs="Times New Roman"/>
          <w:lang w:val="fr-CA"/>
        </w:rPr>
        <w:t>espèce, il n</w:t>
      </w:r>
      <w:r>
        <w:rPr>
          <w:rFonts w:cs="Times New Roman"/>
          <w:lang w:val="fr-CA"/>
        </w:rPr>
        <w:t>’</w:t>
      </w:r>
      <w:r w:rsidRPr="00DB5AAF">
        <w:rPr>
          <w:rFonts w:cs="Times New Roman"/>
          <w:lang w:val="fr-CA"/>
        </w:rPr>
        <w:t>y avait pas non plus de preuve que les parties avaient tenté d</w:t>
      </w:r>
      <w:r>
        <w:rPr>
          <w:rFonts w:cs="Times New Roman"/>
          <w:lang w:val="fr-CA"/>
        </w:rPr>
        <w:t>’</w:t>
      </w:r>
      <w:r w:rsidRPr="00DB5AAF">
        <w:rPr>
          <w:rFonts w:cs="Times New Roman"/>
          <w:lang w:val="fr-CA"/>
        </w:rPr>
        <w:t>écarter par contrat la réparation qu</w:t>
      </w:r>
      <w:r>
        <w:rPr>
          <w:rFonts w:cs="Times New Roman"/>
          <w:lang w:val="fr-CA"/>
        </w:rPr>
        <w:t>’</w:t>
      </w:r>
      <w:r w:rsidRPr="00DB5AAF">
        <w:rPr>
          <w:rFonts w:cs="Times New Roman"/>
          <w:lang w:val="fr-CA"/>
        </w:rPr>
        <w:t>offre l</w:t>
      </w:r>
      <w:r>
        <w:rPr>
          <w:rFonts w:cs="Times New Roman"/>
          <w:lang w:val="fr-CA"/>
        </w:rPr>
        <w:t xml:space="preserve">’art. </w:t>
      </w:r>
      <w:r w:rsidRPr="00DB5AAF">
        <w:rPr>
          <w:rFonts w:cs="Times New Roman"/>
          <w:lang w:val="fr-CA"/>
        </w:rPr>
        <w:t>120.1, pas plus qu</w:t>
      </w:r>
      <w:r>
        <w:rPr>
          <w:rFonts w:cs="Times New Roman"/>
          <w:lang w:val="fr-CA"/>
        </w:rPr>
        <w:t>’</w:t>
      </w:r>
      <w:r w:rsidRPr="00DB5AAF">
        <w:rPr>
          <w:rFonts w:cs="Times New Roman"/>
          <w:lang w:val="fr-CA"/>
        </w:rPr>
        <w:t>il n</w:t>
      </w:r>
      <w:r>
        <w:rPr>
          <w:rFonts w:cs="Times New Roman"/>
          <w:lang w:val="fr-CA"/>
        </w:rPr>
        <w:t>’</w:t>
      </w:r>
      <w:r w:rsidRPr="00DB5AAF">
        <w:rPr>
          <w:rFonts w:cs="Times New Roman"/>
          <w:lang w:val="fr-CA"/>
        </w:rPr>
        <w:t>est nécessaire en l</w:t>
      </w:r>
      <w:r>
        <w:rPr>
          <w:rFonts w:cs="Times New Roman"/>
          <w:lang w:val="fr-CA"/>
        </w:rPr>
        <w:t>’</w:t>
      </w:r>
      <w:r w:rsidRPr="00DB5AAF">
        <w:rPr>
          <w:rFonts w:cs="Times New Roman"/>
          <w:lang w:val="fr-CA"/>
        </w:rPr>
        <w:t>espèce de décider si un expéditeur pourrait écarter par contrat un recours ouvert par l</w:t>
      </w:r>
      <w:r>
        <w:rPr>
          <w:rFonts w:cs="Times New Roman"/>
          <w:lang w:val="fr-CA"/>
        </w:rPr>
        <w:t xml:space="preserve">’art. </w:t>
      </w:r>
      <w:r w:rsidRPr="00DB5AAF">
        <w:rPr>
          <w:rFonts w:cs="Times New Roman"/>
          <w:lang w:val="fr-CA"/>
        </w:rPr>
        <w:t>120.1.  Également, le gouverneur en conseil n</w:t>
      </w:r>
      <w:r>
        <w:rPr>
          <w:rFonts w:cs="Times New Roman"/>
          <w:lang w:val="fr-CA"/>
        </w:rPr>
        <w:t>’</w:t>
      </w:r>
      <w:r w:rsidRPr="00DB5AAF">
        <w:rPr>
          <w:rFonts w:cs="Times New Roman"/>
          <w:lang w:val="fr-CA"/>
        </w:rPr>
        <w:t>a pas décidé si P</w:t>
      </w:r>
      <w:r w:rsidR="009E7331" w:rsidRPr="00DB5AAF">
        <w:rPr>
          <w:rFonts w:cs="Times New Roman"/>
          <w:lang w:val="fr-CA"/>
        </w:rPr>
        <w:t>R</w:t>
      </w:r>
      <w:r w:rsidRPr="00DB5AAF">
        <w:rPr>
          <w:rFonts w:cs="Times New Roman"/>
          <w:lang w:val="fr-CA"/>
        </w:rPr>
        <w:t>C pouvait bénéficier d</w:t>
      </w:r>
      <w:r>
        <w:rPr>
          <w:rFonts w:cs="Times New Roman"/>
          <w:lang w:val="fr-CA"/>
        </w:rPr>
        <w:t>’</w:t>
      </w:r>
      <w:r w:rsidRPr="00DB5AAF">
        <w:rPr>
          <w:rFonts w:cs="Times New Roman"/>
          <w:lang w:val="fr-CA"/>
        </w:rPr>
        <w:t>une modification du tarif, et cette question reste en suspens.</w:t>
      </w:r>
    </w:p>
    <w:p w:rsidR="00784AD2" w:rsidRPr="00DB5AAF" w:rsidRDefault="00784AD2" w:rsidP="005C77BD">
      <w:pPr>
        <w:pStyle w:val="ParaNoNdepar-AltN"/>
        <w:rPr>
          <w:rFonts w:cs="Times New Roman"/>
          <w:lang w:val="fr-CA"/>
        </w:rPr>
      </w:pPr>
      <w:r w:rsidRPr="00DB5AAF">
        <w:rPr>
          <w:rFonts w:cs="Times New Roman"/>
          <w:lang w:val="fr-CA"/>
        </w:rPr>
        <w:t>L</w:t>
      </w:r>
      <w:r>
        <w:rPr>
          <w:rFonts w:cs="Times New Roman"/>
          <w:lang w:val="fr-CA"/>
        </w:rPr>
        <w:t>’</w:t>
      </w:r>
      <w:r w:rsidRPr="00DB5AAF">
        <w:rPr>
          <w:rFonts w:cs="Times New Roman"/>
          <w:lang w:val="fr-CA"/>
        </w:rPr>
        <w:t xml:space="preserve">interprétation du </w:t>
      </w:r>
      <w:r>
        <w:rPr>
          <w:rFonts w:cs="Times New Roman"/>
          <w:lang w:val="fr-CA"/>
        </w:rPr>
        <w:t xml:space="preserve">par. </w:t>
      </w:r>
      <w:r w:rsidRPr="00DB5AAF">
        <w:rPr>
          <w:rFonts w:cs="Times New Roman"/>
          <w:lang w:val="fr-CA"/>
        </w:rPr>
        <w:t>120.1(1) par le gouverneur en conseil s</w:t>
      </w:r>
      <w:r>
        <w:rPr>
          <w:rFonts w:cs="Times New Roman"/>
          <w:lang w:val="fr-CA"/>
        </w:rPr>
        <w:t>’</w:t>
      </w:r>
      <w:r w:rsidRPr="00DB5AAF">
        <w:rPr>
          <w:rFonts w:cs="Times New Roman"/>
          <w:lang w:val="fr-CA"/>
        </w:rPr>
        <w:t>appuie également sur une interprétation raisonnable de l</w:t>
      </w:r>
      <w:r>
        <w:rPr>
          <w:rFonts w:cs="Times New Roman"/>
          <w:lang w:val="fr-CA"/>
        </w:rPr>
        <w:t>’</w:t>
      </w:r>
      <w:r w:rsidRPr="00DB5AAF">
        <w:rPr>
          <w:rFonts w:cs="Times New Roman"/>
          <w:lang w:val="fr-CA"/>
        </w:rPr>
        <w:t>objet de cette disposition.  Le gouverneur en conseil pouvait conclure qu</w:t>
      </w:r>
      <w:r>
        <w:rPr>
          <w:rFonts w:cs="Times New Roman"/>
          <w:lang w:val="fr-CA"/>
        </w:rPr>
        <w:t>’</w:t>
      </w:r>
      <w:r w:rsidRPr="00DB5AAF">
        <w:rPr>
          <w:rFonts w:cs="Times New Roman"/>
          <w:lang w:val="fr-CA"/>
        </w:rPr>
        <w:t xml:space="preserve">en incluant ce mécanisme des plaintes dans la </w:t>
      </w:r>
      <w:r w:rsidRPr="00DB5AAF">
        <w:rPr>
          <w:rFonts w:cs="Times New Roman"/>
          <w:i/>
          <w:lang w:val="fr-CA"/>
        </w:rPr>
        <w:t>Loi</w:t>
      </w:r>
      <w:r w:rsidRPr="00DB5AAF">
        <w:rPr>
          <w:rFonts w:cs="Times New Roman"/>
          <w:lang w:val="fr-CA"/>
        </w:rPr>
        <w:t>, le législateur avait l</w:t>
      </w:r>
      <w:r>
        <w:rPr>
          <w:rFonts w:cs="Times New Roman"/>
          <w:lang w:val="fr-CA"/>
        </w:rPr>
        <w:t>’</w:t>
      </w:r>
      <w:r w:rsidRPr="00DB5AAF">
        <w:rPr>
          <w:rFonts w:cs="Times New Roman"/>
          <w:lang w:val="fr-CA"/>
        </w:rPr>
        <w:t>intention de rééquilibrer le cadre législatif en faveur des expéditeurs au sein d</w:t>
      </w:r>
      <w:r>
        <w:rPr>
          <w:rFonts w:cs="Times New Roman"/>
          <w:lang w:val="fr-CA"/>
        </w:rPr>
        <w:t>’</w:t>
      </w:r>
      <w:r w:rsidRPr="00DB5AAF">
        <w:rPr>
          <w:rFonts w:cs="Times New Roman"/>
          <w:lang w:val="fr-CA"/>
        </w:rPr>
        <w:t>une industrie dans laquelle les compagnies de chemin de fer peuvent bénéficier d</w:t>
      </w:r>
      <w:r>
        <w:rPr>
          <w:rFonts w:cs="Times New Roman"/>
          <w:lang w:val="fr-CA"/>
        </w:rPr>
        <w:t>’</w:t>
      </w:r>
      <w:r w:rsidRPr="00DB5AAF">
        <w:rPr>
          <w:rFonts w:cs="Times New Roman"/>
          <w:lang w:val="fr-CA"/>
        </w:rPr>
        <w:t xml:space="preserve">une puissance commerciale.  Nous ne déterminons pas en </w:t>
      </w:r>
      <w:r w:rsidRPr="00DB5AAF">
        <w:rPr>
          <w:rFonts w:cs="Times New Roman"/>
          <w:lang w:val="fr-CA"/>
        </w:rPr>
        <w:lastRenderedPageBreak/>
        <w:t>l</w:t>
      </w:r>
      <w:r>
        <w:rPr>
          <w:rFonts w:cs="Times New Roman"/>
          <w:lang w:val="fr-CA"/>
        </w:rPr>
        <w:t>’</w:t>
      </w:r>
      <w:r w:rsidRPr="00DB5AAF">
        <w:rPr>
          <w:rFonts w:cs="Times New Roman"/>
          <w:lang w:val="fr-CA"/>
        </w:rPr>
        <w:t>espèce si le contrat confidentiel passé entre PRC et le CN empêcherait PRC de bénéficier d</w:t>
      </w:r>
      <w:r>
        <w:rPr>
          <w:rFonts w:cs="Times New Roman"/>
          <w:lang w:val="fr-CA"/>
        </w:rPr>
        <w:t>’</w:t>
      </w:r>
      <w:r w:rsidRPr="00DB5AAF">
        <w:rPr>
          <w:rFonts w:cs="Times New Roman"/>
          <w:lang w:val="fr-CA"/>
        </w:rPr>
        <w:t>une réparation ordonnée par l</w:t>
      </w:r>
      <w:r>
        <w:rPr>
          <w:rFonts w:cs="Times New Roman"/>
          <w:lang w:val="fr-CA"/>
        </w:rPr>
        <w:t>’</w:t>
      </w:r>
      <w:r w:rsidRPr="00DB5AAF">
        <w:rPr>
          <w:rFonts w:cs="Times New Roman"/>
          <w:lang w:val="fr-CA"/>
        </w:rPr>
        <w:t>Office en vertu de l</w:t>
      </w:r>
      <w:r>
        <w:rPr>
          <w:rFonts w:cs="Times New Roman"/>
          <w:lang w:val="fr-CA"/>
        </w:rPr>
        <w:t xml:space="preserve">’art. </w:t>
      </w:r>
      <w:r w:rsidRPr="00DB5AAF">
        <w:rPr>
          <w:rFonts w:cs="Times New Roman"/>
          <w:lang w:val="fr-CA"/>
        </w:rPr>
        <w:t xml:space="preserve">120.1 ou si un supplément carburant basé sur le millage parcouru constitue un prix relatif au transport au sens du </w:t>
      </w:r>
      <w:r>
        <w:rPr>
          <w:rFonts w:cs="Times New Roman"/>
          <w:lang w:val="fr-CA"/>
        </w:rPr>
        <w:t xml:space="preserve">par. </w:t>
      </w:r>
      <w:r w:rsidRPr="00DB5AAF">
        <w:rPr>
          <w:rFonts w:cs="Times New Roman"/>
          <w:lang w:val="fr-CA"/>
        </w:rPr>
        <w:t>120.1(7).  Toutefois, la preuve indiquait au gouverneur en conseil que les contrats confidentiels sont la norme au sein de l</w:t>
      </w:r>
      <w:r>
        <w:rPr>
          <w:rFonts w:cs="Times New Roman"/>
          <w:lang w:val="fr-CA"/>
        </w:rPr>
        <w:t>’</w:t>
      </w:r>
      <w:r w:rsidRPr="00DB5AAF">
        <w:rPr>
          <w:rFonts w:cs="Times New Roman"/>
          <w:lang w:val="fr-CA"/>
        </w:rPr>
        <w:t>industrie (requête de l</w:t>
      </w:r>
      <w:r>
        <w:rPr>
          <w:rFonts w:cs="Times New Roman"/>
          <w:lang w:val="fr-CA"/>
        </w:rPr>
        <w:t>’</w:t>
      </w:r>
      <w:r w:rsidRPr="00DB5AAF">
        <w:rPr>
          <w:rFonts w:cs="Times New Roman"/>
          <w:lang w:val="fr-CA"/>
        </w:rPr>
        <w:t xml:space="preserve">ACTI au gouverneur en conseil, </w:t>
      </w:r>
      <w:r>
        <w:rPr>
          <w:rFonts w:cs="Times New Roman"/>
          <w:lang w:val="fr-CA"/>
        </w:rPr>
        <w:t xml:space="preserve">par. </w:t>
      </w:r>
      <w:r w:rsidRPr="00DB5AAF">
        <w:rPr>
          <w:rFonts w:cs="Times New Roman"/>
          <w:lang w:val="fr-CA"/>
        </w:rPr>
        <w:t>27</w:t>
      </w:r>
      <w:r w:rsidR="009E7331">
        <w:rPr>
          <w:rFonts w:cs="Times New Roman"/>
          <w:lang w:val="fr-CA"/>
        </w:rPr>
        <w:t>,</w:t>
      </w:r>
      <w:r w:rsidRPr="00DB5AAF">
        <w:rPr>
          <w:rFonts w:cs="Times New Roman"/>
          <w:lang w:val="fr-CA"/>
        </w:rPr>
        <w:t xml:space="preserve"> citée dans les motifs de la Cour d</w:t>
      </w:r>
      <w:r>
        <w:rPr>
          <w:rFonts w:cs="Times New Roman"/>
          <w:lang w:val="fr-CA"/>
        </w:rPr>
        <w:t>’</w:t>
      </w:r>
      <w:r w:rsidRPr="00DB5AAF">
        <w:rPr>
          <w:rFonts w:cs="Times New Roman"/>
          <w:lang w:val="fr-CA"/>
        </w:rPr>
        <w:t xml:space="preserve">appel fédérale, </w:t>
      </w:r>
      <w:r>
        <w:rPr>
          <w:rFonts w:cs="Times New Roman"/>
          <w:lang w:val="fr-CA"/>
        </w:rPr>
        <w:t xml:space="preserve">par. </w:t>
      </w:r>
      <w:r w:rsidRPr="00DB5AAF">
        <w:rPr>
          <w:rFonts w:cs="Times New Roman"/>
          <w:lang w:val="fr-CA"/>
        </w:rPr>
        <w:t>38).  En conséquence, sans décider si, dans un cas donné, un contrat confidentiel pourrait priver un expéditeur d</w:t>
      </w:r>
      <w:r>
        <w:rPr>
          <w:rFonts w:cs="Times New Roman"/>
          <w:lang w:val="fr-CA"/>
        </w:rPr>
        <w:t>’</w:t>
      </w:r>
      <w:r w:rsidRPr="00DB5AAF">
        <w:rPr>
          <w:rFonts w:cs="Times New Roman"/>
          <w:lang w:val="fr-CA"/>
        </w:rPr>
        <w:t>un recours prévu à l</w:t>
      </w:r>
      <w:r>
        <w:rPr>
          <w:rFonts w:cs="Times New Roman"/>
          <w:lang w:val="fr-CA"/>
        </w:rPr>
        <w:t xml:space="preserve">’art. </w:t>
      </w:r>
      <w:r w:rsidRPr="00DB5AAF">
        <w:rPr>
          <w:rFonts w:cs="Times New Roman"/>
          <w:lang w:val="fr-CA"/>
        </w:rPr>
        <w:t>120.1, l</w:t>
      </w:r>
      <w:r>
        <w:rPr>
          <w:rFonts w:cs="Times New Roman"/>
          <w:lang w:val="fr-CA"/>
        </w:rPr>
        <w:t>’</w:t>
      </w:r>
      <w:r w:rsidRPr="00DB5AAF">
        <w:rPr>
          <w:rFonts w:cs="Times New Roman"/>
          <w:lang w:val="fr-CA"/>
        </w:rPr>
        <w:t>interprétation de l</w:t>
      </w:r>
      <w:r>
        <w:rPr>
          <w:rFonts w:cs="Times New Roman"/>
          <w:lang w:val="fr-CA"/>
        </w:rPr>
        <w:t xml:space="preserve">’art. </w:t>
      </w:r>
      <w:r w:rsidRPr="00DB5AAF">
        <w:rPr>
          <w:rFonts w:cs="Times New Roman"/>
          <w:lang w:val="fr-CA"/>
        </w:rPr>
        <w:t>120.1 donnée par le gouverneur en conseil était raisonnable.  Il est raisonnable de conclure que le fait de laisser aux parties à des contrats confidentiels l</w:t>
      </w:r>
      <w:r>
        <w:rPr>
          <w:rFonts w:cs="Times New Roman"/>
          <w:lang w:val="fr-CA"/>
        </w:rPr>
        <w:t>’</w:t>
      </w:r>
      <w:r w:rsidRPr="00DB5AAF">
        <w:rPr>
          <w:rFonts w:cs="Times New Roman"/>
          <w:lang w:val="fr-CA"/>
        </w:rPr>
        <w:t>accès au mécanisme des plaintes prévu à l</w:t>
      </w:r>
      <w:r>
        <w:rPr>
          <w:rFonts w:cs="Times New Roman"/>
          <w:lang w:val="fr-CA"/>
        </w:rPr>
        <w:t xml:space="preserve">’art. </w:t>
      </w:r>
      <w:r w:rsidRPr="00DB5AAF">
        <w:rPr>
          <w:rFonts w:cs="Times New Roman"/>
          <w:lang w:val="fr-CA"/>
        </w:rPr>
        <w:t>120.1 serait conforme à l</w:t>
      </w:r>
      <w:r>
        <w:rPr>
          <w:rFonts w:cs="Times New Roman"/>
          <w:lang w:val="fr-CA"/>
        </w:rPr>
        <w:t>’</w:t>
      </w:r>
      <w:r w:rsidRPr="00DB5AAF">
        <w:rPr>
          <w:rFonts w:cs="Times New Roman"/>
          <w:lang w:val="fr-CA"/>
        </w:rPr>
        <w:t>intention du législateur, qui est d</w:t>
      </w:r>
      <w:r>
        <w:rPr>
          <w:rFonts w:cs="Times New Roman"/>
          <w:lang w:val="fr-CA"/>
        </w:rPr>
        <w:t>’</w:t>
      </w:r>
      <w:r w:rsidRPr="00DB5AAF">
        <w:rPr>
          <w:rFonts w:cs="Times New Roman"/>
          <w:lang w:val="fr-CA"/>
        </w:rPr>
        <w:t xml:space="preserve">offrir une certaine protection aux expéditeurs. </w:t>
      </w:r>
    </w:p>
    <w:p w:rsidR="00784AD2" w:rsidRPr="00DB5AAF" w:rsidRDefault="00784AD2" w:rsidP="005C77BD">
      <w:pPr>
        <w:pStyle w:val="ParaNoNdepar-AltN"/>
        <w:rPr>
          <w:rFonts w:cs="Times New Roman"/>
          <w:lang w:val="fr-CA"/>
        </w:rPr>
      </w:pPr>
      <w:r w:rsidRPr="00DB5AAF">
        <w:rPr>
          <w:rFonts w:cs="Times New Roman"/>
          <w:lang w:val="fr-CA"/>
        </w:rPr>
        <w:t xml:space="preserve">La décision du gouverneur en conseil est étayée par les faits ainsi que par le libellé du </w:t>
      </w:r>
      <w:r>
        <w:rPr>
          <w:rFonts w:cs="Times New Roman"/>
          <w:lang w:val="fr-CA"/>
        </w:rPr>
        <w:t xml:space="preserve">par. </w:t>
      </w:r>
      <w:r w:rsidRPr="00DB5AAF">
        <w:rPr>
          <w:rFonts w:cs="Times New Roman"/>
          <w:lang w:val="fr-CA"/>
        </w:rPr>
        <w:t>120.1(1), et elle concorde avec l</w:t>
      </w:r>
      <w:r>
        <w:rPr>
          <w:rFonts w:cs="Times New Roman"/>
          <w:lang w:val="fr-CA"/>
        </w:rPr>
        <w:t>’</w:t>
      </w:r>
      <w:r w:rsidRPr="00DB5AAF">
        <w:rPr>
          <w:rFonts w:cs="Times New Roman"/>
          <w:lang w:val="fr-CA"/>
        </w:rPr>
        <w:t>intention du législateur.  La décision du gouverneur en conseil était raisonnable.</w:t>
      </w:r>
    </w:p>
    <w:p w:rsidR="00784AD2" w:rsidRPr="00DB5AAF" w:rsidRDefault="00784AD2" w:rsidP="005C77BD">
      <w:pPr>
        <w:pStyle w:val="Title2LevelTitre2Niveau"/>
        <w:rPr>
          <w:rFonts w:cs="Times New Roman"/>
          <w:lang w:val="fr-CA"/>
        </w:rPr>
      </w:pPr>
      <w:r w:rsidRPr="00DB5AAF">
        <w:rPr>
          <w:rFonts w:cs="Times New Roman"/>
          <w:lang w:val="fr-CA"/>
        </w:rPr>
        <w:t>Le prix relatif au transport</w:t>
      </w:r>
    </w:p>
    <w:p w:rsidR="00784AD2" w:rsidRPr="00DB5AAF" w:rsidRDefault="00784AD2" w:rsidP="005C77BD">
      <w:pPr>
        <w:pStyle w:val="ParaNoNdepar-AltN"/>
        <w:rPr>
          <w:rFonts w:cs="Times New Roman"/>
          <w:lang w:val="fr-CA"/>
        </w:rPr>
      </w:pPr>
      <w:r w:rsidRPr="00DB5AAF">
        <w:rPr>
          <w:rFonts w:cs="Times New Roman"/>
          <w:lang w:val="fr-CA"/>
        </w:rPr>
        <w:t>Je conviens avec la Cour d</w:t>
      </w:r>
      <w:r>
        <w:rPr>
          <w:rFonts w:cs="Times New Roman"/>
          <w:lang w:val="fr-CA"/>
        </w:rPr>
        <w:t>’</w:t>
      </w:r>
      <w:r w:rsidRPr="00DB5AAF">
        <w:rPr>
          <w:rFonts w:cs="Times New Roman"/>
          <w:lang w:val="fr-CA"/>
        </w:rPr>
        <w:t>appel fédérale qu</w:t>
      </w:r>
      <w:r>
        <w:rPr>
          <w:rFonts w:cs="Times New Roman"/>
          <w:lang w:val="fr-CA"/>
        </w:rPr>
        <w:t>’</w:t>
      </w:r>
      <w:r w:rsidRPr="00DB5AAF">
        <w:rPr>
          <w:rFonts w:cs="Times New Roman"/>
          <w:lang w:val="fr-CA"/>
        </w:rPr>
        <w:t>étant donné que l</w:t>
      </w:r>
      <w:r>
        <w:rPr>
          <w:rFonts w:cs="Times New Roman"/>
          <w:lang w:val="fr-CA"/>
        </w:rPr>
        <w:t>’</w:t>
      </w:r>
      <w:r w:rsidRPr="00DB5AAF">
        <w:rPr>
          <w:rFonts w:cs="Times New Roman"/>
          <w:lang w:val="fr-CA"/>
        </w:rPr>
        <w:t>Office n</w:t>
      </w:r>
      <w:r>
        <w:rPr>
          <w:rFonts w:cs="Times New Roman"/>
          <w:lang w:val="fr-CA"/>
        </w:rPr>
        <w:t>’</w:t>
      </w:r>
      <w:r w:rsidRPr="00DB5AAF">
        <w:rPr>
          <w:rFonts w:cs="Times New Roman"/>
          <w:lang w:val="fr-CA"/>
        </w:rPr>
        <w:t xml:space="preserve">a pas examiné la question de savoir si le supplément carburant est un élément du </w:t>
      </w:r>
      <w:r>
        <w:rPr>
          <w:rFonts w:cs="Times New Roman"/>
          <w:lang w:val="fr-CA"/>
        </w:rPr>
        <w:t>« </w:t>
      </w:r>
      <w:r w:rsidRPr="00DB5AAF">
        <w:rPr>
          <w:rFonts w:cs="Times New Roman"/>
          <w:lang w:val="fr-CA"/>
        </w:rPr>
        <w:t xml:space="preserve">prix </w:t>
      </w:r>
      <w:proofErr w:type="spellStart"/>
      <w:r w:rsidRPr="00DB5AAF">
        <w:rPr>
          <w:rFonts w:cs="Times New Roman"/>
          <w:lang w:val="fr-CA"/>
        </w:rPr>
        <w:t>relati</w:t>
      </w:r>
      <w:proofErr w:type="spellEnd"/>
      <w:r w:rsidR="009E7331">
        <w:rPr>
          <w:rFonts w:cs="Times New Roman"/>
          <w:lang w:val="fr-CA"/>
        </w:rPr>
        <w:t>[</w:t>
      </w:r>
      <w:r w:rsidRPr="00DB5AAF">
        <w:rPr>
          <w:rFonts w:cs="Times New Roman"/>
          <w:lang w:val="fr-CA"/>
        </w:rPr>
        <w:t>f</w:t>
      </w:r>
      <w:r w:rsidR="009E7331">
        <w:rPr>
          <w:rFonts w:cs="Times New Roman"/>
          <w:lang w:val="fr-CA"/>
        </w:rPr>
        <w:t>]</w:t>
      </w:r>
      <w:r w:rsidRPr="00DB5AAF">
        <w:rPr>
          <w:rFonts w:cs="Times New Roman"/>
          <w:lang w:val="fr-CA"/>
        </w:rPr>
        <w:t xml:space="preserve"> au transport</w:t>
      </w:r>
      <w:r>
        <w:rPr>
          <w:rFonts w:cs="Times New Roman"/>
          <w:lang w:val="fr-CA"/>
        </w:rPr>
        <w:t> »</w:t>
      </w:r>
      <w:r w:rsidRPr="00DB5AAF">
        <w:rPr>
          <w:rFonts w:cs="Times New Roman"/>
          <w:lang w:val="fr-CA"/>
        </w:rPr>
        <w:t xml:space="preserve"> au sens du </w:t>
      </w:r>
      <w:r>
        <w:rPr>
          <w:rFonts w:cs="Times New Roman"/>
          <w:lang w:val="fr-CA"/>
        </w:rPr>
        <w:t xml:space="preserve">par. </w:t>
      </w:r>
      <w:r w:rsidRPr="00DB5AAF">
        <w:rPr>
          <w:rFonts w:cs="Times New Roman"/>
          <w:lang w:val="fr-CA"/>
        </w:rPr>
        <w:t>120.1(7) et que le gouverneur en conseil n</w:t>
      </w:r>
      <w:r>
        <w:rPr>
          <w:rFonts w:cs="Times New Roman"/>
          <w:lang w:val="fr-CA"/>
        </w:rPr>
        <w:t>’</w:t>
      </w:r>
      <w:r w:rsidRPr="00DB5AAF">
        <w:rPr>
          <w:rFonts w:cs="Times New Roman"/>
          <w:lang w:val="fr-CA"/>
        </w:rPr>
        <w:t>a pas tiré de conclusion à cet égard, l</w:t>
      </w:r>
      <w:r>
        <w:rPr>
          <w:rFonts w:cs="Times New Roman"/>
          <w:lang w:val="fr-CA"/>
        </w:rPr>
        <w:t>’</w:t>
      </w:r>
      <w:r w:rsidRPr="00DB5AAF">
        <w:rPr>
          <w:rFonts w:cs="Times New Roman"/>
          <w:lang w:val="fr-CA"/>
        </w:rPr>
        <w:t xml:space="preserve">Office demeure saisi de cette question (voir les motifs </w:t>
      </w:r>
      <w:r w:rsidRPr="00DB5AAF">
        <w:rPr>
          <w:rFonts w:cs="Times New Roman"/>
          <w:lang w:val="fr-CA"/>
        </w:rPr>
        <w:lastRenderedPageBreak/>
        <w:t>de la Cour d</w:t>
      </w:r>
      <w:r>
        <w:rPr>
          <w:rFonts w:cs="Times New Roman"/>
          <w:lang w:val="fr-CA"/>
        </w:rPr>
        <w:t>’</w:t>
      </w:r>
      <w:r w:rsidRPr="00DB5AAF">
        <w:rPr>
          <w:rFonts w:cs="Times New Roman"/>
          <w:lang w:val="fr-CA"/>
        </w:rPr>
        <w:t xml:space="preserve">appel fédérale, </w:t>
      </w:r>
      <w:r>
        <w:rPr>
          <w:rFonts w:cs="Times New Roman"/>
          <w:lang w:val="fr-CA"/>
        </w:rPr>
        <w:t xml:space="preserve">par. </w:t>
      </w:r>
      <w:r w:rsidRPr="00DB5AAF">
        <w:rPr>
          <w:rFonts w:cs="Times New Roman"/>
          <w:lang w:val="fr-CA"/>
        </w:rPr>
        <w:t>52</w:t>
      </w:r>
      <w:r>
        <w:rPr>
          <w:rFonts w:cs="Times New Roman"/>
          <w:lang w:val="fr-CA"/>
        </w:rPr>
        <w:t>-</w:t>
      </w:r>
      <w:r w:rsidRPr="00DB5AAF">
        <w:rPr>
          <w:rFonts w:cs="Times New Roman"/>
          <w:lang w:val="fr-CA"/>
        </w:rPr>
        <w:t>56). Il relève du pouvoir de l</w:t>
      </w:r>
      <w:r>
        <w:rPr>
          <w:rFonts w:cs="Times New Roman"/>
          <w:lang w:val="fr-CA"/>
        </w:rPr>
        <w:t>’</w:t>
      </w:r>
      <w:r w:rsidRPr="00DB5AAF">
        <w:rPr>
          <w:rFonts w:cs="Times New Roman"/>
          <w:lang w:val="fr-CA"/>
        </w:rPr>
        <w:t>Office de trancher cette question et il lui est toujours loisible de le faire.</w:t>
      </w:r>
    </w:p>
    <w:p w:rsidR="00784AD2" w:rsidRPr="00DB5AAF" w:rsidRDefault="00784AD2" w:rsidP="005C77BD">
      <w:pPr>
        <w:pStyle w:val="Title1LevelTitre1Niveau-AltL"/>
        <w:numPr>
          <w:ilvl w:val="0"/>
          <w:numId w:val="30"/>
        </w:numPr>
        <w:rPr>
          <w:rFonts w:cs="Times New Roman"/>
          <w:lang w:val="fr-CA"/>
        </w:rPr>
      </w:pPr>
      <w:r w:rsidRPr="00DB5AAF">
        <w:rPr>
          <w:rFonts w:cs="Times New Roman"/>
          <w:lang w:val="fr-CA"/>
        </w:rPr>
        <w:t>Conclusion</w:t>
      </w:r>
    </w:p>
    <w:p w:rsidR="00784AD2" w:rsidRPr="00784AD2" w:rsidRDefault="00784AD2" w:rsidP="005C77BD">
      <w:pPr>
        <w:pStyle w:val="ParaNoNdepar-AltN"/>
        <w:rPr>
          <w:rFonts w:cs="Times New Roman"/>
          <w:lang w:val="fr-CA"/>
        </w:rPr>
      </w:pPr>
      <w:r w:rsidRPr="00784AD2">
        <w:rPr>
          <w:rFonts w:cs="Times New Roman"/>
          <w:lang w:val="fr-CA"/>
        </w:rPr>
        <w:t xml:space="preserve">Je suis d’avis de rejeter le pourvoi avec dépens en faveur du procureur général du Canada, et avec dépens en faveur de PRC et l’ACTI sur la base d’un seul mémoire de frais. </w:t>
      </w:r>
    </w:p>
    <w:p w:rsidR="00784AD2" w:rsidRPr="00DB5AAF" w:rsidRDefault="00784AD2" w:rsidP="005C77BD">
      <w:pPr>
        <w:spacing w:after="720"/>
        <w:jc w:val="center"/>
        <w:rPr>
          <w:b/>
          <w:lang w:val="fr-CA"/>
        </w:rPr>
      </w:pPr>
      <w:r w:rsidRPr="00DB5AAF">
        <w:rPr>
          <w:b/>
          <w:lang w:val="fr-CA"/>
        </w:rPr>
        <w:t>ANNEXE</w:t>
      </w:r>
    </w:p>
    <w:p w:rsidR="00784AD2" w:rsidRPr="00DB5AAF" w:rsidRDefault="00784AD2" w:rsidP="005C77BD">
      <w:pPr>
        <w:pStyle w:val="Citation-AltC"/>
        <w:spacing w:after="240"/>
        <w:ind w:left="0"/>
        <w:contextualSpacing w:val="0"/>
        <w:rPr>
          <w:lang w:val="fr-CA"/>
        </w:rPr>
      </w:pPr>
      <w:r w:rsidRPr="00DB5AAF">
        <w:rPr>
          <w:i/>
          <w:iCs/>
          <w:lang w:val="fr-CA"/>
        </w:rPr>
        <w:t>Loi sur les transports au Canada</w:t>
      </w:r>
      <w:r w:rsidRPr="00DB5AAF">
        <w:rPr>
          <w:lang w:val="fr-CA"/>
        </w:rPr>
        <w:t xml:space="preserve">, L.C. 1996, </w:t>
      </w:r>
      <w:r>
        <w:rPr>
          <w:lang w:val="fr-CA"/>
        </w:rPr>
        <w:t xml:space="preserve">ch. </w:t>
      </w:r>
      <w:r w:rsidRPr="00DB5AAF">
        <w:rPr>
          <w:lang w:val="fr-CA"/>
        </w:rPr>
        <w:t>10</w:t>
      </w:r>
    </w:p>
    <w:p w:rsidR="00784AD2" w:rsidRPr="00DB5AAF" w:rsidRDefault="00784AD2" w:rsidP="005C77BD">
      <w:pPr>
        <w:pStyle w:val="Citation-AltC"/>
        <w:spacing w:after="240"/>
        <w:ind w:firstLine="274"/>
        <w:contextualSpacing w:val="0"/>
        <w:rPr>
          <w:lang w:val="fr-CA"/>
        </w:rPr>
      </w:pPr>
      <w:r w:rsidRPr="00DB5AAF">
        <w:rPr>
          <w:b/>
          <w:bCs/>
          <w:lang w:val="fr-CA"/>
        </w:rPr>
        <w:t>40.</w:t>
      </w:r>
      <w:r>
        <w:rPr>
          <w:lang w:val="fr-CA"/>
        </w:rPr>
        <w:t xml:space="preserve">  </w:t>
      </w:r>
      <w:r w:rsidRPr="00DB5AAF">
        <w:rPr>
          <w:lang w:val="fr-CA"/>
        </w:rPr>
        <w:t>Le gouverneur en conseil peut modifier ou annuler les décisions, arrêtés, règles ou règlements de l</w:t>
      </w:r>
      <w:r>
        <w:rPr>
          <w:lang w:val="fr-CA"/>
        </w:rPr>
        <w:t>’</w:t>
      </w:r>
      <w:r w:rsidRPr="00DB5AAF">
        <w:rPr>
          <w:lang w:val="fr-CA"/>
        </w:rPr>
        <w:t>Office soit à la requête d</w:t>
      </w:r>
      <w:r>
        <w:rPr>
          <w:lang w:val="fr-CA"/>
        </w:rPr>
        <w:t>’</w:t>
      </w:r>
      <w:r w:rsidRPr="00DB5AAF">
        <w:rPr>
          <w:lang w:val="fr-CA"/>
        </w:rPr>
        <w:t>une partie ou d</w:t>
      </w:r>
      <w:r>
        <w:rPr>
          <w:lang w:val="fr-CA"/>
        </w:rPr>
        <w:t>’</w:t>
      </w:r>
      <w:r w:rsidRPr="00DB5AAF">
        <w:rPr>
          <w:lang w:val="fr-CA"/>
        </w:rPr>
        <w:t>un intéressé, soit de sa propre initiative; il importe peu que ces décisions ou arrêtés aient été pris en présence des parties ou non et que les règles ou règlements soient d</w:t>
      </w:r>
      <w:r>
        <w:rPr>
          <w:lang w:val="fr-CA"/>
        </w:rPr>
        <w:t>’</w:t>
      </w:r>
      <w:r w:rsidRPr="00DB5AAF">
        <w:rPr>
          <w:lang w:val="fr-CA"/>
        </w:rPr>
        <w:t>application générale ou particulière. Les décrets du gouverneur en conseil en cette matière lient l</w:t>
      </w:r>
      <w:r>
        <w:rPr>
          <w:lang w:val="fr-CA"/>
        </w:rPr>
        <w:t>’</w:t>
      </w:r>
      <w:r w:rsidRPr="00DB5AAF">
        <w:rPr>
          <w:lang w:val="fr-CA"/>
        </w:rPr>
        <w:t>Office et toutes les parties.</w:t>
      </w:r>
    </w:p>
    <w:p w:rsidR="00784AD2" w:rsidRPr="00DB5AAF" w:rsidRDefault="00784AD2" w:rsidP="005C77BD">
      <w:pPr>
        <w:pStyle w:val="Citation-AltC"/>
        <w:spacing w:after="240"/>
        <w:ind w:firstLine="274"/>
        <w:contextualSpacing w:val="0"/>
        <w:rPr>
          <w:lang w:val="fr-CA"/>
        </w:rPr>
      </w:pPr>
      <w:r w:rsidRPr="00DB5AAF">
        <w:rPr>
          <w:b/>
          <w:bCs/>
          <w:lang w:val="fr-CA"/>
        </w:rPr>
        <w:t>41.</w:t>
      </w:r>
      <w:r>
        <w:rPr>
          <w:b/>
          <w:bCs/>
          <w:lang w:val="fr-CA"/>
        </w:rPr>
        <w:t xml:space="preserve"> </w:t>
      </w:r>
      <w:r w:rsidRPr="00DB5AAF">
        <w:rPr>
          <w:bCs/>
          <w:lang w:val="fr-CA"/>
        </w:rPr>
        <w:t>(1)</w:t>
      </w:r>
      <w:r>
        <w:rPr>
          <w:bCs/>
          <w:lang w:val="fr-CA"/>
        </w:rPr>
        <w:t xml:space="preserve">  </w:t>
      </w:r>
      <w:r w:rsidRPr="00DB5AAF">
        <w:rPr>
          <w:lang w:val="fr-CA"/>
        </w:rPr>
        <w:t>Tout acte — décision, arrêté, règle ou règlement — de l</w:t>
      </w:r>
      <w:r>
        <w:rPr>
          <w:lang w:val="fr-CA"/>
        </w:rPr>
        <w:t>’</w:t>
      </w:r>
      <w:r w:rsidRPr="00DB5AAF">
        <w:rPr>
          <w:lang w:val="fr-CA"/>
        </w:rPr>
        <w:t>Office est susceptible d</w:t>
      </w:r>
      <w:r>
        <w:rPr>
          <w:lang w:val="fr-CA"/>
        </w:rPr>
        <w:t>’</w:t>
      </w:r>
      <w:r w:rsidRPr="00DB5AAF">
        <w:rPr>
          <w:lang w:val="fr-CA"/>
        </w:rPr>
        <w:t>appel devant la Cour d</w:t>
      </w:r>
      <w:r>
        <w:rPr>
          <w:lang w:val="fr-CA"/>
        </w:rPr>
        <w:t>’</w:t>
      </w:r>
      <w:r w:rsidRPr="00DB5AAF">
        <w:rPr>
          <w:lang w:val="fr-CA"/>
        </w:rPr>
        <w:t>appel fédérale sur une question de droit ou de compétence, avec l</w:t>
      </w:r>
      <w:r>
        <w:rPr>
          <w:lang w:val="fr-CA"/>
        </w:rPr>
        <w:t>’</w:t>
      </w:r>
      <w:r w:rsidRPr="00DB5AAF">
        <w:rPr>
          <w:lang w:val="fr-CA"/>
        </w:rPr>
        <w:t>autorisation de la cour sur demande présentée dans le mois suivant la date de l</w:t>
      </w:r>
      <w:r>
        <w:rPr>
          <w:lang w:val="fr-CA"/>
        </w:rPr>
        <w:t>’</w:t>
      </w:r>
      <w:r w:rsidRPr="00DB5AAF">
        <w:rPr>
          <w:lang w:val="fr-CA"/>
        </w:rPr>
        <w:t>acte ou dans le délai supérieur accordé par un juge de la cour en des circonstances spéciales, après notification aux parties et à l</w:t>
      </w:r>
      <w:r>
        <w:rPr>
          <w:lang w:val="fr-CA"/>
        </w:rPr>
        <w:t>’</w:t>
      </w:r>
      <w:r w:rsidRPr="00DB5AAF">
        <w:rPr>
          <w:lang w:val="fr-CA"/>
        </w:rPr>
        <w:t>Office et audition de ceux d</w:t>
      </w:r>
      <w:r>
        <w:rPr>
          <w:lang w:val="fr-CA"/>
        </w:rPr>
        <w:t>’</w:t>
      </w:r>
      <w:r w:rsidRPr="00DB5AAF">
        <w:rPr>
          <w:lang w:val="fr-CA"/>
        </w:rPr>
        <w:t>entre eux qui comparaissent et désirent être entendus.</w:t>
      </w:r>
    </w:p>
    <w:p w:rsidR="00784AD2" w:rsidRPr="00DB5AAF" w:rsidRDefault="00784AD2" w:rsidP="005C77BD">
      <w:pPr>
        <w:pStyle w:val="Citation-AltC"/>
        <w:spacing w:after="240"/>
        <w:ind w:firstLine="274"/>
        <w:contextualSpacing w:val="0"/>
        <w:rPr>
          <w:lang w:val="fr-CA"/>
        </w:rPr>
      </w:pPr>
      <w:r w:rsidRPr="00DB5AAF">
        <w:rPr>
          <w:bCs/>
          <w:lang w:val="fr-CA"/>
        </w:rPr>
        <w:t>(2)</w:t>
      </w:r>
      <w:r>
        <w:rPr>
          <w:bCs/>
          <w:lang w:val="fr-CA"/>
        </w:rPr>
        <w:t xml:space="preserve">  </w:t>
      </w:r>
      <w:r w:rsidRPr="00DB5AAF">
        <w:rPr>
          <w:lang w:val="fr-CA"/>
        </w:rPr>
        <w:t>Une fois l</w:t>
      </w:r>
      <w:r>
        <w:rPr>
          <w:lang w:val="fr-CA"/>
        </w:rPr>
        <w:t>’</w:t>
      </w:r>
      <w:r w:rsidRPr="00DB5AAF">
        <w:rPr>
          <w:lang w:val="fr-CA"/>
        </w:rPr>
        <w:t>autorisation obtenue en application du paragraphe</w:t>
      </w:r>
      <w:r>
        <w:rPr>
          <w:lang w:val="fr-CA"/>
        </w:rPr>
        <w:t xml:space="preserve"> </w:t>
      </w:r>
      <w:r w:rsidRPr="00DB5AAF">
        <w:rPr>
          <w:lang w:val="fr-CA"/>
        </w:rPr>
        <w:t>(1), l</w:t>
      </w:r>
      <w:r>
        <w:rPr>
          <w:lang w:val="fr-CA"/>
        </w:rPr>
        <w:t>’</w:t>
      </w:r>
      <w:r w:rsidRPr="00DB5AAF">
        <w:rPr>
          <w:lang w:val="fr-CA"/>
        </w:rPr>
        <w:t>appel n</w:t>
      </w:r>
      <w:r>
        <w:rPr>
          <w:lang w:val="fr-CA"/>
        </w:rPr>
        <w:t>’</w:t>
      </w:r>
      <w:r w:rsidRPr="00DB5AAF">
        <w:rPr>
          <w:lang w:val="fr-CA"/>
        </w:rPr>
        <w:t>est admissible que s</w:t>
      </w:r>
      <w:r>
        <w:rPr>
          <w:lang w:val="fr-CA"/>
        </w:rPr>
        <w:t>’</w:t>
      </w:r>
      <w:r w:rsidRPr="00DB5AAF">
        <w:rPr>
          <w:lang w:val="fr-CA"/>
        </w:rPr>
        <w:t>il est interjeté dans les soixante jours suivant le prononcé de l</w:t>
      </w:r>
      <w:r>
        <w:rPr>
          <w:lang w:val="fr-CA"/>
        </w:rPr>
        <w:t>’</w:t>
      </w:r>
      <w:r w:rsidRPr="00DB5AAF">
        <w:rPr>
          <w:lang w:val="fr-CA"/>
        </w:rPr>
        <w:t>ordonnance l</w:t>
      </w:r>
      <w:r>
        <w:rPr>
          <w:lang w:val="fr-CA"/>
        </w:rPr>
        <w:t>’</w:t>
      </w:r>
      <w:r w:rsidRPr="00DB5AAF">
        <w:rPr>
          <w:lang w:val="fr-CA"/>
        </w:rPr>
        <w:t>autorisant.</w:t>
      </w:r>
    </w:p>
    <w:p w:rsidR="00784AD2" w:rsidRPr="00DB5AAF" w:rsidRDefault="00784AD2" w:rsidP="005C77BD">
      <w:pPr>
        <w:pStyle w:val="Citation-AltC"/>
        <w:spacing w:after="240"/>
        <w:ind w:firstLine="274"/>
        <w:contextualSpacing w:val="0"/>
        <w:rPr>
          <w:lang w:val="fr-CA"/>
        </w:rPr>
      </w:pPr>
      <w:r w:rsidRPr="00DB5AAF">
        <w:rPr>
          <w:bCs/>
          <w:lang w:val="fr-CA"/>
        </w:rPr>
        <w:t>(3)</w:t>
      </w:r>
      <w:r>
        <w:rPr>
          <w:b/>
          <w:bCs/>
          <w:lang w:val="fr-CA"/>
        </w:rPr>
        <w:t xml:space="preserve">  </w:t>
      </w:r>
      <w:r w:rsidRPr="00DB5AAF">
        <w:rPr>
          <w:lang w:val="fr-CA"/>
        </w:rPr>
        <w:t>L</w:t>
      </w:r>
      <w:r>
        <w:rPr>
          <w:lang w:val="fr-CA"/>
        </w:rPr>
        <w:t>’</w:t>
      </w:r>
      <w:r w:rsidRPr="00DB5AAF">
        <w:rPr>
          <w:lang w:val="fr-CA"/>
        </w:rPr>
        <w:t>appel est mené aussi rapidement que possible; la cour peut l</w:t>
      </w:r>
      <w:r>
        <w:rPr>
          <w:lang w:val="fr-CA"/>
        </w:rPr>
        <w:t>’</w:t>
      </w:r>
      <w:r w:rsidRPr="00DB5AAF">
        <w:rPr>
          <w:lang w:val="fr-CA"/>
        </w:rPr>
        <w:t>entendre en faisant toutes inférences non incompatibles avec les faits formellement établis par l</w:t>
      </w:r>
      <w:r>
        <w:rPr>
          <w:lang w:val="fr-CA"/>
        </w:rPr>
        <w:t>’</w:t>
      </w:r>
      <w:r w:rsidRPr="00DB5AAF">
        <w:rPr>
          <w:lang w:val="fr-CA"/>
        </w:rPr>
        <w:t>Office et nécessaires pour décider de la question de droit ou de compétence, selon le cas.</w:t>
      </w:r>
    </w:p>
    <w:p w:rsidR="00784AD2" w:rsidRPr="00DB5AAF" w:rsidRDefault="00784AD2" w:rsidP="005C77BD">
      <w:pPr>
        <w:pStyle w:val="Citation-AltC"/>
        <w:spacing w:after="240"/>
        <w:ind w:firstLine="274"/>
        <w:contextualSpacing w:val="0"/>
        <w:rPr>
          <w:lang w:val="fr-CA"/>
        </w:rPr>
      </w:pPr>
      <w:r w:rsidRPr="00DB5AAF">
        <w:rPr>
          <w:bCs/>
          <w:lang w:val="fr-CA"/>
        </w:rPr>
        <w:lastRenderedPageBreak/>
        <w:t>(4)</w:t>
      </w:r>
      <w:r>
        <w:rPr>
          <w:lang w:val="fr-CA"/>
        </w:rPr>
        <w:t xml:space="preserve">  </w:t>
      </w:r>
      <w:r w:rsidRPr="00DB5AAF">
        <w:rPr>
          <w:lang w:val="fr-CA"/>
        </w:rPr>
        <w:t>L</w:t>
      </w:r>
      <w:r>
        <w:rPr>
          <w:lang w:val="fr-CA"/>
        </w:rPr>
        <w:t>’</w:t>
      </w:r>
      <w:r w:rsidRPr="00DB5AAF">
        <w:rPr>
          <w:lang w:val="fr-CA"/>
        </w:rPr>
        <w:t>Office peut plaider sa cause à l</w:t>
      </w:r>
      <w:r>
        <w:rPr>
          <w:lang w:val="fr-CA"/>
        </w:rPr>
        <w:t>’</w:t>
      </w:r>
      <w:r w:rsidRPr="00DB5AAF">
        <w:rPr>
          <w:lang w:val="fr-CA"/>
        </w:rPr>
        <w:t>appel par procureur ou autrement.</w:t>
      </w:r>
    </w:p>
    <w:p w:rsidR="00784AD2" w:rsidRPr="00DB5AAF" w:rsidRDefault="00784AD2" w:rsidP="005C77BD">
      <w:pPr>
        <w:pStyle w:val="Citation-AltC"/>
        <w:spacing w:after="240"/>
        <w:contextualSpacing w:val="0"/>
        <w:jc w:val="center"/>
        <w:rPr>
          <w:lang w:val="fr-CA"/>
        </w:rPr>
      </w:pPr>
      <w:r w:rsidRPr="00DB5AAF">
        <w:rPr>
          <w:lang w:val="fr-CA"/>
        </w:rPr>
        <w:t>.</w:t>
      </w:r>
      <w:r>
        <w:rPr>
          <w:lang w:val="fr-CA"/>
        </w:rPr>
        <w:t xml:space="preserve"> </w:t>
      </w:r>
      <w:r w:rsidRPr="00DB5AAF">
        <w:rPr>
          <w:lang w:val="fr-CA"/>
        </w:rPr>
        <w:t>.</w:t>
      </w:r>
      <w:r>
        <w:rPr>
          <w:lang w:val="fr-CA"/>
        </w:rPr>
        <w:t xml:space="preserve"> </w:t>
      </w:r>
      <w:r w:rsidRPr="00DB5AAF">
        <w:rPr>
          <w:lang w:val="fr-CA"/>
        </w:rPr>
        <w:t>.</w:t>
      </w:r>
    </w:p>
    <w:p w:rsidR="00784AD2" w:rsidRPr="00DB5AAF" w:rsidRDefault="00784AD2" w:rsidP="005C77BD">
      <w:pPr>
        <w:pStyle w:val="Citation-AltC"/>
        <w:spacing w:after="240"/>
        <w:ind w:firstLine="274"/>
        <w:contextualSpacing w:val="0"/>
        <w:rPr>
          <w:lang w:val="fr-CA"/>
        </w:rPr>
      </w:pPr>
      <w:r w:rsidRPr="00DB5AAF">
        <w:rPr>
          <w:b/>
          <w:bCs/>
          <w:lang w:val="fr-CA"/>
        </w:rPr>
        <w:t>120.1</w:t>
      </w:r>
      <w:r>
        <w:rPr>
          <w:bCs/>
          <w:lang w:val="fr-CA"/>
        </w:rPr>
        <w:t xml:space="preserve"> </w:t>
      </w:r>
      <w:r w:rsidRPr="00DB5AAF">
        <w:rPr>
          <w:bCs/>
          <w:lang w:val="fr-CA"/>
        </w:rPr>
        <w:t>(1)</w:t>
      </w:r>
      <w:r>
        <w:rPr>
          <w:lang w:val="fr-CA"/>
        </w:rPr>
        <w:t xml:space="preserve">  </w:t>
      </w:r>
      <w:r w:rsidRPr="00DB5AAF">
        <w:rPr>
          <w:lang w:val="fr-CA"/>
        </w:rPr>
        <w:t>Sur dépôt d</w:t>
      </w:r>
      <w:r>
        <w:rPr>
          <w:lang w:val="fr-CA"/>
        </w:rPr>
        <w:t>’</w:t>
      </w:r>
      <w:r w:rsidRPr="00DB5AAF">
        <w:rPr>
          <w:lang w:val="fr-CA"/>
        </w:rPr>
        <w:t>une plainte de tout expéditeur assujetti à un tarif applicable à plus d</w:t>
      </w:r>
      <w:r>
        <w:rPr>
          <w:lang w:val="fr-CA"/>
        </w:rPr>
        <w:t>’</w:t>
      </w:r>
      <w:r w:rsidRPr="00DB5AAF">
        <w:rPr>
          <w:lang w:val="fr-CA"/>
        </w:rPr>
        <w:t>un expéditeur — autre qu</w:t>
      </w:r>
      <w:r>
        <w:rPr>
          <w:lang w:val="fr-CA"/>
        </w:rPr>
        <w:t>’</w:t>
      </w:r>
      <w:r w:rsidRPr="00DB5AAF">
        <w:rPr>
          <w:lang w:val="fr-CA"/>
        </w:rPr>
        <w:t>un tarif visé au paragraphe 165(3) — prévoyant des frais relatifs au transport ou aux services connexes ou des conditions afférentes, l</w:t>
      </w:r>
      <w:r>
        <w:rPr>
          <w:lang w:val="fr-CA"/>
        </w:rPr>
        <w:t>’</w:t>
      </w:r>
      <w:r w:rsidRPr="00DB5AAF">
        <w:rPr>
          <w:lang w:val="fr-CA"/>
        </w:rPr>
        <w:t>Office peut, s</w:t>
      </w:r>
      <w:r>
        <w:rPr>
          <w:lang w:val="fr-CA"/>
        </w:rPr>
        <w:t>’</w:t>
      </w:r>
      <w:r w:rsidRPr="00DB5AAF">
        <w:rPr>
          <w:lang w:val="fr-CA"/>
        </w:rPr>
        <w:t>il les estime déraisonnables, fixer de nouveaux frais ou de nouvelles conditions par ordonnance.</w:t>
      </w:r>
    </w:p>
    <w:p w:rsidR="00784AD2" w:rsidRPr="00DB5AAF" w:rsidRDefault="00784AD2" w:rsidP="005C77BD">
      <w:pPr>
        <w:pStyle w:val="Citation-AltC"/>
        <w:spacing w:after="240"/>
        <w:ind w:firstLine="274"/>
        <w:contextualSpacing w:val="0"/>
        <w:rPr>
          <w:lang w:val="fr-CA"/>
        </w:rPr>
      </w:pPr>
      <w:r w:rsidRPr="00DB5AAF">
        <w:rPr>
          <w:bCs/>
          <w:lang w:val="fr-CA"/>
        </w:rPr>
        <w:t>(2)</w:t>
      </w:r>
      <w:r>
        <w:rPr>
          <w:bCs/>
          <w:lang w:val="fr-CA"/>
        </w:rPr>
        <w:t xml:space="preserve">  </w:t>
      </w:r>
      <w:r w:rsidRPr="00DB5AAF">
        <w:rPr>
          <w:lang w:val="fr-CA"/>
        </w:rPr>
        <w:t>L</w:t>
      </w:r>
      <w:r>
        <w:rPr>
          <w:lang w:val="fr-CA"/>
        </w:rPr>
        <w:t>’</w:t>
      </w:r>
      <w:r w:rsidRPr="00DB5AAF">
        <w:rPr>
          <w:lang w:val="fr-CA"/>
        </w:rPr>
        <w:t xml:space="preserve">ordonnance précise la période de validité de ces frais ou conditions, qui ne </w:t>
      </w:r>
      <w:proofErr w:type="gramStart"/>
      <w:r w:rsidRPr="00DB5AAF">
        <w:rPr>
          <w:lang w:val="fr-CA"/>
        </w:rPr>
        <w:t>peut</w:t>
      </w:r>
      <w:proofErr w:type="gramEnd"/>
      <w:r w:rsidRPr="00DB5AAF">
        <w:rPr>
          <w:lang w:val="fr-CA"/>
        </w:rPr>
        <w:t xml:space="preserve"> excéder un an.</w:t>
      </w:r>
    </w:p>
    <w:p w:rsidR="00784AD2" w:rsidRPr="00DB5AAF" w:rsidRDefault="00784AD2" w:rsidP="005C77BD">
      <w:pPr>
        <w:pStyle w:val="Citation-AltC"/>
        <w:spacing w:after="240"/>
        <w:ind w:firstLine="274"/>
        <w:contextualSpacing w:val="0"/>
        <w:rPr>
          <w:lang w:val="fr-CA"/>
        </w:rPr>
      </w:pPr>
      <w:r w:rsidRPr="00DB5AAF">
        <w:rPr>
          <w:bCs/>
          <w:lang w:val="fr-CA"/>
        </w:rPr>
        <w:t>(3)</w:t>
      </w:r>
      <w:r>
        <w:rPr>
          <w:lang w:val="fr-CA"/>
        </w:rPr>
        <w:t xml:space="preserve">  </w:t>
      </w:r>
      <w:r w:rsidRPr="00DB5AAF">
        <w:rPr>
          <w:lang w:val="fr-CA"/>
        </w:rPr>
        <w:t>Pour décider si les frais ou conditions sont déraisonnables, l</w:t>
      </w:r>
      <w:r>
        <w:rPr>
          <w:lang w:val="fr-CA"/>
        </w:rPr>
        <w:t>’</w:t>
      </w:r>
      <w:r w:rsidRPr="00DB5AAF">
        <w:rPr>
          <w:lang w:val="fr-CA"/>
        </w:rPr>
        <w:t>Office tient compte des facteurs suivants</w:t>
      </w:r>
      <w:r>
        <w:rPr>
          <w:lang w:val="fr-CA"/>
        </w:rPr>
        <w:t> :</w:t>
      </w:r>
    </w:p>
    <w:p w:rsidR="00784AD2" w:rsidRPr="00DB5AAF" w:rsidRDefault="00784AD2" w:rsidP="005C77BD">
      <w:pPr>
        <w:pStyle w:val="Citation-AltC"/>
        <w:spacing w:after="240"/>
        <w:ind w:left="1530" w:hanging="4"/>
        <w:contextualSpacing w:val="0"/>
        <w:rPr>
          <w:lang w:val="fr-CA"/>
        </w:rPr>
      </w:pPr>
      <w:r w:rsidRPr="00DB5AAF">
        <w:rPr>
          <w:i/>
          <w:iCs/>
          <w:lang w:val="fr-CA"/>
        </w:rPr>
        <w:t>a</w:t>
      </w:r>
      <w:r w:rsidRPr="00DB5AAF">
        <w:rPr>
          <w:lang w:val="fr-CA"/>
        </w:rPr>
        <w:t>)</w:t>
      </w:r>
      <w:r>
        <w:rPr>
          <w:lang w:val="fr-CA"/>
        </w:rPr>
        <w:t xml:space="preserve">  </w:t>
      </w:r>
      <w:r w:rsidRPr="00DB5AAF">
        <w:rPr>
          <w:lang w:val="fr-CA"/>
        </w:rPr>
        <w:t>le but dans lequel les frais ou conditions sont imposés;</w:t>
      </w:r>
    </w:p>
    <w:p w:rsidR="00784AD2" w:rsidRPr="00DB5AAF" w:rsidRDefault="00784AD2" w:rsidP="005C77BD">
      <w:pPr>
        <w:pStyle w:val="Citation-AltC"/>
        <w:spacing w:after="240"/>
        <w:ind w:left="1530" w:hanging="4"/>
        <w:contextualSpacing w:val="0"/>
        <w:rPr>
          <w:lang w:val="fr-CA"/>
        </w:rPr>
      </w:pPr>
      <w:r w:rsidRPr="00DB5AAF">
        <w:rPr>
          <w:i/>
          <w:iCs/>
          <w:lang w:val="fr-CA"/>
        </w:rPr>
        <w:t>b</w:t>
      </w:r>
      <w:r w:rsidRPr="00DB5AAF">
        <w:rPr>
          <w:lang w:val="fr-CA"/>
        </w:rPr>
        <w:t>)</w:t>
      </w:r>
      <w:r>
        <w:rPr>
          <w:lang w:val="fr-CA"/>
        </w:rPr>
        <w:t xml:space="preserve">  </w:t>
      </w:r>
      <w:r w:rsidRPr="00DB5AAF">
        <w:rPr>
          <w:lang w:val="fr-CA"/>
        </w:rPr>
        <w:t>les pratiques suivies par l</w:t>
      </w:r>
      <w:r>
        <w:rPr>
          <w:lang w:val="fr-CA"/>
        </w:rPr>
        <w:t>’</w:t>
      </w:r>
      <w:r w:rsidRPr="00DB5AAF">
        <w:rPr>
          <w:lang w:val="fr-CA"/>
        </w:rPr>
        <w:t>industrie pour leur fixation;</w:t>
      </w:r>
    </w:p>
    <w:p w:rsidR="00784AD2" w:rsidRPr="00DB5AAF" w:rsidRDefault="00784AD2" w:rsidP="005C77BD">
      <w:pPr>
        <w:pStyle w:val="Citation-AltC"/>
        <w:spacing w:after="240"/>
        <w:ind w:left="1530" w:hanging="4"/>
        <w:contextualSpacing w:val="0"/>
        <w:rPr>
          <w:lang w:val="fr-CA"/>
        </w:rPr>
      </w:pPr>
      <w:r w:rsidRPr="00DB5AAF">
        <w:rPr>
          <w:i/>
          <w:iCs/>
          <w:lang w:val="fr-CA"/>
        </w:rPr>
        <w:t>c</w:t>
      </w:r>
      <w:r w:rsidRPr="00DB5AAF">
        <w:rPr>
          <w:lang w:val="fr-CA"/>
        </w:rPr>
        <w:t>)</w:t>
      </w:r>
      <w:r>
        <w:rPr>
          <w:lang w:val="fr-CA"/>
        </w:rPr>
        <w:t xml:space="preserve">  </w:t>
      </w:r>
      <w:r w:rsidRPr="00DB5AAF">
        <w:rPr>
          <w:lang w:val="fr-CA"/>
        </w:rPr>
        <w:t>dans le cas d</w:t>
      </w:r>
      <w:r>
        <w:rPr>
          <w:lang w:val="fr-CA"/>
        </w:rPr>
        <w:t>’</w:t>
      </w:r>
      <w:r w:rsidRPr="00DB5AAF">
        <w:rPr>
          <w:lang w:val="fr-CA"/>
        </w:rPr>
        <w:t>une plainte relative à des services connexes, l</w:t>
      </w:r>
      <w:r>
        <w:rPr>
          <w:lang w:val="fr-CA"/>
        </w:rPr>
        <w:t>’</w:t>
      </w:r>
      <w:r w:rsidRPr="00DB5AAF">
        <w:rPr>
          <w:lang w:val="fr-CA"/>
        </w:rPr>
        <w:t>existence d</w:t>
      </w:r>
      <w:r>
        <w:rPr>
          <w:lang w:val="fr-CA"/>
        </w:rPr>
        <w:t>’</w:t>
      </w:r>
      <w:r w:rsidRPr="00DB5AAF">
        <w:rPr>
          <w:lang w:val="fr-CA"/>
        </w:rPr>
        <w:t>une solution de rechange efficace, bien adaptée et concurrentielle;</w:t>
      </w:r>
    </w:p>
    <w:p w:rsidR="00784AD2" w:rsidRPr="00DB5AAF" w:rsidRDefault="00784AD2" w:rsidP="005C77BD">
      <w:pPr>
        <w:pStyle w:val="Citation-AltC"/>
        <w:spacing w:after="240"/>
        <w:ind w:left="1530" w:hanging="4"/>
        <w:contextualSpacing w:val="0"/>
        <w:rPr>
          <w:lang w:val="fr-CA"/>
        </w:rPr>
      </w:pPr>
      <w:r w:rsidRPr="00DB5AAF">
        <w:rPr>
          <w:i/>
          <w:iCs/>
          <w:lang w:val="fr-CA"/>
        </w:rPr>
        <w:t>d</w:t>
      </w:r>
      <w:r w:rsidRPr="00DB5AAF">
        <w:rPr>
          <w:lang w:val="fr-CA"/>
        </w:rPr>
        <w:t>)</w:t>
      </w:r>
      <w:r>
        <w:rPr>
          <w:lang w:val="fr-CA"/>
        </w:rPr>
        <w:t xml:space="preserve">  </w:t>
      </w:r>
      <w:r w:rsidRPr="00DB5AAF">
        <w:rPr>
          <w:lang w:val="fr-CA"/>
        </w:rPr>
        <w:t>tout autre facteur que l</w:t>
      </w:r>
      <w:r>
        <w:rPr>
          <w:lang w:val="fr-CA"/>
        </w:rPr>
        <w:t>’</w:t>
      </w:r>
      <w:r w:rsidRPr="00DB5AAF">
        <w:rPr>
          <w:lang w:val="fr-CA"/>
        </w:rPr>
        <w:t>Office estime pertinent.</w:t>
      </w:r>
    </w:p>
    <w:p w:rsidR="00784AD2" w:rsidRPr="00DB5AAF" w:rsidRDefault="00784AD2" w:rsidP="005C77BD">
      <w:pPr>
        <w:pStyle w:val="Citation-AltC"/>
        <w:spacing w:after="240"/>
        <w:ind w:firstLine="274"/>
        <w:contextualSpacing w:val="0"/>
        <w:rPr>
          <w:lang w:val="fr-CA"/>
        </w:rPr>
      </w:pPr>
      <w:r w:rsidRPr="00DB5AAF">
        <w:rPr>
          <w:bCs/>
          <w:lang w:val="fr-CA"/>
        </w:rPr>
        <w:t>(4)</w:t>
      </w:r>
      <w:r>
        <w:rPr>
          <w:bCs/>
          <w:lang w:val="fr-CA"/>
        </w:rPr>
        <w:t xml:space="preserve">  </w:t>
      </w:r>
      <w:r w:rsidRPr="00DB5AAF">
        <w:rPr>
          <w:lang w:val="fr-CA"/>
        </w:rPr>
        <w:t>Les frais ou conditions fixés par l</w:t>
      </w:r>
      <w:r>
        <w:rPr>
          <w:lang w:val="fr-CA"/>
        </w:rPr>
        <w:t>’</w:t>
      </w:r>
      <w:r w:rsidRPr="00DB5AAF">
        <w:rPr>
          <w:lang w:val="fr-CA"/>
        </w:rPr>
        <w:t>Office doivent être commercialement équitables et raisonnables tant pour les expéditeurs qui y sont assujettis que pour la compagnie de chemin de fer qui a établi le tarif les prévoyant.</w:t>
      </w:r>
    </w:p>
    <w:p w:rsidR="00784AD2" w:rsidRPr="00DB5AAF" w:rsidRDefault="00784AD2" w:rsidP="005C77BD">
      <w:pPr>
        <w:pStyle w:val="Citation-AltC"/>
        <w:spacing w:after="240"/>
        <w:ind w:firstLine="274"/>
        <w:contextualSpacing w:val="0"/>
        <w:rPr>
          <w:lang w:val="fr-CA"/>
        </w:rPr>
      </w:pPr>
      <w:r w:rsidRPr="00DB5AAF">
        <w:rPr>
          <w:bCs/>
          <w:lang w:val="fr-CA"/>
        </w:rPr>
        <w:t>(5)</w:t>
      </w:r>
      <w:r>
        <w:rPr>
          <w:lang w:val="fr-CA"/>
        </w:rPr>
        <w:t xml:space="preserve">  </w:t>
      </w:r>
      <w:r w:rsidRPr="00DB5AAF">
        <w:rPr>
          <w:lang w:val="fr-CA"/>
        </w:rPr>
        <w:t>La compagnie de chemin de fer modifie le tarif en conséquence dès le prononcé de l</w:t>
      </w:r>
      <w:r>
        <w:rPr>
          <w:lang w:val="fr-CA"/>
        </w:rPr>
        <w:t>’</w:t>
      </w:r>
      <w:r w:rsidRPr="00DB5AAF">
        <w:rPr>
          <w:lang w:val="fr-CA"/>
        </w:rPr>
        <w:t>ordonnance par l</w:t>
      </w:r>
      <w:r>
        <w:rPr>
          <w:lang w:val="fr-CA"/>
        </w:rPr>
        <w:t>’</w:t>
      </w:r>
      <w:r w:rsidRPr="00DB5AAF">
        <w:rPr>
          <w:lang w:val="fr-CA"/>
        </w:rPr>
        <w:t>Office.</w:t>
      </w:r>
    </w:p>
    <w:p w:rsidR="00784AD2" w:rsidRPr="00DB5AAF" w:rsidRDefault="00784AD2" w:rsidP="005C77BD">
      <w:pPr>
        <w:pStyle w:val="Citation-AltC"/>
        <w:spacing w:after="240"/>
        <w:ind w:firstLine="274"/>
        <w:contextualSpacing w:val="0"/>
        <w:rPr>
          <w:lang w:val="fr-CA"/>
        </w:rPr>
      </w:pPr>
      <w:r w:rsidRPr="00DB5AAF">
        <w:rPr>
          <w:bCs/>
          <w:lang w:val="fr-CA"/>
        </w:rPr>
        <w:t>(6)</w:t>
      </w:r>
      <w:r>
        <w:rPr>
          <w:lang w:val="fr-CA"/>
        </w:rPr>
        <w:t xml:space="preserve">  </w:t>
      </w:r>
      <w:r w:rsidRPr="00DB5AAF">
        <w:rPr>
          <w:lang w:val="fr-CA"/>
        </w:rPr>
        <w:t>La compagnie de chemin de fer ne peut modifier son tarif à l</w:t>
      </w:r>
      <w:r>
        <w:rPr>
          <w:lang w:val="fr-CA"/>
        </w:rPr>
        <w:t>’</w:t>
      </w:r>
      <w:r w:rsidRPr="00DB5AAF">
        <w:rPr>
          <w:lang w:val="fr-CA"/>
        </w:rPr>
        <w:t>égard des frais et conditions fixés par l</w:t>
      </w:r>
      <w:r>
        <w:rPr>
          <w:lang w:val="fr-CA"/>
        </w:rPr>
        <w:t>’</w:t>
      </w:r>
      <w:r w:rsidRPr="00DB5AAF">
        <w:rPr>
          <w:lang w:val="fr-CA"/>
        </w:rPr>
        <w:t>Office avant l</w:t>
      </w:r>
      <w:r>
        <w:rPr>
          <w:lang w:val="fr-CA"/>
        </w:rPr>
        <w:t>’</w:t>
      </w:r>
      <w:r w:rsidRPr="00DB5AAF">
        <w:rPr>
          <w:lang w:val="fr-CA"/>
        </w:rPr>
        <w:t>expiration de la période de validité précisée au titre du paragraphe</w:t>
      </w:r>
      <w:r>
        <w:rPr>
          <w:lang w:val="fr-CA"/>
        </w:rPr>
        <w:t xml:space="preserve"> </w:t>
      </w:r>
      <w:r w:rsidRPr="00DB5AAF">
        <w:rPr>
          <w:lang w:val="fr-CA"/>
        </w:rPr>
        <w:t>(2).</w:t>
      </w:r>
    </w:p>
    <w:p w:rsidR="00784AD2" w:rsidRPr="00DB5AAF" w:rsidRDefault="00784AD2" w:rsidP="005C77BD">
      <w:pPr>
        <w:pStyle w:val="Citation-AltC"/>
        <w:spacing w:after="240"/>
        <w:ind w:firstLine="274"/>
        <w:contextualSpacing w:val="0"/>
        <w:rPr>
          <w:lang w:val="fr-CA"/>
        </w:rPr>
      </w:pPr>
      <w:r w:rsidRPr="00DB5AAF">
        <w:rPr>
          <w:bCs/>
          <w:lang w:val="fr-CA"/>
        </w:rPr>
        <w:t>(7)</w:t>
      </w:r>
      <w:r>
        <w:rPr>
          <w:bCs/>
          <w:lang w:val="fr-CA"/>
        </w:rPr>
        <w:t xml:space="preserve">  </w:t>
      </w:r>
      <w:r w:rsidRPr="00DB5AAF">
        <w:rPr>
          <w:lang w:val="fr-CA"/>
        </w:rPr>
        <w:t>Il est entendu que le présent article ne s</w:t>
      </w:r>
      <w:r>
        <w:rPr>
          <w:lang w:val="fr-CA"/>
        </w:rPr>
        <w:t>’</w:t>
      </w:r>
      <w:r w:rsidRPr="00DB5AAF">
        <w:rPr>
          <w:lang w:val="fr-CA"/>
        </w:rPr>
        <w:t>applique pas aux prix relatifs au transport.</w:t>
      </w:r>
    </w:p>
    <w:p w:rsidR="00784AD2" w:rsidRPr="00DB5AAF" w:rsidRDefault="00784AD2" w:rsidP="005C77BD">
      <w:pPr>
        <w:pStyle w:val="Citation-AltC"/>
        <w:spacing w:after="240"/>
        <w:contextualSpacing w:val="0"/>
        <w:jc w:val="center"/>
        <w:rPr>
          <w:lang w:val="fr-CA"/>
        </w:rPr>
      </w:pPr>
      <w:r w:rsidRPr="00DB5AAF">
        <w:rPr>
          <w:lang w:val="fr-CA"/>
        </w:rPr>
        <w:t>.</w:t>
      </w:r>
      <w:r>
        <w:rPr>
          <w:lang w:val="fr-CA"/>
        </w:rPr>
        <w:t xml:space="preserve"> </w:t>
      </w:r>
      <w:r w:rsidRPr="00DB5AAF">
        <w:rPr>
          <w:lang w:val="fr-CA"/>
        </w:rPr>
        <w:t>.</w:t>
      </w:r>
      <w:r>
        <w:rPr>
          <w:lang w:val="fr-CA"/>
        </w:rPr>
        <w:t xml:space="preserve"> </w:t>
      </w:r>
      <w:r w:rsidRPr="00DB5AAF">
        <w:rPr>
          <w:lang w:val="fr-CA"/>
        </w:rPr>
        <w:t>.</w:t>
      </w:r>
    </w:p>
    <w:p w:rsidR="00784AD2" w:rsidRPr="00DB5AAF" w:rsidRDefault="00784AD2" w:rsidP="005C77BD">
      <w:pPr>
        <w:pStyle w:val="Citation-AltC"/>
        <w:spacing w:after="240"/>
        <w:ind w:firstLine="274"/>
        <w:contextualSpacing w:val="0"/>
        <w:rPr>
          <w:lang w:val="fr-CA"/>
        </w:rPr>
      </w:pPr>
      <w:r w:rsidRPr="00DB5AAF">
        <w:rPr>
          <w:b/>
          <w:bCs/>
          <w:lang w:val="fr-CA"/>
        </w:rPr>
        <w:t>126.</w:t>
      </w:r>
      <w:r>
        <w:rPr>
          <w:b/>
          <w:bCs/>
          <w:lang w:val="fr-CA"/>
        </w:rPr>
        <w:t xml:space="preserve"> </w:t>
      </w:r>
      <w:r w:rsidRPr="00DB5AAF">
        <w:rPr>
          <w:bCs/>
          <w:lang w:val="fr-CA"/>
        </w:rPr>
        <w:t>(1)</w:t>
      </w:r>
      <w:r>
        <w:rPr>
          <w:lang w:val="fr-CA"/>
        </w:rPr>
        <w:t xml:space="preserve">  </w:t>
      </w:r>
      <w:r w:rsidRPr="00DB5AAF">
        <w:rPr>
          <w:lang w:val="fr-CA"/>
        </w:rPr>
        <w:t>Les compagnies de chemin de fer peuvent conclure avec les expéditeurs un contrat, que les parties conviennent de garder confidentiel, en ce qui concerne</w:t>
      </w:r>
      <w:r>
        <w:rPr>
          <w:lang w:val="fr-CA"/>
        </w:rPr>
        <w:t> :</w:t>
      </w:r>
    </w:p>
    <w:p w:rsidR="00784AD2" w:rsidRPr="00DB5AAF" w:rsidRDefault="00784AD2" w:rsidP="005C77BD">
      <w:pPr>
        <w:pStyle w:val="Citation-AltC"/>
        <w:spacing w:after="240"/>
        <w:ind w:left="1440"/>
        <w:contextualSpacing w:val="0"/>
        <w:rPr>
          <w:lang w:val="fr-CA"/>
        </w:rPr>
      </w:pPr>
      <w:r w:rsidRPr="00DB5AAF">
        <w:rPr>
          <w:i/>
          <w:iCs/>
          <w:lang w:val="fr-CA"/>
        </w:rPr>
        <w:lastRenderedPageBreak/>
        <w:t>a</w:t>
      </w:r>
      <w:r w:rsidRPr="00DB5AAF">
        <w:rPr>
          <w:lang w:val="fr-CA"/>
        </w:rPr>
        <w:t>)</w:t>
      </w:r>
      <w:r>
        <w:rPr>
          <w:lang w:val="fr-CA"/>
        </w:rPr>
        <w:t xml:space="preserve">  </w:t>
      </w:r>
      <w:r w:rsidRPr="00DB5AAF">
        <w:rPr>
          <w:lang w:val="fr-CA"/>
        </w:rPr>
        <w:t>les prix exigés de l</w:t>
      </w:r>
      <w:r>
        <w:rPr>
          <w:lang w:val="fr-CA"/>
        </w:rPr>
        <w:t>’</w:t>
      </w:r>
      <w:r w:rsidRPr="00DB5AAF">
        <w:rPr>
          <w:lang w:val="fr-CA"/>
        </w:rPr>
        <w:t>expéditeur par la compagnie;</w:t>
      </w:r>
    </w:p>
    <w:p w:rsidR="00784AD2" w:rsidRPr="00DB5AAF" w:rsidRDefault="00784AD2" w:rsidP="005C77BD">
      <w:pPr>
        <w:pStyle w:val="Citation-AltC"/>
        <w:spacing w:after="240"/>
        <w:ind w:left="1440"/>
        <w:contextualSpacing w:val="0"/>
        <w:rPr>
          <w:lang w:val="fr-CA"/>
        </w:rPr>
      </w:pPr>
      <w:r w:rsidRPr="00DB5AAF">
        <w:rPr>
          <w:i/>
          <w:iCs/>
          <w:lang w:val="fr-CA"/>
        </w:rPr>
        <w:t>b</w:t>
      </w:r>
      <w:r w:rsidRPr="00DB5AAF">
        <w:rPr>
          <w:lang w:val="fr-CA"/>
        </w:rPr>
        <w:t>)</w:t>
      </w:r>
      <w:r>
        <w:rPr>
          <w:lang w:val="fr-CA"/>
        </w:rPr>
        <w:t xml:space="preserve">  </w:t>
      </w:r>
      <w:r w:rsidRPr="00DB5AAF">
        <w:rPr>
          <w:lang w:val="fr-CA"/>
        </w:rPr>
        <w:t>les baisses de prix, ou allocations afférentes à ceux</w:t>
      </w:r>
      <w:r>
        <w:rPr>
          <w:lang w:val="fr-CA"/>
        </w:rPr>
        <w:t>-</w:t>
      </w:r>
      <w:r w:rsidRPr="00DB5AAF">
        <w:rPr>
          <w:lang w:val="fr-CA"/>
        </w:rPr>
        <w:t>ci, indiquées dans les tarifs établis et publiés conformément à la présente section;</w:t>
      </w:r>
    </w:p>
    <w:p w:rsidR="00784AD2" w:rsidRPr="00DB5AAF" w:rsidRDefault="00784AD2" w:rsidP="005C77BD">
      <w:pPr>
        <w:pStyle w:val="Citation-AltC"/>
        <w:spacing w:after="240"/>
        <w:ind w:left="1440"/>
        <w:contextualSpacing w:val="0"/>
        <w:rPr>
          <w:lang w:val="fr-CA"/>
        </w:rPr>
      </w:pPr>
      <w:r w:rsidRPr="00DB5AAF">
        <w:rPr>
          <w:i/>
          <w:iCs/>
          <w:lang w:val="fr-CA"/>
        </w:rPr>
        <w:t>c</w:t>
      </w:r>
      <w:r w:rsidRPr="00DB5AAF">
        <w:rPr>
          <w:lang w:val="fr-CA"/>
        </w:rPr>
        <w:t>)</w:t>
      </w:r>
      <w:r>
        <w:rPr>
          <w:lang w:val="fr-CA"/>
        </w:rPr>
        <w:t xml:space="preserve">  </w:t>
      </w:r>
      <w:r w:rsidRPr="00DB5AAF">
        <w:rPr>
          <w:lang w:val="fr-CA"/>
        </w:rPr>
        <w:t>les rabais sur les prix, ou allocations afférentes à ceux</w:t>
      </w:r>
      <w:r>
        <w:rPr>
          <w:lang w:val="fr-CA"/>
        </w:rPr>
        <w:t>-</w:t>
      </w:r>
      <w:r w:rsidRPr="00DB5AAF">
        <w:rPr>
          <w:lang w:val="fr-CA"/>
        </w:rPr>
        <w:t>ci, établis dans les tarifs ou dans les contrats confidentiels, qui ont antérieurement été exigés licitement;</w:t>
      </w:r>
    </w:p>
    <w:p w:rsidR="00784AD2" w:rsidRPr="00DB5AAF" w:rsidRDefault="00784AD2" w:rsidP="005C77BD">
      <w:pPr>
        <w:pStyle w:val="Citation-AltC"/>
        <w:spacing w:after="240"/>
        <w:ind w:left="1440"/>
        <w:contextualSpacing w:val="0"/>
        <w:rPr>
          <w:lang w:val="fr-CA"/>
        </w:rPr>
      </w:pPr>
      <w:r w:rsidRPr="00DB5AAF">
        <w:rPr>
          <w:i/>
          <w:iCs/>
          <w:lang w:val="fr-CA"/>
        </w:rPr>
        <w:t>d</w:t>
      </w:r>
      <w:r w:rsidRPr="00DB5AAF">
        <w:rPr>
          <w:lang w:val="fr-CA"/>
        </w:rPr>
        <w:t>)</w:t>
      </w:r>
      <w:r>
        <w:rPr>
          <w:lang w:val="fr-CA"/>
        </w:rPr>
        <w:t xml:space="preserve">  </w:t>
      </w:r>
      <w:r w:rsidRPr="00DB5AAF">
        <w:rPr>
          <w:lang w:val="fr-CA"/>
        </w:rPr>
        <w:t>les conditions relatives au transport à effectuer par la compagnie;</w:t>
      </w:r>
    </w:p>
    <w:p w:rsidR="00784AD2" w:rsidRPr="00DB5AAF" w:rsidRDefault="00784AD2" w:rsidP="005C77BD">
      <w:pPr>
        <w:pStyle w:val="Citation-AltC"/>
        <w:spacing w:after="240"/>
        <w:ind w:left="1440"/>
        <w:contextualSpacing w:val="0"/>
        <w:rPr>
          <w:lang w:val="fr-CA"/>
        </w:rPr>
      </w:pPr>
      <w:r w:rsidRPr="00DB5AAF">
        <w:rPr>
          <w:i/>
          <w:iCs/>
          <w:lang w:val="fr-CA"/>
        </w:rPr>
        <w:t>e</w:t>
      </w:r>
      <w:r w:rsidRPr="00DB5AAF">
        <w:rPr>
          <w:lang w:val="fr-CA"/>
        </w:rPr>
        <w:t>)</w:t>
      </w:r>
      <w:r>
        <w:rPr>
          <w:lang w:val="fr-CA"/>
        </w:rPr>
        <w:t xml:space="preserve">  </w:t>
      </w:r>
      <w:r w:rsidRPr="00DB5AAF">
        <w:rPr>
          <w:lang w:val="fr-CA"/>
        </w:rPr>
        <w:t>les moyens pris par la compagnie pour s</w:t>
      </w:r>
      <w:r>
        <w:rPr>
          <w:lang w:val="fr-CA"/>
        </w:rPr>
        <w:t>’</w:t>
      </w:r>
      <w:r w:rsidRPr="00DB5AAF">
        <w:rPr>
          <w:lang w:val="fr-CA"/>
        </w:rPr>
        <w:t>acquitter de ses obligations en application de l</w:t>
      </w:r>
      <w:r>
        <w:rPr>
          <w:lang w:val="fr-CA"/>
        </w:rPr>
        <w:t>’</w:t>
      </w:r>
      <w:r w:rsidRPr="00DB5AAF">
        <w:rPr>
          <w:lang w:val="fr-CA"/>
        </w:rPr>
        <w:t>article</w:t>
      </w:r>
      <w:r>
        <w:rPr>
          <w:lang w:val="fr-CA"/>
        </w:rPr>
        <w:t xml:space="preserve"> </w:t>
      </w:r>
      <w:r w:rsidRPr="00DB5AAF">
        <w:rPr>
          <w:lang w:val="fr-CA"/>
        </w:rPr>
        <w:t>113.</w:t>
      </w:r>
    </w:p>
    <w:p w:rsidR="00784AD2" w:rsidRPr="00DB5AAF" w:rsidRDefault="00784AD2" w:rsidP="005C77BD">
      <w:pPr>
        <w:pStyle w:val="Citation-AltC"/>
        <w:spacing w:after="240"/>
        <w:ind w:firstLine="274"/>
        <w:contextualSpacing w:val="0"/>
        <w:rPr>
          <w:lang w:val="fr-CA"/>
        </w:rPr>
      </w:pPr>
      <w:r w:rsidRPr="00DB5AAF">
        <w:rPr>
          <w:bCs/>
          <w:lang w:val="fr-CA"/>
        </w:rPr>
        <w:t>(1.1)</w:t>
      </w:r>
      <w:r>
        <w:rPr>
          <w:bCs/>
          <w:lang w:val="fr-CA"/>
        </w:rPr>
        <w:t xml:space="preserve">  </w:t>
      </w:r>
      <w:r w:rsidRPr="00DB5AAF">
        <w:rPr>
          <w:lang w:val="fr-CA"/>
        </w:rPr>
        <w:t>L</w:t>
      </w:r>
      <w:r>
        <w:rPr>
          <w:lang w:val="fr-CA"/>
        </w:rPr>
        <w:t>’</w:t>
      </w:r>
      <w:r w:rsidRPr="00DB5AAF">
        <w:rPr>
          <w:lang w:val="fr-CA"/>
        </w:rPr>
        <w:t>expéditeur qui souhaite conclure avec une compagnie de chemin de fer un contrat en application du paragraphe (1) concernant les moyens que celle</w:t>
      </w:r>
      <w:r>
        <w:rPr>
          <w:lang w:val="fr-CA"/>
        </w:rPr>
        <w:t>-</w:t>
      </w:r>
      <w:r w:rsidRPr="00DB5AAF">
        <w:rPr>
          <w:lang w:val="fr-CA"/>
        </w:rPr>
        <w:t>ci doit prendre pour s</w:t>
      </w:r>
      <w:r>
        <w:rPr>
          <w:lang w:val="fr-CA"/>
        </w:rPr>
        <w:t>’</w:t>
      </w:r>
      <w:r w:rsidRPr="00DB5AAF">
        <w:rPr>
          <w:lang w:val="fr-CA"/>
        </w:rPr>
        <w:t>acquitter de ses obligations en application de l</w:t>
      </w:r>
      <w:r>
        <w:rPr>
          <w:lang w:val="fr-CA"/>
        </w:rPr>
        <w:t>’</w:t>
      </w:r>
      <w:r w:rsidRPr="00DB5AAF">
        <w:rPr>
          <w:lang w:val="fr-CA"/>
        </w:rPr>
        <w:t>article 113 peut demander à cette compagnie de lui présenter une offre en vue de la conclusion d</w:t>
      </w:r>
      <w:r>
        <w:rPr>
          <w:lang w:val="fr-CA"/>
        </w:rPr>
        <w:t>’</w:t>
      </w:r>
      <w:r w:rsidRPr="00DB5AAF">
        <w:rPr>
          <w:lang w:val="fr-CA"/>
        </w:rPr>
        <w:t>un tel contrat.</w:t>
      </w:r>
    </w:p>
    <w:p w:rsidR="00784AD2" w:rsidRPr="00DB5AAF" w:rsidRDefault="00784AD2" w:rsidP="005C77BD">
      <w:pPr>
        <w:pStyle w:val="Citation-AltC"/>
        <w:spacing w:after="240"/>
        <w:ind w:firstLine="274"/>
        <w:contextualSpacing w:val="0"/>
        <w:rPr>
          <w:lang w:val="fr-CA"/>
        </w:rPr>
      </w:pPr>
      <w:r w:rsidRPr="00DB5AAF">
        <w:rPr>
          <w:bCs/>
          <w:lang w:val="fr-CA"/>
        </w:rPr>
        <w:t>(1.2)</w:t>
      </w:r>
      <w:r>
        <w:rPr>
          <w:lang w:val="fr-CA"/>
        </w:rPr>
        <w:t xml:space="preserve">  </w:t>
      </w:r>
      <w:r w:rsidRPr="00DB5AAF">
        <w:rPr>
          <w:lang w:val="fr-CA"/>
        </w:rPr>
        <w:t>La demande mentionne le transport en cause, les services exigés par l</w:t>
      </w:r>
      <w:r>
        <w:rPr>
          <w:lang w:val="fr-CA"/>
        </w:rPr>
        <w:t>’</w:t>
      </w:r>
      <w:r w:rsidRPr="00DB5AAF">
        <w:rPr>
          <w:lang w:val="fr-CA"/>
        </w:rPr>
        <w:t>expéditeur à l</w:t>
      </w:r>
      <w:r>
        <w:rPr>
          <w:lang w:val="fr-CA"/>
        </w:rPr>
        <w:t>’</w:t>
      </w:r>
      <w:r w:rsidRPr="00DB5AAF">
        <w:rPr>
          <w:lang w:val="fr-CA"/>
        </w:rPr>
        <w:t>égard de celui</w:t>
      </w:r>
      <w:r>
        <w:rPr>
          <w:lang w:val="fr-CA"/>
        </w:rPr>
        <w:t>-</w:t>
      </w:r>
      <w:r w:rsidRPr="00DB5AAF">
        <w:rPr>
          <w:lang w:val="fr-CA"/>
        </w:rPr>
        <w:t>ci et tout engagement que l</w:t>
      </w:r>
      <w:r>
        <w:rPr>
          <w:lang w:val="fr-CA"/>
        </w:rPr>
        <w:t>’</w:t>
      </w:r>
      <w:r w:rsidRPr="00DB5AAF">
        <w:rPr>
          <w:lang w:val="fr-CA"/>
        </w:rPr>
        <w:t>expéditeur est disposé à prendre envers la compagnie de chemin de fer relativement au transport ou aux services.</w:t>
      </w:r>
    </w:p>
    <w:p w:rsidR="00784AD2" w:rsidRPr="00DB5AAF" w:rsidRDefault="00784AD2" w:rsidP="005C77BD">
      <w:pPr>
        <w:pStyle w:val="Citation-AltC"/>
        <w:spacing w:after="240"/>
        <w:ind w:firstLine="274"/>
        <w:contextualSpacing w:val="0"/>
        <w:rPr>
          <w:lang w:val="fr-CA"/>
        </w:rPr>
      </w:pPr>
      <w:r w:rsidRPr="00DB5AAF">
        <w:rPr>
          <w:bCs/>
          <w:lang w:val="fr-CA"/>
        </w:rPr>
        <w:t>(1.3)</w:t>
      </w:r>
      <w:r>
        <w:rPr>
          <w:lang w:val="fr-CA"/>
        </w:rPr>
        <w:t xml:space="preserve">  </w:t>
      </w:r>
      <w:r w:rsidRPr="00DB5AAF">
        <w:rPr>
          <w:lang w:val="fr-CA"/>
        </w:rPr>
        <w:t>La compagnie de chemin de fer est tenue de présenter l</w:t>
      </w:r>
      <w:r>
        <w:rPr>
          <w:lang w:val="fr-CA"/>
        </w:rPr>
        <w:t>’</w:t>
      </w:r>
      <w:r w:rsidRPr="00DB5AAF">
        <w:rPr>
          <w:lang w:val="fr-CA"/>
        </w:rPr>
        <w:t>offre dans les trente jours suivant la date de réception de la demande.</w:t>
      </w:r>
    </w:p>
    <w:p w:rsidR="00784AD2" w:rsidRPr="00DB5AAF" w:rsidRDefault="00784AD2" w:rsidP="005C77BD">
      <w:pPr>
        <w:pStyle w:val="Citation-AltC"/>
        <w:spacing w:after="240"/>
        <w:ind w:firstLine="274"/>
        <w:contextualSpacing w:val="0"/>
        <w:rPr>
          <w:lang w:val="fr-CA"/>
        </w:rPr>
      </w:pPr>
      <w:r w:rsidRPr="00DB5AAF">
        <w:rPr>
          <w:bCs/>
          <w:lang w:val="fr-CA"/>
        </w:rPr>
        <w:t>(1.4)</w:t>
      </w:r>
      <w:r>
        <w:rPr>
          <w:lang w:val="fr-CA"/>
        </w:rPr>
        <w:t xml:space="preserve">  </w:t>
      </w:r>
      <w:r w:rsidRPr="00DB5AAF">
        <w:rPr>
          <w:lang w:val="fr-CA"/>
        </w:rPr>
        <w:t>Sous réserve du paragraphe</w:t>
      </w:r>
      <w:r>
        <w:rPr>
          <w:lang w:val="fr-CA"/>
        </w:rPr>
        <w:t xml:space="preserve"> </w:t>
      </w:r>
      <w:r w:rsidRPr="00DB5AAF">
        <w:rPr>
          <w:lang w:val="fr-CA"/>
        </w:rPr>
        <w:t>(1.5), la compagnie de chemin de fer n</w:t>
      </w:r>
      <w:r>
        <w:rPr>
          <w:lang w:val="fr-CA"/>
        </w:rPr>
        <w:t>’</w:t>
      </w:r>
      <w:r w:rsidRPr="00DB5AAF">
        <w:rPr>
          <w:lang w:val="fr-CA"/>
        </w:rPr>
        <w:t>est toutefois pas tenue d</w:t>
      </w:r>
      <w:r>
        <w:rPr>
          <w:lang w:val="fr-CA"/>
        </w:rPr>
        <w:t>’</w:t>
      </w:r>
      <w:r w:rsidRPr="00DB5AAF">
        <w:rPr>
          <w:lang w:val="fr-CA"/>
        </w:rPr>
        <w:t>inclure dans son offre une stipulation portant sur une question qui, selon le cas</w:t>
      </w:r>
      <w:r>
        <w:rPr>
          <w:lang w:val="fr-CA"/>
        </w:rPr>
        <w:t> :</w:t>
      </w:r>
    </w:p>
    <w:p w:rsidR="00784AD2" w:rsidRPr="00DB5AAF" w:rsidRDefault="00784AD2" w:rsidP="005C77BD">
      <w:pPr>
        <w:pStyle w:val="Citation-AltC"/>
        <w:spacing w:after="240"/>
        <w:ind w:left="1440"/>
        <w:contextualSpacing w:val="0"/>
        <w:rPr>
          <w:lang w:val="fr-CA"/>
        </w:rPr>
      </w:pPr>
      <w:r w:rsidRPr="00DB5AAF">
        <w:rPr>
          <w:i/>
          <w:iCs/>
          <w:lang w:val="fr-CA"/>
        </w:rPr>
        <w:t>a</w:t>
      </w:r>
      <w:r w:rsidRPr="00DB5AAF">
        <w:rPr>
          <w:lang w:val="fr-CA"/>
        </w:rPr>
        <w:t>)</w:t>
      </w:r>
      <w:r>
        <w:rPr>
          <w:lang w:val="fr-CA"/>
        </w:rPr>
        <w:t xml:space="preserve">  </w:t>
      </w:r>
      <w:r w:rsidRPr="00DB5AAF">
        <w:rPr>
          <w:lang w:val="fr-CA"/>
        </w:rPr>
        <w:t>fait l</w:t>
      </w:r>
      <w:r>
        <w:rPr>
          <w:lang w:val="fr-CA"/>
        </w:rPr>
        <w:t>’</w:t>
      </w:r>
      <w:r w:rsidRPr="00DB5AAF">
        <w:rPr>
          <w:lang w:val="fr-CA"/>
        </w:rPr>
        <w:t>objet d</w:t>
      </w:r>
      <w:r>
        <w:rPr>
          <w:lang w:val="fr-CA"/>
        </w:rPr>
        <w:t>’</w:t>
      </w:r>
      <w:r w:rsidRPr="00DB5AAF">
        <w:rPr>
          <w:lang w:val="fr-CA"/>
        </w:rPr>
        <w:t>un accord écrit auquel l</w:t>
      </w:r>
      <w:r>
        <w:rPr>
          <w:lang w:val="fr-CA"/>
        </w:rPr>
        <w:t>’</w:t>
      </w:r>
      <w:r w:rsidRPr="00DB5AAF">
        <w:rPr>
          <w:lang w:val="fr-CA"/>
        </w:rPr>
        <w:t>expéditeur et la compagnie de chemin de fer sont parties;</w:t>
      </w:r>
    </w:p>
    <w:p w:rsidR="00784AD2" w:rsidRPr="00DB5AAF" w:rsidRDefault="00784AD2" w:rsidP="005C77BD">
      <w:pPr>
        <w:pStyle w:val="Citation-AltC"/>
        <w:spacing w:after="240"/>
        <w:ind w:left="1440"/>
        <w:contextualSpacing w:val="0"/>
        <w:rPr>
          <w:lang w:val="fr-CA"/>
        </w:rPr>
      </w:pPr>
      <w:r w:rsidRPr="00DB5AAF">
        <w:rPr>
          <w:i/>
          <w:iCs/>
          <w:lang w:val="fr-CA"/>
        </w:rPr>
        <w:t>b</w:t>
      </w:r>
      <w:r w:rsidRPr="00DB5AAF">
        <w:rPr>
          <w:lang w:val="fr-CA"/>
        </w:rPr>
        <w:t>)</w:t>
      </w:r>
      <w:r>
        <w:rPr>
          <w:lang w:val="fr-CA"/>
        </w:rPr>
        <w:t xml:space="preserve">  </w:t>
      </w:r>
      <w:r w:rsidRPr="00DB5AAF">
        <w:rPr>
          <w:lang w:val="fr-CA"/>
        </w:rPr>
        <w:t>est visée par un arrêté, autre qu</w:t>
      </w:r>
      <w:r>
        <w:rPr>
          <w:lang w:val="fr-CA"/>
        </w:rPr>
        <w:t>’</w:t>
      </w:r>
      <w:r w:rsidRPr="00DB5AAF">
        <w:rPr>
          <w:lang w:val="fr-CA"/>
        </w:rPr>
        <w:t>un arrêté provisoire, pris en vertu du paragraphe</w:t>
      </w:r>
      <w:r>
        <w:rPr>
          <w:lang w:val="fr-CA"/>
        </w:rPr>
        <w:t xml:space="preserve"> </w:t>
      </w:r>
      <w:r w:rsidRPr="00DB5AAF">
        <w:rPr>
          <w:lang w:val="fr-CA"/>
        </w:rPr>
        <w:t>116(4);</w:t>
      </w:r>
    </w:p>
    <w:p w:rsidR="00784AD2" w:rsidRPr="00DB5AAF" w:rsidRDefault="00784AD2" w:rsidP="005C77BD">
      <w:pPr>
        <w:pStyle w:val="Citation-AltC"/>
        <w:spacing w:after="240"/>
        <w:ind w:left="1440"/>
        <w:contextualSpacing w:val="0"/>
        <w:rPr>
          <w:lang w:val="fr-CA"/>
        </w:rPr>
      </w:pPr>
      <w:r w:rsidRPr="00DB5AAF">
        <w:rPr>
          <w:i/>
          <w:iCs/>
          <w:lang w:val="fr-CA"/>
        </w:rPr>
        <w:t>c</w:t>
      </w:r>
      <w:r w:rsidRPr="00DB5AAF">
        <w:rPr>
          <w:lang w:val="fr-CA"/>
        </w:rPr>
        <w:t>)</w:t>
      </w:r>
      <w:r>
        <w:rPr>
          <w:lang w:val="fr-CA"/>
        </w:rPr>
        <w:t xml:space="preserve">  </w:t>
      </w:r>
      <w:r w:rsidRPr="00DB5AAF">
        <w:rPr>
          <w:lang w:val="fr-CA"/>
        </w:rPr>
        <w:t>figure dan</w:t>
      </w:r>
      <w:r>
        <w:rPr>
          <w:lang w:val="fr-CA"/>
        </w:rPr>
        <w:t xml:space="preserve">s un tarif visé aux paragraphes </w:t>
      </w:r>
      <w:r w:rsidRPr="00DB5AAF">
        <w:rPr>
          <w:lang w:val="fr-CA"/>
        </w:rPr>
        <w:t>136(4) ou 165(3);</w:t>
      </w:r>
    </w:p>
    <w:p w:rsidR="00784AD2" w:rsidRPr="00DB5AAF" w:rsidRDefault="00784AD2" w:rsidP="005C77BD">
      <w:pPr>
        <w:pStyle w:val="Citation-AltC"/>
        <w:spacing w:after="240"/>
        <w:ind w:left="1440"/>
        <w:contextualSpacing w:val="0"/>
        <w:rPr>
          <w:lang w:val="fr-CA"/>
        </w:rPr>
      </w:pPr>
      <w:r w:rsidRPr="00DB5AAF">
        <w:rPr>
          <w:i/>
          <w:iCs/>
          <w:lang w:val="fr-CA"/>
        </w:rPr>
        <w:t>d</w:t>
      </w:r>
      <w:r w:rsidRPr="00DB5AAF">
        <w:rPr>
          <w:lang w:val="fr-CA"/>
        </w:rPr>
        <w:t>)</w:t>
      </w:r>
      <w:r>
        <w:rPr>
          <w:lang w:val="fr-CA"/>
        </w:rPr>
        <w:t xml:space="preserve">  </w:t>
      </w:r>
      <w:r w:rsidRPr="00DB5AAF">
        <w:rPr>
          <w:lang w:val="fr-CA"/>
        </w:rPr>
        <w:t>fait l</w:t>
      </w:r>
      <w:r>
        <w:rPr>
          <w:lang w:val="fr-CA"/>
        </w:rPr>
        <w:t>’</w:t>
      </w:r>
      <w:r w:rsidRPr="00DB5AAF">
        <w:rPr>
          <w:lang w:val="fr-CA"/>
        </w:rPr>
        <w:t>objet d</w:t>
      </w:r>
      <w:r>
        <w:rPr>
          <w:lang w:val="fr-CA"/>
        </w:rPr>
        <w:t>’</w:t>
      </w:r>
      <w:r w:rsidRPr="00DB5AAF">
        <w:rPr>
          <w:lang w:val="fr-CA"/>
        </w:rPr>
        <w:t>une décision arbitrale rendue en vertu de l</w:t>
      </w:r>
      <w:r>
        <w:rPr>
          <w:lang w:val="fr-CA"/>
        </w:rPr>
        <w:t>’</w:t>
      </w:r>
      <w:r w:rsidRPr="00DB5AAF">
        <w:rPr>
          <w:lang w:val="fr-CA"/>
        </w:rPr>
        <w:t>article 169.37.</w:t>
      </w:r>
    </w:p>
    <w:p w:rsidR="00784AD2" w:rsidRPr="00DB5AAF" w:rsidRDefault="00784AD2" w:rsidP="005C77BD">
      <w:pPr>
        <w:pStyle w:val="Citation-AltC"/>
        <w:spacing w:after="240"/>
        <w:ind w:firstLine="274"/>
        <w:contextualSpacing w:val="0"/>
        <w:rPr>
          <w:lang w:val="fr-CA"/>
        </w:rPr>
      </w:pPr>
      <w:r w:rsidRPr="00DB5AAF">
        <w:rPr>
          <w:bCs/>
          <w:lang w:val="fr-CA"/>
        </w:rPr>
        <w:t>(1.5)</w:t>
      </w:r>
      <w:r>
        <w:rPr>
          <w:lang w:val="fr-CA"/>
        </w:rPr>
        <w:t xml:space="preserve">  </w:t>
      </w:r>
      <w:r w:rsidRPr="00DB5AAF">
        <w:rPr>
          <w:lang w:val="fr-CA"/>
        </w:rPr>
        <w:t>La compagnie de chemin de fer est toutefois tenue d</w:t>
      </w:r>
      <w:r>
        <w:rPr>
          <w:lang w:val="fr-CA"/>
        </w:rPr>
        <w:t>’</w:t>
      </w:r>
      <w:r w:rsidRPr="00DB5AAF">
        <w:rPr>
          <w:lang w:val="fr-CA"/>
        </w:rPr>
        <w:t>inclure dans son offre une telle stipulation si l</w:t>
      </w:r>
      <w:r>
        <w:rPr>
          <w:lang w:val="fr-CA"/>
        </w:rPr>
        <w:t>’</w:t>
      </w:r>
      <w:r w:rsidRPr="00DB5AAF">
        <w:rPr>
          <w:lang w:val="fr-CA"/>
        </w:rPr>
        <w:t>accord, l</w:t>
      </w:r>
      <w:r>
        <w:rPr>
          <w:lang w:val="fr-CA"/>
        </w:rPr>
        <w:t>’</w:t>
      </w:r>
      <w:r w:rsidRPr="00DB5AAF">
        <w:rPr>
          <w:lang w:val="fr-CA"/>
        </w:rPr>
        <w:t>arrêté, le tarif ou la décision arbitrale visés au paragraphe</w:t>
      </w:r>
      <w:r>
        <w:rPr>
          <w:lang w:val="fr-CA"/>
        </w:rPr>
        <w:t xml:space="preserve"> </w:t>
      </w:r>
      <w:r w:rsidRPr="00DB5AAF">
        <w:rPr>
          <w:lang w:val="fr-CA"/>
        </w:rPr>
        <w:t xml:space="preserve">(1.4) expirent dans les deux mois </w:t>
      </w:r>
      <w:r w:rsidRPr="00DB5AAF">
        <w:rPr>
          <w:lang w:val="fr-CA"/>
        </w:rPr>
        <w:lastRenderedPageBreak/>
        <w:t>suivant la date de réception de la demande prévue au paragraphe</w:t>
      </w:r>
      <w:r>
        <w:rPr>
          <w:lang w:val="fr-CA"/>
        </w:rPr>
        <w:t xml:space="preserve"> </w:t>
      </w:r>
      <w:r w:rsidRPr="00DB5AAF">
        <w:rPr>
          <w:lang w:val="fr-CA"/>
        </w:rPr>
        <w:t>(1.1). La stipulation s</w:t>
      </w:r>
      <w:r>
        <w:rPr>
          <w:lang w:val="fr-CA"/>
        </w:rPr>
        <w:t>’</w:t>
      </w:r>
      <w:r w:rsidRPr="00DB5AAF">
        <w:rPr>
          <w:lang w:val="fr-CA"/>
        </w:rPr>
        <w:t>applique alors à la période postérieure à l</w:t>
      </w:r>
      <w:r>
        <w:rPr>
          <w:lang w:val="fr-CA"/>
        </w:rPr>
        <w:t>’</w:t>
      </w:r>
      <w:r w:rsidRPr="00DB5AAF">
        <w:rPr>
          <w:lang w:val="fr-CA"/>
        </w:rPr>
        <w:t>expiration.</w:t>
      </w:r>
    </w:p>
    <w:p w:rsidR="00784AD2" w:rsidRPr="00DB5AAF" w:rsidRDefault="00784AD2" w:rsidP="005C77BD">
      <w:pPr>
        <w:pStyle w:val="Citation-AltC"/>
        <w:spacing w:after="240"/>
        <w:ind w:firstLine="274"/>
        <w:contextualSpacing w:val="0"/>
        <w:rPr>
          <w:lang w:val="fr-CA"/>
        </w:rPr>
      </w:pPr>
      <w:r w:rsidRPr="00DB5AAF">
        <w:rPr>
          <w:bCs/>
          <w:lang w:val="fr-CA"/>
        </w:rPr>
        <w:t>(2)</w:t>
      </w:r>
      <w:r>
        <w:rPr>
          <w:lang w:val="fr-CA"/>
        </w:rPr>
        <w:t xml:space="preserve">  </w:t>
      </w:r>
      <w:r w:rsidRPr="00DB5AAF">
        <w:rPr>
          <w:lang w:val="fr-CA"/>
        </w:rPr>
        <w:t>Toute demande d</w:t>
      </w:r>
      <w:r>
        <w:rPr>
          <w:lang w:val="fr-CA"/>
        </w:rPr>
        <w:t>’</w:t>
      </w:r>
      <w:r w:rsidRPr="00DB5AAF">
        <w:rPr>
          <w:lang w:val="fr-CA"/>
        </w:rPr>
        <w:t>arbitrage au titre de l</w:t>
      </w:r>
      <w:r>
        <w:rPr>
          <w:lang w:val="fr-CA"/>
        </w:rPr>
        <w:t>’</w:t>
      </w:r>
      <w:r w:rsidRPr="00DB5AAF">
        <w:rPr>
          <w:lang w:val="fr-CA"/>
        </w:rPr>
        <w:t>article 161 sur une question faisant l</w:t>
      </w:r>
      <w:r>
        <w:rPr>
          <w:lang w:val="fr-CA"/>
        </w:rPr>
        <w:t>’</w:t>
      </w:r>
      <w:r w:rsidRPr="00DB5AAF">
        <w:rPr>
          <w:lang w:val="fr-CA"/>
        </w:rPr>
        <w:t>objet d</w:t>
      </w:r>
      <w:r>
        <w:rPr>
          <w:lang w:val="fr-CA"/>
        </w:rPr>
        <w:t>’</w:t>
      </w:r>
      <w:r w:rsidRPr="00DB5AAF">
        <w:rPr>
          <w:lang w:val="fr-CA"/>
        </w:rPr>
        <w:t>un contrat confidentiel est subordonnée à l</w:t>
      </w:r>
      <w:r>
        <w:rPr>
          <w:lang w:val="fr-CA"/>
        </w:rPr>
        <w:t>’</w:t>
      </w:r>
      <w:r w:rsidRPr="00DB5AAF">
        <w:rPr>
          <w:lang w:val="fr-CA"/>
        </w:rPr>
        <w:t>assentiment de toutes les parties au contrat.</w:t>
      </w:r>
    </w:p>
    <w:p w:rsidR="00784AD2" w:rsidRPr="00DB5AAF" w:rsidRDefault="00784AD2" w:rsidP="005C77BD">
      <w:pPr>
        <w:pStyle w:val="Citation-AltC"/>
        <w:spacing w:after="240"/>
        <w:contextualSpacing w:val="0"/>
        <w:jc w:val="center"/>
        <w:rPr>
          <w:lang w:val="fr-CA"/>
        </w:rPr>
      </w:pPr>
      <w:r w:rsidRPr="00DB5AAF">
        <w:rPr>
          <w:lang w:val="fr-CA"/>
        </w:rPr>
        <w:t>.</w:t>
      </w:r>
      <w:r>
        <w:rPr>
          <w:lang w:val="fr-CA"/>
        </w:rPr>
        <w:t xml:space="preserve"> </w:t>
      </w:r>
      <w:r w:rsidRPr="00DB5AAF">
        <w:rPr>
          <w:lang w:val="fr-CA"/>
        </w:rPr>
        <w:t>.</w:t>
      </w:r>
      <w:r>
        <w:rPr>
          <w:lang w:val="fr-CA"/>
        </w:rPr>
        <w:t xml:space="preserve"> </w:t>
      </w:r>
      <w:r w:rsidRPr="00DB5AAF">
        <w:rPr>
          <w:lang w:val="fr-CA"/>
        </w:rPr>
        <w:t>.</w:t>
      </w:r>
    </w:p>
    <w:p w:rsidR="00784AD2" w:rsidRPr="00DB5AAF" w:rsidRDefault="00784AD2" w:rsidP="005C77BD">
      <w:pPr>
        <w:pStyle w:val="Citation-AltC"/>
        <w:spacing w:after="240"/>
        <w:ind w:firstLine="274"/>
        <w:contextualSpacing w:val="0"/>
        <w:rPr>
          <w:lang w:val="fr-CA"/>
        </w:rPr>
      </w:pPr>
      <w:r w:rsidRPr="00DB5AAF">
        <w:rPr>
          <w:b/>
          <w:bCs/>
          <w:lang w:val="fr-CA"/>
        </w:rPr>
        <w:t>161.</w:t>
      </w:r>
      <w:r>
        <w:rPr>
          <w:b/>
          <w:bCs/>
          <w:lang w:val="fr-CA"/>
        </w:rPr>
        <w:t xml:space="preserve"> </w:t>
      </w:r>
      <w:r w:rsidRPr="00DB5AAF">
        <w:rPr>
          <w:bCs/>
          <w:lang w:val="fr-CA"/>
        </w:rPr>
        <w:t>(1)</w:t>
      </w:r>
      <w:r>
        <w:rPr>
          <w:lang w:val="fr-CA"/>
        </w:rPr>
        <w:t xml:space="preserve">  </w:t>
      </w:r>
      <w:r w:rsidRPr="00DB5AAF">
        <w:rPr>
          <w:lang w:val="fr-CA"/>
        </w:rPr>
        <w:t>L</w:t>
      </w:r>
      <w:r>
        <w:rPr>
          <w:lang w:val="fr-CA"/>
        </w:rPr>
        <w:t>’</w:t>
      </w:r>
      <w:r w:rsidRPr="00DB5AAF">
        <w:rPr>
          <w:lang w:val="fr-CA"/>
        </w:rPr>
        <w:t>expéditeur insatisfait des prix appliqués ou proposés par un transporteur pour le transport de marchandises ou des conditions imposées à cet égard peut, lorsque le transporteur et lui ne sont pas en mesure de régler eux</w:t>
      </w:r>
      <w:r>
        <w:rPr>
          <w:lang w:val="fr-CA"/>
        </w:rPr>
        <w:t>-</w:t>
      </w:r>
      <w:r w:rsidRPr="00DB5AAF">
        <w:rPr>
          <w:lang w:val="fr-CA"/>
        </w:rPr>
        <w:t>mêmes la question, la soumettre par écrit à l</w:t>
      </w:r>
      <w:r>
        <w:rPr>
          <w:lang w:val="fr-CA"/>
        </w:rPr>
        <w:t>’</w:t>
      </w:r>
      <w:r w:rsidRPr="00DB5AAF">
        <w:rPr>
          <w:lang w:val="fr-CA"/>
        </w:rPr>
        <w:t>Office pour arbitrage soit par un arbitre seul soit, si le transporteur et lui y consentent, par une formation de trois arbitres.</w:t>
      </w:r>
    </w:p>
    <w:p w:rsidR="00784AD2" w:rsidRPr="00DB5AAF" w:rsidRDefault="00784AD2" w:rsidP="005C77BD">
      <w:pPr>
        <w:pStyle w:val="Citation-AltC"/>
        <w:spacing w:after="240"/>
        <w:contextualSpacing w:val="0"/>
        <w:jc w:val="center"/>
        <w:rPr>
          <w:lang w:val="fr-CA"/>
        </w:rPr>
      </w:pPr>
      <w:r w:rsidRPr="00DB5AAF">
        <w:rPr>
          <w:lang w:val="fr-CA"/>
        </w:rPr>
        <w:t>.</w:t>
      </w:r>
      <w:r>
        <w:rPr>
          <w:lang w:val="fr-CA"/>
        </w:rPr>
        <w:t xml:space="preserve"> </w:t>
      </w:r>
      <w:r w:rsidRPr="00DB5AAF">
        <w:rPr>
          <w:lang w:val="fr-CA"/>
        </w:rPr>
        <w:t>.</w:t>
      </w:r>
      <w:r>
        <w:rPr>
          <w:lang w:val="fr-CA"/>
        </w:rPr>
        <w:t xml:space="preserve"> </w:t>
      </w:r>
      <w:r w:rsidRPr="00DB5AAF">
        <w:rPr>
          <w:lang w:val="fr-CA"/>
        </w:rPr>
        <w:t>.</w:t>
      </w:r>
    </w:p>
    <w:p w:rsidR="00784AD2" w:rsidRPr="00DB5AAF" w:rsidRDefault="00784AD2" w:rsidP="005C77BD">
      <w:pPr>
        <w:pStyle w:val="Citation-AltC"/>
        <w:spacing w:after="240"/>
        <w:ind w:firstLine="274"/>
        <w:contextualSpacing w:val="0"/>
        <w:rPr>
          <w:lang w:val="fr-CA"/>
        </w:rPr>
      </w:pPr>
      <w:r w:rsidRPr="00DB5AAF">
        <w:rPr>
          <w:b/>
          <w:bCs/>
          <w:lang w:val="fr-CA"/>
        </w:rPr>
        <w:t>162.</w:t>
      </w:r>
      <w:r>
        <w:rPr>
          <w:bCs/>
          <w:lang w:val="fr-CA"/>
        </w:rPr>
        <w:t xml:space="preserve"> </w:t>
      </w:r>
      <w:r w:rsidRPr="00DB5AAF">
        <w:rPr>
          <w:bCs/>
          <w:lang w:val="fr-CA"/>
        </w:rPr>
        <w:t>(1)</w:t>
      </w:r>
      <w:r>
        <w:rPr>
          <w:bCs/>
          <w:lang w:val="fr-CA"/>
        </w:rPr>
        <w:t xml:space="preserve">  </w:t>
      </w:r>
      <w:r w:rsidRPr="00DB5AAF">
        <w:rPr>
          <w:lang w:val="fr-CA"/>
        </w:rPr>
        <w:t>Malgré la présentation par le transporteur de toute demande relative à la question, l</w:t>
      </w:r>
      <w:r>
        <w:rPr>
          <w:lang w:val="fr-CA"/>
        </w:rPr>
        <w:t>’</w:t>
      </w:r>
      <w:r w:rsidRPr="00DB5AAF">
        <w:rPr>
          <w:lang w:val="fr-CA"/>
        </w:rPr>
        <w:t>Office, dans les cinq jours suivant la réception des deux offres présentées conformément au paragraphe</w:t>
      </w:r>
      <w:r>
        <w:rPr>
          <w:lang w:val="fr-CA"/>
        </w:rPr>
        <w:t xml:space="preserve"> </w:t>
      </w:r>
      <w:r w:rsidRPr="00DB5AAF">
        <w:rPr>
          <w:lang w:val="fr-CA"/>
        </w:rPr>
        <w:t>161.1(1), renvoie la question</w:t>
      </w:r>
      <w:r>
        <w:rPr>
          <w:lang w:val="fr-CA"/>
        </w:rPr>
        <w:t> :</w:t>
      </w:r>
    </w:p>
    <w:p w:rsidR="00784AD2" w:rsidRPr="00DB5AAF" w:rsidRDefault="00784AD2" w:rsidP="005C77BD">
      <w:pPr>
        <w:pStyle w:val="Citation-AltC"/>
        <w:spacing w:after="240"/>
        <w:ind w:left="1440"/>
        <w:contextualSpacing w:val="0"/>
        <w:rPr>
          <w:lang w:val="fr-CA"/>
        </w:rPr>
      </w:pPr>
      <w:r w:rsidRPr="00DB5AAF">
        <w:rPr>
          <w:i/>
          <w:iCs/>
          <w:lang w:val="fr-CA"/>
        </w:rPr>
        <w:t>a</w:t>
      </w:r>
      <w:r w:rsidRPr="00DB5AAF">
        <w:rPr>
          <w:lang w:val="fr-CA"/>
        </w:rPr>
        <w:t>)</w:t>
      </w:r>
      <w:r>
        <w:rPr>
          <w:lang w:val="fr-CA"/>
        </w:rPr>
        <w:t xml:space="preserve"> </w:t>
      </w:r>
      <w:r w:rsidRPr="00DB5AAF">
        <w:rPr>
          <w:lang w:val="fr-CA"/>
        </w:rPr>
        <w:t>à défaut de choix par les parties de soumettre la question à une formation de trois arbitres, à l</w:t>
      </w:r>
      <w:r>
        <w:rPr>
          <w:lang w:val="fr-CA"/>
        </w:rPr>
        <w:t>’</w:t>
      </w:r>
      <w:r w:rsidRPr="00DB5AAF">
        <w:rPr>
          <w:lang w:val="fr-CA"/>
        </w:rPr>
        <w:t>arbitre unique visé à l</w:t>
      </w:r>
      <w:r>
        <w:rPr>
          <w:lang w:val="fr-CA"/>
        </w:rPr>
        <w:t>’</w:t>
      </w:r>
      <w:r w:rsidRPr="00DB5AAF">
        <w:rPr>
          <w:lang w:val="fr-CA"/>
        </w:rPr>
        <w:t>alinéa</w:t>
      </w:r>
      <w:r>
        <w:rPr>
          <w:lang w:val="fr-CA"/>
        </w:rPr>
        <w:t xml:space="preserve"> </w:t>
      </w:r>
      <w:r w:rsidRPr="00DB5AAF">
        <w:rPr>
          <w:lang w:val="fr-CA"/>
        </w:rPr>
        <w:t>161(2)</w:t>
      </w:r>
      <w:r w:rsidRPr="00DB5AAF">
        <w:rPr>
          <w:i/>
          <w:iCs/>
          <w:lang w:val="fr-CA"/>
        </w:rPr>
        <w:t>e</w:t>
      </w:r>
      <w:r w:rsidRPr="00DB5AAF">
        <w:rPr>
          <w:lang w:val="fr-CA"/>
        </w:rPr>
        <w:t>), s</w:t>
      </w:r>
      <w:r>
        <w:rPr>
          <w:lang w:val="fr-CA"/>
        </w:rPr>
        <w:t>’</w:t>
      </w:r>
      <w:r w:rsidRPr="00DB5AAF">
        <w:rPr>
          <w:lang w:val="fr-CA"/>
        </w:rPr>
        <w:t>il est disponible pour mener l</w:t>
      </w:r>
      <w:r>
        <w:rPr>
          <w:lang w:val="fr-CA"/>
        </w:rPr>
        <w:t>’</w:t>
      </w:r>
      <w:r w:rsidRPr="00DB5AAF">
        <w:rPr>
          <w:lang w:val="fr-CA"/>
        </w:rPr>
        <w:t>arbitrage ou, en l</w:t>
      </w:r>
      <w:r>
        <w:rPr>
          <w:lang w:val="fr-CA"/>
        </w:rPr>
        <w:t>’</w:t>
      </w:r>
      <w:r w:rsidRPr="00DB5AAF">
        <w:rPr>
          <w:lang w:val="fr-CA"/>
        </w:rPr>
        <w:t>absence de choix d</w:t>
      </w:r>
      <w:r>
        <w:rPr>
          <w:lang w:val="fr-CA"/>
        </w:rPr>
        <w:t>’</w:t>
      </w:r>
      <w:r w:rsidRPr="00DB5AAF">
        <w:rPr>
          <w:lang w:val="fr-CA"/>
        </w:rPr>
        <w:t>arbitre ou cas de non</w:t>
      </w:r>
      <w:r>
        <w:rPr>
          <w:lang w:val="fr-CA"/>
        </w:rPr>
        <w:t>-</w:t>
      </w:r>
      <w:r w:rsidRPr="00DB5AAF">
        <w:rPr>
          <w:lang w:val="fr-CA"/>
        </w:rPr>
        <w:t>disponibilité, selon l</w:t>
      </w:r>
      <w:r>
        <w:rPr>
          <w:lang w:val="fr-CA"/>
        </w:rPr>
        <w:t>’</w:t>
      </w:r>
      <w:r w:rsidRPr="00DB5AAF">
        <w:rPr>
          <w:lang w:val="fr-CA"/>
        </w:rPr>
        <w:t>Office, de l</w:t>
      </w:r>
      <w:r>
        <w:rPr>
          <w:lang w:val="fr-CA"/>
        </w:rPr>
        <w:t>’</w:t>
      </w:r>
      <w:r w:rsidRPr="00DB5AAF">
        <w:rPr>
          <w:lang w:val="fr-CA"/>
        </w:rPr>
        <w:t>arbitre choisi, à un arbitre que l</w:t>
      </w:r>
      <w:r>
        <w:rPr>
          <w:lang w:val="fr-CA"/>
        </w:rPr>
        <w:t>’</w:t>
      </w:r>
      <w:r w:rsidRPr="00DB5AAF">
        <w:rPr>
          <w:lang w:val="fr-CA"/>
        </w:rPr>
        <w:t>Office estime disponible et compétent et qui est inscrit sur la liste établie en vertu de</w:t>
      </w:r>
      <w:r>
        <w:rPr>
          <w:lang w:val="fr-CA"/>
        </w:rPr>
        <w:t xml:space="preserve"> l’article </w:t>
      </w:r>
      <w:r w:rsidRPr="00DB5AAF">
        <w:rPr>
          <w:lang w:val="fr-CA"/>
        </w:rPr>
        <w:t>169;</w:t>
      </w:r>
    </w:p>
    <w:p w:rsidR="00784AD2" w:rsidRPr="00DB5AAF" w:rsidRDefault="00784AD2" w:rsidP="005C77BD">
      <w:pPr>
        <w:pStyle w:val="Citation-AltC"/>
        <w:spacing w:after="240"/>
        <w:ind w:left="1440"/>
        <w:contextualSpacing w:val="0"/>
        <w:rPr>
          <w:lang w:val="fr-CA"/>
        </w:rPr>
      </w:pPr>
      <w:r w:rsidRPr="00DB5AAF">
        <w:rPr>
          <w:i/>
          <w:iCs/>
          <w:lang w:val="fr-CA"/>
        </w:rPr>
        <w:t>b</w:t>
      </w:r>
      <w:r w:rsidRPr="00DB5AAF">
        <w:rPr>
          <w:lang w:val="fr-CA"/>
        </w:rPr>
        <w:t>)</w:t>
      </w:r>
      <w:r>
        <w:rPr>
          <w:lang w:val="fr-CA"/>
        </w:rPr>
        <w:t xml:space="preserve">  </w:t>
      </w:r>
      <w:r w:rsidRPr="00DB5AAF">
        <w:rPr>
          <w:lang w:val="fr-CA"/>
        </w:rPr>
        <w:t>en cas de choix par les parties de soumettre la question à une formation de trois arbitres</w:t>
      </w:r>
      <w:r>
        <w:rPr>
          <w:lang w:val="fr-CA"/>
        </w:rPr>
        <w:t> :</w:t>
      </w:r>
    </w:p>
    <w:p w:rsidR="00784AD2" w:rsidRPr="00DB5AAF" w:rsidRDefault="00784AD2" w:rsidP="00881EFE">
      <w:pPr>
        <w:pStyle w:val="Citation-AltC"/>
        <w:spacing w:after="240"/>
        <w:ind w:left="1890"/>
        <w:contextualSpacing w:val="0"/>
        <w:rPr>
          <w:lang w:val="fr-CA"/>
        </w:rPr>
      </w:pPr>
      <w:r w:rsidRPr="00DB5AAF">
        <w:rPr>
          <w:lang w:val="fr-CA"/>
        </w:rPr>
        <w:t>(i)</w:t>
      </w:r>
      <w:r>
        <w:rPr>
          <w:lang w:val="fr-CA"/>
        </w:rPr>
        <w:t xml:space="preserve">  </w:t>
      </w:r>
      <w:r w:rsidRPr="00DB5AAF">
        <w:rPr>
          <w:lang w:val="fr-CA"/>
        </w:rPr>
        <w:t>aux arbitres visés à l</w:t>
      </w:r>
      <w:r>
        <w:rPr>
          <w:lang w:val="fr-CA"/>
        </w:rPr>
        <w:t>’</w:t>
      </w:r>
      <w:r w:rsidRPr="00DB5AAF">
        <w:rPr>
          <w:lang w:val="fr-CA"/>
        </w:rPr>
        <w:t>alinéa</w:t>
      </w:r>
      <w:r>
        <w:rPr>
          <w:lang w:val="fr-CA"/>
        </w:rPr>
        <w:t xml:space="preserve"> </w:t>
      </w:r>
      <w:r w:rsidRPr="00DB5AAF">
        <w:rPr>
          <w:lang w:val="fr-CA"/>
        </w:rPr>
        <w:t>161(2)</w:t>
      </w:r>
      <w:r w:rsidRPr="00DB5AAF">
        <w:rPr>
          <w:i/>
          <w:iCs/>
          <w:lang w:val="fr-CA"/>
        </w:rPr>
        <w:t>e</w:t>
      </w:r>
      <w:r w:rsidRPr="00DB5AAF">
        <w:rPr>
          <w:lang w:val="fr-CA"/>
        </w:rPr>
        <w:t>) et, soit à celui dont ils ont conjointement soumis le nom à l</w:t>
      </w:r>
      <w:r>
        <w:rPr>
          <w:lang w:val="fr-CA"/>
        </w:rPr>
        <w:t>’</w:t>
      </w:r>
      <w:r w:rsidRPr="00DB5AAF">
        <w:rPr>
          <w:lang w:val="fr-CA"/>
        </w:rPr>
        <w:t>Office dans les dix jours suivant la signification de la demande visée au paragraphe</w:t>
      </w:r>
      <w:r>
        <w:rPr>
          <w:lang w:val="fr-CA"/>
        </w:rPr>
        <w:t xml:space="preserve"> </w:t>
      </w:r>
      <w:r w:rsidRPr="00DB5AAF">
        <w:rPr>
          <w:lang w:val="fr-CA"/>
        </w:rPr>
        <w:t>161(2), soit, dans le cas où ils ne soumettent aucun nom à l</w:t>
      </w:r>
      <w:r>
        <w:rPr>
          <w:lang w:val="fr-CA"/>
        </w:rPr>
        <w:t>’</w:t>
      </w:r>
      <w:r w:rsidRPr="00DB5AAF">
        <w:rPr>
          <w:lang w:val="fr-CA"/>
        </w:rPr>
        <w:t>Office dans ce délai, à l</w:t>
      </w:r>
      <w:r>
        <w:rPr>
          <w:lang w:val="fr-CA"/>
        </w:rPr>
        <w:t>’</w:t>
      </w:r>
      <w:r w:rsidRPr="00DB5AAF">
        <w:rPr>
          <w:lang w:val="fr-CA"/>
        </w:rPr>
        <w:t>arbitre que l</w:t>
      </w:r>
      <w:r>
        <w:rPr>
          <w:lang w:val="fr-CA"/>
        </w:rPr>
        <w:t>’</w:t>
      </w:r>
      <w:r w:rsidRPr="00DB5AAF">
        <w:rPr>
          <w:lang w:val="fr-CA"/>
        </w:rPr>
        <w:t>Office estime disponible et compétent et qui est inscrit sur la liste établie en vertu de l</w:t>
      </w:r>
      <w:r>
        <w:rPr>
          <w:lang w:val="fr-CA"/>
        </w:rPr>
        <w:t>’</w:t>
      </w:r>
      <w:r w:rsidRPr="00DB5AAF">
        <w:rPr>
          <w:lang w:val="fr-CA"/>
        </w:rPr>
        <w:t>article 169,</w:t>
      </w:r>
    </w:p>
    <w:p w:rsidR="00784AD2" w:rsidRPr="00DB5AAF" w:rsidRDefault="00784AD2" w:rsidP="00881EFE">
      <w:pPr>
        <w:pStyle w:val="Citation-AltC"/>
        <w:spacing w:after="240"/>
        <w:ind w:left="1890"/>
        <w:contextualSpacing w:val="0"/>
        <w:rPr>
          <w:lang w:val="fr-CA"/>
        </w:rPr>
      </w:pPr>
      <w:r w:rsidRPr="00DB5AAF">
        <w:rPr>
          <w:lang w:val="fr-CA"/>
        </w:rPr>
        <w:t>(ii)</w:t>
      </w:r>
      <w:r>
        <w:rPr>
          <w:lang w:val="fr-CA"/>
        </w:rPr>
        <w:t xml:space="preserve">  </w:t>
      </w:r>
      <w:r w:rsidRPr="00DB5AAF">
        <w:rPr>
          <w:lang w:val="fr-CA"/>
        </w:rPr>
        <w:t>si l</w:t>
      </w:r>
      <w:r>
        <w:rPr>
          <w:lang w:val="fr-CA"/>
        </w:rPr>
        <w:t>’</w:t>
      </w:r>
      <w:r w:rsidRPr="00DB5AAF">
        <w:rPr>
          <w:lang w:val="fr-CA"/>
        </w:rPr>
        <w:t>un des arbitres visés au sous</w:t>
      </w:r>
      <w:r>
        <w:rPr>
          <w:lang w:val="fr-CA"/>
        </w:rPr>
        <w:t>-</w:t>
      </w:r>
      <w:r w:rsidRPr="00DB5AAF">
        <w:rPr>
          <w:lang w:val="fr-CA"/>
        </w:rPr>
        <w:t>alinéa (i) n</w:t>
      </w:r>
      <w:r>
        <w:rPr>
          <w:lang w:val="fr-CA"/>
        </w:rPr>
        <w:t>’</w:t>
      </w:r>
      <w:r w:rsidRPr="00DB5AAF">
        <w:rPr>
          <w:lang w:val="fr-CA"/>
        </w:rPr>
        <w:t>est pas, selon l</w:t>
      </w:r>
      <w:r>
        <w:rPr>
          <w:lang w:val="fr-CA"/>
        </w:rPr>
        <w:t>’</w:t>
      </w:r>
      <w:r w:rsidRPr="00DB5AAF">
        <w:rPr>
          <w:lang w:val="fr-CA"/>
        </w:rPr>
        <w:t>Office, disponible, à ceux qui le sont et à celui que l</w:t>
      </w:r>
      <w:r>
        <w:rPr>
          <w:lang w:val="fr-CA"/>
        </w:rPr>
        <w:t>’</w:t>
      </w:r>
      <w:r w:rsidRPr="00DB5AAF">
        <w:rPr>
          <w:lang w:val="fr-CA"/>
        </w:rPr>
        <w:t>Office estime disponible et compétent et qui est inscrit sur la list</w:t>
      </w:r>
      <w:r>
        <w:rPr>
          <w:lang w:val="fr-CA"/>
        </w:rPr>
        <w:t xml:space="preserve">e établie en vertu de l’article </w:t>
      </w:r>
      <w:r w:rsidRPr="00DB5AAF">
        <w:rPr>
          <w:lang w:val="fr-CA"/>
        </w:rPr>
        <w:t>169.</w:t>
      </w:r>
    </w:p>
    <w:p w:rsidR="00784AD2" w:rsidRPr="00DB5AAF" w:rsidRDefault="00784AD2" w:rsidP="005C77BD">
      <w:pPr>
        <w:pStyle w:val="Citation-AltC"/>
        <w:spacing w:after="240"/>
        <w:contextualSpacing w:val="0"/>
        <w:jc w:val="center"/>
        <w:rPr>
          <w:lang w:val="fr-CA"/>
        </w:rPr>
      </w:pPr>
      <w:r w:rsidRPr="00DB5AAF">
        <w:rPr>
          <w:lang w:val="fr-CA"/>
        </w:rPr>
        <w:t>.</w:t>
      </w:r>
      <w:r>
        <w:rPr>
          <w:lang w:val="fr-CA"/>
        </w:rPr>
        <w:t xml:space="preserve"> </w:t>
      </w:r>
      <w:r w:rsidRPr="00DB5AAF">
        <w:rPr>
          <w:lang w:val="fr-CA"/>
        </w:rPr>
        <w:t>.</w:t>
      </w:r>
      <w:r>
        <w:rPr>
          <w:lang w:val="fr-CA"/>
        </w:rPr>
        <w:t xml:space="preserve"> </w:t>
      </w:r>
      <w:r w:rsidRPr="00DB5AAF">
        <w:rPr>
          <w:lang w:val="fr-CA"/>
        </w:rPr>
        <w:t>.</w:t>
      </w:r>
    </w:p>
    <w:p w:rsidR="00784AD2" w:rsidRPr="00DB5AAF" w:rsidRDefault="00784AD2" w:rsidP="005C77BD">
      <w:pPr>
        <w:pStyle w:val="Citation-AltC"/>
        <w:spacing w:after="240"/>
        <w:ind w:firstLine="274"/>
        <w:contextualSpacing w:val="0"/>
        <w:rPr>
          <w:lang w:val="fr-CA"/>
        </w:rPr>
      </w:pPr>
      <w:r w:rsidRPr="00DB5AAF">
        <w:rPr>
          <w:b/>
          <w:bCs/>
          <w:lang w:val="fr-CA"/>
        </w:rPr>
        <w:lastRenderedPageBreak/>
        <w:t>165.</w:t>
      </w:r>
      <w:r>
        <w:rPr>
          <w:b/>
          <w:bCs/>
          <w:lang w:val="fr-CA"/>
        </w:rPr>
        <w:t xml:space="preserve"> </w:t>
      </w:r>
      <w:r w:rsidRPr="00DB5AAF">
        <w:rPr>
          <w:bCs/>
          <w:lang w:val="fr-CA"/>
        </w:rPr>
        <w:t>(1)</w:t>
      </w:r>
      <w:r>
        <w:rPr>
          <w:lang w:val="fr-CA"/>
        </w:rPr>
        <w:t xml:space="preserve">  </w:t>
      </w:r>
      <w:r w:rsidRPr="00DB5AAF">
        <w:rPr>
          <w:lang w:val="fr-CA"/>
        </w:rPr>
        <w:t>L</w:t>
      </w:r>
      <w:r>
        <w:rPr>
          <w:lang w:val="fr-CA"/>
        </w:rPr>
        <w:t>’</w:t>
      </w:r>
      <w:r w:rsidRPr="00DB5AAF">
        <w:rPr>
          <w:lang w:val="fr-CA"/>
        </w:rPr>
        <w:t>arbitre rend sa décision en choisissant la dernière offre de l</w:t>
      </w:r>
      <w:r>
        <w:rPr>
          <w:lang w:val="fr-CA"/>
        </w:rPr>
        <w:t>’</w:t>
      </w:r>
      <w:r w:rsidRPr="00DB5AAF">
        <w:rPr>
          <w:lang w:val="fr-CA"/>
        </w:rPr>
        <w:t>expéditeur ou celle du transporteur.</w:t>
      </w:r>
    </w:p>
    <w:p w:rsidR="00784AD2" w:rsidRPr="00DB5AAF" w:rsidRDefault="00784AD2" w:rsidP="005C77BD">
      <w:pPr>
        <w:pStyle w:val="Citation-AltC"/>
        <w:spacing w:after="240"/>
        <w:contextualSpacing w:val="0"/>
        <w:jc w:val="center"/>
        <w:rPr>
          <w:lang w:val="fr-CA"/>
        </w:rPr>
      </w:pPr>
      <w:r w:rsidRPr="00DB5AAF">
        <w:rPr>
          <w:lang w:val="fr-CA"/>
        </w:rPr>
        <w:t>.</w:t>
      </w:r>
      <w:r>
        <w:rPr>
          <w:lang w:val="fr-CA"/>
        </w:rPr>
        <w:t xml:space="preserve"> </w:t>
      </w:r>
      <w:r w:rsidRPr="00DB5AAF">
        <w:rPr>
          <w:lang w:val="fr-CA"/>
        </w:rPr>
        <w:t>.</w:t>
      </w:r>
      <w:r>
        <w:rPr>
          <w:lang w:val="fr-CA"/>
        </w:rPr>
        <w:t xml:space="preserve"> </w:t>
      </w:r>
      <w:r w:rsidRPr="00DB5AAF">
        <w:rPr>
          <w:lang w:val="fr-CA"/>
        </w:rPr>
        <w:t>.</w:t>
      </w:r>
    </w:p>
    <w:p w:rsidR="00784AD2" w:rsidRPr="00DB5AAF" w:rsidRDefault="00784AD2" w:rsidP="00881EFE">
      <w:pPr>
        <w:pStyle w:val="Citation-AltC"/>
        <w:ind w:firstLine="274"/>
        <w:rPr>
          <w:lang w:val="fr-CA"/>
        </w:rPr>
      </w:pPr>
      <w:r w:rsidRPr="00DB5AAF">
        <w:rPr>
          <w:bCs/>
          <w:lang w:val="fr-CA"/>
        </w:rPr>
        <w:t>(3)</w:t>
      </w:r>
      <w:r>
        <w:rPr>
          <w:lang w:val="fr-CA"/>
        </w:rPr>
        <w:t xml:space="preserve">  </w:t>
      </w:r>
      <w:r w:rsidRPr="00DB5AAF">
        <w:rPr>
          <w:lang w:val="fr-CA"/>
        </w:rPr>
        <w:t>Le transporteur inscrit, sans délai après la décision de l</w:t>
      </w:r>
      <w:r>
        <w:rPr>
          <w:lang w:val="fr-CA"/>
        </w:rPr>
        <w:t>’</w:t>
      </w:r>
      <w:r w:rsidRPr="00DB5AAF">
        <w:rPr>
          <w:lang w:val="fr-CA"/>
        </w:rPr>
        <w:t>arbitre, les prix ou conditions liés à l</w:t>
      </w:r>
      <w:r>
        <w:rPr>
          <w:lang w:val="fr-CA"/>
        </w:rPr>
        <w:t>’</w:t>
      </w:r>
      <w:r w:rsidRPr="00DB5AAF">
        <w:rPr>
          <w:lang w:val="fr-CA"/>
        </w:rPr>
        <w:t>acheminement des marchandises choisis par l</w:t>
      </w:r>
      <w:r>
        <w:rPr>
          <w:lang w:val="fr-CA"/>
        </w:rPr>
        <w:t>’</w:t>
      </w:r>
      <w:r w:rsidRPr="00DB5AAF">
        <w:rPr>
          <w:lang w:val="fr-CA"/>
        </w:rPr>
        <w:t>arbitre dans un tarif du transporteur, sauf si, dans les cas où celui</w:t>
      </w:r>
      <w:r>
        <w:rPr>
          <w:lang w:val="fr-CA"/>
        </w:rPr>
        <w:t>-</w:t>
      </w:r>
      <w:r w:rsidRPr="00DB5AAF">
        <w:rPr>
          <w:lang w:val="fr-CA"/>
        </w:rPr>
        <w:t>ci a droit de ne pas dévoiler les prix ou conditions, les parties à l</w:t>
      </w:r>
      <w:r>
        <w:rPr>
          <w:lang w:val="fr-CA"/>
        </w:rPr>
        <w:t>’</w:t>
      </w:r>
      <w:r w:rsidRPr="00DB5AAF">
        <w:rPr>
          <w:lang w:val="fr-CA"/>
        </w:rPr>
        <w:t>arbitrage conviennent de les inclure dans un contrat confidentiel conclu entre les parties.</w:t>
      </w:r>
    </w:p>
    <w:p w:rsidR="004D7D95" w:rsidRPr="000145E2" w:rsidRDefault="004D7D95" w:rsidP="005C77BD">
      <w:pPr>
        <w:pStyle w:val="SCCNormalDoubleSpacing"/>
        <w:spacing w:after="480"/>
        <w:rPr>
          <w:i/>
          <w:lang w:val="fr-CA"/>
        </w:rPr>
      </w:pPr>
      <w:r w:rsidRPr="000145E2">
        <w:rPr>
          <w:lang w:val="fr-CA"/>
        </w:rPr>
        <w:tab/>
      </w:r>
      <w:r w:rsidR="00293615" w:rsidRPr="000145E2">
        <w:rPr>
          <w:i/>
          <w:lang w:val="fr-CA"/>
        </w:rPr>
        <w:t xml:space="preserve">Pourvoi </w:t>
      </w:r>
      <w:r w:rsidR="00F23109" w:rsidRPr="000145E2">
        <w:rPr>
          <w:i/>
          <w:lang w:val="fr-CA"/>
        </w:rPr>
        <w:t>rejeté avec dépens</w:t>
      </w:r>
      <w:r w:rsidR="00293615" w:rsidRPr="000145E2">
        <w:rPr>
          <w:i/>
          <w:lang w:val="fr-CA"/>
        </w:rPr>
        <w:t>.</w:t>
      </w:r>
    </w:p>
    <w:p w:rsidR="00293615" w:rsidRPr="000145E2" w:rsidRDefault="00293615" w:rsidP="005C77BD">
      <w:pPr>
        <w:pStyle w:val="SCCLawFirm"/>
        <w:spacing w:after="480"/>
        <w:rPr>
          <w:lang w:val="fr-CA"/>
        </w:rPr>
      </w:pPr>
      <w:r w:rsidRPr="000145E2">
        <w:rPr>
          <w:lang w:val="fr-CA"/>
        </w:rPr>
        <w:tab/>
      </w:r>
      <w:r w:rsidR="00380173" w:rsidRPr="000145E2">
        <w:rPr>
          <w:lang w:val="fr-CA"/>
        </w:rPr>
        <w:t>Procureurs de l’appelante</w:t>
      </w:r>
      <w:r w:rsidR="00784AD2">
        <w:rPr>
          <w:lang w:val="fr-CA"/>
        </w:rPr>
        <w:t xml:space="preserve"> : </w:t>
      </w:r>
      <w:r w:rsidRPr="000145E2">
        <w:rPr>
          <w:lang w:val="fr-CA"/>
        </w:rPr>
        <w:t xml:space="preserve">Borden </w:t>
      </w:r>
      <w:proofErr w:type="spellStart"/>
      <w:r w:rsidRPr="000145E2">
        <w:rPr>
          <w:lang w:val="fr-CA"/>
        </w:rPr>
        <w:t>Ladner</w:t>
      </w:r>
      <w:proofErr w:type="spellEnd"/>
      <w:r w:rsidRPr="000145E2">
        <w:rPr>
          <w:lang w:val="fr-CA"/>
        </w:rPr>
        <w:t xml:space="preserve"> Gervais, Ottawa; Compagnie des chemins de fer nationaux du Canada, Montréal.</w:t>
      </w:r>
    </w:p>
    <w:p w:rsidR="00293615" w:rsidRPr="000145E2" w:rsidRDefault="00293615" w:rsidP="005C77BD">
      <w:pPr>
        <w:pStyle w:val="SCCLawFirm"/>
        <w:spacing w:after="480"/>
        <w:rPr>
          <w:lang w:val="fr-CA"/>
        </w:rPr>
      </w:pPr>
      <w:r w:rsidRPr="000145E2">
        <w:rPr>
          <w:lang w:val="fr-CA"/>
        </w:rPr>
        <w:tab/>
        <w:t xml:space="preserve">Procureur de l’intimé </w:t>
      </w:r>
      <w:r w:rsidRPr="000145E2">
        <w:rPr>
          <w:rStyle w:val="SCCCounselPartyRoleChar"/>
          <w:lang w:val="fr-CA"/>
        </w:rPr>
        <w:t>le p</w:t>
      </w:r>
      <w:r w:rsidR="00380173" w:rsidRPr="000145E2">
        <w:rPr>
          <w:lang w:val="fr-CA"/>
        </w:rPr>
        <w:t>rocureur général du Canada</w:t>
      </w:r>
      <w:r w:rsidR="00784AD2">
        <w:rPr>
          <w:lang w:val="fr-CA"/>
        </w:rPr>
        <w:t xml:space="preserve"> : </w:t>
      </w:r>
      <w:r w:rsidRPr="000145E2">
        <w:rPr>
          <w:lang w:val="fr-CA"/>
        </w:rPr>
        <w:t>Procureur général du Canada, Toronto.</w:t>
      </w:r>
    </w:p>
    <w:p w:rsidR="009B57B3" w:rsidRDefault="00293615" w:rsidP="005C77BD">
      <w:pPr>
        <w:pStyle w:val="SCCLawFirm"/>
        <w:rPr>
          <w:b/>
          <w:i w:val="0"/>
          <w:lang w:val="fr-CA"/>
        </w:rPr>
      </w:pPr>
      <w:r w:rsidRPr="000145E2">
        <w:rPr>
          <w:lang w:val="fr-CA"/>
        </w:rPr>
        <w:tab/>
        <w:t xml:space="preserve">Procureurs des intimées </w:t>
      </w:r>
      <w:proofErr w:type="spellStart"/>
      <w:r w:rsidRPr="000145E2">
        <w:rPr>
          <w:rStyle w:val="SCCCounselPartyRoleChar"/>
          <w:lang w:val="fr-CA"/>
        </w:rPr>
        <w:t>Peace</w:t>
      </w:r>
      <w:proofErr w:type="spellEnd"/>
      <w:r w:rsidRPr="000145E2">
        <w:rPr>
          <w:rStyle w:val="SCCCounselPartyRoleChar"/>
          <w:lang w:val="fr-CA"/>
        </w:rPr>
        <w:t xml:space="preserve"> River Coal Inc. et l’Association canadienne de transport industriel</w:t>
      </w:r>
      <w:r w:rsidR="00784AD2">
        <w:rPr>
          <w:lang w:val="fr-CA"/>
        </w:rPr>
        <w:t xml:space="preserve"> : </w:t>
      </w:r>
      <w:r w:rsidRPr="000145E2">
        <w:rPr>
          <w:lang w:val="fr-CA"/>
        </w:rPr>
        <w:t>Davis, Vancouver.</w:t>
      </w:r>
    </w:p>
    <w:p w:rsidR="00784AD2" w:rsidRPr="00784AD2" w:rsidRDefault="00784AD2" w:rsidP="005C77BD">
      <w:pPr>
        <w:pStyle w:val="SCCNormalDoubleSpacing"/>
        <w:rPr>
          <w:lang w:val="fr-CA"/>
        </w:rPr>
      </w:pPr>
    </w:p>
    <w:sectPr w:rsidR="00784AD2" w:rsidRPr="00784AD2"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CE5" w:rsidRDefault="00515CE5">
      <w:r>
        <w:separator/>
      </w:r>
    </w:p>
  </w:endnote>
  <w:endnote w:type="continuationSeparator" w:id="0">
    <w:p w:rsidR="00515CE5" w:rsidRDefault="00515C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EFE" w:rsidRDefault="00881E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EFE" w:rsidRDefault="00881E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EFE" w:rsidRDefault="00881E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CE5" w:rsidRDefault="00515CE5">
      <w:r>
        <w:separator/>
      </w:r>
    </w:p>
  </w:footnote>
  <w:footnote w:type="continuationSeparator" w:id="0">
    <w:p w:rsidR="00515CE5" w:rsidRDefault="00515C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EFE" w:rsidRDefault="00881E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CE5" w:rsidRPr="00450352" w:rsidRDefault="00515CE5" w:rsidP="004503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EFE" w:rsidRDefault="00881E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BFB46DB"/>
    <w:multiLevelType w:val="multilevel"/>
    <w:tmpl w:val="01405C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D557EE5"/>
    <w:multiLevelType w:val="multilevel"/>
    <w:tmpl w:val="CF161D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1D8248BD"/>
    <w:multiLevelType w:val="multilevel"/>
    <w:tmpl w:val="9F8896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7620967"/>
    <w:multiLevelType w:val="multilevel"/>
    <w:tmpl w:val="D66CA8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28C53D0B"/>
    <w:multiLevelType w:val="multilevel"/>
    <w:tmpl w:val="3916792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407F05FA"/>
    <w:multiLevelType w:val="multilevel"/>
    <w:tmpl w:val="CC94FC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603130A"/>
    <w:multiLevelType w:val="multilevel"/>
    <w:tmpl w:val="DE805AC2"/>
    <w:lvl w:ilvl="0">
      <w:start w:val="1"/>
      <w:numFmt w:val="upperRoman"/>
      <w:pStyle w:val="Title1LevelTitre1Niveau-AltL"/>
      <w:lvlText w:val="%1."/>
      <w:lvlJc w:val="left"/>
      <w:pPr>
        <w:tabs>
          <w:tab w:val="num" w:pos="432"/>
        </w:tabs>
        <w:ind w:left="432" w:hanging="432"/>
      </w:pPr>
      <w:rPr>
        <w:rFonts w:hint="default"/>
        <w:sz w:val="24"/>
      </w:rPr>
    </w:lvl>
    <w:lvl w:ilvl="1">
      <w:start w:val="1"/>
      <w:numFmt w:val="upperLetter"/>
      <w:pStyle w:val="Title2LevelTitre2Niveau"/>
      <w:lvlText w:val="%2."/>
      <w:lvlJc w:val="left"/>
      <w:pPr>
        <w:tabs>
          <w:tab w:val="num" w:pos="432"/>
        </w:tabs>
        <w:ind w:left="432" w:hanging="432"/>
      </w:pPr>
      <w:rPr>
        <w:rFonts w:ascii="Times New Roman" w:hAnsi="Times New Roman" w:hint="default"/>
        <w:b w:val="0"/>
        <w:i w:val="0"/>
        <w:sz w:val="24"/>
      </w:rPr>
    </w:lvl>
    <w:lvl w:ilvl="2">
      <w:start w:val="1"/>
      <w:numFmt w:val="decimal"/>
      <w:pStyle w:val="Title3LevelTitre3Niveau"/>
      <w:lvlText w:val="(%3)"/>
      <w:lvlJc w:val="left"/>
      <w:pPr>
        <w:tabs>
          <w:tab w:val="num" w:pos="864"/>
        </w:tabs>
        <w:ind w:left="864" w:hanging="432"/>
      </w:pPr>
      <w:rPr>
        <w:rFonts w:ascii="Times New Roman" w:hAnsi="Times New Roman" w:hint="default"/>
        <w:b w:val="0"/>
        <w:i w:val="0"/>
        <w:sz w:val="24"/>
      </w:rPr>
    </w:lvl>
    <w:lvl w:ilvl="3">
      <w:start w:val="1"/>
      <w:numFmt w:val="lowerLetter"/>
      <w:pStyle w:val="Title4LevelTitre4Niveau"/>
      <w:lvlText w:val="(%4)"/>
      <w:lvlJc w:val="left"/>
      <w:pPr>
        <w:tabs>
          <w:tab w:val="num" w:pos="1296"/>
        </w:tabs>
        <w:ind w:left="1296" w:hanging="432"/>
      </w:pPr>
      <w:rPr>
        <w:rFonts w:hint="default"/>
        <w:b w:val="0"/>
        <w:i w:val="0"/>
      </w:rPr>
    </w:lvl>
    <w:lvl w:ilvl="4">
      <w:start w:val="1"/>
      <w:numFmt w:val="lowerRoman"/>
      <w:pStyle w:val="Title5LevelTitre5Niveau"/>
      <w:lvlText w:val="(%5)"/>
      <w:lvlJc w:val="left"/>
      <w:pPr>
        <w:tabs>
          <w:tab w:val="num" w:pos="1728"/>
        </w:tabs>
        <w:ind w:left="1728" w:hanging="432"/>
      </w:pPr>
      <w:rPr>
        <w:rFonts w:hint="default"/>
      </w:rPr>
    </w:lvl>
    <w:lvl w:ilvl="5">
      <w:start w:val="1"/>
      <w:numFmt w:val="decimal"/>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20">
    <w:nsid w:val="48890396"/>
    <w:multiLevelType w:val="hybridMultilevel"/>
    <w:tmpl w:val="B8C29564"/>
    <w:lvl w:ilvl="0" w:tplc="1CF42208">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BFCA5A1E">
      <w:start w:val="1"/>
      <w:numFmt w:val="decimal"/>
      <w:lvlText w:val="(%4)"/>
      <w:lvlJc w:val="left"/>
      <w:pPr>
        <w:ind w:left="4014" w:hanging="360"/>
      </w:pPr>
      <w:rPr>
        <w:rFonts w:hint="default"/>
      </w:r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3">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6705110"/>
    <w:multiLevelType w:val="multilevel"/>
    <w:tmpl w:val="4598464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58D65000"/>
    <w:multiLevelType w:val="multilevel"/>
    <w:tmpl w:val="BC08FE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5D502215"/>
    <w:multiLevelType w:val="multilevel"/>
    <w:tmpl w:val="61BC02F6"/>
    <w:lvl w:ilvl="0">
      <w:start w:val="1"/>
      <w:numFmt w:val="decimal"/>
      <w:lvlText w:val="[%1]"/>
      <w:lvlJc w:val="left"/>
      <w:pPr>
        <w:tabs>
          <w:tab w:val="num" w:pos="1152"/>
        </w:tabs>
      </w:pPr>
      <w:rPr>
        <w:rFonts w:ascii="Times New Roman" w:hAnsi="Times New Roman" w:cs="Times New Roman"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0AE507B"/>
    <w:multiLevelType w:val="multilevel"/>
    <w:tmpl w:val="8D206C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4"/>
  </w:num>
  <w:num w:numId="2">
    <w:abstractNumId w:val="29"/>
  </w:num>
  <w:num w:numId="3">
    <w:abstractNumId w:val="14"/>
  </w:num>
  <w:num w:numId="4">
    <w:abstractNumId w:val="11"/>
  </w:num>
  <w:num w:numId="5">
    <w:abstractNumId w:val="22"/>
  </w:num>
  <w:num w:numId="6">
    <w:abstractNumId w:val="23"/>
  </w:num>
  <w:num w:numId="7">
    <w:abstractNumId w:val="19"/>
  </w:num>
  <w:num w:numId="8">
    <w:abstractNumId w:val="10"/>
  </w:num>
  <w:num w:numId="9">
    <w:abstractNumId w:val="25"/>
  </w:num>
  <w:num w:numId="10">
    <w:abstractNumId w:val="15"/>
  </w:num>
  <w:num w:numId="11">
    <w:abstractNumId w:val="17"/>
  </w:num>
  <w:num w:numId="12">
    <w:abstractNumId w:val="26"/>
  </w:num>
  <w:num w:numId="13">
    <w:abstractNumId w:val="13"/>
  </w:num>
  <w:num w:numId="14">
    <w:abstractNumId w:val="12"/>
  </w:num>
  <w:num w:numId="15">
    <w:abstractNumId w:val="28"/>
  </w:num>
  <w:num w:numId="16">
    <w:abstractNumId w:val="16"/>
  </w:num>
  <w:num w:numId="17">
    <w:abstractNumId w:val="27"/>
  </w:num>
  <w:num w:numId="18">
    <w:abstractNumId w:val="21"/>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8"/>
  </w:num>
  <w:num w:numId="30">
    <w:abstractNumId w:val="19"/>
    <w:lvlOverride w:ilvl="0">
      <w:startOverride w:val="10"/>
    </w:lvlOverride>
  </w:num>
  <w:num w:numId="31">
    <w:abstractNumId w:val="24"/>
    <w:lvlOverride w:ilvl="0">
      <w:startOverride w:val="54"/>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54"/>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39265"/>
  </w:hdrShapeDefaults>
  <w:footnotePr>
    <w:footnote w:id="-1"/>
    <w:footnote w:id="0"/>
  </w:footnotePr>
  <w:endnotePr>
    <w:endnote w:id="-1"/>
    <w:endnote w:id="0"/>
  </w:endnotePr>
  <w:compat/>
  <w:rsids>
    <w:rsidRoot w:val="0031414C"/>
    <w:rsid w:val="00000ED4"/>
    <w:rsid w:val="0000616B"/>
    <w:rsid w:val="000145E2"/>
    <w:rsid w:val="000200F5"/>
    <w:rsid w:val="00023FC7"/>
    <w:rsid w:val="00025198"/>
    <w:rsid w:val="00042226"/>
    <w:rsid w:val="000505FC"/>
    <w:rsid w:val="000578A3"/>
    <w:rsid w:val="000648CC"/>
    <w:rsid w:val="000C59B8"/>
    <w:rsid w:val="000C6AF0"/>
    <w:rsid w:val="000D0A77"/>
    <w:rsid w:val="000F7993"/>
    <w:rsid w:val="00104F33"/>
    <w:rsid w:val="00111DE2"/>
    <w:rsid w:val="00116B38"/>
    <w:rsid w:val="0012426A"/>
    <w:rsid w:val="001269AF"/>
    <w:rsid w:val="00135406"/>
    <w:rsid w:val="00135972"/>
    <w:rsid w:val="00141240"/>
    <w:rsid w:val="001426A9"/>
    <w:rsid w:val="00154D7C"/>
    <w:rsid w:val="001570B0"/>
    <w:rsid w:val="0015752C"/>
    <w:rsid w:val="00157737"/>
    <w:rsid w:val="00165277"/>
    <w:rsid w:val="00170592"/>
    <w:rsid w:val="001720F7"/>
    <w:rsid w:val="001866A2"/>
    <w:rsid w:val="00195D83"/>
    <w:rsid w:val="001A00C1"/>
    <w:rsid w:val="001A1FB5"/>
    <w:rsid w:val="001A2FAE"/>
    <w:rsid w:val="001B33E0"/>
    <w:rsid w:val="001B4573"/>
    <w:rsid w:val="001C779F"/>
    <w:rsid w:val="001D2AC1"/>
    <w:rsid w:val="001D4E88"/>
    <w:rsid w:val="001E351D"/>
    <w:rsid w:val="00220EE9"/>
    <w:rsid w:val="00220FC2"/>
    <w:rsid w:val="002222F4"/>
    <w:rsid w:val="00224FC0"/>
    <w:rsid w:val="0022530F"/>
    <w:rsid w:val="00225EA4"/>
    <w:rsid w:val="00226EAF"/>
    <w:rsid w:val="00231F3A"/>
    <w:rsid w:val="002406EE"/>
    <w:rsid w:val="00243EC8"/>
    <w:rsid w:val="00251BA7"/>
    <w:rsid w:val="00270D93"/>
    <w:rsid w:val="00271399"/>
    <w:rsid w:val="002745CC"/>
    <w:rsid w:val="00293615"/>
    <w:rsid w:val="002B6FBE"/>
    <w:rsid w:val="002B7924"/>
    <w:rsid w:val="002C10A6"/>
    <w:rsid w:val="002D28C3"/>
    <w:rsid w:val="002D39A4"/>
    <w:rsid w:val="002E6705"/>
    <w:rsid w:val="002F6DCA"/>
    <w:rsid w:val="0030020E"/>
    <w:rsid w:val="0030329A"/>
    <w:rsid w:val="0031086F"/>
    <w:rsid w:val="0031414C"/>
    <w:rsid w:val="00314E01"/>
    <w:rsid w:val="0032089D"/>
    <w:rsid w:val="003310DE"/>
    <w:rsid w:val="003323B0"/>
    <w:rsid w:val="00340A49"/>
    <w:rsid w:val="0035169A"/>
    <w:rsid w:val="0035259D"/>
    <w:rsid w:val="00353FA3"/>
    <w:rsid w:val="0035644C"/>
    <w:rsid w:val="00364B18"/>
    <w:rsid w:val="003664F0"/>
    <w:rsid w:val="00380173"/>
    <w:rsid w:val="003836F8"/>
    <w:rsid w:val="003A125D"/>
    <w:rsid w:val="003A4C70"/>
    <w:rsid w:val="003A757A"/>
    <w:rsid w:val="003B215F"/>
    <w:rsid w:val="003B6845"/>
    <w:rsid w:val="003C799C"/>
    <w:rsid w:val="003D0399"/>
    <w:rsid w:val="003D0ED9"/>
    <w:rsid w:val="003E1C71"/>
    <w:rsid w:val="003F327B"/>
    <w:rsid w:val="00406166"/>
    <w:rsid w:val="0040704B"/>
    <w:rsid w:val="00410A55"/>
    <w:rsid w:val="00411300"/>
    <w:rsid w:val="00413F17"/>
    <w:rsid w:val="00415417"/>
    <w:rsid w:val="00426659"/>
    <w:rsid w:val="00431930"/>
    <w:rsid w:val="00450352"/>
    <w:rsid w:val="00454BDB"/>
    <w:rsid w:val="00465132"/>
    <w:rsid w:val="0047161B"/>
    <w:rsid w:val="00480C90"/>
    <w:rsid w:val="0048396F"/>
    <w:rsid w:val="00493C18"/>
    <w:rsid w:val="004A600C"/>
    <w:rsid w:val="004A6118"/>
    <w:rsid w:val="004B3371"/>
    <w:rsid w:val="004C478D"/>
    <w:rsid w:val="004D7D95"/>
    <w:rsid w:val="004E2C26"/>
    <w:rsid w:val="004E3298"/>
    <w:rsid w:val="004F0A21"/>
    <w:rsid w:val="005125A8"/>
    <w:rsid w:val="00515CE5"/>
    <w:rsid w:val="00517549"/>
    <w:rsid w:val="00520ABC"/>
    <w:rsid w:val="00521AE8"/>
    <w:rsid w:val="0052239B"/>
    <w:rsid w:val="00527180"/>
    <w:rsid w:val="00555291"/>
    <w:rsid w:val="00562040"/>
    <w:rsid w:val="005635AA"/>
    <w:rsid w:val="00566AD1"/>
    <w:rsid w:val="00583DE3"/>
    <w:rsid w:val="00583EDE"/>
    <w:rsid w:val="005A6079"/>
    <w:rsid w:val="005C0C2E"/>
    <w:rsid w:val="005C77BD"/>
    <w:rsid w:val="005E4698"/>
    <w:rsid w:val="005E7F40"/>
    <w:rsid w:val="00603924"/>
    <w:rsid w:val="00610539"/>
    <w:rsid w:val="00613969"/>
    <w:rsid w:val="00625C35"/>
    <w:rsid w:val="00647E49"/>
    <w:rsid w:val="00656313"/>
    <w:rsid w:val="006565F4"/>
    <w:rsid w:val="00684EEA"/>
    <w:rsid w:val="0069420D"/>
    <w:rsid w:val="0069689B"/>
    <w:rsid w:val="006A4CC2"/>
    <w:rsid w:val="006A5D34"/>
    <w:rsid w:val="006B5FF5"/>
    <w:rsid w:val="006F30AF"/>
    <w:rsid w:val="00701759"/>
    <w:rsid w:val="00705C15"/>
    <w:rsid w:val="007110F6"/>
    <w:rsid w:val="007160FB"/>
    <w:rsid w:val="007208D1"/>
    <w:rsid w:val="00744518"/>
    <w:rsid w:val="00747288"/>
    <w:rsid w:val="00747DD3"/>
    <w:rsid w:val="007549C8"/>
    <w:rsid w:val="0076292E"/>
    <w:rsid w:val="00766D14"/>
    <w:rsid w:val="00767A0F"/>
    <w:rsid w:val="00784AD2"/>
    <w:rsid w:val="00791272"/>
    <w:rsid w:val="007A05F6"/>
    <w:rsid w:val="007B6F4A"/>
    <w:rsid w:val="007E1C47"/>
    <w:rsid w:val="007E337A"/>
    <w:rsid w:val="007E5C70"/>
    <w:rsid w:val="007F2FF5"/>
    <w:rsid w:val="007F3F08"/>
    <w:rsid w:val="007F6100"/>
    <w:rsid w:val="00802428"/>
    <w:rsid w:val="00804CC6"/>
    <w:rsid w:val="00805939"/>
    <w:rsid w:val="00817190"/>
    <w:rsid w:val="008260E2"/>
    <w:rsid w:val="008322BD"/>
    <w:rsid w:val="00834F73"/>
    <w:rsid w:val="00836D1F"/>
    <w:rsid w:val="008430B1"/>
    <w:rsid w:val="00847379"/>
    <w:rsid w:val="00864C8A"/>
    <w:rsid w:val="00864CF8"/>
    <w:rsid w:val="00874914"/>
    <w:rsid w:val="00881EFE"/>
    <w:rsid w:val="00885565"/>
    <w:rsid w:val="00891422"/>
    <w:rsid w:val="00892E1A"/>
    <w:rsid w:val="008A49EE"/>
    <w:rsid w:val="008A7415"/>
    <w:rsid w:val="008A7826"/>
    <w:rsid w:val="008B0852"/>
    <w:rsid w:val="008B660A"/>
    <w:rsid w:val="008C01DA"/>
    <w:rsid w:val="008D4FC0"/>
    <w:rsid w:val="008F2674"/>
    <w:rsid w:val="008F3E34"/>
    <w:rsid w:val="008F78E9"/>
    <w:rsid w:val="009179F9"/>
    <w:rsid w:val="00917C7A"/>
    <w:rsid w:val="00932440"/>
    <w:rsid w:val="00933E5E"/>
    <w:rsid w:val="00935218"/>
    <w:rsid w:val="00937C52"/>
    <w:rsid w:val="00937D34"/>
    <w:rsid w:val="009403F3"/>
    <w:rsid w:val="009456D6"/>
    <w:rsid w:val="009555B7"/>
    <w:rsid w:val="009567AA"/>
    <w:rsid w:val="009602C9"/>
    <w:rsid w:val="00967374"/>
    <w:rsid w:val="00976982"/>
    <w:rsid w:val="00977F94"/>
    <w:rsid w:val="009A343A"/>
    <w:rsid w:val="009B2F23"/>
    <w:rsid w:val="009B57B3"/>
    <w:rsid w:val="009C2A7F"/>
    <w:rsid w:val="009D2920"/>
    <w:rsid w:val="009D5AEB"/>
    <w:rsid w:val="009E7331"/>
    <w:rsid w:val="009F0E33"/>
    <w:rsid w:val="00A149DF"/>
    <w:rsid w:val="00A1755C"/>
    <w:rsid w:val="00A21B90"/>
    <w:rsid w:val="00A22AAC"/>
    <w:rsid w:val="00A41805"/>
    <w:rsid w:val="00A42D0A"/>
    <w:rsid w:val="00A51882"/>
    <w:rsid w:val="00A52AFB"/>
    <w:rsid w:val="00A548CB"/>
    <w:rsid w:val="00A5521C"/>
    <w:rsid w:val="00A643E7"/>
    <w:rsid w:val="00A73C38"/>
    <w:rsid w:val="00AB2509"/>
    <w:rsid w:val="00AB670D"/>
    <w:rsid w:val="00AF03C5"/>
    <w:rsid w:val="00AF3AD4"/>
    <w:rsid w:val="00B000D8"/>
    <w:rsid w:val="00B00F75"/>
    <w:rsid w:val="00B145B6"/>
    <w:rsid w:val="00B279EB"/>
    <w:rsid w:val="00B50C81"/>
    <w:rsid w:val="00B557F8"/>
    <w:rsid w:val="00B800CE"/>
    <w:rsid w:val="00B815FC"/>
    <w:rsid w:val="00B93FBC"/>
    <w:rsid w:val="00BA7DA0"/>
    <w:rsid w:val="00BB2EE4"/>
    <w:rsid w:val="00BB4C92"/>
    <w:rsid w:val="00BC2108"/>
    <w:rsid w:val="00BD0E9E"/>
    <w:rsid w:val="00BD1BEC"/>
    <w:rsid w:val="00BD32FF"/>
    <w:rsid w:val="00BF0D84"/>
    <w:rsid w:val="00BF6FE9"/>
    <w:rsid w:val="00BF7A2A"/>
    <w:rsid w:val="00C02092"/>
    <w:rsid w:val="00C06274"/>
    <w:rsid w:val="00C20E6A"/>
    <w:rsid w:val="00C24D91"/>
    <w:rsid w:val="00C26DB2"/>
    <w:rsid w:val="00C270C2"/>
    <w:rsid w:val="00C53F14"/>
    <w:rsid w:val="00C600CF"/>
    <w:rsid w:val="00C6084F"/>
    <w:rsid w:val="00C62A66"/>
    <w:rsid w:val="00C66359"/>
    <w:rsid w:val="00C71458"/>
    <w:rsid w:val="00C775F3"/>
    <w:rsid w:val="00C77613"/>
    <w:rsid w:val="00C828E7"/>
    <w:rsid w:val="00C86719"/>
    <w:rsid w:val="00C921DD"/>
    <w:rsid w:val="00C9446F"/>
    <w:rsid w:val="00CA6391"/>
    <w:rsid w:val="00CB4664"/>
    <w:rsid w:val="00CE036E"/>
    <w:rsid w:val="00CE3171"/>
    <w:rsid w:val="00CE3729"/>
    <w:rsid w:val="00CF1601"/>
    <w:rsid w:val="00CF32A6"/>
    <w:rsid w:val="00D01488"/>
    <w:rsid w:val="00D0172F"/>
    <w:rsid w:val="00D01E33"/>
    <w:rsid w:val="00D068A7"/>
    <w:rsid w:val="00D17476"/>
    <w:rsid w:val="00D32086"/>
    <w:rsid w:val="00D37A3F"/>
    <w:rsid w:val="00D4431D"/>
    <w:rsid w:val="00D4667A"/>
    <w:rsid w:val="00D63A1C"/>
    <w:rsid w:val="00D7516F"/>
    <w:rsid w:val="00D95F8E"/>
    <w:rsid w:val="00DA0590"/>
    <w:rsid w:val="00DA6A71"/>
    <w:rsid w:val="00DB6EC2"/>
    <w:rsid w:val="00DC1739"/>
    <w:rsid w:val="00DC1788"/>
    <w:rsid w:val="00DE319C"/>
    <w:rsid w:val="00DE54B2"/>
    <w:rsid w:val="00DF0CA8"/>
    <w:rsid w:val="00DF2B48"/>
    <w:rsid w:val="00DF49A7"/>
    <w:rsid w:val="00E0080B"/>
    <w:rsid w:val="00E07EE2"/>
    <w:rsid w:val="00E07FD1"/>
    <w:rsid w:val="00E24573"/>
    <w:rsid w:val="00E25E1E"/>
    <w:rsid w:val="00E2732C"/>
    <w:rsid w:val="00E27EE7"/>
    <w:rsid w:val="00E35404"/>
    <w:rsid w:val="00E45109"/>
    <w:rsid w:val="00E47B7A"/>
    <w:rsid w:val="00E56A44"/>
    <w:rsid w:val="00E60269"/>
    <w:rsid w:val="00E96AF5"/>
    <w:rsid w:val="00E97830"/>
    <w:rsid w:val="00EB6FA5"/>
    <w:rsid w:val="00EE0830"/>
    <w:rsid w:val="00EE6CB8"/>
    <w:rsid w:val="00EF0683"/>
    <w:rsid w:val="00F0070C"/>
    <w:rsid w:val="00F00EB7"/>
    <w:rsid w:val="00F16E5E"/>
    <w:rsid w:val="00F23109"/>
    <w:rsid w:val="00F366EF"/>
    <w:rsid w:val="00F36AB6"/>
    <w:rsid w:val="00F37A09"/>
    <w:rsid w:val="00F409CE"/>
    <w:rsid w:val="00F4379D"/>
    <w:rsid w:val="00F50D2D"/>
    <w:rsid w:val="00F52167"/>
    <w:rsid w:val="00F56C8B"/>
    <w:rsid w:val="00F62639"/>
    <w:rsid w:val="00F63793"/>
    <w:rsid w:val="00F66810"/>
    <w:rsid w:val="00F84DF4"/>
    <w:rsid w:val="00F85C97"/>
    <w:rsid w:val="00FB37D2"/>
    <w:rsid w:val="00FC4EFB"/>
    <w:rsid w:val="00FD068D"/>
    <w:rsid w:val="00FD4F28"/>
    <w:rsid w:val="00FE168B"/>
    <w:rsid w:val="00FE6784"/>
    <w:rsid w:val="00FE7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84AD2"/>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784AD2"/>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784AD2"/>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unhideWhenUsed/>
    <w:qFormat/>
    <w:rsid w:val="00784AD2"/>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784AD2"/>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784AD2"/>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784AD2"/>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84AD2"/>
    <w:rPr>
      <w:rFonts w:asciiTheme="majorHAnsi" w:eastAsiaTheme="majorEastAsia" w:hAnsiTheme="majorHAnsi" w:cstheme="majorBidi"/>
      <w:b/>
      <w:bCs/>
      <w:color w:val="4F81BD" w:themeColor="accent1"/>
      <w:sz w:val="24"/>
      <w:szCs w:val="22"/>
      <w:lang w:val="en-US" w:eastAsia="en-US" w:bidi="en-US"/>
    </w:rPr>
  </w:style>
  <w:style w:type="character" w:customStyle="1" w:styleId="Heading6Char">
    <w:name w:val="Heading 6 Char"/>
    <w:basedOn w:val="DefaultParagraphFont"/>
    <w:link w:val="Heading6"/>
    <w:uiPriority w:val="9"/>
    <w:rsid w:val="00784AD2"/>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784AD2"/>
    <w:rPr>
      <w:rFonts w:asciiTheme="majorHAnsi" w:eastAsiaTheme="majorEastAsia" w:hAnsiTheme="majorHAnsi" w:cstheme="majorBidi"/>
      <w:i/>
      <w:iCs/>
      <w:color w:val="404040" w:themeColor="text1" w:themeTint="BF"/>
      <w:sz w:val="24"/>
      <w:szCs w:val="22"/>
      <w:lang w:val="en-US" w:eastAsia="en-US" w:bidi="en-US"/>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character" w:customStyle="1" w:styleId="SCCLsocLastPartyInRoleChar">
    <w:name w:val="SCC.Lsoc.LastPartyInRole Char"/>
    <w:basedOn w:val="SCCLsocPartyChar"/>
    <w:link w:val="SCCLsocLastPartyInRole"/>
    <w:rsid w:val="00FE7A8B"/>
    <w:rPr>
      <w:b/>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paragraph" w:customStyle="1" w:styleId="SCCBanSummary">
    <w:name w:val="SCC.BanSummary"/>
    <w:basedOn w:val="Normal"/>
    <w:next w:val="Normal"/>
    <w:link w:val="SCCBanSummaryChar"/>
    <w:rsid w:val="00111DE2"/>
    <w:pPr>
      <w:jc w:val="right"/>
    </w:pPr>
    <w:rPr>
      <w:b/>
    </w:rPr>
  </w:style>
  <w:style w:type="character" w:customStyle="1" w:styleId="SCCBanSummaryChar">
    <w:name w:val="SCC.BanSummary Char"/>
    <w:basedOn w:val="DefaultParagraphFont"/>
    <w:link w:val="SCCBanSummary"/>
    <w:locked/>
    <w:rsid w:val="00784AD2"/>
    <w:rPr>
      <w:b/>
      <w:sz w:val="24"/>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ParaNoNdepar-AltN">
    <w:name w:val="Para. No. / Nº de par. - Alt N"/>
    <w:qFormat/>
    <w:rsid w:val="009456D6"/>
    <w:pPr>
      <w:numPr>
        <w:numId w:val="1"/>
      </w:numPr>
      <w:spacing w:before="480" w:after="480" w:line="480" w:lineRule="auto"/>
      <w:jc w:val="both"/>
    </w:pPr>
    <w:rPr>
      <w:rFonts w:eastAsiaTheme="minorEastAsia" w:cstheme="minorBidi"/>
      <w:sz w:val="24"/>
      <w:szCs w:val="22"/>
      <w:lang w:eastAsia="en-US"/>
    </w:rPr>
  </w:style>
  <w:style w:type="character" w:customStyle="1" w:styleId="Heading4Char">
    <w:name w:val="Heading 4 Char"/>
    <w:basedOn w:val="DefaultParagraphFont"/>
    <w:link w:val="Heading4"/>
    <w:uiPriority w:val="9"/>
    <w:semiHidden/>
    <w:rsid w:val="00784AD2"/>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784AD2"/>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8Char">
    <w:name w:val="Heading 8 Char"/>
    <w:basedOn w:val="DefaultParagraphFont"/>
    <w:link w:val="Heading8"/>
    <w:uiPriority w:val="9"/>
    <w:semiHidden/>
    <w:rsid w:val="00784AD2"/>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784AD2"/>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784AD2"/>
    <w:pPr>
      <w:spacing w:after="480"/>
    </w:pPr>
    <w:rPr>
      <w:rFonts w:eastAsiaTheme="minorHAnsi" w:cstheme="minorBidi"/>
      <w:szCs w:val="22"/>
      <w:lang w:val="en-US" w:eastAsia="en-US" w:bidi="en-US"/>
    </w:rPr>
  </w:style>
  <w:style w:type="character" w:customStyle="1" w:styleId="SCCLsocOtherPartyRoleSeparatorChar">
    <w:name w:val="SCC.Lsoc.OtherPartyRoleSeparator Char"/>
    <w:basedOn w:val="DefaultParagraphFont"/>
    <w:link w:val="SCCLsocOtherPartyRoleSeparator"/>
    <w:locked/>
    <w:rsid w:val="00784AD2"/>
    <w:rPr>
      <w:rFonts w:eastAsiaTheme="minorHAnsi" w:cstheme="minorBidi"/>
      <w:sz w:val="24"/>
      <w:szCs w:val="22"/>
      <w:lang w:val="en-US" w:eastAsia="en-US" w:bidi="en-US"/>
    </w:rPr>
  </w:style>
  <w:style w:type="paragraph" w:customStyle="1" w:styleId="SCCCoram">
    <w:name w:val="SCC.Coram"/>
    <w:basedOn w:val="Normal"/>
    <w:next w:val="Normal"/>
    <w:link w:val="SCCCoramChar"/>
    <w:rsid w:val="00784AD2"/>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locked/>
    <w:rsid w:val="00784AD2"/>
    <w:rPr>
      <w:rFonts w:eastAsiaTheme="minorHAnsi" w:cstheme="minorBidi"/>
      <w:sz w:val="24"/>
      <w:szCs w:val="22"/>
      <w:lang w:val="en-US" w:eastAsia="en-US" w:bidi="en-US"/>
    </w:rPr>
  </w:style>
  <w:style w:type="paragraph" w:customStyle="1" w:styleId="Citation-AltC">
    <w:name w:val="Citation - Alt C"/>
    <w:uiPriority w:val="2"/>
    <w:qFormat/>
    <w:rsid w:val="00784AD2"/>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784AD2"/>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784AD2"/>
    <w:pPr>
      <w:tabs>
        <w:tab w:val="left" w:pos="1260"/>
      </w:tabs>
      <w:spacing w:after="480" w:line="480" w:lineRule="auto"/>
    </w:pPr>
    <w:rPr>
      <w:smallCaps/>
      <w:sz w:val="24"/>
    </w:rPr>
  </w:style>
  <w:style w:type="character" w:customStyle="1" w:styleId="JudgeJugeChar">
    <w:name w:val="Judge / Juge Char"/>
    <w:basedOn w:val="DefaultParagraphFont"/>
    <w:link w:val="JudgeJuge"/>
    <w:uiPriority w:val="3"/>
    <w:rsid w:val="00784AD2"/>
    <w:rPr>
      <w:smallCaps/>
      <w:sz w:val="24"/>
    </w:rPr>
  </w:style>
  <w:style w:type="paragraph" w:customStyle="1" w:styleId="Title1LevelTitre1Niveau-AltL">
    <w:name w:val="Title 1 Level / Titre 1 Niveau - Alt L"/>
    <w:next w:val="ParaNoNdepar-AltN"/>
    <w:uiPriority w:val="4"/>
    <w:qFormat/>
    <w:rsid w:val="00784AD2"/>
    <w:pPr>
      <w:numPr>
        <w:numId w:val="7"/>
      </w:numPr>
      <w:tabs>
        <w:tab w:val="left" w:pos="432"/>
      </w:tabs>
      <w:spacing w:after="720"/>
      <w:ind w:left="431" w:hanging="431"/>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784AD2"/>
    <w:pPr>
      <w:numPr>
        <w:ilvl w:val="1"/>
      </w:numPr>
      <w:ind w:left="431" w:hanging="431"/>
    </w:pPr>
    <w:rPr>
      <w:i/>
      <w:u w:val="none"/>
    </w:rPr>
  </w:style>
  <w:style w:type="paragraph" w:customStyle="1" w:styleId="Title3LevelTitre3Niveau">
    <w:name w:val="Title 3 Level / Titre 3 Niveau"/>
    <w:basedOn w:val="Title1LevelTitre1Niveau-AltL"/>
    <w:next w:val="ParaNoNdepar-AltN"/>
    <w:uiPriority w:val="4"/>
    <w:qFormat/>
    <w:rsid w:val="00784AD2"/>
    <w:pPr>
      <w:numPr>
        <w:ilvl w:val="2"/>
      </w:numPr>
      <w:tabs>
        <w:tab w:val="clear" w:pos="432"/>
      </w:tabs>
    </w:pPr>
  </w:style>
  <w:style w:type="paragraph" w:customStyle="1" w:styleId="Title4LevelTitre4Niveau">
    <w:name w:val="Title 4 Level / Titre 4 Niveau"/>
    <w:basedOn w:val="Title3LevelTitre3Niveau"/>
    <w:next w:val="ParaNoNdepar-AltN"/>
    <w:uiPriority w:val="4"/>
    <w:qFormat/>
    <w:rsid w:val="00784AD2"/>
    <w:pPr>
      <w:numPr>
        <w:ilvl w:val="3"/>
      </w:numPr>
      <w:tabs>
        <w:tab w:val="clear" w:pos="1296"/>
        <w:tab w:val="num" w:pos="900"/>
      </w:tabs>
      <w:ind w:left="900" w:hanging="450"/>
    </w:pPr>
    <w:rPr>
      <w:i/>
      <w:u w:val="none"/>
    </w:rPr>
  </w:style>
  <w:style w:type="paragraph" w:customStyle="1" w:styleId="Title5LevelTitre5Niveau">
    <w:name w:val="Title 5 Level / Titre 5 Niveau"/>
    <w:basedOn w:val="Title1LevelTitre1Niveau-AltL"/>
    <w:next w:val="ParaNoNdepar-AltN"/>
    <w:uiPriority w:val="4"/>
    <w:qFormat/>
    <w:rsid w:val="00784AD2"/>
    <w:pPr>
      <w:numPr>
        <w:ilvl w:val="4"/>
      </w:numPr>
      <w:tabs>
        <w:tab w:val="clear" w:pos="432"/>
        <w:tab w:val="clear" w:pos="1728"/>
        <w:tab w:val="num" w:pos="1440"/>
      </w:tabs>
      <w:ind w:left="1440" w:hanging="540"/>
    </w:pPr>
  </w:style>
  <w:style w:type="paragraph" w:customStyle="1" w:styleId="TitleTitre-AltT">
    <w:name w:val="Title / Titre - Alt T"/>
    <w:next w:val="ParaNoNdepar-AltN"/>
    <w:uiPriority w:val="3"/>
    <w:qFormat/>
    <w:rsid w:val="00784AD2"/>
    <w:pPr>
      <w:tabs>
        <w:tab w:val="left" w:pos="360"/>
      </w:tabs>
      <w:spacing w:after="720"/>
      <w:ind w:left="357" w:hanging="357"/>
      <w:jc w:val="both"/>
    </w:pPr>
    <w:rPr>
      <w:rFonts w:eastAsiaTheme="minorHAnsi" w:cstheme="minorBidi"/>
      <w:sz w:val="24"/>
      <w:szCs w:val="22"/>
      <w:lang w:eastAsia="en-US"/>
    </w:rPr>
  </w:style>
  <w:style w:type="paragraph" w:customStyle="1" w:styleId="subsection">
    <w:name w:val="subsection"/>
    <w:basedOn w:val="Normal"/>
    <w:uiPriority w:val="99"/>
    <w:rsid w:val="00784AD2"/>
    <w:pPr>
      <w:spacing w:before="168" w:after="120"/>
      <w:ind w:firstLine="360"/>
    </w:pPr>
    <w:rPr>
      <w:rFonts w:eastAsiaTheme="minorHAnsi" w:cstheme="minorBidi"/>
      <w:szCs w:val="22"/>
      <w:lang w:val="en-US" w:eastAsia="en-US" w:bidi="en-US"/>
    </w:rPr>
  </w:style>
  <w:style w:type="paragraph" w:styleId="ListParagraph">
    <w:name w:val="List Paragraph"/>
    <w:basedOn w:val="Normal"/>
    <w:uiPriority w:val="34"/>
    <w:rsid w:val="00784AD2"/>
    <w:pPr>
      <w:ind w:left="720"/>
      <w:contextualSpacing/>
    </w:pPr>
    <w:rPr>
      <w:rFonts w:eastAsiaTheme="minorHAnsi" w:cstheme="minorBidi"/>
      <w:szCs w:val="22"/>
      <w:lang w:val="en-US" w:eastAsia="en-US" w:bidi="en-US"/>
    </w:rPr>
  </w:style>
  <w:style w:type="character" w:customStyle="1" w:styleId="FootnoteTextChar">
    <w:name w:val="Footnote Text Char"/>
    <w:basedOn w:val="DefaultParagraphFont"/>
    <w:link w:val="FootnoteText"/>
    <w:uiPriority w:val="99"/>
    <w:semiHidden/>
    <w:rsid w:val="00784AD2"/>
    <w:rPr>
      <w:rFonts w:eastAsiaTheme="minorHAnsi" w:cstheme="minorBidi"/>
      <w:lang w:val="en-US" w:eastAsia="en-US" w:bidi="en-US"/>
    </w:rPr>
  </w:style>
  <w:style w:type="paragraph" w:styleId="FootnoteText">
    <w:name w:val="footnote text"/>
    <w:basedOn w:val="Normal"/>
    <w:link w:val="FootnoteTextChar"/>
    <w:uiPriority w:val="99"/>
    <w:semiHidden/>
    <w:rsid w:val="00784AD2"/>
    <w:rPr>
      <w:rFonts w:eastAsiaTheme="minorHAnsi" w:cstheme="minorBidi"/>
      <w:sz w:val="20"/>
      <w:lang w:val="en-US" w:eastAsia="en-US" w:bidi="en-US"/>
    </w:rPr>
  </w:style>
  <w:style w:type="character" w:styleId="Emphasis">
    <w:name w:val="Emphasis"/>
    <w:basedOn w:val="DefaultParagraphFont"/>
    <w:uiPriority w:val="20"/>
    <w:rsid w:val="00784AD2"/>
    <w:rPr>
      <w:i/>
      <w:iCs/>
    </w:rPr>
  </w:style>
  <w:style w:type="character" w:customStyle="1" w:styleId="canliisection1">
    <w:name w:val="canlii_section1"/>
    <w:basedOn w:val="DefaultParagraphFont"/>
    <w:uiPriority w:val="99"/>
    <w:rsid w:val="00784AD2"/>
    <w:rPr>
      <w:color w:val="auto"/>
      <w:shd w:val="clear" w:color="auto" w:fill="auto"/>
    </w:rPr>
  </w:style>
  <w:style w:type="paragraph" w:customStyle="1" w:styleId="section">
    <w:name w:val="section"/>
    <w:basedOn w:val="Normal"/>
    <w:uiPriority w:val="99"/>
    <w:rsid w:val="00784AD2"/>
    <w:pPr>
      <w:spacing w:before="100" w:beforeAutospacing="1" w:after="100" w:afterAutospacing="1"/>
    </w:pPr>
    <w:rPr>
      <w:rFonts w:eastAsiaTheme="minorHAnsi" w:cstheme="minorBidi"/>
      <w:szCs w:val="22"/>
      <w:lang w:val="en-US" w:eastAsia="en-US" w:bidi="en-US"/>
    </w:rPr>
  </w:style>
  <w:style w:type="paragraph" w:customStyle="1" w:styleId="paragraph">
    <w:name w:val="paragraph"/>
    <w:basedOn w:val="Normal"/>
    <w:uiPriority w:val="99"/>
    <w:rsid w:val="00784AD2"/>
    <w:pPr>
      <w:spacing w:before="100" w:beforeAutospacing="1" w:after="100" w:afterAutospacing="1"/>
    </w:pPr>
    <w:rPr>
      <w:rFonts w:eastAsiaTheme="minorHAnsi" w:cstheme="minorBidi"/>
      <w:szCs w:val="22"/>
      <w:lang w:val="en-US" w:eastAsia="en-US" w:bidi="en-US"/>
    </w:rPr>
  </w:style>
  <w:style w:type="character" w:styleId="Hyperlink">
    <w:name w:val="Hyperlink"/>
    <w:basedOn w:val="DefaultParagraphFont"/>
    <w:uiPriority w:val="99"/>
    <w:unhideWhenUsed/>
    <w:rsid w:val="00784AD2"/>
    <w:rPr>
      <w:color w:val="0000FF" w:themeColor="hyperlink"/>
      <w:u w:val="single"/>
    </w:rPr>
  </w:style>
  <w:style w:type="character" w:customStyle="1" w:styleId="highlight">
    <w:name w:val="highlight"/>
    <w:basedOn w:val="DefaultParagraphFont"/>
    <w:rsid w:val="00784AD2"/>
  </w:style>
  <w:style w:type="character" w:customStyle="1" w:styleId="complet">
    <w:name w:val="complet"/>
    <w:basedOn w:val="DefaultParagraphFont"/>
    <w:rsid w:val="00784AD2"/>
  </w:style>
  <w:style w:type="character" w:customStyle="1" w:styleId="CommentTextChar">
    <w:name w:val="Comment Text Char"/>
    <w:basedOn w:val="DefaultParagraphFont"/>
    <w:link w:val="CommentText"/>
    <w:uiPriority w:val="99"/>
    <w:semiHidden/>
    <w:rsid w:val="00784AD2"/>
    <w:rPr>
      <w:rFonts w:eastAsiaTheme="minorHAnsi" w:cstheme="minorBidi"/>
      <w:szCs w:val="22"/>
      <w:lang w:val="en-US" w:eastAsia="en-US" w:bidi="en-US"/>
    </w:rPr>
  </w:style>
  <w:style w:type="paragraph" w:styleId="CommentText">
    <w:name w:val="annotation text"/>
    <w:basedOn w:val="Normal"/>
    <w:link w:val="CommentTextChar"/>
    <w:uiPriority w:val="99"/>
    <w:semiHidden/>
    <w:unhideWhenUsed/>
    <w:rsid w:val="00784AD2"/>
    <w:rPr>
      <w:rFonts w:eastAsiaTheme="minorHAnsi" w:cstheme="minorBidi"/>
      <w:sz w:val="20"/>
      <w:szCs w:val="22"/>
      <w:lang w:val="en-US" w:eastAsia="en-US" w:bidi="en-US"/>
    </w:rPr>
  </w:style>
  <w:style w:type="character" w:customStyle="1" w:styleId="CommentSubjectChar">
    <w:name w:val="Comment Subject Char"/>
    <w:basedOn w:val="CommentTextChar"/>
    <w:link w:val="CommentSubject"/>
    <w:uiPriority w:val="99"/>
    <w:semiHidden/>
    <w:rsid w:val="00784AD2"/>
    <w:rPr>
      <w:b/>
      <w:bCs/>
    </w:rPr>
  </w:style>
  <w:style w:type="paragraph" w:styleId="CommentSubject">
    <w:name w:val="annotation subject"/>
    <w:basedOn w:val="CommentText"/>
    <w:next w:val="CommentText"/>
    <w:link w:val="CommentSubjectChar"/>
    <w:uiPriority w:val="99"/>
    <w:semiHidden/>
    <w:unhideWhenUsed/>
    <w:rsid w:val="00784AD2"/>
    <w:rPr>
      <w:b/>
      <w:bCs/>
    </w:rPr>
  </w:style>
  <w:style w:type="paragraph" w:styleId="NoSpacing">
    <w:name w:val="No Spacing"/>
    <w:uiPriority w:val="1"/>
    <w:rsid w:val="00784AD2"/>
    <w:rPr>
      <w:rFonts w:eastAsiaTheme="minorHAnsi" w:cstheme="minorBidi"/>
      <w:sz w:val="24"/>
      <w:szCs w:val="22"/>
      <w:lang w:val="en-US" w:eastAsia="en-US" w:bidi="en-US"/>
    </w:rPr>
  </w:style>
  <w:style w:type="paragraph" w:styleId="Title">
    <w:name w:val="Title"/>
    <w:basedOn w:val="Normal"/>
    <w:next w:val="Normal"/>
    <w:link w:val="TitleChar"/>
    <w:uiPriority w:val="10"/>
    <w:rsid w:val="00784AD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784AD2"/>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784AD2"/>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784AD2"/>
    <w:rPr>
      <w:rFonts w:asciiTheme="majorHAnsi" w:eastAsiaTheme="majorEastAsia" w:hAnsiTheme="majorHAnsi" w:cstheme="majorBidi"/>
      <w:i/>
      <w:iCs/>
      <w:color w:val="4F81BD" w:themeColor="accent1"/>
      <w:spacing w:val="15"/>
      <w:sz w:val="24"/>
      <w:szCs w:val="24"/>
      <w:lang w:val="en-US" w:eastAsia="en-US" w:bidi="en-US"/>
    </w:rPr>
  </w:style>
  <w:style w:type="paragraph" w:styleId="IntenseQuote">
    <w:name w:val="Intense Quote"/>
    <w:basedOn w:val="Normal"/>
    <w:next w:val="Normal"/>
    <w:link w:val="IntenseQuoteChar"/>
    <w:uiPriority w:val="30"/>
    <w:rsid w:val="00784AD2"/>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784AD2"/>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784AD2"/>
    <w:rPr>
      <w:i/>
      <w:iCs/>
      <w:color w:val="808080" w:themeColor="text1" w:themeTint="7F"/>
    </w:rPr>
  </w:style>
  <w:style w:type="character" w:styleId="IntenseEmphasis">
    <w:name w:val="Intense Emphasis"/>
    <w:basedOn w:val="DefaultParagraphFont"/>
    <w:uiPriority w:val="21"/>
    <w:rsid w:val="00784AD2"/>
    <w:rPr>
      <w:b/>
      <w:bCs/>
      <w:i/>
      <w:iCs/>
      <w:color w:val="4F81BD" w:themeColor="accent1"/>
    </w:rPr>
  </w:style>
  <w:style w:type="character" w:styleId="SubtleReference">
    <w:name w:val="Subtle Reference"/>
    <w:basedOn w:val="DefaultParagraphFont"/>
    <w:uiPriority w:val="31"/>
    <w:rsid w:val="00784AD2"/>
    <w:rPr>
      <w:smallCaps/>
      <w:color w:val="C0504D" w:themeColor="accent2"/>
      <w:u w:val="single"/>
    </w:rPr>
  </w:style>
  <w:style w:type="character" w:styleId="IntenseReference">
    <w:name w:val="Intense Reference"/>
    <w:basedOn w:val="DefaultParagraphFont"/>
    <w:uiPriority w:val="32"/>
    <w:rsid w:val="00784AD2"/>
    <w:rPr>
      <w:b/>
      <w:bCs/>
      <w:smallCaps/>
      <w:color w:val="C0504D" w:themeColor="accent2"/>
      <w:spacing w:val="5"/>
      <w:u w:val="single"/>
    </w:rPr>
  </w:style>
  <w:style w:type="character" w:styleId="BookTitle">
    <w:name w:val="Book Title"/>
    <w:basedOn w:val="DefaultParagraphFont"/>
    <w:uiPriority w:val="33"/>
    <w:rsid w:val="00784AD2"/>
    <w:rPr>
      <w:b/>
      <w:bCs/>
      <w:smallCaps/>
      <w:spacing w:val="5"/>
    </w:rPr>
  </w:style>
  <w:style w:type="table" w:styleId="TableGrid">
    <w:name w:val="Table Grid"/>
    <w:basedOn w:val="TableNormal"/>
    <w:uiPriority w:val="59"/>
    <w:rsid w:val="00353FA3"/>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CCLsocPartyRoleChar">
    <w:name w:val="SCC.Lsoc.PartyRole Char"/>
    <w:basedOn w:val="DefaultParagraphFont"/>
    <w:rsid w:val="00353FA3"/>
    <w:rPr>
      <w:lang w:val="fr-CA"/>
    </w:rPr>
  </w:style>
  <w:style w:type="paragraph" w:customStyle="1" w:styleId="SCCLsocPrefix">
    <w:name w:val="SCC.Lsoc.Prefix"/>
    <w:basedOn w:val="Normal"/>
    <w:next w:val="Normal"/>
    <w:link w:val="SCCLsocPrefixChar"/>
    <w:rsid w:val="00353FA3"/>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353FA3"/>
    <w:rPr>
      <w:rFonts w:eastAsiaTheme="minorHAnsi" w:cstheme="minorBidi"/>
      <w:b/>
      <w:smallCaps/>
      <w:sz w:val="24"/>
      <w:szCs w:val="24"/>
      <w:lang w:val="fr-C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10922</Words>
  <Characters>56003</Characters>
  <Application>Microsoft Office Word</Application>
  <DocSecurity>0</DocSecurity>
  <Lines>466</Lines>
  <Paragraphs>133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2014-05-22T17:37:00Z</dcterms:created>
  <dcterms:modified xsi:type="dcterms:W3CDTF">2014-12-12T13:58:00Z</dcterms:modified>
</cp:coreProperties>
</file>