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56" w:rsidRDefault="00736956" w:rsidP="0073695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64.7pt" o:ole="">
            <v:imagedata r:id="rId8" o:title=""/>
          </v:shape>
          <o:OLEObject Type="Embed" ProgID="Presentations.Drawing.13" ShapeID="_x0000_i1025" DrawAspect="Content" ObjectID="_1680618314" r:id="rId9"/>
        </w:object>
      </w:r>
      <w:r>
        <w:t xml:space="preserve"> </w:t>
      </w:r>
      <w:r>
        <w:ptab w:relativeTo="margin" w:alignment="right" w:leader="none"/>
      </w:r>
    </w:p>
    <w:p w:rsidR="00736956" w:rsidRDefault="00736956" w:rsidP="00736956">
      <w:pPr>
        <w:pStyle w:val="Header"/>
      </w:pPr>
    </w:p>
    <w:p w:rsidR="00736956" w:rsidRPr="001E12E2" w:rsidRDefault="00736956" w:rsidP="00736956">
      <w:pPr>
        <w:jc w:val="center"/>
        <w:rPr>
          <w:b/>
        </w:rPr>
      </w:pPr>
      <w:r w:rsidRPr="001E12E2">
        <w:rPr>
          <w:b/>
        </w:rPr>
        <w:t>COUR SUPRÊME DU CANADA</w:t>
      </w:r>
    </w:p>
    <w:p w:rsidR="00736956" w:rsidRDefault="00736956" w:rsidP="0073695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36956" w:rsidRPr="001E12E2" w:rsidTr="00424CD8">
        <w:trPr>
          <w:cantSplit/>
        </w:trPr>
        <w:tc>
          <w:tcPr>
            <w:tcW w:w="6768" w:type="dxa"/>
          </w:tcPr>
          <w:p w:rsidR="00736956" w:rsidRPr="00736956" w:rsidRDefault="00736956" w:rsidP="00424CD8">
            <w:pPr>
              <w:jc w:val="both"/>
              <w:rPr>
                <w:lang w:val="fr-CA"/>
              </w:rPr>
            </w:pPr>
            <w:r w:rsidRPr="00736956">
              <w:rPr>
                <w:b/>
                <w:smallCaps/>
                <w:lang w:val="fr-CA"/>
              </w:rPr>
              <w:t>Référence :</w:t>
            </w:r>
            <w:r w:rsidRPr="00736956">
              <w:rPr>
                <w:lang w:val="fr-CA"/>
              </w:rPr>
              <w:t xml:space="preserve"> Nation Tsilhqot’in </w:t>
            </w:r>
            <w:r w:rsidRPr="00736956">
              <w:rPr>
                <w:i/>
                <w:lang w:val="fr-CA"/>
              </w:rPr>
              <w:t>c.</w:t>
            </w:r>
            <w:r w:rsidRPr="00736956">
              <w:rPr>
                <w:lang w:val="fr-CA"/>
              </w:rPr>
              <w:t xml:space="preserve"> Colombie</w:t>
            </w:r>
            <w:r w:rsidRPr="00736956">
              <w:rPr>
                <w:lang w:val="fr-CA"/>
              </w:rPr>
              <w:noBreakHyphen/>
              <w:t xml:space="preserve">Britannique, </w:t>
            </w:r>
          </w:p>
          <w:p w:rsidR="00736956" w:rsidRPr="00C215DA" w:rsidRDefault="00736956" w:rsidP="00424CD8">
            <w:pPr>
              <w:jc w:val="both"/>
            </w:pPr>
            <w:r>
              <w:t xml:space="preserve">2014 CSC 44, </w:t>
            </w:r>
            <w:r>
              <w:rPr>
                <w:lang w:val="fr-CA"/>
              </w:rPr>
              <w:t>[2014] 2 R.C.S. 256</w:t>
            </w:r>
          </w:p>
          <w:p w:rsidR="00736956" w:rsidRPr="001E12E2" w:rsidRDefault="00736956" w:rsidP="00424CD8"/>
        </w:tc>
        <w:tc>
          <w:tcPr>
            <w:tcW w:w="2808" w:type="dxa"/>
          </w:tcPr>
          <w:p w:rsidR="00736956" w:rsidRPr="001E12E2" w:rsidRDefault="00736956" w:rsidP="00424CD8">
            <w:r w:rsidRPr="001E12E2">
              <w:rPr>
                <w:b/>
                <w:smallCaps/>
              </w:rPr>
              <w:t>Date</w:t>
            </w:r>
            <w:r>
              <w:rPr>
                <w:b/>
                <w:smallCaps/>
              </w:rPr>
              <w:t> :</w:t>
            </w:r>
            <w:r w:rsidRPr="001E12E2">
              <w:t xml:space="preserve"> </w:t>
            </w:r>
            <w:r>
              <w:t>20140626</w:t>
            </w:r>
          </w:p>
          <w:p w:rsidR="00736956" w:rsidRPr="001E12E2" w:rsidRDefault="00736956" w:rsidP="00424CD8">
            <w:r w:rsidRPr="001E12E2">
              <w:rPr>
                <w:b/>
                <w:smallCaps/>
              </w:rPr>
              <w:t>Do</w:t>
            </w:r>
            <w:r>
              <w:rPr>
                <w:b/>
                <w:smallCaps/>
              </w:rPr>
              <w:t>ssier :</w:t>
            </w:r>
            <w:r w:rsidRPr="001E12E2">
              <w:t xml:space="preserve"> </w:t>
            </w:r>
            <w:r>
              <w:t>34986</w:t>
            </w:r>
          </w:p>
        </w:tc>
      </w:tr>
    </w:tbl>
    <w:p w:rsidR="00736956" w:rsidRPr="001E12E2" w:rsidRDefault="00736956" w:rsidP="00736956"/>
    <w:p w:rsidR="00736956" w:rsidRDefault="00736956" w:rsidP="00736956">
      <w:pPr>
        <w:pStyle w:val="SCCLsocPrefix"/>
      </w:pPr>
      <w:r>
        <w:t>Entre :</w:t>
      </w:r>
    </w:p>
    <w:p w:rsidR="00736956" w:rsidRPr="00736956" w:rsidRDefault="00736956" w:rsidP="00736956">
      <w:pPr>
        <w:pStyle w:val="SCCLsocParty"/>
        <w:jc w:val="center"/>
        <w:rPr>
          <w:lang w:val="fr-CA"/>
        </w:rPr>
      </w:pPr>
      <w:r w:rsidRPr="00736956">
        <w:rPr>
          <w:lang w:val="fr-CA"/>
        </w:rPr>
        <w:t>Roger William, en son propre nom, au nom de tous les autres membres</w:t>
      </w:r>
    </w:p>
    <w:p w:rsidR="00736956" w:rsidRPr="00736956" w:rsidRDefault="00736956" w:rsidP="00736956">
      <w:pPr>
        <w:pStyle w:val="SCCLsocParty"/>
        <w:jc w:val="center"/>
        <w:rPr>
          <w:lang w:val="fr-CA"/>
        </w:rPr>
      </w:pPr>
      <w:r w:rsidRPr="00736956">
        <w:rPr>
          <w:lang w:val="fr-CA"/>
        </w:rPr>
        <w:t>du gouvernement de la Première Nation Xeni Gwet’in et au nom de tous</w:t>
      </w:r>
    </w:p>
    <w:p w:rsidR="00736956" w:rsidRPr="00736956" w:rsidRDefault="00736956" w:rsidP="00736956">
      <w:pPr>
        <w:pStyle w:val="SCCLsocParty"/>
        <w:jc w:val="center"/>
        <w:rPr>
          <w:lang w:val="fr-CA"/>
        </w:rPr>
      </w:pPr>
      <w:r w:rsidRPr="00736956">
        <w:rPr>
          <w:lang w:val="fr-CA"/>
        </w:rPr>
        <w:t>les autres membres de la Nation Tsilhqot’in</w:t>
      </w:r>
    </w:p>
    <w:p w:rsidR="00736956" w:rsidRPr="00736956" w:rsidRDefault="00736956" w:rsidP="00736956">
      <w:pPr>
        <w:jc w:val="center"/>
        <w:rPr>
          <w:lang w:val="fr-CA"/>
        </w:rPr>
      </w:pPr>
      <w:r w:rsidRPr="00736956">
        <w:rPr>
          <w:lang w:val="fr-CA"/>
        </w:rPr>
        <w:t>Appelant</w:t>
      </w:r>
    </w:p>
    <w:p w:rsidR="00736956" w:rsidRPr="00736956" w:rsidRDefault="00736956" w:rsidP="00736956">
      <w:pPr>
        <w:pStyle w:val="SCCLsocVersus"/>
        <w:spacing w:after="0"/>
        <w:jc w:val="center"/>
        <w:rPr>
          <w:i w:val="0"/>
          <w:lang w:val="fr-CA"/>
        </w:rPr>
      </w:pPr>
      <w:r w:rsidRPr="00736956">
        <w:rPr>
          <w:i w:val="0"/>
          <w:lang w:val="fr-CA"/>
        </w:rPr>
        <w:t>et</w:t>
      </w:r>
    </w:p>
    <w:p w:rsidR="00736956" w:rsidRPr="00736956" w:rsidRDefault="00736956" w:rsidP="00736956">
      <w:pPr>
        <w:pStyle w:val="SCCLsocParty"/>
        <w:jc w:val="center"/>
        <w:rPr>
          <w:lang w:val="fr-CA"/>
        </w:rPr>
      </w:pPr>
      <w:r w:rsidRPr="00736956">
        <w:rPr>
          <w:lang w:val="fr-CA"/>
        </w:rPr>
        <w:t>Sa Majesté la Reine du chef de la province de la Colombie-Britannique, Chef régional de la région de Cariboo Forest et procureur général du Canada</w:t>
      </w:r>
    </w:p>
    <w:p w:rsidR="00736956" w:rsidRPr="00736956" w:rsidRDefault="00736956" w:rsidP="00736956">
      <w:pPr>
        <w:jc w:val="center"/>
        <w:rPr>
          <w:lang w:val="fr-CA"/>
        </w:rPr>
      </w:pPr>
      <w:r w:rsidRPr="00736956">
        <w:rPr>
          <w:lang w:val="fr-CA"/>
        </w:rPr>
        <w:t>Intimés</w:t>
      </w:r>
    </w:p>
    <w:p w:rsidR="00736956" w:rsidRPr="00736956" w:rsidRDefault="00736956" w:rsidP="00736956">
      <w:pPr>
        <w:pStyle w:val="SCCLsocOtherPartySeparator"/>
        <w:spacing w:after="0"/>
        <w:jc w:val="center"/>
        <w:rPr>
          <w:lang w:val="fr-CA"/>
        </w:rPr>
      </w:pPr>
      <w:r w:rsidRPr="00736956">
        <w:rPr>
          <w:lang w:val="fr-CA"/>
        </w:rPr>
        <w:t>- et -</w:t>
      </w:r>
    </w:p>
    <w:p w:rsidR="00736956" w:rsidRPr="00736956" w:rsidRDefault="00736956" w:rsidP="00736956">
      <w:pPr>
        <w:pStyle w:val="SCCLsocParty"/>
        <w:jc w:val="center"/>
        <w:rPr>
          <w:lang w:val="fr-CA"/>
        </w:rPr>
      </w:pPr>
      <w:r w:rsidRPr="00736956">
        <w:rPr>
          <w:lang w:val="fr-CA"/>
        </w:rPr>
        <w:t>Procureur général du Québec, procureur général du Manitoba, procureur général de la Saskatchewan, procureur général de l’Alberta, Association du traité des Te’mexw, Business Council of British Columbia, Council of Forest Industries, Coast Forest Products Association, Mining Association of British Columbia, Association for Mineral Exploration British Columbia, Assemblée des Premières Nations, Chefs héréditaires Gitanyow de Gwass Hlaam, Gamlaxyeltxw, Malii, Gwinuu, Haizimsque, Watakhayetsxw, Luuxhon et Wii’litswx, en leur nom et au nom de tous les Gitanyow, Groupe du traité Hul’qumi’num, Conseil de la Nation haïda, Bureau des Chefs Wet’suwet’en, Association du barreau autochtone au Canada, Sommet des Premières Nations, Première Nation Tsawout, Première Nation Tsartlip, Première Nation Snuneymuxw, Première Nation Kwakiutl, Coalition de l’Union des Chefs indiens de la Colombie-Britannique, Alliance des Nations de l’Okanagan, Conseil tribal de la Nation Shuswap et ses communautés membres, bandes indiennes d’Okanagan, d’Adams Lake, de Neskonlith et de Splatsin, Amnestie internationale, Secours Quaker canadien, Nation Gitxaala, Chilko Resorts and Community Association et Conseil des Canadiens</w:t>
      </w:r>
    </w:p>
    <w:p w:rsidR="00736956" w:rsidRPr="00637EE6" w:rsidRDefault="00736956" w:rsidP="00736956">
      <w:pPr>
        <w:jc w:val="center"/>
        <w:rPr>
          <w:lang w:val="fr-CA"/>
        </w:rPr>
      </w:pPr>
      <w:r w:rsidRPr="00637EE6">
        <w:rPr>
          <w:lang w:val="fr-CA"/>
        </w:rPr>
        <w:t>Intervenants</w:t>
      </w:r>
    </w:p>
    <w:p w:rsidR="00736956" w:rsidRPr="00637EE6" w:rsidRDefault="00736956" w:rsidP="00736956">
      <w:pPr>
        <w:jc w:val="center"/>
        <w:rPr>
          <w:lang w:val="fr-CA"/>
        </w:rPr>
      </w:pPr>
    </w:p>
    <w:p w:rsidR="00736956" w:rsidRPr="00637EE6" w:rsidRDefault="00736956" w:rsidP="00736956">
      <w:pPr>
        <w:jc w:val="center"/>
        <w:rPr>
          <w:b/>
          <w:smallCaps/>
          <w:lang w:val="fr-CA"/>
        </w:rPr>
      </w:pPr>
      <w:r w:rsidRPr="00637EE6">
        <w:rPr>
          <w:b/>
          <w:smallCaps/>
          <w:lang w:val="fr-CA"/>
        </w:rPr>
        <w:t>Traduction française officielle</w:t>
      </w:r>
    </w:p>
    <w:p w:rsidR="00736956" w:rsidRPr="00637EE6" w:rsidRDefault="00736956" w:rsidP="00736956">
      <w:pPr>
        <w:rPr>
          <w:lang w:val="fr-CA"/>
        </w:rPr>
      </w:pPr>
    </w:p>
    <w:p w:rsidR="00736956" w:rsidRPr="00736956" w:rsidRDefault="00736956" w:rsidP="00736956">
      <w:pPr>
        <w:rPr>
          <w:lang w:val="fr-CA"/>
        </w:rPr>
      </w:pPr>
      <w:r w:rsidRPr="00736956">
        <w:rPr>
          <w:b/>
          <w:smallCaps/>
          <w:lang w:val="fr-CA"/>
        </w:rPr>
        <w:t>Coram :</w:t>
      </w:r>
      <w:r w:rsidRPr="00736956">
        <w:rPr>
          <w:lang w:val="fr-CA"/>
        </w:rPr>
        <w:t xml:space="preserve"> La juge en chef McLachlin et les juges LeBel, Abella, Rothstein, Cromwell, Moldaver, Karakatsanis et Wagner</w:t>
      </w:r>
    </w:p>
    <w:p w:rsidR="00736956" w:rsidRPr="00736956" w:rsidRDefault="00736956" w:rsidP="0073695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36956" w:rsidRPr="00637EE6" w:rsidTr="00424CD8">
        <w:trPr>
          <w:cantSplit/>
        </w:trPr>
        <w:tc>
          <w:tcPr>
            <w:tcW w:w="3618" w:type="dxa"/>
          </w:tcPr>
          <w:p w:rsidR="00736956" w:rsidRPr="00736956" w:rsidRDefault="00736956" w:rsidP="00424CD8">
            <w:pPr>
              <w:rPr>
                <w:b/>
                <w:smallCaps/>
                <w:lang w:val="fr-CA"/>
              </w:rPr>
            </w:pPr>
            <w:r w:rsidRPr="00736956">
              <w:rPr>
                <w:b/>
                <w:smallCaps/>
                <w:lang w:val="fr-CA"/>
              </w:rPr>
              <w:t>Motifs de jugement :</w:t>
            </w:r>
          </w:p>
          <w:p w:rsidR="00736956" w:rsidRPr="00736956" w:rsidRDefault="00736956" w:rsidP="00424CD8">
            <w:pPr>
              <w:rPr>
                <w:lang w:val="fr-CA"/>
              </w:rPr>
            </w:pPr>
            <w:r w:rsidRPr="00736956">
              <w:rPr>
                <w:lang w:val="fr-CA"/>
              </w:rPr>
              <w:t>(par. 1 à 153)</w:t>
            </w:r>
          </w:p>
        </w:tc>
        <w:tc>
          <w:tcPr>
            <w:tcW w:w="5958" w:type="dxa"/>
          </w:tcPr>
          <w:p w:rsidR="00736956" w:rsidRPr="00736956" w:rsidRDefault="00736956" w:rsidP="00424CD8">
            <w:pPr>
              <w:rPr>
                <w:lang w:val="fr-CA"/>
              </w:rPr>
            </w:pPr>
            <w:r w:rsidRPr="00736956">
              <w:rPr>
                <w:lang w:val="fr-CA"/>
              </w:rPr>
              <w:t>La juge en chef McLachlin (avec l’accord des juges LeBel, Abella, Rothstein, Cromwell, Moldaver, Karakatsanis et Wagner)</w:t>
            </w:r>
          </w:p>
        </w:tc>
      </w:tr>
    </w:tbl>
    <w:p w:rsidR="00736956" w:rsidRPr="00736956" w:rsidRDefault="00736956" w:rsidP="00736956">
      <w:pPr>
        <w:rPr>
          <w:lang w:val="fr-CA"/>
        </w:rPr>
      </w:pPr>
    </w:p>
    <w:p w:rsidR="00736956" w:rsidRPr="00736956" w:rsidRDefault="00D22413" w:rsidP="00736956">
      <w:pPr>
        <w:rPr>
          <w:lang w:val="fr-CA"/>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C9DF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36956" w:rsidRDefault="00736956" w:rsidP="00236C49">
      <w:pPr>
        <w:spacing w:after="720"/>
        <w:jc w:val="both"/>
        <w:rPr>
          <w:rStyle w:val="SCCAppellantForRunningHeadChar"/>
          <w:lang w:val="fr-CA"/>
        </w:rPr>
      </w:pPr>
    </w:p>
    <w:p w:rsidR="004D7D95" w:rsidRPr="00D20BEC" w:rsidRDefault="00FE6B46" w:rsidP="00236C49">
      <w:pPr>
        <w:spacing w:after="720"/>
        <w:jc w:val="both"/>
        <w:rPr>
          <w:smallCaps/>
          <w:lang w:val="fr-CA"/>
        </w:rPr>
      </w:pPr>
      <w:r>
        <w:rPr>
          <w:rStyle w:val="SCCAppellantForRunningHeadChar"/>
          <w:lang w:val="fr-CA"/>
        </w:rPr>
        <w:t>nation tsilhqot</w:t>
      </w:r>
      <w:r w:rsidR="002B0C0A">
        <w:rPr>
          <w:rStyle w:val="SCCAppellantForRunningHeadChar"/>
          <w:lang w:val="fr-CA"/>
        </w:rPr>
        <w:t>’</w:t>
      </w:r>
      <w:r>
        <w:rPr>
          <w:rStyle w:val="SCCAppellantForRunningHeadChar"/>
          <w:lang w:val="fr-CA"/>
        </w:rPr>
        <w:t>in</w:t>
      </w:r>
      <w:r w:rsidR="00FD0A82" w:rsidRPr="00FD0A82">
        <w:rPr>
          <w:rStyle w:val="SCCAppellantForRunningHeadChar"/>
          <w:lang w:val="fr-CA"/>
        </w:rPr>
        <w:t xml:space="preserve"> </w:t>
      </w:r>
      <w:r w:rsidR="004D7D95" w:rsidRPr="00D20BEC">
        <w:rPr>
          <w:i/>
          <w:lang w:val="fr-CA"/>
        </w:rPr>
        <w:t>c</w:t>
      </w:r>
      <w:r w:rsidR="004D7D95" w:rsidRPr="00886AF6">
        <w:rPr>
          <w:i/>
          <w:lang w:val="fr-CA"/>
        </w:rPr>
        <w:t>.</w:t>
      </w:r>
      <w:r w:rsidR="004D7D95" w:rsidRPr="00D20BEC">
        <w:rPr>
          <w:smallCaps/>
          <w:lang w:val="fr-CA"/>
        </w:rPr>
        <w:t xml:space="preserve"> </w:t>
      </w:r>
      <w:r w:rsidR="007946F7">
        <w:rPr>
          <w:rStyle w:val="SCCRespondentForRunningHeadChar"/>
          <w:lang w:val="fr-CA"/>
        </w:rPr>
        <w:t>colombie</w:t>
      </w:r>
      <w:r w:rsidR="000F2258">
        <w:rPr>
          <w:rStyle w:val="SCCRespondentForRunningHeadChar"/>
          <w:lang w:val="fr-CA"/>
        </w:rPr>
        <w:t>-</w:t>
      </w:r>
      <w:r w:rsidR="007946F7">
        <w:rPr>
          <w:rStyle w:val="SCCRespondentForRunningHeadChar"/>
          <w:lang w:val="fr-CA"/>
        </w:rPr>
        <w:t>b</w:t>
      </w:r>
      <w:r w:rsidR="00D20BEC" w:rsidRPr="00D20BEC">
        <w:rPr>
          <w:rStyle w:val="SCCRespondentForRunningHeadChar"/>
          <w:lang w:val="fr-CA"/>
        </w:rPr>
        <w:t>ritannique</w:t>
      </w:r>
      <w:r w:rsidR="005548E0">
        <w:rPr>
          <w:rStyle w:val="SCCRespondentForRunningHeadChar"/>
          <w:lang w:val="fr-CA"/>
        </w:rPr>
        <w:t xml:space="preserve">, </w:t>
      </w:r>
      <w:r w:rsidR="005548E0" w:rsidRPr="00DD3D77">
        <w:rPr>
          <w:lang w:val="fr-CA"/>
        </w:rPr>
        <w:t>2014</w:t>
      </w:r>
      <w:r w:rsidR="005548E0">
        <w:rPr>
          <w:lang w:val="fr-CA"/>
        </w:rPr>
        <w:t xml:space="preserve"> CSC 44, [2014] 2 R.C.S. 256</w:t>
      </w:r>
    </w:p>
    <w:p w:rsidR="00B53034" w:rsidRDefault="00D639C0" w:rsidP="00B53034">
      <w:pPr>
        <w:pStyle w:val="SCCLsocLastPartyInRole"/>
        <w:spacing w:after="0"/>
        <w:rPr>
          <w:lang w:val="fr-CA"/>
        </w:rPr>
      </w:pPr>
      <w:r w:rsidRPr="00DC4FE0">
        <w:rPr>
          <w:lang w:val="fr-CA"/>
        </w:rPr>
        <w:t>Roger William, en son propre nom</w:t>
      </w:r>
      <w:r w:rsidR="000B5B52">
        <w:rPr>
          <w:lang w:val="fr-CA"/>
        </w:rPr>
        <w:t>,</w:t>
      </w:r>
      <w:r w:rsidRPr="00DC4FE0">
        <w:rPr>
          <w:lang w:val="fr-CA"/>
        </w:rPr>
        <w:t xml:space="preserve"> au nom de tous les autres </w:t>
      </w:r>
    </w:p>
    <w:p w:rsidR="00B53034" w:rsidRDefault="00D639C0" w:rsidP="00B53034">
      <w:pPr>
        <w:pStyle w:val="SCCLsocLastPartyInRole"/>
        <w:spacing w:after="0"/>
        <w:rPr>
          <w:lang w:val="fr-CA"/>
        </w:rPr>
      </w:pPr>
      <w:r w:rsidRPr="00DC4FE0">
        <w:rPr>
          <w:lang w:val="fr-CA"/>
        </w:rPr>
        <w:t xml:space="preserve">membres du </w:t>
      </w:r>
      <w:r w:rsidR="006B60C9">
        <w:rPr>
          <w:lang w:val="fr-CA"/>
        </w:rPr>
        <w:t>gouvernement de</w:t>
      </w:r>
      <w:r w:rsidR="00082638">
        <w:rPr>
          <w:lang w:val="fr-CA"/>
        </w:rPr>
        <w:t xml:space="preserve"> la</w:t>
      </w:r>
      <w:r w:rsidR="006B60C9">
        <w:rPr>
          <w:lang w:val="fr-CA"/>
        </w:rPr>
        <w:t xml:space="preserve"> Première N</w:t>
      </w:r>
      <w:r w:rsidR="00FD0A82" w:rsidRPr="00FD0A82">
        <w:rPr>
          <w:lang w:val="fr-CA"/>
        </w:rPr>
        <w:t>ation</w:t>
      </w:r>
      <w:r w:rsidR="00FD0A82">
        <w:rPr>
          <w:lang w:val="fr-CA"/>
        </w:rPr>
        <w:t xml:space="preserve"> </w:t>
      </w:r>
      <w:r w:rsidR="00FD0A82" w:rsidRPr="00FD0A82">
        <w:rPr>
          <w:lang w:val="fr-CA"/>
        </w:rPr>
        <w:t>Xeni Gwet</w:t>
      </w:r>
      <w:r w:rsidR="002B0C0A">
        <w:rPr>
          <w:lang w:val="fr-CA"/>
        </w:rPr>
        <w:t>’</w:t>
      </w:r>
      <w:r w:rsidR="00FD0A82" w:rsidRPr="00FD0A82">
        <w:rPr>
          <w:lang w:val="fr-CA"/>
        </w:rPr>
        <w:t xml:space="preserve">in </w:t>
      </w:r>
    </w:p>
    <w:p w:rsidR="00584981" w:rsidRDefault="00D639C0" w:rsidP="00236C49">
      <w:pPr>
        <w:pStyle w:val="SCCLsocLastPartyInRole"/>
        <w:rPr>
          <w:rStyle w:val="SCCLsocPartyRole"/>
          <w:lang w:val="fr-CA"/>
        </w:rPr>
      </w:pPr>
      <w:r w:rsidRPr="00DC4FE0">
        <w:rPr>
          <w:lang w:val="fr-CA"/>
        </w:rPr>
        <w:t>et au nom de tous les autres membres de la Nation Tsilhqot</w:t>
      </w:r>
      <w:r w:rsidR="002B0C0A">
        <w:rPr>
          <w:lang w:val="fr-CA"/>
        </w:rPr>
        <w:t>’</w:t>
      </w:r>
      <w:r w:rsidRPr="00DC4FE0">
        <w:rPr>
          <w:lang w:val="fr-CA"/>
        </w:rPr>
        <w:t>in</w:t>
      </w:r>
      <w:r w:rsidRPr="00DC4FE0">
        <w:rPr>
          <w:rStyle w:val="SCCLsocPartyRole"/>
          <w:lang w:val="fr-CA"/>
        </w:rPr>
        <w:tab/>
        <w:t>Appelant</w:t>
      </w:r>
    </w:p>
    <w:p w:rsidR="00584981" w:rsidRPr="00B53034" w:rsidRDefault="00D639C0" w:rsidP="00236C49">
      <w:pPr>
        <w:pStyle w:val="SCCLsocVersus"/>
        <w:rPr>
          <w:b/>
          <w:lang w:val="fr-CA"/>
        </w:rPr>
      </w:pPr>
      <w:r w:rsidRPr="00DC4FE0">
        <w:rPr>
          <w:lang w:val="fr-CA"/>
        </w:rPr>
        <w:t>c.</w:t>
      </w:r>
    </w:p>
    <w:p w:rsidR="00B53034" w:rsidRDefault="00D639C0" w:rsidP="00B53034">
      <w:pPr>
        <w:pStyle w:val="SCCLsocParty"/>
        <w:rPr>
          <w:lang w:val="fr-CA"/>
        </w:rPr>
      </w:pPr>
      <w:r w:rsidRPr="00DC4FE0">
        <w:rPr>
          <w:lang w:val="fr-CA"/>
        </w:rPr>
        <w:t xml:space="preserve">Sa Majesté la Reine du chef de la </w:t>
      </w:r>
      <w:r w:rsidR="006E0476">
        <w:rPr>
          <w:lang w:val="fr-CA"/>
        </w:rPr>
        <w:t>p</w:t>
      </w:r>
      <w:r w:rsidRPr="00DC4FE0">
        <w:rPr>
          <w:lang w:val="fr-CA"/>
        </w:rPr>
        <w:t xml:space="preserve">rovince de </w:t>
      </w:r>
      <w:r w:rsidR="00B53034">
        <w:rPr>
          <w:lang w:val="fr-CA"/>
        </w:rPr>
        <w:t>la</w:t>
      </w:r>
    </w:p>
    <w:p w:rsidR="00B53034" w:rsidRDefault="00D639C0" w:rsidP="00B53034">
      <w:pPr>
        <w:pStyle w:val="SCCLsocParty"/>
        <w:rPr>
          <w:lang w:val="fr-CA"/>
        </w:rPr>
      </w:pPr>
      <w:r w:rsidRPr="00DC4FE0">
        <w:rPr>
          <w:lang w:val="fr-CA"/>
        </w:rPr>
        <w:t>Colombie</w:t>
      </w:r>
      <w:r w:rsidR="000F2258">
        <w:rPr>
          <w:lang w:val="fr-CA"/>
        </w:rPr>
        <w:t>-</w:t>
      </w:r>
      <w:r w:rsidR="00082638">
        <w:rPr>
          <w:lang w:val="fr-CA"/>
        </w:rPr>
        <w:t>Britannique,</w:t>
      </w:r>
      <w:r w:rsidRPr="00DC4FE0">
        <w:rPr>
          <w:lang w:val="fr-CA"/>
        </w:rPr>
        <w:t xml:space="preserve"> </w:t>
      </w:r>
      <w:r w:rsidR="004E2E5A">
        <w:rPr>
          <w:lang w:val="fr-CA"/>
        </w:rPr>
        <w:t>c</w:t>
      </w:r>
      <w:r w:rsidRPr="00DC4FE0">
        <w:rPr>
          <w:lang w:val="fr-CA"/>
        </w:rPr>
        <w:t>hef régional</w:t>
      </w:r>
      <w:r w:rsidR="00D20BEC">
        <w:rPr>
          <w:lang w:val="fr-CA"/>
        </w:rPr>
        <w:t xml:space="preserve"> de la région de </w:t>
      </w:r>
    </w:p>
    <w:p w:rsidR="00584981" w:rsidRDefault="00D20BEC" w:rsidP="00236C49">
      <w:pPr>
        <w:pStyle w:val="SCCLsocParty"/>
        <w:spacing w:after="720"/>
        <w:rPr>
          <w:rStyle w:val="SCCLsocPartyRole"/>
          <w:lang w:val="fr-CA"/>
        </w:rPr>
      </w:pPr>
      <w:r>
        <w:rPr>
          <w:lang w:val="fr-CA"/>
        </w:rPr>
        <w:t>Cariboo Forest et</w:t>
      </w:r>
      <w:r w:rsidR="00B53034">
        <w:rPr>
          <w:lang w:val="fr-CA"/>
        </w:rPr>
        <w:t xml:space="preserve"> </w:t>
      </w:r>
      <w:r w:rsidR="007946F7">
        <w:rPr>
          <w:lang w:val="fr-CA"/>
        </w:rPr>
        <w:t>p</w:t>
      </w:r>
      <w:r w:rsidR="00D639C0" w:rsidRPr="00DC4FE0">
        <w:rPr>
          <w:lang w:val="fr-CA"/>
        </w:rPr>
        <w:t>rocureur général du Canada</w:t>
      </w:r>
      <w:r w:rsidR="00D639C0" w:rsidRPr="00DC4FE0">
        <w:rPr>
          <w:rStyle w:val="SCCLsocPartyRole"/>
          <w:lang w:val="fr-CA"/>
        </w:rPr>
        <w:tab/>
        <w:t>Intimés</w:t>
      </w:r>
    </w:p>
    <w:p w:rsidR="00584981" w:rsidRPr="00DC4FE0" w:rsidRDefault="00D639C0" w:rsidP="00236C49">
      <w:pPr>
        <w:pStyle w:val="SCCLsocOtherPartySeparator"/>
        <w:rPr>
          <w:lang w:val="fr-CA"/>
        </w:rPr>
      </w:pPr>
      <w:r w:rsidRPr="00DC4FE0">
        <w:rPr>
          <w:lang w:val="fr-CA"/>
        </w:rPr>
        <w:t>et</w:t>
      </w:r>
    </w:p>
    <w:p w:rsidR="00584981" w:rsidRPr="00DC4FE0" w:rsidRDefault="00D639C0" w:rsidP="00B53034">
      <w:pPr>
        <w:pStyle w:val="SCCLsocParty"/>
        <w:rPr>
          <w:lang w:val="fr-CA"/>
        </w:rPr>
      </w:pPr>
      <w:r w:rsidRPr="00DC4FE0">
        <w:rPr>
          <w:lang w:val="fr-CA"/>
        </w:rPr>
        <w:t>Procureur général du Québec,</w:t>
      </w:r>
      <w:r w:rsidR="00956911">
        <w:rPr>
          <w:lang w:val="fr-CA"/>
        </w:rPr>
        <w:t xml:space="preserve"> </w:t>
      </w:r>
      <w:r w:rsidR="00DC4FE0">
        <w:rPr>
          <w:lang w:val="fr-CA"/>
        </w:rPr>
        <w:t>p</w:t>
      </w:r>
      <w:r w:rsidRPr="00DC4FE0">
        <w:rPr>
          <w:lang w:val="fr-CA"/>
        </w:rPr>
        <w:t>rocureur général du Manitoba,</w:t>
      </w:r>
      <w:r w:rsidR="00956911">
        <w:rPr>
          <w:lang w:val="fr-CA"/>
        </w:rPr>
        <w:t xml:space="preserve"> </w:t>
      </w:r>
    </w:p>
    <w:p w:rsidR="00956911" w:rsidRDefault="00DC4FE0" w:rsidP="00B53034">
      <w:pPr>
        <w:pStyle w:val="SCCLsocParty"/>
        <w:rPr>
          <w:lang w:val="fr-CA"/>
        </w:rPr>
      </w:pPr>
      <w:r>
        <w:rPr>
          <w:lang w:val="fr-CA"/>
        </w:rPr>
        <w:t>p</w:t>
      </w:r>
      <w:r w:rsidR="00D639C0" w:rsidRPr="00DC4FE0">
        <w:rPr>
          <w:lang w:val="fr-CA"/>
        </w:rPr>
        <w:t>rocureur général de la Saskatchewan,</w:t>
      </w:r>
      <w:r w:rsidR="00956911">
        <w:rPr>
          <w:lang w:val="fr-CA"/>
        </w:rPr>
        <w:t xml:space="preserve"> </w:t>
      </w:r>
      <w:r w:rsidR="007946F7">
        <w:rPr>
          <w:lang w:val="fr-CA"/>
        </w:rPr>
        <w:t>p</w:t>
      </w:r>
      <w:r w:rsidR="00D639C0" w:rsidRPr="00DC4FE0">
        <w:rPr>
          <w:lang w:val="fr-CA"/>
        </w:rPr>
        <w:t xml:space="preserve">rocureur général de </w:t>
      </w:r>
    </w:p>
    <w:p w:rsidR="00956911" w:rsidRDefault="00D639C0" w:rsidP="00B53034">
      <w:pPr>
        <w:pStyle w:val="SCCLsocParty"/>
        <w:rPr>
          <w:lang w:val="fr-CA"/>
        </w:rPr>
      </w:pPr>
      <w:r w:rsidRPr="00DC4FE0">
        <w:rPr>
          <w:lang w:val="fr-CA"/>
        </w:rPr>
        <w:t>l</w:t>
      </w:r>
      <w:r w:rsidR="002B0C0A">
        <w:rPr>
          <w:lang w:val="fr-CA"/>
        </w:rPr>
        <w:t>’</w:t>
      </w:r>
      <w:r w:rsidRPr="00DC4FE0">
        <w:rPr>
          <w:lang w:val="fr-CA"/>
        </w:rPr>
        <w:t>Alberta,</w:t>
      </w:r>
      <w:r w:rsidR="00956911">
        <w:rPr>
          <w:lang w:val="fr-CA"/>
        </w:rPr>
        <w:t xml:space="preserve"> </w:t>
      </w:r>
      <w:r w:rsidR="00B5422B" w:rsidRPr="00B5422B">
        <w:rPr>
          <w:bCs/>
          <w:lang w:val="fr-CA"/>
        </w:rPr>
        <w:t>Association du traité des Te</w:t>
      </w:r>
      <w:r w:rsidR="002B0C0A">
        <w:rPr>
          <w:bCs/>
          <w:lang w:val="fr-CA"/>
        </w:rPr>
        <w:t>’</w:t>
      </w:r>
      <w:r w:rsidR="00494888">
        <w:rPr>
          <w:bCs/>
          <w:lang w:val="fr-CA"/>
        </w:rPr>
        <w:t>m</w:t>
      </w:r>
      <w:r w:rsidR="00B5422B" w:rsidRPr="00B5422B">
        <w:rPr>
          <w:bCs/>
          <w:lang w:val="fr-CA"/>
        </w:rPr>
        <w:t>exw</w:t>
      </w:r>
      <w:r w:rsidRPr="00DC4FE0">
        <w:rPr>
          <w:lang w:val="fr-CA"/>
        </w:rPr>
        <w:t>,</w:t>
      </w:r>
      <w:r w:rsidR="00956911">
        <w:rPr>
          <w:lang w:val="fr-CA"/>
        </w:rPr>
        <w:t xml:space="preserve"> </w:t>
      </w:r>
      <w:r w:rsidRPr="00956911">
        <w:rPr>
          <w:lang w:val="fr-CA"/>
        </w:rPr>
        <w:t xml:space="preserve">Business </w:t>
      </w:r>
    </w:p>
    <w:p w:rsidR="00956911" w:rsidRDefault="00D639C0" w:rsidP="00B53034">
      <w:pPr>
        <w:pStyle w:val="SCCLsocParty"/>
      </w:pPr>
      <w:r w:rsidRPr="00956911">
        <w:rPr>
          <w:lang w:val="en-US"/>
        </w:rPr>
        <w:t xml:space="preserve">Council </w:t>
      </w:r>
      <w:r>
        <w:t xml:space="preserve">of British Columbia, Council of Forest Industries, </w:t>
      </w:r>
    </w:p>
    <w:p w:rsidR="00956911" w:rsidRDefault="00D639C0" w:rsidP="00B53034">
      <w:pPr>
        <w:pStyle w:val="SCCLsocParty"/>
      </w:pPr>
      <w:r>
        <w:t xml:space="preserve">Coast Forest Products Association, Mining </w:t>
      </w:r>
      <w:r w:rsidR="00632F15">
        <w:t xml:space="preserve">Association of </w:t>
      </w:r>
    </w:p>
    <w:p w:rsidR="00956911" w:rsidRDefault="00632F15" w:rsidP="00B53034">
      <w:pPr>
        <w:pStyle w:val="SCCLsocParty"/>
      </w:pPr>
      <w:r>
        <w:t>British Columbia,</w:t>
      </w:r>
      <w:r w:rsidR="00D639C0">
        <w:t xml:space="preserve"> Association for Mineral Exploration </w:t>
      </w:r>
    </w:p>
    <w:p w:rsidR="00956911" w:rsidRDefault="00D639C0" w:rsidP="00B53034">
      <w:pPr>
        <w:pStyle w:val="SCCLsocParty"/>
        <w:rPr>
          <w:lang w:val="fr-CA"/>
        </w:rPr>
      </w:pPr>
      <w:r w:rsidRPr="00956911">
        <w:rPr>
          <w:lang w:val="fr-CA"/>
        </w:rPr>
        <w:t>British Columbia,</w:t>
      </w:r>
      <w:r w:rsidR="00956911" w:rsidRPr="00956911">
        <w:rPr>
          <w:lang w:val="fr-CA"/>
        </w:rPr>
        <w:t xml:space="preserve"> </w:t>
      </w:r>
      <w:r w:rsidRPr="00956911">
        <w:rPr>
          <w:lang w:val="fr-CA"/>
        </w:rPr>
        <w:t xml:space="preserve">Assemblée </w:t>
      </w:r>
      <w:r w:rsidR="006B60C9">
        <w:rPr>
          <w:lang w:val="fr-CA"/>
        </w:rPr>
        <w:t>des Premières N</w:t>
      </w:r>
      <w:r w:rsidRPr="00DD3D77">
        <w:rPr>
          <w:lang w:val="fr-CA"/>
        </w:rPr>
        <w:t>ations,</w:t>
      </w:r>
      <w:r w:rsidR="00956911">
        <w:rPr>
          <w:lang w:val="fr-CA"/>
        </w:rPr>
        <w:t xml:space="preserve"> </w:t>
      </w:r>
      <w:r w:rsidR="004E2E5A">
        <w:rPr>
          <w:lang w:val="fr-CA"/>
        </w:rPr>
        <w:t>c</w:t>
      </w:r>
      <w:r w:rsidR="001903DB" w:rsidRPr="00DD3D77">
        <w:rPr>
          <w:lang w:val="fr-CA"/>
        </w:rPr>
        <w:t xml:space="preserve">hefs </w:t>
      </w:r>
    </w:p>
    <w:p w:rsidR="00956911" w:rsidRDefault="001903DB" w:rsidP="00B53034">
      <w:pPr>
        <w:pStyle w:val="SCCLsocParty"/>
        <w:rPr>
          <w:lang w:val="fr-CA"/>
        </w:rPr>
      </w:pPr>
      <w:r w:rsidRPr="00DD3D77">
        <w:rPr>
          <w:lang w:val="fr-CA"/>
        </w:rPr>
        <w:t xml:space="preserve">héréditaires </w:t>
      </w:r>
      <w:r w:rsidR="00D639C0" w:rsidRPr="00DD3D77">
        <w:rPr>
          <w:lang w:val="fr-CA"/>
        </w:rPr>
        <w:t>Gitanyow</w:t>
      </w:r>
      <w:r w:rsidRPr="00DD3D77">
        <w:rPr>
          <w:lang w:val="fr-CA"/>
        </w:rPr>
        <w:t xml:space="preserve"> de</w:t>
      </w:r>
      <w:r w:rsidR="00D639C0" w:rsidRPr="00DD3D77">
        <w:rPr>
          <w:lang w:val="fr-CA"/>
        </w:rPr>
        <w:t xml:space="preserve"> Gwass Hlaam, Gamlaxyeltxw, Malii, </w:t>
      </w:r>
    </w:p>
    <w:p w:rsidR="00956911" w:rsidRDefault="00D639C0" w:rsidP="00B53034">
      <w:pPr>
        <w:pStyle w:val="SCCLsocParty"/>
        <w:rPr>
          <w:lang w:val="fr-CA"/>
        </w:rPr>
      </w:pPr>
      <w:r w:rsidRPr="00DD3D77">
        <w:rPr>
          <w:lang w:val="fr-CA"/>
        </w:rPr>
        <w:t xml:space="preserve">Gwinuu, Haizimsque, Watakhayetsxw, Luuxhon </w:t>
      </w:r>
      <w:r w:rsidR="00632F15" w:rsidRPr="00DD3D77">
        <w:rPr>
          <w:lang w:val="fr-CA"/>
        </w:rPr>
        <w:t>et</w:t>
      </w:r>
      <w:r w:rsidRPr="00DD3D77">
        <w:rPr>
          <w:lang w:val="fr-CA"/>
        </w:rPr>
        <w:t xml:space="preserve"> Wii</w:t>
      </w:r>
      <w:r w:rsidR="002B0C0A">
        <w:rPr>
          <w:lang w:val="fr-CA"/>
        </w:rPr>
        <w:t>’</w:t>
      </w:r>
      <w:r w:rsidRPr="00DD3D77">
        <w:rPr>
          <w:lang w:val="fr-CA"/>
        </w:rPr>
        <w:t xml:space="preserve">litswx, </w:t>
      </w:r>
    </w:p>
    <w:p w:rsidR="00956911" w:rsidRDefault="00632F15" w:rsidP="00B53034">
      <w:pPr>
        <w:pStyle w:val="SCCLsocParty"/>
        <w:rPr>
          <w:lang w:val="fr-CA"/>
        </w:rPr>
      </w:pPr>
      <w:r w:rsidRPr="00DD3D77">
        <w:rPr>
          <w:lang w:val="fr-CA"/>
        </w:rPr>
        <w:t xml:space="preserve">en leur nom et </w:t>
      </w:r>
      <w:r w:rsidR="00564727">
        <w:rPr>
          <w:lang w:val="fr-CA"/>
        </w:rPr>
        <w:t>au nom de tous l</w:t>
      </w:r>
      <w:r w:rsidRPr="00DD3D77">
        <w:rPr>
          <w:lang w:val="fr-CA"/>
        </w:rPr>
        <w:t xml:space="preserve">es </w:t>
      </w:r>
      <w:r w:rsidR="00D639C0" w:rsidRPr="00DD3D77">
        <w:rPr>
          <w:lang w:val="fr-CA"/>
        </w:rPr>
        <w:t>Gitanyow,</w:t>
      </w:r>
      <w:r w:rsidR="00956911">
        <w:rPr>
          <w:lang w:val="fr-CA"/>
        </w:rPr>
        <w:t xml:space="preserve"> </w:t>
      </w:r>
      <w:r w:rsidR="00071DED" w:rsidRPr="00DD3D77">
        <w:rPr>
          <w:lang w:val="fr-CA"/>
        </w:rPr>
        <w:t xml:space="preserve">Groupe du traité </w:t>
      </w:r>
    </w:p>
    <w:p w:rsidR="00956911" w:rsidRDefault="00D639C0" w:rsidP="00B53034">
      <w:pPr>
        <w:pStyle w:val="SCCLsocParty"/>
        <w:rPr>
          <w:lang w:val="fr-CA"/>
        </w:rPr>
      </w:pPr>
      <w:r w:rsidRPr="00DD3D77">
        <w:rPr>
          <w:lang w:val="fr-CA"/>
        </w:rPr>
        <w:t>Hul</w:t>
      </w:r>
      <w:r w:rsidR="002B0C0A">
        <w:rPr>
          <w:lang w:val="fr-CA"/>
        </w:rPr>
        <w:t>’</w:t>
      </w:r>
      <w:r w:rsidRPr="00DD3D77">
        <w:rPr>
          <w:lang w:val="fr-CA"/>
        </w:rPr>
        <w:t>qumi</w:t>
      </w:r>
      <w:r w:rsidR="002B0C0A">
        <w:rPr>
          <w:lang w:val="fr-CA"/>
        </w:rPr>
        <w:t>’</w:t>
      </w:r>
      <w:r w:rsidRPr="00DD3D77">
        <w:rPr>
          <w:lang w:val="fr-CA"/>
        </w:rPr>
        <w:t>num,</w:t>
      </w:r>
      <w:r w:rsidR="00956911">
        <w:rPr>
          <w:lang w:val="fr-CA"/>
        </w:rPr>
        <w:t xml:space="preserve"> </w:t>
      </w:r>
      <w:r w:rsidR="005E16D2">
        <w:rPr>
          <w:lang w:val="fr-CA"/>
        </w:rPr>
        <w:t>Conseil de la N</w:t>
      </w:r>
      <w:r w:rsidR="00632F15" w:rsidRPr="00DD3D77">
        <w:rPr>
          <w:lang w:val="fr-CA"/>
        </w:rPr>
        <w:t>ation haïda</w:t>
      </w:r>
      <w:r w:rsidRPr="00DD3D77">
        <w:rPr>
          <w:lang w:val="fr-CA"/>
        </w:rPr>
        <w:t>,</w:t>
      </w:r>
      <w:r w:rsidR="00956911">
        <w:rPr>
          <w:lang w:val="fr-CA"/>
        </w:rPr>
        <w:t xml:space="preserve"> </w:t>
      </w:r>
      <w:r w:rsidR="00A9562D" w:rsidRPr="00DD3D77">
        <w:rPr>
          <w:lang w:val="fr-CA"/>
        </w:rPr>
        <w:t>Bureau</w:t>
      </w:r>
      <w:r w:rsidRPr="00DD3D77">
        <w:rPr>
          <w:lang w:val="fr-CA"/>
        </w:rPr>
        <w:t xml:space="preserve"> </w:t>
      </w:r>
      <w:r w:rsidR="00A9562D" w:rsidRPr="00DD3D77">
        <w:rPr>
          <w:lang w:val="fr-CA"/>
        </w:rPr>
        <w:t xml:space="preserve">des </w:t>
      </w:r>
      <w:r w:rsidR="00081958">
        <w:rPr>
          <w:lang w:val="fr-CA"/>
        </w:rPr>
        <w:t>c</w:t>
      </w:r>
      <w:r w:rsidR="00A9562D" w:rsidRPr="00DD3D77">
        <w:rPr>
          <w:lang w:val="fr-CA"/>
        </w:rPr>
        <w:t>hefs</w:t>
      </w:r>
      <w:r w:rsidRPr="00DD3D77">
        <w:rPr>
          <w:lang w:val="fr-CA"/>
        </w:rPr>
        <w:t xml:space="preserve"> </w:t>
      </w:r>
    </w:p>
    <w:p w:rsidR="00956911" w:rsidRDefault="00D639C0" w:rsidP="00B53034">
      <w:pPr>
        <w:pStyle w:val="SCCLsocParty"/>
        <w:rPr>
          <w:lang w:val="fr-CA"/>
        </w:rPr>
      </w:pPr>
      <w:r w:rsidRPr="00DD3D77">
        <w:rPr>
          <w:lang w:val="fr-CA"/>
        </w:rPr>
        <w:t>Wet</w:t>
      </w:r>
      <w:r w:rsidR="002B0C0A">
        <w:rPr>
          <w:lang w:val="fr-CA"/>
        </w:rPr>
        <w:t>’</w:t>
      </w:r>
      <w:r w:rsidRPr="00DD3D77">
        <w:rPr>
          <w:lang w:val="fr-CA"/>
        </w:rPr>
        <w:t>suwet</w:t>
      </w:r>
      <w:r w:rsidR="002B0C0A">
        <w:rPr>
          <w:lang w:val="fr-CA"/>
        </w:rPr>
        <w:t>’</w:t>
      </w:r>
      <w:r w:rsidRPr="00DD3D77">
        <w:rPr>
          <w:lang w:val="fr-CA"/>
        </w:rPr>
        <w:t>en,</w:t>
      </w:r>
      <w:r w:rsidR="00956911">
        <w:rPr>
          <w:lang w:val="fr-CA"/>
        </w:rPr>
        <w:t xml:space="preserve"> </w:t>
      </w:r>
      <w:r w:rsidRPr="00DD3D77">
        <w:rPr>
          <w:lang w:val="fr-CA"/>
        </w:rPr>
        <w:t xml:space="preserve">Association </w:t>
      </w:r>
      <w:r w:rsidR="00FD0A82" w:rsidRPr="00DD3D77">
        <w:rPr>
          <w:lang w:val="fr-CA"/>
        </w:rPr>
        <w:t xml:space="preserve">du </w:t>
      </w:r>
      <w:r w:rsidR="00B157D9">
        <w:rPr>
          <w:lang w:val="fr-CA"/>
        </w:rPr>
        <w:t>b</w:t>
      </w:r>
      <w:r w:rsidR="00FD0A82" w:rsidRPr="00DD3D77">
        <w:rPr>
          <w:lang w:val="fr-CA"/>
        </w:rPr>
        <w:t xml:space="preserve">arreau </w:t>
      </w:r>
      <w:r w:rsidR="00B157D9">
        <w:rPr>
          <w:lang w:val="fr-CA"/>
        </w:rPr>
        <w:t>a</w:t>
      </w:r>
      <w:r w:rsidR="00FD0A82" w:rsidRPr="00DD3D77">
        <w:rPr>
          <w:lang w:val="fr-CA"/>
        </w:rPr>
        <w:t>utochtone au</w:t>
      </w:r>
      <w:r w:rsidRPr="00DD3D77">
        <w:rPr>
          <w:lang w:val="fr-CA"/>
        </w:rPr>
        <w:t xml:space="preserve"> Canada,</w:t>
      </w:r>
      <w:r w:rsidR="00956911">
        <w:rPr>
          <w:lang w:val="fr-CA"/>
        </w:rPr>
        <w:t xml:space="preserve"> </w:t>
      </w:r>
    </w:p>
    <w:p w:rsidR="00956911" w:rsidRDefault="006B60C9" w:rsidP="00B53034">
      <w:pPr>
        <w:pStyle w:val="SCCLsocParty"/>
        <w:rPr>
          <w:lang w:val="fr-CA"/>
        </w:rPr>
      </w:pPr>
      <w:r>
        <w:rPr>
          <w:lang w:val="fr-CA"/>
        </w:rPr>
        <w:t>Sommet des Premières N</w:t>
      </w:r>
      <w:r w:rsidR="0028059A" w:rsidRPr="00DD3D77">
        <w:rPr>
          <w:lang w:val="fr-CA"/>
        </w:rPr>
        <w:t>ations</w:t>
      </w:r>
      <w:r w:rsidR="00D639C0" w:rsidRPr="00DD3D77">
        <w:rPr>
          <w:lang w:val="fr-CA"/>
        </w:rPr>
        <w:t>,</w:t>
      </w:r>
      <w:r w:rsidR="00956911">
        <w:rPr>
          <w:lang w:val="fr-CA"/>
        </w:rPr>
        <w:t xml:space="preserve"> </w:t>
      </w:r>
      <w:r>
        <w:rPr>
          <w:lang w:val="fr-CA"/>
        </w:rPr>
        <w:t>Première N</w:t>
      </w:r>
      <w:r w:rsidR="001903DB" w:rsidRPr="00DD3D77">
        <w:rPr>
          <w:lang w:val="fr-CA"/>
        </w:rPr>
        <w:t xml:space="preserve">ation </w:t>
      </w:r>
      <w:r w:rsidR="00D639C0" w:rsidRPr="00DD3D77">
        <w:rPr>
          <w:lang w:val="fr-CA"/>
        </w:rPr>
        <w:t xml:space="preserve">Tsawout, </w:t>
      </w:r>
    </w:p>
    <w:p w:rsidR="00956911" w:rsidRDefault="006B60C9" w:rsidP="00B53034">
      <w:pPr>
        <w:pStyle w:val="SCCLsocParty"/>
        <w:rPr>
          <w:lang w:val="fr-CA"/>
        </w:rPr>
      </w:pPr>
      <w:r>
        <w:rPr>
          <w:lang w:val="fr-CA"/>
        </w:rPr>
        <w:t>Première N</w:t>
      </w:r>
      <w:r w:rsidR="001903DB" w:rsidRPr="00DD3D77">
        <w:rPr>
          <w:lang w:val="fr-CA"/>
        </w:rPr>
        <w:t xml:space="preserve">ation </w:t>
      </w:r>
      <w:r w:rsidR="00D639C0" w:rsidRPr="00DD3D77">
        <w:rPr>
          <w:lang w:val="fr-CA"/>
        </w:rPr>
        <w:t xml:space="preserve">Tsartlip, </w:t>
      </w:r>
      <w:r>
        <w:rPr>
          <w:lang w:val="fr-CA"/>
        </w:rPr>
        <w:t>Première N</w:t>
      </w:r>
      <w:r w:rsidR="001903DB" w:rsidRPr="00DD3D77">
        <w:rPr>
          <w:lang w:val="fr-CA"/>
        </w:rPr>
        <w:t xml:space="preserve">ation </w:t>
      </w:r>
      <w:r w:rsidR="00D639C0" w:rsidRPr="00DD3D77">
        <w:rPr>
          <w:lang w:val="fr-CA"/>
        </w:rPr>
        <w:t>Snuneymuxw</w:t>
      </w:r>
      <w:r w:rsidR="00FD0A82" w:rsidRPr="00DD3D77">
        <w:rPr>
          <w:lang w:val="fr-CA"/>
        </w:rPr>
        <w:t>,</w:t>
      </w:r>
      <w:r w:rsidR="00D639C0" w:rsidRPr="00DD3D77">
        <w:rPr>
          <w:lang w:val="fr-CA"/>
        </w:rPr>
        <w:t xml:space="preserve"> </w:t>
      </w:r>
    </w:p>
    <w:p w:rsidR="00956911" w:rsidRDefault="006B60C9" w:rsidP="00B53034">
      <w:pPr>
        <w:pStyle w:val="SCCLsocParty"/>
        <w:rPr>
          <w:lang w:val="fr-CA"/>
        </w:rPr>
      </w:pPr>
      <w:r>
        <w:rPr>
          <w:lang w:val="fr-CA"/>
        </w:rPr>
        <w:t>Première N</w:t>
      </w:r>
      <w:r w:rsidR="001903DB" w:rsidRPr="00DD3D77">
        <w:rPr>
          <w:lang w:val="fr-CA"/>
        </w:rPr>
        <w:t xml:space="preserve">ation </w:t>
      </w:r>
      <w:r w:rsidR="00D639C0" w:rsidRPr="00DD3D77">
        <w:rPr>
          <w:lang w:val="fr-CA"/>
        </w:rPr>
        <w:t>Kwakiutl,</w:t>
      </w:r>
      <w:r w:rsidR="00956911">
        <w:rPr>
          <w:lang w:val="fr-CA"/>
        </w:rPr>
        <w:t xml:space="preserve"> </w:t>
      </w:r>
      <w:r w:rsidR="00D639C0" w:rsidRPr="00DD3D77">
        <w:rPr>
          <w:lang w:val="fr-CA"/>
        </w:rPr>
        <w:t xml:space="preserve">Coalition </w:t>
      </w:r>
      <w:r w:rsidR="00A96948" w:rsidRPr="00DD3D77">
        <w:rPr>
          <w:lang w:val="fr-CA"/>
        </w:rPr>
        <w:t>de l</w:t>
      </w:r>
      <w:r w:rsidR="002B0C0A">
        <w:rPr>
          <w:lang w:val="fr-CA"/>
        </w:rPr>
        <w:t>’</w:t>
      </w:r>
      <w:r w:rsidR="00071DED" w:rsidRPr="00DD3D77">
        <w:rPr>
          <w:lang w:val="fr-CA"/>
        </w:rPr>
        <w:t>U</w:t>
      </w:r>
      <w:r w:rsidR="00A96948" w:rsidRPr="00DD3D77">
        <w:rPr>
          <w:lang w:val="fr-CA"/>
        </w:rPr>
        <w:t xml:space="preserve">nion des </w:t>
      </w:r>
      <w:r w:rsidR="00081958">
        <w:rPr>
          <w:lang w:val="fr-CA"/>
        </w:rPr>
        <w:t>c</w:t>
      </w:r>
      <w:r w:rsidR="00A96948" w:rsidRPr="00DD3D77">
        <w:rPr>
          <w:lang w:val="fr-CA"/>
        </w:rPr>
        <w:t xml:space="preserve">hefs </w:t>
      </w:r>
    </w:p>
    <w:p w:rsidR="006E0476" w:rsidRDefault="00A96948" w:rsidP="00B53034">
      <w:pPr>
        <w:pStyle w:val="SCCLsocParty"/>
        <w:rPr>
          <w:lang w:val="fr-CA"/>
        </w:rPr>
      </w:pPr>
      <w:r w:rsidRPr="00DD3D77">
        <w:rPr>
          <w:lang w:val="fr-CA"/>
        </w:rPr>
        <w:t xml:space="preserve">indiens de la </w:t>
      </w:r>
      <w:r w:rsidRPr="005558AF">
        <w:rPr>
          <w:lang w:val="fr-CA"/>
        </w:rPr>
        <w:t>C</w:t>
      </w:r>
      <w:r w:rsidR="006E0476" w:rsidRPr="005558AF">
        <w:rPr>
          <w:lang w:val="fr-CA"/>
        </w:rPr>
        <w:t>olombie</w:t>
      </w:r>
      <w:r w:rsidR="000F2258">
        <w:rPr>
          <w:lang w:val="fr-CA"/>
        </w:rPr>
        <w:t>-</w:t>
      </w:r>
      <w:r w:rsidR="00071DED" w:rsidRPr="005558AF">
        <w:rPr>
          <w:lang w:val="fr-CA"/>
        </w:rPr>
        <w:t>B</w:t>
      </w:r>
      <w:r w:rsidR="006E0476" w:rsidRPr="005558AF">
        <w:rPr>
          <w:lang w:val="fr-CA"/>
        </w:rPr>
        <w:t>ritannique</w:t>
      </w:r>
      <w:r w:rsidRPr="00DD3D77">
        <w:rPr>
          <w:lang w:val="fr-CA"/>
        </w:rPr>
        <w:t>,</w:t>
      </w:r>
      <w:r w:rsidR="00956911">
        <w:rPr>
          <w:lang w:val="fr-CA"/>
        </w:rPr>
        <w:t xml:space="preserve"> </w:t>
      </w:r>
      <w:r w:rsidR="00B90796">
        <w:rPr>
          <w:lang w:val="fr-CA"/>
        </w:rPr>
        <w:t>l’</w:t>
      </w:r>
      <w:r w:rsidR="005E16D2">
        <w:rPr>
          <w:lang w:val="fr-CA"/>
        </w:rPr>
        <w:t>Alliance des N</w:t>
      </w:r>
      <w:r w:rsidR="00F6175F" w:rsidRPr="00DD3D77">
        <w:rPr>
          <w:lang w:val="fr-CA"/>
        </w:rPr>
        <w:t xml:space="preserve">ations </w:t>
      </w:r>
    </w:p>
    <w:p w:rsidR="006E0476" w:rsidRDefault="006E0476" w:rsidP="00956911">
      <w:pPr>
        <w:pStyle w:val="SCCLsocParty"/>
        <w:rPr>
          <w:lang w:val="fr-CA"/>
        </w:rPr>
      </w:pPr>
      <w:r>
        <w:rPr>
          <w:lang w:val="fr-CA"/>
        </w:rPr>
        <w:t>d</w:t>
      </w:r>
      <w:r w:rsidR="00F6175F" w:rsidRPr="00DD3D77">
        <w:rPr>
          <w:lang w:val="fr-CA"/>
        </w:rPr>
        <w:t>e l</w:t>
      </w:r>
      <w:r w:rsidR="002B0C0A">
        <w:rPr>
          <w:lang w:val="fr-CA"/>
        </w:rPr>
        <w:t>’</w:t>
      </w:r>
      <w:r w:rsidR="00F6175F" w:rsidRPr="00DD3D77">
        <w:rPr>
          <w:lang w:val="fr-CA"/>
        </w:rPr>
        <w:t>Okanagan</w:t>
      </w:r>
      <w:r w:rsidR="001903DB" w:rsidRPr="00DD3D77">
        <w:rPr>
          <w:lang w:val="fr-CA"/>
        </w:rPr>
        <w:t>,</w:t>
      </w:r>
      <w:r w:rsidR="00D639C0" w:rsidRPr="00DD3D77">
        <w:rPr>
          <w:lang w:val="fr-CA"/>
        </w:rPr>
        <w:t xml:space="preserve"> </w:t>
      </w:r>
      <w:r w:rsidR="00B90796">
        <w:rPr>
          <w:lang w:val="fr-CA"/>
        </w:rPr>
        <w:t xml:space="preserve">le </w:t>
      </w:r>
      <w:r w:rsidR="00A96948" w:rsidRPr="00DD3D77">
        <w:rPr>
          <w:lang w:val="fr-CA"/>
        </w:rPr>
        <w:t>Conseil tribal de la Nation Shuswap</w:t>
      </w:r>
      <w:r w:rsidR="00D639C0" w:rsidRPr="00DD3D77">
        <w:rPr>
          <w:lang w:val="fr-CA"/>
        </w:rPr>
        <w:t xml:space="preserve"> </w:t>
      </w:r>
      <w:r w:rsidR="001903DB" w:rsidRPr="00DD3D77">
        <w:rPr>
          <w:lang w:val="fr-CA"/>
        </w:rPr>
        <w:t>et</w:t>
      </w:r>
      <w:r w:rsidR="00B90796">
        <w:rPr>
          <w:lang w:val="fr-CA"/>
        </w:rPr>
        <w:t xml:space="preserve"> leurs</w:t>
      </w:r>
      <w:r w:rsidR="00564727">
        <w:rPr>
          <w:lang w:val="fr-CA"/>
        </w:rPr>
        <w:t xml:space="preserve"> </w:t>
      </w:r>
    </w:p>
    <w:p w:rsidR="006E0476" w:rsidRDefault="00564727" w:rsidP="00956911">
      <w:pPr>
        <w:pStyle w:val="SCCLsocParty"/>
        <w:rPr>
          <w:lang w:val="fr-CA"/>
        </w:rPr>
      </w:pPr>
      <w:r>
        <w:rPr>
          <w:lang w:val="fr-CA"/>
        </w:rPr>
        <w:t>communautés membres</w:t>
      </w:r>
      <w:r w:rsidR="00D639C0" w:rsidRPr="00DD3D77">
        <w:rPr>
          <w:lang w:val="fr-CA"/>
        </w:rPr>
        <w:t xml:space="preserve">, </w:t>
      </w:r>
      <w:r w:rsidR="00B157D9">
        <w:rPr>
          <w:lang w:val="fr-CA"/>
        </w:rPr>
        <w:t>b</w:t>
      </w:r>
      <w:r w:rsidR="00A96948" w:rsidRPr="00DD3D77">
        <w:rPr>
          <w:lang w:val="fr-CA"/>
        </w:rPr>
        <w:t xml:space="preserve">andes indiennes </w:t>
      </w:r>
      <w:r>
        <w:rPr>
          <w:lang w:val="fr-CA"/>
        </w:rPr>
        <w:t>d</w:t>
      </w:r>
      <w:r w:rsidR="002B0C0A">
        <w:rPr>
          <w:lang w:val="fr-CA"/>
        </w:rPr>
        <w:t>’</w:t>
      </w:r>
      <w:r w:rsidR="00D639C0" w:rsidRPr="00DD3D77">
        <w:rPr>
          <w:lang w:val="fr-CA"/>
        </w:rPr>
        <w:t xml:space="preserve">Okanagan, </w:t>
      </w:r>
      <w:r>
        <w:rPr>
          <w:lang w:val="fr-CA"/>
        </w:rPr>
        <w:t>d</w:t>
      </w:r>
      <w:r w:rsidR="002B0C0A">
        <w:rPr>
          <w:lang w:val="fr-CA"/>
        </w:rPr>
        <w:t>’</w:t>
      </w:r>
      <w:r w:rsidR="00D639C0" w:rsidRPr="00DD3D77">
        <w:rPr>
          <w:lang w:val="fr-CA"/>
        </w:rPr>
        <w:t>Adams</w:t>
      </w:r>
    </w:p>
    <w:p w:rsidR="006E0476" w:rsidRDefault="00D639C0" w:rsidP="00564727">
      <w:pPr>
        <w:pStyle w:val="SCCLsocParty"/>
        <w:rPr>
          <w:lang w:val="fr-CA"/>
        </w:rPr>
      </w:pPr>
      <w:r w:rsidRPr="00DD3D77">
        <w:rPr>
          <w:lang w:val="fr-CA"/>
        </w:rPr>
        <w:t xml:space="preserve">Lake, </w:t>
      </w:r>
      <w:r w:rsidR="00564727">
        <w:rPr>
          <w:lang w:val="fr-CA"/>
        </w:rPr>
        <w:t xml:space="preserve">de </w:t>
      </w:r>
      <w:r w:rsidRPr="00DD3D77">
        <w:rPr>
          <w:lang w:val="fr-CA"/>
        </w:rPr>
        <w:t xml:space="preserve">Neskonlith </w:t>
      </w:r>
      <w:r w:rsidR="001903DB" w:rsidRPr="00DD3D77">
        <w:rPr>
          <w:lang w:val="fr-CA"/>
        </w:rPr>
        <w:t>et</w:t>
      </w:r>
      <w:r w:rsidRPr="00DD3D77">
        <w:rPr>
          <w:lang w:val="fr-CA"/>
        </w:rPr>
        <w:t xml:space="preserve"> </w:t>
      </w:r>
      <w:r w:rsidR="00564727">
        <w:rPr>
          <w:lang w:val="fr-CA"/>
        </w:rPr>
        <w:t xml:space="preserve">de </w:t>
      </w:r>
      <w:r w:rsidRPr="008F65C9">
        <w:rPr>
          <w:lang w:val="fr-CA"/>
        </w:rPr>
        <w:t>Splatsin,</w:t>
      </w:r>
      <w:r w:rsidR="00956911" w:rsidRPr="008F65C9">
        <w:rPr>
          <w:lang w:val="fr-CA"/>
        </w:rPr>
        <w:t xml:space="preserve"> </w:t>
      </w:r>
      <w:r w:rsidRPr="008F65C9">
        <w:rPr>
          <w:lang w:val="fr-CA"/>
        </w:rPr>
        <w:t>Amn</w:t>
      </w:r>
      <w:r w:rsidR="00FD0A82" w:rsidRPr="008F65C9">
        <w:rPr>
          <w:lang w:val="fr-CA"/>
        </w:rPr>
        <w:t>i</w:t>
      </w:r>
      <w:r w:rsidRPr="008F65C9">
        <w:rPr>
          <w:lang w:val="fr-CA"/>
        </w:rPr>
        <w:t>st</w:t>
      </w:r>
      <w:r w:rsidR="00FD0A82" w:rsidRPr="008F65C9">
        <w:rPr>
          <w:lang w:val="fr-CA"/>
        </w:rPr>
        <w:t>ie</w:t>
      </w:r>
      <w:r w:rsidRPr="008F65C9">
        <w:rPr>
          <w:lang w:val="fr-CA"/>
        </w:rPr>
        <w:t xml:space="preserve"> </w:t>
      </w:r>
      <w:r w:rsidR="00FD0A82" w:rsidRPr="008F65C9">
        <w:rPr>
          <w:lang w:val="fr-CA"/>
        </w:rPr>
        <w:t>i</w:t>
      </w:r>
      <w:r w:rsidRPr="008F65C9">
        <w:rPr>
          <w:lang w:val="fr-CA"/>
        </w:rPr>
        <w:t>nternational</w:t>
      </w:r>
      <w:r w:rsidR="00FD0A82" w:rsidRPr="008F65C9">
        <w:rPr>
          <w:lang w:val="fr-CA"/>
        </w:rPr>
        <w:t>e,</w:t>
      </w:r>
      <w:r w:rsidRPr="008F65C9">
        <w:rPr>
          <w:lang w:val="fr-CA"/>
        </w:rPr>
        <w:t xml:space="preserve"> </w:t>
      </w:r>
    </w:p>
    <w:p w:rsidR="006E0476" w:rsidRDefault="00564727" w:rsidP="00564727">
      <w:pPr>
        <w:pStyle w:val="SCCLsocParty"/>
        <w:rPr>
          <w:lang w:val="fr-CA"/>
        </w:rPr>
      </w:pPr>
      <w:r>
        <w:rPr>
          <w:lang w:val="fr-CA"/>
        </w:rPr>
        <w:t xml:space="preserve">Secours </w:t>
      </w:r>
      <w:r w:rsidRPr="006E0476">
        <w:rPr>
          <w:lang w:val="fr-CA"/>
        </w:rPr>
        <w:t>Quaker canadien</w:t>
      </w:r>
      <w:r w:rsidR="00D639C0" w:rsidRPr="006E0476">
        <w:rPr>
          <w:lang w:val="fr-CA"/>
        </w:rPr>
        <w:t>,</w:t>
      </w:r>
      <w:r w:rsidR="00956911" w:rsidRPr="006E0476">
        <w:rPr>
          <w:lang w:val="fr-CA"/>
        </w:rPr>
        <w:t xml:space="preserve"> </w:t>
      </w:r>
      <w:r w:rsidR="001903DB" w:rsidRPr="006E0476">
        <w:rPr>
          <w:lang w:val="fr-CA"/>
        </w:rPr>
        <w:t xml:space="preserve">Nation </w:t>
      </w:r>
      <w:r w:rsidR="00D20BEC" w:rsidRPr="006E0476">
        <w:rPr>
          <w:lang w:val="fr-CA"/>
        </w:rPr>
        <w:t>Gitxaala</w:t>
      </w:r>
      <w:r w:rsidR="00FD0A82" w:rsidRPr="006E0476">
        <w:rPr>
          <w:lang w:val="fr-CA"/>
        </w:rPr>
        <w:t>,</w:t>
      </w:r>
      <w:r w:rsidR="00956911" w:rsidRPr="006E0476">
        <w:rPr>
          <w:lang w:val="fr-CA"/>
        </w:rPr>
        <w:t xml:space="preserve"> </w:t>
      </w:r>
      <w:r w:rsidR="00D639C0" w:rsidRPr="006E0476">
        <w:rPr>
          <w:lang w:val="fr-CA"/>
        </w:rPr>
        <w:t xml:space="preserve">Chilko Resorts </w:t>
      </w:r>
    </w:p>
    <w:p w:rsidR="00584981" w:rsidRDefault="00F6175F" w:rsidP="000A578A">
      <w:pPr>
        <w:pStyle w:val="SCCLsocParty"/>
        <w:spacing w:after="720"/>
        <w:rPr>
          <w:rStyle w:val="SCCLsocPartyRole"/>
          <w:lang w:val="fr-CA"/>
        </w:rPr>
      </w:pPr>
      <w:r w:rsidRPr="006E0476">
        <w:rPr>
          <w:lang w:val="fr-CA"/>
        </w:rPr>
        <w:t xml:space="preserve">and Community Association </w:t>
      </w:r>
      <w:r w:rsidRPr="00DD3D77">
        <w:rPr>
          <w:lang w:val="fr-CA"/>
        </w:rPr>
        <w:t>et Co</w:t>
      </w:r>
      <w:r w:rsidR="00D639C0" w:rsidRPr="00DD3D77">
        <w:rPr>
          <w:lang w:val="fr-CA"/>
        </w:rPr>
        <w:t>n</w:t>
      </w:r>
      <w:r w:rsidRPr="00DD3D77">
        <w:rPr>
          <w:lang w:val="fr-CA"/>
        </w:rPr>
        <w:t>se</w:t>
      </w:r>
      <w:r w:rsidR="00D639C0" w:rsidRPr="00DD3D77">
        <w:rPr>
          <w:lang w:val="fr-CA"/>
        </w:rPr>
        <w:t xml:space="preserve">il </w:t>
      </w:r>
      <w:r w:rsidRPr="00DD3D77">
        <w:rPr>
          <w:lang w:val="fr-CA"/>
        </w:rPr>
        <w:t>des</w:t>
      </w:r>
      <w:r w:rsidR="00D639C0" w:rsidRPr="00DD3D77">
        <w:rPr>
          <w:lang w:val="fr-CA"/>
        </w:rPr>
        <w:t xml:space="preserve"> Canadi</w:t>
      </w:r>
      <w:r w:rsidRPr="00DD3D77">
        <w:rPr>
          <w:lang w:val="fr-CA"/>
        </w:rPr>
        <w:t>e</w:t>
      </w:r>
      <w:r w:rsidR="00D639C0" w:rsidRPr="00DD3D77">
        <w:rPr>
          <w:lang w:val="fr-CA"/>
        </w:rPr>
        <w:t>ns</w:t>
      </w:r>
      <w:r w:rsidR="00D639C0" w:rsidRPr="00DD3D77">
        <w:rPr>
          <w:rStyle w:val="SCCLsocPartyRole"/>
          <w:lang w:val="fr-CA"/>
        </w:rPr>
        <w:tab/>
        <w:t>Intervenants</w:t>
      </w:r>
    </w:p>
    <w:p w:rsidR="004D7D95" w:rsidRPr="00DD3D77" w:rsidRDefault="004D7D95" w:rsidP="00236C49">
      <w:pPr>
        <w:spacing w:after="720"/>
        <w:jc w:val="both"/>
        <w:rPr>
          <w:b/>
          <w:lang w:val="fr-CA"/>
        </w:rPr>
      </w:pPr>
      <w:r w:rsidRPr="00DD3D77">
        <w:rPr>
          <w:b/>
          <w:lang w:val="fr-CA"/>
        </w:rPr>
        <w:lastRenderedPageBreak/>
        <w:t>Répertorié</w:t>
      </w:r>
      <w:r w:rsidR="000F2258">
        <w:rPr>
          <w:b/>
          <w:lang w:val="fr-CA"/>
        </w:rPr>
        <w:t xml:space="preserve"> : </w:t>
      </w:r>
      <w:r w:rsidR="00EF0831">
        <w:rPr>
          <w:rStyle w:val="SCCAppellantForRunningHeadChar"/>
          <w:b/>
          <w:smallCaps w:val="0"/>
          <w:lang w:val="fr-CA"/>
        </w:rPr>
        <w:t>N</w:t>
      </w:r>
      <w:r w:rsidR="00A06A3C" w:rsidRPr="00EF0831">
        <w:rPr>
          <w:rStyle w:val="SCCAppellantForRunningHeadChar"/>
          <w:b/>
          <w:smallCaps w:val="0"/>
          <w:lang w:val="fr-CA"/>
        </w:rPr>
        <w:t xml:space="preserve">ation </w:t>
      </w:r>
      <w:r w:rsidR="00EF0831">
        <w:rPr>
          <w:rStyle w:val="SCCAppellantForRunningHeadChar"/>
          <w:b/>
          <w:smallCaps w:val="0"/>
          <w:lang w:val="fr-CA"/>
        </w:rPr>
        <w:t>T</w:t>
      </w:r>
      <w:r w:rsidR="00A06A3C" w:rsidRPr="00EF0831">
        <w:rPr>
          <w:rStyle w:val="SCCAppellantForRunningHeadChar"/>
          <w:b/>
          <w:smallCaps w:val="0"/>
          <w:lang w:val="fr-CA"/>
        </w:rPr>
        <w:t>silhqot</w:t>
      </w:r>
      <w:r w:rsidR="002B0C0A">
        <w:rPr>
          <w:rStyle w:val="SCCAppellantForRunningHeadChar"/>
          <w:b/>
          <w:smallCaps w:val="0"/>
          <w:lang w:val="fr-CA"/>
        </w:rPr>
        <w:t>’</w:t>
      </w:r>
      <w:r w:rsidR="00A06A3C" w:rsidRPr="00EF0831">
        <w:rPr>
          <w:rStyle w:val="SCCAppellantForRunningHeadChar"/>
          <w:b/>
          <w:smallCaps w:val="0"/>
          <w:lang w:val="fr-CA"/>
        </w:rPr>
        <w:t>in</w:t>
      </w:r>
      <w:r w:rsidR="00A06A3C" w:rsidRPr="00FD0A82">
        <w:rPr>
          <w:rStyle w:val="SCCAppellantForRunningHeadChar"/>
          <w:lang w:val="fr-CA"/>
        </w:rPr>
        <w:t xml:space="preserve"> </w:t>
      </w:r>
      <w:r w:rsidR="00BF74DD" w:rsidRPr="00DD3D77">
        <w:rPr>
          <w:b/>
          <w:i/>
          <w:lang w:val="fr-CA"/>
        </w:rPr>
        <w:t>c.</w:t>
      </w:r>
      <w:r w:rsidR="00BF74DD" w:rsidRPr="00DD3D77">
        <w:rPr>
          <w:b/>
          <w:lang w:val="fr-CA"/>
        </w:rPr>
        <w:t xml:space="preserve"> Colombie</w:t>
      </w:r>
      <w:r w:rsidR="000F2258">
        <w:rPr>
          <w:b/>
          <w:lang w:val="fr-CA"/>
        </w:rPr>
        <w:t>-</w:t>
      </w:r>
      <w:r w:rsidR="00BF74DD" w:rsidRPr="00DD3D77">
        <w:rPr>
          <w:b/>
          <w:lang w:val="fr-CA"/>
        </w:rPr>
        <w:t>Britannique</w:t>
      </w:r>
    </w:p>
    <w:p w:rsidR="004D7D95" w:rsidRPr="00DD3D77" w:rsidRDefault="00702AA3" w:rsidP="00236C49">
      <w:pPr>
        <w:pStyle w:val="SCCSystemYear"/>
        <w:spacing w:after="720"/>
        <w:jc w:val="both"/>
        <w:rPr>
          <w:lang w:val="fr-CA"/>
        </w:rPr>
      </w:pPr>
      <w:r w:rsidRPr="00DD3D77">
        <w:rPr>
          <w:lang w:val="fr-CA"/>
        </w:rPr>
        <w:t>2014</w:t>
      </w:r>
      <w:r w:rsidR="00EA2D52">
        <w:rPr>
          <w:lang w:val="fr-CA"/>
        </w:rPr>
        <w:t xml:space="preserve"> CSC</w:t>
      </w:r>
      <w:r w:rsidR="000F2258">
        <w:rPr>
          <w:lang w:val="fr-CA"/>
        </w:rPr>
        <w:t xml:space="preserve"> </w:t>
      </w:r>
      <w:r w:rsidR="00EA2D52">
        <w:rPr>
          <w:lang w:val="fr-CA"/>
        </w:rPr>
        <w:t>44</w:t>
      </w:r>
    </w:p>
    <w:p w:rsidR="004D7D95" w:rsidRPr="00DC4FE0" w:rsidRDefault="004D7D95" w:rsidP="00236C49">
      <w:pPr>
        <w:spacing w:after="720"/>
        <w:jc w:val="both"/>
        <w:rPr>
          <w:lang w:val="fr-CA"/>
        </w:rPr>
      </w:pPr>
      <w:r w:rsidRPr="00DC4FE0">
        <w:rPr>
          <w:lang w:val="fr-CA"/>
        </w:rPr>
        <w:t>N</w:t>
      </w:r>
      <w:r w:rsidRPr="00DC4FE0">
        <w:rPr>
          <w:vertAlign w:val="superscript"/>
          <w:lang w:val="fr-CA"/>
        </w:rPr>
        <w:t>o</w:t>
      </w:r>
      <w:r w:rsidRPr="00DC4FE0">
        <w:rPr>
          <w:lang w:val="fr-CA"/>
        </w:rPr>
        <w:t xml:space="preserve"> du greffe</w:t>
      </w:r>
      <w:r w:rsidR="000F2258">
        <w:rPr>
          <w:lang w:val="fr-CA"/>
        </w:rPr>
        <w:t xml:space="preserve"> : </w:t>
      </w:r>
      <w:r w:rsidRPr="00DC4FE0">
        <w:rPr>
          <w:lang w:val="fr-CA"/>
        </w:rPr>
        <w:t>34986.</w:t>
      </w:r>
    </w:p>
    <w:p w:rsidR="004D7D95" w:rsidRPr="00DC4FE0" w:rsidRDefault="0026556D" w:rsidP="00236C49">
      <w:pPr>
        <w:spacing w:after="720"/>
        <w:jc w:val="both"/>
        <w:rPr>
          <w:lang w:val="fr-CA"/>
        </w:rPr>
      </w:pPr>
      <w:r>
        <w:rPr>
          <w:lang w:val="fr-CA"/>
        </w:rPr>
        <w:t>2</w:t>
      </w:r>
      <w:r w:rsidR="00F62639" w:rsidRPr="00DC4FE0">
        <w:rPr>
          <w:lang w:val="fr-CA"/>
        </w:rPr>
        <w:t>013</w:t>
      </w:r>
      <w:r w:rsidR="000F2258">
        <w:rPr>
          <w:lang w:val="fr-CA"/>
        </w:rPr>
        <w:t xml:space="preserve"> : </w:t>
      </w:r>
      <w:r w:rsidR="000A578A">
        <w:rPr>
          <w:lang w:val="fr-CA"/>
        </w:rPr>
        <w:t>7</w:t>
      </w:r>
      <w:r w:rsidR="000F2258">
        <w:rPr>
          <w:lang w:val="fr-CA"/>
        </w:rPr>
        <w:t xml:space="preserve"> </w:t>
      </w:r>
      <w:r w:rsidR="00F62639" w:rsidRPr="00DC4FE0">
        <w:rPr>
          <w:lang w:val="fr-CA"/>
        </w:rPr>
        <w:t>novembre</w:t>
      </w:r>
      <w:r w:rsidR="004D7D95" w:rsidRPr="00DC4FE0">
        <w:rPr>
          <w:lang w:val="fr-CA"/>
        </w:rPr>
        <w:t xml:space="preserve">; </w:t>
      </w:r>
      <w:r w:rsidR="000C431F">
        <w:rPr>
          <w:lang w:val="fr-CA"/>
        </w:rPr>
        <w:t>2014</w:t>
      </w:r>
      <w:r w:rsidR="000F2258">
        <w:rPr>
          <w:lang w:val="fr-CA"/>
        </w:rPr>
        <w:t xml:space="preserve"> : </w:t>
      </w:r>
      <w:r w:rsidR="000A578A">
        <w:rPr>
          <w:lang w:val="fr-CA"/>
        </w:rPr>
        <w:t>26</w:t>
      </w:r>
      <w:r w:rsidR="000F2258">
        <w:rPr>
          <w:lang w:val="fr-CA"/>
        </w:rPr>
        <w:t xml:space="preserve"> </w:t>
      </w:r>
      <w:r>
        <w:rPr>
          <w:lang w:val="fr-CA"/>
        </w:rPr>
        <w:t>juin</w:t>
      </w:r>
      <w:r w:rsidR="004D7D95" w:rsidRPr="00DC4FE0">
        <w:rPr>
          <w:lang w:val="fr-CA"/>
        </w:rPr>
        <w:t>.</w:t>
      </w:r>
    </w:p>
    <w:p w:rsidR="004D7D95" w:rsidRPr="00D639C0" w:rsidRDefault="004D7D95" w:rsidP="00236C49">
      <w:pPr>
        <w:spacing w:after="720"/>
        <w:jc w:val="both"/>
        <w:rPr>
          <w:lang w:val="fr-CA"/>
        </w:rPr>
      </w:pPr>
      <w:r w:rsidRPr="00D639C0">
        <w:rPr>
          <w:lang w:val="fr-CA"/>
        </w:rPr>
        <w:t>Présents</w:t>
      </w:r>
      <w:r w:rsidR="000F2258">
        <w:rPr>
          <w:lang w:val="fr-CA"/>
        </w:rPr>
        <w:t xml:space="preserve"> : </w:t>
      </w:r>
      <w:r w:rsidRPr="00D639C0">
        <w:rPr>
          <w:lang w:val="fr-CA"/>
        </w:rPr>
        <w:t>La juge en chef McLachlin et les juges LeBel, Abella, Rothstein, Cromwell, Moldaver, Karakatsanis et Wagner.</w:t>
      </w:r>
    </w:p>
    <w:p w:rsidR="004D7D95" w:rsidRPr="003D0AB6" w:rsidRDefault="007946F7" w:rsidP="00236C49">
      <w:pPr>
        <w:spacing w:after="720"/>
        <w:jc w:val="both"/>
        <w:rPr>
          <w:smallCaps/>
          <w:lang w:val="fr-CA"/>
        </w:rPr>
      </w:pPr>
      <w:r>
        <w:rPr>
          <w:smallCaps/>
          <w:lang w:val="fr-CA"/>
        </w:rPr>
        <w:t>e</w:t>
      </w:r>
      <w:r w:rsidR="004D7D95" w:rsidRPr="003D0AB6">
        <w:rPr>
          <w:smallCaps/>
          <w:lang w:val="fr-CA"/>
        </w:rPr>
        <w:t>n appel de la cour d</w:t>
      </w:r>
      <w:r w:rsidR="002B0C0A">
        <w:rPr>
          <w:smallCaps/>
          <w:lang w:val="fr-CA"/>
        </w:rPr>
        <w:t>’</w:t>
      </w:r>
      <w:r w:rsidR="004D7D95" w:rsidRPr="003D0AB6">
        <w:rPr>
          <w:smallCaps/>
          <w:lang w:val="fr-CA"/>
        </w:rPr>
        <w:t xml:space="preserve">appel de la </w:t>
      </w:r>
      <w:r>
        <w:rPr>
          <w:smallCaps/>
          <w:lang w:val="fr-CA"/>
        </w:rPr>
        <w:t>colombie</w:t>
      </w:r>
      <w:r w:rsidR="000F2258">
        <w:rPr>
          <w:smallCaps/>
          <w:lang w:val="fr-CA"/>
        </w:rPr>
        <w:t>-</w:t>
      </w:r>
      <w:r>
        <w:rPr>
          <w:smallCaps/>
          <w:lang w:val="fr-CA"/>
        </w:rPr>
        <w:t>b</w:t>
      </w:r>
      <w:r w:rsidR="003D0AB6" w:rsidRPr="003D0AB6">
        <w:rPr>
          <w:smallCaps/>
          <w:lang w:val="fr-CA"/>
        </w:rPr>
        <w:t>ritannique</w:t>
      </w:r>
      <w:r w:rsidR="004D7D95" w:rsidRPr="003D0AB6">
        <w:rPr>
          <w:smallCaps/>
          <w:lang w:val="fr-CA"/>
        </w:rPr>
        <w:t xml:space="preserve"> </w:t>
      </w:r>
    </w:p>
    <w:p w:rsidR="003D6CB1" w:rsidRPr="00E90C6C" w:rsidRDefault="004D7D95" w:rsidP="00236C49">
      <w:pPr>
        <w:pStyle w:val="SCCNormalDoubleSpacing"/>
        <w:spacing w:after="480"/>
        <w:rPr>
          <w:i/>
          <w:lang w:val="fr-CA"/>
        </w:rPr>
      </w:pPr>
      <w:r w:rsidRPr="00BB4C92">
        <w:rPr>
          <w:lang w:val="fr-CA"/>
        </w:rPr>
        <w:tab/>
      </w:r>
      <w:r w:rsidR="00B157D9" w:rsidRPr="00E90C6C">
        <w:rPr>
          <w:i/>
          <w:lang w:val="fr-CA"/>
        </w:rPr>
        <w:t xml:space="preserve">Droit des Autochtones </w:t>
      </w:r>
      <w:r w:rsidR="000A578A">
        <w:rPr>
          <w:i/>
          <w:lang w:val="fr-CA"/>
        </w:rPr>
        <w:t>—</w:t>
      </w:r>
      <w:r w:rsidR="00B157D9" w:rsidRPr="00E90C6C">
        <w:rPr>
          <w:i/>
          <w:lang w:val="fr-CA"/>
        </w:rPr>
        <w:t xml:space="preserve"> </w:t>
      </w:r>
      <w:r w:rsidR="00DE32D6" w:rsidRPr="00E90C6C">
        <w:rPr>
          <w:i/>
          <w:lang w:val="fr-CA"/>
        </w:rPr>
        <w:t xml:space="preserve">Titre ancestral </w:t>
      </w:r>
      <w:r w:rsidR="000A578A">
        <w:rPr>
          <w:i/>
          <w:lang w:val="fr-CA"/>
        </w:rPr>
        <w:t>—</w:t>
      </w:r>
      <w:r w:rsidR="00DE32D6" w:rsidRPr="00E90C6C">
        <w:rPr>
          <w:i/>
          <w:lang w:val="fr-CA"/>
        </w:rPr>
        <w:t xml:space="preserve"> </w:t>
      </w:r>
      <w:r w:rsidR="00B157D9" w:rsidRPr="00E90C6C">
        <w:rPr>
          <w:i/>
          <w:lang w:val="fr-CA"/>
        </w:rPr>
        <w:t xml:space="preserve">Revendications territoriales </w:t>
      </w:r>
      <w:r w:rsidR="000A578A">
        <w:rPr>
          <w:i/>
          <w:lang w:val="fr-CA"/>
        </w:rPr>
        <w:t>—</w:t>
      </w:r>
      <w:r w:rsidR="00B157D9" w:rsidRPr="00E90C6C">
        <w:rPr>
          <w:i/>
          <w:lang w:val="fr-CA"/>
        </w:rPr>
        <w:t>Éléments du critère permettant d</w:t>
      </w:r>
      <w:r w:rsidR="002B0C0A">
        <w:rPr>
          <w:i/>
          <w:lang w:val="fr-CA"/>
        </w:rPr>
        <w:t>’</w:t>
      </w:r>
      <w:r w:rsidR="00B157D9" w:rsidRPr="00E90C6C">
        <w:rPr>
          <w:i/>
          <w:lang w:val="fr-CA"/>
        </w:rPr>
        <w:t>établir l</w:t>
      </w:r>
      <w:r w:rsidR="002B0C0A">
        <w:rPr>
          <w:i/>
          <w:lang w:val="fr-CA"/>
        </w:rPr>
        <w:t>’</w:t>
      </w:r>
      <w:r w:rsidR="00B157D9" w:rsidRPr="00E90C6C">
        <w:rPr>
          <w:i/>
          <w:lang w:val="fr-CA"/>
        </w:rPr>
        <w:t xml:space="preserve">existence du titre ancestral sur </w:t>
      </w:r>
      <w:r w:rsidR="00A505C3" w:rsidRPr="00E90C6C">
        <w:rPr>
          <w:i/>
          <w:lang w:val="fr-CA"/>
        </w:rPr>
        <w:t>un</w:t>
      </w:r>
      <w:r w:rsidR="00B157D9" w:rsidRPr="00E90C6C">
        <w:rPr>
          <w:i/>
          <w:lang w:val="fr-CA"/>
        </w:rPr>
        <w:t xml:space="preserve"> terr</w:t>
      </w:r>
      <w:r w:rsidR="00A505C3" w:rsidRPr="00E90C6C">
        <w:rPr>
          <w:i/>
          <w:lang w:val="fr-CA"/>
        </w:rPr>
        <w:t>itoir</w:t>
      </w:r>
      <w:r w:rsidR="00B157D9" w:rsidRPr="00E90C6C">
        <w:rPr>
          <w:i/>
          <w:lang w:val="fr-CA"/>
        </w:rPr>
        <w:t xml:space="preserve">e </w:t>
      </w:r>
      <w:r w:rsidR="000A578A">
        <w:rPr>
          <w:i/>
          <w:lang w:val="fr-CA"/>
        </w:rPr>
        <w:t>—</w:t>
      </w:r>
      <w:r w:rsidR="00B157D9" w:rsidRPr="00E90C6C">
        <w:rPr>
          <w:i/>
          <w:lang w:val="fr-CA"/>
        </w:rPr>
        <w:t xml:space="preserve"> </w:t>
      </w:r>
      <w:r w:rsidR="00296867" w:rsidRPr="00E90C6C">
        <w:rPr>
          <w:i/>
          <w:lang w:val="fr-CA"/>
        </w:rPr>
        <w:t>Droit</w:t>
      </w:r>
      <w:r w:rsidR="00DE32D6">
        <w:rPr>
          <w:i/>
          <w:lang w:val="fr-CA"/>
        </w:rPr>
        <w:t>s</w:t>
      </w:r>
      <w:r w:rsidR="00296867" w:rsidRPr="00E90C6C">
        <w:rPr>
          <w:i/>
          <w:lang w:val="fr-CA"/>
        </w:rPr>
        <w:t xml:space="preserve"> et restrictions rattachés au titre ancestral </w:t>
      </w:r>
      <w:r w:rsidR="000A578A">
        <w:rPr>
          <w:i/>
          <w:lang w:val="fr-CA"/>
        </w:rPr>
        <w:t>—</w:t>
      </w:r>
      <w:r w:rsidR="00296867" w:rsidRPr="00E90C6C">
        <w:rPr>
          <w:i/>
          <w:lang w:val="fr-CA"/>
        </w:rPr>
        <w:t xml:space="preserve"> Obligations de la Couronne avant et après la reconnaissance du titre ancestral </w:t>
      </w:r>
      <w:r w:rsidR="000A578A">
        <w:rPr>
          <w:i/>
          <w:lang w:val="fr-CA"/>
        </w:rPr>
        <w:t>—</w:t>
      </w:r>
      <w:r w:rsidR="00296867" w:rsidRPr="00E90C6C">
        <w:rPr>
          <w:i/>
          <w:lang w:val="fr-CA"/>
        </w:rPr>
        <w:t xml:space="preserve"> </w:t>
      </w:r>
      <w:r w:rsidR="00DE32D6">
        <w:rPr>
          <w:i/>
          <w:lang w:val="fr-CA"/>
        </w:rPr>
        <w:t>Province accordant</w:t>
      </w:r>
      <w:r w:rsidR="00296867" w:rsidRPr="00E90C6C">
        <w:rPr>
          <w:i/>
          <w:lang w:val="fr-CA"/>
        </w:rPr>
        <w:t xml:space="preserve"> </w:t>
      </w:r>
      <w:r w:rsidR="00B90796">
        <w:rPr>
          <w:i/>
          <w:lang w:val="fr-CA"/>
        </w:rPr>
        <w:t>un permis commercial de coupe de</w:t>
      </w:r>
      <w:r w:rsidR="00296867" w:rsidRPr="00E90C6C">
        <w:rPr>
          <w:i/>
          <w:lang w:val="fr-CA"/>
        </w:rPr>
        <w:t xml:space="preserve"> bois dans un secteur qu</w:t>
      </w:r>
      <w:r w:rsidR="002B0C0A">
        <w:rPr>
          <w:i/>
          <w:lang w:val="fr-CA"/>
        </w:rPr>
        <w:t>’</w:t>
      </w:r>
      <w:r w:rsidR="00296867" w:rsidRPr="00E90C6C">
        <w:rPr>
          <w:i/>
          <w:lang w:val="fr-CA"/>
        </w:rPr>
        <w:t>une Première Nation semi</w:t>
      </w:r>
      <w:r w:rsidR="000F2258">
        <w:rPr>
          <w:i/>
          <w:lang w:val="fr-CA"/>
        </w:rPr>
        <w:t>-</w:t>
      </w:r>
      <w:r w:rsidR="00296867" w:rsidRPr="00E90C6C">
        <w:rPr>
          <w:i/>
          <w:lang w:val="fr-CA"/>
        </w:rPr>
        <w:t xml:space="preserve">nomade considère être </w:t>
      </w:r>
      <w:r w:rsidR="007A14DC" w:rsidRPr="00E90C6C">
        <w:rPr>
          <w:i/>
          <w:lang w:val="fr-CA"/>
        </w:rPr>
        <w:t xml:space="preserve">son territoire ancestral </w:t>
      </w:r>
      <w:r w:rsidR="000A578A">
        <w:rPr>
          <w:i/>
          <w:lang w:val="fr-CA"/>
        </w:rPr>
        <w:t>—</w:t>
      </w:r>
      <w:r w:rsidR="007A14DC" w:rsidRPr="00E90C6C">
        <w:rPr>
          <w:i/>
          <w:lang w:val="fr-CA"/>
        </w:rPr>
        <w:t xml:space="preserve"> Première Nation revendiquant le titre ancestral sur des terres</w:t>
      </w:r>
      <w:r w:rsidR="00296867" w:rsidRPr="00E90C6C">
        <w:rPr>
          <w:i/>
          <w:lang w:val="fr-CA"/>
        </w:rPr>
        <w:t xml:space="preserve"> </w:t>
      </w:r>
      <w:r w:rsidR="000A578A">
        <w:rPr>
          <w:i/>
          <w:lang w:val="fr-CA"/>
        </w:rPr>
        <w:t>—</w:t>
      </w:r>
      <w:r w:rsidR="0018583D" w:rsidRPr="00E90C6C">
        <w:rPr>
          <w:i/>
          <w:lang w:val="fr-CA"/>
        </w:rPr>
        <w:t xml:space="preserve"> Le critère permettant d</w:t>
      </w:r>
      <w:r w:rsidR="002B0C0A">
        <w:rPr>
          <w:i/>
          <w:lang w:val="fr-CA"/>
        </w:rPr>
        <w:t>’</w:t>
      </w:r>
      <w:r w:rsidR="0018583D" w:rsidRPr="00E90C6C">
        <w:rPr>
          <w:i/>
          <w:lang w:val="fr-CA"/>
        </w:rPr>
        <w:t>établir l</w:t>
      </w:r>
      <w:r w:rsidR="002B0C0A">
        <w:rPr>
          <w:i/>
          <w:lang w:val="fr-CA"/>
        </w:rPr>
        <w:t>’</w:t>
      </w:r>
      <w:r w:rsidR="0018583D" w:rsidRPr="00E90C6C">
        <w:rPr>
          <w:i/>
          <w:lang w:val="fr-CA"/>
        </w:rPr>
        <w:t>existence du titre ancestral exige</w:t>
      </w:r>
      <w:r w:rsidR="000F2258">
        <w:rPr>
          <w:i/>
          <w:lang w:val="fr-CA"/>
        </w:rPr>
        <w:t>-</w:t>
      </w:r>
      <w:r w:rsidR="0018583D" w:rsidRPr="00E90C6C">
        <w:rPr>
          <w:i/>
          <w:lang w:val="fr-CA"/>
        </w:rPr>
        <w:t>t</w:t>
      </w:r>
      <w:r w:rsidR="000F2258">
        <w:rPr>
          <w:i/>
          <w:lang w:val="fr-CA"/>
        </w:rPr>
        <w:t>-</w:t>
      </w:r>
      <w:r w:rsidR="0018583D" w:rsidRPr="00E90C6C">
        <w:rPr>
          <w:i/>
          <w:lang w:val="fr-CA"/>
        </w:rPr>
        <w:t>il la preuve d</w:t>
      </w:r>
      <w:r w:rsidR="002B0C0A">
        <w:rPr>
          <w:i/>
          <w:lang w:val="fr-CA"/>
        </w:rPr>
        <w:t>’</w:t>
      </w:r>
      <w:r w:rsidR="0018583D" w:rsidRPr="00E90C6C">
        <w:rPr>
          <w:i/>
          <w:lang w:val="fr-CA"/>
        </w:rPr>
        <w:t>une occupation régulière et exclusive ou la preuve d</w:t>
      </w:r>
      <w:r w:rsidR="002B0C0A">
        <w:rPr>
          <w:i/>
          <w:lang w:val="fr-CA"/>
        </w:rPr>
        <w:t>’</w:t>
      </w:r>
      <w:r w:rsidR="0018583D" w:rsidRPr="00E90C6C">
        <w:rPr>
          <w:i/>
          <w:lang w:val="fr-CA"/>
        </w:rPr>
        <w:t>une occupation intensive d</w:t>
      </w:r>
      <w:r w:rsidR="002B0C0A">
        <w:rPr>
          <w:i/>
          <w:lang w:val="fr-CA"/>
        </w:rPr>
        <w:t>’</w:t>
      </w:r>
      <w:r w:rsidR="0018583D" w:rsidRPr="00E90C6C">
        <w:rPr>
          <w:i/>
          <w:lang w:val="fr-CA"/>
        </w:rPr>
        <w:t xml:space="preserve">un site spécifique? </w:t>
      </w:r>
      <w:r w:rsidR="000A578A">
        <w:rPr>
          <w:i/>
          <w:lang w:val="fr-CA"/>
        </w:rPr>
        <w:t>—</w:t>
      </w:r>
      <w:r w:rsidR="0018583D" w:rsidRPr="00E90C6C">
        <w:rPr>
          <w:i/>
          <w:lang w:val="fr-CA"/>
        </w:rPr>
        <w:t xml:space="preserve"> Le juge de première instance a</w:t>
      </w:r>
      <w:r w:rsidR="000F2258">
        <w:rPr>
          <w:i/>
          <w:lang w:val="fr-CA"/>
        </w:rPr>
        <w:t>-</w:t>
      </w:r>
      <w:r w:rsidR="0018583D" w:rsidRPr="00E90C6C">
        <w:rPr>
          <w:i/>
          <w:lang w:val="fr-CA"/>
        </w:rPr>
        <w:t>t</w:t>
      </w:r>
      <w:r w:rsidR="000F2258">
        <w:rPr>
          <w:i/>
          <w:lang w:val="fr-CA"/>
        </w:rPr>
        <w:t>-</w:t>
      </w:r>
      <w:r w:rsidR="0018583D" w:rsidRPr="00E90C6C">
        <w:rPr>
          <w:i/>
          <w:lang w:val="fr-CA"/>
        </w:rPr>
        <w:t>il conclu par erreur à l</w:t>
      </w:r>
      <w:r w:rsidR="002B0C0A">
        <w:rPr>
          <w:i/>
          <w:lang w:val="fr-CA"/>
        </w:rPr>
        <w:t>’</w:t>
      </w:r>
      <w:r w:rsidR="0018583D" w:rsidRPr="00E90C6C">
        <w:rPr>
          <w:i/>
          <w:lang w:val="fr-CA"/>
        </w:rPr>
        <w:t xml:space="preserve">existence du titre ancestral? </w:t>
      </w:r>
      <w:r w:rsidR="000A578A">
        <w:rPr>
          <w:i/>
          <w:lang w:val="fr-CA"/>
        </w:rPr>
        <w:t>—</w:t>
      </w:r>
      <w:r w:rsidR="0018583D" w:rsidRPr="00E90C6C">
        <w:rPr>
          <w:i/>
          <w:lang w:val="fr-CA"/>
        </w:rPr>
        <w:t xml:space="preserve"> La Couronne a</w:t>
      </w:r>
      <w:r w:rsidR="000F2258">
        <w:rPr>
          <w:i/>
          <w:lang w:val="fr-CA"/>
        </w:rPr>
        <w:t>-</w:t>
      </w:r>
      <w:r w:rsidR="0018583D" w:rsidRPr="00E90C6C">
        <w:rPr>
          <w:i/>
          <w:lang w:val="fr-CA"/>
        </w:rPr>
        <w:t>t</w:t>
      </w:r>
      <w:r w:rsidR="000F2258">
        <w:rPr>
          <w:i/>
          <w:lang w:val="fr-CA"/>
        </w:rPr>
        <w:t>-</w:t>
      </w:r>
      <w:r w:rsidR="0018583D" w:rsidRPr="00E90C6C">
        <w:rPr>
          <w:i/>
          <w:lang w:val="fr-CA"/>
        </w:rPr>
        <w:t>elle manqué à ses obligations procédurales de consulter et d</w:t>
      </w:r>
      <w:r w:rsidR="002B0C0A">
        <w:rPr>
          <w:i/>
          <w:lang w:val="fr-CA"/>
        </w:rPr>
        <w:t>’</w:t>
      </w:r>
      <w:r w:rsidR="0018583D" w:rsidRPr="00E90C6C">
        <w:rPr>
          <w:i/>
          <w:lang w:val="fr-CA"/>
        </w:rPr>
        <w:t>accommoder les Autochtones avant d</w:t>
      </w:r>
      <w:r w:rsidR="00DE32D6">
        <w:rPr>
          <w:i/>
          <w:lang w:val="fr-CA"/>
        </w:rPr>
        <w:t>e délivrer</w:t>
      </w:r>
      <w:r w:rsidR="0018583D" w:rsidRPr="00E90C6C">
        <w:rPr>
          <w:i/>
          <w:lang w:val="fr-CA"/>
        </w:rPr>
        <w:t xml:space="preserve"> le</w:t>
      </w:r>
      <w:r w:rsidR="00B90796">
        <w:rPr>
          <w:i/>
          <w:lang w:val="fr-CA"/>
        </w:rPr>
        <w:t>s</w:t>
      </w:r>
      <w:r w:rsidR="0018583D" w:rsidRPr="00E90C6C">
        <w:rPr>
          <w:i/>
          <w:lang w:val="fr-CA"/>
        </w:rPr>
        <w:t xml:space="preserve"> permis de coupe de bois? </w:t>
      </w:r>
      <w:r w:rsidR="000A578A">
        <w:rPr>
          <w:i/>
          <w:lang w:val="fr-CA"/>
        </w:rPr>
        <w:t>—</w:t>
      </w:r>
      <w:r w:rsidR="0018583D" w:rsidRPr="00E90C6C">
        <w:rPr>
          <w:i/>
          <w:lang w:val="fr-CA"/>
        </w:rPr>
        <w:t xml:space="preserve"> </w:t>
      </w:r>
      <w:r w:rsidR="003D6CB1" w:rsidRPr="00E90C6C">
        <w:rPr>
          <w:i/>
          <w:lang w:val="fr-CA"/>
        </w:rPr>
        <w:t>Les atteintes portées par la Couronne aux intérêts des Autochtones sont</w:t>
      </w:r>
      <w:r w:rsidR="000F2258">
        <w:rPr>
          <w:i/>
          <w:lang w:val="fr-CA"/>
        </w:rPr>
        <w:t>-</w:t>
      </w:r>
      <w:r w:rsidR="003D6CB1" w:rsidRPr="00E90C6C">
        <w:rPr>
          <w:i/>
          <w:lang w:val="fr-CA"/>
        </w:rPr>
        <w:t>elles justifiées par le cadre d</w:t>
      </w:r>
      <w:r w:rsidR="002B0C0A">
        <w:rPr>
          <w:i/>
          <w:lang w:val="fr-CA"/>
        </w:rPr>
        <w:t>’</w:t>
      </w:r>
      <w:r w:rsidR="003D6CB1" w:rsidRPr="00E90C6C">
        <w:rPr>
          <w:i/>
          <w:lang w:val="fr-CA"/>
        </w:rPr>
        <w:t xml:space="preserve">analyse </w:t>
      </w:r>
      <w:r w:rsidR="00DE32D6">
        <w:rPr>
          <w:i/>
          <w:lang w:val="fr-CA"/>
        </w:rPr>
        <w:t>relatif à</w:t>
      </w:r>
      <w:r w:rsidR="003D6CB1" w:rsidRPr="00E90C6C">
        <w:rPr>
          <w:i/>
          <w:lang w:val="fr-CA"/>
        </w:rPr>
        <w:t xml:space="preserve"> l</w:t>
      </w:r>
      <w:r w:rsidR="002B0C0A">
        <w:rPr>
          <w:i/>
          <w:lang w:val="fr-CA"/>
        </w:rPr>
        <w:t>’</w:t>
      </w:r>
      <w:r w:rsidR="003D6CB1" w:rsidRPr="00E90C6C">
        <w:rPr>
          <w:i/>
          <w:lang w:val="fr-CA"/>
        </w:rPr>
        <w:t>art.</w:t>
      </w:r>
      <w:r w:rsidR="000F2258">
        <w:rPr>
          <w:i/>
          <w:lang w:val="fr-CA"/>
        </w:rPr>
        <w:t xml:space="preserve"> </w:t>
      </w:r>
      <w:r w:rsidR="003D6CB1" w:rsidRPr="00E90C6C">
        <w:rPr>
          <w:i/>
          <w:lang w:val="fr-CA"/>
        </w:rPr>
        <w:t xml:space="preserve">35 </w:t>
      </w:r>
      <w:r w:rsidR="003D6CB1" w:rsidRPr="00E90C6C">
        <w:rPr>
          <w:i/>
          <w:lang w:val="fr-CA"/>
        </w:rPr>
        <w:lastRenderedPageBreak/>
        <w:t xml:space="preserve">de la Loi constitutionnelle de 1982? </w:t>
      </w:r>
      <w:r w:rsidR="000A578A">
        <w:rPr>
          <w:i/>
          <w:lang w:val="fr-CA"/>
        </w:rPr>
        <w:t>—</w:t>
      </w:r>
      <w:r w:rsidR="003D6CB1" w:rsidRPr="00E90C6C">
        <w:rPr>
          <w:i/>
          <w:lang w:val="fr-CA"/>
        </w:rPr>
        <w:t xml:space="preserve"> </w:t>
      </w:r>
      <w:r w:rsidR="00DE32D6">
        <w:rPr>
          <w:i/>
          <w:lang w:val="fr-CA"/>
        </w:rPr>
        <w:t>F</w:t>
      </w:r>
      <w:r w:rsidR="00DE32D6" w:rsidRPr="00E90C6C">
        <w:rPr>
          <w:i/>
          <w:lang w:val="fr-CA"/>
        </w:rPr>
        <w:t>orest Act, R.S.B.C. 1995, ch.</w:t>
      </w:r>
      <w:r w:rsidR="000F2258">
        <w:rPr>
          <w:i/>
          <w:lang w:val="fr-CA"/>
        </w:rPr>
        <w:t xml:space="preserve"> </w:t>
      </w:r>
      <w:r w:rsidR="00DE32D6" w:rsidRPr="00E90C6C">
        <w:rPr>
          <w:i/>
          <w:lang w:val="fr-CA"/>
        </w:rPr>
        <w:t>157</w:t>
      </w:r>
      <w:r w:rsidR="00DE32D6">
        <w:rPr>
          <w:i/>
          <w:lang w:val="fr-CA"/>
        </w:rPr>
        <w:t xml:space="preserve"> </w:t>
      </w:r>
      <w:r w:rsidR="000A578A">
        <w:rPr>
          <w:i/>
          <w:lang w:val="fr-CA"/>
        </w:rPr>
        <w:t>—</w:t>
      </w:r>
      <w:r w:rsidR="00DE32D6" w:rsidRPr="00E90C6C">
        <w:rPr>
          <w:i/>
          <w:lang w:val="fr-CA"/>
        </w:rPr>
        <w:t xml:space="preserve"> </w:t>
      </w:r>
      <w:r w:rsidR="003D6CB1" w:rsidRPr="00E90C6C">
        <w:rPr>
          <w:i/>
          <w:lang w:val="fr-CA"/>
        </w:rPr>
        <w:t>Loi constitutionnelle de 1982, art.</w:t>
      </w:r>
      <w:r w:rsidR="000F2258">
        <w:rPr>
          <w:i/>
          <w:lang w:val="fr-CA"/>
        </w:rPr>
        <w:t xml:space="preserve"> </w:t>
      </w:r>
      <w:r w:rsidR="003D6CB1" w:rsidRPr="00E90C6C">
        <w:rPr>
          <w:i/>
          <w:lang w:val="fr-CA"/>
        </w:rPr>
        <w:t>35</w:t>
      </w:r>
      <w:r w:rsidR="00494888">
        <w:rPr>
          <w:i/>
          <w:lang w:val="fr-CA"/>
        </w:rPr>
        <w:t>.</w:t>
      </w:r>
    </w:p>
    <w:p w:rsidR="004D7D95" w:rsidRPr="004D7D95" w:rsidRDefault="003D6CB1" w:rsidP="00236C49">
      <w:pPr>
        <w:pStyle w:val="SCCNormalDoubleSpacing"/>
        <w:spacing w:after="480"/>
        <w:rPr>
          <w:lang w:val="fr-CA"/>
        </w:rPr>
      </w:pPr>
      <w:r w:rsidRPr="00E90C6C">
        <w:rPr>
          <w:i/>
          <w:lang w:val="fr-CA"/>
        </w:rPr>
        <w:tab/>
        <w:t xml:space="preserve">Droit des Autochtones </w:t>
      </w:r>
      <w:r w:rsidR="000A578A">
        <w:rPr>
          <w:i/>
          <w:lang w:val="fr-CA"/>
        </w:rPr>
        <w:t>—</w:t>
      </w:r>
      <w:r w:rsidR="00494888">
        <w:rPr>
          <w:i/>
          <w:lang w:val="fr-CA"/>
        </w:rPr>
        <w:t xml:space="preserve"> </w:t>
      </w:r>
      <w:r w:rsidRPr="00E90C6C">
        <w:rPr>
          <w:i/>
          <w:lang w:val="fr-CA"/>
        </w:rPr>
        <w:t xml:space="preserve">Titre ancestral </w:t>
      </w:r>
      <w:r w:rsidR="000A578A">
        <w:rPr>
          <w:i/>
          <w:lang w:val="fr-CA"/>
        </w:rPr>
        <w:t>—</w:t>
      </w:r>
      <w:r w:rsidRPr="00E90C6C">
        <w:rPr>
          <w:i/>
          <w:lang w:val="fr-CA"/>
        </w:rPr>
        <w:t xml:space="preserve"> Revendications territoriales </w:t>
      </w:r>
      <w:r w:rsidR="000A578A">
        <w:rPr>
          <w:i/>
          <w:lang w:val="fr-CA"/>
        </w:rPr>
        <w:t>—</w:t>
      </w:r>
      <w:r w:rsidRPr="00E90C6C">
        <w:rPr>
          <w:i/>
          <w:lang w:val="fr-CA"/>
        </w:rPr>
        <w:t xml:space="preserve"> Lois provinciales d</w:t>
      </w:r>
      <w:r w:rsidR="002B0C0A">
        <w:rPr>
          <w:i/>
          <w:lang w:val="fr-CA"/>
        </w:rPr>
        <w:t>’</w:t>
      </w:r>
      <w:r w:rsidRPr="00E90C6C">
        <w:rPr>
          <w:i/>
          <w:lang w:val="fr-CA"/>
        </w:rPr>
        <w:t xml:space="preserve">application générale </w:t>
      </w:r>
      <w:r w:rsidR="000A578A">
        <w:rPr>
          <w:i/>
          <w:lang w:val="fr-CA"/>
        </w:rPr>
        <w:t>—</w:t>
      </w:r>
      <w:r w:rsidRPr="00E90C6C">
        <w:rPr>
          <w:i/>
          <w:lang w:val="fr-CA"/>
        </w:rPr>
        <w:t xml:space="preserve"> Contraintes constitutionnelles </w:t>
      </w:r>
      <w:r w:rsidR="00A505C3" w:rsidRPr="00E90C6C">
        <w:rPr>
          <w:i/>
          <w:lang w:val="fr-CA"/>
        </w:rPr>
        <w:t>sur la réglementation, par la province, du territoire visé par le titre a</w:t>
      </w:r>
      <w:r w:rsidR="00DE32D6">
        <w:rPr>
          <w:i/>
          <w:lang w:val="fr-CA"/>
        </w:rPr>
        <w:t>ncestral</w:t>
      </w:r>
      <w:r w:rsidR="00A505C3" w:rsidRPr="00E90C6C">
        <w:rPr>
          <w:i/>
          <w:lang w:val="fr-CA"/>
        </w:rPr>
        <w:t xml:space="preserve"> </w:t>
      </w:r>
      <w:r w:rsidR="000A578A">
        <w:rPr>
          <w:i/>
          <w:lang w:val="fr-CA"/>
        </w:rPr>
        <w:t>—</w:t>
      </w:r>
      <w:r w:rsidR="00A505C3" w:rsidRPr="00E90C6C">
        <w:rPr>
          <w:i/>
          <w:lang w:val="fr-CA"/>
        </w:rPr>
        <w:t xml:space="preserve"> Partage des compétences </w:t>
      </w:r>
      <w:r w:rsidR="000A578A">
        <w:rPr>
          <w:i/>
          <w:lang w:val="fr-CA"/>
        </w:rPr>
        <w:t>—</w:t>
      </w:r>
      <w:r w:rsidR="00A505C3" w:rsidRPr="00E90C6C">
        <w:rPr>
          <w:i/>
          <w:lang w:val="fr-CA"/>
        </w:rPr>
        <w:t xml:space="preserve"> Doctrine de l</w:t>
      </w:r>
      <w:r w:rsidR="002B0C0A">
        <w:rPr>
          <w:i/>
          <w:lang w:val="fr-CA"/>
        </w:rPr>
        <w:t>’</w:t>
      </w:r>
      <w:r w:rsidR="00A505C3" w:rsidRPr="00E90C6C">
        <w:rPr>
          <w:i/>
          <w:lang w:val="fr-CA"/>
        </w:rPr>
        <w:t xml:space="preserve">exclusivité des compétences </w:t>
      </w:r>
      <w:r w:rsidR="000A578A">
        <w:rPr>
          <w:i/>
          <w:lang w:val="fr-CA"/>
        </w:rPr>
        <w:t>—</w:t>
      </w:r>
      <w:r w:rsidR="00A505C3" w:rsidRPr="00E90C6C">
        <w:rPr>
          <w:i/>
          <w:lang w:val="fr-CA"/>
        </w:rPr>
        <w:t xml:space="preserve"> Atteinte e</w:t>
      </w:r>
      <w:r w:rsidR="00DE32D6">
        <w:rPr>
          <w:i/>
          <w:lang w:val="fr-CA"/>
        </w:rPr>
        <w:t>t</w:t>
      </w:r>
      <w:r w:rsidR="00A505C3" w:rsidRPr="00E90C6C">
        <w:rPr>
          <w:i/>
          <w:lang w:val="fr-CA"/>
        </w:rPr>
        <w:t xml:space="preserve"> cadre d</w:t>
      </w:r>
      <w:r w:rsidR="002B0C0A">
        <w:rPr>
          <w:i/>
          <w:lang w:val="fr-CA"/>
        </w:rPr>
        <w:t>’</w:t>
      </w:r>
      <w:r w:rsidR="00A505C3" w:rsidRPr="00E90C6C">
        <w:rPr>
          <w:i/>
          <w:lang w:val="fr-CA"/>
        </w:rPr>
        <w:t xml:space="preserve">analyse de la justification </w:t>
      </w:r>
      <w:r w:rsidR="00DE32D6">
        <w:rPr>
          <w:i/>
          <w:lang w:val="fr-CA"/>
        </w:rPr>
        <w:t>relatif à</w:t>
      </w:r>
      <w:r w:rsidR="00A505C3" w:rsidRPr="00E90C6C">
        <w:rPr>
          <w:i/>
          <w:lang w:val="fr-CA"/>
        </w:rPr>
        <w:t xml:space="preserve"> l</w:t>
      </w:r>
      <w:r w:rsidR="002B0C0A">
        <w:rPr>
          <w:i/>
          <w:lang w:val="fr-CA"/>
        </w:rPr>
        <w:t>’</w:t>
      </w:r>
      <w:r w:rsidR="00A505C3" w:rsidRPr="00E90C6C">
        <w:rPr>
          <w:i/>
          <w:lang w:val="fr-CA"/>
        </w:rPr>
        <w:t>art.</w:t>
      </w:r>
      <w:r w:rsidR="000F2258">
        <w:rPr>
          <w:i/>
          <w:lang w:val="fr-CA"/>
        </w:rPr>
        <w:t xml:space="preserve"> </w:t>
      </w:r>
      <w:r w:rsidR="00A505C3" w:rsidRPr="00E90C6C">
        <w:rPr>
          <w:i/>
          <w:lang w:val="fr-CA"/>
        </w:rPr>
        <w:t>35 de la Loi constitutionnelle de 1982</w:t>
      </w:r>
      <w:r w:rsidR="004B6D5E">
        <w:rPr>
          <w:i/>
          <w:lang w:val="fr-CA"/>
        </w:rPr>
        <w:t xml:space="preserve"> </w:t>
      </w:r>
      <w:r w:rsidR="000A578A">
        <w:rPr>
          <w:i/>
          <w:lang w:val="fr-CA"/>
        </w:rPr>
        <w:t>—</w:t>
      </w:r>
      <w:r w:rsidR="004B6D5E">
        <w:rPr>
          <w:i/>
          <w:lang w:val="fr-CA"/>
        </w:rPr>
        <w:t xml:space="preserve"> </w:t>
      </w:r>
      <w:r w:rsidR="00A505C3" w:rsidRPr="00E90C6C">
        <w:rPr>
          <w:i/>
          <w:lang w:val="fr-CA"/>
        </w:rPr>
        <w:t>Province accordant un permis commercial de coupe</w:t>
      </w:r>
      <w:r w:rsidR="00C07E9E">
        <w:rPr>
          <w:i/>
          <w:lang w:val="fr-CA"/>
        </w:rPr>
        <w:t xml:space="preserve"> de</w:t>
      </w:r>
      <w:r w:rsidR="00A505C3" w:rsidRPr="00E90C6C">
        <w:rPr>
          <w:i/>
          <w:lang w:val="fr-CA"/>
        </w:rPr>
        <w:t xml:space="preserve"> bois dans un secteur qu</w:t>
      </w:r>
      <w:r w:rsidR="002B0C0A">
        <w:rPr>
          <w:i/>
          <w:lang w:val="fr-CA"/>
        </w:rPr>
        <w:t>’</w:t>
      </w:r>
      <w:r w:rsidR="00A505C3" w:rsidRPr="00E90C6C">
        <w:rPr>
          <w:i/>
          <w:lang w:val="fr-CA"/>
        </w:rPr>
        <w:t>une Première Nation semi</w:t>
      </w:r>
      <w:r w:rsidR="000F2258">
        <w:rPr>
          <w:i/>
          <w:lang w:val="fr-CA"/>
        </w:rPr>
        <w:t>-</w:t>
      </w:r>
      <w:r w:rsidR="00A505C3" w:rsidRPr="00E90C6C">
        <w:rPr>
          <w:i/>
          <w:lang w:val="fr-CA"/>
        </w:rPr>
        <w:t xml:space="preserve">nomade considère être son territoire ancestral </w:t>
      </w:r>
      <w:r w:rsidR="000A578A">
        <w:rPr>
          <w:i/>
          <w:lang w:val="fr-CA"/>
        </w:rPr>
        <w:t>—</w:t>
      </w:r>
      <w:r w:rsidR="00A505C3" w:rsidRPr="00E90C6C">
        <w:rPr>
          <w:i/>
          <w:lang w:val="fr-CA"/>
        </w:rPr>
        <w:t xml:space="preserve"> </w:t>
      </w:r>
      <w:r w:rsidR="00E90C6C" w:rsidRPr="00E90C6C">
        <w:rPr>
          <w:i/>
          <w:lang w:val="fr-CA"/>
        </w:rPr>
        <w:t xml:space="preserve">Première Nation revendiquant le titre ancestral sur le territoire </w:t>
      </w:r>
      <w:r w:rsidR="000A578A">
        <w:rPr>
          <w:i/>
          <w:lang w:val="fr-CA"/>
        </w:rPr>
        <w:t>—</w:t>
      </w:r>
      <w:r w:rsidR="00E90C6C" w:rsidRPr="00E90C6C">
        <w:rPr>
          <w:i/>
          <w:lang w:val="fr-CA"/>
        </w:rPr>
        <w:t xml:space="preserve"> Les lois provinciales d</w:t>
      </w:r>
      <w:r w:rsidR="002B0C0A">
        <w:rPr>
          <w:i/>
          <w:lang w:val="fr-CA"/>
        </w:rPr>
        <w:t>’</w:t>
      </w:r>
      <w:r w:rsidR="00E90C6C" w:rsidRPr="00E90C6C">
        <w:rPr>
          <w:i/>
          <w:lang w:val="fr-CA"/>
        </w:rPr>
        <w:t>application générale s</w:t>
      </w:r>
      <w:r w:rsidR="002B0C0A">
        <w:rPr>
          <w:i/>
          <w:lang w:val="fr-CA"/>
        </w:rPr>
        <w:t>’</w:t>
      </w:r>
      <w:r w:rsidR="00E90C6C" w:rsidRPr="00E90C6C">
        <w:rPr>
          <w:i/>
          <w:lang w:val="fr-CA"/>
        </w:rPr>
        <w:t>appliquent</w:t>
      </w:r>
      <w:r w:rsidR="000F2258">
        <w:rPr>
          <w:i/>
          <w:lang w:val="fr-CA"/>
        </w:rPr>
        <w:t>-</w:t>
      </w:r>
      <w:r w:rsidR="00E90C6C" w:rsidRPr="00E90C6C">
        <w:rPr>
          <w:i/>
          <w:lang w:val="fr-CA"/>
        </w:rPr>
        <w:t xml:space="preserve">elles au territoire visé par le titre ancestral? </w:t>
      </w:r>
      <w:r w:rsidR="000A578A">
        <w:rPr>
          <w:i/>
          <w:lang w:val="fr-CA"/>
        </w:rPr>
        <w:t>—</w:t>
      </w:r>
      <w:r w:rsidR="00E90C6C" w:rsidRPr="00E90C6C">
        <w:rPr>
          <w:i/>
          <w:lang w:val="fr-CA"/>
        </w:rPr>
        <w:t xml:space="preserve"> La Forest Act s</w:t>
      </w:r>
      <w:r w:rsidR="002B0C0A">
        <w:rPr>
          <w:i/>
          <w:lang w:val="fr-CA"/>
        </w:rPr>
        <w:t>’</w:t>
      </w:r>
      <w:r w:rsidR="00E90C6C" w:rsidRPr="00E90C6C">
        <w:rPr>
          <w:i/>
          <w:lang w:val="fr-CA"/>
        </w:rPr>
        <w:t>applique</w:t>
      </w:r>
      <w:r w:rsidR="000F2258">
        <w:rPr>
          <w:i/>
          <w:lang w:val="fr-CA"/>
        </w:rPr>
        <w:t>-</w:t>
      </w:r>
      <w:r w:rsidR="00E90C6C" w:rsidRPr="00E90C6C">
        <w:rPr>
          <w:i/>
          <w:lang w:val="fr-CA"/>
        </w:rPr>
        <w:t>t</w:t>
      </w:r>
      <w:r w:rsidR="000F2258">
        <w:rPr>
          <w:i/>
          <w:lang w:val="fr-CA"/>
        </w:rPr>
        <w:t>-</w:t>
      </w:r>
      <w:r w:rsidR="00E90C6C" w:rsidRPr="00E90C6C">
        <w:rPr>
          <w:i/>
          <w:lang w:val="fr-CA"/>
        </w:rPr>
        <w:t xml:space="preserve">elle à première vue au territoire visé par le titre ancestral? </w:t>
      </w:r>
      <w:r w:rsidR="000A578A">
        <w:rPr>
          <w:i/>
          <w:lang w:val="fr-CA"/>
        </w:rPr>
        <w:t>—</w:t>
      </w:r>
      <w:r w:rsidR="00E90C6C" w:rsidRPr="00E90C6C">
        <w:rPr>
          <w:i/>
          <w:lang w:val="fr-CA"/>
        </w:rPr>
        <w:t xml:space="preserve"> La Constitution a</w:t>
      </w:r>
      <w:r w:rsidR="000F2258">
        <w:rPr>
          <w:i/>
          <w:lang w:val="fr-CA"/>
        </w:rPr>
        <w:t>-</w:t>
      </w:r>
      <w:r w:rsidR="00E90C6C" w:rsidRPr="00E90C6C">
        <w:rPr>
          <w:i/>
          <w:lang w:val="fr-CA"/>
        </w:rPr>
        <w:t>t</w:t>
      </w:r>
      <w:r w:rsidR="000F2258">
        <w:rPr>
          <w:i/>
          <w:lang w:val="fr-CA"/>
        </w:rPr>
        <w:t>-</w:t>
      </w:r>
      <w:r w:rsidR="00E90C6C" w:rsidRPr="00E90C6C">
        <w:rPr>
          <w:i/>
          <w:lang w:val="fr-CA"/>
        </w:rPr>
        <w:t>elle pour effet d</w:t>
      </w:r>
      <w:r w:rsidR="002B0C0A">
        <w:rPr>
          <w:i/>
          <w:lang w:val="fr-CA"/>
        </w:rPr>
        <w:t>’</w:t>
      </w:r>
      <w:r w:rsidR="00E90C6C" w:rsidRPr="00E90C6C">
        <w:rPr>
          <w:i/>
          <w:lang w:val="fr-CA"/>
        </w:rPr>
        <w:t>écarter l</w:t>
      </w:r>
      <w:r w:rsidR="002B0C0A">
        <w:rPr>
          <w:i/>
          <w:lang w:val="fr-CA"/>
        </w:rPr>
        <w:t>’</w:t>
      </w:r>
      <w:r w:rsidR="00E90C6C" w:rsidRPr="00E90C6C">
        <w:rPr>
          <w:i/>
          <w:lang w:val="fr-CA"/>
        </w:rPr>
        <w:t xml:space="preserve">application de la Forest Act? </w:t>
      </w:r>
      <w:r w:rsidR="000A578A">
        <w:rPr>
          <w:i/>
          <w:lang w:val="fr-CA"/>
        </w:rPr>
        <w:t>—</w:t>
      </w:r>
      <w:r w:rsidR="00E90C6C" w:rsidRPr="00E90C6C">
        <w:rPr>
          <w:i/>
          <w:lang w:val="fr-CA"/>
        </w:rPr>
        <w:t xml:space="preserve"> La doctrine de l</w:t>
      </w:r>
      <w:r w:rsidR="002B0C0A">
        <w:rPr>
          <w:i/>
          <w:lang w:val="fr-CA"/>
        </w:rPr>
        <w:t>’</w:t>
      </w:r>
      <w:r w:rsidR="00E90C6C" w:rsidRPr="00E90C6C">
        <w:rPr>
          <w:i/>
          <w:lang w:val="fr-CA"/>
        </w:rPr>
        <w:t>exclusivité des compétences devrait</w:t>
      </w:r>
      <w:r w:rsidR="000F2258">
        <w:rPr>
          <w:i/>
          <w:lang w:val="fr-CA"/>
        </w:rPr>
        <w:t>-</w:t>
      </w:r>
      <w:r w:rsidR="00E90C6C" w:rsidRPr="00E90C6C">
        <w:rPr>
          <w:i/>
          <w:lang w:val="fr-CA"/>
        </w:rPr>
        <w:t>elle s</w:t>
      </w:r>
      <w:r w:rsidR="002B0C0A">
        <w:rPr>
          <w:i/>
          <w:lang w:val="fr-CA"/>
        </w:rPr>
        <w:t>’</w:t>
      </w:r>
      <w:r w:rsidR="00E90C6C" w:rsidRPr="00E90C6C">
        <w:rPr>
          <w:i/>
          <w:lang w:val="fr-CA"/>
        </w:rPr>
        <w:t xml:space="preserve">appliquer à des terres grevées du titre ancestral? </w:t>
      </w:r>
      <w:r w:rsidR="000A578A">
        <w:rPr>
          <w:i/>
          <w:lang w:val="fr-CA"/>
        </w:rPr>
        <w:t>—</w:t>
      </w:r>
      <w:r w:rsidR="00E90C6C" w:rsidRPr="00E90C6C">
        <w:rPr>
          <w:i/>
          <w:lang w:val="fr-CA"/>
        </w:rPr>
        <w:t xml:space="preserve"> Forest Act, R.S.B.C</w:t>
      </w:r>
      <w:r w:rsidR="00C07E9E">
        <w:rPr>
          <w:i/>
          <w:lang w:val="fr-CA"/>
        </w:rPr>
        <w:t>.</w:t>
      </w:r>
      <w:r w:rsidR="00E90C6C" w:rsidRPr="00E90C6C">
        <w:rPr>
          <w:i/>
          <w:lang w:val="fr-CA"/>
        </w:rPr>
        <w:t xml:space="preserve"> 1995, ch.</w:t>
      </w:r>
      <w:r w:rsidR="000F2258">
        <w:rPr>
          <w:i/>
          <w:lang w:val="fr-CA"/>
        </w:rPr>
        <w:t xml:space="preserve"> </w:t>
      </w:r>
      <w:r w:rsidR="00E90C6C" w:rsidRPr="00E90C6C">
        <w:rPr>
          <w:i/>
          <w:lang w:val="fr-CA"/>
        </w:rPr>
        <w:t xml:space="preserve">157 </w:t>
      </w:r>
      <w:r w:rsidR="00494888">
        <w:rPr>
          <w:i/>
          <w:lang w:val="fr-CA"/>
        </w:rPr>
        <w:t>―</w:t>
      </w:r>
      <w:r w:rsidR="00E90C6C" w:rsidRPr="00E90C6C">
        <w:rPr>
          <w:i/>
          <w:lang w:val="fr-CA"/>
        </w:rPr>
        <w:t xml:space="preserve"> Loi constitutionnelle de 1982, art.</w:t>
      </w:r>
      <w:r w:rsidR="000F2258">
        <w:rPr>
          <w:i/>
          <w:lang w:val="fr-CA"/>
        </w:rPr>
        <w:t xml:space="preserve"> </w:t>
      </w:r>
      <w:r w:rsidR="00E90C6C" w:rsidRPr="00E90C6C">
        <w:rPr>
          <w:i/>
          <w:lang w:val="fr-CA"/>
        </w:rPr>
        <w:t>35</w:t>
      </w:r>
      <w:r w:rsidR="00DE32D6">
        <w:rPr>
          <w:i/>
          <w:lang w:val="fr-CA"/>
        </w:rPr>
        <w:t>.</w:t>
      </w:r>
      <w:r w:rsidR="00E90C6C" w:rsidRPr="00E90C6C">
        <w:rPr>
          <w:i/>
          <w:lang w:val="fr-CA"/>
        </w:rPr>
        <w:t xml:space="preserve"> </w:t>
      </w:r>
    </w:p>
    <w:p w:rsidR="005321A8" w:rsidRDefault="004D7D95" w:rsidP="00236C49">
      <w:pPr>
        <w:pStyle w:val="SCCNormalDoubleSpacing"/>
        <w:spacing w:after="480"/>
        <w:rPr>
          <w:lang w:val="fr-CA"/>
        </w:rPr>
      </w:pPr>
      <w:r w:rsidRPr="004D7D95">
        <w:rPr>
          <w:lang w:val="fr-CA"/>
        </w:rPr>
        <w:tab/>
      </w:r>
      <w:r w:rsidR="009F57FC">
        <w:rPr>
          <w:lang w:val="fr-CA"/>
        </w:rPr>
        <w:t>Depuis des siècles, la Nation T</w:t>
      </w:r>
      <w:r w:rsidR="009F57FC" w:rsidRPr="00845755">
        <w:rPr>
          <w:lang w:val="fr-CA"/>
        </w:rPr>
        <w:t>silhqot</w:t>
      </w:r>
      <w:r w:rsidR="002B0C0A">
        <w:rPr>
          <w:lang w:val="fr-CA"/>
        </w:rPr>
        <w:t>’</w:t>
      </w:r>
      <w:r w:rsidR="009F57FC" w:rsidRPr="00845755">
        <w:rPr>
          <w:lang w:val="fr-CA"/>
        </w:rPr>
        <w:t>in</w:t>
      </w:r>
      <w:r w:rsidR="00DE32D6">
        <w:rPr>
          <w:lang w:val="fr-CA"/>
        </w:rPr>
        <w:t>,</w:t>
      </w:r>
      <w:r w:rsidR="009F57FC" w:rsidRPr="00845755">
        <w:rPr>
          <w:lang w:val="fr-CA"/>
        </w:rPr>
        <w:t xml:space="preserve"> </w:t>
      </w:r>
      <w:r w:rsidR="009F57FC">
        <w:rPr>
          <w:lang w:val="fr-CA"/>
        </w:rPr>
        <w:t>un regroupement de six bandes semi</w:t>
      </w:r>
      <w:r w:rsidR="000F2258">
        <w:rPr>
          <w:lang w:val="fr-CA"/>
        </w:rPr>
        <w:t>-</w:t>
      </w:r>
      <w:r w:rsidR="009F57FC">
        <w:rPr>
          <w:lang w:val="fr-CA"/>
        </w:rPr>
        <w:t>nomades ayant une culture et une histoire communes</w:t>
      </w:r>
      <w:r w:rsidR="00DE32D6">
        <w:rPr>
          <w:lang w:val="fr-CA"/>
        </w:rPr>
        <w:t>,</w:t>
      </w:r>
      <w:r w:rsidR="009F57FC">
        <w:rPr>
          <w:lang w:val="fr-CA"/>
        </w:rPr>
        <w:t xml:space="preserve"> vit dans une vallée éloignée entourée de rivières et de montagnes dans le centre</w:t>
      </w:r>
      <w:r w:rsidR="00DE32D6">
        <w:rPr>
          <w:lang w:val="fr-CA"/>
        </w:rPr>
        <w:t xml:space="preserve"> </w:t>
      </w:r>
      <w:r w:rsidR="009F57FC">
        <w:rPr>
          <w:lang w:val="fr-CA"/>
        </w:rPr>
        <w:t>de la Colombie</w:t>
      </w:r>
      <w:r w:rsidR="000F2258">
        <w:rPr>
          <w:lang w:val="fr-CA"/>
        </w:rPr>
        <w:t>-</w:t>
      </w:r>
      <w:r w:rsidR="009F57FC">
        <w:rPr>
          <w:lang w:val="fr-CA"/>
        </w:rPr>
        <w:t>Britannique.  Ce n</w:t>
      </w:r>
      <w:r w:rsidR="002B0C0A">
        <w:rPr>
          <w:lang w:val="fr-CA"/>
        </w:rPr>
        <w:t>’</w:t>
      </w:r>
      <w:r w:rsidR="009F57FC">
        <w:rPr>
          <w:lang w:val="fr-CA"/>
        </w:rPr>
        <w:t>est qu</w:t>
      </w:r>
      <w:r w:rsidR="002B0C0A">
        <w:rPr>
          <w:lang w:val="fr-CA"/>
        </w:rPr>
        <w:t>’</w:t>
      </w:r>
      <w:r w:rsidR="009F57FC">
        <w:rPr>
          <w:lang w:val="fr-CA"/>
        </w:rPr>
        <w:t>un groupe autochtone parmi des centaines en Colombie</w:t>
      </w:r>
      <w:r w:rsidR="000F2258">
        <w:rPr>
          <w:lang w:val="fr-CA"/>
        </w:rPr>
        <w:t>-</w:t>
      </w:r>
      <w:r w:rsidR="009F57FC">
        <w:rPr>
          <w:lang w:val="fr-CA"/>
        </w:rPr>
        <w:t>Britannique dont les revendications territoriales ne sont pas réglées.</w:t>
      </w:r>
      <w:r w:rsidR="009F57FC" w:rsidRPr="004D7D95">
        <w:rPr>
          <w:lang w:val="fr-CA"/>
        </w:rPr>
        <w:t xml:space="preserve"> </w:t>
      </w:r>
      <w:r w:rsidR="009F57FC">
        <w:rPr>
          <w:lang w:val="fr-CA"/>
        </w:rPr>
        <w:t xml:space="preserve"> En 1983, la province a accordé un</w:t>
      </w:r>
      <w:r w:rsidR="00FB7D93">
        <w:rPr>
          <w:lang w:val="fr-CA"/>
        </w:rPr>
        <w:t xml:space="preserve"> permis commercial de coupe de bois sur des terres que le</w:t>
      </w:r>
      <w:r w:rsidR="00BE35CF">
        <w:rPr>
          <w:lang w:val="fr-CA"/>
        </w:rPr>
        <w:t>s</w:t>
      </w:r>
      <w:r w:rsidR="00FB7D93">
        <w:rPr>
          <w:lang w:val="fr-CA"/>
        </w:rPr>
        <w:t xml:space="preserve"> </w:t>
      </w:r>
      <w:r w:rsidR="00BE35CF">
        <w:rPr>
          <w:lang w:val="fr-CA"/>
        </w:rPr>
        <w:t>T</w:t>
      </w:r>
      <w:r w:rsidR="00BE35CF" w:rsidRPr="00845755">
        <w:rPr>
          <w:lang w:val="fr-CA"/>
        </w:rPr>
        <w:t>silhqot</w:t>
      </w:r>
      <w:r w:rsidR="002B0C0A">
        <w:rPr>
          <w:lang w:val="fr-CA"/>
        </w:rPr>
        <w:t>’</w:t>
      </w:r>
      <w:r w:rsidR="00BE35CF" w:rsidRPr="00845755">
        <w:rPr>
          <w:lang w:val="fr-CA"/>
        </w:rPr>
        <w:t>in</w:t>
      </w:r>
      <w:r w:rsidR="00BE35CF">
        <w:rPr>
          <w:lang w:val="fr-CA"/>
        </w:rPr>
        <w:t xml:space="preserve"> </w:t>
      </w:r>
      <w:r w:rsidR="00FB7D93">
        <w:rPr>
          <w:lang w:val="fr-CA"/>
        </w:rPr>
        <w:t>considère</w:t>
      </w:r>
      <w:r w:rsidR="00DE32D6">
        <w:rPr>
          <w:lang w:val="fr-CA"/>
        </w:rPr>
        <w:t>nt</w:t>
      </w:r>
      <w:r w:rsidR="00FB7D93">
        <w:rPr>
          <w:lang w:val="fr-CA"/>
        </w:rPr>
        <w:t xml:space="preserve"> faire partie de </w:t>
      </w:r>
      <w:r w:rsidR="00DE32D6">
        <w:rPr>
          <w:lang w:val="fr-CA"/>
        </w:rPr>
        <w:t>leur</w:t>
      </w:r>
      <w:r w:rsidR="00FB7D93">
        <w:rPr>
          <w:lang w:val="fr-CA"/>
        </w:rPr>
        <w:t xml:space="preserve"> territoire ancestral.  </w:t>
      </w:r>
      <w:r w:rsidR="00A06A3C">
        <w:rPr>
          <w:lang w:val="fr-CA"/>
        </w:rPr>
        <w:t>La bande s</w:t>
      </w:r>
      <w:r w:rsidR="002B0C0A">
        <w:rPr>
          <w:lang w:val="fr-CA"/>
        </w:rPr>
        <w:t>’</w:t>
      </w:r>
      <w:r w:rsidR="00A06A3C">
        <w:rPr>
          <w:lang w:val="fr-CA"/>
        </w:rPr>
        <w:t xml:space="preserve">y est opposée et a sollicité un jugement </w:t>
      </w:r>
      <w:r w:rsidR="00A06A3C">
        <w:rPr>
          <w:lang w:val="fr-CA"/>
        </w:rPr>
        <w:lastRenderedPageBreak/>
        <w:t>déclaratoire interdisant l</w:t>
      </w:r>
      <w:r w:rsidR="002B0C0A">
        <w:rPr>
          <w:lang w:val="fr-CA"/>
        </w:rPr>
        <w:t>’</w:t>
      </w:r>
      <w:r w:rsidR="00A06A3C">
        <w:rPr>
          <w:lang w:val="fr-CA"/>
        </w:rPr>
        <w:t xml:space="preserve">exploitation forestière commerciale sur le territoire.  </w:t>
      </w:r>
      <w:r w:rsidR="005321A8">
        <w:rPr>
          <w:lang w:val="fr-CA"/>
        </w:rPr>
        <w:t xml:space="preserve">La négociation avec la province a mené à une impasse et la revendication </w:t>
      </w:r>
      <w:r w:rsidR="00DE32D6">
        <w:rPr>
          <w:lang w:val="fr-CA"/>
        </w:rPr>
        <w:t xml:space="preserve">territoriale </w:t>
      </w:r>
      <w:r w:rsidR="005321A8">
        <w:rPr>
          <w:lang w:val="fr-CA"/>
        </w:rPr>
        <w:t xml:space="preserve">initiale a été modifiée de manière à inclure une revendication du titre ancestral sur le territoire en cause au nom de tous les </w:t>
      </w:r>
      <w:r w:rsidR="005321A8" w:rsidRPr="00845755">
        <w:rPr>
          <w:lang w:val="fr-CA"/>
        </w:rPr>
        <w:t>Tsilhqot</w:t>
      </w:r>
      <w:r w:rsidR="002B0C0A">
        <w:rPr>
          <w:lang w:val="fr-CA"/>
        </w:rPr>
        <w:t>’</w:t>
      </w:r>
      <w:r w:rsidR="005321A8" w:rsidRPr="00845755">
        <w:rPr>
          <w:lang w:val="fr-CA"/>
        </w:rPr>
        <w:t>in</w:t>
      </w:r>
      <w:r w:rsidR="005321A8">
        <w:rPr>
          <w:lang w:val="fr-CA"/>
        </w:rPr>
        <w:t>.</w:t>
      </w:r>
      <w:r w:rsidR="005321A8" w:rsidRPr="004D7D95">
        <w:rPr>
          <w:lang w:val="fr-CA"/>
        </w:rPr>
        <w:t xml:space="preserve"> </w:t>
      </w:r>
      <w:r w:rsidR="005321A8">
        <w:rPr>
          <w:lang w:val="fr-CA"/>
        </w:rPr>
        <w:t xml:space="preserve"> Les gouvernements fédéral et provincial ont contesté la revendication du titre.</w:t>
      </w:r>
    </w:p>
    <w:p w:rsidR="004D7D95" w:rsidRPr="004D7D95" w:rsidRDefault="005321A8" w:rsidP="00236C49">
      <w:pPr>
        <w:pStyle w:val="SCCNormalDoubleSpacing"/>
        <w:spacing w:after="480"/>
        <w:rPr>
          <w:lang w:val="fr-CA"/>
        </w:rPr>
      </w:pPr>
      <w:r>
        <w:rPr>
          <w:lang w:val="fr-CA"/>
        </w:rPr>
        <w:tab/>
        <w:t>La Cour suprême de la Colombie</w:t>
      </w:r>
      <w:r w:rsidR="000F2258">
        <w:rPr>
          <w:lang w:val="fr-CA"/>
        </w:rPr>
        <w:t>-</w:t>
      </w:r>
      <w:r>
        <w:rPr>
          <w:lang w:val="fr-CA"/>
        </w:rPr>
        <w:t>Britannique a conclu que l</w:t>
      </w:r>
      <w:r w:rsidR="002B0C0A">
        <w:rPr>
          <w:lang w:val="fr-CA"/>
        </w:rPr>
        <w:t>’</w:t>
      </w:r>
      <w:r>
        <w:rPr>
          <w:lang w:val="fr-CA"/>
        </w:rPr>
        <w:t>occupation était établie dans le but de fonder l</w:t>
      </w:r>
      <w:r w:rsidR="002B0C0A">
        <w:rPr>
          <w:lang w:val="fr-CA"/>
        </w:rPr>
        <w:t>’</w:t>
      </w:r>
      <w:r>
        <w:rPr>
          <w:lang w:val="fr-CA"/>
        </w:rPr>
        <w:t>e</w:t>
      </w:r>
      <w:r w:rsidR="00DE32D6">
        <w:rPr>
          <w:lang w:val="fr-CA"/>
        </w:rPr>
        <w:t>xistence du</w:t>
      </w:r>
      <w:r>
        <w:rPr>
          <w:lang w:val="fr-CA"/>
        </w:rPr>
        <w:t xml:space="preserve"> titre par la démonstration d</w:t>
      </w:r>
      <w:r w:rsidR="002B0C0A">
        <w:rPr>
          <w:lang w:val="fr-CA"/>
        </w:rPr>
        <w:t>’</w:t>
      </w:r>
      <w:r>
        <w:rPr>
          <w:lang w:val="fr-CA"/>
        </w:rPr>
        <w:t xml:space="preserve">une utilisation régulière et exclusive de certains sites ou du territoire revendiqué ainsi que </w:t>
      </w:r>
      <w:r w:rsidR="004A1D74">
        <w:rPr>
          <w:lang w:val="fr-CA"/>
        </w:rPr>
        <w:t>d</w:t>
      </w:r>
      <w:r w:rsidR="002B0C0A">
        <w:rPr>
          <w:lang w:val="fr-CA"/>
        </w:rPr>
        <w:t>’</w:t>
      </w:r>
      <w:r>
        <w:rPr>
          <w:lang w:val="fr-CA"/>
        </w:rPr>
        <w:t>un petit secteur à l</w:t>
      </w:r>
      <w:r w:rsidR="002B0C0A">
        <w:rPr>
          <w:lang w:val="fr-CA"/>
        </w:rPr>
        <w:t>’</w:t>
      </w:r>
      <w:r>
        <w:rPr>
          <w:lang w:val="fr-CA"/>
        </w:rPr>
        <w:t xml:space="preserve">extérieur de ce territoire.  </w:t>
      </w:r>
      <w:r w:rsidR="004A1D74">
        <w:rPr>
          <w:lang w:val="fr-CA"/>
        </w:rPr>
        <w:t>Appliquant un critère plus restreint</w:t>
      </w:r>
      <w:r w:rsidR="004A1D74" w:rsidRPr="004D7D95">
        <w:rPr>
          <w:lang w:val="fr-CA"/>
        </w:rPr>
        <w:t xml:space="preserve"> </w:t>
      </w:r>
      <w:r w:rsidR="004A1D74">
        <w:rPr>
          <w:lang w:val="fr-CA"/>
        </w:rPr>
        <w:t>fondé sur l</w:t>
      </w:r>
      <w:r w:rsidR="002B0C0A">
        <w:rPr>
          <w:lang w:val="fr-CA"/>
        </w:rPr>
        <w:t>’</w:t>
      </w:r>
      <w:r w:rsidR="004A1D74">
        <w:rPr>
          <w:lang w:val="fr-CA"/>
        </w:rPr>
        <w:t>occupation d</w:t>
      </w:r>
      <w:r w:rsidR="002B0C0A">
        <w:rPr>
          <w:lang w:val="fr-CA"/>
        </w:rPr>
        <w:t>’</w:t>
      </w:r>
      <w:r w:rsidR="004A1D74">
        <w:rPr>
          <w:lang w:val="fr-CA"/>
        </w:rPr>
        <w:t>un site spécifique</w:t>
      </w:r>
      <w:r w:rsidR="004A1D74" w:rsidRPr="004D7D95">
        <w:rPr>
          <w:lang w:val="fr-CA"/>
        </w:rPr>
        <w:t xml:space="preserve"> </w:t>
      </w:r>
      <w:r w:rsidR="004A1D74">
        <w:rPr>
          <w:lang w:val="fr-CA"/>
        </w:rPr>
        <w:t>exigeant la preuve qu</w:t>
      </w:r>
      <w:r w:rsidR="002B0C0A">
        <w:rPr>
          <w:lang w:val="fr-CA"/>
        </w:rPr>
        <w:t>’</w:t>
      </w:r>
      <w:r w:rsidR="004A1D74">
        <w:rPr>
          <w:lang w:val="fr-CA"/>
        </w:rPr>
        <w:t>au moment de l</w:t>
      </w:r>
      <w:r w:rsidR="002B0C0A">
        <w:rPr>
          <w:lang w:val="fr-CA"/>
        </w:rPr>
        <w:t>’</w:t>
      </w:r>
      <w:r w:rsidR="004A1D74">
        <w:rPr>
          <w:lang w:val="fr-CA"/>
        </w:rPr>
        <w:t>affirmation de la souveraineté européenne,</w:t>
      </w:r>
      <w:r w:rsidR="004A1D74" w:rsidRPr="004A1D74">
        <w:rPr>
          <w:lang w:val="fr-CA"/>
        </w:rPr>
        <w:t xml:space="preserve"> </w:t>
      </w:r>
      <w:r w:rsidR="004A1D74">
        <w:rPr>
          <w:lang w:val="fr-CA"/>
        </w:rPr>
        <w:t xml:space="preserve">les ancêtres du groupe autochtone utilisaient </w:t>
      </w:r>
      <w:r w:rsidR="004A1D74" w:rsidRPr="004A1D74">
        <w:rPr>
          <w:lang w:val="fr-CA"/>
        </w:rPr>
        <w:t xml:space="preserve">intensément </w:t>
      </w:r>
      <w:r w:rsidR="004A1D74">
        <w:rPr>
          <w:lang w:val="fr-CA"/>
        </w:rPr>
        <w:t>une parcelle de terrain spécifique dont les limites sont raisonnablement définies, la Cour d</w:t>
      </w:r>
      <w:r w:rsidR="002B0C0A">
        <w:rPr>
          <w:lang w:val="fr-CA"/>
        </w:rPr>
        <w:t>’</w:t>
      </w:r>
      <w:r w:rsidR="004A1D74">
        <w:rPr>
          <w:lang w:val="fr-CA"/>
        </w:rPr>
        <w:t>appel de la Colombie</w:t>
      </w:r>
      <w:r w:rsidR="000F2258">
        <w:rPr>
          <w:lang w:val="fr-CA"/>
        </w:rPr>
        <w:t>-</w:t>
      </w:r>
      <w:r w:rsidR="004A1D74">
        <w:rPr>
          <w:lang w:val="fr-CA"/>
        </w:rPr>
        <w:t>Britannique a conclu que l</w:t>
      </w:r>
      <w:r w:rsidR="002B0C0A">
        <w:rPr>
          <w:lang w:val="fr-CA"/>
        </w:rPr>
        <w:t>’</w:t>
      </w:r>
      <w:r w:rsidR="004A1D74">
        <w:rPr>
          <w:lang w:val="fr-CA"/>
        </w:rPr>
        <w:t xml:space="preserve">existence du titre revendiqué par les </w:t>
      </w:r>
      <w:r w:rsidR="004A1D74" w:rsidRPr="00845755">
        <w:rPr>
          <w:lang w:val="fr-CA"/>
        </w:rPr>
        <w:t>Tsilhqot</w:t>
      </w:r>
      <w:r w:rsidR="002B0C0A">
        <w:rPr>
          <w:lang w:val="fr-CA"/>
        </w:rPr>
        <w:t>’</w:t>
      </w:r>
      <w:r w:rsidR="004A1D74" w:rsidRPr="00845755">
        <w:rPr>
          <w:lang w:val="fr-CA"/>
        </w:rPr>
        <w:t xml:space="preserve">in </w:t>
      </w:r>
      <w:r w:rsidR="004A1D74">
        <w:rPr>
          <w:lang w:val="fr-CA"/>
        </w:rPr>
        <w:t>n</w:t>
      </w:r>
      <w:r w:rsidR="002B0C0A">
        <w:rPr>
          <w:lang w:val="fr-CA"/>
        </w:rPr>
        <w:t>’</w:t>
      </w:r>
      <w:r w:rsidR="004A1D74">
        <w:rPr>
          <w:lang w:val="fr-CA"/>
        </w:rPr>
        <w:t>avait pas été établie.</w:t>
      </w:r>
    </w:p>
    <w:p w:rsidR="004D7D95" w:rsidRPr="004D7D95" w:rsidRDefault="004A1D74" w:rsidP="00236C49">
      <w:pPr>
        <w:pStyle w:val="SCCNormalDoubleSpacing"/>
        <w:spacing w:after="480"/>
        <w:rPr>
          <w:lang w:val="fr-CA"/>
        </w:rPr>
      </w:pPr>
      <w:r>
        <w:rPr>
          <w:lang w:val="fr-CA"/>
        </w:rPr>
        <w:tab/>
      </w:r>
      <w:r w:rsidR="004D7D95" w:rsidRPr="00494888">
        <w:rPr>
          <w:i/>
          <w:lang w:val="fr-CA"/>
        </w:rPr>
        <w:t>Arrêt</w:t>
      </w:r>
      <w:r w:rsidR="000F2258">
        <w:rPr>
          <w:lang w:val="fr-CA"/>
        </w:rPr>
        <w:t> :</w:t>
      </w:r>
      <w:r w:rsidR="004D7D95" w:rsidRPr="004D7D95">
        <w:rPr>
          <w:lang w:val="fr-CA"/>
        </w:rPr>
        <w:t xml:space="preserve"> Le pourvoi est</w:t>
      </w:r>
      <w:r>
        <w:rPr>
          <w:lang w:val="fr-CA"/>
        </w:rPr>
        <w:t xml:space="preserve"> accueilli et la Cour reconnaît l</w:t>
      </w:r>
      <w:r w:rsidR="002B0C0A">
        <w:rPr>
          <w:lang w:val="fr-CA"/>
        </w:rPr>
        <w:t>’</w:t>
      </w:r>
      <w:r>
        <w:rPr>
          <w:lang w:val="fr-CA"/>
        </w:rPr>
        <w:t xml:space="preserve">existence du titre ancestral sur le territoire </w:t>
      </w:r>
      <w:r w:rsidR="004B6D5E">
        <w:rPr>
          <w:lang w:val="fr-CA"/>
        </w:rPr>
        <w:t>que vise la revendication</w:t>
      </w:r>
      <w:r>
        <w:rPr>
          <w:lang w:val="fr-CA"/>
        </w:rPr>
        <w:t>.  La Cour déclare également que la Colombie</w:t>
      </w:r>
      <w:r w:rsidR="000F2258">
        <w:rPr>
          <w:lang w:val="fr-CA"/>
        </w:rPr>
        <w:t>-</w:t>
      </w:r>
      <w:r>
        <w:rPr>
          <w:lang w:val="fr-CA"/>
        </w:rPr>
        <w:t>Britannique a manqué à son obligation de consultation envers la Nation Tsilhqot</w:t>
      </w:r>
      <w:r w:rsidR="002B0C0A">
        <w:rPr>
          <w:lang w:val="fr-CA"/>
        </w:rPr>
        <w:t>’</w:t>
      </w:r>
      <w:r>
        <w:rPr>
          <w:lang w:val="fr-CA"/>
        </w:rPr>
        <w:t>in.</w:t>
      </w:r>
    </w:p>
    <w:p w:rsidR="00CC68E1" w:rsidRDefault="004D7D95" w:rsidP="008948FE">
      <w:pPr>
        <w:pStyle w:val="SCCNormalDoubleSpacing"/>
        <w:spacing w:after="480"/>
        <w:rPr>
          <w:lang w:val="fr-CA"/>
        </w:rPr>
      </w:pPr>
      <w:r w:rsidRPr="004D7D95">
        <w:rPr>
          <w:lang w:val="fr-CA"/>
        </w:rPr>
        <w:tab/>
      </w:r>
      <w:r w:rsidR="00600007">
        <w:rPr>
          <w:lang w:val="fr-CA"/>
        </w:rPr>
        <w:t>Le juge de premi</w:t>
      </w:r>
      <w:r w:rsidR="00DE32D6">
        <w:rPr>
          <w:lang w:val="fr-CA"/>
        </w:rPr>
        <w:t>è</w:t>
      </w:r>
      <w:r w:rsidR="00600007">
        <w:rPr>
          <w:lang w:val="fr-CA"/>
        </w:rPr>
        <w:t>re instance a eu raison de conclure que les Tsilhqot</w:t>
      </w:r>
      <w:r w:rsidR="002B0C0A">
        <w:rPr>
          <w:lang w:val="fr-CA"/>
        </w:rPr>
        <w:t>’</w:t>
      </w:r>
      <w:r w:rsidR="00600007">
        <w:rPr>
          <w:lang w:val="fr-CA"/>
        </w:rPr>
        <w:t>in</w:t>
      </w:r>
      <w:r w:rsidR="00600007" w:rsidRPr="004D7D95">
        <w:rPr>
          <w:lang w:val="fr-CA"/>
        </w:rPr>
        <w:t xml:space="preserve"> </w:t>
      </w:r>
      <w:r w:rsidR="00600007">
        <w:rPr>
          <w:lang w:val="fr-CA"/>
        </w:rPr>
        <w:t>avaient établi l</w:t>
      </w:r>
      <w:r w:rsidR="002B0C0A">
        <w:rPr>
          <w:lang w:val="fr-CA"/>
        </w:rPr>
        <w:t>’</w:t>
      </w:r>
      <w:r w:rsidR="00600007">
        <w:rPr>
          <w:lang w:val="fr-CA"/>
        </w:rPr>
        <w:t>existence du titre ancestral sur le territoire revendiqué en cause.  Il incombe au groupe revendicateur, en l</w:t>
      </w:r>
      <w:r w:rsidR="002B0C0A">
        <w:rPr>
          <w:lang w:val="fr-CA"/>
        </w:rPr>
        <w:t>’</w:t>
      </w:r>
      <w:r w:rsidR="00600007">
        <w:rPr>
          <w:lang w:val="fr-CA"/>
        </w:rPr>
        <w:t>espèce les Tsilhqot</w:t>
      </w:r>
      <w:r w:rsidR="002B0C0A">
        <w:rPr>
          <w:lang w:val="fr-CA"/>
        </w:rPr>
        <w:t>’</w:t>
      </w:r>
      <w:r w:rsidR="00600007">
        <w:rPr>
          <w:lang w:val="fr-CA"/>
        </w:rPr>
        <w:t>in,</w:t>
      </w:r>
      <w:r w:rsidR="00600007" w:rsidRPr="004D7D95">
        <w:rPr>
          <w:lang w:val="fr-CA"/>
        </w:rPr>
        <w:t xml:space="preserve"> </w:t>
      </w:r>
      <w:r w:rsidR="00600007">
        <w:rPr>
          <w:lang w:val="fr-CA"/>
        </w:rPr>
        <w:t>d</w:t>
      </w:r>
      <w:r w:rsidR="002B0C0A">
        <w:rPr>
          <w:lang w:val="fr-CA"/>
        </w:rPr>
        <w:t>’</w:t>
      </w:r>
      <w:r w:rsidR="00600007">
        <w:rPr>
          <w:lang w:val="fr-CA"/>
        </w:rPr>
        <w:t>établir l</w:t>
      </w:r>
      <w:r w:rsidR="002B0C0A">
        <w:rPr>
          <w:lang w:val="fr-CA"/>
        </w:rPr>
        <w:t>’</w:t>
      </w:r>
      <w:r w:rsidR="00600007">
        <w:rPr>
          <w:lang w:val="fr-CA"/>
        </w:rPr>
        <w:t xml:space="preserve">existence du titre ancestral.  Il faut déterminer la façon dont les droits et intérêts qui existaient avant </w:t>
      </w:r>
      <w:r w:rsidR="00600007">
        <w:rPr>
          <w:lang w:val="fr-CA"/>
        </w:rPr>
        <w:lastRenderedPageBreak/>
        <w:t>l</w:t>
      </w:r>
      <w:r w:rsidR="002B0C0A">
        <w:rPr>
          <w:lang w:val="fr-CA"/>
        </w:rPr>
        <w:t>’</w:t>
      </w:r>
      <w:r w:rsidR="00600007">
        <w:rPr>
          <w:lang w:val="fr-CA"/>
        </w:rPr>
        <w:t>affirmation de la souveraineté peuvent trouver leur juste expression en common law moderne.  L</w:t>
      </w:r>
      <w:r w:rsidR="00600007" w:rsidRPr="00EE3023">
        <w:rPr>
          <w:lang w:val="fr-CA"/>
        </w:rPr>
        <w:t>e titre ancestral découle de l</w:t>
      </w:r>
      <w:r w:rsidR="002B0C0A">
        <w:rPr>
          <w:lang w:val="fr-CA"/>
        </w:rPr>
        <w:t>’</w:t>
      </w:r>
      <w:r w:rsidR="00600007" w:rsidRPr="00EE3023">
        <w:rPr>
          <w:lang w:val="fr-CA"/>
        </w:rPr>
        <w:t>occupation, c</w:t>
      </w:r>
      <w:r w:rsidR="002B0C0A">
        <w:rPr>
          <w:lang w:val="fr-CA"/>
        </w:rPr>
        <w:t>’</w:t>
      </w:r>
      <w:r w:rsidR="00600007" w:rsidRPr="00EE3023">
        <w:rPr>
          <w:lang w:val="fr-CA"/>
        </w:rPr>
        <w:t>est</w:t>
      </w:r>
      <w:r w:rsidR="000F2258">
        <w:rPr>
          <w:lang w:val="fr-CA"/>
        </w:rPr>
        <w:t>-</w:t>
      </w:r>
      <w:r w:rsidR="00600007" w:rsidRPr="00EE3023">
        <w:rPr>
          <w:lang w:val="fr-CA"/>
        </w:rPr>
        <w:t>à</w:t>
      </w:r>
      <w:r w:rsidR="000F2258">
        <w:rPr>
          <w:lang w:val="fr-CA"/>
        </w:rPr>
        <w:t>-</w:t>
      </w:r>
      <w:r w:rsidR="00600007" w:rsidRPr="00EE3023">
        <w:rPr>
          <w:lang w:val="fr-CA"/>
        </w:rPr>
        <w:t>dire d</w:t>
      </w:r>
      <w:r w:rsidR="002B0C0A">
        <w:rPr>
          <w:lang w:val="fr-CA"/>
        </w:rPr>
        <w:t>’</w:t>
      </w:r>
      <w:r w:rsidR="00600007" w:rsidRPr="00EE3023">
        <w:rPr>
          <w:lang w:val="fr-CA"/>
        </w:rPr>
        <w:t>une utilisation régulière et exclusive des terres</w:t>
      </w:r>
      <w:r w:rsidR="00600007">
        <w:rPr>
          <w:lang w:val="fr-CA"/>
        </w:rPr>
        <w:t xml:space="preserve">. </w:t>
      </w:r>
      <w:r w:rsidR="00600007" w:rsidRPr="004D7D95">
        <w:rPr>
          <w:lang w:val="fr-CA"/>
        </w:rPr>
        <w:t xml:space="preserve"> </w:t>
      </w:r>
      <w:r w:rsidR="00600007">
        <w:rPr>
          <w:lang w:val="fr-CA"/>
        </w:rPr>
        <w:t>Pour fonder l</w:t>
      </w:r>
      <w:r w:rsidR="002B0C0A">
        <w:rPr>
          <w:lang w:val="fr-CA"/>
        </w:rPr>
        <w:t>’</w:t>
      </w:r>
      <w:r w:rsidR="00600007">
        <w:rPr>
          <w:lang w:val="fr-CA"/>
        </w:rPr>
        <w:t>e</w:t>
      </w:r>
      <w:r w:rsidR="00DE32D6">
        <w:rPr>
          <w:lang w:val="fr-CA"/>
        </w:rPr>
        <w:t>xistence du</w:t>
      </w:r>
      <w:r w:rsidR="00600007">
        <w:rPr>
          <w:lang w:val="fr-CA"/>
        </w:rPr>
        <w:t xml:space="preserve"> titre ancestral, l</w:t>
      </w:r>
      <w:r w:rsidR="002B0C0A">
        <w:rPr>
          <w:lang w:val="fr-CA"/>
        </w:rPr>
        <w:t>’</w:t>
      </w:r>
      <w:r w:rsidR="000F2258">
        <w:rPr>
          <w:lang w:val="fr-CA"/>
        </w:rPr>
        <w:t>« </w:t>
      </w:r>
      <w:r w:rsidR="00600007">
        <w:rPr>
          <w:lang w:val="fr-CA"/>
        </w:rPr>
        <w:t>occupation</w:t>
      </w:r>
      <w:r w:rsidR="000F2258">
        <w:rPr>
          <w:lang w:val="fr-CA"/>
        </w:rPr>
        <w:t> »</w:t>
      </w:r>
      <w:r w:rsidR="00600007">
        <w:rPr>
          <w:lang w:val="fr-CA"/>
        </w:rPr>
        <w:t xml:space="preserve"> doit être suffisante, </w:t>
      </w:r>
      <w:r w:rsidR="00600007" w:rsidRPr="00600007">
        <w:rPr>
          <w:lang w:val="fr-CA"/>
        </w:rPr>
        <w:t>continue</w:t>
      </w:r>
      <w:r w:rsidR="00600007" w:rsidRPr="00AD50B7">
        <w:rPr>
          <w:lang w:val="fr-CA"/>
        </w:rPr>
        <w:t xml:space="preserve"> (</w:t>
      </w:r>
      <w:r w:rsidR="00600007">
        <w:rPr>
          <w:lang w:val="fr-CA"/>
        </w:rPr>
        <w:t>si l</w:t>
      </w:r>
      <w:r w:rsidR="002B0C0A">
        <w:rPr>
          <w:lang w:val="fr-CA"/>
        </w:rPr>
        <w:t>’</w:t>
      </w:r>
      <w:r w:rsidR="00600007">
        <w:rPr>
          <w:lang w:val="fr-CA"/>
        </w:rPr>
        <w:t xml:space="preserve">occupation actuelle est invoquée) et </w:t>
      </w:r>
      <w:r w:rsidR="00600007" w:rsidRPr="00600007">
        <w:rPr>
          <w:lang w:val="fr-CA"/>
        </w:rPr>
        <w:t>exclusive</w:t>
      </w:r>
      <w:r w:rsidR="00600007">
        <w:rPr>
          <w:lang w:val="fr-CA"/>
        </w:rPr>
        <w:t xml:space="preserve">. </w:t>
      </w:r>
      <w:r w:rsidR="00600007" w:rsidRPr="004D7D95">
        <w:rPr>
          <w:lang w:val="fr-CA"/>
        </w:rPr>
        <w:t xml:space="preserve"> </w:t>
      </w:r>
      <w:r w:rsidR="00CC68E1">
        <w:rPr>
          <w:lang w:val="fr-CA"/>
        </w:rPr>
        <w:t>Pour déterminer ce qui constitue une occupation suffisante, l</w:t>
      </w:r>
      <w:r w:rsidR="002B0C0A">
        <w:rPr>
          <w:lang w:val="fr-CA"/>
        </w:rPr>
        <w:t>’</w:t>
      </w:r>
      <w:r w:rsidR="00CC68E1">
        <w:rPr>
          <w:lang w:val="fr-CA"/>
        </w:rPr>
        <w:t>exigence qui se trouve au cœur du présent pourvoi, il faut examiner la culture et les pratiques des Autochtones et les comparer, tout en tenant compte de leurs particularités culturelles, à ce qui était requis en common law pour établir l</w:t>
      </w:r>
      <w:r w:rsidR="002B0C0A">
        <w:rPr>
          <w:lang w:val="fr-CA"/>
        </w:rPr>
        <w:t>’</w:t>
      </w:r>
      <w:r w:rsidR="00CC68E1">
        <w:rPr>
          <w:lang w:val="fr-CA"/>
        </w:rPr>
        <w:t>existence d</w:t>
      </w:r>
      <w:r w:rsidR="002B0C0A">
        <w:rPr>
          <w:lang w:val="fr-CA"/>
        </w:rPr>
        <w:t>’</w:t>
      </w:r>
      <w:r w:rsidR="00CC68E1">
        <w:rPr>
          <w:lang w:val="fr-CA"/>
        </w:rPr>
        <w:t>un titre fondé sur l</w:t>
      </w:r>
      <w:r w:rsidR="002B0C0A">
        <w:rPr>
          <w:lang w:val="fr-CA"/>
        </w:rPr>
        <w:t>’</w:t>
      </w:r>
      <w:r w:rsidR="00CC68E1">
        <w:rPr>
          <w:lang w:val="fr-CA"/>
        </w:rPr>
        <w:t>occupation.  L</w:t>
      </w:r>
      <w:r w:rsidR="002B0C0A">
        <w:rPr>
          <w:lang w:val="fr-CA"/>
        </w:rPr>
        <w:t>’</w:t>
      </w:r>
      <w:r w:rsidR="00CC68E1">
        <w:rPr>
          <w:lang w:val="fr-CA"/>
        </w:rPr>
        <w:t>occupation suffisante pour fonder l</w:t>
      </w:r>
      <w:r w:rsidR="002B0C0A">
        <w:rPr>
          <w:lang w:val="fr-CA"/>
        </w:rPr>
        <w:t>’</w:t>
      </w:r>
      <w:r w:rsidR="00CC68E1">
        <w:rPr>
          <w:lang w:val="fr-CA"/>
        </w:rPr>
        <w:t>existence d</w:t>
      </w:r>
      <w:r w:rsidR="002B0C0A">
        <w:rPr>
          <w:lang w:val="fr-CA"/>
        </w:rPr>
        <w:t>’</w:t>
      </w:r>
      <w:r w:rsidR="00CC68E1">
        <w:rPr>
          <w:lang w:val="fr-CA"/>
        </w:rPr>
        <w:t>un titre ancestral ne se limite pas aux lieux spécifiques d</w:t>
      </w:r>
      <w:r w:rsidR="002B0C0A">
        <w:rPr>
          <w:lang w:val="fr-CA"/>
        </w:rPr>
        <w:t>’</w:t>
      </w:r>
      <w:r w:rsidR="00CC68E1">
        <w:rPr>
          <w:lang w:val="fr-CA"/>
        </w:rPr>
        <w:t>établissement, mais s</w:t>
      </w:r>
      <w:r w:rsidR="002B0C0A">
        <w:rPr>
          <w:lang w:val="fr-CA"/>
        </w:rPr>
        <w:t>’</w:t>
      </w:r>
      <w:r w:rsidR="00CC68E1">
        <w:rPr>
          <w:lang w:val="fr-CA"/>
        </w:rPr>
        <w:t>étend aux parcelles de terre régulièrement utilisées pour y pratiquer la chasse, la pêche ou d</w:t>
      </w:r>
      <w:r w:rsidR="002B0C0A">
        <w:rPr>
          <w:lang w:val="fr-CA"/>
        </w:rPr>
        <w:t>’</w:t>
      </w:r>
      <w:r w:rsidR="00CC68E1">
        <w:rPr>
          <w:lang w:val="fr-CA"/>
        </w:rPr>
        <w:t>autres types d</w:t>
      </w:r>
      <w:r w:rsidR="002B0C0A">
        <w:rPr>
          <w:lang w:val="fr-CA"/>
        </w:rPr>
        <w:t>’</w:t>
      </w:r>
      <w:r w:rsidR="00CC68E1">
        <w:rPr>
          <w:lang w:val="fr-CA"/>
        </w:rPr>
        <w:t>exploitation des ressources et sur lesquelles le groupe exerçait un contrôle effectif au moment de l</w:t>
      </w:r>
      <w:r w:rsidR="002B0C0A">
        <w:rPr>
          <w:lang w:val="fr-CA"/>
        </w:rPr>
        <w:t>’</w:t>
      </w:r>
      <w:r w:rsidR="00CC68E1">
        <w:rPr>
          <w:lang w:val="fr-CA"/>
        </w:rPr>
        <w:t>affirmation de la souveraineté européenne.</w:t>
      </w:r>
      <w:r w:rsidR="00CC68E1" w:rsidRPr="00AD50B7">
        <w:rPr>
          <w:lang w:val="fr-CA"/>
        </w:rPr>
        <w:t xml:space="preserve"> </w:t>
      </w:r>
    </w:p>
    <w:p w:rsidR="004D7D95" w:rsidRDefault="00CC68E1" w:rsidP="008948FE">
      <w:pPr>
        <w:pStyle w:val="SCCNormalDoubleSpacing"/>
        <w:spacing w:after="480"/>
        <w:rPr>
          <w:lang w:val="fr-CA"/>
        </w:rPr>
      </w:pPr>
      <w:r>
        <w:rPr>
          <w:lang w:val="fr-CA"/>
        </w:rPr>
        <w:tab/>
        <w:t>En concluant que l</w:t>
      </w:r>
      <w:r w:rsidR="002B0C0A">
        <w:rPr>
          <w:lang w:val="fr-CA"/>
        </w:rPr>
        <w:t>’</w:t>
      </w:r>
      <w:r>
        <w:rPr>
          <w:lang w:val="fr-CA"/>
        </w:rPr>
        <w:t>existence du titre ancestral avait été établie en l</w:t>
      </w:r>
      <w:r w:rsidR="002B0C0A">
        <w:rPr>
          <w:lang w:val="fr-CA"/>
        </w:rPr>
        <w:t>’</w:t>
      </w:r>
      <w:r>
        <w:rPr>
          <w:lang w:val="fr-CA"/>
        </w:rPr>
        <w:t>espèce, le juge de première instance a identifié le bon critère juridique et l</w:t>
      </w:r>
      <w:r w:rsidR="002B0C0A">
        <w:rPr>
          <w:lang w:val="fr-CA"/>
        </w:rPr>
        <w:t>’</w:t>
      </w:r>
      <w:r>
        <w:rPr>
          <w:lang w:val="fr-CA"/>
        </w:rPr>
        <w:t xml:space="preserve">a correctement appliqué à la preuve.  </w:t>
      </w:r>
      <w:r w:rsidR="00D71D4C">
        <w:rPr>
          <w:lang w:val="fr-CA"/>
        </w:rPr>
        <w:t>L</w:t>
      </w:r>
      <w:r w:rsidR="00DE32D6">
        <w:rPr>
          <w:lang w:val="fr-CA"/>
        </w:rPr>
        <w:t>e territoire était peu peuplé</w:t>
      </w:r>
      <w:r w:rsidRPr="00AD50B7">
        <w:rPr>
          <w:lang w:val="fr-CA"/>
        </w:rPr>
        <w:t xml:space="preserve">, </w:t>
      </w:r>
      <w:r w:rsidR="00D71D4C">
        <w:rPr>
          <w:lang w:val="fr-CA"/>
        </w:rPr>
        <w:t xml:space="preserve">mais </w:t>
      </w:r>
      <w:r>
        <w:rPr>
          <w:lang w:val="fr-CA"/>
        </w:rPr>
        <w:t>il a relevé des éléments de preuve indiquant que les parties du territoire sur lesquelles il a conclu à l</w:t>
      </w:r>
      <w:r w:rsidR="002B0C0A">
        <w:rPr>
          <w:lang w:val="fr-CA"/>
        </w:rPr>
        <w:t>’</w:t>
      </w:r>
      <w:r>
        <w:rPr>
          <w:lang w:val="fr-CA"/>
        </w:rPr>
        <w:t xml:space="preserve">existence du titre étaient régulièrement utilisées par les </w:t>
      </w:r>
      <w:r w:rsidRPr="00AD50B7">
        <w:rPr>
          <w:lang w:val="fr-CA"/>
        </w:rPr>
        <w:t>Tsilhqot</w:t>
      </w:r>
      <w:r w:rsidR="002B0C0A">
        <w:rPr>
          <w:lang w:val="fr-CA"/>
        </w:rPr>
        <w:t>’</w:t>
      </w:r>
      <w:r w:rsidRPr="00AD50B7">
        <w:rPr>
          <w:lang w:val="fr-CA"/>
        </w:rPr>
        <w:t>in</w:t>
      </w:r>
      <w:r>
        <w:rPr>
          <w:lang w:val="fr-CA"/>
        </w:rPr>
        <w:t xml:space="preserve">, </w:t>
      </w:r>
      <w:r w:rsidR="00080459">
        <w:rPr>
          <w:lang w:val="fr-CA"/>
        </w:rPr>
        <w:t>ce qui appuyait sa conclusion quant à la possession suffisante.  La proximité géographique entre les sites à l</w:t>
      </w:r>
      <w:r w:rsidR="002B0C0A">
        <w:rPr>
          <w:lang w:val="fr-CA"/>
        </w:rPr>
        <w:t>’</w:t>
      </w:r>
      <w:r w:rsidR="00080459">
        <w:rPr>
          <w:lang w:val="fr-CA"/>
        </w:rPr>
        <w:t>égard desquels une preuve d</w:t>
      </w:r>
      <w:r w:rsidR="002B0C0A">
        <w:rPr>
          <w:lang w:val="fr-CA"/>
        </w:rPr>
        <w:t>’</w:t>
      </w:r>
      <w:r w:rsidR="00080459">
        <w:rPr>
          <w:lang w:val="fr-CA"/>
        </w:rPr>
        <w:t>occupation récente a été produite et ceux à l</w:t>
      </w:r>
      <w:r w:rsidR="002B0C0A">
        <w:rPr>
          <w:lang w:val="fr-CA"/>
        </w:rPr>
        <w:t>’</w:t>
      </w:r>
      <w:r w:rsidR="00080459">
        <w:rPr>
          <w:lang w:val="fr-CA"/>
        </w:rPr>
        <w:t>égard desquels il existait une preuve directe d</w:t>
      </w:r>
      <w:r w:rsidR="002B0C0A">
        <w:rPr>
          <w:lang w:val="fr-CA"/>
        </w:rPr>
        <w:t>’</w:t>
      </w:r>
      <w:r w:rsidR="00080459">
        <w:rPr>
          <w:lang w:val="fr-CA"/>
        </w:rPr>
        <w:t>occupation passée appuyait également l</w:t>
      </w:r>
      <w:r w:rsidR="002B0C0A">
        <w:rPr>
          <w:lang w:val="fr-CA"/>
        </w:rPr>
        <w:t>’</w:t>
      </w:r>
      <w:r w:rsidR="00080459">
        <w:rPr>
          <w:lang w:val="fr-CA"/>
        </w:rPr>
        <w:t>inférence d</w:t>
      </w:r>
      <w:r w:rsidR="002B0C0A">
        <w:rPr>
          <w:lang w:val="fr-CA"/>
        </w:rPr>
        <w:t>’</w:t>
      </w:r>
      <w:r w:rsidR="00080459">
        <w:rPr>
          <w:lang w:val="fr-CA"/>
        </w:rPr>
        <w:t>une occupation continue.  Au vu de la preuve indiquant que les Tsilhqot</w:t>
      </w:r>
      <w:r w:rsidR="002B0C0A">
        <w:rPr>
          <w:lang w:val="fr-CA"/>
        </w:rPr>
        <w:t>’</w:t>
      </w:r>
      <w:r w:rsidR="00080459">
        <w:rPr>
          <w:lang w:val="fr-CA"/>
        </w:rPr>
        <w:t>in, avant l</w:t>
      </w:r>
      <w:r w:rsidR="002B0C0A">
        <w:rPr>
          <w:lang w:val="fr-CA"/>
        </w:rPr>
        <w:t>’</w:t>
      </w:r>
      <w:r w:rsidR="00080459">
        <w:rPr>
          <w:lang w:val="fr-CA"/>
        </w:rPr>
        <w:t>affirmation de la souveraineté, ont repoussé d</w:t>
      </w:r>
      <w:r w:rsidR="002B0C0A">
        <w:rPr>
          <w:lang w:val="fr-CA"/>
        </w:rPr>
        <w:t>’</w:t>
      </w:r>
      <w:r w:rsidR="00080459">
        <w:rPr>
          <w:lang w:val="fr-CA"/>
        </w:rPr>
        <w:t xml:space="preserve">autres peuples de leurs terres et ont exigé que les étrangers qui désiraient passer sur leurs terres leur demandent la </w:t>
      </w:r>
      <w:r w:rsidR="00080459">
        <w:rPr>
          <w:lang w:val="fr-CA"/>
        </w:rPr>
        <w:lastRenderedPageBreak/>
        <w:t xml:space="preserve">permission, il a conclu que les </w:t>
      </w:r>
      <w:r w:rsidR="00080459" w:rsidRPr="00AD50B7">
        <w:rPr>
          <w:lang w:val="fr-CA"/>
        </w:rPr>
        <w:t>Tsilhqot</w:t>
      </w:r>
      <w:r w:rsidR="002B0C0A">
        <w:rPr>
          <w:lang w:val="fr-CA"/>
        </w:rPr>
        <w:t>’</w:t>
      </w:r>
      <w:r w:rsidR="00080459" w:rsidRPr="00AD50B7">
        <w:rPr>
          <w:lang w:val="fr-CA"/>
        </w:rPr>
        <w:t xml:space="preserve">in </w:t>
      </w:r>
      <w:r w:rsidR="00080459">
        <w:rPr>
          <w:lang w:val="fr-CA"/>
        </w:rPr>
        <w:t>considéraient qu</w:t>
      </w:r>
      <w:r w:rsidR="002B0C0A">
        <w:rPr>
          <w:lang w:val="fr-CA"/>
        </w:rPr>
        <w:t>’</w:t>
      </w:r>
      <w:r w:rsidR="00080459">
        <w:rPr>
          <w:lang w:val="fr-CA"/>
        </w:rPr>
        <w:t xml:space="preserve">ils possédaient leurs terres en exclusivité.  Les critiques </w:t>
      </w:r>
      <w:r w:rsidR="00BE35CF">
        <w:rPr>
          <w:lang w:val="fr-CA"/>
        </w:rPr>
        <w:t xml:space="preserve">de la province </w:t>
      </w:r>
      <w:r w:rsidR="00080459">
        <w:rPr>
          <w:lang w:val="fr-CA"/>
        </w:rPr>
        <w:t>à l</w:t>
      </w:r>
      <w:r w:rsidR="002B0C0A">
        <w:rPr>
          <w:lang w:val="fr-CA"/>
        </w:rPr>
        <w:t>’</w:t>
      </w:r>
      <w:r w:rsidR="00BE35CF">
        <w:rPr>
          <w:lang w:val="fr-CA"/>
        </w:rPr>
        <w:t>endroit</w:t>
      </w:r>
      <w:r w:rsidR="00080459">
        <w:rPr>
          <w:lang w:val="fr-CA"/>
        </w:rPr>
        <w:t xml:space="preserve"> des conclusions de fait du juge de première instance reposent principalement sur la thèse erronée voulant que le titre ancestral s</w:t>
      </w:r>
      <w:r w:rsidR="002B0C0A">
        <w:rPr>
          <w:lang w:val="fr-CA"/>
        </w:rPr>
        <w:t>’</w:t>
      </w:r>
      <w:r w:rsidR="00080459">
        <w:rPr>
          <w:lang w:val="fr-CA"/>
        </w:rPr>
        <w:t xml:space="preserve">attache uniquement à des secteurs spécifiques occupés intensivement.  </w:t>
      </w:r>
      <w:r w:rsidR="00B72CF6">
        <w:rPr>
          <w:lang w:val="fr-CA"/>
        </w:rPr>
        <w:t>En outre, il appartenait au juge de première instance de faire la part des éléments de preuve contradictoires et de tirer des conclusions de fait.  La présence d</w:t>
      </w:r>
      <w:r w:rsidR="002B0C0A">
        <w:rPr>
          <w:lang w:val="fr-CA"/>
        </w:rPr>
        <w:t>’</w:t>
      </w:r>
      <w:r w:rsidR="00B72CF6">
        <w:rPr>
          <w:lang w:val="fr-CA"/>
        </w:rPr>
        <w:t>éléments de preuve contradictoires ne démontre pas l</w:t>
      </w:r>
      <w:r w:rsidR="002B0C0A">
        <w:rPr>
          <w:lang w:val="fr-CA"/>
        </w:rPr>
        <w:t>’</w:t>
      </w:r>
      <w:r w:rsidR="00B72CF6">
        <w:rPr>
          <w:lang w:val="fr-CA"/>
        </w:rPr>
        <w:t>existence d</w:t>
      </w:r>
      <w:r w:rsidR="002B0C0A">
        <w:rPr>
          <w:lang w:val="fr-CA"/>
        </w:rPr>
        <w:t>’</w:t>
      </w:r>
      <w:r w:rsidR="00B72CF6">
        <w:rPr>
          <w:lang w:val="fr-CA"/>
        </w:rPr>
        <w:t>une erreur manifeste et dominante.  La province n</w:t>
      </w:r>
      <w:r w:rsidR="002B0C0A">
        <w:rPr>
          <w:lang w:val="fr-CA"/>
        </w:rPr>
        <w:t>’</w:t>
      </w:r>
      <w:r w:rsidR="00B72CF6">
        <w:rPr>
          <w:lang w:val="fr-CA"/>
        </w:rPr>
        <w:t>a pas</w:t>
      </w:r>
      <w:r w:rsidR="00B72CF6" w:rsidRPr="00845755">
        <w:rPr>
          <w:lang w:val="fr-CA"/>
        </w:rPr>
        <w:t xml:space="preserve"> </w:t>
      </w:r>
      <w:r w:rsidR="00B72CF6">
        <w:rPr>
          <w:lang w:val="fr-CA"/>
        </w:rPr>
        <w:t>démontré que les conclusions du juge de première instance ne sont pas étayées par la preuve ou qu</w:t>
      </w:r>
      <w:r w:rsidR="002B0C0A">
        <w:rPr>
          <w:lang w:val="fr-CA"/>
        </w:rPr>
        <w:t>’</w:t>
      </w:r>
      <w:r w:rsidR="00B72CF6">
        <w:rPr>
          <w:lang w:val="fr-CA"/>
        </w:rPr>
        <w:t>elles sont autrement erronées.  Elle n</w:t>
      </w:r>
      <w:r w:rsidR="002B0C0A">
        <w:rPr>
          <w:lang w:val="fr-CA"/>
        </w:rPr>
        <w:t>’</w:t>
      </w:r>
      <w:r w:rsidR="00B72CF6">
        <w:rPr>
          <w:lang w:val="fr-CA"/>
        </w:rPr>
        <w:t>a pas non plus démontré que ses conclusions étaient arbitraires ou manquaient de précision.  En l</w:t>
      </w:r>
      <w:r w:rsidR="002B0C0A">
        <w:rPr>
          <w:lang w:val="fr-CA"/>
        </w:rPr>
        <w:t>’</w:t>
      </w:r>
      <w:r w:rsidR="00B72CF6">
        <w:rPr>
          <w:lang w:val="fr-CA"/>
        </w:rPr>
        <w:t>absence d</w:t>
      </w:r>
      <w:r w:rsidR="002B0C0A">
        <w:rPr>
          <w:lang w:val="fr-CA"/>
        </w:rPr>
        <w:t>’</w:t>
      </w:r>
      <w:r w:rsidR="00B72CF6">
        <w:rPr>
          <w:lang w:val="fr-CA"/>
        </w:rPr>
        <w:t>une erreur manifeste, ses conclusions ne devraient pas être modifiées.</w:t>
      </w:r>
    </w:p>
    <w:p w:rsidR="00B72CF6" w:rsidRDefault="00B72CF6" w:rsidP="008948FE">
      <w:pPr>
        <w:pStyle w:val="SCCNormalDoubleSpacing"/>
        <w:spacing w:after="480"/>
        <w:rPr>
          <w:lang w:val="fr-CA"/>
        </w:rPr>
      </w:pPr>
      <w:r>
        <w:rPr>
          <w:lang w:val="fr-CA"/>
        </w:rPr>
        <w:tab/>
        <w:t>De par sa nature, le titre ancestral confère au groupe qui le détient le droit exclusif de déterminer l</w:t>
      </w:r>
      <w:r w:rsidR="002B0C0A">
        <w:rPr>
          <w:lang w:val="fr-CA"/>
        </w:rPr>
        <w:t>’</w:t>
      </w:r>
      <w:r>
        <w:rPr>
          <w:lang w:val="fr-CA"/>
        </w:rPr>
        <w:t>utilisation qu</w:t>
      </w:r>
      <w:r w:rsidR="00637EE6">
        <w:rPr>
          <w:lang w:val="fr-CA"/>
        </w:rPr>
        <w:t>i</w:t>
      </w:r>
      <w:r>
        <w:rPr>
          <w:lang w:val="fr-CA"/>
        </w:rPr>
        <w:t xml:space="preserve"> est fait</w:t>
      </w:r>
      <w:r w:rsidR="00637EE6">
        <w:rPr>
          <w:lang w:val="fr-CA"/>
        </w:rPr>
        <w:t>e</w:t>
      </w:r>
      <w:r>
        <w:rPr>
          <w:lang w:val="fr-CA"/>
        </w:rPr>
        <w:t xml:space="preserve"> des terres et </w:t>
      </w:r>
      <w:r w:rsidR="00637EE6">
        <w:rPr>
          <w:lang w:val="fr-CA"/>
        </w:rPr>
        <w:t xml:space="preserve">le droit </w:t>
      </w:r>
      <w:r>
        <w:rPr>
          <w:lang w:val="fr-CA"/>
        </w:rPr>
        <w:t xml:space="preserve">de bénéficier des avantages </w:t>
      </w:r>
      <w:r w:rsidR="00D71D4C">
        <w:rPr>
          <w:lang w:val="fr-CA"/>
        </w:rPr>
        <w:t>que procure</w:t>
      </w:r>
      <w:r>
        <w:rPr>
          <w:lang w:val="fr-CA"/>
        </w:rPr>
        <w:t xml:space="preserve"> cette utilisation, pourvu q</w:t>
      </w:r>
      <w:r w:rsidR="00561B11">
        <w:rPr>
          <w:lang w:val="fr-CA"/>
        </w:rPr>
        <w:t>ue les utilisations respectent l</w:t>
      </w:r>
      <w:r>
        <w:rPr>
          <w:lang w:val="fr-CA"/>
        </w:rPr>
        <w:t>a nature collective de ce droit et préservent la jouissance des terres pour les générations futures</w:t>
      </w:r>
      <w:r w:rsidRPr="00AD50B7">
        <w:rPr>
          <w:lang w:val="fr-CA"/>
        </w:rPr>
        <w:t xml:space="preserve">. </w:t>
      </w:r>
      <w:r>
        <w:rPr>
          <w:lang w:val="fr-CA"/>
        </w:rPr>
        <w:t xml:space="preserve"> Avant que l</w:t>
      </w:r>
      <w:r w:rsidR="002B0C0A">
        <w:rPr>
          <w:lang w:val="fr-CA"/>
        </w:rPr>
        <w:t>’</w:t>
      </w:r>
      <w:r>
        <w:rPr>
          <w:lang w:val="fr-CA"/>
        </w:rPr>
        <w:t>existence du titre soit établie, l</w:t>
      </w:r>
      <w:r w:rsidR="00D71D4C">
        <w:rPr>
          <w:lang w:val="fr-CA"/>
        </w:rPr>
        <w:t>a</w:t>
      </w:r>
      <w:r>
        <w:rPr>
          <w:lang w:val="fr-CA"/>
        </w:rPr>
        <w:t xml:space="preserve"> </w:t>
      </w:r>
      <w:r w:rsidR="00D71D4C">
        <w:rPr>
          <w:lang w:val="fr-CA"/>
        </w:rPr>
        <w:t>Couronne</w:t>
      </w:r>
      <w:r>
        <w:rPr>
          <w:lang w:val="fr-CA"/>
        </w:rPr>
        <w:t xml:space="preserve"> est tenu</w:t>
      </w:r>
      <w:r w:rsidR="00D71D4C">
        <w:rPr>
          <w:lang w:val="fr-CA"/>
        </w:rPr>
        <w:t>e</w:t>
      </w:r>
      <w:r>
        <w:rPr>
          <w:lang w:val="fr-CA"/>
        </w:rPr>
        <w:t xml:space="preserve"> de consulter de bonne foi les groupes autochtones qui revendiquent le titre sur des terres au sujet de ses projets d</w:t>
      </w:r>
      <w:r w:rsidR="002B0C0A">
        <w:rPr>
          <w:lang w:val="fr-CA"/>
        </w:rPr>
        <w:t>’</w:t>
      </w:r>
      <w:r>
        <w:rPr>
          <w:lang w:val="fr-CA"/>
        </w:rPr>
        <w:t>utilisation des terres et, s</w:t>
      </w:r>
      <w:r w:rsidR="002B0C0A">
        <w:rPr>
          <w:lang w:val="fr-CA"/>
        </w:rPr>
        <w:t>’</w:t>
      </w:r>
      <w:r>
        <w:rPr>
          <w:lang w:val="fr-CA"/>
        </w:rPr>
        <w:t>il y a lieu, de trouver des accommodements aux intérêts de ces groupes.  Le niveau de consultation et d</w:t>
      </w:r>
      <w:r w:rsidR="002B0C0A">
        <w:rPr>
          <w:lang w:val="fr-CA"/>
        </w:rPr>
        <w:t>’</w:t>
      </w:r>
      <w:r>
        <w:rPr>
          <w:lang w:val="fr-CA"/>
        </w:rPr>
        <w:t>accommodement requis varie en fonction de la solidité de la revendication du groupe autochtone et de la gravité de l</w:t>
      </w:r>
      <w:r w:rsidR="002B0C0A">
        <w:rPr>
          <w:lang w:val="fr-CA"/>
        </w:rPr>
        <w:t>’</w:t>
      </w:r>
      <w:r>
        <w:rPr>
          <w:lang w:val="fr-CA"/>
        </w:rPr>
        <w:t xml:space="preserve">effet préjudiciable éventuel </w:t>
      </w:r>
      <w:r w:rsidR="00D71D4C">
        <w:rPr>
          <w:lang w:val="fr-CA"/>
        </w:rPr>
        <w:t xml:space="preserve">du projet </w:t>
      </w:r>
      <w:r>
        <w:rPr>
          <w:lang w:val="fr-CA"/>
        </w:rPr>
        <w:t>sur l</w:t>
      </w:r>
      <w:r w:rsidR="002B0C0A">
        <w:rPr>
          <w:lang w:val="fr-CA"/>
        </w:rPr>
        <w:t>’</w:t>
      </w:r>
      <w:r>
        <w:rPr>
          <w:lang w:val="fr-CA"/>
        </w:rPr>
        <w:t xml:space="preserve">intérêt revendiqué.  </w:t>
      </w:r>
    </w:p>
    <w:p w:rsidR="00B72CF6" w:rsidRDefault="00B72CF6" w:rsidP="008948FE">
      <w:pPr>
        <w:pStyle w:val="SCCNormalDoubleSpacing"/>
        <w:spacing w:after="480"/>
        <w:rPr>
          <w:lang w:val="fr-CA"/>
        </w:rPr>
      </w:pPr>
      <w:r>
        <w:rPr>
          <w:lang w:val="fr-CA"/>
        </w:rPr>
        <w:tab/>
      </w:r>
      <w:r w:rsidR="00BE35CF">
        <w:rPr>
          <w:lang w:val="fr-CA"/>
        </w:rPr>
        <w:t>L</w:t>
      </w:r>
      <w:r w:rsidR="00EC2F14">
        <w:rPr>
          <w:lang w:val="fr-CA"/>
        </w:rPr>
        <w:t>orsque l</w:t>
      </w:r>
      <w:r w:rsidR="002B0C0A">
        <w:rPr>
          <w:lang w:val="fr-CA"/>
        </w:rPr>
        <w:t>’</w:t>
      </w:r>
      <w:r w:rsidR="00EC2F14">
        <w:rPr>
          <w:lang w:val="fr-CA"/>
        </w:rPr>
        <w:t>existence du titre ancestral a été établie, la Couronne doit non seulement</w:t>
      </w:r>
      <w:r w:rsidR="00EC2F14" w:rsidRPr="00AD50B7">
        <w:rPr>
          <w:lang w:val="fr-CA"/>
        </w:rPr>
        <w:t xml:space="preserve"> </w:t>
      </w:r>
      <w:r w:rsidR="00EC2F14">
        <w:rPr>
          <w:lang w:val="fr-CA"/>
        </w:rPr>
        <w:t xml:space="preserve">se conformer à ses obligations procédurales, mais elle doit aussi justifier </w:t>
      </w:r>
      <w:r w:rsidR="00EC2F14">
        <w:rPr>
          <w:lang w:val="fr-CA"/>
        </w:rPr>
        <w:lastRenderedPageBreak/>
        <w:t>toute incursion sur les terres visées par le titre ancestral en s</w:t>
      </w:r>
      <w:r w:rsidR="002B0C0A">
        <w:rPr>
          <w:lang w:val="fr-CA"/>
        </w:rPr>
        <w:t>’</w:t>
      </w:r>
      <w:r w:rsidR="00EC2F14">
        <w:rPr>
          <w:lang w:val="fr-CA"/>
        </w:rPr>
        <w:t>assurant que la mesure gouvernementale proposée est fondamentalement conforme aux exigences de l</w:t>
      </w:r>
      <w:r w:rsidR="002B0C0A">
        <w:rPr>
          <w:lang w:val="fr-CA"/>
        </w:rPr>
        <w:t>’</w:t>
      </w:r>
      <w:r w:rsidR="00EC2F14">
        <w:rPr>
          <w:lang w:val="fr-CA"/>
        </w:rPr>
        <w:t>art.</w:t>
      </w:r>
      <w:r w:rsidR="000F2258">
        <w:rPr>
          <w:lang w:val="fr-CA"/>
        </w:rPr>
        <w:t xml:space="preserve"> </w:t>
      </w:r>
      <w:r w:rsidR="00EC2F14">
        <w:rPr>
          <w:lang w:val="fr-CA"/>
        </w:rPr>
        <w:t xml:space="preserve">35 de la </w:t>
      </w:r>
      <w:r w:rsidR="00EC2F14">
        <w:rPr>
          <w:i/>
          <w:lang w:val="fr-CA"/>
        </w:rPr>
        <w:t>Loi constitutionnelle de</w:t>
      </w:r>
      <w:r w:rsidR="00EC2F14" w:rsidRPr="00AD50B7">
        <w:rPr>
          <w:i/>
          <w:lang w:val="fr-CA"/>
        </w:rPr>
        <w:t xml:space="preserve"> 1982</w:t>
      </w:r>
      <w:r w:rsidR="00EC2F14" w:rsidRPr="00AD50B7">
        <w:rPr>
          <w:lang w:val="fr-CA"/>
        </w:rPr>
        <w:t xml:space="preserve">. </w:t>
      </w:r>
      <w:r w:rsidR="00EC2F14">
        <w:rPr>
          <w:lang w:val="fr-CA"/>
        </w:rPr>
        <w:t xml:space="preserve"> Elle doit à cette fin démontrer l</w:t>
      </w:r>
      <w:r w:rsidR="002B0C0A">
        <w:rPr>
          <w:lang w:val="fr-CA"/>
        </w:rPr>
        <w:t>’</w:t>
      </w:r>
      <w:r w:rsidR="00EC2F14">
        <w:rPr>
          <w:lang w:val="fr-CA"/>
        </w:rPr>
        <w:t>existence d</w:t>
      </w:r>
      <w:r w:rsidR="002B0C0A">
        <w:rPr>
          <w:lang w:val="fr-CA"/>
        </w:rPr>
        <w:t>’</w:t>
      </w:r>
      <w:r w:rsidR="00EC2F14">
        <w:rPr>
          <w:lang w:val="fr-CA"/>
        </w:rPr>
        <w:t xml:space="preserve">un objectif public réel et impérieux, et la </w:t>
      </w:r>
      <w:r w:rsidR="00561B11">
        <w:rPr>
          <w:lang w:val="fr-CA"/>
        </w:rPr>
        <w:t xml:space="preserve">compatibilité de la </w:t>
      </w:r>
      <w:r w:rsidR="00EC2F14">
        <w:rPr>
          <w:lang w:val="fr-CA"/>
        </w:rPr>
        <w:t>mesure gouvernementale avec l</w:t>
      </w:r>
      <w:r w:rsidR="002B0C0A">
        <w:rPr>
          <w:lang w:val="fr-CA"/>
        </w:rPr>
        <w:t>’</w:t>
      </w:r>
      <w:r w:rsidR="00EC2F14">
        <w:rPr>
          <w:lang w:val="fr-CA"/>
        </w:rPr>
        <w:t>obligation fiduciaire qu</w:t>
      </w:r>
      <w:r w:rsidR="002B0C0A">
        <w:rPr>
          <w:lang w:val="fr-CA"/>
        </w:rPr>
        <w:t>’</w:t>
      </w:r>
      <w:r w:rsidR="00EC2F14">
        <w:rPr>
          <w:lang w:val="fr-CA"/>
        </w:rPr>
        <w:t xml:space="preserve">a la Couronne envers le groupe autochtone.  </w:t>
      </w:r>
      <w:r w:rsidR="006206A1">
        <w:rPr>
          <w:lang w:val="fr-CA"/>
        </w:rPr>
        <w:t>L</w:t>
      </w:r>
      <w:r w:rsidR="00291796">
        <w:rPr>
          <w:lang w:val="fr-CA"/>
        </w:rPr>
        <w:t xml:space="preserve">e gouvernement doit </w:t>
      </w:r>
      <w:r w:rsidR="006206A1">
        <w:rPr>
          <w:lang w:val="fr-CA"/>
        </w:rPr>
        <w:t xml:space="preserve">donc </w:t>
      </w:r>
      <w:r w:rsidR="00291796">
        <w:rPr>
          <w:lang w:val="fr-CA"/>
        </w:rPr>
        <w:t>agir d</w:t>
      </w:r>
      <w:r w:rsidR="002B0C0A">
        <w:rPr>
          <w:lang w:val="fr-CA"/>
        </w:rPr>
        <w:t>’</w:t>
      </w:r>
      <w:r w:rsidR="00291796">
        <w:rPr>
          <w:lang w:val="fr-CA"/>
        </w:rPr>
        <w:t>une manière qui respecte le fait que le titre ancestral est un droit collectif inhérent aux générations actuelles et futures et que l</w:t>
      </w:r>
      <w:r w:rsidR="002B0C0A">
        <w:rPr>
          <w:lang w:val="fr-CA"/>
        </w:rPr>
        <w:t>’</w:t>
      </w:r>
      <w:r w:rsidR="00291796">
        <w:rPr>
          <w:lang w:val="fr-CA"/>
        </w:rPr>
        <w:t>obligation fiduciaire de la Couronne insuffle une obligation de proportionnalité dans le processus de justification</w:t>
      </w:r>
      <w:r w:rsidR="000F2258">
        <w:rPr>
          <w:lang w:val="fr-CA"/>
        </w:rPr>
        <w:t> :</w:t>
      </w:r>
      <w:r w:rsidR="00291796">
        <w:rPr>
          <w:lang w:val="fr-CA"/>
        </w:rPr>
        <w:t xml:space="preserve"> l</w:t>
      </w:r>
      <w:r w:rsidR="002B0C0A">
        <w:rPr>
          <w:lang w:val="fr-CA"/>
        </w:rPr>
        <w:t>’</w:t>
      </w:r>
      <w:r w:rsidR="00291796">
        <w:rPr>
          <w:lang w:val="fr-CA"/>
        </w:rPr>
        <w:t>atteinte doit être nécessaire pour atteindre l</w:t>
      </w:r>
      <w:r w:rsidR="002B0C0A">
        <w:rPr>
          <w:lang w:val="fr-CA"/>
        </w:rPr>
        <w:t>’</w:t>
      </w:r>
      <w:r w:rsidR="00291796">
        <w:rPr>
          <w:lang w:val="fr-CA"/>
        </w:rPr>
        <w:t xml:space="preserve">objectif </w:t>
      </w:r>
      <w:r w:rsidR="00E82CF5">
        <w:rPr>
          <w:lang w:val="fr-CA"/>
        </w:rPr>
        <w:t xml:space="preserve">gouvernemental </w:t>
      </w:r>
      <w:r w:rsidR="00291796">
        <w:rPr>
          <w:lang w:val="fr-CA"/>
        </w:rPr>
        <w:t>(lien rationnel), le gouvernement ne doit pas aller au</w:t>
      </w:r>
      <w:r w:rsidR="000F2258">
        <w:rPr>
          <w:lang w:val="fr-CA"/>
        </w:rPr>
        <w:t>-</w:t>
      </w:r>
      <w:r w:rsidR="00291796">
        <w:rPr>
          <w:lang w:val="fr-CA"/>
        </w:rPr>
        <w:t>delà de ce qui est nécessaire pour atteindre cet objectif (atteinte minimale)</w:t>
      </w:r>
      <w:r w:rsidR="00494888">
        <w:rPr>
          <w:lang w:val="fr-CA"/>
        </w:rPr>
        <w:t>;</w:t>
      </w:r>
      <w:r w:rsidR="00291796">
        <w:rPr>
          <w:lang w:val="fr-CA"/>
        </w:rPr>
        <w:t xml:space="preserve"> et les effets préjudiciables sur l</w:t>
      </w:r>
      <w:r w:rsidR="002B0C0A">
        <w:rPr>
          <w:lang w:val="fr-CA"/>
        </w:rPr>
        <w:t>’</w:t>
      </w:r>
      <w:r w:rsidR="00291796">
        <w:rPr>
          <w:lang w:val="fr-CA"/>
        </w:rPr>
        <w:t>intérêt autochtone ne doivent pas l</w:t>
      </w:r>
      <w:r w:rsidR="002B0C0A">
        <w:rPr>
          <w:lang w:val="fr-CA"/>
        </w:rPr>
        <w:t>’</w:t>
      </w:r>
      <w:r w:rsidR="00291796">
        <w:rPr>
          <w:lang w:val="fr-CA"/>
        </w:rPr>
        <w:t xml:space="preserve">emporter sur les avantages qui devraient découler de cet objectif </w:t>
      </w:r>
      <w:r w:rsidR="00291796" w:rsidRPr="00AD50B7">
        <w:rPr>
          <w:lang w:val="fr-CA"/>
        </w:rPr>
        <w:t>(</w:t>
      </w:r>
      <w:r w:rsidR="00291796">
        <w:rPr>
          <w:lang w:val="fr-CA"/>
        </w:rPr>
        <w:t>proportionnalité de l</w:t>
      </w:r>
      <w:r w:rsidR="002B0C0A">
        <w:rPr>
          <w:lang w:val="fr-CA"/>
        </w:rPr>
        <w:t>’</w:t>
      </w:r>
      <w:r w:rsidR="00291796" w:rsidRPr="00AD50B7">
        <w:rPr>
          <w:lang w:val="fr-CA"/>
        </w:rPr>
        <w:t>i</w:t>
      </w:r>
      <w:r w:rsidR="00291796">
        <w:rPr>
          <w:lang w:val="fr-CA"/>
        </w:rPr>
        <w:t>ncidence</w:t>
      </w:r>
      <w:r w:rsidR="00291796" w:rsidRPr="00AD50B7">
        <w:rPr>
          <w:lang w:val="fr-CA"/>
        </w:rPr>
        <w:t>)</w:t>
      </w:r>
      <w:r w:rsidR="00291796">
        <w:rPr>
          <w:lang w:val="fr-CA"/>
        </w:rPr>
        <w:t xml:space="preserve">.  </w:t>
      </w:r>
      <w:r w:rsidR="00A845D8">
        <w:rPr>
          <w:lang w:val="fr-CA"/>
        </w:rPr>
        <w:t>Les allégations d</w:t>
      </w:r>
      <w:r w:rsidR="002B0C0A">
        <w:rPr>
          <w:lang w:val="fr-CA"/>
        </w:rPr>
        <w:t>’</w:t>
      </w:r>
      <w:r w:rsidR="00A845D8">
        <w:rPr>
          <w:lang w:val="fr-CA"/>
        </w:rPr>
        <w:t>atteinte aux droits ou de manquement à l</w:t>
      </w:r>
      <w:r w:rsidR="002B0C0A">
        <w:rPr>
          <w:lang w:val="fr-CA"/>
        </w:rPr>
        <w:t>’</w:t>
      </w:r>
      <w:r w:rsidR="00A845D8">
        <w:rPr>
          <w:lang w:val="fr-CA"/>
        </w:rPr>
        <w:t xml:space="preserve">obligation de consulter adéquatement le groupe </w:t>
      </w:r>
      <w:r w:rsidR="000C1F14">
        <w:rPr>
          <w:lang w:val="fr-CA"/>
        </w:rPr>
        <w:t xml:space="preserve">peuvent être évitées </w:t>
      </w:r>
      <w:r w:rsidR="00E82CF5">
        <w:rPr>
          <w:lang w:val="fr-CA"/>
        </w:rPr>
        <w:t>par</w:t>
      </w:r>
      <w:r w:rsidR="00A845D8">
        <w:rPr>
          <w:lang w:val="fr-CA"/>
        </w:rPr>
        <w:t xml:space="preserve"> </w:t>
      </w:r>
      <w:r w:rsidR="00E82CF5">
        <w:rPr>
          <w:lang w:val="fr-CA"/>
        </w:rPr>
        <w:t>l</w:t>
      </w:r>
      <w:r w:rsidR="002B0C0A">
        <w:rPr>
          <w:lang w:val="fr-CA"/>
        </w:rPr>
        <w:t>’</w:t>
      </w:r>
      <w:r w:rsidR="00A845D8">
        <w:rPr>
          <w:lang w:val="fr-CA"/>
        </w:rPr>
        <w:t>obtent</w:t>
      </w:r>
      <w:r w:rsidR="00E82CF5">
        <w:rPr>
          <w:lang w:val="fr-CA"/>
        </w:rPr>
        <w:t>ion</w:t>
      </w:r>
      <w:r w:rsidR="00A845D8">
        <w:rPr>
          <w:lang w:val="fr-CA"/>
        </w:rPr>
        <w:t xml:space="preserve"> </w:t>
      </w:r>
      <w:r w:rsidR="00E82CF5">
        <w:rPr>
          <w:lang w:val="fr-CA"/>
        </w:rPr>
        <w:t>du</w:t>
      </w:r>
      <w:r w:rsidR="00A845D8">
        <w:rPr>
          <w:lang w:val="fr-CA"/>
        </w:rPr>
        <w:t xml:space="preserve"> consentement du groupe autochtone en </w:t>
      </w:r>
      <w:r w:rsidR="000C1F14">
        <w:rPr>
          <w:lang w:val="fr-CA"/>
        </w:rPr>
        <w:t>question</w:t>
      </w:r>
      <w:r w:rsidR="00A845D8">
        <w:rPr>
          <w:lang w:val="fr-CA"/>
        </w:rPr>
        <w:t>.</w:t>
      </w:r>
      <w:r w:rsidR="00F016D7">
        <w:rPr>
          <w:lang w:val="fr-CA"/>
        </w:rPr>
        <w:t xml:space="preserve">  Ce cadre d</w:t>
      </w:r>
      <w:r w:rsidR="002B0C0A">
        <w:rPr>
          <w:lang w:val="fr-CA"/>
        </w:rPr>
        <w:t>’</w:t>
      </w:r>
      <w:r w:rsidR="00F016D7">
        <w:rPr>
          <w:lang w:val="fr-CA"/>
        </w:rPr>
        <w:t>analyse</w:t>
      </w:r>
      <w:r w:rsidR="000C1F14">
        <w:rPr>
          <w:lang w:val="fr-CA"/>
        </w:rPr>
        <w:t xml:space="preserve"> </w:t>
      </w:r>
      <w:r w:rsidR="005E6175">
        <w:rPr>
          <w:lang w:val="fr-CA"/>
        </w:rPr>
        <w:t>relatif à l</w:t>
      </w:r>
      <w:r w:rsidR="002B0C0A">
        <w:rPr>
          <w:lang w:val="fr-CA"/>
        </w:rPr>
        <w:t>’</w:t>
      </w:r>
      <w:r w:rsidR="005E6175">
        <w:rPr>
          <w:lang w:val="fr-CA"/>
        </w:rPr>
        <w:t>art.</w:t>
      </w:r>
      <w:r w:rsidR="000F2258">
        <w:rPr>
          <w:lang w:val="fr-CA"/>
        </w:rPr>
        <w:t xml:space="preserve"> </w:t>
      </w:r>
      <w:r w:rsidR="005E6175">
        <w:rPr>
          <w:lang w:val="fr-CA"/>
        </w:rPr>
        <w:t xml:space="preserve">35 </w:t>
      </w:r>
      <w:r w:rsidR="000C1F14">
        <w:rPr>
          <w:lang w:val="fr-CA"/>
        </w:rPr>
        <w:t>permet une conciliation rationnelle des droits ancestraux et des intérêts de tous les Canadiens.</w:t>
      </w:r>
    </w:p>
    <w:p w:rsidR="005E6175" w:rsidRDefault="005E6175" w:rsidP="008948FE">
      <w:pPr>
        <w:pStyle w:val="SCCNormalDoubleSpacing"/>
        <w:spacing w:after="480"/>
        <w:rPr>
          <w:lang w:val="fr-CA"/>
        </w:rPr>
      </w:pPr>
      <w:r>
        <w:rPr>
          <w:lang w:val="fr-CA"/>
        </w:rPr>
        <w:tab/>
        <w:t>En l</w:t>
      </w:r>
      <w:r w:rsidR="002B0C0A">
        <w:rPr>
          <w:lang w:val="fr-CA"/>
        </w:rPr>
        <w:t>’</w:t>
      </w:r>
      <w:r>
        <w:rPr>
          <w:lang w:val="fr-CA"/>
        </w:rPr>
        <w:t>espèce, le manquement allégué découle de la délivrance, par la province, de permis de coupe de bois sur les terres à compter de 1983, avant que l</w:t>
      </w:r>
      <w:r w:rsidR="002B0C0A">
        <w:rPr>
          <w:lang w:val="fr-CA"/>
        </w:rPr>
        <w:t>’</w:t>
      </w:r>
      <w:r>
        <w:rPr>
          <w:lang w:val="fr-CA"/>
        </w:rPr>
        <w:t>existence du titre soit reconnue.  Le principe de l</w:t>
      </w:r>
      <w:r w:rsidR="002B0C0A">
        <w:rPr>
          <w:lang w:val="fr-CA"/>
        </w:rPr>
        <w:t>’</w:t>
      </w:r>
      <w:r>
        <w:rPr>
          <w:lang w:val="fr-CA"/>
        </w:rPr>
        <w:t xml:space="preserve">honneur de la Couronne obligeait </w:t>
      </w:r>
      <w:r w:rsidR="00E82CF5">
        <w:rPr>
          <w:lang w:val="fr-CA"/>
        </w:rPr>
        <w:t>la province</w:t>
      </w:r>
      <w:r>
        <w:rPr>
          <w:lang w:val="fr-CA"/>
        </w:rPr>
        <w:t xml:space="preserve"> à consulter les </w:t>
      </w:r>
      <w:r w:rsidRPr="00AD50B7">
        <w:rPr>
          <w:lang w:val="fr-CA"/>
        </w:rPr>
        <w:t>Tsilhqot</w:t>
      </w:r>
      <w:r w:rsidR="002B0C0A">
        <w:rPr>
          <w:lang w:val="fr-CA"/>
        </w:rPr>
        <w:t>’</w:t>
      </w:r>
      <w:r w:rsidRPr="00AD50B7">
        <w:rPr>
          <w:lang w:val="fr-CA"/>
        </w:rPr>
        <w:t>in</w:t>
      </w:r>
      <w:r>
        <w:rPr>
          <w:lang w:val="fr-CA"/>
        </w:rPr>
        <w:t xml:space="preserve"> à propos des utilisations des terres et à trouver des accommodements à leurs intérêts.  La </w:t>
      </w:r>
      <w:r w:rsidR="00E82CF5">
        <w:rPr>
          <w:lang w:val="fr-CA"/>
        </w:rPr>
        <w:t>province</w:t>
      </w:r>
      <w:r>
        <w:rPr>
          <w:lang w:val="fr-CA"/>
        </w:rPr>
        <w:t xml:space="preserve"> n</w:t>
      </w:r>
      <w:r w:rsidR="002B0C0A">
        <w:rPr>
          <w:lang w:val="fr-CA"/>
        </w:rPr>
        <w:t>’</w:t>
      </w:r>
      <w:r>
        <w:rPr>
          <w:lang w:val="fr-CA"/>
        </w:rPr>
        <w:t>a fait ni l</w:t>
      </w:r>
      <w:r w:rsidR="002B0C0A">
        <w:rPr>
          <w:lang w:val="fr-CA"/>
        </w:rPr>
        <w:t>’</w:t>
      </w:r>
      <w:r>
        <w:rPr>
          <w:lang w:val="fr-CA"/>
        </w:rPr>
        <w:t>un ni l</w:t>
      </w:r>
      <w:r w:rsidR="002B0C0A">
        <w:rPr>
          <w:lang w:val="fr-CA"/>
        </w:rPr>
        <w:t>’</w:t>
      </w:r>
      <w:r>
        <w:rPr>
          <w:lang w:val="fr-CA"/>
        </w:rPr>
        <w:t xml:space="preserve">autre et a </w:t>
      </w:r>
      <w:r w:rsidR="00375EB0">
        <w:rPr>
          <w:lang w:val="fr-CA"/>
        </w:rPr>
        <w:t xml:space="preserve">donc </w:t>
      </w:r>
      <w:r>
        <w:rPr>
          <w:lang w:val="fr-CA"/>
        </w:rPr>
        <w:t xml:space="preserve">manqué à son obligation envers les </w:t>
      </w:r>
      <w:r w:rsidRPr="00AD50B7">
        <w:rPr>
          <w:lang w:val="fr-CA"/>
        </w:rPr>
        <w:t>Tsilhqot</w:t>
      </w:r>
      <w:r w:rsidR="002B0C0A">
        <w:rPr>
          <w:lang w:val="fr-CA"/>
        </w:rPr>
        <w:t>’</w:t>
      </w:r>
      <w:r w:rsidRPr="00AD50B7">
        <w:rPr>
          <w:lang w:val="fr-CA"/>
        </w:rPr>
        <w:t>in.</w:t>
      </w:r>
    </w:p>
    <w:p w:rsidR="005E6175" w:rsidRDefault="005E6175" w:rsidP="008948FE">
      <w:pPr>
        <w:pStyle w:val="SCCNormalDoubleSpacing"/>
        <w:spacing w:after="480"/>
        <w:rPr>
          <w:lang w:val="fr-CA"/>
        </w:rPr>
      </w:pPr>
      <w:r>
        <w:rPr>
          <w:lang w:val="fr-CA"/>
        </w:rPr>
        <w:lastRenderedPageBreak/>
        <w:tab/>
      </w:r>
      <w:r w:rsidR="0012756D">
        <w:rPr>
          <w:lang w:val="fr-CA"/>
        </w:rPr>
        <w:t>La question de l</w:t>
      </w:r>
      <w:r w:rsidR="002B0C0A">
        <w:rPr>
          <w:lang w:val="fr-CA"/>
        </w:rPr>
        <w:t>’</w:t>
      </w:r>
      <w:r w:rsidR="0012756D">
        <w:rPr>
          <w:lang w:val="fr-CA"/>
        </w:rPr>
        <w:t xml:space="preserve">application de la </w:t>
      </w:r>
      <w:r w:rsidR="0012756D" w:rsidRPr="00AD50B7">
        <w:rPr>
          <w:i/>
          <w:lang w:val="fr-CA"/>
        </w:rPr>
        <w:t>Forest Act</w:t>
      </w:r>
      <w:r w:rsidR="0012756D">
        <w:rPr>
          <w:lang w:val="fr-CA"/>
        </w:rPr>
        <w:t xml:space="preserve"> aux terres visées par un titre ancestral revêt une grande importance, et b</w:t>
      </w:r>
      <w:r>
        <w:rPr>
          <w:lang w:val="fr-CA"/>
        </w:rPr>
        <w:t>ien qu</w:t>
      </w:r>
      <w:r w:rsidR="002B0C0A">
        <w:rPr>
          <w:lang w:val="fr-CA"/>
        </w:rPr>
        <w:t>’</w:t>
      </w:r>
      <w:r>
        <w:rPr>
          <w:lang w:val="fr-CA"/>
        </w:rPr>
        <w:t>il ne soit pas nécessaire de la trancher pour les besoins du présent pourvoi, il convient de l</w:t>
      </w:r>
      <w:r w:rsidR="002B0C0A">
        <w:rPr>
          <w:lang w:val="fr-CA"/>
        </w:rPr>
        <w:t>’</w:t>
      </w:r>
      <w:r>
        <w:rPr>
          <w:lang w:val="fr-CA"/>
        </w:rPr>
        <w:t>examiner</w:t>
      </w:r>
      <w:r w:rsidRPr="00AD50B7">
        <w:rPr>
          <w:lang w:val="fr-CA"/>
        </w:rPr>
        <w:t>.</w:t>
      </w:r>
      <w:r>
        <w:rPr>
          <w:lang w:val="fr-CA"/>
        </w:rPr>
        <w:t xml:space="preserve">  </w:t>
      </w:r>
      <w:r w:rsidR="009D4D05">
        <w:rPr>
          <w:lang w:val="fr-CA"/>
        </w:rPr>
        <w:t>Comme point de départ, sous réserve des contraintes constitutionnelles qu</w:t>
      </w:r>
      <w:r w:rsidR="002B0C0A">
        <w:rPr>
          <w:lang w:val="fr-CA"/>
        </w:rPr>
        <w:t>’</w:t>
      </w:r>
      <w:r w:rsidR="009D4D05">
        <w:rPr>
          <w:lang w:val="fr-CA"/>
        </w:rPr>
        <w:t>imposent l</w:t>
      </w:r>
      <w:r w:rsidR="002B0C0A">
        <w:rPr>
          <w:lang w:val="fr-CA"/>
        </w:rPr>
        <w:t>’</w:t>
      </w:r>
      <w:r w:rsidR="009D4D05">
        <w:rPr>
          <w:lang w:val="fr-CA"/>
        </w:rPr>
        <w:t>art.</w:t>
      </w:r>
      <w:r w:rsidR="000F2258">
        <w:rPr>
          <w:lang w:val="fr-CA"/>
        </w:rPr>
        <w:t xml:space="preserve"> </w:t>
      </w:r>
      <w:r w:rsidR="009D4D05">
        <w:rPr>
          <w:lang w:val="fr-CA"/>
        </w:rPr>
        <w:t xml:space="preserve">35 de la </w:t>
      </w:r>
      <w:r w:rsidR="009D4D05" w:rsidRPr="009D4D05">
        <w:rPr>
          <w:i/>
          <w:lang w:val="fr-CA"/>
        </w:rPr>
        <w:t>Loi constitutionnelle de 1982</w:t>
      </w:r>
      <w:r w:rsidR="009D4D05">
        <w:rPr>
          <w:lang w:val="fr-CA"/>
        </w:rPr>
        <w:t xml:space="preserve"> et le partage des compétences prévu dans la </w:t>
      </w:r>
      <w:r w:rsidR="009D4D05" w:rsidRPr="009D4D05">
        <w:rPr>
          <w:i/>
          <w:lang w:val="fr-CA"/>
        </w:rPr>
        <w:t>Loi constitutionnelle de 1867</w:t>
      </w:r>
      <w:r w:rsidR="009D4D05">
        <w:rPr>
          <w:lang w:val="fr-CA"/>
        </w:rPr>
        <w:t>, les lois provinciales d</w:t>
      </w:r>
      <w:r w:rsidR="002B0C0A">
        <w:rPr>
          <w:lang w:val="fr-CA"/>
        </w:rPr>
        <w:t>’</w:t>
      </w:r>
      <w:r w:rsidR="009D4D05">
        <w:rPr>
          <w:lang w:val="fr-CA"/>
        </w:rPr>
        <w:t>application générale s</w:t>
      </w:r>
      <w:r w:rsidR="002B0C0A">
        <w:rPr>
          <w:lang w:val="fr-CA"/>
        </w:rPr>
        <w:t>’</w:t>
      </w:r>
      <w:r w:rsidR="009D4D05">
        <w:rPr>
          <w:lang w:val="fr-CA"/>
        </w:rPr>
        <w:t>appliquent aux terres détenues en vertu d</w:t>
      </w:r>
      <w:r w:rsidR="002B0C0A">
        <w:rPr>
          <w:lang w:val="fr-CA"/>
        </w:rPr>
        <w:t>’</w:t>
      </w:r>
      <w:r w:rsidR="009D4D05">
        <w:rPr>
          <w:lang w:val="fr-CA"/>
        </w:rPr>
        <w:t xml:space="preserve">un titre ancestral.  </w:t>
      </w:r>
      <w:r w:rsidR="00BE35CF">
        <w:rPr>
          <w:lang w:val="fr-CA"/>
        </w:rPr>
        <w:t>Suivant</w:t>
      </w:r>
      <w:r w:rsidR="009D4D05">
        <w:rPr>
          <w:lang w:val="fr-CA"/>
        </w:rPr>
        <w:t xml:space="preserve"> les règles d</w:t>
      </w:r>
      <w:r w:rsidR="002B0C0A">
        <w:rPr>
          <w:lang w:val="fr-CA"/>
        </w:rPr>
        <w:t>’</w:t>
      </w:r>
      <w:r w:rsidR="009D4D05">
        <w:rPr>
          <w:lang w:val="fr-CA"/>
        </w:rPr>
        <w:t xml:space="preserve">interprétation législative, la </w:t>
      </w:r>
      <w:r w:rsidR="009D4D05" w:rsidRPr="009D4D05">
        <w:rPr>
          <w:i/>
          <w:lang w:val="fr-CA"/>
        </w:rPr>
        <w:t>Forest Act</w:t>
      </w:r>
      <w:r w:rsidR="009D4D05" w:rsidRPr="00AD50B7">
        <w:rPr>
          <w:lang w:val="fr-CA"/>
        </w:rPr>
        <w:t xml:space="preserve"> </w:t>
      </w:r>
      <w:r w:rsidR="009D4D05">
        <w:rPr>
          <w:lang w:val="fr-CA"/>
        </w:rPr>
        <w:t>s</w:t>
      </w:r>
      <w:r w:rsidR="002B0C0A">
        <w:rPr>
          <w:lang w:val="fr-CA"/>
        </w:rPr>
        <w:t>’</w:t>
      </w:r>
      <w:r w:rsidR="009D4D05">
        <w:rPr>
          <w:lang w:val="fr-CA"/>
        </w:rPr>
        <w:t>appliqu</w:t>
      </w:r>
      <w:r w:rsidR="00BE35CF">
        <w:rPr>
          <w:lang w:val="fr-CA"/>
        </w:rPr>
        <w:t>ait</w:t>
      </w:r>
      <w:r w:rsidR="009D4D05">
        <w:rPr>
          <w:lang w:val="fr-CA"/>
        </w:rPr>
        <w:t xml:space="preserve">, à première vue, aux terres </w:t>
      </w:r>
      <w:r w:rsidR="00BE35CF">
        <w:rPr>
          <w:lang w:val="fr-CA"/>
        </w:rPr>
        <w:t>en question à l</w:t>
      </w:r>
      <w:r w:rsidR="002B0C0A">
        <w:rPr>
          <w:lang w:val="fr-CA"/>
        </w:rPr>
        <w:t>’</w:t>
      </w:r>
      <w:r w:rsidR="00BE35CF">
        <w:rPr>
          <w:lang w:val="fr-CA"/>
        </w:rPr>
        <w:t>époque o</w:t>
      </w:r>
      <w:r w:rsidR="00BE35CF">
        <w:rPr>
          <w:lang w:val="fr-FR"/>
        </w:rPr>
        <w:t xml:space="preserve">ù </w:t>
      </w:r>
      <w:r w:rsidR="00BE35CF">
        <w:rPr>
          <w:lang w:val="fr-CA"/>
        </w:rPr>
        <w:t>les permis ont été délivrés</w:t>
      </w:r>
      <w:r w:rsidR="009D4D05">
        <w:rPr>
          <w:lang w:val="fr-CA"/>
        </w:rPr>
        <w:t xml:space="preserve">.  </w:t>
      </w:r>
      <w:r w:rsidR="00B71F70">
        <w:rPr>
          <w:lang w:val="fr-CA"/>
        </w:rPr>
        <w:t>L</w:t>
      </w:r>
      <w:r w:rsidR="009D4D05">
        <w:rPr>
          <w:lang w:val="fr-CA"/>
        </w:rPr>
        <w:t>e législateur de la Colombie</w:t>
      </w:r>
      <w:r w:rsidR="000F2258">
        <w:rPr>
          <w:lang w:val="fr-CA"/>
        </w:rPr>
        <w:t>-</w:t>
      </w:r>
      <w:r w:rsidR="009D4D05">
        <w:rPr>
          <w:lang w:val="fr-CA"/>
        </w:rPr>
        <w:t xml:space="preserve">Britannique </w:t>
      </w:r>
      <w:r w:rsidR="0012756D">
        <w:rPr>
          <w:lang w:val="fr-CA"/>
        </w:rPr>
        <w:t xml:space="preserve">entendait clairement que les terres revendiquées demeurent des </w:t>
      </w:r>
      <w:r w:rsidR="000F2258">
        <w:rPr>
          <w:lang w:val="fr-CA"/>
        </w:rPr>
        <w:t>« </w:t>
      </w:r>
      <w:r w:rsidR="0012756D">
        <w:rPr>
          <w:lang w:val="fr-CA"/>
        </w:rPr>
        <w:t>terres publiques</w:t>
      </w:r>
      <w:r w:rsidR="000F2258">
        <w:rPr>
          <w:lang w:val="fr-CA"/>
        </w:rPr>
        <w:t> »</w:t>
      </w:r>
      <w:r w:rsidR="00B71F70">
        <w:rPr>
          <w:lang w:val="fr-CA"/>
        </w:rPr>
        <w:t xml:space="preserve"> pour les besoins de la </w:t>
      </w:r>
      <w:r w:rsidR="00B71F70" w:rsidRPr="00B71F70">
        <w:rPr>
          <w:i/>
          <w:lang w:val="fr-CA"/>
        </w:rPr>
        <w:t>Forest Act</w:t>
      </w:r>
      <w:r w:rsidR="0012756D">
        <w:rPr>
          <w:lang w:val="fr-CA"/>
        </w:rPr>
        <w:t>, du moins jusqu</w:t>
      </w:r>
      <w:r w:rsidR="002B0C0A">
        <w:rPr>
          <w:lang w:val="fr-CA"/>
        </w:rPr>
        <w:t>’</w:t>
      </w:r>
      <w:r w:rsidR="0012756D">
        <w:rPr>
          <w:lang w:val="fr-CA"/>
        </w:rPr>
        <w:t>à ce que le titre ancestral soit reconnu; c</w:t>
      </w:r>
      <w:r w:rsidR="002B0C0A">
        <w:rPr>
          <w:lang w:val="fr-CA"/>
        </w:rPr>
        <w:t>’</w:t>
      </w:r>
      <w:r w:rsidR="0012756D">
        <w:rPr>
          <w:lang w:val="fr-CA"/>
        </w:rPr>
        <w:t xml:space="preserve">est sur quoi </w:t>
      </w:r>
      <w:r w:rsidR="006851CE">
        <w:rPr>
          <w:lang w:val="fr-CA"/>
        </w:rPr>
        <w:t>la province</w:t>
      </w:r>
      <w:r w:rsidR="0012756D">
        <w:rPr>
          <w:lang w:val="fr-CA"/>
        </w:rPr>
        <w:t xml:space="preserve"> s</w:t>
      </w:r>
      <w:r w:rsidR="002B0C0A">
        <w:rPr>
          <w:lang w:val="fr-CA"/>
        </w:rPr>
        <w:t>’</w:t>
      </w:r>
      <w:r w:rsidR="0012756D">
        <w:rPr>
          <w:lang w:val="fr-CA"/>
        </w:rPr>
        <w:t>est fondé</w:t>
      </w:r>
      <w:r w:rsidR="006851CE">
        <w:rPr>
          <w:lang w:val="fr-CA"/>
        </w:rPr>
        <w:t>e</w:t>
      </w:r>
      <w:r w:rsidR="0012756D">
        <w:rPr>
          <w:lang w:val="fr-CA"/>
        </w:rPr>
        <w:t xml:space="preserve"> pour </w:t>
      </w:r>
      <w:r w:rsidR="00F358CB">
        <w:rPr>
          <w:lang w:val="fr-CA"/>
        </w:rPr>
        <w:t>accorder le permis</w:t>
      </w:r>
      <w:r w:rsidR="0012756D">
        <w:rPr>
          <w:lang w:val="fr-CA"/>
        </w:rPr>
        <w:t xml:space="preserve">. </w:t>
      </w:r>
      <w:r w:rsidR="00624CB8">
        <w:rPr>
          <w:lang w:val="fr-CA"/>
        </w:rPr>
        <w:t xml:space="preserve"> </w:t>
      </w:r>
      <w:r w:rsidR="006851CE">
        <w:rPr>
          <w:lang w:val="fr-CA"/>
        </w:rPr>
        <w:t>Cependant, maintenant que l</w:t>
      </w:r>
      <w:r w:rsidR="002B0C0A">
        <w:rPr>
          <w:lang w:val="fr-CA"/>
        </w:rPr>
        <w:t>’</w:t>
      </w:r>
      <w:r w:rsidR="006851CE">
        <w:rPr>
          <w:lang w:val="fr-CA"/>
        </w:rPr>
        <w:t xml:space="preserve">existence du titre a été établie, </w:t>
      </w:r>
      <w:r w:rsidR="00B71F70">
        <w:rPr>
          <w:lang w:val="fr-CA"/>
        </w:rPr>
        <w:t>l</w:t>
      </w:r>
      <w:r w:rsidR="006851CE">
        <w:rPr>
          <w:lang w:val="fr-CA"/>
        </w:rPr>
        <w:t xml:space="preserve">a définition de </w:t>
      </w:r>
      <w:r w:rsidR="000F2258">
        <w:rPr>
          <w:lang w:val="fr-CA"/>
        </w:rPr>
        <w:t>« </w:t>
      </w:r>
      <w:r w:rsidR="006851CE">
        <w:rPr>
          <w:lang w:val="fr-CA"/>
        </w:rPr>
        <w:t>bois des terres publiques</w:t>
      </w:r>
      <w:r w:rsidR="000F2258">
        <w:rPr>
          <w:lang w:val="fr-CA"/>
        </w:rPr>
        <w:t> »</w:t>
      </w:r>
      <w:r w:rsidR="006851CE">
        <w:rPr>
          <w:lang w:val="fr-CA"/>
        </w:rPr>
        <w:t xml:space="preserve"> ne s</w:t>
      </w:r>
      <w:r w:rsidR="002B0C0A">
        <w:rPr>
          <w:lang w:val="fr-CA"/>
        </w:rPr>
        <w:t>’</w:t>
      </w:r>
      <w:r w:rsidR="006851CE">
        <w:rPr>
          <w:lang w:val="fr-CA"/>
        </w:rPr>
        <w:t xml:space="preserve">applique plus au bois qui se trouve sur ces terres et la </w:t>
      </w:r>
      <w:r w:rsidR="006851CE" w:rsidRPr="008D5D8A">
        <w:rPr>
          <w:i/>
          <w:lang w:val="fr-CA"/>
        </w:rPr>
        <w:t>Forest Act</w:t>
      </w:r>
      <w:r w:rsidR="006851CE">
        <w:rPr>
          <w:lang w:val="fr-CA"/>
        </w:rPr>
        <w:t xml:space="preserve"> ne s</w:t>
      </w:r>
      <w:r w:rsidR="002B0C0A">
        <w:rPr>
          <w:lang w:val="fr-CA"/>
        </w:rPr>
        <w:t>’</w:t>
      </w:r>
      <w:r w:rsidR="006851CE">
        <w:rPr>
          <w:lang w:val="fr-CA"/>
        </w:rPr>
        <w:t>applique plus</w:t>
      </w:r>
      <w:r w:rsidR="00E82CF5">
        <w:rPr>
          <w:lang w:val="fr-CA"/>
        </w:rPr>
        <w:t xml:space="preserve"> à ces terres</w:t>
      </w:r>
      <w:r w:rsidR="006851CE">
        <w:rPr>
          <w:lang w:val="fr-CA"/>
        </w:rPr>
        <w:t xml:space="preserve">.  Le législateur peut toujours modifier la </w:t>
      </w:r>
      <w:r w:rsidR="006851CE" w:rsidRPr="008D5D8A">
        <w:rPr>
          <w:i/>
          <w:lang w:val="fr-CA"/>
        </w:rPr>
        <w:t>Forest Act</w:t>
      </w:r>
      <w:r w:rsidR="006851CE">
        <w:rPr>
          <w:lang w:val="fr-CA"/>
        </w:rPr>
        <w:t xml:space="preserve"> afin qu</w:t>
      </w:r>
      <w:r w:rsidR="002B0C0A">
        <w:rPr>
          <w:lang w:val="fr-CA"/>
        </w:rPr>
        <w:t>’</w:t>
      </w:r>
      <w:r w:rsidR="006851CE">
        <w:rPr>
          <w:lang w:val="fr-CA"/>
        </w:rPr>
        <w:t>elle s</w:t>
      </w:r>
      <w:r w:rsidR="002B0C0A">
        <w:rPr>
          <w:lang w:val="fr-CA"/>
        </w:rPr>
        <w:t>’</w:t>
      </w:r>
      <w:r w:rsidR="006851CE">
        <w:rPr>
          <w:lang w:val="fr-CA"/>
        </w:rPr>
        <w:t xml:space="preserve">applique </w:t>
      </w:r>
      <w:r w:rsidR="00B71F70">
        <w:rPr>
          <w:lang w:val="fr-CA"/>
        </w:rPr>
        <w:t xml:space="preserve">au territoire </w:t>
      </w:r>
      <w:r w:rsidR="006851CE">
        <w:rPr>
          <w:lang w:val="fr-CA"/>
        </w:rPr>
        <w:t>sur le</w:t>
      </w:r>
      <w:r w:rsidR="00B71F70">
        <w:rPr>
          <w:lang w:val="fr-CA"/>
        </w:rPr>
        <w:t>quel le</w:t>
      </w:r>
      <w:r w:rsidR="006851CE">
        <w:rPr>
          <w:lang w:val="fr-CA"/>
        </w:rPr>
        <w:t xml:space="preserve"> titre ancestral</w:t>
      </w:r>
      <w:r w:rsidR="00B71F70">
        <w:rPr>
          <w:lang w:val="fr-CA"/>
        </w:rPr>
        <w:t xml:space="preserve"> a été établi</w:t>
      </w:r>
      <w:r w:rsidR="006851CE">
        <w:rPr>
          <w:lang w:val="fr-CA"/>
        </w:rPr>
        <w:t>, à la condition de respecter les contraintes constitutionnelles applicables.</w:t>
      </w:r>
    </w:p>
    <w:p w:rsidR="006851CE" w:rsidRDefault="006851CE" w:rsidP="008948FE">
      <w:pPr>
        <w:pStyle w:val="SCCNormalDoubleSpacing"/>
        <w:spacing w:after="480"/>
        <w:rPr>
          <w:lang w:val="fr-CA"/>
        </w:rPr>
      </w:pPr>
      <w:r>
        <w:rPr>
          <w:lang w:val="fr-CA"/>
        </w:rPr>
        <w:tab/>
      </w:r>
      <w:r w:rsidRPr="000C0829">
        <w:rPr>
          <w:lang w:val="fr-CA"/>
        </w:rPr>
        <w:t xml:space="preserve">Cela soulève la question de savoir si </w:t>
      </w:r>
      <w:r w:rsidR="00FB6542">
        <w:rPr>
          <w:lang w:val="fr-CA"/>
        </w:rPr>
        <w:t>le cadre d</w:t>
      </w:r>
      <w:r w:rsidR="002B0C0A">
        <w:rPr>
          <w:lang w:val="fr-CA"/>
        </w:rPr>
        <w:t>’</w:t>
      </w:r>
      <w:r w:rsidR="00EF0E2C">
        <w:rPr>
          <w:lang w:val="fr-CA"/>
        </w:rPr>
        <w:t>analyse</w:t>
      </w:r>
      <w:r w:rsidR="00FB6542">
        <w:rPr>
          <w:lang w:val="fr-CA"/>
        </w:rPr>
        <w:t xml:space="preserve"> relatif à l</w:t>
      </w:r>
      <w:r w:rsidR="002B0C0A">
        <w:rPr>
          <w:lang w:val="fr-CA"/>
        </w:rPr>
        <w:t>’</w:t>
      </w:r>
      <w:r w:rsidR="00FB6542">
        <w:rPr>
          <w:lang w:val="fr-CA"/>
        </w:rPr>
        <w:t>art.</w:t>
      </w:r>
      <w:r w:rsidR="000F2258">
        <w:rPr>
          <w:lang w:val="fr-CA"/>
        </w:rPr>
        <w:t xml:space="preserve"> </w:t>
      </w:r>
      <w:r w:rsidR="00FB6542">
        <w:rPr>
          <w:lang w:val="fr-CA"/>
        </w:rPr>
        <w:t>35</w:t>
      </w:r>
      <w:r w:rsidR="00EF0E2C">
        <w:rPr>
          <w:lang w:val="fr-CA"/>
        </w:rPr>
        <w:t>,</w:t>
      </w:r>
      <w:r w:rsidR="00FB6542">
        <w:rPr>
          <w:lang w:val="fr-CA"/>
        </w:rPr>
        <w:t xml:space="preserve"> </w:t>
      </w:r>
      <w:r w:rsidR="0007275D">
        <w:rPr>
          <w:lang w:val="fr-CA"/>
        </w:rPr>
        <w:t xml:space="preserve">ou les limites à la compétence que la </w:t>
      </w:r>
      <w:r w:rsidR="0007275D" w:rsidRPr="00EF0E2C">
        <w:rPr>
          <w:i/>
          <w:lang w:val="fr-CA"/>
        </w:rPr>
        <w:t>Loi constitutionnelle de 1867</w:t>
      </w:r>
      <w:r w:rsidR="0007275D">
        <w:rPr>
          <w:lang w:val="fr-CA"/>
        </w:rPr>
        <w:t xml:space="preserve"> accorde à la province</w:t>
      </w:r>
      <w:r w:rsidR="00EF0E2C">
        <w:rPr>
          <w:lang w:val="fr-CA"/>
        </w:rPr>
        <w:t>,</w:t>
      </w:r>
      <w:r w:rsidR="0007275D">
        <w:rPr>
          <w:lang w:val="fr-CA"/>
        </w:rPr>
        <w:t xml:space="preserve"> </w:t>
      </w:r>
      <w:r>
        <w:rPr>
          <w:lang w:val="fr-CA"/>
        </w:rPr>
        <w:t>écarte</w:t>
      </w:r>
      <w:r w:rsidR="0007275D">
        <w:rPr>
          <w:lang w:val="fr-CA"/>
        </w:rPr>
        <w:t>n</w:t>
      </w:r>
      <w:r w:rsidR="00EF0E2C">
        <w:rPr>
          <w:lang w:val="fr-CA"/>
        </w:rPr>
        <w:t>t</w:t>
      </w:r>
      <w:r w:rsidRPr="000C0829">
        <w:rPr>
          <w:lang w:val="fr-CA"/>
        </w:rPr>
        <w:t xml:space="preserve"> les lois provinciales régissant l</w:t>
      </w:r>
      <w:r w:rsidR="002B0C0A">
        <w:rPr>
          <w:lang w:val="fr-CA"/>
        </w:rPr>
        <w:t>’</w:t>
      </w:r>
      <w:r w:rsidRPr="000C0829">
        <w:rPr>
          <w:lang w:val="fr-CA"/>
        </w:rPr>
        <w:t>exploitation forestière</w:t>
      </w:r>
      <w:r w:rsidR="00EF0E2C">
        <w:rPr>
          <w:lang w:val="fr-CA"/>
        </w:rPr>
        <w:t xml:space="preserve">, telle la </w:t>
      </w:r>
      <w:r w:rsidR="00EF0E2C" w:rsidRPr="008D5D8A">
        <w:rPr>
          <w:i/>
          <w:lang w:val="fr-CA"/>
        </w:rPr>
        <w:t>Forest Act</w:t>
      </w:r>
      <w:r w:rsidR="00EF0E2C">
        <w:rPr>
          <w:lang w:val="fr-CA"/>
        </w:rPr>
        <w:t>,</w:t>
      </w:r>
      <w:r w:rsidRPr="000C0829">
        <w:rPr>
          <w:lang w:val="fr-CA"/>
        </w:rPr>
        <w:t xml:space="preserve"> qui sont </w:t>
      </w:r>
      <w:r w:rsidR="00EF0E2C" w:rsidRPr="000C0829">
        <w:rPr>
          <w:lang w:val="fr-CA"/>
        </w:rPr>
        <w:t xml:space="preserve">à première vue </w:t>
      </w:r>
      <w:r w:rsidRPr="000C0829">
        <w:rPr>
          <w:lang w:val="fr-CA"/>
        </w:rPr>
        <w:t>censées s</w:t>
      </w:r>
      <w:r w:rsidR="002B0C0A">
        <w:rPr>
          <w:lang w:val="fr-CA"/>
        </w:rPr>
        <w:t>’</w:t>
      </w:r>
      <w:r w:rsidRPr="000C0829">
        <w:rPr>
          <w:lang w:val="fr-CA"/>
        </w:rPr>
        <w:t>appliquer aux terres visées par un titre ancestral</w:t>
      </w:r>
      <w:r w:rsidR="00EF0E2C">
        <w:rPr>
          <w:lang w:val="fr-CA"/>
        </w:rPr>
        <w:t xml:space="preserve">.  </w:t>
      </w:r>
      <w:r w:rsidR="00CC21EE">
        <w:rPr>
          <w:lang w:val="fr-CA"/>
        </w:rPr>
        <w:t>Aux termes de l</w:t>
      </w:r>
      <w:r w:rsidR="002B0C0A">
        <w:rPr>
          <w:lang w:val="fr-CA"/>
        </w:rPr>
        <w:t>’</w:t>
      </w:r>
      <w:r w:rsidR="00CC21EE">
        <w:rPr>
          <w:lang w:val="fr-CA"/>
        </w:rPr>
        <w:t>art.</w:t>
      </w:r>
      <w:r w:rsidR="000F2258">
        <w:rPr>
          <w:lang w:val="fr-CA"/>
        </w:rPr>
        <w:t xml:space="preserve"> </w:t>
      </w:r>
      <w:r w:rsidR="00CC21EE">
        <w:rPr>
          <w:lang w:val="fr-CA"/>
        </w:rPr>
        <w:t>35, une loi portera atteinte à un droit si la restriction est déraisonnable,</w:t>
      </w:r>
      <w:r w:rsidR="00CC21EE" w:rsidRPr="00AD50B7">
        <w:rPr>
          <w:lang w:val="fr-CA"/>
        </w:rPr>
        <w:t xml:space="preserve"> </w:t>
      </w:r>
      <w:r w:rsidR="00CC21EE">
        <w:rPr>
          <w:lang w:val="fr-CA"/>
        </w:rPr>
        <w:t>si elle est indûment rigoureuse ou</w:t>
      </w:r>
      <w:r w:rsidR="00CC21EE" w:rsidRPr="00AD50B7">
        <w:rPr>
          <w:lang w:val="fr-CA"/>
        </w:rPr>
        <w:t xml:space="preserve"> </w:t>
      </w:r>
      <w:r w:rsidR="00CC21EE">
        <w:rPr>
          <w:lang w:val="fr-CA"/>
        </w:rPr>
        <w:t>si elle refuse aux titulaires du droit le recours à leur moyen préféré de l</w:t>
      </w:r>
      <w:r w:rsidR="002B0C0A">
        <w:rPr>
          <w:lang w:val="fr-CA"/>
        </w:rPr>
        <w:t>’</w:t>
      </w:r>
      <w:r w:rsidR="00CC21EE">
        <w:rPr>
          <w:lang w:val="fr-CA"/>
        </w:rPr>
        <w:t xml:space="preserve">exercer.  Une loi de nature réglementaire de portée </w:t>
      </w:r>
      <w:r w:rsidR="00CC21EE">
        <w:rPr>
          <w:lang w:val="fr-CA"/>
        </w:rPr>
        <w:lastRenderedPageBreak/>
        <w:t>générale, par exemple une loi</w:t>
      </w:r>
      <w:r w:rsidR="00CC21EE" w:rsidRPr="00AD50B7">
        <w:rPr>
          <w:lang w:val="fr-CA"/>
        </w:rPr>
        <w:t xml:space="preserve"> </w:t>
      </w:r>
      <w:r w:rsidR="00CC21EE">
        <w:rPr>
          <w:lang w:val="fr-CA"/>
        </w:rPr>
        <w:t xml:space="preserve">visant la gestion des forêts en prévenant les infestations de ravageurs ou les feux de forêt, satisfera souvent </w:t>
      </w:r>
      <w:r w:rsidR="00E82CF5">
        <w:rPr>
          <w:lang w:val="fr-CA"/>
        </w:rPr>
        <w:t>à ce</w:t>
      </w:r>
      <w:r w:rsidR="00CC21EE">
        <w:rPr>
          <w:lang w:val="fr-CA"/>
        </w:rPr>
        <w:t xml:space="preserve"> critère et il n</w:t>
      </w:r>
      <w:r w:rsidR="002B0C0A">
        <w:rPr>
          <w:lang w:val="fr-CA"/>
        </w:rPr>
        <w:t>’</w:t>
      </w:r>
      <w:r w:rsidR="00CC21EE">
        <w:rPr>
          <w:lang w:val="fr-CA"/>
        </w:rPr>
        <w:t xml:space="preserve">en résultera aucune atteinte.  Toutefois, la délivrance de permis de coupe de bois sur des terres grevées du titre ancestral constitue un transfert direct à des tiers de </w:t>
      </w:r>
      <w:r w:rsidR="00B71F70">
        <w:rPr>
          <w:lang w:val="fr-CA"/>
        </w:rPr>
        <w:t>droits de propriété</w:t>
      </w:r>
      <w:r w:rsidR="00CC21EE">
        <w:rPr>
          <w:lang w:val="fr-CA"/>
        </w:rPr>
        <w:t xml:space="preserve"> des Autochtones et </w:t>
      </w:r>
      <w:r w:rsidR="00007025">
        <w:rPr>
          <w:lang w:val="fr-CA"/>
        </w:rPr>
        <w:t>entraîne</w:t>
      </w:r>
      <w:r w:rsidR="00CC21EE">
        <w:rPr>
          <w:lang w:val="fr-CA"/>
        </w:rPr>
        <w:t xml:space="preserve"> manifestement une diminution significative du droit de propriété du groupe autochtone assimilable à une atteinte qui doit être justifiée dans les cas où</w:t>
      </w:r>
      <w:r w:rsidR="00007025">
        <w:rPr>
          <w:lang w:val="fr-CA"/>
        </w:rPr>
        <w:t xml:space="preserve"> </w:t>
      </w:r>
      <w:r w:rsidR="00CC21EE">
        <w:rPr>
          <w:lang w:val="fr-CA"/>
        </w:rPr>
        <w:t>les Autochtones n</w:t>
      </w:r>
      <w:r w:rsidR="002B0C0A">
        <w:rPr>
          <w:lang w:val="fr-CA"/>
        </w:rPr>
        <w:t>’</w:t>
      </w:r>
      <w:r w:rsidR="00CC21EE">
        <w:rPr>
          <w:lang w:val="fr-CA"/>
        </w:rPr>
        <w:t>y ont pas consenti.</w:t>
      </w:r>
      <w:r w:rsidR="00007025">
        <w:rPr>
          <w:lang w:val="fr-CA"/>
        </w:rPr>
        <w:t xml:space="preserve">  </w:t>
      </w:r>
    </w:p>
    <w:p w:rsidR="00576225" w:rsidRDefault="00007025" w:rsidP="008948FE">
      <w:pPr>
        <w:pStyle w:val="SCCNormalDoubleSpacing"/>
        <w:spacing w:after="480"/>
        <w:rPr>
          <w:lang w:val="fr-CA"/>
        </w:rPr>
      </w:pPr>
      <w:r>
        <w:rPr>
          <w:lang w:val="fr-CA"/>
        </w:rPr>
        <w:tab/>
        <w:t xml:space="preserve">Enfin, </w:t>
      </w:r>
      <w:r w:rsidR="00D07AC3">
        <w:rPr>
          <w:lang w:val="fr-CA"/>
        </w:rPr>
        <w:t>lorsqu</w:t>
      </w:r>
      <w:r w:rsidR="002B0C0A">
        <w:rPr>
          <w:lang w:val="fr-CA"/>
        </w:rPr>
        <w:t>’</w:t>
      </w:r>
      <w:r w:rsidR="00D07AC3">
        <w:rPr>
          <w:lang w:val="fr-CA"/>
        </w:rPr>
        <w:t>il s</w:t>
      </w:r>
      <w:r w:rsidR="002B0C0A">
        <w:rPr>
          <w:lang w:val="fr-CA"/>
        </w:rPr>
        <w:t>’</w:t>
      </w:r>
      <w:r w:rsidR="00D07AC3">
        <w:rPr>
          <w:lang w:val="fr-CA"/>
        </w:rPr>
        <w:t>agit de déterminer la validité d</w:t>
      </w:r>
      <w:r w:rsidR="002B0C0A">
        <w:rPr>
          <w:lang w:val="fr-CA"/>
        </w:rPr>
        <w:t>’</w:t>
      </w:r>
      <w:r w:rsidR="00D07AC3">
        <w:rPr>
          <w:lang w:val="fr-CA"/>
        </w:rPr>
        <w:t>une atteinte</w:t>
      </w:r>
      <w:r w:rsidR="00D07AC3" w:rsidRPr="00D60583">
        <w:rPr>
          <w:lang w:val="fr-CA"/>
        </w:rPr>
        <w:t xml:space="preserve"> causée par l</w:t>
      </w:r>
      <w:r w:rsidR="002B0C0A">
        <w:rPr>
          <w:lang w:val="fr-CA"/>
        </w:rPr>
        <w:t>’</w:t>
      </w:r>
      <w:r w:rsidR="00D07AC3" w:rsidRPr="00D60583">
        <w:rPr>
          <w:lang w:val="fr-CA"/>
        </w:rPr>
        <w:t xml:space="preserve">application des lois provinciales </w:t>
      </w:r>
      <w:r w:rsidR="00643254">
        <w:rPr>
          <w:lang w:val="fr-CA"/>
        </w:rPr>
        <w:t>à des</w:t>
      </w:r>
      <w:r w:rsidR="00D07AC3">
        <w:rPr>
          <w:lang w:val="fr-CA"/>
        </w:rPr>
        <w:t xml:space="preserve"> terres visées par un titre ancestral, le cadre d</w:t>
      </w:r>
      <w:r w:rsidR="002B0C0A">
        <w:rPr>
          <w:lang w:val="fr-CA"/>
        </w:rPr>
        <w:t>’</w:t>
      </w:r>
      <w:r w:rsidR="00D07AC3">
        <w:rPr>
          <w:lang w:val="fr-CA"/>
        </w:rPr>
        <w:t>analyse relatif à l</w:t>
      </w:r>
      <w:r w:rsidR="002B0C0A">
        <w:rPr>
          <w:lang w:val="fr-CA"/>
        </w:rPr>
        <w:t>’</w:t>
      </w:r>
      <w:r w:rsidR="00D07AC3">
        <w:rPr>
          <w:lang w:val="fr-CA"/>
        </w:rPr>
        <w:t>art.</w:t>
      </w:r>
      <w:r w:rsidR="000F2258">
        <w:rPr>
          <w:lang w:val="fr-CA"/>
        </w:rPr>
        <w:t xml:space="preserve"> </w:t>
      </w:r>
      <w:r w:rsidR="00D07AC3">
        <w:rPr>
          <w:lang w:val="fr-CA"/>
        </w:rPr>
        <w:t>35 écarte la doctrine de l</w:t>
      </w:r>
      <w:r w:rsidR="002B0C0A">
        <w:rPr>
          <w:lang w:val="fr-CA"/>
        </w:rPr>
        <w:t>’</w:t>
      </w:r>
      <w:r w:rsidR="00D07AC3">
        <w:rPr>
          <w:lang w:val="fr-CA"/>
        </w:rPr>
        <w:t>exclusivité des compétences.  L</w:t>
      </w:r>
      <w:r w:rsidR="002B0C0A">
        <w:rPr>
          <w:lang w:val="fr-CA"/>
        </w:rPr>
        <w:t>’</w:t>
      </w:r>
      <w:r w:rsidR="00D07AC3">
        <w:rPr>
          <w:lang w:val="fr-CA"/>
        </w:rPr>
        <w:t>application de la doctrine de l</w:t>
      </w:r>
      <w:r w:rsidR="002B0C0A">
        <w:rPr>
          <w:lang w:val="fr-CA"/>
        </w:rPr>
        <w:t>’</w:t>
      </w:r>
      <w:r w:rsidR="00D07AC3">
        <w:rPr>
          <w:lang w:val="fr-CA"/>
        </w:rPr>
        <w:t xml:space="preserve">exclusivité des compétences et la notion que les droits ancestraux font partie du contenu essentiel du pouvoir fédéral sur les </w:t>
      </w:r>
      <w:r w:rsidR="000F2258">
        <w:rPr>
          <w:lang w:val="fr-CA"/>
        </w:rPr>
        <w:t>« </w:t>
      </w:r>
      <w:r w:rsidR="00D07AC3">
        <w:rPr>
          <w:lang w:val="fr-CA"/>
        </w:rPr>
        <w:t>Indiens</w:t>
      </w:r>
      <w:r w:rsidR="000F2258">
        <w:rPr>
          <w:lang w:val="fr-CA"/>
        </w:rPr>
        <w:t> »</w:t>
      </w:r>
      <w:r w:rsidR="00D07AC3">
        <w:rPr>
          <w:lang w:val="fr-CA"/>
        </w:rPr>
        <w:t xml:space="preserve"> prévu au par.</w:t>
      </w:r>
      <w:r w:rsidR="000F2258">
        <w:rPr>
          <w:lang w:val="fr-CA"/>
        </w:rPr>
        <w:t xml:space="preserve"> </w:t>
      </w:r>
      <w:r w:rsidR="00D07AC3">
        <w:rPr>
          <w:lang w:val="fr-CA"/>
        </w:rPr>
        <w:t xml:space="preserve">91(24) de la </w:t>
      </w:r>
      <w:r w:rsidR="00D07AC3" w:rsidRPr="00CF517E">
        <w:rPr>
          <w:i/>
          <w:lang w:val="fr-CA"/>
        </w:rPr>
        <w:t>Loi constitutionnelle de 1867</w:t>
      </w:r>
      <w:r w:rsidR="00D07AC3">
        <w:rPr>
          <w:lang w:val="fr-CA"/>
        </w:rPr>
        <w:t xml:space="preserve"> ne sont alors d</w:t>
      </w:r>
      <w:r w:rsidR="002B0C0A">
        <w:rPr>
          <w:lang w:val="fr-CA"/>
        </w:rPr>
        <w:t>’</w:t>
      </w:r>
      <w:r w:rsidR="00D07AC3">
        <w:rPr>
          <w:lang w:val="fr-CA"/>
        </w:rPr>
        <w:t>aucune utilité.  La doctrine de l</w:t>
      </w:r>
      <w:r w:rsidR="002B0C0A">
        <w:rPr>
          <w:lang w:val="fr-CA"/>
        </w:rPr>
        <w:t>’</w:t>
      </w:r>
      <w:r w:rsidR="00D07AC3">
        <w:rPr>
          <w:lang w:val="fr-CA"/>
        </w:rPr>
        <w:t>exclusivité des compétences vise à faire en sorte que les deux niveaux de gouvernement soient en mesure de fonctionner sans que l</w:t>
      </w:r>
      <w:r w:rsidR="002B0C0A">
        <w:rPr>
          <w:lang w:val="fr-CA"/>
        </w:rPr>
        <w:t>’</w:t>
      </w:r>
      <w:r w:rsidR="00D07AC3">
        <w:rPr>
          <w:lang w:val="fr-CA"/>
        </w:rPr>
        <w:t>un empiète sur le contenu essentiel des domaines de compétence exclusive de l</w:t>
      </w:r>
      <w:r w:rsidR="002B0C0A">
        <w:rPr>
          <w:lang w:val="fr-CA"/>
        </w:rPr>
        <w:t>’</w:t>
      </w:r>
      <w:r w:rsidR="00D07AC3">
        <w:rPr>
          <w:lang w:val="fr-CA"/>
        </w:rPr>
        <w:t>autre.  Cet objectif n</w:t>
      </w:r>
      <w:r w:rsidR="002B0C0A">
        <w:rPr>
          <w:lang w:val="fr-CA"/>
        </w:rPr>
        <w:t>’</w:t>
      </w:r>
      <w:r w:rsidR="00D07AC3">
        <w:rPr>
          <w:lang w:val="fr-CA"/>
        </w:rPr>
        <w:t>est pas en cause dans les affaires telles</w:t>
      </w:r>
      <w:r w:rsidR="00375EB0">
        <w:rPr>
          <w:lang w:val="fr-CA"/>
        </w:rPr>
        <w:t xml:space="preserve"> que</w:t>
      </w:r>
      <w:r w:rsidR="00D07AC3">
        <w:rPr>
          <w:lang w:val="fr-CA"/>
        </w:rPr>
        <w:t xml:space="preserve"> celle qui nous occupe.  Les droits ancestraux constituent une limite à l</w:t>
      </w:r>
      <w:r w:rsidR="002B0C0A">
        <w:rPr>
          <w:lang w:val="fr-CA"/>
        </w:rPr>
        <w:t>’</w:t>
      </w:r>
      <w:r w:rsidR="00D07AC3">
        <w:rPr>
          <w:lang w:val="fr-CA"/>
        </w:rPr>
        <w:t>exercice des compétences tant fédérales que provinciales.  Le problème dans des cas comme celui</w:t>
      </w:r>
      <w:r w:rsidR="000F2258">
        <w:rPr>
          <w:lang w:val="fr-CA"/>
        </w:rPr>
        <w:t>-</w:t>
      </w:r>
      <w:r w:rsidR="00D07AC3">
        <w:rPr>
          <w:lang w:val="fr-CA"/>
        </w:rPr>
        <w:t>ci ne résulte pas d</w:t>
      </w:r>
      <w:r w:rsidR="002B0C0A">
        <w:rPr>
          <w:lang w:val="fr-CA"/>
        </w:rPr>
        <w:t>’</w:t>
      </w:r>
      <w:r w:rsidR="00D07AC3">
        <w:rPr>
          <w:lang w:val="fr-CA"/>
        </w:rPr>
        <w:t>une confrontation entre le pouvoir des provinces et celui du gouvernement fédéral mais plutôt d</w:t>
      </w:r>
      <w:r w:rsidR="002B0C0A">
        <w:rPr>
          <w:lang w:val="fr-CA"/>
        </w:rPr>
        <w:t>’</w:t>
      </w:r>
      <w:r w:rsidR="00D07AC3">
        <w:rPr>
          <w:lang w:val="fr-CA"/>
        </w:rPr>
        <w:t>une tension entre le droit des titulaires du titre ancestral d</w:t>
      </w:r>
      <w:r w:rsidR="002B0C0A">
        <w:rPr>
          <w:lang w:val="fr-CA"/>
        </w:rPr>
        <w:t>’</w:t>
      </w:r>
      <w:r w:rsidR="00D07AC3">
        <w:rPr>
          <w:lang w:val="fr-CA"/>
        </w:rPr>
        <w:t>utiliser leurs terres comme ils l</w:t>
      </w:r>
      <w:r w:rsidR="002B0C0A">
        <w:rPr>
          <w:lang w:val="fr-CA"/>
        </w:rPr>
        <w:t>’</w:t>
      </w:r>
      <w:r w:rsidR="00D07AC3">
        <w:rPr>
          <w:lang w:val="fr-CA"/>
        </w:rPr>
        <w:t>entendent et la volonté de la province de réglementer ces terres au même titre que toutes les autres terres dans la province.</w:t>
      </w:r>
      <w:r w:rsidR="00B82E00">
        <w:rPr>
          <w:lang w:val="fr-CA"/>
        </w:rPr>
        <w:t xml:space="preserve">  La doctrine de l</w:t>
      </w:r>
      <w:r w:rsidR="002B0C0A">
        <w:rPr>
          <w:lang w:val="fr-CA"/>
        </w:rPr>
        <w:t>’</w:t>
      </w:r>
      <w:r w:rsidR="00B82E00">
        <w:rPr>
          <w:lang w:val="fr-CA"/>
        </w:rPr>
        <w:t>exclusivité des compétences —</w:t>
      </w:r>
      <w:r w:rsidR="00B82E00" w:rsidRPr="00AD50B7">
        <w:rPr>
          <w:lang w:val="fr-CA"/>
        </w:rPr>
        <w:t xml:space="preserve"> </w:t>
      </w:r>
      <w:r w:rsidR="00B82E00">
        <w:rPr>
          <w:lang w:val="fr-CA"/>
        </w:rPr>
        <w:t>fondée sur l</w:t>
      </w:r>
      <w:r w:rsidR="002B0C0A">
        <w:rPr>
          <w:lang w:val="fr-CA"/>
        </w:rPr>
        <w:t>’</w:t>
      </w:r>
      <w:r w:rsidR="00B82E00">
        <w:rPr>
          <w:lang w:val="fr-CA"/>
        </w:rPr>
        <w:t>idée que les</w:t>
      </w:r>
      <w:r w:rsidR="00B82E00" w:rsidRPr="00AD50B7">
        <w:rPr>
          <w:lang w:val="fr-CA"/>
        </w:rPr>
        <w:t xml:space="preserve"> </w:t>
      </w:r>
      <w:r w:rsidR="00B82E00">
        <w:rPr>
          <w:lang w:val="fr-CA"/>
        </w:rPr>
        <w:t xml:space="preserve">contextes réglementaires peuvent être divisés en compartiments étanches </w:t>
      </w:r>
      <w:r w:rsidR="00B82E00">
        <w:rPr>
          <w:lang w:val="fr-CA"/>
        </w:rPr>
        <w:lastRenderedPageBreak/>
        <w:t>—</w:t>
      </w:r>
      <w:r w:rsidR="00B82E00" w:rsidRPr="00AD50B7">
        <w:rPr>
          <w:lang w:val="fr-CA"/>
        </w:rPr>
        <w:t xml:space="preserve"> </w:t>
      </w:r>
      <w:r w:rsidR="00B82E00">
        <w:rPr>
          <w:lang w:val="fr-CA"/>
        </w:rPr>
        <w:t>va souvent à l</w:t>
      </w:r>
      <w:r w:rsidR="002B0C0A">
        <w:rPr>
          <w:lang w:val="fr-CA"/>
        </w:rPr>
        <w:t>’</w:t>
      </w:r>
      <w:r w:rsidR="00B82E00">
        <w:rPr>
          <w:lang w:val="fr-CA"/>
        </w:rPr>
        <w:t>encontre de la réalité moderne.  Notre société devient plus complexe, et pour être efficace, la réglementation exige de plus en plus la coopération des régimes fédér</w:t>
      </w:r>
      <w:r w:rsidR="00B71F70">
        <w:rPr>
          <w:lang w:val="fr-CA"/>
        </w:rPr>
        <w:t>al et provincial interreliés.  L</w:t>
      </w:r>
      <w:r w:rsidR="00B82E00">
        <w:rPr>
          <w:lang w:val="fr-CA"/>
        </w:rPr>
        <w:t>a doctrine de l</w:t>
      </w:r>
      <w:r w:rsidR="002B0C0A">
        <w:rPr>
          <w:lang w:val="fr-CA"/>
        </w:rPr>
        <w:t>’</w:t>
      </w:r>
      <w:r w:rsidR="00B82E00">
        <w:rPr>
          <w:lang w:val="fr-CA"/>
        </w:rPr>
        <w:t>exclusivité des compétences peut contrecarrer une telle coopération</w:t>
      </w:r>
      <w:r w:rsidR="00B82E00" w:rsidRPr="00AD50B7">
        <w:rPr>
          <w:lang w:val="fr-CA"/>
        </w:rPr>
        <w:t xml:space="preserve">. </w:t>
      </w:r>
      <w:r w:rsidR="00B82E00">
        <w:rPr>
          <w:lang w:val="fr-CA"/>
        </w:rPr>
        <w:t xml:space="preserve"> </w:t>
      </w:r>
    </w:p>
    <w:p w:rsidR="00007025" w:rsidRPr="00D07AC3" w:rsidRDefault="00576225" w:rsidP="008948FE">
      <w:pPr>
        <w:pStyle w:val="SCCNormalDoubleSpacing"/>
        <w:spacing w:after="480"/>
        <w:rPr>
          <w:lang w:val="fr-CA"/>
        </w:rPr>
      </w:pPr>
      <w:r>
        <w:rPr>
          <w:lang w:val="fr-CA"/>
        </w:rPr>
        <w:tab/>
        <w:t>En conséquence, l</w:t>
      </w:r>
      <w:r w:rsidR="00300497">
        <w:rPr>
          <w:lang w:val="fr-CA"/>
        </w:rPr>
        <w:t>a réglementation provinciale d</w:t>
      </w:r>
      <w:r w:rsidR="002B0C0A">
        <w:rPr>
          <w:lang w:val="fr-CA"/>
        </w:rPr>
        <w:t>’</w:t>
      </w:r>
      <w:r w:rsidR="00300497">
        <w:rPr>
          <w:lang w:val="fr-CA"/>
        </w:rPr>
        <w:t>application générale</w:t>
      </w:r>
      <w:r>
        <w:rPr>
          <w:lang w:val="fr-CA"/>
        </w:rPr>
        <w:t xml:space="preserve">, notamment la </w:t>
      </w:r>
      <w:r w:rsidRPr="00576225">
        <w:rPr>
          <w:i/>
          <w:lang w:val="fr-CA"/>
        </w:rPr>
        <w:t>Forest Act</w:t>
      </w:r>
      <w:r>
        <w:rPr>
          <w:lang w:val="fr-CA"/>
        </w:rPr>
        <w:t xml:space="preserve">, </w:t>
      </w:r>
      <w:r w:rsidR="00300497">
        <w:rPr>
          <w:lang w:val="fr-CA"/>
        </w:rPr>
        <w:t>s</w:t>
      </w:r>
      <w:r w:rsidR="002B0C0A">
        <w:rPr>
          <w:lang w:val="fr-CA"/>
        </w:rPr>
        <w:t>’</w:t>
      </w:r>
      <w:r w:rsidR="00300497">
        <w:rPr>
          <w:lang w:val="fr-CA"/>
        </w:rPr>
        <w:t>appliquera à l</w:t>
      </w:r>
      <w:r w:rsidR="002B0C0A">
        <w:rPr>
          <w:lang w:val="fr-CA"/>
        </w:rPr>
        <w:t>’</w:t>
      </w:r>
      <w:r w:rsidR="00300497">
        <w:rPr>
          <w:lang w:val="fr-CA"/>
        </w:rPr>
        <w:t>exercice des droits ancestraux</w:t>
      </w:r>
      <w:r>
        <w:rPr>
          <w:lang w:val="fr-CA"/>
        </w:rPr>
        <w:t xml:space="preserve"> tels</w:t>
      </w:r>
      <w:r w:rsidR="00375EB0">
        <w:rPr>
          <w:lang w:val="fr-CA"/>
        </w:rPr>
        <w:t xml:space="preserve"> que</w:t>
      </w:r>
      <w:r>
        <w:rPr>
          <w:lang w:val="fr-CA"/>
        </w:rPr>
        <w:t xml:space="preserve"> le titre ancestral sur des terres</w:t>
      </w:r>
      <w:r w:rsidR="00300497">
        <w:rPr>
          <w:lang w:val="fr-CA"/>
        </w:rPr>
        <w:t xml:space="preserve">, sous réserve </w:t>
      </w:r>
      <w:r w:rsidR="00E82CF5">
        <w:rPr>
          <w:lang w:val="fr-CA"/>
        </w:rPr>
        <w:t>de l</w:t>
      </w:r>
      <w:r w:rsidR="002B0C0A">
        <w:rPr>
          <w:lang w:val="fr-CA"/>
        </w:rPr>
        <w:t>’</w:t>
      </w:r>
      <w:r w:rsidR="00E82CF5">
        <w:rPr>
          <w:lang w:val="fr-CA"/>
        </w:rPr>
        <w:t xml:space="preserve">application </w:t>
      </w:r>
      <w:r w:rsidR="00300497" w:rsidRPr="00F15B05">
        <w:rPr>
          <w:lang w:val="fr-CA"/>
        </w:rPr>
        <w:t>du c</w:t>
      </w:r>
      <w:r w:rsidR="00E82CF5">
        <w:rPr>
          <w:lang w:val="fr-CA"/>
        </w:rPr>
        <w:t>adre d</w:t>
      </w:r>
      <w:r w:rsidR="002B0C0A">
        <w:rPr>
          <w:lang w:val="fr-CA"/>
        </w:rPr>
        <w:t>’</w:t>
      </w:r>
      <w:r w:rsidR="00E82CF5">
        <w:rPr>
          <w:lang w:val="fr-CA"/>
        </w:rPr>
        <w:t xml:space="preserve">analyse </w:t>
      </w:r>
      <w:r w:rsidR="000E79DB">
        <w:rPr>
          <w:lang w:val="fr-CA"/>
        </w:rPr>
        <w:t xml:space="preserve">relatif à </w:t>
      </w:r>
      <w:r w:rsidR="000E79DB" w:rsidRPr="00F15B05">
        <w:rPr>
          <w:lang w:val="fr-CA"/>
        </w:rPr>
        <w:t>l</w:t>
      </w:r>
      <w:r w:rsidR="002B0C0A">
        <w:rPr>
          <w:lang w:val="fr-CA"/>
        </w:rPr>
        <w:t>’</w:t>
      </w:r>
      <w:r w:rsidR="000E79DB">
        <w:rPr>
          <w:lang w:val="fr-CA"/>
        </w:rPr>
        <w:t>art.</w:t>
      </w:r>
      <w:r w:rsidR="000F2258">
        <w:rPr>
          <w:lang w:val="fr-CA"/>
        </w:rPr>
        <w:t xml:space="preserve"> </w:t>
      </w:r>
      <w:r w:rsidR="000E79DB" w:rsidRPr="00F15B05">
        <w:rPr>
          <w:lang w:val="fr-CA"/>
        </w:rPr>
        <w:t>35</w:t>
      </w:r>
      <w:r w:rsidR="000E79DB">
        <w:rPr>
          <w:lang w:val="fr-CA"/>
        </w:rPr>
        <w:t xml:space="preserve"> qui permet </w:t>
      </w:r>
      <w:r w:rsidR="00E82CF5">
        <w:rPr>
          <w:lang w:val="fr-CA"/>
        </w:rPr>
        <w:t>de justifi</w:t>
      </w:r>
      <w:r w:rsidR="000E79DB">
        <w:rPr>
          <w:lang w:val="fr-CA"/>
        </w:rPr>
        <w:t>er une atteinte</w:t>
      </w:r>
      <w:r w:rsidR="00300497" w:rsidRPr="00AD50B7">
        <w:rPr>
          <w:lang w:val="fr-CA"/>
        </w:rPr>
        <w:t xml:space="preserve">. </w:t>
      </w:r>
      <w:r w:rsidR="00300497">
        <w:rPr>
          <w:lang w:val="fr-CA"/>
        </w:rPr>
        <w:t xml:space="preserve"> Ce critère soigneusement conçu</w:t>
      </w:r>
      <w:r w:rsidR="00300497" w:rsidRPr="00AD50B7">
        <w:rPr>
          <w:lang w:val="fr-CA"/>
        </w:rPr>
        <w:t xml:space="preserve"> </w:t>
      </w:r>
      <w:r w:rsidR="00300497">
        <w:rPr>
          <w:lang w:val="fr-CA"/>
        </w:rPr>
        <w:t>vise à concilier la loi d</w:t>
      </w:r>
      <w:r w:rsidR="002B0C0A">
        <w:rPr>
          <w:lang w:val="fr-CA"/>
        </w:rPr>
        <w:t>’</w:t>
      </w:r>
      <w:r w:rsidR="00300497">
        <w:rPr>
          <w:lang w:val="fr-CA"/>
        </w:rPr>
        <w:t>application générale et les droits ancestraux avec la délicatesse qu</w:t>
      </w:r>
      <w:r w:rsidR="002B0C0A">
        <w:rPr>
          <w:lang w:val="fr-CA"/>
        </w:rPr>
        <w:t>’</w:t>
      </w:r>
      <w:r w:rsidR="00300497">
        <w:rPr>
          <w:lang w:val="fr-CA"/>
        </w:rPr>
        <w:t>exige l</w:t>
      </w:r>
      <w:r w:rsidR="002B0C0A">
        <w:rPr>
          <w:lang w:val="fr-CA"/>
        </w:rPr>
        <w:t>’</w:t>
      </w:r>
      <w:r w:rsidR="00300497">
        <w:rPr>
          <w:lang w:val="fr-CA"/>
        </w:rPr>
        <w:t>art.</w:t>
      </w:r>
      <w:r w:rsidR="000F2258">
        <w:rPr>
          <w:lang w:val="fr-CA"/>
        </w:rPr>
        <w:t xml:space="preserve"> </w:t>
      </w:r>
      <w:r w:rsidR="00300497">
        <w:rPr>
          <w:lang w:val="fr-CA"/>
        </w:rPr>
        <w:t xml:space="preserve">35 de la </w:t>
      </w:r>
      <w:r w:rsidR="00300497" w:rsidRPr="001968D5">
        <w:rPr>
          <w:i/>
          <w:lang w:val="fr-CA"/>
        </w:rPr>
        <w:t>Loi constitutionnelle de 1982</w:t>
      </w:r>
      <w:r w:rsidR="00300497">
        <w:rPr>
          <w:lang w:val="fr-CA"/>
        </w:rPr>
        <w:t>, et il est plus équitable e</w:t>
      </w:r>
      <w:r w:rsidR="00375EB0">
        <w:rPr>
          <w:lang w:val="fr-CA"/>
        </w:rPr>
        <w:t xml:space="preserve">t pratique du point de vue de </w:t>
      </w:r>
      <w:r w:rsidR="00100D88">
        <w:rPr>
          <w:lang w:val="fr-CA"/>
        </w:rPr>
        <w:t xml:space="preserve">la </w:t>
      </w:r>
      <w:r w:rsidR="00375EB0">
        <w:rPr>
          <w:lang w:val="fr-CA"/>
        </w:rPr>
        <w:t xml:space="preserve">politique </w:t>
      </w:r>
      <w:r w:rsidR="00100D88">
        <w:rPr>
          <w:lang w:val="fr-CA"/>
        </w:rPr>
        <w:t xml:space="preserve">générale </w:t>
      </w:r>
      <w:r w:rsidR="00300497">
        <w:rPr>
          <w:lang w:val="fr-CA"/>
        </w:rPr>
        <w:t>que l</w:t>
      </w:r>
      <w:r w:rsidR="002B0C0A">
        <w:rPr>
          <w:lang w:val="fr-CA"/>
        </w:rPr>
        <w:t>’</w:t>
      </w:r>
      <w:r w:rsidR="00300497">
        <w:rPr>
          <w:lang w:val="fr-CA"/>
        </w:rPr>
        <w:t>inapplicabilité générale</w:t>
      </w:r>
      <w:r w:rsidR="00300497" w:rsidRPr="00AD50B7">
        <w:rPr>
          <w:lang w:val="fr-CA"/>
        </w:rPr>
        <w:t xml:space="preserve"> </w:t>
      </w:r>
      <w:r w:rsidR="00300497">
        <w:rPr>
          <w:lang w:val="fr-CA"/>
        </w:rPr>
        <w:t>qu</w:t>
      </w:r>
      <w:r w:rsidR="002B0C0A">
        <w:rPr>
          <w:lang w:val="fr-CA"/>
        </w:rPr>
        <w:t>’</w:t>
      </w:r>
      <w:r w:rsidR="00300497">
        <w:rPr>
          <w:lang w:val="fr-CA"/>
        </w:rPr>
        <w:t>impose la doctrine de l</w:t>
      </w:r>
      <w:r w:rsidR="002B0C0A">
        <w:rPr>
          <w:lang w:val="fr-CA"/>
        </w:rPr>
        <w:t>’</w:t>
      </w:r>
      <w:r w:rsidR="00300497">
        <w:rPr>
          <w:lang w:val="fr-CA"/>
        </w:rPr>
        <w:t xml:space="preserve">exclusivité des compétences.  </w:t>
      </w:r>
      <w:r w:rsidR="00F71BA7">
        <w:rPr>
          <w:lang w:val="fr-CA"/>
        </w:rPr>
        <w:t xml:space="preserve">Il en résulte un équilibre qui préserve le droit ancestral tout en </w:t>
      </w:r>
      <w:r w:rsidR="000E79DB">
        <w:rPr>
          <w:lang w:val="fr-CA"/>
        </w:rPr>
        <w:t>permettant</w:t>
      </w:r>
      <w:r w:rsidR="00F71BA7">
        <w:rPr>
          <w:lang w:val="fr-CA"/>
        </w:rPr>
        <w:t xml:space="preserve"> une réglementation efficace des forêts par la province.  En l</w:t>
      </w:r>
      <w:r w:rsidR="002B0C0A">
        <w:rPr>
          <w:lang w:val="fr-CA"/>
        </w:rPr>
        <w:t>’</w:t>
      </w:r>
      <w:r w:rsidR="00F71BA7">
        <w:rPr>
          <w:lang w:val="fr-CA"/>
        </w:rPr>
        <w:t xml:space="preserve">espèce toutefois, </w:t>
      </w:r>
      <w:r w:rsidR="00F71BA7" w:rsidRPr="002E5DBB">
        <w:rPr>
          <w:lang w:val="fr-CA"/>
        </w:rPr>
        <w:t>l</w:t>
      </w:r>
      <w:r w:rsidR="00F71BA7">
        <w:rPr>
          <w:lang w:val="fr-CA"/>
        </w:rPr>
        <w:t>e projet d</w:t>
      </w:r>
      <w:r w:rsidR="002B0C0A">
        <w:rPr>
          <w:lang w:val="fr-CA"/>
        </w:rPr>
        <w:t>’</w:t>
      </w:r>
      <w:r w:rsidR="00F71BA7" w:rsidRPr="002E5DBB">
        <w:rPr>
          <w:lang w:val="fr-CA"/>
        </w:rPr>
        <w:t xml:space="preserve">aménagement du territoire </w:t>
      </w:r>
      <w:r w:rsidR="000E79DB">
        <w:rPr>
          <w:lang w:val="fr-CA"/>
        </w:rPr>
        <w:t>prévu par</w:t>
      </w:r>
      <w:r w:rsidR="00F71BA7" w:rsidRPr="002E5DBB">
        <w:rPr>
          <w:lang w:val="fr-CA"/>
        </w:rPr>
        <w:t xml:space="preserve"> la province et les autorisations d</w:t>
      </w:r>
      <w:r w:rsidR="002B0C0A">
        <w:rPr>
          <w:lang w:val="fr-CA"/>
        </w:rPr>
        <w:t>’</w:t>
      </w:r>
      <w:r w:rsidR="00F71BA7" w:rsidRPr="002E5DBB">
        <w:rPr>
          <w:lang w:val="fr-CA"/>
        </w:rPr>
        <w:t xml:space="preserve">exploitation forestière </w:t>
      </w:r>
      <w:r w:rsidR="00F71BA7">
        <w:rPr>
          <w:lang w:val="fr-CA"/>
        </w:rPr>
        <w:t>qu</w:t>
      </w:r>
      <w:r w:rsidR="002B0C0A">
        <w:rPr>
          <w:lang w:val="fr-CA"/>
        </w:rPr>
        <w:t>’</w:t>
      </w:r>
      <w:r w:rsidR="00F71BA7">
        <w:rPr>
          <w:lang w:val="fr-CA"/>
        </w:rPr>
        <w:t xml:space="preserve">elle a </w:t>
      </w:r>
      <w:r w:rsidR="00F71BA7" w:rsidRPr="002E5DBB">
        <w:rPr>
          <w:lang w:val="fr-CA"/>
        </w:rPr>
        <w:t xml:space="preserve">accordées </w:t>
      </w:r>
      <w:r w:rsidR="00F71BA7">
        <w:rPr>
          <w:lang w:val="fr-CA"/>
        </w:rPr>
        <w:t xml:space="preserve">en vertu de la </w:t>
      </w:r>
      <w:r w:rsidR="00F71BA7" w:rsidRPr="00F71BA7">
        <w:rPr>
          <w:i/>
          <w:lang w:val="fr-CA"/>
        </w:rPr>
        <w:t>Forest Act</w:t>
      </w:r>
      <w:r w:rsidR="00F71BA7">
        <w:rPr>
          <w:lang w:val="fr-CA"/>
        </w:rPr>
        <w:t xml:space="preserve"> </w:t>
      </w:r>
      <w:r w:rsidR="00F71BA7" w:rsidRPr="002E5DBB">
        <w:rPr>
          <w:lang w:val="fr-CA"/>
        </w:rPr>
        <w:t>étaient incompatibles avec les obligations qu</w:t>
      </w:r>
      <w:r w:rsidR="002B0C0A">
        <w:rPr>
          <w:lang w:val="fr-CA"/>
        </w:rPr>
        <w:t>’</w:t>
      </w:r>
      <w:r w:rsidR="00F71BA7">
        <w:rPr>
          <w:lang w:val="fr-CA"/>
        </w:rPr>
        <w:t>elle avait envers le peuple</w:t>
      </w:r>
      <w:r w:rsidR="00F71BA7" w:rsidRPr="002E5DBB">
        <w:rPr>
          <w:lang w:val="fr-CA"/>
        </w:rPr>
        <w:t xml:space="preserve"> Tsilhqot</w:t>
      </w:r>
      <w:r w:rsidR="002B0C0A">
        <w:rPr>
          <w:lang w:val="fr-CA"/>
        </w:rPr>
        <w:t>’</w:t>
      </w:r>
      <w:r w:rsidR="00F71BA7" w:rsidRPr="002E5DBB">
        <w:rPr>
          <w:lang w:val="fr-CA"/>
        </w:rPr>
        <w:t>in</w:t>
      </w:r>
      <w:r w:rsidR="00F71BA7" w:rsidRPr="00AD50B7">
        <w:rPr>
          <w:lang w:val="fr-CA"/>
        </w:rPr>
        <w:t>.</w:t>
      </w:r>
    </w:p>
    <w:p w:rsidR="004D7D95" w:rsidRPr="004D7D95" w:rsidRDefault="004D7D95" w:rsidP="008948FE">
      <w:pPr>
        <w:pStyle w:val="SCCNormalDoubleSpacing"/>
        <w:widowControl w:val="0"/>
        <w:spacing w:after="720" w:line="240" w:lineRule="auto"/>
        <w:rPr>
          <w:b/>
          <w:lang w:val="fr-CA"/>
        </w:rPr>
      </w:pPr>
      <w:r w:rsidRPr="004D7D95">
        <w:rPr>
          <w:b/>
          <w:lang w:val="fr-CA"/>
        </w:rPr>
        <w:t>Jurisprudence</w:t>
      </w:r>
    </w:p>
    <w:p w:rsidR="00AF0A08" w:rsidRPr="007D6741" w:rsidRDefault="004D7D95" w:rsidP="008948FE">
      <w:pPr>
        <w:pStyle w:val="SCCNormalDoubleSpacing"/>
        <w:widowControl w:val="0"/>
        <w:spacing w:after="480"/>
        <w:rPr>
          <w:szCs w:val="24"/>
          <w:lang w:val="fr-CA"/>
        </w:rPr>
      </w:pPr>
      <w:r w:rsidRPr="004D7D95">
        <w:rPr>
          <w:lang w:val="fr-CA"/>
        </w:rPr>
        <w:tab/>
      </w:r>
      <w:r w:rsidRPr="004D7D95">
        <w:rPr>
          <w:b/>
          <w:lang w:val="fr-CA"/>
        </w:rPr>
        <w:t xml:space="preserve">Arrêts </w:t>
      </w:r>
      <w:r w:rsidR="00536C60">
        <w:rPr>
          <w:b/>
          <w:lang w:val="fr-CA"/>
        </w:rPr>
        <w:t>appliqués</w:t>
      </w:r>
      <w:r w:rsidR="000F2258">
        <w:rPr>
          <w:b/>
          <w:lang w:val="fr-CA"/>
        </w:rPr>
        <w:t> :</w:t>
      </w:r>
      <w:r w:rsidR="00536C60" w:rsidRPr="00536C60">
        <w:rPr>
          <w:i/>
          <w:iCs/>
          <w:szCs w:val="24"/>
          <w:lang w:val="fr-CA"/>
        </w:rPr>
        <w:t xml:space="preserve"> </w:t>
      </w:r>
      <w:r w:rsidR="00536C60" w:rsidRPr="00176150">
        <w:rPr>
          <w:i/>
          <w:iCs/>
          <w:szCs w:val="24"/>
          <w:lang w:val="fr-CA"/>
        </w:rPr>
        <w:t xml:space="preserve">R. </w:t>
      </w:r>
      <w:r w:rsidR="00536C60">
        <w:rPr>
          <w:i/>
          <w:iCs/>
          <w:szCs w:val="24"/>
          <w:lang w:val="fr-CA"/>
        </w:rPr>
        <w:t>c</w:t>
      </w:r>
      <w:r w:rsidR="00536C60" w:rsidRPr="00176150">
        <w:rPr>
          <w:i/>
          <w:iCs/>
          <w:szCs w:val="24"/>
          <w:lang w:val="fr-CA"/>
        </w:rPr>
        <w:t>. Sparrow</w:t>
      </w:r>
      <w:r w:rsidR="00536C60" w:rsidRPr="00176150">
        <w:rPr>
          <w:iCs/>
          <w:szCs w:val="24"/>
          <w:lang w:val="fr-CA"/>
        </w:rPr>
        <w:t xml:space="preserve">, [1990] 1 </w:t>
      </w:r>
      <w:r w:rsidR="00536C60">
        <w:rPr>
          <w:iCs/>
          <w:szCs w:val="24"/>
          <w:lang w:val="fr-CA"/>
        </w:rPr>
        <w:t>R.C.</w:t>
      </w:r>
      <w:r w:rsidR="00536C60" w:rsidRPr="00176150">
        <w:rPr>
          <w:iCs/>
          <w:szCs w:val="24"/>
          <w:lang w:val="fr-CA"/>
        </w:rPr>
        <w:t>S. 1075</w:t>
      </w:r>
      <w:r w:rsidR="00536C60">
        <w:rPr>
          <w:szCs w:val="24"/>
          <w:lang w:val="fr-CA"/>
        </w:rPr>
        <w:t xml:space="preserve">; </w:t>
      </w:r>
      <w:r w:rsidR="00536C60" w:rsidRPr="00335C5D">
        <w:rPr>
          <w:bCs/>
          <w:i/>
          <w:iCs/>
          <w:szCs w:val="24"/>
          <w:lang w:val="fr-CA"/>
        </w:rPr>
        <w:t>Delgamuukw</w:t>
      </w:r>
      <w:r w:rsidR="00536C60" w:rsidRPr="00335C5D">
        <w:rPr>
          <w:i/>
          <w:szCs w:val="24"/>
          <w:lang w:val="fr-CA"/>
        </w:rPr>
        <w:t xml:space="preserve"> c.</w:t>
      </w:r>
      <w:r w:rsidR="00536C60">
        <w:rPr>
          <w:i/>
          <w:szCs w:val="24"/>
          <w:lang w:val="fr-CA"/>
        </w:rPr>
        <w:t xml:space="preserve"> Colombie</w:t>
      </w:r>
      <w:r w:rsidR="000F2258">
        <w:rPr>
          <w:i/>
          <w:szCs w:val="24"/>
          <w:lang w:val="fr-CA"/>
        </w:rPr>
        <w:t>-</w:t>
      </w:r>
      <w:r w:rsidR="00536C60">
        <w:rPr>
          <w:i/>
          <w:szCs w:val="24"/>
          <w:lang w:val="fr-CA"/>
        </w:rPr>
        <w:t>Britannique</w:t>
      </w:r>
      <w:r w:rsidR="00536C60" w:rsidRPr="00335C5D">
        <w:rPr>
          <w:szCs w:val="24"/>
          <w:lang w:val="fr-CA"/>
        </w:rPr>
        <w:t>, [1997] 3 R.C.S. 1010</w:t>
      </w:r>
      <w:r w:rsidR="00536C60" w:rsidRPr="00176150">
        <w:rPr>
          <w:iCs/>
          <w:szCs w:val="24"/>
          <w:lang w:val="fr-CA"/>
        </w:rPr>
        <w:t xml:space="preserve">; </w:t>
      </w:r>
      <w:r w:rsidR="00536C60">
        <w:rPr>
          <w:i/>
          <w:szCs w:val="24"/>
          <w:lang w:val="fr-CA"/>
        </w:rPr>
        <w:t>Nation haï</w:t>
      </w:r>
      <w:r w:rsidR="00536C60" w:rsidRPr="00E54FDB">
        <w:rPr>
          <w:i/>
          <w:iCs/>
          <w:szCs w:val="24"/>
          <w:lang w:val="fr-CA"/>
        </w:rPr>
        <w:t xml:space="preserve">da </w:t>
      </w:r>
      <w:r w:rsidR="00536C60">
        <w:rPr>
          <w:i/>
          <w:iCs/>
          <w:szCs w:val="24"/>
          <w:lang w:val="fr-CA"/>
        </w:rPr>
        <w:t>c. Colombie</w:t>
      </w:r>
      <w:r w:rsidR="000F2258">
        <w:rPr>
          <w:i/>
          <w:iCs/>
          <w:szCs w:val="24"/>
          <w:lang w:val="fr-CA"/>
        </w:rPr>
        <w:t>-</w:t>
      </w:r>
      <w:r w:rsidR="00536C60">
        <w:rPr>
          <w:i/>
          <w:iCs/>
          <w:szCs w:val="24"/>
          <w:lang w:val="fr-CA"/>
        </w:rPr>
        <w:t xml:space="preserve">Britannique (Ministre des </w:t>
      </w:r>
      <w:r w:rsidR="00494888">
        <w:rPr>
          <w:i/>
          <w:iCs/>
          <w:szCs w:val="24"/>
          <w:lang w:val="fr-CA"/>
        </w:rPr>
        <w:t>F</w:t>
      </w:r>
      <w:r w:rsidR="00536C60">
        <w:rPr>
          <w:i/>
          <w:iCs/>
          <w:szCs w:val="24"/>
          <w:lang w:val="fr-CA"/>
        </w:rPr>
        <w:t>orêts</w:t>
      </w:r>
      <w:r w:rsidR="00536C60" w:rsidRPr="00E54FDB">
        <w:rPr>
          <w:i/>
          <w:iCs/>
          <w:szCs w:val="24"/>
          <w:lang w:val="fr-CA"/>
        </w:rPr>
        <w:t>)</w:t>
      </w:r>
      <w:r w:rsidR="00536C60" w:rsidRPr="00E54FDB">
        <w:rPr>
          <w:iCs/>
          <w:szCs w:val="24"/>
          <w:lang w:val="fr-CA"/>
        </w:rPr>
        <w:t xml:space="preserve">, 2004 </w:t>
      </w:r>
      <w:r w:rsidR="00536C60">
        <w:rPr>
          <w:iCs/>
          <w:szCs w:val="24"/>
          <w:lang w:val="fr-CA"/>
        </w:rPr>
        <w:t>C</w:t>
      </w:r>
      <w:r w:rsidR="00536C60" w:rsidRPr="00E54FDB">
        <w:rPr>
          <w:iCs/>
          <w:szCs w:val="24"/>
          <w:lang w:val="fr-CA"/>
        </w:rPr>
        <w:t xml:space="preserve">SC 73, [2004] 3 </w:t>
      </w:r>
      <w:r w:rsidR="00536C60">
        <w:rPr>
          <w:iCs/>
          <w:szCs w:val="24"/>
          <w:lang w:val="fr-CA"/>
        </w:rPr>
        <w:t>R.C.</w:t>
      </w:r>
      <w:r w:rsidR="00536C60" w:rsidRPr="00E54FDB">
        <w:rPr>
          <w:iCs/>
          <w:szCs w:val="24"/>
          <w:lang w:val="fr-CA"/>
        </w:rPr>
        <w:t>S. 511</w:t>
      </w:r>
      <w:r w:rsidR="00536C60">
        <w:rPr>
          <w:iCs/>
          <w:szCs w:val="24"/>
          <w:lang w:val="fr-CA"/>
        </w:rPr>
        <w:t>;</w:t>
      </w:r>
      <w:r w:rsidR="00DE2DDE" w:rsidRPr="00DE2DDE">
        <w:rPr>
          <w:szCs w:val="24"/>
          <w:lang w:val="fr-CA"/>
        </w:rPr>
        <w:t xml:space="preserve"> </w:t>
      </w:r>
      <w:r w:rsidR="00DE2DDE">
        <w:rPr>
          <w:b/>
          <w:lang w:val="fr-CA"/>
        </w:rPr>
        <w:t>distinction d’avec l’arrêt</w:t>
      </w:r>
      <w:r w:rsidR="000F2258">
        <w:rPr>
          <w:b/>
          <w:lang w:val="fr-CA"/>
        </w:rPr>
        <w:t> :</w:t>
      </w:r>
      <w:r w:rsidR="00DE2DDE" w:rsidRPr="007E2777">
        <w:rPr>
          <w:szCs w:val="24"/>
          <w:lang w:val="fr-CA"/>
        </w:rPr>
        <w:t xml:space="preserve"> </w:t>
      </w:r>
      <w:r w:rsidR="00DE2DDE" w:rsidRPr="007E2777">
        <w:rPr>
          <w:i/>
          <w:szCs w:val="24"/>
          <w:lang w:val="fr-CA"/>
        </w:rPr>
        <w:t xml:space="preserve">R. </w:t>
      </w:r>
      <w:r w:rsidR="00DE2DDE">
        <w:rPr>
          <w:i/>
          <w:szCs w:val="24"/>
          <w:lang w:val="fr-CA"/>
        </w:rPr>
        <w:t>c</w:t>
      </w:r>
      <w:r w:rsidR="00DE2DDE" w:rsidRPr="007E2777">
        <w:rPr>
          <w:i/>
          <w:szCs w:val="24"/>
          <w:lang w:val="fr-CA"/>
        </w:rPr>
        <w:t>. Morris</w:t>
      </w:r>
      <w:r w:rsidR="00DE2DDE" w:rsidRPr="007E2777">
        <w:rPr>
          <w:szCs w:val="24"/>
          <w:lang w:val="fr-CA"/>
        </w:rPr>
        <w:t xml:space="preserve">, 2006 </w:t>
      </w:r>
      <w:r w:rsidR="00DE2DDE">
        <w:rPr>
          <w:szCs w:val="24"/>
          <w:lang w:val="fr-CA"/>
        </w:rPr>
        <w:t>C</w:t>
      </w:r>
      <w:r w:rsidR="00DE2DDE" w:rsidRPr="007E2777">
        <w:rPr>
          <w:szCs w:val="24"/>
          <w:lang w:val="fr-CA"/>
        </w:rPr>
        <w:t>S</w:t>
      </w:r>
      <w:r w:rsidR="00DE2DDE">
        <w:rPr>
          <w:szCs w:val="24"/>
          <w:lang w:val="fr-CA"/>
        </w:rPr>
        <w:t>C</w:t>
      </w:r>
      <w:r w:rsidR="00DE2DDE" w:rsidRPr="007E2777">
        <w:rPr>
          <w:szCs w:val="24"/>
          <w:lang w:val="fr-CA"/>
        </w:rPr>
        <w:t xml:space="preserve"> 59, [2006] 2 </w:t>
      </w:r>
      <w:r w:rsidR="00DE2DDE">
        <w:rPr>
          <w:szCs w:val="24"/>
          <w:lang w:val="fr-CA"/>
        </w:rPr>
        <w:t>R.C.</w:t>
      </w:r>
      <w:r w:rsidR="00DE2DDE" w:rsidRPr="007E2777">
        <w:rPr>
          <w:szCs w:val="24"/>
          <w:lang w:val="fr-CA"/>
        </w:rPr>
        <w:t>S. 915</w:t>
      </w:r>
      <w:r w:rsidR="00DE2DDE">
        <w:rPr>
          <w:szCs w:val="24"/>
          <w:lang w:val="fr-CA"/>
        </w:rPr>
        <w:t>;</w:t>
      </w:r>
      <w:r w:rsidR="00536C60">
        <w:rPr>
          <w:b/>
          <w:lang w:val="fr-CA"/>
        </w:rPr>
        <w:t xml:space="preserve"> arrêts </w:t>
      </w:r>
      <w:r w:rsidR="00DE2DDE">
        <w:rPr>
          <w:b/>
          <w:lang w:val="fr-CA"/>
        </w:rPr>
        <w:t>m</w:t>
      </w:r>
      <w:r w:rsidRPr="004D7D95">
        <w:rPr>
          <w:b/>
          <w:lang w:val="fr-CA"/>
        </w:rPr>
        <w:t>entionnés</w:t>
      </w:r>
      <w:r w:rsidR="000F2258">
        <w:rPr>
          <w:b/>
          <w:lang w:val="fr-CA"/>
        </w:rPr>
        <w:t> :</w:t>
      </w:r>
      <w:r w:rsidRPr="004D7D95">
        <w:rPr>
          <w:lang w:val="fr-CA"/>
        </w:rPr>
        <w:t xml:space="preserve"> </w:t>
      </w:r>
      <w:r w:rsidR="0053326D" w:rsidRPr="0053326D">
        <w:rPr>
          <w:i/>
          <w:szCs w:val="24"/>
          <w:lang w:val="fr-CA"/>
        </w:rPr>
        <w:t xml:space="preserve">Calder </w:t>
      </w:r>
      <w:r w:rsidR="0053326D">
        <w:rPr>
          <w:i/>
          <w:szCs w:val="24"/>
          <w:lang w:val="fr-CA"/>
        </w:rPr>
        <w:t>c</w:t>
      </w:r>
      <w:r w:rsidR="0053326D" w:rsidRPr="0053326D">
        <w:rPr>
          <w:i/>
          <w:szCs w:val="24"/>
          <w:lang w:val="fr-CA"/>
        </w:rPr>
        <w:t xml:space="preserve">. </w:t>
      </w:r>
      <w:r w:rsidR="0053326D">
        <w:rPr>
          <w:i/>
          <w:szCs w:val="24"/>
          <w:lang w:val="fr-CA"/>
        </w:rPr>
        <w:t>Procureur général de la Colombie</w:t>
      </w:r>
      <w:r w:rsidR="000F2258">
        <w:rPr>
          <w:i/>
          <w:szCs w:val="24"/>
          <w:lang w:val="fr-CA"/>
        </w:rPr>
        <w:t>-</w:t>
      </w:r>
      <w:r w:rsidR="0053326D">
        <w:rPr>
          <w:i/>
          <w:szCs w:val="24"/>
          <w:lang w:val="fr-CA"/>
        </w:rPr>
        <w:t>Britannique</w:t>
      </w:r>
      <w:r w:rsidR="0053326D" w:rsidRPr="0053326D">
        <w:rPr>
          <w:szCs w:val="24"/>
          <w:lang w:val="fr-CA"/>
        </w:rPr>
        <w:t xml:space="preserve">, [1973] </w:t>
      </w:r>
      <w:r w:rsidR="0053326D">
        <w:rPr>
          <w:szCs w:val="24"/>
          <w:lang w:val="fr-CA"/>
        </w:rPr>
        <w:t>R.C.</w:t>
      </w:r>
      <w:r w:rsidR="0053326D" w:rsidRPr="0053326D">
        <w:rPr>
          <w:szCs w:val="24"/>
          <w:lang w:val="fr-CA"/>
        </w:rPr>
        <w:t>S. 313</w:t>
      </w:r>
      <w:r w:rsidR="0038183F" w:rsidRPr="003E3749">
        <w:rPr>
          <w:szCs w:val="24"/>
          <w:lang w:val="fr-CA"/>
        </w:rPr>
        <w:t xml:space="preserve">; </w:t>
      </w:r>
      <w:r w:rsidR="0038183F" w:rsidRPr="003E3749">
        <w:rPr>
          <w:i/>
          <w:iCs/>
          <w:szCs w:val="24"/>
          <w:lang w:val="fr-CA"/>
        </w:rPr>
        <w:t>Guerin</w:t>
      </w:r>
      <w:r w:rsidR="0038183F" w:rsidRPr="003E3749">
        <w:rPr>
          <w:i/>
          <w:szCs w:val="24"/>
          <w:lang w:val="fr-CA"/>
        </w:rPr>
        <w:t xml:space="preserve"> </w:t>
      </w:r>
      <w:r w:rsidR="0038183F">
        <w:rPr>
          <w:i/>
          <w:szCs w:val="24"/>
          <w:lang w:val="fr-CA"/>
        </w:rPr>
        <w:t>c</w:t>
      </w:r>
      <w:r w:rsidR="0038183F" w:rsidRPr="003E3749">
        <w:rPr>
          <w:i/>
          <w:szCs w:val="24"/>
          <w:lang w:val="fr-CA"/>
        </w:rPr>
        <w:t xml:space="preserve">. </w:t>
      </w:r>
      <w:r w:rsidR="0038183F">
        <w:rPr>
          <w:i/>
          <w:szCs w:val="24"/>
          <w:lang w:val="fr-CA"/>
        </w:rPr>
        <w:t>La Reine</w:t>
      </w:r>
      <w:r w:rsidR="0038183F" w:rsidRPr="003E3749">
        <w:rPr>
          <w:szCs w:val="24"/>
          <w:lang w:val="fr-CA"/>
        </w:rPr>
        <w:t xml:space="preserve">, [1984] 2 </w:t>
      </w:r>
      <w:r w:rsidR="0038183F">
        <w:rPr>
          <w:szCs w:val="24"/>
          <w:lang w:val="fr-CA"/>
        </w:rPr>
        <w:t>R.C.</w:t>
      </w:r>
      <w:r w:rsidR="0038183F" w:rsidRPr="003E3749">
        <w:rPr>
          <w:szCs w:val="24"/>
          <w:lang w:val="fr-CA"/>
        </w:rPr>
        <w:t>S. 335</w:t>
      </w:r>
      <w:r w:rsidR="0038183F" w:rsidRPr="00176150">
        <w:rPr>
          <w:szCs w:val="24"/>
          <w:lang w:val="fr-CA"/>
        </w:rPr>
        <w:t>;</w:t>
      </w:r>
      <w:r w:rsidR="00D23F6B" w:rsidRPr="002D5EE3">
        <w:rPr>
          <w:szCs w:val="24"/>
          <w:lang w:val="fr-CA"/>
        </w:rPr>
        <w:t xml:space="preserve"> </w:t>
      </w:r>
      <w:r w:rsidR="00D23F6B" w:rsidRPr="00176150">
        <w:rPr>
          <w:i/>
          <w:szCs w:val="24"/>
          <w:lang w:val="fr-CA"/>
        </w:rPr>
        <w:t xml:space="preserve">R. </w:t>
      </w:r>
      <w:r w:rsidR="00D23F6B">
        <w:rPr>
          <w:i/>
          <w:szCs w:val="24"/>
          <w:lang w:val="fr-CA"/>
        </w:rPr>
        <w:t>c</w:t>
      </w:r>
      <w:r w:rsidR="00D23F6B" w:rsidRPr="00176150">
        <w:rPr>
          <w:i/>
          <w:szCs w:val="24"/>
          <w:lang w:val="fr-CA"/>
        </w:rPr>
        <w:t>. Gladstone</w:t>
      </w:r>
      <w:r w:rsidR="00D23F6B" w:rsidRPr="00176150">
        <w:rPr>
          <w:szCs w:val="24"/>
          <w:lang w:val="fr-CA"/>
        </w:rPr>
        <w:t xml:space="preserve">, [1996] 2 </w:t>
      </w:r>
      <w:r w:rsidR="00D23F6B">
        <w:rPr>
          <w:szCs w:val="24"/>
          <w:lang w:val="fr-CA"/>
        </w:rPr>
        <w:t>R.C.</w:t>
      </w:r>
      <w:r w:rsidR="00D23F6B" w:rsidRPr="00176150">
        <w:rPr>
          <w:szCs w:val="24"/>
          <w:lang w:val="fr-CA"/>
        </w:rPr>
        <w:t>S. 723</w:t>
      </w:r>
      <w:r w:rsidR="0058097B" w:rsidRPr="0058097B">
        <w:rPr>
          <w:szCs w:val="24"/>
          <w:lang w:val="fr-CA"/>
        </w:rPr>
        <w:t xml:space="preserve">; </w:t>
      </w:r>
      <w:r w:rsidR="0058097B" w:rsidRPr="0058097B">
        <w:rPr>
          <w:i/>
          <w:szCs w:val="24"/>
          <w:lang w:val="fr-CA"/>
        </w:rPr>
        <w:t xml:space="preserve">Western Australia </w:t>
      </w:r>
      <w:r w:rsidR="0058097B">
        <w:rPr>
          <w:i/>
          <w:szCs w:val="24"/>
          <w:lang w:val="fr-CA"/>
        </w:rPr>
        <w:t>c</w:t>
      </w:r>
      <w:r w:rsidR="0058097B" w:rsidRPr="0058097B">
        <w:rPr>
          <w:i/>
          <w:szCs w:val="24"/>
          <w:lang w:val="fr-CA"/>
        </w:rPr>
        <w:t>. Ward</w:t>
      </w:r>
      <w:r w:rsidR="0058097B" w:rsidRPr="0058097B">
        <w:rPr>
          <w:szCs w:val="24"/>
          <w:lang w:val="fr-CA"/>
        </w:rPr>
        <w:t xml:space="preserve"> </w:t>
      </w:r>
      <w:r w:rsidR="0058097B" w:rsidRPr="0058097B">
        <w:rPr>
          <w:szCs w:val="24"/>
          <w:lang w:val="fr-CA"/>
        </w:rPr>
        <w:lastRenderedPageBreak/>
        <w:t>(2002), 213 C.L.R. 1</w:t>
      </w:r>
      <w:r w:rsidR="002D5EE3" w:rsidRPr="003D4BD2">
        <w:rPr>
          <w:szCs w:val="24"/>
          <w:lang w:val="fr-CA"/>
        </w:rPr>
        <w:t>;</w:t>
      </w:r>
      <w:r w:rsidR="002D5EE3" w:rsidRPr="00335C5D">
        <w:rPr>
          <w:szCs w:val="24"/>
          <w:lang w:val="fr-CA"/>
        </w:rPr>
        <w:t xml:space="preserve"> </w:t>
      </w:r>
      <w:r w:rsidR="002D5EE3">
        <w:rPr>
          <w:i/>
          <w:szCs w:val="24"/>
          <w:lang w:val="fr-CA"/>
        </w:rPr>
        <w:t>R. c</w:t>
      </w:r>
      <w:r w:rsidR="002D5EE3" w:rsidRPr="00335C5D">
        <w:rPr>
          <w:i/>
          <w:szCs w:val="24"/>
          <w:lang w:val="fr-CA"/>
        </w:rPr>
        <w:t>. Van der Peet</w:t>
      </w:r>
      <w:r w:rsidR="002D5EE3" w:rsidRPr="00335C5D">
        <w:rPr>
          <w:szCs w:val="24"/>
          <w:lang w:val="fr-CA"/>
        </w:rPr>
        <w:t xml:space="preserve">, [1996] 2 </w:t>
      </w:r>
      <w:r w:rsidR="002D5EE3">
        <w:rPr>
          <w:szCs w:val="24"/>
          <w:lang w:val="fr-CA"/>
        </w:rPr>
        <w:t>R.C.</w:t>
      </w:r>
      <w:r w:rsidR="002D5EE3" w:rsidRPr="00335C5D">
        <w:rPr>
          <w:szCs w:val="24"/>
          <w:lang w:val="fr-CA"/>
        </w:rPr>
        <w:t>S. 507</w:t>
      </w:r>
      <w:r w:rsidR="002D5EE3" w:rsidRPr="002D5EE3">
        <w:rPr>
          <w:szCs w:val="24"/>
          <w:lang w:val="fr-CA"/>
        </w:rPr>
        <w:t xml:space="preserve">; </w:t>
      </w:r>
      <w:r w:rsidR="002D5EE3" w:rsidRPr="002D5EE3">
        <w:rPr>
          <w:i/>
          <w:szCs w:val="24"/>
          <w:lang w:val="fr-CA"/>
        </w:rPr>
        <w:t xml:space="preserve">R. </w:t>
      </w:r>
      <w:r w:rsidR="00494888">
        <w:rPr>
          <w:i/>
          <w:szCs w:val="24"/>
          <w:lang w:val="fr-CA"/>
        </w:rPr>
        <w:t>c</w:t>
      </w:r>
      <w:r w:rsidR="002D5EE3" w:rsidRPr="002D5EE3">
        <w:rPr>
          <w:i/>
          <w:szCs w:val="24"/>
          <w:lang w:val="fr-CA"/>
        </w:rPr>
        <w:t>. Marshall</w:t>
      </w:r>
      <w:r w:rsidR="002D5EE3" w:rsidRPr="002D5EE3">
        <w:rPr>
          <w:szCs w:val="24"/>
          <w:lang w:val="fr-CA"/>
        </w:rPr>
        <w:t>, 2003 NSCA 105, 218 N.S.R. (2d) 78</w:t>
      </w:r>
      <w:r w:rsidR="00621CCA" w:rsidRPr="00621CCA">
        <w:rPr>
          <w:szCs w:val="24"/>
          <w:lang w:val="fr-CA"/>
        </w:rPr>
        <w:t xml:space="preserve">; </w:t>
      </w:r>
      <w:r w:rsidR="00621CCA" w:rsidRPr="00621CCA">
        <w:rPr>
          <w:i/>
          <w:iCs/>
          <w:szCs w:val="24"/>
          <w:lang w:val="fr-CA"/>
        </w:rPr>
        <w:t>R.</w:t>
      </w:r>
      <w:r w:rsidR="00621CCA" w:rsidRPr="00621CCA">
        <w:rPr>
          <w:i/>
          <w:szCs w:val="24"/>
          <w:lang w:val="fr-CA"/>
        </w:rPr>
        <w:t xml:space="preserve"> c. </w:t>
      </w:r>
      <w:r w:rsidR="00621CCA" w:rsidRPr="00621CCA">
        <w:rPr>
          <w:i/>
          <w:iCs/>
          <w:szCs w:val="24"/>
          <w:lang w:val="fr-CA"/>
        </w:rPr>
        <w:t>Marshall</w:t>
      </w:r>
      <w:r w:rsidR="00621CCA" w:rsidRPr="00621CCA">
        <w:rPr>
          <w:szCs w:val="24"/>
          <w:lang w:val="fr-CA"/>
        </w:rPr>
        <w:t>, 2005 CSC 43, [2005] 2 R.C.S. 220</w:t>
      </w:r>
      <w:r w:rsidR="00B22801" w:rsidRPr="00E54FDB">
        <w:rPr>
          <w:szCs w:val="24"/>
          <w:lang w:val="fr-CA"/>
        </w:rPr>
        <w:t xml:space="preserve">; </w:t>
      </w:r>
      <w:r w:rsidR="00B22801" w:rsidRPr="00236C49">
        <w:rPr>
          <w:i/>
          <w:szCs w:val="24"/>
          <w:lang w:val="fr-CA"/>
        </w:rPr>
        <w:t>Rio Tinto Alcan Inc. c. Conseil tribal Carrier Sekani</w:t>
      </w:r>
      <w:r w:rsidR="00B22801" w:rsidRPr="00236C49">
        <w:rPr>
          <w:szCs w:val="24"/>
          <w:lang w:val="fr-CA"/>
        </w:rPr>
        <w:t xml:space="preserve">, 2010 CSC 43, [2010] 2 R.C.S. 650; </w:t>
      </w:r>
      <w:r w:rsidR="002D5EE3" w:rsidRPr="002D5EE3">
        <w:rPr>
          <w:i/>
          <w:iCs/>
          <w:szCs w:val="24"/>
          <w:lang w:val="fr-CA"/>
        </w:rPr>
        <w:t>Qu</w:t>
      </w:r>
      <w:r w:rsidR="002D5EE3">
        <w:rPr>
          <w:i/>
          <w:iCs/>
          <w:szCs w:val="24"/>
          <w:lang w:val="fr-CA"/>
        </w:rPr>
        <w:t>é</w:t>
      </w:r>
      <w:r w:rsidR="002D5EE3" w:rsidRPr="002D5EE3">
        <w:rPr>
          <w:i/>
          <w:iCs/>
          <w:szCs w:val="24"/>
          <w:lang w:val="fr-CA"/>
        </w:rPr>
        <w:t>bec (</w:t>
      </w:r>
      <w:r w:rsidR="002D5EE3">
        <w:rPr>
          <w:i/>
          <w:iCs/>
          <w:szCs w:val="24"/>
          <w:lang w:val="fr-CA"/>
        </w:rPr>
        <w:t>Procureur géné</w:t>
      </w:r>
      <w:r w:rsidR="002D5EE3" w:rsidRPr="002D5EE3">
        <w:rPr>
          <w:i/>
          <w:iCs/>
          <w:szCs w:val="24"/>
          <w:lang w:val="fr-CA"/>
        </w:rPr>
        <w:t xml:space="preserve">ral) </w:t>
      </w:r>
      <w:r w:rsidR="002D5EE3">
        <w:rPr>
          <w:i/>
          <w:iCs/>
          <w:szCs w:val="24"/>
          <w:lang w:val="fr-CA"/>
        </w:rPr>
        <w:t>c</w:t>
      </w:r>
      <w:r w:rsidR="002D5EE3" w:rsidRPr="002D5EE3">
        <w:rPr>
          <w:i/>
          <w:iCs/>
          <w:szCs w:val="24"/>
          <w:lang w:val="fr-CA"/>
        </w:rPr>
        <w:t>. Canadian Owners and Pilots Association</w:t>
      </w:r>
      <w:r w:rsidR="002D5EE3" w:rsidRPr="002D5EE3">
        <w:rPr>
          <w:szCs w:val="24"/>
          <w:lang w:val="fr-CA"/>
        </w:rPr>
        <w:t>, 2010 C</w:t>
      </w:r>
      <w:r w:rsidR="00494888" w:rsidRPr="002D5EE3">
        <w:rPr>
          <w:szCs w:val="24"/>
          <w:lang w:val="fr-CA"/>
        </w:rPr>
        <w:t>S</w:t>
      </w:r>
      <w:r w:rsidR="002D5EE3" w:rsidRPr="002D5EE3">
        <w:rPr>
          <w:szCs w:val="24"/>
          <w:lang w:val="fr-CA"/>
        </w:rPr>
        <w:t>C 39</w:t>
      </w:r>
      <w:r w:rsidR="002D5EE3">
        <w:rPr>
          <w:szCs w:val="24"/>
          <w:lang w:val="fr-CA"/>
        </w:rPr>
        <w:t>, [2010] 2 R.C.S. 536</w:t>
      </w:r>
      <w:r w:rsidR="0070475F" w:rsidRPr="0070475F">
        <w:rPr>
          <w:szCs w:val="24"/>
          <w:lang w:val="fr-CA"/>
        </w:rPr>
        <w:t xml:space="preserve">; </w:t>
      </w:r>
      <w:r w:rsidR="0070475F" w:rsidRPr="0070475F">
        <w:rPr>
          <w:i/>
          <w:szCs w:val="24"/>
          <w:lang w:val="fr-CA"/>
        </w:rPr>
        <w:t xml:space="preserve">R. </w:t>
      </w:r>
      <w:r w:rsidR="0070475F">
        <w:rPr>
          <w:i/>
          <w:szCs w:val="24"/>
          <w:lang w:val="fr-CA"/>
        </w:rPr>
        <w:t>c</w:t>
      </w:r>
      <w:r w:rsidR="0070475F" w:rsidRPr="0070475F">
        <w:rPr>
          <w:i/>
          <w:szCs w:val="24"/>
          <w:lang w:val="fr-CA"/>
        </w:rPr>
        <w:t>. Marshall</w:t>
      </w:r>
      <w:r w:rsidR="0070475F" w:rsidRPr="0070475F">
        <w:rPr>
          <w:szCs w:val="24"/>
          <w:lang w:val="fr-CA"/>
        </w:rPr>
        <w:t xml:space="preserve">, [1999] 3 </w:t>
      </w:r>
      <w:r w:rsidR="0070475F">
        <w:rPr>
          <w:szCs w:val="24"/>
          <w:lang w:val="fr-CA"/>
        </w:rPr>
        <w:t>R.C.</w:t>
      </w:r>
      <w:r w:rsidR="0070475F" w:rsidRPr="0070475F">
        <w:rPr>
          <w:szCs w:val="24"/>
          <w:lang w:val="fr-CA"/>
        </w:rPr>
        <w:t>S. 533</w:t>
      </w:r>
      <w:r w:rsidR="0058097B">
        <w:rPr>
          <w:szCs w:val="24"/>
          <w:lang w:val="fr-CA"/>
        </w:rPr>
        <w:t xml:space="preserve">; </w:t>
      </w:r>
      <w:r w:rsidR="0058097B">
        <w:rPr>
          <w:i/>
          <w:szCs w:val="24"/>
          <w:lang w:val="fr-CA"/>
        </w:rPr>
        <w:t>Banque canadienne de l</w:t>
      </w:r>
      <w:r w:rsidR="002B0C0A">
        <w:rPr>
          <w:i/>
          <w:szCs w:val="24"/>
          <w:lang w:val="fr-CA"/>
        </w:rPr>
        <w:t>’</w:t>
      </w:r>
      <w:r w:rsidR="0058097B">
        <w:rPr>
          <w:i/>
          <w:szCs w:val="24"/>
          <w:lang w:val="fr-CA"/>
        </w:rPr>
        <w:t xml:space="preserve">Ouest c. </w:t>
      </w:r>
      <w:r w:rsidR="0058097B" w:rsidRPr="003D4BD2">
        <w:rPr>
          <w:i/>
          <w:szCs w:val="24"/>
          <w:lang w:val="fr-CA"/>
        </w:rPr>
        <w:t>Alberta</w:t>
      </w:r>
      <w:r w:rsidR="0058097B" w:rsidRPr="003D4BD2">
        <w:rPr>
          <w:szCs w:val="24"/>
          <w:lang w:val="fr-CA"/>
        </w:rPr>
        <w:t xml:space="preserve">, 2007 </w:t>
      </w:r>
      <w:r w:rsidR="0058097B">
        <w:rPr>
          <w:szCs w:val="24"/>
          <w:lang w:val="fr-CA"/>
        </w:rPr>
        <w:t>C</w:t>
      </w:r>
      <w:r w:rsidR="0058097B" w:rsidRPr="003D4BD2">
        <w:rPr>
          <w:szCs w:val="24"/>
          <w:lang w:val="fr-CA"/>
        </w:rPr>
        <w:t xml:space="preserve">SC 22, [2007] 2 </w:t>
      </w:r>
      <w:r w:rsidR="0058097B">
        <w:rPr>
          <w:szCs w:val="24"/>
          <w:lang w:val="fr-CA"/>
        </w:rPr>
        <w:t>R.C.</w:t>
      </w:r>
      <w:r w:rsidR="0058097B" w:rsidRPr="003D4BD2">
        <w:rPr>
          <w:szCs w:val="24"/>
          <w:lang w:val="fr-CA"/>
        </w:rPr>
        <w:t>S. 3</w:t>
      </w:r>
      <w:r w:rsidR="009E7F0F">
        <w:rPr>
          <w:szCs w:val="24"/>
          <w:lang w:val="fr-CA"/>
        </w:rPr>
        <w:t>;</w:t>
      </w:r>
      <w:r w:rsidR="009E7F0F" w:rsidRPr="00AF0A08">
        <w:rPr>
          <w:i/>
          <w:szCs w:val="24"/>
          <w:lang w:val="fr-CA"/>
        </w:rPr>
        <w:t xml:space="preserve"> Marine Services International Ltd. </w:t>
      </w:r>
      <w:r w:rsidR="009E7F0F">
        <w:rPr>
          <w:i/>
          <w:szCs w:val="24"/>
          <w:lang w:val="fr-CA"/>
        </w:rPr>
        <w:t>c</w:t>
      </w:r>
      <w:r w:rsidR="009E7F0F" w:rsidRPr="00AF0A08">
        <w:rPr>
          <w:i/>
          <w:szCs w:val="24"/>
          <w:lang w:val="fr-CA"/>
        </w:rPr>
        <w:t xml:space="preserve">. Ryan </w:t>
      </w:r>
      <w:r w:rsidR="009E7F0F">
        <w:rPr>
          <w:i/>
          <w:szCs w:val="24"/>
          <w:lang w:val="fr-CA"/>
        </w:rPr>
        <w:t>(Succession)</w:t>
      </w:r>
      <w:r w:rsidR="009E7F0F" w:rsidRPr="00AF0A08">
        <w:rPr>
          <w:szCs w:val="24"/>
          <w:lang w:val="fr-CA"/>
        </w:rPr>
        <w:t xml:space="preserve">, 2013 </w:t>
      </w:r>
      <w:r w:rsidR="009E7F0F">
        <w:rPr>
          <w:szCs w:val="24"/>
          <w:lang w:val="fr-CA"/>
        </w:rPr>
        <w:t>C</w:t>
      </w:r>
      <w:r w:rsidR="009E7F0F" w:rsidRPr="00AF0A08">
        <w:rPr>
          <w:szCs w:val="24"/>
          <w:lang w:val="fr-CA"/>
        </w:rPr>
        <w:t>SC 44</w:t>
      </w:r>
      <w:r w:rsidR="00240E57">
        <w:rPr>
          <w:szCs w:val="24"/>
          <w:lang w:val="fr-CA"/>
        </w:rPr>
        <w:t>, [2013] 3 R.C.S</w:t>
      </w:r>
      <w:r w:rsidR="009E7F0F" w:rsidRPr="009E7F0F">
        <w:rPr>
          <w:szCs w:val="24"/>
          <w:lang w:val="fr-CA"/>
        </w:rPr>
        <w:t>. 53</w:t>
      </w:r>
      <w:r w:rsidR="00680873">
        <w:rPr>
          <w:szCs w:val="24"/>
          <w:lang w:val="fr-CA"/>
        </w:rPr>
        <w:t>;</w:t>
      </w:r>
      <w:r w:rsidR="00AF0A08">
        <w:rPr>
          <w:szCs w:val="24"/>
          <w:lang w:val="fr-CA"/>
        </w:rPr>
        <w:t xml:space="preserve"> </w:t>
      </w:r>
      <w:r w:rsidR="007D6741" w:rsidRPr="007D6741">
        <w:rPr>
          <w:i/>
          <w:szCs w:val="24"/>
          <w:lang w:val="fr-CA"/>
        </w:rPr>
        <w:t>Canada (</w:t>
      </w:r>
      <w:r w:rsidR="007D6741">
        <w:rPr>
          <w:i/>
          <w:szCs w:val="24"/>
          <w:lang w:val="fr-CA"/>
        </w:rPr>
        <w:t>Procureur géné</w:t>
      </w:r>
      <w:r w:rsidR="007D6741" w:rsidRPr="007D6741">
        <w:rPr>
          <w:i/>
          <w:szCs w:val="24"/>
          <w:lang w:val="fr-CA"/>
        </w:rPr>
        <w:t xml:space="preserve">ral) </w:t>
      </w:r>
      <w:r w:rsidR="007D6741">
        <w:rPr>
          <w:i/>
          <w:szCs w:val="24"/>
          <w:lang w:val="fr-CA"/>
        </w:rPr>
        <w:t>c</w:t>
      </w:r>
      <w:r w:rsidR="007D6741" w:rsidRPr="007D6741">
        <w:rPr>
          <w:i/>
          <w:szCs w:val="24"/>
          <w:lang w:val="fr-CA"/>
        </w:rPr>
        <w:t>. PHS Community Services Society</w:t>
      </w:r>
      <w:r w:rsidR="007D6741" w:rsidRPr="007D6741">
        <w:rPr>
          <w:szCs w:val="24"/>
          <w:lang w:val="fr-CA"/>
        </w:rPr>
        <w:t xml:space="preserve">, 2011 </w:t>
      </w:r>
      <w:r w:rsidR="007D6741">
        <w:rPr>
          <w:szCs w:val="24"/>
          <w:lang w:val="fr-CA"/>
        </w:rPr>
        <w:t>C</w:t>
      </w:r>
      <w:r w:rsidR="007D6741" w:rsidRPr="007D6741">
        <w:rPr>
          <w:szCs w:val="24"/>
          <w:lang w:val="fr-CA"/>
        </w:rPr>
        <w:t xml:space="preserve">SC 44, [2011] 3 </w:t>
      </w:r>
      <w:r w:rsidR="007D6741">
        <w:rPr>
          <w:szCs w:val="24"/>
          <w:lang w:val="fr-CA"/>
        </w:rPr>
        <w:t>R.C.</w:t>
      </w:r>
      <w:r w:rsidR="007D6741" w:rsidRPr="007D6741">
        <w:rPr>
          <w:szCs w:val="24"/>
          <w:lang w:val="fr-CA"/>
        </w:rPr>
        <w:t>S. 134.</w:t>
      </w:r>
    </w:p>
    <w:p w:rsidR="004D7D95" w:rsidRPr="004D7D95" w:rsidRDefault="004D7D95" w:rsidP="00236C49">
      <w:pPr>
        <w:pStyle w:val="SCCNormalDoubleSpacing"/>
        <w:spacing w:after="720" w:line="240" w:lineRule="auto"/>
        <w:rPr>
          <w:b/>
          <w:lang w:val="fr-CA"/>
        </w:rPr>
      </w:pPr>
      <w:r w:rsidRPr="004D7D95">
        <w:rPr>
          <w:b/>
          <w:lang w:val="fr-CA"/>
        </w:rPr>
        <w:t>Lois et règlements cités</w:t>
      </w:r>
    </w:p>
    <w:p w:rsidR="00176150" w:rsidRPr="00F55FDC" w:rsidRDefault="008309E4" w:rsidP="008948FE">
      <w:pPr>
        <w:pStyle w:val="SCCNormalDoubleSpacing"/>
        <w:spacing w:after="240" w:line="240" w:lineRule="auto"/>
        <w:ind w:left="539" w:hanging="539"/>
        <w:rPr>
          <w:lang w:val="fr-CA"/>
        </w:rPr>
      </w:pPr>
      <w:r w:rsidRPr="00F55FDC">
        <w:rPr>
          <w:i/>
          <w:lang w:val="fr-CA"/>
        </w:rPr>
        <w:t>Charte canadienne des droits et libertés</w:t>
      </w:r>
      <w:r w:rsidRPr="00F55FDC">
        <w:rPr>
          <w:lang w:val="fr-CA"/>
        </w:rPr>
        <w:t xml:space="preserve">, </w:t>
      </w:r>
      <w:r w:rsidR="006F70DB">
        <w:rPr>
          <w:lang w:val="fr-CA"/>
        </w:rPr>
        <w:t>art.</w:t>
      </w:r>
      <w:r w:rsidR="000F2258">
        <w:rPr>
          <w:lang w:val="fr-CA"/>
        </w:rPr>
        <w:t xml:space="preserve"> </w:t>
      </w:r>
      <w:r w:rsidRPr="00F55FDC">
        <w:rPr>
          <w:lang w:val="fr-CA"/>
        </w:rPr>
        <w:t>1, 11.</w:t>
      </w:r>
    </w:p>
    <w:p w:rsidR="00326A83" w:rsidRPr="000F68E7" w:rsidRDefault="00326A83" w:rsidP="008948FE">
      <w:pPr>
        <w:pStyle w:val="SCCNormalDoubleSpacing"/>
        <w:spacing w:after="240" w:line="240" w:lineRule="auto"/>
        <w:ind w:left="539" w:hanging="539"/>
        <w:rPr>
          <w:lang w:val="fr-CA"/>
        </w:rPr>
      </w:pPr>
      <w:r w:rsidRPr="000F68E7">
        <w:rPr>
          <w:i/>
          <w:lang w:val="fr-CA"/>
        </w:rPr>
        <w:t>Forest Act</w:t>
      </w:r>
      <w:r w:rsidRPr="000F68E7">
        <w:rPr>
          <w:lang w:val="fr-CA"/>
        </w:rPr>
        <w:t xml:space="preserve">, R.S.B.C. 1996, </w:t>
      </w:r>
      <w:r w:rsidR="006F70DB" w:rsidRPr="000F68E7">
        <w:rPr>
          <w:lang w:val="fr-CA"/>
        </w:rPr>
        <w:t>ch.</w:t>
      </w:r>
      <w:r w:rsidR="000F2258">
        <w:rPr>
          <w:lang w:val="fr-CA"/>
        </w:rPr>
        <w:t xml:space="preserve"> </w:t>
      </w:r>
      <w:r w:rsidRPr="000F68E7">
        <w:rPr>
          <w:lang w:val="fr-CA"/>
        </w:rPr>
        <w:t>157</w:t>
      </w:r>
      <w:r w:rsidR="004714ED" w:rsidRPr="000F68E7">
        <w:rPr>
          <w:lang w:val="fr-CA"/>
        </w:rPr>
        <w:t xml:space="preserve">, </w:t>
      </w:r>
      <w:r w:rsidR="006F70DB" w:rsidRPr="000F68E7">
        <w:rPr>
          <w:lang w:val="fr-CA"/>
        </w:rPr>
        <w:t>art.</w:t>
      </w:r>
      <w:r w:rsidR="000F2258">
        <w:rPr>
          <w:lang w:val="fr-CA"/>
        </w:rPr>
        <w:t xml:space="preserve"> </w:t>
      </w:r>
      <w:r w:rsidR="004714ED" w:rsidRPr="000F68E7">
        <w:rPr>
          <w:lang w:val="fr-CA"/>
        </w:rPr>
        <w:t>1</w:t>
      </w:r>
      <w:r w:rsidR="002C5687" w:rsidRPr="000F68E7">
        <w:rPr>
          <w:lang w:val="fr-CA"/>
        </w:rPr>
        <w:t xml:space="preserve"> </w:t>
      </w:r>
      <w:r w:rsidR="000F2258">
        <w:rPr>
          <w:lang w:val="fr-CA"/>
        </w:rPr>
        <w:t>« </w:t>
      </w:r>
      <w:r w:rsidR="002C5687" w:rsidRPr="000F68E7">
        <w:rPr>
          <w:i/>
          <w:lang w:val="fr-CA"/>
        </w:rPr>
        <w:t>Crown land</w:t>
      </w:r>
      <w:r w:rsidR="000F2258">
        <w:rPr>
          <w:lang w:val="fr-CA"/>
        </w:rPr>
        <w:t> »</w:t>
      </w:r>
      <w:r w:rsidR="00AD18DD" w:rsidRPr="000F68E7">
        <w:rPr>
          <w:lang w:val="fr-CA"/>
        </w:rPr>
        <w:t xml:space="preserve"> (terres publiques)</w:t>
      </w:r>
      <w:r w:rsidR="002C5687" w:rsidRPr="000F68E7">
        <w:rPr>
          <w:lang w:val="fr-CA"/>
        </w:rPr>
        <w:t>,</w:t>
      </w:r>
      <w:r w:rsidR="004714ED" w:rsidRPr="000F68E7">
        <w:rPr>
          <w:lang w:val="fr-CA"/>
        </w:rPr>
        <w:t xml:space="preserve"> </w:t>
      </w:r>
      <w:r w:rsidR="000F2258">
        <w:rPr>
          <w:lang w:val="fr-CA"/>
        </w:rPr>
        <w:t>« </w:t>
      </w:r>
      <w:r w:rsidR="004714ED" w:rsidRPr="000F68E7">
        <w:rPr>
          <w:i/>
          <w:lang w:val="fr-CA"/>
        </w:rPr>
        <w:t>Crown timber</w:t>
      </w:r>
      <w:r w:rsidR="000F2258">
        <w:rPr>
          <w:lang w:val="fr-CA"/>
        </w:rPr>
        <w:t> »</w:t>
      </w:r>
      <w:r w:rsidR="00AD18DD" w:rsidRPr="000F68E7">
        <w:rPr>
          <w:lang w:val="fr-CA"/>
        </w:rPr>
        <w:t xml:space="preserve"> (bois des terres publiques)</w:t>
      </w:r>
      <w:r w:rsidR="002E5D9C" w:rsidRPr="000F68E7">
        <w:rPr>
          <w:lang w:val="fr-CA"/>
        </w:rPr>
        <w:t xml:space="preserve">, </w:t>
      </w:r>
      <w:r w:rsidR="000F2258">
        <w:rPr>
          <w:lang w:val="fr-CA"/>
        </w:rPr>
        <w:t>« </w:t>
      </w:r>
      <w:r w:rsidR="002E5D9C" w:rsidRPr="000F68E7">
        <w:rPr>
          <w:i/>
          <w:lang w:val="fr-CA"/>
        </w:rPr>
        <w:t>private land</w:t>
      </w:r>
      <w:r w:rsidR="000F2258">
        <w:rPr>
          <w:lang w:val="fr-CA"/>
        </w:rPr>
        <w:t> »</w:t>
      </w:r>
      <w:r w:rsidR="00AD18DD" w:rsidRPr="000F68E7">
        <w:rPr>
          <w:lang w:val="fr-CA"/>
        </w:rPr>
        <w:t xml:space="preserve"> (terres privées)</w:t>
      </w:r>
      <w:r w:rsidRPr="000F68E7">
        <w:rPr>
          <w:lang w:val="fr-CA"/>
        </w:rPr>
        <w:t>.</w:t>
      </w:r>
    </w:p>
    <w:p w:rsidR="000E6C01" w:rsidRPr="005A5A21" w:rsidRDefault="000E6C01" w:rsidP="008948FE">
      <w:pPr>
        <w:pStyle w:val="SCCNormalDoubleSpacing"/>
        <w:spacing w:after="240" w:line="240" w:lineRule="auto"/>
        <w:ind w:left="539" w:hanging="539"/>
        <w:rPr>
          <w:lang w:val="fr-CA"/>
        </w:rPr>
      </w:pPr>
      <w:r w:rsidRPr="00326A83">
        <w:rPr>
          <w:i/>
          <w:lang w:val="fr-CA"/>
        </w:rPr>
        <w:t xml:space="preserve">Loi constitutionnelle de </w:t>
      </w:r>
      <w:r w:rsidRPr="005A5A21">
        <w:rPr>
          <w:i/>
          <w:lang w:val="fr-CA"/>
        </w:rPr>
        <w:t>1867</w:t>
      </w:r>
      <w:r w:rsidRPr="005A5A21">
        <w:rPr>
          <w:lang w:val="fr-CA"/>
        </w:rPr>
        <w:t xml:space="preserve">, </w:t>
      </w:r>
      <w:r w:rsidR="006F70DB">
        <w:rPr>
          <w:lang w:val="fr-CA"/>
        </w:rPr>
        <w:t>art.</w:t>
      </w:r>
      <w:r w:rsidR="000F2258">
        <w:rPr>
          <w:lang w:val="fr-CA"/>
        </w:rPr>
        <w:t xml:space="preserve"> </w:t>
      </w:r>
      <w:r w:rsidRPr="005A5A21">
        <w:rPr>
          <w:lang w:val="fr-CA"/>
        </w:rPr>
        <w:t>91, 92, 109.</w:t>
      </w:r>
    </w:p>
    <w:p w:rsidR="000E6C01" w:rsidRPr="00326A83" w:rsidRDefault="000E6C01" w:rsidP="008948FE">
      <w:pPr>
        <w:pStyle w:val="SCCNormalDoubleSpacing"/>
        <w:spacing w:after="240" w:line="240" w:lineRule="auto"/>
        <w:ind w:left="539" w:hanging="539"/>
        <w:rPr>
          <w:lang w:val="fr-CA"/>
        </w:rPr>
      </w:pPr>
      <w:r w:rsidRPr="00326A83">
        <w:rPr>
          <w:i/>
          <w:lang w:val="fr-CA"/>
        </w:rPr>
        <w:t>Loi constitutionnelle de 1982</w:t>
      </w:r>
      <w:r w:rsidRPr="00326A83">
        <w:rPr>
          <w:lang w:val="fr-CA"/>
        </w:rPr>
        <w:t xml:space="preserve">, </w:t>
      </w:r>
      <w:r w:rsidR="000A578A">
        <w:rPr>
          <w:lang w:val="fr-CA"/>
        </w:rPr>
        <w:t>partie</w:t>
      </w:r>
      <w:r w:rsidR="000F2258">
        <w:rPr>
          <w:lang w:val="fr-CA"/>
        </w:rPr>
        <w:t xml:space="preserve"> </w:t>
      </w:r>
      <w:r w:rsidR="000A578A">
        <w:rPr>
          <w:lang w:val="fr-CA"/>
        </w:rPr>
        <w:t>I, partie</w:t>
      </w:r>
      <w:r w:rsidR="000F2258">
        <w:rPr>
          <w:lang w:val="fr-CA"/>
        </w:rPr>
        <w:t xml:space="preserve"> </w:t>
      </w:r>
      <w:r w:rsidR="00F55FDC">
        <w:rPr>
          <w:lang w:val="fr-CA"/>
        </w:rPr>
        <w:t xml:space="preserve">II, </w:t>
      </w:r>
      <w:r w:rsidR="006F70DB">
        <w:rPr>
          <w:lang w:val="fr-CA"/>
        </w:rPr>
        <w:t>art.</w:t>
      </w:r>
      <w:r w:rsidR="000F2258">
        <w:rPr>
          <w:lang w:val="fr-CA"/>
        </w:rPr>
        <w:t xml:space="preserve"> </w:t>
      </w:r>
      <w:r w:rsidRPr="00326A83">
        <w:rPr>
          <w:lang w:val="fr-CA"/>
        </w:rPr>
        <w:t>35.</w:t>
      </w:r>
    </w:p>
    <w:p w:rsidR="004C1426" w:rsidRDefault="00DC2E6C" w:rsidP="00236C49">
      <w:pPr>
        <w:pStyle w:val="SCCNormalDoubleSpacing"/>
        <w:spacing w:after="720" w:line="240" w:lineRule="auto"/>
        <w:ind w:left="540" w:hanging="540"/>
        <w:rPr>
          <w:lang w:val="fr-CA"/>
        </w:rPr>
      </w:pPr>
      <w:r w:rsidRPr="00DC2E6C">
        <w:rPr>
          <w:i/>
          <w:lang w:val="fr-CA"/>
        </w:rPr>
        <w:t>Proclamation royale</w:t>
      </w:r>
      <w:r w:rsidRPr="00DC2E6C">
        <w:rPr>
          <w:lang w:val="fr-CA"/>
        </w:rPr>
        <w:t xml:space="preserve"> (1763)</w:t>
      </w:r>
      <w:r w:rsidR="0069685D">
        <w:rPr>
          <w:lang w:val="fr-CA"/>
        </w:rPr>
        <w:t xml:space="preserve"> (</w:t>
      </w:r>
      <w:r w:rsidR="00494888">
        <w:rPr>
          <w:lang w:val="fr-CA"/>
        </w:rPr>
        <w:t>reproduite dans</w:t>
      </w:r>
      <w:r w:rsidRPr="00DC2E6C">
        <w:rPr>
          <w:lang w:val="fr-CA"/>
        </w:rPr>
        <w:t xml:space="preserve"> L.R.C. 1985, a</w:t>
      </w:r>
      <w:r w:rsidR="006F70DB">
        <w:rPr>
          <w:lang w:val="fr-CA"/>
        </w:rPr>
        <w:t>pp.</w:t>
      </w:r>
      <w:r w:rsidR="000F2258">
        <w:rPr>
          <w:lang w:val="fr-CA"/>
        </w:rPr>
        <w:t xml:space="preserve"> </w:t>
      </w:r>
      <w:r w:rsidRPr="00DC2E6C">
        <w:rPr>
          <w:lang w:val="fr-CA"/>
        </w:rPr>
        <w:t>II, n</w:t>
      </w:r>
      <w:r w:rsidRPr="00DC2E6C">
        <w:rPr>
          <w:vertAlign w:val="superscript"/>
          <w:lang w:val="fr-CA"/>
        </w:rPr>
        <w:t>o</w:t>
      </w:r>
      <w:r w:rsidR="000F2258">
        <w:rPr>
          <w:lang w:val="fr-CA"/>
        </w:rPr>
        <w:t xml:space="preserve"> </w:t>
      </w:r>
      <w:r w:rsidRPr="00DC2E6C">
        <w:rPr>
          <w:lang w:val="fr-CA"/>
        </w:rPr>
        <w:t>1</w:t>
      </w:r>
      <w:r w:rsidR="0069685D">
        <w:rPr>
          <w:lang w:val="fr-CA"/>
        </w:rPr>
        <w:t>)</w:t>
      </w:r>
      <w:r w:rsidRPr="00DC2E6C">
        <w:rPr>
          <w:lang w:val="fr-CA"/>
        </w:rPr>
        <w:t>.</w:t>
      </w:r>
    </w:p>
    <w:p w:rsidR="004D7D95" w:rsidRPr="004D7D95" w:rsidRDefault="004D7D95" w:rsidP="00236C49">
      <w:pPr>
        <w:pStyle w:val="SCCNormalDoubleSpacing"/>
        <w:spacing w:after="720" w:line="240" w:lineRule="auto"/>
        <w:rPr>
          <w:b/>
          <w:lang w:val="fr-CA"/>
        </w:rPr>
      </w:pPr>
      <w:r w:rsidRPr="004D7D95">
        <w:rPr>
          <w:b/>
          <w:lang w:val="fr-CA"/>
        </w:rPr>
        <w:t>Doctrine et autres documents cités</w:t>
      </w:r>
    </w:p>
    <w:p w:rsidR="00240E57" w:rsidRPr="00240E57" w:rsidRDefault="00240E57" w:rsidP="00240E57">
      <w:pPr>
        <w:pStyle w:val="SCCNormalDoubleSpacing"/>
      </w:pPr>
      <w:r w:rsidRPr="00240E57">
        <w:rPr>
          <w:i/>
        </w:rPr>
        <w:t>Black’s Law Dictionary</w:t>
      </w:r>
      <w:r w:rsidRPr="00240E57">
        <w:t xml:space="preserve">, 9th ed. </w:t>
      </w:r>
      <w:r>
        <w:t xml:space="preserve"> St. Paul, Minn. :  West, 2009, « </w:t>
      </w:r>
      <w:r w:rsidRPr="00240E57">
        <w:rPr>
          <w:i/>
        </w:rPr>
        <w:t>vested</w:t>
      </w:r>
      <w:r>
        <w:t> » (dévolu)</w:t>
      </w:r>
      <w:r w:rsidRPr="00240E57">
        <w:t>.</w:t>
      </w:r>
    </w:p>
    <w:p w:rsidR="0053326D" w:rsidRDefault="0053326D" w:rsidP="008948FE">
      <w:pPr>
        <w:pStyle w:val="SCCNormalDoubleSpacing"/>
        <w:spacing w:after="240" w:line="240" w:lineRule="auto"/>
        <w:ind w:left="539" w:hanging="539"/>
      </w:pPr>
      <w:r w:rsidRPr="00E47338">
        <w:t xml:space="preserve">Hogg, </w:t>
      </w:r>
      <w:r w:rsidR="000A578A">
        <w:t>Peter</w:t>
      </w:r>
      <w:r w:rsidR="000F2258">
        <w:t xml:space="preserve"> </w:t>
      </w:r>
      <w:r>
        <w:t xml:space="preserve">W.  </w:t>
      </w:r>
      <w:r w:rsidR="000F2258">
        <w:t>« </w:t>
      </w:r>
      <w:r>
        <w:t>T</w:t>
      </w:r>
      <w:r w:rsidRPr="00E47338">
        <w:t>he Constitutional Basis of Aboriginal Rights</w:t>
      </w:r>
      <w:r w:rsidR="000F2258">
        <w:t> »</w:t>
      </w:r>
      <w:r>
        <w:t>,</w:t>
      </w:r>
      <w:r w:rsidRPr="00E47338">
        <w:t xml:space="preserve"> in</w:t>
      </w:r>
      <w:r>
        <w:t xml:space="preserve"> </w:t>
      </w:r>
      <w:r w:rsidRPr="00E47338">
        <w:t>Maria Morellato</w:t>
      </w:r>
      <w:r>
        <w:t>,</w:t>
      </w:r>
      <w:r w:rsidRPr="006D0344">
        <w:t xml:space="preserve"> </w:t>
      </w:r>
      <w:r w:rsidRPr="00E47338">
        <w:t>ed.</w:t>
      </w:r>
      <w:r>
        <w:t>,</w:t>
      </w:r>
      <w:r w:rsidRPr="00E47338">
        <w:t xml:space="preserve"> </w:t>
      </w:r>
      <w:r w:rsidRPr="00E47338">
        <w:rPr>
          <w:i/>
        </w:rPr>
        <w:t xml:space="preserve">Aboriginal Law </w:t>
      </w:r>
      <w:r>
        <w:rPr>
          <w:i/>
        </w:rPr>
        <w:t>S</w:t>
      </w:r>
      <w:r w:rsidRPr="00E47338">
        <w:rPr>
          <w:i/>
        </w:rPr>
        <w:t>ince Delgamuukw</w:t>
      </w:r>
      <w:r>
        <w:t xml:space="preserve">.  </w:t>
      </w:r>
      <w:r w:rsidRPr="00E47338">
        <w:t>Aurora, O</w:t>
      </w:r>
      <w:r>
        <w:t>nt.</w:t>
      </w:r>
      <w:r w:rsidR="000F2258">
        <w:t> :</w:t>
      </w:r>
      <w:r>
        <w:t xml:space="preserve"> </w:t>
      </w:r>
      <w:r w:rsidRPr="00E47338">
        <w:t>Ca</w:t>
      </w:r>
      <w:r>
        <w:t>nada Law Book</w:t>
      </w:r>
      <w:r w:rsidRPr="00E47338">
        <w:t>, 2009</w:t>
      </w:r>
      <w:r>
        <w:t xml:space="preserve">, 3. </w:t>
      </w:r>
    </w:p>
    <w:p w:rsidR="0074480A" w:rsidRDefault="001A6E65" w:rsidP="008948FE">
      <w:pPr>
        <w:pStyle w:val="Citation-AltC"/>
        <w:spacing w:after="240"/>
        <w:ind w:left="539" w:hanging="539"/>
        <w:contextualSpacing w:val="0"/>
      </w:pPr>
      <w:r>
        <w:t xml:space="preserve">McNeil, Kent.  </w:t>
      </w:r>
      <w:r w:rsidR="000F2258">
        <w:t>« </w:t>
      </w:r>
      <w:r>
        <w:t>Aboriginal Title and the Supreme Court</w:t>
      </w:r>
      <w:r w:rsidR="000F2258">
        <w:t> :</w:t>
      </w:r>
      <w:r>
        <w:t xml:space="preserve"> What</w:t>
      </w:r>
      <w:r w:rsidR="002B0C0A">
        <w:t>’</w:t>
      </w:r>
      <w:r>
        <w:t>s Happening?</w:t>
      </w:r>
      <w:r w:rsidR="000F2258">
        <w:t> »</w:t>
      </w:r>
      <w:r>
        <w:t xml:space="preserve"> (2006), 69 </w:t>
      </w:r>
      <w:r>
        <w:rPr>
          <w:i/>
        </w:rPr>
        <w:t>Sask. L. Rev.</w:t>
      </w:r>
      <w:r>
        <w:t xml:space="preserve"> 281.</w:t>
      </w:r>
    </w:p>
    <w:p w:rsidR="00D97200" w:rsidRDefault="00D97200" w:rsidP="008948FE">
      <w:pPr>
        <w:pStyle w:val="Citation-AltC"/>
        <w:spacing w:after="240"/>
        <w:ind w:left="539" w:hanging="539"/>
        <w:contextualSpacing w:val="0"/>
      </w:pPr>
      <w:r w:rsidRPr="00311833">
        <w:t>McNeil,</w:t>
      </w:r>
      <w:r>
        <w:t xml:space="preserve"> Kent. </w:t>
      </w:r>
      <w:r w:rsidRPr="00311833">
        <w:t xml:space="preserve"> </w:t>
      </w:r>
      <w:r w:rsidRPr="00F760EE">
        <w:rPr>
          <w:i/>
        </w:rPr>
        <w:t>Common Law Aboriginal Title</w:t>
      </w:r>
      <w:r>
        <w:t xml:space="preserve">.  </w:t>
      </w:r>
      <w:r w:rsidRPr="00311833">
        <w:t>Oxford</w:t>
      </w:r>
      <w:r w:rsidR="000F2258">
        <w:t> :</w:t>
      </w:r>
      <w:r>
        <w:t xml:space="preserve"> Clarendon</w:t>
      </w:r>
      <w:r w:rsidRPr="00311833">
        <w:t xml:space="preserve"> Press, 1989</w:t>
      </w:r>
      <w:r>
        <w:t>.</w:t>
      </w:r>
    </w:p>
    <w:p w:rsidR="0074480A" w:rsidRDefault="00335C5D" w:rsidP="008948FE">
      <w:pPr>
        <w:pStyle w:val="Citation-AltC"/>
        <w:spacing w:after="240"/>
        <w:ind w:left="539" w:hanging="539"/>
        <w:contextualSpacing w:val="0"/>
      </w:pPr>
      <w:r>
        <w:t xml:space="preserve">Slattery, Brian.  </w:t>
      </w:r>
      <w:r w:rsidR="000F2258">
        <w:t>« </w:t>
      </w:r>
      <w:r>
        <w:t>Understanding Aboriginal Rights</w:t>
      </w:r>
      <w:r w:rsidR="000F2258">
        <w:t> »</w:t>
      </w:r>
      <w:r>
        <w:t xml:space="preserve"> (1987), 66 </w:t>
      </w:r>
      <w:r>
        <w:rPr>
          <w:i/>
        </w:rPr>
        <w:t>R. du B. can</w:t>
      </w:r>
      <w:r w:rsidRPr="00E44E1F">
        <w:rPr>
          <w:i/>
        </w:rPr>
        <w:t>.</w:t>
      </w:r>
      <w:r>
        <w:t xml:space="preserve"> 727</w:t>
      </w:r>
      <w:r w:rsidR="0074480A">
        <w:t>.</w:t>
      </w:r>
    </w:p>
    <w:p w:rsidR="002154B6" w:rsidRDefault="002154B6" w:rsidP="008948FE">
      <w:pPr>
        <w:pStyle w:val="Citation-AltC"/>
        <w:spacing w:after="240"/>
        <w:ind w:left="539" w:hanging="539"/>
        <w:contextualSpacing w:val="0"/>
      </w:pPr>
      <w:r>
        <w:lastRenderedPageBreak/>
        <w:t xml:space="preserve">Sullivan, Ruth.  </w:t>
      </w:r>
      <w:r w:rsidRPr="00055842">
        <w:rPr>
          <w:i/>
        </w:rPr>
        <w:t>Sullivan on the Construction of Statutes</w:t>
      </w:r>
      <w:r>
        <w:t>, 5th ed.  Markham, Ont.</w:t>
      </w:r>
      <w:r w:rsidR="000F2258">
        <w:t> :</w:t>
      </w:r>
      <w:r>
        <w:t xml:space="preserve"> LexisNexis, 2008.</w:t>
      </w:r>
    </w:p>
    <w:p w:rsidR="00B22801" w:rsidRDefault="00B22801" w:rsidP="00236C49">
      <w:pPr>
        <w:pStyle w:val="Citation-AltC"/>
        <w:ind w:left="540" w:hanging="540"/>
        <w:contextualSpacing w:val="0"/>
      </w:pPr>
      <w:r w:rsidRPr="003606BD">
        <w:t xml:space="preserve">Ziff, Bruce.  </w:t>
      </w:r>
      <w:r w:rsidRPr="003606BD">
        <w:rPr>
          <w:i/>
        </w:rPr>
        <w:t>Principles of Property Law</w:t>
      </w:r>
      <w:r w:rsidRPr="003606BD">
        <w:t>, 5th ed.  Toronto</w:t>
      </w:r>
      <w:r w:rsidR="000F2258">
        <w:t> :</w:t>
      </w:r>
      <w:r w:rsidRPr="003606BD">
        <w:t xml:space="preserve"> Carswell, 2010.</w:t>
      </w:r>
    </w:p>
    <w:p w:rsidR="004D7D95" w:rsidRPr="00922EE3" w:rsidRDefault="00BB36C3" w:rsidP="00236C49">
      <w:pPr>
        <w:pStyle w:val="SCCNormalDoubleSpacing"/>
        <w:spacing w:after="480"/>
        <w:rPr>
          <w:lang w:val="fr-CA"/>
        </w:rPr>
      </w:pPr>
      <w:r w:rsidRPr="00335C5D">
        <w:rPr>
          <w:lang w:val="en-US"/>
        </w:rPr>
        <w:tab/>
      </w:r>
      <w:r w:rsidR="004D7D95" w:rsidRPr="005A5A21">
        <w:t>POURVOI contre un arrêt de la Cour d</w:t>
      </w:r>
      <w:r w:rsidR="002B0C0A">
        <w:t>’</w:t>
      </w:r>
      <w:r w:rsidR="004D7D95" w:rsidRPr="005A5A21">
        <w:t>appel de la Colombie</w:t>
      </w:r>
      <w:r w:rsidR="000F2258">
        <w:t>-</w:t>
      </w:r>
      <w:r w:rsidR="004D7D95" w:rsidRPr="005A5A21">
        <w:t>Britannique</w:t>
      </w:r>
      <w:r w:rsidRPr="005A5A21">
        <w:t xml:space="preserve"> (les juges Levin</w:t>
      </w:r>
      <w:r w:rsidR="00ED7EBC" w:rsidRPr="005A5A21">
        <w:t>e</w:t>
      </w:r>
      <w:r w:rsidRPr="005A5A21">
        <w:t xml:space="preserve">, Tysoe et Groberman), 2012 BCCA 285, </w:t>
      </w:r>
      <w:r w:rsidR="007946F7" w:rsidRPr="005A5A21">
        <w:t xml:space="preserve">33 B.C.L.R. (5th) 260, </w:t>
      </w:r>
      <w:r w:rsidRPr="005A5A21">
        <w:t>324 B.C.A.C. 214</w:t>
      </w:r>
      <w:r w:rsidR="00B53034" w:rsidRPr="005A5A21">
        <w:t>, 551 W.A.C. 214</w:t>
      </w:r>
      <w:r w:rsidRPr="005A5A21">
        <w:t xml:space="preserve">, [2012] 3 C.N.L.R. 333, [2012] 10 W.W.R. 639, 26 R.P.R. (5th) 67, [2012] B.C.J. </w:t>
      </w:r>
      <w:r w:rsidR="006F70DB">
        <w:t>No.</w:t>
      </w:r>
      <w:r w:rsidR="000F2258">
        <w:t xml:space="preserve"> </w:t>
      </w:r>
      <w:r w:rsidRPr="005A5A21">
        <w:t xml:space="preserve">1302 (QL), 2012 CarswellBC 1860, </w:t>
      </w:r>
      <w:r w:rsidR="00B53034" w:rsidRPr="00922EE3">
        <w:t xml:space="preserve">qui a confirmé </w:t>
      </w:r>
      <w:r w:rsidR="00996D92" w:rsidRPr="00922EE3">
        <w:t>l’ordonnance</w:t>
      </w:r>
      <w:r w:rsidRPr="005A5A21">
        <w:t xml:space="preserve"> du juge Vickers, 2007 BCSC 1700, [2008] 1 C.N.L.R. 112, 65 R.P.R. (4th) 1, [2007] B.C.J. </w:t>
      </w:r>
      <w:r w:rsidR="006F70DB">
        <w:t>No.</w:t>
      </w:r>
      <w:r w:rsidR="000F2258">
        <w:t xml:space="preserve"> </w:t>
      </w:r>
      <w:r w:rsidRPr="005A5A21">
        <w:t xml:space="preserve">2465 (QL), 2007 CarswellBC 2741. </w:t>
      </w:r>
      <w:r w:rsidR="007946F7" w:rsidRPr="005A5A21">
        <w:t xml:space="preserve"> </w:t>
      </w:r>
      <w:r w:rsidRPr="00922EE3">
        <w:rPr>
          <w:lang w:val="fr-CA"/>
        </w:rPr>
        <w:t xml:space="preserve">Pourvoi </w:t>
      </w:r>
      <w:r w:rsidR="000C431F" w:rsidRPr="00922EE3">
        <w:rPr>
          <w:lang w:val="fr-CA"/>
        </w:rPr>
        <w:t>accu</w:t>
      </w:r>
      <w:r w:rsidR="00264791" w:rsidRPr="00922EE3">
        <w:rPr>
          <w:lang w:val="fr-CA"/>
        </w:rPr>
        <w:t>e</w:t>
      </w:r>
      <w:r w:rsidR="000C431F" w:rsidRPr="00922EE3">
        <w:rPr>
          <w:lang w:val="fr-CA"/>
        </w:rPr>
        <w:t>illi</w:t>
      </w:r>
      <w:r w:rsidR="007946F7" w:rsidRPr="00922EE3">
        <w:rPr>
          <w:lang w:val="fr-CA"/>
        </w:rPr>
        <w:t>.</w:t>
      </w:r>
    </w:p>
    <w:p w:rsidR="00584981" w:rsidRPr="00DC4FE0" w:rsidRDefault="00D639C0" w:rsidP="00236C49">
      <w:pPr>
        <w:pStyle w:val="SCCNormalDoubleSpacing"/>
        <w:spacing w:after="480"/>
        <w:rPr>
          <w:lang w:val="fr-CA"/>
        </w:rPr>
      </w:pPr>
      <w:r w:rsidRPr="00922EE3">
        <w:rPr>
          <w:rStyle w:val="SCCCounselNameChar"/>
          <w:lang w:val="fr-CA"/>
        </w:rPr>
        <w:tab/>
      </w:r>
      <w:r w:rsidR="00E349EE">
        <w:rPr>
          <w:rStyle w:val="SCCCounselNameChar"/>
          <w:lang w:val="fr-CA"/>
        </w:rPr>
        <w:t>David</w:t>
      </w:r>
      <w:r w:rsidR="000F2258">
        <w:rPr>
          <w:rStyle w:val="SCCCounselNameChar"/>
          <w:lang w:val="fr-CA"/>
        </w:rPr>
        <w:t xml:space="preserve"> </w:t>
      </w:r>
      <w:r w:rsidR="00954BF8" w:rsidRPr="00954BF8">
        <w:rPr>
          <w:rStyle w:val="SCCCounselNameChar"/>
          <w:lang w:val="fr-CA"/>
        </w:rPr>
        <w:t>M. Rosenberg</w:t>
      </w:r>
      <w:r w:rsidR="00954BF8" w:rsidRPr="00954BF8">
        <w:rPr>
          <w:rStyle w:val="SCCCounselNameChar"/>
          <w:i w:val="0"/>
          <w:lang w:val="fr-CA"/>
        </w:rPr>
        <w:t>,</w:t>
      </w:r>
      <w:r w:rsidR="00954BF8" w:rsidRPr="00954BF8">
        <w:rPr>
          <w:rStyle w:val="SCCCounselNameChar"/>
          <w:lang w:val="fr-CA"/>
        </w:rPr>
        <w:t xml:space="preserve"> </w:t>
      </w:r>
      <w:r w:rsidR="007946F7">
        <w:rPr>
          <w:rStyle w:val="SCCCounselNameChar"/>
          <w:lang w:val="fr-CA"/>
        </w:rPr>
        <w:t>c.r.</w:t>
      </w:r>
      <w:r w:rsidR="00954BF8" w:rsidRPr="007946F7">
        <w:rPr>
          <w:rStyle w:val="SCCCounselSeparatorChar"/>
          <w:lang w:val="fr-CA"/>
        </w:rPr>
        <w:t xml:space="preserve">, </w:t>
      </w:r>
      <w:r w:rsidR="00954BF8" w:rsidRPr="00954BF8">
        <w:rPr>
          <w:rStyle w:val="SCCCounselNameChar"/>
          <w:lang w:val="fr-CA"/>
        </w:rPr>
        <w:t>Jay Nelson</w:t>
      </w:r>
      <w:r w:rsidR="00954BF8" w:rsidRPr="007946F7">
        <w:rPr>
          <w:rStyle w:val="SCCCounselNameChar"/>
          <w:i w:val="0"/>
          <w:lang w:val="fr-CA"/>
        </w:rPr>
        <w:t xml:space="preserve">, </w:t>
      </w:r>
      <w:r w:rsidR="00E349EE">
        <w:rPr>
          <w:rStyle w:val="SCCCounselNameChar"/>
          <w:lang w:val="fr-CA"/>
        </w:rPr>
        <w:t>David</w:t>
      </w:r>
      <w:r w:rsidR="000F2258">
        <w:rPr>
          <w:rStyle w:val="SCCCounselNameChar"/>
          <w:lang w:val="fr-CA"/>
        </w:rPr>
        <w:t xml:space="preserve"> </w:t>
      </w:r>
      <w:r w:rsidR="00954BF8" w:rsidRPr="00954BF8">
        <w:rPr>
          <w:rStyle w:val="SCCCounselNameChar"/>
          <w:lang w:val="fr-CA"/>
        </w:rPr>
        <w:t>M. Robbins</w:t>
      </w:r>
      <w:r w:rsidR="00954BF8" w:rsidRPr="00954BF8">
        <w:rPr>
          <w:rStyle w:val="SCCCounselSeparatorChar"/>
          <w:lang w:val="fr-CA"/>
        </w:rPr>
        <w:t xml:space="preserve"> </w:t>
      </w:r>
      <w:r w:rsidR="00954BF8">
        <w:rPr>
          <w:rStyle w:val="SCCCounselSeparatorChar"/>
          <w:lang w:val="fr-CA"/>
        </w:rPr>
        <w:t>et</w:t>
      </w:r>
      <w:r w:rsidR="00954BF8" w:rsidRPr="00954BF8">
        <w:rPr>
          <w:rStyle w:val="SCCCounselSeparatorChar"/>
          <w:lang w:val="fr-CA"/>
        </w:rPr>
        <w:t xml:space="preserve"> </w:t>
      </w:r>
      <w:r w:rsidR="00954BF8" w:rsidRPr="00954BF8">
        <w:rPr>
          <w:rStyle w:val="SCCCounselNameChar"/>
          <w:lang w:val="fr-CA"/>
        </w:rPr>
        <w:t>Dominique Nouvet</w:t>
      </w:r>
      <w:r w:rsidR="00954BF8" w:rsidRPr="00954BF8">
        <w:rPr>
          <w:rStyle w:val="SCCCounselPartyRoleChar"/>
          <w:lang w:val="fr-CA"/>
        </w:rPr>
        <w:t xml:space="preserve">, </w:t>
      </w:r>
      <w:r w:rsidRPr="00DC4FE0">
        <w:rPr>
          <w:rStyle w:val="SCCCounselPartyRoleChar"/>
          <w:lang w:val="fr-CA"/>
        </w:rPr>
        <w:t>pour l</w:t>
      </w:r>
      <w:r w:rsidR="002B0C0A">
        <w:rPr>
          <w:rStyle w:val="SCCCounselPartyRoleChar"/>
          <w:lang w:val="fr-CA"/>
        </w:rPr>
        <w:t>’</w:t>
      </w:r>
      <w:r w:rsidRPr="00DC4FE0">
        <w:rPr>
          <w:rStyle w:val="SCCCounselPartyRoleChar"/>
          <w:lang w:val="fr-CA"/>
        </w:rPr>
        <w:t>appelant.</w:t>
      </w:r>
    </w:p>
    <w:p w:rsidR="00584981" w:rsidRPr="00DC4FE0" w:rsidRDefault="00D639C0" w:rsidP="00236C49">
      <w:pPr>
        <w:pStyle w:val="SCCNormalDoubleSpacing"/>
        <w:spacing w:after="480"/>
        <w:rPr>
          <w:lang w:val="fr-CA"/>
        </w:rPr>
      </w:pPr>
      <w:r w:rsidRPr="00DC4FE0">
        <w:rPr>
          <w:rStyle w:val="SCCCounselNameChar"/>
          <w:lang w:val="fr-CA"/>
        </w:rPr>
        <w:tab/>
      </w:r>
      <w:r w:rsidR="00E349EE">
        <w:rPr>
          <w:rStyle w:val="SCCCounselNameChar"/>
          <w:lang w:val="fr-CA"/>
        </w:rPr>
        <w:t>Patrick</w:t>
      </w:r>
      <w:r w:rsidR="000F2258">
        <w:rPr>
          <w:rStyle w:val="SCCCounselNameChar"/>
          <w:lang w:val="fr-CA"/>
        </w:rPr>
        <w:t xml:space="preserve"> </w:t>
      </w:r>
      <w:r w:rsidR="00A048CB" w:rsidRPr="00A048CB">
        <w:rPr>
          <w:rStyle w:val="SCCCounselNameChar"/>
          <w:lang w:val="fr-CA"/>
        </w:rPr>
        <w:t>G. Foy</w:t>
      </w:r>
      <w:r w:rsidR="00A048CB" w:rsidRPr="00A048CB">
        <w:rPr>
          <w:rStyle w:val="SCCCounselNameChar"/>
          <w:i w:val="0"/>
          <w:lang w:val="fr-CA"/>
        </w:rPr>
        <w:t>,</w:t>
      </w:r>
      <w:r w:rsidR="00A048CB" w:rsidRPr="00A048CB">
        <w:rPr>
          <w:rStyle w:val="SCCCounselNameChar"/>
          <w:lang w:val="fr-CA"/>
        </w:rPr>
        <w:t xml:space="preserve"> </w:t>
      </w:r>
      <w:r w:rsidR="007946F7">
        <w:rPr>
          <w:rStyle w:val="SCCCounselNameChar"/>
          <w:lang w:val="fr-CA"/>
        </w:rPr>
        <w:t>c.r.</w:t>
      </w:r>
      <w:r w:rsidR="00A048CB" w:rsidRPr="007946F7">
        <w:rPr>
          <w:rStyle w:val="SCCCounselSeparatorChar"/>
          <w:lang w:val="fr-CA"/>
        </w:rPr>
        <w:t xml:space="preserve">, </w:t>
      </w:r>
      <w:r w:rsidR="00A048CB">
        <w:rPr>
          <w:rStyle w:val="SCCCounselSeparatorChar"/>
          <w:lang w:val="fr-CA"/>
        </w:rPr>
        <w:t>et</w:t>
      </w:r>
      <w:r w:rsidR="00A048CB" w:rsidRPr="00A048CB">
        <w:rPr>
          <w:rStyle w:val="SCCCounselSeparatorChar"/>
          <w:lang w:val="fr-CA"/>
        </w:rPr>
        <w:t xml:space="preserve"> </w:t>
      </w:r>
      <w:r w:rsidR="00E349EE">
        <w:rPr>
          <w:rStyle w:val="SCCCounselNameChar"/>
          <w:lang w:val="fr-CA"/>
        </w:rPr>
        <w:t>Kenneth</w:t>
      </w:r>
      <w:r w:rsidR="000F2258">
        <w:rPr>
          <w:rStyle w:val="SCCCounselNameChar"/>
          <w:lang w:val="fr-CA"/>
        </w:rPr>
        <w:t xml:space="preserve"> </w:t>
      </w:r>
      <w:r w:rsidR="00A048CB" w:rsidRPr="00A048CB">
        <w:rPr>
          <w:rStyle w:val="SCCCounselNameChar"/>
          <w:lang w:val="fr-CA"/>
        </w:rPr>
        <w:t>J. Tyler</w:t>
      </w:r>
      <w:r w:rsidR="00A048CB" w:rsidRPr="00A048CB">
        <w:rPr>
          <w:rStyle w:val="SCCCounselPartyRoleChar"/>
          <w:lang w:val="fr-CA"/>
        </w:rPr>
        <w:t xml:space="preserve">, </w:t>
      </w:r>
      <w:r w:rsidR="00A048CB">
        <w:rPr>
          <w:rStyle w:val="SCCCounselPartyRoleChar"/>
          <w:lang w:val="fr-CA"/>
        </w:rPr>
        <w:t xml:space="preserve">pour les </w:t>
      </w:r>
      <w:r w:rsidRPr="00DC4FE0">
        <w:rPr>
          <w:rStyle w:val="SCCCounselPartyRoleChar"/>
          <w:lang w:val="fr-CA"/>
        </w:rPr>
        <w:t>intimé</w:t>
      </w:r>
      <w:r w:rsidR="00A048CB">
        <w:rPr>
          <w:rStyle w:val="SCCCounselPartyRoleChar"/>
          <w:lang w:val="fr-CA"/>
        </w:rPr>
        <w:t xml:space="preserve">s </w:t>
      </w:r>
      <w:r w:rsidR="00FE17DC" w:rsidRPr="00DC4FE0">
        <w:rPr>
          <w:lang w:val="fr-CA"/>
        </w:rPr>
        <w:t xml:space="preserve">Sa Majesté la Reine du chef de la </w:t>
      </w:r>
      <w:r w:rsidR="00F72379">
        <w:rPr>
          <w:lang w:val="fr-CA"/>
        </w:rPr>
        <w:t>p</w:t>
      </w:r>
      <w:r w:rsidR="00FE17DC" w:rsidRPr="00DC4FE0">
        <w:rPr>
          <w:lang w:val="fr-CA"/>
        </w:rPr>
        <w:t xml:space="preserve">rovince de </w:t>
      </w:r>
      <w:r w:rsidR="00C82A0B">
        <w:rPr>
          <w:lang w:val="fr-CA"/>
        </w:rPr>
        <w:t xml:space="preserve">la </w:t>
      </w:r>
      <w:r w:rsidR="00FE17DC" w:rsidRPr="00DC4FE0">
        <w:rPr>
          <w:lang w:val="fr-CA"/>
        </w:rPr>
        <w:t>Colombie</w:t>
      </w:r>
      <w:r w:rsidR="000F2258">
        <w:rPr>
          <w:lang w:val="fr-CA"/>
        </w:rPr>
        <w:t>-</w:t>
      </w:r>
      <w:r w:rsidR="00FE17DC" w:rsidRPr="00DC4FE0">
        <w:rPr>
          <w:lang w:val="fr-CA"/>
        </w:rPr>
        <w:t>Britannique</w:t>
      </w:r>
      <w:r w:rsidR="00FE17DC">
        <w:rPr>
          <w:lang w:val="fr-CA"/>
        </w:rPr>
        <w:t xml:space="preserve"> et</w:t>
      </w:r>
      <w:r w:rsidR="00FE17DC" w:rsidRPr="00DC4FE0">
        <w:rPr>
          <w:lang w:val="fr-CA"/>
        </w:rPr>
        <w:t xml:space="preserve"> le </w:t>
      </w:r>
      <w:r w:rsidR="00C82A0B">
        <w:rPr>
          <w:lang w:val="fr-CA"/>
        </w:rPr>
        <w:t>c</w:t>
      </w:r>
      <w:r w:rsidR="00FE17DC" w:rsidRPr="00DC4FE0">
        <w:rPr>
          <w:lang w:val="fr-CA"/>
        </w:rPr>
        <w:t>hef régional</w:t>
      </w:r>
      <w:r w:rsidR="00FE17DC">
        <w:rPr>
          <w:lang w:val="fr-CA"/>
        </w:rPr>
        <w:t xml:space="preserve"> de la région de Cariboo Forest.</w:t>
      </w:r>
    </w:p>
    <w:p w:rsidR="00584981" w:rsidRPr="00DC4FE0" w:rsidRDefault="00E349EE" w:rsidP="00236C49">
      <w:pPr>
        <w:pStyle w:val="SCCNormalDoubleSpacing"/>
        <w:spacing w:after="480"/>
        <w:rPr>
          <w:lang w:val="fr-CA"/>
        </w:rPr>
      </w:pPr>
      <w:r>
        <w:rPr>
          <w:rStyle w:val="SCCCounselNameChar"/>
          <w:lang w:val="fr-CA"/>
        </w:rPr>
        <w:tab/>
        <w:t>Mark</w:t>
      </w:r>
      <w:r w:rsidR="000F2258">
        <w:rPr>
          <w:rStyle w:val="SCCCounselNameChar"/>
          <w:lang w:val="fr-CA"/>
        </w:rPr>
        <w:t xml:space="preserve"> </w:t>
      </w:r>
      <w:r w:rsidR="00D639C0" w:rsidRPr="00DC4FE0">
        <w:rPr>
          <w:rStyle w:val="SCCCounselNameChar"/>
          <w:lang w:val="fr-CA"/>
        </w:rPr>
        <w:t>R. Kindrachuk</w:t>
      </w:r>
      <w:r w:rsidR="00A048CB" w:rsidRPr="00A048CB">
        <w:rPr>
          <w:rStyle w:val="SCCCounselNameChar"/>
          <w:i w:val="0"/>
          <w:lang w:val="fr-CA"/>
        </w:rPr>
        <w:t>,</w:t>
      </w:r>
      <w:r w:rsidR="00A048CB" w:rsidRPr="00A048CB">
        <w:rPr>
          <w:rStyle w:val="SCCCounselNameChar"/>
          <w:lang w:val="fr-CA"/>
        </w:rPr>
        <w:t xml:space="preserve"> </w:t>
      </w:r>
      <w:r w:rsidR="007946F7">
        <w:rPr>
          <w:rStyle w:val="SCCCounselNameChar"/>
          <w:lang w:val="fr-CA"/>
        </w:rPr>
        <w:t>c.r.</w:t>
      </w:r>
      <w:r w:rsidR="00A048CB" w:rsidRPr="007946F7">
        <w:rPr>
          <w:rStyle w:val="SCCCounselSeparatorChar"/>
          <w:lang w:val="fr-CA"/>
        </w:rPr>
        <w:t xml:space="preserve">, </w:t>
      </w:r>
      <w:r w:rsidR="00D639C0" w:rsidRPr="00DC4FE0">
        <w:rPr>
          <w:rStyle w:val="SCCCounselNameChar"/>
          <w:lang w:val="fr-CA"/>
        </w:rPr>
        <w:t>Brian McLaughlin</w:t>
      </w:r>
      <w:r w:rsidR="00D639C0" w:rsidRPr="00DC4FE0">
        <w:rPr>
          <w:rStyle w:val="SCCCounselSeparatorChar"/>
          <w:lang w:val="fr-CA"/>
        </w:rPr>
        <w:t xml:space="preserve"> et </w:t>
      </w:r>
      <w:r w:rsidR="00D639C0" w:rsidRPr="00DC4FE0">
        <w:rPr>
          <w:rStyle w:val="SCCCounselNameChar"/>
          <w:lang w:val="fr-CA"/>
        </w:rPr>
        <w:t>Jan Brongers</w:t>
      </w:r>
      <w:r w:rsidR="00D639C0" w:rsidRPr="00DC4FE0">
        <w:rPr>
          <w:rStyle w:val="SCCCounselPartyRoleChar"/>
          <w:lang w:val="fr-CA"/>
        </w:rPr>
        <w:t>, pour l</w:t>
      </w:r>
      <w:r w:rsidR="002B0C0A">
        <w:rPr>
          <w:rStyle w:val="SCCCounselPartyRoleChar"/>
          <w:lang w:val="fr-CA"/>
        </w:rPr>
        <w:t>’</w:t>
      </w:r>
      <w:r w:rsidR="00D639C0" w:rsidRPr="00DC4FE0">
        <w:rPr>
          <w:rStyle w:val="SCCCounselPartyRoleChar"/>
          <w:lang w:val="fr-CA"/>
        </w:rPr>
        <w:t>intimé</w:t>
      </w:r>
      <w:r w:rsidR="00406865">
        <w:rPr>
          <w:rStyle w:val="SCCCounselPartyRoleChar"/>
          <w:lang w:val="fr-CA"/>
        </w:rPr>
        <w:t xml:space="preserve"> le procureur général du Canada</w:t>
      </w:r>
      <w:r w:rsidR="00D639C0" w:rsidRPr="00DC4FE0">
        <w:rPr>
          <w:rStyle w:val="SCCCounselPartyRoleChar"/>
          <w:lang w:val="fr-CA"/>
        </w:rPr>
        <w:t>.</w:t>
      </w:r>
    </w:p>
    <w:p w:rsidR="00C54692" w:rsidRPr="00DC4FE0" w:rsidRDefault="00C54692" w:rsidP="00236C49">
      <w:pPr>
        <w:pStyle w:val="SCCNormalDoubleSpacing"/>
        <w:spacing w:after="480"/>
        <w:rPr>
          <w:lang w:val="fr-CA"/>
        </w:rPr>
      </w:pPr>
      <w:r w:rsidRPr="00DC4FE0">
        <w:rPr>
          <w:rStyle w:val="SCCCounselNameChar"/>
          <w:lang w:val="fr-CA"/>
        </w:rPr>
        <w:tab/>
        <w:t>Alain Gingras</w:t>
      </w:r>
      <w:r>
        <w:rPr>
          <w:rStyle w:val="SCCCounselNameChar"/>
          <w:lang w:val="fr-CA"/>
        </w:rPr>
        <w:t xml:space="preserve"> </w:t>
      </w:r>
      <w:r w:rsidRPr="00DC4FE0">
        <w:rPr>
          <w:rStyle w:val="SCCCounselSeparatorChar"/>
          <w:lang w:val="fr-CA"/>
        </w:rPr>
        <w:t xml:space="preserve">et </w:t>
      </w:r>
      <w:r w:rsidRPr="00DC4FE0">
        <w:rPr>
          <w:rStyle w:val="SCCCounselNameChar"/>
          <w:lang w:val="fr-CA"/>
        </w:rPr>
        <w:t>Hubert Noreau</w:t>
      </w:r>
      <w:r w:rsidR="000F2258">
        <w:rPr>
          <w:rStyle w:val="SCCCounselNameChar"/>
          <w:lang w:val="fr-CA"/>
        </w:rPr>
        <w:t>-</w:t>
      </w:r>
      <w:r w:rsidRPr="00DC4FE0">
        <w:rPr>
          <w:rStyle w:val="SCCCounselNameChar"/>
          <w:lang w:val="fr-CA"/>
        </w:rPr>
        <w:t>Simpson</w:t>
      </w:r>
      <w:r w:rsidRPr="00DC4FE0">
        <w:rPr>
          <w:rStyle w:val="SCCCounselPartyRoleChar"/>
          <w:lang w:val="fr-CA"/>
        </w:rPr>
        <w:t>, pour l</w:t>
      </w:r>
      <w:r w:rsidR="002B0C0A">
        <w:rPr>
          <w:rStyle w:val="SCCCounselPartyRoleChar"/>
          <w:lang w:val="fr-CA"/>
        </w:rPr>
        <w:t>’</w:t>
      </w:r>
      <w:r w:rsidRPr="00DC4FE0">
        <w:rPr>
          <w:rStyle w:val="SCCCounselPartyRoleChar"/>
          <w:lang w:val="fr-CA"/>
        </w:rPr>
        <w:t xml:space="preserve">intervenant </w:t>
      </w:r>
      <w:r>
        <w:rPr>
          <w:rStyle w:val="SCCCounselPartyRoleChar"/>
          <w:lang w:val="fr-CA"/>
        </w:rPr>
        <w:t>le p</w:t>
      </w:r>
      <w:r w:rsidRPr="00DC4FE0">
        <w:rPr>
          <w:rStyle w:val="SCCCounselPartyRoleChar"/>
          <w:lang w:val="fr-CA"/>
        </w:rPr>
        <w:t>rocureur général du Québec.</w:t>
      </w:r>
    </w:p>
    <w:p w:rsidR="00C54692" w:rsidRPr="00DC4FE0" w:rsidRDefault="00C54692" w:rsidP="00236C49">
      <w:pPr>
        <w:pStyle w:val="SCCNormalDoubleSpacing"/>
        <w:spacing w:after="480"/>
        <w:rPr>
          <w:lang w:val="fr-CA"/>
        </w:rPr>
      </w:pPr>
      <w:r w:rsidRPr="00DC4FE0">
        <w:rPr>
          <w:rStyle w:val="SCCCounselNameChar"/>
          <w:lang w:val="fr-CA"/>
        </w:rPr>
        <w:tab/>
        <w:t>Heather Leonoff</w:t>
      </w:r>
      <w:r w:rsidRPr="00A048CB">
        <w:rPr>
          <w:rStyle w:val="SCCCounselNameChar"/>
          <w:i w:val="0"/>
          <w:lang w:val="fr-CA"/>
        </w:rPr>
        <w:t>,</w:t>
      </w:r>
      <w:r w:rsidRPr="00A048CB">
        <w:rPr>
          <w:rStyle w:val="SCCCounselNameChar"/>
          <w:lang w:val="fr-CA"/>
        </w:rPr>
        <w:t xml:space="preserve"> </w:t>
      </w:r>
      <w:r w:rsidR="007946F7">
        <w:rPr>
          <w:rStyle w:val="SCCCounselNameChar"/>
          <w:lang w:val="fr-CA"/>
        </w:rPr>
        <w:t>c.r.</w:t>
      </w:r>
      <w:r w:rsidRPr="007946F7">
        <w:rPr>
          <w:rStyle w:val="SCCCounselSeparatorChar"/>
          <w:lang w:val="fr-CA"/>
        </w:rPr>
        <w:t xml:space="preserve">, </w:t>
      </w:r>
      <w:r w:rsidRPr="00DC4FE0">
        <w:rPr>
          <w:rStyle w:val="SCCCounselPartyRoleChar"/>
          <w:lang w:val="fr-CA"/>
        </w:rPr>
        <w:t>pour l</w:t>
      </w:r>
      <w:r w:rsidR="002B0C0A">
        <w:rPr>
          <w:rStyle w:val="SCCCounselPartyRoleChar"/>
          <w:lang w:val="fr-CA"/>
        </w:rPr>
        <w:t>’</w:t>
      </w:r>
      <w:r w:rsidRPr="00DC4FE0">
        <w:rPr>
          <w:rStyle w:val="SCCCounselPartyRoleChar"/>
          <w:lang w:val="fr-CA"/>
        </w:rPr>
        <w:t>intervenant</w:t>
      </w:r>
      <w:r>
        <w:rPr>
          <w:rStyle w:val="SCCCounselPartyRoleChar"/>
          <w:lang w:val="fr-CA"/>
        </w:rPr>
        <w:t xml:space="preserve"> le p</w:t>
      </w:r>
      <w:r w:rsidRPr="00DC4FE0">
        <w:rPr>
          <w:rStyle w:val="SCCCounselPartyRoleChar"/>
          <w:lang w:val="fr-CA"/>
        </w:rPr>
        <w:t>rocureur général du Manitoba.</w:t>
      </w:r>
    </w:p>
    <w:p w:rsidR="000462DF" w:rsidRPr="00DC4FE0" w:rsidRDefault="00E349EE" w:rsidP="00236C49">
      <w:pPr>
        <w:pStyle w:val="SCCNormalDoubleSpacing"/>
        <w:spacing w:after="480"/>
        <w:rPr>
          <w:lang w:val="fr-CA"/>
        </w:rPr>
      </w:pPr>
      <w:r>
        <w:rPr>
          <w:rStyle w:val="SCCCounselNameChar"/>
          <w:lang w:val="fr-CA"/>
        </w:rPr>
        <w:lastRenderedPageBreak/>
        <w:tab/>
      </w:r>
      <w:r w:rsidR="006F70DB">
        <w:rPr>
          <w:rStyle w:val="SCCCounselNameChar"/>
          <w:lang w:val="fr-CA"/>
        </w:rPr>
        <w:t>P.</w:t>
      </w:r>
      <w:r w:rsidR="000F2258">
        <w:rPr>
          <w:rStyle w:val="SCCCounselNameChar"/>
          <w:lang w:val="fr-CA"/>
        </w:rPr>
        <w:t xml:space="preserve"> </w:t>
      </w:r>
      <w:r w:rsidR="000462DF" w:rsidRPr="00DC4FE0">
        <w:rPr>
          <w:rStyle w:val="SCCCounselNameChar"/>
          <w:lang w:val="fr-CA"/>
        </w:rPr>
        <w:t>Mitch McAdam</w:t>
      </w:r>
      <w:r w:rsidR="000462DF" w:rsidRPr="00A048CB">
        <w:rPr>
          <w:rStyle w:val="SCCCounselNameChar"/>
          <w:i w:val="0"/>
          <w:lang w:val="fr-CA"/>
        </w:rPr>
        <w:t>,</w:t>
      </w:r>
      <w:r w:rsidR="000462DF" w:rsidRPr="00A048CB">
        <w:rPr>
          <w:rStyle w:val="SCCCounselNameChar"/>
          <w:lang w:val="fr-CA"/>
        </w:rPr>
        <w:t xml:space="preserve"> </w:t>
      </w:r>
      <w:r w:rsidR="007946F7">
        <w:rPr>
          <w:rStyle w:val="SCCCounselNameChar"/>
          <w:lang w:val="fr-CA"/>
        </w:rPr>
        <w:t>c.r.</w:t>
      </w:r>
      <w:r w:rsidR="000462DF" w:rsidRPr="007946F7">
        <w:rPr>
          <w:rStyle w:val="SCCCounselSeparatorChar"/>
          <w:lang w:val="fr-CA"/>
        </w:rPr>
        <w:t xml:space="preserve">, </w:t>
      </w:r>
      <w:r w:rsidR="000462DF" w:rsidRPr="00DC4FE0">
        <w:rPr>
          <w:rStyle w:val="SCCCounselSeparatorChar"/>
          <w:lang w:val="fr-CA"/>
        </w:rPr>
        <w:t xml:space="preserve">et </w:t>
      </w:r>
      <w:r w:rsidR="000462DF" w:rsidRPr="00DC4FE0">
        <w:rPr>
          <w:rStyle w:val="SCCCounselNameChar"/>
          <w:lang w:val="fr-CA"/>
        </w:rPr>
        <w:t>Sonia Eggerman</w:t>
      </w:r>
      <w:r w:rsidR="000462DF" w:rsidRPr="00DC4FE0">
        <w:rPr>
          <w:rStyle w:val="SCCCounselPartyRoleChar"/>
          <w:lang w:val="fr-CA"/>
        </w:rPr>
        <w:t>, pour l</w:t>
      </w:r>
      <w:r w:rsidR="002B0C0A">
        <w:rPr>
          <w:rStyle w:val="SCCCounselPartyRoleChar"/>
          <w:lang w:val="fr-CA"/>
        </w:rPr>
        <w:t>’</w:t>
      </w:r>
      <w:r w:rsidR="000462DF" w:rsidRPr="00DC4FE0">
        <w:rPr>
          <w:rStyle w:val="SCCCounselPartyRoleChar"/>
          <w:lang w:val="fr-CA"/>
        </w:rPr>
        <w:t>intervenant</w:t>
      </w:r>
      <w:r w:rsidR="0046799A">
        <w:rPr>
          <w:rStyle w:val="SCCCounselPartyRoleChar"/>
          <w:lang w:val="fr-CA"/>
        </w:rPr>
        <w:t xml:space="preserve"> le</w:t>
      </w:r>
      <w:r w:rsidR="000462DF" w:rsidRPr="00DC4FE0">
        <w:rPr>
          <w:rStyle w:val="SCCCounselPartyRoleChar"/>
          <w:lang w:val="fr-CA"/>
        </w:rPr>
        <w:t xml:space="preserve"> </w:t>
      </w:r>
      <w:r w:rsidR="0046799A">
        <w:rPr>
          <w:rStyle w:val="SCCCounselPartyRoleChar"/>
          <w:lang w:val="fr-CA"/>
        </w:rPr>
        <w:t>p</w:t>
      </w:r>
      <w:r w:rsidR="000462DF" w:rsidRPr="00DC4FE0">
        <w:rPr>
          <w:rStyle w:val="SCCCounselPartyRoleChar"/>
          <w:lang w:val="fr-CA"/>
        </w:rPr>
        <w:t>rocureur général de la Saskatchewan.</w:t>
      </w:r>
    </w:p>
    <w:p w:rsidR="00EB268B" w:rsidRPr="00DC4FE0" w:rsidRDefault="00EB268B" w:rsidP="00236C49">
      <w:pPr>
        <w:pStyle w:val="SCCNormalDoubleSpacing"/>
        <w:spacing w:after="480"/>
        <w:rPr>
          <w:lang w:val="fr-CA"/>
        </w:rPr>
      </w:pPr>
      <w:r w:rsidRPr="00DC4FE0">
        <w:rPr>
          <w:rStyle w:val="SCCCounselNameChar"/>
          <w:lang w:val="fr-CA"/>
        </w:rPr>
        <w:tab/>
        <w:t>Sandra Folkins</w:t>
      </w:r>
      <w:r w:rsidRPr="00DC4FE0">
        <w:rPr>
          <w:rStyle w:val="SCCCounselPartyRoleChar"/>
          <w:lang w:val="fr-CA"/>
        </w:rPr>
        <w:t>, pour l</w:t>
      </w:r>
      <w:r w:rsidR="002B0C0A">
        <w:rPr>
          <w:rStyle w:val="SCCCounselPartyRoleChar"/>
          <w:lang w:val="fr-CA"/>
        </w:rPr>
        <w:t>’</w:t>
      </w:r>
      <w:r w:rsidRPr="00DC4FE0">
        <w:rPr>
          <w:rStyle w:val="SCCCounselPartyRoleChar"/>
          <w:lang w:val="fr-CA"/>
        </w:rPr>
        <w:t>intervenan</w:t>
      </w:r>
      <w:r w:rsidR="007946F7">
        <w:rPr>
          <w:rStyle w:val="SCCCounselPartyRoleChar"/>
          <w:lang w:val="fr-CA"/>
        </w:rPr>
        <w:t>t</w:t>
      </w:r>
      <w:r>
        <w:rPr>
          <w:rStyle w:val="SCCCounselPartyRoleChar"/>
          <w:lang w:val="fr-CA"/>
        </w:rPr>
        <w:t xml:space="preserve"> le p</w:t>
      </w:r>
      <w:r w:rsidRPr="00DC4FE0">
        <w:rPr>
          <w:rStyle w:val="SCCCounselPartyRoleChar"/>
          <w:lang w:val="fr-CA"/>
        </w:rPr>
        <w:t>rocureur général de l</w:t>
      </w:r>
      <w:r w:rsidR="002B0C0A">
        <w:rPr>
          <w:rStyle w:val="SCCCounselPartyRoleChar"/>
          <w:lang w:val="fr-CA"/>
        </w:rPr>
        <w:t>’</w:t>
      </w:r>
      <w:r w:rsidRPr="00DC4FE0">
        <w:rPr>
          <w:rStyle w:val="SCCCounselPartyRoleChar"/>
          <w:lang w:val="fr-CA"/>
        </w:rPr>
        <w:t>Alberta.</w:t>
      </w:r>
    </w:p>
    <w:p w:rsidR="00584981" w:rsidRPr="00B5422B" w:rsidRDefault="00D639C0" w:rsidP="00236C49">
      <w:pPr>
        <w:pStyle w:val="SCCNormalDoubleSpacing"/>
        <w:spacing w:after="480"/>
        <w:rPr>
          <w:lang w:val="fr-CA"/>
        </w:rPr>
      </w:pPr>
      <w:r w:rsidRPr="00DC4FE0">
        <w:rPr>
          <w:rStyle w:val="SCCCounselNameChar"/>
          <w:lang w:val="fr-CA"/>
        </w:rPr>
        <w:tab/>
        <w:t>Robert J.</w:t>
      </w:r>
      <w:r w:rsidR="000F2258">
        <w:rPr>
          <w:rStyle w:val="SCCCounselNameChar"/>
          <w:lang w:val="fr-CA"/>
        </w:rPr>
        <w:t xml:space="preserve"> </w:t>
      </w:r>
      <w:r w:rsidRPr="00DC4FE0">
        <w:rPr>
          <w:rStyle w:val="SCCCounselNameChar"/>
          <w:lang w:val="fr-CA"/>
        </w:rPr>
        <w:t>M. Janes</w:t>
      </w:r>
      <w:r w:rsidRPr="00DC4FE0">
        <w:rPr>
          <w:rStyle w:val="SCCCounselSeparatorChar"/>
          <w:lang w:val="fr-CA"/>
        </w:rPr>
        <w:t xml:space="preserve"> et </w:t>
      </w:r>
      <w:r w:rsidRPr="00DC4FE0">
        <w:rPr>
          <w:rStyle w:val="SCCCounselNameChar"/>
          <w:lang w:val="fr-CA"/>
        </w:rPr>
        <w:t>Karey</w:t>
      </w:r>
      <w:r w:rsidR="00802957">
        <w:rPr>
          <w:rStyle w:val="SCCCounselNameChar"/>
          <w:lang w:val="fr-CA"/>
        </w:rPr>
        <w:t xml:space="preserve"> </w:t>
      </w:r>
      <w:r w:rsidRPr="00DC4FE0">
        <w:rPr>
          <w:rStyle w:val="SCCCounselNameChar"/>
          <w:lang w:val="fr-CA"/>
        </w:rPr>
        <w:t>Brooks</w:t>
      </w:r>
      <w:r w:rsidRPr="00DC4FE0">
        <w:rPr>
          <w:rStyle w:val="SCCCounselPartyRoleChar"/>
          <w:lang w:val="fr-CA"/>
        </w:rPr>
        <w:t>, pour l</w:t>
      </w:r>
      <w:r w:rsidR="002B0C0A">
        <w:rPr>
          <w:rStyle w:val="SCCCounselPartyRoleChar"/>
          <w:lang w:val="fr-CA"/>
        </w:rPr>
        <w:t>’</w:t>
      </w:r>
      <w:r w:rsidRPr="00DC4FE0">
        <w:rPr>
          <w:rStyle w:val="SCCCounselPartyRoleChar"/>
          <w:lang w:val="fr-CA"/>
        </w:rPr>
        <w:t xml:space="preserve">intervenante </w:t>
      </w:r>
      <w:r w:rsidR="00B5422B">
        <w:rPr>
          <w:rStyle w:val="SCCCounselPartyRoleChar"/>
          <w:lang w:val="fr-CA"/>
        </w:rPr>
        <w:t>l</w:t>
      </w:r>
      <w:r w:rsidR="002B0C0A">
        <w:rPr>
          <w:rStyle w:val="SCCCounselPartyRoleChar"/>
          <w:lang w:val="fr-CA"/>
        </w:rPr>
        <w:t>’</w:t>
      </w:r>
      <w:r w:rsidR="00B5422B" w:rsidRPr="00B5422B">
        <w:rPr>
          <w:bCs/>
          <w:lang w:val="fr-CA"/>
        </w:rPr>
        <w:t>Association du traité des Te</w:t>
      </w:r>
      <w:r w:rsidR="002B0C0A">
        <w:rPr>
          <w:bCs/>
          <w:lang w:val="fr-CA"/>
        </w:rPr>
        <w:t>’</w:t>
      </w:r>
      <w:r w:rsidR="00494888">
        <w:rPr>
          <w:bCs/>
          <w:lang w:val="fr-CA"/>
        </w:rPr>
        <w:t>m</w:t>
      </w:r>
      <w:r w:rsidR="00B5422B" w:rsidRPr="00B5422B">
        <w:rPr>
          <w:bCs/>
          <w:lang w:val="fr-CA"/>
        </w:rPr>
        <w:t>exw</w:t>
      </w:r>
      <w:r w:rsidRPr="00B5422B">
        <w:rPr>
          <w:rStyle w:val="SCCCounselPartyRoleChar"/>
          <w:lang w:val="fr-CA"/>
        </w:rPr>
        <w:t>.</w:t>
      </w:r>
    </w:p>
    <w:p w:rsidR="00584981" w:rsidRDefault="00D639C0" w:rsidP="00236C49">
      <w:pPr>
        <w:pStyle w:val="SCCNormalDoubleSpacing"/>
        <w:spacing w:after="480"/>
      </w:pPr>
      <w:r w:rsidRPr="00DC4FE0">
        <w:rPr>
          <w:rStyle w:val="SCCCounselNameChar"/>
          <w:lang w:val="fr-CA"/>
        </w:rPr>
        <w:tab/>
      </w:r>
      <w:r w:rsidR="00E349EE">
        <w:rPr>
          <w:rStyle w:val="SCCCounselNameChar"/>
        </w:rPr>
        <w:t>Charles</w:t>
      </w:r>
      <w:r w:rsidR="000F2258">
        <w:rPr>
          <w:rStyle w:val="SCCCounselNameChar"/>
        </w:rPr>
        <w:t xml:space="preserve"> </w:t>
      </w:r>
      <w:r>
        <w:rPr>
          <w:rStyle w:val="SCCCounselNameChar"/>
        </w:rPr>
        <w:t>F. Willms</w:t>
      </w:r>
      <w:r>
        <w:rPr>
          <w:rStyle w:val="SCCCounselSeparatorChar"/>
        </w:rPr>
        <w:t xml:space="preserve"> et </w:t>
      </w:r>
      <w:r>
        <w:rPr>
          <w:rStyle w:val="SCCCounselNameChar"/>
        </w:rPr>
        <w:t>Kevin O</w:t>
      </w:r>
      <w:r w:rsidR="002B0C0A">
        <w:rPr>
          <w:rStyle w:val="SCCCounselNameChar"/>
        </w:rPr>
        <w:t>’</w:t>
      </w:r>
      <w:r>
        <w:rPr>
          <w:rStyle w:val="SCCCounselNameChar"/>
        </w:rPr>
        <w:t>Callaghan</w:t>
      </w:r>
      <w:r>
        <w:rPr>
          <w:rStyle w:val="SCCCounselPartyRoleChar"/>
        </w:rPr>
        <w:t>, pour l</w:t>
      </w:r>
      <w:r w:rsidR="005025E8">
        <w:rPr>
          <w:rStyle w:val="SCCCounselPartyRoleChar"/>
        </w:rPr>
        <w:t xml:space="preserve">es </w:t>
      </w:r>
      <w:r w:rsidR="006B60C9">
        <w:rPr>
          <w:rStyle w:val="SCCCounselPartyRoleChar"/>
        </w:rPr>
        <w:t>intervenant</w:t>
      </w:r>
      <w:r w:rsidR="005025E8">
        <w:rPr>
          <w:rStyle w:val="SCCCounselPartyRoleChar"/>
        </w:rPr>
        <w:t>s</w:t>
      </w:r>
      <w:r>
        <w:rPr>
          <w:rStyle w:val="SCCCounselPartyRoleChar"/>
        </w:rPr>
        <w:t xml:space="preserve"> Business Council of British Columbia, Council of Forest Industries, Coast Forest Products Association, Mining Association of British Columbia </w:t>
      </w:r>
      <w:r w:rsidR="00FE17DC">
        <w:rPr>
          <w:rStyle w:val="SCCCounselPartyRoleChar"/>
        </w:rPr>
        <w:t>et</w:t>
      </w:r>
      <w:r>
        <w:rPr>
          <w:rStyle w:val="SCCCounselPartyRoleChar"/>
        </w:rPr>
        <w:t xml:space="preserve"> Association for Mineral Exploration British Columbia.</w:t>
      </w:r>
    </w:p>
    <w:p w:rsidR="00584981" w:rsidRPr="00DC4FE0" w:rsidRDefault="00D639C0" w:rsidP="00236C49">
      <w:pPr>
        <w:pStyle w:val="SCCNormalDoubleSpacing"/>
        <w:spacing w:after="480"/>
        <w:rPr>
          <w:lang w:val="fr-CA"/>
        </w:rPr>
      </w:pPr>
      <w:r>
        <w:rPr>
          <w:rStyle w:val="SCCCounselNameChar"/>
        </w:rPr>
        <w:tab/>
      </w:r>
      <w:r w:rsidR="00E349EE">
        <w:rPr>
          <w:rStyle w:val="SCCCounselNameChar"/>
          <w:lang w:val="fr-CA"/>
        </w:rPr>
        <w:t>Joseph</w:t>
      </w:r>
      <w:r w:rsidR="000F2258">
        <w:rPr>
          <w:rStyle w:val="SCCCounselNameChar"/>
          <w:lang w:val="fr-CA"/>
        </w:rPr>
        <w:t xml:space="preserve"> </w:t>
      </w:r>
      <w:r w:rsidRPr="00DC4FE0">
        <w:rPr>
          <w:rStyle w:val="SCCCounselNameChar"/>
          <w:lang w:val="fr-CA"/>
        </w:rPr>
        <w:t>J. Arvay</w:t>
      </w:r>
      <w:r w:rsidR="006018D3" w:rsidRPr="007946F7">
        <w:rPr>
          <w:rStyle w:val="SCCCounselNameChar"/>
          <w:i w:val="0"/>
          <w:lang w:val="fr-CA"/>
        </w:rPr>
        <w:t xml:space="preserve">, </w:t>
      </w:r>
      <w:r w:rsidR="007946F7">
        <w:rPr>
          <w:rStyle w:val="SCCCounselNameChar"/>
          <w:lang w:val="fr-CA"/>
        </w:rPr>
        <w:t>c.r.</w:t>
      </w:r>
      <w:r w:rsidR="006018D3" w:rsidRPr="006018D3">
        <w:rPr>
          <w:rStyle w:val="SCCCounselSeparatorChar"/>
          <w:lang w:val="fr-CA"/>
        </w:rPr>
        <w:t xml:space="preserve">, </w:t>
      </w:r>
      <w:r w:rsidR="00E349EE">
        <w:rPr>
          <w:rStyle w:val="SCCCounselNameChar"/>
          <w:lang w:val="fr-CA"/>
        </w:rPr>
        <w:t>Catherine</w:t>
      </w:r>
      <w:r w:rsidR="000F2258">
        <w:rPr>
          <w:rStyle w:val="SCCCounselNameChar"/>
          <w:lang w:val="fr-CA"/>
        </w:rPr>
        <w:t xml:space="preserve"> </w:t>
      </w:r>
      <w:r w:rsidRPr="00DC4FE0">
        <w:rPr>
          <w:rStyle w:val="SCCCounselNameChar"/>
          <w:lang w:val="fr-CA"/>
        </w:rPr>
        <w:t>J. Boies Parker</w:t>
      </w:r>
      <w:r w:rsidRPr="00DC4FE0">
        <w:rPr>
          <w:rStyle w:val="SCCCounselSeparatorChar"/>
          <w:lang w:val="fr-CA"/>
        </w:rPr>
        <w:t xml:space="preserve"> et </w:t>
      </w:r>
      <w:r w:rsidRPr="00DC4FE0">
        <w:rPr>
          <w:rStyle w:val="SCCCounselNameChar"/>
          <w:lang w:val="fr-CA"/>
        </w:rPr>
        <w:t>Patrick Macklem</w:t>
      </w:r>
      <w:r w:rsidRPr="00DC4FE0">
        <w:rPr>
          <w:rStyle w:val="SCCCounselPartyRoleChar"/>
          <w:lang w:val="fr-CA"/>
        </w:rPr>
        <w:t>, pour l</w:t>
      </w:r>
      <w:r w:rsidR="002B0C0A">
        <w:rPr>
          <w:rStyle w:val="SCCCounselPartyRoleChar"/>
          <w:lang w:val="fr-CA"/>
        </w:rPr>
        <w:t>’</w:t>
      </w:r>
      <w:r w:rsidR="006018D3">
        <w:rPr>
          <w:rStyle w:val="SCCCounselPartyRoleChar"/>
          <w:lang w:val="fr-CA"/>
        </w:rPr>
        <w:t>intervenant</w:t>
      </w:r>
      <w:r w:rsidRPr="00DC4FE0">
        <w:rPr>
          <w:rStyle w:val="SCCCounselPartyRoleChar"/>
          <w:lang w:val="fr-CA"/>
        </w:rPr>
        <w:t xml:space="preserve">e </w:t>
      </w:r>
      <w:r w:rsidR="006018D3">
        <w:rPr>
          <w:rStyle w:val="SCCCounselPartyRoleChar"/>
          <w:lang w:val="fr-CA"/>
        </w:rPr>
        <w:t>l</w:t>
      </w:r>
      <w:r w:rsidR="002B0C0A">
        <w:rPr>
          <w:rStyle w:val="SCCCounselPartyRoleChar"/>
          <w:lang w:val="fr-CA"/>
        </w:rPr>
        <w:t>’</w:t>
      </w:r>
      <w:r w:rsidR="006B60C9">
        <w:rPr>
          <w:rStyle w:val="SCCCounselPartyRoleChar"/>
          <w:lang w:val="fr-CA"/>
        </w:rPr>
        <w:t>Assemblée des P</w:t>
      </w:r>
      <w:r w:rsidRPr="00DC4FE0">
        <w:rPr>
          <w:rStyle w:val="SCCCounselPartyRoleChar"/>
          <w:lang w:val="fr-CA"/>
        </w:rPr>
        <w:t xml:space="preserve">remières </w:t>
      </w:r>
      <w:r w:rsidR="006B60C9">
        <w:rPr>
          <w:rStyle w:val="SCCCounselPartyRoleChar"/>
          <w:lang w:val="fr-CA"/>
        </w:rPr>
        <w:t>N</w:t>
      </w:r>
      <w:r w:rsidRPr="00DC4FE0">
        <w:rPr>
          <w:rStyle w:val="SCCCounselPartyRoleChar"/>
          <w:lang w:val="fr-CA"/>
        </w:rPr>
        <w:t>ations.</w:t>
      </w:r>
    </w:p>
    <w:p w:rsidR="0098186D" w:rsidRPr="00DC4FE0" w:rsidRDefault="00D639C0" w:rsidP="00236C49">
      <w:pPr>
        <w:pStyle w:val="SCCNormalDoubleSpacing"/>
        <w:spacing w:after="480"/>
        <w:rPr>
          <w:lang w:val="fr-CA"/>
        </w:rPr>
      </w:pPr>
      <w:r w:rsidRPr="007946F7">
        <w:rPr>
          <w:rStyle w:val="SCCCounselNameChar"/>
          <w:i w:val="0"/>
          <w:lang w:val="fr-CA"/>
        </w:rPr>
        <w:tab/>
      </w:r>
      <w:r w:rsidRPr="00295065">
        <w:rPr>
          <w:rStyle w:val="SCCCounselNameChar"/>
          <w:lang w:val="fr-CA"/>
        </w:rPr>
        <w:t>Diane Soroka</w:t>
      </w:r>
      <w:r w:rsidRPr="00295065">
        <w:rPr>
          <w:rStyle w:val="SCCCounselPartyRoleChar"/>
          <w:lang w:val="fr-CA"/>
        </w:rPr>
        <w:t>, pour l</w:t>
      </w:r>
      <w:r w:rsidR="00881BCC">
        <w:rPr>
          <w:rStyle w:val="SCCCounselPartyRoleChar"/>
          <w:lang w:val="fr-CA"/>
        </w:rPr>
        <w:t xml:space="preserve">es </w:t>
      </w:r>
      <w:r w:rsidR="00FF2788">
        <w:rPr>
          <w:rStyle w:val="SCCCounselPartyRoleChar"/>
          <w:lang w:val="fr-CA"/>
        </w:rPr>
        <w:t>intervenant</w:t>
      </w:r>
      <w:r w:rsidR="00881BCC">
        <w:rPr>
          <w:rStyle w:val="SCCCounselPartyRoleChar"/>
          <w:lang w:val="fr-CA"/>
        </w:rPr>
        <w:t>s</w:t>
      </w:r>
      <w:r w:rsidRPr="00295065">
        <w:rPr>
          <w:rStyle w:val="SCCCounselPartyRoleChar"/>
          <w:lang w:val="fr-CA"/>
        </w:rPr>
        <w:t xml:space="preserve"> </w:t>
      </w:r>
      <w:r w:rsidR="00FE17DC">
        <w:rPr>
          <w:rStyle w:val="SCCCounselPartyRoleChar"/>
          <w:lang w:val="fr-CA"/>
        </w:rPr>
        <w:t xml:space="preserve">les </w:t>
      </w:r>
      <w:r w:rsidR="00632200">
        <w:rPr>
          <w:rStyle w:val="SCCCounselPartyRoleChar"/>
          <w:lang w:val="fr-CA"/>
        </w:rPr>
        <w:t>c</w:t>
      </w:r>
      <w:r w:rsidR="00FE17DC" w:rsidRPr="00DD3D77">
        <w:rPr>
          <w:lang w:val="fr-CA"/>
        </w:rPr>
        <w:t>hefs héréditaires Gitanyow de Gwass Hlaam, Gamlaxyeltxw, Malii, Gwinuu, Haizimsque, Watakhayetsxw, Luuxhon et Wii</w:t>
      </w:r>
      <w:r w:rsidR="002B0C0A">
        <w:rPr>
          <w:lang w:val="fr-CA"/>
        </w:rPr>
        <w:t>’</w:t>
      </w:r>
      <w:r w:rsidR="00FE17DC" w:rsidRPr="00DD3D77">
        <w:rPr>
          <w:lang w:val="fr-CA"/>
        </w:rPr>
        <w:t xml:space="preserve">litswx, en leur nom et </w:t>
      </w:r>
      <w:r w:rsidR="00320D90">
        <w:rPr>
          <w:lang w:val="fr-CA"/>
        </w:rPr>
        <w:t>au nom de tous les</w:t>
      </w:r>
      <w:r w:rsidR="00FE17DC" w:rsidRPr="00DD3D77">
        <w:rPr>
          <w:lang w:val="fr-CA"/>
        </w:rPr>
        <w:t xml:space="preserve"> Gitanyow,</w:t>
      </w:r>
      <w:r w:rsidR="0098186D">
        <w:rPr>
          <w:rStyle w:val="SCCCounselPartyRoleChar"/>
          <w:lang w:val="fr-CA"/>
        </w:rPr>
        <w:t xml:space="preserve"> et </w:t>
      </w:r>
      <w:r w:rsidR="00FE17DC">
        <w:rPr>
          <w:rStyle w:val="SCCCounselPartyRoleChar"/>
          <w:lang w:val="fr-CA"/>
        </w:rPr>
        <w:t xml:space="preserve">le </w:t>
      </w:r>
      <w:r w:rsidR="00FE17DC" w:rsidRPr="00DD3D77">
        <w:rPr>
          <w:lang w:val="fr-CA"/>
        </w:rPr>
        <w:t xml:space="preserve">Bureau des </w:t>
      </w:r>
      <w:r w:rsidR="00632200">
        <w:rPr>
          <w:lang w:val="fr-CA"/>
        </w:rPr>
        <w:t>c</w:t>
      </w:r>
      <w:r w:rsidR="00FE17DC" w:rsidRPr="00DD3D77">
        <w:rPr>
          <w:lang w:val="fr-CA"/>
        </w:rPr>
        <w:t>hefs Wet</w:t>
      </w:r>
      <w:r w:rsidR="002B0C0A">
        <w:rPr>
          <w:lang w:val="fr-CA"/>
        </w:rPr>
        <w:t>’</w:t>
      </w:r>
      <w:r w:rsidR="00FE17DC" w:rsidRPr="00DD3D77">
        <w:rPr>
          <w:lang w:val="fr-CA"/>
        </w:rPr>
        <w:t>suwet</w:t>
      </w:r>
      <w:r w:rsidR="002B0C0A">
        <w:rPr>
          <w:lang w:val="fr-CA"/>
        </w:rPr>
        <w:t>’</w:t>
      </w:r>
      <w:r w:rsidR="00FE17DC" w:rsidRPr="00DD3D77">
        <w:rPr>
          <w:lang w:val="fr-CA"/>
        </w:rPr>
        <w:t>en</w:t>
      </w:r>
      <w:r w:rsidR="0098186D" w:rsidRPr="00DC4FE0">
        <w:rPr>
          <w:rStyle w:val="SCCCounselPartyRoleChar"/>
          <w:lang w:val="fr-CA"/>
        </w:rPr>
        <w:t>.</w:t>
      </w:r>
    </w:p>
    <w:p w:rsidR="00584981" w:rsidRPr="00DC4FE0" w:rsidRDefault="00D639C0" w:rsidP="00236C49">
      <w:pPr>
        <w:pStyle w:val="SCCNormalDoubleSpacing"/>
        <w:spacing w:after="480"/>
        <w:rPr>
          <w:lang w:val="fr-CA"/>
        </w:rPr>
      </w:pPr>
      <w:r w:rsidRPr="00295065">
        <w:rPr>
          <w:rStyle w:val="SCCCounselNameChar"/>
          <w:lang w:val="fr-CA"/>
        </w:rPr>
        <w:tab/>
      </w:r>
      <w:r w:rsidR="00E349EE">
        <w:rPr>
          <w:rStyle w:val="SCCCounselNameChar"/>
          <w:lang w:val="fr-CA"/>
        </w:rPr>
        <w:t>Robert</w:t>
      </w:r>
      <w:r w:rsidR="000F2258">
        <w:rPr>
          <w:rStyle w:val="SCCCounselNameChar"/>
          <w:lang w:val="fr-CA"/>
        </w:rPr>
        <w:t xml:space="preserve"> </w:t>
      </w:r>
      <w:r w:rsidRPr="00DC4FE0">
        <w:rPr>
          <w:rStyle w:val="SCCCounselNameChar"/>
          <w:lang w:val="fr-CA"/>
        </w:rPr>
        <w:t>B. Morales</w:t>
      </w:r>
      <w:r w:rsidRPr="00DC4FE0">
        <w:rPr>
          <w:rStyle w:val="SCCCounselSeparatorChar"/>
          <w:lang w:val="fr-CA"/>
        </w:rPr>
        <w:t xml:space="preserve"> et </w:t>
      </w:r>
      <w:r w:rsidRPr="00DC4FE0">
        <w:rPr>
          <w:rStyle w:val="SCCCounselNameChar"/>
          <w:lang w:val="fr-CA"/>
        </w:rPr>
        <w:t>Renée Racette</w:t>
      </w:r>
      <w:r w:rsidRPr="00DC4FE0">
        <w:rPr>
          <w:rStyle w:val="SCCCounselPartyRoleChar"/>
          <w:lang w:val="fr-CA"/>
        </w:rPr>
        <w:t>, pour l</w:t>
      </w:r>
      <w:r w:rsidR="002B0C0A">
        <w:rPr>
          <w:rStyle w:val="SCCCounselPartyRoleChar"/>
          <w:lang w:val="fr-CA"/>
        </w:rPr>
        <w:t>’</w:t>
      </w:r>
      <w:r w:rsidRPr="00DC4FE0">
        <w:rPr>
          <w:rStyle w:val="SCCCounselPartyRoleChar"/>
          <w:lang w:val="fr-CA"/>
        </w:rPr>
        <w:t>intervenant</w:t>
      </w:r>
      <w:r w:rsidR="00FE17DC">
        <w:rPr>
          <w:rStyle w:val="SCCCounselPartyRoleChar"/>
          <w:lang w:val="fr-CA"/>
        </w:rPr>
        <w:t xml:space="preserve"> le</w:t>
      </w:r>
      <w:r w:rsidRPr="00DC4FE0">
        <w:rPr>
          <w:rStyle w:val="SCCCounselPartyRoleChar"/>
          <w:lang w:val="fr-CA"/>
        </w:rPr>
        <w:t xml:space="preserve"> </w:t>
      </w:r>
      <w:r w:rsidR="00FE17DC" w:rsidRPr="00DD3D77">
        <w:rPr>
          <w:lang w:val="fr-CA"/>
        </w:rPr>
        <w:t>Groupe du traité Hul</w:t>
      </w:r>
      <w:r w:rsidR="002B0C0A">
        <w:rPr>
          <w:lang w:val="fr-CA"/>
        </w:rPr>
        <w:t>’</w:t>
      </w:r>
      <w:r w:rsidR="00FE17DC" w:rsidRPr="00DD3D77">
        <w:rPr>
          <w:lang w:val="fr-CA"/>
        </w:rPr>
        <w:t>qumi</w:t>
      </w:r>
      <w:r w:rsidR="002B0C0A">
        <w:rPr>
          <w:lang w:val="fr-CA"/>
        </w:rPr>
        <w:t>’</w:t>
      </w:r>
      <w:r w:rsidR="00FE17DC" w:rsidRPr="00DD3D77">
        <w:rPr>
          <w:lang w:val="fr-CA"/>
        </w:rPr>
        <w:t>num</w:t>
      </w:r>
      <w:r w:rsidRPr="00DC4FE0">
        <w:rPr>
          <w:rStyle w:val="SCCCounselPartyRoleChar"/>
          <w:lang w:val="fr-CA"/>
        </w:rPr>
        <w:t>.</w:t>
      </w:r>
    </w:p>
    <w:p w:rsidR="00584981" w:rsidRPr="0098186D" w:rsidRDefault="00D639C0" w:rsidP="00236C49">
      <w:pPr>
        <w:pStyle w:val="SCCNormalDoubleSpacing"/>
        <w:spacing w:after="480"/>
        <w:rPr>
          <w:lang w:val="fr-CA"/>
        </w:rPr>
      </w:pPr>
      <w:r w:rsidRPr="007946F7">
        <w:rPr>
          <w:rStyle w:val="SCCCounselNameChar"/>
          <w:i w:val="0"/>
          <w:lang w:val="fr-CA"/>
        </w:rPr>
        <w:lastRenderedPageBreak/>
        <w:tab/>
      </w:r>
      <w:r w:rsidR="00FE17DC">
        <w:rPr>
          <w:rStyle w:val="SCCCounselNameChar"/>
          <w:i w:val="0"/>
          <w:lang w:val="fr-CA"/>
        </w:rPr>
        <w:t xml:space="preserve">Argumentation écrite seulement par </w:t>
      </w:r>
      <w:r w:rsidR="00E349EE" w:rsidRPr="00DD3D77">
        <w:rPr>
          <w:rStyle w:val="SCCCounselNameChar"/>
          <w:lang w:val="fr-CA"/>
        </w:rPr>
        <w:t>Louise Mandell</w:t>
      </w:r>
      <w:r w:rsidR="00E349EE" w:rsidRPr="00DD3D77">
        <w:rPr>
          <w:rStyle w:val="SCCCounselNameChar"/>
          <w:i w:val="0"/>
          <w:lang w:val="fr-CA"/>
        </w:rPr>
        <w:t xml:space="preserve">, </w:t>
      </w:r>
      <w:r w:rsidR="00E349EE" w:rsidRPr="00DD3D77">
        <w:rPr>
          <w:rStyle w:val="SCCCounselNameChar"/>
          <w:lang w:val="fr-CA"/>
        </w:rPr>
        <w:t>c.r.</w:t>
      </w:r>
      <w:r w:rsidR="00E349EE" w:rsidRPr="00DD3D77">
        <w:rPr>
          <w:rStyle w:val="SCCCounselSeparatorChar"/>
          <w:lang w:val="fr-CA"/>
        </w:rPr>
        <w:t xml:space="preserve">, </w:t>
      </w:r>
      <w:r w:rsidR="00E349EE" w:rsidRPr="00DD3D77">
        <w:rPr>
          <w:rStyle w:val="SCCCounselSeparatorChar"/>
          <w:i/>
          <w:lang w:val="fr-CA"/>
        </w:rPr>
        <w:t>Stuart Rush</w:t>
      </w:r>
      <w:r w:rsidR="00E349EE" w:rsidRPr="00DD3D77">
        <w:rPr>
          <w:rStyle w:val="SCCCounselSeparatorChar"/>
          <w:lang w:val="fr-CA"/>
        </w:rPr>
        <w:t xml:space="preserve">, </w:t>
      </w:r>
      <w:r w:rsidR="00E349EE" w:rsidRPr="00DD3D77">
        <w:rPr>
          <w:rStyle w:val="SCCCounselSeparatorChar"/>
          <w:i/>
          <w:lang w:val="fr-CA"/>
        </w:rPr>
        <w:t>c.r.</w:t>
      </w:r>
      <w:r w:rsidR="00E349EE" w:rsidRPr="00DD3D77">
        <w:rPr>
          <w:rStyle w:val="SCCCounselSeparatorChar"/>
          <w:lang w:val="fr-CA"/>
        </w:rPr>
        <w:t xml:space="preserve">, </w:t>
      </w:r>
      <w:r w:rsidR="00E349EE" w:rsidRPr="00DD3D77">
        <w:rPr>
          <w:rStyle w:val="SCCCounselNameChar"/>
          <w:lang w:val="fr-CA"/>
        </w:rPr>
        <w:t>Michael Jackson</w:t>
      </w:r>
      <w:r w:rsidR="00E349EE" w:rsidRPr="00DD3D77">
        <w:rPr>
          <w:rStyle w:val="SCCCounselNameChar"/>
          <w:i w:val="0"/>
          <w:lang w:val="fr-CA"/>
        </w:rPr>
        <w:t xml:space="preserve">, </w:t>
      </w:r>
      <w:r w:rsidR="00E349EE" w:rsidRPr="00DD3D77">
        <w:rPr>
          <w:rStyle w:val="SCCCounselNameChar"/>
          <w:lang w:val="fr-CA"/>
        </w:rPr>
        <w:t>c.r.</w:t>
      </w:r>
      <w:r w:rsidR="00E349EE" w:rsidRPr="00DD3D77">
        <w:rPr>
          <w:rStyle w:val="SCCCounselSeparatorChar"/>
          <w:lang w:val="fr-CA"/>
        </w:rPr>
        <w:t xml:space="preserve">, </w:t>
      </w:r>
      <w:r w:rsidR="00E349EE" w:rsidRPr="00DD3D77">
        <w:rPr>
          <w:rStyle w:val="SCCCounselSeparatorChar"/>
          <w:i/>
          <w:lang w:val="fr-CA"/>
        </w:rPr>
        <w:t>Terri</w:t>
      </w:r>
      <w:r w:rsidR="000F2258">
        <w:rPr>
          <w:rStyle w:val="SCCCounselSeparatorChar"/>
          <w:i/>
          <w:lang w:val="fr-CA"/>
        </w:rPr>
        <w:t>-</w:t>
      </w:r>
      <w:r w:rsidR="00E349EE" w:rsidRPr="00DD3D77">
        <w:rPr>
          <w:rStyle w:val="SCCCounselSeparatorChar"/>
          <w:i/>
          <w:lang w:val="fr-CA"/>
        </w:rPr>
        <w:t>Lynn Williams</w:t>
      </w:r>
      <w:r w:rsidR="000F2258">
        <w:rPr>
          <w:rStyle w:val="SCCCounselSeparatorChar"/>
          <w:i/>
          <w:lang w:val="fr-CA"/>
        </w:rPr>
        <w:t>-</w:t>
      </w:r>
      <w:r w:rsidR="00E349EE" w:rsidRPr="00DD3D77">
        <w:rPr>
          <w:rStyle w:val="SCCCounselSeparatorChar"/>
          <w:i/>
          <w:lang w:val="fr-CA"/>
        </w:rPr>
        <w:t>Davidson</w:t>
      </w:r>
      <w:r w:rsidR="00E349EE" w:rsidRPr="00DD3D77">
        <w:rPr>
          <w:rStyle w:val="SCCCounselSeparatorChar"/>
          <w:lang w:val="fr-CA"/>
        </w:rPr>
        <w:t xml:space="preserve">, </w:t>
      </w:r>
      <w:r w:rsidR="00E349EE" w:rsidRPr="00DD3D77">
        <w:rPr>
          <w:rStyle w:val="SCCCounselSeparatorChar"/>
          <w:i/>
          <w:lang w:val="fr-CA"/>
        </w:rPr>
        <w:t>David Paterson</w:t>
      </w:r>
      <w:r w:rsidR="00E349EE" w:rsidRPr="00DD3D77">
        <w:rPr>
          <w:rStyle w:val="SCCCounselSeparatorChar"/>
          <w:lang w:val="fr-CA"/>
        </w:rPr>
        <w:t xml:space="preserve"> et </w:t>
      </w:r>
      <w:r w:rsidR="00E349EE" w:rsidRPr="00DD3D77">
        <w:rPr>
          <w:rStyle w:val="SCCCounselSeparatorChar"/>
          <w:i/>
          <w:lang w:val="fr-CA"/>
        </w:rPr>
        <w:t>Angela D</w:t>
      </w:r>
      <w:r w:rsidR="002B0C0A">
        <w:rPr>
          <w:rStyle w:val="SCCCounselSeparatorChar"/>
          <w:i/>
          <w:lang w:val="fr-CA"/>
        </w:rPr>
        <w:t>’</w:t>
      </w:r>
      <w:r w:rsidR="00E349EE" w:rsidRPr="00DD3D77">
        <w:rPr>
          <w:rStyle w:val="SCCCounselSeparatorChar"/>
          <w:i/>
          <w:lang w:val="fr-CA"/>
        </w:rPr>
        <w:t>Elia</w:t>
      </w:r>
      <w:r w:rsidR="00E349EE" w:rsidRPr="00DD3D77">
        <w:rPr>
          <w:rStyle w:val="SCCCounselSeparatorChar"/>
          <w:lang w:val="fr-CA"/>
        </w:rPr>
        <w:t>,</w:t>
      </w:r>
      <w:r w:rsidR="00E349EE" w:rsidRPr="00DD3D77">
        <w:rPr>
          <w:rStyle w:val="SCCCounselPartyRoleChar"/>
          <w:lang w:val="fr-CA"/>
        </w:rPr>
        <w:t xml:space="preserve"> </w:t>
      </w:r>
      <w:r w:rsidR="00FE17DC" w:rsidRPr="00DC4FE0">
        <w:rPr>
          <w:rStyle w:val="SCCCounselPartyRoleChar"/>
          <w:lang w:val="fr-CA"/>
        </w:rPr>
        <w:t>pour l</w:t>
      </w:r>
      <w:r w:rsidR="002B0C0A">
        <w:rPr>
          <w:rStyle w:val="SCCCounselPartyRoleChar"/>
          <w:lang w:val="fr-CA"/>
        </w:rPr>
        <w:t>’</w:t>
      </w:r>
      <w:r w:rsidR="00FE17DC">
        <w:rPr>
          <w:rStyle w:val="SCCCounselPartyRoleChar"/>
          <w:lang w:val="fr-CA"/>
        </w:rPr>
        <w:t>intervenant</w:t>
      </w:r>
      <w:r w:rsidR="00FE17DC" w:rsidRPr="00DC4FE0">
        <w:rPr>
          <w:rStyle w:val="SCCCounselPartyRoleChar"/>
          <w:lang w:val="fr-CA"/>
        </w:rPr>
        <w:t xml:space="preserve"> </w:t>
      </w:r>
      <w:r w:rsidR="00FE17DC">
        <w:rPr>
          <w:rStyle w:val="SCCCounselPartyRoleChar"/>
          <w:lang w:val="fr-CA"/>
        </w:rPr>
        <w:t xml:space="preserve">le </w:t>
      </w:r>
      <w:r w:rsidR="005E16D2">
        <w:rPr>
          <w:lang w:val="fr-CA"/>
        </w:rPr>
        <w:t>Conseil de la N</w:t>
      </w:r>
      <w:r w:rsidR="00FE17DC" w:rsidRPr="00DD3D77">
        <w:rPr>
          <w:lang w:val="fr-CA"/>
        </w:rPr>
        <w:t>ation haïda</w:t>
      </w:r>
      <w:r w:rsidRPr="0098186D">
        <w:rPr>
          <w:rStyle w:val="SCCCounselPartyRoleChar"/>
          <w:lang w:val="fr-CA"/>
        </w:rPr>
        <w:t>.</w:t>
      </w:r>
    </w:p>
    <w:p w:rsidR="00584981" w:rsidRPr="00DC4FE0" w:rsidRDefault="00D639C0" w:rsidP="00236C49">
      <w:pPr>
        <w:pStyle w:val="SCCNormalDoubleSpacing"/>
        <w:spacing w:after="480"/>
        <w:rPr>
          <w:lang w:val="fr-CA"/>
        </w:rPr>
      </w:pPr>
      <w:r w:rsidRPr="0098186D">
        <w:rPr>
          <w:rStyle w:val="SCCCounselNameChar"/>
          <w:lang w:val="fr-CA"/>
        </w:rPr>
        <w:tab/>
      </w:r>
      <w:r w:rsidR="00E349EE">
        <w:rPr>
          <w:rStyle w:val="SCCCounselNameChar"/>
          <w:lang w:val="fr-CA"/>
        </w:rPr>
        <w:t>David</w:t>
      </w:r>
      <w:r w:rsidR="000F2258">
        <w:rPr>
          <w:rStyle w:val="SCCCounselNameChar"/>
          <w:lang w:val="fr-CA"/>
        </w:rPr>
        <w:t xml:space="preserve"> </w:t>
      </w:r>
      <w:r w:rsidRPr="00DC4FE0">
        <w:rPr>
          <w:rStyle w:val="SCCCounselNameChar"/>
          <w:lang w:val="fr-CA"/>
        </w:rPr>
        <w:t>C. Nahwegahbow</w:t>
      </w:r>
      <w:r w:rsidRPr="00DC4FE0">
        <w:rPr>
          <w:rStyle w:val="SCCCounselSeparatorChar"/>
          <w:lang w:val="fr-CA"/>
        </w:rPr>
        <w:t xml:space="preserve"> et </w:t>
      </w:r>
      <w:r w:rsidRPr="00DC4FE0">
        <w:rPr>
          <w:rStyle w:val="SCCCounselNameChar"/>
          <w:lang w:val="fr-CA"/>
        </w:rPr>
        <w:t>Guy Régimbald</w:t>
      </w:r>
      <w:r w:rsidRPr="00DC4FE0">
        <w:rPr>
          <w:rStyle w:val="SCCCounselPartyRoleChar"/>
          <w:lang w:val="fr-CA"/>
        </w:rPr>
        <w:t>, pour l</w:t>
      </w:r>
      <w:r w:rsidR="002B0C0A">
        <w:rPr>
          <w:rStyle w:val="SCCCounselPartyRoleChar"/>
          <w:lang w:val="fr-CA"/>
        </w:rPr>
        <w:t>’</w:t>
      </w:r>
      <w:r w:rsidRPr="00DC4FE0">
        <w:rPr>
          <w:rStyle w:val="SCCCounselPartyRoleChar"/>
          <w:lang w:val="fr-CA"/>
        </w:rPr>
        <w:t xml:space="preserve">intervenante </w:t>
      </w:r>
      <w:r w:rsidR="00FE17DC">
        <w:rPr>
          <w:rStyle w:val="SCCCounselPartyRoleChar"/>
          <w:lang w:val="fr-CA"/>
        </w:rPr>
        <w:t>l</w:t>
      </w:r>
      <w:r w:rsidR="002B0C0A">
        <w:rPr>
          <w:rStyle w:val="SCCCounselPartyRoleChar"/>
          <w:lang w:val="fr-CA"/>
        </w:rPr>
        <w:t>’</w:t>
      </w:r>
      <w:r w:rsidR="00F72379">
        <w:rPr>
          <w:lang w:val="fr-CA"/>
        </w:rPr>
        <w:t>Association du b</w:t>
      </w:r>
      <w:r w:rsidR="00FE17DC" w:rsidRPr="00DD3D77">
        <w:rPr>
          <w:lang w:val="fr-CA"/>
        </w:rPr>
        <w:t xml:space="preserve">arreau </w:t>
      </w:r>
      <w:r w:rsidR="00F72379">
        <w:rPr>
          <w:lang w:val="fr-CA"/>
        </w:rPr>
        <w:t>a</w:t>
      </w:r>
      <w:r w:rsidR="00FE17DC" w:rsidRPr="00DD3D77">
        <w:rPr>
          <w:lang w:val="fr-CA"/>
        </w:rPr>
        <w:t>utochtone au Canada</w:t>
      </w:r>
      <w:r w:rsidRPr="00DC4FE0">
        <w:rPr>
          <w:rStyle w:val="SCCCounselPartyRoleChar"/>
          <w:lang w:val="fr-CA"/>
        </w:rPr>
        <w:t>.</w:t>
      </w:r>
    </w:p>
    <w:p w:rsidR="0028059A" w:rsidRPr="00DC4FE0" w:rsidRDefault="0028059A" w:rsidP="00236C49">
      <w:pPr>
        <w:pStyle w:val="SCCNormalDoubleSpacing"/>
        <w:spacing w:after="480"/>
        <w:rPr>
          <w:lang w:val="fr-CA"/>
        </w:rPr>
      </w:pPr>
      <w:r>
        <w:rPr>
          <w:rStyle w:val="SCCCounselNameChar"/>
          <w:lang w:val="fr-CA"/>
        </w:rPr>
        <w:tab/>
        <w:t>Maria Morellato</w:t>
      </w:r>
      <w:r w:rsidRPr="00DC4FE0">
        <w:rPr>
          <w:rStyle w:val="SCCCounselPartyRoleChar"/>
          <w:lang w:val="fr-CA"/>
        </w:rPr>
        <w:t>,</w:t>
      </w:r>
      <w:r w:rsidRPr="007946F7">
        <w:rPr>
          <w:rStyle w:val="SCCCounselPartyRoleChar"/>
          <w:lang w:val="fr-CA"/>
        </w:rPr>
        <w:t xml:space="preserve"> </w:t>
      </w:r>
      <w:r w:rsidR="007946F7">
        <w:rPr>
          <w:rStyle w:val="SCCCounselPartyRoleChar"/>
          <w:i/>
          <w:lang w:val="fr-CA"/>
        </w:rPr>
        <w:t>c.r.</w:t>
      </w:r>
      <w:r>
        <w:rPr>
          <w:rStyle w:val="SCCCounselPartyRoleChar"/>
          <w:lang w:val="fr-CA"/>
        </w:rPr>
        <w:t xml:space="preserve">, </w:t>
      </w:r>
      <w:r w:rsidRPr="0028059A">
        <w:rPr>
          <w:rStyle w:val="SCCCounselPartyRoleChar"/>
          <w:i/>
          <w:lang w:val="fr-CA"/>
        </w:rPr>
        <w:t>Cheryl Sharvit</w:t>
      </w:r>
      <w:r>
        <w:rPr>
          <w:rStyle w:val="SCCCounselPartyRoleChar"/>
          <w:lang w:val="fr-CA"/>
        </w:rPr>
        <w:t xml:space="preserve"> et </w:t>
      </w:r>
      <w:r w:rsidRPr="0028059A">
        <w:rPr>
          <w:rStyle w:val="SCCCounselPartyRoleChar"/>
          <w:i/>
          <w:lang w:val="fr-CA"/>
        </w:rPr>
        <w:t>Stacey Edzerza</w:t>
      </w:r>
      <w:r w:rsidR="00494888">
        <w:rPr>
          <w:rStyle w:val="SCCCounselPartyRoleChar"/>
          <w:i/>
          <w:lang w:val="fr-CA"/>
        </w:rPr>
        <w:t xml:space="preserve"> </w:t>
      </w:r>
      <w:r w:rsidRPr="0028059A">
        <w:rPr>
          <w:rStyle w:val="SCCCounselPartyRoleChar"/>
          <w:i/>
          <w:lang w:val="fr-CA"/>
        </w:rPr>
        <w:t>Fox</w:t>
      </w:r>
      <w:r>
        <w:rPr>
          <w:rStyle w:val="SCCCounselPartyRoleChar"/>
          <w:lang w:val="fr-CA"/>
        </w:rPr>
        <w:t>,</w:t>
      </w:r>
      <w:r w:rsidRPr="00DC4FE0">
        <w:rPr>
          <w:rStyle w:val="SCCCounselPartyRoleChar"/>
          <w:lang w:val="fr-CA"/>
        </w:rPr>
        <w:t xml:space="preserve"> pour l</w:t>
      </w:r>
      <w:r w:rsidR="002B0C0A">
        <w:rPr>
          <w:rStyle w:val="SCCCounselPartyRoleChar"/>
          <w:lang w:val="fr-CA"/>
        </w:rPr>
        <w:t>’</w:t>
      </w:r>
      <w:r w:rsidR="00FE17DC">
        <w:rPr>
          <w:rStyle w:val="SCCCounselPartyRoleChar"/>
          <w:lang w:val="fr-CA"/>
        </w:rPr>
        <w:t>intervenant</w:t>
      </w:r>
      <w:r w:rsidRPr="00DC4FE0">
        <w:rPr>
          <w:rStyle w:val="SCCCounselPartyRoleChar"/>
          <w:lang w:val="fr-CA"/>
        </w:rPr>
        <w:t xml:space="preserve"> </w:t>
      </w:r>
      <w:r>
        <w:rPr>
          <w:lang w:val="fr-CA"/>
        </w:rPr>
        <w:t>le Sommet</w:t>
      </w:r>
      <w:r w:rsidR="006B60C9">
        <w:rPr>
          <w:lang w:val="fr-CA"/>
        </w:rPr>
        <w:t xml:space="preserve"> des Premières N</w:t>
      </w:r>
      <w:r>
        <w:rPr>
          <w:lang w:val="fr-CA"/>
        </w:rPr>
        <w:t>ations</w:t>
      </w:r>
      <w:r w:rsidRPr="00DC4FE0">
        <w:rPr>
          <w:rStyle w:val="SCCCounselPartyRoleChar"/>
          <w:lang w:val="fr-CA"/>
        </w:rPr>
        <w:t>.</w:t>
      </w:r>
    </w:p>
    <w:p w:rsidR="00584981" w:rsidRPr="00DD3D77" w:rsidRDefault="0028059A" w:rsidP="00236C49">
      <w:pPr>
        <w:pStyle w:val="SCCNormalDoubleSpacing"/>
        <w:spacing w:after="480"/>
        <w:rPr>
          <w:lang w:val="fr-CA"/>
        </w:rPr>
      </w:pPr>
      <w:r w:rsidRPr="007946F7">
        <w:rPr>
          <w:rStyle w:val="SCCCounselNameChar"/>
          <w:i w:val="0"/>
          <w:lang w:val="fr-CA"/>
        </w:rPr>
        <w:tab/>
      </w:r>
      <w:r w:rsidR="00FE17DC">
        <w:rPr>
          <w:rStyle w:val="SCCCounselNameChar"/>
          <w:i w:val="0"/>
          <w:lang w:val="fr-CA"/>
        </w:rPr>
        <w:t xml:space="preserve">Argumentation écrite seulement par </w:t>
      </w:r>
      <w:r w:rsidR="00E349EE" w:rsidRPr="00DD3D77">
        <w:rPr>
          <w:rStyle w:val="SCCCounselNameChar"/>
          <w:lang w:val="fr-CA"/>
        </w:rPr>
        <w:t>John</w:t>
      </w:r>
      <w:r w:rsidR="000F2258">
        <w:rPr>
          <w:rStyle w:val="SCCCounselNameChar"/>
          <w:lang w:val="fr-CA"/>
        </w:rPr>
        <w:t xml:space="preserve"> </w:t>
      </w:r>
      <w:r w:rsidR="00E349EE" w:rsidRPr="00DD3D77">
        <w:rPr>
          <w:rStyle w:val="SCCCounselNameChar"/>
          <w:lang w:val="fr-CA"/>
        </w:rPr>
        <w:t>W. Gailus</w:t>
      </w:r>
      <w:r w:rsidR="00E349EE" w:rsidRPr="00DD3D77">
        <w:rPr>
          <w:rStyle w:val="SCCCounselNameChar"/>
          <w:i w:val="0"/>
          <w:lang w:val="fr-CA"/>
        </w:rPr>
        <w:t xml:space="preserve"> et </w:t>
      </w:r>
      <w:r w:rsidR="00E349EE" w:rsidRPr="00DD3D77">
        <w:rPr>
          <w:rStyle w:val="SCCCounselNameChar"/>
          <w:lang w:val="fr-CA"/>
        </w:rPr>
        <w:t>Christopher</w:t>
      </w:r>
      <w:r w:rsidR="000F2258">
        <w:rPr>
          <w:rStyle w:val="SCCCounselNameChar"/>
          <w:lang w:val="fr-CA"/>
        </w:rPr>
        <w:t xml:space="preserve"> </w:t>
      </w:r>
      <w:r w:rsidR="00E349EE" w:rsidRPr="00DD3D77">
        <w:rPr>
          <w:rStyle w:val="SCCCounselNameChar"/>
          <w:lang w:val="fr-CA"/>
        </w:rPr>
        <w:t>G. Devlin</w:t>
      </w:r>
      <w:r w:rsidR="00E349EE" w:rsidRPr="00DD3D77">
        <w:rPr>
          <w:rStyle w:val="SCCCounselNameChar"/>
          <w:i w:val="0"/>
          <w:lang w:val="fr-CA"/>
        </w:rPr>
        <w:t xml:space="preserve">, </w:t>
      </w:r>
      <w:r w:rsidR="00D639C0" w:rsidRPr="00DD3D77">
        <w:rPr>
          <w:rStyle w:val="SCCCounselPartyRoleChar"/>
          <w:lang w:val="fr-CA"/>
        </w:rPr>
        <w:t>pour l</w:t>
      </w:r>
      <w:r w:rsidR="009806E4" w:rsidRPr="00DD3D77">
        <w:rPr>
          <w:rStyle w:val="SCCCounselPartyRoleChar"/>
          <w:lang w:val="fr-CA"/>
        </w:rPr>
        <w:t xml:space="preserve">es </w:t>
      </w:r>
      <w:r w:rsidR="00D639C0" w:rsidRPr="00DD3D77">
        <w:rPr>
          <w:rStyle w:val="SCCCounselPartyRoleChar"/>
          <w:lang w:val="fr-CA"/>
        </w:rPr>
        <w:t>intervenante</w:t>
      </w:r>
      <w:r w:rsidR="009806E4" w:rsidRPr="00DD3D77">
        <w:rPr>
          <w:rStyle w:val="SCCCounselPartyRoleChar"/>
          <w:lang w:val="fr-CA"/>
        </w:rPr>
        <w:t>s</w:t>
      </w:r>
      <w:r w:rsidR="00D639C0" w:rsidRPr="00DD3D77">
        <w:rPr>
          <w:rStyle w:val="SCCCounselPartyRoleChar"/>
          <w:lang w:val="fr-CA"/>
        </w:rPr>
        <w:t xml:space="preserve"> </w:t>
      </w:r>
      <w:r w:rsidR="00FE17DC" w:rsidRPr="00DD3D77">
        <w:rPr>
          <w:rStyle w:val="SCCCounselPartyRoleChar"/>
          <w:lang w:val="fr-CA"/>
        </w:rPr>
        <w:t xml:space="preserve">la </w:t>
      </w:r>
      <w:r w:rsidR="006B60C9">
        <w:rPr>
          <w:lang w:val="fr-CA"/>
        </w:rPr>
        <w:t>Première Nation Tsawout, la Première Nation Tsartlip, la Première N</w:t>
      </w:r>
      <w:r w:rsidR="00FE17DC" w:rsidRPr="00DD3D77">
        <w:rPr>
          <w:lang w:val="fr-CA"/>
        </w:rPr>
        <w:t xml:space="preserve">ation Snuneymuxw et la Première </w:t>
      </w:r>
      <w:r w:rsidR="006B60C9">
        <w:rPr>
          <w:lang w:val="fr-CA"/>
        </w:rPr>
        <w:t>N</w:t>
      </w:r>
      <w:r w:rsidR="00FE17DC" w:rsidRPr="00DD3D77">
        <w:rPr>
          <w:lang w:val="fr-CA"/>
        </w:rPr>
        <w:t>ation Kwakiutl</w:t>
      </w:r>
      <w:r w:rsidR="00D639C0" w:rsidRPr="00DD3D77">
        <w:rPr>
          <w:rStyle w:val="SCCCounselPartyRoleChar"/>
          <w:lang w:val="fr-CA"/>
        </w:rPr>
        <w:t>.</w:t>
      </w:r>
    </w:p>
    <w:p w:rsidR="00584981" w:rsidRPr="00DD3D77" w:rsidRDefault="00D639C0" w:rsidP="00236C49">
      <w:pPr>
        <w:pStyle w:val="SCCNormalDoubleSpacing"/>
        <w:spacing w:after="480"/>
        <w:rPr>
          <w:lang w:val="fr-CA"/>
        </w:rPr>
      </w:pPr>
      <w:r w:rsidRPr="00DD3D77">
        <w:rPr>
          <w:rStyle w:val="SCCCounselNameChar"/>
          <w:lang w:val="fr-CA"/>
        </w:rPr>
        <w:tab/>
      </w:r>
      <w:r w:rsidR="00377BAD" w:rsidRPr="00DD3D77">
        <w:rPr>
          <w:rStyle w:val="SCCCounselNameChar"/>
          <w:lang w:val="fr-CA"/>
        </w:rPr>
        <w:t>Louise Mandell</w:t>
      </w:r>
      <w:r w:rsidR="00377BAD" w:rsidRPr="00DD3D77">
        <w:rPr>
          <w:rStyle w:val="SCCCounselNameChar"/>
          <w:i w:val="0"/>
          <w:lang w:val="fr-CA"/>
        </w:rPr>
        <w:t>,</w:t>
      </w:r>
      <w:r w:rsidR="00377BAD" w:rsidRPr="00DD3D77">
        <w:rPr>
          <w:rStyle w:val="SCCCounselNameChar"/>
          <w:lang w:val="fr-CA"/>
        </w:rPr>
        <w:t xml:space="preserve"> </w:t>
      </w:r>
      <w:r w:rsidR="007946F7" w:rsidRPr="00DD3D77">
        <w:rPr>
          <w:rStyle w:val="SCCCounselNameChar"/>
          <w:lang w:val="fr-CA"/>
        </w:rPr>
        <w:t>c.r.</w:t>
      </w:r>
      <w:r w:rsidR="00377BAD" w:rsidRPr="00DD3D77">
        <w:rPr>
          <w:rStyle w:val="SCCCounselSeparatorChar"/>
          <w:lang w:val="fr-CA"/>
        </w:rPr>
        <w:t xml:space="preserve">, </w:t>
      </w:r>
      <w:r w:rsidR="00377BAD" w:rsidRPr="00DD3D77">
        <w:rPr>
          <w:rStyle w:val="SCCCounselNameChar"/>
          <w:lang w:val="fr-CA"/>
        </w:rPr>
        <w:t>Michael Jackson</w:t>
      </w:r>
      <w:r w:rsidR="00377BAD" w:rsidRPr="00DD3D77">
        <w:rPr>
          <w:rStyle w:val="SCCCounselNameChar"/>
          <w:i w:val="0"/>
          <w:lang w:val="fr-CA"/>
        </w:rPr>
        <w:t>,</w:t>
      </w:r>
      <w:r w:rsidR="00377BAD" w:rsidRPr="00DD3D77">
        <w:rPr>
          <w:rStyle w:val="SCCCounselNameChar"/>
          <w:lang w:val="fr-CA"/>
        </w:rPr>
        <w:t xml:space="preserve"> </w:t>
      </w:r>
      <w:r w:rsidR="007946F7" w:rsidRPr="00DD3D77">
        <w:rPr>
          <w:rStyle w:val="SCCCounselNameChar"/>
          <w:lang w:val="fr-CA"/>
        </w:rPr>
        <w:t>c.r.</w:t>
      </w:r>
      <w:r w:rsidR="00377BAD" w:rsidRPr="00DD3D77">
        <w:rPr>
          <w:rStyle w:val="SCCCounselSeparatorChar"/>
          <w:lang w:val="fr-CA"/>
        </w:rPr>
        <w:t xml:space="preserve">, </w:t>
      </w:r>
      <w:r w:rsidR="00377BAD" w:rsidRPr="00DD3D77">
        <w:rPr>
          <w:rStyle w:val="SCCCounselNameChar"/>
          <w:lang w:val="fr-CA"/>
        </w:rPr>
        <w:t xml:space="preserve">Ardith Walkem </w:t>
      </w:r>
      <w:r w:rsidR="00E349EE" w:rsidRPr="00DD3D77">
        <w:rPr>
          <w:rStyle w:val="SCCCounselNameChar"/>
          <w:i w:val="0"/>
          <w:lang w:val="fr-CA"/>
        </w:rPr>
        <w:t>et</w:t>
      </w:r>
      <w:r w:rsidR="00377BAD" w:rsidRPr="00DD3D77">
        <w:rPr>
          <w:rStyle w:val="SCCCounselSeparatorChar"/>
          <w:lang w:val="fr-CA"/>
        </w:rPr>
        <w:t xml:space="preserve"> </w:t>
      </w:r>
      <w:r w:rsidR="00377BAD" w:rsidRPr="00DD3D77">
        <w:rPr>
          <w:rStyle w:val="SCCCounselNameChar"/>
          <w:lang w:val="fr-CA"/>
        </w:rPr>
        <w:t>Nicole Schabus</w:t>
      </w:r>
      <w:r w:rsidR="00377BAD" w:rsidRPr="00DD3D77">
        <w:rPr>
          <w:rStyle w:val="SCCCounselPartyRoleChar"/>
          <w:lang w:val="fr-CA"/>
        </w:rPr>
        <w:t xml:space="preserve">, </w:t>
      </w:r>
      <w:r w:rsidRPr="00DD3D77">
        <w:rPr>
          <w:rStyle w:val="SCCCounselPartyRoleChar"/>
          <w:lang w:val="fr-CA"/>
        </w:rPr>
        <w:t>pour l</w:t>
      </w:r>
      <w:r w:rsidR="00632200">
        <w:rPr>
          <w:rStyle w:val="SCCCounselPartyRoleChar"/>
          <w:lang w:val="fr-CA"/>
        </w:rPr>
        <w:t>’</w:t>
      </w:r>
      <w:r w:rsidRPr="00DD3D77">
        <w:rPr>
          <w:rStyle w:val="SCCCounselPartyRoleChar"/>
          <w:lang w:val="fr-CA"/>
        </w:rPr>
        <w:t>intervenant</w:t>
      </w:r>
      <w:r w:rsidR="00632200">
        <w:rPr>
          <w:rStyle w:val="SCCCounselPartyRoleChar"/>
          <w:lang w:val="fr-CA"/>
        </w:rPr>
        <w:t>e</w:t>
      </w:r>
      <w:r w:rsidR="00FE17DC" w:rsidRPr="00DD3D77">
        <w:rPr>
          <w:rStyle w:val="SCCCounselPartyRoleChar"/>
          <w:lang w:val="fr-CA"/>
        </w:rPr>
        <w:t xml:space="preserve"> la</w:t>
      </w:r>
      <w:r w:rsidRPr="00DD3D77">
        <w:rPr>
          <w:rStyle w:val="SCCCounselPartyRoleChar"/>
          <w:lang w:val="fr-CA"/>
        </w:rPr>
        <w:t xml:space="preserve"> </w:t>
      </w:r>
      <w:r w:rsidR="00FE17DC" w:rsidRPr="00DD3D77">
        <w:rPr>
          <w:rStyle w:val="SCCCounselPartyRoleChar"/>
          <w:lang w:val="fr-CA"/>
        </w:rPr>
        <w:t>Coalition de l</w:t>
      </w:r>
      <w:r w:rsidR="002B0C0A">
        <w:rPr>
          <w:rStyle w:val="SCCCounselPartyRoleChar"/>
          <w:lang w:val="fr-CA"/>
        </w:rPr>
        <w:t>’</w:t>
      </w:r>
      <w:r w:rsidR="00FE17DC" w:rsidRPr="00DD3D77">
        <w:rPr>
          <w:rStyle w:val="SCCCounselPartyRoleChar"/>
          <w:lang w:val="fr-CA"/>
        </w:rPr>
        <w:t xml:space="preserve">Union des </w:t>
      </w:r>
      <w:r w:rsidR="00632200">
        <w:rPr>
          <w:rStyle w:val="SCCCounselPartyRoleChar"/>
          <w:lang w:val="fr-CA"/>
        </w:rPr>
        <w:t>c</w:t>
      </w:r>
      <w:r w:rsidR="00FE17DC" w:rsidRPr="00DD3D77">
        <w:rPr>
          <w:rStyle w:val="SCCCounselPartyRoleChar"/>
          <w:lang w:val="fr-CA"/>
        </w:rPr>
        <w:t>hefs indiens de la C</w:t>
      </w:r>
      <w:r w:rsidR="00FE6B46">
        <w:rPr>
          <w:rStyle w:val="SCCCounselPartyRoleChar"/>
          <w:lang w:val="fr-CA"/>
        </w:rPr>
        <w:t>olombie-Britannique</w:t>
      </w:r>
      <w:r w:rsidR="00FE17DC" w:rsidRPr="00DD3D77">
        <w:rPr>
          <w:rStyle w:val="SCCCounselPartyRoleChar"/>
          <w:lang w:val="fr-CA"/>
        </w:rPr>
        <w:t>,</w:t>
      </w:r>
      <w:r w:rsidR="00320D90">
        <w:rPr>
          <w:rStyle w:val="SCCCounselPartyRoleChar"/>
          <w:lang w:val="fr-CA"/>
        </w:rPr>
        <w:t xml:space="preserve"> </w:t>
      </w:r>
      <w:r w:rsidR="005E16D2">
        <w:rPr>
          <w:rStyle w:val="SCCCounselPartyRoleChar"/>
          <w:lang w:val="fr-CA"/>
        </w:rPr>
        <w:t>l</w:t>
      </w:r>
      <w:r w:rsidR="002B0C0A">
        <w:rPr>
          <w:rStyle w:val="SCCCounselPartyRoleChar"/>
          <w:lang w:val="fr-CA"/>
        </w:rPr>
        <w:t>’</w:t>
      </w:r>
      <w:r w:rsidR="005E16D2">
        <w:rPr>
          <w:rStyle w:val="SCCCounselPartyRoleChar"/>
          <w:lang w:val="fr-CA"/>
        </w:rPr>
        <w:t>Alliance des N</w:t>
      </w:r>
      <w:r w:rsidR="00FE17DC" w:rsidRPr="00DD3D77">
        <w:rPr>
          <w:rStyle w:val="SCCCounselPartyRoleChar"/>
          <w:lang w:val="fr-CA"/>
        </w:rPr>
        <w:t>ations de l</w:t>
      </w:r>
      <w:r w:rsidR="002B0C0A">
        <w:rPr>
          <w:rStyle w:val="SCCCounselPartyRoleChar"/>
          <w:lang w:val="fr-CA"/>
        </w:rPr>
        <w:t>’</w:t>
      </w:r>
      <w:r w:rsidR="00FE17DC" w:rsidRPr="00DD3D77">
        <w:rPr>
          <w:rStyle w:val="SCCCounselPartyRoleChar"/>
          <w:lang w:val="fr-CA"/>
        </w:rPr>
        <w:t xml:space="preserve">Okanagan, le Conseil tribal de la Nation Shuswap et </w:t>
      </w:r>
      <w:r w:rsidR="00632200">
        <w:rPr>
          <w:rStyle w:val="SCCCounselPartyRoleChar"/>
          <w:lang w:val="fr-CA"/>
        </w:rPr>
        <w:t>leurs</w:t>
      </w:r>
      <w:r w:rsidR="00320D90">
        <w:rPr>
          <w:rStyle w:val="SCCCounselPartyRoleChar"/>
          <w:lang w:val="fr-CA"/>
        </w:rPr>
        <w:t xml:space="preserve"> </w:t>
      </w:r>
      <w:r w:rsidR="00320D90" w:rsidRPr="00320D90">
        <w:rPr>
          <w:rStyle w:val="SCCCounselPartyRoleChar"/>
          <w:lang w:val="fr-CA"/>
        </w:rPr>
        <w:t xml:space="preserve">communautés </w:t>
      </w:r>
      <w:r w:rsidR="00FE17DC" w:rsidRPr="00320D90">
        <w:rPr>
          <w:rStyle w:val="SCCCounselPartyRoleChar"/>
          <w:lang w:val="fr-CA"/>
        </w:rPr>
        <w:t>membres, les</w:t>
      </w:r>
      <w:r w:rsidR="00320D90" w:rsidRPr="00320D90">
        <w:rPr>
          <w:rStyle w:val="SCCCounselPartyRoleChar"/>
          <w:lang w:val="fr-CA"/>
        </w:rPr>
        <w:t xml:space="preserve"> </w:t>
      </w:r>
      <w:r w:rsidR="00281148">
        <w:rPr>
          <w:rStyle w:val="SCCCounselPartyRoleChar"/>
          <w:lang w:val="fr-CA"/>
        </w:rPr>
        <w:t>b</w:t>
      </w:r>
      <w:r w:rsidR="00FE17DC" w:rsidRPr="00320D90">
        <w:rPr>
          <w:rStyle w:val="SCCCounselPartyRoleChar"/>
          <w:lang w:val="fr-CA"/>
        </w:rPr>
        <w:t xml:space="preserve">andes indiennes </w:t>
      </w:r>
      <w:r w:rsidR="00320D90" w:rsidRPr="00320D90">
        <w:rPr>
          <w:rStyle w:val="SCCCounselPartyRoleChar"/>
          <w:lang w:val="fr-CA"/>
        </w:rPr>
        <w:t>d</w:t>
      </w:r>
      <w:r w:rsidR="002B0C0A">
        <w:rPr>
          <w:rStyle w:val="SCCCounselPartyRoleChar"/>
          <w:lang w:val="fr-CA"/>
        </w:rPr>
        <w:t>’</w:t>
      </w:r>
      <w:r w:rsidR="00FE17DC" w:rsidRPr="00320D90">
        <w:rPr>
          <w:rStyle w:val="SCCCounselPartyRoleChar"/>
          <w:lang w:val="fr-CA"/>
        </w:rPr>
        <w:t xml:space="preserve">Okanagan, </w:t>
      </w:r>
      <w:r w:rsidR="00320D90" w:rsidRPr="00320D90">
        <w:rPr>
          <w:rStyle w:val="SCCCounselPartyRoleChar"/>
          <w:lang w:val="fr-CA"/>
        </w:rPr>
        <w:t>d</w:t>
      </w:r>
      <w:r w:rsidR="002B0C0A">
        <w:rPr>
          <w:rStyle w:val="SCCCounselPartyRoleChar"/>
          <w:lang w:val="fr-CA"/>
        </w:rPr>
        <w:t>’</w:t>
      </w:r>
      <w:r w:rsidR="00FE17DC" w:rsidRPr="00320D90">
        <w:rPr>
          <w:rStyle w:val="SCCCounselPartyRoleChar"/>
          <w:lang w:val="fr-CA"/>
        </w:rPr>
        <w:t xml:space="preserve">Adams Lake, </w:t>
      </w:r>
      <w:r w:rsidR="00320D90" w:rsidRPr="00320D90">
        <w:rPr>
          <w:rStyle w:val="SCCCounselPartyRoleChar"/>
          <w:lang w:val="fr-CA"/>
        </w:rPr>
        <w:t>d</w:t>
      </w:r>
      <w:r w:rsidR="00632200">
        <w:rPr>
          <w:rStyle w:val="SCCCounselPartyRoleChar"/>
          <w:lang w:val="fr-CA"/>
        </w:rPr>
        <w:t xml:space="preserve">e </w:t>
      </w:r>
      <w:r w:rsidR="00FE17DC" w:rsidRPr="00320D90">
        <w:rPr>
          <w:rStyle w:val="SCCCounselPartyRoleChar"/>
          <w:lang w:val="fr-CA"/>
        </w:rPr>
        <w:t xml:space="preserve">Neskonlith et </w:t>
      </w:r>
      <w:r w:rsidR="00320D90" w:rsidRPr="00320D90">
        <w:rPr>
          <w:rStyle w:val="SCCCounselPartyRoleChar"/>
          <w:lang w:val="fr-CA"/>
        </w:rPr>
        <w:t xml:space="preserve">de </w:t>
      </w:r>
      <w:r w:rsidR="00FE17DC" w:rsidRPr="00320D90">
        <w:rPr>
          <w:rStyle w:val="SCCCounselPartyRoleChar"/>
          <w:lang w:val="fr-CA"/>
        </w:rPr>
        <w:t>Splatsin</w:t>
      </w:r>
      <w:r w:rsidRPr="00320D90">
        <w:rPr>
          <w:rStyle w:val="SCCCounselPartyRoleChar"/>
          <w:lang w:val="fr-CA"/>
        </w:rPr>
        <w:t>.</w:t>
      </w:r>
    </w:p>
    <w:p w:rsidR="00584981" w:rsidRPr="00DC4FE0" w:rsidRDefault="00D639C0" w:rsidP="00236C49">
      <w:pPr>
        <w:pStyle w:val="SCCNormalDoubleSpacing"/>
        <w:spacing w:after="480"/>
        <w:rPr>
          <w:lang w:val="fr-CA"/>
        </w:rPr>
      </w:pPr>
      <w:r w:rsidRPr="00DD3D77">
        <w:rPr>
          <w:rStyle w:val="SCCCounselNameChar"/>
          <w:lang w:val="fr-CA"/>
        </w:rPr>
        <w:tab/>
      </w:r>
      <w:r w:rsidRPr="00DC4FE0">
        <w:rPr>
          <w:rStyle w:val="SCCCounselNameChar"/>
          <w:lang w:val="fr-CA"/>
        </w:rPr>
        <w:t>Justin Safayeni</w:t>
      </w:r>
      <w:r w:rsidRPr="00DC4FE0">
        <w:rPr>
          <w:rStyle w:val="SCCCounselSeparatorChar"/>
          <w:lang w:val="fr-CA"/>
        </w:rPr>
        <w:t xml:space="preserve"> et </w:t>
      </w:r>
      <w:r w:rsidRPr="00DC4FE0">
        <w:rPr>
          <w:rStyle w:val="SCCCounselNameChar"/>
          <w:lang w:val="fr-CA"/>
        </w:rPr>
        <w:t>Paul Joffe</w:t>
      </w:r>
      <w:r w:rsidRPr="00DC4FE0">
        <w:rPr>
          <w:rStyle w:val="SCCCounselPartyRoleChar"/>
          <w:lang w:val="fr-CA"/>
        </w:rPr>
        <w:t>, pour l</w:t>
      </w:r>
      <w:r w:rsidR="007C4759">
        <w:rPr>
          <w:rStyle w:val="SCCCounselPartyRoleChar"/>
          <w:lang w:val="fr-CA"/>
        </w:rPr>
        <w:t xml:space="preserve">es </w:t>
      </w:r>
      <w:r w:rsidRPr="00DC4FE0">
        <w:rPr>
          <w:rStyle w:val="SCCCounselPartyRoleChar"/>
          <w:lang w:val="fr-CA"/>
        </w:rPr>
        <w:t>inter</w:t>
      </w:r>
      <w:r w:rsidR="009240DA">
        <w:rPr>
          <w:rStyle w:val="SCCCounselPartyRoleChar"/>
          <w:lang w:val="fr-CA"/>
        </w:rPr>
        <w:t>venant</w:t>
      </w:r>
      <w:r w:rsidR="007C4759">
        <w:rPr>
          <w:rStyle w:val="SCCCounselPartyRoleChar"/>
          <w:lang w:val="fr-CA"/>
        </w:rPr>
        <w:t>s</w:t>
      </w:r>
      <w:r w:rsidRPr="00DC4FE0">
        <w:rPr>
          <w:rStyle w:val="SCCCounselPartyRoleChar"/>
          <w:lang w:val="fr-CA"/>
        </w:rPr>
        <w:t xml:space="preserve"> </w:t>
      </w:r>
      <w:r w:rsidR="00FE17DC" w:rsidRPr="00DD3D77">
        <w:rPr>
          <w:lang w:val="fr-CA"/>
        </w:rPr>
        <w:t>Amnistie internationale</w:t>
      </w:r>
      <w:r w:rsidRPr="00DC4FE0">
        <w:rPr>
          <w:rStyle w:val="SCCCounselPartyRoleChar"/>
          <w:lang w:val="fr-CA"/>
        </w:rPr>
        <w:t xml:space="preserve"> et </w:t>
      </w:r>
      <w:r w:rsidR="00C47862">
        <w:rPr>
          <w:rStyle w:val="SCCCounselPartyRoleChar"/>
          <w:lang w:val="fr-CA"/>
        </w:rPr>
        <w:t>Secours Quaker canadien</w:t>
      </w:r>
      <w:r w:rsidRPr="00DC4FE0">
        <w:rPr>
          <w:rStyle w:val="SCCCounselPartyRoleChar"/>
          <w:lang w:val="fr-CA"/>
        </w:rPr>
        <w:t>.</w:t>
      </w:r>
    </w:p>
    <w:p w:rsidR="00584981" w:rsidRDefault="007946F7" w:rsidP="00236C49">
      <w:pPr>
        <w:pStyle w:val="SCCNormalDoubleSpacing"/>
        <w:spacing w:after="480"/>
        <w:rPr>
          <w:rStyle w:val="SCCCounselPartyRoleChar"/>
          <w:lang w:val="fr-CA"/>
        </w:rPr>
      </w:pPr>
      <w:r>
        <w:rPr>
          <w:rStyle w:val="SCCCounselNameChar"/>
          <w:lang w:val="fr-CA"/>
        </w:rPr>
        <w:tab/>
        <w:t>Tim</w:t>
      </w:r>
      <w:r w:rsidR="000F2258">
        <w:rPr>
          <w:rStyle w:val="SCCCounselNameChar"/>
          <w:lang w:val="fr-CA"/>
        </w:rPr>
        <w:t xml:space="preserve"> </w:t>
      </w:r>
      <w:r w:rsidR="00D639C0" w:rsidRPr="00DC4FE0">
        <w:rPr>
          <w:rStyle w:val="SCCCounselNameChar"/>
          <w:lang w:val="fr-CA"/>
        </w:rPr>
        <w:t>A. Dickson</w:t>
      </w:r>
      <w:r w:rsidR="00D639C0" w:rsidRPr="00DC4FE0">
        <w:rPr>
          <w:rStyle w:val="SCCCounselPartyRoleChar"/>
          <w:lang w:val="fr-CA"/>
        </w:rPr>
        <w:t>, pour l</w:t>
      </w:r>
      <w:r w:rsidR="002B0C0A">
        <w:rPr>
          <w:rStyle w:val="SCCCounselPartyRoleChar"/>
          <w:lang w:val="fr-CA"/>
        </w:rPr>
        <w:t>’</w:t>
      </w:r>
      <w:r w:rsidR="00F01A51">
        <w:rPr>
          <w:rStyle w:val="SCCCounselPartyRoleChar"/>
          <w:lang w:val="fr-CA"/>
        </w:rPr>
        <w:t>intervenant</w:t>
      </w:r>
      <w:r w:rsidR="00D639C0" w:rsidRPr="00DC4FE0">
        <w:rPr>
          <w:rStyle w:val="SCCCounselPartyRoleChar"/>
          <w:lang w:val="fr-CA"/>
        </w:rPr>
        <w:t xml:space="preserve">e </w:t>
      </w:r>
      <w:r w:rsidR="00FE17DC">
        <w:rPr>
          <w:rStyle w:val="SCCCounselPartyRoleChar"/>
          <w:lang w:val="fr-CA"/>
        </w:rPr>
        <w:t xml:space="preserve">la </w:t>
      </w:r>
      <w:r w:rsidR="00FE17DC" w:rsidRPr="00DD3D77">
        <w:rPr>
          <w:lang w:val="fr-CA"/>
        </w:rPr>
        <w:t>Nation Gitxaala</w:t>
      </w:r>
      <w:r w:rsidR="00D639C0" w:rsidRPr="00DC4FE0">
        <w:rPr>
          <w:rStyle w:val="SCCCounselPartyRoleChar"/>
          <w:lang w:val="fr-CA"/>
        </w:rPr>
        <w:t>.</w:t>
      </w:r>
    </w:p>
    <w:p w:rsidR="00584981" w:rsidRDefault="00D639C0" w:rsidP="00236C49">
      <w:pPr>
        <w:pStyle w:val="SCCNormalDoubleSpacing"/>
        <w:spacing w:after="480"/>
        <w:rPr>
          <w:rStyle w:val="SCCCounselPartyRoleChar"/>
          <w:lang w:val="fr-CA"/>
        </w:rPr>
      </w:pPr>
      <w:r w:rsidRPr="00DC4FE0">
        <w:rPr>
          <w:rStyle w:val="SCCCounselNameChar"/>
          <w:lang w:val="fr-CA"/>
        </w:rPr>
        <w:lastRenderedPageBreak/>
        <w:tab/>
      </w:r>
      <w:r w:rsidR="00E349EE">
        <w:rPr>
          <w:rStyle w:val="SCCCounselNameChar"/>
          <w:lang w:val="fr-CA"/>
        </w:rPr>
        <w:t>Gregory</w:t>
      </w:r>
      <w:r w:rsidR="000F2258">
        <w:rPr>
          <w:rStyle w:val="SCCCounselNameChar"/>
          <w:lang w:val="fr-CA"/>
        </w:rPr>
        <w:t xml:space="preserve"> </w:t>
      </w:r>
      <w:r w:rsidRPr="00D95D1D">
        <w:rPr>
          <w:rStyle w:val="SCCCounselNameChar"/>
          <w:lang w:val="fr-CA"/>
        </w:rPr>
        <w:t>J. McDade</w:t>
      </w:r>
      <w:r w:rsidR="00B83A1C" w:rsidRPr="00D95D1D">
        <w:rPr>
          <w:rStyle w:val="SCCCounselNameChar"/>
          <w:i w:val="0"/>
          <w:lang w:val="fr-CA"/>
        </w:rPr>
        <w:t>,</w:t>
      </w:r>
      <w:r w:rsidR="00B83A1C" w:rsidRPr="00D95D1D">
        <w:rPr>
          <w:rStyle w:val="SCCCounselNameChar"/>
          <w:lang w:val="fr-CA"/>
        </w:rPr>
        <w:t xml:space="preserve"> </w:t>
      </w:r>
      <w:r w:rsidR="007946F7">
        <w:rPr>
          <w:rStyle w:val="SCCCounselNameChar"/>
          <w:lang w:val="fr-CA"/>
        </w:rPr>
        <w:t>c.r.</w:t>
      </w:r>
      <w:r w:rsidR="00B83A1C" w:rsidRPr="00D95D1D">
        <w:rPr>
          <w:rStyle w:val="SCCCounselSeparatorChar"/>
          <w:lang w:val="fr-CA"/>
        </w:rPr>
        <w:t>,</w:t>
      </w:r>
      <w:r w:rsidR="00B83A1C" w:rsidRPr="00D95D1D">
        <w:rPr>
          <w:rStyle w:val="SCCCounselSeparatorChar"/>
          <w:i/>
          <w:lang w:val="fr-CA"/>
        </w:rPr>
        <w:t xml:space="preserve"> </w:t>
      </w:r>
      <w:r w:rsidR="00B83A1C" w:rsidRPr="00D95D1D">
        <w:rPr>
          <w:rStyle w:val="SCCCounselSeparatorChar"/>
          <w:lang w:val="fr-CA"/>
        </w:rPr>
        <w:t>et</w:t>
      </w:r>
      <w:r w:rsidRPr="00D95D1D">
        <w:rPr>
          <w:rStyle w:val="SCCCounselSeparatorChar"/>
          <w:lang w:val="fr-CA"/>
        </w:rPr>
        <w:t xml:space="preserve"> </w:t>
      </w:r>
      <w:r w:rsidR="00E349EE">
        <w:rPr>
          <w:rStyle w:val="SCCCounselNameChar"/>
          <w:lang w:val="fr-CA"/>
        </w:rPr>
        <w:t>F.</w:t>
      </w:r>
      <w:r w:rsidR="000F2258">
        <w:rPr>
          <w:rStyle w:val="SCCCounselNameChar"/>
          <w:lang w:val="fr-CA"/>
        </w:rPr>
        <w:t xml:space="preserve"> </w:t>
      </w:r>
      <w:r w:rsidRPr="00D95D1D">
        <w:rPr>
          <w:rStyle w:val="SCCCounselNameChar"/>
          <w:lang w:val="fr-CA"/>
        </w:rPr>
        <w:t>Matthew Kirchner</w:t>
      </w:r>
      <w:r w:rsidRPr="00D95D1D">
        <w:rPr>
          <w:rStyle w:val="SCCCounselPartyRoleChar"/>
          <w:lang w:val="fr-CA"/>
        </w:rPr>
        <w:t>, pour l</w:t>
      </w:r>
      <w:r w:rsidR="00D95D1D" w:rsidRPr="00D95D1D">
        <w:rPr>
          <w:rStyle w:val="SCCCounselPartyRoleChar"/>
          <w:lang w:val="fr-CA"/>
        </w:rPr>
        <w:t>e</w:t>
      </w:r>
      <w:r w:rsidR="00D95D1D">
        <w:rPr>
          <w:rStyle w:val="SCCCounselPartyRoleChar"/>
          <w:lang w:val="fr-CA"/>
        </w:rPr>
        <w:t xml:space="preserve">s </w:t>
      </w:r>
      <w:r w:rsidRPr="00D95D1D">
        <w:rPr>
          <w:rStyle w:val="SCCCounselPartyRoleChar"/>
          <w:lang w:val="fr-CA"/>
        </w:rPr>
        <w:t>intervenant</w:t>
      </w:r>
      <w:r w:rsidR="00D95D1D">
        <w:rPr>
          <w:rStyle w:val="SCCCounselPartyRoleChar"/>
          <w:lang w:val="fr-CA"/>
        </w:rPr>
        <w:t>s</w:t>
      </w:r>
      <w:r w:rsidRPr="00D95D1D">
        <w:rPr>
          <w:rStyle w:val="SCCCounselPartyRoleChar"/>
          <w:lang w:val="fr-CA"/>
        </w:rPr>
        <w:t xml:space="preserve"> Chilko Resorts and Community Association et </w:t>
      </w:r>
      <w:r w:rsidR="00FE17DC">
        <w:rPr>
          <w:rStyle w:val="SCCCounselPartyRoleChar"/>
          <w:lang w:val="fr-CA"/>
        </w:rPr>
        <w:t xml:space="preserve">le </w:t>
      </w:r>
      <w:r w:rsidR="00FE17DC" w:rsidRPr="00DD3D77">
        <w:rPr>
          <w:lang w:val="fr-CA"/>
        </w:rPr>
        <w:t>Conseil des Canadiens</w:t>
      </w:r>
      <w:r w:rsidRPr="00D95D1D">
        <w:rPr>
          <w:rStyle w:val="SCCCounselPartyRoleChar"/>
          <w:lang w:val="fr-CA"/>
        </w:rPr>
        <w:t>.</w:t>
      </w:r>
      <w:r w:rsidR="000F2258">
        <w:rPr>
          <w:rStyle w:val="SCCCounselPartyRoleChar"/>
          <w:lang w:val="fr-CA"/>
        </w:rPr>
        <w:t xml:space="preserve"> </w:t>
      </w:r>
    </w:p>
    <w:p w:rsidR="004F4572" w:rsidRPr="00377035" w:rsidRDefault="004F4572" w:rsidP="004F4572">
      <w:pPr>
        <w:spacing w:after="240" w:line="480" w:lineRule="auto"/>
        <w:ind w:right="1080"/>
        <w:jc w:val="center"/>
        <w:rPr>
          <w:b/>
          <w:lang w:val="fr-CA"/>
        </w:rPr>
      </w:pPr>
      <w:bookmarkStart w:id="0" w:name="_Toc389497739"/>
      <w:bookmarkStart w:id="1" w:name="_Toc391446161"/>
      <w:r w:rsidRPr="00377035">
        <w:rPr>
          <w:b/>
          <w:lang w:val="fr-CA"/>
        </w:rPr>
        <w:t>TABLE DES MATIÈRES</w:t>
      </w:r>
    </w:p>
    <w:p w:rsidR="004F4572" w:rsidRPr="00377035" w:rsidRDefault="004F4572" w:rsidP="004F4572">
      <w:pPr>
        <w:tabs>
          <w:tab w:val="right" w:pos="8280"/>
        </w:tabs>
        <w:spacing w:after="240" w:line="480" w:lineRule="auto"/>
        <w:ind w:right="1080"/>
        <w:rPr>
          <w:lang w:val="fr-CA"/>
        </w:rPr>
      </w:pPr>
      <w:r w:rsidRPr="00377035">
        <w:rPr>
          <w:lang w:val="fr-CA"/>
        </w:rPr>
        <w:tab/>
        <w:t>Paragraphe</w:t>
      </w:r>
    </w:p>
    <w:p w:rsidR="004F4572" w:rsidRPr="00377035"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I.</w:t>
      </w:r>
      <w:r w:rsidRPr="00377035">
        <w:rPr>
          <w:lang w:val="fr-CA"/>
        </w:rPr>
        <w:tab/>
      </w:r>
      <w:r w:rsidRPr="00377035">
        <w:rPr>
          <w:u w:val="single"/>
          <w:lang w:val="fr-CA"/>
        </w:rPr>
        <w:t>Introduction</w:t>
      </w:r>
      <w:r w:rsidRPr="00377035">
        <w:rPr>
          <w:lang w:val="fr-CA"/>
        </w:rPr>
        <w:tab/>
        <w:t>1</w:t>
      </w:r>
    </w:p>
    <w:p w:rsidR="004F4572" w:rsidRPr="00377035"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II.</w:t>
      </w:r>
      <w:r w:rsidRPr="00377035">
        <w:rPr>
          <w:lang w:val="fr-CA"/>
        </w:rPr>
        <w:tab/>
      </w:r>
      <w:r w:rsidRPr="00377035">
        <w:rPr>
          <w:u w:val="single"/>
          <w:lang w:val="fr-CA"/>
        </w:rPr>
        <w:t>Le contexte historique</w:t>
      </w:r>
      <w:r w:rsidRPr="00377035">
        <w:rPr>
          <w:lang w:val="fr-CA"/>
        </w:rPr>
        <w:tab/>
        <w:t>3</w:t>
      </w:r>
    </w:p>
    <w:p w:rsidR="004F4572" w:rsidRPr="00377035"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III.</w:t>
      </w:r>
      <w:r w:rsidRPr="00377035">
        <w:rPr>
          <w:lang w:val="fr-CA"/>
        </w:rPr>
        <w:tab/>
      </w:r>
      <w:r w:rsidRPr="00377035">
        <w:rPr>
          <w:u w:val="single"/>
          <w:lang w:val="fr-CA"/>
        </w:rPr>
        <w:t>Le contexte jurisprudentiel</w:t>
      </w:r>
      <w:r w:rsidRPr="00377035">
        <w:rPr>
          <w:lang w:val="fr-CA"/>
        </w:rPr>
        <w:tab/>
        <w:t>10</w:t>
      </w:r>
    </w:p>
    <w:p w:rsidR="004F4572" w:rsidRPr="00377035"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IV.</w:t>
      </w:r>
      <w:r w:rsidRPr="00377035">
        <w:rPr>
          <w:lang w:val="fr-CA"/>
        </w:rPr>
        <w:tab/>
      </w:r>
      <w:r w:rsidRPr="00377035">
        <w:rPr>
          <w:u w:val="single"/>
          <w:lang w:val="fr-CA"/>
        </w:rPr>
        <w:t>Les actes de procédure dans les instances relatives aux revendications territoriales des Autochtones</w:t>
      </w:r>
      <w:r w:rsidRPr="00377035">
        <w:rPr>
          <w:lang w:val="fr-CA"/>
        </w:rPr>
        <w:tab/>
        <w:t>19</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V.</w:t>
      </w:r>
      <w:r w:rsidRPr="00377035">
        <w:rPr>
          <w:lang w:val="fr-CA"/>
        </w:rPr>
        <w:tab/>
      </w:r>
      <w:r w:rsidRPr="00377035">
        <w:rPr>
          <w:u w:val="single"/>
          <w:lang w:val="fr-CA"/>
        </w:rPr>
        <w:t>L’existence du titre ancestral est-elle établie?</w:t>
      </w:r>
      <w:r w:rsidRPr="00377035">
        <w:rPr>
          <w:lang w:val="fr-CA"/>
        </w:rPr>
        <w:tab/>
        <w:t xml:space="preserve">24 </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A.</w:t>
      </w:r>
      <w:r w:rsidRPr="00377035">
        <w:rPr>
          <w:lang w:val="fr-CA"/>
        </w:rPr>
        <w:tab/>
      </w:r>
      <w:r w:rsidRPr="00377035">
        <w:rPr>
          <w:i/>
          <w:lang w:val="fr-CA"/>
        </w:rPr>
        <w:t>Le critère applicable en matière de titre ancestral</w:t>
      </w:r>
      <w:r w:rsidRPr="00377035">
        <w:rPr>
          <w:lang w:val="fr-CA"/>
        </w:rPr>
        <w:tab/>
        <w:t>24</w:t>
      </w:r>
    </w:p>
    <w:p w:rsidR="004F4572" w:rsidRPr="00377035" w:rsidRDefault="004F4572" w:rsidP="004F4572">
      <w:pPr>
        <w:tabs>
          <w:tab w:val="left" w:pos="720"/>
          <w:tab w:val="left" w:pos="1440"/>
          <w:tab w:val="right" w:pos="8280"/>
        </w:tabs>
        <w:spacing w:after="240" w:line="480" w:lineRule="auto"/>
        <w:ind w:left="720" w:right="1080"/>
        <w:rPr>
          <w:lang w:val="fr-CA"/>
        </w:rPr>
      </w:pPr>
      <w:r w:rsidRPr="00377035">
        <w:rPr>
          <w:lang w:val="fr-CA"/>
        </w:rPr>
        <w:t>(1)</w:t>
      </w:r>
      <w:r w:rsidRPr="00377035">
        <w:rPr>
          <w:lang w:val="fr-CA"/>
        </w:rPr>
        <w:tab/>
      </w:r>
      <w:r w:rsidRPr="00377035">
        <w:rPr>
          <w:u w:val="single"/>
          <w:lang w:val="fr-CA"/>
        </w:rPr>
        <w:t>La suffisance de l’occupation</w:t>
      </w:r>
      <w:r w:rsidRPr="00377035">
        <w:rPr>
          <w:lang w:val="fr-CA"/>
        </w:rPr>
        <w:tab/>
        <w:t>33</w:t>
      </w:r>
    </w:p>
    <w:p w:rsidR="004F4572" w:rsidRPr="00377035" w:rsidRDefault="004F4572" w:rsidP="004F4572">
      <w:pPr>
        <w:tabs>
          <w:tab w:val="left" w:pos="720"/>
          <w:tab w:val="left" w:pos="1440"/>
          <w:tab w:val="right" w:pos="8280"/>
        </w:tabs>
        <w:spacing w:after="240" w:line="480" w:lineRule="auto"/>
        <w:ind w:left="720" w:right="1080"/>
        <w:rPr>
          <w:lang w:val="fr-CA"/>
        </w:rPr>
      </w:pPr>
      <w:r w:rsidRPr="00377035">
        <w:rPr>
          <w:lang w:val="fr-CA"/>
        </w:rPr>
        <w:t>(2)</w:t>
      </w:r>
      <w:r w:rsidRPr="00377035">
        <w:rPr>
          <w:lang w:val="fr-CA"/>
        </w:rPr>
        <w:tab/>
      </w:r>
      <w:r w:rsidRPr="00377035">
        <w:rPr>
          <w:u w:val="single"/>
          <w:lang w:val="fr-CA"/>
        </w:rPr>
        <w:t>La continuité de l’occupation</w:t>
      </w:r>
      <w:r w:rsidRPr="00377035">
        <w:rPr>
          <w:lang w:val="fr-CA"/>
        </w:rPr>
        <w:tab/>
        <w:t>45</w:t>
      </w:r>
    </w:p>
    <w:p w:rsidR="004F4572" w:rsidRPr="00377035" w:rsidRDefault="004F4572" w:rsidP="004F4572">
      <w:pPr>
        <w:tabs>
          <w:tab w:val="left" w:pos="720"/>
          <w:tab w:val="left" w:pos="1440"/>
          <w:tab w:val="right" w:pos="8280"/>
        </w:tabs>
        <w:spacing w:after="240" w:line="480" w:lineRule="auto"/>
        <w:ind w:left="720" w:right="1080"/>
        <w:rPr>
          <w:lang w:val="fr-CA"/>
        </w:rPr>
      </w:pPr>
      <w:r w:rsidRPr="00377035">
        <w:rPr>
          <w:lang w:val="fr-CA"/>
        </w:rPr>
        <w:t>(3)</w:t>
      </w:r>
      <w:r w:rsidRPr="00377035">
        <w:rPr>
          <w:lang w:val="fr-CA"/>
        </w:rPr>
        <w:tab/>
      </w:r>
      <w:r w:rsidRPr="00377035">
        <w:rPr>
          <w:u w:val="single"/>
          <w:lang w:val="fr-CA"/>
        </w:rPr>
        <w:t>L’exclusivité de l’occupation</w:t>
      </w:r>
      <w:r w:rsidRPr="00377035">
        <w:rPr>
          <w:lang w:val="fr-CA"/>
        </w:rPr>
        <w:tab/>
        <w:t>47</w:t>
      </w:r>
    </w:p>
    <w:p w:rsidR="004F4572" w:rsidRPr="00377035" w:rsidRDefault="004F4572" w:rsidP="004F4572">
      <w:pPr>
        <w:tabs>
          <w:tab w:val="left" w:pos="720"/>
          <w:tab w:val="left" w:pos="1440"/>
          <w:tab w:val="right" w:pos="8280"/>
        </w:tabs>
        <w:spacing w:after="240" w:line="480" w:lineRule="auto"/>
        <w:ind w:left="720" w:right="1080"/>
        <w:rPr>
          <w:lang w:val="fr-CA"/>
        </w:rPr>
      </w:pPr>
      <w:r w:rsidRPr="00377035">
        <w:rPr>
          <w:lang w:val="fr-CA"/>
        </w:rPr>
        <w:t>(4)</w:t>
      </w:r>
      <w:r w:rsidRPr="00377035">
        <w:rPr>
          <w:lang w:val="fr-CA"/>
        </w:rPr>
        <w:tab/>
      </w:r>
      <w:r w:rsidRPr="00377035">
        <w:rPr>
          <w:u w:val="single"/>
          <w:lang w:val="fr-CA"/>
        </w:rPr>
        <w:t>Résumé</w:t>
      </w:r>
      <w:r w:rsidRPr="00377035">
        <w:rPr>
          <w:lang w:val="fr-CA"/>
        </w:rPr>
        <w:tab/>
        <w:t>50</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B.</w:t>
      </w:r>
      <w:r w:rsidRPr="00377035">
        <w:rPr>
          <w:lang w:val="fr-CA"/>
        </w:rPr>
        <w:tab/>
      </w:r>
      <w:r w:rsidRPr="00377035">
        <w:rPr>
          <w:i/>
          <w:lang w:val="fr-CA"/>
        </w:rPr>
        <w:t>L’existence du titre ancestral a-t-elle été établie en l’espèce?</w:t>
      </w:r>
      <w:r w:rsidRPr="00377035">
        <w:rPr>
          <w:lang w:val="fr-CA"/>
        </w:rPr>
        <w:tab/>
        <w:t>51</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VI.</w:t>
      </w:r>
      <w:r w:rsidRPr="00377035">
        <w:rPr>
          <w:lang w:val="fr-CA"/>
        </w:rPr>
        <w:tab/>
      </w:r>
      <w:r w:rsidRPr="00377035">
        <w:rPr>
          <w:u w:val="single"/>
          <w:lang w:val="fr-CA"/>
        </w:rPr>
        <w:t>Quels droits confère le titre ancestral?</w:t>
      </w:r>
      <w:r w:rsidRPr="00377035">
        <w:rPr>
          <w:lang w:val="fr-CA"/>
        </w:rPr>
        <w:t xml:space="preserve"> </w:t>
      </w:r>
      <w:r w:rsidRPr="00377035">
        <w:rPr>
          <w:lang w:val="fr-CA"/>
        </w:rPr>
        <w:tab/>
        <w:t>67</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A.</w:t>
      </w:r>
      <w:r w:rsidRPr="00377035">
        <w:rPr>
          <w:lang w:val="fr-CA"/>
        </w:rPr>
        <w:tab/>
      </w:r>
      <w:r w:rsidRPr="00377035">
        <w:rPr>
          <w:i/>
          <w:lang w:val="fr-CA"/>
        </w:rPr>
        <w:t>La qualification juridique du titre ancestral</w:t>
      </w:r>
      <w:r w:rsidRPr="00377035">
        <w:rPr>
          <w:lang w:val="fr-CA"/>
        </w:rPr>
        <w:tab/>
        <w:t>69</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lastRenderedPageBreak/>
        <w:t>B.</w:t>
      </w:r>
      <w:r w:rsidRPr="00377035">
        <w:rPr>
          <w:lang w:val="fr-CA"/>
        </w:rPr>
        <w:tab/>
      </w:r>
      <w:r w:rsidRPr="00377035">
        <w:rPr>
          <w:i/>
          <w:lang w:val="fr-CA"/>
        </w:rPr>
        <w:t>Les attributs du titre ancestral</w:t>
      </w:r>
      <w:r w:rsidRPr="00377035">
        <w:rPr>
          <w:lang w:val="fr-CA"/>
        </w:rPr>
        <w:tab/>
        <w:t>73</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C.</w:t>
      </w:r>
      <w:r w:rsidRPr="00377035">
        <w:rPr>
          <w:lang w:val="fr-CA"/>
        </w:rPr>
        <w:tab/>
      </w:r>
      <w:r w:rsidRPr="00377035">
        <w:rPr>
          <w:i/>
          <w:lang w:val="fr-CA"/>
        </w:rPr>
        <w:t>La justification de l’atteinte</w:t>
      </w:r>
      <w:r w:rsidRPr="00377035">
        <w:rPr>
          <w:lang w:val="fr-CA"/>
        </w:rPr>
        <w:tab/>
        <w:t>77</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D.</w:t>
      </w:r>
      <w:r w:rsidRPr="00377035">
        <w:rPr>
          <w:lang w:val="fr-CA"/>
        </w:rPr>
        <w:tab/>
      </w:r>
      <w:r w:rsidRPr="00377035">
        <w:rPr>
          <w:i/>
          <w:lang w:val="fr-CA"/>
        </w:rPr>
        <w:t>Mesures de réparation et période transitoire</w:t>
      </w:r>
      <w:r w:rsidRPr="00377035">
        <w:rPr>
          <w:lang w:val="fr-CA"/>
        </w:rPr>
        <w:tab/>
        <w:t>89</w:t>
      </w:r>
    </w:p>
    <w:p w:rsidR="004F4572" w:rsidRPr="00377035"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E.</w:t>
      </w:r>
      <w:r w:rsidRPr="00377035">
        <w:rPr>
          <w:lang w:val="fr-CA"/>
        </w:rPr>
        <w:tab/>
      </w:r>
      <w:r w:rsidRPr="00377035">
        <w:rPr>
          <w:i/>
          <w:lang w:val="fr-CA"/>
        </w:rPr>
        <w:t xml:space="preserve">Quelles étaient les obligations de la Couronne au moment de la prise de la mesure gouvernementale? </w:t>
      </w:r>
      <w:r w:rsidRPr="00377035">
        <w:rPr>
          <w:lang w:val="fr-CA"/>
        </w:rPr>
        <w:tab/>
        <w:t>93</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VII.</w:t>
      </w:r>
      <w:r w:rsidRPr="00377035">
        <w:rPr>
          <w:lang w:val="fr-CA"/>
        </w:rPr>
        <w:tab/>
      </w:r>
      <w:r w:rsidRPr="00377035">
        <w:rPr>
          <w:u w:val="single"/>
          <w:lang w:val="fr-CA"/>
        </w:rPr>
        <w:t>Le manquement à l’obligation de consultation</w:t>
      </w:r>
      <w:r w:rsidRPr="00377035">
        <w:rPr>
          <w:lang w:val="fr-CA"/>
        </w:rPr>
        <w:t xml:space="preserve"> </w:t>
      </w:r>
      <w:r w:rsidRPr="00377035">
        <w:rPr>
          <w:lang w:val="fr-CA"/>
        </w:rPr>
        <w:tab/>
        <w:t>95</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VIII.</w:t>
      </w:r>
      <w:r w:rsidRPr="00377035">
        <w:rPr>
          <w:lang w:val="fr-CA"/>
        </w:rPr>
        <w:tab/>
      </w:r>
      <w:r w:rsidRPr="00377035">
        <w:rPr>
          <w:u w:val="single"/>
          <w:lang w:val="fr-CA"/>
        </w:rPr>
        <w:t>Les lois provinciales et le titre ancestral</w:t>
      </w:r>
      <w:r w:rsidRPr="00377035">
        <w:rPr>
          <w:lang w:val="fr-CA"/>
        </w:rPr>
        <w:t xml:space="preserve"> </w:t>
      </w:r>
      <w:r w:rsidRPr="00377035">
        <w:rPr>
          <w:lang w:val="fr-CA"/>
        </w:rPr>
        <w:tab/>
        <w:t>98</w:t>
      </w:r>
    </w:p>
    <w:p w:rsidR="004F4572" w:rsidRPr="00DA251E"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A.</w:t>
      </w:r>
      <w:r w:rsidRPr="00377035">
        <w:rPr>
          <w:lang w:val="fr-CA"/>
        </w:rPr>
        <w:tab/>
      </w:r>
      <w:r w:rsidRPr="00377035">
        <w:rPr>
          <w:i/>
          <w:lang w:val="fr-CA"/>
        </w:rPr>
        <w:t>Les lois provinciales d’application générale s’appliquent-elles aux terres visées par un titre ancestral?</w:t>
      </w:r>
      <w:r w:rsidRPr="00377035">
        <w:rPr>
          <w:lang w:val="fr-CA"/>
        </w:rPr>
        <w:t xml:space="preserve"> </w:t>
      </w:r>
      <w:r w:rsidRPr="00377035">
        <w:rPr>
          <w:lang w:val="fr-CA"/>
        </w:rPr>
        <w:tab/>
      </w:r>
      <w:r w:rsidRPr="00DA251E">
        <w:rPr>
          <w:lang w:val="fr-CA"/>
        </w:rPr>
        <w:t>101</w:t>
      </w:r>
    </w:p>
    <w:p w:rsidR="004F4572" w:rsidRPr="00377035" w:rsidRDefault="004F4572" w:rsidP="004F4572">
      <w:pPr>
        <w:tabs>
          <w:tab w:val="left" w:pos="720"/>
          <w:tab w:val="left" w:pos="1440"/>
          <w:tab w:val="right" w:pos="8280"/>
        </w:tabs>
        <w:spacing w:after="240" w:line="480" w:lineRule="auto"/>
        <w:ind w:left="720" w:right="1080" w:hanging="720"/>
        <w:rPr>
          <w:lang w:val="fr-CA"/>
        </w:rPr>
      </w:pPr>
      <w:r w:rsidRPr="00377035">
        <w:rPr>
          <w:lang w:val="fr-CA"/>
        </w:rPr>
        <w:t>B.</w:t>
      </w:r>
      <w:r w:rsidRPr="00377035">
        <w:rPr>
          <w:lang w:val="fr-CA"/>
        </w:rPr>
        <w:tab/>
      </w:r>
      <w:r w:rsidRPr="00377035">
        <w:rPr>
          <w:i/>
          <w:lang w:val="fr-CA"/>
        </w:rPr>
        <w:t>À première vue, la Forest Act s’applique-t-elle aux terres visées par un titre ancestral?</w:t>
      </w:r>
      <w:r w:rsidRPr="00377035">
        <w:rPr>
          <w:lang w:val="fr-CA"/>
        </w:rPr>
        <w:tab/>
        <w:t>107</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C.</w:t>
      </w:r>
      <w:r w:rsidRPr="00377035">
        <w:rPr>
          <w:lang w:val="fr-CA"/>
        </w:rPr>
        <w:tab/>
      </w:r>
      <w:r w:rsidRPr="00377035">
        <w:rPr>
          <w:i/>
          <w:lang w:val="fr-CA"/>
        </w:rPr>
        <w:t>La Forest Act est-elle écartée par la Constitution?</w:t>
      </w:r>
      <w:r w:rsidRPr="00377035">
        <w:rPr>
          <w:lang w:val="fr-CA"/>
        </w:rPr>
        <w:t xml:space="preserve"> </w:t>
      </w:r>
      <w:r w:rsidRPr="00377035">
        <w:rPr>
          <w:lang w:val="fr-CA"/>
        </w:rPr>
        <w:tab/>
        <w:t>117</w:t>
      </w:r>
    </w:p>
    <w:p w:rsidR="004F4572" w:rsidRPr="00377035" w:rsidRDefault="004F4572" w:rsidP="004F4572">
      <w:pPr>
        <w:tabs>
          <w:tab w:val="left" w:pos="720"/>
          <w:tab w:val="left" w:pos="1440"/>
          <w:tab w:val="right" w:pos="8280"/>
        </w:tabs>
        <w:spacing w:after="240" w:line="480" w:lineRule="auto"/>
        <w:ind w:left="720" w:right="1080"/>
        <w:rPr>
          <w:lang w:val="fr-CA"/>
        </w:rPr>
      </w:pPr>
      <w:r w:rsidRPr="00377035">
        <w:rPr>
          <w:lang w:val="fr-CA"/>
        </w:rPr>
        <w:t>(1)</w:t>
      </w:r>
      <w:r w:rsidRPr="00377035">
        <w:rPr>
          <w:lang w:val="fr-CA"/>
        </w:rPr>
        <w:tab/>
      </w:r>
      <w:r w:rsidRPr="00377035">
        <w:rPr>
          <w:u w:val="single"/>
          <w:lang w:val="fr-CA"/>
        </w:rPr>
        <w:t xml:space="preserve">L’article 35 de la </w:t>
      </w:r>
      <w:r w:rsidRPr="00377035">
        <w:rPr>
          <w:i/>
          <w:u w:val="single"/>
          <w:lang w:val="fr-CA"/>
        </w:rPr>
        <w:t>Loi constitutionnelle de 1982</w:t>
      </w:r>
      <w:r w:rsidRPr="00377035">
        <w:rPr>
          <w:lang w:val="fr-CA"/>
        </w:rPr>
        <w:tab/>
        <w:t>118</w:t>
      </w:r>
    </w:p>
    <w:p w:rsidR="004F4572" w:rsidRPr="00377035" w:rsidRDefault="004F4572" w:rsidP="004F4572">
      <w:pPr>
        <w:tabs>
          <w:tab w:val="left" w:pos="720"/>
          <w:tab w:val="left" w:pos="1440"/>
          <w:tab w:val="right" w:pos="8280"/>
        </w:tabs>
        <w:spacing w:after="240" w:line="480" w:lineRule="auto"/>
        <w:ind w:left="720" w:right="1080"/>
        <w:rPr>
          <w:lang w:val="fr-CA"/>
        </w:rPr>
      </w:pPr>
      <w:r w:rsidRPr="00377035">
        <w:rPr>
          <w:lang w:val="fr-CA"/>
        </w:rPr>
        <w:t>(2)</w:t>
      </w:r>
      <w:r w:rsidRPr="00377035">
        <w:rPr>
          <w:lang w:val="fr-CA"/>
        </w:rPr>
        <w:tab/>
      </w:r>
      <w:r w:rsidRPr="00377035">
        <w:rPr>
          <w:u w:val="single"/>
          <w:lang w:val="fr-CA"/>
        </w:rPr>
        <w:t>Le partage des compétences</w:t>
      </w:r>
      <w:r w:rsidRPr="00377035">
        <w:rPr>
          <w:lang w:val="fr-CA"/>
        </w:rPr>
        <w:tab/>
        <w:t>128</w:t>
      </w:r>
    </w:p>
    <w:p w:rsidR="004F4572" w:rsidRPr="00377035" w:rsidRDefault="004F4572" w:rsidP="004F4572">
      <w:pPr>
        <w:tabs>
          <w:tab w:val="left" w:pos="720"/>
          <w:tab w:val="left" w:pos="1440"/>
          <w:tab w:val="right" w:pos="8280"/>
        </w:tabs>
        <w:spacing w:after="240" w:line="480" w:lineRule="auto"/>
        <w:ind w:right="1080"/>
        <w:rPr>
          <w:lang w:val="fr-CA"/>
        </w:rPr>
      </w:pPr>
      <w:r w:rsidRPr="00377035">
        <w:rPr>
          <w:lang w:val="fr-CA"/>
        </w:rPr>
        <w:t>IX.</w:t>
      </w:r>
      <w:r w:rsidRPr="00377035">
        <w:rPr>
          <w:lang w:val="fr-CA"/>
        </w:rPr>
        <w:tab/>
      </w:r>
      <w:r w:rsidRPr="00377035">
        <w:rPr>
          <w:u w:val="single"/>
          <w:lang w:val="fr-CA"/>
        </w:rPr>
        <w:t>Conclusion</w:t>
      </w:r>
      <w:r w:rsidRPr="00377035">
        <w:rPr>
          <w:lang w:val="fr-CA"/>
        </w:rPr>
        <w:tab/>
        <w:t>153</w:t>
      </w:r>
    </w:p>
    <w:p w:rsidR="007556B9" w:rsidRPr="00377035" w:rsidRDefault="007556B9" w:rsidP="004F4572">
      <w:pPr>
        <w:tabs>
          <w:tab w:val="left" w:pos="720"/>
          <w:tab w:val="left" w:pos="1440"/>
          <w:tab w:val="right" w:pos="8280"/>
        </w:tabs>
        <w:spacing w:after="240" w:line="480" w:lineRule="auto"/>
        <w:ind w:right="1080"/>
        <w:rPr>
          <w:lang w:val="fr-CA"/>
        </w:rPr>
      </w:pPr>
    </w:p>
    <w:p w:rsidR="007556B9" w:rsidRPr="00494888" w:rsidRDefault="007556B9" w:rsidP="007556B9">
      <w:pPr>
        <w:pStyle w:val="JudgeJuge"/>
        <w:spacing w:before="480" w:after="720" w:line="240" w:lineRule="auto"/>
        <w:rPr>
          <w:smallCaps w:val="0"/>
          <w:lang w:val="fr-CA"/>
        </w:rPr>
      </w:pPr>
      <w:r>
        <w:rPr>
          <w:lang w:val="fr-CA"/>
        </w:rPr>
        <w:tab/>
      </w:r>
      <w:r>
        <w:rPr>
          <w:smallCaps w:val="0"/>
          <w:lang w:val="fr-CA"/>
        </w:rPr>
        <w:t>Version française du jugement de la Cour rendu par</w:t>
      </w:r>
    </w:p>
    <w:p w:rsidR="007556B9" w:rsidRDefault="007556B9" w:rsidP="007556B9">
      <w:pPr>
        <w:pStyle w:val="JudgeJuge"/>
        <w:spacing w:before="480" w:after="720" w:line="240" w:lineRule="auto"/>
        <w:rPr>
          <w:lang w:val="fr-CA"/>
        </w:rPr>
      </w:pPr>
      <w:r w:rsidRPr="002F5A3C">
        <w:rPr>
          <w:lang w:val="fr-CA"/>
        </w:rPr>
        <w:tab/>
        <w:t>La Juge en chef —</w:t>
      </w:r>
    </w:p>
    <w:p w:rsidR="000F2258" w:rsidRPr="002F5A3C" w:rsidRDefault="000F2258" w:rsidP="000F2258">
      <w:pPr>
        <w:pStyle w:val="Title1LevelTitre1Niveau-AltL"/>
        <w:rPr>
          <w:rFonts w:cs="Times New Roman"/>
          <w:lang w:val="fr-CA"/>
        </w:rPr>
      </w:pPr>
      <w:r w:rsidRPr="002F5A3C">
        <w:rPr>
          <w:rFonts w:cs="Times New Roman"/>
          <w:lang w:val="fr-CA"/>
        </w:rPr>
        <w:lastRenderedPageBreak/>
        <w:t>Introduction</w:t>
      </w:r>
      <w:bookmarkEnd w:id="0"/>
      <w:bookmarkEnd w:id="1"/>
    </w:p>
    <w:p w:rsidR="000F2258" w:rsidRPr="002F5A3C" w:rsidRDefault="000F2258" w:rsidP="000F2258">
      <w:pPr>
        <w:pStyle w:val="ParaNoNdepar-AltN"/>
        <w:rPr>
          <w:rFonts w:cs="Times New Roman"/>
          <w:lang w:val="fr-CA"/>
        </w:rPr>
      </w:pPr>
      <w:r w:rsidRPr="002F5A3C">
        <w:rPr>
          <w:rFonts w:cs="Times New Roman"/>
          <w:lang w:val="fr-CA"/>
        </w:rPr>
        <w:t>Quel critère permet d’établir l’existence d’un titre ancestral sur un territoire?  Si l’existence d’un titre est établie, quels droits confère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 xml:space="preserve">il?  La </w:t>
      </w:r>
      <w:r w:rsidRPr="002F5A3C">
        <w:rPr>
          <w:rFonts w:cs="Times New Roman"/>
          <w:i/>
          <w:lang w:val="fr-CA"/>
        </w:rPr>
        <w:t>Forest Act</w:t>
      </w:r>
      <w:r w:rsidRPr="002F5A3C">
        <w:rPr>
          <w:rFonts w:cs="Times New Roman"/>
          <w:lang w:val="fr-CA"/>
        </w:rPr>
        <w:t>, R.S.B.C. 1996, ch.</w:t>
      </w:r>
      <w:r>
        <w:rPr>
          <w:rFonts w:cs="Times New Roman"/>
          <w:lang w:val="fr-CA"/>
        </w:rPr>
        <w:t xml:space="preserve"> </w:t>
      </w:r>
      <w:r w:rsidRPr="002F5A3C">
        <w:rPr>
          <w:rFonts w:cs="Times New Roman"/>
          <w:lang w:val="fr-CA"/>
        </w:rPr>
        <w:t>157, de la Colombie</w:t>
      </w:r>
      <w:r>
        <w:rPr>
          <w:rFonts w:cs="Times New Roman"/>
          <w:lang w:val="fr-CA"/>
        </w:rPr>
        <w:t>-</w:t>
      </w:r>
      <w:r w:rsidRPr="002F5A3C">
        <w:rPr>
          <w:rFonts w:cs="Times New Roman"/>
          <w:lang w:val="fr-CA"/>
        </w:rPr>
        <w:t>Britannique s’applique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elle aux terres visées par un titre ancestral?  Quelles contraintes constitutionnelles sont imposées à la réglementation, par la province, des terres visées par un titre ancestral?  Enfin, comment concilier l’intérêt public général et les droits conférés par un titre ancestral?  Voilà quelques questions importantes soulevées dans le présent pourvoi.</w:t>
      </w:r>
    </w:p>
    <w:p w:rsidR="000F2258" w:rsidRPr="002F5A3C" w:rsidRDefault="000F2258" w:rsidP="000F2258">
      <w:pPr>
        <w:pStyle w:val="ParaNoNdepar-AltN"/>
        <w:rPr>
          <w:rFonts w:cs="Times New Roman"/>
          <w:lang w:val="fr-CA"/>
        </w:rPr>
      </w:pPr>
      <w:r w:rsidRPr="002F5A3C">
        <w:rPr>
          <w:rFonts w:cs="Times New Roman"/>
          <w:lang w:val="fr-CA"/>
        </w:rPr>
        <w:t>Voici les conclusions tirées dans les présents motifs</w:t>
      </w:r>
      <w:r w:rsidR="007B537E">
        <w:rPr>
          <w:rFonts w:cs="Times New Roman"/>
          <w:lang w:val="fr-CA"/>
        </w:rPr>
        <w:t> :</w:t>
      </w:r>
    </w:p>
    <w:p w:rsidR="000F2258" w:rsidRPr="002F5A3C" w:rsidRDefault="000F2258" w:rsidP="000F2258">
      <w:pPr>
        <w:pStyle w:val="Citation-AltC"/>
        <w:numPr>
          <w:ilvl w:val="0"/>
          <w:numId w:val="6"/>
        </w:numPr>
        <w:spacing w:after="480" w:line="480" w:lineRule="auto"/>
        <w:ind w:hanging="720"/>
        <w:contextualSpacing w:val="0"/>
        <w:rPr>
          <w:lang w:val="fr-CA"/>
        </w:rPr>
      </w:pPr>
      <w:r w:rsidRPr="002F5A3C">
        <w:rPr>
          <w:lang w:val="fr-CA"/>
        </w:rPr>
        <w:t>Le titre ancestral découle de l’occupation, c’est</w:t>
      </w:r>
      <w:r>
        <w:rPr>
          <w:lang w:val="fr-CA"/>
        </w:rPr>
        <w:t>-</w:t>
      </w:r>
      <w:r w:rsidRPr="002F5A3C">
        <w:rPr>
          <w:lang w:val="fr-CA"/>
        </w:rPr>
        <w:t>à</w:t>
      </w:r>
      <w:r>
        <w:rPr>
          <w:lang w:val="fr-CA"/>
        </w:rPr>
        <w:t>-</w:t>
      </w:r>
      <w:r w:rsidRPr="002F5A3C">
        <w:rPr>
          <w:lang w:val="fr-CA"/>
        </w:rPr>
        <w:t>dire d’une utilisation régulière et exclusive des terres.</w:t>
      </w:r>
    </w:p>
    <w:p w:rsidR="000F2258" w:rsidRPr="002F5A3C" w:rsidRDefault="000F2258" w:rsidP="000F2258">
      <w:pPr>
        <w:pStyle w:val="Citation-AltC"/>
        <w:numPr>
          <w:ilvl w:val="0"/>
          <w:numId w:val="6"/>
        </w:numPr>
        <w:spacing w:after="480" w:line="480" w:lineRule="auto"/>
        <w:ind w:hanging="720"/>
        <w:contextualSpacing w:val="0"/>
        <w:rPr>
          <w:lang w:val="fr-CA"/>
        </w:rPr>
      </w:pPr>
      <w:r w:rsidRPr="002F5A3C">
        <w:rPr>
          <w:lang w:val="fr-CA"/>
        </w:rPr>
        <w:t>En l’espèce, l’existence d’un titre ancestral est établie à l’égard du territoire désigné par le juge de première instance.</w:t>
      </w:r>
    </w:p>
    <w:p w:rsidR="000F2258" w:rsidRPr="002F5A3C" w:rsidRDefault="000F2258" w:rsidP="000F2258">
      <w:pPr>
        <w:pStyle w:val="Citation-AltC"/>
        <w:numPr>
          <w:ilvl w:val="0"/>
          <w:numId w:val="6"/>
        </w:numPr>
        <w:spacing w:after="480" w:line="480" w:lineRule="auto"/>
        <w:ind w:hanging="720"/>
        <w:contextualSpacing w:val="0"/>
        <w:rPr>
          <w:lang w:val="fr-CA"/>
        </w:rPr>
      </w:pPr>
      <w:r w:rsidRPr="002F5A3C">
        <w:rPr>
          <w:lang w:val="fr-CA"/>
        </w:rPr>
        <w:t>Le titre ancestral confère le droit d’utiliser et de contrôler le territoire et de tirer les avantages qui en découlent.</w:t>
      </w:r>
    </w:p>
    <w:p w:rsidR="000F2258" w:rsidRPr="002F5A3C" w:rsidRDefault="000F2258" w:rsidP="000F2258">
      <w:pPr>
        <w:pStyle w:val="Citation-AltC"/>
        <w:numPr>
          <w:ilvl w:val="0"/>
          <w:numId w:val="6"/>
        </w:numPr>
        <w:spacing w:after="480" w:line="480" w:lineRule="auto"/>
        <w:ind w:hanging="720"/>
        <w:contextualSpacing w:val="0"/>
        <w:rPr>
          <w:lang w:val="fr-CA"/>
        </w:rPr>
      </w:pPr>
      <w:r w:rsidRPr="002F5A3C">
        <w:rPr>
          <w:lang w:val="fr-CA"/>
        </w:rPr>
        <w:t>Lorsque le titre est revendiqué, mais que son existence n’a pas encore été établie, l’art.</w:t>
      </w:r>
      <w:r>
        <w:rPr>
          <w:lang w:val="fr-CA"/>
        </w:rPr>
        <w:t xml:space="preserve"> </w:t>
      </w:r>
      <w:r w:rsidRPr="002F5A3C">
        <w:rPr>
          <w:lang w:val="fr-CA"/>
        </w:rPr>
        <w:t xml:space="preserve">35 de la </w:t>
      </w:r>
      <w:r w:rsidRPr="002F5A3C">
        <w:rPr>
          <w:i/>
          <w:lang w:val="fr-CA"/>
        </w:rPr>
        <w:t xml:space="preserve">Loi constitutionnelle de 1982 </w:t>
      </w:r>
      <w:r w:rsidRPr="002F5A3C">
        <w:rPr>
          <w:lang w:val="fr-CA"/>
        </w:rPr>
        <w:t xml:space="preserve">oblige la Couronne à consulter le groupe qui revendique ce titre et, s’il y a lieu, à trouver des accommodements à ses intérêts. </w:t>
      </w:r>
    </w:p>
    <w:p w:rsidR="000F2258" w:rsidRPr="002F5A3C" w:rsidRDefault="000F2258" w:rsidP="000F2258">
      <w:pPr>
        <w:pStyle w:val="Citation-AltC"/>
        <w:numPr>
          <w:ilvl w:val="0"/>
          <w:numId w:val="6"/>
        </w:numPr>
        <w:spacing w:after="480" w:line="480" w:lineRule="auto"/>
        <w:ind w:hanging="720"/>
        <w:contextualSpacing w:val="0"/>
        <w:rPr>
          <w:lang w:val="fr-CA"/>
        </w:rPr>
      </w:pPr>
      <w:r w:rsidRPr="002F5A3C">
        <w:rPr>
          <w:lang w:val="fr-CA"/>
        </w:rPr>
        <w:lastRenderedPageBreak/>
        <w:t>Une fois établie l’existence du titre ancestral, l’art.</w:t>
      </w:r>
      <w:r>
        <w:rPr>
          <w:lang w:val="fr-CA"/>
        </w:rPr>
        <w:t xml:space="preserve"> </w:t>
      </w:r>
      <w:r w:rsidRPr="002F5A3C">
        <w:rPr>
          <w:lang w:val="fr-CA"/>
        </w:rPr>
        <w:t xml:space="preserve">35 de la </w:t>
      </w:r>
      <w:r w:rsidRPr="002F5A3C">
        <w:rPr>
          <w:i/>
          <w:lang w:val="fr-CA"/>
        </w:rPr>
        <w:t>Loi constitutionnelle de 1982</w:t>
      </w:r>
      <w:r w:rsidRPr="002F5A3C">
        <w:rPr>
          <w:lang w:val="fr-CA"/>
        </w:rPr>
        <w:t xml:space="preserve"> permet d’y porter atteinte seulement si le groupe autochtone y consent ou si l’atteinte est justifiée par un objectif public réel et impérieux et si elle est compatible avec l’obligation fiduciaire de la Couronne envers le groupe autochtone; lorsqu’il s’agit de déterminer la validité d’une atteinte causée par l’application des lois provinciales aux terres visées par un titre ancestral, ce cadre d’analyse écarte la doctrine de l’exclusivité des compétences.</w:t>
      </w:r>
    </w:p>
    <w:p w:rsidR="000F2258" w:rsidRPr="002F5A3C" w:rsidRDefault="000F2258" w:rsidP="000F2258">
      <w:pPr>
        <w:pStyle w:val="Citation-AltC"/>
        <w:numPr>
          <w:ilvl w:val="0"/>
          <w:numId w:val="6"/>
        </w:numPr>
        <w:spacing w:after="480" w:line="480" w:lineRule="auto"/>
        <w:ind w:hanging="720"/>
        <w:contextualSpacing w:val="0"/>
        <w:rPr>
          <w:lang w:val="fr-CA"/>
        </w:rPr>
      </w:pPr>
      <w:r w:rsidRPr="002F5A3C">
        <w:rPr>
          <w:lang w:val="fr-CA"/>
        </w:rPr>
        <w:t>En l’espèce, le projet d’aménagement du territoire de la province et les autorisations d’exploitation forestière accordées par elle étaient incompatibles avec les obligations qu’elle avait envers le peuple Tsilhqot’in.</w:t>
      </w:r>
    </w:p>
    <w:p w:rsidR="000F2258" w:rsidRPr="002F5A3C" w:rsidRDefault="000F2258" w:rsidP="000F2258">
      <w:pPr>
        <w:pStyle w:val="Title1LevelTitre1Niveau-AltL"/>
        <w:outlineLvl w:val="0"/>
        <w:rPr>
          <w:rFonts w:cs="Times New Roman"/>
          <w:lang w:val="fr-CA"/>
        </w:rPr>
      </w:pPr>
      <w:bookmarkStart w:id="2" w:name="_Toc389497740"/>
      <w:bookmarkStart w:id="3" w:name="_Toc391446162"/>
      <w:r w:rsidRPr="002F5A3C">
        <w:rPr>
          <w:rFonts w:cs="Times New Roman"/>
          <w:lang w:val="fr-CA"/>
        </w:rPr>
        <w:t>Le contexte historique</w:t>
      </w:r>
      <w:bookmarkEnd w:id="2"/>
      <w:bookmarkEnd w:id="3"/>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Depuis des siècles, le peuple de la nation Tsilhqot’in — un regroupement de six bandes ayant une culture et une histoire communes — vit dans une vallée éloignée entourée de rivières et de montagnes dans le centre de la Colombie</w:t>
      </w:r>
      <w:r>
        <w:rPr>
          <w:rFonts w:cs="Times New Roman"/>
          <w:lang w:val="fr-CA"/>
        </w:rPr>
        <w:t>-</w:t>
      </w:r>
      <w:r w:rsidRPr="002F5A3C">
        <w:rPr>
          <w:rFonts w:cs="Times New Roman"/>
          <w:lang w:val="fr-CA"/>
        </w:rPr>
        <w:t xml:space="preserve">Britannique.  Les membres de cette nation ont vécu dans des villages, géré des terres pour y récolter des végétaux à racine et des herbes; ils ont chassé et piégé.  Ils ont repoussé les envahisseurs et imposé des conditions aux marchands européens qui entraient sur leur territoire.  De leur point de vue, le territoire leur a toujours appartenu. </w:t>
      </w:r>
    </w:p>
    <w:p w:rsidR="000F2258" w:rsidRPr="002F5A3C" w:rsidRDefault="000F2258" w:rsidP="000F2258">
      <w:pPr>
        <w:pStyle w:val="ParaNoNdepar-AltN"/>
        <w:rPr>
          <w:rFonts w:cs="Times New Roman"/>
          <w:lang w:val="fr-CA"/>
        </w:rPr>
      </w:pPr>
      <w:r w:rsidRPr="002F5A3C">
        <w:rPr>
          <w:rFonts w:cs="Times New Roman"/>
          <w:lang w:val="fr-CA"/>
        </w:rPr>
        <w:t>La Couronne a conclu presque partout au Canada des traités en vertu desquels les peuples autochtones ont renoncé à leurs revendications territoriales en échange de réserves et d’autres promesses, mais</w:t>
      </w:r>
      <w:r w:rsidR="009C414E">
        <w:rPr>
          <w:rFonts w:cs="Times New Roman"/>
          <w:lang w:val="fr-CA"/>
        </w:rPr>
        <w:t>,</w:t>
      </w:r>
      <w:r w:rsidRPr="002F5A3C">
        <w:rPr>
          <w:rFonts w:cs="Times New Roman"/>
          <w:lang w:val="fr-CA"/>
        </w:rPr>
        <w:t xml:space="preserve"> à quelques exceptions près, ce n’est pas ce qui s’est produit en Colombie</w:t>
      </w:r>
      <w:r>
        <w:rPr>
          <w:rFonts w:cs="Times New Roman"/>
          <w:lang w:val="fr-CA"/>
        </w:rPr>
        <w:t>-</w:t>
      </w:r>
      <w:r w:rsidRPr="002F5A3C">
        <w:rPr>
          <w:rFonts w:cs="Times New Roman"/>
          <w:lang w:val="fr-CA"/>
        </w:rPr>
        <w:t xml:space="preserve">Britannique.  La nation Tsilhqot’in n’est qu’un </w:t>
      </w:r>
      <w:r w:rsidRPr="002F5A3C">
        <w:rPr>
          <w:rFonts w:cs="Times New Roman"/>
          <w:lang w:val="fr-CA"/>
        </w:rPr>
        <w:lastRenderedPageBreak/>
        <w:t>groupe autochtone parmi des centaines en Colombie</w:t>
      </w:r>
      <w:r>
        <w:rPr>
          <w:rFonts w:cs="Times New Roman"/>
          <w:lang w:val="fr-CA"/>
        </w:rPr>
        <w:t>-</w:t>
      </w:r>
      <w:r w:rsidRPr="002F5A3C">
        <w:rPr>
          <w:rFonts w:cs="Times New Roman"/>
          <w:lang w:val="fr-CA"/>
        </w:rPr>
        <w:t>Britannique dont les revendications territoriales ne sont pas réglées.</w:t>
      </w:r>
    </w:p>
    <w:p w:rsidR="000F2258" w:rsidRPr="002F5A3C" w:rsidRDefault="000F2258" w:rsidP="000F2258">
      <w:pPr>
        <w:pStyle w:val="ParaNoNdepar-AltN"/>
        <w:rPr>
          <w:rFonts w:cs="Times New Roman"/>
          <w:lang w:val="fr-CA"/>
        </w:rPr>
      </w:pPr>
      <w:r w:rsidRPr="002F5A3C">
        <w:rPr>
          <w:rFonts w:cs="Times New Roman"/>
          <w:lang w:val="fr-CA"/>
        </w:rPr>
        <w:t xml:space="preserve">La question du titre des Tsilhqot’in est demeurée latente jusqu’en 1983, quand la province a accordé à Carrier Lumber Ltd. un permis d’exploitation forestière l’autorisant à abattre des arbres dans une partie du territoire en question.  Le gouvernement de la Première Nation Xeni Gwet’in (une des six bandes qui constituent la nation Tsilhqot’in) s’y est opposé et a sollicité un jugement déclaratoire interdisant l’exploitation forestière commerciale sur le territoire.  Le litige a mené au barrage d’un pont que l’entreprise forestière voulait moderniser.  Le barrage a été levé quand le premier ministre a promis qu’il n’y aurait aucune autre exploitation forestière sans le consentement des Xeni Gwet’in.  Le ministère des Forêts et les Xeni Gwet’in ont négocié, mais ils n’ont pu s’entendre sur le droit de </w:t>
      </w:r>
      <w:r w:rsidR="009C414E">
        <w:rPr>
          <w:rFonts w:cs="Times New Roman"/>
          <w:lang w:val="fr-CA"/>
        </w:rPr>
        <w:t>premier refus</w:t>
      </w:r>
      <w:r w:rsidRPr="002F5A3C">
        <w:rPr>
          <w:rFonts w:cs="Times New Roman"/>
          <w:lang w:val="fr-CA"/>
        </w:rPr>
        <w:t xml:space="preserve"> revendiqué par les Xeni Gwet’in à l’égard de l’exploitation forestière.  En 1998, la revendication initiale a été modifiée de manière à inclure une revendication du titre ancestral au nom de tous les Tsilhqot’in.</w:t>
      </w:r>
    </w:p>
    <w:p w:rsidR="000F2258" w:rsidRPr="002F5A3C" w:rsidRDefault="000F2258" w:rsidP="000F2258">
      <w:pPr>
        <w:pStyle w:val="ParaNoNdepar-AltN"/>
        <w:rPr>
          <w:rFonts w:cs="Times New Roman"/>
          <w:lang w:val="fr-CA"/>
        </w:rPr>
      </w:pPr>
      <w:r w:rsidRPr="002F5A3C">
        <w:rPr>
          <w:rFonts w:cs="Times New Roman"/>
          <w:lang w:val="fr-CA"/>
        </w:rPr>
        <w:t>La revendication se limite à environ cinq pour cent de ce que les Tsilhqot’in — approximativement 3</w:t>
      </w:r>
      <w:r>
        <w:rPr>
          <w:rFonts w:cs="Times New Roman"/>
          <w:lang w:val="fr-CA"/>
        </w:rPr>
        <w:t xml:space="preserve"> </w:t>
      </w:r>
      <w:r w:rsidRPr="002F5A3C">
        <w:rPr>
          <w:rFonts w:cs="Times New Roman"/>
          <w:lang w:val="fr-CA"/>
        </w:rPr>
        <w:t>000</w:t>
      </w:r>
      <w:r>
        <w:rPr>
          <w:rFonts w:cs="Times New Roman"/>
          <w:lang w:val="fr-CA"/>
        </w:rPr>
        <w:t xml:space="preserve"> </w:t>
      </w:r>
      <w:r w:rsidRPr="002F5A3C">
        <w:rPr>
          <w:rFonts w:cs="Times New Roman"/>
          <w:lang w:val="fr-CA"/>
        </w:rPr>
        <w:t>personnes — considèrent comme étant leur territoire traditionnel.  Ce territoire est peu peuplé.  Environ 200 membres des Tsilhqot’in y vivent, ainsi que quelques non</w:t>
      </w:r>
      <w:r>
        <w:rPr>
          <w:rFonts w:cs="Times New Roman"/>
          <w:lang w:val="fr-CA"/>
        </w:rPr>
        <w:t>-</w:t>
      </w:r>
      <w:r w:rsidRPr="002F5A3C">
        <w:rPr>
          <w:rFonts w:cs="Times New Roman"/>
          <w:lang w:val="fr-CA"/>
        </w:rPr>
        <w:t>Autochtones qui appuient la revendication du titre des Tsilhqot’in.  Aucun autre groupe autochtone n’a revendiqué un titre sur ce territoire.  Les gouvernements fédéral et provincial s’opposent tous deux à la revendication du titre.</w:t>
      </w:r>
    </w:p>
    <w:p w:rsidR="000F2258" w:rsidRPr="002F5A3C" w:rsidRDefault="000F2258" w:rsidP="000F2258">
      <w:pPr>
        <w:pStyle w:val="ParaNoNdepar-AltN"/>
        <w:rPr>
          <w:rFonts w:cs="Times New Roman"/>
          <w:lang w:val="fr-CA"/>
        </w:rPr>
      </w:pPr>
      <w:r w:rsidRPr="002F5A3C">
        <w:rPr>
          <w:rFonts w:cs="Times New Roman"/>
          <w:lang w:val="fr-CA"/>
        </w:rPr>
        <w:lastRenderedPageBreak/>
        <w:t>Le procès a débuté en 2002 devant le juge Vickers de la Cour suprême de la Colombie</w:t>
      </w:r>
      <w:r>
        <w:rPr>
          <w:rFonts w:cs="Times New Roman"/>
          <w:lang w:val="fr-CA"/>
        </w:rPr>
        <w:t>-</w:t>
      </w:r>
      <w:r w:rsidRPr="002F5A3C">
        <w:rPr>
          <w:rFonts w:cs="Times New Roman"/>
          <w:lang w:val="fr-CA"/>
        </w:rPr>
        <w:t>Britannique et a duré 339 jours sur une période de cinq ans.  Le juge de première instance s’est rendu sur le territoire revendiqué et a entendu de nombreux témoignages des aînés, des historiens et d’autres experts.  Il a conclu que les Tsilhqot’in avaient droit, en principe, à un jugement déclarant l’existence d’un titre ancestral sur une partie du territoire revendiqué ainsi que sur un petit secteur à l’extérieur de ce territoire.  Cependant, pour des raisons d’ordre procédural que la province n’invoque plus, il a refusé dans son jugement de déclarer l’existence d’un titre</w:t>
      </w:r>
      <w:r w:rsidR="009C414E">
        <w:rPr>
          <w:rFonts w:cs="Times New Roman"/>
          <w:lang w:val="fr-CA"/>
        </w:rPr>
        <w:t xml:space="preserve"> ancestral (2007 BCSC 1700, [2</w:t>
      </w:r>
      <w:r w:rsidRPr="002F5A3C">
        <w:rPr>
          <w:rFonts w:cs="Times New Roman"/>
          <w:lang w:val="fr-CA"/>
        </w:rPr>
        <w:t>0</w:t>
      </w:r>
      <w:r w:rsidR="009C414E">
        <w:rPr>
          <w:rFonts w:cs="Times New Roman"/>
          <w:lang w:val="fr-CA"/>
        </w:rPr>
        <w:t>08</w:t>
      </w:r>
      <w:r w:rsidRPr="002F5A3C">
        <w:rPr>
          <w:rFonts w:cs="Times New Roman"/>
          <w:lang w:val="fr-CA"/>
        </w:rPr>
        <w:t>] 1 C.N.L.R. 112).</w:t>
      </w:r>
    </w:p>
    <w:p w:rsidR="000F2258" w:rsidRPr="002F5A3C" w:rsidRDefault="000F2258" w:rsidP="000F2258">
      <w:pPr>
        <w:pStyle w:val="ParaNoNdepar-AltN"/>
        <w:rPr>
          <w:rFonts w:cs="Times New Roman"/>
          <w:lang w:val="fr-CA"/>
        </w:rPr>
      </w:pPr>
      <w:r w:rsidRPr="002F5A3C">
        <w:rPr>
          <w:rFonts w:cs="Times New Roman"/>
          <w:lang w:val="fr-CA"/>
        </w:rPr>
        <w:t>En 2012, la Cour d’appel de la Colombie</w:t>
      </w:r>
      <w:r>
        <w:rPr>
          <w:rFonts w:cs="Times New Roman"/>
          <w:lang w:val="fr-CA"/>
        </w:rPr>
        <w:t>-</w:t>
      </w:r>
      <w:r w:rsidRPr="002F5A3C">
        <w:rPr>
          <w:rFonts w:cs="Times New Roman"/>
          <w:lang w:val="fr-CA"/>
        </w:rPr>
        <w:t>Britannique a conclu que l’existence du titre revendiqué par les Tsilhqot’in n’avait pas été établie, mais n’a pas écarté la possibilité que les Tsilhqot’in puissent éventuellement établir l’existence d’un titre sur certains sites à l’intérieur du territoire revendiqué.  En ce qui concerne le reste du territoire revendiqué, les Tsilhqot’in n’ont obtenu que les droits ancestraux de chasse, de piégeage et de récolte (2012 BCCA 285, 33 B.C.L.R. (5th) 260).</w:t>
      </w:r>
    </w:p>
    <w:p w:rsidR="000F2258" w:rsidRPr="002F5A3C" w:rsidRDefault="000F2258" w:rsidP="000F2258">
      <w:pPr>
        <w:pStyle w:val="ParaNoNdepar-AltN"/>
        <w:rPr>
          <w:rFonts w:cs="Times New Roman"/>
          <w:lang w:val="fr-CA"/>
        </w:rPr>
      </w:pPr>
      <w:r w:rsidRPr="002F5A3C">
        <w:rPr>
          <w:rFonts w:cs="Times New Roman"/>
          <w:lang w:val="fr-CA"/>
        </w:rPr>
        <w:t xml:space="preserve">Les Tsilhqot’in demandent maintenant à notre Cour de reconnaître l’existence du titre ancestral sur le territoire désigné par le juge de première instance, sous réserve d’une exception.  Sur une petite partie du territoire désigné par le juge se trouvent des terrains privés ou des terres submergées à l’égard desquels la reconnaissance du titre ancestral n’est pas demandée devant notre Cour.  Pour ce qui est des terres désignées par le juge qui ne sont pas des terrains privés ou des terres submergées, les Tsilhqot’in demandent à notre Cour de rétablir les conclusions du juge de première instance, de confirmer qu’ils possèdent le titre ancestral sur le secteur qu’il </w:t>
      </w:r>
      <w:r w:rsidRPr="002F5A3C">
        <w:rPr>
          <w:rFonts w:cs="Times New Roman"/>
          <w:lang w:val="fr-CA"/>
        </w:rPr>
        <w:lastRenderedPageBreak/>
        <w:t>a désigné et de confirmer que la délivrance de permis d’exploitation forestière sur les terres a indûment porté atteinte aux droits que leur confère ce titre.</w:t>
      </w:r>
    </w:p>
    <w:p w:rsidR="000F2258" w:rsidRPr="002F5A3C" w:rsidRDefault="000F2258" w:rsidP="000F2258">
      <w:pPr>
        <w:pStyle w:val="Title1LevelTitre1Niveau-AltL"/>
        <w:outlineLvl w:val="0"/>
        <w:rPr>
          <w:rFonts w:cs="Times New Roman"/>
          <w:lang w:val="fr-CA"/>
        </w:rPr>
      </w:pPr>
      <w:bookmarkStart w:id="4" w:name="_Toc389497741"/>
      <w:bookmarkStart w:id="5" w:name="_Toc391446163"/>
      <w:r w:rsidRPr="002F5A3C">
        <w:rPr>
          <w:rFonts w:cs="Times New Roman"/>
          <w:lang w:val="fr-CA"/>
        </w:rPr>
        <w:t>Le contexte jurisprudentiel</w:t>
      </w:r>
      <w:bookmarkEnd w:id="4"/>
      <w:bookmarkEnd w:id="5"/>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En 1973, la Cour suprême du Canada a marqué le début de l’ère moderne du droit inhérent aux terres ancestrales en statuant que les droits fonciers des Autochtones avaient subsisté à l’établissement des Européens et qu’ils étaient toujours valides s’ils n’avaient pas été éteints par traité ou autrement</w:t>
      </w:r>
      <w:r>
        <w:rPr>
          <w:rFonts w:cs="Times New Roman"/>
          <w:lang w:val="fr-CA"/>
        </w:rPr>
        <w:t> :</w:t>
      </w:r>
      <w:r w:rsidRPr="002F5A3C">
        <w:rPr>
          <w:rFonts w:cs="Times New Roman"/>
          <w:lang w:val="fr-CA"/>
        </w:rPr>
        <w:t xml:space="preserve"> </w:t>
      </w:r>
      <w:r w:rsidRPr="002F5A3C">
        <w:rPr>
          <w:rFonts w:cs="Times New Roman"/>
          <w:i/>
          <w:lang w:val="fr-CA"/>
        </w:rPr>
        <w:t>Calder c. Procureur général de la Colombie</w:t>
      </w:r>
      <w:r>
        <w:rPr>
          <w:rFonts w:cs="Times New Roman"/>
          <w:i/>
          <w:lang w:val="fr-CA"/>
        </w:rPr>
        <w:t>-</w:t>
      </w:r>
      <w:r w:rsidRPr="002F5A3C">
        <w:rPr>
          <w:rFonts w:cs="Times New Roman"/>
          <w:i/>
          <w:lang w:val="fr-CA"/>
        </w:rPr>
        <w:t>Britannique</w:t>
      </w:r>
      <w:r w:rsidRPr="002F5A3C">
        <w:rPr>
          <w:rFonts w:cs="Times New Roman"/>
          <w:lang w:val="fr-CA"/>
        </w:rPr>
        <w:t>,</w:t>
      </w:r>
      <w:r w:rsidRPr="002F5A3C">
        <w:rPr>
          <w:rFonts w:cs="Times New Roman"/>
          <w:i/>
          <w:lang w:val="fr-CA"/>
        </w:rPr>
        <w:t xml:space="preserve"> </w:t>
      </w:r>
      <w:r w:rsidRPr="002F5A3C">
        <w:rPr>
          <w:rFonts w:cs="Times New Roman"/>
          <w:lang w:val="fr-CA"/>
        </w:rPr>
        <w:t xml:space="preserve">[1973] R.C.S. 313.  Bien que les juges majoritaires dans </w:t>
      </w:r>
      <w:r w:rsidRPr="002F5A3C">
        <w:rPr>
          <w:rFonts w:cs="Times New Roman"/>
          <w:i/>
          <w:lang w:val="fr-CA"/>
        </w:rPr>
        <w:t>Calder</w:t>
      </w:r>
      <w:r w:rsidRPr="002F5A3C">
        <w:rPr>
          <w:rFonts w:cs="Times New Roman"/>
          <w:lang w:val="fr-CA"/>
        </w:rPr>
        <w:t xml:space="preserve"> étaient divisés quant à savoir si le titre avait été éteint, leur confirmation des droits fonciers ancestraux a incité le gouvernement du Canada à entamer des négociations avec les Premières Nations non assujetties à des traités en vue de conclure des traités — principalement en Colombie</w:t>
      </w:r>
      <w:r>
        <w:rPr>
          <w:rFonts w:cs="Times New Roman"/>
          <w:lang w:val="fr-CA"/>
        </w:rPr>
        <w:t>-</w:t>
      </w:r>
      <w:r w:rsidRPr="002F5A3C">
        <w:rPr>
          <w:rFonts w:cs="Times New Roman"/>
          <w:lang w:val="fr-CA"/>
        </w:rPr>
        <w:t>Britannique — reprenant ainsi une politique qui avait été abandonnée dans les années 1920</w:t>
      </w:r>
      <w:r>
        <w:rPr>
          <w:rFonts w:cs="Times New Roman"/>
          <w:lang w:val="fr-CA"/>
        </w:rPr>
        <w:t> :</w:t>
      </w:r>
      <w:r w:rsidRPr="002F5A3C">
        <w:rPr>
          <w:rFonts w:cs="Times New Roman"/>
          <w:lang w:val="fr-CA"/>
        </w:rPr>
        <w:t xml:space="preserve"> P.</w:t>
      </w:r>
      <w:r>
        <w:rPr>
          <w:rFonts w:cs="Times New Roman"/>
          <w:lang w:val="fr-CA"/>
        </w:rPr>
        <w:t xml:space="preserve"> </w:t>
      </w:r>
      <w:r w:rsidRPr="002F5A3C">
        <w:rPr>
          <w:rFonts w:cs="Times New Roman"/>
          <w:lang w:val="fr-CA"/>
        </w:rPr>
        <w:t>W.</w:t>
      </w:r>
      <w:r>
        <w:rPr>
          <w:rFonts w:cs="Times New Roman"/>
          <w:lang w:val="fr-CA"/>
        </w:rPr>
        <w:t xml:space="preserve"> </w:t>
      </w:r>
      <w:r w:rsidRPr="002F5A3C">
        <w:rPr>
          <w:rFonts w:cs="Times New Roman"/>
          <w:lang w:val="fr-CA"/>
        </w:rPr>
        <w:t xml:space="preserve">Hogg, </w:t>
      </w:r>
      <w:r>
        <w:rPr>
          <w:rFonts w:cs="Times New Roman"/>
          <w:lang w:val="fr-CA"/>
        </w:rPr>
        <w:t>« </w:t>
      </w:r>
      <w:r w:rsidRPr="002F5A3C">
        <w:rPr>
          <w:rFonts w:cs="Times New Roman"/>
          <w:lang w:val="fr-CA"/>
        </w:rPr>
        <w:t>The Constitutional Basis of Aboriginal Rights</w:t>
      </w:r>
      <w:r>
        <w:rPr>
          <w:rFonts w:cs="Times New Roman"/>
          <w:lang w:val="fr-CA"/>
        </w:rPr>
        <w:t> »</w:t>
      </w:r>
      <w:r w:rsidRPr="002F5A3C">
        <w:rPr>
          <w:rFonts w:cs="Times New Roman"/>
          <w:lang w:val="fr-CA"/>
        </w:rPr>
        <w:t xml:space="preserve">, </w:t>
      </w:r>
      <w:r w:rsidR="009D7F9D" w:rsidRPr="002F5A3C">
        <w:rPr>
          <w:rFonts w:cs="Times New Roman"/>
          <w:lang w:val="fr-CA"/>
        </w:rPr>
        <w:t>dans</w:t>
      </w:r>
      <w:r w:rsidR="009D7F9D" w:rsidRPr="002F5A3C">
        <w:rPr>
          <w:rFonts w:cs="Times New Roman"/>
          <w:i/>
          <w:lang w:val="fr-CA"/>
        </w:rPr>
        <w:t xml:space="preserve"> </w:t>
      </w:r>
      <w:r w:rsidRPr="002F5A3C">
        <w:rPr>
          <w:rFonts w:cs="Times New Roman"/>
          <w:lang w:val="fr-CA"/>
        </w:rPr>
        <w:t>M.</w:t>
      </w:r>
      <w:r>
        <w:rPr>
          <w:rFonts w:cs="Times New Roman"/>
          <w:lang w:val="fr-CA"/>
        </w:rPr>
        <w:t xml:space="preserve"> </w:t>
      </w:r>
      <w:r w:rsidRPr="002F5A3C">
        <w:rPr>
          <w:rFonts w:cs="Times New Roman"/>
          <w:lang w:val="fr-CA"/>
        </w:rPr>
        <w:t xml:space="preserve">Morellato, dir., </w:t>
      </w:r>
      <w:r w:rsidRPr="002F5A3C">
        <w:rPr>
          <w:rFonts w:cs="Times New Roman"/>
          <w:i/>
          <w:lang w:val="fr-CA"/>
        </w:rPr>
        <w:t>Aboriginal Law Since Delgamuukw</w:t>
      </w:r>
      <w:r w:rsidRPr="002F5A3C">
        <w:rPr>
          <w:rFonts w:cs="Times New Roman"/>
          <w:lang w:val="fr-CA"/>
        </w:rPr>
        <w:t xml:space="preserve"> (2009), 3.</w:t>
      </w:r>
    </w:p>
    <w:p w:rsidR="000F2258" w:rsidRPr="002F5A3C" w:rsidRDefault="000F2258" w:rsidP="000F2258">
      <w:pPr>
        <w:pStyle w:val="ParaNoNdepar-AltN"/>
        <w:rPr>
          <w:rFonts w:cs="Times New Roman"/>
          <w:lang w:val="fr-CA"/>
        </w:rPr>
      </w:pPr>
      <w:r w:rsidRPr="002F5A3C">
        <w:rPr>
          <w:rFonts w:cs="Times New Roman"/>
          <w:lang w:val="fr-CA"/>
        </w:rPr>
        <w:t xml:space="preserve">Presque </w:t>
      </w:r>
      <w:r w:rsidR="007B537E">
        <w:rPr>
          <w:rFonts w:cs="Times New Roman"/>
          <w:lang w:val="fr-CA"/>
        </w:rPr>
        <w:t>10</w:t>
      </w:r>
      <w:r w:rsidRPr="002F5A3C">
        <w:rPr>
          <w:rFonts w:cs="Times New Roman"/>
          <w:lang w:val="fr-CA"/>
        </w:rPr>
        <w:t xml:space="preserve"> ans après l’arrêt </w:t>
      </w:r>
      <w:r w:rsidRPr="002F5A3C">
        <w:rPr>
          <w:rFonts w:cs="Times New Roman"/>
          <w:i/>
          <w:lang w:val="fr-CA"/>
        </w:rPr>
        <w:t>Calder</w:t>
      </w:r>
      <w:r w:rsidRPr="002F5A3C">
        <w:rPr>
          <w:rFonts w:cs="Times New Roman"/>
          <w:lang w:val="fr-CA"/>
        </w:rPr>
        <w:t xml:space="preserve">, les droits existants des Autochtones ont été </w:t>
      </w:r>
      <w:r>
        <w:rPr>
          <w:rFonts w:cs="Times New Roman"/>
          <w:lang w:val="fr-CA"/>
        </w:rPr>
        <w:t>« </w:t>
      </w:r>
      <w:r w:rsidRPr="002F5A3C">
        <w:rPr>
          <w:rFonts w:cs="Times New Roman"/>
          <w:lang w:val="fr-CA"/>
        </w:rPr>
        <w:t>reconnus et confirmés</w:t>
      </w:r>
      <w:r>
        <w:rPr>
          <w:rFonts w:cs="Times New Roman"/>
          <w:lang w:val="fr-CA"/>
        </w:rPr>
        <w:t> »</w:t>
      </w:r>
      <w:r w:rsidRPr="002F5A3C">
        <w:rPr>
          <w:rFonts w:cs="Times New Roman"/>
          <w:lang w:val="fr-CA"/>
        </w:rPr>
        <w:t xml:space="preserve"> avec l’adoption de l’art.</w:t>
      </w:r>
      <w:r>
        <w:rPr>
          <w:rFonts w:cs="Times New Roman"/>
          <w:lang w:val="fr-CA"/>
        </w:rPr>
        <w:t xml:space="preserve"> </w:t>
      </w:r>
      <w:r w:rsidRPr="002F5A3C">
        <w:rPr>
          <w:rFonts w:cs="Times New Roman"/>
          <w:lang w:val="fr-CA"/>
        </w:rPr>
        <w:t>35 de la</w:t>
      </w:r>
      <w:r w:rsidRPr="002F5A3C">
        <w:rPr>
          <w:rFonts w:cs="Times New Roman"/>
          <w:i/>
          <w:lang w:val="fr-CA"/>
        </w:rPr>
        <w:t xml:space="preserve"> Loi constitutionnelle de 1982</w:t>
      </w:r>
      <w:r w:rsidRPr="002F5A3C">
        <w:rPr>
          <w:rFonts w:cs="Times New Roman"/>
          <w:lang w:val="fr-CA"/>
        </w:rPr>
        <w:t xml:space="preserve">, bien qu’il ait fallu un certain temps pour bien préciser le sens de cette disposition.  </w:t>
      </w:r>
    </w:p>
    <w:p w:rsidR="000F2258" w:rsidRPr="002F5A3C" w:rsidRDefault="000F2258" w:rsidP="000F2258">
      <w:pPr>
        <w:pStyle w:val="ParaNoNdepar-AltN"/>
        <w:rPr>
          <w:rFonts w:cs="Times New Roman"/>
          <w:lang w:val="fr-CA"/>
        </w:rPr>
      </w:pPr>
      <w:r w:rsidRPr="002F5A3C">
        <w:rPr>
          <w:rFonts w:cs="Times New Roman"/>
          <w:lang w:val="fr-CA"/>
        </w:rPr>
        <w:t xml:space="preserve">Dans l’arrêt </w:t>
      </w:r>
      <w:r w:rsidRPr="002F5A3C">
        <w:rPr>
          <w:rFonts w:cs="Times New Roman"/>
          <w:i/>
          <w:lang w:val="fr-CA"/>
        </w:rPr>
        <w:t>Guerin c. La Reine</w:t>
      </w:r>
      <w:r w:rsidRPr="002F5A3C">
        <w:rPr>
          <w:rFonts w:cs="Times New Roman"/>
          <w:lang w:val="fr-CA"/>
        </w:rPr>
        <w:t xml:space="preserve">, [1984] 2 R.C.S. 335, notre Cour a confirmé qu’il était possible que les Autochtones détiennent un titre sur les terres ancestrales.  Le litige se rapportait à la conduite du gouvernement à l’égard de terres </w:t>
      </w:r>
      <w:r w:rsidRPr="002F5A3C">
        <w:rPr>
          <w:rFonts w:cs="Times New Roman"/>
          <w:lang w:val="fr-CA"/>
        </w:rPr>
        <w:lastRenderedPageBreak/>
        <w:t>situées sur une réserve.  La Cour a conclu que le gouvernement avait manqué à une obligation fiduciaire envers la bande indienne Musqueam.  Dans une opinion concourante, le juge Dickson (plus tard Juge en chef) a examiné la théorie sous</w:t>
      </w:r>
      <w:r>
        <w:rPr>
          <w:rFonts w:cs="Times New Roman"/>
          <w:lang w:val="fr-CA"/>
        </w:rPr>
        <w:t>-</w:t>
      </w:r>
      <w:r w:rsidRPr="002F5A3C">
        <w:rPr>
          <w:rFonts w:cs="Times New Roman"/>
          <w:lang w:val="fr-CA"/>
        </w:rPr>
        <w:t>jacente au titre ancestral.</w:t>
      </w:r>
      <w:r>
        <w:rPr>
          <w:rFonts w:cs="Times New Roman"/>
          <w:lang w:val="fr-CA"/>
        </w:rPr>
        <w:t xml:space="preserve"> </w:t>
      </w:r>
      <w:r w:rsidRPr="002F5A3C">
        <w:rPr>
          <w:rFonts w:cs="Times New Roman"/>
          <w:lang w:val="fr-CA"/>
        </w:rPr>
        <w:t xml:space="preserve"> Selon lui, la Couronne a acquis un titre absolu ou sous</w:t>
      </w:r>
      <w:r>
        <w:rPr>
          <w:rFonts w:cs="Times New Roman"/>
          <w:lang w:val="fr-CA"/>
        </w:rPr>
        <w:t>-</w:t>
      </w:r>
      <w:r w:rsidRPr="002F5A3C">
        <w:rPr>
          <w:rFonts w:cs="Times New Roman"/>
          <w:lang w:val="fr-CA"/>
        </w:rPr>
        <w:t>jacent sur toutes les terres situées en Colombie</w:t>
      </w:r>
      <w:r>
        <w:rPr>
          <w:rFonts w:cs="Times New Roman"/>
          <w:lang w:val="fr-CA"/>
        </w:rPr>
        <w:t>-</w:t>
      </w:r>
      <w:r w:rsidRPr="002F5A3C">
        <w:rPr>
          <w:rFonts w:cs="Times New Roman"/>
          <w:lang w:val="fr-CA"/>
        </w:rPr>
        <w:t xml:space="preserve">Britannique au moment de l’affirmation de la souveraineté.  Cependant, ce titre était grevé du </w:t>
      </w:r>
      <w:r>
        <w:rPr>
          <w:rFonts w:cs="Times New Roman"/>
          <w:lang w:val="fr-CA"/>
        </w:rPr>
        <w:t>« </w:t>
      </w:r>
      <w:r w:rsidRPr="002F5A3C">
        <w:rPr>
          <w:rFonts w:cs="Times New Roman"/>
          <w:lang w:val="fr-CA"/>
        </w:rPr>
        <w:t xml:space="preserve">droit, en </w:t>
      </w:r>
      <w:r w:rsidRPr="002F5A3C">
        <w:rPr>
          <w:rFonts w:cs="Times New Roman"/>
          <w:i/>
          <w:lang w:val="fr-CA"/>
        </w:rPr>
        <w:t>common law</w:t>
      </w:r>
      <w:r w:rsidRPr="002F5A3C">
        <w:rPr>
          <w:rFonts w:cs="Times New Roman"/>
          <w:lang w:val="fr-CA"/>
        </w:rPr>
        <w:t>, qui existait déjà</w:t>
      </w:r>
      <w:r>
        <w:rPr>
          <w:rFonts w:cs="Times New Roman"/>
          <w:lang w:val="fr-CA"/>
        </w:rPr>
        <w:t> »</w:t>
      </w:r>
      <w:r w:rsidRPr="002F5A3C">
        <w:rPr>
          <w:rFonts w:cs="Times New Roman"/>
          <w:lang w:val="fr-CA"/>
        </w:rPr>
        <w:t xml:space="preserve"> que détiennent les peuples autochtones du fait de leur utilisation et de leur occupation des terres avant l’arrivée des Européens (p.</w:t>
      </w:r>
      <w:r>
        <w:rPr>
          <w:rFonts w:cs="Times New Roman"/>
          <w:lang w:val="fr-CA"/>
        </w:rPr>
        <w:t xml:space="preserve"> </w:t>
      </w:r>
      <w:r w:rsidRPr="002F5A3C">
        <w:rPr>
          <w:rFonts w:cs="Times New Roman"/>
          <w:lang w:val="fr-CA"/>
        </w:rPr>
        <w:t>379</w:t>
      </w:r>
      <w:r>
        <w:rPr>
          <w:rFonts w:cs="Times New Roman"/>
          <w:lang w:val="fr-CA"/>
        </w:rPr>
        <w:t>-</w:t>
      </w:r>
      <w:r w:rsidRPr="002F5A3C">
        <w:rPr>
          <w:rFonts w:cs="Times New Roman"/>
          <w:lang w:val="fr-CA"/>
        </w:rPr>
        <w:t xml:space="preserve">382).  Le juge Dickson a affirmé que le droit des Autochtones sur leurs terres avait </w:t>
      </w:r>
      <w:r>
        <w:rPr>
          <w:rFonts w:cs="Times New Roman"/>
          <w:lang w:val="fr-CA"/>
        </w:rPr>
        <w:t>« </w:t>
      </w:r>
      <w:r w:rsidRPr="002F5A3C">
        <w:rPr>
          <w:rFonts w:cs="Times New Roman"/>
          <w:lang w:val="fr-CA"/>
        </w:rPr>
        <w:t>une existence juridique indépendante</w:t>
      </w:r>
      <w:r>
        <w:rPr>
          <w:rFonts w:cs="Times New Roman"/>
          <w:lang w:val="fr-CA"/>
        </w:rPr>
        <w:t> »</w:t>
      </w:r>
      <w:r w:rsidRPr="002F5A3C">
        <w:rPr>
          <w:rFonts w:cs="Times New Roman"/>
          <w:lang w:val="fr-CA"/>
        </w:rPr>
        <w:t xml:space="preserve"> (p.</w:t>
      </w:r>
      <w:r>
        <w:rPr>
          <w:rFonts w:cs="Times New Roman"/>
          <w:lang w:val="fr-CA"/>
        </w:rPr>
        <w:t xml:space="preserve"> </w:t>
      </w:r>
      <w:r w:rsidRPr="002F5A3C">
        <w:rPr>
          <w:rFonts w:cs="Times New Roman"/>
          <w:lang w:val="fr-CA"/>
        </w:rPr>
        <w:t xml:space="preserve">385), lequel donne naissance à une obligation fiduciaire </w:t>
      </w:r>
      <w:r w:rsidRPr="002F5A3C">
        <w:rPr>
          <w:rFonts w:cs="Times New Roman"/>
          <w:i/>
          <w:lang w:val="fr-CA"/>
        </w:rPr>
        <w:t>sui generis</w:t>
      </w:r>
      <w:r w:rsidRPr="002F5A3C">
        <w:rPr>
          <w:rFonts w:cs="Times New Roman"/>
          <w:lang w:val="fr-CA"/>
        </w:rPr>
        <w:t xml:space="preserve"> de la Couronne.  </w:t>
      </w:r>
    </w:p>
    <w:p w:rsidR="000F2258" w:rsidRPr="002F5A3C" w:rsidRDefault="000F2258" w:rsidP="000F2258">
      <w:pPr>
        <w:pStyle w:val="ParaNoNdepar-AltN"/>
        <w:rPr>
          <w:rFonts w:cs="Times New Roman"/>
          <w:lang w:val="fr-CA"/>
        </w:rPr>
      </w:pPr>
      <w:r w:rsidRPr="002F5A3C">
        <w:rPr>
          <w:rFonts w:cs="Times New Roman"/>
          <w:lang w:val="fr-CA"/>
        </w:rPr>
        <w:t>En 1990, notre Cour a conclu que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accordait une protection constitutionnelle à tous les droits ancestraux qui n’avaient pas été éteints avant le 17</w:t>
      </w:r>
      <w:r>
        <w:rPr>
          <w:rFonts w:cs="Times New Roman"/>
          <w:lang w:val="fr-CA"/>
        </w:rPr>
        <w:t xml:space="preserve"> </w:t>
      </w:r>
      <w:r w:rsidRPr="002F5A3C">
        <w:rPr>
          <w:rFonts w:cs="Times New Roman"/>
          <w:lang w:val="fr-CA"/>
        </w:rPr>
        <w:t>avril</w:t>
      </w:r>
      <w:r>
        <w:rPr>
          <w:rFonts w:cs="Times New Roman"/>
          <w:lang w:val="fr-CA"/>
        </w:rPr>
        <w:t xml:space="preserve"> </w:t>
      </w:r>
      <w:r w:rsidRPr="002F5A3C">
        <w:rPr>
          <w:rFonts w:cs="Times New Roman"/>
          <w:lang w:val="fr-CA"/>
        </w:rPr>
        <w:t>1982 et imposait à la Couronne une obligation fiduciaire relativement à ces droits</w:t>
      </w:r>
      <w:r>
        <w:rPr>
          <w:rFonts w:cs="Times New Roman"/>
          <w:lang w:val="fr-CA"/>
        </w:rPr>
        <w:t> :</w:t>
      </w:r>
      <w:r w:rsidRPr="002F5A3C">
        <w:rPr>
          <w:rFonts w:cs="Times New Roman"/>
          <w:lang w:val="fr-CA"/>
        </w:rPr>
        <w:t xml:space="preserve"> </w:t>
      </w:r>
      <w:r w:rsidRPr="002F5A3C">
        <w:rPr>
          <w:rFonts w:cs="Times New Roman"/>
          <w:i/>
          <w:lang w:val="fr-CA"/>
        </w:rPr>
        <w:t>R. c. Sparrow</w:t>
      </w:r>
      <w:r w:rsidRPr="007B537E">
        <w:rPr>
          <w:rFonts w:cs="Times New Roman"/>
          <w:lang w:val="fr-CA"/>
        </w:rPr>
        <w:t>,</w:t>
      </w:r>
      <w:r w:rsidRPr="002F5A3C">
        <w:rPr>
          <w:rFonts w:cs="Times New Roman"/>
          <w:i/>
          <w:lang w:val="fr-CA"/>
        </w:rPr>
        <w:t xml:space="preserve"> </w:t>
      </w:r>
      <w:r w:rsidRPr="002F5A3C">
        <w:rPr>
          <w:rFonts w:cs="Times New Roman"/>
          <w:lang w:val="fr-CA"/>
        </w:rPr>
        <w:t>[1990] 1</w:t>
      </w:r>
      <w:r>
        <w:rPr>
          <w:rFonts w:cs="Times New Roman"/>
          <w:lang w:val="fr-CA"/>
        </w:rPr>
        <w:t xml:space="preserve"> </w:t>
      </w:r>
      <w:r w:rsidRPr="002F5A3C">
        <w:rPr>
          <w:rFonts w:cs="Times New Roman"/>
          <w:lang w:val="fr-CA"/>
        </w:rPr>
        <w:t>R.C.S. 1075.  La Cour a déclaré que, sous le régime de l’art.</w:t>
      </w:r>
      <w:r>
        <w:rPr>
          <w:rFonts w:cs="Times New Roman"/>
          <w:lang w:val="fr-CA"/>
        </w:rPr>
        <w:t xml:space="preserve"> </w:t>
      </w:r>
      <w:r w:rsidRPr="002F5A3C">
        <w:rPr>
          <w:rFonts w:cs="Times New Roman"/>
          <w:lang w:val="fr-CA"/>
        </w:rPr>
        <w:t>35, un texte de loi ne peut porter atteinte aux droits protégés par cet article que si l’atteinte résiste à une analyse de la justification en deux étapes</w:t>
      </w:r>
      <w:r>
        <w:rPr>
          <w:rFonts w:cs="Times New Roman"/>
          <w:lang w:val="fr-CA"/>
        </w:rPr>
        <w:t> :</w:t>
      </w:r>
      <w:r w:rsidRPr="002F5A3C">
        <w:rPr>
          <w:rFonts w:cs="Times New Roman"/>
          <w:lang w:val="fr-CA"/>
        </w:rPr>
        <w:t xml:space="preserve"> le texte de loi doit poursuivre un </w:t>
      </w:r>
      <w:r w:rsidR="007B537E" w:rsidRPr="002F5A3C">
        <w:rPr>
          <w:rFonts w:cs="Times New Roman"/>
          <w:lang w:val="fr-CA"/>
        </w:rPr>
        <w:t xml:space="preserve">objectif </w:t>
      </w:r>
      <w:r>
        <w:rPr>
          <w:rFonts w:cs="Times New Roman"/>
          <w:lang w:val="fr-CA"/>
        </w:rPr>
        <w:t>« </w:t>
      </w:r>
      <w:r w:rsidRPr="002F5A3C">
        <w:rPr>
          <w:rFonts w:cs="Times New Roman"/>
          <w:lang w:val="fr-CA"/>
        </w:rPr>
        <w:t>impérieux et réel</w:t>
      </w:r>
      <w:r>
        <w:rPr>
          <w:rFonts w:cs="Times New Roman"/>
          <w:lang w:val="fr-CA"/>
        </w:rPr>
        <w:t> »</w:t>
      </w:r>
      <w:r w:rsidRPr="002F5A3C">
        <w:rPr>
          <w:rFonts w:cs="Times New Roman"/>
          <w:lang w:val="fr-CA"/>
        </w:rPr>
        <w:t xml:space="preserve"> et doit reconnaître la </w:t>
      </w:r>
      <w:r>
        <w:rPr>
          <w:rFonts w:cs="Times New Roman"/>
          <w:lang w:val="fr-CA"/>
        </w:rPr>
        <w:t>« </w:t>
      </w:r>
      <w:r w:rsidRPr="002F5A3C">
        <w:rPr>
          <w:rFonts w:cs="Times New Roman"/>
          <w:lang w:val="fr-CA"/>
        </w:rPr>
        <w:t>priorité</w:t>
      </w:r>
      <w:r>
        <w:rPr>
          <w:rFonts w:cs="Times New Roman"/>
          <w:lang w:val="fr-CA"/>
        </w:rPr>
        <w:t> »</w:t>
      </w:r>
      <w:r w:rsidRPr="002F5A3C">
        <w:rPr>
          <w:rFonts w:cs="Times New Roman"/>
          <w:lang w:val="fr-CA"/>
        </w:rPr>
        <w:t xml:space="preserve"> du droit ancestral en cause qui découle de l’obligation fiduciaire imposée à la Couronne (p.</w:t>
      </w:r>
      <w:r>
        <w:rPr>
          <w:rFonts w:cs="Times New Roman"/>
          <w:lang w:val="fr-CA"/>
        </w:rPr>
        <w:t xml:space="preserve"> </w:t>
      </w:r>
      <w:r w:rsidRPr="002F5A3C">
        <w:rPr>
          <w:rFonts w:cs="Times New Roman"/>
          <w:lang w:val="fr-CA"/>
        </w:rPr>
        <w:t>1113</w:t>
      </w:r>
      <w:r>
        <w:rPr>
          <w:rFonts w:cs="Times New Roman"/>
          <w:lang w:val="fr-CA"/>
        </w:rPr>
        <w:t>-</w:t>
      </w:r>
      <w:r w:rsidRPr="002F5A3C">
        <w:rPr>
          <w:rFonts w:cs="Times New Roman"/>
          <w:lang w:val="fr-CA"/>
        </w:rPr>
        <w:t xml:space="preserve">1119).  </w:t>
      </w:r>
    </w:p>
    <w:p w:rsidR="000F2258" w:rsidRPr="002F5A3C" w:rsidRDefault="000F2258" w:rsidP="000F2258">
      <w:pPr>
        <w:pStyle w:val="ParaNoNdepar-AltN"/>
        <w:rPr>
          <w:rFonts w:cs="Times New Roman"/>
          <w:lang w:val="fr-CA"/>
        </w:rPr>
      </w:pPr>
      <w:r w:rsidRPr="002F5A3C">
        <w:rPr>
          <w:rFonts w:cs="Times New Roman"/>
          <w:lang w:val="fr-CA"/>
        </w:rPr>
        <w:t xml:space="preserve">Les principes établis dans les arrêts </w:t>
      </w:r>
      <w:r w:rsidRPr="002F5A3C">
        <w:rPr>
          <w:rFonts w:cs="Times New Roman"/>
          <w:i/>
          <w:lang w:val="fr-CA"/>
        </w:rPr>
        <w:t>Calder</w:t>
      </w:r>
      <w:r w:rsidRPr="007B537E">
        <w:rPr>
          <w:rFonts w:cs="Times New Roman"/>
          <w:lang w:val="fr-CA"/>
        </w:rPr>
        <w:t>,</w:t>
      </w:r>
      <w:r w:rsidRPr="002F5A3C">
        <w:rPr>
          <w:rFonts w:cs="Times New Roman"/>
          <w:i/>
          <w:lang w:val="fr-CA"/>
        </w:rPr>
        <w:t xml:space="preserve"> Guerin </w:t>
      </w:r>
      <w:r w:rsidRPr="002F5A3C">
        <w:rPr>
          <w:rFonts w:cs="Times New Roman"/>
          <w:lang w:val="fr-CA"/>
        </w:rPr>
        <w:t xml:space="preserve">et </w:t>
      </w:r>
      <w:r w:rsidRPr="002F5A3C">
        <w:rPr>
          <w:rFonts w:cs="Times New Roman"/>
          <w:i/>
          <w:lang w:val="fr-CA"/>
        </w:rPr>
        <w:t>Sparrow</w:t>
      </w:r>
      <w:r w:rsidRPr="002F5A3C">
        <w:rPr>
          <w:rFonts w:cs="Times New Roman"/>
          <w:lang w:val="fr-CA"/>
        </w:rPr>
        <w:t xml:space="preserve"> ont été réunis et appliqués dans le contexte d’une revendication du titre ancestral dans l’arrêt </w:t>
      </w:r>
      <w:r w:rsidRPr="002F5A3C">
        <w:rPr>
          <w:rFonts w:cs="Times New Roman"/>
          <w:i/>
          <w:lang w:val="fr-CA"/>
        </w:rPr>
        <w:t>Delgamuukw c. Colombie</w:t>
      </w:r>
      <w:r>
        <w:rPr>
          <w:rFonts w:cs="Times New Roman"/>
          <w:i/>
          <w:lang w:val="fr-CA"/>
        </w:rPr>
        <w:t>-</w:t>
      </w:r>
      <w:r w:rsidRPr="002F5A3C">
        <w:rPr>
          <w:rFonts w:cs="Times New Roman"/>
          <w:i/>
          <w:lang w:val="fr-CA"/>
        </w:rPr>
        <w:t>Britannique</w:t>
      </w:r>
      <w:r w:rsidRPr="007B537E">
        <w:rPr>
          <w:rFonts w:cs="Times New Roman"/>
          <w:lang w:val="fr-CA"/>
        </w:rPr>
        <w:t xml:space="preserve">, </w:t>
      </w:r>
      <w:r w:rsidRPr="002F5A3C">
        <w:rPr>
          <w:rFonts w:cs="Times New Roman"/>
          <w:lang w:val="fr-CA"/>
        </w:rPr>
        <w:t xml:space="preserve">[1997] 3 R.C.S. 1010.  Notre Cour a confirmé </w:t>
      </w:r>
      <w:r w:rsidRPr="002F5A3C">
        <w:rPr>
          <w:rFonts w:cs="Times New Roman"/>
          <w:lang w:val="fr-CA"/>
        </w:rPr>
        <w:lastRenderedPageBreak/>
        <w:t xml:space="preserve">le caractère </w:t>
      </w:r>
      <w:r w:rsidRPr="002F5A3C">
        <w:rPr>
          <w:rFonts w:cs="Times New Roman"/>
          <w:i/>
          <w:lang w:val="fr-CA"/>
        </w:rPr>
        <w:t xml:space="preserve">sui generis </w:t>
      </w:r>
      <w:r w:rsidRPr="002F5A3C">
        <w:rPr>
          <w:rFonts w:cs="Times New Roman"/>
          <w:lang w:val="fr-CA"/>
        </w:rPr>
        <w:t xml:space="preserve">des droits et des obligations auxquels la relation entre la Couronne et les peuples autochtones donne naissance, et elle </w:t>
      </w:r>
      <w:r w:rsidR="007B537E" w:rsidRPr="002F5A3C">
        <w:rPr>
          <w:rFonts w:cs="Times New Roman"/>
          <w:lang w:val="fr-CA"/>
        </w:rPr>
        <w:t xml:space="preserve">a </w:t>
      </w:r>
      <w:r w:rsidRPr="002F5A3C">
        <w:rPr>
          <w:rFonts w:cs="Times New Roman"/>
          <w:lang w:val="fr-CA"/>
        </w:rPr>
        <w:t xml:space="preserve">déclaré que ce qui rend le titre ancestral unique est le fait qu’il découle d’une possession </w:t>
      </w:r>
      <w:r w:rsidRPr="002F5A3C">
        <w:rPr>
          <w:rFonts w:cs="Times New Roman"/>
          <w:i/>
          <w:lang w:val="fr-CA"/>
        </w:rPr>
        <w:t>antérieure</w:t>
      </w:r>
      <w:r w:rsidRPr="002F5A3C">
        <w:rPr>
          <w:rFonts w:cs="Times New Roman"/>
          <w:lang w:val="fr-CA"/>
        </w:rPr>
        <w:t xml:space="preserve"> à l’affirmation de la souveraineté britannique, contrairement aux autres domaines, comme le fief simple, qui ont pris naissance </w:t>
      </w:r>
      <w:r w:rsidRPr="002F5A3C">
        <w:rPr>
          <w:rFonts w:cs="Times New Roman"/>
          <w:i/>
          <w:lang w:val="fr-CA"/>
        </w:rPr>
        <w:t>par la suite</w:t>
      </w:r>
      <w:r w:rsidRPr="002F5A3C">
        <w:rPr>
          <w:rFonts w:cs="Times New Roman"/>
          <w:lang w:val="fr-CA"/>
        </w:rPr>
        <w:t>.  Il faut accorder une importance égale à la common law et au point de vue des Autochtones au moment d’évaluer une revendication du titre ancestral.</w:t>
      </w:r>
    </w:p>
    <w:p w:rsidR="000F2258" w:rsidRPr="002F5A3C" w:rsidRDefault="000F2258" w:rsidP="000F2258">
      <w:pPr>
        <w:pStyle w:val="ParaNoNdepar-AltN"/>
        <w:rPr>
          <w:rFonts w:cs="Times New Roman"/>
          <w:lang w:val="fr-CA"/>
        </w:rPr>
      </w:pPr>
      <w:r w:rsidRPr="002F5A3C">
        <w:rPr>
          <w:rFonts w:cs="Times New Roman"/>
          <w:lang w:val="fr-CA"/>
        </w:rPr>
        <w:t xml:space="preserve">Dans l’arrêt </w:t>
      </w:r>
      <w:r w:rsidRPr="002F5A3C">
        <w:rPr>
          <w:rFonts w:cs="Times New Roman"/>
          <w:i/>
          <w:lang w:val="fr-CA"/>
        </w:rPr>
        <w:t>Delgamuukw</w:t>
      </w:r>
      <w:r w:rsidRPr="002F5A3C">
        <w:rPr>
          <w:rFonts w:cs="Times New Roman"/>
          <w:lang w:val="fr-CA"/>
        </w:rPr>
        <w:t xml:space="preserve">, la Cour a résumé le contenu du titre ancestral au moyen de deux énoncés, l’un positif et l’autre négatif.  De façon positive, </w:t>
      </w:r>
      <w:r>
        <w:rPr>
          <w:rFonts w:cs="Times New Roman"/>
          <w:lang w:val="fr-CA"/>
        </w:rPr>
        <w:t>« </w:t>
      </w:r>
      <w:r w:rsidRPr="002F5A3C">
        <w:rPr>
          <w:rFonts w:cs="Times New Roman"/>
          <w:lang w:val="fr-CA"/>
        </w:rPr>
        <w:t>le titre aborigène comprend le droit d’utiliser et d’occuper de façon exclusive les terres détenues en vertu de ce titre pour diverses fins qui ne doivent pas nécessairement être des aspects de coutumes, pratiques et traditions autochtones faisant partie intégrante d’une culture autochtone distinctive</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117).  De façon négative, ces</w:t>
      </w:r>
      <w:r>
        <w:rPr>
          <w:rFonts w:cs="Times New Roman"/>
          <w:lang w:val="fr-CA"/>
        </w:rPr>
        <w:t xml:space="preserve"> « </w:t>
      </w:r>
      <w:r w:rsidRPr="002F5A3C">
        <w:rPr>
          <w:rFonts w:cs="Times New Roman"/>
          <w:lang w:val="fr-CA"/>
        </w:rPr>
        <w:t>utilisations protégées ne doivent pas être incompatibles avec la nature de l’attachement qu’a le groupe concerné pour ces terres</w:t>
      </w:r>
      <w:r>
        <w:rPr>
          <w:rFonts w:cs="Times New Roman"/>
          <w:lang w:val="fr-CA"/>
        </w:rPr>
        <w:t> »</w:t>
      </w:r>
      <w:r w:rsidRPr="002F5A3C">
        <w:rPr>
          <w:rFonts w:cs="Times New Roman"/>
          <w:lang w:val="fr-CA"/>
        </w:rPr>
        <w:t xml:space="preserve"> (</w:t>
      </w:r>
      <w:r w:rsidRPr="002F5A3C">
        <w:rPr>
          <w:rFonts w:cs="Times New Roman"/>
          <w:i/>
          <w:lang w:val="fr-CA"/>
        </w:rPr>
        <w:t>ibid</w:t>
      </w:r>
      <w:r w:rsidRPr="002F5A3C">
        <w:rPr>
          <w:rFonts w:cs="Times New Roman"/>
          <w:lang w:val="fr-CA"/>
        </w:rPr>
        <w:t>.) — c’est</w:t>
      </w:r>
      <w:r>
        <w:rPr>
          <w:rFonts w:cs="Times New Roman"/>
          <w:lang w:val="fr-CA"/>
        </w:rPr>
        <w:t>-</w:t>
      </w:r>
      <w:r w:rsidRPr="002F5A3C">
        <w:rPr>
          <w:rFonts w:cs="Times New Roman"/>
          <w:lang w:val="fr-CA"/>
        </w:rPr>
        <w:t>à</w:t>
      </w:r>
      <w:r>
        <w:rPr>
          <w:rFonts w:cs="Times New Roman"/>
          <w:lang w:val="fr-CA"/>
        </w:rPr>
        <w:t>-</w:t>
      </w:r>
      <w:r w:rsidRPr="002F5A3C">
        <w:rPr>
          <w:rFonts w:cs="Times New Roman"/>
          <w:lang w:val="fr-CA"/>
        </w:rPr>
        <w:t>dire que le titre appartient au groupe et qu’il ne peut pas être aliéné d’une manière qui prive les générations futures du contrôle et du bénéfice des terres.</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Dans </w:t>
      </w:r>
      <w:r w:rsidRPr="002F5A3C">
        <w:rPr>
          <w:rFonts w:cs="Times New Roman"/>
          <w:i/>
          <w:lang w:val="fr-CA"/>
        </w:rPr>
        <w:t>Delgamuukw</w:t>
      </w:r>
      <w:r w:rsidRPr="002F5A3C">
        <w:rPr>
          <w:rFonts w:cs="Times New Roman"/>
          <w:lang w:val="fr-CA"/>
        </w:rPr>
        <w:t>, la Cour a confirmé que les atteintes au titre ancestral peuvent être justifiées au regard de l’art.</w:t>
      </w:r>
      <w:r>
        <w:rPr>
          <w:rFonts w:cs="Times New Roman"/>
          <w:lang w:val="fr-CA"/>
        </w:rPr>
        <w:t xml:space="preserve"> </w:t>
      </w:r>
      <w:r w:rsidRPr="002F5A3C">
        <w:rPr>
          <w:rFonts w:cs="Times New Roman"/>
          <w:lang w:val="fr-CA"/>
        </w:rPr>
        <w:t xml:space="preserve">35 de la </w:t>
      </w:r>
      <w:r w:rsidRPr="002F5A3C">
        <w:rPr>
          <w:rFonts w:cs="Times New Roman"/>
          <w:i/>
          <w:lang w:val="fr-CA"/>
        </w:rPr>
        <w:t xml:space="preserve">Loi constitutionnelle de 1982 </w:t>
      </w:r>
      <w:r w:rsidRPr="002F5A3C">
        <w:rPr>
          <w:rFonts w:cs="Times New Roman"/>
          <w:lang w:val="fr-CA"/>
        </w:rPr>
        <w:t xml:space="preserve">suivant le critère énoncé dans l’arrêt </w:t>
      </w:r>
      <w:r w:rsidRPr="002F5A3C">
        <w:rPr>
          <w:rFonts w:cs="Times New Roman"/>
          <w:i/>
          <w:lang w:val="fr-CA"/>
        </w:rPr>
        <w:t>Sparrow</w:t>
      </w:r>
      <w:r w:rsidRPr="002F5A3C">
        <w:rPr>
          <w:rFonts w:cs="Times New Roman"/>
          <w:lang w:val="fr-CA"/>
        </w:rPr>
        <w:t xml:space="preserve"> et a décrit les droits ancestraux comme un </w:t>
      </w:r>
      <w:r>
        <w:rPr>
          <w:rFonts w:cs="Times New Roman"/>
          <w:lang w:val="fr-CA"/>
        </w:rPr>
        <w:t>« </w:t>
      </w:r>
      <w:r w:rsidRPr="002F5A3C">
        <w:rPr>
          <w:rFonts w:cs="Times New Roman"/>
          <w:lang w:val="fr-CA"/>
        </w:rPr>
        <w:t>élément nécessaire de la conciliation de l’existence des sociétés autochtones avec la communauté politique plus large à laquelle ces dernières appartiennent</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161)</w:t>
      </w:r>
      <w:r w:rsidR="003F1550">
        <w:rPr>
          <w:rFonts w:cs="Times New Roman"/>
          <w:lang w:val="fr-CA"/>
        </w:rPr>
        <w:t>,</w:t>
      </w:r>
      <w:r w:rsidR="007B537E">
        <w:rPr>
          <w:rFonts w:cs="Times New Roman"/>
          <w:lang w:val="fr-CA"/>
        </w:rPr>
        <w:t xml:space="preserve"> citant </w:t>
      </w:r>
      <w:r w:rsidR="007B537E">
        <w:rPr>
          <w:rFonts w:cs="Times New Roman"/>
          <w:i/>
          <w:lang w:val="fr-CA"/>
        </w:rPr>
        <w:t>R. c. Gladstone</w:t>
      </w:r>
      <w:r w:rsidR="007B537E">
        <w:rPr>
          <w:rFonts w:cs="Times New Roman"/>
          <w:lang w:val="fr-CA"/>
        </w:rPr>
        <w:t>, [1996] 2 R.C.S. 723, par. 73</w:t>
      </w:r>
      <w:r w:rsidRPr="002F5A3C">
        <w:rPr>
          <w:rFonts w:cs="Times New Roman"/>
          <w:lang w:val="fr-CA"/>
        </w:rPr>
        <w:t xml:space="preserve">.  Alors que dans l’arrêt </w:t>
      </w:r>
      <w:r w:rsidRPr="002F5A3C">
        <w:rPr>
          <w:rFonts w:cs="Times New Roman"/>
          <w:i/>
          <w:lang w:val="fr-CA"/>
        </w:rPr>
        <w:t>Sparrow</w:t>
      </w:r>
      <w:r w:rsidRPr="002F5A3C">
        <w:rPr>
          <w:rFonts w:cs="Times New Roman"/>
          <w:lang w:val="fr-CA"/>
        </w:rPr>
        <w:t xml:space="preserve"> il </w:t>
      </w:r>
      <w:r w:rsidRPr="002F5A3C">
        <w:rPr>
          <w:rFonts w:cs="Times New Roman"/>
          <w:lang w:val="fr-CA"/>
        </w:rPr>
        <w:lastRenderedPageBreak/>
        <w:t xml:space="preserve">était question de la </w:t>
      </w:r>
      <w:r w:rsidRPr="00212AA5">
        <w:rPr>
          <w:rFonts w:cs="Times New Roman"/>
          <w:i/>
          <w:lang w:val="fr-CA"/>
        </w:rPr>
        <w:t>priorité</w:t>
      </w:r>
      <w:r w:rsidRPr="002F5A3C">
        <w:rPr>
          <w:rFonts w:cs="Times New Roman"/>
          <w:lang w:val="fr-CA"/>
        </w:rPr>
        <w:t xml:space="preserve"> des droits ancestraux violés par des dispositions réglementaires sur les intérêts non</w:t>
      </w:r>
      <w:r w:rsidR="00351BEE">
        <w:rPr>
          <w:rFonts w:cs="Times New Roman"/>
          <w:lang w:val="fr-CA"/>
        </w:rPr>
        <w:t xml:space="preserve"> </w:t>
      </w:r>
      <w:r w:rsidRPr="002F5A3C">
        <w:rPr>
          <w:rFonts w:cs="Times New Roman"/>
          <w:lang w:val="fr-CA"/>
        </w:rPr>
        <w:t xml:space="preserve">autochtones, l’arrêt </w:t>
      </w:r>
      <w:r w:rsidRPr="002F5A3C">
        <w:rPr>
          <w:rFonts w:cs="Times New Roman"/>
          <w:i/>
          <w:lang w:val="fr-CA"/>
        </w:rPr>
        <w:t>Delgamuukw</w:t>
      </w:r>
      <w:r w:rsidRPr="002F5A3C">
        <w:rPr>
          <w:rFonts w:cs="Times New Roman"/>
          <w:lang w:val="fr-CA"/>
        </w:rPr>
        <w:t xml:space="preserve"> a exposé </w:t>
      </w:r>
      <w:r>
        <w:rPr>
          <w:rFonts w:cs="Times New Roman"/>
          <w:lang w:val="fr-CA"/>
        </w:rPr>
        <w:t>« </w:t>
      </w:r>
      <w:r w:rsidR="007B537E">
        <w:rPr>
          <w:rFonts w:cs="Times New Roman"/>
          <w:lang w:val="fr-CA"/>
        </w:rPr>
        <w:t>autrement</w:t>
      </w:r>
      <w:r>
        <w:rPr>
          <w:rFonts w:cs="Times New Roman"/>
          <w:lang w:val="fr-CA"/>
        </w:rPr>
        <w:t> »</w:t>
      </w:r>
      <w:r w:rsidRPr="002F5A3C">
        <w:rPr>
          <w:rFonts w:cs="Times New Roman"/>
          <w:lang w:val="fr-CA"/>
        </w:rPr>
        <w:t xml:space="preserve"> (au par.</w:t>
      </w:r>
      <w:r>
        <w:rPr>
          <w:rFonts w:cs="Times New Roman"/>
          <w:lang w:val="fr-CA"/>
        </w:rPr>
        <w:t xml:space="preserve"> </w:t>
      </w:r>
      <w:r w:rsidRPr="002F5A3C">
        <w:rPr>
          <w:rFonts w:cs="Times New Roman"/>
          <w:lang w:val="fr-CA"/>
        </w:rPr>
        <w:t xml:space="preserve">168) </w:t>
      </w:r>
      <w:r w:rsidR="007B537E">
        <w:rPr>
          <w:rFonts w:cs="Times New Roman"/>
          <w:lang w:val="fr-CA"/>
        </w:rPr>
        <w:t xml:space="preserve">l’approche </w:t>
      </w:r>
      <w:r w:rsidRPr="002F5A3C">
        <w:rPr>
          <w:rFonts w:cs="Times New Roman"/>
          <w:lang w:val="fr-CA"/>
        </w:rPr>
        <w:t xml:space="preserve">selon laquelle les peuples autochtones participent — participation qui varie en fonction de la gravité de l’atteinte — à la prise des décisions concernant leurs terres.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Dans l’arrêt </w:t>
      </w:r>
      <w:r w:rsidRPr="002F5A3C">
        <w:rPr>
          <w:rFonts w:cs="Times New Roman"/>
          <w:i/>
          <w:lang w:val="fr-CA"/>
        </w:rPr>
        <w:t>Nation haïda c. Colombie</w:t>
      </w:r>
      <w:r>
        <w:rPr>
          <w:rFonts w:cs="Times New Roman"/>
          <w:i/>
          <w:lang w:val="fr-CA"/>
        </w:rPr>
        <w:t>-</w:t>
      </w:r>
      <w:r w:rsidRPr="002F5A3C">
        <w:rPr>
          <w:rFonts w:cs="Times New Roman"/>
          <w:i/>
          <w:lang w:val="fr-CA"/>
        </w:rPr>
        <w:t>Britannique (Ministre des Forêts)</w:t>
      </w:r>
      <w:r w:rsidRPr="002F5A3C">
        <w:rPr>
          <w:rFonts w:cs="Times New Roman"/>
          <w:lang w:val="fr-CA"/>
        </w:rPr>
        <w:t xml:space="preserve">, 2004 CSC 73, [2004] 3 R.C.S. 511, la Cour a appliqué l’idée exprimée dans l’arrêt </w:t>
      </w:r>
      <w:r w:rsidRPr="002F5A3C">
        <w:rPr>
          <w:rFonts w:cs="Times New Roman"/>
          <w:i/>
          <w:lang w:val="fr-CA"/>
        </w:rPr>
        <w:t>Delgamuukw</w:t>
      </w:r>
      <w:r w:rsidRPr="002F5A3C">
        <w:rPr>
          <w:rFonts w:cs="Times New Roman"/>
          <w:lang w:val="fr-CA"/>
        </w:rPr>
        <w:t xml:space="preserve">, soit que le groupe autochtone visé participe à la prise des décisions concernant ses terres, à un cas où il est proposé que des activités d’exploitation soient menées sur des terres sur lesquelles le titre ancestral est revendiqué mais n’est pas encore établi.  La Cour a reconnu un continuum de consultation.  L’obligation de la Couronne de consulter les Autochtones et de trouver des accommodements aux droits qu’ils revendiquent </w:t>
      </w:r>
      <w:r>
        <w:rPr>
          <w:rFonts w:cs="Times New Roman"/>
          <w:lang w:val="fr-CA"/>
        </w:rPr>
        <w:t>« </w:t>
      </w:r>
      <w:r w:rsidRPr="002F5A3C">
        <w:rPr>
          <w:rFonts w:cs="Times New Roman"/>
          <w:lang w:val="fr-CA"/>
        </w:rPr>
        <w:t>dépend de l’évaluation préliminaire de la solidité de la preuve étayant l’existence du droit ou du titre revendiqué, et de la gravité des effets préjudiciables potentiels sur le droit ou le titre</w:t>
      </w:r>
      <w:r>
        <w:rPr>
          <w:rFonts w:cs="Times New Roman"/>
          <w:lang w:val="fr-CA"/>
        </w:rPr>
        <w:t> »</w:t>
      </w:r>
      <w:r w:rsidRPr="002F5A3C">
        <w:rPr>
          <w:rFonts w:cs="Times New Roman"/>
          <w:lang w:val="fr-CA"/>
        </w:rPr>
        <w:t xml:space="preserve"> (par.</w:t>
      </w:r>
      <w:r>
        <w:rPr>
          <w:rFonts w:cs="Times New Roman"/>
          <w:lang w:val="fr-CA"/>
        </w:rPr>
        <w:t xml:space="preserve"> </w:t>
      </w:r>
      <w:r w:rsidR="007B537E">
        <w:rPr>
          <w:rFonts w:cs="Times New Roman"/>
          <w:lang w:val="fr-CA"/>
        </w:rPr>
        <w:t>39</w:t>
      </w:r>
      <w:r w:rsidRPr="002F5A3C">
        <w:rPr>
          <w:rFonts w:cs="Times New Roman"/>
          <w:lang w:val="fr-CA"/>
        </w:rPr>
        <w:t xml:space="preserve">).  Ainsi, la notion de mise en balance proportionnée qui ressort implicitement de l’arrêt </w:t>
      </w:r>
      <w:r w:rsidRPr="002F5A3C">
        <w:rPr>
          <w:rFonts w:cs="Times New Roman"/>
          <w:i/>
          <w:lang w:val="fr-CA"/>
        </w:rPr>
        <w:t xml:space="preserve">Delgamuukw </w:t>
      </w:r>
      <w:r w:rsidRPr="002F5A3C">
        <w:rPr>
          <w:rFonts w:cs="Times New Roman"/>
          <w:lang w:val="fr-CA"/>
        </w:rPr>
        <w:t xml:space="preserve">est reprise dans </w:t>
      </w:r>
      <w:r w:rsidRPr="002F5A3C">
        <w:rPr>
          <w:rFonts w:cs="Times New Roman"/>
          <w:i/>
          <w:lang w:val="fr-CA"/>
        </w:rPr>
        <w:t>Nation haïda</w:t>
      </w:r>
      <w:r w:rsidRPr="002F5A3C">
        <w:rPr>
          <w:rFonts w:cs="Times New Roman"/>
          <w:lang w:val="fr-CA"/>
        </w:rPr>
        <w:t>.  Dans ce dernier arrêt, la Cour a indiqué que la Couronne n’avait pas seulement une obligation morale, mais une obligation légale de négocier de bonne foi dans le but de régler les revendications territoriales (par.</w:t>
      </w:r>
      <w:r>
        <w:rPr>
          <w:rFonts w:cs="Times New Roman"/>
          <w:lang w:val="fr-CA"/>
        </w:rPr>
        <w:t xml:space="preserve"> </w:t>
      </w:r>
      <w:r w:rsidRPr="002F5A3C">
        <w:rPr>
          <w:rFonts w:cs="Times New Roman"/>
          <w:lang w:val="fr-CA"/>
        </w:rPr>
        <w:t xml:space="preserve">25).  Le principe directeur ne repose pas sur les intérêts opposés mais sur la conciliation.  </w:t>
      </w:r>
    </w:p>
    <w:p w:rsidR="000F2258" w:rsidRPr="002F5A3C" w:rsidRDefault="000F2258" w:rsidP="000F2258">
      <w:pPr>
        <w:pStyle w:val="ParaNoNdepar-AltN"/>
        <w:rPr>
          <w:rFonts w:cs="Times New Roman"/>
          <w:lang w:val="fr-CA"/>
        </w:rPr>
      </w:pPr>
      <w:r w:rsidRPr="002F5A3C">
        <w:rPr>
          <w:rFonts w:cs="Times New Roman"/>
          <w:lang w:val="fr-CA"/>
        </w:rPr>
        <w:t>Les arrêts que nous venons d’examiner établissent un certain nombre de postulats qui touchent à des questions soulevées en l’espèce, notamment</w:t>
      </w:r>
      <w:r>
        <w:rPr>
          <w:rFonts w:cs="Times New Roman"/>
          <w:lang w:val="fr-CA"/>
        </w:rPr>
        <w:t> :</w:t>
      </w:r>
    </w:p>
    <w:p w:rsidR="000F2258" w:rsidRPr="002F5A3C" w:rsidRDefault="00351BEE" w:rsidP="000F2258">
      <w:pPr>
        <w:pStyle w:val="Citation-AltC"/>
        <w:numPr>
          <w:ilvl w:val="0"/>
          <w:numId w:val="6"/>
        </w:numPr>
        <w:spacing w:after="480" w:line="480" w:lineRule="auto"/>
        <w:ind w:hanging="720"/>
        <w:contextualSpacing w:val="0"/>
        <w:rPr>
          <w:lang w:val="fr-CA"/>
        </w:rPr>
      </w:pPr>
      <w:r>
        <w:rPr>
          <w:lang w:val="fr-CA"/>
        </w:rPr>
        <w:lastRenderedPageBreak/>
        <w:t>L</w:t>
      </w:r>
      <w:r w:rsidR="000F2258" w:rsidRPr="002F5A3C">
        <w:rPr>
          <w:lang w:val="fr-CA"/>
        </w:rPr>
        <w:t>e titre absolu ou sous</w:t>
      </w:r>
      <w:r w:rsidR="000F2258">
        <w:rPr>
          <w:lang w:val="fr-CA"/>
        </w:rPr>
        <w:t>-</w:t>
      </w:r>
      <w:r w:rsidR="000F2258" w:rsidRPr="002F5A3C">
        <w:rPr>
          <w:lang w:val="fr-CA"/>
        </w:rPr>
        <w:t>jacent de la Couronne est assujetti aux droits qu’ont les Autochtones sur les terres où ils sont établis</w:t>
      </w:r>
      <w:r w:rsidRPr="002F5A3C">
        <w:rPr>
          <w:lang w:val="fr-CA"/>
        </w:rPr>
        <w:t>.</w:t>
      </w:r>
    </w:p>
    <w:p w:rsidR="000F2258" w:rsidRPr="002F5A3C" w:rsidRDefault="00351BE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 titre ancestral confère au groupe autochtone le droit d’utiliser et de contrôler le territoire, et de bénéficier des avantages qu’il procure</w:t>
      </w:r>
      <w:r w:rsidRPr="002F5A3C">
        <w:rPr>
          <w:lang w:val="fr-CA"/>
        </w:rPr>
        <w:t>.</w:t>
      </w:r>
    </w:p>
    <w:p w:rsidR="000F2258" w:rsidRPr="002F5A3C" w:rsidRDefault="00351BE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es gouvernements peuvent porter atteinte aux droits ancestraux que confère le titre ancestral, mais seulement dans la mesure où ils peuvent démontrer que les atteintes poursuivent un objectif impérieux et réel et qu’elles sont compatibles avec l’obligation fiduciaire qu’a la Couronne envers le groupe</w:t>
      </w:r>
      <w:r w:rsidRPr="002F5A3C">
        <w:rPr>
          <w:lang w:val="fr-CA"/>
        </w:rPr>
        <w:t>.</w:t>
      </w:r>
    </w:p>
    <w:p w:rsidR="000F2258" w:rsidRPr="002F5A3C" w:rsidRDefault="00351BE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’exploitation des ressources sur des terres revendiquées dont le titre n’a pas été établi exige du gouvernement qu’il consulte la nation autochtone revendicatrice</w:t>
      </w:r>
      <w:r w:rsidRPr="002F5A3C">
        <w:rPr>
          <w:lang w:val="fr-CA"/>
        </w:rPr>
        <w:t>.</w:t>
      </w:r>
      <w:r w:rsidR="000F2258" w:rsidRPr="002F5A3C">
        <w:rPr>
          <w:lang w:val="fr-CA"/>
        </w:rPr>
        <w:t xml:space="preserve"> </w:t>
      </w:r>
    </w:p>
    <w:p w:rsidR="000F2258" w:rsidRPr="002F5A3C" w:rsidRDefault="00351BE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es gouvernements ont l’obligation légale de négocier de bonne foi dans le but de régler les revendications de terres ancestrales.</w:t>
      </w:r>
    </w:p>
    <w:p w:rsidR="000F2258" w:rsidRPr="002F5A3C" w:rsidRDefault="000F2258" w:rsidP="000F2258">
      <w:pPr>
        <w:pStyle w:val="ContinueParaSuitedupar-AltP"/>
        <w:rPr>
          <w:rFonts w:cs="Times New Roman"/>
          <w:lang w:val="fr-CA"/>
        </w:rPr>
      </w:pPr>
      <w:r w:rsidRPr="002F5A3C">
        <w:rPr>
          <w:rFonts w:cs="Times New Roman"/>
          <w:lang w:val="fr-CA"/>
        </w:rPr>
        <w:t>C’est dans ce contexte que j’aborde les questions soulevées dans le présent pourvoi.</w:t>
      </w:r>
    </w:p>
    <w:p w:rsidR="000F2258" w:rsidRPr="002F5A3C" w:rsidRDefault="000F2258" w:rsidP="007B537E">
      <w:pPr>
        <w:pStyle w:val="Title1LevelTitre1Niveau-AltL"/>
        <w:jc w:val="both"/>
        <w:outlineLvl w:val="0"/>
        <w:rPr>
          <w:rFonts w:cs="Times New Roman"/>
          <w:lang w:val="fr-CA"/>
        </w:rPr>
      </w:pPr>
      <w:bookmarkStart w:id="6" w:name="_Toc389497742"/>
      <w:bookmarkStart w:id="7" w:name="_Toc391446164"/>
      <w:r w:rsidRPr="002F5A3C">
        <w:rPr>
          <w:rFonts w:cs="Times New Roman"/>
          <w:lang w:val="fr-CA"/>
        </w:rPr>
        <w:t>Les actes de procédure dans les instances relatives aux revendications territoriales des Autochtones</w:t>
      </w:r>
      <w:bookmarkEnd w:id="6"/>
      <w:bookmarkEnd w:id="7"/>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À sa décharge, la province ne soutient plus que la revendication doive être rejetée en raison de vices qui entachent les actes de procédure.  Cependant, il peut être utile de déterminer l’approche à adopter à</w:t>
      </w:r>
      <w:r w:rsidR="0063633D">
        <w:rPr>
          <w:rFonts w:cs="Times New Roman"/>
          <w:lang w:val="fr-CA"/>
        </w:rPr>
        <w:t xml:space="preserve"> l’égard des actes de procédure</w:t>
      </w:r>
      <w:r w:rsidRPr="002F5A3C">
        <w:rPr>
          <w:rFonts w:cs="Times New Roman"/>
          <w:lang w:val="fr-CA"/>
        </w:rPr>
        <w:t xml:space="preserve"> dans les </w:t>
      </w:r>
      <w:r w:rsidRPr="002F5A3C">
        <w:rPr>
          <w:rFonts w:cs="Times New Roman"/>
          <w:lang w:val="fr-CA"/>
        </w:rPr>
        <w:lastRenderedPageBreak/>
        <w:t xml:space="preserve">revendications territoriales compte tenu de leur importance pour de futures revendications territoriales.   </w:t>
      </w:r>
    </w:p>
    <w:p w:rsidR="000F2258" w:rsidRPr="002F5A3C" w:rsidRDefault="000F2258" w:rsidP="000F2258">
      <w:pPr>
        <w:pStyle w:val="ParaNoNdepar-AltN"/>
        <w:rPr>
          <w:rFonts w:cs="Times New Roman"/>
          <w:lang w:val="fr-CA"/>
        </w:rPr>
      </w:pPr>
      <w:r w:rsidRPr="002F5A3C">
        <w:rPr>
          <w:rFonts w:cs="Times New Roman"/>
          <w:lang w:val="fr-CA"/>
        </w:rPr>
        <w:t xml:space="preserve">Je suis d’accord avec la Cour d’appel pour dire qu’il convient d’adopter une approche fonctionnelle à l’égard des actes de procédure dans les affaires intéressant les Autochtones.  Les actes de procédure visent à fournir aux parties et au tribunal un aperçu des allégations importantes et de la réparation sollicitée.  Quand les actes de procédure permettent l’atteinte de cet objectif, en l’absence d’un préjudice évident, il ne faut pas tenir compte des vices mineurs.  Un certain nombre de considérations étayent cette approche.  </w:t>
      </w:r>
    </w:p>
    <w:p w:rsidR="000F2258" w:rsidRPr="002F5A3C" w:rsidRDefault="000F2258" w:rsidP="000F2258">
      <w:pPr>
        <w:pStyle w:val="ParaNoNdepar-AltN"/>
        <w:rPr>
          <w:rFonts w:cs="Times New Roman"/>
          <w:lang w:val="fr-CA"/>
        </w:rPr>
      </w:pPr>
      <w:r w:rsidRPr="002F5A3C">
        <w:rPr>
          <w:rFonts w:cs="Times New Roman"/>
          <w:lang w:val="fr-CA"/>
        </w:rPr>
        <w:t>Premièrement, dans un cas comme celui qui nous occupe, les principes juridiques sont parfois ambigus de prime abord, de sorte qu’il est difficile de formuler la demande avec exactitude.</w:t>
      </w:r>
    </w:p>
    <w:p w:rsidR="000F2258" w:rsidRPr="002F5A3C" w:rsidRDefault="000F2258" w:rsidP="000F2258">
      <w:pPr>
        <w:pStyle w:val="ParaNoNdepar-AltN"/>
        <w:rPr>
          <w:rFonts w:cs="Times New Roman"/>
          <w:lang w:val="fr-CA"/>
        </w:rPr>
      </w:pPr>
      <w:r w:rsidRPr="002F5A3C">
        <w:rPr>
          <w:rFonts w:cs="Times New Roman"/>
          <w:lang w:val="fr-CA"/>
        </w:rPr>
        <w:t>Deuxièmement, en de telles circonstances, la preuve quant à la façon dont le territoire était utilisé peut être incertaine au départ, mais à mesure que la demande progresse, des aînés se manifestent et les services d’experts sont retenus.  Pendant le procès, les pratiques historiques du groupe autochtone en question sont exposées, vérifiées et précisées.  La Cour d’appel a reconnu à juste titre que la question de savoir si le bien</w:t>
      </w:r>
      <w:r>
        <w:rPr>
          <w:rFonts w:cs="Times New Roman"/>
          <w:lang w:val="fr-CA"/>
        </w:rPr>
        <w:t>-</w:t>
      </w:r>
      <w:r w:rsidRPr="002F5A3C">
        <w:rPr>
          <w:rFonts w:cs="Times New Roman"/>
          <w:lang w:val="fr-CA"/>
        </w:rPr>
        <w:t>fondé de la revendication d’un titre ancestral est établi sur un territoire n’est pas une affaire de [</w:t>
      </w:r>
      <w:r w:rsidRPr="002F5A3C">
        <w:rPr>
          <w:rFonts w:cs="Times New Roman"/>
          <w:smallCaps/>
          <w:lang w:val="fr-CA"/>
        </w:rPr>
        <w:t>traduct</w:t>
      </w:r>
      <w:r w:rsidR="007B537E">
        <w:rPr>
          <w:rFonts w:cs="Times New Roman"/>
          <w:smallCaps/>
          <w:lang w:val="fr-CA"/>
        </w:rPr>
        <w:t>i</w:t>
      </w:r>
      <w:r w:rsidRPr="002F5A3C">
        <w:rPr>
          <w:rFonts w:cs="Times New Roman"/>
          <w:smallCaps/>
          <w:lang w:val="fr-CA"/>
        </w:rPr>
        <w:t>on</w:t>
      </w:r>
      <w:r w:rsidRPr="002F5A3C">
        <w:rPr>
          <w:rFonts w:cs="Times New Roman"/>
          <w:lang w:val="fr-CA"/>
        </w:rPr>
        <w:t xml:space="preserve">] </w:t>
      </w:r>
      <w:r>
        <w:rPr>
          <w:rFonts w:cs="Times New Roman"/>
          <w:lang w:val="fr-CA"/>
        </w:rPr>
        <w:t>« </w:t>
      </w:r>
      <w:r w:rsidRPr="002F5A3C">
        <w:rPr>
          <w:rFonts w:cs="Times New Roman"/>
          <w:lang w:val="fr-CA"/>
        </w:rPr>
        <w:t>tout ou rien</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117)</w:t>
      </w:r>
      <w:r>
        <w:rPr>
          <w:rFonts w:cs="Times New Roman"/>
          <w:lang w:val="fr-CA"/>
        </w:rPr>
        <w:t> :</w:t>
      </w:r>
    </w:p>
    <w:p w:rsidR="000F2258" w:rsidRPr="002F5A3C" w:rsidRDefault="000F2258" w:rsidP="000F2258">
      <w:pPr>
        <w:pStyle w:val="Citation-AltC"/>
        <w:ind w:hanging="1166"/>
        <w:rPr>
          <w:lang w:val="fr-CA"/>
        </w:rPr>
      </w:pPr>
      <w:r w:rsidRPr="002F5A3C">
        <w:rPr>
          <w:lang w:val="fr-CA"/>
        </w:rPr>
        <w:tab/>
        <w:t>[</w:t>
      </w:r>
      <w:r w:rsidRPr="002F5A3C">
        <w:rPr>
          <w:smallCaps/>
          <w:lang w:val="fr-CA"/>
        </w:rPr>
        <w:t>traduction</w:t>
      </w:r>
      <w:r w:rsidRPr="002F5A3C">
        <w:rPr>
          <w:lang w:val="fr-CA"/>
        </w:rPr>
        <w:t xml:space="preserve">]  L’occupation des territoires traditionnels par les Premières Nations avant l’affirmation de la souveraineté de la Couronne n’était pas une occupation fondée sur le régime Torrens, ni sur des limites précises. Sauf dans les cas où il existait des limites naturelles infranchissables (ou quasi infranchissables), les limites d’un territoire traditionnel étaient </w:t>
      </w:r>
      <w:r w:rsidRPr="002F5A3C">
        <w:rPr>
          <w:lang w:val="fr-CA"/>
        </w:rPr>
        <w:lastRenderedPageBreak/>
        <w:t>habituellement mal définies et variables. [</w:t>
      </w:r>
      <w:r>
        <w:rPr>
          <w:lang w:val="fr-CA"/>
        </w:rPr>
        <w:t>. . .</w:t>
      </w:r>
      <w:r w:rsidRPr="002F5A3C">
        <w:rPr>
          <w:lang w:val="fr-CA"/>
        </w:rPr>
        <w:t>]  [Par conséquent] il serait trop exigeant de demander une preuve du titre ancestral qui reflète précisément la revendication.  [par.</w:t>
      </w:r>
      <w:r>
        <w:rPr>
          <w:lang w:val="fr-CA"/>
        </w:rPr>
        <w:t xml:space="preserve"> </w:t>
      </w:r>
      <w:r w:rsidRPr="002F5A3C">
        <w:rPr>
          <w:lang w:val="fr-CA"/>
        </w:rPr>
        <w:t>118]</w:t>
      </w:r>
    </w:p>
    <w:p w:rsidR="000F2258" w:rsidRPr="002F5A3C" w:rsidRDefault="000F2258" w:rsidP="000F2258">
      <w:pPr>
        <w:pStyle w:val="ParaNoNdepar-AltN"/>
        <w:rPr>
          <w:rFonts w:cs="Times New Roman"/>
          <w:lang w:val="fr-CA"/>
        </w:rPr>
      </w:pPr>
      <w:r w:rsidRPr="002F5A3C">
        <w:rPr>
          <w:rFonts w:cs="Times New Roman"/>
          <w:lang w:val="fr-CA"/>
        </w:rPr>
        <w:t>Troisièmement, les cas comme celui</w:t>
      </w:r>
      <w:r>
        <w:rPr>
          <w:rFonts w:cs="Times New Roman"/>
          <w:lang w:val="fr-CA"/>
        </w:rPr>
        <w:t>-</w:t>
      </w:r>
      <w:r w:rsidRPr="002F5A3C">
        <w:rPr>
          <w:rFonts w:cs="Times New Roman"/>
          <w:lang w:val="fr-CA"/>
        </w:rPr>
        <w:t>ci requièrent une approche qui permet de rendre des décisions fondées sur la meilleure preuve disponible, et non sur ce qu’un avocat a pu envisager quand il a rédigé la demande initiale.  L’enjeu n’est rien de moins que la possibilité pour le groupe autochtone et ses descendants d’obtenir justice et la conciliation des intérêts du groupe et de la société en général.</w:t>
      </w:r>
      <w:r>
        <w:rPr>
          <w:rFonts w:cs="Times New Roman"/>
          <w:lang w:val="fr-CA"/>
        </w:rPr>
        <w:t xml:space="preserve"> </w:t>
      </w:r>
      <w:r w:rsidRPr="002F5A3C">
        <w:rPr>
          <w:rFonts w:cs="Times New Roman"/>
          <w:lang w:val="fr-CA"/>
        </w:rPr>
        <w:t xml:space="preserve"> Le formalisme à l’égard des actes de procédure ne servirait aucun de ces objectifs.  L’intérêt public général commande que les questions relatives aux revendications territoriales et aux droits soient tranchées dans le respect du fond du litige.  Ce n’est qu’ainsi que peut se réaliser la conciliation dont notre Cour a fait état dans </w:t>
      </w:r>
      <w:r w:rsidRPr="002F5A3C">
        <w:rPr>
          <w:rFonts w:cs="Times New Roman"/>
          <w:bCs/>
          <w:i/>
          <w:iCs/>
          <w:lang w:val="fr-CA"/>
        </w:rPr>
        <w:t>Delgamuukw</w:t>
      </w:r>
      <w:r w:rsidRPr="002F5A3C">
        <w:rPr>
          <w:rFonts w:cs="Times New Roman"/>
          <w:lang w:val="fr-CA"/>
        </w:rPr>
        <w:t xml:space="preserve">.  </w:t>
      </w:r>
    </w:p>
    <w:p w:rsidR="000F2258" w:rsidRPr="002F5A3C" w:rsidRDefault="000F2258" w:rsidP="000F2258">
      <w:pPr>
        <w:pStyle w:val="Title1LevelTitre1Niveau-AltL"/>
        <w:outlineLvl w:val="0"/>
        <w:rPr>
          <w:rFonts w:cs="Times New Roman"/>
          <w:lang w:val="fr-CA"/>
        </w:rPr>
      </w:pPr>
      <w:bookmarkStart w:id="8" w:name="_Toc389497743"/>
      <w:bookmarkStart w:id="9" w:name="_Toc391446165"/>
      <w:r w:rsidRPr="002F5A3C">
        <w:rPr>
          <w:rFonts w:cs="Times New Roman"/>
          <w:lang w:val="fr-CA"/>
        </w:rPr>
        <w:t>L’existence du titre ancestral est</w:t>
      </w:r>
      <w:r>
        <w:rPr>
          <w:rFonts w:cs="Times New Roman"/>
          <w:lang w:val="fr-CA"/>
        </w:rPr>
        <w:t>-</w:t>
      </w:r>
      <w:r w:rsidRPr="002F5A3C">
        <w:rPr>
          <w:rFonts w:cs="Times New Roman"/>
          <w:lang w:val="fr-CA"/>
        </w:rPr>
        <w:t>elle établie?</w:t>
      </w:r>
      <w:bookmarkEnd w:id="8"/>
      <w:bookmarkEnd w:id="9"/>
    </w:p>
    <w:p w:rsidR="000F2258" w:rsidRPr="002F5A3C" w:rsidRDefault="000F2258" w:rsidP="000F2258">
      <w:pPr>
        <w:pStyle w:val="Title2LevelTitre2Niveau"/>
        <w:outlineLvl w:val="1"/>
        <w:rPr>
          <w:rFonts w:cs="Times New Roman"/>
          <w:lang w:val="fr-CA"/>
        </w:rPr>
      </w:pPr>
      <w:bookmarkStart w:id="10" w:name="_Toc389497744"/>
      <w:bookmarkStart w:id="11" w:name="_Toc391446166"/>
      <w:r w:rsidRPr="002F5A3C">
        <w:rPr>
          <w:rFonts w:cs="Times New Roman"/>
          <w:lang w:val="fr-CA"/>
        </w:rPr>
        <w:t>Le critère applicable en matière de titre ancestral</w:t>
      </w:r>
      <w:bookmarkEnd w:id="10"/>
      <w:bookmarkEnd w:id="11"/>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Comment les tribunaux devraient</w:t>
      </w:r>
      <w:r>
        <w:rPr>
          <w:rFonts w:cs="Times New Roman"/>
          <w:lang w:val="fr-CA"/>
        </w:rPr>
        <w:t>-</w:t>
      </w:r>
      <w:r w:rsidRPr="002F5A3C">
        <w:rPr>
          <w:rFonts w:cs="Times New Roman"/>
          <w:lang w:val="fr-CA"/>
        </w:rPr>
        <w:t>ils déterminer si un groupe autochtone semi</w:t>
      </w:r>
      <w:r>
        <w:rPr>
          <w:rFonts w:cs="Times New Roman"/>
          <w:lang w:val="fr-CA"/>
        </w:rPr>
        <w:t>-</w:t>
      </w:r>
      <w:r w:rsidRPr="002F5A3C">
        <w:rPr>
          <w:rFonts w:cs="Times New Roman"/>
          <w:lang w:val="fr-CA"/>
        </w:rPr>
        <w:t>nomade détient un titre sur des terres?  Notre Cour n’a jamais répondu directement à cette question.  Les tribunaux d’instance inférieure ne se sont pas entendus sur l’approche qu’il convient d’adopter.  Nous devons donc maintenant préciser le critère.</w:t>
      </w:r>
    </w:p>
    <w:p w:rsidR="000F2258" w:rsidRPr="002F5A3C" w:rsidRDefault="000F2258" w:rsidP="000F2258">
      <w:pPr>
        <w:pStyle w:val="ParaNoNdepar-AltN"/>
        <w:rPr>
          <w:rFonts w:cs="Times New Roman"/>
          <w:lang w:val="fr-CA"/>
        </w:rPr>
      </w:pPr>
      <w:r w:rsidRPr="002F5A3C">
        <w:rPr>
          <w:rFonts w:cs="Times New Roman"/>
          <w:lang w:val="fr-CA"/>
        </w:rPr>
        <w:t xml:space="preserve">Je le répète, le critère relatif au titre ancestral énoncé dans l’arrêt </w:t>
      </w:r>
      <w:r w:rsidRPr="002F5A3C">
        <w:rPr>
          <w:rFonts w:cs="Times New Roman"/>
          <w:i/>
          <w:lang w:val="fr-CA"/>
        </w:rPr>
        <w:t xml:space="preserve">Delgamuukw </w:t>
      </w:r>
      <w:r w:rsidRPr="002F5A3C">
        <w:rPr>
          <w:rFonts w:cs="Times New Roman"/>
          <w:lang w:val="fr-CA"/>
        </w:rPr>
        <w:t>est fondé sur l’</w:t>
      </w:r>
      <w:r>
        <w:rPr>
          <w:rFonts w:cs="Times New Roman"/>
          <w:lang w:val="fr-CA"/>
        </w:rPr>
        <w:t>« </w:t>
      </w:r>
      <w:r w:rsidRPr="002F5A3C">
        <w:rPr>
          <w:rFonts w:cs="Times New Roman"/>
          <w:lang w:val="fr-CA"/>
        </w:rPr>
        <w:t>occupation</w:t>
      </w:r>
      <w:r>
        <w:rPr>
          <w:rFonts w:cs="Times New Roman"/>
          <w:lang w:val="fr-CA"/>
        </w:rPr>
        <w:t> »</w:t>
      </w:r>
      <w:r w:rsidRPr="002F5A3C">
        <w:rPr>
          <w:rFonts w:cs="Times New Roman"/>
          <w:lang w:val="fr-CA"/>
        </w:rPr>
        <w:t xml:space="preserve"> antérieure à l’affirmation de la souveraineté européenne.  Pour fonder le titre ancestral, l’occupation doit posséder trois </w:t>
      </w:r>
      <w:r w:rsidRPr="002F5A3C">
        <w:rPr>
          <w:rFonts w:cs="Times New Roman"/>
          <w:lang w:val="fr-CA"/>
        </w:rPr>
        <w:lastRenderedPageBreak/>
        <w:t>caractéristiques</w:t>
      </w:r>
      <w:r>
        <w:rPr>
          <w:rFonts w:cs="Times New Roman"/>
          <w:lang w:val="fr-CA"/>
        </w:rPr>
        <w:t> :</w:t>
      </w:r>
      <w:r w:rsidRPr="002F5A3C">
        <w:rPr>
          <w:rFonts w:cs="Times New Roman"/>
          <w:lang w:val="fr-CA"/>
        </w:rPr>
        <w:t xml:space="preserve"> elle doit être </w:t>
      </w:r>
      <w:r w:rsidRPr="002F5A3C">
        <w:rPr>
          <w:rFonts w:cs="Times New Roman"/>
          <w:i/>
          <w:lang w:val="fr-CA"/>
        </w:rPr>
        <w:t>suffisante</w:t>
      </w:r>
      <w:r w:rsidRPr="002F5A3C">
        <w:rPr>
          <w:rFonts w:cs="Times New Roman"/>
          <w:lang w:val="fr-CA"/>
        </w:rPr>
        <w:t xml:space="preserve">, elle doit être </w:t>
      </w:r>
      <w:r w:rsidRPr="002F5A3C">
        <w:rPr>
          <w:rFonts w:cs="Times New Roman"/>
          <w:i/>
          <w:lang w:val="fr-CA"/>
        </w:rPr>
        <w:t>continue</w:t>
      </w:r>
      <w:r w:rsidRPr="002F5A3C">
        <w:rPr>
          <w:rFonts w:cs="Times New Roman"/>
          <w:lang w:val="fr-CA"/>
        </w:rPr>
        <w:t xml:space="preserve"> (si l’occupation actuelle est invoquée) et elle doit être </w:t>
      </w:r>
      <w:r w:rsidRPr="002F5A3C">
        <w:rPr>
          <w:rFonts w:cs="Times New Roman"/>
          <w:i/>
          <w:lang w:val="fr-CA"/>
        </w:rPr>
        <w:t>exclusive</w:t>
      </w:r>
      <w:r w:rsidRPr="002F5A3C">
        <w:rPr>
          <w:rFonts w:cs="Times New Roman"/>
          <w:lang w:val="fr-CA"/>
        </w:rPr>
        <w:t>.</w:t>
      </w:r>
    </w:p>
    <w:p w:rsidR="000F2258" w:rsidRPr="002F5A3C" w:rsidRDefault="000F2258" w:rsidP="000F2258">
      <w:pPr>
        <w:pStyle w:val="ParaNoNdepar-AltN"/>
        <w:rPr>
          <w:rFonts w:cs="Times New Roman"/>
          <w:lang w:val="fr-CA"/>
        </w:rPr>
      </w:pPr>
      <w:r w:rsidRPr="002F5A3C">
        <w:rPr>
          <w:rFonts w:cs="Times New Roman"/>
          <w:lang w:val="fr-CA"/>
        </w:rPr>
        <w:t xml:space="preserve">Le critère a été énoncé par le juge en chef Lamer dans l’arrêt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143</w:t>
      </w:r>
      <w:r>
        <w:rPr>
          <w:rFonts w:cs="Times New Roman"/>
          <w:lang w:val="fr-CA"/>
        </w:rPr>
        <w:t> :</w:t>
      </w:r>
    </w:p>
    <w:p w:rsidR="000F2258" w:rsidRPr="002F5A3C" w:rsidRDefault="000F2258" w:rsidP="000F2258">
      <w:pPr>
        <w:pStyle w:val="Citation-AltC"/>
        <w:ind w:hanging="1166"/>
        <w:contextualSpacing w:val="0"/>
        <w:rPr>
          <w:lang w:val="fr-CA"/>
        </w:rPr>
      </w:pPr>
      <w:r w:rsidRPr="002F5A3C">
        <w:rPr>
          <w:lang w:val="fr-CA"/>
        </w:rPr>
        <w:tab/>
      </w:r>
      <w:r w:rsidRPr="002F5A3C">
        <w:rPr>
          <w:lang w:val="fr-CA"/>
        </w:rPr>
        <w:tab/>
        <w:t>Pour établir le bien</w:t>
      </w:r>
      <w:r>
        <w:rPr>
          <w:lang w:val="fr-CA"/>
        </w:rPr>
        <w:t>-</w:t>
      </w:r>
      <w:r w:rsidRPr="002F5A3C">
        <w:rPr>
          <w:lang w:val="fr-CA"/>
        </w:rPr>
        <w:t>fondé de la revendication d’un titre aborigène, le groupe autochtone qui revendique ce titre doit satisfaire aux exigences suivantes</w:t>
      </w:r>
      <w:r>
        <w:rPr>
          <w:lang w:val="fr-CA"/>
        </w:rPr>
        <w:t> :</w:t>
      </w:r>
      <w:r w:rsidRPr="002F5A3C">
        <w:rPr>
          <w:lang w:val="fr-CA"/>
        </w:rPr>
        <w:t xml:space="preserve"> (i)</w:t>
      </w:r>
      <w:r>
        <w:rPr>
          <w:lang w:val="fr-CA"/>
        </w:rPr>
        <w:t xml:space="preserve"> </w:t>
      </w:r>
      <w:r w:rsidRPr="002F5A3C">
        <w:rPr>
          <w:lang w:val="fr-CA"/>
        </w:rPr>
        <w:t>il doit avoir occupé le territoire avant l’affirmation de la souveraineté; (ii)</w:t>
      </w:r>
      <w:r>
        <w:rPr>
          <w:lang w:val="fr-CA"/>
        </w:rPr>
        <w:t xml:space="preserve"> </w:t>
      </w:r>
      <w:r w:rsidRPr="002F5A3C">
        <w:rPr>
          <w:lang w:val="fr-CA"/>
        </w:rPr>
        <w:t>si l’occupation actuelle est invoquée comme preuve de l’occupation avant l’affirmation de la souveraineté, il doit exister une continuité entre l’occupation actuelle et l’occupation antérieure à l’affirmation de la souveraineté; (iii)</w:t>
      </w:r>
      <w:r>
        <w:rPr>
          <w:lang w:val="fr-CA"/>
        </w:rPr>
        <w:t xml:space="preserve"> </w:t>
      </w:r>
      <w:r w:rsidRPr="002F5A3C">
        <w:rPr>
          <w:lang w:val="fr-CA"/>
        </w:rPr>
        <w:t>au moment de l’affirmation de la souveraineté, cette occupation doit avoir été exclusive.</w:t>
      </w:r>
    </w:p>
    <w:p w:rsidR="000F2258" w:rsidRPr="002F5A3C" w:rsidRDefault="000F2258" w:rsidP="000F2258">
      <w:pPr>
        <w:pStyle w:val="ParaNoNdepar-AltN"/>
        <w:rPr>
          <w:rFonts w:cs="Times New Roman"/>
          <w:lang w:val="fr-CA"/>
        </w:rPr>
      </w:pPr>
      <w:r w:rsidRPr="002F5A3C">
        <w:rPr>
          <w:rFonts w:cs="Times New Roman"/>
          <w:lang w:val="fr-CA"/>
        </w:rPr>
        <w:t>En l’espèce, le juge de première instance a conclu que l’</w:t>
      </w:r>
      <w:r>
        <w:rPr>
          <w:rFonts w:cs="Times New Roman"/>
          <w:lang w:val="fr-CA"/>
        </w:rPr>
        <w:t>« </w:t>
      </w:r>
      <w:r w:rsidRPr="002F5A3C">
        <w:rPr>
          <w:rFonts w:cs="Times New Roman"/>
          <w:lang w:val="fr-CA"/>
        </w:rPr>
        <w:t>occupation</w:t>
      </w:r>
      <w:r>
        <w:rPr>
          <w:rFonts w:cs="Times New Roman"/>
          <w:lang w:val="fr-CA"/>
        </w:rPr>
        <w:t> »</w:t>
      </w:r>
      <w:r w:rsidRPr="002F5A3C">
        <w:rPr>
          <w:rFonts w:cs="Times New Roman"/>
          <w:lang w:val="fr-CA"/>
        </w:rPr>
        <w:t xml:space="preserve"> était établie dans le but de fonder le titre par la démonstration d’une utilisation régulière et exclusive de certains sites ou du territoire.  De ce fait, il a estimé que les Tsilhqot’in avaient établi l’existence d’un titre non seulement sur des villages et des sites utilisés pour la récolte de végétaux à racine et de fruits, mais sur des territoires plus vastes que leurs ancêtres utilisaient régulièrement et exclusivement pour la chasse, la pêche et d’autres activités.  </w:t>
      </w:r>
    </w:p>
    <w:p w:rsidR="000F2258" w:rsidRPr="002F5A3C" w:rsidRDefault="000F2258" w:rsidP="000F2258">
      <w:pPr>
        <w:pStyle w:val="ParaNoNdepar-AltN"/>
        <w:rPr>
          <w:rFonts w:cs="Times New Roman"/>
          <w:lang w:val="fr-CA"/>
        </w:rPr>
      </w:pPr>
      <w:r w:rsidRPr="002F5A3C">
        <w:rPr>
          <w:rFonts w:cs="Times New Roman"/>
          <w:lang w:val="fr-CA"/>
        </w:rPr>
        <w:t xml:space="preserve">La Cour d’appel a rejeté cette conclusion et a appliqué un critère plus restreint à l’égard du titre ancestral — celui de l’occupation d’un site spécifique.  Elle a conclu que, pour faire la preuve d’une occupation suffisante établissant l’existence d’un titre, un groupe autochtone doit démontrer qu’au moment de l’affirmation de la souveraineté européenne, ses ancêtres utilisaient </w:t>
      </w:r>
      <w:r w:rsidRPr="002F5A3C">
        <w:rPr>
          <w:rFonts w:cs="Times New Roman"/>
          <w:i/>
          <w:lang w:val="fr-CA"/>
        </w:rPr>
        <w:t xml:space="preserve">intensément </w:t>
      </w:r>
      <w:r w:rsidRPr="002F5A3C">
        <w:rPr>
          <w:rFonts w:cs="Times New Roman"/>
          <w:lang w:val="fr-CA"/>
        </w:rPr>
        <w:t xml:space="preserve">une parcelle de terrain spécifique dont les limites sont raisonnablement définies.  </w:t>
      </w:r>
    </w:p>
    <w:p w:rsidR="000F2258" w:rsidRPr="002F5A3C" w:rsidRDefault="000F2258" w:rsidP="000F2258">
      <w:pPr>
        <w:pStyle w:val="ParaNoNdepar-AltN"/>
        <w:rPr>
          <w:rFonts w:cs="Times New Roman"/>
          <w:lang w:val="fr-CA"/>
        </w:rPr>
      </w:pPr>
      <w:r w:rsidRPr="002F5A3C">
        <w:rPr>
          <w:rFonts w:cs="Times New Roman"/>
          <w:lang w:val="fr-CA"/>
        </w:rPr>
        <w:lastRenderedPageBreak/>
        <w:t>Pour des groupes autochtones semi</w:t>
      </w:r>
      <w:r>
        <w:rPr>
          <w:rFonts w:cs="Times New Roman"/>
          <w:lang w:val="fr-CA"/>
        </w:rPr>
        <w:t>-</w:t>
      </w:r>
      <w:r w:rsidRPr="002F5A3C">
        <w:rPr>
          <w:rFonts w:cs="Times New Roman"/>
          <w:lang w:val="fr-CA"/>
        </w:rPr>
        <w:t xml:space="preserve">nomades comme les Tsilhqot’in, la démarche de la Cour d’appel permet de reconnaître un titre sur de petites parcelles entourées de territoires plus vastes où le groupe possède seulement le droit ancestral d’exercer certaines activités comme la chasse et le piégeage.  Par contre, suivant la démarche retenue par le juge de première instance, le groupe détiendrait un titre sur l’ensemble du territoire régulièrement et exclusivement utilisé par ses ancêtres au moment de l’affirmation de la souveraineté européenne. </w:t>
      </w:r>
    </w:p>
    <w:p w:rsidR="000F2258" w:rsidRPr="002F5A3C" w:rsidRDefault="000F2258" w:rsidP="000F2258">
      <w:pPr>
        <w:pStyle w:val="ParaNoNdepar-AltN"/>
        <w:rPr>
          <w:rFonts w:cs="Times New Roman"/>
          <w:lang w:val="fr-CA"/>
        </w:rPr>
      </w:pPr>
      <w:r w:rsidRPr="002F5A3C">
        <w:rPr>
          <w:rFonts w:cs="Times New Roman"/>
          <w:lang w:val="fr-CA"/>
        </w:rPr>
        <w:t>Dans ce contexte, je reviens sur les exigences de la preuve du titre ancestral</w:t>
      </w:r>
      <w:r>
        <w:rPr>
          <w:rFonts w:cs="Times New Roman"/>
          <w:lang w:val="fr-CA"/>
        </w:rPr>
        <w:t> :</w:t>
      </w:r>
      <w:r w:rsidRPr="002F5A3C">
        <w:rPr>
          <w:rFonts w:cs="Times New Roman"/>
          <w:lang w:val="fr-CA"/>
        </w:rPr>
        <w:t xml:space="preserve"> une occupation suffisante avant l’affirmation de la souveraineté, une occupation continue (si l’occupation actuelle est invoquée) et une occupation historique exclusive.</w:t>
      </w:r>
    </w:p>
    <w:p w:rsidR="000F2258" w:rsidRPr="002F5A3C" w:rsidRDefault="000F2258" w:rsidP="000F2258">
      <w:pPr>
        <w:pStyle w:val="ParaNoNdepar-AltN"/>
        <w:rPr>
          <w:rFonts w:cs="Times New Roman"/>
          <w:lang w:val="fr-CA"/>
        </w:rPr>
      </w:pPr>
      <w:r w:rsidRPr="002F5A3C">
        <w:rPr>
          <w:rFonts w:cs="Times New Roman"/>
          <w:lang w:val="fr-CA"/>
        </w:rPr>
        <w:t xml:space="preserve">Les trois éléments du critère énoncé dans l’arrêt </w:t>
      </w:r>
      <w:r w:rsidRPr="002F5A3C">
        <w:rPr>
          <w:rFonts w:cs="Times New Roman"/>
          <w:i/>
          <w:lang w:val="fr-CA"/>
        </w:rPr>
        <w:t>Delgamuukw</w:t>
      </w:r>
      <w:r w:rsidRPr="002F5A3C">
        <w:rPr>
          <w:rFonts w:cs="Times New Roman"/>
          <w:lang w:val="fr-CA"/>
        </w:rPr>
        <w:t xml:space="preserve"> devraient</w:t>
      </w:r>
      <w:r>
        <w:rPr>
          <w:rFonts w:cs="Times New Roman"/>
          <w:lang w:val="fr-CA"/>
        </w:rPr>
        <w:t>-</w:t>
      </w:r>
      <w:r w:rsidRPr="002F5A3C">
        <w:rPr>
          <w:rFonts w:cs="Times New Roman"/>
          <w:lang w:val="fr-CA"/>
        </w:rPr>
        <w:t xml:space="preserve">ils être examinés séparément ou comme les aspects interreliés d’un concept unique?  La Haute Cour d’Australie s’est dite d’avis qu’il y a peu d’intérêt à examiner séparément les aspects de l’occupation.  Dans l’affaire </w:t>
      </w:r>
      <w:r w:rsidRPr="002F5A3C">
        <w:rPr>
          <w:rFonts w:cs="Times New Roman"/>
          <w:i/>
          <w:lang w:val="fr-CA"/>
        </w:rPr>
        <w:t>Western Australia c. Ward</w:t>
      </w:r>
      <w:r w:rsidRPr="002F5A3C">
        <w:rPr>
          <w:rFonts w:cs="Times New Roman"/>
          <w:lang w:val="fr-CA"/>
        </w:rPr>
        <w:t xml:space="preserve"> (2002), 213 C.L.R. 1, cette cour a indiqué ce qui suit au par.</w:t>
      </w:r>
      <w:r>
        <w:rPr>
          <w:rFonts w:cs="Times New Roman"/>
          <w:lang w:val="fr-CA"/>
        </w:rPr>
        <w:t xml:space="preserve"> </w:t>
      </w:r>
      <w:r w:rsidRPr="002F5A3C">
        <w:rPr>
          <w:rFonts w:cs="Times New Roman"/>
          <w:lang w:val="fr-CA"/>
        </w:rPr>
        <w:t>89</w:t>
      </w:r>
      <w:r>
        <w:rPr>
          <w:rFonts w:cs="Times New Roman"/>
          <w:lang w:val="fr-CA"/>
        </w:rPr>
        <w:t> :</w:t>
      </w:r>
    </w:p>
    <w:p w:rsidR="000F2258" w:rsidRPr="002F5A3C" w:rsidRDefault="000F2258" w:rsidP="000F2258">
      <w:pPr>
        <w:pStyle w:val="Citation-AltC"/>
        <w:ind w:hanging="1166"/>
        <w:rPr>
          <w:lang w:val="fr-CA"/>
        </w:rPr>
      </w:pPr>
      <w:r w:rsidRPr="002F5A3C">
        <w:rPr>
          <w:lang w:val="fr-CA"/>
        </w:rPr>
        <w:tab/>
      </w:r>
      <w:r w:rsidRPr="002F5A3C">
        <w:rPr>
          <w:lang w:val="fr-CA"/>
        </w:rPr>
        <w:tab/>
        <w:t>[</w:t>
      </w:r>
      <w:r w:rsidRPr="002F5A3C">
        <w:rPr>
          <w:smallCaps/>
          <w:lang w:val="fr-CA"/>
        </w:rPr>
        <w:t>traduction</w:t>
      </w:r>
      <w:r w:rsidRPr="002F5A3C">
        <w:rPr>
          <w:lang w:val="fr-CA"/>
        </w:rPr>
        <w:t xml:space="preserve">]  L’expression </w:t>
      </w:r>
      <w:r>
        <w:rPr>
          <w:lang w:val="fr-CA"/>
        </w:rPr>
        <w:t>« </w:t>
      </w:r>
      <w:r w:rsidRPr="002F5A3C">
        <w:rPr>
          <w:lang w:val="fr-CA"/>
        </w:rPr>
        <w:t>possession, occupation, utilisation et jouissance [</w:t>
      </w:r>
      <w:r>
        <w:rPr>
          <w:lang w:val="fr-CA"/>
        </w:rPr>
        <w:t>. . .</w:t>
      </w:r>
      <w:r w:rsidRPr="002F5A3C">
        <w:rPr>
          <w:lang w:val="fr-CA"/>
        </w:rPr>
        <w:t>] à l’exclusion de toute autre personne</w:t>
      </w:r>
      <w:r>
        <w:rPr>
          <w:lang w:val="fr-CA"/>
        </w:rPr>
        <w:t> »</w:t>
      </w:r>
      <w:r w:rsidRPr="002F5A3C">
        <w:rPr>
          <w:lang w:val="fr-CA"/>
        </w:rPr>
        <w:t xml:space="preserve"> est une expression composite qui vise à décrire une mesure particulière de contrôle de l’accès aux terres.  Décomposer l’expression en ses éléments constitutifs risque d’induire en erreur.  Plus particulièrement, parler de </w:t>
      </w:r>
      <w:r>
        <w:rPr>
          <w:lang w:val="fr-CA"/>
        </w:rPr>
        <w:t>« </w:t>
      </w:r>
      <w:r w:rsidRPr="002F5A3C">
        <w:rPr>
          <w:lang w:val="fr-CA"/>
        </w:rPr>
        <w:t>possession</w:t>
      </w:r>
      <w:r>
        <w:rPr>
          <w:lang w:val="fr-CA"/>
        </w:rPr>
        <w:t> »</w:t>
      </w:r>
      <w:r w:rsidRPr="002F5A3C">
        <w:rPr>
          <w:lang w:val="fr-CA"/>
        </w:rPr>
        <w:t xml:space="preserve"> des terres, une possession distincte de la possession à l’exclusion de toute autre personne, attire l’attention sur le contenu de la notion de possession en common law et sur toute notion de contrôle de l’accès que l’on pourrait considérer comme y étant liée, plutôt que sur ce qu’il nous incombe de faire, à savoir déterminer comment les droits et intérêts que les Aborigènes possédaient en vertu des lois ou coutumes traditionnelles peuvent trouver leur juste expression en common law.</w:t>
      </w:r>
    </w:p>
    <w:p w:rsidR="000F2258" w:rsidRPr="002F5A3C" w:rsidRDefault="000F2258" w:rsidP="000F2258">
      <w:pPr>
        <w:pStyle w:val="ParaNoNdepar-AltN"/>
        <w:rPr>
          <w:rFonts w:cs="Times New Roman"/>
          <w:lang w:val="fr-CA"/>
        </w:rPr>
      </w:pPr>
      <w:r w:rsidRPr="002F5A3C">
        <w:rPr>
          <w:rFonts w:cs="Times New Roman"/>
          <w:lang w:val="fr-CA"/>
        </w:rPr>
        <w:lastRenderedPageBreak/>
        <w:t>À mon avis, les concepts de suffisance, de continuité et d’exclusivité offrent un angle intéressant pour apprécier la question du titre ancestral.</w:t>
      </w:r>
      <w:r>
        <w:rPr>
          <w:rFonts w:cs="Times New Roman"/>
          <w:lang w:val="fr-CA"/>
        </w:rPr>
        <w:t xml:space="preserve"> </w:t>
      </w:r>
      <w:r w:rsidRPr="002F5A3C">
        <w:rPr>
          <w:rFonts w:cs="Times New Roman"/>
          <w:lang w:val="fr-CA"/>
        </w:rPr>
        <w:t xml:space="preserve"> Cela étant dit, le tribunal doit veiller à ne pas perdre de vue la perspective autochtone, ou à ne pas la dénaturer, en assimilant les pratiques ancestrales aux concepts rigides de la common law, ce qui irait à l’encontre de l’objectif qui consiste à traduire fidèlement les droits que possédaient les Autochtones avant l’affirmation de la souveraineté en droits juridiques contemporains équivalents.  La suffisance, la continuité et l’exclusivité ne sont pas des fins en soi, mais plutôt des</w:t>
      </w:r>
      <w:r>
        <w:rPr>
          <w:rFonts w:cs="Times New Roman"/>
          <w:lang w:val="fr-CA"/>
        </w:rPr>
        <w:t xml:space="preserve"> </w:t>
      </w:r>
      <w:r w:rsidRPr="002F5A3C">
        <w:rPr>
          <w:rFonts w:cs="Times New Roman"/>
          <w:lang w:val="fr-CA"/>
        </w:rPr>
        <w:t xml:space="preserve">façons de savoir si l’existence du titre ancestral est établie. </w:t>
      </w:r>
    </w:p>
    <w:p w:rsidR="000F2258" w:rsidRPr="002F5A3C" w:rsidRDefault="000F2258" w:rsidP="000F2258">
      <w:pPr>
        <w:pStyle w:val="Title3LevelTitre3Niveau"/>
        <w:outlineLvl w:val="2"/>
        <w:rPr>
          <w:rFonts w:cs="Times New Roman"/>
          <w:lang w:val="fr-CA"/>
        </w:rPr>
      </w:pPr>
      <w:bookmarkStart w:id="12" w:name="_Toc389497745"/>
      <w:bookmarkStart w:id="13" w:name="_Toc391446167"/>
      <w:r w:rsidRPr="002F5A3C">
        <w:rPr>
          <w:rFonts w:cs="Times New Roman"/>
          <w:lang w:val="fr-CA"/>
        </w:rPr>
        <w:t>La suffisance de l’occupation</w:t>
      </w:r>
      <w:bookmarkEnd w:id="12"/>
      <w:bookmarkEnd w:id="13"/>
    </w:p>
    <w:p w:rsidR="000F2258" w:rsidRPr="002F5A3C" w:rsidRDefault="000F2258" w:rsidP="000F2258">
      <w:pPr>
        <w:pStyle w:val="ParaNoNdepar-AltN"/>
        <w:rPr>
          <w:rFonts w:cs="Times New Roman"/>
          <w:lang w:val="fr-CA"/>
        </w:rPr>
      </w:pPr>
      <w:r w:rsidRPr="002F5A3C">
        <w:rPr>
          <w:rFonts w:cs="Times New Roman"/>
          <w:lang w:val="fr-CA"/>
        </w:rPr>
        <w:t xml:space="preserve">La première exigence — et celle qui se trouve au cœur du présent pourvoi — est celle selon laquelle l’occupation doit être </w:t>
      </w:r>
      <w:r w:rsidRPr="002F5A3C">
        <w:rPr>
          <w:rFonts w:cs="Times New Roman"/>
          <w:i/>
          <w:lang w:val="fr-CA"/>
        </w:rPr>
        <w:t>suffisante</w:t>
      </w:r>
      <w:r w:rsidRPr="002F5A3C">
        <w:rPr>
          <w:rFonts w:cs="Times New Roman"/>
          <w:lang w:val="fr-CA"/>
        </w:rPr>
        <w:t xml:space="preserve"> pour fonder un titre ancestral.</w:t>
      </w:r>
      <w:r>
        <w:rPr>
          <w:rFonts w:cs="Times New Roman"/>
          <w:lang w:val="fr-CA"/>
        </w:rPr>
        <w:t xml:space="preserve"> </w:t>
      </w:r>
      <w:r w:rsidRPr="002F5A3C">
        <w:rPr>
          <w:rFonts w:cs="Times New Roman"/>
          <w:lang w:val="fr-CA"/>
        </w:rPr>
        <w:t xml:space="preserve"> Il ressort clairement de l’arrêt </w:t>
      </w:r>
      <w:r w:rsidRPr="002F5A3C">
        <w:rPr>
          <w:rFonts w:cs="Times New Roman"/>
          <w:i/>
          <w:lang w:val="fr-CA"/>
        </w:rPr>
        <w:t>Delgamuukw</w:t>
      </w:r>
      <w:r w:rsidRPr="002F5A3C">
        <w:rPr>
          <w:rFonts w:cs="Times New Roman"/>
          <w:lang w:val="fr-CA"/>
        </w:rPr>
        <w:t xml:space="preserve"> que le titre ne peut se fonder sur la présence passagère sur un territoire ou sur son utilisation passagère.  Alors, en quoi consiste une occupation</w:t>
      </w:r>
      <w:r w:rsidRPr="002F5A3C">
        <w:rPr>
          <w:rFonts w:cs="Times New Roman"/>
          <w:i/>
          <w:lang w:val="fr-CA"/>
        </w:rPr>
        <w:t xml:space="preserve"> suffisante</w:t>
      </w:r>
      <w:r w:rsidRPr="002F5A3C">
        <w:rPr>
          <w:rFonts w:cs="Times New Roman"/>
          <w:lang w:val="fr-CA"/>
        </w:rPr>
        <w:t xml:space="preserve"> pour fonder un titre?   </w:t>
      </w:r>
    </w:p>
    <w:p w:rsidR="000F2258" w:rsidRPr="002F5A3C" w:rsidRDefault="000F2258" w:rsidP="000F2258">
      <w:pPr>
        <w:pStyle w:val="ParaNoNdepar-AltN"/>
        <w:rPr>
          <w:rFonts w:cs="Times New Roman"/>
          <w:lang w:val="fr-CA"/>
        </w:rPr>
      </w:pPr>
      <w:r w:rsidRPr="002F5A3C">
        <w:rPr>
          <w:rFonts w:cs="Times New Roman"/>
          <w:lang w:val="fr-CA"/>
        </w:rPr>
        <w:t>Il faut aborder la question de l’occupation suffisante en tenant compte à la fois de la common law et du point de vue des Autochtones (</w:t>
      </w:r>
      <w:r w:rsidRPr="002F5A3C">
        <w:rPr>
          <w:rFonts w:cs="Times New Roman"/>
          <w:i/>
          <w:lang w:val="fr-CA"/>
        </w:rPr>
        <w:t>Delgamuuk</w:t>
      </w:r>
      <w:r w:rsidR="007B537E">
        <w:rPr>
          <w:rFonts w:cs="Times New Roman"/>
          <w:i/>
          <w:lang w:val="fr-CA"/>
        </w:rPr>
        <w:t>w</w:t>
      </w:r>
      <w:r w:rsidRPr="002F5A3C">
        <w:rPr>
          <w:rFonts w:cs="Times New Roman"/>
          <w:lang w:val="fr-CA"/>
        </w:rPr>
        <w:t>, par.</w:t>
      </w:r>
      <w:r>
        <w:rPr>
          <w:rFonts w:cs="Times New Roman"/>
          <w:lang w:val="fr-CA"/>
        </w:rPr>
        <w:t xml:space="preserve"> </w:t>
      </w:r>
      <w:r w:rsidRPr="002F5A3C">
        <w:rPr>
          <w:rFonts w:cs="Times New Roman"/>
          <w:lang w:val="fr-CA"/>
        </w:rPr>
        <w:t xml:space="preserve">147); voir aussi </w:t>
      </w:r>
      <w:r w:rsidRPr="002F5A3C">
        <w:rPr>
          <w:rFonts w:cs="Times New Roman"/>
          <w:i/>
          <w:lang w:val="fr-CA"/>
        </w:rPr>
        <w:t>R. c. Van der Peet</w:t>
      </w:r>
      <w:r w:rsidRPr="002F5A3C">
        <w:rPr>
          <w:rFonts w:cs="Times New Roman"/>
          <w:lang w:val="fr-CA"/>
        </w:rPr>
        <w:t>,</w:t>
      </w:r>
      <w:r w:rsidRPr="002F5A3C">
        <w:rPr>
          <w:rFonts w:cs="Times New Roman"/>
          <w:i/>
          <w:lang w:val="fr-CA"/>
        </w:rPr>
        <w:t xml:space="preserve"> </w:t>
      </w:r>
      <w:r w:rsidRPr="002F5A3C">
        <w:rPr>
          <w:rFonts w:cs="Times New Roman"/>
          <w:lang w:val="fr-CA"/>
        </w:rPr>
        <w:t>[1996] 2 R.C.S. 507.</w:t>
      </w:r>
    </w:p>
    <w:p w:rsidR="000F2258" w:rsidRPr="002F5A3C" w:rsidRDefault="000F2258" w:rsidP="000F2258">
      <w:pPr>
        <w:pStyle w:val="ParaNoNdepar-AltN"/>
        <w:rPr>
          <w:rFonts w:cs="Times New Roman"/>
          <w:lang w:val="fr-CA"/>
        </w:rPr>
      </w:pPr>
      <w:r w:rsidRPr="002F5A3C">
        <w:rPr>
          <w:rFonts w:cs="Times New Roman"/>
          <w:lang w:val="fr-CA"/>
        </w:rPr>
        <w:t>Le point de vue des Autochtones est axé sur les règles de droit, les pratiques, les coutumes et les traditions du groupe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148).  Dans l’examen de ce point de vue, [</w:t>
      </w:r>
      <w:r w:rsidRPr="002F5A3C">
        <w:rPr>
          <w:rFonts w:cs="Times New Roman"/>
          <w:smallCaps/>
          <w:lang w:val="fr-CA"/>
        </w:rPr>
        <w:t>traduction</w:t>
      </w:r>
      <w:r w:rsidRPr="002F5A3C">
        <w:rPr>
          <w:rFonts w:cs="Times New Roman"/>
          <w:lang w:val="fr-CA"/>
        </w:rPr>
        <w:t xml:space="preserve">] </w:t>
      </w:r>
      <w:r>
        <w:rPr>
          <w:rFonts w:cs="Times New Roman"/>
          <w:lang w:val="fr-CA"/>
        </w:rPr>
        <w:t>« </w:t>
      </w:r>
      <w:r w:rsidRPr="002F5A3C">
        <w:rPr>
          <w:rFonts w:cs="Times New Roman"/>
          <w:lang w:val="fr-CA"/>
        </w:rPr>
        <w:t xml:space="preserve">il faut tenir compte de la taille, du mode de vie, des ressources matérielles et des habiletés technologiques du groupe concerné, </w:t>
      </w:r>
      <w:r w:rsidRPr="002F5A3C">
        <w:rPr>
          <w:rFonts w:cs="Times New Roman"/>
          <w:lang w:val="fr-CA"/>
        </w:rPr>
        <w:lastRenderedPageBreak/>
        <w:t>ainsi que de la nature des terres revendiquées</w:t>
      </w:r>
      <w:r>
        <w:rPr>
          <w:rFonts w:cs="Times New Roman"/>
          <w:lang w:val="fr-CA"/>
        </w:rPr>
        <w:t> » :</w:t>
      </w:r>
      <w:r w:rsidRPr="002F5A3C">
        <w:rPr>
          <w:rFonts w:cs="Times New Roman"/>
          <w:lang w:val="fr-CA"/>
        </w:rPr>
        <w:t xml:space="preserve"> B.</w:t>
      </w:r>
      <w:r>
        <w:rPr>
          <w:rFonts w:cs="Times New Roman"/>
          <w:lang w:val="fr-CA"/>
        </w:rPr>
        <w:t xml:space="preserve"> </w:t>
      </w:r>
      <w:r w:rsidRPr="002F5A3C">
        <w:rPr>
          <w:rFonts w:cs="Times New Roman"/>
          <w:lang w:val="fr-CA"/>
        </w:rPr>
        <w:t xml:space="preserve">Slattery, </w:t>
      </w:r>
      <w:r>
        <w:rPr>
          <w:rFonts w:cs="Times New Roman"/>
          <w:lang w:val="fr-CA"/>
        </w:rPr>
        <w:t>« </w:t>
      </w:r>
      <w:r w:rsidRPr="002F5A3C">
        <w:rPr>
          <w:rFonts w:cs="Times New Roman"/>
          <w:lang w:val="fr-CA"/>
        </w:rPr>
        <w:t>Understanding Aboriginal Rights</w:t>
      </w:r>
      <w:r>
        <w:rPr>
          <w:rFonts w:cs="Times New Roman"/>
          <w:lang w:val="fr-CA"/>
        </w:rPr>
        <w:t> »</w:t>
      </w:r>
      <w:r w:rsidRPr="002F5A3C">
        <w:rPr>
          <w:rFonts w:cs="Times New Roman"/>
          <w:lang w:val="fr-CA"/>
        </w:rPr>
        <w:t xml:space="preserve"> (1987), 66 </w:t>
      </w:r>
      <w:r w:rsidRPr="002F5A3C">
        <w:rPr>
          <w:rFonts w:cs="Times New Roman"/>
          <w:i/>
          <w:lang w:val="fr-CA"/>
        </w:rPr>
        <w:t>R. du B. can.</w:t>
      </w:r>
      <w:r w:rsidRPr="002F5A3C">
        <w:rPr>
          <w:rFonts w:cs="Times New Roman"/>
          <w:lang w:val="fr-CA"/>
        </w:rPr>
        <w:t xml:space="preserve"> 727, p.</w:t>
      </w:r>
      <w:r>
        <w:rPr>
          <w:rFonts w:cs="Times New Roman"/>
          <w:lang w:val="fr-CA"/>
        </w:rPr>
        <w:t xml:space="preserve"> </w:t>
      </w:r>
      <w:r w:rsidRPr="002F5A3C">
        <w:rPr>
          <w:rFonts w:cs="Times New Roman"/>
          <w:lang w:val="fr-CA"/>
        </w:rPr>
        <w:t xml:space="preserve">758, cité avec approbation dans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 xml:space="preserve">149.  </w:t>
      </w:r>
    </w:p>
    <w:p w:rsidR="000F2258" w:rsidRPr="002F5A3C" w:rsidRDefault="000F2258" w:rsidP="000F2258">
      <w:pPr>
        <w:pStyle w:val="ParaNoNdepar-AltN"/>
        <w:rPr>
          <w:rFonts w:cs="Times New Roman"/>
          <w:lang w:val="fr-CA"/>
        </w:rPr>
      </w:pPr>
      <w:r w:rsidRPr="002F5A3C">
        <w:rPr>
          <w:rFonts w:cs="Times New Roman"/>
          <w:lang w:val="fr-CA"/>
        </w:rPr>
        <w:t>La common law comporte la notion de possession et de contrôle des terres.  En common law, la notion de possession ne se limite pas aux sites physiquement occupés, comme une maison, mais s’étend aux terres environnantes qui sont utilisées et sur lesquelles un contrôle effectif est exercé.</w:t>
      </w:r>
    </w:p>
    <w:p w:rsidR="000F2258" w:rsidRPr="002F5A3C" w:rsidRDefault="000F2258" w:rsidP="000F2258">
      <w:pPr>
        <w:pStyle w:val="ParaNoNdepar-AltN"/>
        <w:rPr>
          <w:rFonts w:cs="Times New Roman"/>
          <w:lang w:val="fr-CA"/>
        </w:rPr>
      </w:pPr>
      <w:r w:rsidRPr="002F5A3C">
        <w:rPr>
          <w:rFonts w:cs="Times New Roman"/>
          <w:lang w:val="fr-CA"/>
        </w:rPr>
        <w:t xml:space="preserve">La suffisance de l’occupation est une question qui tient au contexte.  </w:t>
      </w:r>
      <w:r>
        <w:rPr>
          <w:rFonts w:cs="Times New Roman"/>
          <w:lang w:val="fr-CA"/>
        </w:rPr>
        <w:t>« </w:t>
      </w:r>
      <w:r w:rsidRPr="002F5A3C">
        <w:rPr>
          <w:rFonts w:cs="Times New Roman"/>
          <w:lang w:val="fr-CA"/>
        </w:rPr>
        <w:t>L’occupation [</w:t>
      </w:r>
      <w:r>
        <w:rPr>
          <w:rFonts w:cs="Times New Roman"/>
          <w:lang w:val="fr-CA"/>
        </w:rPr>
        <w:t>. . .</w:t>
      </w:r>
      <w:r w:rsidRPr="002F5A3C">
        <w:rPr>
          <w:rFonts w:cs="Times New Roman"/>
          <w:lang w:val="fr-CA"/>
        </w:rPr>
        <w:t>] peut être prouvée par différents faits, allant de la construction de bâtiments à l’utilisation régulière de secteurs bien définis du territoire pour y pratiquer la chasse, la pêche ou d’autres types d’exploitation de ses ressources, en passant par la délimitation et la culture de champs</w:t>
      </w:r>
      <w:r>
        <w:rPr>
          <w:rFonts w:cs="Times New Roman"/>
          <w:lang w:val="fr-CA"/>
        </w:rPr>
        <w:t> »</w:t>
      </w:r>
      <w:r w:rsidRPr="002F5A3C">
        <w:rPr>
          <w:rFonts w:cs="Times New Roman"/>
          <w:lang w:val="fr-CA"/>
        </w:rPr>
        <w:t xml:space="preserve">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149). L’intensité et la fréquence de l’utilisation peuvent varier en fonction des caractéristiques du groupe autochtone qui revendique le titre et en fonction de la nature du territoire sur lequel le titre est revendiqué.  En l’espèce, par exemple, le territoire, bien que vaste, était ingrat et ne pouvait assurer la subsistance que de 100 à 1</w:t>
      </w:r>
      <w:r>
        <w:rPr>
          <w:rFonts w:cs="Times New Roman"/>
          <w:lang w:val="fr-CA"/>
        </w:rPr>
        <w:t xml:space="preserve"> </w:t>
      </w:r>
      <w:r w:rsidRPr="002F5A3C">
        <w:rPr>
          <w:rFonts w:cs="Times New Roman"/>
          <w:lang w:val="fr-CA"/>
        </w:rPr>
        <w:t>000 personnes.  Le fait qu</w:t>
      </w:r>
      <w:r w:rsidR="003832AE">
        <w:rPr>
          <w:rFonts w:cs="Times New Roman"/>
          <w:lang w:val="fr-CA"/>
        </w:rPr>
        <w:t>e le groupe autochtone ne comp</w:t>
      </w:r>
      <w:r w:rsidRPr="002F5A3C">
        <w:rPr>
          <w:rFonts w:cs="Times New Roman"/>
          <w:lang w:val="fr-CA"/>
        </w:rPr>
        <w:t>tait qu’environ 400</w:t>
      </w:r>
      <w:r>
        <w:rPr>
          <w:rFonts w:cs="Times New Roman"/>
          <w:lang w:val="fr-CA"/>
        </w:rPr>
        <w:t xml:space="preserve"> </w:t>
      </w:r>
      <w:r w:rsidRPr="002F5A3C">
        <w:rPr>
          <w:rFonts w:cs="Times New Roman"/>
          <w:lang w:val="fr-CA"/>
        </w:rPr>
        <w:t>personnes doit être pris en compte dans le contexte de la capacité d’utilisation du territoire pour déterminer si l’utilisation régulière de secteurs bien définis est établie.</w:t>
      </w:r>
    </w:p>
    <w:p w:rsidR="000F2258" w:rsidRPr="002F5A3C" w:rsidRDefault="000F2258" w:rsidP="000F2258">
      <w:pPr>
        <w:pStyle w:val="ParaNoNdepar-AltN"/>
        <w:rPr>
          <w:rFonts w:cs="Times New Roman"/>
          <w:lang w:val="fr-CA"/>
        </w:rPr>
      </w:pPr>
      <w:r w:rsidRPr="002F5A3C">
        <w:rPr>
          <w:rFonts w:cs="Times New Roman"/>
          <w:lang w:val="fr-CA"/>
        </w:rPr>
        <w:t xml:space="preserve">Pour établir une occupation suffisante des terres dans le but de fonder l’existence d’un titre, le groupe autochtone en question doit démontrer qu’il a toujours agi de façon à informer les tiers qu’il détenait la terre pour ses propres besoins.  Cette </w:t>
      </w:r>
      <w:r w:rsidRPr="002F5A3C">
        <w:rPr>
          <w:rFonts w:cs="Times New Roman"/>
          <w:lang w:val="fr-CA"/>
        </w:rPr>
        <w:lastRenderedPageBreak/>
        <w:t>norme n’exige pas une preuve de l’utilisation notoire ou visible qui s’apparente à la preuve d’une revendication de possession adversative, mais l’occupation ne peut pas non plus être purement subjective ou interne.  Il faut une preuve d’une forte présence des Autochtones sur les terres revendiquées, qui se manifeste par des actes d’occupation qui pourraient raisonnablement être interprétés comme une preuve que les terres en question ont appartenu au groupe revendicateur ou que ce groupe y exerçait son contrôle ou une gestion exclusive.  Je le répète, les actes nécessaires pour indiquer la présence permanente d’un groupe sur des terres et son intention de conserver et d’utiliser les terres pour ses besoins dépendent de son mode de vie et de la nature des terres.  Pour établir l’occupation, il suffira peut</w:t>
      </w:r>
      <w:r>
        <w:rPr>
          <w:rFonts w:cs="Times New Roman"/>
          <w:lang w:val="fr-CA"/>
        </w:rPr>
        <w:t>-</w:t>
      </w:r>
      <w:r w:rsidRPr="002F5A3C">
        <w:rPr>
          <w:rFonts w:cs="Times New Roman"/>
          <w:lang w:val="fr-CA"/>
        </w:rPr>
        <w:t>être de montrer que des champs ont été cultivés, que des habitations ont été érigées, que des travaux ont été effectués et qu’il y a eu une présence constante sur certaines parties du territoire, mais ce n’est pas essentiel.  La notion d’occupation doit aussi refléter le mode de vie des peuples autochtones, y compris ceux qui étaient nomades ou semi</w:t>
      </w:r>
      <w:r>
        <w:rPr>
          <w:rFonts w:cs="Times New Roman"/>
          <w:lang w:val="fr-CA"/>
        </w:rPr>
        <w:t>-</w:t>
      </w:r>
      <w:r w:rsidRPr="002F5A3C">
        <w:rPr>
          <w:rFonts w:cs="Times New Roman"/>
          <w:lang w:val="fr-CA"/>
        </w:rPr>
        <w:t xml:space="preserve">nomades.   </w:t>
      </w:r>
    </w:p>
    <w:p w:rsidR="000F2258" w:rsidRPr="002F5A3C" w:rsidRDefault="000F2258" w:rsidP="000F2258">
      <w:pPr>
        <w:pStyle w:val="ParaNoNdepar-AltN"/>
        <w:rPr>
          <w:rFonts w:cs="Times New Roman"/>
          <w:lang w:val="fr-CA"/>
        </w:rPr>
      </w:pPr>
      <w:r w:rsidRPr="002F5A3C">
        <w:rPr>
          <w:rFonts w:cs="Times New Roman"/>
          <w:lang w:val="fr-CA"/>
        </w:rPr>
        <w:t xml:space="preserve">Dans l’arrêt </w:t>
      </w:r>
      <w:r w:rsidRPr="002F5A3C">
        <w:rPr>
          <w:rFonts w:cs="Times New Roman"/>
          <w:i/>
          <w:lang w:val="fr-CA"/>
        </w:rPr>
        <w:t>R. c. Marshall</w:t>
      </w:r>
      <w:r w:rsidRPr="002F5A3C">
        <w:rPr>
          <w:rFonts w:cs="Times New Roman"/>
          <w:lang w:val="fr-CA"/>
        </w:rPr>
        <w:t>, 2003 NSCA 105, 218 N.S.R. (2d) 78, par.</w:t>
      </w:r>
      <w:r>
        <w:rPr>
          <w:rFonts w:cs="Times New Roman"/>
          <w:lang w:val="fr-CA"/>
        </w:rPr>
        <w:t xml:space="preserve"> </w:t>
      </w:r>
      <w:r w:rsidRPr="002F5A3C">
        <w:rPr>
          <w:rFonts w:cs="Times New Roman"/>
          <w:lang w:val="fr-CA"/>
        </w:rPr>
        <w:t>135</w:t>
      </w:r>
      <w:r w:rsidR="007B537E">
        <w:rPr>
          <w:rFonts w:cs="Times New Roman"/>
          <w:lang w:val="fr-CA"/>
        </w:rPr>
        <w:t>-</w:t>
      </w:r>
      <w:r w:rsidRPr="002F5A3C">
        <w:rPr>
          <w:rFonts w:cs="Times New Roman"/>
          <w:lang w:val="fr-CA"/>
        </w:rPr>
        <w:t xml:space="preserve">138, le juge Cromwell (maintenant juge de notre Cour), pour des motifs que j’approuve, établit un parallèle entre la suffisance de l’occupation nécessaire pour établir l’existence d’un titre ancestral et les exigences de l’occupation ordinaire en common law.  En common law, un occupant ordinaire est une personne qui revendique la possession d’une terre sur laquelle personne n’a un intérêt actuel ou </w:t>
      </w:r>
      <w:r w:rsidR="0032639D">
        <w:rPr>
          <w:rFonts w:cs="Times New Roman"/>
          <w:lang w:val="fr-CA"/>
        </w:rPr>
        <w:t>pour</w:t>
      </w:r>
      <w:r w:rsidRPr="002F5A3C">
        <w:rPr>
          <w:rFonts w:cs="Times New Roman"/>
          <w:lang w:val="fr-CA"/>
        </w:rPr>
        <w:t xml:space="preserve"> laquelle l’existence du titre est incertaine.  Le juge Cromwell cite (au par.</w:t>
      </w:r>
      <w:r>
        <w:rPr>
          <w:rFonts w:cs="Times New Roman"/>
          <w:lang w:val="fr-CA"/>
        </w:rPr>
        <w:t xml:space="preserve"> </w:t>
      </w:r>
      <w:r w:rsidRPr="002F5A3C">
        <w:rPr>
          <w:rFonts w:cs="Times New Roman"/>
          <w:lang w:val="fr-CA"/>
        </w:rPr>
        <w:t>136) le passage suivant tiré de l’ouvrage de K.</w:t>
      </w:r>
      <w:r>
        <w:rPr>
          <w:rFonts w:cs="Times New Roman"/>
          <w:lang w:val="fr-CA"/>
        </w:rPr>
        <w:t xml:space="preserve"> </w:t>
      </w:r>
      <w:r w:rsidRPr="002F5A3C">
        <w:rPr>
          <w:rFonts w:cs="Times New Roman"/>
          <w:lang w:val="fr-CA"/>
        </w:rPr>
        <w:t xml:space="preserve">McNeil, </w:t>
      </w:r>
      <w:r w:rsidRPr="002F5A3C">
        <w:rPr>
          <w:rFonts w:cs="Times New Roman"/>
          <w:i/>
          <w:lang w:val="fr-CA"/>
        </w:rPr>
        <w:t>Common Law Aboriginal Title</w:t>
      </w:r>
      <w:r w:rsidRPr="002F5A3C">
        <w:rPr>
          <w:rFonts w:cs="Times New Roman"/>
          <w:lang w:val="fr-CA"/>
        </w:rPr>
        <w:t xml:space="preserve"> (1989), p.</w:t>
      </w:r>
      <w:r>
        <w:rPr>
          <w:rFonts w:cs="Times New Roman"/>
          <w:lang w:val="fr-CA"/>
        </w:rPr>
        <w:t xml:space="preserve"> </w:t>
      </w:r>
      <w:r w:rsidRPr="002F5A3C">
        <w:rPr>
          <w:rFonts w:cs="Times New Roman"/>
          <w:lang w:val="fr-CA"/>
        </w:rPr>
        <w:t>198</w:t>
      </w:r>
      <w:r w:rsidR="007B537E">
        <w:rPr>
          <w:rFonts w:cs="Times New Roman"/>
          <w:lang w:val="fr-CA"/>
        </w:rPr>
        <w:t>-</w:t>
      </w:r>
      <w:r w:rsidRPr="002F5A3C">
        <w:rPr>
          <w:rFonts w:cs="Times New Roman"/>
          <w:lang w:val="fr-CA"/>
        </w:rPr>
        <w:t>200</w:t>
      </w:r>
      <w:r>
        <w:rPr>
          <w:rFonts w:cs="Times New Roman"/>
          <w:lang w:val="fr-CA"/>
        </w:rPr>
        <w:t> :</w:t>
      </w:r>
    </w:p>
    <w:p w:rsidR="000F2258" w:rsidRPr="002F5A3C" w:rsidRDefault="000F2258" w:rsidP="000F2258">
      <w:pPr>
        <w:pStyle w:val="Citation-AltC"/>
        <w:spacing w:after="240"/>
        <w:ind w:hanging="1166"/>
        <w:contextualSpacing w:val="0"/>
        <w:rPr>
          <w:lang w:val="fr-CA"/>
        </w:rPr>
      </w:pPr>
      <w:r w:rsidRPr="002F5A3C">
        <w:rPr>
          <w:lang w:val="fr-CA"/>
        </w:rPr>
        <w:lastRenderedPageBreak/>
        <w:tab/>
        <w:t>[</w:t>
      </w:r>
      <w:r w:rsidRPr="002F5A3C">
        <w:rPr>
          <w:smallCaps/>
          <w:lang w:val="fr-CA"/>
        </w:rPr>
        <w:t>traduction</w:t>
      </w:r>
      <w:r w:rsidRPr="002F5A3C">
        <w:rPr>
          <w:lang w:val="fr-CA"/>
        </w:rPr>
        <w:t>]  Alors, que fallait</w:t>
      </w:r>
      <w:r>
        <w:rPr>
          <w:lang w:val="fr-CA"/>
        </w:rPr>
        <w:t>-</w:t>
      </w:r>
      <w:r w:rsidRPr="002F5A3C">
        <w:rPr>
          <w:lang w:val="fr-CA"/>
        </w:rPr>
        <w:t>il faire pour acquérir un titre fondé sur l’occupation? [</w:t>
      </w:r>
      <w:r>
        <w:rPr>
          <w:lang w:val="fr-CA"/>
        </w:rPr>
        <w:t>. . .</w:t>
      </w:r>
      <w:r w:rsidRPr="002F5A3C">
        <w:rPr>
          <w:lang w:val="fr-CA"/>
        </w:rPr>
        <w:t>] [I]l semble [</w:t>
      </w:r>
      <w:r>
        <w:rPr>
          <w:lang w:val="fr-CA"/>
        </w:rPr>
        <w:t>. . .</w:t>
      </w:r>
      <w:r w:rsidRPr="002F5A3C">
        <w:rPr>
          <w:lang w:val="fr-CA"/>
        </w:rPr>
        <w:t>] [qu’]une entrée occasionnelle, par exemple le fait pour une personne de sillonner un territoire pour y chasser ou y faire du commerce, ou de le parcourir d’un bout à l’autre, ne faisait pas d’elle un occupant, puisque ces actes n’</w:t>
      </w:r>
      <w:r>
        <w:rPr>
          <w:lang w:val="fr-CA"/>
        </w:rPr>
        <w:t>« </w:t>
      </w:r>
      <w:r w:rsidRPr="002F5A3C">
        <w:rPr>
          <w:lang w:val="fr-CA"/>
        </w:rPr>
        <w:t>étaient que passagers et qu’ils visaient une fin particulière, qu’ils ne laissaient aucune marque d’une appropriation ou d’une intention de posséder à son usage distinct</w:t>
      </w:r>
      <w:r>
        <w:rPr>
          <w:lang w:val="fr-CA"/>
        </w:rPr>
        <w:t> »</w:t>
      </w:r>
      <w:r w:rsidRPr="002F5A3C">
        <w:rPr>
          <w:lang w:val="fr-CA"/>
        </w:rPr>
        <w:t xml:space="preserve">.  Il doit donc y avoir eu une entrée réelle et un ou des actes permettant de conclure à l’existence de l’intention d’occuper le territoire.  Fait important, les actes et l’intention devaient se rapporter seulement à l’occupation — il était pour ainsi dire inutile pour un occupant éventuel de revendiquer, ou même de souhaiter acquérir, le domaine vacant, puisque le titre lui est conféré par la loi du seul fait de son occupation. </w:t>
      </w:r>
      <w:r>
        <w:rPr>
          <w:lang w:val="fr-CA"/>
        </w:rPr>
        <w:t>. . </w:t>
      </w:r>
    </w:p>
    <w:p w:rsidR="000F2258" w:rsidRPr="002F5A3C" w:rsidRDefault="000F2258" w:rsidP="00C43619">
      <w:pPr>
        <w:pStyle w:val="Citation-AltC"/>
        <w:ind w:left="1440" w:hanging="1440"/>
        <w:rPr>
          <w:lang w:val="fr-CA"/>
        </w:rPr>
      </w:pPr>
      <w:r w:rsidRPr="002F5A3C">
        <w:rPr>
          <w:lang w:val="fr-CA"/>
        </w:rPr>
        <w:tab/>
      </w:r>
      <w:r w:rsidRPr="002F5A3C">
        <w:rPr>
          <w:lang w:val="fr-CA"/>
        </w:rPr>
        <w:tab/>
        <w:t xml:space="preserve">D’autres indices de ce qui constitue une occupation peuvent être dégagés de certaines affaires portant sur des terres sur lesquelles le titre est incertain.  En général, toute activité sur une terre ou en lien avec une terre qui laisse voir une intention de la détenir ou de l’utiliser pour ses propres fins constitue une preuve d’occupation.  </w:t>
      </w:r>
      <w:r w:rsidRPr="002F5A3C">
        <w:rPr>
          <w:u w:val="single"/>
          <w:lang w:val="fr-CA"/>
        </w:rPr>
        <w:t>Outre les actes évidents, comme délimiter la terre, la cultiver, s’y livrer à des activités minières, de construction ou d’entretien, et empêcher les intrus d’y entrer, bien d’autres actes</w:t>
      </w:r>
      <w:r w:rsidR="00C43619">
        <w:rPr>
          <w:u w:val="single"/>
          <w:lang w:val="fr-CA"/>
        </w:rPr>
        <w:t xml:space="preserve"> </w:t>
      </w:r>
      <w:r w:rsidR="00C43619" w:rsidRPr="002F5A3C">
        <w:rPr>
          <w:u w:val="single"/>
          <w:lang w:val="fr-CA"/>
        </w:rPr>
        <w:t>peuvent être invoqués</w:t>
      </w:r>
      <w:r w:rsidRPr="002F5A3C">
        <w:rPr>
          <w:u w:val="single"/>
          <w:lang w:val="fr-CA"/>
        </w:rPr>
        <w:t>, comme couper des arbres ou de l’herbe, pêcher dans des cours d’eau, ou même parcourir</w:t>
      </w:r>
      <w:r w:rsidR="00C43619">
        <w:rPr>
          <w:u w:val="single"/>
          <w:lang w:val="fr-CA"/>
        </w:rPr>
        <w:t xml:space="preserve"> la région</w:t>
      </w:r>
      <w:r w:rsidRPr="002F5A3C">
        <w:rPr>
          <w:u w:val="single"/>
          <w:lang w:val="fr-CA"/>
        </w:rPr>
        <w:t>.  L’importance accordée à ces actes dépend en partie de la nature des terres et des fins auxquelles elles peuvent raisonnablement être utilisées.</w:t>
      </w:r>
      <w:r w:rsidRPr="002F5A3C">
        <w:rPr>
          <w:lang w:val="fr-CA"/>
        </w:rPr>
        <w:t xml:space="preserve"> [Je souligne.]</w:t>
      </w:r>
    </w:p>
    <w:p w:rsidR="000F2258" w:rsidRPr="002F5A3C" w:rsidRDefault="000F2258" w:rsidP="000F2258">
      <w:pPr>
        <w:pStyle w:val="ParaNoNdepar-AltN"/>
        <w:rPr>
          <w:rFonts w:cs="Times New Roman"/>
          <w:lang w:val="fr-CA"/>
        </w:rPr>
      </w:pPr>
      <w:r w:rsidRPr="002F5A3C">
        <w:rPr>
          <w:rFonts w:cs="Times New Roman"/>
          <w:lang w:val="fr-CA"/>
        </w:rPr>
        <w:t xml:space="preserve">Dans </w:t>
      </w:r>
      <w:r w:rsidRPr="002F5A3C">
        <w:rPr>
          <w:rFonts w:cs="Times New Roman"/>
          <w:i/>
          <w:lang w:val="fr-CA"/>
        </w:rPr>
        <w:t>Marshall</w:t>
      </w:r>
      <w:r w:rsidRPr="002F5A3C">
        <w:rPr>
          <w:rFonts w:cs="Times New Roman"/>
          <w:lang w:val="fr-CA"/>
        </w:rPr>
        <w:t>, le juge Cromwell a ensuite déclaré que cette norme est différente de la doctrine de la possession de droit.  Le but n’est pas d’</w:t>
      </w:r>
      <w:r w:rsidRPr="000A086A">
        <w:rPr>
          <w:rFonts w:cs="Times New Roman"/>
          <w:i/>
          <w:lang w:val="fr-CA"/>
        </w:rPr>
        <w:t>attribuer</w:t>
      </w:r>
      <w:r w:rsidRPr="002F5A3C">
        <w:rPr>
          <w:rFonts w:cs="Times New Roman"/>
          <w:lang w:val="fr-CA"/>
        </w:rPr>
        <w:t xml:space="preserve"> la possession en l’absence d’actes d’occupation, mais de définir la qualité des actes d’occupation qui démontrent la possession en droit (par.</w:t>
      </w:r>
      <w:r>
        <w:rPr>
          <w:rFonts w:cs="Times New Roman"/>
          <w:lang w:val="fr-CA"/>
        </w:rPr>
        <w:t xml:space="preserve"> </w:t>
      </w:r>
      <w:r w:rsidRPr="002F5A3C">
        <w:rPr>
          <w:rFonts w:cs="Times New Roman"/>
          <w:lang w:val="fr-CA"/>
        </w:rPr>
        <w:t>137).  Il a conclu comme suit</w:t>
      </w:r>
      <w:r>
        <w:rPr>
          <w:rFonts w:cs="Times New Roman"/>
          <w:lang w:val="fr-CA"/>
        </w:rPr>
        <w:t> :</w:t>
      </w:r>
    </w:p>
    <w:p w:rsidR="000F2258" w:rsidRPr="002F5A3C" w:rsidRDefault="000F2258" w:rsidP="000F2258">
      <w:pPr>
        <w:pStyle w:val="Citation-AltC"/>
        <w:ind w:hanging="1166"/>
        <w:rPr>
          <w:rFonts w:eastAsiaTheme="minorEastAsia"/>
          <w:lang w:val="fr-CA"/>
        </w:rPr>
      </w:pPr>
      <w:r w:rsidRPr="002F5A3C">
        <w:rPr>
          <w:rFonts w:eastAsiaTheme="minorEastAsia"/>
          <w:lang w:val="fr-CA"/>
        </w:rPr>
        <w:tab/>
      </w:r>
      <w:r w:rsidRPr="002F5A3C">
        <w:rPr>
          <w:rFonts w:eastAsiaTheme="minorEastAsia"/>
          <w:lang w:val="fr-CA"/>
        </w:rPr>
        <w:tab/>
        <w:t>[</w:t>
      </w:r>
      <w:r w:rsidRPr="002F5A3C">
        <w:rPr>
          <w:rFonts w:eastAsiaTheme="minorEastAsia"/>
          <w:smallCaps/>
          <w:lang w:val="fr-CA"/>
        </w:rPr>
        <w:t>traduction</w:t>
      </w:r>
      <w:r w:rsidRPr="002F5A3C">
        <w:rPr>
          <w:rFonts w:eastAsiaTheme="minorEastAsia"/>
          <w:lang w:val="fr-CA"/>
        </w:rPr>
        <w:t>]  J’adopterais, de façon générale, l’analyse faite par le professeur McNeil selon laquelle la norme d’occupation appropriée, en common law, se trouve à mi</w:t>
      </w:r>
      <w:r>
        <w:rPr>
          <w:rFonts w:eastAsiaTheme="minorEastAsia"/>
          <w:lang w:val="fr-CA"/>
        </w:rPr>
        <w:t>-</w:t>
      </w:r>
      <w:r w:rsidRPr="002F5A3C">
        <w:rPr>
          <w:rFonts w:eastAsiaTheme="minorEastAsia"/>
          <w:lang w:val="fr-CA"/>
        </w:rPr>
        <w:t>chemin entre la norme minimale d’occupation qui permettrait à une personne de poursuivre un intrus et la norme la plus stricte à laquelle il faut satisfaire pour établir un titre obtenu par possession adversative opposable au véritable propriétaire. [</w:t>
      </w:r>
      <w:r>
        <w:rPr>
          <w:rFonts w:eastAsiaTheme="minorEastAsia"/>
          <w:lang w:val="fr-CA"/>
        </w:rPr>
        <w:t>. . .</w:t>
      </w:r>
      <w:r w:rsidRPr="002F5A3C">
        <w:rPr>
          <w:rFonts w:eastAsiaTheme="minorEastAsia"/>
          <w:lang w:val="fr-CA"/>
        </w:rPr>
        <w:t xml:space="preserve">]  Lorsque, comme en l’espèce, il est question d’un vaste territoire qui n’a pas été cultivé, des actes tels que l’établissement constant, bien que changeant, et l’utilisation générale pour la pêche, la chasse et la cueillette devraient se voir accorder plus de poids que s’il était question d’un territoire délimité et cultivé.  </w:t>
      </w:r>
      <w:r w:rsidR="007B537E">
        <w:rPr>
          <w:rFonts w:eastAsiaTheme="minorEastAsia"/>
          <w:lang w:val="fr-CA"/>
        </w:rPr>
        <w:t>L’</w:t>
      </w:r>
      <w:r w:rsidRPr="002F5A3C">
        <w:rPr>
          <w:rFonts w:eastAsiaTheme="minorEastAsia"/>
          <w:lang w:val="fr-CA"/>
        </w:rPr>
        <w:t>aspect sans doute le plus éloquent, [</w:t>
      </w:r>
      <w:r>
        <w:rPr>
          <w:rFonts w:eastAsiaTheme="minorEastAsia"/>
          <w:lang w:val="fr-CA"/>
        </w:rPr>
        <w:t>. . .</w:t>
      </w:r>
      <w:r w:rsidRPr="002F5A3C">
        <w:rPr>
          <w:rFonts w:eastAsiaTheme="minorEastAsia"/>
          <w:lang w:val="fr-CA"/>
        </w:rPr>
        <w:t xml:space="preserve">] il est impossible de limiter la </w:t>
      </w:r>
      <w:r w:rsidRPr="002F5A3C">
        <w:rPr>
          <w:rFonts w:eastAsiaTheme="minorEastAsia"/>
          <w:lang w:val="fr-CA"/>
        </w:rPr>
        <w:lastRenderedPageBreak/>
        <w:t>preuve à l’endroit bien précis où la coupe a eu lieu</w:t>
      </w:r>
      <w:r>
        <w:rPr>
          <w:rFonts w:eastAsiaTheme="minorEastAsia"/>
          <w:lang w:val="fr-CA"/>
        </w:rPr>
        <w:t> :</w:t>
      </w:r>
      <w:r w:rsidRPr="002F5A3C">
        <w:rPr>
          <w:rFonts w:eastAsiaTheme="minorEastAsia"/>
          <w:lang w:val="fr-CA"/>
        </w:rPr>
        <w:t xml:space="preserve"> Pollock et Wright, p.</w:t>
      </w:r>
      <w:r>
        <w:rPr>
          <w:rFonts w:eastAsiaTheme="minorEastAsia"/>
          <w:lang w:val="fr-CA"/>
        </w:rPr>
        <w:t xml:space="preserve"> </w:t>
      </w:r>
      <w:r w:rsidRPr="002F5A3C">
        <w:rPr>
          <w:rFonts w:eastAsiaTheme="minorEastAsia"/>
          <w:lang w:val="fr-CA"/>
        </w:rPr>
        <w:t xml:space="preserve">32.  La question est plutôt de savoir si les actes d’occupation dans certains lieux démontrent que le revendicateur occupait tout le secteur. </w:t>
      </w:r>
      <w:r w:rsidRPr="002F5A3C">
        <w:rPr>
          <w:lang w:val="fr-CA"/>
        </w:rPr>
        <w:t>[par.</w:t>
      </w:r>
      <w:r>
        <w:rPr>
          <w:lang w:val="fr-CA"/>
        </w:rPr>
        <w:t xml:space="preserve"> </w:t>
      </w:r>
      <w:r w:rsidRPr="002F5A3C">
        <w:rPr>
          <w:lang w:val="fr-CA"/>
        </w:rPr>
        <w:t>138]</w:t>
      </w:r>
    </w:p>
    <w:p w:rsidR="000F2258" w:rsidRPr="002F5A3C" w:rsidRDefault="000F2258" w:rsidP="000F2258">
      <w:pPr>
        <w:pStyle w:val="ParaNoNdepar-AltN"/>
        <w:rPr>
          <w:rFonts w:cs="Times New Roman"/>
          <w:lang w:val="fr-CA"/>
        </w:rPr>
      </w:pPr>
      <w:r w:rsidRPr="002F5A3C">
        <w:rPr>
          <w:rFonts w:cs="Times New Roman"/>
          <w:lang w:val="fr-CA"/>
        </w:rPr>
        <w:t>En résumé, la preuve de l’occupation doit procéder d’une approche visant à déterminer le caractère suffisant de l’occupation qui soit adaptée aux particularités culturelles et qui repose sur les points de vue du groupe autochtone en question — ses règles de droit, ses pratiques, sa taille, son savoir</w:t>
      </w:r>
      <w:r>
        <w:rPr>
          <w:rFonts w:cs="Times New Roman"/>
          <w:lang w:val="fr-CA"/>
        </w:rPr>
        <w:t>-</w:t>
      </w:r>
      <w:r w:rsidRPr="002F5A3C">
        <w:rPr>
          <w:rFonts w:cs="Times New Roman"/>
          <w:lang w:val="fr-CA"/>
        </w:rPr>
        <w:t>faire technologique et la nature de la terre — ainsi que sur la notion de possession qui établit l’existence d’un titre en common law.  Il est impossible d’énumérer chaque indice d’occupation qui pourrait s’appliquer dans un cas déterminé.  Le critère de la common law en matière de possession — lequel exige une intention d’occuper ou de conserver la terre pour les besoins de l’occupant — doit être pris en compte tout comme le point de vue du groupe autochtone qui, selon sa taille et son mode de vie, pourrait concevoir la possession de la terre d’une façon quelque peu différente de la possession en common law.</w:t>
      </w:r>
    </w:p>
    <w:p w:rsidR="000F2258" w:rsidRPr="002F5A3C" w:rsidRDefault="000F2258" w:rsidP="000F2258">
      <w:pPr>
        <w:pStyle w:val="ParaNoNdepar-AltN"/>
        <w:rPr>
          <w:rFonts w:cs="Times New Roman"/>
          <w:lang w:val="fr-CA"/>
        </w:rPr>
      </w:pPr>
      <w:r w:rsidRPr="002F5A3C">
        <w:rPr>
          <w:rFonts w:cs="Times New Roman"/>
          <w:lang w:val="fr-CA"/>
        </w:rPr>
        <w:t xml:space="preserve">La jurisprudence et la doctrine ne donnent pas à penser que le titre ancestral se limite à certains villages ou à des fermes, comme l’a conclu la Cour d’appel.  Au contraire, suivant une approche qui tient compte des particularités culturelles, l’utilisation régulière des terres pour la chasse, la pêche, le piégeage et la cueillette constitue une utilisation </w:t>
      </w:r>
      <w:r>
        <w:rPr>
          <w:rFonts w:cs="Times New Roman"/>
          <w:lang w:val="fr-CA"/>
        </w:rPr>
        <w:t>« </w:t>
      </w:r>
      <w:r w:rsidRPr="002F5A3C">
        <w:rPr>
          <w:rFonts w:cs="Times New Roman"/>
          <w:lang w:val="fr-CA"/>
        </w:rPr>
        <w:t>suffisante</w:t>
      </w:r>
      <w:r>
        <w:rPr>
          <w:rFonts w:cs="Times New Roman"/>
          <w:lang w:val="fr-CA"/>
        </w:rPr>
        <w:t> »</w:t>
      </w:r>
      <w:r w:rsidRPr="002F5A3C">
        <w:rPr>
          <w:rFonts w:cs="Times New Roman"/>
          <w:lang w:val="fr-CA"/>
        </w:rPr>
        <w:t xml:space="preserve"> pour fonder un titre ancestral dans la mesure où cette utilisation, eu égard aux faits de l’espèce, révèle une intention de la part du groupe autochtone de détenir ou de posséder les terres d’une manière comparable à celle exigée pour établir l’existence d’un titre en common law.  </w:t>
      </w:r>
    </w:p>
    <w:p w:rsidR="000F2258" w:rsidRPr="002F5A3C" w:rsidRDefault="000F2258" w:rsidP="000F2258">
      <w:pPr>
        <w:pStyle w:val="ParaNoNdepar-AltN"/>
        <w:rPr>
          <w:rFonts w:cs="Times New Roman"/>
          <w:lang w:val="fr-CA"/>
        </w:rPr>
      </w:pPr>
      <w:r w:rsidRPr="002F5A3C">
        <w:rPr>
          <w:rFonts w:cs="Times New Roman"/>
          <w:lang w:val="fr-CA"/>
        </w:rPr>
        <w:t xml:space="preserve">La province plaide que dans </w:t>
      </w:r>
      <w:r w:rsidRPr="002F5A3C">
        <w:rPr>
          <w:rFonts w:cs="Times New Roman"/>
          <w:i/>
          <w:lang w:val="fr-CA"/>
        </w:rPr>
        <w:t>R. c.</w:t>
      </w:r>
      <w:r w:rsidRPr="002F5A3C">
        <w:rPr>
          <w:rFonts w:cs="Times New Roman"/>
          <w:lang w:val="fr-CA"/>
        </w:rPr>
        <w:t xml:space="preserve"> </w:t>
      </w:r>
      <w:r w:rsidRPr="002F5A3C">
        <w:rPr>
          <w:rFonts w:cs="Times New Roman"/>
          <w:i/>
          <w:lang w:val="fr-CA"/>
        </w:rPr>
        <w:t>Marshall;</w:t>
      </w:r>
      <w:r w:rsidRPr="002F5A3C">
        <w:rPr>
          <w:rFonts w:cs="Times New Roman"/>
          <w:lang w:val="fr-CA"/>
        </w:rPr>
        <w:t xml:space="preserve"> </w:t>
      </w:r>
      <w:r w:rsidRPr="002F5A3C">
        <w:rPr>
          <w:rFonts w:cs="Times New Roman"/>
          <w:i/>
          <w:lang w:val="fr-CA"/>
        </w:rPr>
        <w:t>R. c.</w:t>
      </w:r>
      <w:r w:rsidRPr="002F5A3C">
        <w:rPr>
          <w:rFonts w:cs="Times New Roman"/>
          <w:lang w:val="fr-CA"/>
        </w:rPr>
        <w:t xml:space="preserve"> </w:t>
      </w:r>
      <w:r w:rsidRPr="002F5A3C">
        <w:rPr>
          <w:rFonts w:cs="Times New Roman"/>
          <w:i/>
          <w:lang w:val="fr-CA"/>
        </w:rPr>
        <w:t>Bernard</w:t>
      </w:r>
      <w:r w:rsidRPr="002F5A3C">
        <w:rPr>
          <w:rFonts w:cs="Times New Roman"/>
          <w:lang w:val="fr-CA"/>
        </w:rPr>
        <w:t xml:space="preserve">, 2005 CSC 43, [2005] 2 R.C.S. 220, notre Cour a rejeté une approche territoriale à l’égard du titre; elle </w:t>
      </w:r>
      <w:r w:rsidRPr="002F5A3C">
        <w:rPr>
          <w:rFonts w:cs="Times New Roman"/>
          <w:lang w:val="fr-CA"/>
        </w:rPr>
        <w:lastRenderedPageBreak/>
        <w:t>s’appuie sur une remarque du professeur K.</w:t>
      </w:r>
      <w:r>
        <w:rPr>
          <w:rFonts w:cs="Times New Roman"/>
          <w:lang w:val="fr-CA"/>
        </w:rPr>
        <w:t xml:space="preserve"> </w:t>
      </w:r>
      <w:r w:rsidRPr="002F5A3C">
        <w:rPr>
          <w:rFonts w:cs="Times New Roman"/>
          <w:lang w:val="fr-CA"/>
        </w:rPr>
        <w:t>McNeil selon laquelle la Cour [</w:t>
      </w:r>
      <w:r w:rsidRPr="002F5A3C">
        <w:rPr>
          <w:rFonts w:cs="Times New Roman"/>
          <w:smallCaps/>
          <w:lang w:val="fr-CA"/>
        </w:rPr>
        <w:t>traduction</w:t>
      </w:r>
      <w:r w:rsidRPr="002F5A3C">
        <w:rPr>
          <w:rFonts w:cs="Times New Roman"/>
          <w:lang w:val="fr-CA"/>
        </w:rPr>
        <w:t xml:space="preserve">] </w:t>
      </w:r>
      <w:r>
        <w:rPr>
          <w:rFonts w:cs="Times New Roman"/>
          <w:lang w:val="fr-CA"/>
        </w:rPr>
        <w:t>« </w:t>
      </w:r>
      <w:r w:rsidRPr="002F5A3C">
        <w:rPr>
          <w:rFonts w:cs="Times New Roman"/>
          <w:lang w:val="fr-CA"/>
        </w:rPr>
        <w:t>semble avoir rejeté l’approche territoriale de la Cour d’appel</w:t>
      </w:r>
      <w:r>
        <w:rPr>
          <w:rFonts w:cs="Times New Roman"/>
          <w:lang w:val="fr-CA"/>
        </w:rPr>
        <w:t> »</w:t>
      </w:r>
      <w:r w:rsidRPr="002F5A3C">
        <w:rPr>
          <w:rFonts w:cs="Times New Roman"/>
          <w:lang w:val="fr-CA"/>
        </w:rPr>
        <w:t xml:space="preserve"> (</w:t>
      </w:r>
      <w:r>
        <w:rPr>
          <w:rFonts w:cs="Times New Roman"/>
          <w:lang w:val="fr-CA"/>
        </w:rPr>
        <w:t>« </w:t>
      </w:r>
      <w:r w:rsidRPr="002F5A3C">
        <w:rPr>
          <w:rFonts w:cs="Times New Roman"/>
          <w:lang w:val="fr-CA"/>
        </w:rPr>
        <w:t>Aboriginal Title and the Supreme Court</w:t>
      </w:r>
      <w:r>
        <w:rPr>
          <w:rFonts w:cs="Times New Roman"/>
          <w:lang w:val="fr-CA"/>
        </w:rPr>
        <w:t> :</w:t>
      </w:r>
      <w:r w:rsidR="007B537E">
        <w:rPr>
          <w:rFonts w:cs="Times New Roman"/>
          <w:lang w:val="fr-CA"/>
        </w:rPr>
        <w:t xml:space="preserve"> </w:t>
      </w:r>
      <w:r w:rsidRPr="002F5A3C">
        <w:rPr>
          <w:rFonts w:cs="Times New Roman"/>
          <w:lang w:val="fr-CA"/>
        </w:rPr>
        <w:t>What’s Happening?</w:t>
      </w:r>
      <w:r>
        <w:rPr>
          <w:rFonts w:cs="Times New Roman"/>
          <w:lang w:val="fr-CA"/>
        </w:rPr>
        <w:t> »</w:t>
      </w:r>
      <w:r w:rsidRPr="002F5A3C">
        <w:rPr>
          <w:rFonts w:cs="Times New Roman"/>
          <w:lang w:val="fr-CA"/>
        </w:rPr>
        <w:t xml:space="preserve"> (2006), 69 </w:t>
      </w:r>
      <w:r w:rsidRPr="002F5A3C">
        <w:rPr>
          <w:rFonts w:cs="Times New Roman"/>
          <w:i/>
          <w:lang w:val="fr-CA"/>
        </w:rPr>
        <w:t>Sask. L. Rev.</w:t>
      </w:r>
      <w:r w:rsidRPr="002F5A3C">
        <w:rPr>
          <w:rFonts w:cs="Times New Roman"/>
          <w:lang w:val="fr-CA"/>
        </w:rPr>
        <w:t xml:space="preserve"> 281, cité dans le mémoire de la Colombie</w:t>
      </w:r>
      <w:r>
        <w:rPr>
          <w:rFonts w:cs="Times New Roman"/>
          <w:lang w:val="fr-CA"/>
        </w:rPr>
        <w:t>-</w:t>
      </w:r>
      <w:r w:rsidRPr="002F5A3C">
        <w:rPr>
          <w:rFonts w:cs="Times New Roman"/>
          <w:lang w:val="fr-CA"/>
        </w:rPr>
        <w:t>Britannique, par.</w:t>
      </w:r>
      <w:r>
        <w:rPr>
          <w:rFonts w:cs="Times New Roman"/>
          <w:lang w:val="fr-CA"/>
        </w:rPr>
        <w:t xml:space="preserve"> </w:t>
      </w:r>
      <w:r w:rsidRPr="002F5A3C">
        <w:rPr>
          <w:rFonts w:cs="Times New Roman"/>
          <w:lang w:val="fr-CA"/>
        </w:rPr>
        <w:t xml:space="preserve">100).  En fait, dans </w:t>
      </w:r>
      <w:r w:rsidRPr="002F5A3C">
        <w:rPr>
          <w:rFonts w:cs="Times New Roman"/>
          <w:i/>
          <w:lang w:val="fr-CA"/>
        </w:rPr>
        <w:t>Marshall; Bernard</w:t>
      </w:r>
      <w:r w:rsidRPr="002F5A3C">
        <w:rPr>
          <w:rFonts w:cs="Times New Roman"/>
          <w:lang w:val="fr-CA"/>
        </w:rPr>
        <w:t>, notre Cour n’a pas rejeté l’approche fondée sur le territoire, mais a seulement estimé (au par.</w:t>
      </w:r>
      <w:r>
        <w:rPr>
          <w:rFonts w:cs="Times New Roman"/>
          <w:lang w:val="fr-CA"/>
        </w:rPr>
        <w:t xml:space="preserve"> </w:t>
      </w:r>
      <w:r w:rsidRPr="002F5A3C">
        <w:rPr>
          <w:rFonts w:cs="Times New Roman"/>
          <w:lang w:val="fr-CA"/>
        </w:rPr>
        <w:t xml:space="preserve">72) qu’il fallait </w:t>
      </w:r>
      <w:r>
        <w:rPr>
          <w:rFonts w:cs="Times New Roman"/>
          <w:lang w:val="fr-CA"/>
        </w:rPr>
        <w:t>« </w:t>
      </w:r>
      <w:r w:rsidRPr="002F5A3C">
        <w:rPr>
          <w:rFonts w:cs="Times New Roman"/>
          <w:lang w:val="fr-CA"/>
        </w:rPr>
        <w:t>la preuve d’une utilisation suffisamment régulière et exclusive</w:t>
      </w:r>
      <w:r>
        <w:rPr>
          <w:rFonts w:cs="Times New Roman"/>
          <w:lang w:val="fr-CA"/>
        </w:rPr>
        <w:t> »</w:t>
      </w:r>
      <w:r w:rsidRPr="002F5A3C">
        <w:rPr>
          <w:rFonts w:cs="Times New Roman"/>
          <w:lang w:val="fr-CA"/>
        </w:rPr>
        <w:t xml:space="preserve"> du territoire en question, une exigence établie dans l’arrêt </w:t>
      </w:r>
      <w:r w:rsidRPr="002F5A3C">
        <w:rPr>
          <w:rFonts w:cs="Times New Roman"/>
          <w:i/>
          <w:lang w:val="fr-CA"/>
        </w:rPr>
        <w:t>Delgamuukw</w:t>
      </w:r>
      <w:r w:rsidRPr="002F5A3C">
        <w:rPr>
          <w:rFonts w:cs="Times New Roman"/>
          <w:lang w:val="fr-CA"/>
        </w:rPr>
        <w:t>.</w:t>
      </w:r>
    </w:p>
    <w:p w:rsidR="000F2258" w:rsidRPr="002F5A3C" w:rsidRDefault="000F2258" w:rsidP="000F2258">
      <w:pPr>
        <w:pStyle w:val="ParaNoNdepar-AltN"/>
        <w:rPr>
          <w:rFonts w:cs="Times New Roman"/>
          <w:lang w:val="fr-CA"/>
        </w:rPr>
      </w:pPr>
      <w:r w:rsidRPr="002F5A3C">
        <w:rPr>
          <w:rFonts w:cs="Times New Roman"/>
          <w:lang w:val="fr-CA"/>
        </w:rPr>
        <w:t xml:space="preserve">Dans </w:t>
      </w:r>
      <w:r w:rsidRPr="002F5A3C">
        <w:rPr>
          <w:rFonts w:cs="Times New Roman"/>
          <w:i/>
          <w:lang w:val="fr-CA"/>
        </w:rPr>
        <w:t>Marshall; Bernard</w:t>
      </w:r>
      <w:r w:rsidRPr="002F5A3C">
        <w:rPr>
          <w:rFonts w:cs="Times New Roman"/>
          <w:lang w:val="fr-CA"/>
        </w:rPr>
        <w:t>, notre Cour a confirmé que les groupes nomades et semi</w:t>
      </w:r>
      <w:r>
        <w:rPr>
          <w:rFonts w:cs="Times New Roman"/>
          <w:lang w:val="fr-CA"/>
        </w:rPr>
        <w:t>-</w:t>
      </w:r>
      <w:r w:rsidRPr="002F5A3C">
        <w:rPr>
          <w:rFonts w:cs="Times New Roman"/>
          <w:lang w:val="fr-CA"/>
        </w:rPr>
        <w:t xml:space="preserve">nomades peuvent établir l’existence d’un titre s’ils établissent une possession physique suffisante d’un territoire, ce qui constitue une question de fait.  </w:t>
      </w:r>
      <w:r>
        <w:rPr>
          <w:rFonts w:cs="Times New Roman"/>
          <w:lang w:val="fr-CA"/>
        </w:rPr>
        <w:t>« </w:t>
      </w:r>
      <w:r w:rsidRPr="002F5A3C">
        <w:rPr>
          <w:rFonts w:cs="Times New Roman"/>
          <w:lang w:val="fr-CA"/>
        </w:rPr>
        <w:t>Le passage dans un territoire ou son utilisation dans le cadre d’un mode de vie nomade ne fondera pas nécessairement un titre sur celui</w:t>
      </w:r>
      <w:r>
        <w:rPr>
          <w:rFonts w:cs="Times New Roman"/>
          <w:lang w:val="fr-CA"/>
        </w:rPr>
        <w:t>-</w:t>
      </w:r>
      <w:r w:rsidRPr="002F5A3C">
        <w:rPr>
          <w:rFonts w:cs="Times New Roman"/>
          <w:lang w:val="fr-CA"/>
        </w:rPr>
        <w:t>ci</w:t>
      </w:r>
      <w:r>
        <w:rPr>
          <w:rFonts w:cs="Times New Roman"/>
          <w:lang w:val="fr-CA"/>
        </w:rPr>
        <w:t> »</w:t>
      </w:r>
      <w:r w:rsidRPr="002F5A3C">
        <w:rPr>
          <w:rFonts w:cs="Times New Roman"/>
          <w:lang w:val="fr-CA"/>
        </w:rPr>
        <w:t xml:space="preserve">, mais la Cour a confirmé que, selon l’arrêt </w:t>
      </w:r>
      <w:r w:rsidRPr="002F5A3C">
        <w:rPr>
          <w:rFonts w:cs="Times New Roman"/>
          <w:i/>
          <w:lang w:val="fr-CA"/>
        </w:rPr>
        <w:t>Delgamuukw</w:t>
      </w:r>
      <w:r w:rsidRPr="002F5A3C">
        <w:rPr>
          <w:rFonts w:cs="Times New Roman"/>
          <w:lang w:val="fr-CA"/>
        </w:rPr>
        <w:t xml:space="preserve">, </w:t>
      </w:r>
      <w:r>
        <w:rPr>
          <w:rFonts w:cs="Times New Roman"/>
          <w:lang w:val="fr-CA"/>
        </w:rPr>
        <w:t>« </w:t>
      </w:r>
      <w:r w:rsidRPr="002F5A3C">
        <w:rPr>
          <w:rFonts w:cs="Times New Roman"/>
          <w:lang w:val="fr-CA"/>
        </w:rPr>
        <w:t>l’utilisation régulière de secteurs bien définis du territoire pour y pratiquer la chasse, la pêche ou d’autres types d’exploitation de ses ressources</w:t>
      </w:r>
      <w:r>
        <w:rPr>
          <w:rFonts w:cs="Times New Roman"/>
          <w:lang w:val="fr-CA"/>
        </w:rPr>
        <w:t> »</w:t>
      </w:r>
      <w:r w:rsidRPr="002F5A3C">
        <w:rPr>
          <w:rFonts w:cs="Times New Roman"/>
          <w:lang w:val="fr-CA"/>
        </w:rPr>
        <w:t xml:space="preserve"> peut être suffisante (par.</w:t>
      </w:r>
      <w:r>
        <w:rPr>
          <w:rFonts w:cs="Times New Roman"/>
          <w:lang w:val="fr-CA"/>
        </w:rPr>
        <w:t xml:space="preserve"> </w:t>
      </w:r>
      <w:r w:rsidRPr="002F5A3C">
        <w:rPr>
          <w:rFonts w:cs="Times New Roman"/>
          <w:lang w:val="fr-CA"/>
        </w:rPr>
        <w:t xml:space="preserve">66).  Bien que la question consistait à savoir si le critère de la common law relatif à la possession avait été respecté, la Cour n’a pas nié la nécessité de tenir compte du point de vue du groupe autochtone en question; la possession suffisante est une </w:t>
      </w:r>
      <w:r>
        <w:rPr>
          <w:rFonts w:cs="Times New Roman"/>
          <w:lang w:val="fr-CA"/>
        </w:rPr>
        <w:t>« </w:t>
      </w:r>
      <w:r w:rsidRPr="002F5A3C">
        <w:rPr>
          <w:rFonts w:cs="Times New Roman"/>
          <w:lang w:val="fr-CA"/>
        </w:rPr>
        <w:t>question de fait qui dépend de l’ensemble des circonstances, en particulier de la nature du territoire et de la façon dont il a été utilisé collectivement</w:t>
      </w:r>
      <w:r>
        <w:rPr>
          <w:rFonts w:cs="Times New Roman"/>
          <w:lang w:val="fr-CA"/>
        </w:rPr>
        <w:t> »</w:t>
      </w:r>
      <w:r w:rsidRPr="002F5A3C">
        <w:rPr>
          <w:rFonts w:cs="Times New Roman"/>
          <w:lang w:val="fr-CA"/>
        </w:rPr>
        <w:t xml:space="preserve"> (</w:t>
      </w:r>
      <w:r w:rsidRPr="002F5A3C">
        <w:rPr>
          <w:rFonts w:cs="Times New Roman"/>
          <w:i/>
          <w:lang w:val="fr-CA"/>
        </w:rPr>
        <w:t>ibid.</w:t>
      </w:r>
      <w:r w:rsidRPr="002F5A3C">
        <w:rPr>
          <w:rFonts w:cs="Times New Roman"/>
          <w:lang w:val="fr-CA"/>
        </w:rPr>
        <w:t>).</w:t>
      </w:r>
    </w:p>
    <w:p w:rsidR="000F2258" w:rsidRPr="002F5A3C" w:rsidRDefault="000F2258" w:rsidP="000F2258">
      <w:pPr>
        <w:pStyle w:val="Title3LevelTitre3Niveau"/>
        <w:outlineLvl w:val="2"/>
        <w:rPr>
          <w:rFonts w:cs="Times New Roman"/>
          <w:lang w:val="fr-CA"/>
        </w:rPr>
      </w:pPr>
      <w:bookmarkStart w:id="14" w:name="_Toc389497746"/>
      <w:bookmarkStart w:id="15" w:name="_Toc391446168"/>
      <w:r w:rsidRPr="002F5A3C">
        <w:rPr>
          <w:rFonts w:cs="Times New Roman"/>
          <w:lang w:val="fr-CA"/>
        </w:rPr>
        <w:t>La continuité de l’occupation</w:t>
      </w:r>
      <w:bookmarkEnd w:id="14"/>
      <w:bookmarkEnd w:id="15"/>
    </w:p>
    <w:p w:rsidR="000F2258" w:rsidRPr="002F5A3C" w:rsidRDefault="000F2258" w:rsidP="000F2258">
      <w:pPr>
        <w:pStyle w:val="ParaNoNdepar-AltN"/>
        <w:rPr>
          <w:rFonts w:cs="Times New Roman"/>
          <w:lang w:val="fr-CA"/>
        </w:rPr>
      </w:pPr>
      <w:r w:rsidRPr="002F5A3C">
        <w:rPr>
          <w:rFonts w:cs="Times New Roman"/>
          <w:lang w:val="fr-CA"/>
        </w:rPr>
        <w:lastRenderedPageBreak/>
        <w:t xml:space="preserve">Le fait que l’occupation actuelle soit invoquée comme preuve de l’occupation antérieure à l’affirmation de la souveraineté donne lieu à une deuxième condition — la continuité entre l’occupation actuelle et l’occupation antérieure à l’affirmation de la souveraineté. </w:t>
      </w:r>
    </w:p>
    <w:p w:rsidR="000F2258" w:rsidRPr="002F5A3C" w:rsidRDefault="000F2258" w:rsidP="000F2258">
      <w:pPr>
        <w:pStyle w:val="ParaNoNdepar-AltN"/>
        <w:rPr>
          <w:rFonts w:cs="Times New Roman"/>
          <w:lang w:val="fr-CA"/>
        </w:rPr>
      </w:pPr>
      <w:r w:rsidRPr="002F5A3C">
        <w:rPr>
          <w:rFonts w:cs="Times New Roman"/>
          <w:lang w:val="fr-CA"/>
        </w:rPr>
        <w:t>Le concept de la continuité n’exige pas que les groupes autochtones fassent la preuve d’une continuité parfaite entre leurs pratiques, coutumes et traditions actuelles et celles qui existaient avant le contact avec les Européens (</w:t>
      </w:r>
      <w:r w:rsidRPr="002F5A3C">
        <w:rPr>
          <w:rFonts w:cs="Times New Roman"/>
          <w:i/>
          <w:lang w:val="fr-CA"/>
        </w:rPr>
        <w:t>Van der Peet</w:t>
      </w:r>
      <w:r w:rsidRPr="002F5A3C">
        <w:rPr>
          <w:rFonts w:cs="Times New Roman"/>
          <w:lang w:val="fr-CA"/>
        </w:rPr>
        <w:t>, par.</w:t>
      </w:r>
      <w:r>
        <w:rPr>
          <w:rFonts w:cs="Times New Roman"/>
          <w:lang w:val="fr-CA"/>
        </w:rPr>
        <w:t xml:space="preserve"> </w:t>
      </w:r>
      <w:r w:rsidRPr="002F5A3C">
        <w:rPr>
          <w:rFonts w:cs="Times New Roman"/>
          <w:lang w:val="fr-CA"/>
        </w:rPr>
        <w:t>65).  Il en va de même pour le titre ancestral.</w:t>
      </w:r>
      <w:r>
        <w:rPr>
          <w:rFonts w:cs="Times New Roman"/>
          <w:lang w:val="fr-CA"/>
        </w:rPr>
        <w:t xml:space="preserve"> </w:t>
      </w:r>
      <w:r w:rsidRPr="002F5A3C">
        <w:rPr>
          <w:rFonts w:cs="Times New Roman"/>
          <w:lang w:val="fr-CA"/>
        </w:rPr>
        <w:t xml:space="preserve"> La continuité signifie simplement que, pour qu’une preuve de l’occupation actuelle permette de conclure à l’occupation antérieure à l’affirmation de la souveraineté, l’occupation actuelle doit tirer son origine de l’époque antérieure à l’affirmation de la souveraineté.  Il appartient au juge des faits d’examiner cette question. </w:t>
      </w:r>
    </w:p>
    <w:p w:rsidR="000F2258" w:rsidRPr="002F5A3C" w:rsidRDefault="000F2258" w:rsidP="000F2258">
      <w:pPr>
        <w:pStyle w:val="Title3LevelTitre3Niveau"/>
        <w:outlineLvl w:val="2"/>
        <w:rPr>
          <w:rFonts w:cs="Times New Roman"/>
          <w:lang w:val="fr-CA"/>
        </w:rPr>
      </w:pPr>
      <w:bookmarkStart w:id="16" w:name="_Toc389497747"/>
      <w:bookmarkStart w:id="17" w:name="_Toc391446169"/>
      <w:r w:rsidRPr="002F5A3C">
        <w:rPr>
          <w:rFonts w:cs="Times New Roman"/>
          <w:lang w:val="fr-CA"/>
        </w:rPr>
        <w:t>L’exclusivité de l’occupation</w:t>
      </w:r>
      <w:bookmarkEnd w:id="16"/>
      <w:bookmarkEnd w:id="17"/>
    </w:p>
    <w:p w:rsidR="000F2258" w:rsidRPr="002F5A3C" w:rsidRDefault="000F2258" w:rsidP="000F2258">
      <w:pPr>
        <w:pStyle w:val="ParaNoNdepar-AltN"/>
        <w:rPr>
          <w:rFonts w:cs="Times New Roman"/>
          <w:lang w:val="fr-CA"/>
        </w:rPr>
      </w:pPr>
      <w:r w:rsidRPr="002F5A3C">
        <w:rPr>
          <w:rFonts w:cs="Times New Roman"/>
          <w:lang w:val="fr-CA"/>
        </w:rPr>
        <w:t xml:space="preserve">La troisième exigence est l’occupation </w:t>
      </w:r>
      <w:r w:rsidRPr="004C0680">
        <w:rPr>
          <w:rFonts w:cs="Times New Roman"/>
          <w:i/>
          <w:lang w:val="fr-CA"/>
        </w:rPr>
        <w:t>exclusive</w:t>
      </w:r>
      <w:r w:rsidRPr="002F5A3C">
        <w:rPr>
          <w:rFonts w:cs="Times New Roman"/>
          <w:lang w:val="fr-CA"/>
        </w:rPr>
        <w:t xml:space="preserve"> des terres au moment de l’affirmation de la souveraineté.  Le groupe autochtone doit avoir eu </w:t>
      </w:r>
      <w:r>
        <w:rPr>
          <w:rFonts w:cs="Times New Roman"/>
          <w:lang w:val="fr-CA"/>
        </w:rPr>
        <w:t>« </w:t>
      </w:r>
      <w:r w:rsidRPr="002F5A3C">
        <w:rPr>
          <w:rFonts w:cs="Times New Roman"/>
          <w:u w:val="single"/>
          <w:lang w:val="fr-CA"/>
        </w:rPr>
        <w:t>l’intention et</w:t>
      </w:r>
      <w:r w:rsidRPr="002F5A3C">
        <w:rPr>
          <w:rFonts w:cs="Times New Roman"/>
          <w:lang w:val="fr-CA"/>
        </w:rPr>
        <w:t xml:space="preserve"> [</w:t>
      </w:r>
      <w:r>
        <w:rPr>
          <w:rFonts w:cs="Times New Roman"/>
          <w:lang w:val="fr-CA"/>
        </w:rPr>
        <w:t>. . .</w:t>
      </w:r>
      <w:r w:rsidRPr="002F5A3C">
        <w:rPr>
          <w:rFonts w:cs="Times New Roman"/>
          <w:lang w:val="fr-CA"/>
        </w:rPr>
        <w:t xml:space="preserve">] </w:t>
      </w:r>
      <w:r w:rsidRPr="002F5A3C">
        <w:rPr>
          <w:rFonts w:cs="Times New Roman"/>
          <w:u w:val="single"/>
          <w:lang w:val="fr-CA"/>
        </w:rPr>
        <w:t>la capacité de garder le contrôle exclusif</w:t>
      </w:r>
      <w:r>
        <w:rPr>
          <w:rFonts w:cs="Times New Roman"/>
          <w:lang w:val="fr-CA"/>
        </w:rPr>
        <w:t> »</w:t>
      </w:r>
      <w:r w:rsidRPr="002F5A3C">
        <w:rPr>
          <w:rFonts w:cs="Times New Roman"/>
          <w:lang w:val="fr-CA"/>
        </w:rPr>
        <w:t xml:space="preserve"> des terres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156</w:t>
      </w:r>
      <w:r w:rsidR="007B537E">
        <w:rPr>
          <w:rFonts w:cs="Times New Roman"/>
          <w:lang w:val="fr-CA"/>
        </w:rPr>
        <w:t>,</w:t>
      </w:r>
      <w:r w:rsidRPr="002F5A3C">
        <w:rPr>
          <w:rFonts w:cs="Times New Roman"/>
          <w:lang w:val="fr-CA"/>
        </w:rPr>
        <w:t xml:space="preserve"> citant McNeil, </w:t>
      </w:r>
      <w:r w:rsidRPr="002F5A3C">
        <w:rPr>
          <w:rFonts w:cs="Times New Roman"/>
          <w:i/>
          <w:lang w:val="fr-CA"/>
        </w:rPr>
        <w:t>Common Law Aboriginal Title</w:t>
      </w:r>
      <w:r w:rsidRPr="002F5A3C">
        <w:rPr>
          <w:rFonts w:cs="Times New Roman"/>
          <w:lang w:val="fr-CA"/>
        </w:rPr>
        <w:t>, p.</w:t>
      </w:r>
      <w:r>
        <w:rPr>
          <w:rFonts w:cs="Times New Roman"/>
          <w:lang w:val="fr-CA"/>
        </w:rPr>
        <w:t xml:space="preserve"> </w:t>
      </w:r>
      <w:r w:rsidRPr="002F5A3C">
        <w:rPr>
          <w:rFonts w:cs="Times New Roman"/>
          <w:lang w:val="fr-CA"/>
        </w:rPr>
        <w:t>204 (je souligne)).  L’utilisation régulière, mais non exclusive, peut donner naissance à des droits ancestraux usufructuaires; en ce qui concerne le titre ancestral, l’utilisation doit avoir été exclusive.</w:t>
      </w:r>
    </w:p>
    <w:p w:rsidR="000F2258" w:rsidRPr="002F5A3C" w:rsidRDefault="000F2258" w:rsidP="000F2258">
      <w:pPr>
        <w:pStyle w:val="ParaNoNdepar-AltN"/>
        <w:rPr>
          <w:rFonts w:cs="Times New Roman"/>
          <w:lang w:val="fr-CA"/>
        </w:rPr>
      </w:pPr>
      <w:r w:rsidRPr="002F5A3C">
        <w:rPr>
          <w:rFonts w:cs="Times New Roman"/>
          <w:lang w:val="fr-CA"/>
        </w:rPr>
        <w:t xml:space="preserve">L’exclusivité doit s’entendre au sens de l’intention et de la capacité de contrôler le territoire.  Le fait que d’autres groupes ou des particuliers se soient trouvés sur le territoire ne nie pas nécessairement l’exclusivité de l’occupation.  La question de </w:t>
      </w:r>
      <w:r w:rsidRPr="002F5A3C">
        <w:rPr>
          <w:rFonts w:cs="Times New Roman"/>
          <w:lang w:val="fr-CA"/>
        </w:rPr>
        <w:lastRenderedPageBreak/>
        <w:t>savoir si le groupe revendicateur avait l’intention et la capacité de contrôler le territoire au moment de l’affirmation de la souveraineté est une question de fait qui relève du juge de première instance et qui dépend de divers facteurs tels</w:t>
      </w:r>
      <w:r w:rsidR="00C43619">
        <w:rPr>
          <w:rFonts w:cs="Times New Roman"/>
          <w:lang w:val="fr-CA"/>
        </w:rPr>
        <w:t xml:space="preserve"> que</w:t>
      </w:r>
      <w:r w:rsidRPr="002F5A3C">
        <w:rPr>
          <w:rFonts w:cs="Times New Roman"/>
          <w:lang w:val="fr-CA"/>
        </w:rPr>
        <w:t xml:space="preserve"> les caractéristiques du groupe, la nature des autres groupes de la région et les caractéristiques du territoire en question.  L’exclusivité peut être établie au moyen d’une preuve démontrant que les autres groupes ont été exclus du territoire, ou d’une preuve démontrant que certains groupes n’avaient accès au territoire qu’avec la permission du groupe revendicateur.  Le fait qu’une permission était demandée, et qu’elle était accordée ou refusée, ou que des traités ont été conclus avec d’autres groupes, peut démontrer l’intention et la capacité de contrôler le territoire.  Même le fait que l’occupation n’ait jamais été contestée peut permettre de conclure que le groupe avait l’intention et la capacité de contrôler le territoire. </w:t>
      </w:r>
    </w:p>
    <w:p w:rsidR="000F2258" w:rsidRPr="002F5A3C" w:rsidRDefault="000F2258" w:rsidP="000F2258">
      <w:pPr>
        <w:pStyle w:val="ParaNoNdepar-AltN"/>
        <w:rPr>
          <w:rFonts w:cs="Times New Roman"/>
          <w:lang w:val="fr-CA"/>
        </w:rPr>
      </w:pPr>
      <w:r w:rsidRPr="002F5A3C">
        <w:rPr>
          <w:rFonts w:cs="Times New Roman"/>
          <w:lang w:val="fr-CA"/>
        </w:rPr>
        <w:t xml:space="preserve">Tout comme c’était le cas de la suffisance de l’occupation, il faut aborder l’exigence de l’exclusivité en tenant compte de la common law et du point de vue des Autochtones, ainsi que du contexte et des caractéristiques de la société autochtone.  Dans l’arrêt </w:t>
      </w:r>
      <w:r w:rsidRPr="002F5A3C">
        <w:rPr>
          <w:rFonts w:cs="Times New Roman"/>
          <w:i/>
          <w:lang w:val="fr-CA"/>
        </w:rPr>
        <w:t>Delgamuukw</w:t>
      </w:r>
      <w:r w:rsidRPr="002F5A3C">
        <w:rPr>
          <w:rFonts w:cs="Times New Roman"/>
          <w:lang w:val="fr-CA"/>
        </w:rPr>
        <w:t>, la Cour a expliqué ce qui suit au par.</w:t>
      </w:r>
      <w:r>
        <w:rPr>
          <w:rFonts w:cs="Times New Roman"/>
          <w:lang w:val="fr-CA"/>
        </w:rPr>
        <w:t xml:space="preserve"> </w:t>
      </w:r>
      <w:r w:rsidRPr="002F5A3C">
        <w:rPr>
          <w:rFonts w:cs="Times New Roman"/>
          <w:lang w:val="fr-CA"/>
        </w:rPr>
        <w:t>157</w:t>
      </w:r>
      <w:r>
        <w:rPr>
          <w:rFonts w:cs="Times New Roman"/>
          <w:lang w:val="fr-CA"/>
        </w:rPr>
        <w:t> :</w:t>
      </w:r>
    </w:p>
    <w:p w:rsidR="000F2258" w:rsidRPr="002F5A3C" w:rsidRDefault="000F2258" w:rsidP="000F2258">
      <w:pPr>
        <w:pStyle w:val="Citation-AltC"/>
        <w:tabs>
          <w:tab w:val="left" w:pos="1440"/>
        </w:tabs>
        <w:ind w:hanging="1166"/>
        <w:rPr>
          <w:lang w:val="fr-CA"/>
        </w:rPr>
      </w:pPr>
      <w:r w:rsidRPr="002F5A3C">
        <w:rPr>
          <w:lang w:val="fr-CA"/>
        </w:rPr>
        <w:tab/>
      </w:r>
      <w:r w:rsidRPr="002F5A3C">
        <w:rPr>
          <w:lang w:val="fr-CA"/>
        </w:rPr>
        <w:tab/>
        <w:t xml:space="preserve">La prise en considération du point de vue des </w:t>
      </w:r>
      <w:r w:rsidR="00BD7809">
        <w:rPr>
          <w:lang w:val="fr-CA"/>
        </w:rPr>
        <w:t>[</w:t>
      </w:r>
      <w:r w:rsidR="00CE3EFE">
        <w:rPr>
          <w:lang w:val="fr-CA"/>
        </w:rPr>
        <w:t>A</w:t>
      </w:r>
      <w:r w:rsidR="00BD7809">
        <w:rPr>
          <w:lang w:val="fr-CA"/>
        </w:rPr>
        <w:t>]</w:t>
      </w:r>
      <w:r w:rsidRPr="002F5A3C">
        <w:rPr>
          <w:lang w:val="fr-CA"/>
        </w:rPr>
        <w:t xml:space="preserve">utochtones peut également amener à conclure qu’une intrusion par d’autres groupes autochtones ne fait pas obstacle à l’occupation exclusive du territoire visé par le groupe autochtone qui en revendique le titre, et que la présence autorisée de ces autres groupes peut renforcer cette occupation exclusive.  À titre d’exemple, le groupe autochtone qui revendique le titre aborigène peut avoir, en matière d’intrusion, des règles de droit qui sont des preuves de l’occupation exclusive, de sorte que la présence d’intrus n’est pas considérée comme une preuve à l’encontre de l’exclusivité.  De plus, l’existence de règles de droit autochtones en vertu desquelles d’autres groupes autochtones peuvent être autorisés à utiliser les terres ou même à y résider temporairement étayerait la conclusion d’occupation exclusive.  De fait, si cette permission a fait l’objet de traités entre les nations </w:t>
      </w:r>
      <w:r w:rsidRPr="002F5A3C">
        <w:rPr>
          <w:lang w:val="fr-CA"/>
        </w:rPr>
        <w:lastRenderedPageBreak/>
        <w:t xml:space="preserve">autochtones concernées, ces traités feraient également partie du point de vue des </w:t>
      </w:r>
      <w:r w:rsidR="00BD7809">
        <w:rPr>
          <w:lang w:val="fr-CA"/>
        </w:rPr>
        <w:t>[</w:t>
      </w:r>
      <w:r w:rsidR="00CE3EFE">
        <w:rPr>
          <w:lang w:val="fr-CA"/>
        </w:rPr>
        <w:t>A</w:t>
      </w:r>
      <w:r w:rsidR="00BD7809">
        <w:rPr>
          <w:lang w:val="fr-CA"/>
        </w:rPr>
        <w:t>]</w:t>
      </w:r>
      <w:r w:rsidRPr="002F5A3C">
        <w:rPr>
          <w:lang w:val="fr-CA"/>
        </w:rPr>
        <w:t>utochtones.</w:t>
      </w:r>
    </w:p>
    <w:p w:rsidR="000F2258" w:rsidRPr="002F5A3C" w:rsidRDefault="000F2258" w:rsidP="000F2258">
      <w:pPr>
        <w:pStyle w:val="Title3LevelTitre3Niveau"/>
        <w:outlineLvl w:val="2"/>
        <w:rPr>
          <w:rFonts w:cs="Times New Roman"/>
          <w:lang w:val="fr-CA"/>
        </w:rPr>
      </w:pPr>
      <w:bookmarkStart w:id="18" w:name="_Toc389497748"/>
      <w:bookmarkStart w:id="19" w:name="_Toc391446170"/>
      <w:r w:rsidRPr="002F5A3C">
        <w:rPr>
          <w:rFonts w:cs="Times New Roman"/>
          <w:lang w:val="fr-CA"/>
        </w:rPr>
        <w:t>Résumé</w:t>
      </w:r>
      <w:bookmarkEnd w:id="18"/>
      <w:bookmarkEnd w:id="19"/>
    </w:p>
    <w:p w:rsidR="000F2258" w:rsidRPr="002F5A3C" w:rsidRDefault="000F2258" w:rsidP="000F2258">
      <w:pPr>
        <w:pStyle w:val="ParaNoNdepar-AltN"/>
        <w:rPr>
          <w:rFonts w:cs="Times New Roman"/>
          <w:lang w:val="fr-CA"/>
        </w:rPr>
      </w:pPr>
      <w:r w:rsidRPr="002F5A3C">
        <w:rPr>
          <w:rFonts w:cs="Times New Roman"/>
          <w:lang w:val="fr-CA"/>
        </w:rPr>
        <w:t>Il incombe au groupe revendicateur d’établir l’existence du titre ancestral.</w:t>
      </w:r>
      <w:r>
        <w:rPr>
          <w:rFonts w:cs="Times New Roman"/>
          <w:lang w:val="fr-CA"/>
        </w:rPr>
        <w:t xml:space="preserve"> </w:t>
      </w:r>
      <w:r w:rsidRPr="002F5A3C">
        <w:rPr>
          <w:rFonts w:cs="Times New Roman"/>
          <w:lang w:val="fr-CA"/>
        </w:rPr>
        <w:t xml:space="preserve"> Il faut déterminer la façon dont les droits et intérêts qui existaient avant l’affirmation de la souveraineté peuvent trouver leur juste expression en common law moderne.  Dans l’examen de la question de savoir si l’existence d’un titre ancestral est établie, les conditions générales sont les suivantes</w:t>
      </w:r>
      <w:r>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 xml:space="preserve">une </w:t>
      </w:r>
      <w:r>
        <w:rPr>
          <w:rFonts w:cs="Times New Roman"/>
          <w:lang w:val="fr-CA"/>
        </w:rPr>
        <w:t>« </w:t>
      </w:r>
      <w:r w:rsidRPr="002F5A3C">
        <w:rPr>
          <w:rFonts w:cs="Times New Roman"/>
          <w:lang w:val="fr-CA"/>
        </w:rPr>
        <w:t>occupation suffisante</w:t>
      </w:r>
      <w:r>
        <w:rPr>
          <w:rFonts w:cs="Times New Roman"/>
          <w:lang w:val="fr-CA"/>
        </w:rPr>
        <w:t> »</w:t>
      </w:r>
      <w:r w:rsidRPr="002F5A3C">
        <w:rPr>
          <w:rFonts w:cs="Times New Roman"/>
          <w:lang w:val="fr-CA"/>
        </w:rPr>
        <w:t xml:space="preserve"> du territoire revendiqué afin d’établir l’existence d’un titre au moment de l’affirmation de la souveraineté européenne; (2)</w:t>
      </w:r>
      <w:r>
        <w:rPr>
          <w:rFonts w:cs="Times New Roman"/>
          <w:lang w:val="fr-CA"/>
        </w:rPr>
        <w:t xml:space="preserve"> </w:t>
      </w:r>
      <w:r w:rsidRPr="002F5A3C">
        <w:rPr>
          <w:rFonts w:cs="Times New Roman"/>
          <w:lang w:val="fr-CA"/>
        </w:rPr>
        <w:t>la continuité de l’occupation lorsque l’occupation actuelle est invoquée; et (3)</w:t>
      </w:r>
      <w:r>
        <w:rPr>
          <w:rFonts w:cs="Times New Roman"/>
          <w:lang w:val="fr-CA"/>
        </w:rPr>
        <w:t xml:space="preserve"> </w:t>
      </w:r>
      <w:r w:rsidRPr="002F5A3C">
        <w:rPr>
          <w:rFonts w:cs="Times New Roman"/>
          <w:lang w:val="fr-CA"/>
        </w:rPr>
        <w:t xml:space="preserve">l’exclusivité de l’occupation historique.  Pour déterminer ce qui constitue une occupation suffisante, il faut examiner la culture et les pratiques des Autochtones et les comparer, tout en tenant compte de leurs particularités culturelles, à ce qui était requis en common law pour établir l’existence d’un titre fondé sur l’occupation.  L’occupation suffisante pour fonder l’existence d’un titre ancestral ne se limite pas aux lieux spécifiques d’établissement, mais s’étend aux parcelles de terre régulièrement utilisées pour y pratiquer la chasse, la pêche ou d’autres types d’exploitation des ressources et sur lesquelles le groupe exerçait un contrôle effectif au moment de l’affirmation de la souveraineté européenne. </w:t>
      </w:r>
    </w:p>
    <w:p w:rsidR="000F2258" w:rsidRPr="002F5A3C" w:rsidRDefault="000F2258" w:rsidP="000F2258">
      <w:pPr>
        <w:pStyle w:val="Title2LevelTitre2Niveau"/>
        <w:outlineLvl w:val="1"/>
        <w:rPr>
          <w:rFonts w:cs="Times New Roman"/>
          <w:lang w:val="fr-CA"/>
        </w:rPr>
      </w:pPr>
      <w:bookmarkStart w:id="20" w:name="_Toc389497749"/>
      <w:bookmarkStart w:id="21" w:name="_Toc391446171"/>
      <w:r w:rsidRPr="002F5A3C">
        <w:rPr>
          <w:rFonts w:cs="Times New Roman"/>
          <w:lang w:val="fr-CA"/>
        </w:rPr>
        <w:t>L’existence du titre ancestral a</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elle été établie en l’espèce?</w:t>
      </w:r>
      <w:bookmarkEnd w:id="20"/>
      <w:bookmarkEnd w:id="21"/>
    </w:p>
    <w:p w:rsidR="000F2258" w:rsidRPr="002F5A3C" w:rsidRDefault="000F2258" w:rsidP="000F2258">
      <w:pPr>
        <w:pStyle w:val="ParaNoNdepar-AltN"/>
        <w:rPr>
          <w:rFonts w:cs="Times New Roman"/>
          <w:lang w:val="fr-CA"/>
        </w:rPr>
      </w:pPr>
      <w:r w:rsidRPr="002F5A3C">
        <w:rPr>
          <w:rFonts w:cs="Times New Roman"/>
          <w:lang w:val="fr-CA"/>
        </w:rPr>
        <w:lastRenderedPageBreak/>
        <w:t xml:space="preserve">Le juge de première instance a appliqué un critère fondé sur l’utilisation régulière et exclusive du territoire.  Son critère est conforme au bon critère juridique.  Reste à savoir s’il l’a correctement appliqué à la preuve dont il disposait.  </w:t>
      </w:r>
    </w:p>
    <w:p w:rsidR="000F2258" w:rsidRPr="002F5A3C" w:rsidRDefault="000F2258" w:rsidP="000F2258">
      <w:pPr>
        <w:pStyle w:val="ParaNoNdepar-AltN"/>
        <w:rPr>
          <w:rFonts w:cs="Times New Roman"/>
          <w:lang w:val="fr-CA"/>
        </w:rPr>
      </w:pPr>
      <w:r w:rsidRPr="002F5A3C">
        <w:rPr>
          <w:rFonts w:cs="Times New Roman"/>
          <w:lang w:val="fr-CA"/>
        </w:rPr>
        <w:t>La question de savoir si la preuve présentée dans une affaire donnée permet de conclure à l’existence d’un titre ancestral est une question de fait que doit trancher le juge de première instance</w:t>
      </w:r>
      <w:r>
        <w:rPr>
          <w:rFonts w:cs="Times New Roman"/>
          <w:lang w:val="fr-CA"/>
        </w:rPr>
        <w:t> :</w:t>
      </w:r>
      <w:r w:rsidRPr="002F5A3C">
        <w:rPr>
          <w:rFonts w:cs="Times New Roman"/>
          <w:lang w:val="fr-CA"/>
        </w:rPr>
        <w:t xml:space="preserve"> </w:t>
      </w:r>
      <w:r w:rsidRPr="002F5A3C">
        <w:rPr>
          <w:rFonts w:cs="Times New Roman"/>
          <w:i/>
          <w:lang w:val="fr-CA"/>
        </w:rPr>
        <w:t>Marshall; Bernard</w:t>
      </w:r>
      <w:r w:rsidRPr="002F5A3C">
        <w:rPr>
          <w:rFonts w:cs="Times New Roman"/>
          <w:lang w:val="fr-CA"/>
        </w:rPr>
        <w:t>.  Il s’agit donc de savoir si la province a démontré que le juge de première avait commis une erreur manifeste et dominante dans ses conclusions de fait.</w:t>
      </w:r>
    </w:p>
    <w:p w:rsidR="000F2258" w:rsidRPr="002F5A3C" w:rsidRDefault="000F2258" w:rsidP="000F2258">
      <w:pPr>
        <w:pStyle w:val="ParaNoNdepar-AltN"/>
        <w:rPr>
          <w:rFonts w:cs="Times New Roman"/>
          <w:lang w:val="fr-CA"/>
        </w:rPr>
      </w:pPr>
      <w:r w:rsidRPr="002F5A3C">
        <w:rPr>
          <w:rFonts w:cs="Times New Roman"/>
          <w:lang w:val="fr-CA"/>
        </w:rPr>
        <w:t>J’aborde la question sous les angles susmentionnés de la suffisance, de la continuité et de l’exclusivité.</w:t>
      </w:r>
    </w:p>
    <w:p w:rsidR="000F2258" w:rsidRPr="002F5A3C" w:rsidRDefault="000F2258" w:rsidP="000F2258">
      <w:pPr>
        <w:pStyle w:val="ParaNoNdepar-AltN"/>
        <w:rPr>
          <w:rFonts w:cs="Times New Roman"/>
          <w:lang w:val="fr-CA"/>
        </w:rPr>
      </w:pPr>
      <w:r w:rsidRPr="002F5A3C">
        <w:rPr>
          <w:rFonts w:cs="Times New Roman"/>
          <w:lang w:val="fr-CA"/>
        </w:rPr>
        <w:t xml:space="preserve">Je ne répéterai pas les commentaires que j’ai formulés précédemment sur ce qui est requis pour établir la suffisance de l’occupation.  L’utilisation régulière du territoire suffit pour établir la suffisance; le concept ne se limite pas aux villages qui ont été occupés de façon continue.  Il faut aborder la question en tenant compte du point de vue du groupe autochtone et de la common law, sans oublier les coutumes du peuple et la nature du territoire. </w:t>
      </w:r>
    </w:p>
    <w:p w:rsidR="000F2258" w:rsidRPr="002F5A3C" w:rsidRDefault="000F2258" w:rsidP="000F2258">
      <w:pPr>
        <w:pStyle w:val="ParaNoNdepar-AltN"/>
        <w:rPr>
          <w:rFonts w:cs="Times New Roman"/>
          <w:lang w:val="fr-CA"/>
        </w:rPr>
      </w:pPr>
      <w:r w:rsidRPr="002F5A3C">
        <w:rPr>
          <w:rFonts w:cs="Times New Roman"/>
          <w:lang w:val="fr-CA"/>
        </w:rPr>
        <w:t>La preuve en l’espèce appuie la conclusion du juge de première instance quant à l’occupation suffisante.  Le territoire était peu peuplé, mais le juge de première instance a relevé des éléments de preuve indiquant que les parties du territoire sur lesquelles il a conclu à l’existence du titre étaient régulièrement utilisées par les Tsilhqot’in.  La Cour d’appel n’a pas vraiment contesté ces conclusions.</w:t>
      </w:r>
    </w:p>
    <w:p w:rsidR="000F2258" w:rsidRPr="002F5A3C" w:rsidRDefault="000F2258" w:rsidP="000F2258">
      <w:pPr>
        <w:pStyle w:val="ParaNoNdepar-AltN"/>
        <w:rPr>
          <w:rFonts w:cs="Times New Roman"/>
          <w:lang w:val="fr-CA"/>
        </w:rPr>
      </w:pPr>
      <w:r w:rsidRPr="002F5A3C">
        <w:rPr>
          <w:rFonts w:cs="Times New Roman"/>
          <w:lang w:val="fr-CA"/>
        </w:rPr>
        <w:lastRenderedPageBreak/>
        <w:t xml:space="preserve">La Cour d’appel a plutôt fondé son rejet de l’existence du titre ancestral sur la proposition de droit selon laquelle l’utilisation régulière du territoire ne pouvait pas fonder le titre ancestral — seules la présence régulière sur des parcelles spécifiques ou leur occupation intensive étaient suffisantes.  Cette interprétation, comme je l’ai déjà mentionné, ne trouve pas d’appui dans la jurisprudence; l’arrêt </w:t>
      </w:r>
      <w:r w:rsidRPr="002F5A3C">
        <w:rPr>
          <w:rFonts w:cs="Times New Roman"/>
          <w:i/>
          <w:lang w:val="fr-CA"/>
        </w:rPr>
        <w:t xml:space="preserve">Delgamuukw </w:t>
      </w:r>
      <w:r w:rsidRPr="002F5A3C">
        <w:rPr>
          <w:rFonts w:cs="Times New Roman"/>
          <w:lang w:val="fr-CA"/>
        </w:rPr>
        <w:t>confirme plutôt à l’égard du titre ancestral une approche fondée sur l’utilisation du territoire.</w:t>
      </w:r>
    </w:p>
    <w:p w:rsidR="000F2258" w:rsidRPr="002F5A3C" w:rsidRDefault="000F2258" w:rsidP="000F2258">
      <w:pPr>
        <w:pStyle w:val="ParaNoNdepar-AltN"/>
        <w:rPr>
          <w:rFonts w:cs="Times New Roman"/>
          <w:lang w:val="fr-CA"/>
        </w:rPr>
      </w:pPr>
      <w:r w:rsidRPr="002F5A3C">
        <w:rPr>
          <w:rFonts w:cs="Times New Roman"/>
          <w:lang w:val="fr-CA"/>
        </w:rPr>
        <w:t>Cela m’amène à la continuité.  La revendication du titre présentée en l’espèce est fondée dans une certaine mesure sur l’occupation actuelle, ce qui soulève la question de la continuité.  La preuve produite et acceptée ensuite dans les parties</w:t>
      </w:r>
      <w:r>
        <w:rPr>
          <w:rFonts w:cs="Times New Roman"/>
          <w:lang w:val="fr-CA"/>
        </w:rPr>
        <w:t xml:space="preserve"> </w:t>
      </w:r>
      <w:r w:rsidRPr="002F5A3C">
        <w:rPr>
          <w:rFonts w:cs="Times New Roman"/>
          <w:lang w:val="fr-CA"/>
        </w:rPr>
        <w:t>5 à 7 des motifs du juge de première instance se rapporte aux événements qui remontent jusqu’en 1999.  Le juge de première instance a pris en considération cette preuve directe d’une occupation plus récente conjointement avec la preuve archéologique, la preuve historique et les témoignages d</w:t>
      </w:r>
      <w:r w:rsidR="00BD7809">
        <w:rPr>
          <w:rFonts w:cs="Times New Roman"/>
          <w:lang w:val="fr-CA"/>
        </w:rPr>
        <w:t>’aînés</w:t>
      </w:r>
      <w:r w:rsidRPr="002F5A3C">
        <w:rPr>
          <w:rFonts w:cs="Times New Roman"/>
          <w:lang w:val="fr-CA"/>
        </w:rPr>
        <w:t>, qui indiquaient tous une présence continue des Tsil</w:t>
      </w:r>
      <w:r w:rsidR="007B537E">
        <w:rPr>
          <w:rFonts w:cs="Times New Roman"/>
          <w:lang w:val="fr-CA"/>
        </w:rPr>
        <w:t>h</w:t>
      </w:r>
      <w:r w:rsidRPr="002F5A3C">
        <w:rPr>
          <w:rFonts w:cs="Times New Roman"/>
          <w:lang w:val="fr-CA"/>
        </w:rPr>
        <w:t>qot’in dans la région visée par la revendication.  La proximité géographique entre les sites à l’égard desquels une preuve d’occupation récente a été produite et ceux à l’égard desquels il existait une preuve directe d’occupation passée renforçait l’inférence d’une occupation continue.  Au paragraphe</w:t>
      </w:r>
      <w:r>
        <w:rPr>
          <w:rFonts w:cs="Times New Roman"/>
          <w:lang w:val="fr-CA"/>
        </w:rPr>
        <w:t xml:space="preserve"> </w:t>
      </w:r>
      <w:r w:rsidRPr="002F5A3C">
        <w:rPr>
          <w:rFonts w:cs="Times New Roman"/>
          <w:lang w:val="fr-CA"/>
        </w:rPr>
        <w:t>945, il est indiqué, sous la rubrique [</w:t>
      </w:r>
      <w:r w:rsidRPr="002F5A3C">
        <w:rPr>
          <w:rFonts w:cs="Times New Roman"/>
          <w:smallCaps/>
          <w:lang w:val="fr-CA"/>
        </w:rPr>
        <w:t>traduction</w:t>
      </w:r>
      <w:r w:rsidRPr="002F5A3C">
        <w:rPr>
          <w:rFonts w:cs="Times New Roman"/>
          <w:lang w:val="fr-CA"/>
        </w:rPr>
        <w:t xml:space="preserve">] </w:t>
      </w:r>
      <w:r>
        <w:rPr>
          <w:rFonts w:cs="Times New Roman"/>
          <w:lang w:val="fr-CA"/>
        </w:rPr>
        <w:t>« </w:t>
      </w:r>
      <w:r w:rsidRPr="002F5A3C">
        <w:rPr>
          <w:rFonts w:cs="Times New Roman"/>
          <w:lang w:val="fr-CA"/>
        </w:rPr>
        <w:t>Continuité</w:t>
      </w:r>
      <w:r>
        <w:rPr>
          <w:rFonts w:cs="Times New Roman"/>
          <w:lang w:val="fr-CA"/>
        </w:rPr>
        <w:t> »</w:t>
      </w:r>
      <w:r w:rsidRPr="002F5A3C">
        <w:rPr>
          <w:rFonts w:cs="Times New Roman"/>
          <w:lang w:val="fr-CA"/>
        </w:rPr>
        <w:t xml:space="preserve">, que  </w:t>
      </w:r>
      <w:r>
        <w:rPr>
          <w:rFonts w:cs="Times New Roman"/>
          <w:lang w:val="fr-CA"/>
        </w:rPr>
        <w:t>« </w:t>
      </w:r>
      <w:r w:rsidRPr="002F5A3C">
        <w:rPr>
          <w:rFonts w:cs="Times New Roman"/>
          <w:lang w:val="fr-CA"/>
        </w:rPr>
        <w:t>le peuple Tsilhqot’in a occupé le secteur revendiqué de façon continue avant et après l’affirmation de la souveraineté</w:t>
      </w:r>
      <w:r>
        <w:rPr>
          <w:rFonts w:cs="Times New Roman"/>
          <w:lang w:val="fr-CA"/>
        </w:rPr>
        <w:t> »</w:t>
      </w:r>
      <w:r w:rsidRPr="002F5A3C">
        <w:rPr>
          <w:rFonts w:cs="Times New Roman"/>
          <w:lang w:val="fr-CA"/>
        </w:rPr>
        <w:t xml:space="preserve">. Je ne vois aucune raison de modifier cette conclusion. </w:t>
      </w:r>
    </w:p>
    <w:p w:rsidR="000F2258" w:rsidRPr="002F5A3C" w:rsidRDefault="000F2258" w:rsidP="000F2258">
      <w:pPr>
        <w:pStyle w:val="ParaNoNdepar-AltN"/>
        <w:rPr>
          <w:rFonts w:cs="Times New Roman"/>
          <w:lang w:val="fr-CA"/>
        </w:rPr>
      </w:pPr>
      <w:r w:rsidRPr="002F5A3C">
        <w:rPr>
          <w:rFonts w:cs="Times New Roman"/>
          <w:lang w:val="fr-CA"/>
        </w:rPr>
        <w:t xml:space="preserve">Enfin, j’en viens à l’exclusivité.  Le juge de première instance a conclu que les Tsilhqot’in, avant l’affirmation de la souveraineté, ont repoussé d’autres peuples de leurs terres et ont exigé que les étrangers qui désiraient passer sur leurs terres leur </w:t>
      </w:r>
      <w:r w:rsidRPr="002F5A3C">
        <w:rPr>
          <w:rFonts w:cs="Times New Roman"/>
          <w:lang w:val="fr-CA"/>
        </w:rPr>
        <w:lastRenderedPageBreak/>
        <w:t>demandent la permission.  Il en a conclu que les Tsilhqot’in considéraient qu’ils possédaient leurs terres en exclusivité.  Il n’y a aucune raison de modifier cette conclusion.</w:t>
      </w:r>
    </w:p>
    <w:p w:rsidR="000F2258" w:rsidRPr="002F5A3C" w:rsidRDefault="000F2258" w:rsidP="000F2258">
      <w:pPr>
        <w:pStyle w:val="ParaNoNdepar-AltN"/>
        <w:rPr>
          <w:rFonts w:cs="Times New Roman"/>
          <w:lang w:val="fr-CA"/>
        </w:rPr>
      </w:pPr>
      <w:r w:rsidRPr="002F5A3C">
        <w:rPr>
          <w:rFonts w:cs="Times New Roman"/>
          <w:lang w:val="fr-CA"/>
        </w:rPr>
        <w:t>La province plaide en outre que les conclusions du juge de première instance quant à la manière dont certaines parties du territoire étaient utilisées ne peuvent être retenues.  La province affirme ce qui suit</w:t>
      </w:r>
      <w:r>
        <w:rPr>
          <w:rFonts w:cs="Times New Roman"/>
          <w:lang w:val="fr-CA"/>
        </w:rPr>
        <w:t> :</w:t>
      </w:r>
    </w:p>
    <w:p w:rsidR="000F2258" w:rsidRPr="002F5A3C" w:rsidRDefault="00CE3EF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es limites du territoire établies par le juge de première instance sont arbitraires et contredites par certains éléments de preuve (mémoire, par.</w:t>
      </w:r>
      <w:r w:rsidR="000F2258">
        <w:rPr>
          <w:lang w:val="fr-CA"/>
        </w:rPr>
        <w:t xml:space="preserve"> </w:t>
      </w:r>
      <w:r>
        <w:rPr>
          <w:lang w:val="fr-CA"/>
        </w:rPr>
        <w:t>141-</w:t>
      </w:r>
      <w:r w:rsidR="000F2258" w:rsidRPr="002F5A3C">
        <w:rPr>
          <w:lang w:val="fr-CA"/>
        </w:rPr>
        <w:t>142);</w:t>
      </w:r>
    </w:p>
    <w:p w:rsidR="000F2258" w:rsidRPr="002F5A3C" w:rsidRDefault="00CE3EF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 juge de première instance s’est fondé sur une carte dont la province conteste la validité (par.</w:t>
      </w:r>
      <w:r w:rsidR="000F2258">
        <w:rPr>
          <w:lang w:val="fr-CA"/>
        </w:rPr>
        <w:t xml:space="preserve"> </w:t>
      </w:r>
      <w:r>
        <w:rPr>
          <w:lang w:val="fr-CA"/>
        </w:rPr>
        <w:t>143).</w:t>
      </w:r>
    </w:p>
    <w:p w:rsidR="000F2258" w:rsidRPr="002F5A3C" w:rsidRDefault="00CE3EF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 peuple Tsilhqot’in qui, selon le juge de première instance, comptait 400 personnes au moment de l’affirmation de la souveraineté, ne pouvait pas occuper les 1</w:t>
      </w:r>
      <w:r w:rsidR="000F2258">
        <w:rPr>
          <w:lang w:val="fr-CA"/>
        </w:rPr>
        <w:t xml:space="preserve"> </w:t>
      </w:r>
      <w:r w:rsidR="000F2258" w:rsidRPr="002F5A3C">
        <w:rPr>
          <w:lang w:val="fr-CA"/>
        </w:rPr>
        <w:t>900</w:t>
      </w:r>
      <w:r w:rsidR="000F2258">
        <w:rPr>
          <w:lang w:val="fr-CA"/>
        </w:rPr>
        <w:t xml:space="preserve"> </w:t>
      </w:r>
      <w:r w:rsidR="000F2258" w:rsidRPr="002F5A3C">
        <w:rPr>
          <w:lang w:val="fr-CA"/>
        </w:rPr>
        <w:t>km</w:t>
      </w:r>
      <w:r w:rsidR="000F2258" w:rsidRPr="002F5A3C">
        <w:rPr>
          <w:vertAlign w:val="superscript"/>
          <w:lang w:val="fr-CA"/>
        </w:rPr>
        <w:t>2</w:t>
      </w:r>
      <w:r w:rsidR="000F2258" w:rsidRPr="002F5A3C">
        <w:rPr>
          <w:lang w:val="fr-CA"/>
        </w:rPr>
        <w:t xml:space="preserve"> de terres sur lesquelles l’existence d’un titre a été établie (par.</w:t>
      </w:r>
      <w:r w:rsidR="000F2258">
        <w:rPr>
          <w:lang w:val="fr-CA"/>
        </w:rPr>
        <w:t xml:space="preserve"> </w:t>
      </w:r>
      <w:r>
        <w:rPr>
          <w:lang w:val="fr-CA"/>
        </w:rPr>
        <w:t>144).</w:t>
      </w:r>
    </w:p>
    <w:p w:rsidR="000F2258" w:rsidRPr="002F5A3C" w:rsidRDefault="00CE3EFE" w:rsidP="000F2258">
      <w:pPr>
        <w:pStyle w:val="Citation-AltC"/>
        <w:numPr>
          <w:ilvl w:val="0"/>
          <w:numId w:val="6"/>
        </w:numPr>
        <w:spacing w:after="480" w:line="480" w:lineRule="auto"/>
        <w:ind w:hanging="720"/>
        <w:contextualSpacing w:val="0"/>
        <w:rPr>
          <w:lang w:val="fr-CA"/>
        </w:rPr>
      </w:pPr>
      <w:r>
        <w:rPr>
          <w:lang w:val="fr-CA"/>
        </w:rPr>
        <w:t>L</w:t>
      </w:r>
      <w:r w:rsidR="000F2258" w:rsidRPr="002F5A3C">
        <w:rPr>
          <w:lang w:val="fr-CA"/>
        </w:rPr>
        <w:t>e juge de première instance n’a pas identifié des secteurs de manière suffisamment précise; il s’est plutôt appuyé sur de vagues descriptions (par.</w:t>
      </w:r>
      <w:r w:rsidR="000F2258">
        <w:rPr>
          <w:lang w:val="fr-CA"/>
        </w:rPr>
        <w:t xml:space="preserve"> </w:t>
      </w:r>
      <w:r w:rsidR="000F2258" w:rsidRPr="002F5A3C">
        <w:rPr>
          <w:lang w:val="fr-CA"/>
        </w:rPr>
        <w:t xml:space="preserve">145); </w:t>
      </w:r>
    </w:p>
    <w:p w:rsidR="000F2258" w:rsidRPr="002F5A3C" w:rsidRDefault="00CE3EFE" w:rsidP="000F2258">
      <w:pPr>
        <w:pStyle w:val="Citation-AltC"/>
        <w:numPr>
          <w:ilvl w:val="0"/>
          <w:numId w:val="6"/>
        </w:numPr>
        <w:spacing w:after="480" w:line="480" w:lineRule="auto"/>
        <w:ind w:hanging="720"/>
        <w:contextualSpacing w:val="0"/>
        <w:rPr>
          <w:lang w:val="fr-CA"/>
        </w:rPr>
      </w:pPr>
      <w:r>
        <w:rPr>
          <w:lang w:val="fr-CA"/>
        </w:rPr>
        <w:t>U</w:t>
      </w:r>
      <w:r w:rsidR="000F2258" w:rsidRPr="002F5A3C">
        <w:rPr>
          <w:lang w:val="fr-CA"/>
        </w:rPr>
        <w:t>n examen attentif de la façon incohérente et arbitraire dont le juge de première instance a défini les secteurs grevés d’un titre ancestral démontre le manque de fiabilité de son approche (par.</w:t>
      </w:r>
      <w:r w:rsidR="000F2258">
        <w:rPr>
          <w:lang w:val="fr-CA"/>
        </w:rPr>
        <w:t xml:space="preserve"> </w:t>
      </w:r>
      <w:r w:rsidR="000F2258" w:rsidRPr="002F5A3C">
        <w:rPr>
          <w:lang w:val="fr-CA"/>
        </w:rPr>
        <w:t>147).</w:t>
      </w:r>
    </w:p>
    <w:p w:rsidR="000F2258" w:rsidRPr="002F5A3C" w:rsidRDefault="000F2258" w:rsidP="000F2258">
      <w:pPr>
        <w:pStyle w:val="ParaNoNdepar-AltN"/>
        <w:rPr>
          <w:rFonts w:cs="Times New Roman"/>
          <w:lang w:val="fr-CA"/>
        </w:rPr>
      </w:pPr>
      <w:r w:rsidRPr="002F5A3C">
        <w:rPr>
          <w:rFonts w:cs="Times New Roman"/>
          <w:lang w:val="fr-CA"/>
        </w:rPr>
        <w:lastRenderedPageBreak/>
        <w:t>La plupart des critiques de la province à l’égard des conclusions de fait du juge de première instance reposent sur la thèse erronée voulant que le titre ancestral s’attache uniquement à des secteurs spécifiques occupés intensivement.  La préoccupation que suscite la petite taille de la population des Tsilhqot’in en 1846 n’a de sens que si l’on adopte le critère étroit de l’occupation intensive et que l’on ne tient pas compte de la nature du territoire en question, un territoire montagneux qui n’aurait pas pu assurer la subsistance d’une population beaucoup plus importante.  De même, l’allégation selon laquelle le juge de première instance aurait omis d’identifier certains secteurs avec précision n’a de sens que si l’on adopte le critère étroit de l’occupation intensive.  Les autres critiques ne servent qu’à souligner le caractère contradictoire de la preuve.  Il appartenait au juge de première instance de faire la part des éléments de preuve contradictoires et de tirer des conclusions de fait.  La présence d’éléments de preuve contradictoires ne démontre pas l’existence d’une erreur manifeste et dominante.</w:t>
      </w:r>
    </w:p>
    <w:p w:rsidR="000F2258" w:rsidRPr="002F5A3C" w:rsidRDefault="000F2258" w:rsidP="000F2258">
      <w:pPr>
        <w:pStyle w:val="ParaNoNdepar-AltN"/>
        <w:rPr>
          <w:rFonts w:cs="Times New Roman"/>
          <w:lang w:val="fr-CA"/>
        </w:rPr>
      </w:pPr>
      <w:r w:rsidRPr="002F5A3C">
        <w:rPr>
          <w:rFonts w:cs="Times New Roman"/>
          <w:lang w:val="fr-CA"/>
        </w:rPr>
        <w:t xml:space="preserve">La province n’a pas démontré que les conclusions du juge de première instance ne sont pas étayées par la preuve ou qu’elles sont autrement erronées.  Elle n’a pas non plus démontré que ses conclusions étaient arbitraires ou manquaient de précision.  Le juge de première instance avait la tâche colossale de tirer des conclusions à partir d’une quantité énorme d’éléments de preuve produits au cours d’un procès de 339 jours étalé sur une période de cinq ans.  Une grande partie de la preuve était historique et donc, de par sa nature, parfois imprécise.  Le juge de première instance a passé de longues périodes de temps dans le territoire revendiqué en compagnie de témoins et a entendu des témoignages sur la façon dont différents secteurs étaient </w:t>
      </w:r>
      <w:r w:rsidRPr="002F5A3C">
        <w:rPr>
          <w:rFonts w:cs="Times New Roman"/>
          <w:lang w:val="fr-CA"/>
        </w:rPr>
        <w:lastRenderedPageBreak/>
        <w:t>utilisés.  En l’absence d’une erreur manifeste, ses conclusions ne devraient pas être modifiées.</w:t>
      </w:r>
    </w:p>
    <w:p w:rsidR="000F2258" w:rsidRPr="002F5A3C" w:rsidRDefault="000F2258" w:rsidP="000F2258">
      <w:pPr>
        <w:pStyle w:val="ParaNoNdepar-AltN"/>
        <w:rPr>
          <w:rFonts w:cs="Times New Roman"/>
          <w:lang w:val="fr-CA"/>
        </w:rPr>
      </w:pPr>
      <w:r w:rsidRPr="002F5A3C">
        <w:rPr>
          <w:rFonts w:cs="Times New Roman"/>
          <w:lang w:val="fr-CA"/>
        </w:rPr>
        <w:t>Cela étant dit, j’ai accepté la proposition de la province d’examiner les cartes et les éléments de preuve et d’apprécier les conclusions du juge de première instance au sujet des secteurs auxquels devrait s’appliquer un jugement déclarant l’existence d’un titre ancestral.</w:t>
      </w:r>
      <w:r>
        <w:rPr>
          <w:rFonts w:cs="Times New Roman"/>
          <w:lang w:val="fr-CA"/>
        </w:rPr>
        <w:t xml:space="preserve"> </w:t>
      </w:r>
      <w:r w:rsidRPr="002F5A3C">
        <w:rPr>
          <w:rFonts w:cs="Times New Roman"/>
          <w:lang w:val="fr-CA"/>
        </w:rPr>
        <w:t xml:space="preserve"> Par souci de clarté, je joins en annexe une carte qui montre les divers territoires et la façon dont le juge de première instance les a considérés (Annexe; voir </w:t>
      </w:r>
      <w:r w:rsidR="00377035">
        <w:rPr>
          <w:rFonts w:cs="Times New Roman"/>
          <w:lang w:val="fr-CA"/>
        </w:rPr>
        <w:t xml:space="preserve">l’annexe « A » du </w:t>
      </w:r>
      <w:r w:rsidRPr="002F5A3C">
        <w:rPr>
          <w:rFonts w:cs="Times New Roman"/>
          <w:lang w:val="fr-CA"/>
        </w:rPr>
        <w:t xml:space="preserve">mémoire de l’appelant).  Les limites territoriales définies par le juge de première instance et ses conclusions quant au titre ancestral semblent logiques et entièrement étayées par la preuve.  </w:t>
      </w:r>
    </w:p>
    <w:p w:rsidR="000F2258" w:rsidRPr="002F5A3C" w:rsidRDefault="000F2258" w:rsidP="000F2258">
      <w:pPr>
        <w:pStyle w:val="ParaNoNdepar-AltN"/>
        <w:rPr>
          <w:rFonts w:cs="Times New Roman"/>
          <w:lang w:val="fr-CA"/>
        </w:rPr>
      </w:pPr>
      <w:r w:rsidRPr="002F5A3C">
        <w:rPr>
          <w:rFonts w:cs="Times New Roman"/>
          <w:lang w:val="fr-CA"/>
        </w:rPr>
        <w:t xml:space="preserve">Le juge de première instance a divisé le territoire revendiqué en </w:t>
      </w:r>
      <w:r w:rsidR="007B537E">
        <w:rPr>
          <w:rFonts w:cs="Times New Roman"/>
          <w:lang w:val="fr-CA"/>
        </w:rPr>
        <w:t xml:space="preserve">six </w:t>
      </w:r>
      <w:r w:rsidRPr="002F5A3C">
        <w:rPr>
          <w:rFonts w:cs="Times New Roman"/>
          <w:lang w:val="fr-CA"/>
        </w:rPr>
        <w:t xml:space="preserve"> régions et a ensuite examiné de nombreux sites à l’intérieur de chaque région.  Il a examiné des éléments de preuve archéologique et historique ainsi que les récits oraux des aînés autochtones faisant état de ces sites.  À certains de ces sites, bien que la preuve donnait à penser que les Tsilhqot’in y avaient été présents, il a conclu que la preuve ne permettait pas d’établir une occupation régulière et exclusive.  À d’autres sites, il a estimé que la preuve établissait une telle occupation.  Après avoir examiné un grand nombre de sites, le juge de première instance a pu inférer les limites à l’intérieur desquelles les Tsilhqot’in occupaient régulièrement et exclusivement le territoire.  En procédant de cette façon, le juge de première instance n’a commis aucune erreur.  </w:t>
      </w:r>
    </w:p>
    <w:p w:rsidR="000F2258" w:rsidRPr="002F5A3C" w:rsidRDefault="000F2258" w:rsidP="000F2258">
      <w:pPr>
        <w:pStyle w:val="ParaNoNdepar-AltN"/>
        <w:rPr>
          <w:rFonts w:cs="Times New Roman"/>
          <w:lang w:val="fr-CA"/>
        </w:rPr>
      </w:pPr>
      <w:r w:rsidRPr="002F5A3C">
        <w:rPr>
          <w:rFonts w:cs="Times New Roman"/>
          <w:lang w:val="fr-CA"/>
        </w:rPr>
        <w:t xml:space="preserve">La province critique également le juge de première instance parce qu’il a donné son avis sur des terres qui se trouvent à l’extérieur du territoire revendiqué.  </w:t>
      </w:r>
      <w:r w:rsidRPr="002F5A3C">
        <w:rPr>
          <w:rFonts w:cs="Times New Roman"/>
          <w:lang w:val="fr-CA"/>
        </w:rPr>
        <w:lastRenderedPageBreak/>
        <w:t>Selon la province, cela outrepassait le mandat d’un juge de première instance</w:t>
      </w:r>
      <w:r w:rsidR="00C035D0">
        <w:rPr>
          <w:rFonts w:cs="Times New Roman"/>
          <w:lang w:val="fr-CA"/>
        </w:rPr>
        <w:t>,</w:t>
      </w:r>
      <w:r w:rsidRPr="002F5A3C">
        <w:rPr>
          <w:rFonts w:cs="Times New Roman"/>
          <w:lang w:val="fr-CA"/>
        </w:rPr>
        <w:t xml:space="preserve"> qui doit se prononcer seulement sur les questions soulevées</w:t>
      </w:r>
      <w:r w:rsidR="00C035D0">
        <w:rPr>
          <w:rFonts w:cs="Times New Roman"/>
          <w:lang w:val="fr-CA"/>
        </w:rPr>
        <w:t>.</w:t>
      </w:r>
    </w:p>
    <w:p w:rsidR="000F2258" w:rsidRPr="002F5A3C" w:rsidRDefault="000F2258" w:rsidP="000F2258">
      <w:pPr>
        <w:pStyle w:val="ParaNoNdepar-AltN"/>
        <w:rPr>
          <w:rFonts w:cs="Times New Roman"/>
          <w:lang w:val="fr-CA"/>
        </w:rPr>
      </w:pPr>
      <w:r w:rsidRPr="002F5A3C">
        <w:rPr>
          <w:rFonts w:cs="Times New Roman"/>
          <w:lang w:val="fr-CA"/>
        </w:rPr>
        <w:t xml:space="preserve">À mon avis, cette critique est inappropriée.  Il est évident qu’aucun jugement déclarant l’existence d’un titre n’aurait pu être rendu à l’égard de terres se trouvant à l’extérieur du territoire revendiqué.  Les commentaires du juge de première instance à propos de secteurs non revendiqués n’étaient pas de la nature d’une décision, mais visaient simplement à fournir des pistes pour de futures négociations relatives aux revendications territoriales.  Après avoir examiné la preuve et en avoir tiré des conclusions, il était logique, sur les plans économique et pratique, que le juge de première instance donne son opinion aux parties.  De plus, ainsi que je l’ai fait remarquer lorsque je me suis penchée sur l’approche qu’il convient d’adopter à l’égard des actes de procédure dans les cas où un titre ancestral est en cause, ces affaires soulèvent des considérations particulières.  Souvent, la portée d’une revendication ne peut être établie avec précision au début des procédures.  La situation s’éclaircit au fur et à mesure que les éléments de preuve se dégagent sur une période qui peut être longue.  Si, à la fin du processus, les limites de la revendication initiale et les limites établies suivant la preuve sont différentes, il ne faudrait pas reprocher au juge de première instance de le souligner.   </w:t>
      </w:r>
    </w:p>
    <w:p w:rsidR="000F2258" w:rsidRPr="002F5A3C" w:rsidRDefault="000F2258" w:rsidP="000F2258">
      <w:pPr>
        <w:pStyle w:val="ParaNoNdepar-AltN"/>
        <w:rPr>
          <w:rFonts w:cs="Times New Roman"/>
          <w:lang w:val="fr-CA"/>
        </w:rPr>
      </w:pPr>
      <w:r w:rsidRPr="002F5A3C">
        <w:rPr>
          <w:rFonts w:cs="Times New Roman"/>
          <w:lang w:val="fr-CA"/>
        </w:rPr>
        <w:t>J’estime que le juge de première instance a eu raison de conclure que l’occupation des Tsilhqot’in était suffisante et exclusive au moment de l’affirmation de la souveraineté.  Il y avait amplement d’éléments de preuve démontrant une occupation antérieure à l’affirmation de la souveraineté, et cette preuve était renforcée par des éléments de preuve démontrant une occupation continue plus récente.</w:t>
      </w:r>
    </w:p>
    <w:p w:rsidR="000F2258" w:rsidRPr="002F5A3C" w:rsidRDefault="000F2258" w:rsidP="000F2258">
      <w:pPr>
        <w:pStyle w:val="Title1LevelTitre1Niveau-AltL"/>
        <w:outlineLvl w:val="0"/>
        <w:rPr>
          <w:rFonts w:cs="Times New Roman"/>
          <w:lang w:val="fr-CA"/>
        </w:rPr>
      </w:pPr>
      <w:bookmarkStart w:id="22" w:name="_Toc389497750"/>
      <w:bookmarkStart w:id="23" w:name="_Toc391446172"/>
      <w:r w:rsidRPr="002F5A3C">
        <w:rPr>
          <w:rFonts w:cs="Times New Roman"/>
          <w:lang w:val="fr-CA"/>
        </w:rPr>
        <w:lastRenderedPageBreak/>
        <w:t>Quels droits confère le titre ancestral?</w:t>
      </w:r>
      <w:bookmarkEnd w:id="22"/>
      <w:bookmarkEnd w:id="23"/>
    </w:p>
    <w:p w:rsidR="000F2258" w:rsidRPr="002F5A3C" w:rsidRDefault="000F2258" w:rsidP="000F2258">
      <w:pPr>
        <w:pStyle w:val="ParaNoNdepar-AltN"/>
        <w:rPr>
          <w:rFonts w:cs="Times New Roman"/>
          <w:lang w:val="fr-CA"/>
        </w:rPr>
      </w:pPr>
      <w:r w:rsidRPr="002F5A3C">
        <w:rPr>
          <w:rFonts w:cs="Times New Roman"/>
          <w:lang w:val="fr-CA"/>
        </w:rPr>
        <w:t xml:space="preserve">Je le rappelle, l’arrêt </w:t>
      </w:r>
      <w:r w:rsidRPr="002F5A3C">
        <w:rPr>
          <w:rFonts w:cs="Times New Roman"/>
          <w:i/>
          <w:lang w:val="fr-CA"/>
        </w:rPr>
        <w:t>Delgamuukw</w:t>
      </w:r>
      <w:r w:rsidRPr="002F5A3C">
        <w:rPr>
          <w:rFonts w:cs="Times New Roman"/>
          <w:lang w:val="fr-CA"/>
        </w:rPr>
        <w:t xml:space="preserve"> établit que le titre ancestral </w:t>
      </w:r>
      <w:r>
        <w:rPr>
          <w:rFonts w:cs="Times New Roman"/>
          <w:lang w:val="fr-CA"/>
        </w:rPr>
        <w:t>« </w:t>
      </w:r>
      <w:r w:rsidRPr="002F5A3C">
        <w:rPr>
          <w:rFonts w:cs="Times New Roman"/>
          <w:lang w:val="fr-CA"/>
        </w:rPr>
        <w:t>comprend le droit d’utiliser et d’occuper de façon exclusive les terres détenues en vertu de ce titre pour diverses fins</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117), y compris des fins non traditionnelles, dans la mesure où ces utilisations peuvent se concilier avec la nature collective et continue de l’attachement qu’a le groupe pour le territoire visé.  Sous réserve de cette limite intrinsèque, le groupe qui détient le titre a le droit de choisir les utilisations qui sont faites de ces terres et de bénéficier des avantages économiques qu’elles procurent (par.</w:t>
      </w:r>
      <w:r>
        <w:rPr>
          <w:rFonts w:cs="Times New Roman"/>
          <w:lang w:val="fr-CA"/>
        </w:rPr>
        <w:t xml:space="preserve"> </w:t>
      </w:r>
      <w:r w:rsidRPr="002F5A3C">
        <w:rPr>
          <w:rFonts w:cs="Times New Roman"/>
          <w:lang w:val="fr-CA"/>
        </w:rPr>
        <w:t xml:space="preserve">166). </w:t>
      </w:r>
    </w:p>
    <w:p w:rsidR="000F2258" w:rsidRPr="002F5A3C" w:rsidRDefault="000F2258" w:rsidP="000F2258">
      <w:pPr>
        <w:pStyle w:val="ParaNoNdepar-AltN"/>
        <w:rPr>
          <w:rFonts w:cs="Times New Roman"/>
          <w:lang w:val="fr-CA"/>
        </w:rPr>
      </w:pPr>
      <w:r w:rsidRPr="002F5A3C">
        <w:rPr>
          <w:rFonts w:cs="Times New Roman"/>
          <w:lang w:val="fr-CA"/>
        </w:rPr>
        <w:t>Je vais d’abord examiner la qualification juridique du titre ancestral.</w:t>
      </w:r>
      <w:r>
        <w:rPr>
          <w:rFonts w:cs="Times New Roman"/>
          <w:lang w:val="fr-CA"/>
        </w:rPr>
        <w:t xml:space="preserve"> </w:t>
      </w:r>
      <w:r w:rsidRPr="002F5A3C">
        <w:rPr>
          <w:rFonts w:cs="Times New Roman"/>
          <w:lang w:val="fr-CA"/>
        </w:rPr>
        <w:t xml:space="preserve"> J’exposerai ensuite mes observations sur ce que le titre ancestral confère à ses titulaires et sur les limites auxquelles il est assujetti. </w:t>
      </w:r>
    </w:p>
    <w:p w:rsidR="000F2258" w:rsidRPr="002F5A3C" w:rsidRDefault="000F2258" w:rsidP="000F2258">
      <w:pPr>
        <w:pStyle w:val="Title2LevelTitre2Niveau"/>
        <w:outlineLvl w:val="1"/>
        <w:rPr>
          <w:rFonts w:cs="Times New Roman"/>
          <w:lang w:val="fr-CA"/>
        </w:rPr>
      </w:pPr>
      <w:bookmarkStart w:id="24" w:name="_Toc389497751"/>
      <w:bookmarkStart w:id="25" w:name="_Toc391446173"/>
      <w:r w:rsidRPr="002F5A3C">
        <w:rPr>
          <w:rFonts w:cs="Times New Roman"/>
          <w:lang w:val="fr-CA"/>
        </w:rPr>
        <w:t>La qualification juridique du titre ancestral</w:t>
      </w:r>
      <w:bookmarkEnd w:id="24"/>
      <w:bookmarkEnd w:id="25"/>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 xml:space="preserve">Le point de départ de la qualification de la nature juridique du titre ancestral est le jugement concordant du juge Dickson dans l’arrêt </w:t>
      </w:r>
      <w:r w:rsidRPr="002F5A3C">
        <w:rPr>
          <w:rFonts w:cs="Times New Roman"/>
          <w:i/>
          <w:lang w:val="fr-CA"/>
        </w:rPr>
        <w:t>Guerin</w:t>
      </w:r>
      <w:r w:rsidRPr="002F5A3C">
        <w:rPr>
          <w:rFonts w:cs="Times New Roman"/>
          <w:lang w:val="fr-CA"/>
        </w:rPr>
        <w:t>, dont il est question précédemment.  Au moment de l’affirmation de la souveraineté européenne, la Couronne a acquis un titre absolu ou sous</w:t>
      </w:r>
      <w:r>
        <w:rPr>
          <w:rFonts w:cs="Times New Roman"/>
          <w:lang w:val="fr-CA"/>
        </w:rPr>
        <w:t>-</w:t>
      </w:r>
      <w:r w:rsidRPr="002F5A3C">
        <w:rPr>
          <w:rFonts w:cs="Times New Roman"/>
          <w:lang w:val="fr-CA"/>
        </w:rPr>
        <w:t xml:space="preserve">jacent sur toutes les terres de la province.  Ce titre était toutefois grevé des droits préexistants des peuples autochtones qui occupaient et utilisaient les terres avant l’arrivée des Européens.  La doctrine de la </w:t>
      </w:r>
      <w:r w:rsidRPr="002F5A3C">
        <w:rPr>
          <w:rFonts w:cs="Times New Roman"/>
          <w:i/>
          <w:lang w:val="fr-CA"/>
        </w:rPr>
        <w:t xml:space="preserve">terra nullius </w:t>
      </w:r>
      <w:r w:rsidRPr="002F5A3C">
        <w:rPr>
          <w:rFonts w:cs="Times New Roman"/>
          <w:lang w:val="fr-CA"/>
        </w:rPr>
        <w:t xml:space="preserve">(selon laquelle nul ne possédait la terre avant l’affirmation de la souveraineté européenne) ne s’est jamais appliquée au Canada, comme l’a confirmé la </w:t>
      </w:r>
      <w:r w:rsidRPr="002F5A3C">
        <w:rPr>
          <w:rFonts w:cs="Times New Roman"/>
          <w:i/>
          <w:lang w:val="fr-CA"/>
        </w:rPr>
        <w:t xml:space="preserve">Proclamation royale </w:t>
      </w:r>
      <w:r w:rsidRPr="007B537E">
        <w:rPr>
          <w:rFonts w:cs="Times New Roman"/>
          <w:lang w:val="fr-CA"/>
        </w:rPr>
        <w:t>de 1763</w:t>
      </w:r>
      <w:r w:rsidRPr="002F5A3C">
        <w:rPr>
          <w:rFonts w:cs="Times New Roman"/>
          <w:lang w:val="fr-CA"/>
        </w:rPr>
        <w:t>.  Le droit des Autochtones sur les terres qui grève le titre sous</w:t>
      </w:r>
      <w:r>
        <w:rPr>
          <w:rFonts w:cs="Times New Roman"/>
          <w:lang w:val="fr-CA"/>
        </w:rPr>
        <w:t>-</w:t>
      </w:r>
      <w:r w:rsidR="00C035D0">
        <w:rPr>
          <w:rFonts w:cs="Times New Roman"/>
          <w:lang w:val="fr-CA"/>
        </w:rPr>
        <w:t xml:space="preserve">jacent de </w:t>
      </w:r>
      <w:r w:rsidR="00C035D0">
        <w:rPr>
          <w:rFonts w:cs="Times New Roman"/>
          <w:lang w:val="fr-CA"/>
        </w:rPr>
        <w:lastRenderedPageBreak/>
        <w:t>la Couronne</w:t>
      </w:r>
      <w:r w:rsidRPr="002F5A3C">
        <w:rPr>
          <w:rFonts w:cs="Times New Roman"/>
          <w:lang w:val="fr-CA"/>
        </w:rPr>
        <w:t xml:space="preserve"> a une existence juridique indépendante qui donne naissance à une obligation fiduciaire de la part de la Couronne.  </w:t>
      </w:r>
    </w:p>
    <w:p w:rsidR="000F2258" w:rsidRPr="002F5A3C" w:rsidRDefault="000F2258" w:rsidP="000F2258">
      <w:pPr>
        <w:pStyle w:val="ParaNoNdepar-AltN"/>
        <w:rPr>
          <w:rFonts w:cs="Times New Roman"/>
          <w:lang w:val="fr-CA"/>
        </w:rPr>
      </w:pPr>
      <w:r w:rsidRPr="002F5A3C">
        <w:rPr>
          <w:rFonts w:cs="Times New Roman"/>
          <w:lang w:val="fr-CA"/>
        </w:rPr>
        <w:t>Le contenu du titre sous</w:t>
      </w:r>
      <w:r>
        <w:rPr>
          <w:rFonts w:cs="Times New Roman"/>
          <w:lang w:val="fr-CA"/>
        </w:rPr>
        <w:t>-</w:t>
      </w:r>
      <w:r w:rsidRPr="002F5A3C">
        <w:rPr>
          <w:rFonts w:cs="Times New Roman"/>
          <w:lang w:val="fr-CA"/>
        </w:rPr>
        <w:t>jacent de la Couronne est ce qui reste après la soustraction du titre ancestral</w:t>
      </w:r>
      <w:r>
        <w:rPr>
          <w:rFonts w:cs="Times New Roman"/>
          <w:lang w:val="fr-CA"/>
        </w:rPr>
        <w:t> :</w:t>
      </w:r>
      <w:r w:rsidRPr="002F5A3C">
        <w:rPr>
          <w:rFonts w:cs="Times New Roman"/>
          <w:lang w:val="fr-CA"/>
        </w:rPr>
        <w:t xml:space="preserve"> art.</w:t>
      </w:r>
      <w:r>
        <w:rPr>
          <w:rFonts w:cs="Times New Roman"/>
          <w:lang w:val="fr-CA"/>
        </w:rPr>
        <w:t xml:space="preserve"> </w:t>
      </w:r>
      <w:r w:rsidRPr="002F5A3C">
        <w:rPr>
          <w:rFonts w:cs="Times New Roman"/>
          <w:lang w:val="fr-CA"/>
        </w:rPr>
        <w:t xml:space="preserve">109 de la </w:t>
      </w:r>
      <w:r w:rsidRPr="002F5A3C">
        <w:rPr>
          <w:rFonts w:cs="Times New Roman"/>
          <w:i/>
          <w:lang w:val="fr-CA"/>
        </w:rPr>
        <w:t>Loi constitutionnelle de 1867</w:t>
      </w:r>
      <w:r w:rsidRPr="002F5A3C">
        <w:rPr>
          <w:rFonts w:cs="Times New Roman"/>
          <w:lang w:val="fr-CA"/>
        </w:rPr>
        <w:t xml:space="preserve">; </w:t>
      </w:r>
      <w:r w:rsidRPr="002F5A3C">
        <w:rPr>
          <w:rFonts w:cs="Times New Roman"/>
          <w:i/>
          <w:lang w:val="fr-CA"/>
        </w:rPr>
        <w:t>Delgamuukw</w:t>
      </w:r>
      <w:r w:rsidRPr="002F5A3C">
        <w:rPr>
          <w:rFonts w:cs="Times New Roman"/>
          <w:lang w:val="fr-CA"/>
        </w:rPr>
        <w:t xml:space="preserve">.  Comme nous l’avons déjà vu, l’arrêt </w:t>
      </w:r>
      <w:r w:rsidRPr="002F5A3C">
        <w:rPr>
          <w:rFonts w:cs="Times New Roman"/>
          <w:i/>
          <w:lang w:val="fr-CA"/>
        </w:rPr>
        <w:t xml:space="preserve">Delgamuukw </w:t>
      </w:r>
      <w:r w:rsidRPr="002F5A3C">
        <w:rPr>
          <w:rFonts w:cs="Times New Roman"/>
          <w:lang w:val="fr-CA"/>
        </w:rPr>
        <w:t xml:space="preserve">établit que le titre ancestral accorde </w:t>
      </w:r>
      <w:r>
        <w:rPr>
          <w:rFonts w:cs="Times New Roman"/>
          <w:lang w:val="fr-CA"/>
        </w:rPr>
        <w:t>« </w:t>
      </w:r>
      <w:r w:rsidRPr="002F5A3C">
        <w:rPr>
          <w:rFonts w:cs="Times New Roman"/>
          <w:lang w:val="fr-CA"/>
        </w:rPr>
        <w:t>le droit d’utiliser et d’occuper de façon exclusive les terres détenues en vertu de ce titre pour diverses fins</w:t>
      </w:r>
      <w:r>
        <w:rPr>
          <w:rFonts w:cs="Times New Roman"/>
          <w:lang w:val="fr-CA"/>
        </w:rPr>
        <w:t> »</w:t>
      </w:r>
      <w:r w:rsidRPr="002F5A3C">
        <w:rPr>
          <w:rFonts w:cs="Times New Roman"/>
          <w:lang w:val="fr-CA"/>
        </w:rPr>
        <w:t xml:space="preserve">, lesquelles ne se limitent pas aux utilisations traditionnelles ou </w:t>
      </w:r>
      <w:r>
        <w:rPr>
          <w:rFonts w:cs="Times New Roman"/>
          <w:lang w:val="fr-CA"/>
        </w:rPr>
        <w:t>« </w:t>
      </w:r>
      <w:r w:rsidRPr="002F5A3C">
        <w:rPr>
          <w:rFonts w:cs="Times New Roman"/>
          <w:lang w:val="fr-CA"/>
        </w:rPr>
        <w:t>distinctives</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117).  Autrement dit, le titre ancestral est un intérêt bénéficiaire sur les terres</w:t>
      </w:r>
      <w:r>
        <w:rPr>
          <w:rFonts w:cs="Times New Roman"/>
          <w:lang w:val="fr-CA"/>
        </w:rPr>
        <w:t> :</w:t>
      </w:r>
      <w:r w:rsidRPr="002F5A3C">
        <w:rPr>
          <w:rFonts w:cs="Times New Roman"/>
          <w:lang w:val="fr-CA"/>
        </w:rPr>
        <w:t xml:space="preserve"> </w:t>
      </w:r>
      <w:r w:rsidRPr="002F5A3C">
        <w:rPr>
          <w:rFonts w:cs="Times New Roman"/>
          <w:i/>
          <w:lang w:val="fr-CA"/>
        </w:rPr>
        <w:t>Guerin</w:t>
      </w:r>
      <w:r w:rsidRPr="002F5A3C">
        <w:rPr>
          <w:rFonts w:cs="Times New Roman"/>
          <w:lang w:val="fr-CA"/>
        </w:rPr>
        <w:t>,</w:t>
      </w:r>
      <w:r w:rsidRPr="002F5A3C">
        <w:rPr>
          <w:rFonts w:cs="Times New Roman"/>
          <w:i/>
          <w:lang w:val="fr-CA"/>
        </w:rPr>
        <w:t xml:space="preserve"> </w:t>
      </w:r>
      <w:r w:rsidRPr="002F5A3C">
        <w:rPr>
          <w:rFonts w:cs="Times New Roman"/>
          <w:lang w:val="fr-CA"/>
        </w:rPr>
        <w:t>p.</w:t>
      </w:r>
      <w:r>
        <w:rPr>
          <w:rFonts w:cs="Times New Roman"/>
          <w:lang w:val="fr-CA"/>
        </w:rPr>
        <w:t xml:space="preserve"> </w:t>
      </w:r>
      <w:r w:rsidRPr="002F5A3C">
        <w:rPr>
          <w:rFonts w:cs="Times New Roman"/>
          <w:lang w:val="fr-CA"/>
        </w:rPr>
        <w:t>382.  En termes simples, les titulaires du titre ont droit aux avantages associés aux terres — de les utiliser, d’en jouir et de profiter de leur développement économique.  Par conséquent, la Couronne ne conserve pas un intérêt bénéficiaire sur les terres visées par un titre ancestral.</w:t>
      </w:r>
      <w:r>
        <w:rPr>
          <w:rFonts w:cs="Times New Roman"/>
          <w:lang w:val="fr-CA"/>
        </w:rPr>
        <w:t xml:space="preserve"> </w:t>
      </w:r>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Alors, que reste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il du titre absolu ou sous</w:t>
      </w:r>
      <w:r>
        <w:rPr>
          <w:rFonts w:cs="Times New Roman"/>
          <w:lang w:val="fr-CA"/>
        </w:rPr>
        <w:t>-</w:t>
      </w:r>
      <w:r w:rsidRPr="002F5A3C">
        <w:rPr>
          <w:rFonts w:cs="Times New Roman"/>
          <w:lang w:val="fr-CA"/>
        </w:rPr>
        <w:t xml:space="preserve">jacent de la Couronne sur les terres détenues en vertu d’un titre ancestral?  </w:t>
      </w:r>
      <w:r w:rsidR="00C035D0">
        <w:rPr>
          <w:rFonts w:cs="Times New Roman"/>
          <w:lang w:val="fr-CA"/>
        </w:rPr>
        <w:t xml:space="preserve">Il ressort de la doctrine et de la jurisprudence </w:t>
      </w:r>
      <w:r w:rsidRPr="002F5A3C">
        <w:rPr>
          <w:rFonts w:cs="Times New Roman"/>
          <w:lang w:val="fr-CA"/>
        </w:rPr>
        <w:t>deux éléments connexes — une obligation fiduciaire de la Couronne envers les Autochtones à l’égard des terres ancestrales et le droit de porter atteinte au titre ancestral si le gouvernement peut démontrer que l’atteinte est justifiée dans l’intérêt général du public en vertu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7B392E">
        <w:rPr>
          <w:rFonts w:cs="Times New Roman"/>
          <w:lang w:val="fr-CA"/>
        </w:rPr>
        <w:t>.</w:t>
      </w:r>
      <w:r w:rsidRPr="002F5A3C">
        <w:rPr>
          <w:rFonts w:cs="Times New Roman"/>
          <w:lang w:val="fr-CA"/>
        </w:rPr>
        <w:t xml:space="preserve">  Dans l’arrêt </w:t>
      </w:r>
      <w:r w:rsidRPr="002F5A3C">
        <w:rPr>
          <w:rFonts w:cs="Times New Roman"/>
          <w:i/>
          <w:lang w:val="fr-CA"/>
        </w:rPr>
        <w:t>Delgamuukw</w:t>
      </w:r>
      <w:r w:rsidRPr="002F5A3C">
        <w:rPr>
          <w:rFonts w:cs="Times New Roman"/>
          <w:lang w:val="fr-CA"/>
        </w:rPr>
        <w:t>, la Cour a dit qu’il s’agissait d’un processus de conciliation des intérêts autochtones et de l’intérêt général du public en vertu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lastRenderedPageBreak/>
        <w:t xml:space="preserve">Les caractéristiques du titre ancestral découlent de la relation particulière entre la Couronne et le groupe autochtone en question.  C’est cette relation qui rend le titre ancestral </w:t>
      </w:r>
      <w:r w:rsidRPr="002F5A3C">
        <w:rPr>
          <w:rFonts w:cs="Times New Roman"/>
          <w:i/>
          <w:lang w:val="fr-CA"/>
        </w:rPr>
        <w:t>sui generis</w:t>
      </w:r>
      <w:r w:rsidRPr="007B392E">
        <w:rPr>
          <w:rFonts w:cs="Times New Roman"/>
          <w:lang w:val="fr-CA"/>
        </w:rPr>
        <w:t>,</w:t>
      </w:r>
      <w:r w:rsidRPr="002F5A3C">
        <w:rPr>
          <w:rFonts w:cs="Times New Roman"/>
          <w:i/>
          <w:lang w:val="fr-CA"/>
        </w:rPr>
        <w:t xml:space="preserve"> </w:t>
      </w:r>
      <w:r w:rsidRPr="002F5A3C">
        <w:rPr>
          <w:rFonts w:cs="Times New Roman"/>
          <w:lang w:val="fr-CA"/>
        </w:rPr>
        <w:t>ou unique.  Le titre ancestral est ce qu’il est — le résultat unique de la relation historique entre la Couronne et le groupe autochtone en question.  Des analogies avec d’autres formes de propriété — par exemple, la propriété en fief simple — peuvent être utiles pour mieux comprendre certains aspects du titre ancestral.</w:t>
      </w:r>
      <w:r>
        <w:rPr>
          <w:rFonts w:cs="Times New Roman"/>
          <w:lang w:val="fr-CA"/>
        </w:rPr>
        <w:t xml:space="preserve"> </w:t>
      </w:r>
      <w:r w:rsidRPr="002F5A3C">
        <w:rPr>
          <w:rFonts w:cs="Times New Roman"/>
          <w:lang w:val="fr-CA"/>
        </w:rPr>
        <w:t xml:space="preserve"> Cependant, elles ne peuvent pas dicter précisément en quoi il consiste ou ne consiste pas.  Comme le juge La</w:t>
      </w:r>
      <w:r>
        <w:rPr>
          <w:rFonts w:cs="Times New Roman"/>
          <w:lang w:val="fr-CA"/>
        </w:rPr>
        <w:t xml:space="preserve"> </w:t>
      </w:r>
      <w:r w:rsidRPr="002F5A3C">
        <w:rPr>
          <w:rFonts w:cs="Times New Roman"/>
          <w:lang w:val="fr-CA"/>
        </w:rPr>
        <w:t xml:space="preserve">Forest l’a indiqué dans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 xml:space="preserve">190, le titre ancestral </w:t>
      </w:r>
      <w:r>
        <w:rPr>
          <w:rFonts w:cs="Times New Roman"/>
          <w:lang w:val="fr-CA"/>
        </w:rPr>
        <w:t>« </w:t>
      </w:r>
      <w:r w:rsidRPr="002F5A3C">
        <w:rPr>
          <w:rFonts w:cs="Times New Roman"/>
          <w:lang w:val="fr-CA"/>
        </w:rPr>
        <w:t>n’équivaut pas à la propriété en fief simple et il ne peut pas non plus être décrit au moyen des concepts traditionnels du droit des biens</w:t>
      </w:r>
      <w:r>
        <w:rPr>
          <w:rFonts w:cs="Times New Roman"/>
          <w:lang w:val="fr-CA"/>
        </w:rPr>
        <w:t> »</w:t>
      </w:r>
      <w:r w:rsidRPr="002F5A3C">
        <w:rPr>
          <w:rFonts w:cs="Times New Roman"/>
          <w:lang w:val="fr-CA"/>
        </w:rPr>
        <w:t xml:space="preserve">. </w:t>
      </w:r>
    </w:p>
    <w:p w:rsidR="000F2258" w:rsidRPr="002F5A3C" w:rsidRDefault="000F2258" w:rsidP="000F2258">
      <w:pPr>
        <w:pStyle w:val="Title2LevelTitre2Niveau"/>
        <w:outlineLvl w:val="1"/>
        <w:rPr>
          <w:rFonts w:cs="Times New Roman"/>
          <w:lang w:val="fr-CA"/>
        </w:rPr>
      </w:pPr>
      <w:bookmarkStart w:id="26" w:name="_Toc389497752"/>
      <w:bookmarkStart w:id="27" w:name="_Toc391446174"/>
      <w:r w:rsidRPr="002F5A3C">
        <w:rPr>
          <w:rFonts w:cs="Times New Roman"/>
          <w:lang w:val="fr-CA"/>
        </w:rPr>
        <w:t>Les attributs du titre ancestral</w:t>
      </w:r>
      <w:bookmarkEnd w:id="26"/>
      <w:bookmarkEnd w:id="27"/>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 xml:space="preserve">Le titre ancestral confère des droits de propriété semblables à ceux associés à la propriété en fief simple, y compris le droit de déterminer l’utilisation des terres, le droit de jouissance et d’occupation des terres, le droit de posséder les terres, le droit aux avantages économiques que procurent les terres et le droit d’utiliser et de gérer les terres de manière proactive. </w:t>
      </w:r>
    </w:p>
    <w:p w:rsidR="000F2258" w:rsidRPr="002F5A3C" w:rsidRDefault="000F2258" w:rsidP="000F2258">
      <w:pPr>
        <w:pStyle w:val="ParaNoNdepar-AltN"/>
        <w:rPr>
          <w:rFonts w:cs="Times New Roman"/>
          <w:lang w:val="fr-CA"/>
        </w:rPr>
      </w:pPr>
      <w:r w:rsidRPr="002F5A3C">
        <w:rPr>
          <w:rFonts w:cs="Times New Roman"/>
          <w:lang w:val="fr-CA"/>
        </w:rPr>
        <w:t xml:space="preserve">Cependant, le titre ancestral comporte une restriction importante — il s’agit d’un titre collectif détenu non seulement pour la génération actuelle, mais pour toutes les générations futures.  Cela signifie qu’il ne peut pas être cédé, sauf à la Couronne, ni être grevé d’une façon qui empêcherait les générations futures du groupe d’utiliser les terres et d’en jouir.  Les terres ne peuvent pas non plus être aménagées ou utilisées d’une façon qui priverait de façon substantielle les générations futures de leur utilisation.  Il peut être possible d’apporter certaines modifications — même </w:t>
      </w:r>
      <w:r w:rsidRPr="002F5A3C">
        <w:rPr>
          <w:rFonts w:cs="Times New Roman"/>
          <w:lang w:val="fr-CA"/>
        </w:rPr>
        <w:lastRenderedPageBreak/>
        <w:t>permanentes — aux terres.  La question de savoir si une utilisation particulière est irréconciliable avec la possibilité pour les générations futures de bénéficier des terres constituera une question qu’il faudra trancher lorsqu’elle se posera.</w:t>
      </w:r>
    </w:p>
    <w:p w:rsidR="000F2258" w:rsidRPr="002F5A3C" w:rsidRDefault="000F2258" w:rsidP="000F2258">
      <w:pPr>
        <w:pStyle w:val="ParaNoNdepar-AltN"/>
        <w:rPr>
          <w:rFonts w:cs="Times New Roman"/>
          <w:lang w:val="fr-CA"/>
        </w:rPr>
      </w:pPr>
      <w:r w:rsidRPr="002F5A3C">
        <w:rPr>
          <w:rFonts w:cs="Times New Roman"/>
          <w:lang w:val="fr-CA"/>
        </w:rPr>
        <w:t>Les droits et restrictions afférents au titre ancestral découlent de l’intérêt que ce titre confère, intérêt qui découle à son tour de l’occupation autochtone à l’époque de la souveraineté européenne et qui grève le titre sous</w:t>
      </w:r>
      <w:r>
        <w:rPr>
          <w:rFonts w:cs="Times New Roman"/>
          <w:lang w:val="fr-CA"/>
        </w:rPr>
        <w:t>-</w:t>
      </w:r>
      <w:r w:rsidRPr="002F5A3C">
        <w:rPr>
          <w:rFonts w:cs="Times New Roman"/>
          <w:lang w:val="fr-CA"/>
        </w:rPr>
        <w:t>jacent revendiqué par la Couronne au moment de l’affirmation de la souveraineté.  Le titre ancestral postérieur à l’affirmation de la souveraineté reflète le fait que les Autochtones occupaient le territoire avant l’affirmation de la souveraineté, avec tous les attributs que constituent les droits d’utilisation et de jouissance qui existaient avant l’affirmation de la souveraineté et qui composaient le titre collectif détenu par les ancêtres du groupe revendicateur — notamment le droit de contrôler l’utilisation des terres.  Cependant, les utilisations ne se limitent pas aux utilisations et aux coutumes antérieures à l’affirmation de la souveraineté; tout comme les autres propriétaires fonciers, les titulaires du titre ancestral des temps modernes peuvent utiliser leurs terres de façon moderne, s’ils le veulent.</w:t>
      </w:r>
    </w:p>
    <w:p w:rsidR="000F2258" w:rsidRPr="002F5A3C" w:rsidRDefault="000F2258" w:rsidP="000F2258">
      <w:pPr>
        <w:pStyle w:val="ParaNoNdepar-AltN"/>
        <w:rPr>
          <w:rFonts w:cs="Times New Roman"/>
          <w:lang w:val="fr-CA"/>
        </w:rPr>
      </w:pPr>
      <w:r w:rsidRPr="002F5A3C">
        <w:rPr>
          <w:rFonts w:cs="Times New Roman"/>
          <w:lang w:val="fr-CA"/>
        </w:rPr>
        <w:t>Le droit de contrôler la terre que confère le titre ancestral signifie que les gouvernements et les autres personnes qui veulent utiliser les terres doivent obtenir le consentement des titulaires du titre ancestral.</w:t>
      </w:r>
      <w:r>
        <w:rPr>
          <w:rFonts w:cs="Times New Roman"/>
          <w:lang w:val="fr-CA"/>
        </w:rPr>
        <w:t xml:space="preserve"> </w:t>
      </w:r>
      <w:r w:rsidRPr="002F5A3C">
        <w:rPr>
          <w:rFonts w:cs="Times New Roman"/>
          <w:lang w:val="fr-CA"/>
        </w:rPr>
        <w:t xml:space="preserve"> Si le groupe autochtone ne consent pas à l’utilisation, le seul recours du gouvernement consiste à établir que l’utilisation proposée est justifiée en vertu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7B392E">
        <w:rPr>
          <w:rFonts w:cs="Times New Roman"/>
          <w:lang w:val="fr-CA"/>
        </w:rPr>
        <w:t>.</w:t>
      </w:r>
    </w:p>
    <w:p w:rsidR="000F2258" w:rsidRPr="002F5A3C" w:rsidRDefault="000F2258" w:rsidP="000F2258">
      <w:pPr>
        <w:pStyle w:val="Title2LevelTitre2Niveau"/>
        <w:outlineLvl w:val="1"/>
        <w:rPr>
          <w:rFonts w:cs="Times New Roman"/>
          <w:lang w:val="fr-CA"/>
        </w:rPr>
      </w:pPr>
      <w:bookmarkStart w:id="28" w:name="_Toc389497753"/>
      <w:bookmarkStart w:id="29" w:name="_Toc391446175"/>
      <w:r w:rsidRPr="002F5A3C">
        <w:rPr>
          <w:rFonts w:cs="Times New Roman"/>
          <w:lang w:val="fr-CA"/>
        </w:rPr>
        <w:t>La justification de l’atteinte</w:t>
      </w:r>
      <w:bookmarkEnd w:id="28"/>
      <w:bookmarkEnd w:id="29"/>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lastRenderedPageBreak/>
        <w:t>Pour justifier qu’il puisse passer outre aux volontés du groupe qui détient le titre ancestral au motif que l’atteinte sert l’intérêt général du public, le gouvernement doit établir</w:t>
      </w:r>
      <w:r>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qu’il s’est acquitté de son obligation procédurale de consultation et d’accommodement</w:t>
      </w:r>
      <w:r w:rsidR="007B392E">
        <w:rPr>
          <w:rFonts w:cs="Times New Roman"/>
          <w:lang w:val="fr-CA"/>
        </w:rPr>
        <w:t>;</w:t>
      </w:r>
      <w:r w:rsidRPr="002F5A3C">
        <w:rPr>
          <w:rFonts w:cs="Times New Roman"/>
          <w:lang w:val="fr-CA"/>
        </w:rPr>
        <w:t xml:space="preserve"> (2)</w:t>
      </w:r>
      <w:r>
        <w:rPr>
          <w:rFonts w:cs="Times New Roman"/>
          <w:lang w:val="fr-CA"/>
        </w:rPr>
        <w:t xml:space="preserve"> </w:t>
      </w:r>
      <w:r w:rsidRPr="002F5A3C">
        <w:rPr>
          <w:rFonts w:cs="Times New Roman"/>
          <w:lang w:val="fr-CA"/>
        </w:rPr>
        <w:t>que ses actes poursuivaient un objectif impérieux et réel</w:t>
      </w:r>
      <w:r w:rsidR="007B392E">
        <w:rPr>
          <w:rFonts w:cs="Times New Roman"/>
          <w:lang w:val="fr-CA"/>
        </w:rPr>
        <w:t>;</w:t>
      </w:r>
      <w:r w:rsidRPr="002F5A3C">
        <w:rPr>
          <w:rFonts w:cs="Times New Roman"/>
          <w:lang w:val="fr-CA"/>
        </w:rPr>
        <w:t xml:space="preserve"> et (3)</w:t>
      </w:r>
      <w:r>
        <w:rPr>
          <w:rFonts w:cs="Times New Roman"/>
          <w:lang w:val="fr-CA"/>
        </w:rPr>
        <w:t xml:space="preserve"> </w:t>
      </w:r>
      <w:r w:rsidRPr="002F5A3C">
        <w:rPr>
          <w:rFonts w:cs="Times New Roman"/>
          <w:lang w:val="fr-CA"/>
        </w:rPr>
        <w:t>que la mesure gouvernementale est compatible avec l’obligation fiduciaire qu’a la Couronne envers le groupe</w:t>
      </w:r>
      <w:r>
        <w:rPr>
          <w:rFonts w:cs="Times New Roman"/>
          <w:lang w:val="fr-CA"/>
        </w:rPr>
        <w:t> :</w:t>
      </w:r>
      <w:r w:rsidRPr="002F5A3C">
        <w:rPr>
          <w:rFonts w:cs="Times New Roman"/>
          <w:lang w:val="fr-CA"/>
        </w:rPr>
        <w:t xml:space="preserve"> </w:t>
      </w:r>
      <w:r w:rsidRPr="002F5A3C">
        <w:rPr>
          <w:rFonts w:cs="Times New Roman"/>
          <w:i/>
          <w:lang w:val="fr-CA"/>
        </w:rPr>
        <w:t>Sparrow</w:t>
      </w:r>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L’obligation de consultation est une obligation procédurale que fait naître l’honneur de la Couronne avant que l’existence du titre soit confirmée.  Lorsque la Couronne a connaissance, concrètement ou par imputation, de l’existence potentielle ou réelle du titre ancestral et qu’elle envisage une mesure susceptible d’avoir un effet préjudiciable sur ce titre, elle est tenue de consulter le groupe qui revendique le titre ancestral et, s’il y a lieu, de trouver des accommodements au droit ancestral.</w:t>
      </w:r>
      <w:r>
        <w:rPr>
          <w:rFonts w:cs="Times New Roman"/>
          <w:lang w:val="fr-CA"/>
        </w:rPr>
        <w:t xml:space="preserve"> </w:t>
      </w:r>
      <w:r w:rsidRPr="002F5A3C">
        <w:rPr>
          <w:rFonts w:cs="Times New Roman"/>
          <w:lang w:val="fr-CA"/>
        </w:rPr>
        <w:t xml:space="preserve"> L’obligation de consultation doit être respectée avant la prise de mesures pouvant avoir un effet préjudiciable sur le droit.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L’obligation de consultation et d’accommodement se situe à l’intérieur d’un continuum, comme il en a été question dans l’arrêt </w:t>
      </w:r>
      <w:r w:rsidRPr="002F5A3C">
        <w:rPr>
          <w:rFonts w:cs="Times New Roman"/>
          <w:i/>
          <w:lang w:val="fr-CA"/>
        </w:rPr>
        <w:t>Nation haïda</w:t>
      </w:r>
      <w:r w:rsidRPr="002F5A3C">
        <w:rPr>
          <w:rFonts w:cs="Times New Roman"/>
          <w:lang w:val="fr-CA"/>
        </w:rPr>
        <w:t xml:space="preserve">.  En général, le niveau de consultation et d’accommodement nécessaire est proportionnel à la solidité de la revendication et à la gravité de l’incidence négative que la mesure gouvernementale proposée aurait sur le droit revendiqué.  </w:t>
      </w:r>
      <w:r>
        <w:rPr>
          <w:rFonts w:cs="Times New Roman"/>
          <w:lang w:val="fr-CA"/>
        </w:rPr>
        <w:t>« </w:t>
      </w:r>
      <w:r w:rsidRPr="002F5A3C">
        <w:rPr>
          <w:rFonts w:cs="Times New Roman"/>
          <w:lang w:val="fr-CA"/>
        </w:rPr>
        <w:t>Une revendication douteuse ou marginale peut ne requérir qu’une simple obligation d’informer, alors qu’une revendication plus solide peut faire naître des obligations plus contraignantes</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 xml:space="preserve">37).  Le niveau de consultation et d’accommodement nécessaire est le plus élevé </w:t>
      </w:r>
      <w:r w:rsidRPr="002F5A3C">
        <w:rPr>
          <w:rFonts w:cs="Times New Roman"/>
          <w:lang w:val="fr-CA"/>
        </w:rPr>
        <w:lastRenderedPageBreak/>
        <w:t xml:space="preserve">lorsque l’existence du titre a été établie.  Lorsque la consultation ou l’accommodement est jugé insuffisant, la décision du gouvernement peut être suspendue ou annulée.  </w:t>
      </w:r>
    </w:p>
    <w:p w:rsidR="000F2258" w:rsidRPr="002F5A3C" w:rsidRDefault="000F2258" w:rsidP="000F2258">
      <w:pPr>
        <w:pStyle w:val="ParaNoNdepar-AltN"/>
        <w:rPr>
          <w:rFonts w:cs="Times New Roman"/>
          <w:lang w:val="fr-CA"/>
        </w:rPr>
      </w:pPr>
      <w:r w:rsidRPr="002F5A3C">
        <w:rPr>
          <w:rFonts w:cs="Times New Roman"/>
          <w:lang w:val="fr-CA"/>
        </w:rPr>
        <w:t xml:space="preserve">Lorsque l’existence du titre ancestral n’est pas établie, l’honneur de la Couronne </w:t>
      </w:r>
      <w:r w:rsidR="00C035D0">
        <w:rPr>
          <w:rFonts w:cs="Times New Roman"/>
          <w:lang w:val="fr-CA"/>
        </w:rPr>
        <w:t xml:space="preserve">lui </w:t>
      </w:r>
      <w:r w:rsidRPr="002F5A3C">
        <w:rPr>
          <w:rFonts w:cs="Times New Roman"/>
          <w:lang w:val="fr-CA"/>
        </w:rPr>
        <w:t>impose une obligation procédurale de consultation et, s’il y a lieu, d’accommodement de l’intérêt autochtone non encore établi.  Par contre, lorsque l’existence du titre a été établie, la Couronne doit non seulement se conformer à ses obligations procédurales, mais doit aussi s’assurer que la mesure gouvernementale proposée est fondamentalement conforme aux exigences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Pour cela, le gouvernement doit poursuivre un objectif impérieux et réel et il doit démontrer que la mesure proposée est compatible avec l’obligation fiduciaire de la Couronne envers le groupe autochtone.</w:t>
      </w:r>
    </w:p>
    <w:p w:rsidR="000F2258" w:rsidRPr="002F5A3C" w:rsidRDefault="000F2258" w:rsidP="000F2258">
      <w:pPr>
        <w:pStyle w:val="ParaNoNdepar-AltN"/>
        <w:rPr>
          <w:rFonts w:cs="Times New Roman"/>
          <w:lang w:val="fr-CA"/>
        </w:rPr>
      </w:pPr>
      <w:r w:rsidRPr="002F5A3C">
        <w:rPr>
          <w:rFonts w:cs="Times New Roman"/>
          <w:lang w:val="fr-CA"/>
        </w:rPr>
        <w:t>Je conviens avec la Cour d’appel que l’objectif impérieux et réel du gouvernement doit être examiné du point de vue des Autochtones ainsi que du point de vue de l’intérêt général du public.  Comme il est indiqué au par.</w:t>
      </w:r>
      <w:r>
        <w:rPr>
          <w:rFonts w:cs="Times New Roman"/>
          <w:lang w:val="fr-CA"/>
        </w:rPr>
        <w:t xml:space="preserve"> 72 </w:t>
      </w:r>
      <w:r w:rsidRPr="002F5A3C">
        <w:rPr>
          <w:rFonts w:cs="Times New Roman"/>
          <w:lang w:val="fr-CA"/>
        </w:rPr>
        <w:t xml:space="preserve">de l’arrêt </w:t>
      </w:r>
      <w:r w:rsidRPr="002F5A3C">
        <w:rPr>
          <w:rFonts w:cs="Times New Roman"/>
          <w:i/>
          <w:lang w:val="fr-CA"/>
        </w:rPr>
        <w:t>Gladstone</w:t>
      </w:r>
      <w:r>
        <w:rPr>
          <w:rFonts w:cs="Times New Roman"/>
          <w:lang w:val="fr-CA"/>
        </w:rPr>
        <w:t> :</w:t>
      </w:r>
    </w:p>
    <w:p w:rsidR="000F2258" w:rsidRPr="002F5A3C" w:rsidRDefault="000F2258" w:rsidP="000F2258">
      <w:pPr>
        <w:pStyle w:val="Citation-AltC"/>
        <w:ind w:hanging="1166"/>
        <w:rPr>
          <w:u w:val="single"/>
          <w:lang w:val="fr-CA"/>
        </w:rPr>
      </w:pPr>
      <w:r w:rsidRPr="002F5A3C">
        <w:rPr>
          <w:lang w:val="fr-CA"/>
        </w:rPr>
        <w:tab/>
      </w:r>
      <w:r w:rsidR="007B392E">
        <w:rPr>
          <w:lang w:val="fr-CA"/>
        </w:rPr>
        <w:t xml:space="preserve">. . . </w:t>
      </w:r>
      <w:r w:rsidRPr="002F5A3C">
        <w:rPr>
          <w:lang w:val="fr-CA"/>
        </w:rPr>
        <w:t xml:space="preserve">sont considérés comme des objectifs impérieux et réels les objectifs visant soit la reconnaissance de l’occupation antérieure de l’Amérique du Nord par les peuples autochtones soit — et, à l’étape de la justification, ce genre d’objectifs pourrait bien être le plus pertinent — </w:t>
      </w:r>
      <w:r w:rsidRPr="002F5A3C">
        <w:rPr>
          <w:u w:val="single"/>
          <w:lang w:val="fr-CA"/>
        </w:rPr>
        <w:t>la conciliation de cette occupation avec l’affirmation par Sa Majesté de sa souveraineté sur ce territoire</w:t>
      </w:r>
      <w:r w:rsidRPr="002F5A3C">
        <w:rPr>
          <w:lang w:val="fr-CA"/>
        </w:rPr>
        <w:t>.  [Je souligne.]</w:t>
      </w:r>
    </w:p>
    <w:p w:rsidR="000F2258" w:rsidRPr="002F5A3C" w:rsidRDefault="000F2258" w:rsidP="000F2258">
      <w:pPr>
        <w:pStyle w:val="ParaNoNdepar-AltN"/>
        <w:rPr>
          <w:rFonts w:cs="Times New Roman"/>
          <w:lang w:val="fr-CA"/>
        </w:rPr>
      </w:pPr>
      <w:r w:rsidRPr="002F5A3C">
        <w:rPr>
          <w:rFonts w:cs="Times New Roman"/>
          <w:lang w:val="fr-CA"/>
        </w:rPr>
        <w:t xml:space="preserve">Comme l’explique la Cour dans l’arrêt </w:t>
      </w:r>
      <w:r w:rsidRPr="002F5A3C">
        <w:rPr>
          <w:rFonts w:cs="Times New Roman"/>
          <w:i/>
          <w:lang w:val="fr-CA"/>
        </w:rPr>
        <w:t>Delgamuukw</w:t>
      </w:r>
      <w:r w:rsidRPr="002F5A3C">
        <w:rPr>
          <w:rFonts w:cs="Times New Roman"/>
          <w:lang w:val="fr-CA"/>
        </w:rPr>
        <w:t xml:space="preserve">, le processus de conciliation des intérêts autochtones avec l’intérêt général de la société dans son ensemble constitue la raison d’être du principe de la justification.  Les Autochtones et </w:t>
      </w:r>
      <w:r w:rsidRPr="002F5A3C">
        <w:rPr>
          <w:rFonts w:cs="Times New Roman"/>
          <w:lang w:val="fr-CA"/>
        </w:rPr>
        <w:lastRenderedPageBreak/>
        <w:t>les non</w:t>
      </w:r>
      <w:r>
        <w:rPr>
          <w:rFonts w:cs="Times New Roman"/>
          <w:lang w:val="fr-CA"/>
        </w:rPr>
        <w:t>-</w:t>
      </w:r>
      <w:r w:rsidRPr="002F5A3C">
        <w:rPr>
          <w:rFonts w:cs="Times New Roman"/>
          <w:lang w:val="fr-CA"/>
        </w:rPr>
        <w:t xml:space="preserve">Autochtones sont </w:t>
      </w:r>
      <w:r>
        <w:rPr>
          <w:rFonts w:cs="Times New Roman"/>
          <w:lang w:val="fr-CA"/>
        </w:rPr>
        <w:t>« </w:t>
      </w:r>
      <w:r w:rsidRPr="002F5A3C">
        <w:rPr>
          <w:rFonts w:cs="Times New Roman"/>
          <w:lang w:val="fr-CA"/>
        </w:rPr>
        <w:t>tous ici pour y rester</w:t>
      </w:r>
      <w:r>
        <w:rPr>
          <w:rFonts w:cs="Times New Roman"/>
          <w:lang w:val="fr-CA"/>
        </w:rPr>
        <w:t> »</w:t>
      </w:r>
      <w:r w:rsidRPr="002F5A3C">
        <w:rPr>
          <w:rFonts w:cs="Times New Roman"/>
          <w:lang w:val="fr-CA"/>
        </w:rPr>
        <w:t xml:space="preserve"> et doivent forcément favoriser un processus de conciliation (par.</w:t>
      </w:r>
      <w:r>
        <w:rPr>
          <w:rFonts w:cs="Times New Roman"/>
          <w:lang w:val="fr-CA"/>
        </w:rPr>
        <w:t xml:space="preserve"> </w:t>
      </w:r>
      <w:r w:rsidRPr="002F5A3C">
        <w:rPr>
          <w:rFonts w:cs="Times New Roman"/>
          <w:lang w:val="fr-CA"/>
        </w:rPr>
        <w:t xml:space="preserve">186).  Pour constituer un objectif impérieux et réel, l’objectif général du public invoqué par le gouvernement doit poursuivre l’objectif de conciliation, compte tenu des intérêts autochtones et de l’objectif général du public.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Quels objectifs peuvent justifier une atteinte au titre ancestral?  Dans </w:t>
      </w:r>
      <w:r w:rsidRPr="002F5A3C">
        <w:rPr>
          <w:rFonts w:cs="Times New Roman"/>
          <w:i/>
          <w:lang w:val="fr-CA"/>
        </w:rPr>
        <w:t>Delgamuukw</w:t>
      </w:r>
      <w:r w:rsidRPr="002F5A3C">
        <w:rPr>
          <w:rFonts w:cs="Times New Roman"/>
          <w:lang w:val="fr-CA"/>
        </w:rPr>
        <w:t>, le juge en chef Lamer a fait les remarques suivantes au nom de la Cour</w:t>
      </w:r>
      <w:r>
        <w:rPr>
          <w:rFonts w:cs="Times New Roman"/>
          <w:lang w:val="fr-CA"/>
        </w:rPr>
        <w:t> :</w:t>
      </w:r>
    </w:p>
    <w:p w:rsidR="000F2258" w:rsidRPr="002F5A3C" w:rsidRDefault="000F2258" w:rsidP="000F2258">
      <w:pPr>
        <w:pStyle w:val="Citation-AltC"/>
        <w:ind w:hanging="1166"/>
        <w:rPr>
          <w:lang w:val="fr-CA"/>
        </w:rPr>
      </w:pPr>
      <w:r w:rsidRPr="002F5A3C">
        <w:rPr>
          <w:lang w:val="fr-CA"/>
        </w:rPr>
        <w:tab/>
        <w:t xml:space="preserve">Depuis </w:t>
      </w:r>
      <w:r w:rsidRPr="002F5A3C">
        <w:rPr>
          <w:i/>
          <w:lang w:val="fr-CA"/>
        </w:rPr>
        <w:t>Gladstone</w:t>
      </w:r>
      <w:r w:rsidRPr="002F5A3C">
        <w:rPr>
          <w:lang w:val="fr-CA"/>
        </w:rPr>
        <w:t xml:space="preserve">, l’éventail d’objectifs législatifs qui peuvent justifier une atteinte au titre aborigène est assez large.  La plupart de ces objectifs peuvent être rattachés à la conciliation de l’occupation antérieure de l’Amérique du Nord par les peuples autochtones avec l’affirmation de la souveraineté de la Couronne, ce qui nécessite la reconnaissance du fait que les </w:t>
      </w:r>
      <w:r>
        <w:rPr>
          <w:lang w:val="fr-CA"/>
        </w:rPr>
        <w:t>« </w:t>
      </w:r>
      <w:r w:rsidRPr="002F5A3C">
        <w:rPr>
          <w:lang w:val="fr-CA"/>
        </w:rPr>
        <w:t>sociétés autochtones distinctives existent au sein d’une communauté sociale, politique et économique plus large, communauté dont elles font partie</w:t>
      </w:r>
      <w:r>
        <w:rPr>
          <w:lang w:val="fr-CA"/>
        </w:rPr>
        <w:t> »</w:t>
      </w:r>
      <w:r w:rsidRPr="002F5A3C">
        <w:rPr>
          <w:lang w:val="fr-CA"/>
        </w:rPr>
        <w:t xml:space="preserve"> (au par.</w:t>
      </w:r>
      <w:r>
        <w:rPr>
          <w:lang w:val="fr-CA"/>
        </w:rPr>
        <w:t xml:space="preserve"> </w:t>
      </w:r>
      <w:r w:rsidRPr="002F5A3C">
        <w:rPr>
          <w:lang w:val="fr-CA"/>
        </w:rPr>
        <w:t xml:space="preserve">73). </w:t>
      </w:r>
      <w:r w:rsidRPr="002F5A3C">
        <w:rPr>
          <w:u w:val="single"/>
          <w:lang w:val="fr-CA"/>
        </w:rPr>
        <w:t>À mon avis, l’extension de l’agriculture, de la foresterie, de l’exploitation minière et de l’énergie hydroélectrique, le développement économique général de l’intérieur de la Colombie</w:t>
      </w:r>
      <w:r>
        <w:rPr>
          <w:u w:val="single"/>
          <w:lang w:val="fr-CA"/>
        </w:rPr>
        <w:t>-</w:t>
      </w:r>
      <w:r w:rsidRPr="002F5A3C">
        <w:rPr>
          <w:u w:val="single"/>
          <w:lang w:val="fr-CA"/>
        </w:rPr>
        <w:t>Britannique, la protection de l’environnement et des espèces menacées d’extinction, ainsi que la construction des infrastructures et l’implantation des populations requises par ces fins, sont des types d’objectifs compatibles avec cet objet et qui, en principe, peuvent justifier une atteinte à un titre aborigène</w:t>
      </w:r>
      <w:r w:rsidRPr="007B392E">
        <w:rPr>
          <w:u w:val="single"/>
          <w:lang w:val="fr-CA"/>
        </w:rPr>
        <w:t>.</w:t>
      </w:r>
      <w:r w:rsidRPr="002F5A3C">
        <w:rPr>
          <w:lang w:val="fr-CA"/>
        </w:rPr>
        <w:t xml:space="preserve">  Toutefois, la question de savoir si une mesure ou un acte donné du gouvernement peut être expliqué par référence à l’un de ces objectifs est, en dernière analyse, une question de fait qui devra être examinée au cas par cas.  [Je souligne; so</w:t>
      </w:r>
      <w:r w:rsidR="00C035D0">
        <w:rPr>
          <w:lang w:val="fr-CA"/>
        </w:rPr>
        <w:t>ulignement dans l’original omis;</w:t>
      </w:r>
      <w:r w:rsidRPr="002F5A3C">
        <w:rPr>
          <w:lang w:val="fr-CA"/>
        </w:rPr>
        <w:t xml:space="preserve"> par.</w:t>
      </w:r>
      <w:r>
        <w:rPr>
          <w:lang w:val="fr-CA"/>
        </w:rPr>
        <w:t xml:space="preserve"> </w:t>
      </w:r>
      <w:r w:rsidRPr="002F5A3C">
        <w:rPr>
          <w:lang w:val="fr-CA"/>
        </w:rPr>
        <w:t>165.]</w:t>
      </w:r>
    </w:p>
    <w:p w:rsidR="000F2258" w:rsidRPr="002F5A3C" w:rsidRDefault="000F2258" w:rsidP="000F2258">
      <w:pPr>
        <w:pStyle w:val="ParaNoNdepar-AltN"/>
        <w:rPr>
          <w:rFonts w:cs="Times New Roman"/>
          <w:lang w:val="fr-CA"/>
        </w:rPr>
      </w:pPr>
      <w:r w:rsidRPr="002F5A3C">
        <w:rPr>
          <w:rFonts w:cs="Times New Roman"/>
          <w:lang w:val="fr-CA"/>
        </w:rPr>
        <w:t xml:space="preserve">Si le gouvernement démontre qu’il poursuit un objectif impérieux et réel, il doit ensuite prouver que l’atteinte proposée au droit ancestral est compatible avec l’obligation fiduciaire de la Couronne envers les peuples autochtones.  </w:t>
      </w:r>
    </w:p>
    <w:p w:rsidR="000F2258" w:rsidRPr="002F5A3C" w:rsidRDefault="000F2258" w:rsidP="000F2258">
      <w:pPr>
        <w:pStyle w:val="ParaNoNdepar-AltN"/>
        <w:rPr>
          <w:rFonts w:cs="Times New Roman"/>
          <w:lang w:val="fr-CA"/>
        </w:rPr>
      </w:pPr>
      <w:r w:rsidRPr="002F5A3C">
        <w:rPr>
          <w:rFonts w:cs="Times New Roman"/>
          <w:lang w:val="fr-CA"/>
        </w:rPr>
        <w:t>Dans le contexte de la justification, l’obligation fiduciaire de la Couronne mérite une analyse plus approfondie.  Le titre sous</w:t>
      </w:r>
      <w:r>
        <w:rPr>
          <w:rFonts w:cs="Times New Roman"/>
          <w:lang w:val="fr-CA"/>
        </w:rPr>
        <w:t>-</w:t>
      </w:r>
      <w:r w:rsidRPr="002F5A3C">
        <w:rPr>
          <w:rFonts w:cs="Times New Roman"/>
          <w:lang w:val="fr-CA"/>
        </w:rPr>
        <w:t xml:space="preserve">jacent de la Couronne sur les terres </w:t>
      </w:r>
      <w:r w:rsidRPr="002F5A3C">
        <w:rPr>
          <w:rFonts w:cs="Times New Roman"/>
          <w:lang w:val="fr-CA"/>
        </w:rPr>
        <w:lastRenderedPageBreak/>
        <w:t xml:space="preserve">est détenu au profit du groupe autochtone et encadré par l’obligation fiduciaire de la Couronne envers le groupe.  Cela influence le processus de justification de deux façons. </w:t>
      </w:r>
    </w:p>
    <w:p w:rsidR="000F2258" w:rsidRPr="002F5A3C" w:rsidRDefault="000F2258" w:rsidP="000F2258">
      <w:pPr>
        <w:pStyle w:val="ParaNoNdepar-AltN"/>
        <w:rPr>
          <w:rFonts w:cs="Times New Roman"/>
          <w:lang w:val="fr-CA"/>
        </w:rPr>
      </w:pPr>
      <w:r w:rsidRPr="002F5A3C">
        <w:rPr>
          <w:rFonts w:cs="Times New Roman"/>
          <w:lang w:val="fr-CA"/>
        </w:rPr>
        <w:t xml:space="preserve">Premièrement, l’obligation fiduciaire de la Couronne signifie que le gouvernement doit agir d’une manière qui respecte le fait que le titre ancestral est un droit collectif inhérent aux générations actuelles et futures.  L’intérêt bénéficiaire sur les terres que détient le groupe autochtone est dévolu à l’ensemble des membres du groupe titulaire du titre.  Les atteintes au titre ancestral ne peuvent donc pas être justifiées si elles priveront de façon substantielle les générations futures des avantages que procurent les terres. </w:t>
      </w:r>
    </w:p>
    <w:p w:rsidR="000F2258" w:rsidRPr="002F5A3C" w:rsidRDefault="000F2258" w:rsidP="000F2258">
      <w:pPr>
        <w:pStyle w:val="ParaNoNdepar-AltN"/>
        <w:rPr>
          <w:rFonts w:cs="Times New Roman"/>
          <w:lang w:val="fr-CA"/>
        </w:rPr>
      </w:pPr>
      <w:r w:rsidRPr="002F5A3C">
        <w:rPr>
          <w:rFonts w:cs="Times New Roman"/>
          <w:lang w:val="fr-CA"/>
        </w:rPr>
        <w:t>Deuxièmement, l’obligation fiduciaire de la Couronne insuffle une obligation de proportionnalité dans le processus de justification.  Il ressort implicitement de l’obligation fiduciaire qu’a la Couronne envers le groupe autochtone que l’atteinte doit être nécessaire pour atteindre l’objectif gouvernemental (lien rationnel), que le gouvernement ne va pas au</w:t>
      </w:r>
      <w:r>
        <w:rPr>
          <w:rFonts w:cs="Times New Roman"/>
          <w:lang w:val="fr-CA"/>
        </w:rPr>
        <w:t>-</w:t>
      </w:r>
      <w:r w:rsidRPr="002F5A3C">
        <w:rPr>
          <w:rFonts w:cs="Times New Roman"/>
          <w:lang w:val="fr-CA"/>
        </w:rPr>
        <w:t xml:space="preserve">delà de ce qui est nécessaire pour atteindre cet objectif (atteinte minimale) et que les effets préjudiciables sur l’intérêt autochtone ne l’emportent pas sur les avantages qui devraient découler de cet objectif (proportionnalité de l’incidence).  L’exigence de proportionnalité est inhérente au processus de conciliation énoncé dans l’arrêt </w:t>
      </w:r>
      <w:r w:rsidRPr="002F5A3C">
        <w:rPr>
          <w:rFonts w:cs="Times New Roman"/>
          <w:i/>
          <w:lang w:val="fr-CA"/>
        </w:rPr>
        <w:t xml:space="preserve">Delgamuukw </w:t>
      </w:r>
      <w:r w:rsidRPr="002F5A3C">
        <w:rPr>
          <w:rFonts w:cs="Times New Roman"/>
          <w:lang w:val="fr-CA"/>
        </w:rPr>
        <w:t xml:space="preserve">et elle a été reprise dans l’arrêt </w:t>
      </w:r>
      <w:r w:rsidRPr="002F5A3C">
        <w:rPr>
          <w:rFonts w:cs="Times New Roman"/>
          <w:i/>
          <w:lang w:val="fr-CA"/>
        </w:rPr>
        <w:t>Nation haïda</w:t>
      </w:r>
      <w:r w:rsidRPr="002F5A3C">
        <w:rPr>
          <w:rFonts w:cs="Times New Roman"/>
          <w:lang w:val="fr-CA"/>
        </w:rPr>
        <w:t xml:space="preserve">, </w:t>
      </w:r>
      <w:r w:rsidR="00362D23">
        <w:rPr>
          <w:rFonts w:cs="Times New Roman"/>
          <w:lang w:val="fr-CA"/>
        </w:rPr>
        <w:t>où</w:t>
      </w:r>
      <w:r w:rsidRPr="002F5A3C">
        <w:rPr>
          <w:rFonts w:cs="Times New Roman"/>
          <w:lang w:val="fr-CA"/>
        </w:rPr>
        <w:t xml:space="preserve"> la Cour insiste sur le fait que l’obligation de la Couronne de consulter et d’accommoder à l’étape des revendications </w:t>
      </w:r>
      <w:r>
        <w:rPr>
          <w:rFonts w:cs="Times New Roman"/>
          <w:lang w:val="fr-CA"/>
        </w:rPr>
        <w:t>« </w:t>
      </w:r>
      <w:r w:rsidRPr="002F5A3C">
        <w:rPr>
          <w:rFonts w:cs="Times New Roman"/>
          <w:lang w:val="fr-CA"/>
        </w:rPr>
        <w:t>dépend de l’évaluation préliminaire de la solidité de la preuve étayant l’existence du droit ou du titre revendiqué, et de la gravité des effets préjudiciables potentiels sur le droit ou le titre</w:t>
      </w:r>
      <w:r>
        <w:rPr>
          <w:rFonts w:cs="Times New Roman"/>
          <w:lang w:val="fr-CA"/>
        </w:rPr>
        <w:t> »</w:t>
      </w:r>
      <w:r w:rsidRPr="002F5A3C">
        <w:rPr>
          <w:rFonts w:cs="Times New Roman"/>
          <w:lang w:val="fr-CA"/>
        </w:rPr>
        <w:t xml:space="preserve"> (par.</w:t>
      </w:r>
      <w:r>
        <w:rPr>
          <w:rFonts w:cs="Times New Roman"/>
          <w:lang w:val="fr-CA"/>
        </w:rPr>
        <w:t xml:space="preserve"> </w:t>
      </w:r>
      <w:r w:rsidRPr="002F5A3C">
        <w:rPr>
          <w:rFonts w:cs="Times New Roman"/>
          <w:lang w:val="fr-CA"/>
        </w:rPr>
        <w:t xml:space="preserve">39). </w:t>
      </w:r>
    </w:p>
    <w:p w:rsidR="000F2258" w:rsidRPr="002F5A3C" w:rsidRDefault="000F2258" w:rsidP="000F2258">
      <w:pPr>
        <w:pStyle w:val="ParaNoNdepar-AltN"/>
        <w:rPr>
          <w:rFonts w:cs="Times New Roman"/>
          <w:lang w:val="fr-CA"/>
        </w:rPr>
      </w:pPr>
      <w:r w:rsidRPr="002F5A3C">
        <w:rPr>
          <w:rFonts w:cs="Times New Roman"/>
          <w:lang w:val="fr-CA"/>
        </w:rPr>
        <w:lastRenderedPageBreak/>
        <w:t>En résumé, le titre ancestral confère au groupe qui le détient le droit exclusif d</w:t>
      </w:r>
      <w:r w:rsidR="00637EE6">
        <w:rPr>
          <w:rFonts w:cs="Times New Roman"/>
          <w:lang w:val="fr-CA"/>
        </w:rPr>
        <w:t>e déterminer l’utilisation qui</w:t>
      </w:r>
      <w:r w:rsidRPr="002F5A3C">
        <w:rPr>
          <w:rFonts w:cs="Times New Roman"/>
          <w:lang w:val="fr-CA"/>
        </w:rPr>
        <w:t xml:space="preserve"> est fait</w:t>
      </w:r>
      <w:r w:rsidR="00637EE6">
        <w:rPr>
          <w:rFonts w:cs="Times New Roman"/>
          <w:lang w:val="fr-CA"/>
        </w:rPr>
        <w:t>e</w:t>
      </w:r>
      <w:bookmarkStart w:id="30" w:name="_GoBack"/>
      <w:bookmarkEnd w:id="30"/>
      <w:r w:rsidRPr="002F5A3C">
        <w:rPr>
          <w:rFonts w:cs="Times New Roman"/>
          <w:lang w:val="fr-CA"/>
        </w:rPr>
        <w:t xml:space="preserve"> des terres et le droit de bénéficier des avantages que procure cette utilisation, sous réserve d’une seule exception, soit que les utilisations respectent sa nature collective et préservent la jouissance des terres pour les générations futures.  Lorsque le gouvernement porte atteinte au titre ancestral sans le consentement du groupe titulaire du titre, il doit le faire en respectant l’obligation procédurale de la Couronne de consulter le groupe.  L’atteinte doit également être justifiée par la poursuite d’un objectif public impérieux et réel et elle doit être compatible avec l’obligation fiduciaire qu’a la Couronne envers le groupe autochtone.</w:t>
      </w:r>
    </w:p>
    <w:p w:rsidR="000F2258" w:rsidRPr="002F5A3C" w:rsidRDefault="000F2258" w:rsidP="000F2258">
      <w:pPr>
        <w:pStyle w:val="Title2LevelTitre2Niveau"/>
        <w:outlineLvl w:val="1"/>
        <w:rPr>
          <w:rFonts w:cs="Times New Roman"/>
          <w:lang w:val="fr-CA"/>
        </w:rPr>
      </w:pPr>
      <w:bookmarkStart w:id="31" w:name="_Toc389497754"/>
      <w:bookmarkStart w:id="32" w:name="_Toc391446176"/>
      <w:r w:rsidRPr="002F5A3C">
        <w:rPr>
          <w:rFonts w:cs="Times New Roman"/>
          <w:lang w:val="fr-CA"/>
        </w:rPr>
        <w:t>Mesures de réparation et période transitoire</w:t>
      </w:r>
      <w:bookmarkEnd w:id="31"/>
      <w:bookmarkEnd w:id="32"/>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Avant que l’existence du titre soit établie par un jugement déclaratoire ou une entente, la Couronne est tenue de consulter de bonne foi les groupes autochtones qui revendiquent le titre sur des terres au sujet de ses projets d’utilisation des terres et, s’il y a lieu, de trouver des accommodements aux intérêts de ces groupes.  Le niveau de consultation et d’accommodement requis varie en fonction de la solidité de la revendication du groupe autochtone et de la gravité de l’effet préjudiciable éventuel sur l’intérêt revendiqué.  Le manquement par la Couronne à son obligation de consultation peut donner lieu à diverses mesures de réparation, notamment une injonction, des dommages</w:t>
      </w:r>
      <w:r>
        <w:rPr>
          <w:rFonts w:cs="Times New Roman"/>
          <w:lang w:val="fr-CA"/>
        </w:rPr>
        <w:t>-</w:t>
      </w:r>
      <w:r w:rsidRPr="002F5A3C">
        <w:rPr>
          <w:rFonts w:cs="Times New Roman"/>
          <w:lang w:val="fr-CA"/>
        </w:rPr>
        <w:t>intérêts ou une ordonnance enjoignant la tenue de consultations ou la prise de mesures d’accommodement</w:t>
      </w:r>
      <w:r>
        <w:rPr>
          <w:rFonts w:cs="Times New Roman"/>
          <w:lang w:val="fr-CA"/>
        </w:rPr>
        <w:t> :</w:t>
      </w:r>
      <w:r w:rsidRPr="002F5A3C">
        <w:rPr>
          <w:rFonts w:cs="Times New Roman"/>
          <w:lang w:val="fr-CA"/>
        </w:rPr>
        <w:t xml:space="preserve"> </w:t>
      </w:r>
      <w:r w:rsidRPr="002F5A3C">
        <w:rPr>
          <w:rFonts w:cs="Times New Roman"/>
          <w:i/>
          <w:lang w:val="fr-CA"/>
        </w:rPr>
        <w:t>Rio Tinto Alcan Inc. c. Conseil tribal Carrier Sekani</w:t>
      </w:r>
      <w:r w:rsidRPr="002F5A3C">
        <w:rPr>
          <w:rFonts w:cs="Times New Roman"/>
          <w:lang w:val="fr-CA"/>
        </w:rPr>
        <w:t>, 2010 CSC 43, [2010] 2 R.C.S. 650, par.</w:t>
      </w:r>
      <w:r>
        <w:rPr>
          <w:rFonts w:cs="Times New Roman"/>
          <w:lang w:val="fr-CA"/>
        </w:rPr>
        <w:t xml:space="preserve"> </w:t>
      </w:r>
      <w:r w:rsidRPr="002F5A3C">
        <w:rPr>
          <w:rFonts w:cs="Times New Roman"/>
          <w:lang w:val="fr-CA"/>
        </w:rPr>
        <w:t>37.</w:t>
      </w:r>
    </w:p>
    <w:p w:rsidR="000F2258" w:rsidRPr="002F5A3C" w:rsidRDefault="000F2258" w:rsidP="000F2258">
      <w:pPr>
        <w:pStyle w:val="ParaNoNdepar-AltN"/>
        <w:rPr>
          <w:rFonts w:cs="Times New Roman"/>
          <w:lang w:val="fr-CA"/>
        </w:rPr>
      </w:pPr>
      <w:r w:rsidRPr="002F5A3C">
        <w:rPr>
          <w:rFonts w:cs="Times New Roman"/>
          <w:lang w:val="fr-CA"/>
        </w:rPr>
        <w:t xml:space="preserve">Une fois l’existence du titre ancestral sur des terres établie par un jugement déclaratoire ou une entente, le gouvernement doit demander le consentement du groupe </w:t>
      </w:r>
      <w:r w:rsidRPr="002F5A3C">
        <w:rPr>
          <w:rFonts w:cs="Times New Roman"/>
          <w:lang w:val="fr-CA"/>
        </w:rPr>
        <w:lastRenderedPageBreak/>
        <w:t>autochtone titulaire du titre pour ses projets d’aménagement du territoire.  En l’absence de consentement, le</w:t>
      </w:r>
      <w:r w:rsidR="00A321D6">
        <w:rPr>
          <w:rFonts w:cs="Times New Roman"/>
          <w:lang w:val="fr-CA"/>
        </w:rPr>
        <w:t>s</w:t>
      </w:r>
      <w:r w:rsidRPr="002F5A3C">
        <w:rPr>
          <w:rFonts w:cs="Times New Roman"/>
          <w:lang w:val="fr-CA"/>
        </w:rPr>
        <w:t xml:space="preserve"> projet</w:t>
      </w:r>
      <w:r w:rsidR="00A321D6">
        <w:rPr>
          <w:rFonts w:cs="Times New Roman"/>
          <w:lang w:val="fr-CA"/>
        </w:rPr>
        <w:t>s</w:t>
      </w:r>
      <w:r w:rsidRPr="002F5A3C">
        <w:rPr>
          <w:rFonts w:cs="Times New Roman"/>
          <w:lang w:val="fr-CA"/>
        </w:rPr>
        <w:t xml:space="preserve"> d’aménagement sur les ter</w:t>
      </w:r>
      <w:r w:rsidR="00A321D6">
        <w:rPr>
          <w:rFonts w:cs="Times New Roman"/>
          <w:lang w:val="fr-CA"/>
        </w:rPr>
        <w:t>res assujetties au titre ne peuvent</w:t>
      </w:r>
      <w:r w:rsidRPr="002F5A3C">
        <w:rPr>
          <w:rFonts w:cs="Times New Roman"/>
          <w:lang w:val="fr-CA"/>
        </w:rPr>
        <w:t xml:space="preserve"> aller de l’avant si le gouvernement ne s’est pas acquitté de son obligation de consultation et ne peut justifier une atteinte à ce titre aux termes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Les mesures de réparation habituelles en cas d’atteinte à des intérêts sur des terres sont disponibles, en les adaptant au besoin en fonction de la nature particulière du titre ancestral et de l’obligation fiduciaire de la Couronne envers les titulaires du titre ancestral.</w:t>
      </w:r>
    </w:p>
    <w:p w:rsidR="000F2258" w:rsidRPr="002F5A3C" w:rsidRDefault="000F2258" w:rsidP="000F2258">
      <w:pPr>
        <w:pStyle w:val="ParaNoNdepar-AltN"/>
        <w:rPr>
          <w:rFonts w:cs="Times New Roman"/>
          <w:lang w:val="fr-CA"/>
        </w:rPr>
      </w:pPr>
      <w:r w:rsidRPr="002F5A3C">
        <w:rPr>
          <w:rFonts w:cs="Times New Roman"/>
          <w:lang w:val="fr-CA"/>
        </w:rPr>
        <w:t xml:space="preserve">Il s’ensuit d’un point de vue pratique que des obligations différentes puissent être applicables au fil du temps dans un cas donné.  À l’étape de la revendication, avant que soit établie l’existence du titre ancestral, le gouvernement a une obligation de consulter de bonne foi le groupe en cause et, s’il y a lieu, d’accommoder ses intérêts.  Alors que la validité de la revendication devient plus apparente, le niveau requis de consultation et d’accommodement augmente proportionnellement.  Lorsqu’une revendication est particulièrement solide </w:t>
      </w:r>
      <w:r w:rsidR="007B392E">
        <w:rPr>
          <w:rFonts w:cs="Times New Roman"/>
          <w:lang w:val="fr-CA"/>
        </w:rPr>
        <w:t>―</w:t>
      </w:r>
      <w:r w:rsidRPr="002F5A3C">
        <w:rPr>
          <w:rFonts w:cs="Times New Roman"/>
          <w:lang w:val="fr-CA"/>
        </w:rPr>
        <w:t xml:space="preserve"> par exemple</w:t>
      </w:r>
      <w:r w:rsidR="007B392E">
        <w:rPr>
          <w:rFonts w:cs="Times New Roman"/>
          <w:lang w:val="fr-CA"/>
        </w:rPr>
        <w:t>,</w:t>
      </w:r>
      <w:r w:rsidRPr="002F5A3C">
        <w:rPr>
          <w:rFonts w:cs="Times New Roman"/>
          <w:lang w:val="fr-CA"/>
        </w:rPr>
        <w:t xml:space="preserve"> peu avant qu’un tribunal confirme l’existence du titre </w:t>
      </w:r>
      <w:r w:rsidR="007B392E">
        <w:rPr>
          <w:rFonts w:cs="Times New Roman"/>
          <w:lang w:val="fr-CA"/>
        </w:rPr>
        <w:t>―</w:t>
      </w:r>
      <w:r w:rsidRPr="002F5A3C">
        <w:rPr>
          <w:rFonts w:cs="Times New Roman"/>
          <w:lang w:val="fr-CA"/>
        </w:rPr>
        <w:t xml:space="preserve"> il faut bien prendre soin de préserver l’intérêt autochtone en attendant le règlement définitif de la revendication.  Enfin, une fois l’existence du titre établie, le gouvernement ne peut réaliser, sur les terres grevées d’un titre ancestral, un projet d’aménagement auquel le groupe titulaire du titre n’a pas consenti à moins qu’il se soit acquitté de son obligation de consultation et que le projet d’aménagement soit justifié au sens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lastRenderedPageBreak/>
        <w:t>Une fois l’existence du titre établie, il peut être nécessaire pour le gouvernement de réévaluer sa conduite passée compte tenu de cette nouvelle réalité afin de s’acquitter fidèlement par la suite de son obligation fiduciaire envers le groupe titulaire du titre.  Par exemple, si, avant que le titre ancestral soit établi, le gouvernement a entrepris un projet sans le consentement du groupe autochtone, il peut être tenu de l’annuler une fois l’existence du titre établie si la poursuite du projet porte indûment atteinte aux droits des Autochtones.  De même, si une loi a été valablement adoptée avant que l’existence du titre soit établie, elle pourra être déclarée inapplicable pour l’avenir dans la mesure où elle porte injustement atteinte au titre ancestral.</w:t>
      </w:r>
    </w:p>
    <w:p w:rsidR="000F2258" w:rsidRPr="002F5A3C" w:rsidRDefault="000F2258" w:rsidP="007B392E">
      <w:pPr>
        <w:pStyle w:val="Title2LevelTitre2Niveau"/>
        <w:jc w:val="both"/>
        <w:outlineLvl w:val="1"/>
        <w:rPr>
          <w:rFonts w:cs="Times New Roman"/>
          <w:lang w:val="fr-CA"/>
        </w:rPr>
      </w:pPr>
      <w:bookmarkStart w:id="33" w:name="_Toc389497755"/>
      <w:bookmarkStart w:id="34" w:name="_Toc391446177"/>
      <w:r w:rsidRPr="002F5A3C">
        <w:rPr>
          <w:rFonts w:cs="Times New Roman"/>
          <w:lang w:val="fr-CA"/>
        </w:rPr>
        <w:t>Quelles étaient les obligations de la Couronne au moment de la prise de la mesure gouvernementale?</w:t>
      </w:r>
      <w:bookmarkEnd w:id="33"/>
      <w:bookmarkEnd w:id="34"/>
    </w:p>
    <w:p w:rsidR="000F2258" w:rsidRPr="002F5A3C" w:rsidRDefault="000F2258" w:rsidP="000F2258">
      <w:pPr>
        <w:pStyle w:val="ParaNoNdepar-AltN"/>
        <w:rPr>
          <w:rFonts w:cs="Times New Roman"/>
          <w:lang w:val="fr-CA"/>
        </w:rPr>
      </w:pPr>
      <w:r w:rsidRPr="002F5A3C">
        <w:rPr>
          <w:rFonts w:cs="Times New Roman"/>
          <w:lang w:val="fr-CA"/>
        </w:rPr>
        <w:t xml:space="preserve">Avant le jugement déclarant l’existence du titre ancestral, la province était tenue de consulter les Tsilhqot’in et de trouver des accommodements aux intérêts qu’ils revendiquaient.  Au moment de la prise de la mesure gouvernementale contestée, la revendication du titre sur les terres par les Tsilhqot’in était à première vue solide et l’obligation de consultation de la Couronne se situait au haut du continuum décrit dans </w:t>
      </w:r>
      <w:r w:rsidRPr="002F5A3C">
        <w:rPr>
          <w:rFonts w:cs="Times New Roman"/>
          <w:i/>
          <w:lang w:val="fr-CA"/>
        </w:rPr>
        <w:t>Nation haïda</w:t>
      </w:r>
      <w:r w:rsidRPr="002F5A3C">
        <w:rPr>
          <w:rFonts w:cs="Times New Roman"/>
          <w:lang w:val="fr-CA"/>
        </w:rPr>
        <w:t xml:space="preserve"> et exigeait un niveau élevé de consultation et d’accommodement afin de préserver les intérêts des Tsilhqot’in.</w:t>
      </w:r>
    </w:p>
    <w:p w:rsidR="000F2258" w:rsidRPr="002F5A3C" w:rsidRDefault="000F2258" w:rsidP="000F2258">
      <w:pPr>
        <w:pStyle w:val="ParaNoNdepar-AltN"/>
        <w:rPr>
          <w:rFonts w:cs="Times New Roman"/>
          <w:lang w:val="fr-CA"/>
        </w:rPr>
      </w:pPr>
      <w:r w:rsidRPr="002F5A3C">
        <w:rPr>
          <w:rFonts w:cs="Times New Roman"/>
          <w:lang w:val="fr-CA"/>
        </w:rPr>
        <w:t>Maintenant qu’un jugement a reconnu l’existence du titre, le peuple Tsilhqot’in détient un titre ancestral sur la partie du territoire désignée par le juge de première instance, sous réserve de l’exception indiquée au par.</w:t>
      </w:r>
      <w:r>
        <w:rPr>
          <w:rFonts w:cs="Times New Roman"/>
          <w:lang w:val="fr-CA"/>
        </w:rPr>
        <w:t xml:space="preserve"> </w:t>
      </w:r>
      <w:r w:rsidRPr="002F5A3C">
        <w:rPr>
          <w:rFonts w:cs="Times New Roman"/>
          <w:lang w:val="fr-CA"/>
        </w:rPr>
        <w:t xml:space="preserve">9 des présents motifs.  Cela donne au peuple Tsilhqot’in, sous réserve des limites inhérentes au titre collectif détenu au bénéfice des générations futures, le droit de déterminer les utilisations des </w:t>
      </w:r>
      <w:r w:rsidRPr="002F5A3C">
        <w:rPr>
          <w:rFonts w:cs="Times New Roman"/>
          <w:lang w:val="fr-CA"/>
        </w:rPr>
        <w:lastRenderedPageBreak/>
        <w:t xml:space="preserve">terres et de bénéficier des avantages économiques qu’elles procurent.  Comme nous l’avons déjà vu, il ne s’agit pas simplement d’un droit de premier refus sur la gestion des terres de la Couronne ou sur les plans de leur utilisation.  Il s’agit plutôt du droit d’utiliser et de gérer les terres de façon proactive. </w:t>
      </w:r>
    </w:p>
    <w:p w:rsidR="000F2258" w:rsidRPr="002F5A3C" w:rsidRDefault="000F2258" w:rsidP="000F2258">
      <w:pPr>
        <w:pStyle w:val="Title1LevelTitre1Niveau-AltL"/>
        <w:outlineLvl w:val="0"/>
        <w:rPr>
          <w:rFonts w:cs="Times New Roman"/>
          <w:lang w:val="fr-CA"/>
        </w:rPr>
      </w:pPr>
      <w:bookmarkStart w:id="35" w:name="_Toc389497756"/>
      <w:bookmarkStart w:id="36" w:name="_Toc391446178"/>
      <w:r w:rsidRPr="002F5A3C">
        <w:rPr>
          <w:rFonts w:cs="Times New Roman"/>
          <w:lang w:val="fr-CA"/>
        </w:rPr>
        <w:t>Le manquement à l’obligation de consultation</w:t>
      </w:r>
      <w:bookmarkEnd w:id="35"/>
      <w:bookmarkEnd w:id="36"/>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 xml:space="preserve">En l’espèce, le manquement allégué découle de la délivrance, par la province, de permis permettant à des tiers de mener des activités forestières et de construire des infrastructures connexes sur les terres à compter de 1983, avant que l’existence du titre soit reconnue.  Au cours de cette période, les Tsilhqot’in détenaient sur les terres un intérêt qui n’était pas encore légalement reconnu.  Le principe de l’honneur de la Couronne obligeait la province à les consulter à propos </w:t>
      </w:r>
      <w:r w:rsidR="00A321D6">
        <w:rPr>
          <w:rFonts w:cs="Times New Roman"/>
          <w:lang w:val="fr-CA"/>
        </w:rPr>
        <w:t>des utilisations des terres et</w:t>
      </w:r>
      <w:r w:rsidRPr="002F5A3C">
        <w:rPr>
          <w:rFonts w:cs="Times New Roman"/>
          <w:lang w:val="fr-CA"/>
        </w:rPr>
        <w:t xml:space="preserve"> à trouver des accommodements à leurs intérêts.  La province n’a fait ni l’un ni l’autre et a manqué à son obligation envers les Tsilhqot’in. </w:t>
      </w:r>
    </w:p>
    <w:p w:rsidR="000F2258" w:rsidRPr="002F5A3C" w:rsidRDefault="000F2258" w:rsidP="000F2258">
      <w:pPr>
        <w:pStyle w:val="ParaNoNdepar-AltN"/>
        <w:rPr>
          <w:rFonts w:cs="Times New Roman"/>
          <w:lang w:val="fr-CA"/>
        </w:rPr>
      </w:pPr>
      <w:r w:rsidRPr="002F5A3C">
        <w:rPr>
          <w:rFonts w:cs="Times New Roman"/>
          <w:lang w:val="fr-CA"/>
        </w:rPr>
        <w:t>La Couronne a manqué à son obligation de consultation quand ses représentants ont planifié l’enlèvement du bois.  L’inclusion des terres visées par un titre ancestral dans une région d’approvisionnement en bois, l’autorisation de blocs de coupe sur les terres visées par un titre ancestral dans le cadre d’un plan d’aménagement forestier et la délivrance de permis de coupe ont eu lieu sans aucune consultation significative avec les Tsilhqot’in.</w:t>
      </w:r>
    </w:p>
    <w:p w:rsidR="000F2258" w:rsidRPr="002F5A3C" w:rsidRDefault="000F2258" w:rsidP="000F2258">
      <w:pPr>
        <w:pStyle w:val="ParaNoNdepar-AltN"/>
        <w:rPr>
          <w:rFonts w:cs="Times New Roman"/>
          <w:lang w:val="fr-CA"/>
        </w:rPr>
      </w:pPr>
      <w:r w:rsidRPr="002F5A3C">
        <w:rPr>
          <w:rFonts w:cs="Times New Roman"/>
          <w:lang w:val="fr-CA"/>
        </w:rPr>
        <w:t xml:space="preserve">J’ajoute ceci.  Les gouvernements et particuliers qui proposent d’utiliser ou d’exploiter la terre, que ce soit avant ou après une déclaration de titre ancestral, peuvent éviter d’être accusés de porter atteinte aux droits ou de manquer à l’obligation de </w:t>
      </w:r>
      <w:r w:rsidRPr="002F5A3C">
        <w:rPr>
          <w:rFonts w:cs="Times New Roman"/>
          <w:lang w:val="fr-CA"/>
        </w:rPr>
        <w:lastRenderedPageBreak/>
        <w:t xml:space="preserve">consulter adéquatement le groupe en obtenant le consentement du groupe autochtone en question. </w:t>
      </w:r>
    </w:p>
    <w:p w:rsidR="000F2258" w:rsidRPr="002F5A3C" w:rsidRDefault="000F2258" w:rsidP="000F2258">
      <w:pPr>
        <w:pStyle w:val="Title1LevelTitre1Niveau-AltL"/>
        <w:outlineLvl w:val="0"/>
        <w:rPr>
          <w:rFonts w:cs="Times New Roman"/>
          <w:lang w:val="fr-CA"/>
        </w:rPr>
      </w:pPr>
      <w:bookmarkStart w:id="37" w:name="_Toc389497757"/>
      <w:bookmarkStart w:id="38" w:name="_Toc391446179"/>
      <w:r w:rsidRPr="002F5A3C">
        <w:rPr>
          <w:rFonts w:cs="Times New Roman"/>
          <w:lang w:val="fr-CA"/>
        </w:rPr>
        <w:t>Les lois provinciales et le titre ancestral</w:t>
      </w:r>
      <w:bookmarkEnd w:id="37"/>
      <w:bookmarkEnd w:id="38"/>
      <w:r w:rsidRPr="002F5A3C">
        <w:rPr>
          <w:rFonts w:cs="Times New Roman"/>
          <w:lang w:val="fr-CA"/>
        </w:rPr>
        <w:t xml:space="preserve"> </w:t>
      </w:r>
    </w:p>
    <w:p w:rsidR="000F2258" w:rsidRPr="002F5A3C" w:rsidRDefault="000F2258" w:rsidP="000F2258">
      <w:pPr>
        <w:pStyle w:val="ParaNoNdepar-AltN"/>
        <w:tabs>
          <w:tab w:val="num" w:pos="1692"/>
        </w:tabs>
        <w:rPr>
          <w:rFonts w:cs="Times New Roman"/>
          <w:lang w:val="fr-CA"/>
        </w:rPr>
      </w:pPr>
      <w:r w:rsidRPr="002F5A3C">
        <w:rPr>
          <w:rFonts w:cs="Times New Roman"/>
          <w:lang w:val="fr-CA"/>
        </w:rPr>
        <w:t>Je le rappelle, j’ai conclu que la province a manqué à son obligation de consulter les Tsilhqot’in et de trouver des accommodements à leur intérêt sur les terres.  Cela suffit à trancher le pourvoi.</w:t>
      </w:r>
    </w:p>
    <w:p w:rsidR="000F2258" w:rsidRPr="002F5A3C" w:rsidRDefault="000F2258" w:rsidP="000F2258">
      <w:pPr>
        <w:pStyle w:val="ParaNoNdepar-AltN"/>
        <w:tabs>
          <w:tab w:val="num" w:pos="1692"/>
        </w:tabs>
        <w:rPr>
          <w:rFonts w:cs="Times New Roman"/>
          <w:lang w:val="fr-CA"/>
        </w:rPr>
      </w:pPr>
      <w:r w:rsidRPr="002F5A3C">
        <w:rPr>
          <w:rFonts w:cs="Times New Roman"/>
          <w:lang w:val="fr-CA"/>
        </w:rPr>
        <w:t xml:space="preserve">Cependant, les parties ont présenté des observations détaillées sur l’application de la </w:t>
      </w:r>
      <w:r w:rsidRPr="002F5A3C">
        <w:rPr>
          <w:rFonts w:cs="Times New Roman"/>
          <w:i/>
          <w:lang w:val="fr-CA"/>
        </w:rPr>
        <w:t>Forest Act</w:t>
      </w:r>
      <w:r w:rsidRPr="002F5A3C">
        <w:rPr>
          <w:rFonts w:cs="Times New Roman"/>
          <w:lang w:val="fr-CA"/>
        </w:rPr>
        <w:t xml:space="preserve"> aux terres visées par un titre ancestral.</w:t>
      </w:r>
      <w:r>
        <w:rPr>
          <w:rFonts w:cs="Times New Roman"/>
          <w:lang w:val="fr-CA"/>
        </w:rPr>
        <w:t xml:space="preserve"> </w:t>
      </w:r>
      <w:r w:rsidRPr="002F5A3C">
        <w:rPr>
          <w:rFonts w:cs="Times New Roman"/>
          <w:lang w:val="fr-CA"/>
        </w:rPr>
        <w:t xml:space="preserve"> Les tribunaux d’instance inférieure ont traité de cette question, laquelle prend une grande importance pour le peuple des Tsilhqot’in et pour les autres groupes autochtones de la Colombie</w:t>
      </w:r>
      <w:r>
        <w:rPr>
          <w:rFonts w:cs="Times New Roman"/>
          <w:lang w:val="fr-CA"/>
        </w:rPr>
        <w:t>-</w:t>
      </w:r>
      <w:r w:rsidRPr="002F5A3C">
        <w:rPr>
          <w:rFonts w:cs="Times New Roman"/>
          <w:lang w:val="fr-CA"/>
        </w:rPr>
        <w:t>Britannique et d’ailleurs.  Il convient donc que nous l’examinions.</w:t>
      </w:r>
    </w:p>
    <w:p w:rsidR="000F2258" w:rsidRPr="002F5A3C" w:rsidRDefault="000F2258" w:rsidP="000F2258">
      <w:pPr>
        <w:pStyle w:val="ParaNoNdepar-AltN"/>
        <w:rPr>
          <w:rFonts w:cs="Times New Roman"/>
          <w:lang w:val="fr-CA"/>
        </w:rPr>
      </w:pPr>
      <w:r w:rsidRPr="002F5A3C">
        <w:rPr>
          <w:rFonts w:cs="Times New Roman"/>
          <w:lang w:val="fr-CA"/>
        </w:rPr>
        <w:t>Les questions qui se posent sont les suivantes</w:t>
      </w:r>
      <w:r w:rsidR="007B392E">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Les lois provinciales d’application générale s’appliquent</w:t>
      </w:r>
      <w:r>
        <w:rPr>
          <w:rFonts w:cs="Times New Roman"/>
          <w:lang w:val="fr-CA"/>
        </w:rPr>
        <w:t>-</w:t>
      </w:r>
      <w:r w:rsidRPr="002F5A3C">
        <w:rPr>
          <w:rFonts w:cs="Times New Roman"/>
          <w:lang w:val="fr-CA"/>
        </w:rPr>
        <w:t>elles aux terres visées par un titre ancestral et, dans l’affirmative, comment s’appliquent</w:t>
      </w:r>
      <w:r>
        <w:rPr>
          <w:rFonts w:cs="Times New Roman"/>
          <w:lang w:val="fr-CA"/>
        </w:rPr>
        <w:t>-</w:t>
      </w:r>
      <w:r w:rsidRPr="002F5A3C">
        <w:rPr>
          <w:rFonts w:cs="Times New Roman"/>
          <w:lang w:val="fr-CA"/>
        </w:rPr>
        <w:t>elles?  (2)</w:t>
      </w:r>
      <w:r>
        <w:rPr>
          <w:rFonts w:cs="Times New Roman"/>
          <w:lang w:val="fr-CA"/>
        </w:rPr>
        <w:t xml:space="preserve"> </w:t>
      </w:r>
      <w:r w:rsidRPr="002F5A3C">
        <w:rPr>
          <w:rFonts w:cs="Times New Roman"/>
          <w:lang w:val="fr-CA"/>
        </w:rPr>
        <w:t xml:space="preserve">À première vue, la </w:t>
      </w:r>
      <w:r w:rsidRPr="002F5A3C">
        <w:rPr>
          <w:rFonts w:cs="Times New Roman"/>
          <w:i/>
          <w:lang w:val="fr-CA"/>
        </w:rPr>
        <w:t>Forest Act</w:t>
      </w:r>
      <w:r w:rsidRPr="002F5A3C">
        <w:rPr>
          <w:rFonts w:cs="Times New Roman"/>
          <w:lang w:val="fr-CA"/>
        </w:rPr>
        <w:t xml:space="preserve"> de la Colombie</w:t>
      </w:r>
      <w:r>
        <w:rPr>
          <w:rFonts w:cs="Times New Roman"/>
          <w:lang w:val="fr-CA"/>
        </w:rPr>
        <w:t>-</w:t>
      </w:r>
      <w:r w:rsidRPr="002F5A3C">
        <w:rPr>
          <w:rFonts w:cs="Times New Roman"/>
          <w:lang w:val="fr-CA"/>
        </w:rPr>
        <w:t>Britannique s’applique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elle aux terres visées par un titre ancestral?  Et (3)</w:t>
      </w:r>
      <w:r>
        <w:rPr>
          <w:rFonts w:cs="Times New Roman"/>
          <w:lang w:val="fr-CA"/>
        </w:rPr>
        <w:t xml:space="preserve"> </w:t>
      </w:r>
      <w:r w:rsidRPr="002F5A3C">
        <w:rPr>
          <w:rFonts w:cs="Times New Roman"/>
          <w:lang w:val="fr-CA"/>
        </w:rPr>
        <w:t xml:space="preserve">si, à première vue, la </w:t>
      </w:r>
      <w:r w:rsidRPr="002F5A3C">
        <w:rPr>
          <w:rFonts w:cs="Times New Roman"/>
          <w:i/>
          <w:lang w:val="fr-CA"/>
        </w:rPr>
        <w:t>Forest Act</w:t>
      </w:r>
      <w:r w:rsidRPr="002F5A3C">
        <w:rPr>
          <w:rFonts w:cs="Times New Roman"/>
          <w:lang w:val="fr-CA"/>
        </w:rPr>
        <w:t xml:space="preserve"> s’applique, son application est</w:t>
      </w:r>
      <w:r>
        <w:rPr>
          <w:rFonts w:cs="Times New Roman"/>
          <w:lang w:val="fr-CA"/>
        </w:rPr>
        <w:t>-</w:t>
      </w:r>
      <w:r w:rsidRPr="002F5A3C">
        <w:rPr>
          <w:rFonts w:cs="Times New Roman"/>
          <w:lang w:val="fr-CA"/>
        </w:rPr>
        <w:t xml:space="preserve">elle écartée par l’application de la Constitution du Canada?  Je vais examiner successivement chacune de ces questions. </w:t>
      </w:r>
    </w:p>
    <w:p w:rsidR="000F2258" w:rsidRPr="002F5A3C" w:rsidRDefault="000F2258" w:rsidP="007B392E">
      <w:pPr>
        <w:pStyle w:val="Title2LevelTitre2Niveau"/>
        <w:jc w:val="both"/>
        <w:outlineLvl w:val="1"/>
        <w:rPr>
          <w:rFonts w:cs="Times New Roman"/>
          <w:lang w:val="fr-CA"/>
        </w:rPr>
      </w:pPr>
      <w:bookmarkStart w:id="39" w:name="_Toc389497758"/>
      <w:bookmarkStart w:id="40" w:name="_Toc391446180"/>
      <w:r w:rsidRPr="002F5A3C">
        <w:rPr>
          <w:rFonts w:cs="Times New Roman"/>
          <w:lang w:val="fr-CA"/>
        </w:rPr>
        <w:t>Les lois provinciales d’application générale s’appliquent</w:t>
      </w:r>
      <w:r>
        <w:rPr>
          <w:rFonts w:cs="Times New Roman"/>
          <w:lang w:val="fr-CA"/>
        </w:rPr>
        <w:t>-</w:t>
      </w:r>
      <w:r w:rsidRPr="002F5A3C">
        <w:rPr>
          <w:rFonts w:cs="Times New Roman"/>
          <w:lang w:val="fr-CA"/>
        </w:rPr>
        <w:t>elles aux terres visées par un titre ancestral?</w:t>
      </w:r>
      <w:bookmarkEnd w:id="39"/>
      <w:bookmarkEnd w:id="40"/>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lastRenderedPageBreak/>
        <w:t>De façon générale, les lois provinciales d’application générale s’appliquent aux terres visées par un titre ancestral.</w:t>
      </w:r>
      <w:r>
        <w:rPr>
          <w:rFonts w:cs="Times New Roman"/>
          <w:lang w:val="fr-CA"/>
        </w:rPr>
        <w:t xml:space="preserve"> </w:t>
      </w:r>
      <w:r w:rsidRPr="002F5A3C">
        <w:rPr>
          <w:rFonts w:cs="Times New Roman"/>
          <w:lang w:val="fr-CA"/>
        </w:rPr>
        <w:t xml:space="preserve"> Cependant, comme nous le verrons, cet énoncé est assorti de limites constitutionnelles importantes.</w:t>
      </w:r>
    </w:p>
    <w:p w:rsidR="000F2258" w:rsidRPr="002F5A3C" w:rsidRDefault="000F2258" w:rsidP="000F2258">
      <w:pPr>
        <w:pStyle w:val="ParaNoNdepar-AltN"/>
        <w:rPr>
          <w:rFonts w:cs="Times New Roman"/>
          <w:lang w:val="fr-CA"/>
        </w:rPr>
      </w:pPr>
      <w:r w:rsidRPr="002F5A3C">
        <w:rPr>
          <w:rFonts w:cs="Times New Roman"/>
          <w:lang w:val="fr-CA"/>
        </w:rPr>
        <w:t>En règle générale, les gouvernements provinciaux ont le pouvoir de réglementer l’utilisation des terres situées à l’intérieur de la province.  Cette règle s’applique à toutes les terres, qu’elles soient détenues par le gouvernement, par des propriétaires privés ou par les titulaires d’un titre ancestral.</w:t>
      </w:r>
      <w:r>
        <w:rPr>
          <w:rFonts w:cs="Times New Roman"/>
          <w:lang w:val="fr-CA"/>
        </w:rPr>
        <w:t xml:space="preserve"> </w:t>
      </w:r>
      <w:r w:rsidRPr="002F5A3C">
        <w:rPr>
          <w:rFonts w:cs="Times New Roman"/>
          <w:lang w:val="fr-CA"/>
        </w:rPr>
        <w:t xml:space="preserve"> Le fondement de ce pouvoir réside dans le par.</w:t>
      </w:r>
      <w:r>
        <w:rPr>
          <w:rFonts w:cs="Times New Roman"/>
          <w:lang w:val="fr-CA"/>
        </w:rPr>
        <w:t xml:space="preserve"> </w:t>
      </w:r>
      <w:r w:rsidRPr="002F5A3C">
        <w:rPr>
          <w:rFonts w:cs="Times New Roman"/>
          <w:lang w:val="fr-CA"/>
        </w:rPr>
        <w:t xml:space="preserve">92(13) de la </w:t>
      </w:r>
      <w:r w:rsidRPr="002F5A3C">
        <w:rPr>
          <w:rFonts w:cs="Times New Roman"/>
          <w:i/>
          <w:lang w:val="fr-CA"/>
        </w:rPr>
        <w:t>Loi constitutionnelle de 1867</w:t>
      </w:r>
      <w:r w:rsidRPr="002F5A3C">
        <w:rPr>
          <w:rFonts w:cs="Times New Roman"/>
          <w:lang w:val="fr-CA"/>
        </w:rPr>
        <w:t xml:space="preserve">, lequel accorde à la province le pouvoir de légiférer en matière de propriété et de droits civils dans la province. </w:t>
      </w:r>
    </w:p>
    <w:p w:rsidR="000F2258" w:rsidRPr="002F5A3C" w:rsidRDefault="000F2258" w:rsidP="000F2258">
      <w:pPr>
        <w:pStyle w:val="ParaNoNdepar-AltN"/>
        <w:rPr>
          <w:rFonts w:cs="Times New Roman"/>
          <w:lang w:val="fr-CA"/>
        </w:rPr>
      </w:pPr>
      <w:r w:rsidRPr="002F5A3C">
        <w:rPr>
          <w:rFonts w:cs="Times New Roman"/>
          <w:lang w:val="fr-CA"/>
        </w:rPr>
        <w:t>Le pouvoir provincial de réglementer les terres détenues en vertu d’un titre ancestral est constitutionnellement limité de deux façons.  Premièrement, il est limité par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Aux termes de cet article, toute atteinte aux droits découlant du titre ancestral doit poursuivre un objectif gouvernemental impérieux et réel et doit être compatible avec la relation fiduciaire entre la Couronne et les titulaires du titre.  Deuxièmement, le pouvoir d’une province de réglementer les terres visées par un titre ancestral peut aussi, dans certains cas, être limité par le pouvoir fédéral sur les </w:t>
      </w:r>
      <w:r>
        <w:rPr>
          <w:rFonts w:cs="Times New Roman"/>
          <w:lang w:val="fr-CA"/>
        </w:rPr>
        <w:t>« </w:t>
      </w:r>
      <w:r w:rsidRPr="002F5A3C">
        <w:rPr>
          <w:rFonts w:cs="Times New Roman"/>
          <w:lang w:val="fr-CA"/>
        </w:rPr>
        <w:t>Indiens et les terres réservées pour les Indiens</w:t>
      </w:r>
      <w:r>
        <w:rPr>
          <w:rFonts w:cs="Times New Roman"/>
          <w:lang w:val="fr-CA"/>
        </w:rPr>
        <w:t> »</w:t>
      </w:r>
      <w:r w:rsidRPr="002F5A3C">
        <w:rPr>
          <w:rFonts w:cs="Times New Roman"/>
          <w:lang w:val="fr-CA"/>
        </w:rPr>
        <w:t xml:space="preserve"> prévu au par.</w:t>
      </w:r>
      <w:r>
        <w:rPr>
          <w:rFonts w:cs="Times New Roman"/>
          <w:lang w:val="fr-CA"/>
        </w:rPr>
        <w:t xml:space="preserve"> </w:t>
      </w:r>
      <w:r w:rsidRPr="002F5A3C">
        <w:rPr>
          <w:rFonts w:cs="Times New Roman"/>
          <w:lang w:val="fr-CA"/>
        </w:rPr>
        <w:t xml:space="preserve">91(24) de la </w:t>
      </w:r>
      <w:r w:rsidRPr="002F5A3C">
        <w:rPr>
          <w:rFonts w:cs="Times New Roman"/>
          <w:i/>
          <w:lang w:val="fr-CA"/>
        </w:rPr>
        <w:t>Loi constitutionnelle de 1867</w:t>
      </w:r>
      <w:r w:rsidRPr="002F5A3C">
        <w:rPr>
          <w:rFonts w:cs="Times New Roman"/>
          <w:lang w:val="fr-CA"/>
        </w:rPr>
        <w:t xml:space="preserve">.  </w:t>
      </w:r>
    </w:p>
    <w:p w:rsidR="000F2258" w:rsidRPr="007B392E" w:rsidRDefault="000F2258" w:rsidP="000F2258">
      <w:pPr>
        <w:pStyle w:val="ParaNoNdepar-AltN"/>
        <w:rPr>
          <w:rFonts w:cs="Times New Roman"/>
          <w:lang w:val="fr-CA"/>
        </w:rPr>
      </w:pPr>
      <w:r w:rsidRPr="002F5A3C">
        <w:rPr>
          <w:rFonts w:cs="Times New Roman"/>
          <w:lang w:val="fr-CA"/>
        </w:rPr>
        <w:t xml:space="preserve">Dans l’arrêt </w:t>
      </w:r>
      <w:r w:rsidRPr="002F5A3C">
        <w:rPr>
          <w:rFonts w:cs="Times New Roman"/>
          <w:i/>
          <w:lang w:val="fr-CA"/>
        </w:rPr>
        <w:t>Sparrow</w:t>
      </w:r>
      <w:r w:rsidRPr="002F5A3C">
        <w:rPr>
          <w:rFonts w:cs="Times New Roman"/>
          <w:lang w:val="fr-CA"/>
        </w:rPr>
        <w:t>, notre Cour a laissé entendre que les facteurs suivants seront pertinents au moment de déterminer si une loi d’application générale entraîne une diminution appréciable d’un droit ancestral, ce qui donne lieu à une atteinte</w:t>
      </w:r>
      <w:r>
        <w:rPr>
          <w:rFonts w:cs="Times New Roman"/>
          <w:lang w:val="fr-CA"/>
        </w:rPr>
        <w:t> :</w:t>
      </w:r>
      <w:r w:rsidRPr="002F5A3C">
        <w:rPr>
          <w:rFonts w:cs="Times New Roman"/>
          <w:lang w:val="fr-CA"/>
        </w:rPr>
        <w:t xml:space="preserve"> (1) si </w:t>
      </w:r>
      <w:r w:rsidRPr="002F5A3C">
        <w:rPr>
          <w:rFonts w:cs="Times New Roman"/>
          <w:lang w:val="fr-CA"/>
        </w:rPr>
        <w:lastRenderedPageBreak/>
        <w:t>la restriction imposée par la loi est déraisonnable; (2) si la loi est indûment rigoureuse; et (3) si la loi refuse aux titulaires du droit le recours à leur moyen préféré d’exercer ce droit (p.</w:t>
      </w:r>
      <w:r>
        <w:rPr>
          <w:rFonts w:cs="Times New Roman"/>
          <w:lang w:val="fr-CA"/>
        </w:rPr>
        <w:t xml:space="preserve"> </w:t>
      </w:r>
      <w:r w:rsidRPr="002F5A3C">
        <w:rPr>
          <w:rFonts w:cs="Times New Roman"/>
          <w:lang w:val="fr-CA"/>
        </w:rPr>
        <w:t>1112).  Les trois facteurs doivent être pris en compte; par exemple, même s’il est jugé que les lois d’application générale ne sont pas déraisonnables ou indûment rigoureuses, cela ne signifie pas qu’il ne peut pas y avoir d’atteinte au titre ancestral.</w:t>
      </w:r>
      <w:r>
        <w:rPr>
          <w:rFonts w:cs="Times New Roman"/>
          <w:lang w:val="fr-CA"/>
        </w:rPr>
        <w:t xml:space="preserve"> </w:t>
      </w:r>
      <w:r w:rsidRPr="002F5A3C">
        <w:rPr>
          <w:rFonts w:cs="Times New Roman"/>
          <w:lang w:val="fr-CA"/>
        </w:rPr>
        <w:t xml:space="preserve"> Comme la Cour l’a affirmé dans l’arrêt </w:t>
      </w:r>
      <w:r w:rsidRPr="002F5A3C">
        <w:rPr>
          <w:rFonts w:cs="Times New Roman"/>
          <w:i/>
          <w:lang w:val="fr-CA"/>
        </w:rPr>
        <w:t>Gladstone</w:t>
      </w:r>
      <w:r>
        <w:rPr>
          <w:rFonts w:cs="Times New Roman"/>
          <w:i/>
          <w:lang w:val="fr-CA"/>
        </w:rPr>
        <w:t> </w:t>
      </w:r>
      <w:r w:rsidRPr="007B392E">
        <w:rPr>
          <w:rFonts w:cs="Times New Roman"/>
          <w:lang w:val="fr-CA"/>
        </w:rPr>
        <w:t>:</w:t>
      </w:r>
    </w:p>
    <w:p w:rsidR="000F2258" w:rsidRPr="002F5A3C" w:rsidRDefault="000F2258" w:rsidP="000F2258">
      <w:pPr>
        <w:pStyle w:val="Citation-AltC"/>
        <w:ind w:hanging="1166"/>
        <w:rPr>
          <w:lang w:val="fr-CA"/>
        </w:rPr>
      </w:pPr>
      <w:r w:rsidRPr="002F5A3C">
        <w:rPr>
          <w:lang w:val="fr-CA"/>
        </w:rPr>
        <w:tab/>
        <w:t xml:space="preserve">Le simple fait qu’on réponde par la négative à l’une de ces questions [formulées dans l’arrêt </w:t>
      </w:r>
      <w:r w:rsidRPr="002F5A3C">
        <w:rPr>
          <w:i/>
          <w:lang w:val="fr-CA"/>
        </w:rPr>
        <w:t>Sparrow</w:t>
      </w:r>
      <w:r w:rsidRPr="002F5A3C">
        <w:rPr>
          <w:lang w:val="fr-CA"/>
        </w:rPr>
        <w:t>] n’empêche pas le tribunal de conclure à l’existence d’une atteinte à première vue.  Cette réponse négative n’est qu’un des facteurs que le tribunal doit prendre en considération pour déterminer s’il y a eu atteinte à première vue. [par.</w:t>
      </w:r>
      <w:r>
        <w:rPr>
          <w:lang w:val="fr-CA"/>
        </w:rPr>
        <w:t xml:space="preserve"> </w:t>
      </w:r>
      <w:r w:rsidRPr="002F5A3C">
        <w:rPr>
          <w:lang w:val="fr-CA"/>
        </w:rPr>
        <w:t>43]</w:t>
      </w:r>
    </w:p>
    <w:p w:rsidR="000F2258" w:rsidRPr="002F5A3C" w:rsidRDefault="000F2258" w:rsidP="000F2258">
      <w:pPr>
        <w:pStyle w:val="ParaNoNdepar-AltN"/>
        <w:rPr>
          <w:rFonts w:cs="Times New Roman"/>
          <w:lang w:val="fr-CA"/>
        </w:rPr>
      </w:pPr>
      <w:r w:rsidRPr="002F5A3C">
        <w:rPr>
          <w:rFonts w:cs="Times New Roman"/>
          <w:lang w:val="fr-CA"/>
        </w:rPr>
        <w:t>On peut prévoir que les lois et règlements d’application générale visant à protéger l’environnement ou à assurer, à long terme, la santé des forêts de la Colombie</w:t>
      </w:r>
      <w:r>
        <w:rPr>
          <w:rFonts w:cs="Times New Roman"/>
          <w:lang w:val="fr-CA"/>
        </w:rPr>
        <w:t>-</w:t>
      </w:r>
      <w:r w:rsidRPr="002F5A3C">
        <w:rPr>
          <w:rFonts w:cs="Times New Roman"/>
          <w:lang w:val="fr-CA"/>
        </w:rPr>
        <w:t>Britannique seront habituellement raisonnables, qu’ils ne seront pas, directement ou indirectement, indûment rigoureux et qu’ils ne refuseront pas au groupe autochtone leur moyen préféré d’exercer leur droit.  Et il faut espérer que les groupes autochtones et le gouvernement provincial collaboreront pour assurer la pérennité de l’environnement naturel qui leur est si important.  Ce</w:t>
      </w:r>
      <w:r w:rsidR="00B32D79">
        <w:rPr>
          <w:rFonts w:cs="Times New Roman"/>
          <w:lang w:val="fr-CA"/>
        </w:rPr>
        <w:t>la</w:t>
      </w:r>
      <w:r w:rsidRPr="002F5A3C">
        <w:rPr>
          <w:rFonts w:cs="Times New Roman"/>
          <w:lang w:val="fr-CA"/>
        </w:rPr>
        <w:t xml:space="preserve"> dit, lorsque survient un conflit, l’analyse qui précède sert à le régler.</w:t>
      </w:r>
    </w:p>
    <w:p w:rsidR="000F2258" w:rsidRPr="002F5A3C" w:rsidRDefault="000F2258" w:rsidP="000F2258">
      <w:pPr>
        <w:pStyle w:val="ParaNoNdepar-AltN"/>
        <w:rPr>
          <w:rFonts w:cs="Times New Roman"/>
          <w:lang w:val="fr-CA"/>
        </w:rPr>
      </w:pPr>
      <w:r w:rsidRPr="002F5A3C">
        <w:rPr>
          <w:rFonts w:cs="Times New Roman"/>
          <w:lang w:val="fr-CA"/>
        </w:rPr>
        <w:t>Sous réserve de ces contraintes constitutionnelles, les lois provinciales d’application générale s’appliquent aux terres détenues en vertu d’un titre ancestral.</w:t>
      </w:r>
    </w:p>
    <w:p w:rsidR="000F2258" w:rsidRPr="002F5A3C" w:rsidRDefault="000F2258" w:rsidP="007B392E">
      <w:pPr>
        <w:pStyle w:val="Title2LevelTitre2Niveau"/>
        <w:jc w:val="both"/>
        <w:outlineLvl w:val="1"/>
        <w:rPr>
          <w:rFonts w:cs="Times New Roman"/>
          <w:lang w:val="fr-CA"/>
        </w:rPr>
      </w:pPr>
      <w:bookmarkStart w:id="41" w:name="_Toc389497759"/>
      <w:bookmarkStart w:id="42" w:name="_Toc391446181"/>
      <w:r w:rsidRPr="002F5A3C">
        <w:rPr>
          <w:rFonts w:cs="Times New Roman"/>
          <w:lang w:val="fr-CA"/>
        </w:rPr>
        <w:t>À première vue, la Forest Act s’applique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elle aux terres visées par un titre ancestral?</w:t>
      </w:r>
      <w:bookmarkEnd w:id="41"/>
      <w:bookmarkEnd w:id="42"/>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lastRenderedPageBreak/>
        <w:t>À ce stade</w:t>
      </w:r>
      <w:r>
        <w:rPr>
          <w:rFonts w:cs="Times New Roman"/>
          <w:lang w:val="fr-CA"/>
        </w:rPr>
        <w:t>-</w:t>
      </w:r>
      <w:r w:rsidRPr="002F5A3C">
        <w:rPr>
          <w:rFonts w:cs="Times New Roman"/>
          <w:lang w:val="fr-CA"/>
        </w:rPr>
        <w:t xml:space="preserve">ci, la question de savoir si une loi d’application générale telle la </w:t>
      </w:r>
      <w:r w:rsidRPr="002F5A3C">
        <w:rPr>
          <w:rFonts w:cs="Times New Roman"/>
          <w:i/>
          <w:lang w:val="fr-CA"/>
        </w:rPr>
        <w:t xml:space="preserve">Forest Act </w:t>
      </w:r>
      <w:r w:rsidRPr="002F5A3C">
        <w:rPr>
          <w:rFonts w:cs="Times New Roman"/>
          <w:lang w:val="fr-CA"/>
        </w:rPr>
        <w:t xml:space="preserve">était </w:t>
      </w:r>
      <w:r w:rsidRPr="00246EEC">
        <w:rPr>
          <w:rFonts w:cs="Times New Roman"/>
          <w:i/>
          <w:lang w:val="fr-CA"/>
        </w:rPr>
        <w:t>censée</w:t>
      </w:r>
      <w:r w:rsidRPr="002F5A3C">
        <w:rPr>
          <w:rFonts w:cs="Times New Roman"/>
          <w:lang w:val="fr-CA"/>
        </w:rPr>
        <w:t xml:space="preserve"> s’appliquer aux terres visées par un titre ancestral est toujours une question d’interprétation législative.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Selon la règle fondamentale en matière d’interprétation législative, [</w:t>
      </w:r>
      <w:r w:rsidRPr="002F5A3C">
        <w:rPr>
          <w:rFonts w:cs="Times New Roman"/>
          <w:smallCaps/>
          <w:lang w:val="fr-CA"/>
        </w:rPr>
        <w:t>traduction</w:t>
      </w:r>
      <w:r w:rsidRPr="002F5A3C">
        <w:rPr>
          <w:rFonts w:cs="Times New Roman"/>
          <w:lang w:val="fr-CA"/>
        </w:rPr>
        <w:t xml:space="preserve">] </w:t>
      </w:r>
      <w:r>
        <w:rPr>
          <w:rFonts w:cs="Times New Roman"/>
          <w:lang w:val="fr-CA"/>
        </w:rPr>
        <w:t>« </w:t>
      </w:r>
      <w:r w:rsidRPr="002F5A3C">
        <w:rPr>
          <w:rFonts w:cs="Times New Roman"/>
          <w:lang w:val="fr-CA"/>
        </w:rPr>
        <w:t>il faut interpréter les termes d’une loi dans leur contexte global en suivant le sens ordinaire et grammatical qui s’harmonise avec l’économie de la loi, son objet et l’intention du législateur</w:t>
      </w:r>
      <w:r>
        <w:rPr>
          <w:rFonts w:cs="Times New Roman"/>
          <w:lang w:val="fr-CA"/>
        </w:rPr>
        <w:t> » :</w:t>
      </w:r>
      <w:r w:rsidRPr="002F5A3C">
        <w:rPr>
          <w:rFonts w:cs="Times New Roman"/>
          <w:lang w:val="fr-CA"/>
        </w:rPr>
        <w:t xml:space="preserve"> R.</w:t>
      </w:r>
      <w:r>
        <w:rPr>
          <w:rFonts w:cs="Times New Roman"/>
          <w:lang w:val="fr-CA"/>
        </w:rPr>
        <w:t xml:space="preserve"> </w:t>
      </w:r>
      <w:r w:rsidRPr="002F5A3C">
        <w:rPr>
          <w:rFonts w:cs="Times New Roman"/>
          <w:lang w:val="fr-CA"/>
        </w:rPr>
        <w:t xml:space="preserve">Sullivan, </w:t>
      </w:r>
      <w:r w:rsidRPr="002F5A3C">
        <w:rPr>
          <w:rFonts w:cs="Times New Roman"/>
          <w:i/>
          <w:iCs/>
          <w:lang w:val="fr-CA"/>
        </w:rPr>
        <w:t>Sullivan on the Construction of Statutes</w:t>
      </w:r>
      <w:r w:rsidRPr="002F5A3C">
        <w:rPr>
          <w:rFonts w:cs="Times New Roman"/>
          <w:lang w:val="fr-CA"/>
        </w:rPr>
        <w:t xml:space="preserve"> (5</w:t>
      </w:r>
      <w:r w:rsidRPr="002F5A3C">
        <w:rPr>
          <w:rFonts w:cs="Times New Roman"/>
          <w:vertAlign w:val="superscript"/>
          <w:lang w:val="fr-CA"/>
        </w:rPr>
        <w:t>e</w:t>
      </w:r>
      <w:r w:rsidRPr="002F5A3C">
        <w:rPr>
          <w:rFonts w:cs="Times New Roman"/>
          <w:lang w:val="fr-CA"/>
        </w:rPr>
        <w:t xml:space="preserve"> éd. 2008), p.</w:t>
      </w:r>
      <w:r>
        <w:rPr>
          <w:rFonts w:cs="Times New Roman"/>
          <w:lang w:val="fr-CA"/>
        </w:rPr>
        <w:t xml:space="preserve"> </w:t>
      </w:r>
      <w:r w:rsidRPr="002F5A3C">
        <w:rPr>
          <w:rFonts w:cs="Times New Roman"/>
          <w:lang w:val="fr-CA"/>
        </w:rPr>
        <w:t>1.</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Aux termes de la </w:t>
      </w:r>
      <w:r w:rsidRPr="002F5A3C">
        <w:rPr>
          <w:rFonts w:cs="Times New Roman"/>
          <w:i/>
          <w:lang w:val="fr-CA"/>
        </w:rPr>
        <w:t>Forest Act</w:t>
      </w:r>
      <w:r w:rsidRPr="002F5A3C">
        <w:rPr>
          <w:rFonts w:cs="Times New Roman"/>
          <w:lang w:val="fr-CA"/>
        </w:rPr>
        <w:t>, le gouvernement ne peut délivrer des permis de coupe que pour le [</w:t>
      </w:r>
      <w:r w:rsidRPr="002F5A3C">
        <w:rPr>
          <w:rFonts w:cs="Times New Roman"/>
          <w:smallCaps/>
          <w:lang w:val="fr-CA"/>
        </w:rPr>
        <w:t>traduction</w:t>
      </w:r>
      <w:r w:rsidRPr="002F5A3C">
        <w:rPr>
          <w:rFonts w:cs="Times New Roman"/>
          <w:lang w:val="fr-CA"/>
        </w:rPr>
        <w:t xml:space="preserve">] </w:t>
      </w:r>
      <w:r>
        <w:rPr>
          <w:rFonts w:cs="Times New Roman"/>
          <w:lang w:val="fr-CA"/>
        </w:rPr>
        <w:t>« </w:t>
      </w:r>
      <w:r w:rsidRPr="002F5A3C">
        <w:rPr>
          <w:rFonts w:cs="Times New Roman"/>
          <w:lang w:val="fr-CA"/>
        </w:rPr>
        <w:t>bois des terres publiques</w:t>
      </w:r>
      <w:r>
        <w:rPr>
          <w:rFonts w:cs="Times New Roman"/>
          <w:lang w:val="fr-CA"/>
        </w:rPr>
        <w:t> »</w:t>
      </w:r>
      <w:r w:rsidRPr="002F5A3C">
        <w:rPr>
          <w:rFonts w:cs="Times New Roman"/>
          <w:lang w:val="fr-CA"/>
        </w:rPr>
        <w:t xml:space="preserve">, défini comme étant le bois qui se trouve sur les </w:t>
      </w:r>
      <w:r>
        <w:rPr>
          <w:rFonts w:cs="Times New Roman"/>
          <w:lang w:val="fr-CA"/>
        </w:rPr>
        <w:t>« </w:t>
      </w:r>
      <w:r w:rsidRPr="002F5A3C">
        <w:rPr>
          <w:rFonts w:cs="Times New Roman"/>
          <w:lang w:val="fr-CA"/>
        </w:rPr>
        <w:t>terres publiques</w:t>
      </w:r>
      <w:r>
        <w:rPr>
          <w:rFonts w:cs="Times New Roman"/>
          <w:lang w:val="fr-CA"/>
        </w:rPr>
        <w:t> »</w:t>
      </w:r>
      <w:r w:rsidRPr="002F5A3C">
        <w:rPr>
          <w:rFonts w:cs="Times New Roman"/>
          <w:lang w:val="fr-CA"/>
        </w:rPr>
        <w:t xml:space="preserve">, lesquelles sont définies comme étant les </w:t>
      </w:r>
      <w:r>
        <w:rPr>
          <w:rFonts w:cs="Times New Roman"/>
          <w:lang w:val="fr-CA"/>
        </w:rPr>
        <w:t>« </w:t>
      </w:r>
      <w:r w:rsidRPr="002F5A3C">
        <w:rPr>
          <w:rFonts w:cs="Times New Roman"/>
          <w:lang w:val="fr-CA"/>
        </w:rPr>
        <w:t>terres dévolues à la Couronne, qu’elles soient ou non recouvertes d’eau, ou un droit sur ces terres</w:t>
      </w:r>
      <w:r>
        <w:rPr>
          <w:rFonts w:cs="Times New Roman"/>
          <w:lang w:val="fr-CA"/>
        </w:rPr>
        <w:t> »</w:t>
      </w:r>
      <w:r w:rsidRPr="002F5A3C">
        <w:rPr>
          <w:rFonts w:cs="Times New Roman"/>
          <w:lang w:val="fr-CA"/>
        </w:rPr>
        <w:t xml:space="preserve"> (art.</w:t>
      </w:r>
      <w:r>
        <w:rPr>
          <w:rFonts w:cs="Times New Roman"/>
          <w:lang w:val="fr-CA"/>
        </w:rPr>
        <w:t xml:space="preserve"> </w:t>
      </w:r>
      <w:r w:rsidRPr="002F5A3C">
        <w:rPr>
          <w:rFonts w:cs="Times New Roman"/>
          <w:lang w:val="fr-CA"/>
        </w:rPr>
        <w:t xml:space="preserve">1).  Le gouvernement n’a pas le pouvoir de délivrer des permis de coupe de bois sur les </w:t>
      </w:r>
      <w:r>
        <w:rPr>
          <w:rFonts w:cs="Times New Roman"/>
          <w:lang w:val="fr-CA"/>
        </w:rPr>
        <w:t>« </w:t>
      </w:r>
      <w:r w:rsidRPr="002F5A3C">
        <w:rPr>
          <w:rFonts w:cs="Times New Roman"/>
          <w:lang w:val="fr-CA"/>
        </w:rPr>
        <w:t>terres privées</w:t>
      </w:r>
      <w:r>
        <w:rPr>
          <w:rFonts w:cs="Times New Roman"/>
          <w:lang w:val="fr-CA"/>
        </w:rPr>
        <w:t> »</w:t>
      </w:r>
      <w:r w:rsidRPr="002F5A3C">
        <w:rPr>
          <w:rFonts w:cs="Times New Roman"/>
          <w:lang w:val="fr-CA"/>
        </w:rPr>
        <w:t>, elles</w:t>
      </w:r>
      <w:r>
        <w:rPr>
          <w:rFonts w:cs="Times New Roman"/>
          <w:lang w:val="fr-CA"/>
        </w:rPr>
        <w:t>-</w:t>
      </w:r>
      <w:r w:rsidRPr="002F5A3C">
        <w:rPr>
          <w:rFonts w:cs="Times New Roman"/>
          <w:lang w:val="fr-CA"/>
        </w:rPr>
        <w:t xml:space="preserve">mêmes définies comme étant toutes les terres qui ne sont pas des terres publiques.  La </w:t>
      </w:r>
      <w:r w:rsidRPr="002F5A3C">
        <w:rPr>
          <w:rFonts w:cs="Times New Roman"/>
          <w:i/>
          <w:lang w:val="fr-CA"/>
        </w:rPr>
        <w:t>Forest Act</w:t>
      </w:r>
      <w:r w:rsidRPr="002F5A3C">
        <w:rPr>
          <w:rFonts w:cs="Times New Roman"/>
          <w:lang w:val="fr-CA"/>
        </w:rPr>
        <w:t xml:space="preserve"> ne fait pas mention des terres visées par un titre ancestral et nous laisse devant trois possibilités</w:t>
      </w:r>
      <w:r>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 xml:space="preserve">les terres visées par un titre ancestral sont des </w:t>
      </w:r>
      <w:r>
        <w:rPr>
          <w:rFonts w:cs="Times New Roman"/>
          <w:lang w:val="fr-CA"/>
        </w:rPr>
        <w:t>« </w:t>
      </w:r>
      <w:r w:rsidRPr="002F5A3C">
        <w:rPr>
          <w:rFonts w:cs="Times New Roman"/>
          <w:lang w:val="fr-CA"/>
        </w:rPr>
        <w:t>terres publiques</w:t>
      </w:r>
      <w:r>
        <w:rPr>
          <w:rFonts w:cs="Times New Roman"/>
          <w:lang w:val="fr-CA"/>
        </w:rPr>
        <w:t> »</w:t>
      </w:r>
      <w:r w:rsidRPr="002F5A3C">
        <w:rPr>
          <w:rFonts w:cs="Times New Roman"/>
          <w:lang w:val="fr-CA"/>
        </w:rPr>
        <w:t>; (2)</w:t>
      </w:r>
      <w:r>
        <w:rPr>
          <w:rFonts w:cs="Times New Roman"/>
          <w:lang w:val="fr-CA"/>
        </w:rPr>
        <w:t xml:space="preserve"> </w:t>
      </w:r>
      <w:r w:rsidRPr="002F5A3C">
        <w:rPr>
          <w:rFonts w:cs="Times New Roman"/>
          <w:lang w:val="fr-CA"/>
        </w:rPr>
        <w:t xml:space="preserve">les terres visées par un titre ancestral sont des </w:t>
      </w:r>
      <w:r>
        <w:rPr>
          <w:rFonts w:cs="Times New Roman"/>
          <w:lang w:val="fr-CA"/>
        </w:rPr>
        <w:t>« </w:t>
      </w:r>
      <w:r w:rsidRPr="002F5A3C">
        <w:rPr>
          <w:rFonts w:cs="Times New Roman"/>
          <w:lang w:val="fr-CA"/>
        </w:rPr>
        <w:t>terres privées</w:t>
      </w:r>
      <w:r>
        <w:rPr>
          <w:rFonts w:cs="Times New Roman"/>
          <w:lang w:val="fr-CA"/>
        </w:rPr>
        <w:t> »</w:t>
      </w:r>
      <w:r w:rsidRPr="002F5A3C">
        <w:rPr>
          <w:rFonts w:cs="Times New Roman"/>
          <w:lang w:val="fr-CA"/>
        </w:rPr>
        <w:t>; ou (3)</w:t>
      </w:r>
      <w:r>
        <w:rPr>
          <w:rFonts w:cs="Times New Roman"/>
          <w:lang w:val="fr-CA"/>
        </w:rPr>
        <w:t xml:space="preserve"> </w:t>
      </w:r>
      <w:r w:rsidRPr="002F5A3C">
        <w:rPr>
          <w:rFonts w:cs="Times New Roman"/>
          <w:lang w:val="fr-CA"/>
        </w:rPr>
        <w:t xml:space="preserve">la </w:t>
      </w:r>
      <w:r w:rsidRPr="002F5A3C">
        <w:rPr>
          <w:rFonts w:cs="Times New Roman"/>
          <w:i/>
          <w:lang w:val="fr-CA"/>
        </w:rPr>
        <w:t>Forest Act</w:t>
      </w:r>
      <w:r w:rsidRPr="002F5A3C">
        <w:rPr>
          <w:rFonts w:cs="Times New Roman"/>
          <w:lang w:val="fr-CA"/>
        </w:rPr>
        <w:t xml:space="preserve"> ne s’applique nullement aux terres visées par un titre ancestral.</w:t>
      </w:r>
      <w:r>
        <w:rPr>
          <w:rFonts w:cs="Times New Roman"/>
          <w:lang w:val="fr-CA"/>
        </w:rPr>
        <w:t xml:space="preserve"> </w:t>
      </w:r>
      <w:r w:rsidRPr="002F5A3C">
        <w:rPr>
          <w:rFonts w:cs="Times New Roman"/>
          <w:lang w:val="fr-CA"/>
        </w:rPr>
        <w:t xml:space="preserve"> Pour les besoins du présent pourvoi, il n’y a pas de différence en pratique entre les deux dernières possibilités.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lastRenderedPageBreak/>
        <w:t xml:space="preserve">Si les terres visées par un titre ancestral sont </w:t>
      </w:r>
      <w:r>
        <w:rPr>
          <w:rFonts w:cs="Times New Roman"/>
          <w:lang w:val="fr-CA"/>
        </w:rPr>
        <w:t>« </w:t>
      </w:r>
      <w:r w:rsidRPr="002F5A3C">
        <w:rPr>
          <w:rFonts w:cs="Times New Roman"/>
          <w:lang w:val="fr-CA"/>
        </w:rPr>
        <w:t>dévolues à la Couronne</w:t>
      </w:r>
      <w:r>
        <w:rPr>
          <w:rFonts w:cs="Times New Roman"/>
          <w:lang w:val="fr-CA"/>
        </w:rPr>
        <w:t> »</w:t>
      </w:r>
      <w:r w:rsidRPr="002F5A3C">
        <w:rPr>
          <w:rFonts w:cs="Times New Roman"/>
          <w:lang w:val="fr-CA"/>
        </w:rPr>
        <w:t xml:space="preserve">, la définition des </w:t>
      </w:r>
      <w:r>
        <w:rPr>
          <w:rFonts w:cs="Times New Roman"/>
          <w:lang w:val="fr-CA"/>
        </w:rPr>
        <w:t>« </w:t>
      </w:r>
      <w:r w:rsidRPr="002F5A3C">
        <w:rPr>
          <w:rFonts w:cs="Times New Roman"/>
          <w:lang w:val="fr-CA"/>
        </w:rPr>
        <w:t>terres publiques</w:t>
      </w:r>
      <w:r>
        <w:rPr>
          <w:rFonts w:cs="Times New Roman"/>
          <w:lang w:val="fr-CA"/>
        </w:rPr>
        <w:t> »</w:t>
      </w:r>
      <w:r w:rsidRPr="002F5A3C">
        <w:rPr>
          <w:rFonts w:cs="Times New Roman"/>
          <w:lang w:val="fr-CA"/>
        </w:rPr>
        <w:t xml:space="preserve"> s’y applique et le bois qui s’y trouve est du </w:t>
      </w:r>
      <w:r>
        <w:rPr>
          <w:rFonts w:cs="Times New Roman"/>
          <w:lang w:val="fr-CA"/>
        </w:rPr>
        <w:t>« </w:t>
      </w:r>
      <w:r w:rsidRPr="002F5A3C">
        <w:rPr>
          <w:rFonts w:cs="Times New Roman"/>
          <w:lang w:val="fr-CA"/>
        </w:rPr>
        <w:t>bois des terres publiques</w:t>
      </w:r>
      <w:r>
        <w:rPr>
          <w:rFonts w:cs="Times New Roman"/>
          <w:lang w:val="fr-CA"/>
        </w:rPr>
        <w:t> »</w:t>
      </w:r>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Que signifie pour une personne ou une entité le fait qu’un bien lui soit </w:t>
      </w:r>
      <w:r>
        <w:rPr>
          <w:rFonts w:cs="Times New Roman"/>
          <w:lang w:val="fr-CA"/>
        </w:rPr>
        <w:t>« </w:t>
      </w:r>
      <w:r w:rsidRPr="002F5A3C">
        <w:rPr>
          <w:rFonts w:cs="Times New Roman"/>
          <w:lang w:val="fr-CA"/>
        </w:rPr>
        <w:t>dévolu</w:t>
      </w:r>
      <w:r>
        <w:rPr>
          <w:rFonts w:cs="Times New Roman"/>
          <w:lang w:val="fr-CA"/>
        </w:rPr>
        <w:t> »</w:t>
      </w:r>
      <w:r w:rsidRPr="002F5A3C">
        <w:rPr>
          <w:rFonts w:cs="Times New Roman"/>
          <w:lang w:val="fr-CA"/>
        </w:rPr>
        <w:t>?  En droit des biens, un intérêt est dévolu lorsqu’aucune condition ou restriction n’en restreint la jouissance.  Un bien peut être dévolu en possession ou en intérêt.  Un bien est dévolu en possession lorsque la personne a le droit actuel de jouir du bien.  Le domaine viager en est un exemple.  Un bien est dévolu en intérêt lorsque le droit d’en prendre possession ultérieurement est figé.  Un intérêt résiduel est dévolu en intérêt mais non en possession</w:t>
      </w:r>
      <w:r>
        <w:rPr>
          <w:rFonts w:cs="Times New Roman"/>
          <w:lang w:val="fr-CA"/>
        </w:rPr>
        <w:t> :</w:t>
      </w:r>
      <w:r w:rsidRPr="002F5A3C">
        <w:rPr>
          <w:rFonts w:cs="Times New Roman"/>
          <w:lang w:val="fr-CA"/>
        </w:rPr>
        <w:t xml:space="preserve"> B.</w:t>
      </w:r>
      <w:r>
        <w:rPr>
          <w:rFonts w:cs="Times New Roman"/>
          <w:lang w:val="fr-CA"/>
        </w:rPr>
        <w:t xml:space="preserve"> </w:t>
      </w:r>
      <w:r w:rsidRPr="002F5A3C">
        <w:rPr>
          <w:rFonts w:cs="Times New Roman"/>
          <w:lang w:val="fr-CA"/>
        </w:rPr>
        <w:t xml:space="preserve">Ziff, </w:t>
      </w:r>
      <w:r w:rsidRPr="002F5A3C">
        <w:rPr>
          <w:rFonts w:cs="Times New Roman"/>
          <w:i/>
          <w:lang w:val="fr-CA"/>
        </w:rPr>
        <w:t>Principles of Property Law</w:t>
      </w:r>
      <w:r w:rsidRPr="002F5A3C">
        <w:rPr>
          <w:rFonts w:cs="Times New Roman"/>
          <w:lang w:val="fr-CA"/>
        </w:rPr>
        <w:t xml:space="preserve"> (5e éd. 2010), p.</w:t>
      </w:r>
      <w:r>
        <w:rPr>
          <w:rFonts w:cs="Times New Roman"/>
          <w:lang w:val="fr-CA"/>
        </w:rPr>
        <w:t xml:space="preserve"> </w:t>
      </w:r>
      <w:r w:rsidR="005A6EDB">
        <w:rPr>
          <w:rFonts w:cs="Times New Roman"/>
          <w:lang w:val="fr-CA"/>
        </w:rPr>
        <w:t xml:space="preserve">245; </w:t>
      </w:r>
      <w:r w:rsidR="005A6EDB" w:rsidRPr="00DA251E">
        <w:rPr>
          <w:rFonts w:cs="Times New Roman"/>
          <w:i/>
          <w:lang w:val="fr-CA"/>
        </w:rPr>
        <w:t>Black’s Law Dictionary</w:t>
      </w:r>
      <w:r w:rsidR="005A6EDB">
        <w:rPr>
          <w:rFonts w:cs="Times New Roman"/>
          <w:lang w:val="fr-CA"/>
        </w:rPr>
        <w:t xml:space="preserve"> (9</w:t>
      </w:r>
      <w:r w:rsidR="005A6EDB" w:rsidRPr="005A6EDB">
        <w:rPr>
          <w:rFonts w:cs="Times New Roman"/>
          <w:vertAlign w:val="superscript"/>
          <w:lang w:val="fr-CA"/>
        </w:rPr>
        <w:t>e</w:t>
      </w:r>
      <w:r w:rsidR="005A6EDB">
        <w:rPr>
          <w:rFonts w:cs="Times New Roman"/>
          <w:lang w:val="fr-CA"/>
        </w:rPr>
        <w:t xml:space="preserve"> éd. 2009), à l’article « </w:t>
      </w:r>
      <w:r w:rsidR="005A6EDB" w:rsidRPr="005A6EDB">
        <w:rPr>
          <w:rFonts w:cs="Times New Roman"/>
          <w:i/>
          <w:lang w:val="fr-CA"/>
        </w:rPr>
        <w:t>vested</w:t>
      </w:r>
      <w:r w:rsidR="005A6EDB">
        <w:rPr>
          <w:rFonts w:cs="Times New Roman"/>
          <w:lang w:val="fr-CA"/>
        </w:rPr>
        <w:t> » (dévolu).</w:t>
      </w:r>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Le titre ancestral confère un droit sur les terres</w:t>
      </w:r>
      <w:r>
        <w:rPr>
          <w:rFonts w:cs="Times New Roman"/>
          <w:lang w:val="fr-CA"/>
        </w:rPr>
        <w:t>-</w:t>
      </w:r>
      <w:r w:rsidRPr="002F5A3C">
        <w:rPr>
          <w:rFonts w:cs="Times New Roman"/>
          <w:lang w:val="fr-CA"/>
        </w:rPr>
        <w:t>mêmes, et la Couronne est tenue de justifier toute atteinte au titre.  J’ai déjà expliqué que le contenu du titre sous</w:t>
      </w:r>
      <w:r>
        <w:rPr>
          <w:rFonts w:cs="Times New Roman"/>
          <w:lang w:val="fr-CA"/>
        </w:rPr>
        <w:t>-</w:t>
      </w:r>
      <w:r w:rsidRPr="002F5A3C">
        <w:rPr>
          <w:rFonts w:cs="Times New Roman"/>
          <w:lang w:val="fr-CA"/>
        </w:rPr>
        <w:t>jacent de la Couronne se limite à l’obligation fiduciaire envers les Autochtones et au droit de porter atteinte au titre ancestral dans la mesure où l’atteinte est justifiée.  On pourrait difficilement affirmer que la Couronne a le droit actuel de jouir des terres comme elle pourrait le faire dans le cas d’un bien dévolu en possession.  De même, bien que le titre ancestral puisse être aliéné en faveur de la Couronne, cela ne confère pas un droit figé de jouir ultérieurement du titre comme elle pourrait le faire dans le cas d’un bien dévolu en intérêt.  Il semblerait plutôt que</w:t>
      </w:r>
      <w:r w:rsidR="005A6EDB">
        <w:rPr>
          <w:rFonts w:cs="Times New Roman"/>
          <w:lang w:val="fr-CA"/>
        </w:rPr>
        <w:t>,</w:t>
      </w:r>
      <w:r w:rsidRPr="002F5A3C">
        <w:rPr>
          <w:rFonts w:cs="Times New Roman"/>
          <w:lang w:val="fr-CA"/>
        </w:rPr>
        <w:t xml:space="preserve"> par l’effet du titre ancestral, les terres en question sont dévolues au groupe autochtone.</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lastRenderedPageBreak/>
        <w:t>La deuxième considération en matière d’interprétation législative est plus équivoque.  Le législateur peut</w:t>
      </w:r>
      <w:r>
        <w:rPr>
          <w:rFonts w:cs="Times New Roman"/>
          <w:lang w:val="fr-CA"/>
        </w:rPr>
        <w:t>-</w:t>
      </w:r>
      <w:r w:rsidRPr="002F5A3C">
        <w:rPr>
          <w:rFonts w:cs="Times New Roman"/>
          <w:lang w:val="fr-CA"/>
        </w:rPr>
        <w:t xml:space="preserve">il avoir voulu que les vastes territoires de la province susceptibles d’être visés par un titre ancestral soient soustraits à la réglementation de l’exploitation forestière?  Et que dire de la longue période pendant laquelle les revendications territoriales </w:t>
      </w:r>
      <w:r w:rsidR="005A6EDB">
        <w:rPr>
          <w:rFonts w:cs="Times New Roman"/>
          <w:lang w:val="fr-CA"/>
        </w:rPr>
        <w:t>font l’objet de</w:t>
      </w:r>
      <w:r w:rsidRPr="002F5A3C">
        <w:rPr>
          <w:rFonts w:cs="Times New Roman"/>
          <w:lang w:val="fr-CA"/>
        </w:rPr>
        <w:t xml:space="preserve"> négociation</w:t>
      </w:r>
      <w:r w:rsidR="005A6EDB">
        <w:rPr>
          <w:rFonts w:cs="Times New Roman"/>
          <w:lang w:val="fr-CA"/>
        </w:rPr>
        <w:t>s</w:t>
      </w:r>
      <w:r w:rsidRPr="002F5A3C">
        <w:rPr>
          <w:rFonts w:cs="Times New Roman"/>
          <w:lang w:val="fr-CA"/>
        </w:rPr>
        <w:t xml:space="preserve"> et le titre ancestral demeure incertain?  Pendant cette période, les groupes autochtones n’ont pas le droit de gérer les forêts; ils ont seulement droit qu’on les consulte et, s’il y a lieu, qu’on les accommode relativement à l’utilisation des terres</w:t>
      </w:r>
      <w:r>
        <w:rPr>
          <w:rFonts w:cs="Times New Roman"/>
          <w:lang w:val="fr-CA"/>
        </w:rPr>
        <w:t> :</w:t>
      </w:r>
      <w:r w:rsidRPr="002F5A3C">
        <w:rPr>
          <w:rFonts w:cs="Times New Roman"/>
          <w:lang w:val="fr-CA"/>
        </w:rPr>
        <w:t xml:space="preserve"> </w:t>
      </w:r>
      <w:r w:rsidRPr="002F5A3C">
        <w:rPr>
          <w:rFonts w:cs="Times New Roman"/>
          <w:i/>
          <w:lang w:val="fr-CA"/>
        </w:rPr>
        <w:t>Nation haïda</w:t>
      </w:r>
      <w:r w:rsidRPr="002F5A3C">
        <w:rPr>
          <w:rFonts w:cs="Times New Roman"/>
          <w:lang w:val="fr-CA"/>
        </w:rPr>
        <w:t xml:space="preserve">.  À cette étape, le gouvernement peut continuer à gérer la ressource en question, mais l’honneur de la Couronne l’oblige à respecter la revendication non encore prouvée.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Il semble ressortir clairement du dossier historique et du dossier en l’espèce que dans ce contexte évolutif, le législateur de la Colombie</w:t>
      </w:r>
      <w:r>
        <w:rPr>
          <w:rFonts w:cs="Times New Roman"/>
          <w:lang w:val="fr-CA"/>
        </w:rPr>
        <w:t>-</w:t>
      </w:r>
      <w:r w:rsidRPr="002F5A3C">
        <w:rPr>
          <w:rFonts w:cs="Times New Roman"/>
          <w:lang w:val="fr-CA"/>
        </w:rPr>
        <w:t>Britannique s’est fondé sur le fait que les terres revendiquées demeurent des</w:t>
      </w:r>
      <w:r w:rsidR="005A6EDB">
        <w:rPr>
          <w:rFonts w:cs="Times New Roman"/>
          <w:lang w:val="fr-CA"/>
        </w:rPr>
        <w:t xml:space="preserve"> [</w:t>
      </w:r>
      <w:r w:rsidR="005A6EDB" w:rsidRPr="005A6EDB">
        <w:rPr>
          <w:rFonts w:cs="Times New Roman"/>
          <w:smallCaps/>
          <w:lang w:val="fr-CA"/>
        </w:rPr>
        <w:t>traduction</w:t>
      </w:r>
      <w:r w:rsidR="005A6EDB">
        <w:rPr>
          <w:rFonts w:cs="Times New Roman"/>
          <w:lang w:val="fr-CA"/>
        </w:rPr>
        <w:t>]</w:t>
      </w:r>
      <w:r w:rsidRPr="002F5A3C">
        <w:rPr>
          <w:rFonts w:cs="Times New Roman"/>
          <w:lang w:val="fr-CA"/>
        </w:rPr>
        <w:t xml:space="preserve"> </w:t>
      </w:r>
      <w:r>
        <w:rPr>
          <w:rFonts w:cs="Times New Roman"/>
          <w:lang w:val="fr-CA"/>
        </w:rPr>
        <w:t>« </w:t>
      </w:r>
      <w:r w:rsidRPr="002F5A3C">
        <w:rPr>
          <w:rFonts w:cs="Times New Roman"/>
          <w:lang w:val="fr-CA"/>
        </w:rPr>
        <w:t>terres publiques</w:t>
      </w:r>
      <w:r>
        <w:rPr>
          <w:rFonts w:cs="Times New Roman"/>
          <w:lang w:val="fr-CA"/>
        </w:rPr>
        <w:t> »</w:t>
      </w:r>
      <w:r w:rsidRPr="002F5A3C">
        <w:rPr>
          <w:rFonts w:cs="Times New Roman"/>
          <w:lang w:val="fr-CA"/>
        </w:rPr>
        <w:t xml:space="preserve"> au sens de la </w:t>
      </w:r>
      <w:r w:rsidRPr="002F5A3C">
        <w:rPr>
          <w:rFonts w:cs="Times New Roman"/>
          <w:i/>
          <w:lang w:val="fr-CA"/>
        </w:rPr>
        <w:t>Forest Act</w:t>
      </w:r>
      <w:r w:rsidRPr="002F5A3C">
        <w:rPr>
          <w:rFonts w:cs="Times New Roman"/>
          <w:lang w:val="fr-CA"/>
        </w:rPr>
        <w:t xml:space="preserve">, du moins jusqu’à ce que le titre ancestral soit reconnu par un tribunal ou une entente.  Autrement, personne ne se serait occupé des forêts qui couvrent des centaines de milliers d’hectares et qui représentent une ressource d’une valeur inestimable.  Compte tenu de ce contexte historique très particulier, il semble clair que le législateur doit avoir voulu que les mots </w:t>
      </w:r>
      <w:r>
        <w:rPr>
          <w:rFonts w:cs="Times New Roman"/>
          <w:lang w:val="fr-CA"/>
        </w:rPr>
        <w:t>« </w:t>
      </w:r>
      <w:r w:rsidRPr="002F5A3C">
        <w:rPr>
          <w:rFonts w:cs="Times New Roman"/>
          <w:lang w:val="fr-CA"/>
        </w:rPr>
        <w:t>dévolues à la Couronne</w:t>
      </w:r>
      <w:r>
        <w:rPr>
          <w:rFonts w:cs="Times New Roman"/>
          <w:lang w:val="fr-CA"/>
        </w:rPr>
        <w:t> »</w:t>
      </w:r>
      <w:r w:rsidRPr="002F5A3C">
        <w:rPr>
          <w:rFonts w:cs="Times New Roman"/>
          <w:lang w:val="fr-CA"/>
        </w:rPr>
        <w:t xml:space="preserve"> s’appliquent au moins aux terres sur lesquelles l’existence du titre ancestral n’était pas encore confirmée.</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Je conclus que le législateur voulait que la </w:t>
      </w:r>
      <w:r w:rsidRPr="002F5A3C">
        <w:rPr>
          <w:rFonts w:cs="Times New Roman"/>
          <w:i/>
          <w:lang w:val="fr-CA"/>
        </w:rPr>
        <w:t xml:space="preserve">Forest Act </w:t>
      </w:r>
      <w:r w:rsidRPr="002F5A3C">
        <w:rPr>
          <w:rFonts w:cs="Times New Roman"/>
          <w:lang w:val="fr-CA"/>
        </w:rPr>
        <w:t xml:space="preserve">s’applique aux terres visées par une revendication de titre ancestral, </w:t>
      </w:r>
      <w:r w:rsidRPr="002F5A3C">
        <w:rPr>
          <w:rFonts w:cs="Times New Roman"/>
          <w:i/>
          <w:lang w:val="fr-CA"/>
        </w:rPr>
        <w:t>jusqu’à ce que l’existence du titre soit confirmée par une entente ou une ordonnance judiciaire.</w:t>
      </w:r>
      <w:r w:rsidRPr="002F5A3C">
        <w:rPr>
          <w:rFonts w:cs="Times New Roman"/>
          <w:lang w:val="fr-CA"/>
        </w:rPr>
        <w:t xml:space="preserve">  Conclure autrement </w:t>
      </w:r>
      <w:r w:rsidRPr="002F5A3C">
        <w:rPr>
          <w:rFonts w:cs="Times New Roman"/>
          <w:lang w:val="fr-CA"/>
        </w:rPr>
        <w:lastRenderedPageBreak/>
        <w:t xml:space="preserve">reviendrait à accepter que le législateur voulait que les forêts se trouvant sur ces terres ne soient pas du tout réglementées et minerait la prémisse sur laquelle était fondée l’obligation de consulter confirmée dans l’arrêt </w:t>
      </w:r>
      <w:r w:rsidRPr="002F5A3C">
        <w:rPr>
          <w:rFonts w:cs="Times New Roman"/>
          <w:i/>
          <w:lang w:val="fr-CA"/>
        </w:rPr>
        <w:t>Nation haïda</w:t>
      </w:r>
      <w:r w:rsidRPr="002F5A3C">
        <w:rPr>
          <w:rFonts w:cs="Times New Roman"/>
          <w:lang w:val="fr-CA"/>
        </w:rPr>
        <w:t xml:space="preserve">.  Cependant, une fois que l’existence du titre ancestral est confirmée, les terres sont </w:t>
      </w:r>
      <w:r>
        <w:rPr>
          <w:rFonts w:cs="Times New Roman"/>
          <w:lang w:val="fr-CA"/>
        </w:rPr>
        <w:t>« </w:t>
      </w:r>
      <w:r w:rsidRPr="002F5A3C">
        <w:rPr>
          <w:rFonts w:cs="Times New Roman"/>
          <w:lang w:val="fr-CA"/>
        </w:rPr>
        <w:t>dévolues</w:t>
      </w:r>
      <w:r>
        <w:rPr>
          <w:rFonts w:cs="Times New Roman"/>
          <w:lang w:val="fr-CA"/>
        </w:rPr>
        <w:t> »</w:t>
      </w:r>
      <w:r w:rsidRPr="002F5A3C">
        <w:rPr>
          <w:rFonts w:cs="Times New Roman"/>
          <w:lang w:val="fr-CA"/>
        </w:rPr>
        <w:t xml:space="preserve"> au groupe autochtone et ne sont plus des terres publiques.</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L’application de cette conclusion en l’espèce signifie que, selon les règles d’interprétation législative, les terres en question étaient des</w:t>
      </w:r>
      <w:r w:rsidR="005A6EDB">
        <w:rPr>
          <w:rFonts w:cs="Times New Roman"/>
          <w:lang w:val="fr-CA"/>
        </w:rPr>
        <w:t xml:space="preserve"> [</w:t>
      </w:r>
      <w:r w:rsidR="005A6EDB" w:rsidRPr="005A6EDB">
        <w:rPr>
          <w:rFonts w:cs="Times New Roman"/>
          <w:smallCaps/>
          <w:lang w:val="fr-CA"/>
        </w:rPr>
        <w:t>traduction</w:t>
      </w:r>
      <w:r w:rsidR="005A6EDB">
        <w:rPr>
          <w:rFonts w:cs="Times New Roman"/>
          <w:lang w:val="fr-CA"/>
        </w:rPr>
        <w:t>]</w:t>
      </w:r>
      <w:r w:rsidRPr="002F5A3C">
        <w:rPr>
          <w:rFonts w:cs="Times New Roman"/>
          <w:lang w:val="fr-CA"/>
        </w:rPr>
        <w:t xml:space="preserve"> </w:t>
      </w:r>
      <w:r>
        <w:rPr>
          <w:rFonts w:cs="Times New Roman"/>
          <w:lang w:val="fr-CA"/>
        </w:rPr>
        <w:t>« </w:t>
      </w:r>
      <w:r w:rsidRPr="002F5A3C">
        <w:rPr>
          <w:rFonts w:cs="Times New Roman"/>
          <w:lang w:val="fr-CA"/>
        </w:rPr>
        <w:t>terres publiques</w:t>
      </w:r>
      <w:r>
        <w:rPr>
          <w:rFonts w:cs="Times New Roman"/>
          <w:lang w:val="fr-CA"/>
        </w:rPr>
        <w:t> »</w:t>
      </w:r>
      <w:r w:rsidRPr="002F5A3C">
        <w:rPr>
          <w:rFonts w:cs="Times New Roman"/>
          <w:lang w:val="fr-CA"/>
        </w:rPr>
        <w:t xml:space="preserve"> aux termes de la </w:t>
      </w:r>
      <w:r w:rsidRPr="002F5A3C">
        <w:rPr>
          <w:rFonts w:cs="Times New Roman"/>
          <w:i/>
          <w:lang w:val="fr-CA"/>
        </w:rPr>
        <w:t>Forest Act</w:t>
      </w:r>
      <w:r w:rsidRPr="002F5A3C">
        <w:rPr>
          <w:rFonts w:cs="Times New Roman"/>
          <w:lang w:val="fr-CA"/>
        </w:rPr>
        <w:t xml:space="preserve"> au moment où les permis d’exploitation forestière ont été délivrés.  Cependant, maintenant que l’existence du titre a été établie, l’intérêt bénéficiaire sur les terres est dévolu au groupe autochtone et non à la Couronne.  La définition de </w:t>
      </w:r>
      <w:r>
        <w:rPr>
          <w:rFonts w:cs="Times New Roman"/>
          <w:lang w:val="fr-CA"/>
        </w:rPr>
        <w:t>« </w:t>
      </w:r>
      <w:r w:rsidRPr="002F5A3C">
        <w:rPr>
          <w:rFonts w:cs="Times New Roman"/>
          <w:lang w:val="fr-CA"/>
        </w:rPr>
        <w:t>bois des terres publiques</w:t>
      </w:r>
      <w:r>
        <w:rPr>
          <w:rFonts w:cs="Times New Roman"/>
          <w:lang w:val="fr-CA"/>
        </w:rPr>
        <w:t> »</w:t>
      </w:r>
      <w:r w:rsidRPr="002F5A3C">
        <w:rPr>
          <w:rFonts w:cs="Times New Roman"/>
          <w:lang w:val="fr-CA"/>
        </w:rPr>
        <w:t xml:space="preserve"> ne s’applique plus au bois qui se trouve sur ces terres et la </w:t>
      </w:r>
      <w:r w:rsidRPr="002F5A3C">
        <w:rPr>
          <w:rFonts w:cs="Times New Roman"/>
          <w:i/>
          <w:lang w:val="fr-CA"/>
        </w:rPr>
        <w:t>Forest Act</w:t>
      </w:r>
      <w:r w:rsidRPr="002F5A3C">
        <w:rPr>
          <w:rFonts w:cs="Times New Roman"/>
          <w:lang w:val="fr-CA"/>
        </w:rPr>
        <w:t xml:space="preserve"> ne s’y applique plus.  J’aimerais préciser un point évident — le législateur peut toujours modifier la </w:t>
      </w:r>
      <w:r w:rsidRPr="002F5A3C">
        <w:rPr>
          <w:rFonts w:cs="Times New Roman"/>
          <w:i/>
          <w:lang w:val="fr-CA"/>
        </w:rPr>
        <w:t>Forest Act</w:t>
      </w:r>
      <w:r w:rsidRPr="002F5A3C">
        <w:rPr>
          <w:rFonts w:cs="Times New Roman"/>
          <w:lang w:val="fr-CA"/>
        </w:rPr>
        <w:t xml:space="preserve"> afin qu’elle s’applique sur les terres visées par un titre ancestral, à la condition de respecter les contraintes constitutionnelles applicables.</w:t>
      </w:r>
    </w:p>
    <w:p w:rsidR="000F2258" w:rsidRPr="002F5A3C" w:rsidRDefault="000F2258" w:rsidP="000F2258">
      <w:pPr>
        <w:pStyle w:val="Title2LevelTitre2Niveau"/>
        <w:outlineLvl w:val="1"/>
        <w:rPr>
          <w:rFonts w:cs="Times New Roman"/>
          <w:lang w:val="fr-CA"/>
        </w:rPr>
      </w:pPr>
      <w:bookmarkStart w:id="43" w:name="_Toc389497760"/>
      <w:bookmarkStart w:id="44" w:name="_Toc391446182"/>
      <w:r w:rsidRPr="002F5A3C">
        <w:rPr>
          <w:rFonts w:cs="Times New Roman"/>
          <w:lang w:val="fr-CA"/>
        </w:rPr>
        <w:t>La Forest Act est</w:t>
      </w:r>
      <w:r>
        <w:rPr>
          <w:rFonts w:cs="Times New Roman"/>
          <w:lang w:val="fr-CA"/>
        </w:rPr>
        <w:t>-</w:t>
      </w:r>
      <w:r w:rsidRPr="002F5A3C">
        <w:rPr>
          <w:rFonts w:cs="Times New Roman"/>
          <w:lang w:val="fr-CA"/>
        </w:rPr>
        <w:t>elle écartée par la Constitution?</w:t>
      </w:r>
      <w:bookmarkEnd w:id="43"/>
      <w:bookmarkEnd w:id="44"/>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La question suivante consiste à savoir si la Constitution permet au législateur provincial de légiférer sur les forêts qui se trouvent sur des terres visées par un titre ancestral.</w:t>
      </w:r>
      <w:r>
        <w:rPr>
          <w:rFonts w:cs="Times New Roman"/>
          <w:lang w:val="fr-CA"/>
        </w:rPr>
        <w:t xml:space="preserve"> </w:t>
      </w:r>
      <w:r w:rsidRPr="002F5A3C">
        <w:rPr>
          <w:rFonts w:cs="Times New Roman"/>
          <w:lang w:val="fr-CA"/>
        </w:rPr>
        <w:t xml:space="preserve"> Actuellement, la </w:t>
      </w:r>
      <w:r w:rsidRPr="002F5A3C">
        <w:rPr>
          <w:rFonts w:cs="Times New Roman"/>
          <w:i/>
          <w:lang w:val="fr-CA"/>
        </w:rPr>
        <w:t>Forest Act</w:t>
      </w:r>
      <w:r w:rsidRPr="002F5A3C">
        <w:rPr>
          <w:rFonts w:cs="Times New Roman"/>
          <w:lang w:val="fr-CA"/>
        </w:rPr>
        <w:t xml:space="preserve"> s’applique aux terres visées par une revendication du titre ancestral, mais pas aux terres sur lesquelles l’existence de ce titre a été confirmée.  Cependant, le législateur provincial pourrait modifier la </w:t>
      </w:r>
      <w:r w:rsidRPr="002F5A3C">
        <w:rPr>
          <w:rFonts w:cs="Times New Roman"/>
          <w:i/>
          <w:lang w:val="fr-CA"/>
        </w:rPr>
        <w:t>Forest Act</w:t>
      </w:r>
      <w:r w:rsidRPr="002F5A3C">
        <w:rPr>
          <w:rFonts w:cs="Times New Roman"/>
          <w:lang w:val="fr-CA"/>
        </w:rPr>
        <w:t xml:space="preserve"> de manière à ce qu’elle s’applique explicitement aux terres sur lesquelles l’existence du titre ancestral a été confirmée.  Cela soulève la question de savoir si la Constitution </w:t>
      </w:r>
      <w:r w:rsidRPr="002F5A3C">
        <w:rPr>
          <w:rFonts w:cs="Times New Roman"/>
          <w:lang w:val="fr-CA"/>
        </w:rPr>
        <w:lastRenderedPageBreak/>
        <w:t>écarte les lois provinciales régissant l’exploitation forestière qui, à première vue, sont censées s’appliquer aux terres visées par un titre ancestral.</w:t>
      </w:r>
      <w:r>
        <w:rPr>
          <w:rFonts w:cs="Times New Roman"/>
          <w:lang w:val="fr-CA"/>
        </w:rPr>
        <w:t xml:space="preserve"> </w:t>
      </w:r>
      <w:r w:rsidRPr="002F5A3C">
        <w:rPr>
          <w:rFonts w:cs="Times New Roman"/>
          <w:lang w:val="fr-CA"/>
        </w:rPr>
        <w:t xml:space="preserve"> </w:t>
      </w:r>
    </w:p>
    <w:p w:rsidR="000F2258" w:rsidRPr="002F5A3C" w:rsidRDefault="000F2258" w:rsidP="000F2258">
      <w:pPr>
        <w:pStyle w:val="Title3LevelTitre3Niveau"/>
        <w:outlineLvl w:val="2"/>
        <w:rPr>
          <w:rFonts w:cs="Times New Roman"/>
          <w:lang w:val="fr-CA"/>
        </w:rPr>
      </w:pPr>
      <w:bookmarkStart w:id="45" w:name="_Toc389497761"/>
      <w:bookmarkStart w:id="46" w:name="_Toc391446183"/>
      <w:r w:rsidRPr="002F5A3C">
        <w:rPr>
          <w:rFonts w:cs="Times New Roman"/>
          <w:lang w:val="fr-CA"/>
        </w:rPr>
        <w:t>L’article</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bookmarkEnd w:id="45"/>
      <w:bookmarkEnd w:id="46"/>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L’article</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représente </w:t>
      </w:r>
      <w:r>
        <w:rPr>
          <w:rFonts w:cs="Times New Roman"/>
          <w:lang w:val="fr-CA"/>
        </w:rPr>
        <w:t>« </w:t>
      </w:r>
      <w:r w:rsidRPr="002F5A3C">
        <w:rPr>
          <w:rFonts w:cs="Times New Roman"/>
          <w:lang w:val="fr-CA"/>
        </w:rPr>
        <w:t>l’aboutissement d’une bataille longue et difficile à la fois dans l’arène politique et devant les tribunaux pour la reconnaissance de droits ancestraux</w:t>
      </w:r>
      <w:r>
        <w:rPr>
          <w:rFonts w:cs="Times New Roman"/>
          <w:lang w:val="fr-CA"/>
        </w:rPr>
        <w:t> »</w:t>
      </w:r>
      <w:r w:rsidRPr="002F5A3C">
        <w:rPr>
          <w:rFonts w:cs="Times New Roman"/>
          <w:lang w:val="fr-CA"/>
        </w:rPr>
        <w:t xml:space="preserve"> (</w:t>
      </w:r>
      <w:r w:rsidRPr="002F5A3C">
        <w:rPr>
          <w:rFonts w:cs="Times New Roman"/>
          <w:i/>
          <w:lang w:val="fr-CA"/>
        </w:rPr>
        <w:t>Sparrow</w:t>
      </w:r>
      <w:r w:rsidRPr="002F5A3C">
        <w:rPr>
          <w:rFonts w:cs="Times New Roman"/>
          <w:lang w:val="fr-CA"/>
        </w:rPr>
        <w:t>, p.</w:t>
      </w:r>
      <w:r>
        <w:rPr>
          <w:rFonts w:cs="Times New Roman"/>
          <w:lang w:val="fr-CA"/>
        </w:rPr>
        <w:t xml:space="preserve"> </w:t>
      </w:r>
      <w:r w:rsidRPr="002F5A3C">
        <w:rPr>
          <w:rFonts w:cs="Times New Roman"/>
          <w:lang w:val="fr-CA"/>
        </w:rPr>
        <w:t>1105).  Il protège les droits ancestraux contre l’exercice, par les provinces et le fédéral, de leur compétence législative et prévoit un cadre qui facilite les négociations et la conciliation des intérêts autochtones avec ceux du public en général.</w:t>
      </w:r>
      <w:r>
        <w:rPr>
          <w:rFonts w:cs="Times New Roman"/>
          <w:lang w:val="fr-CA"/>
        </w:rPr>
        <w:t xml:space="preserve"> </w:t>
      </w:r>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Selon le par</w:t>
      </w:r>
      <w:r w:rsidR="007B392E">
        <w:rPr>
          <w:rFonts w:cs="Times New Roman"/>
          <w:lang w:val="fr-CA"/>
        </w:rPr>
        <w:t>.</w:t>
      </w:r>
      <w:r>
        <w:rPr>
          <w:rFonts w:cs="Times New Roman"/>
          <w:lang w:val="fr-CA"/>
        </w:rPr>
        <w:t xml:space="preserve"> </w:t>
      </w:r>
      <w:r w:rsidRPr="002F5A3C">
        <w:rPr>
          <w:rFonts w:cs="Times New Roman"/>
          <w:lang w:val="fr-CA"/>
        </w:rPr>
        <w:t xml:space="preserve">35(1), les droits ancestraux existants sont </w:t>
      </w:r>
      <w:r>
        <w:rPr>
          <w:rFonts w:cs="Times New Roman"/>
          <w:lang w:val="fr-CA"/>
        </w:rPr>
        <w:t>« </w:t>
      </w:r>
      <w:r w:rsidRPr="002F5A3C">
        <w:rPr>
          <w:rFonts w:cs="Times New Roman"/>
          <w:lang w:val="fr-CA"/>
        </w:rPr>
        <w:t>reconnus et confirmés</w:t>
      </w:r>
      <w:r>
        <w:rPr>
          <w:rFonts w:cs="Times New Roman"/>
          <w:lang w:val="fr-CA"/>
        </w:rPr>
        <w:t> »</w:t>
      </w:r>
      <w:r w:rsidRPr="002F5A3C">
        <w:rPr>
          <w:rFonts w:cs="Times New Roman"/>
          <w:lang w:val="fr-CA"/>
        </w:rPr>
        <w:t xml:space="preserve">.  Dans </w:t>
      </w:r>
      <w:r w:rsidRPr="002F5A3C">
        <w:rPr>
          <w:rFonts w:cs="Times New Roman"/>
          <w:i/>
          <w:lang w:val="fr-CA"/>
        </w:rPr>
        <w:t>Sparrow</w:t>
      </w:r>
      <w:r w:rsidRPr="002F5A3C">
        <w:rPr>
          <w:rFonts w:cs="Times New Roman"/>
          <w:lang w:val="fr-CA"/>
        </w:rPr>
        <w:t>, notre Cour a conclu que ces mots devaient être interprétés de façon libérale en fonction de l’objet qu’ils visent.  La reconnaissance et la confirmation des droits ancestraux consacrent dans la Constitution les obligations fiduciaires de la Couronne envers les peuples autochtones.  Bien que les droits reconnus et confirmés ne soient pas absolus, l’art.</w:t>
      </w:r>
      <w:r>
        <w:rPr>
          <w:rFonts w:cs="Times New Roman"/>
          <w:lang w:val="fr-CA"/>
        </w:rPr>
        <w:t xml:space="preserve"> </w:t>
      </w:r>
      <w:r w:rsidRPr="002F5A3C">
        <w:rPr>
          <w:rFonts w:cs="Times New Roman"/>
          <w:lang w:val="fr-CA"/>
        </w:rPr>
        <w:t xml:space="preserve">35 oblige la Couronne à concilier son pouvoir avec son obligation.  </w:t>
      </w:r>
      <w:r>
        <w:rPr>
          <w:rFonts w:cs="Times New Roman"/>
          <w:lang w:val="fr-CA"/>
        </w:rPr>
        <w:t>« </w:t>
      </w:r>
      <w:r w:rsidRPr="002F5A3C">
        <w:rPr>
          <w:rFonts w:cs="Times New Roman"/>
          <w:lang w:val="fr-CA"/>
        </w:rPr>
        <w:t>[L]a meilleure façon d’y parvenir est d’exiger la justification de tout règlement gouvernemental qui porte atteinte à des droits ancestraux</w:t>
      </w:r>
      <w:r>
        <w:rPr>
          <w:rFonts w:cs="Times New Roman"/>
          <w:lang w:val="fr-CA"/>
        </w:rPr>
        <w:t> »</w:t>
      </w:r>
      <w:r w:rsidRPr="002F5A3C">
        <w:rPr>
          <w:rFonts w:cs="Times New Roman"/>
          <w:lang w:val="fr-CA"/>
        </w:rPr>
        <w:t xml:space="preserve"> (</w:t>
      </w:r>
      <w:r w:rsidRPr="002F5A3C">
        <w:rPr>
          <w:rFonts w:cs="Times New Roman"/>
          <w:i/>
          <w:lang w:val="fr-CA"/>
        </w:rPr>
        <w:t>Sparrow</w:t>
      </w:r>
      <w:r w:rsidRPr="002F5A3C">
        <w:rPr>
          <w:rFonts w:cs="Times New Roman"/>
          <w:lang w:val="fr-CA"/>
        </w:rPr>
        <w:t>, p.</w:t>
      </w:r>
      <w:r>
        <w:rPr>
          <w:rFonts w:cs="Times New Roman"/>
          <w:lang w:val="fr-CA"/>
        </w:rPr>
        <w:t xml:space="preserve"> </w:t>
      </w:r>
      <w:r w:rsidRPr="002F5A3C">
        <w:rPr>
          <w:rFonts w:cs="Times New Roman"/>
          <w:lang w:val="fr-CA"/>
        </w:rPr>
        <w:t>1109).  Le juge en chef Dickson et le juge La Forest ont précisé cet objectif comme suit à la p.</w:t>
      </w:r>
      <w:r>
        <w:rPr>
          <w:rFonts w:cs="Times New Roman"/>
          <w:lang w:val="fr-CA"/>
        </w:rPr>
        <w:t xml:space="preserve"> </w:t>
      </w:r>
      <w:r w:rsidRPr="002F5A3C">
        <w:rPr>
          <w:rFonts w:cs="Times New Roman"/>
          <w:lang w:val="fr-CA"/>
        </w:rPr>
        <w:t>1110</w:t>
      </w:r>
      <w:r>
        <w:rPr>
          <w:rFonts w:cs="Times New Roman"/>
          <w:lang w:val="fr-CA"/>
        </w:rPr>
        <w:t> :</w:t>
      </w:r>
    </w:p>
    <w:p w:rsidR="000F2258" w:rsidRPr="002F5A3C" w:rsidRDefault="000F2258" w:rsidP="000F2258">
      <w:pPr>
        <w:pStyle w:val="Citation-AltC"/>
        <w:tabs>
          <w:tab w:val="left" w:pos="1560"/>
        </w:tabs>
        <w:ind w:hanging="1166"/>
        <w:contextualSpacing w:val="0"/>
        <w:rPr>
          <w:lang w:val="fr-CA"/>
        </w:rPr>
      </w:pPr>
      <w:r w:rsidRPr="002F5A3C">
        <w:rPr>
          <w:lang w:val="fr-CA"/>
        </w:rPr>
        <w:tab/>
      </w:r>
      <w:r w:rsidR="007B392E">
        <w:rPr>
          <w:lang w:val="fr-CA"/>
        </w:rPr>
        <w:tab/>
      </w:r>
      <w:r w:rsidRPr="002F5A3C">
        <w:rPr>
          <w:lang w:val="fr-CA"/>
        </w:rPr>
        <w:t>La reconnaissance constitutionnelle exprimée dans la disposition en cause permet donc, dans une certaine mesure, de contrôler la conduite du gouvernement et de limiter fortement le pouvoir du législateur.  Bien qu’elle ne constitue pas une promesse d’immunité contre la réglementation gouvernementale dans une société qui, au XX</w:t>
      </w:r>
      <w:r w:rsidRPr="002F5A3C">
        <w:rPr>
          <w:vertAlign w:val="superscript"/>
          <w:lang w:val="fr-CA"/>
        </w:rPr>
        <w:t>e</w:t>
      </w:r>
      <w:r w:rsidRPr="002F5A3C">
        <w:rPr>
          <w:lang w:val="fr-CA"/>
        </w:rPr>
        <w:t xml:space="preserve"> siècle, devient de plus en </w:t>
      </w:r>
      <w:r w:rsidRPr="002F5A3C">
        <w:rPr>
          <w:lang w:val="fr-CA"/>
        </w:rPr>
        <w:lastRenderedPageBreak/>
        <w:t>plus complexe et interdépendante et où il est nécessaire de protéger et de gérer les ressources épuisables, cette reconnaissance représente un engagement important de la part de la Couronne.  Le gouvernement se voit imposer l’obligation de justifier toute mesure législative qui a un effet préjudiciable sur un droit ancestral protégé par le par.</w:t>
      </w:r>
      <w:r>
        <w:rPr>
          <w:lang w:val="fr-CA"/>
        </w:rPr>
        <w:t xml:space="preserve"> </w:t>
      </w:r>
      <w:r w:rsidRPr="002F5A3C">
        <w:rPr>
          <w:lang w:val="fr-CA"/>
        </w:rPr>
        <w:t>35(1).</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Lorsqu’une mesure législative porte atteinte à un droit ancestral protégé par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il faut se poser deux questions.  Premièrement, la mesure porte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 xml:space="preserve">elle atteinte au droit ancestral (une atteinte à première vue, dans l’arrêt </w:t>
      </w:r>
      <w:r w:rsidRPr="002F5A3C">
        <w:rPr>
          <w:rFonts w:cs="Times New Roman"/>
          <w:i/>
          <w:lang w:val="fr-CA"/>
        </w:rPr>
        <w:t>Sparrow</w:t>
      </w:r>
      <w:r w:rsidRPr="002F5A3C">
        <w:rPr>
          <w:rFonts w:cs="Times New Roman"/>
          <w:lang w:val="fr-CA"/>
        </w:rPr>
        <w:t>)?  Deuxièmement, dans l’affirmative, l’atteinte peut</w:t>
      </w:r>
      <w:r>
        <w:rPr>
          <w:rFonts w:cs="Times New Roman"/>
          <w:lang w:val="fr-CA"/>
        </w:rPr>
        <w:t>-</w:t>
      </w:r>
      <w:r w:rsidRPr="002F5A3C">
        <w:rPr>
          <w:rFonts w:cs="Times New Roman"/>
          <w:lang w:val="fr-CA"/>
        </w:rPr>
        <w:t xml:space="preserve">elle être justifiée?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Le tribunal doit d’abord examiner les caractéristiques ou les attributs du droit en question.  Dans le cas du titre ancestral, trois attributs sont pertinents</w:t>
      </w:r>
      <w:r>
        <w:rPr>
          <w:rFonts w:cs="Times New Roman"/>
          <w:lang w:val="fr-CA"/>
        </w:rPr>
        <w:t> :</w:t>
      </w:r>
      <w:r w:rsidRPr="002F5A3C">
        <w:rPr>
          <w:rFonts w:cs="Times New Roman"/>
          <w:lang w:val="fr-CA"/>
        </w:rPr>
        <w:t xml:space="preserve"> (1) le droit d’utiliser et d’occuper les terres de façon exclusive; (2) le droit de choisir les utilisations qui peuvent être faites des terres, sous réserve de la restriction ultime que ces usages ne sauraient détruire la capacité de ces terres d’assurer la subsistance des générations futures des peuples autochtones; (3) le droit de bénéficier des avantages économiques que procurent les terres (</w:t>
      </w:r>
      <w:r w:rsidRPr="002F5A3C">
        <w:rPr>
          <w:rFonts w:cs="Times New Roman"/>
          <w:i/>
          <w:lang w:val="fr-CA"/>
        </w:rPr>
        <w:t>Delgamuukw</w:t>
      </w:r>
      <w:r w:rsidRPr="002F5A3C">
        <w:rPr>
          <w:rFonts w:cs="Times New Roman"/>
          <w:lang w:val="fr-CA"/>
        </w:rPr>
        <w:t>, par.</w:t>
      </w:r>
      <w:r>
        <w:rPr>
          <w:rFonts w:cs="Times New Roman"/>
          <w:lang w:val="fr-CA"/>
        </w:rPr>
        <w:t xml:space="preserve"> </w:t>
      </w:r>
      <w:r w:rsidRPr="002F5A3C">
        <w:rPr>
          <w:rFonts w:cs="Times New Roman"/>
          <w:lang w:val="fr-CA"/>
        </w:rPr>
        <w:t>166).</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Ensuite, pour déterminer si la mesure législative porte atteinte au droit, le tribunal doit se demander si la mesure entraîne une diminution appréciable du droit</w:t>
      </w:r>
      <w:r>
        <w:rPr>
          <w:rFonts w:cs="Times New Roman"/>
          <w:lang w:val="fr-CA"/>
        </w:rPr>
        <w:t> :</w:t>
      </w:r>
      <w:r w:rsidRPr="002F5A3C">
        <w:rPr>
          <w:rFonts w:cs="Times New Roman"/>
          <w:lang w:val="fr-CA"/>
        </w:rPr>
        <w:t xml:space="preserve"> </w:t>
      </w:r>
      <w:r w:rsidRPr="002F5A3C">
        <w:rPr>
          <w:rFonts w:cs="Times New Roman"/>
          <w:i/>
          <w:lang w:val="fr-CA"/>
        </w:rPr>
        <w:t>Gladstone</w:t>
      </w:r>
      <w:r w:rsidRPr="002F5A3C">
        <w:rPr>
          <w:rFonts w:cs="Times New Roman"/>
          <w:lang w:val="fr-CA"/>
        </w:rPr>
        <w:t xml:space="preserve">.  Comme je l’ai déjà expliqué, dans </w:t>
      </w:r>
      <w:r w:rsidRPr="002F5A3C">
        <w:rPr>
          <w:rFonts w:cs="Times New Roman"/>
          <w:i/>
          <w:lang w:val="fr-CA"/>
        </w:rPr>
        <w:t>Sparrow</w:t>
      </w:r>
      <w:r w:rsidRPr="002F5A3C">
        <w:rPr>
          <w:rFonts w:cs="Times New Roman"/>
          <w:lang w:val="fr-CA"/>
        </w:rPr>
        <w:t>, la Cour a laissé entendre que les trois facteurs suivants peuvent permettre de déterminer s’il y a eu atteinte</w:t>
      </w:r>
      <w:r>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si la restriction imposée par la loi est déraisonnable; (2)</w:t>
      </w:r>
      <w:r>
        <w:rPr>
          <w:rFonts w:cs="Times New Roman"/>
          <w:lang w:val="fr-CA"/>
        </w:rPr>
        <w:t xml:space="preserve"> </w:t>
      </w:r>
      <w:r w:rsidRPr="002F5A3C">
        <w:rPr>
          <w:rFonts w:cs="Times New Roman"/>
          <w:lang w:val="fr-CA"/>
        </w:rPr>
        <w:t>si la loi est indûment rigoureuse; et (3)</w:t>
      </w:r>
      <w:r>
        <w:rPr>
          <w:rFonts w:cs="Times New Roman"/>
          <w:lang w:val="fr-CA"/>
        </w:rPr>
        <w:t xml:space="preserve"> </w:t>
      </w:r>
      <w:r w:rsidRPr="002F5A3C">
        <w:rPr>
          <w:rFonts w:cs="Times New Roman"/>
          <w:lang w:val="fr-CA"/>
        </w:rPr>
        <w:t>si la loi refuse aux titulaires du droit le recours à leur moyen préféré de l’exercer</w:t>
      </w:r>
      <w:r w:rsidR="005A6EDB">
        <w:rPr>
          <w:rFonts w:cs="Times New Roman"/>
          <w:lang w:val="fr-CA"/>
        </w:rPr>
        <w:t xml:space="preserve"> (p. 1112)</w:t>
      </w:r>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lastRenderedPageBreak/>
        <w:t xml:space="preserve">Une loi de nature réglementaire de portée générale, par exemple une loi visant la gestion des forêts en prévenant les infestations de ravageurs ou les feux de forêt, satisfera souvent au critère énoncé dans </w:t>
      </w:r>
      <w:r w:rsidRPr="002F5A3C">
        <w:rPr>
          <w:rFonts w:cs="Times New Roman"/>
          <w:i/>
          <w:lang w:val="fr-CA"/>
        </w:rPr>
        <w:t>Sparrow</w:t>
      </w:r>
      <w:r w:rsidRPr="002F5A3C">
        <w:rPr>
          <w:rFonts w:cs="Times New Roman"/>
          <w:lang w:val="fr-CA"/>
        </w:rPr>
        <w:t xml:space="preserve"> car elle sera raisonnable, ne sera pas indûment rigoureuse et ne refusera pas au</w:t>
      </w:r>
      <w:r w:rsidR="005A6EDB">
        <w:rPr>
          <w:rFonts w:cs="Times New Roman"/>
          <w:lang w:val="fr-CA"/>
        </w:rPr>
        <w:t>x</w:t>
      </w:r>
      <w:r w:rsidRPr="002F5A3C">
        <w:rPr>
          <w:rFonts w:cs="Times New Roman"/>
          <w:lang w:val="fr-CA"/>
        </w:rPr>
        <w:t xml:space="preserve"> titulaire</w:t>
      </w:r>
      <w:r w:rsidR="005A6EDB">
        <w:rPr>
          <w:rFonts w:cs="Times New Roman"/>
          <w:lang w:val="fr-CA"/>
        </w:rPr>
        <w:t>s</w:t>
      </w:r>
      <w:r w:rsidRPr="002F5A3C">
        <w:rPr>
          <w:rFonts w:cs="Times New Roman"/>
          <w:lang w:val="fr-CA"/>
        </w:rPr>
        <w:t xml:space="preserve"> du droit le recours à </w:t>
      </w:r>
      <w:r w:rsidR="005A6EDB">
        <w:rPr>
          <w:rFonts w:cs="Times New Roman"/>
          <w:lang w:val="fr-CA"/>
        </w:rPr>
        <w:t>leur</w:t>
      </w:r>
      <w:r w:rsidRPr="002F5A3C">
        <w:rPr>
          <w:rFonts w:cs="Times New Roman"/>
          <w:lang w:val="fr-CA"/>
        </w:rPr>
        <w:t xml:space="preserve"> moyen préféré de l’exercer.  Dans un tel cas, il n’y a aucune atteinte.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Une loi de nature réglementaire de portée générale susceptible de modifier le mode d’exercice du droit ancestral diffère d’une loi qui a pour effet de céder à des tiers des droits de propriété des Autochtones.  La délivrance de permis de coupe de bois sur des terres grevées du titre ancestral par exemple — un transfert direct à des tiers de droits de propriété des Autochtones — constituera manifestement une diminution significative du droit de propriété du groupe autochtone assimilable à une atteinte qui doit être justifiée dans les cas où les Autochtones n’y ont pas consenti.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J’ai déjà expliqué que, pour justifier une atteinte, la Couronne doit démontrer</w:t>
      </w:r>
      <w:r>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qu’elle s’est acquittée de son obligation procédurale de consulter les titulaires d’un droit et de trouver des accommodements au droit, dans la mesure appropriée, à l’étape où l’atteinte était envisagée; (2)</w:t>
      </w:r>
      <w:r>
        <w:rPr>
          <w:rFonts w:cs="Times New Roman"/>
          <w:lang w:val="fr-CA"/>
        </w:rPr>
        <w:t xml:space="preserve"> </w:t>
      </w:r>
      <w:r w:rsidRPr="002F5A3C">
        <w:rPr>
          <w:rFonts w:cs="Times New Roman"/>
          <w:lang w:val="fr-CA"/>
        </w:rPr>
        <w:t>que l’atteinte poursuit un objectif législatif impérieux et réel dans l’intérêt du public; (3)</w:t>
      </w:r>
      <w:r>
        <w:rPr>
          <w:rFonts w:cs="Times New Roman"/>
          <w:lang w:val="fr-CA"/>
        </w:rPr>
        <w:t xml:space="preserve"> </w:t>
      </w:r>
      <w:r w:rsidRPr="002F5A3C">
        <w:rPr>
          <w:rFonts w:cs="Times New Roman"/>
          <w:lang w:val="fr-CA"/>
        </w:rPr>
        <w:t>que l’intérêt du public est proportionnel à tout effet négatif sur l’intérêt autochtone.  Ce cadre permet une conciliation rationnelle des droits ancestraux et des intérêts de tous les Canadiens.</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Bien qu’il ne soit pas nécessaire de trancher cette question pour les besoins du présent pourvoi, les tribunaux d’instance inférieure ont abordé la question de savoir si la Colombie</w:t>
      </w:r>
      <w:r>
        <w:rPr>
          <w:rFonts w:cs="Times New Roman"/>
          <w:lang w:val="fr-CA"/>
        </w:rPr>
        <w:t>-</w:t>
      </w:r>
      <w:r w:rsidRPr="002F5A3C">
        <w:rPr>
          <w:rFonts w:cs="Times New Roman"/>
          <w:lang w:val="fr-CA"/>
        </w:rPr>
        <w:t xml:space="preserve">Britannique poursuivait un objectif impérieux et réel en délivrant dans </w:t>
      </w:r>
      <w:r w:rsidRPr="002F5A3C">
        <w:rPr>
          <w:rFonts w:cs="Times New Roman"/>
          <w:lang w:val="fr-CA"/>
        </w:rPr>
        <w:lastRenderedPageBreak/>
        <w:t xml:space="preserve">ce cas des permis de coupe, et je vais formuler les observations suivantes au bénéfice de toutes les parties éventuelles.  Je conviens avec les tribunaux d’instance inférieure qu’il n’existait aucun objectif impérieux et réel en l’espèce.  Le juge de première instance a conclu que les deux objectifs invoqués par la province — les avantages économiques liés à l’exploitation forestière sur les terres visées par une revendication du titre et la nécessité d’empêcher la propagation d’une infestation du dendroctone du pin ponderosa — n’étaient pas étayés par la preuve.  Après avoir examiné les témoignages d’experts dont il disposait, il a conclu que les sites de coupe proposés n’étaient pas rentables et qu’ils ne visaient pas à empêcher la propagation du dendroctone du pin ponderosa. </w:t>
      </w:r>
    </w:p>
    <w:p w:rsidR="000F2258" w:rsidRPr="002F5A3C" w:rsidRDefault="000F2258" w:rsidP="000F2258">
      <w:pPr>
        <w:pStyle w:val="ParaNoNdepar-AltN"/>
        <w:rPr>
          <w:rFonts w:cs="Times New Roman"/>
          <w:lang w:val="fr-CA"/>
        </w:rPr>
      </w:pPr>
      <w:r w:rsidRPr="002F5A3C">
        <w:rPr>
          <w:rFonts w:cs="Times New Roman"/>
          <w:lang w:val="fr-CA"/>
        </w:rPr>
        <w:t xml:space="preserve">Devant la Cour d’appel, la province ne prétendait plus que les activités forestières visaient à combattre l’infestation du dendroctone du pin ponderosa, mais </w:t>
      </w:r>
      <w:r w:rsidR="00752D90">
        <w:rPr>
          <w:rFonts w:cs="Times New Roman"/>
          <w:lang w:val="fr-CA"/>
        </w:rPr>
        <w:t xml:space="preserve">elle </w:t>
      </w:r>
      <w:r w:rsidRPr="002F5A3C">
        <w:rPr>
          <w:rFonts w:cs="Times New Roman"/>
          <w:lang w:val="fr-CA"/>
        </w:rPr>
        <w:t>a continué de soutenir que les conclusions du juge de première instance sur la rentabilité étaient déraisonnables parce que, si les travaux d’exploitation forestière n’avaient pas été rentables, ils n’auraient pas été effectués.  La Cour d’appel a rejeté cet argument pour deux raisons</w:t>
      </w:r>
      <w:r>
        <w:rPr>
          <w:rFonts w:cs="Times New Roman"/>
          <w:lang w:val="fr-CA"/>
        </w:rPr>
        <w:t> :</w:t>
      </w:r>
      <w:r w:rsidRPr="002F5A3C">
        <w:rPr>
          <w:rFonts w:cs="Times New Roman"/>
          <w:lang w:val="fr-CA"/>
        </w:rPr>
        <w:t xml:space="preserve"> (1)</w:t>
      </w:r>
      <w:r>
        <w:rPr>
          <w:rFonts w:cs="Times New Roman"/>
          <w:lang w:val="fr-CA"/>
        </w:rPr>
        <w:t xml:space="preserve"> </w:t>
      </w:r>
      <w:r w:rsidRPr="002F5A3C">
        <w:rPr>
          <w:rFonts w:cs="Times New Roman"/>
          <w:lang w:val="fr-CA"/>
        </w:rPr>
        <w:t>les titulaires d’une tenure forestière doivent parfois maintenir l’exploitation forestière pour conserver leurs droits, même si ce n’est pas rentable; (2)</w:t>
      </w:r>
      <w:r>
        <w:rPr>
          <w:rFonts w:cs="Times New Roman"/>
          <w:lang w:val="fr-CA"/>
        </w:rPr>
        <w:t xml:space="preserve"> </w:t>
      </w:r>
      <w:r w:rsidRPr="002F5A3C">
        <w:rPr>
          <w:rFonts w:cs="Times New Roman"/>
          <w:lang w:val="fr-CA"/>
        </w:rPr>
        <w:t>l’accent porte sur la valeur économique de l’exploitation forestière par rapport aux effets préjudiciables qu’elle aurait sur les droits ancestraux des Tsilhqot</w:t>
      </w:r>
      <w:r w:rsidR="007B392E">
        <w:rPr>
          <w:rFonts w:cs="Times New Roman"/>
          <w:lang w:val="fr-CA"/>
        </w:rPr>
        <w:t>’</w:t>
      </w:r>
      <w:r w:rsidRPr="002F5A3C">
        <w:rPr>
          <w:rFonts w:cs="Times New Roman"/>
          <w:lang w:val="fr-CA"/>
        </w:rPr>
        <w:t xml:space="preserve">in, et non sur la rentabilité de l’exploitation forestière uniquement du point de vue du titulaire de la tenure forestière.  En bref, la Cour d’appel n’a relevé aucune erreur dans le raisonnement du juge de première instance sur ce point.  Je suis d’accord.  Accorder à des tiers le droit de récolter du bois sur les terres des Tsilhqot'in constitue une atteinte grave qui ne sera pas justifiée à la légère.  Si le gouvernement souhaite à l’avenir </w:t>
      </w:r>
      <w:r w:rsidRPr="002F5A3C">
        <w:rPr>
          <w:rFonts w:cs="Times New Roman"/>
          <w:lang w:val="fr-CA"/>
        </w:rPr>
        <w:lastRenderedPageBreak/>
        <w:t xml:space="preserve">accorder de tels droits de récolte, il devra établir qu’il poursuit par la récolte un objectif impérieux et réel, ce qui n’a pas été fait en l’espèce.  </w:t>
      </w:r>
    </w:p>
    <w:p w:rsidR="000F2258" w:rsidRPr="002F5A3C" w:rsidRDefault="000F2258" w:rsidP="000F2258">
      <w:pPr>
        <w:pStyle w:val="Title3LevelTitre3Niveau"/>
        <w:outlineLvl w:val="2"/>
        <w:rPr>
          <w:rFonts w:cs="Times New Roman"/>
          <w:lang w:val="fr-CA"/>
        </w:rPr>
      </w:pPr>
      <w:bookmarkStart w:id="47" w:name="_Toc389497762"/>
      <w:bookmarkStart w:id="48" w:name="_Toc391446184"/>
      <w:r w:rsidRPr="002F5A3C">
        <w:rPr>
          <w:rFonts w:cs="Times New Roman"/>
          <w:lang w:val="fr-CA"/>
        </w:rPr>
        <w:t>Le partage des compétences</w:t>
      </w:r>
      <w:bookmarkEnd w:id="47"/>
      <w:bookmarkEnd w:id="48"/>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Comme je l’ai déjà indiqué, le point de départ est que, de façon générale, la réglementation de l’exploitation forestière dans la province relève du pouvoir que le par.</w:t>
      </w:r>
      <w:r>
        <w:rPr>
          <w:rFonts w:cs="Times New Roman"/>
          <w:lang w:val="fr-CA"/>
        </w:rPr>
        <w:t xml:space="preserve"> </w:t>
      </w:r>
      <w:r w:rsidRPr="002F5A3C">
        <w:rPr>
          <w:rFonts w:cs="Times New Roman"/>
          <w:lang w:val="fr-CA"/>
        </w:rPr>
        <w:t xml:space="preserve">92(13) de la </w:t>
      </w:r>
      <w:r w:rsidRPr="002F5A3C">
        <w:rPr>
          <w:rFonts w:cs="Times New Roman"/>
          <w:i/>
          <w:lang w:val="fr-CA"/>
        </w:rPr>
        <w:t>Loi constitutionnelle de 1867</w:t>
      </w:r>
      <w:r w:rsidRPr="002F5A3C">
        <w:rPr>
          <w:rFonts w:cs="Times New Roman"/>
          <w:lang w:val="fr-CA"/>
        </w:rPr>
        <w:t xml:space="preserve"> accorde à la province en matière de propriété et de droits civils.  Sur le plan constitutionnel, la réglementation de l’exploitation forestière est, </w:t>
      </w:r>
      <w:r>
        <w:rPr>
          <w:rFonts w:cs="Times New Roman"/>
          <w:lang w:val="fr-CA"/>
        </w:rPr>
        <w:t>« </w:t>
      </w:r>
      <w:r w:rsidRPr="002F5A3C">
        <w:rPr>
          <w:rFonts w:cs="Times New Roman"/>
          <w:lang w:val="fr-CA"/>
        </w:rPr>
        <w:t>de par son caractère véritable</w:t>
      </w:r>
      <w:r>
        <w:rPr>
          <w:rFonts w:cs="Times New Roman"/>
          <w:lang w:val="fr-CA"/>
        </w:rPr>
        <w:t> »</w:t>
      </w:r>
      <w:r w:rsidRPr="002F5A3C">
        <w:rPr>
          <w:rFonts w:cs="Times New Roman"/>
          <w:lang w:val="fr-CA"/>
        </w:rPr>
        <w:t xml:space="preserve">, une compétence provinciale.  Ainsi, la </w:t>
      </w:r>
      <w:r w:rsidRPr="002F5A3C">
        <w:rPr>
          <w:rFonts w:cs="Times New Roman"/>
          <w:i/>
          <w:lang w:val="fr-CA"/>
        </w:rPr>
        <w:t>Forest Act</w:t>
      </w:r>
      <w:r w:rsidRPr="002F5A3C">
        <w:rPr>
          <w:rFonts w:cs="Times New Roman"/>
          <w:lang w:val="fr-CA"/>
        </w:rPr>
        <w:t xml:space="preserve"> respecte le partage des compétences à moins qu’elle soit écartée par une compétence fédérale, même si elle peut, de manière incidente, toucher les matières relevant de la compétence fédérale.</w:t>
      </w:r>
    </w:p>
    <w:p w:rsidR="000F2258" w:rsidRPr="002F5A3C" w:rsidRDefault="000F2258" w:rsidP="000F2258">
      <w:pPr>
        <w:pStyle w:val="ParaNoNdepar-AltN"/>
        <w:tabs>
          <w:tab w:val="clear" w:pos="1152"/>
          <w:tab w:val="left" w:pos="1166"/>
        </w:tabs>
        <w:rPr>
          <w:rFonts w:cs="Times New Roman"/>
          <w:lang w:val="fr-CA"/>
        </w:rPr>
      </w:pPr>
      <w:r>
        <w:rPr>
          <w:rFonts w:cs="Times New Roman"/>
          <w:lang w:val="fr-CA"/>
        </w:rPr>
        <w:t>« </w:t>
      </w:r>
      <w:r w:rsidRPr="002F5A3C">
        <w:rPr>
          <w:rFonts w:cs="Times New Roman"/>
          <w:lang w:val="fr-CA"/>
        </w:rPr>
        <w:t xml:space="preserve">Les Indiens et les terres réservées </w:t>
      </w:r>
      <w:r w:rsidR="007B392E">
        <w:rPr>
          <w:rFonts w:cs="Times New Roman"/>
          <w:lang w:val="fr-CA"/>
        </w:rPr>
        <w:t>pour les</w:t>
      </w:r>
      <w:r w:rsidRPr="002F5A3C">
        <w:rPr>
          <w:rFonts w:cs="Times New Roman"/>
          <w:lang w:val="fr-CA"/>
        </w:rPr>
        <w:t xml:space="preserve"> Indiens</w:t>
      </w:r>
      <w:r>
        <w:rPr>
          <w:rFonts w:cs="Times New Roman"/>
          <w:lang w:val="fr-CA"/>
        </w:rPr>
        <w:t> »</w:t>
      </w:r>
      <w:r w:rsidRPr="002F5A3C">
        <w:rPr>
          <w:rFonts w:cs="Times New Roman"/>
          <w:lang w:val="fr-CA"/>
        </w:rPr>
        <w:t xml:space="preserve"> relèvent de la compétence fédérale en vertu du par.</w:t>
      </w:r>
      <w:r>
        <w:rPr>
          <w:rFonts w:cs="Times New Roman"/>
          <w:lang w:val="fr-CA"/>
        </w:rPr>
        <w:t xml:space="preserve"> </w:t>
      </w:r>
      <w:r w:rsidRPr="002F5A3C">
        <w:rPr>
          <w:rFonts w:cs="Times New Roman"/>
          <w:lang w:val="fr-CA"/>
        </w:rPr>
        <w:t xml:space="preserve">91(24) de la </w:t>
      </w:r>
      <w:r w:rsidRPr="002F5A3C">
        <w:rPr>
          <w:rFonts w:cs="Times New Roman"/>
          <w:i/>
          <w:lang w:val="fr-CA"/>
        </w:rPr>
        <w:t>Loi constitutionnelle de 1867</w:t>
      </w:r>
      <w:r w:rsidRPr="002F5A3C">
        <w:rPr>
          <w:rFonts w:cs="Times New Roman"/>
          <w:lang w:val="fr-CA"/>
        </w:rPr>
        <w:t xml:space="preserve">.  Par conséquent, les ressources forestières qui se trouvent sur des terres visées par un titre ancestral relèvent à la fois de la compétence provinciale en matière de ressources forestières dans la province et de la compétence fédérale sur les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Ainsi, sur le plan constitutionnel, les ressources forestières qui se trouvent sur les terres visées par un titre ancestral comportent un double aspect puisque les deux paliers de gouvernement exercent sur elle</w:t>
      </w:r>
      <w:r w:rsidR="00752D90">
        <w:rPr>
          <w:rFonts w:cs="Times New Roman"/>
          <w:lang w:val="fr-CA"/>
        </w:rPr>
        <w:t>s</w:t>
      </w:r>
      <w:r w:rsidRPr="002F5A3C">
        <w:rPr>
          <w:rFonts w:cs="Times New Roman"/>
          <w:lang w:val="fr-CA"/>
        </w:rPr>
        <w:t xml:space="preserve"> une compétence concurrente.  Habituellement, une telle compétence concurrente ne crée pas de conflit — les gou</w:t>
      </w:r>
      <w:r w:rsidR="00752D90">
        <w:rPr>
          <w:rFonts w:cs="Times New Roman"/>
          <w:lang w:val="fr-CA"/>
        </w:rPr>
        <w:t>vernements fédéral et provinciaux</w:t>
      </w:r>
      <w:r w:rsidRPr="002F5A3C">
        <w:rPr>
          <w:rFonts w:cs="Times New Roman"/>
          <w:lang w:val="fr-CA"/>
        </w:rPr>
        <w:t xml:space="preserve"> collaborent de manière productive dans plusieurs domaines qui comportent un double aspect, par exemple l’insolvabilité et la garde des enfants.  </w:t>
      </w:r>
      <w:r w:rsidRPr="002F5A3C">
        <w:rPr>
          <w:rFonts w:cs="Times New Roman"/>
          <w:lang w:val="fr-CA"/>
        </w:rPr>
        <w:lastRenderedPageBreak/>
        <w:t>Cependant, lorsque se présente un conflit de compétence, deux doctrines permettent de le résoudre.</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Premièrement, la doctrine de la prépondérance s’applique en cas de conflit ou d’incompatibilité entre une loi provinciale et une loi fédérale, en ce sens qu’il est impossible de se conformer aux deux textes de loi ou que la réalisation de l’objet d’une loi fédérale est entravée.  Dans un tel cas, la loi fédérale l’emporte.  Par conséquent, si l’application d’une loi provinciale valide, comme la </w:t>
      </w:r>
      <w:r w:rsidRPr="002F5A3C">
        <w:rPr>
          <w:rFonts w:cs="Times New Roman"/>
          <w:i/>
          <w:lang w:val="fr-CA"/>
        </w:rPr>
        <w:t>Forest Act</w:t>
      </w:r>
      <w:r w:rsidRPr="002F5A3C">
        <w:rPr>
          <w:rFonts w:cs="Times New Roman"/>
          <w:lang w:val="fr-CA"/>
        </w:rPr>
        <w:t xml:space="preserve">, entre en conflit avec une loi fédérale valide adoptée en vertu du pouvoir du Parlement sur les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la seconde aurait pr</w:t>
      </w:r>
      <w:r w:rsidR="00752D90">
        <w:rPr>
          <w:rFonts w:cs="Times New Roman"/>
          <w:lang w:val="fr-CA"/>
        </w:rPr>
        <w:t>iorité</w:t>
      </w:r>
      <w:r w:rsidRPr="002F5A3C">
        <w:rPr>
          <w:rFonts w:cs="Times New Roman"/>
          <w:lang w:val="fr-CA"/>
        </w:rPr>
        <w:t xml:space="preserve"> sur la première.  On n’a allégué l’existence d’aucune incompatibilité de la sorte en l’espèce.</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  Deuxièmement, la doctrine de l’exclusivité des compétences s’applique lorsque des lois adoptées par un palier de gouvernement entravent le contenu essentiel protégé d’une compétence de l’autre palier de gouvernement.  Cette doctrine repose sur la prémisse que, puisque les compétences fédérales et provinciales prévues aux art.</w:t>
      </w:r>
      <w:r>
        <w:rPr>
          <w:rFonts w:cs="Times New Roman"/>
          <w:lang w:val="fr-CA"/>
        </w:rPr>
        <w:t xml:space="preserve"> </w:t>
      </w:r>
      <w:r w:rsidRPr="002F5A3C">
        <w:rPr>
          <w:rFonts w:cs="Times New Roman"/>
          <w:lang w:val="fr-CA"/>
        </w:rPr>
        <w:t xml:space="preserve">91 et 92 de la </w:t>
      </w:r>
      <w:r w:rsidRPr="002F5A3C">
        <w:rPr>
          <w:rFonts w:cs="Times New Roman"/>
          <w:i/>
          <w:lang w:val="fr-CA"/>
        </w:rPr>
        <w:t>Loi constitutionnelle de 1867</w:t>
      </w:r>
      <w:r w:rsidRPr="002F5A3C">
        <w:rPr>
          <w:rFonts w:cs="Times New Roman"/>
          <w:lang w:val="fr-CA"/>
        </w:rPr>
        <w:t xml:space="preserve"> sont exclusives, chaque palier de gouvernement exerce sa compétence sur un contenu minimum essentiel et irréductible auquel l’autre palier de gouvernement ne peut toucher.  Pour déterminer si une loi provinciale comme la </w:t>
      </w:r>
      <w:r w:rsidRPr="002F5A3C">
        <w:rPr>
          <w:rFonts w:cs="Times New Roman"/>
          <w:i/>
          <w:lang w:val="fr-CA"/>
        </w:rPr>
        <w:t>Forest Act</w:t>
      </w:r>
      <w:r w:rsidRPr="002F5A3C">
        <w:rPr>
          <w:rFonts w:cs="Times New Roman"/>
          <w:lang w:val="fr-CA"/>
        </w:rPr>
        <w:t xml:space="preserve"> est écartée par l’application de la doctrine de l’exclusivité des compétences, le tribunal doit se poser deux questions.  Premièrement, la loi provinciale touche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elle un aspect du contenu essentiel protégé de la compétence fédérale?  Et deuxièmement, l’application de la loi provinciale pourrait</w:t>
      </w:r>
      <w:r>
        <w:rPr>
          <w:rFonts w:cs="Times New Roman"/>
          <w:lang w:val="fr-CA"/>
        </w:rPr>
        <w:t>-</w:t>
      </w:r>
      <w:r w:rsidRPr="002F5A3C">
        <w:rPr>
          <w:rFonts w:cs="Times New Roman"/>
          <w:lang w:val="fr-CA"/>
        </w:rPr>
        <w:t xml:space="preserve">elle entraver de façon importante la compétence fédérale? </w:t>
      </w:r>
      <w:r w:rsidR="00AD43D8">
        <w:rPr>
          <w:rFonts w:cs="Times New Roman"/>
          <w:lang w:val="fr-CA"/>
        </w:rPr>
        <w:t>(</w:t>
      </w:r>
      <w:r w:rsidRPr="002F5A3C">
        <w:rPr>
          <w:rFonts w:cs="Times New Roman"/>
          <w:i/>
          <w:iCs/>
          <w:lang w:val="fr-CA"/>
        </w:rPr>
        <w:t>Québec (Procureur général) c. Canadian Owners and Pilots Association</w:t>
      </w:r>
      <w:r w:rsidRPr="002F5A3C">
        <w:rPr>
          <w:rFonts w:cs="Times New Roman"/>
          <w:lang w:val="fr-CA"/>
        </w:rPr>
        <w:t>, 2010 CSC 39, [2010] 2 R.C.S. 536).</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lastRenderedPageBreak/>
        <w:t xml:space="preserve">Le juge de première instance a conclu que l’exclusivité des compétences rendait les dispositions de la </w:t>
      </w:r>
      <w:r w:rsidRPr="002F5A3C">
        <w:rPr>
          <w:rFonts w:cs="Times New Roman"/>
          <w:i/>
          <w:lang w:val="fr-CA"/>
        </w:rPr>
        <w:t xml:space="preserve">Forest Act </w:t>
      </w:r>
      <w:r w:rsidRPr="002F5A3C">
        <w:rPr>
          <w:rFonts w:cs="Times New Roman"/>
          <w:lang w:val="fr-CA"/>
        </w:rPr>
        <w:t xml:space="preserve">inapplicables aux terres détenues en vertu d’un titre ancestral parce que les dispositions autorisant la gestion, l’acquisition, l’enlèvement et la vente du bois sur ces terres touchent au contenu essentiel de la compétence fédérale sur les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xml:space="preserve">.  Il a accordé une grande importance à l’arrêt </w:t>
      </w:r>
      <w:r w:rsidRPr="002F5A3C">
        <w:rPr>
          <w:rFonts w:cs="Times New Roman"/>
          <w:i/>
          <w:lang w:val="fr-CA"/>
        </w:rPr>
        <w:t>R. c. Morris</w:t>
      </w:r>
      <w:r w:rsidRPr="002F5A3C">
        <w:rPr>
          <w:rFonts w:cs="Times New Roman"/>
          <w:lang w:val="fr-CA"/>
        </w:rPr>
        <w:t xml:space="preserve">, 2006 CSC 59, [2006] 2 R.C.S. 915, dans lequel la Cour a conclu que seul le Parlement a le pouvoir de déroger aux droits reconnus dans un traité parce que les droits issus de traités se rattachent au contenu essentiel de la compétence fédérale sur les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Le juge de première instance a donc estimé que, comme les droits ancestraux s’apparentent aux droits issus de traités, la province n’a pas le pouvoir de légiférer relativement aux forêts qui se trouvent sur les terres visées par un titre ancestral.</w:t>
      </w:r>
      <w:r>
        <w:rPr>
          <w:rFonts w:cs="Times New Roman"/>
          <w:lang w:val="fr-CA"/>
        </w:rPr>
        <w:t xml:space="preserve"> </w:t>
      </w:r>
      <w:r w:rsidRPr="002F5A3C">
        <w:rPr>
          <w:rFonts w:cs="Times New Roman"/>
          <w:lang w:val="fr-CA"/>
        </w:rPr>
        <w:t xml:space="preserve">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Le raisonnement adopté par le juge de première instance est essentiellement le suivant.  Les droits ancestraux font partie du contenu essentiel de la compétence fédérale prévue au par.</w:t>
      </w:r>
      <w:r>
        <w:rPr>
          <w:rFonts w:cs="Times New Roman"/>
          <w:lang w:val="fr-CA"/>
        </w:rPr>
        <w:t xml:space="preserve"> </w:t>
      </w:r>
      <w:r w:rsidRPr="002F5A3C">
        <w:rPr>
          <w:rFonts w:cs="Times New Roman"/>
          <w:lang w:val="fr-CA"/>
        </w:rPr>
        <w:t xml:space="preserve">91(24) de la </w:t>
      </w:r>
      <w:r w:rsidRPr="002F5A3C">
        <w:rPr>
          <w:rFonts w:cs="Times New Roman"/>
          <w:i/>
          <w:lang w:val="fr-CA"/>
        </w:rPr>
        <w:t>Loi constitutionnelle de 1867</w:t>
      </w:r>
      <w:r w:rsidRPr="002F5A3C">
        <w:rPr>
          <w:rFonts w:cs="Times New Roman"/>
          <w:lang w:val="fr-CA"/>
        </w:rPr>
        <w:t>.  La doctrine de l’exclusivité des compétences s’applique aux matières qui font partie du contenu essentiel du par.</w:t>
      </w:r>
      <w:r>
        <w:rPr>
          <w:rFonts w:cs="Times New Roman"/>
          <w:lang w:val="fr-CA"/>
        </w:rPr>
        <w:t xml:space="preserve"> </w:t>
      </w:r>
      <w:r w:rsidRPr="002F5A3C">
        <w:rPr>
          <w:rFonts w:cs="Times New Roman"/>
          <w:lang w:val="fr-CA"/>
        </w:rPr>
        <w:t>91(24).  Par conséquent, la Constitution empêche les gouvernements provinciaux de légiférer d’une manière qui limite les droits ancestraux.  Ce raisonnement suscite un certain nombre de difficultés.</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La proposition suivant laquelle les droits ancestraux font partie du contenu essentiel de la compétence fédérale en matière de réglementation prévue au par.</w:t>
      </w:r>
      <w:r>
        <w:rPr>
          <w:rFonts w:cs="Times New Roman"/>
          <w:lang w:val="fr-CA"/>
        </w:rPr>
        <w:t xml:space="preserve"> </w:t>
      </w:r>
      <w:r w:rsidRPr="002F5A3C">
        <w:rPr>
          <w:rFonts w:cs="Times New Roman"/>
          <w:lang w:val="fr-CA"/>
        </w:rPr>
        <w:t xml:space="preserve">91(24) de la </w:t>
      </w:r>
      <w:r w:rsidRPr="002F5A3C">
        <w:rPr>
          <w:rFonts w:cs="Times New Roman"/>
          <w:i/>
          <w:lang w:val="fr-CA"/>
        </w:rPr>
        <w:t>Loi constitutionnelle de 1867</w:t>
      </w:r>
      <w:r w:rsidRPr="002F5A3C">
        <w:rPr>
          <w:rFonts w:cs="Times New Roman"/>
          <w:lang w:val="fr-CA"/>
        </w:rPr>
        <w:t xml:space="preserve"> constitue l’aspect crucial de ce raisonnement.</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lastRenderedPageBreak/>
        <w:t>La jurisprudence est quelque peu ambiguë quant à savoir si les droits visés à l’art.</w:t>
      </w:r>
      <w:r>
        <w:rPr>
          <w:rFonts w:cs="Times New Roman"/>
          <w:lang w:val="fr-CA"/>
        </w:rPr>
        <w:t xml:space="preserve"> </w:t>
      </w:r>
      <w:r w:rsidRPr="002F5A3C">
        <w:rPr>
          <w:rFonts w:cs="Times New Roman"/>
          <w:lang w:val="fr-CA"/>
        </w:rPr>
        <w:t xml:space="preserve">35 font partie du contenu essentiel du pouvoir fédéral de faire des lois relatives aux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xml:space="preserve"> prévu au par.</w:t>
      </w:r>
      <w:r>
        <w:rPr>
          <w:rFonts w:cs="Times New Roman"/>
          <w:lang w:val="fr-CA"/>
        </w:rPr>
        <w:t xml:space="preserve"> </w:t>
      </w:r>
      <w:r w:rsidRPr="002F5A3C">
        <w:rPr>
          <w:rFonts w:cs="Times New Roman"/>
          <w:lang w:val="fr-CA"/>
        </w:rPr>
        <w:t>91(24).  Aucune décision n’a conclu que les droits ancestraux, par exemple le titre ancestral sur des terres, font partie du contenu essentiel de la compétence fédérale prévue au par.</w:t>
      </w:r>
      <w:r>
        <w:rPr>
          <w:rFonts w:cs="Times New Roman"/>
          <w:lang w:val="fr-CA"/>
        </w:rPr>
        <w:t xml:space="preserve"> </w:t>
      </w:r>
      <w:r w:rsidRPr="002F5A3C">
        <w:rPr>
          <w:rFonts w:cs="Times New Roman"/>
          <w:lang w:val="fr-CA"/>
        </w:rPr>
        <w:t>91(24), mais on l’indique dans des remarques incidentes.  Toutefois, notre Cour a également indiqué dans des remarques incidentes que la Constitution permet aux gouvernements provinciaux de porter atteinte aux droits ancestraux lorsque ces atteintes sont justifiées au sens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 et cette proposition va à l’encontre du raisonnement que le juge de première instance a accepté.</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Dans l’arrêt </w:t>
      </w:r>
      <w:r w:rsidRPr="002F5A3C">
        <w:rPr>
          <w:rFonts w:cs="Times New Roman"/>
          <w:i/>
          <w:lang w:val="fr-CA"/>
        </w:rPr>
        <w:t>R. c. Marshall</w:t>
      </w:r>
      <w:r w:rsidRPr="002F5A3C">
        <w:rPr>
          <w:rFonts w:cs="Times New Roman"/>
          <w:lang w:val="fr-CA"/>
        </w:rPr>
        <w:t>, [1999] 3 R.C.S. 533, notre Cour a supposé que l’exclusivité des compétences ne s’appliquait pas en cas de conflit entre une loi provinciale et des droits issus d’un traité.  Le cadre d’analyse relatif à l’art.</w:t>
      </w:r>
      <w:r>
        <w:rPr>
          <w:rFonts w:cs="Times New Roman"/>
          <w:lang w:val="fr-CA"/>
        </w:rPr>
        <w:t xml:space="preserve"> </w:t>
      </w:r>
      <w:r w:rsidRPr="002F5A3C">
        <w:rPr>
          <w:rFonts w:cs="Times New Roman"/>
          <w:lang w:val="fr-CA"/>
        </w:rPr>
        <w:t xml:space="preserve">35 énoncé dans </w:t>
      </w:r>
      <w:r w:rsidRPr="002F5A3C">
        <w:rPr>
          <w:rFonts w:cs="Times New Roman"/>
          <w:i/>
          <w:lang w:val="fr-CA"/>
        </w:rPr>
        <w:t>Sparrow</w:t>
      </w:r>
      <w:r w:rsidRPr="002F5A3C">
        <w:rPr>
          <w:rFonts w:cs="Times New Roman"/>
          <w:lang w:val="fr-CA"/>
        </w:rPr>
        <w:t xml:space="preserve"> a plutôt été retenu comme le moyen permettant de résoudre le conflit</w:t>
      </w:r>
      <w:r>
        <w:rPr>
          <w:rFonts w:cs="Times New Roman"/>
          <w:lang w:val="fr-CA"/>
        </w:rPr>
        <w:t> :</w:t>
      </w:r>
    </w:p>
    <w:p w:rsidR="000F2258" w:rsidRPr="002F5A3C" w:rsidRDefault="000F2258" w:rsidP="000F2258">
      <w:pPr>
        <w:pStyle w:val="Citation-AltC"/>
        <w:ind w:hanging="1166"/>
        <w:contextualSpacing w:val="0"/>
        <w:rPr>
          <w:lang w:val="fr-CA"/>
        </w:rPr>
      </w:pPr>
      <w:r w:rsidRPr="002F5A3C">
        <w:rPr>
          <w:lang w:val="fr-CA"/>
        </w:rPr>
        <w:tab/>
      </w:r>
      <w:r w:rsidR="007B392E">
        <w:rPr>
          <w:lang w:val="fr-CA"/>
        </w:rPr>
        <w:t>. . . l</w:t>
      </w:r>
      <w:r w:rsidRPr="002F5A3C">
        <w:rPr>
          <w:lang w:val="fr-CA"/>
        </w:rPr>
        <w:t>es gouvernements fédéral et provinciaux [ont le pouvoir] de réglementer, dans les limites de leurs champs respectifs de compétences législatives, l’exercice du droit issu du traité, sous réserve du fait que la Constitution exige que les restrictions imposées à l’exercice de ce droit soient justifiées pour des raisons de conservation ou pour d’autres objectifs d’intérêt public réels et impérieux</w:t>
      </w:r>
      <w:r w:rsidR="0066769B">
        <w:rPr>
          <w:lang w:val="fr-CA"/>
        </w:rPr>
        <w:t xml:space="preserve"> </w:t>
      </w:r>
      <w:r w:rsidRPr="002F5A3C">
        <w:rPr>
          <w:lang w:val="fr-CA"/>
        </w:rPr>
        <w:t>.</w:t>
      </w:r>
      <w:r w:rsidR="007B392E">
        <w:rPr>
          <w:lang w:val="fr-CA"/>
        </w:rPr>
        <w:t xml:space="preserve"> . . [par. 24]</w:t>
      </w:r>
    </w:p>
    <w:p w:rsidR="000F2258" w:rsidRPr="002F5A3C" w:rsidRDefault="000F2258" w:rsidP="000F2258">
      <w:pPr>
        <w:pStyle w:val="ParaNoNdepar-AltN"/>
        <w:rPr>
          <w:rFonts w:cs="Times New Roman"/>
          <w:lang w:val="fr-CA"/>
        </w:rPr>
      </w:pPr>
      <w:r w:rsidRPr="002F5A3C">
        <w:rPr>
          <w:rFonts w:cs="Times New Roman"/>
          <w:lang w:val="fr-CA"/>
        </w:rPr>
        <w:t xml:space="preserve">Plus récemment cependant, dans l’arrêt </w:t>
      </w:r>
      <w:r w:rsidRPr="002F5A3C">
        <w:rPr>
          <w:rFonts w:cs="Times New Roman"/>
          <w:i/>
          <w:lang w:val="fr-CA"/>
        </w:rPr>
        <w:t>Morris</w:t>
      </w:r>
      <w:r w:rsidRPr="002F5A3C">
        <w:rPr>
          <w:rFonts w:cs="Times New Roman"/>
          <w:lang w:val="fr-CA"/>
        </w:rPr>
        <w:t xml:space="preserve">, notre Cour a fait une distinction avec l’arrêt </w:t>
      </w:r>
      <w:r w:rsidRPr="002F5A3C">
        <w:rPr>
          <w:rFonts w:cs="Times New Roman"/>
          <w:i/>
          <w:lang w:val="fr-CA"/>
        </w:rPr>
        <w:t>Marshall</w:t>
      </w:r>
      <w:r w:rsidRPr="002F5A3C">
        <w:rPr>
          <w:rFonts w:cs="Times New Roman"/>
          <w:lang w:val="fr-CA"/>
        </w:rPr>
        <w:t xml:space="preserve"> puisque le droit issu du traité en question dans </w:t>
      </w:r>
      <w:r w:rsidRPr="002F5A3C">
        <w:rPr>
          <w:rFonts w:cs="Times New Roman"/>
          <w:i/>
          <w:lang w:val="fr-CA"/>
        </w:rPr>
        <w:t>Marshall</w:t>
      </w:r>
      <w:r w:rsidRPr="002F5A3C">
        <w:rPr>
          <w:rFonts w:cs="Times New Roman"/>
          <w:lang w:val="fr-CA"/>
        </w:rPr>
        <w:t xml:space="preserve"> était un droit de nature commerciale.  Dans </w:t>
      </w:r>
      <w:r w:rsidRPr="002F5A3C">
        <w:rPr>
          <w:rFonts w:cs="Times New Roman"/>
          <w:i/>
          <w:lang w:val="fr-CA"/>
        </w:rPr>
        <w:t>Morris</w:t>
      </w:r>
      <w:r w:rsidRPr="002F5A3C">
        <w:rPr>
          <w:rFonts w:cs="Times New Roman"/>
          <w:lang w:val="fr-CA"/>
        </w:rPr>
        <w:t xml:space="preserve">, la Cour a conclu que l’exclusivité des compétences interdisait à la province de porter atteinte au droit issu du traité — un droit de nature non commerciale dans cette affaire — indépendamment </w:t>
      </w:r>
      <w:r w:rsidRPr="002F5A3C">
        <w:rPr>
          <w:rFonts w:cs="Times New Roman"/>
          <w:lang w:val="fr-CA"/>
        </w:rPr>
        <w:lastRenderedPageBreak/>
        <w:t>du fait que l’atteinte puisse ou non être justifiée en vertu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Cela mis à part, la jurisprudence ne traite pas directement du lien entre l’exclusivité des compétences et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L’ambiguïté de la jurisprudence a engendré l’imprévisibilité.  Il est clair que lorsqu’une loi </w:t>
      </w:r>
      <w:r w:rsidRPr="002F5A3C">
        <w:rPr>
          <w:rFonts w:cs="Times New Roman"/>
          <w:i/>
          <w:lang w:val="fr-CA"/>
        </w:rPr>
        <w:t>fédérale</w:t>
      </w:r>
      <w:r w:rsidRPr="002F5A3C">
        <w:rPr>
          <w:rFonts w:cs="Times New Roman"/>
          <w:lang w:val="fr-CA"/>
        </w:rPr>
        <w:t xml:space="preserve"> valide porte atteinte à un droit ancestral ou issu d’un traité, le cadre d’analyse relatif à l’art.</w:t>
      </w:r>
      <w:r>
        <w:rPr>
          <w:rFonts w:cs="Times New Roman"/>
          <w:lang w:val="fr-CA"/>
        </w:rPr>
        <w:t xml:space="preserve"> </w:t>
      </w:r>
      <w:r w:rsidRPr="002F5A3C">
        <w:rPr>
          <w:rFonts w:cs="Times New Roman"/>
          <w:lang w:val="fr-CA"/>
        </w:rPr>
        <w:t xml:space="preserve">35 énoncé dans </w:t>
      </w:r>
      <w:r w:rsidRPr="002F5A3C">
        <w:rPr>
          <w:rFonts w:cs="Times New Roman"/>
          <w:i/>
          <w:lang w:val="fr-CA"/>
        </w:rPr>
        <w:t>Sparrow</w:t>
      </w:r>
      <w:r w:rsidRPr="002F5A3C">
        <w:rPr>
          <w:rFonts w:cs="Times New Roman"/>
          <w:lang w:val="fr-CA"/>
        </w:rPr>
        <w:t xml:space="preserve"> régit l’applicabilité de la loi.  Il est toutefois moins évident que ce soit le cas lorsqu’une loi </w:t>
      </w:r>
      <w:r w:rsidRPr="002F5A3C">
        <w:rPr>
          <w:rFonts w:cs="Times New Roman"/>
          <w:i/>
          <w:lang w:val="fr-CA"/>
        </w:rPr>
        <w:t>provinciale</w:t>
      </w:r>
      <w:r w:rsidRPr="002F5A3C">
        <w:rPr>
          <w:rFonts w:cs="Times New Roman"/>
          <w:lang w:val="fr-CA"/>
        </w:rPr>
        <w:t xml:space="preserve"> valide porte atteinte à un droit ancestral ou issu d’un traité.  La jurisprudence laisse sans réponse les questions suivantes</w:t>
      </w:r>
      <w:r>
        <w:rPr>
          <w:rFonts w:cs="Times New Roman"/>
          <w:lang w:val="fr-CA"/>
        </w:rPr>
        <w:t> :</w:t>
      </w:r>
      <w:r w:rsidR="001B2763">
        <w:rPr>
          <w:rFonts w:cs="Times New Roman"/>
          <w:lang w:val="fr-CA"/>
        </w:rPr>
        <w:t xml:space="preserve"> L</w:t>
      </w:r>
      <w:r w:rsidRPr="002F5A3C">
        <w:rPr>
          <w:rFonts w:cs="Times New Roman"/>
          <w:lang w:val="fr-CA"/>
        </w:rPr>
        <w:t>’exclusivité des compétences empêche</w:t>
      </w:r>
      <w:r>
        <w:rPr>
          <w:rFonts w:cs="Times New Roman"/>
          <w:lang w:val="fr-CA"/>
        </w:rPr>
        <w:t>-</w:t>
      </w:r>
      <w:r w:rsidRPr="002F5A3C">
        <w:rPr>
          <w:rFonts w:cs="Times New Roman"/>
          <w:lang w:val="fr-CA"/>
        </w:rPr>
        <w:t>t</w:t>
      </w:r>
      <w:r>
        <w:rPr>
          <w:rFonts w:cs="Times New Roman"/>
          <w:lang w:val="fr-CA"/>
        </w:rPr>
        <w:t>-</w:t>
      </w:r>
      <w:r w:rsidRPr="002F5A3C">
        <w:rPr>
          <w:rFonts w:cs="Times New Roman"/>
          <w:lang w:val="fr-CA"/>
        </w:rPr>
        <w:t xml:space="preserve">elle absolument les gouvernements provinciaux de limiter les droits ancestraux même si le cadre d’analyse énoncé dans </w:t>
      </w:r>
      <w:r w:rsidRPr="002F5A3C">
        <w:rPr>
          <w:rFonts w:cs="Times New Roman"/>
          <w:i/>
          <w:lang w:val="fr-CA"/>
        </w:rPr>
        <w:t>Sparrow</w:t>
      </w:r>
      <w:r w:rsidRPr="002F5A3C">
        <w:rPr>
          <w:rFonts w:cs="Times New Roman"/>
          <w:lang w:val="fr-CA"/>
        </w:rPr>
        <w:t xml:space="preserve"> permettrait de justifier l’atteinte en question?  Une atteinte à un droit ancestral de la part de la province est</w:t>
      </w:r>
      <w:r>
        <w:rPr>
          <w:rFonts w:cs="Times New Roman"/>
          <w:lang w:val="fr-CA"/>
        </w:rPr>
        <w:t>-</w:t>
      </w:r>
      <w:r w:rsidRPr="002F5A3C">
        <w:rPr>
          <w:rFonts w:cs="Times New Roman"/>
          <w:lang w:val="fr-CA"/>
        </w:rPr>
        <w:t>elle traitée différemment d’une atteinte à un droit issu d’un traité?  Et les droits ancestraux de nature commerciale sont</w:t>
      </w:r>
      <w:r>
        <w:rPr>
          <w:rFonts w:cs="Times New Roman"/>
          <w:lang w:val="fr-CA"/>
        </w:rPr>
        <w:t>-</w:t>
      </w:r>
      <w:r w:rsidRPr="002F5A3C">
        <w:rPr>
          <w:rFonts w:cs="Times New Roman"/>
          <w:lang w:val="fr-CA"/>
        </w:rPr>
        <w:t>ils traités différemment des droits ancestraux de nature non commerciale?  Comme aucune décision n’a examiné explicitement ces questions, je propose de le faire maintenant.</w:t>
      </w:r>
    </w:p>
    <w:p w:rsidR="000F2258" w:rsidRPr="002F5A3C" w:rsidRDefault="000F2258" w:rsidP="000F2258">
      <w:pPr>
        <w:pStyle w:val="ParaNoNdepar-AltN"/>
        <w:rPr>
          <w:rFonts w:cs="Times New Roman"/>
          <w:lang w:val="fr-CA"/>
        </w:rPr>
      </w:pPr>
      <w:r w:rsidRPr="002F5A3C">
        <w:rPr>
          <w:rFonts w:cs="Times New Roman"/>
          <w:lang w:val="fr-CA"/>
        </w:rPr>
        <w:t>J’ai déjà indiqué que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impose des limites quant à la façon dont les gouvernements, tant fédéral que provinciaux, peuvent traiter les terres visées par un titre ancestral.</w:t>
      </w:r>
      <w:r>
        <w:rPr>
          <w:rFonts w:cs="Times New Roman"/>
          <w:lang w:val="fr-CA"/>
        </w:rPr>
        <w:t xml:space="preserve"> </w:t>
      </w:r>
      <w:r w:rsidRPr="002F5A3C">
        <w:rPr>
          <w:rFonts w:cs="Times New Roman"/>
          <w:lang w:val="fr-CA"/>
        </w:rPr>
        <w:t xml:space="preserve"> Ces gouvernements ne peuvent faire des lois qui entraînent une diminution appréciable d’un droit ancestral ou issu d’un traité à moins que l’atteinte soit justifiée dans l’intérêt public général et qu’elle soit compatible avec l’obligation fiduciaire qu’a la Couronne envers le groupe </w:t>
      </w:r>
      <w:r w:rsidRPr="002F5A3C">
        <w:rPr>
          <w:rFonts w:cs="Times New Roman"/>
          <w:lang w:val="fr-CA"/>
        </w:rPr>
        <w:lastRenderedPageBreak/>
        <w:t>autochtone.  L’objectif consiste à protéger les droits ancestraux et issus d’un traité tout en permettant la conciliation des intérêts autochtones avec ceux de la société en général.</w:t>
      </w:r>
      <w:r>
        <w:rPr>
          <w:rFonts w:cs="Times New Roman"/>
          <w:lang w:val="fr-CA"/>
        </w:rPr>
        <w:t xml:space="preserve"> </w:t>
      </w:r>
    </w:p>
    <w:p w:rsidR="000F2258" w:rsidRPr="002F5A3C" w:rsidRDefault="000F2258" w:rsidP="000F2258">
      <w:pPr>
        <w:pStyle w:val="ParaNoNdepar-AltN"/>
        <w:rPr>
          <w:rFonts w:cs="Times New Roman"/>
          <w:lang w:val="fr-CA"/>
        </w:rPr>
      </w:pPr>
      <w:r w:rsidRPr="002F5A3C">
        <w:rPr>
          <w:rFonts w:cs="Times New Roman"/>
          <w:lang w:val="fr-CA"/>
        </w:rPr>
        <w:t xml:space="preserve">Alors, à quoi peuvent encore servir l’application de la doctrine de l’exclusivité des compétences et la notion que les droits ancestraux font partie du contenu essentiel du pouvoir fédéral sur les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xml:space="preserve"> prévu au par.</w:t>
      </w:r>
      <w:r>
        <w:rPr>
          <w:rFonts w:cs="Times New Roman"/>
          <w:lang w:val="fr-CA"/>
        </w:rPr>
        <w:t xml:space="preserve"> </w:t>
      </w:r>
      <w:r w:rsidRPr="002F5A3C">
        <w:rPr>
          <w:rFonts w:cs="Times New Roman"/>
          <w:lang w:val="fr-CA"/>
        </w:rPr>
        <w:t xml:space="preserve">91(24) de la </w:t>
      </w:r>
      <w:r w:rsidRPr="002F5A3C">
        <w:rPr>
          <w:rFonts w:cs="Times New Roman"/>
          <w:i/>
          <w:lang w:val="fr-CA"/>
        </w:rPr>
        <w:t>Loi constitutionnelle de 1867</w:t>
      </w:r>
      <w:r w:rsidRPr="002F5A3C">
        <w:rPr>
          <w:rFonts w:cs="Times New Roman"/>
          <w:lang w:val="fr-CA"/>
        </w:rPr>
        <w:t>?  Il faut répondre comme suit</w:t>
      </w:r>
      <w:r>
        <w:rPr>
          <w:rFonts w:cs="Times New Roman"/>
          <w:lang w:val="fr-CA"/>
        </w:rPr>
        <w:t> :</w:t>
      </w:r>
      <w:r w:rsidRPr="002F5A3C">
        <w:rPr>
          <w:rFonts w:cs="Times New Roman"/>
          <w:lang w:val="fr-CA"/>
        </w:rPr>
        <w:t xml:space="preserve"> elles ne servent à rien.</w:t>
      </w:r>
    </w:p>
    <w:p w:rsidR="000F2258" w:rsidRPr="002F5A3C" w:rsidRDefault="000F2258" w:rsidP="000F2258">
      <w:pPr>
        <w:pStyle w:val="ParaNoNdepar-AltN"/>
        <w:rPr>
          <w:rFonts w:cs="Times New Roman"/>
          <w:lang w:val="fr-CA"/>
        </w:rPr>
      </w:pPr>
      <w:r w:rsidRPr="002F5A3C">
        <w:rPr>
          <w:rFonts w:cs="Times New Roman"/>
          <w:lang w:val="fr-CA"/>
        </w:rPr>
        <w:t>La doctrine de l’exclusivité des compétences vise à faire en sorte que les deux niveaux de gouvernement soient en mesure de fonctionner sans que l’un empiète sur le contenu essentiel des domaines de compétence exclusive de l’autre.  Cet objectif n’est pas en cause dans les affaires telles</w:t>
      </w:r>
      <w:r w:rsidR="001B2763">
        <w:rPr>
          <w:rFonts w:cs="Times New Roman"/>
          <w:lang w:val="fr-CA"/>
        </w:rPr>
        <w:t xml:space="preserve"> que</w:t>
      </w:r>
      <w:r w:rsidRPr="002F5A3C">
        <w:rPr>
          <w:rFonts w:cs="Times New Roman"/>
          <w:lang w:val="fr-CA"/>
        </w:rPr>
        <w:t xml:space="preserve"> celle qui nous occupe.  Les droits ancestraux constituent une limite à l’exercice des compétences tant fédérales que provinciales.</w:t>
      </w:r>
    </w:p>
    <w:p w:rsidR="000F2258" w:rsidRPr="002F5A3C" w:rsidRDefault="000F2258" w:rsidP="000F2258">
      <w:pPr>
        <w:pStyle w:val="ParaNoNdepar-AltN"/>
        <w:rPr>
          <w:rFonts w:cs="Times New Roman"/>
          <w:lang w:val="fr-CA"/>
        </w:rPr>
      </w:pPr>
      <w:r w:rsidRPr="002F5A3C">
        <w:rPr>
          <w:rFonts w:cs="Times New Roman"/>
          <w:lang w:val="fr-CA"/>
        </w:rPr>
        <w:t xml:space="preserve">Tout comme le fait la </w:t>
      </w:r>
      <w:r w:rsidRPr="002F5A3C">
        <w:rPr>
          <w:rFonts w:cs="Times New Roman"/>
          <w:i/>
          <w:lang w:val="fr-CA"/>
        </w:rPr>
        <w:t>Charte canadienne des droits et libertés</w:t>
      </w:r>
      <w:r w:rsidRPr="002F5A3C">
        <w:rPr>
          <w:rFonts w:cs="Times New Roman"/>
          <w:lang w:val="fr-CA"/>
        </w:rPr>
        <w:t>, la protection des droits ancestraux garantie à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xml:space="preserve"> vient limiter l’exercice des pouvoirs législatifs fédéraux et provinciaux.  La </w:t>
      </w:r>
      <w:r w:rsidRPr="002F5A3C">
        <w:rPr>
          <w:rFonts w:cs="Times New Roman"/>
          <w:i/>
          <w:lang w:val="fr-CA"/>
        </w:rPr>
        <w:t xml:space="preserve">Charte </w:t>
      </w:r>
      <w:r w:rsidRPr="002F5A3C">
        <w:rPr>
          <w:rFonts w:cs="Times New Roman"/>
          <w:lang w:val="fr-CA"/>
        </w:rPr>
        <w:t>constitue la partie</w:t>
      </w:r>
      <w:r>
        <w:rPr>
          <w:rFonts w:cs="Times New Roman"/>
          <w:lang w:val="fr-CA"/>
        </w:rPr>
        <w:t xml:space="preserve"> </w:t>
      </w:r>
      <w:r w:rsidRPr="002F5A3C">
        <w:rPr>
          <w:rFonts w:cs="Times New Roman"/>
          <w:lang w:val="fr-CA"/>
        </w:rPr>
        <w:t xml:space="preserve">I de la </w:t>
      </w:r>
      <w:r w:rsidRPr="002F5A3C">
        <w:rPr>
          <w:rFonts w:cs="Times New Roman"/>
          <w:i/>
          <w:lang w:val="fr-CA"/>
        </w:rPr>
        <w:t>Loi constitutionnelle de 1982</w:t>
      </w:r>
      <w:r w:rsidRPr="002F5A3C">
        <w:rPr>
          <w:rFonts w:cs="Times New Roman"/>
          <w:lang w:val="fr-CA"/>
        </w:rPr>
        <w:t>, et la protection des droits ancestraux constitue la partie</w:t>
      </w:r>
      <w:r>
        <w:rPr>
          <w:rFonts w:cs="Times New Roman"/>
          <w:lang w:val="fr-CA"/>
        </w:rPr>
        <w:t xml:space="preserve"> </w:t>
      </w:r>
      <w:r w:rsidRPr="002F5A3C">
        <w:rPr>
          <w:rFonts w:cs="Times New Roman"/>
          <w:lang w:val="fr-CA"/>
        </w:rPr>
        <w:t>II.  Les parties</w:t>
      </w:r>
      <w:r>
        <w:rPr>
          <w:rFonts w:cs="Times New Roman"/>
          <w:lang w:val="fr-CA"/>
        </w:rPr>
        <w:t xml:space="preserve"> </w:t>
      </w:r>
      <w:r w:rsidRPr="002F5A3C">
        <w:rPr>
          <w:rFonts w:cs="Times New Roman"/>
          <w:lang w:val="fr-CA"/>
        </w:rPr>
        <w:t>I et II sont apparentées et limitent toutes deux l’exercice des pouvoirs gouvernementaux, qu’ils soient fédéraux ou provinciaux.  Les droits garantis</w:t>
      </w:r>
      <w:r>
        <w:rPr>
          <w:rFonts w:cs="Times New Roman"/>
          <w:lang w:val="fr-CA"/>
        </w:rPr>
        <w:t xml:space="preserve"> </w:t>
      </w:r>
      <w:r w:rsidRPr="002F5A3C">
        <w:rPr>
          <w:rFonts w:cs="Times New Roman"/>
          <w:lang w:val="fr-CA"/>
        </w:rPr>
        <w:t>à la partie</w:t>
      </w:r>
      <w:r>
        <w:rPr>
          <w:rFonts w:cs="Times New Roman"/>
          <w:lang w:val="fr-CA"/>
        </w:rPr>
        <w:t xml:space="preserve"> </w:t>
      </w:r>
      <w:r w:rsidRPr="002F5A3C">
        <w:rPr>
          <w:rFonts w:cs="Times New Roman"/>
          <w:lang w:val="fr-CA"/>
        </w:rPr>
        <w:t xml:space="preserve">II, tout comme les droits garantis par la </w:t>
      </w:r>
      <w:r w:rsidRPr="002F5A3C">
        <w:rPr>
          <w:rFonts w:cs="Times New Roman"/>
          <w:i/>
          <w:lang w:val="fr-CA"/>
        </w:rPr>
        <w:t>Charte</w:t>
      </w:r>
      <w:r w:rsidRPr="002F5A3C">
        <w:rPr>
          <w:rFonts w:cs="Times New Roman"/>
          <w:lang w:val="fr-CA"/>
        </w:rPr>
        <w:t xml:space="preserve"> à la partie</w:t>
      </w:r>
      <w:r>
        <w:rPr>
          <w:rFonts w:cs="Times New Roman"/>
          <w:lang w:val="fr-CA"/>
        </w:rPr>
        <w:t xml:space="preserve"> </w:t>
      </w:r>
      <w:r w:rsidRPr="002F5A3C">
        <w:rPr>
          <w:rFonts w:cs="Times New Roman"/>
          <w:lang w:val="fr-CA"/>
        </w:rPr>
        <w:t xml:space="preserve">I, sont </w:t>
      </w:r>
      <w:r w:rsidRPr="002F5A3C">
        <w:rPr>
          <w:rFonts w:cs="Times New Roman"/>
          <w:i/>
          <w:lang w:val="fr-CA"/>
        </w:rPr>
        <w:t>opposables</w:t>
      </w:r>
      <w:r w:rsidRPr="002F5A3C">
        <w:rPr>
          <w:rFonts w:cs="Times New Roman"/>
          <w:lang w:val="fr-CA"/>
        </w:rPr>
        <w:t xml:space="preserve"> au gouvernement — ils ont pour effet d’</w:t>
      </w:r>
      <w:r w:rsidRPr="002F5A3C">
        <w:rPr>
          <w:rFonts w:cs="Times New Roman"/>
          <w:i/>
          <w:lang w:val="fr-CA"/>
        </w:rPr>
        <w:t>interdire</w:t>
      </w:r>
      <w:r w:rsidRPr="002F5A3C">
        <w:rPr>
          <w:rFonts w:cs="Times New Roman"/>
          <w:lang w:val="fr-CA"/>
        </w:rPr>
        <w:t xml:space="preserve"> certains types de r</w:t>
      </w:r>
      <w:r w:rsidR="007B392E">
        <w:rPr>
          <w:rFonts w:cs="Times New Roman"/>
          <w:lang w:val="fr-CA"/>
        </w:rPr>
        <w:t>é</w:t>
      </w:r>
      <w:r w:rsidRPr="002F5A3C">
        <w:rPr>
          <w:rFonts w:cs="Times New Roman"/>
          <w:lang w:val="fr-CA"/>
        </w:rPr>
        <w:t xml:space="preserve">glementation que les gouvernements pourraient autrement imposer.  Ces limites n’ont </w:t>
      </w:r>
      <w:r w:rsidRPr="002F5A3C">
        <w:rPr>
          <w:rFonts w:cs="Times New Roman"/>
          <w:lang w:val="fr-CA"/>
        </w:rPr>
        <w:lastRenderedPageBreak/>
        <w:t>rien à voir avec la question de savoir si une activité fait partie du contenu essentiel des pouvoirs du gouvernement fédéral.</w:t>
      </w:r>
    </w:p>
    <w:p w:rsidR="000F2258" w:rsidRPr="002F5A3C" w:rsidRDefault="000F2258" w:rsidP="000F2258">
      <w:pPr>
        <w:pStyle w:val="ParaNoNdepar-AltN"/>
        <w:rPr>
          <w:rFonts w:cs="Times New Roman"/>
          <w:lang w:val="fr-CA"/>
        </w:rPr>
      </w:pPr>
      <w:r w:rsidRPr="002F5A3C">
        <w:rPr>
          <w:rFonts w:cs="Times New Roman"/>
          <w:lang w:val="fr-CA"/>
        </w:rPr>
        <w:t xml:space="preserve">Une analogie avec la jurisprudence relative à la </w:t>
      </w:r>
      <w:r w:rsidRPr="002F5A3C">
        <w:rPr>
          <w:rFonts w:cs="Times New Roman"/>
          <w:i/>
          <w:lang w:val="fr-CA"/>
        </w:rPr>
        <w:t>Charte</w:t>
      </w:r>
      <w:r w:rsidR="00423F09">
        <w:rPr>
          <w:rFonts w:cs="Times New Roman"/>
          <w:lang w:val="fr-CA"/>
        </w:rPr>
        <w:t xml:space="preserve"> peut illustrer ce point.  Le P</w:t>
      </w:r>
      <w:r w:rsidRPr="002F5A3C">
        <w:rPr>
          <w:rFonts w:cs="Times New Roman"/>
          <w:lang w:val="fr-CA"/>
        </w:rPr>
        <w:t>arlement a une compétence exclusive en matière de droit criminel.  Cependant, l’exercice de son pouvoir en droit criminel est circonscrit par l’art.</w:t>
      </w:r>
      <w:r>
        <w:rPr>
          <w:rFonts w:cs="Times New Roman"/>
          <w:lang w:val="fr-CA"/>
        </w:rPr>
        <w:t xml:space="preserve"> </w:t>
      </w:r>
      <w:r w:rsidRPr="002F5A3C">
        <w:rPr>
          <w:rFonts w:cs="Times New Roman"/>
          <w:lang w:val="fr-CA"/>
        </w:rPr>
        <w:t xml:space="preserve">11 de la </w:t>
      </w:r>
      <w:r w:rsidRPr="002F5A3C">
        <w:rPr>
          <w:rFonts w:cs="Times New Roman"/>
          <w:i/>
          <w:lang w:val="fr-CA"/>
        </w:rPr>
        <w:t>Charte</w:t>
      </w:r>
      <w:r w:rsidRPr="002F5A3C">
        <w:rPr>
          <w:rFonts w:cs="Times New Roman"/>
          <w:lang w:val="fr-CA"/>
        </w:rPr>
        <w:t xml:space="preserve"> qui garantit le droit à l’équité du processus criminel.  Tout comme les droits ancestraux sont un aspect fondamental du droit autochtone, le droit à l’équité du processus criminel est un aspect fondamental du droit criminel.  Mais nous ne disons pas que le droit à l’équité du processus criminel prévu à l’art.</w:t>
      </w:r>
      <w:r>
        <w:rPr>
          <w:rFonts w:cs="Times New Roman"/>
          <w:lang w:val="fr-CA"/>
        </w:rPr>
        <w:t xml:space="preserve"> </w:t>
      </w:r>
      <w:r w:rsidRPr="002F5A3C">
        <w:rPr>
          <w:rFonts w:cs="Times New Roman"/>
          <w:lang w:val="fr-CA"/>
        </w:rPr>
        <w:t>11 fait partie du contenu</w:t>
      </w:r>
      <w:r w:rsidR="00423F09">
        <w:rPr>
          <w:rFonts w:cs="Times New Roman"/>
          <w:lang w:val="fr-CA"/>
        </w:rPr>
        <w:t xml:space="preserve"> essentiel de la compétence du P</w:t>
      </w:r>
      <w:r w:rsidRPr="002F5A3C">
        <w:rPr>
          <w:rFonts w:cs="Times New Roman"/>
          <w:lang w:val="fr-CA"/>
        </w:rPr>
        <w:t xml:space="preserve">arlement en matière de droit criminel.  Il s’agit plutôt d’une </w:t>
      </w:r>
      <w:r w:rsidRPr="002F5A3C">
        <w:rPr>
          <w:rFonts w:cs="Times New Roman"/>
          <w:i/>
          <w:lang w:val="fr-CA"/>
        </w:rPr>
        <w:t>limite</w:t>
      </w:r>
      <w:r w:rsidR="00423F09">
        <w:rPr>
          <w:rFonts w:cs="Times New Roman"/>
          <w:lang w:val="fr-CA"/>
        </w:rPr>
        <w:t xml:space="preserve"> à la compétence du P</w:t>
      </w:r>
      <w:r w:rsidRPr="002F5A3C">
        <w:rPr>
          <w:rFonts w:cs="Times New Roman"/>
          <w:lang w:val="fr-CA"/>
        </w:rPr>
        <w:t>arlement en matière de droit criminel.  Si l’on considérait que les droits garantis à l’art.</w:t>
      </w:r>
      <w:r>
        <w:rPr>
          <w:rFonts w:cs="Times New Roman"/>
          <w:lang w:val="fr-CA"/>
        </w:rPr>
        <w:t xml:space="preserve"> </w:t>
      </w:r>
      <w:r w:rsidRPr="002F5A3C">
        <w:rPr>
          <w:rFonts w:cs="Times New Roman"/>
          <w:lang w:val="fr-CA"/>
        </w:rPr>
        <w:t>11 font partie du contenu</w:t>
      </w:r>
      <w:r w:rsidR="00423F09">
        <w:rPr>
          <w:rFonts w:cs="Times New Roman"/>
          <w:lang w:val="fr-CA"/>
        </w:rPr>
        <w:t xml:space="preserve"> essentiel de la compétence du P</w:t>
      </w:r>
      <w:r w:rsidRPr="002F5A3C">
        <w:rPr>
          <w:rFonts w:cs="Times New Roman"/>
          <w:lang w:val="fr-CA"/>
        </w:rPr>
        <w:t>arlement en matière de droit criminel de sorte que l’exclusivité des compétences s’applique, on aboutirait à un résultat absurde</w:t>
      </w:r>
      <w:r>
        <w:rPr>
          <w:rFonts w:cs="Times New Roman"/>
          <w:lang w:val="fr-CA"/>
        </w:rPr>
        <w:t> :</w:t>
      </w:r>
      <w:r w:rsidRPr="002F5A3C">
        <w:rPr>
          <w:rFonts w:cs="Times New Roman"/>
          <w:lang w:val="fr-CA"/>
        </w:rPr>
        <w:t xml:space="preserve"> les violations, par les provinces, des droits garantis à l’art.</w:t>
      </w:r>
      <w:r>
        <w:rPr>
          <w:rFonts w:cs="Times New Roman"/>
          <w:lang w:val="fr-CA"/>
        </w:rPr>
        <w:t xml:space="preserve"> </w:t>
      </w:r>
      <w:r w:rsidRPr="002F5A3C">
        <w:rPr>
          <w:rFonts w:cs="Times New Roman"/>
          <w:lang w:val="fr-CA"/>
        </w:rPr>
        <w:t xml:space="preserve">11 seraient jugées suivant une norme différente de celle applicable aux violations par le gouvernement fédéral, et seules ces dernières seraient susceptibles d’être sauvegardées en vertu de l’article premier de la </w:t>
      </w:r>
      <w:r w:rsidRPr="002F5A3C">
        <w:rPr>
          <w:rFonts w:cs="Times New Roman"/>
          <w:i/>
          <w:lang w:val="fr-CA"/>
        </w:rPr>
        <w:t>Charte</w:t>
      </w:r>
      <w:r w:rsidRPr="002F5A3C">
        <w:rPr>
          <w:rFonts w:cs="Times New Roman"/>
          <w:lang w:val="fr-CA"/>
        </w:rPr>
        <w:t>.  L’application de l’exclusivité des compétences aux droits ancestraux aboutirait au même résultat absurde.</w:t>
      </w:r>
    </w:p>
    <w:p w:rsidR="000F2258" w:rsidRPr="002F5A3C" w:rsidRDefault="000F2258" w:rsidP="000F2258">
      <w:pPr>
        <w:pStyle w:val="ParaNoNdepar-AltN"/>
        <w:rPr>
          <w:rFonts w:cs="Times New Roman"/>
          <w:lang w:val="fr-CA"/>
        </w:rPr>
      </w:pPr>
      <w:r w:rsidRPr="002F5A3C">
        <w:rPr>
          <w:rFonts w:cs="Times New Roman"/>
          <w:lang w:val="fr-CA"/>
        </w:rPr>
        <w:t>La doctrine de l’exclusivité des compétences vise à régler les conflits entre les compétences provinciales et les compétences fédérales; elle y parvient en créant des domaines de compétence exclusive pour chaque palier de gouvernement.  Cependant, le problème dans des cas comme celui</w:t>
      </w:r>
      <w:r>
        <w:rPr>
          <w:rFonts w:cs="Times New Roman"/>
          <w:lang w:val="fr-CA"/>
        </w:rPr>
        <w:t>-</w:t>
      </w:r>
      <w:r w:rsidRPr="002F5A3C">
        <w:rPr>
          <w:rFonts w:cs="Times New Roman"/>
          <w:lang w:val="fr-CA"/>
        </w:rPr>
        <w:t xml:space="preserve">ci ne résulte pas d’une confrontation entre le </w:t>
      </w:r>
      <w:r w:rsidRPr="002F5A3C">
        <w:rPr>
          <w:rFonts w:cs="Times New Roman"/>
          <w:lang w:val="fr-CA"/>
        </w:rPr>
        <w:lastRenderedPageBreak/>
        <w:t>pouvoir des provinces et ceux du gouvernement fédéral mais plutôt d’une tension entre le droit des titulaires du titre ancestral d’utiliser leurs terres comme ils l’entendent et la volonté de la province de réglementer ces terres au même titre que toutes les autres terres dans la province.</w:t>
      </w:r>
    </w:p>
    <w:p w:rsidR="000F2258" w:rsidRPr="002F5A3C" w:rsidRDefault="000F2258" w:rsidP="000F2258">
      <w:pPr>
        <w:pStyle w:val="ParaNoNdepar-AltN"/>
        <w:rPr>
          <w:rFonts w:cs="Times New Roman"/>
          <w:lang w:val="fr-CA"/>
        </w:rPr>
      </w:pPr>
      <w:r w:rsidRPr="002F5A3C">
        <w:rPr>
          <w:rFonts w:cs="Times New Roman"/>
          <w:lang w:val="fr-CA"/>
        </w:rPr>
        <w:t>En outre, l’application de la doctrine de l’exclusivité des compétences dans ce domaine créerait de sérieuses difficultés d’ordre pratique.</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Premièrement, l’application de l’exclusivité des compétences aurait pour effet d’établir deux critères différents pour l’appréciation de la constitutionnalité d’une loi provinciale touchant aux droits ancestraux.  Suivant l’arrêt </w:t>
      </w:r>
      <w:r w:rsidRPr="002F5A3C">
        <w:rPr>
          <w:rFonts w:cs="Times New Roman"/>
          <w:i/>
          <w:lang w:val="fr-CA"/>
        </w:rPr>
        <w:t>Sparrow</w:t>
      </w:r>
      <w:r w:rsidRPr="002F5A3C">
        <w:rPr>
          <w:rFonts w:cs="Times New Roman"/>
          <w:lang w:val="fr-CA"/>
        </w:rPr>
        <w:t>, la réglementation provinciale est inconstitutionnelle si elle entraîne une diminution appréciable d’un droit ancestral qui ne saurait être justifiée au regard de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Suivant la doctrine de l’exclusivité des compétences, la réglementation provinciale serait inconstitutionnelle si elle portait atteinte à un droit ancestral, peu importe que l’atteinte soit raisonnable ou justifiable.  Il y aurait donc deux critères contradictoires censés répondre à la même question</w:t>
      </w:r>
      <w:r>
        <w:rPr>
          <w:rFonts w:cs="Times New Roman"/>
          <w:lang w:val="fr-CA"/>
        </w:rPr>
        <w:t> :</w:t>
      </w:r>
      <w:r w:rsidR="006559B7">
        <w:rPr>
          <w:rFonts w:cs="Times New Roman"/>
          <w:lang w:val="fr-CA"/>
        </w:rPr>
        <w:t xml:space="preserve"> J</w:t>
      </w:r>
      <w:r w:rsidRPr="002F5A3C">
        <w:rPr>
          <w:rFonts w:cs="Times New Roman"/>
          <w:lang w:val="fr-CA"/>
        </w:rPr>
        <w:t>usqu’où les gouvernements provinciaux peuvent</w:t>
      </w:r>
      <w:r>
        <w:rPr>
          <w:rFonts w:cs="Times New Roman"/>
          <w:lang w:val="fr-CA"/>
        </w:rPr>
        <w:t>-</w:t>
      </w:r>
      <w:r w:rsidRPr="002F5A3C">
        <w:rPr>
          <w:rFonts w:cs="Times New Roman"/>
          <w:lang w:val="fr-CA"/>
        </w:rPr>
        <w:t>ils aller dans la r</w:t>
      </w:r>
      <w:r w:rsidR="007B392E">
        <w:rPr>
          <w:rFonts w:cs="Times New Roman"/>
          <w:lang w:val="fr-CA"/>
        </w:rPr>
        <w:t>é</w:t>
      </w:r>
      <w:r w:rsidRPr="002F5A3C">
        <w:rPr>
          <w:rFonts w:cs="Times New Roman"/>
          <w:lang w:val="fr-CA"/>
        </w:rPr>
        <w:t>glementation de l’exercice des droits ancestraux protégés par l’art.</w:t>
      </w:r>
      <w:r>
        <w:rPr>
          <w:rFonts w:cs="Times New Roman"/>
          <w:lang w:val="fr-CA"/>
        </w:rPr>
        <w:t xml:space="preserve"> </w:t>
      </w:r>
      <w:r w:rsidRPr="002F5A3C">
        <w:rPr>
          <w:rFonts w:cs="Times New Roman"/>
          <w:lang w:val="fr-CA"/>
        </w:rPr>
        <w:t xml:space="preserve">35?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Deuxièmement, en l’espèce, appliquer la doctrine de l’exclusivité des compétences dans le but d’exclure la réglementation provinciale des forêts se trouvant sur les terres visées par un titre ancestral entraînerait des résultats inégaux et indésirables et pourrait créer des vides législatifs.  Il en résulterait une réglementation morcelée en matière de ressources forestières — certaines régions de la province </w:t>
      </w:r>
      <w:r w:rsidRPr="002F5A3C">
        <w:rPr>
          <w:rFonts w:cs="Times New Roman"/>
          <w:lang w:val="fr-CA"/>
        </w:rPr>
        <w:lastRenderedPageBreak/>
        <w:t>seraient assujetties aux lois provinciales et d’autres régions seraient réglementées par les lois fédérales ou ne seraient pas réglementées du tout.  Cela pourrait rendre difficile, voire impossible, la résolution efficace de problèmes comme les ravageurs ou le feu</w:t>
      </w:r>
      <w:r>
        <w:rPr>
          <w:rFonts w:cs="Times New Roman"/>
          <w:lang w:val="fr-CA"/>
        </w:rPr>
        <w:t> :</w:t>
      </w:r>
      <w:r w:rsidRPr="002F5A3C">
        <w:rPr>
          <w:rFonts w:cs="Times New Roman"/>
          <w:lang w:val="fr-CA"/>
        </w:rPr>
        <w:t xml:space="preserve"> une situation souhaitée par ni l’un ni l’autre des paliers de gouvernement.</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La doctrine de l’exclusivité des compétences — fondée sur l’idée que les contextes réglementaires peuvent être divisés en compartiments étanches — va souvent à l’encontre de la réalité moderne.  Notre société devient plus complexe, et pour être efficace, la réglementation exige de plus en plus la coopération des régimes fédéral et provincial interreliés.  Les deux paliers de gouvernement possèdent des outils, compétences et expertises différents</w:t>
      </w:r>
      <w:r w:rsidR="006559B7">
        <w:rPr>
          <w:rFonts w:cs="Times New Roman"/>
          <w:lang w:val="fr-CA"/>
        </w:rPr>
        <w:t>,</w:t>
      </w:r>
      <w:r w:rsidRPr="002F5A3C">
        <w:rPr>
          <w:rFonts w:cs="Times New Roman"/>
          <w:lang w:val="fr-CA"/>
        </w:rPr>
        <w:t xml:space="preserve"> et les doctrines plus souples du double aspect et de la prépondérance fédérale sont sensibles à cette réalité</w:t>
      </w:r>
      <w:r>
        <w:rPr>
          <w:rFonts w:cs="Times New Roman"/>
          <w:lang w:val="fr-CA"/>
        </w:rPr>
        <w:t> :</w:t>
      </w:r>
      <w:r w:rsidRPr="002F5A3C">
        <w:rPr>
          <w:rFonts w:cs="Times New Roman"/>
          <w:lang w:val="fr-CA"/>
        </w:rPr>
        <w:t xml:space="preserve"> suivant ces doctrines, on encourage la coopération intergouvernementale jusqu’au moment où survient un conflit qu’il faut régler.  Par contre, la doctrine de l’exclusivité des compétences peut contrecarrer une telle coopération.  Dans le cas des forêts qui se trouvent sur les terres visées par un titre ancestral, les tribunaux devraient examiner la loi provinciale sur les ressources forestières afin de s’assurer qu’elle ne porte pas atteinte au contenu essentiel de la compétence fédérale sur les </w:t>
      </w:r>
      <w:r>
        <w:rPr>
          <w:rFonts w:cs="Times New Roman"/>
          <w:lang w:val="fr-CA"/>
        </w:rPr>
        <w:t>« </w:t>
      </w:r>
      <w:r w:rsidRPr="002F5A3C">
        <w:rPr>
          <w:rFonts w:cs="Times New Roman"/>
          <w:lang w:val="fr-CA"/>
        </w:rPr>
        <w:t>Indiens</w:t>
      </w:r>
      <w:r>
        <w:rPr>
          <w:rFonts w:cs="Times New Roman"/>
          <w:lang w:val="fr-CA"/>
        </w:rPr>
        <w:t> »</w:t>
      </w:r>
      <w:r w:rsidRPr="002F5A3C">
        <w:rPr>
          <w:rFonts w:cs="Times New Roman"/>
          <w:lang w:val="fr-CA"/>
        </w:rPr>
        <w:t xml:space="preserve"> et devraient également examiner la loi fédérale afin de s’assurer qu’elle ne porte pas atteinte au contenu essentiel du pouvoir provincial de gérer les forêts.  Suggérer, comme en l’espèce, que les deux paliers de gouvernement conviennent que les lois en question devraient rester en vigueur ne règle pas la question.  </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Notre Cour a récemment souligné les limites de l’exclusivité des compétences.  Les doctrines constitutionnelles </w:t>
      </w:r>
      <w:r>
        <w:rPr>
          <w:rFonts w:cs="Times New Roman"/>
          <w:lang w:val="fr-CA"/>
        </w:rPr>
        <w:t>« </w:t>
      </w:r>
      <w:r w:rsidRPr="002F5A3C">
        <w:rPr>
          <w:rFonts w:cs="Times New Roman"/>
          <w:lang w:val="fr-CA"/>
        </w:rPr>
        <w:t xml:space="preserve">doivent faciliter et non miner ce que </w:t>
      </w:r>
      <w:r w:rsidRPr="002F5A3C">
        <w:rPr>
          <w:rFonts w:cs="Times New Roman"/>
          <w:lang w:val="fr-CA"/>
        </w:rPr>
        <w:lastRenderedPageBreak/>
        <w:t xml:space="preserve">notre </w:t>
      </w:r>
      <w:r w:rsidR="007B392E">
        <w:rPr>
          <w:rFonts w:cs="Times New Roman"/>
          <w:lang w:val="fr-CA"/>
        </w:rPr>
        <w:t>C</w:t>
      </w:r>
      <w:r w:rsidRPr="002F5A3C">
        <w:rPr>
          <w:rFonts w:cs="Times New Roman"/>
          <w:lang w:val="fr-CA"/>
        </w:rPr>
        <w:t xml:space="preserve">our a appelé un </w:t>
      </w:r>
      <w:r w:rsidR="007B392E">
        <w:rPr>
          <w:rFonts w:cs="Times New Roman"/>
          <w:lang w:val="fr-CA"/>
        </w:rPr>
        <w:t>“</w:t>
      </w:r>
      <w:r w:rsidRPr="002F5A3C">
        <w:rPr>
          <w:rFonts w:cs="Times New Roman"/>
          <w:lang w:val="fr-CA"/>
        </w:rPr>
        <w:t>fédéralisme coopératif</w:t>
      </w:r>
      <w:r w:rsidR="007B392E">
        <w:rPr>
          <w:rFonts w:cs="Times New Roman"/>
          <w:lang w:val="fr-CA"/>
        </w:rPr>
        <w:t>”</w:t>
      </w:r>
      <w:r>
        <w:rPr>
          <w:rFonts w:cs="Times New Roman"/>
          <w:lang w:val="fr-CA"/>
        </w:rPr>
        <w:t> »</w:t>
      </w:r>
      <w:r w:rsidRPr="002F5A3C">
        <w:rPr>
          <w:rFonts w:cs="Times New Roman"/>
          <w:lang w:val="fr-CA"/>
        </w:rPr>
        <w:t xml:space="preserve"> et, par conséquent, </w:t>
      </w:r>
      <w:r>
        <w:rPr>
          <w:rFonts w:cs="Times New Roman"/>
          <w:lang w:val="fr-CA"/>
        </w:rPr>
        <w:t>« </w:t>
      </w:r>
      <w:r w:rsidRPr="002F5A3C">
        <w:rPr>
          <w:rFonts w:cs="Times New Roman"/>
          <w:lang w:val="fr-CA"/>
        </w:rPr>
        <w:t>les tribunaux privilégient, dans la mesure du possible, l’application régulière des lois édictées par les deux ordres de gouvernement</w:t>
      </w:r>
      <w:r>
        <w:rPr>
          <w:rFonts w:cs="Times New Roman"/>
          <w:lang w:val="fr-CA"/>
        </w:rPr>
        <w:t> »</w:t>
      </w:r>
      <w:r w:rsidRPr="002F5A3C">
        <w:rPr>
          <w:rFonts w:cs="Times New Roman"/>
          <w:lang w:val="fr-CA"/>
        </w:rPr>
        <w:t xml:space="preserve"> (</w:t>
      </w:r>
      <w:r w:rsidRPr="002F5A3C">
        <w:rPr>
          <w:rFonts w:cs="Times New Roman"/>
          <w:i/>
          <w:lang w:val="fr-CA"/>
        </w:rPr>
        <w:t>Banque canadienne de l’Ouest c. Alberta</w:t>
      </w:r>
      <w:r w:rsidRPr="002F5A3C">
        <w:rPr>
          <w:rFonts w:cs="Times New Roman"/>
          <w:lang w:val="fr-CA"/>
        </w:rPr>
        <w:t>, 2007 CSC 22, [2007] 2 R.C.S. 3, par.</w:t>
      </w:r>
      <w:r>
        <w:rPr>
          <w:rFonts w:cs="Times New Roman"/>
          <w:lang w:val="fr-CA"/>
        </w:rPr>
        <w:t xml:space="preserve"> </w:t>
      </w:r>
      <w:r w:rsidRPr="002F5A3C">
        <w:rPr>
          <w:rFonts w:cs="Times New Roman"/>
          <w:lang w:val="fr-CA"/>
        </w:rPr>
        <w:t>24 et 37</w:t>
      </w:r>
      <w:r w:rsidR="007B392E">
        <w:rPr>
          <w:rFonts w:cs="Times New Roman"/>
          <w:lang w:val="fr-CA"/>
        </w:rPr>
        <w:t xml:space="preserve"> (</w:t>
      </w:r>
      <w:r w:rsidRPr="002F5A3C">
        <w:rPr>
          <w:rFonts w:cs="Times New Roman"/>
          <w:lang w:val="fr-CA"/>
        </w:rPr>
        <w:t>italiques dans l’original omis)</w:t>
      </w:r>
      <w:r w:rsidR="007B392E">
        <w:rPr>
          <w:rFonts w:cs="Times New Roman"/>
          <w:lang w:val="fr-CA"/>
        </w:rPr>
        <w:t>)</w:t>
      </w:r>
      <w:r w:rsidRPr="002F5A3C">
        <w:rPr>
          <w:rFonts w:cs="Times New Roman"/>
          <w:lang w:val="fr-CA"/>
        </w:rPr>
        <w:t xml:space="preserve">.  Pour cette raison, la doctrine de l’exclusivité des compétences est d’une </w:t>
      </w:r>
      <w:r>
        <w:rPr>
          <w:rFonts w:cs="Times New Roman"/>
          <w:lang w:val="fr-CA"/>
        </w:rPr>
        <w:t>« </w:t>
      </w:r>
      <w:r w:rsidRPr="002F5A3C">
        <w:rPr>
          <w:rFonts w:cs="Times New Roman"/>
          <w:lang w:val="fr-CA"/>
        </w:rPr>
        <w:t>application restreinte</w:t>
      </w:r>
      <w:r>
        <w:rPr>
          <w:rFonts w:cs="Times New Roman"/>
          <w:lang w:val="fr-CA"/>
        </w:rPr>
        <w:t> »</w:t>
      </w:r>
      <w:r w:rsidRPr="002F5A3C">
        <w:rPr>
          <w:rFonts w:cs="Times New Roman"/>
          <w:lang w:val="fr-CA"/>
        </w:rPr>
        <w:t xml:space="preserve"> et elle devrait être appliquée </w:t>
      </w:r>
      <w:r>
        <w:rPr>
          <w:rFonts w:cs="Times New Roman"/>
          <w:lang w:val="fr-CA"/>
        </w:rPr>
        <w:t>« </w:t>
      </w:r>
      <w:r w:rsidRPr="002F5A3C">
        <w:rPr>
          <w:rFonts w:cs="Times New Roman"/>
          <w:lang w:val="fr-CA"/>
        </w:rPr>
        <w:t>avec retenue</w:t>
      </w:r>
      <w:r>
        <w:rPr>
          <w:rFonts w:cs="Times New Roman"/>
          <w:lang w:val="fr-CA"/>
        </w:rPr>
        <w:t> »</w:t>
      </w:r>
      <w:r w:rsidRPr="002F5A3C">
        <w:rPr>
          <w:rFonts w:cs="Times New Roman"/>
          <w:lang w:val="fr-CA"/>
        </w:rPr>
        <w:t xml:space="preserve"> (par</w:t>
      </w:r>
      <w:r w:rsidR="007B392E">
        <w:rPr>
          <w:rFonts w:cs="Times New Roman"/>
          <w:lang w:val="fr-CA"/>
        </w:rPr>
        <w:t>.</w:t>
      </w:r>
      <w:r w:rsidRPr="002F5A3C">
        <w:rPr>
          <w:rFonts w:cs="Times New Roman"/>
          <w:lang w:val="fr-CA"/>
        </w:rPr>
        <w:t xml:space="preserve"> 67 et 77).  Ces principes ont été confirmés dans des arrêts plus récents</w:t>
      </w:r>
      <w:r>
        <w:rPr>
          <w:rFonts w:cs="Times New Roman"/>
          <w:lang w:val="fr-CA"/>
        </w:rPr>
        <w:t> :</w:t>
      </w:r>
      <w:r w:rsidRPr="002F5A3C">
        <w:rPr>
          <w:rFonts w:cs="Times New Roman"/>
          <w:lang w:val="fr-CA"/>
        </w:rPr>
        <w:t xml:space="preserve"> </w:t>
      </w:r>
      <w:r w:rsidRPr="002F5A3C">
        <w:rPr>
          <w:rFonts w:cs="Times New Roman"/>
          <w:i/>
          <w:lang w:val="fr-CA"/>
        </w:rPr>
        <w:t>Marine Services International Ltd. c. Ryan (Succession)</w:t>
      </w:r>
      <w:r w:rsidRPr="002F5A3C">
        <w:rPr>
          <w:rFonts w:cs="Times New Roman"/>
          <w:lang w:val="fr-CA"/>
        </w:rPr>
        <w:t xml:space="preserve">, 2013 CSC 44, [2013] 3 R.C.S. 53; </w:t>
      </w:r>
      <w:r w:rsidRPr="002F5A3C">
        <w:rPr>
          <w:rFonts w:cs="Times New Roman"/>
          <w:i/>
          <w:lang w:val="fr-CA"/>
        </w:rPr>
        <w:t>Canada (Procureur général) c. PHS Community Services Society</w:t>
      </w:r>
      <w:r w:rsidRPr="002F5A3C">
        <w:rPr>
          <w:rFonts w:cs="Times New Roman"/>
          <w:lang w:val="fr-CA"/>
        </w:rPr>
        <w:t>, 2011 CSC 44, [2011] 3 R.C.S. 134.</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 xml:space="preserve">L’arrêt </w:t>
      </w:r>
      <w:r w:rsidRPr="002F5A3C">
        <w:rPr>
          <w:rFonts w:cs="Times New Roman"/>
          <w:i/>
          <w:lang w:val="fr-CA"/>
        </w:rPr>
        <w:t>Morris</w:t>
      </w:r>
      <w:r w:rsidRPr="002F5A3C">
        <w:rPr>
          <w:rFonts w:cs="Times New Roman"/>
          <w:lang w:val="fr-CA"/>
        </w:rPr>
        <w:t xml:space="preserve">, sur lequel le juge de première instance s’est appuyé, a été rendu avant que la Cour formule une approche moderne de l’application de la doctrine de l’exclusivité des compétences dans les arrêts </w:t>
      </w:r>
      <w:r w:rsidRPr="002F5A3C">
        <w:rPr>
          <w:rFonts w:cs="Times New Roman"/>
          <w:i/>
          <w:lang w:val="fr-CA"/>
        </w:rPr>
        <w:t xml:space="preserve">Banque canadienne de l’Ouest </w:t>
      </w:r>
      <w:r w:rsidRPr="002F5A3C">
        <w:rPr>
          <w:rFonts w:cs="Times New Roman"/>
          <w:lang w:val="fr-CA"/>
        </w:rPr>
        <w:t>et</w:t>
      </w:r>
      <w:r w:rsidRPr="002F5A3C">
        <w:rPr>
          <w:rFonts w:cs="Times New Roman"/>
          <w:i/>
          <w:lang w:val="fr-CA"/>
        </w:rPr>
        <w:t xml:space="preserve"> C</w:t>
      </w:r>
      <w:r w:rsidR="00502A70">
        <w:rPr>
          <w:rFonts w:cs="Times New Roman"/>
          <w:i/>
          <w:lang w:val="fr-CA"/>
        </w:rPr>
        <w:t>anadian Owners and Pilots Association</w:t>
      </w:r>
      <w:r w:rsidRPr="002F5A3C">
        <w:rPr>
          <w:rFonts w:cs="Times New Roman"/>
          <w:lang w:val="fr-CA"/>
        </w:rPr>
        <w:t xml:space="preserve"> et, par conséquent, il confère peu de valeur jurisprudentielle sur ce sujet (voir</w:t>
      </w:r>
      <w:r w:rsidRPr="002F5A3C">
        <w:rPr>
          <w:rFonts w:cs="Times New Roman"/>
          <w:i/>
          <w:lang w:val="fr-CA"/>
        </w:rPr>
        <w:t xml:space="preserve"> Marine Services</w:t>
      </w:r>
      <w:r w:rsidRPr="002F5A3C">
        <w:rPr>
          <w:rFonts w:cs="Times New Roman"/>
          <w:lang w:val="fr-CA"/>
        </w:rPr>
        <w:t>, par.</w:t>
      </w:r>
      <w:r>
        <w:rPr>
          <w:rFonts w:cs="Times New Roman"/>
          <w:lang w:val="fr-CA"/>
        </w:rPr>
        <w:t xml:space="preserve"> </w:t>
      </w:r>
      <w:r w:rsidRPr="002F5A3C">
        <w:rPr>
          <w:rFonts w:cs="Times New Roman"/>
          <w:lang w:val="fr-CA"/>
        </w:rPr>
        <w:t xml:space="preserve">64).  Dans la mesure où l’arrêt </w:t>
      </w:r>
      <w:r w:rsidRPr="002F5A3C">
        <w:rPr>
          <w:rFonts w:cs="Times New Roman"/>
          <w:i/>
          <w:lang w:val="fr-CA"/>
        </w:rPr>
        <w:t>Morris</w:t>
      </w:r>
      <w:r w:rsidRPr="002F5A3C">
        <w:rPr>
          <w:rFonts w:cs="Times New Roman"/>
          <w:lang w:val="fr-CA"/>
        </w:rPr>
        <w:t xml:space="preserve"> appuie la proposition voulant qu’il soit catégoriquement interdit aux gouvernements provinciaux de réglementer l’exercice des droits ancestraux, il ne devrait plus être suivi.  J’estime que, conformément aux commentaires formulés dans les arrêts</w:t>
      </w:r>
      <w:r w:rsidRPr="002F5A3C">
        <w:rPr>
          <w:rFonts w:cs="Times New Roman"/>
          <w:i/>
          <w:lang w:val="fr-CA"/>
        </w:rPr>
        <w:t xml:space="preserve"> Sparrow</w:t>
      </w:r>
      <w:r w:rsidRPr="002F5A3C">
        <w:rPr>
          <w:rFonts w:cs="Times New Roman"/>
          <w:lang w:val="fr-CA"/>
        </w:rPr>
        <w:t xml:space="preserve"> et</w:t>
      </w:r>
      <w:r w:rsidRPr="002F5A3C">
        <w:rPr>
          <w:rFonts w:cs="Times New Roman"/>
          <w:i/>
          <w:lang w:val="fr-CA"/>
        </w:rPr>
        <w:t xml:space="preserve"> Delgamuukw</w:t>
      </w:r>
      <w:r w:rsidRPr="002F5A3C">
        <w:rPr>
          <w:rFonts w:cs="Times New Roman"/>
          <w:lang w:val="fr-CA"/>
        </w:rPr>
        <w:t>, la réglementation provinciale d’application générale s’appliquera à l’exercice des droits ancestraux, notamment au titre ancestral sur des terres, sous réserve de l’application du cadre d’analyse relatif à l’art.</w:t>
      </w:r>
      <w:r>
        <w:rPr>
          <w:rFonts w:cs="Times New Roman"/>
          <w:lang w:val="fr-CA"/>
        </w:rPr>
        <w:t xml:space="preserve"> </w:t>
      </w:r>
      <w:r w:rsidRPr="002F5A3C">
        <w:rPr>
          <w:rFonts w:cs="Times New Roman"/>
          <w:lang w:val="fr-CA"/>
        </w:rPr>
        <w:t>35 qui permet de justifier une atteinte.  Ce critère soigneusement conçu vise à concilier la loi d’application générale et les droits ancestraux avec la délicatesse qu’exige l’art.</w:t>
      </w:r>
      <w:r>
        <w:rPr>
          <w:rFonts w:cs="Times New Roman"/>
          <w:lang w:val="fr-CA"/>
        </w:rPr>
        <w:t xml:space="preserve"> </w:t>
      </w:r>
      <w:r w:rsidRPr="002F5A3C">
        <w:rPr>
          <w:rFonts w:cs="Times New Roman"/>
          <w:lang w:val="fr-CA"/>
        </w:rPr>
        <w:t xml:space="preserve">35 de la </w:t>
      </w:r>
      <w:r w:rsidRPr="002F5A3C">
        <w:rPr>
          <w:rFonts w:cs="Times New Roman"/>
          <w:i/>
          <w:lang w:val="fr-CA"/>
        </w:rPr>
        <w:t>Loi constitutionnelle de 1982</w:t>
      </w:r>
      <w:r w:rsidRPr="002F5A3C">
        <w:rPr>
          <w:rFonts w:cs="Times New Roman"/>
          <w:lang w:val="fr-CA"/>
        </w:rPr>
        <w:t>, et il est plus équitable et pratique d</w:t>
      </w:r>
      <w:r w:rsidR="00502A70">
        <w:rPr>
          <w:rFonts w:cs="Times New Roman"/>
          <w:lang w:val="fr-CA"/>
        </w:rPr>
        <w:t>’un</w:t>
      </w:r>
      <w:r w:rsidRPr="002F5A3C">
        <w:rPr>
          <w:rFonts w:cs="Times New Roman"/>
          <w:lang w:val="fr-CA"/>
        </w:rPr>
        <w:t xml:space="preserve"> point de vue de </w:t>
      </w:r>
      <w:r w:rsidRPr="002F5A3C">
        <w:rPr>
          <w:rFonts w:cs="Times New Roman"/>
          <w:lang w:val="fr-CA"/>
        </w:rPr>
        <w:lastRenderedPageBreak/>
        <w:t>politique que l’inapplicabilité générale qu’impose la doctrine de l’exclusivité des compétences.</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Pour ces raisons, je conclus que la doctrine de l’exclusivité des compétences ne devrait pas être appliquée dans les cas o</w:t>
      </w:r>
      <w:r w:rsidRPr="002F5A3C">
        <w:rPr>
          <w:rFonts w:cs="Times New Roman"/>
          <w:lang w:val="fr-FR"/>
        </w:rPr>
        <w:t>ù</w:t>
      </w:r>
      <w:r w:rsidRPr="002F5A3C">
        <w:rPr>
          <w:rFonts w:cs="Times New Roman"/>
          <w:lang w:val="fr-CA"/>
        </w:rPr>
        <w:t xml:space="preserve"> les terres sont détenues en vertu du titre ancestral.  C’est plutôt la démarche axée sur le critère fondé sur l’art.</w:t>
      </w:r>
      <w:r>
        <w:rPr>
          <w:rFonts w:cs="Times New Roman"/>
          <w:lang w:val="fr-CA"/>
        </w:rPr>
        <w:t xml:space="preserve"> </w:t>
      </w:r>
      <w:r w:rsidRPr="002F5A3C">
        <w:rPr>
          <w:rFonts w:cs="Times New Roman"/>
          <w:lang w:val="fr-CA"/>
        </w:rPr>
        <w:t xml:space="preserve">35, énoncée dans </w:t>
      </w:r>
      <w:r w:rsidRPr="002F5A3C">
        <w:rPr>
          <w:rFonts w:cs="Times New Roman"/>
          <w:i/>
          <w:lang w:val="fr-CA"/>
        </w:rPr>
        <w:t>Sparrow</w:t>
      </w:r>
      <w:r w:rsidRPr="002F5A3C">
        <w:rPr>
          <w:rFonts w:cs="Times New Roman"/>
          <w:lang w:val="fr-CA"/>
        </w:rPr>
        <w:t>,</w:t>
      </w:r>
      <w:r w:rsidRPr="002F5A3C">
        <w:rPr>
          <w:rFonts w:cs="Times New Roman"/>
          <w:i/>
          <w:lang w:val="fr-CA"/>
        </w:rPr>
        <w:t xml:space="preserve"> </w:t>
      </w:r>
      <w:r w:rsidRPr="002F5A3C">
        <w:rPr>
          <w:rFonts w:cs="Times New Roman"/>
          <w:lang w:val="fr-CA"/>
        </w:rPr>
        <w:t xml:space="preserve">qui devrait être retenue.  Les lois provinciales d’application générale, y compris la </w:t>
      </w:r>
      <w:r w:rsidRPr="002F5A3C">
        <w:rPr>
          <w:rFonts w:cs="Times New Roman"/>
          <w:i/>
          <w:lang w:val="fr-CA"/>
        </w:rPr>
        <w:t>Forest Act</w:t>
      </w:r>
      <w:r w:rsidRPr="002F5A3C">
        <w:rPr>
          <w:rFonts w:cs="Times New Roman"/>
          <w:lang w:val="fr-CA"/>
        </w:rPr>
        <w:t>, devraient s’appliquer à moins qu’elles soient déraisonnables ou indûment rigoureuses ou qu’elles refusent aux titulaires du titre le recours à leur moyen préféré d’exercer leurs droits et que ces restrictions ne puissent pas être justifiées conformément au cadre d’analyse de la justification décrit précédemment.  Il en résulte un équilibre qui préserve le droit ancestral tout en assurant une réglementation efficace des forêts par la province, comme l’exige l’art.</w:t>
      </w:r>
      <w:r>
        <w:rPr>
          <w:rFonts w:cs="Times New Roman"/>
          <w:lang w:val="fr-CA"/>
        </w:rPr>
        <w:t xml:space="preserve"> </w:t>
      </w:r>
      <w:r w:rsidRPr="002F5A3C">
        <w:rPr>
          <w:rFonts w:cs="Times New Roman"/>
          <w:lang w:val="fr-CA"/>
        </w:rPr>
        <w:t>35 de la</w:t>
      </w:r>
      <w:r w:rsidRPr="002F5A3C">
        <w:rPr>
          <w:rFonts w:cs="Times New Roman"/>
          <w:i/>
          <w:lang w:val="fr-CA"/>
        </w:rPr>
        <w:t xml:space="preserve"> Loi constitutionnelle de 1982</w:t>
      </w:r>
      <w:r w:rsidRPr="007B392E">
        <w:rPr>
          <w:rFonts w:cs="Times New Roman"/>
          <w:lang w:val="fr-CA"/>
        </w:rPr>
        <w:t>.</w:t>
      </w:r>
    </w:p>
    <w:p w:rsidR="000F2258" w:rsidRPr="002F5A3C" w:rsidRDefault="000F2258" w:rsidP="000F2258">
      <w:pPr>
        <w:pStyle w:val="ParaNoNdepar-AltN"/>
        <w:tabs>
          <w:tab w:val="clear" w:pos="1152"/>
          <w:tab w:val="left" w:pos="1166"/>
        </w:tabs>
        <w:rPr>
          <w:rFonts w:cs="Times New Roman"/>
          <w:lang w:val="fr-CA"/>
        </w:rPr>
      </w:pPr>
      <w:r w:rsidRPr="002F5A3C">
        <w:rPr>
          <w:rFonts w:cs="Times New Roman"/>
          <w:lang w:val="fr-CA"/>
        </w:rPr>
        <w:t>Le cadre d’analyse relatif à l’art</w:t>
      </w:r>
      <w:r w:rsidR="007B392E">
        <w:rPr>
          <w:rFonts w:cs="Times New Roman"/>
          <w:lang w:val="fr-CA"/>
        </w:rPr>
        <w:t>.</w:t>
      </w:r>
      <w:r>
        <w:rPr>
          <w:rFonts w:cs="Times New Roman"/>
          <w:lang w:val="fr-CA"/>
        </w:rPr>
        <w:t xml:space="preserve"> </w:t>
      </w:r>
      <w:r w:rsidRPr="002F5A3C">
        <w:rPr>
          <w:rFonts w:cs="Times New Roman"/>
          <w:lang w:val="fr-CA"/>
        </w:rPr>
        <w:t>35 s’applique à l’exercice des compétences tant provinciales que fédérales</w:t>
      </w:r>
      <w:r>
        <w:rPr>
          <w:rFonts w:cs="Times New Roman"/>
          <w:lang w:val="fr-CA"/>
        </w:rPr>
        <w:t> :</w:t>
      </w:r>
      <w:r w:rsidRPr="002F5A3C">
        <w:rPr>
          <w:rFonts w:cs="Times New Roman"/>
          <w:lang w:val="fr-CA"/>
        </w:rPr>
        <w:t xml:space="preserve"> </w:t>
      </w:r>
      <w:r w:rsidRPr="002F5A3C">
        <w:rPr>
          <w:rFonts w:cs="Times New Roman"/>
          <w:i/>
          <w:lang w:val="fr-CA"/>
        </w:rPr>
        <w:t>Sparrow</w:t>
      </w:r>
      <w:r w:rsidRPr="002F5A3C">
        <w:rPr>
          <w:rFonts w:cs="Times New Roman"/>
          <w:lang w:val="fr-CA"/>
        </w:rPr>
        <w:t xml:space="preserve">; </w:t>
      </w:r>
      <w:r w:rsidRPr="002F5A3C">
        <w:rPr>
          <w:rFonts w:cs="Times New Roman"/>
          <w:i/>
          <w:lang w:val="fr-CA"/>
        </w:rPr>
        <w:t>Delgamuukw</w:t>
      </w:r>
      <w:r w:rsidRPr="002F5A3C">
        <w:rPr>
          <w:rFonts w:cs="Times New Roman"/>
          <w:lang w:val="fr-CA"/>
        </w:rPr>
        <w:t>.  Par conséquent, il offre un moyen exhaustif et rationnel de circonscrire les lois provinciales touchant les terres visées par un titre ancestral dans les limites fixées par la Constitution.  La question qui se pose dans des cas comme celui</w:t>
      </w:r>
      <w:r>
        <w:rPr>
          <w:rFonts w:cs="Times New Roman"/>
          <w:lang w:val="fr-CA"/>
        </w:rPr>
        <w:t>-</w:t>
      </w:r>
      <w:r w:rsidRPr="002F5A3C">
        <w:rPr>
          <w:rFonts w:cs="Times New Roman"/>
          <w:lang w:val="fr-CA"/>
        </w:rPr>
        <w:t>ci ne porte pas, à la base, sur le conflit entre les paliers fédéral et provincial de gouvernement —</w:t>
      </w:r>
      <w:r w:rsidR="007B392E">
        <w:rPr>
          <w:rFonts w:cs="Times New Roman"/>
          <w:lang w:val="fr-CA"/>
        </w:rPr>
        <w:t xml:space="preserve"> </w:t>
      </w:r>
      <w:r w:rsidRPr="002F5A3C">
        <w:rPr>
          <w:rFonts w:cs="Times New Roman"/>
          <w:lang w:val="fr-CA"/>
        </w:rPr>
        <w:t>les doctrines de la prépondérance fédérale et de l’exclusivité des compétences permettent de traiter cette question selon que l’indique la jurisprudence — il s’agit plutôt de savoir dans quelle mesure le gouvernement provincial peut réglementer des terres visées par un titre ancestral ou faisant l’objet d’une revendication du titre ancestral.</w:t>
      </w:r>
      <w:r>
        <w:rPr>
          <w:rFonts w:cs="Times New Roman"/>
          <w:lang w:val="fr-CA"/>
        </w:rPr>
        <w:t xml:space="preserve"> </w:t>
      </w:r>
      <w:r w:rsidRPr="002F5A3C">
        <w:rPr>
          <w:rFonts w:cs="Times New Roman"/>
          <w:lang w:val="fr-CA"/>
        </w:rPr>
        <w:t xml:space="preserve"> L’article</w:t>
      </w:r>
      <w:r>
        <w:rPr>
          <w:rFonts w:cs="Times New Roman"/>
          <w:lang w:val="fr-CA"/>
        </w:rPr>
        <w:t xml:space="preserve"> </w:t>
      </w:r>
      <w:r w:rsidRPr="002F5A3C">
        <w:rPr>
          <w:rFonts w:cs="Times New Roman"/>
          <w:lang w:val="fr-CA"/>
        </w:rPr>
        <w:t xml:space="preserve">35 de la </w:t>
      </w:r>
      <w:r w:rsidRPr="002F5A3C">
        <w:rPr>
          <w:rFonts w:cs="Times New Roman"/>
          <w:i/>
          <w:lang w:val="fr-CA"/>
        </w:rPr>
        <w:t xml:space="preserve">Loi </w:t>
      </w:r>
      <w:r w:rsidRPr="002F5A3C">
        <w:rPr>
          <w:rFonts w:cs="Times New Roman"/>
          <w:i/>
          <w:lang w:val="fr-CA"/>
        </w:rPr>
        <w:lastRenderedPageBreak/>
        <w:t>constitutionnelle de 1982</w:t>
      </w:r>
      <w:r w:rsidRPr="002F5A3C">
        <w:rPr>
          <w:rFonts w:cs="Times New Roman"/>
          <w:lang w:val="fr-CA"/>
        </w:rPr>
        <w:t xml:space="preserve"> constitue le cadre approprié à l’intérieur duquel doit être considérée une telle question puisqu’il oblige directement le gouvernement à respecter ces droits ou à démontrer que l’atteinte se rapporte à la poursuite d’un objectif impérieux et réel et qu’elle est compatible avec son obligation fiduciaire envers les groupes autochtones.</w:t>
      </w:r>
    </w:p>
    <w:p w:rsidR="000F2258" w:rsidRPr="002F5A3C" w:rsidRDefault="000F2258" w:rsidP="000F2258">
      <w:pPr>
        <w:pStyle w:val="Title1LevelTitre1Niveau-AltL"/>
        <w:outlineLvl w:val="0"/>
        <w:rPr>
          <w:rFonts w:cs="Times New Roman"/>
          <w:i/>
          <w:lang w:val="fr-CA"/>
        </w:rPr>
      </w:pPr>
      <w:bookmarkStart w:id="49" w:name="_Toc389497763"/>
      <w:bookmarkStart w:id="50" w:name="_Toc391446185"/>
      <w:r w:rsidRPr="002F5A3C">
        <w:rPr>
          <w:rFonts w:cs="Times New Roman"/>
          <w:lang w:val="fr-CA"/>
        </w:rPr>
        <w:t>Conclusion</w:t>
      </w:r>
      <w:bookmarkEnd w:id="49"/>
      <w:bookmarkEnd w:id="50"/>
    </w:p>
    <w:p w:rsidR="00EB1A65" w:rsidRPr="001A5DFB" w:rsidRDefault="000F2258" w:rsidP="001A5DFB">
      <w:pPr>
        <w:pStyle w:val="ParaNoNdepar-AltN"/>
        <w:tabs>
          <w:tab w:val="clear" w:pos="1152"/>
          <w:tab w:val="left" w:pos="1166"/>
        </w:tabs>
        <w:rPr>
          <w:lang w:val="fr-CA"/>
        </w:rPr>
      </w:pPr>
      <w:r w:rsidRPr="001A5DFB">
        <w:rPr>
          <w:rFonts w:cs="Times New Roman"/>
          <w:lang w:val="fr-CA"/>
        </w:rPr>
        <w:t xml:space="preserve">Je suis d’avis d’accueillir le pourvoi et de rendre un jugement déclarant l’existence d’un titre ancestral sur la région en question, comme l’ont demandé les Tsilhqot’in.  Je déclare également que la Colombie-Britannique a manqué à l’obligation de consultation qu’elle avait envers les Tsilhqot’in en raison du plan d’aménagement du territoire qu’elle a établi et des autorisations d’exploitation forestière qu’elle a accordées. </w:t>
      </w:r>
    </w:p>
    <w:p w:rsidR="00EB1A65" w:rsidRPr="007B392E" w:rsidRDefault="00EB1A65" w:rsidP="00EB1A65">
      <w:pPr>
        <w:pStyle w:val="Header"/>
        <w:tabs>
          <w:tab w:val="clear" w:pos="4680"/>
          <w:tab w:val="clear" w:pos="9360"/>
          <w:tab w:val="left" w:pos="3682"/>
        </w:tabs>
        <w:jc w:val="center"/>
        <w:rPr>
          <w:b/>
          <w:szCs w:val="24"/>
          <w:lang w:val="fr-CA"/>
        </w:rPr>
      </w:pPr>
      <w:r w:rsidRPr="007B392E">
        <w:rPr>
          <w:b/>
          <w:szCs w:val="24"/>
          <w:lang w:val="fr-CA"/>
        </w:rPr>
        <w:t>ANNEXE</w:t>
      </w:r>
    </w:p>
    <w:p w:rsidR="00EB1A65" w:rsidRDefault="00EB1A65" w:rsidP="00C41D6B">
      <w:pPr>
        <w:pStyle w:val="Header"/>
        <w:tabs>
          <w:tab w:val="clear" w:pos="4680"/>
          <w:tab w:val="clear" w:pos="9360"/>
          <w:tab w:val="left" w:pos="3682"/>
        </w:tabs>
        <w:jc w:val="center"/>
        <w:rPr>
          <w:rFonts w:eastAsiaTheme="minorEastAsia"/>
          <w:szCs w:val="22"/>
          <w:lang w:val="fr-CA" w:eastAsia="en-US"/>
        </w:rPr>
      </w:pPr>
      <w:r w:rsidRPr="00B51DED">
        <w:rPr>
          <w:szCs w:val="24"/>
          <w:lang w:val="fr-CA"/>
        </w:rPr>
        <w:t>TERRITOIRE SUR LEQUEL L’EXISTENCE DU TITRE EST ÉTABLIE</w:t>
      </w:r>
      <w:r w:rsidR="009F5DC7">
        <w:rPr>
          <w:szCs w:val="24"/>
          <w:lang w:val="fr-CA"/>
        </w:rPr>
        <w:t xml:space="preserve"> —</w:t>
      </w:r>
      <w:r w:rsidRPr="00B51DED">
        <w:rPr>
          <w:szCs w:val="24"/>
          <w:lang w:val="fr-CA"/>
        </w:rPr>
        <w:t>SUPPORT VISUEL</w:t>
      </w:r>
    </w:p>
    <w:p w:rsidR="00EB1A65" w:rsidRDefault="00EB1A65">
      <w:pPr>
        <w:rPr>
          <w:rFonts w:eastAsiaTheme="minorEastAsia"/>
          <w:szCs w:val="22"/>
          <w:lang w:val="fr-CA" w:eastAsia="en-US"/>
        </w:rPr>
      </w:pPr>
    </w:p>
    <w:p w:rsidR="001A5DFB" w:rsidRDefault="001A5DFB">
      <w:pPr>
        <w:rPr>
          <w:rFonts w:eastAsiaTheme="minorEastAsia"/>
          <w:szCs w:val="22"/>
          <w:lang w:val="fr-CA" w:eastAsia="en-US"/>
        </w:rPr>
      </w:pPr>
    </w:p>
    <w:p w:rsidR="001A5DFB" w:rsidRDefault="001A5DFB">
      <w:pPr>
        <w:rPr>
          <w:rFonts w:eastAsiaTheme="minorEastAsia"/>
          <w:szCs w:val="22"/>
          <w:lang w:val="fr-CA" w:eastAsia="en-US"/>
        </w:rPr>
      </w:pPr>
    </w:p>
    <w:p w:rsidR="001A5DFB" w:rsidRDefault="001A5DFB">
      <w:pPr>
        <w:rPr>
          <w:rFonts w:eastAsiaTheme="minorEastAsia"/>
          <w:szCs w:val="22"/>
          <w:lang w:val="fr-CA" w:eastAsia="en-US"/>
        </w:rPr>
      </w:pPr>
    </w:p>
    <w:p w:rsidR="001A5DFB" w:rsidRDefault="001A5DFB">
      <w:pPr>
        <w:rPr>
          <w:rFonts w:eastAsiaTheme="minorEastAsia"/>
          <w:szCs w:val="22"/>
          <w:lang w:val="fr-CA" w:eastAsia="en-US"/>
        </w:rPr>
      </w:pPr>
    </w:p>
    <w:p w:rsidR="001A5DFB" w:rsidRDefault="001A5DFB">
      <w:pPr>
        <w:rPr>
          <w:rFonts w:eastAsiaTheme="minorEastAsia"/>
          <w:szCs w:val="22"/>
          <w:lang w:val="fr-CA" w:eastAsia="en-US"/>
        </w:rPr>
      </w:pPr>
    </w:p>
    <w:p w:rsidR="004D7D95" w:rsidRPr="005910C9" w:rsidRDefault="004D7D95" w:rsidP="00236C49">
      <w:pPr>
        <w:pStyle w:val="SCCNormalDoubleSpacing"/>
        <w:spacing w:after="480"/>
        <w:rPr>
          <w:i/>
          <w:lang w:val="fr-CA"/>
        </w:rPr>
      </w:pPr>
      <w:r w:rsidRPr="00DD3D77">
        <w:rPr>
          <w:lang w:val="fr-CA"/>
        </w:rPr>
        <w:tab/>
      </w:r>
      <w:r w:rsidR="005910C9" w:rsidRPr="005910C9">
        <w:rPr>
          <w:i/>
          <w:lang w:val="fr-CA"/>
        </w:rPr>
        <w:t xml:space="preserve">Pourvoi </w:t>
      </w:r>
      <w:r w:rsidR="00264791">
        <w:rPr>
          <w:i/>
          <w:lang w:val="fr-CA"/>
        </w:rPr>
        <w:t>accu</w:t>
      </w:r>
      <w:r w:rsidR="009B50C6">
        <w:rPr>
          <w:i/>
          <w:lang w:val="fr-CA"/>
        </w:rPr>
        <w:t>e</w:t>
      </w:r>
      <w:r w:rsidR="00264791">
        <w:rPr>
          <w:i/>
          <w:lang w:val="fr-CA"/>
        </w:rPr>
        <w:t>illi</w:t>
      </w:r>
      <w:r w:rsidR="0068398E">
        <w:rPr>
          <w:i/>
          <w:lang w:val="fr-CA"/>
        </w:rPr>
        <w:t>.</w:t>
      </w:r>
    </w:p>
    <w:p w:rsidR="00E349EE" w:rsidRPr="00DC4FE0" w:rsidRDefault="00E349EE" w:rsidP="00236C49">
      <w:pPr>
        <w:pStyle w:val="SCCLawFirm"/>
        <w:spacing w:after="480"/>
        <w:rPr>
          <w:lang w:val="fr-CA"/>
        </w:rPr>
      </w:pPr>
      <w:r w:rsidRPr="00D95D1D">
        <w:rPr>
          <w:lang w:val="fr-CA"/>
        </w:rPr>
        <w:tab/>
      </w:r>
      <w:r w:rsidRPr="00DC4FE0">
        <w:rPr>
          <w:lang w:val="fr-CA"/>
        </w:rPr>
        <w:t>Procureurs de l</w:t>
      </w:r>
      <w:r w:rsidR="002B0C0A">
        <w:rPr>
          <w:lang w:val="fr-CA"/>
        </w:rPr>
        <w:t>’</w:t>
      </w:r>
      <w:r w:rsidR="00236C49">
        <w:rPr>
          <w:lang w:val="fr-CA"/>
        </w:rPr>
        <w:t>appelant</w:t>
      </w:r>
      <w:r w:rsidR="000F2258">
        <w:rPr>
          <w:lang w:val="fr-CA"/>
        </w:rPr>
        <w:t xml:space="preserve"> : </w:t>
      </w:r>
      <w:r w:rsidRPr="00DC4FE0">
        <w:rPr>
          <w:lang w:val="fr-CA"/>
        </w:rPr>
        <w:t>Rosenberg &amp; Rosenberg, Vancouver</w:t>
      </w:r>
      <w:r>
        <w:rPr>
          <w:lang w:val="fr-CA"/>
        </w:rPr>
        <w:t>; Woodward &amp; Company, Victoria</w:t>
      </w:r>
      <w:r w:rsidRPr="00DC4FE0">
        <w:rPr>
          <w:lang w:val="fr-CA"/>
        </w:rPr>
        <w:t>.</w:t>
      </w:r>
    </w:p>
    <w:p w:rsidR="00E349EE" w:rsidRPr="0036353C" w:rsidRDefault="00E349EE" w:rsidP="00236C49">
      <w:pPr>
        <w:pStyle w:val="SCCNormalDoubleSpacing"/>
        <w:spacing w:after="480"/>
        <w:rPr>
          <w:i/>
          <w:lang w:val="fr-CA"/>
        </w:rPr>
      </w:pPr>
      <w:r w:rsidRPr="00DC4FE0">
        <w:rPr>
          <w:lang w:val="fr-CA"/>
        </w:rPr>
        <w:lastRenderedPageBreak/>
        <w:tab/>
      </w:r>
      <w:r w:rsidRPr="0036353C">
        <w:rPr>
          <w:i/>
          <w:lang w:val="fr-CA"/>
        </w:rPr>
        <w:t>Procureurs de</w:t>
      </w:r>
      <w:r>
        <w:rPr>
          <w:i/>
          <w:lang w:val="fr-CA"/>
        </w:rPr>
        <w:t>s</w:t>
      </w:r>
      <w:r w:rsidRPr="0036353C">
        <w:rPr>
          <w:i/>
          <w:lang w:val="fr-CA"/>
        </w:rPr>
        <w:t xml:space="preserve"> intimés</w:t>
      </w:r>
      <w:r>
        <w:rPr>
          <w:i/>
          <w:lang w:val="fr-CA"/>
        </w:rPr>
        <w:t xml:space="preserve"> </w:t>
      </w:r>
      <w:r w:rsidRPr="00FF2788">
        <w:rPr>
          <w:rStyle w:val="SCCCounselPartyRoleChar"/>
          <w:i/>
          <w:lang w:val="fr-CA"/>
        </w:rPr>
        <w:t xml:space="preserve">Sa Majesté la Reine du chef de la </w:t>
      </w:r>
      <w:r w:rsidR="00F72379">
        <w:rPr>
          <w:rStyle w:val="SCCCounselPartyRoleChar"/>
          <w:i/>
          <w:lang w:val="fr-CA"/>
        </w:rPr>
        <w:t>p</w:t>
      </w:r>
      <w:r w:rsidRPr="00FF2788">
        <w:rPr>
          <w:rStyle w:val="SCCCounselPartyRoleChar"/>
          <w:i/>
          <w:lang w:val="fr-CA"/>
        </w:rPr>
        <w:t xml:space="preserve">rovince de </w:t>
      </w:r>
      <w:r w:rsidR="005F6611">
        <w:rPr>
          <w:rStyle w:val="SCCCounselPartyRoleChar"/>
          <w:i/>
          <w:lang w:val="fr-CA"/>
        </w:rPr>
        <w:t xml:space="preserve">la </w:t>
      </w:r>
      <w:r w:rsidRPr="00FF2788">
        <w:rPr>
          <w:rStyle w:val="SCCCounselPartyRoleChar"/>
          <w:i/>
          <w:lang w:val="fr-CA"/>
        </w:rPr>
        <w:t>Colombie</w:t>
      </w:r>
      <w:r w:rsidR="000F2258">
        <w:rPr>
          <w:rStyle w:val="SCCCounselPartyRoleChar"/>
          <w:i/>
          <w:lang w:val="fr-CA"/>
        </w:rPr>
        <w:t>-</w:t>
      </w:r>
      <w:r w:rsidRPr="00FF2788">
        <w:rPr>
          <w:rStyle w:val="SCCCounselPartyRoleChar"/>
          <w:i/>
          <w:lang w:val="fr-CA"/>
        </w:rPr>
        <w:t xml:space="preserve">Britannique et le </w:t>
      </w:r>
      <w:r w:rsidR="005F6611">
        <w:rPr>
          <w:rStyle w:val="SCCCounselPartyRoleChar"/>
          <w:i/>
          <w:lang w:val="fr-CA"/>
        </w:rPr>
        <w:t>c</w:t>
      </w:r>
      <w:r w:rsidRPr="00FF2788">
        <w:rPr>
          <w:rStyle w:val="SCCCounselPartyRoleChar"/>
          <w:i/>
          <w:lang w:val="fr-CA"/>
        </w:rPr>
        <w:t>hef régional de la région de Cariboo Forest</w:t>
      </w:r>
      <w:r w:rsidR="000F2258">
        <w:rPr>
          <w:rStyle w:val="SCCCounselPartyRoleChar"/>
          <w:i/>
          <w:lang w:val="fr-CA"/>
        </w:rPr>
        <w:t> :</w:t>
      </w:r>
      <w:r w:rsidR="000F2258">
        <w:rPr>
          <w:i/>
          <w:lang w:val="fr-CA"/>
        </w:rPr>
        <w:t xml:space="preserve"> </w:t>
      </w:r>
      <w:r w:rsidRPr="0036353C">
        <w:rPr>
          <w:i/>
          <w:lang w:val="fr-CA"/>
        </w:rPr>
        <w:t>Borden Ladner Gervais, Vancouver.</w:t>
      </w:r>
    </w:p>
    <w:p w:rsidR="00E349EE" w:rsidRPr="00EF644F" w:rsidRDefault="00E349EE" w:rsidP="00236C49">
      <w:pPr>
        <w:pStyle w:val="SCCLawFirm"/>
        <w:spacing w:after="480"/>
        <w:rPr>
          <w:lang w:val="fr-CA"/>
        </w:rPr>
      </w:pPr>
      <w:r w:rsidRPr="00ED7EBC">
        <w:rPr>
          <w:lang w:val="fr-CA"/>
        </w:rPr>
        <w:tab/>
      </w:r>
      <w:r w:rsidRPr="00EF644F">
        <w:rPr>
          <w:lang w:val="fr-CA"/>
        </w:rPr>
        <w:t>Procureur de l</w:t>
      </w:r>
      <w:r w:rsidR="002B0C0A">
        <w:rPr>
          <w:lang w:val="fr-CA"/>
        </w:rPr>
        <w:t>’</w:t>
      </w:r>
      <w:r w:rsidRPr="00EF644F">
        <w:rPr>
          <w:lang w:val="fr-CA"/>
        </w:rPr>
        <w:t>intimé le procureur g</w:t>
      </w:r>
      <w:r>
        <w:rPr>
          <w:lang w:val="fr-CA"/>
        </w:rPr>
        <w:t>énéral du Canada</w:t>
      </w:r>
      <w:r w:rsidR="000F2258">
        <w:rPr>
          <w:lang w:val="fr-CA"/>
        </w:rPr>
        <w:t xml:space="preserve"> : </w:t>
      </w:r>
      <w:r>
        <w:rPr>
          <w:lang w:val="fr-CA"/>
        </w:rPr>
        <w:t>Procureur général du Canada</w:t>
      </w:r>
      <w:r w:rsidRPr="00EF644F">
        <w:rPr>
          <w:lang w:val="fr-CA"/>
        </w:rPr>
        <w:t>, Saskatoon.</w:t>
      </w:r>
    </w:p>
    <w:p w:rsidR="00E349EE" w:rsidRPr="00DC4FE0" w:rsidRDefault="00E349EE" w:rsidP="00236C49">
      <w:pPr>
        <w:pStyle w:val="SCCLawFirm"/>
        <w:spacing w:after="480"/>
        <w:rPr>
          <w:lang w:val="fr-CA"/>
        </w:rPr>
      </w:pPr>
      <w:r w:rsidRPr="00EF644F">
        <w:rPr>
          <w:lang w:val="fr-CA"/>
        </w:rPr>
        <w:tab/>
      </w:r>
      <w:r w:rsidRPr="00DC4FE0">
        <w:rPr>
          <w:lang w:val="fr-CA"/>
        </w:rPr>
        <w:t>Procureur de l</w:t>
      </w:r>
      <w:r w:rsidR="002B0C0A">
        <w:rPr>
          <w:lang w:val="fr-CA"/>
        </w:rPr>
        <w:t>’</w:t>
      </w:r>
      <w:r w:rsidRPr="00DC4FE0">
        <w:rPr>
          <w:lang w:val="fr-CA"/>
        </w:rPr>
        <w:t xml:space="preserve">intervenant </w:t>
      </w:r>
      <w:r>
        <w:rPr>
          <w:lang w:val="fr-CA"/>
        </w:rPr>
        <w:t>le p</w:t>
      </w:r>
      <w:r w:rsidR="00236C49">
        <w:rPr>
          <w:lang w:val="fr-CA"/>
        </w:rPr>
        <w:t>rocureur général du Québec</w:t>
      </w:r>
      <w:r w:rsidR="000F2258">
        <w:rPr>
          <w:lang w:val="fr-CA"/>
        </w:rPr>
        <w:t xml:space="preserve"> : </w:t>
      </w:r>
      <w:r w:rsidRPr="00DC4FE0">
        <w:rPr>
          <w:lang w:val="fr-CA"/>
        </w:rPr>
        <w:t xml:space="preserve">Procureur général du Québec, </w:t>
      </w:r>
      <w:r w:rsidR="001A5DFB">
        <w:rPr>
          <w:lang w:val="fr-CA"/>
        </w:rPr>
        <w:t>Québec.</w:t>
      </w:r>
    </w:p>
    <w:p w:rsidR="00E349EE" w:rsidRPr="00EF644F" w:rsidRDefault="00E349EE" w:rsidP="00236C49">
      <w:pPr>
        <w:pStyle w:val="SCCLawFirm"/>
        <w:spacing w:after="480"/>
        <w:rPr>
          <w:lang w:val="fr-CA"/>
        </w:rPr>
      </w:pPr>
      <w:r w:rsidRPr="00DC4FE0">
        <w:rPr>
          <w:lang w:val="fr-CA"/>
        </w:rPr>
        <w:tab/>
      </w:r>
      <w:r w:rsidRPr="00EF644F">
        <w:rPr>
          <w:lang w:val="fr-CA"/>
        </w:rPr>
        <w:t>Procureur de l</w:t>
      </w:r>
      <w:r w:rsidR="002B0C0A">
        <w:rPr>
          <w:lang w:val="fr-CA"/>
        </w:rPr>
        <w:t>’</w:t>
      </w:r>
      <w:r w:rsidRPr="00EF644F">
        <w:rPr>
          <w:lang w:val="fr-CA"/>
        </w:rPr>
        <w:t xml:space="preserve">intervenant le </w:t>
      </w:r>
      <w:r>
        <w:rPr>
          <w:lang w:val="fr-CA"/>
        </w:rPr>
        <w:t>p</w:t>
      </w:r>
      <w:r w:rsidR="00236C49">
        <w:rPr>
          <w:lang w:val="fr-CA"/>
        </w:rPr>
        <w:t>rocureur général du Manitoba</w:t>
      </w:r>
      <w:r w:rsidR="000F2258">
        <w:rPr>
          <w:lang w:val="fr-CA"/>
        </w:rPr>
        <w:t xml:space="preserve"> : </w:t>
      </w:r>
      <w:r>
        <w:rPr>
          <w:lang w:val="fr-CA"/>
        </w:rPr>
        <w:t>Procureur général du Manitoba</w:t>
      </w:r>
      <w:r w:rsidRPr="00EF644F">
        <w:rPr>
          <w:lang w:val="fr-CA"/>
        </w:rPr>
        <w:t>, Winnipeg.</w:t>
      </w:r>
    </w:p>
    <w:p w:rsidR="00E349EE" w:rsidRPr="00EF644F" w:rsidRDefault="00E349EE" w:rsidP="00236C49">
      <w:pPr>
        <w:pStyle w:val="SCCLawFirm"/>
        <w:spacing w:after="480"/>
        <w:rPr>
          <w:lang w:val="fr-CA"/>
        </w:rPr>
      </w:pPr>
      <w:r w:rsidRPr="00ED7EBC">
        <w:rPr>
          <w:lang w:val="fr-CA"/>
        </w:rPr>
        <w:tab/>
      </w:r>
      <w:r w:rsidRPr="00EF644F">
        <w:rPr>
          <w:lang w:val="fr-CA"/>
        </w:rPr>
        <w:t>Procureur de l</w:t>
      </w:r>
      <w:r w:rsidR="002B0C0A">
        <w:rPr>
          <w:lang w:val="fr-CA"/>
        </w:rPr>
        <w:t>’</w:t>
      </w:r>
      <w:r w:rsidRPr="00EF644F">
        <w:rPr>
          <w:lang w:val="fr-CA"/>
        </w:rPr>
        <w:t>intervenant le procure</w:t>
      </w:r>
      <w:r w:rsidR="00236C49">
        <w:rPr>
          <w:lang w:val="fr-CA"/>
        </w:rPr>
        <w:t>ur général de la Saskatchewan</w:t>
      </w:r>
      <w:r w:rsidR="000F2258">
        <w:rPr>
          <w:lang w:val="fr-CA"/>
        </w:rPr>
        <w:t xml:space="preserve"> : </w:t>
      </w:r>
      <w:r>
        <w:rPr>
          <w:lang w:val="fr-CA"/>
        </w:rPr>
        <w:t>P</w:t>
      </w:r>
      <w:r w:rsidRPr="00EF644F">
        <w:rPr>
          <w:lang w:val="fr-CA"/>
        </w:rPr>
        <w:t>rocureur général de la Saskatchewan, Regina.</w:t>
      </w:r>
    </w:p>
    <w:p w:rsidR="00E349EE" w:rsidRPr="00CC0138" w:rsidRDefault="00E349EE" w:rsidP="00236C49">
      <w:pPr>
        <w:pStyle w:val="SCCLawFirm"/>
        <w:spacing w:after="480"/>
        <w:rPr>
          <w:lang w:val="fr-CA"/>
        </w:rPr>
      </w:pPr>
      <w:r w:rsidRPr="00ED7EBC">
        <w:rPr>
          <w:lang w:val="fr-CA"/>
        </w:rPr>
        <w:tab/>
      </w:r>
      <w:r w:rsidRPr="00CC0138">
        <w:rPr>
          <w:lang w:val="fr-CA"/>
        </w:rPr>
        <w:t>Procureur de l</w:t>
      </w:r>
      <w:r w:rsidR="002B0C0A">
        <w:rPr>
          <w:lang w:val="fr-CA"/>
        </w:rPr>
        <w:t>’</w:t>
      </w:r>
      <w:r w:rsidRPr="00CC0138">
        <w:rPr>
          <w:lang w:val="fr-CA"/>
        </w:rPr>
        <w:t>intervenant</w:t>
      </w:r>
      <w:r>
        <w:rPr>
          <w:lang w:val="fr-CA"/>
        </w:rPr>
        <w:t xml:space="preserve"> le p</w:t>
      </w:r>
      <w:r w:rsidRPr="00CC0138">
        <w:rPr>
          <w:lang w:val="fr-CA"/>
        </w:rPr>
        <w:t>rocureur général de l</w:t>
      </w:r>
      <w:r w:rsidR="002B0C0A">
        <w:rPr>
          <w:lang w:val="fr-CA"/>
        </w:rPr>
        <w:t>’</w:t>
      </w:r>
      <w:r w:rsidR="00236C49">
        <w:rPr>
          <w:lang w:val="fr-CA"/>
        </w:rPr>
        <w:t>Alberta</w:t>
      </w:r>
      <w:r w:rsidR="000F2258">
        <w:rPr>
          <w:lang w:val="fr-CA"/>
        </w:rPr>
        <w:t xml:space="preserve"> : </w:t>
      </w:r>
      <w:r>
        <w:rPr>
          <w:lang w:val="fr-CA"/>
        </w:rPr>
        <w:t>P</w:t>
      </w:r>
      <w:r w:rsidRPr="00CC0138">
        <w:rPr>
          <w:lang w:val="fr-CA"/>
        </w:rPr>
        <w:t>rocureur général de l</w:t>
      </w:r>
      <w:r w:rsidR="002B0C0A">
        <w:rPr>
          <w:lang w:val="fr-CA"/>
        </w:rPr>
        <w:t>’</w:t>
      </w:r>
      <w:r>
        <w:rPr>
          <w:lang w:val="fr-CA"/>
        </w:rPr>
        <w:t>Alberta</w:t>
      </w:r>
      <w:r w:rsidRPr="00CC0138">
        <w:rPr>
          <w:lang w:val="fr-CA"/>
        </w:rPr>
        <w:t>, Calgary.</w:t>
      </w:r>
    </w:p>
    <w:p w:rsidR="00E349EE" w:rsidRPr="000F7582" w:rsidRDefault="00E349EE" w:rsidP="00236C49">
      <w:pPr>
        <w:pStyle w:val="SCCLawFirm"/>
        <w:spacing w:after="480"/>
        <w:rPr>
          <w:lang w:val="fr-CA"/>
        </w:rPr>
      </w:pPr>
      <w:r w:rsidRPr="00ED7EBC">
        <w:rPr>
          <w:lang w:val="fr-CA"/>
        </w:rPr>
        <w:tab/>
      </w:r>
      <w:r w:rsidRPr="000F7582">
        <w:rPr>
          <w:lang w:val="fr-CA"/>
        </w:rPr>
        <w:t>Procureurs de l</w:t>
      </w:r>
      <w:r w:rsidR="002B0C0A">
        <w:rPr>
          <w:lang w:val="fr-CA"/>
        </w:rPr>
        <w:t>’</w:t>
      </w:r>
      <w:r w:rsidRPr="000F7582">
        <w:rPr>
          <w:lang w:val="fr-CA"/>
        </w:rPr>
        <w:t xml:space="preserve">intervenante </w:t>
      </w:r>
      <w:r>
        <w:rPr>
          <w:rStyle w:val="SCCCounselPartyRoleChar"/>
          <w:lang w:val="fr-CA"/>
        </w:rPr>
        <w:t>l</w:t>
      </w:r>
      <w:r w:rsidR="002B0C0A">
        <w:rPr>
          <w:rStyle w:val="SCCCounselPartyRoleChar"/>
          <w:lang w:val="fr-CA"/>
        </w:rPr>
        <w:t>’</w:t>
      </w:r>
      <w:r w:rsidRPr="00B5422B">
        <w:rPr>
          <w:bCs/>
          <w:lang w:val="fr-CA"/>
        </w:rPr>
        <w:t>Association du traité des Te</w:t>
      </w:r>
      <w:r w:rsidR="002B0C0A">
        <w:rPr>
          <w:bCs/>
          <w:lang w:val="fr-CA"/>
        </w:rPr>
        <w:t>’</w:t>
      </w:r>
      <w:r w:rsidR="00E009D8">
        <w:rPr>
          <w:bCs/>
          <w:lang w:val="fr-CA"/>
        </w:rPr>
        <w:t>m</w:t>
      </w:r>
      <w:r w:rsidRPr="00B5422B">
        <w:rPr>
          <w:bCs/>
          <w:lang w:val="fr-CA"/>
        </w:rPr>
        <w:t>exw</w:t>
      </w:r>
      <w:r w:rsidR="000F2258">
        <w:rPr>
          <w:lang w:val="fr-CA"/>
        </w:rPr>
        <w:t xml:space="preserve"> : </w:t>
      </w:r>
      <w:r w:rsidRPr="000F7582">
        <w:rPr>
          <w:lang w:val="fr-CA"/>
        </w:rPr>
        <w:t>Janes Freedman Kyle</w:t>
      </w:r>
      <w:r w:rsidR="00E009D8">
        <w:rPr>
          <w:lang w:val="fr-CA"/>
        </w:rPr>
        <w:t xml:space="preserve"> Law Corporation</w:t>
      </w:r>
      <w:r w:rsidRPr="000F7582">
        <w:rPr>
          <w:lang w:val="fr-CA"/>
        </w:rPr>
        <w:t>, Vancouver.</w:t>
      </w:r>
    </w:p>
    <w:p w:rsidR="00E349EE" w:rsidRDefault="00E349EE" w:rsidP="00236C49">
      <w:pPr>
        <w:pStyle w:val="SCCLawFirm"/>
        <w:spacing w:after="480"/>
      </w:pPr>
      <w:r w:rsidRPr="00DC4FE0">
        <w:rPr>
          <w:lang w:val="fr-CA"/>
        </w:rPr>
        <w:tab/>
      </w:r>
      <w:r w:rsidR="006B60C9">
        <w:t>Procureurs des intervenant</w:t>
      </w:r>
      <w:r>
        <w:t>s Business Council of British Columbia, Council of Forest Industries, Coast Forest Products Association, Mining Association of British Columbia et Association for Mineral</w:t>
      </w:r>
      <w:r w:rsidR="00236C49">
        <w:t xml:space="preserve"> Exploration British Columbia</w:t>
      </w:r>
      <w:r w:rsidR="000F2258">
        <w:t xml:space="preserve"> : </w:t>
      </w:r>
      <w:r>
        <w:t>Fasken Martineau DuMoulin, Vancouver.</w:t>
      </w:r>
    </w:p>
    <w:p w:rsidR="00E349EE" w:rsidRPr="00DC4FE0" w:rsidRDefault="00E349EE" w:rsidP="00236C49">
      <w:pPr>
        <w:pStyle w:val="SCCLawFirm"/>
        <w:spacing w:after="480"/>
        <w:rPr>
          <w:lang w:val="fr-CA"/>
        </w:rPr>
      </w:pPr>
      <w:r>
        <w:lastRenderedPageBreak/>
        <w:tab/>
      </w:r>
      <w:r w:rsidRPr="00DC4FE0">
        <w:rPr>
          <w:lang w:val="fr-CA"/>
        </w:rPr>
        <w:t>Procureurs de l</w:t>
      </w:r>
      <w:r w:rsidR="002B0C0A">
        <w:rPr>
          <w:lang w:val="fr-CA"/>
        </w:rPr>
        <w:t>’</w:t>
      </w:r>
      <w:r w:rsidRPr="00DC4FE0">
        <w:rPr>
          <w:lang w:val="fr-CA"/>
        </w:rPr>
        <w:t xml:space="preserve">intervenante </w:t>
      </w:r>
      <w:r>
        <w:rPr>
          <w:lang w:val="fr-CA"/>
        </w:rPr>
        <w:t>l</w:t>
      </w:r>
      <w:r w:rsidR="002B0C0A">
        <w:rPr>
          <w:lang w:val="fr-CA"/>
        </w:rPr>
        <w:t>’</w:t>
      </w:r>
      <w:r w:rsidRPr="00DC4FE0">
        <w:rPr>
          <w:lang w:val="fr-CA"/>
        </w:rPr>
        <w:t>Assemblée d</w:t>
      </w:r>
      <w:r w:rsidR="006B60C9">
        <w:rPr>
          <w:lang w:val="fr-CA"/>
        </w:rPr>
        <w:t>es Premières N</w:t>
      </w:r>
      <w:r w:rsidR="00236C49">
        <w:rPr>
          <w:lang w:val="fr-CA"/>
        </w:rPr>
        <w:t>ations</w:t>
      </w:r>
      <w:r w:rsidR="000F2258">
        <w:rPr>
          <w:lang w:val="fr-CA"/>
        </w:rPr>
        <w:t xml:space="preserve"> : </w:t>
      </w:r>
      <w:r w:rsidRPr="00DC4FE0">
        <w:rPr>
          <w:lang w:val="fr-CA"/>
        </w:rPr>
        <w:t>Arvay Finlay, Vancouver.</w:t>
      </w:r>
    </w:p>
    <w:p w:rsidR="00E349EE" w:rsidRPr="00881BCC" w:rsidRDefault="00E349EE" w:rsidP="00236C49">
      <w:pPr>
        <w:pStyle w:val="SCCNormalDoubleSpacing"/>
        <w:spacing w:after="480"/>
        <w:rPr>
          <w:i/>
          <w:lang w:val="fr-CA"/>
        </w:rPr>
      </w:pPr>
      <w:r w:rsidRPr="00DC4FE0">
        <w:rPr>
          <w:lang w:val="fr-CA"/>
        </w:rPr>
        <w:tab/>
      </w:r>
      <w:r w:rsidRPr="00881BCC">
        <w:rPr>
          <w:i/>
          <w:lang w:val="fr-CA"/>
        </w:rPr>
        <w:t xml:space="preserve">Procureurs des intervenants </w:t>
      </w:r>
      <w:r w:rsidR="005F6611">
        <w:rPr>
          <w:i/>
          <w:lang w:val="fr-CA"/>
        </w:rPr>
        <w:t>les c</w:t>
      </w:r>
      <w:r w:rsidRPr="00FF2788">
        <w:rPr>
          <w:i/>
          <w:lang w:val="fr-CA"/>
        </w:rPr>
        <w:t>hefs héréditaires Gitanyow de Gwass Hlaam, Gamlaxyeltxw, Malii, Gwinuu, Haizimsque, Watakhayetsxw, Luuxhon et Wii</w:t>
      </w:r>
      <w:r w:rsidR="002B0C0A">
        <w:rPr>
          <w:i/>
          <w:lang w:val="fr-CA"/>
        </w:rPr>
        <w:t>’</w:t>
      </w:r>
      <w:r w:rsidRPr="00FF2788">
        <w:rPr>
          <w:i/>
          <w:lang w:val="fr-CA"/>
        </w:rPr>
        <w:t xml:space="preserve">litswx, en leur nom </w:t>
      </w:r>
      <w:r w:rsidR="00320D90" w:rsidRPr="00320D90">
        <w:rPr>
          <w:i/>
          <w:lang w:val="fr-CA"/>
        </w:rPr>
        <w:t>et au nom de tous les</w:t>
      </w:r>
      <w:r w:rsidRPr="00FF2788">
        <w:rPr>
          <w:i/>
          <w:lang w:val="fr-CA"/>
        </w:rPr>
        <w:t xml:space="preserve"> Gitanyow, et le Bureau des </w:t>
      </w:r>
      <w:r w:rsidR="005F6611">
        <w:rPr>
          <w:i/>
          <w:lang w:val="fr-CA"/>
        </w:rPr>
        <w:t>c</w:t>
      </w:r>
      <w:r w:rsidRPr="00FF2788">
        <w:rPr>
          <w:i/>
          <w:lang w:val="fr-CA"/>
        </w:rPr>
        <w:t>hefs Wet</w:t>
      </w:r>
      <w:r w:rsidR="002B0C0A">
        <w:rPr>
          <w:i/>
          <w:lang w:val="fr-CA"/>
        </w:rPr>
        <w:t>’</w:t>
      </w:r>
      <w:r w:rsidRPr="00FF2788">
        <w:rPr>
          <w:i/>
          <w:lang w:val="fr-CA"/>
        </w:rPr>
        <w:t>suwet</w:t>
      </w:r>
      <w:r w:rsidR="002B0C0A">
        <w:rPr>
          <w:i/>
          <w:lang w:val="fr-CA"/>
        </w:rPr>
        <w:t>’</w:t>
      </w:r>
      <w:r w:rsidRPr="00FF2788">
        <w:rPr>
          <w:i/>
          <w:lang w:val="fr-CA"/>
        </w:rPr>
        <w:t>en</w:t>
      </w:r>
      <w:r w:rsidR="000F2258">
        <w:rPr>
          <w:rStyle w:val="SCCCounselPartyRoleChar"/>
          <w:i/>
          <w:lang w:val="fr-CA"/>
        </w:rPr>
        <w:t> :</w:t>
      </w:r>
      <w:r w:rsidR="000F2258">
        <w:rPr>
          <w:i/>
          <w:lang w:val="fr-CA"/>
        </w:rPr>
        <w:t xml:space="preserve"> </w:t>
      </w:r>
      <w:r w:rsidRPr="00881BCC">
        <w:rPr>
          <w:i/>
          <w:lang w:val="fr-CA"/>
        </w:rPr>
        <w:t>Peter Grant &amp; Associates, Vancouver.</w:t>
      </w:r>
    </w:p>
    <w:p w:rsidR="00E349EE" w:rsidRPr="00B219E7" w:rsidRDefault="00E349EE" w:rsidP="00236C49">
      <w:pPr>
        <w:pStyle w:val="SCCLawFirm"/>
        <w:spacing w:after="480"/>
        <w:rPr>
          <w:lang w:val="fr-CA"/>
        </w:rPr>
      </w:pPr>
      <w:r w:rsidRPr="00881BCC">
        <w:rPr>
          <w:lang w:val="fr-CA"/>
        </w:rPr>
        <w:tab/>
      </w:r>
      <w:r w:rsidRPr="00B219E7">
        <w:rPr>
          <w:lang w:val="fr-CA"/>
        </w:rPr>
        <w:t>Procureur de l</w:t>
      </w:r>
      <w:r w:rsidR="002B0C0A">
        <w:rPr>
          <w:lang w:val="fr-CA"/>
        </w:rPr>
        <w:t>’</w:t>
      </w:r>
      <w:r w:rsidRPr="00B219E7">
        <w:rPr>
          <w:lang w:val="fr-CA"/>
        </w:rPr>
        <w:t xml:space="preserve">intervenant </w:t>
      </w:r>
      <w:r>
        <w:rPr>
          <w:rStyle w:val="SCCCounselPartyRoleChar"/>
          <w:lang w:val="fr-CA"/>
        </w:rPr>
        <w:t>le</w:t>
      </w:r>
      <w:r w:rsidRPr="00DC4FE0">
        <w:rPr>
          <w:rStyle w:val="SCCCounselPartyRoleChar"/>
          <w:lang w:val="fr-CA"/>
        </w:rPr>
        <w:t xml:space="preserve"> </w:t>
      </w:r>
      <w:r w:rsidRPr="00DD3D77">
        <w:rPr>
          <w:lang w:val="fr-CA"/>
        </w:rPr>
        <w:t>Groupe du traité Hul</w:t>
      </w:r>
      <w:r w:rsidR="002B0C0A">
        <w:rPr>
          <w:lang w:val="fr-CA"/>
        </w:rPr>
        <w:t>’</w:t>
      </w:r>
      <w:r w:rsidRPr="00DD3D77">
        <w:rPr>
          <w:lang w:val="fr-CA"/>
        </w:rPr>
        <w:t>qumi</w:t>
      </w:r>
      <w:r w:rsidR="002B0C0A">
        <w:rPr>
          <w:lang w:val="fr-CA"/>
        </w:rPr>
        <w:t>’</w:t>
      </w:r>
      <w:r w:rsidRPr="00DD3D77">
        <w:rPr>
          <w:lang w:val="fr-CA"/>
        </w:rPr>
        <w:t>num</w:t>
      </w:r>
      <w:r w:rsidR="000F2258">
        <w:rPr>
          <w:lang w:val="fr-CA"/>
        </w:rPr>
        <w:t xml:space="preserve"> : </w:t>
      </w:r>
      <w:r w:rsidR="00236C49">
        <w:rPr>
          <w:lang w:val="fr-CA"/>
        </w:rPr>
        <w:t>Robert</w:t>
      </w:r>
      <w:r w:rsidR="000F2258">
        <w:rPr>
          <w:lang w:val="fr-CA"/>
        </w:rPr>
        <w:t xml:space="preserve"> </w:t>
      </w:r>
      <w:r w:rsidRPr="00B219E7">
        <w:rPr>
          <w:lang w:val="fr-CA"/>
        </w:rPr>
        <w:t>B. Morales, Ladysmith</w:t>
      </w:r>
      <w:r w:rsidRPr="00FF2788">
        <w:rPr>
          <w:lang w:val="fr-CA"/>
        </w:rPr>
        <w:t>, Colombie</w:t>
      </w:r>
      <w:r w:rsidR="000F2258">
        <w:rPr>
          <w:lang w:val="fr-CA"/>
        </w:rPr>
        <w:t>-</w:t>
      </w:r>
      <w:r w:rsidRPr="00FF2788">
        <w:rPr>
          <w:lang w:val="fr-CA"/>
        </w:rPr>
        <w:t>Britannique.</w:t>
      </w:r>
    </w:p>
    <w:p w:rsidR="00E349EE" w:rsidRPr="00DD3D77" w:rsidRDefault="00E349EE" w:rsidP="00236C49">
      <w:pPr>
        <w:pStyle w:val="SCCLawFirm"/>
        <w:spacing w:after="480"/>
        <w:rPr>
          <w:lang w:val="fr-CA"/>
        </w:rPr>
      </w:pPr>
      <w:r w:rsidRPr="00B219E7">
        <w:rPr>
          <w:lang w:val="fr-CA"/>
        </w:rPr>
        <w:tab/>
      </w:r>
      <w:r w:rsidRPr="00DD3D77">
        <w:rPr>
          <w:lang w:val="fr-CA"/>
        </w:rPr>
        <w:t>Procureurs de l</w:t>
      </w:r>
      <w:r w:rsidR="002B0C0A">
        <w:rPr>
          <w:lang w:val="fr-CA"/>
        </w:rPr>
        <w:t>’</w:t>
      </w:r>
      <w:r w:rsidRPr="00DD3D77">
        <w:rPr>
          <w:lang w:val="fr-CA"/>
        </w:rPr>
        <w:t xml:space="preserve">intervenant </w:t>
      </w:r>
      <w:r>
        <w:rPr>
          <w:rStyle w:val="SCCCounselPartyRoleChar"/>
          <w:lang w:val="fr-CA"/>
        </w:rPr>
        <w:t xml:space="preserve">le </w:t>
      </w:r>
      <w:r w:rsidRPr="00DD3D77">
        <w:rPr>
          <w:lang w:val="fr-CA"/>
        </w:rPr>
        <w:t xml:space="preserve">Conseil de la </w:t>
      </w:r>
      <w:r w:rsidR="005E16D2">
        <w:rPr>
          <w:lang w:val="fr-CA"/>
        </w:rPr>
        <w:t>N</w:t>
      </w:r>
      <w:r w:rsidR="00236C49">
        <w:rPr>
          <w:lang w:val="fr-CA"/>
        </w:rPr>
        <w:t>ation haïda</w:t>
      </w:r>
      <w:r w:rsidR="000F2258">
        <w:rPr>
          <w:lang w:val="fr-CA"/>
        </w:rPr>
        <w:t xml:space="preserve"> : </w:t>
      </w:r>
      <w:r w:rsidRPr="00DD3D77">
        <w:rPr>
          <w:lang w:val="fr-CA"/>
        </w:rPr>
        <w:t xml:space="preserve">White Raven Law Corporation, Surrey, </w:t>
      </w:r>
      <w:r w:rsidRPr="00FF2788">
        <w:rPr>
          <w:lang w:val="fr-CA"/>
        </w:rPr>
        <w:t>Colombie</w:t>
      </w:r>
      <w:r w:rsidR="000F2258">
        <w:rPr>
          <w:lang w:val="fr-CA"/>
        </w:rPr>
        <w:t>-</w:t>
      </w:r>
      <w:r w:rsidRPr="00FF2788">
        <w:rPr>
          <w:lang w:val="fr-CA"/>
        </w:rPr>
        <w:t>Britannique</w:t>
      </w:r>
      <w:r w:rsidRPr="00DD3D77">
        <w:rPr>
          <w:lang w:val="fr-CA"/>
        </w:rPr>
        <w:t>.</w:t>
      </w:r>
    </w:p>
    <w:p w:rsidR="00E349EE" w:rsidRPr="00ED7EBC" w:rsidRDefault="00E349EE" w:rsidP="00236C49">
      <w:pPr>
        <w:pStyle w:val="SCCLawFirm"/>
        <w:spacing w:after="480"/>
        <w:rPr>
          <w:lang w:val="fr-CA"/>
        </w:rPr>
      </w:pPr>
      <w:r w:rsidRPr="00DD3D77">
        <w:rPr>
          <w:lang w:val="fr-CA"/>
        </w:rPr>
        <w:tab/>
      </w:r>
      <w:r w:rsidRPr="00ED7EBC">
        <w:rPr>
          <w:lang w:val="fr-CA"/>
        </w:rPr>
        <w:t>Procureurs de l</w:t>
      </w:r>
      <w:r w:rsidR="002B0C0A">
        <w:rPr>
          <w:lang w:val="fr-CA"/>
        </w:rPr>
        <w:t>’</w:t>
      </w:r>
      <w:r w:rsidRPr="00ED7EBC">
        <w:rPr>
          <w:lang w:val="fr-CA"/>
        </w:rPr>
        <w:t xml:space="preserve">intervenante </w:t>
      </w:r>
      <w:r>
        <w:rPr>
          <w:rStyle w:val="SCCCounselPartyRoleChar"/>
          <w:lang w:val="fr-CA"/>
        </w:rPr>
        <w:t>l</w:t>
      </w:r>
      <w:r w:rsidR="002B0C0A">
        <w:rPr>
          <w:rStyle w:val="SCCCounselPartyRoleChar"/>
          <w:lang w:val="fr-CA"/>
        </w:rPr>
        <w:t>’</w:t>
      </w:r>
      <w:r w:rsidRPr="00DD3D77">
        <w:rPr>
          <w:lang w:val="fr-CA"/>
        </w:rPr>
        <w:t xml:space="preserve">Association du </w:t>
      </w:r>
      <w:r w:rsidR="00F72379">
        <w:rPr>
          <w:lang w:val="fr-CA"/>
        </w:rPr>
        <w:t>b</w:t>
      </w:r>
      <w:r w:rsidRPr="00DD3D77">
        <w:rPr>
          <w:lang w:val="fr-CA"/>
        </w:rPr>
        <w:t xml:space="preserve">arreau </w:t>
      </w:r>
      <w:r w:rsidR="00F72379">
        <w:rPr>
          <w:lang w:val="fr-CA"/>
        </w:rPr>
        <w:t>a</w:t>
      </w:r>
      <w:r w:rsidRPr="00DD3D77">
        <w:rPr>
          <w:lang w:val="fr-CA"/>
        </w:rPr>
        <w:t>utochtone au Canada</w:t>
      </w:r>
      <w:r w:rsidR="000F2258">
        <w:rPr>
          <w:lang w:val="fr-CA"/>
        </w:rPr>
        <w:t xml:space="preserve"> : </w:t>
      </w:r>
      <w:r w:rsidRPr="00ED7EBC">
        <w:rPr>
          <w:lang w:val="fr-CA"/>
        </w:rPr>
        <w:t>Nahwegahbow, Corbiere Genoodmagejig, Rama</w:t>
      </w:r>
      <w:r>
        <w:rPr>
          <w:lang w:val="fr-CA"/>
        </w:rPr>
        <w:t xml:space="preserve">, </w:t>
      </w:r>
      <w:r w:rsidRPr="00FF2788">
        <w:rPr>
          <w:lang w:val="fr-CA"/>
        </w:rPr>
        <w:t>Ontario</w:t>
      </w:r>
      <w:r w:rsidRPr="00ED7EBC">
        <w:rPr>
          <w:lang w:val="fr-CA"/>
        </w:rPr>
        <w:t>; Gowling Lafleur Henderson, Ottawa.</w:t>
      </w:r>
    </w:p>
    <w:p w:rsidR="00E349EE" w:rsidRPr="00816DCA" w:rsidRDefault="00E349EE" w:rsidP="00236C49">
      <w:pPr>
        <w:pStyle w:val="SCCLawFirm"/>
        <w:spacing w:after="480"/>
        <w:rPr>
          <w:lang w:val="fr-CA"/>
        </w:rPr>
      </w:pPr>
      <w:r w:rsidRPr="00ED7EBC">
        <w:rPr>
          <w:lang w:val="fr-CA"/>
        </w:rPr>
        <w:tab/>
      </w:r>
      <w:r w:rsidRPr="00816DCA">
        <w:rPr>
          <w:lang w:val="fr-CA"/>
        </w:rPr>
        <w:t>Procureurs de l</w:t>
      </w:r>
      <w:r w:rsidR="002B0C0A">
        <w:rPr>
          <w:lang w:val="fr-CA"/>
        </w:rPr>
        <w:t>’</w:t>
      </w:r>
      <w:r>
        <w:rPr>
          <w:lang w:val="fr-CA"/>
        </w:rPr>
        <w:t>intervenant</w:t>
      </w:r>
      <w:r w:rsidRPr="00816DCA">
        <w:rPr>
          <w:lang w:val="fr-CA"/>
        </w:rPr>
        <w:t xml:space="preserve"> le Somme</w:t>
      </w:r>
      <w:r>
        <w:rPr>
          <w:lang w:val="fr-CA"/>
        </w:rPr>
        <w:t xml:space="preserve">t </w:t>
      </w:r>
      <w:r w:rsidR="006B60C9">
        <w:rPr>
          <w:lang w:val="fr-CA"/>
        </w:rPr>
        <w:t>des Premières N</w:t>
      </w:r>
      <w:r>
        <w:rPr>
          <w:lang w:val="fr-CA"/>
        </w:rPr>
        <w:t>ations</w:t>
      </w:r>
      <w:r w:rsidR="000F2258">
        <w:rPr>
          <w:lang w:val="fr-CA"/>
        </w:rPr>
        <w:t xml:space="preserve"> : </w:t>
      </w:r>
      <w:r>
        <w:rPr>
          <w:lang w:val="fr-CA"/>
        </w:rPr>
        <w:t>Mandell Pinder, Vancouver</w:t>
      </w:r>
      <w:r w:rsidR="008F65C9" w:rsidRPr="000C431F">
        <w:rPr>
          <w:lang w:val="fr-CA"/>
        </w:rPr>
        <w:t>; Morgan &amp; Associates, West Vancouver</w:t>
      </w:r>
      <w:r w:rsidRPr="00816DCA">
        <w:rPr>
          <w:lang w:val="fr-CA"/>
        </w:rPr>
        <w:t>.</w:t>
      </w:r>
    </w:p>
    <w:p w:rsidR="00E349EE" w:rsidRPr="00DD3D77" w:rsidRDefault="00E349EE" w:rsidP="00236C49">
      <w:pPr>
        <w:pStyle w:val="SCCLawFirm"/>
        <w:spacing w:after="480"/>
        <w:rPr>
          <w:lang w:val="fr-CA"/>
        </w:rPr>
      </w:pPr>
      <w:r w:rsidRPr="00816DCA">
        <w:rPr>
          <w:lang w:val="fr-CA"/>
        </w:rPr>
        <w:tab/>
      </w:r>
      <w:r w:rsidRPr="00DD3D77">
        <w:rPr>
          <w:lang w:val="fr-CA"/>
        </w:rPr>
        <w:t xml:space="preserve">Procureurs des intervenantes </w:t>
      </w:r>
      <w:r w:rsidRPr="00DD3D77">
        <w:rPr>
          <w:rStyle w:val="SCCCounselPartyRoleChar"/>
          <w:lang w:val="fr-CA"/>
        </w:rPr>
        <w:t xml:space="preserve">la </w:t>
      </w:r>
      <w:r w:rsidR="006B60C9">
        <w:rPr>
          <w:lang w:val="fr-CA"/>
        </w:rPr>
        <w:t>Première Nation Tsawout, la Première N</w:t>
      </w:r>
      <w:r w:rsidRPr="00DD3D77">
        <w:rPr>
          <w:lang w:val="fr-CA"/>
        </w:rPr>
        <w:t xml:space="preserve">ation Tsartlip, la Première </w:t>
      </w:r>
      <w:r w:rsidR="00264791">
        <w:rPr>
          <w:lang w:val="fr-CA"/>
        </w:rPr>
        <w:t>N</w:t>
      </w:r>
      <w:r w:rsidRPr="00DD3D77">
        <w:rPr>
          <w:lang w:val="fr-CA"/>
        </w:rPr>
        <w:t xml:space="preserve">ation Snuneymuxw et la Première </w:t>
      </w:r>
      <w:r w:rsidR="00264791">
        <w:rPr>
          <w:lang w:val="fr-CA"/>
        </w:rPr>
        <w:t>N</w:t>
      </w:r>
      <w:r w:rsidR="00236C49">
        <w:rPr>
          <w:lang w:val="fr-CA"/>
        </w:rPr>
        <w:t>ation Kwakiutl</w:t>
      </w:r>
      <w:r w:rsidR="000F2258">
        <w:rPr>
          <w:lang w:val="fr-CA"/>
        </w:rPr>
        <w:t xml:space="preserve"> : </w:t>
      </w:r>
      <w:r w:rsidRPr="00DD3D77">
        <w:rPr>
          <w:lang w:val="fr-CA"/>
        </w:rPr>
        <w:t>Devlin Gailus, Victoria.</w:t>
      </w:r>
    </w:p>
    <w:p w:rsidR="00E349EE" w:rsidRPr="00DD3D77" w:rsidRDefault="005F6611" w:rsidP="00236C49">
      <w:pPr>
        <w:pStyle w:val="SCCLawFirm"/>
        <w:spacing w:after="480"/>
        <w:rPr>
          <w:lang w:val="fr-CA"/>
        </w:rPr>
      </w:pPr>
      <w:r>
        <w:rPr>
          <w:lang w:val="fr-CA"/>
        </w:rPr>
        <w:lastRenderedPageBreak/>
        <w:tab/>
        <w:t>Procureurs de</w:t>
      </w:r>
      <w:r w:rsidR="00E349EE" w:rsidRPr="00DD3D77">
        <w:rPr>
          <w:lang w:val="fr-CA"/>
        </w:rPr>
        <w:t xml:space="preserve"> </w:t>
      </w:r>
      <w:r>
        <w:rPr>
          <w:lang w:val="fr-CA"/>
        </w:rPr>
        <w:t>l’intervenante</w:t>
      </w:r>
      <w:r w:rsidR="00E349EE" w:rsidRPr="00DD3D77">
        <w:rPr>
          <w:lang w:val="fr-CA"/>
        </w:rPr>
        <w:t xml:space="preserve"> la Coalition de l</w:t>
      </w:r>
      <w:r w:rsidR="002B0C0A">
        <w:rPr>
          <w:lang w:val="fr-CA"/>
        </w:rPr>
        <w:t>’</w:t>
      </w:r>
      <w:r w:rsidR="00E349EE" w:rsidRPr="00DD3D77">
        <w:rPr>
          <w:lang w:val="fr-CA"/>
        </w:rPr>
        <w:t xml:space="preserve">Union des </w:t>
      </w:r>
      <w:r>
        <w:rPr>
          <w:lang w:val="fr-CA"/>
        </w:rPr>
        <w:t>c</w:t>
      </w:r>
      <w:r w:rsidR="00E349EE" w:rsidRPr="00DD3D77">
        <w:rPr>
          <w:lang w:val="fr-CA"/>
        </w:rPr>
        <w:t>hefs indiens de la C</w:t>
      </w:r>
      <w:r w:rsidR="00FE6B46">
        <w:rPr>
          <w:lang w:val="fr-CA"/>
        </w:rPr>
        <w:t>olombie-Britannique</w:t>
      </w:r>
      <w:r w:rsidR="00E349EE" w:rsidRPr="00DD3D77">
        <w:rPr>
          <w:lang w:val="fr-CA"/>
        </w:rPr>
        <w:t>, l</w:t>
      </w:r>
      <w:r w:rsidR="002B0C0A">
        <w:rPr>
          <w:lang w:val="fr-CA"/>
        </w:rPr>
        <w:t>’</w:t>
      </w:r>
      <w:r w:rsidR="00E349EE" w:rsidRPr="00DD3D77">
        <w:rPr>
          <w:lang w:val="fr-CA"/>
        </w:rPr>
        <w:t xml:space="preserve">Alliance des </w:t>
      </w:r>
      <w:r w:rsidR="005E16D2">
        <w:rPr>
          <w:lang w:val="fr-CA"/>
        </w:rPr>
        <w:t>N</w:t>
      </w:r>
      <w:r w:rsidR="00E349EE" w:rsidRPr="00DD3D77">
        <w:rPr>
          <w:lang w:val="fr-CA"/>
        </w:rPr>
        <w:t>ations de l</w:t>
      </w:r>
      <w:r w:rsidR="002B0C0A">
        <w:rPr>
          <w:lang w:val="fr-CA"/>
        </w:rPr>
        <w:t>’</w:t>
      </w:r>
      <w:r w:rsidR="00E349EE" w:rsidRPr="00DD3D77">
        <w:rPr>
          <w:lang w:val="fr-CA"/>
        </w:rPr>
        <w:t xml:space="preserve">Okanagan, le Conseil tribal de la Nation Shuswap et </w:t>
      </w:r>
      <w:r>
        <w:rPr>
          <w:lang w:val="fr-CA"/>
        </w:rPr>
        <w:t xml:space="preserve">leurs </w:t>
      </w:r>
      <w:r w:rsidR="00320D90" w:rsidRPr="00320D90">
        <w:rPr>
          <w:lang w:val="fr-CA"/>
        </w:rPr>
        <w:t xml:space="preserve">communautés </w:t>
      </w:r>
      <w:r w:rsidR="00E349EE" w:rsidRPr="00DD3D77">
        <w:rPr>
          <w:lang w:val="fr-CA"/>
        </w:rPr>
        <w:t xml:space="preserve">membres, les </w:t>
      </w:r>
      <w:r w:rsidR="00281148">
        <w:rPr>
          <w:lang w:val="fr-CA"/>
        </w:rPr>
        <w:t>b</w:t>
      </w:r>
      <w:r w:rsidR="00E349EE" w:rsidRPr="00DD3D77">
        <w:rPr>
          <w:lang w:val="fr-CA"/>
        </w:rPr>
        <w:t xml:space="preserve">andes indiennes </w:t>
      </w:r>
      <w:r w:rsidR="00320D90">
        <w:rPr>
          <w:lang w:val="fr-CA"/>
        </w:rPr>
        <w:t>d</w:t>
      </w:r>
      <w:r w:rsidR="002B0C0A">
        <w:rPr>
          <w:lang w:val="fr-CA"/>
        </w:rPr>
        <w:t>’</w:t>
      </w:r>
      <w:r w:rsidR="00E349EE" w:rsidRPr="00DD3D77">
        <w:rPr>
          <w:lang w:val="fr-CA"/>
        </w:rPr>
        <w:t xml:space="preserve">Okanagan, </w:t>
      </w:r>
      <w:r w:rsidR="00320D90">
        <w:rPr>
          <w:lang w:val="fr-CA"/>
        </w:rPr>
        <w:t>d</w:t>
      </w:r>
      <w:r w:rsidR="002B0C0A">
        <w:rPr>
          <w:lang w:val="fr-CA"/>
        </w:rPr>
        <w:t>’</w:t>
      </w:r>
      <w:r w:rsidR="00E349EE" w:rsidRPr="00DD3D77">
        <w:rPr>
          <w:lang w:val="fr-CA"/>
        </w:rPr>
        <w:t xml:space="preserve">Adams Lake, </w:t>
      </w:r>
      <w:r w:rsidR="00320D90">
        <w:rPr>
          <w:lang w:val="fr-CA"/>
        </w:rPr>
        <w:t xml:space="preserve">de </w:t>
      </w:r>
      <w:r w:rsidR="00E349EE" w:rsidRPr="00DD3D77">
        <w:rPr>
          <w:lang w:val="fr-CA"/>
        </w:rPr>
        <w:t xml:space="preserve">Neskonlith et </w:t>
      </w:r>
      <w:r w:rsidR="00320D90">
        <w:rPr>
          <w:lang w:val="fr-CA"/>
        </w:rPr>
        <w:t xml:space="preserve">de </w:t>
      </w:r>
      <w:r w:rsidR="00E349EE" w:rsidRPr="00DD3D77">
        <w:rPr>
          <w:lang w:val="fr-CA"/>
        </w:rPr>
        <w:t>Splatsin</w:t>
      </w:r>
      <w:r w:rsidR="000F2258">
        <w:rPr>
          <w:lang w:val="fr-CA"/>
        </w:rPr>
        <w:t xml:space="preserve"> : </w:t>
      </w:r>
      <w:r w:rsidR="00E349EE" w:rsidRPr="00DD3D77">
        <w:rPr>
          <w:lang w:val="fr-CA"/>
        </w:rPr>
        <w:t>Mandell Pinder, Vancouver; University of British Columbia, Vancouver; Thompson Rivers University, Kamloops.</w:t>
      </w:r>
    </w:p>
    <w:p w:rsidR="00E349EE" w:rsidRPr="00DD3D77" w:rsidRDefault="00E349EE" w:rsidP="00236C49">
      <w:pPr>
        <w:pStyle w:val="SCCLawFirm"/>
        <w:spacing w:after="480"/>
        <w:rPr>
          <w:lang w:val="fr-CA"/>
        </w:rPr>
      </w:pPr>
      <w:r w:rsidRPr="00DD3D77">
        <w:rPr>
          <w:lang w:val="fr-CA"/>
        </w:rPr>
        <w:tab/>
        <w:t xml:space="preserve">Procureurs des intervenants Amnistie internationale et </w:t>
      </w:r>
      <w:r w:rsidR="00C47862">
        <w:rPr>
          <w:lang w:val="fr-CA"/>
        </w:rPr>
        <w:t>Secours Quaker c</w:t>
      </w:r>
      <w:r w:rsidRPr="00DD3D77">
        <w:rPr>
          <w:lang w:val="fr-CA"/>
        </w:rPr>
        <w:t>anad</w:t>
      </w:r>
      <w:r w:rsidR="00236C49">
        <w:rPr>
          <w:lang w:val="fr-CA"/>
        </w:rPr>
        <w:t>i</w:t>
      </w:r>
      <w:r w:rsidR="00C47862">
        <w:rPr>
          <w:lang w:val="fr-CA"/>
        </w:rPr>
        <w:t>en</w:t>
      </w:r>
      <w:r w:rsidR="000F2258">
        <w:rPr>
          <w:lang w:val="fr-CA"/>
        </w:rPr>
        <w:t xml:space="preserve"> : </w:t>
      </w:r>
      <w:r w:rsidRPr="00DD3D77">
        <w:rPr>
          <w:lang w:val="fr-CA"/>
        </w:rPr>
        <w:t>Stockwoods, Toronto; Paul Joffe, Saint</w:t>
      </w:r>
      <w:r w:rsidR="000F2258">
        <w:rPr>
          <w:lang w:val="fr-CA"/>
        </w:rPr>
        <w:t>-</w:t>
      </w:r>
      <w:r w:rsidRPr="00DD3D77">
        <w:rPr>
          <w:lang w:val="fr-CA"/>
        </w:rPr>
        <w:t>Lambert, Québec.</w:t>
      </w:r>
    </w:p>
    <w:p w:rsidR="00E349EE" w:rsidRPr="00DD3D77" w:rsidRDefault="00E349EE" w:rsidP="00236C49">
      <w:pPr>
        <w:pStyle w:val="SCCLawFirm"/>
        <w:spacing w:after="480"/>
        <w:rPr>
          <w:lang w:val="fr-CA"/>
        </w:rPr>
      </w:pPr>
      <w:r w:rsidRPr="00DD3D77">
        <w:rPr>
          <w:lang w:val="fr-CA"/>
        </w:rPr>
        <w:tab/>
        <w:t>Procureurs de l</w:t>
      </w:r>
      <w:r w:rsidR="002B0C0A">
        <w:rPr>
          <w:lang w:val="fr-CA"/>
        </w:rPr>
        <w:t>’</w:t>
      </w:r>
      <w:r w:rsidRPr="00DD3D77">
        <w:rPr>
          <w:lang w:val="fr-CA"/>
        </w:rPr>
        <w:t xml:space="preserve">intervenante </w:t>
      </w:r>
      <w:r>
        <w:rPr>
          <w:rStyle w:val="SCCCounselPartyRoleChar"/>
          <w:lang w:val="fr-CA"/>
        </w:rPr>
        <w:t xml:space="preserve">la </w:t>
      </w:r>
      <w:r w:rsidR="00236C49">
        <w:rPr>
          <w:lang w:val="fr-CA"/>
        </w:rPr>
        <w:t>Nation Gitxaala</w:t>
      </w:r>
      <w:r w:rsidR="000F2258">
        <w:rPr>
          <w:lang w:val="fr-CA"/>
        </w:rPr>
        <w:t xml:space="preserve"> : </w:t>
      </w:r>
      <w:r w:rsidRPr="00DD3D77">
        <w:rPr>
          <w:lang w:val="fr-CA"/>
        </w:rPr>
        <w:t>Farris, Vaughan, Wills &amp; Murphy, Vancouver.</w:t>
      </w:r>
    </w:p>
    <w:p w:rsidR="00781A25" w:rsidRDefault="00E349EE" w:rsidP="000F2258">
      <w:pPr>
        <w:pStyle w:val="SCCLawFirm"/>
        <w:rPr>
          <w:b/>
          <w:i w:val="0"/>
          <w:lang w:val="fr-CA"/>
        </w:rPr>
      </w:pPr>
      <w:r w:rsidRPr="00DD3D77">
        <w:rPr>
          <w:lang w:val="fr-CA"/>
        </w:rPr>
        <w:tab/>
        <w:t xml:space="preserve">Procureurs des intervenants Chilko Resorts and Community Association et </w:t>
      </w:r>
      <w:r>
        <w:rPr>
          <w:rStyle w:val="SCCCounselPartyRoleChar"/>
          <w:lang w:val="fr-CA"/>
        </w:rPr>
        <w:t xml:space="preserve">le </w:t>
      </w:r>
      <w:r w:rsidR="00236C49">
        <w:rPr>
          <w:lang w:val="fr-CA"/>
        </w:rPr>
        <w:t>Conseil des Canadiens</w:t>
      </w:r>
      <w:r w:rsidR="000F2258">
        <w:rPr>
          <w:lang w:val="fr-CA"/>
        </w:rPr>
        <w:t xml:space="preserve"> : </w:t>
      </w:r>
      <w:r w:rsidRPr="00DD3D77">
        <w:rPr>
          <w:lang w:val="fr-CA"/>
        </w:rPr>
        <w:t>Ratcliff &amp; Company, North Vancouver.</w:t>
      </w:r>
    </w:p>
    <w:p w:rsidR="000F2258" w:rsidRPr="000F2258" w:rsidRDefault="000F2258" w:rsidP="000F2258">
      <w:pPr>
        <w:pStyle w:val="SCCNormalDoubleSpacing"/>
        <w:rPr>
          <w:lang w:val="fr-CA"/>
        </w:rPr>
      </w:pPr>
    </w:p>
    <w:sectPr w:rsidR="000F2258" w:rsidRPr="000F225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FE" w:rsidRDefault="00CE3EFE">
      <w:r>
        <w:separator/>
      </w:r>
    </w:p>
  </w:endnote>
  <w:endnote w:type="continuationSeparator" w:id="0">
    <w:p w:rsidR="00CE3EFE" w:rsidRDefault="00CE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FE" w:rsidRDefault="00CE3EFE">
      <w:r>
        <w:separator/>
      </w:r>
    </w:p>
  </w:footnote>
  <w:footnote w:type="continuationSeparator" w:id="0">
    <w:p w:rsidR="00CE3EFE" w:rsidRDefault="00CE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AD4"/>
    <w:multiLevelType w:val="hybridMultilevel"/>
    <w:tmpl w:val="12441006"/>
    <w:lvl w:ilvl="0" w:tplc="270A0D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4E9D"/>
    <w:multiLevelType w:val="hybridMultilevel"/>
    <w:tmpl w:val="75826330"/>
    <w:lvl w:ilvl="0" w:tplc="929C0EF2">
      <w:start w:val="1"/>
      <w:numFmt w:val="bullet"/>
      <w:lvlText w:val=""/>
      <w:lvlJc w:val="left"/>
      <w:pPr>
        <w:ind w:left="502" w:hanging="360"/>
      </w:pPr>
      <w:rPr>
        <w:rFonts w:ascii="Symbol" w:hAnsi="Symbol" w:hint="default"/>
        <w:sz w:val="20"/>
        <w:szCs w:val="2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06C2716E"/>
    <w:multiLevelType w:val="hybridMultilevel"/>
    <w:tmpl w:val="8EEEC0C4"/>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3" w15:restartNumberingAfterBreak="0">
    <w:nsid w:val="289E665C"/>
    <w:multiLevelType w:val="hybridMultilevel"/>
    <w:tmpl w:val="3B3A7356"/>
    <w:lvl w:ilvl="0" w:tplc="252ED2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3056B"/>
    <w:multiLevelType w:val="hybridMultilevel"/>
    <w:tmpl w:val="1E2A869E"/>
    <w:lvl w:ilvl="0" w:tplc="929C0EF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BA9CAC8A"/>
    <w:lvl w:ilvl="0">
      <w:start w:val="1"/>
      <w:numFmt w:val="upperRoman"/>
      <w:pStyle w:val="Title1LevelTitre1Niveau-AltL"/>
      <w:lvlText w:val="%1."/>
      <w:lvlJc w:val="left"/>
      <w:pPr>
        <w:tabs>
          <w:tab w:val="num" w:pos="5616"/>
        </w:tabs>
        <w:ind w:left="5616" w:hanging="432"/>
      </w:pPr>
      <w:rPr>
        <w:rFonts w:hint="default"/>
        <w:i w:val="0"/>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1062"/>
        </w:tabs>
        <w:ind w:left="1062" w:hanging="432"/>
      </w:pPr>
      <w:rPr>
        <w:rFonts w:ascii="Times New Roman" w:eastAsiaTheme="minorHAnsi" w:hAnsi="Times New Roman" w:cstheme="minorBidi"/>
        <w:b w:val="0"/>
        <w:i w:val="0"/>
        <w:sz w:val="24"/>
      </w:rPr>
    </w:lvl>
    <w:lvl w:ilvl="3">
      <w:start w:val="1"/>
      <w:numFmt w:val="lowerLetter"/>
      <w:pStyle w:val="Title4LevelTitre4Niveau"/>
      <w:lvlText w:val="(%4)"/>
      <w:lvlJc w:val="left"/>
      <w:pPr>
        <w:tabs>
          <w:tab w:val="num" w:pos="6912"/>
        </w:tabs>
        <w:ind w:left="691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revisionView w:inkAnnotation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025"/>
    <w:rsid w:val="00023FC7"/>
    <w:rsid w:val="00025198"/>
    <w:rsid w:val="000462DF"/>
    <w:rsid w:val="000578A3"/>
    <w:rsid w:val="00061C30"/>
    <w:rsid w:val="000648CC"/>
    <w:rsid w:val="00066A75"/>
    <w:rsid w:val="0006707D"/>
    <w:rsid w:val="00067D0C"/>
    <w:rsid w:val="00071941"/>
    <w:rsid w:val="00071DED"/>
    <w:rsid w:val="0007275D"/>
    <w:rsid w:val="00080459"/>
    <w:rsid w:val="00080D3C"/>
    <w:rsid w:val="00081958"/>
    <w:rsid w:val="00082638"/>
    <w:rsid w:val="0008558C"/>
    <w:rsid w:val="000A1B5C"/>
    <w:rsid w:val="000A578A"/>
    <w:rsid w:val="000B5B52"/>
    <w:rsid w:val="000B681F"/>
    <w:rsid w:val="000B6992"/>
    <w:rsid w:val="000C1F14"/>
    <w:rsid w:val="000C431F"/>
    <w:rsid w:val="000C59B8"/>
    <w:rsid w:val="000C5BF9"/>
    <w:rsid w:val="000C6AF0"/>
    <w:rsid w:val="000D0A77"/>
    <w:rsid w:val="000D23EA"/>
    <w:rsid w:val="000E6C01"/>
    <w:rsid w:val="000E79DB"/>
    <w:rsid w:val="000F2258"/>
    <w:rsid w:val="000F2581"/>
    <w:rsid w:val="000F68E7"/>
    <w:rsid w:val="000F7582"/>
    <w:rsid w:val="000F7993"/>
    <w:rsid w:val="00100D88"/>
    <w:rsid w:val="00104F33"/>
    <w:rsid w:val="00111DE2"/>
    <w:rsid w:val="00116B38"/>
    <w:rsid w:val="0012756D"/>
    <w:rsid w:val="00135406"/>
    <w:rsid w:val="00135972"/>
    <w:rsid w:val="001426A9"/>
    <w:rsid w:val="00154D7C"/>
    <w:rsid w:val="001570B0"/>
    <w:rsid w:val="0015752C"/>
    <w:rsid w:val="00157737"/>
    <w:rsid w:val="00165277"/>
    <w:rsid w:val="00170592"/>
    <w:rsid w:val="001720F7"/>
    <w:rsid w:val="00176150"/>
    <w:rsid w:val="001763D9"/>
    <w:rsid w:val="0018583D"/>
    <w:rsid w:val="001903DB"/>
    <w:rsid w:val="00190986"/>
    <w:rsid w:val="00195D83"/>
    <w:rsid w:val="001A00C1"/>
    <w:rsid w:val="001A5DFB"/>
    <w:rsid w:val="001A6E65"/>
    <w:rsid w:val="001B2763"/>
    <w:rsid w:val="001B33E0"/>
    <w:rsid w:val="001B4573"/>
    <w:rsid w:val="001B7374"/>
    <w:rsid w:val="001C72B4"/>
    <w:rsid w:val="001C779F"/>
    <w:rsid w:val="001D218F"/>
    <w:rsid w:val="001D2AC1"/>
    <w:rsid w:val="001D4E88"/>
    <w:rsid w:val="001E3A76"/>
    <w:rsid w:val="001F2070"/>
    <w:rsid w:val="001F349F"/>
    <w:rsid w:val="002154B6"/>
    <w:rsid w:val="00220FC2"/>
    <w:rsid w:val="002222F4"/>
    <w:rsid w:val="00224FC0"/>
    <w:rsid w:val="00225EA4"/>
    <w:rsid w:val="00226EAF"/>
    <w:rsid w:val="00231F3A"/>
    <w:rsid w:val="00236C49"/>
    <w:rsid w:val="00237E44"/>
    <w:rsid w:val="002406EE"/>
    <w:rsid w:val="00240E57"/>
    <w:rsid w:val="00243EC8"/>
    <w:rsid w:val="002511EF"/>
    <w:rsid w:val="00264791"/>
    <w:rsid w:val="0026556D"/>
    <w:rsid w:val="00270D93"/>
    <w:rsid w:val="002745CC"/>
    <w:rsid w:val="0028059A"/>
    <w:rsid w:val="00281148"/>
    <w:rsid w:val="002827FB"/>
    <w:rsid w:val="00291796"/>
    <w:rsid w:val="00295065"/>
    <w:rsid w:val="0029568D"/>
    <w:rsid w:val="00296867"/>
    <w:rsid w:val="002A7480"/>
    <w:rsid w:val="002B0C0A"/>
    <w:rsid w:val="002B0C99"/>
    <w:rsid w:val="002B6FBE"/>
    <w:rsid w:val="002B7924"/>
    <w:rsid w:val="002C10A6"/>
    <w:rsid w:val="002C5687"/>
    <w:rsid w:val="002C7A8C"/>
    <w:rsid w:val="002D1A9D"/>
    <w:rsid w:val="002D28C3"/>
    <w:rsid w:val="002D39A4"/>
    <w:rsid w:val="002D57A6"/>
    <w:rsid w:val="002D5EE3"/>
    <w:rsid w:val="002E5D9C"/>
    <w:rsid w:val="002E6705"/>
    <w:rsid w:val="002F18D3"/>
    <w:rsid w:val="00300497"/>
    <w:rsid w:val="00300876"/>
    <w:rsid w:val="0030329A"/>
    <w:rsid w:val="0031086F"/>
    <w:rsid w:val="0031414C"/>
    <w:rsid w:val="00314E01"/>
    <w:rsid w:val="0032089D"/>
    <w:rsid w:val="00320D90"/>
    <w:rsid w:val="0032639D"/>
    <w:rsid w:val="00326A83"/>
    <w:rsid w:val="003310DE"/>
    <w:rsid w:val="003323B0"/>
    <w:rsid w:val="00335C5D"/>
    <w:rsid w:val="003360FF"/>
    <w:rsid w:val="00337592"/>
    <w:rsid w:val="00340A49"/>
    <w:rsid w:val="0035169A"/>
    <w:rsid w:val="00351BEE"/>
    <w:rsid w:val="0035243B"/>
    <w:rsid w:val="0035259D"/>
    <w:rsid w:val="003540C9"/>
    <w:rsid w:val="003606BD"/>
    <w:rsid w:val="00362D23"/>
    <w:rsid w:val="0036353C"/>
    <w:rsid w:val="00364B18"/>
    <w:rsid w:val="00375EB0"/>
    <w:rsid w:val="00377035"/>
    <w:rsid w:val="00377BAD"/>
    <w:rsid w:val="0038183F"/>
    <w:rsid w:val="003832AE"/>
    <w:rsid w:val="0038667D"/>
    <w:rsid w:val="003A125D"/>
    <w:rsid w:val="003A4C70"/>
    <w:rsid w:val="003B215F"/>
    <w:rsid w:val="003C645B"/>
    <w:rsid w:val="003C6DB4"/>
    <w:rsid w:val="003C799C"/>
    <w:rsid w:val="003D0399"/>
    <w:rsid w:val="003D0AB6"/>
    <w:rsid w:val="003D4BD2"/>
    <w:rsid w:val="003D6CB1"/>
    <w:rsid w:val="003E1C71"/>
    <w:rsid w:val="003E3749"/>
    <w:rsid w:val="003F1550"/>
    <w:rsid w:val="003F327B"/>
    <w:rsid w:val="00406166"/>
    <w:rsid w:val="00406865"/>
    <w:rsid w:val="0040704B"/>
    <w:rsid w:val="00407367"/>
    <w:rsid w:val="00410A55"/>
    <w:rsid w:val="00411300"/>
    <w:rsid w:val="00413F17"/>
    <w:rsid w:val="00415417"/>
    <w:rsid w:val="00423F09"/>
    <w:rsid w:val="00424AC8"/>
    <w:rsid w:val="0042508D"/>
    <w:rsid w:val="00426659"/>
    <w:rsid w:val="00430F61"/>
    <w:rsid w:val="00433577"/>
    <w:rsid w:val="00450352"/>
    <w:rsid w:val="00454BDB"/>
    <w:rsid w:val="00465132"/>
    <w:rsid w:val="0046799A"/>
    <w:rsid w:val="004714ED"/>
    <w:rsid w:val="00471ECD"/>
    <w:rsid w:val="00480C90"/>
    <w:rsid w:val="0048396F"/>
    <w:rsid w:val="004911B3"/>
    <w:rsid w:val="00493C18"/>
    <w:rsid w:val="00494888"/>
    <w:rsid w:val="004A1D74"/>
    <w:rsid w:val="004A600C"/>
    <w:rsid w:val="004A6118"/>
    <w:rsid w:val="004B3878"/>
    <w:rsid w:val="004B6D5E"/>
    <w:rsid w:val="004C1426"/>
    <w:rsid w:val="004C378E"/>
    <w:rsid w:val="004C478D"/>
    <w:rsid w:val="004D7D95"/>
    <w:rsid w:val="004E2C26"/>
    <w:rsid w:val="004E2E5A"/>
    <w:rsid w:val="004F4572"/>
    <w:rsid w:val="005025E8"/>
    <w:rsid w:val="00502A70"/>
    <w:rsid w:val="005125A8"/>
    <w:rsid w:val="00517549"/>
    <w:rsid w:val="00520ABC"/>
    <w:rsid w:val="00521AE8"/>
    <w:rsid w:val="00527180"/>
    <w:rsid w:val="0053144D"/>
    <w:rsid w:val="005321A8"/>
    <w:rsid w:val="0053326D"/>
    <w:rsid w:val="005339FF"/>
    <w:rsid w:val="00536C60"/>
    <w:rsid w:val="005435B8"/>
    <w:rsid w:val="005548E0"/>
    <w:rsid w:val="00555291"/>
    <w:rsid w:val="005558AF"/>
    <w:rsid w:val="00560766"/>
    <w:rsid w:val="00561994"/>
    <w:rsid w:val="00561B11"/>
    <w:rsid w:val="00564727"/>
    <w:rsid w:val="00566AD1"/>
    <w:rsid w:val="00576225"/>
    <w:rsid w:val="0058097B"/>
    <w:rsid w:val="00583EDE"/>
    <w:rsid w:val="00584981"/>
    <w:rsid w:val="005910C9"/>
    <w:rsid w:val="005A5A21"/>
    <w:rsid w:val="005A6079"/>
    <w:rsid w:val="005A6EDB"/>
    <w:rsid w:val="005E16D2"/>
    <w:rsid w:val="005E4698"/>
    <w:rsid w:val="005E6175"/>
    <w:rsid w:val="005F6611"/>
    <w:rsid w:val="00600007"/>
    <w:rsid w:val="006018D3"/>
    <w:rsid w:val="00603924"/>
    <w:rsid w:val="00605BD6"/>
    <w:rsid w:val="00610539"/>
    <w:rsid w:val="00610681"/>
    <w:rsid w:val="0061134B"/>
    <w:rsid w:val="00613969"/>
    <w:rsid w:val="006206A1"/>
    <w:rsid w:val="00621CCA"/>
    <w:rsid w:val="00624CB8"/>
    <w:rsid w:val="00625C35"/>
    <w:rsid w:val="00632200"/>
    <w:rsid w:val="00632F15"/>
    <w:rsid w:val="0063374A"/>
    <w:rsid w:val="006345C3"/>
    <w:rsid w:val="0063633D"/>
    <w:rsid w:val="00637EE6"/>
    <w:rsid w:val="00643254"/>
    <w:rsid w:val="00647E49"/>
    <w:rsid w:val="00655883"/>
    <w:rsid w:val="006559B7"/>
    <w:rsid w:val="00656313"/>
    <w:rsid w:val="006565F4"/>
    <w:rsid w:val="0066769B"/>
    <w:rsid w:val="00680873"/>
    <w:rsid w:val="0068398E"/>
    <w:rsid w:val="00684EEA"/>
    <w:rsid w:val="006851CE"/>
    <w:rsid w:val="0069685D"/>
    <w:rsid w:val="0069689B"/>
    <w:rsid w:val="006A3048"/>
    <w:rsid w:val="006B12B6"/>
    <w:rsid w:val="006B5FF5"/>
    <w:rsid w:val="006B60C9"/>
    <w:rsid w:val="006E0476"/>
    <w:rsid w:val="006F30AF"/>
    <w:rsid w:val="006F70DB"/>
    <w:rsid w:val="00701759"/>
    <w:rsid w:val="007027E4"/>
    <w:rsid w:val="00702AA3"/>
    <w:rsid w:val="0070475F"/>
    <w:rsid w:val="00705C15"/>
    <w:rsid w:val="007102AD"/>
    <w:rsid w:val="007110F6"/>
    <w:rsid w:val="00712663"/>
    <w:rsid w:val="00713EBD"/>
    <w:rsid w:val="007208D1"/>
    <w:rsid w:val="00736956"/>
    <w:rsid w:val="00744518"/>
    <w:rsid w:val="0074480A"/>
    <w:rsid w:val="00747288"/>
    <w:rsid w:val="00747DD3"/>
    <w:rsid w:val="00752D90"/>
    <w:rsid w:val="007530FD"/>
    <w:rsid w:val="007549C8"/>
    <w:rsid w:val="007556B9"/>
    <w:rsid w:val="00766D14"/>
    <w:rsid w:val="00767A0F"/>
    <w:rsid w:val="007817BB"/>
    <w:rsid w:val="00781A25"/>
    <w:rsid w:val="00791272"/>
    <w:rsid w:val="007946F7"/>
    <w:rsid w:val="007A05F6"/>
    <w:rsid w:val="007A14DC"/>
    <w:rsid w:val="007B392E"/>
    <w:rsid w:val="007B537E"/>
    <w:rsid w:val="007B6F4A"/>
    <w:rsid w:val="007C4759"/>
    <w:rsid w:val="007D387C"/>
    <w:rsid w:val="007D6741"/>
    <w:rsid w:val="007E1C47"/>
    <w:rsid w:val="007E2777"/>
    <w:rsid w:val="007E337A"/>
    <w:rsid w:val="007E5C70"/>
    <w:rsid w:val="007F2FF5"/>
    <w:rsid w:val="007F3F08"/>
    <w:rsid w:val="007F70DA"/>
    <w:rsid w:val="00802957"/>
    <w:rsid w:val="00804CC6"/>
    <w:rsid w:val="00816DCA"/>
    <w:rsid w:val="00817190"/>
    <w:rsid w:val="008260E2"/>
    <w:rsid w:val="008309E4"/>
    <w:rsid w:val="008322BD"/>
    <w:rsid w:val="00834F73"/>
    <w:rsid w:val="008426EA"/>
    <w:rsid w:val="00854361"/>
    <w:rsid w:val="00863004"/>
    <w:rsid w:val="00864C8A"/>
    <w:rsid w:val="00864CF8"/>
    <w:rsid w:val="008676D9"/>
    <w:rsid w:val="00874914"/>
    <w:rsid w:val="00876D6F"/>
    <w:rsid w:val="0087799F"/>
    <w:rsid w:val="00881BCC"/>
    <w:rsid w:val="00886AF6"/>
    <w:rsid w:val="00891422"/>
    <w:rsid w:val="00892E1A"/>
    <w:rsid w:val="008940AA"/>
    <w:rsid w:val="008948FE"/>
    <w:rsid w:val="008B0A41"/>
    <w:rsid w:val="008B4D30"/>
    <w:rsid w:val="008B4E4E"/>
    <w:rsid w:val="008B660A"/>
    <w:rsid w:val="008C01DA"/>
    <w:rsid w:val="008E59B6"/>
    <w:rsid w:val="008F2674"/>
    <w:rsid w:val="008F65C9"/>
    <w:rsid w:val="008F78E9"/>
    <w:rsid w:val="00902654"/>
    <w:rsid w:val="009179F9"/>
    <w:rsid w:val="00917C7A"/>
    <w:rsid w:val="00922EE3"/>
    <w:rsid w:val="009240DA"/>
    <w:rsid w:val="00933E5E"/>
    <w:rsid w:val="00935218"/>
    <w:rsid w:val="00936DB0"/>
    <w:rsid w:val="00937C52"/>
    <w:rsid w:val="009403F3"/>
    <w:rsid w:val="00954BF8"/>
    <w:rsid w:val="009555B7"/>
    <w:rsid w:val="009567AA"/>
    <w:rsid w:val="00956911"/>
    <w:rsid w:val="009602C9"/>
    <w:rsid w:val="00967374"/>
    <w:rsid w:val="009806E4"/>
    <w:rsid w:val="0098186D"/>
    <w:rsid w:val="00995C7E"/>
    <w:rsid w:val="00996D92"/>
    <w:rsid w:val="009A052E"/>
    <w:rsid w:val="009A343A"/>
    <w:rsid w:val="009A6F1D"/>
    <w:rsid w:val="009B2F23"/>
    <w:rsid w:val="009B50C6"/>
    <w:rsid w:val="009B57B3"/>
    <w:rsid w:val="009C414E"/>
    <w:rsid w:val="009C6081"/>
    <w:rsid w:val="009D2920"/>
    <w:rsid w:val="009D36F2"/>
    <w:rsid w:val="009D4D05"/>
    <w:rsid w:val="009D5AEB"/>
    <w:rsid w:val="009D7F9D"/>
    <w:rsid w:val="009E7F0F"/>
    <w:rsid w:val="009F0E33"/>
    <w:rsid w:val="009F3AD7"/>
    <w:rsid w:val="009F473C"/>
    <w:rsid w:val="009F57FC"/>
    <w:rsid w:val="009F5DC7"/>
    <w:rsid w:val="00A048CB"/>
    <w:rsid w:val="00A06A3C"/>
    <w:rsid w:val="00A07E89"/>
    <w:rsid w:val="00A149DF"/>
    <w:rsid w:val="00A1755C"/>
    <w:rsid w:val="00A21B90"/>
    <w:rsid w:val="00A22AAC"/>
    <w:rsid w:val="00A321D6"/>
    <w:rsid w:val="00A41805"/>
    <w:rsid w:val="00A505C3"/>
    <w:rsid w:val="00A51882"/>
    <w:rsid w:val="00A52AFB"/>
    <w:rsid w:val="00A548CB"/>
    <w:rsid w:val="00A5521C"/>
    <w:rsid w:val="00A57D22"/>
    <w:rsid w:val="00A643E7"/>
    <w:rsid w:val="00A73C38"/>
    <w:rsid w:val="00A773C8"/>
    <w:rsid w:val="00A845D8"/>
    <w:rsid w:val="00A9255A"/>
    <w:rsid w:val="00A9562D"/>
    <w:rsid w:val="00A96948"/>
    <w:rsid w:val="00AB670D"/>
    <w:rsid w:val="00AB6E1A"/>
    <w:rsid w:val="00AC6539"/>
    <w:rsid w:val="00AD18DD"/>
    <w:rsid w:val="00AD43D8"/>
    <w:rsid w:val="00AF03C5"/>
    <w:rsid w:val="00AF0A08"/>
    <w:rsid w:val="00B000D8"/>
    <w:rsid w:val="00B00F75"/>
    <w:rsid w:val="00B012F9"/>
    <w:rsid w:val="00B145B6"/>
    <w:rsid w:val="00B157D9"/>
    <w:rsid w:val="00B219E7"/>
    <w:rsid w:val="00B22801"/>
    <w:rsid w:val="00B279EB"/>
    <w:rsid w:val="00B32D79"/>
    <w:rsid w:val="00B40D9C"/>
    <w:rsid w:val="00B45796"/>
    <w:rsid w:val="00B45F76"/>
    <w:rsid w:val="00B475B7"/>
    <w:rsid w:val="00B50C81"/>
    <w:rsid w:val="00B53034"/>
    <w:rsid w:val="00B5422B"/>
    <w:rsid w:val="00B557F8"/>
    <w:rsid w:val="00B71F70"/>
    <w:rsid w:val="00B72CF6"/>
    <w:rsid w:val="00B815FC"/>
    <w:rsid w:val="00B82BBE"/>
    <w:rsid w:val="00B82E00"/>
    <w:rsid w:val="00B83A1C"/>
    <w:rsid w:val="00B8597D"/>
    <w:rsid w:val="00B90796"/>
    <w:rsid w:val="00B93FBC"/>
    <w:rsid w:val="00B9441D"/>
    <w:rsid w:val="00B94CA1"/>
    <w:rsid w:val="00BA7DA0"/>
    <w:rsid w:val="00BB0FC2"/>
    <w:rsid w:val="00BB1659"/>
    <w:rsid w:val="00BB2EE4"/>
    <w:rsid w:val="00BB3044"/>
    <w:rsid w:val="00BB36C3"/>
    <w:rsid w:val="00BB4C92"/>
    <w:rsid w:val="00BB7A10"/>
    <w:rsid w:val="00BC2108"/>
    <w:rsid w:val="00BD0E9E"/>
    <w:rsid w:val="00BD1BEC"/>
    <w:rsid w:val="00BD32FF"/>
    <w:rsid w:val="00BD7809"/>
    <w:rsid w:val="00BE35CF"/>
    <w:rsid w:val="00BF23DA"/>
    <w:rsid w:val="00BF5336"/>
    <w:rsid w:val="00BF6FE9"/>
    <w:rsid w:val="00BF74DD"/>
    <w:rsid w:val="00C02092"/>
    <w:rsid w:val="00C035D0"/>
    <w:rsid w:val="00C07E9E"/>
    <w:rsid w:val="00C157D3"/>
    <w:rsid w:val="00C24ABA"/>
    <w:rsid w:val="00C24D91"/>
    <w:rsid w:val="00C26DB2"/>
    <w:rsid w:val="00C31FEC"/>
    <w:rsid w:val="00C3731C"/>
    <w:rsid w:val="00C41D6B"/>
    <w:rsid w:val="00C43619"/>
    <w:rsid w:val="00C47862"/>
    <w:rsid w:val="00C53F14"/>
    <w:rsid w:val="00C54692"/>
    <w:rsid w:val="00C600CF"/>
    <w:rsid w:val="00C6084F"/>
    <w:rsid w:val="00C615B1"/>
    <w:rsid w:val="00C62A66"/>
    <w:rsid w:val="00C66359"/>
    <w:rsid w:val="00C71458"/>
    <w:rsid w:val="00C77613"/>
    <w:rsid w:val="00C81C7B"/>
    <w:rsid w:val="00C828E7"/>
    <w:rsid w:val="00C82A0B"/>
    <w:rsid w:val="00C86719"/>
    <w:rsid w:val="00C921DD"/>
    <w:rsid w:val="00CA4639"/>
    <w:rsid w:val="00CA6391"/>
    <w:rsid w:val="00CC0138"/>
    <w:rsid w:val="00CC21EE"/>
    <w:rsid w:val="00CC68E1"/>
    <w:rsid w:val="00CE036E"/>
    <w:rsid w:val="00CE3171"/>
    <w:rsid w:val="00CE3EFE"/>
    <w:rsid w:val="00CF0D0D"/>
    <w:rsid w:val="00CF1601"/>
    <w:rsid w:val="00CF168A"/>
    <w:rsid w:val="00D01591"/>
    <w:rsid w:val="00D0172F"/>
    <w:rsid w:val="00D01E33"/>
    <w:rsid w:val="00D068A7"/>
    <w:rsid w:val="00D07AC3"/>
    <w:rsid w:val="00D17476"/>
    <w:rsid w:val="00D20BEC"/>
    <w:rsid w:val="00D22413"/>
    <w:rsid w:val="00D23F6B"/>
    <w:rsid w:val="00D32086"/>
    <w:rsid w:val="00D37A3F"/>
    <w:rsid w:val="00D428D4"/>
    <w:rsid w:val="00D4431D"/>
    <w:rsid w:val="00D4667A"/>
    <w:rsid w:val="00D63497"/>
    <w:rsid w:val="00D639C0"/>
    <w:rsid w:val="00D63A1C"/>
    <w:rsid w:val="00D71D4C"/>
    <w:rsid w:val="00D720C2"/>
    <w:rsid w:val="00D7516F"/>
    <w:rsid w:val="00D95D1D"/>
    <w:rsid w:val="00D95F8E"/>
    <w:rsid w:val="00D97200"/>
    <w:rsid w:val="00DA0590"/>
    <w:rsid w:val="00DA251E"/>
    <w:rsid w:val="00DC1739"/>
    <w:rsid w:val="00DC1788"/>
    <w:rsid w:val="00DC2E6C"/>
    <w:rsid w:val="00DC4FE0"/>
    <w:rsid w:val="00DD309F"/>
    <w:rsid w:val="00DD3D77"/>
    <w:rsid w:val="00DD51E9"/>
    <w:rsid w:val="00DE2DDE"/>
    <w:rsid w:val="00DE319C"/>
    <w:rsid w:val="00DE32D6"/>
    <w:rsid w:val="00DF0CA8"/>
    <w:rsid w:val="00DF2B48"/>
    <w:rsid w:val="00DF49A7"/>
    <w:rsid w:val="00E009D8"/>
    <w:rsid w:val="00E07EE2"/>
    <w:rsid w:val="00E07FD1"/>
    <w:rsid w:val="00E100F2"/>
    <w:rsid w:val="00E21938"/>
    <w:rsid w:val="00E235DF"/>
    <w:rsid w:val="00E24573"/>
    <w:rsid w:val="00E25E1E"/>
    <w:rsid w:val="00E27AF5"/>
    <w:rsid w:val="00E27EE7"/>
    <w:rsid w:val="00E32646"/>
    <w:rsid w:val="00E349EE"/>
    <w:rsid w:val="00E35404"/>
    <w:rsid w:val="00E362CB"/>
    <w:rsid w:val="00E45109"/>
    <w:rsid w:val="00E47B7A"/>
    <w:rsid w:val="00E54FDB"/>
    <w:rsid w:val="00E56A44"/>
    <w:rsid w:val="00E60269"/>
    <w:rsid w:val="00E82CF5"/>
    <w:rsid w:val="00E84F4B"/>
    <w:rsid w:val="00E90C6C"/>
    <w:rsid w:val="00E97830"/>
    <w:rsid w:val="00EA2D52"/>
    <w:rsid w:val="00EA57D6"/>
    <w:rsid w:val="00EB1A65"/>
    <w:rsid w:val="00EB268B"/>
    <w:rsid w:val="00EC2F14"/>
    <w:rsid w:val="00ED7EBC"/>
    <w:rsid w:val="00EE0830"/>
    <w:rsid w:val="00EE6CB8"/>
    <w:rsid w:val="00EF0683"/>
    <w:rsid w:val="00EF0831"/>
    <w:rsid w:val="00EF0E2C"/>
    <w:rsid w:val="00EF644F"/>
    <w:rsid w:val="00F0070C"/>
    <w:rsid w:val="00F00EB7"/>
    <w:rsid w:val="00F016D7"/>
    <w:rsid w:val="00F01A51"/>
    <w:rsid w:val="00F104D4"/>
    <w:rsid w:val="00F1710C"/>
    <w:rsid w:val="00F358CB"/>
    <w:rsid w:val="00F36AB6"/>
    <w:rsid w:val="00F37A09"/>
    <w:rsid w:val="00F409CE"/>
    <w:rsid w:val="00F4379D"/>
    <w:rsid w:val="00F50D2D"/>
    <w:rsid w:val="00F55FDC"/>
    <w:rsid w:val="00F56C8B"/>
    <w:rsid w:val="00F6003F"/>
    <w:rsid w:val="00F6175F"/>
    <w:rsid w:val="00F62639"/>
    <w:rsid w:val="00F6302B"/>
    <w:rsid w:val="00F66810"/>
    <w:rsid w:val="00F71BA7"/>
    <w:rsid w:val="00F72379"/>
    <w:rsid w:val="00F74385"/>
    <w:rsid w:val="00F756A7"/>
    <w:rsid w:val="00F84DF4"/>
    <w:rsid w:val="00F85C97"/>
    <w:rsid w:val="00F948FA"/>
    <w:rsid w:val="00FB0112"/>
    <w:rsid w:val="00FB2B71"/>
    <w:rsid w:val="00FB37D2"/>
    <w:rsid w:val="00FB6542"/>
    <w:rsid w:val="00FB7D93"/>
    <w:rsid w:val="00FC4EFB"/>
    <w:rsid w:val="00FD068D"/>
    <w:rsid w:val="00FD0A82"/>
    <w:rsid w:val="00FD1379"/>
    <w:rsid w:val="00FD2000"/>
    <w:rsid w:val="00FD4F28"/>
    <w:rsid w:val="00FE17DC"/>
    <w:rsid w:val="00FE6784"/>
    <w:rsid w:val="00FE6B46"/>
    <w:rsid w:val="00FE7A8B"/>
    <w:rsid w:val="00FF007E"/>
    <w:rsid w:val="00FF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0F2258"/>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Citation-AltC">
    <w:name w:val="Citation - Alt C"/>
    <w:uiPriority w:val="2"/>
    <w:qFormat/>
    <w:rsid w:val="0074480A"/>
    <w:pPr>
      <w:spacing w:after="720"/>
      <w:ind w:left="1166"/>
      <w:contextualSpacing/>
      <w:jc w:val="both"/>
    </w:pPr>
    <w:rPr>
      <w:sz w:val="24"/>
      <w:szCs w:val="24"/>
    </w:rPr>
  </w:style>
  <w:style w:type="paragraph" w:customStyle="1" w:styleId="SCCLsocOtherPartyRoleSeparator">
    <w:name w:val="SCC.Lsoc.OtherPartyRoleSeparator"/>
    <w:basedOn w:val="Normal"/>
    <w:next w:val="Normal"/>
    <w:link w:val="SCCLsocOtherPartyRoleSeparatorChar"/>
    <w:rsid w:val="000F225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F2258"/>
    <w:rPr>
      <w:rFonts w:eastAsiaTheme="minorHAnsi" w:cstheme="minorBidi"/>
      <w:sz w:val="24"/>
      <w:szCs w:val="22"/>
      <w:lang w:eastAsia="en-US"/>
    </w:rPr>
  </w:style>
  <w:style w:type="paragraph" w:customStyle="1" w:styleId="SCCCoram">
    <w:name w:val="SCC.Coram"/>
    <w:basedOn w:val="Normal"/>
    <w:next w:val="Normal"/>
    <w:link w:val="SCCCoramChar"/>
    <w:rsid w:val="000F225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F2258"/>
    <w:rPr>
      <w:rFonts w:eastAsiaTheme="minorHAnsi" w:cstheme="minorBidi"/>
      <w:sz w:val="24"/>
      <w:szCs w:val="22"/>
      <w:lang w:eastAsia="en-US"/>
    </w:rPr>
  </w:style>
  <w:style w:type="table" w:styleId="TableGrid">
    <w:name w:val="Table Grid"/>
    <w:basedOn w:val="TableNormal"/>
    <w:uiPriority w:val="59"/>
    <w:rsid w:val="000F225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0F2258"/>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0F2258"/>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0F225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F2258"/>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F2258"/>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0F2258"/>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0F2258"/>
    <w:pPr>
      <w:numPr>
        <w:ilvl w:val="3"/>
      </w:numPr>
      <w:tabs>
        <w:tab w:val="clear" w:pos="6912"/>
        <w:tab w:val="left" w:pos="1080"/>
        <w:tab w:val="num" w:pos="6048"/>
        <w:tab w:val="num" w:pos="64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0F2258"/>
    <w:pPr>
      <w:numPr>
        <w:ilvl w:val="4"/>
      </w:numPr>
      <w:tabs>
        <w:tab w:val="clear" w:pos="576"/>
        <w:tab w:val="left" w:pos="1620"/>
      </w:tabs>
      <w:ind w:left="1620" w:hanging="540"/>
    </w:pPr>
  </w:style>
  <w:style w:type="paragraph" w:styleId="TOC1">
    <w:name w:val="toc 1"/>
    <w:basedOn w:val="Normal"/>
    <w:next w:val="Normal"/>
    <w:autoRedefine/>
    <w:uiPriority w:val="39"/>
    <w:unhideWhenUsed/>
    <w:qFormat/>
    <w:rsid w:val="00BB0FC2"/>
    <w:pPr>
      <w:tabs>
        <w:tab w:val="left" w:pos="540"/>
        <w:tab w:val="right" w:leader="dot" w:pos="8270"/>
      </w:tabs>
      <w:spacing w:before="120" w:after="120"/>
      <w:ind w:left="540" w:hanging="540"/>
    </w:pPr>
    <w:rPr>
      <w:noProof/>
      <w:u w:val="single"/>
    </w:rPr>
  </w:style>
  <w:style w:type="paragraph" w:styleId="TOC2">
    <w:name w:val="toc 2"/>
    <w:basedOn w:val="Normal"/>
    <w:next w:val="Normal"/>
    <w:autoRedefine/>
    <w:uiPriority w:val="39"/>
    <w:unhideWhenUsed/>
    <w:qFormat/>
    <w:rsid w:val="00BB0FC2"/>
    <w:pPr>
      <w:tabs>
        <w:tab w:val="left" w:pos="540"/>
        <w:tab w:val="right" w:leader="dot" w:pos="8270"/>
      </w:tabs>
      <w:spacing w:before="120" w:after="120"/>
      <w:ind w:left="540" w:hanging="540"/>
    </w:pPr>
    <w:rPr>
      <w:i/>
      <w:szCs w:val="24"/>
    </w:rPr>
  </w:style>
  <w:style w:type="paragraph" w:styleId="TOC3">
    <w:name w:val="toc 3"/>
    <w:basedOn w:val="Normal"/>
    <w:next w:val="Normal"/>
    <w:autoRedefine/>
    <w:uiPriority w:val="39"/>
    <w:unhideWhenUsed/>
    <w:qFormat/>
    <w:rsid w:val="00BB0FC2"/>
    <w:pPr>
      <w:tabs>
        <w:tab w:val="left" w:pos="900"/>
        <w:tab w:val="right" w:leader="dot" w:pos="8270"/>
      </w:tabs>
      <w:spacing w:before="120" w:after="120"/>
      <w:ind w:left="540"/>
    </w:pPr>
    <w:rPr>
      <w:noProof/>
      <w:u w:val="single"/>
    </w:rPr>
  </w:style>
  <w:style w:type="paragraph" w:styleId="TOC4">
    <w:name w:val="toc 4"/>
    <w:basedOn w:val="Normal"/>
    <w:next w:val="Normal"/>
    <w:autoRedefine/>
    <w:uiPriority w:val="39"/>
    <w:unhideWhenUsed/>
    <w:rsid w:val="000F225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F225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F2258"/>
    <w:pPr>
      <w:tabs>
        <w:tab w:val="left" w:pos="2160"/>
        <w:tab w:val="right" w:leader="dot" w:pos="8270"/>
      </w:tabs>
      <w:spacing w:after="100"/>
      <w:ind w:left="1800"/>
    </w:pPr>
    <w:rPr>
      <w:noProof/>
    </w:rPr>
  </w:style>
  <w:style w:type="table" w:customStyle="1" w:styleId="TableGrid1">
    <w:name w:val="Table Grid1"/>
    <w:basedOn w:val="TableNormal"/>
    <w:uiPriority w:val="59"/>
    <w:rsid w:val="000F225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F2258"/>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0F2258"/>
    <w:rPr>
      <w:color w:val="0000FF" w:themeColor="hyperlink"/>
      <w:u w:val="single"/>
    </w:rPr>
  </w:style>
  <w:style w:type="character" w:customStyle="1" w:styleId="italic1">
    <w:name w:val="italic1"/>
    <w:basedOn w:val="DefaultParagraphFont"/>
    <w:rsid w:val="000F2258"/>
    <w:rPr>
      <w:i/>
      <w:iCs/>
    </w:rPr>
  </w:style>
  <w:style w:type="character" w:customStyle="1" w:styleId="CommentTextChar">
    <w:name w:val="Comment Text Char"/>
    <w:basedOn w:val="DefaultParagraphFont"/>
    <w:link w:val="CommentText"/>
    <w:uiPriority w:val="99"/>
    <w:semiHidden/>
    <w:rsid w:val="000F2258"/>
  </w:style>
  <w:style w:type="paragraph" w:styleId="CommentText">
    <w:name w:val="annotation text"/>
    <w:basedOn w:val="Normal"/>
    <w:link w:val="CommentTextChar"/>
    <w:uiPriority w:val="99"/>
    <w:semiHidden/>
    <w:unhideWhenUsed/>
    <w:rsid w:val="000F2258"/>
    <w:rPr>
      <w:sz w:val="20"/>
    </w:rPr>
  </w:style>
  <w:style w:type="character" w:customStyle="1" w:styleId="CommentSubjectChar">
    <w:name w:val="Comment Subject Char"/>
    <w:basedOn w:val="CommentTextChar"/>
    <w:link w:val="CommentSubject"/>
    <w:uiPriority w:val="99"/>
    <w:semiHidden/>
    <w:rsid w:val="000F2258"/>
    <w:rPr>
      <w:b/>
      <w:bCs/>
    </w:rPr>
  </w:style>
  <w:style w:type="paragraph" w:styleId="CommentSubject">
    <w:name w:val="annotation subject"/>
    <w:basedOn w:val="CommentText"/>
    <w:next w:val="CommentText"/>
    <w:link w:val="CommentSubjectChar"/>
    <w:uiPriority w:val="99"/>
    <w:semiHidden/>
    <w:unhideWhenUsed/>
    <w:rsid w:val="000F2258"/>
    <w:rPr>
      <w:b/>
      <w:bCs/>
    </w:rPr>
  </w:style>
  <w:style w:type="paragraph" w:customStyle="1" w:styleId="loose">
    <w:name w:val="loose"/>
    <w:basedOn w:val="Normal"/>
    <w:rsid w:val="000F2258"/>
    <w:pPr>
      <w:spacing w:before="175"/>
    </w:pPr>
    <w:rPr>
      <w:szCs w:val="24"/>
      <w:lang w:val="en-US" w:eastAsia="en-US"/>
    </w:rPr>
  </w:style>
  <w:style w:type="paragraph" w:styleId="TOCHeading">
    <w:name w:val="TOC Heading"/>
    <w:basedOn w:val="Heading1"/>
    <w:next w:val="Normal"/>
    <w:uiPriority w:val="39"/>
    <w:unhideWhenUsed/>
    <w:qFormat/>
    <w:rsid w:val="000F2258"/>
    <w:pPr>
      <w:spacing w:before="480" w:after="0" w:line="276" w:lineRule="auto"/>
      <w:ind w:left="0" w:firstLine="0"/>
      <w:outlineLvl w:val="9"/>
    </w:pPr>
    <w:rPr>
      <w:lang w:val="en-US" w:eastAsia="en-US"/>
    </w:rPr>
  </w:style>
  <w:style w:type="character" w:customStyle="1" w:styleId="SCCLsocPartyRoleChar">
    <w:name w:val="SCC.Lsoc.PartyRole Char"/>
    <w:basedOn w:val="DefaultParagraphFont"/>
    <w:rsid w:val="00736956"/>
    <w:rPr>
      <w:lang w:val="fr-CA"/>
    </w:rPr>
  </w:style>
  <w:style w:type="paragraph" w:customStyle="1" w:styleId="SCCLsocPrefix">
    <w:name w:val="SCC.Lsoc.Prefix"/>
    <w:basedOn w:val="Normal"/>
    <w:next w:val="Normal"/>
    <w:link w:val="SCCLsocPrefixChar"/>
    <w:rsid w:val="0073695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3695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4268">
      <w:bodyDiv w:val="1"/>
      <w:marLeft w:val="0"/>
      <w:marRight w:val="0"/>
      <w:marTop w:val="0"/>
      <w:marBottom w:val="0"/>
      <w:divBdr>
        <w:top w:val="none" w:sz="0" w:space="0" w:color="auto"/>
        <w:left w:val="none" w:sz="0" w:space="0" w:color="auto"/>
        <w:bottom w:val="none" w:sz="0" w:space="0" w:color="auto"/>
        <w:right w:val="none" w:sz="0" w:space="0" w:color="auto"/>
      </w:divBdr>
      <w:divsChild>
        <w:div w:id="1823502277">
          <w:marLeft w:val="0"/>
          <w:marRight w:val="0"/>
          <w:marTop w:val="100"/>
          <w:marBottom w:val="100"/>
          <w:divBdr>
            <w:top w:val="none" w:sz="0" w:space="0" w:color="auto"/>
            <w:left w:val="none" w:sz="0" w:space="0" w:color="auto"/>
            <w:bottom w:val="none" w:sz="0" w:space="0" w:color="auto"/>
            <w:right w:val="none" w:sz="0" w:space="0" w:color="auto"/>
          </w:divBdr>
          <w:divsChild>
            <w:div w:id="1090388875">
              <w:marLeft w:val="0"/>
              <w:marRight w:val="0"/>
              <w:marTop w:val="0"/>
              <w:marBottom w:val="0"/>
              <w:divBdr>
                <w:top w:val="none" w:sz="0" w:space="0" w:color="auto"/>
                <w:left w:val="none" w:sz="0" w:space="0" w:color="auto"/>
                <w:bottom w:val="none" w:sz="0" w:space="0" w:color="auto"/>
                <w:right w:val="none" w:sz="0" w:space="0" w:color="auto"/>
              </w:divBdr>
              <w:divsChild>
                <w:div w:id="1178080803">
                  <w:marLeft w:val="0"/>
                  <w:marRight w:val="0"/>
                  <w:marTop w:val="0"/>
                  <w:marBottom w:val="400"/>
                  <w:divBdr>
                    <w:top w:val="none" w:sz="0" w:space="0" w:color="auto"/>
                    <w:left w:val="none" w:sz="0" w:space="0" w:color="auto"/>
                    <w:bottom w:val="none" w:sz="0" w:space="0" w:color="auto"/>
                    <w:right w:val="none" w:sz="0" w:space="0" w:color="auto"/>
                  </w:divBdr>
                  <w:divsChild>
                    <w:div w:id="491339869">
                      <w:marLeft w:val="72"/>
                      <w:marRight w:val="72"/>
                      <w:marTop w:val="0"/>
                      <w:marBottom w:val="0"/>
                      <w:divBdr>
                        <w:top w:val="none" w:sz="0" w:space="0" w:color="auto"/>
                        <w:left w:val="none" w:sz="0" w:space="0" w:color="auto"/>
                        <w:bottom w:val="none" w:sz="0" w:space="0" w:color="auto"/>
                        <w:right w:val="none" w:sz="0" w:space="0" w:color="auto"/>
                      </w:divBdr>
                      <w:divsChild>
                        <w:div w:id="19547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A9E9D-571C-42F9-AB45-BC4C785D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21892</Words>
  <Characters>119773</Characters>
  <Application>Microsoft Office Word</Application>
  <DocSecurity>0</DocSecurity>
  <Lines>998</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2021-04-22T21:39:00Z</dcterms:created>
  <dcterms:modified xsi:type="dcterms:W3CDTF">2021-04-22T21:39:00Z</dcterms:modified>
</cp:coreProperties>
</file>