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FC" w:rsidRDefault="00657FFC" w:rsidP="00657FFC">
      <w:pPr>
        <w:pStyle w:val="Header"/>
      </w:pPr>
      <w:r>
        <w:ptab w:relativeTo="margin" w:alignment="center" w:leader="none"/>
      </w:r>
      <w:r w:rsidRPr="00F72014">
        <w:t xml:space="preserve"> </w:t>
      </w:r>
      <w:r>
        <w:object w:dxaOrig="1365" w:dyaOrig="1440">
          <v:shape id="_x0000_i1027" type="#_x0000_t75" style="width:61.85pt;height:64.6pt" o:ole="">
            <v:imagedata r:id="rId8" o:title=""/>
          </v:shape>
          <o:OLEObject Type="Embed" ProgID="Presentations.Drawing.13" ShapeID="_x0000_i1027" DrawAspect="Content" ObjectID="_1485341464" r:id="rId9"/>
        </w:object>
      </w:r>
      <w:r>
        <w:t xml:space="preserve"> </w:t>
      </w:r>
      <w:r>
        <w:ptab w:relativeTo="margin" w:alignment="right" w:leader="none"/>
      </w:r>
    </w:p>
    <w:p w:rsidR="00657FFC" w:rsidRDefault="00657FFC" w:rsidP="00657FFC">
      <w:pPr>
        <w:pStyle w:val="Header"/>
      </w:pPr>
    </w:p>
    <w:p w:rsidR="00657FFC" w:rsidRPr="001E12E2" w:rsidRDefault="00657FFC" w:rsidP="00657FFC">
      <w:pPr>
        <w:jc w:val="center"/>
        <w:rPr>
          <w:b/>
        </w:rPr>
      </w:pPr>
      <w:r w:rsidRPr="001E12E2">
        <w:rPr>
          <w:b/>
        </w:rPr>
        <w:t>COUR SUPRÊME DU CANADA</w:t>
      </w:r>
    </w:p>
    <w:p w:rsidR="00657FFC" w:rsidRDefault="00657FFC" w:rsidP="00657FF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57FFC" w:rsidRPr="001E12E2" w:rsidTr="007A78A3">
        <w:trPr>
          <w:cantSplit/>
        </w:trPr>
        <w:tc>
          <w:tcPr>
            <w:tcW w:w="6768" w:type="dxa"/>
          </w:tcPr>
          <w:p w:rsidR="00657FFC" w:rsidRPr="00657FFC" w:rsidRDefault="00657FFC" w:rsidP="00135AFC">
            <w:pPr>
              <w:rPr>
                <w:lang w:val="fr-CA"/>
              </w:rPr>
            </w:pPr>
            <w:r w:rsidRPr="00657FFC">
              <w:rPr>
                <w:b/>
                <w:smallCaps/>
                <w:lang w:val="fr-CA"/>
              </w:rPr>
              <w:t>Référence :</w:t>
            </w:r>
            <w:r w:rsidRPr="00657FFC">
              <w:rPr>
                <w:lang w:val="fr-CA"/>
              </w:rPr>
              <w:t xml:space="preserve"> R. </w:t>
            </w:r>
            <w:r w:rsidRPr="00657FFC">
              <w:rPr>
                <w:i/>
                <w:lang w:val="fr-CA"/>
              </w:rPr>
              <w:t>c.</w:t>
            </w:r>
            <w:r w:rsidRPr="00657FFC">
              <w:rPr>
                <w:lang w:val="fr-CA"/>
              </w:rPr>
              <w:t xml:space="preserve"> Sipos, 2014 CSC 47</w:t>
            </w:r>
            <w:r w:rsidR="00135AFC">
              <w:rPr>
                <w:lang w:val="fr-CA"/>
              </w:rPr>
              <w:t>, [2014] 2 R.C.S. 423</w:t>
            </w:r>
          </w:p>
        </w:tc>
        <w:tc>
          <w:tcPr>
            <w:tcW w:w="2808" w:type="dxa"/>
          </w:tcPr>
          <w:p w:rsidR="00657FFC" w:rsidRPr="001E12E2" w:rsidRDefault="00657FFC" w:rsidP="007A78A3">
            <w:r w:rsidRPr="001E12E2">
              <w:rPr>
                <w:b/>
                <w:smallCaps/>
              </w:rPr>
              <w:t>Date</w:t>
            </w:r>
            <w:r>
              <w:rPr>
                <w:b/>
                <w:smallCaps/>
              </w:rPr>
              <w:t> :</w:t>
            </w:r>
            <w:r w:rsidRPr="001E12E2">
              <w:t xml:space="preserve"> </w:t>
            </w:r>
            <w:r>
              <w:t>20140710</w:t>
            </w:r>
          </w:p>
          <w:p w:rsidR="00657FFC" w:rsidRPr="001E12E2" w:rsidRDefault="00657FFC" w:rsidP="007A78A3">
            <w:r w:rsidRPr="001E12E2">
              <w:rPr>
                <w:b/>
                <w:smallCaps/>
              </w:rPr>
              <w:t>Do</w:t>
            </w:r>
            <w:r>
              <w:rPr>
                <w:b/>
                <w:smallCaps/>
              </w:rPr>
              <w:t>ssier :</w:t>
            </w:r>
            <w:r w:rsidRPr="001E12E2">
              <w:t xml:space="preserve"> </w:t>
            </w:r>
            <w:r>
              <w:t>35310</w:t>
            </w:r>
          </w:p>
        </w:tc>
      </w:tr>
    </w:tbl>
    <w:p w:rsidR="00657FFC" w:rsidRPr="001E12E2" w:rsidRDefault="00657FFC" w:rsidP="00657FFC"/>
    <w:p w:rsidR="00657FFC" w:rsidRDefault="00657FFC" w:rsidP="00657FFC">
      <w:pPr>
        <w:pStyle w:val="SCCLsocPrefix"/>
      </w:pPr>
      <w:r>
        <w:t>Entre :</w:t>
      </w:r>
    </w:p>
    <w:p w:rsidR="00657FFC" w:rsidRPr="00D86586" w:rsidRDefault="00657FFC" w:rsidP="005A0D11">
      <w:pPr>
        <w:pStyle w:val="SCCLsocParty"/>
        <w:spacing w:after="0"/>
        <w:jc w:val="center"/>
        <w:rPr>
          <w:b/>
        </w:rPr>
      </w:pPr>
      <w:r w:rsidRPr="00D86586">
        <w:rPr>
          <w:b/>
        </w:rPr>
        <w:t xml:space="preserve">James Peter </w:t>
      </w:r>
      <w:proofErr w:type="spellStart"/>
      <w:r w:rsidRPr="00D86586">
        <w:rPr>
          <w:b/>
        </w:rPr>
        <w:t>Sipos</w:t>
      </w:r>
      <w:proofErr w:type="spellEnd"/>
    </w:p>
    <w:p w:rsidR="00657FFC" w:rsidRDefault="00657FFC" w:rsidP="005A0D11">
      <w:pPr>
        <w:jc w:val="center"/>
      </w:pPr>
      <w:proofErr w:type="spellStart"/>
      <w:r>
        <w:t>Appelant</w:t>
      </w:r>
      <w:proofErr w:type="spellEnd"/>
    </w:p>
    <w:p w:rsidR="00657FFC" w:rsidRPr="005A0D11" w:rsidRDefault="00657FFC" w:rsidP="005A0D11">
      <w:pPr>
        <w:pStyle w:val="SCCLsocVersus"/>
        <w:spacing w:after="0"/>
        <w:jc w:val="center"/>
        <w:rPr>
          <w:i w:val="0"/>
        </w:rPr>
      </w:pPr>
      <w:proofErr w:type="gramStart"/>
      <w:r w:rsidRPr="005A0D11">
        <w:rPr>
          <w:i w:val="0"/>
        </w:rPr>
        <w:t>et</w:t>
      </w:r>
      <w:proofErr w:type="gramEnd"/>
    </w:p>
    <w:p w:rsidR="00657FFC" w:rsidRPr="00D86586" w:rsidRDefault="00657FFC" w:rsidP="005A0D11">
      <w:pPr>
        <w:pStyle w:val="SCCLsocParty"/>
        <w:spacing w:after="0"/>
        <w:jc w:val="center"/>
        <w:rPr>
          <w:b/>
        </w:rPr>
      </w:pPr>
      <w:r w:rsidRPr="00D86586">
        <w:rPr>
          <w:b/>
        </w:rPr>
        <w:t xml:space="preserve">Sa </w:t>
      </w:r>
      <w:proofErr w:type="spellStart"/>
      <w:r w:rsidRPr="00D86586">
        <w:rPr>
          <w:b/>
        </w:rPr>
        <w:t>Majesté</w:t>
      </w:r>
      <w:proofErr w:type="spellEnd"/>
      <w:r w:rsidRPr="00D86586">
        <w:rPr>
          <w:b/>
        </w:rPr>
        <w:t xml:space="preserve"> la </w:t>
      </w:r>
      <w:proofErr w:type="spellStart"/>
      <w:r w:rsidRPr="00D86586">
        <w:rPr>
          <w:b/>
        </w:rPr>
        <w:t>Reine</w:t>
      </w:r>
      <w:proofErr w:type="spellEnd"/>
    </w:p>
    <w:p w:rsidR="00657FFC" w:rsidRDefault="00657FFC" w:rsidP="005A0D11">
      <w:pPr>
        <w:jc w:val="center"/>
      </w:pPr>
      <w:proofErr w:type="spellStart"/>
      <w:r>
        <w:t>Intimée</w:t>
      </w:r>
      <w:proofErr w:type="spellEnd"/>
    </w:p>
    <w:p w:rsidR="00657FFC" w:rsidRDefault="00657FFC" w:rsidP="005A0D11">
      <w:pPr>
        <w:pStyle w:val="SCCLsocOtherPartySeparator"/>
        <w:spacing w:after="0"/>
        <w:jc w:val="center"/>
      </w:pPr>
      <w:r>
        <w:t xml:space="preserve">- </w:t>
      </w:r>
      <w:proofErr w:type="gramStart"/>
      <w:r>
        <w:t>et</w:t>
      </w:r>
      <w:proofErr w:type="gramEnd"/>
      <w:r>
        <w:t xml:space="preserve"> -</w:t>
      </w:r>
    </w:p>
    <w:p w:rsidR="00657FFC" w:rsidRPr="00D86586" w:rsidRDefault="00657FFC" w:rsidP="005A0D11">
      <w:pPr>
        <w:pStyle w:val="SCCLsocParty"/>
        <w:spacing w:after="0"/>
        <w:jc w:val="center"/>
        <w:rPr>
          <w:b/>
          <w:lang w:val="fr-CA"/>
        </w:rPr>
      </w:pPr>
      <w:proofErr w:type="spellStart"/>
      <w:r w:rsidRPr="00D86586">
        <w:rPr>
          <w:b/>
          <w:lang w:val="fr-CA"/>
        </w:rPr>
        <w:t>Criminal</w:t>
      </w:r>
      <w:proofErr w:type="spellEnd"/>
      <w:r w:rsidRPr="00D86586">
        <w:rPr>
          <w:b/>
          <w:lang w:val="fr-CA"/>
        </w:rPr>
        <w:t xml:space="preserve"> </w:t>
      </w:r>
      <w:proofErr w:type="spellStart"/>
      <w:r w:rsidRPr="00D86586">
        <w:rPr>
          <w:b/>
          <w:lang w:val="fr-CA"/>
        </w:rPr>
        <w:t>Lawyers</w:t>
      </w:r>
      <w:proofErr w:type="spellEnd"/>
      <w:r w:rsidRPr="00D86586">
        <w:rPr>
          <w:b/>
          <w:lang w:val="fr-CA"/>
        </w:rPr>
        <w:t>’ Association (Ontario)</w:t>
      </w:r>
    </w:p>
    <w:p w:rsidR="00657FFC" w:rsidRPr="00657FFC" w:rsidRDefault="00657FFC" w:rsidP="005A0D11">
      <w:pPr>
        <w:jc w:val="center"/>
        <w:rPr>
          <w:lang w:val="fr-CA"/>
        </w:rPr>
      </w:pPr>
      <w:r w:rsidRPr="00657FFC">
        <w:rPr>
          <w:lang w:val="fr-CA"/>
        </w:rPr>
        <w:t>Intervenante</w:t>
      </w:r>
    </w:p>
    <w:p w:rsidR="00657FFC" w:rsidRPr="00657FFC" w:rsidRDefault="00657FFC" w:rsidP="00657FFC">
      <w:pPr>
        <w:rPr>
          <w:lang w:val="fr-CA"/>
        </w:rPr>
      </w:pPr>
    </w:p>
    <w:p w:rsidR="00657FFC" w:rsidRPr="00657FFC" w:rsidRDefault="00657FFC" w:rsidP="00657FFC">
      <w:pPr>
        <w:jc w:val="center"/>
        <w:rPr>
          <w:b/>
          <w:smallCaps/>
          <w:lang w:val="fr-CA"/>
        </w:rPr>
      </w:pPr>
      <w:r w:rsidRPr="00657FFC">
        <w:rPr>
          <w:b/>
          <w:smallCaps/>
          <w:lang w:val="fr-CA"/>
        </w:rPr>
        <w:t>Traduction française officielle</w:t>
      </w:r>
    </w:p>
    <w:p w:rsidR="00657FFC" w:rsidRPr="00657FFC" w:rsidRDefault="00657FFC" w:rsidP="00657FFC">
      <w:pPr>
        <w:rPr>
          <w:lang w:val="fr-CA"/>
        </w:rPr>
      </w:pPr>
    </w:p>
    <w:p w:rsidR="00657FFC" w:rsidRPr="001E12E2" w:rsidRDefault="00657FFC" w:rsidP="00657FFC">
      <w:proofErr w:type="gramStart"/>
      <w:r w:rsidRPr="001E12E2">
        <w:rPr>
          <w:b/>
          <w:smallCaps/>
        </w:rPr>
        <w:t>Coram</w:t>
      </w:r>
      <w:r>
        <w:rPr>
          <w:b/>
          <w:smallCaps/>
        </w:rPr>
        <w:t> :</w:t>
      </w:r>
      <w:proofErr w:type="gramEnd"/>
      <w:r w:rsidRPr="001E12E2">
        <w:t xml:space="preserve"> </w:t>
      </w:r>
      <w:r>
        <w:t xml:space="preserve">Les </w:t>
      </w:r>
      <w:proofErr w:type="spellStart"/>
      <w:r>
        <w:t>juges</w:t>
      </w:r>
      <w:proofErr w:type="spellEnd"/>
      <w:r>
        <w:t xml:space="preserve">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rsidRPr="00EE3855">
        <w:t>Karakatsanis</w:t>
      </w:r>
      <w:proofErr w:type="spellEnd"/>
      <w:r>
        <w:t xml:space="preserve"> et Wagner</w:t>
      </w:r>
    </w:p>
    <w:p w:rsidR="00657FFC" w:rsidRPr="001E12E2" w:rsidRDefault="00657FFC" w:rsidP="00657F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57FFC" w:rsidRPr="00D86586" w:rsidTr="007A78A3">
        <w:trPr>
          <w:cantSplit/>
        </w:trPr>
        <w:tc>
          <w:tcPr>
            <w:tcW w:w="3618" w:type="dxa"/>
          </w:tcPr>
          <w:p w:rsidR="00657FFC" w:rsidRPr="00657FFC" w:rsidRDefault="00657FFC" w:rsidP="007A78A3">
            <w:pPr>
              <w:rPr>
                <w:b/>
                <w:smallCaps/>
                <w:lang w:val="fr-CA"/>
              </w:rPr>
            </w:pPr>
            <w:r w:rsidRPr="00657FFC">
              <w:rPr>
                <w:b/>
                <w:smallCaps/>
                <w:lang w:val="fr-CA"/>
              </w:rPr>
              <w:t>Motifs de jugement :</w:t>
            </w:r>
          </w:p>
          <w:p w:rsidR="00657FFC" w:rsidRPr="00657FFC" w:rsidRDefault="00657FFC" w:rsidP="007A78A3">
            <w:pPr>
              <w:rPr>
                <w:lang w:val="fr-CA"/>
              </w:rPr>
            </w:pPr>
            <w:r w:rsidRPr="00657FFC">
              <w:rPr>
                <w:lang w:val="fr-CA"/>
              </w:rPr>
              <w:t>(par. 1 à 51)</w:t>
            </w:r>
          </w:p>
        </w:tc>
        <w:tc>
          <w:tcPr>
            <w:tcW w:w="5958" w:type="dxa"/>
          </w:tcPr>
          <w:p w:rsidR="00657FFC" w:rsidRPr="00657FFC" w:rsidRDefault="00657FFC" w:rsidP="007A78A3">
            <w:pPr>
              <w:rPr>
                <w:lang w:val="fr-CA"/>
              </w:rPr>
            </w:pPr>
            <w:r w:rsidRPr="00657FFC">
              <w:rPr>
                <w:lang w:val="fr-CA"/>
              </w:rPr>
              <w:t xml:space="preserve">Le juge Cromwell (avec l’accord des juges </w:t>
            </w:r>
            <w:proofErr w:type="spellStart"/>
            <w:r w:rsidRPr="00657FFC">
              <w:rPr>
                <w:lang w:val="fr-CA"/>
              </w:rPr>
              <w:t>LeBel</w:t>
            </w:r>
            <w:proofErr w:type="spellEnd"/>
            <w:r w:rsidRPr="00657FFC">
              <w:rPr>
                <w:lang w:val="fr-CA"/>
              </w:rPr>
              <w:t xml:space="preserve">, Abella, </w:t>
            </w:r>
            <w:proofErr w:type="spellStart"/>
            <w:r w:rsidRPr="00657FFC">
              <w:rPr>
                <w:lang w:val="fr-CA"/>
              </w:rPr>
              <w:t>Rothstein</w:t>
            </w:r>
            <w:proofErr w:type="spellEnd"/>
            <w:r w:rsidRPr="00657FFC">
              <w:rPr>
                <w:lang w:val="fr-CA"/>
              </w:rPr>
              <w:t xml:space="preserve">, </w:t>
            </w:r>
            <w:proofErr w:type="spellStart"/>
            <w:r w:rsidRPr="00657FFC">
              <w:rPr>
                <w:lang w:val="fr-CA"/>
              </w:rPr>
              <w:t>Moldaver</w:t>
            </w:r>
            <w:proofErr w:type="spellEnd"/>
            <w:r w:rsidRPr="00657FFC">
              <w:rPr>
                <w:lang w:val="fr-CA"/>
              </w:rPr>
              <w:t xml:space="preserve">, </w:t>
            </w:r>
            <w:proofErr w:type="spellStart"/>
            <w:r w:rsidRPr="00657FFC">
              <w:rPr>
                <w:lang w:val="fr-CA"/>
              </w:rPr>
              <w:t>Karakatsanis</w:t>
            </w:r>
            <w:proofErr w:type="spellEnd"/>
            <w:r w:rsidRPr="00657FFC">
              <w:rPr>
                <w:lang w:val="fr-CA"/>
              </w:rPr>
              <w:t xml:space="preserve"> et Wagner)</w:t>
            </w:r>
          </w:p>
        </w:tc>
      </w:tr>
    </w:tbl>
    <w:p w:rsidR="00657FFC" w:rsidRPr="00657FFC" w:rsidRDefault="00657FFC" w:rsidP="00657FFC">
      <w:pPr>
        <w:rPr>
          <w:lang w:val="fr-CA"/>
        </w:rPr>
      </w:pPr>
    </w:p>
    <w:p w:rsidR="00657FFC" w:rsidRPr="00657FFC" w:rsidRDefault="00657FFC" w:rsidP="00657FFC">
      <w:pPr>
        <w:rPr>
          <w:lang w:val="fr-CA"/>
        </w:rPr>
      </w:pPr>
    </w:p>
    <w:p w:rsidR="00657FFC" w:rsidRPr="00657FFC" w:rsidRDefault="00494776" w:rsidP="00657FFC">
      <w:pPr>
        <w:rPr>
          <w:lang w:val="fr-CA"/>
        </w:rPr>
      </w:pPr>
      <w:r w:rsidRPr="00494776">
        <w:rPr>
          <w:noProof/>
          <w:lang w:val="fr-CA"/>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 o:connectortype="straight"/>
        </w:pict>
      </w:r>
    </w:p>
    <w:p w:rsidR="00657FFC" w:rsidRDefault="00657FFC" w:rsidP="0017725D">
      <w:pPr>
        <w:spacing w:after="480" w:line="480" w:lineRule="auto"/>
        <w:jc w:val="both"/>
        <w:rPr>
          <w:rStyle w:val="SCCAppellantForRunningHeadChar"/>
          <w:lang w:val="fr-CA"/>
        </w:rPr>
      </w:pPr>
    </w:p>
    <w:p w:rsidR="004E538E" w:rsidRPr="00DE7EDE" w:rsidRDefault="004E538E" w:rsidP="0017725D">
      <w:pPr>
        <w:spacing w:after="480" w:line="480" w:lineRule="auto"/>
        <w:jc w:val="both"/>
        <w:rPr>
          <w:lang w:val="fr-CA"/>
        </w:rPr>
      </w:pPr>
      <w:r w:rsidRPr="00DE7EDE">
        <w:rPr>
          <w:rStyle w:val="SCCAppellantForRunningHeadChar"/>
          <w:lang w:val="fr-CA"/>
        </w:rPr>
        <w:t>r.</w:t>
      </w:r>
      <w:r w:rsidRPr="00DE7EDE">
        <w:rPr>
          <w:lang w:val="fr-CA"/>
        </w:rPr>
        <w:t xml:space="preserve"> </w:t>
      </w:r>
      <w:r w:rsidRPr="00DE7EDE">
        <w:rPr>
          <w:i/>
          <w:lang w:val="fr-CA"/>
        </w:rPr>
        <w:t>c.</w:t>
      </w:r>
      <w:r w:rsidRPr="00DE7EDE">
        <w:rPr>
          <w:lang w:val="fr-CA"/>
        </w:rPr>
        <w:t xml:space="preserve"> </w:t>
      </w:r>
      <w:r w:rsidRPr="00DE7EDE">
        <w:rPr>
          <w:rStyle w:val="SCCRespondentForRunningHeadChar"/>
          <w:lang w:val="fr-CA"/>
        </w:rPr>
        <w:t>sipos</w:t>
      </w:r>
      <w:r w:rsidR="0061071A">
        <w:rPr>
          <w:rStyle w:val="SCCRespondentForRunningHeadChar"/>
          <w:lang w:val="fr-CA"/>
        </w:rPr>
        <w:t xml:space="preserve">, </w:t>
      </w:r>
      <w:r w:rsidR="0061071A" w:rsidRPr="00DE7EDE">
        <w:rPr>
          <w:lang w:val="fr-CA"/>
        </w:rPr>
        <w:t>2014 CSC</w:t>
      </w:r>
      <w:r w:rsidR="0061071A">
        <w:rPr>
          <w:lang w:val="fr-CA"/>
        </w:rPr>
        <w:t xml:space="preserve"> </w:t>
      </w:r>
      <w:r w:rsidR="0061071A" w:rsidRPr="00DE7EDE">
        <w:rPr>
          <w:lang w:val="fr-CA"/>
        </w:rPr>
        <w:t>47</w:t>
      </w:r>
      <w:r w:rsidR="0061071A">
        <w:rPr>
          <w:lang w:val="fr-CA"/>
        </w:rPr>
        <w:t>, [2014] 2 R.C.S. 423</w:t>
      </w:r>
    </w:p>
    <w:p w:rsidR="004E538E" w:rsidRPr="00DE7EDE" w:rsidRDefault="004E538E" w:rsidP="0017725D">
      <w:pPr>
        <w:pStyle w:val="SCCLsocLastPartyInRole"/>
        <w:rPr>
          <w:lang w:val="fr-CA"/>
        </w:rPr>
      </w:pPr>
      <w:r w:rsidRPr="00DE7EDE">
        <w:rPr>
          <w:lang w:val="fr-CA"/>
        </w:rPr>
        <w:t>James Peter Sipos</w:t>
      </w:r>
      <w:r w:rsidRPr="00DE7EDE">
        <w:rPr>
          <w:rStyle w:val="SCCLsocPartyRole"/>
          <w:lang w:val="fr-CA"/>
        </w:rPr>
        <w:tab/>
        <w:t>Appelant</w:t>
      </w:r>
    </w:p>
    <w:p w:rsidR="004E538E" w:rsidRPr="00DE7EDE" w:rsidRDefault="004E538E" w:rsidP="0017725D">
      <w:pPr>
        <w:pStyle w:val="SCCLsocVersus"/>
        <w:rPr>
          <w:lang w:val="fr-CA"/>
        </w:rPr>
      </w:pPr>
      <w:proofErr w:type="gramStart"/>
      <w:r w:rsidRPr="00DE7EDE">
        <w:rPr>
          <w:lang w:val="fr-CA"/>
        </w:rPr>
        <w:t>c</w:t>
      </w:r>
      <w:proofErr w:type="gramEnd"/>
      <w:r w:rsidRPr="00DE7EDE">
        <w:rPr>
          <w:lang w:val="fr-CA"/>
        </w:rPr>
        <w:t>.</w:t>
      </w:r>
    </w:p>
    <w:p w:rsidR="004E538E" w:rsidRPr="00DE7EDE" w:rsidRDefault="004E538E" w:rsidP="0017725D">
      <w:pPr>
        <w:pStyle w:val="SCCLsocLastPartyInRole"/>
        <w:rPr>
          <w:lang w:val="fr-CA"/>
        </w:rPr>
      </w:pPr>
      <w:r w:rsidRPr="00DE7EDE">
        <w:rPr>
          <w:lang w:val="fr-CA"/>
        </w:rPr>
        <w:t>Sa Majesté la Reine</w:t>
      </w:r>
      <w:r w:rsidRPr="00DE7EDE">
        <w:rPr>
          <w:rStyle w:val="SCCLsocPartyRole"/>
          <w:lang w:val="fr-CA"/>
        </w:rPr>
        <w:tab/>
        <w:t>Intimée</w:t>
      </w:r>
    </w:p>
    <w:p w:rsidR="004E538E" w:rsidRPr="00DE7EDE" w:rsidRDefault="004E538E" w:rsidP="0017725D">
      <w:pPr>
        <w:pStyle w:val="SCCLsocOtherPartySeparator"/>
        <w:rPr>
          <w:lang w:val="fr-CA"/>
        </w:rPr>
      </w:pPr>
      <w:proofErr w:type="gramStart"/>
      <w:r w:rsidRPr="00DE7EDE">
        <w:rPr>
          <w:lang w:val="fr-CA"/>
        </w:rPr>
        <w:lastRenderedPageBreak/>
        <w:t>et</w:t>
      </w:r>
      <w:proofErr w:type="gramEnd"/>
    </w:p>
    <w:p w:rsidR="004E538E" w:rsidRPr="00DE7EDE" w:rsidRDefault="004E538E" w:rsidP="0017725D">
      <w:pPr>
        <w:pStyle w:val="SCCLsocLastPartyInRole"/>
        <w:rPr>
          <w:lang w:val="fr-CA"/>
        </w:rPr>
      </w:pPr>
      <w:proofErr w:type="spellStart"/>
      <w:r w:rsidRPr="00DE7EDE">
        <w:rPr>
          <w:lang w:val="fr-CA"/>
        </w:rPr>
        <w:t>Criminal</w:t>
      </w:r>
      <w:proofErr w:type="spellEnd"/>
      <w:r w:rsidRPr="00DE7EDE">
        <w:rPr>
          <w:lang w:val="fr-CA"/>
        </w:rPr>
        <w:t xml:space="preserve"> </w:t>
      </w:r>
      <w:proofErr w:type="spellStart"/>
      <w:r w:rsidRPr="00DE7EDE">
        <w:rPr>
          <w:lang w:val="fr-CA"/>
        </w:rPr>
        <w:t>Lawyers</w:t>
      </w:r>
      <w:proofErr w:type="spellEnd"/>
      <w:r w:rsidRPr="00DE7EDE">
        <w:rPr>
          <w:lang w:val="fr-CA"/>
        </w:rPr>
        <w:t>’ Association (Ontario)</w:t>
      </w:r>
      <w:r w:rsidRPr="00DE7EDE">
        <w:rPr>
          <w:rStyle w:val="SCCLsocPartyRole"/>
          <w:lang w:val="fr-CA"/>
        </w:rPr>
        <w:tab/>
        <w:t>Intervenante</w:t>
      </w:r>
    </w:p>
    <w:p w:rsidR="004E538E" w:rsidRPr="00DE7EDE" w:rsidRDefault="004E538E" w:rsidP="0017725D">
      <w:pPr>
        <w:spacing w:after="720"/>
        <w:jc w:val="both"/>
        <w:rPr>
          <w:b/>
          <w:lang w:val="fr-CA"/>
        </w:rPr>
      </w:pPr>
      <w:r w:rsidRPr="00DE7EDE">
        <w:rPr>
          <w:b/>
          <w:lang w:val="fr-CA"/>
        </w:rPr>
        <w:t>Répertorié</w:t>
      </w:r>
      <w:r w:rsidR="0017725D">
        <w:rPr>
          <w:b/>
          <w:lang w:val="fr-CA"/>
        </w:rPr>
        <w:t xml:space="preserve"> : </w:t>
      </w:r>
      <w:r w:rsidRPr="00DE7EDE">
        <w:rPr>
          <w:b/>
          <w:lang w:val="fr-CA"/>
        </w:rPr>
        <w:t xml:space="preserve">R. </w:t>
      </w:r>
      <w:r w:rsidRPr="00DE7EDE">
        <w:rPr>
          <w:b/>
          <w:i/>
          <w:lang w:val="fr-CA"/>
        </w:rPr>
        <w:t>c.</w:t>
      </w:r>
      <w:r w:rsidRPr="00DE7EDE">
        <w:rPr>
          <w:b/>
          <w:lang w:val="fr-CA"/>
        </w:rPr>
        <w:t xml:space="preserve"> Sipos</w:t>
      </w:r>
    </w:p>
    <w:p w:rsidR="004E538E" w:rsidRPr="00DE7EDE" w:rsidRDefault="004E538E" w:rsidP="0017725D">
      <w:pPr>
        <w:pStyle w:val="SCCSystemYear"/>
        <w:spacing w:after="720"/>
        <w:jc w:val="both"/>
        <w:rPr>
          <w:lang w:val="fr-CA"/>
        </w:rPr>
      </w:pPr>
      <w:r w:rsidRPr="00DE7EDE">
        <w:rPr>
          <w:lang w:val="fr-CA"/>
        </w:rPr>
        <w:t>2014 CSC</w:t>
      </w:r>
      <w:r w:rsidR="0017725D">
        <w:rPr>
          <w:lang w:val="fr-CA"/>
        </w:rPr>
        <w:t xml:space="preserve"> </w:t>
      </w:r>
      <w:r w:rsidRPr="00DE7EDE">
        <w:rPr>
          <w:lang w:val="fr-CA"/>
        </w:rPr>
        <w:t>47</w:t>
      </w:r>
    </w:p>
    <w:p w:rsidR="004E538E" w:rsidRPr="00DE7EDE" w:rsidRDefault="004E538E" w:rsidP="0017725D">
      <w:pPr>
        <w:spacing w:after="720"/>
        <w:jc w:val="both"/>
        <w:rPr>
          <w:lang w:val="fr-CA"/>
        </w:rPr>
      </w:pPr>
      <w:r w:rsidRPr="00DE7EDE">
        <w:rPr>
          <w:lang w:val="fr-CA"/>
        </w:rPr>
        <w:t>N</w:t>
      </w:r>
      <w:r w:rsidRPr="00DE7EDE">
        <w:rPr>
          <w:vertAlign w:val="superscript"/>
          <w:lang w:val="fr-CA"/>
        </w:rPr>
        <w:t>o</w:t>
      </w:r>
      <w:r w:rsidRPr="00DE7EDE">
        <w:rPr>
          <w:lang w:val="fr-CA"/>
        </w:rPr>
        <w:t xml:space="preserve"> du greffe</w:t>
      </w:r>
      <w:r w:rsidR="0017725D">
        <w:rPr>
          <w:lang w:val="fr-CA"/>
        </w:rPr>
        <w:t xml:space="preserve"> : </w:t>
      </w:r>
      <w:r w:rsidRPr="00DE7EDE">
        <w:rPr>
          <w:lang w:val="fr-CA"/>
        </w:rPr>
        <w:t>35310.</w:t>
      </w:r>
    </w:p>
    <w:p w:rsidR="004E538E" w:rsidRPr="00DE7EDE" w:rsidRDefault="004E538E" w:rsidP="0017725D">
      <w:pPr>
        <w:spacing w:after="720"/>
        <w:jc w:val="both"/>
        <w:rPr>
          <w:lang w:val="fr-CA"/>
        </w:rPr>
      </w:pPr>
      <w:r w:rsidRPr="00DE7EDE">
        <w:rPr>
          <w:lang w:val="fr-CA"/>
        </w:rPr>
        <w:t>2014</w:t>
      </w:r>
      <w:r w:rsidR="0017725D">
        <w:rPr>
          <w:lang w:val="fr-CA"/>
        </w:rPr>
        <w:t xml:space="preserve"> : </w:t>
      </w:r>
      <w:r>
        <w:rPr>
          <w:lang w:val="fr-CA"/>
        </w:rPr>
        <w:t>15</w:t>
      </w:r>
      <w:r w:rsidR="0017725D">
        <w:rPr>
          <w:lang w:val="fr-CA"/>
        </w:rPr>
        <w:t xml:space="preserve"> </w:t>
      </w:r>
      <w:r w:rsidRPr="00DE7EDE">
        <w:rPr>
          <w:lang w:val="fr-CA"/>
        </w:rPr>
        <w:t>avril; 2014</w:t>
      </w:r>
      <w:r w:rsidR="0017725D">
        <w:rPr>
          <w:lang w:val="fr-CA"/>
        </w:rPr>
        <w:t xml:space="preserve"> : </w:t>
      </w:r>
      <w:r>
        <w:rPr>
          <w:lang w:val="fr-CA"/>
        </w:rPr>
        <w:t>10</w:t>
      </w:r>
      <w:r w:rsidR="0017725D">
        <w:rPr>
          <w:lang w:val="fr-CA"/>
        </w:rPr>
        <w:t xml:space="preserve"> </w:t>
      </w:r>
      <w:r w:rsidRPr="00DE7EDE">
        <w:rPr>
          <w:lang w:val="fr-CA"/>
        </w:rPr>
        <w:t>juillet.</w:t>
      </w:r>
    </w:p>
    <w:p w:rsidR="004E538E" w:rsidRPr="00DE7EDE" w:rsidRDefault="004E538E" w:rsidP="0017725D">
      <w:pPr>
        <w:spacing w:after="720"/>
        <w:jc w:val="both"/>
        <w:rPr>
          <w:lang w:val="fr-CA"/>
        </w:rPr>
      </w:pPr>
      <w:r w:rsidRPr="00DE7EDE">
        <w:rPr>
          <w:lang w:val="fr-CA"/>
        </w:rPr>
        <w:t>Présents</w:t>
      </w:r>
      <w:r w:rsidR="0017725D">
        <w:rPr>
          <w:lang w:val="fr-CA"/>
        </w:rPr>
        <w:t xml:space="preserve"> : </w:t>
      </w:r>
      <w:r w:rsidRPr="00DE7EDE">
        <w:rPr>
          <w:lang w:val="fr-CA"/>
        </w:rPr>
        <w:t xml:space="preserve">Les juges </w:t>
      </w:r>
      <w:proofErr w:type="spellStart"/>
      <w:r w:rsidRPr="00DE7EDE">
        <w:rPr>
          <w:lang w:val="fr-CA"/>
        </w:rPr>
        <w:t>LeBel</w:t>
      </w:r>
      <w:proofErr w:type="spellEnd"/>
      <w:r w:rsidRPr="00DE7EDE">
        <w:rPr>
          <w:lang w:val="fr-CA"/>
        </w:rPr>
        <w:t xml:space="preserve">, Abella, </w:t>
      </w:r>
      <w:proofErr w:type="spellStart"/>
      <w:r w:rsidRPr="00DE7EDE">
        <w:rPr>
          <w:lang w:val="fr-CA"/>
        </w:rPr>
        <w:t>Rothstein</w:t>
      </w:r>
      <w:proofErr w:type="spellEnd"/>
      <w:r w:rsidRPr="00DE7EDE">
        <w:rPr>
          <w:lang w:val="fr-CA"/>
        </w:rPr>
        <w:t xml:space="preserve">, Cromwell, </w:t>
      </w:r>
      <w:proofErr w:type="spellStart"/>
      <w:r w:rsidRPr="00DE7EDE">
        <w:rPr>
          <w:lang w:val="fr-CA"/>
        </w:rPr>
        <w:t>Moldaver</w:t>
      </w:r>
      <w:proofErr w:type="spellEnd"/>
      <w:r w:rsidRPr="00DE7EDE">
        <w:rPr>
          <w:lang w:val="fr-CA"/>
        </w:rPr>
        <w:t xml:space="preserve">, </w:t>
      </w:r>
      <w:proofErr w:type="spellStart"/>
      <w:r w:rsidRPr="00DE7EDE">
        <w:rPr>
          <w:lang w:val="fr-CA"/>
        </w:rPr>
        <w:t>Karakatsanis</w:t>
      </w:r>
      <w:proofErr w:type="spellEnd"/>
      <w:r w:rsidRPr="00DE7EDE">
        <w:rPr>
          <w:lang w:val="fr-CA"/>
        </w:rPr>
        <w:t xml:space="preserve"> et Wagner.</w:t>
      </w:r>
    </w:p>
    <w:p w:rsidR="004E538E" w:rsidRPr="00DE7EDE" w:rsidRDefault="004E538E" w:rsidP="0017725D">
      <w:pPr>
        <w:spacing w:after="720"/>
        <w:jc w:val="both"/>
        <w:rPr>
          <w:smallCaps/>
          <w:lang w:val="fr-CA"/>
        </w:rPr>
      </w:pPr>
      <w:r w:rsidRPr="00DE7EDE">
        <w:rPr>
          <w:smallCaps/>
          <w:lang w:val="fr-CA"/>
        </w:rPr>
        <w:t>en appel de la cour d’appel de l’</w:t>
      </w:r>
      <w:proofErr w:type="spellStart"/>
      <w:r w:rsidRPr="00DE7EDE">
        <w:rPr>
          <w:smallCaps/>
          <w:lang w:val="fr-CA"/>
        </w:rPr>
        <w:t>ontario</w:t>
      </w:r>
      <w:proofErr w:type="spellEnd"/>
    </w:p>
    <w:p w:rsidR="004E538E" w:rsidRPr="00DE7EDE" w:rsidRDefault="004E538E" w:rsidP="0017725D">
      <w:pPr>
        <w:pStyle w:val="SCCNormalDoubleSpacing"/>
        <w:spacing w:after="480"/>
        <w:rPr>
          <w:i/>
          <w:lang w:val="fr-CA"/>
        </w:rPr>
      </w:pPr>
      <w:r w:rsidRPr="00DE7EDE">
        <w:rPr>
          <w:lang w:val="fr-CA"/>
        </w:rPr>
        <w:tab/>
      </w:r>
      <w:r w:rsidRPr="00DE7EDE">
        <w:rPr>
          <w:i/>
          <w:lang w:val="fr-CA"/>
        </w:rPr>
        <w:t>Droit criminel — Appels — Délinquants dangereux — Cours — Pouvoirs réparateurs — Nouveaux éléments de preuve — Accusé déclaré délinquant dangereux par le juge du procès sans qu’il soit tenu compte de la possibilité d’une déclaration de délinquant à contrôler — Le juge du procès a</w:t>
      </w:r>
      <w:r w:rsidR="00F370C6">
        <w:rPr>
          <w:i/>
          <w:lang w:val="fr-CA"/>
        </w:rPr>
        <w:t>-</w:t>
      </w:r>
      <w:r w:rsidRPr="00DE7EDE">
        <w:rPr>
          <w:i/>
          <w:lang w:val="fr-CA"/>
        </w:rPr>
        <w:t>t</w:t>
      </w:r>
      <w:r w:rsidR="00F370C6">
        <w:rPr>
          <w:i/>
          <w:lang w:val="fr-CA"/>
        </w:rPr>
        <w:t>-</w:t>
      </w:r>
      <w:r w:rsidRPr="00DE7EDE">
        <w:rPr>
          <w:i/>
          <w:lang w:val="fr-CA"/>
        </w:rPr>
        <w:t>il commis une erreur de droit? — La Cour d’appel a</w:t>
      </w:r>
      <w:r w:rsidR="00F370C6">
        <w:rPr>
          <w:i/>
          <w:lang w:val="fr-CA"/>
        </w:rPr>
        <w:t>-</w:t>
      </w:r>
      <w:r w:rsidRPr="00DE7EDE">
        <w:rPr>
          <w:i/>
          <w:lang w:val="fr-CA"/>
        </w:rPr>
        <w:t>t</w:t>
      </w:r>
      <w:r w:rsidR="00F370C6">
        <w:rPr>
          <w:i/>
          <w:lang w:val="fr-CA"/>
        </w:rPr>
        <w:t>-</w:t>
      </w:r>
      <w:r w:rsidRPr="00DE7EDE">
        <w:rPr>
          <w:i/>
          <w:lang w:val="fr-CA"/>
        </w:rPr>
        <w:t xml:space="preserve">elle commis une erreur </w:t>
      </w:r>
      <w:r w:rsidR="000E2A83">
        <w:rPr>
          <w:i/>
          <w:lang w:val="fr-CA"/>
        </w:rPr>
        <w:t xml:space="preserve">en appliquant </w:t>
      </w:r>
      <w:r w:rsidRPr="00DE7EDE">
        <w:rPr>
          <w:i/>
          <w:lang w:val="fr-CA"/>
        </w:rPr>
        <w:t xml:space="preserve">ses pouvoirs réparateurs et en confirmant la déclaration de délinquant dangereux? — Quel rôle </w:t>
      </w:r>
      <w:proofErr w:type="gramStart"/>
      <w:r w:rsidRPr="00DE7EDE">
        <w:rPr>
          <w:i/>
          <w:lang w:val="fr-CA"/>
        </w:rPr>
        <w:t>doivent</w:t>
      </w:r>
      <w:proofErr w:type="gramEnd"/>
      <w:r w:rsidRPr="00DE7EDE">
        <w:rPr>
          <w:i/>
          <w:lang w:val="fr-CA"/>
        </w:rPr>
        <w:t xml:space="preserve"> jouer les nouveaux éléments de preuve dans le cadre de l’appel d’une déclaration de délinquant dangereux? — Code criminel, L.R.C.</w:t>
      </w:r>
      <w:r w:rsidR="0017725D">
        <w:rPr>
          <w:i/>
          <w:lang w:val="fr-CA"/>
        </w:rPr>
        <w:t xml:space="preserve"> </w:t>
      </w:r>
      <w:r w:rsidRPr="00DE7EDE">
        <w:rPr>
          <w:i/>
          <w:lang w:val="fr-CA"/>
        </w:rPr>
        <w:t xml:space="preserve">1985, </w:t>
      </w:r>
      <w:r>
        <w:rPr>
          <w:i/>
          <w:lang w:val="fr-CA"/>
        </w:rPr>
        <w:t>ch.</w:t>
      </w:r>
      <w:r w:rsidR="0017725D">
        <w:rPr>
          <w:i/>
          <w:lang w:val="fr-CA"/>
        </w:rPr>
        <w:t xml:space="preserve"> </w:t>
      </w:r>
      <w:r w:rsidRPr="00DE7EDE">
        <w:rPr>
          <w:i/>
          <w:lang w:val="fr-CA"/>
        </w:rPr>
        <w:t>C</w:t>
      </w:r>
      <w:r w:rsidR="002E392A">
        <w:rPr>
          <w:i/>
          <w:lang w:val="fr-CA"/>
        </w:rPr>
        <w:t>-</w:t>
      </w:r>
      <w:r w:rsidRPr="00DE7EDE">
        <w:rPr>
          <w:i/>
          <w:lang w:val="fr-CA"/>
        </w:rPr>
        <w:t xml:space="preserve">46, </w:t>
      </w:r>
      <w:r>
        <w:rPr>
          <w:i/>
          <w:lang w:val="fr-CA"/>
        </w:rPr>
        <w:t>art.</w:t>
      </w:r>
      <w:r w:rsidR="0017725D">
        <w:rPr>
          <w:i/>
          <w:lang w:val="fr-CA"/>
        </w:rPr>
        <w:t xml:space="preserve"> </w:t>
      </w:r>
      <w:r w:rsidRPr="00DE7EDE">
        <w:rPr>
          <w:i/>
          <w:lang w:val="fr-CA"/>
        </w:rPr>
        <w:t>753, 759.</w:t>
      </w:r>
    </w:p>
    <w:p w:rsidR="004E538E" w:rsidRPr="00DE7EDE" w:rsidRDefault="004E538E" w:rsidP="0017725D">
      <w:pPr>
        <w:pStyle w:val="SCCNormalDoubleSpacing"/>
        <w:spacing w:after="480"/>
        <w:rPr>
          <w:lang w:val="fr-CA"/>
        </w:rPr>
      </w:pPr>
      <w:r w:rsidRPr="00DE7EDE">
        <w:rPr>
          <w:lang w:val="fr-CA"/>
        </w:rPr>
        <w:lastRenderedPageBreak/>
        <w:tab/>
        <w:t xml:space="preserve">En 1996, un jury a déclaré l’accusé coupable de multiples infractions de nature sexuelle et d’agressions physiques. En 1998, l’accusé a été déclaré délinquant dangereux et s’est vu infliger une peine de détention d’une durée indéterminée. Entre les prononcés de culpabilité et la décision sur le statut de délinquant dangereux, le </w:t>
      </w:r>
      <w:r w:rsidRPr="00DE7EDE">
        <w:rPr>
          <w:i/>
          <w:lang w:val="fr-CA"/>
        </w:rPr>
        <w:t>Code criminel</w:t>
      </w:r>
      <w:r w:rsidRPr="00DE7EDE">
        <w:rPr>
          <w:lang w:val="fr-CA"/>
        </w:rPr>
        <w:t xml:space="preserve"> a été modifié pour y ajouter la possibilité de déclarer un délinquant </w:t>
      </w:r>
      <w:r w:rsidR="0017725D">
        <w:rPr>
          <w:lang w:val="fr-CA"/>
        </w:rPr>
        <w:t>« </w:t>
      </w:r>
      <w:r w:rsidRPr="00DE7EDE">
        <w:rPr>
          <w:lang w:val="fr-CA"/>
        </w:rPr>
        <w:t>délinquant à contrôler</w:t>
      </w:r>
      <w:r w:rsidR="0017725D">
        <w:rPr>
          <w:lang w:val="fr-CA"/>
        </w:rPr>
        <w:t> »</w:t>
      </w:r>
      <w:r w:rsidRPr="00DE7EDE">
        <w:rPr>
          <w:lang w:val="fr-CA"/>
        </w:rPr>
        <w:t>. Le juge chargé de statuer sur la peine n’a pas tenu compte de cette possibilité avant de déclarer l’accusé délinquant dangereux. En 2012, la Cour d’appel a été saisie d’un appel relatif à la peine. L’accusé a déposé de n</w:t>
      </w:r>
      <w:r w:rsidR="002E392A">
        <w:rPr>
          <w:lang w:val="fr-CA"/>
        </w:rPr>
        <w:t>ouveaux éléments de preuve, soit</w:t>
      </w:r>
      <w:r w:rsidRPr="00DE7EDE">
        <w:rPr>
          <w:lang w:val="fr-CA"/>
        </w:rPr>
        <w:t xml:space="preserve"> des renseignements concernant sa performance dans le cadre des programmes de traitement des délinquants sexuels qu’il avait suivi</w:t>
      </w:r>
      <w:r w:rsidR="002E392A">
        <w:rPr>
          <w:lang w:val="fr-CA"/>
        </w:rPr>
        <w:t>s</w:t>
      </w:r>
      <w:r w:rsidRPr="00DE7EDE">
        <w:rPr>
          <w:lang w:val="fr-CA"/>
        </w:rPr>
        <w:t xml:space="preserve"> durant sa détention, ainsi qu’une évaluation du risque préparée en 2010. Un psychiatre a exprimé l’opinion que l’accusé</w:t>
      </w:r>
      <w:r w:rsidR="0017725D">
        <w:rPr>
          <w:lang w:val="fr-CA"/>
        </w:rPr>
        <w:t xml:space="preserve"> </w:t>
      </w:r>
      <w:r w:rsidRPr="00DE7EDE">
        <w:rPr>
          <w:lang w:val="fr-CA"/>
        </w:rPr>
        <w:t>satisfaisait toujours à la norme applicable pour être déclaré délinquant dangereux, mais aussi que, selon certains facteurs, il y avait une possibilité qu’il puisse être remis en liberté vers 2016, s’il faisait ensuite l’objet d’une surveillance de longue durée de 10</w:t>
      </w:r>
      <w:r w:rsidR="0017725D">
        <w:rPr>
          <w:lang w:val="fr-CA"/>
        </w:rPr>
        <w:t xml:space="preserve"> </w:t>
      </w:r>
      <w:r w:rsidRPr="00DE7EDE">
        <w:rPr>
          <w:lang w:val="fr-CA"/>
        </w:rPr>
        <w:t>ans. La Cour d’appel a admis les nouveaux éléments de preuve et a conclu que le juge qui a prononcé la peine a commis une erreur de droit en ne tenant pas compte des dispositions sur les délinquants à contrôler. Cependant, elle a exercé ses pouvoirs réparateurs et confirmé la déclaration de délinquant dangereux.</w:t>
      </w:r>
    </w:p>
    <w:p w:rsidR="004E538E" w:rsidRPr="00DE7EDE" w:rsidRDefault="004E538E" w:rsidP="0017725D">
      <w:pPr>
        <w:pStyle w:val="SCCNormalDoubleSpacing"/>
        <w:spacing w:after="480"/>
        <w:rPr>
          <w:lang w:val="fr-CA"/>
        </w:rPr>
      </w:pPr>
      <w:r w:rsidRPr="00DE7EDE">
        <w:rPr>
          <w:lang w:val="fr-CA"/>
        </w:rPr>
        <w:tab/>
      </w:r>
      <w:r w:rsidRPr="00DE7EDE">
        <w:rPr>
          <w:i/>
          <w:lang w:val="fr-CA"/>
        </w:rPr>
        <w:t>Arrêt</w:t>
      </w:r>
      <w:r w:rsidR="0017725D">
        <w:rPr>
          <w:i/>
          <w:lang w:val="fr-CA"/>
        </w:rPr>
        <w:t> </w:t>
      </w:r>
      <w:r w:rsidR="0017725D" w:rsidRPr="002E392A">
        <w:rPr>
          <w:lang w:val="fr-CA"/>
        </w:rPr>
        <w:t>:</w:t>
      </w:r>
      <w:r w:rsidRPr="0089037B">
        <w:rPr>
          <w:lang w:val="fr-CA"/>
        </w:rPr>
        <w:t xml:space="preserve"> </w:t>
      </w:r>
      <w:r w:rsidRPr="00DE7EDE">
        <w:rPr>
          <w:lang w:val="fr-CA"/>
        </w:rPr>
        <w:t>L’appel est rejeté.</w:t>
      </w:r>
    </w:p>
    <w:p w:rsidR="004E538E" w:rsidRPr="00DE7EDE" w:rsidRDefault="004E538E" w:rsidP="0017725D">
      <w:pPr>
        <w:pStyle w:val="SCCNormalDoubleSpacing"/>
        <w:spacing w:after="480"/>
        <w:rPr>
          <w:lang w:val="fr-CA"/>
        </w:rPr>
      </w:pPr>
      <w:r w:rsidRPr="00DE7EDE">
        <w:rPr>
          <w:lang w:val="fr-CA"/>
        </w:rPr>
        <w:tab/>
        <w:t xml:space="preserve">Un délinquant peut interjeter appel d’une déclaration de délinquant dangereux sur toute question de droit ou de fait ou toute question mixte de droit et de </w:t>
      </w:r>
      <w:r w:rsidRPr="00DE7EDE">
        <w:rPr>
          <w:lang w:val="fr-CA"/>
        </w:rPr>
        <w:lastRenderedPageBreak/>
        <w:t xml:space="preserve">fait. Le contrôle en appel porte sur les erreurs de droit et vise à déterminer si la déclaration de délinquant dangereux était raisonnable. Une cour d’appel peut exercer son pouvoir réparateur même en présence d’une erreur de droit s’il n’existe aucune possibilité raisonnable que le verdict eût été différent si l’erreur n’avait pas été commise. Dans le contexte de l’appel d’une déclaration de délinquant dangereux, c’est le test énoncé dans </w:t>
      </w:r>
      <w:r w:rsidRPr="00DE7EDE">
        <w:rPr>
          <w:i/>
          <w:lang w:val="fr-CA"/>
        </w:rPr>
        <w:t>Palmer c. La Reine</w:t>
      </w:r>
      <w:r w:rsidRPr="00DE7EDE">
        <w:rPr>
          <w:lang w:val="fr-CA"/>
        </w:rPr>
        <w:t>, [1980] 1 R.C.S.</w:t>
      </w:r>
      <w:r w:rsidR="0017725D">
        <w:rPr>
          <w:lang w:val="fr-CA"/>
        </w:rPr>
        <w:t xml:space="preserve"> </w:t>
      </w:r>
      <w:r w:rsidRPr="00DE7EDE">
        <w:rPr>
          <w:lang w:val="fr-CA"/>
        </w:rPr>
        <w:t>759, qui régit l’admissibilité des nouveaux éléments de preuve.</w:t>
      </w:r>
      <w:r w:rsidR="0089037B">
        <w:rPr>
          <w:lang w:val="fr-CA"/>
        </w:rPr>
        <w:t xml:space="preserve"> </w:t>
      </w:r>
      <w:r w:rsidRPr="00DE7EDE">
        <w:rPr>
          <w:lang w:val="fr-CA"/>
        </w:rPr>
        <w:t>L’introduction de nouveaux élémen</w:t>
      </w:r>
      <w:r w:rsidR="002E392A">
        <w:rPr>
          <w:lang w:val="fr-CA"/>
        </w:rPr>
        <w:t>ts de preuve portant sur des évé</w:t>
      </w:r>
      <w:r w:rsidRPr="00DE7EDE">
        <w:rPr>
          <w:lang w:val="fr-CA"/>
        </w:rPr>
        <w:t>nements survenus entre le prononcé de la peine et l’appel met en présence des valeurs opposées. Il n’est pas possible de faire abstraction des changements, mais trancher régulièrement des appels de</w:t>
      </w:r>
      <w:r w:rsidR="002E392A">
        <w:rPr>
          <w:lang w:val="fr-CA"/>
        </w:rPr>
        <w:t xml:space="preserve"> sentence sur le fondement d’évé</w:t>
      </w:r>
      <w:r w:rsidRPr="00DE7EDE">
        <w:rPr>
          <w:lang w:val="fr-CA"/>
        </w:rPr>
        <w:t>nements survenus après le fait pourrait à la fois menacer l’intégrité du processus criminel — en compromettant son caractère définitif — et outrepasser les limites appropriées du contrôle en appel. Le processus d’appel doit répondre aux exigences de la justice tout en respectant les limites auxquelles doit être assujetti le contrôle en appel.</w:t>
      </w:r>
    </w:p>
    <w:p w:rsidR="004E538E" w:rsidRPr="00DE7EDE" w:rsidRDefault="004E538E" w:rsidP="0017725D">
      <w:pPr>
        <w:pStyle w:val="SCCNormalDoubleSpacing"/>
        <w:spacing w:after="480"/>
        <w:rPr>
          <w:lang w:val="fr-CA"/>
        </w:rPr>
      </w:pPr>
      <w:r w:rsidRPr="00DE7EDE">
        <w:rPr>
          <w:lang w:val="fr-CA"/>
        </w:rPr>
        <w:tab/>
        <w:t>Les nouveaux éléments de preuve jouent généralement un rôle négligeable lorsqu’il s’agit de décider si le pouvoir réparateur devrait être exercé. La cour d’appel peut utiliser ce pouvoir pour rejeter l’appel interjeté à l’égard d’une déclaration de délinquant dangereux seulement s’il n’y a aucune possibilité raisonnable que le résultat eût été différent si l’erreur n’avait pas été commise.</w:t>
      </w:r>
      <w:r w:rsidR="0017725D">
        <w:rPr>
          <w:lang w:val="fr-CA"/>
        </w:rPr>
        <w:t xml:space="preserve"> </w:t>
      </w:r>
      <w:r w:rsidRPr="00DE7EDE">
        <w:rPr>
          <w:lang w:val="fr-CA"/>
        </w:rPr>
        <w:t>Cet exercice est nécessairement axé sur le dossier dont était saisi le juge ayant statué sur la peine, car il s’agit de déterminer ce que celui</w:t>
      </w:r>
      <w:r w:rsidR="002E392A">
        <w:rPr>
          <w:lang w:val="fr-CA"/>
        </w:rPr>
        <w:t>-</w:t>
      </w:r>
      <w:r w:rsidRPr="00DE7EDE">
        <w:rPr>
          <w:lang w:val="fr-CA"/>
        </w:rPr>
        <w:t xml:space="preserve">ci aurait fait s’il avait appliqué les bons principes juridiques. La cour d’appel doit se demander si cette erreur de droit a </w:t>
      </w:r>
      <w:r w:rsidRPr="00DE7EDE">
        <w:rPr>
          <w:lang w:val="fr-CA"/>
        </w:rPr>
        <w:lastRenderedPageBreak/>
        <w:t>pu entraîner l’exclusion d’éléments de preuve qui auraient dû être admis, ou pu par ailleurs influer sur l’état du dossier de preuve ou l’appréciation de celui</w:t>
      </w:r>
      <w:r w:rsidR="002E392A">
        <w:rPr>
          <w:lang w:val="fr-CA"/>
        </w:rPr>
        <w:t>-</w:t>
      </w:r>
      <w:r w:rsidRPr="00DE7EDE">
        <w:rPr>
          <w:lang w:val="fr-CA"/>
        </w:rPr>
        <w:t xml:space="preserve">ci par le juge. Les nouveaux éléments de preuve qui satisfont au test de l’arrêt </w:t>
      </w:r>
      <w:r w:rsidRPr="00DE7EDE">
        <w:rPr>
          <w:i/>
          <w:lang w:val="fr-CA"/>
        </w:rPr>
        <w:t>Palmer</w:t>
      </w:r>
      <w:r w:rsidRPr="00DE7EDE">
        <w:rPr>
          <w:lang w:val="fr-CA"/>
        </w:rPr>
        <w:t xml:space="preserve"> pourraient être admis, mais lorsque les nouveaux éléments de preuve n’ont rien à voir avec l’incidence possible de l’erreur de droit sur la peine, ils ne devraient pas être pris en considération.</w:t>
      </w:r>
    </w:p>
    <w:p w:rsidR="004E538E" w:rsidRPr="00DE7EDE" w:rsidRDefault="004E538E" w:rsidP="0017725D">
      <w:pPr>
        <w:pStyle w:val="SCCNormalDoubleSpacing"/>
        <w:spacing w:after="480"/>
        <w:rPr>
          <w:lang w:val="fr-CA"/>
        </w:rPr>
      </w:pPr>
      <w:r w:rsidRPr="00DE7EDE">
        <w:rPr>
          <w:lang w:val="fr-CA"/>
        </w:rPr>
        <w:tab/>
        <w:t>En l’espèce, les nouveaux éléments de preuve n’ont rien à voir avec l’incidence de l’erreur de droit commise par le juge ayant prononcé la peine</w:t>
      </w:r>
      <w:r w:rsidR="009610FD">
        <w:rPr>
          <w:lang w:val="fr-CA"/>
        </w:rPr>
        <w:t>,</w:t>
      </w:r>
      <w:r w:rsidRPr="00DE7EDE">
        <w:rPr>
          <w:lang w:val="fr-CA"/>
        </w:rPr>
        <w:t xml:space="preserve"> dont la seule option réaliste consistait à déclarer l’appelant délinquant dangereux. Rien ne donne à penser que l’omission d’envisager la possibilité d’une déclaration de délinquant à contrôler a eu quelque incidence sur le dossier de preuve. L’élément central reste l’incidence possible de l’erreur sur la décision du juge chargé de déterminer la peine, et non pas les perspectives actuelles de contrôle du délinquant au sein de la collectivité.</w:t>
      </w:r>
    </w:p>
    <w:p w:rsidR="004E538E" w:rsidRPr="00DE7EDE" w:rsidRDefault="004E538E" w:rsidP="0017725D">
      <w:pPr>
        <w:pStyle w:val="SCCNormalDoubleSpacing"/>
        <w:spacing w:after="480"/>
        <w:rPr>
          <w:lang w:val="fr-CA"/>
        </w:rPr>
      </w:pPr>
      <w:r w:rsidRPr="00DE7EDE">
        <w:rPr>
          <w:lang w:val="fr-CA"/>
        </w:rPr>
        <w:tab/>
        <w:t>Par contre, un délinquant peut interjeter appel d’une déclaration portant qu’il est un délinquant dangereux au motif que cette décision est déraisonnable. Les nouveaux éléments de preuve ont un rôle plus important à jouer lorsque la cour d’appel effectue un contrôle sur ce fondement. La cour d’appel peut examiner la peine au regard de l’ensemble du dossier, notamment de nouveaux éléments de preuve admissibles</w:t>
      </w:r>
      <w:r>
        <w:rPr>
          <w:lang w:val="fr-CA"/>
        </w:rPr>
        <w:t xml:space="preserve">. </w:t>
      </w:r>
      <w:r w:rsidRPr="00DE7EDE">
        <w:rPr>
          <w:lang w:val="fr-CA"/>
        </w:rPr>
        <w:t xml:space="preserve">Dans un appel interjeté à l’égard d’une déclaration de délinquant dangereux, les cours d’appel sont souvent saisies d’éléments de preuve relatifs aux efforts et aux perspectives de réadaptation du délinquant. Les cours d’appel adoptent </w:t>
      </w:r>
      <w:r w:rsidRPr="00DE7EDE">
        <w:rPr>
          <w:lang w:val="fr-CA"/>
        </w:rPr>
        <w:lastRenderedPageBreak/>
        <w:t>généralement une approche très prudente lorsqu’elles sont appelées à intervenir sur le seul fondement d’éléments de preuve de cette nature. Cela dit, dans des cas exceptionnels où il convient de le faire et où la preuve est suffisamment convaincante, elles peuvent intervenir sur le fondement d’éléme</w:t>
      </w:r>
      <w:r w:rsidR="002E392A">
        <w:rPr>
          <w:lang w:val="fr-CA"/>
        </w:rPr>
        <w:t>nts de preuve relatifs à des évé</w:t>
      </w:r>
      <w:r w:rsidRPr="00DE7EDE">
        <w:rPr>
          <w:lang w:val="fr-CA"/>
        </w:rPr>
        <w:t>nements survenus après le fait.</w:t>
      </w:r>
      <w:r w:rsidR="0017725D">
        <w:rPr>
          <w:lang w:val="fr-CA"/>
        </w:rPr>
        <w:t xml:space="preserve"> </w:t>
      </w:r>
      <w:r w:rsidRPr="00DE7EDE">
        <w:rPr>
          <w:lang w:val="fr-CA"/>
        </w:rPr>
        <w:t>Là encore, l’accent est mis sur l’incidence de la nouvelle preuve sur la procédure de détermination de la peine, eu égard à l’ensemble du dossier.</w:t>
      </w:r>
    </w:p>
    <w:p w:rsidR="004E538E" w:rsidRPr="00DE7EDE" w:rsidRDefault="004E538E" w:rsidP="0017725D">
      <w:pPr>
        <w:pStyle w:val="SCCNormalDoubleSpacing"/>
        <w:spacing w:after="480"/>
        <w:rPr>
          <w:lang w:val="fr-CA"/>
        </w:rPr>
      </w:pPr>
      <w:r w:rsidRPr="00DE7EDE">
        <w:rPr>
          <w:lang w:val="fr-CA"/>
        </w:rPr>
        <w:tab/>
        <w:t>Sous de nombreuses réserves, les nouveaux éléments de preuve produits par l’accusé indiquent qu’il y avait une possibilité raisonnable de contrôle du risque au sein de la collectivité s’il était remis en liberté vers 2016 et était assujetti à une ordonnance de surveillance de longue durée de 10</w:t>
      </w:r>
      <w:r w:rsidR="0017725D">
        <w:rPr>
          <w:lang w:val="fr-CA"/>
        </w:rPr>
        <w:t xml:space="preserve"> </w:t>
      </w:r>
      <w:r w:rsidRPr="00DE7EDE">
        <w:rPr>
          <w:lang w:val="fr-CA"/>
        </w:rPr>
        <w:t>ans. Cependant, examinés à la lumière de l’ensemble du dossier dont disposait le juge chargé de déterminer la peine, les nouveaux éléments de preuve sont loin d’établir que la déclaration de délinquant dangereux était déraisonnable. Il n’y a aucune possibilité raisonnable que le résultat de la procédure relative au statut de délinquant dangereux eût été différent si le juge chargé de prononcer la peine avait été saisi de ce complément d’information. La preuve n’établit pas que la déclaration de délinquant dangereux était déraisonnable et la présente cause n’est pas de celles qui justifient une intervention en appel.</w:t>
      </w:r>
    </w:p>
    <w:p w:rsidR="004E538E" w:rsidRPr="00DE7EDE" w:rsidRDefault="004E538E" w:rsidP="0017725D">
      <w:pPr>
        <w:pStyle w:val="SCCNormalDoubleSpacing"/>
        <w:spacing w:after="480"/>
        <w:rPr>
          <w:b/>
          <w:lang w:val="fr-CA"/>
        </w:rPr>
      </w:pPr>
      <w:r w:rsidRPr="00DE7EDE">
        <w:rPr>
          <w:b/>
          <w:lang w:val="fr-CA"/>
        </w:rPr>
        <w:t>Jurisprudence</w:t>
      </w:r>
    </w:p>
    <w:p w:rsidR="004E538E" w:rsidRPr="00DE7EDE" w:rsidRDefault="004E538E" w:rsidP="0017725D">
      <w:pPr>
        <w:pStyle w:val="SCCNormalDoubleSpacing"/>
        <w:spacing w:before="480" w:after="480"/>
        <w:rPr>
          <w:b/>
          <w:lang w:val="fr-CA"/>
        </w:rPr>
      </w:pPr>
      <w:r w:rsidRPr="00DE7EDE">
        <w:rPr>
          <w:lang w:val="fr-CA"/>
        </w:rPr>
        <w:tab/>
      </w:r>
      <w:r w:rsidRPr="00DE7EDE">
        <w:rPr>
          <w:b/>
          <w:lang w:val="fr-CA"/>
        </w:rPr>
        <w:t>Arrêts mentionnés</w:t>
      </w:r>
      <w:r w:rsidR="0017725D">
        <w:rPr>
          <w:b/>
          <w:lang w:val="fr-CA"/>
        </w:rPr>
        <w:t> :</w:t>
      </w:r>
      <w:r w:rsidRPr="00DE7EDE">
        <w:rPr>
          <w:lang w:val="fr-CA"/>
        </w:rPr>
        <w:t xml:space="preserve"> </w:t>
      </w:r>
      <w:r w:rsidRPr="00DE7EDE">
        <w:rPr>
          <w:bCs/>
          <w:i/>
          <w:szCs w:val="24"/>
          <w:lang w:val="fr-CA"/>
        </w:rPr>
        <w:t>R. c. Johnson</w:t>
      </w:r>
      <w:r w:rsidRPr="00DE7EDE">
        <w:rPr>
          <w:bCs/>
          <w:szCs w:val="24"/>
          <w:lang w:val="fr-CA"/>
        </w:rPr>
        <w:t xml:space="preserve">, 2003 CSC 46, [2003] 2 R.C.S. 357; </w:t>
      </w:r>
      <w:r w:rsidRPr="00DE7EDE">
        <w:rPr>
          <w:bCs/>
          <w:i/>
          <w:szCs w:val="24"/>
          <w:lang w:val="fr-CA"/>
        </w:rPr>
        <w:t xml:space="preserve">R. c. </w:t>
      </w:r>
      <w:proofErr w:type="spellStart"/>
      <w:r w:rsidRPr="00DE7EDE">
        <w:rPr>
          <w:bCs/>
          <w:i/>
          <w:szCs w:val="24"/>
          <w:lang w:val="fr-CA"/>
        </w:rPr>
        <w:t>Currie</w:t>
      </w:r>
      <w:proofErr w:type="spellEnd"/>
      <w:r w:rsidRPr="00DE7EDE">
        <w:rPr>
          <w:bCs/>
          <w:szCs w:val="24"/>
          <w:lang w:val="fr-CA"/>
        </w:rPr>
        <w:t xml:space="preserve">, [1997] 2 R.C.S. 260; </w:t>
      </w:r>
      <w:r w:rsidRPr="00DE7EDE">
        <w:rPr>
          <w:bCs/>
          <w:i/>
          <w:szCs w:val="24"/>
          <w:lang w:val="fr-CA"/>
        </w:rPr>
        <w:t>R. c. M. (C.A.)</w:t>
      </w:r>
      <w:r w:rsidRPr="00DE7EDE">
        <w:rPr>
          <w:bCs/>
          <w:szCs w:val="24"/>
          <w:lang w:val="fr-CA"/>
        </w:rPr>
        <w:t xml:space="preserve">, [1996] 1 R.C.S. 500; </w:t>
      </w:r>
      <w:r w:rsidRPr="00DE7EDE">
        <w:rPr>
          <w:bCs/>
          <w:i/>
          <w:szCs w:val="24"/>
          <w:lang w:val="fr-CA"/>
        </w:rPr>
        <w:t xml:space="preserve">R. c. </w:t>
      </w:r>
      <w:r w:rsidRPr="00DE7EDE">
        <w:rPr>
          <w:bCs/>
          <w:i/>
          <w:szCs w:val="24"/>
          <w:lang w:val="fr-CA"/>
        </w:rPr>
        <w:lastRenderedPageBreak/>
        <w:t>Shropshire</w:t>
      </w:r>
      <w:r w:rsidRPr="00DE7EDE">
        <w:rPr>
          <w:bCs/>
          <w:szCs w:val="24"/>
          <w:lang w:val="fr-CA"/>
        </w:rPr>
        <w:t xml:space="preserve">, [1995] 4 R.C.S. 227; </w:t>
      </w:r>
      <w:r w:rsidRPr="00DE7EDE">
        <w:rPr>
          <w:bCs/>
          <w:i/>
          <w:szCs w:val="24"/>
          <w:lang w:val="fr-CA"/>
        </w:rPr>
        <w:t>R. c. McDonnell</w:t>
      </w:r>
      <w:r w:rsidRPr="00DE7EDE">
        <w:rPr>
          <w:bCs/>
          <w:szCs w:val="24"/>
          <w:lang w:val="fr-CA"/>
        </w:rPr>
        <w:t xml:space="preserve">, [1997] 1 R.C.S. 948; </w:t>
      </w:r>
      <w:r w:rsidRPr="00DE7EDE">
        <w:rPr>
          <w:bCs/>
          <w:i/>
          <w:szCs w:val="24"/>
          <w:lang w:val="fr-CA"/>
        </w:rPr>
        <w:t>R. c. Lévesque</w:t>
      </w:r>
      <w:r w:rsidRPr="00DE7EDE">
        <w:rPr>
          <w:bCs/>
          <w:szCs w:val="24"/>
          <w:lang w:val="fr-CA"/>
        </w:rPr>
        <w:t xml:space="preserve">, 2000 CSC 47, [2000] 2 R.C.S. 487; </w:t>
      </w:r>
      <w:r w:rsidRPr="00DE7EDE">
        <w:rPr>
          <w:bCs/>
          <w:i/>
          <w:szCs w:val="24"/>
          <w:lang w:val="fr-CA"/>
        </w:rPr>
        <w:t>Palmer c. La Reine</w:t>
      </w:r>
      <w:r w:rsidRPr="00DE7EDE">
        <w:rPr>
          <w:bCs/>
          <w:szCs w:val="24"/>
          <w:lang w:val="fr-CA"/>
        </w:rPr>
        <w:t xml:space="preserve">, [1980] 1 R.C.S. 759; </w:t>
      </w:r>
      <w:r w:rsidRPr="00DE7EDE">
        <w:rPr>
          <w:bCs/>
          <w:i/>
          <w:szCs w:val="24"/>
          <w:lang w:val="fr-CA"/>
        </w:rPr>
        <w:t xml:space="preserve">R. c. </w:t>
      </w:r>
      <w:proofErr w:type="spellStart"/>
      <w:r w:rsidRPr="00DE7EDE">
        <w:rPr>
          <w:bCs/>
          <w:i/>
          <w:szCs w:val="24"/>
          <w:lang w:val="fr-CA"/>
        </w:rPr>
        <w:t>Angelillo</w:t>
      </w:r>
      <w:proofErr w:type="spellEnd"/>
      <w:r w:rsidRPr="00DE7EDE">
        <w:rPr>
          <w:bCs/>
          <w:szCs w:val="24"/>
          <w:lang w:val="fr-CA"/>
        </w:rPr>
        <w:t xml:space="preserve">, 2006 CSC 55, [2006] 2 R.C.S. 728; </w:t>
      </w:r>
      <w:r w:rsidRPr="00DE7EDE">
        <w:rPr>
          <w:bCs/>
          <w:i/>
          <w:szCs w:val="24"/>
          <w:lang w:val="fr-CA"/>
        </w:rPr>
        <w:t>R. c. Hamilton</w:t>
      </w:r>
      <w:r w:rsidRPr="00DE7EDE">
        <w:rPr>
          <w:bCs/>
          <w:szCs w:val="24"/>
          <w:lang w:val="fr-CA"/>
        </w:rPr>
        <w:t xml:space="preserve"> (2004), 72 O.R. (3d) 1; </w:t>
      </w:r>
      <w:r w:rsidRPr="00DE7EDE">
        <w:rPr>
          <w:bCs/>
          <w:i/>
          <w:szCs w:val="24"/>
          <w:lang w:val="fr-CA"/>
        </w:rPr>
        <w:t>R. c. Smith</w:t>
      </w:r>
      <w:r w:rsidRPr="00DE7EDE">
        <w:rPr>
          <w:bCs/>
          <w:szCs w:val="24"/>
          <w:lang w:val="fr-CA"/>
        </w:rPr>
        <w:t xml:space="preserve"> (2005), 376 A.R. 389; </w:t>
      </w:r>
      <w:r w:rsidRPr="00DE7EDE">
        <w:rPr>
          <w:bCs/>
          <w:i/>
          <w:szCs w:val="24"/>
          <w:lang w:val="fr-CA"/>
        </w:rPr>
        <w:t>R. c. Riley</w:t>
      </w:r>
      <w:r w:rsidRPr="00DE7EDE">
        <w:rPr>
          <w:bCs/>
          <w:szCs w:val="24"/>
          <w:lang w:val="fr-CA"/>
        </w:rPr>
        <w:t xml:space="preserve"> (1996), 150 N.S.R. (2d) 390; </w:t>
      </w:r>
      <w:r w:rsidRPr="00DE7EDE">
        <w:rPr>
          <w:bCs/>
          <w:i/>
          <w:szCs w:val="24"/>
          <w:lang w:val="fr-CA"/>
        </w:rPr>
        <w:t xml:space="preserve">R. c. </w:t>
      </w:r>
      <w:proofErr w:type="spellStart"/>
      <w:r w:rsidRPr="00DE7EDE">
        <w:rPr>
          <w:bCs/>
          <w:i/>
          <w:szCs w:val="24"/>
          <w:lang w:val="fr-CA"/>
        </w:rPr>
        <w:t>Faid</w:t>
      </w:r>
      <w:proofErr w:type="spellEnd"/>
      <w:r w:rsidRPr="00DE7EDE">
        <w:rPr>
          <w:bCs/>
          <w:szCs w:val="24"/>
          <w:lang w:val="fr-CA"/>
        </w:rPr>
        <w:t xml:space="preserve"> (1984), 52 A.R. 338; </w:t>
      </w:r>
      <w:r w:rsidRPr="00DE7EDE">
        <w:rPr>
          <w:bCs/>
          <w:i/>
          <w:szCs w:val="24"/>
          <w:lang w:val="fr-CA"/>
        </w:rPr>
        <w:t xml:space="preserve">R. c. </w:t>
      </w:r>
      <w:proofErr w:type="spellStart"/>
      <w:r w:rsidRPr="00DE7EDE">
        <w:rPr>
          <w:bCs/>
          <w:i/>
          <w:szCs w:val="24"/>
          <w:lang w:val="fr-CA"/>
        </w:rPr>
        <w:t>Jimmie</w:t>
      </w:r>
      <w:proofErr w:type="spellEnd"/>
      <w:r w:rsidRPr="00DE7EDE">
        <w:rPr>
          <w:bCs/>
          <w:szCs w:val="24"/>
          <w:lang w:val="fr-CA"/>
        </w:rPr>
        <w:t xml:space="preserve">, 2009 BCCA 215, 270 B.C.A.C. 301; </w:t>
      </w:r>
      <w:r w:rsidRPr="00DE7EDE">
        <w:rPr>
          <w:bCs/>
          <w:i/>
          <w:szCs w:val="24"/>
          <w:lang w:val="fr-CA"/>
        </w:rPr>
        <w:t>R. c. Halliday</w:t>
      </w:r>
      <w:r w:rsidRPr="00DE7EDE">
        <w:rPr>
          <w:bCs/>
          <w:szCs w:val="24"/>
          <w:lang w:val="fr-CA"/>
        </w:rPr>
        <w:t>, 2012 ONCA 351 (</w:t>
      </w:r>
      <w:proofErr w:type="spellStart"/>
      <w:r w:rsidRPr="00DE7EDE">
        <w:rPr>
          <w:bCs/>
          <w:szCs w:val="24"/>
          <w:lang w:val="fr-CA"/>
        </w:rPr>
        <w:t>CanLII</w:t>
      </w:r>
      <w:proofErr w:type="spellEnd"/>
      <w:r w:rsidRPr="00DE7EDE">
        <w:rPr>
          <w:bCs/>
          <w:szCs w:val="24"/>
          <w:lang w:val="fr-CA"/>
        </w:rPr>
        <w:t xml:space="preserve">); </w:t>
      </w:r>
      <w:r w:rsidRPr="00DE7EDE">
        <w:rPr>
          <w:bCs/>
          <w:i/>
          <w:szCs w:val="24"/>
          <w:lang w:val="fr-CA"/>
        </w:rPr>
        <w:t>R. c. N.A.S.</w:t>
      </w:r>
      <w:r w:rsidRPr="00DE7EDE">
        <w:rPr>
          <w:bCs/>
          <w:szCs w:val="24"/>
          <w:lang w:val="fr-CA"/>
        </w:rPr>
        <w:t xml:space="preserve">, 2007 MBCA 97, 220 Man. R. (2d) 43; </w:t>
      </w:r>
      <w:r w:rsidRPr="00DE7EDE">
        <w:rPr>
          <w:bCs/>
          <w:i/>
          <w:szCs w:val="24"/>
          <w:lang w:val="fr-CA"/>
        </w:rPr>
        <w:t>R. c. Martin</w:t>
      </w:r>
      <w:r w:rsidRPr="00DE7EDE">
        <w:rPr>
          <w:bCs/>
          <w:szCs w:val="24"/>
          <w:lang w:val="fr-CA"/>
        </w:rPr>
        <w:t>, 2012 QCCA 2223 (</w:t>
      </w:r>
      <w:proofErr w:type="spellStart"/>
      <w:r w:rsidRPr="00DE7EDE">
        <w:rPr>
          <w:bCs/>
          <w:szCs w:val="24"/>
          <w:lang w:val="fr-CA"/>
        </w:rPr>
        <w:t>CanLII</w:t>
      </w:r>
      <w:proofErr w:type="spellEnd"/>
      <w:r w:rsidRPr="00DE7EDE">
        <w:rPr>
          <w:bCs/>
          <w:szCs w:val="24"/>
          <w:lang w:val="fr-CA"/>
        </w:rPr>
        <w:t xml:space="preserve">); </w:t>
      </w:r>
      <w:r w:rsidRPr="00DE7EDE">
        <w:rPr>
          <w:bCs/>
          <w:i/>
          <w:szCs w:val="24"/>
          <w:lang w:val="fr-CA"/>
        </w:rPr>
        <w:t>R. c. Williamson</w:t>
      </w:r>
      <w:r w:rsidRPr="00DE7EDE">
        <w:rPr>
          <w:bCs/>
          <w:szCs w:val="24"/>
          <w:lang w:val="fr-CA"/>
        </w:rPr>
        <w:t xml:space="preserve">, 2003 BCCA 673, 191 B.C.A.C. 208; </w:t>
      </w:r>
      <w:r w:rsidRPr="00DE7EDE">
        <w:rPr>
          <w:bCs/>
          <w:i/>
          <w:szCs w:val="24"/>
          <w:lang w:val="fr-CA"/>
        </w:rPr>
        <w:t>R. c. Ferguson</w:t>
      </w:r>
      <w:r w:rsidRPr="00DE7EDE">
        <w:rPr>
          <w:bCs/>
          <w:szCs w:val="24"/>
          <w:lang w:val="fr-CA"/>
        </w:rPr>
        <w:t xml:space="preserve"> (2005), 207 O.A.C. 380; </w:t>
      </w:r>
      <w:r w:rsidRPr="00DE7EDE">
        <w:rPr>
          <w:bCs/>
          <w:i/>
          <w:szCs w:val="24"/>
          <w:lang w:val="fr-CA"/>
        </w:rPr>
        <w:t>R. c. B.J.M.</w:t>
      </w:r>
      <w:r w:rsidRPr="00DE7EDE">
        <w:rPr>
          <w:bCs/>
          <w:szCs w:val="24"/>
          <w:lang w:val="fr-CA"/>
        </w:rPr>
        <w:t>, 2007 ONCA 221 (</w:t>
      </w:r>
      <w:proofErr w:type="spellStart"/>
      <w:r w:rsidRPr="00DE7EDE">
        <w:rPr>
          <w:bCs/>
          <w:szCs w:val="24"/>
          <w:lang w:val="fr-CA"/>
        </w:rPr>
        <w:t>CanLII</w:t>
      </w:r>
      <w:proofErr w:type="spellEnd"/>
      <w:r w:rsidRPr="00DE7EDE">
        <w:rPr>
          <w:bCs/>
          <w:szCs w:val="24"/>
          <w:lang w:val="fr-CA"/>
        </w:rPr>
        <w:t xml:space="preserve">); </w:t>
      </w:r>
      <w:r w:rsidRPr="00DE7EDE">
        <w:rPr>
          <w:bCs/>
          <w:i/>
          <w:szCs w:val="24"/>
          <w:lang w:val="fr-CA"/>
        </w:rPr>
        <w:t>R. c. T.L.</w:t>
      </w:r>
      <w:r w:rsidRPr="00DE7EDE">
        <w:rPr>
          <w:bCs/>
          <w:szCs w:val="24"/>
          <w:lang w:val="fr-CA"/>
        </w:rPr>
        <w:t>, 2008 ONCA 766 (</w:t>
      </w:r>
      <w:proofErr w:type="spellStart"/>
      <w:r w:rsidRPr="00DE7EDE">
        <w:rPr>
          <w:bCs/>
          <w:szCs w:val="24"/>
          <w:lang w:val="fr-CA"/>
        </w:rPr>
        <w:t>CanLII</w:t>
      </w:r>
      <w:proofErr w:type="spellEnd"/>
      <w:r w:rsidRPr="00DE7EDE">
        <w:rPr>
          <w:bCs/>
          <w:szCs w:val="24"/>
          <w:lang w:val="fr-CA"/>
        </w:rPr>
        <w:t xml:space="preserve">); </w:t>
      </w:r>
      <w:r w:rsidRPr="00DE7EDE">
        <w:rPr>
          <w:bCs/>
          <w:i/>
          <w:szCs w:val="24"/>
          <w:lang w:val="fr-CA"/>
        </w:rPr>
        <w:t xml:space="preserve">R. c. </w:t>
      </w:r>
      <w:proofErr w:type="spellStart"/>
      <w:r w:rsidRPr="00DE7EDE">
        <w:rPr>
          <w:bCs/>
          <w:i/>
          <w:szCs w:val="24"/>
          <w:lang w:val="fr-CA"/>
        </w:rPr>
        <w:t>Mason</w:t>
      </w:r>
      <w:proofErr w:type="spellEnd"/>
      <w:r w:rsidRPr="00DE7EDE">
        <w:rPr>
          <w:bCs/>
          <w:szCs w:val="24"/>
          <w:lang w:val="fr-CA"/>
        </w:rPr>
        <w:t xml:space="preserve"> (2001), 147 O.A.C. 388; </w:t>
      </w:r>
      <w:r w:rsidRPr="00DE7EDE">
        <w:rPr>
          <w:bCs/>
          <w:i/>
          <w:szCs w:val="24"/>
          <w:lang w:val="fr-CA"/>
        </w:rPr>
        <w:t>R. c. Henry</w:t>
      </w:r>
      <w:r w:rsidRPr="00DE7EDE">
        <w:rPr>
          <w:bCs/>
          <w:szCs w:val="24"/>
          <w:lang w:val="fr-CA"/>
        </w:rPr>
        <w:t xml:space="preserve">, 2002 BCCA 575, 174 B.C.A.C. 238; </w:t>
      </w:r>
      <w:r w:rsidRPr="00DE7EDE">
        <w:rPr>
          <w:bCs/>
          <w:i/>
          <w:szCs w:val="24"/>
          <w:lang w:val="fr-CA"/>
        </w:rPr>
        <w:t xml:space="preserve">R. c. </w:t>
      </w:r>
      <w:proofErr w:type="spellStart"/>
      <w:r w:rsidRPr="00DE7EDE">
        <w:rPr>
          <w:bCs/>
          <w:i/>
          <w:szCs w:val="24"/>
          <w:lang w:val="fr-CA"/>
        </w:rPr>
        <w:t>Armistead</w:t>
      </w:r>
      <w:proofErr w:type="spellEnd"/>
      <w:r w:rsidRPr="00DE7EDE">
        <w:rPr>
          <w:bCs/>
          <w:szCs w:val="24"/>
          <w:lang w:val="fr-CA"/>
        </w:rPr>
        <w:t>, 2003 BCCA 699, 192 B.C.A.C. 227.</w:t>
      </w:r>
    </w:p>
    <w:p w:rsidR="004E538E" w:rsidRPr="00DE7EDE" w:rsidRDefault="004E538E" w:rsidP="0017725D">
      <w:pPr>
        <w:pStyle w:val="SCCNormalDoubleSpacing"/>
        <w:spacing w:after="720" w:line="240" w:lineRule="auto"/>
        <w:rPr>
          <w:b/>
          <w:lang w:val="fr-CA"/>
        </w:rPr>
      </w:pPr>
      <w:r w:rsidRPr="00DE7EDE">
        <w:rPr>
          <w:b/>
          <w:lang w:val="fr-CA"/>
        </w:rPr>
        <w:t>Lois et règlements cités</w:t>
      </w:r>
    </w:p>
    <w:p w:rsidR="004E538E" w:rsidRPr="00DE7EDE" w:rsidRDefault="004E538E" w:rsidP="0017725D">
      <w:pPr>
        <w:pStyle w:val="SCCNormalDoubleSpacing"/>
        <w:spacing w:after="240" w:line="240" w:lineRule="auto"/>
        <w:ind w:left="547" w:hanging="547"/>
      </w:pPr>
      <w:r w:rsidRPr="00DE7EDE">
        <w:rPr>
          <w:i/>
          <w:lang w:val="fr-CA"/>
        </w:rPr>
        <w:t>Code criminel</w:t>
      </w:r>
      <w:r w:rsidRPr="00DE7EDE">
        <w:rPr>
          <w:lang w:val="fr-CA"/>
        </w:rPr>
        <w:t xml:space="preserve">, L.R.C. 1985, </w:t>
      </w:r>
      <w:r>
        <w:rPr>
          <w:lang w:val="fr-CA"/>
        </w:rPr>
        <w:t>ch.</w:t>
      </w:r>
      <w:r w:rsidR="0017725D">
        <w:rPr>
          <w:lang w:val="fr-CA"/>
        </w:rPr>
        <w:t xml:space="preserve"> </w:t>
      </w:r>
      <w:proofErr w:type="gramStart"/>
      <w:r w:rsidRPr="00DE7EDE">
        <w:t>C</w:t>
      </w:r>
      <w:r w:rsidR="0017725D">
        <w:t xml:space="preserve"> </w:t>
      </w:r>
      <w:r w:rsidRPr="00DE7EDE">
        <w:t xml:space="preserve">46, </w:t>
      </w:r>
      <w:r>
        <w:t>art.</w:t>
      </w:r>
      <w:proofErr w:type="gramEnd"/>
      <w:r w:rsidR="0017725D">
        <w:t xml:space="preserve"> </w:t>
      </w:r>
      <w:r w:rsidRPr="00DE7EDE">
        <w:t>675(1</w:t>
      </w:r>
      <w:proofErr w:type="gramStart"/>
      <w:r w:rsidRPr="00DE7EDE">
        <w:t>)</w:t>
      </w:r>
      <w:proofErr w:type="gramEnd"/>
      <w:r w:rsidRPr="00DE7EDE">
        <w:rPr>
          <w:i/>
        </w:rPr>
        <w:t>b</w:t>
      </w:r>
      <w:r w:rsidRPr="00DE7EDE">
        <w:t xml:space="preserve">), 683(1), 687, </w:t>
      </w:r>
      <w:proofErr w:type="spellStart"/>
      <w:r w:rsidRPr="00DE7EDE">
        <w:t>partie</w:t>
      </w:r>
      <w:proofErr w:type="spellEnd"/>
      <w:r w:rsidR="0017725D">
        <w:t xml:space="preserve"> </w:t>
      </w:r>
      <w:r w:rsidRPr="00DE7EDE">
        <w:t>XXIV, 752, 753 [</w:t>
      </w:r>
      <w:proofErr w:type="spellStart"/>
      <w:r w:rsidRPr="00DE7EDE">
        <w:t>aj</w:t>
      </w:r>
      <w:proofErr w:type="spellEnd"/>
      <w:r w:rsidRPr="00DE7EDE">
        <w:t xml:space="preserve">. 1997, </w:t>
      </w:r>
      <w:proofErr w:type="spellStart"/>
      <w:r>
        <w:t>ch</w:t>
      </w:r>
      <w:proofErr w:type="spellEnd"/>
      <w:r>
        <w:t>.</w:t>
      </w:r>
      <w:r w:rsidR="0017725D">
        <w:t xml:space="preserve"> </w:t>
      </w:r>
      <w:r w:rsidRPr="00DE7EDE">
        <w:t xml:space="preserve">17, </w:t>
      </w:r>
      <w:r>
        <w:t>art.</w:t>
      </w:r>
      <w:r w:rsidR="0017725D">
        <w:t xml:space="preserve"> </w:t>
      </w:r>
      <w:r w:rsidRPr="00DE7EDE">
        <w:t>4], 753.1(1) [</w:t>
      </w:r>
      <w:r w:rsidRPr="00DE7EDE">
        <w:rPr>
          <w:i/>
        </w:rPr>
        <w:t>idem</w:t>
      </w:r>
      <w:r w:rsidRPr="00DE7EDE">
        <w:t>], 759(1), (3)</w:t>
      </w:r>
      <w:r w:rsidR="00ED3057" w:rsidRPr="00ED3057">
        <w:rPr>
          <w:i/>
        </w:rPr>
        <w:t>a</w:t>
      </w:r>
      <w:r w:rsidR="00ED3057">
        <w:t>)</w:t>
      </w:r>
      <w:r w:rsidRPr="00DE7EDE">
        <w:t>, (7).</w:t>
      </w:r>
    </w:p>
    <w:p w:rsidR="004E538E" w:rsidRPr="00DE7EDE" w:rsidRDefault="004E538E" w:rsidP="0017725D">
      <w:pPr>
        <w:pStyle w:val="SCCNormalDoubleSpacing"/>
        <w:spacing w:after="720" w:line="240" w:lineRule="auto"/>
        <w:ind w:left="547" w:hanging="547"/>
        <w:rPr>
          <w:lang w:val="fr-CA"/>
        </w:rPr>
      </w:pPr>
      <w:r w:rsidRPr="00DE7EDE">
        <w:rPr>
          <w:i/>
          <w:lang w:val="fr-CA"/>
        </w:rPr>
        <w:t>Loi sur la lutte contre les crimes violents</w:t>
      </w:r>
      <w:r w:rsidRPr="00DE7EDE">
        <w:rPr>
          <w:lang w:val="fr-CA"/>
        </w:rPr>
        <w:t xml:space="preserve">, L.C. 2008, </w:t>
      </w:r>
      <w:r>
        <w:rPr>
          <w:lang w:val="fr-CA"/>
        </w:rPr>
        <w:t>ch.</w:t>
      </w:r>
      <w:r w:rsidR="0017725D">
        <w:rPr>
          <w:lang w:val="fr-CA"/>
        </w:rPr>
        <w:t xml:space="preserve"> </w:t>
      </w:r>
      <w:r w:rsidRPr="00DE7EDE">
        <w:rPr>
          <w:lang w:val="fr-CA"/>
        </w:rPr>
        <w:t>6.</w:t>
      </w:r>
    </w:p>
    <w:p w:rsidR="004E538E" w:rsidRPr="00DE7EDE" w:rsidRDefault="004E538E" w:rsidP="0017725D">
      <w:pPr>
        <w:pStyle w:val="SCCNormalDoubleSpacing"/>
        <w:spacing w:after="720" w:line="240" w:lineRule="auto"/>
        <w:rPr>
          <w:b/>
          <w:lang w:val="en-US"/>
        </w:rPr>
      </w:pPr>
      <w:r w:rsidRPr="00DE7EDE">
        <w:rPr>
          <w:b/>
          <w:lang w:val="en-US"/>
        </w:rPr>
        <w:t xml:space="preserve">Doctrine </w:t>
      </w:r>
      <w:proofErr w:type="gramStart"/>
      <w:r w:rsidRPr="00DE7EDE">
        <w:rPr>
          <w:b/>
          <w:lang w:val="en-US"/>
        </w:rPr>
        <w:t>et</w:t>
      </w:r>
      <w:proofErr w:type="gramEnd"/>
      <w:r w:rsidRPr="00DE7EDE">
        <w:rPr>
          <w:b/>
          <w:lang w:val="en-US"/>
        </w:rPr>
        <w:t xml:space="preserve"> </w:t>
      </w:r>
      <w:proofErr w:type="spellStart"/>
      <w:r w:rsidRPr="00DE7EDE">
        <w:rPr>
          <w:b/>
          <w:lang w:val="en-US"/>
        </w:rPr>
        <w:t>autres</w:t>
      </w:r>
      <w:proofErr w:type="spellEnd"/>
      <w:r w:rsidRPr="00DE7EDE">
        <w:rPr>
          <w:b/>
          <w:lang w:val="en-US"/>
        </w:rPr>
        <w:t xml:space="preserve"> documents </w:t>
      </w:r>
      <w:proofErr w:type="spellStart"/>
      <w:r w:rsidRPr="00DE7EDE">
        <w:rPr>
          <w:b/>
          <w:lang w:val="en-US"/>
        </w:rPr>
        <w:t>cités</w:t>
      </w:r>
      <w:proofErr w:type="spellEnd"/>
    </w:p>
    <w:p w:rsidR="004E538E" w:rsidRPr="00DE7EDE" w:rsidRDefault="004E538E" w:rsidP="0017725D">
      <w:pPr>
        <w:pStyle w:val="SCCNormalDoubleSpacing"/>
        <w:spacing w:after="720" w:line="240" w:lineRule="auto"/>
        <w:ind w:left="547" w:hanging="547"/>
        <w:rPr>
          <w:lang w:val="fr-CA"/>
        </w:rPr>
      </w:pPr>
      <w:proofErr w:type="gramStart"/>
      <w:r w:rsidRPr="00DE7EDE">
        <w:t>Ruby, Clayton</w:t>
      </w:r>
      <w:r w:rsidR="0017725D">
        <w:t xml:space="preserve"> </w:t>
      </w:r>
      <w:r w:rsidRPr="00DE7EDE">
        <w:t>C., Gerald</w:t>
      </w:r>
      <w:r w:rsidR="0017725D">
        <w:t xml:space="preserve"> </w:t>
      </w:r>
      <w:r w:rsidRPr="00DE7EDE">
        <w:t>J. Chan and Nader</w:t>
      </w:r>
      <w:r w:rsidR="0017725D">
        <w:t xml:space="preserve"> </w:t>
      </w:r>
      <w:r w:rsidRPr="00DE7EDE">
        <w:t xml:space="preserve">R. </w:t>
      </w:r>
      <w:proofErr w:type="spellStart"/>
      <w:r w:rsidRPr="00DE7EDE">
        <w:t>Hasan</w:t>
      </w:r>
      <w:proofErr w:type="spellEnd"/>
      <w:r w:rsidRPr="00DE7EDE">
        <w:t>.</w:t>
      </w:r>
      <w:proofErr w:type="gramEnd"/>
      <w:r w:rsidRPr="00DE7EDE">
        <w:t xml:space="preserve">  </w:t>
      </w:r>
      <w:r w:rsidRPr="00DE7EDE">
        <w:rPr>
          <w:i/>
        </w:rPr>
        <w:t>Sentencing</w:t>
      </w:r>
      <w:r w:rsidRPr="00DE7EDE">
        <w:t xml:space="preserve">, 8th ed. </w:t>
      </w:r>
      <w:r w:rsidRPr="00DE7EDE">
        <w:rPr>
          <w:lang w:val="fr-CA"/>
        </w:rPr>
        <w:t>Markham, Ont</w:t>
      </w:r>
      <w:proofErr w:type="gramStart"/>
      <w:r w:rsidRPr="00DE7EDE">
        <w:rPr>
          <w:lang w:val="fr-CA"/>
        </w:rPr>
        <w:t>.</w:t>
      </w:r>
      <w:r w:rsidR="0017725D">
        <w:rPr>
          <w:lang w:val="fr-CA"/>
        </w:rPr>
        <w:t> :</w:t>
      </w:r>
      <w:proofErr w:type="gramEnd"/>
      <w:r w:rsidRPr="00DE7EDE">
        <w:rPr>
          <w:lang w:val="fr-CA"/>
        </w:rPr>
        <w:t xml:space="preserve"> </w:t>
      </w:r>
      <w:proofErr w:type="spellStart"/>
      <w:r w:rsidRPr="00DE7EDE">
        <w:rPr>
          <w:lang w:val="fr-CA"/>
        </w:rPr>
        <w:t>LexisNexis</w:t>
      </w:r>
      <w:proofErr w:type="spellEnd"/>
      <w:r w:rsidRPr="00DE7EDE">
        <w:rPr>
          <w:lang w:val="fr-CA"/>
        </w:rPr>
        <w:t>, 2012.</w:t>
      </w:r>
    </w:p>
    <w:p w:rsidR="004E538E" w:rsidRPr="00DE7EDE" w:rsidRDefault="004E538E" w:rsidP="0017725D">
      <w:pPr>
        <w:pStyle w:val="SCCNormalDoubleSpacing"/>
        <w:spacing w:before="480" w:after="480"/>
        <w:rPr>
          <w:lang w:val="fr-CA"/>
        </w:rPr>
      </w:pPr>
      <w:r w:rsidRPr="00DE7EDE">
        <w:rPr>
          <w:lang w:val="fr-CA"/>
        </w:rPr>
        <w:tab/>
        <w:t xml:space="preserve">POURVOI contre un arrêt de la Cour d’appel de l’Ontario (les juges Doherty, Watt et </w:t>
      </w:r>
      <w:proofErr w:type="spellStart"/>
      <w:r w:rsidRPr="00DE7EDE">
        <w:rPr>
          <w:lang w:val="fr-CA"/>
        </w:rPr>
        <w:t>Pepall</w:t>
      </w:r>
      <w:proofErr w:type="spellEnd"/>
      <w:r w:rsidRPr="00DE7EDE">
        <w:rPr>
          <w:lang w:val="fr-CA"/>
        </w:rPr>
        <w:t xml:space="preserve">), 2012 ONCA 751, 298 O.A.C. 233, 297 C.C.C. (3d) 22, [2012] O.J. </w:t>
      </w:r>
      <w:r>
        <w:rPr>
          <w:lang w:val="fr-CA"/>
        </w:rPr>
        <w:t>No.</w:t>
      </w:r>
      <w:r w:rsidR="0017725D">
        <w:rPr>
          <w:lang w:val="fr-CA"/>
        </w:rPr>
        <w:t xml:space="preserve"> </w:t>
      </w:r>
      <w:r w:rsidRPr="00DE7EDE">
        <w:rPr>
          <w:lang w:val="fr-CA"/>
        </w:rPr>
        <w:t xml:space="preserve">5212 (QL), 2012 </w:t>
      </w:r>
      <w:proofErr w:type="spellStart"/>
      <w:r w:rsidRPr="00DE7EDE">
        <w:rPr>
          <w:lang w:val="fr-CA"/>
        </w:rPr>
        <w:t>CarswellOnt</w:t>
      </w:r>
      <w:proofErr w:type="spellEnd"/>
      <w:r w:rsidRPr="00DE7EDE">
        <w:rPr>
          <w:lang w:val="fr-CA"/>
        </w:rPr>
        <w:t xml:space="preserve"> 13907, qui a confirmé une décision </w:t>
      </w:r>
      <w:r w:rsidR="002E392A">
        <w:rPr>
          <w:lang w:val="fr-CA"/>
        </w:rPr>
        <w:t xml:space="preserve">du </w:t>
      </w:r>
      <w:r w:rsidR="002E392A">
        <w:rPr>
          <w:lang w:val="fr-CA"/>
        </w:rPr>
        <w:lastRenderedPageBreak/>
        <w:t xml:space="preserve">juge </w:t>
      </w:r>
      <w:proofErr w:type="spellStart"/>
      <w:r w:rsidR="002E392A">
        <w:rPr>
          <w:lang w:val="fr-CA"/>
        </w:rPr>
        <w:t>Lofchik</w:t>
      </w:r>
      <w:proofErr w:type="spellEnd"/>
      <w:r w:rsidR="002E392A">
        <w:rPr>
          <w:lang w:val="fr-CA"/>
        </w:rPr>
        <w:t xml:space="preserve"> relative à la dé</w:t>
      </w:r>
      <w:r w:rsidRPr="00DE7EDE">
        <w:rPr>
          <w:lang w:val="fr-CA"/>
        </w:rPr>
        <w:t xml:space="preserve">termination de la peine (1998), 54 O.T.C. 241, [1998] O.J. </w:t>
      </w:r>
      <w:r>
        <w:rPr>
          <w:lang w:val="fr-CA"/>
        </w:rPr>
        <w:t>No.</w:t>
      </w:r>
      <w:r w:rsidR="0017725D">
        <w:rPr>
          <w:lang w:val="fr-CA"/>
        </w:rPr>
        <w:t xml:space="preserve"> </w:t>
      </w:r>
      <w:r w:rsidRPr="00DE7EDE">
        <w:rPr>
          <w:lang w:val="fr-CA"/>
        </w:rPr>
        <w:t xml:space="preserve">985 (QL), 1998 </w:t>
      </w:r>
      <w:proofErr w:type="spellStart"/>
      <w:r w:rsidRPr="00DE7EDE">
        <w:rPr>
          <w:lang w:val="fr-CA"/>
        </w:rPr>
        <w:t>CarswellOnt</w:t>
      </w:r>
      <w:proofErr w:type="spellEnd"/>
      <w:r w:rsidRPr="00DE7EDE">
        <w:rPr>
          <w:lang w:val="fr-CA"/>
        </w:rPr>
        <w:t xml:space="preserve"> 1219.  Pourvoi rejeté.</w:t>
      </w:r>
    </w:p>
    <w:p w:rsidR="004E538E" w:rsidRPr="00DE7EDE" w:rsidRDefault="004E538E" w:rsidP="0017725D">
      <w:pPr>
        <w:pStyle w:val="SCCNormalDoubleSpacing"/>
        <w:spacing w:before="480" w:after="480"/>
        <w:rPr>
          <w:lang w:val="fr-CA"/>
        </w:rPr>
      </w:pPr>
      <w:r w:rsidRPr="00DE7EDE">
        <w:rPr>
          <w:rStyle w:val="SCCCounselNameChar"/>
          <w:lang w:val="fr-CA"/>
        </w:rPr>
        <w:tab/>
        <w:t xml:space="preserve">Michael </w:t>
      </w:r>
      <w:proofErr w:type="spellStart"/>
      <w:r w:rsidRPr="00DE7EDE">
        <w:rPr>
          <w:rStyle w:val="SCCCounselNameChar"/>
          <w:lang w:val="fr-CA"/>
        </w:rPr>
        <w:t>Dineen</w:t>
      </w:r>
      <w:proofErr w:type="spellEnd"/>
      <w:r w:rsidRPr="00DE7EDE">
        <w:rPr>
          <w:rStyle w:val="SCCCounselSeparatorChar"/>
          <w:lang w:val="fr-CA"/>
        </w:rPr>
        <w:t xml:space="preserve"> et </w:t>
      </w:r>
      <w:r w:rsidRPr="00DE7EDE">
        <w:rPr>
          <w:rStyle w:val="SCCCounselNameChar"/>
          <w:lang w:val="fr-CA"/>
        </w:rPr>
        <w:t xml:space="preserve">Jonathan </w:t>
      </w:r>
      <w:proofErr w:type="spellStart"/>
      <w:r w:rsidRPr="00DE7EDE">
        <w:rPr>
          <w:rStyle w:val="SCCCounselNameChar"/>
          <w:lang w:val="fr-CA"/>
        </w:rPr>
        <w:t>Dawe</w:t>
      </w:r>
      <w:proofErr w:type="spellEnd"/>
      <w:r w:rsidRPr="00DE7EDE">
        <w:rPr>
          <w:rStyle w:val="SCCCounselPartyRoleChar"/>
          <w:lang w:val="fr-CA"/>
        </w:rPr>
        <w:t>, pour l’appelant.</w:t>
      </w:r>
    </w:p>
    <w:p w:rsidR="004E538E" w:rsidRPr="00DE7EDE" w:rsidRDefault="004E538E" w:rsidP="0017725D">
      <w:pPr>
        <w:pStyle w:val="SCCNormalDoubleSpacing"/>
        <w:spacing w:before="480" w:after="480"/>
        <w:rPr>
          <w:lang w:val="fr-CA"/>
        </w:rPr>
      </w:pPr>
      <w:r w:rsidRPr="00DE7EDE">
        <w:rPr>
          <w:rStyle w:val="SCCCounselNameChar"/>
          <w:lang w:val="fr-CA"/>
        </w:rPr>
        <w:tab/>
        <w:t>Roger</w:t>
      </w:r>
      <w:r w:rsidR="0017725D">
        <w:rPr>
          <w:rStyle w:val="SCCCounselNameChar"/>
          <w:lang w:val="fr-CA"/>
        </w:rPr>
        <w:t xml:space="preserve"> </w:t>
      </w:r>
      <w:r w:rsidRPr="00DE7EDE">
        <w:rPr>
          <w:rStyle w:val="SCCCounselNameChar"/>
          <w:lang w:val="fr-CA"/>
        </w:rPr>
        <w:t xml:space="preserve">A. </w:t>
      </w:r>
      <w:proofErr w:type="spellStart"/>
      <w:r w:rsidRPr="00DE7EDE">
        <w:rPr>
          <w:rStyle w:val="SCCCounselNameChar"/>
          <w:lang w:val="fr-CA"/>
        </w:rPr>
        <w:t>Pinnock</w:t>
      </w:r>
      <w:proofErr w:type="spellEnd"/>
      <w:r w:rsidRPr="00DE7EDE">
        <w:rPr>
          <w:rStyle w:val="SCCCounselPartyRoleChar"/>
          <w:lang w:val="fr-CA"/>
        </w:rPr>
        <w:t>, pour l’intimée.</w:t>
      </w:r>
    </w:p>
    <w:p w:rsidR="004E538E" w:rsidRDefault="004E538E" w:rsidP="0017725D">
      <w:pPr>
        <w:pStyle w:val="SCCNormalDoubleSpacing"/>
        <w:spacing w:before="480" w:after="480"/>
        <w:rPr>
          <w:rStyle w:val="SCCCounselPartyRoleChar"/>
          <w:lang w:val="fr-CA"/>
        </w:rPr>
      </w:pPr>
      <w:r w:rsidRPr="00DE7EDE">
        <w:rPr>
          <w:rStyle w:val="SCCCounselNameChar"/>
          <w:lang w:val="fr-CA"/>
        </w:rPr>
        <w:tab/>
        <w:t>Nader</w:t>
      </w:r>
      <w:r w:rsidR="0017725D">
        <w:rPr>
          <w:rStyle w:val="SCCCounselNameChar"/>
          <w:lang w:val="fr-CA"/>
        </w:rPr>
        <w:t xml:space="preserve"> </w:t>
      </w:r>
      <w:r w:rsidRPr="00DE7EDE">
        <w:rPr>
          <w:rStyle w:val="SCCCounselNameChar"/>
          <w:lang w:val="fr-CA"/>
        </w:rPr>
        <w:t>R. Hasan</w:t>
      </w:r>
      <w:r w:rsidRPr="00C04E64">
        <w:rPr>
          <w:rStyle w:val="SCCCounselNameChar"/>
          <w:i w:val="0"/>
          <w:lang w:val="fr-CA"/>
        </w:rPr>
        <w:t xml:space="preserve"> et</w:t>
      </w:r>
      <w:r w:rsidRPr="00DE7EDE">
        <w:rPr>
          <w:rStyle w:val="SCCCounselNameChar"/>
          <w:lang w:val="fr-CA"/>
        </w:rPr>
        <w:t xml:space="preserve"> Gerald Chan</w:t>
      </w:r>
      <w:r w:rsidRPr="00DE7EDE">
        <w:rPr>
          <w:rStyle w:val="SCCCounselPartyRoleChar"/>
          <w:lang w:val="fr-CA"/>
        </w:rPr>
        <w:t>, pour l’intervenante.</w:t>
      </w:r>
    </w:p>
    <w:p w:rsidR="004E538E" w:rsidRPr="00ED3057" w:rsidRDefault="00ED3057" w:rsidP="0017725D">
      <w:pPr>
        <w:pStyle w:val="JudgeJuge"/>
        <w:spacing w:before="480"/>
        <w:rPr>
          <w:smallCaps w:val="0"/>
          <w:lang w:val="fr-CA"/>
        </w:rPr>
      </w:pPr>
      <w:r w:rsidRPr="00ED3057">
        <w:rPr>
          <w:smallCaps w:val="0"/>
          <w:lang w:val="fr-CA"/>
        </w:rPr>
        <w:tab/>
        <w:t>Versio</w:t>
      </w:r>
      <w:r>
        <w:rPr>
          <w:smallCaps w:val="0"/>
          <w:lang w:val="fr-CA"/>
        </w:rPr>
        <w:t>n française du jugement de la Cour rendu par</w:t>
      </w:r>
    </w:p>
    <w:p w:rsidR="004E538E" w:rsidRPr="001641E0" w:rsidRDefault="004E538E" w:rsidP="0017725D">
      <w:pPr>
        <w:pStyle w:val="JudgeJuge"/>
        <w:spacing w:before="480"/>
        <w:rPr>
          <w:lang w:val="fr-CA"/>
        </w:rPr>
      </w:pPr>
      <w:r w:rsidRPr="001641E0">
        <w:rPr>
          <w:lang w:val="fr-CA"/>
        </w:rPr>
        <w:tab/>
        <w:t xml:space="preserve">Le juge Cromwell — </w:t>
      </w:r>
    </w:p>
    <w:p w:rsidR="004E538E" w:rsidRPr="001641E0" w:rsidRDefault="004E538E" w:rsidP="0017725D">
      <w:pPr>
        <w:pStyle w:val="Title1LevelTitre1Niveau-AltL"/>
        <w:spacing w:before="0"/>
        <w:rPr>
          <w:rFonts w:cs="Times New Roman"/>
          <w:lang w:val="fr-CA"/>
        </w:rPr>
      </w:pPr>
      <w:r w:rsidRPr="001641E0">
        <w:rPr>
          <w:rFonts w:cs="Times New Roman"/>
          <w:lang w:val="fr-CA"/>
        </w:rPr>
        <w:t xml:space="preserve">Introduction </w:t>
      </w:r>
    </w:p>
    <w:p w:rsidR="004E538E" w:rsidRPr="001641E0" w:rsidRDefault="004E538E" w:rsidP="0017725D">
      <w:pPr>
        <w:pStyle w:val="ParaNoNdepar-AltN"/>
        <w:rPr>
          <w:rFonts w:cs="Times New Roman"/>
          <w:lang w:val="fr-CA"/>
        </w:rPr>
      </w:pPr>
      <w:r w:rsidRPr="001641E0">
        <w:rPr>
          <w:rFonts w:cs="Times New Roman"/>
          <w:lang w:val="fr-CA"/>
        </w:rPr>
        <w:t>Le présent pourvoi porte sur deux questions connexes relatives au contrôle en appel d’une déclaration selon laquelle un délinquant est un délinquant dangereux. Tout d’abord, il s’agit de savoir si l’erreur de droit commise par le juge qui a déclaré M.</w:t>
      </w:r>
      <w:r w:rsidR="0017725D">
        <w:rPr>
          <w:rFonts w:cs="Times New Roman"/>
          <w:lang w:val="fr-CA"/>
        </w:rPr>
        <w:t xml:space="preserve"> </w:t>
      </w:r>
      <w:r w:rsidRPr="001641E0">
        <w:rPr>
          <w:rFonts w:cs="Times New Roman"/>
          <w:lang w:val="fr-CA"/>
        </w:rPr>
        <w:t xml:space="preserve">Sipos, l’appelant, délinquant dangereux était </w:t>
      </w:r>
      <w:r w:rsidR="0017725D">
        <w:rPr>
          <w:rFonts w:cs="Times New Roman"/>
          <w:lang w:val="fr-CA"/>
        </w:rPr>
        <w:t>« </w:t>
      </w:r>
      <w:r w:rsidRPr="001641E0">
        <w:rPr>
          <w:rFonts w:cs="Times New Roman"/>
          <w:lang w:val="fr-CA"/>
        </w:rPr>
        <w:t>inoffensive</w:t>
      </w:r>
      <w:r w:rsidR="0017725D">
        <w:rPr>
          <w:rFonts w:cs="Times New Roman"/>
          <w:lang w:val="fr-CA"/>
        </w:rPr>
        <w:t> »</w:t>
      </w:r>
      <w:r w:rsidRPr="001641E0">
        <w:rPr>
          <w:rFonts w:cs="Times New Roman"/>
          <w:lang w:val="fr-CA"/>
        </w:rPr>
        <w:t xml:space="preserve">, en ce sens qu’elle n’a pas eu d’incidence sur la décision finale. Ensuite, il s’agit de trancher la question connexe du rôle qu’il faut accorder en appel à de nouveaux éléments de preuve relatifs au traitement actuel du délinquant et à ses perspectives d’avenir.  </w:t>
      </w:r>
    </w:p>
    <w:p w:rsidR="004E538E" w:rsidRPr="001641E0" w:rsidRDefault="004E538E" w:rsidP="0017725D">
      <w:pPr>
        <w:pStyle w:val="ParaNoNdepar-AltN"/>
        <w:rPr>
          <w:rFonts w:cs="Times New Roman"/>
          <w:lang w:val="fr-CA"/>
        </w:rPr>
      </w:pPr>
      <w:r w:rsidRPr="001641E0">
        <w:rPr>
          <w:rFonts w:cs="Times New Roman"/>
          <w:lang w:val="fr-CA"/>
        </w:rPr>
        <w:t xml:space="preserve">La Cour d’appel de l’Ontario a jugé qu’une erreur de droit est inoffensive s’il n’existe pas de possibilité raisonnable que la décision du juge qui a prononcé la </w:t>
      </w:r>
      <w:r w:rsidRPr="001641E0">
        <w:rPr>
          <w:rFonts w:cs="Times New Roman"/>
          <w:lang w:val="fr-CA"/>
        </w:rPr>
        <w:lastRenderedPageBreak/>
        <w:t xml:space="preserve">peine ait été différente s’il n’avait pas commis l’erreur en question. En présence de nouveaux éléments de preuve, cette norme s’applique comme si le juge qui a prononcé la peine y avait eu accès au moment où il a rendu cette décision. En appliquant cette approche, la Cour d’appel n’a pas fait </w:t>
      </w:r>
      <w:proofErr w:type="gramStart"/>
      <w:r w:rsidRPr="001641E0">
        <w:rPr>
          <w:rFonts w:cs="Times New Roman"/>
          <w:lang w:val="fr-CA"/>
        </w:rPr>
        <w:t>droit</w:t>
      </w:r>
      <w:proofErr w:type="gramEnd"/>
      <w:r w:rsidRPr="001641E0">
        <w:rPr>
          <w:rFonts w:cs="Times New Roman"/>
          <w:lang w:val="fr-CA"/>
        </w:rPr>
        <w:t xml:space="preserve"> à l’appel de M.</w:t>
      </w:r>
      <w:r w:rsidR="0017725D">
        <w:rPr>
          <w:rFonts w:cs="Times New Roman"/>
          <w:lang w:val="fr-CA"/>
        </w:rPr>
        <w:t xml:space="preserve"> </w:t>
      </w:r>
      <w:r w:rsidRPr="001641E0">
        <w:rPr>
          <w:rFonts w:cs="Times New Roman"/>
          <w:lang w:val="fr-CA"/>
        </w:rPr>
        <w:t>Sipos. Elle a rejeté l’argument de ce dernier selon lequel l’appel devrait être accueilli si les nouveaux éléments de preuve soulèvent une possibilité raisonnable que l’issue d’une nouvelle procédure sur le statut de délinquant dangereux puisse être différente de celle de la première procédure.</w:t>
      </w:r>
    </w:p>
    <w:p w:rsidR="004E538E" w:rsidRPr="001641E0" w:rsidRDefault="004E538E" w:rsidP="0017725D">
      <w:pPr>
        <w:pStyle w:val="ParaNoNdepar-AltN"/>
        <w:rPr>
          <w:rFonts w:cs="Times New Roman"/>
          <w:lang w:val="fr-CA"/>
        </w:rPr>
      </w:pPr>
      <w:r w:rsidRPr="001641E0">
        <w:rPr>
          <w:rFonts w:cs="Times New Roman"/>
          <w:lang w:val="fr-CA"/>
        </w:rPr>
        <w:t>M.</w:t>
      </w:r>
      <w:r w:rsidR="0017725D">
        <w:rPr>
          <w:rFonts w:cs="Times New Roman"/>
          <w:lang w:val="fr-CA"/>
        </w:rPr>
        <w:t xml:space="preserve"> </w:t>
      </w:r>
      <w:r w:rsidRPr="001641E0">
        <w:rPr>
          <w:rFonts w:cs="Times New Roman"/>
          <w:lang w:val="fr-CA"/>
        </w:rPr>
        <w:t xml:space="preserve">Sipos a interjeté appel devant la Cour sur autorisation. Il fait valoir que la Cour d’appel a eu tort de rejeter son appel compte tenu des nouveaux éléments de preuve qui suggèrent qu’il existe une possibilité raisonnable qu’une nouvelle procédure sur le statut de délinquant dangereux puisse aboutir à un résultat différent de celui auquel en est venu le juge lors de la première procédure. Il soutient en outre que la Cour d’appel a commis une erreur en statuant que le dossier, en l’espèce, satisfait à la norme exigeante à laquelle il faut satisfaire pour conclure que l’erreur de droit commise par le juge qui a prononcé la peine était inoffensive. Pour traiter au mieux des arguments de l’appelant, il convient, d’une part, de se pencher sur le rôle des nouveaux éléments de preuve lorsque la Cour d’appel est appelée à utiliser ses pouvoirs réparateurs dans le cadre de l’appel d’une déclaration de délinquant dangereux et, d’autre part, d’examiner si la Cour d’appel a commis une erreur dans l’utilisation de ces pouvoirs réparateurs en l’espèce. </w:t>
      </w:r>
    </w:p>
    <w:p w:rsidR="004E538E" w:rsidRPr="001641E0" w:rsidRDefault="004E538E" w:rsidP="0017725D">
      <w:pPr>
        <w:pStyle w:val="ParaNoNdepar-AltN"/>
        <w:rPr>
          <w:rFonts w:cs="Times New Roman"/>
          <w:lang w:val="fr-CA"/>
        </w:rPr>
      </w:pPr>
      <w:r w:rsidRPr="001641E0">
        <w:rPr>
          <w:rFonts w:cs="Times New Roman"/>
          <w:lang w:val="fr-CA"/>
        </w:rPr>
        <w:lastRenderedPageBreak/>
        <w:t xml:space="preserve">Je souscris à la conclusion de la Cour d’appel et je suis d’avis de rejeter le pourvoi. Cela dit, comme je l’expliquerai, j’accorde un rôle quelque peu plus ténu qu’elle aux nouveaux éléments de preuve lorsqu’il s’agit de déterminer si l’erreur de droit commise par le juge qui a prononcé la peine est inoffensive.    </w:t>
      </w:r>
    </w:p>
    <w:p w:rsidR="004E538E" w:rsidRPr="001641E0" w:rsidRDefault="004E538E" w:rsidP="0017725D">
      <w:pPr>
        <w:pStyle w:val="Title1LevelTitre1Niveau-AltL"/>
        <w:rPr>
          <w:rFonts w:cs="Times New Roman"/>
          <w:lang w:val="fr-CA"/>
        </w:rPr>
      </w:pPr>
      <w:r w:rsidRPr="001641E0">
        <w:rPr>
          <w:rFonts w:cs="Times New Roman"/>
          <w:lang w:val="fr-CA"/>
        </w:rPr>
        <w:t>Aperçu des faits et de l’historique judiciaire</w:t>
      </w:r>
    </w:p>
    <w:p w:rsidR="004E538E" w:rsidRPr="001641E0" w:rsidRDefault="004E538E" w:rsidP="0017725D">
      <w:pPr>
        <w:pStyle w:val="Title2LevelTitre2Niveau"/>
        <w:rPr>
          <w:rFonts w:cs="Times New Roman"/>
          <w:lang w:val="fr-CA"/>
        </w:rPr>
      </w:pPr>
      <w:r w:rsidRPr="001641E0">
        <w:rPr>
          <w:rFonts w:cs="Times New Roman"/>
          <w:lang w:val="fr-CA"/>
        </w:rPr>
        <w:t>Historique judiciaire</w:t>
      </w:r>
    </w:p>
    <w:p w:rsidR="004E538E" w:rsidRPr="001641E0" w:rsidRDefault="004E538E" w:rsidP="0017725D">
      <w:pPr>
        <w:pStyle w:val="ParaNoNdepar-AltN"/>
        <w:rPr>
          <w:rFonts w:cs="Times New Roman"/>
          <w:lang w:val="fr-CA"/>
        </w:rPr>
      </w:pPr>
      <w:r w:rsidRPr="001641E0">
        <w:rPr>
          <w:rFonts w:cs="Times New Roman"/>
          <w:lang w:val="fr-CA"/>
        </w:rPr>
        <w:t xml:space="preserve">Le pourvoi a parcouru un chemin long et semé d’embûches avant d’aboutir ici. Cette situation est le </w:t>
      </w:r>
      <w:r w:rsidR="001D5D96">
        <w:rPr>
          <w:rFonts w:cs="Times New Roman"/>
          <w:lang w:val="fr-CA"/>
        </w:rPr>
        <w:t xml:space="preserve">résultat </w:t>
      </w:r>
      <w:r w:rsidRPr="001641E0">
        <w:rPr>
          <w:rFonts w:cs="Times New Roman"/>
          <w:lang w:val="fr-CA"/>
        </w:rPr>
        <w:t>d’un ensemble de modifications législatives et d’évolutions jurisprudentielles, combinées à de très longs délais durant le processus d’appel. Par ces propos, je ne cherche pas à attribuer une faute à qui que ce soit, mais plutôt à souligner combien les circonstances de l</w:t>
      </w:r>
      <w:r w:rsidR="001D5D96">
        <w:rPr>
          <w:rFonts w:cs="Times New Roman"/>
          <w:lang w:val="fr-CA"/>
        </w:rPr>
        <w:t>’affaire dont nous sommes saisi</w:t>
      </w:r>
      <w:r w:rsidRPr="001641E0">
        <w:rPr>
          <w:rFonts w:cs="Times New Roman"/>
          <w:lang w:val="fr-CA"/>
        </w:rPr>
        <w:t>s sont inhabituelles. En 2012, la Cour d’appel s’est ainsi trouvée à statuer sur une déclaration selon laquelle l’appelant était un délinquant dangereux datant de 1998, quelque 14</w:t>
      </w:r>
      <w:r w:rsidR="0017725D">
        <w:rPr>
          <w:rFonts w:cs="Times New Roman"/>
          <w:lang w:val="fr-CA"/>
        </w:rPr>
        <w:t xml:space="preserve"> </w:t>
      </w:r>
      <w:r w:rsidRPr="001641E0">
        <w:rPr>
          <w:rFonts w:cs="Times New Roman"/>
          <w:lang w:val="fr-CA"/>
        </w:rPr>
        <w:t>ans plus tôt, et sur de nouveaux éléments de preuve créés en 2010, soit approximativement 12</w:t>
      </w:r>
      <w:r w:rsidR="0017725D">
        <w:rPr>
          <w:rFonts w:cs="Times New Roman"/>
          <w:lang w:val="fr-CA"/>
        </w:rPr>
        <w:t xml:space="preserve"> </w:t>
      </w:r>
      <w:r w:rsidRPr="001641E0">
        <w:rPr>
          <w:rFonts w:cs="Times New Roman"/>
          <w:lang w:val="fr-CA"/>
        </w:rPr>
        <w:t xml:space="preserve">ans après la fin des procédures qui se sont déroulées devant le juge chargé de statuer sur la peine. </w:t>
      </w:r>
    </w:p>
    <w:p w:rsidR="004E538E" w:rsidRPr="001641E0" w:rsidRDefault="004E538E" w:rsidP="0017725D">
      <w:pPr>
        <w:pStyle w:val="ParaNoNdepar-AltN"/>
        <w:rPr>
          <w:rFonts w:cs="Times New Roman"/>
          <w:lang w:val="fr-CA"/>
        </w:rPr>
      </w:pPr>
      <w:r w:rsidRPr="001641E0">
        <w:rPr>
          <w:rFonts w:cs="Times New Roman"/>
          <w:lang w:val="fr-CA"/>
        </w:rPr>
        <w:t>Le début de la portion la plus pertinente de l’histoire nous reporte à avril</w:t>
      </w:r>
      <w:r w:rsidR="0017725D">
        <w:rPr>
          <w:rFonts w:cs="Times New Roman"/>
          <w:lang w:val="fr-CA"/>
        </w:rPr>
        <w:t xml:space="preserve"> </w:t>
      </w:r>
      <w:r w:rsidRPr="001641E0">
        <w:rPr>
          <w:rFonts w:cs="Times New Roman"/>
          <w:lang w:val="fr-CA"/>
        </w:rPr>
        <w:t xml:space="preserve">1996. Le juge </w:t>
      </w:r>
      <w:proofErr w:type="spellStart"/>
      <w:r w:rsidRPr="001641E0">
        <w:rPr>
          <w:rFonts w:cs="Times New Roman"/>
          <w:lang w:val="fr-CA"/>
        </w:rPr>
        <w:t>Lofchik</w:t>
      </w:r>
      <w:proofErr w:type="spellEnd"/>
      <w:r w:rsidRPr="001641E0">
        <w:rPr>
          <w:rFonts w:cs="Times New Roman"/>
          <w:lang w:val="fr-CA"/>
        </w:rPr>
        <w:t>, qui siégeait alors avec un jury, a déclaré M.</w:t>
      </w:r>
      <w:r w:rsidR="0017725D">
        <w:rPr>
          <w:rFonts w:cs="Times New Roman"/>
          <w:lang w:val="fr-CA"/>
        </w:rPr>
        <w:t xml:space="preserve"> </w:t>
      </w:r>
      <w:r w:rsidRPr="001641E0">
        <w:rPr>
          <w:rFonts w:cs="Times New Roman"/>
          <w:lang w:val="fr-CA"/>
        </w:rPr>
        <w:t>Sipos coupable de multiples infractions de nature sexuelle et d’agressions physiques contre trois femmes, infractions qui ont été perpétrées du milieu des années</w:t>
      </w:r>
      <w:r w:rsidR="0017725D">
        <w:rPr>
          <w:rFonts w:cs="Times New Roman"/>
          <w:lang w:val="fr-CA"/>
        </w:rPr>
        <w:t xml:space="preserve"> </w:t>
      </w:r>
      <w:r w:rsidRPr="001641E0">
        <w:rPr>
          <w:rFonts w:cs="Times New Roman"/>
          <w:lang w:val="fr-CA"/>
        </w:rPr>
        <w:t xml:space="preserve">70 au milieu des </w:t>
      </w:r>
      <w:r w:rsidRPr="001641E0">
        <w:rPr>
          <w:rFonts w:cs="Times New Roman"/>
          <w:lang w:val="fr-CA"/>
        </w:rPr>
        <w:lastRenderedPageBreak/>
        <w:t>années</w:t>
      </w:r>
      <w:r w:rsidR="0017725D">
        <w:rPr>
          <w:rFonts w:cs="Times New Roman"/>
          <w:lang w:val="fr-CA"/>
        </w:rPr>
        <w:t xml:space="preserve"> </w:t>
      </w:r>
      <w:r w:rsidRPr="001641E0">
        <w:rPr>
          <w:rFonts w:cs="Times New Roman"/>
          <w:lang w:val="fr-CA"/>
        </w:rPr>
        <w:t>80. Les déclarations de culpabilité concernaient des infractions de tentative de sodomie, d’attentat à la pudeur, de viol, d’agression sexuelle, d’agression causant des lésions corporelles et de voies de fait simples. M.</w:t>
      </w:r>
      <w:r w:rsidR="0017725D">
        <w:rPr>
          <w:rFonts w:cs="Times New Roman"/>
          <w:lang w:val="fr-CA"/>
        </w:rPr>
        <w:t xml:space="preserve"> </w:t>
      </w:r>
      <w:r w:rsidRPr="001641E0">
        <w:rPr>
          <w:rFonts w:cs="Times New Roman"/>
          <w:lang w:val="fr-CA"/>
        </w:rPr>
        <w:t>Sipos avait aussi un lourd casier judiciaire</w:t>
      </w:r>
      <w:r w:rsidR="000F2A57">
        <w:rPr>
          <w:rFonts w:cs="Times New Roman"/>
          <w:lang w:val="fr-CA"/>
        </w:rPr>
        <w:t>,</w:t>
      </w:r>
      <w:r w:rsidRPr="001641E0">
        <w:rPr>
          <w:rFonts w:cs="Times New Roman"/>
          <w:lang w:val="fr-CA"/>
        </w:rPr>
        <w:t xml:space="preserve"> ayant été trouvé coupable d’autres infractions de violence à l’endroit de femmes entre la fin des années</w:t>
      </w:r>
      <w:r w:rsidR="0017725D">
        <w:rPr>
          <w:rFonts w:cs="Times New Roman"/>
          <w:lang w:val="fr-CA"/>
        </w:rPr>
        <w:t xml:space="preserve"> </w:t>
      </w:r>
      <w:r w:rsidRPr="001641E0">
        <w:rPr>
          <w:rFonts w:cs="Times New Roman"/>
          <w:lang w:val="fr-CA"/>
        </w:rPr>
        <w:t>70 et le milieu des années</w:t>
      </w:r>
      <w:r w:rsidR="0017725D">
        <w:rPr>
          <w:rFonts w:cs="Times New Roman"/>
          <w:lang w:val="fr-CA"/>
        </w:rPr>
        <w:t xml:space="preserve"> </w:t>
      </w:r>
      <w:r w:rsidRPr="001641E0">
        <w:rPr>
          <w:rFonts w:cs="Times New Roman"/>
          <w:lang w:val="fr-CA"/>
        </w:rPr>
        <w:t>80.</w:t>
      </w:r>
    </w:p>
    <w:p w:rsidR="004E538E" w:rsidRPr="001641E0" w:rsidRDefault="004E538E" w:rsidP="0017725D">
      <w:pPr>
        <w:pStyle w:val="ParaNoNdepar-AltN"/>
        <w:rPr>
          <w:rFonts w:cs="Times New Roman"/>
          <w:lang w:val="fr-CA"/>
        </w:rPr>
      </w:pPr>
      <w:r w:rsidRPr="001641E0">
        <w:rPr>
          <w:rFonts w:cs="Times New Roman"/>
          <w:lang w:val="fr-CA"/>
        </w:rPr>
        <w:t>Près de deux ans après avoir été déclaré coupable à son procès, soit en mars</w:t>
      </w:r>
      <w:r w:rsidR="0017725D">
        <w:rPr>
          <w:rFonts w:cs="Times New Roman"/>
          <w:lang w:val="fr-CA"/>
        </w:rPr>
        <w:t xml:space="preserve"> </w:t>
      </w:r>
      <w:r w:rsidRPr="001641E0">
        <w:rPr>
          <w:rFonts w:cs="Times New Roman"/>
          <w:lang w:val="fr-CA"/>
        </w:rPr>
        <w:t>1998, M.</w:t>
      </w:r>
      <w:r w:rsidR="0017725D">
        <w:rPr>
          <w:rFonts w:cs="Times New Roman"/>
          <w:lang w:val="fr-CA"/>
        </w:rPr>
        <w:t xml:space="preserve"> </w:t>
      </w:r>
      <w:r w:rsidRPr="001641E0">
        <w:rPr>
          <w:rFonts w:cs="Times New Roman"/>
          <w:lang w:val="fr-CA"/>
        </w:rPr>
        <w:t>Sipos a été déclaré délinquant dangereux et s’est vu infliger une peine de détention d’une durée indéterminée ([1998] O.J. No.</w:t>
      </w:r>
      <w:r w:rsidR="0017725D">
        <w:rPr>
          <w:rFonts w:cs="Times New Roman"/>
          <w:lang w:val="fr-CA"/>
        </w:rPr>
        <w:t xml:space="preserve"> </w:t>
      </w:r>
      <w:r w:rsidRPr="001641E0">
        <w:rPr>
          <w:rFonts w:cs="Times New Roman"/>
          <w:lang w:val="fr-CA"/>
        </w:rPr>
        <w:t>985 (QL)).</w:t>
      </w:r>
    </w:p>
    <w:p w:rsidR="004E538E" w:rsidRPr="001641E0" w:rsidRDefault="004E538E" w:rsidP="0017725D">
      <w:pPr>
        <w:pStyle w:val="ParaNoNdepar-AltN"/>
        <w:rPr>
          <w:rFonts w:cs="Times New Roman"/>
          <w:lang w:val="fr-CA"/>
        </w:rPr>
      </w:pPr>
      <w:r w:rsidRPr="001641E0">
        <w:rPr>
          <w:rFonts w:cs="Times New Roman"/>
          <w:lang w:val="fr-CA"/>
        </w:rPr>
        <w:t xml:space="preserve">Entre les prononcés de culpabilité et la décision finale par laquelle l’accusé a été déclaré délinquant dangereux, il s’est écoulé deux ans. Dans l’intervalle, de nouvelles dispositions législatives, importantes pour la présente cause, ont été adoptées. Le </w:t>
      </w:r>
      <w:r w:rsidRPr="001641E0">
        <w:rPr>
          <w:rFonts w:cs="Times New Roman"/>
          <w:i/>
          <w:lang w:val="fr-CA"/>
        </w:rPr>
        <w:t>Code criminel</w:t>
      </w:r>
      <w:r w:rsidRPr="001641E0">
        <w:rPr>
          <w:rFonts w:cs="Times New Roman"/>
          <w:lang w:val="fr-CA"/>
        </w:rPr>
        <w:t>, L.R.C.</w:t>
      </w:r>
      <w:r w:rsidR="0017725D">
        <w:rPr>
          <w:rFonts w:cs="Times New Roman"/>
          <w:lang w:val="fr-CA"/>
        </w:rPr>
        <w:t xml:space="preserve"> </w:t>
      </w:r>
      <w:r w:rsidRPr="001641E0">
        <w:rPr>
          <w:rFonts w:cs="Times New Roman"/>
          <w:lang w:val="fr-CA"/>
        </w:rPr>
        <w:t>1985, ch.</w:t>
      </w:r>
      <w:r w:rsidR="0017725D">
        <w:rPr>
          <w:rFonts w:cs="Times New Roman"/>
          <w:lang w:val="fr-CA"/>
        </w:rPr>
        <w:t xml:space="preserve"> </w:t>
      </w:r>
      <w:r w:rsidRPr="001641E0">
        <w:rPr>
          <w:rFonts w:cs="Times New Roman"/>
          <w:lang w:val="fr-CA"/>
        </w:rPr>
        <w:t>C</w:t>
      </w:r>
      <w:r w:rsidR="00F63AAF">
        <w:rPr>
          <w:rFonts w:cs="Times New Roman"/>
          <w:lang w:val="fr-CA"/>
        </w:rPr>
        <w:t>-</w:t>
      </w:r>
      <w:r w:rsidRPr="001641E0">
        <w:rPr>
          <w:rFonts w:cs="Times New Roman"/>
          <w:lang w:val="fr-CA"/>
        </w:rPr>
        <w:t xml:space="preserve">46, a été modifié pour y ajouter la possibilité de déclarer un délinquant </w:t>
      </w:r>
      <w:r w:rsidR="0017725D">
        <w:rPr>
          <w:rFonts w:cs="Times New Roman"/>
          <w:lang w:val="fr-CA"/>
        </w:rPr>
        <w:t>« </w:t>
      </w:r>
      <w:r w:rsidRPr="001641E0">
        <w:rPr>
          <w:rFonts w:cs="Times New Roman"/>
          <w:lang w:val="fr-CA"/>
        </w:rPr>
        <w:t>délinquant à contrôler</w:t>
      </w:r>
      <w:r w:rsidR="0017725D">
        <w:rPr>
          <w:rFonts w:cs="Times New Roman"/>
          <w:lang w:val="fr-CA"/>
        </w:rPr>
        <w:t> »</w:t>
      </w:r>
      <w:r w:rsidRPr="001641E0">
        <w:rPr>
          <w:rFonts w:cs="Times New Roman"/>
          <w:lang w:val="fr-CA"/>
        </w:rPr>
        <w:t xml:space="preserve"> (L.C.</w:t>
      </w:r>
      <w:r w:rsidR="0017725D">
        <w:rPr>
          <w:rFonts w:cs="Times New Roman"/>
          <w:lang w:val="fr-CA"/>
        </w:rPr>
        <w:t xml:space="preserve"> </w:t>
      </w:r>
      <w:r w:rsidRPr="001641E0">
        <w:rPr>
          <w:rFonts w:cs="Times New Roman"/>
          <w:lang w:val="fr-CA"/>
        </w:rPr>
        <w:t>1997, ch.</w:t>
      </w:r>
      <w:r w:rsidR="0017725D">
        <w:rPr>
          <w:rFonts w:cs="Times New Roman"/>
          <w:lang w:val="fr-CA"/>
        </w:rPr>
        <w:t xml:space="preserve"> </w:t>
      </w:r>
      <w:r w:rsidRPr="001641E0">
        <w:rPr>
          <w:rFonts w:cs="Times New Roman"/>
          <w:lang w:val="fr-CA"/>
        </w:rPr>
        <w:t>17, art.</w:t>
      </w:r>
      <w:r w:rsidR="0017725D">
        <w:rPr>
          <w:rFonts w:cs="Times New Roman"/>
          <w:lang w:val="fr-CA"/>
        </w:rPr>
        <w:t xml:space="preserve"> </w:t>
      </w:r>
      <w:r w:rsidRPr="001641E0">
        <w:rPr>
          <w:rFonts w:cs="Times New Roman"/>
          <w:lang w:val="fr-CA"/>
        </w:rPr>
        <w:t>4). Ces nouvelles dispositions étaient en vigueur au moment où M.</w:t>
      </w:r>
      <w:r w:rsidR="0017725D">
        <w:rPr>
          <w:rFonts w:cs="Times New Roman"/>
          <w:lang w:val="fr-CA"/>
        </w:rPr>
        <w:t xml:space="preserve"> </w:t>
      </w:r>
      <w:r w:rsidRPr="001641E0">
        <w:rPr>
          <w:rFonts w:cs="Times New Roman"/>
          <w:lang w:val="fr-CA"/>
        </w:rPr>
        <w:t xml:space="preserve">Sipos a été déclaré délinquant dangereux, mais le juge n’en a pas tenu compte pour rendre sa décision. Il existe de nombreuses différences tant sur le plan du fond que sur celui de la procédure entre les deux déclarations. La distinction principale entre ces deux régimes est cependant celle voulant que, pour conclure qu’un inculpé est un délinquant à contrôler, le juge doive être convaincu qu’il </w:t>
      </w:r>
      <w:r w:rsidR="0017725D">
        <w:rPr>
          <w:rFonts w:cs="Times New Roman"/>
          <w:lang w:val="fr-CA"/>
        </w:rPr>
        <w:t>« </w:t>
      </w:r>
      <w:r w:rsidRPr="001641E0">
        <w:rPr>
          <w:rFonts w:cs="Times New Roman"/>
          <w:lang w:val="fr-CA"/>
        </w:rPr>
        <w:t>exi</w:t>
      </w:r>
      <w:r w:rsidR="00ED3057">
        <w:rPr>
          <w:rFonts w:cs="Times New Roman"/>
          <w:lang w:val="fr-CA"/>
        </w:rPr>
        <w:t>ste une possibilité réelle que c</w:t>
      </w:r>
      <w:r w:rsidRPr="001641E0">
        <w:rPr>
          <w:rFonts w:cs="Times New Roman"/>
          <w:lang w:val="fr-CA"/>
        </w:rPr>
        <w:t>e risque puisse être maîtrisé au sein de la collectivité</w:t>
      </w:r>
      <w:r w:rsidR="0017725D">
        <w:rPr>
          <w:rFonts w:cs="Times New Roman"/>
          <w:lang w:val="fr-CA"/>
        </w:rPr>
        <w:t> » :</w:t>
      </w:r>
      <w:r w:rsidRPr="001641E0">
        <w:rPr>
          <w:rFonts w:cs="Times New Roman"/>
          <w:lang w:val="fr-CA"/>
        </w:rPr>
        <w:t xml:space="preserve"> al.</w:t>
      </w:r>
      <w:r w:rsidR="0017725D">
        <w:rPr>
          <w:rFonts w:cs="Times New Roman"/>
          <w:lang w:val="fr-CA"/>
        </w:rPr>
        <w:t xml:space="preserve"> </w:t>
      </w:r>
      <w:r w:rsidRPr="001641E0">
        <w:rPr>
          <w:rFonts w:cs="Times New Roman"/>
          <w:lang w:val="fr-CA"/>
        </w:rPr>
        <w:t>753.1(1)</w:t>
      </w:r>
      <w:r w:rsidRPr="001641E0">
        <w:rPr>
          <w:rFonts w:cs="Times New Roman"/>
          <w:i/>
          <w:lang w:val="fr-CA"/>
        </w:rPr>
        <w:t>c</w:t>
      </w:r>
      <w:r w:rsidRPr="001641E0">
        <w:rPr>
          <w:rFonts w:cs="Times New Roman"/>
          <w:lang w:val="fr-CA"/>
        </w:rPr>
        <w:t>).</w:t>
      </w:r>
    </w:p>
    <w:p w:rsidR="004E538E" w:rsidRPr="001641E0" w:rsidRDefault="004E538E" w:rsidP="0017725D">
      <w:pPr>
        <w:pStyle w:val="ParaNoNdepar-AltN"/>
        <w:rPr>
          <w:rFonts w:cs="Times New Roman"/>
          <w:lang w:val="fr-CA"/>
        </w:rPr>
      </w:pPr>
      <w:r w:rsidRPr="001641E0">
        <w:rPr>
          <w:rFonts w:cs="Times New Roman"/>
          <w:lang w:val="fr-CA"/>
        </w:rPr>
        <w:lastRenderedPageBreak/>
        <w:t>M.</w:t>
      </w:r>
      <w:r w:rsidR="0017725D">
        <w:rPr>
          <w:rFonts w:cs="Times New Roman"/>
          <w:lang w:val="fr-CA"/>
        </w:rPr>
        <w:t xml:space="preserve"> </w:t>
      </w:r>
      <w:r w:rsidRPr="001641E0">
        <w:rPr>
          <w:rFonts w:cs="Times New Roman"/>
          <w:lang w:val="fr-CA"/>
        </w:rPr>
        <w:t xml:space="preserve">Sipos a interjeté appel des déclarations de culpabilité et de la peine, mais il a indiqué que l’appel concernant sa peine était conditionnel au succès au moins partiel de celui sur les déclarations de culpabilité. La Cour d’appel a rejeté ce premier appel et ne s’est pas penchée sur l’appel de la peine (2001 </w:t>
      </w:r>
      <w:proofErr w:type="spellStart"/>
      <w:r w:rsidRPr="001641E0">
        <w:rPr>
          <w:rFonts w:cs="Times New Roman"/>
          <w:lang w:val="fr-CA"/>
        </w:rPr>
        <w:t>CanLII</w:t>
      </w:r>
      <w:proofErr w:type="spellEnd"/>
      <w:r w:rsidR="0017725D">
        <w:rPr>
          <w:rFonts w:cs="Times New Roman"/>
          <w:lang w:val="fr-CA"/>
        </w:rPr>
        <w:t xml:space="preserve"> </w:t>
      </w:r>
      <w:r w:rsidRPr="001641E0">
        <w:rPr>
          <w:rFonts w:cs="Times New Roman"/>
          <w:lang w:val="fr-CA"/>
        </w:rPr>
        <w:t>8541). Ce jugement a été rendu en mai</w:t>
      </w:r>
      <w:r w:rsidR="0017725D">
        <w:rPr>
          <w:rFonts w:cs="Times New Roman"/>
          <w:lang w:val="fr-CA"/>
        </w:rPr>
        <w:t xml:space="preserve"> </w:t>
      </w:r>
      <w:r w:rsidRPr="001641E0">
        <w:rPr>
          <w:rFonts w:cs="Times New Roman"/>
          <w:lang w:val="fr-CA"/>
        </w:rPr>
        <w:t>2001, mais, comme il a été souligné, l’appel de M.</w:t>
      </w:r>
      <w:r w:rsidR="0017725D">
        <w:rPr>
          <w:rFonts w:cs="Times New Roman"/>
          <w:lang w:val="fr-CA"/>
        </w:rPr>
        <w:t xml:space="preserve"> </w:t>
      </w:r>
      <w:r w:rsidRPr="001641E0">
        <w:rPr>
          <w:rFonts w:cs="Times New Roman"/>
          <w:lang w:val="fr-CA"/>
        </w:rPr>
        <w:t>Sipos sur la peine est resté pendant et n’a fait l’objet d’aucune décision.</w:t>
      </w:r>
    </w:p>
    <w:p w:rsidR="004E538E" w:rsidRPr="001641E0" w:rsidRDefault="00F63AAF" w:rsidP="0017725D">
      <w:pPr>
        <w:pStyle w:val="ParaNoNdepar-AltN"/>
        <w:rPr>
          <w:rFonts w:cs="Times New Roman"/>
          <w:lang w:val="fr-CA"/>
        </w:rPr>
      </w:pPr>
      <w:r>
        <w:rPr>
          <w:rFonts w:cs="Times New Roman"/>
          <w:lang w:val="fr-CA"/>
        </w:rPr>
        <w:t>L’évé</w:t>
      </w:r>
      <w:r w:rsidR="004E538E" w:rsidRPr="001641E0">
        <w:rPr>
          <w:rFonts w:cs="Times New Roman"/>
          <w:lang w:val="fr-CA"/>
        </w:rPr>
        <w:t>nement pertinent suivant a eu lieu environ cinq ans après la déclaration selon laquelle M.</w:t>
      </w:r>
      <w:r w:rsidR="0017725D">
        <w:rPr>
          <w:rFonts w:cs="Times New Roman"/>
          <w:lang w:val="fr-CA"/>
        </w:rPr>
        <w:t xml:space="preserve"> </w:t>
      </w:r>
      <w:r w:rsidR="004E538E" w:rsidRPr="001641E0">
        <w:rPr>
          <w:rFonts w:cs="Times New Roman"/>
          <w:lang w:val="fr-CA"/>
        </w:rPr>
        <w:t xml:space="preserve">Sipos était un délinquant dangereux. En 2003, la Cour a rendu sa décision dans </w:t>
      </w:r>
      <w:r w:rsidR="004E538E" w:rsidRPr="001641E0">
        <w:rPr>
          <w:rFonts w:cs="Times New Roman"/>
          <w:i/>
          <w:lang w:val="fr-CA"/>
        </w:rPr>
        <w:t>R. c. Johnson</w:t>
      </w:r>
      <w:r w:rsidR="00ED3057">
        <w:rPr>
          <w:rFonts w:cs="Times New Roman"/>
          <w:lang w:val="fr-CA"/>
        </w:rPr>
        <w:t>, 2003 CSC 46</w:t>
      </w:r>
      <w:r w:rsidR="004E538E" w:rsidRPr="001641E0">
        <w:rPr>
          <w:rFonts w:cs="Times New Roman"/>
          <w:lang w:val="fr-CA"/>
        </w:rPr>
        <w:t>, [2003] 2 R.C.S.</w:t>
      </w:r>
      <w:r w:rsidR="0017725D">
        <w:rPr>
          <w:rFonts w:cs="Times New Roman"/>
          <w:lang w:val="fr-CA"/>
        </w:rPr>
        <w:t xml:space="preserve"> </w:t>
      </w:r>
      <w:r w:rsidR="004E538E" w:rsidRPr="001641E0">
        <w:rPr>
          <w:rFonts w:cs="Times New Roman"/>
          <w:lang w:val="fr-CA"/>
        </w:rPr>
        <w:t>357. Elle y a décidé que les procédures relatives aux délinquants dangereux qui se sont déroulées après l’entrée en vigueur des dispositions sur les délinquants à contrôler — autrement dit, dans les causes comme celle de M.</w:t>
      </w:r>
      <w:r w:rsidR="0017725D">
        <w:rPr>
          <w:rFonts w:cs="Times New Roman"/>
          <w:lang w:val="fr-CA"/>
        </w:rPr>
        <w:t xml:space="preserve"> </w:t>
      </w:r>
      <w:r w:rsidR="004E538E" w:rsidRPr="001641E0">
        <w:rPr>
          <w:rFonts w:cs="Times New Roman"/>
          <w:lang w:val="fr-CA"/>
        </w:rPr>
        <w:t xml:space="preserve">Sipos —, les juges doivent examiner la possibilité de déclarer le délinquant </w:t>
      </w:r>
      <w:r w:rsidR="0017725D">
        <w:rPr>
          <w:rFonts w:cs="Times New Roman"/>
          <w:lang w:val="fr-CA"/>
        </w:rPr>
        <w:t>« </w:t>
      </w:r>
      <w:r w:rsidR="004E538E" w:rsidRPr="001641E0">
        <w:rPr>
          <w:rFonts w:cs="Times New Roman"/>
          <w:lang w:val="fr-CA"/>
        </w:rPr>
        <w:t>délinquant à contrôler</w:t>
      </w:r>
      <w:r w:rsidR="0017725D">
        <w:rPr>
          <w:rFonts w:cs="Times New Roman"/>
          <w:lang w:val="fr-CA"/>
        </w:rPr>
        <w:t> »</w:t>
      </w:r>
      <w:r w:rsidR="004E538E" w:rsidRPr="001641E0">
        <w:rPr>
          <w:rFonts w:cs="Times New Roman"/>
          <w:lang w:val="fr-CA"/>
        </w:rPr>
        <w:t xml:space="preserve"> — ce qui peut donner lieu au prononcé d’une peine d’incarcération d’une durée déterminée suivie d’une longue période de vie supervisée dans la collectivité — avant de le déclarer délinquant dangereux et de lui infliger une peine d’une durée indéterminée. Ne pas le faire constitue une erreur de droit, souvent appelée l’</w:t>
      </w:r>
      <w:r w:rsidR="0017725D">
        <w:rPr>
          <w:rFonts w:cs="Times New Roman"/>
          <w:lang w:val="fr-CA"/>
        </w:rPr>
        <w:t>« </w:t>
      </w:r>
      <w:r w:rsidR="004E538E" w:rsidRPr="001641E0">
        <w:rPr>
          <w:rFonts w:cs="Times New Roman"/>
          <w:lang w:val="fr-CA"/>
        </w:rPr>
        <w:t xml:space="preserve">erreur </w:t>
      </w:r>
      <w:r w:rsidR="004E538E" w:rsidRPr="001641E0">
        <w:rPr>
          <w:rFonts w:cs="Times New Roman"/>
          <w:i/>
          <w:lang w:val="fr-CA"/>
        </w:rPr>
        <w:t>Johnson</w:t>
      </w:r>
      <w:r w:rsidR="0017725D">
        <w:rPr>
          <w:rFonts w:cs="Times New Roman"/>
          <w:lang w:val="fr-CA"/>
        </w:rPr>
        <w:t> »</w:t>
      </w:r>
      <w:r w:rsidR="004E538E" w:rsidRPr="001641E0">
        <w:rPr>
          <w:rFonts w:cs="Times New Roman"/>
          <w:lang w:val="fr-CA"/>
        </w:rPr>
        <w:t>.</w:t>
      </w:r>
    </w:p>
    <w:p w:rsidR="004E538E" w:rsidRPr="001641E0" w:rsidRDefault="004E538E" w:rsidP="0017725D">
      <w:pPr>
        <w:pStyle w:val="ParaNoNdepar-AltN"/>
        <w:rPr>
          <w:rFonts w:cs="Times New Roman"/>
          <w:lang w:val="fr-CA"/>
        </w:rPr>
      </w:pPr>
      <w:r w:rsidRPr="001641E0">
        <w:rPr>
          <w:rFonts w:cs="Times New Roman"/>
          <w:lang w:val="fr-CA"/>
        </w:rPr>
        <w:t xml:space="preserve">Comme nous l’avons mentionné, en 1998, le juge n’a pas tenu compte des dispositions adoptées depuis peu portant sur les délinquants à contrôler. Or, avec le recul, vu la décision de 2003 dans </w:t>
      </w:r>
      <w:r w:rsidRPr="001641E0">
        <w:rPr>
          <w:rFonts w:cs="Times New Roman"/>
          <w:i/>
          <w:lang w:val="fr-CA"/>
        </w:rPr>
        <w:t>Johnson</w:t>
      </w:r>
      <w:r w:rsidRPr="001641E0">
        <w:rPr>
          <w:rFonts w:cs="Times New Roman"/>
          <w:lang w:val="fr-CA"/>
        </w:rPr>
        <w:t xml:space="preserve">, </w:t>
      </w:r>
      <w:r w:rsidR="00F63AAF">
        <w:rPr>
          <w:rFonts w:cs="Times New Roman"/>
          <w:lang w:val="fr-CA"/>
        </w:rPr>
        <w:t>nous devons</w:t>
      </w:r>
      <w:r w:rsidRPr="001641E0">
        <w:rPr>
          <w:rFonts w:cs="Times New Roman"/>
          <w:lang w:val="fr-CA"/>
        </w:rPr>
        <w:t xml:space="preserve"> convenir qu’il a ainsi commis une erreur de droit. Compte tenu de cette erreur et d’autres considérations, la Cour d’appel a donné l’autorisation de rouvrir l’appel non tranché interjeté par M.</w:t>
      </w:r>
      <w:r w:rsidR="0017725D">
        <w:rPr>
          <w:rFonts w:cs="Times New Roman"/>
          <w:lang w:val="fr-CA"/>
        </w:rPr>
        <w:t xml:space="preserve"> </w:t>
      </w:r>
      <w:r w:rsidRPr="001641E0">
        <w:rPr>
          <w:rFonts w:cs="Times New Roman"/>
          <w:lang w:val="fr-CA"/>
        </w:rPr>
        <w:lastRenderedPageBreak/>
        <w:t>Sipos quant à la peine qui lui avait été infligée (2008 ONCA 325, 235 O.A.C.</w:t>
      </w:r>
      <w:r w:rsidR="0017725D">
        <w:rPr>
          <w:rFonts w:cs="Times New Roman"/>
          <w:lang w:val="fr-CA"/>
        </w:rPr>
        <w:t xml:space="preserve"> </w:t>
      </w:r>
      <w:r w:rsidRPr="001641E0">
        <w:rPr>
          <w:rFonts w:cs="Times New Roman"/>
          <w:lang w:val="fr-CA"/>
        </w:rPr>
        <w:t xml:space="preserve">277). Il s’est toutefois écoulé plus de </w:t>
      </w:r>
      <w:r w:rsidR="00021050">
        <w:rPr>
          <w:rFonts w:cs="Times New Roman"/>
          <w:lang w:val="fr-CA"/>
        </w:rPr>
        <w:t>quatre</w:t>
      </w:r>
      <w:r w:rsidRPr="001641E0">
        <w:rPr>
          <w:rFonts w:cs="Times New Roman"/>
          <w:lang w:val="fr-CA"/>
        </w:rPr>
        <w:t xml:space="preserve"> ans avant que cela ne se fasse et l’appel n’a été rouvert qu’à la fin du mois d’avril</w:t>
      </w:r>
      <w:r w:rsidR="0017725D">
        <w:rPr>
          <w:rFonts w:cs="Times New Roman"/>
          <w:lang w:val="fr-CA"/>
        </w:rPr>
        <w:t xml:space="preserve"> </w:t>
      </w:r>
      <w:r w:rsidRPr="001641E0">
        <w:rPr>
          <w:rFonts w:cs="Times New Roman"/>
          <w:lang w:val="fr-CA"/>
        </w:rPr>
        <w:t xml:space="preserve">2008. </w:t>
      </w:r>
    </w:p>
    <w:p w:rsidR="004E538E" w:rsidRPr="001641E0" w:rsidRDefault="004E538E" w:rsidP="0017725D">
      <w:pPr>
        <w:pStyle w:val="ParaNoNdepar-AltN"/>
        <w:rPr>
          <w:rFonts w:cs="Times New Roman"/>
          <w:lang w:val="fr-CA"/>
        </w:rPr>
      </w:pPr>
      <w:r w:rsidRPr="001641E0">
        <w:rPr>
          <w:rFonts w:cs="Times New Roman"/>
          <w:lang w:val="fr-CA"/>
        </w:rPr>
        <w:t>Il y a eu un autre long délai</w:t>
      </w:r>
      <w:r w:rsidR="0017725D">
        <w:rPr>
          <w:rFonts w:cs="Times New Roman"/>
          <w:lang w:val="fr-CA"/>
        </w:rPr>
        <w:t> :</w:t>
      </w:r>
      <w:r w:rsidRPr="001641E0">
        <w:rPr>
          <w:rFonts w:cs="Times New Roman"/>
          <w:lang w:val="fr-CA"/>
        </w:rPr>
        <w:t xml:space="preserve"> l’appel sur le fond n’a été entendu que plus de </w:t>
      </w:r>
      <w:r w:rsidR="00021050">
        <w:rPr>
          <w:rFonts w:cs="Times New Roman"/>
          <w:lang w:val="fr-CA"/>
        </w:rPr>
        <w:t>quatre</w:t>
      </w:r>
      <w:r w:rsidRPr="001641E0">
        <w:rPr>
          <w:rFonts w:cs="Times New Roman"/>
          <w:lang w:val="fr-CA"/>
        </w:rPr>
        <w:t xml:space="preserve"> ans plus tard, soit en août 2012 (2012 ONCA 751, 298 O.A.C. 233). Avec le consentement du ministère public, M.</w:t>
      </w:r>
      <w:r w:rsidR="0017725D">
        <w:rPr>
          <w:rFonts w:cs="Times New Roman"/>
          <w:lang w:val="fr-CA"/>
        </w:rPr>
        <w:t xml:space="preserve"> </w:t>
      </w:r>
      <w:r w:rsidRPr="001641E0">
        <w:rPr>
          <w:rFonts w:cs="Times New Roman"/>
          <w:lang w:val="fr-CA"/>
        </w:rPr>
        <w:t>Sipos a déposé de nouveaux éléments de preuve durant les procédures d’appel</w:t>
      </w:r>
      <w:r w:rsidR="00F63AAF">
        <w:rPr>
          <w:rFonts w:cs="Times New Roman"/>
          <w:lang w:val="fr-CA"/>
        </w:rPr>
        <w:t>,</w:t>
      </w:r>
      <w:r w:rsidRPr="001641E0">
        <w:rPr>
          <w:rFonts w:cs="Times New Roman"/>
          <w:lang w:val="fr-CA"/>
        </w:rPr>
        <w:t xml:space="preserve"> soit des renseignements concernant sa performance dans le cadre des programmes de traitement des délinquants sexuels qu’il avait suivi</w:t>
      </w:r>
      <w:r w:rsidR="00F63AAF">
        <w:rPr>
          <w:rFonts w:cs="Times New Roman"/>
          <w:lang w:val="fr-CA"/>
        </w:rPr>
        <w:t>s</w:t>
      </w:r>
      <w:r w:rsidRPr="001641E0">
        <w:rPr>
          <w:rFonts w:cs="Times New Roman"/>
          <w:lang w:val="fr-CA"/>
        </w:rPr>
        <w:t xml:space="preserve"> durant sa détention, ainsi qu’une évaluation du risque préparée par 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 xml:space="preserve">Jeff McMaster en 2010.  </w:t>
      </w:r>
    </w:p>
    <w:p w:rsidR="004E538E" w:rsidRPr="001641E0" w:rsidRDefault="004E538E" w:rsidP="0017725D">
      <w:pPr>
        <w:pStyle w:val="ParaNoNdepar-AltN"/>
        <w:rPr>
          <w:rFonts w:cs="Times New Roman"/>
          <w:lang w:val="fr-CA"/>
        </w:rPr>
      </w:pPr>
      <w:r w:rsidRPr="001641E0">
        <w:rPr>
          <w:rFonts w:cs="Times New Roman"/>
          <w:lang w:val="fr-CA"/>
        </w:rPr>
        <w:t xml:space="preserve">C’est ainsi que la Cour d’appel en est venue à se pencher, en 2012, sur une décision ayant déclaré un délinquant </w:t>
      </w:r>
      <w:r w:rsidR="0017725D">
        <w:rPr>
          <w:rFonts w:cs="Times New Roman"/>
          <w:lang w:val="fr-CA"/>
        </w:rPr>
        <w:t>« </w:t>
      </w:r>
      <w:r w:rsidRPr="001641E0">
        <w:rPr>
          <w:rFonts w:cs="Times New Roman"/>
          <w:lang w:val="fr-CA"/>
        </w:rPr>
        <w:t>délinquant dangereux</w:t>
      </w:r>
      <w:r w:rsidR="0017725D">
        <w:rPr>
          <w:rFonts w:cs="Times New Roman"/>
          <w:lang w:val="fr-CA"/>
        </w:rPr>
        <w:t> »</w:t>
      </w:r>
      <w:r w:rsidRPr="001641E0">
        <w:rPr>
          <w:rFonts w:cs="Times New Roman"/>
          <w:lang w:val="fr-CA"/>
        </w:rPr>
        <w:t xml:space="preserve"> rendue quelque 14 ans plus tôt et qu’elle a dû se pencher, à cette fin, sur des éléments de preuve créés en 2010, soit environ 12</w:t>
      </w:r>
      <w:r w:rsidR="0017725D">
        <w:rPr>
          <w:rFonts w:cs="Times New Roman"/>
          <w:lang w:val="fr-CA"/>
        </w:rPr>
        <w:t xml:space="preserve"> </w:t>
      </w:r>
      <w:r w:rsidRPr="001641E0">
        <w:rPr>
          <w:rFonts w:cs="Times New Roman"/>
          <w:lang w:val="fr-CA"/>
        </w:rPr>
        <w:t>ans après la déclaration en question.</w:t>
      </w:r>
    </w:p>
    <w:p w:rsidR="004E538E" w:rsidRPr="001641E0" w:rsidRDefault="004E538E" w:rsidP="0017725D">
      <w:pPr>
        <w:pStyle w:val="Title2LevelTitre2Niveau"/>
        <w:rPr>
          <w:rFonts w:cs="Times New Roman"/>
          <w:lang w:val="fr-CA"/>
        </w:rPr>
      </w:pPr>
      <w:r w:rsidRPr="001641E0">
        <w:rPr>
          <w:rFonts w:cs="Times New Roman"/>
          <w:lang w:val="fr-CA"/>
        </w:rPr>
        <w:t>Jugement de la Cour d’appel</w:t>
      </w:r>
    </w:p>
    <w:p w:rsidR="004E538E" w:rsidRPr="001641E0" w:rsidRDefault="004E538E" w:rsidP="0017725D">
      <w:pPr>
        <w:pStyle w:val="ParaNoNdepar-AltN"/>
        <w:rPr>
          <w:rFonts w:cs="Times New Roman"/>
          <w:lang w:val="fr-CA"/>
        </w:rPr>
      </w:pPr>
      <w:r w:rsidRPr="001641E0">
        <w:rPr>
          <w:rFonts w:cs="Times New Roman"/>
          <w:lang w:val="fr-CA"/>
        </w:rPr>
        <w:t xml:space="preserve">La Cour d’appel a conclu que, à la lumière de la décision dans </w:t>
      </w:r>
      <w:r w:rsidRPr="001641E0">
        <w:rPr>
          <w:rFonts w:cs="Times New Roman"/>
          <w:i/>
          <w:lang w:val="fr-CA"/>
        </w:rPr>
        <w:t>Johnson</w:t>
      </w:r>
      <w:r w:rsidRPr="001641E0">
        <w:rPr>
          <w:rFonts w:cs="Times New Roman"/>
          <w:lang w:val="fr-CA"/>
        </w:rPr>
        <w:t>, ne pas avoir tenu compte de l’option d’une déclaration comme délinquant à contrôler avant de désigner M.</w:t>
      </w:r>
      <w:r w:rsidR="0017725D">
        <w:rPr>
          <w:rFonts w:cs="Times New Roman"/>
          <w:lang w:val="fr-CA"/>
        </w:rPr>
        <w:t xml:space="preserve"> </w:t>
      </w:r>
      <w:r w:rsidRPr="001641E0">
        <w:rPr>
          <w:rFonts w:cs="Times New Roman"/>
          <w:lang w:val="fr-CA"/>
        </w:rPr>
        <w:t xml:space="preserve">Sipos délinquant dangereux avait manifestement constitué une erreur de droit. Toutefois, la Cour d’appel a souligné que cette erreur n’entraînait pas automatiquement la tenue d’une nouvelle audience sur le statut de délinquant </w:t>
      </w:r>
      <w:r w:rsidRPr="001641E0">
        <w:rPr>
          <w:rFonts w:cs="Times New Roman"/>
          <w:lang w:val="fr-CA"/>
        </w:rPr>
        <w:lastRenderedPageBreak/>
        <w:t>dangereux. En effet, le tribunal d’appel dispose plutôt d’un pouvoir réparateur</w:t>
      </w:r>
      <w:r w:rsidR="0017725D">
        <w:rPr>
          <w:rFonts w:cs="Times New Roman"/>
          <w:lang w:val="fr-CA"/>
        </w:rPr>
        <w:t> :</w:t>
      </w:r>
      <w:r w:rsidRPr="001641E0">
        <w:rPr>
          <w:rFonts w:cs="Times New Roman"/>
          <w:lang w:val="fr-CA"/>
        </w:rPr>
        <w:t xml:space="preserve"> il peut rejeter l’appel s’il est convaincu qu’il n’existe aucune possibilité raisonnable que la peine ait été différente si l’erreur de droit n’avait pas été commise (voir </w:t>
      </w:r>
      <w:r w:rsidRPr="001641E0">
        <w:rPr>
          <w:rFonts w:cs="Times New Roman"/>
          <w:i/>
          <w:lang w:val="fr-CA"/>
        </w:rPr>
        <w:t>Johnson</w:t>
      </w:r>
      <w:r w:rsidRPr="001641E0">
        <w:rPr>
          <w:rFonts w:cs="Times New Roman"/>
          <w:lang w:val="fr-CA"/>
        </w:rPr>
        <w:t>, par.</w:t>
      </w:r>
      <w:r w:rsidR="0017725D">
        <w:rPr>
          <w:rFonts w:cs="Times New Roman"/>
          <w:lang w:val="fr-CA"/>
        </w:rPr>
        <w:t xml:space="preserve"> </w:t>
      </w:r>
      <w:r w:rsidRPr="001641E0">
        <w:rPr>
          <w:rFonts w:cs="Times New Roman"/>
          <w:lang w:val="fr-CA"/>
        </w:rPr>
        <w:t>47</w:t>
      </w:r>
      <w:r w:rsidR="00021050">
        <w:rPr>
          <w:rFonts w:cs="Times New Roman"/>
          <w:lang w:val="fr-CA"/>
        </w:rPr>
        <w:t>-</w:t>
      </w:r>
      <w:r w:rsidRPr="001641E0">
        <w:rPr>
          <w:rFonts w:cs="Times New Roman"/>
          <w:lang w:val="fr-CA"/>
        </w:rPr>
        <w:t>50).</w:t>
      </w:r>
    </w:p>
    <w:p w:rsidR="004E538E" w:rsidRPr="001641E0" w:rsidRDefault="004E538E" w:rsidP="0017725D">
      <w:pPr>
        <w:pStyle w:val="ParaNoNdepar-AltN"/>
        <w:rPr>
          <w:rFonts w:cs="Times New Roman"/>
          <w:lang w:val="fr-CA"/>
        </w:rPr>
      </w:pPr>
      <w:r w:rsidRPr="001641E0">
        <w:rPr>
          <w:rFonts w:cs="Times New Roman"/>
          <w:lang w:val="fr-CA"/>
        </w:rPr>
        <w:t>Mettant de côté dans un premier temps les nouveaux éléments de preuve, la Cour d’appel a conclu qu’il n’existait aucune possibilité raisonnable de ce type, soulignant au passage que M.</w:t>
      </w:r>
      <w:r w:rsidR="0017725D">
        <w:rPr>
          <w:rFonts w:cs="Times New Roman"/>
          <w:lang w:val="fr-CA"/>
        </w:rPr>
        <w:t xml:space="preserve"> </w:t>
      </w:r>
      <w:r w:rsidRPr="001641E0">
        <w:rPr>
          <w:rFonts w:cs="Times New Roman"/>
          <w:lang w:val="fr-CA"/>
        </w:rPr>
        <w:t>Sipos ne prétendait pas le contraire. Dans des motifs très étoffés, le juge qui a statué sur la peine a conclu que la preuve portée à sa connaissance ne permettait pas d’étayer le point de vue selon lequel, à un moment déterminé dans le futur, le risque que pose M.</w:t>
      </w:r>
      <w:r w:rsidR="0017725D">
        <w:rPr>
          <w:rFonts w:cs="Times New Roman"/>
          <w:lang w:val="fr-CA"/>
        </w:rPr>
        <w:t xml:space="preserve"> </w:t>
      </w:r>
      <w:r w:rsidRPr="001641E0">
        <w:rPr>
          <w:rFonts w:cs="Times New Roman"/>
          <w:lang w:val="fr-CA"/>
        </w:rPr>
        <w:t>Sipos pour la société pourrait être réduit à un niveau acceptable s’il était autorisé à vivre dans la collectivité. Cette analyse l’aurait inévitablement mené à rejeter la possibilité de déclarer M.</w:t>
      </w:r>
      <w:r w:rsidR="0017725D">
        <w:rPr>
          <w:rFonts w:cs="Times New Roman"/>
          <w:lang w:val="fr-CA"/>
        </w:rPr>
        <w:t xml:space="preserve"> </w:t>
      </w:r>
      <w:r w:rsidRPr="001641E0">
        <w:rPr>
          <w:rFonts w:cs="Times New Roman"/>
          <w:lang w:val="fr-CA"/>
        </w:rPr>
        <w:t>Sipos délinquant à contrôler pour les mêmes motifs qu’il a rejetés celle de prononcer une peine d’une durée déterminée</w:t>
      </w:r>
      <w:r w:rsidR="0017725D">
        <w:rPr>
          <w:rFonts w:cs="Times New Roman"/>
          <w:lang w:val="fr-CA"/>
        </w:rPr>
        <w:t> :</w:t>
      </w:r>
      <w:r w:rsidRPr="001641E0">
        <w:rPr>
          <w:rFonts w:cs="Times New Roman"/>
          <w:lang w:val="fr-CA"/>
        </w:rPr>
        <w:t xml:space="preserve"> motifs du juge qui a statué sur la peine, par.</w:t>
      </w:r>
      <w:r w:rsidR="0017725D">
        <w:rPr>
          <w:rFonts w:cs="Times New Roman"/>
          <w:lang w:val="fr-CA"/>
        </w:rPr>
        <w:t xml:space="preserve"> </w:t>
      </w:r>
      <w:r w:rsidRPr="001641E0">
        <w:rPr>
          <w:rFonts w:cs="Times New Roman"/>
          <w:lang w:val="fr-CA"/>
        </w:rPr>
        <w:t>199</w:t>
      </w:r>
      <w:r w:rsidR="007C4FB2">
        <w:rPr>
          <w:rFonts w:cs="Times New Roman"/>
          <w:lang w:val="fr-CA"/>
        </w:rPr>
        <w:t>-</w:t>
      </w:r>
      <w:r w:rsidRPr="001641E0">
        <w:rPr>
          <w:rFonts w:cs="Times New Roman"/>
          <w:lang w:val="fr-CA"/>
        </w:rPr>
        <w:t>207; motifs de la Cour d’appel, par.</w:t>
      </w:r>
      <w:r w:rsidR="0017725D">
        <w:rPr>
          <w:rFonts w:cs="Times New Roman"/>
          <w:lang w:val="fr-CA"/>
        </w:rPr>
        <w:t xml:space="preserve"> </w:t>
      </w:r>
      <w:r w:rsidRPr="001641E0">
        <w:rPr>
          <w:rFonts w:cs="Times New Roman"/>
          <w:lang w:val="fr-CA"/>
        </w:rPr>
        <w:t>29.</w:t>
      </w:r>
    </w:p>
    <w:p w:rsidR="004E538E" w:rsidRPr="001641E0" w:rsidRDefault="004E538E" w:rsidP="0017725D">
      <w:pPr>
        <w:pStyle w:val="ParaNoNdepar-AltN"/>
        <w:rPr>
          <w:rFonts w:cs="Times New Roman"/>
          <w:lang w:val="fr-CA"/>
        </w:rPr>
      </w:pPr>
      <w:r w:rsidRPr="001641E0">
        <w:rPr>
          <w:rFonts w:cs="Times New Roman"/>
          <w:lang w:val="fr-CA"/>
        </w:rPr>
        <w:t xml:space="preserve">La Cour d’appel avait ensuite à déterminer comment elle devait utiliser les nouveaux éléments de preuve pour décider s’il convenait d’exercer son pouvoir réparateur. Ces nouveaux éléments de preuve suggèrent qu’il existe </w:t>
      </w:r>
      <w:r w:rsidRPr="001641E0">
        <w:rPr>
          <w:rFonts w:cs="Times New Roman"/>
          <w:i/>
          <w:lang w:val="fr-CA"/>
        </w:rPr>
        <w:t>maintenant</w:t>
      </w:r>
      <w:r w:rsidRPr="001641E0">
        <w:rPr>
          <w:rFonts w:cs="Times New Roman"/>
          <w:lang w:val="fr-CA"/>
        </w:rPr>
        <w:t xml:space="preserve"> une possibilité que le risque que pose M.</w:t>
      </w:r>
      <w:r w:rsidR="0017725D">
        <w:rPr>
          <w:rFonts w:cs="Times New Roman"/>
          <w:lang w:val="fr-CA"/>
        </w:rPr>
        <w:t xml:space="preserve"> </w:t>
      </w:r>
      <w:r w:rsidRPr="001641E0">
        <w:rPr>
          <w:rFonts w:cs="Times New Roman"/>
          <w:lang w:val="fr-CA"/>
        </w:rPr>
        <w:t xml:space="preserve">Sipos puisse être maîtrisé au sein de la collectivité, à compter de 2016, s’il faisait l’objet d’une surveillance adéquate. La Cour d’appel a jugé que, bien qu’il faille tenir compte des nouveaux éléments de preuve, le contrôle en appel est fondamentalement un exercice de correction d’erreurs </w:t>
      </w:r>
      <w:r w:rsidRPr="001641E0">
        <w:rPr>
          <w:rFonts w:cs="Times New Roman"/>
          <w:lang w:val="fr-CA"/>
        </w:rPr>
        <w:lastRenderedPageBreak/>
        <w:t>qui jette un regard rétrospectif sur la décision portée en appel, de manière à décider si le tribunal d’instance inférieur</w:t>
      </w:r>
      <w:r w:rsidR="00F63AAF">
        <w:rPr>
          <w:rFonts w:cs="Times New Roman"/>
          <w:lang w:val="fr-CA"/>
        </w:rPr>
        <w:t>e</w:t>
      </w:r>
      <w:r w:rsidRPr="001641E0">
        <w:rPr>
          <w:rFonts w:cs="Times New Roman"/>
          <w:lang w:val="fr-CA"/>
        </w:rPr>
        <w:t xml:space="preserve"> a commis une erreur </w:t>
      </w:r>
      <w:r w:rsidR="00F63AAF">
        <w:rPr>
          <w:rFonts w:cs="Times New Roman"/>
          <w:lang w:val="fr-CA"/>
        </w:rPr>
        <w:t>suceptible de révision</w:t>
      </w:r>
      <w:r w:rsidRPr="001641E0">
        <w:rPr>
          <w:rFonts w:cs="Times New Roman"/>
          <w:lang w:val="fr-CA"/>
        </w:rPr>
        <w:t xml:space="preserve"> lorsqu’il a rendu la décision qui fait l’objet du contrôle. La Cour d’appel a conclu que la possibilité qu’une décision différente puisse être rendue si une nouvelle audience était tenue aujourd’hui sur le statut de délinquant dangereux était sans pertinence. En appel, la question qui devait être tranchée était celle de savoir si, eu égard à la preuve dont était saisi le juge qui a prononcé la peine et aux nouveaux éléments de preuve admis en appel, il existait une possibilité raisonnable que l’issue de l’audience sur le statut de délinquant dangereux ait pu être différente si le juge avait tenu compte des dispositions sur les délinquants à contrôler.</w:t>
      </w:r>
    </w:p>
    <w:p w:rsidR="004E538E" w:rsidRPr="001641E0" w:rsidRDefault="004E538E" w:rsidP="0017725D">
      <w:pPr>
        <w:pStyle w:val="ParaNoNdepar-AltN"/>
        <w:rPr>
          <w:rFonts w:cs="Times New Roman"/>
          <w:lang w:val="fr-CA"/>
        </w:rPr>
      </w:pPr>
      <w:r w:rsidRPr="001641E0">
        <w:rPr>
          <w:rFonts w:cs="Times New Roman"/>
          <w:lang w:val="fr-CA"/>
        </w:rPr>
        <w:t>La Cour d’appel a répondu à cette question par la négative. Elle a souligné que le rapport du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déposé comme nouvel élément de preuve consignait son évaluation, en date de 2010, et portait sur la question de savoir si M.</w:t>
      </w:r>
      <w:r w:rsidR="0017725D">
        <w:rPr>
          <w:rFonts w:cs="Times New Roman"/>
          <w:lang w:val="fr-CA"/>
        </w:rPr>
        <w:t xml:space="preserve"> </w:t>
      </w:r>
      <w:r w:rsidRPr="001641E0">
        <w:rPr>
          <w:rFonts w:cs="Times New Roman"/>
          <w:lang w:val="fr-CA"/>
        </w:rPr>
        <w:t xml:space="preserve">Sipos satisfaisait au test pour être déclaré délinquant à contrôler. Or, même selon le </w:t>
      </w:r>
      <w:r w:rsidR="004443E2">
        <w:rPr>
          <w:rFonts w:cs="Times New Roman"/>
          <w:lang w:val="fr-CA"/>
        </w:rPr>
        <w:t>[</w:t>
      </w:r>
      <w:r w:rsidR="004443E2" w:rsidRPr="004443E2">
        <w:rPr>
          <w:rFonts w:cs="Times New Roman"/>
          <w:smallCaps/>
          <w:lang w:val="fr-CA"/>
        </w:rPr>
        <w:t>traduction</w:t>
      </w:r>
      <w:r w:rsidR="004443E2">
        <w:rPr>
          <w:rFonts w:cs="Times New Roman"/>
          <w:lang w:val="fr-CA"/>
        </w:rPr>
        <w:t xml:space="preserve">] </w:t>
      </w:r>
      <w:r w:rsidR="0017725D">
        <w:rPr>
          <w:rFonts w:cs="Times New Roman"/>
          <w:lang w:val="fr-CA"/>
        </w:rPr>
        <w:t>« </w:t>
      </w:r>
      <w:r w:rsidRPr="001641E0">
        <w:rPr>
          <w:rFonts w:cs="Times New Roman"/>
          <w:lang w:val="fr-CA"/>
        </w:rPr>
        <w:t>scénario “le plus optimiste”</w:t>
      </w:r>
      <w:r w:rsidR="0017725D">
        <w:rPr>
          <w:rFonts w:cs="Times New Roman"/>
          <w:lang w:val="fr-CA"/>
        </w:rPr>
        <w:t> »</w:t>
      </w:r>
      <w:r w:rsidRPr="001641E0">
        <w:rPr>
          <w:rFonts w:cs="Times New Roman"/>
          <w:lang w:val="fr-CA"/>
        </w:rPr>
        <w:t xml:space="preserve"> du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la possible remise de M.</w:t>
      </w:r>
      <w:r w:rsidR="0017725D">
        <w:rPr>
          <w:rFonts w:cs="Times New Roman"/>
          <w:lang w:val="fr-CA"/>
        </w:rPr>
        <w:t xml:space="preserve"> </w:t>
      </w:r>
      <w:r w:rsidRPr="001641E0">
        <w:rPr>
          <w:rFonts w:cs="Times New Roman"/>
          <w:lang w:val="fr-CA"/>
        </w:rPr>
        <w:t>Sipos dans la collectivité n’était, en 1998, pas envisageable avant au moins environ 18 ans (par.</w:t>
      </w:r>
      <w:r w:rsidR="0017725D">
        <w:rPr>
          <w:rFonts w:cs="Times New Roman"/>
          <w:lang w:val="fr-CA"/>
        </w:rPr>
        <w:t xml:space="preserve"> </w:t>
      </w:r>
      <w:r w:rsidRPr="001641E0">
        <w:rPr>
          <w:rFonts w:cs="Times New Roman"/>
          <w:lang w:val="fr-CA"/>
        </w:rPr>
        <w:t>34). Après avoir examiné le rapport conjointement avec le reste de la preuve dont disposait le juge chargé de statuer sur la peine, la Cour d’appel a conclu que l’évaluation du risque du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ne soulevait aucun doute quant à la conclusion du juge selon laquelle, en 1998, il était approprié d’infliger une peine de détention d’une durée indéterminée.</w:t>
      </w:r>
    </w:p>
    <w:p w:rsidR="004E538E" w:rsidRPr="001641E0" w:rsidRDefault="004E538E" w:rsidP="0017725D">
      <w:pPr>
        <w:pStyle w:val="Title1LevelTitre1Niveau-AltL"/>
        <w:rPr>
          <w:rFonts w:cs="Times New Roman"/>
          <w:lang w:val="fr-CA"/>
        </w:rPr>
      </w:pPr>
      <w:r w:rsidRPr="001641E0">
        <w:rPr>
          <w:rFonts w:cs="Times New Roman"/>
          <w:lang w:val="fr-CA"/>
        </w:rPr>
        <w:t>Analyse</w:t>
      </w:r>
    </w:p>
    <w:p w:rsidR="004E538E" w:rsidRPr="001641E0" w:rsidRDefault="004E538E" w:rsidP="0017725D">
      <w:pPr>
        <w:pStyle w:val="ParaNoNdepar-AltN"/>
        <w:rPr>
          <w:rFonts w:cs="Times New Roman"/>
          <w:lang w:val="fr-CA"/>
        </w:rPr>
      </w:pPr>
      <w:r w:rsidRPr="001641E0">
        <w:rPr>
          <w:rFonts w:cs="Times New Roman"/>
          <w:lang w:val="fr-CA"/>
        </w:rPr>
        <w:lastRenderedPageBreak/>
        <w:t xml:space="preserve">Avant d’examiner en détail les deux questions en litige, il est utile de les replacer dans le contexte légal approprié. Cela suppose qu’il faille, au préalable, mener un bref examen de la différence entre le statut de délinquant à contrôler et celui de délinquant dangereux, de la décision de la Cour dans </w:t>
      </w:r>
      <w:r w:rsidRPr="001641E0">
        <w:rPr>
          <w:rFonts w:cs="Times New Roman"/>
          <w:i/>
          <w:lang w:val="fr-CA"/>
        </w:rPr>
        <w:t>Johnson</w:t>
      </w:r>
      <w:r w:rsidRPr="001641E0">
        <w:rPr>
          <w:rFonts w:cs="Times New Roman"/>
          <w:lang w:val="fr-CA"/>
        </w:rPr>
        <w:t xml:space="preserve">, de la nature du contrôle en appel et des pouvoirs d’une cour d’appel dans </w:t>
      </w:r>
      <w:r w:rsidR="009820C4">
        <w:rPr>
          <w:rFonts w:cs="Times New Roman"/>
          <w:lang w:val="fr-CA"/>
        </w:rPr>
        <w:t>des instances</w:t>
      </w:r>
      <w:r w:rsidRPr="001641E0">
        <w:rPr>
          <w:rFonts w:cs="Times New Roman"/>
          <w:lang w:val="fr-CA"/>
        </w:rPr>
        <w:t xml:space="preserve"> sur le statut de délinquant dangereux.</w:t>
      </w:r>
    </w:p>
    <w:p w:rsidR="004E538E" w:rsidRPr="001641E0" w:rsidRDefault="004E538E" w:rsidP="0017725D">
      <w:pPr>
        <w:pStyle w:val="Title2LevelTitre2Niveau"/>
        <w:rPr>
          <w:rFonts w:cs="Times New Roman"/>
          <w:lang w:val="fr-CA"/>
        </w:rPr>
      </w:pPr>
      <w:r w:rsidRPr="001641E0">
        <w:rPr>
          <w:rFonts w:cs="Times New Roman"/>
          <w:lang w:val="fr-CA"/>
        </w:rPr>
        <w:t>Le cadre législatif</w:t>
      </w:r>
    </w:p>
    <w:p w:rsidR="004E538E" w:rsidRPr="001641E0" w:rsidRDefault="004E538E" w:rsidP="0017725D">
      <w:pPr>
        <w:pStyle w:val="Title3LevelTitre3Niveau"/>
        <w:rPr>
          <w:rFonts w:cs="Times New Roman"/>
          <w:lang w:val="fr-CA"/>
        </w:rPr>
      </w:pPr>
      <w:r w:rsidRPr="001641E0">
        <w:rPr>
          <w:rFonts w:cs="Times New Roman"/>
          <w:lang w:val="fr-CA"/>
        </w:rPr>
        <w:t>Les deux régimes</w:t>
      </w:r>
    </w:p>
    <w:p w:rsidR="004E538E" w:rsidRPr="001641E0" w:rsidRDefault="004E538E" w:rsidP="0017725D">
      <w:pPr>
        <w:pStyle w:val="ParaNoNdepar-AltN"/>
        <w:rPr>
          <w:rFonts w:cs="Times New Roman"/>
          <w:lang w:val="fr-CA"/>
        </w:rPr>
      </w:pPr>
      <w:r w:rsidRPr="001641E0">
        <w:rPr>
          <w:rFonts w:cs="Times New Roman"/>
          <w:lang w:val="fr-CA"/>
        </w:rPr>
        <w:t>Les dispositions de la partie</w:t>
      </w:r>
      <w:r w:rsidR="0017725D">
        <w:rPr>
          <w:rFonts w:cs="Times New Roman"/>
          <w:lang w:val="fr-CA"/>
        </w:rPr>
        <w:t xml:space="preserve"> </w:t>
      </w:r>
      <w:r w:rsidRPr="001641E0">
        <w:rPr>
          <w:rFonts w:cs="Times New Roman"/>
          <w:lang w:val="fr-CA"/>
        </w:rPr>
        <w:t xml:space="preserve">XXIV du </w:t>
      </w:r>
      <w:r w:rsidRPr="001641E0">
        <w:rPr>
          <w:rFonts w:cs="Times New Roman"/>
          <w:i/>
          <w:lang w:val="fr-CA"/>
        </w:rPr>
        <w:t>Code criminel</w:t>
      </w:r>
      <w:r w:rsidRPr="001641E0">
        <w:rPr>
          <w:rFonts w:cs="Times New Roman"/>
          <w:lang w:val="fr-CA"/>
        </w:rPr>
        <w:t xml:space="preserve"> sur les délinquants dangereux et les délinquants à contrôler créent deux exemples de sanctions préventives. Même si elles n’entrent en jeu qu’une fois que le délinquant a été déclaré coupable d’infractions d’une certaine gravité, elles visent surtout à imposer des mesures spéciales au délinquant de manière à parer le risque élevé de récidives. Un délinquant dangereux peut être condamné à une peine d’emprisonnement d’une durée indéterminée; il s’agit de la forme extrême et la plus manifeste de détention préventive. Un délinquant à contrôler peut, pour sa part, être condamné pour l’infraction qu’il a commise</w:t>
      </w:r>
      <w:r w:rsidRPr="001641E0">
        <w:rPr>
          <w:rFonts w:cs="Times New Roman"/>
          <w:spacing w:val="-3"/>
          <w:lang w:val="fr-CA"/>
        </w:rPr>
        <w:t xml:space="preserve"> et, en plus, faire l’objet d’une ordonnance enjoignant qu’il soit soumis à une surveillance de longue durée, d’une période maximale de 10</w:t>
      </w:r>
      <w:r w:rsidR="0017725D">
        <w:rPr>
          <w:rFonts w:cs="Times New Roman"/>
          <w:spacing w:val="-3"/>
          <w:lang w:val="fr-CA"/>
        </w:rPr>
        <w:t xml:space="preserve"> </w:t>
      </w:r>
      <w:r w:rsidRPr="001641E0">
        <w:rPr>
          <w:rFonts w:cs="Times New Roman"/>
          <w:spacing w:val="-3"/>
          <w:lang w:val="fr-CA"/>
        </w:rPr>
        <w:t xml:space="preserve">ans. Cette sanction préventive est limitée dans le temps et conçue en fonction d’une surveillance dans la collectivité.   </w:t>
      </w:r>
    </w:p>
    <w:p w:rsidR="004E538E" w:rsidRPr="001641E0" w:rsidRDefault="004E538E" w:rsidP="0017725D">
      <w:pPr>
        <w:pStyle w:val="ParaNoNdepar-AltN"/>
        <w:rPr>
          <w:rFonts w:cs="Times New Roman"/>
          <w:lang w:val="fr-CA"/>
        </w:rPr>
      </w:pPr>
      <w:r w:rsidRPr="001641E0">
        <w:rPr>
          <w:rFonts w:cs="Times New Roman"/>
          <w:lang w:val="fr-CA"/>
        </w:rPr>
        <w:lastRenderedPageBreak/>
        <w:t>Aux fins du présent appel, l’al.</w:t>
      </w:r>
      <w:r w:rsidR="0017725D">
        <w:rPr>
          <w:rFonts w:cs="Times New Roman"/>
          <w:lang w:val="fr-CA"/>
        </w:rPr>
        <w:t xml:space="preserve"> </w:t>
      </w:r>
      <w:r w:rsidRPr="001641E0">
        <w:rPr>
          <w:rFonts w:cs="Times New Roman"/>
          <w:lang w:val="fr-CA"/>
        </w:rPr>
        <w:t>753(1)</w:t>
      </w:r>
      <w:r w:rsidRPr="001641E0">
        <w:rPr>
          <w:rFonts w:cs="Times New Roman"/>
          <w:i/>
          <w:lang w:val="fr-CA"/>
        </w:rPr>
        <w:t>b</w:t>
      </w:r>
      <w:r w:rsidRPr="001641E0">
        <w:rPr>
          <w:rFonts w:cs="Times New Roman"/>
          <w:lang w:val="fr-CA"/>
        </w:rPr>
        <w:t>) est la disposition pertinente en ce qui a trait à la déclaration selon laquelle M.</w:t>
      </w:r>
      <w:r w:rsidR="0017725D">
        <w:rPr>
          <w:rFonts w:cs="Times New Roman"/>
          <w:lang w:val="fr-CA"/>
        </w:rPr>
        <w:t xml:space="preserve"> </w:t>
      </w:r>
      <w:r w:rsidRPr="001641E0">
        <w:rPr>
          <w:rFonts w:cs="Times New Roman"/>
          <w:lang w:val="fr-CA"/>
        </w:rPr>
        <w:t xml:space="preserve">Sipos est un délinquant dangereux. Pour qu’une telle déclaration soit prononcée, l’infraction commise doit constituer </w:t>
      </w:r>
      <w:r w:rsidR="0017725D">
        <w:rPr>
          <w:rFonts w:cs="Times New Roman"/>
          <w:lang w:val="fr-CA"/>
        </w:rPr>
        <w:t>« </w:t>
      </w:r>
      <w:r w:rsidRPr="001641E0">
        <w:rPr>
          <w:rFonts w:cs="Times New Roman"/>
          <w:lang w:val="fr-CA"/>
        </w:rPr>
        <w:t>des sévices graves à la personne</w:t>
      </w:r>
      <w:r w:rsidR="0017725D">
        <w:rPr>
          <w:rFonts w:cs="Times New Roman"/>
          <w:lang w:val="fr-CA"/>
        </w:rPr>
        <w:t> »</w:t>
      </w:r>
      <w:r w:rsidRPr="001641E0">
        <w:rPr>
          <w:rFonts w:cs="Times New Roman"/>
          <w:lang w:val="fr-CA"/>
        </w:rPr>
        <w:t>. Ce type d’infractions comprend celles qui supposent l’</w:t>
      </w:r>
      <w:r w:rsidR="00544A98">
        <w:rPr>
          <w:rFonts w:cs="Times New Roman"/>
          <w:lang w:val="fr-CA"/>
        </w:rPr>
        <w:t>emploi</w:t>
      </w:r>
      <w:r w:rsidRPr="001641E0">
        <w:rPr>
          <w:rFonts w:cs="Times New Roman"/>
          <w:lang w:val="fr-CA"/>
        </w:rPr>
        <w:t xml:space="preserve"> ou la tentative d’</w:t>
      </w:r>
      <w:r w:rsidR="00544A98">
        <w:rPr>
          <w:rFonts w:cs="Times New Roman"/>
          <w:lang w:val="fr-CA"/>
        </w:rPr>
        <w:t>emploi</w:t>
      </w:r>
      <w:r w:rsidRPr="001641E0">
        <w:rPr>
          <w:rFonts w:cs="Times New Roman"/>
          <w:lang w:val="fr-CA"/>
        </w:rPr>
        <w:t xml:space="preserve"> de </w:t>
      </w:r>
      <w:r w:rsidR="00544A98">
        <w:rPr>
          <w:rFonts w:cs="Times New Roman"/>
          <w:lang w:val="fr-CA"/>
        </w:rPr>
        <w:t xml:space="preserve">la </w:t>
      </w:r>
      <w:r w:rsidRPr="001641E0">
        <w:rPr>
          <w:rFonts w:cs="Times New Roman"/>
          <w:lang w:val="fr-CA"/>
        </w:rPr>
        <w:t>violence pour lesquelles le délinquant est passible d’une peine d’emprisonnement d’au moins 10 ans ainsi qu’un certain nombre d’infractions de nature sexuelle</w:t>
      </w:r>
      <w:r w:rsidR="0017725D">
        <w:rPr>
          <w:rFonts w:cs="Times New Roman"/>
          <w:lang w:val="fr-CA"/>
        </w:rPr>
        <w:t> :</w:t>
      </w:r>
      <w:r w:rsidRPr="001641E0">
        <w:rPr>
          <w:rFonts w:cs="Times New Roman"/>
          <w:lang w:val="fr-CA"/>
        </w:rPr>
        <w:t xml:space="preserve"> art.</w:t>
      </w:r>
      <w:r w:rsidR="0017725D">
        <w:rPr>
          <w:rFonts w:cs="Times New Roman"/>
          <w:lang w:val="fr-CA"/>
        </w:rPr>
        <w:t xml:space="preserve"> </w:t>
      </w:r>
      <w:r w:rsidRPr="001641E0">
        <w:rPr>
          <w:rFonts w:cs="Times New Roman"/>
          <w:lang w:val="fr-CA"/>
        </w:rPr>
        <w:t>752. Il ne fait aucun doute que les infractions pour lesquelles M.</w:t>
      </w:r>
      <w:r w:rsidR="0017725D">
        <w:rPr>
          <w:rFonts w:cs="Times New Roman"/>
          <w:lang w:val="fr-CA"/>
        </w:rPr>
        <w:t xml:space="preserve"> </w:t>
      </w:r>
      <w:r w:rsidRPr="001641E0">
        <w:rPr>
          <w:rFonts w:cs="Times New Roman"/>
          <w:lang w:val="fr-CA"/>
        </w:rPr>
        <w:t xml:space="preserve">Sipos a été déclaré coupable sont du nombre. Les autres éléments exigés pour qu’il y ait déclaration sont à la fois rétrospectifs et prospectifs. Il faut que le délinquant ait démontré dans le passé son incapacité </w:t>
      </w:r>
      <w:r w:rsidR="0017725D">
        <w:rPr>
          <w:rFonts w:cs="Times New Roman"/>
          <w:lang w:val="fr-CA"/>
        </w:rPr>
        <w:t>« </w:t>
      </w:r>
      <w:r w:rsidRPr="001641E0">
        <w:rPr>
          <w:rFonts w:cs="Times New Roman"/>
          <w:lang w:val="fr-CA"/>
        </w:rPr>
        <w:t>à contrôler ses impulsions sexuelles</w:t>
      </w:r>
      <w:r w:rsidR="0017725D">
        <w:rPr>
          <w:rFonts w:cs="Times New Roman"/>
          <w:lang w:val="fr-CA"/>
        </w:rPr>
        <w:t> »</w:t>
      </w:r>
      <w:r w:rsidRPr="001641E0">
        <w:rPr>
          <w:rFonts w:cs="Times New Roman"/>
          <w:lang w:val="fr-CA"/>
        </w:rPr>
        <w:t xml:space="preserve"> et qu’il </w:t>
      </w:r>
      <w:r w:rsidR="0017725D">
        <w:rPr>
          <w:rFonts w:cs="Times New Roman"/>
          <w:lang w:val="fr-CA"/>
        </w:rPr>
        <w:t>« </w:t>
      </w:r>
      <w:r w:rsidRPr="001641E0">
        <w:rPr>
          <w:rFonts w:cs="Times New Roman"/>
          <w:lang w:val="fr-CA"/>
        </w:rPr>
        <w:t>laisse prévoir que vraisemblablement il causera à l’avenir de ce fait des sévices ou autres maux à d’autres personnes</w:t>
      </w:r>
      <w:r w:rsidR="0017725D">
        <w:rPr>
          <w:rFonts w:cs="Times New Roman"/>
          <w:lang w:val="fr-CA"/>
        </w:rPr>
        <w:t> » :</w:t>
      </w:r>
      <w:r w:rsidRPr="001641E0">
        <w:rPr>
          <w:rFonts w:cs="Times New Roman"/>
          <w:lang w:val="fr-CA"/>
        </w:rPr>
        <w:t xml:space="preserve"> al.</w:t>
      </w:r>
      <w:r w:rsidR="0017725D">
        <w:rPr>
          <w:rFonts w:cs="Times New Roman"/>
          <w:lang w:val="fr-CA"/>
        </w:rPr>
        <w:t xml:space="preserve"> </w:t>
      </w:r>
      <w:r w:rsidRPr="001641E0">
        <w:rPr>
          <w:rFonts w:cs="Times New Roman"/>
          <w:lang w:val="fr-CA"/>
        </w:rPr>
        <w:t>753(1)</w:t>
      </w:r>
      <w:r w:rsidRPr="001641E0">
        <w:rPr>
          <w:rFonts w:cs="Times New Roman"/>
          <w:i/>
          <w:lang w:val="fr-CA"/>
        </w:rPr>
        <w:t>b</w:t>
      </w:r>
      <w:r w:rsidRPr="001641E0">
        <w:rPr>
          <w:rFonts w:cs="Times New Roman"/>
          <w:lang w:val="fr-CA"/>
        </w:rPr>
        <w:t>).</w:t>
      </w:r>
    </w:p>
    <w:p w:rsidR="004E538E" w:rsidRPr="001641E0" w:rsidRDefault="004E538E" w:rsidP="0017725D">
      <w:pPr>
        <w:pStyle w:val="ParaNoNdepar-AltN"/>
        <w:rPr>
          <w:rFonts w:cs="Times New Roman"/>
          <w:lang w:val="fr-CA"/>
        </w:rPr>
      </w:pPr>
      <w:r w:rsidRPr="001641E0">
        <w:rPr>
          <w:rFonts w:cs="Times New Roman"/>
          <w:lang w:val="fr-CA"/>
        </w:rPr>
        <w:t xml:space="preserve">Les dispositions sur les délinquants à contrôler permettent à la cour d’infliger une peine pour l’infraction dont le délinquant a été déclaré coupable </w:t>
      </w:r>
      <w:r w:rsidRPr="001641E0">
        <w:rPr>
          <w:rFonts w:cs="Times New Roman"/>
          <w:i/>
          <w:lang w:val="fr-CA"/>
        </w:rPr>
        <w:t>et</w:t>
      </w:r>
      <w:r w:rsidRPr="001641E0">
        <w:rPr>
          <w:rFonts w:cs="Times New Roman"/>
          <w:u w:val="single"/>
          <w:lang w:val="fr-CA"/>
        </w:rPr>
        <w:t xml:space="preserve"> </w:t>
      </w:r>
      <w:r w:rsidRPr="001641E0">
        <w:rPr>
          <w:rFonts w:cs="Times New Roman"/>
          <w:lang w:val="fr-CA"/>
        </w:rPr>
        <w:t>d’ordonner que ce dernier soit soumis à une surveillance de longue durée pour une période maximale de 10 ans</w:t>
      </w:r>
      <w:r w:rsidR="0017725D">
        <w:rPr>
          <w:rFonts w:cs="Times New Roman"/>
          <w:lang w:val="fr-CA"/>
        </w:rPr>
        <w:t> :</w:t>
      </w:r>
      <w:r w:rsidRPr="001641E0">
        <w:rPr>
          <w:rFonts w:cs="Times New Roman"/>
          <w:lang w:val="fr-CA"/>
        </w:rPr>
        <w:t xml:space="preserve"> par.</w:t>
      </w:r>
      <w:r w:rsidR="0017725D">
        <w:rPr>
          <w:rFonts w:cs="Times New Roman"/>
          <w:lang w:val="fr-CA"/>
        </w:rPr>
        <w:t xml:space="preserve"> </w:t>
      </w:r>
      <w:r w:rsidRPr="001641E0">
        <w:rPr>
          <w:rFonts w:cs="Times New Roman"/>
          <w:lang w:val="fr-CA"/>
        </w:rPr>
        <w:t>753.1(3). Avant de rendre une ordonnance déclarant que le délinquant est un délinquant à contrôler, le tribunal doit être convaincu qu’il y a lieu de lui infliger une peine minimale d’emprisonnement de deux ans pour l’infraction dont il a été déclaré coupable, qu’il présente un risque élevé de récidive et qu’il existe une possibilité réelle que ce risque puisse être maîtrisé au sein de la collectivité</w:t>
      </w:r>
      <w:r w:rsidR="0017725D">
        <w:rPr>
          <w:rFonts w:cs="Times New Roman"/>
          <w:lang w:val="fr-CA"/>
        </w:rPr>
        <w:t> :</w:t>
      </w:r>
      <w:r w:rsidRPr="001641E0">
        <w:rPr>
          <w:rFonts w:cs="Times New Roman"/>
          <w:lang w:val="fr-CA"/>
        </w:rPr>
        <w:t xml:space="preserve"> par.</w:t>
      </w:r>
      <w:r w:rsidR="0017725D">
        <w:rPr>
          <w:rFonts w:cs="Times New Roman"/>
          <w:lang w:val="fr-CA"/>
        </w:rPr>
        <w:t xml:space="preserve"> </w:t>
      </w:r>
      <w:r w:rsidRPr="001641E0">
        <w:rPr>
          <w:rFonts w:cs="Times New Roman"/>
          <w:lang w:val="fr-CA"/>
        </w:rPr>
        <w:t>753.1(1).</w:t>
      </w:r>
    </w:p>
    <w:p w:rsidR="004E538E" w:rsidRPr="001641E0" w:rsidRDefault="004E538E" w:rsidP="0017725D">
      <w:pPr>
        <w:pStyle w:val="Title3LevelTitre3Niveau"/>
        <w:ind w:left="1094" w:hanging="547"/>
        <w:rPr>
          <w:rFonts w:cs="Times New Roman"/>
          <w:lang w:val="fr-CA"/>
        </w:rPr>
      </w:pPr>
      <w:r w:rsidRPr="001641E0">
        <w:rPr>
          <w:rFonts w:cs="Times New Roman"/>
          <w:i/>
          <w:lang w:val="fr-CA"/>
        </w:rPr>
        <w:lastRenderedPageBreak/>
        <w:t>Johnson</w:t>
      </w:r>
      <w:r w:rsidRPr="001641E0">
        <w:rPr>
          <w:rFonts w:cs="Times New Roman"/>
          <w:lang w:val="fr-CA"/>
        </w:rPr>
        <w:t xml:space="preserve"> et l’</w:t>
      </w:r>
      <w:r w:rsidR="0017725D">
        <w:rPr>
          <w:rFonts w:cs="Times New Roman"/>
          <w:lang w:val="fr-CA"/>
        </w:rPr>
        <w:t>« </w:t>
      </w:r>
      <w:r w:rsidRPr="00E248D8">
        <w:rPr>
          <w:rFonts w:cs="Times New Roman"/>
          <w:lang w:val="fr-CA"/>
        </w:rPr>
        <w:t>erreur</w:t>
      </w:r>
      <w:r w:rsidRPr="001641E0">
        <w:rPr>
          <w:rFonts w:cs="Times New Roman"/>
          <w:i/>
          <w:lang w:val="fr-CA"/>
        </w:rPr>
        <w:t xml:space="preserve"> Johnson</w:t>
      </w:r>
      <w:r w:rsidR="0017725D">
        <w:rPr>
          <w:rFonts w:cs="Times New Roman"/>
          <w:lang w:val="fr-CA"/>
        </w:rPr>
        <w:t> »</w:t>
      </w:r>
    </w:p>
    <w:p w:rsidR="004E538E" w:rsidRPr="001641E0" w:rsidRDefault="004E538E" w:rsidP="0017725D">
      <w:pPr>
        <w:pStyle w:val="ParaNoNdepar-AltN"/>
        <w:rPr>
          <w:rFonts w:cs="Times New Roman"/>
          <w:lang w:val="fr-CA"/>
        </w:rPr>
      </w:pPr>
      <w:r w:rsidRPr="001641E0">
        <w:rPr>
          <w:rFonts w:cs="Times New Roman"/>
          <w:lang w:val="fr-CA"/>
        </w:rPr>
        <w:t>Les deux régimes doivent être examinés conjointement. La version de l’art.</w:t>
      </w:r>
      <w:r w:rsidR="0017725D">
        <w:rPr>
          <w:rFonts w:cs="Times New Roman"/>
          <w:lang w:val="fr-CA"/>
        </w:rPr>
        <w:t xml:space="preserve"> </w:t>
      </w:r>
      <w:r w:rsidRPr="001641E0">
        <w:rPr>
          <w:rFonts w:cs="Times New Roman"/>
          <w:lang w:val="fr-CA"/>
        </w:rPr>
        <w:t xml:space="preserve">753 qui était en vigueur au moment où le juge chargé de prononcer la peine a rendu sa décision était la même que celle qui a été interprétée par la Cour dans </w:t>
      </w:r>
      <w:r w:rsidRPr="001641E0">
        <w:rPr>
          <w:rFonts w:cs="Times New Roman"/>
          <w:i/>
          <w:lang w:val="fr-CA"/>
        </w:rPr>
        <w:t>Johnson</w:t>
      </w:r>
      <w:r w:rsidRPr="001641E0">
        <w:rPr>
          <w:rFonts w:cs="Times New Roman"/>
          <w:lang w:val="fr-CA"/>
        </w:rPr>
        <w:t>. La Cour y avait conclu que le juge qui est convaincu que les dispositions applicables aux délinquants à contrôler permettent d’abaisser à un niveau acceptable le risque pour la vie, la sécurité ou le bien</w:t>
      </w:r>
      <w:r w:rsidR="00E248D8">
        <w:rPr>
          <w:rFonts w:cs="Times New Roman"/>
          <w:lang w:val="fr-CA"/>
        </w:rPr>
        <w:t>-</w:t>
      </w:r>
      <w:r w:rsidRPr="001641E0">
        <w:rPr>
          <w:rFonts w:cs="Times New Roman"/>
          <w:lang w:val="fr-CA"/>
        </w:rPr>
        <w:t xml:space="preserve">être physique ou mental de qui que ce soit </w:t>
      </w:r>
      <w:r w:rsidR="0017725D">
        <w:rPr>
          <w:rFonts w:cs="Times New Roman"/>
          <w:lang w:val="fr-CA"/>
        </w:rPr>
        <w:t>« </w:t>
      </w:r>
      <w:r w:rsidRPr="001641E0">
        <w:rPr>
          <w:rFonts w:cs="Times New Roman"/>
          <w:lang w:val="fr-CA"/>
        </w:rPr>
        <w:t>ne peut à bon droit déclarer qu’un délinquant est un délinquant dangereux et lui infliger de ce fait une peine de détention d’une durée indéterminée, même lorsque sont réunies toutes les conditions légales pour le faire</w:t>
      </w:r>
      <w:r w:rsidR="0017725D">
        <w:rPr>
          <w:rFonts w:cs="Times New Roman"/>
          <w:lang w:val="fr-CA"/>
        </w:rPr>
        <w:t> » :</w:t>
      </w:r>
      <w:r w:rsidRPr="001641E0">
        <w:rPr>
          <w:rFonts w:cs="Times New Roman"/>
          <w:lang w:val="fr-CA"/>
        </w:rPr>
        <w:t xml:space="preserve"> </w:t>
      </w:r>
      <w:r w:rsidRPr="001641E0">
        <w:rPr>
          <w:rFonts w:cs="Times New Roman"/>
          <w:i/>
          <w:lang w:val="fr-CA"/>
        </w:rPr>
        <w:t>Johnson</w:t>
      </w:r>
      <w:r w:rsidRPr="001641E0">
        <w:rPr>
          <w:rFonts w:cs="Times New Roman"/>
          <w:lang w:val="fr-CA"/>
        </w:rPr>
        <w:t>, par.</w:t>
      </w:r>
      <w:r w:rsidR="0017725D">
        <w:rPr>
          <w:rFonts w:cs="Times New Roman"/>
          <w:lang w:val="fr-CA"/>
        </w:rPr>
        <w:t xml:space="preserve"> </w:t>
      </w:r>
      <w:r w:rsidRPr="001641E0">
        <w:rPr>
          <w:rFonts w:cs="Times New Roman"/>
          <w:lang w:val="fr-CA"/>
        </w:rPr>
        <w:t>40.  Le fait de ne pas examiner ces options constitue ce qu’on a appelé l’</w:t>
      </w:r>
      <w:r w:rsidR="0017725D">
        <w:rPr>
          <w:rFonts w:cs="Times New Roman"/>
          <w:lang w:val="fr-CA"/>
        </w:rPr>
        <w:t>« </w:t>
      </w:r>
      <w:r w:rsidRPr="001641E0">
        <w:rPr>
          <w:rFonts w:cs="Times New Roman"/>
          <w:lang w:val="fr-CA"/>
        </w:rPr>
        <w:t xml:space="preserve">erreur </w:t>
      </w:r>
      <w:r w:rsidRPr="001641E0">
        <w:rPr>
          <w:rFonts w:cs="Times New Roman"/>
          <w:i/>
          <w:lang w:val="fr-CA"/>
        </w:rPr>
        <w:t>Johnson</w:t>
      </w:r>
      <w:r w:rsidR="0017725D">
        <w:rPr>
          <w:rFonts w:cs="Times New Roman"/>
          <w:i/>
          <w:lang w:val="fr-CA"/>
        </w:rPr>
        <w:t> </w:t>
      </w:r>
      <w:r w:rsidR="0017725D" w:rsidRPr="00E248D8">
        <w:rPr>
          <w:rFonts w:cs="Times New Roman"/>
          <w:lang w:val="fr-CA"/>
        </w:rPr>
        <w:t>»</w:t>
      </w:r>
      <w:r w:rsidRPr="001641E0">
        <w:rPr>
          <w:rFonts w:cs="Times New Roman"/>
          <w:lang w:val="fr-CA"/>
        </w:rPr>
        <w:t>. Les parties ne contestent pas que le juge qui a prononcé la peine a commis une telle erreur en l’espèce et elles n’ont pas laissé entendre que les modifications législatives de 2008 (L.C.</w:t>
      </w:r>
      <w:r w:rsidR="0017725D">
        <w:rPr>
          <w:rFonts w:cs="Times New Roman"/>
          <w:lang w:val="fr-CA"/>
        </w:rPr>
        <w:t xml:space="preserve"> </w:t>
      </w:r>
      <w:r w:rsidRPr="001641E0">
        <w:rPr>
          <w:rFonts w:cs="Times New Roman"/>
          <w:lang w:val="fr-CA"/>
        </w:rPr>
        <w:t>2008, ch.</w:t>
      </w:r>
      <w:r w:rsidR="0017725D">
        <w:rPr>
          <w:rFonts w:cs="Times New Roman"/>
          <w:lang w:val="fr-CA"/>
        </w:rPr>
        <w:t xml:space="preserve"> </w:t>
      </w:r>
      <w:r w:rsidRPr="001641E0">
        <w:rPr>
          <w:rFonts w:cs="Times New Roman"/>
          <w:lang w:val="fr-CA"/>
        </w:rPr>
        <w:t>6) changeaient quoi que ce soit à cette conclusion dans la présente affaire.</w:t>
      </w:r>
      <w:r w:rsidRPr="001641E0">
        <w:rPr>
          <w:rFonts w:cs="Times New Roman"/>
          <w:spacing w:val="-3"/>
          <w:lang w:val="fr-CA"/>
        </w:rPr>
        <w:t xml:space="preserve"> </w:t>
      </w:r>
    </w:p>
    <w:p w:rsidR="004E538E" w:rsidRPr="001641E0" w:rsidRDefault="004E538E" w:rsidP="0017725D">
      <w:pPr>
        <w:pStyle w:val="Title3LevelTitre3Niveau"/>
        <w:rPr>
          <w:rFonts w:cs="Times New Roman"/>
          <w:lang w:val="fr-CA"/>
        </w:rPr>
      </w:pPr>
      <w:r w:rsidRPr="001641E0">
        <w:rPr>
          <w:rFonts w:cs="Times New Roman"/>
          <w:lang w:val="fr-CA"/>
        </w:rPr>
        <w:t>Appel interjeté par le délinquant dangereux</w:t>
      </w:r>
    </w:p>
    <w:p w:rsidR="004E538E" w:rsidRPr="001641E0" w:rsidRDefault="004E538E" w:rsidP="0017725D">
      <w:pPr>
        <w:pStyle w:val="ParaNoNdepar-AltN"/>
        <w:rPr>
          <w:rFonts w:cs="Times New Roman"/>
          <w:lang w:val="fr-CA"/>
        </w:rPr>
      </w:pPr>
      <w:r w:rsidRPr="001641E0">
        <w:rPr>
          <w:rFonts w:cs="Times New Roman"/>
          <w:lang w:val="fr-CA"/>
        </w:rPr>
        <w:t>Le délinquant déclaré délinquant dangereux peut interjeter appel à la cour d’appel sur toute question de droit ou de fait ou toute question mixte de droit et de fait</w:t>
      </w:r>
      <w:r w:rsidR="0017725D">
        <w:rPr>
          <w:rFonts w:cs="Times New Roman"/>
          <w:lang w:val="fr-CA"/>
        </w:rPr>
        <w:t> :</w:t>
      </w:r>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759(1). La cour d’appel a le pouvoir légal de rejeter l’appel ou d’y faire droit. Si elle admet l’appel, elle peut soit déclarer que le délinquant n’est pas un délinquant dangereux ou un délinquant à contrôler, ou rendre une ordonnance </w:t>
      </w:r>
      <w:r w:rsidRPr="001641E0">
        <w:rPr>
          <w:rFonts w:cs="Times New Roman"/>
          <w:lang w:val="fr-CA"/>
        </w:rPr>
        <w:lastRenderedPageBreak/>
        <w:t>qu’aurait pu rendre le tribunal de première instance, soit ordonner la tenue d’une nouvelle audience</w:t>
      </w:r>
      <w:r w:rsidR="0017725D">
        <w:rPr>
          <w:rFonts w:cs="Times New Roman"/>
          <w:lang w:val="fr-CA"/>
        </w:rPr>
        <w:t> :</w:t>
      </w:r>
      <w:r w:rsidRPr="001641E0">
        <w:rPr>
          <w:rFonts w:cs="Times New Roman"/>
          <w:lang w:val="fr-CA"/>
        </w:rPr>
        <w:t xml:space="preserve"> al.</w:t>
      </w:r>
      <w:r w:rsidR="0017725D">
        <w:rPr>
          <w:rFonts w:cs="Times New Roman"/>
          <w:lang w:val="fr-CA"/>
        </w:rPr>
        <w:t xml:space="preserve"> </w:t>
      </w:r>
      <w:r w:rsidRPr="001641E0">
        <w:rPr>
          <w:rFonts w:cs="Times New Roman"/>
          <w:lang w:val="fr-CA"/>
        </w:rPr>
        <w:t>759(3)</w:t>
      </w:r>
      <w:r w:rsidRPr="001641E0">
        <w:rPr>
          <w:rFonts w:cs="Times New Roman"/>
          <w:i/>
          <w:lang w:val="fr-CA"/>
        </w:rPr>
        <w:t>a</w:t>
      </w:r>
      <w:r w:rsidRPr="001641E0">
        <w:rPr>
          <w:rFonts w:cs="Times New Roman"/>
          <w:lang w:val="fr-CA"/>
        </w:rPr>
        <w:t>). On ne prévoit pas expressément le contrôle en appel de l’opportunité de la déclaration. Selon la Cour, le contrôle en appel porte sur les erreurs de droit et vise à déterminer si la déclaration de délinquant dangereux était raisonnable</w:t>
      </w:r>
      <w:r w:rsidR="0017725D">
        <w:rPr>
          <w:rFonts w:cs="Times New Roman"/>
          <w:lang w:val="fr-CA"/>
        </w:rPr>
        <w:t> :</w:t>
      </w:r>
      <w:r w:rsidRPr="001641E0">
        <w:rPr>
          <w:rFonts w:cs="Times New Roman"/>
          <w:lang w:val="fr-CA"/>
        </w:rPr>
        <w:t xml:space="preserve"> </w:t>
      </w:r>
      <w:r w:rsidRPr="001641E0">
        <w:rPr>
          <w:rFonts w:cs="Times New Roman"/>
          <w:i/>
          <w:lang w:val="fr-CA"/>
        </w:rPr>
        <w:t xml:space="preserve">R. c. </w:t>
      </w:r>
      <w:proofErr w:type="spellStart"/>
      <w:r w:rsidRPr="001641E0">
        <w:rPr>
          <w:rFonts w:cs="Times New Roman"/>
          <w:i/>
          <w:lang w:val="fr-CA"/>
        </w:rPr>
        <w:t>Currie</w:t>
      </w:r>
      <w:proofErr w:type="spellEnd"/>
      <w:r w:rsidRPr="001641E0">
        <w:rPr>
          <w:rFonts w:cs="Times New Roman"/>
          <w:lang w:val="fr-CA"/>
        </w:rPr>
        <w:t>, [1997] 2 R.C.S.</w:t>
      </w:r>
      <w:r w:rsidR="0017725D">
        <w:rPr>
          <w:rFonts w:cs="Times New Roman"/>
          <w:lang w:val="fr-CA"/>
        </w:rPr>
        <w:t xml:space="preserve"> </w:t>
      </w:r>
      <w:r w:rsidRPr="001641E0">
        <w:rPr>
          <w:rFonts w:cs="Times New Roman"/>
          <w:lang w:val="fr-CA"/>
        </w:rPr>
        <w:t>260, par.</w:t>
      </w:r>
      <w:r w:rsidR="0017725D">
        <w:rPr>
          <w:rFonts w:cs="Times New Roman"/>
          <w:lang w:val="fr-CA"/>
        </w:rPr>
        <w:t xml:space="preserve"> </w:t>
      </w:r>
      <w:r w:rsidRPr="001641E0">
        <w:rPr>
          <w:rFonts w:cs="Times New Roman"/>
          <w:lang w:val="fr-CA"/>
        </w:rPr>
        <w:t xml:space="preserve">33. </w:t>
      </w:r>
    </w:p>
    <w:p w:rsidR="004E538E" w:rsidRPr="001641E0" w:rsidRDefault="004E538E" w:rsidP="0017725D">
      <w:pPr>
        <w:pStyle w:val="ParaNoNdepar-AltN"/>
        <w:rPr>
          <w:rFonts w:cs="Times New Roman"/>
          <w:lang w:val="fr-CA"/>
        </w:rPr>
      </w:pPr>
      <w:r w:rsidRPr="001641E0">
        <w:rPr>
          <w:rFonts w:cs="Times New Roman"/>
          <w:lang w:val="fr-CA"/>
        </w:rPr>
        <w:t xml:space="preserve">Conformément à cette conception large du pouvoir de contrôle en appel de la sentence, la Cour dans </w:t>
      </w:r>
      <w:r w:rsidRPr="001641E0">
        <w:rPr>
          <w:rFonts w:cs="Times New Roman"/>
          <w:i/>
          <w:lang w:val="fr-CA"/>
        </w:rPr>
        <w:t xml:space="preserve">Johnson </w:t>
      </w:r>
      <w:r w:rsidRPr="001641E0">
        <w:rPr>
          <w:rFonts w:cs="Times New Roman"/>
          <w:lang w:val="fr-CA"/>
        </w:rPr>
        <w:t xml:space="preserve">a interprété le pouvoir de rejeter l’appel comme comportant celui de le faire même en présence d’une erreur de droit, dans la mesure où l’erreur n’a donné lieu à aucun tort important ni à aucune erreur judiciaire grave. La Cour a toutefois souligné que cela </w:t>
      </w:r>
      <w:r w:rsidR="0017725D">
        <w:rPr>
          <w:rFonts w:cs="Times New Roman"/>
          <w:lang w:val="fr-CA"/>
        </w:rPr>
        <w:t>« </w:t>
      </w:r>
      <w:r w:rsidRPr="001641E0">
        <w:rPr>
          <w:rFonts w:cs="Times New Roman"/>
          <w:lang w:val="fr-CA"/>
        </w:rPr>
        <w:t>arrivera rarement, sinon jamais</w:t>
      </w:r>
      <w:r w:rsidR="0017725D">
        <w:rPr>
          <w:rFonts w:cs="Times New Roman"/>
          <w:lang w:val="fr-CA"/>
        </w:rPr>
        <w:t> » :</w:t>
      </w:r>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50. Pour que le tribunal puisse exercer ce pouvoir réparateur, le ministère public doit établir </w:t>
      </w:r>
      <w:r w:rsidR="0017725D">
        <w:rPr>
          <w:rFonts w:cs="Times New Roman"/>
          <w:lang w:val="fr-CA"/>
        </w:rPr>
        <w:t>« </w:t>
      </w:r>
      <w:r w:rsidRPr="001641E0">
        <w:rPr>
          <w:rFonts w:cs="Times New Roman"/>
          <w:lang w:val="fr-CA"/>
        </w:rPr>
        <w:t>l’absence d’une possibilité raisonnable que le verdict eût été différent si l’erreur de droit n’avait pas été commise</w:t>
      </w:r>
      <w:r w:rsidR="0017725D">
        <w:rPr>
          <w:rFonts w:cs="Times New Roman"/>
          <w:lang w:val="fr-CA"/>
        </w:rPr>
        <w:t> » :</w:t>
      </w:r>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49.  </w:t>
      </w:r>
    </w:p>
    <w:p w:rsidR="004E538E" w:rsidRPr="001641E0" w:rsidRDefault="004E538E" w:rsidP="0017725D">
      <w:pPr>
        <w:pStyle w:val="ParaNoNdepar-AltN"/>
        <w:rPr>
          <w:rFonts w:cs="Times New Roman"/>
          <w:lang w:val="fr-CA"/>
        </w:rPr>
      </w:pPr>
      <w:r w:rsidRPr="001641E0">
        <w:rPr>
          <w:rFonts w:cs="Times New Roman"/>
          <w:lang w:val="fr-CA"/>
        </w:rPr>
        <w:t>Il convient ici de bien différencier le contrôle en appel d’une déclaration de délinquant dangereux de ce que j’appellerai l’appel</w:t>
      </w:r>
      <w:r w:rsidR="00E248D8">
        <w:rPr>
          <w:rFonts w:cs="Times New Roman"/>
          <w:lang w:val="fr-CA"/>
        </w:rPr>
        <w:t xml:space="preserve"> « normal »</w:t>
      </w:r>
      <w:r w:rsidRPr="001641E0">
        <w:rPr>
          <w:rFonts w:cs="Times New Roman"/>
          <w:lang w:val="fr-CA"/>
        </w:rPr>
        <w:t xml:space="preserve"> d’une sentence. Dans les procédures sur acte d’accusation, le délinquant peut interjeter appel de la sentence rendue par le tribunal de première instance à moins qu’elle ne soit de celles que fixe la loi</w:t>
      </w:r>
      <w:r w:rsidR="0017725D">
        <w:rPr>
          <w:rFonts w:cs="Times New Roman"/>
          <w:lang w:val="fr-CA"/>
        </w:rPr>
        <w:t> :</w:t>
      </w:r>
      <w:r w:rsidRPr="001641E0">
        <w:rPr>
          <w:rFonts w:cs="Times New Roman"/>
          <w:lang w:val="fr-CA"/>
        </w:rPr>
        <w:t xml:space="preserve"> al.</w:t>
      </w:r>
      <w:r w:rsidR="0017725D">
        <w:rPr>
          <w:rFonts w:cs="Times New Roman"/>
          <w:lang w:val="fr-CA"/>
        </w:rPr>
        <w:t xml:space="preserve"> </w:t>
      </w:r>
      <w:r w:rsidRPr="001641E0">
        <w:rPr>
          <w:rFonts w:cs="Times New Roman"/>
          <w:lang w:val="fr-CA"/>
        </w:rPr>
        <w:t>675(1)</w:t>
      </w:r>
      <w:r w:rsidRPr="001641E0">
        <w:rPr>
          <w:rFonts w:cs="Times New Roman"/>
          <w:i/>
          <w:lang w:val="fr-CA"/>
        </w:rPr>
        <w:t>b</w:t>
      </w:r>
      <w:r w:rsidRPr="001641E0">
        <w:rPr>
          <w:rFonts w:cs="Times New Roman"/>
          <w:lang w:val="fr-CA"/>
        </w:rPr>
        <w:t xml:space="preserve">). La cour saisie de l’appel doit </w:t>
      </w:r>
      <w:r w:rsidR="0017725D">
        <w:rPr>
          <w:rFonts w:cs="Times New Roman"/>
          <w:lang w:val="fr-CA"/>
        </w:rPr>
        <w:t>« </w:t>
      </w:r>
      <w:proofErr w:type="spellStart"/>
      <w:proofErr w:type="gramStart"/>
      <w:r w:rsidRPr="001641E0">
        <w:rPr>
          <w:rFonts w:cs="Times New Roman"/>
          <w:lang w:val="fr-CA"/>
        </w:rPr>
        <w:t>consid</w:t>
      </w:r>
      <w:proofErr w:type="spellEnd"/>
      <w:r w:rsidRPr="001641E0">
        <w:rPr>
          <w:rFonts w:cs="Times New Roman"/>
          <w:lang w:val="fr-CA"/>
        </w:rPr>
        <w:t>[</w:t>
      </w:r>
      <w:proofErr w:type="spellStart"/>
      <w:proofErr w:type="gramEnd"/>
      <w:r w:rsidRPr="001641E0">
        <w:rPr>
          <w:rFonts w:cs="Times New Roman"/>
          <w:lang w:val="fr-CA"/>
        </w:rPr>
        <w:t>érer</w:t>
      </w:r>
      <w:proofErr w:type="spellEnd"/>
      <w:r w:rsidRPr="001641E0">
        <w:rPr>
          <w:rFonts w:cs="Times New Roman"/>
          <w:lang w:val="fr-CA"/>
        </w:rPr>
        <w:t>] [</w:t>
      </w:r>
      <w:r w:rsidR="00E248D8">
        <w:rPr>
          <w:rFonts w:cs="Times New Roman"/>
          <w:lang w:val="fr-CA"/>
        </w:rPr>
        <w:t>. . .</w:t>
      </w:r>
      <w:r w:rsidRPr="001641E0">
        <w:rPr>
          <w:rFonts w:cs="Times New Roman"/>
          <w:lang w:val="fr-CA"/>
        </w:rPr>
        <w:t>] la justesse de la sentence</w:t>
      </w:r>
      <w:r w:rsidR="0017725D">
        <w:rPr>
          <w:rFonts w:cs="Times New Roman"/>
          <w:lang w:val="fr-CA"/>
        </w:rPr>
        <w:t> »</w:t>
      </w:r>
      <w:r w:rsidRPr="001641E0">
        <w:rPr>
          <w:rFonts w:cs="Times New Roman"/>
          <w:lang w:val="fr-CA"/>
        </w:rPr>
        <w:t xml:space="preserve"> et peut </w:t>
      </w:r>
      <w:r w:rsidR="0017725D">
        <w:rPr>
          <w:rFonts w:cs="Times New Roman"/>
          <w:lang w:val="fr-CA"/>
        </w:rPr>
        <w:t>« </w:t>
      </w:r>
      <w:r w:rsidRPr="001641E0">
        <w:rPr>
          <w:rFonts w:cs="Times New Roman"/>
          <w:lang w:val="fr-CA"/>
        </w:rPr>
        <w:t>d’après la preuve, le cas échéant, qu’elle croit utile d’exiger ou de recevoir</w:t>
      </w:r>
      <w:r w:rsidR="0017725D">
        <w:rPr>
          <w:rFonts w:cs="Times New Roman"/>
          <w:lang w:val="fr-CA"/>
        </w:rPr>
        <w:t> »</w:t>
      </w:r>
      <w:r w:rsidRPr="001641E0">
        <w:rPr>
          <w:rFonts w:cs="Times New Roman"/>
          <w:lang w:val="fr-CA"/>
        </w:rPr>
        <w:t>, modifier la sentence ou rejeter l’appel</w:t>
      </w:r>
      <w:r w:rsidR="0017725D">
        <w:rPr>
          <w:rFonts w:cs="Times New Roman"/>
          <w:lang w:val="fr-CA"/>
        </w:rPr>
        <w:t> :</w:t>
      </w:r>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687(1). Cela permet le contrôle en appel d’une erreur de principe et de la question de savoir si la peine n’est manifestement pas indiquée ou est manifestement erronée. Il s’agit là </w:t>
      </w:r>
      <w:r w:rsidRPr="001641E0">
        <w:rPr>
          <w:rFonts w:cs="Times New Roman"/>
          <w:lang w:val="fr-CA"/>
        </w:rPr>
        <w:lastRenderedPageBreak/>
        <w:t xml:space="preserve">d’une norme de contrôle commandant une très grande déférence. Comme l’a affirmé le juge en chef Lamer dans </w:t>
      </w:r>
      <w:r w:rsidRPr="001641E0">
        <w:rPr>
          <w:rFonts w:cs="Times New Roman"/>
          <w:i/>
          <w:lang w:val="fr-CA"/>
        </w:rPr>
        <w:t>R. c. M. (C.A.)</w:t>
      </w:r>
      <w:r w:rsidRPr="001641E0">
        <w:rPr>
          <w:rFonts w:cs="Times New Roman"/>
          <w:lang w:val="fr-CA"/>
        </w:rPr>
        <w:t>, [1996] 1 R.C.S.</w:t>
      </w:r>
      <w:r w:rsidR="0017725D">
        <w:rPr>
          <w:rFonts w:cs="Times New Roman"/>
          <w:lang w:val="fr-CA"/>
        </w:rPr>
        <w:t xml:space="preserve"> </w:t>
      </w:r>
      <w:r w:rsidRPr="001641E0">
        <w:rPr>
          <w:rFonts w:cs="Times New Roman"/>
          <w:lang w:val="fr-CA"/>
        </w:rPr>
        <w:t>500, par.</w:t>
      </w:r>
      <w:r w:rsidR="0017725D">
        <w:rPr>
          <w:rFonts w:cs="Times New Roman"/>
          <w:lang w:val="fr-CA"/>
        </w:rPr>
        <w:t xml:space="preserve"> </w:t>
      </w:r>
      <w:r w:rsidRPr="001641E0">
        <w:rPr>
          <w:rFonts w:cs="Times New Roman"/>
          <w:lang w:val="fr-CA"/>
        </w:rPr>
        <w:t>90</w:t>
      </w:r>
      <w:r w:rsidR="0017725D">
        <w:rPr>
          <w:rFonts w:cs="Times New Roman"/>
          <w:lang w:val="fr-CA"/>
        </w:rPr>
        <w:t> :</w:t>
      </w:r>
      <w:r w:rsidRPr="001641E0">
        <w:rPr>
          <w:rFonts w:cs="Times New Roman"/>
          <w:lang w:val="fr-CA"/>
        </w:rPr>
        <w:t xml:space="preserve"> </w:t>
      </w:r>
    </w:p>
    <w:p w:rsidR="004E538E" w:rsidRPr="001641E0" w:rsidRDefault="004E538E" w:rsidP="0017725D">
      <w:pPr>
        <w:pStyle w:val="Citation-AltC"/>
        <w:spacing w:after="240"/>
        <w:ind w:hanging="1166"/>
        <w:contextualSpacing w:val="0"/>
        <w:rPr>
          <w:lang w:val="fr-CA"/>
        </w:rPr>
      </w:pPr>
      <w:r w:rsidRPr="001641E0">
        <w:rPr>
          <w:lang w:val="fr-CA"/>
        </w:rPr>
        <w:tab/>
      </w:r>
      <w:r w:rsidR="004443E2">
        <w:rPr>
          <w:lang w:val="fr-CA"/>
        </w:rPr>
        <w:tab/>
      </w:r>
      <w:r w:rsidR="00E248D8">
        <w:rPr>
          <w:lang w:val="fr-CA"/>
        </w:rPr>
        <w:t>. . .</w:t>
      </w:r>
      <w:r w:rsidRPr="001641E0">
        <w:rPr>
          <w:lang w:val="fr-CA"/>
        </w:rPr>
        <w:t xml:space="preserve"> sauf erreur de principe, omission de prendre en considération un facteur pertinent ou insistance trop grande sur les facteurs appropriés, une cour d’appel ne devrait intervenir pour modifier la peine infligée au procès que si elle n’est manifestement pas indiquée.  </w:t>
      </w:r>
    </w:p>
    <w:p w:rsidR="004E538E" w:rsidRPr="001641E0" w:rsidRDefault="004E538E" w:rsidP="0017725D">
      <w:pPr>
        <w:pStyle w:val="Citation-AltC"/>
        <w:spacing w:after="480" w:line="480" w:lineRule="auto"/>
        <w:ind w:left="0"/>
        <w:contextualSpacing w:val="0"/>
        <w:rPr>
          <w:lang w:val="fr-CA"/>
        </w:rPr>
      </w:pPr>
      <w:r w:rsidRPr="001641E0">
        <w:rPr>
          <w:lang w:val="fr-CA"/>
        </w:rPr>
        <w:t xml:space="preserve">(Voir aussi </w:t>
      </w:r>
      <w:r w:rsidRPr="001641E0">
        <w:rPr>
          <w:i/>
          <w:lang w:val="fr-CA"/>
        </w:rPr>
        <w:t>R. c. Shropshire</w:t>
      </w:r>
      <w:r w:rsidRPr="001641E0">
        <w:rPr>
          <w:lang w:val="fr-CA"/>
        </w:rPr>
        <w:t>, [1995] 4 R.C.S.</w:t>
      </w:r>
      <w:r w:rsidR="0017725D">
        <w:rPr>
          <w:lang w:val="fr-CA"/>
        </w:rPr>
        <w:t xml:space="preserve"> </w:t>
      </w:r>
      <w:r w:rsidRPr="001641E0">
        <w:rPr>
          <w:lang w:val="fr-CA"/>
        </w:rPr>
        <w:t>227, par.</w:t>
      </w:r>
      <w:r w:rsidR="0017725D">
        <w:rPr>
          <w:lang w:val="fr-CA"/>
        </w:rPr>
        <w:t xml:space="preserve"> </w:t>
      </w:r>
      <w:r w:rsidRPr="001641E0">
        <w:rPr>
          <w:lang w:val="fr-CA"/>
        </w:rPr>
        <w:t>45</w:t>
      </w:r>
      <w:r w:rsidR="004443E2">
        <w:rPr>
          <w:lang w:val="fr-CA"/>
        </w:rPr>
        <w:t>-</w:t>
      </w:r>
      <w:r w:rsidRPr="001641E0">
        <w:rPr>
          <w:lang w:val="fr-CA"/>
        </w:rPr>
        <w:t xml:space="preserve">50; </w:t>
      </w:r>
      <w:r w:rsidRPr="001641E0">
        <w:rPr>
          <w:i/>
          <w:lang w:val="fr-CA"/>
        </w:rPr>
        <w:t>R. c. McDonnell</w:t>
      </w:r>
      <w:r w:rsidRPr="001641E0">
        <w:rPr>
          <w:lang w:val="fr-CA"/>
        </w:rPr>
        <w:t>, [1997] 1 R.C.S. 948, par.</w:t>
      </w:r>
      <w:r w:rsidR="0017725D">
        <w:rPr>
          <w:lang w:val="fr-CA"/>
        </w:rPr>
        <w:t xml:space="preserve"> </w:t>
      </w:r>
      <w:r w:rsidRPr="001641E0">
        <w:rPr>
          <w:lang w:val="fr-CA"/>
        </w:rPr>
        <w:t>14</w:t>
      </w:r>
      <w:r w:rsidR="004443E2">
        <w:rPr>
          <w:lang w:val="fr-CA"/>
        </w:rPr>
        <w:t>-</w:t>
      </w:r>
      <w:r w:rsidRPr="001641E0">
        <w:rPr>
          <w:lang w:val="fr-CA"/>
        </w:rPr>
        <w:t>17.)</w:t>
      </w:r>
    </w:p>
    <w:p w:rsidR="004E538E" w:rsidRPr="001641E0" w:rsidRDefault="004E538E" w:rsidP="0017725D">
      <w:pPr>
        <w:pStyle w:val="ParaNoNdepar-AltN"/>
        <w:rPr>
          <w:rFonts w:cs="Times New Roman"/>
          <w:lang w:val="fr-CA"/>
        </w:rPr>
      </w:pPr>
      <w:r w:rsidRPr="001641E0">
        <w:rPr>
          <w:rFonts w:cs="Times New Roman"/>
          <w:lang w:val="fr-CA"/>
        </w:rPr>
        <w:t xml:space="preserve">La Cour, dans </w:t>
      </w:r>
      <w:proofErr w:type="spellStart"/>
      <w:r w:rsidRPr="001641E0">
        <w:rPr>
          <w:rFonts w:cs="Times New Roman"/>
          <w:i/>
          <w:lang w:val="fr-CA"/>
        </w:rPr>
        <w:t>Currie</w:t>
      </w:r>
      <w:proofErr w:type="spellEnd"/>
      <w:r w:rsidRPr="001641E0">
        <w:rPr>
          <w:rFonts w:cs="Times New Roman"/>
          <w:lang w:val="fr-CA"/>
        </w:rPr>
        <w:t xml:space="preserve">, a conclu que le contrôle en appel d’une déclaration de délinquant dangereux est un peu plus vigoureux. Toutefois, cela n’exige pas de la cour saisie de l’appel qu’elle pose un regard entièrement neuf sur la déclaration (ou, comme le disent les avocats, qu’elle procède à un examen </w:t>
      </w:r>
      <w:r w:rsidRPr="001641E0">
        <w:rPr>
          <w:rFonts w:cs="Times New Roman"/>
          <w:i/>
          <w:lang w:val="fr-CA"/>
        </w:rPr>
        <w:t>de novo</w:t>
      </w:r>
      <w:r w:rsidRPr="001641E0">
        <w:rPr>
          <w:rFonts w:cs="Times New Roman"/>
          <w:lang w:val="fr-CA"/>
        </w:rPr>
        <w:t>). Elle doit plutôt faire preuve d’une certaine retenue envers les conclusions du juge qui a statué sur la peine</w:t>
      </w:r>
      <w:r w:rsidR="0017725D">
        <w:rPr>
          <w:rFonts w:cs="Times New Roman"/>
          <w:lang w:val="fr-CA"/>
        </w:rPr>
        <w:t> :</w:t>
      </w:r>
      <w:r w:rsidRPr="001641E0">
        <w:rPr>
          <w:rFonts w:cs="Times New Roman"/>
          <w:lang w:val="fr-CA"/>
        </w:rPr>
        <w:t xml:space="preserve"> </w:t>
      </w:r>
      <w:proofErr w:type="spellStart"/>
      <w:r w:rsidRPr="001641E0">
        <w:rPr>
          <w:rFonts w:cs="Times New Roman"/>
          <w:i/>
          <w:lang w:val="fr-CA"/>
        </w:rPr>
        <w:t>Currie</w:t>
      </w:r>
      <w:proofErr w:type="spellEnd"/>
      <w:r w:rsidRPr="001641E0">
        <w:rPr>
          <w:rFonts w:cs="Times New Roman"/>
          <w:lang w:val="fr-CA"/>
        </w:rPr>
        <w:t>, par.</w:t>
      </w:r>
      <w:r w:rsidR="0017725D">
        <w:rPr>
          <w:rFonts w:cs="Times New Roman"/>
          <w:lang w:val="fr-CA"/>
        </w:rPr>
        <w:t xml:space="preserve"> </w:t>
      </w:r>
      <w:r w:rsidRPr="001641E0">
        <w:rPr>
          <w:rFonts w:cs="Times New Roman"/>
          <w:lang w:val="fr-CA"/>
        </w:rPr>
        <w:t>33.</w:t>
      </w:r>
    </w:p>
    <w:p w:rsidR="004E538E" w:rsidRPr="001641E0" w:rsidRDefault="004E538E" w:rsidP="0017725D">
      <w:pPr>
        <w:pStyle w:val="ParaNoNdepar-AltN"/>
        <w:rPr>
          <w:rFonts w:cs="Times New Roman"/>
          <w:lang w:val="fr-CA"/>
        </w:rPr>
      </w:pPr>
      <w:r w:rsidRPr="001641E0">
        <w:rPr>
          <w:rFonts w:cs="Times New Roman"/>
          <w:lang w:val="fr-CA"/>
        </w:rPr>
        <w:t xml:space="preserve">La cour saisie d’un appel </w:t>
      </w:r>
      <w:r w:rsidR="00191041">
        <w:rPr>
          <w:rFonts w:cs="Times New Roman"/>
          <w:lang w:val="fr-CA"/>
        </w:rPr>
        <w:t>« normal »</w:t>
      </w:r>
      <w:r w:rsidR="00E41CCC">
        <w:rPr>
          <w:rFonts w:cs="Times New Roman"/>
          <w:lang w:val="fr-CA"/>
        </w:rPr>
        <w:t xml:space="preserve"> </w:t>
      </w:r>
      <w:r w:rsidRPr="001641E0">
        <w:rPr>
          <w:rFonts w:cs="Times New Roman"/>
          <w:lang w:val="fr-CA"/>
        </w:rPr>
        <w:t>de sentence  — par opposition à l’appel interjeté à l’égard d’une déclaration de délinquant dangereux — ne dispose d’aucun pouvoir réparateur, et n’est pas, selon la position prédominante, autorisée à renvoyer l’affaire au juge du procès pour que celui</w:t>
      </w:r>
      <w:r w:rsidR="0017725D">
        <w:rPr>
          <w:rFonts w:cs="Times New Roman"/>
          <w:lang w:val="fr-CA"/>
        </w:rPr>
        <w:t xml:space="preserve"> </w:t>
      </w:r>
      <w:r w:rsidRPr="001641E0">
        <w:rPr>
          <w:rFonts w:cs="Times New Roman"/>
          <w:lang w:val="fr-CA"/>
        </w:rPr>
        <w:t xml:space="preserve">ci tienne une nouvelle audience de détermination de la peine. Dans un appel </w:t>
      </w:r>
      <w:r w:rsidR="00191041" w:rsidRPr="001641E0">
        <w:rPr>
          <w:rFonts w:cs="Times New Roman"/>
          <w:lang w:val="fr-CA"/>
        </w:rPr>
        <w:t xml:space="preserve">normal </w:t>
      </w:r>
      <w:r w:rsidRPr="001641E0">
        <w:rPr>
          <w:rFonts w:cs="Times New Roman"/>
          <w:lang w:val="fr-CA"/>
        </w:rPr>
        <w:t>de sentence, le rôle de la cour d’appel consiste à juger de la légalité et de la justesse de la peine infligée au procès. Si la cour d’appel conclut que son intervention est justifiée, elle inflige une peine juste dans ce qui équivaut à une nouvelle audience de détermination de la peine</w:t>
      </w:r>
      <w:r w:rsidR="0017725D">
        <w:rPr>
          <w:rFonts w:cs="Times New Roman"/>
          <w:lang w:val="fr-CA"/>
        </w:rPr>
        <w:t> :</w:t>
      </w:r>
      <w:r w:rsidRPr="001641E0">
        <w:rPr>
          <w:rFonts w:cs="Times New Roman"/>
          <w:lang w:val="fr-CA"/>
        </w:rPr>
        <w:t xml:space="preserve"> </w:t>
      </w:r>
      <w:r w:rsidRPr="001641E0">
        <w:rPr>
          <w:rFonts w:cs="Times New Roman"/>
          <w:i/>
          <w:lang w:val="fr-CA"/>
        </w:rPr>
        <w:t>Code criminel</w:t>
      </w:r>
      <w:r w:rsidRPr="001641E0">
        <w:rPr>
          <w:rFonts w:cs="Times New Roman"/>
          <w:lang w:val="fr-CA"/>
        </w:rPr>
        <w:t>, art.</w:t>
      </w:r>
      <w:r w:rsidR="0017725D">
        <w:rPr>
          <w:rFonts w:cs="Times New Roman"/>
          <w:lang w:val="fr-CA"/>
        </w:rPr>
        <w:t xml:space="preserve"> </w:t>
      </w:r>
      <w:r w:rsidRPr="001641E0">
        <w:rPr>
          <w:rFonts w:cs="Times New Roman"/>
          <w:lang w:val="fr-CA"/>
        </w:rPr>
        <w:t xml:space="preserve">687. </w:t>
      </w:r>
    </w:p>
    <w:p w:rsidR="004E538E" w:rsidRPr="001641E0" w:rsidRDefault="004E538E" w:rsidP="0017725D">
      <w:pPr>
        <w:pStyle w:val="Title3LevelTitre3Niveau"/>
        <w:rPr>
          <w:rFonts w:cs="Times New Roman"/>
          <w:lang w:val="fr-CA"/>
        </w:rPr>
      </w:pPr>
      <w:r w:rsidRPr="001641E0">
        <w:rPr>
          <w:rFonts w:cs="Times New Roman"/>
          <w:lang w:val="fr-CA"/>
        </w:rPr>
        <w:lastRenderedPageBreak/>
        <w:t>Nouveaux éléments de preuve lors d’un appel de sentence</w:t>
      </w:r>
    </w:p>
    <w:p w:rsidR="004E538E" w:rsidRPr="001641E0" w:rsidRDefault="004E538E" w:rsidP="0017725D">
      <w:pPr>
        <w:pStyle w:val="ParaNoNdepar-AltN"/>
        <w:rPr>
          <w:rFonts w:cs="Times New Roman"/>
          <w:lang w:val="fr-CA"/>
        </w:rPr>
      </w:pPr>
      <w:r w:rsidRPr="001641E0">
        <w:rPr>
          <w:rFonts w:cs="Times New Roman"/>
          <w:lang w:val="fr-CA"/>
        </w:rPr>
        <w:t xml:space="preserve">Dans les appels de sentences infligées à l’égard de la perpétration d’actes criminels, la cour peut examiner </w:t>
      </w:r>
      <w:r w:rsidR="0017725D">
        <w:rPr>
          <w:rFonts w:cs="Times New Roman"/>
          <w:lang w:val="fr-CA"/>
        </w:rPr>
        <w:t>« </w:t>
      </w:r>
      <w:r w:rsidRPr="001641E0">
        <w:rPr>
          <w:rFonts w:cs="Times New Roman"/>
          <w:lang w:val="fr-CA"/>
        </w:rPr>
        <w:t>la preuve, le cas échéant, qu’elle croit utile d’exiger ou de recevoir</w:t>
      </w:r>
      <w:r w:rsidR="0017725D">
        <w:rPr>
          <w:rFonts w:cs="Times New Roman"/>
          <w:lang w:val="fr-CA"/>
        </w:rPr>
        <w:t> » :</w:t>
      </w:r>
      <w:r w:rsidRPr="001641E0">
        <w:rPr>
          <w:rFonts w:cs="Times New Roman"/>
          <w:lang w:val="fr-CA"/>
        </w:rPr>
        <w:t xml:space="preserve"> par.</w:t>
      </w:r>
      <w:r w:rsidR="0017725D">
        <w:rPr>
          <w:rFonts w:cs="Times New Roman"/>
          <w:lang w:val="fr-CA"/>
        </w:rPr>
        <w:t xml:space="preserve"> </w:t>
      </w:r>
      <w:r w:rsidRPr="001641E0">
        <w:rPr>
          <w:rFonts w:cs="Times New Roman"/>
          <w:lang w:val="fr-CA"/>
        </w:rPr>
        <w:t>687(1). Il n’existe pas de disposition analogue pour les appels relatifs aux déclarations de délinquant dangereux. Cependant, dans de tels cas, la cour d’appel peut admettre une nouvelle preuve lorsqu’il est dans l’intérêt de la justice de le faire</w:t>
      </w:r>
      <w:r w:rsidR="0017725D">
        <w:rPr>
          <w:rFonts w:cs="Times New Roman"/>
          <w:lang w:val="fr-CA"/>
        </w:rPr>
        <w:t> :</w:t>
      </w:r>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759(7) et 683(1).  </w:t>
      </w:r>
    </w:p>
    <w:p w:rsidR="004E538E" w:rsidRPr="001641E0" w:rsidRDefault="004E538E" w:rsidP="0017725D">
      <w:pPr>
        <w:pStyle w:val="ParaNoNdepar-AltN"/>
        <w:rPr>
          <w:rFonts w:cs="Times New Roman"/>
          <w:lang w:val="fr-CA"/>
        </w:rPr>
      </w:pPr>
      <w:r w:rsidRPr="001641E0">
        <w:rPr>
          <w:rFonts w:cs="Times New Roman"/>
          <w:lang w:val="fr-CA"/>
        </w:rPr>
        <w:t xml:space="preserve">La Cour a établi dans </w:t>
      </w:r>
      <w:r w:rsidRPr="001641E0">
        <w:rPr>
          <w:rFonts w:cs="Times New Roman"/>
          <w:i/>
          <w:lang w:val="fr-CA"/>
        </w:rPr>
        <w:t>R. c. Lévesque</w:t>
      </w:r>
      <w:r w:rsidRPr="001641E0">
        <w:rPr>
          <w:rFonts w:cs="Times New Roman"/>
          <w:lang w:val="fr-CA"/>
        </w:rPr>
        <w:t>, 2000 CSC 47, [2000] 2 R.C.S.</w:t>
      </w:r>
      <w:r w:rsidR="0017725D">
        <w:rPr>
          <w:rFonts w:cs="Times New Roman"/>
          <w:lang w:val="fr-CA"/>
        </w:rPr>
        <w:t xml:space="preserve"> </w:t>
      </w:r>
      <w:r w:rsidRPr="001641E0">
        <w:rPr>
          <w:rFonts w:cs="Times New Roman"/>
          <w:lang w:val="fr-CA"/>
        </w:rPr>
        <w:t xml:space="preserve">487, que, bien que les sources et les genres de preuves soient assouplis lorsque l’appel concerne la sentence, l’admissibilité d’une nouvelle preuve est régie par le test bien connu de l’arrêt </w:t>
      </w:r>
      <w:r w:rsidRPr="001641E0">
        <w:rPr>
          <w:rFonts w:cs="Times New Roman"/>
          <w:i/>
          <w:lang w:val="fr-CA"/>
        </w:rPr>
        <w:t>Palmer</w:t>
      </w:r>
      <w:r w:rsidR="00E41CCC">
        <w:rPr>
          <w:rFonts w:cs="Times New Roman"/>
          <w:i/>
          <w:lang w:val="fr-CA"/>
        </w:rPr>
        <w:t xml:space="preserve">. </w:t>
      </w:r>
      <w:r w:rsidRPr="001641E0">
        <w:rPr>
          <w:rFonts w:cs="Times New Roman"/>
          <w:lang w:val="fr-CA"/>
        </w:rPr>
        <w:t xml:space="preserve"> Cet arrêt, comme on le sait, énonce quatre critères portant sur la diligence raisonnable, la pertinence, la crédibilité et l’incidence sur le résultat</w:t>
      </w:r>
      <w:r w:rsidR="0017725D">
        <w:rPr>
          <w:rFonts w:cs="Times New Roman"/>
          <w:lang w:val="fr-CA"/>
        </w:rPr>
        <w:t> :</w:t>
      </w:r>
      <w:r w:rsidRPr="001641E0">
        <w:rPr>
          <w:rFonts w:cs="Times New Roman"/>
          <w:lang w:val="fr-CA"/>
        </w:rPr>
        <w:t xml:space="preserve"> </w:t>
      </w:r>
      <w:r w:rsidRPr="001641E0">
        <w:rPr>
          <w:rFonts w:cs="Times New Roman"/>
          <w:i/>
          <w:lang w:val="fr-CA"/>
        </w:rPr>
        <w:t>Palmer c. La Reine</w:t>
      </w:r>
      <w:r w:rsidRPr="001641E0">
        <w:rPr>
          <w:rFonts w:cs="Times New Roman"/>
          <w:lang w:val="fr-CA"/>
        </w:rPr>
        <w:t>,</w:t>
      </w:r>
      <w:r w:rsidRPr="001641E0">
        <w:rPr>
          <w:rFonts w:cs="Times New Roman"/>
          <w:i/>
          <w:lang w:val="fr-CA"/>
        </w:rPr>
        <w:t xml:space="preserve"> </w:t>
      </w:r>
      <w:r w:rsidRPr="001641E0">
        <w:rPr>
          <w:rFonts w:cs="Times New Roman"/>
          <w:lang w:val="fr-CA"/>
        </w:rPr>
        <w:t>[1980] 1 R.C.S.</w:t>
      </w:r>
      <w:r w:rsidR="0017725D">
        <w:rPr>
          <w:rFonts w:cs="Times New Roman"/>
          <w:lang w:val="fr-CA"/>
        </w:rPr>
        <w:t xml:space="preserve"> </w:t>
      </w:r>
      <w:r w:rsidRPr="001641E0">
        <w:rPr>
          <w:rFonts w:cs="Times New Roman"/>
          <w:lang w:val="fr-CA"/>
        </w:rPr>
        <w:t>759, p.</w:t>
      </w:r>
      <w:r w:rsidR="0017725D">
        <w:rPr>
          <w:rFonts w:cs="Times New Roman"/>
          <w:lang w:val="fr-CA"/>
        </w:rPr>
        <w:t xml:space="preserve"> </w:t>
      </w:r>
      <w:r w:rsidRPr="001641E0">
        <w:rPr>
          <w:rFonts w:cs="Times New Roman"/>
          <w:lang w:val="fr-CA"/>
        </w:rPr>
        <w:t>775. On ne devrait généralement pas admettre un nouvel élément de preuve qui, avec diligence raisonnable, aurait pu être obtenu en première instance — ce critère n’étant toutefois pas appliqué de manière stricte dans les affaires criminelles lorsqu’il serait contraire à l’intérêt de la justice de le faire. La preuve doit être pertinente, en ce sens qu’elle doit porter sur une question potentiellement décisive et qu’on p</w:t>
      </w:r>
      <w:r w:rsidR="006E5516">
        <w:rPr>
          <w:rFonts w:cs="Times New Roman"/>
          <w:lang w:val="fr-CA"/>
        </w:rPr>
        <w:t>eut</w:t>
      </w:r>
      <w:r w:rsidRPr="001641E0">
        <w:rPr>
          <w:rFonts w:cs="Times New Roman"/>
          <w:lang w:val="fr-CA"/>
        </w:rPr>
        <w:t xml:space="preserve"> raisonnablement y ajouter foi. Enfin, la preuve doit être telle que, si on l’accepte, on puisse raisonnablement </w:t>
      </w:r>
      <w:proofErr w:type="gramStart"/>
      <w:r w:rsidRPr="001641E0">
        <w:rPr>
          <w:rFonts w:cs="Times New Roman"/>
          <w:lang w:val="fr-CA"/>
        </w:rPr>
        <w:t>penser</w:t>
      </w:r>
      <w:proofErr w:type="gramEnd"/>
      <w:r w:rsidRPr="001641E0">
        <w:rPr>
          <w:rFonts w:cs="Times New Roman"/>
          <w:lang w:val="fr-CA"/>
        </w:rPr>
        <w:t xml:space="preserve"> que, considérée avec les éléments produits en première instance, elle aurait influé sur le résultat. Comme l’a expliqué la juge Charron dans </w:t>
      </w:r>
      <w:r w:rsidRPr="001641E0">
        <w:rPr>
          <w:rFonts w:cs="Times New Roman"/>
          <w:i/>
          <w:lang w:val="fr-CA"/>
        </w:rPr>
        <w:t xml:space="preserve">R. c. </w:t>
      </w:r>
      <w:proofErr w:type="spellStart"/>
      <w:r w:rsidRPr="001641E0">
        <w:rPr>
          <w:rFonts w:cs="Times New Roman"/>
          <w:i/>
          <w:lang w:val="fr-CA"/>
        </w:rPr>
        <w:t>Angelillo</w:t>
      </w:r>
      <w:proofErr w:type="spellEnd"/>
      <w:r w:rsidRPr="001641E0">
        <w:rPr>
          <w:rFonts w:cs="Times New Roman"/>
          <w:lang w:val="fr-CA"/>
        </w:rPr>
        <w:t>, 2006 CSC 55, [2006] 2 R.C.S.</w:t>
      </w:r>
      <w:r w:rsidR="0017725D">
        <w:rPr>
          <w:rFonts w:cs="Times New Roman"/>
          <w:lang w:val="fr-CA"/>
        </w:rPr>
        <w:t xml:space="preserve"> </w:t>
      </w:r>
      <w:r w:rsidRPr="001641E0">
        <w:rPr>
          <w:rFonts w:cs="Times New Roman"/>
          <w:lang w:val="fr-CA"/>
        </w:rPr>
        <w:t>728, par.</w:t>
      </w:r>
      <w:r w:rsidR="0017725D">
        <w:rPr>
          <w:rFonts w:cs="Times New Roman"/>
          <w:lang w:val="fr-CA"/>
        </w:rPr>
        <w:t xml:space="preserve"> </w:t>
      </w:r>
      <w:r w:rsidRPr="001641E0">
        <w:rPr>
          <w:rFonts w:cs="Times New Roman"/>
          <w:lang w:val="fr-CA"/>
        </w:rPr>
        <w:t>15</w:t>
      </w:r>
      <w:r w:rsidR="0017725D">
        <w:rPr>
          <w:rFonts w:cs="Times New Roman"/>
          <w:lang w:val="fr-CA"/>
        </w:rPr>
        <w:t> :</w:t>
      </w:r>
    </w:p>
    <w:p w:rsidR="004E538E" w:rsidRPr="001641E0" w:rsidRDefault="004E538E" w:rsidP="0017725D">
      <w:pPr>
        <w:pStyle w:val="Citation-AltC"/>
        <w:ind w:hanging="1166"/>
        <w:rPr>
          <w:lang w:val="fr-CA"/>
        </w:rPr>
      </w:pPr>
      <w:r w:rsidRPr="001641E0">
        <w:rPr>
          <w:lang w:val="fr-CA"/>
        </w:rPr>
        <w:lastRenderedPageBreak/>
        <w:tab/>
      </w:r>
      <w:r w:rsidR="00804F41">
        <w:rPr>
          <w:lang w:val="fr-CA"/>
        </w:rPr>
        <w:tab/>
      </w:r>
      <w:r w:rsidRPr="001641E0">
        <w:rPr>
          <w:lang w:val="fr-CA"/>
        </w:rPr>
        <w:t xml:space="preserve">Conformément aux trois derniers critères de l’arrêt </w:t>
      </w:r>
      <w:r w:rsidRPr="001641E0">
        <w:rPr>
          <w:i/>
          <w:lang w:val="fr-CA"/>
        </w:rPr>
        <w:t>Palmer</w:t>
      </w:r>
      <w:r w:rsidRPr="001641E0">
        <w:rPr>
          <w:lang w:val="fr-CA"/>
        </w:rPr>
        <w:t xml:space="preserve">, une cour d’appel ne peut donc admettre que des éléments de preuve qui sont pertinents, plausibles et </w:t>
      </w:r>
      <w:r w:rsidRPr="001641E0">
        <w:rPr>
          <w:u w:val="single"/>
          <w:lang w:val="fr-CA"/>
        </w:rPr>
        <w:t>dont on peut raisonnablement penser qu’ils auraient influé sur le résultat s’ils avaient été produits en première instance avec les autres éléments de preuve</w:t>
      </w:r>
      <w:r w:rsidRPr="001641E0">
        <w:rPr>
          <w:lang w:val="fr-CA"/>
        </w:rPr>
        <w:t>.</w:t>
      </w:r>
      <w:r w:rsidRPr="001641E0">
        <w:rPr>
          <w:i/>
          <w:lang w:val="fr-CA"/>
        </w:rPr>
        <w:t xml:space="preserve"> </w:t>
      </w:r>
      <w:r w:rsidRPr="001641E0">
        <w:rPr>
          <w:lang w:val="fr-CA"/>
        </w:rPr>
        <w:t>[Je souligne.]</w:t>
      </w:r>
    </w:p>
    <w:p w:rsidR="004E538E" w:rsidRPr="001641E0" w:rsidRDefault="004E538E" w:rsidP="0017725D">
      <w:pPr>
        <w:pStyle w:val="ParaNoNdepar-AltN"/>
        <w:rPr>
          <w:rFonts w:cs="Times New Roman"/>
          <w:lang w:val="fr-CA"/>
        </w:rPr>
      </w:pPr>
      <w:r w:rsidRPr="001641E0">
        <w:rPr>
          <w:rFonts w:cs="Times New Roman"/>
          <w:lang w:val="fr-CA"/>
        </w:rPr>
        <w:t>L’introduction de nouveaux élémen</w:t>
      </w:r>
      <w:r w:rsidR="006E5516">
        <w:rPr>
          <w:rFonts w:cs="Times New Roman"/>
          <w:lang w:val="fr-CA"/>
        </w:rPr>
        <w:t>ts de preuve portant sur des évé</w:t>
      </w:r>
      <w:r w:rsidRPr="001641E0">
        <w:rPr>
          <w:rFonts w:cs="Times New Roman"/>
          <w:lang w:val="fr-CA"/>
        </w:rPr>
        <w:t xml:space="preserve">nements survenus entre le prononcé de la peine et l’appel peut soulever des problèmes complexes mettant clairement en évidence des valeurs opposées. D’une part, nous devons reconnaître, pour reprendre les termes du juge Doherty dans </w:t>
      </w:r>
      <w:r w:rsidRPr="001641E0">
        <w:rPr>
          <w:rFonts w:cs="Times New Roman"/>
          <w:i/>
          <w:lang w:val="fr-CA"/>
        </w:rPr>
        <w:t>R. c. Hamilton</w:t>
      </w:r>
      <w:r w:rsidRPr="001641E0">
        <w:rPr>
          <w:rFonts w:cs="Times New Roman"/>
          <w:lang w:val="fr-CA"/>
        </w:rPr>
        <w:t xml:space="preserve"> (2004), 72 O.R. (3d) 1, par.</w:t>
      </w:r>
      <w:r w:rsidR="0017725D">
        <w:rPr>
          <w:rFonts w:cs="Times New Roman"/>
          <w:lang w:val="fr-CA"/>
        </w:rPr>
        <w:t xml:space="preserve"> </w:t>
      </w:r>
      <w:r w:rsidRPr="001641E0">
        <w:rPr>
          <w:rFonts w:cs="Times New Roman"/>
          <w:lang w:val="fr-CA"/>
        </w:rPr>
        <w:t>166, que [</w:t>
      </w:r>
      <w:r w:rsidRPr="001641E0">
        <w:rPr>
          <w:rFonts w:cs="Times New Roman"/>
          <w:smallCaps/>
          <w:lang w:val="fr-CA"/>
        </w:rPr>
        <w:t>traduction</w:t>
      </w:r>
      <w:r w:rsidRPr="001641E0">
        <w:rPr>
          <w:rFonts w:cs="Times New Roman"/>
          <w:lang w:val="fr-CA"/>
        </w:rPr>
        <w:t>]</w:t>
      </w:r>
      <w:r w:rsidR="0017725D">
        <w:rPr>
          <w:rFonts w:cs="Times New Roman"/>
          <w:lang w:val="fr-CA"/>
        </w:rPr>
        <w:t xml:space="preserve"> « </w:t>
      </w:r>
      <w:r w:rsidR="006E5516">
        <w:rPr>
          <w:rFonts w:cs="Times New Roman"/>
          <w:lang w:val="fr-CA"/>
        </w:rPr>
        <w:t>[</w:t>
      </w:r>
      <w:r w:rsidRPr="001641E0">
        <w:rPr>
          <w:rFonts w:cs="Times New Roman"/>
          <w:lang w:val="fr-CA"/>
        </w:rPr>
        <w:t>l</w:t>
      </w:r>
      <w:r w:rsidR="006E5516">
        <w:rPr>
          <w:rFonts w:cs="Times New Roman"/>
          <w:lang w:val="fr-CA"/>
        </w:rPr>
        <w:t>]es a</w:t>
      </w:r>
      <w:r w:rsidRPr="001641E0">
        <w:rPr>
          <w:rFonts w:cs="Times New Roman"/>
          <w:lang w:val="fr-CA"/>
        </w:rPr>
        <w:t>ppels prennent un certain temps. La vie continue. Les choses changent. La Cour d’appel ne peut faire abstraction de ces réalités humaines lorsqu’elle est appelée à infliger une peine bien après le fait.</w:t>
      </w:r>
      <w:r w:rsidR="0017725D">
        <w:rPr>
          <w:rFonts w:cs="Times New Roman"/>
          <w:lang w:val="fr-CA"/>
        </w:rPr>
        <w:t> »</w:t>
      </w:r>
      <w:r w:rsidRPr="001641E0">
        <w:rPr>
          <w:rFonts w:cs="Times New Roman"/>
          <w:lang w:val="fr-CA"/>
        </w:rPr>
        <w:t xml:space="preserve"> Cependant, nous devons également tenir compte des limites institutionnelles des cours d’appel et de la valeur importante du caractère définitif des décisions. Trancher régulièrement des appels de</w:t>
      </w:r>
      <w:r w:rsidR="006E5516">
        <w:rPr>
          <w:rFonts w:cs="Times New Roman"/>
          <w:lang w:val="fr-CA"/>
        </w:rPr>
        <w:t xml:space="preserve"> sentence sur le fondement d’évé</w:t>
      </w:r>
      <w:r w:rsidRPr="001641E0">
        <w:rPr>
          <w:rFonts w:cs="Times New Roman"/>
          <w:lang w:val="fr-CA"/>
        </w:rPr>
        <w:t>nements survenus après le fait pourrait à la fois menacer l’intégrité du processus criminel — en compromettant son caractère définitif — et outrepasser les limites appropriées du contrôle en appel</w:t>
      </w:r>
      <w:r w:rsidR="0017725D">
        <w:rPr>
          <w:rFonts w:cs="Times New Roman"/>
          <w:lang w:val="fr-CA"/>
        </w:rPr>
        <w:t> :</w:t>
      </w:r>
      <w:r w:rsidRPr="001641E0">
        <w:rPr>
          <w:rFonts w:cs="Times New Roman"/>
          <w:lang w:val="fr-CA"/>
        </w:rPr>
        <w:t xml:space="preserve"> </w:t>
      </w:r>
      <w:r w:rsidRPr="001641E0">
        <w:rPr>
          <w:rFonts w:cs="Times New Roman"/>
          <w:i/>
          <w:lang w:val="fr-CA"/>
        </w:rPr>
        <w:t>Lévesque</w:t>
      </w:r>
      <w:r w:rsidRPr="001641E0">
        <w:rPr>
          <w:rFonts w:cs="Times New Roman"/>
          <w:lang w:val="fr-CA"/>
        </w:rPr>
        <w:t>, par.</w:t>
      </w:r>
      <w:r w:rsidR="0017725D">
        <w:rPr>
          <w:rFonts w:cs="Times New Roman"/>
          <w:lang w:val="fr-CA"/>
        </w:rPr>
        <w:t xml:space="preserve"> </w:t>
      </w:r>
      <w:r w:rsidRPr="001641E0">
        <w:rPr>
          <w:rFonts w:cs="Times New Roman"/>
          <w:lang w:val="fr-CA"/>
        </w:rPr>
        <w:t xml:space="preserve">20; </w:t>
      </w:r>
      <w:r w:rsidRPr="001641E0">
        <w:rPr>
          <w:rFonts w:cs="Times New Roman"/>
          <w:i/>
          <w:lang w:val="fr-CA"/>
        </w:rPr>
        <w:t>R. c. Smith</w:t>
      </w:r>
      <w:r w:rsidRPr="001641E0">
        <w:rPr>
          <w:rFonts w:cs="Times New Roman"/>
          <w:lang w:val="fr-CA"/>
        </w:rPr>
        <w:t xml:space="preserve"> (2005), 376 A.R.</w:t>
      </w:r>
      <w:r w:rsidR="0017725D">
        <w:rPr>
          <w:rFonts w:cs="Times New Roman"/>
          <w:lang w:val="fr-CA"/>
        </w:rPr>
        <w:t xml:space="preserve"> </w:t>
      </w:r>
      <w:r w:rsidRPr="001641E0">
        <w:rPr>
          <w:rFonts w:cs="Times New Roman"/>
          <w:lang w:val="fr-CA"/>
        </w:rPr>
        <w:t>389</w:t>
      </w:r>
      <w:r w:rsidR="006E5516">
        <w:rPr>
          <w:rFonts w:cs="Times New Roman"/>
          <w:lang w:val="fr-CA"/>
        </w:rPr>
        <w:t xml:space="preserve"> (C.A.)</w:t>
      </w:r>
      <w:r w:rsidRPr="001641E0">
        <w:rPr>
          <w:rFonts w:cs="Times New Roman"/>
          <w:lang w:val="fr-CA"/>
        </w:rPr>
        <w:t>, par.</w:t>
      </w:r>
      <w:r w:rsidR="0017725D">
        <w:rPr>
          <w:rFonts w:cs="Times New Roman"/>
          <w:lang w:val="fr-CA"/>
        </w:rPr>
        <w:t xml:space="preserve"> </w:t>
      </w:r>
      <w:r w:rsidRPr="001641E0">
        <w:rPr>
          <w:rFonts w:cs="Times New Roman"/>
          <w:lang w:val="fr-CA"/>
        </w:rPr>
        <w:t>21</w:t>
      </w:r>
      <w:r w:rsidR="00136FC4">
        <w:rPr>
          <w:rFonts w:cs="Times New Roman"/>
          <w:lang w:val="fr-CA"/>
        </w:rPr>
        <w:t>-2</w:t>
      </w:r>
      <w:r w:rsidRPr="001641E0">
        <w:rPr>
          <w:rFonts w:cs="Times New Roman"/>
          <w:lang w:val="fr-CA"/>
        </w:rPr>
        <w:t xml:space="preserve">5. </w:t>
      </w:r>
    </w:p>
    <w:p w:rsidR="004E538E" w:rsidRPr="001641E0" w:rsidRDefault="004E538E" w:rsidP="0017725D">
      <w:pPr>
        <w:pStyle w:val="ParaNoNdepar-AltN"/>
        <w:rPr>
          <w:rFonts w:cs="Times New Roman"/>
          <w:lang w:val="fr-CA"/>
        </w:rPr>
      </w:pPr>
      <w:r w:rsidRPr="001641E0">
        <w:rPr>
          <w:rFonts w:cs="Times New Roman"/>
          <w:lang w:val="fr-CA"/>
        </w:rPr>
        <w:t>Vu la diversité presque infinie des situations susceptibles de survenir, il n’est ni souhaitable ni possible de formuler des règles absolues ou détaillées quant aux types d’éléments de</w:t>
      </w:r>
      <w:r w:rsidR="006E5516">
        <w:rPr>
          <w:rFonts w:cs="Times New Roman"/>
          <w:lang w:val="fr-CA"/>
        </w:rPr>
        <w:t xml:space="preserve"> preuve relatifs à des évé</w:t>
      </w:r>
      <w:r w:rsidRPr="001641E0">
        <w:rPr>
          <w:rFonts w:cs="Times New Roman"/>
          <w:lang w:val="fr-CA"/>
        </w:rPr>
        <w:t xml:space="preserve">nements survenus après le fait qui devraient ou ne devraient pas être pris en considération dans tous les cas. La jurisprudence abondante des cours d’appel ne saurait être réduite à un ensemble </w:t>
      </w:r>
      <w:r w:rsidRPr="001641E0">
        <w:rPr>
          <w:rFonts w:cs="Times New Roman"/>
          <w:lang w:val="fr-CA"/>
        </w:rPr>
        <w:lastRenderedPageBreak/>
        <w:t>ordonné de règles, mais montre plutôt qu’elles o</w:t>
      </w:r>
      <w:r w:rsidR="006E5516">
        <w:rPr>
          <w:rFonts w:cs="Times New Roman"/>
          <w:lang w:val="fr-CA"/>
        </w:rPr>
        <w:t>nt essayé de mettre en balance d</w:t>
      </w:r>
      <w:r w:rsidRPr="001641E0">
        <w:rPr>
          <w:rFonts w:cs="Times New Roman"/>
          <w:lang w:val="fr-CA"/>
        </w:rPr>
        <w:t>es valeurs parfois opposées à la lumière de circonstances particulières et très variées</w:t>
      </w:r>
      <w:r w:rsidR="0017725D">
        <w:rPr>
          <w:rFonts w:cs="Times New Roman"/>
          <w:lang w:val="fr-CA"/>
        </w:rPr>
        <w:t> :</w:t>
      </w:r>
      <w:r w:rsidRPr="001641E0">
        <w:rPr>
          <w:rFonts w:cs="Times New Roman"/>
          <w:lang w:val="fr-CA"/>
        </w:rPr>
        <w:t xml:space="preserve"> voir, p.</w:t>
      </w:r>
      <w:r w:rsidR="0017725D">
        <w:rPr>
          <w:rFonts w:cs="Times New Roman"/>
          <w:lang w:val="fr-CA"/>
        </w:rPr>
        <w:t xml:space="preserve"> </w:t>
      </w:r>
      <w:r w:rsidRPr="001641E0">
        <w:rPr>
          <w:rFonts w:cs="Times New Roman"/>
          <w:lang w:val="fr-CA"/>
        </w:rPr>
        <w:t xml:space="preserve">ex., </w:t>
      </w:r>
      <w:r w:rsidRPr="001641E0">
        <w:rPr>
          <w:rFonts w:cs="Times New Roman"/>
          <w:i/>
          <w:lang w:val="fr-CA"/>
        </w:rPr>
        <w:t>R. c. Riley</w:t>
      </w:r>
      <w:r w:rsidRPr="001641E0">
        <w:rPr>
          <w:rFonts w:cs="Times New Roman"/>
          <w:lang w:val="fr-CA"/>
        </w:rPr>
        <w:t xml:space="preserve"> (1996) 150 N.S.R. (2d) 390 (C.A.); </w:t>
      </w:r>
      <w:r w:rsidRPr="001641E0">
        <w:rPr>
          <w:rFonts w:cs="Times New Roman"/>
          <w:i/>
          <w:lang w:val="fr-CA"/>
        </w:rPr>
        <w:t xml:space="preserve">R. c. </w:t>
      </w:r>
      <w:proofErr w:type="spellStart"/>
      <w:r w:rsidRPr="001641E0">
        <w:rPr>
          <w:rFonts w:cs="Times New Roman"/>
          <w:i/>
          <w:lang w:val="fr-CA"/>
        </w:rPr>
        <w:t>Faid</w:t>
      </w:r>
      <w:proofErr w:type="spellEnd"/>
      <w:r w:rsidRPr="001641E0">
        <w:rPr>
          <w:rFonts w:cs="Times New Roman"/>
          <w:lang w:val="fr-CA"/>
        </w:rPr>
        <w:t xml:space="preserve"> (1984), 52 A.R.</w:t>
      </w:r>
      <w:r w:rsidR="0017725D">
        <w:rPr>
          <w:rFonts w:cs="Times New Roman"/>
          <w:lang w:val="fr-CA"/>
        </w:rPr>
        <w:t xml:space="preserve"> </w:t>
      </w:r>
      <w:r w:rsidRPr="001641E0">
        <w:rPr>
          <w:rFonts w:cs="Times New Roman"/>
          <w:lang w:val="fr-CA"/>
        </w:rPr>
        <w:t xml:space="preserve">338 (C.A.); </w:t>
      </w:r>
      <w:r w:rsidRPr="001641E0">
        <w:rPr>
          <w:rFonts w:cs="Times New Roman"/>
          <w:i/>
          <w:lang w:val="fr-CA"/>
        </w:rPr>
        <w:t xml:space="preserve">R. c. </w:t>
      </w:r>
      <w:proofErr w:type="spellStart"/>
      <w:r w:rsidRPr="001641E0">
        <w:rPr>
          <w:rFonts w:cs="Times New Roman"/>
          <w:i/>
          <w:lang w:val="fr-CA"/>
        </w:rPr>
        <w:t>Jimmie</w:t>
      </w:r>
      <w:proofErr w:type="spellEnd"/>
      <w:r w:rsidR="002913A0">
        <w:rPr>
          <w:rFonts w:cs="Times New Roman"/>
          <w:lang w:val="fr-CA"/>
        </w:rPr>
        <w:t xml:space="preserve">, </w:t>
      </w:r>
      <w:r w:rsidRPr="001641E0">
        <w:rPr>
          <w:rFonts w:cs="Times New Roman"/>
          <w:lang w:val="fr-CA"/>
        </w:rPr>
        <w:t xml:space="preserve">2009 BCCA 215, 270 B.C.A.C. 301; </w:t>
      </w:r>
      <w:r w:rsidRPr="001641E0">
        <w:rPr>
          <w:rFonts w:cs="Times New Roman"/>
          <w:i/>
          <w:lang w:val="fr-CA"/>
        </w:rPr>
        <w:t>R. c. Halliday</w:t>
      </w:r>
      <w:r w:rsidRPr="001641E0">
        <w:rPr>
          <w:rFonts w:cs="Times New Roman"/>
          <w:lang w:val="fr-CA"/>
        </w:rPr>
        <w:t>, 2012 ONCA 351 (</w:t>
      </w:r>
      <w:proofErr w:type="spellStart"/>
      <w:r w:rsidRPr="001641E0">
        <w:rPr>
          <w:rFonts w:cs="Times New Roman"/>
          <w:lang w:val="fr-CA"/>
        </w:rPr>
        <w:t>CanLII</w:t>
      </w:r>
      <w:proofErr w:type="spellEnd"/>
      <w:r w:rsidRPr="001641E0">
        <w:rPr>
          <w:rFonts w:cs="Times New Roman"/>
          <w:lang w:val="fr-CA"/>
        </w:rPr>
        <w:t>); et, de façon générale, C.</w:t>
      </w:r>
      <w:r w:rsidR="0017725D">
        <w:rPr>
          <w:rFonts w:cs="Times New Roman"/>
          <w:lang w:val="fr-CA"/>
        </w:rPr>
        <w:t xml:space="preserve"> </w:t>
      </w:r>
      <w:r w:rsidRPr="001641E0">
        <w:rPr>
          <w:rFonts w:cs="Times New Roman"/>
          <w:lang w:val="fr-CA"/>
        </w:rPr>
        <w:t>C.</w:t>
      </w:r>
      <w:r w:rsidR="0017725D">
        <w:rPr>
          <w:rFonts w:cs="Times New Roman"/>
          <w:lang w:val="fr-CA"/>
        </w:rPr>
        <w:t xml:space="preserve"> </w:t>
      </w:r>
      <w:r w:rsidRPr="001641E0">
        <w:rPr>
          <w:rFonts w:cs="Times New Roman"/>
          <w:lang w:val="fr-CA"/>
        </w:rPr>
        <w:t>Ruby, G.</w:t>
      </w:r>
      <w:r w:rsidR="0017725D">
        <w:rPr>
          <w:rFonts w:cs="Times New Roman"/>
          <w:lang w:val="fr-CA"/>
        </w:rPr>
        <w:t xml:space="preserve"> </w:t>
      </w:r>
      <w:r w:rsidRPr="001641E0">
        <w:rPr>
          <w:rFonts w:cs="Times New Roman"/>
          <w:lang w:val="fr-CA"/>
        </w:rPr>
        <w:t>J. Chan et N.</w:t>
      </w:r>
      <w:r w:rsidR="0017725D">
        <w:rPr>
          <w:rFonts w:cs="Times New Roman"/>
          <w:lang w:val="fr-CA"/>
        </w:rPr>
        <w:t xml:space="preserve"> </w:t>
      </w:r>
      <w:r w:rsidRPr="001641E0">
        <w:rPr>
          <w:rFonts w:cs="Times New Roman"/>
          <w:lang w:val="fr-CA"/>
        </w:rPr>
        <w:t>R.</w:t>
      </w:r>
      <w:r w:rsidR="0017725D">
        <w:rPr>
          <w:rFonts w:cs="Times New Roman"/>
          <w:lang w:val="fr-CA"/>
        </w:rPr>
        <w:t xml:space="preserve"> </w:t>
      </w:r>
      <w:r w:rsidRPr="001641E0">
        <w:rPr>
          <w:rFonts w:cs="Times New Roman"/>
          <w:lang w:val="fr-CA"/>
        </w:rPr>
        <w:t xml:space="preserve">Hasan, </w:t>
      </w:r>
      <w:proofErr w:type="spellStart"/>
      <w:r w:rsidRPr="001641E0">
        <w:rPr>
          <w:rFonts w:cs="Times New Roman"/>
          <w:i/>
          <w:lang w:val="fr-CA"/>
        </w:rPr>
        <w:t>Sentencing</w:t>
      </w:r>
      <w:proofErr w:type="spellEnd"/>
      <w:r w:rsidRPr="001641E0">
        <w:rPr>
          <w:rFonts w:cs="Times New Roman"/>
          <w:lang w:val="fr-CA"/>
        </w:rPr>
        <w:t xml:space="preserve"> (8</w:t>
      </w:r>
      <w:r w:rsidRPr="001641E0">
        <w:rPr>
          <w:rFonts w:cs="Times New Roman"/>
          <w:vertAlign w:val="superscript"/>
          <w:lang w:val="fr-CA"/>
        </w:rPr>
        <w:t>e</w:t>
      </w:r>
      <w:r w:rsidR="0017725D">
        <w:rPr>
          <w:rFonts w:cs="Times New Roman"/>
          <w:vertAlign w:val="superscript"/>
          <w:lang w:val="fr-CA"/>
        </w:rPr>
        <w:t xml:space="preserve"> </w:t>
      </w:r>
      <w:r w:rsidR="002913A0">
        <w:rPr>
          <w:rFonts w:cs="Times New Roman"/>
          <w:lang w:val="fr-CA"/>
        </w:rPr>
        <w:t>éd.</w:t>
      </w:r>
      <w:r w:rsidRPr="001641E0">
        <w:rPr>
          <w:rFonts w:cs="Times New Roman"/>
          <w:lang w:val="fr-CA"/>
        </w:rPr>
        <w:t xml:space="preserve"> 2012), §§</w:t>
      </w:r>
      <w:r w:rsidR="0017725D">
        <w:rPr>
          <w:rFonts w:cs="Times New Roman"/>
          <w:lang w:val="fr-CA"/>
        </w:rPr>
        <w:t xml:space="preserve"> </w:t>
      </w:r>
      <w:r w:rsidRPr="001641E0">
        <w:rPr>
          <w:rFonts w:cs="Times New Roman"/>
          <w:lang w:val="fr-CA"/>
        </w:rPr>
        <w:t xml:space="preserve">4.49 et </w:t>
      </w:r>
      <w:proofErr w:type="spellStart"/>
      <w:r w:rsidRPr="001641E0">
        <w:rPr>
          <w:rFonts w:cs="Times New Roman"/>
          <w:lang w:val="fr-CA"/>
        </w:rPr>
        <w:t>suiv</w:t>
      </w:r>
      <w:proofErr w:type="spellEnd"/>
      <w:r w:rsidRPr="001641E0">
        <w:rPr>
          <w:rFonts w:cs="Times New Roman"/>
          <w:lang w:val="fr-CA"/>
        </w:rPr>
        <w:t xml:space="preserve">.; </w:t>
      </w:r>
      <w:r w:rsidR="006E5516">
        <w:rPr>
          <w:rFonts w:cs="Times New Roman"/>
          <w:i/>
          <w:lang w:val="fr-CA"/>
        </w:rPr>
        <w:t>R. c. N.</w:t>
      </w:r>
      <w:r w:rsidRPr="001641E0">
        <w:rPr>
          <w:rFonts w:cs="Times New Roman"/>
          <w:i/>
          <w:lang w:val="fr-CA"/>
        </w:rPr>
        <w:t>A.</w:t>
      </w:r>
      <w:r w:rsidR="006E5516">
        <w:rPr>
          <w:rFonts w:cs="Times New Roman"/>
          <w:i/>
          <w:lang w:val="fr-CA"/>
        </w:rPr>
        <w:t>S.</w:t>
      </w:r>
      <w:r w:rsidRPr="001641E0">
        <w:rPr>
          <w:rFonts w:cs="Times New Roman"/>
          <w:lang w:val="fr-CA"/>
        </w:rPr>
        <w:t xml:space="preserve">, 2007 MBCA 97, 220 Man. R. (2d) 43; </w:t>
      </w:r>
      <w:r w:rsidRPr="001641E0">
        <w:rPr>
          <w:rFonts w:cs="Times New Roman"/>
          <w:i/>
          <w:lang w:val="fr-CA"/>
        </w:rPr>
        <w:t>R.</w:t>
      </w:r>
      <w:r w:rsidR="0017725D">
        <w:rPr>
          <w:rFonts w:cs="Times New Roman"/>
          <w:i/>
          <w:lang w:val="fr-CA"/>
        </w:rPr>
        <w:t xml:space="preserve"> </w:t>
      </w:r>
      <w:r w:rsidRPr="001641E0">
        <w:rPr>
          <w:rFonts w:cs="Times New Roman"/>
          <w:i/>
          <w:lang w:val="fr-CA"/>
        </w:rPr>
        <w:t>c. Martin</w:t>
      </w:r>
      <w:r w:rsidRPr="001641E0">
        <w:rPr>
          <w:rFonts w:cs="Times New Roman"/>
          <w:lang w:val="fr-CA"/>
        </w:rPr>
        <w:t>, 2012 QCCA 2223 (</w:t>
      </w:r>
      <w:proofErr w:type="spellStart"/>
      <w:r w:rsidRPr="001641E0">
        <w:rPr>
          <w:rFonts w:cs="Times New Roman"/>
          <w:lang w:val="fr-CA"/>
        </w:rPr>
        <w:t>CanLII</w:t>
      </w:r>
      <w:proofErr w:type="spellEnd"/>
      <w:r w:rsidRPr="001641E0">
        <w:rPr>
          <w:rFonts w:cs="Times New Roman"/>
          <w:lang w:val="fr-CA"/>
        </w:rPr>
        <w:t xml:space="preserve">). Sur le plan des principes, l’approche énoncée dans </w:t>
      </w:r>
      <w:r w:rsidRPr="001641E0">
        <w:rPr>
          <w:rFonts w:cs="Times New Roman"/>
          <w:i/>
          <w:lang w:val="fr-CA"/>
        </w:rPr>
        <w:t>Lévesque</w:t>
      </w:r>
      <w:r w:rsidRPr="001641E0">
        <w:rPr>
          <w:rFonts w:cs="Times New Roman"/>
          <w:lang w:val="fr-CA"/>
        </w:rPr>
        <w:t xml:space="preserve"> et </w:t>
      </w:r>
      <w:proofErr w:type="spellStart"/>
      <w:r w:rsidRPr="001641E0">
        <w:rPr>
          <w:rFonts w:cs="Times New Roman"/>
          <w:i/>
          <w:lang w:val="fr-CA"/>
        </w:rPr>
        <w:t>Angelillo</w:t>
      </w:r>
      <w:proofErr w:type="spellEnd"/>
      <w:r w:rsidRPr="001641E0">
        <w:rPr>
          <w:rFonts w:cs="Times New Roman"/>
          <w:i/>
          <w:lang w:val="fr-CA"/>
        </w:rPr>
        <w:t xml:space="preserve"> </w:t>
      </w:r>
      <w:r w:rsidRPr="001641E0">
        <w:rPr>
          <w:rFonts w:cs="Times New Roman"/>
          <w:lang w:val="fr-CA"/>
        </w:rPr>
        <w:t>établit un équilibre entre ces valeurs opposées et, lorsqu’on l’applique judicieusement aux circonstances particulières soumises aux tribunaux, elle est suffisamment souple pour faire en sorte que le processus d’appel réponde aux exigences de la justice tout en respectant les limites auxquelles doit être assujetti le contrôle en appel.</w:t>
      </w:r>
    </w:p>
    <w:p w:rsidR="004E538E" w:rsidRPr="001641E0" w:rsidRDefault="004E538E" w:rsidP="0017725D">
      <w:pPr>
        <w:pStyle w:val="ParaNoNdepar-AltN"/>
        <w:rPr>
          <w:rFonts w:cs="Times New Roman"/>
          <w:lang w:val="fr-CA"/>
        </w:rPr>
      </w:pPr>
      <w:r w:rsidRPr="001641E0">
        <w:rPr>
          <w:rFonts w:cs="Times New Roman"/>
          <w:lang w:val="fr-CA"/>
        </w:rPr>
        <w:t>En tenant compte de ce cadre juridique, je reviens maintenant aux questions soulevées par M.</w:t>
      </w:r>
      <w:r w:rsidR="0017725D">
        <w:rPr>
          <w:rFonts w:cs="Times New Roman"/>
          <w:lang w:val="fr-CA"/>
        </w:rPr>
        <w:t xml:space="preserve"> </w:t>
      </w:r>
      <w:r w:rsidRPr="001641E0">
        <w:rPr>
          <w:rFonts w:cs="Times New Roman"/>
          <w:lang w:val="fr-CA"/>
        </w:rPr>
        <w:t>Sipos dans le présent pourvoi.</w:t>
      </w:r>
    </w:p>
    <w:p w:rsidR="004E538E" w:rsidRPr="001641E0" w:rsidRDefault="004E538E" w:rsidP="0017725D">
      <w:pPr>
        <w:pStyle w:val="Title2LevelTitre2Niveau"/>
        <w:jc w:val="both"/>
        <w:rPr>
          <w:rFonts w:cs="Times New Roman"/>
          <w:i w:val="0"/>
          <w:lang w:val="fr-CA"/>
        </w:rPr>
      </w:pPr>
      <w:r w:rsidRPr="001641E0">
        <w:rPr>
          <w:rFonts w:cs="Times New Roman"/>
          <w:lang w:val="fr-CA"/>
        </w:rPr>
        <w:t>La Cour d’appel a</w:t>
      </w:r>
      <w:r w:rsidR="005B3EDA">
        <w:rPr>
          <w:rFonts w:cs="Times New Roman"/>
          <w:lang w:val="fr-CA"/>
        </w:rPr>
        <w:t>-</w:t>
      </w:r>
      <w:r w:rsidRPr="001641E0">
        <w:rPr>
          <w:rFonts w:cs="Times New Roman"/>
          <w:lang w:val="fr-CA"/>
        </w:rPr>
        <w:t>t</w:t>
      </w:r>
      <w:r w:rsidR="005B3EDA">
        <w:rPr>
          <w:rFonts w:cs="Times New Roman"/>
          <w:lang w:val="fr-CA"/>
        </w:rPr>
        <w:t>-</w:t>
      </w:r>
      <w:r w:rsidRPr="001641E0">
        <w:rPr>
          <w:rFonts w:cs="Times New Roman"/>
          <w:lang w:val="fr-CA"/>
        </w:rPr>
        <w:t>elle commis une erreur dans l’utilisation de ses pouvoirs réparateurs?</w:t>
      </w:r>
    </w:p>
    <w:p w:rsidR="004E538E" w:rsidRPr="001641E0" w:rsidRDefault="004E538E" w:rsidP="0017725D">
      <w:pPr>
        <w:pStyle w:val="ParaNoNdepar-AltN"/>
        <w:rPr>
          <w:rFonts w:cs="Times New Roman"/>
          <w:lang w:val="fr-CA"/>
        </w:rPr>
      </w:pPr>
      <w:r w:rsidRPr="001641E0">
        <w:rPr>
          <w:rFonts w:cs="Times New Roman"/>
          <w:lang w:val="fr-CA"/>
        </w:rPr>
        <w:t>L’appelant soutient essentiellement que la Cour d’appel a commis une erreur lorsqu’elle a limité l’application de son pouvoir réparateur en se demandant s’il y avait une possibilité raisonnable que l’audience initiale eût abouti à un résultat différent si l’erreur de droit n’avait pas été commise. L’appelant fait valoir que la Cour d’appel aurait plutôt dû suivre la pratique — selon lui habituelle en matière d’appels de sentence — consistant à se demander ce qui constituerait une pein</w:t>
      </w:r>
      <w:r w:rsidR="00832A19">
        <w:rPr>
          <w:rFonts w:cs="Times New Roman"/>
          <w:lang w:val="fr-CA"/>
        </w:rPr>
        <w:t xml:space="preserve">e juste </w:t>
      </w:r>
      <w:r w:rsidR="00832A19">
        <w:rPr>
          <w:rFonts w:cs="Times New Roman"/>
          <w:lang w:val="fr-CA"/>
        </w:rPr>
        <w:lastRenderedPageBreak/>
        <w:t>au moment de l’appel</w:t>
      </w:r>
      <w:r w:rsidR="0017725D">
        <w:rPr>
          <w:rFonts w:cs="Times New Roman"/>
          <w:lang w:val="fr-CA"/>
        </w:rPr>
        <w:t> :</w:t>
      </w:r>
      <w:r w:rsidR="00832A19">
        <w:rPr>
          <w:rFonts w:cs="Times New Roman"/>
          <w:lang w:val="fr-CA"/>
        </w:rPr>
        <w:t xml:space="preserve"> m</w:t>
      </w:r>
      <w:r w:rsidRPr="001641E0">
        <w:rPr>
          <w:rFonts w:cs="Times New Roman"/>
          <w:lang w:val="fr-CA"/>
        </w:rPr>
        <w:t>.a., par.</w:t>
      </w:r>
      <w:r w:rsidR="0017725D">
        <w:rPr>
          <w:rFonts w:cs="Times New Roman"/>
          <w:lang w:val="fr-CA"/>
        </w:rPr>
        <w:t xml:space="preserve"> </w:t>
      </w:r>
      <w:r w:rsidRPr="001641E0">
        <w:rPr>
          <w:rFonts w:cs="Times New Roman"/>
          <w:lang w:val="fr-CA"/>
        </w:rPr>
        <w:t>16</w:t>
      </w:r>
      <w:r w:rsidR="00832A19">
        <w:rPr>
          <w:rFonts w:cs="Times New Roman"/>
          <w:lang w:val="fr-CA"/>
        </w:rPr>
        <w:t>-</w:t>
      </w:r>
      <w:r w:rsidRPr="001641E0">
        <w:rPr>
          <w:rFonts w:cs="Times New Roman"/>
          <w:lang w:val="fr-CA"/>
        </w:rPr>
        <w:t>17. Ce point de vue est, à mon humble avis, fondamentalement vicié.</w:t>
      </w:r>
    </w:p>
    <w:p w:rsidR="004E538E" w:rsidRPr="001641E0" w:rsidRDefault="004E538E" w:rsidP="0017725D">
      <w:pPr>
        <w:pStyle w:val="ParaNoNdepar-AltN"/>
        <w:rPr>
          <w:rFonts w:cs="Times New Roman"/>
          <w:lang w:val="fr-CA"/>
        </w:rPr>
      </w:pPr>
      <w:r w:rsidRPr="001641E0">
        <w:rPr>
          <w:rFonts w:cs="Times New Roman"/>
          <w:lang w:val="fr-CA"/>
        </w:rPr>
        <w:t xml:space="preserve">Selon moi, l’argument de l’appelant confond le contrôle en appel d’une erreur de droit et celui portant sur le caractère raisonnable d’une déclaration de délinquant dangereux. L’examen de la question de savoir si le pouvoir réparateur devrait être exercé fait partie du contrôle en appel d’une erreur de droit. Il faut alors essentiellement se demander quel effet, s’il en est, cette erreur a eu sur l’issue du procès. Les nouveaux éléments de preuve jouent généralement un rôle négligeable à cet égard. Cependant, l’examen du caractère raisonnable de la déclaration de délinquant dangereux constitue une forme plus poussée de contrôle en appel et les nouveaux éléments de preuve qui satisfont </w:t>
      </w:r>
      <w:r w:rsidR="005B3EDA">
        <w:rPr>
          <w:rFonts w:cs="Times New Roman"/>
          <w:lang w:val="fr-CA"/>
        </w:rPr>
        <w:t>à ce critère</w:t>
      </w:r>
      <w:r w:rsidRPr="001641E0">
        <w:rPr>
          <w:rFonts w:cs="Times New Roman"/>
          <w:lang w:val="fr-CA"/>
        </w:rPr>
        <w:t xml:space="preserve"> de l’arrêt </w:t>
      </w:r>
      <w:r w:rsidRPr="001641E0">
        <w:rPr>
          <w:rFonts w:cs="Times New Roman"/>
          <w:i/>
          <w:lang w:val="fr-CA"/>
        </w:rPr>
        <w:t xml:space="preserve">Palmer </w:t>
      </w:r>
      <w:r w:rsidRPr="001641E0">
        <w:rPr>
          <w:rFonts w:cs="Times New Roman"/>
          <w:lang w:val="fr-CA"/>
        </w:rPr>
        <w:t xml:space="preserve">peuvent jouer un rôle plus important dans un tel contexte. </w:t>
      </w:r>
    </w:p>
    <w:p w:rsidR="004E538E" w:rsidRPr="001641E0" w:rsidRDefault="004E538E" w:rsidP="0017725D">
      <w:pPr>
        <w:pStyle w:val="Title3LevelTitre3Niveau"/>
        <w:rPr>
          <w:rFonts w:cs="Times New Roman"/>
          <w:lang w:val="fr-CA"/>
        </w:rPr>
      </w:pPr>
      <w:r w:rsidRPr="001641E0">
        <w:rPr>
          <w:rFonts w:cs="Times New Roman"/>
          <w:lang w:val="fr-CA"/>
        </w:rPr>
        <w:t>Pouvoir réparateur et nouveaux éléments de preuve</w:t>
      </w:r>
    </w:p>
    <w:p w:rsidR="004E538E" w:rsidRPr="001641E0" w:rsidRDefault="004E538E" w:rsidP="0017725D">
      <w:pPr>
        <w:pStyle w:val="ParaNoNdepar-AltN"/>
        <w:rPr>
          <w:rFonts w:cs="Times New Roman"/>
          <w:lang w:val="fr-CA"/>
        </w:rPr>
      </w:pPr>
      <w:r w:rsidRPr="001641E0">
        <w:rPr>
          <w:rFonts w:cs="Times New Roman"/>
          <w:lang w:val="fr-CA"/>
        </w:rPr>
        <w:t xml:space="preserve">La cour d’appel peut utiliser son pouvoir réparateur pour rejeter l’appel interjeté à l’égard d’une déclaration de délinquant dangereux même s’il y a eu une erreur de droit en première instance. Ce pouvoir ne peut être utilisé que si cette erreur était </w:t>
      </w:r>
      <w:r w:rsidR="0017725D">
        <w:rPr>
          <w:rFonts w:cs="Times New Roman"/>
          <w:lang w:val="fr-CA"/>
        </w:rPr>
        <w:t>« </w:t>
      </w:r>
      <w:r w:rsidRPr="001641E0">
        <w:rPr>
          <w:rFonts w:cs="Times New Roman"/>
          <w:lang w:val="fr-CA"/>
        </w:rPr>
        <w:t>inoffensive</w:t>
      </w:r>
      <w:r w:rsidR="0017725D">
        <w:rPr>
          <w:rFonts w:cs="Times New Roman"/>
          <w:lang w:val="fr-CA"/>
        </w:rPr>
        <w:t> »</w:t>
      </w:r>
      <w:r w:rsidRPr="001641E0">
        <w:rPr>
          <w:rFonts w:cs="Times New Roman"/>
          <w:lang w:val="fr-CA"/>
        </w:rPr>
        <w:t xml:space="preserve">, en ce sens qu’il n’y a aucune possibilité raisonnable que le résultat eût été différent si l’erreur n’avait pas été commise. Une erreur de droit n’exige donc pas nécessairement un réexamen de la sentence. La cour d’appel doit se demander si l’erreur a eu une incidence sur le résultat. Un lourd fardeau incombe </w:t>
      </w:r>
      <w:r w:rsidRPr="001641E0">
        <w:rPr>
          <w:rFonts w:cs="Times New Roman"/>
          <w:lang w:val="fr-CA"/>
        </w:rPr>
        <w:lastRenderedPageBreak/>
        <w:t xml:space="preserve">toutefois au ministère public, soit celui d’établir qu’il n’y a aucune possibilité raisonnable que le résultat eût été différent si l’erreur n’avait pas été commise.  </w:t>
      </w:r>
    </w:p>
    <w:p w:rsidR="004E538E" w:rsidRPr="001641E0" w:rsidRDefault="004E538E" w:rsidP="0017725D">
      <w:pPr>
        <w:pStyle w:val="ParaNoNdepar-AltN"/>
        <w:rPr>
          <w:rFonts w:cs="Times New Roman"/>
          <w:lang w:val="fr-CA"/>
        </w:rPr>
      </w:pPr>
      <w:r w:rsidRPr="001641E0">
        <w:rPr>
          <w:rFonts w:cs="Times New Roman"/>
          <w:lang w:val="fr-CA"/>
        </w:rPr>
        <w:t>Cet exercice est nécessairement axé sur le dossier dont était saisi le juge ayant prononcé la sentence, car il s’agit de déterminer ce que celui</w:t>
      </w:r>
      <w:r w:rsidR="005B3EDA">
        <w:rPr>
          <w:rFonts w:cs="Times New Roman"/>
          <w:lang w:val="fr-CA"/>
        </w:rPr>
        <w:t>-</w:t>
      </w:r>
      <w:r w:rsidRPr="001641E0">
        <w:rPr>
          <w:rFonts w:cs="Times New Roman"/>
          <w:lang w:val="fr-CA"/>
        </w:rPr>
        <w:t>ci aurait fait s’il avait appliqué les bons principes juridiques. Bien entendu, la cour d’appel doit également se demander si cette erreur de droit a pu entraîner l’exclusion d’éléments de preuve qui auraient dû être admis, ou pu par ailleurs influer sur l’état du dossier de preuve ou l’appréciation de celui</w:t>
      </w:r>
      <w:r w:rsidR="005B3EDA">
        <w:rPr>
          <w:rFonts w:cs="Times New Roman"/>
          <w:lang w:val="fr-CA"/>
        </w:rPr>
        <w:t>-</w:t>
      </w:r>
      <w:r w:rsidRPr="001641E0">
        <w:rPr>
          <w:rFonts w:cs="Times New Roman"/>
          <w:lang w:val="fr-CA"/>
        </w:rPr>
        <w:t>ci par le juge</w:t>
      </w:r>
      <w:r w:rsidR="0017725D">
        <w:rPr>
          <w:rFonts w:cs="Times New Roman"/>
          <w:lang w:val="fr-CA"/>
        </w:rPr>
        <w:t> :</w:t>
      </w:r>
      <w:r w:rsidRPr="001641E0">
        <w:rPr>
          <w:rFonts w:cs="Times New Roman"/>
          <w:lang w:val="fr-CA"/>
        </w:rPr>
        <w:t xml:space="preserve"> voir, p.</w:t>
      </w:r>
      <w:r w:rsidR="0017725D">
        <w:rPr>
          <w:rFonts w:cs="Times New Roman"/>
          <w:lang w:val="fr-CA"/>
        </w:rPr>
        <w:t xml:space="preserve"> </w:t>
      </w:r>
      <w:r w:rsidRPr="001641E0">
        <w:rPr>
          <w:rFonts w:cs="Times New Roman"/>
          <w:lang w:val="fr-CA"/>
        </w:rPr>
        <w:t xml:space="preserve">ex., </w:t>
      </w:r>
      <w:r w:rsidRPr="001641E0">
        <w:rPr>
          <w:rFonts w:cs="Times New Roman"/>
          <w:i/>
          <w:lang w:val="fr-CA"/>
        </w:rPr>
        <w:t>R. c. Williamson</w:t>
      </w:r>
      <w:r w:rsidRPr="001641E0">
        <w:rPr>
          <w:rFonts w:cs="Times New Roman"/>
          <w:lang w:val="fr-CA"/>
        </w:rPr>
        <w:t>, 2003 BCCA 673, 191 B.C.A.C.</w:t>
      </w:r>
      <w:r>
        <w:rPr>
          <w:rFonts w:cs="Times New Roman"/>
          <w:lang w:val="fr-CA"/>
        </w:rPr>
        <w:t xml:space="preserve"> </w:t>
      </w:r>
      <w:r w:rsidR="005B3EDA">
        <w:rPr>
          <w:rFonts w:cs="Times New Roman"/>
          <w:lang w:val="fr-CA"/>
        </w:rPr>
        <w:t>2</w:t>
      </w:r>
      <w:r w:rsidRPr="001641E0">
        <w:rPr>
          <w:rFonts w:cs="Times New Roman"/>
          <w:lang w:val="fr-CA"/>
        </w:rPr>
        <w:t xml:space="preserve">08; </w:t>
      </w:r>
      <w:r w:rsidRPr="001641E0">
        <w:rPr>
          <w:rFonts w:cs="Times New Roman"/>
          <w:i/>
          <w:lang w:val="fr-CA"/>
        </w:rPr>
        <w:t>R. c. Ferguson</w:t>
      </w:r>
      <w:r w:rsidRPr="001641E0">
        <w:rPr>
          <w:rFonts w:cs="Times New Roman"/>
          <w:lang w:val="fr-CA"/>
        </w:rPr>
        <w:t xml:space="preserve"> (2005)</w:t>
      </w:r>
      <w:r w:rsidR="001927C0">
        <w:rPr>
          <w:rFonts w:cs="Times New Roman"/>
          <w:lang w:val="fr-CA"/>
        </w:rPr>
        <w:t>,</w:t>
      </w:r>
      <w:r w:rsidRPr="001641E0">
        <w:rPr>
          <w:rFonts w:cs="Times New Roman"/>
          <w:lang w:val="fr-CA"/>
        </w:rPr>
        <w:t xml:space="preserve"> 207 O.A.C. 380; </w:t>
      </w:r>
      <w:r w:rsidRPr="001641E0">
        <w:rPr>
          <w:rFonts w:cs="Times New Roman"/>
          <w:i/>
          <w:lang w:val="fr-CA"/>
        </w:rPr>
        <w:t>R. c. B.J.M.</w:t>
      </w:r>
      <w:r w:rsidRPr="001641E0">
        <w:rPr>
          <w:rFonts w:cs="Times New Roman"/>
          <w:lang w:val="fr-CA"/>
        </w:rPr>
        <w:t>, 2007 ONCA 221 (</w:t>
      </w:r>
      <w:proofErr w:type="spellStart"/>
      <w:r w:rsidRPr="001641E0">
        <w:rPr>
          <w:rFonts w:cs="Times New Roman"/>
          <w:lang w:val="fr-CA"/>
        </w:rPr>
        <w:t>CanLII</w:t>
      </w:r>
      <w:proofErr w:type="spellEnd"/>
      <w:r w:rsidRPr="001641E0">
        <w:rPr>
          <w:rFonts w:cs="Times New Roman"/>
          <w:lang w:val="fr-CA"/>
        </w:rPr>
        <w:t xml:space="preserve">). Dans de tels cas, les nouveaux éléments de preuve qui satisfont aux critères de l’arrêt </w:t>
      </w:r>
      <w:r w:rsidRPr="001641E0">
        <w:rPr>
          <w:rFonts w:cs="Times New Roman"/>
          <w:i/>
          <w:lang w:val="fr-CA"/>
        </w:rPr>
        <w:t>Palmer</w:t>
      </w:r>
      <w:r w:rsidRPr="001641E0">
        <w:rPr>
          <w:rFonts w:cs="Times New Roman"/>
          <w:lang w:val="fr-CA"/>
        </w:rPr>
        <w:t xml:space="preserve"> pourraient être admis pour que la cour d’appel puisse dûment évaluer l’incidence de l’erreur sur le résultat. Mais, règle générale, les nouveaux éléments de preuve proposés qui n’ont rien à voir avec l’incidence possible de l’erreur de droit sur la décision rendue par le juge chargé de déterminer la peine ne devraient pas être pris en considération en lien avec l’utilisation du pouvoir réparateur. Il s’agit simplement d’une application du deuxième critère de l’arrêt </w:t>
      </w:r>
      <w:r w:rsidRPr="001641E0">
        <w:rPr>
          <w:rFonts w:cs="Times New Roman"/>
          <w:i/>
          <w:lang w:val="fr-CA"/>
        </w:rPr>
        <w:t>Palmer</w:t>
      </w:r>
      <w:r w:rsidRPr="001641E0">
        <w:rPr>
          <w:rFonts w:cs="Times New Roman"/>
          <w:lang w:val="fr-CA"/>
        </w:rPr>
        <w:t xml:space="preserve"> selon lequel la preuve doit être </w:t>
      </w:r>
      <w:proofErr w:type="gramStart"/>
      <w:r w:rsidRPr="001641E0">
        <w:rPr>
          <w:rFonts w:cs="Times New Roman"/>
          <w:lang w:val="fr-CA"/>
        </w:rPr>
        <w:t>pertinente</w:t>
      </w:r>
      <w:proofErr w:type="gramEnd"/>
      <w:r w:rsidRPr="001641E0">
        <w:rPr>
          <w:rFonts w:cs="Times New Roman"/>
          <w:lang w:val="fr-CA"/>
        </w:rPr>
        <w:t>, en ce sens qu’elle doit porter sur une question décisive ou potentiellement décisive relativement à la peine. Une preuve qui n’est aucunement liée à l’erreur de droit commise par le juge ayant prononcé la peine n’est pas pertinente quant à savoir si le pouvoir réparateur devrait ou non être utilisé.</w:t>
      </w:r>
    </w:p>
    <w:p w:rsidR="004E538E" w:rsidRPr="001641E0" w:rsidRDefault="004E538E" w:rsidP="0017725D">
      <w:pPr>
        <w:pStyle w:val="ParaNoNdepar-AltN"/>
        <w:rPr>
          <w:rFonts w:cs="Times New Roman"/>
          <w:lang w:val="fr-CA"/>
        </w:rPr>
      </w:pPr>
      <w:r w:rsidRPr="001641E0">
        <w:rPr>
          <w:rFonts w:cs="Times New Roman"/>
          <w:lang w:val="fr-CA"/>
        </w:rPr>
        <w:lastRenderedPageBreak/>
        <w:t>À cet égard, je ne suis pas d’accord avec la Cour d’appel. Selon elle, la preuve relative aux perspectives actuelles de réadaptation du délinquant a un rôle à jouer en ce qui concerne l’application de la disposition réparatrice. À mon avis, ce n’est pas le cas lorsqu’il n’y a aucun lien entre les nouveaux éléments de preuve et l’erreur de droit.</w:t>
      </w:r>
    </w:p>
    <w:p w:rsidR="004E538E" w:rsidRPr="001641E0" w:rsidRDefault="004E538E" w:rsidP="0017725D">
      <w:pPr>
        <w:pStyle w:val="ParaNoNdepar-AltN"/>
        <w:rPr>
          <w:rFonts w:cs="Times New Roman"/>
          <w:lang w:val="fr-CA"/>
        </w:rPr>
      </w:pPr>
      <w:r w:rsidRPr="001641E0">
        <w:rPr>
          <w:rFonts w:cs="Times New Roman"/>
          <w:lang w:val="fr-CA"/>
        </w:rPr>
        <w:t>En l’espèce, les nouveaux éléments de preuve n’ont rien à voir avec l’incidence de l’erreur de droit commise par le juge ayant prononcé la peine. Il n’est pas contesté qu’eu égard au dossier dont disposait celui</w:t>
      </w:r>
      <w:r w:rsidR="000D2403">
        <w:rPr>
          <w:rFonts w:cs="Times New Roman"/>
          <w:lang w:val="fr-CA"/>
        </w:rPr>
        <w:t>-</w:t>
      </w:r>
      <w:r w:rsidRPr="001641E0">
        <w:rPr>
          <w:rFonts w:cs="Times New Roman"/>
          <w:lang w:val="fr-CA"/>
        </w:rPr>
        <w:t>ci, la seule option réaliste consistait à déclarer l’appelant délinquant dangereux. Rien ne donne à penser que le fait que le juge n’a</w:t>
      </w:r>
      <w:r w:rsidR="000D2403">
        <w:rPr>
          <w:rFonts w:cs="Times New Roman"/>
          <w:lang w:val="fr-CA"/>
        </w:rPr>
        <w:t xml:space="preserve"> </w:t>
      </w:r>
      <w:r w:rsidRPr="001641E0">
        <w:rPr>
          <w:rFonts w:cs="Times New Roman"/>
          <w:lang w:val="fr-CA"/>
        </w:rPr>
        <w:t>pas envisagé la possibilité d’une déclaration portant que l’appelant est un délinquant à contrôler a eu quelque incidence sur le dossier de preuve dont il disposait ou qu’il aurait pu évaluer la preuve différemment s’il avait envisagé cette option.</w:t>
      </w:r>
    </w:p>
    <w:p w:rsidR="004E538E" w:rsidRPr="001641E0" w:rsidRDefault="004E538E" w:rsidP="0017725D">
      <w:pPr>
        <w:pStyle w:val="ParaNoNdepar-AltN"/>
        <w:rPr>
          <w:rFonts w:cs="Times New Roman"/>
          <w:lang w:val="fr-CA"/>
        </w:rPr>
      </w:pPr>
      <w:r w:rsidRPr="001641E0">
        <w:rPr>
          <w:rFonts w:cs="Times New Roman"/>
          <w:lang w:val="fr-CA"/>
        </w:rPr>
        <w:t>L’argument de l’appelant se résume à ceci</w:t>
      </w:r>
      <w:r w:rsidR="0017725D">
        <w:rPr>
          <w:rFonts w:cs="Times New Roman"/>
          <w:lang w:val="fr-CA"/>
        </w:rPr>
        <w:t> :</w:t>
      </w:r>
      <w:r w:rsidRPr="001641E0">
        <w:rPr>
          <w:rFonts w:cs="Times New Roman"/>
          <w:lang w:val="fr-CA"/>
        </w:rPr>
        <w:t xml:space="preserve"> toute erreur de droit commise par le juge chargé de prononcer la peine oblige la cour d’appel à ordonner la tenue d’une nouvelle audience s’il existe une possibilité raisonnable qu’une sentence différente soit maintenant rendue. À mon avis, cette approche comporte deux lacunes. Premièrement, elle perd complètement de vue ce qui doit demeurer l’élément central de l’exercice du pouvoir réparateur, à savoir l’incidence possible de l’erreur sur la décision du juge chargé de déterminer la peine, et non pas les </w:t>
      </w:r>
      <w:r w:rsidRPr="001641E0">
        <w:rPr>
          <w:rFonts w:cs="Times New Roman"/>
          <w:i/>
          <w:lang w:val="fr-CA"/>
        </w:rPr>
        <w:t>perspectives actuelles</w:t>
      </w:r>
      <w:r w:rsidRPr="001641E0">
        <w:rPr>
          <w:rFonts w:cs="Times New Roman"/>
          <w:lang w:val="fr-CA"/>
        </w:rPr>
        <w:t xml:space="preserve"> de contrôle du délinquant au sein de la collectivité. Deuxièmement, en perdant de vue cet élément, on crée dans les faits un critère très peu exigeant pour l’obtention d’une </w:t>
      </w:r>
      <w:r w:rsidRPr="001641E0">
        <w:rPr>
          <w:rFonts w:cs="Times New Roman"/>
          <w:lang w:val="fr-CA"/>
        </w:rPr>
        <w:lastRenderedPageBreak/>
        <w:t xml:space="preserve">nouvelle audience de détermination de la peine. À mon humble avis, cela modifierait du tout au tout le cadre juridique applicable. La cour d’appel n’évaluerait plus l’incidence possible de l’erreur de droit sur le résultat auquel est arrivé le juge ayant prononcé la peine, mais utiliserait plutôt cette erreur pour déclencher un examen complet de l’opportunité actuelle de la décision rendue par le juge. En bref, toute erreur de droit — même si elle n’avait aucune incidence possible sur la décision rendue — exigerait la tenue d’une nouvelle audience, à moins que le même résultat ne soit presque inévitablement le même aujourd’hui. Adopter une telle approche transformerait le contrôle en appel des erreurs de droit en détermination par étapes de la peine. </w:t>
      </w:r>
    </w:p>
    <w:p w:rsidR="004E538E" w:rsidRPr="001641E0" w:rsidRDefault="004E538E" w:rsidP="0017725D">
      <w:pPr>
        <w:pStyle w:val="ParaNoNdepar-AltN"/>
        <w:rPr>
          <w:rFonts w:cs="Times New Roman"/>
          <w:lang w:val="fr-CA"/>
        </w:rPr>
      </w:pPr>
      <w:r w:rsidRPr="001641E0">
        <w:rPr>
          <w:rFonts w:cs="Times New Roman"/>
          <w:lang w:val="fr-CA"/>
        </w:rPr>
        <w:t>La question soumise à la cour d’appel n’est pas, comme le soutient l’appelant, de savoir ce que pourrait être l’issue du procès aujourd’hui. Il s’agit plutôt de déterminer si la décision rendue aurait été la même, n’eût été l’erreur</w:t>
      </w:r>
      <w:r w:rsidR="0017725D">
        <w:rPr>
          <w:rFonts w:cs="Times New Roman"/>
          <w:lang w:val="fr-CA"/>
        </w:rPr>
        <w:t> :</w:t>
      </w:r>
      <w:r w:rsidRPr="001641E0">
        <w:rPr>
          <w:rFonts w:cs="Times New Roman"/>
          <w:lang w:val="fr-CA"/>
        </w:rPr>
        <w:t xml:space="preserve"> </w:t>
      </w:r>
      <w:proofErr w:type="gramStart"/>
      <w:r w:rsidRPr="001641E0">
        <w:rPr>
          <w:rFonts w:cs="Times New Roman"/>
          <w:lang w:val="fr-CA"/>
        </w:rPr>
        <w:t>m.i.,</w:t>
      </w:r>
      <w:proofErr w:type="gramEnd"/>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51.  J’abonde dans le sens du juge Doherty, s’exprimant au nom de la Cour d’appel en l’espèce, lorsqu’il déclare que, suivant l’approche que propose l’appelant, </w:t>
      </w:r>
    </w:p>
    <w:p w:rsidR="004E538E" w:rsidRPr="001641E0" w:rsidRDefault="004E538E" w:rsidP="0017725D">
      <w:pPr>
        <w:pStyle w:val="Citation-AltC"/>
        <w:spacing w:after="240"/>
        <w:ind w:left="1168" w:hanging="1168"/>
        <w:contextualSpacing w:val="0"/>
        <w:rPr>
          <w:lang w:val="fr-CA"/>
        </w:rPr>
      </w:pPr>
      <w:r w:rsidRPr="001641E0">
        <w:rPr>
          <w:lang w:val="fr-CA"/>
        </w:rPr>
        <w:tab/>
        <w:t>[</w:t>
      </w:r>
      <w:r w:rsidRPr="001641E0">
        <w:rPr>
          <w:smallCaps/>
          <w:lang w:val="fr-CA"/>
        </w:rPr>
        <w:t>traduction</w:t>
      </w:r>
      <w:r w:rsidR="001927C0">
        <w:rPr>
          <w:lang w:val="fr-CA"/>
        </w:rPr>
        <w:t xml:space="preserve">] </w:t>
      </w:r>
      <w:r w:rsidRPr="001641E0">
        <w:rPr>
          <w:lang w:val="fr-CA"/>
        </w:rPr>
        <w:t>[</w:t>
      </w:r>
      <w:proofErr w:type="gramStart"/>
      <w:r w:rsidRPr="001641E0">
        <w:rPr>
          <w:lang w:val="fr-CA"/>
        </w:rPr>
        <w:t>celui</w:t>
      </w:r>
      <w:r w:rsidR="003019F4">
        <w:rPr>
          <w:lang w:val="fr-CA"/>
        </w:rPr>
        <w:t>-</w:t>
      </w:r>
      <w:r w:rsidRPr="001641E0">
        <w:rPr>
          <w:lang w:val="fr-CA"/>
        </w:rPr>
        <w:t>ci</w:t>
      </w:r>
      <w:proofErr w:type="gramEnd"/>
      <w:r w:rsidRPr="001641E0">
        <w:rPr>
          <w:lang w:val="fr-CA"/>
        </w:rPr>
        <w:t xml:space="preserve">] ne prétend pas avoir été condamné à tort à une peine de détention pour une période indéterminée en raison d’une erreur de droit commise par le juge du procès, mais soutient plutôt que cette erreur lui donne droit à une réévaluation de son statut au moment de l’appel. </w:t>
      </w:r>
    </w:p>
    <w:p w:rsidR="004E538E" w:rsidRPr="001641E0" w:rsidRDefault="003019F4" w:rsidP="0017725D">
      <w:pPr>
        <w:pStyle w:val="Citation-AltC"/>
        <w:spacing w:after="240"/>
        <w:ind w:left="1168"/>
        <w:contextualSpacing w:val="0"/>
        <w:jc w:val="center"/>
        <w:rPr>
          <w:lang w:val="fr-CA"/>
        </w:rPr>
      </w:pPr>
      <w:r>
        <w:rPr>
          <w:lang w:val="fr-CA"/>
        </w:rPr>
        <w:t>. . .</w:t>
      </w:r>
    </w:p>
    <w:p w:rsidR="004E538E" w:rsidRPr="001641E0" w:rsidRDefault="001927C0" w:rsidP="0017725D">
      <w:pPr>
        <w:pStyle w:val="Citation-AltC"/>
        <w:ind w:hanging="1166"/>
        <w:rPr>
          <w:lang w:val="fr-CA"/>
        </w:rPr>
      </w:pPr>
      <w:r>
        <w:rPr>
          <w:lang w:val="fr-CA"/>
        </w:rPr>
        <w:tab/>
      </w:r>
      <w:r>
        <w:rPr>
          <w:lang w:val="fr-CA"/>
        </w:rPr>
        <w:tab/>
      </w:r>
      <w:r w:rsidR="003019F4">
        <w:rPr>
          <w:lang w:val="fr-CA"/>
        </w:rPr>
        <w:t>. . .</w:t>
      </w:r>
      <w:r w:rsidR="004E538E" w:rsidRPr="001641E0">
        <w:rPr>
          <w:lang w:val="fr-CA"/>
        </w:rPr>
        <w:t xml:space="preserve"> Lorsque la prétention véritable du délinquant est qu’il s’est amélioré au point d’avoir droit à une réévaluation de son statut, un appel de la décision initiale ne constitue pas le mécanisme auquel celui</w:t>
      </w:r>
      <w:r w:rsidR="001F6C88">
        <w:rPr>
          <w:lang w:val="fr-CA"/>
        </w:rPr>
        <w:t>-</w:t>
      </w:r>
      <w:r w:rsidR="004E538E" w:rsidRPr="001641E0">
        <w:rPr>
          <w:lang w:val="fr-CA"/>
        </w:rPr>
        <w:t>ci doit recourir pour obtenir cette nouvel</w:t>
      </w:r>
      <w:r w:rsidR="001D7E2C">
        <w:rPr>
          <w:lang w:val="fr-CA"/>
        </w:rPr>
        <w:t>le évaluation. [</w:t>
      </w:r>
      <w:proofErr w:type="gramStart"/>
      <w:r w:rsidR="001D7E2C">
        <w:rPr>
          <w:lang w:val="fr-CA"/>
        </w:rPr>
        <w:t>par</w:t>
      </w:r>
      <w:proofErr w:type="gramEnd"/>
      <w:r w:rsidR="001D7E2C">
        <w:rPr>
          <w:lang w:val="fr-CA"/>
        </w:rPr>
        <w:t>.</w:t>
      </w:r>
      <w:r w:rsidR="0017725D">
        <w:rPr>
          <w:lang w:val="fr-CA"/>
        </w:rPr>
        <w:t xml:space="preserve"> </w:t>
      </w:r>
      <w:r w:rsidR="001D7E2C">
        <w:rPr>
          <w:lang w:val="fr-CA"/>
        </w:rPr>
        <w:t>20 et 23]</w:t>
      </w:r>
    </w:p>
    <w:p w:rsidR="004E538E" w:rsidRPr="001641E0" w:rsidRDefault="004E538E" w:rsidP="0017725D">
      <w:pPr>
        <w:pStyle w:val="Title2LevelTitre2Niveau"/>
        <w:rPr>
          <w:rFonts w:cs="Times New Roman"/>
          <w:lang w:val="fr-CA"/>
        </w:rPr>
      </w:pPr>
      <w:r w:rsidRPr="001641E0">
        <w:rPr>
          <w:rFonts w:cs="Times New Roman"/>
          <w:lang w:val="fr-CA"/>
        </w:rPr>
        <w:lastRenderedPageBreak/>
        <w:t>La déclaration de délinquant dangereux devrait</w:t>
      </w:r>
      <w:r w:rsidR="0017725D">
        <w:rPr>
          <w:rFonts w:cs="Times New Roman"/>
          <w:lang w:val="fr-CA"/>
        </w:rPr>
        <w:t xml:space="preserve"> </w:t>
      </w:r>
      <w:r w:rsidRPr="001641E0">
        <w:rPr>
          <w:rFonts w:cs="Times New Roman"/>
          <w:lang w:val="fr-CA"/>
        </w:rPr>
        <w:t>elle néanmoins être annulée?</w:t>
      </w:r>
    </w:p>
    <w:p w:rsidR="004E538E" w:rsidRPr="001641E0" w:rsidRDefault="004E538E" w:rsidP="0017725D">
      <w:pPr>
        <w:pStyle w:val="ParaNoNdepar-AltN"/>
        <w:rPr>
          <w:rFonts w:cs="Times New Roman"/>
          <w:lang w:val="fr-CA"/>
        </w:rPr>
      </w:pPr>
      <w:r w:rsidRPr="001641E0">
        <w:rPr>
          <w:rFonts w:cs="Times New Roman"/>
          <w:lang w:val="fr-CA"/>
        </w:rPr>
        <w:t>Comme je l’ai expliqué, la Cour d’appel a interprété trop largement le rôle joué par les nouveaux éléments de preuve en ce qui concerne l’exercice de son pouvoir réparateur. À mon avis, les nouveaux éléments de preuve n’ont aucun rôle à jouer à cet égard en l’espèce. Il ne reste alors qu’à déterminer si la déclaration de</w:t>
      </w:r>
      <w:r>
        <w:rPr>
          <w:rFonts w:cs="Times New Roman"/>
          <w:lang w:val="fr-CA"/>
        </w:rPr>
        <w:t xml:space="preserve"> </w:t>
      </w:r>
      <w:r w:rsidRPr="001641E0">
        <w:rPr>
          <w:rFonts w:cs="Times New Roman"/>
          <w:lang w:val="fr-CA"/>
        </w:rPr>
        <w:t>délinquant dangereux devrait être annulée parce qu’elle serait déraisonnable. C’est sous cet angle, à mon avis, qu’il convient de se demander si la Cour d’appel a commis une erreur dans sa conclusion finale selon laquelle l’appel devait être rejeté. À mon avis, elle n’a pas commis d’erreur.</w:t>
      </w:r>
    </w:p>
    <w:p w:rsidR="004E538E" w:rsidRPr="001641E0" w:rsidRDefault="004E538E" w:rsidP="0017725D">
      <w:pPr>
        <w:pStyle w:val="ParaNoNdepar-AltN"/>
        <w:rPr>
          <w:rFonts w:cs="Times New Roman"/>
          <w:lang w:val="fr-CA"/>
        </w:rPr>
      </w:pPr>
      <w:r w:rsidRPr="001641E0">
        <w:rPr>
          <w:rFonts w:cs="Times New Roman"/>
          <w:lang w:val="fr-CA"/>
        </w:rPr>
        <w:t>Le délinquant peut interjeter appel d’une déclaration portant qu’il est un délinquant dangereux au motif que cette décision est déraisonnable</w:t>
      </w:r>
      <w:r w:rsidR="0017725D">
        <w:rPr>
          <w:rFonts w:cs="Times New Roman"/>
          <w:lang w:val="fr-CA"/>
        </w:rPr>
        <w:t> :</w:t>
      </w:r>
      <w:r w:rsidRPr="001641E0">
        <w:rPr>
          <w:rFonts w:cs="Times New Roman"/>
          <w:lang w:val="fr-CA"/>
        </w:rPr>
        <w:t xml:space="preserve"> </w:t>
      </w:r>
      <w:proofErr w:type="spellStart"/>
      <w:r w:rsidRPr="001641E0">
        <w:rPr>
          <w:rFonts w:cs="Times New Roman"/>
          <w:i/>
          <w:lang w:val="fr-CA"/>
        </w:rPr>
        <w:t>Currie</w:t>
      </w:r>
      <w:proofErr w:type="spellEnd"/>
      <w:r w:rsidRPr="00485D77">
        <w:rPr>
          <w:rFonts w:cs="Times New Roman"/>
          <w:lang w:val="fr-CA"/>
        </w:rPr>
        <w:t>.</w:t>
      </w:r>
      <w:r w:rsidRPr="001641E0">
        <w:rPr>
          <w:rFonts w:cs="Times New Roman"/>
          <w:lang w:val="fr-CA"/>
        </w:rPr>
        <w:t xml:space="preserve"> Les nouveaux éléments de preuve ont donc peut</w:t>
      </w:r>
      <w:r w:rsidR="0017725D">
        <w:rPr>
          <w:rFonts w:cs="Times New Roman"/>
          <w:lang w:val="fr-CA"/>
        </w:rPr>
        <w:t xml:space="preserve"> </w:t>
      </w:r>
      <w:r w:rsidRPr="001641E0">
        <w:rPr>
          <w:rFonts w:cs="Times New Roman"/>
          <w:lang w:val="fr-CA"/>
        </w:rPr>
        <w:t xml:space="preserve">être un rôle plus important à jouer lorsque la cour d’appel effectue un contrôle sur ce fondement que lorsqu’elle est appelée à se demander si une erreur de droit est ou non inoffensive. Bien que les nouveaux éléments de preuve doivent satisfaire aux critères de l’arrêt </w:t>
      </w:r>
      <w:r w:rsidRPr="001641E0">
        <w:rPr>
          <w:rFonts w:cs="Times New Roman"/>
          <w:i/>
          <w:lang w:val="fr-CA"/>
        </w:rPr>
        <w:t>Palmer</w:t>
      </w:r>
      <w:r w:rsidRPr="001641E0">
        <w:rPr>
          <w:rFonts w:cs="Times New Roman"/>
          <w:lang w:val="fr-CA"/>
        </w:rPr>
        <w:t>, la cour d’appel peut examiner la peine au regard de l’ensemble du dossier, notamment de tout nouvel élément de preuve admissible. Le fardeau de la preuve incombe toutefois au délinquant lors d’un contrôle effectué sur ce fondement.</w:t>
      </w:r>
    </w:p>
    <w:p w:rsidR="004E538E" w:rsidRPr="001641E0" w:rsidRDefault="004E538E" w:rsidP="0017725D">
      <w:pPr>
        <w:pStyle w:val="ParaNoNdepar-AltN"/>
        <w:rPr>
          <w:rFonts w:cs="Times New Roman"/>
          <w:lang w:val="fr-CA"/>
        </w:rPr>
      </w:pPr>
      <w:r w:rsidRPr="001641E0">
        <w:rPr>
          <w:rFonts w:cs="Times New Roman"/>
          <w:lang w:val="fr-CA"/>
        </w:rPr>
        <w:t xml:space="preserve">Dans un appel interjeté à l’égard d’une déclaration de délinquant dangereux, la cour d’appel est souvent saisie longtemps après le prononcé de la sentence initiale — comme nous le sommes en l’espèce — d’éléments de preuve </w:t>
      </w:r>
      <w:r w:rsidRPr="001641E0">
        <w:rPr>
          <w:rFonts w:cs="Times New Roman"/>
          <w:lang w:val="fr-CA"/>
        </w:rPr>
        <w:lastRenderedPageBreak/>
        <w:t xml:space="preserve">relatifs aux efforts et aux perspectives de réadaptation du délinquant. Bien que le test des arrêts </w:t>
      </w:r>
      <w:r w:rsidRPr="001641E0">
        <w:rPr>
          <w:rFonts w:cs="Times New Roman"/>
          <w:i/>
          <w:lang w:val="fr-CA"/>
        </w:rPr>
        <w:t xml:space="preserve">Lévesque </w:t>
      </w:r>
      <w:r w:rsidRPr="001641E0">
        <w:rPr>
          <w:rFonts w:cs="Times New Roman"/>
          <w:lang w:val="fr-CA"/>
        </w:rPr>
        <w:t xml:space="preserve">et </w:t>
      </w:r>
      <w:proofErr w:type="spellStart"/>
      <w:r w:rsidRPr="001641E0">
        <w:rPr>
          <w:rFonts w:cs="Times New Roman"/>
          <w:i/>
          <w:lang w:val="fr-CA"/>
        </w:rPr>
        <w:t>Angelillo</w:t>
      </w:r>
      <w:proofErr w:type="spellEnd"/>
      <w:r w:rsidRPr="001641E0">
        <w:rPr>
          <w:rFonts w:cs="Times New Roman"/>
          <w:lang w:val="fr-CA"/>
        </w:rPr>
        <w:t xml:space="preserve"> établisse le cadre juridique applicable à l’admission de ce type d’éléments de preuve, les cours d’appel adoptent généralement une approche très prudente lorsqu’elles sont appelées à intervenir sur le seul fondement d’éléments de preuve de cette nature</w:t>
      </w:r>
      <w:r w:rsidR="0017725D">
        <w:rPr>
          <w:rFonts w:cs="Times New Roman"/>
          <w:lang w:val="fr-CA"/>
        </w:rPr>
        <w:t> :</w:t>
      </w:r>
      <w:r w:rsidRPr="001641E0">
        <w:rPr>
          <w:rFonts w:cs="Times New Roman"/>
          <w:lang w:val="fr-CA"/>
        </w:rPr>
        <w:t xml:space="preserve"> voir</w:t>
      </w:r>
      <w:r w:rsidR="00485D77">
        <w:rPr>
          <w:rFonts w:cs="Times New Roman"/>
          <w:lang w:val="fr-CA"/>
        </w:rPr>
        <w:t>,</w:t>
      </w:r>
      <w:r w:rsidRPr="001641E0">
        <w:rPr>
          <w:rFonts w:cs="Times New Roman"/>
          <w:lang w:val="fr-CA"/>
        </w:rPr>
        <w:t xml:space="preserve"> p.</w:t>
      </w:r>
      <w:r w:rsidR="0017725D">
        <w:rPr>
          <w:rFonts w:cs="Times New Roman"/>
          <w:lang w:val="fr-CA"/>
        </w:rPr>
        <w:t xml:space="preserve"> </w:t>
      </w:r>
      <w:r w:rsidRPr="001641E0">
        <w:rPr>
          <w:rFonts w:cs="Times New Roman"/>
          <w:lang w:val="fr-CA"/>
        </w:rPr>
        <w:t>ex.</w:t>
      </w:r>
      <w:r w:rsidR="00485D77">
        <w:rPr>
          <w:rFonts w:cs="Times New Roman"/>
          <w:lang w:val="fr-CA"/>
        </w:rPr>
        <w:t>,</w:t>
      </w:r>
      <w:r w:rsidRPr="001641E0">
        <w:rPr>
          <w:rFonts w:cs="Times New Roman"/>
          <w:lang w:val="fr-CA"/>
        </w:rPr>
        <w:t xml:space="preserve"> </w:t>
      </w:r>
      <w:r w:rsidRPr="001641E0">
        <w:rPr>
          <w:rFonts w:cs="Times New Roman"/>
          <w:i/>
          <w:lang w:val="fr-CA"/>
        </w:rPr>
        <w:t>R. c. T.L.</w:t>
      </w:r>
      <w:r w:rsidRPr="001641E0">
        <w:rPr>
          <w:rFonts w:cs="Times New Roman"/>
          <w:lang w:val="fr-CA"/>
        </w:rPr>
        <w:t>, 2008 ONCA</w:t>
      </w:r>
      <w:r>
        <w:rPr>
          <w:rFonts w:cs="Times New Roman"/>
          <w:lang w:val="fr-CA"/>
        </w:rPr>
        <w:t xml:space="preserve"> </w:t>
      </w:r>
      <w:r w:rsidRPr="001641E0">
        <w:rPr>
          <w:rFonts w:cs="Times New Roman"/>
          <w:lang w:val="fr-CA"/>
        </w:rPr>
        <w:t>766 (</w:t>
      </w:r>
      <w:proofErr w:type="spellStart"/>
      <w:r w:rsidRPr="001641E0">
        <w:rPr>
          <w:rFonts w:cs="Times New Roman"/>
          <w:lang w:val="fr-CA"/>
        </w:rPr>
        <w:t>CanLII</w:t>
      </w:r>
      <w:proofErr w:type="spellEnd"/>
      <w:r w:rsidRPr="001641E0">
        <w:rPr>
          <w:rFonts w:cs="Times New Roman"/>
          <w:lang w:val="fr-CA"/>
        </w:rPr>
        <w:t xml:space="preserve">); </w:t>
      </w:r>
      <w:r w:rsidRPr="001641E0">
        <w:rPr>
          <w:rFonts w:cs="Times New Roman"/>
          <w:i/>
          <w:lang w:val="fr-CA"/>
        </w:rPr>
        <w:t xml:space="preserve">R. c. </w:t>
      </w:r>
      <w:proofErr w:type="spellStart"/>
      <w:r w:rsidRPr="001641E0">
        <w:rPr>
          <w:rFonts w:cs="Times New Roman"/>
          <w:i/>
          <w:lang w:val="fr-CA"/>
        </w:rPr>
        <w:t>Mason</w:t>
      </w:r>
      <w:proofErr w:type="spellEnd"/>
      <w:r w:rsidRPr="001641E0">
        <w:rPr>
          <w:rFonts w:cs="Times New Roman"/>
          <w:lang w:val="fr-CA"/>
        </w:rPr>
        <w:t xml:space="preserve"> (2001)</w:t>
      </w:r>
      <w:r w:rsidR="00485D77">
        <w:rPr>
          <w:rFonts w:cs="Times New Roman"/>
          <w:lang w:val="fr-CA"/>
        </w:rPr>
        <w:t>,</w:t>
      </w:r>
      <w:r w:rsidRPr="001641E0">
        <w:rPr>
          <w:rFonts w:cs="Times New Roman"/>
          <w:lang w:val="fr-CA"/>
        </w:rPr>
        <w:t xml:space="preserve"> 147 O.A.C. 388; </w:t>
      </w:r>
      <w:r w:rsidRPr="001641E0">
        <w:rPr>
          <w:rFonts w:cs="Times New Roman"/>
          <w:i/>
          <w:lang w:val="fr-CA"/>
        </w:rPr>
        <w:t>Halliday</w:t>
      </w:r>
      <w:r w:rsidRPr="001641E0">
        <w:rPr>
          <w:rFonts w:cs="Times New Roman"/>
          <w:lang w:val="fr-CA"/>
        </w:rPr>
        <w:t xml:space="preserve">; </w:t>
      </w:r>
      <w:r w:rsidRPr="001641E0">
        <w:rPr>
          <w:rFonts w:cs="Times New Roman"/>
          <w:i/>
          <w:lang w:val="fr-CA"/>
        </w:rPr>
        <w:t>R. c. Henry</w:t>
      </w:r>
      <w:r w:rsidRPr="001641E0">
        <w:rPr>
          <w:rFonts w:cs="Times New Roman"/>
          <w:lang w:val="fr-CA"/>
        </w:rPr>
        <w:t>, 2002 BCCA 575, 174 B.C.A.C.</w:t>
      </w:r>
      <w:r>
        <w:rPr>
          <w:rFonts w:cs="Times New Roman"/>
          <w:lang w:val="fr-CA"/>
        </w:rPr>
        <w:t xml:space="preserve"> </w:t>
      </w:r>
      <w:r w:rsidRPr="001641E0">
        <w:rPr>
          <w:rFonts w:cs="Times New Roman"/>
          <w:lang w:val="fr-CA"/>
        </w:rPr>
        <w:t xml:space="preserve">238; </w:t>
      </w:r>
      <w:proofErr w:type="spellStart"/>
      <w:r w:rsidRPr="001641E0">
        <w:rPr>
          <w:rFonts w:cs="Times New Roman"/>
          <w:i/>
          <w:lang w:val="fr-CA"/>
        </w:rPr>
        <w:t>Jimmie</w:t>
      </w:r>
      <w:proofErr w:type="spellEnd"/>
      <w:r w:rsidRPr="001641E0">
        <w:rPr>
          <w:rFonts w:cs="Times New Roman"/>
          <w:lang w:val="fr-CA"/>
        </w:rPr>
        <w:t>. Les cours d’appel ont également reconnu que, dans certains cas où la preuve est suffisamment convaincante, elles peuvent intervenir sur le fondement d’éléme</w:t>
      </w:r>
      <w:r w:rsidR="001F6C88">
        <w:rPr>
          <w:rFonts w:cs="Times New Roman"/>
          <w:lang w:val="fr-CA"/>
        </w:rPr>
        <w:t>nts de preuve relatifs à des évé</w:t>
      </w:r>
      <w:r w:rsidRPr="001641E0">
        <w:rPr>
          <w:rFonts w:cs="Times New Roman"/>
          <w:lang w:val="fr-CA"/>
        </w:rPr>
        <w:t>nements survenus après le fait</w:t>
      </w:r>
      <w:r w:rsidR="0017725D">
        <w:rPr>
          <w:rFonts w:cs="Times New Roman"/>
          <w:lang w:val="fr-CA"/>
        </w:rPr>
        <w:t> :</w:t>
      </w:r>
      <w:r w:rsidRPr="001641E0">
        <w:rPr>
          <w:rFonts w:cs="Times New Roman"/>
          <w:lang w:val="fr-CA"/>
        </w:rPr>
        <w:t xml:space="preserve"> voir, p.</w:t>
      </w:r>
      <w:r w:rsidR="0017725D">
        <w:rPr>
          <w:rFonts w:cs="Times New Roman"/>
          <w:lang w:val="fr-CA"/>
        </w:rPr>
        <w:t xml:space="preserve"> </w:t>
      </w:r>
      <w:r w:rsidRPr="001641E0">
        <w:rPr>
          <w:rFonts w:cs="Times New Roman"/>
          <w:lang w:val="fr-CA"/>
        </w:rPr>
        <w:t>ex.</w:t>
      </w:r>
      <w:r w:rsidR="00485D77">
        <w:rPr>
          <w:rFonts w:cs="Times New Roman"/>
          <w:lang w:val="fr-CA"/>
        </w:rPr>
        <w:t>,</w:t>
      </w:r>
      <w:r w:rsidRPr="001641E0">
        <w:rPr>
          <w:rFonts w:cs="Times New Roman"/>
          <w:lang w:val="fr-CA"/>
        </w:rPr>
        <w:t xml:space="preserve"> </w:t>
      </w:r>
      <w:r w:rsidRPr="009F198A">
        <w:rPr>
          <w:rFonts w:cs="Times New Roman"/>
          <w:i/>
          <w:lang w:val="fr-CA"/>
        </w:rPr>
        <w:t>Halliday</w:t>
      </w:r>
      <w:r w:rsidRPr="009F198A">
        <w:rPr>
          <w:rFonts w:cs="Times New Roman"/>
          <w:lang w:val="fr-CA"/>
        </w:rPr>
        <w:t>, par.</w:t>
      </w:r>
      <w:r w:rsidR="0017725D">
        <w:rPr>
          <w:rFonts w:cs="Times New Roman"/>
          <w:lang w:val="fr-CA"/>
        </w:rPr>
        <w:t xml:space="preserve"> </w:t>
      </w:r>
      <w:r w:rsidRPr="009F198A">
        <w:rPr>
          <w:rFonts w:cs="Times New Roman"/>
          <w:lang w:val="fr-CA"/>
        </w:rPr>
        <w:t xml:space="preserve">17; </w:t>
      </w:r>
      <w:r w:rsidRPr="009F198A">
        <w:rPr>
          <w:rFonts w:cs="Times New Roman"/>
          <w:i/>
          <w:lang w:val="fr-CA"/>
        </w:rPr>
        <w:t xml:space="preserve">R. c. </w:t>
      </w:r>
      <w:proofErr w:type="spellStart"/>
      <w:r w:rsidRPr="009F198A">
        <w:rPr>
          <w:rFonts w:cs="Times New Roman"/>
          <w:i/>
          <w:lang w:val="fr-CA"/>
        </w:rPr>
        <w:t>Armistead</w:t>
      </w:r>
      <w:proofErr w:type="spellEnd"/>
      <w:r w:rsidRPr="009F198A">
        <w:rPr>
          <w:rFonts w:cs="Times New Roman"/>
          <w:lang w:val="fr-CA"/>
        </w:rPr>
        <w:t xml:space="preserve">, 2003 BCCA 699, 192 B.C.A.C. 227. </w:t>
      </w:r>
      <w:r w:rsidRPr="001641E0">
        <w:rPr>
          <w:rFonts w:cs="Times New Roman"/>
          <w:lang w:val="fr-CA"/>
        </w:rPr>
        <w:t xml:space="preserve">Toutefois, les éléments de preuve relatifs aux efforts et aux perspectives de réadaptation du délinquant après le prononcé de la sentence ne satisferont au critère des arrêts </w:t>
      </w:r>
      <w:r w:rsidRPr="001641E0">
        <w:rPr>
          <w:rFonts w:cs="Times New Roman"/>
          <w:i/>
          <w:lang w:val="fr-CA"/>
        </w:rPr>
        <w:t xml:space="preserve">Lévesque </w:t>
      </w:r>
      <w:r w:rsidRPr="001641E0">
        <w:rPr>
          <w:rFonts w:cs="Times New Roman"/>
          <w:lang w:val="fr-CA"/>
        </w:rPr>
        <w:t>et</w:t>
      </w:r>
      <w:r w:rsidRPr="001641E0">
        <w:rPr>
          <w:rFonts w:cs="Times New Roman"/>
          <w:i/>
          <w:lang w:val="fr-CA"/>
        </w:rPr>
        <w:t xml:space="preserve"> </w:t>
      </w:r>
      <w:proofErr w:type="spellStart"/>
      <w:r w:rsidRPr="001641E0">
        <w:rPr>
          <w:rFonts w:cs="Times New Roman"/>
          <w:i/>
          <w:lang w:val="fr-CA"/>
        </w:rPr>
        <w:t>Angelillo</w:t>
      </w:r>
      <w:proofErr w:type="spellEnd"/>
      <w:r w:rsidRPr="001641E0">
        <w:rPr>
          <w:rFonts w:cs="Times New Roman"/>
          <w:lang w:val="fr-CA"/>
        </w:rPr>
        <w:t xml:space="preserve"> que dans des cas exceptionnels. Ces faits nouveaux relèvent en général des autorités correctionnelles dans l’administration de la peine d’emprisonnement d’une durée indéterminée infligée au délinquant.</w:t>
      </w:r>
    </w:p>
    <w:p w:rsidR="004E538E" w:rsidRPr="001641E0" w:rsidRDefault="004E538E" w:rsidP="0017725D">
      <w:pPr>
        <w:pStyle w:val="ParaNoNdepar-AltN"/>
        <w:rPr>
          <w:rFonts w:cs="Times New Roman"/>
          <w:lang w:val="fr-CA"/>
        </w:rPr>
      </w:pPr>
      <w:r w:rsidRPr="001641E0">
        <w:rPr>
          <w:rFonts w:cs="Times New Roman"/>
          <w:lang w:val="fr-CA"/>
        </w:rPr>
        <w:t xml:space="preserve">Bien que les nouveaux éléments de preuve puissent avoir un rôle plus important à jouer dans ce contexte, l’examen demeure dans une certaine mesure </w:t>
      </w:r>
      <w:proofErr w:type="gramStart"/>
      <w:r w:rsidRPr="001641E0">
        <w:rPr>
          <w:rFonts w:cs="Times New Roman"/>
          <w:lang w:val="fr-CA"/>
        </w:rPr>
        <w:t>rétrospectif</w:t>
      </w:r>
      <w:proofErr w:type="gramEnd"/>
      <w:r w:rsidRPr="001641E0">
        <w:rPr>
          <w:rFonts w:cs="Times New Roman"/>
          <w:lang w:val="fr-CA"/>
        </w:rPr>
        <w:t xml:space="preserve">. L’accent est mis sur l’incidence de la nouvelle preuve sur la procédure de détermination de la peine, eu égard à l’ensemble du dossier. </w:t>
      </w:r>
    </w:p>
    <w:p w:rsidR="004E538E" w:rsidRPr="001641E0" w:rsidRDefault="004E538E" w:rsidP="0017725D">
      <w:pPr>
        <w:pStyle w:val="ParaNoNdepar-AltN"/>
        <w:rPr>
          <w:rFonts w:cs="Times New Roman"/>
          <w:lang w:val="fr-CA"/>
        </w:rPr>
      </w:pPr>
      <w:r w:rsidRPr="001641E0">
        <w:rPr>
          <w:rFonts w:cs="Times New Roman"/>
          <w:lang w:val="fr-CA"/>
        </w:rPr>
        <w:t>M.</w:t>
      </w:r>
      <w:r w:rsidR="0017725D">
        <w:rPr>
          <w:rFonts w:cs="Times New Roman"/>
          <w:lang w:val="fr-CA"/>
        </w:rPr>
        <w:t xml:space="preserve"> </w:t>
      </w:r>
      <w:r w:rsidRPr="001641E0">
        <w:rPr>
          <w:rFonts w:cs="Times New Roman"/>
          <w:lang w:val="fr-CA"/>
        </w:rPr>
        <w:t>Sipos souligne que, selon ce qui ressort essentiellement des motifs du juge chargé de déterminer la peine, celui</w:t>
      </w:r>
      <w:r w:rsidR="001F6C88">
        <w:rPr>
          <w:rFonts w:cs="Times New Roman"/>
          <w:lang w:val="fr-CA"/>
        </w:rPr>
        <w:t>-</w:t>
      </w:r>
      <w:r w:rsidRPr="001641E0">
        <w:rPr>
          <w:rFonts w:cs="Times New Roman"/>
          <w:lang w:val="fr-CA"/>
        </w:rPr>
        <w:t>ci [</w:t>
      </w:r>
      <w:r w:rsidRPr="001641E0">
        <w:rPr>
          <w:rFonts w:cs="Times New Roman"/>
          <w:smallCaps/>
          <w:lang w:val="fr-CA"/>
        </w:rPr>
        <w:t>traduction</w:t>
      </w:r>
      <w:r w:rsidRPr="001641E0">
        <w:rPr>
          <w:rFonts w:cs="Times New Roman"/>
          <w:lang w:val="fr-CA"/>
        </w:rPr>
        <w:t xml:space="preserve">] </w:t>
      </w:r>
      <w:r w:rsidR="0017725D">
        <w:rPr>
          <w:rFonts w:cs="Times New Roman"/>
          <w:lang w:val="fr-CA"/>
        </w:rPr>
        <w:t>« </w:t>
      </w:r>
      <w:r w:rsidRPr="001641E0">
        <w:rPr>
          <w:rFonts w:cs="Times New Roman"/>
          <w:lang w:val="fr-CA"/>
        </w:rPr>
        <w:t>n’était pas convain</w:t>
      </w:r>
      <w:r w:rsidR="009F198A">
        <w:rPr>
          <w:rFonts w:cs="Times New Roman"/>
          <w:lang w:val="fr-CA"/>
        </w:rPr>
        <w:t xml:space="preserve">cu, au vu du dossier soumis, </w:t>
      </w:r>
      <w:proofErr w:type="gramStart"/>
      <w:r w:rsidR="009F198A">
        <w:rPr>
          <w:rFonts w:cs="Times New Roman"/>
          <w:lang w:val="fr-CA"/>
        </w:rPr>
        <w:t>qu</w:t>
      </w:r>
      <w:r w:rsidRPr="001641E0">
        <w:rPr>
          <w:rFonts w:cs="Times New Roman"/>
          <w:lang w:val="fr-CA"/>
        </w:rPr>
        <w:t>’</w:t>
      </w:r>
      <w:r w:rsidR="009F198A">
        <w:rPr>
          <w:rFonts w:cs="Times New Roman"/>
          <w:lang w:val="fr-CA"/>
        </w:rPr>
        <w:t>[</w:t>
      </w:r>
      <w:proofErr w:type="gramEnd"/>
      <w:r w:rsidRPr="001641E0">
        <w:rPr>
          <w:rFonts w:cs="Times New Roman"/>
          <w:lang w:val="fr-CA"/>
        </w:rPr>
        <w:t xml:space="preserve">il] serait </w:t>
      </w:r>
      <w:r w:rsidRPr="001641E0">
        <w:rPr>
          <w:rFonts w:cs="Times New Roman"/>
          <w:u w:val="single"/>
          <w:lang w:val="fr-CA"/>
        </w:rPr>
        <w:t>un jour</w:t>
      </w:r>
      <w:r w:rsidRPr="001641E0">
        <w:rPr>
          <w:rFonts w:cs="Times New Roman"/>
          <w:lang w:val="fr-CA"/>
        </w:rPr>
        <w:t xml:space="preserve"> apte à être remis en liberté, même si une </w:t>
      </w:r>
      <w:r w:rsidRPr="001641E0">
        <w:rPr>
          <w:rFonts w:cs="Times New Roman"/>
          <w:lang w:val="fr-CA"/>
        </w:rPr>
        <w:lastRenderedPageBreak/>
        <w:t>très longue peine de détention d’une durée déterminée lui était infligée</w:t>
      </w:r>
      <w:r w:rsidR="0017725D">
        <w:rPr>
          <w:rFonts w:cs="Times New Roman"/>
          <w:lang w:val="fr-CA"/>
        </w:rPr>
        <w:t> » :</w:t>
      </w:r>
      <w:r w:rsidRPr="001641E0">
        <w:rPr>
          <w:rFonts w:cs="Times New Roman"/>
          <w:lang w:val="fr-CA"/>
        </w:rPr>
        <w:t xml:space="preserve"> m.a.</w:t>
      </w:r>
      <w:r w:rsidR="001F6C88">
        <w:rPr>
          <w:rFonts w:cs="Times New Roman"/>
          <w:lang w:val="fr-CA"/>
        </w:rPr>
        <w:t>,</w:t>
      </w:r>
      <w:r w:rsidRPr="001641E0">
        <w:rPr>
          <w:rFonts w:cs="Times New Roman"/>
          <w:lang w:val="fr-CA"/>
        </w:rPr>
        <w:t xml:space="preserve"> par.</w:t>
      </w:r>
      <w:r w:rsidR="0017725D">
        <w:rPr>
          <w:rFonts w:cs="Times New Roman"/>
          <w:lang w:val="fr-CA"/>
        </w:rPr>
        <w:t xml:space="preserve"> </w:t>
      </w:r>
      <w:r w:rsidRPr="001641E0">
        <w:rPr>
          <w:rFonts w:cs="Times New Roman"/>
          <w:lang w:val="fr-CA"/>
        </w:rPr>
        <w:t xml:space="preserve">38 (souligné dans l’original). Il </w:t>
      </w:r>
      <w:r w:rsidR="001F6C88">
        <w:rPr>
          <w:rFonts w:cs="Times New Roman"/>
          <w:lang w:val="fr-CA"/>
        </w:rPr>
        <w:t>reprend</w:t>
      </w:r>
      <w:r w:rsidRPr="001641E0">
        <w:rPr>
          <w:rFonts w:cs="Times New Roman"/>
          <w:lang w:val="fr-CA"/>
        </w:rPr>
        <w:t xml:space="preserve"> la conclusion du juge selon laquelle il n’y avait </w:t>
      </w:r>
      <w:r w:rsidR="0017725D">
        <w:rPr>
          <w:rFonts w:cs="Times New Roman"/>
          <w:lang w:val="fr-CA"/>
        </w:rPr>
        <w:t>« </w:t>
      </w:r>
      <w:r w:rsidRPr="001641E0">
        <w:rPr>
          <w:rFonts w:cs="Times New Roman"/>
          <w:lang w:val="fr-CA"/>
        </w:rPr>
        <w:t>aucune preuve tangible</w:t>
      </w:r>
      <w:r w:rsidR="009F198A">
        <w:rPr>
          <w:rFonts w:cs="Times New Roman"/>
          <w:lang w:val="fr-CA"/>
        </w:rPr>
        <w:t xml:space="preserve"> [</w:t>
      </w:r>
      <w:r w:rsidR="001F6C88">
        <w:rPr>
          <w:rFonts w:cs="Times New Roman"/>
          <w:lang w:val="fr-CA"/>
        </w:rPr>
        <w:t>. . .</w:t>
      </w:r>
      <w:r w:rsidR="009F198A">
        <w:rPr>
          <w:rFonts w:cs="Times New Roman"/>
          <w:lang w:val="fr-CA"/>
        </w:rPr>
        <w:t>]</w:t>
      </w:r>
      <w:r w:rsidRPr="001641E0">
        <w:rPr>
          <w:rFonts w:cs="Times New Roman"/>
          <w:lang w:val="fr-CA"/>
        </w:rPr>
        <w:t xml:space="preserve"> étayant la probabilité d’une guérison</w:t>
      </w:r>
      <w:r w:rsidR="0017725D">
        <w:rPr>
          <w:rFonts w:cs="Times New Roman"/>
          <w:lang w:val="fr-CA"/>
        </w:rPr>
        <w:t> »</w:t>
      </w:r>
      <w:r w:rsidRPr="001641E0">
        <w:rPr>
          <w:rFonts w:cs="Times New Roman"/>
          <w:lang w:val="fr-CA"/>
        </w:rPr>
        <w:t xml:space="preserve"> pendant la durée d’une peine d’incarcération pour une période déterminée</w:t>
      </w:r>
      <w:r w:rsidR="0017725D">
        <w:rPr>
          <w:rFonts w:cs="Times New Roman"/>
          <w:lang w:val="fr-CA"/>
        </w:rPr>
        <w:t> :</w:t>
      </w:r>
      <w:r w:rsidRPr="001641E0">
        <w:rPr>
          <w:rFonts w:cs="Times New Roman"/>
          <w:lang w:val="fr-CA"/>
        </w:rPr>
        <w:t xml:space="preserve"> </w:t>
      </w:r>
      <w:r w:rsidRPr="001641E0">
        <w:rPr>
          <w:rFonts w:cs="Times New Roman"/>
          <w:i/>
          <w:lang w:val="fr-CA"/>
        </w:rPr>
        <w:t>ibid</w:t>
      </w:r>
      <w:r w:rsidR="009F198A" w:rsidRPr="009F198A">
        <w:rPr>
          <w:rFonts w:cs="Times New Roman"/>
          <w:lang w:val="fr-CA"/>
        </w:rPr>
        <w:t>.</w:t>
      </w:r>
      <w:r w:rsidRPr="001641E0">
        <w:rPr>
          <w:rFonts w:cs="Times New Roman"/>
          <w:lang w:val="fr-CA"/>
        </w:rPr>
        <w:t>, citant les motifs du juge ayant statué sur la peine, par.</w:t>
      </w:r>
      <w:r w:rsidR="0017725D">
        <w:rPr>
          <w:rFonts w:cs="Times New Roman"/>
          <w:lang w:val="fr-CA"/>
        </w:rPr>
        <w:t xml:space="preserve"> </w:t>
      </w:r>
      <w:r w:rsidRPr="001641E0">
        <w:rPr>
          <w:rFonts w:cs="Times New Roman"/>
          <w:lang w:val="fr-CA"/>
        </w:rPr>
        <w:t>200</w:t>
      </w:r>
      <w:r>
        <w:rPr>
          <w:rFonts w:cs="Times New Roman"/>
          <w:lang w:val="fr-CA"/>
        </w:rPr>
        <w:t>.</w:t>
      </w:r>
      <w:r w:rsidRPr="001641E0">
        <w:rPr>
          <w:rFonts w:cs="Times New Roman"/>
          <w:lang w:val="fr-CA"/>
        </w:rPr>
        <w:t xml:space="preserve"> Le juge s’est appuyé à cet égard sur la conclusion selon laquelle l’appelant avait refusé la pharmacothérapie et sur celle portant que </w:t>
      </w:r>
      <w:r w:rsidR="001F6C88">
        <w:rPr>
          <w:rFonts w:cs="Times New Roman"/>
          <w:lang w:val="fr-CA"/>
        </w:rPr>
        <w:t>les</w:t>
      </w:r>
      <w:r w:rsidRPr="001641E0">
        <w:rPr>
          <w:rFonts w:cs="Times New Roman"/>
          <w:lang w:val="fr-CA"/>
        </w:rPr>
        <w:t xml:space="preserve"> commentaire</w:t>
      </w:r>
      <w:r w:rsidR="001F6C88">
        <w:rPr>
          <w:rFonts w:cs="Times New Roman"/>
          <w:lang w:val="fr-CA"/>
        </w:rPr>
        <w:t>s</w:t>
      </w:r>
      <w:r w:rsidRPr="001641E0">
        <w:rPr>
          <w:rFonts w:cs="Times New Roman"/>
          <w:lang w:val="fr-CA"/>
        </w:rPr>
        <w:t xml:space="preserve"> positif</w:t>
      </w:r>
      <w:r w:rsidR="001F6C88">
        <w:rPr>
          <w:rFonts w:cs="Times New Roman"/>
          <w:lang w:val="fr-CA"/>
        </w:rPr>
        <w:t>s</w:t>
      </w:r>
      <w:r w:rsidRPr="001641E0">
        <w:rPr>
          <w:rFonts w:cs="Times New Roman"/>
          <w:lang w:val="fr-CA"/>
        </w:rPr>
        <w:t xml:space="preserve"> quant à ses perspectives de réadaptation n’étai</w:t>
      </w:r>
      <w:r w:rsidR="001F6C88">
        <w:rPr>
          <w:rFonts w:cs="Times New Roman"/>
          <w:lang w:val="fr-CA"/>
        </w:rPr>
        <w:t>en</w:t>
      </w:r>
      <w:r w:rsidRPr="001641E0">
        <w:rPr>
          <w:rFonts w:cs="Times New Roman"/>
          <w:lang w:val="fr-CA"/>
        </w:rPr>
        <w:t xml:space="preserve">t que des </w:t>
      </w:r>
      <w:r w:rsidR="0017725D">
        <w:rPr>
          <w:rFonts w:cs="Times New Roman"/>
          <w:lang w:val="fr-CA"/>
        </w:rPr>
        <w:t>« </w:t>
      </w:r>
      <w:r w:rsidRPr="001641E0">
        <w:rPr>
          <w:rFonts w:cs="Times New Roman"/>
          <w:lang w:val="fr-CA"/>
        </w:rPr>
        <w:t>îlots d’optimisme dans un océan de comportements pathologiques</w:t>
      </w:r>
      <w:r w:rsidR="0017725D">
        <w:rPr>
          <w:rFonts w:cs="Times New Roman"/>
          <w:lang w:val="fr-CA"/>
        </w:rPr>
        <w:t> » :</w:t>
      </w:r>
      <w:r w:rsidRPr="001641E0">
        <w:rPr>
          <w:rFonts w:cs="Times New Roman"/>
          <w:lang w:val="fr-CA"/>
        </w:rPr>
        <w:t xml:space="preserve"> motifs du juge ayant statué sur la peine, par.</w:t>
      </w:r>
      <w:r w:rsidR="0017725D">
        <w:rPr>
          <w:rFonts w:cs="Times New Roman"/>
          <w:lang w:val="fr-CA"/>
        </w:rPr>
        <w:t xml:space="preserve"> </w:t>
      </w:r>
      <w:r w:rsidRPr="001641E0">
        <w:rPr>
          <w:rFonts w:cs="Times New Roman"/>
          <w:lang w:val="fr-CA"/>
        </w:rPr>
        <w:t>201. Or, selon M.</w:t>
      </w:r>
      <w:r w:rsidR="0017725D">
        <w:rPr>
          <w:rFonts w:cs="Times New Roman"/>
          <w:lang w:val="fr-CA"/>
        </w:rPr>
        <w:t xml:space="preserve"> </w:t>
      </w:r>
      <w:r w:rsidRPr="001641E0">
        <w:rPr>
          <w:rFonts w:cs="Times New Roman"/>
          <w:lang w:val="fr-CA"/>
        </w:rPr>
        <w:t>Sipos, les nouveaux éléments de preuve produits par 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 xml:space="preserve">McMaster illustrent que l’évaluation effectuée au moment de l’audience initiale de détermination de la peine était indûment pessimiste. </w:t>
      </w:r>
    </w:p>
    <w:p w:rsidR="004E538E" w:rsidRPr="001641E0" w:rsidRDefault="004E538E" w:rsidP="0017725D">
      <w:pPr>
        <w:pStyle w:val="ParaNoNdepar-AltN"/>
        <w:rPr>
          <w:rFonts w:cs="Times New Roman"/>
          <w:lang w:val="fr-CA"/>
        </w:rPr>
      </w:pPr>
      <w:r w:rsidRPr="001641E0">
        <w:rPr>
          <w:rFonts w:cs="Times New Roman"/>
          <w:lang w:val="fr-CA"/>
        </w:rPr>
        <w:t>Comme la thèse de l’appelant repose sur le rapport du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il convient d’en résumer les éléments et les conclusions clés. En 2010, 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a produit un rapport exhaustif sur l’état psychiatrique de M.</w:t>
      </w:r>
      <w:r w:rsidR="0017725D">
        <w:rPr>
          <w:rFonts w:cs="Times New Roman"/>
          <w:lang w:val="fr-CA"/>
        </w:rPr>
        <w:t xml:space="preserve"> </w:t>
      </w:r>
      <w:r w:rsidRPr="001641E0">
        <w:rPr>
          <w:rFonts w:cs="Times New Roman"/>
          <w:lang w:val="fr-CA"/>
        </w:rPr>
        <w:t>Sipos. On lui a demandé [</w:t>
      </w:r>
      <w:r w:rsidRPr="001641E0">
        <w:rPr>
          <w:rFonts w:cs="Times New Roman"/>
          <w:smallCaps/>
          <w:lang w:val="fr-CA"/>
        </w:rPr>
        <w:t>traduction</w:t>
      </w:r>
      <w:r w:rsidRPr="001641E0">
        <w:rPr>
          <w:rFonts w:cs="Times New Roman"/>
          <w:lang w:val="fr-CA"/>
        </w:rPr>
        <w:t xml:space="preserve">] </w:t>
      </w:r>
      <w:r w:rsidR="0017725D">
        <w:rPr>
          <w:rFonts w:cs="Times New Roman"/>
          <w:lang w:val="fr-CA"/>
        </w:rPr>
        <w:t>« </w:t>
      </w:r>
      <w:r w:rsidRPr="001641E0">
        <w:rPr>
          <w:rFonts w:cs="Times New Roman"/>
          <w:lang w:val="fr-CA"/>
        </w:rPr>
        <w:t>si M.</w:t>
      </w:r>
      <w:r w:rsidR="0017725D">
        <w:rPr>
          <w:rFonts w:cs="Times New Roman"/>
          <w:lang w:val="fr-CA"/>
        </w:rPr>
        <w:t xml:space="preserve"> </w:t>
      </w:r>
      <w:r w:rsidRPr="001641E0">
        <w:rPr>
          <w:rFonts w:cs="Times New Roman"/>
          <w:lang w:val="fr-CA"/>
        </w:rPr>
        <w:t xml:space="preserve">Sipos </w:t>
      </w:r>
      <w:proofErr w:type="gramStart"/>
      <w:r w:rsidRPr="001641E0">
        <w:rPr>
          <w:rFonts w:cs="Times New Roman"/>
          <w:lang w:val="fr-CA"/>
        </w:rPr>
        <w:t>présent[</w:t>
      </w:r>
      <w:proofErr w:type="gramEnd"/>
      <w:r w:rsidRPr="001641E0">
        <w:rPr>
          <w:rFonts w:cs="Times New Roman"/>
          <w:lang w:val="fr-CA"/>
        </w:rPr>
        <w:t>ait] un risque élevé de récidive [en 2010] et s’il y a[</w:t>
      </w:r>
      <w:proofErr w:type="spellStart"/>
      <w:r w:rsidRPr="001641E0">
        <w:rPr>
          <w:rFonts w:cs="Times New Roman"/>
          <w:lang w:val="fr-CA"/>
        </w:rPr>
        <w:t>vait</w:t>
      </w:r>
      <w:proofErr w:type="spellEnd"/>
      <w:r w:rsidRPr="001641E0">
        <w:rPr>
          <w:rFonts w:cs="Times New Roman"/>
          <w:lang w:val="fr-CA"/>
        </w:rPr>
        <w:t>] une possibilité r</w:t>
      </w:r>
      <w:r w:rsidR="000C1D28">
        <w:rPr>
          <w:rFonts w:cs="Times New Roman"/>
          <w:lang w:val="fr-CA"/>
        </w:rPr>
        <w:t>aisonnable</w:t>
      </w:r>
      <w:r w:rsidRPr="001641E0">
        <w:rPr>
          <w:rFonts w:cs="Times New Roman"/>
          <w:lang w:val="fr-CA"/>
        </w:rPr>
        <w:t xml:space="preserve"> que ce risque puisse être maîtrisé au sein de la collectivité</w:t>
      </w:r>
      <w:r w:rsidR="0017725D">
        <w:rPr>
          <w:rFonts w:cs="Times New Roman"/>
          <w:lang w:val="fr-CA"/>
        </w:rPr>
        <w:t> »</w:t>
      </w:r>
      <w:r w:rsidRPr="001641E0">
        <w:rPr>
          <w:rFonts w:cs="Times New Roman"/>
          <w:lang w:val="fr-CA"/>
        </w:rPr>
        <w:t>. 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a conclu que M.</w:t>
      </w:r>
      <w:r w:rsidR="0017725D">
        <w:rPr>
          <w:rFonts w:cs="Times New Roman"/>
          <w:lang w:val="fr-CA"/>
        </w:rPr>
        <w:t xml:space="preserve"> </w:t>
      </w:r>
      <w:r w:rsidRPr="001641E0">
        <w:rPr>
          <w:rFonts w:cs="Times New Roman"/>
          <w:lang w:val="fr-CA"/>
        </w:rPr>
        <w:t xml:space="preserve">Sipos </w:t>
      </w:r>
      <w:r w:rsidR="0017725D">
        <w:rPr>
          <w:rFonts w:cs="Times New Roman"/>
          <w:lang w:val="fr-CA"/>
        </w:rPr>
        <w:t>« </w:t>
      </w:r>
      <w:proofErr w:type="spellStart"/>
      <w:proofErr w:type="gramStart"/>
      <w:r w:rsidRPr="001641E0">
        <w:rPr>
          <w:rFonts w:cs="Times New Roman"/>
          <w:lang w:val="fr-CA"/>
        </w:rPr>
        <w:t>satisfai</w:t>
      </w:r>
      <w:proofErr w:type="spellEnd"/>
      <w:r w:rsidRPr="001641E0">
        <w:rPr>
          <w:rFonts w:cs="Times New Roman"/>
          <w:lang w:val="fr-CA"/>
        </w:rPr>
        <w:t>[</w:t>
      </w:r>
      <w:proofErr w:type="gramEnd"/>
      <w:r w:rsidRPr="001641E0">
        <w:rPr>
          <w:rFonts w:cs="Times New Roman"/>
          <w:lang w:val="fr-CA"/>
        </w:rPr>
        <w:t>sait] toujours à la norme applicable pour être déclaré délinquant dangereux (D</w:t>
      </w:r>
      <w:r w:rsidR="00417CCF">
        <w:rPr>
          <w:rFonts w:cs="Times New Roman"/>
          <w:lang w:val="fr-CA"/>
        </w:rPr>
        <w:t>.</w:t>
      </w:r>
      <w:r w:rsidRPr="001641E0">
        <w:rPr>
          <w:rFonts w:cs="Times New Roman"/>
          <w:lang w:val="fr-CA"/>
        </w:rPr>
        <w:t>D</w:t>
      </w:r>
      <w:r w:rsidR="00417CCF">
        <w:rPr>
          <w:rFonts w:cs="Times New Roman"/>
          <w:lang w:val="fr-CA"/>
        </w:rPr>
        <w:t>.</w:t>
      </w:r>
      <w:r w:rsidRPr="001641E0">
        <w:rPr>
          <w:rFonts w:cs="Times New Roman"/>
          <w:lang w:val="fr-CA"/>
        </w:rPr>
        <w:t>)</w:t>
      </w:r>
      <w:r w:rsidR="0017725D">
        <w:rPr>
          <w:rFonts w:cs="Times New Roman"/>
          <w:lang w:val="fr-CA"/>
        </w:rPr>
        <w:t> »</w:t>
      </w:r>
      <w:r w:rsidRPr="001641E0">
        <w:rPr>
          <w:rFonts w:cs="Times New Roman"/>
          <w:lang w:val="fr-CA"/>
        </w:rPr>
        <w:t>.</w:t>
      </w:r>
    </w:p>
    <w:p w:rsidR="004E538E" w:rsidRPr="001641E0" w:rsidRDefault="004E538E" w:rsidP="0017725D">
      <w:pPr>
        <w:pStyle w:val="ParaNoNdepar-AltN"/>
        <w:rPr>
          <w:rFonts w:cs="Times New Roman"/>
          <w:lang w:val="fr-CA"/>
        </w:rPr>
      </w:pPr>
      <w:r w:rsidRPr="001641E0">
        <w:rPr>
          <w:rFonts w:cs="Times New Roman"/>
          <w:lang w:val="fr-CA"/>
        </w:rPr>
        <w:t>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a souligné que selon certains facteurs, qu’il avait examinés en détail, M.</w:t>
      </w:r>
      <w:r w:rsidR="0017725D">
        <w:rPr>
          <w:rFonts w:cs="Times New Roman"/>
          <w:lang w:val="fr-CA"/>
        </w:rPr>
        <w:t xml:space="preserve"> </w:t>
      </w:r>
      <w:r w:rsidRPr="001641E0">
        <w:rPr>
          <w:rFonts w:cs="Times New Roman"/>
          <w:lang w:val="fr-CA"/>
        </w:rPr>
        <w:t>Sipos [</w:t>
      </w:r>
      <w:r w:rsidRPr="001641E0">
        <w:rPr>
          <w:rFonts w:cs="Times New Roman"/>
          <w:smallCaps/>
          <w:lang w:val="fr-CA"/>
        </w:rPr>
        <w:t>traduction</w:t>
      </w:r>
      <w:r w:rsidRPr="001641E0">
        <w:rPr>
          <w:rFonts w:cs="Times New Roman"/>
          <w:lang w:val="fr-CA"/>
        </w:rPr>
        <w:t xml:space="preserve">] </w:t>
      </w:r>
      <w:r w:rsidR="0017725D">
        <w:rPr>
          <w:rFonts w:cs="Times New Roman"/>
          <w:lang w:val="fr-CA"/>
        </w:rPr>
        <w:t>« </w:t>
      </w:r>
      <w:r w:rsidRPr="001641E0">
        <w:rPr>
          <w:rFonts w:cs="Times New Roman"/>
          <w:lang w:val="fr-CA"/>
        </w:rPr>
        <w:t>était maintenant apte à être progressivement remis en liberté et réinséré dans la collectivité</w:t>
      </w:r>
      <w:r w:rsidR="0017725D">
        <w:rPr>
          <w:rFonts w:cs="Times New Roman"/>
          <w:lang w:val="fr-CA"/>
        </w:rPr>
        <w:t> »</w:t>
      </w:r>
      <w:r w:rsidRPr="001641E0">
        <w:rPr>
          <w:rFonts w:cs="Times New Roman"/>
          <w:lang w:val="fr-CA"/>
        </w:rPr>
        <w:t xml:space="preserve">. Ces facteurs </w:t>
      </w:r>
      <w:r w:rsidRPr="001641E0">
        <w:rPr>
          <w:rFonts w:cs="Times New Roman"/>
          <w:lang w:val="fr-CA"/>
        </w:rPr>
        <w:lastRenderedPageBreak/>
        <w:t xml:space="preserve">comprenaient </w:t>
      </w:r>
      <w:r w:rsidR="0017725D">
        <w:rPr>
          <w:rFonts w:cs="Times New Roman"/>
          <w:lang w:val="fr-CA"/>
        </w:rPr>
        <w:t>« </w:t>
      </w:r>
      <w:r w:rsidRPr="001641E0">
        <w:rPr>
          <w:rFonts w:cs="Times New Roman"/>
          <w:lang w:val="fr-CA"/>
        </w:rPr>
        <w:t>son âge plus avancé, le succès de son traitement dans les groupes de délinquants sexuels et autres, le succès de son traitement à l’aide de médicaments destinés à réduire la pulsion sexuelle, et ses plans en vue de faciliter son adaptation à la vie dans la collectivité</w:t>
      </w:r>
      <w:r w:rsidR="0017725D">
        <w:rPr>
          <w:rFonts w:cs="Times New Roman"/>
          <w:lang w:val="fr-CA"/>
        </w:rPr>
        <w:t> »</w:t>
      </w:r>
      <w:r w:rsidRPr="001641E0">
        <w:rPr>
          <w:rFonts w:cs="Times New Roman"/>
          <w:lang w:val="fr-CA"/>
        </w:rPr>
        <w:t>. 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 xml:space="preserve">McMaster a toutefois souligné qu’il n’était </w:t>
      </w:r>
      <w:r w:rsidR="0017725D">
        <w:rPr>
          <w:rFonts w:cs="Times New Roman"/>
          <w:lang w:val="fr-CA"/>
        </w:rPr>
        <w:t>« </w:t>
      </w:r>
      <w:r w:rsidRPr="001641E0">
        <w:rPr>
          <w:rFonts w:cs="Times New Roman"/>
          <w:lang w:val="fr-CA"/>
        </w:rPr>
        <w:t>pas clair</w:t>
      </w:r>
      <w:r w:rsidR="0017725D">
        <w:rPr>
          <w:rFonts w:cs="Times New Roman"/>
          <w:lang w:val="fr-CA"/>
        </w:rPr>
        <w:t> »</w:t>
      </w:r>
      <w:r w:rsidRPr="001641E0">
        <w:rPr>
          <w:rFonts w:cs="Times New Roman"/>
          <w:lang w:val="fr-CA"/>
        </w:rPr>
        <w:t xml:space="preserve"> que la réussite de M.</w:t>
      </w:r>
      <w:r w:rsidR="0017725D">
        <w:rPr>
          <w:rFonts w:cs="Times New Roman"/>
          <w:lang w:val="fr-CA"/>
        </w:rPr>
        <w:t xml:space="preserve"> </w:t>
      </w:r>
      <w:r w:rsidRPr="001641E0">
        <w:rPr>
          <w:rFonts w:cs="Times New Roman"/>
          <w:lang w:val="fr-CA"/>
        </w:rPr>
        <w:t xml:space="preserve">Sipos dans les groupes de délinquants sexuels et la diminution du risque qu’il posait se traduiraient </w:t>
      </w:r>
      <w:r w:rsidR="0017725D">
        <w:rPr>
          <w:rFonts w:cs="Times New Roman"/>
          <w:lang w:val="fr-CA"/>
        </w:rPr>
        <w:t>« </w:t>
      </w:r>
      <w:r w:rsidRPr="001641E0">
        <w:rPr>
          <w:rFonts w:cs="Times New Roman"/>
          <w:lang w:val="fr-CA"/>
        </w:rPr>
        <w:t>concrètement</w:t>
      </w:r>
      <w:r w:rsidR="0017725D">
        <w:rPr>
          <w:rFonts w:cs="Times New Roman"/>
          <w:lang w:val="fr-CA"/>
        </w:rPr>
        <w:t> »</w:t>
      </w:r>
      <w:r w:rsidRPr="001641E0">
        <w:rPr>
          <w:rFonts w:cs="Times New Roman"/>
          <w:lang w:val="fr-CA"/>
        </w:rPr>
        <w:t xml:space="preserve"> par une absence de récidive, et qu’une réinsertion dans la collectivité devait donc se faire </w:t>
      </w:r>
      <w:r w:rsidR="0017725D">
        <w:rPr>
          <w:rFonts w:cs="Times New Roman"/>
          <w:lang w:val="fr-CA"/>
        </w:rPr>
        <w:t>« </w:t>
      </w:r>
      <w:r w:rsidRPr="001641E0">
        <w:rPr>
          <w:rFonts w:cs="Times New Roman"/>
          <w:lang w:val="fr-CA"/>
        </w:rPr>
        <w:t>lentement et progressiv</w:t>
      </w:r>
      <w:r w:rsidR="00417CCF">
        <w:rPr>
          <w:rFonts w:cs="Times New Roman"/>
          <w:lang w:val="fr-CA"/>
        </w:rPr>
        <w:t>ement</w:t>
      </w:r>
      <w:r w:rsidR="0017725D">
        <w:rPr>
          <w:rFonts w:cs="Times New Roman"/>
          <w:lang w:val="fr-CA"/>
        </w:rPr>
        <w:t> »</w:t>
      </w:r>
      <w:r w:rsidR="00417CCF">
        <w:rPr>
          <w:rFonts w:cs="Times New Roman"/>
          <w:lang w:val="fr-CA"/>
        </w:rPr>
        <w:t xml:space="preserve"> par la mise en place </w:t>
      </w:r>
      <w:r w:rsidR="0017725D">
        <w:rPr>
          <w:rFonts w:cs="Times New Roman"/>
          <w:lang w:val="fr-CA"/>
        </w:rPr>
        <w:t>« </w:t>
      </w:r>
      <w:r w:rsidR="000C1D28">
        <w:rPr>
          <w:rFonts w:cs="Times New Roman"/>
          <w:lang w:val="fr-CA"/>
        </w:rPr>
        <w:t>d’</w:t>
      </w:r>
      <w:r w:rsidRPr="001641E0">
        <w:rPr>
          <w:rFonts w:cs="Times New Roman"/>
          <w:lang w:val="fr-CA"/>
        </w:rPr>
        <w:t>une surveillance serrée et d’une structure étroitement coordonnée</w:t>
      </w:r>
      <w:r w:rsidR="0017725D">
        <w:rPr>
          <w:rFonts w:cs="Times New Roman"/>
          <w:lang w:val="fr-CA"/>
        </w:rPr>
        <w:t> »</w:t>
      </w:r>
      <w:r w:rsidRPr="001641E0">
        <w:rPr>
          <w:rFonts w:cs="Times New Roman"/>
          <w:lang w:val="fr-CA"/>
        </w:rPr>
        <w:t>. D’un point de vue psychiatrique, M.</w:t>
      </w:r>
      <w:r w:rsidR="0017725D">
        <w:rPr>
          <w:rFonts w:cs="Times New Roman"/>
          <w:lang w:val="fr-CA"/>
        </w:rPr>
        <w:t xml:space="preserve"> </w:t>
      </w:r>
      <w:r w:rsidRPr="001641E0">
        <w:rPr>
          <w:rFonts w:cs="Times New Roman"/>
          <w:lang w:val="fr-CA"/>
        </w:rPr>
        <w:t>Sipos ne présenterait pas, selon lui, un risque maîtrisable au sein de la collectivité avant d’avoir atteint approximativement l’âge de 60</w:t>
      </w:r>
      <w:r w:rsidR="0017725D">
        <w:rPr>
          <w:rFonts w:cs="Times New Roman"/>
          <w:lang w:val="fr-CA"/>
        </w:rPr>
        <w:t xml:space="preserve"> </w:t>
      </w:r>
      <w:r w:rsidRPr="001641E0">
        <w:rPr>
          <w:rFonts w:cs="Times New Roman"/>
          <w:lang w:val="fr-CA"/>
        </w:rPr>
        <w:t xml:space="preserve">ans et d’avoir été assujetti — </w:t>
      </w:r>
      <w:r w:rsidR="0017725D">
        <w:rPr>
          <w:rFonts w:cs="Times New Roman"/>
          <w:lang w:val="fr-CA"/>
        </w:rPr>
        <w:t>« </w:t>
      </w:r>
      <w:r w:rsidRPr="001641E0">
        <w:rPr>
          <w:rFonts w:cs="Times New Roman"/>
          <w:lang w:val="fr-CA"/>
        </w:rPr>
        <w:t>par mesure de précaution</w:t>
      </w:r>
      <w:r w:rsidR="0017725D">
        <w:rPr>
          <w:rFonts w:cs="Times New Roman"/>
          <w:lang w:val="fr-CA"/>
        </w:rPr>
        <w:t> »</w:t>
      </w:r>
      <w:r w:rsidRPr="001641E0">
        <w:rPr>
          <w:rFonts w:cs="Times New Roman"/>
          <w:lang w:val="fr-CA"/>
        </w:rPr>
        <w:t xml:space="preserve"> — à une période de surveillance de longue durée de 10</w:t>
      </w:r>
      <w:r w:rsidR="0017725D">
        <w:rPr>
          <w:rFonts w:cs="Times New Roman"/>
          <w:lang w:val="fr-CA"/>
        </w:rPr>
        <w:t xml:space="preserve"> </w:t>
      </w:r>
      <w:r w:rsidRPr="001641E0">
        <w:rPr>
          <w:rFonts w:cs="Times New Roman"/>
          <w:lang w:val="fr-CA"/>
        </w:rPr>
        <w:t>ans. Autrement dit, le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était d’avis qu’il y avait une possibilité raisonnable de contrôle du risque au sein de la collectivité si M.</w:t>
      </w:r>
      <w:r w:rsidR="0017725D">
        <w:rPr>
          <w:rFonts w:cs="Times New Roman"/>
          <w:lang w:val="fr-CA"/>
        </w:rPr>
        <w:t xml:space="preserve"> </w:t>
      </w:r>
      <w:r w:rsidRPr="001641E0">
        <w:rPr>
          <w:rFonts w:cs="Times New Roman"/>
          <w:lang w:val="fr-CA"/>
        </w:rPr>
        <w:t>Sipos était remis en liberté vers 2016 et était assujetti à l’ordonnance maximale de surveillance de longue durée de 10</w:t>
      </w:r>
      <w:r w:rsidR="0017725D">
        <w:rPr>
          <w:rFonts w:cs="Times New Roman"/>
          <w:lang w:val="fr-CA"/>
        </w:rPr>
        <w:t xml:space="preserve"> </w:t>
      </w:r>
      <w:r w:rsidRPr="001641E0">
        <w:rPr>
          <w:rFonts w:cs="Times New Roman"/>
          <w:lang w:val="fr-CA"/>
        </w:rPr>
        <w:t>ans. Cette opinion comportait de nombreuses réserves en ce qui a trait notamment aux questions de savoir si le vieillissement de M.</w:t>
      </w:r>
      <w:r w:rsidR="0017725D">
        <w:rPr>
          <w:rFonts w:cs="Times New Roman"/>
          <w:lang w:val="fr-CA"/>
        </w:rPr>
        <w:t xml:space="preserve"> </w:t>
      </w:r>
      <w:r w:rsidRPr="001641E0">
        <w:rPr>
          <w:rFonts w:cs="Times New Roman"/>
          <w:lang w:val="fr-CA"/>
        </w:rPr>
        <w:t xml:space="preserve">Sipos réduirait effectivement le risque, s’il continuerait de prendre ses médicaments destinés à réduire sa pulsion sexuelle, si sa motivation à suivre un traitement diminuerait en cas de remise en liberté dans la collectivité et s’il était possible d’assurer une supervision adéquate dans la collectivité. </w:t>
      </w:r>
    </w:p>
    <w:p w:rsidR="004E538E" w:rsidRPr="001641E0" w:rsidRDefault="004E538E" w:rsidP="0017725D">
      <w:pPr>
        <w:pStyle w:val="ParaNoNdepar-AltN"/>
        <w:rPr>
          <w:rFonts w:cs="Times New Roman"/>
          <w:lang w:val="fr-CA"/>
        </w:rPr>
      </w:pPr>
      <w:r w:rsidRPr="001641E0">
        <w:rPr>
          <w:rFonts w:cs="Times New Roman"/>
          <w:lang w:val="fr-CA"/>
        </w:rPr>
        <w:t>Cette preuve montre que M.</w:t>
      </w:r>
      <w:r w:rsidR="0017725D">
        <w:rPr>
          <w:rFonts w:cs="Times New Roman"/>
          <w:lang w:val="fr-CA"/>
        </w:rPr>
        <w:t xml:space="preserve"> </w:t>
      </w:r>
      <w:r w:rsidRPr="001641E0">
        <w:rPr>
          <w:rFonts w:cs="Times New Roman"/>
          <w:lang w:val="fr-CA"/>
        </w:rPr>
        <w:t xml:space="preserve">Sipos a fait des progrès louables au cours des dernières années, progrès qui n’avaient pas été prévus au moment de la détermination </w:t>
      </w:r>
      <w:r w:rsidRPr="001641E0">
        <w:rPr>
          <w:rFonts w:cs="Times New Roman"/>
          <w:lang w:val="fr-CA"/>
        </w:rPr>
        <w:lastRenderedPageBreak/>
        <w:t>de sa peine en 1998. Cependant, examiné à la lumière de l’ensemble du dossier dont disposait le juge chargé de déterminer la peine, le rapport du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est loin d’établir que la déclaration de délinquant dangereux était déraisonnable. Je conviens avec le juge Doherty de la Cour d’appel qu’il n’y a aucune possibilité raisonnable que le résultat eût été différent si le juge chargé de prononcer la peine avait été saisi de ce complément d’information. La preuve est donc également insuffisante pour établir que la décision rendue par le juge ayant prononcé la peine était déraisonnable, même si celui</w:t>
      </w:r>
      <w:r w:rsidR="0017725D">
        <w:rPr>
          <w:rFonts w:cs="Times New Roman"/>
          <w:lang w:val="fr-CA"/>
        </w:rPr>
        <w:t xml:space="preserve"> </w:t>
      </w:r>
      <w:r w:rsidRPr="001641E0">
        <w:rPr>
          <w:rFonts w:cs="Times New Roman"/>
          <w:lang w:val="fr-CA"/>
        </w:rPr>
        <w:t>ci avait pu prendre connaissance du rapport du D</w:t>
      </w:r>
      <w:r w:rsidRPr="001641E0">
        <w:rPr>
          <w:rFonts w:cs="Times New Roman"/>
          <w:vertAlign w:val="superscript"/>
          <w:lang w:val="fr-CA"/>
        </w:rPr>
        <w:t>r</w:t>
      </w:r>
      <w:r w:rsidR="0017725D">
        <w:rPr>
          <w:rFonts w:cs="Times New Roman"/>
          <w:lang w:val="fr-CA"/>
        </w:rPr>
        <w:t xml:space="preserve"> </w:t>
      </w:r>
      <w:r w:rsidRPr="001641E0">
        <w:rPr>
          <w:rFonts w:cs="Times New Roman"/>
          <w:lang w:val="fr-CA"/>
        </w:rPr>
        <w:t>McMaster. Comme le souligne le juge Doherty</w:t>
      </w:r>
      <w:r w:rsidR="0017725D">
        <w:rPr>
          <w:rFonts w:cs="Times New Roman"/>
          <w:lang w:val="fr-CA"/>
        </w:rPr>
        <w:t> :</w:t>
      </w:r>
    </w:p>
    <w:p w:rsidR="004E538E" w:rsidRPr="001641E0" w:rsidRDefault="004E538E" w:rsidP="0017725D">
      <w:pPr>
        <w:pStyle w:val="Citation-AltC"/>
        <w:ind w:hanging="1166"/>
        <w:rPr>
          <w:lang w:val="fr-CA"/>
        </w:rPr>
      </w:pPr>
      <w:r w:rsidRPr="001641E0">
        <w:rPr>
          <w:lang w:val="fr-CA"/>
        </w:rPr>
        <w:tab/>
      </w:r>
      <w:r w:rsidR="0072736E">
        <w:rPr>
          <w:lang w:val="fr-CA"/>
        </w:rPr>
        <w:tab/>
      </w:r>
      <w:r w:rsidRPr="001641E0">
        <w:rPr>
          <w:lang w:val="fr-CA"/>
        </w:rPr>
        <w:t>[</w:t>
      </w:r>
      <w:r w:rsidRPr="001641E0">
        <w:rPr>
          <w:smallCaps/>
          <w:lang w:val="fr-CA"/>
        </w:rPr>
        <w:t>traduction</w:t>
      </w:r>
      <w:r w:rsidRPr="001641E0">
        <w:rPr>
          <w:lang w:val="fr-CA"/>
        </w:rPr>
        <w:t>]  Je ne crois pas que l’évaluation du risque menée par le D</w:t>
      </w:r>
      <w:r w:rsidRPr="001641E0">
        <w:rPr>
          <w:vertAlign w:val="superscript"/>
          <w:lang w:val="fr-CA"/>
        </w:rPr>
        <w:t>r</w:t>
      </w:r>
      <w:r w:rsidR="0017725D">
        <w:rPr>
          <w:lang w:val="fr-CA"/>
        </w:rPr>
        <w:t xml:space="preserve"> </w:t>
      </w:r>
      <w:r w:rsidRPr="001641E0">
        <w:rPr>
          <w:lang w:val="fr-CA"/>
        </w:rPr>
        <w:t>McMaster permette de douter de la conclusion du juge de première instance selon laquelle une peine d’incarcération d’une durée indéterminée constituait la sentence appropriée en 1998. Malgré l’évolution positive du traitement, le D</w:t>
      </w:r>
      <w:r w:rsidRPr="001641E0">
        <w:rPr>
          <w:vertAlign w:val="superscript"/>
          <w:lang w:val="fr-CA"/>
        </w:rPr>
        <w:t>r</w:t>
      </w:r>
      <w:r w:rsidR="0017725D">
        <w:rPr>
          <w:lang w:val="fr-CA"/>
        </w:rPr>
        <w:t xml:space="preserve"> </w:t>
      </w:r>
      <w:r w:rsidRPr="001641E0">
        <w:rPr>
          <w:lang w:val="fr-CA"/>
        </w:rPr>
        <w:t>McMaster considérait néanmoins que l’appelant ne devrait pas pouvoir être libéré dans la collectivité avant environ six ans. Nous savons maintenant, avec le recul, et si l’on accepte l’opinion du D</w:t>
      </w:r>
      <w:r w:rsidRPr="001641E0">
        <w:rPr>
          <w:vertAlign w:val="superscript"/>
          <w:lang w:val="fr-CA"/>
        </w:rPr>
        <w:t>r</w:t>
      </w:r>
      <w:r w:rsidR="0017725D">
        <w:rPr>
          <w:lang w:val="fr-CA"/>
        </w:rPr>
        <w:t xml:space="preserve"> </w:t>
      </w:r>
      <w:r w:rsidRPr="001641E0">
        <w:rPr>
          <w:lang w:val="fr-CA"/>
        </w:rPr>
        <w:t>McMaster que</w:t>
      </w:r>
      <w:r w:rsidR="0076743B" w:rsidRPr="001641E0">
        <w:rPr>
          <w:lang w:val="fr-CA"/>
        </w:rPr>
        <w:t>,</w:t>
      </w:r>
      <w:r w:rsidRPr="001641E0">
        <w:rPr>
          <w:lang w:val="fr-CA"/>
        </w:rPr>
        <w:t xml:space="preserve"> dans le </w:t>
      </w:r>
      <w:r w:rsidR="0017725D">
        <w:rPr>
          <w:u w:val="single"/>
          <w:lang w:val="fr-CA"/>
        </w:rPr>
        <w:t>« </w:t>
      </w:r>
      <w:r w:rsidRPr="001641E0">
        <w:rPr>
          <w:u w:val="single"/>
          <w:lang w:val="fr-CA"/>
        </w:rPr>
        <w:t>meilleur des cas</w:t>
      </w:r>
      <w:r w:rsidR="0017725D">
        <w:rPr>
          <w:u w:val="single"/>
          <w:lang w:val="fr-CA"/>
        </w:rPr>
        <w:t> »</w:t>
      </w:r>
      <w:r w:rsidRPr="001641E0">
        <w:rPr>
          <w:lang w:val="fr-CA"/>
        </w:rPr>
        <w:t>, l’appelant devait, en 1998, passer au moins 18 ans en détention avant de pouvoir potentiellement être libéré dans la collectivité. [Je souligne; par.</w:t>
      </w:r>
      <w:r w:rsidR="0017725D">
        <w:rPr>
          <w:lang w:val="fr-CA"/>
        </w:rPr>
        <w:t xml:space="preserve"> </w:t>
      </w:r>
      <w:r w:rsidRPr="001641E0">
        <w:rPr>
          <w:lang w:val="fr-CA"/>
        </w:rPr>
        <w:t xml:space="preserve">34.] </w:t>
      </w:r>
    </w:p>
    <w:p w:rsidR="004E538E" w:rsidRPr="001641E0" w:rsidRDefault="004E538E" w:rsidP="0017725D">
      <w:pPr>
        <w:pStyle w:val="ParaNoNdepar-AltN"/>
        <w:rPr>
          <w:rFonts w:cs="Times New Roman"/>
          <w:lang w:val="fr-CA"/>
        </w:rPr>
      </w:pPr>
      <w:r w:rsidRPr="001641E0">
        <w:rPr>
          <w:rFonts w:cs="Times New Roman"/>
          <w:lang w:val="fr-CA"/>
        </w:rPr>
        <w:t xml:space="preserve">Je ne suis pas convaincu non plus que l’appel fait partie des cas exceptionnels où les nouveaux éléments de preuve sont suffisamment convaincants pour justifier une intervention.  </w:t>
      </w:r>
    </w:p>
    <w:p w:rsidR="004E538E" w:rsidRPr="001641E0" w:rsidRDefault="004E538E" w:rsidP="0017725D">
      <w:pPr>
        <w:pStyle w:val="ParaNoNdepar-AltN"/>
        <w:rPr>
          <w:rFonts w:cs="Times New Roman"/>
          <w:lang w:val="fr-CA"/>
        </w:rPr>
      </w:pPr>
      <w:r w:rsidRPr="001641E0">
        <w:rPr>
          <w:rFonts w:cs="Times New Roman"/>
          <w:lang w:val="fr-CA"/>
        </w:rPr>
        <w:t xml:space="preserve">À mon avis, la Cour d’appel a eu raison de confirmer en l’espèce la déclaration de délinquant dangereux. </w:t>
      </w:r>
    </w:p>
    <w:p w:rsidR="004E538E" w:rsidRPr="001641E0" w:rsidRDefault="004E538E" w:rsidP="0017725D">
      <w:pPr>
        <w:pStyle w:val="Title1LevelTitre1Niveau-AltL"/>
        <w:rPr>
          <w:rFonts w:cs="Times New Roman"/>
          <w:lang w:val="fr-CA"/>
        </w:rPr>
      </w:pPr>
      <w:r w:rsidRPr="001641E0">
        <w:rPr>
          <w:rFonts w:cs="Times New Roman"/>
          <w:lang w:val="fr-CA"/>
        </w:rPr>
        <w:t>Dispositif</w:t>
      </w:r>
    </w:p>
    <w:p w:rsidR="004E538E" w:rsidRPr="001641E0" w:rsidRDefault="004E538E" w:rsidP="0017725D">
      <w:pPr>
        <w:pStyle w:val="ParaNoNdepar-AltN"/>
        <w:rPr>
          <w:rFonts w:cs="Times New Roman"/>
          <w:b/>
          <w:lang w:val="fr-CA"/>
        </w:rPr>
      </w:pPr>
      <w:r w:rsidRPr="001641E0">
        <w:rPr>
          <w:rFonts w:cs="Times New Roman"/>
          <w:lang w:val="fr-CA"/>
        </w:rPr>
        <w:lastRenderedPageBreak/>
        <w:t>Je suis d’avis de rejeter le pourvoi.</w:t>
      </w:r>
    </w:p>
    <w:p w:rsidR="004E538E" w:rsidRPr="00DE7EDE" w:rsidRDefault="004E538E" w:rsidP="0017725D">
      <w:pPr>
        <w:pStyle w:val="SCCNormalDoubleSpacing"/>
        <w:spacing w:before="480" w:after="480"/>
        <w:rPr>
          <w:lang w:val="fr-CA"/>
        </w:rPr>
      </w:pPr>
      <w:r w:rsidRPr="00DE7EDE">
        <w:rPr>
          <w:lang w:val="fr-CA"/>
        </w:rPr>
        <w:tab/>
      </w:r>
      <w:r w:rsidRPr="00DE7EDE">
        <w:rPr>
          <w:i/>
          <w:lang w:val="fr-CA"/>
        </w:rPr>
        <w:t>Pourvoi rejeté.</w:t>
      </w:r>
    </w:p>
    <w:p w:rsidR="004E538E" w:rsidRPr="00DE7EDE" w:rsidRDefault="004E538E" w:rsidP="0017725D">
      <w:pPr>
        <w:pStyle w:val="SCCLawFirm"/>
        <w:spacing w:before="480" w:after="480"/>
        <w:rPr>
          <w:lang w:val="fr-CA"/>
        </w:rPr>
      </w:pPr>
      <w:r w:rsidRPr="00DE7EDE">
        <w:rPr>
          <w:lang w:val="fr-CA"/>
        </w:rPr>
        <w:tab/>
        <w:t>Procureurs de l’appelant</w:t>
      </w:r>
      <w:r w:rsidR="0017725D">
        <w:rPr>
          <w:lang w:val="fr-CA"/>
        </w:rPr>
        <w:t xml:space="preserve"> : </w:t>
      </w:r>
      <w:proofErr w:type="spellStart"/>
      <w:r w:rsidRPr="00DE7EDE">
        <w:rPr>
          <w:lang w:val="fr-CA"/>
        </w:rPr>
        <w:t>Dawe</w:t>
      </w:r>
      <w:proofErr w:type="spellEnd"/>
      <w:r w:rsidRPr="00DE7EDE">
        <w:rPr>
          <w:lang w:val="fr-CA"/>
        </w:rPr>
        <w:t xml:space="preserve"> &amp; </w:t>
      </w:r>
      <w:proofErr w:type="spellStart"/>
      <w:r w:rsidRPr="00DE7EDE">
        <w:rPr>
          <w:lang w:val="fr-CA"/>
        </w:rPr>
        <w:t>Dineen</w:t>
      </w:r>
      <w:proofErr w:type="spellEnd"/>
      <w:r w:rsidRPr="00DE7EDE">
        <w:rPr>
          <w:lang w:val="fr-CA"/>
        </w:rPr>
        <w:t>, Toronto.</w:t>
      </w:r>
    </w:p>
    <w:p w:rsidR="004E538E" w:rsidRPr="00DE7EDE" w:rsidRDefault="004E538E" w:rsidP="0017725D">
      <w:pPr>
        <w:pStyle w:val="SCCLawFirm"/>
        <w:spacing w:before="480" w:after="480"/>
        <w:rPr>
          <w:lang w:val="fr-CA"/>
        </w:rPr>
      </w:pPr>
      <w:r w:rsidRPr="00DE7EDE">
        <w:rPr>
          <w:lang w:val="fr-CA"/>
        </w:rPr>
        <w:tab/>
        <w:t>Procureur de l’intimée</w:t>
      </w:r>
      <w:r w:rsidR="0017725D">
        <w:rPr>
          <w:lang w:val="fr-CA"/>
        </w:rPr>
        <w:t xml:space="preserve"> : </w:t>
      </w:r>
      <w:r w:rsidRPr="00DE7EDE">
        <w:rPr>
          <w:lang w:val="fr-CA"/>
        </w:rPr>
        <w:t>Procureur général de l’Ontario, Toronto.</w:t>
      </w:r>
    </w:p>
    <w:p w:rsidR="00E005E9" w:rsidRPr="0089037B" w:rsidRDefault="004E538E" w:rsidP="0017725D">
      <w:pPr>
        <w:pStyle w:val="SCCLawFirm"/>
        <w:rPr>
          <w:lang w:val="fr-CA"/>
        </w:rPr>
      </w:pPr>
      <w:r w:rsidRPr="00DE7EDE">
        <w:rPr>
          <w:lang w:val="fr-CA"/>
        </w:rPr>
        <w:tab/>
        <w:t>Procureurs de l’intervenante</w:t>
      </w:r>
      <w:r w:rsidR="0017725D">
        <w:rPr>
          <w:lang w:val="fr-CA"/>
        </w:rPr>
        <w:t xml:space="preserve"> : </w:t>
      </w:r>
      <w:r w:rsidRPr="00DE7EDE">
        <w:rPr>
          <w:lang w:val="fr-CA"/>
        </w:rPr>
        <w:t xml:space="preserve">Ruby </w:t>
      </w:r>
      <w:proofErr w:type="spellStart"/>
      <w:r w:rsidRPr="00DE7EDE">
        <w:rPr>
          <w:lang w:val="fr-CA"/>
        </w:rPr>
        <w:t>Shiller</w:t>
      </w:r>
      <w:proofErr w:type="spellEnd"/>
      <w:r w:rsidRPr="00DE7EDE">
        <w:rPr>
          <w:lang w:val="fr-CA"/>
        </w:rPr>
        <w:t xml:space="preserve"> Chan Hasan, Toronto.</w:t>
      </w:r>
    </w:p>
    <w:sectPr w:rsidR="00E005E9" w:rsidRPr="0089037B" w:rsidSect="0017725D">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F4" w:rsidRDefault="003019F4" w:rsidP="00700EFC">
      <w:r>
        <w:separator/>
      </w:r>
    </w:p>
  </w:endnote>
  <w:endnote w:type="continuationSeparator" w:id="0">
    <w:p w:rsidR="003019F4" w:rsidRDefault="003019F4" w:rsidP="00700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F4" w:rsidRDefault="003019F4" w:rsidP="00700EFC">
      <w:r>
        <w:separator/>
      </w:r>
    </w:p>
  </w:footnote>
  <w:footnote w:type="continuationSeparator" w:id="0">
    <w:p w:rsidR="003019F4" w:rsidRDefault="003019F4" w:rsidP="00700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4" w:rsidRPr="00450352" w:rsidRDefault="003019F4" w:rsidP="00177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89"/>
    <w:multiLevelType w:val="singleLevel"/>
    <w:tmpl w:val="E76CDB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647671"/>
    <w:multiLevelType w:val="hybridMultilevel"/>
    <w:tmpl w:val="59B26A0A"/>
    <w:lvl w:ilvl="0" w:tplc="45BA7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86D31"/>
    <w:multiLevelType w:val="multilevel"/>
    <w:tmpl w:val="68DC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522C0"/>
    <w:multiLevelType w:val="multilevel"/>
    <w:tmpl w:val="ABE85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3130A"/>
    <w:multiLevelType w:val="multilevel"/>
    <w:tmpl w:val="A200808E"/>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8D603EEA"/>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AA1023"/>
    <w:multiLevelType w:val="hybridMultilevel"/>
    <w:tmpl w:val="491C0652"/>
    <w:lvl w:ilvl="0" w:tplc="20640A3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7"/>
  </w:num>
  <w:num w:numId="5">
    <w:abstractNumId w:val="8"/>
  </w:num>
  <w:num w:numId="6">
    <w:abstractNumId w:val="9"/>
  </w:num>
  <w:num w:numId="7">
    <w:abstractNumId w:val="6"/>
  </w:num>
  <w:num w:numId="8">
    <w:abstractNumId w:val="3"/>
  </w:num>
  <w:num w:numId="9">
    <w:abstractNumId w:val="10"/>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E538E"/>
    <w:rsid w:val="0000350B"/>
    <w:rsid w:val="00021050"/>
    <w:rsid w:val="00061B0D"/>
    <w:rsid w:val="000A76A4"/>
    <w:rsid w:val="000C1D28"/>
    <w:rsid w:val="000D2403"/>
    <w:rsid w:val="000E2A83"/>
    <w:rsid w:val="000F2A57"/>
    <w:rsid w:val="0013481D"/>
    <w:rsid w:val="00135AFC"/>
    <w:rsid w:val="00136FC4"/>
    <w:rsid w:val="00145655"/>
    <w:rsid w:val="00150E8F"/>
    <w:rsid w:val="00160E84"/>
    <w:rsid w:val="0017725D"/>
    <w:rsid w:val="00191041"/>
    <w:rsid w:val="001927C0"/>
    <w:rsid w:val="001B31ED"/>
    <w:rsid w:val="001D5D96"/>
    <w:rsid w:val="001D7E2C"/>
    <w:rsid w:val="001F6C88"/>
    <w:rsid w:val="002139BB"/>
    <w:rsid w:val="00217496"/>
    <w:rsid w:val="00242E70"/>
    <w:rsid w:val="002913A0"/>
    <w:rsid w:val="00293A64"/>
    <w:rsid w:val="00295F78"/>
    <w:rsid w:val="002A0198"/>
    <w:rsid w:val="002E392A"/>
    <w:rsid w:val="003019F4"/>
    <w:rsid w:val="0030585A"/>
    <w:rsid w:val="00314AFF"/>
    <w:rsid w:val="00381C38"/>
    <w:rsid w:val="00406986"/>
    <w:rsid w:val="00411876"/>
    <w:rsid w:val="00417CCF"/>
    <w:rsid w:val="00434C0D"/>
    <w:rsid w:val="00441A0A"/>
    <w:rsid w:val="004443E2"/>
    <w:rsid w:val="0044517F"/>
    <w:rsid w:val="00445811"/>
    <w:rsid w:val="00454B53"/>
    <w:rsid w:val="00485D77"/>
    <w:rsid w:val="00494776"/>
    <w:rsid w:val="004A44F0"/>
    <w:rsid w:val="004D2747"/>
    <w:rsid w:val="004E538E"/>
    <w:rsid w:val="005149BF"/>
    <w:rsid w:val="00517C6F"/>
    <w:rsid w:val="00544A98"/>
    <w:rsid w:val="00550AEF"/>
    <w:rsid w:val="0055276C"/>
    <w:rsid w:val="00585625"/>
    <w:rsid w:val="005A0D11"/>
    <w:rsid w:val="005B3EDA"/>
    <w:rsid w:val="005C73DF"/>
    <w:rsid w:val="005E5420"/>
    <w:rsid w:val="0061071A"/>
    <w:rsid w:val="00654C8A"/>
    <w:rsid w:val="00657FFC"/>
    <w:rsid w:val="006653E7"/>
    <w:rsid w:val="00673D25"/>
    <w:rsid w:val="00682E6A"/>
    <w:rsid w:val="0069588E"/>
    <w:rsid w:val="00697D41"/>
    <w:rsid w:val="006B20A1"/>
    <w:rsid w:val="006C4517"/>
    <w:rsid w:val="006D55F1"/>
    <w:rsid w:val="006E5516"/>
    <w:rsid w:val="00700EFC"/>
    <w:rsid w:val="00711618"/>
    <w:rsid w:val="007153CF"/>
    <w:rsid w:val="0072736E"/>
    <w:rsid w:val="0076743B"/>
    <w:rsid w:val="007B55CF"/>
    <w:rsid w:val="007C4FB2"/>
    <w:rsid w:val="00804F41"/>
    <w:rsid w:val="008126EA"/>
    <w:rsid w:val="00825940"/>
    <w:rsid w:val="008317F8"/>
    <w:rsid w:val="00832A19"/>
    <w:rsid w:val="0089037B"/>
    <w:rsid w:val="008A660E"/>
    <w:rsid w:val="008E1178"/>
    <w:rsid w:val="008E6D14"/>
    <w:rsid w:val="00903705"/>
    <w:rsid w:val="009610FD"/>
    <w:rsid w:val="009820C4"/>
    <w:rsid w:val="00991F58"/>
    <w:rsid w:val="009C0675"/>
    <w:rsid w:val="009F198A"/>
    <w:rsid w:val="00A15C4E"/>
    <w:rsid w:val="00A25751"/>
    <w:rsid w:val="00A51AE0"/>
    <w:rsid w:val="00A643D4"/>
    <w:rsid w:val="00A939C6"/>
    <w:rsid w:val="00B60F6B"/>
    <w:rsid w:val="00B71B15"/>
    <w:rsid w:val="00BB03C9"/>
    <w:rsid w:val="00C04E64"/>
    <w:rsid w:val="00C0753F"/>
    <w:rsid w:val="00C078BF"/>
    <w:rsid w:val="00C334D8"/>
    <w:rsid w:val="00C551A7"/>
    <w:rsid w:val="00CB54FB"/>
    <w:rsid w:val="00D4178D"/>
    <w:rsid w:val="00D86586"/>
    <w:rsid w:val="00DB4085"/>
    <w:rsid w:val="00E005E9"/>
    <w:rsid w:val="00E06CFD"/>
    <w:rsid w:val="00E23DE9"/>
    <w:rsid w:val="00E2461D"/>
    <w:rsid w:val="00E248D8"/>
    <w:rsid w:val="00E26570"/>
    <w:rsid w:val="00E41CCC"/>
    <w:rsid w:val="00ED3057"/>
    <w:rsid w:val="00EE3FC6"/>
    <w:rsid w:val="00EF47EE"/>
    <w:rsid w:val="00F0532D"/>
    <w:rsid w:val="00F1312C"/>
    <w:rsid w:val="00F370C6"/>
    <w:rsid w:val="00F62D58"/>
    <w:rsid w:val="00F63AAF"/>
    <w:rsid w:val="00F63E92"/>
    <w:rsid w:val="00F81AFB"/>
    <w:rsid w:val="00F8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8E"/>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E53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4E538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4E538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E538E"/>
    <w:rPr>
      <w:sz w:val="24"/>
    </w:rPr>
  </w:style>
  <w:style w:type="paragraph" w:styleId="Header">
    <w:name w:val="header"/>
    <w:basedOn w:val="Normal"/>
    <w:link w:val="HeaderChar"/>
    <w:uiPriority w:val="99"/>
    <w:unhideWhenUsed/>
    <w:rsid w:val="004E538E"/>
    <w:pPr>
      <w:tabs>
        <w:tab w:val="center" w:pos="4680"/>
        <w:tab w:val="right" w:pos="9360"/>
      </w:tabs>
    </w:pPr>
  </w:style>
  <w:style w:type="character" w:customStyle="1" w:styleId="HeaderChar">
    <w:name w:val="Header Char"/>
    <w:basedOn w:val="DefaultParagraphFont"/>
    <w:link w:val="Header"/>
    <w:uiPriority w:val="99"/>
    <w:rsid w:val="004E538E"/>
    <w:rPr>
      <w:sz w:val="24"/>
    </w:rPr>
  </w:style>
  <w:style w:type="paragraph" w:styleId="Footer">
    <w:name w:val="footer"/>
    <w:basedOn w:val="Normal"/>
    <w:link w:val="FooterChar"/>
    <w:uiPriority w:val="99"/>
    <w:semiHidden/>
    <w:unhideWhenUsed/>
    <w:rsid w:val="004E538E"/>
    <w:pPr>
      <w:tabs>
        <w:tab w:val="center" w:pos="4680"/>
        <w:tab w:val="right" w:pos="9360"/>
      </w:tabs>
    </w:pPr>
  </w:style>
  <w:style w:type="character" w:customStyle="1" w:styleId="FooterChar">
    <w:name w:val="Footer Char"/>
    <w:basedOn w:val="DefaultParagraphFont"/>
    <w:link w:val="Footer"/>
    <w:uiPriority w:val="99"/>
    <w:semiHidden/>
    <w:rsid w:val="004E538E"/>
    <w:rPr>
      <w:sz w:val="24"/>
    </w:rPr>
  </w:style>
  <w:style w:type="paragraph" w:customStyle="1" w:styleId="SCCLsocVersus">
    <w:name w:val="SCC.Lsoc.Versus"/>
    <w:basedOn w:val="Normal"/>
    <w:next w:val="Normal"/>
    <w:link w:val="SCCLsocVersusChar"/>
    <w:rsid w:val="004E538E"/>
    <w:pPr>
      <w:spacing w:after="720"/>
    </w:pPr>
    <w:rPr>
      <w:i/>
    </w:rPr>
  </w:style>
  <w:style w:type="character" w:customStyle="1" w:styleId="SCCLsocVersusChar">
    <w:name w:val="SCC.Lsoc.Versus Char"/>
    <w:basedOn w:val="DefaultParagraphFont"/>
    <w:link w:val="SCCLsocVersus"/>
    <w:rsid w:val="004E538E"/>
    <w:rPr>
      <w:i/>
      <w:sz w:val="24"/>
    </w:rPr>
  </w:style>
  <w:style w:type="character" w:customStyle="1" w:styleId="SCCLsocPartyRole">
    <w:name w:val="SCC.Lsoc.PartyRole"/>
    <w:basedOn w:val="SCCLsocLastPartyInRoleChar"/>
    <w:uiPriority w:val="1"/>
    <w:rsid w:val="004E538E"/>
    <w:rPr>
      <w:i/>
    </w:rPr>
  </w:style>
  <w:style w:type="paragraph" w:customStyle="1" w:styleId="SCCLsocOtherPartySeparator">
    <w:name w:val="SCC.Lsoc.OtherPartySeparator"/>
    <w:basedOn w:val="Normal"/>
    <w:next w:val="Normal"/>
    <w:link w:val="SCCLsocOtherPartySeparatorChar"/>
    <w:rsid w:val="004E538E"/>
    <w:pPr>
      <w:spacing w:after="720"/>
    </w:pPr>
  </w:style>
  <w:style w:type="character" w:customStyle="1" w:styleId="SCCLsocOtherPartySeparatorChar">
    <w:name w:val="SCC.Lsoc.OtherPartySeparator Char"/>
    <w:basedOn w:val="DefaultParagraphFont"/>
    <w:link w:val="SCCLsocOtherPartySeparator"/>
    <w:rsid w:val="004E538E"/>
    <w:rPr>
      <w:sz w:val="24"/>
    </w:rPr>
  </w:style>
  <w:style w:type="paragraph" w:customStyle="1" w:styleId="SCCAppellantForRunningHead">
    <w:name w:val="SCC.AppellantForRunningHead"/>
    <w:basedOn w:val="Normal"/>
    <w:next w:val="Normal"/>
    <w:link w:val="SCCAppellantForRunningHeadChar"/>
    <w:rsid w:val="004E538E"/>
    <w:rPr>
      <w:smallCaps/>
    </w:rPr>
  </w:style>
  <w:style w:type="character" w:customStyle="1" w:styleId="SCCAppellantForRunningHeadChar">
    <w:name w:val="SCC.AppellantForRunningHead Char"/>
    <w:basedOn w:val="DefaultParagraphFont"/>
    <w:link w:val="SCCAppellantForRunningHead"/>
    <w:rsid w:val="004E538E"/>
    <w:rPr>
      <w:smallCaps/>
      <w:sz w:val="24"/>
    </w:rPr>
  </w:style>
  <w:style w:type="paragraph" w:customStyle="1" w:styleId="SCCRespondentForRunningHead">
    <w:name w:val="SCC.RespondentForRunningHead"/>
    <w:basedOn w:val="Normal"/>
    <w:next w:val="Normal"/>
    <w:link w:val="SCCRespondentForRunningHeadChar"/>
    <w:rsid w:val="004E538E"/>
    <w:rPr>
      <w:smallCaps/>
    </w:rPr>
  </w:style>
  <w:style w:type="character" w:customStyle="1" w:styleId="SCCRespondentForRunningHeadChar">
    <w:name w:val="SCC.RespondentForRunningHead Char"/>
    <w:basedOn w:val="DefaultParagraphFont"/>
    <w:link w:val="SCCRespondentForRunningHead"/>
    <w:rsid w:val="004E538E"/>
    <w:rPr>
      <w:smallCaps/>
      <w:sz w:val="24"/>
    </w:rPr>
  </w:style>
  <w:style w:type="paragraph" w:customStyle="1" w:styleId="SCCSystemYear">
    <w:name w:val="SCC.SystemYear"/>
    <w:basedOn w:val="Normal"/>
    <w:next w:val="Normal"/>
    <w:link w:val="SCCSystemYearChar"/>
    <w:rsid w:val="004E538E"/>
    <w:rPr>
      <w:b/>
    </w:rPr>
  </w:style>
  <w:style w:type="character" w:customStyle="1" w:styleId="SCCSystemYearChar">
    <w:name w:val="SCC.SystemYear Char"/>
    <w:basedOn w:val="DefaultParagraphFont"/>
    <w:link w:val="SCCSystemYear"/>
    <w:rsid w:val="004E538E"/>
    <w:rPr>
      <w:b/>
      <w:sz w:val="24"/>
    </w:rPr>
  </w:style>
  <w:style w:type="paragraph" w:customStyle="1" w:styleId="SCCCounselName">
    <w:name w:val="SCC.CounselName"/>
    <w:basedOn w:val="SCCNormalDoubleSpacing"/>
    <w:next w:val="SCCNormalDoubleSpacing"/>
    <w:link w:val="SCCCounselNameChar"/>
    <w:rsid w:val="004E538E"/>
    <w:rPr>
      <w:i/>
    </w:rPr>
  </w:style>
  <w:style w:type="character" w:customStyle="1" w:styleId="SCCCounselNameChar">
    <w:name w:val="SCC.CounselName Char"/>
    <w:basedOn w:val="SCCNormalDoubleSpacingChar"/>
    <w:link w:val="SCCCounselName"/>
    <w:rsid w:val="004E538E"/>
    <w:rPr>
      <w:i/>
    </w:rPr>
  </w:style>
  <w:style w:type="paragraph" w:customStyle="1" w:styleId="SCCItalic">
    <w:name w:val="SCC.Italic"/>
    <w:basedOn w:val="SCCNormalDoubleSpacing"/>
    <w:next w:val="SCCNormalDoubleSpacing"/>
    <w:rsid w:val="004E538E"/>
    <w:rPr>
      <w:i/>
    </w:rPr>
  </w:style>
  <w:style w:type="paragraph" w:customStyle="1" w:styleId="SCCAppellantForCitation">
    <w:name w:val="SCC.AppellantForCitation"/>
    <w:basedOn w:val="Normal"/>
    <w:next w:val="Normal"/>
    <w:link w:val="SCCAppellantForCitationChar"/>
    <w:rsid w:val="004E538E"/>
    <w:rPr>
      <w:i/>
    </w:rPr>
  </w:style>
  <w:style w:type="character" w:customStyle="1" w:styleId="SCCAppellantForCitationChar">
    <w:name w:val="SCC.AppellantForCitation Char"/>
    <w:basedOn w:val="DefaultParagraphFont"/>
    <w:link w:val="SCCAppellantForCitation"/>
    <w:rsid w:val="004E538E"/>
    <w:rPr>
      <w:i/>
      <w:sz w:val="24"/>
    </w:rPr>
  </w:style>
  <w:style w:type="paragraph" w:customStyle="1" w:styleId="SCCCounselSeparator">
    <w:name w:val="SCC.CounselSeparator"/>
    <w:basedOn w:val="SCCNormalDoubleSpacing"/>
    <w:next w:val="SCCNormalDoubleSpacing"/>
    <w:link w:val="SCCCounselSeparatorChar"/>
    <w:rsid w:val="004E538E"/>
  </w:style>
  <w:style w:type="character" w:customStyle="1" w:styleId="SCCCounselSeparatorChar">
    <w:name w:val="SCC.CounselSeparator Char"/>
    <w:basedOn w:val="SCCNormalDoubleSpacingChar"/>
    <w:link w:val="SCCCounselSeparator"/>
    <w:rsid w:val="004E538E"/>
  </w:style>
  <w:style w:type="paragraph" w:customStyle="1" w:styleId="SCCLawFirm">
    <w:name w:val="SCC.LawFirm"/>
    <w:basedOn w:val="SCCNormalDoubleSpacing"/>
    <w:next w:val="SCCNormalDoubleSpacing"/>
    <w:link w:val="SCCLawFirmChar"/>
    <w:rsid w:val="004E538E"/>
    <w:rPr>
      <w:i/>
    </w:rPr>
  </w:style>
  <w:style w:type="character" w:customStyle="1" w:styleId="SCCLawFirmChar">
    <w:name w:val="SCC.LawFirm Char"/>
    <w:basedOn w:val="SCCNormalDoubleSpacingChar"/>
    <w:link w:val="SCCLawFirm"/>
    <w:rsid w:val="004E538E"/>
    <w:rPr>
      <w:i/>
    </w:rPr>
  </w:style>
  <w:style w:type="paragraph" w:customStyle="1" w:styleId="SCCCounselPartyRole">
    <w:name w:val="SCC.CounselPartyRole"/>
    <w:basedOn w:val="SCCNormalDoubleSpacing"/>
    <w:next w:val="SCCNormalDoubleSpacing"/>
    <w:link w:val="SCCCounselPartyRoleChar"/>
    <w:rsid w:val="004E538E"/>
  </w:style>
  <w:style w:type="character" w:customStyle="1" w:styleId="SCCCounselPartyRoleChar">
    <w:name w:val="SCC.CounselPartyRole Char"/>
    <w:basedOn w:val="SCCNormalDoubleSpacingChar"/>
    <w:link w:val="SCCCounselPartyRole"/>
    <w:rsid w:val="004E538E"/>
  </w:style>
  <w:style w:type="paragraph" w:customStyle="1" w:styleId="SCCLsocLastPartyInRole">
    <w:name w:val="SCC.Lsoc.LastPartyInRole"/>
    <w:basedOn w:val="Normal"/>
    <w:next w:val="Normal"/>
    <w:link w:val="SCCLsocLastPartyInRoleChar"/>
    <w:qFormat/>
    <w:rsid w:val="004E538E"/>
    <w:pPr>
      <w:tabs>
        <w:tab w:val="right" w:pos="8222"/>
      </w:tabs>
      <w:spacing w:after="720"/>
    </w:pPr>
    <w:rPr>
      <w:b/>
    </w:rPr>
  </w:style>
  <w:style w:type="character" w:customStyle="1" w:styleId="SCCLsocLastPartyInRoleChar">
    <w:name w:val="SCC.Lsoc.LastPartyInRole Char"/>
    <w:basedOn w:val="DefaultParagraphFont"/>
    <w:link w:val="SCCLsocLastPartyInRole"/>
    <w:rsid w:val="004E538E"/>
    <w:rPr>
      <w:b/>
      <w:sz w:val="24"/>
    </w:rPr>
  </w:style>
  <w:style w:type="character" w:customStyle="1" w:styleId="Heading2Char">
    <w:name w:val="Heading 2 Char"/>
    <w:basedOn w:val="DefaultParagraphFont"/>
    <w:link w:val="Heading2"/>
    <w:uiPriority w:val="9"/>
    <w:semiHidden/>
    <w:rsid w:val="004E538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4E538E"/>
    <w:rPr>
      <w:b/>
      <w:bCs/>
      <w:sz w:val="15"/>
      <w:szCs w:val="15"/>
    </w:rPr>
  </w:style>
  <w:style w:type="paragraph" w:customStyle="1" w:styleId="SCCLsocOtherPartyRoleSeparator">
    <w:name w:val="SCC.Lsoc.OtherPartyRoleSeparator"/>
    <w:basedOn w:val="Normal"/>
    <w:next w:val="Normal"/>
    <w:link w:val="SCCLsocOtherPartyRoleSeparatorChar"/>
    <w:rsid w:val="004E538E"/>
    <w:pPr>
      <w:spacing w:after="480"/>
    </w:pPr>
    <w:rPr>
      <w:rFonts w:eastAsiaTheme="minorHAnsi" w:cstheme="minorBidi"/>
      <w:szCs w:val="22"/>
      <w:lang w:eastAsia="en-US"/>
    </w:rPr>
  </w:style>
  <w:style w:type="paragraph" w:customStyle="1" w:styleId="SCCCoram">
    <w:name w:val="SCC.Coram"/>
    <w:basedOn w:val="Normal"/>
    <w:next w:val="Normal"/>
    <w:link w:val="SCCCoramChar"/>
    <w:rsid w:val="004E538E"/>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4E538E"/>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4E538E"/>
    <w:pPr>
      <w:spacing w:after="480"/>
    </w:pPr>
    <w:rPr>
      <w:rFonts w:eastAsiaTheme="minorHAnsi" w:cstheme="minorBidi"/>
      <w:szCs w:val="22"/>
      <w:lang w:eastAsia="en-US"/>
    </w:rPr>
  </w:style>
  <w:style w:type="character" w:customStyle="1" w:styleId="SCCCoramChar">
    <w:name w:val="SCC.Coram Char"/>
    <w:basedOn w:val="DefaultParagraphFont"/>
    <w:link w:val="SCCCoram"/>
    <w:rsid w:val="004E538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E538E"/>
    <w:rPr>
      <w:rFonts w:eastAsiaTheme="minorHAnsi" w:cstheme="minorBidi"/>
      <w:sz w:val="24"/>
      <w:szCs w:val="22"/>
      <w:lang w:eastAsia="en-US"/>
    </w:rPr>
  </w:style>
  <w:style w:type="character" w:customStyle="1" w:styleId="SCCLsocPartyChar">
    <w:name w:val="SCC.Lsoc.Party Char"/>
    <w:basedOn w:val="DefaultParagraphFont"/>
    <w:link w:val="SCCLsocParty"/>
    <w:rsid w:val="004E538E"/>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4E538E"/>
    <w:rPr>
      <w:rFonts w:eastAsiaTheme="minorHAnsi" w:cstheme="minorBidi"/>
      <w:sz w:val="24"/>
      <w:szCs w:val="22"/>
      <w:lang w:eastAsia="en-US"/>
    </w:rPr>
  </w:style>
  <w:style w:type="paragraph" w:customStyle="1" w:styleId="SCCBanSummary">
    <w:name w:val="SCC.BanSummary"/>
    <w:basedOn w:val="Normal"/>
    <w:next w:val="Normal"/>
    <w:link w:val="SCCBanSummaryChar"/>
    <w:rsid w:val="004E538E"/>
    <w:pPr>
      <w:jc w:val="right"/>
    </w:pPr>
    <w:rPr>
      <w:rFonts w:eastAsiaTheme="minorEastAsia"/>
      <w:b/>
      <w:szCs w:val="24"/>
    </w:rPr>
  </w:style>
  <w:style w:type="character" w:customStyle="1" w:styleId="SCCBanSummaryChar">
    <w:name w:val="SCC.BanSummary Char"/>
    <w:basedOn w:val="DefaultParagraphFont"/>
    <w:link w:val="SCCBanSummary"/>
    <w:rsid w:val="004E538E"/>
    <w:rPr>
      <w:rFonts w:eastAsiaTheme="minorEastAsia"/>
      <w:b/>
      <w:sz w:val="24"/>
      <w:szCs w:val="24"/>
    </w:rPr>
  </w:style>
  <w:style w:type="character" w:styleId="PlaceholderText">
    <w:name w:val="Placeholder Text"/>
    <w:basedOn w:val="DefaultParagraphFont"/>
    <w:uiPriority w:val="99"/>
    <w:semiHidden/>
    <w:rsid w:val="004E538E"/>
    <w:rPr>
      <w:color w:val="808080"/>
    </w:rPr>
  </w:style>
  <w:style w:type="paragraph" w:styleId="BalloonText">
    <w:name w:val="Balloon Text"/>
    <w:basedOn w:val="Normal"/>
    <w:link w:val="BalloonTextChar"/>
    <w:uiPriority w:val="99"/>
    <w:semiHidden/>
    <w:unhideWhenUsed/>
    <w:rsid w:val="004E538E"/>
    <w:rPr>
      <w:rFonts w:ascii="Tahoma" w:hAnsi="Tahoma" w:cs="Tahoma"/>
      <w:sz w:val="16"/>
      <w:szCs w:val="16"/>
    </w:rPr>
  </w:style>
  <w:style w:type="character" w:customStyle="1" w:styleId="BalloonTextChar">
    <w:name w:val="Balloon Text Char"/>
    <w:basedOn w:val="DefaultParagraphFont"/>
    <w:link w:val="BalloonText"/>
    <w:uiPriority w:val="99"/>
    <w:semiHidden/>
    <w:rsid w:val="004E538E"/>
    <w:rPr>
      <w:rFonts w:ascii="Tahoma" w:hAnsi="Tahoma" w:cs="Tahoma"/>
      <w:sz w:val="16"/>
      <w:szCs w:val="16"/>
    </w:rPr>
  </w:style>
  <w:style w:type="table" w:styleId="TableGrid">
    <w:name w:val="Table Grid"/>
    <w:basedOn w:val="TableNormal"/>
    <w:uiPriority w:val="59"/>
    <w:rsid w:val="004E538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E538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E538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E538E"/>
    <w:pPr>
      <w:tabs>
        <w:tab w:val="left" w:pos="1166"/>
      </w:tabs>
      <w:spacing w:after="480" w:line="480" w:lineRule="auto"/>
    </w:pPr>
    <w:rPr>
      <w:smallCaps/>
      <w:sz w:val="24"/>
      <w:szCs w:val="24"/>
    </w:rPr>
  </w:style>
  <w:style w:type="paragraph" w:customStyle="1" w:styleId="ParaNoNdepar-AltN">
    <w:name w:val="Para. No. / Nº de par. - Alt N"/>
    <w:qFormat/>
    <w:rsid w:val="004E538E"/>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E538E"/>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E538E"/>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4E538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4E538E"/>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4E538E"/>
    <w:pPr>
      <w:numPr>
        <w:ilvl w:val="4"/>
      </w:numPr>
      <w:tabs>
        <w:tab w:val="clear" w:pos="576"/>
        <w:tab w:val="left" w:pos="1620"/>
      </w:tabs>
      <w:ind w:left="1620" w:hanging="540"/>
    </w:pPr>
  </w:style>
  <w:style w:type="paragraph" w:styleId="TOC1">
    <w:name w:val="toc 1"/>
    <w:basedOn w:val="Normal"/>
    <w:next w:val="Normal"/>
    <w:autoRedefine/>
    <w:uiPriority w:val="39"/>
    <w:unhideWhenUsed/>
    <w:rsid w:val="004E538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E538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E538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E538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E538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E538E"/>
    <w:pPr>
      <w:tabs>
        <w:tab w:val="left" w:pos="2160"/>
        <w:tab w:val="right" w:leader="dot" w:pos="8270"/>
      </w:tabs>
      <w:spacing w:after="100"/>
      <w:ind w:left="1800"/>
    </w:pPr>
    <w:rPr>
      <w:noProof/>
    </w:rPr>
  </w:style>
  <w:style w:type="table" w:customStyle="1" w:styleId="TableGrid1">
    <w:name w:val="Table Grid1"/>
    <w:basedOn w:val="TableNormal"/>
    <w:uiPriority w:val="59"/>
    <w:rsid w:val="004E538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4E538E"/>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4E538E"/>
    <w:rPr>
      <w:color w:val="0000FF" w:themeColor="hyperlink"/>
      <w:u w:val="single"/>
    </w:rPr>
  </w:style>
  <w:style w:type="paragraph" w:styleId="ListParagraph">
    <w:name w:val="List Paragraph"/>
    <w:basedOn w:val="Normal"/>
    <w:uiPriority w:val="34"/>
    <w:qFormat/>
    <w:rsid w:val="004E538E"/>
    <w:pPr>
      <w:ind w:left="720"/>
      <w:contextualSpacing/>
    </w:pPr>
  </w:style>
  <w:style w:type="character" w:styleId="CommentReference">
    <w:name w:val="annotation reference"/>
    <w:basedOn w:val="DefaultParagraphFont"/>
    <w:uiPriority w:val="99"/>
    <w:semiHidden/>
    <w:unhideWhenUsed/>
    <w:rsid w:val="004E538E"/>
    <w:rPr>
      <w:sz w:val="16"/>
      <w:szCs w:val="16"/>
    </w:rPr>
  </w:style>
  <w:style w:type="paragraph" w:styleId="CommentText">
    <w:name w:val="annotation text"/>
    <w:basedOn w:val="Normal"/>
    <w:link w:val="CommentTextChar"/>
    <w:uiPriority w:val="99"/>
    <w:semiHidden/>
    <w:unhideWhenUsed/>
    <w:rsid w:val="004E538E"/>
    <w:rPr>
      <w:sz w:val="20"/>
    </w:rPr>
  </w:style>
  <w:style w:type="character" w:customStyle="1" w:styleId="CommentTextChar">
    <w:name w:val="Comment Text Char"/>
    <w:basedOn w:val="DefaultParagraphFont"/>
    <w:link w:val="CommentText"/>
    <w:uiPriority w:val="99"/>
    <w:semiHidden/>
    <w:rsid w:val="004E538E"/>
  </w:style>
  <w:style w:type="paragraph" w:styleId="CommentSubject">
    <w:name w:val="annotation subject"/>
    <w:basedOn w:val="CommentText"/>
    <w:next w:val="CommentText"/>
    <w:link w:val="CommentSubjectChar"/>
    <w:uiPriority w:val="99"/>
    <w:semiHidden/>
    <w:unhideWhenUsed/>
    <w:rsid w:val="004E538E"/>
    <w:rPr>
      <w:b/>
      <w:bCs/>
    </w:rPr>
  </w:style>
  <w:style w:type="character" w:customStyle="1" w:styleId="CommentSubjectChar">
    <w:name w:val="Comment Subject Char"/>
    <w:basedOn w:val="CommentTextChar"/>
    <w:link w:val="CommentSubject"/>
    <w:uiPriority w:val="99"/>
    <w:semiHidden/>
    <w:rsid w:val="004E538E"/>
    <w:rPr>
      <w:b/>
      <w:bCs/>
    </w:rPr>
  </w:style>
  <w:style w:type="paragraph" w:customStyle="1" w:styleId="aparanumbering1">
    <w:name w:val="aparanumbering1"/>
    <w:basedOn w:val="Normal"/>
    <w:rsid w:val="004E538E"/>
    <w:pPr>
      <w:spacing w:before="120" w:after="120"/>
      <w:jc w:val="both"/>
    </w:pPr>
    <w:rPr>
      <w:rFonts w:ascii="Arial" w:hAnsi="Arial" w:cs="Arial"/>
      <w:sz w:val="26"/>
      <w:szCs w:val="26"/>
    </w:rPr>
  </w:style>
  <w:style w:type="character" w:styleId="Emphasis">
    <w:name w:val="Emphasis"/>
    <w:basedOn w:val="DefaultParagraphFont"/>
    <w:uiPriority w:val="20"/>
    <w:qFormat/>
    <w:rsid w:val="004E538E"/>
    <w:rPr>
      <w:i/>
      <w:iCs/>
    </w:rPr>
  </w:style>
  <w:style w:type="character" w:customStyle="1" w:styleId="canliisectionwithsubsection1">
    <w:name w:val="canlii_section_with_subsection1"/>
    <w:basedOn w:val="DefaultParagraphFont"/>
    <w:rsid w:val="004E538E"/>
    <w:rPr>
      <w:color w:val="027ABB"/>
      <w:shd w:val="clear" w:color="auto" w:fill="F3F3F3"/>
    </w:rPr>
  </w:style>
  <w:style w:type="character" w:customStyle="1" w:styleId="sectionlabel1">
    <w:name w:val="sectionlabel1"/>
    <w:basedOn w:val="DefaultParagraphFont"/>
    <w:rsid w:val="004E538E"/>
    <w:rPr>
      <w:b/>
      <w:bCs/>
    </w:rPr>
  </w:style>
  <w:style w:type="paragraph" w:customStyle="1" w:styleId="subsection">
    <w:name w:val="subsection"/>
    <w:basedOn w:val="Normal"/>
    <w:rsid w:val="004E538E"/>
    <w:pPr>
      <w:spacing w:before="100" w:beforeAutospacing="1" w:after="100" w:afterAutospacing="1"/>
    </w:pPr>
    <w:rPr>
      <w:szCs w:val="24"/>
    </w:rPr>
  </w:style>
  <w:style w:type="paragraph" w:customStyle="1" w:styleId="paragraph">
    <w:name w:val="paragraph"/>
    <w:basedOn w:val="Normal"/>
    <w:rsid w:val="004E538E"/>
    <w:pPr>
      <w:spacing w:before="100" w:beforeAutospacing="1" w:after="100" w:afterAutospacing="1"/>
    </w:pPr>
    <w:rPr>
      <w:szCs w:val="24"/>
    </w:rPr>
  </w:style>
  <w:style w:type="paragraph" w:styleId="Revision">
    <w:name w:val="Revision"/>
    <w:hidden/>
    <w:uiPriority w:val="99"/>
    <w:semiHidden/>
    <w:rsid w:val="004E538E"/>
    <w:rPr>
      <w:sz w:val="24"/>
      <w:szCs w:val="24"/>
    </w:rPr>
  </w:style>
  <w:style w:type="character" w:customStyle="1" w:styleId="canliisubsection1">
    <w:name w:val="canlii_subsection1"/>
    <w:basedOn w:val="DefaultParagraphFont"/>
    <w:rsid w:val="004E538E"/>
    <w:rPr>
      <w:color w:val="027ABB"/>
      <w:shd w:val="clear" w:color="auto" w:fill="F3F3F3"/>
    </w:rPr>
  </w:style>
  <w:style w:type="character" w:customStyle="1" w:styleId="term01">
    <w:name w:val="term01"/>
    <w:basedOn w:val="DefaultParagraphFont"/>
    <w:rsid w:val="004E538E"/>
    <w:rPr>
      <w:shd w:val="clear" w:color="auto" w:fill="BFE8FD"/>
    </w:rPr>
  </w:style>
  <w:style w:type="character" w:customStyle="1" w:styleId="term210">
    <w:name w:val="term210"/>
    <w:basedOn w:val="DefaultParagraphFont"/>
    <w:rsid w:val="004E538E"/>
    <w:rPr>
      <w:shd w:val="clear" w:color="auto" w:fill="FDD3BF"/>
    </w:rPr>
  </w:style>
  <w:style w:type="character" w:customStyle="1" w:styleId="term110">
    <w:name w:val="term110"/>
    <w:basedOn w:val="DefaultParagraphFont"/>
    <w:rsid w:val="004E538E"/>
    <w:rPr>
      <w:shd w:val="clear" w:color="auto" w:fill="F3BFFD"/>
    </w:rPr>
  </w:style>
  <w:style w:type="paragraph" w:styleId="ListBullet">
    <w:name w:val="List Bullet"/>
    <w:basedOn w:val="Normal"/>
    <w:uiPriority w:val="99"/>
    <w:unhideWhenUsed/>
    <w:rsid w:val="004E538E"/>
    <w:pPr>
      <w:numPr>
        <w:numId w:val="12"/>
      </w:numPr>
      <w:contextualSpacing/>
    </w:pPr>
    <w:rPr>
      <w:szCs w:val="24"/>
    </w:rPr>
  </w:style>
  <w:style w:type="character" w:customStyle="1" w:styleId="SCCLsocPartyRoleChar">
    <w:name w:val="SCC.Lsoc.PartyRole Char"/>
    <w:basedOn w:val="DefaultParagraphFont"/>
    <w:rsid w:val="00657FFC"/>
    <w:rPr>
      <w:lang w:val="fr-CA"/>
    </w:rPr>
  </w:style>
  <w:style w:type="paragraph" w:customStyle="1" w:styleId="SCCLsocPrefix">
    <w:name w:val="SCC.Lsoc.Prefix"/>
    <w:basedOn w:val="Normal"/>
    <w:next w:val="Normal"/>
    <w:link w:val="SCCLsocPrefixChar"/>
    <w:rsid w:val="00657FF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57FFC"/>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90B7-466C-4448-97FF-AB2CD35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33</Pages>
  <Words>7677</Words>
  <Characters>43759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46</cp:revision>
  <cp:lastPrinted>2015-02-13T18:58:00Z</cp:lastPrinted>
  <dcterms:created xsi:type="dcterms:W3CDTF">2014-07-10T13:47:00Z</dcterms:created>
  <dcterms:modified xsi:type="dcterms:W3CDTF">2015-02-13T19:05:00Z</dcterms:modified>
</cp:coreProperties>
</file>